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910DD5E" w14:textId="77777777" w:rsidR="00587A6C" w:rsidRPr="004A0C12" w:rsidRDefault="0004482C" w:rsidP="0004482C">
      <w:pPr>
        <w:rPr>
          <w:rFonts w:ascii="Garamond" w:hAnsi="Garamond"/>
        </w:rPr>
      </w:pPr>
      <w:r w:rsidRPr="004A0C12">
        <w:rPr>
          <w:rFonts w:ascii="Garamond" w:hAnsi="Garamond"/>
          <w:noProof/>
        </w:rPr>
        <mc:AlternateContent>
          <mc:Choice Requires="wps">
            <w:drawing>
              <wp:anchor distT="0" distB="0" distL="114300" distR="114300" simplePos="0" relativeHeight="251659264" behindDoc="0" locked="0" layoutInCell="1" allowOverlap="1" wp14:anchorId="3224A7B9" wp14:editId="43432E29">
                <wp:simplePos x="0" y="0"/>
                <wp:positionH relativeFrom="column">
                  <wp:posOffset>-39757</wp:posOffset>
                </wp:positionH>
                <wp:positionV relativeFrom="paragraph">
                  <wp:posOffset>-636104</wp:posOffset>
                </wp:positionV>
                <wp:extent cx="7100515" cy="9366636"/>
                <wp:effectExtent l="0" t="0" r="24765" b="25400"/>
                <wp:wrapNone/>
                <wp:docPr id="3" name="Text Box 3"/>
                <wp:cNvGraphicFramePr/>
                <a:graphic xmlns:a="http://schemas.openxmlformats.org/drawingml/2006/main">
                  <a:graphicData uri="http://schemas.microsoft.com/office/word/2010/wordprocessingShape">
                    <wps:wsp>
                      <wps:cNvSpPr txBox="1"/>
                      <wps:spPr>
                        <a:xfrm>
                          <a:off x="0" y="0"/>
                          <a:ext cx="7100515" cy="936663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2EAC1F" w14:textId="77777777" w:rsidR="003D14AC" w:rsidRDefault="003D14AC">
                            <w:r>
                              <w:rPr>
                                <w:noProof/>
                              </w:rPr>
                              <w:drawing>
                                <wp:inline distT="0" distB="0" distL="0" distR="0" wp14:anchorId="54373E03" wp14:editId="14854385">
                                  <wp:extent cx="6925586" cy="9328021"/>
                                  <wp:effectExtent l="0" t="0" r="8890" b="6985"/>
                                  <wp:docPr id="370" name="Picture 370" descr="The picture is the cover page for the State Plan." title="Cover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26998" cy="93299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15pt;margin-top:-50.1pt;width:559.1pt;height:73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" fillcolor="white [3201]" strokeweight=".5pt">
                <v:textbox>
                  <w:txbxContent>
                    <w:p w14:paraId="0F2EAC1F" w14:textId="77777777" w:rsidR="003D14AC" w:rsidRDefault="003D14AC">
                      <w:r>
                        <w:rPr>
                          <w:noProof/>
                        </w:rPr>
                        <w:drawing>
                          <wp:inline distT="0" distB="0" distL="0" distR="0" wp14:anchorId="54373E03" wp14:editId="14854385">
                            <wp:extent cx="6925586" cy="9328021"/>
                            <wp:effectExtent l="0" t="0" r="8890" b="6985"/>
                            <wp:docPr id="370" name="Picture 370" descr="The picture is the cover page for the State Plan." title="Cover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26998" cy="9329923"/>
                                    </a:xfrm>
                                    <a:prstGeom prst="rect">
                                      <a:avLst/>
                                    </a:prstGeom>
                                    <a:noFill/>
                                    <a:ln>
                                      <a:noFill/>
                                    </a:ln>
                                  </pic:spPr>
                                </pic:pic>
                              </a:graphicData>
                            </a:graphic>
                          </wp:inline>
                        </w:drawing>
                      </w:r>
                    </w:p>
                  </w:txbxContent>
                </v:textbox>
              </v:shape>
            </w:pict>
          </mc:Fallback>
        </mc:AlternateContent>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p>
    <w:p w14:paraId="77093F47" w14:textId="77777777" w:rsidR="0004482C" w:rsidRPr="004A0C12" w:rsidRDefault="0004482C" w:rsidP="0004482C">
      <w:pPr>
        <w:rPr>
          <w:rFonts w:ascii="Garamond" w:hAnsi="Garamond"/>
        </w:rPr>
      </w:pPr>
    </w:p>
    <w:p w14:paraId="38CD88B8" w14:textId="77777777" w:rsidR="0004482C" w:rsidRPr="004A0C12" w:rsidRDefault="0004482C" w:rsidP="0004482C">
      <w:pPr>
        <w:rPr>
          <w:rFonts w:ascii="Garamond" w:hAnsi="Garamond"/>
        </w:rPr>
      </w:pPr>
    </w:p>
    <w:p w14:paraId="4002D37C" w14:textId="77777777" w:rsidR="0004482C" w:rsidRPr="004A0C12" w:rsidRDefault="0004482C" w:rsidP="0004482C">
      <w:pPr>
        <w:rPr>
          <w:rFonts w:ascii="Garamond" w:hAnsi="Garamond"/>
        </w:rPr>
      </w:pPr>
    </w:p>
    <w:p w14:paraId="47781151" w14:textId="77777777" w:rsidR="0004482C" w:rsidRPr="004A0C12" w:rsidRDefault="0004482C" w:rsidP="0004482C">
      <w:pPr>
        <w:rPr>
          <w:rFonts w:ascii="Garamond" w:hAnsi="Garamond"/>
        </w:rPr>
      </w:pPr>
    </w:p>
    <w:p w14:paraId="643D1F06" w14:textId="77777777" w:rsidR="0004482C" w:rsidRPr="004A0C12" w:rsidRDefault="0004482C" w:rsidP="0004482C">
      <w:pPr>
        <w:rPr>
          <w:rFonts w:ascii="Garamond" w:hAnsi="Garamond"/>
        </w:rPr>
      </w:pPr>
    </w:p>
    <w:p w14:paraId="17DC17C7" w14:textId="77777777" w:rsidR="0004482C" w:rsidRPr="004A0C12" w:rsidRDefault="0004482C" w:rsidP="0004482C">
      <w:pPr>
        <w:rPr>
          <w:rFonts w:ascii="Garamond" w:hAnsi="Garamond"/>
        </w:rPr>
      </w:pPr>
    </w:p>
    <w:p w14:paraId="7188E4AA" w14:textId="77777777" w:rsidR="0004482C" w:rsidRPr="004A0C12" w:rsidRDefault="0004482C" w:rsidP="0004482C">
      <w:pPr>
        <w:rPr>
          <w:rFonts w:ascii="Garamond" w:hAnsi="Garamond"/>
        </w:rPr>
      </w:pPr>
    </w:p>
    <w:p w14:paraId="2BB93084" w14:textId="77777777" w:rsidR="0004482C" w:rsidRPr="004A0C12" w:rsidRDefault="0004482C" w:rsidP="0004482C">
      <w:pPr>
        <w:rPr>
          <w:rFonts w:ascii="Garamond" w:hAnsi="Garamond"/>
        </w:rPr>
      </w:pPr>
    </w:p>
    <w:p w14:paraId="7A86FB03" w14:textId="77777777" w:rsidR="0004482C" w:rsidRPr="004A0C12" w:rsidRDefault="0004482C" w:rsidP="0004482C">
      <w:pPr>
        <w:rPr>
          <w:rFonts w:ascii="Garamond" w:hAnsi="Garamond"/>
        </w:rPr>
      </w:pPr>
    </w:p>
    <w:p w14:paraId="275891BC" w14:textId="77777777" w:rsidR="0004482C" w:rsidRPr="004A0C12" w:rsidRDefault="0004482C" w:rsidP="0004482C">
      <w:pPr>
        <w:rPr>
          <w:rFonts w:ascii="Garamond" w:hAnsi="Garamond"/>
        </w:rPr>
      </w:pPr>
    </w:p>
    <w:p w14:paraId="0BDBA5A7" w14:textId="77777777" w:rsidR="0004482C" w:rsidRPr="004A0C12" w:rsidRDefault="0004482C" w:rsidP="0004482C">
      <w:pPr>
        <w:rPr>
          <w:rFonts w:ascii="Garamond" w:hAnsi="Garamond"/>
        </w:rPr>
      </w:pPr>
    </w:p>
    <w:p w14:paraId="046EAEAB" w14:textId="77777777" w:rsidR="0004482C" w:rsidRPr="004A0C12" w:rsidRDefault="0004482C" w:rsidP="0004482C">
      <w:pPr>
        <w:rPr>
          <w:rFonts w:ascii="Garamond" w:hAnsi="Garamond"/>
        </w:rPr>
      </w:pPr>
    </w:p>
    <w:p w14:paraId="252F9609" w14:textId="77777777" w:rsidR="0004482C" w:rsidRPr="004A0C12" w:rsidRDefault="0004482C" w:rsidP="0004482C">
      <w:pPr>
        <w:rPr>
          <w:rFonts w:ascii="Garamond" w:hAnsi="Garamond"/>
        </w:rPr>
      </w:pPr>
    </w:p>
    <w:p w14:paraId="2D9BAECA" w14:textId="77777777" w:rsidR="0004482C" w:rsidRPr="004A0C12" w:rsidRDefault="0004482C" w:rsidP="0004482C">
      <w:pPr>
        <w:rPr>
          <w:rFonts w:ascii="Garamond" w:hAnsi="Garamond"/>
        </w:rPr>
      </w:pPr>
    </w:p>
    <w:p w14:paraId="488D34DA" w14:textId="77777777" w:rsidR="0004482C" w:rsidRPr="004A0C12" w:rsidRDefault="0004482C" w:rsidP="0004482C">
      <w:pPr>
        <w:rPr>
          <w:rFonts w:ascii="Garamond" w:hAnsi="Garamond"/>
        </w:rPr>
      </w:pPr>
    </w:p>
    <w:p w14:paraId="6C31753F" w14:textId="77777777" w:rsidR="0004482C" w:rsidRPr="004A0C12" w:rsidRDefault="0004482C" w:rsidP="0004482C">
      <w:pPr>
        <w:rPr>
          <w:rFonts w:ascii="Garamond" w:hAnsi="Garamond"/>
        </w:rPr>
      </w:pPr>
    </w:p>
    <w:p w14:paraId="406BDADD" w14:textId="77777777" w:rsidR="0004482C" w:rsidRPr="004A0C12" w:rsidRDefault="0004482C" w:rsidP="0004482C">
      <w:pPr>
        <w:rPr>
          <w:rFonts w:ascii="Garamond" w:hAnsi="Garamond"/>
        </w:rPr>
      </w:pPr>
    </w:p>
    <w:p w14:paraId="04B81632" w14:textId="77777777" w:rsidR="0004482C" w:rsidRPr="004A0C12" w:rsidRDefault="0004482C" w:rsidP="0004482C">
      <w:pPr>
        <w:rPr>
          <w:rFonts w:ascii="Garamond" w:hAnsi="Garamond"/>
        </w:rPr>
      </w:pPr>
    </w:p>
    <w:p w14:paraId="253841B3" w14:textId="77777777" w:rsidR="0004482C" w:rsidRPr="004A0C12" w:rsidRDefault="0004482C" w:rsidP="0004482C">
      <w:pPr>
        <w:rPr>
          <w:rFonts w:ascii="Garamond" w:hAnsi="Garamond"/>
        </w:rPr>
      </w:pPr>
    </w:p>
    <w:p w14:paraId="7A3D3914" w14:textId="77777777" w:rsidR="0004482C" w:rsidRPr="004A0C12" w:rsidRDefault="0004482C" w:rsidP="0004482C">
      <w:pPr>
        <w:rPr>
          <w:rFonts w:ascii="Garamond" w:hAnsi="Garamond"/>
        </w:rPr>
      </w:pPr>
    </w:p>
    <w:p w14:paraId="19C3B84B" w14:textId="77777777" w:rsidR="0004482C" w:rsidRPr="004A0C12" w:rsidRDefault="0004482C" w:rsidP="0004482C">
      <w:pPr>
        <w:rPr>
          <w:rFonts w:ascii="Garamond" w:hAnsi="Garamond"/>
        </w:rPr>
      </w:pPr>
    </w:p>
    <w:p w14:paraId="0481CAD3" w14:textId="77777777" w:rsidR="0004482C" w:rsidRPr="004A0C12" w:rsidRDefault="0004482C" w:rsidP="0004482C">
      <w:pPr>
        <w:rPr>
          <w:rFonts w:ascii="Garamond" w:hAnsi="Garamond"/>
        </w:rPr>
      </w:pPr>
    </w:p>
    <w:p w14:paraId="024EAF43" w14:textId="77777777" w:rsidR="0004482C" w:rsidRPr="004A0C12" w:rsidRDefault="0004482C" w:rsidP="0004482C">
      <w:pPr>
        <w:rPr>
          <w:rFonts w:ascii="Garamond" w:hAnsi="Garamond"/>
        </w:rPr>
      </w:pPr>
    </w:p>
    <w:p w14:paraId="1FA65012" w14:textId="77777777" w:rsidR="0004482C" w:rsidRPr="004A0C12" w:rsidRDefault="0004482C" w:rsidP="0004482C">
      <w:pPr>
        <w:rPr>
          <w:rFonts w:ascii="Garamond" w:hAnsi="Garamond"/>
        </w:rPr>
      </w:pPr>
    </w:p>
    <w:p w14:paraId="4A5A74E5" w14:textId="77777777" w:rsidR="002B224F" w:rsidRPr="004A0C12" w:rsidRDefault="002B224F" w:rsidP="000104B8">
      <w:pPr>
        <w:jc w:val="center"/>
        <w:rPr>
          <w:rStyle w:val="IntenseEmphasis"/>
          <w:rFonts w:ascii="Garamond" w:hAnsi="Garamond"/>
          <w:sz w:val="22"/>
        </w:rPr>
      </w:pPr>
    </w:p>
    <w:p w14:paraId="7D8F5C51" w14:textId="77777777" w:rsidR="00CC40F2" w:rsidRPr="00825D0C" w:rsidRDefault="00CC40F2" w:rsidP="00CC40F2">
      <w:pPr>
        <w:pStyle w:val="Heading1"/>
        <w:jc w:val="center"/>
        <w:rPr>
          <w:rFonts w:ascii="Garamond" w:hAnsi="Garamond"/>
        </w:rPr>
      </w:pPr>
      <w:bookmarkStart w:id="1" w:name="_Toc447276061"/>
      <w:r w:rsidRPr="00825D0C">
        <w:rPr>
          <w:rFonts w:ascii="Garamond" w:hAnsi="Garamond"/>
        </w:rPr>
        <w:lastRenderedPageBreak/>
        <w:t>Executive Summary</w:t>
      </w:r>
      <w:bookmarkEnd w:id="1"/>
    </w:p>
    <w:p w14:paraId="7FD585E2" w14:textId="77777777" w:rsidR="00CC40F2" w:rsidRPr="004A0C12" w:rsidRDefault="00CC40F2" w:rsidP="00CC40F2">
      <w:pPr>
        <w:spacing w:after="0" w:line="240" w:lineRule="auto"/>
        <w:jc w:val="both"/>
        <w:rPr>
          <w:rFonts w:ascii="Garamond" w:hAnsi="Garamond"/>
        </w:rPr>
      </w:pPr>
    </w:p>
    <w:p w14:paraId="3D7E360C" w14:textId="2175EE0C" w:rsidR="00CC40F2" w:rsidRPr="004A0C12" w:rsidRDefault="00CC40F2" w:rsidP="00CC40F2">
      <w:pPr>
        <w:spacing w:after="0" w:line="240" w:lineRule="auto"/>
        <w:jc w:val="both"/>
        <w:rPr>
          <w:rFonts w:ascii="Garamond" w:hAnsi="Garamond"/>
        </w:rPr>
      </w:pPr>
      <w:r w:rsidRPr="004A0C12">
        <w:rPr>
          <w:rFonts w:ascii="Garamond" w:hAnsi="Garamond"/>
        </w:rPr>
        <w:t>Maryland is excited to share the enclosed plan, which represents the State’s beginning blueprint for implementation of a Workforce Innovation and Opportunity Act</w:t>
      </w:r>
      <w:r w:rsidR="0027515B" w:rsidRPr="004A0C12">
        <w:rPr>
          <w:rFonts w:ascii="Garamond" w:hAnsi="Garamond"/>
        </w:rPr>
        <w:t xml:space="preserve"> (WIOA)</w:t>
      </w:r>
      <w:r w:rsidRPr="004A0C12">
        <w:rPr>
          <w:rFonts w:ascii="Garamond" w:hAnsi="Garamond"/>
        </w:rPr>
        <w:t xml:space="preserve"> compliant system. Under the leadership of Governor Larry Hogan, Maryland has taken this opportunity to “hit the reset button” by critically analyzing the current workforce system with the assistance of subject matter experts to ensure that Maryland’s system under WIOA is highly responsive to the needs of both businesses and jobseekers. </w:t>
      </w:r>
    </w:p>
    <w:p w14:paraId="2DEC4972" w14:textId="77777777" w:rsidR="00CC40F2" w:rsidRPr="004A0C12" w:rsidRDefault="00CC40F2" w:rsidP="00CC40F2">
      <w:pPr>
        <w:spacing w:after="0" w:line="240" w:lineRule="auto"/>
        <w:jc w:val="both"/>
        <w:rPr>
          <w:rFonts w:ascii="Garamond" w:hAnsi="Garamond"/>
        </w:rPr>
      </w:pPr>
    </w:p>
    <w:p w14:paraId="5CCA6125" w14:textId="229BBB55" w:rsidR="00CC40F2" w:rsidRPr="004A0C12" w:rsidRDefault="00CC40F2" w:rsidP="00CC40F2">
      <w:pPr>
        <w:spacing w:after="0" w:line="240" w:lineRule="auto"/>
        <w:jc w:val="both"/>
        <w:rPr>
          <w:rFonts w:ascii="Garamond" w:hAnsi="Garamond"/>
        </w:rPr>
      </w:pPr>
      <w:r w:rsidRPr="004A0C12">
        <w:rPr>
          <w:rFonts w:ascii="Garamond" w:hAnsi="Garamond"/>
        </w:rPr>
        <w:t xml:space="preserve">The Plan represents the work of nine </w:t>
      </w:r>
      <w:r w:rsidR="0027515B" w:rsidRPr="004A0C12">
        <w:rPr>
          <w:rFonts w:ascii="Garamond" w:hAnsi="Garamond"/>
        </w:rPr>
        <w:t>WIOA</w:t>
      </w:r>
      <w:r w:rsidRPr="004A0C12">
        <w:rPr>
          <w:rFonts w:ascii="Garamond" w:hAnsi="Garamond"/>
        </w:rPr>
        <w:t xml:space="preserve"> workgroups constituted to provide recommendations </w:t>
      </w:r>
      <w:r w:rsidR="00E53C54" w:rsidRPr="004A0C12">
        <w:rPr>
          <w:rFonts w:ascii="Garamond" w:hAnsi="Garamond"/>
        </w:rPr>
        <w:t>for</w:t>
      </w:r>
      <w:r w:rsidRPr="004A0C12">
        <w:rPr>
          <w:rFonts w:ascii="Garamond" w:hAnsi="Garamond"/>
        </w:rPr>
        <w:t xml:space="preserve"> the formulation of the plan, as well as the efforts of staff from state and local agencies and organizations. Input was also received from a wide array of subject matter experts from the national, s</w:t>
      </w:r>
      <w:r w:rsidR="003F2622" w:rsidRPr="004A0C12">
        <w:rPr>
          <w:rFonts w:ascii="Garamond" w:hAnsi="Garamond"/>
        </w:rPr>
        <w:t>tate, and local levels, as well as</w:t>
      </w:r>
      <w:r w:rsidRPr="004A0C12">
        <w:rPr>
          <w:rFonts w:ascii="Garamond" w:hAnsi="Garamond"/>
        </w:rPr>
        <w:t xml:space="preserve"> the public at large. </w:t>
      </w:r>
    </w:p>
    <w:p w14:paraId="5AFDB443" w14:textId="77777777" w:rsidR="00CC40F2" w:rsidRPr="004A0C12" w:rsidRDefault="00CC40F2" w:rsidP="00CC40F2">
      <w:pPr>
        <w:spacing w:after="0" w:line="240" w:lineRule="auto"/>
        <w:jc w:val="both"/>
        <w:rPr>
          <w:rFonts w:ascii="Garamond" w:hAnsi="Garamond"/>
        </w:rPr>
      </w:pPr>
    </w:p>
    <w:p w14:paraId="51F956CA" w14:textId="00FF8D86" w:rsidR="00CC40F2" w:rsidRPr="004A0C12" w:rsidRDefault="00CC40F2" w:rsidP="00CC40F2">
      <w:pPr>
        <w:spacing w:after="0" w:line="240" w:lineRule="auto"/>
        <w:jc w:val="both"/>
        <w:rPr>
          <w:rFonts w:ascii="Garamond" w:hAnsi="Garamond" w:cs="Times New Roman"/>
          <w:shd w:val="clear" w:color="auto" w:fill="FFFFFF"/>
        </w:rPr>
      </w:pPr>
      <w:r w:rsidRPr="004A0C12">
        <w:rPr>
          <w:rFonts w:ascii="Garamond" w:hAnsi="Garamond" w:cs="Times New Roman"/>
          <w:shd w:val="clear" w:color="auto" w:fill="FFFFFF"/>
        </w:rPr>
        <w:t xml:space="preserve">The Plan’s formulation process has been nearly unprecedented, as hundreds of specific comments have poured in </w:t>
      </w:r>
      <w:r w:rsidR="00E53C54" w:rsidRPr="004A0C12">
        <w:rPr>
          <w:rFonts w:ascii="Garamond" w:hAnsi="Garamond" w:cs="Times New Roman"/>
          <w:shd w:val="clear" w:color="auto" w:fill="FFFFFF"/>
        </w:rPr>
        <w:t>over</w:t>
      </w:r>
      <w:r w:rsidR="00DF2A5F" w:rsidRPr="004A0C12">
        <w:rPr>
          <w:rFonts w:ascii="Garamond" w:hAnsi="Garamond" w:cs="Times New Roman"/>
          <w:shd w:val="clear" w:color="auto" w:fill="FFFFFF"/>
        </w:rPr>
        <w:t xml:space="preserve"> </w:t>
      </w:r>
      <w:r w:rsidRPr="004A0C12">
        <w:rPr>
          <w:rFonts w:ascii="Garamond" w:hAnsi="Garamond" w:cs="Times New Roman"/>
          <w:shd w:val="clear" w:color="auto" w:fill="FFFFFF"/>
        </w:rPr>
        <w:t>two comment periods. A group of subject matter experts from the Maryland Department of Labor, Licensing, and Regulation's Division of Workforce Development and Adult Learning, the Governor's Workforce Investment Board, the Department of Human Resources' Family Investment Administration, the Maryland State Department of Education's Division of Rehabilitative Services, and the Maryland Workforce Investment Network met to review and discuss each comment received during the public comment period. Every comment submitted was thoroughly discussed and vetted. The Governor's Workforce Investment Board has also reviewed and unanimously recommended the Plan.</w:t>
      </w:r>
    </w:p>
    <w:p w14:paraId="6583652A" w14:textId="77777777" w:rsidR="00CC40F2" w:rsidRPr="004A0C12" w:rsidRDefault="00CC40F2" w:rsidP="00CC40F2">
      <w:pPr>
        <w:spacing w:after="0" w:line="240" w:lineRule="auto"/>
        <w:jc w:val="both"/>
        <w:rPr>
          <w:rFonts w:ascii="Garamond" w:hAnsi="Garamond"/>
        </w:rPr>
      </w:pPr>
    </w:p>
    <w:p w14:paraId="7CCCD7AB" w14:textId="77777777" w:rsidR="00CC40F2" w:rsidRPr="004A0C12" w:rsidRDefault="00CC40F2" w:rsidP="00CC40F2">
      <w:pPr>
        <w:spacing w:after="0" w:line="240" w:lineRule="auto"/>
        <w:jc w:val="both"/>
        <w:rPr>
          <w:rFonts w:ascii="Garamond" w:hAnsi="Garamond" w:cs="Times New Roman"/>
        </w:rPr>
      </w:pPr>
      <w:r w:rsidRPr="004A0C12">
        <w:rPr>
          <w:rFonts w:ascii="Garamond" w:eastAsia="Times New Roman" w:hAnsi="Garamond" w:cs="Times New Roman"/>
        </w:rPr>
        <w:t>WIOA calls for workforce partners to communicate and collaborate, and Maryland's efforts, to date, are a testament to that process. While we have come a long way, there is much more to be done.</w:t>
      </w:r>
      <w:r w:rsidRPr="004A0C12">
        <w:rPr>
          <w:rFonts w:ascii="Garamond" w:hAnsi="Garamond"/>
        </w:rPr>
        <w:t xml:space="preserve"> The Plan that is contained in the following pages is just that, a plan. It presents goals and strategies for the next four years and beyond. It does not contain all of the answers. It does not outline a solution to every contingency. This Plan does, however, pledge that Maryland’s approach to implementing the provisions of the federal Act will continue to be collaborative and inclusive. With every regulation promulgated pursuant to the federal Act, </w:t>
      </w:r>
      <w:proofErr w:type="gramStart"/>
      <w:r w:rsidRPr="004A0C12">
        <w:rPr>
          <w:rFonts w:ascii="Garamond" w:hAnsi="Garamond"/>
        </w:rPr>
        <w:t>with every guidance</w:t>
      </w:r>
      <w:proofErr w:type="gramEnd"/>
      <w:r w:rsidRPr="004A0C12">
        <w:rPr>
          <w:rFonts w:ascii="Garamond" w:hAnsi="Garamond"/>
        </w:rPr>
        <w:t xml:space="preserve"> issued by the federal agencies charged with oversight of the programs included in this Plan, with every technical assistance and training received, Maryland dedicates to learn together, to discuss the pressing issues, and to come to lasting solutions for our collective customers.</w:t>
      </w:r>
    </w:p>
    <w:p w14:paraId="597AAC09" w14:textId="77777777" w:rsidR="00CC40F2" w:rsidRPr="004A0C12" w:rsidRDefault="00CC40F2" w:rsidP="00CC40F2">
      <w:pPr>
        <w:spacing w:after="0" w:line="240" w:lineRule="auto"/>
        <w:jc w:val="both"/>
        <w:rPr>
          <w:rFonts w:ascii="Garamond" w:hAnsi="Garamond"/>
        </w:rPr>
      </w:pPr>
    </w:p>
    <w:p w14:paraId="5226CB48" w14:textId="231FC970" w:rsidR="00CC40F2" w:rsidRPr="004A0C12" w:rsidRDefault="00CC40F2" w:rsidP="00CC40F2">
      <w:pPr>
        <w:spacing w:after="0" w:line="240" w:lineRule="auto"/>
        <w:jc w:val="both"/>
        <w:rPr>
          <w:rFonts w:ascii="Garamond" w:hAnsi="Garamond"/>
        </w:rPr>
      </w:pPr>
      <w:r w:rsidRPr="004A0C12">
        <w:rPr>
          <w:rFonts w:ascii="Garamond" w:hAnsi="Garamond"/>
        </w:rPr>
        <w:t>In the pages of this Plan, Maryland outlines a strategy to “place people before performance.” For Maryland, this is a promi</w:t>
      </w:r>
      <w:r w:rsidR="003F2622" w:rsidRPr="004A0C12">
        <w:rPr>
          <w:rFonts w:ascii="Garamond" w:hAnsi="Garamond"/>
        </w:rPr>
        <w:t>se for a way forward into implemen</w:t>
      </w:r>
      <w:r w:rsidRPr="004A0C12">
        <w:rPr>
          <w:rFonts w:ascii="Garamond" w:hAnsi="Garamond"/>
        </w:rPr>
        <w:t>tation and not</w:t>
      </w:r>
      <w:r w:rsidR="003F2622" w:rsidRPr="004A0C12">
        <w:rPr>
          <w:rFonts w:ascii="Garamond" w:hAnsi="Garamond"/>
        </w:rPr>
        <w:t xml:space="preserve"> just</w:t>
      </w:r>
      <w:r w:rsidRPr="004A0C12">
        <w:rPr>
          <w:rFonts w:ascii="Garamond" w:hAnsi="Garamond"/>
        </w:rPr>
        <w:t xml:space="preserve"> a platitude on a page. Placing people before performance means that Maryland’s workforce system is dedicated to focusing its efforts on those who need our assistance the most. While recognizing that resources and funding sources are often scarce, Maryland’s WIOA Partners are dedicated to finding new opportunities to focus on the customer’s needs and tailoring solutions to address those needs. Maryland is dedicated to serving those with barriers to employment and finding a way not merely to walk the individual though a pre-determined process, but to place jobseekers who desire to work on a path toward sustainability. This may require a longer term commitment to our customers.  </w:t>
      </w:r>
    </w:p>
    <w:p w14:paraId="35516638" w14:textId="77777777" w:rsidR="00CC40F2" w:rsidRPr="004A0C12" w:rsidRDefault="00CC40F2" w:rsidP="00CC40F2">
      <w:pPr>
        <w:spacing w:after="0" w:line="240" w:lineRule="auto"/>
        <w:jc w:val="both"/>
        <w:rPr>
          <w:rFonts w:ascii="Garamond" w:hAnsi="Garamond"/>
        </w:rPr>
      </w:pPr>
    </w:p>
    <w:p w14:paraId="0ECB3CC0" w14:textId="17D60FFB" w:rsidR="00CC40F2" w:rsidRPr="004A0C12" w:rsidRDefault="00CC40F2" w:rsidP="00CC40F2">
      <w:pPr>
        <w:spacing w:after="0" w:line="240" w:lineRule="auto"/>
        <w:jc w:val="both"/>
        <w:rPr>
          <w:rFonts w:ascii="Garamond" w:hAnsi="Garamond"/>
        </w:rPr>
      </w:pPr>
      <w:r w:rsidRPr="004A0C12">
        <w:rPr>
          <w:rFonts w:ascii="Garamond" w:hAnsi="Garamond"/>
        </w:rPr>
        <w:t>This strategy does not mean that Maryland is going to forsake all performance measures. Rather, require</w:t>
      </w:r>
      <w:r w:rsidR="006F46D1" w:rsidRPr="004A0C12">
        <w:rPr>
          <w:rFonts w:ascii="Garamond" w:hAnsi="Garamond"/>
        </w:rPr>
        <w:t>s a change in</w:t>
      </w:r>
      <w:r w:rsidRPr="004A0C12">
        <w:rPr>
          <w:rFonts w:ascii="Garamond" w:hAnsi="Garamond"/>
        </w:rPr>
        <w:t xml:space="preserve"> focus from numbers and figures on a page to people who walk through the doors of any one of Maryland’s American Job Centers, local Department of Social Services offices, or other local career centers. It means that Maryland’s workforce system is dedicated to improving the lives of Marylanders. </w:t>
      </w:r>
      <w:r w:rsidRPr="004A0C12">
        <w:rPr>
          <w:rFonts w:ascii="Garamond" w:hAnsi="Garamond" w:cs="Times New Roman"/>
          <w:shd w:val="clear" w:color="auto" w:fill="FFFFFF"/>
        </w:rPr>
        <w:t xml:space="preserve">As Maryland’s workforce system focuses its attentions and efforts on the system’s customers, we change the lives of the people we serve and grow our State and local economies. </w:t>
      </w:r>
    </w:p>
    <w:p w14:paraId="25E65364" w14:textId="77777777" w:rsidR="00CC40F2" w:rsidRPr="004A0C12" w:rsidRDefault="00CC40F2" w:rsidP="00CC40F2">
      <w:pPr>
        <w:spacing w:after="0" w:line="240" w:lineRule="auto"/>
        <w:jc w:val="both"/>
        <w:rPr>
          <w:rFonts w:ascii="Garamond" w:hAnsi="Garamond"/>
        </w:rPr>
      </w:pPr>
    </w:p>
    <w:p w14:paraId="1019DB4E" w14:textId="39E8C700" w:rsidR="00CC40F2" w:rsidRPr="004A0C12" w:rsidRDefault="00CC40F2" w:rsidP="00CC40F2">
      <w:pPr>
        <w:spacing w:after="0" w:line="240" w:lineRule="auto"/>
        <w:jc w:val="both"/>
        <w:rPr>
          <w:rFonts w:ascii="Garamond" w:hAnsi="Garamond"/>
        </w:rPr>
      </w:pPr>
      <w:r w:rsidRPr="004A0C12">
        <w:rPr>
          <w:rFonts w:ascii="Garamond" w:hAnsi="Garamond"/>
        </w:rPr>
        <w:t>The Plan outlined in the following pages accentuates Maryland’s commitment to a customer-centric system. The Plan will serve as a roadmap for</w:t>
      </w:r>
      <w:r w:rsidR="006F46D1" w:rsidRPr="004A0C12">
        <w:rPr>
          <w:rFonts w:ascii="Garamond" w:hAnsi="Garamond"/>
        </w:rPr>
        <w:t xml:space="preserve"> the formulation and</w:t>
      </w:r>
      <w:r w:rsidRPr="004A0C12">
        <w:rPr>
          <w:rFonts w:ascii="Garamond" w:hAnsi="Garamond"/>
        </w:rPr>
        <w:t xml:space="preserve"> implementation of local and regional plans. The same collaboration and dedication to communication that formed the Plan will also be the approach taken by Maryland in implementing the Plan. To that end, Maryland </w:t>
      </w:r>
      <w:r w:rsidR="003F2622" w:rsidRPr="004A0C12">
        <w:rPr>
          <w:rFonts w:ascii="Garamond" w:hAnsi="Garamond"/>
        </w:rPr>
        <w:t xml:space="preserve">is </w:t>
      </w:r>
      <w:r w:rsidR="006F46D1" w:rsidRPr="004A0C12">
        <w:rPr>
          <w:rFonts w:ascii="Garamond" w:hAnsi="Garamond"/>
        </w:rPr>
        <w:t>will</w:t>
      </w:r>
      <w:r w:rsidRPr="004A0C12">
        <w:rPr>
          <w:rFonts w:ascii="Garamond" w:hAnsi="Garamond"/>
        </w:rPr>
        <w:t xml:space="preserve"> establish an Alignment Group of partners from state and local agencies to ensure that i</w:t>
      </w:r>
      <w:r w:rsidR="006F46D1" w:rsidRPr="004A0C12">
        <w:rPr>
          <w:rFonts w:ascii="Garamond" w:hAnsi="Garamond"/>
        </w:rPr>
        <w:t>mplementation of the Plan and i</w:t>
      </w:r>
      <w:r w:rsidRPr="004A0C12">
        <w:rPr>
          <w:rFonts w:ascii="Garamond" w:hAnsi="Garamond"/>
        </w:rPr>
        <w:t xml:space="preserve">ntegration of services is as seamless as possible. </w:t>
      </w:r>
    </w:p>
    <w:p w14:paraId="4AFEE6BF" w14:textId="77777777" w:rsidR="00CC40F2" w:rsidRPr="004A0C12" w:rsidRDefault="00CC40F2" w:rsidP="00CC40F2">
      <w:pPr>
        <w:spacing w:after="0" w:line="240" w:lineRule="auto"/>
        <w:jc w:val="both"/>
        <w:rPr>
          <w:rFonts w:ascii="Garamond" w:hAnsi="Garamond"/>
        </w:rPr>
      </w:pPr>
    </w:p>
    <w:p w14:paraId="2FE71C0F" w14:textId="713AE61D" w:rsidR="00CC40F2" w:rsidRPr="004A0C12" w:rsidRDefault="00CC40F2" w:rsidP="00CC40F2">
      <w:pPr>
        <w:spacing w:after="0" w:line="240" w:lineRule="auto"/>
        <w:jc w:val="both"/>
        <w:rPr>
          <w:rFonts w:ascii="Garamond" w:hAnsi="Garamond"/>
        </w:rPr>
      </w:pPr>
      <w:r w:rsidRPr="004A0C12">
        <w:rPr>
          <w:rFonts w:ascii="Garamond" w:hAnsi="Garamond"/>
        </w:rPr>
        <w:t>The seamless integration of services and the implementation of Maryland’s customer-centric workforce system</w:t>
      </w:r>
      <w:r w:rsidR="003F2622" w:rsidRPr="004A0C12">
        <w:rPr>
          <w:rFonts w:ascii="Garamond" w:hAnsi="Garamond"/>
        </w:rPr>
        <w:t xml:space="preserve"> require</w:t>
      </w:r>
      <w:r w:rsidRPr="004A0C12">
        <w:rPr>
          <w:rFonts w:ascii="Garamond" w:hAnsi="Garamond"/>
        </w:rPr>
        <w:t xml:space="preserve"> a dedication to: </w:t>
      </w:r>
    </w:p>
    <w:p w14:paraId="502C29CA" w14:textId="77777777" w:rsidR="00CC40F2" w:rsidRPr="004A0C12" w:rsidRDefault="00CC40F2" w:rsidP="00CC40F2">
      <w:pPr>
        <w:spacing w:after="0" w:line="240" w:lineRule="auto"/>
        <w:jc w:val="both"/>
        <w:rPr>
          <w:rFonts w:ascii="Garamond" w:hAnsi="Garamond"/>
        </w:rPr>
      </w:pPr>
    </w:p>
    <w:p w14:paraId="494C0904" w14:textId="12A092DE" w:rsidR="00CC40F2" w:rsidRPr="004A0C12" w:rsidRDefault="00CC40F2" w:rsidP="00232F09">
      <w:pPr>
        <w:pStyle w:val="ListParagraph"/>
        <w:numPr>
          <w:ilvl w:val="0"/>
          <w:numId w:val="172"/>
        </w:numPr>
        <w:jc w:val="both"/>
        <w:rPr>
          <w:rFonts w:ascii="Garamond" w:hAnsi="Garamond"/>
          <w:szCs w:val="22"/>
        </w:rPr>
      </w:pPr>
      <w:r w:rsidRPr="004A0C12">
        <w:rPr>
          <w:rFonts w:ascii="Garamond" w:hAnsi="Garamond"/>
          <w:b/>
          <w:szCs w:val="22"/>
        </w:rPr>
        <w:t>Engaging business</w:t>
      </w:r>
      <w:r w:rsidRPr="004A0C12">
        <w:rPr>
          <w:rFonts w:ascii="Garamond" w:hAnsi="Garamond"/>
          <w:szCs w:val="22"/>
        </w:rPr>
        <w:t xml:space="preserve"> through </w:t>
      </w:r>
      <w:r w:rsidR="003F2622" w:rsidRPr="004A0C12">
        <w:rPr>
          <w:rFonts w:ascii="Garamond" w:hAnsi="Garamond"/>
          <w:szCs w:val="22"/>
        </w:rPr>
        <w:t>a more a more collaborative and proactive strategy</w:t>
      </w:r>
      <w:r w:rsidRPr="004A0C12">
        <w:rPr>
          <w:rFonts w:ascii="Garamond" w:hAnsi="Garamond"/>
          <w:szCs w:val="22"/>
        </w:rPr>
        <w:t xml:space="preserve">; </w:t>
      </w:r>
    </w:p>
    <w:p w14:paraId="0502C81B" w14:textId="77777777" w:rsidR="00CC40F2" w:rsidRPr="004A0C12" w:rsidRDefault="00CC40F2" w:rsidP="00232F09">
      <w:pPr>
        <w:pStyle w:val="ListParagraph"/>
        <w:numPr>
          <w:ilvl w:val="0"/>
          <w:numId w:val="172"/>
        </w:numPr>
        <w:jc w:val="both"/>
        <w:rPr>
          <w:rFonts w:ascii="Garamond" w:hAnsi="Garamond"/>
          <w:szCs w:val="22"/>
        </w:rPr>
      </w:pPr>
      <w:r w:rsidRPr="004A0C12">
        <w:rPr>
          <w:rFonts w:ascii="Garamond" w:hAnsi="Garamond"/>
          <w:b/>
          <w:szCs w:val="22"/>
        </w:rPr>
        <w:t>Providing excellent customer service</w:t>
      </w:r>
      <w:r w:rsidRPr="004A0C12">
        <w:rPr>
          <w:rFonts w:ascii="Garamond" w:hAnsi="Garamond"/>
          <w:szCs w:val="22"/>
        </w:rPr>
        <w:t xml:space="preserve"> to businesses and individuals through improved customer intake processes and an i</w:t>
      </w:r>
      <w:r w:rsidRPr="004A0C12">
        <w:rPr>
          <w:rFonts w:ascii="Garamond" w:hAnsi="Garamond"/>
          <w:spacing w:val="2"/>
          <w:szCs w:val="22"/>
        </w:rPr>
        <w:t>n</w:t>
      </w:r>
      <w:r w:rsidRPr="004A0C12">
        <w:rPr>
          <w:rFonts w:ascii="Garamond" w:hAnsi="Garamond"/>
          <w:szCs w:val="22"/>
        </w:rPr>
        <w:t>c</w:t>
      </w:r>
      <w:r w:rsidRPr="004A0C12">
        <w:rPr>
          <w:rFonts w:ascii="Garamond" w:hAnsi="Garamond"/>
          <w:spacing w:val="1"/>
          <w:szCs w:val="22"/>
        </w:rPr>
        <w:t>r</w:t>
      </w:r>
      <w:r w:rsidRPr="004A0C12">
        <w:rPr>
          <w:rFonts w:ascii="Garamond" w:hAnsi="Garamond"/>
          <w:szCs w:val="22"/>
        </w:rPr>
        <w:t>e</w:t>
      </w:r>
      <w:r w:rsidRPr="004A0C12">
        <w:rPr>
          <w:rFonts w:ascii="Garamond" w:hAnsi="Garamond"/>
          <w:spacing w:val="-1"/>
          <w:szCs w:val="22"/>
        </w:rPr>
        <w:t>a</w:t>
      </w:r>
      <w:r w:rsidRPr="004A0C12">
        <w:rPr>
          <w:rFonts w:ascii="Garamond" w:hAnsi="Garamond"/>
          <w:szCs w:val="22"/>
        </w:rPr>
        <w:t>sed</w:t>
      </w:r>
      <w:r w:rsidRPr="004A0C12">
        <w:rPr>
          <w:rFonts w:ascii="Garamond" w:hAnsi="Garamond"/>
          <w:spacing w:val="13"/>
          <w:szCs w:val="22"/>
        </w:rPr>
        <w:t> </w:t>
      </w:r>
      <w:r w:rsidRPr="004A0C12">
        <w:rPr>
          <w:rFonts w:ascii="Garamond" w:hAnsi="Garamond"/>
          <w:szCs w:val="22"/>
        </w:rPr>
        <w:t>f</w:t>
      </w:r>
      <w:r w:rsidRPr="004A0C12">
        <w:rPr>
          <w:rFonts w:ascii="Garamond" w:hAnsi="Garamond"/>
          <w:spacing w:val="2"/>
          <w:szCs w:val="22"/>
        </w:rPr>
        <w:t>o</w:t>
      </w:r>
      <w:r w:rsidRPr="004A0C12">
        <w:rPr>
          <w:rFonts w:ascii="Garamond" w:hAnsi="Garamond"/>
          <w:szCs w:val="22"/>
        </w:rPr>
        <w:t>c</w:t>
      </w:r>
      <w:r w:rsidRPr="004A0C12">
        <w:rPr>
          <w:rFonts w:ascii="Garamond" w:hAnsi="Garamond"/>
          <w:spacing w:val="1"/>
          <w:szCs w:val="22"/>
        </w:rPr>
        <w:t>u</w:t>
      </w:r>
      <w:r w:rsidRPr="004A0C12">
        <w:rPr>
          <w:rFonts w:ascii="Garamond" w:hAnsi="Garamond"/>
          <w:szCs w:val="22"/>
        </w:rPr>
        <w:t>s</w:t>
      </w:r>
      <w:r w:rsidRPr="004A0C12">
        <w:rPr>
          <w:rFonts w:ascii="Garamond" w:hAnsi="Garamond"/>
          <w:spacing w:val="8"/>
          <w:szCs w:val="22"/>
        </w:rPr>
        <w:t> </w:t>
      </w:r>
      <w:r w:rsidRPr="004A0C12">
        <w:rPr>
          <w:rFonts w:ascii="Garamond" w:hAnsi="Garamond"/>
          <w:szCs w:val="22"/>
        </w:rPr>
        <w:t>on</w:t>
      </w:r>
      <w:r w:rsidRPr="004A0C12">
        <w:rPr>
          <w:rFonts w:ascii="Garamond" w:hAnsi="Garamond"/>
          <w:spacing w:val="5"/>
          <w:szCs w:val="22"/>
        </w:rPr>
        <w:t> </w:t>
      </w:r>
      <w:r w:rsidRPr="004A0C12">
        <w:rPr>
          <w:rFonts w:ascii="Garamond" w:hAnsi="Garamond"/>
          <w:szCs w:val="22"/>
        </w:rPr>
        <w:t>b</w:t>
      </w:r>
      <w:r w:rsidRPr="004A0C12">
        <w:rPr>
          <w:rFonts w:ascii="Garamond" w:hAnsi="Garamond"/>
          <w:spacing w:val="2"/>
          <w:szCs w:val="22"/>
        </w:rPr>
        <w:t>u</w:t>
      </w:r>
      <w:r w:rsidRPr="004A0C12">
        <w:rPr>
          <w:rFonts w:ascii="Garamond" w:hAnsi="Garamond"/>
          <w:szCs w:val="22"/>
        </w:rPr>
        <w:t>s</w:t>
      </w:r>
      <w:r w:rsidRPr="004A0C12">
        <w:rPr>
          <w:rFonts w:ascii="Garamond" w:hAnsi="Garamond"/>
          <w:spacing w:val="-3"/>
          <w:szCs w:val="22"/>
        </w:rPr>
        <w:t>i</w:t>
      </w:r>
      <w:r w:rsidRPr="004A0C12">
        <w:rPr>
          <w:rFonts w:ascii="Garamond" w:hAnsi="Garamond"/>
          <w:spacing w:val="2"/>
          <w:szCs w:val="22"/>
        </w:rPr>
        <w:t>n</w:t>
      </w:r>
      <w:r w:rsidRPr="004A0C12">
        <w:rPr>
          <w:rFonts w:ascii="Garamond" w:hAnsi="Garamond"/>
          <w:szCs w:val="22"/>
        </w:rPr>
        <w:t>esses</w:t>
      </w:r>
      <w:r w:rsidRPr="004A0C12">
        <w:rPr>
          <w:rFonts w:ascii="Garamond" w:hAnsi="Garamond"/>
          <w:spacing w:val="16"/>
          <w:szCs w:val="22"/>
        </w:rPr>
        <w:t> </w:t>
      </w:r>
      <w:r w:rsidRPr="004A0C12">
        <w:rPr>
          <w:rFonts w:ascii="Garamond" w:hAnsi="Garamond"/>
          <w:szCs w:val="22"/>
        </w:rPr>
        <w:t>a</w:t>
      </w:r>
      <w:r w:rsidRPr="004A0C12">
        <w:rPr>
          <w:rFonts w:ascii="Garamond" w:hAnsi="Garamond"/>
          <w:spacing w:val="1"/>
          <w:szCs w:val="22"/>
        </w:rPr>
        <w:t>n</w:t>
      </w:r>
      <w:r w:rsidRPr="004A0C12">
        <w:rPr>
          <w:rFonts w:ascii="Garamond" w:hAnsi="Garamond"/>
          <w:szCs w:val="22"/>
        </w:rPr>
        <w:t>d</w:t>
      </w:r>
      <w:r w:rsidRPr="004A0C12">
        <w:rPr>
          <w:rFonts w:ascii="Garamond" w:hAnsi="Garamond"/>
          <w:spacing w:val="8"/>
          <w:szCs w:val="22"/>
        </w:rPr>
        <w:t> </w:t>
      </w:r>
      <w:r w:rsidRPr="004A0C12">
        <w:rPr>
          <w:rFonts w:ascii="Garamond" w:hAnsi="Garamond"/>
          <w:spacing w:val="-3"/>
          <w:szCs w:val="22"/>
        </w:rPr>
        <w:t>j</w:t>
      </w:r>
      <w:r w:rsidRPr="004A0C12">
        <w:rPr>
          <w:rFonts w:ascii="Garamond" w:hAnsi="Garamond"/>
          <w:szCs w:val="22"/>
        </w:rPr>
        <w:t>o</w:t>
      </w:r>
      <w:r w:rsidRPr="004A0C12">
        <w:rPr>
          <w:rFonts w:ascii="Garamond" w:hAnsi="Garamond"/>
          <w:spacing w:val="2"/>
          <w:szCs w:val="22"/>
        </w:rPr>
        <w:t>b</w:t>
      </w:r>
      <w:r w:rsidRPr="004A0C12">
        <w:rPr>
          <w:rFonts w:ascii="Garamond" w:hAnsi="Garamond"/>
          <w:szCs w:val="22"/>
        </w:rPr>
        <w:t>seek</w:t>
      </w:r>
      <w:r w:rsidRPr="004A0C12">
        <w:rPr>
          <w:rFonts w:ascii="Garamond" w:hAnsi="Garamond"/>
          <w:spacing w:val="-1"/>
          <w:szCs w:val="22"/>
        </w:rPr>
        <w:t>e</w:t>
      </w:r>
      <w:r w:rsidRPr="004A0C12">
        <w:rPr>
          <w:rFonts w:ascii="Garamond" w:hAnsi="Garamond"/>
          <w:spacing w:val="1"/>
          <w:szCs w:val="22"/>
        </w:rPr>
        <w:t>r</w:t>
      </w:r>
      <w:r w:rsidRPr="004A0C12">
        <w:rPr>
          <w:rFonts w:ascii="Garamond" w:hAnsi="Garamond"/>
          <w:szCs w:val="22"/>
        </w:rPr>
        <w:t>s</w:t>
      </w:r>
      <w:r w:rsidRPr="004A0C12">
        <w:rPr>
          <w:rFonts w:ascii="Garamond" w:hAnsi="Garamond"/>
          <w:spacing w:val="16"/>
          <w:szCs w:val="22"/>
        </w:rPr>
        <w:t> </w:t>
      </w:r>
      <w:r w:rsidRPr="004A0C12">
        <w:rPr>
          <w:rFonts w:ascii="Garamond" w:hAnsi="Garamond"/>
          <w:szCs w:val="22"/>
        </w:rPr>
        <w:t>as c</w:t>
      </w:r>
      <w:r w:rsidRPr="004A0C12">
        <w:rPr>
          <w:rFonts w:ascii="Garamond" w:hAnsi="Garamond"/>
          <w:spacing w:val="1"/>
          <w:szCs w:val="22"/>
        </w:rPr>
        <w:t>u</w:t>
      </w:r>
      <w:r w:rsidRPr="004A0C12">
        <w:rPr>
          <w:rFonts w:ascii="Garamond" w:hAnsi="Garamond"/>
          <w:szCs w:val="22"/>
        </w:rPr>
        <w:t>s</w:t>
      </w:r>
      <w:r w:rsidRPr="004A0C12">
        <w:rPr>
          <w:rFonts w:ascii="Garamond" w:hAnsi="Garamond"/>
          <w:spacing w:val="-1"/>
          <w:szCs w:val="22"/>
        </w:rPr>
        <w:t>t</w:t>
      </w:r>
      <w:r w:rsidRPr="004A0C12">
        <w:rPr>
          <w:rFonts w:ascii="Garamond" w:hAnsi="Garamond"/>
          <w:spacing w:val="2"/>
          <w:szCs w:val="22"/>
        </w:rPr>
        <w:t>o</w:t>
      </w:r>
      <w:r w:rsidRPr="004A0C12">
        <w:rPr>
          <w:rFonts w:ascii="Garamond" w:hAnsi="Garamond"/>
          <w:spacing w:val="-3"/>
          <w:szCs w:val="22"/>
        </w:rPr>
        <w:t>m</w:t>
      </w:r>
      <w:r w:rsidRPr="004A0C12">
        <w:rPr>
          <w:rFonts w:ascii="Garamond" w:hAnsi="Garamond"/>
          <w:szCs w:val="22"/>
        </w:rPr>
        <w:t>e</w:t>
      </w:r>
      <w:r w:rsidRPr="004A0C12">
        <w:rPr>
          <w:rFonts w:ascii="Garamond" w:hAnsi="Garamond"/>
          <w:spacing w:val="1"/>
          <w:szCs w:val="22"/>
        </w:rPr>
        <w:t>r</w:t>
      </w:r>
      <w:r w:rsidRPr="004A0C12">
        <w:rPr>
          <w:rFonts w:ascii="Garamond" w:hAnsi="Garamond"/>
          <w:szCs w:val="22"/>
        </w:rPr>
        <w:t>s</w:t>
      </w:r>
      <w:r w:rsidRPr="004A0C12">
        <w:rPr>
          <w:rFonts w:ascii="Garamond" w:hAnsi="Garamond"/>
          <w:spacing w:val="16"/>
          <w:szCs w:val="22"/>
        </w:rPr>
        <w:t> </w:t>
      </w:r>
      <w:r w:rsidRPr="004A0C12">
        <w:rPr>
          <w:rFonts w:ascii="Garamond" w:hAnsi="Garamond"/>
          <w:spacing w:val="2"/>
          <w:szCs w:val="22"/>
        </w:rPr>
        <w:t>o</w:t>
      </w:r>
      <w:r w:rsidRPr="004A0C12">
        <w:rPr>
          <w:rFonts w:ascii="Garamond" w:hAnsi="Garamond"/>
          <w:szCs w:val="22"/>
        </w:rPr>
        <w:t>f</w:t>
      </w:r>
      <w:r w:rsidRPr="004A0C12">
        <w:rPr>
          <w:rFonts w:ascii="Garamond" w:hAnsi="Garamond"/>
          <w:spacing w:val="5"/>
          <w:szCs w:val="22"/>
        </w:rPr>
        <w:t> </w:t>
      </w:r>
      <w:r w:rsidRPr="004A0C12">
        <w:rPr>
          <w:rFonts w:ascii="Garamond" w:hAnsi="Garamond"/>
          <w:spacing w:val="-1"/>
          <w:szCs w:val="22"/>
        </w:rPr>
        <w:t>t</w:t>
      </w:r>
      <w:r w:rsidRPr="004A0C12">
        <w:rPr>
          <w:rFonts w:ascii="Garamond" w:hAnsi="Garamond"/>
          <w:spacing w:val="2"/>
          <w:szCs w:val="22"/>
        </w:rPr>
        <w:t>h</w:t>
      </w:r>
      <w:r w:rsidRPr="004A0C12">
        <w:rPr>
          <w:rFonts w:ascii="Garamond" w:hAnsi="Garamond"/>
          <w:szCs w:val="22"/>
        </w:rPr>
        <w:t>e</w:t>
      </w:r>
      <w:r w:rsidRPr="004A0C12">
        <w:rPr>
          <w:rFonts w:ascii="Garamond" w:hAnsi="Garamond"/>
          <w:spacing w:val="5"/>
          <w:szCs w:val="22"/>
        </w:rPr>
        <w:t> </w:t>
      </w:r>
      <w:r w:rsidRPr="004A0C12">
        <w:rPr>
          <w:rFonts w:ascii="Garamond" w:hAnsi="Garamond"/>
          <w:spacing w:val="1"/>
          <w:szCs w:val="22"/>
        </w:rPr>
        <w:t>s</w:t>
      </w:r>
      <w:r w:rsidRPr="004A0C12">
        <w:rPr>
          <w:rFonts w:ascii="Garamond" w:hAnsi="Garamond"/>
          <w:spacing w:val="-6"/>
          <w:szCs w:val="22"/>
        </w:rPr>
        <w:t>y</w:t>
      </w:r>
      <w:r w:rsidRPr="004A0C12">
        <w:rPr>
          <w:rFonts w:ascii="Garamond" w:hAnsi="Garamond"/>
          <w:spacing w:val="2"/>
          <w:szCs w:val="22"/>
        </w:rPr>
        <w:t>s</w:t>
      </w:r>
      <w:r w:rsidRPr="004A0C12">
        <w:rPr>
          <w:rFonts w:ascii="Garamond" w:hAnsi="Garamond"/>
          <w:spacing w:val="-1"/>
          <w:szCs w:val="22"/>
        </w:rPr>
        <w:t>t</w:t>
      </w:r>
      <w:r w:rsidRPr="004A0C12">
        <w:rPr>
          <w:rFonts w:ascii="Garamond" w:hAnsi="Garamond"/>
          <w:spacing w:val="1"/>
          <w:szCs w:val="22"/>
        </w:rPr>
        <w:t>e</w:t>
      </w:r>
      <w:r w:rsidRPr="004A0C12">
        <w:rPr>
          <w:rFonts w:ascii="Garamond" w:hAnsi="Garamond"/>
          <w:szCs w:val="22"/>
        </w:rPr>
        <w:t>m;</w:t>
      </w:r>
    </w:p>
    <w:p w14:paraId="56C36BA1" w14:textId="1EE60A02" w:rsidR="00CC40F2" w:rsidRPr="004A0C12" w:rsidRDefault="00CC40F2" w:rsidP="00232F09">
      <w:pPr>
        <w:pStyle w:val="ListParagraph"/>
        <w:numPr>
          <w:ilvl w:val="0"/>
          <w:numId w:val="172"/>
        </w:numPr>
        <w:jc w:val="both"/>
        <w:rPr>
          <w:rFonts w:ascii="Garamond" w:hAnsi="Garamond"/>
          <w:szCs w:val="22"/>
        </w:rPr>
      </w:pPr>
      <w:r w:rsidRPr="004A0C12">
        <w:rPr>
          <w:rFonts w:ascii="Garamond" w:hAnsi="Garamond"/>
          <w:b/>
          <w:szCs w:val="22"/>
        </w:rPr>
        <w:t>Building an efficient workforce system</w:t>
      </w:r>
      <w:r w:rsidRPr="004A0C12">
        <w:rPr>
          <w:rFonts w:ascii="Garamond" w:hAnsi="Garamond"/>
          <w:szCs w:val="22"/>
        </w:rPr>
        <w:t xml:space="preserve"> through staff training and </w:t>
      </w:r>
      <w:r w:rsidR="003F2622" w:rsidRPr="004A0C12">
        <w:rPr>
          <w:rFonts w:ascii="Garamond" w:hAnsi="Garamond"/>
          <w:szCs w:val="22"/>
        </w:rPr>
        <w:t>information</w:t>
      </w:r>
      <w:r w:rsidR="006F46D1" w:rsidRPr="004A0C12">
        <w:rPr>
          <w:rFonts w:ascii="Garamond" w:hAnsi="Garamond"/>
          <w:szCs w:val="22"/>
        </w:rPr>
        <w:t xml:space="preserve"> sharing</w:t>
      </w:r>
      <w:r w:rsidR="003F2622" w:rsidRPr="004A0C12">
        <w:rPr>
          <w:rFonts w:ascii="Garamond" w:hAnsi="Garamond"/>
          <w:szCs w:val="22"/>
        </w:rPr>
        <w:t>, increasing</w:t>
      </w:r>
      <w:r w:rsidRPr="004A0C12">
        <w:rPr>
          <w:rFonts w:ascii="Garamond" w:hAnsi="Garamond"/>
          <w:szCs w:val="22"/>
        </w:rPr>
        <w:t xml:space="preserve"> collaboration, streamlining service delivery using a “systems approach” where necessary partner stren</w:t>
      </w:r>
      <w:r w:rsidR="003F2622" w:rsidRPr="004A0C12">
        <w:rPr>
          <w:rFonts w:ascii="Garamond" w:hAnsi="Garamond"/>
          <w:szCs w:val="22"/>
        </w:rPr>
        <w:t>gths are maximized, and improving</w:t>
      </w:r>
      <w:r w:rsidRPr="004A0C12">
        <w:rPr>
          <w:rFonts w:ascii="Garamond" w:hAnsi="Garamond"/>
          <w:szCs w:val="22"/>
        </w:rPr>
        <w:t xml:space="preserve"> customer flow and access;</w:t>
      </w:r>
    </w:p>
    <w:p w14:paraId="2204E5B1" w14:textId="77777777" w:rsidR="00CC40F2" w:rsidRPr="004A0C12" w:rsidRDefault="00CC40F2" w:rsidP="00232F09">
      <w:pPr>
        <w:pStyle w:val="ListParagraph"/>
        <w:numPr>
          <w:ilvl w:val="0"/>
          <w:numId w:val="172"/>
        </w:numPr>
        <w:jc w:val="both"/>
        <w:rPr>
          <w:rFonts w:ascii="Garamond" w:hAnsi="Garamond"/>
          <w:szCs w:val="22"/>
        </w:rPr>
      </w:pPr>
      <w:r w:rsidRPr="004A0C12">
        <w:rPr>
          <w:rFonts w:ascii="Garamond" w:hAnsi="Garamond"/>
          <w:b/>
          <w:szCs w:val="22"/>
        </w:rPr>
        <w:t>Developing standards, policies, and procedures</w:t>
      </w:r>
      <w:r w:rsidRPr="004A0C12">
        <w:rPr>
          <w:rFonts w:ascii="Garamond" w:hAnsi="Garamond"/>
          <w:szCs w:val="22"/>
        </w:rPr>
        <w:t xml:space="preserve"> to ensure the sustainability of best practice efforts throughout the State through: the integration of career pathway models in competitive grant applications;  the implementation of continuous improvement plans for service delivery; the provision of technical assistance and best practice resources; the negotiation of local performance measures utilizing regression models, the expansion of apprenticeship opportunities in high-demand industries; and, through the establishment of a robust Eligible Training Provider List;</w:t>
      </w:r>
    </w:p>
    <w:p w14:paraId="30EC87DA" w14:textId="77777777" w:rsidR="00CC40F2" w:rsidRPr="004A0C12" w:rsidRDefault="00CC40F2" w:rsidP="00232F09">
      <w:pPr>
        <w:pStyle w:val="ListParagraph"/>
        <w:numPr>
          <w:ilvl w:val="0"/>
          <w:numId w:val="172"/>
        </w:numPr>
        <w:jc w:val="both"/>
        <w:rPr>
          <w:rFonts w:ascii="Garamond" w:hAnsi="Garamond"/>
          <w:szCs w:val="22"/>
        </w:rPr>
      </w:pPr>
      <w:r w:rsidRPr="004A0C12">
        <w:rPr>
          <w:rFonts w:ascii="Garamond" w:hAnsi="Garamond"/>
          <w:b/>
          <w:szCs w:val="22"/>
        </w:rPr>
        <w:t>Utilizing technology</w:t>
      </w:r>
      <w:r w:rsidRPr="004A0C12">
        <w:rPr>
          <w:rFonts w:ascii="Garamond" w:hAnsi="Garamond"/>
          <w:szCs w:val="22"/>
        </w:rPr>
        <w:t xml:space="preserve"> to ensure a collaborative system through: the integration of technology and data sharing between WIOA Partners; enhancing functionality of the Maryland Workforce Exchange; the creation of metrics, process maps, and models; working towards full accessibility of websites and web presences for those with disabilities; and, implementing enhanced technologies that increase data sharing and access; and,</w:t>
      </w:r>
    </w:p>
    <w:p w14:paraId="7D2473C8" w14:textId="75722F17" w:rsidR="00CC40F2" w:rsidRPr="004A0C12" w:rsidRDefault="00CC40F2" w:rsidP="00232F09">
      <w:pPr>
        <w:pStyle w:val="ListParagraph"/>
        <w:numPr>
          <w:ilvl w:val="0"/>
          <w:numId w:val="172"/>
        </w:numPr>
        <w:jc w:val="both"/>
        <w:rPr>
          <w:rFonts w:ascii="Garamond" w:eastAsia="Times New Roman" w:hAnsi="Garamond"/>
          <w:color w:val="222222"/>
          <w:szCs w:val="22"/>
        </w:rPr>
      </w:pPr>
      <w:r w:rsidRPr="004A0C12">
        <w:rPr>
          <w:rFonts w:ascii="Garamond" w:hAnsi="Garamond"/>
          <w:b/>
          <w:szCs w:val="22"/>
        </w:rPr>
        <w:t>Ensuring a system that serves all and is accessible to individuals</w:t>
      </w:r>
      <w:r w:rsidRPr="004A0C12">
        <w:rPr>
          <w:rFonts w:ascii="Garamond" w:hAnsi="Garamond"/>
          <w:szCs w:val="22"/>
        </w:rPr>
        <w:t xml:space="preserve"> through</w:t>
      </w:r>
      <w:r w:rsidR="006F46D1" w:rsidRPr="004A0C12">
        <w:rPr>
          <w:rFonts w:ascii="Garamond" w:hAnsi="Garamond"/>
          <w:szCs w:val="22"/>
        </w:rPr>
        <w:t xml:space="preserve"> the development of clear</w:t>
      </w:r>
      <w:r w:rsidRPr="004A0C12">
        <w:rPr>
          <w:rFonts w:ascii="Garamond" w:hAnsi="Garamond"/>
          <w:szCs w:val="22"/>
        </w:rPr>
        <w:t xml:space="preserve"> guidelines</w:t>
      </w:r>
      <w:r w:rsidR="006F46D1" w:rsidRPr="004A0C12">
        <w:rPr>
          <w:rFonts w:ascii="Garamond" w:hAnsi="Garamond"/>
          <w:szCs w:val="22"/>
        </w:rPr>
        <w:t xml:space="preserve"> outlining the process for managing and referring </w:t>
      </w:r>
      <w:r w:rsidRPr="004A0C12">
        <w:rPr>
          <w:rFonts w:ascii="Garamond" w:hAnsi="Garamond"/>
          <w:szCs w:val="22"/>
        </w:rPr>
        <w:t>customers between and among partners; ensuring provision of culturally appropriate materials and services; implementing universal design practices; creating m</w:t>
      </w:r>
      <w:r w:rsidRPr="004A0C12">
        <w:rPr>
          <w:rFonts w:ascii="Garamond" w:hAnsi="Garamond"/>
          <w:spacing w:val="1"/>
          <w:szCs w:val="22"/>
        </w:rPr>
        <w:t>u</w:t>
      </w:r>
      <w:r w:rsidRPr="004A0C12">
        <w:rPr>
          <w:rFonts w:ascii="Garamond" w:hAnsi="Garamond"/>
          <w:spacing w:val="-1"/>
          <w:szCs w:val="22"/>
        </w:rPr>
        <w:t>l</w:t>
      </w:r>
      <w:r w:rsidRPr="004A0C12">
        <w:rPr>
          <w:rFonts w:ascii="Garamond" w:hAnsi="Garamond"/>
          <w:spacing w:val="1"/>
          <w:szCs w:val="22"/>
        </w:rPr>
        <w:t>t</w:t>
      </w:r>
      <w:r w:rsidRPr="004A0C12">
        <w:rPr>
          <w:rFonts w:ascii="Garamond" w:hAnsi="Garamond"/>
          <w:spacing w:val="-1"/>
          <w:szCs w:val="22"/>
        </w:rPr>
        <w:t>i</w:t>
      </w:r>
      <w:r w:rsidRPr="004A0C12">
        <w:rPr>
          <w:rFonts w:ascii="Garamond" w:hAnsi="Garamond"/>
          <w:spacing w:val="1"/>
          <w:szCs w:val="22"/>
        </w:rPr>
        <w:t>p</w:t>
      </w:r>
      <w:r w:rsidRPr="004A0C12">
        <w:rPr>
          <w:rFonts w:ascii="Garamond" w:hAnsi="Garamond"/>
          <w:szCs w:val="22"/>
        </w:rPr>
        <w:t>le</w:t>
      </w:r>
      <w:r w:rsidRPr="004A0C12">
        <w:rPr>
          <w:rFonts w:ascii="Garamond" w:hAnsi="Garamond"/>
          <w:spacing w:val="14"/>
          <w:szCs w:val="22"/>
        </w:rPr>
        <w:t> </w:t>
      </w:r>
      <w:r w:rsidRPr="004A0C12">
        <w:rPr>
          <w:rFonts w:ascii="Garamond" w:hAnsi="Garamond"/>
          <w:spacing w:val="2"/>
          <w:szCs w:val="22"/>
        </w:rPr>
        <w:t>a</w:t>
      </w:r>
      <w:r w:rsidRPr="004A0C12">
        <w:rPr>
          <w:rFonts w:ascii="Garamond" w:hAnsi="Garamond"/>
          <w:szCs w:val="22"/>
        </w:rPr>
        <w:t>c</w:t>
      </w:r>
      <w:r w:rsidRPr="004A0C12">
        <w:rPr>
          <w:rFonts w:ascii="Garamond" w:hAnsi="Garamond"/>
          <w:spacing w:val="-1"/>
          <w:szCs w:val="22"/>
        </w:rPr>
        <w:t>c</w:t>
      </w:r>
      <w:r w:rsidRPr="004A0C12">
        <w:rPr>
          <w:rFonts w:ascii="Garamond" w:hAnsi="Garamond"/>
          <w:szCs w:val="22"/>
        </w:rPr>
        <w:t>ess</w:t>
      </w:r>
      <w:r w:rsidRPr="004A0C12">
        <w:rPr>
          <w:rFonts w:ascii="Garamond" w:hAnsi="Garamond"/>
          <w:spacing w:val="12"/>
          <w:szCs w:val="22"/>
        </w:rPr>
        <w:t> </w:t>
      </w:r>
      <w:r w:rsidRPr="004A0C12">
        <w:rPr>
          <w:rFonts w:ascii="Garamond" w:hAnsi="Garamond"/>
          <w:spacing w:val="1"/>
          <w:szCs w:val="22"/>
        </w:rPr>
        <w:t>p</w:t>
      </w:r>
      <w:r w:rsidRPr="004A0C12">
        <w:rPr>
          <w:rFonts w:ascii="Garamond" w:hAnsi="Garamond"/>
          <w:spacing w:val="2"/>
          <w:szCs w:val="22"/>
        </w:rPr>
        <w:t>o</w:t>
      </w:r>
      <w:r w:rsidRPr="004A0C12">
        <w:rPr>
          <w:rFonts w:ascii="Garamond" w:hAnsi="Garamond"/>
          <w:spacing w:val="-1"/>
          <w:szCs w:val="22"/>
        </w:rPr>
        <w:t>in</w:t>
      </w:r>
      <w:r w:rsidRPr="004A0C12">
        <w:rPr>
          <w:rFonts w:ascii="Garamond" w:hAnsi="Garamond"/>
          <w:spacing w:val="1"/>
          <w:szCs w:val="22"/>
        </w:rPr>
        <w:t>t</w:t>
      </w:r>
      <w:r w:rsidRPr="004A0C12">
        <w:rPr>
          <w:rFonts w:ascii="Garamond" w:hAnsi="Garamond"/>
          <w:szCs w:val="22"/>
        </w:rPr>
        <w:t>s</w:t>
      </w:r>
      <w:r w:rsidRPr="004A0C12">
        <w:rPr>
          <w:rFonts w:ascii="Garamond" w:hAnsi="Garamond"/>
          <w:b/>
          <w:bCs/>
          <w:spacing w:val="10"/>
          <w:szCs w:val="22"/>
        </w:rPr>
        <w:t> </w:t>
      </w:r>
      <w:r w:rsidRPr="004A0C12">
        <w:rPr>
          <w:rFonts w:ascii="Garamond" w:hAnsi="Garamond"/>
          <w:spacing w:val="-1"/>
          <w:szCs w:val="22"/>
        </w:rPr>
        <w:t>t</w:t>
      </w:r>
      <w:r w:rsidRPr="004A0C12">
        <w:rPr>
          <w:rFonts w:ascii="Garamond" w:hAnsi="Garamond"/>
          <w:szCs w:val="22"/>
        </w:rPr>
        <w:t xml:space="preserve">o </w:t>
      </w:r>
      <w:r w:rsidRPr="004A0C12">
        <w:rPr>
          <w:rFonts w:ascii="Garamond" w:hAnsi="Garamond"/>
          <w:spacing w:val="-1"/>
          <w:szCs w:val="22"/>
        </w:rPr>
        <w:t>i</w:t>
      </w:r>
      <w:r w:rsidRPr="004A0C12">
        <w:rPr>
          <w:rFonts w:ascii="Garamond" w:hAnsi="Garamond"/>
          <w:spacing w:val="2"/>
          <w:szCs w:val="22"/>
        </w:rPr>
        <w:t>n</w:t>
      </w:r>
      <w:r w:rsidRPr="004A0C12">
        <w:rPr>
          <w:rFonts w:ascii="Garamond" w:hAnsi="Garamond"/>
          <w:szCs w:val="22"/>
        </w:rPr>
        <w:t>c</w:t>
      </w:r>
      <w:r w:rsidRPr="004A0C12">
        <w:rPr>
          <w:rFonts w:ascii="Garamond" w:hAnsi="Garamond"/>
          <w:spacing w:val="1"/>
          <w:szCs w:val="22"/>
        </w:rPr>
        <w:t>r</w:t>
      </w:r>
      <w:r w:rsidRPr="004A0C12">
        <w:rPr>
          <w:rFonts w:ascii="Garamond" w:hAnsi="Garamond"/>
          <w:szCs w:val="22"/>
        </w:rPr>
        <w:t>e</w:t>
      </w:r>
      <w:r w:rsidRPr="004A0C12">
        <w:rPr>
          <w:rFonts w:ascii="Garamond" w:hAnsi="Garamond"/>
          <w:spacing w:val="-1"/>
          <w:szCs w:val="22"/>
        </w:rPr>
        <w:t>a</w:t>
      </w:r>
      <w:r w:rsidRPr="004A0C12">
        <w:rPr>
          <w:rFonts w:ascii="Garamond" w:hAnsi="Garamond"/>
          <w:szCs w:val="22"/>
        </w:rPr>
        <w:t>se</w:t>
      </w:r>
      <w:r w:rsidRPr="004A0C12">
        <w:rPr>
          <w:rFonts w:ascii="Garamond" w:hAnsi="Garamond"/>
          <w:spacing w:val="12"/>
          <w:szCs w:val="22"/>
        </w:rPr>
        <w:t> </w:t>
      </w:r>
      <w:r w:rsidRPr="004A0C12">
        <w:rPr>
          <w:rFonts w:ascii="Garamond" w:hAnsi="Garamond"/>
          <w:szCs w:val="22"/>
        </w:rPr>
        <w:t>o</w:t>
      </w:r>
      <w:r w:rsidRPr="004A0C12">
        <w:rPr>
          <w:rFonts w:ascii="Garamond" w:hAnsi="Garamond"/>
          <w:spacing w:val="2"/>
          <w:szCs w:val="22"/>
        </w:rPr>
        <w:t>u</w:t>
      </w:r>
      <w:r w:rsidRPr="004A0C12">
        <w:rPr>
          <w:rFonts w:ascii="Garamond" w:hAnsi="Garamond"/>
          <w:spacing w:val="-1"/>
          <w:szCs w:val="22"/>
        </w:rPr>
        <w:t>t</w:t>
      </w:r>
      <w:r w:rsidRPr="004A0C12">
        <w:rPr>
          <w:rFonts w:ascii="Garamond" w:hAnsi="Garamond"/>
          <w:spacing w:val="1"/>
          <w:szCs w:val="22"/>
        </w:rPr>
        <w:t>r</w:t>
      </w:r>
      <w:r w:rsidRPr="004A0C12">
        <w:rPr>
          <w:rFonts w:ascii="Garamond" w:hAnsi="Garamond"/>
          <w:szCs w:val="22"/>
        </w:rPr>
        <w:t>e</w:t>
      </w:r>
      <w:r w:rsidRPr="004A0C12">
        <w:rPr>
          <w:rFonts w:ascii="Garamond" w:hAnsi="Garamond"/>
          <w:spacing w:val="-1"/>
          <w:szCs w:val="22"/>
        </w:rPr>
        <w:t>a</w:t>
      </w:r>
      <w:r w:rsidRPr="004A0C12">
        <w:rPr>
          <w:rFonts w:ascii="Garamond" w:hAnsi="Garamond"/>
          <w:szCs w:val="22"/>
        </w:rPr>
        <w:t xml:space="preserve">ch; and to ensure that all jobseekers can access services. </w:t>
      </w:r>
    </w:p>
    <w:p w14:paraId="7A7ACBB2" w14:textId="77777777" w:rsidR="00CC40F2" w:rsidRPr="004A0C12" w:rsidRDefault="00CC40F2" w:rsidP="00CC40F2">
      <w:pPr>
        <w:spacing w:after="0" w:line="240" w:lineRule="auto"/>
        <w:jc w:val="both"/>
        <w:rPr>
          <w:rFonts w:ascii="Garamond" w:eastAsia="Times New Roman" w:hAnsi="Garamond"/>
          <w:color w:val="222222"/>
        </w:rPr>
      </w:pPr>
    </w:p>
    <w:p w14:paraId="53E5583C" w14:textId="77777777" w:rsidR="00CC40F2" w:rsidRPr="004A0C12" w:rsidRDefault="00CC40F2" w:rsidP="00CC40F2">
      <w:pPr>
        <w:spacing w:after="0" w:line="240" w:lineRule="auto"/>
        <w:jc w:val="both"/>
        <w:rPr>
          <w:rFonts w:ascii="Garamond" w:eastAsia="Times New Roman" w:hAnsi="Garamond"/>
          <w:color w:val="222222"/>
        </w:rPr>
      </w:pPr>
      <w:r w:rsidRPr="004A0C12">
        <w:rPr>
          <w:rFonts w:ascii="Garamond" w:eastAsia="Times New Roman" w:hAnsi="Garamond"/>
          <w:color w:val="222222"/>
        </w:rPr>
        <w:t xml:space="preserve">This Combined State Workforce Plan outlines program specific requirements for: </w:t>
      </w:r>
    </w:p>
    <w:p w14:paraId="2076D748" w14:textId="77777777" w:rsidR="00CC40F2" w:rsidRPr="004A0C12" w:rsidRDefault="00CC40F2" w:rsidP="00CC40F2">
      <w:pPr>
        <w:spacing w:after="0" w:line="240" w:lineRule="auto"/>
        <w:jc w:val="both"/>
        <w:rPr>
          <w:rFonts w:ascii="Garamond" w:eastAsia="Times New Roman" w:hAnsi="Garamond"/>
          <w:color w:val="222222"/>
        </w:rPr>
      </w:pPr>
    </w:p>
    <w:p w14:paraId="0A2DA4B3" w14:textId="77777777" w:rsidR="00CC40F2" w:rsidRPr="004A0C12" w:rsidRDefault="00CC40F2" w:rsidP="00232F09">
      <w:pPr>
        <w:pStyle w:val="ListParagraph"/>
        <w:numPr>
          <w:ilvl w:val="0"/>
          <w:numId w:val="282"/>
        </w:numPr>
        <w:jc w:val="both"/>
        <w:rPr>
          <w:rFonts w:ascii="Garamond" w:eastAsia="Times New Roman" w:hAnsi="Garamond"/>
          <w:color w:val="222222"/>
          <w:szCs w:val="22"/>
        </w:rPr>
      </w:pPr>
      <w:r w:rsidRPr="004A0C12">
        <w:rPr>
          <w:rFonts w:ascii="Garamond" w:eastAsia="Times New Roman" w:hAnsi="Garamond"/>
          <w:color w:val="222222"/>
          <w:szCs w:val="22"/>
        </w:rPr>
        <w:t xml:space="preserve">WIOA Title I - Adult, Dislocated Worker and Youth; </w:t>
      </w:r>
    </w:p>
    <w:p w14:paraId="14141BB4" w14:textId="77777777" w:rsidR="00CC40F2" w:rsidRPr="004A0C12" w:rsidRDefault="00CC40F2" w:rsidP="00232F09">
      <w:pPr>
        <w:pStyle w:val="ListParagraph"/>
        <w:numPr>
          <w:ilvl w:val="0"/>
          <w:numId w:val="282"/>
        </w:numPr>
        <w:jc w:val="both"/>
        <w:rPr>
          <w:rFonts w:ascii="Garamond" w:eastAsia="Times New Roman" w:hAnsi="Garamond"/>
          <w:color w:val="222222"/>
          <w:szCs w:val="22"/>
        </w:rPr>
      </w:pPr>
      <w:r w:rsidRPr="004A0C12">
        <w:rPr>
          <w:rFonts w:ascii="Garamond" w:eastAsia="Times New Roman" w:hAnsi="Garamond"/>
          <w:color w:val="222222"/>
          <w:szCs w:val="22"/>
        </w:rPr>
        <w:t xml:space="preserve">WIOA Title II - Adult Education and Family Literacy Act Program; </w:t>
      </w:r>
    </w:p>
    <w:p w14:paraId="62779677" w14:textId="77777777" w:rsidR="00CC40F2" w:rsidRPr="004A0C12" w:rsidRDefault="00CC40F2" w:rsidP="00232F09">
      <w:pPr>
        <w:pStyle w:val="ListParagraph"/>
        <w:numPr>
          <w:ilvl w:val="0"/>
          <w:numId w:val="282"/>
        </w:numPr>
        <w:jc w:val="both"/>
        <w:rPr>
          <w:rFonts w:ascii="Garamond" w:eastAsia="Times New Roman" w:hAnsi="Garamond"/>
          <w:color w:val="222222"/>
          <w:szCs w:val="22"/>
        </w:rPr>
      </w:pPr>
      <w:r w:rsidRPr="004A0C12">
        <w:rPr>
          <w:rFonts w:ascii="Garamond" w:eastAsia="Times New Roman" w:hAnsi="Garamond"/>
          <w:color w:val="222222"/>
          <w:szCs w:val="22"/>
        </w:rPr>
        <w:t>The Wagner-Peyser Act Program;</w:t>
      </w:r>
    </w:p>
    <w:p w14:paraId="20D43769" w14:textId="77777777" w:rsidR="00CC40F2" w:rsidRPr="004A0C12" w:rsidRDefault="00CC40F2" w:rsidP="00232F09">
      <w:pPr>
        <w:pStyle w:val="ListParagraph"/>
        <w:numPr>
          <w:ilvl w:val="0"/>
          <w:numId w:val="282"/>
        </w:numPr>
        <w:jc w:val="both"/>
        <w:rPr>
          <w:rFonts w:ascii="Garamond" w:eastAsia="Times New Roman" w:hAnsi="Garamond"/>
          <w:color w:val="222222"/>
          <w:szCs w:val="22"/>
        </w:rPr>
      </w:pPr>
      <w:r w:rsidRPr="004A0C12">
        <w:rPr>
          <w:rFonts w:ascii="Garamond" w:eastAsia="Times New Roman" w:hAnsi="Garamond"/>
          <w:color w:val="222222"/>
          <w:szCs w:val="22"/>
        </w:rPr>
        <w:t xml:space="preserve">The Vocational Rehabilitation Program; </w:t>
      </w:r>
    </w:p>
    <w:p w14:paraId="085E8B5E" w14:textId="77777777" w:rsidR="00CC40F2" w:rsidRPr="004A0C12" w:rsidRDefault="00CC40F2" w:rsidP="00232F09">
      <w:pPr>
        <w:pStyle w:val="ListParagraph"/>
        <w:numPr>
          <w:ilvl w:val="0"/>
          <w:numId w:val="282"/>
        </w:numPr>
        <w:jc w:val="both"/>
        <w:rPr>
          <w:rFonts w:ascii="Garamond" w:eastAsia="Times New Roman" w:hAnsi="Garamond"/>
          <w:color w:val="222222"/>
          <w:szCs w:val="22"/>
        </w:rPr>
      </w:pPr>
      <w:r w:rsidRPr="004A0C12">
        <w:rPr>
          <w:rFonts w:ascii="Garamond" w:eastAsia="Times New Roman" w:hAnsi="Garamond"/>
          <w:color w:val="222222"/>
          <w:szCs w:val="22"/>
        </w:rPr>
        <w:t xml:space="preserve">The Temporary Assistance for Needy Families Program; </w:t>
      </w:r>
    </w:p>
    <w:p w14:paraId="2E154EEB" w14:textId="77777777" w:rsidR="00CC40F2" w:rsidRPr="004A0C12" w:rsidRDefault="00CC40F2" w:rsidP="00232F09">
      <w:pPr>
        <w:pStyle w:val="ListParagraph"/>
        <w:numPr>
          <w:ilvl w:val="0"/>
          <w:numId w:val="282"/>
        </w:numPr>
        <w:jc w:val="both"/>
        <w:rPr>
          <w:rFonts w:ascii="Garamond" w:eastAsia="Times New Roman" w:hAnsi="Garamond"/>
          <w:color w:val="222222"/>
          <w:szCs w:val="22"/>
        </w:rPr>
      </w:pPr>
      <w:r w:rsidRPr="004A0C12">
        <w:rPr>
          <w:rFonts w:ascii="Garamond" w:eastAsia="Times New Roman" w:hAnsi="Garamond"/>
          <w:color w:val="222222"/>
          <w:szCs w:val="22"/>
        </w:rPr>
        <w:t xml:space="preserve">The Trade Adjustment Assistance for Workers Program; </w:t>
      </w:r>
    </w:p>
    <w:p w14:paraId="028168F0" w14:textId="77777777" w:rsidR="00CC40F2" w:rsidRPr="004A0C12" w:rsidRDefault="00CC40F2" w:rsidP="00232F09">
      <w:pPr>
        <w:pStyle w:val="ListParagraph"/>
        <w:numPr>
          <w:ilvl w:val="0"/>
          <w:numId w:val="282"/>
        </w:numPr>
        <w:jc w:val="both"/>
        <w:rPr>
          <w:rFonts w:ascii="Garamond" w:eastAsia="Times New Roman" w:hAnsi="Garamond"/>
          <w:color w:val="222222"/>
          <w:szCs w:val="22"/>
        </w:rPr>
      </w:pPr>
      <w:r w:rsidRPr="004A0C12">
        <w:rPr>
          <w:rFonts w:ascii="Garamond" w:eastAsia="Times New Roman" w:hAnsi="Garamond"/>
          <w:color w:val="222222"/>
          <w:szCs w:val="22"/>
        </w:rPr>
        <w:t xml:space="preserve">The Jobs for Veterans State Grant Program; and, </w:t>
      </w:r>
    </w:p>
    <w:p w14:paraId="39A37151" w14:textId="77777777" w:rsidR="00CC40F2" w:rsidRPr="004A0C12" w:rsidRDefault="00CC40F2" w:rsidP="00232F09">
      <w:pPr>
        <w:pStyle w:val="ListParagraph"/>
        <w:numPr>
          <w:ilvl w:val="0"/>
          <w:numId w:val="282"/>
        </w:numPr>
        <w:jc w:val="both"/>
        <w:rPr>
          <w:rFonts w:ascii="Garamond" w:eastAsia="Times New Roman" w:hAnsi="Garamond"/>
          <w:color w:val="222222"/>
          <w:szCs w:val="22"/>
        </w:rPr>
      </w:pPr>
      <w:r w:rsidRPr="004A0C12">
        <w:rPr>
          <w:rFonts w:ascii="Garamond" w:eastAsia="Times New Roman" w:hAnsi="Garamond"/>
          <w:color w:val="222222"/>
          <w:szCs w:val="22"/>
        </w:rPr>
        <w:t>The Reintegration of Ex-Offenders Program</w:t>
      </w:r>
    </w:p>
    <w:p w14:paraId="4E3EF7C2" w14:textId="77777777" w:rsidR="00CC40F2" w:rsidRPr="004A0C12" w:rsidRDefault="00CC40F2" w:rsidP="00CC40F2">
      <w:pPr>
        <w:spacing w:after="0" w:line="240" w:lineRule="auto"/>
        <w:jc w:val="both"/>
        <w:rPr>
          <w:rFonts w:ascii="Garamond" w:eastAsia="Times New Roman" w:hAnsi="Garamond"/>
          <w:color w:val="222222"/>
        </w:rPr>
      </w:pPr>
    </w:p>
    <w:p w14:paraId="60B3BB52" w14:textId="38857EF7" w:rsidR="00CC40F2" w:rsidRPr="004A0C12" w:rsidRDefault="00CC40F2" w:rsidP="00CC40F2">
      <w:pPr>
        <w:spacing w:after="0" w:line="240" w:lineRule="auto"/>
        <w:jc w:val="both"/>
        <w:rPr>
          <w:rFonts w:ascii="Garamond" w:eastAsia="Times New Roman" w:hAnsi="Garamond"/>
          <w:color w:val="222222"/>
        </w:rPr>
      </w:pPr>
      <w:r w:rsidRPr="004A0C12">
        <w:rPr>
          <w:rFonts w:ascii="Garamond" w:eastAsia="Times New Roman" w:hAnsi="Garamond"/>
          <w:color w:val="222222"/>
        </w:rPr>
        <w:t>In all, Maryland is committed and excited to engage state, local, and non-profit partners as we build a system that is responsive to the needs of businesses and jobseekers alike. While the road toward integ</w:t>
      </w:r>
      <w:r w:rsidR="003F2622" w:rsidRPr="004A0C12">
        <w:rPr>
          <w:rFonts w:ascii="Garamond" w:eastAsia="Times New Roman" w:hAnsi="Garamond"/>
          <w:color w:val="222222"/>
        </w:rPr>
        <w:t>ration may not be easy and</w:t>
      </w:r>
      <w:r w:rsidRPr="004A0C12">
        <w:rPr>
          <w:rFonts w:ascii="Garamond" w:eastAsia="Times New Roman" w:hAnsi="Garamond"/>
          <w:color w:val="222222"/>
        </w:rPr>
        <w:t xml:space="preserve"> the tasks may, at times, seem daunting, Maryland’s workforce system’s singular focus on the customers it serves will change Maryland for the better. </w:t>
      </w:r>
    </w:p>
    <w:p w14:paraId="656B4EDD" w14:textId="77777777" w:rsidR="002B224F" w:rsidRPr="004A0C12" w:rsidRDefault="002B224F" w:rsidP="000104B8">
      <w:pPr>
        <w:jc w:val="center"/>
        <w:rPr>
          <w:rStyle w:val="IntenseEmphasis"/>
          <w:rFonts w:ascii="Garamond" w:hAnsi="Garamond"/>
          <w:sz w:val="22"/>
        </w:rPr>
      </w:pPr>
    </w:p>
    <w:p w14:paraId="47C79D17"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632423"/>
        </w:rPr>
        <w:t>WIOA STATE PLAN TYPE</w:t>
      </w:r>
    </w:p>
    <w:p w14:paraId="4FE2641B"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t>Unified or Combined State Plan. Select whether the State is submitting a Unified or Combined State Plan. At a minimum, a State must submit a Unified State Plan that covers the six core programs.</w:t>
      </w:r>
    </w:p>
    <w:p w14:paraId="3B27371A" w14:textId="77777777" w:rsidR="003865ED" w:rsidRPr="004A0C12" w:rsidRDefault="003865ED" w:rsidP="003865ED">
      <w:pPr>
        <w:spacing w:after="100" w:line="240" w:lineRule="auto"/>
        <w:rPr>
          <w:rFonts w:ascii="Garamond" w:eastAsia="Times New Roman" w:hAnsi="Garamond" w:cs="Times New Roman"/>
        </w:rPr>
      </w:pPr>
      <w:proofErr w:type="gramStart"/>
      <w:r w:rsidRPr="004A0C12">
        <w:rPr>
          <w:rFonts w:ascii="Garamond" w:eastAsia="Times New Roman" w:hAnsi="Garamond" w:cs="Times New Roman"/>
          <w:color w:val="000000"/>
        </w:rPr>
        <w:t>Unified State Plan.</w:t>
      </w:r>
      <w:proofErr w:type="gramEnd"/>
      <w:r w:rsidRPr="004A0C12">
        <w:rPr>
          <w:rFonts w:ascii="Garamond" w:eastAsia="Times New Roman" w:hAnsi="Garamond" w:cs="Times New Roman"/>
          <w:color w:val="000000"/>
        </w:rPr>
        <w:t xml:space="preserve"> This plan includes the Adult Program, Dislocated Worker Program, Youth Program, Wagner-Peyser Act Program, Adult Education and Family Literacy Act Program, and Vocational Rehabilitation Program. No</w:t>
      </w:r>
    </w:p>
    <w:p w14:paraId="6A79AB5F" w14:textId="77777777" w:rsidR="003865ED" w:rsidRDefault="003865ED" w:rsidP="003865ED">
      <w:pPr>
        <w:spacing w:after="100" w:line="240" w:lineRule="auto"/>
        <w:rPr>
          <w:rFonts w:ascii="Garamond" w:eastAsia="Times New Roman" w:hAnsi="Garamond" w:cs="Times New Roman"/>
          <w:color w:val="000000"/>
        </w:rPr>
      </w:pPr>
      <w:proofErr w:type="gramStart"/>
      <w:r w:rsidRPr="004A0C12">
        <w:rPr>
          <w:rFonts w:ascii="Garamond" w:eastAsia="Times New Roman" w:hAnsi="Garamond" w:cs="Times New Roman"/>
          <w:color w:val="000000"/>
        </w:rPr>
        <w:t>Combined State Plan.</w:t>
      </w:r>
      <w:proofErr w:type="gramEnd"/>
      <w:r w:rsidRPr="004A0C12">
        <w:rPr>
          <w:rFonts w:ascii="Garamond" w:eastAsia="Times New Roman" w:hAnsi="Garamond" w:cs="Times New Roman"/>
          <w:color w:val="000000"/>
        </w:rPr>
        <w:t xml:space="preserve"> This plan includes the Adult Worker Program, Dislocated Worker Program, Youth Program, Wagner-Peyser Act Program, Adult Education and Family Literacy Act Program, and Vocational Rehabilitation Program as well as one or more of the optional combined State Plan partner programs identified below. Yes</w:t>
      </w:r>
    </w:p>
    <w:p w14:paraId="74A2AC15" w14:textId="77777777" w:rsidR="004B3037" w:rsidRPr="004A0C12" w:rsidRDefault="004B3037" w:rsidP="003865ED">
      <w:pPr>
        <w:spacing w:after="100" w:line="240" w:lineRule="auto"/>
        <w:rPr>
          <w:rFonts w:ascii="Garamond" w:eastAsia="Times New Roman" w:hAnsi="Garamond" w:cs="Times New Roman"/>
        </w:rPr>
      </w:pPr>
    </w:p>
    <w:p w14:paraId="399D8EF7"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622423"/>
        </w:rPr>
        <w:t>COMBINED PLAN PARTNER PROGRAM(S)</w:t>
      </w:r>
    </w:p>
    <w:p w14:paraId="6C82731E"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t>Indicate which Combined Plan partner program(s) the state is electing to include in the plan.</w:t>
      </w:r>
    </w:p>
    <w:p w14:paraId="63873A7C"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lastRenderedPageBreak/>
        <w:t xml:space="preserve">Career and technical education programs authorized under the Carl D. Perkins Career and Technical Education Act of 2006 (20 U.S.C. 2301 et seq.) </w:t>
      </w:r>
      <w:r w:rsidRPr="001C1EC7">
        <w:rPr>
          <w:rFonts w:ascii="Garamond" w:eastAsia="Times New Roman" w:hAnsi="Garamond" w:cs="Times New Roman"/>
          <w:b/>
          <w:color w:val="000000"/>
        </w:rPr>
        <w:t>No</w:t>
      </w:r>
    </w:p>
    <w:p w14:paraId="55DB9929" w14:textId="77777777" w:rsidR="003865ED" w:rsidRPr="004A0C12" w:rsidRDefault="003865ED" w:rsidP="003865ED">
      <w:pPr>
        <w:spacing w:after="100" w:line="240" w:lineRule="auto"/>
        <w:rPr>
          <w:rFonts w:ascii="Garamond" w:eastAsia="Times New Roman" w:hAnsi="Garamond" w:cs="Times New Roman"/>
        </w:rPr>
      </w:pPr>
      <w:proofErr w:type="gramStart"/>
      <w:r w:rsidRPr="004A0C12">
        <w:rPr>
          <w:rFonts w:ascii="Garamond" w:eastAsia="Times New Roman" w:hAnsi="Garamond" w:cs="Times New Roman"/>
          <w:color w:val="000000"/>
        </w:rPr>
        <w:t>Temporary Assistance for Needy Families Program (42 U.S.C. 601 et seq.)</w:t>
      </w:r>
      <w:proofErr w:type="gramEnd"/>
      <w:r w:rsidRPr="004A0C12">
        <w:rPr>
          <w:rFonts w:ascii="Garamond" w:eastAsia="Times New Roman" w:hAnsi="Garamond" w:cs="Times New Roman"/>
          <w:color w:val="000000"/>
        </w:rPr>
        <w:t xml:space="preserve"> </w:t>
      </w:r>
      <w:r w:rsidRPr="001C1EC7">
        <w:rPr>
          <w:rFonts w:ascii="Garamond" w:eastAsia="Times New Roman" w:hAnsi="Garamond" w:cs="Times New Roman"/>
          <w:b/>
          <w:color w:val="000000"/>
        </w:rPr>
        <w:t>Yes</w:t>
      </w:r>
    </w:p>
    <w:p w14:paraId="648FAC3C" w14:textId="77777777" w:rsidR="003865ED" w:rsidRPr="004A0C12" w:rsidRDefault="003865ED" w:rsidP="003865ED">
      <w:pPr>
        <w:spacing w:after="100" w:line="240" w:lineRule="auto"/>
        <w:jc w:val="both"/>
        <w:rPr>
          <w:rFonts w:ascii="Garamond" w:eastAsia="Times New Roman" w:hAnsi="Garamond" w:cs="Times New Roman"/>
        </w:rPr>
      </w:pPr>
      <w:r w:rsidRPr="004A0C12">
        <w:rPr>
          <w:rFonts w:ascii="Garamond" w:eastAsia="Times New Roman" w:hAnsi="Garamond" w:cs="Times New Roman"/>
          <w:color w:val="000000"/>
        </w:rPr>
        <w:t>Employment and Training Programs under the Supplemental Nutrition Assistance Program (Programs authorized under section 6(d</w:t>
      </w:r>
      <w:proofErr w:type="gramStart"/>
      <w:r w:rsidRPr="004A0C12">
        <w:rPr>
          <w:rFonts w:ascii="Garamond" w:eastAsia="Times New Roman" w:hAnsi="Garamond" w:cs="Times New Roman"/>
          <w:color w:val="000000"/>
        </w:rPr>
        <w:t>)(</w:t>
      </w:r>
      <w:proofErr w:type="gramEnd"/>
      <w:r w:rsidRPr="004A0C12">
        <w:rPr>
          <w:rFonts w:ascii="Garamond" w:eastAsia="Times New Roman" w:hAnsi="Garamond" w:cs="Times New Roman"/>
          <w:color w:val="000000"/>
        </w:rPr>
        <w:t xml:space="preserve">4) of the Food and Nutrition Act of 2008 (7 U.S.C. 2015(d)(4))) </w:t>
      </w:r>
      <w:r w:rsidRPr="001C1EC7">
        <w:rPr>
          <w:rFonts w:ascii="Garamond" w:eastAsia="Times New Roman" w:hAnsi="Garamond" w:cs="Times New Roman"/>
          <w:b/>
          <w:color w:val="000000"/>
        </w:rPr>
        <w:t>No</w:t>
      </w:r>
    </w:p>
    <w:p w14:paraId="76CF5AAD"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Work programs authorized under section 6(o) of the Food and Nutrition Act of 2008 (7 U.S.C. 2015(o))) </w:t>
      </w:r>
      <w:r w:rsidRPr="001C1EC7">
        <w:rPr>
          <w:rFonts w:ascii="Garamond" w:eastAsia="Times New Roman" w:hAnsi="Garamond" w:cs="Times New Roman"/>
          <w:b/>
          <w:color w:val="000000"/>
        </w:rPr>
        <w:t>No</w:t>
      </w:r>
    </w:p>
    <w:p w14:paraId="0BD699BC" w14:textId="77777777" w:rsidR="003865ED" w:rsidRPr="004A0C12" w:rsidRDefault="003865ED" w:rsidP="003865ED">
      <w:pPr>
        <w:spacing w:after="100" w:line="240" w:lineRule="auto"/>
        <w:rPr>
          <w:rFonts w:ascii="Garamond" w:eastAsia="Times New Roman" w:hAnsi="Garamond" w:cs="Times New Roman"/>
        </w:rPr>
      </w:pPr>
      <w:proofErr w:type="gramStart"/>
      <w:r w:rsidRPr="004A0C12">
        <w:rPr>
          <w:rFonts w:ascii="Garamond" w:eastAsia="Times New Roman" w:hAnsi="Garamond" w:cs="Times New Roman"/>
          <w:color w:val="000000"/>
        </w:rPr>
        <w:t>Trade Adjustment Assistance for Workers Programs (Activities authorized under chapter 2 of title II of the Trade Act of 1974 (19 U.S.C. 2271 et seq.))</w:t>
      </w:r>
      <w:proofErr w:type="gramEnd"/>
      <w:r w:rsidRPr="004A0C12">
        <w:rPr>
          <w:rFonts w:ascii="Garamond" w:eastAsia="Times New Roman" w:hAnsi="Garamond" w:cs="Times New Roman"/>
          <w:color w:val="000000"/>
        </w:rPr>
        <w:t xml:space="preserve"> </w:t>
      </w:r>
      <w:r w:rsidRPr="001C1EC7">
        <w:rPr>
          <w:rFonts w:ascii="Garamond" w:eastAsia="Times New Roman" w:hAnsi="Garamond" w:cs="Times New Roman"/>
          <w:b/>
          <w:color w:val="000000"/>
        </w:rPr>
        <w:t>Yes</w:t>
      </w:r>
    </w:p>
    <w:p w14:paraId="42D47094"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Jobs for Veterans State Grants Program (programs authorized </w:t>
      </w:r>
      <w:proofErr w:type="gramStart"/>
      <w:r w:rsidRPr="004A0C12">
        <w:rPr>
          <w:rFonts w:ascii="Garamond" w:eastAsia="Times New Roman" w:hAnsi="Garamond" w:cs="Times New Roman"/>
          <w:color w:val="000000"/>
        </w:rPr>
        <w:t>under</w:t>
      </w:r>
      <w:proofErr w:type="gramEnd"/>
      <w:r w:rsidRPr="004A0C12">
        <w:rPr>
          <w:rFonts w:ascii="Garamond" w:eastAsia="Times New Roman" w:hAnsi="Garamond" w:cs="Times New Roman"/>
          <w:color w:val="000000"/>
        </w:rPr>
        <w:t xml:space="preserve"> 38, U.S.C. 4100 et. seq.)</w:t>
      </w:r>
      <w:r w:rsidRPr="001C1EC7">
        <w:rPr>
          <w:rFonts w:ascii="Garamond" w:eastAsia="Times New Roman" w:hAnsi="Garamond" w:cs="Times New Roman"/>
          <w:b/>
          <w:color w:val="000000"/>
        </w:rPr>
        <w:t xml:space="preserve"> Yes</w:t>
      </w:r>
    </w:p>
    <w:p w14:paraId="6AEFA8D7"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Unemployment Insurance Programs (Programs authorized under State unemployment compensation laws in accordance with applicable Federal law) </w:t>
      </w:r>
      <w:r w:rsidRPr="001C1EC7">
        <w:rPr>
          <w:rFonts w:ascii="Garamond" w:eastAsia="Times New Roman" w:hAnsi="Garamond" w:cs="Times New Roman"/>
          <w:b/>
          <w:color w:val="000000"/>
        </w:rPr>
        <w:t>No</w:t>
      </w:r>
    </w:p>
    <w:p w14:paraId="072D4076"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Senior Community Service Employment Program (Programs authorized under title V of the Older Americans Act of 1965 (42 U.S.C. 3056 et seq.)) </w:t>
      </w:r>
      <w:r w:rsidRPr="001C1EC7">
        <w:rPr>
          <w:rFonts w:ascii="Garamond" w:eastAsia="Times New Roman" w:hAnsi="Garamond" w:cs="Times New Roman"/>
          <w:b/>
          <w:color w:val="000000"/>
        </w:rPr>
        <w:t>No</w:t>
      </w:r>
    </w:p>
    <w:p w14:paraId="6E0EA82F"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Employment and training activities carried out by the Department of Housing and Urban Development </w:t>
      </w:r>
      <w:r w:rsidRPr="001C1EC7">
        <w:rPr>
          <w:rFonts w:ascii="Garamond" w:eastAsia="Times New Roman" w:hAnsi="Garamond" w:cs="Times New Roman"/>
          <w:b/>
          <w:color w:val="000000"/>
        </w:rPr>
        <w:t>No</w:t>
      </w:r>
    </w:p>
    <w:p w14:paraId="4357118E"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Community Services Block Grant Program (Employment and training activities carried out under the Community Services Block Grant Act (42 U.S.C. 9901 et seq.)) </w:t>
      </w:r>
      <w:r w:rsidRPr="001C1EC7">
        <w:rPr>
          <w:rFonts w:ascii="Garamond" w:eastAsia="Times New Roman" w:hAnsi="Garamond" w:cs="Times New Roman"/>
          <w:b/>
          <w:color w:val="000000"/>
        </w:rPr>
        <w:t>No</w:t>
      </w:r>
    </w:p>
    <w:p w14:paraId="7E493F70" w14:textId="77777777" w:rsidR="003865ED" w:rsidRPr="004A0C12" w:rsidRDefault="003865ED" w:rsidP="003865ED">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Reintegration of Ex-Offenders Program (Programs authorized under section 212 of the Second Chance Act of 2007 (42 U.S.C. 17532))] </w:t>
      </w:r>
      <w:r w:rsidRPr="001C1EC7">
        <w:rPr>
          <w:rFonts w:ascii="Garamond" w:eastAsia="Times New Roman" w:hAnsi="Garamond" w:cs="Times New Roman"/>
          <w:b/>
          <w:color w:val="000000"/>
        </w:rPr>
        <w:t>Yes</w:t>
      </w:r>
    </w:p>
    <w:p w14:paraId="60BD5CF5" w14:textId="77777777" w:rsidR="002B224F" w:rsidRPr="004A0C12" w:rsidRDefault="002B224F" w:rsidP="000104B8">
      <w:pPr>
        <w:jc w:val="center"/>
        <w:rPr>
          <w:rStyle w:val="IntenseEmphasis"/>
          <w:rFonts w:ascii="Garamond" w:hAnsi="Garamond"/>
          <w:sz w:val="22"/>
        </w:rPr>
      </w:pPr>
    </w:p>
    <w:p w14:paraId="5BA419B0" w14:textId="77777777" w:rsidR="002B224F" w:rsidRPr="004A0C12" w:rsidRDefault="002B224F" w:rsidP="000104B8">
      <w:pPr>
        <w:jc w:val="center"/>
        <w:rPr>
          <w:rStyle w:val="IntenseEmphasis"/>
          <w:rFonts w:ascii="Garamond" w:hAnsi="Garamond"/>
          <w:sz w:val="22"/>
        </w:rPr>
      </w:pPr>
    </w:p>
    <w:p w14:paraId="417A6A5A" w14:textId="77777777" w:rsidR="002B224F" w:rsidRPr="004A0C12" w:rsidRDefault="002B224F" w:rsidP="000104B8">
      <w:pPr>
        <w:jc w:val="center"/>
        <w:rPr>
          <w:rStyle w:val="IntenseEmphasis"/>
          <w:rFonts w:ascii="Garamond" w:hAnsi="Garamond"/>
          <w:sz w:val="22"/>
        </w:rPr>
      </w:pPr>
    </w:p>
    <w:p w14:paraId="2B371B3D" w14:textId="77777777" w:rsidR="00CC40F2" w:rsidRDefault="00CC40F2" w:rsidP="000104B8">
      <w:pPr>
        <w:jc w:val="center"/>
        <w:rPr>
          <w:rStyle w:val="IntenseEmphasis"/>
          <w:rFonts w:ascii="Garamond" w:hAnsi="Garamond"/>
          <w:sz w:val="22"/>
        </w:rPr>
      </w:pPr>
    </w:p>
    <w:p w14:paraId="54B949EC" w14:textId="77777777" w:rsidR="00825D0C" w:rsidRDefault="00825D0C" w:rsidP="000104B8">
      <w:pPr>
        <w:jc w:val="center"/>
        <w:rPr>
          <w:rStyle w:val="IntenseEmphasis"/>
          <w:rFonts w:ascii="Garamond" w:hAnsi="Garamond"/>
          <w:sz w:val="22"/>
        </w:rPr>
      </w:pPr>
    </w:p>
    <w:p w14:paraId="6355B381" w14:textId="77777777" w:rsidR="00825D0C" w:rsidRDefault="00825D0C" w:rsidP="000104B8">
      <w:pPr>
        <w:jc w:val="center"/>
        <w:rPr>
          <w:rStyle w:val="IntenseEmphasis"/>
          <w:rFonts w:ascii="Garamond" w:hAnsi="Garamond"/>
          <w:sz w:val="22"/>
        </w:rPr>
      </w:pPr>
    </w:p>
    <w:p w14:paraId="69D454B8" w14:textId="77777777" w:rsidR="00825D0C" w:rsidRDefault="00825D0C" w:rsidP="000104B8">
      <w:pPr>
        <w:jc w:val="center"/>
        <w:rPr>
          <w:rStyle w:val="IntenseEmphasis"/>
          <w:rFonts w:ascii="Garamond" w:hAnsi="Garamond"/>
          <w:sz w:val="22"/>
        </w:rPr>
      </w:pPr>
    </w:p>
    <w:p w14:paraId="11C31686" w14:textId="77777777" w:rsidR="00825D0C" w:rsidRDefault="00825D0C" w:rsidP="000104B8">
      <w:pPr>
        <w:jc w:val="center"/>
        <w:rPr>
          <w:rStyle w:val="IntenseEmphasis"/>
          <w:rFonts w:ascii="Garamond" w:hAnsi="Garamond"/>
          <w:sz w:val="22"/>
        </w:rPr>
      </w:pPr>
    </w:p>
    <w:p w14:paraId="0443D9F1" w14:textId="77777777" w:rsidR="00825D0C" w:rsidRDefault="00825D0C" w:rsidP="000104B8">
      <w:pPr>
        <w:jc w:val="center"/>
        <w:rPr>
          <w:rStyle w:val="IntenseEmphasis"/>
          <w:rFonts w:ascii="Garamond" w:hAnsi="Garamond"/>
          <w:sz w:val="22"/>
        </w:rPr>
      </w:pPr>
    </w:p>
    <w:p w14:paraId="3A0C9C10" w14:textId="77777777" w:rsidR="00825D0C" w:rsidRDefault="00825D0C" w:rsidP="000104B8">
      <w:pPr>
        <w:jc w:val="center"/>
        <w:rPr>
          <w:rStyle w:val="IntenseEmphasis"/>
          <w:rFonts w:ascii="Garamond" w:hAnsi="Garamond"/>
          <w:sz w:val="22"/>
        </w:rPr>
      </w:pPr>
    </w:p>
    <w:p w14:paraId="10CBDD6B" w14:textId="77777777" w:rsidR="00825D0C" w:rsidRDefault="00825D0C" w:rsidP="000104B8">
      <w:pPr>
        <w:jc w:val="center"/>
        <w:rPr>
          <w:rStyle w:val="IntenseEmphasis"/>
          <w:rFonts w:ascii="Garamond" w:hAnsi="Garamond"/>
          <w:sz w:val="22"/>
        </w:rPr>
      </w:pPr>
    </w:p>
    <w:p w14:paraId="77FA0FE9" w14:textId="77777777" w:rsidR="00825D0C" w:rsidRDefault="00825D0C" w:rsidP="000104B8">
      <w:pPr>
        <w:jc w:val="center"/>
        <w:rPr>
          <w:rStyle w:val="IntenseEmphasis"/>
          <w:rFonts w:ascii="Garamond" w:hAnsi="Garamond"/>
          <w:sz w:val="22"/>
        </w:rPr>
      </w:pPr>
    </w:p>
    <w:p w14:paraId="4F4146C5" w14:textId="77777777" w:rsidR="00825D0C" w:rsidRDefault="00825D0C" w:rsidP="000104B8">
      <w:pPr>
        <w:jc w:val="center"/>
        <w:rPr>
          <w:rStyle w:val="IntenseEmphasis"/>
          <w:rFonts w:ascii="Garamond" w:hAnsi="Garamond"/>
          <w:sz w:val="22"/>
        </w:rPr>
      </w:pPr>
    </w:p>
    <w:p w14:paraId="1644C76A" w14:textId="77777777" w:rsidR="00825D0C" w:rsidRPr="004A0C12" w:rsidRDefault="00825D0C" w:rsidP="000104B8">
      <w:pPr>
        <w:jc w:val="center"/>
        <w:rPr>
          <w:rStyle w:val="IntenseEmphasis"/>
          <w:rFonts w:ascii="Garamond" w:hAnsi="Garamond"/>
          <w:sz w:val="22"/>
        </w:rPr>
      </w:pPr>
    </w:p>
    <w:p w14:paraId="7C1CC940" w14:textId="77777777" w:rsidR="00CC40F2" w:rsidRPr="004A0C12" w:rsidRDefault="00CC40F2" w:rsidP="000104B8">
      <w:pPr>
        <w:jc w:val="center"/>
        <w:rPr>
          <w:rStyle w:val="IntenseEmphasis"/>
          <w:rFonts w:ascii="Garamond" w:hAnsi="Garamond"/>
          <w:sz w:val="22"/>
        </w:rPr>
      </w:pPr>
    </w:p>
    <w:p w14:paraId="104ECA60" w14:textId="77777777" w:rsidR="000104B8" w:rsidRPr="00825D0C" w:rsidRDefault="000104B8" w:rsidP="000104B8">
      <w:pPr>
        <w:jc w:val="center"/>
        <w:rPr>
          <w:rStyle w:val="IntenseEmphasis"/>
          <w:rFonts w:ascii="Garamond" w:hAnsi="Garamond"/>
          <w:sz w:val="28"/>
          <w:szCs w:val="28"/>
        </w:rPr>
      </w:pPr>
      <w:r w:rsidRPr="00825D0C">
        <w:rPr>
          <w:rStyle w:val="IntenseEmphasis"/>
          <w:rFonts w:ascii="Garamond" w:hAnsi="Garamond"/>
          <w:sz w:val="28"/>
          <w:szCs w:val="28"/>
        </w:rPr>
        <w:lastRenderedPageBreak/>
        <w:t>Table of Contents</w:t>
      </w:r>
    </w:p>
    <w:p w14:paraId="7FB74DC0" w14:textId="77777777" w:rsidR="00F82500" w:rsidRPr="00825D0C" w:rsidRDefault="000104B8">
      <w:pPr>
        <w:pStyle w:val="TOC1"/>
        <w:tabs>
          <w:tab w:val="right" w:leader="dot" w:pos="11078"/>
        </w:tabs>
        <w:rPr>
          <w:rFonts w:ascii="Gill Sans MT" w:eastAsiaTheme="minorEastAsia" w:hAnsi="Gill Sans MT"/>
          <w:noProof/>
        </w:rPr>
      </w:pPr>
      <w:r w:rsidRPr="00825D0C">
        <w:rPr>
          <w:rFonts w:ascii="Gill Sans MT" w:hAnsi="Gill Sans MT" w:cs="Times New Roman"/>
        </w:rPr>
        <w:fldChar w:fldCharType="begin"/>
      </w:r>
      <w:r w:rsidRPr="00825D0C">
        <w:rPr>
          <w:rFonts w:ascii="Gill Sans MT" w:hAnsi="Gill Sans MT" w:cs="Times New Roman"/>
        </w:rPr>
        <w:instrText xml:space="preserve"> TOC \o "1-3" \h \z \u </w:instrText>
      </w:r>
      <w:r w:rsidRPr="00825D0C">
        <w:rPr>
          <w:rFonts w:ascii="Gill Sans MT" w:hAnsi="Gill Sans MT" w:cs="Times New Roman"/>
        </w:rPr>
        <w:fldChar w:fldCharType="separate"/>
      </w:r>
      <w:hyperlink w:anchor="_Toc447276061" w:history="1">
        <w:r w:rsidR="00F82500" w:rsidRPr="00825D0C">
          <w:rPr>
            <w:rStyle w:val="Hyperlink"/>
            <w:rFonts w:ascii="Gill Sans MT" w:hAnsi="Gill Sans MT"/>
            <w:noProof/>
          </w:rPr>
          <w:t>Executive Summary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_Toc447276061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sidR="00943AA8">
          <w:rPr>
            <w:rFonts w:ascii="Gill Sans MT" w:hAnsi="Gill Sans MT"/>
            <w:noProof/>
            <w:webHidden/>
          </w:rPr>
          <w:t>ii</w:t>
        </w:r>
        <w:r w:rsidR="00F82500" w:rsidRPr="00825D0C">
          <w:rPr>
            <w:rFonts w:ascii="Gill Sans MT" w:hAnsi="Gill Sans MT"/>
            <w:noProof/>
            <w:webHidden/>
          </w:rPr>
          <w:fldChar w:fldCharType="end"/>
        </w:r>
      </w:hyperlink>
    </w:p>
    <w:p w14:paraId="362EB91C" w14:textId="77777777" w:rsidR="00F82500" w:rsidRPr="00825D0C" w:rsidRDefault="00943AA8">
      <w:pPr>
        <w:pStyle w:val="TOC1"/>
        <w:tabs>
          <w:tab w:val="right" w:leader="dot" w:pos="11078"/>
        </w:tabs>
        <w:rPr>
          <w:rFonts w:ascii="Gill Sans MT" w:eastAsiaTheme="minorEastAsia" w:hAnsi="Gill Sans MT"/>
          <w:noProof/>
        </w:rPr>
      </w:pPr>
      <w:hyperlink w:anchor="_Toc447276062" w:history="1">
        <w:r w:rsidR="00F82500" w:rsidRPr="00825D0C">
          <w:rPr>
            <w:rStyle w:val="Hyperlink"/>
            <w:rFonts w:ascii="Gill Sans MT" w:hAnsi="Gill Sans MT" w:cs="Times New Roman"/>
            <w:noProof/>
          </w:rPr>
          <w:t>PART 1. OVERVIEW OF MARYLAND’S WORKFORCE INNOVATION AND OPPORTUNITY ACT (WIOA)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_Toc447276062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w:t>
        </w:r>
        <w:r w:rsidR="00F82500" w:rsidRPr="00825D0C">
          <w:rPr>
            <w:rFonts w:ascii="Gill Sans MT" w:hAnsi="Gill Sans MT"/>
            <w:noProof/>
            <w:webHidden/>
          </w:rPr>
          <w:fldChar w:fldCharType="end"/>
        </w:r>
      </w:hyperlink>
    </w:p>
    <w:p w14:paraId="3980327A" w14:textId="77777777" w:rsidR="00F82500" w:rsidRPr="00825D0C" w:rsidRDefault="00943AA8">
      <w:pPr>
        <w:pStyle w:val="TOC2"/>
        <w:tabs>
          <w:tab w:val="right" w:leader="dot" w:pos="11078"/>
        </w:tabs>
        <w:rPr>
          <w:rFonts w:ascii="Gill Sans MT" w:eastAsiaTheme="minorEastAsia" w:hAnsi="Gill Sans MT"/>
          <w:noProof/>
        </w:rPr>
      </w:pPr>
      <w:hyperlink w:anchor="_Toc447276063" w:history="1">
        <w:r w:rsidR="00F82500" w:rsidRPr="00825D0C">
          <w:rPr>
            <w:rStyle w:val="Hyperlink"/>
            <w:rFonts w:ascii="Gill Sans MT" w:hAnsi="Gill Sans MT"/>
            <w:noProof/>
          </w:rPr>
          <w:t>Overview of Maryland’s Workforce Innovation and Opportunity Act Transition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_Toc447276063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w:t>
        </w:r>
        <w:r w:rsidR="00F82500" w:rsidRPr="00825D0C">
          <w:rPr>
            <w:rFonts w:ascii="Gill Sans MT" w:hAnsi="Gill Sans MT"/>
            <w:noProof/>
            <w:webHidden/>
          </w:rPr>
          <w:fldChar w:fldCharType="end"/>
        </w:r>
      </w:hyperlink>
    </w:p>
    <w:p w14:paraId="061D3ADB" w14:textId="77777777" w:rsidR="00F82500" w:rsidRPr="00825D0C" w:rsidRDefault="00943AA8">
      <w:pPr>
        <w:pStyle w:val="TOC1"/>
        <w:tabs>
          <w:tab w:val="right" w:leader="dot" w:pos="11078"/>
        </w:tabs>
        <w:rPr>
          <w:rFonts w:ascii="Gill Sans MT" w:eastAsiaTheme="minorEastAsia" w:hAnsi="Gill Sans MT"/>
          <w:noProof/>
        </w:rPr>
      </w:pPr>
      <w:hyperlink w:anchor="_Toc447276064" w:history="1">
        <w:r w:rsidR="00F82500" w:rsidRPr="00825D0C">
          <w:rPr>
            <w:rStyle w:val="Hyperlink"/>
            <w:rFonts w:ascii="Gill Sans MT" w:hAnsi="Gill Sans MT" w:cs="Times New Roman"/>
            <w:noProof/>
          </w:rPr>
          <w:t>PART 2. GOVERNOR HOGAN’S STRATEGIC VISION FOR THE WORKFORCE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_Toc447276064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8</w:t>
        </w:r>
        <w:r w:rsidR="00F82500" w:rsidRPr="00825D0C">
          <w:rPr>
            <w:rFonts w:ascii="Gill Sans MT" w:hAnsi="Gill Sans MT"/>
            <w:noProof/>
            <w:webHidden/>
          </w:rPr>
          <w:fldChar w:fldCharType="end"/>
        </w:r>
      </w:hyperlink>
    </w:p>
    <w:p w14:paraId="2A679071" w14:textId="77777777" w:rsidR="00F82500" w:rsidRPr="00825D0C" w:rsidRDefault="00943AA8">
      <w:pPr>
        <w:pStyle w:val="TOC2"/>
        <w:tabs>
          <w:tab w:val="right" w:leader="dot" w:pos="11078"/>
        </w:tabs>
        <w:rPr>
          <w:rFonts w:ascii="Gill Sans MT" w:eastAsiaTheme="minorEastAsia" w:hAnsi="Gill Sans MT"/>
          <w:noProof/>
        </w:rPr>
      </w:pPr>
      <w:hyperlink w:anchor="_Toc447276065" w:history="1">
        <w:r w:rsidR="00F82500" w:rsidRPr="00825D0C">
          <w:rPr>
            <w:rStyle w:val="Hyperlink"/>
            <w:rFonts w:ascii="Gill Sans MT" w:hAnsi="Gill Sans MT"/>
            <w:noProof/>
          </w:rPr>
          <w:t>Changing Maryland for the Better</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_Toc447276065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8</w:t>
        </w:r>
        <w:r w:rsidR="00F82500" w:rsidRPr="00825D0C">
          <w:rPr>
            <w:rFonts w:ascii="Gill Sans MT" w:hAnsi="Gill Sans MT"/>
            <w:noProof/>
            <w:webHidden/>
          </w:rPr>
          <w:fldChar w:fldCharType="end"/>
        </w:r>
      </w:hyperlink>
    </w:p>
    <w:p w14:paraId="621D1152" w14:textId="77777777" w:rsidR="00F82500" w:rsidRPr="00825D0C" w:rsidRDefault="00943AA8">
      <w:pPr>
        <w:pStyle w:val="TOC2"/>
        <w:tabs>
          <w:tab w:val="right" w:leader="dot" w:pos="11078"/>
        </w:tabs>
        <w:rPr>
          <w:rFonts w:ascii="Gill Sans MT" w:eastAsiaTheme="minorEastAsia" w:hAnsi="Gill Sans MT"/>
          <w:noProof/>
        </w:rPr>
      </w:pPr>
      <w:hyperlink w:anchor="_Toc447276066" w:history="1">
        <w:r w:rsidR="00F82500" w:rsidRPr="00825D0C">
          <w:rPr>
            <w:rStyle w:val="Hyperlink"/>
            <w:rFonts w:ascii="Gill Sans MT" w:hAnsi="Gill Sans MT"/>
            <w:noProof/>
          </w:rPr>
          <w:t>Economic Development and Jobs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_Toc447276066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8</w:t>
        </w:r>
        <w:r w:rsidR="00F82500" w:rsidRPr="00825D0C">
          <w:rPr>
            <w:rFonts w:ascii="Gill Sans MT" w:hAnsi="Gill Sans MT"/>
            <w:noProof/>
            <w:webHidden/>
          </w:rPr>
          <w:fldChar w:fldCharType="end"/>
        </w:r>
      </w:hyperlink>
    </w:p>
    <w:p w14:paraId="102E6191" w14:textId="77777777" w:rsidR="00F82500" w:rsidRPr="00825D0C" w:rsidRDefault="00943AA8">
      <w:pPr>
        <w:pStyle w:val="TOC2"/>
        <w:tabs>
          <w:tab w:val="right" w:leader="dot" w:pos="11078"/>
        </w:tabs>
        <w:rPr>
          <w:rFonts w:ascii="Gill Sans MT" w:eastAsiaTheme="minorEastAsia" w:hAnsi="Gill Sans MT"/>
          <w:noProof/>
        </w:rPr>
      </w:pPr>
      <w:hyperlink w:anchor="_Toc447276067" w:history="1">
        <w:r w:rsidR="00F82500" w:rsidRPr="00825D0C">
          <w:rPr>
            <w:rStyle w:val="Hyperlink"/>
            <w:rFonts w:ascii="Gill Sans MT" w:hAnsi="Gill Sans MT"/>
            <w:noProof/>
          </w:rPr>
          <w:t>Improving Quality of Life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_Toc447276067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w:t>
        </w:r>
        <w:r w:rsidR="00F82500" w:rsidRPr="00825D0C">
          <w:rPr>
            <w:rFonts w:ascii="Gill Sans MT" w:hAnsi="Gill Sans MT"/>
            <w:noProof/>
            <w:webHidden/>
          </w:rPr>
          <w:fldChar w:fldCharType="end"/>
        </w:r>
      </w:hyperlink>
    </w:p>
    <w:p w14:paraId="5E61A4EE" w14:textId="77777777" w:rsidR="00F82500" w:rsidRPr="00825D0C" w:rsidRDefault="00943AA8">
      <w:pPr>
        <w:pStyle w:val="TOC3"/>
        <w:tabs>
          <w:tab w:val="right" w:leader="dot" w:pos="11078"/>
        </w:tabs>
        <w:rPr>
          <w:rFonts w:ascii="Gill Sans MT" w:eastAsiaTheme="minorEastAsia" w:hAnsi="Gill Sans MT"/>
          <w:noProof/>
        </w:rPr>
      </w:pPr>
      <w:hyperlink w:anchor="_Toc447276068" w:history="1">
        <w:r w:rsidR="00F82500" w:rsidRPr="00825D0C">
          <w:rPr>
            <w:rStyle w:val="Hyperlink"/>
            <w:rFonts w:ascii="Gill Sans MT" w:hAnsi="Gill Sans MT"/>
            <w:noProof/>
          </w:rPr>
          <w:t>Opportunities for Youth</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_Toc447276068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12</w:t>
        </w:r>
        <w:r w:rsidR="00F82500" w:rsidRPr="00825D0C">
          <w:rPr>
            <w:rFonts w:ascii="Gill Sans MT" w:hAnsi="Gill Sans MT"/>
            <w:noProof/>
            <w:webHidden/>
          </w:rPr>
          <w:fldChar w:fldCharType="end"/>
        </w:r>
      </w:hyperlink>
    </w:p>
    <w:p w14:paraId="63013392" w14:textId="77777777" w:rsidR="00F82500" w:rsidRPr="00825D0C" w:rsidRDefault="00943AA8">
      <w:pPr>
        <w:pStyle w:val="TOC3"/>
        <w:tabs>
          <w:tab w:val="right" w:leader="dot" w:pos="11078"/>
        </w:tabs>
        <w:rPr>
          <w:rFonts w:ascii="Gill Sans MT" w:eastAsiaTheme="minorEastAsia" w:hAnsi="Gill Sans MT"/>
          <w:noProof/>
        </w:rPr>
      </w:pPr>
      <w:hyperlink w:anchor="_Toc447276069" w:history="1">
        <w:r w:rsidR="00F82500" w:rsidRPr="00825D0C">
          <w:rPr>
            <w:rStyle w:val="Hyperlink"/>
            <w:rFonts w:ascii="Gill Sans MT" w:hAnsi="Gill Sans MT"/>
            <w:noProof/>
          </w:rPr>
          <w:t>Opportunities for Adult Learners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_Toc447276069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12</w:t>
        </w:r>
        <w:r w:rsidR="00F82500" w:rsidRPr="00825D0C">
          <w:rPr>
            <w:rFonts w:ascii="Gill Sans MT" w:hAnsi="Gill Sans MT"/>
            <w:noProof/>
            <w:webHidden/>
          </w:rPr>
          <w:fldChar w:fldCharType="end"/>
        </w:r>
      </w:hyperlink>
    </w:p>
    <w:p w14:paraId="40246492" w14:textId="77777777" w:rsidR="00F82500" w:rsidRPr="00825D0C" w:rsidRDefault="00943AA8">
      <w:pPr>
        <w:pStyle w:val="TOC3"/>
        <w:tabs>
          <w:tab w:val="right" w:leader="dot" w:pos="11078"/>
        </w:tabs>
        <w:rPr>
          <w:rFonts w:ascii="Gill Sans MT" w:eastAsiaTheme="minorEastAsia" w:hAnsi="Gill Sans MT"/>
          <w:noProof/>
        </w:rPr>
      </w:pPr>
      <w:hyperlink w:anchor="_Toc447276070" w:history="1">
        <w:r w:rsidR="00F82500" w:rsidRPr="00825D0C">
          <w:rPr>
            <w:rStyle w:val="Hyperlink"/>
            <w:rFonts w:ascii="Gill Sans MT" w:hAnsi="Gill Sans MT"/>
            <w:noProof/>
          </w:rPr>
          <w:t>Opportunities for Ex-Offenders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_Toc447276070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13</w:t>
        </w:r>
        <w:r w:rsidR="00F82500" w:rsidRPr="00825D0C">
          <w:rPr>
            <w:rFonts w:ascii="Gill Sans MT" w:hAnsi="Gill Sans MT"/>
            <w:noProof/>
            <w:webHidden/>
          </w:rPr>
          <w:fldChar w:fldCharType="end"/>
        </w:r>
      </w:hyperlink>
    </w:p>
    <w:p w14:paraId="4F330A88" w14:textId="77777777" w:rsidR="00F82500" w:rsidRPr="00825D0C" w:rsidRDefault="00943AA8">
      <w:pPr>
        <w:pStyle w:val="TOC3"/>
        <w:tabs>
          <w:tab w:val="right" w:leader="dot" w:pos="11078"/>
        </w:tabs>
        <w:rPr>
          <w:rFonts w:ascii="Gill Sans MT" w:eastAsiaTheme="minorEastAsia" w:hAnsi="Gill Sans MT"/>
          <w:noProof/>
        </w:rPr>
      </w:pPr>
      <w:hyperlink w:anchor="_Toc447276071" w:history="1">
        <w:r w:rsidR="00F82500" w:rsidRPr="00825D0C">
          <w:rPr>
            <w:rStyle w:val="Hyperlink"/>
            <w:rFonts w:ascii="Gill Sans MT" w:hAnsi="Gill Sans MT"/>
            <w:noProof/>
          </w:rPr>
          <w:t>Opportunities for Veterans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_Toc447276071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13</w:t>
        </w:r>
        <w:r w:rsidR="00F82500" w:rsidRPr="00825D0C">
          <w:rPr>
            <w:rFonts w:ascii="Gill Sans MT" w:hAnsi="Gill Sans MT"/>
            <w:noProof/>
            <w:webHidden/>
          </w:rPr>
          <w:fldChar w:fldCharType="end"/>
        </w:r>
      </w:hyperlink>
    </w:p>
    <w:p w14:paraId="7427E6E8" w14:textId="77777777" w:rsidR="00F82500" w:rsidRPr="00825D0C" w:rsidRDefault="00943AA8">
      <w:pPr>
        <w:pStyle w:val="TOC3"/>
        <w:tabs>
          <w:tab w:val="right" w:leader="dot" w:pos="11078"/>
        </w:tabs>
        <w:rPr>
          <w:rFonts w:ascii="Gill Sans MT" w:eastAsiaTheme="minorEastAsia" w:hAnsi="Gill Sans MT"/>
          <w:noProof/>
        </w:rPr>
      </w:pPr>
      <w:hyperlink w:anchor="_Toc447276072" w:history="1">
        <w:r w:rsidR="00F82500" w:rsidRPr="00825D0C">
          <w:rPr>
            <w:rStyle w:val="Hyperlink"/>
            <w:rFonts w:ascii="Gill Sans MT" w:hAnsi="Gill Sans MT"/>
            <w:noProof/>
          </w:rPr>
          <w:t>Opportunities for Individuals with Disabilities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_Toc447276072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13</w:t>
        </w:r>
        <w:r w:rsidR="00F82500" w:rsidRPr="00825D0C">
          <w:rPr>
            <w:rFonts w:ascii="Gill Sans MT" w:hAnsi="Gill Sans MT"/>
            <w:noProof/>
            <w:webHidden/>
          </w:rPr>
          <w:fldChar w:fldCharType="end"/>
        </w:r>
      </w:hyperlink>
    </w:p>
    <w:p w14:paraId="39D25AE0" w14:textId="77777777" w:rsidR="00F82500" w:rsidRPr="00825D0C" w:rsidRDefault="00943AA8">
      <w:pPr>
        <w:pStyle w:val="TOC2"/>
        <w:tabs>
          <w:tab w:val="right" w:leader="dot" w:pos="11078"/>
        </w:tabs>
        <w:rPr>
          <w:rFonts w:ascii="Gill Sans MT" w:eastAsiaTheme="minorEastAsia" w:hAnsi="Gill Sans MT"/>
          <w:noProof/>
        </w:rPr>
      </w:pPr>
      <w:hyperlink w:anchor="_Toc447276073" w:history="1">
        <w:r w:rsidR="00F82500" w:rsidRPr="00825D0C">
          <w:rPr>
            <w:rStyle w:val="Hyperlink"/>
            <w:rFonts w:ascii="Gill Sans MT" w:hAnsi="Gill Sans MT"/>
            <w:noProof/>
          </w:rPr>
          <w:t>Reduce Taxes and Fees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_Toc447276073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w:t>
        </w:r>
        <w:r w:rsidR="00F82500" w:rsidRPr="00825D0C">
          <w:rPr>
            <w:rFonts w:ascii="Gill Sans MT" w:hAnsi="Gill Sans MT"/>
            <w:noProof/>
            <w:webHidden/>
          </w:rPr>
          <w:fldChar w:fldCharType="end"/>
        </w:r>
      </w:hyperlink>
    </w:p>
    <w:p w14:paraId="55F5224F" w14:textId="77777777" w:rsidR="00F82500" w:rsidRPr="00825D0C" w:rsidRDefault="00943AA8">
      <w:pPr>
        <w:pStyle w:val="TOC2"/>
        <w:tabs>
          <w:tab w:val="right" w:leader="dot" w:pos="11078"/>
        </w:tabs>
        <w:rPr>
          <w:rFonts w:ascii="Gill Sans MT" w:eastAsiaTheme="minorEastAsia" w:hAnsi="Gill Sans MT"/>
          <w:noProof/>
        </w:rPr>
      </w:pPr>
      <w:hyperlink w:anchor="_Toc447276074" w:history="1">
        <w:r w:rsidR="00F82500" w:rsidRPr="00825D0C">
          <w:rPr>
            <w:rStyle w:val="Hyperlink"/>
            <w:rFonts w:ascii="Gill Sans MT" w:hAnsi="Gill Sans MT"/>
            <w:noProof/>
          </w:rPr>
          <w:t>Fiscal Responsibility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_Toc447276074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w:t>
        </w:r>
        <w:r w:rsidR="00F82500" w:rsidRPr="00825D0C">
          <w:rPr>
            <w:rFonts w:ascii="Gill Sans MT" w:hAnsi="Gill Sans MT"/>
            <w:noProof/>
            <w:webHidden/>
          </w:rPr>
          <w:fldChar w:fldCharType="end"/>
        </w:r>
      </w:hyperlink>
    </w:p>
    <w:p w14:paraId="38320FDC" w14:textId="77777777" w:rsidR="00F82500" w:rsidRPr="00825D0C" w:rsidRDefault="00943AA8">
      <w:pPr>
        <w:pStyle w:val="TOC2"/>
        <w:tabs>
          <w:tab w:val="right" w:leader="dot" w:pos="11078"/>
        </w:tabs>
        <w:rPr>
          <w:rFonts w:ascii="Gill Sans MT" w:eastAsiaTheme="minorEastAsia" w:hAnsi="Gill Sans MT"/>
          <w:noProof/>
        </w:rPr>
      </w:pPr>
      <w:hyperlink w:anchor="_Toc447276075" w:history="1">
        <w:r w:rsidR="00F82500" w:rsidRPr="00825D0C">
          <w:rPr>
            <w:rStyle w:val="Hyperlink"/>
            <w:rFonts w:ascii="Gill Sans MT" w:hAnsi="Gill Sans MT"/>
            <w:noProof/>
          </w:rPr>
          <w:t>Government Reform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_Toc447276075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w:t>
        </w:r>
        <w:r w:rsidR="00F82500" w:rsidRPr="00825D0C">
          <w:rPr>
            <w:rFonts w:ascii="Gill Sans MT" w:hAnsi="Gill Sans MT"/>
            <w:noProof/>
            <w:webHidden/>
          </w:rPr>
          <w:fldChar w:fldCharType="end"/>
        </w:r>
      </w:hyperlink>
    </w:p>
    <w:p w14:paraId="0B641377" w14:textId="77777777" w:rsidR="00F82500" w:rsidRPr="00825D0C" w:rsidRDefault="00943AA8">
      <w:pPr>
        <w:pStyle w:val="TOC2"/>
        <w:tabs>
          <w:tab w:val="right" w:leader="dot" w:pos="11078"/>
        </w:tabs>
        <w:rPr>
          <w:rFonts w:ascii="Gill Sans MT" w:eastAsiaTheme="minorEastAsia" w:hAnsi="Gill Sans MT"/>
          <w:noProof/>
        </w:rPr>
      </w:pPr>
      <w:hyperlink w:anchor="_Toc447276077" w:history="1">
        <w:r w:rsidR="00F82500" w:rsidRPr="00825D0C">
          <w:rPr>
            <w:rStyle w:val="Hyperlink"/>
            <w:rFonts w:ascii="Gill Sans MT" w:hAnsi="Gill Sans MT"/>
            <w:noProof/>
          </w:rPr>
          <w:t>The Path Forward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_Toc447276077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w:t>
        </w:r>
        <w:r w:rsidR="00F82500" w:rsidRPr="00825D0C">
          <w:rPr>
            <w:rFonts w:ascii="Gill Sans MT" w:hAnsi="Gill Sans MT"/>
            <w:noProof/>
            <w:webHidden/>
          </w:rPr>
          <w:fldChar w:fldCharType="end"/>
        </w:r>
      </w:hyperlink>
    </w:p>
    <w:p w14:paraId="194B7EB2" w14:textId="77777777" w:rsidR="00F82500" w:rsidRPr="00825D0C" w:rsidRDefault="00943AA8">
      <w:pPr>
        <w:pStyle w:val="TOC2"/>
        <w:tabs>
          <w:tab w:val="right" w:leader="dot" w:pos="11078"/>
        </w:tabs>
        <w:rPr>
          <w:rFonts w:ascii="Gill Sans MT" w:eastAsiaTheme="minorEastAsia" w:hAnsi="Gill Sans MT"/>
          <w:noProof/>
        </w:rPr>
      </w:pPr>
      <w:hyperlink w:anchor="_Toc447276078" w:history="1">
        <w:r w:rsidR="00F82500" w:rsidRPr="00825D0C">
          <w:rPr>
            <w:rStyle w:val="Hyperlink"/>
            <w:rFonts w:ascii="Gill Sans MT" w:hAnsi="Gill Sans MT"/>
            <w:noProof/>
          </w:rPr>
          <w:t>Economic, Workforce and Workforce Development Activities Analysis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_Toc447276078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w:t>
        </w:r>
        <w:r w:rsidR="00F82500" w:rsidRPr="00825D0C">
          <w:rPr>
            <w:rFonts w:ascii="Gill Sans MT" w:hAnsi="Gill Sans MT"/>
            <w:noProof/>
            <w:webHidden/>
          </w:rPr>
          <w:fldChar w:fldCharType="end"/>
        </w:r>
      </w:hyperlink>
    </w:p>
    <w:p w14:paraId="00482A91" w14:textId="77777777" w:rsidR="00F82500" w:rsidRPr="00825D0C" w:rsidRDefault="00943AA8">
      <w:pPr>
        <w:pStyle w:val="TOC3"/>
        <w:tabs>
          <w:tab w:val="right" w:leader="dot" w:pos="11078"/>
        </w:tabs>
        <w:rPr>
          <w:rFonts w:ascii="Gill Sans MT" w:eastAsiaTheme="minorEastAsia" w:hAnsi="Gill Sans MT"/>
          <w:noProof/>
        </w:rPr>
      </w:pPr>
      <w:hyperlink w:anchor="_Toc447276079" w:history="1">
        <w:r w:rsidR="00F82500" w:rsidRPr="00825D0C">
          <w:rPr>
            <w:rStyle w:val="Hyperlink"/>
            <w:rFonts w:ascii="Gill Sans MT" w:hAnsi="Gill Sans MT"/>
            <w:noProof/>
          </w:rPr>
          <w:t>Overview</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_Toc447276079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w:t>
        </w:r>
        <w:r w:rsidR="00F82500" w:rsidRPr="00825D0C">
          <w:rPr>
            <w:rFonts w:ascii="Gill Sans MT" w:hAnsi="Gill Sans MT"/>
            <w:noProof/>
            <w:webHidden/>
          </w:rPr>
          <w:fldChar w:fldCharType="end"/>
        </w:r>
      </w:hyperlink>
    </w:p>
    <w:p w14:paraId="6B959D1E" w14:textId="77777777" w:rsidR="00F82500" w:rsidRPr="00825D0C" w:rsidRDefault="00943AA8">
      <w:pPr>
        <w:pStyle w:val="TOC3"/>
        <w:tabs>
          <w:tab w:val="right" w:leader="dot" w:pos="11078"/>
        </w:tabs>
        <w:rPr>
          <w:rFonts w:ascii="Gill Sans MT" w:eastAsiaTheme="minorEastAsia" w:hAnsi="Gill Sans MT"/>
          <w:noProof/>
        </w:rPr>
      </w:pPr>
      <w:hyperlink w:anchor="_Toc447276080" w:history="1">
        <w:r w:rsidR="00F82500" w:rsidRPr="00825D0C">
          <w:rPr>
            <w:rStyle w:val="Hyperlink"/>
            <w:rFonts w:ascii="Gill Sans MT" w:hAnsi="Gill Sans MT"/>
            <w:noProof/>
          </w:rPr>
          <w:t>Economic Indicators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w:t>
        </w:r>
        <w:r w:rsidR="00F82500" w:rsidRPr="00825D0C">
          <w:rPr>
            <w:rFonts w:ascii="Gill Sans MT" w:hAnsi="Gill Sans MT"/>
            <w:noProof/>
            <w:webHidden/>
          </w:rPr>
          <w:fldChar w:fldCharType="end"/>
        </w:r>
      </w:hyperlink>
    </w:p>
    <w:p w14:paraId="65B97AB0" w14:textId="77777777" w:rsidR="00F82500" w:rsidRPr="00825D0C" w:rsidRDefault="00943AA8">
      <w:pPr>
        <w:pStyle w:val="TOC3"/>
        <w:tabs>
          <w:tab w:val="right" w:leader="dot" w:pos="11078"/>
        </w:tabs>
        <w:rPr>
          <w:rFonts w:ascii="Gill Sans MT" w:eastAsiaTheme="minorEastAsia" w:hAnsi="Gill Sans MT"/>
          <w:noProof/>
        </w:rPr>
      </w:pPr>
      <w:hyperlink w:anchor="_Toc447276081" w:history="1">
        <w:r w:rsidR="00F82500" w:rsidRPr="00825D0C">
          <w:rPr>
            <w:rStyle w:val="Hyperlink"/>
            <w:rFonts w:ascii="Gill Sans MT" w:hAnsi="Gill Sans MT"/>
            <w:noProof/>
          </w:rPr>
          <w:t>Total Nonfarm Employment and Recovery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20</w:t>
        </w:r>
        <w:r w:rsidR="00F82500" w:rsidRPr="00825D0C">
          <w:rPr>
            <w:rFonts w:ascii="Gill Sans MT" w:hAnsi="Gill Sans MT"/>
            <w:noProof/>
            <w:webHidden/>
          </w:rPr>
          <w:fldChar w:fldCharType="end"/>
        </w:r>
      </w:hyperlink>
    </w:p>
    <w:p w14:paraId="17A4A4A8" w14:textId="77777777" w:rsidR="00F82500" w:rsidRPr="00825D0C" w:rsidRDefault="00943AA8">
      <w:pPr>
        <w:pStyle w:val="TOC3"/>
        <w:tabs>
          <w:tab w:val="right" w:leader="dot" w:pos="11078"/>
        </w:tabs>
        <w:rPr>
          <w:rFonts w:ascii="Gill Sans MT" w:eastAsiaTheme="minorEastAsia" w:hAnsi="Gill Sans MT"/>
          <w:noProof/>
        </w:rPr>
      </w:pPr>
      <w:hyperlink w:anchor="_Toc447276082" w:history="1">
        <w:r w:rsidR="00F82500" w:rsidRPr="00825D0C">
          <w:rPr>
            <w:rStyle w:val="Hyperlink"/>
            <w:rFonts w:ascii="Gill Sans MT" w:hAnsi="Gill Sans MT"/>
            <w:noProof/>
          </w:rPr>
          <w:t>Growth, Emerging, and Target Industries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21</w:t>
        </w:r>
        <w:r w:rsidR="00F82500" w:rsidRPr="00825D0C">
          <w:rPr>
            <w:rFonts w:ascii="Gill Sans MT" w:hAnsi="Gill Sans MT"/>
            <w:noProof/>
            <w:webHidden/>
          </w:rPr>
          <w:fldChar w:fldCharType="end"/>
        </w:r>
      </w:hyperlink>
    </w:p>
    <w:p w14:paraId="224D7808" w14:textId="77777777" w:rsidR="00F82500" w:rsidRPr="00825D0C" w:rsidRDefault="00943AA8">
      <w:pPr>
        <w:pStyle w:val="TOC2"/>
        <w:tabs>
          <w:tab w:val="right" w:leader="dot" w:pos="11078"/>
        </w:tabs>
        <w:rPr>
          <w:rFonts w:ascii="Gill Sans MT" w:eastAsiaTheme="minorEastAsia" w:hAnsi="Gill Sans MT"/>
          <w:noProof/>
        </w:rPr>
      </w:pPr>
      <w:hyperlink w:anchor="_Toc447276083" w:history="1">
        <w:r w:rsidR="00F82500" w:rsidRPr="00825D0C">
          <w:rPr>
            <w:rStyle w:val="Hyperlink"/>
            <w:rFonts w:ascii="Gill Sans MT" w:hAnsi="Gill Sans MT"/>
            <w:noProof/>
          </w:rPr>
          <w:t>Growth and Emerging Occupations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24</w:t>
        </w:r>
        <w:r w:rsidR="00F82500" w:rsidRPr="00825D0C">
          <w:rPr>
            <w:rFonts w:ascii="Gill Sans MT" w:hAnsi="Gill Sans MT"/>
            <w:noProof/>
            <w:webHidden/>
          </w:rPr>
          <w:fldChar w:fldCharType="end"/>
        </w:r>
      </w:hyperlink>
    </w:p>
    <w:p w14:paraId="11028AD3" w14:textId="77777777" w:rsidR="00F82500" w:rsidRPr="00825D0C" w:rsidRDefault="00943AA8">
      <w:pPr>
        <w:pStyle w:val="TOC3"/>
        <w:tabs>
          <w:tab w:val="right" w:leader="dot" w:pos="11078"/>
        </w:tabs>
        <w:rPr>
          <w:rFonts w:ascii="Gill Sans MT" w:eastAsiaTheme="minorEastAsia" w:hAnsi="Gill Sans MT"/>
          <w:noProof/>
        </w:rPr>
      </w:pPr>
      <w:hyperlink w:anchor="_Toc447276084" w:history="1">
        <w:r w:rsidR="00F82500" w:rsidRPr="00825D0C">
          <w:rPr>
            <w:rStyle w:val="Hyperlink"/>
            <w:rFonts w:ascii="Gill Sans MT" w:hAnsi="Gill Sans MT"/>
            <w:noProof/>
          </w:rPr>
          <w:t>Growth Occupations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24</w:t>
        </w:r>
        <w:r w:rsidR="00F82500" w:rsidRPr="00825D0C">
          <w:rPr>
            <w:rFonts w:ascii="Gill Sans MT" w:hAnsi="Gill Sans MT"/>
            <w:noProof/>
            <w:webHidden/>
          </w:rPr>
          <w:fldChar w:fldCharType="end"/>
        </w:r>
      </w:hyperlink>
    </w:p>
    <w:p w14:paraId="299471CF" w14:textId="77777777" w:rsidR="00F82500" w:rsidRPr="00825D0C" w:rsidRDefault="00943AA8">
      <w:pPr>
        <w:pStyle w:val="TOC3"/>
        <w:tabs>
          <w:tab w:val="right" w:leader="dot" w:pos="11078"/>
        </w:tabs>
        <w:rPr>
          <w:rFonts w:ascii="Gill Sans MT" w:eastAsiaTheme="minorEastAsia" w:hAnsi="Gill Sans MT"/>
          <w:noProof/>
        </w:rPr>
      </w:pPr>
      <w:hyperlink w:anchor="_Toc447276085" w:history="1">
        <w:r w:rsidR="00F82500" w:rsidRPr="00825D0C">
          <w:rPr>
            <w:rStyle w:val="Hyperlink"/>
            <w:rFonts w:ascii="Gill Sans MT" w:hAnsi="Gill Sans MT"/>
            <w:noProof/>
          </w:rPr>
          <w:t>Emerging Occupations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25</w:t>
        </w:r>
        <w:r w:rsidR="00F82500" w:rsidRPr="00825D0C">
          <w:rPr>
            <w:rFonts w:ascii="Gill Sans MT" w:hAnsi="Gill Sans MT"/>
            <w:noProof/>
            <w:webHidden/>
          </w:rPr>
          <w:fldChar w:fldCharType="end"/>
        </w:r>
      </w:hyperlink>
    </w:p>
    <w:p w14:paraId="3EDECBAB" w14:textId="77777777" w:rsidR="00F82500" w:rsidRPr="00825D0C" w:rsidRDefault="00943AA8">
      <w:pPr>
        <w:pStyle w:val="TOC2"/>
        <w:tabs>
          <w:tab w:val="right" w:leader="dot" w:pos="11078"/>
        </w:tabs>
        <w:rPr>
          <w:rFonts w:ascii="Gill Sans MT" w:eastAsiaTheme="minorEastAsia" w:hAnsi="Gill Sans MT"/>
          <w:noProof/>
        </w:rPr>
      </w:pPr>
      <w:hyperlink w:anchor="_Toc447276086" w:history="1">
        <w:r w:rsidR="00F82500" w:rsidRPr="00825D0C">
          <w:rPr>
            <w:rStyle w:val="Hyperlink"/>
            <w:rFonts w:ascii="Gill Sans MT" w:hAnsi="Gill Sans MT"/>
            <w:noProof/>
          </w:rPr>
          <w:t>Employers’ Employment Needs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25</w:t>
        </w:r>
        <w:r w:rsidR="00F82500" w:rsidRPr="00825D0C">
          <w:rPr>
            <w:rFonts w:ascii="Gill Sans MT" w:hAnsi="Gill Sans MT"/>
            <w:noProof/>
            <w:webHidden/>
          </w:rPr>
          <w:fldChar w:fldCharType="end"/>
        </w:r>
      </w:hyperlink>
    </w:p>
    <w:p w14:paraId="0438452D" w14:textId="77777777" w:rsidR="00F82500" w:rsidRPr="00825D0C" w:rsidRDefault="00943AA8">
      <w:pPr>
        <w:pStyle w:val="TOC2"/>
        <w:tabs>
          <w:tab w:val="right" w:leader="dot" w:pos="11078"/>
        </w:tabs>
        <w:rPr>
          <w:rFonts w:ascii="Gill Sans MT" w:eastAsiaTheme="minorEastAsia" w:hAnsi="Gill Sans MT"/>
          <w:noProof/>
        </w:rPr>
      </w:pPr>
      <w:hyperlink w:anchor="_Toc447276087" w:history="1">
        <w:r w:rsidR="00F82500" w:rsidRPr="00825D0C">
          <w:rPr>
            <w:rStyle w:val="Hyperlink"/>
            <w:rFonts w:ascii="Gill Sans MT" w:hAnsi="Gill Sans MT"/>
            <w:noProof/>
          </w:rPr>
          <w:t>Workforce Analysis: Population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29</w:t>
        </w:r>
        <w:r w:rsidR="00F82500" w:rsidRPr="00825D0C">
          <w:rPr>
            <w:rFonts w:ascii="Gill Sans MT" w:hAnsi="Gill Sans MT"/>
            <w:noProof/>
            <w:webHidden/>
          </w:rPr>
          <w:fldChar w:fldCharType="end"/>
        </w:r>
      </w:hyperlink>
    </w:p>
    <w:p w14:paraId="7DC291F5" w14:textId="77777777" w:rsidR="00F82500" w:rsidRPr="00825D0C" w:rsidRDefault="00943AA8">
      <w:pPr>
        <w:pStyle w:val="TOC2"/>
        <w:tabs>
          <w:tab w:val="right" w:leader="dot" w:pos="11078"/>
        </w:tabs>
        <w:rPr>
          <w:rFonts w:ascii="Gill Sans MT" w:eastAsiaTheme="minorEastAsia" w:hAnsi="Gill Sans MT"/>
          <w:noProof/>
        </w:rPr>
      </w:pPr>
      <w:hyperlink w:anchor="_Toc447276088" w:history="1">
        <w:r w:rsidR="00F82500" w:rsidRPr="00825D0C">
          <w:rPr>
            <w:rStyle w:val="Hyperlink"/>
            <w:rFonts w:ascii="Gill Sans MT" w:hAnsi="Gill Sans MT"/>
            <w:noProof/>
          </w:rPr>
          <w:t>Workforce: Characteristics of the Employed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31</w:t>
        </w:r>
        <w:r w:rsidR="00F82500" w:rsidRPr="00825D0C">
          <w:rPr>
            <w:rFonts w:ascii="Gill Sans MT" w:hAnsi="Gill Sans MT"/>
            <w:noProof/>
            <w:webHidden/>
          </w:rPr>
          <w:fldChar w:fldCharType="end"/>
        </w:r>
      </w:hyperlink>
    </w:p>
    <w:p w14:paraId="2C665034" w14:textId="77777777" w:rsidR="00F82500" w:rsidRPr="00825D0C" w:rsidRDefault="00943AA8">
      <w:pPr>
        <w:pStyle w:val="TOC2"/>
        <w:tabs>
          <w:tab w:val="right" w:leader="dot" w:pos="11078"/>
        </w:tabs>
        <w:rPr>
          <w:rFonts w:ascii="Gill Sans MT" w:eastAsiaTheme="minorEastAsia" w:hAnsi="Gill Sans MT"/>
          <w:noProof/>
        </w:rPr>
      </w:pPr>
      <w:hyperlink w:anchor="_Toc447276089" w:history="1">
        <w:r w:rsidR="00F82500" w:rsidRPr="00825D0C">
          <w:rPr>
            <w:rStyle w:val="Hyperlink"/>
            <w:rFonts w:ascii="Gill Sans MT" w:hAnsi="Gill Sans MT"/>
            <w:noProof/>
          </w:rPr>
          <w:t>Workforce: Characteristics of the Unemployed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_Toc447276089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31</w:t>
        </w:r>
        <w:r w:rsidR="00F82500" w:rsidRPr="00825D0C">
          <w:rPr>
            <w:rFonts w:ascii="Gill Sans MT" w:hAnsi="Gill Sans MT"/>
            <w:noProof/>
            <w:webHidden/>
          </w:rPr>
          <w:fldChar w:fldCharType="end"/>
        </w:r>
      </w:hyperlink>
    </w:p>
    <w:p w14:paraId="6C1F9974" w14:textId="77777777" w:rsidR="00F82500" w:rsidRPr="00825D0C" w:rsidRDefault="00943AA8">
      <w:pPr>
        <w:pStyle w:val="TOC3"/>
        <w:tabs>
          <w:tab w:val="right" w:leader="dot" w:pos="11078"/>
        </w:tabs>
        <w:rPr>
          <w:rFonts w:ascii="Gill Sans MT" w:eastAsiaTheme="minorEastAsia" w:hAnsi="Gill Sans MT"/>
          <w:noProof/>
        </w:rPr>
      </w:pPr>
      <w:hyperlink w:anchor="_Toc447276090" w:history="1">
        <w:r w:rsidR="00F82500" w:rsidRPr="00825D0C">
          <w:rPr>
            <w:rStyle w:val="Hyperlink"/>
            <w:rFonts w:ascii="Gill Sans MT" w:hAnsi="Gill Sans MT"/>
            <w:noProof/>
          </w:rPr>
          <w:t>Employment and Unemployment Trends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32</w:t>
        </w:r>
        <w:r w:rsidR="00F82500" w:rsidRPr="00825D0C">
          <w:rPr>
            <w:rFonts w:ascii="Gill Sans MT" w:hAnsi="Gill Sans MT"/>
            <w:noProof/>
            <w:webHidden/>
          </w:rPr>
          <w:fldChar w:fldCharType="end"/>
        </w:r>
      </w:hyperlink>
    </w:p>
    <w:p w14:paraId="134EEAAF" w14:textId="77777777" w:rsidR="00F82500" w:rsidRPr="00825D0C" w:rsidRDefault="00943AA8">
      <w:pPr>
        <w:pStyle w:val="TOC2"/>
        <w:tabs>
          <w:tab w:val="right" w:leader="dot" w:pos="11078"/>
        </w:tabs>
        <w:rPr>
          <w:rFonts w:ascii="Gill Sans MT" w:eastAsiaTheme="minorEastAsia" w:hAnsi="Gill Sans MT"/>
          <w:noProof/>
        </w:rPr>
      </w:pPr>
      <w:hyperlink w:anchor="_Toc447276091" w:history="1">
        <w:r w:rsidR="00F82500" w:rsidRPr="00825D0C">
          <w:rPr>
            <w:rStyle w:val="Hyperlink"/>
            <w:rFonts w:ascii="Gill Sans MT" w:hAnsi="Gill Sans MT"/>
            <w:noProof/>
          </w:rPr>
          <w:t>Skills Gap Analysis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38</w:t>
        </w:r>
        <w:r w:rsidR="00F82500" w:rsidRPr="00825D0C">
          <w:rPr>
            <w:rFonts w:ascii="Gill Sans MT" w:hAnsi="Gill Sans MT"/>
            <w:noProof/>
            <w:webHidden/>
          </w:rPr>
          <w:fldChar w:fldCharType="end"/>
        </w:r>
      </w:hyperlink>
    </w:p>
    <w:p w14:paraId="558DF27F" w14:textId="77777777" w:rsidR="00F82500" w:rsidRPr="00825D0C" w:rsidRDefault="00943AA8">
      <w:pPr>
        <w:pStyle w:val="TOC2"/>
        <w:tabs>
          <w:tab w:val="right" w:leader="dot" w:pos="11078"/>
        </w:tabs>
        <w:rPr>
          <w:rFonts w:ascii="Gill Sans MT" w:eastAsiaTheme="minorEastAsia" w:hAnsi="Gill Sans MT"/>
          <w:noProof/>
        </w:rPr>
      </w:pPr>
      <w:hyperlink w:anchor="_Toc447276092" w:history="1">
        <w:r w:rsidR="00F82500" w:rsidRPr="00825D0C">
          <w:rPr>
            <w:rStyle w:val="Hyperlink"/>
            <w:rFonts w:ascii="Gill Sans MT" w:hAnsi="Gill Sans MT"/>
            <w:noProof/>
          </w:rPr>
          <w:t>Labor Market Trends and Projections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41</w:t>
        </w:r>
        <w:r w:rsidR="00F82500" w:rsidRPr="00825D0C">
          <w:rPr>
            <w:rFonts w:ascii="Gill Sans MT" w:hAnsi="Gill Sans MT"/>
            <w:noProof/>
            <w:webHidden/>
          </w:rPr>
          <w:fldChar w:fldCharType="end"/>
        </w:r>
      </w:hyperlink>
    </w:p>
    <w:p w14:paraId="419CD172" w14:textId="77777777" w:rsidR="00F82500" w:rsidRPr="00825D0C" w:rsidRDefault="00943AA8">
      <w:pPr>
        <w:pStyle w:val="TOC2"/>
        <w:tabs>
          <w:tab w:val="right" w:leader="dot" w:pos="11078"/>
        </w:tabs>
        <w:rPr>
          <w:rFonts w:ascii="Gill Sans MT" w:eastAsiaTheme="minorEastAsia" w:hAnsi="Gill Sans MT"/>
          <w:noProof/>
        </w:rPr>
      </w:pPr>
      <w:hyperlink w:anchor="_Toc447276093" w:history="1">
        <w:r w:rsidR="00F82500" w:rsidRPr="00825D0C">
          <w:rPr>
            <w:rStyle w:val="Hyperlink"/>
            <w:rFonts w:ascii="Gill Sans MT" w:hAnsi="Gill Sans MT"/>
            <w:noProof/>
          </w:rPr>
          <w:t>Conclusion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42</w:t>
        </w:r>
        <w:r w:rsidR="00F82500" w:rsidRPr="00825D0C">
          <w:rPr>
            <w:rFonts w:ascii="Gill Sans MT" w:hAnsi="Gill Sans MT"/>
            <w:noProof/>
            <w:webHidden/>
          </w:rPr>
          <w:fldChar w:fldCharType="end"/>
        </w:r>
      </w:hyperlink>
    </w:p>
    <w:p w14:paraId="381BDE0D" w14:textId="77777777" w:rsidR="00F82500" w:rsidRPr="00825D0C" w:rsidRDefault="00943AA8">
      <w:pPr>
        <w:pStyle w:val="TOC2"/>
        <w:tabs>
          <w:tab w:val="right" w:leader="dot" w:pos="11078"/>
        </w:tabs>
        <w:rPr>
          <w:rFonts w:ascii="Gill Sans MT" w:eastAsiaTheme="minorEastAsia" w:hAnsi="Gill Sans MT"/>
          <w:noProof/>
        </w:rPr>
      </w:pPr>
      <w:hyperlink w:anchor="_Toc447276094" w:history="1">
        <w:r w:rsidR="00F82500" w:rsidRPr="00825D0C">
          <w:rPr>
            <w:rStyle w:val="Hyperlink"/>
            <w:rFonts w:ascii="Gill Sans MT" w:hAnsi="Gill Sans MT"/>
            <w:noProof/>
          </w:rPr>
          <w:t>Workforce Development, Education and Training Activities Analysis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42</w:t>
        </w:r>
        <w:r w:rsidR="00F82500" w:rsidRPr="00825D0C">
          <w:rPr>
            <w:rFonts w:ascii="Gill Sans MT" w:hAnsi="Gill Sans MT"/>
            <w:noProof/>
            <w:webHidden/>
          </w:rPr>
          <w:fldChar w:fldCharType="end"/>
        </w:r>
      </w:hyperlink>
    </w:p>
    <w:p w14:paraId="2022782F" w14:textId="77777777" w:rsidR="00F82500" w:rsidRPr="00825D0C" w:rsidRDefault="00943AA8">
      <w:pPr>
        <w:pStyle w:val="TOC3"/>
        <w:tabs>
          <w:tab w:val="right" w:leader="dot" w:pos="11078"/>
        </w:tabs>
        <w:rPr>
          <w:rFonts w:ascii="Gill Sans MT" w:eastAsiaTheme="minorEastAsia" w:hAnsi="Gill Sans MT"/>
          <w:noProof/>
        </w:rPr>
      </w:pPr>
      <w:hyperlink w:anchor="_Toc447276095" w:history="1">
        <w:r w:rsidR="00F82500" w:rsidRPr="00825D0C">
          <w:rPr>
            <w:rStyle w:val="Hyperlink"/>
            <w:rFonts w:ascii="Gill Sans MT" w:hAnsi="Gill Sans MT"/>
            <w:noProof/>
          </w:rPr>
          <w:t>DLLR – Division of Workforce Development and Adult Learning</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42</w:t>
        </w:r>
        <w:r w:rsidR="00F82500" w:rsidRPr="00825D0C">
          <w:rPr>
            <w:rFonts w:ascii="Gill Sans MT" w:hAnsi="Gill Sans MT"/>
            <w:noProof/>
            <w:webHidden/>
          </w:rPr>
          <w:fldChar w:fldCharType="end"/>
        </w:r>
      </w:hyperlink>
    </w:p>
    <w:p w14:paraId="65696648" w14:textId="77777777" w:rsidR="00F82500" w:rsidRPr="00825D0C" w:rsidRDefault="00943AA8">
      <w:pPr>
        <w:pStyle w:val="TOC3"/>
        <w:tabs>
          <w:tab w:val="right" w:leader="dot" w:pos="11078"/>
        </w:tabs>
        <w:rPr>
          <w:rFonts w:ascii="Gill Sans MT" w:eastAsiaTheme="minorEastAsia" w:hAnsi="Gill Sans MT"/>
          <w:noProof/>
        </w:rPr>
      </w:pPr>
      <w:hyperlink w:anchor="_Toc447276096" w:history="1">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46</w:t>
        </w:r>
        <w:r w:rsidR="00F82500" w:rsidRPr="00825D0C">
          <w:rPr>
            <w:rFonts w:ascii="Gill Sans MT" w:hAnsi="Gill Sans MT"/>
            <w:noProof/>
            <w:webHidden/>
          </w:rPr>
          <w:fldChar w:fldCharType="end"/>
        </w:r>
      </w:hyperlink>
    </w:p>
    <w:p w14:paraId="1785D5BD" w14:textId="77777777" w:rsidR="00F82500" w:rsidRPr="00825D0C" w:rsidRDefault="00943AA8">
      <w:pPr>
        <w:pStyle w:val="TOC2"/>
        <w:tabs>
          <w:tab w:val="right" w:leader="dot" w:pos="11078"/>
        </w:tabs>
        <w:rPr>
          <w:rFonts w:ascii="Gill Sans MT" w:eastAsiaTheme="minorEastAsia" w:hAnsi="Gill Sans MT"/>
          <w:noProof/>
        </w:rPr>
      </w:pPr>
      <w:hyperlink w:anchor="_Toc447276097" w:history="1">
        <w:r w:rsidR="00F82500" w:rsidRPr="00825D0C">
          <w:rPr>
            <w:rStyle w:val="Hyperlink"/>
            <w:rFonts w:ascii="Gill Sans MT" w:hAnsi="Gill Sans MT"/>
            <w:noProof/>
          </w:rPr>
          <w:t>TANF Program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46</w:t>
        </w:r>
        <w:r w:rsidR="00F82500" w:rsidRPr="00825D0C">
          <w:rPr>
            <w:rFonts w:ascii="Gill Sans MT" w:hAnsi="Gill Sans MT"/>
            <w:noProof/>
            <w:webHidden/>
          </w:rPr>
          <w:fldChar w:fldCharType="end"/>
        </w:r>
      </w:hyperlink>
    </w:p>
    <w:p w14:paraId="046577A0" w14:textId="77777777" w:rsidR="00F82500" w:rsidRPr="00825D0C" w:rsidRDefault="00943AA8">
      <w:pPr>
        <w:pStyle w:val="TOC2"/>
        <w:tabs>
          <w:tab w:val="right" w:leader="dot" w:pos="11078"/>
        </w:tabs>
        <w:rPr>
          <w:rFonts w:ascii="Gill Sans MT" w:eastAsiaTheme="minorEastAsia" w:hAnsi="Gill Sans MT"/>
          <w:noProof/>
        </w:rPr>
      </w:pPr>
      <w:hyperlink w:anchor="_Toc447276098" w:history="1">
        <w:r w:rsidR="00F82500" w:rsidRPr="00825D0C">
          <w:rPr>
            <w:rStyle w:val="Hyperlink"/>
            <w:rFonts w:ascii="Gill Sans MT" w:hAnsi="Gill Sans MT"/>
            <w:noProof/>
          </w:rPr>
          <w:t>Assessments, Performance and Alignment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49</w:t>
        </w:r>
        <w:r w:rsidR="00F82500" w:rsidRPr="00825D0C">
          <w:rPr>
            <w:rFonts w:ascii="Gill Sans MT" w:hAnsi="Gill Sans MT"/>
            <w:noProof/>
            <w:webHidden/>
          </w:rPr>
          <w:fldChar w:fldCharType="end"/>
        </w:r>
      </w:hyperlink>
    </w:p>
    <w:p w14:paraId="43AADEEF" w14:textId="77777777" w:rsidR="00F82500" w:rsidRPr="00825D0C" w:rsidRDefault="00943AA8">
      <w:pPr>
        <w:pStyle w:val="TOC3"/>
        <w:tabs>
          <w:tab w:val="right" w:leader="dot" w:pos="11078"/>
        </w:tabs>
        <w:rPr>
          <w:rFonts w:ascii="Gill Sans MT" w:eastAsiaTheme="minorEastAsia" w:hAnsi="Gill Sans MT"/>
          <w:noProof/>
        </w:rPr>
      </w:pPr>
      <w:hyperlink w:anchor="_Toc447276099" w:history="1">
        <w:r w:rsidR="00F82500" w:rsidRPr="00825D0C">
          <w:rPr>
            <w:rStyle w:val="Hyperlink"/>
            <w:rFonts w:ascii="Gill Sans MT" w:hAnsi="Gill Sans MT"/>
            <w:noProof/>
          </w:rPr>
          <w:t>Alignment Group and Refocusing of the Maryland WIOA Workgroups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_Toc447276099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49</w:t>
        </w:r>
        <w:r w:rsidR="00F82500" w:rsidRPr="00825D0C">
          <w:rPr>
            <w:rFonts w:ascii="Gill Sans MT" w:hAnsi="Gill Sans MT"/>
            <w:noProof/>
            <w:webHidden/>
          </w:rPr>
          <w:fldChar w:fldCharType="end"/>
        </w:r>
      </w:hyperlink>
    </w:p>
    <w:p w14:paraId="0D375E4E" w14:textId="77777777" w:rsidR="00F82500" w:rsidRPr="00825D0C" w:rsidRDefault="00943AA8">
      <w:pPr>
        <w:pStyle w:val="TOC3"/>
        <w:tabs>
          <w:tab w:val="right" w:leader="dot" w:pos="11078"/>
        </w:tabs>
        <w:rPr>
          <w:rFonts w:ascii="Gill Sans MT" w:eastAsiaTheme="minorEastAsia" w:hAnsi="Gill Sans MT"/>
          <w:noProof/>
        </w:rPr>
      </w:pPr>
      <w:hyperlink w:anchor="_Toc447276100" w:history="1">
        <w:r w:rsidR="00F82500" w:rsidRPr="00825D0C">
          <w:rPr>
            <w:rStyle w:val="Hyperlink"/>
            <w:rFonts w:ascii="Gill Sans MT" w:hAnsi="Gill Sans MT"/>
            <w:noProof/>
          </w:rPr>
          <w:t>Jobseeker Advisory Focus Groups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_Toc447276100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50</w:t>
        </w:r>
        <w:r w:rsidR="00F82500" w:rsidRPr="00825D0C">
          <w:rPr>
            <w:rFonts w:ascii="Gill Sans MT" w:hAnsi="Gill Sans MT"/>
            <w:noProof/>
            <w:webHidden/>
          </w:rPr>
          <w:fldChar w:fldCharType="end"/>
        </w:r>
      </w:hyperlink>
    </w:p>
    <w:p w14:paraId="202983E5" w14:textId="77777777" w:rsidR="00F82500" w:rsidRPr="00825D0C" w:rsidRDefault="00943AA8">
      <w:pPr>
        <w:pStyle w:val="TOC3"/>
        <w:tabs>
          <w:tab w:val="right" w:leader="dot" w:pos="11078"/>
        </w:tabs>
        <w:rPr>
          <w:rFonts w:ascii="Gill Sans MT" w:eastAsiaTheme="minorEastAsia" w:hAnsi="Gill Sans MT"/>
          <w:noProof/>
        </w:rPr>
      </w:pPr>
      <w:hyperlink w:anchor="_Toc447276101" w:history="1">
        <w:r w:rsidR="00F82500" w:rsidRPr="00825D0C">
          <w:rPr>
            <w:rStyle w:val="Hyperlink"/>
            <w:rFonts w:ascii="Gill Sans MT" w:hAnsi="Gill Sans MT"/>
            <w:noProof/>
          </w:rPr>
          <w:t>Maryland State WIOA Convening</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_Toc447276101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50</w:t>
        </w:r>
        <w:r w:rsidR="00F82500" w:rsidRPr="00825D0C">
          <w:rPr>
            <w:rFonts w:ascii="Gill Sans MT" w:hAnsi="Gill Sans MT"/>
            <w:noProof/>
            <w:webHidden/>
          </w:rPr>
          <w:fldChar w:fldCharType="end"/>
        </w:r>
      </w:hyperlink>
    </w:p>
    <w:p w14:paraId="73B5AC73" w14:textId="77777777" w:rsidR="00F82500" w:rsidRPr="00825D0C" w:rsidRDefault="00943AA8">
      <w:pPr>
        <w:pStyle w:val="TOC1"/>
        <w:tabs>
          <w:tab w:val="right" w:leader="dot" w:pos="11078"/>
        </w:tabs>
        <w:rPr>
          <w:rFonts w:ascii="Gill Sans MT" w:eastAsiaTheme="minorEastAsia" w:hAnsi="Gill Sans MT"/>
          <w:noProof/>
        </w:rPr>
      </w:pPr>
      <w:hyperlink w:anchor="_Toc447276102" w:history="1">
        <w:r w:rsidR="00F82500" w:rsidRPr="00825D0C">
          <w:rPr>
            <w:rStyle w:val="Hyperlink"/>
            <w:rFonts w:ascii="Gill Sans MT" w:hAnsi="Gill Sans MT" w:cs="Times New Roman"/>
            <w:noProof/>
          </w:rPr>
          <w:t>PART 3. OPERATIONAL PLANNING ELEMENTS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_Toc447276102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51</w:t>
        </w:r>
        <w:r w:rsidR="00F82500" w:rsidRPr="00825D0C">
          <w:rPr>
            <w:rFonts w:ascii="Gill Sans MT" w:hAnsi="Gill Sans MT"/>
            <w:noProof/>
            <w:webHidden/>
          </w:rPr>
          <w:fldChar w:fldCharType="end"/>
        </w:r>
      </w:hyperlink>
    </w:p>
    <w:p w14:paraId="1BA5A3D4" w14:textId="77777777" w:rsidR="00F82500" w:rsidRPr="00825D0C" w:rsidRDefault="00943AA8">
      <w:pPr>
        <w:pStyle w:val="TOC2"/>
        <w:tabs>
          <w:tab w:val="right" w:leader="dot" w:pos="11078"/>
        </w:tabs>
        <w:rPr>
          <w:rFonts w:ascii="Gill Sans MT" w:eastAsiaTheme="minorEastAsia" w:hAnsi="Gill Sans MT"/>
          <w:noProof/>
        </w:rPr>
      </w:pPr>
      <w:hyperlink w:anchor="_Toc447276103" w:history="1">
        <w:r w:rsidR="00F82500" w:rsidRPr="00825D0C">
          <w:rPr>
            <w:rStyle w:val="Hyperlink"/>
            <w:rFonts w:ascii="Gill Sans MT" w:hAnsi="Gill Sans MT"/>
            <w:noProof/>
          </w:rPr>
          <w:t>STATE STRATEGY IMPLEMENTATION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_Toc447276103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51</w:t>
        </w:r>
        <w:r w:rsidR="00F82500" w:rsidRPr="00825D0C">
          <w:rPr>
            <w:rFonts w:ascii="Gill Sans MT" w:hAnsi="Gill Sans MT"/>
            <w:noProof/>
            <w:webHidden/>
          </w:rPr>
          <w:fldChar w:fldCharType="end"/>
        </w:r>
      </w:hyperlink>
    </w:p>
    <w:p w14:paraId="3C8AACA5" w14:textId="77777777" w:rsidR="00F82500" w:rsidRPr="00825D0C" w:rsidRDefault="00943AA8">
      <w:pPr>
        <w:pStyle w:val="TOC2"/>
        <w:tabs>
          <w:tab w:val="right" w:leader="dot" w:pos="11078"/>
        </w:tabs>
        <w:rPr>
          <w:rFonts w:ascii="Gill Sans MT" w:eastAsiaTheme="minorEastAsia" w:hAnsi="Gill Sans MT"/>
          <w:noProof/>
        </w:rPr>
      </w:pPr>
      <w:hyperlink w:anchor="_Toc447276104" w:history="1">
        <w:r w:rsidR="00F82500" w:rsidRPr="00825D0C">
          <w:rPr>
            <w:rStyle w:val="Hyperlink"/>
            <w:rFonts w:ascii="Gill Sans MT" w:hAnsi="Gill Sans MT"/>
            <w:noProof/>
          </w:rPr>
          <w:t>Implementation of Maryland’s Strategy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_Toc447276104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52</w:t>
        </w:r>
        <w:r w:rsidR="00F82500" w:rsidRPr="00825D0C">
          <w:rPr>
            <w:rFonts w:ascii="Gill Sans MT" w:hAnsi="Gill Sans MT"/>
            <w:noProof/>
            <w:webHidden/>
          </w:rPr>
          <w:fldChar w:fldCharType="end"/>
        </w:r>
      </w:hyperlink>
    </w:p>
    <w:p w14:paraId="2F0E0B5C" w14:textId="77777777" w:rsidR="00F82500" w:rsidRPr="00825D0C" w:rsidRDefault="00943AA8">
      <w:pPr>
        <w:pStyle w:val="TOC2"/>
        <w:tabs>
          <w:tab w:val="right" w:leader="dot" w:pos="11078"/>
        </w:tabs>
        <w:rPr>
          <w:rFonts w:ascii="Gill Sans MT" w:eastAsiaTheme="minorEastAsia" w:hAnsi="Gill Sans MT"/>
          <w:noProof/>
        </w:rPr>
      </w:pPr>
      <w:hyperlink w:anchor="_Toc447276105" w:history="1">
        <w:r w:rsidR="00F82500" w:rsidRPr="00825D0C">
          <w:rPr>
            <w:rStyle w:val="Hyperlink"/>
            <w:rFonts w:ascii="Gill Sans MT" w:hAnsi="Gill Sans MT"/>
            <w:noProof/>
          </w:rPr>
          <w:t>Jobseekers as Customers: Coordination, Alignment, and Provision of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_Toc447276105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52</w:t>
        </w:r>
        <w:r w:rsidR="00F82500" w:rsidRPr="00825D0C">
          <w:rPr>
            <w:rFonts w:ascii="Gill Sans MT" w:hAnsi="Gill Sans MT"/>
            <w:noProof/>
            <w:webHidden/>
          </w:rPr>
          <w:fldChar w:fldCharType="end"/>
        </w:r>
      </w:hyperlink>
    </w:p>
    <w:p w14:paraId="48D6A4F5" w14:textId="77777777" w:rsidR="00F82500" w:rsidRPr="00825D0C" w:rsidRDefault="00943AA8">
      <w:pPr>
        <w:pStyle w:val="TOC2"/>
        <w:tabs>
          <w:tab w:val="right" w:leader="dot" w:pos="11078"/>
        </w:tabs>
        <w:rPr>
          <w:rFonts w:ascii="Gill Sans MT" w:eastAsiaTheme="minorEastAsia" w:hAnsi="Gill Sans MT"/>
          <w:noProof/>
        </w:rPr>
      </w:pPr>
      <w:hyperlink w:anchor="_Toc447276106" w:history="1">
        <w:r w:rsidR="00F82500" w:rsidRPr="00825D0C">
          <w:rPr>
            <w:rStyle w:val="Hyperlink"/>
            <w:rFonts w:ascii="Gill Sans MT" w:eastAsia="Times New Roman" w:hAnsi="Gill Sans MT"/>
            <w:noProof/>
          </w:rPr>
          <w:t>Priority of Service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_Toc447276106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54</w:t>
        </w:r>
        <w:r w:rsidR="00F82500" w:rsidRPr="00825D0C">
          <w:rPr>
            <w:rFonts w:ascii="Gill Sans MT" w:hAnsi="Gill Sans MT"/>
            <w:noProof/>
            <w:webHidden/>
          </w:rPr>
          <w:fldChar w:fldCharType="end"/>
        </w:r>
      </w:hyperlink>
    </w:p>
    <w:p w14:paraId="6D83315A" w14:textId="77777777" w:rsidR="00F82500" w:rsidRPr="00825D0C" w:rsidRDefault="00943AA8">
      <w:pPr>
        <w:pStyle w:val="TOC2"/>
        <w:tabs>
          <w:tab w:val="right" w:leader="dot" w:pos="11078"/>
        </w:tabs>
        <w:rPr>
          <w:rFonts w:ascii="Gill Sans MT" w:eastAsiaTheme="minorEastAsia" w:hAnsi="Gill Sans MT"/>
          <w:noProof/>
        </w:rPr>
      </w:pPr>
      <w:hyperlink w:anchor="_Toc447276107" w:history="1">
        <w:r w:rsidR="00F82500" w:rsidRPr="00825D0C">
          <w:rPr>
            <w:rStyle w:val="Hyperlink"/>
            <w:rFonts w:ascii="Gill Sans MT" w:hAnsi="Gill Sans MT"/>
            <w:noProof/>
          </w:rPr>
          <w:t>Supportive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_Toc447276107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55</w:t>
        </w:r>
        <w:r w:rsidR="00F82500" w:rsidRPr="00825D0C">
          <w:rPr>
            <w:rFonts w:ascii="Gill Sans MT" w:hAnsi="Gill Sans MT"/>
            <w:noProof/>
            <w:webHidden/>
          </w:rPr>
          <w:fldChar w:fldCharType="end"/>
        </w:r>
      </w:hyperlink>
    </w:p>
    <w:p w14:paraId="00F35282" w14:textId="77777777" w:rsidR="00F82500" w:rsidRPr="00825D0C" w:rsidRDefault="00943AA8">
      <w:pPr>
        <w:pStyle w:val="TOC2"/>
        <w:tabs>
          <w:tab w:val="right" w:leader="dot" w:pos="11078"/>
        </w:tabs>
        <w:rPr>
          <w:rFonts w:ascii="Gill Sans MT" w:eastAsiaTheme="minorEastAsia" w:hAnsi="Gill Sans MT"/>
          <w:noProof/>
        </w:rPr>
      </w:pPr>
      <w:hyperlink w:anchor="_Toc447276113" w:history="1">
        <w:r w:rsidR="00F82500" w:rsidRPr="00825D0C">
          <w:rPr>
            <w:rStyle w:val="Hyperlink"/>
            <w:rFonts w:ascii="Gill Sans MT" w:hAnsi="Gill Sans MT"/>
            <w:noProof/>
          </w:rPr>
          <w:t>Business as WIOA Customers: Coordination, Alignment and Provision of Services to Employers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_Toc447276113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55</w:t>
        </w:r>
        <w:r w:rsidR="00F82500" w:rsidRPr="00825D0C">
          <w:rPr>
            <w:rFonts w:ascii="Gill Sans MT" w:hAnsi="Gill Sans MT"/>
            <w:noProof/>
            <w:webHidden/>
          </w:rPr>
          <w:fldChar w:fldCharType="end"/>
        </w:r>
      </w:hyperlink>
    </w:p>
    <w:p w14:paraId="11B0EC31" w14:textId="77777777" w:rsidR="00F82500" w:rsidRPr="00825D0C" w:rsidRDefault="00943AA8">
      <w:pPr>
        <w:pStyle w:val="TOC2"/>
        <w:tabs>
          <w:tab w:val="right" w:leader="dot" w:pos="11078"/>
        </w:tabs>
        <w:rPr>
          <w:rFonts w:ascii="Gill Sans MT" w:eastAsiaTheme="minorEastAsia" w:hAnsi="Gill Sans MT"/>
          <w:noProof/>
        </w:rPr>
      </w:pPr>
      <w:hyperlink w:anchor="_Toc447276114" w:history="1">
        <w:r w:rsidR="00F82500" w:rsidRPr="00825D0C">
          <w:rPr>
            <w:rStyle w:val="Hyperlink"/>
            <w:rFonts w:ascii="Gill Sans MT" w:hAnsi="Gill Sans MT"/>
            <w:noProof/>
          </w:rPr>
          <w:t>Partnership with Education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_Toc447276114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56</w:t>
        </w:r>
        <w:r w:rsidR="00F82500" w:rsidRPr="00825D0C">
          <w:rPr>
            <w:rFonts w:ascii="Gill Sans MT" w:hAnsi="Gill Sans MT"/>
            <w:noProof/>
            <w:webHidden/>
          </w:rPr>
          <w:fldChar w:fldCharType="end"/>
        </w:r>
      </w:hyperlink>
    </w:p>
    <w:p w14:paraId="4B61D8A9" w14:textId="77777777" w:rsidR="00F82500" w:rsidRPr="00825D0C" w:rsidRDefault="00943AA8">
      <w:pPr>
        <w:pStyle w:val="TOC2"/>
        <w:tabs>
          <w:tab w:val="right" w:leader="dot" w:pos="11078"/>
        </w:tabs>
        <w:rPr>
          <w:rFonts w:ascii="Gill Sans MT" w:eastAsiaTheme="minorEastAsia" w:hAnsi="Gill Sans MT"/>
          <w:noProof/>
        </w:rPr>
      </w:pPr>
      <w:hyperlink w:anchor="_Toc447276115" w:history="1">
        <w:r w:rsidR="00F82500" w:rsidRPr="00825D0C">
          <w:rPr>
            <w:rStyle w:val="Hyperlink"/>
            <w:rFonts w:ascii="Gill Sans MT" w:hAnsi="Gill Sans MT"/>
            <w:noProof/>
          </w:rPr>
          <w:t>Coordinating with Commerce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_Toc447276115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58</w:t>
        </w:r>
        <w:r w:rsidR="00F82500" w:rsidRPr="00825D0C">
          <w:rPr>
            <w:rFonts w:ascii="Gill Sans MT" w:hAnsi="Gill Sans MT"/>
            <w:noProof/>
            <w:webHidden/>
          </w:rPr>
          <w:fldChar w:fldCharType="end"/>
        </w:r>
      </w:hyperlink>
    </w:p>
    <w:p w14:paraId="03C1ADF7" w14:textId="77777777" w:rsidR="00F82500" w:rsidRPr="00825D0C" w:rsidRDefault="00943AA8">
      <w:pPr>
        <w:pStyle w:val="TOC2"/>
        <w:tabs>
          <w:tab w:val="right" w:leader="dot" w:pos="11078"/>
        </w:tabs>
        <w:rPr>
          <w:rFonts w:ascii="Gill Sans MT" w:eastAsiaTheme="minorEastAsia" w:hAnsi="Gill Sans MT"/>
          <w:noProof/>
        </w:rPr>
      </w:pPr>
      <w:hyperlink w:anchor="_Toc447276116" w:history="1">
        <w:r w:rsidR="00F82500" w:rsidRPr="00825D0C">
          <w:rPr>
            <w:rStyle w:val="Hyperlink"/>
            <w:rFonts w:ascii="Gill Sans MT" w:hAnsi="Gill Sans MT"/>
            <w:noProof/>
          </w:rPr>
          <w:t>MARYLAND OPERATING SYSTEMS &amp; POLICIES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_Toc447276116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58</w:t>
        </w:r>
        <w:r w:rsidR="00F82500" w:rsidRPr="00825D0C">
          <w:rPr>
            <w:rFonts w:ascii="Gill Sans MT" w:hAnsi="Gill Sans MT"/>
            <w:noProof/>
            <w:webHidden/>
          </w:rPr>
          <w:fldChar w:fldCharType="end"/>
        </w:r>
      </w:hyperlink>
    </w:p>
    <w:p w14:paraId="383BA171" w14:textId="77777777" w:rsidR="00F82500" w:rsidRPr="00825D0C" w:rsidRDefault="00943AA8">
      <w:pPr>
        <w:pStyle w:val="TOC3"/>
        <w:tabs>
          <w:tab w:val="right" w:leader="dot" w:pos="11078"/>
        </w:tabs>
        <w:rPr>
          <w:rFonts w:ascii="Gill Sans MT" w:eastAsiaTheme="minorEastAsia" w:hAnsi="Gill Sans MT"/>
          <w:noProof/>
        </w:rPr>
      </w:pPr>
      <w:hyperlink w:anchor="_Toc447276117" w:history="1">
        <w:r w:rsidR="00F82500" w:rsidRPr="00825D0C">
          <w:rPr>
            <w:rStyle w:val="Hyperlink"/>
            <w:rFonts w:ascii="Gill Sans MT" w:hAnsi="Gill Sans MT"/>
            <w:noProof/>
          </w:rPr>
          <w:t>Maryland’s Virtual One-Stop</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_Toc447276117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58</w:t>
        </w:r>
        <w:r w:rsidR="00F82500" w:rsidRPr="00825D0C">
          <w:rPr>
            <w:rFonts w:ascii="Gill Sans MT" w:hAnsi="Gill Sans MT"/>
            <w:noProof/>
            <w:webHidden/>
          </w:rPr>
          <w:fldChar w:fldCharType="end"/>
        </w:r>
      </w:hyperlink>
    </w:p>
    <w:p w14:paraId="62AD352E" w14:textId="77777777" w:rsidR="00F82500" w:rsidRPr="00825D0C" w:rsidRDefault="00943AA8">
      <w:pPr>
        <w:pStyle w:val="TOC3"/>
        <w:tabs>
          <w:tab w:val="right" w:leader="dot" w:pos="11078"/>
        </w:tabs>
        <w:rPr>
          <w:rFonts w:ascii="Gill Sans MT" w:eastAsiaTheme="minorEastAsia" w:hAnsi="Gill Sans MT"/>
          <w:noProof/>
        </w:rPr>
      </w:pPr>
      <w:hyperlink w:anchor="_Toc447276118" w:history="1">
        <w:r w:rsidR="00F82500" w:rsidRPr="00825D0C">
          <w:rPr>
            <w:rStyle w:val="Hyperlink"/>
            <w:rFonts w:ascii="Gill Sans MT" w:hAnsi="Gill Sans MT"/>
            <w:noProof/>
          </w:rPr>
          <w:t>LACES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_Toc447276118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60</w:t>
        </w:r>
        <w:r w:rsidR="00F82500" w:rsidRPr="00825D0C">
          <w:rPr>
            <w:rFonts w:ascii="Gill Sans MT" w:hAnsi="Gill Sans MT"/>
            <w:noProof/>
            <w:webHidden/>
          </w:rPr>
          <w:fldChar w:fldCharType="end"/>
        </w:r>
      </w:hyperlink>
    </w:p>
    <w:p w14:paraId="29DE0A57" w14:textId="77777777" w:rsidR="00F82500" w:rsidRPr="00825D0C" w:rsidRDefault="00943AA8">
      <w:pPr>
        <w:pStyle w:val="TOC3"/>
        <w:tabs>
          <w:tab w:val="right" w:leader="dot" w:pos="11078"/>
        </w:tabs>
        <w:rPr>
          <w:rFonts w:ascii="Gill Sans MT" w:eastAsiaTheme="minorEastAsia" w:hAnsi="Gill Sans MT"/>
          <w:noProof/>
        </w:rPr>
      </w:pPr>
      <w:hyperlink w:anchor="_Toc447276119" w:history="1">
        <w:r w:rsidR="00F82500" w:rsidRPr="00825D0C">
          <w:rPr>
            <w:rStyle w:val="Hyperlink"/>
            <w:rFonts w:ascii="Gill Sans MT" w:hAnsi="Gill Sans MT"/>
            <w:noProof/>
          </w:rPr>
          <w:t>AWARE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_Toc447276119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60</w:t>
        </w:r>
        <w:r w:rsidR="00F82500" w:rsidRPr="00825D0C">
          <w:rPr>
            <w:rFonts w:ascii="Gill Sans MT" w:hAnsi="Gill Sans MT"/>
            <w:noProof/>
            <w:webHidden/>
          </w:rPr>
          <w:fldChar w:fldCharType="end"/>
        </w:r>
      </w:hyperlink>
    </w:p>
    <w:p w14:paraId="463F8346" w14:textId="77777777" w:rsidR="00F82500" w:rsidRPr="00825D0C" w:rsidRDefault="00943AA8">
      <w:pPr>
        <w:pStyle w:val="TOC3"/>
        <w:tabs>
          <w:tab w:val="right" w:leader="dot" w:pos="11078"/>
        </w:tabs>
        <w:rPr>
          <w:rFonts w:ascii="Gill Sans MT" w:eastAsiaTheme="minorEastAsia" w:hAnsi="Gill Sans MT"/>
          <w:noProof/>
        </w:rPr>
      </w:pPr>
      <w:hyperlink w:anchor="_Toc447276120" w:history="1">
        <w:r w:rsidR="00F82500" w:rsidRPr="00825D0C">
          <w:rPr>
            <w:rStyle w:val="Hyperlink"/>
            <w:rFonts w:ascii="Gill Sans MT" w:hAnsi="Gill Sans MT"/>
            <w:noProof/>
          </w:rPr>
          <w:t>WORKS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60</w:t>
        </w:r>
        <w:r w:rsidR="00F82500" w:rsidRPr="00825D0C">
          <w:rPr>
            <w:rFonts w:ascii="Gill Sans MT" w:hAnsi="Gill Sans MT"/>
            <w:noProof/>
            <w:webHidden/>
          </w:rPr>
          <w:fldChar w:fldCharType="end"/>
        </w:r>
      </w:hyperlink>
    </w:p>
    <w:p w14:paraId="0D9BDBD7" w14:textId="77777777" w:rsidR="00F82500" w:rsidRPr="00825D0C" w:rsidRDefault="00943AA8">
      <w:pPr>
        <w:pStyle w:val="TOC3"/>
        <w:tabs>
          <w:tab w:val="right" w:leader="dot" w:pos="11078"/>
        </w:tabs>
        <w:rPr>
          <w:rFonts w:ascii="Gill Sans MT" w:eastAsiaTheme="minorEastAsia" w:hAnsi="Gill Sans MT"/>
          <w:noProof/>
        </w:rPr>
      </w:pPr>
      <w:hyperlink w:anchor="_Toc447276121" w:history="1">
        <w:r w:rsidR="00F82500" w:rsidRPr="00825D0C">
          <w:rPr>
            <w:rStyle w:val="Hyperlink"/>
            <w:rFonts w:ascii="Gill Sans MT" w:hAnsi="Gill Sans MT"/>
            <w:noProof/>
          </w:rPr>
          <w:t>Enhancing Alignment of Maryland’s Management Information Systems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60</w:t>
        </w:r>
        <w:r w:rsidR="00F82500" w:rsidRPr="00825D0C">
          <w:rPr>
            <w:rFonts w:ascii="Gill Sans MT" w:hAnsi="Gill Sans MT"/>
            <w:noProof/>
            <w:webHidden/>
          </w:rPr>
          <w:fldChar w:fldCharType="end"/>
        </w:r>
      </w:hyperlink>
    </w:p>
    <w:p w14:paraId="2F4D7E8E" w14:textId="77777777" w:rsidR="00F82500" w:rsidRPr="00825D0C" w:rsidRDefault="00943AA8">
      <w:pPr>
        <w:pStyle w:val="TOC2"/>
        <w:tabs>
          <w:tab w:val="right" w:leader="dot" w:pos="11078"/>
        </w:tabs>
        <w:rPr>
          <w:rFonts w:ascii="Gill Sans MT" w:eastAsiaTheme="minorEastAsia" w:hAnsi="Gill Sans MT"/>
          <w:noProof/>
        </w:rPr>
      </w:pPr>
      <w:hyperlink w:anchor="_Toc447276122" w:history="1">
        <w:r w:rsidR="00F82500" w:rsidRPr="00825D0C">
          <w:rPr>
            <w:rStyle w:val="Hyperlink"/>
            <w:rFonts w:ascii="Gill Sans MT" w:hAnsi="Gill Sans MT"/>
            <w:noProof/>
          </w:rPr>
          <w:t>Performance Accountability System and Related Performance Issues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60</w:t>
        </w:r>
        <w:r w:rsidR="00F82500" w:rsidRPr="00825D0C">
          <w:rPr>
            <w:rFonts w:ascii="Gill Sans MT" w:hAnsi="Gill Sans MT"/>
            <w:noProof/>
            <w:webHidden/>
          </w:rPr>
          <w:fldChar w:fldCharType="end"/>
        </w:r>
      </w:hyperlink>
    </w:p>
    <w:p w14:paraId="4AFCD0F2" w14:textId="77777777" w:rsidR="00F82500" w:rsidRPr="00825D0C" w:rsidRDefault="00943AA8">
      <w:pPr>
        <w:pStyle w:val="TOC2"/>
        <w:tabs>
          <w:tab w:val="right" w:leader="dot" w:pos="11078"/>
        </w:tabs>
        <w:rPr>
          <w:rFonts w:ascii="Gill Sans MT" w:eastAsiaTheme="minorEastAsia" w:hAnsi="Gill Sans MT"/>
          <w:noProof/>
        </w:rPr>
      </w:pPr>
      <w:hyperlink w:anchor="_Toc447276123" w:history="1">
        <w:r w:rsidR="00F82500" w:rsidRPr="00825D0C">
          <w:rPr>
            <w:rStyle w:val="Hyperlink"/>
            <w:rFonts w:ascii="Gill Sans MT" w:hAnsi="Gill Sans MT"/>
            <w:noProof/>
          </w:rPr>
          <w:t>WIOA Policy Work</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61</w:t>
        </w:r>
        <w:r w:rsidR="00F82500" w:rsidRPr="00825D0C">
          <w:rPr>
            <w:rFonts w:ascii="Gill Sans MT" w:hAnsi="Gill Sans MT"/>
            <w:noProof/>
            <w:webHidden/>
          </w:rPr>
          <w:fldChar w:fldCharType="end"/>
        </w:r>
      </w:hyperlink>
    </w:p>
    <w:p w14:paraId="5FE8B911" w14:textId="77777777" w:rsidR="00F82500" w:rsidRPr="00825D0C" w:rsidRDefault="00943AA8">
      <w:pPr>
        <w:pStyle w:val="TOC2"/>
        <w:tabs>
          <w:tab w:val="right" w:leader="dot" w:pos="11078"/>
        </w:tabs>
        <w:rPr>
          <w:rFonts w:ascii="Gill Sans MT" w:eastAsiaTheme="minorEastAsia" w:hAnsi="Gill Sans MT"/>
          <w:noProof/>
        </w:rPr>
      </w:pPr>
      <w:hyperlink w:anchor="_Toc447276124" w:history="1">
        <w:r w:rsidR="00F82500" w:rsidRPr="00825D0C">
          <w:rPr>
            <w:rStyle w:val="Hyperlink"/>
            <w:rFonts w:ascii="Gill Sans MT" w:hAnsi="Gill Sans MT"/>
            <w:noProof/>
          </w:rPr>
          <w:t>MARYLAND WIOA STATE AGENCIES ORGANIZATION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67</w:t>
        </w:r>
        <w:r w:rsidR="00F82500" w:rsidRPr="00825D0C">
          <w:rPr>
            <w:rFonts w:ascii="Gill Sans MT" w:hAnsi="Gill Sans MT"/>
            <w:noProof/>
            <w:webHidden/>
          </w:rPr>
          <w:fldChar w:fldCharType="end"/>
        </w:r>
      </w:hyperlink>
    </w:p>
    <w:p w14:paraId="7E10A341" w14:textId="77777777" w:rsidR="00F82500" w:rsidRPr="00825D0C" w:rsidRDefault="00943AA8">
      <w:pPr>
        <w:pStyle w:val="TOC3"/>
        <w:tabs>
          <w:tab w:val="right" w:leader="dot" w:pos="11078"/>
        </w:tabs>
        <w:rPr>
          <w:rFonts w:ascii="Gill Sans MT" w:eastAsiaTheme="minorEastAsia" w:hAnsi="Gill Sans MT"/>
          <w:noProof/>
        </w:rPr>
      </w:pPr>
      <w:hyperlink w:anchor="_Toc447276125" w:history="1">
        <w:r w:rsidR="00F82500" w:rsidRPr="00825D0C">
          <w:rPr>
            <w:rStyle w:val="Hyperlink"/>
            <w:rFonts w:ascii="Gill Sans MT" w:hAnsi="Gill Sans MT"/>
            <w:noProof/>
          </w:rPr>
          <w:t>Dept. of Labor, Licensing &amp; Regulation – Division of Workforce Development &amp; Adult Learning</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67</w:t>
        </w:r>
        <w:r w:rsidR="00F82500" w:rsidRPr="00825D0C">
          <w:rPr>
            <w:rFonts w:ascii="Gill Sans MT" w:hAnsi="Gill Sans MT"/>
            <w:noProof/>
            <w:webHidden/>
          </w:rPr>
          <w:fldChar w:fldCharType="end"/>
        </w:r>
      </w:hyperlink>
    </w:p>
    <w:p w14:paraId="5F53EBE6" w14:textId="77777777" w:rsidR="00F82500" w:rsidRPr="00825D0C" w:rsidRDefault="00943AA8">
      <w:pPr>
        <w:pStyle w:val="TOC3"/>
        <w:tabs>
          <w:tab w:val="right" w:leader="dot" w:pos="11078"/>
        </w:tabs>
        <w:rPr>
          <w:rFonts w:ascii="Gill Sans MT" w:eastAsiaTheme="minorEastAsia" w:hAnsi="Gill Sans MT"/>
          <w:noProof/>
        </w:rPr>
      </w:pPr>
      <w:hyperlink w:anchor="_Toc447276126" w:history="1">
        <w:r w:rsidR="00F82500" w:rsidRPr="00825D0C">
          <w:rPr>
            <w:rStyle w:val="Hyperlink"/>
            <w:rFonts w:ascii="Gill Sans MT" w:hAnsi="Gill Sans MT"/>
            <w:noProof/>
          </w:rPr>
          <w:t>Maryland State Department of Education – Division of Rehabilitation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72</w:t>
        </w:r>
        <w:r w:rsidR="00F82500" w:rsidRPr="00825D0C">
          <w:rPr>
            <w:rFonts w:ascii="Gill Sans MT" w:hAnsi="Gill Sans MT"/>
            <w:noProof/>
            <w:webHidden/>
          </w:rPr>
          <w:fldChar w:fldCharType="end"/>
        </w:r>
      </w:hyperlink>
    </w:p>
    <w:p w14:paraId="318DB6FD" w14:textId="77777777" w:rsidR="00F82500" w:rsidRPr="00825D0C" w:rsidRDefault="00943AA8">
      <w:pPr>
        <w:pStyle w:val="TOC3"/>
        <w:tabs>
          <w:tab w:val="right" w:leader="dot" w:pos="11078"/>
        </w:tabs>
        <w:rPr>
          <w:rFonts w:ascii="Gill Sans MT" w:eastAsiaTheme="minorEastAsia" w:hAnsi="Gill Sans MT"/>
          <w:noProof/>
        </w:rPr>
      </w:pPr>
      <w:hyperlink w:anchor="_Toc447276127" w:history="1">
        <w:r w:rsidR="00F82500" w:rsidRPr="00825D0C">
          <w:rPr>
            <w:rStyle w:val="Hyperlink"/>
            <w:rFonts w:ascii="Gill Sans MT" w:hAnsi="Gill Sans MT"/>
            <w:noProof/>
          </w:rPr>
          <w:t>Department of Human Resources – Family Investment Administration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72</w:t>
        </w:r>
        <w:r w:rsidR="00F82500" w:rsidRPr="00825D0C">
          <w:rPr>
            <w:rFonts w:ascii="Gill Sans MT" w:hAnsi="Gill Sans MT"/>
            <w:noProof/>
            <w:webHidden/>
          </w:rPr>
          <w:fldChar w:fldCharType="end"/>
        </w:r>
      </w:hyperlink>
    </w:p>
    <w:p w14:paraId="24B1D8FC" w14:textId="77777777" w:rsidR="00F82500" w:rsidRPr="00825D0C" w:rsidRDefault="00943AA8">
      <w:pPr>
        <w:pStyle w:val="TOC3"/>
        <w:tabs>
          <w:tab w:val="right" w:leader="dot" w:pos="11078"/>
        </w:tabs>
        <w:rPr>
          <w:rFonts w:ascii="Gill Sans MT" w:eastAsiaTheme="minorEastAsia" w:hAnsi="Gill Sans MT"/>
          <w:noProof/>
        </w:rPr>
      </w:pPr>
      <w:hyperlink w:anchor="_Toc447276128" w:history="1">
        <w:r w:rsidR="00F82500" w:rsidRPr="00825D0C">
          <w:rPr>
            <w:rStyle w:val="Hyperlink"/>
            <w:rFonts w:ascii="Gill Sans MT" w:hAnsi="Gill Sans MT"/>
            <w:noProof/>
          </w:rPr>
          <w:t>MARYLAND’S STATE WORKFORCE DEVELOPMENT BOARD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73</w:t>
        </w:r>
        <w:r w:rsidR="00F82500" w:rsidRPr="00825D0C">
          <w:rPr>
            <w:rFonts w:ascii="Gill Sans MT" w:hAnsi="Gill Sans MT"/>
            <w:noProof/>
            <w:webHidden/>
          </w:rPr>
          <w:fldChar w:fldCharType="end"/>
        </w:r>
      </w:hyperlink>
    </w:p>
    <w:p w14:paraId="55DE038D" w14:textId="77777777" w:rsidR="00F82500" w:rsidRPr="00825D0C" w:rsidRDefault="00943AA8">
      <w:pPr>
        <w:pStyle w:val="TOC3"/>
        <w:tabs>
          <w:tab w:val="right" w:leader="dot" w:pos="11078"/>
        </w:tabs>
        <w:rPr>
          <w:rFonts w:ascii="Gill Sans MT" w:eastAsiaTheme="minorEastAsia" w:hAnsi="Gill Sans MT"/>
          <w:noProof/>
        </w:rPr>
      </w:pPr>
      <w:hyperlink w:anchor="_Toc447276129" w:history="1">
        <w:r w:rsidR="00F82500" w:rsidRPr="00825D0C">
          <w:rPr>
            <w:rStyle w:val="Hyperlink"/>
            <w:rFonts w:ascii="Gill Sans MT" w:hAnsi="Gill Sans MT"/>
            <w:noProof/>
          </w:rPr>
          <w:t>MARYLAND’S LOCAL WORKFORCE DEVELOPMENT BOARDS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_Toc447276129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74</w:t>
        </w:r>
        <w:r w:rsidR="00F82500" w:rsidRPr="00825D0C">
          <w:rPr>
            <w:rFonts w:ascii="Gill Sans MT" w:hAnsi="Gill Sans MT"/>
            <w:noProof/>
            <w:webHidden/>
          </w:rPr>
          <w:fldChar w:fldCharType="end"/>
        </w:r>
      </w:hyperlink>
    </w:p>
    <w:p w14:paraId="413B276B" w14:textId="77777777" w:rsidR="00F82500" w:rsidRPr="00825D0C" w:rsidRDefault="00943AA8">
      <w:pPr>
        <w:pStyle w:val="TOC2"/>
        <w:tabs>
          <w:tab w:val="right" w:leader="dot" w:pos="11078"/>
        </w:tabs>
        <w:rPr>
          <w:rFonts w:ascii="Gill Sans MT" w:eastAsiaTheme="minorEastAsia" w:hAnsi="Gill Sans MT"/>
          <w:noProof/>
        </w:rPr>
      </w:pPr>
      <w:hyperlink w:anchor="_Toc447276130" w:history="1">
        <w:r w:rsidR="00F82500" w:rsidRPr="00825D0C">
          <w:rPr>
            <w:rStyle w:val="Hyperlink"/>
            <w:rFonts w:ascii="Gill Sans MT" w:hAnsi="Gill Sans MT"/>
            <w:noProof/>
          </w:rPr>
          <w:t>MEASURING MARYLAND’S SUCCESS: PERFORMANCE ACCOUNTABILITY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75</w:t>
        </w:r>
        <w:r w:rsidR="00F82500" w:rsidRPr="00825D0C">
          <w:rPr>
            <w:rFonts w:ascii="Gill Sans MT" w:hAnsi="Gill Sans MT"/>
            <w:noProof/>
            <w:webHidden/>
          </w:rPr>
          <w:fldChar w:fldCharType="end"/>
        </w:r>
      </w:hyperlink>
    </w:p>
    <w:p w14:paraId="1563FCA1" w14:textId="77777777" w:rsidR="00F82500" w:rsidRPr="00825D0C" w:rsidRDefault="00943AA8">
      <w:pPr>
        <w:pStyle w:val="TOC3"/>
        <w:tabs>
          <w:tab w:val="right" w:leader="dot" w:pos="11078"/>
        </w:tabs>
        <w:rPr>
          <w:rFonts w:ascii="Gill Sans MT" w:eastAsiaTheme="minorEastAsia" w:hAnsi="Gill Sans MT"/>
          <w:noProof/>
        </w:rPr>
      </w:pPr>
      <w:hyperlink w:anchor="_Toc447276131" w:history="1">
        <w:r w:rsidR="00F82500" w:rsidRPr="00825D0C">
          <w:rPr>
            <w:rStyle w:val="Hyperlink"/>
            <w:rFonts w:ascii="Gill Sans MT" w:hAnsi="Gill Sans MT"/>
            <w:noProof/>
          </w:rPr>
          <w:t>Core WIOA Programs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76</w:t>
        </w:r>
        <w:r w:rsidR="00F82500" w:rsidRPr="00825D0C">
          <w:rPr>
            <w:rFonts w:ascii="Gill Sans MT" w:hAnsi="Gill Sans MT"/>
            <w:noProof/>
            <w:webHidden/>
          </w:rPr>
          <w:fldChar w:fldCharType="end"/>
        </w:r>
      </w:hyperlink>
    </w:p>
    <w:p w14:paraId="37DF6E47" w14:textId="77777777" w:rsidR="00F82500" w:rsidRPr="00825D0C" w:rsidRDefault="00943AA8">
      <w:pPr>
        <w:pStyle w:val="TOC3"/>
        <w:tabs>
          <w:tab w:val="right" w:leader="dot" w:pos="11078"/>
        </w:tabs>
        <w:rPr>
          <w:rFonts w:ascii="Gill Sans MT" w:eastAsiaTheme="minorEastAsia" w:hAnsi="Gill Sans MT"/>
          <w:noProof/>
        </w:rPr>
      </w:pPr>
      <w:hyperlink w:anchor="_Toc447276132" w:history="1">
        <w:r w:rsidR="00F82500" w:rsidRPr="00825D0C">
          <w:rPr>
            <w:rStyle w:val="Hyperlink"/>
            <w:rFonts w:ascii="Gill Sans MT" w:hAnsi="Gill Sans MT"/>
            <w:noProof/>
          </w:rPr>
          <w:t>Temporary Assistance for Needy Families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76</w:t>
        </w:r>
        <w:r w:rsidR="00F82500" w:rsidRPr="00825D0C">
          <w:rPr>
            <w:rFonts w:ascii="Gill Sans MT" w:hAnsi="Gill Sans MT"/>
            <w:noProof/>
            <w:webHidden/>
          </w:rPr>
          <w:fldChar w:fldCharType="end"/>
        </w:r>
      </w:hyperlink>
    </w:p>
    <w:p w14:paraId="11965FB4" w14:textId="77777777" w:rsidR="00F82500" w:rsidRPr="00825D0C" w:rsidRDefault="00943AA8">
      <w:pPr>
        <w:pStyle w:val="TOC3"/>
        <w:tabs>
          <w:tab w:val="right" w:leader="dot" w:pos="11078"/>
        </w:tabs>
        <w:rPr>
          <w:rFonts w:ascii="Gill Sans MT" w:eastAsiaTheme="minorEastAsia" w:hAnsi="Gill Sans MT"/>
          <w:noProof/>
        </w:rPr>
      </w:pPr>
      <w:hyperlink w:anchor="_Toc447276133" w:history="1">
        <w:r w:rsidR="00F82500" w:rsidRPr="00825D0C">
          <w:rPr>
            <w:rStyle w:val="Hyperlink"/>
            <w:rFonts w:ascii="Gill Sans MT" w:hAnsi="Gill Sans MT"/>
            <w:noProof/>
          </w:rPr>
          <w:t>Trade Program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77</w:t>
        </w:r>
        <w:r w:rsidR="00F82500" w:rsidRPr="00825D0C">
          <w:rPr>
            <w:rFonts w:ascii="Gill Sans MT" w:hAnsi="Gill Sans MT"/>
            <w:noProof/>
            <w:webHidden/>
          </w:rPr>
          <w:fldChar w:fldCharType="end"/>
        </w:r>
      </w:hyperlink>
    </w:p>
    <w:p w14:paraId="50E241EC" w14:textId="77777777" w:rsidR="00F82500" w:rsidRPr="00825D0C" w:rsidRDefault="00943AA8">
      <w:pPr>
        <w:pStyle w:val="TOC3"/>
        <w:tabs>
          <w:tab w:val="right" w:leader="dot" w:pos="11078"/>
        </w:tabs>
        <w:rPr>
          <w:rFonts w:ascii="Gill Sans MT" w:eastAsiaTheme="minorEastAsia" w:hAnsi="Gill Sans MT"/>
          <w:noProof/>
        </w:rPr>
      </w:pPr>
      <w:hyperlink w:anchor="_Toc447276134" w:history="1">
        <w:r w:rsidR="00F82500" w:rsidRPr="00825D0C">
          <w:rPr>
            <w:rStyle w:val="Hyperlink"/>
            <w:rFonts w:ascii="Gill Sans MT" w:hAnsi="Gill Sans MT"/>
            <w:noProof/>
          </w:rPr>
          <w:t>Jobs for Veterans State Grant Program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77</w:t>
        </w:r>
        <w:r w:rsidR="00F82500" w:rsidRPr="00825D0C">
          <w:rPr>
            <w:rFonts w:ascii="Gill Sans MT" w:hAnsi="Gill Sans MT"/>
            <w:noProof/>
            <w:webHidden/>
          </w:rPr>
          <w:fldChar w:fldCharType="end"/>
        </w:r>
      </w:hyperlink>
    </w:p>
    <w:p w14:paraId="1307EA28" w14:textId="77777777" w:rsidR="00F82500" w:rsidRPr="00825D0C" w:rsidRDefault="00943AA8">
      <w:pPr>
        <w:pStyle w:val="TOC3"/>
        <w:tabs>
          <w:tab w:val="right" w:leader="dot" w:pos="11078"/>
        </w:tabs>
        <w:rPr>
          <w:rFonts w:ascii="Gill Sans MT" w:eastAsiaTheme="minorEastAsia" w:hAnsi="Gill Sans MT"/>
          <w:noProof/>
        </w:rPr>
      </w:pPr>
      <w:hyperlink w:anchor="_Toc447276135" w:history="1">
        <w:r w:rsidR="00F82500" w:rsidRPr="00825D0C">
          <w:rPr>
            <w:rStyle w:val="Hyperlink"/>
            <w:rFonts w:ascii="Gill Sans MT" w:hAnsi="Gill Sans MT"/>
            <w:noProof/>
          </w:rPr>
          <w:t>PRECEDING PERFORMANCE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78</w:t>
        </w:r>
        <w:r w:rsidR="00F82500" w:rsidRPr="00825D0C">
          <w:rPr>
            <w:rFonts w:ascii="Gill Sans MT" w:hAnsi="Gill Sans MT"/>
            <w:noProof/>
            <w:webHidden/>
          </w:rPr>
          <w:fldChar w:fldCharType="end"/>
        </w:r>
      </w:hyperlink>
    </w:p>
    <w:p w14:paraId="31AEB7D4" w14:textId="77777777" w:rsidR="00F82500" w:rsidRPr="00825D0C" w:rsidRDefault="00943AA8">
      <w:pPr>
        <w:pStyle w:val="TOC3"/>
        <w:tabs>
          <w:tab w:val="right" w:leader="dot" w:pos="11078"/>
        </w:tabs>
        <w:rPr>
          <w:rFonts w:ascii="Gill Sans MT" w:eastAsiaTheme="minorEastAsia" w:hAnsi="Gill Sans MT"/>
          <w:noProof/>
        </w:rPr>
      </w:pPr>
      <w:hyperlink w:anchor="_Toc447276136" w:history="1">
        <w:r w:rsidR="00F82500" w:rsidRPr="00825D0C">
          <w:rPr>
            <w:rStyle w:val="Hyperlink"/>
            <w:rFonts w:ascii="Gill Sans MT" w:hAnsi="Gill Sans MT"/>
            <w:noProof/>
          </w:rPr>
          <w:t>Evaluation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89</w:t>
        </w:r>
        <w:r w:rsidR="00F82500" w:rsidRPr="00825D0C">
          <w:rPr>
            <w:rFonts w:ascii="Gill Sans MT" w:hAnsi="Gill Sans MT"/>
            <w:noProof/>
            <w:webHidden/>
          </w:rPr>
          <w:fldChar w:fldCharType="end"/>
        </w:r>
      </w:hyperlink>
    </w:p>
    <w:p w14:paraId="16CF1BCE" w14:textId="77777777" w:rsidR="00F82500" w:rsidRPr="00825D0C" w:rsidRDefault="00943AA8">
      <w:pPr>
        <w:pStyle w:val="TOC2"/>
        <w:tabs>
          <w:tab w:val="right" w:leader="dot" w:pos="11078"/>
        </w:tabs>
        <w:rPr>
          <w:rFonts w:ascii="Gill Sans MT" w:eastAsiaTheme="minorEastAsia" w:hAnsi="Gill Sans MT"/>
          <w:noProof/>
        </w:rPr>
      </w:pPr>
      <w:hyperlink w:anchor="_Toc447276137" w:history="1">
        <w:r w:rsidR="00F82500" w:rsidRPr="00825D0C">
          <w:rPr>
            <w:rStyle w:val="Hyperlink"/>
            <w:rFonts w:ascii="Gill Sans MT" w:hAnsi="Gill Sans MT"/>
            <w:noProof/>
          </w:rPr>
          <w:t>WIOA FISCAL ACCOUNTABILITY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89</w:t>
        </w:r>
        <w:r w:rsidR="00F82500" w:rsidRPr="00825D0C">
          <w:rPr>
            <w:rFonts w:ascii="Gill Sans MT" w:hAnsi="Gill Sans MT"/>
            <w:noProof/>
            <w:webHidden/>
          </w:rPr>
          <w:fldChar w:fldCharType="end"/>
        </w:r>
      </w:hyperlink>
    </w:p>
    <w:p w14:paraId="226A74DF" w14:textId="77777777" w:rsidR="00F82500" w:rsidRPr="00825D0C" w:rsidRDefault="00943AA8">
      <w:pPr>
        <w:pStyle w:val="TOC3"/>
        <w:tabs>
          <w:tab w:val="right" w:leader="dot" w:pos="11078"/>
        </w:tabs>
        <w:rPr>
          <w:rFonts w:ascii="Gill Sans MT" w:eastAsiaTheme="minorEastAsia" w:hAnsi="Gill Sans MT"/>
          <w:noProof/>
        </w:rPr>
      </w:pPr>
      <w:hyperlink w:anchor="_Toc447276138" w:history="1">
        <w:r w:rsidR="00F82500" w:rsidRPr="00825D0C">
          <w:rPr>
            <w:rStyle w:val="Hyperlink"/>
            <w:rFonts w:ascii="Gill Sans MT" w:hAnsi="Gill Sans MT"/>
            <w:noProof/>
          </w:rPr>
          <w:t>WIOA Title I - Adult, Dislocated Worker &amp; Youth Programs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89</w:t>
        </w:r>
        <w:r w:rsidR="00F82500" w:rsidRPr="00825D0C">
          <w:rPr>
            <w:rFonts w:ascii="Gill Sans MT" w:hAnsi="Gill Sans MT"/>
            <w:noProof/>
            <w:webHidden/>
          </w:rPr>
          <w:fldChar w:fldCharType="end"/>
        </w:r>
      </w:hyperlink>
    </w:p>
    <w:p w14:paraId="691249FA" w14:textId="77777777" w:rsidR="00F82500" w:rsidRPr="00825D0C" w:rsidRDefault="00943AA8">
      <w:pPr>
        <w:pStyle w:val="TOC3"/>
        <w:tabs>
          <w:tab w:val="right" w:leader="dot" w:pos="11078"/>
        </w:tabs>
        <w:rPr>
          <w:rFonts w:ascii="Gill Sans MT" w:eastAsiaTheme="minorEastAsia" w:hAnsi="Gill Sans MT"/>
          <w:noProof/>
        </w:rPr>
      </w:pPr>
      <w:hyperlink w:anchor="_Toc447276139" w:history="1">
        <w:r w:rsidR="00F82500" w:rsidRPr="00825D0C">
          <w:rPr>
            <w:rStyle w:val="Hyperlink"/>
            <w:rFonts w:ascii="Gill Sans MT" w:hAnsi="Gill Sans MT"/>
            <w:noProof/>
          </w:rPr>
          <w:t>WIOA Title II - Adult Education &amp; Literacy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_Toc447276139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91</w:t>
        </w:r>
        <w:r w:rsidR="00F82500" w:rsidRPr="00825D0C">
          <w:rPr>
            <w:rFonts w:ascii="Gill Sans MT" w:hAnsi="Gill Sans MT"/>
            <w:noProof/>
            <w:webHidden/>
          </w:rPr>
          <w:fldChar w:fldCharType="end"/>
        </w:r>
      </w:hyperlink>
    </w:p>
    <w:p w14:paraId="7DACFA25" w14:textId="77777777" w:rsidR="00F82500" w:rsidRPr="00825D0C" w:rsidRDefault="00943AA8">
      <w:pPr>
        <w:pStyle w:val="TOC3"/>
        <w:tabs>
          <w:tab w:val="right" w:leader="dot" w:pos="11078"/>
        </w:tabs>
        <w:rPr>
          <w:rFonts w:ascii="Gill Sans MT" w:eastAsiaTheme="minorEastAsia" w:hAnsi="Gill Sans MT"/>
          <w:noProof/>
        </w:rPr>
      </w:pPr>
      <w:hyperlink w:anchor="_Toc447276140" w:history="1">
        <w:r w:rsidR="00F82500" w:rsidRPr="00825D0C">
          <w:rPr>
            <w:rStyle w:val="Hyperlink"/>
            <w:rFonts w:ascii="Gill Sans MT" w:hAnsi="Gill Sans MT"/>
            <w:noProof/>
          </w:rPr>
          <w:t>WIOA Title IV – Vocational Rehabilitation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92</w:t>
        </w:r>
        <w:r w:rsidR="00F82500" w:rsidRPr="00825D0C">
          <w:rPr>
            <w:rFonts w:ascii="Gill Sans MT" w:hAnsi="Gill Sans MT"/>
            <w:noProof/>
            <w:webHidden/>
          </w:rPr>
          <w:fldChar w:fldCharType="end"/>
        </w:r>
      </w:hyperlink>
    </w:p>
    <w:p w14:paraId="70056715" w14:textId="77777777" w:rsidR="00F82500" w:rsidRPr="00825D0C" w:rsidRDefault="00943AA8">
      <w:pPr>
        <w:pStyle w:val="TOC2"/>
        <w:tabs>
          <w:tab w:val="right" w:leader="dot" w:pos="11078"/>
        </w:tabs>
        <w:rPr>
          <w:rFonts w:ascii="Gill Sans MT" w:eastAsiaTheme="minorEastAsia" w:hAnsi="Gill Sans MT"/>
          <w:noProof/>
        </w:rPr>
      </w:pPr>
      <w:hyperlink w:anchor="_Toc447276141" w:history="1">
        <w:r w:rsidR="00F82500" w:rsidRPr="00825D0C">
          <w:rPr>
            <w:rStyle w:val="Hyperlink"/>
            <w:rFonts w:ascii="Gill Sans MT" w:hAnsi="Gill Sans MT"/>
            <w:noProof/>
          </w:rPr>
          <w:t>WIOA PROGRAM DATA &amp; SYSTEM ALIGNMENT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92</w:t>
        </w:r>
        <w:r w:rsidR="00F82500" w:rsidRPr="00825D0C">
          <w:rPr>
            <w:rFonts w:ascii="Gill Sans MT" w:hAnsi="Gill Sans MT"/>
            <w:noProof/>
            <w:webHidden/>
          </w:rPr>
          <w:fldChar w:fldCharType="end"/>
        </w:r>
      </w:hyperlink>
    </w:p>
    <w:p w14:paraId="1A508465" w14:textId="77777777" w:rsidR="00F82500" w:rsidRPr="00825D0C" w:rsidRDefault="00943AA8">
      <w:pPr>
        <w:pStyle w:val="TOC2"/>
        <w:tabs>
          <w:tab w:val="right" w:leader="dot" w:pos="11078"/>
        </w:tabs>
        <w:rPr>
          <w:rFonts w:ascii="Gill Sans MT" w:eastAsiaTheme="minorEastAsia" w:hAnsi="Gill Sans MT"/>
          <w:noProof/>
        </w:rPr>
      </w:pPr>
      <w:hyperlink w:anchor="_Toc447276142" w:history="1">
        <w:r w:rsidR="00F82500" w:rsidRPr="00825D0C">
          <w:rPr>
            <w:rStyle w:val="Hyperlink"/>
            <w:rFonts w:ascii="Gill Sans MT" w:hAnsi="Gill Sans MT"/>
            <w:noProof/>
          </w:rPr>
          <w:t>INTEROPERABILITY OF MARYLAND’S WIOA MANAGEMENT INFORMATION SYSTEMS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94</w:t>
        </w:r>
        <w:r w:rsidR="00F82500" w:rsidRPr="00825D0C">
          <w:rPr>
            <w:rFonts w:ascii="Gill Sans MT" w:hAnsi="Gill Sans MT"/>
            <w:noProof/>
            <w:webHidden/>
          </w:rPr>
          <w:fldChar w:fldCharType="end"/>
        </w:r>
      </w:hyperlink>
    </w:p>
    <w:p w14:paraId="1DF3E299" w14:textId="77777777" w:rsidR="00F82500" w:rsidRPr="00825D0C" w:rsidRDefault="00943AA8">
      <w:pPr>
        <w:pStyle w:val="TOC3"/>
        <w:tabs>
          <w:tab w:val="right" w:leader="dot" w:pos="11078"/>
        </w:tabs>
        <w:rPr>
          <w:rFonts w:ascii="Gill Sans MT" w:eastAsiaTheme="minorEastAsia" w:hAnsi="Gill Sans MT"/>
          <w:noProof/>
        </w:rPr>
      </w:pPr>
      <w:hyperlink w:anchor="_Toc447276143" w:history="1">
        <w:r w:rsidR="00F82500" w:rsidRPr="00825D0C">
          <w:rPr>
            <w:rStyle w:val="Hyperlink"/>
            <w:rFonts w:ascii="Gill Sans MT" w:hAnsi="Gill Sans MT"/>
            <w:noProof/>
          </w:rPr>
          <w:t>Performance Interoperability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94</w:t>
        </w:r>
        <w:r w:rsidR="00F82500" w:rsidRPr="00825D0C">
          <w:rPr>
            <w:rFonts w:ascii="Gill Sans MT" w:hAnsi="Gill Sans MT"/>
            <w:noProof/>
            <w:webHidden/>
          </w:rPr>
          <w:fldChar w:fldCharType="end"/>
        </w:r>
      </w:hyperlink>
    </w:p>
    <w:p w14:paraId="3048BB22" w14:textId="77777777" w:rsidR="00F82500" w:rsidRPr="00825D0C" w:rsidRDefault="00943AA8">
      <w:pPr>
        <w:pStyle w:val="TOC3"/>
        <w:tabs>
          <w:tab w:val="right" w:leader="dot" w:pos="11078"/>
        </w:tabs>
        <w:rPr>
          <w:rFonts w:ascii="Gill Sans MT" w:eastAsiaTheme="minorEastAsia" w:hAnsi="Gill Sans MT"/>
          <w:noProof/>
        </w:rPr>
      </w:pPr>
      <w:hyperlink w:anchor="_Toc447276144" w:history="1">
        <w:r w:rsidR="00F82500" w:rsidRPr="00825D0C">
          <w:rPr>
            <w:rStyle w:val="Hyperlink"/>
            <w:rFonts w:ascii="Gill Sans MT" w:hAnsi="Gill Sans MT"/>
            <w:noProof/>
          </w:rPr>
          <w:t>Use of Unemployment Insurance Data</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96</w:t>
        </w:r>
        <w:r w:rsidR="00F82500" w:rsidRPr="00825D0C">
          <w:rPr>
            <w:rFonts w:ascii="Gill Sans MT" w:hAnsi="Gill Sans MT"/>
            <w:noProof/>
            <w:webHidden/>
          </w:rPr>
          <w:fldChar w:fldCharType="end"/>
        </w:r>
      </w:hyperlink>
    </w:p>
    <w:p w14:paraId="713FDFFD" w14:textId="77777777" w:rsidR="00F82500" w:rsidRPr="00825D0C" w:rsidRDefault="00943AA8">
      <w:pPr>
        <w:pStyle w:val="TOC3"/>
        <w:tabs>
          <w:tab w:val="right" w:leader="dot" w:pos="11078"/>
        </w:tabs>
        <w:rPr>
          <w:rFonts w:ascii="Gill Sans MT" w:eastAsiaTheme="minorEastAsia" w:hAnsi="Gill Sans MT"/>
          <w:noProof/>
        </w:rPr>
      </w:pPr>
      <w:hyperlink w:anchor="_Toc447276145" w:history="1">
        <w:r w:rsidR="00F82500" w:rsidRPr="00825D0C">
          <w:rPr>
            <w:rStyle w:val="Hyperlink"/>
            <w:rFonts w:ascii="Gill Sans MT" w:hAnsi="Gill Sans MT"/>
            <w:noProof/>
          </w:rPr>
          <w:t>Fiscal Management &amp; Accountability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96</w:t>
        </w:r>
        <w:r w:rsidR="00F82500" w:rsidRPr="00825D0C">
          <w:rPr>
            <w:rFonts w:ascii="Gill Sans MT" w:hAnsi="Gill Sans MT"/>
            <w:noProof/>
            <w:webHidden/>
          </w:rPr>
          <w:fldChar w:fldCharType="end"/>
        </w:r>
      </w:hyperlink>
    </w:p>
    <w:p w14:paraId="3A80E88B" w14:textId="77777777" w:rsidR="00F82500" w:rsidRPr="00825D0C" w:rsidRDefault="00943AA8">
      <w:pPr>
        <w:pStyle w:val="TOC3"/>
        <w:tabs>
          <w:tab w:val="right" w:leader="dot" w:pos="11078"/>
        </w:tabs>
        <w:rPr>
          <w:rFonts w:ascii="Gill Sans MT" w:eastAsiaTheme="minorEastAsia" w:hAnsi="Gill Sans MT"/>
          <w:noProof/>
        </w:rPr>
      </w:pPr>
      <w:hyperlink w:anchor="_Toc447276146" w:history="1">
        <w:r w:rsidR="00F82500" w:rsidRPr="00825D0C">
          <w:rPr>
            <w:rStyle w:val="Hyperlink"/>
            <w:rFonts w:ascii="Gill Sans MT" w:hAnsi="Gill Sans MT"/>
            <w:noProof/>
          </w:rPr>
          <w:t>PRIVACY SAFEGUARDS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96</w:t>
        </w:r>
        <w:r w:rsidR="00F82500" w:rsidRPr="00825D0C">
          <w:rPr>
            <w:rFonts w:ascii="Gill Sans MT" w:hAnsi="Gill Sans MT"/>
            <w:noProof/>
            <w:webHidden/>
          </w:rPr>
          <w:fldChar w:fldCharType="end"/>
        </w:r>
      </w:hyperlink>
    </w:p>
    <w:p w14:paraId="7E65EB18" w14:textId="77777777" w:rsidR="00F82500" w:rsidRPr="00825D0C" w:rsidRDefault="00943AA8">
      <w:pPr>
        <w:pStyle w:val="TOC2"/>
        <w:tabs>
          <w:tab w:val="right" w:leader="dot" w:pos="11078"/>
        </w:tabs>
        <w:rPr>
          <w:rFonts w:ascii="Gill Sans MT" w:eastAsiaTheme="minorEastAsia" w:hAnsi="Gill Sans MT"/>
          <w:noProof/>
        </w:rPr>
      </w:pPr>
      <w:hyperlink w:anchor="_Toc447276147" w:history="1">
        <w:r w:rsidR="00F82500" w:rsidRPr="00825D0C">
          <w:rPr>
            <w:rStyle w:val="Hyperlink"/>
            <w:rFonts w:ascii="Gill Sans MT" w:hAnsi="Gill Sans MT"/>
            <w:noProof/>
          </w:rPr>
          <w:t>VETERANS PRIORITY OF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97</w:t>
        </w:r>
        <w:r w:rsidR="00F82500" w:rsidRPr="00825D0C">
          <w:rPr>
            <w:rFonts w:ascii="Gill Sans MT" w:hAnsi="Gill Sans MT"/>
            <w:noProof/>
            <w:webHidden/>
          </w:rPr>
          <w:fldChar w:fldCharType="end"/>
        </w:r>
      </w:hyperlink>
    </w:p>
    <w:p w14:paraId="26F8E651" w14:textId="77777777" w:rsidR="00F82500" w:rsidRPr="00825D0C" w:rsidRDefault="00943AA8">
      <w:pPr>
        <w:pStyle w:val="TOC3"/>
        <w:tabs>
          <w:tab w:val="right" w:leader="dot" w:pos="11078"/>
        </w:tabs>
        <w:rPr>
          <w:rFonts w:ascii="Gill Sans MT" w:eastAsiaTheme="minorEastAsia" w:hAnsi="Gill Sans MT"/>
          <w:noProof/>
        </w:rPr>
      </w:pPr>
      <w:hyperlink w:anchor="_Toc447276148" w:history="1">
        <w:r w:rsidR="00F82500" w:rsidRPr="00825D0C">
          <w:rPr>
            <w:rStyle w:val="Hyperlink"/>
            <w:rFonts w:ascii="Gill Sans MT" w:hAnsi="Gill Sans MT"/>
            <w:noProof/>
          </w:rPr>
          <w:t>IDENTIFYING VETERAN STATUS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98</w:t>
        </w:r>
        <w:r w:rsidR="00F82500" w:rsidRPr="00825D0C">
          <w:rPr>
            <w:rFonts w:ascii="Gill Sans MT" w:hAnsi="Gill Sans MT"/>
            <w:noProof/>
            <w:webHidden/>
          </w:rPr>
          <w:fldChar w:fldCharType="end"/>
        </w:r>
      </w:hyperlink>
    </w:p>
    <w:p w14:paraId="35A868CC" w14:textId="77777777" w:rsidR="00F82500" w:rsidRPr="00825D0C" w:rsidRDefault="00943AA8">
      <w:pPr>
        <w:pStyle w:val="TOC3"/>
        <w:tabs>
          <w:tab w:val="right" w:leader="dot" w:pos="11078"/>
        </w:tabs>
        <w:rPr>
          <w:rFonts w:ascii="Gill Sans MT" w:eastAsiaTheme="minorEastAsia" w:hAnsi="Gill Sans MT"/>
          <w:noProof/>
        </w:rPr>
      </w:pPr>
      <w:hyperlink w:anchor="_Toc447276149" w:history="1">
        <w:r w:rsidR="00F82500" w:rsidRPr="00825D0C">
          <w:rPr>
            <w:rStyle w:val="Hyperlink"/>
            <w:rFonts w:ascii="Gill Sans MT" w:hAnsi="Gill Sans MT"/>
            <w:noProof/>
          </w:rPr>
          <w:t>VERIFYING VETERAN STATUS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_Toc447276149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98</w:t>
        </w:r>
        <w:r w:rsidR="00F82500" w:rsidRPr="00825D0C">
          <w:rPr>
            <w:rFonts w:ascii="Gill Sans MT" w:hAnsi="Gill Sans MT"/>
            <w:noProof/>
            <w:webHidden/>
          </w:rPr>
          <w:fldChar w:fldCharType="end"/>
        </w:r>
      </w:hyperlink>
    </w:p>
    <w:p w14:paraId="18C93CDE" w14:textId="77777777" w:rsidR="00F82500" w:rsidRPr="00825D0C" w:rsidRDefault="00943AA8">
      <w:pPr>
        <w:pStyle w:val="TOC2"/>
        <w:tabs>
          <w:tab w:val="right" w:leader="dot" w:pos="11078"/>
        </w:tabs>
        <w:rPr>
          <w:rFonts w:ascii="Gill Sans MT" w:eastAsiaTheme="minorEastAsia" w:hAnsi="Gill Sans MT"/>
          <w:noProof/>
        </w:rPr>
      </w:pPr>
      <w:hyperlink w:anchor="_Toc447276150" w:history="1">
        <w:r w:rsidR="00F82500" w:rsidRPr="00825D0C">
          <w:rPr>
            <w:rStyle w:val="Hyperlink"/>
            <w:rFonts w:ascii="Gill Sans MT" w:hAnsi="Gill Sans MT"/>
            <w:noProof/>
          </w:rPr>
          <w:t>WIOA SYSTEM ACCESSIBILITY FOR ALL MARYLANDERS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100</w:t>
        </w:r>
        <w:r w:rsidR="00F82500" w:rsidRPr="00825D0C">
          <w:rPr>
            <w:rFonts w:ascii="Gill Sans MT" w:hAnsi="Gill Sans MT"/>
            <w:noProof/>
            <w:webHidden/>
          </w:rPr>
          <w:fldChar w:fldCharType="end"/>
        </w:r>
      </w:hyperlink>
    </w:p>
    <w:p w14:paraId="7B30D38E" w14:textId="77777777" w:rsidR="00F82500" w:rsidRPr="00825D0C" w:rsidRDefault="00943AA8">
      <w:pPr>
        <w:pStyle w:val="TOC2"/>
        <w:tabs>
          <w:tab w:val="right" w:leader="dot" w:pos="11078"/>
        </w:tabs>
        <w:rPr>
          <w:rFonts w:ascii="Gill Sans MT" w:eastAsiaTheme="minorEastAsia" w:hAnsi="Gill Sans MT"/>
          <w:noProof/>
        </w:rPr>
      </w:pPr>
      <w:hyperlink w:anchor="_Toc447276151" w:history="1">
        <w:r w:rsidR="00F82500" w:rsidRPr="00825D0C">
          <w:rPr>
            <w:rStyle w:val="Hyperlink"/>
            <w:rFonts w:ascii="Gill Sans MT" w:hAnsi="Gill Sans MT"/>
            <w:noProof/>
          </w:rPr>
          <w:t>MONITORING OF SITES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102</w:t>
        </w:r>
        <w:r w:rsidR="00F82500" w:rsidRPr="00825D0C">
          <w:rPr>
            <w:rFonts w:ascii="Gill Sans MT" w:hAnsi="Gill Sans MT"/>
            <w:noProof/>
            <w:webHidden/>
          </w:rPr>
          <w:fldChar w:fldCharType="end"/>
        </w:r>
      </w:hyperlink>
    </w:p>
    <w:p w14:paraId="1B30F6A9" w14:textId="77777777" w:rsidR="00F82500" w:rsidRPr="00825D0C" w:rsidRDefault="00943AA8">
      <w:pPr>
        <w:pStyle w:val="TOC1"/>
        <w:tabs>
          <w:tab w:val="right" w:leader="dot" w:pos="11078"/>
        </w:tabs>
        <w:rPr>
          <w:rFonts w:ascii="Gill Sans MT" w:eastAsiaTheme="minorEastAsia" w:hAnsi="Gill Sans MT"/>
          <w:noProof/>
        </w:rPr>
      </w:pPr>
      <w:hyperlink w:anchor="_Toc447276152" w:history="1">
        <w:r w:rsidR="00F82500" w:rsidRPr="00825D0C">
          <w:rPr>
            <w:rStyle w:val="Hyperlink"/>
            <w:rFonts w:ascii="Gill Sans MT" w:hAnsi="Gill Sans MT"/>
            <w:noProof/>
          </w:rPr>
          <w:t>PART 4. PROGRAM SPECIFICS FOR ADULT, DISLOCATED WORKER, AND YOUTH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105</w:t>
        </w:r>
        <w:r w:rsidR="00F82500" w:rsidRPr="00825D0C">
          <w:rPr>
            <w:rFonts w:ascii="Gill Sans MT" w:hAnsi="Gill Sans MT"/>
            <w:noProof/>
            <w:webHidden/>
          </w:rPr>
          <w:fldChar w:fldCharType="end"/>
        </w:r>
      </w:hyperlink>
    </w:p>
    <w:p w14:paraId="40735F7A" w14:textId="77777777" w:rsidR="00F82500" w:rsidRPr="00825D0C" w:rsidRDefault="00943AA8">
      <w:pPr>
        <w:pStyle w:val="TOC2"/>
        <w:tabs>
          <w:tab w:val="right" w:leader="dot" w:pos="11078"/>
        </w:tabs>
        <w:rPr>
          <w:rFonts w:ascii="Gill Sans MT" w:eastAsiaTheme="minorEastAsia" w:hAnsi="Gill Sans MT"/>
          <w:noProof/>
        </w:rPr>
      </w:pPr>
      <w:hyperlink w:anchor="_Toc447276153" w:history="1">
        <w:r w:rsidR="00F82500" w:rsidRPr="00825D0C">
          <w:rPr>
            <w:rStyle w:val="Hyperlink"/>
            <w:rFonts w:ascii="Gill Sans MT" w:hAnsi="Gill Sans MT"/>
            <w:noProof/>
          </w:rPr>
          <w:t>REGIONS &amp; LOCAL WORKFORCE DEVELOPMENT AREAS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105</w:t>
        </w:r>
        <w:r w:rsidR="00F82500" w:rsidRPr="00825D0C">
          <w:rPr>
            <w:rFonts w:ascii="Gill Sans MT" w:hAnsi="Gill Sans MT"/>
            <w:noProof/>
            <w:webHidden/>
          </w:rPr>
          <w:fldChar w:fldCharType="end"/>
        </w:r>
      </w:hyperlink>
    </w:p>
    <w:p w14:paraId="252299FF" w14:textId="77777777" w:rsidR="00F82500" w:rsidRPr="00825D0C" w:rsidRDefault="00943AA8">
      <w:pPr>
        <w:pStyle w:val="TOC3"/>
        <w:tabs>
          <w:tab w:val="right" w:leader="dot" w:pos="11078"/>
        </w:tabs>
        <w:rPr>
          <w:rFonts w:ascii="Gill Sans MT" w:eastAsiaTheme="minorEastAsia" w:hAnsi="Gill Sans MT"/>
          <w:noProof/>
        </w:rPr>
      </w:pPr>
      <w:hyperlink w:anchor="_Toc447276154" w:history="1">
        <w:r w:rsidR="00F82500" w:rsidRPr="00825D0C">
          <w:rPr>
            <w:rStyle w:val="Hyperlink"/>
            <w:rFonts w:ascii="Gill Sans MT" w:hAnsi="Gill Sans MT"/>
            <w:noProof/>
          </w:rPr>
          <w:t>Maryland’s Planning Regions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105</w:t>
        </w:r>
        <w:r w:rsidR="00F82500" w:rsidRPr="00825D0C">
          <w:rPr>
            <w:rFonts w:ascii="Gill Sans MT" w:hAnsi="Gill Sans MT"/>
            <w:noProof/>
            <w:webHidden/>
          </w:rPr>
          <w:fldChar w:fldCharType="end"/>
        </w:r>
      </w:hyperlink>
    </w:p>
    <w:p w14:paraId="3B7A9AD6" w14:textId="77777777" w:rsidR="00F82500" w:rsidRPr="00825D0C" w:rsidRDefault="00943AA8">
      <w:pPr>
        <w:pStyle w:val="TOC3"/>
        <w:tabs>
          <w:tab w:val="right" w:leader="dot" w:pos="11078"/>
        </w:tabs>
        <w:rPr>
          <w:rFonts w:ascii="Gill Sans MT" w:eastAsiaTheme="minorEastAsia" w:hAnsi="Gill Sans MT"/>
          <w:noProof/>
        </w:rPr>
      </w:pPr>
      <w:hyperlink w:anchor="_Toc447276155" w:history="1">
        <w:r w:rsidR="00F82500" w:rsidRPr="00825D0C">
          <w:rPr>
            <w:rStyle w:val="Hyperlink"/>
            <w:rFonts w:ascii="Gill Sans MT" w:hAnsi="Gill Sans MT"/>
            <w:noProof/>
          </w:rPr>
          <w:t>Process for Determining Regions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105</w:t>
        </w:r>
        <w:r w:rsidR="00F82500" w:rsidRPr="00825D0C">
          <w:rPr>
            <w:rFonts w:ascii="Gill Sans MT" w:hAnsi="Gill Sans MT"/>
            <w:noProof/>
            <w:webHidden/>
          </w:rPr>
          <w:fldChar w:fldCharType="end"/>
        </w:r>
      </w:hyperlink>
    </w:p>
    <w:p w14:paraId="6992DD5B" w14:textId="77777777" w:rsidR="00F82500" w:rsidRPr="00825D0C" w:rsidRDefault="00943AA8">
      <w:pPr>
        <w:pStyle w:val="TOC3"/>
        <w:tabs>
          <w:tab w:val="right" w:leader="dot" w:pos="11078"/>
        </w:tabs>
        <w:rPr>
          <w:rFonts w:ascii="Gill Sans MT" w:eastAsiaTheme="minorEastAsia" w:hAnsi="Gill Sans MT"/>
          <w:noProof/>
        </w:rPr>
      </w:pPr>
      <w:hyperlink w:anchor="_Toc447276156" w:history="1">
        <w:r w:rsidR="00F82500" w:rsidRPr="00825D0C">
          <w:rPr>
            <w:rStyle w:val="Hyperlink"/>
            <w:rFonts w:ascii="Gill Sans MT" w:hAnsi="Gill Sans MT"/>
            <w:noProof/>
          </w:rPr>
          <w:t>Functions of the Planning Regions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106</w:t>
        </w:r>
        <w:r w:rsidR="00F82500" w:rsidRPr="00825D0C">
          <w:rPr>
            <w:rFonts w:ascii="Gill Sans MT" w:hAnsi="Gill Sans MT"/>
            <w:noProof/>
            <w:webHidden/>
          </w:rPr>
          <w:fldChar w:fldCharType="end"/>
        </w:r>
      </w:hyperlink>
    </w:p>
    <w:p w14:paraId="4242CF30" w14:textId="77777777" w:rsidR="00F82500" w:rsidRPr="00825D0C" w:rsidRDefault="00943AA8">
      <w:pPr>
        <w:pStyle w:val="TOC3"/>
        <w:tabs>
          <w:tab w:val="right" w:leader="dot" w:pos="11078"/>
        </w:tabs>
        <w:rPr>
          <w:rFonts w:ascii="Gill Sans MT" w:eastAsiaTheme="minorEastAsia" w:hAnsi="Gill Sans MT"/>
          <w:noProof/>
        </w:rPr>
      </w:pPr>
      <w:hyperlink w:anchor="_Toc447276157" w:history="1">
        <w:r w:rsidR="00F82500" w:rsidRPr="00825D0C">
          <w:rPr>
            <w:rStyle w:val="Hyperlink"/>
            <w:rFonts w:ascii="Gill Sans MT" w:hAnsi="Gill Sans MT"/>
            <w:noProof/>
          </w:rPr>
          <w:t>Subsequent Designation of Regions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106</w:t>
        </w:r>
        <w:r w:rsidR="00F82500" w:rsidRPr="00825D0C">
          <w:rPr>
            <w:rFonts w:ascii="Gill Sans MT" w:hAnsi="Gill Sans MT"/>
            <w:noProof/>
            <w:webHidden/>
          </w:rPr>
          <w:fldChar w:fldCharType="end"/>
        </w:r>
      </w:hyperlink>
    </w:p>
    <w:p w14:paraId="18134A31" w14:textId="77777777" w:rsidR="00F82500" w:rsidRPr="00825D0C" w:rsidRDefault="00943AA8">
      <w:pPr>
        <w:pStyle w:val="TOC3"/>
        <w:tabs>
          <w:tab w:val="right" w:leader="dot" w:pos="11078"/>
        </w:tabs>
        <w:rPr>
          <w:rFonts w:ascii="Gill Sans MT" w:eastAsiaTheme="minorEastAsia" w:hAnsi="Gill Sans MT"/>
          <w:noProof/>
        </w:rPr>
      </w:pPr>
      <w:hyperlink w:anchor="_Toc447276158" w:history="1">
        <w:r w:rsidR="00F82500" w:rsidRPr="00825D0C">
          <w:rPr>
            <w:rStyle w:val="Hyperlink"/>
            <w:rFonts w:ascii="Gill Sans MT" w:hAnsi="Gill Sans MT"/>
            <w:noProof/>
          </w:rPr>
          <w:t>Designation and Re-Designation of Local Areas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107</w:t>
        </w:r>
        <w:r w:rsidR="00F82500" w:rsidRPr="00825D0C">
          <w:rPr>
            <w:rFonts w:ascii="Gill Sans MT" w:hAnsi="Gill Sans MT"/>
            <w:noProof/>
            <w:webHidden/>
          </w:rPr>
          <w:fldChar w:fldCharType="end"/>
        </w:r>
      </w:hyperlink>
    </w:p>
    <w:p w14:paraId="371206E7" w14:textId="77777777" w:rsidR="00F82500" w:rsidRPr="00825D0C" w:rsidRDefault="00943AA8">
      <w:pPr>
        <w:pStyle w:val="TOC3"/>
        <w:tabs>
          <w:tab w:val="right" w:leader="dot" w:pos="11078"/>
        </w:tabs>
        <w:rPr>
          <w:rFonts w:ascii="Gill Sans MT" w:eastAsiaTheme="minorEastAsia" w:hAnsi="Gill Sans MT"/>
          <w:noProof/>
        </w:rPr>
      </w:pPr>
      <w:hyperlink w:anchor="_Toc447276159" w:history="1">
        <w:r w:rsidR="00F82500" w:rsidRPr="00825D0C">
          <w:rPr>
            <w:rStyle w:val="Hyperlink"/>
            <w:rFonts w:ascii="Gill Sans MT" w:hAnsi="Gill Sans MT"/>
            <w:noProof/>
          </w:rPr>
          <w:t>Appeal of Re-Designation of Local Area or Region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_Toc447276159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108</w:t>
        </w:r>
        <w:r w:rsidR="00F82500" w:rsidRPr="00825D0C">
          <w:rPr>
            <w:rFonts w:ascii="Gill Sans MT" w:hAnsi="Gill Sans MT"/>
            <w:noProof/>
            <w:webHidden/>
          </w:rPr>
          <w:fldChar w:fldCharType="end"/>
        </w:r>
      </w:hyperlink>
    </w:p>
    <w:p w14:paraId="499FA23C" w14:textId="77777777" w:rsidR="00F82500" w:rsidRPr="00825D0C" w:rsidRDefault="00943AA8">
      <w:pPr>
        <w:pStyle w:val="TOC3"/>
        <w:tabs>
          <w:tab w:val="right" w:leader="dot" w:pos="11078"/>
        </w:tabs>
        <w:rPr>
          <w:rFonts w:ascii="Gill Sans MT" w:eastAsiaTheme="minorEastAsia" w:hAnsi="Gill Sans MT"/>
          <w:noProof/>
        </w:rPr>
      </w:pPr>
      <w:hyperlink w:anchor="_Toc447276160" w:history="1">
        <w:r w:rsidR="00F82500" w:rsidRPr="00825D0C">
          <w:rPr>
            <w:rStyle w:val="Hyperlink"/>
            <w:rFonts w:ascii="Gill Sans MT" w:hAnsi="Gill Sans MT"/>
            <w:noProof/>
          </w:rPr>
          <w:t>Appeal of Infrastructure Funding Determinations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109</w:t>
        </w:r>
        <w:r w:rsidR="00F82500" w:rsidRPr="00825D0C">
          <w:rPr>
            <w:rFonts w:ascii="Gill Sans MT" w:hAnsi="Gill Sans MT"/>
            <w:noProof/>
            <w:webHidden/>
          </w:rPr>
          <w:fldChar w:fldCharType="end"/>
        </w:r>
      </w:hyperlink>
    </w:p>
    <w:p w14:paraId="0C1FBB3B" w14:textId="77777777" w:rsidR="00F82500" w:rsidRPr="00825D0C" w:rsidRDefault="00943AA8">
      <w:pPr>
        <w:pStyle w:val="TOC2"/>
        <w:tabs>
          <w:tab w:val="right" w:leader="dot" w:pos="11078"/>
        </w:tabs>
        <w:rPr>
          <w:rFonts w:ascii="Gill Sans MT" w:eastAsiaTheme="minorEastAsia" w:hAnsi="Gill Sans MT"/>
          <w:noProof/>
        </w:rPr>
      </w:pPr>
      <w:hyperlink w:anchor="_Toc447276161" w:history="1">
        <w:r w:rsidR="00F82500" w:rsidRPr="00825D0C">
          <w:rPr>
            <w:rStyle w:val="Hyperlink"/>
            <w:rFonts w:ascii="Gill Sans MT" w:hAnsi="Gill Sans MT"/>
            <w:noProof/>
          </w:rPr>
          <w:t>Statewide Policy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109</w:t>
        </w:r>
        <w:r w:rsidR="00F82500" w:rsidRPr="00825D0C">
          <w:rPr>
            <w:rFonts w:ascii="Gill Sans MT" w:hAnsi="Gill Sans MT"/>
            <w:noProof/>
            <w:webHidden/>
          </w:rPr>
          <w:fldChar w:fldCharType="end"/>
        </w:r>
      </w:hyperlink>
    </w:p>
    <w:p w14:paraId="385E7B55" w14:textId="77777777" w:rsidR="00F82500" w:rsidRPr="00825D0C" w:rsidRDefault="00943AA8">
      <w:pPr>
        <w:pStyle w:val="TOC2"/>
        <w:tabs>
          <w:tab w:val="right" w:leader="dot" w:pos="11078"/>
        </w:tabs>
        <w:rPr>
          <w:rFonts w:ascii="Gill Sans MT" w:eastAsiaTheme="minorEastAsia" w:hAnsi="Gill Sans MT"/>
          <w:noProof/>
        </w:rPr>
      </w:pPr>
      <w:hyperlink w:anchor="_Toc447276162" w:history="1">
        <w:r w:rsidR="00F82500" w:rsidRPr="00825D0C">
          <w:rPr>
            <w:rStyle w:val="Hyperlink"/>
            <w:rFonts w:ascii="Gill Sans MT" w:hAnsi="Gill Sans MT"/>
            <w:noProof/>
          </w:rPr>
          <w:t>Governor Hogan’s WIOA Set Aside Funding</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109</w:t>
        </w:r>
        <w:r w:rsidR="00F82500" w:rsidRPr="00825D0C">
          <w:rPr>
            <w:rFonts w:ascii="Gill Sans MT" w:hAnsi="Gill Sans MT"/>
            <w:noProof/>
            <w:webHidden/>
          </w:rPr>
          <w:fldChar w:fldCharType="end"/>
        </w:r>
      </w:hyperlink>
    </w:p>
    <w:p w14:paraId="1BAE4EDD" w14:textId="77777777" w:rsidR="00F82500" w:rsidRPr="00825D0C" w:rsidRDefault="00943AA8">
      <w:pPr>
        <w:pStyle w:val="TOC2"/>
        <w:tabs>
          <w:tab w:val="right" w:leader="dot" w:pos="11078"/>
        </w:tabs>
        <w:rPr>
          <w:rFonts w:ascii="Gill Sans MT" w:eastAsiaTheme="minorEastAsia" w:hAnsi="Gill Sans MT"/>
          <w:noProof/>
        </w:rPr>
      </w:pPr>
      <w:hyperlink w:anchor="_Toc447276163" w:history="1">
        <w:r w:rsidR="00F82500" w:rsidRPr="00825D0C">
          <w:rPr>
            <w:rStyle w:val="Hyperlink"/>
            <w:rFonts w:ascii="Gill Sans MT" w:hAnsi="Gill Sans MT"/>
            <w:noProof/>
          </w:rPr>
          <w:t>Rapid Response &amp; Layoff Aversion in Maryland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109</w:t>
        </w:r>
        <w:r w:rsidR="00F82500" w:rsidRPr="00825D0C">
          <w:rPr>
            <w:rFonts w:ascii="Gill Sans MT" w:hAnsi="Gill Sans MT"/>
            <w:noProof/>
            <w:webHidden/>
          </w:rPr>
          <w:fldChar w:fldCharType="end"/>
        </w:r>
      </w:hyperlink>
    </w:p>
    <w:p w14:paraId="091425BE" w14:textId="77777777" w:rsidR="00F82500" w:rsidRPr="00825D0C" w:rsidRDefault="00943AA8">
      <w:pPr>
        <w:pStyle w:val="TOC3"/>
        <w:tabs>
          <w:tab w:val="right" w:leader="dot" w:pos="11078"/>
        </w:tabs>
        <w:rPr>
          <w:rFonts w:ascii="Gill Sans MT" w:eastAsiaTheme="minorEastAsia" w:hAnsi="Gill Sans MT"/>
          <w:noProof/>
        </w:rPr>
      </w:pPr>
      <w:hyperlink w:anchor="_Toc447276164" w:history="1">
        <w:r w:rsidR="00F82500" w:rsidRPr="00825D0C">
          <w:rPr>
            <w:rStyle w:val="Hyperlink"/>
            <w:rFonts w:ascii="Gill Sans MT" w:hAnsi="Gill Sans MT"/>
            <w:noProof/>
          </w:rPr>
          <w:t>WARN Protocols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109</w:t>
        </w:r>
        <w:r w:rsidR="00F82500" w:rsidRPr="00825D0C">
          <w:rPr>
            <w:rFonts w:ascii="Gill Sans MT" w:hAnsi="Gill Sans MT"/>
            <w:noProof/>
            <w:webHidden/>
          </w:rPr>
          <w:fldChar w:fldCharType="end"/>
        </w:r>
      </w:hyperlink>
    </w:p>
    <w:p w14:paraId="64F89900" w14:textId="77777777" w:rsidR="00F82500" w:rsidRPr="00825D0C" w:rsidRDefault="00943AA8">
      <w:pPr>
        <w:pStyle w:val="TOC3"/>
        <w:tabs>
          <w:tab w:val="right" w:leader="dot" w:pos="11078"/>
        </w:tabs>
        <w:rPr>
          <w:rFonts w:ascii="Gill Sans MT" w:eastAsiaTheme="minorEastAsia" w:hAnsi="Gill Sans MT"/>
          <w:noProof/>
        </w:rPr>
      </w:pPr>
      <w:hyperlink w:anchor="_Toc447276165" w:history="1">
        <w:r w:rsidR="00F82500" w:rsidRPr="00825D0C">
          <w:rPr>
            <w:rStyle w:val="Hyperlink"/>
            <w:rFonts w:ascii="Gill Sans MT" w:hAnsi="Gill Sans MT"/>
            <w:noProof/>
          </w:rPr>
          <w:t>Non-WARN Protocols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110</w:t>
        </w:r>
        <w:r w:rsidR="00F82500" w:rsidRPr="00825D0C">
          <w:rPr>
            <w:rFonts w:ascii="Gill Sans MT" w:hAnsi="Gill Sans MT"/>
            <w:noProof/>
            <w:webHidden/>
          </w:rPr>
          <w:fldChar w:fldCharType="end"/>
        </w:r>
      </w:hyperlink>
    </w:p>
    <w:p w14:paraId="301290EF" w14:textId="77777777" w:rsidR="00F82500" w:rsidRPr="00825D0C" w:rsidRDefault="00943AA8">
      <w:pPr>
        <w:pStyle w:val="TOC3"/>
        <w:tabs>
          <w:tab w:val="right" w:leader="dot" w:pos="11078"/>
        </w:tabs>
        <w:rPr>
          <w:rFonts w:ascii="Gill Sans MT" w:eastAsiaTheme="minorEastAsia" w:hAnsi="Gill Sans MT"/>
          <w:noProof/>
        </w:rPr>
      </w:pPr>
      <w:hyperlink w:anchor="_Toc447276166" w:history="1">
        <w:r w:rsidR="00F82500" w:rsidRPr="00825D0C">
          <w:rPr>
            <w:rStyle w:val="Hyperlink"/>
            <w:rFonts w:ascii="Gill Sans MT" w:hAnsi="Gill Sans MT"/>
            <w:noProof/>
          </w:rPr>
          <w:t>Initial Business Consultation (Employer Focused)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110</w:t>
        </w:r>
        <w:r w:rsidR="00F82500" w:rsidRPr="00825D0C">
          <w:rPr>
            <w:rFonts w:ascii="Gill Sans MT" w:hAnsi="Gill Sans MT"/>
            <w:noProof/>
            <w:webHidden/>
          </w:rPr>
          <w:fldChar w:fldCharType="end"/>
        </w:r>
      </w:hyperlink>
    </w:p>
    <w:p w14:paraId="534EE4EF" w14:textId="77777777" w:rsidR="00F82500" w:rsidRPr="00825D0C" w:rsidRDefault="00943AA8">
      <w:pPr>
        <w:pStyle w:val="TOC3"/>
        <w:tabs>
          <w:tab w:val="right" w:leader="dot" w:pos="11078"/>
        </w:tabs>
        <w:rPr>
          <w:rFonts w:ascii="Gill Sans MT" w:eastAsiaTheme="minorEastAsia" w:hAnsi="Gill Sans MT"/>
          <w:noProof/>
        </w:rPr>
      </w:pPr>
      <w:hyperlink w:anchor="_Toc447276167" w:history="1">
        <w:r w:rsidR="00F82500" w:rsidRPr="00825D0C">
          <w:rPr>
            <w:rStyle w:val="Hyperlink"/>
            <w:rFonts w:ascii="Gill Sans MT" w:hAnsi="Gill Sans MT"/>
            <w:noProof/>
          </w:rPr>
          <w:t>Information Session (Employee Focused)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110</w:t>
        </w:r>
        <w:r w:rsidR="00F82500" w:rsidRPr="00825D0C">
          <w:rPr>
            <w:rFonts w:ascii="Gill Sans MT" w:hAnsi="Gill Sans MT"/>
            <w:noProof/>
            <w:webHidden/>
          </w:rPr>
          <w:fldChar w:fldCharType="end"/>
        </w:r>
      </w:hyperlink>
    </w:p>
    <w:p w14:paraId="14B182F0" w14:textId="77777777" w:rsidR="00F82500" w:rsidRPr="00825D0C" w:rsidRDefault="00943AA8">
      <w:pPr>
        <w:pStyle w:val="TOC3"/>
        <w:tabs>
          <w:tab w:val="right" w:leader="dot" w:pos="11078"/>
        </w:tabs>
        <w:rPr>
          <w:rFonts w:ascii="Gill Sans MT" w:eastAsiaTheme="minorEastAsia" w:hAnsi="Gill Sans MT"/>
          <w:noProof/>
        </w:rPr>
      </w:pPr>
      <w:hyperlink w:anchor="_Toc447276168" w:history="1">
        <w:r w:rsidR="00F82500" w:rsidRPr="00825D0C">
          <w:rPr>
            <w:rStyle w:val="Hyperlink"/>
            <w:rFonts w:ascii="Gill Sans MT" w:hAnsi="Gill Sans MT"/>
            <w:noProof/>
          </w:rPr>
          <w:t>CLOSURES AND MASS LAYOFFS OF 100+ EMPLOYEES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111</w:t>
        </w:r>
        <w:r w:rsidR="00F82500" w:rsidRPr="00825D0C">
          <w:rPr>
            <w:rFonts w:ascii="Gill Sans MT" w:hAnsi="Gill Sans MT"/>
            <w:noProof/>
            <w:webHidden/>
          </w:rPr>
          <w:fldChar w:fldCharType="end"/>
        </w:r>
      </w:hyperlink>
    </w:p>
    <w:p w14:paraId="78F8EA0E" w14:textId="77777777" w:rsidR="00F82500" w:rsidRPr="00825D0C" w:rsidRDefault="00943AA8">
      <w:pPr>
        <w:pStyle w:val="TOC3"/>
        <w:tabs>
          <w:tab w:val="right" w:leader="dot" w:pos="11078"/>
        </w:tabs>
        <w:rPr>
          <w:rFonts w:ascii="Gill Sans MT" w:eastAsiaTheme="minorEastAsia" w:hAnsi="Gill Sans MT"/>
          <w:noProof/>
        </w:rPr>
      </w:pPr>
      <w:hyperlink w:anchor="_Toc447276169" w:history="1">
        <w:r w:rsidR="00F82500" w:rsidRPr="00825D0C">
          <w:rPr>
            <w:rStyle w:val="Hyperlink"/>
            <w:rFonts w:ascii="Gill Sans MT" w:hAnsi="Gill Sans MT"/>
            <w:noProof/>
          </w:rPr>
          <w:t>CLOSURES AND SUBSTANTIAL LAYOFFS OF LESS THAN 100 EMPLOYEES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_Toc447276169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111</w:t>
        </w:r>
        <w:r w:rsidR="00F82500" w:rsidRPr="00825D0C">
          <w:rPr>
            <w:rFonts w:ascii="Gill Sans MT" w:hAnsi="Gill Sans MT"/>
            <w:noProof/>
            <w:webHidden/>
          </w:rPr>
          <w:fldChar w:fldCharType="end"/>
        </w:r>
      </w:hyperlink>
    </w:p>
    <w:p w14:paraId="0038161F" w14:textId="77777777" w:rsidR="00F82500" w:rsidRPr="00825D0C" w:rsidRDefault="00943AA8">
      <w:pPr>
        <w:pStyle w:val="TOC3"/>
        <w:tabs>
          <w:tab w:val="right" w:leader="dot" w:pos="11078"/>
        </w:tabs>
        <w:rPr>
          <w:rFonts w:ascii="Gill Sans MT" w:eastAsiaTheme="minorEastAsia" w:hAnsi="Gill Sans MT"/>
          <w:noProof/>
        </w:rPr>
      </w:pPr>
      <w:hyperlink w:anchor="_Toc447276170" w:history="1">
        <w:r w:rsidR="00F82500" w:rsidRPr="00825D0C">
          <w:rPr>
            <w:rStyle w:val="Hyperlink"/>
            <w:rFonts w:ascii="Gill Sans MT" w:hAnsi="Gill Sans MT"/>
            <w:noProof/>
          </w:rPr>
          <w:t>LAYOFF AVERSION &amp; RAPID RESPONSE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111</w:t>
        </w:r>
        <w:r w:rsidR="00F82500" w:rsidRPr="00825D0C">
          <w:rPr>
            <w:rFonts w:ascii="Gill Sans MT" w:hAnsi="Gill Sans MT"/>
            <w:noProof/>
            <w:webHidden/>
          </w:rPr>
          <w:fldChar w:fldCharType="end"/>
        </w:r>
      </w:hyperlink>
    </w:p>
    <w:p w14:paraId="02B5607B" w14:textId="77777777" w:rsidR="00F82500" w:rsidRPr="00825D0C" w:rsidRDefault="00943AA8">
      <w:pPr>
        <w:pStyle w:val="TOC3"/>
        <w:tabs>
          <w:tab w:val="right" w:leader="dot" w:pos="11078"/>
        </w:tabs>
        <w:rPr>
          <w:rFonts w:ascii="Gill Sans MT" w:eastAsiaTheme="minorEastAsia" w:hAnsi="Gill Sans MT"/>
          <w:noProof/>
        </w:rPr>
      </w:pPr>
      <w:hyperlink w:anchor="_Toc447276171" w:history="1">
        <w:r w:rsidR="00F82500" w:rsidRPr="00825D0C">
          <w:rPr>
            <w:rStyle w:val="Hyperlink"/>
            <w:rFonts w:ascii="Gill Sans MT" w:hAnsi="Gill Sans MT"/>
            <w:noProof/>
          </w:rPr>
          <w:t>Disaster Planning</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112</w:t>
        </w:r>
        <w:r w:rsidR="00F82500" w:rsidRPr="00825D0C">
          <w:rPr>
            <w:rFonts w:ascii="Gill Sans MT" w:hAnsi="Gill Sans MT"/>
            <w:noProof/>
            <w:webHidden/>
          </w:rPr>
          <w:fldChar w:fldCharType="end"/>
        </w:r>
      </w:hyperlink>
    </w:p>
    <w:p w14:paraId="03431186" w14:textId="77777777" w:rsidR="00F82500" w:rsidRPr="00825D0C" w:rsidRDefault="00943AA8">
      <w:pPr>
        <w:pStyle w:val="TOC3"/>
        <w:tabs>
          <w:tab w:val="right" w:leader="dot" w:pos="11078"/>
        </w:tabs>
        <w:rPr>
          <w:rFonts w:ascii="Gill Sans MT" w:eastAsiaTheme="minorEastAsia" w:hAnsi="Gill Sans MT"/>
          <w:noProof/>
        </w:rPr>
      </w:pPr>
      <w:hyperlink w:anchor="_Toc447276172" w:history="1">
        <w:r w:rsidR="00F82500" w:rsidRPr="00825D0C">
          <w:rPr>
            <w:rStyle w:val="Hyperlink"/>
            <w:rFonts w:ascii="Gill Sans MT" w:hAnsi="Gill Sans MT"/>
            <w:noProof/>
          </w:rPr>
          <w:t>Rapid Response &amp; Trade Adjustment Assistance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113</w:t>
        </w:r>
        <w:r w:rsidR="00F82500" w:rsidRPr="00825D0C">
          <w:rPr>
            <w:rFonts w:ascii="Gill Sans MT" w:hAnsi="Gill Sans MT"/>
            <w:noProof/>
            <w:webHidden/>
          </w:rPr>
          <w:fldChar w:fldCharType="end"/>
        </w:r>
      </w:hyperlink>
    </w:p>
    <w:p w14:paraId="3F04046E" w14:textId="77777777" w:rsidR="00F82500" w:rsidRPr="00825D0C" w:rsidRDefault="00943AA8">
      <w:pPr>
        <w:pStyle w:val="TOC2"/>
        <w:tabs>
          <w:tab w:val="right" w:leader="dot" w:pos="11078"/>
        </w:tabs>
        <w:rPr>
          <w:rFonts w:ascii="Gill Sans MT" w:eastAsiaTheme="minorEastAsia" w:hAnsi="Gill Sans MT"/>
          <w:noProof/>
        </w:rPr>
      </w:pPr>
      <w:hyperlink w:anchor="_Toc447276173" w:history="1">
        <w:r w:rsidR="00F82500" w:rsidRPr="00825D0C">
          <w:rPr>
            <w:rStyle w:val="Hyperlink"/>
            <w:rFonts w:ascii="Gill Sans MT" w:hAnsi="Gill Sans MT"/>
            <w:noProof/>
          </w:rPr>
          <w:t>WIOA ADULT &amp; DISLOCATED WORKER PROGRAMS – WORK-BASED TRAINING MODELS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114</w:t>
        </w:r>
        <w:r w:rsidR="00F82500" w:rsidRPr="00825D0C">
          <w:rPr>
            <w:rFonts w:ascii="Gill Sans MT" w:hAnsi="Gill Sans MT"/>
            <w:noProof/>
            <w:webHidden/>
          </w:rPr>
          <w:fldChar w:fldCharType="end"/>
        </w:r>
      </w:hyperlink>
    </w:p>
    <w:p w14:paraId="182AC3D9" w14:textId="77777777" w:rsidR="00F82500" w:rsidRPr="00825D0C" w:rsidRDefault="00943AA8">
      <w:pPr>
        <w:pStyle w:val="TOC3"/>
        <w:tabs>
          <w:tab w:val="right" w:leader="dot" w:pos="11078"/>
        </w:tabs>
        <w:rPr>
          <w:rFonts w:ascii="Gill Sans MT" w:eastAsiaTheme="minorEastAsia" w:hAnsi="Gill Sans MT"/>
          <w:noProof/>
        </w:rPr>
      </w:pPr>
      <w:hyperlink w:anchor="_Toc447276174" w:history="1">
        <w:r w:rsidR="00F82500" w:rsidRPr="00825D0C">
          <w:rPr>
            <w:rStyle w:val="Hyperlink"/>
            <w:rFonts w:ascii="Gill Sans MT" w:hAnsi="Gill Sans MT"/>
            <w:noProof/>
          </w:rPr>
          <w:t>Apprenticeship in Maryland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117</w:t>
        </w:r>
        <w:r w:rsidR="00F82500" w:rsidRPr="00825D0C">
          <w:rPr>
            <w:rFonts w:ascii="Gill Sans MT" w:hAnsi="Gill Sans MT"/>
            <w:noProof/>
            <w:webHidden/>
          </w:rPr>
          <w:fldChar w:fldCharType="end"/>
        </w:r>
      </w:hyperlink>
    </w:p>
    <w:p w14:paraId="3BA80977" w14:textId="77777777" w:rsidR="00F82500" w:rsidRPr="00825D0C" w:rsidRDefault="00943AA8">
      <w:pPr>
        <w:pStyle w:val="TOC3"/>
        <w:tabs>
          <w:tab w:val="right" w:leader="dot" w:pos="11078"/>
        </w:tabs>
        <w:rPr>
          <w:rFonts w:ascii="Gill Sans MT" w:eastAsiaTheme="minorEastAsia" w:hAnsi="Gill Sans MT"/>
          <w:noProof/>
        </w:rPr>
      </w:pPr>
      <w:hyperlink w:anchor="_Toc447276175" w:history="1">
        <w:r w:rsidR="00F82500" w:rsidRPr="00825D0C">
          <w:rPr>
            <w:rStyle w:val="Hyperlink"/>
            <w:rFonts w:ascii="Gill Sans MT" w:hAnsi="Gill Sans MT"/>
            <w:noProof/>
          </w:rPr>
          <w:t>MARYLAND’S ELIGIBLE TRAINING PROVIDER LIST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120</w:t>
        </w:r>
        <w:r w:rsidR="00F82500" w:rsidRPr="00825D0C">
          <w:rPr>
            <w:rFonts w:ascii="Gill Sans MT" w:hAnsi="Gill Sans MT"/>
            <w:noProof/>
            <w:webHidden/>
          </w:rPr>
          <w:fldChar w:fldCharType="end"/>
        </w:r>
      </w:hyperlink>
    </w:p>
    <w:p w14:paraId="387FE576" w14:textId="77777777" w:rsidR="00F82500" w:rsidRPr="00825D0C" w:rsidRDefault="00943AA8">
      <w:pPr>
        <w:pStyle w:val="TOC3"/>
        <w:tabs>
          <w:tab w:val="right" w:leader="dot" w:pos="11078"/>
        </w:tabs>
        <w:rPr>
          <w:rFonts w:ascii="Gill Sans MT" w:eastAsiaTheme="minorEastAsia" w:hAnsi="Gill Sans MT"/>
          <w:noProof/>
        </w:rPr>
      </w:pPr>
      <w:hyperlink w:anchor="_Toc447276176" w:history="1">
        <w:r w:rsidR="00F82500" w:rsidRPr="00825D0C">
          <w:rPr>
            <w:rStyle w:val="Hyperlink"/>
            <w:rFonts w:ascii="Gill Sans MT" w:hAnsi="Gill Sans MT"/>
            <w:noProof/>
          </w:rPr>
          <w:t>Transfer of Local Funds between Adult and Dislocated Worker Programs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121</w:t>
        </w:r>
        <w:r w:rsidR="00F82500" w:rsidRPr="00825D0C">
          <w:rPr>
            <w:rFonts w:ascii="Gill Sans MT" w:hAnsi="Gill Sans MT"/>
            <w:noProof/>
            <w:webHidden/>
          </w:rPr>
          <w:fldChar w:fldCharType="end"/>
        </w:r>
      </w:hyperlink>
    </w:p>
    <w:p w14:paraId="1D92A16F" w14:textId="77777777" w:rsidR="00F82500" w:rsidRPr="00825D0C" w:rsidRDefault="00943AA8">
      <w:pPr>
        <w:pStyle w:val="TOC3"/>
        <w:tabs>
          <w:tab w:val="right" w:leader="dot" w:pos="11078"/>
        </w:tabs>
        <w:rPr>
          <w:rFonts w:ascii="Gill Sans MT" w:eastAsiaTheme="minorEastAsia" w:hAnsi="Gill Sans MT"/>
          <w:noProof/>
        </w:rPr>
      </w:pPr>
      <w:hyperlink w:anchor="_Toc447276177" w:history="1">
        <w:r w:rsidR="00F82500" w:rsidRPr="00825D0C">
          <w:rPr>
            <w:rStyle w:val="Hyperlink"/>
            <w:rFonts w:ascii="Gill Sans MT" w:hAnsi="Gill Sans MT"/>
            <w:noProof/>
          </w:rPr>
          <w:t>Maryland’s WIOA Title I Youth Program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122</w:t>
        </w:r>
        <w:r w:rsidR="00F82500" w:rsidRPr="00825D0C">
          <w:rPr>
            <w:rFonts w:ascii="Gill Sans MT" w:hAnsi="Gill Sans MT"/>
            <w:noProof/>
            <w:webHidden/>
          </w:rPr>
          <w:fldChar w:fldCharType="end"/>
        </w:r>
      </w:hyperlink>
    </w:p>
    <w:p w14:paraId="1D47D054" w14:textId="77777777" w:rsidR="00F82500" w:rsidRPr="00825D0C" w:rsidRDefault="00943AA8">
      <w:pPr>
        <w:pStyle w:val="TOC3"/>
        <w:tabs>
          <w:tab w:val="right" w:leader="dot" w:pos="11078"/>
        </w:tabs>
        <w:rPr>
          <w:rFonts w:ascii="Gill Sans MT" w:eastAsiaTheme="minorEastAsia" w:hAnsi="Gill Sans MT"/>
          <w:noProof/>
        </w:rPr>
      </w:pPr>
      <w:hyperlink w:anchor="_Toc447276178" w:history="1">
        <w:r w:rsidR="00F82500" w:rsidRPr="00825D0C">
          <w:rPr>
            <w:rStyle w:val="Hyperlink"/>
            <w:rFonts w:ascii="Gill Sans MT" w:hAnsi="Gill Sans MT"/>
            <w:noProof/>
          </w:rPr>
          <w:t>Waivers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126</w:t>
        </w:r>
        <w:r w:rsidR="00F82500" w:rsidRPr="00825D0C">
          <w:rPr>
            <w:rFonts w:ascii="Gill Sans MT" w:hAnsi="Gill Sans MT"/>
            <w:noProof/>
            <w:webHidden/>
          </w:rPr>
          <w:fldChar w:fldCharType="end"/>
        </w:r>
      </w:hyperlink>
    </w:p>
    <w:p w14:paraId="670FF869" w14:textId="77777777" w:rsidR="00F82500" w:rsidRPr="00825D0C" w:rsidRDefault="00943AA8">
      <w:pPr>
        <w:pStyle w:val="TOC1"/>
        <w:tabs>
          <w:tab w:val="right" w:leader="dot" w:pos="11078"/>
        </w:tabs>
        <w:rPr>
          <w:rFonts w:ascii="Gill Sans MT" w:eastAsiaTheme="minorEastAsia" w:hAnsi="Gill Sans MT"/>
          <w:noProof/>
        </w:rPr>
      </w:pPr>
      <w:hyperlink w:anchor="_Toc447276179" w:history="1">
        <w:r w:rsidR="00F82500" w:rsidRPr="00825D0C">
          <w:rPr>
            <w:rStyle w:val="Hyperlink"/>
            <w:rFonts w:ascii="Gill Sans MT" w:hAnsi="Gill Sans MT"/>
            <w:noProof/>
          </w:rPr>
          <w:t>PART 5. WAGNER-PEYSER ACT PROGRAM (Employment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_Toc447276179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129</w:t>
        </w:r>
        <w:r w:rsidR="00F82500" w:rsidRPr="00825D0C">
          <w:rPr>
            <w:rFonts w:ascii="Gill Sans MT" w:hAnsi="Gill Sans MT"/>
            <w:noProof/>
            <w:webHidden/>
          </w:rPr>
          <w:fldChar w:fldCharType="end"/>
        </w:r>
      </w:hyperlink>
    </w:p>
    <w:p w14:paraId="6AB9C270" w14:textId="77777777" w:rsidR="00F82500" w:rsidRPr="00825D0C" w:rsidRDefault="00943AA8">
      <w:pPr>
        <w:pStyle w:val="TOC2"/>
        <w:tabs>
          <w:tab w:val="right" w:leader="dot" w:pos="11078"/>
        </w:tabs>
        <w:rPr>
          <w:rFonts w:ascii="Gill Sans MT" w:eastAsiaTheme="minorEastAsia" w:hAnsi="Gill Sans MT"/>
          <w:noProof/>
        </w:rPr>
      </w:pPr>
      <w:hyperlink w:anchor="_Toc447276180" w:history="1">
        <w:r w:rsidR="00F82500" w:rsidRPr="00825D0C">
          <w:rPr>
            <w:rStyle w:val="Hyperlink"/>
            <w:rFonts w:ascii="Gill Sans MT" w:hAnsi="Gill Sans MT"/>
            <w:noProof/>
          </w:rPr>
          <w:t>Wagner-Peyser &amp; Unemployment Insurance Partnership</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129</w:t>
        </w:r>
        <w:r w:rsidR="00F82500" w:rsidRPr="00825D0C">
          <w:rPr>
            <w:rFonts w:ascii="Gill Sans MT" w:hAnsi="Gill Sans MT"/>
            <w:noProof/>
            <w:webHidden/>
          </w:rPr>
          <w:fldChar w:fldCharType="end"/>
        </w:r>
      </w:hyperlink>
    </w:p>
    <w:p w14:paraId="73652AE9" w14:textId="77777777" w:rsidR="00F82500" w:rsidRPr="00825D0C" w:rsidRDefault="00943AA8">
      <w:pPr>
        <w:pStyle w:val="TOC2"/>
        <w:tabs>
          <w:tab w:val="right" w:leader="dot" w:pos="11078"/>
        </w:tabs>
        <w:rPr>
          <w:rFonts w:ascii="Gill Sans MT" w:eastAsiaTheme="minorEastAsia" w:hAnsi="Gill Sans MT"/>
          <w:noProof/>
        </w:rPr>
      </w:pPr>
      <w:hyperlink w:anchor="_Toc447276181" w:history="1">
        <w:r w:rsidR="00F82500" w:rsidRPr="00825D0C">
          <w:rPr>
            <w:rStyle w:val="Hyperlink"/>
            <w:rFonts w:ascii="Gill Sans MT" w:hAnsi="Gill Sans MT"/>
            <w:noProof/>
          </w:rPr>
          <w:t>AGRICULTURAL OUTREACH PLAN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134</w:t>
        </w:r>
        <w:r w:rsidR="00F82500" w:rsidRPr="00825D0C">
          <w:rPr>
            <w:rFonts w:ascii="Gill Sans MT" w:hAnsi="Gill Sans MT"/>
            <w:noProof/>
            <w:webHidden/>
          </w:rPr>
          <w:fldChar w:fldCharType="end"/>
        </w:r>
      </w:hyperlink>
    </w:p>
    <w:p w14:paraId="0B2C1FE3" w14:textId="77777777" w:rsidR="00F82500" w:rsidRPr="00825D0C" w:rsidRDefault="00943AA8">
      <w:pPr>
        <w:pStyle w:val="TOC3"/>
        <w:tabs>
          <w:tab w:val="right" w:leader="dot" w:pos="11078"/>
        </w:tabs>
        <w:rPr>
          <w:rFonts w:ascii="Gill Sans MT" w:eastAsiaTheme="minorEastAsia" w:hAnsi="Gill Sans MT"/>
          <w:noProof/>
        </w:rPr>
      </w:pPr>
      <w:hyperlink w:anchor="_Toc447276182" w:history="1">
        <w:r w:rsidR="00F82500" w:rsidRPr="00825D0C">
          <w:rPr>
            <w:rStyle w:val="Hyperlink"/>
            <w:rFonts w:ascii="Gill Sans MT" w:hAnsi="Gill Sans MT"/>
            <w:noProof/>
          </w:rPr>
          <w:t>ASSESSMENT OF NEED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134</w:t>
        </w:r>
        <w:r w:rsidR="00F82500" w:rsidRPr="00825D0C">
          <w:rPr>
            <w:rFonts w:ascii="Gill Sans MT" w:hAnsi="Gill Sans MT"/>
            <w:noProof/>
            <w:webHidden/>
          </w:rPr>
          <w:fldChar w:fldCharType="end"/>
        </w:r>
      </w:hyperlink>
    </w:p>
    <w:p w14:paraId="36D008E1" w14:textId="77777777" w:rsidR="00F82500" w:rsidRPr="00825D0C" w:rsidRDefault="00943AA8">
      <w:pPr>
        <w:pStyle w:val="TOC3"/>
        <w:tabs>
          <w:tab w:val="right" w:leader="dot" w:pos="11078"/>
        </w:tabs>
        <w:rPr>
          <w:rFonts w:ascii="Gill Sans MT" w:eastAsiaTheme="minorEastAsia" w:hAnsi="Gill Sans MT"/>
          <w:noProof/>
        </w:rPr>
      </w:pPr>
      <w:hyperlink w:anchor="_Toc447276183" w:history="1">
        <w:r w:rsidR="00F82500" w:rsidRPr="00825D0C">
          <w:rPr>
            <w:rStyle w:val="Hyperlink"/>
            <w:rFonts w:ascii="Gill Sans MT" w:hAnsi="Gill Sans MT"/>
            <w:noProof/>
          </w:rPr>
          <w:t>OUTREACH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136</w:t>
        </w:r>
        <w:r w:rsidR="00F82500" w:rsidRPr="00825D0C">
          <w:rPr>
            <w:rFonts w:ascii="Gill Sans MT" w:hAnsi="Gill Sans MT"/>
            <w:noProof/>
            <w:webHidden/>
          </w:rPr>
          <w:fldChar w:fldCharType="end"/>
        </w:r>
      </w:hyperlink>
    </w:p>
    <w:p w14:paraId="65F1692B" w14:textId="77777777" w:rsidR="00F82500" w:rsidRPr="00825D0C" w:rsidRDefault="00943AA8">
      <w:pPr>
        <w:pStyle w:val="TOC3"/>
        <w:tabs>
          <w:tab w:val="right" w:leader="dot" w:pos="11078"/>
        </w:tabs>
        <w:rPr>
          <w:rFonts w:ascii="Gill Sans MT" w:eastAsiaTheme="minorEastAsia" w:hAnsi="Gill Sans MT"/>
          <w:noProof/>
        </w:rPr>
      </w:pPr>
      <w:hyperlink w:anchor="_Toc447276184" w:history="1">
        <w:r w:rsidR="00F82500" w:rsidRPr="00825D0C">
          <w:rPr>
            <w:rStyle w:val="Hyperlink"/>
            <w:rFonts w:ascii="Gill Sans MT" w:hAnsi="Gill Sans MT"/>
            <w:noProof/>
          </w:rPr>
          <w:t>SERVICE PROVIDED TO AGRICULTURAL JOBSEEKERS &amp; EMPLOYERS THROUGH THE WIOA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139</w:t>
        </w:r>
        <w:r w:rsidR="00F82500" w:rsidRPr="00825D0C">
          <w:rPr>
            <w:rFonts w:ascii="Gill Sans MT" w:hAnsi="Gill Sans MT"/>
            <w:noProof/>
            <w:webHidden/>
          </w:rPr>
          <w:fldChar w:fldCharType="end"/>
        </w:r>
      </w:hyperlink>
    </w:p>
    <w:p w14:paraId="795C70C2" w14:textId="77777777" w:rsidR="00F82500" w:rsidRPr="00825D0C" w:rsidRDefault="00943AA8">
      <w:pPr>
        <w:pStyle w:val="TOC3"/>
        <w:tabs>
          <w:tab w:val="right" w:leader="dot" w:pos="11078"/>
        </w:tabs>
        <w:rPr>
          <w:rFonts w:ascii="Gill Sans MT" w:eastAsiaTheme="minorEastAsia" w:hAnsi="Gill Sans MT"/>
          <w:noProof/>
        </w:rPr>
      </w:pPr>
      <w:hyperlink w:anchor="_Toc447276185" w:history="1">
        <w:r w:rsidR="00F82500" w:rsidRPr="00825D0C">
          <w:rPr>
            <w:rStyle w:val="Hyperlink"/>
            <w:rFonts w:ascii="Gill Sans MT" w:hAnsi="Gill Sans MT"/>
            <w:noProof/>
          </w:rPr>
          <w:t>OTHER REQUIREMENTS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140</w:t>
        </w:r>
        <w:r w:rsidR="00F82500" w:rsidRPr="00825D0C">
          <w:rPr>
            <w:rFonts w:ascii="Gill Sans MT" w:hAnsi="Gill Sans MT"/>
            <w:noProof/>
            <w:webHidden/>
          </w:rPr>
          <w:fldChar w:fldCharType="end"/>
        </w:r>
      </w:hyperlink>
    </w:p>
    <w:p w14:paraId="6A5EB005" w14:textId="77777777" w:rsidR="00F82500" w:rsidRPr="00825D0C" w:rsidRDefault="00943AA8">
      <w:pPr>
        <w:pStyle w:val="TOC1"/>
        <w:tabs>
          <w:tab w:val="right" w:leader="dot" w:pos="11078"/>
        </w:tabs>
        <w:rPr>
          <w:rFonts w:ascii="Gill Sans MT" w:eastAsiaTheme="minorEastAsia" w:hAnsi="Gill Sans MT"/>
          <w:noProof/>
        </w:rPr>
      </w:pPr>
      <w:hyperlink w:anchor="_Toc447276186" w:history="1">
        <w:r w:rsidR="00F82500" w:rsidRPr="00825D0C">
          <w:rPr>
            <w:rStyle w:val="Hyperlink"/>
            <w:rFonts w:ascii="Gill Sans MT" w:hAnsi="Gill Sans MT"/>
            <w:noProof/>
          </w:rPr>
          <w:t>PART 6. ADULT EDUCATION AND LITERACY PROGRAMS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142</w:t>
        </w:r>
        <w:r w:rsidR="00F82500" w:rsidRPr="00825D0C">
          <w:rPr>
            <w:rFonts w:ascii="Gill Sans MT" w:hAnsi="Gill Sans MT"/>
            <w:noProof/>
            <w:webHidden/>
          </w:rPr>
          <w:fldChar w:fldCharType="end"/>
        </w:r>
      </w:hyperlink>
    </w:p>
    <w:p w14:paraId="4D939F16" w14:textId="77777777" w:rsidR="00F82500" w:rsidRPr="00825D0C" w:rsidRDefault="00943AA8">
      <w:pPr>
        <w:pStyle w:val="TOC2"/>
        <w:tabs>
          <w:tab w:val="right" w:leader="dot" w:pos="11078"/>
        </w:tabs>
        <w:rPr>
          <w:rFonts w:ascii="Gill Sans MT" w:eastAsiaTheme="minorEastAsia" w:hAnsi="Gill Sans MT"/>
          <w:noProof/>
        </w:rPr>
      </w:pPr>
      <w:hyperlink w:anchor="_Toc447276187" w:history="1">
        <w:r w:rsidR="00F82500" w:rsidRPr="00825D0C">
          <w:rPr>
            <w:rStyle w:val="Hyperlink"/>
            <w:rFonts w:ascii="Gill Sans MT" w:hAnsi="Gill Sans MT"/>
            <w:noProof/>
          </w:rPr>
          <w:t>ALIGNING OF CONTENT STANDARDS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142</w:t>
        </w:r>
        <w:r w:rsidR="00F82500" w:rsidRPr="00825D0C">
          <w:rPr>
            <w:rFonts w:ascii="Gill Sans MT" w:hAnsi="Gill Sans MT"/>
            <w:noProof/>
            <w:webHidden/>
          </w:rPr>
          <w:fldChar w:fldCharType="end"/>
        </w:r>
      </w:hyperlink>
    </w:p>
    <w:p w14:paraId="334ADEB8" w14:textId="77777777" w:rsidR="00F82500" w:rsidRPr="00825D0C" w:rsidRDefault="00943AA8">
      <w:pPr>
        <w:pStyle w:val="TOC2"/>
        <w:tabs>
          <w:tab w:val="right" w:leader="dot" w:pos="11078"/>
        </w:tabs>
        <w:rPr>
          <w:rFonts w:ascii="Gill Sans MT" w:eastAsiaTheme="minorEastAsia" w:hAnsi="Gill Sans MT"/>
          <w:noProof/>
        </w:rPr>
      </w:pPr>
      <w:hyperlink w:anchor="_Toc447276188" w:history="1">
        <w:r w:rsidR="00F82500" w:rsidRPr="00825D0C">
          <w:rPr>
            <w:rStyle w:val="Hyperlink"/>
            <w:rFonts w:ascii="Gill Sans MT" w:hAnsi="Gill Sans MT"/>
            <w:noProof/>
          </w:rPr>
          <w:t>LOCAL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142</w:t>
        </w:r>
        <w:r w:rsidR="00F82500" w:rsidRPr="00825D0C">
          <w:rPr>
            <w:rFonts w:ascii="Gill Sans MT" w:hAnsi="Gill Sans MT"/>
            <w:noProof/>
            <w:webHidden/>
          </w:rPr>
          <w:fldChar w:fldCharType="end"/>
        </w:r>
      </w:hyperlink>
    </w:p>
    <w:p w14:paraId="5A4EF682" w14:textId="77777777" w:rsidR="00F82500" w:rsidRPr="00825D0C" w:rsidRDefault="00943AA8">
      <w:pPr>
        <w:pStyle w:val="TOC2"/>
        <w:tabs>
          <w:tab w:val="right" w:leader="dot" w:pos="11078"/>
        </w:tabs>
        <w:rPr>
          <w:rFonts w:ascii="Gill Sans MT" w:eastAsiaTheme="minorEastAsia" w:hAnsi="Gill Sans MT"/>
          <w:noProof/>
        </w:rPr>
      </w:pPr>
      <w:hyperlink w:anchor="_Toc447276189" w:history="1">
        <w:r w:rsidR="00F82500" w:rsidRPr="00825D0C">
          <w:rPr>
            <w:rStyle w:val="Hyperlink"/>
            <w:rFonts w:ascii="Gill Sans MT" w:hAnsi="Gill Sans MT"/>
            <w:noProof/>
          </w:rPr>
          <w:t>Workplace Adult Education and Literacy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_Toc447276189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142</w:t>
        </w:r>
        <w:r w:rsidR="00F82500" w:rsidRPr="00825D0C">
          <w:rPr>
            <w:rFonts w:ascii="Gill Sans MT" w:hAnsi="Gill Sans MT"/>
            <w:noProof/>
            <w:webHidden/>
          </w:rPr>
          <w:fldChar w:fldCharType="end"/>
        </w:r>
      </w:hyperlink>
    </w:p>
    <w:p w14:paraId="2253C5E0" w14:textId="77777777" w:rsidR="00F82500" w:rsidRPr="00825D0C" w:rsidRDefault="00943AA8">
      <w:pPr>
        <w:pStyle w:val="TOC2"/>
        <w:tabs>
          <w:tab w:val="right" w:leader="dot" w:pos="11078"/>
        </w:tabs>
        <w:rPr>
          <w:rFonts w:ascii="Gill Sans MT" w:eastAsiaTheme="minorEastAsia" w:hAnsi="Gill Sans MT"/>
          <w:noProof/>
        </w:rPr>
      </w:pPr>
      <w:hyperlink w:anchor="_Toc447276190" w:history="1">
        <w:r w:rsidR="00F82500" w:rsidRPr="00825D0C">
          <w:rPr>
            <w:rStyle w:val="Hyperlink"/>
            <w:rFonts w:ascii="Gill Sans MT" w:hAnsi="Gill Sans MT"/>
            <w:noProof/>
          </w:rPr>
          <w:t>Family Literacy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143</w:t>
        </w:r>
        <w:r w:rsidR="00F82500" w:rsidRPr="00825D0C">
          <w:rPr>
            <w:rFonts w:ascii="Gill Sans MT" w:hAnsi="Gill Sans MT"/>
            <w:noProof/>
            <w:webHidden/>
          </w:rPr>
          <w:fldChar w:fldCharType="end"/>
        </w:r>
      </w:hyperlink>
    </w:p>
    <w:p w14:paraId="02DAE464" w14:textId="77777777" w:rsidR="00F82500" w:rsidRPr="00825D0C" w:rsidRDefault="00943AA8">
      <w:pPr>
        <w:pStyle w:val="TOC2"/>
        <w:tabs>
          <w:tab w:val="right" w:leader="dot" w:pos="11078"/>
        </w:tabs>
        <w:rPr>
          <w:rFonts w:ascii="Gill Sans MT" w:eastAsiaTheme="minorEastAsia" w:hAnsi="Gill Sans MT"/>
          <w:noProof/>
        </w:rPr>
      </w:pPr>
      <w:hyperlink w:anchor="_Toc447276191" w:history="1">
        <w:r w:rsidR="00F82500" w:rsidRPr="00825D0C">
          <w:rPr>
            <w:rStyle w:val="Hyperlink"/>
            <w:rFonts w:ascii="Gill Sans MT" w:hAnsi="Gill Sans MT"/>
            <w:noProof/>
          </w:rPr>
          <w:t>English Language Acquisition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143</w:t>
        </w:r>
        <w:r w:rsidR="00F82500" w:rsidRPr="00825D0C">
          <w:rPr>
            <w:rFonts w:ascii="Gill Sans MT" w:hAnsi="Gill Sans MT"/>
            <w:noProof/>
            <w:webHidden/>
          </w:rPr>
          <w:fldChar w:fldCharType="end"/>
        </w:r>
      </w:hyperlink>
    </w:p>
    <w:p w14:paraId="227884C8" w14:textId="77777777" w:rsidR="00F82500" w:rsidRPr="00825D0C" w:rsidRDefault="00943AA8">
      <w:pPr>
        <w:pStyle w:val="TOC2"/>
        <w:tabs>
          <w:tab w:val="right" w:leader="dot" w:pos="11078"/>
        </w:tabs>
        <w:rPr>
          <w:rFonts w:ascii="Gill Sans MT" w:eastAsiaTheme="minorEastAsia" w:hAnsi="Gill Sans MT"/>
          <w:noProof/>
        </w:rPr>
      </w:pPr>
      <w:hyperlink w:anchor="_Toc447276192" w:history="1">
        <w:r w:rsidR="00F82500" w:rsidRPr="00825D0C">
          <w:rPr>
            <w:rStyle w:val="Hyperlink"/>
            <w:rFonts w:ascii="Gill Sans MT" w:hAnsi="Gill Sans MT"/>
            <w:noProof/>
          </w:rPr>
          <w:t>Integrated English Literacy and Civics Education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143</w:t>
        </w:r>
        <w:r w:rsidR="00F82500" w:rsidRPr="00825D0C">
          <w:rPr>
            <w:rFonts w:ascii="Gill Sans MT" w:hAnsi="Gill Sans MT"/>
            <w:noProof/>
            <w:webHidden/>
          </w:rPr>
          <w:fldChar w:fldCharType="end"/>
        </w:r>
      </w:hyperlink>
    </w:p>
    <w:p w14:paraId="048AA5D5" w14:textId="77777777" w:rsidR="00F82500" w:rsidRPr="00825D0C" w:rsidRDefault="00943AA8">
      <w:pPr>
        <w:pStyle w:val="TOC2"/>
        <w:tabs>
          <w:tab w:val="right" w:leader="dot" w:pos="11078"/>
        </w:tabs>
        <w:rPr>
          <w:rFonts w:ascii="Gill Sans MT" w:eastAsiaTheme="minorEastAsia" w:hAnsi="Gill Sans MT"/>
          <w:noProof/>
        </w:rPr>
      </w:pPr>
      <w:hyperlink w:anchor="_Toc447276193" w:history="1">
        <w:r w:rsidR="00F82500" w:rsidRPr="00825D0C">
          <w:rPr>
            <w:rStyle w:val="Hyperlink"/>
            <w:rFonts w:ascii="Gill Sans MT" w:hAnsi="Gill Sans MT"/>
            <w:noProof/>
          </w:rPr>
          <w:t>Workforce Preparation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143</w:t>
        </w:r>
        <w:r w:rsidR="00F82500" w:rsidRPr="00825D0C">
          <w:rPr>
            <w:rFonts w:ascii="Gill Sans MT" w:hAnsi="Gill Sans MT"/>
            <w:noProof/>
            <w:webHidden/>
          </w:rPr>
          <w:fldChar w:fldCharType="end"/>
        </w:r>
      </w:hyperlink>
    </w:p>
    <w:p w14:paraId="56089732" w14:textId="77777777" w:rsidR="00F82500" w:rsidRPr="00825D0C" w:rsidRDefault="00943AA8">
      <w:pPr>
        <w:pStyle w:val="TOC2"/>
        <w:tabs>
          <w:tab w:val="right" w:leader="dot" w:pos="11078"/>
        </w:tabs>
        <w:rPr>
          <w:rFonts w:ascii="Gill Sans MT" w:eastAsiaTheme="minorEastAsia" w:hAnsi="Gill Sans MT"/>
          <w:noProof/>
        </w:rPr>
      </w:pPr>
      <w:hyperlink w:anchor="_Toc447276194" w:history="1">
        <w:r w:rsidR="00F82500" w:rsidRPr="00825D0C">
          <w:rPr>
            <w:rStyle w:val="Hyperlink"/>
            <w:rFonts w:ascii="Gill Sans MT" w:hAnsi="Gill Sans MT"/>
            <w:noProof/>
          </w:rPr>
          <w:t>Integrated Education and Training</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144</w:t>
        </w:r>
        <w:r w:rsidR="00F82500" w:rsidRPr="00825D0C">
          <w:rPr>
            <w:rFonts w:ascii="Gill Sans MT" w:hAnsi="Gill Sans MT"/>
            <w:noProof/>
            <w:webHidden/>
          </w:rPr>
          <w:fldChar w:fldCharType="end"/>
        </w:r>
      </w:hyperlink>
    </w:p>
    <w:p w14:paraId="229D498F" w14:textId="77777777" w:rsidR="00F82500" w:rsidRPr="00825D0C" w:rsidRDefault="00943AA8">
      <w:pPr>
        <w:pStyle w:val="TOC2"/>
        <w:tabs>
          <w:tab w:val="right" w:leader="dot" w:pos="11078"/>
        </w:tabs>
        <w:rPr>
          <w:rFonts w:ascii="Gill Sans MT" w:eastAsiaTheme="minorEastAsia" w:hAnsi="Gill Sans MT"/>
          <w:noProof/>
        </w:rPr>
      </w:pPr>
      <w:hyperlink w:anchor="_Toc447276195" w:history="1">
        <w:r w:rsidR="00F82500" w:rsidRPr="00825D0C">
          <w:rPr>
            <w:rStyle w:val="Hyperlink"/>
            <w:rFonts w:ascii="Gill Sans MT" w:hAnsi="Gill Sans MT"/>
            <w:noProof/>
          </w:rPr>
          <w:t>Special Rule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144</w:t>
        </w:r>
        <w:r w:rsidR="00F82500" w:rsidRPr="00825D0C">
          <w:rPr>
            <w:rFonts w:ascii="Gill Sans MT" w:hAnsi="Gill Sans MT"/>
            <w:noProof/>
            <w:webHidden/>
          </w:rPr>
          <w:fldChar w:fldCharType="end"/>
        </w:r>
      </w:hyperlink>
    </w:p>
    <w:p w14:paraId="071BB81D" w14:textId="77777777" w:rsidR="00F82500" w:rsidRPr="00825D0C" w:rsidRDefault="00943AA8">
      <w:pPr>
        <w:pStyle w:val="TOC2"/>
        <w:tabs>
          <w:tab w:val="right" w:leader="dot" w:pos="11078"/>
        </w:tabs>
        <w:rPr>
          <w:rFonts w:ascii="Gill Sans MT" w:eastAsiaTheme="minorEastAsia" w:hAnsi="Gill Sans MT"/>
          <w:noProof/>
        </w:rPr>
      </w:pPr>
      <w:hyperlink w:anchor="_Toc447276196" w:history="1">
        <w:r w:rsidR="00F82500" w:rsidRPr="00825D0C">
          <w:rPr>
            <w:rStyle w:val="Hyperlink"/>
            <w:rFonts w:ascii="Gill Sans MT" w:hAnsi="Gill Sans MT"/>
            <w:noProof/>
          </w:rPr>
          <w:t>CORRECTIONAL EDUCATION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144</w:t>
        </w:r>
        <w:r w:rsidR="00F82500" w:rsidRPr="00825D0C">
          <w:rPr>
            <w:rFonts w:ascii="Gill Sans MT" w:hAnsi="Gill Sans MT"/>
            <w:noProof/>
            <w:webHidden/>
          </w:rPr>
          <w:fldChar w:fldCharType="end"/>
        </w:r>
      </w:hyperlink>
    </w:p>
    <w:p w14:paraId="4D72D6C0" w14:textId="77777777" w:rsidR="00F82500" w:rsidRPr="00825D0C" w:rsidRDefault="00943AA8">
      <w:pPr>
        <w:pStyle w:val="TOC2"/>
        <w:tabs>
          <w:tab w:val="right" w:leader="dot" w:pos="11078"/>
        </w:tabs>
        <w:rPr>
          <w:rFonts w:ascii="Gill Sans MT" w:eastAsiaTheme="minorEastAsia" w:hAnsi="Gill Sans MT"/>
          <w:noProof/>
        </w:rPr>
      </w:pPr>
      <w:hyperlink w:anchor="_Toc447276197" w:history="1">
        <w:r w:rsidR="00F82500" w:rsidRPr="00825D0C">
          <w:rPr>
            <w:rStyle w:val="Hyperlink"/>
            <w:rFonts w:ascii="Gill Sans MT" w:hAnsi="Gill Sans MT"/>
            <w:noProof/>
          </w:rPr>
          <w:t>Integrated English Literacy and Civics Education Program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145</w:t>
        </w:r>
        <w:r w:rsidR="00F82500" w:rsidRPr="00825D0C">
          <w:rPr>
            <w:rFonts w:ascii="Gill Sans MT" w:hAnsi="Gill Sans MT"/>
            <w:noProof/>
            <w:webHidden/>
          </w:rPr>
          <w:fldChar w:fldCharType="end"/>
        </w:r>
      </w:hyperlink>
    </w:p>
    <w:p w14:paraId="49A54FA7" w14:textId="77777777" w:rsidR="00F82500" w:rsidRPr="00825D0C" w:rsidRDefault="00943AA8">
      <w:pPr>
        <w:pStyle w:val="TOC2"/>
        <w:tabs>
          <w:tab w:val="right" w:leader="dot" w:pos="11078"/>
        </w:tabs>
        <w:rPr>
          <w:rFonts w:ascii="Gill Sans MT" w:eastAsiaTheme="minorEastAsia" w:hAnsi="Gill Sans MT"/>
          <w:noProof/>
        </w:rPr>
      </w:pPr>
      <w:hyperlink w:anchor="_Toc447276198" w:history="1">
        <w:r w:rsidR="00F82500" w:rsidRPr="00825D0C">
          <w:rPr>
            <w:rStyle w:val="Hyperlink"/>
            <w:rFonts w:ascii="Gill Sans MT" w:hAnsi="Gill Sans MT"/>
            <w:noProof/>
          </w:rPr>
          <w:t>FUNDING REQUIRED STATE LEADERSHIP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146</w:t>
        </w:r>
        <w:r w:rsidR="00F82500" w:rsidRPr="00825D0C">
          <w:rPr>
            <w:rFonts w:ascii="Gill Sans MT" w:hAnsi="Gill Sans MT"/>
            <w:noProof/>
            <w:webHidden/>
          </w:rPr>
          <w:fldChar w:fldCharType="end"/>
        </w:r>
      </w:hyperlink>
    </w:p>
    <w:p w14:paraId="65ED9394" w14:textId="77777777" w:rsidR="00F82500" w:rsidRPr="00825D0C" w:rsidRDefault="00943AA8">
      <w:pPr>
        <w:pStyle w:val="TOC1"/>
        <w:tabs>
          <w:tab w:val="right" w:leader="dot" w:pos="11078"/>
        </w:tabs>
        <w:rPr>
          <w:rFonts w:ascii="Gill Sans MT" w:eastAsiaTheme="minorEastAsia" w:hAnsi="Gill Sans MT"/>
          <w:noProof/>
        </w:rPr>
      </w:pPr>
      <w:hyperlink w:anchor="_Toc447276199" w:history="1">
        <w:r w:rsidR="00F82500" w:rsidRPr="00825D0C">
          <w:rPr>
            <w:rStyle w:val="Hyperlink"/>
            <w:rFonts w:ascii="Gill Sans MT" w:hAnsi="Gill Sans MT"/>
            <w:noProof/>
          </w:rPr>
          <w:t>PART 7. VOCATIONAL REHABILITATION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_Toc447276199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152</w:t>
        </w:r>
        <w:r w:rsidR="00F82500" w:rsidRPr="00825D0C">
          <w:rPr>
            <w:rFonts w:ascii="Gill Sans MT" w:hAnsi="Gill Sans MT"/>
            <w:noProof/>
            <w:webHidden/>
          </w:rPr>
          <w:fldChar w:fldCharType="end"/>
        </w:r>
      </w:hyperlink>
    </w:p>
    <w:p w14:paraId="3F633F43" w14:textId="77777777" w:rsidR="00F82500" w:rsidRPr="00825D0C" w:rsidRDefault="00943AA8">
      <w:pPr>
        <w:pStyle w:val="TOC2"/>
        <w:tabs>
          <w:tab w:val="right" w:leader="dot" w:pos="11078"/>
        </w:tabs>
        <w:rPr>
          <w:rFonts w:ascii="Gill Sans MT" w:eastAsiaTheme="minorEastAsia" w:hAnsi="Gill Sans MT"/>
          <w:noProof/>
        </w:rPr>
      </w:pPr>
      <w:hyperlink w:anchor="_Toc447276204" w:history="1">
        <w:r w:rsidR="00F82500" w:rsidRPr="00825D0C">
          <w:rPr>
            <w:rStyle w:val="Hyperlink"/>
            <w:rFonts w:ascii="Gill Sans MT" w:hAnsi="Gill Sans MT"/>
            <w:noProof/>
          </w:rPr>
          <w:t>Input and recommendations by the State Rehabilitation Council</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_Toc447276204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152</w:t>
        </w:r>
        <w:r w:rsidR="00F82500" w:rsidRPr="00825D0C">
          <w:rPr>
            <w:rFonts w:ascii="Gill Sans MT" w:hAnsi="Gill Sans MT"/>
            <w:noProof/>
            <w:webHidden/>
          </w:rPr>
          <w:fldChar w:fldCharType="end"/>
        </w:r>
      </w:hyperlink>
    </w:p>
    <w:p w14:paraId="5D7ED018" w14:textId="77777777" w:rsidR="00F82500" w:rsidRPr="00825D0C" w:rsidRDefault="00943AA8">
      <w:pPr>
        <w:pStyle w:val="TOC2"/>
        <w:tabs>
          <w:tab w:val="right" w:leader="dot" w:pos="11078"/>
        </w:tabs>
        <w:rPr>
          <w:rFonts w:ascii="Gill Sans MT" w:eastAsiaTheme="minorEastAsia" w:hAnsi="Gill Sans MT"/>
          <w:noProof/>
        </w:rPr>
      </w:pPr>
      <w:hyperlink w:anchor="_Toc447276205" w:history="1">
        <w:r w:rsidR="00F82500" w:rsidRPr="00825D0C">
          <w:rPr>
            <w:rStyle w:val="Hyperlink"/>
            <w:rFonts w:ascii="Gill Sans MT" w:hAnsi="Gill Sans MT"/>
            <w:noProof/>
          </w:rPr>
          <w:t>Recommendations from the Maryland State Rehabilitation Council</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_Toc447276205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153</w:t>
        </w:r>
        <w:r w:rsidR="00F82500" w:rsidRPr="00825D0C">
          <w:rPr>
            <w:rFonts w:ascii="Gill Sans MT" w:hAnsi="Gill Sans MT"/>
            <w:noProof/>
            <w:webHidden/>
          </w:rPr>
          <w:fldChar w:fldCharType="end"/>
        </w:r>
      </w:hyperlink>
    </w:p>
    <w:p w14:paraId="650211FE" w14:textId="77777777" w:rsidR="00F82500" w:rsidRPr="00825D0C" w:rsidRDefault="00943AA8">
      <w:pPr>
        <w:pStyle w:val="TOC2"/>
        <w:tabs>
          <w:tab w:val="right" w:leader="dot" w:pos="11078"/>
        </w:tabs>
        <w:rPr>
          <w:rFonts w:ascii="Gill Sans MT" w:eastAsiaTheme="minorEastAsia" w:hAnsi="Gill Sans MT"/>
          <w:noProof/>
        </w:rPr>
      </w:pPr>
      <w:hyperlink w:anchor="_Toc447276206" w:history="1">
        <w:r w:rsidR="00F82500" w:rsidRPr="00825D0C">
          <w:rPr>
            <w:rStyle w:val="Hyperlink"/>
            <w:rFonts w:ascii="Gill Sans MT" w:hAnsi="Gill Sans MT"/>
            <w:noProof/>
          </w:rPr>
          <w:t>DORS Responses to the Council’s Input and Recommendations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_Toc447276206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154</w:t>
        </w:r>
        <w:r w:rsidR="00F82500" w:rsidRPr="00825D0C">
          <w:rPr>
            <w:rFonts w:ascii="Gill Sans MT" w:hAnsi="Gill Sans MT"/>
            <w:noProof/>
            <w:webHidden/>
          </w:rPr>
          <w:fldChar w:fldCharType="end"/>
        </w:r>
      </w:hyperlink>
    </w:p>
    <w:p w14:paraId="1B791EFC" w14:textId="77777777" w:rsidR="00F82500" w:rsidRPr="00825D0C" w:rsidRDefault="00943AA8">
      <w:pPr>
        <w:pStyle w:val="TOC2"/>
        <w:tabs>
          <w:tab w:val="right" w:leader="dot" w:pos="11078"/>
        </w:tabs>
        <w:rPr>
          <w:rFonts w:ascii="Gill Sans MT" w:eastAsiaTheme="minorEastAsia" w:hAnsi="Gill Sans MT"/>
          <w:noProof/>
        </w:rPr>
      </w:pPr>
      <w:hyperlink w:anchor="_Toc447276207" w:history="1">
        <w:r w:rsidR="00F82500" w:rsidRPr="00825D0C">
          <w:rPr>
            <w:rStyle w:val="Hyperlink"/>
            <w:rFonts w:ascii="Gill Sans MT" w:hAnsi="Gill Sans MT"/>
            <w:noProof/>
          </w:rPr>
          <w:t>Explanations for rejecting any MSRC recommendations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_Toc447276207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155</w:t>
        </w:r>
        <w:r w:rsidR="00F82500" w:rsidRPr="00825D0C">
          <w:rPr>
            <w:rFonts w:ascii="Gill Sans MT" w:hAnsi="Gill Sans MT"/>
            <w:noProof/>
            <w:webHidden/>
          </w:rPr>
          <w:fldChar w:fldCharType="end"/>
        </w:r>
      </w:hyperlink>
    </w:p>
    <w:p w14:paraId="10A657A2" w14:textId="77777777" w:rsidR="00F82500" w:rsidRPr="00825D0C" w:rsidRDefault="00943AA8">
      <w:pPr>
        <w:pStyle w:val="TOC2"/>
        <w:tabs>
          <w:tab w:val="right" w:leader="dot" w:pos="11078"/>
        </w:tabs>
        <w:rPr>
          <w:rFonts w:ascii="Gill Sans MT" w:eastAsiaTheme="minorEastAsia" w:hAnsi="Gill Sans MT"/>
          <w:noProof/>
        </w:rPr>
      </w:pPr>
      <w:hyperlink w:anchor="_Toc447276208" w:history="1">
        <w:r w:rsidR="00F82500" w:rsidRPr="00825D0C">
          <w:rPr>
            <w:rStyle w:val="Hyperlink"/>
            <w:rFonts w:ascii="Gill Sans MT" w:hAnsi="Gill Sans MT"/>
            <w:noProof/>
          </w:rPr>
          <w:t>Request for Waiver of Statewideness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_Toc447276208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155</w:t>
        </w:r>
        <w:r w:rsidR="00F82500" w:rsidRPr="00825D0C">
          <w:rPr>
            <w:rFonts w:ascii="Gill Sans MT" w:hAnsi="Gill Sans MT"/>
            <w:noProof/>
            <w:webHidden/>
          </w:rPr>
          <w:fldChar w:fldCharType="end"/>
        </w:r>
      </w:hyperlink>
    </w:p>
    <w:p w14:paraId="587C8A29" w14:textId="77777777" w:rsidR="00F82500" w:rsidRPr="00825D0C" w:rsidRDefault="00943AA8">
      <w:pPr>
        <w:pStyle w:val="TOC2"/>
        <w:tabs>
          <w:tab w:val="right" w:leader="dot" w:pos="11078"/>
        </w:tabs>
        <w:rPr>
          <w:rFonts w:ascii="Gill Sans MT" w:eastAsiaTheme="minorEastAsia" w:hAnsi="Gill Sans MT"/>
          <w:noProof/>
        </w:rPr>
      </w:pPr>
      <w:hyperlink w:anchor="_Toc447276209" w:history="1">
        <w:r w:rsidR="00F82500" w:rsidRPr="00825D0C">
          <w:rPr>
            <w:rStyle w:val="Hyperlink"/>
            <w:rFonts w:ascii="Gill Sans MT" w:hAnsi="Gill Sans MT"/>
            <w:noProof/>
          </w:rPr>
          <w:t>COOPERATIVE AGREEMENTS WITH AGENCIES NOT CARRYING OUT ACTIVITIES UNDER THE STATEWIDE WORKFORCE DEVELOPMENT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_Toc447276209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155</w:t>
        </w:r>
        <w:r w:rsidR="00F82500" w:rsidRPr="00825D0C">
          <w:rPr>
            <w:rFonts w:ascii="Gill Sans MT" w:hAnsi="Gill Sans MT"/>
            <w:noProof/>
            <w:webHidden/>
          </w:rPr>
          <w:fldChar w:fldCharType="end"/>
        </w:r>
      </w:hyperlink>
    </w:p>
    <w:p w14:paraId="3CCD3C75" w14:textId="77777777" w:rsidR="00F82500" w:rsidRPr="00825D0C" w:rsidRDefault="00943AA8">
      <w:pPr>
        <w:pStyle w:val="TOC3"/>
        <w:tabs>
          <w:tab w:val="right" w:leader="dot" w:pos="11078"/>
        </w:tabs>
        <w:rPr>
          <w:rFonts w:ascii="Gill Sans MT" w:eastAsiaTheme="minorEastAsia" w:hAnsi="Gill Sans MT"/>
          <w:noProof/>
        </w:rPr>
      </w:pPr>
      <w:hyperlink w:anchor="_Toc447276210" w:history="1">
        <w:r w:rsidR="00F82500" w:rsidRPr="00825D0C">
          <w:rPr>
            <w:rStyle w:val="Hyperlink"/>
            <w:rFonts w:ascii="Gill Sans MT" w:hAnsi="Gill Sans MT"/>
            <w:noProof/>
          </w:rPr>
          <w:t>Cooperation &amp; Federal, State and local agencies and programs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155</w:t>
        </w:r>
        <w:r w:rsidR="00F82500" w:rsidRPr="00825D0C">
          <w:rPr>
            <w:rFonts w:ascii="Gill Sans MT" w:hAnsi="Gill Sans MT"/>
            <w:noProof/>
            <w:webHidden/>
          </w:rPr>
          <w:fldChar w:fldCharType="end"/>
        </w:r>
      </w:hyperlink>
    </w:p>
    <w:p w14:paraId="28952E1F" w14:textId="77777777" w:rsidR="00F82500" w:rsidRPr="00825D0C" w:rsidRDefault="00943AA8">
      <w:pPr>
        <w:pStyle w:val="TOC2"/>
        <w:tabs>
          <w:tab w:val="right" w:leader="dot" w:pos="11078"/>
        </w:tabs>
        <w:rPr>
          <w:rFonts w:ascii="Gill Sans MT" w:eastAsiaTheme="minorEastAsia" w:hAnsi="Gill Sans MT"/>
          <w:noProof/>
        </w:rPr>
      </w:pPr>
      <w:hyperlink w:anchor="_Toc447276211" w:history="1">
        <w:r w:rsidR="00F82500" w:rsidRPr="00825D0C">
          <w:rPr>
            <w:rStyle w:val="Hyperlink"/>
            <w:rFonts w:ascii="Gill Sans MT" w:hAnsi="Gill Sans MT"/>
            <w:noProof/>
          </w:rPr>
          <w:t>COORDINATION WITH EDUCATION OFFICIALS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158</w:t>
        </w:r>
        <w:r w:rsidR="00F82500" w:rsidRPr="00825D0C">
          <w:rPr>
            <w:rFonts w:ascii="Gill Sans MT" w:hAnsi="Gill Sans MT"/>
            <w:noProof/>
            <w:webHidden/>
          </w:rPr>
          <w:fldChar w:fldCharType="end"/>
        </w:r>
      </w:hyperlink>
    </w:p>
    <w:p w14:paraId="7E171806" w14:textId="77777777" w:rsidR="00F82500" w:rsidRPr="00825D0C" w:rsidRDefault="00943AA8">
      <w:pPr>
        <w:pStyle w:val="TOC3"/>
        <w:tabs>
          <w:tab w:val="right" w:leader="dot" w:pos="11078"/>
        </w:tabs>
        <w:rPr>
          <w:rFonts w:ascii="Gill Sans MT" w:eastAsiaTheme="minorEastAsia" w:hAnsi="Gill Sans MT"/>
          <w:noProof/>
        </w:rPr>
      </w:pPr>
      <w:hyperlink w:anchor="_Toc447276212" w:history="1">
        <w:r w:rsidR="00F82500" w:rsidRPr="00825D0C">
          <w:rPr>
            <w:rStyle w:val="Hyperlink"/>
            <w:rFonts w:ascii="Gill Sans MT" w:hAnsi="Gill Sans MT"/>
            <w:noProof/>
          </w:rPr>
          <w:t>(1) Plans, Policies and Coordination with Educational Officials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158</w:t>
        </w:r>
        <w:r w:rsidR="00F82500" w:rsidRPr="00825D0C">
          <w:rPr>
            <w:rFonts w:ascii="Gill Sans MT" w:hAnsi="Gill Sans MT"/>
            <w:noProof/>
            <w:webHidden/>
          </w:rPr>
          <w:fldChar w:fldCharType="end"/>
        </w:r>
      </w:hyperlink>
    </w:p>
    <w:p w14:paraId="5701AA4B" w14:textId="77777777" w:rsidR="00F82500" w:rsidRPr="00825D0C" w:rsidRDefault="00943AA8">
      <w:pPr>
        <w:pStyle w:val="TOC3"/>
        <w:tabs>
          <w:tab w:val="right" w:leader="dot" w:pos="11078"/>
        </w:tabs>
        <w:rPr>
          <w:rFonts w:ascii="Gill Sans MT" w:eastAsiaTheme="minorEastAsia" w:hAnsi="Gill Sans MT"/>
          <w:noProof/>
        </w:rPr>
      </w:pPr>
      <w:hyperlink w:anchor="_Toc447276213" w:history="1">
        <w:r w:rsidR="00F82500" w:rsidRPr="00825D0C">
          <w:rPr>
            <w:rStyle w:val="Hyperlink"/>
            <w:rFonts w:ascii="Gill Sans MT" w:hAnsi="Gill Sans MT"/>
            <w:noProof/>
          </w:rPr>
          <w:t>(2) Information on the formal interagency agreement with the State educational agency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158</w:t>
        </w:r>
        <w:r w:rsidR="00F82500" w:rsidRPr="00825D0C">
          <w:rPr>
            <w:rFonts w:ascii="Gill Sans MT" w:hAnsi="Gill Sans MT"/>
            <w:noProof/>
            <w:webHidden/>
          </w:rPr>
          <w:fldChar w:fldCharType="end"/>
        </w:r>
      </w:hyperlink>
    </w:p>
    <w:p w14:paraId="75EEF2B5" w14:textId="77777777" w:rsidR="00F82500" w:rsidRPr="00825D0C" w:rsidRDefault="00943AA8">
      <w:pPr>
        <w:pStyle w:val="TOC3"/>
        <w:tabs>
          <w:tab w:val="right" w:leader="dot" w:pos="11078"/>
        </w:tabs>
        <w:rPr>
          <w:rFonts w:ascii="Gill Sans MT" w:eastAsiaTheme="minorEastAsia" w:hAnsi="Gill Sans MT"/>
          <w:noProof/>
        </w:rPr>
      </w:pPr>
      <w:hyperlink w:anchor="_Toc447276214" w:history="1">
        <w:r w:rsidR="00F82500" w:rsidRPr="00825D0C">
          <w:rPr>
            <w:rStyle w:val="Hyperlink"/>
            <w:rFonts w:ascii="Gill Sans MT" w:hAnsi="Gill Sans MT"/>
            <w:noProof/>
          </w:rPr>
          <w:t>State Law – Counselor Assignment to Secondary Schools; Completion of the Individualized Plan for Employment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159</w:t>
        </w:r>
        <w:r w:rsidR="00F82500" w:rsidRPr="00825D0C">
          <w:rPr>
            <w:rFonts w:ascii="Gill Sans MT" w:hAnsi="Gill Sans MT"/>
            <w:noProof/>
            <w:webHidden/>
          </w:rPr>
          <w:fldChar w:fldCharType="end"/>
        </w:r>
      </w:hyperlink>
    </w:p>
    <w:p w14:paraId="6AE2066F" w14:textId="77777777" w:rsidR="00F82500" w:rsidRPr="00825D0C" w:rsidRDefault="00943AA8">
      <w:pPr>
        <w:pStyle w:val="TOC3"/>
        <w:tabs>
          <w:tab w:val="right" w:leader="dot" w:pos="11078"/>
        </w:tabs>
        <w:rPr>
          <w:rFonts w:ascii="Gill Sans MT" w:eastAsiaTheme="minorEastAsia" w:hAnsi="Gill Sans MT"/>
          <w:noProof/>
        </w:rPr>
      </w:pPr>
      <w:hyperlink w:anchor="_Toc447276215" w:history="1">
        <w:r w:rsidR="00F82500" w:rsidRPr="00825D0C">
          <w:rPr>
            <w:rStyle w:val="Hyperlink"/>
            <w:rFonts w:ascii="Gill Sans MT" w:hAnsi="Gill Sans MT"/>
            <w:noProof/>
          </w:rPr>
          <w:t>The Governor’s Interagency Transition Council for Youth with Disabilities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159</w:t>
        </w:r>
        <w:r w:rsidR="00F82500" w:rsidRPr="00825D0C">
          <w:rPr>
            <w:rFonts w:ascii="Gill Sans MT" w:hAnsi="Gill Sans MT"/>
            <w:noProof/>
            <w:webHidden/>
          </w:rPr>
          <w:fldChar w:fldCharType="end"/>
        </w:r>
      </w:hyperlink>
    </w:p>
    <w:p w14:paraId="7C1DB3C0" w14:textId="77777777" w:rsidR="00F82500" w:rsidRPr="00825D0C" w:rsidRDefault="00943AA8">
      <w:pPr>
        <w:pStyle w:val="TOC3"/>
        <w:tabs>
          <w:tab w:val="right" w:leader="dot" w:pos="11078"/>
        </w:tabs>
        <w:rPr>
          <w:rFonts w:ascii="Gill Sans MT" w:eastAsiaTheme="minorEastAsia" w:hAnsi="Gill Sans MT"/>
          <w:noProof/>
        </w:rPr>
      </w:pPr>
      <w:hyperlink w:anchor="_Toc447276216" w:history="1">
        <w:r w:rsidR="00F82500" w:rsidRPr="00825D0C">
          <w:rPr>
            <w:rStyle w:val="Hyperlink"/>
            <w:rFonts w:ascii="Gill Sans MT" w:hAnsi="Gill Sans MT"/>
            <w:noProof/>
          </w:rPr>
          <w:t>Transition Planning by Personnel of the Designated State Agency and Educational Agency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159</w:t>
        </w:r>
        <w:r w:rsidR="00F82500" w:rsidRPr="00825D0C">
          <w:rPr>
            <w:rFonts w:ascii="Gill Sans MT" w:hAnsi="Gill Sans MT"/>
            <w:noProof/>
            <w:webHidden/>
          </w:rPr>
          <w:fldChar w:fldCharType="end"/>
        </w:r>
      </w:hyperlink>
    </w:p>
    <w:p w14:paraId="1A85CE74" w14:textId="77777777" w:rsidR="00F82500" w:rsidRPr="00825D0C" w:rsidRDefault="00943AA8">
      <w:pPr>
        <w:pStyle w:val="TOC3"/>
        <w:tabs>
          <w:tab w:val="right" w:leader="dot" w:pos="11078"/>
        </w:tabs>
        <w:rPr>
          <w:rFonts w:ascii="Gill Sans MT" w:eastAsiaTheme="minorEastAsia" w:hAnsi="Gill Sans MT"/>
          <w:noProof/>
        </w:rPr>
      </w:pPr>
      <w:hyperlink w:anchor="_Toc447276217" w:history="1">
        <w:r w:rsidR="00F82500" w:rsidRPr="00825D0C">
          <w:rPr>
            <w:rStyle w:val="Hyperlink"/>
            <w:rFonts w:ascii="Gill Sans MT" w:hAnsi="Gill Sans MT"/>
            <w:noProof/>
          </w:rPr>
          <w:t>Outreach to and Identification of Students with Disabilities Who Need Transition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159</w:t>
        </w:r>
        <w:r w:rsidR="00F82500" w:rsidRPr="00825D0C">
          <w:rPr>
            <w:rFonts w:ascii="Gill Sans MT" w:hAnsi="Gill Sans MT"/>
            <w:noProof/>
            <w:webHidden/>
          </w:rPr>
          <w:fldChar w:fldCharType="end"/>
        </w:r>
      </w:hyperlink>
    </w:p>
    <w:p w14:paraId="1A4DFBCE" w14:textId="77777777" w:rsidR="00F82500" w:rsidRPr="00825D0C" w:rsidRDefault="00943AA8">
      <w:pPr>
        <w:pStyle w:val="TOC2"/>
        <w:tabs>
          <w:tab w:val="right" w:leader="dot" w:pos="11078"/>
        </w:tabs>
        <w:rPr>
          <w:rFonts w:ascii="Gill Sans MT" w:eastAsiaTheme="minorEastAsia" w:hAnsi="Gill Sans MT"/>
          <w:noProof/>
        </w:rPr>
      </w:pPr>
      <w:hyperlink w:anchor="_Toc447276218" w:history="1">
        <w:r w:rsidR="00F82500" w:rsidRPr="00825D0C">
          <w:rPr>
            <w:rStyle w:val="Hyperlink"/>
            <w:rFonts w:ascii="Gill Sans MT" w:hAnsi="Gill Sans MT"/>
            <w:noProof/>
          </w:rPr>
          <w:t>Cooperative Agreements with Private Nonprofit Organizations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160</w:t>
        </w:r>
        <w:r w:rsidR="00F82500" w:rsidRPr="00825D0C">
          <w:rPr>
            <w:rFonts w:ascii="Gill Sans MT" w:hAnsi="Gill Sans MT"/>
            <w:noProof/>
            <w:webHidden/>
          </w:rPr>
          <w:fldChar w:fldCharType="end"/>
        </w:r>
      </w:hyperlink>
    </w:p>
    <w:p w14:paraId="3CC1C223" w14:textId="77777777" w:rsidR="00F82500" w:rsidRPr="00825D0C" w:rsidRDefault="00943AA8">
      <w:pPr>
        <w:pStyle w:val="TOC2"/>
        <w:tabs>
          <w:tab w:val="right" w:leader="dot" w:pos="11078"/>
        </w:tabs>
        <w:rPr>
          <w:rFonts w:ascii="Gill Sans MT" w:eastAsiaTheme="minorEastAsia" w:hAnsi="Gill Sans MT"/>
          <w:noProof/>
        </w:rPr>
      </w:pPr>
      <w:hyperlink w:anchor="_Toc447276219" w:history="1">
        <w:r w:rsidR="00F82500" w:rsidRPr="00825D0C">
          <w:rPr>
            <w:rStyle w:val="Hyperlink"/>
            <w:rFonts w:ascii="Gill Sans MT" w:hAnsi="Gill Sans MT"/>
            <w:noProof/>
          </w:rPr>
          <w:t>DORS Accreditations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_Toc447276219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160</w:t>
        </w:r>
        <w:r w:rsidR="00F82500" w:rsidRPr="00825D0C">
          <w:rPr>
            <w:rFonts w:ascii="Gill Sans MT" w:hAnsi="Gill Sans MT"/>
            <w:noProof/>
            <w:webHidden/>
          </w:rPr>
          <w:fldChar w:fldCharType="end"/>
        </w:r>
      </w:hyperlink>
    </w:p>
    <w:p w14:paraId="70418A4F" w14:textId="77777777" w:rsidR="00F82500" w:rsidRPr="00825D0C" w:rsidRDefault="00943AA8">
      <w:pPr>
        <w:pStyle w:val="TOC2"/>
        <w:tabs>
          <w:tab w:val="right" w:leader="dot" w:pos="11078"/>
        </w:tabs>
        <w:rPr>
          <w:rFonts w:ascii="Gill Sans MT" w:eastAsiaTheme="minorEastAsia" w:hAnsi="Gill Sans MT"/>
          <w:noProof/>
        </w:rPr>
      </w:pPr>
      <w:hyperlink w:anchor="_Toc447276220" w:history="1">
        <w:r w:rsidR="00F82500" w:rsidRPr="00825D0C">
          <w:rPr>
            <w:rStyle w:val="Hyperlink"/>
            <w:rFonts w:ascii="Gill Sans MT" w:hAnsi="Gill Sans MT"/>
            <w:noProof/>
          </w:rPr>
          <w:t>The Accreditation Process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161</w:t>
        </w:r>
        <w:r w:rsidR="00F82500" w:rsidRPr="00825D0C">
          <w:rPr>
            <w:rFonts w:ascii="Gill Sans MT" w:hAnsi="Gill Sans MT"/>
            <w:noProof/>
            <w:webHidden/>
          </w:rPr>
          <w:fldChar w:fldCharType="end"/>
        </w:r>
      </w:hyperlink>
    </w:p>
    <w:p w14:paraId="1D63F17C" w14:textId="77777777" w:rsidR="00F82500" w:rsidRPr="00825D0C" w:rsidRDefault="00943AA8">
      <w:pPr>
        <w:pStyle w:val="TOC2"/>
        <w:tabs>
          <w:tab w:val="right" w:leader="dot" w:pos="11078"/>
        </w:tabs>
        <w:rPr>
          <w:rFonts w:ascii="Gill Sans MT" w:eastAsiaTheme="minorEastAsia" w:hAnsi="Gill Sans MT"/>
          <w:noProof/>
        </w:rPr>
      </w:pPr>
      <w:hyperlink w:anchor="_Toc447276221" w:history="1">
        <w:r w:rsidR="00F82500" w:rsidRPr="00825D0C">
          <w:rPr>
            <w:rStyle w:val="Hyperlink"/>
            <w:rFonts w:ascii="Gill Sans MT" w:hAnsi="Gill Sans MT"/>
            <w:noProof/>
          </w:rPr>
          <w:t>Cooperative Agreements &amp; Arrangements for Provision of Supported Employment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161</w:t>
        </w:r>
        <w:r w:rsidR="00F82500" w:rsidRPr="00825D0C">
          <w:rPr>
            <w:rFonts w:ascii="Gill Sans MT" w:hAnsi="Gill Sans MT"/>
            <w:noProof/>
            <w:webHidden/>
          </w:rPr>
          <w:fldChar w:fldCharType="end"/>
        </w:r>
      </w:hyperlink>
    </w:p>
    <w:p w14:paraId="1E33F465" w14:textId="77777777" w:rsidR="00F82500" w:rsidRPr="00825D0C" w:rsidRDefault="00943AA8">
      <w:pPr>
        <w:pStyle w:val="TOC3"/>
        <w:tabs>
          <w:tab w:val="right" w:leader="dot" w:pos="11078"/>
        </w:tabs>
        <w:rPr>
          <w:rFonts w:ascii="Gill Sans MT" w:eastAsiaTheme="minorEastAsia" w:hAnsi="Gill Sans MT"/>
          <w:noProof/>
        </w:rPr>
      </w:pPr>
      <w:hyperlink w:anchor="_Toc447276222" w:history="1">
        <w:r w:rsidR="00F82500" w:rsidRPr="00825D0C">
          <w:rPr>
            <w:rStyle w:val="Hyperlink"/>
            <w:rFonts w:ascii="Gill Sans MT" w:hAnsi="Gill Sans MT"/>
            <w:noProof/>
          </w:rPr>
          <w:t>Evidenced Based Supported Employment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161</w:t>
        </w:r>
        <w:r w:rsidR="00F82500" w:rsidRPr="00825D0C">
          <w:rPr>
            <w:rFonts w:ascii="Gill Sans MT" w:hAnsi="Gill Sans MT"/>
            <w:noProof/>
            <w:webHidden/>
          </w:rPr>
          <w:fldChar w:fldCharType="end"/>
        </w:r>
      </w:hyperlink>
    </w:p>
    <w:p w14:paraId="4A339212" w14:textId="77777777" w:rsidR="00F82500" w:rsidRPr="00825D0C" w:rsidRDefault="00943AA8">
      <w:pPr>
        <w:pStyle w:val="TOC3"/>
        <w:tabs>
          <w:tab w:val="right" w:leader="dot" w:pos="11078"/>
        </w:tabs>
        <w:rPr>
          <w:rFonts w:ascii="Gill Sans MT" w:eastAsiaTheme="minorEastAsia" w:hAnsi="Gill Sans MT"/>
          <w:noProof/>
        </w:rPr>
      </w:pPr>
      <w:hyperlink w:anchor="_Toc447276223" w:history="1">
        <w:r w:rsidR="00F82500" w:rsidRPr="00825D0C">
          <w:rPr>
            <w:rStyle w:val="Hyperlink"/>
            <w:rFonts w:ascii="Gill Sans MT" w:hAnsi="Gill Sans MT"/>
            <w:i/>
            <w:noProof/>
          </w:rPr>
          <w:t>Employment First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161</w:t>
        </w:r>
        <w:r w:rsidR="00F82500" w:rsidRPr="00825D0C">
          <w:rPr>
            <w:rFonts w:ascii="Gill Sans MT" w:hAnsi="Gill Sans MT"/>
            <w:noProof/>
            <w:webHidden/>
          </w:rPr>
          <w:fldChar w:fldCharType="end"/>
        </w:r>
      </w:hyperlink>
    </w:p>
    <w:p w14:paraId="37778C0A" w14:textId="77777777" w:rsidR="00F82500" w:rsidRPr="00825D0C" w:rsidRDefault="00943AA8">
      <w:pPr>
        <w:pStyle w:val="TOC3"/>
        <w:tabs>
          <w:tab w:val="right" w:leader="dot" w:pos="11078"/>
        </w:tabs>
        <w:rPr>
          <w:rFonts w:ascii="Gill Sans MT" w:eastAsiaTheme="minorEastAsia" w:hAnsi="Gill Sans MT"/>
          <w:noProof/>
        </w:rPr>
      </w:pPr>
      <w:hyperlink w:anchor="_Toc447276224" w:history="1">
        <w:r w:rsidR="00F82500" w:rsidRPr="00825D0C">
          <w:rPr>
            <w:rStyle w:val="Hyperlink"/>
            <w:rFonts w:ascii="Gill Sans MT" w:hAnsi="Gill Sans MT"/>
            <w:noProof/>
          </w:rPr>
          <w:t>Governor’s Employment Program for Persons with Acquired Brain Injury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162</w:t>
        </w:r>
        <w:r w:rsidR="00F82500" w:rsidRPr="00825D0C">
          <w:rPr>
            <w:rFonts w:ascii="Gill Sans MT" w:hAnsi="Gill Sans MT"/>
            <w:noProof/>
            <w:webHidden/>
          </w:rPr>
          <w:fldChar w:fldCharType="end"/>
        </w:r>
      </w:hyperlink>
    </w:p>
    <w:p w14:paraId="00442AC3" w14:textId="77777777" w:rsidR="00F82500" w:rsidRPr="00825D0C" w:rsidRDefault="00943AA8">
      <w:pPr>
        <w:pStyle w:val="TOC2"/>
        <w:tabs>
          <w:tab w:val="right" w:leader="dot" w:pos="11078"/>
        </w:tabs>
        <w:rPr>
          <w:rFonts w:ascii="Gill Sans MT" w:eastAsiaTheme="minorEastAsia" w:hAnsi="Gill Sans MT"/>
          <w:noProof/>
        </w:rPr>
      </w:pPr>
      <w:hyperlink w:anchor="_Toc447276225" w:history="1">
        <w:r w:rsidR="00F82500" w:rsidRPr="00825D0C">
          <w:rPr>
            <w:rStyle w:val="Hyperlink"/>
            <w:rFonts w:ascii="Gill Sans MT" w:hAnsi="Gill Sans MT"/>
            <w:noProof/>
          </w:rPr>
          <w:t>COORDINATION WITH BUSINESS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162</w:t>
        </w:r>
        <w:r w:rsidR="00F82500" w:rsidRPr="00825D0C">
          <w:rPr>
            <w:rFonts w:ascii="Gill Sans MT" w:hAnsi="Gill Sans MT"/>
            <w:noProof/>
            <w:webHidden/>
          </w:rPr>
          <w:fldChar w:fldCharType="end"/>
        </w:r>
      </w:hyperlink>
    </w:p>
    <w:p w14:paraId="5229271F" w14:textId="77777777" w:rsidR="00F82500" w:rsidRPr="00825D0C" w:rsidRDefault="00943AA8">
      <w:pPr>
        <w:pStyle w:val="TOC2"/>
        <w:tabs>
          <w:tab w:val="right" w:leader="dot" w:pos="11078"/>
        </w:tabs>
        <w:rPr>
          <w:rFonts w:ascii="Gill Sans MT" w:eastAsiaTheme="minorEastAsia" w:hAnsi="Gill Sans MT"/>
          <w:noProof/>
        </w:rPr>
      </w:pPr>
      <w:hyperlink w:anchor="_Toc447276226" w:history="1">
        <w:r w:rsidR="00F82500" w:rsidRPr="00825D0C">
          <w:rPr>
            <w:rStyle w:val="Hyperlink"/>
            <w:rFonts w:ascii="Gill Sans MT" w:hAnsi="Gill Sans MT"/>
            <w:noProof/>
          </w:rPr>
          <w:t>INTERAGENCY COOPERATION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164</w:t>
        </w:r>
        <w:r w:rsidR="00F82500" w:rsidRPr="00825D0C">
          <w:rPr>
            <w:rFonts w:ascii="Gill Sans MT" w:hAnsi="Gill Sans MT"/>
            <w:noProof/>
            <w:webHidden/>
          </w:rPr>
          <w:fldChar w:fldCharType="end"/>
        </w:r>
      </w:hyperlink>
    </w:p>
    <w:p w14:paraId="0FCEB785" w14:textId="77777777" w:rsidR="00F82500" w:rsidRPr="00825D0C" w:rsidRDefault="00943AA8">
      <w:pPr>
        <w:pStyle w:val="TOC3"/>
        <w:tabs>
          <w:tab w:val="right" w:leader="dot" w:pos="11078"/>
        </w:tabs>
        <w:rPr>
          <w:rFonts w:ascii="Gill Sans MT" w:eastAsiaTheme="minorEastAsia" w:hAnsi="Gill Sans MT"/>
          <w:noProof/>
        </w:rPr>
      </w:pPr>
      <w:hyperlink w:anchor="_Toc447276227" w:history="1">
        <w:r w:rsidR="00F82500" w:rsidRPr="00825D0C">
          <w:rPr>
            <w:rStyle w:val="Hyperlink"/>
            <w:rFonts w:ascii="Gill Sans MT" w:hAnsi="Gill Sans MT"/>
            <w:noProof/>
          </w:rPr>
          <w:t>State Medicaid Agency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164</w:t>
        </w:r>
        <w:r w:rsidR="00F82500" w:rsidRPr="00825D0C">
          <w:rPr>
            <w:rFonts w:ascii="Gill Sans MT" w:hAnsi="Gill Sans MT"/>
            <w:noProof/>
            <w:webHidden/>
          </w:rPr>
          <w:fldChar w:fldCharType="end"/>
        </w:r>
      </w:hyperlink>
    </w:p>
    <w:p w14:paraId="0863105C" w14:textId="77777777" w:rsidR="00F82500" w:rsidRPr="00825D0C" w:rsidRDefault="00943AA8">
      <w:pPr>
        <w:pStyle w:val="TOC3"/>
        <w:tabs>
          <w:tab w:val="right" w:leader="dot" w:pos="11078"/>
        </w:tabs>
        <w:rPr>
          <w:rFonts w:ascii="Gill Sans MT" w:eastAsiaTheme="minorEastAsia" w:hAnsi="Gill Sans MT"/>
          <w:noProof/>
        </w:rPr>
      </w:pPr>
      <w:hyperlink w:anchor="_Toc447276228" w:history="1">
        <w:r w:rsidR="00F82500" w:rsidRPr="00825D0C">
          <w:rPr>
            <w:rStyle w:val="Hyperlink"/>
            <w:rFonts w:ascii="Gill Sans MT" w:hAnsi="Gill Sans MT"/>
            <w:noProof/>
          </w:rPr>
          <w:t>Developmental Disabilities Administration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164</w:t>
        </w:r>
        <w:r w:rsidR="00F82500" w:rsidRPr="00825D0C">
          <w:rPr>
            <w:rFonts w:ascii="Gill Sans MT" w:hAnsi="Gill Sans MT"/>
            <w:noProof/>
            <w:webHidden/>
          </w:rPr>
          <w:fldChar w:fldCharType="end"/>
        </w:r>
      </w:hyperlink>
    </w:p>
    <w:p w14:paraId="5B773EE2" w14:textId="77777777" w:rsidR="00F82500" w:rsidRPr="00825D0C" w:rsidRDefault="00943AA8">
      <w:pPr>
        <w:pStyle w:val="TOC3"/>
        <w:tabs>
          <w:tab w:val="right" w:leader="dot" w:pos="11078"/>
        </w:tabs>
        <w:rPr>
          <w:rFonts w:ascii="Gill Sans MT" w:eastAsiaTheme="minorEastAsia" w:hAnsi="Gill Sans MT"/>
          <w:noProof/>
        </w:rPr>
      </w:pPr>
      <w:hyperlink w:anchor="_Toc447276229" w:history="1">
        <w:r w:rsidR="00F82500" w:rsidRPr="00825D0C">
          <w:rPr>
            <w:rStyle w:val="Hyperlink"/>
            <w:rFonts w:ascii="Gill Sans MT" w:hAnsi="Gill Sans MT"/>
            <w:noProof/>
          </w:rPr>
          <w:t>Behavioral Health Administration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_Toc447276229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165</w:t>
        </w:r>
        <w:r w:rsidR="00F82500" w:rsidRPr="00825D0C">
          <w:rPr>
            <w:rFonts w:ascii="Gill Sans MT" w:hAnsi="Gill Sans MT"/>
            <w:noProof/>
            <w:webHidden/>
          </w:rPr>
          <w:fldChar w:fldCharType="end"/>
        </w:r>
      </w:hyperlink>
    </w:p>
    <w:p w14:paraId="08B45D6A" w14:textId="77777777" w:rsidR="00F82500" w:rsidRPr="00825D0C" w:rsidRDefault="00943AA8">
      <w:pPr>
        <w:pStyle w:val="TOC2"/>
        <w:tabs>
          <w:tab w:val="right" w:leader="dot" w:pos="11078"/>
        </w:tabs>
        <w:rPr>
          <w:rFonts w:ascii="Gill Sans MT" w:eastAsiaTheme="minorEastAsia" w:hAnsi="Gill Sans MT"/>
          <w:noProof/>
        </w:rPr>
      </w:pPr>
      <w:hyperlink w:anchor="_Toc447276230" w:history="1">
        <w:r w:rsidR="00F82500" w:rsidRPr="00825D0C">
          <w:rPr>
            <w:rStyle w:val="Hyperlink"/>
            <w:rFonts w:ascii="Gill Sans MT" w:hAnsi="Gill Sans MT"/>
            <w:noProof/>
          </w:rPr>
          <w:t>Comprehensive</w:t>
        </w:r>
        <w:r w:rsidR="00F82500" w:rsidRPr="00825D0C">
          <w:rPr>
            <w:rStyle w:val="Hyperlink"/>
            <w:rFonts w:ascii="Gill Sans MT" w:hAnsi="Gill Sans MT"/>
            <w:noProof/>
            <w:spacing w:val="1"/>
          </w:rPr>
          <w:t xml:space="preserve"> </w:t>
        </w:r>
        <w:r w:rsidR="00F82500" w:rsidRPr="00825D0C">
          <w:rPr>
            <w:rStyle w:val="Hyperlink"/>
            <w:rFonts w:ascii="Gill Sans MT" w:hAnsi="Gill Sans MT"/>
            <w:noProof/>
          </w:rPr>
          <w:t>System</w:t>
        </w:r>
        <w:r w:rsidR="00F82500" w:rsidRPr="00825D0C">
          <w:rPr>
            <w:rStyle w:val="Hyperlink"/>
            <w:rFonts w:ascii="Gill Sans MT" w:hAnsi="Gill Sans MT"/>
            <w:noProof/>
            <w:spacing w:val="-7"/>
          </w:rPr>
          <w:t xml:space="preserve"> </w:t>
        </w:r>
        <w:r w:rsidR="00F82500" w:rsidRPr="00825D0C">
          <w:rPr>
            <w:rStyle w:val="Hyperlink"/>
            <w:rFonts w:ascii="Gill Sans MT" w:hAnsi="Gill Sans MT"/>
            <w:noProof/>
          </w:rPr>
          <w:t>of</w:t>
        </w:r>
        <w:r w:rsidR="00F82500" w:rsidRPr="00825D0C">
          <w:rPr>
            <w:rStyle w:val="Hyperlink"/>
            <w:rFonts w:ascii="Gill Sans MT" w:hAnsi="Gill Sans MT"/>
            <w:noProof/>
            <w:spacing w:val="-2"/>
          </w:rPr>
          <w:t xml:space="preserve"> </w:t>
        </w:r>
        <w:r w:rsidR="00F82500" w:rsidRPr="00825D0C">
          <w:rPr>
            <w:rStyle w:val="Hyperlink"/>
            <w:rFonts w:ascii="Gill Sans MT" w:hAnsi="Gill Sans MT"/>
            <w:noProof/>
          </w:rPr>
          <w:t>Personnel Development:</w:t>
        </w:r>
        <w:r w:rsidR="00F82500" w:rsidRPr="00825D0C">
          <w:rPr>
            <w:rStyle w:val="Hyperlink"/>
            <w:rFonts w:ascii="Gill Sans MT" w:hAnsi="Gill Sans MT"/>
            <w:noProof/>
            <w:spacing w:val="6"/>
          </w:rPr>
          <w:t xml:space="preserve"> </w:t>
        </w:r>
        <w:r w:rsidR="00F82500" w:rsidRPr="00825D0C">
          <w:rPr>
            <w:rStyle w:val="Hyperlink"/>
            <w:rFonts w:ascii="Gill Sans MT" w:hAnsi="Gill Sans MT"/>
            <w:noProof/>
          </w:rPr>
          <w:t>Data</w:t>
        </w:r>
        <w:r w:rsidR="00F82500" w:rsidRPr="00825D0C">
          <w:rPr>
            <w:rStyle w:val="Hyperlink"/>
            <w:rFonts w:ascii="Gill Sans MT" w:hAnsi="Gill Sans MT"/>
            <w:noProof/>
            <w:spacing w:val="-7"/>
          </w:rPr>
          <w:t xml:space="preserve"> </w:t>
        </w:r>
        <w:r w:rsidR="00F82500" w:rsidRPr="00825D0C">
          <w:rPr>
            <w:rStyle w:val="Hyperlink"/>
            <w:rFonts w:ascii="Gill Sans MT" w:hAnsi="Gill Sans MT"/>
            <w:noProof/>
          </w:rPr>
          <w:t>System</w:t>
        </w:r>
        <w:r w:rsidR="00F82500" w:rsidRPr="00825D0C">
          <w:rPr>
            <w:rStyle w:val="Hyperlink"/>
            <w:rFonts w:ascii="Gill Sans MT" w:hAnsi="Gill Sans MT"/>
            <w:noProof/>
            <w:spacing w:val="-7"/>
          </w:rPr>
          <w:t xml:space="preserve"> </w:t>
        </w:r>
        <w:r w:rsidR="00F82500" w:rsidRPr="00825D0C">
          <w:rPr>
            <w:rStyle w:val="Hyperlink"/>
            <w:rFonts w:ascii="Gill Sans MT" w:hAnsi="Gill Sans MT"/>
            <w:noProof/>
          </w:rPr>
          <w:t>&amp;</w:t>
        </w:r>
        <w:r w:rsidR="00F82500" w:rsidRPr="00825D0C">
          <w:rPr>
            <w:rStyle w:val="Hyperlink"/>
            <w:rFonts w:ascii="Gill Sans MT" w:hAnsi="Gill Sans MT"/>
            <w:noProof/>
            <w:spacing w:val="4"/>
          </w:rPr>
          <w:t xml:space="preserve"> </w:t>
        </w:r>
        <w:r w:rsidR="00F82500" w:rsidRPr="00825D0C">
          <w:rPr>
            <w:rStyle w:val="Hyperlink"/>
            <w:rFonts w:ascii="Gill Sans MT" w:hAnsi="Gill Sans MT"/>
            <w:noProof/>
          </w:rPr>
          <w:t>Personnel Development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165</w:t>
        </w:r>
        <w:r w:rsidR="00F82500" w:rsidRPr="00825D0C">
          <w:rPr>
            <w:rFonts w:ascii="Gill Sans MT" w:hAnsi="Gill Sans MT"/>
            <w:noProof/>
            <w:webHidden/>
          </w:rPr>
          <w:fldChar w:fldCharType="end"/>
        </w:r>
      </w:hyperlink>
    </w:p>
    <w:p w14:paraId="0A7061E9" w14:textId="77777777" w:rsidR="00F82500" w:rsidRPr="00825D0C" w:rsidRDefault="00943AA8">
      <w:pPr>
        <w:pStyle w:val="TOC2"/>
        <w:tabs>
          <w:tab w:val="right" w:leader="dot" w:pos="11078"/>
        </w:tabs>
        <w:rPr>
          <w:rFonts w:ascii="Gill Sans MT" w:eastAsiaTheme="minorEastAsia" w:hAnsi="Gill Sans MT"/>
          <w:noProof/>
        </w:rPr>
      </w:pPr>
      <w:hyperlink w:anchor="_Toc447276231" w:history="1">
        <w:r w:rsidR="00F82500" w:rsidRPr="00825D0C">
          <w:rPr>
            <w:rStyle w:val="Hyperlink"/>
            <w:rFonts w:ascii="Gill Sans MT" w:hAnsi="Gill Sans MT"/>
            <w:noProof/>
          </w:rPr>
          <w:t>ANNUAL ANALYSIS/REPORT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166</w:t>
        </w:r>
        <w:r w:rsidR="00F82500" w:rsidRPr="00825D0C">
          <w:rPr>
            <w:rFonts w:ascii="Gill Sans MT" w:hAnsi="Gill Sans MT"/>
            <w:noProof/>
            <w:webHidden/>
          </w:rPr>
          <w:fldChar w:fldCharType="end"/>
        </w:r>
      </w:hyperlink>
    </w:p>
    <w:p w14:paraId="1468D62E" w14:textId="77777777" w:rsidR="00F82500" w:rsidRPr="00825D0C" w:rsidRDefault="00943AA8">
      <w:pPr>
        <w:pStyle w:val="TOC3"/>
        <w:tabs>
          <w:tab w:val="right" w:leader="dot" w:pos="11078"/>
        </w:tabs>
        <w:rPr>
          <w:rFonts w:ascii="Gill Sans MT" w:eastAsiaTheme="minorEastAsia" w:hAnsi="Gill Sans MT"/>
          <w:noProof/>
        </w:rPr>
      </w:pPr>
      <w:hyperlink w:anchor="_Toc447276232" w:history="1">
        <w:r w:rsidR="00F82500" w:rsidRPr="00825D0C">
          <w:rPr>
            <w:rStyle w:val="Hyperlink"/>
            <w:rFonts w:ascii="Gill Sans MT" w:hAnsi="Gill Sans MT"/>
            <w:noProof/>
          </w:rPr>
          <w:t>Plan for Recruitment, Preparation and Retention of Qualified Personnel</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167</w:t>
        </w:r>
        <w:r w:rsidR="00F82500" w:rsidRPr="00825D0C">
          <w:rPr>
            <w:rFonts w:ascii="Gill Sans MT" w:hAnsi="Gill Sans MT"/>
            <w:noProof/>
            <w:webHidden/>
          </w:rPr>
          <w:fldChar w:fldCharType="end"/>
        </w:r>
      </w:hyperlink>
    </w:p>
    <w:p w14:paraId="14ED4E79" w14:textId="77777777" w:rsidR="00F82500" w:rsidRPr="00825D0C" w:rsidRDefault="00943AA8">
      <w:pPr>
        <w:pStyle w:val="TOC3"/>
        <w:tabs>
          <w:tab w:val="right" w:leader="dot" w:pos="11078"/>
        </w:tabs>
        <w:rPr>
          <w:rFonts w:ascii="Gill Sans MT" w:eastAsiaTheme="minorEastAsia" w:hAnsi="Gill Sans MT"/>
          <w:noProof/>
        </w:rPr>
      </w:pPr>
      <w:hyperlink w:anchor="_Toc447276233" w:history="1">
        <w:r w:rsidR="00F82500" w:rsidRPr="00825D0C">
          <w:rPr>
            <w:rStyle w:val="Hyperlink"/>
            <w:rFonts w:ascii="Gill Sans MT" w:hAnsi="Gill Sans MT"/>
            <w:noProof/>
          </w:rPr>
          <w:t>Personnel Standards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168</w:t>
        </w:r>
        <w:r w:rsidR="00F82500" w:rsidRPr="00825D0C">
          <w:rPr>
            <w:rFonts w:ascii="Gill Sans MT" w:hAnsi="Gill Sans MT"/>
            <w:noProof/>
            <w:webHidden/>
          </w:rPr>
          <w:fldChar w:fldCharType="end"/>
        </w:r>
      </w:hyperlink>
    </w:p>
    <w:p w14:paraId="6EE82E6D" w14:textId="77777777" w:rsidR="00F82500" w:rsidRPr="00825D0C" w:rsidRDefault="00943AA8">
      <w:pPr>
        <w:pStyle w:val="TOC3"/>
        <w:tabs>
          <w:tab w:val="right" w:leader="dot" w:pos="11078"/>
        </w:tabs>
        <w:rPr>
          <w:rFonts w:ascii="Gill Sans MT" w:eastAsiaTheme="minorEastAsia" w:hAnsi="Gill Sans MT"/>
          <w:noProof/>
        </w:rPr>
      </w:pPr>
      <w:hyperlink w:anchor="_Toc447276234" w:history="1">
        <w:r w:rsidR="00F82500" w:rsidRPr="00825D0C">
          <w:rPr>
            <w:rStyle w:val="Hyperlink"/>
            <w:rFonts w:ascii="Gill Sans MT" w:hAnsi="Gill Sans MT"/>
            <w:noProof/>
          </w:rPr>
          <w:t>Staff Development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168</w:t>
        </w:r>
        <w:r w:rsidR="00F82500" w:rsidRPr="00825D0C">
          <w:rPr>
            <w:rFonts w:ascii="Gill Sans MT" w:hAnsi="Gill Sans MT"/>
            <w:noProof/>
            <w:webHidden/>
          </w:rPr>
          <w:fldChar w:fldCharType="end"/>
        </w:r>
      </w:hyperlink>
    </w:p>
    <w:p w14:paraId="5C4A0DD2" w14:textId="77777777" w:rsidR="00F82500" w:rsidRPr="00825D0C" w:rsidRDefault="00943AA8">
      <w:pPr>
        <w:pStyle w:val="TOC3"/>
        <w:tabs>
          <w:tab w:val="right" w:leader="dot" w:pos="11078"/>
        </w:tabs>
        <w:rPr>
          <w:rFonts w:ascii="Gill Sans MT" w:eastAsiaTheme="minorEastAsia" w:hAnsi="Gill Sans MT"/>
          <w:noProof/>
        </w:rPr>
      </w:pPr>
      <w:hyperlink w:anchor="_Toc447276235" w:history="1">
        <w:r w:rsidR="00F82500" w:rsidRPr="00825D0C">
          <w:rPr>
            <w:rStyle w:val="Hyperlink"/>
            <w:rFonts w:ascii="Gill Sans MT" w:hAnsi="Gill Sans MT"/>
            <w:noProof/>
          </w:rPr>
          <w:t>Training Activities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169</w:t>
        </w:r>
        <w:r w:rsidR="00F82500" w:rsidRPr="00825D0C">
          <w:rPr>
            <w:rFonts w:ascii="Gill Sans MT" w:hAnsi="Gill Sans MT"/>
            <w:noProof/>
            <w:webHidden/>
          </w:rPr>
          <w:fldChar w:fldCharType="end"/>
        </w:r>
      </w:hyperlink>
    </w:p>
    <w:p w14:paraId="200125A8" w14:textId="77777777" w:rsidR="00F82500" w:rsidRPr="00825D0C" w:rsidRDefault="00943AA8">
      <w:pPr>
        <w:pStyle w:val="TOC3"/>
        <w:tabs>
          <w:tab w:val="right" w:leader="dot" w:pos="11078"/>
        </w:tabs>
        <w:rPr>
          <w:rFonts w:ascii="Gill Sans MT" w:eastAsiaTheme="minorEastAsia" w:hAnsi="Gill Sans MT"/>
          <w:noProof/>
        </w:rPr>
      </w:pPr>
      <w:hyperlink w:anchor="_Toc447276236" w:history="1">
        <w:r w:rsidR="00F82500" w:rsidRPr="00825D0C">
          <w:rPr>
            <w:rStyle w:val="Hyperlink"/>
            <w:rFonts w:ascii="Gill Sans MT" w:hAnsi="Gill Sans MT"/>
            <w:noProof/>
          </w:rPr>
          <w:t>Personnel to address individual communication needs.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170</w:t>
        </w:r>
        <w:r w:rsidR="00F82500" w:rsidRPr="00825D0C">
          <w:rPr>
            <w:rFonts w:ascii="Gill Sans MT" w:hAnsi="Gill Sans MT"/>
            <w:noProof/>
            <w:webHidden/>
          </w:rPr>
          <w:fldChar w:fldCharType="end"/>
        </w:r>
      </w:hyperlink>
    </w:p>
    <w:p w14:paraId="670E54E0" w14:textId="77777777" w:rsidR="00F82500" w:rsidRPr="00825D0C" w:rsidRDefault="00943AA8">
      <w:pPr>
        <w:pStyle w:val="TOC3"/>
        <w:tabs>
          <w:tab w:val="right" w:leader="dot" w:pos="11078"/>
        </w:tabs>
        <w:rPr>
          <w:rFonts w:ascii="Gill Sans MT" w:eastAsiaTheme="minorEastAsia" w:hAnsi="Gill Sans MT"/>
          <w:noProof/>
        </w:rPr>
      </w:pPr>
      <w:hyperlink w:anchor="_Toc447276237" w:history="1">
        <w:r w:rsidR="00F82500" w:rsidRPr="00825D0C">
          <w:rPr>
            <w:rStyle w:val="Hyperlink"/>
            <w:rFonts w:ascii="Gill Sans MT" w:hAnsi="Gill Sans MT"/>
            <w:noProof/>
          </w:rPr>
          <w:t>Coordination of Personnel Development Under the Individuals with Disabilities Education Act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170</w:t>
        </w:r>
        <w:r w:rsidR="00F82500" w:rsidRPr="00825D0C">
          <w:rPr>
            <w:rFonts w:ascii="Gill Sans MT" w:hAnsi="Gill Sans MT"/>
            <w:noProof/>
            <w:webHidden/>
          </w:rPr>
          <w:fldChar w:fldCharType="end"/>
        </w:r>
      </w:hyperlink>
    </w:p>
    <w:p w14:paraId="2BDB1415" w14:textId="77777777" w:rsidR="00F82500" w:rsidRPr="00825D0C" w:rsidRDefault="00943AA8">
      <w:pPr>
        <w:pStyle w:val="TOC2"/>
        <w:tabs>
          <w:tab w:val="right" w:leader="dot" w:pos="11078"/>
        </w:tabs>
        <w:rPr>
          <w:rFonts w:ascii="Gill Sans MT" w:eastAsiaTheme="minorEastAsia" w:hAnsi="Gill Sans MT"/>
          <w:noProof/>
        </w:rPr>
      </w:pPr>
      <w:hyperlink w:anchor="_Toc447276238" w:history="1">
        <w:r w:rsidR="00F82500" w:rsidRPr="00825D0C">
          <w:rPr>
            <w:rStyle w:val="Hyperlink"/>
            <w:rFonts w:ascii="Gill Sans MT" w:hAnsi="Gill Sans MT"/>
            <w:noProof/>
          </w:rPr>
          <w:t>STATEWIDE ASSESSMENT -- 2013 COMPREHENSIVE STATEWIDE ASSESSMENT of the REHABILITATION and CAREER NEEDS of INDIVIDUALS with DISABILITIES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171</w:t>
        </w:r>
        <w:r w:rsidR="00F82500" w:rsidRPr="00825D0C">
          <w:rPr>
            <w:rFonts w:ascii="Gill Sans MT" w:hAnsi="Gill Sans MT"/>
            <w:noProof/>
            <w:webHidden/>
          </w:rPr>
          <w:fldChar w:fldCharType="end"/>
        </w:r>
      </w:hyperlink>
    </w:p>
    <w:p w14:paraId="0E9E2307" w14:textId="77777777" w:rsidR="00F82500" w:rsidRPr="00825D0C" w:rsidRDefault="00943AA8">
      <w:pPr>
        <w:pStyle w:val="TOC3"/>
        <w:tabs>
          <w:tab w:val="right" w:leader="dot" w:pos="11078"/>
        </w:tabs>
        <w:rPr>
          <w:rFonts w:ascii="Gill Sans MT" w:eastAsiaTheme="minorEastAsia" w:hAnsi="Gill Sans MT"/>
          <w:noProof/>
        </w:rPr>
      </w:pPr>
      <w:hyperlink w:anchor="_Toc447276239" w:history="1">
        <w:r w:rsidR="00F82500" w:rsidRPr="00825D0C">
          <w:rPr>
            <w:rStyle w:val="Hyperlink"/>
            <w:rFonts w:ascii="Gill Sans MT" w:hAnsi="Gill Sans MT"/>
            <w:noProof/>
          </w:rPr>
          <w:t>DORS and Maryland State Rehabilitation Council -- Impact of Federal funding and staff capacity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_Toc447276239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171</w:t>
        </w:r>
        <w:r w:rsidR="00F82500" w:rsidRPr="00825D0C">
          <w:rPr>
            <w:rFonts w:ascii="Gill Sans MT" w:hAnsi="Gill Sans MT"/>
            <w:noProof/>
            <w:webHidden/>
          </w:rPr>
          <w:fldChar w:fldCharType="end"/>
        </w:r>
      </w:hyperlink>
    </w:p>
    <w:p w14:paraId="63B27C43" w14:textId="77777777" w:rsidR="00F82500" w:rsidRPr="00825D0C" w:rsidRDefault="00943AA8">
      <w:pPr>
        <w:pStyle w:val="TOC3"/>
        <w:tabs>
          <w:tab w:val="right" w:leader="dot" w:pos="11078"/>
        </w:tabs>
        <w:rPr>
          <w:rFonts w:ascii="Gill Sans MT" w:eastAsiaTheme="minorEastAsia" w:hAnsi="Gill Sans MT"/>
          <w:noProof/>
        </w:rPr>
      </w:pPr>
      <w:hyperlink w:anchor="_Toc447276240" w:history="1">
        <w:r w:rsidR="00F82500" w:rsidRPr="00825D0C">
          <w:rPr>
            <w:rStyle w:val="Hyperlink"/>
            <w:rFonts w:ascii="Gill Sans MT" w:hAnsi="Gill Sans MT"/>
            <w:noProof/>
          </w:rPr>
          <w:t>Recommendation related to Federal funding and staff capacity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171</w:t>
        </w:r>
        <w:r w:rsidR="00F82500" w:rsidRPr="00825D0C">
          <w:rPr>
            <w:rFonts w:ascii="Gill Sans MT" w:hAnsi="Gill Sans MT"/>
            <w:noProof/>
            <w:webHidden/>
          </w:rPr>
          <w:fldChar w:fldCharType="end"/>
        </w:r>
      </w:hyperlink>
    </w:p>
    <w:p w14:paraId="5156036F" w14:textId="77777777" w:rsidR="00F82500" w:rsidRPr="00825D0C" w:rsidRDefault="00943AA8">
      <w:pPr>
        <w:pStyle w:val="TOC3"/>
        <w:tabs>
          <w:tab w:val="right" w:leader="dot" w:pos="11078"/>
        </w:tabs>
        <w:rPr>
          <w:rFonts w:ascii="Gill Sans MT" w:eastAsiaTheme="minorEastAsia" w:hAnsi="Gill Sans MT"/>
          <w:noProof/>
        </w:rPr>
      </w:pPr>
      <w:hyperlink w:anchor="_Toc447276241" w:history="1">
        <w:r w:rsidR="00F82500" w:rsidRPr="00825D0C">
          <w:rPr>
            <w:rStyle w:val="Hyperlink"/>
            <w:rFonts w:ascii="Gill Sans MT" w:hAnsi="Gill Sans MT"/>
            <w:noProof/>
          </w:rPr>
          <w:t>(1) Assessment of Rehabilitation Needs of Individuals with Disabilities Residing in the State: Individuals with the most significant disabilities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171</w:t>
        </w:r>
        <w:r w:rsidR="00F82500" w:rsidRPr="00825D0C">
          <w:rPr>
            <w:rFonts w:ascii="Gill Sans MT" w:hAnsi="Gill Sans MT"/>
            <w:noProof/>
            <w:webHidden/>
          </w:rPr>
          <w:fldChar w:fldCharType="end"/>
        </w:r>
      </w:hyperlink>
    </w:p>
    <w:p w14:paraId="6BCEA525" w14:textId="77777777" w:rsidR="00F82500" w:rsidRPr="00825D0C" w:rsidRDefault="00943AA8">
      <w:pPr>
        <w:pStyle w:val="TOC3"/>
        <w:tabs>
          <w:tab w:val="right" w:leader="dot" w:pos="11078"/>
        </w:tabs>
        <w:rPr>
          <w:rFonts w:ascii="Gill Sans MT" w:eastAsiaTheme="minorEastAsia" w:hAnsi="Gill Sans MT"/>
          <w:noProof/>
        </w:rPr>
      </w:pPr>
      <w:hyperlink w:anchor="_Toc447276242" w:history="1">
        <w:r w:rsidR="00F82500" w:rsidRPr="00825D0C">
          <w:rPr>
            <w:rStyle w:val="Hyperlink"/>
            <w:rFonts w:ascii="Gill Sans MT" w:hAnsi="Gill Sans MT"/>
            <w:noProof/>
          </w:rPr>
          <w:t>(B) Individuals with disabilities who are minorities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175</w:t>
        </w:r>
        <w:r w:rsidR="00F82500" w:rsidRPr="00825D0C">
          <w:rPr>
            <w:rFonts w:ascii="Gill Sans MT" w:hAnsi="Gill Sans MT"/>
            <w:noProof/>
            <w:webHidden/>
          </w:rPr>
          <w:fldChar w:fldCharType="end"/>
        </w:r>
      </w:hyperlink>
    </w:p>
    <w:p w14:paraId="71A264E4" w14:textId="77777777" w:rsidR="00F82500" w:rsidRPr="00825D0C" w:rsidRDefault="00943AA8">
      <w:pPr>
        <w:pStyle w:val="TOC3"/>
        <w:tabs>
          <w:tab w:val="right" w:leader="dot" w:pos="11078"/>
        </w:tabs>
        <w:rPr>
          <w:rFonts w:ascii="Gill Sans MT" w:eastAsiaTheme="minorEastAsia" w:hAnsi="Gill Sans MT"/>
          <w:noProof/>
        </w:rPr>
      </w:pPr>
      <w:hyperlink w:anchor="_Toc447276243" w:history="1">
        <w:r w:rsidR="00F82500" w:rsidRPr="00825D0C">
          <w:rPr>
            <w:rStyle w:val="Hyperlink"/>
            <w:rFonts w:ascii="Gill Sans MT" w:hAnsi="Gill Sans MT"/>
            <w:noProof/>
          </w:rPr>
          <w:t>(C) Individuals with Disabilities Who Have Been Unserved or Underserved by the VR Program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177</w:t>
        </w:r>
        <w:r w:rsidR="00F82500" w:rsidRPr="00825D0C">
          <w:rPr>
            <w:rFonts w:ascii="Gill Sans MT" w:hAnsi="Gill Sans MT"/>
            <w:noProof/>
            <w:webHidden/>
          </w:rPr>
          <w:fldChar w:fldCharType="end"/>
        </w:r>
      </w:hyperlink>
    </w:p>
    <w:p w14:paraId="7E05609B" w14:textId="77777777" w:rsidR="00F82500" w:rsidRPr="00825D0C" w:rsidRDefault="00943AA8">
      <w:pPr>
        <w:pStyle w:val="TOC3"/>
        <w:tabs>
          <w:tab w:val="right" w:leader="dot" w:pos="11078"/>
        </w:tabs>
        <w:rPr>
          <w:rFonts w:ascii="Gill Sans MT" w:eastAsiaTheme="minorEastAsia" w:hAnsi="Gill Sans MT"/>
          <w:noProof/>
        </w:rPr>
      </w:pPr>
      <w:hyperlink w:anchor="_Toc447276244" w:history="1">
        <w:r w:rsidR="00F82500" w:rsidRPr="00825D0C">
          <w:rPr>
            <w:rStyle w:val="Hyperlink"/>
            <w:rFonts w:ascii="Gill Sans MT" w:hAnsi="Gill Sans MT"/>
            <w:noProof/>
          </w:rPr>
          <w:t>Distribution of Agency Staff Resources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179</w:t>
        </w:r>
        <w:r w:rsidR="00F82500" w:rsidRPr="00825D0C">
          <w:rPr>
            <w:rFonts w:ascii="Gill Sans MT" w:hAnsi="Gill Sans MT"/>
            <w:noProof/>
            <w:webHidden/>
          </w:rPr>
          <w:fldChar w:fldCharType="end"/>
        </w:r>
      </w:hyperlink>
    </w:p>
    <w:p w14:paraId="2F581C29" w14:textId="77777777" w:rsidR="00F82500" w:rsidRPr="00825D0C" w:rsidRDefault="00943AA8">
      <w:pPr>
        <w:pStyle w:val="TOC3"/>
        <w:tabs>
          <w:tab w:val="right" w:leader="dot" w:pos="11078"/>
        </w:tabs>
        <w:rPr>
          <w:rFonts w:ascii="Gill Sans MT" w:eastAsiaTheme="minorEastAsia" w:hAnsi="Gill Sans MT"/>
          <w:noProof/>
        </w:rPr>
      </w:pPr>
      <w:hyperlink w:anchor="_Toc447276245" w:history="1">
        <w:r w:rsidR="00F82500" w:rsidRPr="00825D0C">
          <w:rPr>
            <w:rStyle w:val="Hyperlink"/>
            <w:rFonts w:ascii="Gill Sans MT" w:hAnsi="Gill Sans MT"/>
            <w:noProof/>
          </w:rPr>
          <w:t>Utilization of Mental Health Supported Employment Services Background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182</w:t>
        </w:r>
        <w:r w:rsidR="00F82500" w:rsidRPr="00825D0C">
          <w:rPr>
            <w:rFonts w:ascii="Gill Sans MT" w:hAnsi="Gill Sans MT"/>
            <w:noProof/>
            <w:webHidden/>
          </w:rPr>
          <w:fldChar w:fldCharType="end"/>
        </w:r>
      </w:hyperlink>
    </w:p>
    <w:p w14:paraId="623D227D" w14:textId="77777777" w:rsidR="00F82500" w:rsidRPr="00825D0C" w:rsidRDefault="00943AA8">
      <w:pPr>
        <w:pStyle w:val="TOC1"/>
        <w:tabs>
          <w:tab w:val="right" w:leader="dot" w:pos="11078"/>
        </w:tabs>
        <w:rPr>
          <w:rFonts w:ascii="Gill Sans MT" w:eastAsiaTheme="minorEastAsia" w:hAnsi="Gill Sans MT"/>
          <w:noProof/>
        </w:rPr>
      </w:pPr>
      <w:hyperlink w:anchor="_Toc447276246" w:history="1">
        <w:r w:rsidR="00F82500" w:rsidRPr="00825D0C">
          <w:rPr>
            <w:rStyle w:val="Hyperlink"/>
            <w:rFonts w:ascii="Gill Sans MT" w:hAnsi="Gill Sans MT"/>
            <w:noProof/>
          </w:rPr>
          <w:t>Individuals with Disabilities Served through Other Components of the State Workforce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183</w:t>
        </w:r>
        <w:r w:rsidR="00F82500" w:rsidRPr="00825D0C">
          <w:rPr>
            <w:rFonts w:ascii="Gill Sans MT" w:hAnsi="Gill Sans MT"/>
            <w:noProof/>
            <w:webHidden/>
          </w:rPr>
          <w:fldChar w:fldCharType="end"/>
        </w:r>
      </w:hyperlink>
    </w:p>
    <w:p w14:paraId="5E610E31" w14:textId="77777777" w:rsidR="00F82500" w:rsidRPr="00825D0C" w:rsidRDefault="00943AA8">
      <w:pPr>
        <w:pStyle w:val="TOC2"/>
        <w:tabs>
          <w:tab w:val="right" w:leader="dot" w:pos="11078"/>
        </w:tabs>
        <w:rPr>
          <w:rFonts w:ascii="Gill Sans MT" w:eastAsiaTheme="minorEastAsia" w:hAnsi="Gill Sans MT"/>
          <w:noProof/>
        </w:rPr>
      </w:pPr>
      <w:hyperlink w:anchor="_Toc447276247" w:history="1">
        <w:r w:rsidR="00F82500" w:rsidRPr="00825D0C">
          <w:rPr>
            <w:rStyle w:val="Hyperlink"/>
            <w:rFonts w:ascii="Gill Sans MT" w:hAnsi="Gill Sans MT"/>
            <w:noProof/>
          </w:rPr>
          <w:t>Youth with Disabilities and Students with Disabilities &amp; Their Need for Pre-Employment Transition Services or Other Transition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187</w:t>
        </w:r>
        <w:r w:rsidR="00F82500" w:rsidRPr="00825D0C">
          <w:rPr>
            <w:rFonts w:ascii="Gill Sans MT" w:hAnsi="Gill Sans MT"/>
            <w:noProof/>
            <w:webHidden/>
          </w:rPr>
          <w:fldChar w:fldCharType="end"/>
        </w:r>
      </w:hyperlink>
    </w:p>
    <w:p w14:paraId="4C6A6683" w14:textId="77777777" w:rsidR="00F82500" w:rsidRPr="00825D0C" w:rsidRDefault="00943AA8">
      <w:pPr>
        <w:pStyle w:val="TOC2"/>
        <w:tabs>
          <w:tab w:val="right" w:leader="dot" w:pos="11078"/>
        </w:tabs>
        <w:rPr>
          <w:rFonts w:ascii="Gill Sans MT" w:eastAsiaTheme="minorEastAsia" w:hAnsi="Gill Sans MT"/>
          <w:noProof/>
        </w:rPr>
      </w:pPr>
      <w:hyperlink w:anchor="_Toc447276248" w:history="1">
        <w:r w:rsidR="00F82500" w:rsidRPr="00825D0C">
          <w:rPr>
            <w:rStyle w:val="Hyperlink"/>
            <w:rFonts w:ascii="Gill Sans MT" w:hAnsi="Gill Sans MT"/>
            <w:noProof/>
          </w:rPr>
          <w:t>Assessment of the Need to Establish, Develop or Improve Community Rehabilitation Programs within the State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187</w:t>
        </w:r>
        <w:r w:rsidR="00F82500" w:rsidRPr="00825D0C">
          <w:rPr>
            <w:rFonts w:ascii="Gill Sans MT" w:hAnsi="Gill Sans MT"/>
            <w:noProof/>
            <w:webHidden/>
          </w:rPr>
          <w:fldChar w:fldCharType="end"/>
        </w:r>
      </w:hyperlink>
    </w:p>
    <w:p w14:paraId="28EB7AF8" w14:textId="77777777" w:rsidR="00F82500" w:rsidRPr="00825D0C" w:rsidRDefault="00943AA8">
      <w:pPr>
        <w:pStyle w:val="TOC2"/>
        <w:tabs>
          <w:tab w:val="right" w:leader="dot" w:pos="11078"/>
        </w:tabs>
        <w:rPr>
          <w:rFonts w:ascii="Gill Sans MT" w:eastAsiaTheme="minorEastAsia" w:hAnsi="Gill Sans MT"/>
          <w:noProof/>
        </w:rPr>
      </w:pPr>
      <w:hyperlink w:anchor="_Toc447276249" w:history="1">
        <w:r w:rsidR="00F82500" w:rsidRPr="00825D0C">
          <w:rPr>
            <w:rStyle w:val="Hyperlink"/>
            <w:rFonts w:ascii="Gill Sans MT" w:hAnsi="Gill Sans MT"/>
            <w:noProof/>
          </w:rPr>
          <w:t>Assessment of the Needs of Individuals with Disabilities for Transition Career Services and Pre-Employment Transition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_Toc447276249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188</w:t>
        </w:r>
        <w:r w:rsidR="00F82500" w:rsidRPr="00825D0C">
          <w:rPr>
            <w:rFonts w:ascii="Gill Sans MT" w:hAnsi="Gill Sans MT"/>
            <w:noProof/>
            <w:webHidden/>
          </w:rPr>
          <w:fldChar w:fldCharType="end"/>
        </w:r>
      </w:hyperlink>
    </w:p>
    <w:p w14:paraId="6CD94B97" w14:textId="77777777" w:rsidR="00F82500" w:rsidRPr="00825D0C" w:rsidRDefault="00943AA8">
      <w:pPr>
        <w:pStyle w:val="TOC3"/>
        <w:tabs>
          <w:tab w:val="right" w:leader="dot" w:pos="11078"/>
        </w:tabs>
        <w:rPr>
          <w:rFonts w:ascii="Gill Sans MT" w:eastAsiaTheme="minorEastAsia" w:hAnsi="Gill Sans MT"/>
          <w:noProof/>
        </w:rPr>
      </w:pPr>
      <w:hyperlink w:anchor="_Toc447276250" w:history="1">
        <w:r w:rsidR="00F82500" w:rsidRPr="00825D0C">
          <w:rPr>
            <w:rStyle w:val="Hyperlink"/>
            <w:rFonts w:ascii="Gill Sans MT" w:hAnsi="Gill Sans MT"/>
            <w:noProof/>
          </w:rPr>
          <w:t>Overall Needs Assessment Recommendations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189</w:t>
        </w:r>
        <w:r w:rsidR="00F82500" w:rsidRPr="00825D0C">
          <w:rPr>
            <w:rFonts w:ascii="Gill Sans MT" w:hAnsi="Gill Sans MT"/>
            <w:noProof/>
            <w:webHidden/>
          </w:rPr>
          <w:fldChar w:fldCharType="end"/>
        </w:r>
      </w:hyperlink>
    </w:p>
    <w:p w14:paraId="6735D557" w14:textId="77777777" w:rsidR="00F82500" w:rsidRPr="00825D0C" w:rsidRDefault="00943AA8">
      <w:pPr>
        <w:pStyle w:val="TOC1"/>
        <w:tabs>
          <w:tab w:val="right" w:leader="dot" w:pos="11078"/>
        </w:tabs>
        <w:rPr>
          <w:rFonts w:ascii="Gill Sans MT" w:eastAsiaTheme="minorEastAsia" w:hAnsi="Gill Sans MT"/>
          <w:noProof/>
        </w:rPr>
      </w:pPr>
      <w:hyperlink w:anchor="_Toc447276251" w:history="1">
        <w:r w:rsidR="00F82500" w:rsidRPr="00825D0C">
          <w:rPr>
            <w:rStyle w:val="Hyperlink"/>
            <w:rFonts w:ascii="Gill Sans MT" w:hAnsi="Gill Sans MT"/>
            <w:noProof/>
          </w:rPr>
          <w:t>ANNUAL ESTIMATES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190</w:t>
        </w:r>
        <w:r w:rsidR="00F82500" w:rsidRPr="00825D0C">
          <w:rPr>
            <w:rFonts w:ascii="Gill Sans MT" w:hAnsi="Gill Sans MT"/>
            <w:noProof/>
            <w:webHidden/>
          </w:rPr>
          <w:fldChar w:fldCharType="end"/>
        </w:r>
      </w:hyperlink>
    </w:p>
    <w:p w14:paraId="1746639E" w14:textId="77777777" w:rsidR="00F82500" w:rsidRPr="00825D0C" w:rsidRDefault="00943AA8">
      <w:pPr>
        <w:pStyle w:val="TOC2"/>
        <w:tabs>
          <w:tab w:val="right" w:leader="dot" w:pos="11078"/>
        </w:tabs>
        <w:rPr>
          <w:rFonts w:ascii="Gill Sans MT" w:eastAsiaTheme="minorEastAsia" w:hAnsi="Gill Sans MT"/>
          <w:noProof/>
        </w:rPr>
      </w:pPr>
      <w:hyperlink w:anchor="_Toc447276252" w:history="1">
        <w:r w:rsidR="00F82500" w:rsidRPr="00825D0C">
          <w:rPr>
            <w:rStyle w:val="Hyperlink"/>
            <w:rFonts w:ascii="Gill Sans MT" w:hAnsi="Gill Sans MT"/>
            <w:noProof/>
          </w:rPr>
          <w:t>DORS’ Goals &amp; Objectives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190</w:t>
        </w:r>
        <w:r w:rsidR="00F82500" w:rsidRPr="00825D0C">
          <w:rPr>
            <w:rFonts w:ascii="Gill Sans MT" w:hAnsi="Gill Sans MT"/>
            <w:noProof/>
            <w:webHidden/>
          </w:rPr>
          <w:fldChar w:fldCharType="end"/>
        </w:r>
      </w:hyperlink>
    </w:p>
    <w:p w14:paraId="0268654A" w14:textId="77777777" w:rsidR="00F82500" w:rsidRPr="00825D0C" w:rsidRDefault="00943AA8">
      <w:pPr>
        <w:pStyle w:val="TOC3"/>
        <w:tabs>
          <w:tab w:val="right" w:leader="dot" w:pos="11078"/>
        </w:tabs>
        <w:rPr>
          <w:rFonts w:ascii="Gill Sans MT" w:eastAsiaTheme="minorEastAsia" w:hAnsi="Gill Sans MT"/>
          <w:noProof/>
        </w:rPr>
      </w:pPr>
      <w:hyperlink w:anchor="_Toc447276253" w:history="1">
        <w:r w:rsidR="00F82500" w:rsidRPr="00825D0C">
          <w:rPr>
            <w:rStyle w:val="Hyperlink"/>
            <w:rFonts w:ascii="Gill Sans MT" w:hAnsi="Gill Sans MT"/>
            <w:noProof/>
          </w:rPr>
          <w:t>Goal 3: Partner and collaborate with public agencies, private organizations, employers, community groups and individuals to advance the employment and independence of individuals with disabilities.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196</w:t>
        </w:r>
        <w:r w:rsidR="00F82500" w:rsidRPr="00825D0C">
          <w:rPr>
            <w:rFonts w:ascii="Gill Sans MT" w:hAnsi="Gill Sans MT"/>
            <w:noProof/>
            <w:webHidden/>
          </w:rPr>
          <w:fldChar w:fldCharType="end"/>
        </w:r>
      </w:hyperlink>
    </w:p>
    <w:p w14:paraId="7A0286E5" w14:textId="77777777" w:rsidR="00F82500" w:rsidRPr="00825D0C" w:rsidRDefault="00943AA8">
      <w:pPr>
        <w:pStyle w:val="TOC2"/>
        <w:tabs>
          <w:tab w:val="right" w:leader="dot" w:pos="11078"/>
        </w:tabs>
        <w:rPr>
          <w:rFonts w:ascii="Gill Sans MT" w:eastAsiaTheme="minorEastAsia" w:hAnsi="Gill Sans MT"/>
          <w:noProof/>
        </w:rPr>
      </w:pPr>
      <w:hyperlink w:anchor="_Toc447276254" w:history="1">
        <w:r w:rsidR="00F82500" w:rsidRPr="00825D0C">
          <w:rPr>
            <w:rStyle w:val="Hyperlink"/>
            <w:rFonts w:ascii="Gill Sans MT" w:hAnsi="Gill Sans MT"/>
            <w:noProof/>
          </w:rPr>
          <w:t>Order of Selection</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199</w:t>
        </w:r>
        <w:r w:rsidR="00F82500" w:rsidRPr="00825D0C">
          <w:rPr>
            <w:rFonts w:ascii="Gill Sans MT" w:hAnsi="Gill Sans MT"/>
            <w:noProof/>
            <w:webHidden/>
          </w:rPr>
          <w:fldChar w:fldCharType="end"/>
        </w:r>
      </w:hyperlink>
    </w:p>
    <w:p w14:paraId="4DFDF62E" w14:textId="77777777" w:rsidR="00F82500" w:rsidRPr="00825D0C" w:rsidRDefault="00943AA8">
      <w:pPr>
        <w:pStyle w:val="TOC2"/>
        <w:tabs>
          <w:tab w:val="right" w:leader="dot" w:pos="11078"/>
        </w:tabs>
        <w:rPr>
          <w:rFonts w:ascii="Gill Sans MT" w:eastAsiaTheme="minorEastAsia" w:hAnsi="Gill Sans MT"/>
          <w:noProof/>
        </w:rPr>
      </w:pPr>
      <w:hyperlink w:anchor="_Toc447276255" w:history="1">
        <w:r w:rsidR="00F82500" w:rsidRPr="00825D0C">
          <w:rPr>
            <w:rStyle w:val="Hyperlink"/>
            <w:rFonts w:ascii="Gill Sans MT" w:hAnsi="Gill Sans MT"/>
            <w:noProof/>
          </w:rPr>
          <w:t>Goals and Plans for Distribution of Title VI, Part B Funds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201</w:t>
        </w:r>
        <w:r w:rsidR="00F82500" w:rsidRPr="00825D0C">
          <w:rPr>
            <w:rFonts w:ascii="Gill Sans MT" w:hAnsi="Gill Sans MT"/>
            <w:noProof/>
            <w:webHidden/>
          </w:rPr>
          <w:fldChar w:fldCharType="end"/>
        </w:r>
      </w:hyperlink>
    </w:p>
    <w:p w14:paraId="22DA1E33" w14:textId="77777777" w:rsidR="00F82500" w:rsidRPr="00825D0C" w:rsidRDefault="00943AA8">
      <w:pPr>
        <w:pStyle w:val="TOC2"/>
        <w:tabs>
          <w:tab w:val="right" w:leader="dot" w:pos="11078"/>
        </w:tabs>
        <w:rPr>
          <w:rFonts w:ascii="Gill Sans MT" w:eastAsiaTheme="minorEastAsia" w:hAnsi="Gill Sans MT"/>
          <w:noProof/>
        </w:rPr>
      </w:pPr>
      <w:hyperlink w:anchor="_Toc447276256" w:history="1">
        <w:r w:rsidR="00F82500" w:rsidRPr="00825D0C">
          <w:rPr>
            <w:rStyle w:val="Hyperlink"/>
            <w:rFonts w:ascii="Gill Sans MT" w:hAnsi="Gill Sans MT"/>
            <w:noProof/>
          </w:rPr>
          <w:t>MARYLAND’S STRATEGIES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202</w:t>
        </w:r>
        <w:r w:rsidR="00F82500" w:rsidRPr="00825D0C">
          <w:rPr>
            <w:rFonts w:ascii="Gill Sans MT" w:hAnsi="Gill Sans MT"/>
            <w:noProof/>
            <w:webHidden/>
          </w:rPr>
          <w:fldChar w:fldCharType="end"/>
        </w:r>
      </w:hyperlink>
    </w:p>
    <w:p w14:paraId="24C55C0D" w14:textId="77777777" w:rsidR="00F82500" w:rsidRPr="00825D0C" w:rsidRDefault="00943AA8">
      <w:pPr>
        <w:pStyle w:val="TOC2"/>
        <w:tabs>
          <w:tab w:val="right" w:leader="dot" w:pos="11078"/>
        </w:tabs>
        <w:rPr>
          <w:rFonts w:ascii="Gill Sans MT" w:eastAsiaTheme="minorEastAsia" w:hAnsi="Gill Sans MT"/>
          <w:noProof/>
        </w:rPr>
      </w:pPr>
      <w:hyperlink w:anchor="_Toc447276257" w:history="1">
        <w:r w:rsidR="00F82500" w:rsidRPr="00825D0C">
          <w:rPr>
            <w:rStyle w:val="Hyperlink"/>
            <w:rFonts w:ascii="Gill Sans MT" w:hAnsi="Gill Sans MT"/>
            <w:noProof/>
          </w:rPr>
          <w:t>Evaluation</w:t>
        </w:r>
        <w:r w:rsidR="00F82500" w:rsidRPr="00825D0C">
          <w:rPr>
            <w:rStyle w:val="Hyperlink"/>
            <w:rFonts w:ascii="Gill Sans MT" w:hAnsi="Gill Sans MT"/>
            <w:noProof/>
            <w:spacing w:val="42"/>
          </w:rPr>
          <w:t xml:space="preserve"> </w:t>
        </w:r>
        <w:r w:rsidR="00F82500" w:rsidRPr="00825D0C">
          <w:rPr>
            <w:rStyle w:val="Hyperlink"/>
            <w:rFonts w:ascii="Gill Sans MT" w:hAnsi="Gill Sans MT"/>
            <w:noProof/>
          </w:rPr>
          <w:t>and</w:t>
        </w:r>
        <w:r w:rsidR="00F82500" w:rsidRPr="00825D0C">
          <w:rPr>
            <w:rStyle w:val="Hyperlink"/>
            <w:rFonts w:ascii="Gill Sans MT" w:hAnsi="Gill Sans MT"/>
            <w:noProof/>
            <w:spacing w:val="45"/>
          </w:rPr>
          <w:t xml:space="preserve"> </w:t>
        </w:r>
        <w:r w:rsidR="00F82500" w:rsidRPr="00825D0C">
          <w:rPr>
            <w:rStyle w:val="Hyperlink"/>
            <w:rFonts w:ascii="Gill Sans MT" w:hAnsi="Gill Sans MT"/>
            <w:noProof/>
          </w:rPr>
          <w:t>Reports</w:t>
        </w:r>
        <w:r w:rsidR="00F82500" w:rsidRPr="00825D0C">
          <w:rPr>
            <w:rStyle w:val="Hyperlink"/>
            <w:rFonts w:ascii="Gill Sans MT" w:hAnsi="Gill Sans MT"/>
            <w:noProof/>
            <w:spacing w:val="12"/>
          </w:rPr>
          <w:t xml:space="preserve"> </w:t>
        </w:r>
        <w:r w:rsidR="00F82500" w:rsidRPr="00825D0C">
          <w:rPr>
            <w:rStyle w:val="Hyperlink"/>
            <w:rFonts w:ascii="Gill Sans MT" w:hAnsi="Gill Sans MT"/>
            <w:noProof/>
          </w:rPr>
          <w:t>of</w:t>
        </w:r>
        <w:r w:rsidR="00F82500" w:rsidRPr="00825D0C">
          <w:rPr>
            <w:rStyle w:val="Hyperlink"/>
            <w:rFonts w:ascii="Gill Sans MT" w:hAnsi="Gill Sans MT"/>
            <w:noProof/>
            <w:spacing w:val="24"/>
          </w:rPr>
          <w:t xml:space="preserve"> </w:t>
        </w:r>
        <w:r w:rsidR="00F82500" w:rsidRPr="00825D0C">
          <w:rPr>
            <w:rStyle w:val="Hyperlink"/>
            <w:rFonts w:ascii="Gill Sans MT" w:hAnsi="Gill Sans MT"/>
            <w:noProof/>
          </w:rPr>
          <w:t>Progress:</w:t>
        </w:r>
        <w:r w:rsidR="00F82500" w:rsidRPr="00825D0C">
          <w:rPr>
            <w:rStyle w:val="Hyperlink"/>
            <w:rFonts w:ascii="Gill Sans MT" w:hAnsi="Gill Sans MT"/>
            <w:noProof/>
            <w:spacing w:val="16"/>
          </w:rPr>
          <w:t xml:space="preserve"> </w:t>
        </w:r>
        <w:r w:rsidR="00F82500" w:rsidRPr="00825D0C">
          <w:rPr>
            <w:rStyle w:val="Hyperlink"/>
            <w:rFonts w:ascii="Gill Sans MT" w:hAnsi="Gill Sans MT"/>
            <w:noProof/>
          </w:rPr>
          <w:t>VR</w:t>
        </w:r>
        <w:r w:rsidR="00F82500" w:rsidRPr="00825D0C">
          <w:rPr>
            <w:rStyle w:val="Hyperlink"/>
            <w:rFonts w:ascii="Gill Sans MT" w:hAnsi="Gill Sans MT"/>
            <w:noProof/>
            <w:spacing w:val="21"/>
          </w:rPr>
          <w:t xml:space="preserve"> </w:t>
        </w:r>
        <w:r w:rsidR="00F82500" w:rsidRPr="00825D0C">
          <w:rPr>
            <w:rStyle w:val="Hyperlink"/>
            <w:rFonts w:ascii="Gill Sans MT" w:hAnsi="Gill Sans MT"/>
            <w:noProof/>
          </w:rPr>
          <w:t>and</w:t>
        </w:r>
        <w:r w:rsidR="00F82500" w:rsidRPr="00825D0C">
          <w:rPr>
            <w:rStyle w:val="Hyperlink"/>
            <w:rFonts w:ascii="Gill Sans MT" w:hAnsi="Gill Sans MT"/>
            <w:noProof/>
            <w:spacing w:val="20"/>
          </w:rPr>
          <w:t xml:space="preserve"> </w:t>
        </w:r>
        <w:r w:rsidR="00F82500" w:rsidRPr="00825D0C">
          <w:rPr>
            <w:rStyle w:val="Hyperlink"/>
            <w:rFonts w:ascii="Gill Sans MT" w:hAnsi="Gill Sans MT"/>
            <w:noProof/>
          </w:rPr>
          <w:t>Supported</w:t>
        </w:r>
        <w:r w:rsidR="00F82500" w:rsidRPr="00825D0C">
          <w:rPr>
            <w:rStyle w:val="Hyperlink"/>
            <w:rFonts w:ascii="Gill Sans MT" w:hAnsi="Gill Sans MT"/>
            <w:noProof/>
            <w:spacing w:val="37"/>
          </w:rPr>
          <w:t xml:space="preserve"> </w:t>
        </w:r>
        <w:r w:rsidR="00F82500" w:rsidRPr="00825D0C">
          <w:rPr>
            <w:rStyle w:val="Hyperlink"/>
            <w:rFonts w:ascii="Gill Sans MT" w:hAnsi="Gill Sans MT"/>
            <w:noProof/>
          </w:rPr>
          <w:t>Employment</w:t>
        </w:r>
        <w:r w:rsidR="00F82500" w:rsidRPr="00825D0C">
          <w:rPr>
            <w:rStyle w:val="Hyperlink"/>
            <w:rFonts w:ascii="Gill Sans MT" w:hAnsi="Gill Sans MT"/>
            <w:noProof/>
            <w:spacing w:val="33"/>
          </w:rPr>
          <w:t xml:space="preserve"> </w:t>
        </w:r>
        <w:r w:rsidR="00F82500" w:rsidRPr="00825D0C">
          <w:rPr>
            <w:rStyle w:val="Hyperlink"/>
            <w:rFonts w:ascii="Gill Sans MT" w:hAnsi="Gill Sans MT"/>
            <w:noProof/>
          </w:rPr>
          <w:t>Goals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205</w:t>
        </w:r>
        <w:r w:rsidR="00F82500" w:rsidRPr="00825D0C">
          <w:rPr>
            <w:rFonts w:ascii="Gill Sans MT" w:hAnsi="Gill Sans MT"/>
            <w:noProof/>
            <w:webHidden/>
          </w:rPr>
          <w:fldChar w:fldCharType="end"/>
        </w:r>
      </w:hyperlink>
    </w:p>
    <w:p w14:paraId="42692A2D" w14:textId="77777777" w:rsidR="00F82500" w:rsidRPr="00825D0C" w:rsidRDefault="00943AA8">
      <w:pPr>
        <w:pStyle w:val="TOC2"/>
        <w:tabs>
          <w:tab w:val="right" w:leader="dot" w:pos="11078"/>
        </w:tabs>
        <w:rPr>
          <w:rFonts w:ascii="Gill Sans MT" w:eastAsiaTheme="minorEastAsia" w:hAnsi="Gill Sans MT"/>
          <w:noProof/>
        </w:rPr>
      </w:pPr>
      <w:hyperlink w:anchor="_Toc447276258" w:history="1">
        <w:r w:rsidR="00F82500" w:rsidRPr="00825D0C">
          <w:rPr>
            <w:rStyle w:val="Hyperlink"/>
            <w:rFonts w:ascii="Gill Sans MT" w:hAnsi="Gill Sans MT"/>
            <w:noProof/>
          </w:rPr>
          <w:t>Quality,</w:t>
        </w:r>
        <w:r w:rsidR="00F82500" w:rsidRPr="00825D0C">
          <w:rPr>
            <w:rStyle w:val="Hyperlink"/>
            <w:rFonts w:ascii="Gill Sans MT" w:hAnsi="Gill Sans MT"/>
            <w:noProof/>
            <w:spacing w:val="-28"/>
          </w:rPr>
          <w:t xml:space="preserve"> Scope</w:t>
        </w:r>
        <w:r w:rsidR="00F82500" w:rsidRPr="00825D0C">
          <w:rPr>
            <w:rStyle w:val="Hyperlink"/>
            <w:rFonts w:ascii="Gill Sans MT" w:hAnsi="Gill Sans MT"/>
            <w:noProof/>
          </w:rPr>
          <w:t xml:space="preserve">, </w:t>
        </w:r>
        <w:r w:rsidR="00F82500" w:rsidRPr="00825D0C">
          <w:rPr>
            <w:rStyle w:val="Hyperlink"/>
            <w:rFonts w:ascii="Gill Sans MT" w:hAnsi="Gill Sans MT"/>
            <w:noProof/>
            <w:spacing w:val="-30"/>
          </w:rPr>
          <w:t>and</w:t>
        </w:r>
        <w:r w:rsidR="00F82500" w:rsidRPr="00825D0C">
          <w:rPr>
            <w:rStyle w:val="Hyperlink"/>
            <w:rFonts w:ascii="Gill Sans MT" w:hAnsi="Gill Sans MT"/>
            <w:noProof/>
            <w:spacing w:val="-1"/>
          </w:rPr>
          <w:t xml:space="preserve"> </w:t>
        </w:r>
        <w:r w:rsidR="00F82500" w:rsidRPr="00825D0C">
          <w:rPr>
            <w:rStyle w:val="Hyperlink"/>
            <w:rFonts w:ascii="Gill Sans MT" w:hAnsi="Gill Sans MT"/>
            <w:noProof/>
          </w:rPr>
          <w:t>Extent</w:t>
        </w:r>
        <w:r w:rsidR="00F82500" w:rsidRPr="00825D0C">
          <w:rPr>
            <w:rStyle w:val="Hyperlink"/>
            <w:rFonts w:ascii="Gill Sans MT" w:hAnsi="Gill Sans MT"/>
            <w:noProof/>
            <w:spacing w:val="-12"/>
          </w:rPr>
          <w:t xml:space="preserve"> </w:t>
        </w:r>
        <w:r w:rsidR="00F82500" w:rsidRPr="00825D0C">
          <w:rPr>
            <w:rStyle w:val="Hyperlink"/>
            <w:rFonts w:ascii="Gill Sans MT" w:hAnsi="Gill Sans MT"/>
            <w:noProof/>
          </w:rPr>
          <w:t>of</w:t>
        </w:r>
        <w:r w:rsidR="00F82500" w:rsidRPr="00825D0C">
          <w:rPr>
            <w:rStyle w:val="Hyperlink"/>
            <w:rFonts w:ascii="Gill Sans MT" w:hAnsi="Gill Sans MT"/>
            <w:noProof/>
            <w:spacing w:val="-21"/>
          </w:rPr>
          <w:t xml:space="preserve"> </w:t>
        </w:r>
        <w:r w:rsidR="00F82500" w:rsidRPr="00825D0C">
          <w:rPr>
            <w:rStyle w:val="Hyperlink"/>
            <w:rFonts w:ascii="Gill Sans MT" w:hAnsi="Gill Sans MT"/>
            <w:noProof/>
          </w:rPr>
          <w:t>Supported</w:t>
        </w:r>
        <w:r w:rsidR="00F82500" w:rsidRPr="00825D0C">
          <w:rPr>
            <w:rStyle w:val="Hyperlink"/>
            <w:rFonts w:ascii="Gill Sans MT" w:hAnsi="Gill Sans MT"/>
            <w:noProof/>
            <w:spacing w:val="-13"/>
          </w:rPr>
          <w:t xml:space="preserve"> </w:t>
        </w:r>
        <w:r w:rsidR="00F82500" w:rsidRPr="00825D0C">
          <w:rPr>
            <w:rStyle w:val="Hyperlink"/>
            <w:rFonts w:ascii="Gill Sans MT" w:hAnsi="Gill Sans MT"/>
            <w:noProof/>
          </w:rPr>
          <w:t>Employment</w:t>
        </w:r>
        <w:r w:rsidR="00F82500" w:rsidRPr="00825D0C">
          <w:rPr>
            <w:rStyle w:val="Hyperlink"/>
            <w:rFonts w:ascii="Gill Sans MT" w:hAnsi="Gill Sans MT"/>
            <w:noProof/>
            <w:spacing w:val="-17"/>
          </w:rPr>
          <w:t xml:space="preserve"> </w:t>
        </w:r>
        <w:r w:rsidR="00F82500" w:rsidRPr="00825D0C">
          <w:rPr>
            <w:rStyle w:val="Hyperlink"/>
            <w:rFonts w:ascii="Gill Sans MT" w:hAnsi="Gill Sans MT"/>
            <w:noProof/>
          </w:rPr>
          <w:t>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216</w:t>
        </w:r>
        <w:r w:rsidR="00F82500" w:rsidRPr="00825D0C">
          <w:rPr>
            <w:rFonts w:ascii="Gill Sans MT" w:hAnsi="Gill Sans MT"/>
            <w:noProof/>
            <w:webHidden/>
          </w:rPr>
          <w:fldChar w:fldCharType="end"/>
        </w:r>
      </w:hyperlink>
    </w:p>
    <w:p w14:paraId="5783D6D0" w14:textId="77777777" w:rsidR="00F82500" w:rsidRPr="00825D0C" w:rsidRDefault="00943AA8">
      <w:pPr>
        <w:pStyle w:val="TOC1"/>
        <w:tabs>
          <w:tab w:val="right" w:leader="dot" w:pos="11078"/>
        </w:tabs>
        <w:rPr>
          <w:rFonts w:ascii="Gill Sans MT" w:eastAsiaTheme="minorEastAsia" w:hAnsi="Gill Sans MT"/>
          <w:noProof/>
        </w:rPr>
      </w:pPr>
      <w:hyperlink w:anchor="_Toc447276259" w:history="1">
        <w:r w:rsidR="00F82500" w:rsidRPr="00825D0C">
          <w:rPr>
            <w:rStyle w:val="Hyperlink"/>
            <w:rFonts w:ascii="Gill Sans MT" w:eastAsia="Arial" w:hAnsi="Gill Sans MT"/>
            <w:noProof/>
          </w:rPr>
          <w:t>PART 8: TEMPORARY ASSISTANCE FOR NEEDY FAMILIES PROGRAM (TANF)</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_Toc447276259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225</w:t>
        </w:r>
        <w:r w:rsidR="00F82500" w:rsidRPr="00825D0C">
          <w:rPr>
            <w:rFonts w:ascii="Gill Sans MT" w:hAnsi="Gill Sans MT"/>
            <w:noProof/>
            <w:webHidden/>
          </w:rPr>
          <w:fldChar w:fldCharType="end"/>
        </w:r>
      </w:hyperlink>
    </w:p>
    <w:p w14:paraId="77D4DAED" w14:textId="77777777" w:rsidR="00F82500" w:rsidRPr="00825D0C" w:rsidRDefault="00943AA8">
      <w:pPr>
        <w:pStyle w:val="TOC2"/>
        <w:tabs>
          <w:tab w:val="right" w:leader="dot" w:pos="11078"/>
        </w:tabs>
        <w:rPr>
          <w:rFonts w:ascii="Gill Sans MT" w:eastAsiaTheme="minorEastAsia" w:hAnsi="Gill Sans MT"/>
          <w:noProof/>
        </w:rPr>
      </w:pPr>
      <w:hyperlink w:anchor="_Toc447276260" w:history="1">
        <w:r w:rsidR="00F82500" w:rsidRPr="00825D0C">
          <w:rPr>
            <w:rStyle w:val="Hyperlink"/>
            <w:rFonts w:ascii="Gill Sans MT" w:eastAsia="Arial" w:hAnsi="Gill Sans MT"/>
            <w:noProof/>
          </w:rPr>
          <w:t>Overview of TANF Programs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_Toc447276260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225</w:t>
        </w:r>
        <w:r w:rsidR="00F82500" w:rsidRPr="00825D0C">
          <w:rPr>
            <w:rFonts w:ascii="Gill Sans MT" w:hAnsi="Gill Sans MT"/>
            <w:noProof/>
            <w:webHidden/>
          </w:rPr>
          <w:fldChar w:fldCharType="end"/>
        </w:r>
      </w:hyperlink>
    </w:p>
    <w:p w14:paraId="3BDFAF7B" w14:textId="77777777" w:rsidR="00F82500" w:rsidRPr="00825D0C" w:rsidRDefault="00943AA8">
      <w:pPr>
        <w:pStyle w:val="TOC2"/>
        <w:tabs>
          <w:tab w:val="right" w:leader="dot" w:pos="11078"/>
        </w:tabs>
        <w:rPr>
          <w:rFonts w:ascii="Gill Sans MT" w:eastAsiaTheme="minorEastAsia" w:hAnsi="Gill Sans MT"/>
          <w:noProof/>
        </w:rPr>
      </w:pPr>
      <w:hyperlink w:anchor="_Toc447276261" w:history="1">
        <w:r w:rsidR="00F82500" w:rsidRPr="00825D0C">
          <w:rPr>
            <w:rStyle w:val="Hyperlink"/>
            <w:rFonts w:ascii="Gill Sans MT" w:eastAsia="Arial" w:hAnsi="Gill Sans MT"/>
            <w:noProof/>
          </w:rPr>
          <w:t>TANF Partnership with WIOA for Enhanced Workforce Development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_Toc447276261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225</w:t>
        </w:r>
        <w:r w:rsidR="00F82500" w:rsidRPr="00825D0C">
          <w:rPr>
            <w:rFonts w:ascii="Gill Sans MT" w:hAnsi="Gill Sans MT"/>
            <w:noProof/>
            <w:webHidden/>
          </w:rPr>
          <w:fldChar w:fldCharType="end"/>
        </w:r>
      </w:hyperlink>
    </w:p>
    <w:p w14:paraId="0F5BE56B" w14:textId="77777777" w:rsidR="00F82500" w:rsidRPr="00825D0C" w:rsidRDefault="00943AA8">
      <w:pPr>
        <w:pStyle w:val="TOC2"/>
        <w:tabs>
          <w:tab w:val="right" w:leader="dot" w:pos="11078"/>
        </w:tabs>
        <w:rPr>
          <w:rFonts w:ascii="Gill Sans MT" w:eastAsiaTheme="minorEastAsia" w:hAnsi="Gill Sans MT"/>
          <w:noProof/>
        </w:rPr>
      </w:pPr>
      <w:hyperlink w:anchor="_Toc447276262" w:history="1">
        <w:r w:rsidR="00F82500" w:rsidRPr="00825D0C">
          <w:rPr>
            <w:rStyle w:val="Hyperlink"/>
            <w:rFonts w:ascii="Gill Sans MT" w:eastAsia="Arial" w:hAnsi="Gill Sans MT"/>
            <w:noProof/>
          </w:rPr>
          <w:t>Current TANF Workforce Programs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_Toc447276262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227</w:t>
        </w:r>
        <w:r w:rsidR="00F82500" w:rsidRPr="00825D0C">
          <w:rPr>
            <w:rFonts w:ascii="Gill Sans MT" w:hAnsi="Gill Sans MT"/>
            <w:noProof/>
            <w:webHidden/>
          </w:rPr>
          <w:fldChar w:fldCharType="end"/>
        </w:r>
      </w:hyperlink>
    </w:p>
    <w:p w14:paraId="537CE448" w14:textId="77777777" w:rsidR="00F82500" w:rsidRPr="00825D0C" w:rsidRDefault="00943AA8">
      <w:pPr>
        <w:pStyle w:val="TOC2"/>
        <w:tabs>
          <w:tab w:val="right" w:leader="dot" w:pos="11078"/>
        </w:tabs>
        <w:rPr>
          <w:rFonts w:ascii="Gill Sans MT" w:eastAsiaTheme="minorEastAsia" w:hAnsi="Gill Sans MT"/>
          <w:noProof/>
        </w:rPr>
      </w:pPr>
      <w:hyperlink w:anchor="_Toc447276263" w:history="1">
        <w:r w:rsidR="00F82500" w:rsidRPr="00825D0C">
          <w:rPr>
            <w:rStyle w:val="Hyperlink"/>
            <w:rFonts w:ascii="Gill Sans MT" w:eastAsia="Arial" w:hAnsi="Gill Sans MT"/>
            <w:noProof/>
          </w:rPr>
          <w:t>Other TANF Program Descriptions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_Toc447276263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228</w:t>
        </w:r>
        <w:r w:rsidR="00F82500" w:rsidRPr="00825D0C">
          <w:rPr>
            <w:rFonts w:ascii="Gill Sans MT" w:hAnsi="Gill Sans MT"/>
            <w:noProof/>
            <w:webHidden/>
          </w:rPr>
          <w:fldChar w:fldCharType="end"/>
        </w:r>
      </w:hyperlink>
    </w:p>
    <w:p w14:paraId="794E70A6" w14:textId="77777777" w:rsidR="00F82500" w:rsidRPr="00825D0C" w:rsidRDefault="00943AA8">
      <w:pPr>
        <w:pStyle w:val="TOC1"/>
        <w:tabs>
          <w:tab w:val="right" w:leader="dot" w:pos="11078"/>
        </w:tabs>
        <w:rPr>
          <w:rFonts w:ascii="Gill Sans MT" w:eastAsiaTheme="minorEastAsia" w:hAnsi="Gill Sans MT"/>
          <w:noProof/>
        </w:rPr>
      </w:pPr>
      <w:hyperlink w:anchor="_Toc447276264" w:history="1">
        <w:r w:rsidR="00F82500" w:rsidRPr="00825D0C">
          <w:rPr>
            <w:rStyle w:val="Hyperlink"/>
            <w:rFonts w:ascii="Gill Sans MT" w:hAnsi="Gill Sans MT"/>
            <w:noProof/>
          </w:rPr>
          <w:t>Program Requirements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_Toc447276264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229</w:t>
        </w:r>
        <w:r w:rsidR="00F82500" w:rsidRPr="00825D0C">
          <w:rPr>
            <w:rFonts w:ascii="Gill Sans MT" w:hAnsi="Gill Sans MT"/>
            <w:noProof/>
            <w:webHidden/>
          </w:rPr>
          <w:fldChar w:fldCharType="end"/>
        </w:r>
      </w:hyperlink>
    </w:p>
    <w:p w14:paraId="51448FFB" w14:textId="77777777" w:rsidR="00F82500" w:rsidRPr="00825D0C" w:rsidRDefault="00943AA8">
      <w:pPr>
        <w:pStyle w:val="TOC1"/>
        <w:tabs>
          <w:tab w:val="right" w:leader="dot" w:pos="11078"/>
        </w:tabs>
        <w:rPr>
          <w:rFonts w:ascii="Gill Sans MT" w:eastAsiaTheme="minorEastAsia" w:hAnsi="Gill Sans MT"/>
          <w:noProof/>
        </w:rPr>
      </w:pPr>
      <w:hyperlink w:anchor="_Toc447276265" w:history="1">
        <w:r w:rsidR="00F82500" w:rsidRPr="00825D0C">
          <w:rPr>
            <w:rStyle w:val="Hyperlink"/>
            <w:rFonts w:ascii="Gill Sans MT" w:hAnsi="Gill Sans MT"/>
            <w:noProof/>
          </w:rPr>
          <w:t>PROGRAMS FUNDED BY COMMINGLED FUNDS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_Toc447276265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237</w:t>
        </w:r>
        <w:r w:rsidR="00F82500" w:rsidRPr="00825D0C">
          <w:rPr>
            <w:rFonts w:ascii="Gill Sans MT" w:hAnsi="Gill Sans MT"/>
            <w:noProof/>
            <w:webHidden/>
          </w:rPr>
          <w:fldChar w:fldCharType="end"/>
        </w:r>
      </w:hyperlink>
    </w:p>
    <w:p w14:paraId="4E547DCE" w14:textId="77777777" w:rsidR="00F82500" w:rsidRPr="00825D0C" w:rsidRDefault="00943AA8">
      <w:pPr>
        <w:pStyle w:val="TOC3"/>
        <w:tabs>
          <w:tab w:val="right" w:leader="dot" w:pos="11078"/>
        </w:tabs>
        <w:rPr>
          <w:rFonts w:ascii="Gill Sans MT" w:eastAsiaTheme="minorEastAsia" w:hAnsi="Gill Sans MT"/>
          <w:noProof/>
        </w:rPr>
      </w:pPr>
      <w:hyperlink w:anchor="_Toc447276266" w:history="1">
        <w:r w:rsidR="00F82500" w:rsidRPr="00825D0C">
          <w:rPr>
            <w:rStyle w:val="Hyperlink"/>
            <w:rFonts w:ascii="Gill Sans MT" w:hAnsi="Gill Sans MT"/>
            <w:i/>
            <w:iCs/>
            <w:noProof/>
          </w:rPr>
          <w:t>Job Skills Enhancement for Non-TCA Families Program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_Toc447276266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239</w:t>
        </w:r>
        <w:r w:rsidR="00F82500" w:rsidRPr="00825D0C">
          <w:rPr>
            <w:rFonts w:ascii="Gill Sans MT" w:hAnsi="Gill Sans MT"/>
            <w:noProof/>
            <w:webHidden/>
          </w:rPr>
          <w:fldChar w:fldCharType="end"/>
        </w:r>
      </w:hyperlink>
    </w:p>
    <w:p w14:paraId="19796CB9" w14:textId="77777777" w:rsidR="00F82500" w:rsidRPr="00825D0C" w:rsidRDefault="00943AA8">
      <w:pPr>
        <w:pStyle w:val="TOC1"/>
        <w:tabs>
          <w:tab w:val="right" w:leader="dot" w:pos="11078"/>
        </w:tabs>
        <w:rPr>
          <w:rFonts w:ascii="Gill Sans MT" w:eastAsiaTheme="minorEastAsia" w:hAnsi="Gill Sans MT"/>
          <w:noProof/>
        </w:rPr>
      </w:pPr>
      <w:hyperlink w:anchor="_Toc447276268" w:history="1">
        <w:r w:rsidR="00F82500" w:rsidRPr="00825D0C">
          <w:rPr>
            <w:rStyle w:val="Hyperlink"/>
            <w:rFonts w:ascii="Gill Sans MT" w:hAnsi="Gill Sans MT"/>
            <w:noProof/>
          </w:rPr>
          <w:t>PROGRAMS FUNDED BY SEGREGATED FEDERAL TANF FUNDS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_Toc447276268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244</w:t>
        </w:r>
        <w:r w:rsidR="00F82500" w:rsidRPr="00825D0C">
          <w:rPr>
            <w:rFonts w:ascii="Gill Sans MT" w:hAnsi="Gill Sans MT"/>
            <w:noProof/>
            <w:webHidden/>
          </w:rPr>
          <w:fldChar w:fldCharType="end"/>
        </w:r>
      </w:hyperlink>
    </w:p>
    <w:p w14:paraId="624CB33F" w14:textId="77777777" w:rsidR="00F82500" w:rsidRPr="00825D0C" w:rsidRDefault="00943AA8">
      <w:pPr>
        <w:pStyle w:val="TOC1"/>
        <w:tabs>
          <w:tab w:val="right" w:leader="dot" w:pos="11078"/>
        </w:tabs>
        <w:rPr>
          <w:rFonts w:ascii="Gill Sans MT" w:eastAsiaTheme="minorEastAsia" w:hAnsi="Gill Sans MT"/>
          <w:noProof/>
        </w:rPr>
      </w:pPr>
      <w:hyperlink w:anchor="_Toc447276269" w:history="1">
        <w:r w:rsidR="00F82500" w:rsidRPr="00825D0C">
          <w:rPr>
            <w:rStyle w:val="Hyperlink"/>
            <w:rFonts w:ascii="Gill Sans MT" w:hAnsi="Gill Sans MT"/>
            <w:noProof/>
          </w:rPr>
          <w:t>PROGRAMS FUNDED BY COMMINGLED FUNDS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_Toc447276269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247</w:t>
        </w:r>
        <w:r w:rsidR="00F82500" w:rsidRPr="00825D0C">
          <w:rPr>
            <w:rFonts w:ascii="Gill Sans MT" w:hAnsi="Gill Sans MT"/>
            <w:noProof/>
            <w:webHidden/>
          </w:rPr>
          <w:fldChar w:fldCharType="end"/>
        </w:r>
      </w:hyperlink>
    </w:p>
    <w:p w14:paraId="33856103" w14:textId="77777777" w:rsidR="00F82500" w:rsidRPr="00825D0C" w:rsidRDefault="00943AA8">
      <w:pPr>
        <w:pStyle w:val="TOC2"/>
        <w:tabs>
          <w:tab w:val="right" w:leader="dot" w:pos="11078"/>
        </w:tabs>
        <w:rPr>
          <w:rFonts w:ascii="Gill Sans MT" w:eastAsiaTheme="minorEastAsia" w:hAnsi="Gill Sans MT"/>
          <w:noProof/>
        </w:rPr>
      </w:pPr>
      <w:hyperlink w:anchor="_Toc447276270" w:history="1">
        <w:r w:rsidR="00F82500" w:rsidRPr="00825D0C">
          <w:rPr>
            <w:rStyle w:val="Hyperlink"/>
            <w:rFonts w:ascii="Gill Sans MT" w:hAnsi="Gill Sans MT"/>
            <w:noProof/>
          </w:rPr>
          <w:t>Means Tested Program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_Toc447276270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247</w:t>
        </w:r>
        <w:r w:rsidR="00F82500" w:rsidRPr="00825D0C">
          <w:rPr>
            <w:rFonts w:ascii="Gill Sans MT" w:hAnsi="Gill Sans MT"/>
            <w:noProof/>
            <w:webHidden/>
          </w:rPr>
          <w:fldChar w:fldCharType="end"/>
        </w:r>
      </w:hyperlink>
    </w:p>
    <w:p w14:paraId="1EE783DD" w14:textId="77777777" w:rsidR="00F82500" w:rsidRPr="00825D0C" w:rsidRDefault="00943AA8">
      <w:pPr>
        <w:pStyle w:val="TOC2"/>
        <w:tabs>
          <w:tab w:val="right" w:leader="dot" w:pos="11078"/>
        </w:tabs>
        <w:rPr>
          <w:rFonts w:ascii="Gill Sans MT" w:eastAsiaTheme="minorEastAsia" w:hAnsi="Gill Sans MT"/>
          <w:noProof/>
        </w:rPr>
      </w:pPr>
      <w:hyperlink w:anchor="_Toc447276271" w:history="1">
        <w:r w:rsidR="00F82500" w:rsidRPr="00825D0C">
          <w:rPr>
            <w:rStyle w:val="Hyperlink"/>
            <w:rFonts w:ascii="Gill Sans MT" w:hAnsi="Gill Sans MT"/>
            <w:noProof/>
          </w:rPr>
          <w:t>Non-Means Tested Programs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_Toc447276271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249</w:t>
        </w:r>
        <w:r w:rsidR="00F82500" w:rsidRPr="00825D0C">
          <w:rPr>
            <w:rFonts w:ascii="Gill Sans MT" w:hAnsi="Gill Sans MT"/>
            <w:noProof/>
            <w:webHidden/>
          </w:rPr>
          <w:fldChar w:fldCharType="end"/>
        </w:r>
      </w:hyperlink>
    </w:p>
    <w:p w14:paraId="32BA6B9C" w14:textId="77777777" w:rsidR="00F82500" w:rsidRPr="00825D0C" w:rsidRDefault="00943AA8">
      <w:pPr>
        <w:pStyle w:val="TOC1"/>
        <w:tabs>
          <w:tab w:val="right" w:leader="dot" w:pos="11078"/>
        </w:tabs>
        <w:rPr>
          <w:rFonts w:ascii="Gill Sans MT" w:eastAsiaTheme="minorEastAsia" w:hAnsi="Gill Sans MT"/>
          <w:noProof/>
        </w:rPr>
      </w:pPr>
      <w:hyperlink w:anchor="_Toc447276272" w:history="1">
        <w:r w:rsidR="00F82500" w:rsidRPr="00825D0C">
          <w:rPr>
            <w:rStyle w:val="Hyperlink"/>
            <w:rFonts w:ascii="Gill Sans MT" w:hAnsi="Gill Sans MT"/>
            <w:noProof/>
          </w:rPr>
          <w:t>SEPARATE STATE PROGRAMS FUNDED BY 100% TANF MAINTENANCE OF EFFORT</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_Toc447276272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252</w:t>
        </w:r>
        <w:r w:rsidR="00F82500" w:rsidRPr="00825D0C">
          <w:rPr>
            <w:rFonts w:ascii="Gill Sans MT" w:hAnsi="Gill Sans MT"/>
            <w:noProof/>
            <w:webHidden/>
          </w:rPr>
          <w:fldChar w:fldCharType="end"/>
        </w:r>
      </w:hyperlink>
    </w:p>
    <w:p w14:paraId="20797CD4" w14:textId="77777777" w:rsidR="00F82500" w:rsidRPr="00825D0C" w:rsidRDefault="00943AA8">
      <w:pPr>
        <w:pStyle w:val="TOC2"/>
        <w:tabs>
          <w:tab w:val="right" w:leader="dot" w:pos="11078"/>
        </w:tabs>
        <w:rPr>
          <w:rFonts w:ascii="Gill Sans MT" w:eastAsiaTheme="minorEastAsia" w:hAnsi="Gill Sans MT"/>
          <w:noProof/>
        </w:rPr>
      </w:pPr>
      <w:hyperlink w:anchor="_Toc447276274" w:history="1">
        <w:r w:rsidR="00F82500" w:rsidRPr="00825D0C">
          <w:rPr>
            <w:rStyle w:val="Hyperlink"/>
            <w:rFonts w:ascii="Gill Sans MT" w:hAnsi="Gill Sans MT"/>
            <w:noProof/>
          </w:rPr>
          <w:t>TANF OPTIONS SELECTED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_Toc447276274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258</w:t>
        </w:r>
        <w:r w:rsidR="00F82500" w:rsidRPr="00825D0C">
          <w:rPr>
            <w:rFonts w:ascii="Gill Sans MT" w:hAnsi="Gill Sans MT"/>
            <w:noProof/>
            <w:webHidden/>
          </w:rPr>
          <w:fldChar w:fldCharType="end"/>
        </w:r>
      </w:hyperlink>
    </w:p>
    <w:p w14:paraId="6FB6871C" w14:textId="77777777" w:rsidR="00F82500" w:rsidRPr="00825D0C" w:rsidRDefault="00943AA8">
      <w:pPr>
        <w:pStyle w:val="TOC1"/>
        <w:tabs>
          <w:tab w:val="right" w:leader="dot" w:pos="11078"/>
        </w:tabs>
        <w:rPr>
          <w:rFonts w:ascii="Gill Sans MT" w:eastAsiaTheme="minorEastAsia" w:hAnsi="Gill Sans MT"/>
          <w:noProof/>
        </w:rPr>
      </w:pPr>
      <w:hyperlink w:anchor="_Toc447276275" w:history="1">
        <w:r w:rsidR="00F82500" w:rsidRPr="00825D0C">
          <w:rPr>
            <w:rStyle w:val="Hyperlink"/>
            <w:rFonts w:ascii="Gill Sans MT" w:hAnsi="Gill Sans MT"/>
            <w:noProof/>
          </w:rPr>
          <w:t>TANF OPTIONS NOT SELECTED AT THIS TIME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_Toc447276275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259</w:t>
        </w:r>
        <w:r w:rsidR="00F82500" w:rsidRPr="00825D0C">
          <w:rPr>
            <w:rFonts w:ascii="Gill Sans MT" w:hAnsi="Gill Sans MT"/>
            <w:noProof/>
            <w:webHidden/>
          </w:rPr>
          <w:fldChar w:fldCharType="end"/>
        </w:r>
      </w:hyperlink>
    </w:p>
    <w:p w14:paraId="486A42EB" w14:textId="77777777" w:rsidR="00F82500" w:rsidRPr="00825D0C" w:rsidRDefault="00943AA8">
      <w:pPr>
        <w:pStyle w:val="TOC1"/>
        <w:tabs>
          <w:tab w:val="right" w:leader="dot" w:pos="11078"/>
        </w:tabs>
        <w:rPr>
          <w:rFonts w:ascii="Gill Sans MT" w:eastAsiaTheme="minorEastAsia" w:hAnsi="Gill Sans MT"/>
          <w:noProof/>
        </w:rPr>
      </w:pPr>
      <w:hyperlink w:anchor="_Toc447276276" w:history="1">
        <w:r w:rsidR="00F82500" w:rsidRPr="00825D0C">
          <w:rPr>
            <w:rStyle w:val="Hyperlink"/>
            <w:rFonts w:ascii="Gill Sans MT" w:hAnsi="Gill Sans MT"/>
            <w:noProof/>
          </w:rPr>
          <w:t>PART 9. JOBS FOR VETERANS STATE GRANTS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_Toc447276276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262</w:t>
        </w:r>
        <w:r w:rsidR="00F82500" w:rsidRPr="00825D0C">
          <w:rPr>
            <w:rFonts w:ascii="Gill Sans MT" w:hAnsi="Gill Sans MT"/>
            <w:noProof/>
            <w:webHidden/>
          </w:rPr>
          <w:fldChar w:fldCharType="end"/>
        </w:r>
      </w:hyperlink>
    </w:p>
    <w:p w14:paraId="2F96140E" w14:textId="77777777" w:rsidR="00F82500" w:rsidRPr="00825D0C" w:rsidRDefault="00943AA8">
      <w:pPr>
        <w:pStyle w:val="TOC2"/>
        <w:tabs>
          <w:tab w:val="right" w:leader="dot" w:pos="11078"/>
        </w:tabs>
        <w:rPr>
          <w:rFonts w:ascii="Gill Sans MT" w:eastAsiaTheme="minorEastAsia" w:hAnsi="Gill Sans MT"/>
          <w:noProof/>
        </w:rPr>
      </w:pPr>
      <w:hyperlink w:anchor="_Toc447276277" w:history="1">
        <w:r w:rsidR="00F82500" w:rsidRPr="00825D0C">
          <w:rPr>
            <w:rStyle w:val="Hyperlink"/>
            <w:rFonts w:ascii="Gill Sans MT" w:hAnsi="Gill Sans MT"/>
            <w:noProof/>
          </w:rPr>
          <w:t>Duties Assigned to Disabled Veterans’ Outreach Program Specialists and Local Veterans’ Employment Representatives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_Toc447276277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263</w:t>
        </w:r>
        <w:r w:rsidR="00F82500" w:rsidRPr="00825D0C">
          <w:rPr>
            <w:rFonts w:ascii="Gill Sans MT" w:hAnsi="Gill Sans MT"/>
            <w:noProof/>
            <w:webHidden/>
          </w:rPr>
          <w:fldChar w:fldCharType="end"/>
        </w:r>
      </w:hyperlink>
    </w:p>
    <w:p w14:paraId="2B8C1908" w14:textId="77777777" w:rsidR="00F82500" w:rsidRPr="00825D0C" w:rsidRDefault="00943AA8">
      <w:pPr>
        <w:pStyle w:val="TOC2"/>
        <w:tabs>
          <w:tab w:val="right" w:leader="dot" w:pos="11078"/>
        </w:tabs>
        <w:rPr>
          <w:rFonts w:ascii="Gill Sans MT" w:eastAsiaTheme="minorEastAsia" w:hAnsi="Gill Sans MT"/>
          <w:noProof/>
        </w:rPr>
      </w:pPr>
      <w:hyperlink w:anchor="_Toc447276278" w:history="1">
        <w:r w:rsidR="00F82500" w:rsidRPr="00825D0C">
          <w:rPr>
            <w:rStyle w:val="Hyperlink"/>
            <w:rFonts w:ascii="Gill Sans MT" w:hAnsi="Gill Sans MT"/>
            <w:noProof/>
          </w:rPr>
          <w:t>Integration of JVSG Staff into the American Job Center System</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_Toc447276278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264</w:t>
        </w:r>
        <w:r w:rsidR="00F82500" w:rsidRPr="00825D0C">
          <w:rPr>
            <w:rFonts w:ascii="Gill Sans MT" w:hAnsi="Gill Sans MT"/>
            <w:noProof/>
            <w:webHidden/>
          </w:rPr>
          <w:fldChar w:fldCharType="end"/>
        </w:r>
      </w:hyperlink>
    </w:p>
    <w:p w14:paraId="38A9075F" w14:textId="77777777" w:rsidR="00F82500" w:rsidRPr="00825D0C" w:rsidRDefault="00943AA8">
      <w:pPr>
        <w:pStyle w:val="TOC2"/>
        <w:tabs>
          <w:tab w:val="right" w:leader="dot" w:pos="11078"/>
        </w:tabs>
        <w:rPr>
          <w:rFonts w:ascii="Gill Sans MT" w:eastAsiaTheme="minorEastAsia" w:hAnsi="Gill Sans MT"/>
          <w:noProof/>
        </w:rPr>
      </w:pPr>
      <w:hyperlink w:anchor="_Toc447276279" w:history="1">
        <w:r w:rsidR="00F82500" w:rsidRPr="00825D0C">
          <w:rPr>
            <w:rStyle w:val="Hyperlink"/>
            <w:rFonts w:ascii="Gill Sans MT" w:hAnsi="Gill Sans MT"/>
            <w:noProof/>
          </w:rPr>
          <w:t>Incentive Awards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_Toc447276279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265</w:t>
        </w:r>
        <w:r w:rsidR="00F82500" w:rsidRPr="00825D0C">
          <w:rPr>
            <w:rFonts w:ascii="Gill Sans MT" w:hAnsi="Gill Sans MT"/>
            <w:noProof/>
            <w:webHidden/>
          </w:rPr>
          <w:fldChar w:fldCharType="end"/>
        </w:r>
      </w:hyperlink>
    </w:p>
    <w:p w14:paraId="478C9B95" w14:textId="77777777" w:rsidR="00F82500" w:rsidRPr="00825D0C" w:rsidRDefault="00943AA8">
      <w:pPr>
        <w:pStyle w:val="TOC2"/>
        <w:tabs>
          <w:tab w:val="right" w:leader="dot" w:pos="11078"/>
        </w:tabs>
        <w:rPr>
          <w:rFonts w:ascii="Gill Sans MT" w:eastAsiaTheme="minorEastAsia" w:hAnsi="Gill Sans MT"/>
          <w:noProof/>
        </w:rPr>
      </w:pPr>
      <w:hyperlink w:anchor="_Toc447276280" w:history="1">
        <w:r w:rsidR="00F82500" w:rsidRPr="00825D0C">
          <w:rPr>
            <w:rStyle w:val="Hyperlink"/>
            <w:rFonts w:ascii="Gill Sans MT" w:hAnsi="Gill Sans MT"/>
            <w:noProof/>
          </w:rPr>
          <w:t>Populations of Veterans to be Served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265</w:t>
        </w:r>
        <w:r w:rsidR="00F82500" w:rsidRPr="00825D0C">
          <w:rPr>
            <w:rFonts w:ascii="Gill Sans MT" w:hAnsi="Gill Sans MT"/>
            <w:noProof/>
            <w:webHidden/>
          </w:rPr>
          <w:fldChar w:fldCharType="end"/>
        </w:r>
      </w:hyperlink>
    </w:p>
    <w:p w14:paraId="78397552" w14:textId="77777777" w:rsidR="00F82500" w:rsidRPr="00825D0C" w:rsidRDefault="00943AA8">
      <w:pPr>
        <w:pStyle w:val="TOC2"/>
        <w:tabs>
          <w:tab w:val="right" w:leader="dot" w:pos="11078"/>
        </w:tabs>
        <w:rPr>
          <w:rFonts w:ascii="Gill Sans MT" w:eastAsiaTheme="minorEastAsia" w:hAnsi="Gill Sans MT"/>
          <w:noProof/>
        </w:rPr>
      </w:pPr>
      <w:hyperlink w:anchor="_Toc447276281" w:history="1">
        <w:r w:rsidR="00F82500" w:rsidRPr="00825D0C">
          <w:rPr>
            <w:rStyle w:val="Hyperlink"/>
            <w:rFonts w:ascii="Gill Sans MT" w:hAnsi="Gill Sans MT"/>
            <w:noProof/>
          </w:rPr>
          <w:t>Implementation of Priority of Service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266</w:t>
        </w:r>
        <w:r w:rsidR="00F82500" w:rsidRPr="00825D0C">
          <w:rPr>
            <w:rFonts w:ascii="Gill Sans MT" w:hAnsi="Gill Sans MT"/>
            <w:noProof/>
            <w:webHidden/>
          </w:rPr>
          <w:fldChar w:fldCharType="end"/>
        </w:r>
      </w:hyperlink>
    </w:p>
    <w:p w14:paraId="4F56D4F5" w14:textId="77777777" w:rsidR="00F82500" w:rsidRPr="00825D0C" w:rsidRDefault="00943AA8">
      <w:pPr>
        <w:pStyle w:val="TOC2"/>
        <w:tabs>
          <w:tab w:val="right" w:leader="dot" w:pos="11078"/>
        </w:tabs>
        <w:rPr>
          <w:rFonts w:ascii="Gill Sans MT" w:eastAsiaTheme="minorEastAsia" w:hAnsi="Gill Sans MT"/>
          <w:noProof/>
        </w:rPr>
      </w:pPr>
      <w:hyperlink w:anchor="_Toc447276282" w:history="1">
        <w:r w:rsidR="00F82500" w:rsidRPr="00825D0C">
          <w:rPr>
            <w:rStyle w:val="Hyperlink"/>
            <w:rFonts w:ascii="Gill Sans MT" w:hAnsi="Gill Sans MT"/>
            <w:noProof/>
          </w:rPr>
          <w:t>How the State provides or intends to provide and measure, through both the DVOP and one-stop delivery system partner staff:</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269</w:t>
        </w:r>
        <w:r w:rsidR="00F82500" w:rsidRPr="00825D0C">
          <w:rPr>
            <w:rFonts w:ascii="Gill Sans MT" w:hAnsi="Gill Sans MT"/>
            <w:noProof/>
            <w:webHidden/>
          </w:rPr>
          <w:fldChar w:fldCharType="end"/>
        </w:r>
      </w:hyperlink>
    </w:p>
    <w:p w14:paraId="513492BF" w14:textId="77777777" w:rsidR="00F82500" w:rsidRPr="00825D0C" w:rsidRDefault="00943AA8">
      <w:pPr>
        <w:pStyle w:val="TOC3"/>
        <w:tabs>
          <w:tab w:val="right" w:leader="dot" w:pos="11078"/>
        </w:tabs>
        <w:rPr>
          <w:rFonts w:ascii="Gill Sans MT" w:eastAsiaTheme="minorEastAsia" w:hAnsi="Gill Sans MT"/>
          <w:noProof/>
        </w:rPr>
      </w:pPr>
      <w:hyperlink w:anchor="_Toc447276283" w:history="1">
        <w:r w:rsidR="00F82500" w:rsidRPr="00825D0C">
          <w:rPr>
            <w:rStyle w:val="Hyperlink"/>
            <w:rFonts w:ascii="Gill Sans MT" w:hAnsi="Gill Sans MT"/>
            <w:noProof/>
          </w:rPr>
          <w:t>1. Job and job training individualized career services,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_Toc447276283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269</w:t>
        </w:r>
        <w:r w:rsidR="00F82500" w:rsidRPr="00825D0C">
          <w:rPr>
            <w:rFonts w:ascii="Gill Sans MT" w:hAnsi="Gill Sans MT"/>
            <w:noProof/>
            <w:webHidden/>
          </w:rPr>
          <w:fldChar w:fldCharType="end"/>
        </w:r>
      </w:hyperlink>
    </w:p>
    <w:p w14:paraId="68EE77C2" w14:textId="77777777" w:rsidR="00F82500" w:rsidRPr="00825D0C" w:rsidRDefault="00943AA8">
      <w:pPr>
        <w:pStyle w:val="TOC3"/>
        <w:tabs>
          <w:tab w:val="right" w:leader="dot" w:pos="11078"/>
        </w:tabs>
        <w:rPr>
          <w:rFonts w:ascii="Gill Sans MT" w:eastAsiaTheme="minorEastAsia" w:hAnsi="Gill Sans MT"/>
          <w:noProof/>
        </w:rPr>
      </w:pPr>
      <w:hyperlink w:anchor="_Toc447276284" w:history="1">
        <w:r w:rsidR="00F82500" w:rsidRPr="00825D0C">
          <w:rPr>
            <w:rStyle w:val="Hyperlink"/>
            <w:rFonts w:ascii="Gill Sans MT" w:hAnsi="Gill Sans MT"/>
            <w:noProof/>
          </w:rPr>
          <w:t>2. Employment placement services, and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_Toc447276284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269</w:t>
        </w:r>
        <w:r w:rsidR="00F82500" w:rsidRPr="00825D0C">
          <w:rPr>
            <w:rFonts w:ascii="Gill Sans MT" w:hAnsi="Gill Sans MT"/>
            <w:noProof/>
            <w:webHidden/>
          </w:rPr>
          <w:fldChar w:fldCharType="end"/>
        </w:r>
      </w:hyperlink>
    </w:p>
    <w:p w14:paraId="1F754D88" w14:textId="77777777" w:rsidR="00F82500" w:rsidRPr="00825D0C" w:rsidRDefault="00943AA8">
      <w:pPr>
        <w:pStyle w:val="TOC3"/>
        <w:tabs>
          <w:tab w:val="right" w:leader="dot" w:pos="11078"/>
        </w:tabs>
        <w:rPr>
          <w:rFonts w:ascii="Gill Sans MT" w:eastAsiaTheme="minorEastAsia" w:hAnsi="Gill Sans MT"/>
          <w:noProof/>
        </w:rPr>
      </w:pPr>
      <w:hyperlink w:anchor="_Toc447276285" w:history="1">
        <w:r w:rsidR="00F82500" w:rsidRPr="00825D0C">
          <w:rPr>
            <w:rStyle w:val="Hyperlink"/>
            <w:rFonts w:ascii="Gill Sans MT" w:hAnsi="Gill Sans MT"/>
            <w:noProof/>
          </w:rPr>
          <w:t>3. Job-driven training and subsequent placement service program for eligible veterans and eligible persons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_Toc447276285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270</w:t>
        </w:r>
        <w:r w:rsidR="00F82500" w:rsidRPr="00825D0C">
          <w:rPr>
            <w:rFonts w:ascii="Gill Sans MT" w:hAnsi="Gill Sans MT"/>
            <w:noProof/>
            <w:webHidden/>
          </w:rPr>
          <w:fldChar w:fldCharType="end"/>
        </w:r>
      </w:hyperlink>
    </w:p>
    <w:p w14:paraId="722C1E24" w14:textId="77777777" w:rsidR="00F82500" w:rsidRPr="00825D0C" w:rsidRDefault="00943AA8">
      <w:pPr>
        <w:pStyle w:val="TOC2"/>
        <w:tabs>
          <w:tab w:val="right" w:leader="dot" w:pos="11078"/>
        </w:tabs>
        <w:rPr>
          <w:rFonts w:ascii="Gill Sans MT" w:eastAsiaTheme="minorEastAsia" w:hAnsi="Gill Sans MT"/>
          <w:noProof/>
        </w:rPr>
      </w:pPr>
      <w:hyperlink w:anchor="_Toc447276286" w:history="1">
        <w:r w:rsidR="00F82500" w:rsidRPr="00825D0C">
          <w:rPr>
            <w:rStyle w:val="Hyperlink"/>
            <w:rFonts w:ascii="Gill Sans MT" w:hAnsi="Gill Sans MT"/>
            <w:noProof/>
          </w:rPr>
          <w:t>The hire date along with mandatory training completion dates for all DVOP specialists and LVER staff; and</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_Toc447276286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271</w:t>
        </w:r>
        <w:r w:rsidR="00F82500" w:rsidRPr="00825D0C">
          <w:rPr>
            <w:rFonts w:ascii="Gill Sans MT" w:hAnsi="Gill Sans MT"/>
            <w:noProof/>
            <w:webHidden/>
          </w:rPr>
          <w:fldChar w:fldCharType="end"/>
        </w:r>
      </w:hyperlink>
    </w:p>
    <w:p w14:paraId="218D2CB6" w14:textId="77777777" w:rsidR="00F82500" w:rsidRPr="00825D0C" w:rsidRDefault="00943AA8">
      <w:pPr>
        <w:pStyle w:val="TOC2"/>
        <w:tabs>
          <w:tab w:val="right" w:leader="dot" w:pos="11078"/>
        </w:tabs>
        <w:rPr>
          <w:rFonts w:ascii="Gill Sans MT" w:eastAsiaTheme="minorEastAsia" w:hAnsi="Gill Sans MT"/>
          <w:noProof/>
        </w:rPr>
      </w:pPr>
      <w:hyperlink w:anchor="_Toc447276287" w:history="1">
        <w:r w:rsidR="00F82500" w:rsidRPr="00825D0C">
          <w:rPr>
            <w:rStyle w:val="Hyperlink"/>
            <w:rFonts w:ascii="Gill Sans MT" w:hAnsi="Gill Sans MT"/>
            <w:noProof/>
          </w:rPr>
          <w:t>Additional Information as the Secretary may Require</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_Toc447276287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274</w:t>
        </w:r>
        <w:r w:rsidR="00F82500" w:rsidRPr="00825D0C">
          <w:rPr>
            <w:rFonts w:ascii="Gill Sans MT" w:hAnsi="Gill Sans MT"/>
            <w:noProof/>
            <w:webHidden/>
          </w:rPr>
          <w:fldChar w:fldCharType="end"/>
        </w:r>
      </w:hyperlink>
    </w:p>
    <w:p w14:paraId="3FF90FAB" w14:textId="77777777" w:rsidR="00F82500" w:rsidRPr="00825D0C" w:rsidRDefault="00943AA8">
      <w:pPr>
        <w:pStyle w:val="TOC1"/>
        <w:tabs>
          <w:tab w:val="right" w:leader="dot" w:pos="11078"/>
        </w:tabs>
        <w:rPr>
          <w:rFonts w:ascii="Gill Sans MT" w:eastAsiaTheme="minorEastAsia" w:hAnsi="Gill Sans MT"/>
          <w:noProof/>
        </w:rPr>
      </w:pPr>
      <w:hyperlink w:anchor="_Toc447276288" w:history="1">
        <w:r w:rsidR="00F82500" w:rsidRPr="00825D0C">
          <w:rPr>
            <w:rStyle w:val="Hyperlink"/>
            <w:rFonts w:ascii="Gill Sans MT" w:hAnsi="Gill Sans MT"/>
            <w:noProof/>
          </w:rPr>
          <w:t>PART 10. REINTEGRATION OF EX-OFFENDERS PROGRAM (RExO)</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_Toc447276288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274</w:t>
        </w:r>
        <w:r w:rsidR="00F82500" w:rsidRPr="00825D0C">
          <w:rPr>
            <w:rFonts w:ascii="Gill Sans MT" w:hAnsi="Gill Sans MT"/>
            <w:noProof/>
            <w:webHidden/>
          </w:rPr>
          <w:fldChar w:fldCharType="end"/>
        </w:r>
      </w:hyperlink>
    </w:p>
    <w:p w14:paraId="50DAECE2" w14:textId="77777777" w:rsidR="00F82500" w:rsidRPr="00825D0C" w:rsidRDefault="00943AA8">
      <w:pPr>
        <w:pStyle w:val="TOC1"/>
        <w:tabs>
          <w:tab w:val="right" w:leader="dot" w:pos="11078"/>
        </w:tabs>
        <w:rPr>
          <w:rFonts w:ascii="Gill Sans MT" w:eastAsiaTheme="minorEastAsia" w:hAnsi="Gill Sans MT"/>
          <w:noProof/>
        </w:rPr>
      </w:pPr>
      <w:hyperlink w:anchor="_Toc447276289" w:history="1">
        <w:r w:rsidR="00F82500" w:rsidRPr="00825D0C">
          <w:rPr>
            <w:rStyle w:val="Hyperlink"/>
            <w:rFonts w:ascii="Gill Sans MT" w:hAnsi="Gill Sans MT"/>
            <w:noProof/>
          </w:rPr>
          <w:t>Appendix A: Performance Goals for the Core Programs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_Toc447276289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274</w:t>
        </w:r>
        <w:r w:rsidR="00F82500" w:rsidRPr="00825D0C">
          <w:rPr>
            <w:rFonts w:ascii="Gill Sans MT" w:hAnsi="Gill Sans MT"/>
            <w:noProof/>
            <w:webHidden/>
          </w:rPr>
          <w:fldChar w:fldCharType="end"/>
        </w:r>
      </w:hyperlink>
    </w:p>
    <w:p w14:paraId="79BE8B2A" w14:textId="77777777" w:rsidR="00F82500" w:rsidRPr="00825D0C" w:rsidRDefault="00943AA8">
      <w:pPr>
        <w:pStyle w:val="TOC1"/>
        <w:tabs>
          <w:tab w:val="right" w:leader="dot" w:pos="11078"/>
        </w:tabs>
        <w:rPr>
          <w:rFonts w:ascii="Gill Sans MT" w:eastAsiaTheme="minorEastAsia" w:hAnsi="Gill Sans MT"/>
          <w:noProof/>
        </w:rPr>
      </w:pPr>
      <w:hyperlink w:anchor="_Toc447276290" w:history="1">
        <w:r w:rsidR="00F82500" w:rsidRPr="00825D0C">
          <w:rPr>
            <w:rStyle w:val="Hyperlink"/>
            <w:rFonts w:ascii="Gill Sans MT" w:hAnsi="Gill Sans MT"/>
            <w:noProof/>
          </w:rPr>
          <w:t>Appendix B: Organizational Charts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_Toc447276290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277</w:t>
        </w:r>
        <w:r w:rsidR="00F82500" w:rsidRPr="00825D0C">
          <w:rPr>
            <w:rFonts w:ascii="Gill Sans MT" w:hAnsi="Gill Sans MT"/>
            <w:noProof/>
            <w:webHidden/>
          </w:rPr>
          <w:fldChar w:fldCharType="end"/>
        </w:r>
      </w:hyperlink>
    </w:p>
    <w:p w14:paraId="1DEDCE22" w14:textId="77777777" w:rsidR="00F82500" w:rsidRPr="00825D0C" w:rsidRDefault="00943AA8">
      <w:pPr>
        <w:pStyle w:val="TOC1"/>
        <w:tabs>
          <w:tab w:val="right" w:leader="dot" w:pos="11078"/>
        </w:tabs>
        <w:rPr>
          <w:rFonts w:ascii="Gill Sans MT" w:eastAsiaTheme="minorEastAsia" w:hAnsi="Gill Sans MT"/>
          <w:noProof/>
        </w:rPr>
      </w:pPr>
      <w:hyperlink w:anchor="_Toc447276291" w:history="1">
        <w:r w:rsidR="00F82500" w:rsidRPr="00825D0C">
          <w:rPr>
            <w:rStyle w:val="Hyperlink"/>
            <w:rFonts w:ascii="Gill Sans MT" w:hAnsi="Gill Sans MT"/>
            <w:noProof/>
          </w:rPr>
          <w:t>Appendix C: Local Plan References</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_Toc447276291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282</w:t>
        </w:r>
        <w:r w:rsidR="00F82500" w:rsidRPr="00825D0C">
          <w:rPr>
            <w:rFonts w:ascii="Gill Sans MT" w:hAnsi="Gill Sans MT"/>
            <w:noProof/>
            <w:webHidden/>
          </w:rPr>
          <w:fldChar w:fldCharType="end"/>
        </w:r>
      </w:hyperlink>
    </w:p>
    <w:p w14:paraId="4709BC34" w14:textId="77777777" w:rsidR="00F82500" w:rsidRPr="00825D0C" w:rsidRDefault="00943AA8">
      <w:pPr>
        <w:pStyle w:val="TOC1"/>
        <w:tabs>
          <w:tab w:val="right" w:leader="dot" w:pos="11078"/>
        </w:tabs>
        <w:rPr>
          <w:rFonts w:ascii="Gill Sans MT" w:eastAsiaTheme="minorEastAsia" w:hAnsi="Gill Sans MT"/>
          <w:noProof/>
        </w:rPr>
      </w:pPr>
      <w:hyperlink w:anchor="_Toc447276292" w:history="1">
        <w:r w:rsidR="00F82500" w:rsidRPr="00825D0C">
          <w:rPr>
            <w:rStyle w:val="Hyperlink"/>
            <w:rFonts w:ascii="Gill Sans MT" w:hAnsi="Gill Sans MT"/>
            <w:noProof/>
          </w:rPr>
          <w:t>Appendix D: Emerging and Growth Industries by County</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_Toc447276292 \h </w:instrText>
        </w:r>
        <w:r w:rsidR="00F82500" w:rsidRPr="00825D0C">
          <w:rPr>
            <w:rFonts w:ascii="Gill Sans MT" w:hAnsi="Gill Sans MT"/>
            <w:noProof/>
            <w:webHidden/>
          </w:rPr>
        </w:r>
        <w:r w:rsidR="00F82500" w:rsidRPr="00825D0C">
          <w:rPr>
            <w:rFonts w:ascii="Gill Sans MT" w:hAnsi="Gill Sans MT"/>
            <w:noProof/>
            <w:webHidden/>
          </w:rPr>
          <w:fldChar w:fldCharType="separate"/>
        </w:r>
        <w:r>
          <w:rPr>
            <w:rFonts w:ascii="Gill Sans MT" w:hAnsi="Gill Sans MT"/>
            <w:noProof/>
            <w:webHidden/>
          </w:rPr>
          <w:t>283</w:t>
        </w:r>
        <w:r w:rsidR="00F82500" w:rsidRPr="00825D0C">
          <w:rPr>
            <w:rFonts w:ascii="Gill Sans MT" w:hAnsi="Gill Sans MT"/>
            <w:noProof/>
            <w:webHidden/>
          </w:rPr>
          <w:fldChar w:fldCharType="end"/>
        </w:r>
      </w:hyperlink>
    </w:p>
    <w:p w14:paraId="5B85E62A" w14:textId="24F8A7B8" w:rsidR="00F82500" w:rsidRPr="00825D0C" w:rsidRDefault="00943AA8">
      <w:pPr>
        <w:pStyle w:val="TOC1"/>
        <w:tabs>
          <w:tab w:val="right" w:leader="dot" w:pos="11078"/>
        </w:tabs>
        <w:rPr>
          <w:rStyle w:val="Hyperlink"/>
          <w:rFonts w:ascii="Gill Sans MT" w:hAnsi="Gill Sans MT"/>
          <w:noProof/>
        </w:rPr>
      </w:pPr>
      <w:hyperlink w:anchor="_Toc447276293" w:history="1">
        <w:r w:rsidR="00F82500" w:rsidRPr="00825D0C">
          <w:rPr>
            <w:rStyle w:val="Hyperlink"/>
            <w:rFonts w:ascii="Gill Sans MT" w:hAnsi="Gill Sans MT" w:cs="Times New Roman"/>
            <w:noProof/>
          </w:rPr>
          <w:t>Appendix E: Growth by Workforce Area</w:t>
        </w:r>
        <w:r w:rsidR="00F82500" w:rsidRPr="00825D0C">
          <w:rPr>
            <w:rFonts w:ascii="Gill Sans MT" w:hAnsi="Gill Sans MT"/>
            <w:noProof/>
            <w:webHidden/>
          </w:rPr>
          <w:tab/>
        </w:r>
        <w:r w:rsidR="00F82500" w:rsidRPr="00825D0C">
          <w:rPr>
            <w:rFonts w:ascii="Gill Sans MT" w:hAnsi="Gill Sans MT"/>
            <w:noProof/>
            <w:webHidden/>
          </w:rPr>
          <w:fldChar w:fldCharType="begin"/>
        </w:r>
        <w:r w:rsidR="00F82500" w:rsidRPr="00825D0C">
          <w:rPr>
            <w:rFonts w:ascii="Gill Sans MT" w:hAnsi="Gill Sans MT"/>
            <w:noProof/>
            <w:webHidden/>
          </w:rPr>
          <w:instrText xml:space="preserve"> PAGEREF _Toc447276293 \h </w:instrText>
        </w:r>
        <w:r w:rsidR="00F82500" w:rsidRPr="00825D0C">
          <w:rPr>
            <w:rFonts w:ascii="Gill Sans MT" w:hAnsi="Gill Sans MT"/>
            <w:noProof/>
            <w:webHidden/>
          </w:rPr>
          <w:fldChar w:fldCharType="separate"/>
        </w:r>
        <w:r>
          <w:rPr>
            <w:rFonts w:ascii="Gill Sans MT" w:hAnsi="Gill Sans MT"/>
            <w:b/>
            <w:bCs/>
            <w:noProof/>
            <w:webHidden/>
          </w:rPr>
          <w:t>Error! Bookmark not defined.</w:t>
        </w:r>
        <w:r w:rsidR="00F82500" w:rsidRPr="00825D0C">
          <w:rPr>
            <w:rFonts w:ascii="Gill Sans MT" w:hAnsi="Gill Sans MT"/>
            <w:noProof/>
            <w:webHidden/>
          </w:rPr>
          <w:fldChar w:fldCharType="end"/>
        </w:r>
      </w:hyperlink>
    </w:p>
    <w:p w14:paraId="3303E108" w14:textId="22F84BAC" w:rsidR="00F82500" w:rsidRPr="00825D0C" w:rsidRDefault="00943AA8" w:rsidP="00F82500">
      <w:pPr>
        <w:pStyle w:val="TOC1"/>
        <w:tabs>
          <w:tab w:val="right" w:leader="dot" w:pos="11078"/>
        </w:tabs>
        <w:rPr>
          <w:rFonts w:ascii="Gill Sans MT" w:eastAsiaTheme="minorEastAsia" w:hAnsi="Gill Sans MT"/>
          <w:noProof/>
        </w:rPr>
      </w:pPr>
      <w:hyperlink w:anchor="_Toc447276293" w:history="1">
        <w:r w:rsidR="00F82500" w:rsidRPr="00825D0C">
          <w:rPr>
            <w:rStyle w:val="Hyperlink"/>
            <w:rFonts w:ascii="Gill Sans MT" w:hAnsi="Gill Sans MT" w:cs="Times New Roman"/>
            <w:noProof/>
          </w:rPr>
          <w:t>Appendix F: WIOA Definitions</w:t>
        </w:r>
        <w:r w:rsidR="00F82500" w:rsidRPr="00825D0C">
          <w:rPr>
            <w:rFonts w:ascii="Gill Sans MT" w:hAnsi="Gill Sans MT"/>
            <w:noProof/>
            <w:webHidden/>
          </w:rPr>
          <w:tab/>
          <w:t>304</w:t>
        </w:r>
      </w:hyperlink>
    </w:p>
    <w:p w14:paraId="5D7FCBD5" w14:textId="77777777" w:rsidR="0004482C" w:rsidRPr="00825D0C" w:rsidRDefault="000104B8" w:rsidP="0004482C">
      <w:pPr>
        <w:rPr>
          <w:rFonts w:ascii="Gill Sans MT" w:hAnsi="Gill Sans MT" w:cs="Times New Roman"/>
        </w:rPr>
      </w:pPr>
      <w:r w:rsidRPr="00825D0C">
        <w:rPr>
          <w:rFonts w:ascii="Gill Sans MT" w:hAnsi="Gill Sans MT" w:cs="Times New Roman"/>
        </w:rPr>
        <w:lastRenderedPageBreak/>
        <w:fldChar w:fldCharType="end"/>
      </w:r>
    </w:p>
    <w:p w14:paraId="0ABB8712" w14:textId="1F629294" w:rsidR="00C31637" w:rsidRPr="00FA5C06" w:rsidRDefault="00FA5C06" w:rsidP="0004482C">
      <w:pPr>
        <w:rPr>
          <w:rFonts w:ascii="Garamond" w:hAnsi="Garamond"/>
          <w:color w:val="8DB3E2" w:themeColor="text2" w:themeTint="66"/>
          <w:sz w:val="28"/>
          <w:szCs w:val="28"/>
        </w:rPr>
        <w:sectPr w:rsidR="00C31637" w:rsidRPr="00FA5C06" w:rsidSect="00C31637">
          <w:headerReference w:type="default" r:id="rId11"/>
          <w:footerReference w:type="default" r:id="rId12"/>
          <w:pgSz w:w="12240" w:h="15840"/>
          <w:pgMar w:top="1440" w:right="576" w:bottom="1440" w:left="576" w:header="720" w:footer="720" w:gutter="0"/>
          <w:pgNumType w:fmt="lowerRoman" w:start="1"/>
          <w:cols w:space="720"/>
          <w:docGrid w:linePitch="360"/>
        </w:sectPr>
      </w:pPr>
      <w:r w:rsidRPr="00FA5C06">
        <w:rPr>
          <w:rFonts w:ascii="Garamond" w:hAnsi="Garamond"/>
          <w:color w:val="8DB3E2" w:themeColor="text2" w:themeTint="66"/>
          <w:sz w:val="28"/>
          <w:szCs w:val="28"/>
        </w:rPr>
        <w:t>THIS PAGE INTENTIONALLY LEFT BLANK.</w:t>
      </w:r>
    </w:p>
    <w:p w14:paraId="5739651A" w14:textId="28382D2C" w:rsidR="0004482C" w:rsidRPr="00825D0C" w:rsidRDefault="0004482C" w:rsidP="0004482C">
      <w:pPr>
        <w:pStyle w:val="Heading1"/>
        <w:rPr>
          <w:rFonts w:ascii="Garamond" w:hAnsi="Garamond" w:cs="Times New Roman"/>
        </w:rPr>
      </w:pPr>
      <w:bookmarkStart w:id="2" w:name="_Toc447276062"/>
      <w:proofErr w:type="gramStart"/>
      <w:r w:rsidRPr="00825D0C">
        <w:rPr>
          <w:rFonts w:ascii="Garamond" w:hAnsi="Garamond" w:cs="Times New Roman"/>
        </w:rPr>
        <w:lastRenderedPageBreak/>
        <w:t>PART 1.</w:t>
      </w:r>
      <w:proofErr w:type="gramEnd"/>
      <w:r w:rsidRPr="00825D0C">
        <w:rPr>
          <w:rFonts w:ascii="Garamond" w:hAnsi="Garamond" w:cs="Times New Roman"/>
        </w:rPr>
        <w:t xml:space="preserve"> OVERVIEW OF MARYLAND’S WORKFORCE INNOVATION AND OPPOR</w:t>
      </w:r>
      <w:r w:rsidR="008C2267" w:rsidRPr="00825D0C">
        <w:rPr>
          <w:rFonts w:ascii="Garamond" w:hAnsi="Garamond" w:cs="Times New Roman"/>
        </w:rPr>
        <w:t>T</w:t>
      </w:r>
      <w:r w:rsidRPr="00825D0C">
        <w:rPr>
          <w:rFonts w:ascii="Garamond" w:hAnsi="Garamond" w:cs="Times New Roman"/>
        </w:rPr>
        <w:t>UNITY ACT (WIOA) SYSTEM</w:t>
      </w:r>
      <w:bookmarkEnd w:id="2"/>
      <w:r w:rsidRPr="00825D0C">
        <w:rPr>
          <w:rFonts w:ascii="Garamond" w:hAnsi="Garamond" w:cs="Times New Roman"/>
        </w:rPr>
        <w:t xml:space="preserve"> </w:t>
      </w:r>
    </w:p>
    <w:p w14:paraId="4FE86CB0" w14:textId="052570AD" w:rsidR="000104B8" w:rsidRPr="004A0C12" w:rsidRDefault="000104B8" w:rsidP="0004482C">
      <w:pPr>
        <w:spacing w:after="0" w:line="240" w:lineRule="auto"/>
        <w:jc w:val="both"/>
        <w:rPr>
          <w:rFonts w:ascii="Garamond" w:hAnsi="Garamond"/>
        </w:rPr>
      </w:pPr>
    </w:p>
    <w:p w14:paraId="229E7867" w14:textId="77777777" w:rsidR="0004482C" w:rsidRPr="004A0C12" w:rsidRDefault="0004482C" w:rsidP="0004482C">
      <w:pPr>
        <w:spacing w:after="0" w:line="240" w:lineRule="auto"/>
        <w:jc w:val="both"/>
        <w:rPr>
          <w:rFonts w:ascii="Garamond" w:hAnsi="Garamond"/>
        </w:rPr>
      </w:pPr>
      <w:r w:rsidRPr="004A0C12">
        <w:rPr>
          <w:rFonts w:ascii="Garamond" w:hAnsi="Garamond"/>
        </w:rPr>
        <w:t xml:space="preserve">Maryland’s WIOA State Plan is Governor Hogan’s blueprint for the creation of an effective and efficient workforce system. Governor Hogan has directed the Department of Labor, Licensing and Regulation (DLLR), the Department of Human Resources (DHR), and the Maryland State Department of Education (MSDE) to work collaboratively to develop a strategic and operational plan to include the following programs: </w:t>
      </w:r>
    </w:p>
    <w:p w14:paraId="347DC070" w14:textId="77777777" w:rsidR="000104B8" w:rsidRPr="004A0C12" w:rsidRDefault="000104B8" w:rsidP="0004482C">
      <w:pPr>
        <w:spacing w:after="0" w:line="240" w:lineRule="auto"/>
        <w:jc w:val="both"/>
        <w:rPr>
          <w:rFonts w:ascii="Garamond" w:hAnsi="Garamond"/>
        </w:rPr>
      </w:pPr>
    </w:p>
    <w:tbl>
      <w:tblPr>
        <w:tblStyle w:val="PlainTable11"/>
        <w:tblW w:w="9361" w:type="dxa"/>
        <w:tblLayout w:type="fixed"/>
        <w:tblLook w:val="0000" w:firstRow="0" w:lastRow="0" w:firstColumn="0" w:lastColumn="0" w:noHBand="0" w:noVBand="0"/>
        <w:tblCaption w:val="WIOA State Plan Programs"/>
        <w:tblDescription w:val="This chart outlines the programs provided in the State Workforce Plan. This includes the Adult, Dislocated, Youth and Wagner-Peyser Act programs, Adult Education and Family Literacy Act Program, and Trade Adjustment Assistance for Workers Program and Jobs for Veterancs State Grant program as administered by the Maryland Department of Labor, Licensing and Regulation. The Temporary Assistance for Needy Families through the Department of Human Resources and Vocational Rehabilitation Program from the Maryland State Department of Education. "/>
      </w:tblPr>
      <w:tblGrid>
        <w:gridCol w:w="3669"/>
        <w:gridCol w:w="1878"/>
        <w:gridCol w:w="2168"/>
        <w:gridCol w:w="1646"/>
      </w:tblGrid>
      <w:tr w:rsidR="0004482C" w:rsidRPr="004A0C12" w14:paraId="46F52980" w14:textId="77777777" w:rsidTr="00923B2F">
        <w:trPr>
          <w:trHeight w:val="454"/>
          <w:tblHeader/>
        </w:trPr>
        <w:tc>
          <w:tcPr>
            <w:cnfStyle w:val="000010000000" w:firstRow="0" w:lastRow="0" w:firstColumn="0" w:lastColumn="0" w:oddVBand="1" w:evenVBand="0" w:oddHBand="0" w:evenHBand="0" w:firstRowFirstColumn="0" w:firstRowLastColumn="0" w:lastRowFirstColumn="0" w:lastRowLastColumn="0"/>
            <w:tcW w:w="3669" w:type="dxa"/>
          </w:tcPr>
          <w:p w14:paraId="574C6B4B" w14:textId="77777777" w:rsidR="0004482C" w:rsidRPr="004A0C12" w:rsidRDefault="0004482C" w:rsidP="0004482C">
            <w:pPr>
              <w:pStyle w:val="NoSpacing"/>
              <w:jc w:val="center"/>
              <w:rPr>
                <w:rFonts w:ascii="Garamond" w:hAnsi="Garamond"/>
                <w:b/>
                <w:sz w:val="22"/>
                <w:szCs w:val="22"/>
              </w:rPr>
            </w:pPr>
            <w:r w:rsidRPr="004A0C12">
              <w:rPr>
                <w:rFonts w:ascii="Garamond" w:hAnsi="Garamond"/>
                <w:b/>
                <w:sz w:val="22"/>
                <w:szCs w:val="22"/>
              </w:rPr>
              <w:t>WIOA State Plan Program</w:t>
            </w:r>
          </w:p>
        </w:tc>
        <w:tc>
          <w:tcPr>
            <w:tcW w:w="1878" w:type="dxa"/>
          </w:tcPr>
          <w:p w14:paraId="29BCF796" w14:textId="77777777" w:rsidR="0004482C" w:rsidRPr="004A0C12" w:rsidRDefault="0004482C" w:rsidP="0004482C">
            <w:pPr>
              <w:pStyle w:val="NoSpacing"/>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Core WIOA Program</w:t>
            </w:r>
          </w:p>
          <w:p w14:paraId="5172F914" w14:textId="77777777" w:rsidR="0004482C" w:rsidRPr="004A0C12" w:rsidRDefault="0004482C" w:rsidP="0004482C">
            <w:pPr>
              <w:pStyle w:val="NoSpacing"/>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as determined by law</w:t>
            </w:r>
          </w:p>
        </w:tc>
        <w:tc>
          <w:tcPr>
            <w:cnfStyle w:val="000010000000" w:firstRow="0" w:lastRow="0" w:firstColumn="0" w:lastColumn="0" w:oddVBand="1" w:evenVBand="0" w:oddHBand="0" w:evenHBand="0" w:firstRowFirstColumn="0" w:firstRowLastColumn="0" w:lastRowFirstColumn="0" w:lastRowLastColumn="0"/>
            <w:tcW w:w="2168" w:type="dxa"/>
          </w:tcPr>
          <w:p w14:paraId="42CA47F6" w14:textId="77777777" w:rsidR="0004482C" w:rsidRPr="004A0C12" w:rsidRDefault="0004482C" w:rsidP="0004482C">
            <w:pPr>
              <w:pStyle w:val="NoSpacing"/>
              <w:jc w:val="center"/>
              <w:rPr>
                <w:rFonts w:ascii="Garamond" w:hAnsi="Garamond"/>
                <w:b/>
                <w:sz w:val="22"/>
                <w:szCs w:val="22"/>
              </w:rPr>
            </w:pPr>
            <w:r w:rsidRPr="004A0C12">
              <w:rPr>
                <w:rFonts w:ascii="Garamond" w:hAnsi="Garamond"/>
                <w:b/>
                <w:sz w:val="22"/>
                <w:szCs w:val="22"/>
              </w:rPr>
              <w:t>Additional WIOA Program</w:t>
            </w:r>
          </w:p>
          <w:p w14:paraId="65377E15" w14:textId="77777777" w:rsidR="0004482C" w:rsidRPr="004A0C12" w:rsidRDefault="0004482C" w:rsidP="0004482C">
            <w:pPr>
              <w:pStyle w:val="NoSpacing"/>
              <w:jc w:val="center"/>
              <w:rPr>
                <w:rFonts w:ascii="Garamond" w:hAnsi="Garamond"/>
                <w:b/>
                <w:sz w:val="22"/>
                <w:szCs w:val="22"/>
              </w:rPr>
            </w:pPr>
            <w:r w:rsidRPr="004A0C12">
              <w:rPr>
                <w:rFonts w:ascii="Garamond" w:hAnsi="Garamond"/>
                <w:b/>
                <w:sz w:val="22"/>
                <w:szCs w:val="22"/>
              </w:rPr>
              <w:t>as determined by Governor</w:t>
            </w:r>
          </w:p>
        </w:tc>
        <w:tc>
          <w:tcPr>
            <w:tcW w:w="1646" w:type="dxa"/>
          </w:tcPr>
          <w:p w14:paraId="1CECE40B" w14:textId="77777777" w:rsidR="0004482C" w:rsidRPr="004A0C12" w:rsidRDefault="0004482C" w:rsidP="0004482C">
            <w:pPr>
              <w:pStyle w:val="NoSpacing"/>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MD State Agency Responsible for Oversight</w:t>
            </w:r>
          </w:p>
        </w:tc>
      </w:tr>
      <w:tr w:rsidR="0004482C" w:rsidRPr="004A0C12" w14:paraId="3FCE0FFC" w14:textId="77777777" w:rsidTr="008526E8">
        <w:trPr>
          <w:cnfStyle w:val="000000100000" w:firstRow="0" w:lastRow="0" w:firstColumn="0" w:lastColumn="0" w:oddVBand="0" w:evenVBand="0" w:oddHBand="1" w:evenHBand="0" w:firstRowFirstColumn="0" w:firstRowLastColumn="0" w:lastRowFirstColumn="0" w:lastRowLastColumn="0"/>
          <w:trHeight w:val="213"/>
        </w:trPr>
        <w:tc>
          <w:tcPr>
            <w:cnfStyle w:val="000010000000" w:firstRow="0" w:lastRow="0" w:firstColumn="0" w:lastColumn="0" w:oddVBand="1" w:evenVBand="0" w:oddHBand="0" w:evenHBand="0" w:firstRowFirstColumn="0" w:firstRowLastColumn="0" w:lastRowFirstColumn="0" w:lastRowLastColumn="0"/>
            <w:tcW w:w="3669" w:type="dxa"/>
          </w:tcPr>
          <w:p w14:paraId="4645F37C" w14:textId="77777777" w:rsidR="0004482C" w:rsidRPr="004A0C12" w:rsidRDefault="0004482C" w:rsidP="0004482C">
            <w:pPr>
              <w:jc w:val="both"/>
              <w:rPr>
                <w:rFonts w:ascii="Garamond" w:hAnsi="Garamond"/>
                <w:sz w:val="22"/>
                <w:szCs w:val="22"/>
              </w:rPr>
            </w:pPr>
            <w:r w:rsidRPr="004A0C12">
              <w:rPr>
                <w:rFonts w:ascii="Garamond" w:hAnsi="Garamond"/>
                <w:sz w:val="22"/>
                <w:szCs w:val="22"/>
              </w:rPr>
              <w:t>Adult Program</w:t>
            </w:r>
          </w:p>
        </w:tc>
        <w:tc>
          <w:tcPr>
            <w:tcW w:w="1878" w:type="dxa"/>
          </w:tcPr>
          <w:p w14:paraId="049AA9AD" w14:textId="77777777" w:rsidR="0004482C" w:rsidRPr="004A0C12" w:rsidRDefault="0004482C" w:rsidP="0004482C">
            <w:pPr>
              <w:numPr>
                <w:ilvl w:val="0"/>
                <w:numId w:val="1"/>
              </w:numPr>
              <w:ind w:hanging="36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3C6C0C38" w14:textId="77777777" w:rsidR="0004482C" w:rsidRPr="004A0C12" w:rsidRDefault="0004482C" w:rsidP="0004482C">
            <w:pPr>
              <w:jc w:val="both"/>
              <w:rPr>
                <w:rFonts w:ascii="Garamond" w:hAnsi="Garamond"/>
                <w:sz w:val="22"/>
                <w:szCs w:val="22"/>
              </w:rPr>
            </w:pPr>
          </w:p>
        </w:tc>
        <w:tc>
          <w:tcPr>
            <w:tcW w:w="1646" w:type="dxa"/>
          </w:tcPr>
          <w:p w14:paraId="181D86EE" w14:textId="77777777" w:rsidR="0004482C" w:rsidRPr="004A0C12" w:rsidRDefault="0004482C" w:rsidP="0004482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DLLR </w:t>
            </w:r>
          </w:p>
        </w:tc>
      </w:tr>
      <w:tr w:rsidR="0004482C" w:rsidRPr="004A0C12" w14:paraId="12935F25" w14:textId="77777777" w:rsidTr="008526E8">
        <w:trPr>
          <w:trHeight w:val="213"/>
        </w:trPr>
        <w:tc>
          <w:tcPr>
            <w:cnfStyle w:val="000010000000" w:firstRow="0" w:lastRow="0" w:firstColumn="0" w:lastColumn="0" w:oddVBand="1" w:evenVBand="0" w:oddHBand="0" w:evenHBand="0" w:firstRowFirstColumn="0" w:firstRowLastColumn="0" w:lastRowFirstColumn="0" w:lastRowLastColumn="0"/>
            <w:tcW w:w="3669" w:type="dxa"/>
          </w:tcPr>
          <w:p w14:paraId="5F4800E0" w14:textId="77777777" w:rsidR="0004482C" w:rsidRPr="004A0C12" w:rsidRDefault="0004482C" w:rsidP="0004482C">
            <w:pPr>
              <w:jc w:val="both"/>
              <w:rPr>
                <w:rFonts w:ascii="Garamond" w:hAnsi="Garamond"/>
                <w:sz w:val="22"/>
                <w:szCs w:val="22"/>
              </w:rPr>
            </w:pPr>
            <w:r w:rsidRPr="004A0C12">
              <w:rPr>
                <w:rFonts w:ascii="Garamond" w:hAnsi="Garamond"/>
                <w:sz w:val="22"/>
                <w:szCs w:val="22"/>
              </w:rPr>
              <w:t xml:space="preserve">Dislocated Workforce Program </w:t>
            </w:r>
          </w:p>
        </w:tc>
        <w:tc>
          <w:tcPr>
            <w:tcW w:w="1878" w:type="dxa"/>
          </w:tcPr>
          <w:p w14:paraId="68567268" w14:textId="77777777" w:rsidR="0004482C" w:rsidRPr="004A0C12" w:rsidRDefault="0004482C" w:rsidP="0004482C">
            <w:pPr>
              <w:numPr>
                <w:ilvl w:val="0"/>
                <w:numId w:val="2"/>
              </w:numPr>
              <w:ind w:hanging="360"/>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576FE23C" w14:textId="77777777" w:rsidR="0004482C" w:rsidRPr="004A0C12" w:rsidRDefault="0004482C" w:rsidP="0004482C">
            <w:pPr>
              <w:jc w:val="both"/>
              <w:rPr>
                <w:rFonts w:ascii="Garamond" w:hAnsi="Garamond"/>
                <w:sz w:val="22"/>
                <w:szCs w:val="22"/>
              </w:rPr>
            </w:pPr>
          </w:p>
        </w:tc>
        <w:tc>
          <w:tcPr>
            <w:tcW w:w="1646" w:type="dxa"/>
          </w:tcPr>
          <w:p w14:paraId="7A470B8F" w14:textId="77777777" w:rsidR="0004482C" w:rsidRPr="004A0C12" w:rsidRDefault="0004482C" w:rsidP="0004482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DLLR </w:t>
            </w:r>
          </w:p>
        </w:tc>
      </w:tr>
      <w:tr w:rsidR="0004482C" w:rsidRPr="004A0C12" w14:paraId="08CFC69C" w14:textId="77777777" w:rsidTr="008526E8">
        <w:trPr>
          <w:cnfStyle w:val="000000100000" w:firstRow="0" w:lastRow="0" w:firstColumn="0" w:lastColumn="0" w:oddVBand="0" w:evenVBand="0" w:oddHBand="1" w:evenHBand="0" w:firstRowFirstColumn="0" w:firstRowLastColumn="0" w:lastRowFirstColumn="0" w:lastRowLastColumn="0"/>
          <w:trHeight w:val="213"/>
        </w:trPr>
        <w:tc>
          <w:tcPr>
            <w:cnfStyle w:val="000010000000" w:firstRow="0" w:lastRow="0" w:firstColumn="0" w:lastColumn="0" w:oddVBand="1" w:evenVBand="0" w:oddHBand="0" w:evenHBand="0" w:firstRowFirstColumn="0" w:firstRowLastColumn="0" w:lastRowFirstColumn="0" w:lastRowLastColumn="0"/>
            <w:tcW w:w="3669" w:type="dxa"/>
          </w:tcPr>
          <w:p w14:paraId="3AB5BB06" w14:textId="77777777" w:rsidR="0004482C" w:rsidRPr="004A0C12" w:rsidRDefault="0004482C" w:rsidP="0004482C">
            <w:pPr>
              <w:jc w:val="both"/>
              <w:rPr>
                <w:rFonts w:ascii="Garamond" w:hAnsi="Garamond"/>
                <w:sz w:val="22"/>
                <w:szCs w:val="22"/>
              </w:rPr>
            </w:pPr>
            <w:r w:rsidRPr="004A0C12">
              <w:rPr>
                <w:rFonts w:ascii="Garamond" w:hAnsi="Garamond"/>
                <w:sz w:val="22"/>
                <w:szCs w:val="22"/>
              </w:rPr>
              <w:t xml:space="preserve">Youth Program </w:t>
            </w:r>
          </w:p>
        </w:tc>
        <w:tc>
          <w:tcPr>
            <w:tcW w:w="1878" w:type="dxa"/>
          </w:tcPr>
          <w:p w14:paraId="68D4B1F0" w14:textId="77777777" w:rsidR="0004482C" w:rsidRPr="004A0C12" w:rsidRDefault="0004482C" w:rsidP="0004482C">
            <w:pPr>
              <w:numPr>
                <w:ilvl w:val="0"/>
                <w:numId w:val="3"/>
              </w:numPr>
              <w:ind w:hanging="36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42BB3F72" w14:textId="77777777" w:rsidR="0004482C" w:rsidRPr="004A0C12" w:rsidRDefault="0004482C" w:rsidP="0004482C">
            <w:pPr>
              <w:jc w:val="both"/>
              <w:rPr>
                <w:rFonts w:ascii="Garamond" w:hAnsi="Garamond"/>
                <w:sz w:val="22"/>
                <w:szCs w:val="22"/>
              </w:rPr>
            </w:pPr>
          </w:p>
        </w:tc>
        <w:tc>
          <w:tcPr>
            <w:tcW w:w="1646" w:type="dxa"/>
          </w:tcPr>
          <w:p w14:paraId="247DCA8A" w14:textId="77777777" w:rsidR="0004482C" w:rsidRPr="004A0C12" w:rsidRDefault="0004482C" w:rsidP="0004482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DLLR </w:t>
            </w:r>
          </w:p>
        </w:tc>
      </w:tr>
      <w:tr w:rsidR="0004482C" w:rsidRPr="004A0C12" w14:paraId="795D10AE" w14:textId="77777777" w:rsidTr="008526E8">
        <w:trPr>
          <w:trHeight w:val="213"/>
        </w:trPr>
        <w:tc>
          <w:tcPr>
            <w:cnfStyle w:val="000010000000" w:firstRow="0" w:lastRow="0" w:firstColumn="0" w:lastColumn="0" w:oddVBand="1" w:evenVBand="0" w:oddHBand="0" w:evenHBand="0" w:firstRowFirstColumn="0" w:firstRowLastColumn="0" w:lastRowFirstColumn="0" w:lastRowLastColumn="0"/>
            <w:tcW w:w="3669" w:type="dxa"/>
          </w:tcPr>
          <w:p w14:paraId="2603042C" w14:textId="77777777" w:rsidR="0004482C" w:rsidRPr="004A0C12" w:rsidRDefault="0004482C" w:rsidP="0004482C">
            <w:pPr>
              <w:jc w:val="both"/>
              <w:rPr>
                <w:rFonts w:ascii="Garamond" w:hAnsi="Garamond"/>
                <w:sz w:val="22"/>
                <w:szCs w:val="22"/>
              </w:rPr>
            </w:pPr>
            <w:r w:rsidRPr="004A0C12">
              <w:rPr>
                <w:rFonts w:ascii="Garamond" w:hAnsi="Garamond"/>
                <w:sz w:val="22"/>
                <w:szCs w:val="22"/>
              </w:rPr>
              <w:t>Wagner-Peyser Act Program</w:t>
            </w:r>
          </w:p>
        </w:tc>
        <w:tc>
          <w:tcPr>
            <w:tcW w:w="1878" w:type="dxa"/>
          </w:tcPr>
          <w:p w14:paraId="5CC3D9FC" w14:textId="77777777" w:rsidR="0004482C" w:rsidRPr="004A0C12" w:rsidRDefault="0004482C" w:rsidP="0004482C">
            <w:pPr>
              <w:numPr>
                <w:ilvl w:val="0"/>
                <w:numId w:val="4"/>
              </w:numPr>
              <w:ind w:hanging="360"/>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608E75C2" w14:textId="77777777" w:rsidR="0004482C" w:rsidRPr="004A0C12" w:rsidRDefault="0004482C" w:rsidP="0004482C">
            <w:pPr>
              <w:jc w:val="both"/>
              <w:rPr>
                <w:rFonts w:ascii="Garamond" w:hAnsi="Garamond"/>
                <w:sz w:val="22"/>
                <w:szCs w:val="22"/>
              </w:rPr>
            </w:pPr>
          </w:p>
        </w:tc>
        <w:tc>
          <w:tcPr>
            <w:tcW w:w="1646" w:type="dxa"/>
          </w:tcPr>
          <w:p w14:paraId="54486BD1" w14:textId="77777777" w:rsidR="0004482C" w:rsidRPr="004A0C12" w:rsidRDefault="0004482C" w:rsidP="0004482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DLLR </w:t>
            </w:r>
          </w:p>
        </w:tc>
      </w:tr>
      <w:tr w:rsidR="0004482C" w:rsidRPr="004A0C12" w14:paraId="7FEC4AB6" w14:textId="77777777" w:rsidTr="008526E8">
        <w:trPr>
          <w:cnfStyle w:val="000000100000" w:firstRow="0" w:lastRow="0" w:firstColumn="0" w:lastColumn="0" w:oddVBand="0" w:evenVBand="0" w:oddHBand="1" w:evenHBand="0" w:firstRowFirstColumn="0" w:firstRowLastColumn="0" w:lastRowFirstColumn="0" w:lastRowLastColumn="0"/>
          <w:trHeight w:val="213"/>
        </w:trPr>
        <w:tc>
          <w:tcPr>
            <w:cnfStyle w:val="000010000000" w:firstRow="0" w:lastRow="0" w:firstColumn="0" w:lastColumn="0" w:oddVBand="1" w:evenVBand="0" w:oddHBand="0" w:evenHBand="0" w:firstRowFirstColumn="0" w:firstRowLastColumn="0" w:lastRowFirstColumn="0" w:lastRowLastColumn="0"/>
            <w:tcW w:w="3669" w:type="dxa"/>
          </w:tcPr>
          <w:p w14:paraId="0255E8AA" w14:textId="77777777" w:rsidR="0004482C" w:rsidRPr="004A0C12" w:rsidRDefault="0004482C" w:rsidP="0004482C">
            <w:pPr>
              <w:rPr>
                <w:rFonts w:ascii="Garamond" w:hAnsi="Garamond"/>
                <w:sz w:val="22"/>
                <w:szCs w:val="22"/>
              </w:rPr>
            </w:pPr>
            <w:r w:rsidRPr="004A0C12">
              <w:rPr>
                <w:rFonts w:ascii="Garamond" w:hAnsi="Garamond"/>
                <w:sz w:val="22"/>
                <w:szCs w:val="22"/>
              </w:rPr>
              <w:t xml:space="preserve">Adult Education &amp; Family Literacy Act Program </w:t>
            </w:r>
          </w:p>
        </w:tc>
        <w:tc>
          <w:tcPr>
            <w:tcW w:w="1878" w:type="dxa"/>
          </w:tcPr>
          <w:p w14:paraId="34CB6234" w14:textId="77777777" w:rsidR="0004482C" w:rsidRPr="004A0C12" w:rsidRDefault="0004482C" w:rsidP="0004482C">
            <w:pPr>
              <w:numPr>
                <w:ilvl w:val="0"/>
                <w:numId w:val="5"/>
              </w:numPr>
              <w:ind w:hanging="36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79833151" w14:textId="77777777" w:rsidR="0004482C" w:rsidRPr="004A0C12" w:rsidRDefault="0004482C" w:rsidP="0004482C">
            <w:pPr>
              <w:jc w:val="both"/>
              <w:rPr>
                <w:rFonts w:ascii="Garamond" w:hAnsi="Garamond"/>
                <w:sz w:val="22"/>
                <w:szCs w:val="22"/>
              </w:rPr>
            </w:pPr>
          </w:p>
        </w:tc>
        <w:tc>
          <w:tcPr>
            <w:tcW w:w="1646" w:type="dxa"/>
          </w:tcPr>
          <w:p w14:paraId="3907EBC2" w14:textId="77777777" w:rsidR="0004482C" w:rsidRPr="004A0C12" w:rsidRDefault="0004482C" w:rsidP="0004482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DLLR </w:t>
            </w:r>
          </w:p>
        </w:tc>
      </w:tr>
      <w:tr w:rsidR="0004482C" w:rsidRPr="004A0C12" w14:paraId="57E1B425" w14:textId="77777777" w:rsidTr="008526E8">
        <w:trPr>
          <w:trHeight w:val="213"/>
        </w:trPr>
        <w:tc>
          <w:tcPr>
            <w:cnfStyle w:val="000010000000" w:firstRow="0" w:lastRow="0" w:firstColumn="0" w:lastColumn="0" w:oddVBand="1" w:evenVBand="0" w:oddHBand="0" w:evenHBand="0" w:firstRowFirstColumn="0" w:firstRowLastColumn="0" w:lastRowFirstColumn="0" w:lastRowLastColumn="0"/>
            <w:tcW w:w="3669" w:type="dxa"/>
          </w:tcPr>
          <w:p w14:paraId="26FB3522" w14:textId="77777777" w:rsidR="0004482C" w:rsidRPr="004A0C12" w:rsidRDefault="0004482C" w:rsidP="0004482C">
            <w:pPr>
              <w:rPr>
                <w:rFonts w:ascii="Garamond" w:hAnsi="Garamond"/>
                <w:sz w:val="22"/>
                <w:szCs w:val="22"/>
              </w:rPr>
            </w:pPr>
            <w:r w:rsidRPr="004A0C12">
              <w:rPr>
                <w:rFonts w:ascii="Garamond" w:hAnsi="Garamond"/>
                <w:sz w:val="22"/>
                <w:szCs w:val="22"/>
              </w:rPr>
              <w:t>Vocational Rehabilitation Program</w:t>
            </w:r>
          </w:p>
        </w:tc>
        <w:tc>
          <w:tcPr>
            <w:tcW w:w="1878" w:type="dxa"/>
          </w:tcPr>
          <w:p w14:paraId="0E322D80" w14:textId="77777777" w:rsidR="0004482C" w:rsidRPr="004A0C12" w:rsidRDefault="0004482C" w:rsidP="0004482C">
            <w:pPr>
              <w:numPr>
                <w:ilvl w:val="0"/>
                <w:numId w:val="6"/>
              </w:numPr>
              <w:ind w:hanging="360"/>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36083A4D" w14:textId="77777777" w:rsidR="0004482C" w:rsidRPr="004A0C12" w:rsidRDefault="0004482C" w:rsidP="0004482C">
            <w:pPr>
              <w:jc w:val="both"/>
              <w:rPr>
                <w:rFonts w:ascii="Garamond" w:hAnsi="Garamond"/>
                <w:sz w:val="22"/>
                <w:szCs w:val="22"/>
              </w:rPr>
            </w:pPr>
          </w:p>
        </w:tc>
        <w:tc>
          <w:tcPr>
            <w:tcW w:w="1646" w:type="dxa"/>
          </w:tcPr>
          <w:p w14:paraId="74B17BA7" w14:textId="77777777" w:rsidR="0004482C" w:rsidRPr="004A0C12" w:rsidRDefault="0004482C" w:rsidP="0004482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MSDE </w:t>
            </w:r>
          </w:p>
        </w:tc>
      </w:tr>
      <w:tr w:rsidR="0004482C" w:rsidRPr="004A0C12" w14:paraId="3643159B" w14:textId="77777777" w:rsidTr="008526E8">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3669" w:type="dxa"/>
          </w:tcPr>
          <w:p w14:paraId="08C8E0A9" w14:textId="77777777" w:rsidR="0004482C" w:rsidRPr="004A0C12" w:rsidRDefault="0004482C" w:rsidP="0004482C">
            <w:pPr>
              <w:rPr>
                <w:rFonts w:ascii="Garamond" w:hAnsi="Garamond"/>
                <w:sz w:val="22"/>
                <w:szCs w:val="22"/>
              </w:rPr>
            </w:pPr>
            <w:r w:rsidRPr="004A0C12">
              <w:rPr>
                <w:rFonts w:ascii="Garamond" w:hAnsi="Garamond"/>
                <w:sz w:val="22"/>
                <w:szCs w:val="22"/>
              </w:rPr>
              <w:t xml:space="preserve">Temporary Assistance for Needy Families Program </w:t>
            </w:r>
          </w:p>
        </w:tc>
        <w:tc>
          <w:tcPr>
            <w:tcW w:w="1878" w:type="dxa"/>
          </w:tcPr>
          <w:p w14:paraId="1D5F787B" w14:textId="77777777" w:rsidR="0004482C" w:rsidRPr="004A0C12" w:rsidRDefault="0004482C" w:rsidP="0004482C">
            <w:pPr>
              <w:ind w:left="72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729DCC4A" w14:textId="77777777" w:rsidR="0004482C" w:rsidRPr="004A0C12" w:rsidRDefault="0004482C" w:rsidP="0004482C">
            <w:pPr>
              <w:numPr>
                <w:ilvl w:val="0"/>
                <w:numId w:val="7"/>
              </w:numPr>
              <w:ind w:hanging="360"/>
              <w:jc w:val="center"/>
              <w:rPr>
                <w:rFonts w:ascii="Garamond" w:hAnsi="Garamond"/>
                <w:sz w:val="22"/>
                <w:szCs w:val="22"/>
              </w:rPr>
            </w:pPr>
          </w:p>
        </w:tc>
        <w:tc>
          <w:tcPr>
            <w:tcW w:w="1646" w:type="dxa"/>
          </w:tcPr>
          <w:p w14:paraId="2AB32945" w14:textId="77777777" w:rsidR="0004482C" w:rsidRPr="004A0C12" w:rsidRDefault="0004482C" w:rsidP="0004482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DHR </w:t>
            </w:r>
          </w:p>
        </w:tc>
      </w:tr>
      <w:tr w:rsidR="0004482C" w:rsidRPr="004A0C12" w14:paraId="07A4912A" w14:textId="77777777" w:rsidTr="008526E8">
        <w:trPr>
          <w:trHeight w:val="213"/>
        </w:trPr>
        <w:tc>
          <w:tcPr>
            <w:cnfStyle w:val="000010000000" w:firstRow="0" w:lastRow="0" w:firstColumn="0" w:lastColumn="0" w:oddVBand="1" w:evenVBand="0" w:oddHBand="0" w:evenHBand="0" w:firstRowFirstColumn="0" w:firstRowLastColumn="0" w:lastRowFirstColumn="0" w:lastRowLastColumn="0"/>
            <w:tcW w:w="3669" w:type="dxa"/>
          </w:tcPr>
          <w:p w14:paraId="46A0B778" w14:textId="77777777" w:rsidR="0004482C" w:rsidRPr="004A0C12" w:rsidRDefault="0004482C" w:rsidP="0004482C">
            <w:pPr>
              <w:rPr>
                <w:rFonts w:ascii="Garamond" w:hAnsi="Garamond"/>
                <w:sz w:val="22"/>
                <w:szCs w:val="22"/>
              </w:rPr>
            </w:pPr>
            <w:r w:rsidRPr="004A0C12">
              <w:rPr>
                <w:rFonts w:ascii="Garamond" w:hAnsi="Garamond"/>
                <w:sz w:val="22"/>
                <w:szCs w:val="22"/>
              </w:rPr>
              <w:t xml:space="preserve">Trade Adjustment Assistance for Workers Program </w:t>
            </w:r>
          </w:p>
        </w:tc>
        <w:tc>
          <w:tcPr>
            <w:tcW w:w="1878" w:type="dxa"/>
          </w:tcPr>
          <w:p w14:paraId="1EAB6078" w14:textId="77777777" w:rsidR="0004482C" w:rsidRPr="004A0C12" w:rsidRDefault="0004482C" w:rsidP="0004482C">
            <w:pPr>
              <w:ind w:left="72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2FA0A852" w14:textId="77777777" w:rsidR="0004482C" w:rsidRPr="004A0C12" w:rsidRDefault="0004482C" w:rsidP="0004482C">
            <w:pPr>
              <w:numPr>
                <w:ilvl w:val="0"/>
                <w:numId w:val="8"/>
              </w:numPr>
              <w:ind w:hanging="360"/>
              <w:jc w:val="center"/>
              <w:rPr>
                <w:rFonts w:ascii="Garamond" w:hAnsi="Garamond"/>
                <w:sz w:val="22"/>
                <w:szCs w:val="22"/>
              </w:rPr>
            </w:pPr>
          </w:p>
        </w:tc>
        <w:tc>
          <w:tcPr>
            <w:tcW w:w="1646" w:type="dxa"/>
          </w:tcPr>
          <w:p w14:paraId="41662BA1" w14:textId="77777777" w:rsidR="0004482C" w:rsidRPr="004A0C12" w:rsidRDefault="0004482C" w:rsidP="0004482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DLLR</w:t>
            </w:r>
          </w:p>
        </w:tc>
      </w:tr>
      <w:tr w:rsidR="0004482C" w:rsidRPr="004A0C12" w14:paraId="08E7FAEB" w14:textId="77777777" w:rsidTr="008526E8">
        <w:trPr>
          <w:cnfStyle w:val="000000100000" w:firstRow="0" w:lastRow="0" w:firstColumn="0" w:lastColumn="0" w:oddVBand="0" w:evenVBand="0" w:oddHBand="1" w:evenHBand="0" w:firstRowFirstColumn="0" w:firstRowLastColumn="0" w:lastRowFirstColumn="0" w:lastRowLastColumn="0"/>
          <w:trHeight w:val="213"/>
        </w:trPr>
        <w:tc>
          <w:tcPr>
            <w:cnfStyle w:val="000010000000" w:firstRow="0" w:lastRow="0" w:firstColumn="0" w:lastColumn="0" w:oddVBand="1" w:evenVBand="0" w:oddHBand="0" w:evenHBand="0" w:firstRowFirstColumn="0" w:firstRowLastColumn="0" w:lastRowFirstColumn="0" w:lastRowLastColumn="0"/>
            <w:tcW w:w="3669" w:type="dxa"/>
          </w:tcPr>
          <w:p w14:paraId="4F61AB49" w14:textId="77777777" w:rsidR="0004482C" w:rsidRPr="004A0C12" w:rsidRDefault="0004482C" w:rsidP="0004482C">
            <w:pPr>
              <w:rPr>
                <w:rFonts w:ascii="Garamond" w:hAnsi="Garamond"/>
                <w:sz w:val="22"/>
                <w:szCs w:val="22"/>
              </w:rPr>
            </w:pPr>
            <w:r w:rsidRPr="004A0C12">
              <w:rPr>
                <w:rFonts w:ascii="Garamond" w:hAnsi="Garamond"/>
                <w:sz w:val="22"/>
                <w:szCs w:val="22"/>
              </w:rPr>
              <w:t>Jobs for Veterans State Grant Program</w:t>
            </w:r>
          </w:p>
        </w:tc>
        <w:tc>
          <w:tcPr>
            <w:tcW w:w="1878" w:type="dxa"/>
          </w:tcPr>
          <w:p w14:paraId="70F4DDBE" w14:textId="77777777" w:rsidR="0004482C" w:rsidRPr="004A0C12" w:rsidRDefault="0004482C" w:rsidP="0004482C">
            <w:pPr>
              <w:ind w:left="72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7CEBB423" w14:textId="77777777" w:rsidR="0004482C" w:rsidRPr="004A0C12" w:rsidRDefault="0004482C" w:rsidP="0004482C">
            <w:pPr>
              <w:numPr>
                <w:ilvl w:val="0"/>
                <w:numId w:val="9"/>
              </w:numPr>
              <w:ind w:hanging="360"/>
              <w:jc w:val="center"/>
              <w:rPr>
                <w:rFonts w:ascii="Garamond" w:hAnsi="Garamond"/>
                <w:sz w:val="22"/>
                <w:szCs w:val="22"/>
              </w:rPr>
            </w:pPr>
          </w:p>
        </w:tc>
        <w:tc>
          <w:tcPr>
            <w:tcW w:w="1646" w:type="dxa"/>
          </w:tcPr>
          <w:p w14:paraId="796A9521" w14:textId="77777777" w:rsidR="0004482C" w:rsidRPr="004A0C12" w:rsidRDefault="0004482C" w:rsidP="0004482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DLLR</w:t>
            </w:r>
          </w:p>
        </w:tc>
      </w:tr>
      <w:tr w:rsidR="0004482C" w:rsidRPr="004A0C12" w14:paraId="6BCFDF0C" w14:textId="77777777" w:rsidTr="008526E8">
        <w:trPr>
          <w:trHeight w:val="213"/>
        </w:trPr>
        <w:tc>
          <w:tcPr>
            <w:cnfStyle w:val="000010000000" w:firstRow="0" w:lastRow="0" w:firstColumn="0" w:lastColumn="0" w:oddVBand="1" w:evenVBand="0" w:oddHBand="0" w:evenHBand="0" w:firstRowFirstColumn="0" w:firstRowLastColumn="0" w:lastRowFirstColumn="0" w:lastRowLastColumn="0"/>
            <w:tcW w:w="3669" w:type="dxa"/>
          </w:tcPr>
          <w:p w14:paraId="4691BA73" w14:textId="77777777" w:rsidR="0004482C" w:rsidRPr="004A0C12" w:rsidRDefault="0004482C" w:rsidP="0004482C">
            <w:pPr>
              <w:rPr>
                <w:rFonts w:ascii="Garamond" w:hAnsi="Garamond"/>
                <w:sz w:val="22"/>
                <w:szCs w:val="22"/>
              </w:rPr>
            </w:pPr>
            <w:r w:rsidRPr="004A0C12">
              <w:rPr>
                <w:rFonts w:ascii="Garamond" w:hAnsi="Garamond"/>
                <w:sz w:val="22"/>
                <w:szCs w:val="22"/>
              </w:rPr>
              <w:t xml:space="preserve">Reintegration of Ex-Offenders Program  </w:t>
            </w:r>
          </w:p>
        </w:tc>
        <w:tc>
          <w:tcPr>
            <w:tcW w:w="1878" w:type="dxa"/>
          </w:tcPr>
          <w:p w14:paraId="5FAAA6A4" w14:textId="77777777" w:rsidR="0004482C" w:rsidRPr="004A0C12" w:rsidRDefault="0004482C" w:rsidP="0004482C">
            <w:pPr>
              <w:ind w:left="72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168" w:type="dxa"/>
          </w:tcPr>
          <w:p w14:paraId="30C7CBC1" w14:textId="77777777" w:rsidR="0004482C" w:rsidRPr="004A0C12" w:rsidRDefault="0004482C" w:rsidP="0004482C">
            <w:pPr>
              <w:numPr>
                <w:ilvl w:val="0"/>
                <w:numId w:val="10"/>
              </w:numPr>
              <w:ind w:hanging="360"/>
              <w:jc w:val="center"/>
              <w:rPr>
                <w:rFonts w:ascii="Garamond" w:hAnsi="Garamond"/>
                <w:sz w:val="22"/>
                <w:szCs w:val="22"/>
              </w:rPr>
            </w:pPr>
          </w:p>
        </w:tc>
        <w:tc>
          <w:tcPr>
            <w:tcW w:w="1646" w:type="dxa"/>
          </w:tcPr>
          <w:p w14:paraId="7BE06D59" w14:textId="77777777" w:rsidR="0004482C" w:rsidRPr="004A0C12" w:rsidRDefault="0004482C" w:rsidP="0004482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N/A</w:t>
            </w:r>
          </w:p>
        </w:tc>
      </w:tr>
    </w:tbl>
    <w:p w14:paraId="20ACC8F8" w14:textId="77777777" w:rsidR="0004482C" w:rsidRPr="004A0C12" w:rsidRDefault="0004482C" w:rsidP="0004482C">
      <w:pPr>
        <w:spacing w:after="0" w:line="240" w:lineRule="auto"/>
        <w:rPr>
          <w:rFonts w:ascii="Garamond" w:hAnsi="Garamond"/>
        </w:rPr>
      </w:pPr>
    </w:p>
    <w:p w14:paraId="1FA6A471" w14:textId="451ACFB3" w:rsidR="0004482C" w:rsidRPr="004A0C12" w:rsidRDefault="0004482C" w:rsidP="0004482C">
      <w:pPr>
        <w:spacing w:after="0" w:line="240" w:lineRule="auto"/>
        <w:jc w:val="both"/>
        <w:rPr>
          <w:rFonts w:ascii="Garamond" w:hAnsi="Garamond"/>
        </w:rPr>
      </w:pPr>
      <w:r w:rsidRPr="004A0C12">
        <w:rPr>
          <w:rFonts w:ascii="Garamond" w:hAnsi="Garamond"/>
        </w:rPr>
        <w:t>The inclusion of these key programs, in combination, will ensure that Maryland effectively leverages its existing resources to deliver outstanding customer service to workers and businesses that are vital to Maryland’s economic growth</w:t>
      </w:r>
      <w:r w:rsidR="003F2622" w:rsidRPr="004A0C12">
        <w:rPr>
          <w:rFonts w:ascii="Garamond" w:hAnsi="Garamond"/>
        </w:rPr>
        <w:t xml:space="preserve"> and prosperity</w:t>
      </w:r>
      <w:r w:rsidRPr="004A0C12">
        <w:rPr>
          <w:rFonts w:ascii="Garamond" w:hAnsi="Garamond"/>
        </w:rPr>
        <w:t xml:space="preserve">. Key partners from these state agencies as well as representatives from the Governor’s Workforce Investment Board (GWIB) and local workforce development areas (collectively referred to as the “WIOA Partners”), pursuant to the Governor’s charge, </w:t>
      </w:r>
      <w:r w:rsidR="002D0FF9" w:rsidRPr="004A0C12">
        <w:rPr>
          <w:rFonts w:ascii="Garamond" w:hAnsi="Garamond"/>
        </w:rPr>
        <w:t>worked</w:t>
      </w:r>
      <w:r w:rsidRPr="004A0C12">
        <w:rPr>
          <w:rFonts w:ascii="Garamond" w:hAnsi="Garamond"/>
        </w:rPr>
        <w:t xml:space="preserve"> together to ensure that Maryland is poised to develop a WIOA compliant workforce system.   </w:t>
      </w:r>
    </w:p>
    <w:p w14:paraId="56FF4E6D" w14:textId="77777777" w:rsidR="0004482C" w:rsidRPr="00825D0C" w:rsidRDefault="0004482C" w:rsidP="0004482C">
      <w:pPr>
        <w:spacing w:after="0" w:line="240" w:lineRule="auto"/>
        <w:rPr>
          <w:rFonts w:ascii="Garamond" w:hAnsi="Garamond"/>
          <w:sz w:val="24"/>
          <w:szCs w:val="24"/>
        </w:rPr>
      </w:pPr>
    </w:p>
    <w:p w14:paraId="4AEEFAFE" w14:textId="737BF7D5" w:rsidR="0004482C" w:rsidRPr="00825D0C" w:rsidRDefault="0004482C" w:rsidP="0054168E">
      <w:pPr>
        <w:pStyle w:val="Heading2"/>
        <w:rPr>
          <w:rFonts w:ascii="Garamond" w:hAnsi="Garamond"/>
          <w:sz w:val="24"/>
          <w:szCs w:val="24"/>
        </w:rPr>
      </w:pPr>
      <w:bookmarkStart w:id="3" w:name="_Toc447276063"/>
      <w:r w:rsidRPr="00825D0C">
        <w:rPr>
          <w:rFonts w:ascii="Garamond" w:hAnsi="Garamond"/>
          <w:sz w:val="24"/>
          <w:szCs w:val="24"/>
        </w:rPr>
        <w:t>Overview of Maryland’s Workforce Innovation and Opportunity Act Transition</w:t>
      </w:r>
      <w:bookmarkEnd w:id="3"/>
      <w:r w:rsidRPr="00825D0C">
        <w:rPr>
          <w:rFonts w:ascii="Garamond" w:hAnsi="Garamond"/>
          <w:sz w:val="24"/>
          <w:szCs w:val="24"/>
        </w:rPr>
        <w:t xml:space="preserve"> </w:t>
      </w:r>
    </w:p>
    <w:p w14:paraId="4D1FB4EB" w14:textId="6737822C" w:rsidR="0004482C" w:rsidRPr="004A0C12" w:rsidRDefault="0004482C" w:rsidP="0004482C">
      <w:pPr>
        <w:spacing w:after="0" w:line="240" w:lineRule="auto"/>
        <w:jc w:val="both"/>
        <w:rPr>
          <w:rFonts w:ascii="Garamond" w:hAnsi="Garamond"/>
        </w:rPr>
      </w:pPr>
      <w:r w:rsidRPr="004A0C12">
        <w:rPr>
          <w:rFonts w:ascii="Garamond" w:hAnsi="Garamond"/>
        </w:rPr>
        <w:t xml:space="preserve">The Workforce Innovation and Opportunity Act (WIOA) </w:t>
      </w:r>
      <w:proofErr w:type="gramStart"/>
      <w:r w:rsidRPr="004A0C12">
        <w:rPr>
          <w:rFonts w:ascii="Garamond" w:hAnsi="Garamond"/>
        </w:rPr>
        <w:t>was</w:t>
      </w:r>
      <w:proofErr w:type="gramEnd"/>
      <w:r w:rsidRPr="004A0C12">
        <w:rPr>
          <w:rFonts w:ascii="Garamond" w:hAnsi="Garamond"/>
        </w:rPr>
        <w:t xml:space="preserve"> signed into law on July 22, 2014</w:t>
      </w:r>
      <w:r w:rsidR="006E3413" w:rsidRPr="004A0C12">
        <w:rPr>
          <w:rFonts w:ascii="Garamond" w:hAnsi="Garamond"/>
        </w:rPr>
        <w:t>,</w:t>
      </w:r>
      <w:r w:rsidRPr="004A0C12">
        <w:rPr>
          <w:rFonts w:ascii="Garamond" w:hAnsi="Garamond"/>
        </w:rPr>
        <w:t xml:space="preserve"> and went into effect July 1, 2015. WIOA supersedes the Workforce Investment Act of 1998</w:t>
      </w:r>
      <w:r w:rsidR="006E3413" w:rsidRPr="004A0C12">
        <w:rPr>
          <w:rFonts w:ascii="Garamond" w:hAnsi="Garamond"/>
        </w:rPr>
        <w:t>,</w:t>
      </w:r>
      <w:r w:rsidRPr="004A0C12">
        <w:rPr>
          <w:rFonts w:ascii="Garamond" w:hAnsi="Garamond"/>
        </w:rPr>
        <w:t xml:space="preserve"> and amends the Adult Education and Family Literacy Act, the Wagner-Peyser Act, and the Rehabilitation Act of 1973. WI</w:t>
      </w:r>
      <w:r w:rsidR="00080EC6" w:rsidRPr="004A0C12">
        <w:rPr>
          <w:rFonts w:ascii="Garamond" w:hAnsi="Garamond"/>
        </w:rPr>
        <w:t>OA is designed to help both job</w:t>
      </w:r>
      <w:r w:rsidRPr="004A0C12">
        <w:rPr>
          <w:rFonts w:ascii="Garamond" w:hAnsi="Garamond"/>
        </w:rPr>
        <w:t xml:space="preserve">seekers and businesses. </w:t>
      </w:r>
      <w:r w:rsidR="00080EC6" w:rsidRPr="004A0C12">
        <w:rPr>
          <w:rFonts w:ascii="Garamond" w:hAnsi="Garamond"/>
        </w:rPr>
        <w:t>WIOA addresses the needs of job</w:t>
      </w:r>
      <w:r w:rsidRPr="004A0C12">
        <w:rPr>
          <w:rFonts w:ascii="Garamond" w:hAnsi="Garamond"/>
        </w:rPr>
        <w:t xml:space="preserve">seekers through establishing a workforce system that helps </w:t>
      </w:r>
      <w:proofErr w:type="gramStart"/>
      <w:r w:rsidRPr="004A0C12">
        <w:rPr>
          <w:rFonts w:ascii="Garamond" w:hAnsi="Garamond"/>
        </w:rPr>
        <w:t>them</w:t>
      </w:r>
      <w:proofErr w:type="gramEnd"/>
      <w:r w:rsidRPr="004A0C12">
        <w:rPr>
          <w:rFonts w:ascii="Garamond" w:hAnsi="Garamond"/>
        </w:rPr>
        <w:t xml:space="preserve"> access, education, training</w:t>
      </w:r>
      <w:r w:rsidR="003F2622" w:rsidRPr="004A0C12">
        <w:rPr>
          <w:rFonts w:ascii="Garamond" w:hAnsi="Garamond"/>
        </w:rPr>
        <w:t>,</w:t>
      </w:r>
      <w:r w:rsidRPr="004A0C12">
        <w:rPr>
          <w:rFonts w:ascii="Garamond" w:hAnsi="Garamond"/>
        </w:rPr>
        <w:t xml:space="preserve"> and support services to </w:t>
      </w:r>
      <w:r w:rsidR="006D5C13" w:rsidRPr="004A0C12">
        <w:rPr>
          <w:rFonts w:ascii="Garamond" w:hAnsi="Garamond"/>
        </w:rPr>
        <w:t xml:space="preserve">gain employment and </w:t>
      </w:r>
      <w:r w:rsidRPr="004A0C12">
        <w:rPr>
          <w:rFonts w:ascii="Garamond" w:hAnsi="Garamond"/>
        </w:rPr>
        <w:t xml:space="preserve">succeed in the labor market. WIOA addresses employer needs by matching them to the skilled workers they need to compete in the global economy. </w:t>
      </w:r>
    </w:p>
    <w:p w14:paraId="546C829F" w14:textId="77777777" w:rsidR="0004482C" w:rsidRPr="004A0C12" w:rsidRDefault="0004482C" w:rsidP="0004482C">
      <w:pPr>
        <w:spacing w:after="0" w:line="240" w:lineRule="auto"/>
        <w:jc w:val="both"/>
        <w:rPr>
          <w:rFonts w:ascii="Garamond" w:hAnsi="Garamond"/>
        </w:rPr>
      </w:pPr>
    </w:p>
    <w:p w14:paraId="61DBF323" w14:textId="62CDBAD9" w:rsidR="0004482C" w:rsidRDefault="0004482C" w:rsidP="0004482C">
      <w:pPr>
        <w:spacing w:after="0" w:line="240" w:lineRule="auto"/>
        <w:jc w:val="both"/>
        <w:rPr>
          <w:rFonts w:ascii="Garamond" w:hAnsi="Garamond"/>
        </w:rPr>
      </w:pPr>
      <w:r w:rsidRPr="004A0C12">
        <w:rPr>
          <w:rFonts w:ascii="Garamond" w:hAnsi="Garamond"/>
        </w:rPr>
        <w:t>In order to ensure Maryland’s effective implementation of the requirements of</w:t>
      </w:r>
      <w:r w:rsidR="00AE4841" w:rsidRPr="004A0C12">
        <w:rPr>
          <w:rFonts w:ascii="Garamond" w:hAnsi="Garamond"/>
        </w:rPr>
        <w:t xml:space="preserve"> the new federal law, the WIOA P</w:t>
      </w:r>
      <w:r w:rsidRPr="004A0C12">
        <w:rPr>
          <w:rFonts w:ascii="Garamond" w:hAnsi="Garamond"/>
        </w:rPr>
        <w:t>artners agreed on the development and implementation of proven best practices and strategies towards system improvement. As a part of the trans</w:t>
      </w:r>
      <w:r w:rsidR="008526E8" w:rsidRPr="004A0C12">
        <w:rPr>
          <w:rFonts w:ascii="Garamond" w:hAnsi="Garamond"/>
        </w:rPr>
        <w:t>ition, DLLR convened nine WIOA workg</w:t>
      </w:r>
      <w:r w:rsidRPr="004A0C12">
        <w:rPr>
          <w:rFonts w:ascii="Garamond" w:hAnsi="Garamond"/>
        </w:rPr>
        <w:t xml:space="preserve">roups comprised of subject matter experts and advocates from a variety of State and local agencies, community colleges, businesses, and key advocacy groups. By design, all workgroups are chaired by DLLR leadership staff and co-chaired by local leadership staff in an effort to ensure collaborative decision making. </w:t>
      </w:r>
    </w:p>
    <w:p w14:paraId="66A195C5" w14:textId="77777777" w:rsidR="00825D0C" w:rsidRPr="004A0C12" w:rsidRDefault="00825D0C" w:rsidP="0004482C">
      <w:pPr>
        <w:spacing w:after="0" w:line="240" w:lineRule="auto"/>
        <w:jc w:val="both"/>
        <w:rPr>
          <w:rFonts w:ascii="Garamond" w:hAnsi="Garamond"/>
        </w:rPr>
      </w:pPr>
    </w:p>
    <w:p w14:paraId="4E0B7CB3" w14:textId="77777777" w:rsidR="0004482C" w:rsidRPr="004A0C12" w:rsidRDefault="0004482C" w:rsidP="0004482C">
      <w:pPr>
        <w:spacing w:after="0" w:line="240" w:lineRule="auto"/>
        <w:jc w:val="both"/>
        <w:rPr>
          <w:rFonts w:ascii="Garamond" w:hAnsi="Garamond"/>
        </w:rPr>
      </w:pPr>
    </w:p>
    <w:tbl>
      <w:tblPr>
        <w:tblW w:w="0" w:type="auto"/>
        <w:jc w:val="center"/>
        <w:tblLayout w:type="fixed"/>
        <w:tblLook w:val="0000" w:firstRow="0" w:lastRow="0" w:firstColumn="0" w:lastColumn="0" w:noHBand="0" w:noVBand="0"/>
      </w:tblPr>
      <w:tblGrid>
        <w:gridCol w:w="585"/>
        <w:gridCol w:w="5481"/>
      </w:tblGrid>
      <w:tr w:rsidR="0004482C" w:rsidRPr="004A0C12" w14:paraId="243F50D6" w14:textId="77777777" w:rsidTr="001A1E04">
        <w:trPr>
          <w:cantSplit/>
          <w:trHeight w:val="340"/>
          <w:jc w:val="center"/>
        </w:trPr>
        <w:tc>
          <w:tcPr>
            <w:tcW w:w="6066" w:type="dxa"/>
            <w:gridSpan w:val="2"/>
            <w:tcBorders>
              <w:top w:val="single" w:sz="8" w:space="0" w:color="4F81BD"/>
              <w:left w:val="single" w:sz="8" w:space="0" w:color="4F81BD"/>
              <w:bottom w:val="single" w:sz="8" w:space="0" w:color="4F81BD"/>
              <w:right w:val="single" w:sz="8" w:space="0" w:color="4F81BD"/>
            </w:tcBorders>
            <w:shd w:val="clear" w:color="auto" w:fill="4F81BD"/>
            <w:tcMar>
              <w:top w:w="0" w:type="dxa"/>
              <w:left w:w="0" w:type="dxa"/>
              <w:bottom w:w="0" w:type="dxa"/>
              <w:right w:w="0" w:type="dxa"/>
            </w:tcMar>
          </w:tcPr>
          <w:p w14:paraId="29BBC9F4" w14:textId="5ED7CF92" w:rsidR="0004482C" w:rsidRPr="004A0C12" w:rsidRDefault="0004482C" w:rsidP="0004482C">
            <w:pPr>
              <w:spacing w:after="0" w:line="240" w:lineRule="auto"/>
              <w:jc w:val="center"/>
              <w:rPr>
                <w:rFonts w:ascii="Garamond" w:hAnsi="Garamond"/>
                <w:color w:val="FEFFFE"/>
              </w:rPr>
            </w:pPr>
            <w:r w:rsidRPr="004A0C12">
              <w:rPr>
                <w:rFonts w:ascii="Garamond" w:hAnsi="Garamond"/>
                <w:color w:val="FEFFFE"/>
              </w:rPr>
              <w:lastRenderedPageBreak/>
              <w:t xml:space="preserve">Maryland’s </w:t>
            </w:r>
            <w:r w:rsidR="006E3413" w:rsidRPr="004A0C12">
              <w:rPr>
                <w:rFonts w:ascii="Garamond" w:hAnsi="Garamond"/>
                <w:color w:val="FEFFFE"/>
              </w:rPr>
              <w:t xml:space="preserve">9 </w:t>
            </w:r>
            <w:r w:rsidR="008526E8" w:rsidRPr="004A0C12">
              <w:rPr>
                <w:rFonts w:ascii="Garamond" w:hAnsi="Garamond"/>
                <w:color w:val="FEFFFE"/>
              </w:rPr>
              <w:t>WIOA Workg</w:t>
            </w:r>
            <w:r w:rsidRPr="004A0C12">
              <w:rPr>
                <w:rFonts w:ascii="Garamond" w:hAnsi="Garamond"/>
                <w:color w:val="FEFFFE"/>
              </w:rPr>
              <w:t>roups</w:t>
            </w:r>
          </w:p>
        </w:tc>
      </w:tr>
      <w:tr w:rsidR="0004482C" w:rsidRPr="004A0C12" w14:paraId="7BF75E11" w14:textId="77777777" w:rsidTr="001A1E04">
        <w:trPr>
          <w:cantSplit/>
          <w:trHeight w:val="340"/>
          <w:jc w:val="center"/>
        </w:trPr>
        <w:tc>
          <w:tcPr>
            <w:tcW w:w="585" w:type="dxa"/>
            <w:tcBorders>
              <w:top w:val="single" w:sz="8" w:space="0" w:color="4F81BD"/>
              <w:left w:val="single" w:sz="8" w:space="0" w:color="4F81BD"/>
              <w:bottom w:val="single" w:sz="8" w:space="0" w:color="4F81BD"/>
              <w:right w:val="none" w:sz="16" w:space="0" w:color="000000"/>
            </w:tcBorders>
            <w:shd w:val="clear" w:color="auto" w:fill="auto"/>
            <w:tcMar>
              <w:top w:w="0" w:type="dxa"/>
              <w:left w:w="0" w:type="dxa"/>
              <w:bottom w:w="0" w:type="dxa"/>
              <w:right w:w="0" w:type="dxa"/>
            </w:tcMar>
          </w:tcPr>
          <w:p w14:paraId="2C0CE840" w14:textId="77777777" w:rsidR="0004482C" w:rsidRPr="004A0C12" w:rsidRDefault="0004482C" w:rsidP="006D2B26">
            <w:pPr>
              <w:spacing w:after="0" w:line="240" w:lineRule="auto"/>
              <w:jc w:val="both"/>
              <w:rPr>
                <w:rFonts w:ascii="Garamond" w:hAnsi="Garamond"/>
              </w:rPr>
            </w:pPr>
          </w:p>
        </w:tc>
        <w:tc>
          <w:tcPr>
            <w:tcW w:w="5481" w:type="dxa"/>
            <w:tcBorders>
              <w:top w:val="single" w:sz="8" w:space="0" w:color="4F81BD"/>
              <w:left w:val="none" w:sz="16" w:space="0" w:color="000000"/>
              <w:bottom w:val="single" w:sz="8" w:space="0" w:color="4F81BD"/>
              <w:right w:val="single" w:sz="8" w:space="0" w:color="4F81BD"/>
            </w:tcBorders>
            <w:shd w:val="clear" w:color="auto" w:fill="auto"/>
            <w:tcMar>
              <w:top w:w="0" w:type="dxa"/>
              <w:left w:w="0" w:type="dxa"/>
              <w:bottom w:w="0" w:type="dxa"/>
              <w:right w:w="0" w:type="dxa"/>
            </w:tcMar>
          </w:tcPr>
          <w:p w14:paraId="0636B62C" w14:textId="77777777" w:rsidR="0004482C" w:rsidRPr="004A0C12" w:rsidRDefault="0004482C" w:rsidP="0004482C">
            <w:pPr>
              <w:spacing w:after="0" w:line="240" w:lineRule="auto"/>
              <w:jc w:val="both"/>
              <w:rPr>
                <w:rFonts w:ascii="Garamond" w:hAnsi="Garamond"/>
              </w:rPr>
            </w:pPr>
            <w:r w:rsidRPr="004A0C12">
              <w:rPr>
                <w:rFonts w:ascii="Garamond" w:hAnsi="Garamond"/>
              </w:rPr>
              <w:t>Governance</w:t>
            </w:r>
          </w:p>
        </w:tc>
      </w:tr>
      <w:tr w:rsidR="0004482C" w:rsidRPr="004A0C12" w14:paraId="0B5E9BD4" w14:textId="77777777" w:rsidTr="001A1E04">
        <w:trPr>
          <w:cantSplit/>
          <w:trHeight w:val="340"/>
          <w:jc w:val="center"/>
        </w:trPr>
        <w:tc>
          <w:tcPr>
            <w:tcW w:w="585" w:type="dxa"/>
            <w:tcBorders>
              <w:top w:val="single" w:sz="8" w:space="0" w:color="4F81BD"/>
              <w:left w:val="single" w:sz="8" w:space="0" w:color="4F81BD"/>
              <w:bottom w:val="single" w:sz="8" w:space="0" w:color="4F81BD"/>
              <w:right w:val="none" w:sz="16" w:space="0" w:color="000000"/>
            </w:tcBorders>
            <w:shd w:val="clear" w:color="auto" w:fill="auto"/>
            <w:tcMar>
              <w:top w:w="0" w:type="dxa"/>
              <w:left w:w="0" w:type="dxa"/>
              <w:bottom w:w="0" w:type="dxa"/>
              <w:right w:w="0" w:type="dxa"/>
            </w:tcMar>
          </w:tcPr>
          <w:p w14:paraId="5BE0B932" w14:textId="77777777" w:rsidR="0004482C" w:rsidRPr="004A0C12" w:rsidRDefault="0004482C" w:rsidP="006D2B26">
            <w:pPr>
              <w:spacing w:after="0" w:line="240" w:lineRule="auto"/>
              <w:jc w:val="both"/>
              <w:rPr>
                <w:rFonts w:ascii="Garamond" w:hAnsi="Garamond"/>
              </w:rPr>
            </w:pPr>
          </w:p>
        </w:tc>
        <w:tc>
          <w:tcPr>
            <w:tcW w:w="5481" w:type="dxa"/>
            <w:tcBorders>
              <w:top w:val="single" w:sz="8" w:space="0" w:color="4F81BD"/>
              <w:left w:val="none" w:sz="16" w:space="0" w:color="000000"/>
              <w:bottom w:val="single" w:sz="8" w:space="0" w:color="4F81BD"/>
              <w:right w:val="single" w:sz="8" w:space="0" w:color="4F81BD"/>
            </w:tcBorders>
            <w:shd w:val="clear" w:color="auto" w:fill="auto"/>
            <w:tcMar>
              <w:top w:w="0" w:type="dxa"/>
              <w:left w:w="0" w:type="dxa"/>
              <w:bottom w:w="0" w:type="dxa"/>
              <w:right w:w="0" w:type="dxa"/>
            </w:tcMar>
          </w:tcPr>
          <w:p w14:paraId="572D994A" w14:textId="77777777" w:rsidR="0004482C" w:rsidRPr="004A0C12" w:rsidRDefault="0004482C" w:rsidP="0004482C">
            <w:pPr>
              <w:spacing w:after="0" w:line="240" w:lineRule="auto"/>
              <w:jc w:val="both"/>
              <w:rPr>
                <w:rFonts w:ascii="Garamond" w:hAnsi="Garamond"/>
              </w:rPr>
            </w:pPr>
            <w:r w:rsidRPr="004A0C12">
              <w:rPr>
                <w:rFonts w:ascii="Garamond" w:hAnsi="Garamond"/>
              </w:rPr>
              <w:t>Policy</w:t>
            </w:r>
          </w:p>
        </w:tc>
      </w:tr>
      <w:tr w:rsidR="0004482C" w:rsidRPr="004A0C12" w14:paraId="17E9CC08" w14:textId="77777777" w:rsidTr="001A1E04">
        <w:trPr>
          <w:cantSplit/>
          <w:trHeight w:val="340"/>
          <w:jc w:val="center"/>
        </w:trPr>
        <w:tc>
          <w:tcPr>
            <w:tcW w:w="585" w:type="dxa"/>
            <w:tcBorders>
              <w:top w:val="single" w:sz="8" w:space="0" w:color="4F81BD"/>
              <w:left w:val="single" w:sz="8" w:space="0" w:color="4F81BD"/>
              <w:bottom w:val="single" w:sz="8" w:space="0" w:color="4F81BD"/>
              <w:right w:val="none" w:sz="16" w:space="0" w:color="000000"/>
            </w:tcBorders>
            <w:shd w:val="clear" w:color="auto" w:fill="auto"/>
            <w:tcMar>
              <w:top w:w="0" w:type="dxa"/>
              <w:left w:w="0" w:type="dxa"/>
              <w:bottom w:w="0" w:type="dxa"/>
              <w:right w:w="0" w:type="dxa"/>
            </w:tcMar>
          </w:tcPr>
          <w:p w14:paraId="478CD5BA" w14:textId="77777777" w:rsidR="0004482C" w:rsidRPr="004A0C12" w:rsidRDefault="0004482C" w:rsidP="006D2B26">
            <w:pPr>
              <w:spacing w:after="0" w:line="240" w:lineRule="auto"/>
              <w:jc w:val="both"/>
              <w:rPr>
                <w:rFonts w:ascii="Garamond" w:hAnsi="Garamond"/>
              </w:rPr>
            </w:pPr>
          </w:p>
        </w:tc>
        <w:tc>
          <w:tcPr>
            <w:tcW w:w="5481" w:type="dxa"/>
            <w:tcBorders>
              <w:top w:val="single" w:sz="8" w:space="0" w:color="4F81BD"/>
              <w:left w:val="none" w:sz="16" w:space="0" w:color="000000"/>
              <w:bottom w:val="single" w:sz="8" w:space="0" w:color="4F81BD"/>
              <w:right w:val="single" w:sz="8" w:space="0" w:color="4F81BD"/>
            </w:tcBorders>
            <w:shd w:val="clear" w:color="auto" w:fill="auto"/>
            <w:tcMar>
              <w:top w:w="0" w:type="dxa"/>
              <w:left w:w="0" w:type="dxa"/>
              <w:bottom w:w="0" w:type="dxa"/>
              <w:right w:w="0" w:type="dxa"/>
            </w:tcMar>
          </w:tcPr>
          <w:p w14:paraId="00F025E1" w14:textId="77777777" w:rsidR="0004482C" w:rsidRPr="004A0C12" w:rsidRDefault="0004482C" w:rsidP="0004482C">
            <w:pPr>
              <w:spacing w:after="0" w:line="240" w:lineRule="auto"/>
              <w:jc w:val="both"/>
              <w:rPr>
                <w:rFonts w:ascii="Garamond" w:hAnsi="Garamond"/>
              </w:rPr>
            </w:pPr>
            <w:r w:rsidRPr="004A0C12">
              <w:rPr>
                <w:rFonts w:ascii="Garamond" w:hAnsi="Garamond"/>
              </w:rPr>
              <w:t>Fiscal Accountability</w:t>
            </w:r>
          </w:p>
        </w:tc>
      </w:tr>
      <w:tr w:rsidR="0004482C" w:rsidRPr="004A0C12" w14:paraId="50741123" w14:textId="77777777" w:rsidTr="001A1E04">
        <w:trPr>
          <w:cantSplit/>
          <w:trHeight w:val="340"/>
          <w:jc w:val="center"/>
        </w:trPr>
        <w:tc>
          <w:tcPr>
            <w:tcW w:w="585" w:type="dxa"/>
            <w:tcBorders>
              <w:top w:val="single" w:sz="8" w:space="0" w:color="4F81BD"/>
              <w:left w:val="single" w:sz="8" w:space="0" w:color="4F81BD"/>
              <w:bottom w:val="single" w:sz="8" w:space="0" w:color="4F81BD"/>
              <w:right w:val="none" w:sz="16" w:space="0" w:color="000000"/>
            </w:tcBorders>
            <w:shd w:val="clear" w:color="auto" w:fill="auto"/>
            <w:tcMar>
              <w:top w:w="0" w:type="dxa"/>
              <w:left w:w="0" w:type="dxa"/>
              <w:bottom w:w="0" w:type="dxa"/>
              <w:right w:w="0" w:type="dxa"/>
            </w:tcMar>
          </w:tcPr>
          <w:p w14:paraId="7F451796" w14:textId="77777777" w:rsidR="0004482C" w:rsidRPr="004A0C12" w:rsidRDefault="0004482C" w:rsidP="006D2B26">
            <w:pPr>
              <w:spacing w:after="0" w:line="240" w:lineRule="auto"/>
              <w:jc w:val="both"/>
              <w:rPr>
                <w:rFonts w:ascii="Garamond" w:hAnsi="Garamond"/>
              </w:rPr>
            </w:pPr>
          </w:p>
        </w:tc>
        <w:tc>
          <w:tcPr>
            <w:tcW w:w="5481" w:type="dxa"/>
            <w:tcBorders>
              <w:top w:val="single" w:sz="8" w:space="0" w:color="4F81BD"/>
              <w:left w:val="none" w:sz="16" w:space="0" w:color="000000"/>
              <w:bottom w:val="single" w:sz="8" w:space="0" w:color="4F81BD"/>
              <w:right w:val="single" w:sz="8" w:space="0" w:color="4F81BD"/>
            </w:tcBorders>
            <w:shd w:val="clear" w:color="auto" w:fill="auto"/>
            <w:tcMar>
              <w:top w:w="0" w:type="dxa"/>
              <w:left w:w="0" w:type="dxa"/>
              <w:bottom w:w="0" w:type="dxa"/>
              <w:right w:w="0" w:type="dxa"/>
            </w:tcMar>
          </w:tcPr>
          <w:p w14:paraId="18A6C22E" w14:textId="77777777" w:rsidR="0004482C" w:rsidRPr="004A0C12" w:rsidRDefault="0004482C" w:rsidP="0004482C">
            <w:pPr>
              <w:spacing w:after="0" w:line="240" w:lineRule="auto"/>
              <w:jc w:val="both"/>
              <w:rPr>
                <w:rFonts w:ascii="Garamond" w:hAnsi="Garamond"/>
              </w:rPr>
            </w:pPr>
            <w:r w:rsidRPr="004A0C12">
              <w:rPr>
                <w:rFonts w:ascii="Garamond" w:hAnsi="Garamond"/>
              </w:rPr>
              <w:t>American Job Center Operations &amp; Partnerships</w:t>
            </w:r>
          </w:p>
        </w:tc>
      </w:tr>
      <w:tr w:rsidR="0004482C" w:rsidRPr="004A0C12" w14:paraId="260AB3B3" w14:textId="77777777" w:rsidTr="001A1E04">
        <w:trPr>
          <w:cantSplit/>
          <w:trHeight w:val="340"/>
          <w:jc w:val="center"/>
        </w:trPr>
        <w:tc>
          <w:tcPr>
            <w:tcW w:w="585" w:type="dxa"/>
            <w:tcBorders>
              <w:top w:val="single" w:sz="8" w:space="0" w:color="4F81BD"/>
              <w:left w:val="single" w:sz="8" w:space="0" w:color="4F81BD"/>
              <w:bottom w:val="single" w:sz="8" w:space="0" w:color="4F81BD"/>
              <w:right w:val="none" w:sz="16" w:space="0" w:color="000000"/>
            </w:tcBorders>
            <w:shd w:val="clear" w:color="auto" w:fill="auto"/>
            <w:tcMar>
              <w:top w:w="0" w:type="dxa"/>
              <w:left w:w="0" w:type="dxa"/>
              <w:bottom w:w="0" w:type="dxa"/>
              <w:right w:w="0" w:type="dxa"/>
            </w:tcMar>
          </w:tcPr>
          <w:p w14:paraId="0FC24EEC" w14:textId="77777777" w:rsidR="0004482C" w:rsidRPr="004A0C12" w:rsidRDefault="0004482C" w:rsidP="006D2B26">
            <w:pPr>
              <w:spacing w:after="0" w:line="240" w:lineRule="auto"/>
              <w:jc w:val="both"/>
              <w:rPr>
                <w:rFonts w:ascii="Garamond" w:hAnsi="Garamond"/>
              </w:rPr>
            </w:pPr>
          </w:p>
        </w:tc>
        <w:tc>
          <w:tcPr>
            <w:tcW w:w="5481" w:type="dxa"/>
            <w:tcBorders>
              <w:top w:val="single" w:sz="8" w:space="0" w:color="4F81BD"/>
              <w:left w:val="none" w:sz="16" w:space="0" w:color="000000"/>
              <w:bottom w:val="single" w:sz="8" w:space="0" w:color="4F81BD"/>
              <w:right w:val="single" w:sz="8" w:space="0" w:color="4F81BD"/>
            </w:tcBorders>
            <w:shd w:val="clear" w:color="auto" w:fill="auto"/>
            <w:tcMar>
              <w:top w:w="0" w:type="dxa"/>
              <w:left w:w="0" w:type="dxa"/>
              <w:bottom w:w="0" w:type="dxa"/>
              <w:right w:w="0" w:type="dxa"/>
            </w:tcMar>
          </w:tcPr>
          <w:p w14:paraId="2C5A7A18" w14:textId="77777777" w:rsidR="0004482C" w:rsidRPr="004A0C12" w:rsidRDefault="0004482C" w:rsidP="0004482C">
            <w:pPr>
              <w:spacing w:after="0" w:line="240" w:lineRule="auto"/>
              <w:jc w:val="both"/>
              <w:rPr>
                <w:rFonts w:ascii="Garamond" w:hAnsi="Garamond"/>
              </w:rPr>
            </w:pPr>
            <w:r w:rsidRPr="004A0C12">
              <w:rPr>
                <w:rFonts w:ascii="Garamond" w:hAnsi="Garamond"/>
              </w:rPr>
              <w:t>Youth Services &amp; Partnerships</w:t>
            </w:r>
          </w:p>
        </w:tc>
      </w:tr>
      <w:tr w:rsidR="0004482C" w:rsidRPr="004A0C12" w14:paraId="4DBD4CC5" w14:textId="77777777" w:rsidTr="001A1E04">
        <w:trPr>
          <w:cantSplit/>
          <w:trHeight w:val="340"/>
          <w:jc w:val="center"/>
        </w:trPr>
        <w:tc>
          <w:tcPr>
            <w:tcW w:w="585" w:type="dxa"/>
            <w:tcBorders>
              <w:top w:val="single" w:sz="8" w:space="0" w:color="4F81BD"/>
              <w:left w:val="single" w:sz="8" w:space="0" w:color="4F81BD"/>
              <w:bottom w:val="single" w:sz="8" w:space="0" w:color="4F81BD"/>
              <w:right w:val="none" w:sz="16" w:space="0" w:color="000000"/>
            </w:tcBorders>
            <w:shd w:val="clear" w:color="auto" w:fill="auto"/>
            <w:tcMar>
              <w:top w:w="0" w:type="dxa"/>
              <w:left w:w="0" w:type="dxa"/>
              <w:bottom w:w="0" w:type="dxa"/>
              <w:right w:w="0" w:type="dxa"/>
            </w:tcMar>
          </w:tcPr>
          <w:p w14:paraId="039CB0B9" w14:textId="77777777" w:rsidR="0004482C" w:rsidRPr="004A0C12" w:rsidRDefault="0004482C" w:rsidP="006D2B26">
            <w:pPr>
              <w:spacing w:after="0" w:line="240" w:lineRule="auto"/>
              <w:jc w:val="both"/>
              <w:rPr>
                <w:rFonts w:ascii="Garamond" w:hAnsi="Garamond"/>
              </w:rPr>
            </w:pPr>
          </w:p>
        </w:tc>
        <w:tc>
          <w:tcPr>
            <w:tcW w:w="5481" w:type="dxa"/>
            <w:tcBorders>
              <w:top w:val="single" w:sz="8" w:space="0" w:color="4F81BD"/>
              <w:left w:val="none" w:sz="16" w:space="0" w:color="000000"/>
              <w:bottom w:val="single" w:sz="8" w:space="0" w:color="4F81BD"/>
              <w:right w:val="single" w:sz="8" w:space="0" w:color="4F81BD"/>
            </w:tcBorders>
            <w:shd w:val="clear" w:color="auto" w:fill="auto"/>
            <w:tcMar>
              <w:top w:w="0" w:type="dxa"/>
              <w:left w:w="0" w:type="dxa"/>
              <w:bottom w:w="0" w:type="dxa"/>
              <w:right w:w="0" w:type="dxa"/>
            </w:tcMar>
          </w:tcPr>
          <w:p w14:paraId="2D3462C1" w14:textId="77777777" w:rsidR="0004482C" w:rsidRPr="004A0C12" w:rsidRDefault="0004482C" w:rsidP="0004482C">
            <w:pPr>
              <w:spacing w:after="0" w:line="240" w:lineRule="auto"/>
              <w:jc w:val="both"/>
              <w:rPr>
                <w:rFonts w:ascii="Garamond" w:hAnsi="Garamond"/>
              </w:rPr>
            </w:pPr>
            <w:r w:rsidRPr="004A0C12">
              <w:rPr>
                <w:rFonts w:ascii="Garamond" w:hAnsi="Garamond"/>
              </w:rPr>
              <w:t>Business &amp; Industry Partnerships</w:t>
            </w:r>
          </w:p>
        </w:tc>
      </w:tr>
      <w:tr w:rsidR="0004482C" w:rsidRPr="004A0C12" w14:paraId="07A28789" w14:textId="77777777" w:rsidTr="001A1E04">
        <w:trPr>
          <w:cantSplit/>
          <w:trHeight w:val="340"/>
          <w:jc w:val="center"/>
        </w:trPr>
        <w:tc>
          <w:tcPr>
            <w:tcW w:w="585" w:type="dxa"/>
            <w:tcBorders>
              <w:top w:val="single" w:sz="8" w:space="0" w:color="4F81BD"/>
              <w:left w:val="single" w:sz="8" w:space="0" w:color="4F81BD"/>
              <w:bottom w:val="single" w:sz="8" w:space="0" w:color="4F81BD"/>
              <w:right w:val="none" w:sz="16" w:space="0" w:color="000000"/>
            </w:tcBorders>
            <w:shd w:val="clear" w:color="auto" w:fill="auto"/>
            <w:tcMar>
              <w:top w:w="0" w:type="dxa"/>
              <w:left w:w="0" w:type="dxa"/>
              <w:bottom w:w="0" w:type="dxa"/>
              <w:right w:w="0" w:type="dxa"/>
            </w:tcMar>
          </w:tcPr>
          <w:p w14:paraId="7237066B" w14:textId="77777777" w:rsidR="0004482C" w:rsidRPr="004A0C12" w:rsidRDefault="0004482C" w:rsidP="006D2B26">
            <w:pPr>
              <w:spacing w:after="0" w:line="240" w:lineRule="auto"/>
              <w:jc w:val="both"/>
              <w:rPr>
                <w:rFonts w:ascii="Garamond" w:hAnsi="Garamond"/>
              </w:rPr>
            </w:pPr>
          </w:p>
        </w:tc>
        <w:tc>
          <w:tcPr>
            <w:tcW w:w="5481" w:type="dxa"/>
            <w:tcBorders>
              <w:top w:val="single" w:sz="8" w:space="0" w:color="4F81BD"/>
              <w:left w:val="none" w:sz="16" w:space="0" w:color="000000"/>
              <w:bottom w:val="single" w:sz="8" w:space="0" w:color="4F81BD"/>
              <w:right w:val="single" w:sz="8" w:space="0" w:color="4F81BD"/>
            </w:tcBorders>
            <w:shd w:val="clear" w:color="auto" w:fill="auto"/>
            <w:tcMar>
              <w:top w:w="0" w:type="dxa"/>
              <w:left w:w="0" w:type="dxa"/>
              <w:bottom w:w="0" w:type="dxa"/>
              <w:right w:w="0" w:type="dxa"/>
            </w:tcMar>
          </w:tcPr>
          <w:p w14:paraId="43FE2371" w14:textId="77777777" w:rsidR="0004482C" w:rsidRPr="004A0C12" w:rsidRDefault="0004482C" w:rsidP="0004482C">
            <w:pPr>
              <w:spacing w:after="0" w:line="240" w:lineRule="auto"/>
              <w:jc w:val="both"/>
              <w:rPr>
                <w:rFonts w:ascii="Garamond" w:hAnsi="Garamond"/>
              </w:rPr>
            </w:pPr>
            <w:r w:rsidRPr="004A0C12">
              <w:rPr>
                <w:rFonts w:ascii="Garamond" w:hAnsi="Garamond"/>
              </w:rPr>
              <w:t>Performance Accountability</w:t>
            </w:r>
          </w:p>
        </w:tc>
      </w:tr>
      <w:tr w:rsidR="0004482C" w:rsidRPr="004A0C12" w14:paraId="5997CFBC" w14:textId="77777777" w:rsidTr="001A1E04">
        <w:trPr>
          <w:cantSplit/>
          <w:trHeight w:val="340"/>
          <w:jc w:val="center"/>
        </w:trPr>
        <w:tc>
          <w:tcPr>
            <w:tcW w:w="585" w:type="dxa"/>
            <w:tcBorders>
              <w:top w:val="single" w:sz="8" w:space="0" w:color="4F81BD"/>
              <w:left w:val="single" w:sz="8" w:space="0" w:color="4F81BD"/>
              <w:bottom w:val="single" w:sz="8" w:space="0" w:color="4F81BD"/>
              <w:right w:val="none" w:sz="16" w:space="0" w:color="000000"/>
            </w:tcBorders>
            <w:shd w:val="clear" w:color="auto" w:fill="auto"/>
            <w:tcMar>
              <w:top w:w="0" w:type="dxa"/>
              <w:left w:w="0" w:type="dxa"/>
              <w:bottom w:w="0" w:type="dxa"/>
              <w:right w:w="0" w:type="dxa"/>
            </w:tcMar>
          </w:tcPr>
          <w:p w14:paraId="01365250" w14:textId="77777777" w:rsidR="0004482C" w:rsidRPr="004A0C12" w:rsidRDefault="0004482C" w:rsidP="006D2B26">
            <w:pPr>
              <w:spacing w:after="0" w:line="240" w:lineRule="auto"/>
              <w:jc w:val="both"/>
              <w:rPr>
                <w:rFonts w:ascii="Garamond" w:hAnsi="Garamond"/>
              </w:rPr>
            </w:pPr>
          </w:p>
        </w:tc>
        <w:tc>
          <w:tcPr>
            <w:tcW w:w="5481" w:type="dxa"/>
            <w:tcBorders>
              <w:top w:val="single" w:sz="8" w:space="0" w:color="4F81BD"/>
              <w:left w:val="none" w:sz="16" w:space="0" w:color="000000"/>
              <w:bottom w:val="single" w:sz="8" w:space="0" w:color="4F81BD"/>
              <w:right w:val="single" w:sz="8" w:space="0" w:color="4F81BD"/>
            </w:tcBorders>
            <w:shd w:val="clear" w:color="auto" w:fill="auto"/>
            <w:tcMar>
              <w:top w:w="0" w:type="dxa"/>
              <w:left w:w="0" w:type="dxa"/>
              <w:bottom w:w="0" w:type="dxa"/>
              <w:right w:w="0" w:type="dxa"/>
            </w:tcMar>
          </w:tcPr>
          <w:p w14:paraId="1C007BBD" w14:textId="77777777" w:rsidR="0004482C" w:rsidRPr="004A0C12" w:rsidRDefault="0004482C" w:rsidP="0004482C">
            <w:pPr>
              <w:spacing w:after="0" w:line="240" w:lineRule="auto"/>
              <w:jc w:val="both"/>
              <w:rPr>
                <w:rFonts w:ascii="Garamond" w:hAnsi="Garamond"/>
              </w:rPr>
            </w:pPr>
            <w:r w:rsidRPr="004A0C12">
              <w:rPr>
                <w:rFonts w:ascii="Garamond" w:hAnsi="Garamond"/>
              </w:rPr>
              <w:t xml:space="preserve">Labor Market Information &amp; Sector Strategies </w:t>
            </w:r>
          </w:p>
        </w:tc>
      </w:tr>
      <w:tr w:rsidR="0004482C" w:rsidRPr="004A0C12" w14:paraId="3D8D436B" w14:textId="77777777" w:rsidTr="001A1E04">
        <w:trPr>
          <w:cantSplit/>
          <w:trHeight w:val="340"/>
          <w:jc w:val="center"/>
        </w:trPr>
        <w:tc>
          <w:tcPr>
            <w:tcW w:w="585" w:type="dxa"/>
            <w:tcBorders>
              <w:top w:val="single" w:sz="8" w:space="0" w:color="4F81BD"/>
              <w:left w:val="single" w:sz="8" w:space="0" w:color="4F81BD"/>
              <w:bottom w:val="single" w:sz="8" w:space="0" w:color="4F81BD"/>
              <w:right w:val="none" w:sz="16" w:space="0" w:color="000000"/>
            </w:tcBorders>
            <w:shd w:val="clear" w:color="auto" w:fill="auto"/>
            <w:tcMar>
              <w:top w:w="0" w:type="dxa"/>
              <w:left w:w="0" w:type="dxa"/>
              <w:bottom w:w="0" w:type="dxa"/>
              <w:right w:w="0" w:type="dxa"/>
            </w:tcMar>
          </w:tcPr>
          <w:p w14:paraId="30094EFB" w14:textId="77777777" w:rsidR="0004482C" w:rsidRPr="004A0C12" w:rsidRDefault="0004482C" w:rsidP="006D2B26">
            <w:pPr>
              <w:spacing w:after="0" w:line="240" w:lineRule="auto"/>
              <w:jc w:val="both"/>
              <w:rPr>
                <w:rFonts w:ascii="Garamond" w:hAnsi="Garamond"/>
              </w:rPr>
            </w:pPr>
          </w:p>
        </w:tc>
        <w:tc>
          <w:tcPr>
            <w:tcW w:w="5481" w:type="dxa"/>
            <w:tcBorders>
              <w:top w:val="single" w:sz="8" w:space="0" w:color="4F81BD"/>
              <w:left w:val="none" w:sz="16" w:space="0" w:color="000000"/>
              <w:bottom w:val="single" w:sz="8" w:space="0" w:color="4F81BD"/>
              <w:right w:val="single" w:sz="8" w:space="0" w:color="4F81BD"/>
            </w:tcBorders>
            <w:shd w:val="clear" w:color="auto" w:fill="auto"/>
            <w:tcMar>
              <w:top w:w="0" w:type="dxa"/>
              <w:left w:w="0" w:type="dxa"/>
              <w:bottom w:w="0" w:type="dxa"/>
              <w:right w:w="0" w:type="dxa"/>
            </w:tcMar>
          </w:tcPr>
          <w:p w14:paraId="7027AFB9" w14:textId="77777777" w:rsidR="0004482C" w:rsidRPr="004A0C12" w:rsidRDefault="0004482C" w:rsidP="0004482C">
            <w:pPr>
              <w:spacing w:after="0" w:line="240" w:lineRule="auto"/>
              <w:jc w:val="both"/>
              <w:rPr>
                <w:rFonts w:ascii="Garamond" w:hAnsi="Garamond"/>
              </w:rPr>
            </w:pPr>
            <w:r w:rsidRPr="004A0C12">
              <w:rPr>
                <w:rFonts w:ascii="Garamond" w:hAnsi="Garamond"/>
              </w:rPr>
              <w:t>Adult Education &amp; Career Pathways</w:t>
            </w:r>
          </w:p>
        </w:tc>
      </w:tr>
    </w:tbl>
    <w:p w14:paraId="6F603968" w14:textId="77777777" w:rsidR="0004482C" w:rsidRPr="004A0C12" w:rsidRDefault="0004482C" w:rsidP="0004482C">
      <w:pPr>
        <w:pStyle w:val="FreeForm"/>
        <w:jc w:val="center"/>
        <w:rPr>
          <w:rFonts w:ascii="Garamond" w:hAnsi="Garamond"/>
          <w:sz w:val="22"/>
          <w:szCs w:val="22"/>
        </w:rPr>
      </w:pPr>
    </w:p>
    <w:p w14:paraId="59874D4E" w14:textId="77777777" w:rsidR="0004482C" w:rsidRPr="004A0C12" w:rsidRDefault="0004482C" w:rsidP="0004482C">
      <w:pPr>
        <w:spacing w:after="0" w:line="240" w:lineRule="auto"/>
        <w:jc w:val="both"/>
        <w:rPr>
          <w:rFonts w:ascii="Garamond" w:hAnsi="Garamond"/>
        </w:rPr>
      </w:pPr>
    </w:p>
    <w:p w14:paraId="36AD935C" w14:textId="77777777" w:rsidR="0004482C" w:rsidRPr="004A0C12" w:rsidRDefault="0004482C" w:rsidP="0004482C">
      <w:pPr>
        <w:spacing w:after="0" w:line="240" w:lineRule="auto"/>
        <w:jc w:val="both"/>
        <w:rPr>
          <w:rFonts w:ascii="Garamond" w:hAnsi="Garamond"/>
        </w:rPr>
      </w:pPr>
      <w:r w:rsidRPr="004A0C12">
        <w:rPr>
          <w:rFonts w:ascii="Garamond" w:hAnsi="Garamond"/>
        </w:rPr>
        <w:t xml:space="preserve">The following chart lists the key goals and organizations represented for each of the 9 WIOA Work Groups: </w:t>
      </w:r>
    </w:p>
    <w:p w14:paraId="3BFB0B16" w14:textId="77777777" w:rsidR="0004482C" w:rsidRPr="004A0C12" w:rsidRDefault="0004482C" w:rsidP="0004482C">
      <w:pPr>
        <w:spacing w:after="0" w:line="240" w:lineRule="auto"/>
        <w:jc w:val="both"/>
        <w:rPr>
          <w:rFonts w:ascii="Garamond" w:hAnsi="Garamond"/>
        </w:rPr>
      </w:pPr>
    </w:p>
    <w:tbl>
      <w:tblPr>
        <w:tblStyle w:val="PlainTable11"/>
        <w:tblW w:w="0" w:type="auto"/>
        <w:tblLayout w:type="fixed"/>
        <w:tblLook w:val="0000" w:firstRow="0" w:lastRow="0" w:firstColumn="0" w:lastColumn="0" w:noHBand="0" w:noVBand="0"/>
        <w:tblCaption w:val="WIOA Workgroups"/>
        <w:tblDescription w:val="This is a description of the 9 WIOA workgroups: Governance, Policy&#10;Fiscal Accountability, American Job Center Operations &amp; Partnerships,Youth Services &amp; Partnerships, Business &amp; Industry Partnerships&#10;Performance Accountability, Labor Market Information &amp; Sector Strategies, Adult Education &amp; Career Pathways&#10;"/>
      </w:tblPr>
      <w:tblGrid>
        <w:gridCol w:w="1455"/>
        <w:gridCol w:w="4755"/>
        <w:gridCol w:w="4785"/>
      </w:tblGrid>
      <w:tr w:rsidR="0004482C" w:rsidRPr="004A0C12" w14:paraId="1431E589" w14:textId="77777777" w:rsidTr="00923B2F">
        <w:trPr>
          <w:trHeight w:val="400"/>
          <w:tblHeader/>
        </w:trPr>
        <w:tc>
          <w:tcPr>
            <w:cnfStyle w:val="000010000000" w:firstRow="0" w:lastRow="0" w:firstColumn="0" w:lastColumn="0" w:oddVBand="1" w:evenVBand="0" w:oddHBand="0" w:evenHBand="0" w:firstRowFirstColumn="0" w:firstRowLastColumn="0" w:lastRowFirstColumn="0" w:lastRowLastColumn="0"/>
            <w:tcW w:w="1455" w:type="dxa"/>
          </w:tcPr>
          <w:p w14:paraId="0CD0414E" w14:textId="77777777" w:rsidR="0004482C" w:rsidRPr="004A0C12" w:rsidRDefault="008526E8" w:rsidP="0004482C">
            <w:pPr>
              <w:jc w:val="center"/>
              <w:rPr>
                <w:rFonts w:ascii="Garamond" w:hAnsi="Garamond"/>
                <w:sz w:val="22"/>
                <w:szCs w:val="22"/>
              </w:rPr>
            </w:pPr>
            <w:r w:rsidRPr="004A0C12">
              <w:rPr>
                <w:rFonts w:ascii="Garamond" w:hAnsi="Garamond"/>
                <w:sz w:val="22"/>
                <w:szCs w:val="22"/>
              </w:rPr>
              <w:t>WIOA Workg</w:t>
            </w:r>
            <w:r w:rsidR="0004482C" w:rsidRPr="004A0C12">
              <w:rPr>
                <w:rFonts w:ascii="Garamond" w:hAnsi="Garamond"/>
                <w:sz w:val="22"/>
                <w:szCs w:val="22"/>
              </w:rPr>
              <w:t>roup</w:t>
            </w:r>
          </w:p>
          <w:p w14:paraId="2C65F6C6" w14:textId="77777777" w:rsidR="00B342BA" w:rsidRPr="004A0C12" w:rsidRDefault="00B342BA" w:rsidP="0004482C">
            <w:pPr>
              <w:jc w:val="center"/>
              <w:rPr>
                <w:rFonts w:ascii="Garamond" w:hAnsi="Garamond"/>
                <w:sz w:val="22"/>
                <w:szCs w:val="22"/>
              </w:rPr>
            </w:pPr>
          </w:p>
          <w:p w14:paraId="28E51C97" w14:textId="4C993253" w:rsidR="00B342BA" w:rsidRPr="004A0C12" w:rsidRDefault="00B342BA" w:rsidP="0004482C">
            <w:pPr>
              <w:jc w:val="center"/>
              <w:rPr>
                <w:rFonts w:ascii="Garamond" w:hAnsi="Garamond"/>
                <w:sz w:val="22"/>
                <w:szCs w:val="22"/>
              </w:rPr>
            </w:pPr>
          </w:p>
        </w:tc>
        <w:tc>
          <w:tcPr>
            <w:tcW w:w="4755" w:type="dxa"/>
          </w:tcPr>
          <w:p w14:paraId="78869F46" w14:textId="77777777" w:rsidR="0004482C" w:rsidRPr="004A0C12" w:rsidRDefault="0004482C" w:rsidP="0004482C">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Key Goals</w:t>
            </w:r>
          </w:p>
        </w:tc>
        <w:tc>
          <w:tcPr>
            <w:cnfStyle w:val="000010000000" w:firstRow="0" w:lastRow="0" w:firstColumn="0" w:lastColumn="0" w:oddVBand="1" w:evenVBand="0" w:oddHBand="0" w:evenHBand="0" w:firstRowFirstColumn="0" w:firstRowLastColumn="0" w:lastRowFirstColumn="0" w:lastRowLastColumn="0"/>
            <w:tcW w:w="4785" w:type="dxa"/>
          </w:tcPr>
          <w:p w14:paraId="5F993923" w14:textId="77777777" w:rsidR="0004482C" w:rsidRPr="004A0C12" w:rsidRDefault="0004482C" w:rsidP="0004482C">
            <w:pPr>
              <w:jc w:val="center"/>
              <w:rPr>
                <w:rFonts w:ascii="Garamond" w:hAnsi="Garamond"/>
                <w:sz w:val="22"/>
                <w:szCs w:val="22"/>
              </w:rPr>
            </w:pPr>
            <w:r w:rsidRPr="004A0C12">
              <w:rPr>
                <w:rFonts w:ascii="Garamond" w:hAnsi="Garamond"/>
                <w:sz w:val="22"/>
                <w:szCs w:val="22"/>
              </w:rPr>
              <w:t>Organizations Represented</w:t>
            </w:r>
          </w:p>
        </w:tc>
      </w:tr>
      <w:tr w:rsidR="0004482C" w:rsidRPr="004A0C12" w14:paraId="37659FA2" w14:textId="77777777" w:rsidTr="003A6336">
        <w:trPr>
          <w:cnfStyle w:val="000000100000" w:firstRow="0" w:lastRow="0" w:firstColumn="0" w:lastColumn="0" w:oddVBand="0" w:evenVBand="0" w:oddHBand="1" w:evenHBand="0" w:firstRowFirstColumn="0" w:firstRowLastColumn="0" w:lastRowFirstColumn="0" w:lastRowLastColumn="0"/>
          <w:trHeight w:val="3400"/>
        </w:trPr>
        <w:tc>
          <w:tcPr>
            <w:cnfStyle w:val="000010000000" w:firstRow="0" w:lastRow="0" w:firstColumn="0" w:lastColumn="0" w:oddVBand="1" w:evenVBand="0" w:oddHBand="0" w:evenHBand="0" w:firstRowFirstColumn="0" w:firstRowLastColumn="0" w:lastRowFirstColumn="0" w:lastRowLastColumn="0"/>
            <w:tcW w:w="1455" w:type="dxa"/>
          </w:tcPr>
          <w:p w14:paraId="593F68DF" w14:textId="77777777" w:rsidR="0004482C" w:rsidRPr="004A0C12" w:rsidRDefault="0004482C" w:rsidP="0004482C">
            <w:pPr>
              <w:jc w:val="both"/>
              <w:rPr>
                <w:rFonts w:ascii="Garamond" w:hAnsi="Garamond"/>
                <w:sz w:val="22"/>
                <w:szCs w:val="22"/>
              </w:rPr>
            </w:pPr>
          </w:p>
          <w:p w14:paraId="70A72460" w14:textId="77777777" w:rsidR="0004482C" w:rsidRPr="004A0C12" w:rsidRDefault="0004482C" w:rsidP="0004482C">
            <w:pPr>
              <w:jc w:val="center"/>
              <w:rPr>
                <w:rFonts w:ascii="Garamond" w:hAnsi="Garamond"/>
                <w:sz w:val="22"/>
                <w:szCs w:val="22"/>
              </w:rPr>
            </w:pPr>
            <w:r w:rsidRPr="004A0C12">
              <w:rPr>
                <w:rFonts w:ascii="Garamond" w:hAnsi="Garamond"/>
                <w:sz w:val="22"/>
                <w:szCs w:val="22"/>
              </w:rPr>
              <w:t>Governance</w:t>
            </w:r>
          </w:p>
        </w:tc>
        <w:tc>
          <w:tcPr>
            <w:tcW w:w="4755" w:type="dxa"/>
          </w:tcPr>
          <w:p w14:paraId="387E77B5" w14:textId="64B35679" w:rsidR="0004482C" w:rsidRPr="004A0C12" w:rsidRDefault="0004482C" w:rsidP="009204FA">
            <w:pPr>
              <w:numPr>
                <w:ilvl w:val="0"/>
                <w:numId w:val="11"/>
              </w:numPr>
              <w:ind w:hanging="360"/>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Review statewide policies and programs to devel</w:t>
            </w:r>
            <w:r w:rsidR="003A6336" w:rsidRPr="004A0C12">
              <w:rPr>
                <w:rFonts w:ascii="Garamond" w:hAnsi="Garamond"/>
                <w:sz w:val="22"/>
                <w:szCs w:val="22"/>
              </w:rPr>
              <w:t>op recommendations on actions Maryland</w:t>
            </w:r>
            <w:r w:rsidRPr="004A0C12">
              <w:rPr>
                <w:rFonts w:ascii="Garamond" w:hAnsi="Garamond"/>
                <w:sz w:val="22"/>
                <w:szCs w:val="22"/>
              </w:rPr>
              <w:t xml:space="preserve"> should take to align core and other</w:t>
            </w:r>
            <w:r w:rsidR="008526E8" w:rsidRPr="004A0C12">
              <w:rPr>
                <w:rFonts w:ascii="Garamond" w:hAnsi="Garamond"/>
                <w:sz w:val="22"/>
                <w:szCs w:val="22"/>
              </w:rPr>
              <w:t xml:space="preserve"> partner</w:t>
            </w:r>
            <w:r w:rsidRPr="004A0C12">
              <w:rPr>
                <w:rFonts w:ascii="Garamond" w:hAnsi="Garamond"/>
                <w:sz w:val="22"/>
                <w:szCs w:val="22"/>
              </w:rPr>
              <w:t xml:space="preserve"> programs</w:t>
            </w:r>
          </w:p>
          <w:p w14:paraId="6869AC89" w14:textId="03F4E2F4" w:rsidR="0004482C" w:rsidRPr="004A0C12" w:rsidRDefault="0004482C" w:rsidP="009204FA">
            <w:pPr>
              <w:numPr>
                <w:ilvl w:val="0"/>
                <w:numId w:val="11"/>
              </w:numPr>
              <w:ind w:hanging="360"/>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Develop guidance for the implementation and continuou</w:t>
            </w:r>
            <w:r w:rsidR="008526E8" w:rsidRPr="004A0C12">
              <w:rPr>
                <w:rFonts w:ascii="Garamond" w:hAnsi="Garamond"/>
                <w:sz w:val="22"/>
                <w:szCs w:val="22"/>
              </w:rPr>
              <w:t xml:space="preserve">s improvement of the workforce </w:t>
            </w:r>
            <w:r w:rsidRPr="004A0C12">
              <w:rPr>
                <w:rFonts w:ascii="Garamond" w:hAnsi="Garamond"/>
                <w:sz w:val="22"/>
                <w:szCs w:val="22"/>
              </w:rPr>
              <w:t>system</w:t>
            </w:r>
          </w:p>
          <w:p w14:paraId="434A1A09" w14:textId="77777777" w:rsidR="0004482C" w:rsidRPr="004A0C12" w:rsidRDefault="0004482C" w:rsidP="009204FA">
            <w:pPr>
              <w:numPr>
                <w:ilvl w:val="0"/>
                <w:numId w:val="11"/>
              </w:numPr>
              <w:ind w:hanging="360"/>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Revise and implement Local Workforce Development Board certification requirements</w:t>
            </w:r>
          </w:p>
        </w:tc>
        <w:tc>
          <w:tcPr>
            <w:cnfStyle w:val="000010000000" w:firstRow="0" w:lastRow="0" w:firstColumn="0" w:lastColumn="0" w:oddVBand="1" w:evenVBand="0" w:oddHBand="0" w:evenHBand="0" w:firstRowFirstColumn="0" w:firstRowLastColumn="0" w:lastRowFirstColumn="0" w:lastRowLastColumn="0"/>
            <w:tcW w:w="4785" w:type="dxa"/>
          </w:tcPr>
          <w:p w14:paraId="0CD59B26"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 xml:space="preserve">Anne Arundel Workforce Development Corporation </w:t>
            </w:r>
          </w:p>
          <w:p w14:paraId="79ADA60A"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Baltimore City Mayor’s Office of Employment Development</w:t>
            </w:r>
          </w:p>
          <w:p w14:paraId="15C7D867"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Governor’s Workforce Investment Board</w:t>
            </w:r>
          </w:p>
          <w:p w14:paraId="2EC5AA2E"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 xml:space="preserve">Maryland Department of Aging </w:t>
            </w:r>
          </w:p>
          <w:p w14:paraId="701E7A7A"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Maryland Department of Disabilities</w:t>
            </w:r>
          </w:p>
          <w:p w14:paraId="5C4D9D5E"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 xml:space="preserve">Maryland Department of Human Resources – Family Investment Administration </w:t>
            </w:r>
          </w:p>
          <w:p w14:paraId="289B1384"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Maryland Department of Juvenile Services</w:t>
            </w:r>
          </w:p>
          <w:p w14:paraId="604865CD"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 xml:space="preserve">Maryland DLLR- Division of Workforce Development &amp; Adult Learning </w:t>
            </w:r>
          </w:p>
          <w:p w14:paraId="547641D0"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Maryland State Department of Education – Division of Career and College Readiness</w:t>
            </w:r>
          </w:p>
          <w:p w14:paraId="57C7A852"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 xml:space="preserve">Maryland State Department of Education – Division of Rehabilitation Services </w:t>
            </w:r>
          </w:p>
          <w:p w14:paraId="219130E0" w14:textId="4F0943C3"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 xml:space="preserve">Montgomery County Division of Workforce Services </w:t>
            </w:r>
          </w:p>
          <w:p w14:paraId="5A0CC81B" w14:textId="77777777" w:rsidR="0004482C" w:rsidRPr="004A0C12" w:rsidRDefault="0004482C" w:rsidP="009204FA">
            <w:pPr>
              <w:numPr>
                <w:ilvl w:val="0"/>
                <w:numId w:val="12"/>
              </w:numPr>
              <w:ind w:hanging="360"/>
              <w:rPr>
                <w:rFonts w:ascii="Garamond" w:hAnsi="Garamond"/>
                <w:sz w:val="22"/>
                <w:szCs w:val="22"/>
              </w:rPr>
            </w:pPr>
            <w:r w:rsidRPr="004A0C12">
              <w:rPr>
                <w:rFonts w:ascii="Garamond" w:hAnsi="Garamond"/>
                <w:sz w:val="22"/>
                <w:szCs w:val="22"/>
              </w:rPr>
              <w:t xml:space="preserve">Upper Shore Workforce Investment Board </w:t>
            </w:r>
          </w:p>
        </w:tc>
      </w:tr>
      <w:tr w:rsidR="0004482C" w:rsidRPr="004A0C12" w14:paraId="56E26C40" w14:textId="77777777" w:rsidTr="003A6336">
        <w:trPr>
          <w:trHeight w:val="4400"/>
        </w:trPr>
        <w:tc>
          <w:tcPr>
            <w:cnfStyle w:val="000010000000" w:firstRow="0" w:lastRow="0" w:firstColumn="0" w:lastColumn="0" w:oddVBand="1" w:evenVBand="0" w:oddHBand="0" w:evenHBand="0" w:firstRowFirstColumn="0" w:firstRowLastColumn="0" w:lastRowFirstColumn="0" w:lastRowLastColumn="0"/>
            <w:tcW w:w="1455" w:type="dxa"/>
          </w:tcPr>
          <w:p w14:paraId="50A9CBF0" w14:textId="77777777" w:rsidR="0004482C" w:rsidRPr="004A0C12" w:rsidRDefault="0004482C" w:rsidP="0004482C">
            <w:pPr>
              <w:jc w:val="both"/>
              <w:rPr>
                <w:rFonts w:ascii="Garamond" w:hAnsi="Garamond"/>
                <w:sz w:val="22"/>
                <w:szCs w:val="22"/>
              </w:rPr>
            </w:pPr>
          </w:p>
          <w:p w14:paraId="1D0197F9" w14:textId="77777777" w:rsidR="0004482C" w:rsidRPr="004A0C12" w:rsidRDefault="0004482C" w:rsidP="0004482C">
            <w:pPr>
              <w:jc w:val="center"/>
              <w:rPr>
                <w:rFonts w:ascii="Garamond" w:hAnsi="Garamond"/>
                <w:sz w:val="22"/>
                <w:szCs w:val="22"/>
              </w:rPr>
            </w:pPr>
            <w:r w:rsidRPr="004A0C12">
              <w:rPr>
                <w:rFonts w:ascii="Garamond" w:hAnsi="Garamond"/>
                <w:sz w:val="22"/>
                <w:szCs w:val="22"/>
              </w:rPr>
              <w:t>Policy</w:t>
            </w:r>
          </w:p>
        </w:tc>
        <w:tc>
          <w:tcPr>
            <w:tcW w:w="4755" w:type="dxa"/>
          </w:tcPr>
          <w:p w14:paraId="04C4A5C9" w14:textId="77777777" w:rsidR="0004482C" w:rsidRPr="004A0C12" w:rsidRDefault="0004482C" w:rsidP="009204FA">
            <w:pPr>
              <w:numPr>
                <w:ilvl w:val="0"/>
                <w:numId w:val="13"/>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Assess and evaluate Workforce Investment Act policies to determine and improve overall processes, policies, and procedures in light of WIOA</w:t>
            </w:r>
          </w:p>
          <w:p w14:paraId="5A86E286" w14:textId="77777777" w:rsidR="0004482C" w:rsidRPr="004A0C12" w:rsidRDefault="0004482C" w:rsidP="009204FA">
            <w:pPr>
              <w:numPr>
                <w:ilvl w:val="0"/>
                <w:numId w:val="13"/>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Coordinate policy development with core partners at State and local levels</w:t>
            </w:r>
          </w:p>
          <w:p w14:paraId="243A594E" w14:textId="77777777" w:rsidR="0004482C" w:rsidRPr="004A0C12" w:rsidRDefault="0004482C" w:rsidP="009204FA">
            <w:pPr>
              <w:numPr>
                <w:ilvl w:val="0"/>
                <w:numId w:val="13"/>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Identify policy and regulatory changes for State and Local Workforce Development Areas</w:t>
            </w:r>
          </w:p>
        </w:tc>
        <w:tc>
          <w:tcPr>
            <w:cnfStyle w:val="000010000000" w:firstRow="0" w:lastRow="0" w:firstColumn="0" w:lastColumn="0" w:oddVBand="1" w:evenVBand="0" w:oddHBand="0" w:evenHBand="0" w:firstRowFirstColumn="0" w:firstRowLastColumn="0" w:lastRowFirstColumn="0" w:lastRowLastColumn="0"/>
            <w:tcW w:w="4785" w:type="dxa"/>
          </w:tcPr>
          <w:p w14:paraId="6D80C0D4"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Anne Arundel Workforce Development Corporation</w:t>
            </w:r>
          </w:p>
          <w:p w14:paraId="7F726765"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 xml:space="preserve">Baltimore City Mayor’s Office of Employment Development </w:t>
            </w:r>
          </w:p>
          <w:p w14:paraId="62F57A8F"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 xml:space="preserve">Baltimore City Department of Social Services </w:t>
            </w:r>
          </w:p>
          <w:p w14:paraId="7E6BBD4D" w14:textId="4DC87736" w:rsidR="0004482C" w:rsidRPr="004A0C12" w:rsidRDefault="003A6336" w:rsidP="009204FA">
            <w:pPr>
              <w:numPr>
                <w:ilvl w:val="0"/>
                <w:numId w:val="14"/>
              </w:numPr>
              <w:ind w:hanging="360"/>
              <w:rPr>
                <w:rFonts w:ascii="Garamond" w:hAnsi="Garamond"/>
                <w:sz w:val="22"/>
                <w:szCs w:val="22"/>
              </w:rPr>
            </w:pPr>
            <w:r w:rsidRPr="004A0C12">
              <w:rPr>
                <w:rFonts w:ascii="Garamond" w:hAnsi="Garamond"/>
                <w:sz w:val="22"/>
                <w:szCs w:val="22"/>
              </w:rPr>
              <w:t>Baltimore County</w:t>
            </w:r>
            <w:r w:rsidR="0004482C" w:rsidRPr="004A0C12">
              <w:rPr>
                <w:rFonts w:ascii="Garamond" w:hAnsi="Garamond"/>
                <w:sz w:val="22"/>
                <w:szCs w:val="22"/>
              </w:rPr>
              <w:t xml:space="preserve"> Department of Social Services</w:t>
            </w:r>
          </w:p>
          <w:p w14:paraId="064A2EC2"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Goodwill Industries of the Chesapeake</w:t>
            </w:r>
          </w:p>
          <w:p w14:paraId="66F07EA6"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Governor’s Office for Children</w:t>
            </w:r>
          </w:p>
          <w:p w14:paraId="33378CA8"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Governor’s Workforce Investment Board</w:t>
            </w:r>
          </w:p>
          <w:p w14:paraId="751BE783"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Howard Community College</w:t>
            </w:r>
          </w:p>
          <w:p w14:paraId="4A8D8EAA"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 xml:space="preserve">Maryland Association of Adult Community and Continuing Education </w:t>
            </w:r>
          </w:p>
          <w:p w14:paraId="33A6F630" w14:textId="5FA5B18E"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Marylan</w:t>
            </w:r>
            <w:r w:rsidR="003A6336" w:rsidRPr="004A0C12">
              <w:rPr>
                <w:rFonts w:ascii="Garamond" w:hAnsi="Garamond"/>
                <w:sz w:val="22"/>
                <w:szCs w:val="22"/>
              </w:rPr>
              <w:t>d Department of Human Resources—</w:t>
            </w:r>
            <w:r w:rsidRPr="004A0C12">
              <w:rPr>
                <w:rFonts w:ascii="Garamond" w:hAnsi="Garamond"/>
                <w:sz w:val="22"/>
                <w:szCs w:val="22"/>
              </w:rPr>
              <w:t xml:space="preserve">Family Investment Administration  </w:t>
            </w:r>
          </w:p>
          <w:p w14:paraId="273F4E87"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Maryland Department of Disabilities</w:t>
            </w:r>
          </w:p>
          <w:p w14:paraId="42B468A2" w14:textId="365F9E84" w:rsidR="0004482C" w:rsidRPr="004A0C12" w:rsidRDefault="003A6336" w:rsidP="009204FA">
            <w:pPr>
              <w:numPr>
                <w:ilvl w:val="0"/>
                <w:numId w:val="14"/>
              </w:numPr>
              <w:ind w:hanging="360"/>
              <w:rPr>
                <w:rFonts w:ascii="Garamond" w:hAnsi="Garamond"/>
                <w:sz w:val="22"/>
                <w:szCs w:val="22"/>
              </w:rPr>
            </w:pPr>
            <w:r w:rsidRPr="004A0C12">
              <w:rPr>
                <w:rFonts w:ascii="Garamond" w:hAnsi="Garamond"/>
                <w:sz w:val="22"/>
                <w:szCs w:val="22"/>
              </w:rPr>
              <w:t>Maryland DLLR—D</w:t>
            </w:r>
            <w:r w:rsidR="0004482C" w:rsidRPr="004A0C12">
              <w:rPr>
                <w:rFonts w:ascii="Garamond" w:hAnsi="Garamond"/>
                <w:sz w:val="22"/>
                <w:szCs w:val="22"/>
              </w:rPr>
              <w:t>ivision of Workforce Development &amp; Adult Learning</w:t>
            </w:r>
          </w:p>
          <w:p w14:paraId="1E1EF5A8" w14:textId="62522130" w:rsidR="0004482C" w:rsidRPr="004A0C12" w:rsidRDefault="003A6336" w:rsidP="009204FA">
            <w:pPr>
              <w:numPr>
                <w:ilvl w:val="0"/>
                <w:numId w:val="14"/>
              </w:numPr>
              <w:ind w:hanging="360"/>
              <w:rPr>
                <w:rFonts w:ascii="Garamond" w:hAnsi="Garamond"/>
                <w:sz w:val="22"/>
                <w:szCs w:val="22"/>
              </w:rPr>
            </w:pPr>
            <w:r w:rsidRPr="004A0C12">
              <w:rPr>
                <w:rFonts w:ascii="Garamond" w:hAnsi="Garamond"/>
                <w:sz w:val="22"/>
                <w:szCs w:val="22"/>
              </w:rPr>
              <w:t>Maryland DLLR—</w:t>
            </w:r>
            <w:r w:rsidR="0004482C" w:rsidRPr="004A0C12">
              <w:rPr>
                <w:rFonts w:ascii="Garamond" w:hAnsi="Garamond"/>
                <w:sz w:val="22"/>
                <w:szCs w:val="22"/>
              </w:rPr>
              <w:t>Division of Unemployment Insurance</w:t>
            </w:r>
          </w:p>
          <w:p w14:paraId="24C2E99A" w14:textId="5D4C3438" w:rsidR="0004482C" w:rsidRPr="004A0C12" w:rsidRDefault="003A6336" w:rsidP="009204FA">
            <w:pPr>
              <w:numPr>
                <w:ilvl w:val="0"/>
                <w:numId w:val="14"/>
              </w:numPr>
              <w:ind w:hanging="360"/>
              <w:rPr>
                <w:rFonts w:ascii="Garamond" w:hAnsi="Garamond"/>
                <w:sz w:val="22"/>
                <w:szCs w:val="22"/>
              </w:rPr>
            </w:pPr>
            <w:r w:rsidRPr="004A0C12">
              <w:rPr>
                <w:rFonts w:ascii="Garamond" w:hAnsi="Garamond"/>
                <w:sz w:val="22"/>
                <w:szCs w:val="22"/>
              </w:rPr>
              <w:t xml:space="preserve">Maryland DLLR—Office </w:t>
            </w:r>
            <w:r w:rsidR="0004482C" w:rsidRPr="004A0C12">
              <w:rPr>
                <w:rFonts w:ascii="Garamond" w:hAnsi="Garamond"/>
                <w:sz w:val="22"/>
                <w:szCs w:val="22"/>
              </w:rPr>
              <w:t>of the Secretary</w:t>
            </w:r>
          </w:p>
          <w:p w14:paraId="64887BEE" w14:textId="56A91869"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Maryland S</w:t>
            </w:r>
            <w:r w:rsidR="003A6336" w:rsidRPr="004A0C12">
              <w:rPr>
                <w:rFonts w:ascii="Garamond" w:hAnsi="Garamond"/>
                <w:sz w:val="22"/>
                <w:szCs w:val="22"/>
              </w:rPr>
              <w:t>tate Department of Education—Di</w:t>
            </w:r>
            <w:r w:rsidRPr="004A0C12">
              <w:rPr>
                <w:rFonts w:ascii="Garamond" w:hAnsi="Garamond"/>
                <w:sz w:val="22"/>
                <w:szCs w:val="22"/>
              </w:rPr>
              <w:t>vision of Rehabilitation Services</w:t>
            </w:r>
          </w:p>
          <w:p w14:paraId="63074222"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Mid Maryland Workforce Investment Area</w:t>
            </w:r>
          </w:p>
          <w:p w14:paraId="2881090A" w14:textId="77777777" w:rsidR="0004482C" w:rsidRPr="004A0C12" w:rsidRDefault="0004482C" w:rsidP="009204FA">
            <w:pPr>
              <w:numPr>
                <w:ilvl w:val="0"/>
                <w:numId w:val="14"/>
              </w:numPr>
              <w:ind w:hanging="360"/>
              <w:rPr>
                <w:rFonts w:ascii="Garamond" w:hAnsi="Garamond"/>
                <w:sz w:val="22"/>
                <w:szCs w:val="22"/>
              </w:rPr>
            </w:pPr>
            <w:r w:rsidRPr="004A0C12">
              <w:rPr>
                <w:rFonts w:ascii="Garamond" w:hAnsi="Garamond"/>
                <w:sz w:val="22"/>
                <w:szCs w:val="22"/>
              </w:rPr>
              <w:t>Susquehanna Workforce Network, Inc.</w:t>
            </w:r>
          </w:p>
          <w:p w14:paraId="794493AE" w14:textId="77777777" w:rsidR="0004482C" w:rsidRPr="004A0C12" w:rsidRDefault="0004482C" w:rsidP="0004482C">
            <w:pPr>
              <w:ind w:left="360"/>
              <w:rPr>
                <w:rFonts w:ascii="Garamond" w:hAnsi="Garamond"/>
                <w:sz w:val="22"/>
                <w:szCs w:val="22"/>
              </w:rPr>
            </w:pPr>
          </w:p>
        </w:tc>
      </w:tr>
      <w:tr w:rsidR="0004482C" w:rsidRPr="004A0C12" w14:paraId="27C04333" w14:textId="77777777" w:rsidTr="003A6336">
        <w:trPr>
          <w:cnfStyle w:val="000000100000" w:firstRow="0" w:lastRow="0" w:firstColumn="0" w:lastColumn="0" w:oddVBand="0" w:evenVBand="0" w:oddHBand="1" w:evenHBand="0" w:firstRowFirstColumn="0" w:firstRowLastColumn="0" w:lastRowFirstColumn="0" w:lastRowLastColumn="0"/>
          <w:trHeight w:val="4200"/>
        </w:trPr>
        <w:tc>
          <w:tcPr>
            <w:cnfStyle w:val="000010000000" w:firstRow="0" w:lastRow="0" w:firstColumn="0" w:lastColumn="0" w:oddVBand="1" w:evenVBand="0" w:oddHBand="0" w:evenHBand="0" w:firstRowFirstColumn="0" w:firstRowLastColumn="0" w:lastRowFirstColumn="0" w:lastRowLastColumn="0"/>
            <w:tcW w:w="1455" w:type="dxa"/>
          </w:tcPr>
          <w:p w14:paraId="475FBEC6" w14:textId="77777777" w:rsidR="0004482C" w:rsidRPr="004A0C12" w:rsidRDefault="0004482C" w:rsidP="0004482C">
            <w:pPr>
              <w:jc w:val="center"/>
              <w:rPr>
                <w:rFonts w:ascii="Garamond" w:hAnsi="Garamond"/>
                <w:sz w:val="22"/>
                <w:szCs w:val="22"/>
              </w:rPr>
            </w:pPr>
          </w:p>
          <w:p w14:paraId="3F267E82" w14:textId="77777777" w:rsidR="0004482C" w:rsidRPr="004A0C12" w:rsidRDefault="0004482C" w:rsidP="0004482C">
            <w:pPr>
              <w:jc w:val="center"/>
              <w:rPr>
                <w:rFonts w:ascii="Garamond" w:hAnsi="Garamond"/>
                <w:sz w:val="22"/>
                <w:szCs w:val="22"/>
              </w:rPr>
            </w:pPr>
            <w:r w:rsidRPr="004A0C12">
              <w:rPr>
                <w:rFonts w:ascii="Garamond" w:hAnsi="Garamond"/>
                <w:sz w:val="22"/>
                <w:szCs w:val="22"/>
              </w:rPr>
              <w:t>Fiscal Accountability</w:t>
            </w:r>
          </w:p>
        </w:tc>
        <w:tc>
          <w:tcPr>
            <w:tcW w:w="4755" w:type="dxa"/>
          </w:tcPr>
          <w:p w14:paraId="429484E7" w14:textId="77777777" w:rsidR="0004482C" w:rsidRPr="004A0C12" w:rsidRDefault="0004482C" w:rsidP="009204FA">
            <w:pPr>
              <w:numPr>
                <w:ilvl w:val="0"/>
                <w:numId w:val="15"/>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Determine needed and required fiscal and monitoring policies</w:t>
            </w:r>
          </w:p>
          <w:p w14:paraId="6EF3C537" w14:textId="77777777" w:rsidR="0004482C" w:rsidRPr="004A0C12" w:rsidRDefault="0004482C" w:rsidP="009204FA">
            <w:pPr>
              <w:numPr>
                <w:ilvl w:val="0"/>
                <w:numId w:val="15"/>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Update grant agreements to align with WIOA and OMB Uniform Guidance</w:t>
            </w:r>
          </w:p>
          <w:p w14:paraId="2826E339" w14:textId="77777777" w:rsidR="0004482C" w:rsidRPr="004A0C12" w:rsidRDefault="0004482C" w:rsidP="009204FA">
            <w:pPr>
              <w:numPr>
                <w:ilvl w:val="0"/>
                <w:numId w:val="15"/>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Review resource sharing and infrastructure costs</w:t>
            </w:r>
          </w:p>
        </w:tc>
        <w:tc>
          <w:tcPr>
            <w:cnfStyle w:val="000010000000" w:firstRow="0" w:lastRow="0" w:firstColumn="0" w:lastColumn="0" w:oddVBand="1" w:evenVBand="0" w:oddHBand="0" w:evenHBand="0" w:firstRowFirstColumn="0" w:firstRowLastColumn="0" w:lastRowFirstColumn="0" w:lastRowLastColumn="0"/>
            <w:tcW w:w="4785" w:type="dxa"/>
          </w:tcPr>
          <w:p w14:paraId="76E7C00B"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Anne Arundel Workforce Development Corporation </w:t>
            </w:r>
          </w:p>
          <w:p w14:paraId="33BF6AFF"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Baltimore City Mayor’s Office of Employment Development </w:t>
            </w:r>
          </w:p>
          <w:p w14:paraId="51787BFF"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Baltimore County Department of Economic &amp; Workforce Development </w:t>
            </w:r>
          </w:p>
          <w:p w14:paraId="1639CACB"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Carroll County Government </w:t>
            </w:r>
          </w:p>
          <w:p w14:paraId="42258977"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Frederick County Workforce Services</w:t>
            </w:r>
          </w:p>
          <w:p w14:paraId="35176B27"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Harford County Department of Social Services </w:t>
            </w:r>
          </w:p>
          <w:p w14:paraId="5E769799"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Maryland Department of Human Resources – Budget Office</w:t>
            </w:r>
          </w:p>
          <w:p w14:paraId="06A2C006"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Maryland Department of Human Resources – Family Investment Administration </w:t>
            </w:r>
          </w:p>
          <w:p w14:paraId="2CAD47D3"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Maryland DLLR – Division of Workforce Development &amp; Adult Learning</w:t>
            </w:r>
          </w:p>
          <w:p w14:paraId="0EA9327C"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Maryland State Department of Education – Division of Rehabilitation Services</w:t>
            </w:r>
          </w:p>
          <w:p w14:paraId="0C0287CE"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Montgomery County Division of Workforce Investment Services </w:t>
            </w:r>
          </w:p>
          <w:p w14:paraId="5820AB9F"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lastRenderedPageBreak/>
              <w:t xml:space="preserve">Prince George’s County Economic Development Corporation </w:t>
            </w:r>
          </w:p>
          <w:p w14:paraId="7864DF08"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Susquehanna Workforce Network, Inc. </w:t>
            </w:r>
          </w:p>
          <w:p w14:paraId="50CD21CD"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Tri-County Council for the Lower Eastern Shore of Maryland </w:t>
            </w:r>
          </w:p>
          <w:p w14:paraId="6896A4E4"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Upper Shore Workforce Investment Board </w:t>
            </w:r>
          </w:p>
          <w:p w14:paraId="76409C7C" w14:textId="77777777" w:rsidR="0004482C" w:rsidRPr="004A0C12" w:rsidRDefault="0004482C" w:rsidP="009204FA">
            <w:pPr>
              <w:numPr>
                <w:ilvl w:val="0"/>
                <w:numId w:val="16"/>
              </w:numPr>
              <w:ind w:hanging="360"/>
              <w:rPr>
                <w:rFonts w:ascii="Garamond" w:hAnsi="Garamond"/>
                <w:sz w:val="22"/>
                <w:szCs w:val="22"/>
              </w:rPr>
            </w:pPr>
            <w:r w:rsidRPr="004A0C12">
              <w:rPr>
                <w:rFonts w:ascii="Garamond" w:hAnsi="Garamond"/>
                <w:sz w:val="22"/>
                <w:szCs w:val="22"/>
              </w:rPr>
              <w:t xml:space="preserve">Western Maryland Consortium </w:t>
            </w:r>
          </w:p>
        </w:tc>
      </w:tr>
      <w:tr w:rsidR="0004482C" w:rsidRPr="004A0C12" w14:paraId="596F6B90" w14:textId="77777777" w:rsidTr="00825D0C">
        <w:trPr>
          <w:trHeight w:val="2420"/>
        </w:trPr>
        <w:tc>
          <w:tcPr>
            <w:cnfStyle w:val="000010000000" w:firstRow="0" w:lastRow="0" w:firstColumn="0" w:lastColumn="0" w:oddVBand="1" w:evenVBand="0" w:oddHBand="0" w:evenHBand="0" w:firstRowFirstColumn="0" w:firstRowLastColumn="0" w:lastRowFirstColumn="0" w:lastRowLastColumn="0"/>
            <w:tcW w:w="1455" w:type="dxa"/>
          </w:tcPr>
          <w:p w14:paraId="15DEC2A3" w14:textId="77777777" w:rsidR="0004482C" w:rsidRPr="004A0C12" w:rsidRDefault="0004482C" w:rsidP="0004482C">
            <w:pPr>
              <w:jc w:val="center"/>
              <w:rPr>
                <w:rFonts w:ascii="Garamond" w:hAnsi="Garamond"/>
                <w:sz w:val="22"/>
                <w:szCs w:val="22"/>
              </w:rPr>
            </w:pPr>
          </w:p>
          <w:p w14:paraId="1DDDA927" w14:textId="77777777" w:rsidR="0004482C" w:rsidRPr="004A0C12" w:rsidRDefault="0004482C" w:rsidP="0004482C">
            <w:pPr>
              <w:jc w:val="center"/>
              <w:rPr>
                <w:rFonts w:ascii="Garamond" w:hAnsi="Garamond"/>
                <w:sz w:val="22"/>
                <w:szCs w:val="22"/>
              </w:rPr>
            </w:pPr>
            <w:r w:rsidRPr="004A0C12">
              <w:rPr>
                <w:rFonts w:ascii="Garamond" w:hAnsi="Garamond"/>
                <w:sz w:val="22"/>
                <w:szCs w:val="22"/>
              </w:rPr>
              <w:t>American Job Center Operations &amp; Partnerships</w:t>
            </w:r>
          </w:p>
        </w:tc>
        <w:tc>
          <w:tcPr>
            <w:tcW w:w="4755" w:type="dxa"/>
          </w:tcPr>
          <w:p w14:paraId="662C83BE" w14:textId="19878D82" w:rsidR="0004482C" w:rsidRPr="001C1EC7" w:rsidRDefault="0004482C" w:rsidP="009204FA">
            <w:pPr>
              <w:numPr>
                <w:ilvl w:val="0"/>
                <w:numId w:val="17"/>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1C1EC7">
              <w:rPr>
                <w:rFonts w:ascii="Garamond" w:hAnsi="Garamond"/>
                <w:sz w:val="22"/>
                <w:szCs w:val="22"/>
              </w:rPr>
              <w:t>Engage partners and improve customer flow within career services, including how to better serve U</w:t>
            </w:r>
            <w:r w:rsidR="008526E8" w:rsidRPr="001C1EC7">
              <w:rPr>
                <w:rFonts w:ascii="Garamond" w:hAnsi="Garamond"/>
                <w:sz w:val="22"/>
                <w:szCs w:val="22"/>
              </w:rPr>
              <w:t xml:space="preserve">nemployment </w:t>
            </w:r>
            <w:r w:rsidRPr="001C1EC7">
              <w:rPr>
                <w:rFonts w:ascii="Garamond" w:hAnsi="Garamond"/>
                <w:sz w:val="22"/>
                <w:szCs w:val="22"/>
              </w:rPr>
              <w:t>I</w:t>
            </w:r>
            <w:r w:rsidR="008526E8" w:rsidRPr="001C1EC7">
              <w:rPr>
                <w:rFonts w:ascii="Garamond" w:hAnsi="Garamond"/>
                <w:sz w:val="22"/>
                <w:szCs w:val="22"/>
              </w:rPr>
              <w:t>nsurance</w:t>
            </w:r>
            <w:r w:rsidRPr="001C1EC7">
              <w:rPr>
                <w:rFonts w:ascii="Garamond" w:hAnsi="Garamond"/>
                <w:sz w:val="22"/>
                <w:szCs w:val="22"/>
              </w:rPr>
              <w:t xml:space="preserve"> claimants and hardest-to-serve customers</w:t>
            </w:r>
          </w:p>
          <w:p w14:paraId="715F2E6A" w14:textId="77777777" w:rsidR="0004482C" w:rsidRPr="001C1EC7" w:rsidRDefault="0004482C" w:rsidP="009204FA">
            <w:pPr>
              <w:numPr>
                <w:ilvl w:val="0"/>
                <w:numId w:val="17"/>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1C1EC7">
              <w:rPr>
                <w:rFonts w:ascii="Garamond" w:hAnsi="Garamond"/>
                <w:sz w:val="22"/>
                <w:szCs w:val="22"/>
              </w:rPr>
              <w:t>Improve the use of technology in the American Job Centers</w:t>
            </w:r>
          </w:p>
          <w:p w14:paraId="58C0D16A" w14:textId="46B61613" w:rsidR="0004482C" w:rsidRPr="001C1EC7" w:rsidRDefault="0004482C" w:rsidP="009204FA">
            <w:pPr>
              <w:numPr>
                <w:ilvl w:val="0"/>
                <w:numId w:val="17"/>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1C1EC7">
              <w:rPr>
                <w:rFonts w:ascii="Garamond" w:hAnsi="Garamond"/>
                <w:sz w:val="22"/>
                <w:szCs w:val="22"/>
              </w:rPr>
              <w:t>Devel</w:t>
            </w:r>
            <w:r w:rsidR="003A6336" w:rsidRPr="001C1EC7">
              <w:rPr>
                <w:rFonts w:ascii="Garamond" w:hAnsi="Garamond"/>
                <w:sz w:val="22"/>
                <w:szCs w:val="22"/>
              </w:rPr>
              <w:t>op templates for M</w:t>
            </w:r>
            <w:r w:rsidR="008526E8" w:rsidRPr="001C1EC7">
              <w:rPr>
                <w:rFonts w:ascii="Garamond" w:hAnsi="Garamond"/>
                <w:sz w:val="22"/>
                <w:szCs w:val="22"/>
              </w:rPr>
              <w:t xml:space="preserve">emorandums of </w:t>
            </w:r>
            <w:r w:rsidR="003A6336" w:rsidRPr="001C1EC7">
              <w:rPr>
                <w:rFonts w:ascii="Garamond" w:hAnsi="Garamond"/>
                <w:sz w:val="22"/>
                <w:szCs w:val="22"/>
              </w:rPr>
              <w:t>U</w:t>
            </w:r>
            <w:r w:rsidR="008526E8" w:rsidRPr="001C1EC7">
              <w:rPr>
                <w:rFonts w:ascii="Garamond" w:hAnsi="Garamond"/>
                <w:sz w:val="22"/>
                <w:szCs w:val="22"/>
              </w:rPr>
              <w:t>nderstanding</w:t>
            </w:r>
            <w:r w:rsidR="003A6336" w:rsidRPr="001C1EC7">
              <w:rPr>
                <w:rFonts w:ascii="Garamond" w:hAnsi="Garamond"/>
                <w:sz w:val="22"/>
                <w:szCs w:val="22"/>
              </w:rPr>
              <w:t xml:space="preserve"> and R</w:t>
            </w:r>
            <w:r w:rsidR="008526E8" w:rsidRPr="001C1EC7">
              <w:rPr>
                <w:rFonts w:ascii="Garamond" w:hAnsi="Garamond"/>
                <w:sz w:val="22"/>
                <w:szCs w:val="22"/>
              </w:rPr>
              <w:t xml:space="preserve">esource </w:t>
            </w:r>
            <w:r w:rsidR="003A6336" w:rsidRPr="001C1EC7">
              <w:rPr>
                <w:rFonts w:ascii="Garamond" w:hAnsi="Garamond"/>
                <w:sz w:val="22"/>
                <w:szCs w:val="22"/>
              </w:rPr>
              <w:t>S</w:t>
            </w:r>
            <w:r w:rsidR="008526E8" w:rsidRPr="001C1EC7">
              <w:rPr>
                <w:rFonts w:ascii="Garamond" w:hAnsi="Garamond"/>
                <w:sz w:val="22"/>
                <w:szCs w:val="22"/>
              </w:rPr>
              <w:t xml:space="preserve">haring </w:t>
            </w:r>
            <w:r w:rsidR="003A6336" w:rsidRPr="001C1EC7">
              <w:rPr>
                <w:rFonts w:ascii="Garamond" w:hAnsi="Garamond"/>
                <w:sz w:val="22"/>
                <w:szCs w:val="22"/>
              </w:rPr>
              <w:t>A</w:t>
            </w:r>
            <w:r w:rsidR="008526E8" w:rsidRPr="001C1EC7">
              <w:rPr>
                <w:rFonts w:ascii="Garamond" w:hAnsi="Garamond"/>
                <w:sz w:val="22"/>
                <w:szCs w:val="22"/>
              </w:rPr>
              <w:t>greement</w:t>
            </w:r>
            <w:r w:rsidR="003A6336" w:rsidRPr="001C1EC7">
              <w:rPr>
                <w:rFonts w:ascii="Garamond" w:hAnsi="Garamond"/>
                <w:sz w:val="22"/>
                <w:szCs w:val="22"/>
              </w:rPr>
              <w:t xml:space="preserve">s, </w:t>
            </w:r>
            <w:r w:rsidRPr="001C1EC7">
              <w:rPr>
                <w:rFonts w:ascii="Garamond" w:hAnsi="Garamond"/>
                <w:sz w:val="22"/>
                <w:szCs w:val="22"/>
              </w:rPr>
              <w:t>including the sharing of infrastructure expenses</w:t>
            </w:r>
          </w:p>
          <w:p w14:paraId="33C9EE7C" w14:textId="337A5E05" w:rsidR="0004482C" w:rsidRPr="001C1EC7" w:rsidRDefault="0004482C" w:rsidP="009204FA">
            <w:pPr>
              <w:numPr>
                <w:ilvl w:val="0"/>
                <w:numId w:val="17"/>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1C1EC7">
              <w:rPr>
                <w:rFonts w:ascii="Garamond" w:hAnsi="Garamond"/>
                <w:sz w:val="22"/>
                <w:szCs w:val="22"/>
              </w:rPr>
              <w:t>Determine staff training needs</w:t>
            </w:r>
            <w:r w:rsidR="003A6336" w:rsidRPr="001C1EC7">
              <w:rPr>
                <w:rFonts w:ascii="Garamond" w:hAnsi="Garamond"/>
                <w:sz w:val="22"/>
                <w:szCs w:val="22"/>
              </w:rPr>
              <w:t xml:space="preserve"> and opportunities during WIOA </w:t>
            </w:r>
            <w:r w:rsidRPr="001C1EC7">
              <w:rPr>
                <w:rFonts w:ascii="Garamond" w:hAnsi="Garamond"/>
                <w:sz w:val="22"/>
                <w:szCs w:val="22"/>
              </w:rPr>
              <w:t>transition, including developing relevant board member fact sheets</w:t>
            </w:r>
          </w:p>
          <w:p w14:paraId="6E1EC1EE" w14:textId="77777777" w:rsidR="0004482C" w:rsidRPr="004A0C12" w:rsidRDefault="0004482C" w:rsidP="009204FA">
            <w:pPr>
              <w:numPr>
                <w:ilvl w:val="0"/>
                <w:numId w:val="17"/>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1C1EC7">
              <w:rPr>
                <w:rFonts w:ascii="Garamond" w:hAnsi="Garamond"/>
                <w:sz w:val="22"/>
                <w:szCs w:val="22"/>
              </w:rPr>
              <w:t>Review training provider list</w:t>
            </w:r>
          </w:p>
          <w:p w14:paraId="2D02BE39" w14:textId="77777777" w:rsidR="0004482C" w:rsidRPr="004A0C12" w:rsidRDefault="0004482C" w:rsidP="0004482C">
            <w:pPr>
              <w:pStyle w:val="ListParagrap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p w14:paraId="5D4866CC" w14:textId="77777777" w:rsidR="0004482C" w:rsidRPr="004A0C12" w:rsidRDefault="0004482C" w:rsidP="0004482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4785" w:type="dxa"/>
          </w:tcPr>
          <w:p w14:paraId="3D9C94FF"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Anne Arundel County Department of Social Services</w:t>
            </w:r>
          </w:p>
          <w:p w14:paraId="3B0CE243"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 xml:space="preserve">Anne Arundel Workforce Development Corporation </w:t>
            </w:r>
          </w:p>
          <w:p w14:paraId="78510631"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Baltimore City Mayor’s Office of Employment Development</w:t>
            </w:r>
          </w:p>
          <w:p w14:paraId="57678E8B"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Baltimore County Department of Economic &amp; Workforce Development</w:t>
            </w:r>
          </w:p>
          <w:p w14:paraId="3AD4575E"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Baltimore City Community College</w:t>
            </w:r>
          </w:p>
          <w:p w14:paraId="7F288810"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 xml:space="preserve">Carroll County Government </w:t>
            </w:r>
          </w:p>
          <w:p w14:paraId="50F8C2A0"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 xml:space="preserve">Enoch Pratt Free Library </w:t>
            </w:r>
          </w:p>
          <w:p w14:paraId="724F54DB"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Frederick County Workforce Services</w:t>
            </w:r>
          </w:p>
          <w:p w14:paraId="68774281"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Goodwill Industries of the Chesapeake</w:t>
            </w:r>
          </w:p>
          <w:p w14:paraId="423F2CE6"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 xml:space="preserve">Lower Shore Workforce Alliance </w:t>
            </w:r>
          </w:p>
          <w:p w14:paraId="0CAA4BD3" w14:textId="7678C408"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 xml:space="preserve">Maryland </w:t>
            </w:r>
            <w:r w:rsidR="003A6336" w:rsidRPr="004A0C12">
              <w:rPr>
                <w:rFonts w:ascii="Garamond" w:hAnsi="Garamond"/>
                <w:sz w:val="22"/>
                <w:szCs w:val="22"/>
              </w:rPr>
              <w:t>Department of Human Resources—F</w:t>
            </w:r>
            <w:r w:rsidRPr="004A0C12">
              <w:rPr>
                <w:rFonts w:ascii="Garamond" w:hAnsi="Garamond"/>
                <w:sz w:val="22"/>
                <w:szCs w:val="22"/>
              </w:rPr>
              <w:t xml:space="preserve">amily Investment Administration </w:t>
            </w:r>
          </w:p>
          <w:p w14:paraId="7C2B9013" w14:textId="0CE804F6"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 xml:space="preserve">Maryland </w:t>
            </w:r>
            <w:r w:rsidR="003A6336" w:rsidRPr="004A0C12">
              <w:rPr>
                <w:rFonts w:ascii="Garamond" w:hAnsi="Garamond"/>
                <w:sz w:val="22"/>
                <w:szCs w:val="22"/>
              </w:rPr>
              <w:t>Department of Human Resources—</w:t>
            </w:r>
            <w:r w:rsidRPr="004A0C12">
              <w:rPr>
                <w:rFonts w:ascii="Garamond" w:hAnsi="Garamond"/>
                <w:sz w:val="22"/>
                <w:szCs w:val="22"/>
              </w:rPr>
              <w:t>Office for Refugees and Asylees</w:t>
            </w:r>
          </w:p>
          <w:p w14:paraId="2E433279" w14:textId="0365169E" w:rsidR="0004482C" w:rsidRPr="004A0C12" w:rsidRDefault="003A6336" w:rsidP="009204FA">
            <w:pPr>
              <w:numPr>
                <w:ilvl w:val="0"/>
                <w:numId w:val="18"/>
              </w:numPr>
              <w:ind w:hanging="360"/>
              <w:rPr>
                <w:rFonts w:ascii="Garamond" w:hAnsi="Garamond"/>
                <w:sz w:val="22"/>
                <w:szCs w:val="22"/>
              </w:rPr>
            </w:pPr>
            <w:r w:rsidRPr="004A0C12">
              <w:rPr>
                <w:rFonts w:ascii="Garamond" w:hAnsi="Garamond"/>
                <w:sz w:val="22"/>
                <w:szCs w:val="22"/>
              </w:rPr>
              <w:t>Maryland DLLR—</w:t>
            </w:r>
            <w:r w:rsidR="0004482C" w:rsidRPr="004A0C12">
              <w:rPr>
                <w:rFonts w:ascii="Garamond" w:hAnsi="Garamond"/>
                <w:sz w:val="22"/>
                <w:szCs w:val="22"/>
              </w:rPr>
              <w:t>Division of Workforce Development &amp; Adult Learning</w:t>
            </w:r>
          </w:p>
          <w:p w14:paraId="62F41250" w14:textId="78F3EBAA" w:rsidR="0004482C" w:rsidRPr="004A0C12" w:rsidRDefault="003A6336" w:rsidP="009204FA">
            <w:pPr>
              <w:numPr>
                <w:ilvl w:val="0"/>
                <w:numId w:val="18"/>
              </w:numPr>
              <w:ind w:hanging="360"/>
              <w:rPr>
                <w:rFonts w:ascii="Garamond" w:hAnsi="Garamond"/>
                <w:sz w:val="22"/>
                <w:szCs w:val="22"/>
              </w:rPr>
            </w:pPr>
            <w:r w:rsidRPr="004A0C12">
              <w:rPr>
                <w:rFonts w:ascii="Garamond" w:hAnsi="Garamond"/>
                <w:sz w:val="22"/>
                <w:szCs w:val="22"/>
              </w:rPr>
              <w:t>Maryland DLLR—</w:t>
            </w:r>
            <w:r w:rsidR="0004482C" w:rsidRPr="004A0C12">
              <w:rPr>
                <w:rFonts w:ascii="Garamond" w:hAnsi="Garamond"/>
                <w:sz w:val="22"/>
                <w:szCs w:val="22"/>
              </w:rPr>
              <w:t>Division of Unemployment Insurance</w:t>
            </w:r>
          </w:p>
          <w:p w14:paraId="486F7668" w14:textId="3C72AA18" w:rsidR="0004482C" w:rsidRPr="004A0C12" w:rsidRDefault="003A6336" w:rsidP="009204FA">
            <w:pPr>
              <w:numPr>
                <w:ilvl w:val="0"/>
                <w:numId w:val="18"/>
              </w:numPr>
              <w:ind w:hanging="360"/>
              <w:rPr>
                <w:rFonts w:ascii="Garamond" w:hAnsi="Garamond"/>
                <w:sz w:val="22"/>
                <w:szCs w:val="22"/>
              </w:rPr>
            </w:pPr>
            <w:r w:rsidRPr="004A0C12">
              <w:rPr>
                <w:rFonts w:ascii="Garamond" w:hAnsi="Garamond"/>
                <w:sz w:val="22"/>
                <w:szCs w:val="22"/>
              </w:rPr>
              <w:t>Maryland DLLR—</w:t>
            </w:r>
            <w:r w:rsidR="0004482C" w:rsidRPr="004A0C12">
              <w:rPr>
                <w:rFonts w:ascii="Garamond" w:hAnsi="Garamond"/>
                <w:sz w:val="22"/>
                <w:szCs w:val="22"/>
              </w:rPr>
              <w:t xml:space="preserve">Office of Administration </w:t>
            </w:r>
          </w:p>
          <w:p w14:paraId="771E4A78" w14:textId="37A3AF1D" w:rsidR="0004482C" w:rsidRPr="004A0C12" w:rsidRDefault="003A6336" w:rsidP="009204FA">
            <w:pPr>
              <w:numPr>
                <w:ilvl w:val="0"/>
                <w:numId w:val="18"/>
              </w:numPr>
              <w:ind w:hanging="360"/>
              <w:rPr>
                <w:rFonts w:ascii="Garamond" w:hAnsi="Garamond"/>
                <w:sz w:val="22"/>
                <w:szCs w:val="22"/>
              </w:rPr>
            </w:pPr>
            <w:r w:rsidRPr="004A0C12">
              <w:rPr>
                <w:rFonts w:ascii="Garamond" w:hAnsi="Garamond"/>
                <w:sz w:val="22"/>
                <w:szCs w:val="22"/>
              </w:rPr>
              <w:t>Maryland DLLR—</w:t>
            </w:r>
            <w:r w:rsidR="0004482C" w:rsidRPr="004A0C12">
              <w:rPr>
                <w:rFonts w:ascii="Garamond" w:hAnsi="Garamond"/>
                <w:sz w:val="22"/>
                <w:szCs w:val="22"/>
              </w:rPr>
              <w:t xml:space="preserve">Office of General Services </w:t>
            </w:r>
          </w:p>
          <w:p w14:paraId="601BE3DD"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Maryland Higher Education Commission</w:t>
            </w:r>
          </w:p>
          <w:p w14:paraId="2901824F" w14:textId="18E677B3"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 xml:space="preserve">Maryland </w:t>
            </w:r>
            <w:r w:rsidR="003A6336" w:rsidRPr="004A0C12">
              <w:rPr>
                <w:rFonts w:ascii="Garamond" w:hAnsi="Garamond"/>
                <w:sz w:val="22"/>
                <w:szCs w:val="22"/>
              </w:rPr>
              <w:t>State Department of Education—</w:t>
            </w:r>
            <w:r w:rsidRPr="004A0C12">
              <w:rPr>
                <w:rFonts w:ascii="Garamond" w:hAnsi="Garamond"/>
                <w:sz w:val="22"/>
                <w:szCs w:val="22"/>
              </w:rPr>
              <w:t>Division of Rehabilitation Services</w:t>
            </w:r>
          </w:p>
          <w:p w14:paraId="39F0CF31" w14:textId="515EBAF6" w:rsidR="0004482C" w:rsidRPr="004A0C12" w:rsidRDefault="008526E8" w:rsidP="009204FA">
            <w:pPr>
              <w:numPr>
                <w:ilvl w:val="0"/>
                <w:numId w:val="18"/>
              </w:numPr>
              <w:ind w:hanging="360"/>
              <w:rPr>
                <w:rFonts w:ascii="Garamond" w:hAnsi="Garamond"/>
                <w:sz w:val="22"/>
                <w:szCs w:val="22"/>
              </w:rPr>
            </w:pPr>
            <w:r w:rsidRPr="004A0C12">
              <w:rPr>
                <w:rFonts w:ascii="Garamond" w:hAnsi="Garamond"/>
                <w:sz w:val="22"/>
                <w:szCs w:val="22"/>
              </w:rPr>
              <w:t>Mid-</w:t>
            </w:r>
            <w:r w:rsidR="0004482C" w:rsidRPr="004A0C12">
              <w:rPr>
                <w:rFonts w:ascii="Garamond" w:hAnsi="Garamond"/>
                <w:sz w:val="22"/>
                <w:szCs w:val="22"/>
              </w:rPr>
              <w:t>Maryland Workforce Investment Area</w:t>
            </w:r>
          </w:p>
          <w:p w14:paraId="66495102"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lastRenderedPageBreak/>
              <w:t>Montgomery County Division of Workforce Investment Services</w:t>
            </w:r>
          </w:p>
          <w:p w14:paraId="25B59B23"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 xml:space="preserve">Prince George’s County Economic Development Corporation </w:t>
            </w:r>
          </w:p>
          <w:p w14:paraId="430D4649"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Susquehanna Workforce Network, Inc.</w:t>
            </w:r>
          </w:p>
          <w:p w14:paraId="6F4E3DAD"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Tri-County Council for Southern Maryland</w:t>
            </w:r>
          </w:p>
          <w:p w14:paraId="27A109EA" w14:textId="77777777" w:rsidR="0004482C" w:rsidRPr="004A0C12" w:rsidRDefault="0004482C" w:rsidP="009204FA">
            <w:pPr>
              <w:numPr>
                <w:ilvl w:val="0"/>
                <w:numId w:val="18"/>
              </w:numPr>
              <w:ind w:hanging="360"/>
              <w:rPr>
                <w:rFonts w:ascii="Garamond" w:hAnsi="Garamond"/>
                <w:sz w:val="22"/>
                <w:szCs w:val="22"/>
              </w:rPr>
            </w:pPr>
            <w:r w:rsidRPr="004A0C12">
              <w:rPr>
                <w:rFonts w:ascii="Garamond" w:hAnsi="Garamond"/>
                <w:sz w:val="22"/>
                <w:szCs w:val="22"/>
              </w:rPr>
              <w:t>Upper Shore Workforce Investment Board</w:t>
            </w:r>
          </w:p>
          <w:p w14:paraId="1C5A90BD" w14:textId="42E75200" w:rsidR="0004482C" w:rsidRPr="00825D0C" w:rsidRDefault="0004482C" w:rsidP="0004482C">
            <w:pPr>
              <w:numPr>
                <w:ilvl w:val="0"/>
                <w:numId w:val="18"/>
              </w:numPr>
              <w:ind w:hanging="360"/>
              <w:rPr>
                <w:rFonts w:ascii="Garamond" w:hAnsi="Garamond"/>
                <w:sz w:val="22"/>
                <w:szCs w:val="22"/>
              </w:rPr>
            </w:pPr>
            <w:r w:rsidRPr="004A0C12">
              <w:rPr>
                <w:rFonts w:ascii="Garamond" w:hAnsi="Garamond"/>
                <w:sz w:val="22"/>
                <w:szCs w:val="22"/>
              </w:rPr>
              <w:t>Western Maryland Consortium</w:t>
            </w:r>
          </w:p>
        </w:tc>
      </w:tr>
      <w:tr w:rsidR="0004482C" w:rsidRPr="004A0C12" w14:paraId="0FC99D24" w14:textId="77777777" w:rsidTr="003A6336">
        <w:trPr>
          <w:cnfStyle w:val="000000100000" w:firstRow="0" w:lastRow="0" w:firstColumn="0" w:lastColumn="0" w:oddVBand="0" w:evenVBand="0" w:oddHBand="1" w:evenHBand="0" w:firstRowFirstColumn="0" w:firstRowLastColumn="0" w:lastRowFirstColumn="0" w:lastRowLastColumn="0"/>
          <w:trHeight w:val="5800"/>
        </w:trPr>
        <w:tc>
          <w:tcPr>
            <w:cnfStyle w:val="000010000000" w:firstRow="0" w:lastRow="0" w:firstColumn="0" w:lastColumn="0" w:oddVBand="1" w:evenVBand="0" w:oddHBand="0" w:evenHBand="0" w:firstRowFirstColumn="0" w:firstRowLastColumn="0" w:lastRowFirstColumn="0" w:lastRowLastColumn="0"/>
            <w:tcW w:w="1455" w:type="dxa"/>
          </w:tcPr>
          <w:p w14:paraId="227E6967" w14:textId="77777777" w:rsidR="0004482C" w:rsidRPr="004A0C12" w:rsidRDefault="0004482C" w:rsidP="0004482C">
            <w:pPr>
              <w:jc w:val="both"/>
              <w:rPr>
                <w:rFonts w:ascii="Garamond" w:hAnsi="Garamond"/>
                <w:sz w:val="22"/>
                <w:szCs w:val="22"/>
              </w:rPr>
            </w:pPr>
          </w:p>
          <w:p w14:paraId="669E5215" w14:textId="77777777" w:rsidR="0004482C" w:rsidRPr="004A0C12" w:rsidRDefault="0004482C" w:rsidP="0004482C">
            <w:pPr>
              <w:jc w:val="center"/>
              <w:rPr>
                <w:rFonts w:ascii="Garamond" w:hAnsi="Garamond"/>
                <w:sz w:val="22"/>
                <w:szCs w:val="22"/>
              </w:rPr>
            </w:pPr>
            <w:r w:rsidRPr="004A0C12">
              <w:rPr>
                <w:rFonts w:ascii="Garamond" w:hAnsi="Garamond"/>
                <w:sz w:val="22"/>
                <w:szCs w:val="22"/>
              </w:rPr>
              <w:t>Youth Services &amp; Partnerships</w:t>
            </w:r>
          </w:p>
        </w:tc>
        <w:tc>
          <w:tcPr>
            <w:tcW w:w="4755" w:type="dxa"/>
          </w:tcPr>
          <w:p w14:paraId="757251CD" w14:textId="5C8ADE6D" w:rsidR="0004482C" w:rsidRPr="004A0C12" w:rsidRDefault="003A6336" w:rsidP="009204FA">
            <w:pPr>
              <w:numPr>
                <w:ilvl w:val="0"/>
                <w:numId w:val="19"/>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Ensure that 75% of youth funds are</w:t>
            </w:r>
            <w:r w:rsidR="0004482C" w:rsidRPr="004A0C12">
              <w:rPr>
                <w:rFonts w:ascii="Garamond" w:hAnsi="Garamond"/>
                <w:sz w:val="22"/>
                <w:szCs w:val="22"/>
              </w:rPr>
              <w:t xml:space="preserve"> properly allocated to serve Out-of-School Youth </w:t>
            </w:r>
          </w:p>
          <w:p w14:paraId="030C8DD8" w14:textId="77777777" w:rsidR="0004482C" w:rsidRPr="004A0C12" w:rsidRDefault="0004482C" w:rsidP="009204FA">
            <w:pPr>
              <w:numPr>
                <w:ilvl w:val="0"/>
                <w:numId w:val="19"/>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Expand system capacity </w:t>
            </w:r>
          </w:p>
          <w:p w14:paraId="04B1329F" w14:textId="77777777" w:rsidR="0004482C" w:rsidRPr="004A0C12" w:rsidRDefault="0004482C" w:rsidP="009204FA">
            <w:pPr>
              <w:numPr>
                <w:ilvl w:val="0"/>
                <w:numId w:val="19"/>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Improve work-based youth activities </w:t>
            </w:r>
          </w:p>
          <w:p w14:paraId="32A8C03F" w14:textId="77777777" w:rsidR="0004482C" w:rsidRPr="004A0C12" w:rsidRDefault="0004482C" w:rsidP="009204FA">
            <w:pPr>
              <w:numPr>
                <w:ilvl w:val="0"/>
                <w:numId w:val="19"/>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Enhance services for youth with disabilities</w:t>
            </w:r>
          </w:p>
        </w:tc>
        <w:tc>
          <w:tcPr>
            <w:cnfStyle w:val="000010000000" w:firstRow="0" w:lastRow="0" w:firstColumn="0" w:lastColumn="0" w:oddVBand="1" w:evenVBand="0" w:oddHBand="0" w:evenHBand="0" w:firstRowFirstColumn="0" w:firstRowLastColumn="0" w:lastRowFirstColumn="0" w:lastRowLastColumn="0"/>
            <w:tcW w:w="4785" w:type="dxa"/>
          </w:tcPr>
          <w:p w14:paraId="0EE40496"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 xml:space="preserve">Anne Arundel Workforce Development Corporation </w:t>
            </w:r>
          </w:p>
          <w:p w14:paraId="5C909DD8"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 xml:space="preserve">Baltimore City Mayor’s Office of Employment Development </w:t>
            </w:r>
          </w:p>
          <w:p w14:paraId="33045FE1"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 xml:space="preserve">Baltimore County Department of Economic &amp; Workforce Development </w:t>
            </w:r>
          </w:p>
          <w:p w14:paraId="49DF109B"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Caroline County Department of Social Services</w:t>
            </w:r>
          </w:p>
          <w:p w14:paraId="0D8CEA4C"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Governor’s Office for Children</w:t>
            </w:r>
          </w:p>
          <w:p w14:paraId="72050CDE"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Governor’s Workforce Investment Board</w:t>
            </w:r>
          </w:p>
          <w:p w14:paraId="46CBA7BE"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Humanim</w:t>
            </w:r>
          </w:p>
          <w:p w14:paraId="0DEF110C"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Kent County Department of Social Services</w:t>
            </w:r>
          </w:p>
          <w:p w14:paraId="276DB7DA"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Maryland Department of Health and Mental Hygiene</w:t>
            </w:r>
          </w:p>
          <w:p w14:paraId="3732EC67"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Maryland Department of Juvenile Services</w:t>
            </w:r>
          </w:p>
          <w:p w14:paraId="37A40CD3" w14:textId="64CAE399"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Department of Human Resources—</w:t>
            </w:r>
            <w:r w:rsidRPr="004A0C12">
              <w:rPr>
                <w:rFonts w:ascii="Garamond" w:hAnsi="Garamond"/>
                <w:sz w:val="22"/>
                <w:szCs w:val="22"/>
              </w:rPr>
              <w:t xml:space="preserve">Social Services Administration </w:t>
            </w:r>
          </w:p>
          <w:p w14:paraId="2B8CD997"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Maryland DLLR- Division of Workforce Development and Adult Learning</w:t>
            </w:r>
          </w:p>
          <w:p w14:paraId="55842EA6"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Maryland Developmental  Disabilities Council</w:t>
            </w:r>
          </w:p>
          <w:p w14:paraId="4AFE8A5E" w14:textId="384933B0"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Maryland</w:t>
            </w:r>
            <w:r w:rsidR="008C2267" w:rsidRPr="004A0C12">
              <w:rPr>
                <w:rFonts w:ascii="Garamond" w:hAnsi="Garamond"/>
                <w:sz w:val="22"/>
                <w:szCs w:val="22"/>
              </w:rPr>
              <w:t xml:space="preserve"> State Department of Education—</w:t>
            </w:r>
            <w:r w:rsidRPr="004A0C12">
              <w:rPr>
                <w:rFonts w:ascii="Garamond" w:hAnsi="Garamond"/>
                <w:sz w:val="22"/>
                <w:szCs w:val="22"/>
              </w:rPr>
              <w:t xml:space="preserve">Division of College and Career Readiness </w:t>
            </w:r>
          </w:p>
          <w:p w14:paraId="220F1FDA" w14:textId="7C8C736A"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State Department of Education—</w:t>
            </w:r>
            <w:r w:rsidRPr="004A0C12">
              <w:rPr>
                <w:rFonts w:ascii="Garamond" w:hAnsi="Garamond"/>
                <w:sz w:val="22"/>
                <w:szCs w:val="22"/>
              </w:rPr>
              <w:t xml:space="preserve">Division of Rehabilitation Services </w:t>
            </w:r>
          </w:p>
          <w:p w14:paraId="3945B0A8" w14:textId="5982E863"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State Department of Education—</w:t>
            </w:r>
            <w:r w:rsidRPr="004A0C12">
              <w:rPr>
                <w:rFonts w:ascii="Garamond" w:hAnsi="Garamond"/>
                <w:sz w:val="22"/>
                <w:szCs w:val="22"/>
              </w:rPr>
              <w:t xml:space="preserve">Division of Special Education </w:t>
            </w:r>
          </w:p>
          <w:p w14:paraId="4196FB4B"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Mid-Maryland Workforce Investment Area</w:t>
            </w:r>
          </w:p>
          <w:p w14:paraId="5833330D"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Montgomery County Division of Workforce Investment Services</w:t>
            </w:r>
          </w:p>
          <w:p w14:paraId="3F3A6C83"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Somerset County Department of Social Services</w:t>
            </w:r>
          </w:p>
          <w:p w14:paraId="3F61C1EB"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Talbot County Department of Social Services</w:t>
            </w:r>
          </w:p>
          <w:p w14:paraId="24593687"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Woodlands Job Corps</w:t>
            </w:r>
          </w:p>
          <w:p w14:paraId="0D8DB0F0" w14:textId="77777777" w:rsidR="0004482C" w:rsidRPr="004A0C12" w:rsidRDefault="0004482C" w:rsidP="009204FA">
            <w:pPr>
              <w:numPr>
                <w:ilvl w:val="0"/>
                <w:numId w:val="20"/>
              </w:numPr>
              <w:ind w:hanging="360"/>
              <w:rPr>
                <w:rFonts w:ascii="Garamond" w:hAnsi="Garamond"/>
                <w:sz w:val="22"/>
                <w:szCs w:val="22"/>
              </w:rPr>
            </w:pPr>
            <w:r w:rsidRPr="004A0C12">
              <w:rPr>
                <w:rFonts w:ascii="Garamond" w:hAnsi="Garamond"/>
                <w:sz w:val="22"/>
                <w:szCs w:val="22"/>
              </w:rPr>
              <w:t>Wor-Wic Community College</w:t>
            </w:r>
          </w:p>
        </w:tc>
      </w:tr>
      <w:tr w:rsidR="0004482C" w:rsidRPr="004A0C12" w14:paraId="365BD8B9" w14:textId="77777777" w:rsidTr="003A6336">
        <w:trPr>
          <w:trHeight w:val="3000"/>
        </w:trPr>
        <w:tc>
          <w:tcPr>
            <w:cnfStyle w:val="000010000000" w:firstRow="0" w:lastRow="0" w:firstColumn="0" w:lastColumn="0" w:oddVBand="1" w:evenVBand="0" w:oddHBand="0" w:evenHBand="0" w:firstRowFirstColumn="0" w:firstRowLastColumn="0" w:lastRowFirstColumn="0" w:lastRowLastColumn="0"/>
            <w:tcW w:w="1455" w:type="dxa"/>
          </w:tcPr>
          <w:p w14:paraId="449E1929" w14:textId="77777777" w:rsidR="0004482C" w:rsidRPr="004A0C12" w:rsidRDefault="0004482C" w:rsidP="0004482C">
            <w:pPr>
              <w:jc w:val="center"/>
              <w:rPr>
                <w:rFonts w:ascii="Garamond" w:hAnsi="Garamond"/>
                <w:sz w:val="22"/>
                <w:szCs w:val="22"/>
              </w:rPr>
            </w:pPr>
          </w:p>
          <w:p w14:paraId="003824BF" w14:textId="77777777" w:rsidR="0004482C" w:rsidRPr="004A0C12" w:rsidRDefault="0004482C" w:rsidP="0004482C">
            <w:pPr>
              <w:jc w:val="center"/>
              <w:rPr>
                <w:rFonts w:ascii="Garamond" w:hAnsi="Garamond"/>
                <w:sz w:val="22"/>
                <w:szCs w:val="22"/>
              </w:rPr>
            </w:pPr>
            <w:r w:rsidRPr="004A0C12">
              <w:rPr>
                <w:rFonts w:ascii="Garamond" w:hAnsi="Garamond"/>
                <w:sz w:val="22"/>
                <w:szCs w:val="22"/>
              </w:rPr>
              <w:t>Business &amp; Industry Partnerships</w:t>
            </w:r>
          </w:p>
        </w:tc>
        <w:tc>
          <w:tcPr>
            <w:tcW w:w="4755" w:type="dxa"/>
          </w:tcPr>
          <w:p w14:paraId="1621BCAB" w14:textId="0A7A51A2" w:rsidR="0004482C" w:rsidRPr="004A0C12" w:rsidRDefault="00BB5F3C" w:rsidP="009204FA">
            <w:pPr>
              <w:numPr>
                <w:ilvl w:val="0"/>
                <w:numId w:val="21"/>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Involve existing Local A</w:t>
            </w:r>
            <w:r w:rsidR="0004482C" w:rsidRPr="004A0C12">
              <w:rPr>
                <w:rFonts w:ascii="Garamond" w:hAnsi="Garamond"/>
                <w:sz w:val="22"/>
                <w:szCs w:val="22"/>
              </w:rPr>
              <w:t>rea business engagement plan teams</w:t>
            </w:r>
          </w:p>
          <w:p w14:paraId="36536522" w14:textId="4F20FF78" w:rsidR="0004482C" w:rsidRPr="004A0C12" w:rsidRDefault="00BB5F3C" w:rsidP="009204FA">
            <w:pPr>
              <w:numPr>
                <w:ilvl w:val="0"/>
                <w:numId w:val="21"/>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Collect input from Local A</w:t>
            </w:r>
            <w:r w:rsidR="0004482C" w:rsidRPr="004A0C12">
              <w:rPr>
                <w:rFonts w:ascii="Garamond" w:hAnsi="Garamond"/>
                <w:sz w:val="22"/>
                <w:szCs w:val="22"/>
              </w:rPr>
              <w:t>reas then share ideas with the work group</w:t>
            </w:r>
          </w:p>
          <w:p w14:paraId="2F2189E8" w14:textId="77777777" w:rsidR="0004482C" w:rsidRPr="004A0C12" w:rsidRDefault="0004482C" w:rsidP="009204FA">
            <w:pPr>
              <w:numPr>
                <w:ilvl w:val="0"/>
                <w:numId w:val="21"/>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Allow for input and data at local, regional, and state levels</w:t>
            </w:r>
          </w:p>
          <w:p w14:paraId="044350DB" w14:textId="56AE8E76" w:rsidR="0004482C" w:rsidRPr="004A0C12" w:rsidRDefault="0004482C" w:rsidP="009204FA">
            <w:pPr>
              <w:numPr>
                <w:ilvl w:val="0"/>
                <w:numId w:val="21"/>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De</w:t>
            </w:r>
            <w:r w:rsidR="003A6336" w:rsidRPr="004A0C12">
              <w:rPr>
                <w:rFonts w:ascii="Garamond" w:hAnsi="Garamond"/>
                <w:sz w:val="22"/>
                <w:szCs w:val="22"/>
              </w:rPr>
              <w:t>velop common measures and</w:t>
            </w:r>
            <w:r w:rsidRPr="004A0C12">
              <w:rPr>
                <w:rFonts w:ascii="Garamond" w:hAnsi="Garamond"/>
                <w:sz w:val="22"/>
                <w:szCs w:val="22"/>
              </w:rPr>
              <w:t xml:space="preserve"> platforms</w:t>
            </w:r>
          </w:p>
        </w:tc>
        <w:tc>
          <w:tcPr>
            <w:cnfStyle w:val="000010000000" w:firstRow="0" w:lastRow="0" w:firstColumn="0" w:lastColumn="0" w:oddVBand="1" w:evenVBand="0" w:oddHBand="0" w:evenHBand="0" w:firstRowFirstColumn="0" w:firstRowLastColumn="0" w:lastRowFirstColumn="0" w:lastRowLastColumn="0"/>
            <w:tcW w:w="4785" w:type="dxa"/>
          </w:tcPr>
          <w:p w14:paraId="258194BD" w14:textId="77777777"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 xml:space="preserve">Anne Arundel Workforce Development Corporation </w:t>
            </w:r>
          </w:p>
          <w:p w14:paraId="7733CC75" w14:textId="77777777"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 xml:space="preserve">Baltimore City Mayor’s Office of Employment Development </w:t>
            </w:r>
          </w:p>
          <w:p w14:paraId="19378E61" w14:textId="77777777"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Frederick County Workforce Services</w:t>
            </w:r>
          </w:p>
          <w:p w14:paraId="035DEC0B" w14:textId="77777777"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Governor’s Workforce Investment Board</w:t>
            </w:r>
          </w:p>
          <w:p w14:paraId="45351C71" w14:textId="77777777"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 xml:space="preserve">Hagerstown Community College </w:t>
            </w:r>
          </w:p>
          <w:p w14:paraId="2190E89B" w14:textId="77777777"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Maryland Department of Commerce</w:t>
            </w:r>
          </w:p>
          <w:p w14:paraId="4F3835B5" w14:textId="2C720672"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Department of Human Resources—</w:t>
            </w:r>
            <w:r w:rsidRPr="004A0C12">
              <w:rPr>
                <w:rFonts w:ascii="Garamond" w:hAnsi="Garamond"/>
                <w:sz w:val="22"/>
                <w:szCs w:val="22"/>
              </w:rPr>
              <w:t xml:space="preserve">Family Investment Administration </w:t>
            </w:r>
          </w:p>
          <w:p w14:paraId="3A7151D2" w14:textId="61E5BF5D" w:rsidR="0004482C" w:rsidRPr="004A0C12" w:rsidRDefault="008C2267" w:rsidP="009204FA">
            <w:pPr>
              <w:numPr>
                <w:ilvl w:val="0"/>
                <w:numId w:val="22"/>
              </w:numPr>
              <w:ind w:hanging="360"/>
              <w:rPr>
                <w:rFonts w:ascii="Garamond" w:hAnsi="Garamond"/>
                <w:sz w:val="22"/>
                <w:szCs w:val="22"/>
              </w:rPr>
            </w:pPr>
            <w:r w:rsidRPr="004A0C12">
              <w:rPr>
                <w:rFonts w:ascii="Garamond" w:hAnsi="Garamond"/>
                <w:sz w:val="22"/>
                <w:szCs w:val="22"/>
              </w:rPr>
              <w:t>Maryland DLLR—</w:t>
            </w:r>
            <w:r w:rsidR="0004482C" w:rsidRPr="004A0C12">
              <w:rPr>
                <w:rFonts w:ascii="Garamond" w:hAnsi="Garamond"/>
                <w:sz w:val="22"/>
                <w:szCs w:val="22"/>
              </w:rPr>
              <w:t xml:space="preserve">Division of Workforce Development &amp; Adult Learning </w:t>
            </w:r>
          </w:p>
          <w:p w14:paraId="285CC2CD" w14:textId="4CE4962C" w:rsidR="0004482C" w:rsidRPr="004A0C12" w:rsidRDefault="008C2267" w:rsidP="009204FA">
            <w:pPr>
              <w:numPr>
                <w:ilvl w:val="0"/>
                <w:numId w:val="22"/>
              </w:numPr>
              <w:ind w:hanging="360"/>
              <w:rPr>
                <w:rFonts w:ascii="Garamond" w:hAnsi="Garamond"/>
                <w:sz w:val="22"/>
                <w:szCs w:val="22"/>
              </w:rPr>
            </w:pPr>
            <w:r w:rsidRPr="004A0C12">
              <w:rPr>
                <w:rFonts w:ascii="Garamond" w:hAnsi="Garamond"/>
                <w:sz w:val="22"/>
                <w:szCs w:val="22"/>
              </w:rPr>
              <w:t>Maryland DLLR—</w:t>
            </w:r>
            <w:r w:rsidR="0004482C" w:rsidRPr="004A0C12">
              <w:rPr>
                <w:rFonts w:ascii="Garamond" w:hAnsi="Garamond"/>
                <w:sz w:val="22"/>
                <w:szCs w:val="22"/>
              </w:rPr>
              <w:t>Division of Unemployment Insurance</w:t>
            </w:r>
          </w:p>
          <w:p w14:paraId="09AA0054" w14:textId="46E7FFD4"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State Department of Education—</w:t>
            </w:r>
            <w:r w:rsidRPr="004A0C12">
              <w:rPr>
                <w:rFonts w:ascii="Garamond" w:hAnsi="Garamond"/>
                <w:sz w:val="22"/>
                <w:szCs w:val="22"/>
              </w:rPr>
              <w:t>Division of Rehabilitation Services</w:t>
            </w:r>
          </w:p>
          <w:p w14:paraId="59DB3F6D" w14:textId="77777777"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Tri-County Council for Southern Maryland</w:t>
            </w:r>
          </w:p>
          <w:p w14:paraId="4B1D192E" w14:textId="77777777" w:rsidR="0004482C" w:rsidRPr="004A0C12" w:rsidRDefault="0004482C" w:rsidP="009204FA">
            <w:pPr>
              <w:numPr>
                <w:ilvl w:val="0"/>
                <w:numId w:val="22"/>
              </w:numPr>
              <w:ind w:hanging="360"/>
              <w:rPr>
                <w:rFonts w:ascii="Garamond" w:hAnsi="Garamond"/>
                <w:sz w:val="22"/>
                <w:szCs w:val="22"/>
              </w:rPr>
            </w:pPr>
            <w:r w:rsidRPr="004A0C12">
              <w:rPr>
                <w:rFonts w:ascii="Garamond" w:hAnsi="Garamond"/>
                <w:sz w:val="22"/>
                <w:szCs w:val="22"/>
              </w:rPr>
              <w:t xml:space="preserve">Wicomico County Department of Social Services </w:t>
            </w:r>
          </w:p>
        </w:tc>
      </w:tr>
      <w:tr w:rsidR="0004482C" w:rsidRPr="004A0C12" w14:paraId="4BDE19EA" w14:textId="77777777" w:rsidTr="00825D0C">
        <w:trPr>
          <w:cnfStyle w:val="000000100000" w:firstRow="0" w:lastRow="0" w:firstColumn="0" w:lastColumn="0" w:oddVBand="0" w:evenVBand="0" w:oddHBand="1" w:evenHBand="0" w:firstRowFirstColumn="0" w:firstRowLastColumn="0" w:lastRowFirstColumn="0" w:lastRowLastColumn="0"/>
          <w:trHeight w:val="1520"/>
        </w:trPr>
        <w:tc>
          <w:tcPr>
            <w:cnfStyle w:val="000010000000" w:firstRow="0" w:lastRow="0" w:firstColumn="0" w:lastColumn="0" w:oddVBand="1" w:evenVBand="0" w:oddHBand="0" w:evenHBand="0" w:firstRowFirstColumn="0" w:firstRowLastColumn="0" w:lastRowFirstColumn="0" w:lastRowLastColumn="0"/>
            <w:tcW w:w="1455" w:type="dxa"/>
          </w:tcPr>
          <w:p w14:paraId="7C95F0F8" w14:textId="77777777" w:rsidR="0004482C" w:rsidRPr="004A0C12" w:rsidRDefault="0004482C" w:rsidP="0004482C">
            <w:pPr>
              <w:jc w:val="center"/>
              <w:rPr>
                <w:rFonts w:ascii="Garamond" w:hAnsi="Garamond"/>
                <w:sz w:val="22"/>
                <w:szCs w:val="22"/>
              </w:rPr>
            </w:pPr>
          </w:p>
          <w:p w14:paraId="1F4A4A0A" w14:textId="77777777" w:rsidR="0004482C" w:rsidRPr="004A0C12" w:rsidRDefault="0004482C" w:rsidP="0004482C">
            <w:pPr>
              <w:jc w:val="center"/>
              <w:rPr>
                <w:rFonts w:ascii="Garamond" w:hAnsi="Garamond"/>
                <w:sz w:val="22"/>
                <w:szCs w:val="22"/>
              </w:rPr>
            </w:pPr>
            <w:r w:rsidRPr="004A0C12">
              <w:rPr>
                <w:rFonts w:ascii="Garamond" w:hAnsi="Garamond"/>
                <w:sz w:val="22"/>
                <w:szCs w:val="22"/>
              </w:rPr>
              <w:t>Performance Accountability</w:t>
            </w:r>
          </w:p>
        </w:tc>
        <w:tc>
          <w:tcPr>
            <w:tcW w:w="4755" w:type="dxa"/>
          </w:tcPr>
          <w:p w14:paraId="2CE98C04" w14:textId="77777777" w:rsidR="0004482C" w:rsidRPr="004A0C12" w:rsidRDefault="0004482C" w:rsidP="009204FA">
            <w:pPr>
              <w:numPr>
                <w:ilvl w:val="0"/>
                <w:numId w:val="23"/>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Implement new performance accountability measures </w:t>
            </w:r>
          </w:p>
          <w:p w14:paraId="0E1EB9B8" w14:textId="6DEBF3FC" w:rsidR="0004482C" w:rsidRPr="004A0C12" w:rsidRDefault="0004482C" w:rsidP="009204FA">
            <w:pPr>
              <w:numPr>
                <w:ilvl w:val="0"/>
                <w:numId w:val="23"/>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Determine best presentation of WIOA per</w:t>
            </w:r>
            <w:r w:rsidR="00BB5F3C" w:rsidRPr="004A0C12">
              <w:rPr>
                <w:rFonts w:ascii="Garamond" w:hAnsi="Garamond"/>
                <w:sz w:val="22"/>
                <w:szCs w:val="22"/>
              </w:rPr>
              <w:t>formance reports for state and Local A</w:t>
            </w:r>
            <w:r w:rsidRPr="004A0C12">
              <w:rPr>
                <w:rFonts w:ascii="Garamond" w:hAnsi="Garamond"/>
                <w:sz w:val="22"/>
                <w:szCs w:val="22"/>
              </w:rPr>
              <w:t xml:space="preserve">reas </w:t>
            </w:r>
          </w:p>
          <w:p w14:paraId="3F348610" w14:textId="23264303" w:rsidR="0004482C" w:rsidRPr="004A0C12" w:rsidRDefault="0004482C" w:rsidP="009204FA">
            <w:pPr>
              <w:numPr>
                <w:ilvl w:val="0"/>
                <w:numId w:val="23"/>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Develop recommendations for</w:t>
            </w:r>
            <w:r w:rsidR="006D2B26" w:rsidRPr="004A0C12">
              <w:rPr>
                <w:rFonts w:ascii="Garamond" w:hAnsi="Garamond"/>
                <w:sz w:val="22"/>
                <w:szCs w:val="22"/>
              </w:rPr>
              <w:t xml:space="preserve"> potential</w:t>
            </w:r>
            <w:r w:rsidRPr="004A0C12">
              <w:rPr>
                <w:rFonts w:ascii="Garamond" w:hAnsi="Garamond"/>
                <w:sz w:val="22"/>
                <w:szCs w:val="22"/>
              </w:rPr>
              <w:t xml:space="preserve"> additional </w:t>
            </w:r>
            <w:r w:rsidR="006D2B26" w:rsidRPr="004A0C12">
              <w:rPr>
                <w:rFonts w:ascii="Garamond" w:hAnsi="Garamond"/>
                <w:sz w:val="22"/>
                <w:szCs w:val="22"/>
              </w:rPr>
              <w:t xml:space="preserve">State </w:t>
            </w:r>
            <w:r w:rsidRPr="004A0C12">
              <w:rPr>
                <w:rFonts w:ascii="Garamond" w:hAnsi="Garamond"/>
                <w:sz w:val="22"/>
                <w:szCs w:val="22"/>
              </w:rPr>
              <w:t xml:space="preserve">measures </w:t>
            </w:r>
          </w:p>
          <w:p w14:paraId="16235B19" w14:textId="77777777" w:rsidR="0004482C" w:rsidRPr="004A0C12" w:rsidRDefault="0004482C" w:rsidP="009204FA">
            <w:pPr>
              <w:numPr>
                <w:ilvl w:val="0"/>
                <w:numId w:val="23"/>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Negotiate levels of performance/adjustment factors</w:t>
            </w:r>
          </w:p>
        </w:tc>
        <w:tc>
          <w:tcPr>
            <w:cnfStyle w:val="000010000000" w:firstRow="0" w:lastRow="0" w:firstColumn="0" w:lastColumn="0" w:oddVBand="1" w:evenVBand="0" w:oddHBand="0" w:evenHBand="0" w:firstRowFirstColumn="0" w:firstRowLastColumn="0" w:lastRowFirstColumn="0" w:lastRowLastColumn="0"/>
            <w:tcW w:w="4785" w:type="dxa"/>
          </w:tcPr>
          <w:p w14:paraId="656A9530"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Anne Arundel Workforce Development Corporation </w:t>
            </w:r>
          </w:p>
          <w:p w14:paraId="44EA3ABD"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Baltimore City Mayor’s Office of Employment Development</w:t>
            </w:r>
          </w:p>
          <w:p w14:paraId="68DC3881"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Baltimore County Department of Social Services</w:t>
            </w:r>
          </w:p>
          <w:p w14:paraId="63709084"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Baltimore County Department of Workforce &amp; Economic Development </w:t>
            </w:r>
          </w:p>
          <w:p w14:paraId="7065081E"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Carroll County Government </w:t>
            </w:r>
          </w:p>
          <w:p w14:paraId="6EF563E0"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Dorchester County Department of Social Services</w:t>
            </w:r>
          </w:p>
          <w:p w14:paraId="570587AD"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Frederick County Workforce Services  </w:t>
            </w:r>
          </w:p>
          <w:p w14:paraId="0A32E911" w14:textId="62FD24FF"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Department of Human Resources—</w:t>
            </w:r>
            <w:r w:rsidRPr="004A0C12">
              <w:rPr>
                <w:rFonts w:ascii="Garamond" w:hAnsi="Garamond"/>
                <w:sz w:val="22"/>
                <w:szCs w:val="22"/>
              </w:rPr>
              <w:t xml:space="preserve">Family Investment Administration </w:t>
            </w:r>
          </w:p>
          <w:p w14:paraId="5E23F642"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Maryland DLLR- Division of Workforce Development &amp; Adult Learning</w:t>
            </w:r>
          </w:p>
          <w:p w14:paraId="24AB2DF3"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Maryland Higher Education Commission </w:t>
            </w:r>
          </w:p>
          <w:p w14:paraId="560E934D" w14:textId="3F3F90FA"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State Department of Education—</w:t>
            </w:r>
            <w:r w:rsidRPr="004A0C12">
              <w:rPr>
                <w:rFonts w:ascii="Garamond" w:hAnsi="Garamond"/>
                <w:sz w:val="22"/>
                <w:szCs w:val="22"/>
              </w:rPr>
              <w:t xml:space="preserve">Division of Rehabilitation Services </w:t>
            </w:r>
          </w:p>
          <w:p w14:paraId="0835CA84" w14:textId="32F45023"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State Department of Education—</w:t>
            </w:r>
            <w:r w:rsidRPr="004A0C12">
              <w:rPr>
                <w:rFonts w:ascii="Garamond" w:hAnsi="Garamond"/>
                <w:sz w:val="22"/>
                <w:szCs w:val="22"/>
              </w:rPr>
              <w:t xml:space="preserve">Division of College and Career Readiness </w:t>
            </w:r>
          </w:p>
          <w:p w14:paraId="12A6DFC1"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Montgomery County Division of Workforce Investment Services</w:t>
            </w:r>
          </w:p>
          <w:p w14:paraId="26E2B2A0"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Prince George’s County Economic Development Corporation</w:t>
            </w:r>
          </w:p>
          <w:p w14:paraId="61EB70DA"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Susquehanna Workforce Network, Inc. </w:t>
            </w:r>
          </w:p>
          <w:p w14:paraId="20553509"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Tri-County Council for the Lower Eastern Shore </w:t>
            </w:r>
            <w:r w:rsidRPr="004A0C12">
              <w:rPr>
                <w:rFonts w:ascii="Garamond" w:hAnsi="Garamond"/>
                <w:sz w:val="22"/>
                <w:szCs w:val="22"/>
              </w:rPr>
              <w:lastRenderedPageBreak/>
              <w:t>of Maryland</w:t>
            </w:r>
          </w:p>
          <w:p w14:paraId="7FE06BF0"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Tri-County Council for Southern Maryland</w:t>
            </w:r>
          </w:p>
          <w:p w14:paraId="5F99D5F0"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Upper Shore Workforce Investment Board</w:t>
            </w:r>
          </w:p>
          <w:p w14:paraId="2BB14CDA" w14:textId="77777777" w:rsidR="0004482C" w:rsidRPr="004A0C12" w:rsidRDefault="0004482C" w:rsidP="009204FA">
            <w:pPr>
              <w:numPr>
                <w:ilvl w:val="0"/>
                <w:numId w:val="24"/>
              </w:numPr>
              <w:ind w:hanging="360"/>
              <w:rPr>
                <w:rFonts w:ascii="Garamond" w:hAnsi="Garamond"/>
                <w:sz w:val="22"/>
                <w:szCs w:val="22"/>
              </w:rPr>
            </w:pPr>
            <w:r w:rsidRPr="004A0C12">
              <w:rPr>
                <w:rFonts w:ascii="Garamond" w:hAnsi="Garamond"/>
                <w:sz w:val="22"/>
                <w:szCs w:val="22"/>
              </w:rPr>
              <w:t xml:space="preserve">Western Maryland Consortium </w:t>
            </w:r>
          </w:p>
        </w:tc>
      </w:tr>
      <w:tr w:rsidR="0004482C" w:rsidRPr="004A0C12" w14:paraId="4AF46A03" w14:textId="77777777" w:rsidTr="003A6336">
        <w:trPr>
          <w:trHeight w:val="2600"/>
        </w:trPr>
        <w:tc>
          <w:tcPr>
            <w:cnfStyle w:val="000010000000" w:firstRow="0" w:lastRow="0" w:firstColumn="0" w:lastColumn="0" w:oddVBand="1" w:evenVBand="0" w:oddHBand="0" w:evenHBand="0" w:firstRowFirstColumn="0" w:firstRowLastColumn="0" w:lastRowFirstColumn="0" w:lastRowLastColumn="0"/>
            <w:tcW w:w="1455" w:type="dxa"/>
          </w:tcPr>
          <w:p w14:paraId="2295143B" w14:textId="77777777" w:rsidR="0004482C" w:rsidRPr="004A0C12" w:rsidRDefault="0004482C" w:rsidP="0004482C">
            <w:pPr>
              <w:jc w:val="center"/>
              <w:rPr>
                <w:rFonts w:ascii="Garamond" w:hAnsi="Garamond"/>
                <w:sz w:val="22"/>
                <w:szCs w:val="22"/>
              </w:rPr>
            </w:pPr>
          </w:p>
          <w:p w14:paraId="4C35D654" w14:textId="77777777" w:rsidR="0004482C" w:rsidRPr="004A0C12" w:rsidRDefault="0004482C" w:rsidP="0004482C">
            <w:pPr>
              <w:jc w:val="center"/>
              <w:rPr>
                <w:rFonts w:ascii="Garamond" w:hAnsi="Garamond"/>
                <w:sz w:val="22"/>
                <w:szCs w:val="22"/>
              </w:rPr>
            </w:pPr>
            <w:r w:rsidRPr="004A0C12">
              <w:rPr>
                <w:rFonts w:ascii="Garamond" w:hAnsi="Garamond"/>
                <w:sz w:val="22"/>
                <w:szCs w:val="22"/>
              </w:rPr>
              <w:t>Labor Market Information &amp; Sector Strategies</w:t>
            </w:r>
          </w:p>
        </w:tc>
        <w:tc>
          <w:tcPr>
            <w:tcW w:w="4755" w:type="dxa"/>
          </w:tcPr>
          <w:p w14:paraId="77E7F9FD" w14:textId="4D4E4381" w:rsidR="0004482C" w:rsidRPr="004A0C12" w:rsidRDefault="0004482C" w:rsidP="009204FA">
            <w:pPr>
              <w:numPr>
                <w:ilvl w:val="0"/>
                <w:numId w:val="25"/>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Inform sector strategies of Labor Market Information</w:t>
            </w:r>
            <w:r w:rsidR="008C2267" w:rsidRPr="004A0C12">
              <w:rPr>
                <w:rFonts w:ascii="Garamond" w:hAnsi="Garamond"/>
                <w:sz w:val="22"/>
                <w:szCs w:val="22"/>
              </w:rPr>
              <w:t xml:space="preserve"> (LMI)</w:t>
            </w:r>
          </w:p>
          <w:p w14:paraId="38554387" w14:textId="48F2B9F8" w:rsidR="0004482C" w:rsidRPr="004A0C12" w:rsidRDefault="0004482C" w:rsidP="009204FA">
            <w:pPr>
              <w:numPr>
                <w:ilvl w:val="0"/>
                <w:numId w:val="25"/>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Shape state and local</w:t>
            </w:r>
            <w:r w:rsidR="008526E8" w:rsidRPr="004A0C12">
              <w:rPr>
                <w:rFonts w:ascii="Garamond" w:hAnsi="Garamond"/>
                <w:sz w:val="22"/>
                <w:szCs w:val="22"/>
              </w:rPr>
              <w:t xml:space="preserve"> plans with L</w:t>
            </w:r>
            <w:r w:rsidRPr="004A0C12">
              <w:rPr>
                <w:rFonts w:ascii="Garamond" w:hAnsi="Garamond"/>
                <w:sz w:val="22"/>
                <w:szCs w:val="22"/>
              </w:rPr>
              <w:t xml:space="preserve">MI  </w:t>
            </w:r>
          </w:p>
          <w:p w14:paraId="078B462F" w14:textId="77777777" w:rsidR="0004482C" w:rsidRPr="004A0C12" w:rsidRDefault="0004482C" w:rsidP="009204FA">
            <w:pPr>
              <w:numPr>
                <w:ilvl w:val="0"/>
                <w:numId w:val="25"/>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Use LMI in the regional delineation of economic activity </w:t>
            </w:r>
          </w:p>
          <w:p w14:paraId="5B053250" w14:textId="77777777" w:rsidR="0004482C" w:rsidRPr="004A0C12" w:rsidRDefault="0004482C" w:rsidP="009204FA">
            <w:pPr>
              <w:numPr>
                <w:ilvl w:val="0"/>
                <w:numId w:val="25"/>
              </w:numPr>
              <w:ind w:hanging="36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Evaluate current LMI tools and resources</w:t>
            </w:r>
          </w:p>
        </w:tc>
        <w:tc>
          <w:tcPr>
            <w:cnfStyle w:val="000010000000" w:firstRow="0" w:lastRow="0" w:firstColumn="0" w:lastColumn="0" w:oddVBand="1" w:evenVBand="0" w:oddHBand="0" w:evenHBand="0" w:firstRowFirstColumn="0" w:firstRowLastColumn="0" w:lastRowFirstColumn="0" w:lastRowLastColumn="0"/>
            <w:tcW w:w="4785" w:type="dxa"/>
          </w:tcPr>
          <w:p w14:paraId="71680A6A" w14:textId="77777777" w:rsidR="0004482C" w:rsidRPr="004A0C12" w:rsidRDefault="0004482C" w:rsidP="009204FA">
            <w:pPr>
              <w:numPr>
                <w:ilvl w:val="0"/>
                <w:numId w:val="26"/>
              </w:numPr>
              <w:ind w:hanging="360"/>
              <w:jc w:val="both"/>
              <w:rPr>
                <w:rFonts w:ascii="Garamond" w:hAnsi="Garamond"/>
                <w:sz w:val="22"/>
                <w:szCs w:val="22"/>
              </w:rPr>
            </w:pPr>
            <w:r w:rsidRPr="004A0C12">
              <w:rPr>
                <w:rFonts w:ascii="Garamond" w:hAnsi="Garamond"/>
                <w:sz w:val="22"/>
                <w:szCs w:val="22"/>
              </w:rPr>
              <w:t>Baltimore Development Corporation</w:t>
            </w:r>
          </w:p>
          <w:p w14:paraId="3F647F2A" w14:textId="77777777" w:rsidR="0004482C" w:rsidRPr="004A0C12" w:rsidRDefault="0004482C" w:rsidP="009204FA">
            <w:pPr>
              <w:numPr>
                <w:ilvl w:val="0"/>
                <w:numId w:val="26"/>
              </w:numPr>
              <w:ind w:hanging="360"/>
              <w:jc w:val="both"/>
              <w:rPr>
                <w:rFonts w:ascii="Garamond" w:hAnsi="Garamond"/>
                <w:sz w:val="22"/>
                <w:szCs w:val="22"/>
              </w:rPr>
            </w:pPr>
            <w:r w:rsidRPr="004A0C12">
              <w:rPr>
                <w:rFonts w:ascii="Garamond" w:hAnsi="Garamond"/>
                <w:sz w:val="22"/>
                <w:szCs w:val="22"/>
              </w:rPr>
              <w:t xml:space="preserve">Lower Shore Workforce Alliance </w:t>
            </w:r>
          </w:p>
          <w:p w14:paraId="0D6F5570" w14:textId="77777777" w:rsidR="0004482C" w:rsidRPr="004A0C12" w:rsidRDefault="0004482C" w:rsidP="008C2267">
            <w:pPr>
              <w:numPr>
                <w:ilvl w:val="0"/>
                <w:numId w:val="26"/>
              </w:numPr>
              <w:ind w:hanging="360"/>
              <w:rPr>
                <w:rFonts w:ascii="Garamond" w:hAnsi="Garamond"/>
                <w:sz w:val="22"/>
                <w:szCs w:val="22"/>
              </w:rPr>
            </w:pPr>
            <w:r w:rsidRPr="004A0C12">
              <w:rPr>
                <w:rFonts w:ascii="Garamond" w:hAnsi="Garamond"/>
                <w:sz w:val="22"/>
                <w:szCs w:val="22"/>
              </w:rPr>
              <w:t>Maryland Department of Commerce</w:t>
            </w:r>
          </w:p>
          <w:p w14:paraId="032D61BD" w14:textId="0C7BCDDA" w:rsidR="0004482C" w:rsidRPr="004A0C12" w:rsidRDefault="0004482C" w:rsidP="008C2267">
            <w:pPr>
              <w:numPr>
                <w:ilvl w:val="0"/>
                <w:numId w:val="26"/>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Department of Human Resources—</w:t>
            </w:r>
            <w:r w:rsidRPr="004A0C12">
              <w:rPr>
                <w:rFonts w:ascii="Garamond" w:hAnsi="Garamond"/>
                <w:sz w:val="22"/>
                <w:szCs w:val="22"/>
              </w:rPr>
              <w:t xml:space="preserve">Family Investment Administration </w:t>
            </w:r>
          </w:p>
          <w:p w14:paraId="7F0B3E0A" w14:textId="06E66245" w:rsidR="0004482C" w:rsidRPr="004A0C12" w:rsidRDefault="008C2267" w:rsidP="008C2267">
            <w:pPr>
              <w:numPr>
                <w:ilvl w:val="0"/>
                <w:numId w:val="26"/>
              </w:numPr>
              <w:ind w:hanging="360"/>
              <w:rPr>
                <w:rFonts w:ascii="Garamond" w:hAnsi="Garamond"/>
                <w:sz w:val="22"/>
                <w:szCs w:val="22"/>
              </w:rPr>
            </w:pPr>
            <w:r w:rsidRPr="004A0C12">
              <w:rPr>
                <w:rFonts w:ascii="Garamond" w:hAnsi="Garamond"/>
                <w:sz w:val="22"/>
                <w:szCs w:val="22"/>
              </w:rPr>
              <w:t>Maryland DLLR—</w:t>
            </w:r>
            <w:r w:rsidR="0004482C" w:rsidRPr="004A0C12">
              <w:rPr>
                <w:rFonts w:ascii="Garamond" w:hAnsi="Garamond"/>
                <w:sz w:val="22"/>
                <w:szCs w:val="22"/>
              </w:rPr>
              <w:t xml:space="preserve">Division of Workforce Development &amp; Adult Learning </w:t>
            </w:r>
          </w:p>
          <w:p w14:paraId="6D57F02E" w14:textId="011F110D" w:rsidR="0004482C" w:rsidRPr="004A0C12" w:rsidRDefault="0004482C" w:rsidP="008C2267">
            <w:pPr>
              <w:numPr>
                <w:ilvl w:val="0"/>
                <w:numId w:val="26"/>
              </w:numPr>
              <w:ind w:hanging="360"/>
              <w:rPr>
                <w:rFonts w:ascii="Garamond" w:hAnsi="Garamond"/>
                <w:sz w:val="22"/>
                <w:szCs w:val="22"/>
              </w:rPr>
            </w:pPr>
            <w:r w:rsidRPr="004A0C12">
              <w:rPr>
                <w:rFonts w:ascii="Garamond" w:hAnsi="Garamond"/>
                <w:sz w:val="22"/>
                <w:szCs w:val="22"/>
              </w:rPr>
              <w:t xml:space="preserve">Maryland </w:t>
            </w:r>
            <w:r w:rsidR="008C2267" w:rsidRPr="004A0C12">
              <w:rPr>
                <w:rFonts w:ascii="Garamond" w:hAnsi="Garamond"/>
                <w:sz w:val="22"/>
                <w:szCs w:val="22"/>
              </w:rPr>
              <w:t>State Department of Education—</w:t>
            </w:r>
            <w:r w:rsidRPr="004A0C12">
              <w:rPr>
                <w:rFonts w:ascii="Garamond" w:hAnsi="Garamond"/>
                <w:sz w:val="22"/>
                <w:szCs w:val="22"/>
              </w:rPr>
              <w:t xml:space="preserve">Division of Rehabilitation Services </w:t>
            </w:r>
          </w:p>
          <w:p w14:paraId="61A610DE" w14:textId="77777777" w:rsidR="0004482C" w:rsidRPr="004A0C12" w:rsidRDefault="0004482C" w:rsidP="008C2267">
            <w:pPr>
              <w:numPr>
                <w:ilvl w:val="0"/>
                <w:numId w:val="26"/>
              </w:numPr>
              <w:ind w:hanging="360"/>
              <w:rPr>
                <w:rFonts w:ascii="Garamond" w:hAnsi="Garamond"/>
                <w:sz w:val="22"/>
                <w:szCs w:val="22"/>
              </w:rPr>
            </w:pPr>
            <w:r w:rsidRPr="004A0C12">
              <w:rPr>
                <w:rFonts w:ascii="Garamond" w:hAnsi="Garamond"/>
                <w:sz w:val="22"/>
                <w:szCs w:val="22"/>
              </w:rPr>
              <w:t>Towson University</w:t>
            </w:r>
          </w:p>
          <w:p w14:paraId="3AE1EDBD" w14:textId="77777777" w:rsidR="0004482C" w:rsidRPr="004A0C12" w:rsidRDefault="0004482C" w:rsidP="009204FA">
            <w:pPr>
              <w:numPr>
                <w:ilvl w:val="0"/>
                <w:numId w:val="26"/>
              </w:numPr>
              <w:ind w:hanging="360"/>
              <w:jc w:val="both"/>
              <w:rPr>
                <w:rFonts w:ascii="Garamond" w:hAnsi="Garamond"/>
                <w:sz w:val="22"/>
                <w:szCs w:val="22"/>
              </w:rPr>
            </w:pPr>
            <w:r w:rsidRPr="004A0C12">
              <w:rPr>
                <w:rFonts w:ascii="Garamond" w:hAnsi="Garamond"/>
                <w:sz w:val="22"/>
                <w:szCs w:val="22"/>
              </w:rPr>
              <w:t>Tri-County Council for Southern Maryland DLLR</w:t>
            </w:r>
          </w:p>
          <w:p w14:paraId="086A4461" w14:textId="7AF6D448" w:rsidR="0004482C" w:rsidRPr="004A0C12" w:rsidRDefault="008C2267" w:rsidP="009204FA">
            <w:pPr>
              <w:numPr>
                <w:ilvl w:val="0"/>
                <w:numId w:val="26"/>
              </w:numPr>
              <w:ind w:hanging="360"/>
              <w:jc w:val="both"/>
              <w:rPr>
                <w:rFonts w:ascii="Garamond" w:hAnsi="Garamond"/>
                <w:sz w:val="22"/>
                <w:szCs w:val="22"/>
              </w:rPr>
            </w:pPr>
            <w:r w:rsidRPr="004A0C12">
              <w:rPr>
                <w:rFonts w:ascii="Garamond" w:hAnsi="Garamond"/>
                <w:sz w:val="22"/>
                <w:szCs w:val="22"/>
              </w:rPr>
              <w:t>University of Baltimore—</w:t>
            </w:r>
            <w:r w:rsidR="0004482C" w:rsidRPr="004A0C12">
              <w:rPr>
                <w:rFonts w:ascii="Garamond" w:hAnsi="Garamond"/>
                <w:sz w:val="22"/>
                <w:szCs w:val="22"/>
              </w:rPr>
              <w:t xml:space="preserve">Jacob France Institute </w:t>
            </w:r>
          </w:p>
          <w:p w14:paraId="6FCDF31C" w14:textId="77777777" w:rsidR="0004482C" w:rsidRPr="004A0C12" w:rsidRDefault="0004482C" w:rsidP="009204FA">
            <w:pPr>
              <w:numPr>
                <w:ilvl w:val="0"/>
                <w:numId w:val="26"/>
              </w:numPr>
              <w:ind w:hanging="360"/>
              <w:jc w:val="both"/>
              <w:rPr>
                <w:rFonts w:ascii="Garamond" w:hAnsi="Garamond"/>
                <w:sz w:val="22"/>
                <w:szCs w:val="22"/>
              </w:rPr>
            </w:pPr>
            <w:r w:rsidRPr="004A0C12">
              <w:rPr>
                <w:rFonts w:ascii="Garamond" w:hAnsi="Garamond"/>
                <w:sz w:val="22"/>
                <w:szCs w:val="22"/>
              </w:rPr>
              <w:t>Upper Shore Workforce Investment Board</w:t>
            </w:r>
          </w:p>
        </w:tc>
      </w:tr>
      <w:tr w:rsidR="0004482C" w:rsidRPr="004A0C12" w14:paraId="191E0086" w14:textId="77777777" w:rsidTr="00825D0C">
        <w:trPr>
          <w:cnfStyle w:val="000000100000" w:firstRow="0" w:lastRow="0" w:firstColumn="0" w:lastColumn="0" w:oddVBand="0" w:evenVBand="0" w:oddHBand="1" w:evenHBand="0" w:firstRowFirstColumn="0" w:firstRowLastColumn="0" w:lastRowFirstColumn="0" w:lastRowLastColumn="0"/>
          <w:trHeight w:val="1700"/>
        </w:trPr>
        <w:tc>
          <w:tcPr>
            <w:cnfStyle w:val="000010000000" w:firstRow="0" w:lastRow="0" w:firstColumn="0" w:lastColumn="0" w:oddVBand="1" w:evenVBand="0" w:oddHBand="0" w:evenHBand="0" w:firstRowFirstColumn="0" w:firstRowLastColumn="0" w:lastRowFirstColumn="0" w:lastRowLastColumn="0"/>
            <w:tcW w:w="1455" w:type="dxa"/>
          </w:tcPr>
          <w:p w14:paraId="1D93E436" w14:textId="77777777" w:rsidR="0004482C" w:rsidRPr="004A0C12" w:rsidRDefault="0004482C" w:rsidP="0004482C">
            <w:pPr>
              <w:jc w:val="both"/>
              <w:rPr>
                <w:rFonts w:ascii="Garamond" w:hAnsi="Garamond"/>
                <w:sz w:val="22"/>
                <w:szCs w:val="22"/>
              </w:rPr>
            </w:pPr>
          </w:p>
          <w:p w14:paraId="4DA6AD67" w14:textId="77777777" w:rsidR="0004482C" w:rsidRPr="004A0C12" w:rsidRDefault="0004482C" w:rsidP="0004482C">
            <w:pPr>
              <w:jc w:val="center"/>
              <w:rPr>
                <w:rFonts w:ascii="Garamond" w:hAnsi="Garamond"/>
                <w:sz w:val="22"/>
                <w:szCs w:val="22"/>
              </w:rPr>
            </w:pPr>
            <w:r w:rsidRPr="004A0C12">
              <w:rPr>
                <w:rFonts w:ascii="Garamond" w:hAnsi="Garamond"/>
                <w:sz w:val="22"/>
                <w:szCs w:val="22"/>
              </w:rPr>
              <w:t>Adult Education &amp; Career Pathways</w:t>
            </w:r>
          </w:p>
        </w:tc>
        <w:tc>
          <w:tcPr>
            <w:tcW w:w="4755" w:type="dxa"/>
          </w:tcPr>
          <w:p w14:paraId="428D2FD6" w14:textId="2523FD3D" w:rsidR="0004482C" w:rsidRPr="004A0C12" w:rsidRDefault="0004482C" w:rsidP="009204FA">
            <w:pPr>
              <w:numPr>
                <w:ilvl w:val="0"/>
                <w:numId w:val="27"/>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Identify best practices for integration and alignment of adult education with other WIOA c</w:t>
            </w:r>
            <w:r w:rsidR="00BB5F3C" w:rsidRPr="004A0C12">
              <w:rPr>
                <w:rFonts w:ascii="Garamond" w:hAnsi="Garamond"/>
                <w:sz w:val="22"/>
                <w:szCs w:val="22"/>
              </w:rPr>
              <w:t>ore and partner programs via a career p</w:t>
            </w:r>
            <w:r w:rsidRPr="004A0C12">
              <w:rPr>
                <w:rFonts w:ascii="Garamond" w:hAnsi="Garamond"/>
                <w:sz w:val="22"/>
                <w:szCs w:val="22"/>
              </w:rPr>
              <w:t>athways systems approach</w:t>
            </w:r>
          </w:p>
          <w:p w14:paraId="305F88C5" w14:textId="77777777" w:rsidR="0004482C" w:rsidRPr="004A0C12" w:rsidRDefault="0004482C" w:rsidP="009204FA">
            <w:pPr>
              <w:numPr>
                <w:ilvl w:val="0"/>
                <w:numId w:val="27"/>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Suggest strategies addressing any challenges to the integration and alignment of activities, including but not limited to the funding gaps</w:t>
            </w:r>
          </w:p>
          <w:p w14:paraId="3E4F6F17" w14:textId="77777777" w:rsidR="0004482C" w:rsidRPr="004A0C12" w:rsidRDefault="0004482C" w:rsidP="009204FA">
            <w:pPr>
              <w:numPr>
                <w:ilvl w:val="0"/>
                <w:numId w:val="27"/>
              </w:numPr>
              <w:ind w:hanging="36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Address the assurance of non–duplication of services for eligible populations  </w:t>
            </w:r>
          </w:p>
        </w:tc>
        <w:tc>
          <w:tcPr>
            <w:cnfStyle w:val="000010000000" w:firstRow="0" w:lastRow="0" w:firstColumn="0" w:lastColumn="0" w:oddVBand="1" w:evenVBand="0" w:oddHBand="0" w:evenHBand="0" w:firstRowFirstColumn="0" w:firstRowLastColumn="0" w:lastRowFirstColumn="0" w:lastRowLastColumn="0"/>
            <w:tcW w:w="4785" w:type="dxa"/>
          </w:tcPr>
          <w:p w14:paraId="0865A6B1" w14:textId="22D52C59"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Ann</w:t>
            </w:r>
            <w:r w:rsidR="008526E8" w:rsidRPr="004A0C12">
              <w:rPr>
                <w:rFonts w:ascii="Garamond" w:hAnsi="Garamond"/>
                <w:sz w:val="22"/>
                <w:szCs w:val="22"/>
              </w:rPr>
              <w:t>i</w:t>
            </w:r>
            <w:r w:rsidRPr="004A0C12">
              <w:rPr>
                <w:rFonts w:ascii="Garamond" w:hAnsi="Garamond"/>
                <w:sz w:val="22"/>
                <w:szCs w:val="22"/>
              </w:rPr>
              <w:t>e E. Casey Foundation</w:t>
            </w:r>
          </w:p>
          <w:p w14:paraId="3EB885E7"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Baltimore City Mayor’s Office of Employment Development</w:t>
            </w:r>
          </w:p>
          <w:p w14:paraId="47F5D233"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Baltimore Strive</w:t>
            </w:r>
          </w:p>
          <w:p w14:paraId="3C8DBBDB"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Carroll Community College</w:t>
            </w:r>
          </w:p>
          <w:p w14:paraId="246C856B"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Cecil College</w:t>
            </w:r>
          </w:p>
          <w:p w14:paraId="724730EF"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Charles County Public Schools</w:t>
            </w:r>
          </w:p>
          <w:p w14:paraId="302D4393"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Enoch Pratt Free Library</w:t>
            </w:r>
          </w:p>
          <w:p w14:paraId="538636E4"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Frederick Community College</w:t>
            </w:r>
          </w:p>
          <w:p w14:paraId="5EF4B686"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Goodwill Industries of the Chesapeake</w:t>
            </w:r>
          </w:p>
          <w:p w14:paraId="6D0B0985"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Job Opportunities Task Force</w:t>
            </w:r>
          </w:p>
          <w:p w14:paraId="5B792129"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Maryland Association of Adult Community and Continuing Education</w:t>
            </w:r>
          </w:p>
          <w:p w14:paraId="50FA06D2"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Maryland Cash Campaign</w:t>
            </w:r>
          </w:p>
          <w:p w14:paraId="22E499D5"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Maryland Department of Human Resources – Family Investment Administration</w:t>
            </w:r>
          </w:p>
          <w:p w14:paraId="36EE374D"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Maryland DLLR – Division of Workforce Development and Adult Learning</w:t>
            </w:r>
          </w:p>
          <w:p w14:paraId="6BCC6447"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 xml:space="preserve">Maryland State Department of Education – Division of College and Career Readiness </w:t>
            </w:r>
          </w:p>
          <w:p w14:paraId="1B2FF9CC"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Maryland State Department of Education – Division of Rehabilitation Services</w:t>
            </w:r>
          </w:p>
          <w:p w14:paraId="1A8EC048"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Montgomery County Department of Social Services</w:t>
            </w:r>
          </w:p>
          <w:p w14:paraId="71735455"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lastRenderedPageBreak/>
              <w:t>Prince George’s Community college</w:t>
            </w:r>
          </w:p>
          <w:p w14:paraId="70773A56"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Prince George’s County Department of Social Services</w:t>
            </w:r>
          </w:p>
          <w:p w14:paraId="2905E004"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Susquehanna Workforce Network, Inc.</w:t>
            </w:r>
          </w:p>
          <w:p w14:paraId="616FCD25" w14:textId="77777777" w:rsidR="0004482C" w:rsidRPr="004A0C12" w:rsidRDefault="0004482C" w:rsidP="009204FA">
            <w:pPr>
              <w:numPr>
                <w:ilvl w:val="0"/>
                <w:numId w:val="28"/>
              </w:numPr>
              <w:ind w:hanging="360"/>
              <w:rPr>
                <w:rFonts w:ascii="Garamond" w:hAnsi="Garamond"/>
                <w:sz w:val="22"/>
                <w:szCs w:val="22"/>
              </w:rPr>
            </w:pPr>
            <w:r w:rsidRPr="004A0C12">
              <w:rPr>
                <w:rFonts w:ascii="Garamond" w:hAnsi="Garamond"/>
                <w:sz w:val="22"/>
                <w:szCs w:val="22"/>
              </w:rPr>
              <w:t>Worcester County Department of Social Services</w:t>
            </w:r>
          </w:p>
        </w:tc>
      </w:tr>
    </w:tbl>
    <w:p w14:paraId="2F06E6BA" w14:textId="77777777" w:rsidR="0004482C" w:rsidRPr="004A0C12" w:rsidRDefault="0004482C" w:rsidP="0004482C">
      <w:pPr>
        <w:pStyle w:val="FreeForm"/>
        <w:rPr>
          <w:rFonts w:ascii="Garamond" w:hAnsi="Garamond"/>
          <w:sz w:val="22"/>
          <w:szCs w:val="22"/>
        </w:rPr>
      </w:pPr>
    </w:p>
    <w:p w14:paraId="36CE4370" w14:textId="77777777" w:rsidR="00C31637" w:rsidRPr="004A0C12" w:rsidRDefault="00C31637" w:rsidP="00C31637">
      <w:pPr>
        <w:spacing w:after="0" w:line="240" w:lineRule="auto"/>
        <w:jc w:val="both"/>
        <w:rPr>
          <w:rFonts w:ascii="Garamond" w:hAnsi="Garamond"/>
        </w:rPr>
      </w:pPr>
    </w:p>
    <w:p w14:paraId="21FDFFAC" w14:textId="77777777" w:rsidR="00866B12" w:rsidRPr="004A0C12" w:rsidRDefault="00D94068" w:rsidP="0004482C">
      <w:pPr>
        <w:rPr>
          <w:rFonts w:ascii="Garamond" w:hAnsi="Garamond"/>
        </w:rPr>
      </w:pPr>
      <w:r w:rsidRPr="004A0C12">
        <w:rPr>
          <w:rFonts w:ascii="Garamond" w:hAnsi="Garamond"/>
        </w:rPr>
        <w:t xml:space="preserve"> </w:t>
      </w:r>
    </w:p>
    <w:p w14:paraId="3A31A136" w14:textId="77777777" w:rsidR="00866B12" w:rsidRPr="00825D0C" w:rsidRDefault="00866B12" w:rsidP="00866B12">
      <w:pPr>
        <w:pStyle w:val="Heading1"/>
        <w:rPr>
          <w:rFonts w:ascii="Garamond" w:hAnsi="Garamond" w:cs="Times New Roman"/>
        </w:rPr>
      </w:pPr>
      <w:bookmarkStart w:id="4" w:name="_Toc447276064"/>
      <w:proofErr w:type="gramStart"/>
      <w:r w:rsidRPr="00825D0C">
        <w:rPr>
          <w:rFonts w:ascii="Garamond" w:hAnsi="Garamond" w:cs="Times New Roman"/>
        </w:rPr>
        <w:t>PART 2.</w:t>
      </w:r>
      <w:proofErr w:type="gramEnd"/>
      <w:r w:rsidRPr="00825D0C">
        <w:rPr>
          <w:rFonts w:ascii="Garamond" w:hAnsi="Garamond" w:cs="Times New Roman"/>
        </w:rPr>
        <w:t xml:space="preserve"> GOVERNOR HOGAN’S STRATEGIC VISION FOR THE WORKFORCE SYSTEM</w:t>
      </w:r>
      <w:bookmarkEnd w:id="4"/>
    </w:p>
    <w:p w14:paraId="1D025CED" w14:textId="77777777" w:rsidR="00866B12" w:rsidRPr="00825D0C" w:rsidRDefault="00866B12" w:rsidP="008526E8">
      <w:pPr>
        <w:pStyle w:val="Heading2"/>
        <w:rPr>
          <w:rFonts w:ascii="Garamond" w:hAnsi="Garamond"/>
          <w:sz w:val="24"/>
          <w:szCs w:val="24"/>
        </w:rPr>
      </w:pPr>
      <w:bookmarkStart w:id="5" w:name="_Toc447276065"/>
      <w:r w:rsidRPr="00825D0C">
        <w:rPr>
          <w:rStyle w:val="IntenseEmphasis"/>
          <w:rFonts w:ascii="Garamond" w:eastAsiaTheme="majorEastAsia" w:hAnsi="Garamond"/>
          <w:b/>
          <w:color w:val="4F81BD" w:themeColor="accent1"/>
          <w:sz w:val="24"/>
          <w:szCs w:val="24"/>
        </w:rPr>
        <w:t>Changing Maryland for the Better</w:t>
      </w:r>
      <w:bookmarkEnd w:id="5"/>
    </w:p>
    <w:p w14:paraId="7EB3AE6F" w14:textId="67131039" w:rsidR="00866B12" w:rsidRPr="004A0C12" w:rsidRDefault="00866B12" w:rsidP="00D94068">
      <w:pPr>
        <w:spacing w:after="0" w:line="240" w:lineRule="auto"/>
        <w:jc w:val="both"/>
        <w:rPr>
          <w:rFonts w:ascii="Garamond" w:hAnsi="Garamond"/>
        </w:rPr>
      </w:pPr>
      <w:r w:rsidRPr="004A0C12">
        <w:rPr>
          <w:rFonts w:ascii="Garamond" w:hAnsi="Garamond"/>
        </w:rPr>
        <w:t xml:space="preserve">Governor Hogan’s vision for Maryland centers on five main principles: </w:t>
      </w:r>
    </w:p>
    <w:p w14:paraId="4E37DD52" w14:textId="77777777" w:rsidR="00866B12" w:rsidRPr="004A0C12" w:rsidRDefault="00866B12" w:rsidP="009204FA">
      <w:pPr>
        <w:pStyle w:val="ListParagraph"/>
        <w:numPr>
          <w:ilvl w:val="0"/>
          <w:numId w:val="29"/>
        </w:numPr>
        <w:tabs>
          <w:tab w:val="clear" w:pos="360"/>
          <w:tab w:val="num" w:pos="1080"/>
        </w:tabs>
        <w:ind w:left="1080" w:hanging="360"/>
        <w:jc w:val="both"/>
        <w:rPr>
          <w:rFonts w:ascii="Garamond" w:hAnsi="Garamond"/>
          <w:szCs w:val="22"/>
        </w:rPr>
      </w:pPr>
      <w:r w:rsidRPr="004A0C12">
        <w:rPr>
          <w:rFonts w:ascii="Garamond" w:hAnsi="Garamond"/>
          <w:szCs w:val="22"/>
        </w:rPr>
        <w:t>Economic Development and Jobs;</w:t>
      </w:r>
    </w:p>
    <w:p w14:paraId="50327C83" w14:textId="77777777" w:rsidR="00866B12" w:rsidRPr="004A0C12" w:rsidRDefault="00866B12" w:rsidP="009204FA">
      <w:pPr>
        <w:pStyle w:val="ListParagraph"/>
        <w:numPr>
          <w:ilvl w:val="0"/>
          <w:numId w:val="29"/>
        </w:numPr>
        <w:tabs>
          <w:tab w:val="clear" w:pos="360"/>
          <w:tab w:val="num" w:pos="1080"/>
        </w:tabs>
        <w:ind w:left="1080" w:hanging="360"/>
        <w:jc w:val="both"/>
        <w:rPr>
          <w:rFonts w:ascii="Garamond" w:hAnsi="Garamond"/>
          <w:szCs w:val="22"/>
        </w:rPr>
      </w:pPr>
      <w:r w:rsidRPr="004A0C12">
        <w:rPr>
          <w:rFonts w:ascii="Garamond" w:hAnsi="Garamond"/>
          <w:szCs w:val="22"/>
        </w:rPr>
        <w:t>Reduce Taxes and Fees;</w:t>
      </w:r>
    </w:p>
    <w:p w14:paraId="3BDF92BE" w14:textId="77777777" w:rsidR="00866B12" w:rsidRPr="004A0C12" w:rsidRDefault="00866B12" w:rsidP="009204FA">
      <w:pPr>
        <w:pStyle w:val="ListParagraph"/>
        <w:numPr>
          <w:ilvl w:val="0"/>
          <w:numId w:val="29"/>
        </w:numPr>
        <w:tabs>
          <w:tab w:val="clear" w:pos="360"/>
          <w:tab w:val="num" w:pos="1080"/>
        </w:tabs>
        <w:ind w:left="1080" w:hanging="360"/>
        <w:jc w:val="both"/>
        <w:rPr>
          <w:rFonts w:ascii="Garamond" w:hAnsi="Garamond"/>
          <w:szCs w:val="22"/>
        </w:rPr>
      </w:pPr>
      <w:r w:rsidRPr="004A0C12">
        <w:rPr>
          <w:rFonts w:ascii="Garamond" w:hAnsi="Garamond"/>
          <w:szCs w:val="22"/>
        </w:rPr>
        <w:t xml:space="preserve">Fiscal Responsibility; </w:t>
      </w:r>
    </w:p>
    <w:p w14:paraId="0B0D651C" w14:textId="77777777" w:rsidR="00866B12" w:rsidRPr="004A0C12" w:rsidRDefault="00866B12" w:rsidP="009204FA">
      <w:pPr>
        <w:pStyle w:val="ListParagraph"/>
        <w:numPr>
          <w:ilvl w:val="0"/>
          <w:numId w:val="29"/>
        </w:numPr>
        <w:tabs>
          <w:tab w:val="clear" w:pos="360"/>
          <w:tab w:val="num" w:pos="1080"/>
        </w:tabs>
        <w:ind w:left="1080" w:hanging="360"/>
        <w:jc w:val="both"/>
        <w:rPr>
          <w:rFonts w:ascii="Garamond" w:hAnsi="Garamond"/>
          <w:szCs w:val="22"/>
        </w:rPr>
      </w:pPr>
      <w:r w:rsidRPr="004A0C12">
        <w:rPr>
          <w:rFonts w:ascii="Garamond" w:hAnsi="Garamond"/>
          <w:szCs w:val="22"/>
        </w:rPr>
        <w:t xml:space="preserve">Government Reform; and, </w:t>
      </w:r>
    </w:p>
    <w:p w14:paraId="1BEC8DBC" w14:textId="77777777" w:rsidR="00866B12" w:rsidRPr="004A0C12" w:rsidRDefault="00866B12" w:rsidP="009204FA">
      <w:pPr>
        <w:pStyle w:val="ListParagraph"/>
        <w:numPr>
          <w:ilvl w:val="0"/>
          <w:numId w:val="29"/>
        </w:numPr>
        <w:tabs>
          <w:tab w:val="clear" w:pos="360"/>
          <w:tab w:val="num" w:pos="1080"/>
        </w:tabs>
        <w:ind w:left="1080" w:hanging="360"/>
        <w:jc w:val="both"/>
        <w:rPr>
          <w:rFonts w:ascii="Garamond" w:hAnsi="Garamond"/>
          <w:szCs w:val="22"/>
        </w:rPr>
      </w:pPr>
      <w:r w:rsidRPr="004A0C12">
        <w:rPr>
          <w:rFonts w:ascii="Garamond" w:hAnsi="Garamond"/>
          <w:szCs w:val="22"/>
        </w:rPr>
        <w:t>Improving Quality of Life.</w:t>
      </w:r>
    </w:p>
    <w:p w14:paraId="5D061F5D" w14:textId="77777777" w:rsidR="00ED7157" w:rsidRPr="004A0C12" w:rsidRDefault="00ED7157" w:rsidP="00ED7157">
      <w:pPr>
        <w:pStyle w:val="ListParagraph"/>
        <w:ind w:left="1080"/>
        <w:jc w:val="both"/>
        <w:rPr>
          <w:rFonts w:ascii="Garamond" w:hAnsi="Garamond"/>
          <w:szCs w:val="22"/>
        </w:rPr>
      </w:pPr>
    </w:p>
    <w:p w14:paraId="4EEE2A38" w14:textId="001AB877" w:rsidR="00866B12" w:rsidRPr="004A0C12" w:rsidRDefault="00866B12" w:rsidP="00D94068">
      <w:pPr>
        <w:spacing w:after="0" w:line="240" w:lineRule="auto"/>
        <w:jc w:val="both"/>
        <w:rPr>
          <w:rFonts w:ascii="Garamond" w:hAnsi="Garamond"/>
        </w:rPr>
      </w:pPr>
      <w:r w:rsidRPr="004A0C12">
        <w:rPr>
          <w:rFonts w:ascii="Garamond" w:hAnsi="Garamond"/>
        </w:rPr>
        <w:t>Providing businesses with the skilled workforce they need to compete in the global, regional, and local economies is central to Governor Hogan</w:t>
      </w:r>
      <w:r w:rsidR="008526E8" w:rsidRPr="004A0C12">
        <w:rPr>
          <w:rFonts w:ascii="Garamond" w:hAnsi="Garamond"/>
        </w:rPr>
        <w:t>’s vision and to his charge to ensure</w:t>
      </w:r>
      <w:r w:rsidRPr="004A0C12">
        <w:rPr>
          <w:rFonts w:ascii="Garamond" w:hAnsi="Garamond"/>
        </w:rPr>
        <w:t xml:space="preserve"> </w:t>
      </w:r>
      <w:r w:rsidR="008526E8" w:rsidRPr="004A0C12">
        <w:rPr>
          <w:rFonts w:ascii="Garamond" w:hAnsi="Garamond"/>
        </w:rPr>
        <w:t xml:space="preserve">that </w:t>
      </w:r>
      <w:r w:rsidRPr="004A0C12">
        <w:rPr>
          <w:rFonts w:ascii="Garamond" w:hAnsi="Garamond"/>
        </w:rPr>
        <w:t>Maryland</w:t>
      </w:r>
      <w:r w:rsidR="008526E8" w:rsidRPr="004A0C12">
        <w:rPr>
          <w:rFonts w:ascii="Garamond" w:hAnsi="Garamond"/>
        </w:rPr>
        <w:t xml:space="preserve"> is</w:t>
      </w:r>
      <w:r w:rsidRPr="004A0C12">
        <w:rPr>
          <w:rFonts w:ascii="Garamond" w:hAnsi="Garamond"/>
        </w:rPr>
        <w:t xml:space="preserve"> “open for business.” Maryland’s workforce system provides that talent pipeline through a partnership of State and local partners, businesses, economic development, education, and community stakeholders.  </w:t>
      </w:r>
    </w:p>
    <w:p w14:paraId="21D694B7" w14:textId="77777777" w:rsidR="00D94068" w:rsidRPr="004A0C12" w:rsidRDefault="00D94068" w:rsidP="00D94068">
      <w:pPr>
        <w:spacing w:after="0" w:line="240" w:lineRule="auto"/>
        <w:jc w:val="both"/>
        <w:rPr>
          <w:rFonts w:ascii="Garamond" w:hAnsi="Garamond"/>
        </w:rPr>
      </w:pPr>
    </w:p>
    <w:p w14:paraId="4013F950" w14:textId="166118FD" w:rsidR="00866B12" w:rsidRPr="004A0C12" w:rsidRDefault="00866B12" w:rsidP="00D94068">
      <w:pPr>
        <w:spacing w:after="0" w:line="240" w:lineRule="auto"/>
        <w:jc w:val="both"/>
        <w:rPr>
          <w:rFonts w:ascii="Garamond" w:hAnsi="Garamond"/>
        </w:rPr>
      </w:pPr>
      <w:r w:rsidRPr="004A0C12">
        <w:rPr>
          <w:rFonts w:ascii="Garamond" w:hAnsi="Garamond"/>
        </w:rPr>
        <w:t xml:space="preserve">To ensure that the workforce system efficiently meets the needs of both the businesses and the jobseekers that it serves, Governor Hogan has directed Maryland’s workforce agencies to jointly develop the State’s workforce plan. For the first time, Maryland’s Department of Labor, Licensing and Regulation, the Department of Human Resources, the Maryland State Department of Education, the Governor’s Workforce Investment Board, and local workforce partners joined to develop the operational components of Maryland’s plan. The Governor’s charge to these state agencies </w:t>
      </w:r>
      <w:r w:rsidR="008526E8" w:rsidRPr="004A0C12">
        <w:rPr>
          <w:rFonts w:ascii="Garamond" w:hAnsi="Garamond"/>
        </w:rPr>
        <w:t>was</w:t>
      </w:r>
      <w:r w:rsidRPr="004A0C12">
        <w:rPr>
          <w:rFonts w:ascii="Garamond" w:hAnsi="Garamond"/>
        </w:rPr>
        <w:t xml:space="preserve"> to develop a plan that leverages state resources in order to deliver outstanding customer service to workers and businesses that are vital to Maryland’s economic growth</w:t>
      </w:r>
      <w:r w:rsidR="008C2267" w:rsidRPr="004A0C12">
        <w:rPr>
          <w:rFonts w:ascii="Garamond" w:hAnsi="Garamond"/>
        </w:rPr>
        <w:t xml:space="preserve"> and prosperity</w:t>
      </w:r>
      <w:r w:rsidRPr="004A0C12">
        <w:rPr>
          <w:rFonts w:ascii="Garamond" w:hAnsi="Garamond"/>
        </w:rPr>
        <w:t xml:space="preserve">. The agencies were further encouraged to collaborate and innovate to ensure that Maryland’s citizens have access to quality workforce training and employment opportunities. </w:t>
      </w:r>
    </w:p>
    <w:p w14:paraId="59503AD1" w14:textId="77777777" w:rsidR="00D94068" w:rsidRPr="004A0C12" w:rsidRDefault="00D94068" w:rsidP="00D94068">
      <w:pPr>
        <w:pStyle w:val="Heading2"/>
        <w:spacing w:before="0" w:line="240" w:lineRule="auto"/>
        <w:rPr>
          <w:rFonts w:ascii="Garamond" w:hAnsi="Garamond"/>
          <w:sz w:val="22"/>
          <w:szCs w:val="22"/>
        </w:rPr>
      </w:pPr>
    </w:p>
    <w:p w14:paraId="75ED4C13" w14:textId="77777777" w:rsidR="00866B12" w:rsidRPr="00825D0C" w:rsidRDefault="00866B12" w:rsidP="00D94068">
      <w:pPr>
        <w:pStyle w:val="Heading2"/>
        <w:spacing w:before="0" w:line="240" w:lineRule="auto"/>
        <w:rPr>
          <w:rFonts w:ascii="Garamond" w:hAnsi="Garamond"/>
          <w:sz w:val="24"/>
          <w:szCs w:val="24"/>
        </w:rPr>
      </w:pPr>
      <w:bookmarkStart w:id="6" w:name="_Toc447276066"/>
      <w:r w:rsidRPr="00825D0C">
        <w:rPr>
          <w:rFonts w:ascii="Garamond" w:hAnsi="Garamond"/>
          <w:sz w:val="24"/>
          <w:szCs w:val="24"/>
        </w:rPr>
        <w:t>Economic Development and Jobs</w:t>
      </w:r>
      <w:bookmarkEnd w:id="6"/>
    </w:p>
    <w:p w14:paraId="2B8C612D" w14:textId="77777777" w:rsidR="00866B12" w:rsidRPr="001C1EC7" w:rsidRDefault="00866B12" w:rsidP="00D94068">
      <w:pPr>
        <w:spacing w:after="0" w:line="240" w:lineRule="auto"/>
        <w:jc w:val="center"/>
        <w:rPr>
          <w:rFonts w:ascii="Garamond" w:hAnsi="Garamond"/>
          <w:b/>
        </w:rPr>
      </w:pPr>
      <w:r w:rsidRPr="001C1EC7">
        <w:rPr>
          <w:rFonts w:ascii="Garamond" w:hAnsi="Garamond"/>
          <w:b/>
        </w:rPr>
        <w:t>“Our focus will be on jobs, struggling Maryland families, and restoring our economy.”</w:t>
      </w:r>
    </w:p>
    <w:p w14:paraId="4378C0F5" w14:textId="1F1E2D6E" w:rsidR="00866B12" w:rsidRPr="001C1EC7" w:rsidRDefault="00866B12" w:rsidP="00D94068">
      <w:pPr>
        <w:spacing w:after="0" w:line="240" w:lineRule="auto"/>
        <w:ind w:left="5760"/>
        <w:rPr>
          <w:rFonts w:ascii="Garamond" w:hAnsi="Garamond"/>
          <w:b/>
        </w:rPr>
      </w:pPr>
      <w:r w:rsidRPr="001C1EC7">
        <w:rPr>
          <w:rFonts w:ascii="Garamond" w:hAnsi="Garamond"/>
          <w:b/>
        </w:rPr>
        <w:t xml:space="preserve">-Governor Hogan’s </w:t>
      </w:r>
      <w:r w:rsidR="008C2267" w:rsidRPr="001C1EC7">
        <w:rPr>
          <w:rFonts w:ascii="Garamond" w:hAnsi="Garamond"/>
          <w:b/>
        </w:rPr>
        <w:t xml:space="preserve">2015 </w:t>
      </w:r>
      <w:r w:rsidRPr="001C1EC7">
        <w:rPr>
          <w:rFonts w:ascii="Garamond" w:hAnsi="Garamond"/>
          <w:b/>
        </w:rPr>
        <w:t>S</w:t>
      </w:r>
      <w:r w:rsidR="008C2267" w:rsidRPr="001C1EC7">
        <w:rPr>
          <w:rFonts w:ascii="Garamond" w:hAnsi="Garamond"/>
          <w:b/>
        </w:rPr>
        <w:t xml:space="preserve">tate of the State Address </w:t>
      </w:r>
    </w:p>
    <w:p w14:paraId="0A8F4708" w14:textId="77777777" w:rsidR="00D94068" w:rsidRPr="004A0C12" w:rsidRDefault="00D94068" w:rsidP="00D94068">
      <w:pPr>
        <w:spacing w:after="0" w:line="240" w:lineRule="auto"/>
        <w:jc w:val="both"/>
        <w:rPr>
          <w:rFonts w:ascii="Garamond" w:hAnsi="Garamond"/>
        </w:rPr>
      </w:pPr>
    </w:p>
    <w:p w14:paraId="35A4B115" w14:textId="1DC7F3A2" w:rsidR="00866B12" w:rsidRPr="004A0C12" w:rsidRDefault="00866B12" w:rsidP="008A605F">
      <w:pPr>
        <w:spacing w:after="0" w:line="240" w:lineRule="auto"/>
        <w:jc w:val="both"/>
        <w:rPr>
          <w:rFonts w:ascii="Garamond" w:hAnsi="Garamond"/>
        </w:rPr>
      </w:pPr>
      <w:r w:rsidRPr="004A0C12">
        <w:rPr>
          <w:rFonts w:ascii="Garamond" w:hAnsi="Garamond"/>
        </w:rPr>
        <w:t>Maryland thrives as the economy flourishes. As businesses grow, jobs are created. As jobs are created, qualified workers are needed to meet the demand. As workers become more highly skilled, innovations occur resulting in the emergence of new economic drivers. A sound and thriv</w:t>
      </w:r>
      <w:r w:rsidR="00080EC6" w:rsidRPr="004A0C12">
        <w:rPr>
          <w:rFonts w:ascii="Garamond" w:hAnsi="Garamond"/>
        </w:rPr>
        <w:t>ing economy creates quality careers</w:t>
      </w:r>
      <w:r w:rsidRPr="004A0C12">
        <w:rPr>
          <w:rFonts w:ascii="Garamond" w:hAnsi="Garamond"/>
        </w:rPr>
        <w:t>, provides financial stability for Maryland’s families and communities, and re</w:t>
      </w:r>
      <w:r w:rsidR="008C2267" w:rsidRPr="004A0C12">
        <w:rPr>
          <w:rFonts w:ascii="Garamond" w:hAnsi="Garamond"/>
        </w:rPr>
        <w:t>duces dependency on government</w:t>
      </w:r>
      <w:r w:rsidRPr="004A0C12">
        <w:rPr>
          <w:rFonts w:ascii="Garamond" w:hAnsi="Garamond"/>
        </w:rPr>
        <w:t xml:space="preserve"> programs.  In short, business must play a key role in Maryland’s workforce system.    </w:t>
      </w:r>
    </w:p>
    <w:p w14:paraId="0A2A4ECB" w14:textId="77777777" w:rsidR="00866B12" w:rsidRPr="004A0C12" w:rsidRDefault="00866B12" w:rsidP="008A605F">
      <w:pPr>
        <w:spacing w:after="0" w:line="240" w:lineRule="auto"/>
        <w:jc w:val="both"/>
        <w:rPr>
          <w:rFonts w:ascii="Garamond" w:hAnsi="Garamond"/>
        </w:rPr>
      </w:pPr>
    </w:p>
    <w:p w14:paraId="141D8542" w14:textId="3F6FCFDA" w:rsidR="00866B12" w:rsidRPr="004A0C12" w:rsidRDefault="008526E8" w:rsidP="008A605F">
      <w:pPr>
        <w:spacing w:after="0" w:line="240" w:lineRule="auto"/>
        <w:jc w:val="both"/>
        <w:rPr>
          <w:rFonts w:ascii="Garamond" w:hAnsi="Garamond"/>
        </w:rPr>
      </w:pPr>
      <w:r w:rsidRPr="004A0C12">
        <w:rPr>
          <w:rFonts w:ascii="Garamond" w:hAnsi="Garamond"/>
        </w:rPr>
        <w:lastRenderedPageBreak/>
        <w:t xml:space="preserve">Workforce initiatives must be driven by industry. </w:t>
      </w:r>
      <w:r w:rsidR="00866B12" w:rsidRPr="004A0C12">
        <w:rPr>
          <w:rFonts w:ascii="Garamond" w:hAnsi="Garamond"/>
        </w:rPr>
        <w:t xml:space="preserve">A workforce system that is disconnected from business fails to meet the needs of jobseekers who do not obtain the training needed to obtain gainful employment. Previously, business’ input into the workforce development system was largely based on its role as “employer.”  While providing employment is a very important role that a business plays, </w:t>
      </w:r>
      <w:r w:rsidR="006E3413" w:rsidRPr="004A0C12">
        <w:rPr>
          <w:rFonts w:ascii="Garamond" w:hAnsi="Garamond"/>
        </w:rPr>
        <w:t>businesses must focus on successfully providing a product or service</w:t>
      </w:r>
      <w:r w:rsidR="00866B12" w:rsidRPr="004A0C12">
        <w:rPr>
          <w:rFonts w:ascii="Garamond" w:hAnsi="Garamond"/>
        </w:rPr>
        <w:t xml:space="preserve">. </w:t>
      </w:r>
      <w:r w:rsidRPr="004A0C12">
        <w:rPr>
          <w:rFonts w:ascii="Garamond" w:hAnsi="Garamond"/>
        </w:rPr>
        <w:t xml:space="preserve">Therefore, </w:t>
      </w:r>
      <w:r w:rsidR="006E3413" w:rsidRPr="004A0C12">
        <w:rPr>
          <w:rFonts w:ascii="Garamond" w:hAnsi="Garamond"/>
        </w:rPr>
        <w:t xml:space="preserve">Maryland’s workforce system must strive to produce the workforce needed for them to accomplish this. </w:t>
      </w:r>
    </w:p>
    <w:p w14:paraId="4B8E01B4" w14:textId="77777777" w:rsidR="00D94068" w:rsidRPr="004A0C12" w:rsidRDefault="00D94068" w:rsidP="008A605F">
      <w:pPr>
        <w:spacing w:after="0" w:line="240" w:lineRule="auto"/>
        <w:jc w:val="both"/>
        <w:rPr>
          <w:rFonts w:ascii="Garamond" w:hAnsi="Garamond"/>
        </w:rPr>
      </w:pPr>
    </w:p>
    <w:p w14:paraId="21E4303B" w14:textId="0F996A71" w:rsidR="00866B12" w:rsidRPr="004A0C12" w:rsidRDefault="00866B12" w:rsidP="008A605F">
      <w:pPr>
        <w:spacing w:after="0" w:line="240" w:lineRule="auto"/>
        <w:jc w:val="both"/>
        <w:rPr>
          <w:rFonts w:ascii="Garamond" w:hAnsi="Garamond"/>
        </w:rPr>
      </w:pPr>
      <w:r w:rsidRPr="004A0C12">
        <w:rPr>
          <w:rFonts w:ascii="Garamond" w:hAnsi="Garamond"/>
        </w:rPr>
        <w:t xml:space="preserve">Businesses serve as partners to the workforce system by providing </w:t>
      </w:r>
      <w:r w:rsidR="008526E8" w:rsidRPr="004A0C12">
        <w:rPr>
          <w:rFonts w:ascii="Garamond" w:hAnsi="Garamond"/>
        </w:rPr>
        <w:t xml:space="preserve">input </w:t>
      </w:r>
      <w:r w:rsidRPr="004A0C12">
        <w:rPr>
          <w:rFonts w:ascii="Garamond" w:hAnsi="Garamond"/>
        </w:rPr>
        <w:t xml:space="preserve">regarding in-demand training needs, and policy guidance for the system to ensure that initiatives are driven by industry demands. As businesses change and adapt to labor markets, a workforce development system that successfully partners with business </w:t>
      </w:r>
      <w:r w:rsidR="008526E8" w:rsidRPr="004A0C12">
        <w:rPr>
          <w:rFonts w:ascii="Garamond" w:hAnsi="Garamond"/>
        </w:rPr>
        <w:t xml:space="preserve">must </w:t>
      </w:r>
      <w:r w:rsidRPr="004A0C12">
        <w:rPr>
          <w:rFonts w:ascii="Garamond" w:hAnsi="Garamond"/>
        </w:rPr>
        <w:t xml:space="preserve">also </w:t>
      </w:r>
      <w:r w:rsidR="008526E8" w:rsidRPr="004A0C12">
        <w:rPr>
          <w:rFonts w:ascii="Garamond" w:hAnsi="Garamond"/>
        </w:rPr>
        <w:t>evolve</w:t>
      </w:r>
      <w:r w:rsidR="006E3413" w:rsidRPr="004A0C12">
        <w:rPr>
          <w:rFonts w:ascii="Garamond" w:hAnsi="Garamond"/>
        </w:rPr>
        <w:t xml:space="preserve"> </w:t>
      </w:r>
      <w:r w:rsidRPr="004A0C12">
        <w:rPr>
          <w:rFonts w:ascii="Garamond" w:hAnsi="Garamond"/>
        </w:rPr>
        <w:t xml:space="preserve">to ensure that jobseekers receive proper training and opportunities for in-demand careers. </w:t>
      </w:r>
    </w:p>
    <w:p w14:paraId="4A1B191B" w14:textId="77777777" w:rsidR="00D94068" w:rsidRPr="004A0C12" w:rsidRDefault="00D94068" w:rsidP="008A605F">
      <w:pPr>
        <w:spacing w:after="0" w:line="240" w:lineRule="auto"/>
        <w:jc w:val="both"/>
        <w:rPr>
          <w:rFonts w:ascii="Garamond" w:hAnsi="Garamond"/>
        </w:rPr>
      </w:pPr>
    </w:p>
    <w:p w14:paraId="0C9EFA34" w14:textId="45406741" w:rsidR="00866B12" w:rsidRPr="004A0C12" w:rsidRDefault="00866B12" w:rsidP="008A605F">
      <w:pPr>
        <w:spacing w:after="0" w:line="240" w:lineRule="auto"/>
        <w:jc w:val="both"/>
        <w:rPr>
          <w:rFonts w:ascii="Garamond" w:hAnsi="Garamond"/>
        </w:rPr>
      </w:pPr>
      <w:r w:rsidRPr="004A0C12">
        <w:rPr>
          <w:rFonts w:ascii="Garamond" w:hAnsi="Garamond"/>
        </w:rPr>
        <w:t xml:space="preserve">The Governor’s Workforce Investment Board is comprised of business leaders in targeted industry sectors. </w:t>
      </w:r>
      <w:r w:rsidR="008526E8" w:rsidRPr="004A0C12">
        <w:rPr>
          <w:rFonts w:ascii="Garamond" w:hAnsi="Garamond"/>
        </w:rPr>
        <w:t>Board members</w:t>
      </w:r>
      <w:r w:rsidRPr="004A0C12">
        <w:rPr>
          <w:rFonts w:ascii="Garamond" w:hAnsi="Garamond"/>
        </w:rPr>
        <w:t xml:space="preserve"> serve as ambassadors for Maryland’s business community and further advise Governor Hogan and the workforce system on workforce development and training needs for Maryland’s businesses. Maryland’s workforce partners must proactively engage with businesses to ensure that workforce training funds are utilized in the most effective and efficient way possible.     </w:t>
      </w:r>
    </w:p>
    <w:p w14:paraId="49F144C1" w14:textId="77777777" w:rsidR="00D94068" w:rsidRPr="004A0C12" w:rsidRDefault="00D94068" w:rsidP="008A605F">
      <w:pPr>
        <w:spacing w:after="0" w:line="240" w:lineRule="auto"/>
        <w:jc w:val="both"/>
        <w:rPr>
          <w:rFonts w:ascii="Garamond" w:hAnsi="Garamond"/>
        </w:rPr>
      </w:pPr>
    </w:p>
    <w:p w14:paraId="47E76BDE" w14:textId="70B16648" w:rsidR="00866B12" w:rsidRPr="004A0C12" w:rsidRDefault="00866B12" w:rsidP="008A605F">
      <w:pPr>
        <w:spacing w:after="0" w:line="240" w:lineRule="auto"/>
        <w:jc w:val="both"/>
        <w:rPr>
          <w:rFonts w:ascii="Garamond" w:hAnsi="Garamond"/>
        </w:rPr>
      </w:pPr>
      <w:r w:rsidRPr="004A0C12">
        <w:rPr>
          <w:rFonts w:ascii="Garamond" w:hAnsi="Garamond"/>
        </w:rPr>
        <w:t>Maryland has been recognized as a national leader in industry-led partnerships through the EARN Maryland program. The program, whose acronym stands for Employment Advancement Right Now, is a state-funded initiative that provides training opportunities for Maryland’s jobseekers and those individuals seeking to obtain additional training to further their careers in a wide variety of fields. Partnerships have been formed to advance careers in health care, construction, biotechnology,</w:t>
      </w:r>
      <w:r w:rsidR="006D2B26" w:rsidRPr="004A0C12">
        <w:rPr>
          <w:rFonts w:ascii="Garamond" w:hAnsi="Garamond"/>
        </w:rPr>
        <w:t xml:space="preserve"> </w:t>
      </w:r>
      <w:r w:rsidRPr="004A0C12">
        <w:rPr>
          <w:rFonts w:ascii="Garamond" w:hAnsi="Garamond"/>
        </w:rPr>
        <w:t>cybersecurity and information technology, transportation and logistics, and many more. While there is wide variety in the partnerships fund</w:t>
      </w:r>
      <w:r w:rsidR="00FA3BB4" w:rsidRPr="004A0C12">
        <w:rPr>
          <w:rFonts w:ascii="Garamond" w:hAnsi="Garamond"/>
        </w:rPr>
        <w:t>ed</w:t>
      </w:r>
      <w:r w:rsidRPr="004A0C12">
        <w:rPr>
          <w:rFonts w:ascii="Garamond" w:hAnsi="Garamond"/>
        </w:rPr>
        <w:t xml:space="preserve"> through a </w:t>
      </w:r>
      <w:r w:rsidR="00FA3BB4" w:rsidRPr="004A0C12">
        <w:rPr>
          <w:rFonts w:ascii="Garamond" w:hAnsi="Garamond"/>
        </w:rPr>
        <w:t xml:space="preserve">DLLR </w:t>
      </w:r>
      <w:r w:rsidRPr="004A0C12">
        <w:rPr>
          <w:rFonts w:ascii="Garamond" w:hAnsi="Garamond"/>
        </w:rPr>
        <w:t xml:space="preserve">competitive grant process, all partnerships are driven by industry needs and have a number of business partners involved in shaping each individual program. </w:t>
      </w:r>
      <w:r w:rsidR="00FA3BB4" w:rsidRPr="004A0C12">
        <w:rPr>
          <w:rFonts w:ascii="Garamond" w:hAnsi="Garamond"/>
        </w:rPr>
        <w:t>To date,</w:t>
      </w:r>
      <w:r w:rsidR="00CC18B9" w:rsidRPr="004A0C12">
        <w:rPr>
          <w:rFonts w:ascii="Garamond" w:hAnsi="Garamond"/>
        </w:rPr>
        <w:t xml:space="preserve"> over</w:t>
      </w:r>
      <w:r w:rsidRPr="004A0C12">
        <w:rPr>
          <w:rFonts w:ascii="Garamond" w:hAnsi="Garamond"/>
        </w:rPr>
        <w:t xml:space="preserve"> 500 employer partners </w:t>
      </w:r>
      <w:r w:rsidR="00CC18B9" w:rsidRPr="004A0C12">
        <w:rPr>
          <w:rFonts w:ascii="Garamond" w:hAnsi="Garamond"/>
        </w:rPr>
        <w:t>are participating</w:t>
      </w:r>
      <w:r w:rsidRPr="004A0C12">
        <w:rPr>
          <w:rFonts w:ascii="Garamond" w:hAnsi="Garamond"/>
        </w:rPr>
        <w:t xml:space="preserve"> in the EARN Maryland program.</w:t>
      </w:r>
    </w:p>
    <w:p w14:paraId="1A6DF064" w14:textId="77777777" w:rsidR="00FA3BB4" w:rsidRPr="004A0C12" w:rsidRDefault="00FA3BB4" w:rsidP="008A605F">
      <w:pPr>
        <w:spacing w:after="0" w:line="240" w:lineRule="auto"/>
        <w:jc w:val="both"/>
        <w:rPr>
          <w:rFonts w:ascii="Garamond" w:hAnsi="Garamond"/>
        </w:rPr>
      </w:pPr>
    </w:p>
    <w:p w14:paraId="74F2AE01" w14:textId="23658050" w:rsidR="00D94068" w:rsidRPr="004A0C12" w:rsidRDefault="00866B12" w:rsidP="008A605F">
      <w:pPr>
        <w:spacing w:after="0" w:line="240" w:lineRule="auto"/>
        <w:jc w:val="both"/>
        <w:rPr>
          <w:rFonts w:ascii="Garamond" w:hAnsi="Garamond"/>
        </w:rPr>
      </w:pPr>
      <w:r w:rsidRPr="004A0C12">
        <w:rPr>
          <w:rFonts w:ascii="Garamond" w:hAnsi="Garamond"/>
        </w:rPr>
        <w:t>Businesses are also customers of the workforce system in</w:t>
      </w:r>
      <w:r w:rsidR="008C2267" w:rsidRPr="004A0C12">
        <w:rPr>
          <w:rFonts w:ascii="Garamond" w:hAnsi="Garamond"/>
        </w:rPr>
        <w:t xml:space="preserve"> </w:t>
      </w:r>
      <w:r w:rsidRPr="004A0C12">
        <w:rPr>
          <w:rFonts w:ascii="Garamond" w:hAnsi="Garamond"/>
        </w:rPr>
        <w:t>so</w:t>
      </w:r>
      <w:r w:rsidR="008C2267" w:rsidRPr="004A0C12">
        <w:rPr>
          <w:rFonts w:ascii="Garamond" w:hAnsi="Garamond"/>
        </w:rPr>
        <w:t xml:space="preserve"> far</w:t>
      </w:r>
      <w:r w:rsidRPr="004A0C12">
        <w:rPr>
          <w:rFonts w:ascii="Garamond" w:hAnsi="Garamond"/>
        </w:rPr>
        <w:t xml:space="preserve"> </w:t>
      </w:r>
      <w:r w:rsidR="008C2267" w:rsidRPr="004A0C12">
        <w:rPr>
          <w:rFonts w:ascii="Garamond" w:hAnsi="Garamond"/>
        </w:rPr>
        <w:t>as</w:t>
      </w:r>
      <w:r w:rsidRPr="004A0C12">
        <w:rPr>
          <w:rFonts w:ascii="Garamond" w:hAnsi="Garamond"/>
        </w:rPr>
        <w:t xml:space="preserve"> they receive the benefits of a pipeline of skilled workers equipped with the knowledge and abilities needed for the changing workforce. Maryland’s workforce agencies must work together to ensure quality customer service to the business. Previously, Maryland’s business outreach has been disjointed as agencies independently built relationships with businesses without collaboration or coordination. As a result, multiple agencies from State and local entities make multiple, and sometimes overlapping inquiries of business. Rather than building lasting relationships with this consumer of workforce services, businesses are often pulled away from their busi</w:t>
      </w:r>
      <w:r w:rsidR="008C2267" w:rsidRPr="004A0C12">
        <w:rPr>
          <w:rFonts w:ascii="Garamond" w:hAnsi="Garamond"/>
        </w:rPr>
        <w:t>nesses to meet with government</w:t>
      </w:r>
      <w:r w:rsidRPr="004A0C12">
        <w:rPr>
          <w:rFonts w:ascii="Garamond" w:hAnsi="Garamond"/>
        </w:rPr>
        <w:t xml:space="preserve"> agencies. Thus, Maryland’s workforce and economic agencies must coordinate efforts to provide consulting services</w:t>
      </w:r>
      <w:r w:rsidR="00FA3BB4" w:rsidRPr="004A0C12">
        <w:rPr>
          <w:rFonts w:ascii="Garamond" w:hAnsi="Garamond"/>
        </w:rPr>
        <w:t xml:space="preserve"> in order to service business needs.</w:t>
      </w:r>
      <w:r w:rsidRPr="004A0C12">
        <w:rPr>
          <w:rFonts w:ascii="Garamond" w:hAnsi="Garamond"/>
        </w:rPr>
        <w:t xml:space="preserve"> </w:t>
      </w:r>
    </w:p>
    <w:p w14:paraId="1D0A5740" w14:textId="0E1DEA44" w:rsidR="00866B12" w:rsidRPr="004A0C12" w:rsidRDefault="00866B12" w:rsidP="008A605F">
      <w:pPr>
        <w:spacing w:after="0" w:line="240" w:lineRule="auto"/>
        <w:jc w:val="both"/>
        <w:rPr>
          <w:rFonts w:ascii="Garamond" w:hAnsi="Garamond"/>
        </w:rPr>
      </w:pPr>
      <w:r w:rsidRPr="004A0C12">
        <w:rPr>
          <w:rFonts w:ascii="Garamond" w:hAnsi="Garamond"/>
        </w:rPr>
        <w:t>Specifically, the Maryland Department of Commerce</w:t>
      </w:r>
      <w:r w:rsidR="00CC18B9" w:rsidRPr="004A0C12">
        <w:rPr>
          <w:rFonts w:ascii="Garamond" w:hAnsi="Garamond"/>
        </w:rPr>
        <w:t xml:space="preserve"> (“Commerce”)</w:t>
      </w:r>
      <w:r w:rsidRPr="004A0C12">
        <w:rPr>
          <w:rFonts w:ascii="Garamond" w:hAnsi="Garamond"/>
        </w:rPr>
        <w:t xml:space="preserve">, the Maryland Department of Labor, Licensing and Regulation, and the Maryland State Department of Education’s Division of </w:t>
      </w:r>
      <w:r w:rsidR="006D2B26" w:rsidRPr="004A0C12">
        <w:rPr>
          <w:rFonts w:ascii="Garamond" w:hAnsi="Garamond"/>
        </w:rPr>
        <w:t>Rehabilitation</w:t>
      </w:r>
      <w:r w:rsidRPr="004A0C12">
        <w:rPr>
          <w:rFonts w:ascii="Garamond" w:hAnsi="Garamond"/>
        </w:rPr>
        <w:t xml:space="preserve"> Services have already begun the process of deeper and more meaningful collaboration. These agencies have staff dedicated to interacting with businesse</w:t>
      </w:r>
      <w:r w:rsidR="008C2267" w:rsidRPr="004A0C12">
        <w:rPr>
          <w:rFonts w:ascii="Garamond" w:hAnsi="Garamond"/>
        </w:rPr>
        <w:t>s on a regular basis. Business d</w:t>
      </w:r>
      <w:r w:rsidRPr="004A0C12">
        <w:rPr>
          <w:rFonts w:ascii="Garamond" w:hAnsi="Garamond"/>
        </w:rPr>
        <w:t xml:space="preserve">evelopment representatives from Commerce are charged with retaining and growing existing Maryland businesses, providing support for businesses to expand through assistance with business development, finance and regulatory issues, as well as actively recruiting new businesses nationally. The Department of Labor, Licensing and Regulation’s Business Service representatives work with companies throughout the State to understand specific business employment needs and assist with workforce development strategies. </w:t>
      </w:r>
      <w:r w:rsidR="00BC6D08" w:rsidRPr="004A0C12">
        <w:rPr>
          <w:rFonts w:ascii="Garamond" w:hAnsi="Garamond"/>
        </w:rPr>
        <w:t xml:space="preserve">This includes Local Veterans’ Employment Representatives funded through the Jobs for Veterans State Grant Program who are dedicated to the specific needs of Maryland’s veteran population. </w:t>
      </w:r>
      <w:r w:rsidRPr="004A0C12">
        <w:rPr>
          <w:rFonts w:ascii="Garamond" w:hAnsi="Garamond"/>
        </w:rPr>
        <w:t xml:space="preserve">The Department </w:t>
      </w:r>
      <w:r w:rsidR="00FA3BB4" w:rsidRPr="004A0C12">
        <w:rPr>
          <w:rFonts w:ascii="Garamond" w:hAnsi="Garamond"/>
        </w:rPr>
        <w:t>employs</w:t>
      </w:r>
      <w:r w:rsidRPr="004A0C12">
        <w:rPr>
          <w:rFonts w:ascii="Garamond" w:hAnsi="Garamond"/>
        </w:rPr>
        <w:t xml:space="preserve"> Apprenticeship Navigators who interact with businesses to promote apprenticeship opportunities to businesses. The Division of Rehabilitative Services also serves as a resource for businesses on disability and employment matters, including: disability awareness training, workforce diversity and i</w:t>
      </w:r>
      <w:r w:rsidR="00CC18B9" w:rsidRPr="004A0C12">
        <w:rPr>
          <w:rFonts w:ascii="Garamond" w:hAnsi="Garamond"/>
        </w:rPr>
        <w:t xml:space="preserve">nclusion initiatives, and </w:t>
      </w:r>
      <w:r w:rsidRPr="004A0C12">
        <w:rPr>
          <w:rFonts w:ascii="Garamond" w:hAnsi="Garamond"/>
        </w:rPr>
        <w:t>as a key resource for Americans with Disabilities Act reasonable accommodations solutions. Worksite consultations are also available to help businesses hire and retain quality employees with disabilities.  Local workforce development areas and the Department of Human Resources must also play an important role</w:t>
      </w:r>
      <w:r w:rsidR="00FB0A8A" w:rsidRPr="004A0C12">
        <w:rPr>
          <w:rFonts w:ascii="Garamond" w:hAnsi="Garamond"/>
        </w:rPr>
        <w:t xml:space="preserve"> in business outreach. </w:t>
      </w:r>
      <w:r w:rsidRPr="004A0C12">
        <w:rPr>
          <w:rFonts w:ascii="Garamond" w:hAnsi="Garamond"/>
        </w:rPr>
        <w:t xml:space="preserve"> </w:t>
      </w:r>
    </w:p>
    <w:p w14:paraId="30C1E188" w14:textId="77777777" w:rsidR="00D94068" w:rsidRPr="004A0C12" w:rsidRDefault="00D94068" w:rsidP="008A605F">
      <w:pPr>
        <w:spacing w:after="0" w:line="240" w:lineRule="auto"/>
        <w:jc w:val="both"/>
        <w:rPr>
          <w:rFonts w:ascii="Garamond" w:hAnsi="Garamond"/>
        </w:rPr>
      </w:pPr>
    </w:p>
    <w:p w14:paraId="18F5E97D" w14:textId="61489C42" w:rsidR="00866B12" w:rsidRPr="004A0C12" w:rsidRDefault="00866B12" w:rsidP="008A605F">
      <w:pPr>
        <w:spacing w:after="0" w:line="240" w:lineRule="auto"/>
        <w:jc w:val="both"/>
        <w:rPr>
          <w:rFonts w:ascii="Garamond" w:hAnsi="Garamond"/>
        </w:rPr>
      </w:pPr>
      <w:r w:rsidRPr="004A0C12">
        <w:rPr>
          <w:rFonts w:ascii="Garamond" w:hAnsi="Garamond"/>
        </w:rPr>
        <w:t xml:space="preserve">In frequent communication, these agencies will develop a deeper understanding of the services each offer, and, after understanding a business’s needs, will be able to refer the business to the services of </w:t>
      </w:r>
      <w:r w:rsidR="00CC18B9" w:rsidRPr="004A0C12">
        <w:rPr>
          <w:rFonts w:ascii="Garamond" w:hAnsi="Garamond"/>
        </w:rPr>
        <w:t>the appropriate</w:t>
      </w:r>
      <w:r w:rsidRPr="004A0C12">
        <w:rPr>
          <w:rFonts w:ascii="Garamond" w:hAnsi="Garamond"/>
        </w:rPr>
        <w:t xml:space="preserve"> agency. This will require that the agencies collaborate on a shared communications platform. In short, the State’s workforce agencies must be proactively </w:t>
      </w:r>
      <w:r w:rsidRPr="004A0C12">
        <w:rPr>
          <w:rFonts w:ascii="Garamond" w:hAnsi="Garamond"/>
        </w:rPr>
        <w:lastRenderedPageBreak/>
        <w:t xml:space="preserve">engaged with Maryland’s business community. It cannot wait for business to come to the State for assistance. Through relationship-building, the State’s workforce system must be attuned to the needs of </w:t>
      </w:r>
      <w:r w:rsidR="00CC18B9" w:rsidRPr="004A0C12">
        <w:rPr>
          <w:rFonts w:ascii="Garamond" w:hAnsi="Garamond"/>
        </w:rPr>
        <w:t xml:space="preserve">Maryland’s </w:t>
      </w:r>
      <w:r w:rsidRPr="004A0C12">
        <w:rPr>
          <w:rFonts w:ascii="Garamond" w:hAnsi="Garamond"/>
        </w:rPr>
        <w:t xml:space="preserve">businesses, and must tailor workforce training opportunities to ensure that those needs are being met.   </w:t>
      </w:r>
    </w:p>
    <w:p w14:paraId="2D0B140A" w14:textId="77777777" w:rsidR="00D94068" w:rsidRPr="00825D0C" w:rsidRDefault="00D94068" w:rsidP="008A605F">
      <w:pPr>
        <w:pStyle w:val="Heading2"/>
        <w:spacing w:before="0" w:line="240" w:lineRule="auto"/>
        <w:jc w:val="both"/>
        <w:rPr>
          <w:rFonts w:ascii="Garamond" w:hAnsi="Garamond"/>
          <w:sz w:val="24"/>
          <w:szCs w:val="24"/>
        </w:rPr>
      </w:pPr>
    </w:p>
    <w:p w14:paraId="1D0C7CE1" w14:textId="77777777" w:rsidR="00866B12" w:rsidRPr="00825D0C" w:rsidRDefault="00866B12" w:rsidP="00D94068">
      <w:pPr>
        <w:pStyle w:val="Heading2"/>
        <w:spacing w:before="0" w:line="240" w:lineRule="auto"/>
        <w:rPr>
          <w:rFonts w:ascii="Garamond" w:hAnsi="Garamond"/>
          <w:sz w:val="24"/>
          <w:szCs w:val="24"/>
        </w:rPr>
      </w:pPr>
      <w:bookmarkStart w:id="7" w:name="_Toc447276067"/>
      <w:r w:rsidRPr="00825D0C">
        <w:rPr>
          <w:rFonts w:ascii="Garamond" w:hAnsi="Garamond"/>
          <w:sz w:val="24"/>
          <w:szCs w:val="24"/>
        </w:rPr>
        <w:t>Improving Quality of Life</w:t>
      </w:r>
      <w:bookmarkEnd w:id="7"/>
      <w:r w:rsidRPr="00825D0C">
        <w:rPr>
          <w:rFonts w:ascii="Garamond" w:hAnsi="Garamond"/>
          <w:sz w:val="24"/>
          <w:szCs w:val="24"/>
        </w:rPr>
        <w:t xml:space="preserve"> </w:t>
      </w:r>
    </w:p>
    <w:p w14:paraId="031F94E4" w14:textId="77777777" w:rsidR="00866B12" w:rsidRPr="001C1EC7" w:rsidRDefault="00866B12" w:rsidP="00D94068">
      <w:pPr>
        <w:spacing w:after="0" w:line="240" w:lineRule="auto"/>
        <w:rPr>
          <w:rFonts w:ascii="Garamond" w:hAnsi="Garamond"/>
          <w:b/>
        </w:rPr>
      </w:pPr>
      <w:r w:rsidRPr="004A0C12">
        <w:rPr>
          <w:rFonts w:ascii="Garamond" w:hAnsi="Garamond"/>
        </w:rPr>
        <w:tab/>
      </w:r>
      <w:r w:rsidRPr="001C1EC7">
        <w:rPr>
          <w:rFonts w:ascii="Garamond" w:hAnsi="Garamond"/>
          <w:b/>
        </w:rPr>
        <w:t xml:space="preserve">“Marylanders are among the nation’s hardest working and most educated people.” </w:t>
      </w:r>
    </w:p>
    <w:p w14:paraId="6D9F9770" w14:textId="4202A824" w:rsidR="00866B12" w:rsidRPr="001C1EC7" w:rsidRDefault="00866B12" w:rsidP="00D94068">
      <w:pPr>
        <w:spacing w:after="0" w:line="240" w:lineRule="auto"/>
        <w:ind w:left="5760"/>
        <w:rPr>
          <w:rFonts w:ascii="Garamond" w:hAnsi="Garamond"/>
          <w:b/>
        </w:rPr>
      </w:pPr>
      <w:r w:rsidRPr="001C1EC7">
        <w:rPr>
          <w:rFonts w:ascii="Garamond" w:hAnsi="Garamond"/>
          <w:b/>
        </w:rPr>
        <w:t>-Governor Hogan’s</w:t>
      </w:r>
      <w:r w:rsidR="00AB4897" w:rsidRPr="001C1EC7">
        <w:rPr>
          <w:rFonts w:ascii="Garamond" w:hAnsi="Garamond"/>
          <w:b/>
        </w:rPr>
        <w:t xml:space="preserve"> 2015 State of the State Address </w:t>
      </w:r>
    </w:p>
    <w:p w14:paraId="1E818EC4" w14:textId="77777777" w:rsidR="008A605F" w:rsidRPr="004A0C12" w:rsidRDefault="008A605F" w:rsidP="00D94068">
      <w:pPr>
        <w:spacing w:after="0" w:line="240" w:lineRule="auto"/>
        <w:jc w:val="both"/>
        <w:rPr>
          <w:rFonts w:ascii="Garamond" w:hAnsi="Garamond"/>
        </w:rPr>
      </w:pPr>
    </w:p>
    <w:p w14:paraId="6B4EAEF8" w14:textId="045E542B" w:rsidR="00866B12" w:rsidRPr="004A0C12" w:rsidRDefault="00866B12" w:rsidP="00D94068">
      <w:pPr>
        <w:spacing w:after="0" w:line="240" w:lineRule="auto"/>
        <w:jc w:val="both"/>
        <w:rPr>
          <w:rFonts w:ascii="Garamond" w:hAnsi="Garamond"/>
        </w:rPr>
      </w:pPr>
      <w:r w:rsidRPr="004A0C12">
        <w:rPr>
          <w:rFonts w:ascii="Garamond" w:hAnsi="Garamond"/>
        </w:rPr>
        <w:t>Jobseekers must also be the</w:t>
      </w:r>
      <w:r w:rsidR="00CC18B9" w:rsidRPr="004A0C12">
        <w:rPr>
          <w:rFonts w:ascii="Garamond" w:hAnsi="Garamond"/>
        </w:rPr>
        <w:t xml:space="preserve"> focus of Maryland’s workforce</w:t>
      </w:r>
      <w:r w:rsidRPr="004A0C12">
        <w:rPr>
          <w:rFonts w:ascii="Garamond" w:hAnsi="Garamond"/>
        </w:rPr>
        <w:t xml:space="preserve"> system. Whether a jobseeker is entering an American Job Center, submitting a resume to apply for jobs on the Maryland Workforce Exchange, or receiving training through one of Maryland’s twelve local partners, the services received must be tailored to the individual’s needs.  </w:t>
      </w:r>
    </w:p>
    <w:p w14:paraId="449B6205" w14:textId="77777777" w:rsidR="00D94068" w:rsidRPr="004A0C12" w:rsidRDefault="00D94068" w:rsidP="00D94068">
      <w:pPr>
        <w:spacing w:after="0" w:line="240" w:lineRule="auto"/>
        <w:jc w:val="both"/>
        <w:rPr>
          <w:rFonts w:ascii="Garamond" w:hAnsi="Garamond"/>
        </w:rPr>
      </w:pPr>
    </w:p>
    <w:p w14:paraId="7DE4EE39" w14:textId="3B1E6A55" w:rsidR="00623895" w:rsidRPr="004A0C12" w:rsidRDefault="00623895" w:rsidP="00D94068">
      <w:pPr>
        <w:spacing w:after="0" w:line="240" w:lineRule="auto"/>
        <w:jc w:val="both"/>
        <w:rPr>
          <w:rFonts w:ascii="Garamond" w:hAnsi="Garamond"/>
        </w:rPr>
      </w:pPr>
      <w:r w:rsidRPr="004A0C12">
        <w:rPr>
          <w:rFonts w:ascii="Garamond" w:hAnsi="Garamond"/>
        </w:rPr>
        <w:t>The State of Maryland is geographically</w:t>
      </w:r>
      <w:r w:rsidR="00CC18B9" w:rsidRPr="004A0C12">
        <w:rPr>
          <w:rFonts w:ascii="Garamond" w:hAnsi="Garamond"/>
        </w:rPr>
        <w:t xml:space="preserve"> diverse</w:t>
      </w:r>
      <w:r w:rsidRPr="004A0C12">
        <w:rPr>
          <w:rFonts w:ascii="Garamond" w:hAnsi="Garamond"/>
        </w:rPr>
        <w:t>. From the mountains of Western Maryland, to the Interstate 95 corridor, to the waters of the Chesapeake Bay, Maryland is truly “America in miniature.” The people who call Maryland home are just as diverse. They come from a large array of backgrounds, education, and social and political perspectives. They carry with them unique life stories and experiences that can contribute greatly to Maryland’s economic well-being.</w:t>
      </w:r>
    </w:p>
    <w:p w14:paraId="52940268" w14:textId="77777777" w:rsidR="00623895" w:rsidRPr="004A0C12" w:rsidRDefault="00623895" w:rsidP="00D94068">
      <w:pPr>
        <w:spacing w:after="0" w:line="240" w:lineRule="auto"/>
        <w:jc w:val="both"/>
        <w:rPr>
          <w:rFonts w:ascii="Garamond" w:hAnsi="Garamond"/>
        </w:rPr>
      </w:pPr>
    </w:p>
    <w:p w14:paraId="3E34E893" w14:textId="46E05242" w:rsidR="00623895" w:rsidRPr="004A0C12" w:rsidRDefault="003C6F51" w:rsidP="00623895">
      <w:pPr>
        <w:spacing w:after="0" w:line="240" w:lineRule="auto"/>
        <w:jc w:val="both"/>
        <w:rPr>
          <w:rFonts w:ascii="Garamond" w:hAnsi="Garamond"/>
        </w:rPr>
      </w:pPr>
      <w:r w:rsidRPr="004A0C12">
        <w:rPr>
          <w:rFonts w:ascii="Garamond" w:hAnsi="Garamond"/>
        </w:rPr>
        <w:t>A jobseeker from Cumberland may face different barriers to employment than the same jobseeker in Tacoma Park faces</w:t>
      </w:r>
      <w:r w:rsidR="00623895" w:rsidRPr="004A0C12">
        <w:rPr>
          <w:rFonts w:ascii="Garamond" w:hAnsi="Garamond"/>
        </w:rPr>
        <w:t>. The State’s workforce system must be responsive to the needs of both jobseekers. Thus, collaboration on both the State and local levels is key to ensuring that customers who enter any American Job Center, local social services office, or any other entry point into the Maryla</w:t>
      </w:r>
      <w:r w:rsidRPr="004A0C12">
        <w:rPr>
          <w:rFonts w:ascii="Garamond" w:hAnsi="Garamond"/>
        </w:rPr>
        <w:t>nd workforce system is provided with specific, customized services</w:t>
      </w:r>
      <w:r w:rsidR="00623895" w:rsidRPr="004A0C12">
        <w:rPr>
          <w:rFonts w:ascii="Garamond" w:hAnsi="Garamond"/>
        </w:rPr>
        <w:t xml:space="preserve">. </w:t>
      </w:r>
    </w:p>
    <w:p w14:paraId="7B81D0D1" w14:textId="77777777" w:rsidR="00623895" w:rsidRPr="004A0C12" w:rsidRDefault="00623895" w:rsidP="00D94068">
      <w:pPr>
        <w:spacing w:after="0" w:line="240" w:lineRule="auto"/>
        <w:jc w:val="both"/>
        <w:rPr>
          <w:rFonts w:ascii="Garamond" w:hAnsi="Garamond"/>
        </w:rPr>
      </w:pPr>
    </w:p>
    <w:p w14:paraId="55055085" w14:textId="1EFF6426" w:rsidR="008361F6" w:rsidRPr="004A0C12" w:rsidRDefault="00623895" w:rsidP="00D94068">
      <w:pPr>
        <w:spacing w:after="0" w:line="240" w:lineRule="auto"/>
        <w:jc w:val="both"/>
        <w:rPr>
          <w:rFonts w:ascii="Garamond" w:hAnsi="Garamond"/>
        </w:rPr>
      </w:pPr>
      <w:r w:rsidRPr="004A0C12">
        <w:rPr>
          <w:rFonts w:ascii="Garamond" w:hAnsi="Garamond"/>
        </w:rPr>
        <w:t>In the end, t</w:t>
      </w:r>
      <w:r w:rsidR="00866B12" w:rsidRPr="004A0C12">
        <w:rPr>
          <w:rFonts w:ascii="Garamond" w:hAnsi="Garamond"/>
        </w:rPr>
        <w:t xml:space="preserve">he primary goal of the workforce system must be to serve the person above serving </w:t>
      </w:r>
      <w:r w:rsidR="00CC18B9" w:rsidRPr="004A0C12">
        <w:rPr>
          <w:rFonts w:ascii="Garamond" w:hAnsi="Garamond"/>
        </w:rPr>
        <w:t xml:space="preserve">only </w:t>
      </w:r>
      <w:r w:rsidR="00866B12" w:rsidRPr="004A0C12">
        <w:rPr>
          <w:rFonts w:ascii="Garamond" w:hAnsi="Garamond"/>
        </w:rPr>
        <w:t>performance measures.</w:t>
      </w:r>
      <w:r w:rsidR="00852EE0" w:rsidRPr="004A0C12">
        <w:rPr>
          <w:rFonts w:ascii="Garamond" w:hAnsi="Garamond"/>
        </w:rPr>
        <w:t xml:space="preserve"> This is not to say that performance measures are not important. However, when the workforce system focuses on the needs of our fellow Marylanders, and not just the prescribed goals of a particular program, performance will</w:t>
      </w:r>
      <w:r w:rsidRPr="004A0C12">
        <w:rPr>
          <w:rFonts w:ascii="Garamond" w:hAnsi="Garamond"/>
        </w:rPr>
        <w:t xml:space="preserve"> naturally increase. In serving our fellow Marylanders, the State’s workforce system will not only change the lives of those jobseekers it serves, but it will also affect the lives of that individ</w:t>
      </w:r>
      <w:r w:rsidR="00CC18B9" w:rsidRPr="004A0C12">
        <w:rPr>
          <w:rFonts w:ascii="Garamond" w:hAnsi="Garamond"/>
        </w:rPr>
        <w:t xml:space="preserve">ual’s family and that their </w:t>
      </w:r>
      <w:r w:rsidRPr="004A0C12">
        <w:rPr>
          <w:rFonts w:ascii="Garamond" w:hAnsi="Garamond"/>
        </w:rPr>
        <w:t xml:space="preserve">community. </w:t>
      </w:r>
      <w:r w:rsidR="00CC18B9" w:rsidRPr="004A0C12">
        <w:rPr>
          <w:rFonts w:ascii="Garamond" w:hAnsi="Garamond"/>
        </w:rPr>
        <w:t xml:space="preserve">By placing people before performance, </w:t>
      </w:r>
      <w:r w:rsidRPr="004A0C12">
        <w:rPr>
          <w:rFonts w:ascii="Garamond" w:hAnsi="Garamond"/>
        </w:rPr>
        <w:t xml:space="preserve">the State workforce system will truly be changing Maryland for the better.  </w:t>
      </w:r>
    </w:p>
    <w:p w14:paraId="30910C16" w14:textId="77777777" w:rsidR="008361F6" w:rsidRPr="004A0C12" w:rsidRDefault="008361F6" w:rsidP="00D94068">
      <w:pPr>
        <w:spacing w:after="0" w:line="240" w:lineRule="auto"/>
        <w:jc w:val="both"/>
        <w:rPr>
          <w:rFonts w:ascii="Garamond" w:hAnsi="Garamond"/>
        </w:rPr>
      </w:pPr>
    </w:p>
    <w:p w14:paraId="180C3276" w14:textId="7E5D15EC" w:rsidR="00866B12" w:rsidRPr="004A0C12" w:rsidRDefault="00623895" w:rsidP="00D94068">
      <w:pPr>
        <w:spacing w:after="0" w:line="240" w:lineRule="auto"/>
        <w:jc w:val="both"/>
        <w:rPr>
          <w:rFonts w:ascii="Garamond" w:hAnsi="Garamond"/>
        </w:rPr>
      </w:pPr>
      <w:r w:rsidRPr="004A0C12">
        <w:rPr>
          <w:rFonts w:ascii="Garamond" w:hAnsi="Garamond"/>
        </w:rPr>
        <w:t>This change in philosophy will not occur overnight. Maryland’s WIOA Partners must ensure that message of placing people before performance is captured throughout the workforce system and not merely an empty platitude written on the pages of a lengthy State plan. As the workforce system dedicates its efforts to ensuring that all of Maryland’s jobseekers are provided quality services, particular focus must be placed on those individuals who face barriers to employment</w:t>
      </w:r>
      <w:r w:rsidR="000F48B5" w:rsidRPr="004A0C12">
        <w:rPr>
          <w:rFonts w:ascii="Garamond" w:hAnsi="Garamond"/>
        </w:rPr>
        <w:t xml:space="preserve"> </w:t>
      </w:r>
      <w:r w:rsidR="00866B12" w:rsidRPr="004A0C12">
        <w:rPr>
          <w:rFonts w:ascii="Garamond" w:hAnsi="Garamond"/>
        </w:rPr>
        <w:t xml:space="preserve">that hinder them from entering into a fulfilling and meaningful career. Individuals with barriers to employment, as defined by the </w:t>
      </w:r>
      <w:r w:rsidR="00CC18B9" w:rsidRPr="004A0C12">
        <w:rPr>
          <w:rFonts w:ascii="Garamond" w:hAnsi="Garamond"/>
        </w:rPr>
        <w:t xml:space="preserve">WIOA </w:t>
      </w:r>
      <w:r w:rsidR="00D21526" w:rsidRPr="004A0C12">
        <w:rPr>
          <w:rFonts w:ascii="Garamond" w:hAnsi="Garamond"/>
        </w:rPr>
        <w:t>and Maryland include</w:t>
      </w:r>
      <w:r w:rsidR="00AC0F1E" w:rsidRPr="004A0C12">
        <w:rPr>
          <w:rFonts w:ascii="Garamond" w:hAnsi="Garamond"/>
        </w:rPr>
        <w:t xml:space="preserve"> the following.</w:t>
      </w:r>
      <w:r w:rsidR="00AC0F1E" w:rsidRPr="004A0C12">
        <w:rPr>
          <w:rStyle w:val="FootnoteReference"/>
          <w:rFonts w:ascii="Garamond" w:hAnsi="Garamond"/>
        </w:rPr>
        <w:footnoteReference w:id="1"/>
      </w:r>
      <w:r w:rsidR="00AC0F1E" w:rsidRPr="004A0C12">
        <w:rPr>
          <w:rFonts w:ascii="Garamond" w:hAnsi="Garamond"/>
        </w:rPr>
        <w:t xml:space="preserve"> </w:t>
      </w:r>
    </w:p>
    <w:p w14:paraId="331CF935" w14:textId="77777777" w:rsidR="00D21526" w:rsidRPr="004A0C12" w:rsidRDefault="00D21526" w:rsidP="00D21526">
      <w:pPr>
        <w:spacing w:after="0" w:line="240" w:lineRule="auto"/>
        <w:jc w:val="both"/>
        <w:rPr>
          <w:rFonts w:ascii="Garamond" w:hAnsi="Garamond"/>
        </w:rPr>
      </w:pPr>
    </w:p>
    <w:p w14:paraId="79913F57" w14:textId="024C3770" w:rsidR="00D21526" w:rsidRPr="004A0C12" w:rsidRDefault="003C6F51"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Displaced homemakers</w:t>
      </w:r>
    </w:p>
    <w:p w14:paraId="6073D50C" w14:textId="6DC938C7"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Eligible mi</w:t>
      </w:r>
      <w:r w:rsidR="003C6F51" w:rsidRPr="004A0C12">
        <w:rPr>
          <w:rFonts w:ascii="Garamond" w:hAnsi="Garamond"/>
        </w:rPr>
        <w:t>grant and seasonal farm workers</w:t>
      </w:r>
    </w:p>
    <w:p w14:paraId="5D37EF03" w14:textId="5D744437" w:rsidR="00D21526" w:rsidRPr="004A0C12" w:rsidRDefault="003C6F51"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Ex-offenders</w:t>
      </w:r>
    </w:p>
    <w:p w14:paraId="199D2965" w14:textId="0591EAE8" w:rsidR="00D21526" w:rsidRPr="004A0C12" w:rsidRDefault="003C6F51"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Homeless individuals</w:t>
      </w:r>
    </w:p>
    <w:p w14:paraId="30FE0AE9" w14:textId="341793A9"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Individuals facing subs</w:t>
      </w:r>
      <w:r w:rsidR="003C6F51" w:rsidRPr="004A0C12">
        <w:rPr>
          <w:rFonts w:ascii="Garamond" w:hAnsi="Garamond"/>
        </w:rPr>
        <w:t>tantial cultural barriers</w:t>
      </w:r>
    </w:p>
    <w:p w14:paraId="26E96B77" w14:textId="1DB9F2D3"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Individuals with disabilities, in</w:t>
      </w:r>
      <w:r w:rsidR="003C6F51" w:rsidRPr="004A0C12">
        <w:rPr>
          <w:rFonts w:ascii="Garamond" w:hAnsi="Garamond"/>
        </w:rPr>
        <w:t>cluding youth with disabilities</w:t>
      </w:r>
    </w:p>
    <w:p w14:paraId="79DE0878" w14:textId="0967A23F"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Individuals within two years of exhausting lifetime eligibility under Pa</w:t>
      </w:r>
      <w:r w:rsidR="003C6F51" w:rsidRPr="004A0C12">
        <w:rPr>
          <w:rFonts w:ascii="Garamond" w:hAnsi="Garamond"/>
        </w:rPr>
        <w:t>rt A of the Social Security Act</w:t>
      </w:r>
    </w:p>
    <w:p w14:paraId="31533584" w14:textId="3D9891C9"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Individuals wh</w:t>
      </w:r>
      <w:r w:rsidR="003C6F51" w:rsidRPr="004A0C12">
        <w:rPr>
          <w:rFonts w:ascii="Garamond" w:hAnsi="Garamond"/>
        </w:rPr>
        <w:t>o are English language learners</w:t>
      </w:r>
    </w:p>
    <w:p w14:paraId="001B53E1" w14:textId="04D20BCF"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Individuals who are unemployed, inc</w:t>
      </w:r>
      <w:r w:rsidR="003C6F51" w:rsidRPr="004A0C12">
        <w:rPr>
          <w:rFonts w:ascii="Garamond" w:hAnsi="Garamond"/>
        </w:rPr>
        <w:t>luding the long-term unemployed</w:t>
      </w:r>
    </w:p>
    <w:p w14:paraId="554C8A89" w14:textId="0A709A8D"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Individuals </w:t>
      </w:r>
      <w:r w:rsidR="003C6F51" w:rsidRPr="004A0C12">
        <w:rPr>
          <w:rFonts w:ascii="Garamond" w:hAnsi="Garamond"/>
        </w:rPr>
        <w:t>who have low levels of literacy</w:t>
      </w:r>
    </w:p>
    <w:p w14:paraId="7B0CC60F" w14:textId="7E115916"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Individual</w:t>
      </w:r>
      <w:r w:rsidR="003C6F51" w:rsidRPr="004A0C12">
        <w:rPr>
          <w:rFonts w:ascii="Garamond" w:hAnsi="Garamond"/>
        </w:rPr>
        <w:t>s without a high school diploma</w:t>
      </w:r>
    </w:p>
    <w:p w14:paraId="64506017" w14:textId="0ECF3391"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Low income individuals, inc</w:t>
      </w:r>
      <w:r w:rsidR="003C6F51" w:rsidRPr="004A0C12">
        <w:rPr>
          <w:rFonts w:ascii="Garamond" w:hAnsi="Garamond"/>
        </w:rPr>
        <w:t>luding TANF and SNAP recipients</w:t>
      </w:r>
    </w:p>
    <w:p w14:paraId="29D0BF1C" w14:textId="39EB2315"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lastRenderedPageBreak/>
        <w:t>L</w:t>
      </w:r>
      <w:r w:rsidR="003C6F51" w:rsidRPr="004A0C12">
        <w:rPr>
          <w:rFonts w:ascii="Garamond" w:hAnsi="Garamond"/>
        </w:rPr>
        <w:t>ong-term unemployed individuals</w:t>
      </w:r>
    </w:p>
    <w:p w14:paraId="4A059CF3" w14:textId="4D463C92" w:rsidR="00866B12" w:rsidRPr="004A0C12" w:rsidRDefault="00866B12"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Native Americans, Alaska</w:t>
      </w:r>
      <w:r w:rsidR="003C6F51" w:rsidRPr="004A0C12">
        <w:rPr>
          <w:rFonts w:ascii="Garamond" w:hAnsi="Garamond"/>
        </w:rPr>
        <w:t>n Natives, and Native Hawaiians</w:t>
      </w:r>
    </w:p>
    <w:p w14:paraId="73F8912D" w14:textId="7C9D4986" w:rsidR="00866B12" w:rsidRPr="004A0C12" w:rsidRDefault="003C6F51"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Older individuals</w:t>
      </w:r>
    </w:p>
    <w:p w14:paraId="3047DFC8" w14:textId="6C20D2C4"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Single parents (including single pregnant w</w:t>
      </w:r>
      <w:r w:rsidR="003C6F51" w:rsidRPr="004A0C12">
        <w:rPr>
          <w:rFonts w:ascii="Garamond" w:hAnsi="Garamond"/>
        </w:rPr>
        <w:t>omen and non-custodial parents)</w:t>
      </w:r>
    </w:p>
    <w:p w14:paraId="0D8AD5AE" w14:textId="1FB5EBBB" w:rsidR="00D21526" w:rsidRPr="004A0C12" w:rsidRDefault="00D21526" w:rsidP="009204FA">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Veterans</w:t>
      </w:r>
    </w:p>
    <w:p w14:paraId="770BCA5B" w14:textId="54BEA145" w:rsidR="003C6F51" w:rsidRPr="004A0C12" w:rsidRDefault="00866B12" w:rsidP="008A605F">
      <w:pPr>
        <w:numPr>
          <w:ilvl w:val="0"/>
          <w:numId w:val="30"/>
        </w:numPr>
        <w:tabs>
          <w:tab w:val="clear" w:pos="360"/>
          <w:tab w:val="num" w:pos="720"/>
        </w:tabs>
        <w:spacing w:after="0" w:line="240" w:lineRule="auto"/>
        <w:ind w:left="720" w:hanging="360"/>
        <w:jc w:val="both"/>
        <w:rPr>
          <w:rFonts w:ascii="Garamond" w:hAnsi="Garamond"/>
        </w:rPr>
      </w:pPr>
      <w:r w:rsidRPr="004A0C12">
        <w:rPr>
          <w:rFonts w:ascii="Garamond" w:hAnsi="Garamond"/>
        </w:rPr>
        <w:t>Youth who are in</w:t>
      </w:r>
      <w:r w:rsidR="003C6F51" w:rsidRPr="004A0C12">
        <w:rPr>
          <w:rFonts w:ascii="Garamond" w:hAnsi="Garamond"/>
        </w:rPr>
        <w:t>,</w:t>
      </w:r>
      <w:r w:rsidRPr="004A0C12">
        <w:rPr>
          <w:rFonts w:ascii="Garamond" w:hAnsi="Garamond"/>
        </w:rPr>
        <w:t xml:space="preserve"> or have age</w:t>
      </w:r>
      <w:r w:rsidR="003C6F51" w:rsidRPr="004A0C12">
        <w:rPr>
          <w:rFonts w:ascii="Garamond" w:hAnsi="Garamond"/>
        </w:rPr>
        <w:t>d out of, the foster care system</w:t>
      </w:r>
      <w:r w:rsidR="003C6F51" w:rsidRPr="004A0C12">
        <w:rPr>
          <w:rStyle w:val="FootnoteReference"/>
          <w:rFonts w:ascii="Garamond" w:hAnsi="Garamond"/>
        </w:rPr>
        <w:footnoteReference w:id="2"/>
      </w:r>
    </w:p>
    <w:p w14:paraId="4D9F0B62" w14:textId="77777777" w:rsidR="003C6F51" w:rsidRPr="004A0C12" w:rsidRDefault="003C6F51" w:rsidP="008A605F">
      <w:pPr>
        <w:spacing w:after="0" w:line="240" w:lineRule="auto"/>
        <w:jc w:val="both"/>
        <w:rPr>
          <w:rFonts w:ascii="Garamond" w:hAnsi="Garamond"/>
        </w:rPr>
      </w:pPr>
    </w:p>
    <w:p w14:paraId="147C596B" w14:textId="14DF2F74" w:rsidR="00017B08" w:rsidRPr="004A0C12" w:rsidRDefault="00017B08" w:rsidP="00017B08">
      <w:pPr>
        <w:spacing w:after="0" w:line="240" w:lineRule="auto"/>
        <w:jc w:val="both"/>
        <w:rPr>
          <w:rFonts w:ascii="Garamond" w:hAnsi="Garamond" w:cs="Times New Roman"/>
        </w:rPr>
      </w:pPr>
      <w:r w:rsidRPr="004A0C12">
        <w:rPr>
          <w:rFonts w:ascii="Garamond" w:hAnsi="Garamond"/>
        </w:rPr>
        <w:t>Those with barriers to employment</w:t>
      </w:r>
      <w:r w:rsidR="00CC18B9" w:rsidRPr="004A0C12">
        <w:rPr>
          <w:rFonts w:ascii="Garamond" w:hAnsi="Garamond"/>
        </w:rPr>
        <w:t>, as described above,</w:t>
      </w:r>
      <w:r w:rsidRPr="004A0C12">
        <w:rPr>
          <w:rFonts w:ascii="Garamond" w:hAnsi="Garamond"/>
        </w:rPr>
        <w:t xml:space="preserve"> deserve the attention of the workforce system. Along with these barriers comes a multitude of</w:t>
      </w:r>
      <w:r w:rsidRPr="004A0C12">
        <w:rPr>
          <w:rFonts w:ascii="Garamond" w:hAnsi="Garamond" w:cs="Times New Roman"/>
        </w:rPr>
        <w:t xml:space="preserve"> stigmas, myths, and </w:t>
      </w:r>
      <w:r w:rsidR="00CC18B9" w:rsidRPr="004A0C12">
        <w:rPr>
          <w:rFonts w:ascii="Garamond" w:hAnsi="Garamond" w:cs="Times New Roman"/>
        </w:rPr>
        <w:t>fallacies</w:t>
      </w:r>
      <w:r w:rsidRPr="004A0C12">
        <w:rPr>
          <w:rFonts w:ascii="Garamond" w:hAnsi="Garamond"/>
        </w:rPr>
        <w:t>. L</w:t>
      </w:r>
      <w:r w:rsidRPr="004A0C12">
        <w:rPr>
          <w:rFonts w:ascii="Garamond" w:hAnsi="Garamond" w:cs="Times New Roman"/>
        </w:rPr>
        <w:t xml:space="preserve">ow expectations and misconceptions abound when dealing with those with disabilities, those who are ex-offenders, and those with low levels of literacy or who are otherwise </w:t>
      </w:r>
      <w:r w:rsidR="003C6F51" w:rsidRPr="004A0C12">
        <w:rPr>
          <w:rFonts w:ascii="Garamond" w:hAnsi="Garamond" w:cs="Times New Roman"/>
        </w:rPr>
        <w:t>without a high school d</w:t>
      </w:r>
      <w:r w:rsidRPr="004A0C12">
        <w:rPr>
          <w:rFonts w:ascii="Garamond" w:hAnsi="Garamond" w:cs="Times New Roman"/>
        </w:rPr>
        <w:t xml:space="preserve">iploma. </w:t>
      </w:r>
      <w:r w:rsidR="00CD0CEB" w:rsidRPr="004A0C12">
        <w:rPr>
          <w:rFonts w:ascii="Garamond" w:hAnsi="Garamond" w:cs="Times New Roman"/>
        </w:rPr>
        <w:t>In creating a customer-centric system that</w:t>
      </w:r>
      <w:r w:rsidR="00CC18B9" w:rsidRPr="004A0C12">
        <w:rPr>
          <w:rFonts w:ascii="Garamond" w:hAnsi="Garamond" w:cs="Times New Roman"/>
        </w:rPr>
        <w:t xml:space="preserve"> is dedicated</w:t>
      </w:r>
      <w:r w:rsidR="00CD0CEB" w:rsidRPr="004A0C12">
        <w:rPr>
          <w:rFonts w:ascii="Garamond" w:hAnsi="Garamond" w:cs="Times New Roman"/>
        </w:rPr>
        <w:t xml:space="preserve"> to providing services to those who were previously deemed “the hardest to serve,” Maryland’s workforce system will be dedicated to </w:t>
      </w:r>
      <w:r w:rsidR="00CC18B9" w:rsidRPr="004A0C12">
        <w:rPr>
          <w:rFonts w:ascii="Garamond" w:hAnsi="Garamond" w:cs="Times New Roman"/>
        </w:rPr>
        <w:t>eliminating the</w:t>
      </w:r>
      <w:r w:rsidR="00CD0CEB" w:rsidRPr="004A0C12">
        <w:rPr>
          <w:rFonts w:ascii="Garamond" w:hAnsi="Garamond" w:cs="Times New Roman"/>
        </w:rPr>
        <w:t xml:space="preserve"> stigmas, myths, and misconceptions</w:t>
      </w:r>
      <w:r w:rsidR="00CC18B9" w:rsidRPr="004A0C12">
        <w:rPr>
          <w:rFonts w:ascii="Garamond" w:hAnsi="Garamond" w:cs="Times New Roman"/>
        </w:rPr>
        <w:t xml:space="preserve"> that exists</w:t>
      </w:r>
      <w:r w:rsidR="00CD0CEB" w:rsidRPr="004A0C12">
        <w:rPr>
          <w:rFonts w:ascii="Garamond" w:hAnsi="Garamond" w:cs="Times New Roman"/>
        </w:rPr>
        <w:t xml:space="preserve">. </w:t>
      </w:r>
    </w:p>
    <w:p w14:paraId="2F811093" w14:textId="77777777" w:rsidR="00017B08" w:rsidRPr="004A0C12" w:rsidRDefault="00017B08" w:rsidP="008A605F">
      <w:pPr>
        <w:spacing w:after="0" w:line="240" w:lineRule="auto"/>
        <w:jc w:val="both"/>
        <w:rPr>
          <w:rFonts w:ascii="Garamond" w:hAnsi="Garamond"/>
        </w:rPr>
      </w:pPr>
    </w:p>
    <w:p w14:paraId="3F397F41" w14:textId="69DA6C38" w:rsidR="00866B12" w:rsidRPr="004A0C12" w:rsidRDefault="00CD0CEB" w:rsidP="008A605F">
      <w:pPr>
        <w:spacing w:after="0" w:line="240" w:lineRule="auto"/>
        <w:jc w:val="both"/>
        <w:rPr>
          <w:rFonts w:ascii="Garamond" w:hAnsi="Garamond"/>
        </w:rPr>
      </w:pPr>
      <w:r w:rsidRPr="004A0C12">
        <w:rPr>
          <w:rFonts w:ascii="Garamond" w:hAnsi="Garamond"/>
        </w:rPr>
        <w:t>One way t</w:t>
      </w:r>
      <w:r w:rsidR="00CC18B9" w:rsidRPr="004A0C12">
        <w:rPr>
          <w:rFonts w:ascii="Garamond" w:hAnsi="Garamond"/>
        </w:rPr>
        <w:t>o “bust” misconceptions is through the creation of a</w:t>
      </w:r>
      <w:r w:rsidRPr="004A0C12">
        <w:rPr>
          <w:rFonts w:ascii="Garamond" w:hAnsi="Garamond"/>
        </w:rPr>
        <w:t xml:space="preserve"> workforce system fosters the creation of</w:t>
      </w:r>
      <w:r w:rsidR="00866B12" w:rsidRPr="004A0C12">
        <w:rPr>
          <w:rFonts w:ascii="Garamond" w:hAnsi="Garamond"/>
        </w:rPr>
        <w:t xml:space="preserve"> a career pathway </w:t>
      </w:r>
      <w:r w:rsidR="00CC18B9" w:rsidRPr="004A0C12">
        <w:rPr>
          <w:rFonts w:ascii="Garamond" w:hAnsi="Garamond"/>
        </w:rPr>
        <w:t>for all Marylanders. W</w:t>
      </w:r>
      <w:r w:rsidR="00866B12" w:rsidRPr="004A0C12">
        <w:rPr>
          <w:rFonts w:ascii="Garamond" w:hAnsi="Garamond"/>
        </w:rPr>
        <w:t xml:space="preserve">IOA defines a career pathway, as a combination of rigorous and high-quality education, training, and other services that: </w:t>
      </w:r>
    </w:p>
    <w:p w14:paraId="1BD3C40C" w14:textId="77777777" w:rsidR="00D94068" w:rsidRPr="004A0C12" w:rsidRDefault="00D94068" w:rsidP="008A605F">
      <w:pPr>
        <w:spacing w:after="0" w:line="240" w:lineRule="auto"/>
        <w:jc w:val="both"/>
        <w:rPr>
          <w:rFonts w:ascii="Garamond" w:hAnsi="Garamond"/>
        </w:rPr>
      </w:pPr>
    </w:p>
    <w:p w14:paraId="2614B543" w14:textId="77777777" w:rsidR="00866B12" w:rsidRPr="004A0C12" w:rsidRDefault="00866B12" w:rsidP="009204FA">
      <w:pPr>
        <w:numPr>
          <w:ilvl w:val="0"/>
          <w:numId w:val="31"/>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Aligns with the skill needs of industries in the economy of the State or regional economy involved; </w:t>
      </w:r>
    </w:p>
    <w:p w14:paraId="037A87F6" w14:textId="25FA93E5" w:rsidR="00866B12" w:rsidRPr="004A0C12" w:rsidRDefault="00866B12" w:rsidP="009204FA">
      <w:pPr>
        <w:numPr>
          <w:ilvl w:val="0"/>
          <w:numId w:val="31"/>
        </w:numPr>
        <w:tabs>
          <w:tab w:val="clear" w:pos="360"/>
          <w:tab w:val="num" w:pos="720"/>
        </w:tabs>
        <w:spacing w:after="0" w:line="240" w:lineRule="auto"/>
        <w:ind w:left="720" w:hanging="360"/>
        <w:jc w:val="both"/>
        <w:rPr>
          <w:rFonts w:ascii="Garamond" w:hAnsi="Garamond"/>
        </w:rPr>
      </w:pPr>
      <w:r w:rsidRPr="004A0C12">
        <w:rPr>
          <w:rFonts w:ascii="Garamond" w:hAnsi="Garamond"/>
        </w:rPr>
        <w:t>Prepares an individual to be successful in any of a full range of secondary or post</w:t>
      </w:r>
      <w:r w:rsidR="00BB5F3C" w:rsidRPr="004A0C12">
        <w:rPr>
          <w:rFonts w:ascii="Garamond" w:hAnsi="Garamond"/>
        </w:rPr>
        <w:t>-</w:t>
      </w:r>
      <w:r w:rsidRPr="004A0C12">
        <w:rPr>
          <w:rFonts w:ascii="Garamond" w:hAnsi="Garamond"/>
        </w:rPr>
        <w:t xml:space="preserve">secondary education options, including apprenticeships; </w:t>
      </w:r>
    </w:p>
    <w:p w14:paraId="0EBE99D3" w14:textId="77777777" w:rsidR="00866B12" w:rsidRPr="004A0C12" w:rsidRDefault="00866B12" w:rsidP="009204FA">
      <w:pPr>
        <w:numPr>
          <w:ilvl w:val="0"/>
          <w:numId w:val="31"/>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Includes counseling to support an individual in achieving the individual’s education and career goals; </w:t>
      </w:r>
    </w:p>
    <w:p w14:paraId="411FE2A2" w14:textId="43258757" w:rsidR="00866B12" w:rsidRPr="004A0C12" w:rsidRDefault="00866B12" w:rsidP="009204FA">
      <w:pPr>
        <w:numPr>
          <w:ilvl w:val="0"/>
          <w:numId w:val="31"/>
        </w:numPr>
        <w:tabs>
          <w:tab w:val="clear" w:pos="360"/>
          <w:tab w:val="num" w:pos="720"/>
        </w:tabs>
        <w:spacing w:after="0" w:line="240" w:lineRule="auto"/>
        <w:ind w:left="720" w:hanging="360"/>
        <w:jc w:val="both"/>
        <w:rPr>
          <w:rFonts w:ascii="Garamond" w:hAnsi="Garamond"/>
        </w:rPr>
      </w:pPr>
      <w:r w:rsidRPr="004A0C12">
        <w:rPr>
          <w:rFonts w:ascii="Garamond" w:hAnsi="Garamond"/>
        </w:rPr>
        <w:t>Includes, as appropriate, education offered concurrently with</w:t>
      </w:r>
      <w:r w:rsidR="003C6F51" w:rsidRPr="004A0C12">
        <w:rPr>
          <w:rFonts w:ascii="Garamond" w:hAnsi="Garamond"/>
        </w:rPr>
        <w:t>,</w:t>
      </w:r>
      <w:r w:rsidRPr="004A0C12">
        <w:rPr>
          <w:rFonts w:ascii="Garamond" w:hAnsi="Garamond"/>
        </w:rPr>
        <w:t xml:space="preserve"> and in the same context as</w:t>
      </w:r>
      <w:r w:rsidR="003C6F51" w:rsidRPr="004A0C12">
        <w:rPr>
          <w:rFonts w:ascii="Garamond" w:hAnsi="Garamond"/>
        </w:rPr>
        <w:t>,</w:t>
      </w:r>
      <w:r w:rsidRPr="004A0C12">
        <w:rPr>
          <w:rFonts w:ascii="Garamond" w:hAnsi="Garamond"/>
        </w:rPr>
        <w:t xml:space="preserve"> workforce preparation activities and training for a specific occupation or occupational cluster; </w:t>
      </w:r>
    </w:p>
    <w:p w14:paraId="7F46366B" w14:textId="77777777" w:rsidR="00866B12" w:rsidRPr="004A0C12" w:rsidRDefault="00866B12" w:rsidP="009204FA">
      <w:pPr>
        <w:numPr>
          <w:ilvl w:val="0"/>
          <w:numId w:val="31"/>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Organizes education, training, and other services to meet the particular needs of an individual in a manner that accelerates the educational and career advancement of the individual to the extent practicable; </w:t>
      </w:r>
    </w:p>
    <w:p w14:paraId="43A29158" w14:textId="1908879E" w:rsidR="00866B12" w:rsidRPr="004A0C12" w:rsidRDefault="00866B12" w:rsidP="009204FA">
      <w:pPr>
        <w:numPr>
          <w:ilvl w:val="0"/>
          <w:numId w:val="31"/>
        </w:numPr>
        <w:tabs>
          <w:tab w:val="clear" w:pos="360"/>
          <w:tab w:val="num" w:pos="720"/>
        </w:tabs>
        <w:spacing w:after="0" w:line="240" w:lineRule="auto"/>
        <w:ind w:left="720" w:hanging="360"/>
        <w:jc w:val="both"/>
        <w:rPr>
          <w:rFonts w:ascii="Garamond" w:hAnsi="Garamond"/>
        </w:rPr>
      </w:pPr>
      <w:r w:rsidRPr="004A0C12">
        <w:rPr>
          <w:rFonts w:ascii="Garamond" w:hAnsi="Garamond"/>
        </w:rPr>
        <w:t>Enables an individual to attain a secondary school diploma or its recognized equivalent, and at least one recognized post</w:t>
      </w:r>
      <w:r w:rsidR="00BB5F3C" w:rsidRPr="004A0C12">
        <w:rPr>
          <w:rFonts w:ascii="Garamond" w:hAnsi="Garamond"/>
        </w:rPr>
        <w:t>-</w:t>
      </w:r>
      <w:r w:rsidRPr="004A0C12">
        <w:rPr>
          <w:rFonts w:ascii="Garamond" w:hAnsi="Garamond"/>
        </w:rPr>
        <w:t xml:space="preserve">secondary credential; and, </w:t>
      </w:r>
    </w:p>
    <w:p w14:paraId="4EAEBB27" w14:textId="77777777" w:rsidR="00866B12" w:rsidRPr="004A0C12" w:rsidRDefault="00866B12" w:rsidP="009204FA">
      <w:pPr>
        <w:numPr>
          <w:ilvl w:val="0"/>
          <w:numId w:val="31"/>
        </w:numPr>
        <w:tabs>
          <w:tab w:val="clear" w:pos="360"/>
          <w:tab w:val="num" w:pos="720"/>
        </w:tabs>
        <w:spacing w:after="0" w:line="240" w:lineRule="auto"/>
        <w:ind w:left="720" w:hanging="360"/>
        <w:jc w:val="both"/>
        <w:rPr>
          <w:rFonts w:ascii="Garamond" w:hAnsi="Garamond"/>
        </w:rPr>
      </w:pPr>
      <w:r w:rsidRPr="004A0C12">
        <w:rPr>
          <w:rFonts w:ascii="Garamond" w:hAnsi="Garamond"/>
        </w:rPr>
        <w:t>Helps an individual enter or advance within a specific occupation or occupational cluster.</w:t>
      </w:r>
    </w:p>
    <w:p w14:paraId="204EAD5F" w14:textId="77777777" w:rsidR="00D94068" w:rsidRPr="004A0C12" w:rsidRDefault="00D94068" w:rsidP="008A605F">
      <w:pPr>
        <w:spacing w:after="0" w:line="240" w:lineRule="auto"/>
        <w:ind w:left="720"/>
        <w:jc w:val="both"/>
        <w:rPr>
          <w:rFonts w:ascii="Garamond" w:hAnsi="Garamond"/>
        </w:rPr>
      </w:pPr>
    </w:p>
    <w:p w14:paraId="055DE610" w14:textId="722864DE" w:rsidR="00866B12" w:rsidRPr="004A0C12" w:rsidRDefault="00866B12" w:rsidP="008A605F">
      <w:pPr>
        <w:spacing w:after="0" w:line="240" w:lineRule="auto"/>
        <w:jc w:val="both"/>
        <w:rPr>
          <w:rFonts w:ascii="Garamond" w:hAnsi="Garamond"/>
        </w:rPr>
      </w:pPr>
      <w:r w:rsidRPr="004A0C12">
        <w:rPr>
          <w:rFonts w:ascii="Garamond" w:hAnsi="Garamond"/>
        </w:rPr>
        <w:t>A career pathway sys</w:t>
      </w:r>
      <w:r w:rsidR="00080EC6" w:rsidRPr="004A0C12">
        <w:rPr>
          <w:rFonts w:ascii="Garamond" w:hAnsi="Garamond"/>
        </w:rPr>
        <w:t>tem ensures that Maryland’s job</w:t>
      </w:r>
      <w:r w:rsidRPr="004A0C12">
        <w:rPr>
          <w:rFonts w:ascii="Garamond" w:hAnsi="Garamond"/>
        </w:rPr>
        <w:t xml:space="preserve">seekers are offered education and skills training </w:t>
      </w:r>
      <w:r w:rsidR="00CC18B9" w:rsidRPr="004A0C12">
        <w:rPr>
          <w:rFonts w:ascii="Garamond" w:hAnsi="Garamond"/>
        </w:rPr>
        <w:t>along with t</w:t>
      </w:r>
      <w:r w:rsidRPr="004A0C12">
        <w:rPr>
          <w:rFonts w:ascii="Garamond" w:hAnsi="Garamond"/>
        </w:rPr>
        <w:t xml:space="preserve">he necessary credentials to meet </w:t>
      </w:r>
      <w:r w:rsidR="00CC18B9" w:rsidRPr="004A0C12">
        <w:rPr>
          <w:rFonts w:ascii="Garamond" w:hAnsi="Garamond"/>
        </w:rPr>
        <w:t>industry</w:t>
      </w:r>
      <w:r w:rsidRPr="004A0C12">
        <w:rPr>
          <w:rFonts w:ascii="Garamond" w:hAnsi="Garamond"/>
        </w:rPr>
        <w:t xml:space="preserve"> demands. Recognizing the varying backgrounds of Maryland’s jobseekers, a career pathway system provides participants with multiple entry points to accommodate varying education levels, and multiple exit points as the jobseeker obtains the necessary skill or credential. Again, business partnerships are </w:t>
      </w:r>
      <w:proofErr w:type="gramStart"/>
      <w:r w:rsidRPr="004A0C12">
        <w:rPr>
          <w:rFonts w:ascii="Garamond" w:hAnsi="Garamond"/>
        </w:rPr>
        <w:t>key</w:t>
      </w:r>
      <w:proofErr w:type="gramEnd"/>
      <w:r w:rsidRPr="004A0C12">
        <w:rPr>
          <w:rFonts w:ascii="Garamond" w:hAnsi="Garamond"/>
        </w:rPr>
        <w:t xml:space="preserve"> in the development of this pathway to ensure that the jobseeker obtains industry-recognized credentials and has the potential to obtain a rewarding career.</w:t>
      </w:r>
      <w:r w:rsidR="00BC6D08" w:rsidRPr="004A0C12">
        <w:rPr>
          <w:rFonts w:ascii="Garamond" w:hAnsi="Garamond"/>
        </w:rPr>
        <w:t xml:space="preserve"> As Maryland’s WIOA Partners implement the provisions of the federal act and the vision set forth in the pages of </w:t>
      </w:r>
      <w:r w:rsidR="002C58AA" w:rsidRPr="004A0C12">
        <w:rPr>
          <w:rFonts w:ascii="Garamond" w:hAnsi="Garamond"/>
        </w:rPr>
        <w:t>this Combined Workforce Plan, they</w:t>
      </w:r>
      <w:r w:rsidR="00BC6D08" w:rsidRPr="004A0C12">
        <w:rPr>
          <w:rFonts w:ascii="Garamond" w:hAnsi="Garamond"/>
        </w:rPr>
        <w:t xml:space="preserve"> must </w:t>
      </w:r>
      <w:r w:rsidR="00CC18B9" w:rsidRPr="004A0C12">
        <w:rPr>
          <w:rFonts w:ascii="Garamond" w:hAnsi="Garamond"/>
        </w:rPr>
        <w:t xml:space="preserve">commit to </w:t>
      </w:r>
      <w:r w:rsidR="00BC6D08" w:rsidRPr="004A0C12">
        <w:rPr>
          <w:rFonts w:ascii="Garamond" w:hAnsi="Garamond"/>
        </w:rPr>
        <w:t xml:space="preserve">providing concrete steps for the creation of career pathways. In doing so, Maryland’s WIOA Partners must provide technical assistance </w:t>
      </w:r>
      <w:r w:rsidR="002C58AA" w:rsidRPr="004A0C12">
        <w:rPr>
          <w:rFonts w:ascii="Garamond" w:hAnsi="Garamond"/>
        </w:rPr>
        <w:t xml:space="preserve">on carrier pathways. </w:t>
      </w:r>
    </w:p>
    <w:p w14:paraId="7E4FB166" w14:textId="77777777" w:rsidR="00D94068" w:rsidRPr="004A0C12" w:rsidRDefault="00D94068" w:rsidP="008A605F">
      <w:pPr>
        <w:spacing w:after="0" w:line="240" w:lineRule="auto"/>
        <w:jc w:val="both"/>
        <w:rPr>
          <w:rFonts w:ascii="Garamond" w:hAnsi="Garamond"/>
        </w:rPr>
      </w:pPr>
    </w:p>
    <w:p w14:paraId="5255A218" w14:textId="6759E37B" w:rsidR="00866B12" w:rsidRPr="004A0C12" w:rsidRDefault="00866B12" w:rsidP="008A605F">
      <w:pPr>
        <w:spacing w:after="0" w:line="240" w:lineRule="auto"/>
        <w:jc w:val="both"/>
        <w:rPr>
          <w:rFonts w:ascii="Garamond" w:hAnsi="Garamond"/>
        </w:rPr>
      </w:pPr>
      <w:r w:rsidRPr="004A0C12">
        <w:rPr>
          <w:rFonts w:ascii="Garamond" w:hAnsi="Garamond"/>
        </w:rPr>
        <w:t xml:space="preserve">To accomplish this, Maryland’s WIOA </w:t>
      </w:r>
      <w:r w:rsidR="00CC18B9" w:rsidRPr="004A0C12">
        <w:rPr>
          <w:rFonts w:ascii="Garamond" w:hAnsi="Garamond"/>
        </w:rPr>
        <w:t>Partners</w:t>
      </w:r>
      <w:r w:rsidRPr="004A0C12">
        <w:rPr>
          <w:rFonts w:ascii="Garamond" w:hAnsi="Garamond"/>
        </w:rPr>
        <w:t xml:space="preserve"> must dedicate their efforts to serve the person and not the performance measure. Maryland has taken an important first step in dedication to this vision through its </w:t>
      </w:r>
      <w:r w:rsidR="00FA3BB4" w:rsidRPr="004A0C12">
        <w:rPr>
          <w:rFonts w:ascii="Garamond" w:hAnsi="Garamond"/>
        </w:rPr>
        <w:t>interagency collaboration on the</w:t>
      </w:r>
      <w:r w:rsidRPr="004A0C12">
        <w:rPr>
          <w:rFonts w:ascii="Garamond" w:hAnsi="Garamond"/>
        </w:rPr>
        <w:t xml:space="preserve"> Combined Workforce State Plan. For the first time, Maryland’s workforce system is required to purposefully combine the services to include service delivery for individuals who receive Temporary Assistance for Needy Families (TANF) benefits as well as those jobseekers with disabilities. Both groups often have significant barriers to employment</w:t>
      </w:r>
      <w:r w:rsidR="00FA3BB4" w:rsidRPr="004A0C12">
        <w:rPr>
          <w:rFonts w:ascii="Garamond" w:hAnsi="Garamond"/>
        </w:rPr>
        <w:t>;</w:t>
      </w:r>
      <w:r w:rsidRPr="004A0C12">
        <w:rPr>
          <w:rFonts w:ascii="Garamond" w:hAnsi="Garamond"/>
        </w:rPr>
        <w:t xml:space="preserve"> </w:t>
      </w:r>
      <w:r w:rsidR="002C58AA" w:rsidRPr="004A0C12">
        <w:rPr>
          <w:rFonts w:ascii="Garamond" w:hAnsi="Garamond"/>
        </w:rPr>
        <w:t xml:space="preserve">therefore, </w:t>
      </w:r>
      <w:r w:rsidRPr="004A0C12">
        <w:rPr>
          <w:rFonts w:ascii="Garamond" w:hAnsi="Garamond"/>
        </w:rPr>
        <w:t xml:space="preserve">Maryland’s workforce system </w:t>
      </w:r>
      <w:r w:rsidR="00FA3BB4" w:rsidRPr="004A0C12">
        <w:rPr>
          <w:rFonts w:ascii="Garamond" w:hAnsi="Garamond"/>
        </w:rPr>
        <w:t>will be newly</w:t>
      </w:r>
      <w:r w:rsidRPr="004A0C12">
        <w:rPr>
          <w:rFonts w:ascii="Garamond" w:hAnsi="Garamond"/>
        </w:rPr>
        <w:t xml:space="preserve"> aligned to meet their needs.   </w:t>
      </w:r>
    </w:p>
    <w:p w14:paraId="3A385F4A" w14:textId="77777777" w:rsidR="00D94068" w:rsidRPr="004A0C12" w:rsidRDefault="00D94068" w:rsidP="008A605F">
      <w:pPr>
        <w:spacing w:after="0" w:line="240" w:lineRule="auto"/>
        <w:jc w:val="both"/>
        <w:rPr>
          <w:rFonts w:ascii="Garamond" w:hAnsi="Garamond"/>
        </w:rPr>
      </w:pPr>
    </w:p>
    <w:p w14:paraId="1FAC7B4B" w14:textId="2D5BC7E9" w:rsidR="00866B12" w:rsidRPr="004A0C12" w:rsidRDefault="00866B12" w:rsidP="008A605F">
      <w:pPr>
        <w:spacing w:after="0" w:line="240" w:lineRule="auto"/>
        <w:jc w:val="both"/>
        <w:rPr>
          <w:rFonts w:ascii="Garamond" w:hAnsi="Garamond"/>
        </w:rPr>
      </w:pPr>
      <w:r w:rsidRPr="004A0C12">
        <w:rPr>
          <w:rFonts w:ascii="Garamond" w:hAnsi="Garamond"/>
        </w:rPr>
        <w:lastRenderedPageBreak/>
        <w:t>Increased customer service</w:t>
      </w:r>
      <w:r w:rsidR="00AE4841" w:rsidRPr="004A0C12">
        <w:rPr>
          <w:rFonts w:ascii="Garamond" w:hAnsi="Garamond"/>
        </w:rPr>
        <w:t xml:space="preserve"> requires that Maryland’s WIOA P</w:t>
      </w:r>
      <w:r w:rsidRPr="004A0C12">
        <w:rPr>
          <w:rFonts w:ascii="Garamond" w:hAnsi="Garamond"/>
        </w:rPr>
        <w:t xml:space="preserve">artners collaboratively identify all services that are provided among their varying programs, and find ways to combine resources, when practicable, to ensure efficiency. Education partners, such as the Maryland State Department of Education, the Maryland Higher Education Commission, and Maryland’s community colleges are also </w:t>
      </w:r>
      <w:proofErr w:type="gramStart"/>
      <w:r w:rsidRPr="004A0C12">
        <w:rPr>
          <w:rFonts w:ascii="Garamond" w:hAnsi="Garamond"/>
        </w:rPr>
        <w:t>key</w:t>
      </w:r>
      <w:proofErr w:type="gramEnd"/>
      <w:r w:rsidRPr="004A0C12">
        <w:rPr>
          <w:rFonts w:ascii="Garamond" w:hAnsi="Garamond"/>
        </w:rPr>
        <w:t xml:space="preserve"> to the development of a career pathways system. As Maryland’s youth exit the K-12 system and enter into post-secondary opportunities, the transition must be seamless. </w:t>
      </w:r>
    </w:p>
    <w:p w14:paraId="3702A4D1" w14:textId="77777777" w:rsidR="00D94068" w:rsidRPr="004A0C12" w:rsidRDefault="00D94068" w:rsidP="008A605F">
      <w:pPr>
        <w:spacing w:after="0" w:line="240" w:lineRule="auto"/>
        <w:jc w:val="both"/>
        <w:rPr>
          <w:rFonts w:ascii="Garamond" w:hAnsi="Garamond"/>
        </w:rPr>
      </w:pPr>
    </w:p>
    <w:p w14:paraId="7B79C515" w14:textId="77777777" w:rsidR="00D94068" w:rsidRPr="005116A6" w:rsidRDefault="00866B12" w:rsidP="008A605F">
      <w:pPr>
        <w:pStyle w:val="Heading3"/>
        <w:spacing w:before="0" w:line="240" w:lineRule="auto"/>
        <w:jc w:val="both"/>
        <w:rPr>
          <w:rFonts w:ascii="Garamond" w:hAnsi="Garamond"/>
          <w:sz w:val="24"/>
          <w:szCs w:val="24"/>
        </w:rPr>
      </w:pPr>
      <w:bookmarkStart w:id="8" w:name="_Toc447276068"/>
      <w:r w:rsidRPr="005116A6">
        <w:rPr>
          <w:rFonts w:ascii="Garamond" w:hAnsi="Garamond"/>
          <w:sz w:val="24"/>
          <w:szCs w:val="24"/>
        </w:rPr>
        <w:t>Opportunities for Youth</w:t>
      </w:r>
      <w:bookmarkEnd w:id="8"/>
    </w:p>
    <w:p w14:paraId="6CE7D32D" w14:textId="3E6F756C" w:rsidR="00FA3BB4" w:rsidRPr="004A0C12" w:rsidRDefault="00866B12" w:rsidP="008A605F">
      <w:pPr>
        <w:spacing w:after="0" w:line="240" w:lineRule="auto"/>
        <w:jc w:val="both"/>
        <w:rPr>
          <w:rFonts w:ascii="Garamond" w:hAnsi="Garamond"/>
        </w:rPr>
      </w:pPr>
      <w:r w:rsidRPr="004A0C12">
        <w:rPr>
          <w:rFonts w:ascii="Garamond" w:hAnsi="Garamond"/>
        </w:rPr>
        <w:t xml:space="preserve">Programs must be developed to ensure that Maryland’s youth are truly ready to enter into the workforce just as much as they are being academically prepared to enter into college. Maryland currently offers Career Technology Education (CTE) programs to high school students. CTE programs include a work-based learning opportunity (e.g. internships, clinical experiences, or industry-mentored projects) tied to the student’s area of interest. These programs are aligned to establish academic, technical, and employability skill standards, and are centered on ten career clusters. </w:t>
      </w:r>
    </w:p>
    <w:p w14:paraId="149D43FC" w14:textId="77777777" w:rsidR="00FA3BB4" w:rsidRPr="004A0C12" w:rsidRDefault="00FA3BB4" w:rsidP="008A605F">
      <w:pPr>
        <w:spacing w:after="0" w:line="240" w:lineRule="auto"/>
        <w:jc w:val="both"/>
        <w:rPr>
          <w:rFonts w:ascii="Garamond" w:hAnsi="Garamond"/>
        </w:rPr>
      </w:pPr>
    </w:p>
    <w:tbl>
      <w:tblPr>
        <w:tblStyle w:val="PlainTable11"/>
        <w:tblW w:w="0" w:type="auto"/>
        <w:jc w:val="center"/>
        <w:tblLayout w:type="fixed"/>
        <w:tblLook w:val="0000" w:firstRow="0" w:lastRow="0" w:firstColumn="0" w:lastColumn="0" w:noHBand="0" w:noVBand="0"/>
        <w:tblCaption w:val="Maryland's CTE Career Clusters "/>
        <w:tblDescription w:val="Arts, Media and Communication Health and Biosciences&#10;Business, Management and Finance Human Resource Services&#10;Construction and Development Information Technology&#10;Consumer Services, Hospitality and Tourism Manufacturing, Engineering and Technology&#10;Environmental, Agricultural and Natural Resources Transportation Technologies&#10;"/>
      </w:tblPr>
      <w:tblGrid>
        <w:gridCol w:w="4621"/>
        <w:gridCol w:w="4621"/>
      </w:tblGrid>
      <w:tr w:rsidR="00866B12" w:rsidRPr="004A0C12" w14:paraId="061838B3" w14:textId="77777777" w:rsidTr="00923B2F">
        <w:trPr>
          <w:trHeight w:val="350"/>
          <w:tblHeader/>
          <w:jc w:val="center"/>
        </w:trPr>
        <w:tc>
          <w:tcPr>
            <w:cnfStyle w:val="000010000000" w:firstRow="0" w:lastRow="0" w:firstColumn="0" w:lastColumn="0" w:oddVBand="1" w:evenVBand="0" w:oddHBand="0" w:evenHBand="0" w:firstRowFirstColumn="0" w:firstRowLastColumn="0" w:lastRowFirstColumn="0" w:lastRowLastColumn="0"/>
            <w:tcW w:w="9242" w:type="dxa"/>
            <w:gridSpan w:val="2"/>
          </w:tcPr>
          <w:p w14:paraId="27C33014" w14:textId="77777777" w:rsidR="00866B12" w:rsidRPr="001C1EC7" w:rsidRDefault="00866B12" w:rsidP="00D94068">
            <w:pPr>
              <w:jc w:val="center"/>
              <w:rPr>
                <w:rFonts w:ascii="Garamond" w:hAnsi="Garamond"/>
                <w:b/>
                <w:sz w:val="22"/>
                <w:szCs w:val="22"/>
              </w:rPr>
            </w:pPr>
            <w:r w:rsidRPr="001C1EC7">
              <w:rPr>
                <w:rFonts w:ascii="Garamond" w:hAnsi="Garamond"/>
                <w:b/>
                <w:sz w:val="22"/>
                <w:szCs w:val="22"/>
              </w:rPr>
              <w:t>Maryland’s CTE Career Clusters</w:t>
            </w:r>
          </w:p>
        </w:tc>
      </w:tr>
      <w:tr w:rsidR="00866B12" w:rsidRPr="004A0C12" w14:paraId="20BC24B9" w14:textId="77777777" w:rsidTr="002C58AA">
        <w:trPr>
          <w:cnfStyle w:val="000000100000" w:firstRow="0" w:lastRow="0" w:firstColumn="0" w:lastColumn="0" w:oddVBand="0" w:evenVBand="0" w:oddHBand="1" w:evenHBand="0" w:firstRowFirstColumn="0" w:firstRowLastColumn="0" w:lastRowFirstColumn="0" w:lastRowLastColumn="0"/>
          <w:trHeight w:val="350"/>
          <w:jc w:val="center"/>
        </w:trPr>
        <w:tc>
          <w:tcPr>
            <w:cnfStyle w:val="000010000000" w:firstRow="0" w:lastRow="0" w:firstColumn="0" w:lastColumn="0" w:oddVBand="1" w:evenVBand="0" w:oddHBand="0" w:evenHBand="0" w:firstRowFirstColumn="0" w:firstRowLastColumn="0" w:lastRowFirstColumn="0" w:lastRowLastColumn="0"/>
            <w:tcW w:w="4621" w:type="dxa"/>
          </w:tcPr>
          <w:p w14:paraId="6A43DECD" w14:textId="1DFEE658" w:rsidR="00866B12" w:rsidRPr="004A0C12" w:rsidRDefault="00866B12" w:rsidP="00CC18B9">
            <w:pPr>
              <w:rPr>
                <w:rFonts w:ascii="Garamond" w:hAnsi="Garamond"/>
                <w:sz w:val="22"/>
                <w:szCs w:val="22"/>
              </w:rPr>
            </w:pPr>
            <w:r w:rsidRPr="004A0C12">
              <w:rPr>
                <w:rFonts w:ascii="Garamond" w:hAnsi="Garamond"/>
                <w:sz w:val="22"/>
                <w:szCs w:val="22"/>
              </w:rPr>
              <w:t>Arts, Media and Communication</w:t>
            </w:r>
          </w:p>
        </w:tc>
        <w:tc>
          <w:tcPr>
            <w:tcW w:w="4621" w:type="dxa"/>
          </w:tcPr>
          <w:p w14:paraId="48C74C05" w14:textId="3C6ECA87" w:rsidR="00866B12" w:rsidRPr="004A0C12" w:rsidRDefault="00866B12" w:rsidP="00D94068">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Health and Biosciences</w:t>
            </w:r>
          </w:p>
        </w:tc>
      </w:tr>
      <w:tr w:rsidR="00866B12" w:rsidRPr="004A0C12" w14:paraId="33DEBA22" w14:textId="77777777" w:rsidTr="002C58AA">
        <w:trPr>
          <w:trHeight w:val="350"/>
          <w:jc w:val="center"/>
        </w:trPr>
        <w:tc>
          <w:tcPr>
            <w:cnfStyle w:val="000010000000" w:firstRow="0" w:lastRow="0" w:firstColumn="0" w:lastColumn="0" w:oddVBand="1" w:evenVBand="0" w:oddHBand="0" w:evenHBand="0" w:firstRowFirstColumn="0" w:firstRowLastColumn="0" w:lastRowFirstColumn="0" w:lastRowLastColumn="0"/>
            <w:tcW w:w="4621" w:type="dxa"/>
          </w:tcPr>
          <w:p w14:paraId="6CD99CEE" w14:textId="340A8DF2" w:rsidR="00866B12" w:rsidRPr="004A0C12" w:rsidRDefault="00866B12" w:rsidP="00D94068">
            <w:pPr>
              <w:rPr>
                <w:rFonts w:ascii="Garamond" w:hAnsi="Garamond"/>
                <w:sz w:val="22"/>
                <w:szCs w:val="22"/>
              </w:rPr>
            </w:pPr>
            <w:r w:rsidRPr="004A0C12">
              <w:rPr>
                <w:rFonts w:ascii="Garamond" w:hAnsi="Garamond"/>
                <w:sz w:val="22"/>
                <w:szCs w:val="22"/>
              </w:rPr>
              <w:t>Business, Management and Finance</w:t>
            </w:r>
          </w:p>
        </w:tc>
        <w:tc>
          <w:tcPr>
            <w:tcW w:w="4621" w:type="dxa"/>
          </w:tcPr>
          <w:p w14:paraId="73663A7D" w14:textId="7B35B9B0" w:rsidR="00866B12" w:rsidRPr="004A0C12" w:rsidRDefault="00866B12" w:rsidP="00D94068">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Human Resource Services</w:t>
            </w:r>
          </w:p>
        </w:tc>
      </w:tr>
      <w:tr w:rsidR="00866B12" w:rsidRPr="004A0C12" w14:paraId="5355DCD7" w14:textId="77777777" w:rsidTr="002C58AA">
        <w:trPr>
          <w:cnfStyle w:val="000000100000" w:firstRow="0" w:lastRow="0" w:firstColumn="0" w:lastColumn="0" w:oddVBand="0" w:evenVBand="0" w:oddHBand="1" w:evenHBand="0" w:firstRowFirstColumn="0" w:firstRowLastColumn="0" w:lastRowFirstColumn="0" w:lastRowLastColumn="0"/>
          <w:trHeight w:val="350"/>
          <w:jc w:val="center"/>
        </w:trPr>
        <w:tc>
          <w:tcPr>
            <w:cnfStyle w:val="000010000000" w:firstRow="0" w:lastRow="0" w:firstColumn="0" w:lastColumn="0" w:oddVBand="1" w:evenVBand="0" w:oddHBand="0" w:evenHBand="0" w:firstRowFirstColumn="0" w:firstRowLastColumn="0" w:lastRowFirstColumn="0" w:lastRowLastColumn="0"/>
            <w:tcW w:w="4621" w:type="dxa"/>
          </w:tcPr>
          <w:p w14:paraId="02977369" w14:textId="3700C116" w:rsidR="00866B12" w:rsidRPr="004A0C12" w:rsidRDefault="00866B12" w:rsidP="00D94068">
            <w:pPr>
              <w:rPr>
                <w:rFonts w:ascii="Garamond" w:hAnsi="Garamond"/>
                <w:sz w:val="22"/>
                <w:szCs w:val="22"/>
              </w:rPr>
            </w:pPr>
            <w:r w:rsidRPr="004A0C12">
              <w:rPr>
                <w:rFonts w:ascii="Garamond" w:hAnsi="Garamond"/>
                <w:sz w:val="22"/>
                <w:szCs w:val="22"/>
              </w:rPr>
              <w:t>Construction and Development</w:t>
            </w:r>
          </w:p>
        </w:tc>
        <w:tc>
          <w:tcPr>
            <w:tcW w:w="4621" w:type="dxa"/>
          </w:tcPr>
          <w:p w14:paraId="07333A72" w14:textId="356CF71B" w:rsidR="00866B12" w:rsidRPr="004A0C12" w:rsidRDefault="00866B12" w:rsidP="00D94068">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Information Technology</w:t>
            </w:r>
          </w:p>
        </w:tc>
      </w:tr>
      <w:tr w:rsidR="00866B12" w:rsidRPr="004A0C12" w14:paraId="2A2FE293" w14:textId="77777777" w:rsidTr="002C58AA">
        <w:trPr>
          <w:trHeight w:val="350"/>
          <w:jc w:val="center"/>
        </w:trPr>
        <w:tc>
          <w:tcPr>
            <w:cnfStyle w:val="000010000000" w:firstRow="0" w:lastRow="0" w:firstColumn="0" w:lastColumn="0" w:oddVBand="1" w:evenVBand="0" w:oddHBand="0" w:evenHBand="0" w:firstRowFirstColumn="0" w:firstRowLastColumn="0" w:lastRowFirstColumn="0" w:lastRowLastColumn="0"/>
            <w:tcW w:w="4621" w:type="dxa"/>
          </w:tcPr>
          <w:p w14:paraId="20060222" w14:textId="236B8280" w:rsidR="00866B12" w:rsidRPr="004A0C12" w:rsidRDefault="00866B12" w:rsidP="00D94068">
            <w:pPr>
              <w:rPr>
                <w:rFonts w:ascii="Garamond" w:hAnsi="Garamond"/>
                <w:sz w:val="22"/>
                <w:szCs w:val="22"/>
              </w:rPr>
            </w:pPr>
            <w:r w:rsidRPr="004A0C12">
              <w:rPr>
                <w:rFonts w:ascii="Garamond" w:hAnsi="Garamond"/>
                <w:sz w:val="22"/>
                <w:szCs w:val="22"/>
              </w:rPr>
              <w:t>Consumer Services, Hospitality and Tourism</w:t>
            </w:r>
          </w:p>
        </w:tc>
        <w:tc>
          <w:tcPr>
            <w:tcW w:w="4621" w:type="dxa"/>
          </w:tcPr>
          <w:p w14:paraId="218C9B55" w14:textId="6613B1A3" w:rsidR="00866B12" w:rsidRPr="004A0C12" w:rsidRDefault="00866B12" w:rsidP="00D94068">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Manufacturing, Engineering and Technology</w:t>
            </w:r>
          </w:p>
        </w:tc>
      </w:tr>
      <w:tr w:rsidR="00866B12" w:rsidRPr="004A0C12" w14:paraId="00B74FAF" w14:textId="77777777" w:rsidTr="002C58AA">
        <w:trPr>
          <w:cnfStyle w:val="000000100000" w:firstRow="0" w:lastRow="0" w:firstColumn="0" w:lastColumn="0" w:oddVBand="0" w:evenVBand="0" w:oddHBand="1" w:evenHBand="0" w:firstRowFirstColumn="0" w:firstRowLastColumn="0" w:lastRowFirstColumn="0" w:lastRowLastColumn="0"/>
          <w:trHeight w:val="580"/>
          <w:jc w:val="center"/>
        </w:trPr>
        <w:tc>
          <w:tcPr>
            <w:cnfStyle w:val="000010000000" w:firstRow="0" w:lastRow="0" w:firstColumn="0" w:lastColumn="0" w:oddVBand="1" w:evenVBand="0" w:oddHBand="0" w:evenHBand="0" w:firstRowFirstColumn="0" w:firstRowLastColumn="0" w:lastRowFirstColumn="0" w:lastRowLastColumn="0"/>
            <w:tcW w:w="4621" w:type="dxa"/>
          </w:tcPr>
          <w:p w14:paraId="0A13DAF3" w14:textId="5C3CB212" w:rsidR="00866B12" w:rsidRPr="004A0C12" w:rsidRDefault="00866B12" w:rsidP="00D94068">
            <w:pPr>
              <w:rPr>
                <w:rFonts w:ascii="Garamond" w:hAnsi="Garamond"/>
                <w:sz w:val="22"/>
                <w:szCs w:val="22"/>
              </w:rPr>
            </w:pPr>
            <w:r w:rsidRPr="004A0C12">
              <w:rPr>
                <w:rFonts w:ascii="Garamond" w:hAnsi="Garamond"/>
                <w:sz w:val="22"/>
                <w:szCs w:val="22"/>
              </w:rPr>
              <w:t>Environmental, Agricultural and Natural Resources</w:t>
            </w:r>
          </w:p>
        </w:tc>
        <w:tc>
          <w:tcPr>
            <w:tcW w:w="4621" w:type="dxa"/>
          </w:tcPr>
          <w:p w14:paraId="36C362F0" w14:textId="2364704D" w:rsidR="00866B12" w:rsidRPr="004A0C12" w:rsidRDefault="00866B12" w:rsidP="00D94068">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Transportation Technologies</w:t>
            </w:r>
          </w:p>
        </w:tc>
      </w:tr>
    </w:tbl>
    <w:p w14:paraId="13788C6C" w14:textId="77777777" w:rsidR="00866B12" w:rsidRPr="004A0C12" w:rsidRDefault="00866B12" w:rsidP="00D94068">
      <w:pPr>
        <w:pStyle w:val="FreeForm"/>
        <w:jc w:val="center"/>
        <w:rPr>
          <w:rFonts w:ascii="Garamond" w:hAnsi="Garamond"/>
          <w:sz w:val="22"/>
          <w:szCs w:val="22"/>
        </w:rPr>
      </w:pPr>
    </w:p>
    <w:p w14:paraId="7AA95019" w14:textId="77777777" w:rsidR="00B32941" w:rsidRPr="004A0C12" w:rsidRDefault="00866B12" w:rsidP="00D94068">
      <w:pPr>
        <w:spacing w:after="0" w:line="240" w:lineRule="auto"/>
        <w:jc w:val="both"/>
        <w:rPr>
          <w:rFonts w:ascii="Garamond" w:hAnsi="Garamond"/>
        </w:rPr>
      </w:pPr>
      <w:r w:rsidRPr="004A0C12">
        <w:rPr>
          <w:rFonts w:ascii="Garamond" w:hAnsi="Garamond"/>
        </w:rPr>
        <w:t xml:space="preserve">These career clusters connect educators and employers, and provide a framework that is responsive to industry demands. The Department of Labor, Licensing and Regulation, in partnership with the Maryland State Department of Education, piloted a program in 2015 to establish a youth apprenticeship in science, technology, engineering, mathematics or manufacturing in two Maryland counties, Frederick and Washington. The pilot program is part of a larger initiative to foster youth apprenticeships in the State for both traditional and non-traditional apprenticeable fields. Providing opportunities for Maryland’s youth that contextualize classroom training into the workplace must remain a priority for the workforce system in its delivery of services to youth in-school and out-of-school, alike. </w:t>
      </w:r>
    </w:p>
    <w:p w14:paraId="12AFC648" w14:textId="4C72C83E" w:rsidR="00866B12" w:rsidRPr="004A0C12" w:rsidRDefault="00866B12" w:rsidP="00D94068">
      <w:pPr>
        <w:spacing w:after="0" w:line="240" w:lineRule="auto"/>
        <w:jc w:val="both"/>
        <w:rPr>
          <w:rFonts w:ascii="Garamond" w:hAnsi="Garamond"/>
        </w:rPr>
      </w:pPr>
      <w:r w:rsidRPr="004A0C12">
        <w:rPr>
          <w:rFonts w:ascii="Garamond" w:hAnsi="Garamond"/>
        </w:rPr>
        <w:t xml:space="preserve"> </w:t>
      </w:r>
    </w:p>
    <w:p w14:paraId="7C567C3A" w14:textId="46DE6C3C" w:rsidR="00866B12" w:rsidRPr="004A0C12" w:rsidRDefault="00866B12" w:rsidP="00D94068">
      <w:pPr>
        <w:spacing w:after="0" w:line="240" w:lineRule="auto"/>
        <w:jc w:val="both"/>
        <w:rPr>
          <w:rFonts w:ascii="Garamond" w:hAnsi="Garamond"/>
        </w:rPr>
      </w:pPr>
      <w:r w:rsidRPr="004A0C12">
        <w:rPr>
          <w:rFonts w:ascii="Garamond" w:hAnsi="Garamond"/>
        </w:rPr>
        <w:t xml:space="preserve">Additionally, due to the </w:t>
      </w:r>
      <w:r w:rsidR="00B03240" w:rsidRPr="004A0C12">
        <w:rPr>
          <w:rFonts w:ascii="Garamond" w:hAnsi="Garamond"/>
        </w:rPr>
        <w:t>new WIOA focus on older, out-of-</w:t>
      </w:r>
      <w:r w:rsidRPr="004A0C12">
        <w:rPr>
          <w:rFonts w:ascii="Garamond" w:hAnsi="Garamond"/>
        </w:rPr>
        <w:t xml:space="preserve">school youth, as well as including TANF as a mandated partner, Maryland views this as a prime opportunity to engage younger TANF recipients between the ages of 18-24 in local WIOA youth services. This earlier engagement in workforce development for young TANF recipients can place individuals on a career pathway that will lead to </w:t>
      </w:r>
      <w:r w:rsidR="00FA3BB4" w:rsidRPr="004A0C12">
        <w:rPr>
          <w:rFonts w:ascii="Garamond" w:hAnsi="Garamond"/>
        </w:rPr>
        <w:t>self-sufficiency</w:t>
      </w:r>
      <w:r w:rsidRPr="004A0C12">
        <w:rPr>
          <w:rFonts w:ascii="Garamond" w:hAnsi="Garamond"/>
        </w:rPr>
        <w:t xml:space="preserve"> and earlier independence from public assistance.</w:t>
      </w:r>
    </w:p>
    <w:p w14:paraId="1CE8AAE1" w14:textId="77777777" w:rsidR="00D94068" w:rsidRPr="004A0C12" w:rsidRDefault="00D94068" w:rsidP="00D94068">
      <w:pPr>
        <w:pStyle w:val="Heading3"/>
        <w:spacing w:before="0" w:line="240" w:lineRule="auto"/>
        <w:rPr>
          <w:rFonts w:ascii="Garamond" w:hAnsi="Garamond"/>
        </w:rPr>
      </w:pPr>
    </w:p>
    <w:p w14:paraId="24F047E4" w14:textId="77777777" w:rsidR="00866B12" w:rsidRPr="005851EF" w:rsidRDefault="00866B12" w:rsidP="00D94068">
      <w:pPr>
        <w:pStyle w:val="Heading3"/>
        <w:spacing w:before="0" w:line="240" w:lineRule="auto"/>
        <w:rPr>
          <w:rFonts w:ascii="Garamond" w:hAnsi="Garamond"/>
          <w:sz w:val="24"/>
          <w:szCs w:val="24"/>
        </w:rPr>
      </w:pPr>
      <w:bookmarkStart w:id="9" w:name="_Toc447276069"/>
      <w:r w:rsidRPr="005851EF">
        <w:rPr>
          <w:rFonts w:ascii="Garamond" w:hAnsi="Garamond"/>
          <w:sz w:val="24"/>
          <w:szCs w:val="24"/>
        </w:rPr>
        <w:t>Opportunities for Adult Learners</w:t>
      </w:r>
      <w:bookmarkEnd w:id="9"/>
      <w:r w:rsidRPr="005851EF">
        <w:rPr>
          <w:rFonts w:ascii="Garamond" w:hAnsi="Garamond"/>
          <w:sz w:val="24"/>
          <w:szCs w:val="24"/>
        </w:rPr>
        <w:t xml:space="preserve"> </w:t>
      </w:r>
    </w:p>
    <w:p w14:paraId="3102BA9D" w14:textId="4C7419EB" w:rsidR="00866B12" w:rsidRPr="004A0C12" w:rsidRDefault="00866B12" w:rsidP="00D94068">
      <w:pPr>
        <w:pStyle w:val="ListParagraph"/>
        <w:tabs>
          <w:tab w:val="left" w:pos="1080"/>
        </w:tabs>
        <w:ind w:left="0"/>
        <w:jc w:val="both"/>
        <w:rPr>
          <w:rFonts w:ascii="Garamond" w:hAnsi="Garamond"/>
          <w:szCs w:val="22"/>
        </w:rPr>
      </w:pPr>
      <w:r w:rsidRPr="004A0C12">
        <w:rPr>
          <w:rFonts w:ascii="Garamond" w:hAnsi="Garamond"/>
          <w:szCs w:val="22"/>
        </w:rPr>
        <w:t xml:space="preserve">Adult Education is a vital element to Maryland’s workforce system. Providing </w:t>
      </w:r>
      <w:r w:rsidR="00FA3BB4" w:rsidRPr="004A0C12">
        <w:rPr>
          <w:rFonts w:ascii="Garamond" w:hAnsi="Garamond"/>
          <w:szCs w:val="22"/>
        </w:rPr>
        <w:t xml:space="preserve">academic instruction </w:t>
      </w:r>
      <w:r w:rsidRPr="004A0C12">
        <w:rPr>
          <w:rFonts w:ascii="Garamond" w:hAnsi="Garamond"/>
          <w:szCs w:val="22"/>
        </w:rPr>
        <w:t xml:space="preserve">and high school equivalency testing to adult learners provides these individuals with the skills they need to compete in global, regional, state, and local economies. Effectively assessing the needs of the adult learner is </w:t>
      </w:r>
      <w:proofErr w:type="gramStart"/>
      <w:r w:rsidRPr="004A0C12">
        <w:rPr>
          <w:rFonts w:ascii="Garamond" w:hAnsi="Garamond"/>
          <w:szCs w:val="22"/>
        </w:rPr>
        <w:t>key</w:t>
      </w:r>
      <w:proofErr w:type="gramEnd"/>
      <w:r w:rsidRPr="004A0C12">
        <w:rPr>
          <w:rFonts w:ascii="Garamond" w:hAnsi="Garamond"/>
          <w:szCs w:val="22"/>
        </w:rPr>
        <w:t xml:space="preserve"> to ensuring that the individual receives the time and attention he or she needs to not only secure a job, but to </w:t>
      </w:r>
      <w:r w:rsidR="00B03240" w:rsidRPr="004A0C12">
        <w:rPr>
          <w:rFonts w:ascii="Garamond" w:hAnsi="Garamond"/>
          <w:szCs w:val="22"/>
        </w:rPr>
        <w:t xml:space="preserve">secure a career, and </w:t>
      </w:r>
      <w:r w:rsidRPr="004A0C12">
        <w:rPr>
          <w:rFonts w:ascii="Garamond" w:hAnsi="Garamond"/>
          <w:szCs w:val="22"/>
        </w:rPr>
        <w:t xml:space="preserve">thrive in his or her community and family. Maryland’s workforce system must ensure that front-line </w:t>
      </w:r>
      <w:proofErr w:type="gramStart"/>
      <w:r w:rsidRPr="004A0C12">
        <w:rPr>
          <w:rFonts w:ascii="Garamond" w:hAnsi="Garamond"/>
          <w:szCs w:val="22"/>
        </w:rPr>
        <w:t>staff are</w:t>
      </w:r>
      <w:proofErr w:type="gramEnd"/>
      <w:r w:rsidRPr="004A0C12">
        <w:rPr>
          <w:rFonts w:ascii="Garamond" w:hAnsi="Garamond"/>
          <w:szCs w:val="22"/>
        </w:rPr>
        <w:t xml:space="preserve"> properly trained to ensure that, when an adult is assessed, it is done according to all applicable testing standards. By accurately measuring a learner’s literacy, numeracy, and English language skills, Maryland’s WIOA system is bett</w:t>
      </w:r>
      <w:r w:rsidR="00CD7525" w:rsidRPr="004A0C12">
        <w:rPr>
          <w:rFonts w:ascii="Garamond" w:hAnsi="Garamond"/>
          <w:szCs w:val="22"/>
        </w:rPr>
        <w:t>er equipped to meet the learner or jobseeker</w:t>
      </w:r>
      <w:r w:rsidRPr="004A0C12">
        <w:rPr>
          <w:rFonts w:ascii="Garamond" w:hAnsi="Garamond"/>
          <w:szCs w:val="22"/>
        </w:rPr>
        <w:t xml:space="preserve"> exactly where they are in their educat</w:t>
      </w:r>
      <w:r w:rsidR="00B03240" w:rsidRPr="004A0C12">
        <w:rPr>
          <w:rFonts w:ascii="Garamond" w:hAnsi="Garamond"/>
          <w:szCs w:val="22"/>
        </w:rPr>
        <w:t xml:space="preserve">ion or training needs, and </w:t>
      </w:r>
      <w:r w:rsidRPr="004A0C12">
        <w:rPr>
          <w:rFonts w:ascii="Garamond" w:hAnsi="Garamond"/>
          <w:szCs w:val="22"/>
        </w:rPr>
        <w:t xml:space="preserve">ultimately assist the individual in obtaining gainful employment. </w:t>
      </w:r>
    </w:p>
    <w:p w14:paraId="76C16C13" w14:textId="4DD35AD0" w:rsidR="008559E3" w:rsidRPr="004A0C12" w:rsidRDefault="008559E3" w:rsidP="00D94068">
      <w:pPr>
        <w:pStyle w:val="ListParagraph"/>
        <w:tabs>
          <w:tab w:val="left" w:pos="1080"/>
        </w:tabs>
        <w:ind w:left="0"/>
        <w:jc w:val="both"/>
        <w:rPr>
          <w:rFonts w:ascii="Garamond" w:hAnsi="Garamond"/>
          <w:szCs w:val="22"/>
        </w:rPr>
      </w:pPr>
    </w:p>
    <w:p w14:paraId="50BDE922" w14:textId="430D5470" w:rsidR="00866B12" w:rsidRPr="004A0C12" w:rsidRDefault="00866B12" w:rsidP="00D94068">
      <w:pPr>
        <w:pStyle w:val="ListParagraph"/>
        <w:tabs>
          <w:tab w:val="left" w:pos="1080"/>
        </w:tabs>
        <w:ind w:left="0"/>
        <w:jc w:val="both"/>
        <w:rPr>
          <w:rFonts w:ascii="Garamond" w:hAnsi="Garamond"/>
          <w:szCs w:val="22"/>
        </w:rPr>
      </w:pPr>
      <w:r w:rsidRPr="004A0C12">
        <w:rPr>
          <w:rFonts w:ascii="Garamond" w:hAnsi="Garamond"/>
          <w:szCs w:val="22"/>
        </w:rPr>
        <w:t>Maryland’s adult learners not only have a variety of skill levels, but also have a number of cultural obstacles that must be addressed. Ninety percent of adult education enrolled participants are below</w:t>
      </w:r>
      <w:r w:rsidR="00A2360F" w:rsidRPr="004A0C12">
        <w:rPr>
          <w:rFonts w:ascii="Garamond" w:hAnsi="Garamond"/>
          <w:szCs w:val="22"/>
        </w:rPr>
        <w:t xml:space="preserve"> a</w:t>
      </w:r>
      <w:r w:rsidRPr="004A0C12">
        <w:rPr>
          <w:rFonts w:ascii="Garamond" w:hAnsi="Garamond"/>
          <w:szCs w:val="22"/>
        </w:rPr>
        <w:t xml:space="preserve"> high school level of skills. Additionally,</w:t>
      </w:r>
      <w:r w:rsidR="00A2360F" w:rsidRPr="004A0C12">
        <w:rPr>
          <w:rFonts w:ascii="Garamond" w:hAnsi="Garamond"/>
          <w:szCs w:val="22"/>
        </w:rPr>
        <w:t xml:space="preserve"> English language learners represent</w:t>
      </w:r>
      <w:r w:rsidRPr="004A0C12">
        <w:rPr>
          <w:rFonts w:ascii="Garamond" w:hAnsi="Garamond"/>
          <w:szCs w:val="22"/>
        </w:rPr>
        <w:t xml:space="preserve"> </w:t>
      </w:r>
      <w:r w:rsidR="00A2360F" w:rsidRPr="004A0C12">
        <w:rPr>
          <w:rFonts w:ascii="Garamond" w:hAnsi="Garamond"/>
          <w:szCs w:val="22"/>
        </w:rPr>
        <w:t xml:space="preserve">a large subset, approximately 49 percent, of the adult education population. </w:t>
      </w:r>
      <w:r w:rsidRPr="004A0C12">
        <w:rPr>
          <w:rFonts w:ascii="Garamond" w:hAnsi="Garamond"/>
          <w:szCs w:val="22"/>
        </w:rPr>
        <w:t xml:space="preserve">Immigrant populations make up approximately 17 percent of Maryland’s workforce system. They provide substantial contributions to Maryland’s </w:t>
      </w:r>
      <w:r w:rsidRPr="004A0C12">
        <w:rPr>
          <w:rFonts w:ascii="Garamond" w:hAnsi="Garamond"/>
          <w:szCs w:val="22"/>
        </w:rPr>
        <w:lastRenderedPageBreak/>
        <w:t xml:space="preserve">economy every day. In turn, Maryland’s workforce system must strive to tailor services for this population as they obtain literacy and high school equivalency, training, and employment services. </w:t>
      </w:r>
    </w:p>
    <w:p w14:paraId="72F94EF6" w14:textId="3D223D72" w:rsidR="00BC6D08" w:rsidRPr="005851EF" w:rsidRDefault="00BC6D08" w:rsidP="009321E8">
      <w:pPr>
        <w:pStyle w:val="Heading3"/>
        <w:rPr>
          <w:rFonts w:ascii="Garamond" w:hAnsi="Garamond"/>
          <w:sz w:val="24"/>
          <w:szCs w:val="24"/>
        </w:rPr>
      </w:pPr>
      <w:bookmarkStart w:id="10" w:name="_Toc447276070"/>
      <w:r w:rsidRPr="005851EF">
        <w:rPr>
          <w:rFonts w:ascii="Garamond" w:hAnsi="Garamond"/>
          <w:sz w:val="24"/>
          <w:szCs w:val="24"/>
        </w:rPr>
        <w:t>Opportunities for Ex-Offenders</w:t>
      </w:r>
      <w:bookmarkEnd w:id="10"/>
    </w:p>
    <w:p w14:paraId="21C8278E" w14:textId="2848511E" w:rsidR="0022228B" w:rsidRPr="004A0C12" w:rsidRDefault="009321E8" w:rsidP="009321E8">
      <w:pPr>
        <w:tabs>
          <w:tab w:val="left" w:pos="1080"/>
        </w:tabs>
        <w:spacing w:line="240" w:lineRule="auto"/>
        <w:contextualSpacing/>
        <w:jc w:val="both"/>
        <w:rPr>
          <w:rFonts w:ascii="Garamond" w:hAnsi="Garamond"/>
        </w:rPr>
      </w:pPr>
      <w:r w:rsidRPr="004A0C12">
        <w:rPr>
          <w:rFonts w:ascii="Garamond" w:hAnsi="Garamond"/>
        </w:rPr>
        <w:t>E</w:t>
      </w:r>
      <w:r w:rsidR="0022228B" w:rsidRPr="004A0C12">
        <w:rPr>
          <w:rFonts w:ascii="Garamond" w:hAnsi="Garamond"/>
        </w:rPr>
        <w:t>fforts must continu</w:t>
      </w:r>
      <w:r w:rsidRPr="004A0C12">
        <w:rPr>
          <w:rFonts w:ascii="Garamond" w:hAnsi="Garamond"/>
        </w:rPr>
        <w:t xml:space="preserve">e to provide services for </w:t>
      </w:r>
      <w:r w:rsidR="0022228B" w:rsidRPr="004A0C12">
        <w:rPr>
          <w:rFonts w:ascii="Garamond" w:hAnsi="Garamond"/>
        </w:rPr>
        <w:t xml:space="preserve">individuals in Maryland’s correctional facilities. While Maryland’s workforce system currently provides both academic and occupational </w:t>
      </w:r>
      <w:r w:rsidR="00CD7525" w:rsidRPr="004A0C12">
        <w:rPr>
          <w:rFonts w:ascii="Garamond" w:hAnsi="Garamond"/>
        </w:rPr>
        <w:t xml:space="preserve">training </w:t>
      </w:r>
      <w:r w:rsidR="0022228B" w:rsidRPr="004A0C12">
        <w:rPr>
          <w:rFonts w:ascii="Garamond" w:hAnsi="Garamond"/>
        </w:rPr>
        <w:t>for this subset of the adult learner population, efforts within the correctional education system must not simply be “out of sight, out of mind.”</w:t>
      </w:r>
    </w:p>
    <w:p w14:paraId="1573C8A1" w14:textId="77777777" w:rsidR="009321E8" w:rsidRPr="004A0C12" w:rsidRDefault="009321E8" w:rsidP="009321E8">
      <w:pPr>
        <w:tabs>
          <w:tab w:val="left" w:pos="1080"/>
        </w:tabs>
        <w:spacing w:line="240" w:lineRule="auto"/>
        <w:contextualSpacing/>
        <w:jc w:val="both"/>
        <w:rPr>
          <w:rFonts w:ascii="Garamond" w:hAnsi="Garamond"/>
        </w:rPr>
      </w:pPr>
    </w:p>
    <w:p w14:paraId="2FAECF0C" w14:textId="67E43C73" w:rsidR="009321E8" w:rsidRPr="004A0C12" w:rsidRDefault="0022228B" w:rsidP="009321E8">
      <w:pPr>
        <w:tabs>
          <w:tab w:val="left" w:pos="1080"/>
        </w:tabs>
        <w:spacing w:line="240" w:lineRule="auto"/>
        <w:contextualSpacing/>
        <w:jc w:val="both"/>
        <w:rPr>
          <w:rFonts w:ascii="Garamond" w:hAnsi="Garamond"/>
        </w:rPr>
      </w:pPr>
      <w:r w:rsidRPr="004A0C12">
        <w:rPr>
          <w:rFonts w:ascii="Garamond" w:hAnsi="Garamond"/>
        </w:rPr>
        <w:t xml:space="preserve">Providing career opportunities for those who are currently incarcerated is </w:t>
      </w:r>
      <w:proofErr w:type="gramStart"/>
      <w:r w:rsidR="009321E8" w:rsidRPr="004A0C12">
        <w:rPr>
          <w:rFonts w:ascii="Garamond" w:hAnsi="Garamond"/>
        </w:rPr>
        <w:t>key</w:t>
      </w:r>
      <w:proofErr w:type="gramEnd"/>
      <w:r w:rsidR="009321E8" w:rsidRPr="004A0C12">
        <w:rPr>
          <w:rFonts w:ascii="Garamond" w:hAnsi="Garamond"/>
        </w:rPr>
        <w:t xml:space="preserve"> to reducing recidivism. It</w:t>
      </w:r>
      <w:r w:rsidRPr="004A0C12">
        <w:rPr>
          <w:rFonts w:ascii="Garamond" w:hAnsi="Garamond"/>
        </w:rPr>
        <w:t xml:space="preserve"> provides an investment in Maryland’s communities, as those who return to their communities with a nationally recognized credential or skill are more likely to succeed. Correctional education opportunities must be tailored to the labor market, so that inmates receive training in the skills they need to successfully transition into the workforce. Greater collaboration must also occur between State agencies to identify those individuals who are slated to be released to ensure they receive job service counseling and the opportunity to obtain a marketable skill.</w:t>
      </w:r>
    </w:p>
    <w:p w14:paraId="08DCB0B5" w14:textId="77777777" w:rsidR="009321E8" w:rsidRPr="004A0C12" w:rsidRDefault="009321E8" w:rsidP="009321E8">
      <w:pPr>
        <w:tabs>
          <w:tab w:val="left" w:pos="1080"/>
        </w:tabs>
        <w:spacing w:line="240" w:lineRule="auto"/>
        <w:contextualSpacing/>
        <w:jc w:val="both"/>
        <w:rPr>
          <w:rFonts w:ascii="Garamond" w:hAnsi="Garamond"/>
        </w:rPr>
      </w:pPr>
    </w:p>
    <w:p w14:paraId="78AE2D53" w14:textId="0351FBE2" w:rsidR="009321E8" w:rsidRPr="004A0C12" w:rsidRDefault="00A2360F" w:rsidP="009321E8">
      <w:pPr>
        <w:tabs>
          <w:tab w:val="left" w:pos="1080"/>
        </w:tabs>
        <w:spacing w:line="240" w:lineRule="auto"/>
        <w:contextualSpacing/>
        <w:jc w:val="both"/>
        <w:rPr>
          <w:rFonts w:ascii="Garamond" w:hAnsi="Garamond"/>
        </w:rPr>
      </w:pPr>
      <w:r w:rsidRPr="004A0C12">
        <w:rPr>
          <w:rFonts w:ascii="Garamond" w:hAnsi="Garamond"/>
        </w:rPr>
        <w:t>This population needs on</w:t>
      </w:r>
      <w:r w:rsidR="0022228B" w:rsidRPr="004A0C12">
        <w:rPr>
          <w:rFonts w:ascii="Garamond" w:hAnsi="Garamond"/>
        </w:rPr>
        <w:t>going support to address necessary changes in mindset and realistic expectations, especially</w:t>
      </w:r>
      <w:r w:rsidR="009321E8" w:rsidRPr="004A0C12">
        <w:rPr>
          <w:rFonts w:ascii="Garamond" w:hAnsi="Garamond"/>
        </w:rPr>
        <w:t xml:space="preserve"> for those </w:t>
      </w:r>
      <w:r w:rsidR="0022228B" w:rsidRPr="004A0C12">
        <w:rPr>
          <w:rFonts w:ascii="Garamond" w:hAnsi="Garamond"/>
        </w:rPr>
        <w:t xml:space="preserve">individuals who are not incarcerated long term. Creating and increasing efforts to assist those who have returned to society from confinement invests in individuals as they overcome the most significant barriers to </w:t>
      </w:r>
      <w:r w:rsidR="009321E8" w:rsidRPr="004A0C12">
        <w:rPr>
          <w:rFonts w:ascii="Garamond" w:hAnsi="Garamond"/>
        </w:rPr>
        <w:t>employment. There</w:t>
      </w:r>
      <w:r w:rsidR="0022228B" w:rsidRPr="004A0C12">
        <w:rPr>
          <w:rFonts w:ascii="Garamond" w:hAnsi="Garamond"/>
        </w:rPr>
        <w:t xml:space="preserve"> is a great need to eliminate stigma against people with criminal records by providing a network of support.</w:t>
      </w:r>
    </w:p>
    <w:p w14:paraId="0B641B66" w14:textId="77777777" w:rsidR="009321E8" w:rsidRPr="004A0C12" w:rsidRDefault="009321E8" w:rsidP="009321E8">
      <w:pPr>
        <w:tabs>
          <w:tab w:val="left" w:pos="1080"/>
        </w:tabs>
        <w:spacing w:line="240" w:lineRule="auto"/>
        <w:contextualSpacing/>
        <w:jc w:val="both"/>
        <w:rPr>
          <w:rFonts w:ascii="Garamond" w:hAnsi="Garamond"/>
        </w:rPr>
      </w:pPr>
    </w:p>
    <w:p w14:paraId="36592345" w14:textId="795CACA2" w:rsidR="0022228B" w:rsidRPr="004A0C12" w:rsidRDefault="0022228B" w:rsidP="009321E8">
      <w:pPr>
        <w:tabs>
          <w:tab w:val="left" w:pos="1080"/>
        </w:tabs>
        <w:spacing w:line="240" w:lineRule="auto"/>
        <w:contextualSpacing/>
        <w:jc w:val="both"/>
        <w:rPr>
          <w:rFonts w:ascii="Garamond" w:hAnsi="Garamond"/>
        </w:rPr>
      </w:pPr>
      <w:r w:rsidRPr="004A0C12">
        <w:rPr>
          <w:rFonts w:ascii="Garamond" w:hAnsi="Garamond"/>
        </w:rPr>
        <w:t>While there are multiple worthwhile programs that h</w:t>
      </w:r>
      <w:r w:rsidR="009321E8" w:rsidRPr="004A0C12">
        <w:rPr>
          <w:rFonts w:ascii="Garamond" w:hAnsi="Garamond"/>
        </w:rPr>
        <w:t>ave previously been implemented that specifically target and address</w:t>
      </w:r>
      <w:r w:rsidRPr="004A0C12">
        <w:rPr>
          <w:rFonts w:ascii="Garamond" w:hAnsi="Garamond"/>
        </w:rPr>
        <w:t xml:space="preserve"> the needs of this group of jobseekers, a more collaborative approach is needed under the WIOA system. For example, the Maryland Department of Labor, Licensing, and Regulation, through the administration of the State’s American Job Center system, has a number of programs which include: participation in a federal program that provides bonding and tax credits for employers who hire ex-offenders; the utilization of staff specifically trained in ex-offender employment; </w:t>
      </w:r>
      <w:r w:rsidR="009321E8" w:rsidRPr="004A0C12">
        <w:rPr>
          <w:rFonts w:ascii="Garamond" w:hAnsi="Garamond"/>
        </w:rPr>
        <w:t>and</w:t>
      </w:r>
      <w:r w:rsidR="00CD7525" w:rsidRPr="004A0C12">
        <w:rPr>
          <w:rFonts w:ascii="Garamond" w:hAnsi="Garamond"/>
        </w:rPr>
        <w:t>,</w:t>
      </w:r>
      <w:r w:rsidR="009321E8" w:rsidRPr="004A0C12">
        <w:rPr>
          <w:rFonts w:ascii="Garamond" w:hAnsi="Garamond"/>
        </w:rPr>
        <w:t xml:space="preserve"> the </w:t>
      </w:r>
      <w:r w:rsidRPr="004A0C12">
        <w:rPr>
          <w:rFonts w:ascii="Garamond" w:hAnsi="Garamond"/>
        </w:rPr>
        <w:t>establishment of workshops aim</w:t>
      </w:r>
      <w:r w:rsidR="00A2360F" w:rsidRPr="004A0C12">
        <w:rPr>
          <w:rFonts w:ascii="Garamond" w:hAnsi="Garamond"/>
        </w:rPr>
        <w:t>ed at opportunities for record expungement</w:t>
      </w:r>
      <w:r w:rsidRPr="004A0C12">
        <w:rPr>
          <w:rFonts w:ascii="Garamond" w:hAnsi="Garamond"/>
        </w:rPr>
        <w:t>.</w:t>
      </w:r>
    </w:p>
    <w:p w14:paraId="7AD7893A" w14:textId="158C29B5" w:rsidR="0022228B" w:rsidRPr="004A0C12" w:rsidRDefault="0022228B" w:rsidP="009321E8">
      <w:pPr>
        <w:pStyle w:val="ListParagraph"/>
        <w:tabs>
          <w:tab w:val="left" w:pos="1080"/>
        </w:tabs>
        <w:ind w:left="0"/>
        <w:contextualSpacing/>
        <w:jc w:val="both"/>
        <w:rPr>
          <w:rFonts w:ascii="Garamond" w:hAnsi="Garamond"/>
          <w:szCs w:val="22"/>
        </w:rPr>
      </w:pPr>
      <w:r w:rsidRPr="004A0C12">
        <w:rPr>
          <w:rFonts w:ascii="Garamond" w:hAnsi="Garamond"/>
          <w:szCs w:val="22"/>
        </w:rPr>
        <w:t xml:space="preserve">The Department’s Office of Correctional Education partners with </w:t>
      </w:r>
      <w:r w:rsidR="00CD7525" w:rsidRPr="004A0C12">
        <w:rPr>
          <w:rFonts w:ascii="Garamond" w:hAnsi="Garamond"/>
          <w:szCs w:val="22"/>
        </w:rPr>
        <w:t xml:space="preserve">organizations </w:t>
      </w:r>
      <w:r w:rsidRPr="004A0C12">
        <w:rPr>
          <w:rFonts w:ascii="Garamond" w:hAnsi="Garamond"/>
          <w:szCs w:val="22"/>
        </w:rPr>
        <w:t>such as Vehicles for Change to provide opportunities for those returning to society. Individuals who successfully complete an auto mechanics program administered through the Department while behind the fence are not only provided an opportunity to obtain Automotive Service Excellence certification, but may continue their training upon release at Vehicles for Change. Additional training sets the returning citizen on the path toward employment. The organization, recognizing that transportation is often a significant barrier to employment, also provides individuals with the independence associated with owning their own vehicle.</w:t>
      </w:r>
      <w:r w:rsidR="00E51753" w:rsidRPr="004A0C12">
        <w:rPr>
          <w:rFonts w:ascii="Garamond" w:hAnsi="Garamond"/>
          <w:szCs w:val="22"/>
        </w:rPr>
        <w:t xml:space="preserve"> Maryland commits to exploring additional avenues to provide opportunities like these to this important population.</w:t>
      </w:r>
    </w:p>
    <w:p w14:paraId="4BE4548B" w14:textId="77777777" w:rsidR="00866B12" w:rsidRPr="004A0C12" w:rsidRDefault="00866B12" w:rsidP="00D94068">
      <w:pPr>
        <w:pStyle w:val="ListParagraph"/>
        <w:tabs>
          <w:tab w:val="left" w:pos="1080"/>
        </w:tabs>
        <w:ind w:left="0"/>
        <w:jc w:val="both"/>
        <w:rPr>
          <w:rFonts w:ascii="Garamond" w:hAnsi="Garamond"/>
          <w:szCs w:val="22"/>
        </w:rPr>
      </w:pPr>
    </w:p>
    <w:p w14:paraId="118C2C0B" w14:textId="77777777" w:rsidR="00866B12" w:rsidRPr="005851EF" w:rsidRDefault="00866B12" w:rsidP="00D94068">
      <w:pPr>
        <w:pStyle w:val="Heading3"/>
        <w:spacing w:before="0" w:line="240" w:lineRule="auto"/>
        <w:rPr>
          <w:rFonts w:ascii="Garamond" w:hAnsi="Garamond"/>
          <w:sz w:val="24"/>
          <w:szCs w:val="24"/>
        </w:rPr>
      </w:pPr>
      <w:bookmarkStart w:id="11" w:name="_Toc447276071"/>
      <w:r w:rsidRPr="005851EF">
        <w:rPr>
          <w:rFonts w:ascii="Garamond" w:hAnsi="Garamond"/>
          <w:sz w:val="24"/>
          <w:szCs w:val="24"/>
        </w:rPr>
        <w:t>Opportunities for Veterans</w:t>
      </w:r>
      <w:bookmarkEnd w:id="11"/>
    </w:p>
    <w:p w14:paraId="498269C7" w14:textId="2F014B87" w:rsidR="00866B12" w:rsidRPr="004A0C12" w:rsidRDefault="00866B12" w:rsidP="00D94068">
      <w:pPr>
        <w:spacing w:after="0" w:line="240" w:lineRule="auto"/>
        <w:jc w:val="both"/>
        <w:rPr>
          <w:rFonts w:ascii="Garamond" w:hAnsi="Garamond"/>
        </w:rPr>
      </w:pPr>
      <w:r w:rsidRPr="004A0C12">
        <w:rPr>
          <w:rFonts w:ascii="Garamond" w:hAnsi="Garamond"/>
        </w:rPr>
        <w:t xml:space="preserve">Maryland’s workforce system must also ensure that opportunities for veterans are plentiful and robust. Veterans make incredible and lasting impacts on their </w:t>
      </w:r>
      <w:r w:rsidR="00CD7525" w:rsidRPr="004A0C12">
        <w:rPr>
          <w:rFonts w:ascii="Garamond" w:hAnsi="Garamond"/>
        </w:rPr>
        <w:t>places of employment, their c</w:t>
      </w:r>
      <w:r w:rsidRPr="004A0C12">
        <w:rPr>
          <w:rFonts w:ascii="Garamond" w:hAnsi="Garamond"/>
        </w:rPr>
        <w:t xml:space="preserve">ommunities, and their families. Maryland’s workforce system must be seen as a partner for veterans transitioning from active service to civilian life, no matter when that transition occurred.  </w:t>
      </w:r>
    </w:p>
    <w:p w14:paraId="2B20D195" w14:textId="77777777" w:rsidR="00866B12" w:rsidRPr="004A0C12" w:rsidRDefault="00866B12" w:rsidP="00D94068">
      <w:pPr>
        <w:spacing w:after="0" w:line="240" w:lineRule="auto"/>
        <w:jc w:val="both"/>
        <w:rPr>
          <w:rFonts w:ascii="Garamond" w:hAnsi="Garamond"/>
        </w:rPr>
      </w:pPr>
      <w:r w:rsidRPr="004A0C12">
        <w:rPr>
          <w:rFonts w:ascii="Garamond" w:hAnsi="Garamond"/>
        </w:rPr>
        <w:t xml:space="preserve"> </w:t>
      </w:r>
    </w:p>
    <w:p w14:paraId="25151640" w14:textId="6C21588D" w:rsidR="00866B12" w:rsidRPr="004A0C12" w:rsidRDefault="00866B12" w:rsidP="00D94068">
      <w:pPr>
        <w:spacing w:after="0" w:line="240" w:lineRule="auto"/>
        <w:jc w:val="both"/>
        <w:rPr>
          <w:rFonts w:ascii="Garamond" w:hAnsi="Garamond"/>
        </w:rPr>
      </w:pPr>
      <w:r w:rsidRPr="004A0C12">
        <w:rPr>
          <w:rFonts w:ascii="Garamond" w:hAnsi="Garamond"/>
        </w:rPr>
        <w:t xml:space="preserve">Currently, </w:t>
      </w:r>
      <w:proofErr w:type="gramStart"/>
      <w:r w:rsidRPr="004A0C12">
        <w:rPr>
          <w:rFonts w:ascii="Garamond" w:hAnsi="Garamond"/>
        </w:rPr>
        <w:t>veterans</w:t>
      </w:r>
      <w:proofErr w:type="gramEnd"/>
      <w:r w:rsidRPr="004A0C12">
        <w:rPr>
          <w:rFonts w:ascii="Garamond" w:hAnsi="Garamond"/>
        </w:rPr>
        <w:t xml:space="preserve"> staff are available at </w:t>
      </w:r>
      <w:r w:rsidR="00CD7525" w:rsidRPr="004A0C12">
        <w:rPr>
          <w:rFonts w:ascii="Garamond" w:hAnsi="Garamond"/>
        </w:rPr>
        <w:t>every American Job Center</w:t>
      </w:r>
      <w:r w:rsidRPr="004A0C12">
        <w:rPr>
          <w:rFonts w:ascii="Garamond" w:hAnsi="Garamond"/>
        </w:rPr>
        <w:t xml:space="preserve"> </w:t>
      </w:r>
      <w:r w:rsidR="00CD7525" w:rsidRPr="004A0C12">
        <w:rPr>
          <w:rFonts w:ascii="Garamond" w:hAnsi="Garamond"/>
        </w:rPr>
        <w:t>to exclusively</w:t>
      </w:r>
      <w:r w:rsidRPr="004A0C12">
        <w:rPr>
          <w:rFonts w:ascii="Garamond" w:hAnsi="Garamond"/>
        </w:rPr>
        <w:t xml:space="preserve"> serve </w:t>
      </w:r>
      <w:r w:rsidR="00080EC6" w:rsidRPr="004A0C12">
        <w:rPr>
          <w:rFonts w:ascii="Garamond" w:hAnsi="Garamond"/>
        </w:rPr>
        <w:t>the needs of veteran job</w:t>
      </w:r>
      <w:r w:rsidRPr="004A0C12">
        <w:rPr>
          <w:rFonts w:ascii="Garamond" w:hAnsi="Garamond"/>
        </w:rPr>
        <w:t>seekers with significant barriers to employment</w:t>
      </w:r>
      <w:r w:rsidR="00A2360F" w:rsidRPr="004A0C12">
        <w:rPr>
          <w:rFonts w:ascii="Garamond" w:hAnsi="Garamond"/>
        </w:rPr>
        <w:t>,</w:t>
      </w:r>
      <w:r w:rsidRPr="004A0C12">
        <w:rPr>
          <w:rFonts w:ascii="Garamond" w:hAnsi="Garamond"/>
        </w:rPr>
        <w:t xml:space="preserve"> and businesses who seek to employ veterans. Maryland’s workforce system must provide greater outreach to this community, and to ensure that, </w:t>
      </w:r>
      <w:proofErr w:type="gramStart"/>
      <w:r w:rsidRPr="004A0C12">
        <w:rPr>
          <w:rFonts w:ascii="Garamond" w:hAnsi="Garamond"/>
        </w:rPr>
        <w:t>veteran</w:t>
      </w:r>
      <w:r w:rsidR="00A2360F" w:rsidRPr="004A0C12">
        <w:rPr>
          <w:rFonts w:ascii="Garamond" w:hAnsi="Garamond"/>
        </w:rPr>
        <w:t>s</w:t>
      </w:r>
      <w:proofErr w:type="gramEnd"/>
      <w:r w:rsidR="00A2360F" w:rsidRPr="004A0C12">
        <w:rPr>
          <w:rFonts w:ascii="Garamond" w:hAnsi="Garamond"/>
        </w:rPr>
        <w:t xml:space="preserve"> employment staff at both the S</w:t>
      </w:r>
      <w:r w:rsidRPr="004A0C12">
        <w:rPr>
          <w:rFonts w:ascii="Garamond" w:hAnsi="Garamond"/>
        </w:rPr>
        <w:t xml:space="preserve">tate and local levels must be invested in this </w:t>
      </w:r>
      <w:r w:rsidR="00CD7525" w:rsidRPr="004A0C12">
        <w:rPr>
          <w:rFonts w:ascii="Garamond" w:hAnsi="Garamond"/>
        </w:rPr>
        <w:t>population</w:t>
      </w:r>
      <w:r w:rsidRPr="004A0C12">
        <w:rPr>
          <w:rFonts w:ascii="Garamond" w:hAnsi="Garamond"/>
        </w:rPr>
        <w:t>. Professional development for staff must continuously take place</w:t>
      </w:r>
      <w:r w:rsidR="00CD7525" w:rsidRPr="004A0C12">
        <w:rPr>
          <w:rFonts w:ascii="Garamond" w:hAnsi="Garamond"/>
        </w:rPr>
        <w:t xml:space="preserve"> on a regular basis</w:t>
      </w:r>
      <w:r w:rsidRPr="004A0C12">
        <w:rPr>
          <w:rFonts w:ascii="Garamond" w:hAnsi="Garamond"/>
        </w:rPr>
        <w:t xml:space="preserve">. Furthermore, </w:t>
      </w:r>
      <w:proofErr w:type="gramStart"/>
      <w:r w:rsidRPr="004A0C12">
        <w:rPr>
          <w:rFonts w:ascii="Garamond" w:hAnsi="Garamond"/>
        </w:rPr>
        <w:t>veterans</w:t>
      </w:r>
      <w:proofErr w:type="gramEnd"/>
      <w:r w:rsidRPr="004A0C12">
        <w:rPr>
          <w:rFonts w:ascii="Garamond" w:hAnsi="Garamond"/>
        </w:rPr>
        <w:t xml:space="preserve"> staff must be continuously aware of businesses who wish to hire Maryland’s veterans. Thus, greater collaboration between </w:t>
      </w:r>
      <w:proofErr w:type="gramStart"/>
      <w:r w:rsidRPr="004A0C12">
        <w:rPr>
          <w:rFonts w:ascii="Garamond" w:hAnsi="Garamond"/>
        </w:rPr>
        <w:t>business</w:t>
      </w:r>
      <w:proofErr w:type="gramEnd"/>
      <w:r w:rsidRPr="004A0C12">
        <w:rPr>
          <w:rFonts w:ascii="Garamond" w:hAnsi="Garamond"/>
        </w:rPr>
        <w:t xml:space="preserve"> services personnel and veterans representatives must occur.</w:t>
      </w:r>
    </w:p>
    <w:p w14:paraId="350355EA" w14:textId="77777777" w:rsidR="00D94068" w:rsidRPr="005851EF" w:rsidRDefault="00D94068" w:rsidP="00D94068">
      <w:pPr>
        <w:pStyle w:val="Heading3"/>
        <w:spacing w:before="0" w:line="240" w:lineRule="auto"/>
        <w:rPr>
          <w:rFonts w:ascii="Garamond" w:hAnsi="Garamond"/>
          <w:sz w:val="24"/>
          <w:szCs w:val="24"/>
        </w:rPr>
      </w:pPr>
    </w:p>
    <w:p w14:paraId="5C03C27B" w14:textId="77777777" w:rsidR="00866B12" w:rsidRPr="005851EF" w:rsidRDefault="00866B12" w:rsidP="00D94068">
      <w:pPr>
        <w:pStyle w:val="Heading3"/>
        <w:spacing w:before="0" w:line="240" w:lineRule="auto"/>
        <w:rPr>
          <w:rFonts w:ascii="Garamond" w:hAnsi="Garamond"/>
          <w:sz w:val="24"/>
          <w:szCs w:val="24"/>
        </w:rPr>
      </w:pPr>
      <w:bookmarkStart w:id="12" w:name="_Toc447276072"/>
      <w:r w:rsidRPr="005851EF">
        <w:rPr>
          <w:rFonts w:ascii="Garamond" w:hAnsi="Garamond"/>
          <w:sz w:val="24"/>
          <w:szCs w:val="24"/>
        </w:rPr>
        <w:t>Opportunities for Individuals with Disabilities</w:t>
      </w:r>
      <w:bookmarkEnd w:id="12"/>
    </w:p>
    <w:p w14:paraId="1748C5AC" w14:textId="063532D5" w:rsidR="00866B12" w:rsidRPr="004A0C12" w:rsidRDefault="00866B12" w:rsidP="00D94068">
      <w:pPr>
        <w:spacing w:after="0" w:line="240" w:lineRule="auto"/>
        <w:jc w:val="both"/>
        <w:rPr>
          <w:rFonts w:ascii="Garamond" w:hAnsi="Garamond"/>
        </w:rPr>
      </w:pPr>
      <w:r w:rsidRPr="004A0C12">
        <w:rPr>
          <w:rFonts w:ascii="Garamond" w:hAnsi="Garamond"/>
        </w:rPr>
        <w:t>Every working age Marylander with a disability</w:t>
      </w:r>
      <w:r w:rsidR="00CD7525" w:rsidRPr="004A0C12">
        <w:rPr>
          <w:rFonts w:ascii="Garamond" w:hAnsi="Garamond"/>
        </w:rPr>
        <w:t xml:space="preserve">, including those with </w:t>
      </w:r>
      <w:r w:rsidRPr="004A0C12">
        <w:rPr>
          <w:rFonts w:ascii="Garamond" w:hAnsi="Garamond"/>
        </w:rPr>
        <w:t>significant disabilities, must have access to opportunities which lead to employment in competitive, integrated settings. The opportunity to learn necessary sk</w:t>
      </w:r>
      <w:r w:rsidR="00A2360F" w:rsidRPr="004A0C12">
        <w:rPr>
          <w:rFonts w:ascii="Garamond" w:hAnsi="Garamond"/>
        </w:rPr>
        <w:t>ills and receive needed support through the S</w:t>
      </w:r>
      <w:r w:rsidRPr="004A0C12">
        <w:rPr>
          <w:rFonts w:ascii="Garamond" w:hAnsi="Garamond"/>
        </w:rPr>
        <w:t>tate's workforce system and its key partners enables individuals with disabilities to exper</w:t>
      </w:r>
      <w:r w:rsidR="00A2360F" w:rsidRPr="004A0C12">
        <w:rPr>
          <w:rFonts w:ascii="Garamond" w:hAnsi="Garamond"/>
        </w:rPr>
        <w:t xml:space="preserve">ience success in the </w:t>
      </w:r>
      <w:r w:rsidR="00A2360F" w:rsidRPr="004A0C12">
        <w:rPr>
          <w:rFonts w:ascii="Garamond" w:hAnsi="Garamond"/>
        </w:rPr>
        <w:lastRenderedPageBreak/>
        <w:t xml:space="preserve">full cross </w:t>
      </w:r>
      <w:r w:rsidRPr="004A0C12">
        <w:rPr>
          <w:rFonts w:ascii="Garamond" w:hAnsi="Garamond"/>
        </w:rPr>
        <w:t>section of Maryland's businesses and industries. Employment is critical to ensuring quality lives for Marylanders with disabilities while reducing reliance on public assistance and strengthen</w:t>
      </w:r>
      <w:r w:rsidR="00CD7525" w:rsidRPr="004A0C12">
        <w:rPr>
          <w:rFonts w:ascii="Garamond" w:hAnsi="Garamond"/>
        </w:rPr>
        <w:t>ing the economic fabric of our S</w:t>
      </w:r>
      <w:r w:rsidRPr="004A0C12">
        <w:rPr>
          <w:rFonts w:ascii="Garamond" w:hAnsi="Garamond"/>
        </w:rPr>
        <w:t>tate.</w:t>
      </w:r>
    </w:p>
    <w:p w14:paraId="5DD41AEB" w14:textId="77777777" w:rsidR="008A605F" w:rsidRPr="004A0C12" w:rsidRDefault="008A605F" w:rsidP="00D94068">
      <w:pPr>
        <w:spacing w:after="0" w:line="240" w:lineRule="auto"/>
        <w:jc w:val="both"/>
        <w:rPr>
          <w:rFonts w:ascii="Garamond" w:hAnsi="Garamond"/>
        </w:rPr>
      </w:pPr>
    </w:p>
    <w:p w14:paraId="2D19957E" w14:textId="383206A0" w:rsidR="00866B12" w:rsidRPr="004A0C12" w:rsidRDefault="00866B12" w:rsidP="00D94068">
      <w:pPr>
        <w:spacing w:after="0" w:line="240" w:lineRule="auto"/>
        <w:jc w:val="both"/>
        <w:rPr>
          <w:rFonts w:ascii="Garamond" w:hAnsi="Garamond"/>
        </w:rPr>
      </w:pPr>
      <w:r w:rsidRPr="004A0C12">
        <w:rPr>
          <w:rFonts w:ascii="Garamond" w:hAnsi="Garamond"/>
        </w:rPr>
        <w:t xml:space="preserve">Marylanders with disabilities possess the ability to contribute to the state’s economic growth and achieve financial self-sufficiency. Historically, </w:t>
      </w:r>
      <w:r w:rsidR="00CD7525" w:rsidRPr="004A0C12">
        <w:rPr>
          <w:rFonts w:ascii="Garamond" w:hAnsi="Garamond"/>
        </w:rPr>
        <w:t xml:space="preserve">however, </w:t>
      </w:r>
      <w:r w:rsidRPr="004A0C12">
        <w:rPr>
          <w:rFonts w:ascii="Garamond" w:hAnsi="Garamond"/>
        </w:rPr>
        <w:t>this population has had a low level of workforce participation</w:t>
      </w:r>
      <w:r w:rsidR="00CD7525" w:rsidRPr="004A0C12">
        <w:rPr>
          <w:rFonts w:ascii="Garamond" w:hAnsi="Garamond"/>
        </w:rPr>
        <w:t>,</w:t>
      </w:r>
      <w:r w:rsidRPr="004A0C12">
        <w:rPr>
          <w:rFonts w:ascii="Garamond" w:hAnsi="Garamond"/>
        </w:rPr>
        <w:t xml:space="preserve"> </w:t>
      </w:r>
      <w:r w:rsidR="00CD7525" w:rsidRPr="004A0C12">
        <w:rPr>
          <w:rFonts w:ascii="Garamond" w:hAnsi="Garamond"/>
        </w:rPr>
        <w:t xml:space="preserve">particularly </w:t>
      </w:r>
      <w:r w:rsidRPr="004A0C12">
        <w:rPr>
          <w:rFonts w:ascii="Garamond" w:hAnsi="Garamond"/>
        </w:rPr>
        <w:t xml:space="preserve">those with the most significant disabilities. In an effort to capitalize on the attributes of this untapped workforce, Maryland's workforce system will play a key role in embracing nationally recognized best practices including </w:t>
      </w:r>
      <w:r w:rsidRPr="004A0C12">
        <w:rPr>
          <w:rFonts w:ascii="Garamond" w:hAnsi="Garamond"/>
          <w:i/>
        </w:rPr>
        <w:t>Employment First</w:t>
      </w:r>
      <w:r w:rsidRPr="004A0C12">
        <w:rPr>
          <w:rFonts w:ascii="Garamond" w:hAnsi="Garamond"/>
        </w:rPr>
        <w:t>, a national effort to assure that all individuals with significant disabilities can work in meaningful positions in integrated settings when provided with adequate, appropriate suppo</w:t>
      </w:r>
      <w:r w:rsidR="00A2360F" w:rsidRPr="004A0C12">
        <w:rPr>
          <w:rFonts w:ascii="Garamond" w:hAnsi="Garamond"/>
        </w:rPr>
        <w:t>rt</w:t>
      </w:r>
      <w:r w:rsidRPr="004A0C12">
        <w:rPr>
          <w:rFonts w:ascii="Garamond" w:hAnsi="Garamond"/>
        </w:rPr>
        <w:t>. All aspects of the workforce system</w:t>
      </w:r>
      <w:r w:rsidR="00CD7525" w:rsidRPr="004A0C12">
        <w:rPr>
          <w:rFonts w:ascii="Garamond" w:hAnsi="Garamond"/>
        </w:rPr>
        <w:t>,</w:t>
      </w:r>
      <w:r w:rsidRPr="004A0C12">
        <w:rPr>
          <w:rFonts w:ascii="Garamond" w:hAnsi="Garamond"/>
        </w:rPr>
        <w:t xml:space="preserve"> including state partner agencies, local public and private </w:t>
      </w:r>
      <w:r w:rsidR="00CD7525" w:rsidRPr="004A0C12">
        <w:rPr>
          <w:rFonts w:ascii="Garamond" w:hAnsi="Garamond"/>
        </w:rPr>
        <w:t>partners</w:t>
      </w:r>
      <w:r w:rsidRPr="004A0C12">
        <w:rPr>
          <w:rFonts w:ascii="Garamond" w:hAnsi="Garamond"/>
        </w:rPr>
        <w:t>, and businesses will c</w:t>
      </w:r>
      <w:r w:rsidR="00CD7525" w:rsidRPr="004A0C12">
        <w:rPr>
          <w:rFonts w:ascii="Garamond" w:hAnsi="Garamond"/>
        </w:rPr>
        <w:t>oordinate to effectively strengthen</w:t>
      </w:r>
      <w:r w:rsidRPr="004A0C12">
        <w:rPr>
          <w:rFonts w:ascii="Garamond" w:hAnsi="Garamond"/>
        </w:rPr>
        <w:t xml:space="preserve"> employment outcomes for Marylanders with disabilities.</w:t>
      </w:r>
    </w:p>
    <w:p w14:paraId="786D6D20" w14:textId="39CBAEEF" w:rsidR="00D94068" w:rsidRPr="004A0C12" w:rsidRDefault="00866B12" w:rsidP="008559E3">
      <w:pPr>
        <w:spacing w:after="0" w:line="240" w:lineRule="auto"/>
        <w:contextualSpacing/>
        <w:jc w:val="both"/>
        <w:rPr>
          <w:rFonts w:ascii="Garamond" w:hAnsi="Garamond"/>
        </w:rPr>
      </w:pPr>
      <w:r w:rsidRPr="004A0C12">
        <w:rPr>
          <w:rFonts w:ascii="Garamond" w:hAnsi="Garamond"/>
        </w:rPr>
        <w:t>To that end, the Maryl</w:t>
      </w:r>
      <w:r w:rsidR="00CD7525" w:rsidRPr="004A0C12">
        <w:rPr>
          <w:rFonts w:ascii="Garamond" w:hAnsi="Garamond"/>
        </w:rPr>
        <w:t xml:space="preserve">and Department of Disabilities, </w:t>
      </w:r>
      <w:r w:rsidRPr="004A0C12">
        <w:rPr>
          <w:rFonts w:ascii="Garamond" w:hAnsi="Garamond"/>
        </w:rPr>
        <w:t>a member of the Governor's Workforce Investment Board, will provide leaders</w:t>
      </w:r>
      <w:r w:rsidR="00CD7525" w:rsidRPr="004A0C12">
        <w:rPr>
          <w:rFonts w:ascii="Garamond" w:hAnsi="Garamond"/>
        </w:rPr>
        <w:t>hip to the workforce</w:t>
      </w:r>
      <w:r w:rsidRPr="004A0C12">
        <w:rPr>
          <w:rFonts w:ascii="Garamond" w:hAnsi="Garamond"/>
        </w:rPr>
        <w:t xml:space="preserve"> system and other key partners. This leadership will focus on aligning policies and service delivery practices </w:t>
      </w:r>
      <w:r w:rsidR="00CD7525" w:rsidRPr="004A0C12">
        <w:rPr>
          <w:rFonts w:ascii="Garamond" w:hAnsi="Garamond"/>
        </w:rPr>
        <w:t xml:space="preserve">that will </w:t>
      </w:r>
      <w:r w:rsidRPr="004A0C12">
        <w:rPr>
          <w:rFonts w:ascii="Garamond" w:hAnsi="Garamond"/>
        </w:rPr>
        <w:t xml:space="preserve">ensure progress toward competitive, integrated employment as the </w:t>
      </w:r>
      <w:r w:rsidR="00CD7525" w:rsidRPr="004A0C12">
        <w:rPr>
          <w:rFonts w:ascii="Garamond" w:hAnsi="Garamond"/>
        </w:rPr>
        <w:t>top</w:t>
      </w:r>
      <w:r w:rsidRPr="004A0C12">
        <w:rPr>
          <w:rFonts w:ascii="Garamond" w:hAnsi="Garamond"/>
        </w:rPr>
        <w:t xml:space="preserve"> priority for publicly funded services supporting youth and adults with disabilities.</w:t>
      </w:r>
      <w:r w:rsidR="00A2360F" w:rsidRPr="004A0C12">
        <w:rPr>
          <w:rFonts w:ascii="Garamond" w:hAnsi="Garamond"/>
        </w:rPr>
        <w:t xml:space="preserve"> The WIOA Partners must</w:t>
      </w:r>
      <w:r w:rsidR="00AB4897" w:rsidRPr="004A0C12">
        <w:rPr>
          <w:rFonts w:ascii="Garamond" w:hAnsi="Garamond"/>
        </w:rPr>
        <w:t xml:space="preserve"> also</w:t>
      </w:r>
      <w:r w:rsidR="00A2360F" w:rsidRPr="004A0C12">
        <w:rPr>
          <w:rFonts w:ascii="Garamond" w:hAnsi="Garamond"/>
        </w:rPr>
        <w:t xml:space="preserve"> collaborate to offer cross-training for staff on disability awareness. Employment opportunities for individuals with disabilities should further be accentuated at recruitment events and job fairs.   In short, there is much to do to ensure that individuals with disabilities can effectively access the workforce system. </w:t>
      </w:r>
    </w:p>
    <w:p w14:paraId="109BD404" w14:textId="77777777" w:rsidR="008559E3" w:rsidRPr="004A0C12" w:rsidRDefault="008559E3" w:rsidP="008559E3">
      <w:pPr>
        <w:spacing w:after="0" w:line="240" w:lineRule="auto"/>
        <w:contextualSpacing/>
        <w:jc w:val="both"/>
        <w:rPr>
          <w:rFonts w:ascii="Garamond" w:hAnsi="Garamond"/>
        </w:rPr>
      </w:pPr>
    </w:p>
    <w:p w14:paraId="4081DB3E" w14:textId="54F891DD" w:rsidR="00866B12" w:rsidRPr="005851EF" w:rsidRDefault="00866B12" w:rsidP="0054168E">
      <w:pPr>
        <w:pStyle w:val="Heading2"/>
        <w:spacing w:before="0" w:line="240" w:lineRule="auto"/>
        <w:rPr>
          <w:rFonts w:ascii="Garamond" w:hAnsi="Garamond"/>
          <w:sz w:val="24"/>
          <w:szCs w:val="24"/>
        </w:rPr>
      </w:pPr>
      <w:bookmarkStart w:id="13" w:name="_Toc447276073"/>
      <w:r w:rsidRPr="005851EF">
        <w:rPr>
          <w:rFonts w:ascii="Garamond" w:hAnsi="Garamond"/>
          <w:sz w:val="24"/>
          <w:szCs w:val="24"/>
        </w:rPr>
        <w:t>Reduce Taxes and Fees</w:t>
      </w:r>
      <w:bookmarkEnd w:id="13"/>
    </w:p>
    <w:p w14:paraId="50C4BE14" w14:textId="77777777" w:rsidR="00866B12" w:rsidRPr="001C1EC7" w:rsidRDefault="00866B12" w:rsidP="00D94068">
      <w:pPr>
        <w:spacing w:after="0" w:line="240" w:lineRule="auto"/>
        <w:ind w:left="720"/>
        <w:rPr>
          <w:rStyle w:val="apple-converted-space"/>
          <w:rFonts w:ascii="Garamond" w:hAnsi="Garamond"/>
          <w:b/>
          <w:color w:val="262626"/>
          <w:sz w:val="22"/>
          <w:shd w:val="clear" w:color="auto" w:fill="FFFFFF"/>
        </w:rPr>
      </w:pPr>
      <w:r w:rsidRPr="001C1EC7">
        <w:rPr>
          <w:rFonts w:ascii="Garamond" w:hAnsi="Garamond"/>
          <w:b/>
          <w:color w:val="262626"/>
          <w:shd w:val="clear" w:color="auto" w:fill="FFFFFF"/>
        </w:rPr>
        <w:t>“High taxes, over-regulation, and an anti-business attitude are clearly the cause of our economic problems.</w:t>
      </w:r>
      <w:r w:rsidRPr="001C1EC7">
        <w:rPr>
          <w:rStyle w:val="apple-converted-space"/>
          <w:rFonts w:ascii="Garamond" w:hAnsi="Garamond"/>
          <w:b/>
          <w:color w:val="262626"/>
          <w:sz w:val="22"/>
          <w:shd w:val="clear" w:color="auto" w:fill="FFFFFF"/>
        </w:rPr>
        <w:t xml:space="preserve">” </w:t>
      </w:r>
    </w:p>
    <w:p w14:paraId="26BCD5F7" w14:textId="34E9F6A0" w:rsidR="00866B12" w:rsidRPr="001C1EC7" w:rsidRDefault="00866B12" w:rsidP="00D94068">
      <w:pPr>
        <w:spacing w:after="0" w:line="240" w:lineRule="auto"/>
        <w:ind w:left="5760"/>
        <w:rPr>
          <w:rFonts w:ascii="Garamond" w:hAnsi="Garamond"/>
          <w:b/>
        </w:rPr>
      </w:pPr>
      <w:r w:rsidRPr="001C1EC7">
        <w:rPr>
          <w:rFonts w:ascii="Garamond" w:hAnsi="Garamond"/>
          <w:b/>
        </w:rPr>
        <w:t>-Governor Hogan’s</w:t>
      </w:r>
      <w:r w:rsidR="00AB4897" w:rsidRPr="001C1EC7">
        <w:rPr>
          <w:rFonts w:ascii="Garamond" w:hAnsi="Garamond"/>
          <w:b/>
        </w:rPr>
        <w:t xml:space="preserve"> 2015 State of the State Address </w:t>
      </w:r>
    </w:p>
    <w:p w14:paraId="35693042" w14:textId="77777777" w:rsidR="008A605F" w:rsidRPr="004A0C12" w:rsidRDefault="008A605F" w:rsidP="00D94068">
      <w:pPr>
        <w:spacing w:after="0" w:line="240" w:lineRule="auto"/>
        <w:ind w:left="5760"/>
        <w:rPr>
          <w:rFonts w:ascii="Garamond" w:hAnsi="Garamond"/>
        </w:rPr>
      </w:pPr>
    </w:p>
    <w:p w14:paraId="1F6D316A" w14:textId="1C18A318" w:rsidR="00866B12" w:rsidRPr="004A0C12" w:rsidRDefault="00866B12" w:rsidP="00D94068">
      <w:pPr>
        <w:spacing w:after="0" w:line="240" w:lineRule="auto"/>
        <w:jc w:val="both"/>
        <w:rPr>
          <w:rFonts w:ascii="Garamond" w:hAnsi="Garamond"/>
        </w:rPr>
      </w:pPr>
      <w:r w:rsidRPr="004A0C12">
        <w:rPr>
          <w:rFonts w:ascii="Garamond" w:hAnsi="Garamond"/>
        </w:rPr>
        <w:t xml:space="preserve">High taxes stifle economic growth and a business’ </w:t>
      </w:r>
      <w:r w:rsidR="00AB4897" w:rsidRPr="004A0C12">
        <w:rPr>
          <w:rFonts w:ascii="Garamond" w:hAnsi="Garamond"/>
        </w:rPr>
        <w:t>desire</w:t>
      </w:r>
      <w:r w:rsidRPr="004A0C12">
        <w:rPr>
          <w:rFonts w:ascii="Garamond" w:hAnsi="Garamond"/>
        </w:rPr>
        <w:t xml:space="preserve"> to expand its operations within the State.  Unemployment Insurance in Maryland is one of the many taxes and fees businesses are required to pay under Maryland law. Maryland’s businesses will see a significant reduction in Unemployment Insurances rates, </w:t>
      </w:r>
      <w:r w:rsidR="00AB4897" w:rsidRPr="004A0C12">
        <w:rPr>
          <w:rFonts w:ascii="Garamond" w:hAnsi="Garamond"/>
        </w:rPr>
        <w:t xml:space="preserve">which will be </w:t>
      </w:r>
      <w:r w:rsidRPr="004A0C12">
        <w:rPr>
          <w:rFonts w:ascii="Garamond" w:hAnsi="Garamond"/>
        </w:rPr>
        <w:t>the lowes</w:t>
      </w:r>
      <w:r w:rsidR="00AB4897" w:rsidRPr="004A0C12">
        <w:rPr>
          <w:rFonts w:ascii="Garamond" w:hAnsi="Garamond"/>
        </w:rPr>
        <w:t>t possible rates allowed under S</w:t>
      </w:r>
      <w:r w:rsidRPr="004A0C12">
        <w:rPr>
          <w:rFonts w:ascii="Garamond" w:hAnsi="Garamond"/>
        </w:rPr>
        <w:t xml:space="preserve">tate law, beginning in the First Quarter of 2016. While a decrease in the Unemployment Insurance tax rate is a sign of the Administration’s continued commitment to improve the State’s business climate, there is much more to be done.   </w:t>
      </w:r>
    </w:p>
    <w:p w14:paraId="3B0D7664" w14:textId="77777777" w:rsidR="00D94068" w:rsidRPr="004A0C12" w:rsidRDefault="00D94068" w:rsidP="00D94068">
      <w:pPr>
        <w:spacing w:after="0" w:line="240" w:lineRule="auto"/>
        <w:jc w:val="both"/>
        <w:rPr>
          <w:rFonts w:ascii="Garamond" w:hAnsi="Garamond"/>
        </w:rPr>
      </w:pPr>
    </w:p>
    <w:p w14:paraId="0E83ADBA" w14:textId="5602EC93" w:rsidR="00866B12" w:rsidRPr="004A0C12" w:rsidRDefault="00866B12" w:rsidP="00D94068">
      <w:pPr>
        <w:spacing w:after="0" w:line="240" w:lineRule="auto"/>
        <w:jc w:val="both"/>
        <w:rPr>
          <w:rFonts w:ascii="Garamond" w:hAnsi="Garamond"/>
        </w:rPr>
      </w:pPr>
      <w:r w:rsidRPr="004A0C12">
        <w:rPr>
          <w:rFonts w:ascii="Garamond" w:hAnsi="Garamond"/>
        </w:rPr>
        <w:t xml:space="preserve">Maryland’s workforce system must partner with its Unemployment Insurance counterparts to ensure that reemployment strategies are fully integrated and proactively implemented for both the benefit of the Unemployment Insurance claimants and Maryland’s businesses. Unemployment Insurance claimants benefit from reduced unemployment duration, increased </w:t>
      </w:r>
      <w:r w:rsidR="00CD7525" w:rsidRPr="004A0C12">
        <w:rPr>
          <w:rFonts w:ascii="Garamond" w:hAnsi="Garamond"/>
        </w:rPr>
        <w:t>re</w:t>
      </w:r>
      <w:r w:rsidRPr="004A0C12">
        <w:rPr>
          <w:rFonts w:ascii="Garamond" w:hAnsi="Garamond"/>
        </w:rPr>
        <w:t xml:space="preserve">employment and likely increased earnings. Businesses benefit by even lower Unemployment Insurance taxes and a robust pool of candidates ready to work to meet the workforce needs of business and industry. </w:t>
      </w:r>
    </w:p>
    <w:p w14:paraId="6CAC726A" w14:textId="77777777" w:rsidR="00D94068" w:rsidRPr="004A0C12" w:rsidRDefault="00D94068" w:rsidP="00D94068">
      <w:pPr>
        <w:spacing w:after="0" w:line="240" w:lineRule="auto"/>
        <w:jc w:val="both"/>
        <w:rPr>
          <w:rFonts w:ascii="Garamond" w:hAnsi="Garamond"/>
        </w:rPr>
      </w:pPr>
    </w:p>
    <w:p w14:paraId="2EAE2F0A" w14:textId="77777777" w:rsidR="00866B12" w:rsidRPr="004A0C12" w:rsidRDefault="00866B12" w:rsidP="00D94068">
      <w:pPr>
        <w:spacing w:after="0" w:line="240" w:lineRule="auto"/>
        <w:jc w:val="both"/>
        <w:rPr>
          <w:rFonts w:ascii="Garamond" w:hAnsi="Garamond"/>
        </w:rPr>
      </w:pPr>
      <w:r w:rsidRPr="004A0C12">
        <w:rPr>
          <w:rFonts w:ascii="Garamond" w:hAnsi="Garamond"/>
        </w:rPr>
        <w:t xml:space="preserve">Increased cooperation and communication between Maryland’s workforce and Unemployment Insurance systems will ensure that once an individual is eligible for Unemployment Insurance benefits, he or she will quickly and efficiently be placed on the path toward meaningful reemployment. Increased cooperation and communication will also ensure that Maryland’s Unemployment Insurance claimants have a clear understanding of the responsibilities required of them as a condition for receiving Unemployment Insurance benefits.      </w:t>
      </w:r>
    </w:p>
    <w:p w14:paraId="6B4F6713" w14:textId="77777777" w:rsidR="00D94068" w:rsidRPr="004A0C12" w:rsidRDefault="00D94068" w:rsidP="00D94068">
      <w:pPr>
        <w:pStyle w:val="Heading2"/>
        <w:spacing w:before="0" w:line="240" w:lineRule="auto"/>
        <w:rPr>
          <w:rFonts w:ascii="Garamond" w:hAnsi="Garamond"/>
          <w:sz w:val="22"/>
          <w:szCs w:val="22"/>
        </w:rPr>
      </w:pPr>
    </w:p>
    <w:p w14:paraId="01BF44E7" w14:textId="5F00BF1F" w:rsidR="00D94068" w:rsidRPr="005851EF" w:rsidRDefault="00866B12" w:rsidP="0054168E">
      <w:pPr>
        <w:pStyle w:val="Heading2"/>
        <w:spacing w:before="0" w:line="240" w:lineRule="auto"/>
        <w:rPr>
          <w:rFonts w:ascii="Garamond" w:hAnsi="Garamond"/>
          <w:sz w:val="24"/>
          <w:szCs w:val="24"/>
        </w:rPr>
      </w:pPr>
      <w:bookmarkStart w:id="14" w:name="_Toc447276074"/>
      <w:r w:rsidRPr="005851EF">
        <w:rPr>
          <w:rFonts w:ascii="Garamond" w:hAnsi="Garamond"/>
          <w:sz w:val="24"/>
          <w:szCs w:val="24"/>
        </w:rPr>
        <w:t>Fiscal Responsibility</w:t>
      </w:r>
      <w:bookmarkEnd w:id="14"/>
      <w:r w:rsidRPr="005851EF">
        <w:rPr>
          <w:rFonts w:ascii="Garamond" w:hAnsi="Garamond"/>
          <w:sz w:val="24"/>
          <w:szCs w:val="24"/>
        </w:rPr>
        <w:t xml:space="preserve"> </w:t>
      </w:r>
    </w:p>
    <w:p w14:paraId="21C3131C" w14:textId="493AB6DE" w:rsidR="00866B12" w:rsidRPr="004A0C12" w:rsidRDefault="00866B12" w:rsidP="00D94068">
      <w:pPr>
        <w:spacing w:after="0" w:line="240" w:lineRule="auto"/>
        <w:jc w:val="both"/>
        <w:rPr>
          <w:rFonts w:ascii="Garamond" w:hAnsi="Garamond"/>
        </w:rPr>
      </w:pPr>
      <w:r w:rsidRPr="004A0C12">
        <w:rPr>
          <w:rFonts w:ascii="Garamond" w:hAnsi="Garamond"/>
        </w:rPr>
        <w:t>Maryland’s workforce system must be effective and efficient. If the focus is truly on the people and businesses that are served through the system, Maryland’s workforce partners will naturally seek to create, coordinate, and revise systems to ensure greater delivery</w:t>
      </w:r>
      <w:r w:rsidR="00AE4841" w:rsidRPr="004A0C12">
        <w:rPr>
          <w:rFonts w:ascii="Garamond" w:hAnsi="Garamond"/>
        </w:rPr>
        <w:t xml:space="preserve"> of services. Maryland’s WIOA P</w:t>
      </w:r>
      <w:r w:rsidRPr="004A0C12">
        <w:rPr>
          <w:rFonts w:ascii="Garamond" w:hAnsi="Garamond"/>
        </w:rPr>
        <w:t xml:space="preserve">artners must continuously coordinate efforts, finding efficiencies not only within their own agencies, but also finding ways in which they can coordinate efforts with their sister agencies. </w:t>
      </w:r>
    </w:p>
    <w:p w14:paraId="53C0CDB3" w14:textId="77777777" w:rsidR="00D94068" w:rsidRPr="004A0C12" w:rsidRDefault="00D94068" w:rsidP="00D94068">
      <w:pPr>
        <w:spacing w:after="0" w:line="240" w:lineRule="auto"/>
        <w:jc w:val="both"/>
        <w:rPr>
          <w:rFonts w:ascii="Garamond" w:hAnsi="Garamond"/>
        </w:rPr>
      </w:pPr>
    </w:p>
    <w:p w14:paraId="68720BF9" w14:textId="420FD2DF" w:rsidR="00D94068" w:rsidRDefault="00866B12" w:rsidP="002342A5">
      <w:pPr>
        <w:spacing w:after="0" w:line="240" w:lineRule="auto"/>
        <w:jc w:val="both"/>
        <w:rPr>
          <w:rFonts w:ascii="Garamond" w:hAnsi="Garamond"/>
        </w:rPr>
      </w:pPr>
      <w:r w:rsidRPr="004A0C12">
        <w:rPr>
          <w:rFonts w:ascii="Garamond" w:hAnsi="Garamond"/>
        </w:rPr>
        <w:t xml:space="preserve">One way this may be accomplished is though the sharing of data and technological resources. Maryland’s workforce agencies have varying systems that, as of </w:t>
      </w:r>
      <w:r w:rsidR="00CD7525" w:rsidRPr="004A0C12">
        <w:rPr>
          <w:rFonts w:ascii="Garamond" w:hAnsi="Garamond"/>
        </w:rPr>
        <w:t>March 2015</w:t>
      </w:r>
      <w:r w:rsidRPr="004A0C12">
        <w:rPr>
          <w:rFonts w:ascii="Garamond" w:hAnsi="Garamond"/>
        </w:rPr>
        <w:t>, simply do not communicate with each other to the extent needed. As a result, a customer obtain</w:t>
      </w:r>
      <w:r w:rsidR="00CD7525" w:rsidRPr="004A0C12">
        <w:rPr>
          <w:rFonts w:ascii="Garamond" w:hAnsi="Garamond"/>
        </w:rPr>
        <w:t xml:space="preserve">ing services though DLLR </w:t>
      </w:r>
      <w:r w:rsidRPr="004A0C12">
        <w:rPr>
          <w:rFonts w:ascii="Garamond" w:hAnsi="Garamond"/>
        </w:rPr>
        <w:t xml:space="preserve">must provide the same basic demographic information all over again when obtaining human services, like TANF. This lack of coordination leads to duplicative efforts and frustrated customers. </w:t>
      </w:r>
    </w:p>
    <w:p w14:paraId="636107DE" w14:textId="77777777" w:rsidR="005851EF" w:rsidRPr="004A0C12" w:rsidRDefault="005851EF" w:rsidP="002342A5">
      <w:pPr>
        <w:spacing w:after="0" w:line="240" w:lineRule="auto"/>
        <w:jc w:val="both"/>
        <w:rPr>
          <w:rFonts w:ascii="Garamond" w:hAnsi="Garamond"/>
        </w:rPr>
      </w:pPr>
    </w:p>
    <w:p w14:paraId="7A424A1D" w14:textId="77777777" w:rsidR="00866B12" w:rsidRPr="005851EF" w:rsidRDefault="00866B12" w:rsidP="00D94068">
      <w:pPr>
        <w:pStyle w:val="Heading2"/>
        <w:spacing w:before="0" w:line="240" w:lineRule="auto"/>
        <w:rPr>
          <w:rFonts w:ascii="Garamond" w:hAnsi="Garamond"/>
          <w:sz w:val="24"/>
          <w:szCs w:val="24"/>
        </w:rPr>
      </w:pPr>
      <w:bookmarkStart w:id="15" w:name="_Toc447276075"/>
      <w:r w:rsidRPr="005851EF">
        <w:rPr>
          <w:rFonts w:ascii="Garamond" w:hAnsi="Garamond"/>
          <w:sz w:val="24"/>
          <w:szCs w:val="24"/>
        </w:rPr>
        <w:lastRenderedPageBreak/>
        <w:t>Government Reform</w:t>
      </w:r>
      <w:bookmarkEnd w:id="15"/>
    </w:p>
    <w:p w14:paraId="5C2221A3" w14:textId="77777777" w:rsidR="00D94068" w:rsidRPr="004A0C12" w:rsidRDefault="00D94068" w:rsidP="00D94068">
      <w:pPr>
        <w:spacing w:after="0" w:line="240" w:lineRule="auto"/>
        <w:ind w:left="720"/>
        <w:rPr>
          <w:rFonts w:ascii="Garamond" w:hAnsi="Garamond"/>
        </w:rPr>
      </w:pPr>
    </w:p>
    <w:p w14:paraId="247141A8" w14:textId="77777777" w:rsidR="00866B12" w:rsidRPr="001C1EC7" w:rsidRDefault="00866B12" w:rsidP="00D94068">
      <w:pPr>
        <w:spacing w:after="0" w:line="240" w:lineRule="auto"/>
        <w:ind w:left="720"/>
        <w:rPr>
          <w:rFonts w:ascii="Garamond" w:hAnsi="Garamond"/>
          <w:b/>
        </w:rPr>
      </w:pPr>
      <w:r w:rsidRPr="001C1EC7">
        <w:rPr>
          <w:rFonts w:ascii="Garamond" w:hAnsi="Garamond"/>
          <w:b/>
        </w:rPr>
        <w:t xml:space="preserve">“Our administration will chart a new course; one guided by simple, common sense principles.” </w:t>
      </w:r>
    </w:p>
    <w:p w14:paraId="55A6155D" w14:textId="4BDC045A" w:rsidR="00D94068" w:rsidRPr="001C1EC7" w:rsidRDefault="00866B12" w:rsidP="0054168E">
      <w:pPr>
        <w:spacing w:after="0" w:line="240" w:lineRule="auto"/>
        <w:ind w:left="5760"/>
        <w:rPr>
          <w:rFonts w:ascii="Garamond" w:hAnsi="Garamond"/>
          <w:b/>
        </w:rPr>
      </w:pPr>
      <w:r w:rsidRPr="001C1EC7">
        <w:rPr>
          <w:rFonts w:ascii="Garamond" w:hAnsi="Garamond"/>
          <w:b/>
        </w:rPr>
        <w:t xml:space="preserve">-Governor Hogan’s </w:t>
      </w:r>
      <w:r w:rsidR="00AB4897" w:rsidRPr="001C1EC7">
        <w:rPr>
          <w:rFonts w:ascii="Garamond" w:hAnsi="Garamond"/>
          <w:b/>
        </w:rPr>
        <w:t xml:space="preserve">2015 State of the State Address </w:t>
      </w:r>
    </w:p>
    <w:p w14:paraId="529FD267" w14:textId="77777777" w:rsidR="00AB4897" w:rsidRPr="004A0C12" w:rsidRDefault="00AB4897" w:rsidP="0054168E">
      <w:pPr>
        <w:spacing w:after="0" w:line="240" w:lineRule="auto"/>
        <w:ind w:left="5760"/>
        <w:rPr>
          <w:rFonts w:ascii="Garamond" w:hAnsi="Garamond"/>
        </w:rPr>
      </w:pPr>
    </w:p>
    <w:p w14:paraId="5F8E7962" w14:textId="7EBF1D90" w:rsidR="00866B12" w:rsidRPr="004A0C12" w:rsidRDefault="00866B12" w:rsidP="00D94068">
      <w:pPr>
        <w:spacing w:after="0" w:line="240" w:lineRule="auto"/>
        <w:jc w:val="both"/>
        <w:rPr>
          <w:rFonts w:ascii="Garamond" w:hAnsi="Garamond"/>
        </w:rPr>
      </w:pPr>
      <w:r w:rsidRPr="004A0C12">
        <w:rPr>
          <w:rFonts w:ascii="Garamond" w:hAnsi="Garamond"/>
        </w:rPr>
        <w:t>While the path toward government reform is not an easy one, it is nonetheless a necessary journey Maryland’s workforce sys</w:t>
      </w:r>
      <w:r w:rsidR="00AE4841" w:rsidRPr="004A0C12">
        <w:rPr>
          <w:rFonts w:ascii="Garamond" w:hAnsi="Garamond"/>
        </w:rPr>
        <w:t>tem must take. Maryland’s WIOA P</w:t>
      </w:r>
      <w:r w:rsidRPr="004A0C12">
        <w:rPr>
          <w:rFonts w:ascii="Garamond" w:hAnsi="Garamond"/>
        </w:rPr>
        <w:t>artners must be innovative. They must find new ways in which they can provide services to Maryland’s businesses and jobseekers. Just because something was previously done a c</w:t>
      </w:r>
      <w:r w:rsidR="00AB4897" w:rsidRPr="004A0C12">
        <w:rPr>
          <w:rFonts w:ascii="Garamond" w:hAnsi="Garamond"/>
        </w:rPr>
        <w:t>ertain way does not mean that it</w:t>
      </w:r>
      <w:r w:rsidRPr="004A0C12">
        <w:rPr>
          <w:rFonts w:ascii="Garamond" w:hAnsi="Garamond"/>
        </w:rPr>
        <w:t xml:space="preserve"> must continue to be done that way.  </w:t>
      </w:r>
    </w:p>
    <w:p w14:paraId="77D39451" w14:textId="77777777" w:rsidR="00D94068" w:rsidRPr="004A0C12" w:rsidRDefault="00D94068" w:rsidP="00D94068">
      <w:pPr>
        <w:spacing w:after="0" w:line="240" w:lineRule="auto"/>
        <w:rPr>
          <w:rFonts w:ascii="Garamond" w:eastAsia="Times New Roman" w:hAnsi="Garamond"/>
          <w:color w:val="222222"/>
          <w:shd w:val="clear" w:color="auto" w:fill="FFFFFF"/>
        </w:rPr>
      </w:pPr>
    </w:p>
    <w:p w14:paraId="0AEDE0F7" w14:textId="1AA440FC" w:rsidR="00866B12" w:rsidRPr="004A0C12" w:rsidRDefault="00866B12" w:rsidP="008A605F">
      <w:pPr>
        <w:spacing w:after="0" w:line="240" w:lineRule="auto"/>
        <w:jc w:val="both"/>
        <w:rPr>
          <w:rFonts w:ascii="Garamond" w:eastAsia="Times New Roman" w:hAnsi="Garamond"/>
        </w:rPr>
      </w:pPr>
      <w:r w:rsidRPr="004A0C12">
        <w:rPr>
          <w:rFonts w:ascii="Garamond" w:eastAsia="Times New Roman" w:hAnsi="Garamond"/>
          <w:color w:val="222222"/>
          <w:shd w:val="clear" w:color="auto" w:fill="FFFFFF"/>
        </w:rPr>
        <w:t>For the first time, Maryland is combining its workforce efforts across multiple agencies into one State plan. The end result will be a greater dedication by Maryland’s workforce agencies to deliver services to Maryland’s jobs</w:t>
      </w:r>
      <w:r w:rsidR="00CD7525" w:rsidRPr="004A0C12">
        <w:rPr>
          <w:rFonts w:ascii="Garamond" w:eastAsia="Times New Roman" w:hAnsi="Garamond"/>
          <w:color w:val="222222"/>
          <w:shd w:val="clear" w:color="auto" w:fill="FFFFFF"/>
        </w:rPr>
        <w:t xml:space="preserve">eekers from diverse backgrounds, </w:t>
      </w:r>
      <w:r w:rsidRPr="004A0C12">
        <w:rPr>
          <w:rFonts w:ascii="Garamond" w:eastAsia="Times New Roman" w:hAnsi="Garamond"/>
          <w:color w:val="222222"/>
          <w:shd w:val="clear" w:color="auto" w:fill="FFFFFF"/>
        </w:rPr>
        <w:t xml:space="preserve">with diverse needs. By committing to serve low-income individuals receiving services through the Maryland Department of Human Resource’s TANF program, as well as those with disabilities receiving services from the Maryland State Department of Education’s Division of </w:t>
      </w:r>
      <w:r w:rsidR="00B87622" w:rsidRPr="004A0C12">
        <w:rPr>
          <w:rFonts w:ascii="Garamond" w:eastAsia="Times New Roman" w:hAnsi="Garamond"/>
          <w:color w:val="222222"/>
          <w:shd w:val="clear" w:color="auto" w:fill="FFFFFF"/>
        </w:rPr>
        <w:t xml:space="preserve">Rehabilitation </w:t>
      </w:r>
      <w:r w:rsidRPr="004A0C12">
        <w:rPr>
          <w:rFonts w:ascii="Garamond" w:eastAsia="Times New Roman" w:hAnsi="Garamond"/>
          <w:color w:val="222222"/>
          <w:shd w:val="clear" w:color="auto" w:fill="FFFFFF"/>
        </w:rPr>
        <w:t xml:space="preserve">Services, </w:t>
      </w:r>
      <w:r w:rsidR="00CD7525" w:rsidRPr="004A0C12">
        <w:rPr>
          <w:rFonts w:ascii="Garamond" w:eastAsia="Times New Roman" w:hAnsi="Garamond"/>
          <w:color w:val="222222"/>
          <w:shd w:val="clear" w:color="auto" w:fill="FFFFFF"/>
        </w:rPr>
        <w:t>and</w:t>
      </w:r>
      <w:r w:rsidRPr="004A0C12">
        <w:rPr>
          <w:rFonts w:ascii="Garamond" w:eastAsia="Times New Roman" w:hAnsi="Garamond"/>
          <w:color w:val="222222"/>
          <w:shd w:val="clear" w:color="auto" w:fill="FFFFFF"/>
        </w:rPr>
        <w:t xml:space="preserve"> to Maryland’s adult education population, the workforce system is devoted to serving </w:t>
      </w:r>
      <w:r w:rsidRPr="004A0C12">
        <w:rPr>
          <w:rFonts w:ascii="Garamond" w:eastAsia="Times New Roman" w:hAnsi="Garamond"/>
          <w:i/>
          <w:iCs/>
          <w:color w:val="222222"/>
          <w:shd w:val="clear" w:color="auto" w:fill="FFFFFF"/>
        </w:rPr>
        <w:t>all </w:t>
      </w:r>
      <w:r w:rsidRPr="004A0C12">
        <w:rPr>
          <w:rFonts w:ascii="Garamond" w:eastAsia="Times New Roman" w:hAnsi="Garamond"/>
          <w:color w:val="222222"/>
          <w:shd w:val="clear" w:color="auto" w:fill="FFFFFF"/>
        </w:rPr>
        <w:t>of Maryland’s jobseekers. </w:t>
      </w:r>
    </w:p>
    <w:p w14:paraId="62DC08D1" w14:textId="77777777" w:rsidR="00D94068" w:rsidRPr="004A0C12" w:rsidRDefault="00D94068" w:rsidP="008A605F">
      <w:pPr>
        <w:shd w:val="clear" w:color="auto" w:fill="FFFFFF"/>
        <w:spacing w:after="0" w:line="240" w:lineRule="auto"/>
        <w:jc w:val="both"/>
        <w:rPr>
          <w:rFonts w:ascii="Garamond" w:eastAsia="Times New Roman" w:hAnsi="Garamond"/>
          <w:color w:val="222222"/>
        </w:rPr>
      </w:pPr>
    </w:p>
    <w:p w14:paraId="2E4B36C2" w14:textId="1D9BD693" w:rsidR="00866B12" w:rsidRPr="004A0C12" w:rsidRDefault="00866B12" w:rsidP="008A605F">
      <w:pPr>
        <w:shd w:val="clear" w:color="auto" w:fill="FFFFFF"/>
        <w:spacing w:after="0" w:line="240" w:lineRule="auto"/>
        <w:jc w:val="both"/>
        <w:rPr>
          <w:rFonts w:ascii="Garamond" w:eastAsia="Times New Roman" w:hAnsi="Garamond"/>
          <w:color w:val="222222"/>
        </w:rPr>
      </w:pPr>
      <w:r w:rsidRPr="004A0C12">
        <w:rPr>
          <w:rFonts w:ascii="Garamond" w:eastAsia="Times New Roman" w:hAnsi="Garamond"/>
          <w:color w:val="222222"/>
        </w:rPr>
        <w:t>The renewed focus on serving these deserving populations requires a change in philosophy. Maryland’s workforce system can no longer place a label on a jobseeker as merely a customer of one</w:t>
      </w:r>
      <w:r w:rsidR="00CD7525" w:rsidRPr="004A0C12">
        <w:rPr>
          <w:rFonts w:ascii="Garamond" w:eastAsia="Times New Roman" w:hAnsi="Garamond"/>
          <w:color w:val="222222"/>
        </w:rPr>
        <w:t xml:space="preserve"> single</w:t>
      </w:r>
      <w:r w:rsidRPr="004A0C12">
        <w:rPr>
          <w:rFonts w:ascii="Garamond" w:eastAsia="Times New Roman" w:hAnsi="Garamond"/>
          <w:color w:val="222222"/>
        </w:rPr>
        <w:t xml:space="preserve"> agency. Rather</w:t>
      </w:r>
      <w:r w:rsidR="00AB4897" w:rsidRPr="004A0C12">
        <w:rPr>
          <w:rFonts w:ascii="Garamond" w:eastAsia="Times New Roman" w:hAnsi="Garamond"/>
          <w:color w:val="222222"/>
        </w:rPr>
        <w:t>,</w:t>
      </w:r>
      <w:r w:rsidRPr="004A0C12">
        <w:rPr>
          <w:rFonts w:ascii="Garamond" w:eastAsia="Times New Roman" w:hAnsi="Garamond"/>
          <w:color w:val="222222"/>
        </w:rPr>
        <w:t xml:space="preserve"> under this new customer-centric workforce system, the agencies together, with their respective local partners, will identify the services t</w:t>
      </w:r>
      <w:r w:rsidR="00CD7525" w:rsidRPr="004A0C12">
        <w:rPr>
          <w:rFonts w:ascii="Garamond" w:eastAsia="Times New Roman" w:hAnsi="Garamond"/>
          <w:color w:val="222222"/>
        </w:rPr>
        <w:t>hat are needed for the customer. This will be done</w:t>
      </w:r>
      <w:r w:rsidRPr="004A0C12">
        <w:rPr>
          <w:rFonts w:ascii="Garamond" w:eastAsia="Times New Roman" w:hAnsi="Garamond"/>
          <w:color w:val="222222"/>
        </w:rPr>
        <w:t xml:space="preserve"> not by shuffling the customer from one referring agency to another, but through collaboration and increased communication. In doing so, the system focuses on the person before the performance measures an agency</w:t>
      </w:r>
      <w:r w:rsidR="00AB4897" w:rsidRPr="004A0C12">
        <w:rPr>
          <w:rFonts w:ascii="Garamond" w:eastAsia="Times New Roman" w:hAnsi="Garamond"/>
          <w:color w:val="222222"/>
        </w:rPr>
        <w:t xml:space="preserve"> reports to federal agencies</w:t>
      </w:r>
      <w:r w:rsidRPr="004A0C12">
        <w:rPr>
          <w:rFonts w:ascii="Garamond" w:eastAsia="Times New Roman" w:hAnsi="Garamond"/>
          <w:color w:val="222222"/>
        </w:rPr>
        <w:t>. </w:t>
      </w:r>
    </w:p>
    <w:p w14:paraId="16807B7C" w14:textId="77777777" w:rsidR="00D94068" w:rsidRPr="004A0C12" w:rsidRDefault="00D94068" w:rsidP="008A605F">
      <w:pPr>
        <w:shd w:val="clear" w:color="auto" w:fill="FFFFFF"/>
        <w:spacing w:after="0" w:line="240" w:lineRule="auto"/>
        <w:jc w:val="both"/>
        <w:rPr>
          <w:rFonts w:ascii="Garamond" w:eastAsia="Times New Roman" w:hAnsi="Garamond"/>
          <w:color w:val="222222"/>
        </w:rPr>
      </w:pPr>
    </w:p>
    <w:p w14:paraId="5A0DF0B4" w14:textId="590BB8E5" w:rsidR="00866B12" w:rsidRPr="004A0C12" w:rsidRDefault="00866B12" w:rsidP="008A605F">
      <w:pPr>
        <w:shd w:val="clear" w:color="auto" w:fill="FFFFFF"/>
        <w:spacing w:after="0" w:line="240" w:lineRule="auto"/>
        <w:jc w:val="both"/>
        <w:rPr>
          <w:rFonts w:ascii="Garamond" w:eastAsia="Times New Roman" w:hAnsi="Garamond"/>
          <w:color w:val="222222"/>
        </w:rPr>
      </w:pPr>
      <w:r w:rsidRPr="004A0C12">
        <w:rPr>
          <w:rFonts w:ascii="Garamond" w:eastAsia="Times New Roman" w:hAnsi="Garamond"/>
          <w:color w:val="222222"/>
        </w:rPr>
        <w:t>When th</w:t>
      </w:r>
      <w:r w:rsidR="00AB4897" w:rsidRPr="004A0C12">
        <w:rPr>
          <w:rFonts w:ascii="Garamond" w:eastAsia="Times New Roman" w:hAnsi="Garamond"/>
          <w:color w:val="222222"/>
        </w:rPr>
        <w:t xml:space="preserve">e focus is on </w:t>
      </w:r>
      <w:r w:rsidRPr="004A0C12">
        <w:rPr>
          <w:rFonts w:ascii="Garamond" w:eastAsia="Times New Roman" w:hAnsi="Garamond"/>
          <w:color w:val="222222"/>
        </w:rPr>
        <w:t xml:space="preserve">meeting the customer’s needs, </w:t>
      </w:r>
      <w:r w:rsidR="00513D6C" w:rsidRPr="004A0C12">
        <w:rPr>
          <w:rFonts w:ascii="Garamond" w:eastAsia="Times New Roman" w:hAnsi="Garamond"/>
          <w:color w:val="222222"/>
        </w:rPr>
        <w:t xml:space="preserve">the </w:t>
      </w:r>
      <w:r w:rsidRPr="004A0C12">
        <w:rPr>
          <w:rFonts w:ascii="Garamond" w:eastAsia="Times New Roman" w:hAnsi="Garamond"/>
          <w:color w:val="222222"/>
        </w:rPr>
        <w:t>workforce system’s efforts will be on meeting the needs of the individual, not on meeting the goals written on a page. Maryland’s workforce system will recognize that jobseekers are not an input into a system that must be moved through prescribed processes.  Rather, the jobseekers who enter Maryland’s American Job Centers, or visit local Department of Social Services locations are our neighbors, friends, and fellow Marylanders who are in need of the critical services these agencies, and their local partner</w:t>
      </w:r>
      <w:r w:rsidR="00AB4897" w:rsidRPr="004A0C12">
        <w:rPr>
          <w:rFonts w:ascii="Garamond" w:eastAsia="Times New Roman" w:hAnsi="Garamond"/>
          <w:color w:val="222222"/>
        </w:rPr>
        <w:t xml:space="preserve">s, deliver. This change is what </w:t>
      </w:r>
      <w:r w:rsidRPr="004A0C12">
        <w:rPr>
          <w:rFonts w:ascii="Garamond" w:eastAsia="Times New Roman" w:hAnsi="Garamond"/>
          <w:color w:val="222222"/>
        </w:rPr>
        <w:t>Maryland’s jobseekers and businesses not only deserve, but require. </w:t>
      </w:r>
    </w:p>
    <w:p w14:paraId="63D80D1E" w14:textId="77777777" w:rsidR="00D94068" w:rsidRPr="004A0C12" w:rsidRDefault="00D94068" w:rsidP="008A605F">
      <w:pPr>
        <w:shd w:val="clear" w:color="auto" w:fill="FFFFFF"/>
        <w:spacing w:after="0" w:line="240" w:lineRule="auto"/>
        <w:jc w:val="both"/>
        <w:rPr>
          <w:rFonts w:ascii="Garamond" w:eastAsia="Times New Roman" w:hAnsi="Garamond"/>
          <w:color w:val="222222"/>
        </w:rPr>
      </w:pPr>
    </w:p>
    <w:p w14:paraId="727C2F08" w14:textId="3F3B38BC" w:rsidR="00866B12" w:rsidRPr="004A0C12" w:rsidRDefault="00866B12" w:rsidP="008A605F">
      <w:pPr>
        <w:shd w:val="clear" w:color="auto" w:fill="FFFFFF"/>
        <w:spacing w:after="0" w:line="240" w:lineRule="auto"/>
        <w:jc w:val="both"/>
        <w:rPr>
          <w:rFonts w:ascii="Garamond" w:eastAsia="Times New Roman" w:hAnsi="Garamond"/>
          <w:color w:val="222222"/>
        </w:rPr>
      </w:pPr>
      <w:r w:rsidRPr="004A0C12">
        <w:rPr>
          <w:rFonts w:ascii="Garamond" w:eastAsia="Times New Roman" w:hAnsi="Garamond"/>
          <w:color w:val="222222"/>
        </w:rPr>
        <w:t xml:space="preserve">This </w:t>
      </w:r>
      <w:r w:rsidR="00513D6C" w:rsidRPr="004A0C12">
        <w:rPr>
          <w:rFonts w:ascii="Garamond" w:eastAsia="Times New Roman" w:hAnsi="Garamond"/>
          <w:color w:val="222222"/>
        </w:rPr>
        <w:t>shift</w:t>
      </w:r>
      <w:r w:rsidRPr="004A0C12">
        <w:rPr>
          <w:rFonts w:ascii="Garamond" w:eastAsia="Times New Roman" w:hAnsi="Garamond"/>
          <w:color w:val="222222"/>
        </w:rPr>
        <w:t xml:space="preserve"> in focus also requires a change in the way that Maryland measures its performance. As Maryland has treated the enactment of the Workforce Innovation and Opportunity Act as a way to critically analyze and ultimately “reset” the workforce system, the enactment of the federal act is also an opportunity to “reset” the performance standards that were negotiated under the Workforce Investment Act. </w:t>
      </w:r>
      <w:r w:rsidR="00513D6C" w:rsidRPr="004A0C12">
        <w:rPr>
          <w:rFonts w:ascii="Garamond" w:eastAsia="Times New Roman" w:hAnsi="Garamond"/>
          <w:color w:val="222222"/>
        </w:rPr>
        <w:t xml:space="preserve">Over the next two years, </w:t>
      </w:r>
      <w:r w:rsidRPr="004A0C12">
        <w:rPr>
          <w:rFonts w:ascii="Garamond" w:eastAsia="Times New Roman" w:hAnsi="Garamond"/>
          <w:color w:val="222222"/>
        </w:rPr>
        <w:t xml:space="preserve">Maryland’s workforce system and </w:t>
      </w:r>
      <w:r w:rsidR="00513D6C" w:rsidRPr="004A0C12">
        <w:rPr>
          <w:rFonts w:ascii="Garamond" w:eastAsia="Times New Roman" w:hAnsi="Garamond"/>
          <w:color w:val="222222"/>
        </w:rPr>
        <w:t>its</w:t>
      </w:r>
      <w:r w:rsidRPr="004A0C12">
        <w:rPr>
          <w:rFonts w:ascii="Garamond" w:eastAsia="Times New Roman" w:hAnsi="Garamond"/>
          <w:color w:val="222222"/>
        </w:rPr>
        <w:t xml:space="preserve"> partner agencies are dedicated to establishing a baseline measure as they serve </w:t>
      </w:r>
      <w:r w:rsidR="00513D6C" w:rsidRPr="004A0C12">
        <w:rPr>
          <w:rFonts w:ascii="Garamond" w:eastAsia="Times New Roman" w:hAnsi="Garamond"/>
          <w:color w:val="222222"/>
        </w:rPr>
        <w:t>an</w:t>
      </w:r>
      <w:r w:rsidRPr="004A0C12">
        <w:rPr>
          <w:rFonts w:ascii="Garamond" w:eastAsia="Times New Roman" w:hAnsi="Garamond"/>
          <w:color w:val="222222"/>
        </w:rPr>
        <w:t xml:space="preserve"> increased </w:t>
      </w:r>
      <w:r w:rsidR="00FA3BB4" w:rsidRPr="004A0C12">
        <w:rPr>
          <w:rFonts w:ascii="Garamond" w:eastAsia="Times New Roman" w:hAnsi="Garamond"/>
          <w:color w:val="222222"/>
        </w:rPr>
        <w:t xml:space="preserve">number </w:t>
      </w:r>
      <w:r w:rsidRPr="004A0C12">
        <w:rPr>
          <w:rFonts w:ascii="Garamond" w:eastAsia="Times New Roman" w:hAnsi="Garamond"/>
          <w:color w:val="222222"/>
        </w:rPr>
        <w:t xml:space="preserve">of customers entering the workforce system that were not </w:t>
      </w:r>
      <w:r w:rsidR="00FA3BB4" w:rsidRPr="004A0C12">
        <w:rPr>
          <w:rFonts w:ascii="Garamond" w:eastAsia="Times New Roman" w:hAnsi="Garamond"/>
          <w:color w:val="222222"/>
        </w:rPr>
        <w:t>served</w:t>
      </w:r>
      <w:r w:rsidRPr="004A0C12">
        <w:rPr>
          <w:rFonts w:ascii="Garamond" w:eastAsia="Times New Roman" w:hAnsi="Garamond"/>
          <w:color w:val="222222"/>
        </w:rPr>
        <w:t xml:space="preserve"> under previous models.  In doing so, Maryland is reforming the operations of the workforce system and is truly placing people before performance measures. </w:t>
      </w:r>
      <w:r w:rsidR="002D2D56" w:rsidRPr="004A0C12">
        <w:rPr>
          <w:rFonts w:ascii="Garamond" w:eastAsia="Times New Roman" w:hAnsi="Garamond"/>
          <w:color w:val="222222"/>
        </w:rPr>
        <w:t xml:space="preserve"> </w:t>
      </w:r>
    </w:p>
    <w:p w14:paraId="21253EC5" w14:textId="77777777" w:rsidR="00D94068" w:rsidRPr="004A0C12" w:rsidRDefault="00D94068" w:rsidP="008A605F">
      <w:pPr>
        <w:spacing w:after="0" w:line="240" w:lineRule="auto"/>
        <w:jc w:val="both"/>
        <w:rPr>
          <w:rFonts w:ascii="Garamond" w:hAnsi="Garamond"/>
        </w:rPr>
      </w:pPr>
    </w:p>
    <w:p w14:paraId="2CE5BE98" w14:textId="26FE650F" w:rsidR="00866B12" w:rsidRPr="004A0C12" w:rsidRDefault="00513D6C" w:rsidP="008A605F">
      <w:pPr>
        <w:spacing w:after="0" w:line="240" w:lineRule="auto"/>
        <w:jc w:val="both"/>
        <w:rPr>
          <w:rFonts w:ascii="Garamond" w:hAnsi="Garamond"/>
        </w:rPr>
      </w:pPr>
      <w:r w:rsidRPr="004A0C12">
        <w:rPr>
          <w:rFonts w:ascii="Garamond" w:hAnsi="Garamond"/>
        </w:rPr>
        <w:t xml:space="preserve">Further, </w:t>
      </w:r>
      <w:r w:rsidR="00866B12" w:rsidRPr="004A0C12">
        <w:rPr>
          <w:rFonts w:ascii="Garamond" w:hAnsi="Garamond"/>
        </w:rPr>
        <w:t>Maryland’s efforts to increase and foster the growth of apprenticeship opportunities must be aligned with the workforce system. Previous efforts in apprenticeship focused heavily on the traditional trades-based models. However, in order to truly promote apprenticeships, greater opportunity must be given to expand this “earn and learn” model to other</w:t>
      </w:r>
      <w:r w:rsidRPr="004A0C12">
        <w:rPr>
          <w:rFonts w:ascii="Garamond" w:hAnsi="Garamond"/>
        </w:rPr>
        <w:t xml:space="preserve"> traditionally</w:t>
      </w:r>
      <w:r w:rsidR="00866B12" w:rsidRPr="004A0C12">
        <w:rPr>
          <w:rFonts w:ascii="Garamond" w:hAnsi="Garamond"/>
        </w:rPr>
        <w:t xml:space="preserve"> non-</w:t>
      </w:r>
      <w:r w:rsidR="00FA5C06" w:rsidRPr="004A0C12">
        <w:rPr>
          <w:rFonts w:ascii="Garamond" w:hAnsi="Garamond"/>
        </w:rPr>
        <w:t>apprenticeable</w:t>
      </w:r>
      <w:r w:rsidR="00866B12" w:rsidRPr="004A0C12">
        <w:rPr>
          <w:rFonts w:ascii="Garamond" w:hAnsi="Garamond"/>
        </w:rPr>
        <w:t xml:space="preserve"> fields. </w:t>
      </w:r>
    </w:p>
    <w:p w14:paraId="04CD9B73" w14:textId="77777777" w:rsidR="00D94068" w:rsidRPr="004A0C12" w:rsidRDefault="00D94068" w:rsidP="008A605F">
      <w:pPr>
        <w:spacing w:after="0" w:line="240" w:lineRule="auto"/>
        <w:jc w:val="both"/>
        <w:rPr>
          <w:rFonts w:ascii="Garamond" w:hAnsi="Garamond"/>
        </w:rPr>
      </w:pPr>
    </w:p>
    <w:p w14:paraId="5ED1302A" w14:textId="03D48561" w:rsidR="00866B12" w:rsidRPr="004A0C12" w:rsidRDefault="00866B12" w:rsidP="008A605F">
      <w:pPr>
        <w:spacing w:after="0" w:line="240" w:lineRule="auto"/>
        <w:contextualSpacing/>
        <w:jc w:val="both"/>
        <w:rPr>
          <w:rFonts w:ascii="Garamond" w:hAnsi="Garamond"/>
        </w:rPr>
      </w:pPr>
      <w:r w:rsidRPr="004A0C12">
        <w:rPr>
          <w:rFonts w:ascii="Garamond" w:hAnsi="Garamond"/>
        </w:rPr>
        <w:t xml:space="preserve">In aligning apprenticeship opportunities with Maryland’s workforce system, a pipeline of talent is created. Businesses that participate will be able to train their employees </w:t>
      </w:r>
      <w:r w:rsidR="00AB4897" w:rsidRPr="004A0C12">
        <w:rPr>
          <w:rFonts w:ascii="Garamond" w:hAnsi="Garamond"/>
        </w:rPr>
        <w:t>in</w:t>
      </w:r>
      <w:r w:rsidRPr="004A0C12">
        <w:rPr>
          <w:rFonts w:ascii="Garamond" w:hAnsi="Garamond"/>
        </w:rPr>
        <w:t xml:space="preserve"> the skills they need to succeed. It further fosters </w:t>
      </w:r>
      <w:r w:rsidR="00AB4897" w:rsidRPr="004A0C12">
        <w:rPr>
          <w:rFonts w:ascii="Garamond" w:hAnsi="Garamond"/>
        </w:rPr>
        <w:t xml:space="preserve">a </w:t>
      </w:r>
      <w:r w:rsidRPr="004A0C12">
        <w:rPr>
          <w:rFonts w:ascii="Garamond" w:hAnsi="Garamond"/>
        </w:rPr>
        <w:t xml:space="preserve">continuation of </w:t>
      </w:r>
      <w:r w:rsidR="00513D6C" w:rsidRPr="004A0C12">
        <w:rPr>
          <w:rFonts w:ascii="Garamond" w:hAnsi="Garamond"/>
        </w:rPr>
        <w:t xml:space="preserve">the </w:t>
      </w:r>
      <w:r w:rsidRPr="004A0C12">
        <w:rPr>
          <w:rFonts w:ascii="Garamond" w:hAnsi="Garamond"/>
        </w:rPr>
        <w:t xml:space="preserve">career pathways approach to workforce development. Youth who pursue an apprenticeship opportunity will be able to obtain on-the-job training in a high-demand career of their choice. The same is true for those adults who wish to begin a new career path. Currently, </w:t>
      </w:r>
      <w:r w:rsidR="00513D6C" w:rsidRPr="004A0C12">
        <w:rPr>
          <w:rFonts w:ascii="Garamond" w:hAnsi="Garamond"/>
        </w:rPr>
        <w:t xml:space="preserve">DLLR </w:t>
      </w:r>
      <w:r w:rsidRPr="004A0C12">
        <w:rPr>
          <w:rFonts w:ascii="Garamond" w:hAnsi="Garamond"/>
        </w:rPr>
        <w:t>has begun efforts to establish a cyber</w:t>
      </w:r>
      <w:r w:rsidR="003346DF" w:rsidRPr="004A0C12">
        <w:rPr>
          <w:rFonts w:ascii="Garamond" w:hAnsi="Garamond"/>
        </w:rPr>
        <w:t xml:space="preserve"> security</w:t>
      </w:r>
      <w:r w:rsidRPr="004A0C12">
        <w:rPr>
          <w:rFonts w:ascii="Garamond" w:hAnsi="Garamond"/>
        </w:rPr>
        <w:t xml:space="preserve"> apprenticeship in Maryland. Through working with and learning from Maryland’s business community and stakeholders, the Department determined that establishing a talent pipeline for this emerging industry is key to the growth of the cybersecurity and information technology fields in the State.  </w:t>
      </w:r>
    </w:p>
    <w:p w14:paraId="1A31AD9A" w14:textId="77777777" w:rsidR="00D94068" w:rsidRPr="004A0C12" w:rsidRDefault="00D94068" w:rsidP="008A605F">
      <w:pPr>
        <w:pStyle w:val="Heading2A"/>
        <w:contextualSpacing/>
        <w:jc w:val="both"/>
        <w:rPr>
          <w:rFonts w:ascii="Garamond" w:hAnsi="Garamond"/>
          <w:sz w:val="22"/>
          <w:szCs w:val="22"/>
        </w:rPr>
      </w:pPr>
    </w:p>
    <w:p w14:paraId="5833DA8D" w14:textId="44022B96" w:rsidR="00FF6C51" w:rsidRPr="004A0C12" w:rsidRDefault="00866B12" w:rsidP="0054168E">
      <w:pPr>
        <w:pStyle w:val="Heading2A"/>
        <w:contextualSpacing/>
        <w:jc w:val="both"/>
        <w:rPr>
          <w:rFonts w:ascii="Garamond" w:hAnsi="Garamond"/>
          <w:sz w:val="22"/>
          <w:szCs w:val="22"/>
        </w:rPr>
      </w:pPr>
      <w:bookmarkStart w:id="16" w:name="_Toc445839526"/>
      <w:bookmarkStart w:id="17" w:name="_Toc447215932"/>
      <w:bookmarkStart w:id="18" w:name="_Toc447276076"/>
      <w:r w:rsidRPr="004A0C12">
        <w:rPr>
          <w:rFonts w:ascii="Garamond" w:hAnsi="Garamond"/>
          <w:sz w:val="22"/>
          <w:szCs w:val="22"/>
        </w:rPr>
        <w:t>By aligning apprenticeships with the WIOA system, Maryland will ensure that traditional apprenticeship opportunities expand alongside the creation of new opportunities that are grounded in labor market demand.</w:t>
      </w:r>
      <w:bookmarkEnd w:id="16"/>
      <w:bookmarkEnd w:id="17"/>
      <w:bookmarkEnd w:id="18"/>
      <w:r w:rsidRPr="004A0C12">
        <w:rPr>
          <w:rFonts w:ascii="Garamond" w:hAnsi="Garamond"/>
          <w:sz w:val="22"/>
          <w:szCs w:val="22"/>
        </w:rPr>
        <w:t xml:space="preserve"> </w:t>
      </w:r>
    </w:p>
    <w:p w14:paraId="418D15CD" w14:textId="77777777" w:rsidR="0054168E" w:rsidRPr="004A0C12" w:rsidRDefault="0054168E" w:rsidP="002342A5">
      <w:pPr>
        <w:pStyle w:val="Heading2"/>
        <w:spacing w:before="0" w:line="240" w:lineRule="auto"/>
        <w:rPr>
          <w:rFonts w:ascii="Garamond" w:eastAsiaTheme="minorHAnsi" w:hAnsi="Garamond" w:cstheme="minorBidi"/>
          <w:b w:val="0"/>
          <w:bCs w:val="0"/>
          <w:color w:val="auto"/>
          <w:sz w:val="22"/>
          <w:szCs w:val="22"/>
        </w:rPr>
      </w:pPr>
    </w:p>
    <w:p w14:paraId="564198C3" w14:textId="2D8E5FF6" w:rsidR="005851EF" w:rsidRPr="005851EF" w:rsidRDefault="00FB0A8A" w:rsidP="005851EF">
      <w:pPr>
        <w:pStyle w:val="Heading2"/>
        <w:spacing w:before="0" w:line="240" w:lineRule="auto"/>
        <w:rPr>
          <w:rFonts w:ascii="Garamond" w:hAnsi="Garamond"/>
          <w:sz w:val="24"/>
          <w:szCs w:val="24"/>
        </w:rPr>
      </w:pPr>
      <w:bookmarkStart w:id="19" w:name="_Toc447276077"/>
      <w:r w:rsidRPr="005851EF">
        <w:rPr>
          <w:rFonts w:ascii="Garamond" w:hAnsi="Garamond"/>
          <w:sz w:val="24"/>
          <w:szCs w:val="24"/>
        </w:rPr>
        <w:t>The Path Forward</w:t>
      </w:r>
      <w:bookmarkEnd w:id="19"/>
      <w:r w:rsidRPr="005851EF">
        <w:rPr>
          <w:rFonts w:ascii="Garamond" w:hAnsi="Garamond"/>
          <w:sz w:val="24"/>
          <w:szCs w:val="24"/>
        </w:rPr>
        <w:t xml:space="preserve"> </w:t>
      </w:r>
    </w:p>
    <w:p w14:paraId="1D4D5A46" w14:textId="2397C4EB" w:rsidR="00D94068" w:rsidRPr="004A0C12" w:rsidRDefault="00FB0A8A" w:rsidP="00D94068">
      <w:pPr>
        <w:spacing w:after="0" w:line="240" w:lineRule="auto"/>
        <w:rPr>
          <w:rFonts w:ascii="Garamond" w:hAnsi="Garamond"/>
        </w:rPr>
      </w:pPr>
      <w:r w:rsidRPr="004A0C12">
        <w:rPr>
          <w:rFonts w:ascii="Garamond" w:hAnsi="Garamond"/>
        </w:rPr>
        <w:t xml:space="preserve">This new collaborative approach to the workforce system, while not easy, is a necessity for Maryland’s businesses and jobseekers. Thus, each decision regarding the workforce system must be centered on how the decision will affect </w:t>
      </w:r>
      <w:r w:rsidR="00513D6C" w:rsidRPr="004A0C12">
        <w:rPr>
          <w:rFonts w:ascii="Garamond" w:hAnsi="Garamond"/>
        </w:rPr>
        <w:t>these two groups</w:t>
      </w:r>
      <w:r w:rsidRPr="004A0C12">
        <w:rPr>
          <w:rFonts w:ascii="Garamond" w:hAnsi="Garamond"/>
        </w:rPr>
        <w:t xml:space="preserve">. </w:t>
      </w:r>
    </w:p>
    <w:p w14:paraId="3B8CE12F" w14:textId="77777777" w:rsidR="00D94068" w:rsidRPr="004A0C12" w:rsidRDefault="00D94068" w:rsidP="00D94068">
      <w:pPr>
        <w:spacing w:after="0" w:line="240" w:lineRule="auto"/>
        <w:rPr>
          <w:rFonts w:ascii="Garamond" w:hAnsi="Garamond"/>
        </w:rPr>
      </w:pPr>
    </w:p>
    <w:p w14:paraId="26A792EE" w14:textId="77777777" w:rsidR="00D94068" w:rsidRPr="004A0C12" w:rsidRDefault="00FB0A8A" w:rsidP="00D94068">
      <w:pPr>
        <w:spacing w:after="0" w:line="240" w:lineRule="auto"/>
        <w:rPr>
          <w:rFonts w:ascii="Garamond" w:hAnsi="Garamond"/>
        </w:rPr>
      </w:pPr>
      <w:r w:rsidRPr="004A0C12">
        <w:rPr>
          <w:rFonts w:ascii="Garamond" w:hAnsi="Garamond"/>
        </w:rPr>
        <w:t xml:space="preserve">To that end, the following is a list of goals to achieve this overall vision: </w:t>
      </w:r>
    </w:p>
    <w:p w14:paraId="05BC798C" w14:textId="77777777" w:rsidR="008A605F" w:rsidRPr="004A0C12" w:rsidRDefault="008A605F" w:rsidP="00D94068">
      <w:pPr>
        <w:spacing w:after="0" w:line="240" w:lineRule="auto"/>
        <w:rPr>
          <w:rFonts w:ascii="Garamond" w:hAnsi="Garamond"/>
        </w:rPr>
      </w:pPr>
    </w:p>
    <w:tbl>
      <w:tblPr>
        <w:tblStyle w:val="PlainTable11"/>
        <w:tblW w:w="11178" w:type="dxa"/>
        <w:tblLook w:val="04A0" w:firstRow="1" w:lastRow="0" w:firstColumn="1" w:lastColumn="0" w:noHBand="0" w:noVBand="1"/>
        <w:tblCaption w:val="Goals and Outcomes"/>
        <w:tblDescription w:val="The following are goals and outcomes for moving forward with WIOA implementation: &#10;&#10;Leverage existing resources and minimize costs&#10;&#10;Increase access to education, training, and key services for individuals with barriers to employment&#10;&#10;Improve customer intake processes via standardization to reduce the amount of time it takes for a customer to engage in services&#10;&#10;Increase focus on businesses and jobseekers as customers of the system&#10;&#10;Develop standards, policies, and procedures to ensure  the sustainability of these best practice efforts throughout the State&#10;"/>
      </w:tblPr>
      <w:tblGrid>
        <w:gridCol w:w="4428"/>
        <w:gridCol w:w="6750"/>
      </w:tblGrid>
      <w:tr w:rsidR="00FB0A8A" w:rsidRPr="004A0C12" w14:paraId="15EC62F1" w14:textId="77777777" w:rsidTr="00923B2F">
        <w:trPr>
          <w:cnfStyle w:val="100000000000" w:firstRow="1" w:lastRow="0" w:firstColumn="0" w:lastColumn="0" w:oddVBand="0" w:evenVBand="0" w:oddHBand="0" w:evenHBand="0" w:firstRowFirstColumn="0" w:firstRowLastColumn="0" w:lastRowFirstColumn="0" w:lastRowLastColumn="0"/>
          <w:trHeight w:val="484"/>
          <w:tblHeader/>
        </w:trPr>
        <w:tc>
          <w:tcPr>
            <w:cnfStyle w:val="001000000000" w:firstRow="0" w:lastRow="0" w:firstColumn="1" w:lastColumn="0" w:oddVBand="0" w:evenVBand="0" w:oddHBand="0" w:evenHBand="0" w:firstRowFirstColumn="0" w:firstRowLastColumn="0" w:lastRowFirstColumn="0" w:lastRowLastColumn="0"/>
            <w:tcW w:w="4428" w:type="dxa"/>
          </w:tcPr>
          <w:p w14:paraId="2A8FB578" w14:textId="77777777" w:rsidR="00FB0A8A" w:rsidRPr="004A0C12" w:rsidRDefault="00FB0A8A" w:rsidP="00D94068">
            <w:pPr>
              <w:jc w:val="center"/>
              <w:rPr>
                <w:rFonts w:ascii="Garamond" w:hAnsi="Garamond"/>
                <w:b w:val="0"/>
                <w:bCs w:val="0"/>
                <w:sz w:val="22"/>
                <w:szCs w:val="22"/>
              </w:rPr>
            </w:pPr>
            <w:r w:rsidRPr="004A0C12">
              <w:rPr>
                <w:rFonts w:ascii="Garamond" w:hAnsi="Garamond"/>
                <w:b w:val="0"/>
                <w:bCs w:val="0"/>
                <w:sz w:val="22"/>
                <w:szCs w:val="22"/>
              </w:rPr>
              <w:t>Goals &amp; Outcomes</w:t>
            </w:r>
          </w:p>
        </w:tc>
        <w:tc>
          <w:tcPr>
            <w:tcW w:w="6750" w:type="dxa"/>
          </w:tcPr>
          <w:p w14:paraId="66318C9D" w14:textId="77777777" w:rsidR="00FB0A8A" w:rsidRPr="004A0C12" w:rsidRDefault="00FB0A8A" w:rsidP="00D94068">
            <w:pPr>
              <w:jc w:val="center"/>
              <w:cnfStyle w:val="100000000000" w:firstRow="1" w:lastRow="0" w:firstColumn="0" w:lastColumn="0" w:oddVBand="0" w:evenVBand="0" w:oddHBand="0" w:evenHBand="0" w:firstRowFirstColumn="0" w:firstRowLastColumn="0" w:lastRowFirstColumn="0" w:lastRowLastColumn="0"/>
              <w:rPr>
                <w:rFonts w:ascii="Garamond" w:hAnsi="Garamond"/>
                <w:b w:val="0"/>
                <w:bCs w:val="0"/>
                <w:sz w:val="22"/>
                <w:szCs w:val="22"/>
              </w:rPr>
            </w:pPr>
            <w:r w:rsidRPr="004A0C12">
              <w:rPr>
                <w:rFonts w:ascii="Garamond" w:hAnsi="Garamond"/>
                <w:b w:val="0"/>
                <w:bCs w:val="0"/>
                <w:sz w:val="22"/>
                <w:szCs w:val="22"/>
              </w:rPr>
              <w:t>Strategies for Accomplishing the Goals &amp; Outcomes</w:t>
            </w:r>
          </w:p>
        </w:tc>
      </w:tr>
      <w:tr w:rsidR="00FB0A8A" w:rsidRPr="004A0C12" w14:paraId="7466CF8E" w14:textId="77777777" w:rsidTr="00AB4897">
        <w:trPr>
          <w:cnfStyle w:val="000000100000" w:firstRow="0" w:lastRow="0" w:firstColumn="0" w:lastColumn="0" w:oddVBand="0" w:evenVBand="0" w:oddHBand="1" w:evenHBand="0" w:firstRowFirstColumn="0" w:firstRowLastColumn="0" w:lastRowFirstColumn="0" w:lastRowLastColumn="0"/>
          <w:trHeight w:val="2401"/>
        </w:trPr>
        <w:tc>
          <w:tcPr>
            <w:cnfStyle w:val="001000000000" w:firstRow="0" w:lastRow="0" w:firstColumn="1" w:lastColumn="0" w:oddVBand="0" w:evenVBand="0" w:oddHBand="0" w:evenHBand="0" w:firstRowFirstColumn="0" w:firstRowLastColumn="0" w:lastRowFirstColumn="0" w:lastRowLastColumn="0"/>
            <w:tcW w:w="4428" w:type="dxa"/>
          </w:tcPr>
          <w:p w14:paraId="289C6D5A" w14:textId="77777777" w:rsidR="00FB0A8A" w:rsidRPr="004A0C12" w:rsidRDefault="00FB0A8A" w:rsidP="00D94068">
            <w:pPr>
              <w:rPr>
                <w:rFonts w:ascii="Garamond" w:hAnsi="Garamond"/>
                <w:b w:val="0"/>
                <w:bCs w:val="0"/>
                <w:sz w:val="22"/>
                <w:szCs w:val="22"/>
              </w:rPr>
            </w:pPr>
          </w:p>
          <w:p w14:paraId="141BD935" w14:textId="77777777" w:rsidR="00FB0A8A" w:rsidRPr="004A0C12" w:rsidRDefault="00FB0A8A" w:rsidP="00D94068">
            <w:pPr>
              <w:rPr>
                <w:rFonts w:ascii="Garamond" w:hAnsi="Garamond"/>
                <w:b w:val="0"/>
                <w:bCs w:val="0"/>
                <w:sz w:val="22"/>
                <w:szCs w:val="22"/>
              </w:rPr>
            </w:pPr>
          </w:p>
          <w:p w14:paraId="0B6892FC" w14:textId="77777777" w:rsidR="00FB0A8A" w:rsidRPr="004A0C12" w:rsidRDefault="00FB0A8A" w:rsidP="00D94068">
            <w:pPr>
              <w:rPr>
                <w:rFonts w:ascii="Garamond" w:hAnsi="Garamond"/>
                <w:b w:val="0"/>
                <w:bCs w:val="0"/>
                <w:sz w:val="22"/>
                <w:szCs w:val="22"/>
              </w:rPr>
            </w:pPr>
            <w:r w:rsidRPr="004A0C12">
              <w:rPr>
                <w:rFonts w:ascii="Garamond" w:hAnsi="Garamond"/>
                <w:b w:val="0"/>
                <w:bCs w:val="0"/>
                <w:sz w:val="22"/>
                <w:szCs w:val="22"/>
              </w:rPr>
              <w:t>Leverage existing resources and minimize costs</w:t>
            </w:r>
          </w:p>
        </w:tc>
        <w:tc>
          <w:tcPr>
            <w:tcW w:w="6750" w:type="dxa"/>
          </w:tcPr>
          <w:p w14:paraId="45DB8106" w14:textId="183347E7" w:rsidR="00FB0A8A" w:rsidRPr="004A0C12" w:rsidRDefault="00513D6C" w:rsidP="009204FA">
            <w:pPr>
              <w:numPr>
                <w:ilvl w:val="0"/>
                <w:numId w:val="32"/>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Integrating</w:t>
            </w:r>
            <w:r w:rsidR="00FB0A8A" w:rsidRPr="004A0C12">
              <w:rPr>
                <w:rFonts w:ascii="Garamond" w:hAnsi="Garamond"/>
                <w:sz w:val="22"/>
                <w:szCs w:val="22"/>
              </w:rPr>
              <w:t xml:space="preserve"> of technology and data sharing between WIOA partners</w:t>
            </w:r>
          </w:p>
          <w:p w14:paraId="10F194DB" w14:textId="77777777" w:rsidR="00FB0A8A" w:rsidRPr="004A0C12" w:rsidRDefault="00FB0A8A" w:rsidP="009204FA">
            <w:pPr>
              <w:numPr>
                <w:ilvl w:val="0"/>
                <w:numId w:val="32"/>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Enhancing functionality of the Maryland Workforce Exchange</w:t>
            </w:r>
          </w:p>
          <w:p w14:paraId="1EE84896" w14:textId="6E08C110" w:rsidR="00FB0A8A" w:rsidRPr="004A0C12" w:rsidRDefault="00FB0A8A" w:rsidP="009204FA">
            <w:pPr>
              <w:numPr>
                <w:ilvl w:val="0"/>
                <w:numId w:val="32"/>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Streamli</w:t>
            </w:r>
            <w:r w:rsidR="00513D6C" w:rsidRPr="004A0C12">
              <w:rPr>
                <w:rFonts w:ascii="Garamond" w:hAnsi="Garamond"/>
                <w:sz w:val="22"/>
                <w:szCs w:val="22"/>
              </w:rPr>
              <w:t>ning</w:t>
            </w:r>
            <w:r w:rsidR="00AE4841" w:rsidRPr="004A0C12">
              <w:rPr>
                <w:rFonts w:ascii="Garamond" w:hAnsi="Garamond"/>
                <w:sz w:val="22"/>
                <w:szCs w:val="22"/>
              </w:rPr>
              <w:t xml:space="preserve"> service delivery from WIOA P</w:t>
            </w:r>
            <w:r w:rsidR="00513D6C" w:rsidRPr="004A0C12">
              <w:rPr>
                <w:rFonts w:ascii="Garamond" w:hAnsi="Garamond"/>
                <w:sz w:val="22"/>
                <w:szCs w:val="22"/>
              </w:rPr>
              <w:t>artners</w:t>
            </w:r>
          </w:p>
          <w:p w14:paraId="503570B7" w14:textId="77777777" w:rsidR="00FB0A8A" w:rsidRPr="004A0C12" w:rsidRDefault="00FB0A8A" w:rsidP="009204FA">
            <w:pPr>
              <w:numPr>
                <w:ilvl w:val="0"/>
                <w:numId w:val="32"/>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Using a “systems approach,” where partner strengths are relied on and maximized</w:t>
            </w:r>
          </w:p>
          <w:p w14:paraId="2D320E99" w14:textId="64FAF6D4" w:rsidR="00FB0A8A" w:rsidRPr="004A0C12" w:rsidRDefault="00513D6C" w:rsidP="00513D6C">
            <w:pPr>
              <w:numPr>
                <w:ilvl w:val="0"/>
                <w:numId w:val="32"/>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Reducing</w:t>
            </w:r>
            <w:r w:rsidR="00FB0A8A" w:rsidRPr="004A0C12">
              <w:rPr>
                <w:rFonts w:ascii="Garamond" w:hAnsi="Garamond"/>
                <w:sz w:val="22"/>
                <w:szCs w:val="22"/>
              </w:rPr>
              <w:t xml:space="preserve"> staff costs </w:t>
            </w:r>
            <w:r w:rsidRPr="004A0C12">
              <w:rPr>
                <w:rFonts w:ascii="Garamond" w:hAnsi="Garamond"/>
                <w:sz w:val="22"/>
                <w:szCs w:val="22"/>
              </w:rPr>
              <w:t xml:space="preserve">as a result of </w:t>
            </w:r>
            <w:r w:rsidR="00FB0A8A" w:rsidRPr="004A0C12">
              <w:rPr>
                <w:rFonts w:ascii="Garamond" w:hAnsi="Garamond"/>
                <w:sz w:val="22"/>
                <w:szCs w:val="22"/>
              </w:rPr>
              <w:t>improved customer flow and access</w:t>
            </w:r>
          </w:p>
        </w:tc>
      </w:tr>
      <w:tr w:rsidR="00FB0A8A" w:rsidRPr="004A0C12" w14:paraId="2F6333CC" w14:textId="77777777" w:rsidTr="00AB4897">
        <w:tc>
          <w:tcPr>
            <w:cnfStyle w:val="001000000000" w:firstRow="0" w:lastRow="0" w:firstColumn="1" w:lastColumn="0" w:oddVBand="0" w:evenVBand="0" w:oddHBand="0" w:evenHBand="0" w:firstRowFirstColumn="0" w:firstRowLastColumn="0" w:lastRowFirstColumn="0" w:lastRowLastColumn="0"/>
            <w:tcW w:w="4428" w:type="dxa"/>
          </w:tcPr>
          <w:p w14:paraId="273581D5" w14:textId="77777777" w:rsidR="00FB0A8A" w:rsidRPr="004A0C12" w:rsidRDefault="00FB0A8A" w:rsidP="00D94068">
            <w:pPr>
              <w:rPr>
                <w:rFonts w:ascii="Garamond" w:hAnsi="Garamond"/>
                <w:b w:val="0"/>
                <w:bCs w:val="0"/>
                <w:sz w:val="22"/>
                <w:szCs w:val="22"/>
              </w:rPr>
            </w:pPr>
          </w:p>
          <w:p w14:paraId="4AC29CF9" w14:textId="77777777" w:rsidR="00FB0A8A" w:rsidRPr="004A0C12" w:rsidRDefault="00FB0A8A" w:rsidP="00D94068">
            <w:pPr>
              <w:rPr>
                <w:rFonts w:ascii="Garamond" w:hAnsi="Garamond"/>
                <w:b w:val="0"/>
                <w:bCs w:val="0"/>
                <w:sz w:val="22"/>
                <w:szCs w:val="22"/>
              </w:rPr>
            </w:pPr>
          </w:p>
          <w:p w14:paraId="270CD912" w14:textId="77777777" w:rsidR="00FB0A8A" w:rsidRPr="004A0C12" w:rsidRDefault="00FB0A8A" w:rsidP="00D94068">
            <w:pPr>
              <w:rPr>
                <w:rFonts w:ascii="Garamond" w:hAnsi="Garamond"/>
                <w:b w:val="0"/>
                <w:bCs w:val="0"/>
                <w:sz w:val="22"/>
                <w:szCs w:val="22"/>
              </w:rPr>
            </w:pPr>
            <w:r w:rsidRPr="004A0C12">
              <w:rPr>
                <w:rFonts w:ascii="Garamond" w:hAnsi="Garamond"/>
                <w:b w:val="0"/>
                <w:bCs w:val="0"/>
                <w:sz w:val="22"/>
                <w:szCs w:val="22"/>
              </w:rPr>
              <w:t>Increase access to education, training, and key services for individuals with barriers to employment</w:t>
            </w:r>
          </w:p>
        </w:tc>
        <w:tc>
          <w:tcPr>
            <w:tcW w:w="6750" w:type="dxa"/>
          </w:tcPr>
          <w:p w14:paraId="32F04E7F" w14:textId="00E5FCCC" w:rsidR="00FB0A8A" w:rsidRPr="004A0C12" w:rsidRDefault="00513D6C" w:rsidP="009204FA">
            <w:pPr>
              <w:numPr>
                <w:ilvl w:val="0"/>
                <w:numId w:val="33"/>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Integrating</w:t>
            </w:r>
            <w:r w:rsidR="00FB0A8A" w:rsidRPr="004A0C12">
              <w:rPr>
                <w:rFonts w:ascii="Garamond" w:hAnsi="Garamond"/>
                <w:sz w:val="22"/>
                <w:szCs w:val="22"/>
              </w:rPr>
              <w:t xml:space="preserve"> of career pathway models in competitive grant applications</w:t>
            </w:r>
          </w:p>
          <w:p w14:paraId="7CD054E3" w14:textId="121FBE7B" w:rsidR="00CD0CEB" w:rsidRPr="004A0C12" w:rsidRDefault="00CD0CEB" w:rsidP="009204FA">
            <w:pPr>
              <w:numPr>
                <w:ilvl w:val="0"/>
                <w:numId w:val="33"/>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Expand</w:t>
            </w:r>
            <w:r w:rsidR="00513D6C" w:rsidRPr="004A0C12">
              <w:rPr>
                <w:rFonts w:ascii="Garamond" w:hAnsi="Garamond"/>
                <w:sz w:val="22"/>
                <w:szCs w:val="22"/>
              </w:rPr>
              <w:t>ing</w:t>
            </w:r>
            <w:r w:rsidRPr="004A0C12">
              <w:rPr>
                <w:rFonts w:ascii="Garamond" w:hAnsi="Garamond"/>
                <w:sz w:val="22"/>
                <w:szCs w:val="22"/>
              </w:rPr>
              <w:t xml:space="preserve"> collaborative efforts to provide robust supportive services to customers</w:t>
            </w:r>
          </w:p>
          <w:p w14:paraId="48003880" w14:textId="31B802B8" w:rsidR="00FB0A8A" w:rsidRPr="004A0C12" w:rsidRDefault="00FB0A8A" w:rsidP="009204FA">
            <w:pPr>
              <w:numPr>
                <w:ilvl w:val="0"/>
                <w:numId w:val="33"/>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Strengthen</w:t>
            </w:r>
            <w:r w:rsidR="00513D6C" w:rsidRPr="004A0C12">
              <w:rPr>
                <w:rFonts w:ascii="Garamond" w:hAnsi="Garamond"/>
                <w:sz w:val="22"/>
                <w:szCs w:val="22"/>
              </w:rPr>
              <w:t>ing</w:t>
            </w:r>
            <w:r w:rsidRPr="004A0C12">
              <w:rPr>
                <w:rFonts w:ascii="Garamond" w:hAnsi="Garamond"/>
                <w:sz w:val="22"/>
                <w:szCs w:val="22"/>
              </w:rPr>
              <w:t xml:space="preserve"> input of customers (jobseekers an</w:t>
            </w:r>
            <w:r w:rsidR="00513D6C" w:rsidRPr="004A0C12">
              <w:rPr>
                <w:rFonts w:ascii="Garamond" w:hAnsi="Garamond"/>
                <w:sz w:val="22"/>
                <w:szCs w:val="22"/>
              </w:rPr>
              <w:t>d business) through implementation of</w:t>
            </w:r>
            <w:r w:rsidRPr="004A0C12">
              <w:rPr>
                <w:rFonts w:ascii="Garamond" w:hAnsi="Garamond"/>
                <w:sz w:val="22"/>
                <w:szCs w:val="22"/>
              </w:rPr>
              <w:t xml:space="preserve"> continuous improvement plans for service </w:t>
            </w:r>
            <w:proofErr w:type="gramStart"/>
            <w:r w:rsidRPr="004A0C12">
              <w:rPr>
                <w:rFonts w:ascii="Garamond" w:hAnsi="Garamond"/>
                <w:sz w:val="22"/>
                <w:szCs w:val="22"/>
              </w:rPr>
              <w:t>delivery that involve</w:t>
            </w:r>
            <w:proofErr w:type="gramEnd"/>
            <w:r w:rsidRPr="004A0C12">
              <w:rPr>
                <w:rFonts w:ascii="Garamond" w:hAnsi="Garamond"/>
                <w:sz w:val="22"/>
                <w:szCs w:val="22"/>
              </w:rPr>
              <w:t xml:space="preserve"> customer satisfaction surveys,</w:t>
            </w:r>
            <w:r w:rsidR="00CD0CEB" w:rsidRPr="004A0C12">
              <w:rPr>
                <w:rFonts w:ascii="Garamond" w:hAnsi="Garamond"/>
                <w:sz w:val="22"/>
                <w:szCs w:val="22"/>
              </w:rPr>
              <w:t xml:space="preserve"> focus groups,</w:t>
            </w:r>
            <w:r w:rsidRPr="004A0C12">
              <w:rPr>
                <w:rFonts w:ascii="Garamond" w:hAnsi="Garamond"/>
                <w:sz w:val="22"/>
                <w:szCs w:val="22"/>
              </w:rPr>
              <w:t xml:space="preserve"> etc. </w:t>
            </w:r>
          </w:p>
          <w:p w14:paraId="4B846296" w14:textId="4C652B38" w:rsidR="00FB0A8A" w:rsidRPr="004A0C12" w:rsidRDefault="00513D6C" w:rsidP="009204FA">
            <w:pPr>
              <w:numPr>
                <w:ilvl w:val="0"/>
                <w:numId w:val="33"/>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Providing</w:t>
            </w:r>
            <w:r w:rsidR="00FB0A8A" w:rsidRPr="004A0C12">
              <w:rPr>
                <w:rFonts w:ascii="Garamond" w:hAnsi="Garamond"/>
                <w:sz w:val="22"/>
                <w:szCs w:val="22"/>
              </w:rPr>
              <w:t xml:space="preserve"> technical assistance and best practice resources</w:t>
            </w:r>
          </w:p>
          <w:p w14:paraId="30C6F766" w14:textId="571124C0" w:rsidR="00FB0A8A" w:rsidRPr="004A0C12" w:rsidRDefault="00513D6C" w:rsidP="009204FA">
            <w:pPr>
              <w:numPr>
                <w:ilvl w:val="0"/>
                <w:numId w:val="33"/>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Negotiating</w:t>
            </w:r>
            <w:r w:rsidR="00FB0A8A" w:rsidRPr="004A0C12">
              <w:rPr>
                <w:rFonts w:ascii="Garamond" w:hAnsi="Garamond"/>
                <w:sz w:val="22"/>
                <w:szCs w:val="22"/>
              </w:rPr>
              <w:t xml:space="preserve"> local performance measures utilizing regression models </w:t>
            </w:r>
          </w:p>
          <w:p w14:paraId="5C0DD4E7" w14:textId="77777777" w:rsidR="00FB0A8A" w:rsidRPr="004A0C12" w:rsidRDefault="00FB0A8A" w:rsidP="009204FA">
            <w:pPr>
              <w:numPr>
                <w:ilvl w:val="0"/>
                <w:numId w:val="33"/>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Expanding apprenticeship opportunities in high-demand industries</w:t>
            </w:r>
          </w:p>
          <w:p w14:paraId="19AD7B63" w14:textId="77777777" w:rsidR="00FB0A8A" w:rsidRPr="004A0C12" w:rsidRDefault="00FB0A8A" w:rsidP="009204FA">
            <w:pPr>
              <w:numPr>
                <w:ilvl w:val="0"/>
                <w:numId w:val="33"/>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Ensuring the State has a robust Eligible Training Provider List</w:t>
            </w:r>
          </w:p>
        </w:tc>
      </w:tr>
      <w:tr w:rsidR="00FB0A8A" w:rsidRPr="004A0C12" w14:paraId="7F32CC70" w14:textId="77777777" w:rsidTr="00AB48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14:paraId="0BC6E0BF" w14:textId="77777777" w:rsidR="00FB0A8A" w:rsidRPr="004A0C12" w:rsidRDefault="00FB0A8A" w:rsidP="00D94068">
            <w:pPr>
              <w:rPr>
                <w:rFonts w:ascii="Garamond" w:hAnsi="Garamond"/>
                <w:b w:val="0"/>
                <w:bCs w:val="0"/>
                <w:sz w:val="22"/>
                <w:szCs w:val="22"/>
              </w:rPr>
            </w:pPr>
          </w:p>
          <w:p w14:paraId="67A8A560" w14:textId="77777777" w:rsidR="00FB0A8A" w:rsidRPr="004A0C12" w:rsidRDefault="00FB0A8A" w:rsidP="00D94068">
            <w:pPr>
              <w:rPr>
                <w:rFonts w:ascii="Garamond" w:hAnsi="Garamond"/>
                <w:b w:val="0"/>
                <w:bCs w:val="0"/>
                <w:sz w:val="22"/>
                <w:szCs w:val="22"/>
              </w:rPr>
            </w:pPr>
            <w:r w:rsidRPr="004A0C12">
              <w:rPr>
                <w:rFonts w:ascii="Garamond" w:hAnsi="Garamond"/>
                <w:b w:val="0"/>
                <w:bCs w:val="0"/>
                <w:sz w:val="22"/>
                <w:szCs w:val="22"/>
              </w:rPr>
              <w:t>Improve customer intake processes via standardization to reduce the amount of time it takes for a customer to engage in services</w:t>
            </w:r>
          </w:p>
        </w:tc>
        <w:tc>
          <w:tcPr>
            <w:tcW w:w="6750" w:type="dxa"/>
          </w:tcPr>
          <w:p w14:paraId="4BDD313C" w14:textId="746EA1C2" w:rsidR="00FB0A8A" w:rsidRPr="004A0C12" w:rsidRDefault="00513D6C" w:rsidP="009204FA">
            <w:pPr>
              <w:numPr>
                <w:ilvl w:val="0"/>
                <w:numId w:val="33"/>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Creating</w:t>
            </w:r>
            <w:r w:rsidR="00FB0A8A" w:rsidRPr="004A0C12">
              <w:rPr>
                <w:rFonts w:ascii="Garamond" w:hAnsi="Garamond"/>
                <w:sz w:val="22"/>
                <w:szCs w:val="22"/>
              </w:rPr>
              <w:t xml:space="preserve"> of metrics, process maps, and models</w:t>
            </w:r>
          </w:p>
          <w:p w14:paraId="7FB6B112" w14:textId="77777777" w:rsidR="00FB0A8A" w:rsidRPr="004A0C12" w:rsidRDefault="00FB0A8A" w:rsidP="009204FA">
            <w:pPr>
              <w:numPr>
                <w:ilvl w:val="0"/>
                <w:numId w:val="33"/>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Implementation of universal design practices</w:t>
            </w:r>
          </w:p>
          <w:p w14:paraId="1EB3FD6C" w14:textId="77777777" w:rsidR="00FB0A8A" w:rsidRPr="004A0C12" w:rsidRDefault="00FB0A8A" w:rsidP="009204FA">
            <w:pPr>
              <w:numPr>
                <w:ilvl w:val="0"/>
                <w:numId w:val="33"/>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Implementation of enhanced technologies that increase data sharing and access</w:t>
            </w:r>
          </w:p>
          <w:p w14:paraId="5C8A3B54" w14:textId="55CCC78B" w:rsidR="00FB0A8A" w:rsidRPr="004A0C12" w:rsidRDefault="00FB0A8A" w:rsidP="009204FA">
            <w:pPr>
              <w:numPr>
                <w:ilvl w:val="0"/>
                <w:numId w:val="33"/>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Readily identifying and proactively engaging unemplo</w:t>
            </w:r>
            <w:r w:rsidR="00513D6C" w:rsidRPr="004A0C12">
              <w:rPr>
                <w:rFonts w:ascii="Garamond" w:hAnsi="Garamond"/>
                <w:sz w:val="22"/>
                <w:szCs w:val="22"/>
              </w:rPr>
              <w:t>yed individuals in intensive re</w:t>
            </w:r>
            <w:r w:rsidRPr="004A0C12">
              <w:rPr>
                <w:rFonts w:ascii="Garamond" w:hAnsi="Garamond"/>
                <w:sz w:val="22"/>
                <w:szCs w:val="22"/>
              </w:rPr>
              <w:t>employment strategies soon after job loss</w:t>
            </w:r>
          </w:p>
          <w:p w14:paraId="7A0DD1B3" w14:textId="77777777" w:rsidR="0054168E" w:rsidRPr="004A0C12" w:rsidRDefault="0054168E" w:rsidP="0054168E">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r>
      <w:tr w:rsidR="00FB0A8A" w:rsidRPr="004A0C12" w14:paraId="5A468B50" w14:textId="77777777" w:rsidTr="00AB4897">
        <w:tc>
          <w:tcPr>
            <w:cnfStyle w:val="001000000000" w:firstRow="0" w:lastRow="0" w:firstColumn="1" w:lastColumn="0" w:oddVBand="0" w:evenVBand="0" w:oddHBand="0" w:evenHBand="0" w:firstRowFirstColumn="0" w:firstRowLastColumn="0" w:lastRowFirstColumn="0" w:lastRowLastColumn="0"/>
            <w:tcW w:w="4428" w:type="dxa"/>
          </w:tcPr>
          <w:p w14:paraId="5AD9F42D" w14:textId="77777777" w:rsidR="00FB0A8A" w:rsidRPr="004A0C12" w:rsidRDefault="00FB0A8A" w:rsidP="00D94068">
            <w:pPr>
              <w:rPr>
                <w:rFonts w:ascii="Garamond" w:hAnsi="Garamond"/>
                <w:b w:val="0"/>
                <w:bCs w:val="0"/>
                <w:sz w:val="22"/>
                <w:szCs w:val="22"/>
              </w:rPr>
            </w:pPr>
          </w:p>
          <w:p w14:paraId="76793630" w14:textId="77777777" w:rsidR="00FB0A8A" w:rsidRPr="004A0C12" w:rsidRDefault="00FB0A8A" w:rsidP="00D94068">
            <w:pPr>
              <w:rPr>
                <w:rFonts w:ascii="Garamond" w:hAnsi="Garamond"/>
                <w:b w:val="0"/>
                <w:bCs w:val="0"/>
                <w:sz w:val="22"/>
                <w:szCs w:val="22"/>
              </w:rPr>
            </w:pPr>
          </w:p>
          <w:p w14:paraId="2320D975" w14:textId="77777777" w:rsidR="00FB0A8A" w:rsidRPr="004A0C12" w:rsidRDefault="00FB0A8A" w:rsidP="00D94068">
            <w:pPr>
              <w:rPr>
                <w:rFonts w:ascii="Garamond" w:hAnsi="Garamond"/>
                <w:b w:val="0"/>
                <w:bCs w:val="0"/>
                <w:sz w:val="22"/>
                <w:szCs w:val="22"/>
              </w:rPr>
            </w:pPr>
            <w:r w:rsidRPr="004A0C12">
              <w:rPr>
                <w:rFonts w:ascii="Garamond" w:hAnsi="Garamond"/>
                <w:b w:val="0"/>
                <w:bCs w:val="0"/>
                <w:sz w:val="22"/>
                <w:szCs w:val="22"/>
              </w:rPr>
              <w:t>Increase focus on businesses and jobseekers as customers of the system</w:t>
            </w:r>
          </w:p>
        </w:tc>
        <w:tc>
          <w:tcPr>
            <w:tcW w:w="6750" w:type="dxa"/>
          </w:tcPr>
          <w:p w14:paraId="3E432775" w14:textId="269AD6DD" w:rsidR="00FB0A8A" w:rsidRPr="004A0C12" w:rsidRDefault="00513D6C" w:rsidP="009204FA">
            <w:pPr>
              <w:numPr>
                <w:ilvl w:val="0"/>
                <w:numId w:val="34"/>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Enhancing</w:t>
            </w:r>
            <w:r w:rsidR="00FB0A8A" w:rsidRPr="004A0C12">
              <w:rPr>
                <w:rFonts w:ascii="Garamond" w:hAnsi="Garamond"/>
                <w:sz w:val="22"/>
                <w:szCs w:val="22"/>
              </w:rPr>
              <w:t xml:space="preserve"> business engagement through the development of comprehensive business services teams and strategies which align businesses, trade associations, trade unions, chambers, community colleges, and o</w:t>
            </w:r>
            <w:r w:rsidRPr="004A0C12">
              <w:rPr>
                <w:rFonts w:ascii="Garamond" w:hAnsi="Garamond"/>
                <w:sz w:val="22"/>
                <w:szCs w:val="22"/>
              </w:rPr>
              <w:t>ther community-</w:t>
            </w:r>
            <w:r w:rsidR="00FB0A8A" w:rsidRPr="004A0C12">
              <w:rPr>
                <w:rFonts w:ascii="Garamond" w:hAnsi="Garamond"/>
                <w:sz w:val="22"/>
                <w:szCs w:val="22"/>
              </w:rPr>
              <w:t>based organizations with resources dedicated to business outreach</w:t>
            </w:r>
          </w:p>
          <w:p w14:paraId="314D980F" w14:textId="75FF0037" w:rsidR="00FB0A8A" w:rsidRPr="004A0C12" w:rsidRDefault="00513D6C" w:rsidP="009204FA">
            <w:pPr>
              <w:numPr>
                <w:ilvl w:val="0"/>
                <w:numId w:val="34"/>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Creating</w:t>
            </w:r>
            <w:r w:rsidR="00FB0A8A" w:rsidRPr="004A0C12">
              <w:rPr>
                <w:rFonts w:ascii="Garamond" w:hAnsi="Garamond"/>
                <w:sz w:val="22"/>
                <w:szCs w:val="22"/>
              </w:rPr>
              <w:t xml:space="preserve"> of regional business service units working with business, as well as Rapid Response teams, to engage jobseekers early and to identify skills for other business partners</w:t>
            </w:r>
          </w:p>
          <w:p w14:paraId="08CF4827" w14:textId="3E2C1229" w:rsidR="00FB0A8A" w:rsidRPr="004A0C12" w:rsidRDefault="00513D6C" w:rsidP="009204FA">
            <w:pPr>
              <w:numPr>
                <w:ilvl w:val="0"/>
                <w:numId w:val="34"/>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Aligning</w:t>
            </w:r>
            <w:r w:rsidR="00FB0A8A" w:rsidRPr="004A0C12">
              <w:rPr>
                <w:rFonts w:ascii="Garamond" w:hAnsi="Garamond"/>
                <w:sz w:val="22"/>
                <w:szCs w:val="22"/>
              </w:rPr>
              <w:t xml:space="preserve"> of apprenticeship opportunities with workforce development</w:t>
            </w:r>
          </w:p>
          <w:p w14:paraId="130FA556" w14:textId="5CACF30F" w:rsidR="00FB0A8A" w:rsidRPr="004A0C12" w:rsidRDefault="00513D6C" w:rsidP="009204FA">
            <w:pPr>
              <w:numPr>
                <w:ilvl w:val="0"/>
                <w:numId w:val="34"/>
              </w:num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Expanding</w:t>
            </w:r>
            <w:r w:rsidR="00FB0A8A" w:rsidRPr="004A0C12">
              <w:rPr>
                <w:rFonts w:ascii="Garamond" w:hAnsi="Garamond"/>
                <w:sz w:val="22"/>
                <w:szCs w:val="22"/>
              </w:rPr>
              <w:t xml:space="preserve"> of industry-driven models, like EARN</w:t>
            </w:r>
          </w:p>
        </w:tc>
      </w:tr>
      <w:tr w:rsidR="00FB0A8A" w:rsidRPr="004A0C12" w14:paraId="73423BF3" w14:textId="77777777" w:rsidTr="00AB48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14:paraId="5F5B694E" w14:textId="77777777" w:rsidR="00FB0A8A" w:rsidRPr="004A0C12" w:rsidRDefault="00FB0A8A" w:rsidP="00D94068">
            <w:pPr>
              <w:rPr>
                <w:rFonts w:ascii="Garamond" w:hAnsi="Garamond"/>
                <w:b w:val="0"/>
                <w:bCs w:val="0"/>
                <w:sz w:val="22"/>
                <w:szCs w:val="22"/>
              </w:rPr>
            </w:pPr>
          </w:p>
          <w:p w14:paraId="50E3CF18" w14:textId="77777777" w:rsidR="00FB0A8A" w:rsidRPr="004A0C12" w:rsidRDefault="00FB0A8A" w:rsidP="00D94068">
            <w:pPr>
              <w:rPr>
                <w:rFonts w:ascii="Garamond" w:hAnsi="Garamond"/>
                <w:b w:val="0"/>
                <w:bCs w:val="0"/>
                <w:sz w:val="22"/>
                <w:szCs w:val="22"/>
              </w:rPr>
            </w:pPr>
          </w:p>
          <w:p w14:paraId="4E8CABED" w14:textId="77777777" w:rsidR="00FB0A8A" w:rsidRPr="004A0C12" w:rsidRDefault="00FB0A8A" w:rsidP="00D94068">
            <w:pPr>
              <w:rPr>
                <w:rFonts w:ascii="Garamond" w:hAnsi="Garamond"/>
                <w:b w:val="0"/>
                <w:bCs w:val="0"/>
                <w:sz w:val="22"/>
                <w:szCs w:val="22"/>
              </w:rPr>
            </w:pPr>
            <w:r w:rsidRPr="004A0C12">
              <w:rPr>
                <w:rFonts w:ascii="Garamond" w:hAnsi="Garamond"/>
                <w:b w:val="0"/>
                <w:bCs w:val="0"/>
                <w:sz w:val="22"/>
                <w:szCs w:val="22"/>
              </w:rPr>
              <w:t>Develop standards, policies, and procedures to ensure  the sustainability of these best practice efforts throughout the State</w:t>
            </w:r>
          </w:p>
        </w:tc>
        <w:tc>
          <w:tcPr>
            <w:tcW w:w="6750" w:type="dxa"/>
          </w:tcPr>
          <w:p w14:paraId="05AC85A2" w14:textId="37465291" w:rsidR="00FB0A8A" w:rsidRPr="004A0C12" w:rsidRDefault="00FB0A8A" w:rsidP="009204FA">
            <w:pPr>
              <w:numPr>
                <w:ilvl w:val="0"/>
                <w:numId w:val="35"/>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lastRenderedPageBreak/>
              <w:t>Consistent and regu</w:t>
            </w:r>
            <w:r w:rsidR="007056D8" w:rsidRPr="004A0C12">
              <w:rPr>
                <w:rFonts w:ascii="Garamond" w:hAnsi="Garamond"/>
                <w:sz w:val="22"/>
                <w:szCs w:val="22"/>
              </w:rPr>
              <w:t>lar communication between WIOA P</w:t>
            </w:r>
            <w:r w:rsidRPr="004A0C12">
              <w:rPr>
                <w:rFonts w:ascii="Garamond" w:hAnsi="Garamond"/>
                <w:sz w:val="22"/>
                <w:szCs w:val="22"/>
              </w:rPr>
              <w:t xml:space="preserve">artners at </w:t>
            </w:r>
            <w:r w:rsidRPr="004A0C12">
              <w:rPr>
                <w:rFonts w:ascii="Garamond" w:hAnsi="Garamond"/>
                <w:sz w:val="22"/>
                <w:szCs w:val="22"/>
              </w:rPr>
              <w:lastRenderedPageBreak/>
              <w:t>leadership and service delivery levels</w:t>
            </w:r>
          </w:p>
          <w:p w14:paraId="468F45DC" w14:textId="77777777" w:rsidR="00FB0A8A" w:rsidRPr="004A0C12" w:rsidRDefault="00FB0A8A" w:rsidP="009204FA">
            <w:pPr>
              <w:numPr>
                <w:ilvl w:val="0"/>
                <w:numId w:val="35"/>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Increase collaboration between State agencies to determine best practices for service delivery</w:t>
            </w:r>
          </w:p>
          <w:p w14:paraId="0177D0A2" w14:textId="77777777" w:rsidR="00FB0A8A" w:rsidRPr="004A0C12" w:rsidRDefault="00FB0A8A" w:rsidP="009204FA">
            <w:pPr>
              <w:numPr>
                <w:ilvl w:val="0"/>
                <w:numId w:val="35"/>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Reliance on subject matter experts throughout the WIOA system when developing policies and procedures</w:t>
            </w:r>
          </w:p>
          <w:p w14:paraId="6C8B83CE" w14:textId="77777777" w:rsidR="00FB0A8A" w:rsidRPr="004A0C12" w:rsidRDefault="00FB0A8A" w:rsidP="009204FA">
            <w:pPr>
              <w:numPr>
                <w:ilvl w:val="0"/>
                <w:numId w:val="35"/>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Soliciting input from WIOA system experts when creating State legislative agendas</w:t>
            </w:r>
          </w:p>
          <w:p w14:paraId="3F4C7571" w14:textId="6E4C49C6" w:rsidR="00FB0A8A" w:rsidRPr="004A0C12" w:rsidRDefault="00FB0A8A" w:rsidP="009204FA">
            <w:pPr>
              <w:numPr>
                <w:ilvl w:val="0"/>
                <w:numId w:val="35"/>
              </w:num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Provide technical assista</w:t>
            </w:r>
            <w:r w:rsidR="00BB5F3C" w:rsidRPr="004A0C12">
              <w:rPr>
                <w:rFonts w:ascii="Garamond" w:hAnsi="Garamond"/>
                <w:sz w:val="22"/>
                <w:szCs w:val="22"/>
              </w:rPr>
              <w:t>nce and financial incentive to Local A</w:t>
            </w:r>
            <w:r w:rsidRPr="004A0C12">
              <w:rPr>
                <w:rFonts w:ascii="Garamond" w:hAnsi="Garamond"/>
                <w:sz w:val="22"/>
                <w:szCs w:val="22"/>
              </w:rPr>
              <w:t>reas meeting standards of excellence</w:t>
            </w:r>
          </w:p>
        </w:tc>
      </w:tr>
    </w:tbl>
    <w:p w14:paraId="300C51DD" w14:textId="77777777" w:rsidR="001C1EC7" w:rsidRDefault="001C1EC7" w:rsidP="00C55E56">
      <w:pPr>
        <w:spacing w:after="100" w:line="240" w:lineRule="auto"/>
        <w:rPr>
          <w:rFonts w:ascii="Garamond" w:eastAsia="Times New Roman" w:hAnsi="Garamond" w:cs="Times New Roman"/>
          <w:color w:val="000000"/>
        </w:rPr>
      </w:pPr>
    </w:p>
    <w:p w14:paraId="56DE89B0" w14:textId="77777777" w:rsidR="00C55E56" w:rsidRDefault="00C55E56" w:rsidP="00C55E56">
      <w:pPr>
        <w:spacing w:after="100" w:line="240" w:lineRule="auto"/>
        <w:rPr>
          <w:rFonts w:ascii="Garamond" w:eastAsia="Times New Roman" w:hAnsi="Garamond" w:cs="Times New Roman"/>
          <w:color w:val="000000"/>
        </w:rPr>
      </w:pPr>
      <w:r w:rsidRPr="004A0C12">
        <w:rPr>
          <w:rFonts w:ascii="Garamond" w:eastAsia="Times New Roman" w:hAnsi="Garamond" w:cs="Times New Roman"/>
          <w:color w:val="000000"/>
        </w:rPr>
        <w:t>As Maryland has treated the enactment of the Workforce Innovation and Opportunity Act as a way to critically analyze and ultimately “reset” the workforce system, the enactment of the federal act is also an opportunity to “reset” the performance standards that were negotiated under the Workforce Investment Act. Over the next two years, Maryland’s workforce system and its partner agencies are dedicated to establishing a baseline measure as they serve an increased number of customers entering the workforce system that were not served under previous models. In doing so, Maryland is reforming the operations of the workforce system and is truly placing people before performance measures.</w:t>
      </w:r>
    </w:p>
    <w:p w14:paraId="39B3568E" w14:textId="77777777" w:rsidR="001C1EC7" w:rsidRDefault="001C1EC7" w:rsidP="00223A24">
      <w:pPr>
        <w:pStyle w:val="Heading2"/>
        <w:spacing w:before="0" w:line="240" w:lineRule="auto"/>
        <w:rPr>
          <w:rFonts w:ascii="Garamond" w:hAnsi="Garamond"/>
          <w:sz w:val="24"/>
          <w:szCs w:val="24"/>
        </w:rPr>
      </w:pPr>
      <w:bookmarkStart w:id="20" w:name="_Toc447276078"/>
    </w:p>
    <w:p w14:paraId="011D3E99" w14:textId="4119CDA6" w:rsidR="00223A24" w:rsidRPr="005851EF" w:rsidRDefault="00FB0A8A" w:rsidP="00223A24">
      <w:pPr>
        <w:pStyle w:val="Heading2"/>
        <w:spacing w:before="0" w:line="240" w:lineRule="auto"/>
        <w:rPr>
          <w:rFonts w:ascii="Garamond" w:hAnsi="Garamond"/>
          <w:sz w:val="24"/>
          <w:szCs w:val="24"/>
        </w:rPr>
      </w:pPr>
      <w:r w:rsidRPr="005851EF">
        <w:rPr>
          <w:rFonts w:ascii="Garamond" w:hAnsi="Garamond"/>
          <w:sz w:val="24"/>
          <w:szCs w:val="24"/>
        </w:rPr>
        <w:t>Economic, Workforce and Workforce Development Activities Analysis</w:t>
      </w:r>
      <w:bookmarkEnd w:id="20"/>
    </w:p>
    <w:p w14:paraId="22D0E335" w14:textId="77777777" w:rsidR="00FB0A8A" w:rsidRPr="005851EF" w:rsidRDefault="00FB0A8A" w:rsidP="00D94068">
      <w:pPr>
        <w:pStyle w:val="Heading3"/>
        <w:spacing w:before="0" w:line="240" w:lineRule="auto"/>
        <w:rPr>
          <w:rFonts w:ascii="Garamond" w:hAnsi="Garamond"/>
          <w:sz w:val="24"/>
          <w:szCs w:val="24"/>
        </w:rPr>
      </w:pPr>
      <w:bookmarkStart w:id="21" w:name="_Toc447276079"/>
      <w:r w:rsidRPr="005851EF">
        <w:rPr>
          <w:rFonts w:ascii="Garamond" w:hAnsi="Garamond"/>
          <w:sz w:val="24"/>
          <w:szCs w:val="24"/>
        </w:rPr>
        <w:t>Overview</w:t>
      </w:r>
      <w:bookmarkEnd w:id="21"/>
    </w:p>
    <w:p w14:paraId="437EE790" w14:textId="0B89F946" w:rsidR="002342A5" w:rsidRPr="004A0C12" w:rsidRDefault="00513D6C" w:rsidP="0054168E">
      <w:pPr>
        <w:spacing w:after="0" w:line="240" w:lineRule="auto"/>
        <w:jc w:val="both"/>
        <w:rPr>
          <w:rFonts w:ascii="Garamond" w:hAnsi="Garamond"/>
        </w:rPr>
      </w:pPr>
      <w:r w:rsidRPr="004A0C12">
        <w:rPr>
          <w:rFonts w:ascii="Garamond" w:hAnsi="Garamond"/>
        </w:rPr>
        <w:t xml:space="preserve">Comparatively, </w:t>
      </w:r>
      <w:r w:rsidR="00FB0A8A" w:rsidRPr="004A0C12">
        <w:rPr>
          <w:rFonts w:ascii="Garamond" w:hAnsi="Garamond"/>
        </w:rPr>
        <w:t xml:space="preserve">Maryland is home to a diverse, well-educated, and affluent population. Industry diversity is relatively high in Maryland, with government, professional and business services, and education and health services dominating in terms of employment. These industries have recovered since employment lows of 2010, have exhibited positive growth exceeding pre-recession levels, and are projected to continue to grow. Even industries showing declines, such as manufacturing, are experiencing increases in specialized areas such as pharmaceutical and medicine manufacturing. Skilled occupations related to health care or computers are </w:t>
      </w:r>
      <w:r w:rsidRPr="004A0C12">
        <w:rPr>
          <w:rFonts w:ascii="Garamond" w:hAnsi="Garamond"/>
        </w:rPr>
        <w:t xml:space="preserve">in </w:t>
      </w:r>
      <w:r w:rsidR="00FB0A8A" w:rsidRPr="004A0C12">
        <w:rPr>
          <w:rFonts w:ascii="Garamond" w:hAnsi="Garamond"/>
        </w:rPr>
        <w:t>high demanded by employers and offer high-paying careers for Marylanders.</w:t>
      </w:r>
      <w:bookmarkStart w:id="22" w:name="_Toc430879173"/>
    </w:p>
    <w:p w14:paraId="200C0668" w14:textId="77777777" w:rsidR="0054168E" w:rsidRPr="005851EF" w:rsidRDefault="0054168E" w:rsidP="0054168E">
      <w:pPr>
        <w:spacing w:after="0" w:line="240" w:lineRule="auto"/>
        <w:jc w:val="both"/>
        <w:rPr>
          <w:rFonts w:ascii="Garamond" w:hAnsi="Garamond"/>
          <w:sz w:val="24"/>
          <w:szCs w:val="24"/>
        </w:rPr>
      </w:pPr>
    </w:p>
    <w:p w14:paraId="4636D86E" w14:textId="17C91064" w:rsidR="00223A24" w:rsidRPr="005851EF" w:rsidRDefault="00FB0A8A" w:rsidP="00223A24">
      <w:pPr>
        <w:pStyle w:val="Heading3"/>
        <w:spacing w:before="0" w:line="240" w:lineRule="auto"/>
        <w:rPr>
          <w:rFonts w:ascii="Garamond" w:hAnsi="Garamond"/>
          <w:sz w:val="24"/>
          <w:szCs w:val="24"/>
        </w:rPr>
      </w:pPr>
      <w:bookmarkStart w:id="23" w:name="_Toc447276080"/>
      <w:r w:rsidRPr="005851EF">
        <w:rPr>
          <w:rFonts w:ascii="Garamond" w:hAnsi="Garamond"/>
          <w:sz w:val="24"/>
          <w:szCs w:val="24"/>
        </w:rPr>
        <w:t>Economic Indicators</w:t>
      </w:r>
      <w:bookmarkEnd w:id="22"/>
      <w:bookmarkEnd w:id="23"/>
    </w:p>
    <w:p w14:paraId="1B2244C8" w14:textId="39CB00CA" w:rsidR="0050300F" w:rsidRDefault="00223A24" w:rsidP="00D94068">
      <w:pPr>
        <w:spacing w:after="0" w:line="240" w:lineRule="auto"/>
        <w:jc w:val="both"/>
        <w:rPr>
          <w:rFonts w:ascii="Garamond" w:hAnsi="Garamond"/>
        </w:rPr>
      </w:pPr>
      <w:r w:rsidRPr="004A0C12">
        <w:rPr>
          <w:rFonts w:ascii="Garamond" w:hAnsi="Garamond"/>
        </w:rPr>
        <w:t>I</w:t>
      </w:r>
      <w:r w:rsidR="00FB0A8A" w:rsidRPr="004A0C12">
        <w:rPr>
          <w:rFonts w:ascii="Garamond" w:hAnsi="Garamond"/>
        </w:rPr>
        <w:t xml:space="preserve">n 2014, the Unites States’ real Gross Domestic Product (GDP) growth </w:t>
      </w:r>
      <w:r w:rsidRPr="004A0C12">
        <w:rPr>
          <w:rFonts w:ascii="Garamond" w:hAnsi="Garamond"/>
        </w:rPr>
        <w:t>increased</w:t>
      </w:r>
      <w:r w:rsidR="00FB0A8A" w:rsidRPr="004A0C12">
        <w:rPr>
          <w:rFonts w:ascii="Garamond" w:hAnsi="Garamond"/>
        </w:rPr>
        <w:t xml:space="preserve"> to 2.2</w:t>
      </w:r>
      <w:r w:rsidR="006A7414" w:rsidRPr="004A0C12">
        <w:rPr>
          <w:rFonts w:ascii="Garamond" w:hAnsi="Garamond"/>
        </w:rPr>
        <w:t xml:space="preserve"> </w:t>
      </w:r>
      <w:r w:rsidR="00FB0A8A" w:rsidRPr="004A0C12">
        <w:rPr>
          <w:rFonts w:ascii="Garamond" w:hAnsi="Garamond"/>
        </w:rPr>
        <w:t>percent from a rate of 1.9 percent in the previous year</w:t>
      </w:r>
      <w:r w:rsidRPr="004A0C12">
        <w:rPr>
          <w:rFonts w:ascii="Garamond" w:hAnsi="Garamond"/>
          <w:noProof/>
        </w:rPr>
        <w:t>.</w:t>
      </w:r>
      <w:r w:rsidRPr="004A0C12">
        <w:rPr>
          <w:rStyle w:val="FootnoteReference"/>
          <w:rFonts w:ascii="Garamond" w:hAnsi="Garamond"/>
          <w:noProof/>
        </w:rPr>
        <w:footnoteReference w:id="3"/>
      </w:r>
      <w:r w:rsidRPr="004A0C12">
        <w:rPr>
          <w:rFonts w:ascii="Garamond" w:hAnsi="Garamond"/>
          <w:noProof/>
        </w:rPr>
        <w:t xml:space="preserve"> </w:t>
      </w:r>
      <w:r w:rsidR="00FB0A8A" w:rsidRPr="004A0C12">
        <w:rPr>
          <w:rFonts w:ascii="Garamond" w:hAnsi="Garamond"/>
        </w:rPr>
        <w:t xml:space="preserve">In </w:t>
      </w:r>
      <w:r w:rsidR="00513D6C" w:rsidRPr="004A0C12">
        <w:rPr>
          <w:rFonts w:ascii="Garamond" w:hAnsi="Garamond"/>
        </w:rPr>
        <w:t>terms of the United States</w:t>
      </w:r>
      <w:r w:rsidR="00FB0A8A" w:rsidRPr="004A0C12">
        <w:rPr>
          <w:rFonts w:ascii="Garamond" w:hAnsi="Garamond"/>
        </w:rPr>
        <w:t xml:space="preserve"> economy, the professional, scien</w:t>
      </w:r>
      <w:r w:rsidR="005D70BB" w:rsidRPr="004A0C12">
        <w:rPr>
          <w:rFonts w:ascii="Garamond" w:hAnsi="Garamond"/>
        </w:rPr>
        <w:t>tific, and technical services, n</w:t>
      </w:r>
      <w:r w:rsidR="00FB0A8A" w:rsidRPr="004A0C12">
        <w:rPr>
          <w:rFonts w:ascii="Garamond" w:hAnsi="Garamond"/>
        </w:rPr>
        <w:t>ondurable goods manufacturing, and real estate and rental and leasing were the p</w:t>
      </w:r>
      <w:r w:rsidR="00513D6C" w:rsidRPr="004A0C12">
        <w:rPr>
          <w:rFonts w:ascii="Garamond" w:hAnsi="Garamond"/>
        </w:rPr>
        <w:t>rimary contributors to real United States</w:t>
      </w:r>
      <w:r w:rsidR="00FB0A8A" w:rsidRPr="004A0C12">
        <w:rPr>
          <w:rFonts w:ascii="Garamond" w:hAnsi="Garamond"/>
        </w:rPr>
        <w:t xml:space="preserve"> economic growth</w:t>
      </w:r>
      <w:r w:rsidRPr="004A0C12">
        <w:rPr>
          <w:rFonts w:ascii="Garamond" w:hAnsi="Garamond"/>
        </w:rPr>
        <w:t>.</w:t>
      </w:r>
      <w:r w:rsidRPr="004A0C12">
        <w:rPr>
          <w:rStyle w:val="FootnoteReference"/>
          <w:rFonts w:ascii="Garamond" w:hAnsi="Garamond"/>
        </w:rPr>
        <w:footnoteReference w:id="4"/>
      </w:r>
      <w:r w:rsidR="00FB0A8A" w:rsidRPr="004A0C12">
        <w:rPr>
          <w:rFonts w:ascii="Garamond" w:hAnsi="Garamond"/>
          <w:noProof/>
        </w:rPr>
        <w:t xml:space="preserve"> </w:t>
      </w:r>
      <w:r w:rsidR="00FB0A8A" w:rsidRPr="004A0C12">
        <w:rPr>
          <w:rFonts w:ascii="Garamond" w:hAnsi="Garamond"/>
        </w:rPr>
        <w:t>In the state of Maryland, the rate of growth also increased from a rate of 0.7 percent in 2013 to 0.8 percent growth in 2014 (See Graph</w:t>
      </w:r>
      <w:r w:rsidR="0050300F">
        <w:rPr>
          <w:rFonts w:ascii="Garamond" w:hAnsi="Garamond"/>
        </w:rPr>
        <w:t xml:space="preserve"> </w:t>
      </w:r>
      <w:r w:rsidR="0050300F" w:rsidRPr="004A0C12">
        <w:rPr>
          <w:rFonts w:ascii="Garamond" w:hAnsi="Garamond"/>
        </w:rPr>
        <w:t>1).</w:t>
      </w:r>
      <w:r w:rsidR="0050300F" w:rsidRPr="004A0C12">
        <w:rPr>
          <w:rStyle w:val="FootnoteReference"/>
          <w:rFonts w:ascii="Garamond" w:hAnsi="Garamond"/>
        </w:rPr>
        <w:footnoteReference w:id="5"/>
      </w:r>
    </w:p>
    <w:p w14:paraId="4045B0A7" w14:textId="2C17B5EC" w:rsidR="0050300F" w:rsidRDefault="0050300F" w:rsidP="00D94068">
      <w:pPr>
        <w:spacing w:after="0" w:line="240" w:lineRule="auto"/>
        <w:jc w:val="both"/>
        <w:rPr>
          <w:rFonts w:ascii="Garamond" w:hAnsi="Garamond"/>
        </w:rPr>
      </w:pPr>
    </w:p>
    <w:p w14:paraId="0DB14B39" w14:textId="712830D5" w:rsidR="00223A24" w:rsidRPr="004A0C12" w:rsidRDefault="00D507DB" w:rsidP="0050300F">
      <w:pPr>
        <w:spacing w:after="0" w:line="240" w:lineRule="auto"/>
        <w:jc w:val="center"/>
        <w:rPr>
          <w:rFonts w:ascii="Garamond" w:hAnsi="Garamond"/>
        </w:rPr>
      </w:pPr>
      <w:r>
        <w:rPr>
          <w:rFonts w:ascii="Garamond" w:hAnsi="Garamond"/>
          <w:b/>
          <w:noProof/>
          <w:color w:val="0070C0"/>
          <w:sz w:val="24"/>
          <w:szCs w:val="24"/>
        </w:rPr>
        <w:lastRenderedPageBreak/>
        <w:drawing>
          <wp:inline distT="0" distB="0" distL="0" distR="0" wp14:anchorId="03C1E742" wp14:editId="77BA44DC">
            <wp:extent cx="4229735" cy="3115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9735" cy="3115310"/>
                    </a:xfrm>
                    <a:prstGeom prst="rect">
                      <a:avLst/>
                    </a:prstGeom>
                    <a:noFill/>
                  </pic:spPr>
                </pic:pic>
              </a:graphicData>
            </a:graphic>
          </wp:inline>
        </w:drawing>
      </w:r>
    </w:p>
    <w:p w14:paraId="32A944B6" w14:textId="284D0D42" w:rsidR="00223A24" w:rsidRPr="004A0C12" w:rsidRDefault="00223A24" w:rsidP="00D94068">
      <w:pPr>
        <w:spacing w:after="0" w:line="240" w:lineRule="auto"/>
        <w:jc w:val="both"/>
        <w:rPr>
          <w:rFonts w:ascii="Garamond" w:hAnsi="Garamond"/>
        </w:rPr>
      </w:pPr>
      <w:r w:rsidRPr="004A0C12">
        <w:rPr>
          <w:rFonts w:ascii="Garamond" w:hAnsi="Garamond"/>
          <w:noProof/>
        </w:rPr>
        <mc:AlternateContent>
          <mc:Choice Requires="wps">
            <w:drawing>
              <wp:anchor distT="0" distB="0" distL="114300" distR="114300" simplePos="0" relativeHeight="251661312" behindDoc="0" locked="0" layoutInCell="1" allowOverlap="1" wp14:anchorId="27A866DA" wp14:editId="48F204E1">
                <wp:simplePos x="0" y="0"/>
                <wp:positionH relativeFrom="column">
                  <wp:posOffset>435610</wp:posOffset>
                </wp:positionH>
                <wp:positionV relativeFrom="paragraph">
                  <wp:posOffset>322580</wp:posOffset>
                </wp:positionV>
                <wp:extent cx="6235700" cy="4498340"/>
                <wp:effectExtent l="0" t="0" r="12700" b="16510"/>
                <wp:wrapTopAndBottom/>
                <wp:docPr id="7" name="Text Box 7"/>
                <wp:cNvGraphicFramePr/>
                <a:graphic xmlns:a="http://schemas.openxmlformats.org/drawingml/2006/main">
                  <a:graphicData uri="http://schemas.microsoft.com/office/word/2010/wordprocessingShape">
                    <wps:wsp>
                      <wps:cNvSpPr txBox="1"/>
                      <wps:spPr>
                        <a:xfrm>
                          <a:off x="0" y="0"/>
                          <a:ext cx="6235700" cy="4498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37591E" w14:textId="77777777" w:rsidR="003D14AC" w:rsidRDefault="003D14AC">
                            <w:r>
                              <w:rPr>
                                <w:noProof/>
                              </w:rPr>
                              <w:drawing>
                                <wp:inline distT="0" distB="0" distL="0" distR="0" wp14:anchorId="288D745A" wp14:editId="04D6DABD">
                                  <wp:extent cx="5943600" cy="4046855"/>
                                  <wp:effectExtent l="0" t="0" r="19050" b="10795"/>
                                  <wp:docPr id="4" name="Chart 4" descr="The chart shows change in real GDP for key industries. " title="Change in Real GDP by Industry"/>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E62C616" w14:textId="77777777" w:rsidR="003D14AC" w:rsidRPr="001868B3" w:rsidRDefault="003D14AC" w:rsidP="00FB0A8A">
                            <w:pPr>
                              <w:pStyle w:val="Caption"/>
                              <w:rPr>
                                <w:noProof/>
                                <w:color w:val="000000"/>
                                <w:sz w:val="20"/>
                                <w:szCs w:val="20"/>
                              </w:rPr>
                            </w:pPr>
                            <w:r w:rsidRPr="00F36D13">
                              <w:t xml:space="preserve">Graph </w:t>
                            </w:r>
                            <w:r>
                              <w:t>2</w:t>
                            </w:r>
                            <w:r w:rsidRPr="00F36D13">
                              <w:t xml:space="preserve">: Maryland’s </w:t>
                            </w:r>
                            <w:r>
                              <w:t>C</w:t>
                            </w:r>
                            <w:r w:rsidRPr="00F36D13">
                              <w:t xml:space="preserve">hange in </w:t>
                            </w:r>
                            <w:r>
                              <w:t>R</w:t>
                            </w:r>
                            <w:r w:rsidRPr="00F36D13">
                              <w:t xml:space="preserve">eal GDP by </w:t>
                            </w:r>
                            <w:r>
                              <w:t>I</w:t>
                            </w:r>
                            <w:r w:rsidRPr="00F36D13">
                              <w:t xml:space="preserve">ndustry; </w:t>
                            </w:r>
                            <w:r>
                              <w:t>Source: BEA, 2015</w:t>
                            </w:r>
                          </w:p>
                          <w:p w14:paraId="0E56334E" w14:textId="77777777" w:rsidR="003D14AC" w:rsidRDefault="003D14AC"/>
                          <w:p w14:paraId="1BFAEDBD"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left:0;text-align:left;margin-left:34.3pt;margin-top:25.4pt;width:491pt;height:35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" fillcolor="white [3201]" strokeweight=".5pt">
                <v:textbox>
                  <w:txbxContent>
                    <w:p w14:paraId="5837591E" w14:textId="77777777" w:rsidR="003D14AC" w:rsidRDefault="003D14AC">
                      <w:r>
                        <w:rPr>
                          <w:noProof/>
                        </w:rPr>
                        <w:drawing>
                          <wp:inline distT="0" distB="0" distL="0" distR="0" wp14:anchorId="288D745A" wp14:editId="04D6DABD">
                            <wp:extent cx="5943600" cy="4046855"/>
                            <wp:effectExtent l="0" t="0" r="19050" b="10795"/>
                            <wp:docPr id="4" name="Chart 4" descr="The chart shows change in real GDP for key industries. " title="Change in Real GDP by Industry"/>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E62C616" w14:textId="77777777" w:rsidR="003D14AC" w:rsidRPr="001868B3" w:rsidRDefault="003D14AC" w:rsidP="00FB0A8A">
                      <w:pPr>
                        <w:pStyle w:val="Caption"/>
                        <w:rPr>
                          <w:noProof/>
                          <w:color w:val="000000"/>
                          <w:sz w:val="20"/>
                          <w:szCs w:val="20"/>
                        </w:rPr>
                      </w:pPr>
                      <w:r w:rsidRPr="00F36D13">
                        <w:t xml:space="preserve">Graph </w:t>
                      </w:r>
                      <w:r>
                        <w:t>2</w:t>
                      </w:r>
                      <w:r w:rsidRPr="00F36D13">
                        <w:t xml:space="preserve">: Maryland’s </w:t>
                      </w:r>
                      <w:r>
                        <w:t>C</w:t>
                      </w:r>
                      <w:r w:rsidRPr="00F36D13">
                        <w:t xml:space="preserve">hange in </w:t>
                      </w:r>
                      <w:r>
                        <w:t>R</w:t>
                      </w:r>
                      <w:r w:rsidRPr="00F36D13">
                        <w:t xml:space="preserve">eal GDP by </w:t>
                      </w:r>
                      <w:r>
                        <w:t>I</w:t>
                      </w:r>
                      <w:r w:rsidRPr="00F36D13">
                        <w:t xml:space="preserve">ndustry; </w:t>
                      </w:r>
                      <w:r>
                        <w:t>Source: BEA, 2015</w:t>
                      </w:r>
                    </w:p>
                    <w:p w14:paraId="0E56334E" w14:textId="77777777" w:rsidR="003D14AC" w:rsidRDefault="003D14AC"/>
                    <w:p w14:paraId="1BFAEDBD" w14:textId="77777777" w:rsidR="003D14AC" w:rsidRDefault="003D14AC"/>
                  </w:txbxContent>
                </v:textbox>
                <w10:wrap type="topAndBottom"/>
              </v:shape>
            </w:pict>
          </mc:Fallback>
        </mc:AlternateContent>
      </w:r>
    </w:p>
    <w:p w14:paraId="71D8A691" w14:textId="20344883" w:rsidR="00FF31F0" w:rsidRPr="004A0C12" w:rsidRDefault="00FB0A8A" w:rsidP="00D94068">
      <w:pPr>
        <w:spacing w:after="0" w:line="240" w:lineRule="auto"/>
        <w:jc w:val="both"/>
        <w:rPr>
          <w:rFonts w:ascii="Garamond" w:hAnsi="Garamond"/>
        </w:rPr>
      </w:pPr>
      <w:r w:rsidRPr="004A0C12">
        <w:rPr>
          <w:rFonts w:ascii="Garamond" w:hAnsi="Garamond"/>
        </w:rPr>
        <w:t xml:space="preserve"> </w:t>
      </w:r>
    </w:p>
    <w:p w14:paraId="2DE65178" w14:textId="77777777" w:rsidR="00D507DB" w:rsidRDefault="008A605F" w:rsidP="008A605F">
      <w:pPr>
        <w:jc w:val="both"/>
        <w:rPr>
          <w:rFonts w:ascii="Garamond" w:hAnsi="Garamond"/>
        </w:rPr>
      </w:pPr>
      <w:r w:rsidRPr="004A0C12">
        <w:rPr>
          <w:rFonts w:ascii="Garamond" w:hAnsi="Garamond"/>
        </w:rPr>
        <w:lastRenderedPageBreak/>
        <w:t xml:space="preserve">                                                                                                                                                                                      </w:t>
      </w:r>
    </w:p>
    <w:p w14:paraId="4B952E24" w14:textId="77D02642" w:rsidR="00D94068" w:rsidRPr="004A0C12" w:rsidRDefault="00FB0A8A" w:rsidP="008A605F">
      <w:pPr>
        <w:jc w:val="both"/>
        <w:rPr>
          <w:rFonts w:ascii="Garamond" w:hAnsi="Garamond"/>
        </w:rPr>
      </w:pPr>
      <w:r w:rsidRPr="004A0C12">
        <w:rPr>
          <w:rFonts w:ascii="Garamond" w:hAnsi="Garamond"/>
        </w:rPr>
        <w:t>In Maryland, a similar pattern in largest contributors to growth was observed with real estate and rental and leasing increasing by 1.1 percent and the professional and business services increasing by 3.3 percent from 2013 to 2014 (See Graph 2)</w:t>
      </w:r>
      <w:r w:rsidR="00AB4897" w:rsidRPr="004A0C12">
        <w:rPr>
          <w:rStyle w:val="FootnoteReference"/>
          <w:rFonts w:ascii="Garamond" w:hAnsi="Garamond"/>
        </w:rPr>
        <w:footnoteReference w:id="6"/>
      </w:r>
      <w:r w:rsidRPr="004A0C12">
        <w:rPr>
          <w:rFonts w:ascii="Garamond" w:hAnsi="Garamond"/>
        </w:rPr>
        <w:t>. During that same time frame, mining and the agriculture, forestry, fishing, and hunting industries experienced the largest percentage decreases in terms of real GDP (See Graph 2); however, given those sectors are smaller components of Maryland’s economy, the decreases in manufacturing, construction, and government influenced Maryland’s real GDP more heavily (See Graph 3)</w:t>
      </w:r>
      <w:r w:rsidR="00AB4897" w:rsidRPr="004A0C12">
        <w:rPr>
          <w:rFonts w:ascii="Garamond" w:hAnsi="Garamond"/>
        </w:rPr>
        <w:t>.</w:t>
      </w:r>
      <w:r w:rsidR="00AB4897" w:rsidRPr="004A0C12">
        <w:rPr>
          <w:rStyle w:val="FootnoteReference"/>
          <w:rFonts w:ascii="Garamond" w:hAnsi="Garamond"/>
        </w:rPr>
        <w:footnoteReference w:id="7"/>
      </w:r>
      <w:r w:rsidR="00AB4897" w:rsidRPr="004A0C12">
        <w:rPr>
          <w:rFonts w:ascii="Garamond" w:hAnsi="Garamond"/>
        </w:rPr>
        <w:t xml:space="preserve"> </w:t>
      </w:r>
    </w:p>
    <w:p w14:paraId="3517F871" w14:textId="220B3999" w:rsidR="00FB0A8A" w:rsidRDefault="00FB0A8A" w:rsidP="00057B5A">
      <w:pPr>
        <w:spacing w:after="0" w:line="240" w:lineRule="auto"/>
        <w:jc w:val="both"/>
        <w:rPr>
          <w:rFonts w:ascii="Garamond" w:hAnsi="Garamond"/>
          <w:noProof/>
        </w:rPr>
      </w:pPr>
      <w:r w:rsidRPr="004A0C12">
        <w:rPr>
          <w:rFonts w:ascii="Garamond" w:hAnsi="Garamond"/>
        </w:rPr>
        <w:t>Professional and business services, more specifically management of companies and enterprises, experienced growth and is a relatively large component of Maryland’s economy. Finance, insurance, real estate, rental, and leasing, more specifically r</w:t>
      </w:r>
      <w:r w:rsidR="005D70BB" w:rsidRPr="004A0C12">
        <w:rPr>
          <w:rFonts w:ascii="Garamond" w:hAnsi="Garamond"/>
        </w:rPr>
        <w:t xml:space="preserve">eal estate, and </w:t>
      </w:r>
      <w:r w:rsidRPr="004A0C12">
        <w:rPr>
          <w:rFonts w:ascii="Garamond" w:hAnsi="Garamond"/>
        </w:rPr>
        <w:t>rental and leasing, also experienced increases. Educational services, health care, and social assistance experienced a larg</w:t>
      </w:r>
      <w:r w:rsidR="005D70BB" w:rsidRPr="004A0C12">
        <w:rPr>
          <w:rFonts w:ascii="Garamond" w:hAnsi="Garamond"/>
        </w:rPr>
        <w:t>e increase of 1.9 percent with e</w:t>
      </w:r>
      <w:r w:rsidRPr="004A0C12">
        <w:rPr>
          <w:rFonts w:ascii="Garamond" w:hAnsi="Garamond"/>
        </w:rPr>
        <w:t>ducational services increasing by 2.6 percent and health care and social assistance incre</w:t>
      </w:r>
      <w:r w:rsidR="005D70BB" w:rsidRPr="004A0C12">
        <w:rPr>
          <w:rFonts w:ascii="Garamond" w:hAnsi="Garamond"/>
        </w:rPr>
        <w:t>asing by 1.8 percent. In 2014, g</w:t>
      </w:r>
      <w:r w:rsidRPr="004A0C12">
        <w:rPr>
          <w:rFonts w:ascii="Garamond" w:hAnsi="Garamond"/>
        </w:rPr>
        <w:t>overnment, which is a primary driver of Maryland’s economy, experienced a decrease in terms of real G</w:t>
      </w:r>
      <w:r w:rsidR="00513D6C" w:rsidRPr="004A0C12">
        <w:rPr>
          <w:rFonts w:ascii="Garamond" w:hAnsi="Garamond"/>
        </w:rPr>
        <w:t>DP for the second time in two years</w:t>
      </w:r>
      <w:r w:rsidR="00AB4897" w:rsidRPr="004A0C12">
        <w:rPr>
          <w:rFonts w:ascii="Garamond" w:hAnsi="Garamond"/>
          <w:noProof/>
        </w:rPr>
        <w:t>.</w:t>
      </w:r>
      <w:r w:rsidR="00AB4897" w:rsidRPr="004A0C12">
        <w:rPr>
          <w:rStyle w:val="FootnoteReference"/>
          <w:rFonts w:ascii="Garamond" w:hAnsi="Garamond"/>
          <w:noProof/>
        </w:rPr>
        <w:footnoteReference w:id="8"/>
      </w:r>
    </w:p>
    <w:p w14:paraId="63AD61AD" w14:textId="77777777" w:rsidR="001C1EC7" w:rsidRPr="004A0C12" w:rsidRDefault="001C1EC7" w:rsidP="00057B5A">
      <w:pPr>
        <w:spacing w:after="0" w:line="240" w:lineRule="auto"/>
        <w:jc w:val="both"/>
        <w:rPr>
          <w:rFonts w:ascii="Garamond" w:hAnsi="Garamond"/>
        </w:rPr>
      </w:pPr>
    </w:p>
    <w:p w14:paraId="73A2C6F6" w14:textId="77777777" w:rsidR="00057B5A" w:rsidRPr="004A0C12" w:rsidRDefault="00D94068" w:rsidP="00057B5A">
      <w:pPr>
        <w:spacing w:after="0" w:line="240" w:lineRule="auto"/>
        <w:rPr>
          <w:rFonts w:ascii="Garamond" w:hAnsi="Garamond"/>
        </w:rPr>
      </w:pPr>
      <w:r w:rsidRPr="004A0C12">
        <w:rPr>
          <w:rFonts w:ascii="Garamond" w:hAnsi="Garamond"/>
          <w:noProof/>
        </w:rPr>
        <mc:AlternateContent>
          <mc:Choice Requires="wps">
            <w:drawing>
              <wp:anchor distT="0" distB="0" distL="114300" distR="114300" simplePos="0" relativeHeight="251665408" behindDoc="0" locked="0" layoutInCell="1" allowOverlap="1" wp14:anchorId="4B1B261E" wp14:editId="6B921CFF">
                <wp:simplePos x="0" y="0"/>
                <wp:positionH relativeFrom="column">
                  <wp:posOffset>111318</wp:posOffset>
                </wp:positionH>
                <wp:positionV relativeFrom="paragraph">
                  <wp:posOffset>27968</wp:posOffset>
                </wp:positionV>
                <wp:extent cx="6710901" cy="3927944"/>
                <wp:effectExtent l="0" t="0" r="13970" b="15875"/>
                <wp:wrapTopAndBottom/>
                <wp:docPr id="12" name="Text Box 12"/>
                <wp:cNvGraphicFramePr/>
                <a:graphic xmlns:a="http://schemas.openxmlformats.org/drawingml/2006/main">
                  <a:graphicData uri="http://schemas.microsoft.com/office/word/2010/wordprocessingShape">
                    <wps:wsp>
                      <wps:cNvSpPr txBox="1"/>
                      <wps:spPr>
                        <a:xfrm>
                          <a:off x="0" y="0"/>
                          <a:ext cx="6710901" cy="392794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1C9BED" w14:textId="77777777" w:rsidR="003D14AC" w:rsidRDefault="003D14AC">
                            <w:r>
                              <w:rPr>
                                <w:noProof/>
                              </w:rPr>
                              <w:drawing>
                                <wp:inline distT="0" distB="0" distL="0" distR="0" wp14:anchorId="2B8FC972" wp14:editId="01F6E9B8">
                                  <wp:extent cx="6384897" cy="3395206"/>
                                  <wp:effectExtent l="0" t="0" r="16510" b="15240"/>
                                  <wp:docPr id="23" name="Chart 23" descr="The pie chart shows components of the State's Real GDP, with Finance, insurance and real estate representing 22% and government at 21%. " title="Components of Real GDP"/>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3968992" w14:textId="77777777" w:rsidR="003D14AC" w:rsidRDefault="003D14AC" w:rsidP="00D94068">
                            <w:pPr>
                              <w:pStyle w:val="Caption"/>
                            </w:pPr>
                            <w:r w:rsidRPr="00C2532D">
                              <w:t>Graph</w:t>
                            </w:r>
                            <w:r>
                              <w:t xml:space="preserve"> 3</w:t>
                            </w:r>
                            <w:r w:rsidRPr="00C2532D">
                              <w:t xml:space="preserve">: Components of GDP by </w:t>
                            </w:r>
                            <w:r>
                              <w:t>Industry; Source: BEA, 2015</w:t>
                            </w:r>
                          </w:p>
                          <w:p w14:paraId="312881E7"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8" type="#_x0000_t202" style="position:absolute;margin-left:8.75pt;margin-top:2.2pt;width:528.4pt;height:309.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" fillcolor="white [3201]" strokeweight=".5pt">
                <v:textbox>
                  <w:txbxContent>
                    <w:p w14:paraId="1B1C9BED" w14:textId="77777777" w:rsidR="003D14AC" w:rsidRDefault="003D14AC">
                      <w:r>
                        <w:rPr>
                          <w:noProof/>
                        </w:rPr>
                        <w:drawing>
                          <wp:inline distT="0" distB="0" distL="0" distR="0" wp14:anchorId="2B8FC972" wp14:editId="01F6E9B8">
                            <wp:extent cx="6384897" cy="3395206"/>
                            <wp:effectExtent l="0" t="0" r="16510" b="15240"/>
                            <wp:docPr id="23" name="Chart 23" descr="The pie chart shows components of the State's Real GDP, with Finance, insurance and real estate representing 22% and government at 21%. " title="Components of Real GDP"/>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3968992" w14:textId="77777777" w:rsidR="003D14AC" w:rsidRDefault="003D14AC" w:rsidP="00D94068">
                      <w:pPr>
                        <w:pStyle w:val="Caption"/>
                      </w:pPr>
                      <w:r w:rsidRPr="00C2532D">
                        <w:t>Graph</w:t>
                      </w:r>
                      <w:r>
                        <w:t xml:space="preserve"> 3</w:t>
                      </w:r>
                      <w:r w:rsidRPr="00C2532D">
                        <w:t xml:space="preserve">: Components of GDP by </w:t>
                      </w:r>
                      <w:r>
                        <w:t>Industry; Source: BEA, 2015</w:t>
                      </w:r>
                    </w:p>
                    <w:p w14:paraId="312881E7" w14:textId="77777777" w:rsidR="003D14AC" w:rsidRDefault="003D14AC"/>
                  </w:txbxContent>
                </v:textbox>
                <w10:wrap type="topAndBottom"/>
              </v:shape>
            </w:pict>
          </mc:Fallback>
        </mc:AlternateContent>
      </w:r>
    </w:p>
    <w:p w14:paraId="46B7C93F" w14:textId="24EA4F42" w:rsidR="00D94068" w:rsidRPr="004A0C12" w:rsidRDefault="00D94068" w:rsidP="008A605F">
      <w:pPr>
        <w:spacing w:after="0" w:line="240" w:lineRule="auto"/>
        <w:jc w:val="both"/>
        <w:rPr>
          <w:rFonts w:ascii="Garamond" w:hAnsi="Garamond"/>
        </w:rPr>
      </w:pPr>
      <w:r w:rsidRPr="004A0C12">
        <w:rPr>
          <w:rFonts w:ascii="Garamond" w:hAnsi="Garamond"/>
        </w:rPr>
        <w:t xml:space="preserve">In 2014, Maryland’s per capita real GDP was </w:t>
      </w:r>
      <w:r w:rsidR="005D70BB" w:rsidRPr="004A0C12">
        <w:rPr>
          <w:rFonts w:ascii="Garamond" w:hAnsi="Garamond"/>
        </w:rPr>
        <w:t>$</w:t>
      </w:r>
      <w:r w:rsidRPr="004A0C12">
        <w:rPr>
          <w:rFonts w:ascii="Garamond" w:hAnsi="Garamond"/>
        </w:rPr>
        <w:t>53,759 in chained 2009 dollars, which was higher</w:t>
      </w:r>
      <w:r w:rsidR="005D70BB" w:rsidRPr="004A0C12">
        <w:rPr>
          <w:rFonts w:ascii="Garamond" w:hAnsi="Garamond"/>
        </w:rPr>
        <w:t xml:space="preserve"> than that of the United States</w:t>
      </w:r>
      <w:r w:rsidR="00513D6C" w:rsidRPr="004A0C12">
        <w:rPr>
          <w:rFonts w:ascii="Garamond" w:hAnsi="Garamond"/>
        </w:rPr>
        <w:t xml:space="preserve"> overall</w:t>
      </w:r>
      <w:r w:rsidR="005D70BB" w:rsidRPr="004A0C12">
        <w:rPr>
          <w:rFonts w:ascii="Garamond" w:hAnsi="Garamond"/>
        </w:rPr>
        <w:t>.</w:t>
      </w:r>
      <w:r w:rsidR="005D70BB" w:rsidRPr="004A0C12">
        <w:rPr>
          <w:rStyle w:val="FootnoteReference"/>
          <w:rFonts w:ascii="Garamond" w:hAnsi="Garamond"/>
        </w:rPr>
        <w:footnoteReference w:id="9"/>
      </w:r>
      <w:r w:rsidR="005D70BB" w:rsidRPr="004A0C12">
        <w:rPr>
          <w:rFonts w:ascii="Garamond" w:hAnsi="Garamond"/>
        </w:rPr>
        <w:t xml:space="preserve"> </w:t>
      </w:r>
      <w:r w:rsidRPr="004A0C12">
        <w:rPr>
          <w:rFonts w:ascii="Garamond" w:hAnsi="Garamond"/>
        </w:rPr>
        <w:t xml:space="preserve">Maryland’s per capita personal income (PCPI) is typically one of the highest in the nation and 2014 was no exception. Maryland was ranked 5th in the United States with a PCPI of $55,143. Maryland’s PCPI increased by 2.4 percent from 2013 to </w:t>
      </w:r>
      <w:r w:rsidRPr="004A0C12">
        <w:rPr>
          <w:rFonts w:ascii="Garamond" w:hAnsi="Garamond"/>
        </w:rPr>
        <w:lastRenderedPageBreak/>
        <w:t xml:space="preserve">2014 compared to the national </w:t>
      </w:r>
      <w:r w:rsidR="00513D6C" w:rsidRPr="004A0C12">
        <w:rPr>
          <w:rFonts w:ascii="Garamond" w:hAnsi="Garamond"/>
        </w:rPr>
        <w:t>increase</w:t>
      </w:r>
      <w:r w:rsidRPr="004A0C12">
        <w:rPr>
          <w:rFonts w:ascii="Garamond" w:hAnsi="Garamond"/>
        </w:rPr>
        <w:t xml:space="preserve"> of 3.0 percent</w:t>
      </w:r>
      <w:r w:rsidR="005D70BB" w:rsidRPr="004A0C12">
        <w:rPr>
          <w:rStyle w:val="FootnoteReference"/>
          <w:rFonts w:ascii="Garamond" w:hAnsi="Garamond"/>
        </w:rPr>
        <w:footnoteReference w:id="10"/>
      </w:r>
      <w:r w:rsidRPr="004A0C12">
        <w:rPr>
          <w:rFonts w:ascii="Garamond" w:hAnsi="Garamond"/>
        </w:rPr>
        <w:t xml:space="preserve">. It is expected that PCPI will continue to rise to over </w:t>
      </w:r>
      <w:r w:rsidR="005D70BB" w:rsidRPr="004A0C12">
        <w:rPr>
          <w:rFonts w:ascii="Garamond" w:hAnsi="Garamond"/>
        </w:rPr>
        <w:t>$</w:t>
      </w:r>
      <w:r w:rsidRPr="004A0C12">
        <w:rPr>
          <w:rFonts w:ascii="Garamond" w:hAnsi="Garamond"/>
        </w:rPr>
        <w:t>65,000 in 2009 dollars by 2040.</w:t>
      </w:r>
      <w:r w:rsidR="005D70BB" w:rsidRPr="004A0C12">
        <w:rPr>
          <w:rStyle w:val="FootnoteReference"/>
          <w:rFonts w:ascii="Garamond" w:hAnsi="Garamond"/>
        </w:rPr>
        <w:footnoteReference w:id="11"/>
      </w:r>
      <w:r w:rsidRPr="004A0C12">
        <w:rPr>
          <w:rFonts w:ascii="Garamond" w:hAnsi="Garamond"/>
        </w:rPr>
        <w:t xml:space="preserve"> Maryland is home to many high paying occupations, with a mean annual wage for all occupations of $53,470 compared to the mean annual wage of $</w:t>
      </w:r>
      <w:r w:rsidR="00513D6C" w:rsidRPr="004A0C12">
        <w:rPr>
          <w:rFonts w:ascii="Garamond" w:hAnsi="Garamond"/>
        </w:rPr>
        <w:t>47,230 reported for the United States</w:t>
      </w:r>
      <w:r w:rsidR="005D70BB" w:rsidRPr="004A0C12">
        <w:rPr>
          <w:rStyle w:val="FootnoteReference"/>
          <w:rFonts w:ascii="Garamond" w:hAnsi="Garamond"/>
        </w:rPr>
        <w:footnoteReference w:id="12"/>
      </w:r>
      <w:r w:rsidRPr="004A0C12">
        <w:rPr>
          <w:rFonts w:ascii="Garamond" w:hAnsi="Garamond"/>
        </w:rPr>
        <w:t xml:space="preserve"> However, it is important to note that Maryland does have a relatively high cost of living</w:t>
      </w:r>
      <w:r w:rsidR="005D70BB" w:rsidRPr="004A0C12">
        <w:rPr>
          <w:rFonts w:ascii="Garamond" w:hAnsi="Garamond"/>
          <w:noProof/>
        </w:rPr>
        <w:t>.</w:t>
      </w:r>
      <w:r w:rsidR="005D70BB" w:rsidRPr="004A0C12">
        <w:rPr>
          <w:rStyle w:val="FootnoteReference"/>
          <w:rFonts w:ascii="Garamond" w:hAnsi="Garamond"/>
          <w:noProof/>
        </w:rPr>
        <w:footnoteReference w:id="13"/>
      </w:r>
      <w:r w:rsidR="005D70BB" w:rsidRPr="004A0C12">
        <w:rPr>
          <w:rFonts w:ascii="Garamond" w:hAnsi="Garamond"/>
          <w:noProof/>
        </w:rPr>
        <w:t xml:space="preserve"> </w:t>
      </w:r>
      <w:r w:rsidRPr="004A0C12">
        <w:rPr>
          <w:rFonts w:ascii="Garamond" w:hAnsi="Garamond"/>
        </w:rPr>
        <w:t xml:space="preserve"> </w:t>
      </w:r>
    </w:p>
    <w:p w14:paraId="13B055B9" w14:textId="77777777" w:rsidR="00057B5A" w:rsidRPr="004A0C12" w:rsidRDefault="00057B5A" w:rsidP="008A605F">
      <w:pPr>
        <w:spacing w:after="0" w:line="240" w:lineRule="auto"/>
        <w:jc w:val="both"/>
        <w:rPr>
          <w:rFonts w:ascii="Garamond" w:hAnsi="Garamond"/>
        </w:rPr>
      </w:pPr>
    </w:p>
    <w:p w14:paraId="6ED559E5" w14:textId="3EBD0FF3" w:rsidR="00D94068" w:rsidRPr="004A0C12" w:rsidRDefault="00D94068" w:rsidP="00057B5A">
      <w:pPr>
        <w:spacing w:after="0" w:line="240" w:lineRule="auto"/>
        <w:jc w:val="both"/>
        <w:rPr>
          <w:rFonts w:ascii="Garamond" w:hAnsi="Garamond"/>
        </w:rPr>
      </w:pPr>
      <w:r w:rsidRPr="004A0C12">
        <w:rPr>
          <w:rFonts w:ascii="Garamond" w:hAnsi="Garamond"/>
        </w:rPr>
        <w:t>In terms of other economic indicators, the number of new housing units authorized by building permits for 1-unit structures in Maryland decreased slightly from 10,667 in 2013 to 10,541 in 2014. The number of multiple unit housing buildings remained relatively constant, decreasing from 243 buildings in 2013 to 241 buildings in 2014; however, the number of housing units for multiple unit structures was nearly 1,500 units less than the level in 2013</w:t>
      </w:r>
      <w:r w:rsidR="005D70BB" w:rsidRPr="004A0C12">
        <w:rPr>
          <w:rFonts w:ascii="Garamond" w:hAnsi="Garamond"/>
          <w:noProof/>
        </w:rPr>
        <w:t>.</w:t>
      </w:r>
      <w:r w:rsidR="005D70BB" w:rsidRPr="004A0C12">
        <w:rPr>
          <w:rStyle w:val="FootnoteReference"/>
          <w:rFonts w:ascii="Garamond" w:hAnsi="Garamond"/>
          <w:noProof/>
        </w:rPr>
        <w:footnoteReference w:id="14"/>
      </w:r>
      <w:r w:rsidR="005D70BB" w:rsidRPr="004A0C12">
        <w:rPr>
          <w:rFonts w:ascii="Garamond" w:hAnsi="Garamond"/>
          <w:noProof/>
        </w:rPr>
        <w:t xml:space="preserve"> </w:t>
      </w:r>
      <w:r w:rsidRPr="004A0C12">
        <w:rPr>
          <w:rFonts w:ascii="Garamond" w:hAnsi="Garamond"/>
        </w:rPr>
        <w:t xml:space="preserve">Average weekly hours of production </w:t>
      </w:r>
      <w:r w:rsidR="00E62187" w:rsidRPr="004A0C12">
        <w:rPr>
          <w:rFonts w:ascii="Garamond" w:hAnsi="Garamond"/>
        </w:rPr>
        <w:t xml:space="preserve">for </w:t>
      </w:r>
      <w:r w:rsidRPr="004A0C12">
        <w:rPr>
          <w:rFonts w:ascii="Garamond" w:hAnsi="Garamond"/>
        </w:rPr>
        <w:t>employees on manufacturing payrolls in Maryland declined from an annual average of 40.7 hours in 2013 to 39.6 hours in 2014</w:t>
      </w:r>
      <w:r w:rsidR="005D70BB" w:rsidRPr="004A0C12">
        <w:rPr>
          <w:rFonts w:ascii="Garamond" w:hAnsi="Garamond"/>
        </w:rPr>
        <w:t>.</w:t>
      </w:r>
      <w:r w:rsidR="005D70BB" w:rsidRPr="004A0C12">
        <w:rPr>
          <w:rStyle w:val="FootnoteReference"/>
          <w:rFonts w:ascii="Garamond" w:hAnsi="Garamond"/>
        </w:rPr>
        <w:footnoteReference w:id="15"/>
      </w:r>
      <w:r w:rsidRPr="004A0C12">
        <w:rPr>
          <w:rFonts w:ascii="Garamond" w:hAnsi="Garamond"/>
          <w:noProof/>
        </w:rPr>
        <w:t xml:space="preserve"> </w:t>
      </w:r>
      <w:r w:rsidRPr="004A0C12">
        <w:rPr>
          <w:rFonts w:ascii="Garamond" w:hAnsi="Garamond"/>
        </w:rPr>
        <w:t xml:space="preserve">In examining exports, Maryland exported over </w:t>
      </w:r>
      <w:r w:rsidR="00E62187" w:rsidRPr="004A0C12">
        <w:rPr>
          <w:rFonts w:ascii="Garamond" w:hAnsi="Garamond"/>
        </w:rPr>
        <w:t>$</w:t>
      </w:r>
      <w:r w:rsidRPr="004A0C12">
        <w:rPr>
          <w:rFonts w:ascii="Garamond" w:hAnsi="Garamond"/>
        </w:rPr>
        <w:t xml:space="preserve">12 billion in total exports of merchandise, with over </w:t>
      </w:r>
      <w:r w:rsidR="00E62187" w:rsidRPr="004A0C12">
        <w:rPr>
          <w:rFonts w:ascii="Garamond" w:hAnsi="Garamond"/>
        </w:rPr>
        <w:t>$</w:t>
      </w:r>
      <w:r w:rsidRPr="004A0C12">
        <w:rPr>
          <w:rFonts w:ascii="Garamond" w:hAnsi="Garamond"/>
        </w:rPr>
        <w:t>3 billion exported to one o</w:t>
      </w:r>
      <w:r w:rsidR="00513D6C" w:rsidRPr="004A0C12">
        <w:rPr>
          <w:rFonts w:ascii="Garamond" w:hAnsi="Garamond"/>
        </w:rPr>
        <w:t xml:space="preserve">f the United </w:t>
      </w:r>
      <w:r w:rsidR="00FA5C06" w:rsidRPr="004A0C12">
        <w:rPr>
          <w:rFonts w:ascii="Garamond" w:hAnsi="Garamond"/>
        </w:rPr>
        <w:t>States’</w:t>
      </w:r>
      <w:r w:rsidR="005D70BB" w:rsidRPr="004A0C12">
        <w:rPr>
          <w:rFonts w:ascii="Garamond" w:hAnsi="Garamond"/>
        </w:rPr>
        <w:t xml:space="preserve"> Free Trade Partners.</w:t>
      </w:r>
      <w:r w:rsidR="005D70BB" w:rsidRPr="004A0C12">
        <w:rPr>
          <w:rStyle w:val="FootnoteReference"/>
          <w:rFonts w:ascii="Garamond" w:hAnsi="Garamond"/>
        </w:rPr>
        <w:footnoteReference w:id="16"/>
      </w:r>
      <w:r w:rsidR="005D70BB" w:rsidRPr="004A0C12">
        <w:rPr>
          <w:rFonts w:ascii="Garamond" w:hAnsi="Garamond"/>
        </w:rPr>
        <w:t xml:space="preserve"> </w:t>
      </w:r>
      <w:r w:rsidRPr="004A0C12">
        <w:rPr>
          <w:rFonts w:ascii="Garamond" w:hAnsi="Garamond"/>
        </w:rPr>
        <w:t xml:space="preserve">Maryland’s biggest market for exports was Canada with nearly </w:t>
      </w:r>
      <w:r w:rsidR="00E62187" w:rsidRPr="004A0C12">
        <w:rPr>
          <w:rFonts w:ascii="Garamond" w:hAnsi="Garamond"/>
        </w:rPr>
        <w:t>$</w:t>
      </w:r>
      <w:r w:rsidRPr="004A0C12">
        <w:rPr>
          <w:rFonts w:ascii="Garamond" w:hAnsi="Garamond"/>
        </w:rPr>
        <w:t>1.9 billion of exports in 2014</w:t>
      </w:r>
      <w:r w:rsidR="00E62187" w:rsidRPr="004A0C12">
        <w:rPr>
          <w:rFonts w:ascii="Garamond" w:hAnsi="Garamond"/>
        </w:rPr>
        <w:t>.</w:t>
      </w:r>
      <w:r w:rsidR="00E62187" w:rsidRPr="004A0C12">
        <w:rPr>
          <w:rStyle w:val="FootnoteReference"/>
          <w:rFonts w:ascii="Garamond" w:hAnsi="Garamond"/>
        </w:rPr>
        <w:footnoteReference w:id="17"/>
      </w:r>
      <w:r w:rsidRPr="004A0C12">
        <w:rPr>
          <w:rFonts w:ascii="Garamond" w:hAnsi="Garamond"/>
        </w:rPr>
        <w:t xml:space="preserve"> The largest exp</w:t>
      </w:r>
      <w:r w:rsidR="00E62187" w:rsidRPr="004A0C12">
        <w:rPr>
          <w:rFonts w:ascii="Garamond" w:hAnsi="Garamond"/>
        </w:rPr>
        <w:t>ort industry was transportation e</w:t>
      </w:r>
      <w:r w:rsidRPr="004A0C12">
        <w:rPr>
          <w:rFonts w:ascii="Garamond" w:hAnsi="Garamond"/>
        </w:rPr>
        <w:t xml:space="preserve">quipment with approximately </w:t>
      </w:r>
      <w:r w:rsidR="00E62187" w:rsidRPr="004A0C12">
        <w:rPr>
          <w:rFonts w:ascii="Garamond" w:hAnsi="Garamond"/>
        </w:rPr>
        <w:t>$</w:t>
      </w:r>
      <w:r w:rsidRPr="004A0C12">
        <w:rPr>
          <w:rFonts w:ascii="Garamond" w:hAnsi="Garamond"/>
        </w:rPr>
        <w:t xml:space="preserve">3.5 billion in exports in 2014, which was followed by Chemicals at a value of </w:t>
      </w:r>
      <w:r w:rsidR="00E62187" w:rsidRPr="004A0C12">
        <w:rPr>
          <w:rFonts w:ascii="Garamond" w:hAnsi="Garamond"/>
        </w:rPr>
        <w:t>$2.2 billion</w:t>
      </w:r>
      <w:r w:rsidR="00E62187" w:rsidRPr="004A0C12">
        <w:rPr>
          <w:rFonts w:ascii="Garamond" w:hAnsi="Garamond"/>
          <w:noProof/>
        </w:rPr>
        <w:t>.</w:t>
      </w:r>
      <w:r w:rsidR="00E62187" w:rsidRPr="004A0C12">
        <w:rPr>
          <w:rStyle w:val="FootnoteReference"/>
          <w:rFonts w:ascii="Garamond" w:hAnsi="Garamond"/>
          <w:noProof/>
        </w:rPr>
        <w:footnoteReference w:id="18"/>
      </w:r>
      <w:r w:rsidR="00E62187" w:rsidRPr="004A0C12">
        <w:rPr>
          <w:rFonts w:ascii="Garamond" w:hAnsi="Garamond"/>
          <w:noProof/>
        </w:rPr>
        <w:t xml:space="preserve"> </w:t>
      </w:r>
    </w:p>
    <w:p w14:paraId="0BF68998" w14:textId="77777777" w:rsidR="0054168E" w:rsidRPr="007E27C0" w:rsidRDefault="0054168E" w:rsidP="00057B5A">
      <w:pPr>
        <w:spacing w:after="0" w:line="240" w:lineRule="auto"/>
        <w:jc w:val="both"/>
        <w:rPr>
          <w:rFonts w:ascii="Garamond" w:hAnsi="Garamond"/>
          <w:sz w:val="24"/>
          <w:szCs w:val="24"/>
        </w:rPr>
      </w:pPr>
    </w:p>
    <w:p w14:paraId="09E68F2B" w14:textId="77777777" w:rsidR="00D94068" w:rsidRPr="007E27C0" w:rsidRDefault="00D94068" w:rsidP="00057B5A">
      <w:pPr>
        <w:pStyle w:val="Heading3"/>
        <w:spacing w:before="0" w:line="240" w:lineRule="auto"/>
        <w:rPr>
          <w:rFonts w:ascii="Garamond" w:hAnsi="Garamond"/>
          <w:sz w:val="24"/>
          <w:szCs w:val="24"/>
        </w:rPr>
      </w:pPr>
      <w:bookmarkStart w:id="24" w:name="_Toc430879177"/>
      <w:bookmarkStart w:id="25" w:name="_Toc447276081"/>
      <w:r w:rsidRPr="007E27C0">
        <w:rPr>
          <w:rFonts w:ascii="Garamond" w:hAnsi="Garamond"/>
          <w:sz w:val="24"/>
          <w:szCs w:val="24"/>
        </w:rPr>
        <w:t>Total Nonfarm Employment and Recovery</w:t>
      </w:r>
      <w:bookmarkEnd w:id="24"/>
      <w:bookmarkEnd w:id="25"/>
    </w:p>
    <w:p w14:paraId="79DF68F0" w14:textId="216ADC56" w:rsidR="00057B5A" w:rsidRPr="004A0C12" w:rsidRDefault="00E62187" w:rsidP="00057B5A">
      <w:pPr>
        <w:spacing w:after="0" w:line="240" w:lineRule="auto"/>
        <w:jc w:val="both"/>
        <w:rPr>
          <w:rFonts w:ascii="Garamond" w:hAnsi="Garamond"/>
          <w:noProof/>
        </w:rPr>
      </w:pPr>
      <w:r w:rsidRPr="004A0C12">
        <w:rPr>
          <w:rFonts w:ascii="Garamond" w:hAnsi="Garamond"/>
          <w:noProof/>
        </w:rPr>
        <mc:AlternateContent>
          <mc:Choice Requires="wps">
            <w:drawing>
              <wp:anchor distT="0" distB="0" distL="114300" distR="114300" simplePos="0" relativeHeight="251666432" behindDoc="1" locked="0" layoutInCell="1" allowOverlap="1" wp14:anchorId="5F6F5A25" wp14:editId="163F68BF">
                <wp:simplePos x="0" y="0"/>
                <wp:positionH relativeFrom="column">
                  <wp:posOffset>373380</wp:posOffset>
                </wp:positionH>
                <wp:positionV relativeFrom="paragraph">
                  <wp:posOffset>227965</wp:posOffset>
                </wp:positionV>
                <wp:extent cx="6193790" cy="3362960"/>
                <wp:effectExtent l="0" t="0" r="16510" b="27940"/>
                <wp:wrapTight wrapText="bothSides">
                  <wp:wrapPolygon edited="0">
                    <wp:start x="0" y="0"/>
                    <wp:lineTo x="0" y="21657"/>
                    <wp:lineTo x="21591" y="21657"/>
                    <wp:lineTo x="21591"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6193790" cy="3362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5EF878" w14:textId="121C37F7" w:rsidR="003D14AC" w:rsidRPr="00E62187" w:rsidRDefault="003D14AC" w:rsidP="00E62187">
                            <w:pPr>
                              <w:rPr>
                                <w:i/>
                                <w:color w:val="1F497D" w:themeColor="text2"/>
                                <w:sz w:val="18"/>
                                <w:szCs w:val="18"/>
                              </w:rPr>
                            </w:pPr>
                            <w:r>
                              <w:rPr>
                                <w:noProof/>
                              </w:rPr>
                              <w:drawing>
                                <wp:inline distT="0" distB="0" distL="0" distR="0" wp14:anchorId="3835F93C" wp14:editId="62779198">
                                  <wp:extent cx="5931674" cy="2941982"/>
                                  <wp:effectExtent l="19050" t="57150" r="88265" b="48895"/>
                                  <wp:docPr id="24" name="Chart 24" descr="The following graph represents government at 19%, education and health services at 16% and professional and business services at 16%. " title="Maryland's Employment Distribution by Industry Sector 20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E62187">
                              <w:rPr>
                                <w:i/>
                                <w:color w:val="1F497D" w:themeColor="text2"/>
                                <w:sz w:val="18"/>
                                <w:szCs w:val="18"/>
                              </w:rPr>
                              <w:t>Graph 4: Employment by Industry; Source: BLS, 2015</w:t>
                            </w:r>
                          </w:p>
                          <w:p w14:paraId="456EF35A"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9" type="#_x0000_t202" style="position:absolute;left:0;text-align:left;margin-left:29.4pt;margin-top:17.95pt;width:487.7pt;height:264.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" fillcolor="white [3201]" strokeweight=".5pt">
                <v:textbox>
                  <w:txbxContent>
                    <w:p w14:paraId="3B5EF878" w14:textId="121C37F7" w:rsidR="003D14AC" w:rsidRPr="00E62187" w:rsidRDefault="003D14AC" w:rsidP="00E62187">
                      <w:pPr>
                        <w:rPr>
                          <w:i/>
                          <w:color w:val="1F497D" w:themeColor="text2"/>
                          <w:sz w:val="18"/>
                          <w:szCs w:val="18"/>
                        </w:rPr>
                      </w:pPr>
                      <w:r>
                        <w:rPr>
                          <w:noProof/>
                        </w:rPr>
                        <w:drawing>
                          <wp:inline distT="0" distB="0" distL="0" distR="0" wp14:anchorId="3835F93C" wp14:editId="62779198">
                            <wp:extent cx="5931674" cy="2941982"/>
                            <wp:effectExtent l="19050" t="57150" r="88265" b="48895"/>
                            <wp:docPr id="24" name="Chart 24" descr="The following graph represents government at 19%, education and health services at 16% and professional and business services at 16%. " title="Maryland's Employment Distribution by Industry Sector 20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E62187">
                        <w:rPr>
                          <w:i/>
                          <w:color w:val="1F497D" w:themeColor="text2"/>
                          <w:sz w:val="18"/>
                          <w:szCs w:val="18"/>
                        </w:rPr>
                        <w:t>Graph 4: Employment by Industry; Source: BLS, 2015</w:t>
                      </w:r>
                    </w:p>
                    <w:p w14:paraId="456EF35A" w14:textId="77777777" w:rsidR="003D14AC" w:rsidRDefault="003D14AC"/>
                  </w:txbxContent>
                </v:textbox>
                <w10:wrap type="tight"/>
              </v:shape>
            </w:pict>
          </mc:Fallback>
        </mc:AlternateContent>
      </w:r>
      <w:r w:rsidR="00D94068" w:rsidRPr="004A0C12">
        <w:rPr>
          <w:rFonts w:ascii="Garamond" w:hAnsi="Garamond"/>
        </w:rPr>
        <w:t xml:space="preserve">Maryland’s economy is diverse in industry composition, providing a variety of opportunities at all skill and education levels. </w:t>
      </w:r>
      <w:r w:rsidR="00D94068" w:rsidRPr="004A0C12">
        <w:rPr>
          <w:rFonts w:ascii="Garamond" w:hAnsi="Garamond"/>
        </w:rPr>
        <w:lastRenderedPageBreak/>
        <w:t>However, it is services-oriented, with the services sector accounting for about nine out of ten private sector payroll jobs. Nearly 20 percent of the employment is in the public sector (See Graph 4). Maryland, equipped with industry diversity and an emphasis on providing services, is generally well positioned to overcome potential economic shocks.</w:t>
      </w:r>
      <w:r w:rsidR="00D94068" w:rsidRPr="004A0C12">
        <w:rPr>
          <w:rFonts w:ascii="Garamond" w:hAnsi="Garamond"/>
          <w:noProof/>
        </w:rPr>
        <w:t xml:space="preserve"> </w:t>
      </w:r>
    </w:p>
    <w:p w14:paraId="0AC9AE9C" w14:textId="13295EA6" w:rsidR="008A605F" w:rsidRPr="004A0C12" w:rsidRDefault="008A605F" w:rsidP="00057B5A">
      <w:pPr>
        <w:spacing w:after="0" w:line="240" w:lineRule="auto"/>
        <w:jc w:val="both"/>
        <w:rPr>
          <w:rFonts w:ascii="Garamond" w:hAnsi="Garamond"/>
        </w:rPr>
      </w:pPr>
    </w:p>
    <w:p w14:paraId="763C4E0A" w14:textId="799AF0AC" w:rsidR="00D94068" w:rsidRPr="004A0C12" w:rsidRDefault="00D94068" w:rsidP="00057B5A">
      <w:pPr>
        <w:spacing w:after="0" w:line="240" w:lineRule="auto"/>
        <w:jc w:val="both"/>
        <w:rPr>
          <w:rFonts w:ascii="Garamond" w:hAnsi="Garamond"/>
          <w:noProof/>
        </w:rPr>
      </w:pPr>
      <w:r w:rsidRPr="004A0C12">
        <w:rPr>
          <w:rFonts w:ascii="Garamond" w:hAnsi="Garamond"/>
        </w:rPr>
        <w:t>Maryland’s 2014 annual total non-farm employment had an annual average of 2,619,000 in 2014, as measured by the Current Employment Statistics (CES) program. This was an increase from 2013 by 0.9 percent, which is on par with growth exhibited the year before. This growth was primarily driven by growth in the private sector, and more specifically the private service-providing industry. From 2013 to 2014, manufacturing experienced the sharpest decline in employment, decreasing by 2,500. However, the loss from 2013 to 2014 was less severe than the loss exhibited in the previous y</w:t>
      </w:r>
      <w:r w:rsidR="00264818" w:rsidRPr="004A0C12">
        <w:rPr>
          <w:rFonts w:ascii="Garamond" w:hAnsi="Garamond"/>
        </w:rPr>
        <w:t>ear. Over the same time frame, e</w:t>
      </w:r>
      <w:r w:rsidRPr="004A0C12">
        <w:rPr>
          <w:rFonts w:ascii="Garamond" w:hAnsi="Garamond"/>
        </w:rPr>
        <w:t>ducation and health services exhibited an impressive increase of 7,100, which was larger than the gain of 5,800 that was experienced the year before</w:t>
      </w:r>
      <w:r w:rsidR="00264818" w:rsidRPr="004A0C12">
        <w:rPr>
          <w:rFonts w:ascii="Garamond" w:hAnsi="Garamond"/>
          <w:noProof/>
        </w:rPr>
        <w:t>.</w:t>
      </w:r>
      <w:r w:rsidR="00264818" w:rsidRPr="004A0C12">
        <w:rPr>
          <w:rStyle w:val="FootnoteReference"/>
          <w:rFonts w:ascii="Garamond" w:hAnsi="Garamond"/>
          <w:noProof/>
        </w:rPr>
        <w:footnoteReference w:id="19"/>
      </w:r>
      <w:r w:rsidR="00264818" w:rsidRPr="004A0C12">
        <w:rPr>
          <w:rFonts w:ascii="Garamond" w:hAnsi="Garamond"/>
          <w:noProof/>
        </w:rPr>
        <w:t xml:space="preserve"> </w:t>
      </w:r>
    </w:p>
    <w:p w14:paraId="028ADEC1" w14:textId="77777777" w:rsidR="00D94068" w:rsidRPr="004A0C12" w:rsidRDefault="00D94068" w:rsidP="00057B5A">
      <w:pPr>
        <w:spacing w:after="0" w:line="240" w:lineRule="auto"/>
        <w:jc w:val="both"/>
        <w:rPr>
          <w:rFonts w:ascii="Garamond" w:hAnsi="Garamond"/>
          <w:noProof/>
        </w:rPr>
      </w:pPr>
    </w:p>
    <w:p w14:paraId="2490552D" w14:textId="4A54F938" w:rsidR="00D94068" w:rsidRPr="004A0C12" w:rsidRDefault="00D94068" w:rsidP="00057B5A">
      <w:pPr>
        <w:spacing w:after="0" w:line="240" w:lineRule="auto"/>
        <w:jc w:val="both"/>
        <w:rPr>
          <w:rFonts w:ascii="Garamond" w:hAnsi="Garamond"/>
        </w:rPr>
      </w:pPr>
      <w:r w:rsidRPr="004A0C12">
        <w:rPr>
          <w:rFonts w:ascii="Garamond" w:hAnsi="Garamond"/>
        </w:rPr>
        <w:t xml:space="preserve">In evaluating progress towards recovery since employment lows in 2010, all major industries except manufacturing, information, and other services had increased in employment by 2015. Furthermore, all major industries had achieved or exceeded pre-recession 2008 employment levels with </w:t>
      </w:r>
      <w:r w:rsidR="00264818" w:rsidRPr="004A0C12">
        <w:rPr>
          <w:rFonts w:ascii="Garamond" w:hAnsi="Garamond"/>
        </w:rPr>
        <w:t>the exception of m</w:t>
      </w:r>
      <w:r w:rsidRPr="004A0C12">
        <w:rPr>
          <w:rFonts w:ascii="Garamond" w:hAnsi="Garamond"/>
        </w:rPr>
        <w:t>ining, logging, and construction, Trade, tran</w:t>
      </w:r>
      <w:r w:rsidR="00264818" w:rsidRPr="004A0C12">
        <w:rPr>
          <w:rFonts w:ascii="Garamond" w:hAnsi="Garamond"/>
        </w:rPr>
        <w:t>sportation, and utilities, and f</w:t>
      </w:r>
      <w:r w:rsidRPr="004A0C12">
        <w:rPr>
          <w:rFonts w:ascii="Garamond" w:hAnsi="Garamond"/>
        </w:rPr>
        <w:t>inancial activities in addition to the aforementioned industries that had yet to exceed 2008 levels</w:t>
      </w:r>
      <w:r w:rsidR="00264818" w:rsidRPr="004A0C12">
        <w:rPr>
          <w:rFonts w:ascii="Garamond" w:hAnsi="Garamond"/>
          <w:noProof/>
        </w:rPr>
        <w:t>.</w:t>
      </w:r>
      <w:r w:rsidR="00264818" w:rsidRPr="004A0C12">
        <w:rPr>
          <w:rStyle w:val="FootnoteReference"/>
          <w:rFonts w:ascii="Garamond" w:hAnsi="Garamond"/>
          <w:noProof/>
        </w:rPr>
        <w:footnoteReference w:id="20"/>
      </w:r>
    </w:p>
    <w:p w14:paraId="64453205" w14:textId="7211C500" w:rsidR="00D94068" w:rsidRPr="004A0C12" w:rsidRDefault="00D94068" w:rsidP="00057B5A">
      <w:pPr>
        <w:spacing w:after="0" w:line="240" w:lineRule="auto"/>
        <w:rPr>
          <w:rFonts w:ascii="Garamond" w:hAnsi="Garamond"/>
        </w:rPr>
      </w:pPr>
    </w:p>
    <w:p w14:paraId="4D9CD929" w14:textId="77777777" w:rsidR="00D94068" w:rsidRPr="007E27C0" w:rsidRDefault="00D94068" w:rsidP="00057B5A">
      <w:pPr>
        <w:pStyle w:val="Heading3"/>
        <w:spacing w:before="0" w:line="240" w:lineRule="auto"/>
        <w:rPr>
          <w:rFonts w:ascii="Garamond" w:hAnsi="Garamond"/>
          <w:sz w:val="24"/>
          <w:szCs w:val="24"/>
        </w:rPr>
      </w:pPr>
      <w:bookmarkStart w:id="26" w:name="_Toc447276082"/>
      <w:r w:rsidRPr="007E27C0">
        <w:rPr>
          <w:rFonts w:ascii="Garamond" w:hAnsi="Garamond"/>
          <w:sz w:val="24"/>
          <w:szCs w:val="24"/>
        </w:rPr>
        <w:t>Growth, Emerging, and Target Industries</w:t>
      </w:r>
      <w:bookmarkEnd w:id="26"/>
      <w:r w:rsidRPr="007E27C0">
        <w:rPr>
          <w:rFonts w:ascii="Garamond" w:hAnsi="Garamond"/>
          <w:sz w:val="24"/>
          <w:szCs w:val="24"/>
        </w:rPr>
        <w:t xml:space="preserve"> </w:t>
      </w:r>
    </w:p>
    <w:p w14:paraId="79453B2E" w14:textId="77777777" w:rsidR="007E27C0" w:rsidRDefault="007E27C0" w:rsidP="00057B5A">
      <w:pPr>
        <w:spacing w:after="0" w:line="240" w:lineRule="auto"/>
        <w:jc w:val="both"/>
        <w:rPr>
          <w:rFonts w:ascii="Garamond" w:hAnsi="Garamond"/>
        </w:rPr>
      </w:pPr>
    </w:p>
    <w:p w14:paraId="6FFC5B1B" w14:textId="77777777" w:rsidR="007E27C0" w:rsidRDefault="007E27C0" w:rsidP="00057B5A">
      <w:pPr>
        <w:spacing w:after="0" w:line="240" w:lineRule="auto"/>
        <w:jc w:val="both"/>
        <w:rPr>
          <w:rFonts w:ascii="Garamond" w:hAnsi="Garamond"/>
        </w:rPr>
      </w:pPr>
    </w:p>
    <w:p w14:paraId="2EBF7A33" w14:textId="77777777" w:rsidR="0051627D" w:rsidRPr="004A0C12" w:rsidRDefault="00D94068" w:rsidP="00057B5A">
      <w:pPr>
        <w:spacing w:after="0" w:line="240" w:lineRule="auto"/>
        <w:jc w:val="both"/>
        <w:rPr>
          <w:rFonts w:ascii="Garamond" w:hAnsi="Garamond"/>
        </w:rPr>
      </w:pPr>
      <w:r w:rsidRPr="004A0C12">
        <w:rPr>
          <w:rFonts w:ascii="Garamond" w:hAnsi="Garamond"/>
        </w:rPr>
        <w:t xml:space="preserve">To further examine industries providing employment opportunities in Maryland, data from Maryland's Quarterly </w:t>
      </w:r>
    </w:p>
    <w:p w14:paraId="1543D097" w14:textId="28A9C1CC" w:rsidR="00D94068" w:rsidRPr="004A0C12" w:rsidRDefault="00D94068" w:rsidP="00057B5A">
      <w:pPr>
        <w:spacing w:after="0" w:line="240" w:lineRule="auto"/>
        <w:jc w:val="both"/>
        <w:rPr>
          <w:rFonts w:ascii="Garamond" w:eastAsia="Times New Roman" w:hAnsi="Garamond"/>
          <w:bCs/>
          <w:noProof/>
        </w:rPr>
      </w:pPr>
      <w:r w:rsidRPr="004A0C12">
        <w:rPr>
          <w:rFonts w:ascii="Garamond" w:hAnsi="Garamond"/>
        </w:rPr>
        <w:t xml:space="preserve">Census of Employment Wages (QCEW) Program was analyzed; however, it is important to note that the data only covers workers covered by the Unemployment Insurance </w:t>
      </w:r>
      <w:r w:rsidR="00513D6C" w:rsidRPr="004A0C12">
        <w:rPr>
          <w:rFonts w:ascii="Garamond" w:hAnsi="Garamond"/>
        </w:rPr>
        <w:t>l</w:t>
      </w:r>
      <w:r w:rsidRPr="004A0C12">
        <w:rPr>
          <w:rFonts w:ascii="Garamond" w:hAnsi="Garamond"/>
        </w:rPr>
        <w:t>aw of Maryland and the unemployment compensation for federal employees (UCFE) program.</w:t>
      </w:r>
      <w:r w:rsidRPr="004A0C12">
        <w:rPr>
          <w:rFonts w:ascii="Garamond" w:eastAsia="Times New Roman" w:hAnsi="Garamond"/>
          <w:bCs/>
          <w:caps/>
          <w:noProof/>
          <w:color w:val="4F81BD"/>
        </w:rPr>
        <w:t xml:space="preserve"> </w:t>
      </w:r>
      <w:r w:rsidRPr="004A0C12">
        <w:rPr>
          <w:rFonts w:ascii="Garamond" w:eastAsia="Times New Roman" w:hAnsi="Garamond"/>
          <w:bCs/>
          <w:noProof/>
        </w:rPr>
        <w:t xml:space="preserve">Additionally, emerging and growth occupations were determined at </w:t>
      </w:r>
      <w:r w:rsidR="003F5413" w:rsidRPr="004A0C12">
        <w:rPr>
          <w:rFonts w:ascii="Garamond" w:eastAsia="Times New Roman" w:hAnsi="Garamond"/>
          <w:bCs/>
          <w:noProof/>
        </w:rPr>
        <w:t>the county level (See Appendix E</w:t>
      </w:r>
      <w:r w:rsidRPr="004A0C12">
        <w:rPr>
          <w:rFonts w:ascii="Garamond" w:eastAsia="Times New Roman" w:hAnsi="Garamond"/>
          <w:bCs/>
          <w:noProof/>
        </w:rPr>
        <w:t>).</w:t>
      </w:r>
    </w:p>
    <w:p w14:paraId="65A5EA66" w14:textId="103D4DE0" w:rsidR="00057B5A" w:rsidRPr="004A0C12" w:rsidRDefault="00F93162" w:rsidP="00057B5A">
      <w:pPr>
        <w:spacing w:after="0" w:line="240" w:lineRule="auto"/>
        <w:jc w:val="both"/>
        <w:rPr>
          <w:rFonts w:ascii="Garamond" w:hAnsi="Garamond"/>
        </w:rPr>
      </w:pPr>
      <w:r w:rsidRPr="004A0C12">
        <w:rPr>
          <w:rFonts w:ascii="Garamond" w:hAnsi="Garamond"/>
          <w:noProof/>
        </w:rPr>
        <mc:AlternateContent>
          <mc:Choice Requires="wps">
            <w:drawing>
              <wp:anchor distT="0" distB="0" distL="114300" distR="114300" simplePos="0" relativeHeight="251708416" behindDoc="0" locked="0" layoutInCell="1" allowOverlap="1" wp14:anchorId="2C6315DE" wp14:editId="283A5E96">
                <wp:simplePos x="0" y="0"/>
                <wp:positionH relativeFrom="column">
                  <wp:posOffset>643890</wp:posOffset>
                </wp:positionH>
                <wp:positionV relativeFrom="paragraph">
                  <wp:posOffset>76200</wp:posOffset>
                </wp:positionV>
                <wp:extent cx="5573395" cy="3781425"/>
                <wp:effectExtent l="0" t="0" r="27305" b="28575"/>
                <wp:wrapSquare wrapText="bothSides"/>
                <wp:docPr id="18" name="Text Box 18"/>
                <wp:cNvGraphicFramePr/>
                <a:graphic xmlns:a="http://schemas.openxmlformats.org/drawingml/2006/main">
                  <a:graphicData uri="http://schemas.microsoft.com/office/word/2010/wordprocessingShape">
                    <wps:wsp>
                      <wps:cNvSpPr txBox="1"/>
                      <wps:spPr>
                        <a:xfrm>
                          <a:off x="0" y="0"/>
                          <a:ext cx="5573395" cy="3781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C549FA" w14:textId="77777777" w:rsidR="003D14AC" w:rsidRDefault="003D14AC" w:rsidP="00F93162">
                            <w:pPr>
                              <w:jc w:val="center"/>
                              <w:rPr>
                                <w:noProof/>
                              </w:rPr>
                            </w:pPr>
                          </w:p>
                          <w:p w14:paraId="0DB3E818" w14:textId="77074E79" w:rsidR="003D14AC" w:rsidRDefault="003D14AC" w:rsidP="00F93162">
                            <w:pPr>
                              <w:jc w:val="center"/>
                              <w:rPr>
                                <w:noProof/>
                              </w:rPr>
                            </w:pPr>
                            <w:r>
                              <w:rPr>
                                <w:noProof/>
                              </w:rPr>
                              <w:drawing>
                                <wp:inline distT="0" distB="0" distL="0" distR="0" wp14:anchorId="6E5A6D98" wp14:editId="1F4AE520">
                                  <wp:extent cx="4000500" cy="3124200"/>
                                  <wp:effectExtent l="0" t="0" r="0" b="0"/>
                                  <wp:docPr id="25" name="Picture 25" descr="This shows Maryland's key industries by percent change between February 2010- February 2015 and by ratio of February 2015 Employment/February 2008 Employment. " title="Change in Employment Since the Bottom of the Recession and Progress of Industries Towards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07750" cy="3129862"/>
                                          </a:xfrm>
                                          <a:prstGeom prst="rect">
                                            <a:avLst/>
                                          </a:prstGeom>
                                          <a:noFill/>
                                          <a:ln>
                                            <a:noFill/>
                                          </a:ln>
                                        </pic:spPr>
                                      </pic:pic>
                                    </a:graphicData>
                                  </a:graphic>
                                </wp:inline>
                              </w:drawing>
                            </w:r>
                          </w:p>
                          <w:p w14:paraId="0DC113F6" w14:textId="279C3511" w:rsidR="003D14AC" w:rsidRDefault="003D14AC" w:rsidP="00F93162">
                            <w:pPr>
                              <w:jc w:val="center"/>
                            </w:pPr>
                          </w:p>
                          <w:p w14:paraId="43278A5A" w14:textId="77777777" w:rsidR="003D14AC" w:rsidRDefault="003D14AC" w:rsidP="00F93162">
                            <w:pPr>
                              <w:pStyle w:val="Caption"/>
                            </w:pPr>
                            <w:r w:rsidRPr="007D34F0">
                              <w:t>Graph 5: Employment Growth</w:t>
                            </w:r>
                            <w:r>
                              <w:t xml:space="preserve"> and Recovery; Source: BLS, 20</w:t>
                            </w:r>
                          </w:p>
                          <w:p w14:paraId="5EF36B32" w14:textId="77777777" w:rsidR="003D14AC" w:rsidRDefault="003D14AC" w:rsidP="00F931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0" type="#_x0000_t202" style="position:absolute;left:0;text-align:left;margin-left:50.7pt;margin-top:6pt;width:438.85pt;height:297.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" fillcolor="white [3201]" strokeweight=".5pt">
                <v:textbox>
                  <w:txbxContent>
                    <w:p w14:paraId="4AC549FA" w14:textId="77777777" w:rsidR="003D14AC" w:rsidRDefault="003D14AC" w:rsidP="00F93162">
                      <w:pPr>
                        <w:jc w:val="center"/>
                        <w:rPr>
                          <w:noProof/>
                        </w:rPr>
                      </w:pPr>
                    </w:p>
                    <w:p w14:paraId="0DB3E818" w14:textId="77074E79" w:rsidR="003D14AC" w:rsidRDefault="003D14AC" w:rsidP="00F93162">
                      <w:pPr>
                        <w:jc w:val="center"/>
                        <w:rPr>
                          <w:noProof/>
                        </w:rPr>
                      </w:pPr>
                      <w:r>
                        <w:rPr>
                          <w:noProof/>
                        </w:rPr>
                        <w:drawing>
                          <wp:inline distT="0" distB="0" distL="0" distR="0" wp14:anchorId="6E5A6D98" wp14:editId="1F4AE520">
                            <wp:extent cx="4000500" cy="3124200"/>
                            <wp:effectExtent l="0" t="0" r="0" b="0"/>
                            <wp:docPr id="25" name="Picture 25" descr="This shows Maryland's key industries by percent change between February 2010- February 2015 and by ratio of February 2015 Employment/February 2008 Employment. " title="Change in Employment Since the Bottom of the Recession and Progress of Industries Towards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07750" cy="3129862"/>
                                    </a:xfrm>
                                    <a:prstGeom prst="rect">
                                      <a:avLst/>
                                    </a:prstGeom>
                                    <a:noFill/>
                                    <a:ln>
                                      <a:noFill/>
                                    </a:ln>
                                  </pic:spPr>
                                </pic:pic>
                              </a:graphicData>
                            </a:graphic>
                          </wp:inline>
                        </w:drawing>
                      </w:r>
                    </w:p>
                    <w:p w14:paraId="0DC113F6" w14:textId="279C3511" w:rsidR="003D14AC" w:rsidRDefault="003D14AC" w:rsidP="00F93162">
                      <w:pPr>
                        <w:jc w:val="center"/>
                      </w:pPr>
                    </w:p>
                    <w:p w14:paraId="43278A5A" w14:textId="77777777" w:rsidR="003D14AC" w:rsidRDefault="003D14AC" w:rsidP="00F93162">
                      <w:pPr>
                        <w:pStyle w:val="Caption"/>
                      </w:pPr>
                      <w:r w:rsidRPr="007D34F0">
                        <w:t>Graph 5: Employment Growth</w:t>
                      </w:r>
                      <w:r>
                        <w:t xml:space="preserve"> and Recovery; Source: BLS, 20</w:t>
                      </w:r>
                    </w:p>
                    <w:p w14:paraId="5EF36B32" w14:textId="77777777" w:rsidR="003D14AC" w:rsidRDefault="003D14AC" w:rsidP="00F93162"/>
                  </w:txbxContent>
                </v:textbox>
                <w10:wrap type="square"/>
              </v:shape>
            </w:pict>
          </mc:Fallback>
        </mc:AlternateContent>
      </w:r>
    </w:p>
    <w:p w14:paraId="67150356" w14:textId="1147F2E1" w:rsidR="0051627D" w:rsidRPr="004A0C12" w:rsidRDefault="0051627D" w:rsidP="00057B5A">
      <w:pPr>
        <w:pStyle w:val="Heading4"/>
        <w:spacing w:before="0" w:line="240" w:lineRule="auto"/>
        <w:rPr>
          <w:rFonts w:ascii="Garamond" w:hAnsi="Garamond"/>
        </w:rPr>
      </w:pPr>
    </w:p>
    <w:p w14:paraId="2C2DF188" w14:textId="5D27F20F" w:rsidR="0051627D" w:rsidRPr="004A0C12" w:rsidRDefault="0051627D" w:rsidP="00057B5A">
      <w:pPr>
        <w:pStyle w:val="Heading4"/>
        <w:spacing w:before="0" w:line="240" w:lineRule="auto"/>
        <w:rPr>
          <w:rFonts w:ascii="Garamond" w:hAnsi="Garamond"/>
        </w:rPr>
      </w:pPr>
    </w:p>
    <w:p w14:paraId="7997A879" w14:textId="77777777" w:rsidR="0051627D" w:rsidRPr="004A0C12" w:rsidRDefault="0051627D" w:rsidP="00057B5A">
      <w:pPr>
        <w:pStyle w:val="Heading4"/>
        <w:spacing w:before="0" w:line="240" w:lineRule="auto"/>
        <w:rPr>
          <w:rFonts w:ascii="Garamond" w:hAnsi="Garamond"/>
        </w:rPr>
      </w:pPr>
    </w:p>
    <w:p w14:paraId="4A272164" w14:textId="77777777" w:rsidR="0051627D" w:rsidRPr="004A0C12" w:rsidRDefault="0051627D" w:rsidP="00057B5A">
      <w:pPr>
        <w:pStyle w:val="Heading4"/>
        <w:spacing w:before="0" w:line="240" w:lineRule="auto"/>
        <w:rPr>
          <w:rFonts w:ascii="Garamond" w:hAnsi="Garamond"/>
        </w:rPr>
      </w:pPr>
    </w:p>
    <w:p w14:paraId="5A38E7B2" w14:textId="77777777" w:rsidR="0051627D" w:rsidRPr="004A0C12" w:rsidRDefault="0051627D" w:rsidP="00057B5A">
      <w:pPr>
        <w:pStyle w:val="Heading4"/>
        <w:spacing w:before="0" w:line="240" w:lineRule="auto"/>
        <w:rPr>
          <w:rFonts w:ascii="Garamond" w:hAnsi="Garamond"/>
        </w:rPr>
      </w:pPr>
    </w:p>
    <w:p w14:paraId="541D86DB" w14:textId="77777777" w:rsidR="0051627D" w:rsidRPr="004A0C12" w:rsidRDefault="0051627D" w:rsidP="00057B5A">
      <w:pPr>
        <w:pStyle w:val="Heading4"/>
        <w:spacing w:before="0" w:line="240" w:lineRule="auto"/>
        <w:rPr>
          <w:rFonts w:ascii="Garamond" w:hAnsi="Garamond"/>
        </w:rPr>
      </w:pPr>
    </w:p>
    <w:p w14:paraId="0BCB6EAE" w14:textId="77777777" w:rsidR="0051627D" w:rsidRPr="004A0C12" w:rsidRDefault="0051627D" w:rsidP="00057B5A">
      <w:pPr>
        <w:pStyle w:val="Heading4"/>
        <w:spacing w:before="0" w:line="240" w:lineRule="auto"/>
        <w:rPr>
          <w:rFonts w:ascii="Garamond" w:hAnsi="Garamond"/>
        </w:rPr>
      </w:pPr>
    </w:p>
    <w:p w14:paraId="1661CB00" w14:textId="77777777" w:rsidR="0051627D" w:rsidRPr="004A0C12" w:rsidRDefault="0051627D" w:rsidP="00057B5A">
      <w:pPr>
        <w:pStyle w:val="Heading4"/>
        <w:spacing w:before="0" w:line="240" w:lineRule="auto"/>
        <w:rPr>
          <w:rFonts w:ascii="Garamond" w:hAnsi="Garamond"/>
        </w:rPr>
      </w:pPr>
    </w:p>
    <w:p w14:paraId="40B584E9" w14:textId="77777777" w:rsidR="0051627D" w:rsidRPr="004A0C12" w:rsidRDefault="0051627D" w:rsidP="00057B5A">
      <w:pPr>
        <w:pStyle w:val="Heading4"/>
        <w:spacing w:before="0" w:line="240" w:lineRule="auto"/>
        <w:rPr>
          <w:rFonts w:ascii="Garamond" w:hAnsi="Garamond"/>
        </w:rPr>
      </w:pPr>
    </w:p>
    <w:p w14:paraId="0EB8A42E" w14:textId="77777777" w:rsidR="0051627D" w:rsidRPr="004A0C12" w:rsidRDefault="0051627D" w:rsidP="00057B5A">
      <w:pPr>
        <w:pStyle w:val="Heading4"/>
        <w:spacing w:before="0" w:line="240" w:lineRule="auto"/>
        <w:rPr>
          <w:rFonts w:ascii="Garamond" w:hAnsi="Garamond"/>
        </w:rPr>
      </w:pPr>
    </w:p>
    <w:p w14:paraId="5C7F41C4" w14:textId="77777777" w:rsidR="0051627D" w:rsidRPr="004A0C12" w:rsidRDefault="0051627D" w:rsidP="00057B5A">
      <w:pPr>
        <w:pStyle w:val="Heading4"/>
        <w:spacing w:before="0" w:line="240" w:lineRule="auto"/>
        <w:rPr>
          <w:rFonts w:ascii="Garamond" w:hAnsi="Garamond"/>
        </w:rPr>
      </w:pPr>
    </w:p>
    <w:p w14:paraId="190AD9DE" w14:textId="77777777" w:rsidR="0051627D" w:rsidRPr="004A0C12" w:rsidRDefault="0051627D" w:rsidP="00057B5A">
      <w:pPr>
        <w:pStyle w:val="Heading4"/>
        <w:spacing w:before="0" w:line="240" w:lineRule="auto"/>
        <w:rPr>
          <w:rFonts w:ascii="Garamond" w:hAnsi="Garamond"/>
        </w:rPr>
      </w:pPr>
    </w:p>
    <w:p w14:paraId="5054CF12" w14:textId="77777777" w:rsidR="0051627D" w:rsidRPr="004A0C12" w:rsidRDefault="0051627D" w:rsidP="00057B5A">
      <w:pPr>
        <w:pStyle w:val="Heading4"/>
        <w:spacing w:before="0" w:line="240" w:lineRule="auto"/>
        <w:rPr>
          <w:rFonts w:ascii="Garamond" w:hAnsi="Garamond"/>
        </w:rPr>
      </w:pPr>
    </w:p>
    <w:p w14:paraId="6098D2EF" w14:textId="77777777" w:rsidR="0051627D" w:rsidRPr="004A0C12" w:rsidRDefault="0051627D" w:rsidP="00057B5A">
      <w:pPr>
        <w:pStyle w:val="Heading4"/>
        <w:spacing w:before="0" w:line="240" w:lineRule="auto"/>
        <w:rPr>
          <w:rFonts w:ascii="Garamond" w:hAnsi="Garamond"/>
        </w:rPr>
      </w:pPr>
    </w:p>
    <w:p w14:paraId="35FE8B3F" w14:textId="77777777" w:rsidR="00057B5A" w:rsidRPr="004A0C12" w:rsidRDefault="00057B5A" w:rsidP="00057B5A">
      <w:pPr>
        <w:spacing w:after="0" w:line="240" w:lineRule="auto"/>
        <w:jc w:val="both"/>
        <w:rPr>
          <w:rFonts w:ascii="Garamond" w:hAnsi="Garamond"/>
        </w:rPr>
      </w:pPr>
    </w:p>
    <w:p w14:paraId="0130D079" w14:textId="7C6A92B0" w:rsidR="00D94068" w:rsidRPr="004A0C12" w:rsidRDefault="00D94068" w:rsidP="00057B5A">
      <w:pPr>
        <w:spacing w:after="0" w:line="240" w:lineRule="auto"/>
        <w:jc w:val="both"/>
        <w:rPr>
          <w:rFonts w:ascii="Garamond" w:hAnsi="Garamond"/>
        </w:rPr>
      </w:pPr>
    </w:p>
    <w:p w14:paraId="51E32972" w14:textId="612CFF1F" w:rsidR="00B10F3D" w:rsidRDefault="001C1EC7" w:rsidP="00F93162">
      <w:pPr>
        <w:pStyle w:val="Heading4"/>
        <w:spacing w:before="0" w:line="240" w:lineRule="auto"/>
        <w:rPr>
          <w:rFonts w:ascii="Garamond" w:hAnsi="Garamond"/>
        </w:rPr>
      </w:pPr>
      <w:r w:rsidRPr="004A0C12">
        <w:rPr>
          <w:rFonts w:ascii="Garamond" w:hAnsi="Garamond"/>
          <w:noProof/>
        </w:rPr>
        <w:lastRenderedPageBreak/>
        <mc:AlternateContent>
          <mc:Choice Requires="wps">
            <w:drawing>
              <wp:anchor distT="0" distB="0" distL="114300" distR="114300" simplePos="0" relativeHeight="251668480" behindDoc="0" locked="0" layoutInCell="1" allowOverlap="1" wp14:anchorId="4BD33AB3" wp14:editId="164440E6">
                <wp:simplePos x="0" y="0"/>
                <wp:positionH relativeFrom="column">
                  <wp:posOffset>-133350</wp:posOffset>
                </wp:positionH>
                <wp:positionV relativeFrom="paragraph">
                  <wp:posOffset>-17145</wp:posOffset>
                </wp:positionV>
                <wp:extent cx="7004685" cy="1924050"/>
                <wp:effectExtent l="0" t="0" r="24765" b="19050"/>
                <wp:wrapTopAndBottom/>
                <wp:docPr id="20" name="Text Box 20"/>
                <wp:cNvGraphicFramePr/>
                <a:graphic xmlns:a="http://schemas.openxmlformats.org/drawingml/2006/main">
                  <a:graphicData uri="http://schemas.microsoft.com/office/word/2010/wordprocessingShape">
                    <wps:wsp>
                      <wps:cNvSpPr txBox="1"/>
                      <wps:spPr>
                        <a:xfrm>
                          <a:off x="0" y="0"/>
                          <a:ext cx="7004685" cy="1924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4965" w:type="pct"/>
                              <w:tblLook w:val="04A0" w:firstRow="1" w:lastRow="0" w:firstColumn="1" w:lastColumn="0" w:noHBand="0" w:noVBand="1"/>
                              <w:tblCaption w:val="Maryland's Growth Industries"/>
                              <w:tblDescription w:val="This table shows Maryland's Growth Industries by number of establishments, average employment level, location quotient, and percent change of the employment. The key industries identified are: Construction, Real estate and rental and leasing, Professional and technical services, Educational services, Health care and social assistance, Arts, entertainment, and recreation, and Other services, except public administration. "/>
                            </w:tblPr>
                            <w:tblGrid>
                              <w:gridCol w:w="4561"/>
                              <w:gridCol w:w="1842"/>
                              <w:gridCol w:w="1816"/>
                              <w:gridCol w:w="636"/>
                              <w:gridCol w:w="2032"/>
                            </w:tblGrid>
                            <w:tr w:rsidR="003D14AC" w:rsidRPr="00121C98" w14:paraId="2B661D3E" w14:textId="77777777" w:rsidTr="00923B2F">
                              <w:trPr>
                                <w:cnfStyle w:val="100000000000" w:firstRow="1" w:lastRow="0" w:firstColumn="0" w:lastColumn="0" w:oddVBand="0" w:evenVBand="0" w:oddHBand="0" w:evenHBand="0" w:firstRowFirstColumn="0" w:firstRowLastColumn="0" w:lastRowFirstColumn="0" w:lastRowLastColumn="0"/>
                                <w:trHeight w:val="316"/>
                                <w:tblHeader/>
                              </w:trPr>
                              <w:tc>
                                <w:tcPr>
                                  <w:cnfStyle w:val="001000000000" w:firstRow="0" w:lastRow="0" w:firstColumn="1" w:lastColumn="0" w:oddVBand="0" w:evenVBand="0" w:oddHBand="0" w:evenHBand="0" w:firstRowFirstColumn="0" w:firstRowLastColumn="0" w:lastRowFirstColumn="0" w:lastRowLastColumn="0"/>
                                  <w:tcW w:w="2095" w:type="pct"/>
                                  <w:noWrap/>
                                  <w:hideMark/>
                                </w:tcPr>
                                <w:p w14:paraId="5EA4B449" w14:textId="77777777" w:rsidR="003D14AC" w:rsidRPr="00FF639F" w:rsidRDefault="003D14AC" w:rsidP="001A1E04">
                                  <w:pPr>
                                    <w:rPr>
                                      <w:bCs w:val="0"/>
                                    </w:rPr>
                                  </w:pPr>
                                  <w:r w:rsidRPr="00FF639F">
                                    <w:rPr>
                                      <w:bCs w:val="0"/>
                                    </w:rPr>
                                    <w:t xml:space="preserve">Industry </w:t>
                                  </w:r>
                                </w:p>
                              </w:tc>
                              <w:tc>
                                <w:tcPr>
                                  <w:tcW w:w="846" w:type="pct"/>
                                  <w:noWrap/>
                                  <w:hideMark/>
                                </w:tcPr>
                                <w:p w14:paraId="6FA5456F"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Establishments</w:t>
                                  </w:r>
                                </w:p>
                              </w:tc>
                              <w:tc>
                                <w:tcPr>
                                  <w:tcW w:w="834" w:type="pct"/>
                                  <w:noWrap/>
                                  <w:hideMark/>
                                </w:tcPr>
                                <w:p w14:paraId="3265A943"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Avg. Emp. Level </w:t>
                                  </w:r>
                                </w:p>
                              </w:tc>
                              <w:tc>
                                <w:tcPr>
                                  <w:tcW w:w="292" w:type="pct"/>
                                  <w:noWrap/>
                                  <w:hideMark/>
                                </w:tcPr>
                                <w:p w14:paraId="011B4596"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LQ</w:t>
                                  </w:r>
                                </w:p>
                              </w:tc>
                              <w:tc>
                                <w:tcPr>
                                  <w:tcW w:w="933" w:type="pct"/>
                                  <w:noWrap/>
                                  <w:hideMark/>
                                </w:tcPr>
                                <w:p w14:paraId="0E494198"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OTY Emp. % Chg. </w:t>
                                  </w:r>
                                </w:p>
                              </w:tc>
                            </w:tr>
                            <w:tr w:rsidR="003D14AC" w:rsidRPr="00121C98" w14:paraId="49B36D40" w14:textId="77777777" w:rsidTr="00923B2F">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077C9B45" w14:textId="77777777" w:rsidR="003D14AC" w:rsidRPr="00FF639F" w:rsidRDefault="003D14AC" w:rsidP="001A1E04">
                                  <w:pPr>
                                    <w:rPr>
                                      <w:bCs w:val="0"/>
                                    </w:rPr>
                                  </w:pPr>
                                  <w:r w:rsidRPr="00FF639F">
                                    <w:rPr>
                                      <w:bCs w:val="0"/>
                                    </w:rPr>
                                    <w:t>Construction</w:t>
                                  </w:r>
                                </w:p>
                              </w:tc>
                              <w:tc>
                                <w:tcPr>
                                  <w:tcW w:w="846" w:type="pct"/>
                                  <w:noWrap/>
                                  <w:hideMark/>
                                </w:tcPr>
                                <w:p w14:paraId="525D69B0"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16,120</w:t>
                                  </w:r>
                                </w:p>
                              </w:tc>
                              <w:tc>
                                <w:tcPr>
                                  <w:tcW w:w="834" w:type="pct"/>
                                  <w:noWrap/>
                                  <w:hideMark/>
                                </w:tcPr>
                                <w:p w14:paraId="64AC6F4C"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149,555</w:t>
                                  </w:r>
                                </w:p>
                              </w:tc>
                              <w:tc>
                                <w:tcPr>
                                  <w:tcW w:w="292" w:type="pct"/>
                                  <w:noWrap/>
                                  <w:hideMark/>
                                </w:tcPr>
                                <w:p w14:paraId="46369D69"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1.31</w:t>
                                  </w:r>
                                </w:p>
                              </w:tc>
                              <w:tc>
                                <w:tcPr>
                                  <w:tcW w:w="933" w:type="pct"/>
                                  <w:noWrap/>
                                  <w:hideMark/>
                                </w:tcPr>
                                <w:p w14:paraId="3841A714"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2.4</w:t>
                                  </w:r>
                                </w:p>
                              </w:tc>
                            </w:tr>
                            <w:tr w:rsidR="003D14AC" w:rsidRPr="00121C98" w14:paraId="2A4559AA" w14:textId="77777777" w:rsidTr="00923B2F">
                              <w:trPr>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037318EE" w14:textId="77777777" w:rsidR="003D14AC" w:rsidRPr="00FF639F" w:rsidRDefault="003D14AC" w:rsidP="001A1E04">
                                  <w:pPr>
                                    <w:rPr>
                                      <w:bCs w:val="0"/>
                                    </w:rPr>
                                  </w:pPr>
                                  <w:r w:rsidRPr="00FF639F">
                                    <w:rPr>
                                      <w:bCs w:val="0"/>
                                    </w:rPr>
                                    <w:t>Real estate and rental and leasing</w:t>
                                  </w:r>
                                </w:p>
                              </w:tc>
                              <w:tc>
                                <w:tcPr>
                                  <w:tcW w:w="846" w:type="pct"/>
                                  <w:noWrap/>
                                  <w:hideMark/>
                                </w:tcPr>
                                <w:p w14:paraId="71900C6B"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6,490</w:t>
                                  </w:r>
                                </w:p>
                              </w:tc>
                              <w:tc>
                                <w:tcPr>
                                  <w:tcW w:w="834" w:type="pct"/>
                                  <w:noWrap/>
                                  <w:hideMark/>
                                </w:tcPr>
                                <w:p w14:paraId="3E395A49"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43,624</w:t>
                                  </w:r>
                                </w:p>
                              </w:tc>
                              <w:tc>
                                <w:tcPr>
                                  <w:tcW w:w="292" w:type="pct"/>
                                  <w:noWrap/>
                                  <w:hideMark/>
                                </w:tcPr>
                                <w:p w14:paraId="39496E46"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1.14</w:t>
                                  </w:r>
                                </w:p>
                              </w:tc>
                              <w:tc>
                                <w:tcPr>
                                  <w:tcW w:w="933" w:type="pct"/>
                                  <w:noWrap/>
                                  <w:hideMark/>
                                </w:tcPr>
                                <w:p w14:paraId="51183F68"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1.4</w:t>
                                  </w:r>
                                </w:p>
                              </w:tc>
                            </w:tr>
                            <w:tr w:rsidR="003D14AC" w:rsidRPr="00121C98" w14:paraId="4E7FAC13" w14:textId="77777777" w:rsidTr="00923B2F">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418DA347" w14:textId="77777777" w:rsidR="003D14AC" w:rsidRPr="00FF639F" w:rsidRDefault="003D14AC" w:rsidP="001A1E04">
                                  <w:pPr>
                                    <w:rPr>
                                      <w:bCs w:val="0"/>
                                    </w:rPr>
                                  </w:pPr>
                                  <w:r w:rsidRPr="00FF639F">
                                    <w:rPr>
                                      <w:bCs w:val="0"/>
                                    </w:rPr>
                                    <w:t>Professional and technical services</w:t>
                                  </w:r>
                                </w:p>
                              </w:tc>
                              <w:tc>
                                <w:tcPr>
                                  <w:tcW w:w="846" w:type="pct"/>
                                  <w:noWrap/>
                                  <w:hideMark/>
                                </w:tcPr>
                                <w:p w14:paraId="71BDB06F"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27,802</w:t>
                                  </w:r>
                                </w:p>
                              </w:tc>
                              <w:tc>
                                <w:tcPr>
                                  <w:tcW w:w="834" w:type="pct"/>
                                  <w:noWrap/>
                                  <w:hideMark/>
                                </w:tcPr>
                                <w:p w14:paraId="152683C5"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239,651</w:t>
                                  </w:r>
                                </w:p>
                              </w:tc>
                              <w:tc>
                                <w:tcPr>
                                  <w:tcW w:w="292" w:type="pct"/>
                                  <w:noWrap/>
                                  <w:hideMark/>
                                </w:tcPr>
                                <w:p w14:paraId="0199D059"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1.54</w:t>
                                  </w:r>
                                </w:p>
                              </w:tc>
                              <w:tc>
                                <w:tcPr>
                                  <w:tcW w:w="933" w:type="pct"/>
                                  <w:noWrap/>
                                  <w:hideMark/>
                                </w:tcPr>
                                <w:p w14:paraId="04DA8728"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1.6</w:t>
                                  </w:r>
                                </w:p>
                              </w:tc>
                            </w:tr>
                            <w:tr w:rsidR="003D14AC" w:rsidRPr="00121C98" w14:paraId="487377CB" w14:textId="77777777" w:rsidTr="00923B2F">
                              <w:trPr>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12F93020" w14:textId="77777777" w:rsidR="003D14AC" w:rsidRPr="00FF639F" w:rsidRDefault="003D14AC" w:rsidP="001A1E04">
                                  <w:pPr>
                                    <w:rPr>
                                      <w:bCs w:val="0"/>
                                    </w:rPr>
                                  </w:pPr>
                                  <w:r w:rsidRPr="00FF639F">
                                    <w:rPr>
                                      <w:bCs w:val="0"/>
                                    </w:rPr>
                                    <w:t>Educational services</w:t>
                                  </w:r>
                                </w:p>
                              </w:tc>
                              <w:tc>
                                <w:tcPr>
                                  <w:tcW w:w="846" w:type="pct"/>
                                  <w:noWrap/>
                                  <w:hideMark/>
                                </w:tcPr>
                                <w:p w14:paraId="7CB80055"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2,683</w:t>
                                  </w:r>
                                </w:p>
                              </w:tc>
                              <w:tc>
                                <w:tcPr>
                                  <w:tcW w:w="834" w:type="pct"/>
                                  <w:noWrap/>
                                  <w:hideMark/>
                                </w:tcPr>
                                <w:p w14:paraId="39F1AC5F"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62,281</w:t>
                                  </w:r>
                                </w:p>
                              </w:tc>
                              <w:tc>
                                <w:tcPr>
                                  <w:tcW w:w="292" w:type="pct"/>
                                  <w:noWrap/>
                                  <w:hideMark/>
                                </w:tcPr>
                                <w:p w14:paraId="076E9D25"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1.25</w:t>
                                  </w:r>
                                </w:p>
                              </w:tc>
                              <w:tc>
                                <w:tcPr>
                                  <w:tcW w:w="933" w:type="pct"/>
                                  <w:noWrap/>
                                  <w:hideMark/>
                                </w:tcPr>
                                <w:p w14:paraId="398F45BF"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1.6</w:t>
                                  </w:r>
                                </w:p>
                              </w:tc>
                            </w:tr>
                            <w:tr w:rsidR="003D14AC" w:rsidRPr="00121C98" w14:paraId="619EE1C8" w14:textId="77777777" w:rsidTr="00923B2F">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10C7848F" w14:textId="77777777" w:rsidR="003D14AC" w:rsidRPr="00FF639F" w:rsidRDefault="003D14AC" w:rsidP="001A1E04">
                                  <w:pPr>
                                    <w:rPr>
                                      <w:bCs w:val="0"/>
                                    </w:rPr>
                                  </w:pPr>
                                  <w:r w:rsidRPr="00FF639F">
                                    <w:rPr>
                                      <w:bCs w:val="0"/>
                                    </w:rPr>
                                    <w:t>Health care and social assistance</w:t>
                                  </w:r>
                                </w:p>
                              </w:tc>
                              <w:tc>
                                <w:tcPr>
                                  <w:tcW w:w="846" w:type="pct"/>
                                  <w:noWrap/>
                                  <w:hideMark/>
                                </w:tcPr>
                                <w:p w14:paraId="5135254F"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16,552</w:t>
                                  </w:r>
                                </w:p>
                              </w:tc>
                              <w:tc>
                                <w:tcPr>
                                  <w:tcW w:w="834" w:type="pct"/>
                                  <w:noWrap/>
                                  <w:hideMark/>
                                </w:tcPr>
                                <w:p w14:paraId="7EE52CD9"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346,379</w:t>
                                  </w:r>
                                </w:p>
                              </w:tc>
                              <w:tc>
                                <w:tcPr>
                                  <w:tcW w:w="292" w:type="pct"/>
                                  <w:noWrap/>
                                  <w:hideMark/>
                                </w:tcPr>
                                <w:p w14:paraId="38F68947"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1.04</w:t>
                                  </w:r>
                                </w:p>
                              </w:tc>
                              <w:tc>
                                <w:tcPr>
                                  <w:tcW w:w="933" w:type="pct"/>
                                  <w:noWrap/>
                                  <w:hideMark/>
                                </w:tcPr>
                                <w:p w14:paraId="64FD39CA"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1.3</w:t>
                                  </w:r>
                                </w:p>
                              </w:tc>
                            </w:tr>
                            <w:tr w:rsidR="003D14AC" w:rsidRPr="00121C98" w14:paraId="740CEDC4" w14:textId="77777777" w:rsidTr="00923B2F">
                              <w:trPr>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2748A8F9" w14:textId="77777777" w:rsidR="003D14AC" w:rsidRPr="00FF639F" w:rsidRDefault="003D14AC" w:rsidP="001A1E04">
                                  <w:pPr>
                                    <w:rPr>
                                      <w:bCs w:val="0"/>
                                    </w:rPr>
                                  </w:pPr>
                                  <w:r w:rsidRPr="00FF639F">
                                    <w:rPr>
                                      <w:bCs w:val="0"/>
                                    </w:rPr>
                                    <w:t>Arts, entertainment, and recreation</w:t>
                                  </w:r>
                                </w:p>
                              </w:tc>
                              <w:tc>
                                <w:tcPr>
                                  <w:tcW w:w="846" w:type="pct"/>
                                  <w:noWrap/>
                                  <w:hideMark/>
                                </w:tcPr>
                                <w:p w14:paraId="298720D7"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2,536</w:t>
                                  </w:r>
                                </w:p>
                              </w:tc>
                              <w:tc>
                                <w:tcPr>
                                  <w:tcW w:w="834" w:type="pct"/>
                                  <w:noWrap/>
                                  <w:hideMark/>
                                </w:tcPr>
                                <w:p w14:paraId="40039D6A"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43,925</w:t>
                                  </w:r>
                                </w:p>
                              </w:tc>
                              <w:tc>
                                <w:tcPr>
                                  <w:tcW w:w="292" w:type="pct"/>
                                  <w:noWrap/>
                                  <w:hideMark/>
                                </w:tcPr>
                                <w:p w14:paraId="65BAC605"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1.12</w:t>
                                  </w:r>
                                </w:p>
                              </w:tc>
                              <w:tc>
                                <w:tcPr>
                                  <w:tcW w:w="933" w:type="pct"/>
                                  <w:noWrap/>
                                  <w:hideMark/>
                                </w:tcPr>
                                <w:p w14:paraId="494B97D7"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5.5</w:t>
                                  </w:r>
                                </w:p>
                              </w:tc>
                            </w:tr>
                            <w:tr w:rsidR="003D14AC" w:rsidRPr="00121C98" w14:paraId="43DCC4D1" w14:textId="77777777" w:rsidTr="00923B2F">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095" w:type="pct"/>
                                  <w:noWrap/>
                                  <w:hideMark/>
                                </w:tcPr>
                                <w:p w14:paraId="2F0A702A" w14:textId="77777777" w:rsidR="003D14AC" w:rsidRPr="00FF639F" w:rsidRDefault="003D14AC" w:rsidP="001A1E04">
                                  <w:pPr>
                                    <w:rPr>
                                      <w:bCs w:val="0"/>
                                    </w:rPr>
                                  </w:pPr>
                                  <w:r w:rsidRPr="00FF639F">
                                    <w:rPr>
                                      <w:bCs w:val="0"/>
                                    </w:rPr>
                                    <w:t>Other services, except public administration</w:t>
                                  </w:r>
                                </w:p>
                              </w:tc>
                              <w:tc>
                                <w:tcPr>
                                  <w:tcW w:w="846" w:type="pct"/>
                                  <w:noWrap/>
                                  <w:hideMark/>
                                </w:tcPr>
                                <w:p w14:paraId="3E7DCDC1"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19,479</w:t>
                                  </w:r>
                                </w:p>
                              </w:tc>
                              <w:tc>
                                <w:tcPr>
                                  <w:tcW w:w="834" w:type="pct"/>
                                  <w:noWrap/>
                                  <w:hideMark/>
                                </w:tcPr>
                                <w:p w14:paraId="7B4B3E6D"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89,117</w:t>
                                  </w:r>
                                </w:p>
                              </w:tc>
                              <w:tc>
                                <w:tcPr>
                                  <w:tcW w:w="292" w:type="pct"/>
                                  <w:noWrap/>
                                  <w:hideMark/>
                                </w:tcPr>
                                <w:p w14:paraId="10A6C939"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1.13</w:t>
                                  </w:r>
                                </w:p>
                              </w:tc>
                              <w:tc>
                                <w:tcPr>
                                  <w:tcW w:w="933" w:type="pct"/>
                                  <w:noWrap/>
                                  <w:hideMark/>
                                </w:tcPr>
                                <w:p w14:paraId="6982394A" w14:textId="77777777" w:rsidR="003D14AC" w:rsidRPr="00481C07" w:rsidRDefault="003D14AC" w:rsidP="001A1E04">
                                  <w:pPr>
                                    <w:keepNext/>
                                    <w:jc w:val="right"/>
                                    <w:cnfStyle w:val="000000100000" w:firstRow="0" w:lastRow="0" w:firstColumn="0" w:lastColumn="0" w:oddVBand="0" w:evenVBand="0" w:oddHBand="1" w:evenHBand="0" w:firstRowFirstColumn="0" w:firstRowLastColumn="0" w:lastRowFirstColumn="0" w:lastRowLastColumn="0"/>
                                  </w:pPr>
                                  <w:r w:rsidRPr="00481C07">
                                    <w:t>0.6</w:t>
                                  </w:r>
                                </w:p>
                              </w:tc>
                            </w:tr>
                          </w:tbl>
                          <w:p w14:paraId="07776636" w14:textId="77777777" w:rsidR="003D14AC" w:rsidRDefault="003D14AC" w:rsidP="006A7414">
                            <w:pPr>
                              <w:pStyle w:val="Caption"/>
                              <w:rPr>
                                <w:b/>
                              </w:rPr>
                            </w:pPr>
                            <w:r>
                              <w:t xml:space="preserve">Table </w:t>
                            </w:r>
                            <w:fldSimple w:instr=" SEQ Table \* ARABIC ">
                              <w:r w:rsidR="00943AA8">
                                <w:rPr>
                                  <w:noProof/>
                                </w:rPr>
                                <w:t>1</w:t>
                              </w:r>
                            </w:fldSimple>
                            <w:r>
                              <w:t>: Maryland's Growth Industries</w:t>
                            </w:r>
                          </w:p>
                          <w:p w14:paraId="0A98E8C2"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 o:spid="_x0000_s1031" type="#_x0000_t202" style="position:absolute;margin-left:-10.5pt;margin-top:-1.35pt;width:551.55pt;height:151.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" fillcolor="white [3201]" strokeweight=".5pt">
                <v:textbox>
                  <w:txbxContent>
                    <w:tbl>
                      <w:tblPr>
                        <w:tblStyle w:val="PlainTable11"/>
                        <w:tblW w:w="4965" w:type="pct"/>
                        <w:tblLook w:val="04A0" w:firstRow="1" w:lastRow="0" w:firstColumn="1" w:lastColumn="0" w:noHBand="0" w:noVBand="1"/>
                        <w:tblCaption w:val="Maryland's Growth Industries"/>
                        <w:tblDescription w:val="This table shows Maryland's Growth Industries by number of establishments, average employment level, location quotient, and percent change of the employment. The key industries identified are: Construction, Real estate and rental and leasing, Professional and technical services, Educational services, Health care and social assistance, Arts, entertainment, and recreation, and Other services, except public administration. "/>
                      </w:tblPr>
                      <w:tblGrid>
                        <w:gridCol w:w="4561"/>
                        <w:gridCol w:w="1842"/>
                        <w:gridCol w:w="1816"/>
                        <w:gridCol w:w="636"/>
                        <w:gridCol w:w="2032"/>
                      </w:tblGrid>
                      <w:tr w:rsidR="003D14AC" w:rsidRPr="00121C98" w14:paraId="2B661D3E" w14:textId="77777777" w:rsidTr="00923B2F">
                        <w:trPr>
                          <w:cnfStyle w:val="100000000000" w:firstRow="1" w:lastRow="0" w:firstColumn="0" w:lastColumn="0" w:oddVBand="0" w:evenVBand="0" w:oddHBand="0" w:evenHBand="0" w:firstRowFirstColumn="0" w:firstRowLastColumn="0" w:lastRowFirstColumn="0" w:lastRowLastColumn="0"/>
                          <w:trHeight w:val="316"/>
                          <w:tblHeader/>
                        </w:trPr>
                        <w:tc>
                          <w:tcPr>
                            <w:cnfStyle w:val="001000000000" w:firstRow="0" w:lastRow="0" w:firstColumn="1" w:lastColumn="0" w:oddVBand="0" w:evenVBand="0" w:oddHBand="0" w:evenHBand="0" w:firstRowFirstColumn="0" w:firstRowLastColumn="0" w:lastRowFirstColumn="0" w:lastRowLastColumn="0"/>
                            <w:tcW w:w="2095" w:type="pct"/>
                            <w:noWrap/>
                            <w:hideMark/>
                          </w:tcPr>
                          <w:p w14:paraId="5EA4B449" w14:textId="77777777" w:rsidR="003D14AC" w:rsidRPr="00FF639F" w:rsidRDefault="003D14AC" w:rsidP="001A1E04">
                            <w:pPr>
                              <w:rPr>
                                <w:bCs w:val="0"/>
                              </w:rPr>
                            </w:pPr>
                            <w:r w:rsidRPr="00FF639F">
                              <w:rPr>
                                <w:bCs w:val="0"/>
                              </w:rPr>
                              <w:t xml:space="preserve">Industry </w:t>
                            </w:r>
                          </w:p>
                        </w:tc>
                        <w:tc>
                          <w:tcPr>
                            <w:tcW w:w="846" w:type="pct"/>
                            <w:noWrap/>
                            <w:hideMark/>
                          </w:tcPr>
                          <w:p w14:paraId="6FA5456F"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Establishments</w:t>
                            </w:r>
                          </w:p>
                        </w:tc>
                        <w:tc>
                          <w:tcPr>
                            <w:tcW w:w="834" w:type="pct"/>
                            <w:noWrap/>
                            <w:hideMark/>
                          </w:tcPr>
                          <w:p w14:paraId="3265A943"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Avg. Emp. Level </w:t>
                            </w:r>
                          </w:p>
                        </w:tc>
                        <w:tc>
                          <w:tcPr>
                            <w:tcW w:w="292" w:type="pct"/>
                            <w:noWrap/>
                            <w:hideMark/>
                          </w:tcPr>
                          <w:p w14:paraId="011B4596"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LQ</w:t>
                            </w:r>
                          </w:p>
                        </w:tc>
                        <w:tc>
                          <w:tcPr>
                            <w:tcW w:w="933" w:type="pct"/>
                            <w:noWrap/>
                            <w:hideMark/>
                          </w:tcPr>
                          <w:p w14:paraId="0E494198"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OTY Emp. % Chg. </w:t>
                            </w:r>
                          </w:p>
                        </w:tc>
                      </w:tr>
                      <w:tr w:rsidR="003D14AC" w:rsidRPr="00121C98" w14:paraId="49B36D40" w14:textId="77777777" w:rsidTr="00923B2F">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077C9B45" w14:textId="77777777" w:rsidR="003D14AC" w:rsidRPr="00FF639F" w:rsidRDefault="003D14AC" w:rsidP="001A1E04">
                            <w:pPr>
                              <w:rPr>
                                <w:bCs w:val="0"/>
                              </w:rPr>
                            </w:pPr>
                            <w:r w:rsidRPr="00FF639F">
                              <w:rPr>
                                <w:bCs w:val="0"/>
                              </w:rPr>
                              <w:t>Construction</w:t>
                            </w:r>
                          </w:p>
                        </w:tc>
                        <w:tc>
                          <w:tcPr>
                            <w:tcW w:w="846" w:type="pct"/>
                            <w:noWrap/>
                            <w:hideMark/>
                          </w:tcPr>
                          <w:p w14:paraId="525D69B0"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16,120</w:t>
                            </w:r>
                          </w:p>
                        </w:tc>
                        <w:tc>
                          <w:tcPr>
                            <w:tcW w:w="834" w:type="pct"/>
                            <w:noWrap/>
                            <w:hideMark/>
                          </w:tcPr>
                          <w:p w14:paraId="64AC6F4C"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149,555</w:t>
                            </w:r>
                          </w:p>
                        </w:tc>
                        <w:tc>
                          <w:tcPr>
                            <w:tcW w:w="292" w:type="pct"/>
                            <w:noWrap/>
                            <w:hideMark/>
                          </w:tcPr>
                          <w:p w14:paraId="46369D69"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1.31</w:t>
                            </w:r>
                          </w:p>
                        </w:tc>
                        <w:tc>
                          <w:tcPr>
                            <w:tcW w:w="933" w:type="pct"/>
                            <w:noWrap/>
                            <w:hideMark/>
                          </w:tcPr>
                          <w:p w14:paraId="3841A714"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2.4</w:t>
                            </w:r>
                          </w:p>
                        </w:tc>
                      </w:tr>
                      <w:tr w:rsidR="003D14AC" w:rsidRPr="00121C98" w14:paraId="2A4559AA" w14:textId="77777777" w:rsidTr="00923B2F">
                        <w:trPr>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037318EE" w14:textId="77777777" w:rsidR="003D14AC" w:rsidRPr="00FF639F" w:rsidRDefault="003D14AC" w:rsidP="001A1E04">
                            <w:pPr>
                              <w:rPr>
                                <w:bCs w:val="0"/>
                              </w:rPr>
                            </w:pPr>
                            <w:r w:rsidRPr="00FF639F">
                              <w:rPr>
                                <w:bCs w:val="0"/>
                              </w:rPr>
                              <w:t>Real estate and rental and leasing</w:t>
                            </w:r>
                          </w:p>
                        </w:tc>
                        <w:tc>
                          <w:tcPr>
                            <w:tcW w:w="846" w:type="pct"/>
                            <w:noWrap/>
                            <w:hideMark/>
                          </w:tcPr>
                          <w:p w14:paraId="71900C6B"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6,490</w:t>
                            </w:r>
                          </w:p>
                        </w:tc>
                        <w:tc>
                          <w:tcPr>
                            <w:tcW w:w="834" w:type="pct"/>
                            <w:noWrap/>
                            <w:hideMark/>
                          </w:tcPr>
                          <w:p w14:paraId="3E395A49"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43,624</w:t>
                            </w:r>
                          </w:p>
                        </w:tc>
                        <w:tc>
                          <w:tcPr>
                            <w:tcW w:w="292" w:type="pct"/>
                            <w:noWrap/>
                            <w:hideMark/>
                          </w:tcPr>
                          <w:p w14:paraId="39496E46"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1.14</w:t>
                            </w:r>
                          </w:p>
                        </w:tc>
                        <w:tc>
                          <w:tcPr>
                            <w:tcW w:w="933" w:type="pct"/>
                            <w:noWrap/>
                            <w:hideMark/>
                          </w:tcPr>
                          <w:p w14:paraId="51183F68"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1.4</w:t>
                            </w:r>
                          </w:p>
                        </w:tc>
                      </w:tr>
                      <w:tr w:rsidR="003D14AC" w:rsidRPr="00121C98" w14:paraId="4E7FAC13" w14:textId="77777777" w:rsidTr="00923B2F">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418DA347" w14:textId="77777777" w:rsidR="003D14AC" w:rsidRPr="00FF639F" w:rsidRDefault="003D14AC" w:rsidP="001A1E04">
                            <w:pPr>
                              <w:rPr>
                                <w:bCs w:val="0"/>
                              </w:rPr>
                            </w:pPr>
                            <w:r w:rsidRPr="00FF639F">
                              <w:rPr>
                                <w:bCs w:val="0"/>
                              </w:rPr>
                              <w:t>Professional and technical services</w:t>
                            </w:r>
                          </w:p>
                        </w:tc>
                        <w:tc>
                          <w:tcPr>
                            <w:tcW w:w="846" w:type="pct"/>
                            <w:noWrap/>
                            <w:hideMark/>
                          </w:tcPr>
                          <w:p w14:paraId="71BDB06F"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27,802</w:t>
                            </w:r>
                          </w:p>
                        </w:tc>
                        <w:tc>
                          <w:tcPr>
                            <w:tcW w:w="834" w:type="pct"/>
                            <w:noWrap/>
                            <w:hideMark/>
                          </w:tcPr>
                          <w:p w14:paraId="152683C5"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239,651</w:t>
                            </w:r>
                          </w:p>
                        </w:tc>
                        <w:tc>
                          <w:tcPr>
                            <w:tcW w:w="292" w:type="pct"/>
                            <w:noWrap/>
                            <w:hideMark/>
                          </w:tcPr>
                          <w:p w14:paraId="0199D059"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1.54</w:t>
                            </w:r>
                          </w:p>
                        </w:tc>
                        <w:tc>
                          <w:tcPr>
                            <w:tcW w:w="933" w:type="pct"/>
                            <w:noWrap/>
                            <w:hideMark/>
                          </w:tcPr>
                          <w:p w14:paraId="04DA8728"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1.6</w:t>
                            </w:r>
                          </w:p>
                        </w:tc>
                      </w:tr>
                      <w:tr w:rsidR="003D14AC" w:rsidRPr="00121C98" w14:paraId="487377CB" w14:textId="77777777" w:rsidTr="00923B2F">
                        <w:trPr>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12F93020" w14:textId="77777777" w:rsidR="003D14AC" w:rsidRPr="00FF639F" w:rsidRDefault="003D14AC" w:rsidP="001A1E04">
                            <w:pPr>
                              <w:rPr>
                                <w:bCs w:val="0"/>
                              </w:rPr>
                            </w:pPr>
                            <w:r w:rsidRPr="00FF639F">
                              <w:rPr>
                                <w:bCs w:val="0"/>
                              </w:rPr>
                              <w:t>Educational services</w:t>
                            </w:r>
                          </w:p>
                        </w:tc>
                        <w:tc>
                          <w:tcPr>
                            <w:tcW w:w="846" w:type="pct"/>
                            <w:noWrap/>
                            <w:hideMark/>
                          </w:tcPr>
                          <w:p w14:paraId="7CB80055"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2,683</w:t>
                            </w:r>
                          </w:p>
                        </w:tc>
                        <w:tc>
                          <w:tcPr>
                            <w:tcW w:w="834" w:type="pct"/>
                            <w:noWrap/>
                            <w:hideMark/>
                          </w:tcPr>
                          <w:p w14:paraId="39F1AC5F"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62,281</w:t>
                            </w:r>
                          </w:p>
                        </w:tc>
                        <w:tc>
                          <w:tcPr>
                            <w:tcW w:w="292" w:type="pct"/>
                            <w:noWrap/>
                            <w:hideMark/>
                          </w:tcPr>
                          <w:p w14:paraId="076E9D25"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1.25</w:t>
                            </w:r>
                          </w:p>
                        </w:tc>
                        <w:tc>
                          <w:tcPr>
                            <w:tcW w:w="933" w:type="pct"/>
                            <w:noWrap/>
                            <w:hideMark/>
                          </w:tcPr>
                          <w:p w14:paraId="398F45BF"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1.6</w:t>
                            </w:r>
                          </w:p>
                        </w:tc>
                      </w:tr>
                      <w:tr w:rsidR="003D14AC" w:rsidRPr="00121C98" w14:paraId="619EE1C8" w14:textId="77777777" w:rsidTr="00923B2F">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10C7848F" w14:textId="77777777" w:rsidR="003D14AC" w:rsidRPr="00FF639F" w:rsidRDefault="003D14AC" w:rsidP="001A1E04">
                            <w:pPr>
                              <w:rPr>
                                <w:bCs w:val="0"/>
                              </w:rPr>
                            </w:pPr>
                            <w:r w:rsidRPr="00FF639F">
                              <w:rPr>
                                <w:bCs w:val="0"/>
                              </w:rPr>
                              <w:t>Health care and social assistance</w:t>
                            </w:r>
                          </w:p>
                        </w:tc>
                        <w:tc>
                          <w:tcPr>
                            <w:tcW w:w="846" w:type="pct"/>
                            <w:noWrap/>
                            <w:hideMark/>
                          </w:tcPr>
                          <w:p w14:paraId="5135254F"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16,552</w:t>
                            </w:r>
                          </w:p>
                        </w:tc>
                        <w:tc>
                          <w:tcPr>
                            <w:tcW w:w="834" w:type="pct"/>
                            <w:noWrap/>
                            <w:hideMark/>
                          </w:tcPr>
                          <w:p w14:paraId="7EE52CD9"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346,379</w:t>
                            </w:r>
                          </w:p>
                        </w:tc>
                        <w:tc>
                          <w:tcPr>
                            <w:tcW w:w="292" w:type="pct"/>
                            <w:noWrap/>
                            <w:hideMark/>
                          </w:tcPr>
                          <w:p w14:paraId="38F68947"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1.04</w:t>
                            </w:r>
                          </w:p>
                        </w:tc>
                        <w:tc>
                          <w:tcPr>
                            <w:tcW w:w="933" w:type="pct"/>
                            <w:noWrap/>
                            <w:hideMark/>
                          </w:tcPr>
                          <w:p w14:paraId="64FD39CA"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1.3</w:t>
                            </w:r>
                          </w:p>
                        </w:tc>
                      </w:tr>
                      <w:tr w:rsidR="003D14AC" w:rsidRPr="00121C98" w14:paraId="740CEDC4" w14:textId="77777777" w:rsidTr="00923B2F">
                        <w:trPr>
                          <w:trHeight w:val="302"/>
                        </w:trPr>
                        <w:tc>
                          <w:tcPr>
                            <w:cnfStyle w:val="001000000000" w:firstRow="0" w:lastRow="0" w:firstColumn="1" w:lastColumn="0" w:oddVBand="0" w:evenVBand="0" w:oddHBand="0" w:evenHBand="0" w:firstRowFirstColumn="0" w:firstRowLastColumn="0" w:lastRowFirstColumn="0" w:lastRowLastColumn="0"/>
                            <w:tcW w:w="2095" w:type="pct"/>
                            <w:noWrap/>
                            <w:hideMark/>
                          </w:tcPr>
                          <w:p w14:paraId="2748A8F9" w14:textId="77777777" w:rsidR="003D14AC" w:rsidRPr="00FF639F" w:rsidRDefault="003D14AC" w:rsidP="001A1E04">
                            <w:pPr>
                              <w:rPr>
                                <w:bCs w:val="0"/>
                              </w:rPr>
                            </w:pPr>
                            <w:r w:rsidRPr="00FF639F">
                              <w:rPr>
                                <w:bCs w:val="0"/>
                              </w:rPr>
                              <w:t>Arts, entertainment, and recreation</w:t>
                            </w:r>
                          </w:p>
                        </w:tc>
                        <w:tc>
                          <w:tcPr>
                            <w:tcW w:w="846" w:type="pct"/>
                            <w:noWrap/>
                            <w:hideMark/>
                          </w:tcPr>
                          <w:p w14:paraId="298720D7"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2,536</w:t>
                            </w:r>
                          </w:p>
                        </w:tc>
                        <w:tc>
                          <w:tcPr>
                            <w:tcW w:w="834" w:type="pct"/>
                            <w:noWrap/>
                            <w:hideMark/>
                          </w:tcPr>
                          <w:p w14:paraId="40039D6A"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43,925</w:t>
                            </w:r>
                          </w:p>
                        </w:tc>
                        <w:tc>
                          <w:tcPr>
                            <w:tcW w:w="292" w:type="pct"/>
                            <w:noWrap/>
                            <w:hideMark/>
                          </w:tcPr>
                          <w:p w14:paraId="65BAC605"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1.12</w:t>
                            </w:r>
                          </w:p>
                        </w:tc>
                        <w:tc>
                          <w:tcPr>
                            <w:tcW w:w="933" w:type="pct"/>
                            <w:noWrap/>
                            <w:hideMark/>
                          </w:tcPr>
                          <w:p w14:paraId="494B97D7" w14:textId="77777777" w:rsidR="003D14AC" w:rsidRPr="00481C07"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481C07">
                              <w:t>5.5</w:t>
                            </w:r>
                          </w:p>
                        </w:tc>
                      </w:tr>
                      <w:tr w:rsidR="003D14AC" w:rsidRPr="00121C98" w14:paraId="43DCC4D1" w14:textId="77777777" w:rsidTr="00923B2F">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095" w:type="pct"/>
                            <w:noWrap/>
                            <w:hideMark/>
                          </w:tcPr>
                          <w:p w14:paraId="2F0A702A" w14:textId="77777777" w:rsidR="003D14AC" w:rsidRPr="00FF639F" w:rsidRDefault="003D14AC" w:rsidP="001A1E04">
                            <w:pPr>
                              <w:rPr>
                                <w:bCs w:val="0"/>
                              </w:rPr>
                            </w:pPr>
                            <w:r w:rsidRPr="00FF639F">
                              <w:rPr>
                                <w:bCs w:val="0"/>
                              </w:rPr>
                              <w:t>Other services, except public administration</w:t>
                            </w:r>
                          </w:p>
                        </w:tc>
                        <w:tc>
                          <w:tcPr>
                            <w:tcW w:w="846" w:type="pct"/>
                            <w:noWrap/>
                            <w:hideMark/>
                          </w:tcPr>
                          <w:p w14:paraId="3E7DCDC1"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19,479</w:t>
                            </w:r>
                          </w:p>
                        </w:tc>
                        <w:tc>
                          <w:tcPr>
                            <w:tcW w:w="834" w:type="pct"/>
                            <w:noWrap/>
                            <w:hideMark/>
                          </w:tcPr>
                          <w:p w14:paraId="7B4B3E6D"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89,117</w:t>
                            </w:r>
                          </w:p>
                        </w:tc>
                        <w:tc>
                          <w:tcPr>
                            <w:tcW w:w="292" w:type="pct"/>
                            <w:noWrap/>
                            <w:hideMark/>
                          </w:tcPr>
                          <w:p w14:paraId="10A6C939" w14:textId="77777777" w:rsidR="003D14AC" w:rsidRPr="00481C07"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481C07">
                              <w:t>1.13</w:t>
                            </w:r>
                          </w:p>
                        </w:tc>
                        <w:tc>
                          <w:tcPr>
                            <w:tcW w:w="933" w:type="pct"/>
                            <w:noWrap/>
                            <w:hideMark/>
                          </w:tcPr>
                          <w:p w14:paraId="6982394A" w14:textId="77777777" w:rsidR="003D14AC" w:rsidRPr="00481C07" w:rsidRDefault="003D14AC" w:rsidP="001A1E04">
                            <w:pPr>
                              <w:keepNext/>
                              <w:jc w:val="right"/>
                              <w:cnfStyle w:val="000000100000" w:firstRow="0" w:lastRow="0" w:firstColumn="0" w:lastColumn="0" w:oddVBand="0" w:evenVBand="0" w:oddHBand="1" w:evenHBand="0" w:firstRowFirstColumn="0" w:firstRowLastColumn="0" w:lastRowFirstColumn="0" w:lastRowLastColumn="0"/>
                            </w:pPr>
                            <w:r w:rsidRPr="00481C07">
                              <w:t>0.6</w:t>
                            </w:r>
                          </w:p>
                        </w:tc>
                      </w:tr>
                    </w:tbl>
                    <w:p w14:paraId="07776636" w14:textId="77777777" w:rsidR="003D14AC" w:rsidRDefault="003D14AC" w:rsidP="006A7414">
                      <w:pPr>
                        <w:pStyle w:val="Caption"/>
                        <w:rPr>
                          <w:b/>
                        </w:rPr>
                      </w:pPr>
                      <w:r>
                        <w:t xml:space="preserve">Table </w:t>
                      </w:r>
                      <w:fldSimple w:instr=" SEQ Table \* ARABIC ">
                        <w:r w:rsidR="00943AA8">
                          <w:rPr>
                            <w:noProof/>
                          </w:rPr>
                          <w:t>1</w:t>
                        </w:r>
                      </w:fldSimple>
                      <w:r>
                        <w:t>: Maryland's Growth Industries</w:t>
                      </w:r>
                    </w:p>
                    <w:p w14:paraId="0A98E8C2" w14:textId="77777777" w:rsidR="003D14AC" w:rsidRDefault="003D14AC"/>
                  </w:txbxContent>
                </v:textbox>
                <w10:wrap type="topAndBottom"/>
              </v:shape>
            </w:pict>
          </mc:Fallback>
        </mc:AlternateContent>
      </w:r>
    </w:p>
    <w:p w14:paraId="1834B38F" w14:textId="77777777" w:rsidR="00F93162" w:rsidRPr="00086D40" w:rsidRDefault="00F93162" w:rsidP="00F93162">
      <w:pPr>
        <w:pStyle w:val="Heading4"/>
        <w:spacing w:before="0" w:line="240" w:lineRule="auto"/>
        <w:rPr>
          <w:rFonts w:ascii="Garamond" w:hAnsi="Garamond"/>
          <w:sz w:val="24"/>
          <w:szCs w:val="24"/>
        </w:rPr>
      </w:pPr>
      <w:r w:rsidRPr="00086D40">
        <w:rPr>
          <w:rFonts w:ascii="Garamond" w:hAnsi="Garamond"/>
          <w:sz w:val="24"/>
          <w:szCs w:val="24"/>
        </w:rPr>
        <w:t xml:space="preserve">Growth Industries </w:t>
      </w:r>
    </w:p>
    <w:p w14:paraId="45F662AF" w14:textId="490E47FA" w:rsidR="00F93162" w:rsidRPr="004A0C12" w:rsidRDefault="00F93162" w:rsidP="00F93162">
      <w:pPr>
        <w:spacing w:after="0" w:line="240" w:lineRule="auto"/>
        <w:jc w:val="both"/>
        <w:rPr>
          <w:rFonts w:ascii="Garamond" w:hAnsi="Garamond"/>
        </w:rPr>
      </w:pPr>
      <w:r w:rsidRPr="004A0C12">
        <w:rPr>
          <w:rFonts w:ascii="Garamond" w:hAnsi="Garamond"/>
        </w:rPr>
        <w:t xml:space="preserve">Using the growth in private employment from 2013 to 2014 in combination with Location Quotients (LQ) greater than one, seven growth industries were identified for the state of Maryland. Health care and social assistance and </w:t>
      </w:r>
      <w:r w:rsidR="005949CE" w:rsidRPr="004A0C12">
        <w:rPr>
          <w:rFonts w:ascii="Garamond" w:hAnsi="Garamond"/>
        </w:rPr>
        <w:t>p</w:t>
      </w:r>
      <w:r w:rsidRPr="004A0C12">
        <w:rPr>
          <w:rFonts w:ascii="Garamond" w:hAnsi="Garamond"/>
        </w:rPr>
        <w:t xml:space="preserve">rofessional and technical services are large components of Maryland’s economy, and from 2013 to 2014 they experienced a growth of 1.3 percent and 1.6 percent respectively. Arts, entertainment, and recreation experienced the largest growth of 5.5 percent from 2013 to 2014 with Construction coming in second with a growth of 2.4 percent (See Table 1). </w:t>
      </w:r>
    </w:p>
    <w:p w14:paraId="48BA6A9A" w14:textId="77777777" w:rsidR="006A7414" w:rsidRPr="00086D40" w:rsidRDefault="006A7414" w:rsidP="00F93162">
      <w:pPr>
        <w:pStyle w:val="Heading4"/>
        <w:rPr>
          <w:rFonts w:ascii="Garamond" w:hAnsi="Garamond"/>
          <w:sz w:val="24"/>
          <w:szCs w:val="24"/>
        </w:rPr>
      </w:pPr>
      <w:r w:rsidRPr="00086D40">
        <w:rPr>
          <w:rFonts w:ascii="Garamond" w:hAnsi="Garamond"/>
          <w:sz w:val="24"/>
          <w:szCs w:val="24"/>
        </w:rPr>
        <w:t xml:space="preserve">Emerging Industries </w:t>
      </w:r>
    </w:p>
    <w:p w14:paraId="32987C13" w14:textId="2BDD095A" w:rsidR="006A7414" w:rsidRPr="004A0C12" w:rsidRDefault="00FF639F" w:rsidP="00057B5A">
      <w:pPr>
        <w:spacing w:after="0" w:line="240" w:lineRule="auto"/>
        <w:jc w:val="both"/>
        <w:rPr>
          <w:rFonts w:ascii="Garamond" w:hAnsi="Garamond"/>
        </w:rPr>
      </w:pPr>
      <w:r w:rsidRPr="004A0C12">
        <w:rPr>
          <w:rFonts w:ascii="Garamond" w:hAnsi="Garamond"/>
          <w:noProof/>
        </w:rPr>
        <mc:AlternateContent>
          <mc:Choice Requires="wps">
            <w:drawing>
              <wp:anchor distT="0" distB="0" distL="114300" distR="114300" simplePos="0" relativeHeight="251669504" behindDoc="0" locked="0" layoutInCell="1" allowOverlap="1" wp14:anchorId="1CFAFA20" wp14:editId="36A98048">
                <wp:simplePos x="0" y="0"/>
                <wp:positionH relativeFrom="column">
                  <wp:posOffset>0</wp:posOffset>
                </wp:positionH>
                <wp:positionV relativeFrom="paragraph">
                  <wp:posOffset>810895</wp:posOffset>
                </wp:positionV>
                <wp:extent cx="6957060" cy="1565910"/>
                <wp:effectExtent l="0" t="0" r="15240" b="15240"/>
                <wp:wrapTopAndBottom/>
                <wp:docPr id="21" name="Text Box 21"/>
                <wp:cNvGraphicFramePr/>
                <a:graphic xmlns:a="http://schemas.openxmlformats.org/drawingml/2006/main">
                  <a:graphicData uri="http://schemas.microsoft.com/office/word/2010/wordprocessingShape">
                    <wps:wsp>
                      <wps:cNvSpPr txBox="1"/>
                      <wps:spPr>
                        <a:xfrm>
                          <a:off x="0" y="0"/>
                          <a:ext cx="6957060" cy="15659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4991" w:type="pct"/>
                              <w:tblLook w:val="04A0" w:firstRow="1" w:lastRow="0" w:firstColumn="1" w:lastColumn="0" w:noHBand="0" w:noVBand="1"/>
                              <w:tblCaption w:val="Maryland's Emerging Industries"/>
                              <w:tblDescription w:val="This table shows Maryland's key emerging industries by number of establishments, average employment level, location quotient, and employment percentage change. Maryland's key emerging industries are: Accomodation and food services; Administrative and waste services; Agriculture, forestry, fishing, and hunting; Retail trade; and, Transportation and warehousing. "/>
                            </w:tblPr>
                            <w:tblGrid>
                              <w:gridCol w:w="4550"/>
                              <w:gridCol w:w="1709"/>
                              <w:gridCol w:w="1791"/>
                              <w:gridCol w:w="789"/>
                              <w:gridCol w:w="2030"/>
                            </w:tblGrid>
                            <w:tr w:rsidR="003D14AC" w:rsidRPr="00FF639F" w14:paraId="1290E182" w14:textId="77777777" w:rsidTr="00923B2F">
                              <w:trPr>
                                <w:cnfStyle w:val="100000000000" w:firstRow="1" w:lastRow="0" w:firstColumn="0" w:lastColumn="0" w:oddVBand="0" w:evenVBand="0" w:oddHBand="0" w:evenHBand="0" w:firstRowFirstColumn="0" w:firstRowLastColumn="0" w:lastRowFirstColumn="0" w:lastRowLastColumn="0"/>
                                <w:trHeight w:val="323"/>
                                <w:tblHeader/>
                              </w:trPr>
                              <w:tc>
                                <w:tcPr>
                                  <w:cnfStyle w:val="001000000000" w:firstRow="0" w:lastRow="0" w:firstColumn="1" w:lastColumn="0" w:oddVBand="0" w:evenVBand="0" w:oddHBand="0" w:evenHBand="0" w:firstRowFirstColumn="0" w:firstRowLastColumn="0" w:lastRowFirstColumn="0" w:lastRowLastColumn="0"/>
                                  <w:tcW w:w="2093" w:type="pct"/>
                                  <w:noWrap/>
                                  <w:hideMark/>
                                </w:tcPr>
                                <w:p w14:paraId="78822BDD" w14:textId="77777777" w:rsidR="003D14AC" w:rsidRPr="00FF639F" w:rsidRDefault="003D14AC" w:rsidP="001A1E04">
                                  <w:pPr>
                                    <w:rPr>
                                      <w:bCs w:val="0"/>
                                    </w:rPr>
                                  </w:pPr>
                                  <w:r w:rsidRPr="00FF639F">
                                    <w:rPr>
                                      <w:bCs w:val="0"/>
                                    </w:rPr>
                                    <w:t xml:space="preserve">Industry  </w:t>
                                  </w:r>
                                </w:p>
                              </w:tc>
                              <w:tc>
                                <w:tcPr>
                                  <w:tcW w:w="786" w:type="pct"/>
                                  <w:noWrap/>
                                  <w:hideMark/>
                                </w:tcPr>
                                <w:p w14:paraId="34D9B373"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Establishments</w:t>
                                  </w:r>
                                </w:p>
                              </w:tc>
                              <w:tc>
                                <w:tcPr>
                                  <w:tcW w:w="824" w:type="pct"/>
                                  <w:noWrap/>
                                  <w:hideMark/>
                                </w:tcPr>
                                <w:p w14:paraId="1EC6077D"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Avg. Emp. Level </w:t>
                                  </w:r>
                                </w:p>
                              </w:tc>
                              <w:tc>
                                <w:tcPr>
                                  <w:tcW w:w="363" w:type="pct"/>
                                  <w:noWrap/>
                                  <w:hideMark/>
                                </w:tcPr>
                                <w:p w14:paraId="2E1A0F8B"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LQ</w:t>
                                  </w:r>
                                </w:p>
                              </w:tc>
                              <w:tc>
                                <w:tcPr>
                                  <w:tcW w:w="935" w:type="pct"/>
                                  <w:noWrap/>
                                  <w:hideMark/>
                                </w:tcPr>
                                <w:p w14:paraId="38D305C3"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OTY Emp. % Chg.</w:t>
                                  </w:r>
                                </w:p>
                              </w:tc>
                            </w:tr>
                            <w:tr w:rsidR="003D14AC" w:rsidRPr="00FF639F" w14:paraId="3502DFD6" w14:textId="77777777" w:rsidTr="00FF639F">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093" w:type="pct"/>
                                  <w:noWrap/>
                                  <w:hideMark/>
                                </w:tcPr>
                                <w:p w14:paraId="5B27FFA2" w14:textId="77777777" w:rsidR="003D14AC" w:rsidRPr="00FF639F" w:rsidRDefault="003D14AC" w:rsidP="001A1E04">
                                  <w:pPr>
                                    <w:rPr>
                                      <w:bCs w:val="0"/>
                                    </w:rPr>
                                  </w:pPr>
                                  <w:r w:rsidRPr="00FF639F">
                                    <w:rPr>
                                      <w:bCs w:val="0"/>
                                    </w:rPr>
                                    <w:t>Accommodation and food services</w:t>
                                  </w:r>
                                </w:p>
                              </w:tc>
                              <w:tc>
                                <w:tcPr>
                                  <w:tcW w:w="786" w:type="pct"/>
                                  <w:noWrap/>
                                  <w:hideMark/>
                                </w:tcPr>
                                <w:p w14:paraId="2886C7AA"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11,777</w:t>
                                  </w:r>
                                </w:p>
                              </w:tc>
                              <w:tc>
                                <w:tcPr>
                                  <w:tcW w:w="824" w:type="pct"/>
                                  <w:noWrap/>
                                  <w:hideMark/>
                                </w:tcPr>
                                <w:p w14:paraId="55A6881E"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216,313</w:t>
                                  </w:r>
                                </w:p>
                              </w:tc>
                              <w:tc>
                                <w:tcPr>
                                  <w:tcW w:w="363" w:type="pct"/>
                                  <w:noWrap/>
                                  <w:hideMark/>
                                </w:tcPr>
                                <w:p w14:paraId="70C0CC0D"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0.92</w:t>
                                  </w:r>
                                </w:p>
                              </w:tc>
                              <w:tc>
                                <w:tcPr>
                                  <w:tcW w:w="935" w:type="pct"/>
                                  <w:noWrap/>
                                  <w:hideMark/>
                                </w:tcPr>
                                <w:p w14:paraId="2F60F0CE"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1.8</w:t>
                                  </w:r>
                                </w:p>
                              </w:tc>
                            </w:tr>
                            <w:tr w:rsidR="003D14AC" w:rsidRPr="00FF639F" w14:paraId="3878D5EB" w14:textId="77777777" w:rsidTr="00FF639F">
                              <w:trPr>
                                <w:trHeight w:val="308"/>
                              </w:trPr>
                              <w:tc>
                                <w:tcPr>
                                  <w:cnfStyle w:val="001000000000" w:firstRow="0" w:lastRow="0" w:firstColumn="1" w:lastColumn="0" w:oddVBand="0" w:evenVBand="0" w:oddHBand="0" w:evenHBand="0" w:firstRowFirstColumn="0" w:firstRowLastColumn="0" w:lastRowFirstColumn="0" w:lastRowLastColumn="0"/>
                                  <w:tcW w:w="2093" w:type="pct"/>
                                  <w:noWrap/>
                                  <w:hideMark/>
                                </w:tcPr>
                                <w:p w14:paraId="4A51D5C8" w14:textId="77777777" w:rsidR="003D14AC" w:rsidRPr="00FF639F" w:rsidRDefault="003D14AC" w:rsidP="001A1E04">
                                  <w:pPr>
                                    <w:rPr>
                                      <w:bCs w:val="0"/>
                                    </w:rPr>
                                  </w:pPr>
                                  <w:r w:rsidRPr="00FF639F">
                                    <w:rPr>
                                      <w:bCs w:val="0"/>
                                    </w:rPr>
                                    <w:t>Administrative and waste services</w:t>
                                  </w:r>
                                </w:p>
                              </w:tc>
                              <w:tc>
                                <w:tcPr>
                                  <w:tcW w:w="786" w:type="pct"/>
                                  <w:noWrap/>
                                  <w:hideMark/>
                                </w:tcPr>
                                <w:p w14:paraId="4083269C"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11,379</w:t>
                                  </w:r>
                                </w:p>
                              </w:tc>
                              <w:tc>
                                <w:tcPr>
                                  <w:tcW w:w="824" w:type="pct"/>
                                  <w:noWrap/>
                                  <w:hideMark/>
                                </w:tcPr>
                                <w:p w14:paraId="026CF70F"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158,827</w:t>
                                  </w:r>
                                </w:p>
                              </w:tc>
                              <w:tc>
                                <w:tcPr>
                                  <w:tcW w:w="363" w:type="pct"/>
                                  <w:noWrap/>
                                  <w:hideMark/>
                                </w:tcPr>
                                <w:p w14:paraId="294E9965"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0.99</w:t>
                                  </w:r>
                                </w:p>
                              </w:tc>
                              <w:tc>
                                <w:tcPr>
                                  <w:tcW w:w="935" w:type="pct"/>
                                  <w:noWrap/>
                                  <w:hideMark/>
                                </w:tcPr>
                                <w:p w14:paraId="475F9235"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2.1</w:t>
                                  </w:r>
                                </w:p>
                              </w:tc>
                            </w:tr>
                            <w:tr w:rsidR="003D14AC" w:rsidRPr="00FF639F" w14:paraId="7C1F9949" w14:textId="77777777" w:rsidTr="00FF639F">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093" w:type="pct"/>
                                  <w:noWrap/>
                                  <w:hideMark/>
                                </w:tcPr>
                                <w:p w14:paraId="0EB369F9" w14:textId="77777777" w:rsidR="003D14AC" w:rsidRPr="00FF639F" w:rsidRDefault="003D14AC" w:rsidP="001A1E04">
                                  <w:pPr>
                                    <w:rPr>
                                      <w:bCs w:val="0"/>
                                    </w:rPr>
                                  </w:pPr>
                                  <w:r w:rsidRPr="00FF639F">
                                    <w:rPr>
                                      <w:bCs w:val="0"/>
                                    </w:rPr>
                                    <w:t>Agriculture, forestry, fishing and hunting</w:t>
                                  </w:r>
                                </w:p>
                              </w:tc>
                              <w:tc>
                                <w:tcPr>
                                  <w:tcW w:w="786" w:type="pct"/>
                                  <w:noWrap/>
                                  <w:hideMark/>
                                </w:tcPr>
                                <w:p w14:paraId="13F52185"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583</w:t>
                                  </w:r>
                                </w:p>
                              </w:tc>
                              <w:tc>
                                <w:tcPr>
                                  <w:tcW w:w="824" w:type="pct"/>
                                  <w:noWrap/>
                                  <w:hideMark/>
                                </w:tcPr>
                                <w:p w14:paraId="3E13974D"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5,150</w:t>
                                  </w:r>
                                </w:p>
                              </w:tc>
                              <w:tc>
                                <w:tcPr>
                                  <w:tcW w:w="363" w:type="pct"/>
                                  <w:noWrap/>
                                  <w:hideMark/>
                                </w:tcPr>
                                <w:p w14:paraId="10A0305B"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0.22</w:t>
                                  </w:r>
                                </w:p>
                              </w:tc>
                              <w:tc>
                                <w:tcPr>
                                  <w:tcW w:w="935" w:type="pct"/>
                                  <w:noWrap/>
                                  <w:hideMark/>
                                </w:tcPr>
                                <w:p w14:paraId="6C6BBC31"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3.5</w:t>
                                  </w:r>
                                </w:p>
                              </w:tc>
                            </w:tr>
                            <w:tr w:rsidR="003D14AC" w:rsidRPr="00FF639F" w14:paraId="23463169" w14:textId="77777777" w:rsidTr="00FF639F">
                              <w:trPr>
                                <w:trHeight w:val="308"/>
                              </w:trPr>
                              <w:tc>
                                <w:tcPr>
                                  <w:cnfStyle w:val="001000000000" w:firstRow="0" w:lastRow="0" w:firstColumn="1" w:lastColumn="0" w:oddVBand="0" w:evenVBand="0" w:oddHBand="0" w:evenHBand="0" w:firstRowFirstColumn="0" w:firstRowLastColumn="0" w:lastRowFirstColumn="0" w:lastRowLastColumn="0"/>
                                  <w:tcW w:w="2093" w:type="pct"/>
                                  <w:noWrap/>
                                  <w:hideMark/>
                                </w:tcPr>
                                <w:p w14:paraId="63487E87" w14:textId="77777777" w:rsidR="003D14AC" w:rsidRPr="00FF639F" w:rsidRDefault="003D14AC" w:rsidP="001A1E04">
                                  <w:pPr>
                                    <w:rPr>
                                      <w:bCs w:val="0"/>
                                    </w:rPr>
                                  </w:pPr>
                                  <w:r w:rsidRPr="00FF639F">
                                    <w:rPr>
                                      <w:bCs w:val="0"/>
                                    </w:rPr>
                                    <w:t>Retail trade</w:t>
                                  </w:r>
                                </w:p>
                              </w:tc>
                              <w:tc>
                                <w:tcPr>
                                  <w:tcW w:w="786" w:type="pct"/>
                                  <w:noWrap/>
                                  <w:hideMark/>
                                </w:tcPr>
                                <w:p w14:paraId="6F2AE85E"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18,610</w:t>
                                  </w:r>
                                </w:p>
                              </w:tc>
                              <w:tc>
                                <w:tcPr>
                                  <w:tcW w:w="824" w:type="pct"/>
                                  <w:noWrap/>
                                  <w:hideMark/>
                                </w:tcPr>
                                <w:p w14:paraId="5C214A7E"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286,938</w:t>
                                  </w:r>
                                </w:p>
                              </w:tc>
                              <w:tc>
                                <w:tcPr>
                                  <w:tcW w:w="363" w:type="pct"/>
                                  <w:noWrap/>
                                  <w:hideMark/>
                                </w:tcPr>
                                <w:p w14:paraId="0433B6CB"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w:t>
                                  </w:r>
                                </w:p>
                              </w:tc>
                              <w:tc>
                                <w:tcPr>
                                  <w:tcW w:w="935" w:type="pct"/>
                                  <w:noWrap/>
                                  <w:hideMark/>
                                </w:tcPr>
                                <w:p w14:paraId="4EF83641"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0.9</w:t>
                                  </w:r>
                                </w:p>
                              </w:tc>
                            </w:tr>
                            <w:tr w:rsidR="003D14AC" w:rsidRPr="00FF639F" w14:paraId="67FFF83B" w14:textId="77777777" w:rsidTr="00FF639F">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093" w:type="pct"/>
                                  <w:noWrap/>
                                  <w:hideMark/>
                                </w:tcPr>
                                <w:p w14:paraId="56E23BCC" w14:textId="77777777" w:rsidR="003D14AC" w:rsidRPr="00FF639F" w:rsidRDefault="003D14AC" w:rsidP="001A1E04">
                                  <w:pPr>
                                    <w:rPr>
                                      <w:bCs w:val="0"/>
                                    </w:rPr>
                                  </w:pPr>
                                  <w:r w:rsidRPr="00FF639F">
                                    <w:rPr>
                                      <w:bCs w:val="0"/>
                                    </w:rPr>
                                    <w:t>Transportation and warehousing</w:t>
                                  </w:r>
                                </w:p>
                              </w:tc>
                              <w:tc>
                                <w:tcPr>
                                  <w:tcW w:w="786" w:type="pct"/>
                                  <w:noWrap/>
                                  <w:hideMark/>
                                </w:tcPr>
                                <w:p w14:paraId="401CD2DB"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3,719</w:t>
                                  </w:r>
                                </w:p>
                              </w:tc>
                              <w:tc>
                                <w:tcPr>
                                  <w:tcW w:w="824" w:type="pct"/>
                                  <w:noWrap/>
                                  <w:hideMark/>
                                </w:tcPr>
                                <w:p w14:paraId="2CD1FBEB"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67,509</w:t>
                                  </w:r>
                                </w:p>
                              </w:tc>
                              <w:tc>
                                <w:tcPr>
                                  <w:tcW w:w="363" w:type="pct"/>
                                  <w:noWrap/>
                                  <w:hideMark/>
                                </w:tcPr>
                                <w:p w14:paraId="0EBA307A"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0.82</w:t>
                                  </w:r>
                                </w:p>
                              </w:tc>
                              <w:tc>
                                <w:tcPr>
                                  <w:tcW w:w="935" w:type="pct"/>
                                  <w:noWrap/>
                                  <w:hideMark/>
                                </w:tcPr>
                                <w:p w14:paraId="17E28473" w14:textId="77777777" w:rsidR="003D14AC" w:rsidRPr="00FF639F" w:rsidRDefault="003D14AC" w:rsidP="001A1E04">
                                  <w:pPr>
                                    <w:keepNext/>
                                    <w:jc w:val="right"/>
                                    <w:cnfStyle w:val="000000100000" w:firstRow="0" w:lastRow="0" w:firstColumn="0" w:lastColumn="0" w:oddVBand="0" w:evenVBand="0" w:oddHBand="1" w:evenHBand="0" w:firstRowFirstColumn="0" w:firstRowLastColumn="0" w:lastRowFirstColumn="0" w:lastRowLastColumn="0"/>
                                  </w:pPr>
                                  <w:r w:rsidRPr="00FF639F">
                                    <w:t>3.4</w:t>
                                  </w:r>
                                </w:p>
                              </w:tc>
                            </w:tr>
                          </w:tbl>
                          <w:p w14:paraId="61E2E212" w14:textId="77777777" w:rsidR="003D14AC" w:rsidRDefault="003D14AC" w:rsidP="00196A22">
                            <w:pPr>
                              <w:pStyle w:val="Caption"/>
                              <w:rPr>
                                <w:b/>
                              </w:rPr>
                            </w:pPr>
                            <w:r>
                              <w:t xml:space="preserve">Table </w:t>
                            </w:r>
                            <w:fldSimple w:instr=" SEQ Table \* ARABIC ">
                              <w:r w:rsidR="00943AA8">
                                <w:rPr>
                                  <w:noProof/>
                                </w:rPr>
                                <w:t>2</w:t>
                              </w:r>
                            </w:fldSimple>
                            <w:r>
                              <w:t>: Maryland's Emerging Industries</w:t>
                            </w:r>
                          </w:p>
                          <w:p w14:paraId="5807C94B"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32" type="#_x0000_t202" style="position:absolute;left:0;text-align:left;margin-left:0;margin-top:63.85pt;width:547.8pt;height:123.3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" fillcolor="white [3201]" strokeweight=".5pt">
                <v:textbox>
                  <w:txbxContent>
                    <w:tbl>
                      <w:tblPr>
                        <w:tblStyle w:val="PlainTable11"/>
                        <w:tblW w:w="4991" w:type="pct"/>
                        <w:tblLook w:val="04A0" w:firstRow="1" w:lastRow="0" w:firstColumn="1" w:lastColumn="0" w:noHBand="0" w:noVBand="1"/>
                        <w:tblCaption w:val="Maryland's Emerging Industries"/>
                        <w:tblDescription w:val="This table shows Maryland's key emerging industries by number of establishments, average employment level, location quotient, and employment percentage change. Maryland's key emerging industries are: Accomodation and food services; Administrative and waste services; Agriculture, forestry, fishing, and hunting; Retail trade; and, Transportation and warehousing. "/>
                      </w:tblPr>
                      <w:tblGrid>
                        <w:gridCol w:w="4550"/>
                        <w:gridCol w:w="1709"/>
                        <w:gridCol w:w="1791"/>
                        <w:gridCol w:w="789"/>
                        <w:gridCol w:w="2030"/>
                      </w:tblGrid>
                      <w:tr w:rsidR="003D14AC" w:rsidRPr="00FF639F" w14:paraId="1290E182" w14:textId="77777777" w:rsidTr="00923B2F">
                        <w:trPr>
                          <w:cnfStyle w:val="100000000000" w:firstRow="1" w:lastRow="0" w:firstColumn="0" w:lastColumn="0" w:oddVBand="0" w:evenVBand="0" w:oddHBand="0" w:evenHBand="0" w:firstRowFirstColumn="0" w:firstRowLastColumn="0" w:lastRowFirstColumn="0" w:lastRowLastColumn="0"/>
                          <w:trHeight w:val="323"/>
                          <w:tblHeader/>
                        </w:trPr>
                        <w:tc>
                          <w:tcPr>
                            <w:cnfStyle w:val="001000000000" w:firstRow="0" w:lastRow="0" w:firstColumn="1" w:lastColumn="0" w:oddVBand="0" w:evenVBand="0" w:oddHBand="0" w:evenHBand="0" w:firstRowFirstColumn="0" w:firstRowLastColumn="0" w:lastRowFirstColumn="0" w:lastRowLastColumn="0"/>
                            <w:tcW w:w="2093" w:type="pct"/>
                            <w:noWrap/>
                            <w:hideMark/>
                          </w:tcPr>
                          <w:p w14:paraId="78822BDD" w14:textId="77777777" w:rsidR="003D14AC" w:rsidRPr="00FF639F" w:rsidRDefault="003D14AC" w:rsidP="001A1E04">
                            <w:pPr>
                              <w:rPr>
                                <w:bCs w:val="0"/>
                              </w:rPr>
                            </w:pPr>
                            <w:r w:rsidRPr="00FF639F">
                              <w:rPr>
                                <w:bCs w:val="0"/>
                              </w:rPr>
                              <w:t xml:space="preserve">Industry  </w:t>
                            </w:r>
                          </w:p>
                        </w:tc>
                        <w:tc>
                          <w:tcPr>
                            <w:tcW w:w="786" w:type="pct"/>
                            <w:noWrap/>
                            <w:hideMark/>
                          </w:tcPr>
                          <w:p w14:paraId="34D9B373"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Establishments</w:t>
                            </w:r>
                          </w:p>
                        </w:tc>
                        <w:tc>
                          <w:tcPr>
                            <w:tcW w:w="824" w:type="pct"/>
                            <w:noWrap/>
                            <w:hideMark/>
                          </w:tcPr>
                          <w:p w14:paraId="1EC6077D"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Avg. Emp. Level </w:t>
                            </w:r>
                          </w:p>
                        </w:tc>
                        <w:tc>
                          <w:tcPr>
                            <w:tcW w:w="363" w:type="pct"/>
                            <w:noWrap/>
                            <w:hideMark/>
                          </w:tcPr>
                          <w:p w14:paraId="2E1A0F8B"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LQ</w:t>
                            </w:r>
                          </w:p>
                        </w:tc>
                        <w:tc>
                          <w:tcPr>
                            <w:tcW w:w="935" w:type="pct"/>
                            <w:noWrap/>
                            <w:hideMark/>
                          </w:tcPr>
                          <w:p w14:paraId="38D305C3"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OTY Emp. % Chg.</w:t>
                            </w:r>
                          </w:p>
                        </w:tc>
                      </w:tr>
                      <w:tr w:rsidR="003D14AC" w:rsidRPr="00FF639F" w14:paraId="3502DFD6" w14:textId="77777777" w:rsidTr="00FF639F">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093" w:type="pct"/>
                            <w:noWrap/>
                            <w:hideMark/>
                          </w:tcPr>
                          <w:p w14:paraId="5B27FFA2" w14:textId="77777777" w:rsidR="003D14AC" w:rsidRPr="00FF639F" w:rsidRDefault="003D14AC" w:rsidP="001A1E04">
                            <w:pPr>
                              <w:rPr>
                                <w:bCs w:val="0"/>
                              </w:rPr>
                            </w:pPr>
                            <w:r w:rsidRPr="00FF639F">
                              <w:rPr>
                                <w:bCs w:val="0"/>
                              </w:rPr>
                              <w:t>Accommodation and food services</w:t>
                            </w:r>
                          </w:p>
                        </w:tc>
                        <w:tc>
                          <w:tcPr>
                            <w:tcW w:w="786" w:type="pct"/>
                            <w:noWrap/>
                            <w:hideMark/>
                          </w:tcPr>
                          <w:p w14:paraId="2886C7AA"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11,777</w:t>
                            </w:r>
                          </w:p>
                        </w:tc>
                        <w:tc>
                          <w:tcPr>
                            <w:tcW w:w="824" w:type="pct"/>
                            <w:noWrap/>
                            <w:hideMark/>
                          </w:tcPr>
                          <w:p w14:paraId="55A6881E"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216,313</w:t>
                            </w:r>
                          </w:p>
                        </w:tc>
                        <w:tc>
                          <w:tcPr>
                            <w:tcW w:w="363" w:type="pct"/>
                            <w:noWrap/>
                            <w:hideMark/>
                          </w:tcPr>
                          <w:p w14:paraId="70C0CC0D"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0.92</w:t>
                            </w:r>
                          </w:p>
                        </w:tc>
                        <w:tc>
                          <w:tcPr>
                            <w:tcW w:w="935" w:type="pct"/>
                            <w:noWrap/>
                            <w:hideMark/>
                          </w:tcPr>
                          <w:p w14:paraId="2F60F0CE"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1.8</w:t>
                            </w:r>
                          </w:p>
                        </w:tc>
                      </w:tr>
                      <w:tr w:rsidR="003D14AC" w:rsidRPr="00FF639F" w14:paraId="3878D5EB" w14:textId="77777777" w:rsidTr="00FF639F">
                        <w:trPr>
                          <w:trHeight w:val="308"/>
                        </w:trPr>
                        <w:tc>
                          <w:tcPr>
                            <w:cnfStyle w:val="001000000000" w:firstRow="0" w:lastRow="0" w:firstColumn="1" w:lastColumn="0" w:oddVBand="0" w:evenVBand="0" w:oddHBand="0" w:evenHBand="0" w:firstRowFirstColumn="0" w:firstRowLastColumn="0" w:lastRowFirstColumn="0" w:lastRowLastColumn="0"/>
                            <w:tcW w:w="2093" w:type="pct"/>
                            <w:noWrap/>
                            <w:hideMark/>
                          </w:tcPr>
                          <w:p w14:paraId="4A51D5C8" w14:textId="77777777" w:rsidR="003D14AC" w:rsidRPr="00FF639F" w:rsidRDefault="003D14AC" w:rsidP="001A1E04">
                            <w:pPr>
                              <w:rPr>
                                <w:bCs w:val="0"/>
                              </w:rPr>
                            </w:pPr>
                            <w:r w:rsidRPr="00FF639F">
                              <w:rPr>
                                <w:bCs w:val="0"/>
                              </w:rPr>
                              <w:t>Administrative and waste services</w:t>
                            </w:r>
                          </w:p>
                        </w:tc>
                        <w:tc>
                          <w:tcPr>
                            <w:tcW w:w="786" w:type="pct"/>
                            <w:noWrap/>
                            <w:hideMark/>
                          </w:tcPr>
                          <w:p w14:paraId="4083269C"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11,379</w:t>
                            </w:r>
                          </w:p>
                        </w:tc>
                        <w:tc>
                          <w:tcPr>
                            <w:tcW w:w="824" w:type="pct"/>
                            <w:noWrap/>
                            <w:hideMark/>
                          </w:tcPr>
                          <w:p w14:paraId="026CF70F"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158,827</w:t>
                            </w:r>
                          </w:p>
                        </w:tc>
                        <w:tc>
                          <w:tcPr>
                            <w:tcW w:w="363" w:type="pct"/>
                            <w:noWrap/>
                            <w:hideMark/>
                          </w:tcPr>
                          <w:p w14:paraId="294E9965"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0.99</w:t>
                            </w:r>
                          </w:p>
                        </w:tc>
                        <w:tc>
                          <w:tcPr>
                            <w:tcW w:w="935" w:type="pct"/>
                            <w:noWrap/>
                            <w:hideMark/>
                          </w:tcPr>
                          <w:p w14:paraId="475F9235"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2.1</w:t>
                            </w:r>
                          </w:p>
                        </w:tc>
                      </w:tr>
                      <w:tr w:rsidR="003D14AC" w:rsidRPr="00FF639F" w14:paraId="7C1F9949" w14:textId="77777777" w:rsidTr="00FF639F">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093" w:type="pct"/>
                            <w:noWrap/>
                            <w:hideMark/>
                          </w:tcPr>
                          <w:p w14:paraId="0EB369F9" w14:textId="77777777" w:rsidR="003D14AC" w:rsidRPr="00FF639F" w:rsidRDefault="003D14AC" w:rsidP="001A1E04">
                            <w:pPr>
                              <w:rPr>
                                <w:bCs w:val="0"/>
                              </w:rPr>
                            </w:pPr>
                            <w:r w:rsidRPr="00FF639F">
                              <w:rPr>
                                <w:bCs w:val="0"/>
                              </w:rPr>
                              <w:t>Agriculture, forestry, fishing and hunting</w:t>
                            </w:r>
                          </w:p>
                        </w:tc>
                        <w:tc>
                          <w:tcPr>
                            <w:tcW w:w="786" w:type="pct"/>
                            <w:noWrap/>
                            <w:hideMark/>
                          </w:tcPr>
                          <w:p w14:paraId="13F52185"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583</w:t>
                            </w:r>
                          </w:p>
                        </w:tc>
                        <w:tc>
                          <w:tcPr>
                            <w:tcW w:w="824" w:type="pct"/>
                            <w:noWrap/>
                            <w:hideMark/>
                          </w:tcPr>
                          <w:p w14:paraId="3E13974D"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5,150</w:t>
                            </w:r>
                          </w:p>
                        </w:tc>
                        <w:tc>
                          <w:tcPr>
                            <w:tcW w:w="363" w:type="pct"/>
                            <w:noWrap/>
                            <w:hideMark/>
                          </w:tcPr>
                          <w:p w14:paraId="10A0305B"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0.22</w:t>
                            </w:r>
                          </w:p>
                        </w:tc>
                        <w:tc>
                          <w:tcPr>
                            <w:tcW w:w="935" w:type="pct"/>
                            <w:noWrap/>
                            <w:hideMark/>
                          </w:tcPr>
                          <w:p w14:paraId="6C6BBC31"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3.5</w:t>
                            </w:r>
                          </w:p>
                        </w:tc>
                      </w:tr>
                      <w:tr w:rsidR="003D14AC" w:rsidRPr="00FF639F" w14:paraId="23463169" w14:textId="77777777" w:rsidTr="00FF639F">
                        <w:trPr>
                          <w:trHeight w:val="308"/>
                        </w:trPr>
                        <w:tc>
                          <w:tcPr>
                            <w:cnfStyle w:val="001000000000" w:firstRow="0" w:lastRow="0" w:firstColumn="1" w:lastColumn="0" w:oddVBand="0" w:evenVBand="0" w:oddHBand="0" w:evenHBand="0" w:firstRowFirstColumn="0" w:firstRowLastColumn="0" w:lastRowFirstColumn="0" w:lastRowLastColumn="0"/>
                            <w:tcW w:w="2093" w:type="pct"/>
                            <w:noWrap/>
                            <w:hideMark/>
                          </w:tcPr>
                          <w:p w14:paraId="63487E87" w14:textId="77777777" w:rsidR="003D14AC" w:rsidRPr="00FF639F" w:rsidRDefault="003D14AC" w:rsidP="001A1E04">
                            <w:pPr>
                              <w:rPr>
                                <w:bCs w:val="0"/>
                              </w:rPr>
                            </w:pPr>
                            <w:r w:rsidRPr="00FF639F">
                              <w:rPr>
                                <w:bCs w:val="0"/>
                              </w:rPr>
                              <w:t>Retail trade</w:t>
                            </w:r>
                          </w:p>
                        </w:tc>
                        <w:tc>
                          <w:tcPr>
                            <w:tcW w:w="786" w:type="pct"/>
                            <w:noWrap/>
                            <w:hideMark/>
                          </w:tcPr>
                          <w:p w14:paraId="6F2AE85E"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18,610</w:t>
                            </w:r>
                          </w:p>
                        </w:tc>
                        <w:tc>
                          <w:tcPr>
                            <w:tcW w:w="824" w:type="pct"/>
                            <w:noWrap/>
                            <w:hideMark/>
                          </w:tcPr>
                          <w:p w14:paraId="5C214A7E"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286,938</w:t>
                            </w:r>
                          </w:p>
                        </w:tc>
                        <w:tc>
                          <w:tcPr>
                            <w:tcW w:w="363" w:type="pct"/>
                            <w:noWrap/>
                            <w:hideMark/>
                          </w:tcPr>
                          <w:p w14:paraId="0433B6CB"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w:t>
                            </w:r>
                          </w:p>
                        </w:tc>
                        <w:tc>
                          <w:tcPr>
                            <w:tcW w:w="935" w:type="pct"/>
                            <w:noWrap/>
                            <w:hideMark/>
                          </w:tcPr>
                          <w:p w14:paraId="4EF83641"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0.9</w:t>
                            </w:r>
                          </w:p>
                        </w:tc>
                      </w:tr>
                      <w:tr w:rsidR="003D14AC" w:rsidRPr="00FF639F" w14:paraId="67FFF83B" w14:textId="77777777" w:rsidTr="00FF639F">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093" w:type="pct"/>
                            <w:noWrap/>
                            <w:hideMark/>
                          </w:tcPr>
                          <w:p w14:paraId="56E23BCC" w14:textId="77777777" w:rsidR="003D14AC" w:rsidRPr="00FF639F" w:rsidRDefault="003D14AC" w:rsidP="001A1E04">
                            <w:pPr>
                              <w:rPr>
                                <w:bCs w:val="0"/>
                              </w:rPr>
                            </w:pPr>
                            <w:r w:rsidRPr="00FF639F">
                              <w:rPr>
                                <w:bCs w:val="0"/>
                              </w:rPr>
                              <w:t>Transportation and warehousing</w:t>
                            </w:r>
                          </w:p>
                        </w:tc>
                        <w:tc>
                          <w:tcPr>
                            <w:tcW w:w="786" w:type="pct"/>
                            <w:noWrap/>
                            <w:hideMark/>
                          </w:tcPr>
                          <w:p w14:paraId="401CD2DB"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3,719</w:t>
                            </w:r>
                          </w:p>
                        </w:tc>
                        <w:tc>
                          <w:tcPr>
                            <w:tcW w:w="824" w:type="pct"/>
                            <w:noWrap/>
                            <w:hideMark/>
                          </w:tcPr>
                          <w:p w14:paraId="2CD1FBEB"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67,509</w:t>
                            </w:r>
                          </w:p>
                        </w:tc>
                        <w:tc>
                          <w:tcPr>
                            <w:tcW w:w="363" w:type="pct"/>
                            <w:noWrap/>
                            <w:hideMark/>
                          </w:tcPr>
                          <w:p w14:paraId="0EBA307A"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0.82</w:t>
                            </w:r>
                          </w:p>
                        </w:tc>
                        <w:tc>
                          <w:tcPr>
                            <w:tcW w:w="935" w:type="pct"/>
                            <w:noWrap/>
                            <w:hideMark/>
                          </w:tcPr>
                          <w:p w14:paraId="17E28473" w14:textId="77777777" w:rsidR="003D14AC" w:rsidRPr="00FF639F" w:rsidRDefault="003D14AC" w:rsidP="001A1E04">
                            <w:pPr>
                              <w:keepNext/>
                              <w:jc w:val="right"/>
                              <w:cnfStyle w:val="000000100000" w:firstRow="0" w:lastRow="0" w:firstColumn="0" w:lastColumn="0" w:oddVBand="0" w:evenVBand="0" w:oddHBand="1" w:evenHBand="0" w:firstRowFirstColumn="0" w:firstRowLastColumn="0" w:lastRowFirstColumn="0" w:lastRowLastColumn="0"/>
                            </w:pPr>
                            <w:r w:rsidRPr="00FF639F">
                              <w:t>3.4</w:t>
                            </w:r>
                          </w:p>
                        </w:tc>
                      </w:tr>
                    </w:tbl>
                    <w:p w14:paraId="61E2E212" w14:textId="77777777" w:rsidR="003D14AC" w:rsidRDefault="003D14AC" w:rsidP="00196A22">
                      <w:pPr>
                        <w:pStyle w:val="Caption"/>
                        <w:rPr>
                          <w:b/>
                        </w:rPr>
                      </w:pPr>
                      <w:r>
                        <w:t xml:space="preserve">Table </w:t>
                      </w:r>
                      <w:fldSimple w:instr=" SEQ Table \* ARABIC ">
                        <w:r w:rsidR="00943AA8">
                          <w:rPr>
                            <w:noProof/>
                          </w:rPr>
                          <w:t>2</w:t>
                        </w:r>
                      </w:fldSimple>
                      <w:r>
                        <w:t>: Maryland's Emerging Industries</w:t>
                      </w:r>
                    </w:p>
                    <w:p w14:paraId="5807C94B" w14:textId="77777777" w:rsidR="003D14AC" w:rsidRDefault="003D14AC"/>
                  </w:txbxContent>
                </v:textbox>
                <w10:wrap type="topAndBottom"/>
              </v:shape>
            </w:pict>
          </mc:Fallback>
        </mc:AlternateContent>
      </w:r>
      <w:r w:rsidR="006A7414" w:rsidRPr="004A0C12">
        <w:rPr>
          <w:rFonts w:ascii="Garamond" w:hAnsi="Garamond"/>
        </w:rPr>
        <w:t>Using the growth in private employment from 2013 to 2014 in combination with Location Quotients (LQ)</w:t>
      </w:r>
      <w:r w:rsidR="006451F7" w:rsidRPr="004A0C12">
        <w:rPr>
          <w:rStyle w:val="FootnoteReference"/>
          <w:rFonts w:ascii="Garamond" w:hAnsi="Garamond"/>
        </w:rPr>
        <w:footnoteReference w:id="21"/>
      </w:r>
      <w:r w:rsidR="006A7414" w:rsidRPr="004A0C12">
        <w:rPr>
          <w:rFonts w:ascii="Garamond" w:hAnsi="Garamond"/>
        </w:rPr>
        <w:t xml:space="preserve"> less than or equal to one, five emerging industries were identified for the state of Maryland. Agriculture, forestry, fishing and hunting experienced the largest growth in employment from 2013 to 2014 of 3.5 percent, and </w:t>
      </w:r>
      <w:proofErr w:type="gramStart"/>
      <w:r w:rsidR="006A7414" w:rsidRPr="004A0C12">
        <w:rPr>
          <w:rFonts w:ascii="Garamond" w:hAnsi="Garamond"/>
        </w:rPr>
        <w:t>was</w:t>
      </w:r>
      <w:proofErr w:type="gramEnd"/>
      <w:r w:rsidR="006A7414" w:rsidRPr="004A0C12">
        <w:rPr>
          <w:rFonts w:ascii="Garamond" w:hAnsi="Garamond"/>
        </w:rPr>
        <w:t xml:space="preserve"> closely followed by Transportation and warehousing with a growth of 3.4 percent (See Table 2). </w:t>
      </w:r>
    </w:p>
    <w:p w14:paraId="1EDCB9F3" w14:textId="5FD28FA1" w:rsidR="00196A22" w:rsidRPr="004A0C12" w:rsidRDefault="00196A22" w:rsidP="00057B5A">
      <w:pPr>
        <w:spacing w:after="0" w:line="240" w:lineRule="auto"/>
        <w:rPr>
          <w:rFonts w:ascii="Garamond" w:hAnsi="Garamond"/>
        </w:rPr>
      </w:pPr>
    </w:p>
    <w:p w14:paraId="14D658FA" w14:textId="77777777" w:rsidR="00196A22" w:rsidRPr="00086D40" w:rsidRDefault="00196A22" w:rsidP="005949CE">
      <w:pPr>
        <w:pStyle w:val="Heading4"/>
        <w:rPr>
          <w:rFonts w:ascii="Garamond" w:hAnsi="Garamond"/>
          <w:sz w:val="24"/>
          <w:szCs w:val="24"/>
        </w:rPr>
      </w:pPr>
      <w:r w:rsidRPr="00086D40">
        <w:rPr>
          <w:rFonts w:ascii="Garamond" w:hAnsi="Garamond"/>
          <w:sz w:val="24"/>
          <w:szCs w:val="24"/>
        </w:rPr>
        <w:t xml:space="preserve">Industry Clusters </w:t>
      </w:r>
    </w:p>
    <w:p w14:paraId="31075856" w14:textId="3F2334E9" w:rsidR="00057B5A" w:rsidRPr="004A0C12" w:rsidRDefault="00196A22" w:rsidP="00057B5A">
      <w:pPr>
        <w:spacing w:after="0" w:line="240" w:lineRule="auto"/>
        <w:jc w:val="both"/>
        <w:rPr>
          <w:rFonts w:ascii="Garamond" w:hAnsi="Garamond"/>
        </w:rPr>
      </w:pPr>
      <w:r w:rsidRPr="004A0C12">
        <w:rPr>
          <w:rFonts w:ascii="Garamond" w:hAnsi="Garamond"/>
        </w:rPr>
        <w:t xml:space="preserve">The Life Sciences cluster, which includes industries such as: Medical laboratories, </w:t>
      </w:r>
      <w:r w:rsidR="005949CE" w:rsidRPr="004A0C12">
        <w:rPr>
          <w:rFonts w:ascii="Garamond" w:hAnsi="Garamond"/>
        </w:rPr>
        <w:t>r</w:t>
      </w:r>
      <w:r w:rsidRPr="004A0C12">
        <w:rPr>
          <w:rFonts w:ascii="Garamond" w:hAnsi="Garamond"/>
        </w:rPr>
        <w:t>esearch and dev</w:t>
      </w:r>
      <w:r w:rsidR="005949CE" w:rsidRPr="004A0C12">
        <w:rPr>
          <w:rFonts w:ascii="Garamond" w:hAnsi="Garamond"/>
        </w:rPr>
        <w:t>elopment in biotechnology, and o</w:t>
      </w:r>
      <w:r w:rsidRPr="004A0C12">
        <w:rPr>
          <w:rFonts w:ascii="Garamond" w:hAnsi="Garamond"/>
        </w:rPr>
        <w:t>ther scientific and consulting services, was determined to be an emerging industry cluster in Maryland. From 2010 to 2014, private em</w:t>
      </w:r>
      <w:r w:rsidR="005949CE" w:rsidRPr="004A0C12">
        <w:rPr>
          <w:rFonts w:ascii="Garamond" w:hAnsi="Garamond"/>
        </w:rPr>
        <w:t>ployment in the life s</w:t>
      </w:r>
      <w:r w:rsidRPr="004A0C12">
        <w:rPr>
          <w:rFonts w:ascii="Garamond" w:hAnsi="Garamond"/>
        </w:rPr>
        <w:t>ciences clu</w:t>
      </w:r>
      <w:r w:rsidR="005949CE" w:rsidRPr="004A0C12">
        <w:rPr>
          <w:rFonts w:ascii="Garamond" w:hAnsi="Garamond"/>
        </w:rPr>
        <w:t>ster grew by 1.15 percent. The information t</w:t>
      </w:r>
      <w:r w:rsidRPr="004A0C12">
        <w:rPr>
          <w:rFonts w:ascii="Garamond" w:hAnsi="Garamond"/>
        </w:rPr>
        <w:t>echnology cluster, whic</w:t>
      </w:r>
      <w:r w:rsidR="005949CE" w:rsidRPr="004A0C12">
        <w:rPr>
          <w:rFonts w:ascii="Garamond" w:hAnsi="Garamond"/>
        </w:rPr>
        <w:t>h includes industries such as: d</w:t>
      </w:r>
      <w:r w:rsidRPr="004A0C12">
        <w:rPr>
          <w:rFonts w:ascii="Garamond" w:hAnsi="Garamond"/>
        </w:rPr>
        <w:t>ata processing,</w:t>
      </w:r>
      <w:r w:rsidR="005949CE" w:rsidRPr="004A0C12">
        <w:rPr>
          <w:rFonts w:ascii="Garamond" w:hAnsi="Garamond"/>
        </w:rPr>
        <w:t xml:space="preserve"> hosting and related services, c</w:t>
      </w:r>
      <w:r w:rsidRPr="004A0C12">
        <w:rPr>
          <w:rFonts w:ascii="Garamond" w:hAnsi="Garamond"/>
        </w:rPr>
        <w:t>omputer systems de</w:t>
      </w:r>
      <w:r w:rsidR="005949CE" w:rsidRPr="004A0C12">
        <w:rPr>
          <w:rFonts w:ascii="Garamond" w:hAnsi="Garamond"/>
        </w:rPr>
        <w:t>sign and related services, and c</w:t>
      </w:r>
      <w:r w:rsidRPr="004A0C12">
        <w:rPr>
          <w:rFonts w:ascii="Garamond" w:hAnsi="Garamond"/>
        </w:rPr>
        <w:t>omputer training, was determined to be a growth industry c</w:t>
      </w:r>
      <w:r w:rsidR="005949CE" w:rsidRPr="004A0C12">
        <w:rPr>
          <w:rFonts w:ascii="Garamond" w:hAnsi="Garamond"/>
        </w:rPr>
        <w:t>luster. From 2010 to 2014, the information t</w:t>
      </w:r>
      <w:r w:rsidRPr="004A0C12">
        <w:rPr>
          <w:rFonts w:ascii="Garamond" w:hAnsi="Garamond"/>
        </w:rPr>
        <w:t>echnology cluster grew in employment by 0.5 percent, and is relatively concentrated in Maryland with a Locat</w:t>
      </w:r>
      <w:r w:rsidR="005949CE" w:rsidRPr="004A0C12">
        <w:rPr>
          <w:rFonts w:ascii="Garamond" w:hAnsi="Garamond"/>
        </w:rPr>
        <w:t>ion Quotient of 1.44. Although m</w:t>
      </w:r>
      <w:r w:rsidRPr="004A0C12">
        <w:rPr>
          <w:rFonts w:ascii="Garamond" w:hAnsi="Garamond"/>
        </w:rPr>
        <w:t>anufacturing is a declining industry in Maryland, the IT manufacturing cluster experienced a growth of 2.19 percent from 2013 to 2014. Additionally, other specialized areas of manufacturing experien</w:t>
      </w:r>
      <w:r w:rsidR="005949CE" w:rsidRPr="004A0C12">
        <w:rPr>
          <w:rFonts w:ascii="Garamond" w:hAnsi="Garamond"/>
        </w:rPr>
        <w:t>ced growth. From 2013 to 2014, p</w:t>
      </w:r>
      <w:r w:rsidRPr="004A0C12">
        <w:rPr>
          <w:rFonts w:ascii="Garamond" w:hAnsi="Garamond"/>
        </w:rPr>
        <w:t>rimary metal manufacturing, Pharmaceutical and medicine manufacturing, and Agriculture, construction, and mining machinery manufacturing all experienced growth (</w:t>
      </w:r>
      <w:r w:rsidR="003F5413" w:rsidRPr="004A0C12">
        <w:rPr>
          <w:rFonts w:ascii="Garamond" w:hAnsi="Garamond"/>
        </w:rPr>
        <w:t>See Appendix F</w:t>
      </w:r>
      <w:r w:rsidR="005949CE" w:rsidRPr="004A0C12">
        <w:rPr>
          <w:rFonts w:ascii="Garamond" w:hAnsi="Garamond"/>
        </w:rPr>
        <w:t xml:space="preserve">).  </w:t>
      </w:r>
    </w:p>
    <w:p w14:paraId="01D4A234" w14:textId="77777777" w:rsidR="00196A22" w:rsidRPr="00086D40" w:rsidRDefault="00196A22" w:rsidP="005949CE">
      <w:pPr>
        <w:pStyle w:val="Heading4"/>
        <w:rPr>
          <w:rFonts w:ascii="Garamond" w:hAnsi="Garamond"/>
          <w:sz w:val="24"/>
          <w:szCs w:val="24"/>
        </w:rPr>
      </w:pPr>
      <w:r w:rsidRPr="00086D40">
        <w:rPr>
          <w:rFonts w:ascii="Garamond" w:hAnsi="Garamond"/>
          <w:sz w:val="24"/>
          <w:szCs w:val="24"/>
        </w:rPr>
        <w:lastRenderedPageBreak/>
        <w:t xml:space="preserve">Target Industries </w:t>
      </w:r>
    </w:p>
    <w:p w14:paraId="555F58E4" w14:textId="05FF92D4" w:rsidR="00196A22" w:rsidRPr="004A0C12" w:rsidRDefault="00196A22" w:rsidP="008A605F">
      <w:pPr>
        <w:spacing w:after="0" w:line="240" w:lineRule="auto"/>
        <w:jc w:val="both"/>
        <w:rPr>
          <w:rFonts w:ascii="Garamond" w:eastAsia="Times New Roman" w:hAnsi="Garamond"/>
        </w:rPr>
      </w:pPr>
      <w:r w:rsidRPr="004A0C12">
        <w:rPr>
          <w:rFonts w:ascii="Garamond" w:eastAsia="Times New Roman" w:hAnsi="Garamond"/>
        </w:rPr>
        <w:t xml:space="preserve">The Maryland Department of Labor, Licensing and Regulation’s Division of Workforce Development, based on research conducted by the Division’s Labor Market Information Team, has had the occasion to recently develop a list of proposed industry sectors for Maryland.  This research leveraged business groups, </w:t>
      </w:r>
      <w:r w:rsidR="005949CE" w:rsidRPr="004A0C12">
        <w:rPr>
          <w:rFonts w:ascii="Garamond" w:eastAsia="Times New Roman" w:hAnsi="Garamond"/>
        </w:rPr>
        <w:t>E</w:t>
      </w:r>
      <w:r w:rsidRPr="004A0C12">
        <w:rPr>
          <w:rFonts w:ascii="Garamond" w:eastAsia="Times New Roman" w:hAnsi="Garamond"/>
        </w:rPr>
        <w:t xml:space="preserve">ARN Maryland </w:t>
      </w:r>
      <w:r w:rsidR="005949CE" w:rsidRPr="004A0C12">
        <w:rPr>
          <w:rFonts w:ascii="Garamond" w:eastAsia="Times New Roman" w:hAnsi="Garamond"/>
        </w:rPr>
        <w:t>strategic industry partnerships</w:t>
      </w:r>
      <w:r w:rsidRPr="004A0C12">
        <w:rPr>
          <w:rFonts w:ascii="Garamond" w:eastAsia="Times New Roman" w:hAnsi="Garamond"/>
        </w:rPr>
        <w:t xml:space="preserve">, </w:t>
      </w:r>
      <w:r w:rsidR="005949CE" w:rsidRPr="004A0C12">
        <w:rPr>
          <w:rFonts w:ascii="Garamond" w:eastAsia="Times New Roman" w:hAnsi="Garamond"/>
        </w:rPr>
        <w:t>and</w:t>
      </w:r>
      <w:r w:rsidRPr="004A0C12">
        <w:rPr>
          <w:rFonts w:ascii="Garamond" w:eastAsia="Times New Roman" w:hAnsi="Garamond"/>
        </w:rPr>
        <w:t xml:space="preserve"> secondary data provided by </w:t>
      </w:r>
      <w:r w:rsidR="005949CE" w:rsidRPr="004A0C12">
        <w:rPr>
          <w:rFonts w:ascii="Garamond" w:eastAsia="Times New Roman" w:hAnsi="Garamond"/>
        </w:rPr>
        <w:t xml:space="preserve">the Bureau of Labor Statistics and </w:t>
      </w:r>
      <w:r w:rsidRPr="004A0C12">
        <w:rPr>
          <w:rFonts w:ascii="Garamond" w:eastAsia="Times New Roman" w:hAnsi="Garamond"/>
        </w:rPr>
        <w:t>the Census Bureau</w:t>
      </w:r>
      <w:r w:rsidR="005949CE" w:rsidRPr="004A0C12">
        <w:rPr>
          <w:rFonts w:ascii="Garamond" w:eastAsia="Times New Roman" w:hAnsi="Garamond"/>
        </w:rPr>
        <w:t>.</w:t>
      </w:r>
      <w:r w:rsidRPr="004A0C12">
        <w:rPr>
          <w:rFonts w:ascii="Garamond" w:eastAsia="Times New Roman" w:hAnsi="Garamond"/>
        </w:rPr>
        <w:t xml:space="preserve">   </w:t>
      </w:r>
    </w:p>
    <w:p w14:paraId="44B19F7E" w14:textId="77777777" w:rsidR="005949CE" w:rsidRPr="004A0C12" w:rsidRDefault="005949CE" w:rsidP="008A605F">
      <w:pPr>
        <w:spacing w:after="0" w:line="240" w:lineRule="auto"/>
        <w:jc w:val="both"/>
        <w:rPr>
          <w:rFonts w:ascii="Garamond" w:eastAsia="Times New Roman" w:hAnsi="Garamond"/>
        </w:rPr>
      </w:pPr>
    </w:p>
    <w:p w14:paraId="56B8233A" w14:textId="7A6F84B2" w:rsidR="005949CE" w:rsidRPr="004A0C12" w:rsidRDefault="00196A22" w:rsidP="00FF639F">
      <w:pPr>
        <w:spacing w:after="0" w:line="240" w:lineRule="auto"/>
        <w:jc w:val="both"/>
        <w:rPr>
          <w:rFonts w:ascii="Garamond" w:eastAsia="Times New Roman" w:hAnsi="Garamond"/>
        </w:rPr>
      </w:pPr>
      <w:r w:rsidRPr="004A0C12">
        <w:rPr>
          <w:rFonts w:ascii="Garamond" w:eastAsia="Times New Roman" w:hAnsi="Garamond"/>
        </w:rPr>
        <w:t>The Department is also required, under Maryland statute, to consult with the Maryland Economic Development Commission in evaluation of potential employment and economic growth of Maryland’s industry sectors; and, to make recommendations regarding eligible industry sectors to the Maryland Economic Development Assistance Authority and Fund (MEDAAF). The Authority has established the following industry sectors as those deemed to be eligible to receive financial assistance through MEDAAF.  Those industries include:</w:t>
      </w:r>
    </w:p>
    <w:p w14:paraId="712C5C48" w14:textId="77777777" w:rsidR="005949CE" w:rsidRPr="004A0C12" w:rsidRDefault="005949CE" w:rsidP="00057B5A">
      <w:pPr>
        <w:spacing w:after="0" w:line="240" w:lineRule="auto"/>
        <w:rPr>
          <w:rFonts w:ascii="Garamond" w:eastAsia="Times New Roman" w:hAnsi="Garamond"/>
        </w:rPr>
      </w:pPr>
    </w:p>
    <w:p w14:paraId="56160F27" w14:textId="43330E92" w:rsidR="00393483" w:rsidRPr="004A0C12" w:rsidRDefault="00393483" w:rsidP="00057B5A">
      <w:pPr>
        <w:spacing w:after="0" w:line="240" w:lineRule="auto"/>
        <w:rPr>
          <w:rFonts w:ascii="Garamond" w:eastAsia="Times New Roman" w:hAnsi="Garamond"/>
        </w:rPr>
      </w:pPr>
    </w:p>
    <w:p w14:paraId="27502575" w14:textId="77777777" w:rsidR="00393483" w:rsidRPr="004A0C12" w:rsidRDefault="00393483" w:rsidP="00057B5A">
      <w:pPr>
        <w:spacing w:after="0" w:line="240" w:lineRule="auto"/>
        <w:rPr>
          <w:rFonts w:ascii="Garamond" w:eastAsia="Times New Roman" w:hAnsi="Garamond"/>
        </w:rPr>
      </w:pPr>
    </w:p>
    <w:p w14:paraId="48B9CE9F" w14:textId="77777777" w:rsidR="00393483" w:rsidRPr="004A0C12" w:rsidRDefault="00393483" w:rsidP="00057B5A">
      <w:pPr>
        <w:spacing w:after="0" w:line="240" w:lineRule="auto"/>
        <w:rPr>
          <w:rFonts w:ascii="Garamond" w:eastAsia="Times New Roman" w:hAnsi="Garamond"/>
        </w:rPr>
      </w:pPr>
    </w:p>
    <w:p w14:paraId="1B3890CA" w14:textId="23428991" w:rsidR="00393483" w:rsidRPr="004A0C12" w:rsidRDefault="00086D40" w:rsidP="00057B5A">
      <w:pPr>
        <w:spacing w:after="0" w:line="240" w:lineRule="auto"/>
        <w:rPr>
          <w:rFonts w:ascii="Garamond" w:eastAsia="Times New Roman" w:hAnsi="Garamond"/>
        </w:rPr>
      </w:pPr>
      <w:r w:rsidRPr="004A0C12">
        <w:rPr>
          <w:rFonts w:ascii="Garamond" w:eastAsia="Times New Roman" w:hAnsi="Garamond"/>
          <w:noProof/>
        </w:rPr>
        <mc:AlternateContent>
          <mc:Choice Requires="wps">
            <w:drawing>
              <wp:anchor distT="0" distB="0" distL="114300" distR="114300" simplePos="0" relativeHeight="251670528" behindDoc="0" locked="0" layoutInCell="1" allowOverlap="1" wp14:anchorId="1BD4C4E3" wp14:editId="4AA43E8A">
                <wp:simplePos x="0" y="0"/>
                <wp:positionH relativeFrom="column">
                  <wp:posOffset>-63500</wp:posOffset>
                </wp:positionH>
                <wp:positionV relativeFrom="paragraph">
                  <wp:posOffset>-134620</wp:posOffset>
                </wp:positionV>
                <wp:extent cx="6868795" cy="1995170"/>
                <wp:effectExtent l="0" t="0" r="27305" b="24130"/>
                <wp:wrapNone/>
                <wp:docPr id="22" name="Text Box 22"/>
                <wp:cNvGraphicFramePr/>
                <a:graphic xmlns:a="http://schemas.openxmlformats.org/drawingml/2006/main">
                  <a:graphicData uri="http://schemas.microsoft.com/office/word/2010/wordprocessingShape">
                    <wps:wsp>
                      <wps:cNvSpPr txBox="1"/>
                      <wps:spPr>
                        <a:xfrm>
                          <a:off x="0" y="0"/>
                          <a:ext cx="6868795" cy="19951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10554" w:type="dxa"/>
                              <w:tblLook w:val="04A0" w:firstRow="1" w:lastRow="0" w:firstColumn="1" w:lastColumn="0" w:noHBand="0" w:noVBand="1"/>
                              <w:tblCaption w:val="MEDAAF Eligible Industry Sectors"/>
                              <w:tblDescription w:val="This table lists Maryland's MEDAAF eligible industry sectors: Agriculture and Resource Based Industries; Distribution, Warehousing, Transportation, Logistics; Businesses with U.S. or regional operations in Maryland; Manufacturing; Financial Services; Aerospace, Aeronautics; Unmanned Aerial Systems; Environmental Technology, Renewable Energy, and Energy Production; Information Technology, Telecommunications, Cyber Security; and, Biotechnology, Health Care Technology, Pharmaceuticals."/>
                            </w:tblPr>
                            <w:tblGrid>
                              <w:gridCol w:w="5418"/>
                              <w:gridCol w:w="5136"/>
                            </w:tblGrid>
                            <w:tr w:rsidR="003D14AC" w:rsidRPr="00196A22" w14:paraId="372C41FC" w14:textId="77777777" w:rsidTr="00923B2F">
                              <w:trPr>
                                <w:cnfStyle w:val="100000000000" w:firstRow="1" w:lastRow="0" w:firstColumn="0" w:lastColumn="0" w:oddVBand="0" w:evenVBand="0" w:oddHBand="0" w:evenHBand="0" w:firstRowFirstColumn="0" w:firstRowLastColumn="0" w:lastRowFirstColumn="0" w:lastRowLastColumn="0"/>
                                <w:trHeight w:val="246"/>
                                <w:tblHeader/>
                              </w:trPr>
                              <w:tc>
                                <w:tcPr>
                                  <w:cnfStyle w:val="001000000000" w:firstRow="0" w:lastRow="0" w:firstColumn="1" w:lastColumn="0" w:oddVBand="0" w:evenVBand="0" w:oddHBand="0" w:evenHBand="0" w:firstRowFirstColumn="0" w:firstRowLastColumn="0" w:lastRowFirstColumn="0" w:lastRowLastColumn="0"/>
                                  <w:tcW w:w="10554" w:type="dxa"/>
                                  <w:gridSpan w:val="2"/>
                                </w:tcPr>
                                <w:p w14:paraId="5D378D15" w14:textId="77777777" w:rsidR="003D14AC" w:rsidRPr="005949CE" w:rsidRDefault="003D14AC" w:rsidP="001A1E04">
                                  <w:pPr>
                                    <w:jc w:val="center"/>
                                    <w:rPr>
                                      <w:bCs w:val="0"/>
                                      <w:color w:val="262626"/>
                                    </w:rPr>
                                  </w:pPr>
                                  <w:r w:rsidRPr="005949CE">
                                    <w:rPr>
                                      <w:bCs w:val="0"/>
                                      <w:color w:val="262626"/>
                                    </w:rPr>
                                    <w:t>MEDAAF Eligible Industry Sectors</w:t>
                                  </w:r>
                                </w:p>
                              </w:tc>
                            </w:tr>
                            <w:tr w:rsidR="003D14AC" w:rsidRPr="00196A22" w14:paraId="43EBDFB2" w14:textId="77777777" w:rsidTr="005949C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418" w:type="dxa"/>
                                </w:tcPr>
                                <w:p w14:paraId="37EC34D8" w14:textId="39A8AE4F" w:rsidR="003D14AC" w:rsidRPr="005949CE" w:rsidRDefault="003D14AC" w:rsidP="001A1E04">
                                  <w:pPr>
                                    <w:rPr>
                                      <w:bCs w:val="0"/>
                                      <w:color w:val="262626"/>
                                    </w:rPr>
                                  </w:pPr>
                                  <w:r w:rsidRPr="005949CE">
                                    <w:rPr>
                                      <w:bCs w:val="0"/>
                                      <w:color w:val="262626"/>
                                    </w:rPr>
                                    <w:t>Agriculture and Resource Based Industries</w:t>
                                  </w:r>
                                </w:p>
                              </w:tc>
                              <w:tc>
                                <w:tcPr>
                                  <w:tcW w:w="5136" w:type="dxa"/>
                                </w:tcPr>
                                <w:p w14:paraId="7BB40334" w14:textId="064EFEEC" w:rsidR="003D14AC" w:rsidRPr="005949CE" w:rsidRDefault="003D14AC" w:rsidP="001A1E04">
                                  <w:pPr>
                                    <w:cnfStyle w:val="000000100000" w:firstRow="0" w:lastRow="0" w:firstColumn="0" w:lastColumn="0" w:oddVBand="0" w:evenVBand="0" w:oddHBand="1" w:evenHBand="0" w:firstRowFirstColumn="0" w:firstRowLastColumn="0" w:lastRowFirstColumn="0" w:lastRowLastColumn="0"/>
                                    <w:rPr>
                                      <w:b/>
                                      <w:color w:val="262626"/>
                                    </w:rPr>
                                  </w:pPr>
                                  <w:r w:rsidRPr="005949CE">
                                    <w:rPr>
                                      <w:b/>
                                      <w:color w:val="262626"/>
                                    </w:rPr>
                                    <w:t>Aerospace, Aeronautics, Unmanned Aerial Systems</w:t>
                                  </w:r>
                                </w:p>
                              </w:tc>
                            </w:tr>
                            <w:tr w:rsidR="003D14AC" w:rsidRPr="00196A22" w14:paraId="70EFC978" w14:textId="77777777" w:rsidTr="005949CE">
                              <w:trPr>
                                <w:trHeight w:val="318"/>
                              </w:trPr>
                              <w:tc>
                                <w:tcPr>
                                  <w:cnfStyle w:val="001000000000" w:firstRow="0" w:lastRow="0" w:firstColumn="1" w:lastColumn="0" w:oddVBand="0" w:evenVBand="0" w:oddHBand="0" w:evenHBand="0" w:firstRowFirstColumn="0" w:firstRowLastColumn="0" w:lastRowFirstColumn="0" w:lastRowLastColumn="0"/>
                                  <w:tcW w:w="5418" w:type="dxa"/>
                                </w:tcPr>
                                <w:p w14:paraId="4AF1889B" w14:textId="767215B7" w:rsidR="003D14AC" w:rsidRPr="005949CE" w:rsidRDefault="003D14AC" w:rsidP="001A1E04">
                                  <w:pPr>
                                    <w:rPr>
                                      <w:bCs w:val="0"/>
                                      <w:color w:val="262626"/>
                                    </w:rPr>
                                  </w:pPr>
                                  <w:r w:rsidRPr="005949CE">
                                    <w:rPr>
                                      <w:bCs w:val="0"/>
                                      <w:color w:val="262626"/>
                                    </w:rPr>
                                    <w:t>Distribution, Warehousing, Transportation, Logistics</w:t>
                                  </w:r>
                                </w:p>
                              </w:tc>
                              <w:tc>
                                <w:tcPr>
                                  <w:tcW w:w="5136" w:type="dxa"/>
                                </w:tcPr>
                                <w:p w14:paraId="2F126D17" w14:textId="5E6D3340" w:rsidR="003D14AC" w:rsidRPr="005949CE" w:rsidRDefault="003D14AC" w:rsidP="001A1E04">
                                  <w:pPr>
                                    <w:cnfStyle w:val="000000000000" w:firstRow="0" w:lastRow="0" w:firstColumn="0" w:lastColumn="0" w:oddVBand="0" w:evenVBand="0" w:oddHBand="0" w:evenHBand="0" w:firstRowFirstColumn="0" w:firstRowLastColumn="0" w:lastRowFirstColumn="0" w:lastRowLastColumn="0"/>
                                    <w:rPr>
                                      <w:b/>
                                      <w:color w:val="262626"/>
                                    </w:rPr>
                                  </w:pPr>
                                  <w:r w:rsidRPr="005949CE">
                                    <w:rPr>
                                      <w:b/>
                                      <w:color w:val="262626"/>
                                    </w:rPr>
                                    <w:t>Environmental Technology, Renewable Energy and Energy Production</w:t>
                                  </w:r>
                                </w:p>
                              </w:tc>
                            </w:tr>
                            <w:tr w:rsidR="003D14AC" w:rsidRPr="00196A22" w14:paraId="71D5DA8D" w14:textId="77777777" w:rsidTr="005949CE">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5418" w:type="dxa"/>
                                </w:tcPr>
                                <w:p w14:paraId="3A10F0B0" w14:textId="6781D486" w:rsidR="003D14AC" w:rsidRPr="005949CE" w:rsidRDefault="003D14AC" w:rsidP="001A1E04">
                                  <w:pPr>
                                    <w:rPr>
                                      <w:bCs w:val="0"/>
                                      <w:color w:val="262626"/>
                                    </w:rPr>
                                  </w:pPr>
                                  <w:r w:rsidRPr="005949CE">
                                    <w:rPr>
                                      <w:bCs w:val="0"/>
                                      <w:color w:val="262626"/>
                                    </w:rPr>
                                    <w:t>Businesses with U.S. or regional</w:t>
                                  </w:r>
                                  <w:r>
                                    <w:rPr>
                                      <w:bCs w:val="0"/>
                                      <w:color w:val="262626"/>
                                    </w:rPr>
                                    <w:t xml:space="preserve"> operations</w:t>
                                  </w:r>
                                  <w:r w:rsidRPr="005949CE">
                                    <w:rPr>
                                      <w:bCs w:val="0"/>
                                      <w:color w:val="262626"/>
                                    </w:rPr>
                                    <w:t xml:space="preserve"> in Maryland</w:t>
                                  </w:r>
                                </w:p>
                              </w:tc>
                              <w:tc>
                                <w:tcPr>
                                  <w:tcW w:w="5136" w:type="dxa"/>
                                </w:tcPr>
                                <w:p w14:paraId="36EE5F96" w14:textId="1982550D" w:rsidR="003D14AC" w:rsidRPr="005949CE" w:rsidRDefault="003D14AC" w:rsidP="001A1E04">
                                  <w:pPr>
                                    <w:cnfStyle w:val="000000100000" w:firstRow="0" w:lastRow="0" w:firstColumn="0" w:lastColumn="0" w:oddVBand="0" w:evenVBand="0" w:oddHBand="1" w:evenHBand="0" w:firstRowFirstColumn="0" w:firstRowLastColumn="0" w:lastRowFirstColumn="0" w:lastRowLastColumn="0"/>
                                    <w:rPr>
                                      <w:b/>
                                      <w:color w:val="262626"/>
                                    </w:rPr>
                                  </w:pPr>
                                  <w:r w:rsidRPr="005949CE">
                                    <w:rPr>
                                      <w:b/>
                                      <w:color w:val="262626"/>
                                    </w:rPr>
                                    <w:t>Information Technology, Telecommunications, Cyber Security</w:t>
                                  </w:r>
                                </w:p>
                              </w:tc>
                            </w:tr>
                            <w:tr w:rsidR="003D14AC" w:rsidRPr="00196A22" w14:paraId="247830DA" w14:textId="77777777" w:rsidTr="005949CE">
                              <w:trPr>
                                <w:trHeight w:val="517"/>
                              </w:trPr>
                              <w:tc>
                                <w:tcPr>
                                  <w:cnfStyle w:val="001000000000" w:firstRow="0" w:lastRow="0" w:firstColumn="1" w:lastColumn="0" w:oddVBand="0" w:evenVBand="0" w:oddHBand="0" w:evenHBand="0" w:firstRowFirstColumn="0" w:firstRowLastColumn="0" w:lastRowFirstColumn="0" w:lastRowLastColumn="0"/>
                                  <w:tcW w:w="5418" w:type="dxa"/>
                                </w:tcPr>
                                <w:p w14:paraId="342E43FE" w14:textId="08B4407C" w:rsidR="003D14AC" w:rsidRPr="005949CE" w:rsidRDefault="003D14AC" w:rsidP="001E1902">
                                  <w:pPr>
                                    <w:rPr>
                                      <w:bCs w:val="0"/>
                                      <w:color w:val="262626"/>
                                    </w:rPr>
                                  </w:pPr>
                                  <w:r w:rsidRPr="005949CE">
                                    <w:rPr>
                                      <w:bCs w:val="0"/>
                                      <w:color w:val="262626"/>
                                    </w:rPr>
                                    <w:t xml:space="preserve">Manufacturing </w:t>
                                  </w:r>
                                </w:p>
                              </w:tc>
                              <w:tc>
                                <w:tcPr>
                                  <w:tcW w:w="5136" w:type="dxa"/>
                                </w:tcPr>
                                <w:p w14:paraId="6DF328FC" w14:textId="6251FB38" w:rsidR="003D14AC" w:rsidRPr="005949CE" w:rsidRDefault="003D14AC" w:rsidP="001A1E04">
                                  <w:pPr>
                                    <w:cnfStyle w:val="000000000000" w:firstRow="0" w:lastRow="0" w:firstColumn="0" w:lastColumn="0" w:oddVBand="0" w:evenVBand="0" w:oddHBand="0" w:evenHBand="0" w:firstRowFirstColumn="0" w:firstRowLastColumn="0" w:lastRowFirstColumn="0" w:lastRowLastColumn="0"/>
                                    <w:rPr>
                                      <w:b/>
                                      <w:color w:val="262626"/>
                                    </w:rPr>
                                  </w:pPr>
                                  <w:r w:rsidRPr="005949CE">
                                    <w:rPr>
                                      <w:b/>
                                      <w:color w:val="262626"/>
                                    </w:rPr>
                                    <w:t>Biotechnology, Health Care Technology, Pharmaceuticals</w:t>
                                  </w:r>
                                </w:p>
                              </w:tc>
                            </w:tr>
                            <w:tr w:rsidR="003D14AC" w:rsidRPr="00196A22" w14:paraId="56F03D8E" w14:textId="77777777" w:rsidTr="005949CE">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418" w:type="dxa"/>
                                </w:tcPr>
                                <w:p w14:paraId="31F6E4DA" w14:textId="77777777" w:rsidR="003D14AC" w:rsidRPr="005949CE" w:rsidRDefault="003D14AC" w:rsidP="001A1E04">
                                  <w:pPr>
                                    <w:rPr>
                                      <w:bCs w:val="0"/>
                                      <w:color w:val="262626"/>
                                    </w:rPr>
                                  </w:pPr>
                                  <w:r w:rsidRPr="005949CE">
                                    <w:rPr>
                                      <w:bCs w:val="0"/>
                                      <w:color w:val="262626"/>
                                    </w:rPr>
                                    <w:t>Financial Services</w:t>
                                  </w:r>
                                </w:p>
                              </w:tc>
                              <w:tc>
                                <w:tcPr>
                                  <w:tcW w:w="5136" w:type="dxa"/>
                                </w:tcPr>
                                <w:p w14:paraId="67B647E0" w14:textId="40EEE5A1" w:rsidR="003D14AC" w:rsidRPr="005949CE" w:rsidRDefault="003D14AC" w:rsidP="001A1E04">
                                  <w:pPr>
                                    <w:cnfStyle w:val="000000100000" w:firstRow="0" w:lastRow="0" w:firstColumn="0" w:lastColumn="0" w:oddVBand="0" w:evenVBand="0" w:oddHBand="1" w:evenHBand="0" w:firstRowFirstColumn="0" w:firstRowLastColumn="0" w:lastRowFirstColumn="0" w:lastRowLastColumn="0"/>
                                    <w:rPr>
                                      <w:b/>
                                      <w:color w:val="262626"/>
                                    </w:rPr>
                                  </w:pPr>
                                </w:p>
                              </w:tc>
                            </w:tr>
                          </w:tbl>
                          <w:p w14:paraId="687CA2C7" w14:textId="77777777" w:rsidR="003D14AC" w:rsidRPr="007D34F0" w:rsidRDefault="003D14AC" w:rsidP="00196A22">
                            <w:pPr>
                              <w:pStyle w:val="Caption"/>
                            </w:pPr>
                            <w:r>
                              <w:t xml:space="preserve">Table </w:t>
                            </w:r>
                            <w:fldSimple w:instr=" SEQ Table \* ARABIC ">
                              <w:r w:rsidR="00943AA8">
                                <w:rPr>
                                  <w:noProof/>
                                </w:rPr>
                                <w:t>3</w:t>
                              </w:r>
                            </w:fldSimple>
                            <w:r>
                              <w:t>: MEDAAF Eligible Industry Sectors</w:t>
                            </w:r>
                          </w:p>
                          <w:p w14:paraId="107D8FCD"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3" type="#_x0000_t202" style="position:absolute;margin-left:-5pt;margin-top:-10.6pt;width:540.85pt;height:157.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" fillcolor="white [3201]" strokeweight=".5pt">
                <v:textbox>
                  <w:txbxContent>
                    <w:tbl>
                      <w:tblPr>
                        <w:tblStyle w:val="PlainTable11"/>
                        <w:tblW w:w="10554" w:type="dxa"/>
                        <w:tblLook w:val="04A0" w:firstRow="1" w:lastRow="0" w:firstColumn="1" w:lastColumn="0" w:noHBand="0" w:noVBand="1"/>
                        <w:tblCaption w:val="MEDAAF Eligible Industry Sectors"/>
                        <w:tblDescription w:val="This table lists Maryland's MEDAAF eligible industry sectors: Agriculture and Resource Based Industries; Distribution, Warehousing, Transportation, Logistics; Businesses with U.S. or regional operations in Maryland; Manufacturing; Financial Services; Aerospace, Aeronautics; Unmanned Aerial Systems; Environmental Technology, Renewable Energy, and Energy Production; Information Technology, Telecommunications, Cyber Security; and, Biotechnology, Health Care Technology, Pharmaceuticals."/>
                      </w:tblPr>
                      <w:tblGrid>
                        <w:gridCol w:w="5418"/>
                        <w:gridCol w:w="5136"/>
                      </w:tblGrid>
                      <w:tr w:rsidR="003D14AC" w:rsidRPr="00196A22" w14:paraId="372C41FC" w14:textId="77777777" w:rsidTr="00923B2F">
                        <w:trPr>
                          <w:cnfStyle w:val="100000000000" w:firstRow="1" w:lastRow="0" w:firstColumn="0" w:lastColumn="0" w:oddVBand="0" w:evenVBand="0" w:oddHBand="0" w:evenHBand="0" w:firstRowFirstColumn="0" w:firstRowLastColumn="0" w:lastRowFirstColumn="0" w:lastRowLastColumn="0"/>
                          <w:trHeight w:val="246"/>
                          <w:tblHeader/>
                        </w:trPr>
                        <w:tc>
                          <w:tcPr>
                            <w:cnfStyle w:val="001000000000" w:firstRow="0" w:lastRow="0" w:firstColumn="1" w:lastColumn="0" w:oddVBand="0" w:evenVBand="0" w:oddHBand="0" w:evenHBand="0" w:firstRowFirstColumn="0" w:firstRowLastColumn="0" w:lastRowFirstColumn="0" w:lastRowLastColumn="0"/>
                            <w:tcW w:w="10554" w:type="dxa"/>
                            <w:gridSpan w:val="2"/>
                          </w:tcPr>
                          <w:p w14:paraId="5D378D15" w14:textId="77777777" w:rsidR="003D14AC" w:rsidRPr="005949CE" w:rsidRDefault="003D14AC" w:rsidP="001A1E04">
                            <w:pPr>
                              <w:jc w:val="center"/>
                              <w:rPr>
                                <w:bCs w:val="0"/>
                                <w:color w:val="262626"/>
                              </w:rPr>
                            </w:pPr>
                            <w:r w:rsidRPr="005949CE">
                              <w:rPr>
                                <w:bCs w:val="0"/>
                                <w:color w:val="262626"/>
                              </w:rPr>
                              <w:t>MEDAAF Eligible Industry Sectors</w:t>
                            </w:r>
                          </w:p>
                        </w:tc>
                      </w:tr>
                      <w:tr w:rsidR="003D14AC" w:rsidRPr="00196A22" w14:paraId="43EBDFB2" w14:textId="77777777" w:rsidTr="005949CE">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418" w:type="dxa"/>
                          </w:tcPr>
                          <w:p w14:paraId="37EC34D8" w14:textId="39A8AE4F" w:rsidR="003D14AC" w:rsidRPr="005949CE" w:rsidRDefault="003D14AC" w:rsidP="001A1E04">
                            <w:pPr>
                              <w:rPr>
                                <w:bCs w:val="0"/>
                                <w:color w:val="262626"/>
                              </w:rPr>
                            </w:pPr>
                            <w:r w:rsidRPr="005949CE">
                              <w:rPr>
                                <w:bCs w:val="0"/>
                                <w:color w:val="262626"/>
                              </w:rPr>
                              <w:t>Agriculture and Resource Based Industries</w:t>
                            </w:r>
                          </w:p>
                        </w:tc>
                        <w:tc>
                          <w:tcPr>
                            <w:tcW w:w="5136" w:type="dxa"/>
                          </w:tcPr>
                          <w:p w14:paraId="7BB40334" w14:textId="064EFEEC" w:rsidR="003D14AC" w:rsidRPr="005949CE" w:rsidRDefault="003D14AC" w:rsidP="001A1E04">
                            <w:pPr>
                              <w:cnfStyle w:val="000000100000" w:firstRow="0" w:lastRow="0" w:firstColumn="0" w:lastColumn="0" w:oddVBand="0" w:evenVBand="0" w:oddHBand="1" w:evenHBand="0" w:firstRowFirstColumn="0" w:firstRowLastColumn="0" w:lastRowFirstColumn="0" w:lastRowLastColumn="0"/>
                              <w:rPr>
                                <w:b/>
                                <w:color w:val="262626"/>
                              </w:rPr>
                            </w:pPr>
                            <w:r w:rsidRPr="005949CE">
                              <w:rPr>
                                <w:b/>
                                <w:color w:val="262626"/>
                              </w:rPr>
                              <w:t>Aerospace, Aeronautics, Unmanned Aerial Systems</w:t>
                            </w:r>
                          </w:p>
                        </w:tc>
                      </w:tr>
                      <w:tr w:rsidR="003D14AC" w:rsidRPr="00196A22" w14:paraId="70EFC978" w14:textId="77777777" w:rsidTr="005949CE">
                        <w:trPr>
                          <w:trHeight w:val="318"/>
                        </w:trPr>
                        <w:tc>
                          <w:tcPr>
                            <w:cnfStyle w:val="001000000000" w:firstRow="0" w:lastRow="0" w:firstColumn="1" w:lastColumn="0" w:oddVBand="0" w:evenVBand="0" w:oddHBand="0" w:evenHBand="0" w:firstRowFirstColumn="0" w:firstRowLastColumn="0" w:lastRowFirstColumn="0" w:lastRowLastColumn="0"/>
                            <w:tcW w:w="5418" w:type="dxa"/>
                          </w:tcPr>
                          <w:p w14:paraId="4AF1889B" w14:textId="767215B7" w:rsidR="003D14AC" w:rsidRPr="005949CE" w:rsidRDefault="003D14AC" w:rsidP="001A1E04">
                            <w:pPr>
                              <w:rPr>
                                <w:bCs w:val="0"/>
                                <w:color w:val="262626"/>
                              </w:rPr>
                            </w:pPr>
                            <w:r w:rsidRPr="005949CE">
                              <w:rPr>
                                <w:bCs w:val="0"/>
                                <w:color w:val="262626"/>
                              </w:rPr>
                              <w:t>Distribution, Warehousing, Transportation, Logistics</w:t>
                            </w:r>
                          </w:p>
                        </w:tc>
                        <w:tc>
                          <w:tcPr>
                            <w:tcW w:w="5136" w:type="dxa"/>
                          </w:tcPr>
                          <w:p w14:paraId="2F126D17" w14:textId="5E6D3340" w:rsidR="003D14AC" w:rsidRPr="005949CE" w:rsidRDefault="003D14AC" w:rsidP="001A1E04">
                            <w:pPr>
                              <w:cnfStyle w:val="000000000000" w:firstRow="0" w:lastRow="0" w:firstColumn="0" w:lastColumn="0" w:oddVBand="0" w:evenVBand="0" w:oddHBand="0" w:evenHBand="0" w:firstRowFirstColumn="0" w:firstRowLastColumn="0" w:lastRowFirstColumn="0" w:lastRowLastColumn="0"/>
                              <w:rPr>
                                <w:b/>
                                <w:color w:val="262626"/>
                              </w:rPr>
                            </w:pPr>
                            <w:r w:rsidRPr="005949CE">
                              <w:rPr>
                                <w:b/>
                                <w:color w:val="262626"/>
                              </w:rPr>
                              <w:t>Environmental Technology, Renewable Energy and Energy Production</w:t>
                            </w:r>
                          </w:p>
                        </w:tc>
                      </w:tr>
                      <w:tr w:rsidR="003D14AC" w:rsidRPr="00196A22" w14:paraId="71D5DA8D" w14:textId="77777777" w:rsidTr="005949CE">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5418" w:type="dxa"/>
                          </w:tcPr>
                          <w:p w14:paraId="3A10F0B0" w14:textId="6781D486" w:rsidR="003D14AC" w:rsidRPr="005949CE" w:rsidRDefault="003D14AC" w:rsidP="001A1E04">
                            <w:pPr>
                              <w:rPr>
                                <w:bCs w:val="0"/>
                                <w:color w:val="262626"/>
                              </w:rPr>
                            </w:pPr>
                            <w:r w:rsidRPr="005949CE">
                              <w:rPr>
                                <w:bCs w:val="0"/>
                                <w:color w:val="262626"/>
                              </w:rPr>
                              <w:t>Businesses with U.S. or regional</w:t>
                            </w:r>
                            <w:r>
                              <w:rPr>
                                <w:bCs w:val="0"/>
                                <w:color w:val="262626"/>
                              </w:rPr>
                              <w:t xml:space="preserve"> operations</w:t>
                            </w:r>
                            <w:r w:rsidRPr="005949CE">
                              <w:rPr>
                                <w:bCs w:val="0"/>
                                <w:color w:val="262626"/>
                              </w:rPr>
                              <w:t xml:space="preserve"> in Maryland</w:t>
                            </w:r>
                          </w:p>
                        </w:tc>
                        <w:tc>
                          <w:tcPr>
                            <w:tcW w:w="5136" w:type="dxa"/>
                          </w:tcPr>
                          <w:p w14:paraId="36EE5F96" w14:textId="1982550D" w:rsidR="003D14AC" w:rsidRPr="005949CE" w:rsidRDefault="003D14AC" w:rsidP="001A1E04">
                            <w:pPr>
                              <w:cnfStyle w:val="000000100000" w:firstRow="0" w:lastRow="0" w:firstColumn="0" w:lastColumn="0" w:oddVBand="0" w:evenVBand="0" w:oddHBand="1" w:evenHBand="0" w:firstRowFirstColumn="0" w:firstRowLastColumn="0" w:lastRowFirstColumn="0" w:lastRowLastColumn="0"/>
                              <w:rPr>
                                <w:b/>
                                <w:color w:val="262626"/>
                              </w:rPr>
                            </w:pPr>
                            <w:r w:rsidRPr="005949CE">
                              <w:rPr>
                                <w:b/>
                                <w:color w:val="262626"/>
                              </w:rPr>
                              <w:t>Information Technology, Telecommunications, Cyber Security</w:t>
                            </w:r>
                          </w:p>
                        </w:tc>
                      </w:tr>
                      <w:tr w:rsidR="003D14AC" w:rsidRPr="00196A22" w14:paraId="247830DA" w14:textId="77777777" w:rsidTr="005949CE">
                        <w:trPr>
                          <w:trHeight w:val="517"/>
                        </w:trPr>
                        <w:tc>
                          <w:tcPr>
                            <w:cnfStyle w:val="001000000000" w:firstRow="0" w:lastRow="0" w:firstColumn="1" w:lastColumn="0" w:oddVBand="0" w:evenVBand="0" w:oddHBand="0" w:evenHBand="0" w:firstRowFirstColumn="0" w:firstRowLastColumn="0" w:lastRowFirstColumn="0" w:lastRowLastColumn="0"/>
                            <w:tcW w:w="5418" w:type="dxa"/>
                          </w:tcPr>
                          <w:p w14:paraId="342E43FE" w14:textId="08B4407C" w:rsidR="003D14AC" w:rsidRPr="005949CE" w:rsidRDefault="003D14AC" w:rsidP="001E1902">
                            <w:pPr>
                              <w:rPr>
                                <w:bCs w:val="0"/>
                                <w:color w:val="262626"/>
                              </w:rPr>
                            </w:pPr>
                            <w:r w:rsidRPr="005949CE">
                              <w:rPr>
                                <w:bCs w:val="0"/>
                                <w:color w:val="262626"/>
                              </w:rPr>
                              <w:t xml:space="preserve">Manufacturing </w:t>
                            </w:r>
                          </w:p>
                        </w:tc>
                        <w:tc>
                          <w:tcPr>
                            <w:tcW w:w="5136" w:type="dxa"/>
                          </w:tcPr>
                          <w:p w14:paraId="6DF328FC" w14:textId="6251FB38" w:rsidR="003D14AC" w:rsidRPr="005949CE" w:rsidRDefault="003D14AC" w:rsidP="001A1E04">
                            <w:pPr>
                              <w:cnfStyle w:val="000000000000" w:firstRow="0" w:lastRow="0" w:firstColumn="0" w:lastColumn="0" w:oddVBand="0" w:evenVBand="0" w:oddHBand="0" w:evenHBand="0" w:firstRowFirstColumn="0" w:firstRowLastColumn="0" w:lastRowFirstColumn="0" w:lastRowLastColumn="0"/>
                              <w:rPr>
                                <w:b/>
                                <w:color w:val="262626"/>
                              </w:rPr>
                            </w:pPr>
                            <w:r w:rsidRPr="005949CE">
                              <w:rPr>
                                <w:b/>
                                <w:color w:val="262626"/>
                              </w:rPr>
                              <w:t>Biotechnology, Health Care Technology, Pharmaceuticals</w:t>
                            </w:r>
                          </w:p>
                        </w:tc>
                      </w:tr>
                      <w:tr w:rsidR="003D14AC" w:rsidRPr="00196A22" w14:paraId="56F03D8E" w14:textId="77777777" w:rsidTr="005949CE">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418" w:type="dxa"/>
                          </w:tcPr>
                          <w:p w14:paraId="31F6E4DA" w14:textId="77777777" w:rsidR="003D14AC" w:rsidRPr="005949CE" w:rsidRDefault="003D14AC" w:rsidP="001A1E04">
                            <w:pPr>
                              <w:rPr>
                                <w:bCs w:val="0"/>
                                <w:color w:val="262626"/>
                              </w:rPr>
                            </w:pPr>
                            <w:r w:rsidRPr="005949CE">
                              <w:rPr>
                                <w:bCs w:val="0"/>
                                <w:color w:val="262626"/>
                              </w:rPr>
                              <w:t>Financial Services</w:t>
                            </w:r>
                          </w:p>
                        </w:tc>
                        <w:tc>
                          <w:tcPr>
                            <w:tcW w:w="5136" w:type="dxa"/>
                          </w:tcPr>
                          <w:p w14:paraId="67B647E0" w14:textId="40EEE5A1" w:rsidR="003D14AC" w:rsidRPr="005949CE" w:rsidRDefault="003D14AC" w:rsidP="001A1E04">
                            <w:pPr>
                              <w:cnfStyle w:val="000000100000" w:firstRow="0" w:lastRow="0" w:firstColumn="0" w:lastColumn="0" w:oddVBand="0" w:evenVBand="0" w:oddHBand="1" w:evenHBand="0" w:firstRowFirstColumn="0" w:firstRowLastColumn="0" w:lastRowFirstColumn="0" w:lastRowLastColumn="0"/>
                              <w:rPr>
                                <w:b/>
                                <w:color w:val="262626"/>
                              </w:rPr>
                            </w:pPr>
                          </w:p>
                        </w:tc>
                      </w:tr>
                    </w:tbl>
                    <w:p w14:paraId="687CA2C7" w14:textId="77777777" w:rsidR="003D14AC" w:rsidRPr="007D34F0" w:rsidRDefault="003D14AC" w:rsidP="00196A22">
                      <w:pPr>
                        <w:pStyle w:val="Caption"/>
                      </w:pPr>
                      <w:r>
                        <w:t xml:space="preserve">Table </w:t>
                      </w:r>
                      <w:fldSimple w:instr=" SEQ Table \* ARABIC ">
                        <w:r w:rsidR="00943AA8">
                          <w:rPr>
                            <w:noProof/>
                          </w:rPr>
                          <w:t>3</w:t>
                        </w:r>
                      </w:fldSimple>
                      <w:r>
                        <w:t>: MEDAAF Eligible Industry Sectors</w:t>
                      </w:r>
                    </w:p>
                    <w:p w14:paraId="107D8FCD" w14:textId="77777777" w:rsidR="003D14AC" w:rsidRDefault="003D14AC"/>
                  </w:txbxContent>
                </v:textbox>
              </v:shape>
            </w:pict>
          </mc:Fallback>
        </mc:AlternateContent>
      </w:r>
    </w:p>
    <w:p w14:paraId="641765DB" w14:textId="77777777" w:rsidR="00393483" w:rsidRPr="004A0C12" w:rsidRDefault="00393483" w:rsidP="00057B5A">
      <w:pPr>
        <w:spacing w:after="0" w:line="240" w:lineRule="auto"/>
        <w:rPr>
          <w:rFonts w:ascii="Garamond" w:eastAsia="Times New Roman" w:hAnsi="Garamond"/>
        </w:rPr>
      </w:pPr>
    </w:p>
    <w:p w14:paraId="70AB5F8B" w14:textId="77777777" w:rsidR="00393483" w:rsidRPr="004A0C12" w:rsidRDefault="00393483" w:rsidP="00057B5A">
      <w:pPr>
        <w:spacing w:after="0" w:line="240" w:lineRule="auto"/>
        <w:rPr>
          <w:rFonts w:ascii="Garamond" w:eastAsia="Times New Roman" w:hAnsi="Garamond"/>
        </w:rPr>
      </w:pPr>
    </w:p>
    <w:p w14:paraId="797D414B" w14:textId="77777777" w:rsidR="00393483" w:rsidRPr="004A0C12" w:rsidRDefault="00393483" w:rsidP="00057B5A">
      <w:pPr>
        <w:spacing w:after="0" w:line="240" w:lineRule="auto"/>
        <w:rPr>
          <w:rFonts w:ascii="Garamond" w:eastAsia="Times New Roman" w:hAnsi="Garamond"/>
        </w:rPr>
      </w:pPr>
    </w:p>
    <w:p w14:paraId="553EC65E" w14:textId="77777777" w:rsidR="00393483" w:rsidRPr="004A0C12" w:rsidRDefault="00393483" w:rsidP="00057B5A">
      <w:pPr>
        <w:spacing w:after="0" w:line="240" w:lineRule="auto"/>
        <w:rPr>
          <w:rFonts w:ascii="Garamond" w:eastAsia="Times New Roman" w:hAnsi="Garamond"/>
        </w:rPr>
      </w:pPr>
    </w:p>
    <w:p w14:paraId="644CE22E" w14:textId="77777777" w:rsidR="00393483" w:rsidRPr="004A0C12" w:rsidRDefault="00393483" w:rsidP="00057B5A">
      <w:pPr>
        <w:spacing w:after="0" w:line="240" w:lineRule="auto"/>
        <w:rPr>
          <w:rFonts w:ascii="Garamond" w:eastAsia="Times New Roman" w:hAnsi="Garamond"/>
        </w:rPr>
      </w:pPr>
    </w:p>
    <w:p w14:paraId="748DFD56" w14:textId="77777777" w:rsidR="00393483" w:rsidRPr="004A0C12" w:rsidRDefault="00393483" w:rsidP="00057B5A">
      <w:pPr>
        <w:spacing w:after="0" w:line="240" w:lineRule="auto"/>
        <w:rPr>
          <w:rFonts w:ascii="Garamond" w:eastAsia="Times New Roman" w:hAnsi="Garamond"/>
        </w:rPr>
      </w:pPr>
    </w:p>
    <w:p w14:paraId="063CCB66" w14:textId="77777777" w:rsidR="00393483" w:rsidRPr="004A0C12" w:rsidRDefault="00393483" w:rsidP="00057B5A">
      <w:pPr>
        <w:spacing w:after="0" w:line="240" w:lineRule="auto"/>
        <w:rPr>
          <w:rFonts w:ascii="Garamond" w:eastAsia="Times New Roman" w:hAnsi="Garamond"/>
        </w:rPr>
      </w:pPr>
    </w:p>
    <w:p w14:paraId="4BF99ECE" w14:textId="77777777" w:rsidR="00393483" w:rsidRPr="004A0C12" w:rsidRDefault="00393483" w:rsidP="00057B5A">
      <w:pPr>
        <w:spacing w:after="0" w:line="240" w:lineRule="auto"/>
        <w:rPr>
          <w:rFonts w:ascii="Garamond" w:eastAsia="Times New Roman" w:hAnsi="Garamond"/>
        </w:rPr>
      </w:pPr>
    </w:p>
    <w:p w14:paraId="36B334E7" w14:textId="77777777" w:rsidR="00404242" w:rsidRPr="004A0C12" w:rsidRDefault="00404242" w:rsidP="00057B5A">
      <w:pPr>
        <w:spacing w:after="0" w:line="240" w:lineRule="auto"/>
        <w:jc w:val="both"/>
        <w:rPr>
          <w:rFonts w:ascii="Garamond" w:eastAsia="Times New Roman" w:hAnsi="Garamond"/>
        </w:rPr>
      </w:pPr>
    </w:p>
    <w:p w14:paraId="790E9B5D" w14:textId="77777777" w:rsidR="00086D40" w:rsidRDefault="00086D40" w:rsidP="00057B5A">
      <w:pPr>
        <w:spacing w:after="0" w:line="240" w:lineRule="auto"/>
        <w:jc w:val="both"/>
        <w:rPr>
          <w:rFonts w:ascii="Garamond" w:eastAsia="Times New Roman" w:hAnsi="Garamond"/>
        </w:rPr>
      </w:pPr>
    </w:p>
    <w:p w14:paraId="406B47D4" w14:textId="77777777" w:rsidR="00086D40" w:rsidRDefault="00086D40" w:rsidP="00057B5A">
      <w:pPr>
        <w:spacing w:after="0" w:line="240" w:lineRule="auto"/>
        <w:jc w:val="both"/>
        <w:rPr>
          <w:rFonts w:ascii="Garamond" w:eastAsia="Times New Roman" w:hAnsi="Garamond"/>
        </w:rPr>
      </w:pPr>
    </w:p>
    <w:p w14:paraId="6EAF7265" w14:textId="77777777" w:rsidR="00086D40" w:rsidRDefault="00086D40" w:rsidP="00057B5A">
      <w:pPr>
        <w:spacing w:after="0" w:line="240" w:lineRule="auto"/>
        <w:jc w:val="both"/>
        <w:rPr>
          <w:rFonts w:ascii="Garamond" w:eastAsia="Times New Roman" w:hAnsi="Garamond"/>
        </w:rPr>
      </w:pPr>
    </w:p>
    <w:p w14:paraId="5EB9CC5F" w14:textId="6FD5C11F" w:rsidR="00404242" w:rsidRDefault="00196A22" w:rsidP="00057B5A">
      <w:pPr>
        <w:spacing w:after="0" w:line="240" w:lineRule="auto"/>
        <w:jc w:val="both"/>
        <w:rPr>
          <w:rFonts w:ascii="Garamond" w:eastAsia="Times New Roman" w:hAnsi="Garamond"/>
        </w:rPr>
      </w:pPr>
      <w:r w:rsidRPr="004A0C12">
        <w:rPr>
          <w:rFonts w:ascii="Garamond" w:eastAsia="Times New Roman" w:hAnsi="Garamond"/>
        </w:rPr>
        <w:t>In an attempt to coordinate workforce development and economic development efforts, and to further integrate</w:t>
      </w:r>
      <w:r w:rsidR="007056D8" w:rsidRPr="004A0C12">
        <w:rPr>
          <w:rFonts w:ascii="Garamond" w:eastAsia="Times New Roman" w:hAnsi="Garamond"/>
        </w:rPr>
        <w:t xml:space="preserve"> the services provided by WIOA P</w:t>
      </w:r>
      <w:r w:rsidRPr="004A0C12">
        <w:rPr>
          <w:rFonts w:ascii="Garamond" w:eastAsia="Times New Roman" w:hAnsi="Garamond"/>
        </w:rPr>
        <w:t>artners and economic development agencies within the State, the following demand-</w:t>
      </w:r>
      <w:r w:rsidR="008A605F" w:rsidRPr="004A0C12">
        <w:rPr>
          <w:rFonts w:ascii="Garamond" w:eastAsia="Times New Roman" w:hAnsi="Garamond"/>
        </w:rPr>
        <w:t xml:space="preserve">driven industry clusters have been identified: </w:t>
      </w:r>
    </w:p>
    <w:p w14:paraId="7D0001B9" w14:textId="77777777" w:rsidR="00086D40" w:rsidRPr="00086D40" w:rsidRDefault="00086D40" w:rsidP="00086D40">
      <w:pPr>
        <w:spacing w:after="0" w:line="240" w:lineRule="auto"/>
        <w:jc w:val="both"/>
        <w:rPr>
          <w:rFonts w:ascii="Garamond" w:eastAsia="Times New Roman" w:hAnsi="Garamond"/>
        </w:rPr>
      </w:pPr>
    </w:p>
    <w:p w14:paraId="67333289" w14:textId="77777777" w:rsidR="00FF639F" w:rsidRPr="004A0C12" w:rsidRDefault="00FF639F" w:rsidP="00057B5A">
      <w:pPr>
        <w:spacing w:after="0" w:line="240" w:lineRule="auto"/>
        <w:jc w:val="both"/>
        <w:rPr>
          <w:rFonts w:ascii="Garamond" w:eastAsia="Times New Roman" w:hAnsi="Garamond"/>
        </w:rPr>
      </w:pPr>
    </w:p>
    <w:p w14:paraId="32269EA5" w14:textId="77777777" w:rsidR="00FF639F" w:rsidRPr="004A0C12" w:rsidRDefault="00FF639F" w:rsidP="00057B5A">
      <w:pPr>
        <w:spacing w:after="0" w:line="240" w:lineRule="auto"/>
        <w:jc w:val="both"/>
        <w:rPr>
          <w:rFonts w:ascii="Garamond" w:eastAsia="Times New Roman" w:hAnsi="Garamond"/>
        </w:rPr>
      </w:pPr>
    </w:p>
    <w:p w14:paraId="0EA0E780" w14:textId="47296D09" w:rsidR="00FF639F" w:rsidRPr="004A0C12" w:rsidRDefault="00086D40" w:rsidP="00057B5A">
      <w:pPr>
        <w:spacing w:after="0" w:line="240" w:lineRule="auto"/>
        <w:jc w:val="both"/>
        <w:rPr>
          <w:rFonts w:ascii="Garamond" w:eastAsia="Times New Roman" w:hAnsi="Garamond"/>
        </w:rPr>
      </w:pPr>
      <w:r w:rsidRPr="004A0C12">
        <w:rPr>
          <w:rFonts w:ascii="Garamond" w:eastAsia="Times New Roman" w:hAnsi="Garamond"/>
          <w:noProof/>
        </w:rPr>
        <mc:AlternateContent>
          <mc:Choice Requires="wps">
            <w:drawing>
              <wp:anchor distT="0" distB="0" distL="114300" distR="114300" simplePos="0" relativeHeight="251671552" behindDoc="0" locked="0" layoutInCell="1" allowOverlap="1" wp14:anchorId="17B31018" wp14:editId="50CC0A8D">
                <wp:simplePos x="0" y="0"/>
                <wp:positionH relativeFrom="column">
                  <wp:posOffset>-60960</wp:posOffset>
                </wp:positionH>
                <wp:positionV relativeFrom="paragraph">
                  <wp:posOffset>9525</wp:posOffset>
                </wp:positionV>
                <wp:extent cx="6972300" cy="302895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6972300" cy="3028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0" w:type="auto"/>
                              <w:tblLook w:val="04A0" w:firstRow="1" w:lastRow="0" w:firstColumn="1" w:lastColumn="0" w:noHBand="0" w:noVBand="1"/>
                              <w:tblCaption w:val="Maryland Workforce Targeted Industry Sectors"/>
                              <w:tblDescription w:val="This table shows Maryland's Workforce Targeted Industry Sectors: Healthcare; Information Technology / Cybersecurity; Biotechnology (Life Science); Distribution, Warehousing and Transportation; Construction; Agriculture and Forestry; Manufacturing; and, Hospitality and Tourism.&#10;"/>
                            </w:tblPr>
                            <w:tblGrid>
                              <w:gridCol w:w="10897"/>
                            </w:tblGrid>
                            <w:tr w:rsidR="003D14AC" w:rsidRPr="00F1512D" w14:paraId="08E5D46D" w14:textId="77777777" w:rsidTr="00923B2F">
                              <w:trPr>
                                <w:cnfStyle w:val="100000000000" w:firstRow="1" w:lastRow="0" w:firstColumn="0" w:lastColumn="0" w:oddVBand="0" w:evenVBand="0" w:oddHBand="0" w:evenHBand="0" w:firstRowFirstColumn="0" w:firstRowLastColumn="0" w:lastRowFirstColumn="0" w:lastRowLastColumn="0"/>
                                <w:trHeight w:val="437"/>
                                <w:tblHeader/>
                              </w:trPr>
                              <w:tc>
                                <w:tcPr>
                                  <w:cnfStyle w:val="001000000000" w:firstRow="0" w:lastRow="0" w:firstColumn="1" w:lastColumn="0" w:oddVBand="0" w:evenVBand="0" w:oddHBand="0" w:evenHBand="0" w:firstRowFirstColumn="0" w:firstRowLastColumn="0" w:lastRowFirstColumn="0" w:lastRowLastColumn="0"/>
                                  <w:tcW w:w="10913" w:type="dxa"/>
                                </w:tcPr>
                                <w:p w14:paraId="43435377" w14:textId="77777777" w:rsidR="003D14AC" w:rsidRPr="005949CE" w:rsidRDefault="003D14AC" w:rsidP="001A1E04">
                                  <w:pPr>
                                    <w:jc w:val="center"/>
                                    <w:rPr>
                                      <w:bCs w:val="0"/>
                                      <w:color w:val="262626"/>
                                    </w:rPr>
                                  </w:pPr>
                                  <w:r w:rsidRPr="005949CE">
                                    <w:rPr>
                                      <w:bCs w:val="0"/>
                                      <w:color w:val="262626"/>
                                    </w:rPr>
                                    <w:t>Maryland Workforce Targeted Industry Sectors</w:t>
                                  </w:r>
                                </w:p>
                              </w:tc>
                            </w:tr>
                            <w:tr w:rsidR="003D14AC" w:rsidRPr="00F1512D" w14:paraId="18B5D16A" w14:textId="77777777" w:rsidTr="005949C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7413050E" w14:textId="77777777" w:rsidR="003D14AC" w:rsidRPr="005949CE" w:rsidRDefault="003D14AC" w:rsidP="001A1E04">
                                  <w:pPr>
                                    <w:rPr>
                                      <w:b w:val="0"/>
                                      <w:bCs w:val="0"/>
                                      <w:color w:val="262626"/>
                                    </w:rPr>
                                  </w:pPr>
                                  <w:r w:rsidRPr="005949CE">
                                    <w:rPr>
                                      <w:b w:val="0"/>
                                      <w:bCs w:val="0"/>
                                      <w:color w:val="262626"/>
                                    </w:rPr>
                                    <w:t>Healthcare</w:t>
                                  </w:r>
                                </w:p>
                              </w:tc>
                            </w:tr>
                            <w:tr w:rsidR="003D14AC" w:rsidRPr="00F1512D" w14:paraId="4689AF25" w14:textId="77777777" w:rsidTr="005949CE">
                              <w:trPr>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122F9592" w14:textId="77777777" w:rsidR="003D14AC" w:rsidRPr="005949CE" w:rsidRDefault="003D14AC" w:rsidP="001A1E04">
                                  <w:pPr>
                                    <w:rPr>
                                      <w:b w:val="0"/>
                                      <w:bCs w:val="0"/>
                                      <w:color w:val="262626"/>
                                    </w:rPr>
                                  </w:pPr>
                                  <w:r w:rsidRPr="005949CE">
                                    <w:rPr>
                                      <w:b w:val="0"/>
                                      <w:bCs w:val="0"/>
                                      <w:color w:val="262626"/>
                                    </w:rPr>
                                    <w:t>Information Technology / Cybersecurity</w:t>
                                  </w:r>
                                </w:p>
                              </w:tc>
                            </w:tr>
                            <w:tr w:rsidR="003D14AC" w:rsidRPr="00F1512D" w14:paraId="47115CCF" w14:textId="77777777" w:rsidTr="005949C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2B11059F" w14:textId="77777777" w:rsidR="003D14AC" w:rsidRPr="005949CE" w:rsidRDefault="003D14AC" w:rsidP="001A1E04">
                                  <w:pPr>
                                    <w:rPr>
                                      <w:b w:val="0"/>
                                      <w:bCs w:val="0"/>
                                      <w:color w:val="262626"/>
                                    </w:rPr>
                                  </w:pPr>
                                  <w:r w:rsidRPr="005949CE">
                                    <w:rPr>
                                      <w:b w:val="0"/>
                                      <w:bCs w:val="0"/>
                                      <w:color w:val="262626"/>
                                    </w:rPr>
                                    <w:t>Biotechnology (Life Science)</w:t>
                                  </w:r>
                                </w:p>
                              </w:tc>
                            </w:tr>
                            <w:tr w:rsidR="003D14AC" w:rsidRPr="00F1512D" w14:paraId="3DE21919" w14:textId="77777777" w:rsidTr="005949CE">
                              <w:trPr>
                                <w:trHeight w:val="439"/>
                              </w:trPr>
                              <w:tc>
                                <w:tcPr>
                                  <w:cnfStyle w:val="001000000000" w:firstRow="0" w:lastRow="0" w:firstColumn="1" w:lastColumn="0" w:oddVBand="0" w:evenVBand="0" w:oddHBand="0" w:evenHBand="0" w:firstRowFirstColumn="0" w:firstRowLastColumn="0" w:lastRowFirstColumn="0" w:lastRowLastColumn="0"/>
                                  <w:tcW w:w="10913" w:type="dxa"/>
                                </w:tcPr>
                                <w:p w14:paraId="002245F3" w14:textId="77777777" w:rsidR="003D14AC" w:rsidRPr="005949CE" w:rsidRDefault="003D14AC" w:rsidP="001A1E04">
                                  <w:pPr>
                                    <w:rPr>
                                      <w:b w:val="0"/>
                                      <w:bCs w:val="0"/>
                                      <w:color w:val="262626"/>
                                    </w:rPr>
                                  </w:pPr>
                                  <w:r w:rsidRPr="005949CE">
                                    <w:rPr>
                                      <w:b w:val="0"/>
                                      <w:bCs w:val="0"/>
                                      <w:color w:val="262626"/>
                                    </w:rPr>
                                    <w:t>Distribution, Warehousing and Transportation</w:t>
                                  </w:r>
                                </w:p>
                              </w:tc>
                            </w:tr>
                            <w:tr w:rsidR="003D14AC" w:rsidRPr="00F1512D" w14:paraId="12714366" w14:textId="77777777" w:rsidTr="005949C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25E9B92A" w14:textId="77777777" w:rsidR="003D14AC" w:rsidRPr="005949CE" w:rsidRDefault="003D14AC" w:rsidP="001A1E04">
                                  <w:pPr>
                                    <w:rPr>
                                      <w:b w:val="0"/>
                                      <w:bCs w:val="0"/>
                                      <w:color w:val="262626"/>
                                    </w:rPr>
                                  </w:pPr>
                                  <w:r w:rsidRPr="005949CE">
                                    <w:rPr>
                                      <w:b w:val="0"/>
                                      <w:bCs w:val="0"/>
                                      <w:color w:val="262626"/>
                                    </w:rPr>
                                    <w:t>Construction</w:t>
                                  </w:r>
                                </w:p>
                              </w:tc>
                            </w:tr>
                            <w:tr w:rsidR="003D14AC" w:rsidRPr="00F1512D" w14:paraId="30A86AA2" w14:textId="77777777" w:rsidTr="005949CE">
                              <w:trPr>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1E3349F1" w14:textId="77777777" w:rsidR="003D14AC" w:rsidRPr="005949CE" w:rsidRDefault="003D14AC" w:rsidP="001A1E04">
                                  <w:pPr>
                                    <w:rPr>
                                      <w:b w:val="0"/>
                                      <w:bCs w:val="0"/>
                                      <w:color w:val="262626"/>
                                    </w:rPr>
                                  </w:pPr>
                                  <w:r w:rsidRPr="005949CE">
                                    <w:rPr>
                                      <w:b w:val="0"/>
                                      <w:bCs w:val="0"/>
                                      <w:color w:val="262626"/>
                                    </w:rPr>
                                    <w:t>Agriculture and Forestry</w:t>
                                  </w:r>
                                </w:p>
                              </w:tc>
                            </w:tr>
                            <w:tr w:rsidR="003D14AC" w:rsidRPr="00F1512D" w14:paraId="1960034E" w14:textId="77777777" w:rsidTr="005949C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480F98A6" w14:textId="77777777" w:rsidR="003D14AC" w:rsidRPr="005949CE" w:rsidRDefault="003D14AC" w:rsidP="001A1E04">
                                  <w:pPr>
                                    <w:rPr>
                                      <w:b w:val="0"/>
                                      <w:bCs w:val="0"/>
                                      <w:color w:val="262626"/>
                                    </w:rPr>
                                  </w:pPr>
                                  <w:r w:rsidRPr="005949CE">
                                    <w:rPr>
                                      <w:b w:val="0"/>
                                      <w:bCs w:val="0"/>
                                      <w:color w:val="262626"/>
                                    </w:rPr>
                                    <w:t>Manufacturing</w:t>
                                  </w:r>
                                </w:p>
                              </w:tc>
                            </w:tr>
                            <w:tr w:rsidR="003D14AC" w:rsidRPr="00F1512D" w14:paraId="1F86B5E4" w14:textId="77777777" w:rsidTr="005949CE">
                              <w:trPr>
                                <w:trHeight w:val="437"/>
                              </w:trPr>
                              <w:tc>
                                <w:tcPr>
                                  <w:cnfStyle w:val="001000000000" w:firstRow="0" w:lastRow="0" w:firstColumn="1" w:lastColumn="0" w:oddVBand="0" w:evenVBand="0" w:oddHBand="0" w:evenHBand="0" w:firstRowFirstColumn="0" w:firstRowLastColumn="0" w:lastRowFirstColumn="0" w:lastRowLastColumn="0"/>
                                  <w:tcW w:w="10913" w:type="dxa"/>
                                </w:tcPr>
                                <w:p w14:paraId="136B8980" w14:textId="77777777" w:rsidR="003D14AC" w:rsidRPr="005949CE" w:rsidRDefault="003D14AC" w:rsidP="001A1E04">
                                  <w:pPr>
                                    <w:keepNext/>
                                    <w:rPr>
                                      <w:b w:val="0"/>
                                      <w:bCs w:val="0"/>
                                      <w:color w:val="262626"/>
                                    </w:rPr>
                                  </w:pPr>
                                  <w:r w:rsidRPr="005949CE">
                                    <w:rPr>
                                      <w:b w:val="0"/>
                                      <w:bCs w:val="0"/>
                                      <w:color w:val="262626"/>
                                    </w:rPr>
                                    <w:t>Hospitality and Tourism</w:t>
                                  </w:r>
                                </w:p>
                              </w:tc>
                            </w:tr>
                          </w:tbl>
                          <w:p w14:paraId="0DFC9CC2" w14:textId="77777777" w:rsidR="003D14AC" w:rsidRDefault="003D14AC" w:rsidP="00F1512D">
                            <w:pPr>
                              <w:pStyle w:val="Caption"/>
                              <w:rPr>
                                <w:rFonts w:ascii="Times New Roman" w:hAnsi="Times New Roman"/>
                                <w:color w:val="262626"/>
                                <w:sz w:val="24"/>
                              </w:rPr>
                            </w:pPr>
                            <w:r>
                              <w:t xml:space="preserve"> Table </w:t>
                            </w:r>
                            <w:fldSimple w:instr=" SEQ Table \* ARABIC ">
                              <w:r w:rsidR="00943AA8">
                                <w:rPr>
                                  <w:noProof/>
                                </w:rPr>
                                <w:t>4</w:t>
                              </w:r>
                            </w:fldSimple>
                            <w:r>
                              <w:t>: Maryland Workforce Targeted Industry Sectors</w:t>
                            </w:r>
                          </w:p>
                          <w:p w14:paraId="2F168968"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4" type="#_x0000_t202" style="position:absolute;left:0;text-align:left;margin-left:-4.8pt;margin-top:.75pt;width:549pt;height:23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" fillcolor="white [3201]" strokeweight=".5pt">
                <v:textbox>
                  <w:txbxContent>
                    <w:tbl>
                      <w:tblPr>
                        <w:tblStyle w:val="PlainTable11"/>
                        <w:tblW w:w="0" w:type="auto"/>
                        <w:tblLook w:val="04A0" w:firstRow="1" w:lastRow="0" w:firstColumn="1" w:lastColumn="0" w:noHBand="0" w:noVBand="1"/>
                        <w:tblCaption w:val="Maryland Workforce Targeted Industry Sectors"/>
                        <w:tblDescription w:val="This table shows Maryland's Workforce Targeted Industry Sectors: Healthcare; Information Technology / Cybersecurity; Biotechnology (Life Science); Distribution, Warehousing and Transportation; Construction; Agriculture and Forestry; Manufacturing; and, Hospitality and Tourism.&#10;"/>
                      </w:tblPr>
                      <w:tblGrid>
                        <w:gridCol w:w="10897"/>
                      </w:tblGrid>
                      <w:tr w:rsidR="003D14AC" w:rsidRPr="00F1512D" w14:paraId="08E5D46D" w14:textId="77777777" w:rsidTr="00923B2F">
                        <w:trPr>
                          <w:cnfStyle w:val="100000000000" w:firstRow="1" w:lastRow="0" w:firstColumn="0" w:lastColumn="0" w:oddVBand="0" w:evenVBand="0" w:oddHBand="0" w:evenHBand="0" w:firstRowFirstColumn="0" w:firstRowLastColumn="0" w:lastRowFirstColumn="0" w:lastRowLastColumn="0"/>
                          <w:trHeight w:val="437"/>
                          <w:tblHeader/>
                        </w:trPr>
                        <w:tc>
                          <w:tcPr>
                            <w:cnfStyle w:val="001000000000" w:firstRow="0" w:lastRow="0" w:firstColumn="1" w:lastColumn="0" w:oddVBand="0" w:evenVBand="0" w:oddHBand="0" w:evenHBand="0" w:firstRowFirstColumn="0" w:firstRowLastColumn="0" w:lastRowFirstColumn="0" w:lastRowLastColumn="0"/>
                            <w:tcW w:w="10913" w:type="dxa"/>
                          </w:tcPr>
                          <w:p w14:paraId="43435377" w14:textId="77777777" w:rsidR="003D14AC" w:rsidRPr="005949CE" w:rsidRDefault="003D14AC" w:rsidP="001A1E04">
                            <w:pPr>
                              <w:jc w:val="center"/>
                              <w:rPr>
                                <w:bCs w:val="0"/>
                                <w:color w:val="262626"/>
                              </w:rPr>
                            </w:pPr>
                            <w:r w:rsidRPr="005949CE">
                              <w:rPr>
                                <w:bCs w:val="0"/>
                                <w:color w:val="262626"/>
                              </w:rPr>
                              <w:t>Maryland Workforce Targeted Industry Sectors</w:t>
                            </w:r>
                          </w:p>
                        </w:tc>
                      </w:tr>
                      <w:tr w:rsidR="003D14AC" w:rsidRPr="00F1512D" w14:paraId="18B5D16A" w14:textId="77777777" w:rsidTr="005949C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7413050E" w14:textId="77777777" w:rsidR="003D14AC" w:rsidRPr="005949CE" w:rsidRDefault="003D14AC" w:rsidP="001A1E04">
                            <w:pPr>
                              <w:rPr>
                                <w:b w:val="0"/>
                                <w:bCs w:val="0"/>
                                <w:color w:val="262626"/>
                              </w:rPr>
                            </w:pPr>
                            <w:r w:rsidRPr="005949CE">
                              <w:rPr>
                                <w:b w:val="0"/>
                                <w:bCs w:val="0"/>
                                <w:color w:val="262626"/>
                              </w:rPr>
                              <w:t>Healthcare</w:t>
                            </w:r>
                          </w:p>
                        </w:tc>
                      </w:tr>
                      <w:tr w:rsidR="003D14AC" w:rsidRPr="00F1512D" w14:paraId="4689AF25" w14:textId="77777777" w:rsidTr="005949CE">
                        <w:trPr>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122F9592" w14:textId="77777777" w:rsidR="003D14AC" w:rsidRPr="005949CE" w:rsidRDefault="003D14AC" w:rsidP="001A1E04">
                            <w:pPr>
                              <w:rPr>
                                <w:b w:val="0"/>
                                <w:bCs w:val="0"/>
                                <w:color w:val="262626"/>
                              </w:rPr>
                            </w:pPr>
                            <w:r w:rsidRPr="005949CE">
                              <w:rPr>
                                <w:b w:val="0"/>
                                <w:bCs w:val="0"/>
                                <w:color w:val="262626"/>
                              </w:rPr>
                              <w:t>Information Technology / Cybersecurity</w:t>
                            </w:r>
                          </w:p>
                        </w:tc>
                      </w:tr>
                      <w:tr w:rsidR="003D14AC" w:rsidRPr="00F1512D" w14:paraId="47115CCF" w14:textId="77777777" w:rsidTr="005949C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2B11059F" w14:textId="77777777" w:rsidR="003D14AC" w:rsidRPr="005949CE" w:rsidRDefault="003D14AC" w:rsidP="001A1E04">
                            <w:pPr>
                              <w:rPr>
                                <w:b w:val="0"/>
                                <w:bCs w:val="0"/>
                                <w:color w:val="262626"/>
                              </w:rPr>
                            </w:pPr>
                            <w:r w:rsidRPr="005949CE">
                              <w:rPr>
                                <w:b w:val="0"/>
                                <w:bCs w:val="0"/>
                                <w:color w:val="262626"/>
                              </w:rPr>
                              <w:t>Biotechnology (Life Science)</w:t>
                            </w:r>
                          </w:p>
                        </w:tc>
                      </w:tr>
                      <w:tr w:rsidR="003D14AC" w:rsidRPr="00F1512D" w14:paraId="3DE21919" w14:textId="77777777" w:rsidTr="005949CE">
                        <w:trPr>
                          <w:trHeight w:val="439"/>
                        </w:trPr>
                        <w:tc>
                          <w:tcPr>
                            <w:cnfStyle w:val="001000000000" w:firstRow="0" w:lastRow="0" w:firstColumn="1" w:lastColumn="0" w:oddVBand="0" w:evenVBand="0" w:oddHBand="0" w:evenHBand="0" w:firstRowFirstColumn="0" w:firstRowLastColumn="0" w:lastRowFirstColumn="0" w:lastRowLastColumn="0"/>
                            <w:tcW w:w="10913" w:type="dxa"/>
                          </w:tcPr>
                          <w:p w14:paraId="002245F3" w14:textId="77777777" w:rsidR="003D14AC" w:rsidRPr="005949CE" w:rsidRDefault="003D14AC" w:rsidP="001A1E04">
                            <w:pPr>
                              <w:rPr>
                                <w:b w:val="0"/>
                                <w:bCs w:val="0"/>
                                <w:color w:val="262626"/>
                              </w:rPr>
                            </w:pPr>
                            <w:r w:rsidRPr="005949CE">
                              <w:rPr>
                                <w:b w:val="0"/>
                                <w:bCs w:val="0"/>
                                <w:color w:val="262626"/>
                              </w:rPr>
                              <w:t>Distribution, Warehousing and Transportation</w:t>
                            </w:r>
                          </w:p>
                        </w:tc>
                      </w:tr>
                      <w:tr w:rsidR="003D14AC" w:rsidRPr="00F1512D" w14:paraId="12714366" w14:textId="77777777" w:rsidTr="005949C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25E9B92A" w14:textId="77777777" w:rsidR="003D14AC" w:rsidRPr="005949CE" w:rsidRDefault="003D14AC" w:rsidP="001A1E04">
                            <w:pPr>
                              <w:rPr>
                                <w:b w:val="0"/>
                                <w:bCs w:val="0"/>
                                <w:color w:val="262626"/>
                              </w:rPr>
                            </w:pPr>
                            <w:r w:rsidRPr="005949CE">
                              <w:rPr>
                                <w:b w:val="0"/>
                                <w:bCs w:val="0"/>
                                <w:color w:val="262626"/>
                              </w:rPr>
                              <w:t>Construction</w:t>
                            </w:r>
                          </w:p>
                        </w:tc>
                      </w:tr>
                      <w:tr w:rsidR="003D14AC" w:rsidRPr="00F1512D" w14:paraId="30A86AA2" w14:textId="77777777" w:rsidTr="005949CE">
                        <w:trPr>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1E3349F1" w14:textId="77777777" w:rsidR="003D14AC" w:rsidRPr="005949CE" w:rsidRDefault="003D14AC" w:rsidP="001A1E04">
                            <w:pPr>
                              <w:rPr>
                                <w:b w:val="0"/>
                                <w:bCs w:val="0"/>
                                <w:color w:val="262626"/>
                              </w:rPr>
                            </w:pPr>
                            <w:r w:rsidRPr="005949CE">
                              <w:rPr>
                                <w:b w:val="0"/>
                                <w:bCs w:val="0"/>
                                <w:color w:val="262626"/>
                              </w:rPr>
                              <w:t>Agriculture and Forestry</w:t>
                            </w:r>
                          </w:p>
                        </w:tc>
                      </w:tr>
                      <w:tr w:rsidR="003D14AC" w:rsidRPr="00F1512D" w14:paraId="1960034E" w14:textId="77777777" w:rsidTr="005949C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0913" w:type="dxa"/>
                          </w:tcPr>
                          <w:p w14:paraId="480F98A6" w14:textId="77777777" w:rsidR="003D14AC" w:rsidRPr="005949CE" w:rsidRDefault="003D14AC" w:rsidP="001A1E04">
                            <w:pPr>
                              <w:rPr>
                                <w:b w:val="0"/>
                                <w:bCs w:val="0"/>
                                <w:color w:val="262626"/>
                              </w:rPr>
                            </w:pPr>
                            <w:r w:rsidRPr="005949CE">
                              <w:rPr>
                                <w:b w:val="0"/>
                                <w:bCs w:val="0"/>
                                <w:color w:val="262626"/>
                              </w:rPr>
                              <w:t>Manufacturing</w:t>
                            </w:r>
                          </w:p>
                        </w:tc>
                      </w:tr>
                      <w:tr w:rsidR="003D14AC" w:rsidRPr="00F1512D" w14:paraId="1F86B5E4" w14:textId="77777777" w:rsidTr="005949CE">
                        <w:trPr>
                          <w:trHeight w:val="437"/>
                        </w:trPr>
                        <w:tc>
                          <w:tcPr>
                            <w:cnfStyle w:val="001000000000" w:firstRow="0" w:lastRow="0" w:firstColumn="1" w:lastColumn="0" w:oddVBand="0" w:evenVBand="0" w:oddHBand="0" w:evenHBand="0" w:firstRowFirstColumn="0" w:firstRowLastColumn="0" w:lastRowFirstColumn="0" w:lastRowLastColumn="0"/>
                            <w:tcW w:w="10913" w:type="dxa"/>
                          </w:tcPr>
                          <w:p w14:paraId="136B8980" w14:textId="77777777" w:rsidR="003D14AC" w:rsidRPr="005949CE" w:rsidRDefault="003D14AC" w:rsidP="001A1E04">
                            <w:pPr>
                              <w:keepNext/>
                              <w:rPr>
                                <w:b w:val="0"/>
                                <w:bCs w:val="0"/>
                                <w:color w:val="262626"/>
                              </w:rPr>
                            </w:pPr>
                            <w:r w:rsidRPr="005949CE">
                              <w:rPr>
                                <w:b w:val="0"/>
                                <w:bCs w:val="0"/>
                                <w:color w:val="262626"/>
                              </w:rPr>
                              <w:t>Hospitality and Tourism</w:t>
                            </w:r>
                          </w:p>
                        </w:tc>
                      </w:tr>
                    </w:tbl>
                    <w:p w14:paraId="0DFC9CC2" w14:textId="77777777" w:rsidR="003D14AC" w:rsidRDefault="003D14AC" w:rsidP="00F1512D">
                      <w:pPr>
                        <w:pStyle w:val="Caption"/>
                        <w:rPr>
                          <w:rFonts w:ascii="Times New Roman" w:hAnsi="Times New Roman"/>
                          <w:color w:val="262626"/>
                          <w:sz w:val="24"/>
                        </w:rPr>
                      </w:pPr>
                      <w:r>
                        <w:t xml:space="preserve"> Table </w:t>
                      </w:r>
                      <w:fldSimple w:instr=" SEQ Table \* ARABIC ">
                        <w:r w:rsidR="00943AA8">
                          <w:rPr>
                            <w:noProof/>
                          </w:rPr>
                          <w:t>4</w:t>
                        </w:r>
                      </w:fldSimple>
                      <w:r>
                        <w:t>: Maryland Workforce Targeted Industry Sectors</w:t>
                      </w:r>
                    </w:p>
                    <w:p w14:paraId="2F168968" w14:textId="77777777" w:rsidR="003D14AC" w:rsidRDefault="003D14AC"/>
                  </w:txbxContent>
                </v:textbox>
              </v:shape>
            </w:pict>
          </mc:Fallback>
        </mc:AlternateContent>
      </w:r>
    </w:p>
    <w:p w14:paraId="4DDDDEE2" w14:textId="77777777" w:rsidR="00FF639F" w:rsidRPr="004A0C12" w:rsidRDefault="00FF639F" w:rsidP="00057B5A">
      <w:pPr>
        <w:spacing w:after="0" w:line="240" w:lineRule="auto"/>
        <w:jc w:val="both"/>
        <w:rPr>
          <w:rFonts w:ascii="Garamond" w:eastAsia="Times New Roman" w:hAnsi="Garamond"/>
        </w:rPr>
      </w:pPr>
    </w:p>
    <w:p w14:paraId="53BC6595" w14:textId="77777777" w:rsidR="00FF639F" w:rsidRPr="004A0C12" w:rsidRDefault="00FF639F" w:rsidP="00057B5A">
      <w:pPr>
        <w:spacing w:after="0" w:line="240" w:lineRule="auto"/>
        <w:jc w:val="both"/>
        <w:rPr>
          <w:rFonts w:ascii="Garamond" w:eastAsia="Times New Roman" w:hAnsi="Garamond"/>
        </w:rPr>
      </w:pPr>
    </w:p>
    <w:p w14:paraId="7D91EB07" w14:textId="77777777" w:rsidR="00FF639F" w:rsidRPr="004A0C12" w:rsidRDefault="00FF639F" w:rsidP="00057B5A">
      <w:pPr>
        <w:spacing w:after="0" w:line="240" w:lineRule="auto"/>
        <w:jc w:val="both"/>
        <w:rPr>
          <w:rFonts w:ascii="Garamond" w:eastAsia="Times New Roman" w:hAnsi="Garamond"/>
        </w:rPr>
      </w:pPr>
    </w:p>
    <w:p w14:paraId="61F26CF1" w14:textId="77777777" w:rsidR="00FF639F" w:rsidRPr="004A0C12" w:rsidRDefault="00FF639F" w:rsidP="00057B5A">
      <w:pPr>
        <w:spacing w:after="0" w:line="240" w:lineRule="auto"/>
        <w:jc w:val="both"/>
        <w:rPr>
          <w:rFonts w:ascii="Garamond" w:eastAsia="Times New Roman" w:hAnsi="Garamond"/>
        </w:rPr>
      </w:pPr>
    </w:p>
    <w:p w14:paraId="2C4A4E11" w14:textId="77777777" w:rsidR="00FF639F" w:rsidRPr="004A0C12" w:rsidRDefault="00FF639F" w:rsidP="00057B5A">
      <w:pPr>
        <w:spacing w:after="0" w:line="240" w:lineRule="auto"/>
        <w:jc w:val="both"/>
        <w:rPr>
          <w:rFonts w:ascii="Garamond" w:eastAsia="Times New Roman" w:hAnsi="Garamond"/>
        </w:rPr>
      </w:pPr>
    </w:p>
    <w:p w14:paraId="39A1A6F6" w14:textId="77777777" w:rsidR="00FF639F" w:rsidRPr="004A0C12" w:rsidRDefault="00FF639F" w:rsidP="00057B5A">
      <w:pPr>
        <w:spacing w:after="0" w:line="240" w:lineRule="auto"/>
        <w:jc w:val="both"/>
        <w:rPr>
          <w:rFonts w:ascii="Garamond" w:eastAsia="Times New Roman" w:hAnsi="Garamond"/>
        </w:rPr>
      </w:pPr>
    </w:p>
    <w:p w14:paraId="098EFB78" w14:textId="77777777" w:rsidR="00FF639F" w:rsidRPr="004A0C12" w:rsidRDefault="00FF639F" w:rsidP="00057B5A">
      <w:pPr>
        <w:spacing w:after="0" w:line="240" w:lineRule="auto"/>
        <w:jc w:val="both"/>
        <w:rPr>
          <w:rFonts w:ascii="Garamond" w:eastAsia="Times New Roman" w:hAnsi="Garamond"/>
        </w:rPr>
      </w:pPr>
    </w:p>
    <w:p w14:paraId="4D51E4BD" w14:textId="77777777" w:rsidR="00FF639F" w:rsidRPr="004A0C12" w:rsidRDefault="00FF639F" w:rsidP="00057B5A">
      <w:pPr>
        <w:spacing w:after="0" w:line="240" w:lineRule="auto"/>
        <w:jc w:val="both"/>
        <w:rPr>
          <w:rFonts w:ascii="Garamond" w:eastAsia="Times New Roman" w:hAnsi="Garamond"/>
        </w:rPr>
      </w:pPr>
    </w:p>
    <w:p w14:paraId="79AEB93B" w14:textId="77777777" w:rsidR="00FF639F" w:rsidRPr="004A0C12" w:rsidRDefault="00FF639F" w:rsidP="00057B5A">
      <w:pPr>
        <w:spacing w:after="0" w:line="240" w:lineRule="auto"/>
        <w:jc w:val="both"/>
        <w:rPr>
          <w:rFonts w:ascii="Garamond" w:eastAsia="Times New Roman" w:hAnsi="Garamond"/>
        </w:rPr>
      </w:pPr>
    </w:p>
    <w:p w14:paraId="3F050658" w14:textId="77777777" w:rsidR="00FF639F" w:rsidRPr="004A0C12" w:rsidRDefault="00FF639F" w:rsidP="00057B5A">
      <w:pPr>
        <w:spacing w:after="0" w:line="240" w:lineRule="auto"/>
        <w:jc w:val="both"/>
        <w:rPr>
          <w:rFonts w:ascii="Garamond" w:eastAsia="Times New Roman" w:hAnsi="Garamond"/>
        </w:rPr>
      </w:pPr>
    </w:p>
    <w:p w14:paraId="18E25053" w14:textId="74785388" w:rsidR="00404242" w:rsidRPr="004A0C12" w:rsidRDefault="00404242" w:rsidP="00057B5A">
      <w:pPr>
        <w:spacing w:after="0" w:line="240" w:lineRule="auto"/>
        <w:jc w:val="both"/>
        <w:rPr>
          <w:rFonts w:ascii="Garamond" w:eastAsia="Times New Roman" w:hAnsi="Garamond"/>
        </w:rPr>
      </w:pPr>
    </w:p>
    <w:p w14:paraId="667B885C" w14:textId="6D2317AE" w:rsidR="00393483" w:rsidRPr="004A0C12" w:rsidRDefault="00393483" w:rsidP="00057B5A">
      <w:pPr>
        <w:spacing w:after="0" w:line="240" w:lineRule="auto"/>
        <w:jc w:val="both"/>
        <w:rPr>
          <w:rFonts w:ascii="Garamond" w:eastAsia="Times New Roman" w:hAnsi="Garamond"/>
        </w:rPr>
      </w:pPr>
    </w:p>
    <w:p w14:paraId="0EA5E99D" w14:textId="77777777" w:rsidR="00F1512D" w:rsidRPr="004A0C12" w:rsidRDefault="00F1512D" w:rsidP="00057B5A">
      <w:pPr>
        <w:spacing w:after="0" w:line="240" w:lineRule="auto"/>
        <w:jc w:val="both"/>
        <w:rPr>
          <w:rFonts w:ascii="Garamond" w:eastAsia="Times New Roman" w:hAnsi="Garamond"/>
        </w:rPr>
      </w:pPr>
    </w:p>
    <w:p w14:paraId="0DFFDDB7" w14:textId="77777777" w:rsidR="00F1512D" w:rsidRPr="004A0C12" w:rsidRDefault="00F1512D" w:rsidP="00057B5A">
      <w:pPr>
        <w:spacing w:after="0" w:line="240" w:lineRule="auto"/>
        <w:jc w:val="both"/>
        <w:rPr>
          <w:rFonts w:ascii="Garamond" w:eastAsia="Times New Roman" w:hAnsi="Garamond"/>
        </w:rPr>
      </w:pPr>
    </w:p>
    <w:p w14:paraId="2BE9795E" w14:textId="77777777" w:rsidR="00393483" w:rsidRPr="004A0C12" w:rsidRDefault="00393483" w:rsidP="00057B5A">
      <w:pPr>
        <w:spacing w:after="0" w:line="240" w:lineRule="auto"/>
        <w:jc w:val="both"/>
        <w:rPr>
          <w:rFonts w:ascii="Garamond" w:eastAsia="Times New Roman" w:hAnsi="Garamond"/>
        </w:rPr>
      </w:pPr>
    </w:p>
    <w:p w14:paraId="36E1D45B" w14:textId="77777777" w:rsidR="00393483" w:rsidRPr="004A0C12" w:rsidRDefault="00393483" w:rsidP="00057B5A">
      <w:pPr>
        <w:spacing w:after="0" w:line="240" w:lineRule="auto"/>
        <w:jc w:val="both"/>
        <w:rPr>
          <w:rFonts w:ascii="Garamond" w:eastAsia="Times New Roman" w:hAnsi="Garamond"/>
        </w:rPr>
      </w:pPr>
    </w:p>
    <w:p w14:paraId="109C6C4C" w14:textId="77777777" w:rsidR="00393483" w:rsidRPr="004A0C12" w:rsidRDefault="00393483" w:rsidP="00057B5A">
      <w:pPr>
        <w:spacing w:after="0" w:line="240" w:lineRule="auto"/>
        <w:jc w:val="both"/>
        <w:rPr>
          <w:rFonts w:ascii="Garamond" w:eastAsia="Times New Roman" w:hAnsi="Garamond"/>
        </w:rPr>
      </w:pPr>
    </w:p>
    <w:p w14:paraId="5BF34CCA" w14:textId="77777777" w:rsidR="00393483" w:rsidRPr="004A0C12" w:rsidRDefault="00393483" w:rsidP="00057B5A">
      <w:pPr>
        <w:spacing w:after="0" w:line="240" w:lineRule="auto"/>
        <w:jc w:val="both"/>
        <w:rPr>
          <w:rFonts w:ascii="Garamond" w:eastAsia="Times New Roman" w:hAnsi="Garamond"/>
        </w:rPr>
      </w:pPr>
    </w:p>
    <w:p w14:paraId="1FD5CF88" w14:textId="77777777" w:rsidR="00393483" w:rsidRPr="004A0C12" w:rsidRDefault="00393483" w:rsidP="00057B5A">
      <w:pPr>
        <w:spacing w:after="0" w:line="240" w:lineRule="auto"/>
        <w:jc w:val="both"/>
        <w:rPr>
          <w:rFonts w:ascii="Garamond" w:eastAsia="Times New Roman" w:hAnsi="Garamond"/>
        </w:rPr>
      </w:pPr>
    </w:p>
    <w:p w14:paraId="696252A9" w14:textId="77777777" w:rsidR="00F1512D" w:rsidRPr="004A0C12" w:rsidRDefault="00F1512D" w:rsidP="00057B5A">
      <w:pPr>
        <w:spacing w:after="0" w:line="240" w:lineRule="auto"/>
        <w:jc w:val="both"/>
        <w:rPr>
          <w:rFonts w:ascii="Garamond" w:eastAsia="Times New Roman" w:hAnsi="Garamond"/>
        </w:rPr>
      </w:pPr>
    </w:p>
    <w:p w14:paraId="7C0A143A" w14:textId="77777777" w:rsidR="00F1512D" w:rsidRPr="004A0C12" w:rsidRDefault="00F1512D" w:rsidP="00057B5A">
      <w:pPr>
        <w:spacing w:after="0" w:line="240" w:lineRule="auto"/>
        <w:jc w:val="both"/>
        <w:rPr>
          <w:rFonts w:ascii="Garamond" w:eastAsia="Times New Roman" w:hAnsi="Garamond"/>
        </w:rPr>
      </w:pPr>
    </w:p>
    <w:p w14:paraId="3AD84066" w14:textId="5FFB5909" w:rsidR="00196A22" w:rsidRPr="004A0C12" w:rsidRDefault="00FF639F" w:rsidP="00057B5A">
      <w:pPr>
        <w:spacing w:after="0" w:line="240" w:lineRule="auto"/>
        <w:jc w:val="both"/>
        <w:rPr>
          <w:rFonts w:ascii="Garamond" w:eastAsia="Times New Roman" w:hAnsi="Garamond"/>
        </w:rPr>
      </w:pPr>
      <w:r w:rsidRPr="004A0C12">
        <w:rPr>
          <w:rFonts w:ascii="Garamond" w:eastAsia="Times New Roman" w:hAnsi="Garamond"/>
          <w:noProof/>
        </w:rPr>
        <mc:AlternateContent>
          <mc:Choice Requires="wps">
            <w:drawing>
              <wp:anchor distT="0" distB="0" distL="114300" distR="114300" simplePos="0" relativeHeight="251672576" behindDoc="1" locked="0" layoutInCell="1" allowOverlap="1" wp14:anchorId="19731E8E" wp14:editId="038CEB57">
                <wp:simplePos x="0" y="0"/>
                <wp:positionH relativeFrom="column">
                  <wp:posOffset>991870</wp:posOffset>
                </wp:positionH>
                <wp:positionV relativeFrom="paragraph">
                  <wp:posOffset>1000125</wp:posOffset>
                </wp:positionV>
                <wp:extent cx="5167630" cy="3768090"/>
                <wp:effectExtent l="0" t="0" r="13970" b="22860"/>
                <wp:wrapTopAndBottom/>
                <wp:docPr id="27" name="Text Box 27"/>
                <wp:cNvGraphicFramePr/>
                <a:graphic xmlns:a="http://schemas.openxmlformats.org/drawingml/2006/main">
                  <a:graphicData uri="http://schemas.microsoft.com/office/word/2010/wordprocessingShape">
                    <wps:wsp>
                      <wps:cNvSpPr txBox="1"/>
                      <wps:spPr>
                        <a:xfrm>
                          <a:off x="0" y="0"/>
                          <a:ext cx="5167630" cy="3768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B8A13A" w14:textId="77777777" w:rsidR="003D14AC" w:rsidRDefault="003D14AC" w:rsidP="00F1512D">
                            <w:pPr>
                              <w:jc w:val="center"/>
                            </w:pPr>
                            <w:r>
                              <w:rPr>
                                <w:noProof/>
                              </w:rPr>
                              <w:drawing>
                                <wp:inline distT="0" distB="0" distL="0" distR="0" wp14:anchorId="11EECB90" wp14:editId="12F8F4AB">
                                  <wp:extent cx="4575175" cy="3373755"/>
                                  <wp:effectExtent l="0" t="0" r="15875" b="17145"/>
                                  <wp:docPr id="28" name="Chart 28" descr="This graph categorizes Maryland's Target Industries by Mature, Growth, Declining, and Emerging. The X-axis is employment change and the Y-axis is location quotient. " title="Maryland's Targeted Industries: 2010-20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F0E24D5" w14:textId="77777777" w:rsidR="003D14AC" w:rsidRPr="00972F19" w:rsidRDefault="003D14AC" w:rsidP="00F1512D">
                            <w:pPr>
                              <w:pStyle w:val="Caption"/>
                              <w:rPr>
                                <w:rFonts w:ascii="Times New Roman" w:hAnsi="Times New Roman"/>
                                <w:b/>
                                <w:color w:val="262626"/>
                                <w:sz w:val="24"/>
                                <w:highlight w:val="yellow"/>
                              </w:rPr>
                            </w:pPr>
                            <w:r>
                              <w:t>Graph 6: Maryland’s Targeted Industries</w:t>
                            </w:r>
                          </w:p>
                          <w:p w14:paraId="4CA7D579" w14:textId="77777777" w:rsidR="003D14AC" w:rsidRDefault="003D14AC" w:rsidP="00F1512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5" type="#_x0000_t202" style="position:absolute;left:0;text-align:left;margin-left:78.1pt;margin-top:78.75pt;width:406.9pt;height:296.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" fillcolor="white [3201]" strokeweight=".5pt">
                <v:textbox>
                  <w:txbxContent>
                    <w:p w14:paraId="7DB8A13A" w14:textId="77777777" w:rsidR="003D14AC" w:rsidRDefault="003D14AC" w:rsidP="00F1512D">
                      <w:pPr>
                        <w:jc w:val="center"/>
                      </w:pPr>
                      <w:r>
                        <w:rPr>
                          <w:noProof/>
                        </w:rPr>
                        <w:drawing>
                          <wp:inline distT="0" distB="0" distL="0" distR="0" wp14:anchorId="11EECB90" wp14:editId="12F8F4AB">
                            <wp:extent cx="4575175" cy="3373755"/>
                            <wp:effectExtent l="0" t="0" r="15875" b="17145"/>
                            <wp:docPr id="28" name="Chart 28" descr="This graph categorizes Maryland's Target Industries by Mature, Growth, Declining, and Emerging. The X-axis is employment change and the Y-axis is location quotient. " title="Maryland's Targeted Industries: 2010-20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F0E24D5" w14:textId="77777777" w:rsidR="003D14AC" w:rsidRPr="00972F19" w:rsidRDefault="003D14AC" w:rsidP="00F1512D">
                      <w:pPr>
                        <w:pStyle w:val="Caption"/>
                        <w:rPr>
                          <w:rFonts w:ascii="Times New Roman" w:hAnsi="Times New Roman"/>
                          <w:b/>
                          <w:color w:val="262626"/>
                          <w:sz w:val="24"/>
                          <w:highlight w:val="yellow"/>
                        </w:rPr>
                      </w:pPr>
                      <w:r>
                        <w:t>Graph 6: Maryland’s Targeted Industries</w:t>
                      </w:r>
                    </w:p>
                    <w:p w14:paraId="4CA7D579" w14:textId="77777777" w:rsidR="003D14AC" w:rsidRDefault="003D14AC" w:rsidP="00F1512D">
                      <w:pPr>
                        <w:jc w:val="center"/>
                      </w:pPr>
                    </w:p>
                  </w:txbxContent>
                </v:textbox>
                <w10:wrap type="topAndBottom"/>
              </v:shape>
            </w:pict>
          </mc:Fallback>
        </mc:AlternateContent>
      </w:r>
      <w:r w:rsidR="005949CE" w:rsidRPr="004A0C12">
        <w:rPr>
          <w:rFonts w:ascii="Garamond" w:eastAsia="Times New Roman" w:hAnsi="Garamond"/>
        </w:rPr>
        <w:t>A</w:t>
      </w:r>
      <w:r w:rsidR="00196A22" w:rsidRPr="004A0C12">
        <w:rPr>
          <w:rFonts w:ascii="Garamond" w:eastAsia="Times New Roman" w:hAnsi="Garamond"/>
        </w:rPr>
        <w:t>ll of the above listed industry sectors or c</w:t>
      </w:r>
      <w:r w:rsidRPr="004A0C12">
        <w:rPr>
          <w:rFonts w:ascii="Garamond" w:eastAsia="Times New Roman" w:hAnsi="Garamond"/>
        </w:rPr>
        <w:t>lusters, with the exception of m</w:t>
      </w:r>
      <w:r w:rsidR="00196A22" w:rsidRPr="004A0C12">
        <w:rPr>
          <w:rFonts w:ascii="Garamond" w:eastAsia="Times New Roman" w:hAnsi="Garamond"/>
        </w:rPr>
        <w:t>anufacturing, are continuing to grow</w:t>
      </w:r>
      <w:r w:rsidRPr="004A0C12">
        <w:rPr>
          <w:rFonts w:ascii="Garamond" w:eastAsia="Times New Roman" w:hAnsi="Garamond"/>
        </w:rPr>
        <w:t xml:space="preserve"> in Maryland.  Agriculture and b</w:t>
      </w:r>
      <w:r w:rsidR="00196A22" w:rsidRPr="004A0C12">
        <w:rPr>
          <w:rFonts w:ascii="Garamond" w:eastAsia="Times New Roman" w:hAnsi="Garamond"/>
        </w:rPr>
        <w:t>iotechnology have been emerging industries in Maryland between 2010 and 2014 (See Graph 6</w:t>
      </w:r>
      <w:r w:rsidRPr="004A0C12">
        <w:rPr>
          <w:rFonts w:ascii="Garamond" w:eastAsia="Times New Roman" w:hAnsi="Garamond"/>
        </w:rPr>
        <w:t>). Also, with the exception of hospitality and tourism and c</w:t>
      </w:r>
      <w:r w:rsidR="00196A22" w:rsidRPr="004A0C12">
        <w:rPr>
          <w:rFonts w:ascii="Garamond" w:eastAsia="Times New Roman" w:hAnsi="Garamond"/>
        </w:rPr>
        <w:t xml:space="preserve">onstruction, all of the above referenced industries are consistent with the industry sectors eligible for funding under the Maryland Economic Development Assistance Authority and Fund.  </w:t>
      </w:r>
    </w:p>
    <w:p w14:paraId="152B6538" w14:textId="77777777" w:rsidR="008A605F" w:rsidRPr="004A0C12" w:rsidRDefault="008A605F" w:rsidP="00057B5A">
      <w:pPr>
        <w:spacing w:after="0" w:line="240" w:lineRule="auto"/>
        <w:jc w:val="both"/>
        <w:rPr>
          <w:rFonts w:ascii="Garamond" w:eastAsia="Times New Roman" w:hAnsi="Garamond"/>
        </w:rPr>
      </w:pPr>
    </w:p>
    <w:p w14:paraId="2C7F42D6" w14:textId="77777777" w:rsidR="00086D40" w:rsidRDefault="00086D40" w:rsidP="00057B5A">
      <w:pPr>
        <w:spacing w:after="0" w:line="240" w:lineRule="auto"/>
        <w:jc w:val="both"/>
        <w:rPr>
          <w:rFonts w:ascii="Garamond" w:eastAsia="Times New Roman" w:hAnsi="Garamond"/>
        </w:rPr>
      </w:pPr>
      <w:r>
        <w:rPr>
          <w:rFonts w:ascii="Garamond" w:eastAsia="Times New Roman" w:hAnsi="Garamond"/>
        </w:rPr>
        <w:t xml:space="preserve">                                                                                                                                                                                                </w:t>
      </w:r>
    </w:p>
    <w:p w14:paraId="3EB6C83D" w14:textId="77777777" w:rsidR="00B60621" w:rsidRDefault="00B60621" w:rsidP="00057B5A">
      <w:pPr>
        <w:spacing w:after="0" w:line="240" w:lineRule="auto"/>
        <w:jc w:val="both"/>
        <w:rPr>
          <w:rFonts w:ascii="Garamond" w:eastAsia="Times New Roman" w:hAnsi="Garamond"/>
        </w:rPr>
      </w:pPr>
    </w:p>
    <w:p w14:paraId="3CD6D8DB" w14:textId="2933CE81" w:rsidR="00F1512D" w:rsidRPr="004A0C12" w:rsidRDefault="00F1512D" w:rsidP="00057B5A">
      <w:pPr>
        <w:spacing w:after="0" w:line="240" w:lineRule="auto"/>
        <w:jc w:val="both"/>
        <w:rPr>
          <w:rFonts w:ascii="Garamond" w:eastAsia="Times New Roman" w:hAnsi="Garamond"/>
        </w:rPr>
      </w:pPr>
      <w:r w:rsidRPr="004A0C12">
        <w:rPr>
          <w:rFonts w:ascii="Garamond" w:eastAsia="Times New Roman" w:hAnsi="Garamond"/>
        </w:rPr>
        <w:t>Despite the industry decline, numerous occupations within the manufacturing sector are projecting significant growth. Targeted work-based training efforts to support this growth are currently being developed, and should continue to be developed.  For instance, DLLR, in partnership with the Maryland State Department of Education has established a youth apprenticeship pilot program wherein local school systems must establish an apprenticeship opportunity in Science, Technology, Engineering, and Mathematics</w:t>
      </w:r>
      <w:r w:rsidR="00FF639F" w:rsidRPr="004A0C12">
        <w:rPr>
          <w:rFonts w:ascii="Garamond" w:eastAsia="Times New Roman" w:hAnsi="Garamond"/>
        </w:rPr>
        <w:t xml:space="preserve"> (STEM), as well as advanced m</w:t>
      </w:r>
      <w:r w:rsidRPr="004A0C12">
        <w:rPr>
          <w:rFonts w:ascii="Garamond" w:eastAsia="Times New Roman" w:hAnsi="Garamond"/>
        </w:rPr>
        <w:t xml:space="preserve">anufacturing.  </w:t>
      </w:r>
    </w:p>
    <w:p w14:paraId="194A164A" w14:textId="77777777" w:rsidR="00393483" w:rsidRPr="004A0C12" w:rsidRDefault="00393483" w:rsidP="00057B5A">
      <w:pPr>
        <w:spacing w:after="0" w:line="240" w:lineRule="auto"/>
        <w:jc w:val="both"/>
        <w:rPr>
          <w:rFonts w:ascii="Garamond" w:hAnsi="Garamond"/>
          <w:b/>
        </w:rPr>
      </w:pPr>
    </w:p>
    <w:p w14:paraId="4A45C85C" w14:textId="77777777" w:rsidR="00F1512D" w:rsidRPr="00B60621" w:rsidRDefault="00F1512D" w:rsidP="00057B5A">
      <w:pPr>
        <w:pStyle w:val="Heading2"/>
        <w:spacing w:before="0" w:line="240" w:lineRule="auto"/>
        <w:rPr>
          <w:rFonts w:ascii="Garamond" w:hAnsi="Garamond"/>
          <w:sz w:val="24"/>
          <w:szCs w:val="24"/>
        </w:rPr>
      </w:pPr>
      <w:bookmarkStart w:id="27" w:name="_Toc447276083"/>
      <w:r w:rsidRPr="00B60621">
        <w:rPr>
          <w:rFonts w:ascii="Garamond" w:hAnsi="Garamond"/>
          <w:sz w:val="24"/>
          <w:szCs w:val="24"/>
        </w:rPr>
        <w:t>Growth and Emerging Occupations</w:t>
      </w:r>
      <w:bookmarkEnd w:id="27"/>
      <w:r w:rsidRPr="00B60621">
        <w:rPr>
          <w:rFonts w:ascii="Garamond" w:hAnsi="Garamond"/>
          <w:sz w:val="24"/>
          <w:szCs w:val="24"/>
        </w:rPr>
        <w:t xml:space="preserve"> </w:t>
      </w:r>
    </w:p>
    <w:p w14:paraId="72244317" w14:textId="77777777" w:rsidR="00F1512D" w:rsidRPr="004A0C12" w:rsidRDefault="00F1512D" w:rsidP="00057B5A">
      <w:pPr>
        <w:spacing w:after="0" w:line="240" w:lineRule="auto"/>
        <w:jc w:val="both"/>
        <w:rPr>
          <w:rFonts w:ascii="Garamond" w:hAnsi="Garamond"/>
        </w:rPr>
      </w:pPr>
      <w:r w:rsidRPr="004A0C12">
        <w:rPr>
          <w:rFonts w:ascii="Garamond" w:hAnsi="Garamond"/>
        </w:rPr>
        <w:t>Using the Occupational Employment Statistics (OES) data for Maryland and the associated Location Quotients (LQ) to measure the concentration of the occupations, growth and emerging occupations were identified for Maryland. Additionally, emerging and growth occupations were determined at the sub-state leve</w:t>
      </w:r>
      <w:r w:rsidR="003F5413" w:rsidRPr="004A0C12">
        <w:rPr>
          <w:rFonts w:ascii="Garamond" w:hAnsi="Garamond"/>
        </w:rPr>
        <w:t xml:space="preserve">l. </w:t>
      </w:r>
    </w:p>
    <w:p w14:paraId="742EC91B" w14:textId="77777777" w:rsidR="00393483" w:rsidRPr="00B60621" w:rsidRDefault="00393483" w:rsidP="00057B5A">
      <w:pPr>
        <w:spacing w:after="0" w:line="240" w:lineRule="auto"/>
        <w:jc w:val="both"/>
        <w:rPr>
          <w:rFonts w:ascii="Garamond" w:hAnsi="Garamond"/>
          <w:sz w:val="24"/>
          <w:szCs w:val="24"/>
        </w:rPr>
      </w:pPr>
    </w:p>
    <w:p w14:paraId="41E60579" w14:textId="77777777" w:rsidR="00F1512D" w:rsidRPr="00B60621" w:rsidRDefault="00F1512D" w:rsidP="00057B5A">
      <w:pPr>
        <w:pStyle w:val="Heading3"/>
        <w:spacing w:before="0" w:line="240" w:lineRule="auto"/>
        <w:rPr>
          <w:rFonts w:ascii="Garamond" w:hAnsi="Garamond"/>
          <w:sz w:val="24"/>
          <w:szCs w:val="24"/>
        </w:rPr>
      </w:pPr>
      <w:bookmarkStart w:id="28" w:name="_Toc447276084"/>
      <w:r w:rsidRPr="00B60621">
        <w:rPr>
          <w:rFonts w:ascii="Garamond" w:hAnsi="Garamond"/>
          <w:sz w:val="24"/>
          <w:szCs w:val="24"/>
        </w:rPr>
        <w:t>Growth Occupations</w:t>
      </w:r>
      <w:bookmarkEnd w:id="28"/>
    </w:p>
    <w:p w14:paraId="306CC5C1" w14:textId="77777777" w:rsidR="00393483" w:rsidRPr="004A0C12" w:rsidRDefault="00F1512D" w:rsidP="00057B5A">
      <w:pPr>
        <w:spacing w:after="0" w:line="240" w:lineRule="auto"/>
        <w:jc w:val="both"/>
        <w:rPr>
          <w:rFonts w:ascii="Garamond" w:hAnsi="Garamond"/>
        </w:rPr>
      </w:pPr>
      <w:r w:rsidRPr="004A0C12">
        <w:rPr>
          <w:rFonts w:ascii="Garamond" w:hAnsi="Garamond"/>
        </w:rPr>
        <w:t xml:space="preserve">Using the occupational growth from 2011 to 2014 in combination with Location Quotients (LQ) greater than one, eight broad types of growth occupations were identified for the state of Maryland (See Table 5). Occupations within these broad categories, such as Radiologic Technicians and Software Developers, have above average wages.  Additionally, growth occupations are available across a range of education levels providing opportunities for Marylanders at all levels. </w:t>
      </w:r>
    </w:p>
    <w:p w14:paraId="57EB4BF0" w14:textId="7598A658" w:rsidR="00196A22" w:rsidRPr="004A0C12" w:rsidRDefault="00196A22" w:rsidP="00057B5A">
      <w:pPr>
        <w:spacing w:after="0" w:line="240" w:lineRule="auto"/>
        <w:rPr>
          <w:rFonts w:ascii="Garamond" w:hAnsi="Garamond"/>
        </w:rPr>
      </w:pPr>
    </w:p>
    <w:p w14:paraId="78CD1352" w14:textId="34B3BE62" w:rsidR="00196A22" w:rsidRPr="004A0C12" w:rsidRDefault="00196A22" w:rsidP="00057B5A">
      <w:pPr>
        <w:spacing w:after="0" w:line="240" w:lineRule="auto"/>
        <w:rPr>
          <w:rFonts w:ascii="Garamond" w:hAnsi="Garamond"/>
        </w:rPr>
      </w:pPr>
    </w:p>
    <w:p w14:paraId="6E6B2886" w14:textId="77777777" w:rsidR="00393483" w:rsidRPr="004A0C12" w:rsidRDefault="00393483" w:rsidP="00057B5A">
      <w:pPr>
        <w:spacing w:after="0" w:line="240" w:lineRule="auto"/>
        <w:rPr>
          <w:rFonts w:ascii="Garamond" w:hAnsi="Garamond"/>
        </w:rPr>
      </w:pPr>
    </w:p>
    <w:p w14:paraId="1FFE80B6" w14:textId="77777777" w:rsidR="00393483" w:rsidRPr="004A0C12" w:rsidRDefault="00393483" w:rsidP="00057B5A">
      <w:pPr>
        <w:spacing w:after="0" w:line="240" w:lineRule="auto"/>
        <w:rPr>
          <w:rFonts w:ascii="Garamond" w:hAnsi="Garamond"/>
        </w:rPr>
      </w:pPr>
    </w:p>
    <w:p w14:paraId="019C8C7B" w14:textId="7C32624B" w:rsidR="00393483" w:rsidRPr="004A0C12" w:rsidRDefault="00B60621" w:rsidP="00057B5A">
      <w:pPr>
        <w:spacing w:after="0" w:line="240" w:lineRule="auto"/>
        <w:rPr>
          <w:rFonts w:ascii="Garamond" w:hAnsi="Garamond"/>
        </w:rPr>
      </w:pPr>
      <w:r w:rsidRPr="004A0C12">
        <w:rPr>
          <w:rFonts w:ascii="Garamond" w:hAnsi="Garamond"/>
          <w:noProof/>
        </w:rPr>
        <mc:AlternateContent>
          <mc:Choice Requires="wps">
            <w:drawing>
              <wp:anchor distT="0" distB="0" distL="114300" distR="114300" simplePos="0" relativeHeight="251673600" behindDoc="0" locked="0" layoutInCell="1" allowOverlap="1" wp14:anchorId="5D994451" wp14:editId="5EDB0ABE">
                <wp:simplePos x="0" y="0"/>
                <wp:positionH relativeFrom="column">
                  <wp:posOffset>-53975</wp:posOffset>
                </wp:positionH>
                <wp:positionV relativeFrom="paragraph">
                  <wp:posOffset>-71755</wp:posOffset>
                </wp:positionV>
                <wp:extent cx="7020560" cy="2106930"/>
                <wp:effectExtent l="0" t="0" r="27940" b="26670"/>
                <wp:wrapNone/>
                <wp:docPr id="29" name="Text Box 29"/>
                <wp:cNvGraphicFramePr/>
                <a:graphic xmlns:a="http://schemas.openxmlformats.org/drawingml/2006/main">
                  <a:graphicData uri="http://schemas.microsoft.com/office/word/2010/wordprocessingShape">
                    <wps:wsp>
                      <wps:cNvSpPr txBox="1"/>
                      <wps:spPr>
                        <a:xfrm>
                          <a:off x="0" y="0"/>
                          <a:ext cx="7020560" cy="21069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4963" w:type="pct"/>
                              <w:tblLook w:val="04A0" w:firstRow="1" w:lastRow="0" w:firstColumn="1" w:lastColumn="0" w:noHBand="0" w:noVBand="1"/>
                              <w:tblCaption w:val="Maryland's Growth Occupations"/>
                              <w:tblDescription w:val="This table shows Maryland's growth occupations by: # of Employees in 2014; % Change of Employees; and Location Quotient. Maryland's growth occupations include: Business and Financial Operations Occupations; Computer and Mathematical Occupations; Life, Physical, and Social Science Occupations; Community and Social Service Occupations; Healthcare Practitioners and Technical Occupations; Protective Service Occupations; Building and Grounds Cleaning and Maintenance Occupations; and Construction and Extraction Occupations. "/>
                            </w:tblPr>
                            <w:tblGrid>
                              <w:gridCol w:w="6726"/>
                              <w:gridCol w:w="1843"/>
                              <w:gridCol w:w="1634"/>
                              <w:gridCol w:w="705"/>
                            </w:tblGrid>
                            <w:tr w:rsidR="003D14AC" w:rsidRPr="00B35C98" w14:paraId="78C216EF" w14:textId="77777777" w:rsidTr="00923B2F">
                              <w:trPr>
                                <w:cnfStyle w:val="100000000000" w:firstRow="1" w:lastRow="0" w:firstColumn="0" w:lastColumn="0" w:oddVBand="0" w:evenVBand="0" w:oddHBand="0" w:evenHBand="0" w:firstRowFirstColumn="0" w:firstRowLastColumn="0" w:lastRowFirstColumn="0" w:lastRowLastColumn="0"/>
                                <w:trHeight w:val="406"/>
                                <w:tblHeader/>
                              </w:trPr>
                              <w:tc>
                                <w:tcPr>
                                  <w:cnfStyle w:val="001000000000" w:firstRow="0" w:lastRow="0" w:firstColumn="1" w:lastColumn="0" w:oddVBand="0" w:evenVBand="0" w:oddHBand="0" w:evenHBand="0" w:firstRowFirstColumn="0" w:firstRowLastColumn="0" w:lastRowFirstColumn="0" w:lastRowLastColumn="0"/>
                                  <w:tcW w:w="3083" w:type="pct"/>
                                  <w:noWrap/>
                                  <w:hideMark/>
                                </w:tcPr>
                                <w:p w14:paraId="1003C350" w14:textId="77777777" w:rsidR="003D14AC" w:rsidRPr="00FF639F" w:rsidRDefault="003D14AC" w:rsidP="001A1E04">
                                  <w:pPr>
                                    <w:rPr>
                                      <w:bCs w:val="0"/>
                                    </w:rPr>
                                  </w:pPr>
                                  <w:r w:rsidRPr="00FF639F">
                                    <w:rPr>
                                      <w:bCs w:val="0"/>
                                    </w:rPr>
                                    <w:t xml:space="preserve">Occupation Title </w:t>
                                  </w:r>
                                </w:p>
                              </w:tc>
                              <w:tc>
                                <w:tcPr>
                                  <w:tcW w:w="845" w:type="pct"/>
                                  <w:hideMark/>
                                </w:tcPr>
                                <w:p w14:paraId="7B688F8D"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 2014 Employees  </w:t>
                                  </w:r>
                                </w:p>
                              </w:tc>
                              <w:tc>
                                <w:tcPr>
                                  <w:tcW w:w="749" w:type="pct"/>
                                  <w:noWrap/>
                                  <w:hideMark/>
                                </w:tcPr>
                                <w:p w14:paraId="75581CF7"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Change</w:t>
                                  </w:r>
                                </w:p>
                              </w:tc>
                              <w:tc>
                                <w:tcPr>
                                  <w:tcW w:w="323" w:type="pct"/>
                                  <w:noWrap/>
                                  <w:hideMark/>
                                </w:tcPr>
                                <w:p w14:paraId="505C1C9A"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LQ </w:t>
                                  </w:r>
                                </w:p>
                              </w:tc>
                            </w:tr>
                            <w:tr w:rsidR="003D14AC" w:rsidRPr="00B35C98" w14:paraId="046D81A5" w14:textId="77777777" w:rsidTr="00FF639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48F6CA9B" w14:textId="77777777" w:rsidR="003D14AC" w:rsidRPr="00FF639F" w:rsidRDefault="003D14AC" w:rsidP="001A1E04">
                                  <w:pPr>
                                    <w:rPr>
                                      <w:bCs w:val="0"/>
                                    </w:rPr>
                                  </w:pPr>
                                  <w:r w:rsidRPr="00FF639F">
                                    <w:rPr>
                                      <w:bCs w:val="0"/>
                                    </w:rPr>
                                    <w:t>Business and Financial Operations Occupations</w:t>
                                  </w:r>
                                </w:p>
                              </w:tc>
                              <w:tc>
                                <w:tcPr>
                                  <w:tcW w:w="845" w:type="pct"/>
                                  <w:noWrap/>
                                  <w:hideMark/>
                                </w:tcPr>
                                <w:p w14:paraId="3EC778D8" w14:textId="4CE12F41"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t>161,250</w:t>
                                  </w:r>
                                </w:p>
                              </w:tc>
                              <w:tc>
                                <w:tcPr>
                                  <w:tcW w:w="749" w:type="pct"/>
                                  <w:noWrap/>
                                  <w:hideMark/>
                                </w:tcPr>
                                <w:p w14:paraId="0573DCD3"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3.1%</w:t>
                                  </w:r>
                                </w:p>
                              </w:tc>
                              <w:tc>
                                <w:tcPr>
                                  <w:tcW w:w="323" w:type="pct"/>
                                  <w:noWrap/>
                                  <w:hideMark/>
                                </w:tcPr>
                                <w:p w14:paraId="48EB42C6"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1.25</w:t>
                                  </w:r>
                                </w:p>
                              </w:tc>
                            </w:tr>
                            <w:tr w:rsidR="003D14AC" w:rsidRPr="00B35C98" w14:paraId="2BFF46D4" w14:textId="77777777" w:rsidTr="00FF639F">
                              <w:trPr>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78135701" w14:textId="77777777" w:rsidR="003D14AC" w:rsidRPr="00FF639F" w:rsidRDefault="003D14AC" w:rsidP="001A1E04">
                                  <w:pPr>
                                    <w:rPr>
                                      <w:bCs w:val="0"/>
                                    </w:rPr>
                                  </w:pPr>
                                  <w:r w:rsidRPr="00FF639F">
                                    <w:rPr>
                                      <w:bCs w:val="0"/>
                                    </w:rPr>
                                    <w:t>Computer and Mathematical Occupations</w:t>
                                  </w:r>
                                </w:p>
                              </w:tc>
                              <w:tc>
                                <w:tcPr>
                                  <w:tcW w:w="845" w:type="pct"/>
                                  <w:noWrap/>
                                  <w:hideMark/>
                                </w:tcPr>
                                <w:p w14:paraId="18FDA6D2" w14:textId="5C2DE95C"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t>117,040</w:t>
                                  </w:r>
                                </w:p>
                              </w:tc>
                              <w:tc>
                                <w:tcPr>
                                  <w:tcW w:w="749" w:type="pct"/>
                                  <w:noWrap/>
                                  <w:hideMark/>
                                </w:tcPr>
                                <w:p w14:paraId="55F577AA"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11.9%</w:t>
                                  </w:r>
                                </w:p>
                              </w:tc>
                              <w:tc>
                                <w:tcPr>
                                  <w:tcW w:w="323" w:type="pct"/>
                                  <w:noWrap/>
                                  <w:hideMark/>
                                </w:tcPr>
                                <w:p w14:paraId="44FCA97F"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1.61</w:t>
                                  </w:r>
                                </w:p>
                              </w:tc>
                            </w:tr>
                            <w:tr w:rsidR="003D14AC" w:rsidRPr="00B35C98" w14:paraId="26362688" w14:textId="77777777" w:rsidTr="00FF639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7B4CF6BF" w14:textId="77777777" w:rsidR="003D14AC" w:rsidRPr="00FF639F" w:rsidRDefault="003D14AC" w:rsidP="001A1E04">
                                  <w:pPr>
                                    <w:rPr>
                                      <w:bCs w:val="0"/>
                                    </w:rPr>
                                  </w:pPr>
                                  <w:r w:rsidRPr="00FF639F">
                                    <w:rPr>
                                      <w:bCs w:val="0"/>
                                    </w:rPr>
                                    <w:t>Life, Physical, and Social Science Occupations</w:t>
                                  </w:r>
                                </w:p>
                              </w:tc>
                              <w:tc>
                                <w:tcPr>
                                  <w:tcW w:w="845" w:type="pct"/>
                                  <w:noWrap/>
                                  <w:hideMark/>
                                </w:tcPr>
                                <w:p w14:paraId="52A30561" w14:textId="39C67048"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41,170 </w:t>
                                  </w:r>
                                </w:p>
                              </w:tc>
                              <w:tc>
                                <w:tcPr>
                                  <w:tcW w:w="749" w:type="pct"/>
                                  <w:noWrap/>
                                  <w:hideMark/>
                                </w:tcPr>
                                <w:p w14:paraId="53124E27"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7.5%</w:t>
                                  </w:r>
                                </w:p>
                              </w:tc>
                              <w:tc>
                                <w:tcPr>
                                  <w:tcW w:w="323" w:type="pct"/>
                                  <w:noWrap/>
                                  <w:hideMark/>
                                </w:tcPr>
                                <w:p w14:paraId="004D07F0"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1.9</w:t>
                                  </w:r>
                                </w:p>
                              </w:tc>
                            </w:tr>
                            <w:tr w:rsidR="003D14AC" w:rsidRPr="00B35C98" w14:paraId="090BD739" w14:textId="77777777" w:rsidTr="00FF639F">
                              <w:trPr>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0670E68F" w14:textId="77777777" w:rsidR="003D14AC" w:rsidRPr="00FF639F" w:rsidRDefault="003D14AC" w:rsidP="001A1E04">
                                  <w:pPr>
                                    <w:rPr>
                                      <w:bCs w:val="0"/>
                                    </w:rPr>
                                  </w:pPr>
                                  <w:r w:rsidRPr="00FF639F">
                                    <w:rPr>
                                      <w:bCs w:val="0"/>
                                    </w:rPr>
                                    <w:t>Community and Social Service Occupations</w:t>
                                  </w:r>
                                </w:p>
                              </w:tc>
                              <w:tc>
                                <w:tcPr>
                                  <w:tcW w:w="845" w:type="pct"/>
                                  <w:noWrap/>
                                  <w:hideMark/>
                                </w:tcPr>
                                <w:p w14:paraId="3449B1D3" w14:textId="3F938683"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  38,810 </w:t>
                                  </w:r>
                                </w:p>
                              </w:tc>
                              <w:tc>
                                <w:tcPr>
                                  <w:tcW w:w="749" w:type="pct"/>
                                  <w:noWrap/>
                                  <w:hideMark/>
                                </w:tcPr>
                                <w:p w14:paraId="0A37B622"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0.4%</w:t>
                                  </w:r>
                                </w:p>
                              </w:tc>
                              <w:tc>
                                <w:tcPr>
                                  <w:tcW w:w="323" w:type="pct"/>
                                  <w:noWrap/>
                                  <w:hideMark/>
                                </w:tcPr>
                                <w:p w14:paraId="1652FEF6"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1.06</w:t>
                                  </w:r>
                                </w:p>
                              </w:tc>
                            </w:tr>
                            <w:tr w:rsidR="003D14AC" w:rsidRPr="00B35C98" w14:paraId="37E7C982" w14:textId="77777777" w:rsidTr="00FF639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264C4D7F" w14:textId="77777777" w:rsidR="003D14AC" w:rsidRPr="00FF639F" w:rsidRDefault="003D14AC" w:rsidP="001A1E04">
                                  <w:pPr>
                                    <w:rPr>
                                      <w:bCs w:val="0"/>
                                    </w:rPr>
                                  </w:pPr>
                                  <w:r w:rsidRPr="00FF639F">
                                    <w:rPr>
                                      <w:bCs w:val="0"/>
                                    </w:rPr>
                                    <w:t>Healthcare Practitioners and Technical Occupations</w:t>
                                  </w:r>
                                </w:p>
                              </w:tc>
                              <w:tc>
                                <w:tcPr>
                                  <w:tcW w:w="845" w:type="pct"/>
                                  <w:noWrap/>
                                  <w:hideMark/>
                                </w:tcPr>
                                <w:p w14:paraId="5845C5EB" w14:textId="4E106882"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157,630 </w:t>
                                  </w:r>
                                </w:p>
                              </w:tc>
                              <w:tc>
                                <w:tcPr>
                                  <w:tcW w:w="749" w:type="pct"/>
                                  <w:noWrap/>
                                  <w:hideMark/>
                                </w:tcPr>
                                <w:p w14:paraId="07C6BED6"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2.3%</w:t>
                                  </w:r>
                                </w:p>
                              </w:tc>
                              <w:tc>
                                <w:tcPr>
                                  <w:tcW w:w="323" w:type="pct"/>
                                  <w:noWrap/>
                                  <w:hideMark/>
                                </w:tcPr>
                                <w:p w14:paraId="6E93D1E2"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1.06</w:t>
                                  </w:r>
                                </w:p>
                              </w:tc>
                            </w:tr>
                            <w:tr w:rsidR="003D14AC" w:rsidRPr="00B35C98" w14:paraId="124F05D5" w14:textId="77777777" w:rsidTr="00FF639F">
                              <w:trPr>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522A4430" w14:textId="77777777" w:rsidR="003D14AC" w:rsidRPr="00FF639F" w:rsidRDefault="003D14AC" w:rsidP="001A1E04">
                                  <w:pPr>
                                    <w:rPr>
                                      <w:bCs w:val="0"/>
                                    </w:rPr>
                                  </w:pPr>
                                  <w:r w:rsidRPr="00FF639F">
                                    <w:rPr>
                                      <w:bCs w:val="0"/>
                                    </w:rPr>
                                    <w:t>Protective Service Occupations</w:t>
                                  </w:r>
                                </w:p>
                              </w:tc>
                              <w:tc>
                                <w:tcPr>
                                  <w:tcW w:w="845" w:type="pct"/>
                                  <w:noWrap/>
                                  <w:hideMark/>
                                </w:tcPr>
                                <w:p w14:paraId="3A86B59D" w14:textId="2DDB3208"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t xml:space="preserve"> </w:t>
                                  </w:r>
                                  <w:r w:rsidRPr="00FF639F">
                                    <w:t xml:space="preserve"> 73,020 </w:t>
                                  </w:r>
                                </w:p>
                              </w:tc>
                              <w:tc>
                                <w:tcPr>
                                  <w:tcW w:w="749" w:type="pct"/>
                                  <w:noWrap/>
                                  <w:hideMark/>
                                </w:tcPr>
                                <w:p w14:paraId="5CF20925"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7.3%</w:t>
                                  </w:r>
                                </w:p>
                              </w:tc>
                              <w:tc>
                                <w:tcPr>
                                  <w:tcW w:w="323" w:type="pct"/>
                                  <w:noWrap/>
                                  <w:hideMark/>
                                </w:tcPr>
                                <w:p w14:paraId="4C55CAB9"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1.17</w:t>
                                  </w:r>
                                </w:p>
                              </w:tc>
                            </w:tr>
                            <w:tr w:rsidR="003D14AC" w:rsidRPr="00B35C98" w14:paraId="2E52960C" w14:textId="77777777" w:rsidTr="00FF639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7C9F820F" w14:textId="77777777" w:rsidR="003D14AC" w:rsidRPr="00FF639F" w:rsidRDefault="003D14AC" w:rsidP="001A1E04">
                                  <w:pPr>
                                    <w:rPr>
                                      <w:bCs w:val="0"/>
                                    </w:rPr>
                                  </w:pPr>
                                  <w:r w:rsidRPr="00FF639F">
                                    <w:rPr>
                                      <w:bCs w:val="0"/>
                                    </w:rPr>
                                    <w:t>Building and Grounds Cleaning and Maintenance Occupations</w:t>
                                  </w:r>
                                </w:p>
                              </w:tc>
                              <w:tc>
                                <w:tcPr>
                                  <w:tcW w:w="845" w:type="pct"/>
                                  <w:noWrap/>
                                  <w:hideMark/>
                                </w:tcPr>
                                <w:p w14:paraId="0E4D76CF" w14:textId="59C5FD21"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85,720 </w:t>
                                  </w:r>
                                </w:p>
                              </w:tc>
                              <w:tc>
                                <w:tcPr>
                                  <w:tcW w:w="749" w:type="pct"/>
                                  <w:noWrap/>
                                  <w:hideMark/>
                                </w:tcPr>
                                <w:p w14:paraId="4CD39254"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6.3%</w:t>
                                  </w:r>
                                </w:p>
                              </w:tc>
                              <w:tc>
                                <w:tcPr>
                                  <w:tcW w:w="323" w:type="pct"/>
                                  <w:noWrap/>
                                  <w:hideMark/>
                                </w:tcPr>
                                <w:p w14:paraId="6BA18405"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1.04</w:t>
                                  </w:r>
                                </w:p>
                              </w:tc>
                            </w:tr>
                            <w:tr w:rsidR="003D14AC" w:rsidRPr="00B35C98" w14:paraId="035E966E" w14:textId="77777777" w:rsidTr="00FF639F">
                              <w:trPr>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3153294B" w14:textId="77777777" w:rsidR="003D14AC" w:rsidRPr="00FF639F" w:rsidRDefault="003D14AC" w:rsidP="001A1E04">
                                  <w:pPr>
                                    <w:rPr>
                                      <w:bCs w:val="0"/>
                                    </w:rPr>
                                  </w:pPr>
                                  <w:r w:rsidRPr="00FF639F">
                                    <w:rPr>
                                      <w:bCs w:val="0"/>
                                    </w:rPr>
                                    <w:t>Construction and Extraction Occupations</w:t>
                                  </w:r>
                                </w:p>
                              </w:tc>
                              <w:tc>
                                <w:tcPr>
                                  <w:tcW w:w="845" w:type="pct"/>
                                  <w:noWrap/>
                                  <w:hideMark/>
                                </w:tcPr>
                                <w:p w14:paraId="5E640167" w14:textId="13249459"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109,570 </w:t>
                                  </w:r>
                                </w:p>
                              </w:tc>
                              <w:tc>
                                <w:tcPr>
                                  <w:tcW w:w="749" w:type="pct"/>
                                  <w:noWrap/>
                                  <w:hideMark/>
                                </w:tcPr>
                                <w:p w14:paraId="3D96C07B"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0.5%</w:t>
                                  </w:r>
                                </w:p>
                              </w:tc>
                              <w:tc>
                                <w:tcPr>
                                  <w:tcW w:w="323" w:type="pct"/>
                                  <w:noWrap/>
                                  <w:hideMark/>
                                </w:tcPr>
                                <w:p w14:paraId="5B631662" w14:textId="77777777" w:rsidR="003D14AC" w:rsidRPr="00FF639F" w:rsidRDefault="003D14AC" w:rsidP="001A1E04">
                                  <w:pPr>
                                    <w:keepNext/>
                                    <w:jc w:val="right"/>
                                    <w:cnfStyle w:val="000000000000" w:firstRow="0" w:lastRow="0" w:firstColumn="0" w:lastColumn="0" w:oddVBand="0" w:evenVBand="0" w:oddHBand="0" w:evenHBand="0" w:firstRowFirstColumn="0" w:firstRowLastColumn="0" w:lastRowFirstColumn="0" w:lastRowLastColumn="0"/>
                                  </w:pPr>
                                  <w:r w:rsidRPr="00FF639F">
                                    <w:t>1.09</w:t>
                                  </w:r>
                                </w:p>
                              </w:tc>
                            </w:tr>
                          </w:tbl>
                          <w:p w14:paraId="5EBDB1DB" w14:textId="77777777" w:rsidR="003D14AC" w:rsidRDefault="003D14AC" w:rsidP="00BC68BB">
                            <w:pPr>
                              <w:pStyle w:val="Caption"/>
                            </w:pPr>
                            <w:r>
                              <w:t xml:space="preserve">Table </w:t>
                            </w:r>
                            <w:fldSimple w:instr=" SEQ Table \* ARABIC ">
                              <w:r w:rsidR="00943AA8">
                                <w:rPr>
                                  <w:noProof/>
                                </w:rPr>
                                <w:t>5</w:t>
                              </w:r>
                            </w:fldSimple>
                            <w:r>
                              <w:t>: Maryland's Growth Occupations</w:t>
                            </w:r>
                          </w:p>
                          <w:p w14:paraId="2E5D0BBB"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36" type="#_x0000_t202" style="position:absolute;margin-left:-4.25pt;margin-top:-5.65pt;width:552.8pt;height:165.9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" fillcolor="white [3201]" strokeweight=".5pt">
                <v:textbox>
                  <w:txbxContent>
                    <w:tbl>
                      <w:tblPr>
                        <w:tblStyle w:val="PlainTable11"/>
                        <w:tblW w:w="4963" w:type="pct"/>
                        <w:tblLook w:val="04A0" w:firstRow="1" w:lastRow="0" w:firstColumn="1" w:lastColumn="0" w:noHBand="0" w:noVBand="1"/>
                        <w:tblCaption w:val="Maryland's Growth Occupations"/>
                        <w:tblDescription w:val="This table shows Maryland's growth occupations by: # of Employees in 2014; % Change of Employees; and Location Quotient. Maryland's growth occupations include: Business and Financial Operations Occupations; Computer and Mathematical Occupations; Life, Physical, and Social Science Occupations; Community and Social Service Occupations; Healthcare Practitioners and Technical Occupations; Protective Service Occupations; Building and Grounds Cleaning and Maintenance Occupations; and Construction and Extraction Occupations. "/>
                      </w:tblPr>
                      <w:tblGrid>
                        <w:gridCol w:w="6726"/>
                        <w:gridCol w:w="1843"/>
                        <w:gridCol w:w="1634"/>
                        <w:gridCol w:w="705"/>
                      </w:tblGrid>
                      <w:tr w:rsidR="003D14AC" w:rsidRPr="00B35C98" w14:paraId="78C216EF" w14:textId="77777777" w:rsidTr="00923B2F">
                        <w:trPr>
                          <w:cnfStyle w:val="100000000000" w:firstRow="1" w:lastRow="0" w:firstColumn="0" w:lastColumn="0" w:oddVBand="0" w:evenVBand="0" w:oddHBand="0" w:evenHBand="0" w:firstRowFirstColumn="0" w:firstRowLastColumn="0" w:lastRowFirstColumn="0" w:lastRowLastColumn="0"/>
                          <w:trHeight w:val="406"/>
                          <w:tblHeader/>
                        </w:trPr>
                        <w:tc>
                          <w:tcPr>
                            <w:cnfStyle w:val="001000000000" w:firstRow="0" w:lastRow="0" w:firstColumn="1" w:lastColumn="0" w:oddVBand="0" w:evenVBand="0" w:oddHBand="0" w:evenHBand="0" w:firstRowFirstColumn="0" w:firstRowLastColumn="0" w:lastRowFirstColumn="0" w:lastRowLastColumn="0"/>
                            <w:tcW w:w="3083" w:type="pct"/>
                            <w:noWrap/>
                            <w:hideMark/>
                          </w:tcPr>
                          <w:p w14:paraId="1003C350" w14:textId="77777777" w:rsidR="003D14AC" w:rsidRPr="00FF639F" w:rsidRDefault="003D14AC" w:rsidP="001A1E04">
                            <w:pPr>
                              <w:rPr>
                                <w:bCs w:val="0"/>
                              </w:rPr>
                            </w:pPr>
                            <w:r w:rsidRPr="00FF639F">
                              <w:rPr>
                                <w:bCs w:val="0"/>
                              </w:rPr>
                              <w:t xml:space="preserve">Occupation Title </w:t>
                            </w:r>
                          </w:p>
                        </w:tc>
                        <w:tc>
                          <w:tcPr>
                            <w:tcW w:w="845" w:type="pct"/>
                            <w:hideMark/>
                          </w:tcPr>
                          <w:p w14:paraId="7B688F8D"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 2014 Employees  </w:t>
                            </w:r>
                          </w:p>
                        </w:tc>
                        <w:tc>
                          <w:tcPr>
                            <w:tcW w:w="749" w:type="pct"/>
                            <w:noWrap/>
                            <w:hideMark/>
                          </w:tcPr>
                          <w:p w14:paraId="75581CF7"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Change</w:t>
                            </w:r>
                          </w:p>
                        </w:tc>
                        <w:tc>
                          <w:tcPr>
                            <w:tcW w:w="323" w:type="pct"/>
                            <w:noWrap/>
                            <w:hideMark/>
                          </w:tcPr>
                          <w:p w14:paraId="505C1C9A"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LQ </w:t>
                            </w:r>
                          </w:p>
                        </w:tc>
                      </w:tr>
                      <w:tr w:rsidR="003D14AC" w:rsidRPr="00B35C98" w14:paraId="046D81A5" w14:textId="77777777" w:rsidTr="00FF639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48F6CA9B" w14:textId="77777777" w:rsidR="003D14AC" w:rsidRPr="00FF639F" w:rsidRDefault="003D14AC" w:rsidP="001A1E04">
                            <w:pPr>
                              <w:rPr>
                                <w:bCs w:val="0"/>
                              </w:rPr>
                            </w:pPr>
                            <w:r w:rsidRPr="00FF639F">
                              <w:rPr>
                                <w:bCs w:val="0"/>
                              </w:rPr>
                              <w:t>Business and Financial Operations Occupations</w:t>
                            </w:r>
                          </w:p>
                        </w:tc>
                        <w:tc>
                          <w:tcPr>
                            <w:tcW w:w="845" w:type="pct"/>
                            <w:noWrap/>
                            <w:hideMark/>
                          </w:tcPr>
                          <w:p w14:paraId="3EC778D8" w14:textId="4CE12F41"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t>161,250</w:t>
                            </w:r>
                          </w:p>
                        </w:tc>
                        <w:tc>
                          <w:tcPr>
                            <w:tcW w:w="749" w:type="pct"/>
                            <w:noWrap/>
                            <w:hideMark/>
                          </w:tcPr>
                          <w:p w14:paraId="0573DCD3"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3.1%</w:t>
                            </w:r>
                          </w:p>
                        </w:tc>
                        <w:tc>
                          <w:tcPr>
                            <w:tcW w:w="323" w:type="pct"/>
                            <w:noWrap/>
                            <w:hideMark/>
                          </w:tcPr>
                          <w:p w14:paraId="48EB42C6"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1.25</w:t>
                            </w:r>
                          </w:p>
                        </w:tc>
                      </w:tr>
                      <w:tr w:rsidR="003D14AC" w:rsidRPr="00B35C98" w14:paraId="2BFF46D4" w14:textId="77777777" w:rsidTr="00FF639F">
                        <w:trPr>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78135701" w14:textId="77777777" w:rsidR="003D14AC" w:rsidRPr="00FF639F" w:rsidRDefault="003D14AC" w:rsidP="001A1E04">
                            <w:pPr>
                              <w:rPr>
                                <w:bCs w:val="0"/>
                              </w:rPr>
                            </w:pPr>
                            <w:r w:rsidRPr="00FF639F">
                              <w:rPr>
                                <w:bCs w:val="0"/>
                              </w:rPr>
                              <w:t>Computer and Mathematical Occupations</w:t>
                            </w:r>
                          </w:p>
                        </w:tc>
                        <w:tc>
                          <w:tcPr>
                            <w:tcW w:w="845" w:type="pct"/>
                            <w:noWrap/>
                            <w:hideMark/>
                          </w:tcPr>
                          <w:p w14:paraId="18FDA6D2" w14:textId="5C2DE95C"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t>117,040</w:t>
                            </w:r>
                          </w:p>
                        </w:tc>
                        <w:tc>
                          <w:tcPr>
                            <w:tcW w:w="749" w:type="pct"/>
                            <w:noWrap/>
                            <w:hideMark/>
                          </w:tcPr>
                          <w:p w14:paraId="55F577AA"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11.9%</w:t>
                            </w:r>
                          </w:p>
                        </w:tc>
                        <w:tc>
                          <w:tcPr>
                            <w:tcW w:w="323" w:type="pct"/>
                            <w:noWrap/>
                            <w:hideMark/>
                          </w:tcPr>
                          <w:p w14:paraId="44FCA97F"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1.61</w:t>
                            </w:r>
                          </w:p>
                        </w:tc>
                      </w:tr>
                      <w:tr w:rsidR="003D14AC" w:rsidRPr="00B35C98" w14:paraId="26362688" w14:textId="77777777" w:rsidTr="00FF639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7B4CF6BF" w14:textId="77777777" w:rsidR="003D14AC" w:rsidRPr="00FF639F" w:rsidRDefault="003D14AC" w:rsidP="001A1E04">
                            <w:pPr>
                              <w:rPr>
                                <w:bCs w:val="0"/>
                              </w:rPr>
                            </w:pPr>
                            <w:r w:rsidRPr="00FF639F">
                              <w:rPr>
                                <w:bCs w:val="0"/>
                              </w:rPr>
                              <w:t>Life, Physical, and Social Science Occupations</w:t>
                            </w:r>
                          </w:p>
                        </w:tc>
                        <w:tc>
                          <w:tcPr>
                            <w:tcW w:w="845" w:type="pct"/>
                            <w:noWrap/>
                            <w:hideMark/>
                          </w:tcPr>
                          <w:p w14:paraId="52A30561" w14:textId="39C67048"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41,170 </w:t>
                            </w:r>
                          </w:p>
                        </w:tc>
                        <w:tc>
                          <w:tcPr>
                            <w:tcW w:w="749" w:type="pct"/>
                            <w:noWrap/>
                            <w:hideMark/>
                          </w:tcPr>
                          <w:p w14:paraId="53124E27"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7.5%</w:t>
                            </w:r>
                          </w:p>
                        </w:tc>
                        <w:tc>
                          <w:tcPr>
                            <w:tcW w:w="323" w:type="pct"/>
                            <w:noWrap/>
                            <w:hideMark/>
                          </w:tcPr>
                          <w:p w14:paraId="004D07F0"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1.9</w:t>
                            </w:r>
                          </w:p>
                        </w:tc>
                      </w:tr>
                      <w:tr w:rsidR="003D14AC" w:rsidRPr="00B35C98" w14:paraId="090BD739" w14:textId="77777777" w:rsidTr="00FF639F">
                        <w:trPr>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0670E68F" w14:textId="77777777" w:rsidR="003D14AC" w:rsidRPr="00FF639F" w:rsidRDefault="003D14AC" w:rsidP="001A1E04">
                            <w:pPr>
                              <w:rPr>
                                <w:bCs w:val="0"/>
                              </w:rPr>
                            </w:pPr>
                            <w:r w:rsidRPr="00FF639F">
                              <w:rPr>
                                <w:bCs w:val="0"/>
                              </w:rPr>
                              <w:t>Community and Social Service Occupations</w:t>
                            </w:r>
                          </w:p>
                        </w:tc>
                        <w:tc>
                          <w:tcPr>
                            <w:tcW w:w="845" w:type="pct"/>
                            <w:noWrap/>
                            <w:hideMark/>
                          </w:tcPr>
                          <w:p w14:paraId="3449B1D3" w14:textId="3F938683"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  38,810 </w:t>
                            </w:r>
                          </w:p>
                        </w:tc>
                        <w:tc>
                          <w:tcPr>
                            <w:tcW w:w="749" w:type="pct"/>
                            <w:noWrap/>
                            <w:hideMark/>
                          </w:tcPr>
                          <w:p w14:paraId="0A37B622"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0.4%</w:t>
                            </w:r>
                          </w:p>
                        </w:tc>
                        <w:tc>
                          <w:tcPr>
                            <w:tcW w:w="323" w:type="pct"/>
                            <w:noWrap/>
                            <w:hideMark/>
                          </w:tcPr>
                          <w:p w14:paraId="1652FEF6"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1.06</w:t>
                            </w:r>
                          </w:p>
                        </w:tc>
                      </w:tr>
                      <w:tr w:rsidR="003D14AC" w:rsidRPr="00B35C98" w14:paraId="37E7C982" w14:textId="77777777" w:rsidTr="00FF639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264C4D7F" w14:textId="77777777" w:rsidR="003D14AC" w:rsidRPr="00FF639F" w:rsidRDefault="003D14AC" w:rsidP="001A1E04">
                            <w:pPr>
                              <w:rPr>
                                <w:bCs w:val="0"/>
                              </w:rPr>
                            </w:pPr>
                            <w:r w:rsidRPr="00FF639F">
                              <w:rPr>
                                <w:bCs w:val="0"/>
                              </w:rPr>
                              <w:t>Healthcare Practitioners and Technical Occupations</w:t>
                            </w:r>
                          </w:p>
                        </w:tc>
                        <w:tc>
                          <w:tcPr>
                            <w:tcW w:w="845" w:type="pct"/>
                            <w:noWrap/>
                            <w:hideMark/>
                          </w:tcPr>
                          <w:p w14:paraId="5845C5EB" w14:textId="4E106882"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157,630 </w:t>
                            </w:r>
                          </w:p>
                        </w:tc>
                        <w:tc>
                          <w:tcPr>
                            <w:tcW w:w="749" w:type="pct"/>
                            <w:noWrap/>
                            <w:hideMark/>
                          </w:tcPr>
                          <w:p w14:paraId="07C6BED6"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2.3%</w:t>
                            </w:r>
                          </w:p>
                        </w:tc>
                        <w:tc>
                          <w:tcPr>
                            <w:tcW w:w="323" w:type="pct"/>
                            <w:noWrap/>
                            <w:hideMark/>
                          </w:tcPr>
                          <w:p w14:paraId="6E93D1E2"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1.06</w:t>
                            </w:r>
                          </w:p>
                        </w:tc>
                      </w:tr>
                      <w:tr w:rsidR="003D14AC" w:rsidRPr="00B35C98" w14:paraId="124F05D5" w14:textId="77777777" w:rsidTr="00FF639F">
                        <w:trPr>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522A4430" w14:textId="77777777" w:rsidR="003D14AC" w:rsidRPr="00FF639F" w:rsidRDefault="003D14AC" w:rsidP="001A1E04">
                            <w:pPr>
                              <w:rPr>
                                <w:bCs w:val="0"/>
                              </w:rPr>
                            </w:pPr>
                            <w:r w:rsidRPr="00FF639F">
                              <w:rPr>
                                <w:bCs w:val="0"/>
                              </w:rPr>
                              <w:t>Protective Service Occupations</w:t>
                            </w:r>
                          </w:p>
                        </w:tc>
                        <w:tc>
                          <w:tcPr>
                            <w:tcW w:w="845" w:type="pct"/>
                            <w:noWrap/>
                            <w:hideMark/>
                          </w:tcPr>
                          <w:p w14:paraId="3A86B59D" w14:textId="2DDB3208"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t xml:space="preserve"> </w:t>
                            </w:r>
                            <w:r w:rsidRPr="00FF639F">
                              <w:t xml:space="preserve"> 73,020 </w:t>
                            </w:r>
                          </w:p>
                        </w:tc>
                        <w:tc>
                          <w:tcPr>
                            <w:tcW w:w="749" w:type="pct"/>
                            <w:noWrap/>
                            <w:hideMark/>
                          </w:tcPr>
                          <w:p w14:paraId="5CF20925"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7.3%</w:t>
                            </w:r>
                          </w:p>
                        </w:tc>
                        <w:tc>
                          <w:tcPr>
                            <w:tcW w:w="323" w:type="pct"/>
                            <w:noWrap/>
                            <w:hideMark/>
                          </w:tcPr>
                          <w:p w14:paraId="4C55CAB9"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1.17</w:t>
                            </w:r>
                          </w:p>
                        </w:tc>
                      </w:tr>
                      <w:tr w:rsidR="003D14AC" w:rsidRPr="00B35C98" w14:paraId="2E52960C" w14:textId="77777777" w:rsidTr="00FF639F">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7C9F820F" w14:textId="77777777" w:rsidR="003D14AC" w:rsidRPr="00FF639F" w:rsidRDefault="003D14AC" w:rsidP="001A1E04">
                            <w:pPr>
                              <w:rPr>
                                <w:bCs w:val="0"/>
                              </w:rPr>
                            </w:pPr>
                            <w:r w:rsidRPr="00FF639F">
                              <w:rPr>
                                <w:bCs w:val="0"/>
                              </w:rPr>
                              <w:t>Building and Grounds Cleaning and Maintenance Occupations</w:t>
                            </w:r>
                          </w:p>
                        </w:tc>
                        <w:tc>
                          <w:tcPr>
                            <w:tcW w:w="845" w:type="pct"/>
                            <w:noWrap/>
                            <w:hideMark/>
                          </w:tcPr>
                          <w:p w14:paraId="0E4D76CF" w14:textId="59C5FD21"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85,720 </w:t>
                            </w:r>
                          </w:p>
                        </w:tc>
                        <w:tc>
                          <w:tcPr>
                            <w:tcW w:w="749" w:type="pct"/>
                            <w:noWrap/>
                            <w:hideMark/>
                          </w:tcPr>
                          <w:p w14:paraId="4CD39254"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6.3%</w:t>
                            </w:r>
                          </w:p>
                        </w:tc>
                        <w:tc>
                          <w:tcPr>
                            <w:tcW w:w="323" w:type="pct"/>
                            <w:noWrap/>
                            <w:hideMark/>
                          </w:tcPr>
                          <w:p w14:paraId="6BA18405"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1.04</w:t>
                            </w:r>
                          </w:p>
                        </w:tc>
                      </w:tr>
                      <w:tr w:rsidR="003D14AC" w:rsidRPr="00B35C98" w14:paraId="035E966E" w14:textId="77777777" w:rsidTr="00FF639F">
                        <w:trPr>
                          <w:trHeight w:val="282"/>
                        </w:trPr>
                        <w:tc>
                          <w:tcPr>
                            <w:cnfStyle w:val="001000000000" w:firstRow="0" w:lastRow="0" w:firstColumn="1" w:lastColumn="0" w:oddVBand="0" w:evenVBand="0" w:oddHBand="0" w:evenHBand="0" w:firstRowFirstColumn="0" w:firstRowLastColumn="0" w:lastRowFirstColumn="0" w:lastRowLastColumn="0"/>
                            <w:tcW w:w="3083" w:type="pct"/>
                            <w:noWrap/>
                            <w:hideMark/>
                          </w:tcPr>
                          <w:p w14:paraId="3153294B" w14:textId="77777777" w:rsidR="003D14AC" w:rsidRPr="00FF639F" w:rsidRDefault="003D14AC" w:rsidP="001A1E04">
                            <w:pPr>
                              <w:rPr>
                                <w:bCs w:val="0"/>
                              </w:rPr>
                            </w:pPr>
                            <w:r w:rsidRPr="00FF639F">
                              <w:rPr>
                                <w:bCs w:val="0"/>
                              </w:rPr>
                              <w:t>Construction and Extraction Occupations</w:t>
                            </w:r>
                          </w:p>
                        </w:tc>
                        <w:tc>
                          <w:tcPr>
                            <w:tcW w:w="845" w:type="pct"/>
                            <w:noWrap/>
                            <w:hideMark/>
                          </w:tcPr>
                          <w:p w14:paraId="5E640167" w14:textId="13249459"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109,570 </w:t>
                            </w:r>
                          </w:p>
                        </w:tc>
                        <w:tc>
                          <w:tcPr>
                            <w:tcW w:w="749" w:type="pct"/>
                            <w:noWrap/>
                            <w:hideMark/>
                          </w:tcPr>
                          <w:p w14:paraId="3D96C07B"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0.5%</w:t>
                            </w:r>
                          </w:p>
                        </w:tc>
                        <w:tc>
                          <w:tcPr>
                            <w:tcW w:w="323" w:type="pct"/>
                            <w:noWrap/>
                            <w:hideMark/>
                          </w:tcPr>
                          <w:p w14:paraId="5B631662" w14:textId="77777777" w:rsidR="003D14AC" w:rsidRPr="00FF639F" w:rsidRDefault="003D14AC" w:rsidP="001A1E04">
                            <w:pPr>
                              <w:keepNext/>
                              <w:jc w:val="right"/>
                              <w:cnfStyle w:val="000000000000" w:firstRow="0" w:lastRow="0" w:firstColumn="0" w:lastColumn="0" w:oddVBand="0" w:evenVBand="0" w:oddHBand="0" w:evenHBand="0" w:firstRowFirstColumn="0" w:firstRowLastColumn="0" w:lastRowFirstColumn="0" w:lastRowLastColumn="0"/>
                            </w:pPr>
                            <w:r w:rsidRPr="00FF639F">
                              <w:t>1.09</w:t>
                            </w:r>
                          </w:p>
                        </w:tc>
                      </w:tr>
                    </w:tbl>
                    <w:p w14:paraId="5EBDB1DB" w14:textId="77777777" w:rsidR="003D14AC" w:rsidRDefault="003D14AC" w:rsidP="00BC68BB">
                      <w:pPr>
                        <w:pStyle w:val="Caption"/>
                      </w:pPr>
                      <w:r>
                        <w:t xml:space="preserve">Table </w:t>
                      </w:r>
                      <w:fldSimple w:instr=" SEQ Table \* ARABIC ">
                        <w:r w:rsidR="00943AA8">
                          <w:rPr>
                            <w:noProof/>
                          </w:rPr>
                          <w:t>5</w:t>
                        </w:r>
                      </w:fldSimple>
                      <w:r>
                        <w:t>: Maryland's Growth Occupations</w:t>
                      </w:r>
                    </w:p>
                    <w:p w14:paraId="2E5D0BBB" w14:textId="77777777" w:rsidR="003D14AC" w:rsidRDefault="003D14AC"/>
                  </w:txbxContent>
                </v:textbox>
              </v:shape>
            </w:pict>
          </mc:Fallback>
        </mc:AlternateContent>
      </w:r>
    </w:p>
    <w:p w14:paraId="6DC5ED4C" w14:textId="77777777" w:rsidR="00393483" w:rsidRPr="004A0C12" w:rsidRDefault="00393483" w:rsidP="00057B5A">
      <w:pPr>
        <w:spacing w:after="0" w:line="240" w:lineRule="auto"/>
        <w:rPr>
          <w:rFonts w:ascii="Garamond" w:hAnsi="Garamond"/>
        </w:rPr>
      </w:pPr>
    </w:p>
    <w:p w14:paraId="5D2D79AA" w14:textId="77777777" w:rsidR="00393483" w:rsidRPr="004A0C12" w:rsidRDefault="00393483" w:rsidP="00057B5A">
      <w:pPr>
        <w:spacing w:after="0" w:line="240" w:lineRule="auto"/>
        <w:rPr>
          <w:rFonts w:ascii="Garamond" w:hAnsi="Garamond"/>
        </w:rPr>
      </w:pPr>
    </w:p>
    <w:p w14:paraId="34A15A48" w14:textId="77777777" w:rsidR="00393483" w:rsidRPr="004A0C12" w:rsidRDefault="00393483" w:rsidP="00057B5A">
      <w:pPr>
        <w:spacing w:after="0" w:line="240" w:lineRule="auto"/>
        <w:rPr>
          <w:rFonts w:ascii="Garamond" w:hAnsi="Garamond"/>
        </w:rPr>
      </w:pPr>
    </w:p>
    <w:p w14:paraId="2D1148BC" w14:textId="77777777" w:rsidR="00393483" w:rsidRPr="004A0C12" w:rsidRDefault="00393483" w:rsidP="00057B5A">
      <w:pPr>
        <w:spacing w:after="0" w:line="240" w:lineRule="auto"/>
        <w:rPr>
          <w:rFonts w:ascii="Garamond" w:hAnsi="Garamond"/>
        </w:rPr>
      </w:pPr>
    </w:p>
    <w:p w14:paraId="0B202034" w14:textId="77777777" w:rsidR="00393483" w:rsidRPr="004A0C12" w:rsidRDefault="00393483" w:rsidP="00057B5A">
      <w:pPr>
        <w:spacing w:after="0" w:line="240" w:lineRule="auto"/>
        <w:rPr>
          <w:rFonts w:ascii="Garamond" w:hAnsi="Garamond"/>
        </w:rPr>
      </w:pPr>
    </w:p>
    <w:p w14:paraId="6A801E70" w14:textId="77777777" w:rsidR="00393483" w:rsidRPr="004A0C12" w:rsidRDefault="00393483" w:rsidP="00057B5A">
      <w:pPr>
        <w:spacing w:after="0" w:line="240" w:lineRule="auto"/>
        <w:rPr>
          <w:rFonts w:ascii="Garamond" w:hAnsi="Garamond"/>
        </w:rPr>
      </w:pPr>
    </w:p>
    <w:p w14:paraId="501CADB1" w14:textId="77777777" w:rsidR="00393483" w:rsidRPr="004A0C12" w:rsidRDefault="00393483" w:rsidP="00057B5A">
      <w:pPr>
        <w:spacing w:after="0" w:line="240" w:lineRule="auto"/>
        <w:rPr>
          <w:rFonts w:ascii="Garamond" w:hAnsi="Garamond"/>
        </w:rPr>
      </w:pPr>
    </w:p>
    <w:p w14:paraId="77403491" w14:textId="77777777" w:rsidR="00393483" w:rsidRPr="004A0C12" w:rsidRDefault="00393483" w:rsidP="00057B5A">
      <w:pPr>
        <w:spacing w:after="0" w:line="240" w:lineRule="auto"/>
        <w:rPr>
          <w:rFonts w:ascii="Garamond" w:hAnsi="Garamond"/>
        </w:rPr>
      </w:pPr>
    </w:p>
    <w:p w14:paraId="037BA4CE" w14:textId="77777777" w:rsidR="00BC68BB" w:rsidRPr="004A0C12" w:rsidRDefault="00BC68BB" w:rsidP="00057B5A">
      <w:pPr>
        <w:spacing w:after="0" w:line="240" w:lineRule="auto"/>
        <w:rPr>
          <w:rFonts w:ascii="Garamond" w:hAnsi="Garamond"/>
        </w:rPr>
      </w:pPr>
    </w:p>
    <w:p w14:paraId="66A3C957" w14:textId="77777777" w:rsidR="00B60621" w:rsidRDefault="00B60621" w:rsidP="00057B5A">
      <w:pPr>
        <w:pStyle w:val="Heading3"/>
        <w:spacing w:before="0" w:line="240" w:lineRule="auto"/>
        <w:rPr>
          <w:rFonts w:ascii="Garamond" w:hAnsi="Garamond"/>
        </w:rPr>
      </w:pPr>
      <w:bookmarkStart w:id="29" w:name="_Toc447276085"/>
    </w:p>
    <w:p w14:paraId="346FEDC4" w14:textId="77777777" w:rsidR="00B60621" w:rsidRDefault="00B60621" w:rsidP="00057B5A">
      <w:pPr>
        <w:pStyle w:val="Heading3"/>
        <w:spacing w:before="0" w:line="240" w:lineRule="auto"/>
        <w:rPr>
          <w:rFonts w:ascii="Garamond" w:hAnsi="Garamond"/>
        </w:rPr>
      </w:pPr>
    </w:p>
    <w:p w14:paraId="450145E7" w14:textId="77777777" w:rsidR="00B60621" w:rsidRDefault="00B60621" w:rsidP="00057B5A">
      <w:pPr>
        <w:pStyle w:val="Heading3"/>
        <w:spacing w:before="0" w:line="240" w:lineRule="auto"/>
        <w:rPr>
          <w:rFonts w:ascii="Garamond" w:hAnsi="Garamond"/>
        </w:rPr>
      </w:pPr>
    </w:p>
    <w:p w14:paraId="5CE3969E" w14:textId="77777777" w:rsidR="00B60621" w:rsidRDefault="00B60621" w:rsidP="00057B5A">
      <w:pPr>
        <w:pStyle w:val="Heading3"/>
        <w:spacing w:before="0" w:line="240" w:lineRule="auto"/>
        <w:rPr>
          <w:rFonts w:ascii="Garamond" w:hAnsi="Garamond"/>
        </w:rPr>
      </w:pPr>
    </w:p>
    <w:p w14:paraId="396E2F87" w14:textId="77777777" w:rsidR="00BC68BB" w:rsidRPr="00B60621" w:rsidRDefault="00BC68BB" w:rsidP="00057B5A">
      <w:pPr>
        <w:pStyle w:val="Heading3"/>
        <w:spacing w:before="0" w:line="240" w:lineRule="auto"/>
        <w:rPr>
          <w:rFonts w:ascii="Garamond" w:hAnsi="Garamond"/>
          <w:sz w:val="24"/>
          <w:szCs w:val="24"/>
        </w:rPr>
      </w:pPr>
      <w:r w:rsidRPr="00B60621">
        <w:rPr>
          <w:rFonts w:ascii="Garamond" w:hAnsi="Garamond"/>
          <w:sz w:val="24"/>
          <w:szCs w:val="24"/>
        </w:rPr>
        <w:t>Emerging Occupations</w:t>
      </w:r>
      <w:bookmarkEnd w:id="29"/>
    </w:p>
    <w:p w14:paraId="75F34065" w14:textId="5FA3F78B" w:rsidR="00393483" w:rsidRPr="004A0C12" w:rsidRDefault="00BC68BB" w:rsidP="00FF639F">
      <w:pPr>
        <w:spacing w:after="0" w:line="240" w:lineRule="auto"/>
        <w:jc w:val="both"/>
        <w:rPr>
          <w:rFonts w:ascii="Garamond" w:hAnsi="Garamond"/>
        </w:rPr>
      </w:pPr>
      <w:r w:rsidRPr="004A0C12">
        <w:rPr>
          <w:rFonts w:ascii="Garamond" w:hAnsi="Garamond"/>
        </w:rPr>
        <w:t>Using the occupational growth from 2011 to 2014 in combination with Location Quotients (LQ) greater less than or equal to one, seven broad types emerging occupations were identified for the state of Maryland (See Table 6).</w:t>
      </w:r>
    </w:p>
    <w:p w14:paraId="627BC650" w14:textId="77777777" w:rsidR="00B60621" w:rsidRDefault="00B60621" w:rsidP="006A5839">
      <w:pPr>
        <w:pStyle w:val="Heading2"/>
        <w:spacing w:before="0" w:line="240" w:lineRule="auto"/>
        <w:rPr>
          <w:rFonts w:ascii="Garamond" w:hAnsi="Garamond"/>
          <w:sz w:val="24"/>
          <w:szCs w:val="24"/>
        </w:rPr>
      </w:pPr>
      <w:bookmarkStart w:id="30" w:name="_Toc440635518"/>
      <w:bookmarkStart w:id="31" w:name="_Toc447276086"/>
    </w:p>
    <w:p w14:paraId="212239B9" w14:textId="36B5EF03" w:rsidR="006A5839" w:rsidRPr="00B60621" w:rsidRDefault="00B60621" w:rsidP="006A5839">
      <w:pPr>
        <w:pStyle w:val="Heading2"/>
        <w:spacing w:before="0" w:line="240" w:lineRule="auto"/>
        <w:rPr>
          <w:rFonts w:ascii="Garamond" w:hAnsi="Garamond"/>
          <w:sz w:val="24"/>
          <w:szCs w:val="24"/>
        </w:rPr>
      </w:pPr>
      <w:r w:rsidRPr="004A0C12">
        <w:rPr>
          <w:rFonts w:ascii="Garamond" w:hAnsi="Garamond"/>
          <w:noProof/>
        </w:rPr>
        <mc:AlternateContent>
          <mc:Choice Requires="wps">
            <w:drawing>
              <wp:anchor distT="0" distB="0" distL="114300" distR="114300" simplePos="0" relativeHeight="251674624" behindDoc="0" locked="0" layoutInCell="1" allowOverlap="1" wp14:anchorId="0C7F2A22" wp14:editId="7C5164E4">
                <wp:simplePos x="0" y="0"/>
                <wp:positionH relativeFrom="column">
                  <wp:posOffset>-62230</wp:posOffset>
                </wp:positionH>
                <wp:positionV relativeFrom="paragraph">
                  <wp:posOffset>85725</wp:posOffset>
                </wp:positionV>
                <wp:extent cx="7028815" cy="1892300"/>
                <wp:effectExtent l="0" t="0" r="19685" b="12700"/>
                <wp:wrapTopAndBottom/>
                <wp:docPr id="30" name="Text Box 30"/>
                <wp:cNvGraphicFramePr/>
                <a:graphic xmlns:a="http://schemas.openxmlformats.org/drawingml/2006/main">
                  <a:graphicData uri="http://schemas.microsoft.com/office/word/2010/wordprocessingShape">
                    <wps:wsp>
                      <wps:cNvSpPr txBox="1"/>
                      <wps:spPr>
                        <a:xfrm>
                          <a:off x="0" y="0"/>
                          <a:ext cx="7028815" cy="1892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4994" w:type="pct"/>
                              <w:tblLook w:val="04A0" w:firstRow="1" w:lastRow="0" w:firstColumn="1" w:lastColumn="0" w:noHBand="0" w:noVBand="1"/>
                              <w:tblCaption w:val="Maryland's Emerging Occupations"/>
                              <w:tblDescription w:val="This table shows Maryland's emerging occupations by: # of employees in 2014; % Change; and Location Quotient. Maryland's emerging occupations include: Arts, Design, Entertainment, Sports, and Media Occupations; Food Preparation and Serving Related Occupations; Personal Care and Service Occupations; Sales and Related Occupations; Office and Administrative Support Occupations; Installation, Maintenance, and Repair Occupations; and, Transportation and Material Moving Occupations.&#10;"/>
                            </w:tblPr>
                            <w:tblGrid>
                              <w:gridCol w:w="7061"/>
                              <w:gridCol w:w="1842"/>
                              <w:gridCol w:w="1308"/>
                              <w:gridCol w:w="778"/>
                            </w:tblGrid>
                            <w:tr w:rsidR="003D14AC" w:rsidRPr="00FF639F" w14:paraId="1CA1D20F" w14:textId="77777777" w:rsidTr="00923B2F">
                              <w:trPr>
                                <w:cnfStyle w:val="100000000000" w:firstRow="1" w:lastRow="0" w:firstColumn="0" w:lastColumn="0" w:oddVBand="0" w:evenVBand="0" w:oddHBand="0" w:evenHBand="0" w:firstRowFirstColumn="0" w:firstRowLastColumn="0" w:lastRowFirstColumn="0" w:lastRowLastColumn="0"/>
                                <w:trHeight w:val="549"/>
                                <w:tblHeader/>
                              </w:trPr>
                              <w:tc>
                                <w:tcPr>
                                  <w:cnfStyle w:val="001000000000" w:firstRow="0" w:lastRow="0" w:firstColumn="1" w:lastColumn="0" w:oddVBand="0" w:evenVBand="0" w:oddHBand="0" w:evenHBand="0" w:firstRowFirstColumn="0" w:firstRowLastColumn="0" w:lastRowFirstColumn="0" w:lastRowLastColumn="0"/>
                                  <w:tcW w:w="3213" w:type="pct"/>
                                  <w:noWrap/>
                                  <w:hideMark/>
                                </w:tcPr>
                                <w:p w14:paraId="55479AC0" w14:textId="77777777" w:rsidR="003D14AC" w:rsidRPr="00FF639F" w:rsidRDefault="003D14AC" w:rsidP="001A1E04">
                                  <w:pPr>
                                    <w:rPr>
                                      <w:bCs w:val="0"/>
                                    </w:rPr>
                                  </w:pPr>
                                  <w:r w:rsidRPr="00FF639F">
                                    <w:rPr>
                                      <w:bCs w:val="0"/>
                                    </w:rPr>
                                    <w:t xml:space="preserve">Occupation Title </w:t>
                                  </w:r>
                                </w:p>
                              </w:tc>
                              <w:tc>
                                <w:tcPr>
                                  <w:tcW w:w="838" w:type="pct"/>
                                  <w:hideMark/>
                                </w:tcPr>
                                <w:p w14:paraId="370899E8"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2014 Employees </w:t>
                                  </w:r>
                                </w:p>
                              </w:tc>
                              <w:tc>
                                <w:tcPr>
                                  <w:tcW w:w="595" w:type="pct"/>
                                  <w:noWrap/>
                                  <w:hideMark/>
                                </w:tcPr>
                                <w:p w14:paraId="6005312C"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Change</w:t>
                                  </w:r>
                                </w:p>
                              </w:tc>
                              <w:tc>
                                <w:tcPr>
                                  <w:tcW w:w="354" w:type="pct"/>
                                  <w:noWrap/>
                                  <w:hideMark/>
                                </w:tcPr>
                                <w:p w14:paraId="423C414C"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LQ </w:t>
                                  </w:r>
                                </w:p>
                              </w:tc>
                            </w:tr>
                            <w:tr w:rsidR="003D14AC" w:rsidRPr="00FF639F" w14:paraId="3C0C5FF3" w14:textId="77777777" w:rsidTr="00FF639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07044DF0" w14:textId="77777777" w:rsidR="003D14AC" w:rsidRPr="00FF639F" w:rsidRDefault="003D14AC" w:rsidP="001A1E04">
                                  <w:pPr>
                                    <w:rPr>
                                      <w:bCs w:val="0"/>
                                    </w:rPr>
                                  </w:pPr>
                                  <w:r w:rsidRPr="00FF639F">
                                    <w:rPr>
                                      <w:bCs w:val="0"/>
                                    </w:rPr>
                                    <w:t>Arts, Design, Entertainment, Sports, and Media Occupations</w:t>
                                  </w:r>
                                </w:p>
                              </w:tc>
                              <w:tc>
                                <w:tcPr>
                                  <w:tcW w:w="838" w:type="pct"/>
                                  <w:noWrap/>
                                  <w:hideMark/>
                                </w:tcPr>
                                <w:p w14:paraId="4B2EA46A" w14:textId="77777777"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31,340 </w:t>
                                  </w:r>
                                </w:p>
                              </w:tc>
                              <w:tc>
                                <w:tcPr>
                                  <w:tcW w:w="595" w:type="pct"/>
                                  <w:noWrap/>
                                  <w:hideMark/>
                                </w:tcPr>
                                <w:p w14:paraId="57664123"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2.6%</w:t>
                                  </w:r>
                                </w:p>
                              </w:tc>
                              <w:tc>
                                <w:tcPr>
                                  <w:tcW w:w="354" w:type="pct"/>
                                  <w:noWrap/>
                                  <w:hideMark/>
                                </w:tcPr>
                                <w:p w14:paraId="08DDB243"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0.92</w:t>
                                  </w:r>
                                </w:p>
                              </w:tc>
                            </w:tr>
                            <w:tr w:rsidR="003D14AC" w:rsidRPr="00FF639F" w14:paraId="0034FC31" w14:textId="77777777" w:rsidTr="00FF639F">
                              <w:trPr>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41C9BC2D" w14:textId="77777777" w:rsidR="003D14AC" w:rsidRPr="00FF639F" w:rsidRDefault="003D14AC" w:rsidP="001A1E04">
                                  <w:pPr>
                                    <w:rPr>
                                      <w:bCs w:val="0"/>
                                    </w:rPr>
                                  </w:pPr>
                                  <w:r w:rsidRPr="00FF639F">
                                    <w:rPr>
                                      <w:bCs w:val="0"/>
                                    </w:rPr>
                                    <w:t>Food Preparation and Serving Related Occupations</w:t>
                                  </w:r>
                                </w:p>
                              </w:tc>
                              <w:tc>
                                <w:tcPr>
                                  <w:tcW w:w="838" w:type="pct"/>
                                  <w:noWrap/>
                                  <w:hideMark/>
                                </w:tcPr>
                                <w:p w14:paraId="7344EE73" w14:textId="77777777"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        211,330 </w:t>
                                  </w:r>
                                </w:p>
                              </w:tc>
                              <w:tc>
                                <w:tcPr>
                                  <w:tcW w:w="595" w:type="pct"/>
                                  <w:noWrap/>
                                  <w:hideMark/>
                                </w:tcPr>
                                <w:p w14:paraId="367CA565"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5.7%</w:t>
                                  </w:r>
                                </w:p>
                              </w:tc>
                              <w:tc>
                                <w:tcPr>
                                  <w:tcW w:w="354" w:type="pct"/>
                                  <w:noWrap/>
                                  <w:hideMark/>
                                </w:tcPr>
                                <w:p w14:paraId="66E1D1A8"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0.91</w:t>
                                  </w:r>
                                </w:p>
                              </w:tc>
                            </w:tr>
                            <w:tr w:rsidR="003D14AC" w:rsidRPr="00FF639F" w14:paraId="5D680AE3" w14:textId="77777777" w:rsidTr="00FF639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0BBB9555" w14:textId="77777777" w:rsidR="003D14AC" w:rsidRPr="00FF639F" w:rsidRDefault="003D14AC" w:rsidP="001A1E04">
                                  <w:pPr>
                                    <w:rPr>
                                      <w:bCs w:val="0"/>
                                    </w:rPr>
                                  </w:pPr>
                                  <w:r w:rsidRPr="00FF639F">
                                    <w:rPr>
                                      <w:bCs w:val="0"/>
                                    </w:rPr>
                                    <w:t>Personal Care and Service Occupations</w:t>
                                  </w:r>
                                </w:p>
                              </w:tc>
                              <w:tc>
                                <w:tcPr>
                                  <w:tcW w:w="838" w:type="pct"/>
                                  <w:noWrap/>
                                  <w:hideMark/>
                                </w:tcPr>
                                <w:p w14:paraId="365C93D4" w14:textId="77777777"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76,440 </w:t>
                                  </w:r>
                                </w:p>
                              </w:tc>
                              <w:tc>
                                <w:tcPr>
                                  <w:tcW w:w="595" w:type="pct"/>
                                  <w:noWrap/>
                                  <w:hideMark/>
                                </w:tcPr>
                                <w:p w14:paraId="18A00BD8"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19.4%</w:t>
                                  </w:r>
                                </w:p>
                              </w:tc>
                              <w:tc>
                                <w:tcPr>
                                  <w:tcW w:w="354" w:type="pct"/>
                                  <w:noWrap/>
                                  <w:hideMark/>
                                </w:tcPr>
                                <w:p w14:paraId="4EF30DDF"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0.97</w:t>
                                  </w:r>
                                </w:p>
                              </w:tc>
                            </w:tr>
                            <w:tr w:rsidR="003D14AC" w:rsidRPr="00FF639F" w14:paraId="3D01F370" w14:textId="77777777" w:rsidTr="00FF639F">
                              <w:trPr>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7B768F5C" w14:textId="77777777" w:rsidR="003D14AC" w:rsidRPr="00FF639F" w:rsidRDefault="003D14AC" w:rsidP="001A1E04">
                                  <w:pPr>
                                    <w:rPr>
                                      <w:bCs w:val="0"/>
                                    </w:rPr>
                                  </w:pPr>
                                  <w:r w:rsidRPr="00FF639F">
                                    <w:rPr>
                                      <w:bCs w:val="0"/>
                                    </w:rPr>
                                    <w:t>Sales and Related Occupations</w:t>
                                  </w:r>
                                </w:p>
                              </w:tc>
                              <w:tc>
                                <w:tcPr>
                                  <w:tcW w:w="838" w:type="pct"/>
                                  <w:noWrap/>
                                  <w:hideMark/>
                                </w:tcPr>
                                <w:p w14:paraId="0E66C804" w14:textId="77777777"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        256,510 </w:t>
                                  </w:r>
                                </w:p>
                              </w:tc>
                              <w:tc>
                                <w:tcPr>
                                  <w:tcW w:w="595" w:type="pct"/>
                                  <w:noWrap/>
                                  <w:hideMark/>
                                </w:tcPr>
                                <w:p w14:paraId="18140438"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4.8%</w:t>
                                  </w:r>
                                </w:p>
                              </w:tc>
                              <w:tc>
                                <w:tcPr>
                                  <w:tcW w:w="354" w:type="pct"/>
                                  <w:noWrap/>
                                  <w:hideMark/>
                                </w:tcPr>
                                <w:p w14:paraId="52F285C0"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0.95</w:t>
                                  </w:r>
                                </w:p>
                              </w:tc>
                            </w:tr>
                            <w:tr w:rsidR="003D14AC" w:rsidRPr="00FF639F" w14:paraId="61AC42FB" w14:textId="77777777" w:rsidTr="00FF639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0EE4DD9E" w14:textId="77777777" w:rsidR="003D14AC" w:rsidRPr="00FF639F" w:rsidRDefault="003D14AC" w:rsidP="001A1E04">
                                  <w:pPr>
                                    <w:rPr>
                                      <w:bCs w:val="0"/>
                                    </w:rPr>
                                  </w:pPr>
                                  <w:r w:rsidRPr="00FF639F">
                                    <w:rPr>
                                      <w:bCs w:val="0"/>
                                    </w:rPr>
                                    <w:t>Office and Administrative Support Occupations</w:t>
                                  </w:r>
                                </w:p>
                              </w:tc>
                              <w:tc>
                                <w:tcPr>
                                  <w:tcW w:w="838" w:type="pct"/>
                                  <w:noWrap/>
                                  <w:hideMark/>
                                </w:tcPr>
                                <w:p w14:paraId="7D16A646" w14:textId="77777777"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403,680 </w:t>
                                  </w:r>
                                </w:p>
                              </w:tc>
                              <w:tc>
                                <w:tcPr>
                                  <w:tcW w:w="595" w:type="pct"/>
                                  <w:noWrap/>
                                  <w:hideMark/>
                                </w:tcPr>
                                <w:p w14:paraId="68F5CE41"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0.3%</w:t>
                                  </w:r>
                                </w:p>
                              </w:tc>
                              <w:tc>
                                <w:tcPr>
                                  <w:tcW w:w="354" w:type="pct"/>
                                  <w:noWrap/>
                                  <w:hideMark/>
                                </w:tcPr>
                                <w:p w14:paraId="38F67326"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0.99</w:t>
                                  </w:r>
                                </w:p>
                              </w:tc>
                            </w:tr>
                            <w:tr w:rsidR="003D14AC" w:rsidRPr="00FF639F" w14:paraId="4C3F0450" w14:textId="77777777" w:rsidTr="00FF639F">
                              <w:trPr>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289290A5" w14:textId="77777777" w:rsidR="003D14AC" w:rsidRPr="00FF639F" w:rsidRDefault="003D14AC" w:rsidP="001A1E04">
                                  <w:pPr>
                                    <w:rPr>
                                      <w:bCs w:val="0"/>
                                    </w:rPr>
                                  </w:pPr>
                                  <w:r w:rsidRPr="00FF639F">
                                    <w:rPr>
                                      <w:bCs w:val="0"/>
                                    </w:rPr>
                                    <w:t>Installation, Maintenance, and Repair Occupations</w:t>
                                  </w:r>
                                </w:p>
                              </w:tc>
                              <w:tc>
                                <w:tcPr>
                                  <w:tcW w:w="838" w:type="pct"/>
                                  <w:noWrap/>
                                  <w:hideMark/>
                                </w:tcPr>
                                <w:p w14:paraId="19C3CE47" w14:textId="77777777"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           99,100 </w:t>
                                  </w:r>
                                </w:p>
                              </w:tc>
                              <w:tc>
                                <w:tcPr>
                                  <w:tcW w:w="595" w:type="pct"/>
                                  <w:noWrap/>
                                  <w:hideMark/>
                                </w:tcPr>
                                <w:p w14:paraId="07CD4673"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6.0%</w:t>
                                  </w:r>
                                </w:p>
                              </w:tc>
                              <w:tc>
                                <w:tcPr>
                                  <w:tcW w:w="354" w:type="pct"/>
                                  <w:noWrap/>
                                  <w:hideMark/>
                                </w:tcPr>
                                <w:p w14:paraId="69145648"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w:t>
                                  </w:r>
                                </w:p>
                              </w:tc>
                            </w:tr>
                            <w:tr w:rsidR="003D14AC" w:rsidRPr="00FF639F" w14:paraId="02D03C3C" w14:textId="77777777" w:rsidTr="00FF639F">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213" w:type="pct"/>
                                  <w:noWrap/>
                                  <w:hideMark/>
                                </w:tcPr>
                                <w:p w14:paraId="28954A14" w14:textId="77777777" w:rsidR="003D14AC" w:rsidRPr="00FF639F" w:rsidRDefault="003D14AC" w:rsidP="001A1E04">
                                  <w:pPr>
                                    <w:rPr>
                                      <w:bCs w:val="0"/>
                                    </w:rPr>
                                  </w:pPr>
                                  <w:r w:rsidRPr="00FF639F">
                                    <w:rPr>
                                      <w:bCs w:val="0"/>
                                    </w:rPr>
                                    <w:t>Transportation and Material Moving Occupations</w:t>
                                  </w:r>
                                </w:p>
                              </w:tc>
                              <w:tc>
                                <w:tcPr>
                                  <w:tcW w:w="838" w:type="pct"/>
                                  <w:noWrap/>
                                  <w:hideMark/>
                                </w:tcPr>
                                <w:p w14:paraId="0247B304" w14:textId="77777777"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151,840 </w:t>
                                  </w:r>
                                </w:p>
                              </w:tc>
                              <w:tc>
                                <w:tcPr>
                                  <w:tcW w:w="595" w:type="pct"/>
                                  <w:noWrap/>
                                  <w:hideMark/>
                                </w:tcPr>
                                <w:p w14:paraId="13AB5A73"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12.8%</w:t>
                                  </w:r>
                                </w:p>
                              </w:tc>
                              <w:tc>
                                <w:tcPr>
                                  <w:tcW w:w="354" w:type="pct"/>
                                  <w:noWrap/>
                                  <w:hideMark/>
                                </w:tcPr>
                                <w:p w14:paraId="2FB9B7E3" w14:textId="77777777" w:rsidR="003D14AC" w:rsidRPr="00FF639F" w:rsidRDefault="003D14AC" w:rsidP="001A1E04">
                                  <w:pPr>
                                    <w:keepNext/>
                                    <w:jc w:val="right"/>
                                    <w:cnfStyle w:val="000000100000" w:firstRow="0" w:lastRow="0" w:firstColumn="0" w:lastColumn="0" w:oddVBand="0" w:evenVBand="0" w:oddHBand="1" w:evenHBand="0" w:firstRowFirstColumn="0" w:firstRowLastColumn="0" w:lastRowFirstColumn="0" w:lastRowLastColumn="0"/>
                                  </w:pPr>
                                  <w:r w:rsidRPr="00FF639F">
                                    <w:t>0.87</w:t>
                                  </w:r>
                                </w:p>
                              </w:tc>
                            </w:tr>
                          </w:tbl>
                          <w:p w14:paraId="09A38931" w14:textId="77777777" w:rsidR="003D14AC" w:rsidRPr="001F36C0" w:rsidRDefault="003D14AC" w:rsidP="00BC68BB">
                            <w:pPr>
                              <w:pStyle w:val="Caption"/>
                              <w:rPr>
                                <w:b/>
                              </w:rPr>
                            </w:pPr>
                            <w:r>
                              <w:t xml:space="preserve">Table </w:t>
                            </w:r>
                            <w:fldSimple w:instr=" SEQ Table \* ARABIC ">
                              <w:r w:rsidR="00943AA8">
                                <w:rPr>
                                  <w:noProof/>
                                </w:rPr>
                                <w:t>6</w:t>
                              </w:r>
                            </w:fldSimple>
                            <w:r>
                              <w:t>: Maryland's Emerging Occupations</w:t>
                            </w:r>
                          </w:p>
                          <w:p w14:paraId="61D2C38A"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37" type="#_x0000_t202" style="position:absolute;margin-left:-4.9pt;margin-top:6.75pt;width:553.45pt;height:149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" fillcolor="white [3201]" strokeweight=".5pt">
                <v:textbox>
                  <w:txbxContent>
                    <w:tbl>
                      <w:tblPr>
                        <w:tblStyle w:val="PlainTable11"/>
                        <w:tblW w:w="4994" w:type="pct"/>
                        <w:tblLook w:val="04A0" w:firstRow="1" w:lastRow="0" w:firstColumn="1" w:lastColumn="0" w:noHBand="0" w:noVBand="1"/>
                        <w:tblCaption w:val="Maryland's Emerging Occupations"/>
                        <w:tblDescription w:val="This table shows Maryland's emerging occupations by: # of employees in 2014; % Change; and Location Quotient. Maryland's emerging occupations include: Arts, Design, Entertainment, Sports, and Media Occupations; Food Preparation and Serving Related Occupations; Personal Care and Service Occupations; Sales and Related Occupations; Office and Administrative Support Occupations; Installation, Maintenance, and Repair Occupations; and, Transportation and Material Moving Occupations.&#10;"/>
                      </w:tblPr>
                      <w:tblGrid>
                        <w:gridCol w:w="7061"/>
                        <w:gridCol w:w="1842"/>
                        <w:gridCol w:w="1308"/>
                        <w:gridCol w:w="778"/>
                      </w:tblGrid>
                      <w:tr w:rsidR="003D14AC" w:rsidRPr="00FF639F" w14:paraId="1CA1D20F" w14:textId="77777777" w:rsidTr="00923B2F">
                        <w:trPr>
                          <w:cnfStyle w:val="100000000000" w:firstRow="1" w:lastRow="0" w:firstColumn="0" w:lastColumn="0" w:oddVBand="0" w:evenVBand="0" w:oddHBand="0" w:evenHBand="0" w:firstRowFirstColumn="0" w:firstRowLastColumn="0" w:lastRowFirstColumn="0" w:lastRowLastColumn="0"/>
                          <w:trHeight w:val="549"/>
                          <w:tblHeader/>
                        </w:trPr>
                        <w:tc>
                          <w:tcPr>
                            <w:cnfStyle w:val="001000000000" w:firstRow="0" w:lastRow="0" w:firstColumn="1" w:lastColumn="0" w:oddVBand="0" w:evenVBand="0" w:oddHBand="0" w:evenHBand="0" w:firstRowFirstColumn="0" w:firstRowLastColumn="0" w:lastRowFirstColumn="0" w:lastRowLastColumn="0"/>
                            <w:tcW w:w="3213" w:type="pct"/>
                            <w:noWrap/>
                            <w:hideMark/>
                          </w:tcPr>
                          <w:p w14:paraId="55479AC0" w14:textId="77777777" w:rsidR="003D14AC" w:rsidRPr="00FF639F" w:rsidRDefault="003D14AC" w:rsidP="001A1E04">
                            <w:pPr>
                              <w:rPr>
                                <w:bCs w:val="0"/>
                              </w:rPr>
                            </w:pPr>
                            <w:r w:rsidRPr="00FF639F">
                              <w:rPr>
                                <w:bCs w:val="0"/>
                              </w:rPr>
                              <w:t xml:space="preserve">Occupation Title </w:t>
                            </w:r>
                          </w:p>
                        </w:tc>
                        <w:tc>
                          <w:tcPr>
                            <w:tcW w:w="838" w:type="pct"/>
                            <w:hideMark/>
                          </w:tcPr>
                          <w:p w14:paraId="370899E8"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2014 Employees </w:t>
                            </w:r>
                          </w:p>
                        </w:tc>
                        <w:tc>
                          <w:tcPr>
                            <w:tcW w:w="595" w:type="pct"/>
                            <w:noWrap/>
                            <w:hideMark/>
                          </w:tcPr>
                          <w:p w14:paraId="6005312C"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Change</w:t>
                            </w:r>
                          </w:p>
                        </w:tc>
                        <w:tc>
                          <w:tcPr>
                            <w:tcW w:w="354" w:type="pct"/>
                            <w:noWrap/>
                            <w:hideMark/>
                          </w:tcPr>
                          <w:p w14:paraId="423C414C" w14:textId="77777777" w:rsidR="003D14AC" w:rsidRPr="00FF639F" w:rsidRDefault="003D14AC" w:rsidP="001A1E04">
                            <w:pPr>
                              <w:cnfStyle w:val="100000000000" w:firstRow="1" w:lastRow="0" w:firstColumn="0" w:lastColumn="0" w:oddVBand="0" w:evenVBand="0" w:oddHBand="0" w:evenHBand="0" w:firstRowFirstColumn="0" w:firstRowLastColumn="0" w:lastRowFirstColumn="0" w:lastRowLastColumn="0"/>
                              <w:rPr>
                                <w:bCs w:val="0"/>
                              </w:rPr>
                            </w:pPr>
                            <w:r w:rsidRPr="00FF639F">
                              <w:rPr>
                                <w:bCs w:val="0"/>
                              </w:rPr>
                              <w:t xml:space="preserve">LQ </w:t>
                            </w:r>
                          </w:p>
                        </w:tc>
                      </w:tr>
                      <w:tr w:rsidR="003D14AC" w:rsidRPr="00FF639F" w14:paraId="3C0C5FF3" w14:textId="77777777" w:rsidTr="00FF639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07044DF0" w14:textId="77777777" w:rsidR="003D14AC" w:rsidRPr="00FF639F" w:rsidRDefault="003D14AC" w:rsidP="001A1E04">
                            <w:pPr>
                              <w:rPr>
                                <w:bCs w:val="0"/>
                              </w:rPr>
                            </w:pPr>
                            <w:r w:rsidRPr="00FF639F">
                              <w:rPr>
                                <w:bCs w:val="0"/>
                              </w:rPr>
                              <w:t>Arts, Design, Entertainment, Sports, and Media Occupations</w:t>
                            </w:r>
                          </w:p>
                        </w:tc>
                        <w:tc>
                          <w:tcPr>
                            <w:tcW w:w="838" w:type="pct"/>
                            <w:noWrap/>
                            <w:hideMark/>
                          </w:tcPr>
                          <w:p w14:paraId="4B2EA46A" w14:textId="77777777"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31,340 </w:t>
                            </w:r>
                          </w:p>
                        </w:tc>
                        <w:tc>
                          <w:tcPr>
                            <w:tcW w:w="595" w:type="pct"/>
                            <w:noWrap/>
                            <w:hideMark/>
                          </w:tcPr>
                          <w:p w14:paraId="57664123"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2.6%</w:t>
                            </w:r>
                          </w:p>
                        </w:tc>
                        <w:tc>
                          <w:tcPr>
                            <w:tcW w:w="354" w:type="pct"/>
                            <w:noWrap/>
                            <w:hideMark/>
                          </w:tcPr>
                          <w:p w14:paraId="08DDB243"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0.92</w:t>
                            </w:r>
                          </w:p>
                        </w:tc>
                      </w:tr>
                      <w:tr w:rsidR="003D14AC" w:rsidRPr="00FF639F" w14:paraId="0034FC31" w14:textId="77777777" w:rsidTr="00FF639F">
                        <w:trPr>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41C9BC2D" w14:textId="77777777" w:rsidR="003D14AC" w:rsidRPr="00FF639F" w:rsidRDefault="003D14AC" w:rsidP="001A1E04">
                            <w:pPr>
                              <w:rPr>
                                <w:bCs w:val="0"/>
                              </w:rPr>
                            </w:pPr>
                            <w:r w:rsidRPr="00FF639F">
                              <w:rPr>
                                <w:bCs w:val="0"/>
                              </w:rPr>
                              <w:t>Food Preparation and Serving Related Occupations</w:t>
                            </w:r>
                          </w:p>
                        </w:tc>
                        <w:tc>
                          <w:tcPr>
                            <w:tcW w:w="838" w:type="pct"/>
                            <w:noWrap/>
                            <w:hideMark/>
                          </w:tcPr>
                          <w:p w14:paraId="7344EE73" w14:textId="77777777"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        211,330 </w:t>
                            </w:r>
                          </w:p>
                        </w:tc>
                        <w:tc>
                          <w:tcPr>
                            <w:tcW w:w="595" w:type="pct"/>
                            <w:noWrap/>
                            <w:hideMark/>
                          </w:tcPr>
                          <w:p w14:paraId="367CA565"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5.7%</w:t>
                            </w:r>
                          </w:p>
                        </w:tc>
                        <w:tc>
                          <w:tcPr>
                            <w:tcW w:w="354" w:type="pct"/>
                            <w:noWrap/>
                            <w:hideMark/>
                          </w:tcPr>
                          <w:p w14:paraId="66E1D1A8"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0.91</w:t>
                            </w:r>
                          </w:p>
                        </w:tc>
                      </w:tr>
                      <w:tr w:rsidR="003D14AC" w:rsidRPr="00FF639F" w14:paraId="5D680AE3" w14:textId="77777777" w:rsidTr="00FF639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0BBB9555" w14:textId="77777777" w:rsidR="003D14AC" w:rsidRPr="00FF639F" w:rsidRDefault="003D14AC" w:rsidP="001A1E04">
                            <w:pPr>
                              <w:rPr>
                                <w:bCs w:val="0"/>
                              </w:rPr>
                            </w:pPr>
                            <w:r w:rsidRPr="00FF639F">
                              <w:rPr>
                                <w:bCs w:val="0"/>
                              </w:rPr>
                              <w:t>Personal Care and Service Occupations</w:t>
                            </w:r>
                          </w:p>
                        </w:tc>
                        <w:tc>
                          <w:tcPr>
                            <w:tcW w:w="838" w:type="pct"/>
                            <w:noWrap/>
                            <w:hideMark/>
                          </w:tcPr>
                          <w:p w14:paraId="365C93D4" w14:textId="77777777"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76,440 </w:t>
                            </w:r>
                          </w:p>
                        </w:tc>
                        <w:tc>
                          <w:tcPr>
                            <w:tcW w:w="595" w:type="pct"/>
                            <w:noWrap/>
                            <w:hideMark/>
                          </w:tcPr>
                          <w:p w14:paraId="18A00BD8"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19.4%</w:t>
                            </w:r>
                          </w:p>
                        </w:tc>
                        <w:tc>
                          <w:tcPr>
                            <w:tcW w:w="354" w:type="pct"/>
                            <w:noWrap/>
                            <w:hideMark/>
                          </w:tcPr>
                          <w:p w14:paraId="4EF30DDF"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0.97</w:t>
                            </w:r>
                          </w:p>
                        </w:tc>
                      </w:tr>
                      <w:tr w:rsidR="003D14AC" w:rsidRPr="00FF639F" w14:paraId="3D01F370" w14:textId="77777777" w:rsidTr="00FF639F">
                        <w:trPr>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7B768F5C" w14:textId="77777777" w:rsidR="003D14AC" w:rsidRPr="00FF639F" w:rsidRDefault="003D14AC" w:rsidP="001A1E04">
                            <w:pPr>
                              <w:rPr>
                                <w:bCs w:val="0"/>
                              </w:rPr>
                            </w:pPr>
                            <w:r w:rsidRPr="00FF639F">
                              <w:rPr>
                                <w:bCs w:val="0"/>
                              </w:rPr>
                              <w:t>Sales and Related Occupations</w:t>
                            </w:r>
                          </w:p>
                        </w:tc>
                        <w:tc>
                          <w:tcPr>
                            <w:tcW w:w="838" w:type="pct"/>
                            <w:noWrap/>
                            <w:hideMark/>
                          </w:tcPr>
                          <w:p w14:paraId="0E66C804" w14:textId="77777777"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        256,510 </w:t>
                            </w:r>
                          </w:p>
                        </w:tc>
                        <w:tc>
                          <w:tcPr>
                            <w:tcW w:w="595" w:type="pct"/>
                            <w:noWrap/>
                            <w:hideMark/>
                          </w:tcPr>
                          <w:p w14:paraId="18140438"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4.8%</w:t>
                            </w:r>
                          </w:p>
                        </w:tc>
                        <w:tc>
                          <w:tcPr>
                            <w:tcW w:w="354" w:type="pct"/>
                            <w:noWrap/>
                            <w:hideMark/>
                          </w:tcPr>
                          <w:p w14:paraId="52F285C0"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0.95</w:t>
                            </w:r>
                          </w:p>
                        </w:tc>
                      </w:tr>
                      <w:tr w:rsidR="003D14AC" w:rsidRPr="00FF639F" w14:paraId="61AC42FB" w14:textId="77777777" w:rsidTr="00FF639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0EE4DD9E" w14:textId="77777777" w:rsidR="003D14AC" w:rsidRPr="00FF639F" w:rsidRDefault="003D14AC" w:rsidP="001A1E04">
                            <w:pPr>
                              <w:rPr>
                                <w:bCs w:val="0"/>
                              </w:rPr>
                            </w:pPr>
                            <w:r w:rsidRPr="00FF639F">
                              <w:rPr>
                                <w:bCs w:val="0"/>
                              </w:rPr>
                              <w:t>Office and Administrative Support Occupations</w:t>
                            </w:r>
                          </w:p>
                        </w:tc>
                        <w:tc>
                          <w:tcPr>
                            <w:tcW w:w="838" w:type="pct"/>
                            <w:noWrap/>
                            <w:hideMark/>
                          </w:tcPr>
                          <w:p w14:paraId="7D16A646" w14:textId="77777777"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403,680 </w:t>
                            </w:r>
                          </w:p>
                        </w:tc>
                        <w:tc>
                          <w:tcPr>
                            <w:tcW w:w="595" w:type="pct"/>
                            <w:noWrap/>
                            <w:hideMark/>
                          </w:tcPr>
                          <w:p w14:paraId="68F5CE41"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0.3%</w:t>
                            </w:r>
                          </w:p>
                        </w:tc>
                        <w:tc>
                          <w:tcPr>
                            <w:tcW w:w="354" w:type="pct"/>
                            <w:noWrap/>
                            <w:hideMark/>
                          </w:tcPr>
                          <w:p w14:paraId="38F67326"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0.99</w:t>
                            </w:r>
                          </w:p>
                        </w:tc>
                      </w:tr>
                      <w:tr w:rsidR="003D14AC" w:rsidRPr="00FF639F" w14:paraId="4C3F0450" w14:textId="77777777" w:rsidTr="00FF639F">
                        <w:trPr>
                          <w:trHeight w:val="268"/>
                        </w:trPr>
                        <w:tc>
                          <w:tcPr>
                            <w:cnfStyle w:val="001000000000" w:firstRow="0" w:lastRow="0" w:firstColumn="1" w:lastColumn="0" w:oddVBand="0" w:evenVBand="0" w:oddHBand="0" w:evenHBand="0" w:firstRowFirstColumn="0" w:firstRowLastColumn="0" w:lastRowFirstColumn="0" w:lastRowLastColumn="0"/>
                            <w:tcW w:w="3213" w:type="pct"/>
                            <w:noWrap/>
                            <w:hideMark/>
                          </w:tcPr>
                          <w:p w14:paraId="289290A5" w14:textId="77777777" w:rsidR="003D14AC" w:rsidRPr="00FF639F" w:rsidRDefault="003D14AC" w:rsidP="001A1E04">
                            <w:pPr>
                              <w:rPr>
                                <w:bCs w:val="0"/>
                              </w:rPr>
                            </w:pPr>
                            <w:r w:rsidRPr="00FF639F">
                              <w:rPr>
                                <w:bCs w:val="0"/>
                              </w:rPr>
                              <w:t>Installation, Maintenance, and Repair Occupations</w:t>
                            </w:r>
                          </w:p>
                        </w:tc>
                        <w:tc>
                          <w:tcPr>
                            <w:tcW w:w="838" w:type="pct"/>
                            <w:noWrap/>
                            <w:hideMark/>
                          </w:tcPr>
                          <w:p w14:paraId="19C3CE47" w14:textId="77777777" w:rsidR="003D14AC" w:rsidRPr="00FF639F" w:rsidRDefault="003D14AC" w:rsidP="00FF639F">
                            <w:pPr>
                              <w:jc w:val="right"/>
                              <w:cnfStyle w:val="000000000000" w:firstRow="0" w:lastRow="0" w:firstColumn="0" w:lastColumn="0" w:oddVBand="0" w:evenVBand="0" w:oddHBand="0" w:evenHBand="0" w:firstRowFirstColumn="0" w:firstRowLastColumn="0" w:lastRowFirstColumn="0" w:lastRowLastColumn="0"/>
                            </w:pPr>
                            <w:r w:rsidRPr="00FF639F">
                              <w:t xml:space="preserve">           99,100 </w:t>
                            </w:r>
                          </w:p>
                        </w:tc>
                        <w:tc>
                          <w:tcPr>
                            <w:tcW w:w="595" w:type="pct"/>
                            <w:noWrap/>
                            <w:hideMark/>
                          </w:tcPr>
                          <w:p w14:paraId="07CD4673"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6.0%</w:t>
                            </w:r>
                          </w:p>
                        </w:tc>
                        <w:tc>
                          <w:tcPr>
                            <w:tcW w:w="354" w:type="pct"/>
                            <w:noWrap/>
                            <w:hideMark/>
                          </w:tcPr>
                          <w:p w14:paraId="69145648" w14:textId="77777777" w:rsidR="003D14AC" w:rsidRPr="00FF639F" w:rsidRDefault="003D14AC" w:rsidP="001A1E04">
                            <w:pPr>
                              <w:jc w:val="right"/>
                              <w:cnfStyle w:val="000000000000" w:firstRow="0" w:lastRow="0" w:firstColumn="0" w:lastColumn="0" w:oddVBand="0" w:evenVBand="0" w:oddHBand="0" w:evenHBand="0" w:firstRowFirstColumn="0" w:firstRowLastColumn="0" w:lastRowFirstColumn="0" w:lastRowLastColumn="0"/>
                            </w:pPr>
                            <w:r w:rsidRPr="00FF639F">
                              <w:t>1</w:t>
                            </w:r>
                          </w:p>
                        </w:tc>
                      </w:tr>
                      <w:tr w:rsidR="003D14AC" w:rsidRPr="00FF639F" w14:paraId="02D03C3C" w14:textId="77777777" w:rsidTr="00FF639F">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213" w:type="pct"/>
                            <w:noWrap/>
                            <w:hideMark/>
                          </w:tcPr>
                          <w:p w14:paraId="28954A14" w14:textId="77777777" w:rsidR="003D14AC" w:rsidRPr="00FF639F" w:rsidRDefault="003D14AC" w:rsidP="001A1E04">
                            <w:pPr>
                              <w:rPr>
                                <w:bCs w:val="0"/>
                              </w:rPr>
                            </w:pPr>
                            <w:r w:rsidRPr="00FF639F">
                              <w:rPr>
                                <w:bCs w:val="0"/>
                              </w:rPr>
                              <w:t>Transportation and Material Moving Occupations</w:t>
                            </w:r>
                          </w:p>
                        </w:tc>
                        <w:tc>
                          <w:tcPr>
                            <w:tcW w:w="838" w:type="pct"/>
                            <w:noWrap/>
                            <w:hideMark/>
                          </w:tcPr>
                          <w:p w14:paraId="0247B304" w14:textId="77777777" w:rsidR="003D14AC" w:rsidRPr="00FF639F" w:rsidRDefault="003D14AC" w:rsidP="00FF639F">
                            <w:pPr>
                              <w:jc w:val="right"/>
                              <w:cnfStyle w:val="000000100000" w:firstRow="0" w:lastRow="0" w:firstColumn="0" w:lastColumn="0" w:oddVBand="0" w:evenVBand="0" w:oddHBand="1" w:evenHBand="0" w:firstRowFirstColumn="0" w:firstRowLastColumn="0" w:lastRowFirstColumn="0" w:lastRowLastColumn="0"/>
                            </w:pPr>
                            <w:r w:rsidRPr="00FF639F">
                              <w:t xml:space="preserve">        151,840 </w:t>
                            </w:r>
                          </w:p>
                        </w:tc>
                        <w:tc>
                          <w:tcPr>
                            <w:tcW w:w="595" w:type="pct"/>
                            <w:noWrap/>
                            <w:hideMark/>
                          </w:tcPr>
                          <w:p w14:paraId="13AB5A73" w14:textId="77777777" w:rsidR="003D14AC" w:rsidRPr="00FF639F" w:rsidRDefault="003D14AC" w:rsidP="001A1E04">
                            <w:pPr>
                              <w:jc w:val="right"/>
                              <w:cnfStyle w:val="000000100000" w:firstRow="0" w:lastRow="0" w:firstColumn="0" w:lastColumn="0" w:oddVBand="0" w:evenVBand="0" w:oddHBand="1" w:evenHBand="0" w:firstRowFirstColumn="0" w:firstRowLastColumn="0" w:lastRowFirstColumn="0" w:lastRowLastColumn="0"/>
                            </w:pPr>
                            <w:r w:rsidRPr="00FF639F">
                              <w:t>12.8%</w:t>
                            </w:r>
                          </w:p>
                        </w:tc>
                        <w:tc>
                          <w:tcPr>
                            <w:tcW w:w="354" w:type="pct"/>
                            <w:noWrap/>
                            <w:hideMark/>
                          </w:tcPr>
                          <w:p w14:paraId="2FB9B7E3" w14:textId="77777777" w:rsidR="003D14AC" w:rsidRPr="00FF639F" w:rsidRDefault="003D14AC" w:rsidP="001A1E04">
                            <w:pPr>
                              <w:keepNext/>
                              <w:jc w:val="right"/>
                              <w:cnfStyle w:val="000000100000" w:firstRow="0" w:lastRow="0" w:firstColumn="0" w:lastColumn="0" w:oddVBand="0" w:evenVBand="0" w:oddHBand="1" w:evenHBand="0" w:firstRowFirstColumn="0" w:firstRowLastColumn="0" w:lastRowFirstColumn="0" w:lastRowLastColumn="0"/>
                            </w:pPr>
                            <w:r w:rsidRPr="00FF639F">
                              <w:t>0.87</w:t>
                            </w:r>
                          </w:p>
                        </w:tc>
                      </w:tr>
                    </w:tbl>
                    <w:p w14:paraId="09A38931" w14:textId="77777777" w:rsidR="003D14AC" w:rsidRPr="001F36C0" w:rsidRDefault="003D14AC" w:rsidP="00BC68BB">
                      <w:pPr>
                        <w:pStyle w:val="Caption"/>
                        <w:rPr>
                          <w:b/>
                        </w:rPr>
                      </w:pPr>
                      <w:r>
                        <w:t xml:space="preserve">Table </w:t>
                      </w:r>
                      <w:fldSimple w:instr=" SEQ Table \* ARABIC ">
                        <w:r w:rsidR="00943AA8">
                          <w:rPr>
                            <w:noProof/>
                          </w:rPr>
                          <w:t>6</w:t>
                        </w:r>
                      </w:fldSimple>
                      <w:r>
                        <w:t>: Maryland's Emerging Occupations</w:t>
                      </w:r>
                    </w:p>
                    <w:p w14:paraId="61D2C38A" w14:textId="77777777" w:rsidR="003D14AC" w:rsidRDefault="003D14AC"/>
                  </w:txbxContent>
                </v:textbox>
                <w10:wrap type="topAndBottom"/>
              </v:shape>
            </w:pict>
          </mc:Fallback>
        </mc:AlternateContent>
      </w:r>
      <w:bookmarkEnd w:id="30"/>
      <w:bookmarkEnd w:id="31"/>
    </w:p>
    <w:p w14:paraId="0E26A727" w14:textId="1F4ADE7A" w:rsidR="00B60621" w:rsidRPr="00B60621" w:rsidRDefault="00B60621" w:rsidP="003865ED">
      <w:pPr>
        <w:pStyle w:val="NormalWeb"/>
        <w:spacing w:before="0" w:beforeAutospacing="0" w:afterAutospacing="0"/>
        <w:rPr>
          <w:rFonts w:ascii="Garamond" w:hAnsi="Garamond"/>
          <w:b/>
          <w:color w:val="0070C0"/>
        </w:rPr>
      </w:pPr>
      <w:r w:rsidRPr="00B60621">
        <w:rPr>
          <w:rFonts w:ascii="Garamond" w:hAnsi="Garamond"/>
          <w:b/>
          <w:color w:val="0070C0"/>
        </w:rPr>
        <w:t>Employers’ Employment Needs</w:t>
      </w:r>
    </w:p>
    <w:p w14:paraId="3C0CFF9E" w14:textId="77777777" w:rsidR="003865ED" w:rsidRDefault="006A5839" w:rsidP="003865ED">
      <w:pPr>
        <w:pStyle w:val="NormalWeb"/>
        <w:spacing w:before="0" w:beforeAutospacing="0" w:afterAutospacing="0"/>
        <w:rPr>
          <w:rFonts w:ascii="Garamond" w:hAnsi="Garamond"/>
          <w:color w:val="000000"/>
          <w:sz w:val="22"/>
          <w:szCs w:val="22"/>
        </w:rPr>
      </w:pPr>
      <w:r w:rsidRPr="004A0C12">
        <w:rPr>
          <w:rFonts w:ascii="Garamond" w:hAnsi="Garamond"/>
          <w:sz w:val="22"/>
          <w:szCs w:val="22"/>
        </w:rPr>
        <w:t>Based on real-time Labor Market Information (LMI), the top 10 occupations by number of job openings advertised online</w:t>
      </w:r>
      <w:r w:rsidR="003865ED" w:rsidRPr="004A0C12">
        <w:rPr>
          <w:rFonts w:ascii="Garamond" w:hAnsi="Garamond"/>
          <w:sz w:val="22"/>
          <w:szCs w:val="22"/>
        </w:rPr>
        <w:t xml:space="preserve"> through the Maryland Workforce Exchange, the State’s Job Bank. </w:t>
      </w:r>
      <w:r w:rsidR="003865ED" w:rsidRPr="004A0C12">
        <w:rPr>
          <w:rFonts w:ascii="Garamond" w:hAnsi="Garamond"/>
          <w:color w:val="000000"/>
          <w:sz w:val="22"/>
          <w:szCs w:val="22"/>
        </w:rPr>
        <w:t>The charts provided are based on annual data obtained from the Maryland Workforce Exchange during 2015. The State has established the WIOA Alignment Group. This body consists of the leadership of State agency partners and local areas. It serves to provide a collaborative forum for the discussion of implementation and alignment efforts, and to address the progress and opportunities for improvement throughout the system, reviewing the real-time LMI generated by the Maryland Workforce Exchange. The identified top 10 occupations will be reviewed on a bi-annual basis for any changes.</w:t>
      </w:r>
    </w:p>
    <w:p w14:paraId="537A7BF7" w14:textId="77777777" w:rsidR="001C1EC7" w:rsidRPr="004A0C12" w:rsidRDefault="001C1EC7" w:rsidP="003865ED">
      <w:pPr>
        <w:pStyle w:val="NormalWeb"/>
        <w:spacing w:before="0" w:beforeAutospacing="0" w:afterAutospacing="0"/>
        <w:rPr>
          <w:rFonts w:ascii="Garamond" w:hAnsi="Garamond"/>
          <w:sz w:val="22"/>
          <w:szCs w:val="22"/>
        </w:rPr>
      </w:pPr>
    </w:p>
    <w:p w14:paraId="390D23EE" w14:textId="5F8CF2AB" w:rsidR="006A5839" w:rsidRDefault="003865ED" w:rsidP="006A5839">
      <w:pPr>
        <w:spacing w:after="0" w:line="240" w:lineRule="auto"/>
        <w:jc w:val="both"/>
        <w:rPr>
          <w:rFonts w:ascii="Garamond" w:hAnsi="Garamond"/>
        </w:rPr>
      </w:pPr>
      <w:r w:rsidRPr="004A0C12">
        <w:rPr>
          <w:rFonts w:ascii="Garamond" w:hAnsi="Garamond"/>
        </w:rPr>
        <w:t>I</w:t>
      </w:r>
      <w:r w:rsidR="006A5839" w:rsidRPr="004A0C12">
        <w:rPr>
          <w:rFonts w:ascii="Garamond" w:hAnsi="Garamond"/>
        </w:rPr>
        <w:t>ncluded</w:t>
      </w:r>
      <w:r w:rsidRPr="004A0C12">
        <w:rPr>
          <w:rFonts w:ascii="Garamond" w:hAnsi="Garamond"/>
        </w:rPr>
        <w:t xml:space="preserve"> in this listing are</w:t>
      </w:r>
      <w:r w:rsidR="006A5839" w:rsidRPr="004A0C12">
        <w:rPr>
          <w:rFonts w:ascii="Garamond" w:hAnsi="Garamond"/>
        </w:rPr>
        <w:t xml:space="preserve"> many of the previously mentioned occupations, such as: Computer and mathematical occupations, Healthcare practitioners and technical occupations, and Management occupations (See Table 11). </w:t>
      </w:r>
    </w:p>
    <w:p w14:paraId="1CF2865A" w14:textId="77777777" w:rsidR="001C1EC7" w:rsidRDefault="001C1EC7" w:rsidP="006A5839">
      <w:pPr>
        <w:spacing w:after="0" w:line="240" w:lineRule="auto"/>
        <w:jc w:val="both"/>
        <w:rPr>
          <w:rFonts w:ascii="Garamond" w:hAnsi="Garamond"/>
        </w:rPr>
      </w:pPr>
    </w:p>
    <w:p w14:paraId="1F18F973" w14:textId="77777777" w:rsidR="001C1EC7" w:rsidRPr="004A0C12" w:rsidRDefault="001C1EC7" w:rsidP="006A5839">
      <w:pPr>
        <w:spacing w:after="0" w:line="240" w:lineRule="auto"/>
        <w:jc w:val="both"/>
        <w:rPr>
          <w:rFonts w:ascii="Garamond" w:hAnsi="Garamond"/>
        </w:rPr>
      </w:pPr>
    </w:p>
    <w:p w14:paraId="4828445E" w14:textId="77777777" w:rsidR="006A5839" w:rsidRPr="004A0C12" w:rsidRDefault="006A5839" w:rsidP="006A5839">
      <w:pPr>
        <w:spacing w:after="0" w:line="240" w:lineRule="auto"/>
        <w:jc w:val="both"/>
        <w:rPr>
          <w:rFonts w:ascii="Garamond" w:hAnsi="Garamond"/>
        </w:rPr>
      </w:pPr>
    </w:p>
    <w:tbl>
      <w:tblPr>
        <w:tblW w:w="6544"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Caption w:val="Occupations by Number of Job Openings"/>
        <w:tblDescription w:val="The chart provides the top 10 occupations by number of job openings. "/>
      </w:tblPr>
      <w:tblGrid>
        <w:gridCol w:w="4144"/>
        <w:gridCol w:w="1200"/>
        <w:gridCol w:w="1200"/>
      </w:tblGrid>
      <w:tr w:rsidR="006A5839" w:rsidRPr="004A0C12" w14:paraId="232E7F36" w14:textId="77777777" w:rsidTr="00555936">
        <w:trPr>
          <w:jc w:val="center"/>
        </w:trPr>
        <w:tc>
          <w:tcPr>
            <w:tcW w:w="0" w:type="auto"/>
            <w:shd w:val="clear" w:color="auto" w:fill="4F81BD"/>
            <w:hideMark/>
          </w:tcPr>
          <w:p w14:paraId="4BD39AFF" w14:textId="77777777" w:rsidR="006A5839" w:rsidRPr="004A0C12" w:rsidRDefault="006A5839" w:rsidP="00555936">
            <w:pPr>
              <w:spacing w:after="0" w:line="240" w:lineRule="auto"/>
              <w:jc w:val="center"/>
              <w:rPr>
                <w:rFonts w:ascii="Garamond" w:eastAsia="Times New Roman" w:hAnsi="Garamond" w:cs="Times New Roman"/>
                <w:b/>
                <w:bCs/>
                <w:color w:val="FFFFFF"/>
              </w:rPr>
            </w:pPr>
            <w:r w:rsidRPr="004A0C12">
              <w:rPr>
                <w:rFonts w:ascii="Garamond" w:eastAsia="Times New Roman" w:hAnsi="Garamond" w:cs="Times New Roman"/>
                <w:b/>
                <w:bCs/>
                <w:color w:val="FFFFFF"/>
              </w:rPr>
              <w:lastRenderedPageBreak/>
              <w:t>Occupation</w:t>
            </w:r>
          </w:p>
        </w:tc>
        <w:tc>
          <w:tcPr>
            <w:tcW w:w="0" w:type="auto"/>
            <w:shd w:val="clear" w:color="auto" w:fill="4F81BD"/>
            <w:hideMark/>
          </w:tcPr>
          <w:p w14:paraId="0FEE021B" w14:textId="77777777" w:rsidR="006A5839" w:rsidRPr="004A0C12" w:rsidRDefault="006A5839" w:rsidP="00555936">
            <w:pPr>
              <w:spacing w:after="0" w:line="240" w:lineRule="auto"/>
              <w:jc w:val="center"/>
              <w:rPr>
                <w:rFonts w:ascii="Garamond" w:eastAsia="Times New Roman" w:hAnsi="Garamond" w:cs="Times New Roman"/>
                <w:b/>
                <w:bCs/>
                <w:color w:val="FFFFFF"/>
              </w:rPr>
            </w:pPr>
            <w:r w:rsidRPr="004A0C12">
              <w:rPr>
                <w:rFonts w:ascii="Garamond" w:eastAsia="Times New Roman" w:hAnsi="Garamond" w:cs="Times New Roman"/>
                <w:b/>
                <w:bCs/>
                <w:color w:val="FFFFFF"/>
              </w:rPr>
              <w:t>Job Openings</w:t>
            </w:r>
          </w:p>
        </w:tc>
        <w:tc>
          <w:tcPr>
            <w:tcW w:w="0" w:type="auto"/>
            <w:shd w:val="clear" w:color="auto" w:fill="4F81BD"/>
            <w:hideMark/>
          </w:tcPr>
          <w:p w14:paraId="38D374A4" w14:textId="77777777" w:rsidR="006A5839" w:rsidRPr="004A0C12" w:rsidRDefault="006A5839" w:rsidP="00555936">
            <w:pPr>
              <w:spacing w:after="0" w:line="240" w:lineRule="auto"/>
              <w:jc w:val="center"/>
              <w:rPr>
                <w:rFonts w:ascii="Garamond" w:eastAsia="Times New Roman" w:hAnsi="Garamond" w:cs="Times New Roman"/>
                <w:b/>
                <w:bCs/>
                <w:color w:val="FFFFFF"/>
              </w:rPr>
            </w:pPr>
            <w:r w:rsidRPr="004A0C12">
              <w:rPr>
                <w:rFonts w:ascii="Garamond" w:eastAsia="Times New Roman" w:hAnsi="Garamond" w:cs="Times New Roman"/>
                <w:b/>
                <w:bCs/>
                <w:color w:val="FFFFFF"/>
              </w:rPr>
              <w:t>Mean (Average) Wage</w:t>
            </w:r>
          </w:p>
        </w:tc>
      </w:tr>
      <w:tr w:rsidR="006A5839" w:rsidRPr="004A0C12" w14:paraId="360EA563"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49D306F8" w14:textId="77777777" w:rsidR="006A5839" w:rsidRPr="004A0C12" w:rsidRDefault="006A5839" w:rsidP="00555936">
            <w:pPr>
              <w:spacing w:after="0" w:line="240" w:lineRule="auto"/>
              <w:rPr>
                <w:rFonts w:ascii="Garamond" w:eastAsia="Times New Roman" w:hAnsi="Garamond" w:cs="Times New Roman"/>
                <w:b/>
                <w:bCs/>
                <w:color w:val="1F497D"/>
              </w:rPr>
            </w:pPr>
            <w:r w:rsidRPr="004A0C12">
              <w:rPr>
                <w:rFonts w:ascii="Garamond" w:eastAsia="Times New Roman" w:hAnsi="Garamond" w:cs="Times New Roman"/>
                <w:b/>
                <w:bCs/>
                <w:color w:val="1F497D"/>
              </w:rPr>
              <w:t>Healthcare Practitioners and Technical Occupations</w:t>
            </w:r>
          </w:p>
        </w:tc>
        <w:tc>
          <w:tcPr>
            <w:tcW w:w="1200" w:type="dxa"/>
            <w:tcBorders>
              <w:top w:val="single" w:sz="8" w:space="0" w:color="4F81BD"/>
              <w:bottom w:val="single" w:sz="8" w:space="0" w:color="4F81BD"/>
            </w:tcBorders>
            <w:shd w:val="clear" w:color="auto" w:fill="auto"/>
            <w:hideMark/>
          </w:tcPr>
          <w:p w14:paraId="3FBF3574"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25,564</w:t>
            </w:r>
          </w:p>
        </w:tc>
        <w:tc>
          <w:tcPr>
            <w:tcW w:w="1200" w:type="dxa"/>
            <w:tcBorders>
              <w:top w:val="single" w:sz="8" w:space="0" w:color="4F81BD"/>
              <w:bottom w:val="single" w:sz="8" w:space="0" w:color="4F81BD"/>
              <w:right w:val="single" w:sz="8" w:space="0" w:color="4F81BD"/>
            </w:tcBorders>
            <w:shd w:val="clear" w:color="auto" w:fill="auto"/>
            <w:hideMark/>
          </w:tcPr>
          <w:p w14:paraId="2572896B"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$70,233</w:t>
            </w:r>
          </w:p>
        </w:tc>
      </w:tr>
      <w:tr w:rsidR="006A5839" w:rsidRPr="004A0C12" w14:paraId="3C0B5FEC" w14:textId="77777777" w:rsidTr="00555936">
        <w:trPr>
          <w:jc w:val="center"/>
        </w:trPr>
        <w:tc>
          <w:tcPr>
            <w:tcW w:w="0" w:type="auto"/>
            <w:shd w:val="clear" w:color="auto" w:fill="auto"/>
            <w:hideMark/>
          </w:tcPr>
          <w:p w14:paraId="6AEBA6CC" w14:textId="77777777" w:rsidR="006A5839" w:rsidRPr="004A0C12" w:rsidRDefault="006A5839" w:rsidP="00555936">
            <w:pPr>
              <w:spacing w:after="0" w:line="240" w:lineRule="auto"/>
              <w:rPr>
                <w:rFonts w:ascii="Garamond" w:eastAsia="Times New Roman" w:hAnsi="Garamond" w:cs="Times New Roman"/>
                <w:b/>
                <w:bCs/>
                <w:color w:val="1F497D"/>
              </w:rPr>
            </w:pPr>
            <w:r w:rsidRPr="004A0C12">
              <w:rPr>
                <w:rFonts w:ascii="Garamond" w:eastAsia="Times New Roman" w:hAnsi="Garamond" w:cs="Times New Roman"/>
                <w:b/>
                <w:bCs/>
                <w:color w:val="1F497D"/>
              </w:rPr>
              <w:t>Management Occupations</w:t>
            </w:r>
          </w:p>
        </w:tc>
        <w:tc>
          <w:tcPr>
            <w:tcW w:w="1200" w:type="dxa"/>
            <w:shd w:val="clear" w:color="auto" w:fill="auto"/>
            <w:hideMark/>
          </w:tcPr>
          <w:p w14:paraId="6D6AC629"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24,133</w:t>
            </w:r>
          </w:p>
        </w:tc>
        <w:tc>
          <w:tcPr>
            <w:tcW w:w="1200" w:type="dxa"/>
            <w:shd w:val="clear" w:color="auto" w:fill="auto"/>
            <w:hideMark/>
          </w:tcPr>
          <w:p w14:paraId="3440FBDF"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$72,048</w:t>
            </w:r>
          </w:p>
        </w:tc>
      </w:tr>
      <w:tr w:rsidR="006A5839" w:rsidRPr="004A0C12" w14:paraId="366AD186"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1B6BA645" w14:textId="77777777" w:rsidR="006A5839" w:rsidRPr="004A0C12" w:rsidRDefault="006A5839" w:rsidP="00555936">
            <w:pPr>
              <w:spacing w:after="0" w:line="240" w:lineRule="auto"/>
              <w:rPr>
                <w:rFonts w:ascii="Garamond" w:eastAsia="Times New Roman" w:hAnsi="Garamond" w:cs="Times New Roman"/>
                <w:b/>
                <w:bCs/>
                <w:color w:val="1F497D"/>
              </w:rPr>
            </w:pPr>
            <w:r w:rsidRPr="004A0C12">
              <w:rPr>
                <w:rFonts w:ascii="Garamond" w:eastAsia="Times New Roman" w:hAnsi="Garamond" w:cs="Times New Roman"/>
                <w:b/>
                <w:bCs/>
                <w:color w:val="1F497D"/>
              </w:rPr>
              <w:t>Computer and Mathematical Occupations</w:t>
            </w:r>
          </w:p>
        </w:tc>
        <w:tc>
          <w:tcPr>
            <w:tcW w:w="1200" w:type="dxa"/>
            <w:tcBorders>
              <w:top w:val="single" w:sz="8" w:space="0" w:color="4F81BD"/>
              <w:bottom w:val="single" w:sz="8" w:space="0" w:color="4F81BD"/>
            </w:tcBorders>
            <w:shd w:val="clear" w:color="auto" w:fill="auto"/>
            <w:hideMark/>
          </w:tcPr>
          <w:p w14:paraId="0BD66E20"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21,188</w:t>
            </w:r>
          </w:p>
        </w:tc>
        <w:tc>
          <w:tcPr>
            <w:tcW w:w="1200" w:type="dxa"/>
            <w:tcBorders>
              <w:top w:val="single" w:sz="8" w:space="0" w:color="4F81BD"/>
              <w:bottom w:val="single" w:sz="8" w:space="0" w:color="4F81BD"/>
              <w:right w:val="single" w:sz="8" w:space="0" w:color="4F81BD"/>
            </w:tcBorders>
            <w:shd w:val="clear" w:color="auto" w:fill="auto"/>
            <w:hideMark/>
          </w:tcPr>
          <w:p w14:paraId="3C4B78EC"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$73,680</w:t>
            </w:r>
          </w:p>
        </w:tc>
      </w:tr>
      <w:tr w:rsidR="006A5839" w:rsidRPr="004A0C12" w14:paraId="3741CA4E" w14:textId="77777777" w:rsidTr="00555936">
        <w:trPr>
          <w:jc w:val="center"/>
        </w:trPr>
        <w:tc>
          <w:tcPr>
            <w:tcW w:w="0" w:type="auto"/>
            <w:shd w:val="clear" w:color="auto" w:fill="auto"/>
            <w:hideMark/>
          </w:tcPr>
          <w:p w14:paraId="3AF4C8B6" w14:textId="77777777" w:rsidR="006A5839" w:rsidRPr="004A0C12" w:rsidRDefault="00943AA8" w:rsidP="00555936">
            <w:pPr>
              <w:spacing w:after="0" w:line="240" w:lineRule="auto"/>
              <w:rPr>
                <w:rFonts w:ascii="Garamond" w:eastAsia="Times New Roman" w:hAnsi="Garamond" w:cs="Times New Roman"/>
                <w:b/>
                <w:bCs/>
                <w:color w:val="1F497D"/>
              </w:rPr>
            </w:pPr>
            <w:hyperlink r:id="rId24" w:history="1">
              <w:r w:rsidR="006A5839" w:rsidRPr="004A0C12">
                <w:rPr>
                  <w:rFonts w:ascii="Garamond" w:eastAsia="Times New Roman" w:hAnsi="Garamond" w:cs="Times New Roman"/>
                  <w:b/>
                  <w:bCs/>
                  <w:color w:val="1F497D"/>
                </w:rPr>
                <w:t>Sales and Related Occupations</w:t>
              </w:r>
            </w:hyperlink>
          </w:p>
        </w:tc>
        <w:tc>
          <w:tcPr>
            <w:tcW w:w="1200" w:type="dxa"/>
            <w:shd w:val="clear" w:color="auto" w:fill="auto"/>
            <w:hideMark/>
          </w:tcPr>
          <w:p w14:paraId="5BC4CF73"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17,859</w:t>
            </w:r>
          </w:p>
        </w:tc>
        <w:tc>
          <w:tcPr>
            <w:tcW w:w="1200" w:type="dxa"/>
            <w:shd w:val="clear" w:color="auto" w:fill="auto"/>
            <w:hideMark/>
          </w:tcPr>
          <w:p w14:paraId="285746BF"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$30,989</w:t>
            </w:r>
          </w:p>
        </w:tc>
      </w:tr>
      <w:tr w:rsidR="006A5839" w:rsidRPr="004A0C12" w14:paraId="36E88E7D"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71FADFA9" w14:textId="77777777" w:rsidR="006A5839" w:rsidRPr="004A0C12" w:rsidRDefault="00943AA8" w:rsidP="00555936">
            <w:pPr>
              <w:spacing w:after="0" w:line="240" w:lineRule="auto"/>
              <w:rPr>
                <w:rFonts w:ascii="Garamond" w:eastAsia="Times New Roman" w:hAnsi="Garamond" w:cs="Times New Roman"/>
                <w:b/>
                <w:bCs/>
                <w:color w:val="1F497D"/>
              </w:rPr>
            </w:pPr>
            <w:hyperlink r:id="rId25" w:history="1">
              <w:r w:rsidR="006A5839" w:rsidRPr="004A0C12">
                <w:rPr>
                  <w:rFonts w:ascii="Garamond" w:eastAsia="Times New Roman" w:hAnsi="Garamond" w:cs="Times New Roman"/>
                  <w:b/>
                  <w:bCs/>
                  <w:color w:val="1F497D"/>
                </w:rPr>
                <w:t>Office and Administrative Support Occupations</w:t>
              </w:r>
            </w:hyperlink>
          </w:p>
        </w:tc>
        <w:tc>
          <w:tcPr>
            <w:tcW w:w="1200" w:type="dxa"/>
            <w:tcBorders>
              <w:top w:val="single" w:sz="8" w:space="0" w:color="4F81BD"/>
              <w:bottom w:val="single" w:sz="8" w:space="0" w:color="4F81BD"/>
            </w:tcBorders>
            <w:shd w:val="clear" w:color="auto" w:fill="auto"/>
            <w:hideMark/>
          </w:tcPr>
          <w:p w14:paraId="4063419E"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15,173</w:t>
            </w:r>
          </w:p>
        </w:tc>
        <w:tc>
          <w:tcPr>
            <w:tcW w:w="1200" w:type="dxa"/>
            <w:tcBorders>
              <w:top w:val="single" w:sz="8" w:space="0" w:color="4F81BD"/>
              <w:bottom w:val="single" w:sz="8" w:space="0" w:color="4F81BD"/>
              <w:right w:val="single" w:sz="8" w:space="0" w:color="4F81BD"/>
            </w:tcBorders>
            <w:shd w:val="clear" w:color="auto" w:fill="auto"/>
            <w:hideMark/>
          </w:tcPr>
          <w:p w14:paraId="3AD9218A"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$31,139</w:t>
            </w:r>
          </w:p>
        </w:tc>
      </w:tr>
      <w:tr w:rsidR="006A5839" w:rsidRPr="004A0C12" w14:paraId="3F13E4D9" w14:textId="77777777" w:rsidTr="00555936">
        <w:trPr>
          <w:jc w:val="center"/>
        </w:trPr>
        <w:tc>
          <w:tcPr>
            <w:tcW w:w="0" w:type="auto"/>
            <w:shd w:val="clear" w:color="auto" w:fill="auto"/>
            <w:hideMark/>
          </w:tcPr>
          <w:p w14:paraId="12AF25B5" w14:textId="77777777" w:rsidR="006A5839" w:rsidRPr="004A0C12" w:rsidRDefault="00943AA8" w:rsidP="00555936">
            <w:pPr>
              <w:spacing w:after="0" w:line="240" w:lineRule="auto"/>
              <w:rPr>
                <w:rFonts w:ascii="Garamond" w:eastAsia="Times New Roman" w:hAnsi="Garamond" w:cs="Times New Roman"/>
                <w:b/>
                <w:bCs/>
                <w:color w:val="1F497D"/>
              </w:rPr>
            </w:pPr>
            <w:hyperlink r:id="rId26" w:history="1">
              <w:r w:rsidR="006A5839" w:rsidRPr="004A0C12">
                <w:rPr>
                  <w:rFonts w:ascii="Garamond" w:eastAsia="Times New Roman" w:hAnsi="Garamond" w:cs="Times New Roman"/>
                  <w:b/>
                  <w:bCs/>
                  <w:color w:val="1F497D"/>
                </w:rPr>
                <w:t>Transportation and Material Moving Occupations</w:t>
              </w:r>
            </w:hyperlink>
          </w:p>
        </w:tc>
        <w:tc>
          <w:tcPr>
            <w:tcW w:w="1200" w:type="dxa"/>
            <w:shd w:val="clear" w:color="auto" w:fill="auto"/>
            <w:hideMark/>
          </w:tcPr>
          <w:p w14:paraId="6446517D"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12,820</w:t>
            </w:r>
          </w:p>
        </w:tc>
        <w:tc>
          <w:tcPr>
            <w:tcW w:w="1200" w:type="dxa"/>
            <w:shd w:val="clear" w:color="auto" w:fill="auto"/>
            <w:hideMark/>
          </w:tcPr>
          <w:p w14:paraId="78B12636"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$31,775</w:t>
            </w:r>
          </w:p>
        </w:tc>
      </w:tr>
      <w:tr w:rsidR="006A5839" w:rsidRPr="004A0C12" w14:paraId="1E1F7D59"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793F1CA4" w14:textId="77777777" w:rsidR="006A5839" w:rsidRPr="004A0C12" w:rsidRDefault="00943AA8" w:rsidP="00555936">
            <w:pPr>
              <w:spacing w:after="0" w:line="240" w:lineRule="auto"/>
              <w:rPr>
                <w:rFonts w:ascii="Garamond" w:eastAsia="Times New Roman" w:hAnsi="Garamond" w:cs="Times New Roman"/>
                <w:b/>
                <w:bCs/>
                <w:color w:val="1F497D"/>
              </w:rPr>
            </w:pPr>
            <w:hyperlink r:id="rId27" w:history="1">
              <w:r w:rsidR="006A5839" w:rsidRPr="004A0C12">
                <w:rPr>
                  <w:rFonts w:ascii="Garamond" w:eastAsia="Times New Roman" w:hAnsi="Garamond" w:cs="Times New Roman"/>
                  <w:b/>
                  <w:bCs/>
                  <w:color w:val="1F497D"/>
                </w:rPr>
                <w:t>Architecture and Engineering Occupations</w:t>
              </w:r>
            </w:hyperlink>
          </w:p>
        </w:tc>
        <w:tc>
          <w:tcPr>
            <w:tcW w:w="1200" w:type="dxa"/>
            <w:tcBorders>
              <w:top w:val="single" w:sz="8" w:space="0" w:color="4F81BD"/>
              <w:bottom w:val="single" w:sz="8" w:space="0" w:color="4F81BD"/>
            </w:tcBorders>
            <w:shd w:val="clear" w:color="auto" w:fill="auto"/>
            <w:hideMark/>
          </w:tcPr>
          <w:p w14:paraId="053AA82F"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12,149</w:t>
            </w:r>
          </w:p>
        </w:tc>
        <w:tc>
          <w:tcPr>
            <w:tcW w:w="1200" w:type="dxa"/>
            <w:tcBorders>
              <w:top w:val="single" w:sz="8" w:space="0" w:color="4F81BD"/>
              <w:bottom w:val="single" w:sz="8" w:space="0" w:color="4F81BD"/>
              <w:right w:val="single" w:sz="8" w:space="0" w:color="4F81BD"/>
            </w:tcBorders>
            <w:shd w:val="clear" w:color="auto" w:fill="auto"/>
            <w:hideMark/>
          </w:tcPr>
          <w:p w14:paraId="3652B611"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$76,645</w:t>
            </w:r>
          </w:p>
        </w:tc>
      </w:tr>
      <w:tr w:rsidR="006A5839" w:rsidRPr="004A0C12" w14:paraId="7AC1D232" w14:textId="77777777" w:rsidTr="00555936">
        <w:trPr>
          <w:jc w:val="center"/>
        </w:trPr>
        <w:tc>
          <w:tcPr>
            <w:tcW w:w="0" w:type="auto"/>
            <w:shd w:val="clear" w:color="auto" w:fill="auto"/>
            <w:hideMark/>
          </w:tcPr>
          <w:p w14:paraId="39188AA3" w14:textId="77777777" w:rsidR="006A5839" w:rsidRPr="004A0C12" w:rsidRDefault="00943AA8" w:rsidP="00555936">
            <w:pPr>
              <w:spacing w:after="0" w:line="240" w:lineRule="auto"/>
              <w:rPr>
                <w:rFonts w:ascii="Garamond" w:eastAsia="Times New Roman" w:hAnsi="Garamond" w:cs="Times New Roman"/>
                <w:b/>
                <w:bCs/>
                <w:color w:val="1F497D"/>
              </w:rPr>
            </w:pPr>
            <w:hyperlink r:id="rId28" w:history="1">
              <w:r w:rsidR="006A5839" w:rsidRPr="004A0C12">
                <w:rPr>
                  <w:rFonts w:ascii="Garamond" w:eastAsia="Times New Roman" w:hAnsi="Garamond" w:cs="Times New Roman"/>
                  <w:b/>
                  <w:bCs/>
                  <w:color w:val="1F497D"/>
                </w:rPr>
                <w:t>Food Preparation and Serving Related Occupations</w:t>
              </w:r>
            </w:hyperlink>
          </w:p>
        </w:tc>
        <w:tc>
          <w:tcPr>
            <w:tcW w:w="1200" w:type="dxa"/>
            <w:shd w:val="clear" w:color="auto" w:fill="auto"/>
            <w:hideMark/>
          </w:tcPr>
          <w:p w14:paraId="7D8B57BE"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8,850</w:t>
            </w:r>
          </w:p>
        </w:tc>
        <w:tc>
          <w:tcPr>
            <w:tcW w:w="1200" w:type="dxa"/>
            <w:shd w:val="clear" w:color="auto" w:fill="auto"/>
            <w:hideMark/>
          </w:tcPr>
          <w:p w14:paraId="65B20DA1"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$29,434</w:t>
            </w:r>
          </w:p>
        </w:tc>
      </w:tr>
      <w:tr w:rsidR="006A5839" w:rsidRPr="004A0C12" w14:paraId="66FBFE2C"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78A9B9E7" w14:textId="77777777" w:rsidR="006A5839" w:rsidRPr="004A0C12" w:rsidRDefault="00943AA8" w:rsidP="00555936">
            <w:pPr>
              <w:spacing w:after="0" w:line="240" w:lineRule="auto"/>
              <w:rPr>
                <w:rFonts w:ascii="Garamond" w:eastAsia="Times New Roman" w:hAnsi="Garamond" w:cs="Times New Roman"/>
                <w:b/>
                <w:bCs/>
                <w:color w:val="1F497D"/>
              </w:rPr>
            </w:pPr>
            <w:hyperlink r:id="rId29" w:history="1">
              <w:r w:rsidR="006A5839" w:rsidRPr="004A0C12">
                <w:rPr>
                  <w:rFonts w:ascii="Garamond" w:eastAsia="Times New Roman" w:hAnsi="Garamond" w:cs="Times New Roman"/>
                  <w:b/>
                  <w:bCs/>
                  <w:color w:val="1F497D"/>
                </w:rPr>
                <w:t>Business and Financial Operations Occupations</w:t>
              </w:r>
            </w:hyperlink>
          </w:p>
        </w:tc>
        <w:tc>
          <w:tcPr>
            <w:tcW w:w="1200" w:type="dxa"/>
            <w:tcBorders>
              <w:top w:val="single" w:sz="8" w:space="0" w:color="4F81BD"/>
              <w:bottom w:val="single" w:sz="8" w:space="0" w:color="4F81BD"/>
            </w:tcBorders>
            <w:shd w:val="clear" w:color="auto" w:fill="auto"/>
            <w:hideMark/>
          </w:tcPr>
          <w:p w14:paraId="224DC8C8"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7,644</w:t>
            </w:r>
          </w:p>
        </w:tc>
        <w:tc>
          <w:tcPr>
            <w:tcW w:w="1200" w:type="dxa"/>
            <w:tcBorders>
              <w:top w:val="single" w:sz="8" w:space="0" w:color="4F81BD"/>
              <w:bottom w:val="single" w:sz="8" w:space="0" w:color="4F81BD"/>
              <w:right w:val="single" w:sz="8" w:space="0" w:color="4F81BD"/>
            </w:tcBorders>
            <w:shd w:val="clear" w:color="auto" w:fill="auto"/>
            <w:hideMark/>
          </w:tcPr>
          <w:p w14:paraId="1D1C6FDC"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$60,047</w:t>
            </w:r>
          </w:p>
        </w:tc>
      </w:tr>
      <w:tr w:rsidR="006A5839" w:rsidRPr="004A0C12" w14:paraId="134783DE" w14:textId="77777777" w:rsidTr="00555936">
        <w:trPr>
          <w:jc w:val="center"/>
        </w:trPr>
        <w:tc>
          <w:tcPr>
            <w:tcW w:w="0" w:type="auto"/>
            <w:shd w:val="clear" w:color="auto" w:fill="auto"/>
            <w:hideMark/>
          </w:tcPr>
          <w:p w14:paraId="6C52C11D" w14:textId="77777777" w:rsidR="006A5839" w:rsidRPr="004A0C12" w:rsidRDefault="006A5839" w:rsidP="00555936">
            <w:pPr>
              <w:spacing w:after="0" w:line="240" w:lineRule="auto"/>
              <w:rPr>
                <w:rFonts w:ascii="Garamond" w:eastAsia="Times New Roman" w:hAnsi="Garamond" w:cs="Times New Roman"/>
                <w:b/>
                <w:bCs/>
                <w:color w:val="1F497D"/>
              </w:rPr>
            </w:pPr>
            <w:r w:rsidRPr="004A0C12">
              <w:rPr>
                <w:rFonts w:ascii="Garamond" w:eastAsia="Times New Roman" w:hAnsi="Garamond" w:cs="Times New Roman"/>
                <w:b/>
                <w:bCs/>
                <w:color w:val="1F497D"/>
              </w:rPr>
              <w:t>Installation, Maintenance, and Repair Occupations</w:t>
            </w:r>
          </w:p>
        </w:tc>
        <w:tc>
          <w:tcPr>
            <w:tcW w:w="1200" w:type="dxa"/>
            <w:shd w:val="clear" w:color="auto" w:fill="auto"/>
            <w:hideMark/>
          </w:tcPr>
          <w:p w14:paraId="3DC75B4A"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4,889</w:t>
            </w:r>
          </w:p>
        </w:tc>
        <w:tc>
          <w:tcPr>
            <w:tcW w:w="1200" w:type="dxa"/>
            <w:shd w:val="clear" w:color="auto" w:fill="auto"/>
            <w:hideMark/>
          </w:tcPr>
          <w:p w14:paraId="2405F2FC" w14:textId="77777777" w:rsidR="006A5839" w:rsidRPr="004A0C12" w:rsidRDefault="006A5839" w:rsidP="00555936">
            <w:pPr>
              <w:keepNext/>
              <w:spacing w:after="0" w:line="240" w:lineRule="auto"/>
              <w:jc w:val="right"/>
              <w:rPr>
                <w:rFonts w:ascii="Garamond" w:eastAsia="Times New Roman" w:hAnsi="Garamond" w:cs="Times New Roman"/>
              </w:rPr>
            </w:pPr>
            <w:r w:rsidRPr="004A0C12">
              <w:rPr>
                <w:rFonts w:ascii="Garamond" w:eastAsia="Times New Roman" w:hAnsi="Garamond" w:cs="Times New Roman"/>
              </w:rPr>
              <w:t>$40,182</w:t>
            </w:r>
          </w:p>
        </w:tc>
      </w:tr>
    </w:tbl>
    <w:p w14:paraId="399A98B7" w14:textId="77777777" w:rsidR="006A5839" w:rsidRPr="004A0C12" w:rsidRDefault="006A5839" w:rsidP="006A5839">
      <w:pPr>
        <w:pStyle w:val="Caption"/>
        <w:rPr>
          <w:rFonts w:ascii="Garamond" w:hAnsi="Garamond"/>
          <w:noProof/>
          <w:sz w:val="22"/>
          <w:szCs w:val="22"/>
        </w:rPr>
      </w:pPr>
      <w:r w:rsidRPr="004A0C12">
        <w:rPr>
          <w:rFonts w:ascii="Garamond" w:hAnsi="Garamond"/>
          <w:sz w:val="22"/>
          <w:szCs w:val="22"/>
        </w:rPr>
        <w:t xml:space="preserve">Table </w:t>
      </w:r>
      <w:r w:rsidR="004B3037" w:rsidRPr="004A0C12">
        <w:rPr>
          <w:rFonts w:ascii="Garamond" w:hAnsi="Garamond"/>
          <w:sz w:val="22"/>
          <w:szCs w:val="22"/>
        </w:rPr>
        <w:fldChar w:fldCharType="begin"/>
      </w:r>
      <w:r w:rsidR="004B3037" w:rsidRPr="004A0C12">
        <w:rPr>
          <w:rFonts w:ascii="Garamond" w:hAnsi="Garamond"/>
          <w:sz w:val="22"/>
          <w:szCs w:val="22"/>
        </w:rPr>
        <w:instrText xml:space="preserve"> SEQ Table \* ARABIC </w:instrText>
      </w:r>
      <w:r w:rsidR="004B3037" w:rsidRPr="004A0C12">
        <w:rPr>
          <w:rFonts w:ascii="Garamond" w:hAnsi="Garamond"/>
          <w:sz w:val="22"/>
          <w:szCs w:val="22"/>
        </w:rPr>
        <w:fldChar w:fldCharType="separate"/>
      </w:r>
      <w:r w:rsidR="00943AA8">
        <w:rPr>
          <w:rFonts w:ascii="Garamond" w:hAnsi="Garamond"/>
          <w:noProof/>
          <w:sz w:val="22"/>
          <w:szCs w:val="22"/>
        </w:rPr>
        <w:t>7</w:t>
      </w:r>
      <w:r w:rsidR="004B3037" w:rsidRPr="004A0C12">
        <w:rPr>
          <w:rFonts w:ascii="Garamond" w:hAnsi="Garamond"/>
          <w:noProof/>
          <w:sz w:val="22"/>
          <w:szCs w:val="22"/>
        </w:rPr>
        <w:fldChar w:fldCharType="end"/>
      </w:r>
      <w:r w:rsidRPr="004A0C12">
        <w:rPr>
          <w:rFonts w:ascii="Garamond" w:hAnsi="Garamond"/>
          <w:noProof/>
          <w:sz w:val="22"/>
          <w:szCs w:val="22"/>
        </w:rPr>
        <w:t>: Top Advertised Job Openings by Occupation; Source: MWE, 2015</w:t>
      </w:r>
    </w:p>
    <w:p w14:paraId="7AE17FBD" w14:textId="77777777" w:rsidR="006A5839" w:rsidRPr="004A0C12" w:rsidRDefault="006A5839" w:rsidP="006A5839">
      <w:pPr>
        <w:spacing w:after="0" w:line="240" w:lineRule="auto"/>
        <w:jc w:val="both"/>
        <w:rPr>
          <w:rFonts w:ascii="Garamond" w:hAnsi="Garamond"/>
          <w:lang w:eastAsia="ja-JP"/>
        </w:rPr>
      </w:pPr>
      <w:r w:rsidRPr="004A0C12">
        <w:rPr>
          <w:rFonts w:ascii="Garamond" w:hAnsi="Garamond"/>
          <w:lang w:eastAsia="ja-JP"/>
        </w:rPr>
        <w:t xml:space="preserve">According to the top jobs advertised online, job openings are available at a range of education and experience levels (See Tables 12 and 13). </w:t>
      </w:r>
    </w:p>
    <w:p w14:paraId="37EE7F01" w14:textId="77777777" w:rsidR="006A5839" w:rsidRPr="004A0C12" w:rsidRDefault="006A5839" w:rsidP="006A5839">
      <w:pPr>
        <w:spacing w:after="0" w:line="240" w:lineRule="auto"/>
        <w:jc w:val="both"/>
        <w:rPr>
          <w:rFonts w:ascii="Garamond" w:hAnsi="Garamond"/>
          <w:lang w:eastAsia="ja-JP"/>
        </w:rPr>
      </w:pPr>
    </w:p>
    <w:tbl>
      <w:tblPr>
        <w:tblW w:w="6544"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Caption w:val="Education Level for Job Openings"/>
        <w:tblDescription w:val="The chart provides top jobs advertised online with corresponding education level and mean wage. "/>
      </w:tblPr>
      <w:tblGrid>
        <w:gridCol w:w="2365"/>
        <w:gridCol w:w="1779"/>
        <w:gridCol w:w="1200"/>
        <w:gridCol w:w="1200"/>
      </w:tblGrid>
      <w:tr w:rsidR="006A5839" w:rsidRPr="004A0C12" w14:paraId="04401890" w14:textId="77777777" w:rsidTr="00555936">
        <w:trPr>
          <w:jc w:val="center"/>
        </w:trPr>
        <w:tc>
          <w:tcPr>
            <w:tcW w:w="0" w:type="auto"/>
            <w:shd w:val="clear" w:color="auto" w:fill="4F81BD"/>
            <w:hideMark/>
          </w:tcPr>
          <w:p w14:paraId="538B2141" w14:textId="77777777" w:rsidR="006A5839" w:rsidRPr="004A0C12" w:rsidRDefault="006A5839" w:rsidP="00555936">
            <w:pPr>
              <w:spacing w:after="0" w:line="240" w:lineRule="auto"/>
              <w:jc w:val="center"/>
              <w:rPr>
                <w:rFonts w:ascii="Garamond" w:eastAsia="Times New Roman" w:hAnsi="Garamond" w:cs="Times New Roman"/>
                <w:b/>
                <w:bCs/>
                <w:color w:val="FFFFFF" w:themeColor="background1"/>
              </w:rPr>
            </w:pPr>
            <w:r w:rsidRPr="004A0C12">
              <w:rPr>
                <w:rFonts w:ascii="Garamond" w:eastAsia="Times New Roman" w:hAnsi="Garamond" w:cs="Times New Roman"/>
                <w:b/>
                <w:bCs/>
                <w:color w:val="FFFFFF" w:themeColor="background1"/>
              </w:rPr>
              <w:t>Occupation</w:t>
            </w:r>
          </w:p>
        </w:tc>
        <w:tc>
          <w:tcPr>
            <w:tcW w:w="0" w:type="auto"/>
            <w:shd w:val="clear" w:color="auto" w:fill="4F81BD"/>
            <w:hideMark/>
          </w:tcPr>
          <w:p w14:paraId="1B8796ED" w14:textId="77777777" w:rsidR="006A5839" w:rsidRPr="004A0C12" w:rsidRDefault="006A5839" w:rsidP="00555936">
            <w:pPr>
              <w:spacing w:after="0" w:line="240" w:lineRule="auto"/>
              <w:jc w:val="center"/>
              <w:rPr>
                <w:rFonts w:ascii="Garamond" w:eastAsia="Times New Roman" w:hAnsi="Garamond" w:cs="Times New Roman"/>
                <w:b/>
                <w:bCs/>
                <w:color w:val="FFFFFF" w:themeColor="background1"/>
              </w:rPr>
            </w:pPr>
            <w:r w:rsidRPr="004A0C12">
              <w:rPr>
                <w:rFonts w:ascii="Garamond" w:eastAsia="Times New Roman" w:hAnsi="Garamond" w:cs="Times New Roman"/>
                <w:b/>
                <w:bCs/>
                <w:color w:val="FFFFFF" w:themeColor="background1"/>
              </w:rPr>
              <w:t>Education Level</w:t>
            </w:r>
          </w:p>
        </w:tc>
        <w:tc>
          <w:tcPr>
            <w:tcW w:w="0" w:type="auto"/>
            <w:shd w:val="clear" w:color="auto" w:fill="4F81BD"/>
            <w:hideMark/>
          </w:tcPr>
          <w:p w14:paraId="3BB5D38C" w14:textId="77777777" w:rsidR="006A5839" w:rsidRPr="004A0C12" w:rsidRDefault="006A5839" w:rsidP="00555936">
            <w:pPr>
              <w:spacing w:after="0" w:line="240" w:lineRule="auto"/>
              <w:jc w:val="center"/>
              <w:rPr>
                <w:rFonts w:ascii="Garamond" w:eastAsia="Times New Roman" w:hAnsi="Garamond" w:cs="Times New Roman"/>
                <w:b/>
                <w:bCs/>
                <w:color w:val="FFFFFF" w:themeColor="background1"/>
              </w:rPr>
            </w:pPr>
            <w:r w:rsidRPr="004A0C12">
              <w:rPr>
                <w:rFonts w:ascii="Garamond" w:eastAsia="Times New Roman" w:hAnsi="Garamond" w:cs="Times New Roman"/>
                <w:b/>
                <w:bCs/>
                <w:color w:val="FFFFFF" w:themeColor="background1"/>
              </w:rPr>
              <w:t>Job Openings</w:t>
            </w:r>
          </w:p>
        </w:tc>
        <w:tc>
          <w:tcPr>
            <w:tcW w:w="0" w:type="auto"/>
            <w:shd w:val="clear" w:color="auto" w:fill="4F81BD"/>
            <w:hideMark/>
          </w:tcPr>
          <w:p w14:paraId="49816658" w14:textId="77777777" w:rsidR="006A5839" w:rsidRPr="004A0C12" w:rsidRDefault="006A5839" w:rsidP="00555936">
            <w:pPr>
              <w:spacing w:after="0" w:line="240" w:lineRule="auto"/>
              <w:jc w:val="center"/>
              <w:rPr>
                <w:rFonts w:ascii="Garamond" w:eastAsia="Times New Roman" w:hAnsi="Garamond" w:cs="Times New Roman"/>
                <w:b/>
                <w:bCs/>
                <w:color w:val="FFFFFF" w:themeColor="background1"/>
              </w:rPr>
            </w:pPr>
            <w:r w:rsidRPr="004A0C12">
              <w:rPr>
                <w:rFonts w:ascii="Garamond" w:eastAsia="Times New Roman" w:hAnsi="Garamond" w:cs="Times New Roman"/>
                <w:b/>
                <w:bCs/>
                <w:color w:val="FFFFFF" w:themeColor="background1"/>
              </w:rPr>
              <w:t>Mean (Average) Wage</w:t>
            </w:r>
          </w:p>
        </w:tc>
      </w:tr>
      <w:tr w:rsidR="006A5839" w:rsidRPr="004A0C12" w14:paraId="6FDEA0C7"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29FAF094" w14:textId="77777777" w:rsidR="006A5839" w:rsidRPr="004A0C12" w:rsidRDefault="00943AA8" w:rsidP="00555936">
            <w:pPr>
              <w:spacing w:after="0" w:line="240" w:lineRule="auto"/>
              <w:rPr>
                <w:rFonts w:ascii="Garamond" w:eastAsia="Times New Roman" w:hAnsi="Garamond" w:cs="Times New Roman"/>
                <w:b/>
                <w:bCs/>
                <w:color w:val="1F497D"/>
              </w:rPr>
            </w:pPr>
            <w:hyperlink r:id="rId30" w:history="1">
              <w:r w:rsidR="006A5839" w:rsidRPr="004A0C12">
                <w:rPr>
                  <w:rFonts w:ascii="Garamond" w:eastAsia="Times New Roman" w:hAnsi="Garamond" w:cs="Times New Roman"/>
                  <w:b/>
                  <w:bCs/>
                  <w:color w:val="1F497D"/>
                </w:rPr>
                <w:t>Computer and Mathematical Occupations</w:t>
              </w:r>
            </w:hyperlink>
          </w:p>
        </w:tc>
        <w:tc>
          <w:tcPr>
            <w:tcW w:w="0" w:type="auto"/>
            <w:tcBorders>
              <w:top w:val="single" w:sz="8" w:space="0" w:color="4F81BD"/>
              <w:bottom w:val="single" w:sz="8" w:space="0" w:color="4F81BD"/>
            </w:tcBorders>
            <w:shd w:val="clear" w:color="auto" w:fill="auto"/>
            <w:hideMark/>
          </w:tcPr>
          <w:p w14:paraId="1AEC344F"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Bachelor’s Degree</w:t>
            </w:r>
          </w:p>
        </w:tc>
        <w:tc>
          <w:tcPr>
            <w:tcW w:w="1200" w:type="dxa"/>
            <w:tcBorders>
              <w:top w:val="single" w:sz="8" w:space="0" w:color="4F81BD"/>
              <w:bottom w:val="single" w:sz="8" w:space="0" w:color="4F81BD"/>
            </w:tcBorders>
            <w:shd w:val="clear" w:color="auto" w:fill="auto"/>
            <w:hideMark/>
          </w:tcPr>
          <w:p w14:paraId="729F8CAB"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4,616</w:t>
            </w:r>
          </w:p>
        </w:tc>
        <w:tc>
          <w:tcPr>
            <w:tcW w:w="1200" w:type="dxa"/>
            <w:tcBorders>
              <w:top w:val="single" w:sz="8" w:space="0" w:color="4F81BD"/>
              <w:bottom w:val="single" w:sz="8" w:space="0" w:color="4F81BD"/>
              <w:right w:val="single" w:sz="8" w:space="0" w:color="4F81BD"/>
            </w:tcBorders>
            <w:shd w:val="clear" w:color="auto" w:fill="auto"/>
            <w:hideMark/>
          </w:tcPr>
          <w:p w14:paraId="6DE47162"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$79,385</w:t>
            </w:r>
          </w:p>
        </w:tc>
      </w:tr>
      <w:tr w:rsidR="006A5839" w:rsidRPr="004A0C12" w14:paraId="67C3705A" w14:textId="77777777" w:rsidTr="00555936">
        <w:trPr>
          <w:jc w:val="center"/>
        </w:trPr>
        <w:tc>
          <w:tcPr>
            <w:tcW w:w="0" w:type="auto"/>
            <w:shd w:val="clear" w:color="auto" w:fill="auto"/>
            <w:hideMark/>
          </w:tcPr>
          <w:p w14:paraId="4ACAECF3" w14:textId="77777777" w:rsidR="006A5839" w:rsidRPr="004A0C12" w:rsidRDefault="00943AA8" w:rsidP="00555936">
            <w:pPr>
              <w:spacing w:after="0" w:line="240" w:lineRule="auto"/>
              <w:rPr>
                <w:rFonts w:ascii="Garamond" w:eastAsia="Times New Roman" w:hAnsi="Garamond" w:cs="Times New Roman"/>
                <w:b/>
                <w:bCs/>
                <w:color w:val="1F497D"/>
              </w:rPr>
            </w:pPr>
            <w:hyperlink r:id="rId31" w:history="1">
              <w:r w:rsidR="006A5839" w:rsidRPr="004A0C12">
                <w:rPr>
                  <w:rFonts w:ascii="Garamond" w:eastAsia="Times New Roman" w:hAnsi="Garamond" w:cs="Times New Roman"/>
                  <w:b/>
                  <w:bCs/>
                  <w:color w:val="1F497D"/>
                </w:rPr>
                <w:t>Management Occupations</w:t>
              </w:r>
            </w:hyperlink>
          </w:p>
        </w:tc>
        <w:tc>
          <w:tcPr>
            <w:tcW w:w="0" w:type="auto"/>
            <w:shd w:val="clear" w:color="auto" w:fill="auto"/>
            <w:hideMark/>
          </w:tcPr>
          <w:p w14:paraId="65F10D74"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Bachelor’s Degree</w:t>
            </w:r>
          </w:p>
        </w:tc>
        <w:tc>
          <w:tcPr>
            <w:tcW w:w="1200" w:type="dxa"/>
            <w:shd w:val="clear" w:color="auto" w:fill="auto"/>
            <w:hideMark/>
          </w:tcPr>
          <w:p w14:paraId="6B9DF98C"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3,048</w:t>
            </w:r>
          </w:p>
        </w:tc>
        <w:tc>
          <w:tcPr>
            <w:tcW w:w="1200" w:type="dxa"/>
            <w:shd w:val="clear" w:color="auto" w:fill="auto"/>
            <w:hideMark/>
          </w:tcPr>
          <w:p w14:paraId="267B6AF8"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$78,149</w:t>
            </w:r>
          </w:p>
        </w:tc>
      </w:tr>
      <w:tr w:rsidR="006A5839" w:rsidRPr="004A0C12" w14:paraId="48213249"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4FBA18BE" w14:textId="77777777" w:rsidR="006A5839" w:rsidRPr="004A0C12" w:rsidRDefault="00943AA8" w:rsidP="00555936">
            <w:pPr>
              <w:spacing w:after="0" w:line="240" w:lineRule="auto"/>
              <w:rPr>
                <w:rFonts w:ascii="Garamond" w:eastAsia="Times New Roman" w:hAnsi="Garamond" w:cs="Times New Roman"/>
                <w:b/>
                <w:bCs/>
                <w:color w:val="1F497D"/>
              </w:rPr>
            </w:pPr>
            <w:hyperlink r:id="rId32" w:history="1">
              <w:r w:rsidR="006A5839" w:rsidRPr="004A0C12">
                <w:rPr>
                  <w:rFonts w:ascii="Garamond" w:eastAsia="Times New Roman" w:hAnsi="Garamond" w:cs="Times New Roman"/>
                  <w:b/>
                  <w:bCs/>
                  <w:color w:val="1F497D"/>
                </w:rPr>
                <w:t>Office and Administrative Support Occupations</w:t>
              </w:r>
            </w:hyperlink>
          </w:p>
        </w:tc>
        <w:tc>
          <w:tcPr>
            <w:tcW w:w="0" w:type="auto"/>
            <w:tcBorders>
              <w:top w:val="single" w:sz="8" w:space="0" w:color="4F81BD"/>
              <w:bottom w:val="single" w:sz="8" w:space="0" w:color="4F81BD"/>
            </w:tcBorders>
            <w:shd w:val="clear" w:color="auto" w:fill="auto"/>
            <w:hideMark/>
          </w:tcPr>
          <w:p w14:paraId="31540804"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High School Diploma or Equivalent</w:t>
            </w:r>
          </w:p>
        </w:tc>
        <w:tc>
          <w:tcPr>
            <w:tcW w:w="1200" w:type="dxa"/>
            <w:tcBorders>
              <w:top w:val="single" w:sz="8" w:space="0" w:color="4F81BD"/>
              <w:bottom w:val="single" w:sz="8" w:space="0" w:color="4F81BD"/>
            </w:tcBorders>
            <w:shd w:val="clear" w:color="auto" w:fill="auto"/>
            <w:hideMark/>
          </w:tcPr>
          <w:p w14:paraId="7FC456DE"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2,258</w:t>
            </w:r>
          </w:p>
        </w:tc>
        <w:tc>
          <w:tcPr>
            <w:tcW w:w="1200" w:type="dxa"/>
            <w:tcBorders>
              <w:top w:val="single" w:sz="8" w:space="0" w:color="4F81BD"/>
              <w:bottom w:val="single" w:sz="8" w:space="0" w:color="4F81BD"/>
              <w:right w:val="single" w:sz="8" w:space="0" w:color="4F81BD"/>
            </w:tcBorders>
            <w:shd w:val="clear" w:color="auto" w:fill="auto"/>
            <w:hideMark/>
          </w:tcPr>
          <w:p w14:paraId="2A45858D"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N/A</w:t>
            </w:r>
          </w:p>
        </w:tc>
      </w:tr>
      <w:tr w:rsidR="006A5839" w:rsidRPr="004A0C12" w14:paraId="11813801" w14:textId="77777777" w:rsidTr="00555936">
        <w:trPr>
          <w:jc w:val="center"/>
        </w:trPr>
        <w:tc>
          <w:tcPr>
            <w:tcW w:w="0" w:type="auto"/>
            <w:shd w:val="clear" w:color="auto" w:fill="auto"/>
            <w:hideMark/>
          </w:tcPr>
          <w:p w14:paraId="3C92FFF9" w14:textId="77777777" w:rsidR="006A5839" w:rsidRPr="004A0C12" w:rsidRDefault="00943AA8" w:rsidP="00555936">
            <w:pPr>
              <w:spacing w:after="0" w:line="240" w:lineRule="auto"/>
              <w:rPr>
                <w:rFonts w:ascii="Garamond" w:eastAsia="Times New Roman" w:hAnsi="Garamond" w:cs="Times New Roman"/>
                <w:b/>
                <w:bCs/>
                <w:color w:val="1F497D"/>
              </w:rPr>
            </w:pPr>
            <w:hyperlink r:id="rId33" w:history="1">
              <w:r w:rsidR="006A5839" w:rsidRPr="004A0C12">
                <w:rPr>
                  <w:rFonts w:ascii="Garamond" w:eastAsia="Times New Roman" w:hAnsi="Garamond" w:cs="Times New Roman"/>
                  <w:b/>
                  <w:bCs/>
                  <w:color w:val="1F497D"/>
                </w:rPr>
                <w:t>Architecture and Engineering Occupations</w:t>
              </w:r>
            </w:hyperlink>
          </w:p>
        </w:tc>
        <w:tc>
          <w:tcPr>
            <w:tcW w:w="0" w:type="auto"/>
            <w:shd w:val="clear" w:color="auto" w:fill="auto"/>
            <w:hideMark/>
          </w:tcPr>
          <w:p w14:paraId="6E72CB0C"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Bachelor’s Degree</w:t>
            </w:r>
          </w:p>
        </w:tc>
        <w:tc>
          <w:tcPr>
            <w:tcW w:w="1200" w:type="dxa"/>
            <w:shd w:val="clear" w:color="auto" w:fill="auto"/>
            <w:hideMark/>
          </w:tcPr>
          <w:p w14:paraId="44E47229"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2,208</w:t>
            </w:r>
          </w:p>
        </w:tc>
        <w:tc>
          <w:tcPr>
            <w:tcW w:w="1200" w:type="dxa"/>
            <w:shd w:val="clear" w:color="auto" w:fill="auto"/>
            <w:hideMark/>
          </w:tcPr>
          <w:p w14:paraId="0AFC70D4"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$72,329</w:t>
            </w:r>
          </w:p>
        </w:tc>
      </w:tr>
      <w:tr w:rsidR="006A5839" w:rsidRPr="004A0C12" w14:paraId="79FF1348"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254E40AD" w14:textId="77777777" w:rsidR="006A5839" w:rsidRPr="004A0C12" w:rsidRDefault="00943AA8" w:rsidP="00555936">
            <w:pPr>
              <w:spacing w:after="0" w:line="240" w:lineRule="auto"/>
              <w:rPr>
                <w:rFonts w:ascii="Garamond" w:eastAsia="Times New Roman" w:hAnsi="Garamond" w:cs="Times New Roman"/>
                <w:b/>
                <w:bCs/>
                <w:color w:val="1F497D"/>
              </w:rPr>
            </w:pPr>
            <w:hyperlink r:id="rId34" w:history="1">
              <w:r w:rsidR="006A5839" w:rsidRPr="004A0C12">
                <w:rPr>
                  <w:rFonts w:ascii="Garamond" w:eastAsia="Times New Roman" w:hAnsi="Garamond" w:cs="Times New Roman"/>
                  <w:b/>
                  <w:bCs/>
                  <w:color w:val="1F497D"/>
                </w:rPr>
                <w:t>Sales and Related Occupations</w:t>
              </w:r>
            </w:hyperlink>
          </w:p>
        </w:tc>
        <w:tc>
          <w:tcPr>
            <w:tcW w:w="0" w:type="auto"/>
            <w:tcBorders>
              <w:top w:val="single" w:sz="8" w:space="0" w:color="4F81BD"/>
              <w:bottom w:val="single" w:sz="8" w:space="0" w:color="4F81BD"/>
            </w:tcBorders>
            <w:shd w:val="clear" w:color="auto" w:fill="auto"/>
            <w:hideMark/>
          </w:tcPr>
          <w:p w14:paraId="4613FD2C"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High School Diploma or Equivalent</w:t>
            </w:r>
          </w:p>
        </w:tc>
        <w:tc>
          <w:tcPr>
            <w:tcW w:w="1200" w:type="dxa"/>
            <w:tcBorders>
              <w:top w:val="single" w:sz="8" w:space="0" w:color="4F81BD"/>
              <w:bottom w:val="single" w:sz="8" w:space="0" w:color="4F81BD"/>
            </w:tcBorders>
            <w:shd w:val="clear" w:color="auto" w:fill="auto"/>
            <w:hideMark/>
          </w:tcPr>
          <w:p w14:paraId="07E4500A"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1,846</w:t>
            </w:r>
          </w:p>
        </w:tc>
        <w:tc>
          <w:tcPr>
            <w:tcW w:w="1200" w:type="dxa"/>
            <w:tcBorders>
              <w:top w:val="single" w:sz="8" w:space="0" w:color="4F81BD"/>
              <w:bottom w:val="single" w:sz="8" w:space="0" w:color="4F81BD"/>
              <w:right w:val="single" w:sz="8" w:space="0" w:color="4F81BD"/>
            </w:tcBorders>
            <w:shd w:val="clear" w:color="auto" w:fill="auto"/>
            <w:hideMark/>
          </w:tcPr>
          <w:p w14:paraId="5CDF34F2"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N/A</w:t>
            </w:r>
          </w:p>
        </w:tc>
      </w:tr>
      <w:tr w:rsidR="006A5839" w:rsidRPr="004A0C12" w14:paraId="736178DC" w14:textId="77777777" w:rsidTr="00555936">
        <w:trPr>
          <w:jc w:val="center"/>
        </w:trPr>
        <w:tc>
          <w:tcPr>
            <w:tcW w:w="0" w:type="auto"/>
            <w:shd w:val="clear" w:color="auto" w:fill="auto"/>
            <w:hideMark/>
          </w:tcPr>
          <w:p w14:paraId="4993BC86" w14:textId="77777777" w:rsidR="006A5839" w:rsidRPr="004A0C12" w:rsidRDefault="00943AA8" w:rsidP="00555936">
            <w:pPr>
              <w:spacing w:after="0" w:line="240" w:lineRule="auto"/>
              <w:rPr>
                <w:rFonts w:ascii="Garamond" w:eastAsia="Times New Roman" w:hAnsi="Garamond" w:cs="Times New Roman"/>
                <w:b/>
                <w:bCs/>
                <w:color w:val="1F497D"/>
              </w:rPr>
            </w:pPr>
            <w:hyperlink r:id="rId35" w:history="1">
              <w:r w:rsidR="006A5839" w:rsidRPr="004A0C12">
                <w:rPr>
                  <w:rFonts w:ascii="Garamond" w:eastAsia="Times New Roman" w:hAnsi="Garamond" w:cs="Times New Roman"/>
                  <w:b/>
                  <w:bCs/>
                  <w:color w:val="1F497D"/>
                </w:rPr>
                <w:t>Healthcare Practitioners and Technical Occupations</w:t>
              </w:r>
            </w:hyperlink>
          </w:p>
        </w:tc>
        <w:tc>
          <w:tcPr>
            <w:tcW w:w="0" w:type="auto"/>
            <w:shd w:val="clear" w:color="auto" w:fill="auto"/>
            <w:hideMark/>
          </w:tcPr>
          <w:p w14:paraId="43B434D3"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Bachelor’s Degree</w:t>
            </w:r>
          </w:p>
        </w:tc>
        <w:tc>
          <w:tcPr>
            <w:tcW w:w="1200" w:type="dxa"/>
            <w:shd w:val="clear" w:color="auto" w:fill="auto"/>
            <w:hideMark/>
          </w:tcPr>
          <w:p w14:paraId="735B5BD0"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1,749</w:t>
            </w:r>
          </w:p>
        </w:tc>
        <w:tc>
          <w:tcPr>
            <w:tcW w:w="1200" w:type="dxa"/>
            <w:shd w:val="clear" w:color="auto" w:fill="auto"/>
            <w:hideMark/>
          </w:tcPr>
          <w:p w14:paraId="12DE409D"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$72,783</w:t>
            </w:r>
          </w:p>
        </w:tc>
      </w:tr>
      <w:tr w:rsidR="006A5839" w:rsidRPr="004A0C12" w14:paraId="02193E3C"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7D66881A" w14:textId="77777777" w:rsidR="006A5839" w:rsidRPr="004A0C12" w:rsidRDefault="00943AA8" w:rsidP="00555936">
            <w:pPr>
              <w:spacing w:after="0" w:line="240" w:lineRule="auto"/>
              <w:rPr>
                <w:rFonts w:ascii="Garamond" w:eastAsia="Times New Roman" w:hAnsi="Garamond" w:cs="Times New Roman"/>
                <w:b/>
                <w:bCs/>
                <w:color w:val="1F497D"/>
              </w:rPr>
            </w:pPr>
            <w:hyperlink r:id="rId36" w:history="1">
              <w:r w:rsidR="006A5839" w:rsidRPr="004A0C12">
                <w:rPr>
                  <w:rFonts w:ascii="Garamond" w:eastAsia="Times New Roman" w:hAnsi="Garamond" w:cs="Times New Roman"/>
                  <w:b/>
                  <w:bCs/>
                  <w:color w:val="1F497D"/>
                </w:rPr>
                <w:t>Business and Financial Operations Occupations</w:t>
              </w:r>
            </w:hyperlink>
          </w:p>
        </w:tc>
        <w:tc>
          <w:tcPr>
            <w:tcW w:w="0" w:type="auto"/>
            <w:tcBorders>
              <w:top w:val="single" w:sz="8" w:space="0" w:color="4F81BD"/>
              <w:bottom w:val="single" w:sz="8" w:space="0" w:color="4F81BD"/>
            </w:tcBorders>
            <w:shd w:val="clear" w:color="auto" w:fill="auto"/>
            <w:hideMark/>
          </w:tcPr>
          <w:p w14:paraId="61805B22"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Bachelor’s Degree</w:t>
            </w:r>
          </w:p>
        </w:tc>
        <w:tc>
          <w:tcPr>
            <w:tcW w:w="1200" w:type="dxa"/>
            <w:tcBorders>
              <w:top w:val="single" w:sz="8" w:space="0" w:color="4F81BD"/>
              <w:bottom w:val="single" w:sz="8" w:space="0" w:color="4F81BD"/>
            </w:tcBorders>
            <w:shd w:val="clear" w:color="auto" w:fill="auto"/>
            <w:hideMark/>
          </w:tcPr>
          <w:p w14:paraId="143513C7"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1,645</w:t>
            </w:r>
          </w:p>
        </w:tc>
        <w:tc>
          <w:tcPr>
            <w:tcW w:w="1200" w:type="dxa"/>
            <w:tcBorders>
              <w:top w:val="single" w:sz="8" w:space="0" w:color="4F81BD"/>
              <w:bottom w:val="single" w:sz="8" w:space="0" w:color="4F81BD"/>
              <w:right w:val="single" w:sz="8" w:space="0" w:color="4F81BD"/>
            </w:tcBorders>
            <w:shd w:val="clear" w:color="auto" w:fill="auto"/>
            <w:hideMark/>
          </w:tcPr>
          <w:p w14:paraId="53446666"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$59,840</w:t>
            </w:r>
          </w:p>
        </w:tc>
      </w:tr>
      <w:tr w:rsidR="006A5839" w:rsidRPr="004A0C12" w14:paraId="44C7E6CA" w14:textId="77777777" w:rsidTr="00555936">
        <w:trPr>
          <w:jc w:val="center"/>
        </w:trPr>
        <w:tc>
          <w:tcPr>
            <w:tcW w:w="0" w:type="auto"/>
            <w:shd w:val="clear" w:color="auto" w:fill="auto"/>
            <w:hideMark/>
          </w:tcPr>
          <w:p w14:paraId="1D753BD8" w14:textId="77777777" w:rsidR="006A5839" w:rsidRPr="004A0C12" w:rsidRDefault="00943AA8" w:rsidP="00555936">
            <w:pPr>
              <w:spacing w:after="0" w:line="240" w:lineRule="auto"/>
              <w:rPr>
                <w:rFonts w:ascii="Garamond" w:eastAsia="Times New Roman" w:hAnsi="Garamond" w:cs="Times New Roman"/>
                <w:b/>
                <w:bCs/>
                <w:color w:val="1F497D"/>
              </w:rPr>
            </w:pPr>
            <w:hyperlink r:id="rId37" w:history="1">
              <w:r w:rsidR="006A5839" w:rsidRPr="004A0C12">
                <w:rPr>
                  <w:rFonts w:ascii="Garamond" w:eastAsia="Times New Roman" w:hAnsi="Garamond" w:cs="Times New Roman"/>
                  <w:b/>
                  <w:bCs/>
                  <w:color w:val="1F497D"/>
                </w:rPr>
                <w:t xml:space="preserve">Management </w:t>
              </w:r>
              <w:r w:rsidR="006A5839" w:rsidRPr="004A0C12">
                <w:rPr>
                  <w:rFonts w:ascii="Garamond" w:eastAsia="Times New Roman" w:hAnsi="Garamond" w:cs="Times New Roman"/>
                  <w:b/>
                  <w:bCs/>
                  <w:color w:val="1F497D"/>
                </w:rPr>
                <w:lastRenderedPageBreak/>
                <w:t>Occupations</w:t>
              </w:r>
            </w:hyperlink>
          </w:p>
        </w:tc>
        <w:tc>
          <w:tcPr>
            <w:tcW w:w="0" w:type="auto"/>
            <w:shd w:val="clear" w:color="auto" w:fill="auto"/>
            <w:hideMark/>
          </w:tcPr>
          <w:p w14:paraId="3585A237"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lastRenderedPageBreak/>
              <w:t xml:space="preserve">High School </w:t>
            </w:r>
            <w:r w:rsidRPr="004A0C12">
              <w:rPr>
                <w:rFonts w:ascii="Garamond" w:eastAsia="Times New Roman" w:hAnsi="Garamond" w:cs="Times New Roman"/>
              </w:rPr>
              <w:lastRenderedPageBreak/>
              <w:t>Diploma or Equivalent</w:t>
            </w:r>
          </w:p>
        </w:tc>
        <w:tc>
          <w:tcPr>
            <w:tcW w:w="1200" w:type="dxa"/>
            <w:shd w:val="clear" w:color="auto" w:fill="auto"/>
            <w:hideMark/>
          </w:tcPr>
          <w:p w14:paraId="62ACF32B"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lastRenderedPageBreak/>
              <w:t>1,121</w:t>
            </w:r>
          </w:p>
        </w:tc>
        <w:tc>
          <w:tcPr>
            <w:tcW w:w="1200" w:type="dxa"/>
            <w:shd w:val="clear" w:color="auto" w:fill="auto"/>
            <w:hideMark/>
          </w:tcPr>
          <w:p w14:paraId="1FF994A3"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N/A</w:t>
            </w:r>
          </w:p>
        </w:tc>
      </w:tr>
      <w:tr w:rsidR="006A5839" w:rsidRPr="004A0C12" w14:paraId="22D9FA53"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43EDA85A" w14:textId="77777777" w:rsidR="006A5839" w:rsidRPr="004A0C12" w:rsidRDefault="00943AA8" w:rsidP="00555936">
            <w:pPr>
              <w:spacing w:after="0" w:line="240" w:lineRule="auto"/>
              <w:rPr>
                <w:rFonts w:ascii="Garamond" w:eastAsia="Times New Roman" w:hAnsi="Garamond" w:cs="Times New Roman"/>
                <w:b/>
                <w:bCs/>
                <w:color w:val="1F497D"/>
              </w:rPr>
            </w:pPr>
            <w:hyperlink r:id="rId38" w:history="1">
              <w:r w:rsidR="006A5839" w:rsidRPr="004A0C12">
                <w:rPr>
                  <w:rFonts w:ascii="Garamond" w:eastAsia="Times New Roman" w:hAnsi="Garamond" w:cs="Times New Roman"/>
                  <w:b/>
                  <w:bCs/>
                  <w:color w:val="1F497D"/>
                </w:rPr>
                <w:t>Transportation and Material Moving Occupations</w:t>
              </w:r>
            </w:hyperlink>
          </w:p>
        </w:tc>
        <w:tc>
          <w:tcPr>
            <w:tcW w:w="0" w:type="auto"/>
            <w:tcBorders>
              <w:top w:val="single" w:sz="8" w:space="0" w:color="4F81BD"/>
              <w:bottom w:val="single" w:sz="8" w:space="0" w:color="4F81BD"/>
            </w:tcBorders>
            <w:shd w:val="clear" w:color="auto" w:fill="auto"/>
            <w:hideMark/>
          </w:tcPr>
          <w:p w14:paraId="0F605DCA"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High School Diploma or Equivalent</w:t>
            </w:r>
          </w:p>
        </w:tc>
        <w:tc>
          <w:tcPr>
            <w:tcW w:w="1200" w:type="dxa"/>
            <w:tcBorders>
              <w:top w:val="single" w:sz="8" w:space="0" w:color="4F81BD"/>
              <w:bottom w:val="single" w:sz="8" w:space="0" w:color="4F81BD"/>
            </w:tcBorders>
            <w:shd w:val="clear" w:color="auto" w:fill="auto"/>
            <w:hideMark/>
          </w:tcPr>
          <w:p w14:paraId="7EFAC0BB"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1,079</w:t>
            </w:r>
          </w:p>
        </w:tc>
        <w:tc>
          <w:tcPr>
            <w:tcW w:w="1200" w:type="dxa"/>
            <w:tcBorders>
              <w:top w:val="single" w:sz="8" w:space="0" w:color="4F81BD"/>
              <w:bottom w:val="single" w:sz="8" w:space="0" w:color="4F81BD"/>
              <w:right w:val="single" w:sz="8" w:space="0" w:color="4F81BD"/>
            </w:tcBorders>
            <w:shd w:val="clear" w:color="auto" w:fill="auto"/>
            <w:hideMark/>
          </w:tcPr>
          <w:p w14:paraId="74C0C888"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N/A</w:t>
            </w:r>
          </w:p>
        </w:tc>
      </w:tr>
      <w:tr w:rsidR="006A5839" w:rsidRPr="004A0C12" w14:paraId="3970F0E2" w14:textId="77777777" w:rsidTr="00555936">
        <w:trPr>
          <w:jc w:val="center"/>
        </w:trPr>
        <w:tc>
          <w:tcPr>
            <w:tcW w:w="0" w:type="auto"/>
            <w:shd w:val="clear" w:color="auto" w:fill="auto"/>
            <w:hideMark/>
          </w:tcPr>
          <w:p w14:paraId="1F6511CE" w14:textId="77777777" w:rsidR="006A5839" w:rsidRPr="004A0C12" w:rsidRDefault="00943AA8" w:rsidP="00555936">
            <w:pPr>
              <w:spacing w:after="0" w:line="240" w:lineRule="auto"/>
              <w:rPr>
                <w:rFonts w:ascii="Garamond" w:eastAsia="Times New Roman" w:hAnsi="Garamond" w:cs="Times New Roman"/>
                <w:b/>
                <w:bCs/>
                <w:color w:val="1F497D"/>
              </w:rPr>
            </w:pPr>
            <w:hyperlink r:id="rId39" w:history="1">
              <w:r w:rsidR="006A5839" w:rsidRPr="004A0C12">
                <w:rPr>
                  <w:rFonts w:ascii="Garamond" w:eastAsia="Times New Roman" w:hAnsi="Garamond" w:cs="Times New Roman"/>
                  <w:b/>
                  <w:bCs/>
                  <w:color w:val="1F497D"/>
                </w:rPr>
                <w:t>Healthcare Practitioners and Technical Occupations</w:t>
              </w:r>
            </w:hyperlink>
          </w:p>
        </w:tc>
        <w:tc>
          <w:tcPr>
            <w:tcW w:w="0" w:type="auto"/>
            <w:shd w:val="clear" w:color="auto" w:fill="auto"/>
            <w:hideMark/>
          </w:tcPr>
          <w:p w14:paraId="0368C28A"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No Minimum Education Requirement</w:t>
            </w:r>
          </w:p>
        </w:tc>
        <w:tc>
          <w:tcPr>
            <w:tcW w:w="1200" w:type="dxa"/>
            <w:shd w:val="clear" w:color="auto" w:fill="auto"/>
            <w:hideMark/>
          </w:tcPr>
          <w:p w14:paraId="64FBCC2C"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841</w:t>
            </w:r>
          </w:p>
        </w:tc>
        <w:tc>
          <w:tcPr>
            <w:tcW w:w="1200" w:type="dxa"/>
            <w:shd w:val="clear" w:color="auto" w:fill="auto"/>
            <w:hideMark/>
          </w:tcPr>
          <w:p w14:paraId="2AD49BFD"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N/A</w:t>
            </w:r>
          </w:p>
        </w:tc>
      </w:tr>
    </w:tbl>
    <w:p w14:paraId="3CD5DBE1" w14:textId="77777777" w:rsidR="006A5839" w:rsidRPr="004A0C12" w:rsidRDefault="006A5839" w:rsidP="006A5839">
      <w:pPr>
        <w:spacing w:after="0" w:line="240" w:lineRule="auto"/>
        <w:jc w:val="both"/>
        <w:rPr>
          <w:rFonts w:ascii="Garamond" w:hAnsi="Garamond"/>
        </w:rPr>
      </w:pPr>
    </w:p>
    <w:p w14:paraId="73610F0B" w14:textId="77777777" w:rsidR="006A5839" w:rsidRPr="004A0C12" w:rsidRDefault="006A5839" w:rsidP="006A5839">
      <w:pPr>
        <w:spacing w:after="0" w:line="240" w:lineRule="auto"/>
        <w:ind w:firstLine="720"/>
        <w:rPr>
          <w:rFonts w:ascii="Garamond" w:hAnsi="Garamond"/>
        </w:rPr>
      </w:pPr>
    </w:p>
    <w:tbl>
      <w:tblPr>
        <w:tblW w:w="6544" w:type="dxa"/>
        <w:jc w:val="center"/>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Caption w:val="Occupations and Experience Levels"/>
        <w:tblDescription w:val="The chart provides occupations and experience levels. "/>
      </w:tblPr>
      <w:tblGrid>
        <w:gridCol w:w="2694"/>
        <w:gridCol w:w="1450"/>
        <w:gridCol w:w="1200"/>
        <w:gridCol w:w="1200"/>
      </w:tblGrid>
      <w:tr w:rsidR="006A5839" w:rsidRPr="004A0C12" w14:paraId="7B990FCD" w14:textId="77777777" w:rsidTr="00555936">
        <w:trPr>
          <w:jc w:val="center"/>
        </w:trPr>
        <w:tc>
          <w:tcPr>
            <w:tcW w:w="0" w:type="auto"/>
            <w:shd w:val="clear" w:color="auto" w:fill="4F81BD"/>
            <w:hideMark/>
          </w:tcPr>
          <w:p w14:paraId="6D8AFDB2" w14:textId="77777777" w:rsidR="006A5839" w:rsidRPr="004A0C12" w:rsidRDefault="006A5839" w:rsidP="00555936">
            <w:pPr>
              <w:spacing w:after="0" w:line="240" w:lineRule="auto"/>
              <w:jc w:val="center"/>
              <w:rPr>
                <w:rFonts w:ascii="Garamond" w:eastAsia="Times New Roman" w:hAnsi="Garamond" w:cs="Times New Roman"/>
                <w:b/>
                <w:bCs/>
                <w:color w:val="FFFFFF"/>
              </w:rPr>
            </w:pPr>
            <w:r w:rsidRPr="004A0C12">
              <w:rPr>
                <w:rFonts w:ascii="Garamond" w:eastAsia="Times New Roman" w:hAnsi="Garamond" w:cs="Times New Roman"/>
                <w:b/>
                <w:bCs/>
                <w:color w:val="FFFFFF"/>
              </w:rPr>
              <w:t>Occupation</w:t>
            </w:r>
          </w:p>
        </w:tc>
        <w:tc>
          <w:tcPr>
            <w:tcW w:w="0" w:type="auto"/>
            <w:shd w:val="clear" w:color="auto" w:fill="4F81BD"/>
            <w:hideMark/>
          </w:tcPr>
          <w:p w14:paraId="08339AAA" w14:textId="77777777" w:rsidR="006A5839" w:rsidRPr="004A0C12" w:rsidRDefault="006A5839" w:rsidP="00555936">
            <w:pPr>
              <w:spacing w:after="0" w:line="240" w:lineRule="auto"/>
              <w:jc w:val="center"/>
              <w:rPr>
                <w:rFonts w:ascii="Garamond" w:eastAsia="Times New Roman" w:hAnsi="Garamond" w:cs="Times New Roman"/>
                <w:b/>
                <w:bCs/>
                <w:color w:val="FFFFFF"/>
              </w:rPr>
            </w:pPr>
            <w:r w:rsidRPr="004A0C12">
              <w:rPr>
                <w:rFonts w:ascii="Garamond" w:eastAsia="Times New Roman" w:hAnsi="Garamond" w:cs="Times New Roman"/>
                <w:b/>
                <w:bCs/>
                <w:color w:val="FFFFFF"/>
              </w:rPr>
              <w:t>Experience Level</w:t>
            </w:r>
          </w:p>
        </w:tc>
        <w:tc>
          <w:tcPr>
            <w:tcW w:w="0" w:type="auto"/>
            <w:shd w:val="clear" w:color="auto" w:fill="4F81BD"/>
            <w:hideMark/>
          </w:tcPr>
          <w:p w14:paraId="3EC12F1E" w14:textId="77777777" w:rsidR="006A5839" w:rsidRPr="004A0C12" w:rsidRDefault="006A5839" w:rsidP="00555936">
            <w:pPr>
              <w:spacing w:after="0" w:line="240" w:lineRule="auto"/>
              <w:jc w:val="center"/>
              <w:rPr>
                <w:rFonts w:ascii="Garamond" w:eastAsia="Times New Roman" w:hAnsi="Garamond" w:cs="Times New Roman"/>
                <w:b/>
                <w:bCs/>
                <w:color w:val="FFFFFF"/>
              </w:rPr>
            </w:pPr>
            <w:r w:rsidRPr="004A0C12">
              <w:rPr>
                <w:rFonts w:ascii="Garamond" w:eastAsia="Times New Roman" w:hAnsi="Garamond" w:cs="Times New Roman"/>
                <w:b/>
                <w:bCs/>
                <w:color w:val="FFFFFF"/>
              </w:rPr>
              <w:t>Job Openings</w:t>
            </w:r>
          </w:p>
        </w:tc>
        <w:tc>
          <w:tcPr>
            <w:tcW w:w="0" w:type="auto"/>
            <w:shd w:val="clear" w:color="auto" w:fill="4F81BD"/>
            <w:hideMark/>
          </w:tcPr>
          <w:p w14:paraId="1439770E" w14:textId="77777777" w:rsidR="006A5839" w:rsidRPr="004A0C12" w:rsidRDefault="006A5839" w:rsidP="00555936">
            <w:pPr>
              <w:spacing w:after="0" w:line="240" w:lineRule="auto"/>
              <w:jc w:val="center"/>
              <w:rPr>
                <w:rFonts w:ascii="Garamond" w:eastAsia="Times New Roman" w:hAnsi="Garamond" w:cs="Times New Roman"/>
                <w:b/>
                <w:bCs/>
                <w:color w:val="FFFFFF"/>
              </w:rPr>
            </w:pPr>
            <w:r w:rsidRPr="004A0C12">
              <w:rPr>
                <w:rFonts w:ascii="Garamond" w:eastAsia="Times New Roman" w:hAnsi="Garamond" w:cs="Times New Roman"/>
                <w:b/>
                <w:bCs/>
                <w:color w:val="FFFFFF"/>
              </w:rPr>
              <w:t>Mean (Average) Wage</w:t>
            </w:r>
          </w:p>
        </w:tc>
      </w:tr>
      <w:tr w:rsidR="006A5839" w:rsidRPr="004A0C12" w14:paraId="7B667506"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3A0022C2" w14:textId="77777777" w:rsidR="006A5839" w:rsidRPr="004A0C12" w:rsidRDefault="00943AA8" w:rsidP="00555936">
            <w:pPr>
              <w:spacing w:after="0" w:line="240" w:lineRule="auto"/>
              <w:rPr>
                <w:rFonts w:ascii="Garamond" w:eastAsia="Times New Roman" w:hAnsi="Garamond" w:cs="Times New Roman"/>
                <w:b/>
                <w:bCs/>
                <w:color w:val="1F497D"/>
              </w:rPr>
            </w:pPr>
            <w:hyperlink r:id="rId40" w:history="1">
              <w:r w:rsidR="006A5839" w:rsidRPr="004A0C12">
                <w:rPr>
                  <w:rFonts w:ascii="Garamond" w:eastAsia="Times New Roman" w:hAnsi="Garamond" w:cs="Times New Roman"/>
                  <w:b/>
                  <w:bCs/>
                  <w:color w:val="1F497D"/>
                </w:rPr>
                <w:t>Computer and Mathematical Occupations</w:t>
              </w:r>
            </w:hyperlink>
          </w:p>
        </w:tc>
        <w:tc>
          <w:tcPr>
            <w:tcW w:w="0" w:type="auto"/>
            <w:tcBorders>
              <w:top w:val="single" w:sz="8" w:space="0" w:color="4F81BD"/>
              <w:bottom w:val="single" w:sz="8" w:space="0" w:color="4F81BD"/>
            </w:tcBorders>
            <w:shd w:val="clear" w:color="auto" w:fill="auto"/>
            <w:hideMark/>
          </w:tcPr>
          <w:p w14:paraId="32424CE9"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Less than 1 year</w:t>
            </w:r>
          </w:p>
        </w:tc>
        <w:tc>
          <w:tcPr>
            <w:tcW w:w="1200" w:type="dxa"/>
            <w:tcBorders>
              <w:top w:val="single" w:sz="8" w:space="0" w:color="4F81BD"/>
              <w:bottom w:val="single" w:sz="8" w:space="0" w:color="4F81BD"/>
            </w:tcBorders>
            <w:shd w:val="clear" w:color="auto" w:fill="auto"/>
            <w:hideMark/>
          </w:tcPr>
          <w:p w14:paraId="348D57B8"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3,676</w:t>
            </w:r>
          </w:p>
        </w:tc>
        <w:tc>
          <w:tcPr>
            <w:tcW w:w="1200" w:type="dxa"/>
            <w:tcBorders>
              <w:top w:val="single" w:sz="8" w:space="0" w:color="4F81BD"/>
              <w:bottom w:val="single" w:sz="8" w:space="0" w:color="4F81BD"/>
              <w:right w:val="single" w:sz="8" w:space="0" w:color="4F81BD"/>
            </w:tcBorders>
            <w:shd w:val="clear" w:color="auto" w:fill="auto"/>
            <w:hideMark/>
          </w:tcPr>
          <w:p w14:paraId="2D6AF5DA"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$80,946</w:t>
            </w:r>
          </w:p>
        </w:tc>
      </w:tr>
      <w:tr w:rsidR="006A5839" w:rsidRPr="004A0C12" w14:paraId="1971A3C8" w14:textId="77777777" w:rsidTr="00555936">
        <w:trPr>
          <w:jc w:val="center"/>
        </w:trPr>
        <w:tc>
          <w:tcPr>
            <w:tcW w:w="0" w:type="auto"/>
            <w:shd w:val="clear" w:color="auto" w:fill="auto"/>
            <w:hideMark/>
          </w:tcPr>
          <w:p w14:paraId="24A4564D" w14:textId="77777777" w:rsidR="006A5839" w:rsidRPr="004A0C12" w:rsidRDefault="00943AA8" w:rsidP="00555936">
            <w:pPr>
              <w:spacing w:after="0" w:line="240" w:lineRule="auto"/>
              <w:rPr>
                <w:rFonts w:ascii="Garamond" w:eastAsia="Times New Roman" w:hAnsi="Garamond" w:cs="Times New Roman"/>
                <w:b/>
                <w:bCs/>
                <w:color w:val="1F497D"/>
              </w:rPr>
            </w:pPr>
            <w:hyperlink r:id="rId41" w:history="1">
              <w:r w:rsidR="006A5839" w:rsidRPr="004A0C12">
                <w:rPr>
                  <w:rFonts w:ascii="Garamond" w:eastAsia="Times New Roman" w:hAnsi="Garamond" w:cs="Times New Roman"/>
                  <w:b/>
                  <w:bCs/>
                  <w:color w:val="1F497D"/>
                </w:rPr>
                <w:t>Healthcare Practitioners and Technical Occupations</w:t>
              </w:r>
            </w:hyperlink>
          </w:p>
        </w:tc>
        <w:tc>
          <w:tcPr>
            <w:tcW w:w="0" w:type="auto"/>
            <w:shd w:val="clear" w:color="auto" w:fill="auto"/>
            <w:hideMark/>
          </w:tcPr>
          <w:p w14:paraId="4F8F89D6"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Less than 1 year</w:t>
            </w:r>
          </w:p>
        </w:tc>
        <w:tc>
          <w:tcPr>
            <w:tcW w:w="1200" w:type="dxa"/>
            <w:shd w:val="clear" w:color="auto" w:fill="auto"/>
            <w:hideMark/>
          </w:tcPr>
          <w:p w14:paraId="50A7A39E"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2,133</w:t>
            </w:r>
          </w:p>
        </w:tc>
        <w:tc>
          <w:tcPr>
            <w:tcW w:w="1200" w:type="dxa"/>
            <w:shd w:val="clear" w:color="auto" w:fill="auto"/>
            <w:hideMark/>
          </w:tcPr>
          <w:p w14:paraId="4A3CCC2C"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$56,002</w:t>
            </w:r>
          </w:p>
        </w:tc>
      </w:tr>
      <w:tr w:rsidR="006A5839" w:rsidRPr="004A0C12" w14:paraId="2517C8EF"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37A4E36F" w14:textId="77777777" w:rsidR="006A5839" w:rsidRPr="004A0C12" w:rsidRDefault="00943AA8" w:rsidP="00555936">
            <w:pPr>
              <w:spacing w:after="0" w:line="240" w:lineRule="auto"/>
              <w:rPr>
                <w:rFonts w:ascii="Garamond" w:eastAsia="Times New Roman" w:hAnsi="Garamond" w:cs="Times New Roman"/>
                <w:b/>
                <w:bCs/>
                <w:color w:val="1F497D"/>
              </w:rPr>
            </w:pPr>
            <w:hyperlink r:id="rId42" w:history="1">
              <w:r w:rsidR="006A5839" w:rsidRPr="004A0C12">
                <w:rPr>
                  <w:rFonts w:ascii="Garamond" w:eastAsia="Times New Roman" w:hAnsi="Garamond" w:cs="Times New Roman"/>
                  <w:b/>
                  <w:bCs/>
                  <w:color w:val="1F497D"/>
                </w:rPr>
                <w:t>Office and Administrative Support Occupations</w:t>
              </w:r>
            </w:hyperlink>
          </w:p>
        </w:tc>
        <w:tc>
          <w:tcPr>
            <w:tcW w:w="0" w:type="auto"/>
            <w:tcBorders>
              <w:top w:val="single" w:sz="8" w:space="0" w:color="4F81BD"/>
              <w:bottom w:val="single" w:sz="8" w:space="0" w:color="4F81BD"/>
            </w:tcBorders>
            <w:shd w:val="clear" w:color="auto" w:fill="auto"/>
            <w:hideMark/>
          </w:tcPr>
          <w:p w14:paraId="4BB5E081"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Less than 1 year</w:t>
            </w:r>
          </w:p>
        </w:tc>
        <w:tc>
          <w:tcPr>
            <w:tcW w:w="1200" w:type="dxa"/>
            <w:tcBorders>
              <w:top w:val="single" w:sz="8" w:space="0" w:color="4F81BD"/>
              <w:bottom w:val="single" w:sz="8" w:space="0" w:color="4F81BD"/>
            </w:tcBorders>
            <w:shd w:val="clear" w:color="auto" w:fill="auto"/>
            <w:hideMark/>
          </w:tcPr>
          <w:p w14:paraId="1B72A422"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1,573</w:t>
            </w:r>
          </w:p>
        </w:tc>
        <w:tc>
          <w:tcPr>
            <w:tcW w:w="1200" w:type="dxa"/>
            <w:tcBorders>
              <w:top w:val="single" w:sz="8" w:space="0" w:color="4F81BD"/>
              <w:bottom w:val="single" w:sz="8" w:space="0" w:color="4F81BD"/>
              <w:right w:val="single" w:sz="8" w:space="0" w:color="4F81BD"/>
            </w:tcBorders>
            <w:shd w:val="clear" w:color="auto" w:fill="auto"/>
            <w:hideMark/>
          </w:tcPr>
          <w:p w14:paraId="180F7C14"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$27,490</w:t>
            </w:r>
          </w:p>
        </w:tc>
      </w:tr>
      <w:tr w:rsidR="006A5839" w:rsidRPr="004A0C12" w14:paraId="7DE29E40" w14:textId="77777777" w:rsidTr="00555936">
        <w:trPr>
          <w:jc w:val="center"/>
        </w:trPr>
        <w:tc>
          <w:tcPr>
            <w:tcW w:w="0" w:type="auto"/>
            <w:shd w:val="clear" w:color="auto" w:fill="auto"/>
            <w:hideMark/>
          </w:tcPr>
          <w:p w14:paraId="1C843F1C" w14:textId="77777777" w:rsidR="006A5839" w:rsidRPr="004A0C12" w:rsidRDefault="00943AA8" w:rsidP="00555936">
            <w:pPr>
              <w:spacing w:after="0" w:line="240" w:lineRule="auto"/>
              <w:rPr>
                <w:rFonts w:ascii="Garamond" w:eastAsia="Times New Roman" w:hAnsi="Garamond" w:cs="Times New Roman"/>
                <w:b/>
                <w:bCs/>
                <w:color w:val="1F497D"/>
              </w:rPr>
            </w:pPr>
            <w:hyperlink r:id="rId43" w:history="1">
              <w:r w:rsidR="006A5839" w:rsidRPr="004A0C12">
                <w:rPr>
                  <w:rFonts w:ascii="Garamond" w:eastAsia="Times New Roman" w:hAnsi="Garamond" w:cs="Times New Roman"/>
                  <w:b/>
                  <w:bCs/>
                  <w:color w:val="1F497D"/>
                </w:rPr>
                <w:t>Business and Financial Operations Occupations</w:t>
              </w:r>
            </w:hyperlink>
          </w:p>
        </w:tc>
        <w:tc>
          <w:tcPr>
            <w:tcW w:w="0" w:type="auto"/>
            <w:shd w:val="clear" w:color="auto" w:fill="auto"/>
            <w:hideMark/>
          </w:tcPr>
          <w:p w14:paraId="1875D730"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Less than 1 year</w:t>
            </w:r>
          </w:p>
        </w:tc>
        <w:tc>
          <w:tcPr>
            <w:tcW w:w="1200" w:type="dxa"/>
            <w:shd w:val="clear" w:color="auto" w:fill="auto"/>
            <w:hideMark/>
          </w:tcPr>
          <w:p w14:paraId="7BCD00E2"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1,496</w:t>
            </w:r>
          </w:p>
        </w:tc>
        <w:tc>
          <w:tcPr>
            <w:tcW w:w="1200" w:type="dxa"/>
            <w:shd w:val="clear" w:color="auto" w:fill="auto"/>
            <w:hideMark/>
          </w:tcPr>
          <w:p w14:paraId="02A7E401"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$59,018</w:t>
            </w:r>
          </w:p>
        </w:tc>
      </w:tr>
      <w:tr w:rsidR="006A5839" w:rsidRPr="004A0C12" w14:paraId="2B6AB472"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79DDFDAD" w14:textId="77777777" w:rsidR="006A5839" w:rsidRPr="004A0C12" w:rsidRDefault="00943AA8" w:rsidP="00555936">
            <w:pPr>
              <w:spacing w:after="0" w:line="240" w:lineRule="auto"/>
              <w:rPr>
                <w:rFonts w:ascii="Garamond" w:eastAsia="Times New Roman" w:hAnsi="Garamond" w:cs="Times New Roman"/>
                <w:b/>
                <w:bCs/>
                <w:color w:val="1F497D"/>
              </w:rPr>
            </w:pPr>
            <w:hyperlink r:id="rId44" w:history="1">
              <w:r w:rsidR="006A5839" w:rsidRPr="004A0C12">
                <w:rPr>
                  <w:rFonts w:ascii="Garamond" w:eastAsia="Times New Roman" w:hAnsi="Garamond" w:cs="Times New Roman"/>
                  <w:b/>
                  <w:bCs/>
                  <w:color w:val="1F497D"/>
                </w:rPr>
                <w:t>Management Occupations</w:t>
              </w:r>
            </w:hyperlink>
          </w:p>
        </w:tc>
        <w:tc>
          <w:tcPr>
            <w:tcW w:w="0" w:type="auto"/>
            <w:tcBorders>
              <w:top w:val="single" w:sz="8" w:space="0" w:color="4F81BD"/>
              <w:bottom w:val="single" w:sz="8" w:space="0" w:color="4F81BD"/>
            </w:tcBorders>
            <w:shd w:val="clear" w:color="auto" w:fill="auto"/>
            <w:hideMark/>
          </w:tcPr>
          <w:p w14:paraId="5459D35A"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Less than 1 year</w:t>
            </w:r>
          </w:p>
        </w:tc>
        <w:tc>
          <w:tcPr>
            <w:tcW w:w="1200" w:type="dxa"/>
            <w:tcBorders>
              <w:top w:val="single" w:sz="8" w:space="0" w:color="4F81BD"/>
              <w:bottom w:val="single" w:sz="8" w:space="0" w:color="4F81BD"/>
            </w:tcBorders>
            <w:shd w:val="clear" w:color="auto" w:fill="auto"/>
            <w:hideMark/>
          </w:tcPr>
          <w:p w14:paraId="150E0721"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1,185</w:t>
            </w:r>
          </w:p>
        </w:tc>
        <w:tc>
          <w:tcPr>
            <w:tcW w:w="1200" w:type="dxa"/>
            <w:tcBorders>
              <w:top w:val="single" w:sz="8" w:space="0" w:color="4F81BD"/>
              <w:bottom w:val="single" w:sz="8" w:space="0" w:color="4F81BD"/>
              <w:right w:val="single" w:sz="8" w:space="0" w:color="4F81BD"/>
            </w:tcBorders>
            <w:shd w:val="clear" w:color="auto" w:fill="auto"/>
            <w:hideMark/>
          </w:tcPr>
          <w:p w14:paraId="563431E3"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$68,664</w:t>
            </w:r>
          </w:p>
        </w:tc>
      </w:tr>
      <w:tr w:rsidR="006A5839" w:rsidRPr="004A0C12" w14:paraId="22A9B6E1" w14:textId="77777777" w:rsidTr="00555936">
        <w:trPr>
          <w:jc w:val="center"/>
        </w:trPr>
        <w:tc>
          <w:tcPr>
            <w:tcW w:w="0" w:type="auto"/>
            <w:shd w:val="clear" w:color="auto" w:fill="auto"/>
            <w:hideMark/>
          </w:tcPr>
          <w:p w14:paraId="3799513B" w14:textId="77777777" w:rsidR="006A5839" w:rsidRPr="004A0C12" w:rsidRDefault="00943AA8" w:rsidP="00555936">
            <w:pPr>
              <w:spacing w:after="0" w:line="240" w:lineRule="auto"/>
              <w:rPr>
                <w:rFonts w:ascii="Garamond" w:eastAsia="Times New Roman" w:hAnsi="Garamond" w:cs="Times New Roman"/>
                <w:b/>
                <w:bCs/>
                <w:color w:val="1F497D"/>
              </w:rPr>
            </w:pPr>
            <w:hyperlink r:id="rId45" w:history="1">
              <w:r w:rsidR="006A5839" w:rsidRPr="004A0C12">
                <w:rPr>
                  <w:rFonts w:ascii="Garamond" w:eastAsia="Times New Roman" w:hAnsi="Garamond" w:cs="Times New Roman"/>
                  <w:b/>
                  <w:bCs/>
                  <w:color w:val="1F497D"/>
                </w:rPr>
                <w:t>Sales and Related Occupations</w:t>
              </w:r>
            </w:hyperlink>
          </w:p>
        </w:tc>
        <w:tc>
          <w:tcPr>
            <w:tcW w:w="0" w:type="auto"/>
            <w:shd w:val="clear" w:color="auto" w:fill="auto"/>
            <w:hideMark/>
          </w:tcPr>
          <w:p w14:paraId="0FCE19C8"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Less than 1 year</w:t>
            </w:r>
          </w:p>
        </w:tc>
        <w:tc>
          <w:tcPr>
            <w:tcW w:w="1200" w:type="dxa"/>
            <w:shd w:val="clear" w:color="auto" w:fill="auto"/>
            <w:hideMark/>
          </w:tcPr>
          <w:p w14:paraId="70BFBCDC"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1,155</w:t>
            </w:r>
          </w:p>
        </w:tc>
        <w:tc>
          <w:tcPr>
            <w:tcW w:w="1200" w:type="dxa"/>
            <w:shd w:val="clear" w:color="auto" w:fill="auto"/>
            <w:hideMark/>
          </w:tcPr>
          <w:p w14:paraId="06BD2E66"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$26,590</w:t>
            </w:r>
          </w:p>
        </w:tc>
      </w:tr>
      <w:tr w:rsidR="006A5839" w:rsidRPr="004A0C12" w14:paraId="5B2D457C"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63D99593" w14:textId="77777777" w:rsidR="006A5839" w:rsidRPr="004A0C12" w:rsidRDefault="00943AA8" w:rsidP="00555936">
            <w:pPr>
              <w:spacing w:after="0" w:line="240" w:lineRule="auto"/>
              <w:rPr>
                <w:rFonts w:ascii="Garamond" w:eastAsia="Times New Roman" w:hAnsi="Garamond" w:cs="Times New Roman"/>
                <w:b/>
                <w:bCs/>
                <w:color w:val="1F497D"/>
              </w:rPr>
            </w:pPr>
            <w:hyperlink r:id="rId46" w:history="1">
              <w:r w:rsidR="006A5839" w:rsidRPr="004A0C12">
                <w:rPr>
                  <w:rFonts w:ascii="Garamond" w:eastAsia="Times New Roman" w:hAnsi="Garamond" w:cs="Times New Roman"/>
                  <w:b/>
                  <w:bCs/>
                  <w:color w:val="1F497D"/>
                </w:rPr>
                <w:t>Architecture and Engineering Occupations</w:t>
              </w:r>
            </w:hyperlink>
          </w:p>
        </w:tc>
        <w:tc>
          <w:tcPr>
            <w:tcW w:w="0" w:type="auto"/>
            <w:tcBorders>
              <w:top w:val="single" w:sz="8" w:space="0" w:color="4F81BD"/>
              <w:bottom w:val="single" w:sz="8" w:space="0" w:color="4F81BD"/>
            </w:tcBorders>
            <w:shd w:val="clear" w:color="auto" w:fill="auto"/>
            <w:hideMark/>
          </w:tcPr>
          <w:p w14:paraId="2D4C1F51"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Less than 1 year</w:t>
            </w:r>
          </w:p>
        </w:tc>
        <w:tc>
          <w:tcPr>
            <w:tcW w:w="1200" w:type="dxa"/>
            <w:tcBorders>
              <w:top w:val="single" w:sz="8" w:space="0" w:color="4F81BD"/>
              <w:bottom w:val="single" w:sz="8" w:space="0" w:color="4F81BD"/>
            </w:tcBorders>
            <w:shd w:val="clear" w:color="auto" w:fill="auto"/>
            <w:hideMark/>
          </w:tcPr>
          <w:p w14:paraId="5C5A2404"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1,057</w:t>
            </w:r>
          </w:p>
        </w:tc>
        <w:tc>
          <w:tcPr>
            <w:tcW w:w="1200" w:type="dxa"/>
            <w:tcBorders>
              <w:top w:val="single" w:sz="8" w:space="0" w:color="4F81BD"/>
              <w:bottom w:val="single" w:sz="8" w:space="0" w:color="4F81BD"/>
              <w:right w:val="single" w:sz="8" w:space="0" w:color="4F81BD"/>
            </w:tcBorders>
            <w:shd w:val="clear" w:color="auto" w:fill="auto"/>
            <w:hideMark/>
          </w:tcPr>
          <w:p w14:paraId="09249322"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$67,442</w:t>
            </w:r>
          </w:p>
        </w:tc>
      </w:tr>
      <w:tr w:rsidR="006A5839" w:rsidRPr="004A0C12" w14:paraId="4316C6F9" w14:textId="77777777" w:rsidTr="00555936">
        <w:trPr>
          <w:jc w:val="center"/>
        </w:trPr>
        <w:tc>
          <w:tcPr>
            <w:tcW w:w="0" w:type="auto"/>
            <w:shd w:val="clear" w:color="auto" w:fill="auto"/>
            <w:hideMark/>
          </w:tcPr>
          <w:p w14:paraId="72CF807C" w14:textId="77777777" w:rsidR="006A5839" w:rsidRPr="004A0C12" w:rsidRDefault="00943AA8" w:rsidP="00555936">
            <w:pPr>
              <w:spacing w:after="0" w:line="240" w:lineRule="auto"/>
              <w:rPr>
                <w:rFonts w:ascii="Garamond" w:eastAsia="Times New Roman" w:hAnsi="Garamond" w:cs="Times New Roman"/>
                <w:b/>
                <w:bCs/>
                <w:color w:val="1F497D"/>
              </w:rPr>
            </w:pPr>
            <w:hyperlink r:id="rId47" w:history="1">
              <w:r w:rsidR="006A5839" w:rsidRPr="004A0C12">
                <w:rPr>
                  <w:rFonts w:ascii="Garamond" w:eastAsia="Times New Roman" w:hAnsi="Garamond" w:cs="Times New Roman"/>
                  <w:b/>
                  <w:bCs/>
                  <w:color w:val="1F497D"/>
                </w:rPr>
                <w:t>Management Occupations</w:t>
              </w:r>
            </w:hyperlink>
          </w:p>
        </w:tc>
        <w:tc>
          <w:tcPr>
            <w:tcW w:w="0" w:type="auto"/>
            <w:shd w:val="clear" w:color="auto" w:fill="auto"/>
            <w:hideMark/>
          </w:tcPr>
          <w:p w14:paraId="1D80F81B"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2 Years to 5 Years</w:t>
            </w:r>
          </w:p>
        </w:tc>
        <w:tc>
          <w:tcPr>
            <w:tcW w:w="1200" w:type="dxa"/>
            <w:shd w:val="clear" w:color="auto" w:fill="auto"/>
            <w:hideMark/>
          </w:tcPr>
          <w:p w14:paraId="77BADC3A"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742</w:t>
            </w:r>
          </w:p>
        </w:tc>
        <w:tc>
          <w:tcPr>
            <w:tcW w:w="1200" w:type="dxa"/>
            <w:shd w:val="clear" w:color="auto" w:fill="auto"/>
            <w:hideMark/>
          </w:tcPr>
          <w:p w14:paraId="569F94A8"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$78,870</w:t>
            </w:r>
          </w:p>
        </w:tc>
      </w:tr>
      <w:tr w:rsidR="006A5839" w:rsidRPr="004A0C12" w14:paraId="043DF266" w14:textId="77777777" w:rsidTr="00555936">
        <w:trPr>
          <w:jc w:val="center"/>
        </w:trPr>
        <w:tc>
          <w:tcPr>
            <w:tcW w:w="0" w:type="auto"/>
            <w:tcBorders>
              <w:top w:val="single" w:sz="8" w:space="0" w:color="4F81BD"/>
              <w:left w:val="single" w:sz="8" w:space="0" w:color="4F81BD"/>
              <w:bottom w:val="single" w:sz="8" w:space="0" w:color="4F81BD"/>
            </w:tcBorders>
            <w:shd w:val="clear" w:color="auto" w:fill="auto"/>
            <w:hideMark/>
          </w:tcPr>
          <w:p w14:paraId="5BDC2568" w14:textId="77777777" w:rsidR="006A5839" w:rsidRPr="004A0C12" w:rsidRDefault="00943AA8" w:rsidP="00555936">
            <w:pPr>
              <w:spacing w:after="0" w:line="240" w:lineRule="auto"/>
              <w:rPr>
                <w:rFonts w:ascii="Garamond" w:eastAsia="Times New Roman" w:hAnsi="Garamond" w:cs="Times New Roman"/>
                <w:b/>
                <w:bCs/>
                <w:color w:val="1F497D"/>
              </w:rPr>
            </w:pPr>
            <w:hyperlink r:id="rId48" w:history="1">
              <w:r w:rsidR="006A5839" w:rsidRPr="004A0C12">
                <w:rPr>
                  <w:rFonts w:ascii="Garamond" w:eastAsia="Times New Roman" w:hAnsi="Garamond" w:cs="Times New Roman"/>
                  <w:b/>
                  <w:bCs/>
                  <w:color w:val="1F497D"/>
                </w:rPr>
                <w:t>Management Occupations</w:t>
              </w:r>
            </w:hyperlink>
          </w:p>
        </w:tc>
        <w:tc>
          <w:tcPr>
            <w:tcW w:w="0" w:type="auto"/>
            <w:tcBorders>
              <w:top w:val="single" w:sz="8" w:space="0" w:color="4F81BD"/>
              <w:bottom w:val="single" w:sz="8" w:space="0" w:color="4F81BD"/>
            </w:tcBorders>
            <w:shd w:val="clear" w:color="auto" w:fill="auto"/>
            <w:hideMark/>
          </w:tcPr>
          <w:p w14:paraId="2793F6A7"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1 Year to 2 Years</w:t>
            </w:r>
          </w:p>
        </w:tc>
        <w:tc>
          <w:tcPr>
            <w:tcW w:w="1200" w:type="dxa"/>
            <w:tcBorders>
              <w:top w:val="single" w:sz="8" w:space="0" w:color="4F81BD"/>
              <w:bottom w:val="single" w:sz="8" w:space="0" w:color="4F81BD"/>
            </w:tcBorders>
            <w:shd w:val="clear" w:color="auto" w:fill="auto"/>
            <w:hideMark/>
          </w:tcPr>
          <w:p w14:paraId="726A1F69"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697</w:t>
            </w:r>
          </w:p>
        </w:tc>
        <w:tc>
          <w:tcPr>
            <w:tcW w:w="1200" w:type="dxa"/>
            <w:tcBorders>
              <w:top w:val="single" w:sz="8" w:space="0" w:color="4F81BD"/>
              <w:bottom w:val="single" w:sz="8" w:space="0" w:color="4F81BD"/>
              <w:right w:val="single" w:sz="8" w:space="0" w:color="4F81BD"/>
            </w:tcBorders>
            <w:shd w:val="clear" w:color="auto" w:fill="auto"/>
            <w:hideMark/>
          </w:tcPr>
          <w:p w14:paraId="6C43E891"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$63,678</w:t>
            </w:r>
          </w:p>
        </w:tc>
      </w:tr>
      <w:tr w:rsidR="006A5839" w:rsidRPr="004A0C12" w14:paraId="398F3342" w14:textId="77777777" w:rsidTr="00555936">
        <w:trPr>
          <w:jc w:val="center"/>
        </w:trPr>
        <w:tc>
          <w:tcPr>
            <w:tcW w:w="0" w:type="auto"/>
            <w:shd w:val="clear" w:color="auto" w:fill="auto"/>
            <w:hideMark/>
          </w:tcPr>
          <w:p w14:paraId="5788DFF0" w14:textId="77777777" w:rsidR="006A5839" w:rsidRPr="004A0C12" w:rsidRDefault="00943AA8" w:rsidP="00555936">
            <w:pPr>
              <w:spacing w:after="0" w:line="240" w:lineRule="auto"/>
              <w:rPr>
                <w:rFonts w:ascii="Garamond" w:eastAsia="Times New Roman" w:hAnsi="Garamond" w:cs="Times New Roman"/>
                <w:b/>
                <w:bCs/>
                <w:color w:val="1F497D"/>
              </w:rPr>
            </w:pPr>
            <w:hyperlink r:id="rId49" w:history="1">
              <w:r w:rsidR="006A5839" w:rsidRPr="004A0C12">
                <w:rPr>
                  <w:rFonts w:ascii="Garamond" w:eastAsia="Times New Roman" w:hAnsi="Garamond" w:cs="Times New Roman"/>
                  <w:b/>
                  <w:bCs/>
                  <w:color w:val="1F497D"/>
                </w:rPr>
                <w:t>Healthcare Practitioners and Technical Occupations</w:t>
              </w:r>
            </w:hyperlink>
          </w:p>
        </w:tc>
        <w:tc>
          <w:tcPr>
            <w:tcW w:w="0" w:type="auto"/>
            <w:shd w:val="clear" w:color="auto" w:fill="auto"/>
            <w:hideMark/>
          </w:tcPr>
          <w:p w14:paraId="3903CC76" w14:textId="77777777" w:rsidR="006A5839" w:rsidRPr="004A0C12" w:rsidRDefault="006A5839" w:rsidP="00555936">
            <w:pPr>
              <w:spacing w:after="0" w:line="240" w:lineRule="auto"/>
              <w:rPr>
                <w:rFonts w:ascii="Garamond" w:eastAsia="Times New Roman" w:hAnsi="Garamond" w:cs="Times New Roman"/>
              </w:rPr>
            </w:pPr>
            <w:r w:rsidRPr="004A0C12">
              <w:rPr>
                <w:rFonts w:ascii="Garamond" w:eastAsia="Times New Roman" w:hAnsi="Garamond" w:cs="Times New Roman"/>
              </w:rPr>
              <w:t>1 Year to 2 Years</w:t>
            </w:r>
          </w:p>
        </w:tc>
        <w:tc>
          <w:tcPr>
            <w:tcW w:w="1200" w:type="dxa"/>
            <w:shd w:val="clear" w:color="auto" w:fill="auto"/>
            <w:hideMark/>
          </w:tcPr>
          <w:p w14:paraId="61C78F46" w14:textId="77777777" w:rsidR="006A5839" w:rsidRPr="004A0C12" w:rsidRDefault="006A5839" w:rsidP="00555936">
            <w:pPr>
              <w:spacing w:after="0" w:line="240" w:lineRule="auto"/>
              <w:jc w:val="right"/>
              <w:rPr>
                <w:rFonts w:ascii="Garamond" w:eastAsia="Times New Roman" w:hAnsi="Garamond" w:cs="Times New Roman"/>
              </w:rPr>
            </w:pPr>
            <w:r w:rsidRPr="004A0C12">
              <w:rPr>
                <w:rFonts w:ascii="Garamond" w:eastAsia="Times New Roman" w:hAnsi="Garamond" w:cs="Times New Roman"/>
              </w:rPr>
              <w:t>655</w:t>
            </w:r>
          </w:p>
        </w:tc>
        <w:tc>
          <w:tcPr>
            <w:tcW w:w="1200" w:type="dxa"/>
            <w:shd w:val="clear" w:color="auto" w:fill="auto"/>
            <w:hideMark/>
          </w:tcPr>
          <w:p w14:paraId="3FD06A6A" w14:textId="77777777" w:rsidR="006A5839" w:rsidRPr="004A0C12" w:rsidRDefault="006A5839" w:rsidP="00555936">
            <w:pPr>
              <w:keepNext/>
              <w:spacing w:after="0" w:line="240" w:lineRule="auto"/>
              <w:jc w:val="right"/>
              <w:rPr>
                <w:rFonts w:ascii="Garamond" w:eastAsia="Times New Roman" w:hAnsi="Garamond" w:cs="Times New Roman"/>
              </w:rPr>
            </w:pPr>
            <w:r w:rsidRPr="004A0C12">
              <w:rPr>
                <w:rFonts w:ascii="Garamond" w:eastAsia="Times New Roman" w:hAnsi="Garamond" w:cs="Times New Roman"/>
              </w:rPr>
              <w:t>$83,518</w:t>
            </w:r>
          </w:p>
        </w:tc>
      </w:tr>
    </w:tbl>
    <w:p w14:paraId="45AE4125" w14:textId="77777777" w:rsidR="006A5839" w:rsidRPr="004A0C12" w:rsidRDefault="006A5839" w:rsidP="006A5839">
      <w:pPr>
        <w:spacing w:after="0" w:line="240" w:lineRule="auto"/>
        <w:ind w:firstLine="720"/>
        <w:rPr>
          <w:rFonts w:ascii="Garamond" w:hAnsi="Garamond"/>
        </w:rPr>
      </w:pPr>
    </w:p>
    <w:p w14:paraId="05EB9D55" w14:textId="6351B99B" w:rsidR="006A5839" w:rsidRPr="004A0C12" w:rsidRDefault="006A5839" w:rsidP="006A5839">
      <w:pPr>
        <w:pStyle w:val="Caption"/>
        <w:spacing w:after="0"/>
        <w:rPr>
          <w:rFonts w:ascii="Garamond" w:hAnsi="Garamond"/>
          <w:sz w:val="22"/>
          <w:szCs w:val="22"/>
        </w:rPr>
      </w:pPr>
      <w:r w:rsidRPr="004A0C12">
        <w:rPr>
          <w:rFonts w:ascii="Garamond" w:hAnsi="Garamond"/>
          <w:sz w:val="22"/>
          <w:szCs w:val="22"/>
        </w:rPr>
        <w:t xml:space="preserve">Tables 11 and 12: Top Job Openings Advertised Online by Education and Experience Levels; Source: MWE, 2015 </w:t>
      </w:r>
    </w:p>
    <w:p w14:paraId="2E575544" w14:textId="77777777" w:rsidR="006A5839" w:rsidRPr="004A0C12" w:rsidRDefault="006A5839" w:rsidP="006A5839">
      <w:pPr>
        <w:rPr>
          <w:rFonts w:ascii="Garamond" w:hAnsi="Garamond"/>
          <w:lang w:eastAsia="ja-JP"/>
        </w:rPr>
      </w:pPr>
    </w:p>
    <w:p w14:paraId="3AFF81BF" w14:textId="77777777" w:rsidR="006A5839" w:rsidRPr="004A0C12" w:rsidRDefault="006A5839" w:rsidP="006A5839">
      <w:pPr>
        <w:rPr>
          <w:rFonts w:ascii="Garamond" w:hAnsi="Garamond"/>
          <w:lang w:eastAsia="ja-JP"/>
        </w:rPr>
      </w:pPr>
      <w:r w:rsidRPr="004A0C12">
        <w:rPr>
          <w:rFonts w:ascii="Garamond" w:hAnsi="Garamond"/>
          <w:lang w:eastAsia="ja-JP"/>
        </w:rPr>
        <w:t xml:space="preserve">According to the top certifications included in employers’ online job postings, certifications sought by employers in Maryland ranged from healthcare-related to computer-related certifications (See Table 14). </w:t>
      </w:r>
    </w:p>
    <w:p w14:paraId="676ED669" w14:textId="77777777" w:rsidR="006A5839" w:rsidRPr="004A0C12" w:rsidRDefault="006A5839" w:rsidP="006A5839">
      <w:pPr>
        <w:rPr>
          <w:rFonts w:ascii="Garamond" w:hAnsi="Garamond"/>
          <w:lang w:eastAsia="ja-JP"/>
        </w:rPr>
      </w:pPr>
    </w:p>
    <w:p w14:paraId="222469A4" w14:textId="77777777" w:rsidR="006A5839" w:rsidRPr="004A0C12" w:rsidRDefault="006A5839" w:rsidP="006A5839">
      <w:pPr>
        <w:rPr>
          <w:rFonts w:ascii="Garamond" w:hAnsi="Garamond"/>
          <w:lang w:eastAsia="ja-JP"/>
        </w:rPr>
      </w:pPr>
    </w:p>
    <w:tbl>
      <w:tblPr>
        <w:tblStyle w:val="LightList-Accent1"/>
        <w:tblW w:w="7454" w:type="dxa"/>
        <w:jc w:val="center"/>
        <w:tblLook w:val="04A0" w:firstRow="1" w:lastRow="0" w:firstColumn="1" w:lastColumn="0" w:noHBand="0" w:noVBand="1"/>
        <w:tblDescription w:val="This table contains Rank, Advertised Detailed Certification, Advertised Certification Group, and Job Openings."/>
      </w:tblPr>
      <w:tblGrid>
        <w:gridCol w:w="6282"/>
        <w:gridCol w:w="1172"/>
      </w:tblGrid>
      <w:tr w:rsidR="006A5839" w:rsidRPr="004A0C12" w14:paraId="4F5DC929" w14:textId="77777777" w:rsidTr="00555936">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7215B3E" w14:textId="77777777" w:rsidR="006A5839" w:rsidRPr="004A0C12" w:rsidRDefault="006A5839" w:rsidP="00555936">
            <w:pPr>
              <w:jc w:val="center"/>
              <w:rPr>
                <w:rFonts w:ascii="Garamond" w:eastAsia="Times New Roman" w:hAnsi="Garamond"/>
              </w:rPr>
            </w:pPr>
            <w:r w:rsidRPr="004A0C12">
              <w:rPr>
                <w:rFonts w:ascii="Garamond" w:eastAsia="Times New Roman" w:hAnsi="Garamond"/>
              </w:rPr>
              <w:lastRenderedPageBreak/>
              <w:t>Advertised Certification Group</w:t>
            </w:r>
          </w:p>
        </w:tc>
        <w:tc>
          <w:tcPr>
            <w:tcW w:w="0" w:type="auto"/>
            <w:hideMark/>
          </w:tcPr>
          <w:p w14:paraId="55B65814" w14:textId="77777777" w:rsidR="006A5839" w:rsidRPr="004A0C12" w:rsidRDefault="006A5839" w:rsidP="00555936">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rPr>
            </w:pPr>
            <w:r w:rsidRPr="004A0C12">
              <w:rPr>
                <w:rFonts w:ascii="Garamond" w:eastAsia="Times New Roman" w:hAnsi="Garamond"/>
              </w:rPr>
              <w:t>Job Opening Match Count</w:t>
            </w:r>
          </w:p>
        </w:tc>
      </w:tr>
      <w:tr w:rsidR="006A5839" w:rsidRPr="004A0C12" w14:paraId="6E0733A2" w14:textId="77777777" w:rsidTr="005559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5BFB1830"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Certification in Cardiopulmonary Resuscitation (CPR)</w:t>
            </w:r>
          </w:p>
        </w:tc>
        <w:tc>
          <w:tcPr>
            <w:tcW w:w="1172" w:type="dxa"/>
            <w:hideMark/>
          </w:tcPr>
          <w:p w14:paraId="4ADBD1AA" w14:textId="77777777" w:rsidR="006A5839" w:rsidRPr="004A0C12" w:rsidRDefault="006A5839" w:rsidP="00555936">
            <w:pPr>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5,073</w:t>
            </w:r>
          </w:p>
        </w:tc>
      </w:tr>
      <w:tr w:rsidR="006A5839" w:rsidRPr="004A0C12" w14:paraId="5654B361" w14:textId="77777777" w:rsidTr="00555936">
        <w:trPr>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2554B5A1"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Commercial Drivers License (CDL)</w:t>
            </w:r>
          </w:p>
        </w:tc>
        <w:tc>
          <w:tcPr>
            <w:tcW w:w="1172" w:type="dxa"/>
            <w:hideMark/>
          </w:tcPr>
          <w:p w14:paraId="3DC8AAFE" w14:textId="77777777" w:rsidR="006A5839" w:rsidRPr="004A0C12" w:rsidRDefault="006A5839" w:rsidP="00555936">
            <w:pPr>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3,923</w:t>
            </w:r>
          </w:p>
        </w:tc>
      </w:tr>
      <w:tr w:rsidR="006A5839" w:rsidRPr="004A0C12" w14:paraId="241CA3D6" w14:textId="77777777" w:rsidTr="005559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0A7279AA"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Basic Life Support (BLS) Certification</w:t>
            </w:r>
          </w:p>
        </w:tc>
        <w:tc>
          <w:tcPr>
            <w:tcW w:w="1172" w:type="dxa"/>
            <w:hideMark/>
          </w:tcPr>
          <w:p w14:paraId="64B23809" w14:textId="77777777" w:rsidR="006A5839" w:rsidRPr="004A0C12" w:rsidRDefault="006A5839" w:rsidP="00555936">
            <w:pPr>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2,905</w:t>
            </w:r>
          </w:p>
        </w:tc>
      </w:tr>
      <w:tr w:rsidR="006A5839" w:rsidRPr="004A0C12" w14:paraId="0FDD3623" w14:textId="77777777" w:rsidTr="00555936">
        <w:trPr>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79C6182A"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Advanced Cardiac Life Support Certification (ACLS)</w:t>
            </w:r>
          </w:p>
        </w:tc>
        <w:tc>
          <w:tcPr>
            <w:tcW w:w="1172" w:type="dxa"/>
            <w:hideMark/>
          </w:tcPr>
          <w:p w14:paraId="3F99F1C7" w14:textId="77777777" w:rsidR="006A5839" w:rsidRPr="004A0C12" w:rsidRDefault="006A5839" w:rsidP="00555936">
            <w:pPr>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1,786</w:t>
            </w:r>
          </w:p>
        </w:tc>
      </w:tr>
      <w:tr w:rsidR="006A5839" w:rsidRPr="004A0C12" w14:paraId="253B6128" w14:textId="77777777" w:rsidTr="005559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3472A433"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Certified Nursing Assistant (CNA)</w:t>
            </w:r>
          </w:p>
        </w:tc>
        <w:tc>
          <w:tcPr>
            <w:tcW w:w="1172" w:type="dxa"/>
            <w:hideMark/>
          </w:tcPr>
          <w:p w14:paraId="2D11F6F2" w14:textId="77777777" w:rsidR="006A5839" w:rsidRPr="004A0C12" w:rsidRDefault="006A5839" w:rsidP="00555936">
            <w:pPr>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1,628</w:t>
            </w:r>
          </w:p>
        </w:tc>
      </w:tr>
      <w:tr w:rsidR="006A5839" w:rsidRPr="004A0C12" w14:paraId="02453664" w14:textId="77777777" w:rsidTr="00555936">
        <w:trPr>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720AFAB1"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Certified Information Systems Security Professional (CISSP)</w:t>
            </w:r>
          </w:p>
        </w:tc>
        <w:tc>
          <w:tcPr>
            <w:tcW w:w="1172" w:type="dxa"/>
            <w:hideMark/>
          </w:tcPr>
          <w:p w14:paraId="2A405D3A" w14:textId="77777777" w:rsidR="006A5839" w:rsidRPr="004A0C12" w:rsidRDefault="006A5839" w:rsidP="00555936">
            <w:pPr>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1,057</w:t>
            </w:r>
          </w:p>
        </w:tc>
      </w:tr>
      <w:tr w:rsidR="006A5839" w:rsidRPr="004A0C12" w14:paraId="0CAD8E44" w14:textId="77777777" w:rsidTr="005559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34445646"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Certified Public Accountant (CPA)</w:t>
            </w:r>
          </w:p>
        </w:tc>
        <w:tc>
          <w:tcPr>
            <w:tcW w:w="1172" w:type="dxa"/>
            <w:hideMark/>
          </w:tcPr>
          <w:p w14:paraId="3CAE7AE6" w14:textId="77777777" w:rsidR="006A5839" w:rsidRPr="004A0C12" w:rsidRDefault="006A5839" w:rsidP="00555936">
            <w:pPr>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881</w:t>
            </w:r>
          </w:p>
        </w:tc>
      </w:tr>
      <w:tr w:rsidR="006A5839" w:rsidRPr="004A0C12" w14:paraId="0366FB79" w14:textId="77777777" w:rsidTr="00555936">
        <w:trPr>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79378FD4"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Cisco Certified Network Associate (CCNA)</w:t>
            </w:r>
          </w:p>
        </w:tc>
        <w:tc>
          <w:tcPr>
            <w:tcW w:w="1172" w:type="dxa"/>
            <w:hideMark/>
          </w:tcPr>
          <w:p w14:paraId="6395C301" w14:textId="77777777" w:rsidR="006A5839" w:rsidRPr="004A0C12" w:rsidRDefault="006A5839" w:rsidP="00555936">
            <w:pPr>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881</w:t>
            </w:r>
          </w:p>
        </w:tc>
      </w:tr>
      <w:tr w:rsidR="006A5839" w:rsidRPr="004A0C12" w14:paraId="4B73B1C1" w14:textId="77777777" w:rsidTr="005559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20C9F8F9"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Certified Manager of Exhibits</w:t>
            </w:r>
          </w:p>
        </w:tc>
        <w:tc>
          <w:tcPr>
            <w:tcW w:w="1172" w:type="dxa"/>
            <w:hideMark/>
          </w:tcPr>
          <w:p w14:paraId="7F611BC8" w14:textId="77777777" w:rsidR="006A5839" w:rsidRPr="004A0C12" w:rsidRDefault="006A5839" w:rsidP="00555936">
            <w:pPr>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753</w:t>
            </w:r>
          </w:p>
        </w:tc>
      </w:tr>
      <w:tr w:rsidR="006A5839" w:rsidRPr="004A0C12" w14:paraId="00F79716" w14:textId="77777777" w:rsidTr="00555936">
        <w:trPr>
          <w:jc w:val="center"/>
        </w:trPr>
        <w:tc>
          <w:tcPr>
            <w:cnfStyle w:val="001000000000" w:firstRow="0" w:lastRow="0" w:firstColumn="1" w:lastColumn="0" w:oddVBand="0" w:evenVBand="0" w:oddHBand="0" w:evenHBand="0" w:firstRowFirstColumn="0" w:firstRowLastColumn="0" w:lastRowFirstColumn="0" w:lastRowLastColumn="0"/>
            <w:tcW w:w="6282" w:type="dxa"/>
            <w:hideMark/>
          </w:tcPr>
          <w:p w14:paraId="30771ABF" w14:textId="77777777" w:rsidR="006A5839" w:rsidRPr="004A0C12" w:rsidRDefault="006A5839" w:rsidP="00555936">
            <w:pPr>
              <w:rPr>
                <w:rFonts w:ascii="Garamond" w:eastAsia="Times New Roman" w:hAnsi="Garamond"/>
                <w:color w:val="1F497D" w:themeColor="text2"/>
              </w:rPr>
            </w:pPr>
            <w:r w:rsidRPr="004A0C12">
              <w:rPr>
                <w:rFonts w:ascii="Garamond" w:eastAsia="Times New Roman" w:hAnsi="Garamond"/>
                <w:color w:val="1F497D" w:themeColor="text2"/>
              </w:rPr>
              <w:t>GIAC IT Security Administration Certification</w:t>
            </w:r>
          </w:p>
        </w:tc>
        <w:tc>
          <w:tcPr>
            <w:tcW w:w="1172" w:type="dxa"/>
            <w:hideMark/>
          </w:tcPr>
          <w:p w14:paraId="6449DEDC" w14:textId="77777777" w:rsidR="006A5839" w:rsidRPr="004A0C12" w:rsidRDefault="006A5839" w:rsidP="00555936">
            <w:pPr>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628</w:t>
            </w:r>
          </w:p>
        </w:tc>
      </w:tr>
    </w:tbl>
    <w:p w14:paraId="356BCF74" w14:textId="77777777" w:rsidR="006A5839" w:rsidRPr="004A0C12" w:rsidRDefault="006A5839" w:rsidP="006A5839">
      <w:pPr>
        <w:pStyle w:val="Caption"/>
        <w:spacing w:after="0"/>
        <w:rPr>
          <w:rFonts w:ascii="Garamond" w:hAnsi="Garamond"/>
          <w:sz w:val="22"/>
          <w:szCs w:val="22"/>
        </w:rPr>
      </w:pPr>
      <w:r w:rsidRPr="004A0C12">
        <w:rPr>
          <w:rFonts w:ascii="Garamond" w:hAnsi="Garamond"/>
          <w:sz w:val="22"/>
          <w:szCs w:val="22"/>
        </w:rPr>
        <w:t xml:space="preserve">Table 14: Top Certifications Advertised; Source: MWE, 2015 </w:t>
      </w:r>
    </w:p>
    <w:tbl>
      <w:tblPr>
        <w:tblpPr w:leftFromText="180" w:rightFromText="180" w:vertAnchor="text" w:horzAnchor="margin" w:tblpY="146"/>
        <w:tblW w:w="9352" w:type="dxa"/>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Caption w:val="Occupations by Number of Job Openings"/>
        <w:tblDescription w:val="The chart provides the top 10 occupations by number of job openings. "/>
      </w:tblPr>
      <w:tblGrid>
        <w:gridCol w:w="4248"/>
        <w:gridCol w:w="5104"/>
      </w:tblGrid>
      <w:tr w:rsidR="00C57BD1" w:rsidRPr="004A0C12" w14:paraId="05D923CF" w14:textId="77777777" w:rsidTr="00F65178">
        <w:trPr>
          <w:trHeight w:val="238"/>
        </w:trPr>
        <w:tc>
          <w:tcPr>
            <w:tcW w:w="4248" w:type="dxa"/>
            <w:shd w:val="clear" w:color="auto" w:fill="4F81BD"/>
            <w:hideMark/>
          </w:tcPr>
          <w:p w14:paraId="7188F305" w14:textId="77777777" w:rsidR="00C57BD1" w:rsidRPr="004A0C12" w:rsidRDefault="00C57BD1" w:rsidP="00F65178">
            <w:pPr>
              <w:spacing w:after="0"/>
              <w:contextualSpacing/>
              <w:jc w:val="center"/>
              <w:rPr>
                <w:rFonts w:ascii="Garamond" w:eastAsia="Times New Roman" w:hAnsi="Garamond" w:cs="Times New Roman"/>
                <w:b/>
                <w:bCs/>
                <w:color w:val="FFFFFF"/>
              </w:rPr>
            </w:pPr>
            <w:r w:rsidRPr="004A0C12">
              <w:rPr>
                <w:rFonts w:ascii="Garamond" w:eastAsia="Times New Roman" w:hAnsi="Garamond" w:cs="Times New Roman"/>
                <w:b/>
                <w:bCs/>
                <w:color w:val="FFFFFF"/>
              </w:rPr>
              <w:t>Occupation</w:t>
            </w:r>
          </w:p>
        </w:tc>
        <w:tc>
          <w:tcPr>
            <w:tcW w:w="5104" w:type="dxa"/>
            <w:shd w:val="clear" w:color="auto" w:fill="4F81BD"/>
            <w:hideMark/>
          </w:tcPr>
          <w:p w14:paraId="2DE002D3" w14:textId="77777777" w:rsidR="00C57BD1" w:rsidRPr="004A0C12" w:rsidRDefault="00C57BD1" w:rsidP="00F65178">
            <w:pPr>
              <w:spacing w:after="0"/>
              <w:contextualSpacing/>
              <w:jc w:val="center"/>
              <w:rPr>
                <w:rFonts w:ascii="Garamond" w:eastAsia="Times New Roman" w:hAnsi="Garamond" w:cs="Times New Roman"/>
                <w:b/>
                <w:bCs/>
                <w:color w:val="FFFFFF"/>
              </w:rPr>
            </w:pPr>
            <w:r w:rsidRPr="004A0C12">
              <w:rPr>
                <w:rFonts w:ascii="Garamond" w:eastAsia="Times New Roman" w:hAnsi="Garamond" w:cs="Times New Roman"/>
                <w:b/>
                <w:bCs/>
                <w:color w:val="FFFFFF"/>
              </w:rPr>
              <w:t>Occupation Needs</w:t>
            </w:r>
          </w:p>
        </w:tc>
      </w:tr>
      <w:tr w:rsidR="00C57BD1" w:rsidRPr="004A0C12" w14:paraId="224A4065" w14:textId="77777777" w:rsidTr="00F65178">
        <w:trPr>
          <w:trHeight w:val="475"/>
        </w:trPr>
        <w:tc>
          <w:tcPr>
            <w:tcW w:w="4248" w:type="dxa"/>
            <w:tcBorders>
              <w:top w:val="single" w:sz="8" w:space="0" w:color="4F81BD"/>
              <w:left w:val="single" w:sz="8" w:space="0" w:color="4F81BD"/>
              <w:bottom w:val="single" w:sz="8" w:space="0" w:color="4F81BD"/>
            </w:tcBorders>
            <w:shd w:val="clear" w:color="auto" w:fill="auto"/>
            <w:hideMark/>
          </w:tcPr>
          <w:p w14:paraId="763F76CA" w14:textId="77777777" w:rsidR="00C57BD1" w:rsidRPr="004A0C12" w:rsidRDefault="00C57BD1" w:rsidP="00F65178">
            <w:pPr>
              <w:spacing w:after="0"/>
              <w:contextualSpacing/>
              <w:rPr>
                <w:rFonts w:ascii="Garamond" w:eastAsia="Times New Roman" w:hAnsi="Garamond" w:cs="Times New Roman"/>
                <w:b/>
                <w:bCs/>
                <w:color w:val="1F497D"/>
              </w:rPr>
            </w:pPr>
            <w:r w:rsidRPr="004A0C12">
              <w:rPr>
                <w:rFonts w:ascii="Garamond" w:eastAsia="Times New Roman" w:hAnsi="Garamond" w:cs="Times New Roman"/>
                <w:b/>
                <w:bCs/>
                <w:color w:val="1F497D"/>
              </w:rPr>
              <w:t>Healthcare Practitioners and Technical Occupations</w:t>
            </w:r>
          </w:p>
        </w:tc>
        <w:tc>
          <w:tcPr>
            <w:tcW w:w="5104" w:type="dxa"/>
            <w:tcBorders>
              <w:top w:val="single" w:sz="8" w:space="0" w:color="4F81BD"/>
              <w:bottom w:val="single" w:sz="8" w:space="0" w:color="4F81BD"/>
            </w:tcBorders>
            <w:shd w:val="clear" w:color="auto" w:fill="auto"/>
            <w:hideMark/>
          </w:tcPr>
          <w:p w14:paraId="7BBD253B" w14:textId="77777777" w:rsidR="00C57BD1" w:rsidRPr="004A0C12" w:rsidRDefault="00C57BD1" w:rsidP="00F65178">
            <w:pPr>
              <w:spacing w:after="0"/>
              <w:contextualSpacing/>
              <w:rPr>
                <w:rFonts w:ascii="Garamond" w:eastAsia="Times New Roman" w:hAnsi="Garamond" w:cs="Times New Roman"/>
              </w:rPr>
            </w:pPr>
            <w:r w:rsidRPr="004A0C12">
              <w:rPr>
                <w:rFonts w:ascii="Garamond" w:eastAsia="Times New Roman" w:hAnsi="Garamond" w:cs="Times New Roman"/>
              </w:rPr>
              <w:t>Customer service skills, interpersonal skills, problem solving, Registered Nurse (RN) skills, decision making, flexibility, critical thinking, time management, occupational therapist skills, and ability to educate patients</w:t>
            </w:r>
          </w:p>
        </w:tc>
      </w:tr>
      <w:tr w:rsidR="00C57BD1" w:rsidRPr="004A0C12" w14:paraId="1034F260" w14:textId="77777777" w:rsidTr="00F65178">
        <w:trPr>
          <w:trHeight w:val="252"/>
        </w:trPr>
        <w:tc>
          <w:tcPr>
            <w:tcW w:w="4248" w:type="dxa"/>
            <w:shd w:val="clear" w:color="auto" w:fill="auto"/>
            <w:hideMark/>
          </w:tcPr>
          <w:p w14:paraId="15953531" w14:textId="77777777" w:rsidR="00C57BD1" w:rsidRPr="004A0C12" w:rsidRDefault="00C57BD1" w:rsidP="00F65178">
            <w:pPr>
              <w:spacing w:after="0"/>
              <w:contextualSpacing/>
              <w:rPr>
                <w:rFonts w:ascii="Garamond" w:eastAsia="Times New Roman" w:hAnsi="Garamond" w:cs="Times New Roman"/>
                <w:b/>
                <w:bCs/>
                <w:color w:val="1F497D"/>
              </w:rPr>
            </w:pPr>
            <w:r w:rsidRPr="004A0C12">
              <w:rPr>
                <w:rFonts w:ascii="Garamond" w:eastAsia="Times New Roman" w:hAnsi="Garamond" w:cs="Times New Roman"/>
                <w:b/>
                <w:bCs/>
                <w:color w:val="1F497D"/>
              </w:rPr>
              <w:t>Management Occupations</w:t>
            </w:r>
          </w:p>
        </w:tc>
        <w:tc>
          <w:tcPr>
            <w:tcW w:w="5104" w:type="dxa"/>
            <w:shd w:val="clear" w:color="auto" w:fill="auto"/>
            <w:hideMark/>
          </w:tcPr>
          <w:p w14:paraId="18264BC1" w14:textId="77777777" w:rsidR="00C57BD1" w:rsidRPr="004A0C12" w:rsidRDefault="00C57BD1" w:rsidP="00F65178">
            <w:pPr>
              <w:spacing w:after="0"/>
              <w:contextualSpacing/>
              <w:rPr>
                <w:rFonts w:ascii="Garamond" w:eastAsia="Times New Roman" w:hAnsi="Garamond" w:cs="Times New Roman"/>
              </w:rPr>
            </w:pPr>
            <w:r w:rsidRPr="004A0C12">
              <w:rPr>
                <w:rFonts w:ascii="Garamond" w:eastAsia="Times New Roman" w:hAnsi="Garamond" w:cs="Times New Roman"/>
              </w:rPr>
              <w:t>Customer service skills, managerial skills, marketing skills, operations, manufacturing, technical skills, human relations, work effectively with people, conceptual skills, interpersonal skills, oral and written communication, constructive listening, honest and direct dialogue, sensitivity, flexible and adaptable, high energy level, ability to synthesize, work ethic, initiative, business judgment, self-confidence, leadership ability, decisiveness, and problem solving ability</w:t>
            </w:r>
            <w:r w:rsidRPr="004A0C12">
              <w:rPr>
                <w:rStyle w:val="FootnoteReference"/>
                <w:rFonts w:ascii="Garamond" w:eastAsia="Times New Roman" w:hAnsi="Garamond" w:cs="Times New Roman"/>
              </w:rPr>
              <w:footnoteReference w:id="22"/>
            </w:r>
          </w:p>
        </w:tc>
      </w:tr>
      <w:tr w:rsidR="00C57BD1" w:rsidRPr="004A0C12" w14:paraId="66434214" w14:textId="77777777" w:rsidTr="00F65178">
        <w:trPr>
          <w:trHeight w:val="238"/>
        </w:trPr>
        <w:tc>
          <w:tcPr>
            <w:tcW w:w="4248" w:type="dxa"/>
            <w:tcBorders>
              <w:top w:val="single" w:sz="8" w:space="0" w:color="4F81BD"/>
              <w:left w:val="single" w:sz="8" w:space="0" w:color="4F81BD"/>
              <w:bottom w:val="single" w:sz="8" w:space="0" w:color="4F81BD"/>
            </w:tcBorders>
            <w:shd w:val="clear" w:color="auto" w:fill="auto"/>
            <w:hideMark/>
          </w:tcPr>
          <w:p w14:paraId="5A42F662" w14:textId="77777777" w:rsidR="00C57BD1" w:rsidRPr="004A0C12" w:rsidRDefault="00C57BD1" w:rsidP="00F65178">
            <w:pPr>
              <w:spacing w:after="0"/>
              <w:contextualSpacing/>
              <w:rPr>
                <w:rFonts w:ascii="Garamond" w:eastAsia="Times New Roman" w:hAnsi="Garamond" w:cs="Times New Roman"/>
                <w:b/>
                <w:bCs/>
                <w:color w:val="1F497D"/>
              </w:rPr>
            </w:pPr>
            <w:r w:rsidRPr="004A0C12">
              <w:rPr>
                <w:rFonts w:ascii="Garamond" w:eastAsia="Times New Roman" w:hAnsi="Garamond" w:cs="Times New Roman"/>
                <w:b/>
                <w:bCs/>
                <w:color w:val="1F497D"/>
              </w:rPr>
              <w:t>Computer and Mathematical Occupations</w:t>
            </w:r>
          </w:p>
        </w:tc>
        <w:tc>
          <w:tcPr>
            <w:tcW w:w="5104" w:type="dxa"/>
            <w:tcBorders>
              <w:top w:val="single" w:sz="8" w:space="0" w:color="4F81BD"/>
              <w:bottom w:val="single" w:sz="8" w:space="0" w:color="4F81BD"/>
            </w:tcBorders>
            <w:shd w:val="clear" w:color="auto" w:fill="auto"/>
            <w:hideMark/>
          </w:tcPr>
          <w:p w14:paraId="55F2FF91" w14:textId="77777777" w:rsidR="00C57BD1" w:rsidRPr="004A0C12" w:rsidRDefault="00C57BD1" w:rsidP="00F65178">
            <w:pPr>
              <w:spacing w:after="0"/>
              <w:contextualSpacing/>
              <w:rPr>
                <w:rFonts w:ascii="Garamond" w:eastAsia="Times New Roman" w:hAnsi="Garamond" w:cs="Times New Roman"/>
              </w:rPr>
            </w:pPr>
            <w:r w:rsidRPr="004A0C12">
              <w:rPr>
                <w:rFonts w:ascii="Garamond" w:eastAsia="Times New Roman" w:hAnsi="Garamond" w:cs="Times New Roman"/>
              </w:rPr>
              <w:t>Repairing, quality control analysis, programming, troubleshooting, systems evaluation, installation, equipment selection, technology design, equipment maintenance, operation monitoring, systems analysis, operations analysis, judgment and decision making, operation and control, persuasion, instructing, service orientation, coordination, social perceptiveness, negotiation, management of material resources, management of financial resources, time management, management of personnel resources, complex problem solving, speaking, mathematics, science, writing, active learning, learning strategies, monitoring, active listening, reading comprehension, and critical thinking</w:t>
            </w:r>
            <w:r w:rsidRPr="004A0C12">
              <w:rPr>
                <w:rStyle w:val="FootnoteReference"/>
                <w:rFonts w:ascii="Garamond" w:eastAsia="Times New Roman" w:hAnsi="Garamond" w:cs="Times New Roman"/>
              </w:rPr>
              <w:footnoteReference w:id="23"/>
            </w:r>
          </w:p>
        </w:tc>
      </w:tr>
      <w:tr w:rsidR="00C57BD1" w:rsidRPr="004A0C12" w14:paraId="1BB09DC5" w14:textId="77777777" w:rsidTr="00F65178">
        <w:trPr>
          <w:trHeight w:val="252"/>
        </w:trPr>
        <w:tc>
          <w:tcPr>
            <w:tcW w:w="4248" w:type="dxa"/>
            <w:shd w:val="clear" w:color="auto" w:fill="auto"/>
            <w:hideMark/>
          </w:tcPr>
          <w:p w14:paraId="3D4AE264" w14:textId="77777777" w:rsidR="00C57BD1" w:rsidRPr="004A0C12" w:rsidRDefault="00943AA8" w:rsidP="00F65178">
            <w:pPr>
              <w:spacing w:after="0"/>
              <w:contextualSpacing/>
              <w:rPr>
                <w:rFonts w:ascii="Garamond" w:eastAsia="Times New Roman" w:hAnsi="Garamond" w:cs="Times New Roman"/>
                <w:b/>
                <w:bCs/>
                <w:color w:val="1F497D"/>
              </w:rPr>
            </w:pPr>
            <w:hyperlink r:id="rId50" w:history="1">
              <w:r w:rsidR="00C57BD1" w:rsidRPr="004A0C12">
                <w:rPr>
                  <w:rFonts w:ascii="Garamond" w:eastAsia="Times New Roman" w:hAnsi="Garamond" w:cs="Times New Roman"/>
                  <w:b/>
                  <w:bCs/>
                  <w:color w:val="1F497D"/>
                </w:rPr>
                <w:t>Sales and Related Occupations</w:t>
              </w:r>
            </w:hyperlink>
          </w:p>
        </w:tc>
        <w:tc>
          <w:tcPr>
            <w:tcW w:w="5104" w:type="dxa"/>
            <w:shd w:val="clear" w:color="auto" w:fill="auto"/>
            <w:hideMark/>
          </w:tcPr>
          <w:p w14:paraId="7CDBEA18" w14:textId="77777777" w:rsidR="00C57BD1" w:rsidRPr="004A0C12" w:rsidRDefault="00C57BD1" w:rsidP="00F65178">
            <w:pPr>
              <w:tabs>
                <w:tab w:val="left" w:pos="1050"/>
              </w:tabs>
              <w:spacing w:after="0"/>
              <w:contextualSpacing/>
              <w:rPr>
                <w:rFonts w:ascii="Garamond" w:eastAsia="Times New Roman" w:hAnsi="Garamond" w:cs="Times New Roman"/>
              </w:rPr>
            </w:pPr>
            <w:r w:rsidRPr="004A0C12">
              <w:rPr>
                <w:rFonts w:ascii="Garamond" w:eastAsia="Times New Roman" w:hAnsi="Garamond" w:cs="Times New Roman"/>
              </w:rPr>
              <w:t>Customer service skills, interpersonal skills, relationship management, business development skills, telemarketing skills, cold calling, time management, problem solving, ability to analyze, marketing skills, and closing skills</w:t>
            </w:r>
          </w:p>
        </w:tc>
      </w:tr>
      <w:tr w:rsidR="00C57BD1" w:rsidRPr="004A0C12" w14:paraId="05C6F3CF" w14:textId="77777777" w:rsidTr="00F65178">
        <w:trPr>
          <w:trHeight w:val="475"/>
        </w:trPr>
        <w:tc>
          <w:tcPr>
            <w:tcW w:w="4248" w:type="dxa"/>
            <w:tcBorders>
              <w:top w:val="single" w:sz="8" w:space="0" w:color="4F81BD"/>
              <w:left w:val="single" w:sz="8" w:space="0" w:color="4F81BD"/>
              <w:bottom w:val="single" w:sz="8" w:space="0" w:color="4F81BD"/>
            </w:tcBorders>
            <w:shd w:val="clear" w:color="auto" w:fill="auto"/>
            <w:hideMark/>
          </w:tcPr>
          <w:p w14:paraId="61A15C91" w14:textId="77777777" w:rsidR="00C57BD1" w:rsidRPr="004A0C12" w:rsidRDefault="00943AA8" w:rsidP="00F65178">
            <w:pPr>
              <w:spacing w:after="0"/>
              <w:contextualSpacing/>
              <w:rPr>
                <w:rFonts w:ascii="Garamond" w:eastAsia="Times New Roman" w:hAnsi="Garamond" w:cs="Times New Roman"/>
                <w:b/>
                <w:bCs/>
                <w:color w:val="1F497D"/>
              </w:rPr>
            </w:pPr>
            <w:hyperlink r:id="rId51" w:history="1">
              <w:r w:rsidR="00C57BD1" w:rsidRPr="004A0C12">
                <w:rPr>
                  <w:rFonts w:ascii="Garamond" w:eastAsia="Times New Roman" w:hAnsi="Garamond" w:cs="Times New Roman"/>
                  <w:b/>
                  <w:bCs/>
                  <w:color w:val="1F497D"/>
                </w:rPr>
                <w:t>Office and Administrative Support Occupations</w:t>
              </w:r>
            </w:hyperlink>
          </w:p>
        </w:tc>
        <w:tc>
          <w:tcPr>
            <w:tcW w:w="5104" w:type="dxa"/>
            <w:tcBorders>
              <w:top w:val="single" w:sz="8" w:space="0" w:color="4F81BD"/>
              <w:bottom w:val="single" w:sz="8" w:space="0" w:color="4F81BD"/>
            </w:tcBorders>
            <w:shd w:val="clear" w:color="auto" w:fill="auto"/>
            <w:hideMark/>
          </w:tcPr>
          <w:p w14:paraId="066903E4" w14:textId="77777777" w:rsidR="00C57BD1" w:rsidRPr="004A0C12" w:rsidRDefault="00C57BD1" w:rsidP="00F65178">
            <w:pPr>
              <w:spacing w:after="0"/>
              <w:contextualSpacing/>
              <w:rPr>
                <w:rFonts w:ascii="Garamond" w:eastAsia="Times New Roman" w:hAnsi="Garamond" w:cs="Times New Roman"/>
              </w:rPr>
            </w:pPr>
            <w:r w:rsidRPr="004A0C12">
              <w:rPr>
                <w:rFonts w:ascii="Garamond" w:eastAsia="Times New Roman" w:hAnsi="Garamond" w:cs="Times New Roman"/>
              </w:rPr>
              <w:t>Customer service skills, problem solving, interpersonal skills, travel agent skills, time management, office clerk skills, word processing, typing, receptionist skills, answering phones, administrative assistant skills, and administrative management</w:t>
            </w:r>
          </w:p>
        </w:tc>
      </w:tr>
      <w:tr w:rsidR="00C57BD1" w:rsidRPr="004A0C12" w14:paraId="7808B211" w14:textId="77777777" w:rsidTr="00F65178">
        <w:trPr>
          <w:trHeight w:val="490"/>
        </w:trPr>
        <w:tc>
          <w:tcPr>
            <w:tcW w:w="4248" w:type="dxa"/>
            <w:shd w:val="clear" w:color="auto" w:fill="auto"/>
            <w:hideMark/>
          </w:tcPr>
          <w:p w14:paraId="3C840598" w14:textId="77777777" w:rsidR="00C57BD1" w:rsidRPr="004A0C12" w:rsidRDefault="00943AA8" w:rsidP="00F65178">
            <w:pPr>
              <w:spacing w:after="0"/>
              <w:contextualSpacing/>
              <w:rPr>
                <w:rFonts w:ascii="Garamond" w:eastAsia="Times New Roman" w:hAnsi="Garamond" w:cs="Times New Roman"/>
                <w:b/>
                <w:bCs/>
                <w:color w:val="1F497D"/>
              </w:rPr>
            </w:pPr>
            <w:hyperlink r:id="rId52" w:history="1">
              <w:r w:rsidR="00C57BD1" w:rsidRPr="004A0C12">
                <w:rPr>
                  <w:rFonts w:ascii="Garamond" w:eastAsia="Times New Roman" w:hAnsi="Garamond" w:cs="Times New Roman"/>
                  <w:b/>
                  <w:bCs/>
                  <w:color w:val="1F497D"/>
                </w:rPr>
                <w:t>Transportation and Material Moving Occupations</w:t>
              </w:r>
            </w:hyperlink>
          </w:p>
        </w:tc>
        <w:tc>
          <w:tcPr>
            <w:tcW w:w="5104" w:type="dxa"/>
            <w:shd w:val="clear" w:color="auto" w:fill="auto"/>
            <w:hideMark/>
          </w:tcPr>
          <w:p w14:paraId="2FD7774E" w14:textId="77777777" w:rsidR="00C57BD1" w:rsidRPr="004A0C12" w:rsidRDefault="00C57BD1" w:rsidP="00F65178">
            <w:pPr>
              <w:spacing w:after="0"/>
              <w:contextualSpacing/>
              <w:rPr>
                <w:rFonts w:ascii="Garamond" w:eastAsia="Times New Roman" w:hAnsi="Garamond" w:cs="Times New Roman"/>
              </w:rPr>
            </w:pPr>
            <w:r w:rsidRPr="004A0C12">
              <w:rPr>
                <w:rFonts w:ascii="Garamond" w:eastAsia="Times New Roman" w:hAnsi="Garamond" w:cs="Times New Roman"/>
              </w:rPr>
              <w:t>Customer service skills, problem solving, truck driving skills, unloading deliveries, web developer skills, application development, operate tractor-trailer, interpersonal skills, flexibility, unloading freight, and transportation management</w:t>
            </w:r>
          </w:p>
        </w:tc>
      </w:tr>
      <w:tr w:rsidR="00C57BD1" w:rsidRPr="004A0C12" w14:paraId="5F7A39A5" w14:textId="77777777" w:rsidTr="00F65178">
        <w:trPr>
          <w:trHeight w:val="238"/>
        </w:trPr>
        <w:tc>
          <w:tcPr>
            <w:tcW w:w="4248" w:type="dxa"/>
            <w:tcBorders>
              <w:top w:val="single" w:sz="8" w:space="0" w:color="4F81BD"/>
              <w:left w:val="single" w:sz="8" w:space="0" w:color="4F81BD"/>
              <w:bottom w:val="single" w:sz="8" w:space="0" w:color="4F81BD"/>
            </w:tcBorders>
            <w:shd w:val="clear" w:color="auto" w:fill="auto"/>
            <w:hideMark/>
          </w:tcPr>
          <w:p w14:paraId="00A42200" w14:textId="77777777" w:rsidR="00C57BD1" w:rsidRPr="004A0C12" w:rsidRDefault="00943AA8" w:rsidP="00F65178">
            <w:pPr>
              <w:spacing w:after="0"/>
              <w:contextualSpacing/>
              <w:rPr>
                <w:rFonts w:ascii="Garamond" w:eastAsia="Times New Roman" w:hAnsi="Garamond" w:cs="Times New Roman"/>
                <w:b/>
                <w:bCs/>
                <w:color w:val="1F497D"/>
              </w:rPr>
            </w:pPr>
            <w:hyperlink r:id="rId53" w:history="1">
              <w:r w:rsidR="00C57BD1" w:rsidRPr="004A0C12">
                <w:rPr>
                  <w:rFonts w:ascii="Garamond" w:eastAsia="Times New Roman" w:hAnsi="Garamond" w:cs="Times New Roman"/>
                  <w:b/>
                  <w:bCs/>
                  <w:color w:val="1F497D"/>
                </w:rPr>
                <w:t>Architecture and Engineering Occupations</w:t>
              </w:r>
            </w:hyperlink>
          </w:p>
        </w:tc>
        <w:tc>
          <w:tcPr>
            <w:tcW w:w="5104" w:type="dxa"/>
            <w:tcBorders>
              <w:top w:val="single" w:sz="8" w:space="0" w:color="4F81BD"/>
              <w:bottom w:val="single" w:sz="8" w:space="0" w:color="4F81BD"/>
            </w:tcBorders>
            <w:shd w:val="clear" w:color="auto" w:fill="auto"/>
            <w:hideMark/>
          </w:tcPr>
          <w:p w14:paraId="33B91C2A" w14:textId="77777777" w:rsidR="00C57BD1" w:rsidRPr="004A0C12" w:rsidRDefault="00C57BD1" w:rsidP="00F65178">
            <w:pPr>
              <w:spacing w:after="0"/>
              <w:contextualSpacing/>
              <w:rPr>
                <w:rFonts w:ascii="Garamond" w:eastAsia="Times New Roman" w:hAnsi="Garamond" w:cs="Times New Roman"/>
              </w:rPr>
            </w:pPr>
            <w:r w:rsidRPr="004A0C12">
              <w:rPr>
                <w:rFonts w:ascii="Garamond" w:eastAsia="Times New Roman" w:hAnsi="Garamond" w:cs="Times New Roman"/>
              </w:rPr>
              <w:t>Customer service skills, apply mathematical and scientific principles to building design; concentrate on structural demands, functionality, and economic and safety factors; diagram designs manually and through computer-aided drafting; communication skills; ability to work with a team; and comfortable with different work environments</w:t>
            </w:r>
            <w:r w:rsidRPr="004A0C12">
              <w:rPr>
                <w:rStyle w:val="FootnoteReference"/>
                <w:rFonts w:ascii="Garamond" w:eastAsia="Times New Roman" w:hAnsi="Garamond" w:cs="Times New Roman"/>
              </w:rPr>
              <w:footnoteReference w:id="24"/>
            </w:r>
          </w:p>
        </w:tc>
      </w:tr>
      <w:tr w:rsidR="00C57BD1" w:rsidRPr="004A0C12" w14:paraId="5D7337C6" w14:textId="77777777" w:rsidTr="00F65178">
        <w:trPr>
          <w:trHeight w:val="490"/>
        </w:trPr>
        <w:tc>
          <w:tcPr>
            <w:tcW w:w="4248" w:type="dxa"/>
            <w:shd w:val="clear" w:color="auto" w:fill="auto"/>
            <w:hideMark/>
          </w:tcPr>
          <w:p w14:paraId="6F0251BB" w14:textId="77777777" w:rsidR="00C57BD1" w:rsidRPr="004A0C12" w:rsidRDefault="00943AA8" w:rsidP="00F65178">
            <w:pPr>
              <w:spacing w:after="0"/>
              <w:contextualSpacing/>
              <w:rPr>
                <w:rFonts w:ascii="Garamond" w:eastAsia="Times New Roman" w:hAnsi="Garamond" w:cs="Times New Roman"/>
                <w:b/>
                <w:bCs/>
                <w:color w:val="1F497D"/>
              </w:rPr>
            </w:pPr>
            <w:hyperlink r:id="rId54" w:history="1">
              <w:r w:rsidR="00C57BD1" w:rsidRPr="004A0C12">
                <w:rPr>
                  <w:rFonts w:ascii="Garamond" w:eastAsia="Times New Roman" w:hAnsi="Garamond" w:cs="Times New Roman"/>
                  <w:b/>
                  <w:bCs/>
                  <w:color w:val="1F497D"/>
                </w:rPr>
                <w:t>Food Preparation and Serving Related Occupations</w:t>
              </w:r>
            </w:hyperlink>
          </w:p>
        </w:tc>
        <w:tc>
          <w:tcPr>
            <w:tcW w:w="5104" w:type="dxa"/>
            <w:shd w:val="clear" w:color="auto" w:fill="auto"/>
            <w:hideMark/>
          </w:tcPr>
          <w:p w14:paraId="470672E9" w14:textId="77777777" w:rsidR="00C57BD1" w:rsidRPr="004A0C12" w:rsidRDefault="00C57BD1" w:rsidP="00F65178">
            <w:pPr>
              <w:spacing w:after="0"/>
              <w:contextualSpacing/>
              <w:rPr>
                <w:rFonts w:ascii="Garamond" w:eastAsia="Times New Roman" w:hAnsi="Garamond" w:cs="Times New Roman"/>
              </w:rPr>
            </w:pPr>
            <w:r w:rsidRPr="004A0C12">
              <w:rPr>
                <w:rFonts w:ascii="Garamond" w:eastAsia="Times New Roman" w:hAnsi="Garamond" w:cs="Times New Roman"/>
              </w:rPr>
              <w:t>Customer service skills, food preparation worker skills, cooking skills, proper food handling, ability to speak clearly, following recipes, interpersonal skills, greeting customers, flexibility, restaurant manager skills, be a team player, positive attitude</w:t>
            </w:r>
          </w:p>
        </w:tc>
      </w:tr>
      <w:tr w:rsidR="00C57BD1" w:rsidRPr="004A0C12" w14:paraId="5EE8DD2A" w14:textId="77777777" w:rsidTr="00F65178">
        <w:trPr>
          <w:trHeight w:val="475"/>
        </w:trPr>
        <w:tc>
          <w:tcPr>
            <w:tcW w:w="4248" w:type="dxa"/>
            <w:tcBorders>
              <w:top w:val="single" w:sz="8" w:space="0" w:color="4F81BD"/>
              <w:left w:val="single" w:sz="8" w:space="0" w:color="4F81BD"/>
              <w:bottom w:val="single" w:sz="8" w:space="0" w:color="4F81BD"/>
            </w:tcBorders>
            <w:shd w:val="clear" w:color="auto" w:fill="auto"/>
            <w:hideMark/>
          </w:tcPr>
          <w:p w14:paraId="282F8CAF" w14:textId="77777777" w:rsidR="00C57BD1" w:rsidRPr="004A0C12" w:rsidRDefault="00943AA8" w:rsidP="00F65178">
            <w:pPr>
              <w:spacing w:after="0"/>
              <w:contextualSpacing/>
              <w:rPr>
                <w:rFonts w:ascii="Garamond" w:eastAsia="Times New Roman" w:hAnsi="Garamond" w:cs="Times New Roman"/>
                <w:b/>
                <w:bCs/>
                <w:color w:val="1F497D"/>
              </w:rPr>
            </w:pPr>
            <w:hyperlink r:id="rId55" w:history="1">
              <w:r w:rsidR="00C57BD1" w:rsidRPr="004A0C12">
                <w:rPr>
                  <w:rFonts w:ascii="Garamond" w:eastAsia="Times New Roman" w:hAnsi="Garamond" w:cs="Times New Roman"/>
                  <w:b/>
                  <w:bCs/>
                  <w:color w:val="1F497D"/>
                </w:rPr>
                <w:t>Business and Financial Operations Occupations</w:t>
              </w:r>
            </w:hyperlink>
          </w:p>
        </w:tc>
        <w:tc>
          <w:tcPr>
            <w:tcW w:w="5104" w:type="dxa"/>
            <w:tcBorders>
              <w:top w:val="single" w:sz="8" w:space="0" w:color="4F81BD"/>
              <w:bottom w:val="single" w:sz="8" w:space="0" w:color="4F81BD"/>
            </w:tcBorders>
            <w:shd w:val="clear" w:color="auto" w:fill="auto"/>
            <w:hideMark/>
          </w:tcPr>
          <w:p w14:paraId="4334E2AD" w14:textId="77777777" w:rsidR="00C57BD1" w:rsidRPr="004A0C12" w:rsidRDefault="00C57BD1" w:rsidP="00F65178">
            <w:pPr>
              <w:spacing w:after="0"/>
              <w:contextualSpacing/>
              <w:rPr>
                <w:rFonts w:ascii="Garamond" w:eastAsia="Times New Roman" w:hAnsi="Garamond" w:cs="Times New Roman"/>
              </w:rPr>
            </w:pPr>
            <w:r w:rsidRPr="004A0C12">
              <w:rPr>
                <w:rFonts w:ascii="Garamond" w:eastAsia="Times New Roman" w:hAnsi="Garamond" w:cs="Times New Roman"/>
              </w:rPr>
              <w:t>Customer service skills, problem solving, business development skills, interpersonal skills, time management, ability to resolve issues, risk analyst skills, risk management, project manager skills, project manager experience, contract administrator skills, web developer skills, and application development</w:t>
            </w:r>
          </w:p>
        </w:tc>
      </w:tr>
      <w:tr w:rsidR="00C57BD1" w:rsidRPr="004A0C12" w14:paraId="76506581" w14:textId="77777777" w:rsidTr="00F65178">
        <w:trPr>
          <w:trHeight w:val="490"/>
        </w:trPr>
        <w:tc>
          <w:tcPr>
            <w:tcW w:w="4248" w:type="dxa"/>
            <w:shd w:val="clear" w:color="auto" w:fill="auto"/>
            <w:hideMark/>
          </w:tcPr>
          <w:p w14:paraId="267977B1" w14:textId="77777777" w:rsidR="00C57BD1" w:rsidRPr="004A0C12" w:rsidRDefault="00C57BD1" w:rsidP="00F65178">
            <w:pPr>
              <w:spacing w:after="0"/>
              <w:contextualSpacing/>
              <w:rPr>
                <w:rFonts w:ascii="Garamond" w:eastAsia="Times New Roman" w:hAnsi="Garamond" w:cs="Times New Roman"/>
                <w:b/>
                <w:bCs/>
                <w:color w:val="1F497D"/>
              </w:rPr>
            </w:pPr>
            <w:r w:rsidRPr="004A0C12">
              <w:rPr>
                <w:rFonts w:ascii="Garamond" w:eastAsia="Times New Roman" w:hAnsi="Garamond" w:cs="Times New Roman"/>
                <w:b/>
                <w:bCs/>
                <w:color w:val="1F497D"/>
              </w:rPr>
              <w:t>Installation, Maintenance, and Repair Occupations</w:t>
            </w:r>
          </w:p>
        </w:tc>
        <w:tc>
          <w:tcPr>
            <w:tcW w:w="5104" w:type="dxa"/>
            <w:shd w:val="clear" w:color="auto" w:fill="auto"/>
            <w:hideMark/>
          </w:tcPr>
          <w:p w14:paraId="1CF17634" w14:textId="77777777" w:rsidR="00C57BD1" w:rsidRPr="004A0C12" w:rsidRDefault="00C57BD1" w:rsidP="00F65178">
            <w:pPr>
              <w:tabs>
                <w:tab w:val="left" w:pos="1380"/>
              </w:tabs>
              <w:spacing w:after="0"/>
              <w:contextualSpacing/>
              <w:rPr>
                <w:rFonts w:ascii="Garamond" w:eastAsia="Times New Roman" w:hAnsi="Garamond" w:cs="Times New Roman"/>
              </w:rPr>
            </w:pPr>
            <w:r w:rsidRPr="004A0C12">
              <w:rPr>
                <w:rFonts w:ascii="Garamond" w:eastAsia="Times New Roman" w:hAnsi="Garamond" w:cs="Times New Roman"/>
              </w:rPr>
              <w:t>Customer service skills, maintenance technician skills, preventative maintenance, general maintenance, building maintenance, construction worker skills, caulking, interpersonal skills, be a team player, time management, and welding skills</w:t>
            </w:r>
          </w:p>
        </w:tc>
      </w:tr>
    </w:tbl>
    <w:p w14:paraId="15C0D118" w14:textId="77777777" w:rsidR="006A5839" w:rsidRPr="004A0C12" w:rsidRDefault="006A5839" w:rsidP="00057B5A">
      <w:pPr>
        <w:pStyle w:val="Heading2"/>
        <w:spacing w:before="0" w:line="240" w:lineRule="auto"/>
        <w:rPr>
          <w:rFonts w:ascii="Garamond" w:hAnsi="Garamond"/>
          <w:sz w:val="22"/>
          <w:szCs w:val="22"/>
        </w:rPr>
      </w:pPr>
    </w:p>
    <w:p w14:paraId="06FA31A6" w14:textId="77777777" w:rsidR="00C57BD1" w:rsidRPr="004A0C12" w:rsidRDefault="00C57BD1" w:rsidP="00057B5A">
      <w:pPr>
        <w:pStyle w:val="Heading2"/>
        <w:spacing w:before="0" w:line="240" w:lineRule="auto"/>
        <w:rPr>
          <w:rFonts w:ascii="Garamond" w:hAnsi="Garamond"/>
          <w:sz w:val="22"/>
          <w:szCs w:val="22"/>
        </w:rPr>
      </w:pPr>
      <w:bookmarkStart w:id="32" w:name="_Toc447276087"/>
    </w:p>
    <w:p w14:paraId="75DA753E" w14:textId="77777777" w:rsidR="00C57BD1" w:rsidRPr="004A0C12" w:rsidRDefault="00C57BD1" w:rsidP="00057B5A">
      <w:pPr>
        <w:pStyle w:val="Heading2"/>
        <w:spacing w:before="0" w:line="240" w:lineRule="auto"/>
        <w:rPr>
          <w:rFonts w:ascii="Garamond" w:hAnsi="Garamond"/>
          <w:sz w:val="22"/>
          <w:szCs w:val="22"/>
        </w:rPr>
      </w:pPr>
    </w:p>
    <w:p w14:paraId="58D0CB20" w14:textId="77777777" w:rsidR="00C57BD1" w:rsidRPr="004A0C12" w:rsidRDefault="00C57BD1" w:rsidP="00057B5A">
      <w:pPr>
        <w:pStyle w:val="Heading2"/>
        <w:spacing w:before="0" w:line="240" w:lineRule="auto"/>
        <w:rPr>
          <w:rFonts w:ascii="Garamond" w:hAnsi="Garamond"/>
          <w:sz w:val="22"/>
          <w:szCs w:val="22"/>
        </w:rPr>
      </w:pPr>
    </w:p>
    <w:p w14:paraId="5D0D715A" w14:textId="77777777" w:rsidR="00C57BD1" w:rsidRPr="004A0C12" w:rsidRDefault="00C57BD1" w:rsidP="00057B5A">
      <w:pPr>
        <w:pStyle w:val="Heading2"/>
        <w:spacing w:before="0" w:line="240" w:lineRule="auto"/>
        <w:rPr>
          <w:rFonts w:ascii="Garamond" w:hAnsi="Garamond"/>
          <w:sz w:val="22"/>
          <w:szCs w:val="22"/>
        </w:rPr>
      </w:pPr>
    </w:p>
    <w:p w14:paraId="67C264A8" w14:textId="77777777" w:rsidR="00C57BD1" w:rsidRPr="004A0C12" w:rsidRDefault="00C57BD1" w:rsidP="00057B5A">
      <w:pPr>
        <w:pStyle w:val="Heading2"/>
        <w:spacing w:before="0" w:line="240" w:lineRule="auto"/>
        <w:rPr>
          <w:rFonts w:ascii="Garamond" w:hAnsi="Garamond"/>
          <w:sz w:val="22"/>
          <w:szCs w:val="22"/>
        </w:rPr>
      </w:pPr>
    </w:p>
    <w:p w14:paraId="279C6E81" w14:textId="77777777" w:rsidR="00C57BD1" w:rsidRPr="004A0C12" w:rsidRDefault="00C57BD1" w:rsidP="00057B5A">
      <w:pPr>
        <w:pStyle w:val="Heading2"/>
        <w:spacing w:before="0" w:line="240" w:lineRule="auto"/>
        <w:rPr>
          <w:rFonts w:ascii="Garamond" w:hAnsi="Garamond"/>
          <w:sz w:val="22"/>
          <w:szCs w:val="22"/>
        </w:rPr>
      </w:pPr>
    </w:p>
    <w:p w14:paraId="37480CCD" w14:textId="77777777" w:rsidR="00C57BD1" w:rsidRPr="004A0C12" w:rsidRDefault="00C57BD1" w:rsidP="00057B5A">
      <w:pPr>
        <w:pStyle w:val="Heading2"/>
        <w:spacing w:before="0" w:line="240" w:lineRule="auto"/>
        <w:rPr>
          <w:rFonts w:ascii="Garamond" w:hAnsi="Garamond"/>
          <w:sz w:val="22"/>
          <w:szCs w:val="22"/>
        </w:rPr>
      </w:pPr>
    </w:p>
    <w:p w14:paraId="621FE851" w14:textId="77777777" w:rsidR="00C57BD1" w:rsidRPr="004A0C12" w:rsidRDefault="00C57BD1" w:rsidP="00057B5A">
      <w:pPr>
        <w:pStyle w:val="Heading2"/>
        <w:spacing w:before="0" w:line="240" w:lineRule="auto"/>
        <w:rPr>
          <w:rFonts w:ascii="Garamond" w:hAnsi="Garamond"/>
          <w:sz w:val="22"/>
          <w:szCs w:val="22"/>
        </w:rPr>
      </w:pPr>
    </w:p>
    <w:p w14:paraId="19980570" w14:textId="77777777" w:rsidR="00B60621" w:rsidRDefault="00B60621" w:rsidP="00057B5A">
      <w:pPr>
        <w:pStyle w:val="Heading2"/>
        <w:spacing w:before="0" w:line="240" w:lineRule="auto"/>
        <w:rPr>
          <w:rFonts w:ascii="Garamond" w:hAnsi="Garamond"/>
          <w:sz w:val="22"/>
          <w:szCs w:val="22"/>
        </w:rPr>
      </w:pPr>
    </w:p>
    <w:p w14:paraId="78154A63" w14:textId="77777777" w:rsidR="00B60621" w:rsidRDefault="00B60621" w:rsidP="00057B5A">
      <w:pPr>
        <w:pStyle w:val="Heading2"/>
        <w:spacing w:before="0" w:line="240" w:lineRule="auto"/>
        <w:rPr>
          <w:rFonts w:ascii="Garamond" w:hAnsi="Garamond"/>
          <w:sz w:val="22"/>
          <w:szCs w:val="22"/>
        </w:rPr>
      </w:pPr>
    </w:p>
    <w:p w14:paraId="63D3BAB6" w14:textId="77777777" w:rsidR="00B60621" w:rsidRDefault="00B60621" w:rsidP="00057B5A">
      <w:pPr>
        <w:pStyle w:val="Heading2"/>
        <w:spacing w:before="0" w:line="240" w:lineRule="auto"/>
        <w:rPr>
          <w:rFonts w:ascii="Garamond" w:hAnsi="Garamond"/>
          <w:sz w:val="22"/>
          <w:szCs w:val="22"/>
        </w:rPr>
      </w:pPr>
    </w:p>
    <w:p w14:paraId="4CAED6F8" w14:textId="77777777" w:rsidR="00B60621" w:rsidRDefault="00B60621" w:rsidP="00057B5A">
      <w:pPr>
        <w:pStyle w:val="Heading2"/>
        <w:spacing w:before="0" w:line="240" w:lineRule="auto"/>
        <w:rPr>
          <w:rFonts w:ascii="Garamond" w:hAnsi="Garamond"/>
          <w:sz w:val="22"/>
          <w:szCs w:val="22"/>
        </w:rPr>
      </w:pPr>
    </w:p>
    <w:p w14:paraId="6A79D5C9" w14:textId="77777777" w:rsidR="00B60621" w:rsidRDefault="00B60621" w:rsidP="00057B5A">
      <w:pPr>
        <w:pStyle w:val="Heading2"/>
        <w:spacing w:before="0" w:line="240" w:lineRule="auto"/>
        <w:rPr>
          <w:rFonts w:ascii="Garamond" w:hAnsi="Garamond"/>
          <w:sz w:val="22"/>
          <w:szCs w:val="22"/>
        </w:rPr>
      </w:pPr>
    </w:p>
    <w:p w14:paraId="5F0B7D39" w14:textId="77777777" w:rsidR="00B60621" w:rsidRDefault="00B60621" w:rsidP="00057B5A">
      <w:pPr>
        <w:pStyle w:val="Heading2"/>
        <w:spacing w:before="0" w:line="240" w:lineRule="auto"/>
        <w:rPr>
          <w:rFonts w:ascii="Garamond" w:hAnsi="Garamond"/>
          <w:sz w:val="22"/>
          <w:szCs w:val="22"/>
        </w:rPr>
      </w:pPr>
    </w:p>
    <w:p w14:paraId="56CFE18D" w14:textId="77777777" w:rsidR="00B60621" w:rsidRDefault="00B60621" w:rsidP="00057B5A">
      <w:pPr>
        <w:pStyle w:val="Heading2"/>
        <w:spacing w:before="0" w:line="240" w:lineRule="auto"/>
        <w:rPr>
          <w:rFonts w:ascii="Garamond" w:hAnsi="Garamond"/>
          <w:sz w:val="22"/>
          <w:szCs w:val="22"/>
        </w:rPr>
      </w:pPr>
    </w:p>
    <w:p w14:paraId="000CC301" w14:textId="77777777" w:rsidR="00B60621" w:rsidRDefault="00B60621" w:rsidP="00057B5A">
      <w:pPr>
        <w:pStyle w:val="Heading2"/>
        <w:spacing w:before="0" w:line="240" w:lineRule="auto"/>
        <w:rPr>
          <w:rFonts w:ascii="Garamond" w:hAnsi="Garamond"/>
          <w:sz w:val="22"/>
          <w:szCs w:val="22"/>
        </w:rPr>
      </w:pPr>
    </w:p>
    <w:p w14:paraId="04A1BC9B" w14:textId="77777777" w:rsidR="00B60621" w:rsidRDefault="00B60621" w:rsidP="00057B5A">
      <w:pPr>
        <w:pStyle w:val="Heading2"/>
        <w:spacing w:before="0" w:line="240" w:lineRule="auto"/>
        <w:rPr>
          <w:rFonts w:ascii="Garamond" w:hAnsi="Garamond"/>
          <w:sz w:val="22"/>
          <w:szCs w:val="22"/>
        </w:rPr>
      </w:pPr>
    </w:p>
    <w:p w14:paraId="4BCD4579" w14:textId="77777777" w:rsidR="00B60621" w:rsidRDefault="00B60621" w:rsidP="00057B5A">
      <w:pPr>
        <w:pStyle w:val="Heading2"/>
        <w:spacing w:before="0" w:line="240" w:lineRule="auto"/>
        <w:rPr>
          <w:rFonts w:ascii="Garamond" w:hAnsi="Garamond"/>
          <w:sz w:val="22"/>
          <w:szCs w:val="22"/>
        </w:rPr>
      </w:pPr>
    </w:p>
    <w:p w14:paraId="1CEF1F2D" w14:textId="77777777" w:rsidR="00B60621" w:rsidRDefault="00B60621" w:rsidP="00057B5A">
      <w:pPr>
        <w:pStyle w:val="Heading2"/>
        <w:spacing w:before="0" w:line="240" w:lineRule="auto"/>
        <w:rPr>
          <w:rFonts w:ascii="Garamond" w:hAnsi="Garamond"/>
          <w:sz w:val="22"/>
          <w:szCs w:val="22"/>
        </w:rPr>
      </w:pPr>
    </w:p>
    <w:p w14:paraId="1C8BB80C" w14:textId="77777777" w:rsidR="00B60621" w:rsidRDefault="00B60621" w:rsidP="00057B5A">
      <w:pPr>
        <w:pStyle w:val="Heading2"/>
        <w:spacing w:before="0" w:line="240" w:lineRule="auto"/>
        <w:rPr>
          <w:rFonts w:ascii="Garamond" w:hAnsi="Garamond"/>
          <w:sz w:val="22"/>
          <w:szCs w:val="22"/>
        </w:rPr>
      </w:pPr>
    </w:p>
    <w:p w14:paraId="37206EC4" w14:textId="77777777" w:rsidR="00B60621" w:rsidRDefault="00B60621" w:rsidP="00057B5A">
      <w:pPr>
        <w:pStyle w:val="Heading2"/>
        <w:spacing w:before="0" w:line="240" w:lineRule="auto"/>
        <w:rPr>
          <w:rFonts w:ascii="Garamond" w:hAnsi="Garamond"/>
          <w:sz w:val="22"/>
          <w:szCs w:val="22"/>
        </w:rPr>
      </w:pPr>
    </w:p>
    <w:p w14:paraId="724616D6" w14:textId="77777777" w:rsidR="00B60621" w:rsidRDefault="00B60621" w:rsidP="00057B5A">
      <w:pPr>
        <w:pStyle w:val="Heading2"/>
        <w:spacing w:before="0" w:line="240" w:lineRule="auto"/>
        <w:rPr>
          <w:rFonts w:ascii="Garamond" w:hAnsi="Garamond"/>
          <w:sz w:val="22"/>
          <w:szCs w:val="22"/>
        </w:rPr>
      </w:pPr>
    </w:p>
    <w:p w14:paraId="05E71472" w14:textId="77777777" w:rsidR="00B60621" w:rsidRDefault="00B60621" w:rsidP="00057B5A">
      <w:pPr>
        <w:pStyle w:val="Heading2"/>
        <w:spacing w:before="0" w:line="240" w:lineRule="auto"/>
        <w:rPr>
          <w:rFonts w:ascii="Garamond" w:hAnsi="Garamond"/>
          <w:sz w:val="22"/>
          <w:szCs w:val="22"/>
        </w:rPr>
      </w:pPr>
    </w:p>
    <w:p w14:paraId="0D0800E8" w14:textId="77777777" w:rsidR="00B60621" w:rsidRDefault="00B60621" w:rsidP="00057B5A">
      <w:pPr>
        <w:pStyle w:val="Heading2"/>
        <w:spacing w:before="0" w:line="240" w:lineRule="auto"/>
        <w:rPr>
          <w:rFonts w:ascii="Garamond" w:hAnsi="Garamond"/>
          <w:sz w:val="22"/>
          <w:szCs w:val="22"/>
        </w:rPr>
      </w:pPr>
    </w:p>
    <w:p w14:paraId="07176D32" w14:textId="77777777" w:rsidR="00B60621" w:rsidRDefault="00B60621" w:rsidP="00057B5A">
      <w:pPr>
        <w:pStyle w:val="Heading2"/>
        <w:spacing w:before="0" w:line="240" w:lineRule="auto"/>
        <w:rPr>
          <w:rFonts w:ascii="Garamond" w:hAnsi="Garamond"/>
          <w:sz w:val="22"/>
          <w:szCs w:val="22"/>
        </w:rPr>
      </w:pPr>
    </w:p>
    <w:p w14:paraId="28C4D163" w14:textId="77777777" w:rsidR="00B60621" w:rsidRDefault="00B60621" w:rsidP="00057B5A">
      <w:pPr>
        <w:pStyle w:val="Heading2"/>
        <w:spacing w:before="0" w:line="240" w:lineRule="auto"/>
        <w:rPr>
          <w:rFonts w:ascii="Garamond" w:hAnsi="Garamond"/>
          <w:sz w:val="22"/>
          <w:szCs w:val="22"/>
        </w:rPr>
      </w:pPr>
    </w:p>
    <w:p w14:paraId="21A17B9D" w14:textId="77777777" w:rsidR="00B60621" w:rsidRDefault="00B60621" w:rsidP="00057B5A">
      <w:pPr>
        <w:pStyle w:val="Heading2"/>
        <w:spacing w:before="0" w:line="240" w:lineRule="auto"/>
        <w:rPr>
          <w:rFonts w:ascii="Garamond" w:hAnsi="Garamond"/>
          <w:sz w:val="22"/>
          <w:szCs w:val="22"/>
        </w:rPr>
      </w:pPr>
    </w:p>
    <w:p w14:paraId="4B0FF5CC" w14:textId="77777777" w:rsidR="00B60621" w:rsidRDefault="00B60621" w:rsidP="00057B5A">
      <w:pPr>
        <w:pStyle w:val="Heading2"/>
        <w:spacing w:before="0" w:line="240" w:lineRule="auto"/>
        <w:rPr>
          <w:rFonts w:ascii="Garamond" w:hAnsi="Garamond"/>
          <w:sz w:val="22"/>
          <w:szCs w:val="22"/>
        </w:rPr>
      </w:pPr>
    </w:p>
    <w:p w14:paraId="3E55830D" w14:textId="77777777" w:rsidR="00B60621" w:rsidRDefault="00B60621" w:rsidP="00057B5A">
      <w:pPr>
        <w:pStyle w:val="Heading2"/>
        <w:spacing w:before="0" w:line="240" w:lineRule="auto"/>
        <w:rPr>
          <w:rFonts w:ascii="Garamond" w:hAnsi="Garamond"/>
          <w:sz w:val="22"/>
          <w:szCs w:val="22"/>
        </w:rPr>
      </w:pPr>
    </w:p>
    <w:p w14:paraId="719171CC" w14:textId="77777777" w:rsidR="00B60621" w:rsidRDefault="00B60621" w:rsidP="00057B5A">
      <w:pPr>
        <w:pStyle w:val="Heading2"/>
        <w:spacing w:before="0" w:line="240" w:lineRule="auto"/>
        <w:rPr>
          <w:rFonts w:ascii="Garamond" w:hAnsi="Garamond"/>
          <w:sz w:val="22"/>
          <w:szCs w:val="22"/>
        </w:rPr>
      </w:pPr>
    </w:p>
    <w:p w14:paraId="73C78469" w14:textId="77777777" w:rsidR="00B60621" w:rsidRDefault="00B60621" w:rsidP="00057B5A">
      <w:pPr>
        <w:pStyle w:val="Heading2"/>
        <w:spacing w:before="0" w:line="240" w:lineRule="auto"/>
        <w:rPr>
          <w:rFonts w:ascii="Garamond" w:hAnsi="Garamond"/>
          <w:sz w:val="22"/>
          <w:szCs w:val="22"/>
        </w:rPr>
      </w:pPr>
    </w:p>
    <w:p w14:paraId="482FA02A" w14:textId="77777777" w:rsidR="00B60621" w:rsidRDefault="00B60621" w:rsidP="00057B5A">
      <w:pPr>
        <w:pStyle w:val="Heading2"/>
        <w:spacing w:before="0" w:line="240" w:lineRule="auto"/>
        <w:rPr>
          <w:rFonts w:ascii="Garamond" w:hAnsi="Garamond"/>
          <w:sz w:val="22"/>
          <w:szCs w:val="22"/>
        </w:rPr>
      </w:pPr>
    </w:p>
    <w:p w14:paraId="66203403" w14:textId="77777777" w:rsidR="00B60621" w:rsidRDefault="00B60621" w:rsidP="00057B5A">
      <w:pPr>
        <w:pStyle w:val="Heading2"/>
        <w:spacing w:before="0" w:line="240" w:lineRule="auto"/>
        <w:rPr>
          <w:rFonts w:ascii="Garamond" w:hAnsi="Garamond"/>
          <w:sz w:val="22"/>
          <w:szCs w:val="22"/>
        </w:rPr>
      </w:pPr>
    </w:p>
    <w:p w14:paraId="1C266096" w14:textId="77777777" w:rsidR="001C1EC7" w:rsidRDefault="001C1EC7" w:rsidP="001C1EC7"/>
    <w:p w14:paraId="075409A0" w14:textId="77777777" w:rsidR="001C1EC7" w:rsidRDefault="001C1EC7" w:rsidP="001C1EC7"/>
    <w:p w14:paraId="3E01FC44" w14:textId="77777777" w:rsidR="001C1EC7" w:rsidRDefault="001C1EC7" w:rsidP="001C1EC7"/>
    <w:p w14:paraId="6D379EEF" w14:textId="77777777" w:rsidR="001C1EC7" w:rsidRPr="001C1EC7" w:rsidRDefault="001C1EC7" w:rsidP="001C1EC7"/>
    <w:p w14:paraId="7C783F3D" w14:textId="77777777" w:rsidR="00B60621" w:rsidRPr="00B60621" w:rsidRDefault="00B60621" w:rsidP="00057B5A">
      <w:pPr>
        <w:pStyle w:val="Heading2"/>
        <w:spacing w:before="0" w:line="240" w:lineRule="auto"/>
        <w:rPr>
          <w:rFonts w:ascii="Garamond" w:hAnsi="Garamond"/>
          <w:sz w:val="24"/>
          <w:szCs w:val="24"/>
        </w:rPr>
      </w:pPr>
    </w:p>
    <w:p w14:paraId="1143D8E0" w14:textId="77777777" w:rsidR="00BC68BB" w:rsidRPr="00B60621" w:rsidRDefault="00C26F86" w:rsidP="00057B5A">
      <w:pPr>
        <w:pStyle w:val="Heading2"/>
        <w:spacing w:before="0" w:line="240" w:lineRule="auto"/>
        <w:rPr>
          <w:rFonts w:ascii="Garamond" w:hAnsi="Garamond"/>
          <w:sz w:val="24"/>
          <w:szCs w:val="24"/>
        </w:rPr>
      </w:pPr>
      <w:r w:rsidRPr="00B60621">
        <w:rPr>
          <w:rFonts w:ascii="Garamond" w:hAnsi="Garamond"/>
          <w:sz w:val="24"/>
          <w:szCs w:val="24"/>
        </w:rPr>
        <w:t>Workfo</w:t>
      </w:r>
      <w:r w:rsidR="00BC68BB" w:rsidRPr="00B60621">
        <w:rPr>
          <w:rFonts w:ascii="Garamond" w:hAnsi="Garamond"/>
          <w:sz w:val="24"/>
          <w:szCs w:val="24"/>
        </w:rPr>
        <w:t>rce Analysis: Population</w:t>
      </w:r>
      <w:bookmarkEnd w:id="32"/>
      <w:r w:rsidR="00BC68BB" w:rsidRPr="00B60621">
        <w:rPr>
          <w:rFonts w:ascii="Garamond" w:hAnsi="Garamond"/>
          <w:sz w:val="24"/>
          <w:szCs w:val="24"/>
        </w:rPr>
        <w:t xml:space="preserve"> </w:t>
      </w:r>
    </w:p>
    <w:p w14:paraId="0D006DFE" w14:textId="6F9E2B51" w:rsidR="006451F7" w:rsidRPr="004A0C12" w:rsidRDefault="006451F7" w:rsidP="006451F7">
      <w:pPr>
        <w:spacing w:after="0" w:line="240" w:lineRule="auto"/>
        <w:jc w:val="both"/>
        <w:rPr>
          <w:rFonts w:ascii="Garamond" w:hAnsi="Garamond"/>
        </w:rPr>
      </w:pPr>
      <w:r w:rsidRPr="004A0C12">
        <w:rPr>
          <w:rFonts w:ascii="Garamond" w:hAnsi="Garamond"/>
        </w:rPr>
        <w:t>In 2014 it was estimated that Maryland had a po</w:t>
      </w:r>
      <w:r w:rsidR="00BB471E" w:rsidRPr="004A0C12">
        <w:rPr>
          <w:rFonts w:ascii="Garamond" w:hAnsi="Garamond"/>
        </w:rPr>
        <w:t>pulation of 5,976,407, which had</w:t>
      </w:r>
      <w:r w:rsidRPr="004A0C12">
        <w:rPr>
          <w:rFonts w:ascii="Garamond" w:hAnsi="Garamond"/>
        </w:rPr>
        <w:t xml:space="preserve"> risen from the 2013 estimate of 5,938,737</w:t>
      </w:r>
      <w:r w:rsidR="00B1138E" w:rsidRPr="004A0C12">
        <w:rPr>
          <w:rFonts w:ascii="Garamond" w:hAnsi="Garamond"/>
        </w:rPr>
        <w:t>.</w:t>
      </w:r>
      <w:r w:rsidR="00B1138E" w:rsidRPr="004A0C12">
        <w:rPr>
          <w:rStyle w:val="FootnoteReference"/>
          <w:rFonts w:ascii="Garamond" w:hAnsi="Garamond"/>
        </w:rPr>
        <w:footnoteReference w:id="25"/>
      </w:r>
      <w:r w:rsidRPr="004A0C12">
        <w:rPr>
          <w:rFonts w:ascii="Garamond" w:hAnsi="Garamond"/>
        </w:rPr>
        <w:t xml:space="preserve"> Maryland has exhibited positive growth in population and is projected to continue to increase to a level of 6,429,750 by 2025</w:t>
      </w:r>
      <w:r w:rsidR="00BB471E" w:rsidRPr="004A0C12">
        <w:rPr>
          <w:rFonts w:ascii="Garamond" w:hAnsi="Garamond"/>
        </w:rPr>
        <w:t>.</w:t>
      </w:r>
      <w:r w:rsidR="00BB471E" w:rsidRPr="004A0C12">
        <w:rPr>
          <w:rStyle w:val="FootnoteReference"/>
          <w:rFonts w:ascii="Garamond" w:hAnsi="Garamond"/>
        </w:rPr>
        <w:footnoteReference w:id="26"/>
      </w:r>
      <w:r w:rsidRPr="004A0C12">
        <w:rPr>
          <w:rFonts w:ascii="Garamond" w:hAnsi="Garamond"/>
        </w:rPr>
        <w:t xml:space="preserve"> </w:t>
      </w:r>
      <w:r w:rsidRPr="004A0C12">
        <w:rPr>
          <w:rFonts w:ascii="Garamond" w:hAnsi="Garamond"/>
        </w:rPr>
        <w:lastRenderedPageBreak/>
        <w:t>Maryland is home to a diverse population with the three major race</w:t>
      </w:r>
      <w:r w:rsidR="00BB471E" w:rsidRPr="004A0C12">
        <w:rPr>
          <w:rFonts w:ascii="Garamond" w:hAnsi="Garamond"/>
        </w:rPr>
        <w:t>s represented being White (60.1 percent</w:t>
      </w:r>
      <w:r w:rsidRPr="004A0C12">
        <w:rPr>
          <w:rFonts w:ascii="Garamond" w:hAnsi="Garamond"/>
        </w:rPr>
        <w:t xml:space="preserve">), </w:t>
      </w:r>
      <w:r w:rsidR="00BB471E" w:rsidRPr="004A0C12">
        <w:rPr>
          <w:rFonts w:ascii="Garamond" w:hAnsi="Garamond"/>
        </w:rPr>
        <w:t>Black or African American (30.3 percent), and Asian (6.4 percent</w:t>
      </w:r>
      <w:r w:rsidRPr="004A0C12">
        <w:rPr>
          <w:rFonts w:ascii="Garamond" w:hAnsi="Garamond"/>
        </w:rPr>
        <w:t>). In regard</w:t>
      </w:r>
      <w:r w:rsidR="00BB471E" w:rsidRPr="004A0C12">
        <w:rPr>
          <w:rFonts w:ascii="Garamond" w:hAnsi="Garamond"/>
        </w:rPr>
        <w:t>s to ethnicity, Maryland is 9.3 percent</w:t>
      </w:r>
      <w:r w:rsidRPr="004A0C12">
        <w:rPr>
          <w:rFonts w:ascii="Garamond" w:hAnsi="Garamond"/>
        </w:rPr>
        <w:t xml:space="preserve"> Hispanic or Latino. Gender is equally distributed, wi</w:t>
      </w:r>
      <w:r w:rsidR="00BB471E" w:rsidRPr="004A0C12">
        <w:rPr>
          <w:rFonts w:ascii="Garamond" w:hAnsi="Garamond"/>
        </w:rPr>
        <w:t xml:space="preserve">th females accounting for 51.5 percent </w:t>
      </w:r>
      <w:r w:rsidRPr="004A0C12">
        <w:rPr>
          <w:rFonts w:ascii="Garamond" w:hAnsi="Garamond"/>
        </w:rPr>
        <w:t>of the population</w:t>
      </w:r>
      <w:r w:rsidR="00BB471E" w:rsidRPr="004A0C12">
        <w:rPr>
          <w:rFonts w:ascii="Garamond" w:hAnsi="Garamond"/>
        </w:rPr>
        <w:t>.</w:t>
      </w:r>
      <w:r w:rsidR="00BB471E" w:rsidRPr="004A0C12">
        <w:rPr>
          <w:rStyle w:val="FootnoteReference"/>
          <w:rFonts w:ascii="Garamond" w:hAnsi="Garamond"/>
        </w:rPr>
        <w:footnoteReference w:id="27"/>
      </w:r>
      <w:r w:rsidRPr="004A0C12">
        <w:rPr>
          <w:rFonts w:ascii="Garamond" w:hAnsi="Garamond"/>
        </w:rPr>
        <w:t xml:space="preserve"> In 2014, the median age of Marylanders was 38.2 years and the distribution of people by age categories was similar to that of the U.S.</w:t>
      </w:r>
      <w:r w:rsidR="00BB471E" w:rsidRPr="004A0C12">
        <w:rPr>
          <w:rStyle w:val="FootnoteReference"/>
          <w:rFonts w:ascii="Garamond" w:hAnsi="Garamond"/>
        </w:rPr>
        <w:footnoteReference w:id="28"/>
      </w:r>
      <w:r w:rsidRPr="004A0C12">
        <w:rPr>
          <w:rFonts w:ascii="Garamond" w:hAnsi="Garamond"/>
        </w:rPr>
        <w:t xml:space="preserve"> Maryland is home to a well</w:t>
      </w:r>
      <w:r w:rsidR="00BB471E" w:rsidRPr="004A0C12">
        <w:rPr>
          <w:rFonts w:ascii="Garamond" w:hAnsi="Garamond"/>
        </w:rPr>
        <w:t>-educated population and ranks thi</w:t>
      </w:r>
      <w:r w:rsidRPr="004A0C12">
        <w:rPr>
          <w:rFonts w:ascii="Garamond" w:hAnsi="Garamond"/>
        </w:rPr>
        <w:t>rd in the nation for percent of population with a graduate degree or higher. However, 6.3 percent of Maryland’s workforce possesses a 9th to 12t</w:t>
      </w:r>
      <w:r w:rsidR="00BB471E" w:rsidRPr="004A0C12">
        <w:rPr>
          <w:rFonts w:ascii="Garamond" w:hAnsi="Garamond"/>
        </w:rPr>
        <w:t>h grade education level and 4</w:t>
      </w:r>
      <w:r w:rsidRPr="004A0C12">
        <w:rPr>
          <w:rFonts w:ascii="Garamond" w:hAnsi="Garamond"/>
        </w:rPr>
        <w:t xml:space="preserve"> percent have less t</w:t>
      </w:r>
      <w:r w:rsidR="00BB471E" w:rsidRPr="004A0C12">
        <w:rPr>
          <w:rFonts w:ascii="Garamond" w:hAnsi="Garamond"/>
        </w:rPr>
        <w:t>han a 9th grade level education.</w:t>
      </w:r>
      <w:r w:rsidR="00BB471E" w:rsidRPr="004A0C12">
        <w:rPr>
          <w:rStyle w:val="FootnoteReference"/>
          <w:rFonts w:ascii="Garamond" w:hAnsi="Garamond"/>
        </w:rPr>
        <w:footnoteReference w:id="29"/>
      </w:r>
      <w:r w:rsidR="00BB471E" w:rsidRPr="004A0C12">
        <w:rPr>
          <w:rFonts w:ascii="Garamond" w:hAnsi="Garamond"/>
        </w:rPr>
        <w:t xml:space="preserve"> </w:t>
      </w:r>
    </w:p>
    <w:p w14:paraId="648863B7" w14:textId="77777777" w:rsidR="006451F7" w:rsidRPr="004A0C12" w:rsidRDefault="006451F7" w:rsidP="006451F7">
      <w:pPr>
        <w:spacing w:after="0" w:line="240" w:lineRule="auto"/>
        <w:jc w:val="both"/>
        <w:rPr>
          <w:rFonts w:ascii="Garamond" w:hAnsi="Garamond"/>
        </w:rPr>
      </w:pPr>
    </w:p>
    <w:p w14:paraId="1B41B266" w14:textId="77777777" w:rsidR="00BB471E" w:rsidRPr="004A0C12" w:rsidRDefault="006451F7" w:rsidP="006451F7">
      <w:pPr>
        <w:spacing w:after="0" w:line="240" w:lineRule="auto"/>
        <w:jc w:val="both"/>
        <w:rPr>
          <w:rFonts w:ascii="Garamond" w:hAnsi="Garamond"/>
        </w:rPr>
      </w:pPr>
      <w:r w:rsidRPr="004A0C12">
        <w:rPr>
          <w:rFonts w:ascii="Garamond" w:hAnsi="Garamond"/>
        </w:rPr>
        <w:t>Most Maryland residents work in Maryland</w:t>
      </w:r>
      <w:r w:rsidR="00BB471E" w:rsidRPr="004A0C12">
        <w:rPr>
          <w:rFonts w:ascii="Garamond" w:hAnsi="Garamond"/>
        </w:rPr>
        <w:t>,</w:t>
      </w:r>
      <w:r w:rsidRPr="004A0C12">
        <w:rPr>
          <w:rFonts w:ascii="Garamond" w:hAnsi="Garamond"/>
        </w:rPr>
        <w:t xml:space="preserve"> with more than 80 percent of working residents holding primary jobs within Maryland. Montgomery County accounted for the largest share, nearly 15 percent, of primary jobs held by employed Maryland residents. Baltimore City and Baltimore County followed closely, accounting for approximately 13 and 12 percent respectively. Working Maryland residents also commuted to locations outside of Maryland. </w:t>
      </w:r>
    </w:p>
    <w:p w14:paraId="52CEE8C4" w14:textId="77777777" w:rsidR="00BB471E" w:rsidRPr="004A0C12" w:rsidRDefault="00BB471E" w:rsidP="006451F7">
      <w:pPr>
        <w:spacing w:after="0" w:line="240" w:lineRule="auto"/>
        <w:jc w:val="both"/>
        <w:rPr>
          <w:rFonts w:ascii="Garamond" w:hAnsi="Garamond"/>
        </w:rPr>
      </w:pPr>
    </w:p>
    <w:p w14:paraId="5F665765" w14:textId="53193DCE" w:rsidR="006451F7" w:rsidRPr="004A0C12" w:rsidRDefault="006451F7" w:rsidP="006451F7">
      <w:pPr>
        <w:spacing w:after="0" w:line="240" w:lineRule="auto"/>
        <w:jc w:val="both"/>
        <w:rPr>
          <w:rFonts w:ascii="Garamond" w:hAnsi="Garamond"/>
        </w:rPr>
      </w:pPr>
      <w:r w:rsidRPr="004A0C12">
        <w:rPr>
          <w:rFonts w:ascii="Garamond" w:hAnsi="Garamond"/>
        </w:rPr>
        <w:t>The District of Co</w:t>
      </w:r>
      <w:r w:rsidR="00BB471E" w:rsidRPr="004A0C12">
        <w:rPr>
          <w:rFonts w:ascii="Garamond" w:hAnsi="Garamond"/>
        </w:rPr>
        <w:t>lumbia and Virginia were the two</w:t>
      </w:r>
      <w:r w:rsidRPr="004A0C12">
        <w:rPr>
          <w:rFonts w:ascii="Garamond" w:hAnsi="Garamond"/>
        </w:rPr>
        <w:t xml:space="preserve"> most popular destinations</w:t>
      </w:r>
      <w:r w:rsidR="00BB471E" w:rsidRPr="004A0C12">
        <w:rPr>
          <w:rFonts w:ascii="Garamond" w:hAnsi="Garamond"/>
        </w:rPr>
        <w:t>,</w:t>
      </w:r>
      <w:r w:rsidRPr="004A0C12">
        <w:rPr>
          <w:rFonts w:ascii="Garamond" w:hAnsi="Garamond"/>
        </w:rPr>
        <w:t xml:space="preserve"> accounting for approximately 10 and 5 percent of primary jobs respectively. Pennsylvania and Delaware tied for the</w:t>
      </w:r>
      <w:r w:rsidR="00B157E4">
        <w:rPr>
          <w:rFonts w:ascii="Garamond" w:hAnsi="Garamond"/>
        </w:rPr>
        <w:t xml:space="preserve"> third most popular out-of-state</w:t>
      </w:r>
      <w:r w:rsidRPr="004A0C12">
        <w:rPr>
          <w:rFonts w:ascii="Garamond" w:hAnsi="Garamond"/>
        </w:rPr>
        <w:t xml:space="preserve"> destination with nearly one percent of jobs each. Additionally, residents from other states commute in to Maryland for work. Most out-of-state workers come from Virginia, which accounts for nearly four percent of jobs. Pennsylvania and the District of Columbia follow closely</w:t>
      </w:r>
      <w:r w:rsidR="00BB471E" w:rsidRPr="004A0C12">
        <w:rPr>
          <w:rFonts w:ascii="Garamond" w:hAnsi="Garamond"/>
        </w:rPr>
        <w:t>,</w:t>
      </w:r>
      <w:r w:rsidRPr="004A0C12">
        <w:rPr>
          <w:rFonts w:ascii="Garamond" w:hAnsi="Garamond"/>
        </w:rPr>
        <w:t xml:space="preserve"> accounting for three and two percent respectively. West Virginia and Delaware round up the Mid-Atlantic region with a one percent share of Maryland’s primary jobs being held by residents of those states. It is important to note that although these commuting patterns describe the state as a whole, the percentage of out-of-state workers varies by workforce area. For example, Western Maryland has a higher percent, more than 5 percent, of residents whose primary jobs are located in West Virginia</w:t>
      </w:r>
      <w:r w:rsidR="00BB471E" w:rsidRPr="004A0C12">
        <w:rPr>
          <w:rFonts w:ascii="Garamond" w:hAnsi="Garamond"/>
        </w:rPr>
        <w:t>,</w:t>
      </w:r>
      <w:r w:rsidRPr="004A0C12">
        <w:rPr>
          <w:rFonts w:ascii="Garamond" w:hAnsi="Garamond"/>
        </w:rPr>
        <w:t xml:space="preserve"> and nearly 14 percent of primary jobs in Western Maryland are filled by workers commuting in from Pennsylvania. The same is true with the Upper Shore, with Delaware accounting for more than 5 percent of primary jobs held by Maryland residents and more than 6 percent of primary jobs in the Upper Shore being held by workers commuting in from Delaware.</w:t>
      </w:r>
      <w:r w:rsidR="00BB471E" w:rsidRPr="004A0C12">
        <w:rPr>
          <w:rStyle w:val="FootnoteReference"/>
          <w:rFonts w:ascii="Garamond" w:hAnsi="Garamond"/>
        </w:rPr>
        <w:footnoteReference w:id="30"/>
      </w:r>
      <w:r w:rsidRPr="004A0C12">
        <w:rPr>
          <w:rFonts w:ascii="Garamond" w:hAnsi="Garamond"/>
        </w:rPr>
        <w:t xml:space="preserve"> </w:t>
      </w:r>
    </w:p>
    <w:p w14:paraId="74339774" w14:textId="77777777" w:rsidR="006451F7" w:rsidRPr="004A0C12" w:rsidRDefault="006451F7" w:rsidP="006451F7">
      <w:pPr>
        <w:spacing w:after="0" w:line="240" w:lineRule="auto"/>
        <w:jc w:val="both"/>
        <w:rPr>
          <w:rFonts w:ascii="Garamond" w:hAnsi="Garamond"/>
        </w:rPr>
      </w:pPr>
    </w:p>
    <w:p w14:paraId="35FC01F3" w14:textId="71C73E93" w:rsidR="00BB471E" w:rsidRPr="004A0C12" w:rsidRDefault="006451F7" w:rsidP="006451F7">
      <w:pPr>
        <w:spacing w:after="0" w:line="240" w:lineRule="auto"/>
        <w:jc w:val="both"/>
        <w:rPr>
          <w:rFonts w:ascii="Garamond" w:hAnsi="Garamond"/>
        </w:rPr>
      </w:pPr>
      <w:r w:rsidRPr="004A0C12">
        <w:rPr>
          <w:rFonts w:ascii="Garamond" w:hAnsi="Garamond"/>
        </w:rPr>
        <w:t>Ensuring that all of Maryland’s workers have the skills they need to compete in the global, regional, and lo</w:t>
      </w:r>
      <w:r w:rsidR="00BB5F3C" w:rsidRPr="004A0C12">
        <w:rPr>
          <w:rFonts w:ascii="Garamond" w:hAnsi="Garamond"/>
        </w:rPr>
        <w:t>cal economies, Maryland’s WIOA P</w:t>
      </w:r>
      <w:r w:rsidRPr="004A0C12">
        <w:rPr>
          <w:rFonts w:ascii="Garamond" w:hAnsi="Garamond"/>
        </w:rPr>
        <w:t xml:space="preserve">artners are dedicated to ensuring that opportunities are available to adult learners who wish to obtain their high school diploma through passage of the GED® Test or through the National External Diploma Program. Maryland’s integration of adult learning opportunities into workforce development programming serves as a national model, especially in light of the provisions of WIOA. Additionally, many of Maryland’s EARN grantees emphasize the need for participants who do not otherwise have their high school diploma to obtain the same through GED® preparation and literacy advancement.  Both the employers who participate in the EARN Maryland program and DLLR’s Youth Apprenticeship Advisory Committee have identified the need to incorporate soft skills training into workforce development programming. The need for soft skills training is an emerging theme within almost all of the EARN Maryland workforce training plans, regardless of industry, region or subset of the workforce.  </w:t>
      </w:r>
    </w:p>
    <w:p w14:paraId="77DD0DC5" w14:textId="77777777" w:rsidR="00BB471E" w:rsidRPr="004A0C12" w:rsidRDefault="00BB471E" w:rsidP="006451F7">
      <w:pPr>
        <w:spacing w:after="0" w:line="240" w:lineRule="auto"/>
        <w:jc w:val="both"/>
        <w:rPr>
          <w:rFonts w:ascii="Garamond" w:hAnsi="Garamond"/>
        </w:rPr>
      </w:pPr>
    </w:p>
    <w:p w14:paraId="7A462E34" w14:textId="1FE38E76" w:rsidR="006451F7" w:rsidRPr="004A0C12" w:rsidRDefault="006451F7" w:rsidP="006451F7">
      <w:pPr>
        <w:spacing w:after="0" w:line="240" w:lineRule="auto"/>
        <w:jc w:val="both"/>
        <w:rPr>
          <w:rFonts w:ascii="Garamond" w:hAnsi="Garamond"/>
        </w:rPr>
      </w:pPr>
      <w:r w:rsidRPr="004A0C12">
        <w:rPr>
          <w:rFonts w:ascii="Garamond" w:hAnsi="Garamond"/>
        </w:rPr>
        <w:t xml:space="preserve">Soft skills, also known as essential skills, are an important component of job-readiness training. Examples of soft skills include, but are not limited to, skills related to professionalism, problem-solving, timeliness, interpersonal communication and customer service. Many employers who participate in the EARN Maryland program have stated that soft skills are equally as important as the hard skills, or technical skills, that are necessary to be proficient in a career.  EARN Maryland’s partnerships are implementing soft skills training in the classroom, as well as modeling on-the-job work experiences throughout the training program. Time management, customer service, personal appearance, appropriate conduct and personal responsibility are all essential skills identified by DLLR’s Youth Apprenticeship Advisory Committee as important skills needed for the development of a youth apprenticeship talent pipeline. The Committee, formed to evaluate the effectiveness of existing high school youth apprenticeship programs in the State, other states, and other countries, concluded in its initial report outlining the steps the State needs to take in order to establish apprenticeship opportunities in both traditional and non-traditional apprenticeable fields.    </w:t>
      </w:r>
    </w:p>
    <w:p w14:paraId="36DA6513" w14:textId="77777777" w:rsidR="006A5839" w:rsidRPr="004A0C12" w:rsidRDefault="006A5839" w:rsidP="00057B5A">
      <w:pPr>
        <w:spacing w:after="0" w:line="240" w:lineRule="auto"/>
        <w:jc w:val="both"/>
        <w:rPr>
          <w:rFonts w:ascii="Garamond" w:hAnsi="Garamond"/>
        </w:rPr>
      </w:pPr>
    </w:p>
    <w:p w14:paraId="65C44C0B" w14:textId="77777777" w:rsidR="00393483" w:rsidRPr="00B60621" w:rsidRDefault="00BC68BB" w:rsidP="00393483">
      <w:pPr>
        <w:pStyle w:val="Heading2"/>
        <w:spacing w:before="0" w:line="240" w:lineRule="auto"/>
        <w:rPr>
          <w:rFonts w:ascii="Garamond" w:hAnsi="Garamond"/>
          <w:sz w:val="24"/>
          <w:szCs w:val="24"/>
        </w:rPr>
      </w:pPr>
      <w:bookmarkStart w:id="33" w:name="_Toc447276088"/>
      <w:r w:rsidRPr="00B60621">
        <w:rPr>
          <w:rFonts w:ascii="Garamond" w:hAnsi="Garamond"/>
          <w:sz w:val="24"/>
          <w:szCs w:val="24"/>
        </w:rPr>
        <w:t>Workforce: Characteristics of the Employed</w:t>
      </w:r>
      <w:bookmarkEnd w:id="33"/>
      <w:r w:rsidRPr="00B60621">
        <w:rPr>
          <w:rFonts w:ascii="Garamond" w:hAnsi="Garamond"/>
          <w:sz w:val="24"/>
          <w:szCs w:val="24"/>
        </w:rPr>
        <w:t xml:space="preserve"> </w:t>
      </w:r>
    </w:p>
    <w:p w14:paraId="36A61E29" w14:textId="0FA3A79C" w:rsidR="00BC68BB" w:rsidRPr="004A0C12" w:rsidRDefault="00BC68BB" w:rsidP="00057B5A">
      <w:pPr>
        <w:spacing w:after="0" w:line="240" w:lineRule="auto"/>
        <w:jc w:val="both"/>
        <w:rPr>
          <w:rFonts w:ascii="Garamond" w:hAnsi="Garamond"/>
        </w:rPr>
      </w:pPr>
      <w:r w:rsidRPr="004A0C12">
        <w:rPr>
          <w:rFonts w:ascii="Garamond" w:hAnsi="Garamond"/>
          <w:noProof/>
        </w:rPr>
        <mc:AlternateContent>
          <mc:Choice Requires="wps">
            <w:drawing>
              <wp:anchor distT="0" distB="0" distL="114300" distR="114300" simplePos="0" relativeHeight="251675648" behindDoc="0" locked="0" layoutInCell="1" allowOverlap="1" wp14:anchorId="1CEA0C54" wp14:editId="59E7AD7C">
                <wp:simplePos x="0" y="0"/>
                <wp:positionH relativeFrom="column">
                  <wp:posOffset>15903</wp:posOffset>
                </wp:positionH>
                <wp:positionV relativeFrom="paragraph">
                  <wp:posOffset>1108351</wp:posOffset>
                </wp:positionV>
                <wp:extent cx="7005099" cy="3530379"/>
                <wp:effectExtent l="0" t="0" r="24765" b="13335"/>
                <wp:wrapTopAndBottom/>
                <wp:docPr id="31" name="Text Box 31"/>
                <wp:cNvGraphicFramePr/>
                <a:graphic xmlns:a="http://schemas.openxmlformats.org/drawingml/2006/main">
                  <a:graphicData uri="http://schemas.microsoft.com/office/word/2010/wordprocessingShape">
                    <wps:wsp>
                      <wps:cNvSpPr txBox="1"/>
                      <wps:spPr>
                        <a:xfrm>
                          <a:off x="0" y="0"/>
                          <a:ext cx="7005099" cy="35303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C74A7E" w14:textId="366F9837" w:rsidR="003D14AC" w:rsidRDefault="003D14AC">
                            <w:r>
                              <w:t xml:space="preserve">  </w:t>
                            </w:r>
                            <w:r>
                              <w:rPr>
                                <w:noProof/>
                              </w:rPr>
                              <w:drawing>
                                <wp:inline distT="0" distB="0" distL="0" distR="0" wp14:anchorId="722F4268" wp14:editId="4D4D4545">
                                  <wp:extent cx="3260035" cy="2957886"/>
                                  <wp:effectExtent l="19050" t="57150" r="93345" b="52070"/>
                                  <wp:docPr id="32" name="Chart 32" descr="This graph shows Maryland's workers by educational attainment, based on 2015 Census data. Elevent percent of Maryland workers have less than a highschool diploma. Twenty five percent of Maryland workers have high school or equivalent (no college). Thirty percent of Maryland workers have some college or Associate degree. Thirty four percent of Maryland workers have bachelor's degree or advanced degree. " title="Maryland's Workers by Educational Attainment"/>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noProof/>
                              </w:rPr>
                              <w:drawing>
                                <wp:inline distT="0" distB="0" distL="0" distR="0" wp14:anchorId="6AE1E527" wp14:editId="116DA7E9">
                                  <wp:extent cx="3260035" cy="2949934"/>
                                  <wp:effectExtent l="19050" t="57150" r="93345" b="60325"/>
                                  <wp:docPr id="33" name="Chart 33" descr="This graph shows Maryland's workers by age. Twenty two percent are age 29 or younger. Fifty five percent are age 30 to 54. Twenty three percent are age 55 or older. " title="Maryland's Workers by Age"/>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0819DE9" w14:textId="77777777" w:rsidR="003D14AC" w:rsidRPr="007C57B5" w:rsidRDefault="003D14AC" w:rsidP="00BC68BB">
                            <w:pPr>
                              <w:pStyle w:val="Caption"/>
                              <w:rPr>
                                <w:rFonts w:ascii="Times New Roman" w:hAnsi="Times New Roman"/>
                                <w:sz w:val="24"/>
                                <w:szCs w:val="24"/>
                              </w:rPr>
                            </w:pPr>
                            <w:r>
                              <w:t>Graphs 7 and 8: Maryland’s workers by age and educational attainment; Source: Census, 2015</w:t>
                            </w:r>
                          </w:p>
                          <w:p w14:paraId="3793E131"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38" type="#_x0000_t202" style="position:absolute;left:0;text-align:left;margin-left:1.25pt;margin-top:87.25pt;width:551.6pt;height:278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" fillcolor="white [3201]" strokeweight=".5pt">
                <v:textbox>
                  <w:txbxContent>
                    <w:p w14:paraId="58C74A7E" w14:textId="366F9837" w:rsidR="003D14AC" w:rsidRDefault="003D14AC">
                      <w:r>
                        <w:t xml:space="preserve">  </w:t>
                      </w:r>
                      <w:r>
                        <w:rPr>
                          <w:noProof/>
                        </w:rPr>
                        <w:drawing>
                          <wp:inline distT="0" distB="0" distL="0" distR="0" wp14:anchorId="722F4268" wp14:editId="4D4D4545">
                            <wp:extent cx="3260035" cy="2957886"/>
                            <wp:effectExtent l="19050" t="57150" r="93345" b="52070"/>
                            <wp:docPr id="32" name="Chart 32" descr="This graph shows Maryland's workers by educational attainment, based on 2015 Census data. Elevent percent of Maryland workers have less than a highschool diploma. Twenty five percent of Maryland workers have high school or equivalent (no college). Thirty percent of Maryland workers have some college or Associate degree. Thirty four percent of Maryland workers have bachelor's degree or advanced degree. " title="Maryland's Workers by Educational Attainment"/>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Pr>
                          <w:noProof/>
                        </w:rPr>
                        <w:drawing>
                          <wp:inline distT="0" distB="0" distL="0" distR="0" wp14:anchorId="6AE1E527" wp14:editId="116DA7E9">
                            <wp:extent cx="3260035" cy="2949934"/>
                            <wp:effectExtent l="19050" t="57150" r="93345" b="60325"/>
                            <wp:docPr id="33" name="Chart 33" descr="This graph shows Maryland's workers by age. Twenty two percent are age 29 or younger. Fifty five percent are age 30 to 54. Twenty three percent are age 55 or older. " title="Maryland's Workers by Age"/>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0819DE9" w14:textId="77777777" w:rsidR="003D14AC" w:rsidRPr="007C57B5" w:rsidRDefault="003D14AC" w:rsidP="00BC68BB">
                      <w:pPr>
                        <w:pStyle w:val="Caption"/>
                        <w:rPr>
                          <w:rFonts w:ascii="Times New Roman" w:hAnsi="Times New Roman"/>
                          <w:sz w:val="24"/>
                          <w:szCs w:val="24"/>
                        </w:rPr>
                      </w:pPr>
                      <w:r>
                        <w:t>Graphs 7 and 8: Maryland’s workers by age and educational attainment; Source: Census, 2015</w:t>
                      </w:r>
                    </w:p>
                    <w:p w14:paraId="3793E131" w14:textId="77777777" w:rsidR="003D14AC" w:rsidRDefault="003D14AC"/>
                  </w:txbxContent>
                </v:textbox>
                <w10:wrap type="topAndBottom"/>
              </v:shape>
            </w:pict>
          </mc:Fallback>
        </mc:AlternateContent>
      </w:r>
      <w:r w:rsidRPr="004A0C12">
        <w:rPr>
          <w:rFonts w:ascii="Garamond" w:hAnsi="Garamond"/>
        </w:rPr>
        <w:t>Those who work in the state of Maryland are not just Maryland residents, but also</w:t>
      </w:r>
      <w:r w:rsidR="00BB471E" w:rsidRPr="004A0C12">
        <w:rPr>
          <w:rFonts w:ascii="Garamond" w:hAnsi="Garamond"/>
        </w:rPr>
        <w:t xml:space="preserve"> include commuters from</w:t>
      </w:r>
      <w:r w:rsidRPr="004A0C12">
        <w:rPr>
          <w:rFonts w:ascii="Garamond" w:hAnsi="Garamond"/>
        </w:rPr>
        <w:t xml:space="preserve"> Virginia, Pennsylvania, and the District of Columbia. Maryland’s workers are pred</w:t>
      </w:r>
      <w:r w:rsidR="00BB471E" w:rsidRPr="004A0C12">
        <w:rPr>
          <w:rFonts w:ascii="Garamond" w:hAnsi="Garamond"/>
        </w:rPr>
        <w:t>ominantly 30 to 54 years of age;</w:t>
      </w:r>
      <w:r w:rsidRPr="004A0C12">
        <w:rPr>
          <w:rFonts w:ascii="Garamond" w:hAnsi="Garamond"/>
        </w:rPr>
        <w:t xml:space="preserve"> however, a sizeable portion of workers are 55 years or older indicating that replacement needs could be high in the near future (See Graph 8). Maryland’s workers are well-educated with 34 percent having a Bachelor’s or advanced degree; however, 11 percent of those employed in Maryland possess less than a high school degree (See Graph 7).</w:t>
      </w:r>
    </w:p>
    <w:p w14:paraId="1DDFCE68" w14:textId="77777777" w:rsidR="00BC68BB" w:rsidRPr="004A0C12" w:rsidRDefault="00BC68BB" w:rsidP="00057B5A">
      <w:pPr>
        <w:spacing w:after="0" w:line="240" w:lineRule="auto"/>
        <w:rPr>
          <w:rFonts w:ascii="Garamond" w:hAnsi="Garamond"/>
        </w:rPr>
      </w:pPr>
    </w:p>
    <w:p w14:paraId="2DFE3882" w14:textId="77777777" w:rsidR="00BC68BB" w:rsidRPr="004A0C12" w:rsidRDefault="00BC68BB" w:rsidP="00057B5A">
      <w:pPr>
        <w:spacing w:after="0" w:line="240" w:lineRule="auto"/>
        <w:rPr>
          <w:rFonts w:ascii="Garamond" w:hAnsi="Garamond"/>
        </w:rPr>
      </w:pPr>
    </w:p>
    <w:p w14:paraId="66E9DBB1" w14:textId="77777777" w:rsidR="00B60621" w:rsidRDefault="00B60621" w:rsidP="00057B5A">
      <w:pPr>
        <w:pStyle w:val="Heading2"/>
        <w:spacing w:before="0" w:line="240" w:lineRule="auto"/>
        <w:rPr>
          <w:rFonts w:ascii="Garamond" w:hAnsi="Garamond"/>
          <w:sz w:val="22"/>
          <w:szCs w:val="22"/>
        </w:rPr>
      </w:pPr>
      <w:bookmarkStart w:id="34" w:name="_Toc447276089"/>
    </w:p>
    <w:p w14:paraId="0CCAAD12" w14:textId="77777777" w:rsidR="00BC68BB" w:rsidRPr="004A0C12" w:rsidRDefault="00BC68BB" w:rsidP="00057B5A">
      <w:pPr>
        <w:pStyle w:val="Heading2"/>
        <w:spacing w:before="0" w:line="240" w:lineRule="auto"/>
        <w:rPr>
          <w:rFonts w:ascii="Garamond" w:hAnsi="Garamond"/>
          <w:sz w:val="22"/>
          <w:szCs w:val="22"/>
        </w:rPr>
      </w:pPr>
      <w:r w:rsidRPr="004A0C12">
        <w:rPr>
          <w:rFonts w:ascii="Garamond" w:hAnsi="Garamond"/>
          <w:sz w:val="22"/>
          <w:szCs w:val="22"/>
        </w:rPr>
        <w:t>Workforce: Characteristics of the Unemployed</w:t>
      </w:r>
      <w:bookmarkEnd w:id="34"/>
      <w:r w:rsidRPr="004A0C12">
        <w:rPr>
          <w:rFonts w:ascii="Garamond" w:hAnsi="Garamond"/>
          <w:sz w:val="22"/>
          <w:szCs w:val="22"/>
        </w:rPr>
        <w:t xml:space="preserve"> </w:t>
      </w:r>
    </w:p>
    <w:p w14:paraId="565E36D9" w14:textId="77777777" w:rsidR="00BC68BB" w:rsidRPr="004A0C12" w:rsidRDefault="00BC68BB" w:rsidP="00057B5A">
      <w:pPr>
        <w:spacing w:after="0" w:line="240" w:lineRule="auto"/>
        <w:jc w:val="both"/>
        <w:rPr>
          <w:rFonts w:ascii="Garamond" w:hAnsi="Garamond"/>
        </w:rPr>
      </w:pPr>
      <w:r w:rsidRPr="004A0C12">
        <w:rPr>
          <w:rFonts w:ascii="Garamond" w:hAnsi="Garamond"/>
        </w:rPr>
        <w:t xml:space="preserve">Maryland’s unemployment is not equally distributed among demographic groups, or geographic areas as is later shown, and poses unique opportunities and challenges for the state. Maryland’s youth, certain minority groups, and those with fewer credentials face higher unemployment rates and makeup a smaller portion of those employed in Maryland (See Graphs 8 and 9). </w:t>
      </w:r>
    </w:p>
    <w:p w14:paraId="776AFC38" w14:textId="77777777" w:rsidR="00BC68BB" w:rsidRPr="004A0C12" w:rsidRDefault="00BC68BB" w:rsidP="00393483">
      <w:pPr>
        <w:spacing w:after="0" w:line="240" w:lineRule="auto"/>
        <w:jc w:val="both"/>
        <w:rPr>
          <w:rFonts w:ascii="Garamond" w:hAnsi="Garamond"/>
        </w:rPr>
      </w:pPr>
      <w:r w:rsidRPr="004A0C12">
        <w:rPr>
          <w:rFonts w:ascii="Garamond" w:hAnsi="Garamond"/>
          <w:noProof/>
        </w:rPr>
        <w:lastRenderedPageBreak/>
        <mc:AlternateContent>
          <mc:Choice Requires="wps">
            <w:drawing>
              <wp:anchor distT="0" distB="0" distL="114300" distR="114300" simplePos="0" relativeHeight="251676672" behindDoc="0" locked="0" layoutInCell="1" allowOverlap="1" wp14:anchorId="27F74604" wp14:editId="6DFE5559">
                <wp:simplePos x="0" y="0"/>
                <wp:positionH relativeFrom="column">
                  <wp:posOffset>-24130</wp:posOffset>
                </wp:positionH>
                <wp:positionV relativeFrom="paragraph">
                  <wp:posOffset>132715</wp:posOffset>
                </wp:positionV>
                <wp:extent cx="7012940" cy="6464300"/>
                <wp:effectExtent l="0" t="0" r="16510" b="12700"/>
                <wp:wrapTopAndBottom/>
                <wp:docPr id="290" name="Text Box 290"/>
                <wp:cNvGraphicFramePr/>
                <a:graphic xmlns:a="http://schemas.openxmlformats.org/drawingml/2006/main">
                  <a:graphicData uri="http://schemas.microsoft.com/office/word/2010/wordprocessingShape">
                    <wps:wsp>
                      <wps:cNvSpPr txBox="1"/>
                      <wps:spPr>
                        <a:xfrm>
                          <a:off x="0" y="0"/>
                          <a:ext cx="7012940" cy="6464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75F839" w14:textId="77777777" w:rsidR="003D14AC" w:rsidRDefault="003D14AC" w:rsidP="00BC68BB">
                            <w:pPr>
                              <w:jc w:val="center"/>
                            </w:pPr>
                            <w:r>
                              <w:rPr>
                                <w:noProof/>
                              </w:rPr>
                              <w:drawing>
                                <wp:inline distT="0" distB="0" distL="0" distR="0" wp14:anchorId="3ABF672D" wp14:editId="73D73727">
                                  <wp:extent cx="4571365" cy="2740660"/>
                                  <wp:effectExtent l="19050" t="57150" r="95885" b="59690"/>
                                  <wp:docPr id="34" name="Chart 34" descr="This chart graphs Maryland's unemployment rate by race/ethnicity in Maryland in 2014: -8.5% were black or African American; 5.6% wwere Hispanic or Latino; 4.7% were white; and 2.8% were Asian.  " title="Unemployment Rate by Race/Ethnicity in Maryland: 20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1C05821" w14:textId="77777777" w:rsidR="003D14AC" w:rsidRDefault="003D14AC" w:rsidP="00BC68BB">
                            <w:pPr>
                              <w:jc w:val="center"/>
                            </w:pPr>
                            <w:r>
                              <w:rPr>
                                <w:noProof/>
                              </w:rPr>
                              <w:drawing>
                                <wp:inline distT="0" distB="0" distL="0" distR="0" wp14:anchorId="2265967E" wp14:editId="6F0FF0CC">
                                  <wp:extent cx="4571365" cy="2740660"/>
                                  <wp:effectExtent l="19050" t="57150" r="95885" b="59690"/>
                                  <wp:docPr id="35" name="Chart 35" descr="This graph uses 2015 BLS data to show unemployment rate by age in Maryland: 23.7 percent were 16-19 years old; 11.3% were 20-24 years old; 6.4% were 25-34 years old; 4.6% were 35-44 years old; 2.9% were 45-54 years old; 3.9% were 55-64 years old; and 6.6% were 65 or over. " title="Unemployment Rate by Age in Maryland: 20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B01D762" w14:textId="77777777" w:rsidR="003D14AC" w:rsidRDefault="003D14AC" w:rsidP="00BC68BB">
                            <w:pPr>
                              <w:pStyle w:val="Caption"/>
                            </w:pPr>
                            <w:r>
                              <w:t>Graphs 8 and 9: Unemployment rate by age and race/ethnicity; Source: BLS, 2015</w:t>
                            </w:r>
                          </w:p>
                          <w:p w14:paraId="70B0ABEE" w14:textId="77777777" w:rsidR="003D14AC" w:rsidRDefault="003D14AC"/>
                          <w:p w14:paraId="44C0C7CA"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0" o:spid="_x0000_s1039" type="#_x0000_t202" style="position:absolute;left:0;text-align:left;margin-left:-1.9pt;margin-top:10.45pt;width:552.2pt;height:50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" fillcolor="white [3201]" strokeweight=".5pt">
                <v:textbox>
                  <w:txbxContent>
                    <w:p w14:paraId="1D75F839" w14:textId="77777777" w:rsidR="003D14AC" w:rsidRDefault="003D14AC" w:rsidP="00BC68BB">
                      <w:pPr>
                        <w:jc w:val="center"/>
                      </w:pPr>
                      <w:r>
                        <w:rPr>
                          <w:noProof/>
                        </w:rPr>
                        <w:drawing>
                          <wp:inline distT="0" distB="0" distL="0" distR="0" wp14:anchorId="3ABF672D" wp14:editId="73D73727">
                            <wp:extent cx="4571365" cy="2740660"/>
                            <wp:effectExtent l="19050" t="57150" r="95885" b="59690"/>
                            <wp:docPr id="34" name="Chart 34" descr="This chart graphs Maryland's unemployment rate by race/ethnicity in Maryland in 2014: -8.5% were black or African American; 5.6% wwere Hispanic or Latino; 4.7% were white; and 2.8% were Asian.  " title="Unemployment Rate by Race/Ethnicity in Maryland: 20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1C05821" w14:textId="77777777" w:rsidR="003D14AC" w:rsidRDefault="003D14AC" w:rsidP="00BC68BB">
                      <w:pPr>
                        <w:jc w:val="center"/>
                      </w:pPr>
                      <w:r>
                        <w:rPr>
                          <w:noProof/>
                        </w:rPr>
                        <w:drawing>
                          <wp:inline distT="0" distB="0" distL="0" distR="0" wp14:anchorId="2265967E" wp14:editId="6F0FF0CC">
                            <wp:extent cx="4571365" cy="2740660"/>
                            <wp:effectExtent l="19050" t="57150" r="95885" b="59690"/>
                            <wp:docPr id="35" name="Chart 35" descr="This graph uses 2015 BLS data to show unemployment rate by age in Maryland: 23.7 percent were 16-19 years old; 11.3% were 20-24 years old; 6.4% were 25-34 years old; 4.6% were 35-44 years old; 2.9% were 45-54 years old; 3.9% were 55-64 years old; and 6.6% were 65 or over. " title="Unemployment Rate by Age in Maryland: 20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B01D762" w14:textId="77777777" w:rsidR="003D14AC" w:rsidRDefault="003D14AC" w:rsidP="00BC68BB">
                      <w:pPr>
                        <w:pStyle w:val="Caption"/>
                      </w:pPr>
                      <w:r>
                        <w:t>Graphs 8 and 9: Unemployment rate by age and race/ethnicity; Source: BLS, 2015</w:t>
                      </w:r>
                    </w:p>
                    <w:p w14:paraId="70B0ABEE" w14:textId="77777777" w:rsidR="003D14AC" w:rsidRDefault="003D14AC"/>
                    <w:p w14:paraId="44C0C7CA" w14:textId="77777777" w:rsidR="003D14AC" w:rsidRDefault="003D14AC"/>
                  </w:txbxContent>
                </v:textbox>
                <w10:wrap type="topAndBottom"/>
              </v:shape>
            </w:pict>
          </mc:Fallback>
        </mc:AlternateContent>
      </w:r>
    </w:p>
    <w:p w14:paraId="5E5AE4EE" w14:textId="77777777" w:rsidR="00BC68BB" w:rsidRPr="004A0C12" w:rsidRDefault="00BC68BB" w:rsidP="00057B5A">
      <w:pPr>
        <w:spacing w:after="0" w:line="240" w:lineRule="auto"/>
        <w:rPr>
          <w:rFonts w:ascii="Garamond" w:hAnsi="Garamond"/>
        </w:rPr>
      </w:pPr>
    </w:p>
    <w:p w14:paraId="600D7093" w14:textId="77777777" w:rsidR="00BC68BB" w:rsidRPr="004A0C12" w:rsidRDefault="00BC68BB" w:rsidP="00057B5A">
      <w:pPr>
        <w:pStyle w:val="Heading3"/>
        <w:spacing w:before="0" w:line="240" w:lineRule="auto"/>
        <w:rPr>
          <w:rFonts w:ascii="Garamond" w:hAnsi="Garamond"/>
        </w:rPr>
      </w:pPr>
      <w:bookmarkStart w:id="35" w:name="_Toc447276090"/>
      <w:r w:rsidRPr="004A0C12">
        <w:rPr>
          <w:rFonts w:ascii="Garamond" w:hAnsi="Garamond"/>
        </w:rPr>
        <w:t>Employment and Unemployment Trends</w:t>
      </w:r>
      <w:bookmarkEnd w:id="35"/>
    </w:p>
    <w:p w14:paraId="7EA4A9BD" w14:textId="77777777" w:rsidR="00BC68BB" w:rsidRPr="004A0C12" w:rsidRDefault="00BC68BB" w:rsidP="00057B5A">
      <w:pPr>
        <w:spacing w:after="0" w:line="240" w:lineRule="auto"/>
        <w:jc w:val="both"/>
        <w:rPr>
          <w:rFonts w:ascii="Garamond" w:hAnsi="Garamond"/>
        </w:rPr>
      </w:pPr>
      <w:r w:rsidRPr="004A0C12">
        <w:rPr>
          <w:rFonts w:ascii="Garamond" w:hAnsi="Garamond"/>
        </w:rPr>
        <w:t>Maryland has been fortunate to maintain an unemployment rate that is better than or on par with that of the United States. The annual unemployment rate (not seasonally adjusted) in Maryland has exhibited a downward trend since 2010 and from 2013 (annual average) to 2014 (annual average) decreased by 0.8 percentage points (BLS, 2015). Maryland’s labor force averaged 3,111,329 persons in 2014, slightly down from 3,124,102 in 2013. From 2013 to 2014, the number of employed persons rose by 0.4 percent and unemployed persons decreased by 12.3 percent. Maryland’s labor force participation rate remained relatively constant over the course of 2014, hovering around 66 percent (BLS, 2015).</w:t>
      </w:r>
    </w:p>
    <w:p w14:paraId="0E10BEE9" w14:textId="1604E724" w:rsidR="005911F5" w:rsidRPr="004A0C12" w:rsidRDefault="00BB471E" w:rsidP="00057B5A">
      <w:pPr>
        <w:spacing w:after="0" w:line="240" w:lineRule="auto"/>
        <w:rPr>
          <w:rFonts w:ascii="Garamond" w:hAnsi="Garamond"/>
        </w:rPr>
      </w:pPr>
      <w:r w:rsidRPr="004A0C12">
        <w:rPr>
          <w:rFonts w:ascii="Garamond" w:hAnsi="Garamond"/>
          <w:noProof/>
        </w:rPr>
        <w:lastRenderedPageBreak/>
        <mc:AlternateContent>
          <mc:Choice Requires="wps">
            <w:drawing>
              <wp:anchor distT="0" distB="0" distL="114300" distR="114300" simplePos="0" relativeHeight="251681792" behindDoc="0" locked="0" layoutInCell="1" allowOverlap="1" wp14:anchorId="138B3DD7" wp14:editId="62B23A16">
                <wp:simplePos x="0" y="0"/>
                <wp:positionH relativeFrom="column">
                  <wp:posOffset>1480185</wp:posOffset>
                </wp:positionH>
                <wp:positionV relativeFrom="paragraph">
                  <wp:posOffset>212725</wp:posOffset>
                </wp:positionV>
                <wp:extent cx="4039235" cy="3227705"/>
                <wp:effectExtent l="0" t="0" r="18415" b="10795"/>
                <wp:wrapTopAndBottom/>
                <wp:docPr id="295" name="Text Box 295"/>
                <wp:cNvGraphicFramePr/>
                <a:graphic xmlns:a="http://schemas.openxmlformats.org/drawingml/2006/main">
                  <a:graphicData uri="http://schemas.microsoft.com/office/word/2010/wordprocessingShape">
                    <wps:wsp>
                      <wps:cNvSpPr txBox="1"/>
                      <wps:spPr>
                        <a:xfrm>
                          <a:off x="0" y="0"/>
                          <a:ext cx="4039235" cy="3227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10CDD4" w14:textId="77777777" w:rsidR="003D14AC" w:rsidRDefault="003D14AC" w:rsidP="00393483">
                            <w:r>
                              <w:rPr>
                                <w:noProof/>
                              </w:rPr>
                              <w:drawing>
                                <wp:inline distT="0" distB="0" distL="0" distR="0" wp14:anchorId="11119138" wp14:editId="44137A26">
                                  <wp:extent cx="3824577" cy="2639833"/>
                                  <wp:effectExtent l="19050" t="57150" r="100330" b="65405"/>
                                  <wp:docPr id="36" name="Chart 36" descr="Using 2015 BLS data, this graphs Maryland's and the U.S.'s alternative measures of labor utilization by percentage and measure: Maryland's U-1 was 3.0% whereas the U.S.'s was 3.9%; Maryland's U-2 was 3.1 percent whereas the U.S.'s was 3.9%; Maryland's U-3 was 6.2% wheresas the U.S.'s was 7.4%; Maryland's U-4 was 6.6% whereas the U.S.'s was 7.9%; Maryland's U-5 was 7.5% whereas the U.S.'s was 8.8%; and Maryland's U-6 was 12.0% whereas the U.S.'s was 13.8%. " title="Alternative Measures of Labor Underutiliza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4B4FAA3" w14:textId="77777777" w:rsidR="003D14AC" w:rsidRPr="001868B3" w:rsidRDefault="003D14AC" w:rsidP="00393483">
                            <w:pPr>
                              <w:pStyle w:val="Caption"/>
                              <w:rPr>
                                <w:rFonts w:eastAsia="Calibri"/>
                                <w:noProof/>
                              </w:rPr>
                            </w:pPr>
                            <w:r>
                              <w:t>Graph 12: Alternative Measures; Source: BLS, 2015</w:t>
                            </w:r>
                          </w:p>
                          <w:p w14:paraId="2DFFF0AB" w14:textId="77777777" w:rsidR="003D14AC" w:rsidRDefault="003D14AC" w:rsidP="003934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5" o:spid="_x0000_s1040" type="#_x0000_t202" style="position:absolute;margin-left:116.55pt;margin-top:16.75pt;width:318.05pt;height:25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" fillcolor="white [3201]" strokeweight=".5pt">
                <v:textbox>
                  <w:txbxContent>
                    <w:p w14:paraId="2910CDD4" w14:textId="77777777" w:rsidR="003D14AC" w:rsidRDefault="003D14AC" w:rsidP="00393483">
                      <w:r>
                        <w:rPr>
                          <w:noProof/>
                        </w:rPr>
                        <w:drawing>
                          <wp:inline distT="0" distB="0" distL="0" distR="0" wp14:anchorId="11119138" wp14:editId="44137A26">
                            <wp:extent cx="3824577" cy="2639833"/>
                            <wp:effectExtent l="19050" t="57150" r="100330" b="65405"/>
                            <wp:docPr id="36" name="Chart 36" descr="Using 2015 BLS data, this graphs Maryland's and the U.S.'s alternative measures of labor utilization by percentage and measure: Maryland's U-1 was 3.0% whereas the U.S.'s was 3.9%; Maryland's U-2 was 3.1 percent whereas the U.S.'s was 3.9%; Maryland's U-3 was 6.2% wheresas the U.S.'s was 7.4%; Maryland's U-4 was 6.6% whereas the U.S.'s was 7.9%; Maryland's U-5 was 7.5% whereas the U.S.'s was 8.8%; and Maryland's U-6 was 12.0% whereas the U.S.'s was 13.8%. " title="Alternative Measures of Labor Underutiliza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4B4FAA3" w14:textId="77777777" w:rsidR="003D14AC" w:rsidRPr="001868B3" w:rsidRDefault="003D14AC" w:rsidP="00393483">
                      <w:pPr>
                        <w:pStyle w:val="Caption"/>
                        <w:rPr>
                          <w:rFonts w:eastAsia="Calibri"/>
                          <w:noProof/>
                        </w:rPr>
                      </w:pPr>
                      <w:r>
                        <w:t>Graph 12: Alternative Measures; Source: BLS, 2015</w:t>
                      </w:r>
                    </w:p>
                    <w:p w14:paraId="2DFFF0AB" w14:textId="77777777" w:rsidR="003D14AC" w:rsidRDefault="003D14AC" w:rsidP="00393483"/>
                  </w:txbxContent>
                </v:textbox>
                <w10:wrap type="topAndBottom"/>
              </v:shape>
            </w:pict>
          </mc:Fallback>
        </mc:AlternateContent>
      </w:r>
    </w:p>
    <w:p w14:paraId="33789EE0" w14:textId="33531978" w:rsidR="005911F5" w:rsidRPr="004A0C12" w:rsidRDefault="005911F5" w:rsidP="00057B5A">
      <w:pPr>
        <w:spacing w:after="0" w:line="240" w:lineRule="auto"/>
        <w:rPr>
          <w:rFonts w:ascii="Garamond" w:hAnsi="Garamond"/>
        </w:rPr>
      </w:pPr>
    </w:p>
    <w:p w14:paraId="3573D3FD" w14:textId="5498C603" w:rsidR="00393483" w:rsidRPr="004A0C12" w:rsidRDefault="00393483" w:rsidP="00057B5A">
      <w:pPr>
        <w:spacing w:after="0" w:line="240" w:lineRule="auto"/>
        <w:jc w:val="both"/>
        <w:rPr>
          <w:rFonts w:ascii="Garamond" w:hAnsi="Garamond"/>
        </w:rPr>
      </w:pPr>
    </w:p>
    <w:p w14:paraId="379857DE" w14:textId="1CFC5F78" w:rsidR="00393483" w:rsidRPr="004A0C12" w:rsidRDefault="00393483" w:rsidP="00057B5A">
      <w:pPr>
        <w:spacing w:after="0" w:line="240" w:lineRule="auto"/>
        <w:jc w:val="both"/>
        <w:rPr>
          <w:rFonts w:ascii="Garamond" w:hAnsi="Garamond"/>
        </w:rPr>
      </w:pPr>
    </w:p>
    <w:p w14:paraId="6A6FBA02" w14:textId="5EA09E1D" w:rsidR="00393483" w:rsidRPr="004A0C12" w:rsidRDefault="005911F5" w:rsidP="00057B5A">
      <w:pPr>
        <w:spacing w:after="0" w:line="240" w:lineRule="auto"/>
        <w:jc w:val="both"/>
        <w:rPr>
          <w:rFonts w:ascii="Garamond" w:hAnsi="Garamond"/>
        </w:rPr>
      </w:pPr>
      <w:r w:rsidRPr="004A0C12">
        <w:rPr>
          <w:rFonts w:ascii="Garamond" w:hAnsi="Garamond"/>
        </w:rPr>
        <w:t>As previously alluded to employment and unemployment are not equally distributed across the state, which creates an additional complexity in forming policies aimed at curbing unemployment in Maryland. The eastern shore of Maryland, especially the counties of Dorchester, Somerset, and Worcester, experienced high unemployment rates in 2014.  Additionally, Baltimore City, a large urban area, has consistently exhibited higher unemployment rates</w:t>
      </w:r>
      <w:r w:rsidR="00BB471E" w:rsidRPr="004A0C12">
        <w:rPr>
          <w:rFonts w:ascii="Garamond" w:hAnsi="Garamond"/>
        </w:rPr>
        <w:t xml:space="preserve"> than those of the State as a whole. On a positive note, the unemployment rate fell in all areas from 2013 to 2014 (See Figure 1 and 2).</w:t>
      </w:r>
      <w:r w:rsidR="00BB471E" w:rsidRPr="004A0C12">
        <w:rPr>
          <w:rStyle w:val="FootnoteReference"/>
          <w:rFonts w:ascii="Garamond" w:hAnsi="Garamond"/>
        </w:rPr>
        <w:footnoteReference w:id="31"/>
      </w:r>
      <w:r w:rsidR="00BB471E" w:rsidRPr="004A0C12">
        <w:rPr>
          <w:rFonts w:ascii="Garamond" w:hAnsi="Garamond"/>
        </w:rPr>
        <w:t xml:space="preserve"> </w:t>
      </w:r>
    </w:p>
    <w:p w14:paraId="5B3FE12D" w14:textId="25C48E82" w:rsidR="005911F5" w:rsidRPr="004A0C12" w:rsidRDefault="005911F5" w:rsidP="00057B5A">
      <w:pPr>
        <w:spacing w:after="0" w:line="240" w:lineRule="auto"/>
        <w:jc w:val="both"/>
        <w:rPr>
          <w:rFonts w:ascii="Garamond" w:hAnsi="Garamond"/>
        </w:rPr>
      </w:pPr>
    </w:p>
    <w:p w14:paraId="6C461EEA" w14:textId="17A64832" w:rsidR="006451F7" w:rsidRPr="004A0C12" w:rsidRDefault="003D4100" w:rsidP="001A1E04">
      <w:pPr>
        <w:spacing w:after="0" w:line="240" w:lineRule="auto"/>
        <w:rPr>
          <w:rFonts w:ascii="Garamond" w:hAnsi="Garamond"/>
        </w:rPr>
      </w:pPr>
      <w:r w:rsidRPr="004A0C12">
        <w:rPr>
          <w:rFonts w:ascii="Garamond" w:hAnsi="Garamond"/>
          <w:noProof/>
        </w:rPr>
        <w:lastRenderedPageBreak/>
        <mc:AlternateContent>
          <mc:Choice Requires="wps">
            <w:drawing>
              <wp:anchor distT="0" distB="0" distL="114300" distR="114300" simplePos="0" relativeHeight="251679744" behindDoc="0" locked="0" layoutInCell="1" allowOverlap="1" wp14:anchorId="3549B98E" wp14:editId="155FEDB6">
                <wp:simplePos x="0" y="0"/>
                <wp:positionH relativeFrom="column">
                  <wp:posOffset>150495</wp:posOffset>
                </wp:positionH>
                <wp:positionV relativeFrom="paragraph">
                  <wp:posOffset>3943350</wp:posOffset>
                </wp:positionV>
                <wp:extent cx="6821805" cy="4372610"/>
                <wp:effectExtent l="0" t="0" r="17145" b="27940"/>
                <wp:wrapTopAndBottom/>
                <wp:docPr id="299" name="Text Box 299"/>
                <wp:cNvGraphicFramePr/>
                <a:graphic xmlns:a="http://schemas.openxmlformats.org/drawingml/2006/main">
                  <a:graphicData uri="http://schemas.microsoft.com/office/word/2010/wordprocessingShape">
                    <wps:wsp>
                      <wps:cNvSpPr txBox="1"/>
                      <wps:spPr>
                        <a:xfrm>
                          <a:off x="0" y="0"/>
                          <a:ext cx="6821805" cy="4372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97F13D" w14:textId="77777777" w:rsidR="003D14AC" w:rsidRPr="005911F5" w:rsidRDefault="003D14AC" w:rsidP="005911F5">
                            <w:pPr>
                              <w:jc w:val="center"/>
                              <w:rPr>
                                <w:rFonts w:ascii="Times New Roman" w:hAnsi="Times New Roman" w:cs="Times New Roman"/>
                                <w:b/>
                                <w:noProof/>
                                <w:color w:val="1F497D"/>
                                <w:sz w:val="32"/>
                                <w:szCs w:val="32"/>
                              </w:rPr>
                            </w:pPr>
                            <w:r w:rsidRPr="005911F5">
                              <w:rPr>
                                <w:rFonts w:ascii="Times New Roman" w:hAnsi="Times New Roman" w:cs="Times New Roman"/>
                                <w:b/>
                                <w:noProof/>
                                <w:color w:val="1F497D"/>
                                <w:sz w:val="32"/>
                                <w:szCs w:val="32"/>
                              </w:rPr>
                              <w:t xml:space="preserve">2014 Unemployment Rate by County </w:t>
                            </w:r>
                          </w:p>
                          <w:p w14:paraId="2C0E9065" w14:textId="77777777" w:rsidR="003D14AC" w:rsidRDefault="003D14AC">
                            <w:r>
                              <w:rPr>
                                <w:noProof/>
                              </w:rPr>
                              <w:drawing>
                                <wp:inline distT="0" distB="0" distL="0" distR="0" wp14:anchorId="5C812A30" wp14:editId="51F640C0">
                                  <wp:extent cx="6638923" cy="3331597"/>
                                  <wp:effectExtent l="0" t="0" r="0" b="2540"/>
                                  <wp:docPr id="37" name="Picture 37" descr="This figure maps Maryland's unemployment rate by county. " title="2014 Unemployment Rate by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42387" cy="3333336"/>
                                          </a:xfrm>
                                          <a:prstGeom prst="rect">
                                            <a:avLst/>
                                          </a:prstGeom>
                                          <a:noFill/>
                                          <a:ln>
                                            <a:noFill/>
                                          </a:ln>
                                        </pic:spPr>
                                      </pic:pic>
                                    </a:graphicData>
                                  </a:graphic>
                                </wp:inline>
                              </w:drawing>
                            </w:r>
                          </w:p>
                          <w:p w14:paraId="45C6475C" w14:textId="77777777" w:rsidR="003D14AC" w:rsidRPr="001868B3" w:rsidRDefault="003D14AC" w:rsidP="005911F5">
                            <w:pPr>
                              <w:pStyle w:val="Caption"/>
                              <w:rPr>
                                <w:rFonts w:eastAsia="Calibri"/>
                                <w:noProof/>
                              </w:rPr>
                            </w:pPr>
                            <w:r>
                              <w:t>Figures 1 and 2: Unemployment Rate by County; Source BLS, 2015</w:t>
                            </w:r>
                          </w:p>
                          <w:p w14:paraId="62AC7800"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041" type="#_x0000_t202" style="position:absolute;margin-left:11.85pt;margin-top:310.5pt;width:537.15pt;height:344.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" fillcolor="white [3201]" strokeweight=".5pt">
                <v:textbox>
                  <w:txbxContent>
                    <w:p w14:paraId="3C97F13D" w14:textId="77777777" w:rsidR="003D14AC" w:rsidRPr="005911F5" w:rsidRDefault="003D14AC" w:rsidP="005911F5">
                      <w:pPr>
                        <w:jc w:val="center"/>
                        <w:rPr>
                          <w:rFonts w:ascii="Times New Roman" w:hAnsi="Times New Roman" w:cs="Times New Roman"/>
                          <w:b/>
                          <w:noProof/>
                          <w:color w:val="1F497D"/>
                          <w:sz w:val="32"/>
                          <w:szCs w:val="32"/>
                        </w:rPr>
                      </w:pPr>
                      <w:r w:rsidRPr="005911F5">
                        <w:rPr>
                          <w:rFonts w:ascii="Times New Roman" w:hAnsi="Times New Roman" w:cs="Times New Roman"/>
                          <w:b/>
                          <w:noProof/>
                          <w:color w:val="1F497D"/>
                          <w:sz w:val="32"/>
                          <w:szCs w:val="32"/>
                        </w:rPr>
                        <w:t xml:space="preserve">2014 Unemployment Rate by County </w:t>
                      </w:r>
                    </w:p>
                    <w:p w14:paraId="2C0E9065" w14:textId="77777777" w:rsidR="003D14AC" w:rsidRDefault="003D14AC">
                      <w:r>
                        <w:rPr>
                          <w:noProof/>
                        </w:rPr>
                        <w:drawing>
                          <wp:inline distT="0" distB="0" distL="0" distR="0" wp14:anchorId="5C812A30" wp14:editId="51F640C0">
                            <wp:extent cx="6638923" cy="3331597"/>
                            <wp:effectExtent l="0" t="0" r="0" b="2540"/>
                            <wp:docPr id="37" name="Picture 37" descr="This figure maps Maryland's unemployment rate by county. " title="2014 Unemployment Rate by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42387" cy="3333336"/>
                                    </a:xfrm>
                                    <a:prstGeom prst="rect">
                                      <a:avLst/>
                                    </a:prstGeom>
                                    <a:noFill/>
                                    <a:ln>
                                      <a:noFill/>
                                    </a:ln>
                                  </pic:spPr>
                                </pic:pic>
                              </a:graphicData>
                            </a:graphic>
                          </wp:inline>
                        </w:drawing>
                      </w:r>
                    </w:p>
                    <w:p w14:paraId="45C6475C" w14:textId="77777777" w:rsidR="003D14AC" w:rsidRPr="001868B3" w:rsidRDefault="003D14AC" w:rsidP="005911F5">
                      <w:pPr>
                        <w:pStyle w:val="Caption"/>
                        <w:rPr>
                          <w:rFonts w:eastAsia="Calibri"/>
                          <w:noProof/>
                        </w:rPr>
                      </w:pPr>
                      <w:r>
                        <w:t>Figures 1 and 2: Unemployment Rate by County; Source BLS, 2015</w:t>
                      </w:r>
                    </w:p>
                    <w:p w14:paraId="62AC7800" w14:textId="77777777" w:rsidR="003D14AC" w:rsidRDefault="003D14AC"/>
                  </w:txbxContent>
                </v:textbox>
                <w10:wrap type="topAndBottom"/>
              </v:shape>
            </w:pict>
          </mc:Fallback>
        </mc:AlternateContent>
      </w:r>
      <w:r w:rsidR="005C3266" w:rsidRPr="004A0C12">
        <w:rPr>
          <w:rFonts w:ascii="Garamond" w:hAnsi="Garamond"/>
          <w:noProof/>
        </w:rPr>
        <mc:AlternateContent>
          <mc:Choice Requires="wps">
            <w:drawing>
              <wp:anchor distT="0" distB="0" distL="114300" distR="114300" simplePos="0" relativeHeight="251678720" behindDoc="0" locked="0" layoutInCell="1" allowOverlap="1" wp14:anchorId="4F4D4BCC" wp14:editId="612C537E">
                <wp:simplePos x="0" y="0"/>
                <wp:positionH relativeFrom="column">
                  <wp:posOffset>150495</wp:posOffset>
                </wp:positionH>
                <wp:positionV relativeFrom="paragraph">
                  <wp:posOffset>31750</wp:posOffset>
                </wp:positionV>
                <wp:extent cx="6821805" cy="3791585"/>
                <wp:effectExtent l="0" t="0" r="17145" b="18415"/>
                <wp:wrapTopAndBottom/>
                <wp:docPr id="297" name="Text Box 297"/>
                <wp:cNvGraphicFramePr/>
                <a:graphic xmlns:a="http://schemas.openxmlformats.org/drawingml/2006/main">
                  <a:graphicData uri="http://schemas.microsoft.com/office/word/2010/wordprocessingShape">
                    <wps:wsp>
                      <wps:cNvSpPr txBox="1"/>
                      <wps:spPr>
                        <a:xfrm>
                          <a:off x="0" y="0"/>
                          <a:ext cx="6821805" cy="37915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989BCC" w14:textId="77777777" w:rsidR="003D14AC" w:rsidRDefault="003D14AC" w:rsidP="005911F5">
                            <w:pPr>
                              <w:jc w:val="center"/>
                            </w:pPr>
                            <w:r w:rsidRPr="005911F5">
                              <w:rPr>
                                <w:rFonts w:ascii="Times New Roman" w:hAnsi="Times New Roman" w:cs="Times New Roman"/>
                                <w:b/>
                                <w:noProof/>
                                <w:color w:val="1F497D"/>
                                <w:sz w:val="32"/>
                                <w:szCs w:val="32"/>
                              </w:rPr>
                              <w:t>2013 Unemployment Rate by County</w:t>
                            </w:r>
                            <w:r w:rsidRPr="00481C07">
                              <w:rPr>
                                <w:b/>
                                <w:noProof/>
                                <w:color w:val="1F497D"/>
                                <w:sz w:val="44"/>
                                <w:szCs w:val="72"/>
                              </w:rPr>
                              <w:t xml:space="preserve"> </w:t>
                            </w:r>
                            <w:r>
                              <w:rPr>
                                <w:noProof/>
                              </w:rPr>
                              <w:drawing>
                                <wp:inline distT="0" distB="0" distL="0" distR="0" wp14:anchorId="217379D3" wp14:editId="35EA6D64">
                                  <wp:extent cx="5605669" cy="2941001"/>
                                  <wp:effectExtent l="0" t="0" r="0" b="0"/>
                                  <wp:docPr id="38" name="Picture 38" descr="This shows Maryland's unemployment rate by county in 2013. " title="2013 Unemployment Rate by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24310" cy="29507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042" type="#_x0000_t202" style="position:absolute;margin-left:11.85pt;margin-top:2.5pt;width:537.15pt;height:298.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" fillcolor="white [3201]" strokeweight=".5pt">
                <v:textbox>
                  <w:txbxContent>
                    <w:p w14:paraId="4F989BCC" w14:textId="77777777" w:rsidR="003D14AC" w:rsidRDefault="003D14AC" w:rsidP="005911F5">
                      <w:pPr>
                        <w:jc w:val="center"/>
                      </w:pPr>
                      <w:r w:rsidRPr="005911F5">
                        <w:rPr>
                          <w:rFonts w:ascii="Times New Roman" w:hAnsi="Times New Roman" w:cs="Times New Roman"/>
                          <w:b/>
                          <w:noProof/>
                          <w:color w:val="1F497D"/>
                          <w:sz w:val="32"/>
                          <w:szCs w:val="32"/>
                        </w:rPr>
                        <w:t>2013 Unemployment Rate by County</w:t>
                      </w:r>
                      <w:r w:rsidRPr="00481C07">
                        <w:rPr>
                          <w:b/>
                          <w:noProof/>
                          <w:color w:val="1F497D"/>
                          <w:sz w:val="44"/>
                          <w:szCs w:val="72"/>
                        </w:rPr>
                        <w:t xml:space="preserve"> </w:t>
                      </w:r>
                      <w:r>
                        <w:rPr>
                          <w:noProof/>
                        </w:rPr>
                        <w:drawing>
                          <wp:inline distT="0" distB="0" distL="0" distR="0" wp14:anchorId="217379D3" wp14:editId="35EA6D64">
                            <wp:extent cx="5605669" cy="2941001"/>
                            <wp:effectExtent l="0" t="0" r="0" b="0"/>
                            <wp:docPr id="38" name="Picture 38" descr="This shows Maryland's unemployment rate by county in 2013. " title="2013 Unemployment Rate by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4310" cy="2950781"/>
                                    </a:xfrm>
                                    <a:prstGeom prst="rect">
                                      <a:avLst/>
                                    </a:prstGeom>
                                    <a:noFill/>
                                    <a:ln>
                                      <a:noFill/>
                                    </a:ln>
                                  </pic:spPr>
                                </pic:pic>
                              </a:graphicData>
                            </a:graphic>
                          </wp:inline>
                        </w:drawing>
                      </w:r>
                    </w:p>
                  </w:txbxContent>
                </v:textbox>
                <w10:wrap type="topAndBottom"/>
              </v:shape>
            </w:pict>
          </mc:Fallback>
        </mc:AlternateContent>
      </w:r>
      <w:r w:rsidR="005911F5" w:rsidRPr="004A0C12">
        <w:rPr>
          <w:rFonts w:ascii="Garamond" w:hAnsi="Garamond"/>
        </w:rPr>
        <w:tab/>
      </w:r>
      <w:r w:rsidR="005911F5" w:rsidRPr="004A0C12">
        <w:rPr>
          <w:rFonts w:ascii="Garamond" w:hAnsi="Garamond"/>
        </w:rPr>
        <w:tab/>
      </w:r>
    </w:p>
    <w:p w14:paraId="0862B477" w14:textId="14D20516" w:rsidR="005911F5" w:rsidRPr="004A0C12" w:rsidRDefault="005911F5" w:rsidP="003D4100">
      <w:pPr>
        <w:spacing w:after="0" w:line="240" w:lineRule="auto"/>
        <w:jc w:val="both"/>
        <w:rPr>
          <w:rFonts w:ascii="Garamond" w:hAnsi="Garamond"/>
        </w:rPr>
      </w:pPr>
      <w:r w:rsidRPr="004A0C12">
        <w:rPr>
          <w:rFonts w:ascii="Garamond" w:hAnsi="Garamond"/>
        </w:rPr>
        <w:lastRenderedPageBreak/>
        <w:t>In terms of individuals with barriers to employment, youth, individuals with disabilities, and low-income individuals have higher rates of unemployment in comparison to Marylanders in general. According</w:t>
      </w:r>
      <w:r w:rsidR="00B87622" w:rsidRPr="004A0C12">
        <w:rPr>
          <w:rFonts w:ascii="Garamond" w:hAnsi="Garamond"/>
        </w:rPr>
        <w:t xml:space="preserve"> to</w:t>
      </w:r>
      <w:r w:rsidRPr="004A0C12">
        <w:rPr>
          <w:rFonts w:ascii="Garamond" w:hAnsi="Garamond"/>
        </w:rPr>
        <w:t xml:space="preserve"> the American Community Survey (ACS) estimates, in 2014 123,117 Marylanders with a disability were employed with individuals with an ambulatory difficulty accounting for the largest share with an estimated employment of 43,335 (See Table 7). In 2014, there were 24,360 unemployed persons with a disability in Maryland. Those with a cognitive disability accounted for the largest share with nearly 13,000 individuals unemployed (See Table 7).  It is important to note that those with disabilities have a higher rate of unemployment than Marylanders with no disability and also have a lower labor force participation rate</w:t>
      </w:r>
      <w:r w:rsidR="003D4100" w:rsidRPr="004A0C12">
        <w:rPr>
          <w:rFonts w:ascii="Garamond" w:hAnsi="Garamond"/>
        </w:rPr>
        <w:t>.</w:t>
      </w:r>
      <w:r w:rsidR="003D4100" w:rsidRPr="004A0C12">
        <w:rPr>
          <w:rStyle w:val="FootnoteReference"/>
          <w:rFonts w:ascii="Garamond" w:hAnsi="Garamond"/>
        </w:rPr>
        <w:footnoteReference w:id="32"/>
      </w:r>
      <w:r w:rsidRPr="004A0C12">
        <w:rPr>
          <w:rFonts w:ascii="Garamond" w:hAnsi="Garamond"/>
          <w:noProof/>
        </w:rPr>
        <w:t xml:space="preserve"> </w:t>
      </w:r>
    </w:p>
    <w:p w14:paraId="4DB1EC55" w14:textId="77777777" w:rsidR="001A1E04" w:rsidRPr="004A0C12" w:rsidRDefault="001A1E04" w:rsidP="001A1E04">
      <w:pPr>
        <w:spacing w:after="0" w:line="240" w:lineRule="auto"/>
        <w:jc w:val="both"/>
        <w:rPr>
          <w:rFonts w:ascii="Garamond" w:hAnsi="Garamond"/>
        </w:rPr>
      </w:pPr>
    </w:p>
    <w:tbl>
      <w:tblPr>
        <w:tblStyle w:val="PlainTable11"/>
        <w:tblW w:w="0" w:type="auto"/>
        <w:jc w:val="center"/>
        <w:tblLook w:val="04A0" w:firstRow="1" w:lastRow="0" w:firstColumn="1" w:lastColumn="0" w:noHBand="0" w:noVBand="1"/>
        <w:tblCaption w:val="Employment Status of Individuals with Disabilities (Source: Census 2015)"/>
        <w:tblDescription w:val="Using 2015 Census Data, this chart shows the employment status of Maryland's individuals with disabilities. Maryland's estimated total of individuals with disabilities is 3,737,434. Of that, 3,015,521 are estimated to be in the labor force; 2,799,997 are estimated to be employed. Of those individuals with disabilties that are employed, it is esimated that: 123,117 have disabilities; 30,829 have hearing difficulty; 25,679 have vision difficulty; 37,622 have cognitive difficulty; 43,335 have ambulatory difficulty; 11,142 have self-care difficulty; 22,517 are categprozed ashaving an independent living difficulty; 2,676,880 have no disability. Of those in the labor force, it is estimated that 215,524 are unemployed. Of those individuals who are unemployed: 24,360 are estimated to have a disability; 3,409 have hearing difficulty; 4,738 have a vision difficulty; 12,975 have a cognitive difficulty; 10,584 have an ambulatory difficulty; 2,613 have a self-care difficulty; 5,121 have an independent living difficulty; and 191,164 have no disability. It is estimated that 721,913 are not in the labor force. Of that, 167,451 are estimated to have a disability. Of those individuals estimated to have a disability, 21,617 have a hearing difficulty; 29,022 have a vision difficulty; 78,703 have a cognitive difficulty; 101,690 have an ambulatory difficulty; 38,416 have a self-care difficulty; 77,715 have an independent living difficulty and 554,462 have no disability. "/>
      </w:tblPr>
      <w:tblGrid>
        <w:gridCol w:w="4276"/>
        <w:gridCol w:w="1144"/>
      </w:tblGrid>
      <w:tr w:rsidR="005911F5" w:rsidRPr="004A0C12" w14:paraId="6045B21F" w14:textId="77777777" w:rsidTr="00923B2F">
        <w:trPr>
          <w:cnfStyle w:val="100000000000" w:firstRow="1" w:lastRow="0" w:firstColumn="0" w:lastColumn="0" w:oddVBand="0" w:evenVBand="0" w:oddHBand="0" w:evenHBand="0" w:firstRowFirstColumn="0" w:firstRowLastColumn="0" w:lastRowFirstColumn="0" w:lastRowLastColumn="0"/>
          <w:trHeight w:val="168"/>
          <w:tblHeader/>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3DC44E13"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Maryland</w:t>
            </w:r>
          </w:p>
        </w:tc>
        <w:tc>
          <w:tcPr>
            <w:tcW w:w="1144" w:type="dxa"/>
            <w:hideMark/>
          </w:tcPr>
          <w:p w14:paraId="2EF3F689" w14:textId="77777777" w:rsidR="005911F5" w:rsidRPr="004A0C12" w:rsidRDefault="005911F5" w:rsidP="00057B5A">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2"/>
                <w:szCs w:val="22"/>
              </w:rPr>
            </w:pPr>
            <w:r w:rsidRPr="004A0C12">
              <w:rPr>
                <w:rFonts w:ascii="Garamond" w:hAnsi="Garamond"/>
                <w:b w:val="0"/>
                <w:bCs w:val="0"/>
                <w:sz w:val="22"/>
                <w:szCs w:val="22"/>
              </w:rPr>
              <w:t>Estimate</w:t>
            </w:r>
          </w:p>
        </w:tc>
      </w:tr>
      <w:tr w:rsidR="005911F5" w:rsidRPr="004A0C12" w14:paraId="2127753A"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6CCF2C9F"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Total:</w:t>
            </w:r>
          </w:p>
        </w:tc>
        <w:tc>
          <w:tcPr>
            <w:tcW w:w="1144" w:type="dxa"/>
            <w:hideMark/>
          </w:tcPr>
          <w:p w14:paraId="62EFB609"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3,737,434</w:t>
            </w:r>
          </w:p>
        </w:tc>
      </w:tr>
      <w:tr w:rsidR="005911F5" w:rsidRPr="004A0C12" w14:paraId="1312B2E3"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01C8F283"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In the labor force:</w:t>
            </w:r>
          </w:p>
        </w:tc>
        <w:tc>
          <w:tcPr>
            <w:tcW w:w="1144" w:type="dxa"/>
            <w:hideMark/>
          </w:tcPr>
          <w:p w14:paraId="150C472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3,015,521</w:t>
            </w:r>
          </w:p>
        </w:tc>
      </w:tr>
      <w:tr w:rsidR="005911F5" w:rsidRPr="004A0C12" w14:paraId="499F7ADD"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4F65616A"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Employed:</w:t>
            </w:r>
          </w:p>
        </w:tc>
        <w:tc>
          <w:tcPr>
            <w:tcW w:w="1144" w:type="dxa"/>
            <w:hideMark/>
          </w:tcPr>
          <w:p w14:paraId="7F570D20"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2,799,997</w:t>
            </w:r>
          </w:p>
        </w:tc>
      </w:tr>
      <w:tr w:rsidR="005911F5" w:rsidRPr="004A0C12" w14:paraId="76B39C8D"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06393C0B"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disability:</w:t>
            </w:r>
          </w:p>
        </w:tc>
        <w:tc>
          <w:tcPr>
            <w:tcW w:w="1144" w:type="dxa"/>
            <w:hideMark/>
          </w:tcPr>
          <w:p w14:paraId="5CC1179C"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123,117</w:t>
            </w:r>
          </w:p>
        </w:tc>
      </w:tr>
      <w:tr w:rsidR="005911F5" w:rsidRPr="004A0C12" w14:paraId="097BF239"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6389C81A"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hearing difficulty</w:t>
            </w:r>
          </w:p>
        </w:tc>
        <w:tc>
          <w:tcPr>
            <w:tcW w:w="1144" w:type="dxa"/>
            <w:hideMark/>
          </w:tcPr>
          <w:p w14:paraId="37CE8974"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30,829</w:t>
            </w:r>
          </w:p>
        </w:tc>
      </w:tr>
      <w:tr w:rsidR="005911F5" w:rsidRPr="004A0C12" w14:paraId="6F84A08E"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73082854"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vision difficulty</w:t>
            </w:r>
          </w:p>
        </w:tc>
        <w:tc>
          <w:tcPr>
            <w:tcW w:w="1144" w:type="dxa"/>
            <w:hideMark/>
          </w:tcPr>
          <w:p w14:paraId="1B00247D"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25,679</w:t>
            </w:r>
          </w:p>
        </w:tc>
      </w:tr>
      <w:tr w:rsidR="005911F5" w:rsidRPr="004A0C12" w14:paraId="292FF213"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4E105CEC"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cognitive difficulty</w:t>
            </w:r>
          </w:p>
        </w:tc>
        <w:tc>
          <w:tcPr>
            <w:tcW w:w="1144" w:type="dxa"/>
            <w:hideMark/>
          </w:tcPr>
          <w:p w14:paraId="64C9B4F4"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37,622</w:t>
            </w:r>
          </w:p>
        </w:tc>
      </w:tr>
      <w:tr w:rsidR="005911F5" w:rsidRPr="004A0C12" w14:paraId="0F662C52"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2F6678ED"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an ambulatory difficulty</w:t>
            </w:r>
          </w:p>
        </w:tc>
        <w:tc>
          <w:tcPr>
            <w:tcW w:w="1144" w:type="dxa"/>
            <w:hideMark/>
          </w:tcPr>
          <w:p w14:paraId="0939F484"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43,335</w:t>
            </w:r>
          </w:p>
        </w:tc>
      </w:tr>
      <w:tr w:rsidR="005911F5" w:rsidRPr="004A0C12" w14:paraId="32A9ABA0"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5DBEFA63"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self-care difficulty</w:t>
            </w:r>
          </w:p>
        </w:tc>
        <w:tc>
          <w:tcPr>
            <w:tcW w:w="1144" w:type="dxa"/>
            <w:hideMark/>
          </w:tcPr>
          <w:p w14:paraId="02989570"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11,142</w:t>
            </w:r>
          </w:p>
        </w:tc>
      </w:tr>
      <w:tr w:rsidR="005911F5" w:rsidRPr="004A0C12" w14:paraId="57DF0CDA"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3229ECF9"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an independent living difficulty</w:t>
            </w:r>
          </w:p>
        </w:tc>
        <w:tc>
          <w:tcPr>
            <w:tcW w:w="1144" w:type="dxa"/>
            <w:hideMark/>
          </w:tcPr>
          <w:p w14:paraId="0D74E0C1"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22,517</w:t>
            </w:r>
          </w:p>
        </w:tc>
      </w:tr>
      <w:tr w:rsidR="005911F5" w:rsidRPr="004A0C12" w14:paraId="4A6EA570"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22FCDEA4"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No disability</w:t>
            </w:r>
          </w:p>
        </w:tc>
        <w:tc>
          <w:tcPr>
            <w:tcW w:w="1144" w:type="dxa"/>
            <w:hideMark/>
          </w:tcPr>
          <w:p w14:paraId="59F5EC14"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2,676,880</w:t>
            </w:r>
          </w:p>
        </w:tc>
      </w:tr>
      <w:tr w:rsidR="005911F5" w:rsidRPr="004A0C12" w14:paraId="27108955"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11CDA24A"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Unemployed:</w:t>
            </w:r>
          </w:p>
        </w:tc>
        <w:tc>
          <w:tcPr>
            <w:tcW w:w="1144" w:type="dxa"/>
            <w:hideMark/>
          </w:tcPr>
          <w:p w14:paraId="18D7BA3E"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215,524</w:t>
            </w:r>
          </w:p>
        </w:tc>
      </w:tr>
      <w:tr w:rsidR="005911F5" w:rsidRPr="004A0C12" w14:paraId="1478298F"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40714D2F"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disability:</w:t>
            </w:r>
          </w:p>
        </w:tc>
        <w:tc>
          <w:tcPr>
            <w:tcW w:w="1144" w:type="dxa"/>
            <w:hideMark/>
          </w:tcPr>
          <w:p w14:paraId="55AACC9B"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24,360</w:t>
            </w:r>
          </w:p>
        </w:tc>
      </w:tr>
      <w:tr w:rsidR="005911F5" w:rsidRPr="004A0C12" w14:paraId="773A4A7F"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60DEFEDB"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hearing difficulty</w:t>
            </w:r>
          </w:p>
        </w:tc>
        <w:tc>
          <w:tcPr>
            <w:tcW w:w="1144" w:type="dxa"/>
            <w:hideMark/>
          </w:tcPr>
          <w:p w14:paraId="65E40254"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3,409</w:t>
            </w:r>
          </w:p>
        </w:tc>
      </w:tr>
      <w:tr w:rsidR="005911F5" w:rsidRPr="004A0C12" w14:paraId="4F4D6E3C"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1248DF41"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vision difficulty</w:t>
            </w:r>
          </w:p>
        </w:tc>
        <w:tc>
          <w:tcPr>
            <w:tcW w:w="1144" w:type="dxa"/>
            <w:hideMark/>
          </w:tcPr>
          <w:p w14:paraId="10A9707F"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4,738</w:t>
            </w:r>
          </w:p>
        </w:tc>
      </w:tr>
      <w:tr w:rsidR="005911F5" w:rsidRPr="004A0C12" w14:paraId="6098F4C3"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688AD32E"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cognitive difficulty</w:t>
            </w:r>
          </w:p>
        </w:tc>
        <w:tc>
          <w:tcPr>
            <w:tcW w:w="1144" w:type="dxa"/>
            <w:hideMark/>
          </w:tcPr>
          <w:p w14:paraId="30D46E51"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12,975</w:t>
            </w:r>
          </w:p>
        </w:tc>
      </w:tr>
      <w:tr w:rsidR="005911F5" w:rsidRPr="004A0C12" w14:paraId="2A395FFC"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66F2C6C9"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an ambulatory difficulty</w:t>
            </w:r>
          </w:p>
        </w:tc>
        <w:tc>
          <w:tcPr>
            <w:tcW w:w="1144" w:type="dxa"/>
            <w:hideMark/>
          </w:tcPr>
          <w:p w14:paraId="0AC10715"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10,584</w:t>
            </w:r>
          </w:p>
        </w:tc>
      </w:tr>
      <w:tr w:rsidR="005911F5" w:rsidRPr="004A0C12" w14:paraId="105D0D21"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76241897"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self-care difficulty</w:t>
            </w:r>
          </w:p>
        </w:tc>
        <w:tc>
          <w:tcPr>
            <w:tcW w:w="1144" w:type="dxa"/>
            <w:hideMark/>
          </w:tcPr>
          <w:p w14:paraId="61D05516"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2,613</w:t>
            </w:r>
          </w:p>
        </w:tc>
      </w:tr>
      <w:tr w:rsidR="005911F5" w:rsidRPr="004A0C12" w14:paraId="07EE16CC"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5CCD6030"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an independent living difficulty</w:t>
            </w:r>
          </w:p>
        </w:tc>
        <w:tc>
          <w:tcPr>
            <w:tcW w:w="1144" w:type="dxa"/>
            <w:hideMark/>
          </w:tcPr>
          <w:p w14:paraId="4DEFE9ED"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5,121</w:t>
            </w:r>
          </w:p>
        </w:tc>
      </w:tr>
      <w:tr w:rsidR="005911F5" w:rsidRPr="004A0C12" w14:paraId="05EDD006"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53ED4096"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No disability</w:t>
            </w:r>
          </w:p>
        </w:tc>
        <w:tc>
          <w:tcPr>
            <w:tcW w:w="1144" w:type="dxa"/>
            <w:hideMark/>
          </w:tcPr>
          <w:p w14:paraId="4FD3A856"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191,164</w:t>
            </w:r>
          </w:p>
        </w:tc>
      </w:tr>
      <w:tr w:rsidR="005911F5" w:rsidRPr="004A0C12" w14:paraId="039F3A9E"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0F52356C"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144" w:type="dxa"/>
            <w:hideMark/>
          </w:tcPr>
          <w:p w14:paraId="5FD82F66"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721,913</w:t>
            </w:r>
          </w:p>
        </w:tc>
      </w:tr>
      <w:tr w:rsidR="005911F5" w:rsidRPr="004A0C12" w14:paraId="41EAEDD9"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0E987BB8"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disability:</w:t>
            </w:r>
          </w:p>
        </w:tc>
        <w:tc>
          <w:tcPr>
            <w:tcW w:w="1144" w:type="dxa"/>
            <w:hideMark/>
          </w:tcPr>
          <w:p w14:paraId="0ACEFDCA"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167,451</w:t>
            </w:r>
          </w:p>
        </w:tc>
      </w:tr>
      <w:tr w:rsidR="005911F5" w:rsidRPr="004A0C12" w14:paraId="283DA56B"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6CB371E6"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hearing difficulty</w:t>
            </w:r>
          </w:p>
        </w:tc>
        <w:tc>
          <w:tcPr>
            <w:tcW w:w="1144" w:type="dxa"/>
            <w:hideMark/>
          </w:tcPr>
          <w:p w14:paraId="3B257D1D"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21,617</w:t>
            </w:r>
          </w:p>
        </w:tc>
      </w:tr>
      <w:tr w:rsidR="005911F5" w:rsidRPr="004A0C12" w14:paraId="0AD63FA6"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5FFFB237"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vision difficulty</w:t>
            </w:r>
          </w:p>
        </w:tc>
        <w:tc>
          <w:tcPr>
            <w:tcW w:w="1144" w:type="dxa"/>
            <w:hideMark/>
          </w:tcPr>
          <w:p w14:paraId="6F64D898"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29,022</w:t>
            </w:r>
          </w:p>
        </w:tc>
      </w:tr>
      <w:tr w:rsidR="005911F5" w:rsidRPr="004A0C12" w14:paraId="2A5E9D1A"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585483AB"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cognitive difficulty</w:t>
            </w:r>
          </w:p>
        </w:tc>
        <w:tc>
          <w:tcPr>
            <w:tcW w:w="1144" w:type="dxa"/>
            <w:hideMark/>
          </w:tcPr>
          <w:p w14:paraId="3D4C1216"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78,703</w:t>
            </w:r>
          </w:p>
        </w:tc>
      </w:tr>
      <w:tr w:rsidR="005911F5" w:rsidRPr="004A0C12" w14:paraId="536DC011"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0ABDB063"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an ambulatory difficulty</w:t>
            </w:r>
          </w:p>
        </w:tc>
        <w:tc>
          <w:tcPr>
            <w:tcW w:w="1144" w:type="dxa"/>
            <w:hideMark/>
          </w:tcPr>
          <w:p w14:paraId="2A247373"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101,690</w:t>
            </w:r>
          </w:p>
        </w:tc>
      </w:tr>
      <w:tr w:rsidR="005911F5" w:rsidRPr="004A0C12" w14:paraId="21549D6F"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346E3C58"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 self-care difficulty</w:t>
            </w:r>
          </w:p>
        </w:tc>
        <w:tc>
          <w:tcPr>
            <w:tcW w:w="1144" w:type="dxa"/>
            <w:hideMark/>
          </w:tcPr>
          <w:p w14:paraId="040DD297"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38,416</w:t>
            </w:r>
          </w:p>
        </w:tc>
      </w:tr>
      <w:tr w:rsidR="005911F5" w:rsidRPr="004A0C12" w14:paraId="6D01F8D3" w14:textId="77777777" w:rsidTr="00F83A39">
        <w:trPr>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4628761A"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With an independent living difficulty</w:t>
            </w:r>
          </w:p>
        </w:tc>
        <w:tc>
          <w:tcPr>
            <w:tcW w:w="1144" w:type="dxa"/>
            <w:hideMark/>
          </w:tcPr>
          <w:p w14:paraId="1947A7ED"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77,715</w:t>
            </w:r>
          </w:p>
        </w:tc>
      </w:tr>
      <w:tr w:rsidR="005911F5" w:rsidRPr="004A0C12" w14:paraId="66EE6CA3" w14:textId="77777777" w:rsidTr="00F83A39">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4276" w:type="dxa"/>
            <w:hideMark/>
          </w:tcPr>
          <w:p w14:paraId="7FB3ACA9" w14:textId="77777777" w:rsidR="005911F5" w:rsidRPr="004A0C12" w:rsidRDefault="005911F5" w:rsidP="00B60621">
            <w:pPr>
              <w:rPr>
                <w:rFonts w:ascii="Garamond" w:hAnsi="Garamond"/>
                <w:b w:val="0"/>
                <w:bCs w:val="0"/>
                <w:sz w:val="22"/>
                <w:szCs w:val="22"/>
              </w:rPr>
            </w:pPr>
            <w:r w:rsidRPr="004A0C12">
              <w:rPr>
                <w:rFonts w:ascii="Garamond" w:hAnsi="Garamond"/>
                <w:b w:val="0"/>
                <w:bCs w:val="0"/>
                <w:sz w:val="22"/>
                <w:szCs w:val="22"/>
              </w:rPr>
              <w:t xml:space="preserve">    No disability</w:t>
            </w:r>
          </w:p>
        </w:tc>
        <w:tc>
          <w:tcPr>
            <w:tcW w:w="1144" w:type="dxa"/>
            <w:hideMark/>
          </w:tcPr>
          <w:p w14:paraId="2AF3D2E5" w14:textId="77777777" w:rsidR="005911F5" w:rsidRPr="004A0C12" w:rsidRDefault="005911F5" w:rsidP="00057B5A">
            <w:pPr>
              <w:keepNext/>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554,462</w:t>
            </w:r>
          </w:p>
        </w:tc>
      </w:tr>
    </w:tbl>
    <w:p w14:paraId="63CA9410" w14:textId="77777777" w:rsidR="005911F5" w:rsidRPr="004A0C12" w:rsidRDefault="005911F5" w:rsidP="00057B5A">
      <w:pPr>
        <w:spacing w:after="0" w:line="240" w:lineRule="auto"/>
        <w:rPr>
          <w:rFonts w:ascii="Garamond" w:hAnsi="Garamond"/>
        </w:rPr>
      </w:pPr>
    </w:p>
    <w:p w14:paraId="6D9F0466" w14:textId="77777777" w:rsidR="00393483" w:rsidRPr="004A0C12" w:rsidRDefault="005911F5" w:rsidP="001A1E04">
      <w:pPr>
        <w:pStyle w:val="Caption"/>
        <w:spacing w:after="0"/>
        <w:rPr>
          <w:rFonts w:ascii="Garamond" w:hAnsi="Garamond"/>
          <w:sz w:val="22"/>
          <w:szCs w:val="22"/>
        </w:rPr>
      </w:pPr>
      <w:r w:rsidRPr="004A0C12">
        <w:rPr>
          <w:rFonts w:ascii="Garamond" w:hAnsi="Garamond"/>
          <w:sz w:val="22"/>
          <w:szCs w:val="22"/>
        </w:rPr>
        <w:t>Table 7: Employment Status of Individuals with Disabilities; Source: Census, 2015</w:t>
      </w:r>
    </w:p>
    <w:p w14:paraId="0878AE0D" w14:textId="77777777" w:rsidR="001A1E04" w:rsidRPr="004A0C12" w:rsidRDefault="001A1E04" w:rsidP="001A1E04">
      <w:pPr>
        <w:rPr>
          <w:rFonts w:ascii="Garamond" w:hAnsi="Garamond"/>
          <w:lang w:eastAsia="ja-JP"/>
        </w:rPr>
      </w:pPr>
    </w:p>
    <w:p w14:paraId="38A05989" w14:textId="77777777" w:rsidR="00B60621" w:rsidRDefault="00B60621" w:rsidP="00057B5A">
      <w:pPr>
        <w:spacing w:after="0" w:line="240" w:lineRule="auto"/>
        <w:jc w:val="both"/>
        <w:rPr>
          <w:rFonts w:ascii="Garamond" w:hAnsi="Garamond"/>
        </w:rPr>
      </w:pPr>
    </w:p>
    <w:p w14:paraId="7A97BE3F" w14:textId="77777777" w:rsidR="00B60621" w:rsidRDefault="00B60621" w:rsidP="00057B5A">
      <w:pPr>
        <w:spacing w:after="0" w:line="240" w:lineRule="auto"/>
        <w:jc w:val="both"/>
        <w:rPr>
          <w:rFonts w:ascii="Garamond" w:hAnsi="Garamond"/>
        </w:rPr>
      </w:pPr>
    </w:p>
    <w:p w14:paraId="2A6A8327" w14:textId="77777777" w:rsidR="00B60621" w:rsidRDefault="00B60621" w:rsidP="00057B5A">
      <w:pPr>
        <w:spacing w:after="0" w:line="240" w:lineRule="auto"/>
        <w:jc w:val="both"/>
        <w:rPr>
          <w:rFonts w:ascii="Garamond" w:hAnsi="Garamond"/>
        </w:rPr>
      </w:pPr>
    </w:p>
    <w:p w14:paraId="53364A34" w14:textId="77777777" w:rsidR="00B60621" w:rsidRDefault="00B60621" w:rsidP="00057B5A">
      <w:pPr>
        <w:spacing w:after="0" w:line="240" w:lineRule="auto"/>
        <w:jc w:val="both"/>
        <w:rPr>
          <w:rFonts w:ascii="Garamond" w:hAnsi="Garamond"/>
        </w:rPr>
      </w:pPr>
    </w:p>
    <w:p w14:paraId="64C9A154" w14:textId="77777777" w:rsidR="00B60621" w:rsidRDefault="00B60621" w:rsidP="00057B5A">
      <w:pPr>
        <w:spacing w:after="0" w:line="240" w:lineRule="auto"/>
        <w:jc w:val="both"/>
        <w:rPr>
          <w:rFonts w:ascii="Garamond" w:hAnsi="Garamond"/>
        </w:rPr>
      </w:pPr>
    </w:p>
    <w:p w14:paraId="18B9D8E7" w14:textId="34C28369" w:rsidR="005911F5" w:rsidRPr="004A0C12" w:rsidRDefault="005911F5" w:rsidP="00057B5A">
      <w:pPr>
        <w:spacing w:after="0" w:line="240" w:lineRule="auto"/>
        <w:jc w:val="both"/>
        <w:rPr>
          <w:rFonts w:ascii="Garamond" w:hAnsi="Garamond"/>
        </w:rPr>
      </w:pPr>
      <w:r w:rsidRPr="004A0C12">
        <w:rPr>
          <w:rFonts w:ascii="Garamond" w:hAnsi="Garamond"/>
        </w:rPr>
        <w:lastRenderedPageBreak/>
        <w:t>According to ACS 2014 estimates, youth experience much higher unemployment rates</w:t>
      </w:r>
      <w:r w:rsidR="003D4100" w:rsidRPr="004A0C12">
        <w:rPr>
          <w:rFonts w:ascii="Garamond" w:hAnsi="Garamond"/>
        </w:rPr>
        <w:t>,</w:t>
      </w:r>
      <w:r w:rsidRPr="004A0C12">
        <w:rPr>
          <w:rFonts w:ascii="Garamond" w:hAnsi="Garamond"/>
        </w:rPr>
        <w:t xml:space="preserve"> especially those 16 to 19 years of age (See Table 8). For older workers, they enjoy a relatively low rate of unemployment in Maryland (See Table 8)</w:t>
      </w:r>
      <w:r w:rsidR="003D4100" w:rsidRPr="004A0C12">
        <w:rPr>
          <w:rFonts w:ascii="Garamond" w:hAnsi="Garamond"/>
        </w:rPr>
        <w:t>.</w:t>
      </w:r>
      <w:r w:rsidR="003D4100" w:rsidRPr="004A0C12">
        <w:rPr>
          <w:rStyle w:val="FootnoteReference"/>
          <w:rFonts w:ascii="Garamond" w:hAnsi="Garamond"/>
        </w:rPr>
        <w:footnoteReference w:id="33"/>
      </w:r>
      <w:r w:rsidRPr="004A0C12">
        <w:rPr>
          <w:rFonts w:ascii="Garamond" w:hAnsi="Garamond"/>
          <w:noProof/>
        </w:rPr>
        <w:t xml:space="preserve"> </w:t>
      </w:r>
    </w:p>
    <w:p w14:paraId="2CC2E7E4" w14:textId="77777777" w:rsidR="001A1E04" w:rsidRDefault="001A1E04" w:rsidP="00057B5A">
      <w:pPr>
        <w:spacing w:after="0" w:line="240" w:lineRule="auto"/>
        <w:jc w:val="both"/>
        <w:rPr>
          <w:rFonts w:ascii="Garamond" w:hAnsi="Garamond"/>
        </w:rPr>
      </w:pPr>
    </w:p>
    <w:p w14:paraId="209C13F9" w14:textId="77777777" w:rsidR="00B60621" w:rsidRPr="004A0C12" w:rsidRDefault="00B60621" w:rsidP="00057B5A">
      <w:pPr>
        <w:spacing w:after="0" w:line="240" w:lineRule="auto"/>
        <w:jc w:val="both"/>
        <w:rPr>
          <w:rFonts w:ascii="Garamond" w:hAnsi="Garamond"/>
        </w:rPr>
      </w:pPr>
    </w:p>
    <w:p w14:paraId="422A9CAF" w14:textId="77777777" w:rsidR="006451F7" w:rsidRPr="004A0C12" w:rsidRDefault="006451F7" w:rsidP="00057B5A">
      <w:pPr>
        <w:spacing w:after="0" w:line="240" w:lineRule="auto"/>
        <w:jc w:val="both"/>
        <w:rPr>
          <w:rFonts w:ascii="Garamond" w:hAnsi="Garamond"/>
        </w:rPr>
      </w:pPr>
    </w:p>
    <w:tbl>
      <w:tblPr>
        <w:tblStyle w:val="PlainTable11"/>
        <w:tblW w:w="5909" w:type="dxa"/>
        <w:jc w:val="center"/>
        <w:tblLook w:val="04A0" w:firstRow="1" w:lastRow="0" w:firstColumn="1" w:lastColumn="0" w:noHBand="0" w:noVBand="1"/>
        <w:tblCaption w:val="Employment Status by Age (Source: Census, 2015)"/>
        <w:tblDescription w:val="Using Census 2015 data, this chart shows the employment status of Maryland's workers by age."/>
      </w:tblPr>
      <w:tblGrid>
        <w:gridCol w:w="2536"/>
        <w:gridCol w:w="1104"/>
        <w:gridCol w:w="1104"/>
        <w:gridCol w:w="1165"/>
      </w:tblGrid>
      <w:tr w:rsidR="005911F5" w:rsidRPr="004A0C12" w14:paraId="5BE49519" w14:textId="77777777" w:rsidTr="00847A0D">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2536" w:type="dxa"/>
            <w:vMerge w:val="restart"/>
            <w:hideMark/>
          </w:tcPr>
          <w:p w14:paraId="4C46E4BA"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w:t>
            </w:r>
          </w:p>
        </w:tc>
        <w:tc>
          <w:tcPr>
            <w:tcW w:w="3373" w:type="dxa"/>
            <w:gridSpan w:val="3"/>
            <w:hideMark/>
          </w:tcPr>
          <w:p w14:paraId="56C197AC" w14:textId="77777777" w:rsidR="005911F5" w:rsidRPr="004A0C12" w:rsidRDefault="005911F5" w:rsidP="00057B5A">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2"/>
                <w:szCs w:val="22"/>
              </w:rPr>
            </w:pPr>
            <w:r w:rsidRPr="004A0C12">
              <w:rPr>
                <w:rFonts w:ascii="Garamond" w:hAnsi="Garamond"/>
                <w:b w:val="0"/>
                <w:bCs w:val="0"/>
                <w:sz w:val="22"/>
                <w:szCs w:val="22"/>
              </w:rPr>
              <w:t>Maryland</w:t>
            </w:r>
          </w:p>
        </w:tc>
      </w:tr>
      <w:tr w:rsidR="005911F5" w:rsidRPr="004A0C12" w14:paraId="5790466C" w14:textId="77777777" w:rsidTr="00847A0D">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2536" w:type="dxa"/>
            <w:vMerge/>
            <w:hideMark/>
          </w:tcPr>
          <w:p w14:paraId="6B38C455" w14:textId="77777777" w:rsidR="005911F5" w:rsidRPr="004A0C12" w:rsidRDefault="005911F5" w:rsidP="00057B5A">
            <w:pPr>
              <w:rPr>
                <w:rFonts w:ascii="Garamond" w:hAnsi="Garamond"/>
                <w:b w:val="0"/>
                <w:bCs w:val="0"/>
                <w:sz w:val="22"/>
                <w:szCs w:val="22"/>
              </w:rPr>
            </w:pPr>
          </w:p>
        </w:tc>
        <w:tc>
          <w:tcPr>
            <w:tcW w:w="1104" w:type="dxa"/>
            <w:hideMark/>
          </w:tcPr>
          <w:p w14:paraId="7BD0F26D" w14:textId="77777777" w:rsidR="005911F5" w:rsidRPr="004A0C12" w:rsidRDefault="005911F5" w:rsidP="00057B5A">
            <w:pPr>
              <w:cnfStyle w:val="100000000000" w:firstRow="1"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Male</w:t>
            </w:r>
          </w:p>
        </w:tc>
        <w:tc>
          <w:tcPr>
            <w:tcW w:w="1104" w:type="dxa"/>
            <w:hideMark/>
          </w:tcPr>
          <w:p w14:paraId="19F1420D" w14:textId="77777777" w:rsidR="005911F5" w:rsidRPr="004A0C12" w:rsidRDefault="005911F5" w:rsidP="00057B5A">
            <w:pPr>
              <w:cnfStyle w:val="100000000000" w:firstRow="1"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Female</w:t>
            </w:r>
          </w:p>
        </w:tc>
        <w:tc>
          <w:tcPr>
            <w:tcW w:w="1165" w:type="dxa"/>
            <w:hideMark/>
          </w:tcPr>
          <w:p w14:paraId="577FA957" w14:textId="77777777" w:rsidR="005911F5" w:rsidRPr="004A0C12" w:rsidRDefault="005911F5" w:rsidP="00057B5A">
            <w:pPr>
              <w:cnfStyle w:val="100000000000" w:firstRow="1"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Total </w:t>
            </w:r>
          </w:p>
        </w:tc>
      </w:tr>
      <w:tr w:rsidR="005911F5" w:rsidRPr="004A0C12" w14:paraId="6FD5B011"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54EA7294"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16 to 19 years:</w:t>
            </w:r>
          </w:p>
        </w:tc>
        <w:tc>
          <w:tcPr>
            <w:tcW w:w="1104" w:type="dxa"/>
            <w:hideMark/>
          </w:tcPr>
          <w:p w14:paraId="413A6D56"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157,216</w:t>
            </w:r>
          </w:p>
        </w:tc>
        <w:tc>
          <w:tcPr>
            <w:tcW w:w="1104" w:type="dxa"/>
            <w:hideMark/>
          </w:tcPr>
          <w:p w14:paraId="79814059"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150,386</w:t>
            </w:r>
          </w:p>
        </w:tc>
        <w:tc>
          <w:tcPr>
            <w:tcW w:w="1165" w:type="dxa"/>
            <w:hideMark/>
          </w:tcPr>
          <w:p w14:paraId="6E8E9ACD"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307,602</w:t>
            </w:r>
          </w:p>
        </w:tc>
      </w:tr>
      <w:tr w:rsidR="005911F5" w:rsidRPr="004A0C12" w14:paraId="130E65E5"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73D07748"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labor force:</w:t>
            </w:r>
          </w:p>
        </w:tc>
        <w:tc>
          <w:tcPr>
            <w:tcW w:w="1104" w:type="dxa"/>
            <w:hideMark/>
          </w:tcPr>
          <w:p w14:paraId="1F7CEFC8"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55,678</w:t>
            </w:r>
          </w:p>
        </w:tc>
        <w:tc>
          <w:tcPr>
            <w:tcW w:w="1104" w:type="dxa"/>
            <w:hideMark/>
          </w:tcPr>
          <w:p w14:paraId="1707916B"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57,556</w:t>
            </w:r>
          </w:p>
        </w:tc>
        <w:tc>
          <w:tcPr>
            <w:tcW w:w="1165" w:type="dxa"/>
            <w:hideMark/>
          </w:tcPr>
          <w:p w14:paraId="18626D78"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113,234</w:t>
            </w:r>
          </w:p>
        </w:tc>
      </w:tr>
      <w:tr w:rsidR="005911F5" w:rsidRPr="004A0C12" w14:paraId="1BB9EA6F"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2A67B8BE"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Armed Forces</w:t>
            </w:r>
          </w:p>
        </w:tc>
        <w:tc>
          <w:tcPr>
            <w:tcW w:w="1104" w:type="dxa"/>
            <w:hideMark/>
          </w:tcPr>
          <w:p w14:paraId="68270D7D"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2,320</w:t>
            </w:r>
          </w:p>
        </w:tc>
        <w:tc>
          <w:tcPr>
            <w:tcW w:w="1104" w:type="dxa"/>
            <w:hideMark/>
          </w:tcPr>
          <w:p w14:paraId="3D3D64A7"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815</w:t>
            </w:r>
          </w:p>
        </w:tc>
        <w:tc>
          <w:tcPr>
            <w:tcW w:w="1165" w:type="dxa"/>
            <w:hideMark/>
          </w:tcPr>
          <w:p w14:paraId="774B3840"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3,135</w:t>
            </w:r>
          </w:p>
        </w:tc>
      </w:tr>
      <w:tr w:rsidR="005911F5" w:rsidRPr="004A0C12" w14:paraId="566F3089"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46636F7A"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Civilian:</w:t>
            </w:r>
          </w:p>
        </w:tc>
        <w:tc>
          <w:tcPr>
            <w:tcW w:w="1104" w:type="dxa"/>
            <w:hideMark/>
          </w:tcPr>
          <w:p w14:paraId="6FB87C46"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53,358</w:t>
            </w:r>
          </w:p>
        </w:tc>
        <w:tc>
          <w:tcPr>
            <w:tcW w:w="1104" w:type="dxa"/>
            <w:hideMark/>
          </w:tcPr>
          <w:p w14:paraId="13848B4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56,741</w:t>
            </w:r>
          </w:p>
        </w:tc>
        <w:tc>
          <w:tcPr>
            <w:tcW w:w="1165" w:type="dxa"/>
            <w:hideMark/>
          </w:tcPr>
          <w:p w14:paraId="5EE01AC0"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110,099</w:t>
            </w:r>
          </w:p>
        </w:tc>
      </w:tr>
      <w:tr w:rsidR="005911F5" w:rsidRPr="004A0C12" w14:paraId="0F288A75"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02A5CA1F"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Employed</w:t>
            </w:r>
          </w:p>
        </w:tc>
        <w:tc>
          <w:tcPr>
            <w:tcW w:w="1104" w:type="dxa"/>
            <w:hideMark/>
          </w:tcPr>
          <w:p w14:paraId="2D47AC47"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39,231</w:t>
            </w:r>
          </w:p>
        </w:tc>
        <w:tc>
          <w:tcPr>
            <w:tcW w:w="1104" w:type="dxa"/>
            <w:hideMark/>
          </w:tcPr>
          <w:p w14:paraId="31A8EF4C"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46,423</w:t>
            </w:r>
          </w:p>
        </w:tc>
        <w:tc>
          <w:tcPr>
            <w:tcW w:w="1165" w:type="dxa"/>
            <w:hideMark/>
          </w:tcPr>
          <w:p w14:paraId="38F0F660"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85,654</w:t>
            </w:r>
          </w:p>
        </w:tc>
      </w:tr>
      <w:tr w:rsidR="005911F5" w:rsidRPr="004A0C12" w14:paraId="7844DDB9"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21546C38"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Unemployed</w:t>
            </w:r>
          </w:p>
        </w:tc>
        <w:tc>
          <w:tcPr>
            <w:tcW w:w="1104" w:type="dxa"/>
            <w:hideMark/>
          </w:tcPr>
          <w:p w14:paraId="3EC85F4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14,127</w:t>
            </w:r>
          </w:p>
        </w:tc>
        <w:tc>
          <w:tcPr>
            <w:tcW w:w="1104" w:type="dxa"/>
            <w:hideMark/>
          </w:tcPr>
          <w:p w14:paraId="27FC3D2D"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10,318</w:t>
            </w:r>
          </w:p>
        </w:tc>
        <w:tc>
          <w:tcPr>
            <w:tcW w:w="1165" w:type="dxa"/>
            <w:hideMark/>
          </w:tcPr>
          <w:p w14:paraId="12C3B008"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24,445</w:t>
            </w:r>
          </w:p>
        </w:tc>
      </w:tr>
      <w:tr w:rsidR="005911F5" w:rsidRPr="004A0C12" w14:paraId="12480291"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04FAF29A"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104" w:type="dxa"/>
            <w:hideMark/>
          </w:tcPr>
          <w:p w14:paraId="2A39C31B"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101,538</w:t>
            </w:r>
          </w:p>
        </w:tc>
        <w:tc>
          <w:tcPr>
            <w:tcW w:w="1104" w:type="dxa"/>
            <w:hideMark/>
          </w:tcPr>
          <w:p w14:paraId="04FEAF64"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92,830</w:t>
            </w:r>
          </w:p>
        </w:tc>
        <w:tc>
          <w:tcPr>
            <w:tcW w:w="1165" w:type="dxa"/>
            <w:hideMark/>
          </w:tcPr>
          <w:p w14:paraId="399B34DE"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194,368</w:t>
            </w:r>
          </w:p>
        </w:tc>
      </w:tr>
      <w:tr w:rsidR="005911F5" w:rsidRPr="004A0C12" w14:paraId="3EC3256A"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6F9726F3"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20 and 21 years:</w:t>
            </w:r>
          </w:p>
        </w:tc>
        <w:tc>
          <w:tcPr>
            <w:tcW w:w="1104" w:type="dxa"/>
            <w:hideMark/>
          </w:tcPr>
          <w:p w14:paraId="14BE33E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82,886</w:t>
            </w:r>
          </w:p>
        </w:tc>
        <w:tc>
          <w:tcPr>
            <w:tcW w:w="1104" w:type="dxa"/>
            <w:hideMark/>
          </w:tcPr>
          <w:p w14:paraId="5FDA4064"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79,791</w:t>
            </w:r>
          </w:p>
        </w:tc>
        <w:tc>
          <w:tcPr>
            <w:tcW w:w="1165" w:type="dxa"/>
            <w:hideMark/>
          </w:tcPr>
          <w:p w14:paraId="52E538DC"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162,677</w:t>
            </w:r>
          </w:p>
        </w:tc>
      </w:tr>
      <w:tr w:rsidR="005911F5" w:rsidRPr="004A0C12" w14:paraId="4913A9F5"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5F7F3703"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labor force:</w:t>
            </w:r>
          </w:p>
        </w:tc>
        <w:tc>
          <w:tcPr>
            <w:tcW w:w="1104" w:type="dxa"/>
            <w:hideMark/>
          </w:tcPr>
          <w:p w14:paraId="2E6E5052"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55,043</w:t>
            </w:r>
          </w:p>
        </w:tc>
        <w:tc>
          <w:tcPr>
            <w:tcW w:w="1104" w:type="dxa"/>
            <w:hideMark/>
          </w:tcPr>
          <w:p w14:paraId="590C38A6"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55,129</w:t>
            </w:r>
          </w:p>
        </w:tc>
        <w:tc>
          <w:tcPr>
            <w:tcW w:w="1165" w:type="dxa"/>
            <w:hideMark/>
          </w:tcPr>
          <w:p w14:paraId="44E6107F"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110,172</w:t>
            </w:r>
          </w:p>
        </w:tc>
      </w:tr>
      <w:tr w:rsidR="005911F5" w:rsidRPr="004A0C12" w14:paraId="2A795A76"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126C0355"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Armed Forces</w:t>
            </w:r>
          </w:p>
        </w:tc>
        <w:tc>
          <w:tcPr>
            <w:tcW w:w="1104" w:type="dxa"/>
            <w:hideMark/>
          </w:tcPr>
          <w:p w14:paraId="54C899DC"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2,851</w:t>
            </w:r>
          </w:p>
        </w:tc>
        <w:tc>
          <w:tcPr>
            <w:tcW w:w="1104" w:type="dxa"/>
            <w:hideMark/>
          </w:tcPr>
          <w:p w14:paraId="2EC37FCA"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709</w:t>
            </w:r>
          </w:p>
        </w:tc>
        <w:tc>
          <w:tcPr>
            <w:tcW w:w="1165" w:type="dxa"/>
            <w:hideMark/>
          </w:tcPr>
          <w:p w14:paraId="1D0A2D52"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3,560</w:t>
            </w:r>
          </w:p>
        </w:tc>
      </w:tr>
      <w:tr w:rsidR="005911F5" w:rsidRPr="004A0C12" w14:paraId="07A164CC"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0C903923"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Civilian:</w:t>
            </w:r>
          </w:p>
        </w:tc>
        <w:tc>
          <w:tcPr>
            <w:tcW w:w="1104" w:type="dxa"/>
            <w:hideMark/>
          </w:tcPr>
          <w:p w14:paraId="13ECA625"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52,192</w:t>
            </w:r>
          </w:p>
        </w:tc>
        <w:tc>
          <w:tcPr>
            <w:tcW w:w="1104" w:type="dxa"/>
            <w:hideMark/>
          </w:tcPr>
          <w:p w14:paraId="78AE9648"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54,420</w:t>
            </w:r>
          </w:p>
        </w:tc>
        <w:tc>
          <w:tcPr>
            <w:tcW w:w="1165" w:type="dxa"/>
            <w:hideMark/>
          </w:tcPr>
          <w:p w14:paraId="5CC834E0"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106,612</w:t>
            </w:r>
          </w:p>
        </w:tc>
      </w:tr>
      <w:tr w:rsidR="005911F5" w:rsidRPr="004A0C12" w14:paraId="254BF3FB"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55A49D68"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Employed</w:t>
            </w:r>
          </w:p>
        </w:tc>
        <w:tc>
          <w:tcPr>
            <w:tcW w:w="1104" w:type="dxa"/>
            <w:hideMark/>
          </w:tcPr>
          <w:p w14:paraId="27377A92"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42,457</w:t>
            </w:r>
          </w:p>
        </w:tc>
        <w:tc>
          <w:tcPr>
            <w:tcW w:w="1104" w:type="dxa"/>
            <w:hideMark/>
          </w:tcPr>
          <w:p w14:paraId="1665FA13"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45,522</w:t>
            </w:r>
          </w:p>
        </w:tc>
        <w:tc>
          <w:tcPr>
            <w:tcW w:w="1165" w:type="dxa"/>
            <w:hideMark/>
          </w:tcPr>
          <w:p w14:paraId="613765DF"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87,979</w:t>
            </w:r>
          </w:p>
        </w:tc>
      </w:tr>
      <w:tr w:rsidR="005911F5" w:rsidRPr="004A0C12" w14:paraId="0F6A1F51"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6DDBA119"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Unemployed</w:t>
            </w:r>
          </w:p>
        </w:tc>
        <w:tc>
          <w:tcPr>
            <w:tcW w:w="1104" w:type="dxa"/>
            <w:hideMark/>
          </w:tcPr>
          <w:p w14:paraId="1DC02FC6"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9,735</w:t>
            </w:r>
          </w:p>
        </w:tc>
        <w:tc>
          <w:tcPr>
            <w:tcW w:w="1104" w:type="dxa"/>
            <w:hideMark/>
          </w:tcPr>
          <w:p w14:paraId="70F583C9"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8,898</w:t>
            </w:r>
          </w:p>
        </w:tc>
        <w:tc>
          <w:tcPr>
            <w:tcW w:w="1165" w:type="dxa"/>
            <w:hideMark/>
          </w:tcPr>
          <w:p w14:paraId="15CDB374"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18,633</w:t>
            </w:r>
          </w:p>
        </w:tc>
      </w:tr>
      <w:tr w:rsidR="005911F5" w:rsidRPr="004A0C12" w14:paraId="3DA84DCD"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75402669"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104" w:type="dxa"/>
            <w:hideMark/>
          </w:tcPr>
          <w:p w14:paraId="390E8EFE"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27,843</w:t>
            </w:r>
          </w:p>
        </w:tc>
        <w:tc>
          <w:tcPr>
            <w:tcW w:w="1104" w:type="dxa"/>
            <w:hideMark/>
          </w:tcPr>
          <w:p w14:paraId="7E90820F"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24,662</w:t>
            </w:r>
          </w:p>
        </w:tc>
        <w:tc>
          <w:tcPr>
            <w:tcW w:w="1165" w:type="dxa"/>
            <w:hideMark/>
          </w:tcPr>
          <w:p w14:paraId="08DA66D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52,505</w:t>
            </w:r>
          </w:p>
        </w:tc>
      </w:tr>
      <w:tr w:rsidR="005911F5" w:rsidRPr="004A0C12" w14:paraId="14B19CAE"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7CBD896F"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55 to 59 years:</w:t>
            </w:r>
          </w:p>
        </w:tc>
        <w:tc>
          <w:tcPr>
            <w:tcW w:w="1104" w:type="dxa"/>
            <w:hideMark/>
          </w:tcPr>
          <w:p w14:paraId="0E4E70F9"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197,682</w:t>
            </w:r>
          </w:p>
        </w:tc>
        <w:tc>
          <w:tcPr>
            <w:tcW w:w="1104" w:type="dxa"/>
            <w:hideMark/>
          </w:tcPr>
          <w:p w14:paraId="7250A77E"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217,621</w:t>
            </w:r>
          </w:p>
        </w:tc>
        <w:tc>
          <w:tcPr>
            <w:tcW w:w="1165" w:type="dxa"/>
            <w:hideMark/>
          </w:tcPr>
          <w:p w14:paraId="1B367EF7"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415,303</w:t>
            </w:r>
          </w:p>
        </w:tc>
      </w:tr>
      <w:tr w:rsidR="005911F5" w:rsidRPr="004A0C12" w14:paraId="22B4D99D"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7CD4759B"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labor force:</w:t>
            </w:r>
          </w:p>
        </w:tc>
        <w:tc>
          <w:tcPr>
            <w:tcW w:w="1104" w:type="dxa"/>
            <w:hideMark/>
          </w:tcPr>
          <w:p w14:paraId="7DB0B690"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159,596</w:t>
            </w:r>
          </w:p>
        </w:tc>
        <w:tc>
          <w:tcPr>
            <w:tcW w:w="1104" w:type="dxa"/>
            <w:hideMark/>
          </w:tcPr>
          <w:p w14:paraId="7F58AADE"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158,652</w:t>
            </w:r>
          </w:p>
        </w:tc>
        <w:tc>
          <w:tcPr>
            <w:tcW w:w="1165" w:type="dxa"/>
            <w:hideMark/>
          </w:tcPr>
          <w:p w14:paraId="07A010E5"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318,248</w:t>
            </w:r>
          </w:p>
        </w:tc>
      </w:tr>
      <w:tr w:rsidR="005911F5" w:rsidRPr="004A0C12" w14:paraId="6C89AB36"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0F0D2D43"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Armed Forces</w:t>
            </w:r>
          </w:p>
        </w:tc>
        <w:tc>
          <w:tcPr>
            <w:tcW w:w="1104" w:type="dxa"/>
            <w:hideMark/>
          </w:tcPr>
          <w:p w14:paraId="078E12EC"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110</w:t>
            </w:r>
          </w:p>
        </w:tc>
        <w:tc>
          <w:tcPr>
            <w:tcW w:w="1104" w:type="dxa"/>
            <w:hideMark/>
          </w:tcPr>
          <w:p w14:paraId="7078A852"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0</w:t>
            </w:r>
          </w:p>
        </w:tc>
        <w:tc>
          <w:tcPr>
            <w:tcW w:w="1165" w:type="dxa"/>
            <w:hideMark/>
          </w:tcPr>
          <w:p w14:paraId="5FDE41A8"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110</w:t>
            </w:r>
          </w:p>
        </w:tc>
      </w:tr>
      <w:tr w:rsidR="005911F5" w:rsidRPr="004A0C12" w14:paraId="131E80A5"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787A2702"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Civilian:</w:t>
            </w:r>
          </w:p>
        </w:tc>
        <w:tc>
          <w:tcPr>
            <w:tcW w:w="1104" w:type="dxa"/>
            <w:hideMark/>
          </w:tcPr>
          <w:p w14:paraId="01376341"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159,486</w:t>
            </w:r>
          </w:p>
        </w:tc>
        <w:tc>
          <w:tcPr>
            <w:tcW w:w="1104" w:type="dxa"/>
            <w:hideMark/>
          </w:tcPr>
          <w:p w14:paraId="44E75AE7"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158,652</w:t>
            </w:r>
          </w:p>
        </w:tc>
        <w:tc>
          <w:tcPr>
            <w:tcW w:w="1165" w:type="dxa"/>
            <w:hideMark/>
          </w:tcPr>
          <w:p w14:paraId="7A9722C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318,138</w:t>
            </w:r>
          </w:p>
        </w:tc>
      </w:tr>
      <w:tr w:rsidR="005911F5" w:rsidRPr="004A0C12" w14:paraId="5C239940"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1439E4BA"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Employed</w:t>
            </w:r>
          </w:p>
        </w:tc>
        <w:tc>
          <w:tcPr>
            <w:tcW w:w="1104" w:type="dxa"/>
            <w:hideMark/>
          </w:tcPr>
          <w:p w14:paraId="0C08828C"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151,039</w:t>
            </w:r>
          </w:p>
        </w:tc>
        <w:tc>
          <w:tcPr>
            <w:tcW w:w="1104" w:type="dxa"/>
            <w:hideMark/>
          </w:tcPr>
          <w:p w14:paraId="3D84F992"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151,119</w:t>
            </w:r>
          </w:p>
        </w:tc>
        <w:tc>
          <w:tcPr>
            <w:tcW w:w="1165" w:type="dxa"/>
            <w:hideMark/>
          </w:tcPr>
          <w:p w14:paraId="31671F2C"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302,158</w:t>
            </w:r>
          </w:p>
        </w:tc>
      </w:tr>
      <w:tr w:rsidR="005911F5" w:rsidRPr="004A0C12" w14:paraId="4A9F22C6"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5CBB03EA"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Unemployed</w:t>
            </w:r>
          </w:p>
        </w:tc>
        <w:tc>
          <w:tcPr>
            <w:tcW w:w="1104" w:type="dxa"/>
            <w:hideMark/>
          </w:tcPr>
          <w:p w14:paraId="0D9215C8"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8,447</w:t>
            </w:r>
          </w:p>
        </w:tc>
        <w:tc>
          <w:tcPr>
            <w:tcW w:w="1104" w:type="dxa"/>
            <w:hideMark/>
          </w:tcPr>
          <w:p w14:paraId="385A511B"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7,533</w:t>
            </w:r>
          </w:p>
        </w:tc>
        <w:tc>
          <w:tcPr>
            <w:tcW w:w="1165" w:type="dxa"/>
            <w:hideMark/>
          </w:tcPr>
          <w:p w14:paraId="7BE63C2A"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15,980</w:t>
            </w:r>
          </w:p>
        </w:tc>
      </w:tr>
      <w:tr w:rsidR="005911F5" w:rsidRPr="004A0C12" w14:paraId="71A67ADB"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5605E829"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104" w:type="dxa"/>
            <w:hideMark/>
          </w:tcPr>
          <w:p w14:paraId="3BA84BC1"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38,086</w:t>
            </w:r>
          </w:p>
        </w:tc>
        <w:tc>
          <w:tcPr>
            <w:tcW w:w="1104" w:type="dxa"/>
            <w:hideMark/>
          </w:tcPr>
          <w:p w14:paraId="426F034E"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58,969</w:t>
            </w:r>
          </w:p>
        </w:tc>
        <w:tc>
          <w:tcPr>
            <w:tcW w:w="1165" w:type="dxa"/>
            <w:hideMark/>
          </w:tcPr>
          <w:p w14:paraId="37DE9929"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97,055</w:t>
            </w:r>
          </w:p>
        </w:tc>
      </w:tr>
      <w:tr w:rsidR="005911F5" w:rsidRPr="004A0C12" w14:paraId="30D86556" w14:textId="77777777" w:rsidTr="00F83A39">
        <w:trPr>
          <w:trHeight w:val="144"/>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1AC40FE8"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60 and 61 years:</w:t>
            </w:r>
          </w:p>
        </w:tc>
        <w:tc>
          <w:tcPr>
            <w:tcW w:w="1104" w:type="dxa"/>
            <w:hideMark/>
          </w:tcPr>
          <w:p w14:paraId="6EA303EE"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69,476</w:t>
            </w:r>
          </w:p>
        </w:tc>
        <w:tc>
          <w:tcPr>
            <w:tcW w:w="1104" w:type="dxa"/>
            <w:hideMark/>
          </w:tcPr>
          <w:p w14:paraId="7EDABAB1"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75,709</w:t>
            </w:r>
          </w:p>
        </w:tc>
        <w:tc>
          <w:tcPr>
            <w:tcW w:w="1165" w:type="dxa"/>
            <w:hideMark/>
          </w:tcPr>
          <w:p w14:paraId="2839149C"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145,185</w:t>
            </w:r>
          </w:p>
        </w:tc>
      </w:tr>
      <w:tr w:rsidR="005911F5" w:rsidRPr="004A0C12" w14:paraId="3AC9E19D"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78B464B6"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labor force:</w:t>
            </w:r>
          </w:p>
        </w:tc>
        <w:tc>
          <w:tcPr>
            <w:tcW w:w="1104" w:type="dxa"/>
            <w:hideMark/>
          </w:tcPr>
          <w:p w14:paraId="3B889D78"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49,495</w:t>
            </w:r>
          </w:p>
        </w:tc>
        <w:tc>
          <w:tcPr>
            <w:tcW w:w="1104" w:type="dxa"/>
            <w:hideMark/>
          </w:tcPr>
          <w:p w14:paraId="030DC81C"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48,451</w:t>
            </w:r>
          </w:p>
        </w:tc>
        <w:tc>
          <w:tcPr>
            <w:tcW w:w="1165" w:type="dxa"/>
            <w:hideMark/>
          </w:tcPr>
          <w:p w14:paraId="42C28089"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97,946</w:t>
            </w:r>
          </w:p>
        </w:tc>
      </w:tr>
      <w:tr w:rsidR="005911F5" w:rsidRPr="004A0C12" w14:paraId="72DD8893"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6DE10658"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Armed Forces</w:t>
            </w:r>
          </w:p>
        </w:tc>
        <w:tc>
          <w:tcPr>
            <w:tcW w:w="1104" w:type="dxa"/>
            <w:hideMark/>
          </w:tcPr>
          <w:p w14:paraId="6CBD54A7"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0</w:t>
            </w:r>
          </w:p>
        </w:tc>
        <w:tc>
          <w:tcPr>
            <w:tcW w:w="1104" w:type="dxa"/>
            <w:hideMark/>
          </w:tcPr>
          <w:p w14:paraId="36658015"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41</w:t>
            </w:r>
          </w:p>
        </w:tc>
        <w:tc>
          <w:tcPr>
            <w:tcW w:w="1165" w:type="dxa"/>
            <w:hideMark/>
          </w:tcPr>
          <w:p w14:paraId="6EEF7161"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41</w:t>
            </w:r>
          </w:p>
        </w:tc>
      </w:tr>
      <w:tr w:rsidR="005911F5" w:rsidRPr="004A0C12" w14:paraId="1F70DCF2"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37CD76CC"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Civilian:</w:t>
            </w:r>
          </w:p>
        </w:tc>
        <w:tc>
          <w:tcPr>
            <w:tcW w:w="1104" w:type="dxa"/>
            <w:hideMark/>
          </w:tcPr>
          <w:p w14:paraId="605352A3"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49,495</w:t>
            </w:r>
          </w:p>
        </w:tc>
        <w:tc>
          <w:tcPr>
            <w:tcW w:w="1104" w:type="dxa"/>
            <w:hideMark/>
          </w:tcPr>
          <w:p w14:paraId="779631F2"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48,410</w:t>
            </w:r>
          </w:p>
        </w:tc>
        <w:tc>
          <w:tcPr>
            <w:tcW w:w="1165" w:type="dxa"/>
            <w:hideMark/>
          </w:tcPr>
          <w:p w14:paraId="5806FEFC"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97,905</w:t>
            </w:r>
          </w:p>
        </w:tc>
      </w:tr>
      <w:tr w:rsidR="005911F5" w:rsidRPr="004A0C12" w14:paraId="3DCAB1B4"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47D8E9C2"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Employed</w:t>
            </w:r>
          </w:p>
        </w:tc>
        <w:tc>
          <w:tcPr>
            <w:tcW w:w="1104" w:type="dxa"/>
            <w:hideMark/>
          </w:tcPr>
          <w:p w14:paraId="678C9A01"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47,223</w:t>
            </w:r>
          </w:p>
        </w:tc>
        <w:tc>
          <w:tcPr>
            <w:tcW w:w="1104" w:type="dxa"/>
            <w:hideMark/>
          </w:tcPr>
          <w:p w14:paraId="17FD131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45,998</w:t>
            </w:r>
          </w:p>
        </w:tc>
        <w:tc>
          <w:tcPr>
            <w:tcW w:w="1165" w:type="dxa"/>
            <w:hideMark/>
          </w:tcPr>
          <w:p w14:paraId="62D26DC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93,221</w:t>
            </w:r>
          </w:p>
        </w:tc>
      </w:tr>
      <w:tr w:rsidR="005911F5" w:rsidRPr="004A0C12" w14:paraId="064FA0EB"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24101FA2"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Unemployed</w:t>
            </w:r>
          </w:p>
        </w:tc>
        <w:tc>
          <w:tcPr>
            <w:tcW w:w="1104" w:type="dxa"/>
            <w:hideMark/>
          </w:tcPr>
          <w:p w14:paraId="199A4A25"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2,272</w:t>
            </w:r>
          </w:p>
        </w:tc>
        <w:tc>
          <w:tcPr>
            <w:tcW w:w="1104" w:type="dxa"/>
            <w:hideMark/>
          </w:tcPr>
          <w:p w14:paraId="4F1B1B12"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2,412</w:t>
            </w:r>
          </w:p>
        </w:tc>
        <w:tc>
          <w:tcPr>
            <w:tcW w:w="1165" w:type="dxa"/>
            <w:hideMark/>
          </w:tcPr>
          <w:p w14:paraId="5DEA7321"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4,684</w:t>
            </w:r>
          </w:p>
        </w:tc>
      </w:tr>
      <w:tr w:rsidR="005911F5" w:rsidRPr="004A0C12" w14:paraId="700BB5AE"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37DD0860"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104" w:type="dxa"/>
            <w:hideMark/>
          </w:tcPr>
          <w:p w14:paraId="35971CC6"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19,981</w:t>
            </w:r>
          </w:p>
        </w:tc>
        <w:tc>
          <w:tcPr>
            <w:tcW w:w="1104" w:type="dxa"/>
            <w:hideMark/>
          </w:tcPr>
          <w:p w14:paraId="01379FDD"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27,258</w:t>
            </w:r>
          </w:p>
        </w:tc>
        <w:tc>
          <w:tcPr>
            <w:tcW w:w="1165" w:type="dxa"/>
            <w:hideMark/>
          </w:tcPr>
          <w:p w14:paraId="4DFCA326"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47,239</w:t>
            </w:r>
          </w:p>
        </w:tc>
      </w:tr>
      <w:tr w:rsidR="005911F5" w:rsidRPr="004A0C12" w14:paraId="7BFA348B"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0C45C774"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62 to 64 years:</w:t>
            </w:r>
          </w:p>
        </w:tc>
        <w:tc>
          <w:tcPr>
            <w:tcW w:w="1104" w:type="dxa"/>
            <w:hideMark/>
          </w:tcPr>
          <w:p w14:paraId="6C016EB3"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93,553</w:t>
            </w:r>
          </w:p>
        </w:tc>
        <w:tc>
          <w:tcPr>
            <w:tcW w:w="1104" w:type="dxa"/>
            <w:hideMark/>
          </w:tcPr>
          <w:p w14:paraId="0E00C6C3"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110,932</w:t>
            </w:r>
          </w:p>
        </w:tc>
        <w:tc>
          <w:tcPr>
            <w:tcW w:w="1165" w:type="dxa"/>
            <w:hideMark/>
          </w:tcPr>
          <w:p w14:paraId="4ED5D286"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204,485</w:t>
            </w:r>
          </w:p>
        </w:tc>
      </w:tr>
      <w:tr w:rsidR="005911F5" w:rsidRPr="004A0C12" w14:paraId="1B0A6A4C"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48BEBED8"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labor force:</w:t>
            </w:r>
          </w:p>
        </w:tc>
        <w:tc>
          <w:tcPr>
            <w:tcW w:w="1104" w:type="dxa"/>
            <w:hideMark/>
          </w:tcPr>
          <w:p w14:paraId="58AC322B"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58,236</w:t>
            </w:r>
          </w:p>
        </w:tc>
        <w:tc>
          <w:tcPr>
            <w:tcW w:w="1104" w:type="dxa"/>
            <w:hideMark/>
          </w:tcPr>
          <w:p w14:paraId="610D8352"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60,123</w:t>
            </w:r>
          </w:p>
        </w:tc>
        <w:tc>
          <w:tcPr>
            <w:tcW w:w="1165" w:type="dxa"/>
            <w:hideMark/>
          </w:tcPr>
          <w:p w14:paraId="5E73C99D"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118,359</w:t>
            </w:r>
          </w:p>
        </w:tc>
      </w:tr>
      <w:tr w:rsidR="005911F5" w:rsidRPr="004A0C12" w14:paraId="569E30DC"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799CAC6A"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Armed Forces</w:t>
            </w:r>
          </w:p>
        </w:tc>
        <w:tc>
          <w:tcPr>
            <w:tcW w:w="1104" w:type="dxa"/>
            <w:hideMark/>
          </w:tcPr>
          <w:p w14:paraId="0A8F514D"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0</w:t>
            </w:r>
          </w:p>
        </w:tc>
        <w:tc>
          <w:tcPr>
            <w:tcW w:w="1104" w:type="dxa"/>
            <w:hideMark/>
          </w:tcPr>
          <w:p w14:paraId="372EB4F0"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0</w:t>
            </w:r>
          </w:p>
        </w:tc>
        <w:tc>
          <w:tcPr>
            <w:tcW w:w="1165" w:type="dxa"/>
            <w:hideMark/>
          </w:tcPr>
          <w:p w14:paraId="15E03D59"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0</w:t>
            </w:r>
          </w:p>
        </w:tc>
      </w:tr>
      <w:tr w:rsidR="005911F5" w:rsidRPr="004A0C12" w14:paraId="78703712"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0DC5443D"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Civilian:</w:t>
            </w:r>
          </w:p>
        </w:tc>
        <w:tc>
          <w:tcPr>
            <w:tcW w:w="1104" w:type="dxa"/>
            <w:hideMark/>
          </w:tcPr>
          <w:p w14:paraId="63D7833E"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58,236</w:t>
            </w:r>
          </w:p>
        </w:tc>
        <w:tc>
          <w:tcPr>
            <w:tcW w:w="1104" w:type="dxa"/>
            <w:hideMark/>
          </w:tcPr>
          <w:p w14:paraId="5DD2CC5F"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60,123</w:t>
            </w:r>
          </w:p>
        </w:tc>
        <w:tc>
          <w:tcPr>
            <w:tcW w:w="1165" w:type="dxa"/>
            <w:hideMark/>
          </w:tcPr>
          <w:p w14:paraId="7AF7331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118,359</w:t>
            </w:r>
          </w:p>
        </w:tc>
      </w:tr>
      <w:tr w:rsidR="005911F5" w:rsidRPr="004A0C12" w14:paraId="39BDE4C8"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03FDAA73"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Employed</w:t>
            </w:r>
          </w:p>
        </w:tc>
        <w:tc>
          <w:tcPr>
            <w:tcW w:w="1104" w:type="dxa"/>
            <w:hideMark/>
          </w:tcPr>
          <w:p w14:paraId="3580A976"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55,576</w:t>
            </w:r>
          </w:p>
        </w:tc>
        <w:tc>
          <w:tcPr>
            <w:tcW w:w="1104" w:type="dxa"/>
            <w:hideMark/>
          </w:tcPr>
          <w:p w14:paraId="23F1E9BD"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57,430</w:t>
            </w:r>
          </w:p>
        </w:tc>
        <w:tc>
          <w:tcPr>
            <w:tcW w:w="1165" w:type="dxa"/>
            <w:hideMark/>
          </w:tcPr>
          <w:p w14:paraId="12A0B148"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113,006</w:t>
            </w:r>
          </w:p>
        </w:tc>
      </w:tr>
      <w:tr w:rsidR="005911F5" w:rsidRPr="004A0C12" w14:paraId="42679B33"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44FEAD64"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Unemployed</w:t>
            </w:r>
          </w:p>
        </w:tc>
        <w:tc>
          <w:tcPr>
            <w:tcW w:w="1104" w:type="dxa"/>
            <w:hideMark/>
          </w:tcPr>
          <w:p w14:paraId="794E9BE8"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2,660</w:t>
            </w:r>
          </w:p>
        </w:tc>
        <w:tc>
          <w:tcPr>
            <w:tcW w:w="1104" w:type="dxa"/>
            <w:hideMark/>
          </w:tcPr>
          <w:p w14:paraId="57C01787"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2,693</w:t>
            </w:r>
          </w:p>
        </w:tc>
        <w:tc>
          <w:tcPr>
            <w:tcW w:w="1165" w:type="dxa"/>
            <w:hideMark/>
          </w:tcPr>
          <w:p w14:paraId="7F5386CE"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5,353</w:t>
            </w:r>
          </w:p>
        </w:tc>
      </w:tr>
      <w:tr w:rsidR="005911F5" w:rsidRPr="004A0C12" w14:paraId="3D184495"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1BB9D1DD"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104" w:type="dxa"/>
            <w:hideMark/>
          </w:tcPr>
          <w:p w14:paraId="42B4D910"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35,317</w:t>
            </w:r>
          </w:p>
        </w:tc>
        <w:tc>
          <w:tcPr>
            <w:tcW w:w="1104" w:type="dxa"/>
            <w:hideMark/>
          </w:tcPr>
          <w:p w14:paraId="2EF8031F"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50,809</w:t>
            </w:r>
          </w:p>
        </w:tc>
        <w:tc>
          <w:tcPr>
            <w:tcW w:w="1165" w:type="dxa"/>
            <w:hideMark/>
          </w:tcPr>
          <w:p w14:paraId="7B9C7A99"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86,126</w:t>
            </w:r>
          </w:p>
        </w:tc>
      </w:tr>
      <w:tr w:rsidR="005911F5" w:rsidRPr="004A0C12" w14:paraId="3F762F78"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670BCB7D"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65 to 69 years:</w:t>
            </w:r>
          </w:p>
        </w:tc>
        <w:tc>
          <w:tcPr>
            <w:tcW w:w="1104" w:type="dxa"/>
            <w:hideMark/>
          </w:tcPr>
          <w:p w14:paraId="4A8A5F90"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128,476</w:t>
            </w:r>
          </w:p>
        </w:tc>
        <w:tc>
          <w:tcPr>
            <w:tcW w:w="1104" w:type="dxa"/>
            <w:hideMark/>
          </w:tcPr>
          <w:p w14:paraId="3980F965"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151,857</w:t>
            </w:r>
          </w:p>
        </w:tc>
        <w:tc>
          <w:tcPr>
            <w:tcW w:w="1165" w:type="dxa"/>
            <w:hideMark/>
          </w:tcPr>
          <w:p w14:paraId="23EC689E"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280,333</w:t>
            </w:r>
          </w:p>
        </w:tc>
      </w:tr>
      <w:tr w:rsidR="005911F5" w:rsidRPr="004A0C12" w14:paraId="6F2B4C25"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3407DFAB"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labor force:</w:t>
            </w:r>
          </w:p>
        </w:tc>
        <w:tc>
          <w:tcPr>
            <w:tcW w:w="1104" w:type="dxa"/>
            <w:hideMark/>
          </w:tcPr>
          <w:p w14:paraId="2D1C6B21"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56,381</w:t>
            </w:r>
          </w:p>
        </w:tc>
        <w:tc>
          <w:tcPr>
            <w:tcW w:w="1104" w:type="dxa"/>
            <w:hideMark/>
          </w:tcPr>
          <w:p w14:paraId="364699D2"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51,835</w:t>
            </w:r>
          </w:p>
        </w:tc>
        <w:tc>
          <w:tcPr>
            <w:tcW w:w="1165" w:type="dxa"/>
            <w:hideMark/>
          </w:tcPr>
          <w:p w14:paraId="4D87D60B"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108,216</w:t>
            </w:r>
          </w:p>
        </w:tc>
      </w:tr>
      <w:tr w:rsidR="005911F5" w:rsidRPr="004A0C12" w14:paraId="5D200158"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6B1513B6"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Employed</w:t>
            </w:r>
          </w:p>
        </w:tc>
        <w:tc>
          <w:tcPr>
            <w:tcW w:w="1104" w:type="dxa"/>
            <w:hideMark/>
          </w:tcPr>
          <w:p w14:paraId="22A21917"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54,216</w:t>
            </w:r>
          </w:p>
        </w:tc>
        <w:tc>
          <w:tcPr>
            <w:tcW w:w="1104" w:type="dxa"/>
            <w:hideMark/>
          </w:tcPr>
          <w:p w14:paraId="3FA95774"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49,815</w:t>
            </w:r>
          </w:p>
        </w:tc>
        <w:tc>
          <w:tcPr>
            <w:tcW w:w="1165" w:type="dxa"/>
            <w:hideMark/>
          </w:tcPr>
          <w:p w14:paraId="5E8CDDA6"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104,031</w:t>
            </w:r>
          </w:p>
        </w:tc>
      </w:tr>
      <w:tr w:rsidR="005911F5" w:rsidRPr="004A0C12" w14:paraId="54DDC481"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2FE07738"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Unemployed</w:t>
            </w:r>
          </w:p>
        </w:tc>
        <w:tc>
          <w:tcPr>
            <w:tcW w:w="1104" w:type="dxa"/>
            <w:hideMark/>
          </w:tcPr>
          <w:p w14:paraId="514A688C"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2,165</w:t>
            </w:r>
          </w:p>
        </w:tc>
        <w:tc>
          <w:tcPr>
            <w:tcW w:w="1104" w:type="dxa"/>
            <w:hideMark/>
          </w:tcPr>
          <w:p w14:paraId="2E99AE75"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2,020</w:t>
            </w:r>
          </w:p>
        </w:tc>
        <w:tc>
          <w:tcPr>
            <w:tcW w:w="1165" w:type="dxa"/>
            <w:hideMark/>
          </w:tcPr>
          <w:p w14:paraId="58C6920C"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4,185</w:t>
            </w:r>
          </w:p>
        </w:tc>
      </w:tr>
      <w:tr w:rsidR="005911F5" w:rsidRPr="004A0C12" w14:paraId="15E85BDE"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5AC86327"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104" w:type="dxa"/>
            <w:hideMark/>
          </w:tcPr>
          <w:p w14:paraId="5490A44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72,095</w:t>
            </w:r>
          </w:p>
        </w:tc>
        <w:tc>
          <w:tcPr>
            <w:tcW w:w="1104" w:type="dxa"/>
            <w:hideMark/>
          </w:tcPr>
          <w:p w14:paraId="4BFB6B8C"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100,022</w:t>
            </w:r>
          </w:p>
        </w:tc>
        <w:tc>
          <w:tcPr>
            <w:tcW w:w="1165" w:type="dxa"/>
            <w:hideMark/>
          </w:tcPr>
          <w:p w14:paraId="0759AA56"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172,117</w:t>
            </w:r>
          </w:p>
        </w:tc>
      </w:tr>
      <w:tr w:rsidR="005911F5" w:rsidRPr="004A0C12" w14:paraId="2C79F129"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0E191716"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70 to 74 years:</w:t>
            </w:r>
          </w:p>
        </w:tc>
        <w:tc>
          <w:tcPr>
            <w:tcW w:w="1104" w:type="dxa"/>
            <w:hideMark/>
          </w:tcPr>
          <w:p w14:paraId="73976CBF"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90,519</w:t>
            </w:r>
          </w:p>
        </w:tc>
        <w:tc>
          <w:tcPr>
            <w:tcW w:w="1104" w:type="dxa"/>
            <w:hideMark/>
          </w:tcPr>
          <w:p w14:paraId="1333DFB7"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108,165</w:t>
            </w:r>
          </w:p>
        </w:tc>
        <w:tc>
          <w:tcPr>
            <w:tcW w:w="1165" w:type="dxa"/>
            <w:hideMark/>
          </w:tcPr>
          <w:p w14:paraId="481A1A90"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198,684</w:t>
            </w:r>
          </w:p>
        </w:tc>
      </w:tr>
      <w:tr w:rsidR="005911F5" w:rsidRPr="004A0C12" w14:paraId="7EFC7105"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5D258C7B"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lastRenderedPageBreak/>
              <w:t xml:space="preserve">      In labor force:</w:t>
            </w:r>
          </w:p>
        </w:tc>
        <w:tc>
          <w:tcPr>
            <w:tcW w:w="1104" w:type="dxa"/>
            <w:hideMark/>
          </w:tcPr>
          <w:p w14:paraId="048B3BAE"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24,593</w:t>
            </w:r>
          </w:p>
        </w:tc>
        <w:tc>
          <w:tcPr>
            <w:tcW w:w="1104" w:type="dxa"/>
            <w:hideMark/>
          </w:tcPr>
          <w:p w14:paraId="6C7D3263"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18,072</w:t>
            </w:r>
          </w:p>
        </w:tc>
        <w:tc>
          <w:tcPr>
            <w:tcW w:w="1165" w:type="dxa"/>
            <w:hideMark/>
          </w:tcPr>
          <w:p w14:paraId="1A02F84D"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42,665</w:t>
            </w:r>
          </w:p>
        </w:tc>
      </w:tr>
      <w:tr w:rsidR="005911F5" w:rsidRPr="004A0C12" w14:paraId="1C7A5273"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3588BEDC"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Employed</w:t>
            </w:r>
          </w:p>
        </w:tc>
        <w:tc>
          <w:tcPr>
            <w:tcW w:w="1104" w:type="dxa"/>
            <w:hideMark/>
          </w:tcPr>
          <w:p w14:paraId="5A0EC314"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23,443</w:t>
            </w:r>
          </w:p>
        </w:tc>
        <w:tc>
          <w:tcPr>
            <w:tcW w:w="1104" w:type="dxa"/>
            <w:hideMark/>
          </w:tcPr>
          <w:p w14:paraId="035EC936"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17,401</w:t>
            </w:r>
          </w:p>
        </w:tc>
        <w:tc>
          <w:tcPr>
            <w:tcW w:w="1165" w:type="dxa"/>
            <w:hideMark/>
          </w:tcPr>
          <w:p w14:paraId="6659C227"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40,844</w:t>
            </w:r>
          </w:p>
        </w:tc>
      </w:tr>
      <w:tr w:rsidR="005911F5" w:rsidRPr="004A0C12" w14:paraId="73103DDC"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1BB9B80F"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Unemployed</w:t>
            </w:r>
          </w:p>
        </w:tc>
        <w:tc>
          <w:tcPr>
            <w:tcW w:w="1104" w:type="dxa"/>
            <w:hideMark/>
          </w:tcPr>
          <w:p w14:paraId="3ED6C65B"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1,150</w:t>
            </w:r>
          </w:p>
        </w:tc>
        <w:tc>
          <w:tcPr>
            <w:tcW w:w="1104" w:type="dxa"/>
            <w:hideMark/>
          </w:tcPr>
          <w:p w14:paraId="50845FA8"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671</w:t>
            </w:r>
          </w:p>
        </w:tc>
        <w:tc>
          <w:tcPr>
            <w:tcW w:w="1165" w:type="dxa"/>
            <w:hideMark/>
          </w:tcPr>
          <w:p w14:paraId="01569EA1"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1,821</w:t>
            </w:r>
          </w:p>
        </w:tc>
      </w:tr>
      <w:tr w:rsidR="005911F5" w:rsidRPr="004A0C12" w14:paraId="1B82D909"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512203AE"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104" w:type="dxa"/>
            <w:hideMark/>
          </w:tcPr>
          <w:p w14:paraId="20F3F8AA"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65,926</w:t>
            </w:r>
          </w:p>
        </w:tc>
        <w:tc>
          <w:tcPr>
            <w:tcW w:w="1104" w:type="dxa"/>
            <w:hideMark/>
          </w:tcPr>
          <w:p w14:paraId="4A974C0D"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90,093</w:t>
            </w:r>
          </w:p>
        </w:tc>
        <w:tc>
          <w:tcPr>
            <w:tcW w:w="1165" w:type="dxa"/>
            <w:hideMark/>
          </w:tcPr>
          <w:p w14:paraId="294D74B4"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156,019</w:t>
            </w:r>
          </w:p>
        </w:tc>
      </w:tr>
      <w:tr w:rsidR="005911F5" w:rsidRPr="004A0C12" w14:paraId="0F48D755"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05CCF83A"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75 years and over:</w:t>
            </w:r>
          </w:p>
        </w:tc>
        <w:tc>
          <w:tcPr>
            <w:tcW w:w="1104" w:type="dxa"/>
            <w:hideMark/>
          </w:tcPr>
          <w:p w14:paraId="235B8743"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134,548</w:t>
            </w:r>
          </w:p>
        </w:tc>
        <w:tc>
          <w:tcPr>
            <w:tcW w:w="1104" w:type="dxa"/>
            <w:hideMark/>
          </w:tcPr>
          <w:p w14:paraId="0960E60B"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208,606</w:t>
            </w:r>
          </w:p>
        </w:tc>
        <w:tc>
          <w:tcPr>
            <w:tcW w:w="1165" w:type="dxa"/>
            <w:hideMark/>
          </w:tcPr>
          <w:p w14:paraId="6565D92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343,154</w:t>
            </w:r>
          </w:p>
        </w:tc>
      </w:tr>
      <w:tr w:rsidR="005911F5" w:rsidRPr="004A0C12" w14:paraId="2683DF66"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78799EC2"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In labor force:</w:t>
            </w:r>
          </w:p>
        </w:tc>
        <w:tc>
          <w:tcPr>
            <w:tcW w:w="1104" w:type="dxa"/>
            <w:hideMark/>
          </w:tcPr>
          <w:p w14:paraId="6CCC723C"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13,738</w:t>
            </w:r>
          </w:p>
        </w:tc>
        <w:tc>
          <w:tcPr>
            <w:tcW w:w="1104" w:type="dxa"/>
            <w:hideMark/>
          </w:tcPr>
          <w:p w14:paraId="7A474814"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10,515</w:t>
            </w:r>
          </w:p>
        </w:tc>
        <w:tc>
          <w:tcPr>
            <w:tcW w:w="1165" w:type="dxa"/>
            <w:hideMark/>
          </w:tcPr>
          <w:p w14:paraId="1BA510D8"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24,253</w:t>
            </w:r>
          </w:p>
        </w:tc>
      </w:tr>
      <w:tr w:rsidR="005911F5" w:rsidRPr="004A0C12" w14:paraId="4648F73A"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2C1E16FC"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Employed</w:t>
            </w:r>
          </w:p>
        </w:tc>
        <w:tc>
          <w:tcPr>
            <w:tcW w:w="1104" w:type="dxa"/>
            <w:hideMark/>
          </w:tcPr>
          <w:p w14:paraId="19648D9A"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13,193</w:t>
            </w:r>
          </w:p>
        </w:tc>
        <w:tc>
          <w:tcPr>
            <w:tcW w:w="1104" w:type="dxa"/>
            <w:hideMark/>
          </w:tcPr>
          <w:p w14:paraId="41990E6F"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10,031</w:t>
            </w:r>
          </w:p>
        </w:tc>
        <w:tc>
          <w:tcPr>
            <w:tcW w:w="1165" w:type="dxa"/>
            <w:hideMark/>
          </w:tcPr>
          <w:p w14:paraId="27CB88B9"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23,224</w:t>
            </w:r>
          </w:p>
        </w:tc>
      </w:tr>
      <w:tr w:rsidR="005911F5" w:rsidRPr="004A0C12" w14:paraId="25A18E8A" w14:textId="77777777" w:rsidTr="00F83A3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784133A0"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Unemployed</w:t>
            </w:r>
          </w:p>
        </w:tc>
        <w:tc>
          <w:tcPr>
            <w:tcW w:w="1104" w:type="dxa"/>
            <w:hideMark/>
          </w:tcPr>
          <w:p w14:paraId="78666CDE"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545</w:t>
            </w:r>
          </w:p>
        </w:tc>
        <w:tc>
          <w:tcPr>
            <w:tcW w:w="1104" w:type="dxa"/>
            <w:hideMark/>
          </w:tcPr>
          <w:p w14:paraId="0C6B88A6"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484</w:t>
            </w:r>
          </w:p>
        </w:tc>
        <w:tc>
          <w:tcPr>
            <w:tcW w:w="1165" w:type="dxa"/>
            <w:hideMark/>
          </w:tcPr>
          <w:p w14:paraId="1465EF7F" w14:textId="77777777" w:rsidR="005911F5" w:rsidRPr="004A0C12" w:rsidRDefault="005911F5" w:rsidP="00057B5A">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1,029</w:t>
            </w:r>
          </w:p>
        </w:tc>
      </w:tr>
      <w:tr w:rsidR="005911F5" w:rsidRPr="004A0C12" w14:paraId="5BF80572" w14:textId="77777777" w:rsidTr="00F83A39">
        <w:trPr>
          <w:trHeight w:val="20"/>
          <w:jc w:val="center"/>
        </w:trPr>
        <w:tc>
          <w:tcPr>
            <w:cnfStyle w:val="001000000000" w:firstRow="0" w:lastRow="0" w:firstColumn="1" w:lastColumn="0" w:oddVBand="0" w:evenVBand="0" w:oddHBand="0" w:evenHBand="0" w:firstRowFirstColumn="0" w:firstRowLastColumn="0" w:lastRowFirstColumn="0" w:lastRowLastColumn="0"/>
            <w:tcW w:w="2536" w:type="dxa"/>
            <w:hideMark/>
          </w:tcPr>
          <w:p w14:paraId="41E60ED6" w14:textId="77777777" w:rsidR="005911F5" w:rsidRPr="004A0C12" w:rsidRDefault="005911F5" w:rsidP="00057B5A">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104" w:type="dxa"/>
            <w:hideMark/>
          </w:tcPr>
          <w:p w14:paraId="31D40541"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120,810</w:t>
            </w:r>
          </w:p>
        </w:tc>
        <w:tc>
          <w:tcPr>
            <w:tcW w:w="1104" w:type="dxa"/>
            <w:hideMark/>
          </w:tcPr>
          <w:p w14:paraId="2DDA5C77" w14:textId="77777777" w:rsidR="005911F5" w:rsidRPr="004A0C12" w:rsidRDefault="005911F5" w:rsidP="00057B5A">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198,091</w:t>
            </w:r>
          </w:p>
        </w:tc>
        <w:tc>
          <w:tcPr>
            <w:tcW w:w="1165" w:type="dxa"/>
            <w:hideMark/>
          </w:tcPr>
          <w:p w14:paraId="2D1A1082" w14:textId="77777777" w:rsidR="005911F5" w:rsidRPr="004A0C12" w:rsidRDefault="005911F5" w:rsidP="00057B5A">
            <w:pPr>
              <w:keepNex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318,901</w:t>
            </w:r>
          </w:p>
        </w:tc>
      </w:tr>
    </w:tbl>
    <w:p w14:paraId="54F5C56C" w14:textId="77777777" w:rsidR="005911F5" w:rsidRPr="004A0C12" w:rsidRDefault="005911F5" w:rsidP="00057B5A">
      <w:pPr>
        <w:pStyle w:val="Caption"/>
        <w:spacing w:after="0"/>
        <w:rPr>
          <w:rFonts w:ascii="Garamond" w:hAnsi="Garamond"/>
          <w:sz w:val="22"/>
          <w:szCs w:val="22"/>
        </w:rPr>
      </w:pPr>
      <w:r w:rsidRPr="004A0C12">
        <w:rPr>
          <w:rFonts w:ascii="Garamond" w:hAnsi="Garamond"/>
          <w:sz w:val="22"/>
          <w:szCs w:val="22"/>
        </w:rPr>
        <w:t>Table 8: Employment Status by Age; Source: Census, 2015</w:t>
      </w:r>
    </w:p>
    <w:p w14:paraId="73A3A65C" w14:textId="77777777" w:rsidR="001A1E04" w:rsidRPr="004A0C12" w:rsidRDefault="001A1E04" w:rsidP="00057B5A">
      <w:pPr>
        <w:spacing w:after="0" w:line="240" w:lineRule="auto"/>
        <w:jc w:val="both"/>
        <w:rPr>
          <w:rFonts w:ascii="Garamond" w:hAnsi="Garamond"/>
        </w:rPr>
      </w:pPr>
    </w:p>
    <w:p w14:paraId="6832075D" w14:textId="0CEAA535" w:rsidR="00057B5A" w:rsidRPr="004A0C12" w:rsidRDefault="00057B5A" w:rsidP="001A1E04">
      <w:pPr>
        <w:spacing w:after="0" w:line="240" w:lineRule="auto"/>
        <w:jc w:val="both"/>
        <w:rPr>
          <w:rFonts w:ascii="Garamond" w:hAnsi="Garamond"/>
        </w:rPr>
      </w:pPr>
      <w:r w:rsidRPr="004A0C12">
        <w:rPr>
          <w:rFonts w:ascii="Garamond" w:hAnsi="Garamond"/>
        </w:rPr>
        <w:t>In Maryland, veterans experience a lower unemployment rate than is experienced by Marylanders who are nonveterans according to the 2014 ACS data (See Table 9)</w:t>
      </w:r>
      <w:r w:rsidR="003D4100" w:rsidRPr="004A0C12">
        <w:rPr>
          <w:rFonts w:ascii="Garamond" w:hAnsi="Garamond"/>
          <w:noProof/>
        </w:rPr>
        <w:t>.</w:t>
      </w:r>
      <w:r w:rsidR="003D4100" w:rsidRPr="004A0C12">
        <w:rPr>
          <w:rStyle w:val="FootnoteReference"/>
          <w:rFonts w:ascii="Garamond" w:hAnsi="Garamond"/>
          <w:noProof/>
        </w:rPr>
        <w:footnoteReference w:id="34"/>
      </w:r>
    </w:p>
    <w:p w14:paraId="62516302" w14:textId="77777777" w:rsidR="005911F5" w:rsidRPr="004A0C12" w:rsidRDefault="005911F5" w:rsidP="001A1E04">
      <w:pPr>
        <w:spacing w:after="0" w:line="240" w:lineRule="auto"/>
        <w:rPr>
          <w:rFonts w:ascii="Garamond" w:hAnsi="Garamond"/>
        </w:rPr>
      </w:pPr>
    </w:p>
    <w:tbl>
      <w:tblPr>
        <w:tblStyle w:val="PlainTable11"/>
        <w:tblW w:w="0" w:type="auto"/>
        <w:jc w:val="center"/>
        <w:tblLook w:val="04A0" w:firstRow="1" w:lastRow="0" w:firstColumn="1" w:lastColumn="0" w:noHBand="0" w:noVBand="1"/>
        <w:tblCaption w:val="Employment Status for Veterans and Nonveterans (Census 2015)"/>
        <w:tblDescription w:val="Using Census 2015 data, this chart shows the employment status of Veterans and Non-Veterans in Maryland."/>
      </w:tblPr>
      <w:tblGrid>
        <w:gridCol w:w="700"/>
        <w:gridCol w:w="2820"/>
        <w:gridCol w:w="2091"/>
        <w:gridCol w:w="1039"/>
      </w:tblGrid>
      <w:tr w:rsidR="001A1E04" w:rsidRPr="004A0C12" w14:paraId="04FD09A9" w14:textId="77777777" w:rsidTr="00847A0D">
        <w:trPr>
          <w:cnfStyle w:val="100000000000" w:firstRow="1" w:lastRow="0" w:firstColumn="0" w:lastColumn="0" w:oddVBand="0" w:evenVBand="0" w:oddHBand="0" w:evenHBand="0" w:firstRowFirstColumn="0" w:firstRowLastColumn="0" w:lastRowFirstColumn="0" w:lastRowLastColumn="0"/>
          <w:trHeight w:val="240"/>
          <w:tblHeader/>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675036F7"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w:t>
            </w:r>
          </w:p>
        </w:tc>
        <w:tc>
          <w:tcPr>
            <w:tcW w:w="1039" w:type="dxa"/>
            <w:hideMark/>
          </w:tcPr>
          <w:p w14:paraId="0B598982" w14:textId="77777777" w:rsidR="001A1E04" w:rsidRPr="004A0C12" w:rsidRDefault="001A1E04" w:rsidP="001A1E04">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2"/>
                <w:szCs w:val="22"/>
              </w:rPr>
            </w:pPr>
            <w:r w:rsidRPr="004A0C12">
              <w:rPr>
                <w:rFonts w:ascii="Garamond" w:hAnsi="Garamond"/>
                <w:b w:val="0"/>
                <w:bCs w:val="0"/>
                <w:sz w:val="22"/>
                <w:szCs w:val="22"/>
              </w:rPr>
              <w:t>Maryland</w:t>
            </w:r>
          </w:p>
        </w:tc>
      </w:tr>
      <w:tr w:rsidR="001A1E04" w:rsidRPr="004A0C12" w14:paraId="50712A03"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700" w:type="dxa"/>
            <w:hideMark/>
          </w:tcPr>
          <w:p w14:paraId="7A684C2B"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w:t>
            </w:r>
          </w:p>
        </w:tc>
        <w:tc>
          <w:tcPr>
            <w:tcW w:w="2820" w:type="dxa"/>
            <w:hideMark/>
          </w:tcPr>
          <w:p w14:paraId="0E3EFB2B"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w:t>
            </w:r>
          </w:p>
        </w:tc>
        <w:tc>
          <w:tcPr>
            <w:tcW w:w="2091" w:type="dxa"/>
            <w:hideMark/>
          </w:tcPr>
          <w:p w14:paraId="213669AE"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w:t>
            </w:r>
          </w:p>
        </w:tc>
        <w:tc>
          <w:tcPr>
            <w:tcW w:w="1039" w:type="dxa"/>
            <w:hideMark/>
          </w:tcPr>
          <w:p w14:paraId="3F80EF82"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Estimate</w:t>
            </w:r>
          </w:p>
        </w:tc>
      </w:tr>
      <w:tr w:rsidR="001A1E04" w:rsidRPr="004A0C12" w14:paraId="77737133"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2065A27D"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Total:</w:t>
            </w:r>
          </w:p>
        </w:tc>
        <w:tc>
          <w:tcPr>
            <w:tcW w:w="1039" w:type="dxa"/>
            <w:hideMark/>
          </w:tcPr>
          <w:p w14:paraId="76175060"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3,778,919</w:t>
            </w:r>
          </w:p>
        </w:tc>
      </w:tr>
      <w:tr w:rsidR="001A1E04" w:rsidRPr="004A0C12" w14:paraId="30EDF993"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22CABB53"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Veteran:</w:t>
            </w:r>
          </w:p>
        </w:tc>
        <w:tc>
          <w:tcPr>
            <w:tcW w:w="1039" w:type="dxa"/>
            <w:hideMark/>
          </w:tcPr>
          <w:p w14:paraId="56811420"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224,299</w:t>
            </w:r>
          </w:p>
        </w:tc>
      </w:tr>
      <w:tr w:rsidR="001A1E04" w:rsidRPr="004A0C12" w14:paraId="6F641E84"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348C5019"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In labor force:</w:t>
            </w:r>
          </w:p>
        </w:tc>
        <w:tc>
          <w:tcPr>
            <w:tcW w:w="1039" w:type="dxa"/>
            <w:hideMark/>
          </w:tcPr>
          <w:p w14:paraId="05E9A4CE"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185,203</w:t>
            </w:r>
          </w:p>
        </w:tc>
      </w:tr>
      <w:tr w:rsidR="001A1E04" w:rsidRPr="004A0C12" w14:paraId="3E05A5E4"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6EF3AA2F"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Employed</w:t>
            </w:r>
          </w:p>
        </w:tc>
        <w:tc>
          <w:tcPr>
            <w:tcW w:w="1039" w:type="dxa"/>
            <w:hideMark/>
          </w:tcPr>
          <w:p w14:paraId="14D4AD36"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176,677</w:t>
            </w:r>
          </w:p>
        </w:tc>
      </w:tr>
      <w:tr w:rsidR="001A1E04" w:rsidRPr="004A0C12" w14:paraId="236BB503"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79B9FB49"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Unemployed</w:t>
            </w:r>
          </w:p>
        </w:tc>
        <w:tc>
          <w:tcPr>
            <w:tcW w:w="1039" w:type="dxa"/>
            <w:hideMark/>
          </w:tcPr>
          <w:p w14:paraId="6EEA0917"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8,526</w:t>
            </w:r>
          </w:p>
        </w:tc>
      </w:tr>
      <w:tr w:rsidR="001A1E04" w:rsidRPr="004A0C12" w14:paraId="2BB04C64"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760BFF17"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039" w:type="dxa"/>
            <w:hideMark/>
          </w:tcPr>
          <w:p w14:paraId="45460EBD"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39,096</w:t>
            </w:r>
          </w:p>
        </w:tc>
      </w:tr>
      <w:tr w:rsidR="001A1E04" w:rsidRPr="004A0C12" w14:paraId="676BE2DD"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256F691A"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Nonveteran:</w:t>
            </w:r>
          </w:p>
        </w:tc>
        <w:tc>
          <w:tcPr>
            <w:tcW w:w="1039" w:type="dxa"/>
            <w:hideMark/>
          </w:tcPr>
          <w:p w14:paraId="3E1FDCF1"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3,554,620</w:t>
            </w:r>
          </w:p>
        </w:tc>
      </w:tr>
      <w:tr w:rsidR="001A1E04" w:rsidRPr="004A0C12" w14:paraId="29449B23"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30EB25E8"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In labor force:</w:t>
            </w:r>
          </w:p>
        </w:tc>
        <w:tc>
          <w:tcPr>
            <w:tcW w:w="1039" w:type="dxa"/>
            <w:hideMark/>
          </w:tcPr>
          <w:p w14:paraId="481A0528"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2,830,422</w:t>
            </w:r>
          </w:p>
        </w:tc>
      </w:tr>
      <w:tr w:rsidR="001A1E04" w:rsidRPr="004A0C12" w14:paraId="63803BEE"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48004BC1"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Employed</w:t>
            </w:r>
          </w:p>
        </w:tc>
        <w:tc>
          <w:tcPr>
            <w:tcW w:w="1039" w:type="dxa"/>
            <w:hideMark/>
          </w:tcPr>
          <w:p w14:paraId="4E67143D"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2,623,424</w:t>
            </w:r>
          </w:p>
        </w:tc>
      </w:tr>
      <w:tr w:rsidR="001A1E04" w:rsidRPr="004A0C12" w14:paraId="5619252D"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4987F626"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Unemployed</w:t>
            </w:r>
          </w:p>
        </w:tc>
        <w:tc>
          <w:tcPr>
            <w:tcW w:w="1039" w:type="dxa"/>
            <w:hideMark/>
          </w:tcPr>
          <w:p w14:paraId="7FFADDBA"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206,998</w:t>
            </w:r>
          </w:p>
        </w:tc>
      </w:tr>
      <w:tr w:rsidR="001A1E04" w:rsidRPr="004A0C12" w14:paraId="5FAF17A0"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611" w:type="dxa"/>
            <w:gridSpan w:val="3"/>
            <w:hideMark/>
          </w:tcPr>
          <w:p w14:paraId="1DB40BE3"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1039" w:type="dxa"/>
            <w:hideMark/>
          </w:tcPr>
          <w:p w14:paraId="1F38C375" w14:textId="77777777" w:rsidR="001A1E04" w:rsidRPr="004A0C12" w:rsidRDefault="001A1E04" w:rsidP="001A1E04">
            <w:pPr>
              <w:keepNex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724,198</w:t>
            </w:r>
          </w:p>
        </w:tc>
      </w:tr>
    </w:tbl>
    <w:p w14:paraId="7CA0682A" w14:textId="37F6CC37" w:rsidR="001A1E04" w:rsidRPr="004A0C12" w:rsidRDefault="001A1E04" w:rsidP="003D4100">
      <w:pPr>
        <w:pStyle w:val="Caption"/>
        <w:spacing w:after="0"/>
        <w:rPr>
          <w:rFonts w:ascii="Garamond" w:hAnsi="Garamond"/>
          <w:sz w:val="22"/>
          <w:szCs w:val="22"/>
        </w:rPr>
      </w:pPr>
      <w:r w:rsidRPr="004A0C12">
        <w:rPr>
          <w:rFonts w:ascii="Garamond" w:hAnsi="Garamond"/>
          <w:sz w:val="22"/>
          <w:szCs w:val="22"/>
        </w:rPr>
        <w:t>Table 9: Employment Status for Veterans and Nonveterans; Source: Census, 2015</w:t>
      </w:r>
    </w:p>
    <w:p w14:paraId="1EC7CBEA" w14:textId="77777777" w:rsidR="00B60621" w:rsidRDefault="00B60621" w:rsidP="001A1E04">
      <w:pPr>
        <w:spacing w:after="0" w:line="240" w:lineRule="auto"/>
        <w:jc w:val="both"/>
        <w:rPr>
          <w:rFonts w:ascii="Garamond" w:hAnsi="Garamond"/>
        </w:rPr>
      </w:pPr>
    </w:p>
    <w:p w14:paraId="30C91F13" w14:textId="50478326" w:rsidR="001A1E04" w:rsidRPr="004A0C12" w:rsidRDefault="001A1E04" w:rsidP="001A1E04">
      <w:pPr>
        <w:spacing w:after="0" w:line="240" w:lineRule="auto"/>
        <w:jc w:val="both"/>
        <w:rPr>
          <w:rFonts w:ascii="Garamond" w:hAnsi="Garamond"/>
        </w:rPr>
      </w:pPr>
      <w:r w:rsidRPr="004A0C12">
        <w:rPr>
          <w:rFonts w:ascii="Garamond" w:hAnsi="Garamond"/>
        </w:rPr>
        <w:t>Lastly, for those Marylanders with income below the poverty level the unemployment rate is much higher than those with income levels at or above the poverty level (See Table 10)</w:t>
      </w:r>
      <w:r w:rsidR="003D4100" w:rsidRPr="004A0C12">
        <w:rPr>
          <w:rFonts w:ascii="Garamond" w:hAnsi="Garamond"/>
        </w:rPr>
        <w:t>.</w:t>
      </w:r>
      <w:r w:rsidR="003D4100" w:rsidRPr="004A0C12">
        <w:rPr>
          <w:rStyle w:val="FootnoteReference"/>
          <w:rFonts w:ascii="Garamond" w:hAnsi="Garamond"/>
        </w:rPr>
        <w:footnoteReference w:id="35"/>
      </w:r>
    </w:p>
    <w:p w14:paraId="2EB9F3A5" w14:textId="77777777" w:rsidR="001A1E04" w:rsidRPr="004A0C12" w:rsidRDefault="001A1E04" w:rsidP="001A1E04">
      <w:pPr>
        <w:spacing w:after="0" w:line="240" w:lineRule="auto"/>
        <w:rPr>
          <w:rFonts w:ascii="Garamond" w:hAnsi="Garamond"/>
        </w:rPr>
      </w:pPr>
    </w:p>
    <w:tbl>
      <w:tblPr>
        <w:tblStyle w:val="PlainTable11"/>
        <w:tblW w:w="0" w:type="auto"/>
        <w:jc w:val="center"/>
        <w:tblLook w:val="04A0" w:firstRow="1" w:lastRow="0" w:firstColumn="1" w:lastColumn="0" w:noHBand="0" w:noVBand="1"/>
        <w:tblCaption w:val="Poverty and Employment Status (Census 2015)"/>
        <w:tblDescription w:val="This table shows Maryland workers by poverty and employment status. "/>
      </w:tblPr>
      <w:tblGrid>
        <w:gridCol w:w="700"/>
        <w:gridCol w:w="2820"/>
        <w:gridCol w:w="2068"/>
        <w:gridCol w:w="1035"/>
      </w:tblGrid>
      <w:tr w:rsidR="001A1E04" w:rsidRPr="004A0C12" w14:paraId="09F0AC87" w14:textId="77777777" w:rsidTr="00847A0D">
        <w:trPr>
          <w:cnfStyle w:val="100000000000" w:firstRow="1" w:lastRow="0" w:firstColumn="0" w:lastColumn="0" w:oddVBand="0" w:evenVBand="0" w:oddHBand="0" w:evenHBand="0" w:firstRowFirstColumn="0" w:firstRowLastColumn="0" w:lastRowFirstColumn="0" w:lastRowLastColumn="0"/>
          <w:trHeight w:val="240"/>
          <w:tblHeader/>
          <w:jc w:val="center"/>
        </w:trPr>
        <w:tc>
          <w:tcPr>
            <w:cnfStyle w:val="001000000000" w:firstRow="0" w:lastRow="0" w:firstColumn="1" w:lastColumn="0" w:oddVBand="0" w:evenVBand="0" w:oddHBand="0" w:evenHBand="0" w:firstRowFirstColumn="0" w:firstRowLastColumn="0" w:lastRowFirstColumn="0" w:lastRowLastColumn="0"/>
            <w:tcW w:w="700" w:type="dxa"/>
            <w:hideMark/>
          </w:tcPr>
          <w:p w14:paraId="2EC4CF51"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w:t>
            </w:r>
          </w:p>
        </w:tc>
        <w:tc>
          <w:tcPr>
            <w:tcW w:w="2820" w:type="dxa"/>
            <w:hideMark/>
          </w:tcPr>
          <w:p w14:paraId="4F52301D" w14:textId="77777777" w:rsidR="001A1E04" w:rsidRPr="004A0C12" w:rsidRDefault="001A1E04" w:rsidP="001A1E04">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2"/>
                <w:szCs w:val="22"/>
              </w:rPr>
            </w:pPr>
            <w:r w:rsidRPr="004A0C12">
              <w:rPr>
                <w:rFonts w:ascii="Garamond" w:hAnsi="Garamond"/>
                <w:b w:val="0"/>
                <w:bCs w:val="0"/>
                <w:sz w:val="22"/>
                <w:szCs w:val="22"/>
              </w:rPr>
              <w:t> </w:t>
            </w:r>
          </w:p>
        </w:tc>
        <w:tc>
          <w:tcPr>
            <w:tcW w:w="2068" w:type="dxa"/>
            <w:hideMark/>
          </w:tcPr>
          <w:p w14:paraId="1F0CB2A3" w14:textId="77777777" w:rsidR="001A1E04" w:rsidRPr="004A0C12" w:rsidRDefault="001A1E04" w:rsidP="001A1E04">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2"/>
                <w:szCs w:val="22"/>
              </w:rPr>
            </w:pPr>
            <w:r w:rsidRPr="004A0C12">
              <w:rPr>
                <w:rFonts w:ascii="Garamond" w:hAnsi="Garamond"/>
                <w:b w:val="0"/>
                <w:bCs w:val="0"/>
                <w:sz w:val="22"/>
                <w:szCs w:val="22"/>
              </w:rPr>
              <w:t> </w:t>
            </w:r>
          </w:p>
        </w:tc>
        <w:tc>
          <w:tcPr>
            <w:tcW w:w="655" w:type="dxa"/>
            <w:hideMark/>
          </w:tcPr>
          <w:p w14:paraId="452DD27C" w14:textId="77777777" w:rsidR="001A1E04" w:rsidRPr="004A0C12" w:rsidRDefault="001A1E04" w:rsidP="001A1E04">
            <w:pPr>
              <w:cnfStyle w:val="100000000000" w:firstRow="1" w:lastRow="0" w:firstColumn="0" w:lastColumn="0" w:oddVBand="0" w:evenVBand="0" w:oddHBand="0" w:evenHBand="0" w:firstRowFirstColumn="0" w:firstRowLastColumn="0" w:lastRowFirstColumn="0" w:lastRowLastColumn="0"/>
              <w:rPr>
                <w:rFonts w:ascii="Garamond" w:hAnsi="Garamond"/>
                <w:b w:val="0"/>
                <w:bCs w:val="0"/>
                <w:sz w:val="22"/>
                <w:szCs w:val="22"/>
              </w:rPr>
            </w:pPr>
            <w:r w:rsidRPr="004A0C12">
              <w:rPr>
                <w:rFonts w:ascii="Garamond" w:hAnsi="Garamond"/>
                <w:b w:val="0"/>
                <w:bCs w:val="0"/>
                <w:sz w:val="22"/>
                <w:szCs w:val="22"/>
              </w:rPr>
              <w:t xml:space="preserve">Maryland </w:t>
            </w:r>
          </w:p>
        </w:tc>
      </w:tr>
      <w:tr w:rsidR="001A1E04" w:rsidRPr="004A0C12" w14:paraId="7F3B7E93"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71176379"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Total:</w:t>
            </w:r>
          </w:p>
        </w:tc>
        <w:tc>
          <w:tcPr>
            <w:tcW w:w="655" w:type="dxa"/>
            <w:hideMark/>
          </w:tcPr>
          <w:p w14:paraId="29500E26"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4,634,898</w:t>
            </w:r>
          </w:p>
        </w:tc>
      </w:tr>
      <w:tr w:rsidR="001A1E04" w:rsidRPr="004A0C12" w14:paraId="58226CAB"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2873C524"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Income in the past 12 months below poverty level:</w:t>
            </w:r>
          </w:p>
        </w:tc>
        <w:tc>
          <w:tcPr>
            <w:tcW w:w="655" w:type="dxa"/>
            <w:hideMark/>
          </w:tcPr>
          <w:p w14:paraId="7C5EB3BE"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435,201</w:t>
            </w:r>
          </w:p>
        </w:tc>
      </w:tr>
      <w:tr w:rsidR="001A1E04" w:rsidRPr="004A0C12" w14:paraId="6A941B97"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3BAFC4A6"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Male:</w:t>
            </w:r>
          </w:p>
        </w:tc>
        <w:tc>
          <w:tcPr>
            <w:tcW w:w="655" w:type="dxa"/>
            <w:hideMark/>
          </w:tcPr>
          <w:p w14:paraId="6117D6B1"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181,690</w:t>
            </w:r>
          </w:p>
        </w:tc>
      </w:tr>
      <w:tr w:rsidR="001A1E04" w:rsidRPr="004A0C12" w14:paraId="3A274B69"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4EF36125"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In labor force:</w:t>
            </w:r>
          </w:p>
        </w:tc>
        <w:tc>
          <w:tcPr>
            <w:tcW w:w="655" w:type="dxa"/>
            <w:hideMark/>
          </w:tcPr>
          <w:p w14:paraId="69E2BADB"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87,449</w:t>
            </w:r>
          </w:p>
        </w:tc>
      </w:tr>
      <w:tr w:rsidR="001A1E04" w:rsidRPr="004A0C12" w14:paraId="6CB9B482"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1084CB8C"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Employed</w:t>
            </w:r>
          </w:p>
        </w:tc>
        <w:tc>
          <w:tcPr>
            <w:tcW w:w="655" w:type="dxa"/>
            <w:hideMark/>
          </w:tcPr>
          <w:p w14:paraId="51816983"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60,277</w:t>
            </w:r>
          </w:p>
        </w:tc>
      </w:tr>
      <w:tr w:rsidR="001A1E04" w:rsidRPr="004A0C12" w14:paraId="51B703D5"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2B4ECAFA"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Unemployed</w:t>
            </w:r>
          </w:p>
        </w:tc>
        <w:tc>
          <w:tcPr>
            <w:tcW w:w="655" w:type="dxa"/>
            <w:hideMark/>
          </w:tcPr>
          <w:p w14:paraId="08CD9418"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27,172</w:t>
            </w:r>
          </w:p>
        </w:tc>
      </w:tr>
      <w:tr w:rsidR="001A1E04" w:rsidRPr="004A0C12" w14:paraId="046DEB20"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751AD52C"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655" w:type="dxa"/>
            <w:hideMark/>
          </w:tcPr>
          <w:p w14:paraId="2170EE2D"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94,241</w:t>
            </w:r>
          </w:p>
        </w:tc>
      </w:tr>
      <w:tr w:rsidR="001A1E04" w:rsidRPr="004A0C12" w14:paraId="517663A4"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07E1D5A3"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Female:</w:t>
            </w:r>
          </w:p>
        </w:tc>
        <w:tc>
          <w:tcPr>
            <w:tcW w:w="655" w:type="dxa"/>
            <w:hideMark/>
          </w:tcPr>
          <w:p w14:paraId="7DCD8BBA"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253,511</w:t>
            </w:r>
          </w:p>
        </w:tc>
      </w:tr>
      <w:tr w:rsidR="001A1E04" w:rsidRPr="004A0C12" w14:paraId="231A22A6"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45D97B32"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In labor force:</w:t>
            </w:r>
          </w:p>
        </w:tc>
        <w:tc>
          <w:tcPr>
            <w:tcW w:w="655" w:type="dxa"/>
            <w:hideMark/>
          </w:tcPr>
          <w:p w14:paraId="4358073A"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105,472</w:t>
            </w:r>
          </w:p>
        </w:tc>
      </w:tr>
      <w:tr w:rsidR="001A1E04" w:rsidRPr="004A0C12" w14:paraId="1285F3A0"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3CB00755"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Employed</w:t>
            </w:r>
          </w:p>
        </w:tc>
        <w:tc>
          <w:tcPr>
            <w:tcW w:w="655" w:type="dxa"/>
            <w:hideMark/>
          </w:tcPr>
          <w:p w14:paraId="4816173A"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73,425</w:t>
            </w:r>
          </w:p>
        </w:tc>
      </w:tr>
      <w:tr w:rsidR="001A1E04" w:rsidRPr="004A0C12" w14:paraId="15011643"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37DFF5A7"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Unemployed</w:t>
            </w:r>
          </w:p>
        </w:tc>
        <w:tc>
          <w:tcPr>
            <w:tcW w:w="655" w:type="dxa"/>
            <w:hideMark/>
          </w:tcPr>
          <w:p w14:paraId="25DFC7CF"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32,047</w:t>
            </w:r>
          </w:p>
        </w:tc>
      </w:tr>
      <w:tr w:rsidR="001A1E04" w:rsidRPr="004A0C12" w14:paraId="5F962843"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65BFB572"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655" w:type="dxa"/>
            <w:hideMark/>
          </w:tcPr>
          <w:p w14:paraId="06A0BD98"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148,039</w:t>
            </w:r>
          </w:p>
        </w:tc>
      </w:tr>
      <w:tr w:rsidR="001A1E04" w:rsidRPr="004A0C12" w14:paraId="0CE41A73"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1E938D73"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lastRenderedPageBreak/>
              <w:t xml:space="preserve">  Income in the past 12 months at or above poverty level:</w:t>
            </w:r>
          </w:p>
        </w:tc>
        <w:tc>
          <w:tcPr>
            <w:tcW w:w="655" w:type="dxa"/>
            <w:hideMark/>
          </w:tcPr>
          <w:p w14:paraId="1DA638F7"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4,199,697</w:t>
            </w:r>
          </w:p>
        </w:tc>
      </w:tr>
      <w:tr w:rsidR="001A1E04" w:rsidRPr="004A0C12" w14:paraId="35E8EE0D"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25D76287"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Male:</w:t>
            </w:r>
          </w:p>
        </w:tc>
        <w:tc>
          <w:tcPr>
            <w:tcW w:w="655" w:type="dxa"/>
            <w:hideMark/>
          </w:tcPr>
          <w:p w14:paraId="52EBAA16"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2,013,033</w:t>
            </w:r>
          </w:p>
        </w:tc>
      </w:tr>
      <w:tr w:rsidR="001A1E04" w:rsidRPr="004A0C12" w14:paraId="7B252B96"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44013D51"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In labor force:</w:t>
            </w:r>
          </w:p>
        </w:tc>
        <w:tc>
          <w:tcPr>
            <w:tcW w:w="655" w:type="dxa"/>
            <w:hideMark/>
          </w:tcPr>
          <w:p w14:paraId="7E9A2909"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1,542,596</w:t>
            </w:r>
          </w:p>
        </w:tc>
      </w:tr>
      <w:tr w:rsidR="001A1E04" w:rsidRPr="004A0C12" w14:paraId="2F9B52A1"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5C061A4B"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Employed</w:t>
            </w:r>
          </w:p>
        </w:tc>
        <w:tc>
          <w:tcPr>
            <w:tcW w:w="655" w:type="dxa"/>
            <w:hideMark/>
          </w:tcPr>
          <w:p w14:paraId="712B9260"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1,450,605</w:t>
            </w:r>
          </w:p>
        </w:tc>
      </w:tr>
      <w:tr w:rsidR="001A1E04" w:rsidRPr="004A0C12" w14:paraId="593C3958"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74BDB7BD"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Unemployed</w:t>
            </w:r>
          </w:p>
        </w:tc>
        <w:tc>
          <w:tcPr>
            <w:tcW w:w="655" w:type="dxa"/>
            <w:hideMark/>
          </w:tcPr>
          <w:p w14:paraId="2D3EB1EA"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91,991</w:t>
            </w:r>
          </w:p>
        </w:tc>
      </w:tr>
      <w:tr w:rsidR="001A1E04" w:rsidRPr="004A0C12" w14:paraId="15CD1EF9"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7670CEEA"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655" w:type="dxa"/>
            <w:hideMark/>
          </w:tcPr>
          <w:p w14:paraId="60BEE110"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470,437</w:t>
            </w:r>
          </w:p>
        </w:tc>
      </w:tr>
      <w:tr w:rsidR="001A1E04" w:rsidRPr="004A0C12" w14:paraId="60BD1FCD"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7929E91B"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Female:</w:t>
            </w:r>
          </w:p>
        </w:tc>
        <w:tc>
          <w:tcPr>
            <w:tcW w:w="655" w:type="dxa"/>
            <w:hideMark/>
          </w:tcPr>
          <w:p w14:paraId="57E0A8EB"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2,186,664</w:t>
            </w:r>
          </w:p>
        </w:tc>
      </w:tr>
      <w:tr w:rsidR="001A1E04" w:rsidRPr="004A0C12" w14:paraId="674E7B7F"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5279F2E8"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In labor force:</w:t>
            </w:r>
          </w:p>
        </w:tc>
        <w:tc>
          <w:tcPr>
            <w:tcW w:w="655" w:type="dxa"/>
            <w:hideMark/>
          </w:tcPr>
          <w:p w14:paraId="2B689CA7"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1,477,747</w:t>
            </w:r>
          </w:p>
        </w:tc>
      </w:tr>
      <w:tr w:rsidR="001A1E04" w:rsidRPr="004A0C12" w14:paraId="32F66C1D"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48E4A641"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Employed</w:t>
            </w:r>
          </w:p>
        </w:tc>
        <w:tc>
          <w:tcPr>
            <w:tcW w:w="655" w:type="dxa"/>
            <w:hideMark/>
          </w:tcPr>
          <w:p w14:paraId="06CAF3C4" w14:textId="77777777" w:rsidR="001A1E04" w:rsidRPr="004A0C12" w:rsidRDefault="001A1E04" w:rsidP="001A1E04">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1,398,906</w:t>
            </w:r>
          </w:p>
        </w:tc>
      </w:tr>
      <w:tr w:rsidR="001A1E04" w:rsidRPr="004A0C12" w14:paraId="08CBFDE2" w14:textId="77777777" w:rsidTr="00F83A39">
        <w:trPr>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329E5A12"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Unemployed</w:t>
            </w:r>
          </w:p>
        </w:tc>
        <w:tc>
          <w:tcPr>
            <w:tcW w:w="655" w:type="dxa"/>
            <w:hideMark/>
          </w:tcPr>
          <w:p w14:paraId="7FF22D97" w14:textId="77777777" w:rsidR="001A1E04" w:rsidRPr="004A0C12" w:rsidRDefault="001A1E04" w:rsidP="001A1E04">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78,841</w:t>
            </w:r>
          </w:p>
        </w:tc>
      </w:tr>
      <w:tr w:rsidR="001A1E04" w:rsidRPr="004A0C12" w14:paraId="30A2A404" w14:textId="77777777" w:rsidTr="00F83A39">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5588" w:type="dxa"/>
            <w:gridSpan w:val="3"/>
            <w:hideMark/>
          </w:tcPr>
          <w:p w14:paraId="14D77CAE" w14:textId="77777777" w:rsidR="001A1E04" w:rsidRPr="004A0C12" w:rsidRDefault="001A1E04" w:rsidP="001A1E04">
            <w:pPr>
              <w:rPr>
                <w:rFonts w:ascii="Garamond" w:hAnsi="Garamond"/>
                <w:b w:val="0"/>
                <w:bCs w:val="0"/>
                <w:sz w:val="22"/>
                <w:szCs w:val="22"/>
              </w:rPr>
            </w:pPr>
            <w:r w:rsidRPr="004A0C12">
              <w:rPr>
                <w:rFonts w:ascii="Garamond" w:hAnsi="Garamond"/>
                <w:b w:val="0"/>
                <w:bCs w:val="0"/>
                <w:sz w:val="22"/>
                <w:szCs w:val="22"/>
              </w:rPr>
              <w:t xml:space="preserve">      Not in labor force</w:t>
            </w:r>
          </w:p>
        </w:tc>
        <w:tc>
          <w:tcPr>
            <w:tcW w:w="655" w:type="dxa"/>
            <w:hideMark/>
          </w:tcPr>
          <w:p w14:paraId="29D6CDD1" w14:textId="77777777" w:rsidR="001A1E04" w:rsidRPr="004A0C12" w:rsidRDefault="001A1E04" w:rsidP="001A1E04">
            <w:pPr>
              <w:keepNext/>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708,917</w:t>
            </w:r>
          </w:p>
        </w:tc>
      </w:tr>
    </w:tbl>
    <w:p w14:paraId="6A7B062A" w14:textId="77777777" w:rsidR="001A1E04" w:rsidRPr="004A0C12" w:rsidRDefault="001A1E04" w:rsidP="001A1E04">
      <w:pPr>
        <w:pStyle w:val="Caption"/>
        <w:spacing w:after="0"/>
        <w:rPr>
          <w:rFonts w:ascii="Garamond" w:hAnsi="Garamond"/>
          <w:sz w:val="22"/>
          <w:szCs w:val="22"/>
        </w:rPr>
      </w:pPr>
      <w:r w:rsidRPr="004A0C12">
        <w:rPr>
          <w:rFonts w:ascii="Garamond" w:hAnsi="Garamond"/>
          <w:sz w:val="22"/>
          <w:szCs w:val="22"/>
        </w:rPr>
        <w:t>Table 10: Poverty and Employment Status; Source: Census, 2015</w:t>
      </w:r>
    </w:p>
    <w:p w14:paraId="6F2C22D7" w14:textId="77777777" w:rsidR="00F83A39" w:rsidRPr="004A0C12" w:rsidRDefault="00F83A39" w:rsidP="001A1E04">
      <w:pPr>
        <w:pStyle w:val="Heading2"/>
        <w:spacing w:before="0" w:line="240" w:lineRule="auto"/>
        <w:rPr>
          <w:rFonts w:ascii="Garamond" w:hAnsi="Garamond"/>
          <w:sz w:val="22"/>
          <w:szCs w:val="22"/>
        </w:rPr>
      </w:pPr>
    </w:p>
    <w:p w14:paraId="36A47167" w14:textId="77777777" w:rsidR="001A1E04" w:rsidRPr="00B60621" w:rsidRDefault="001A1E04" w:rsidP="001A1E04">
      <w:pPr>
        <w:pStyle w:val="Heading2"/>
        <w:spacing w:before="0" w:line="240" w:lineRule="auto"/>
        <w:rPr>
          <w:rFonts w:ascii="Garamond" w:hAnsi="Garamond"/>
          <w:sz w:val="24"/>
          <w:szCs w:val="24"/>
        </w:rPr>
      </w:pPr>
      <w:bookmarkStart w:id="36" w:name="_Toc447276091"/>
      <w:r w:rsidRPr="00B60621">
        <w:rPr>
          <w:rFonts w:ascii="Garamond" w:hAnsi="Garamond"/>
          <w:sz w:val="24"/>
          <w:szCs w:val="24"/>
        </w:rPr>
        <w:t>Skills Gap Analysis</w:t>
      </w:r>
      <w:bookmarkEnd w:id="36"/>
      <w:r w:rsidRPr="00B60621">
        <w:rPr>
          <w:rFonts w:ascii="Garamond" w:hAnsi="Garamond"/>
          <w:sz w:val="24"/>
          <w:szCs w:val="24"/>
        </w:rPr>
        <w:t xml:space="preserve"> </w:t>
      </w:r>
    </w:p>
    <w:p w14:paraId="660D5D22" w14:textId="77777777" w:rsidR="006451F7" w:rsidRPr="004A0C12" w:rsidRDefault="006451F7" w:rsidP="006451F7">
      <w:pPr>
        <w:spacing w:line="240" w:lineRule="auto"/>
        <w:jc w:val="both"/>
        <w:rPr>
          <w:rFonts w:ascii="Garamond" w:hAnsi="Garamond" w:cs="Times New Roman"/>
        </w:rPr>
      </w:pPr>
      <w:r w:rsidRPr="004A0C12">
        <w:rPr>
          <w:rFonts w:ascii="Garamond" w:hAnsi="Garamond" w:cs="Times New Roman"/>
        </w:rPr>
        <w:t xml:space="preserve">As the State continues to recover from the recession, job growth is expected to continue across many sectors, leading to an increase in hiring demand. That being said, employers often cite difficulty in recruiting and hiring qualified, trained candidates. In order to ensure employers have the talented workforce necessary to compete and grow, it is essential that the workforce system understand and address any existing skills gaps. </w:t>
      </w:r>
    </w:p>
    <w:p w14:paraId="29BABEDD" w14:textId="26C2D986" w:rsidR="006451F7" w:rsidRPr="004A0C12" w:rsidRDefault="006451F7" w:rsidP="006451F7">
      <w:pPr>
        <w:spacing w:line="240" w:lineRule="auto"/>
        <w:jc w:val="both"/>
        <w:rPr>
          <w:rFonts w:ascii="Garamond" w:hAnsi="Garamond" w:cs="Times New Roman"/>
        </w:rPr>
      </w:pPr>
      <w:r w:rsidRPr="004A0C12">
        <w:rPr>
          <w:rFonts w:ascii="Garamond" w:hAnsi="Garamond" w:cs="Times New Roman"/>
        </w:rPr>
        <w:t>Through 2020, several sectors are expected to experience a substantial increase in hiring demand, including healthcare, hospitality and tourism, business services and education.  According to the National Skill Coalition’s</w:t>
      </w:r>
      <w:r w:rsidRPr="004A0C12">
        <w:rPr>
          <w:rFonts w:ascii="Garamond" w:hAnsi="Garamond" w:cs="Times New Roman"/>
          <w:i/>
        </w:rPr>
        <w:t xml:space="preserve"> Maryland’s Forgotten Middle-Skill Jobs</w:t>
      </w:r>
      <w:r w:rsidRPr="004A0C12">
        <w:rPr>
          <w:rFonts w:ascii="Garamond" w:hAnsi="Garamond" w:cs="Times New Roman"/>
        </w:rPr>
        <w:t>, many of these jobs will be classified as middle-skill, which comprises the largest share of jobs in Maryland. Healthcare has the largest portion of middl</w:t>
      </w:r>
      <w:r w:rsidR="003D4100" w:rsidRPr="004A0C12">
        <w:rPr>
          <w:rFonts w:ascii="Garamond" w:hAnsi="Garamond" w:cs="Times New Roman"/>
        </w:rPr>
        <w:t>e-skill jobs available, with 38 percent</w:t>
      </w:r>
      <w:r w:rsidRPr="004A0C12">
        <w:rPr>
          <w:rFonts w:ascii="Garamond" w:hAnsi="Garamond" w:cs="Times New Roman"/>
        </w:rPr>
        <w:t>. Other sectors that have a significant number of middle-skill jobs include bioscience and i</w:t>
      </w:r>
      <w:r w:rsidR="003D4100" w:rsidRPr="004A0C12">
        <w:rPr>
          <w:rFonts w:ascii="Garamond" w:hAnsi="Garamond" w:cs="Times New Roman"/>
        </w:rPr>
        <w:t xml:space="preserve">nformation technology, with 13 percent </w:t>
      </w:r>
      <w:r w:rsidRPr="004A0C12">
        <w:rPr>
          <w:rFonts w:ascii="Garamond" w:hAnsi="Garamond" w:cs="Times New Roman"/>
        </w:rPr>
        <w:t>identified as middle-skill, and business service</w:t>
      </w:r>
      <w:r w:rsidR="003D4100" w:rsidRPr="004A0C12">
        <w:rPr>
          <w:rFonts w:ascii="Garamond" w:hAnsi="Garamond" w:cs="Times New Roman"/>
        </w:rPr>
        <w:t>s and construction reporting 12 percent</w:t>
      </w:r>
      <w:r w:rsidRPr="004A0C12">
        <w:rPr>
          <w:rFonts w:ascii="Garamond" w:hAnsi="Garamond" w:cs="Times New Roman"/>
        </w:rPr>
        <w:t xml:space="preserve">. Despite hiring demand and a large number of available middle-skilled jobs, employers report difficulty in hiring for these positions. </w:t>
      </w:r>
    </w:p>
    <w:p w14:paraId="7C38F222" w14:textId="00CFD032" w:rsidR="006451F7" w:rsidRPr="004A0C12" w:rsidRDefault="006451F7" w:rsidP="006451F7">
      <w:pPr>
        <w:spacing w:line="240" w:lineRule="auto"/>
        <w:jc w:val="both"/>
        <w:rPr>
          <w:rFonts w:ascii="Garamond" w:hAnsi="Garamond" w:cs="Times New Roman"/>
        </w:rPr>
      </w:pPr>
      <w:r w:rsidRPr="004A0C12">
        <w:rPr>
          <w:rFonts w:ascii="Garamond" w:hAnsi="Garamond" w:cs="Times New Roman"/>
        </w:rPr>
        <w:t>One-third of the State’s workforce is comprised of individuals who either have not earned</w:t>
      </w:r>
      <w:r w:rsidR="003C7999" w:rsidRPr="004A0C12">
        <w:rPr>
          <w:rFonts w:ascii="Garamond" w:hAnsi="Garamond" w:cs="Times New Roman"/>
        </w:rPr>
        <w:t xml:space="preserve"> a high school diploma, or identify </w:t>
      </w:r>
      <w:r w:rsidRPr="004A0C12">
        <w:rPr>
          <w:rFonts w:ascii="Garamond" w:hAnsi="Garamond" w:cs="Times New Roman"/>
        </w:rPr>
        <w:t xml:space="preserve">high school as the highest attainment of education. Additionally, ninety percent of adult education enrolled participants are below high school level of skills.  Typically, educational attainment correlates with occupational skill level, meaning one with low educational attainment will likely be suited to perform a low-skill job. This disparity highlights the need to provide greater access to training opportunities to low-skilled workers so that they can acquire the skills and credentials to qualify for middle-skill jobs. </w:t>
      </w:r>
    </w:p>
    <w:p w14:paraId="2FADF7FE" w14:textId="77777777" w:rsidR="006451F7" w:rsidRPr="004A0C12" w:rsidRDefault="006451F7" w:rsidP="006451F7">
      <w:pPr>
        <w:spacing w:line="240" w:lineRule="auto"/>
        <w:jc w:val="both"/>
        <w:rPr>
          <w:rFonts w:ascii="Garamond" w:hAnsi="Garamond" w:cs="Times New Roman"/>
        </w:rPr>
      </w:pPr>
      <w:r w:rsidRPr="004A0C12">
        <w:rPr>
          <w:rFonts w:ascii="Garamond" w:hAnsi="Garamond" w:cs="Times New Roman"/>
        </w:rPr>
        <w:t>The Job Opportunities Task Force recently released a study on youth and workforce development.  Disconnected youth, who are neither working nor enrolled in school, make up a significant portion of the unemployed population. These youth often face significant barriers to employment, including low math and reading skills, a history of incarceration, and mental health issues. It is imperative that these barriers be removed before or during participation in skills training to ensure the individual is ready to work upon completion of training.</w:t>
      </w:r>
    </w:p>
    <w:p w14:paraId="4227D165" w14:textId="4F025087" w:rsidR="001A1E04" w:rsidRPr="004A0C12" w:rsidRDefault="006451F7" w:rsidP="006451F7">
      <w:pPr>
        <w:spacing w:line="240" w:lineRule="auto"/>
        <w:jc w:val="both"/>
        <w:rPr>
          <w:rFonts w:ascii="Garamond" w:hAnsi="Garamond" w:cs="Times New Roman"/>
        </w:rPr>
      </w:pPr>
      <w:r w:rsidRPr="004A0C12">
        <w:rPr>
          <w:rFonts w:ascii="Garamond" w:hAnsi="Garamond" w:cs="Times New Roman"/>
        </w:rPr>
        <w:t>While technical skills are essential to job performance, employers identify soft skills, such as professionalism, problem-solving, timeliness, interpersonal communication</w:t>
      </w:r>
      <w:r w:rsidR="00C915AD" w:rsidRPr="004A0C12">
        <w:rPr>
          <w:rFonts w:ascii="Garamond" w:hAnsi="Garamond" w:cs="Times New Roman"/>
        </w:rPr>
        <w:t>,</w:t>
      </w:r>
      <w:r w:rsidRPr="004A0C12">
        <w:rPr>
          <w:rFonts w:ascii="Garamond" w:hAnsi="Garamond" w:cs="Times New Roman"/>
        </w:rPr>
        <w:t xml:space="preserve"> and customer service, as critically important, yet lacking in many candidates. To ensure employers have the talent they need to compete and </w:t>
      </w:r>
      <w:proofErr w:type="gramStart"/>
      <w:r w:rsidRPr="004A0C12">
        <w:rPr>
          <w:rFonts w:ascii="Garamond" w:hAnsi="Garamond" w:cs="Times New Roman"/>
        </w:rPr>
        <w:t>grow,</w:t>
      </w:r>
      <w:proofErr w:type="gramEnd"/>
      <w:r w:rsidRPr="004A0C12">
        <w:rPr>
          <w:rFonts w:ascii="Garamond" w:hAnsi="Garamond" w:cs="Times New Roman"/>
        </w:rPr>
        <w:t xml:space="preserve"> soft-skills should be integrated into training curriculum across all industries. </w:t>
      </w:r>
    </w:p>
    <w:p w14:paraId="615E0737" w14:textId="77777777" w:rsidR="0082195D" w:rsidRPr="004A0C12" w:rsidRDefault="0082195D" w:rsidP="0082195D">
      <w:pPr>
        <w:spacing w:after="100" w:line="240" w:lineRule="auto"/>
        <w:rPr>
          <w:rFonts w:ascii="Garamond" w:eastAsia="Times New Roman" w:hAnsi="Garamond" w:cs="Times New Roman"/>
        </w:rPr>
      </w:pPr>
      <w:r w:rsidRPr="004A0C12">
        <w:rPr>
          <w:rFonts w:ascii="Garamond" w:eastAsia="Times New Roman" w:hAnsi="Garamond" w:cs="Times New Roman"/>
          <w:color w:val="000000"/>
        </w:rPr>
        <w:t>As detailed in this Plan, Maryland has identified several target jobseeker populations that the WIOA system will work to support. The State has conducted a literature review to identify key barriers to employment for each target population:</w:t>
      </w:r>
    </w:p>
    <w:p w14:paraId="53FB4833" w14:textId="77777777" w:rsidR="00B60621" w:rsidRDefault="00B60621" w:rsidP="0082195D">
      <w:pPr>
        <w:spacing w:after="100" w:line="240" w:lineRule="auto"/>
        <w:rPr>
          <w:rFonts w:ascii="Garamond" w:eastAsia="Times New Roman" w:hAnsi="Garamond" w:cs="Times New Roman"/>
          <w:color w:val="000000"/>
        </w:rPr>
      </w:pPr>
    </w:p>
    <w:p w14:paraId="6A0DB08E" w14:textId="77777777" w:rsidR="00B60621" w:rsidRDefault="00B60621" w:rsidP="0082195D">
      <w:pPr>
        <w:spacing w:after="100" w:line="240" w:lineRule="auto"/>
        <w:rPr>
          <w:rFonts w:ascii="Garamond" w:eastAsia="Times New Roman" w:hAnsi="Garamond" w:cs="Times New Roman"/>
          <w:color w:val="000000"/>
        </w:rPr>
      </w:pPr>
    </w:p>
    <w:p w14:paraId="2A3B243C" w14:textId="77777777" w:rsidR="00B60621" w:rsidRDefault="00B60621" w:rsidP="0082195D">
      <w:pPr>
        <w:spacing w:after="100" w:line="240" w:lineRule="auto"/>
        <w:rPr>
          <w:rFonts w:ascii="Garamond" w:eastAsia="Times New Roman" w:hAnsi="Garamond" w:cs="Times New Roman"/>
          <w:color w:val="000000"/>
        </w:rPr>
      </w:pPr>
    </w:p>
    <w:p w14:paraId="39E9D3CF" w14:textId="77777777" w:rsidR="00B60621" w:rsidRDefault="00B60621" w:rsidP="0082195D">
      <w:pPr>
        <w:spacing w:after="100" w:line="240" w:lineRule="auto"/>
        <w:rPr>
          <w:rFonts w:ascii="Garamond" w:eastAsia="Times New Roman" w:hAnsi="Garamond" w:cs="Times New Roman"/>
          <w:color w:val="000000"/>
        </w:rPr>
      </w:pPr>
    </w:p>
    <w:p w14:paraId="4B749EC2" w14:textId="5A6F8703" w:rsidR="00B60621" w:rsidRPr="00B60621" w:rsidRDefault="0082195D" w:rsidP="0082195D">
      <w:pPr>
        <w:spacing w:after="100" w:line="240" w:lineRule="auto"/>
        <w:rPr>
          <w:rFonts w:ascii="Garamond" w:eastAsia="Times New Roman" w:hAnsi="Garamond" w:cs="Times New Roman"/>
          <w:b/>
          <w:color w:val="0070C0"/>
          <w:sz w:val="24"/>
          <w:szCs w:val="24"/>
        </w:rPr>
      </w:pPr>
      <w:r w:rsidRPr="00B60621">
        <w:rPr>
          <w:rFonts w:ascii="Garamond" w:eastAsia="Times New Roman" w:hAnsi="Garamond" w:cs="Times New Roman"/>
          <w:b/>
          <w:color w:val="0070C0"/>
          <w:sz w:val="24"/>
          <w:szCs w:val="24"/>
        </w:rPr>
        <w:lastRenderedPageBreak/>
        <w:t>Barriers to Employment</w:t>
      </w:r>
    </w:p>
    <w:tbl>
      <w:tblPr>
        <w:tblW w:w="0" w:type="auto"/>
        <w:tblCellMar>
          <w:top w:w="15" w:type="dxa"/>
          <w:left w:w="15" w:type="dxa"/>
          <w:bottom w:w="15" w:type="dxa"/>
          <w:right w:w="15" w:type="dxa"/>
        </w:tblCellMar>
        <w:tblLook w:val="04A0" w:firstRow="1" w:lastRow="0" w:firstColumn="1" w:lastColumn="0" w:noHBand="0" w:noVBand="1"/>
      </w:tblPr>
      <w:tblGrid>
        <w:gridCol w:w="2535"/>
        <w:gridCol w:w="7035"/>
      </w:tblGrid>
      <w:tr w:rsidR="0082195D" w:rsidRPr="004A0C12" w14:paraId="528FB0C1" w14:textId="77777777" w:rsidTr="00F65178">
        <w:tc>
          <w:tcPr>
            <w:tcW w:w="2535" w:type="dxa"/>
            <w:tcBorders>
              <w:top w:val="single" w:sz="6" w:space="0" w:color="4F81BD"/>
              <w:left w:val="single" w:sz="6" w:space="0" w:color="4F81BD"/>
              <w:bottom w:val="single" w:sz="6" w:space="0" w:color="4F81BD"/>
              <w:right w:val="single" w:sz="6" w:space="0" w:color="000000"/>
            </w:tcBorders>
            <w:shd w:val="clear" w:color="auto" w:fill="4F81BD"/>
            <w:tcMar>
              <w:top w:w="105" w:type="dxa"/>
              <w:left w:w="105" w:type="dxa"/>
              <w:bottom w:w="105" w:type="dxa"/>
              <w:right w:w="105" w:type="dxa"/>
            </w:tcMar>
            <w:hideMark/>
          </w:tcPr>
          <w:p w14:paraId="518AEA51"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FFFFFF"/>
                <w:shd w:val="clear" w:color="auto" w:fill="4F81BD"/>
              </w:rPr>
              <w:t>Population</w:t>
            </w:r>
          </w:p>
        </w:tc>
        <w:tc>
          <w:tcPr>
            <w:tcW w:w="7035" w:type="dxa"/>
            <w:tcBorders>
              <w:top w:val="single" w:sz="6" w:space="0" w:color="4F81BD"/>
              <w:left w:val="single" w:sz="6" w:space="0" w:color="000000"/>
              <w:bottom w:val="single" w:sz="6" w:space="0" w:color="4F81BD"/>
              <w:right w:val="single" w:sz="6" w:space="0" w:color="4F81BD"/>
            </w:tcBorders>
            <w:shd w:val="clear" w:color="auto" w:fill="4F81BD"/>
            <w:tcMar>
              <w:top w:w="105" w:type="dxa"/>
              <w:left w:w="105" w:type="dxa"/>
              <w:bottom w:w="105" w:type="dxa"/>
              <w:right w:w="105" w:type="dxa"/>
            </w:tcMar>
            <w:hideMark/>
          </w:tcPr>
          <w:p w14:paraId="594BF8AB"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FFFFFF"/>
                <w:shd w:val="clear" w:color="auto" w:fill="4F81BD"/>
              </w:rPr>
              <w:t>Barriers to Employment</w:t>
            </w:r>
          </w:p>
        </w:tc>
      </w:tr>
      <w:tr w:rsidR="0082195D" w:rsidRPr="004A0C12" w14:paraId="3E4A08BE"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6D7CC6E2"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t>Displaced Homemakers</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66E6C615" w14:textId="77777777" w:rsidR="0082195D" w:rsidRPr="004A0C12" w:rsidRDefault="0082195D" w:rsidP="00F65178">
            <w:pPr>
              <w:ind w:left="165"/>
              <w:rPr>
                <w:rFonts w:ascii="Garamond" w:hAnsi="Garamond" w:cs="Times New Roman"/>
              </w:rPr>
            </w:pPr>
            <w:r w:rsidRPr="004A0C12">
              <w:rPr>
                <w:rFonts w:ascii="Garamond" w:hAnsi="Garamond" w:cs="Times New Roman"/>
              </w:rPr>
              <w:t xml:space="preserve">Anxiety/depression; more education/job training required; low self-confidence/decision making; financial dependence; violence, emotional, and/or sexual abuse; divorce/separation; legal assistance; lack of affordable housing; </w:t>
            </w:r>
            <w:r w:rsidRPr="004A0C12">
              <w:rPr>
                <w:rFonts w:ascii="Garamond" w:eastAsia="Times New Roman" w:hAnsi="Garamond" w:cs="Times New Roman"/>
              </w:rPr>
              <w:t>lack of access to affordable</w:t>
            </w:r>
            <w:r w:rsidRPr="004A0C12">
              <w:rPr>
                <w:rFonts w:ascii="Garamond" w:hAnsi="Garamond" w:cs="Times New Roman"/>
              </w:rPr>
              <w:t xml:space="preserve"> childcare; no medical insurance; medical problems; parenting issues; transportation; language barrier; disability</w:t>
            </w:r>
          </w:p>
        </w:tc>
      </w:tr>
      <w:tr w:rsidR="0082195D" w:rsidRPr="004A0C12" w14:paraId="598EA8C0"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393E3731"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t>Low-income individuals (including TANF and SNAP recipients)</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22D8284C"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Transportation; lack of access to affordable childcare; need for social supports; criminal records hindering job applications; need to dress professionally and other necessities for an interview; healthcare; mental health issues; addiction issues; reduced access to education and training; fewer job-related resources (ex: computer access); diminished social capital; fewer community resources; disability</w:t>
            </w:r>
          </w:p>
        </w:tc>
      </w:tr>
      <w:tr w:rsidR="0082195D" w:rsidRPr="004A0C12" w14:paraId="52D5F130"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50ECAFFB"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t>Indians, Alaska Natives, and Native Hawaiians</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23280F0B"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 xml:space="preserve">Pay inequality; obstacles to advancement; stereotyping; prejudice; discrimination; poverty; </w:t>
            </w:r>
            <w:r w:rsidRPr="004A0C12">
              <w:rPr>
                <w:rFonts w:ascii="Garamond" w:hAnsi="Garamond" w:cs="Times New Roman"/>
                <w:shd w:val="clear" w:color="auto" w:fill="FFFFFF"/>
              </w:rPr>
              <w:t>early parenthood; substance abuse; lack of education opportunity and attainment; cultural strains and restraints; positive potential of indigenous values; social-structural factors</w:t>
            </w:r>
          </w:p>
        </w:tc>
      </w:tr>
      <w:tr w:rsidR="0082195D" w:rsidRPr="004A0C12" w14:paraId="7FE54564"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74929042"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t>Individuals with disabilities, including youth who are individuals with disabilities</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35B51B4E"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Discrimination; lack of information about reasonable accommodations; cost of providing reasonable accommodations; other increased costs; employer fear of litigation based on the Americans with Disabilities Act; lack of adequate education, training, and skills; lack of job experience; risk of losing benefits; need for accommodations; transportation; health care needs; lack of information about jobs; family responsibilities</w:t>
            </w:r>
          </w:p>
        </w:tc>
      </w:tr>
      <w:tr w:rsidR="0082195D" w:rsidRPr="004A0C12" w14:paraId="38B76BF3"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19A4072A"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t>Older Individuals</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44B39712"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Ageism; disability; structural racism; lack of affordable housing; transportation; lack of technology literacy; diminished social capital; lower education levels; greater health problems; reductions in pay after re-entering the workforce after periods of unemployment</w:t>
            </w:r>
          </w:p>
        </w:tc>
      </w:tr>
      <w:tr w:rsidR="0082195D" w:rsidRPr="004A0C12" w14:paraId="44A824DD"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6FB51E05"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t>Ex-Offenders</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124D905E"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Low literacy; lack of vocational skills; low math skills; lack of steady history of employment; lack of technology literacy; stigma; discrimination; lack of proof of identification; transportation; low social capital; low education levels; mental health issues; disability; employer reluctance</w:t>
            </w:r>
          </w:p>
        </w:tc>
      </w:tr>
      <w:tr w:rsidR="0082195D" w:rsidRPr="004A0C12" w14:paraId="0F11BA25"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019B0D67"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t>Homeless individuals or homeless children and youth</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345DD719"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Lack of security; lack of housing; transportation; lack of steady history of employment; lack of education and training; physical or mental health issues; criminal records hindering job applications; stigma; discrimination; employer reluctance; disability; trauma; need to dress professionally and other necessities for an interview</w:t>
            </w:r>
          </w:p>
        </w:tc>
      </w:tr>
      <w:tr w:rsidR="0082195D" w:rsidRPr="004A0C12" w14:paraId="02909E4C"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361ED72D"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t>Youth who are in or have aged out of the foster care system</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58319E3E"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Low stability; mental health issues; substance abuse problems; criminal records hindering job applications; lack of guidance for professional development; low social capital; need for mentoring; young parenting; need for public assistance; lack of understanding career options</w:t>
            </w:r>
          </w:p>
        </w:tc>
      </w:tr>
      <w:tr w:rsidR="0082195D" w:rsidRPr="004A0C12" w14:paraId="230B045A"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0115810F"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t xml:space="preserve">Individuals who are </w:t>
            </w:r>
            <w:r w:rsidRPr="004A0C12">
              <w:rPr>
                <w:rFonts w:ascii="Garamond" w:eastAsia="Times New Roman" w:hAnsi="Garamond" w:cs="Times New Roman"/>
                <w:b/>
                <w:bCs/>
                <w:color w:val="1F497D"/>
              </w:rPr>
              <w:lastRenderedPageBreak/>
              <w:t>English language learners, individuals who have low levels of literacy, and individuals facing substantial cultural barriers</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3104DFD0"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lastRenderedPageBreak/>
              <w:t xml:space="preserve">Language and communication skills; lack of social capital; lack of </w:t>
            </w:r>
            <w:r w:rsidRPr="004A0C12">
              <w:rPr>
                <w:rFonts w:ascii="Garamond" w:eastAsia="Times New Roman" w:hAnsi="Garamond" w:cs="Times New Roman"/>
              </w:rPr>
              <w:lastRenderedPageBreak/>
              <w:t>understanding career options; undervalued foreign credentials; age/time out of school; discrimination; licensing barriers</w:t>
            </w:r>
          </w:p>
        </w:tc>
      </w:tr>
      <w:tr w:rsidR="0082195D" w:rsidRPr="004A0C12" w14:paraId="4DC9B086"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hideMark/>
          </w:tcPr>
          <w:p w14:paraId="78B2B69A"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b/>
                <w:bCs/>
                <w:color w:val="1F497D"/>
              </w:rPr>
              <w:lastRenderedPageBreak/>
              <w:t>Eligible migrant and seasonal farmworkers</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hideMark/>
          </w:tcPr>
          <w:p w14:paraId="7B141DD7"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Health challenges from nature of work; poverty; mobility; living and working arrangements; limited access to healthcare; lack of health insurance; language barriers; low math skills; wage theft; illegal employment practices; geographic isolation</w:t>
            </w:r>
          </w:p>
        </w:tc>
      </w:tr>
      <w:tr w:rsidR="0082195D" w:rsidRPr="004A0C12" w14:paraId="0DC0F69E"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tcPr>
          <w:p w14:paraId="4D85E26A" w14:textId="77777777" w:rsidR="0082195D" w:rsidRPr="004A0C12" w:rsidRDefault="0082195D" w:rsidP="00F65178">
            <w:pPr>
              <w:tabs>
                <w:tab w:val="left" w:pos="1110"/>
              </w:tabs>
              <w:spacing w:after="0" w:line="0" w:lineRule="atLeast"/>
              <w:ind w:left="140" w:right="140"/>
              <w:rPr>
                <w:rFonts w:ascii="Garamond" w:eastAsia="Times New Roman" w:hAnsi="Garamond" w:cs="Times New Roman"/>
                <w:b/>
                <w:bCs/>
                <w:color w:val="1F497D"/>
              </w:rPr>
            </w:pPr>
            <w:r w:rsidRPr="004A0C12">
              <w:rPr>
                <w:rFonts w:ascii="Garamond" w:eastAsia="Times New Roman" w:hAnsi="Garamond" w:cs="Times New Roman"/>
                <w:b/>
                <w:bCs/>
                <w:color w:val="1F497D"/>
              </w:rPr>
              <w:t>Individuals within 2 years of exhausting lifetime eligibility under Part A of the Social Security Act</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tcPr>
          <w:p w14:paraId="244BDF44" w14:textId="77777777" w:rsidR="0082195D" w:rsidRPr="004A0C12" w:rsidRDefault="0082195D" w:rsidP="00F65178">
            <w:pPr>
              <w:spacing w:after="0" w:line="0" w:lineRule="atLeast"/>
              <w:ind w:left="140" w:right="140"/>
              <w:rPr>
                <w:rFonts w:ascii="Garamond" w:eastAsia="Times New Roman" w:hAnsi="Garamond" w:cs="Times New Roman"/>
              </w:rPr>
            </w:pPr>
          </w:p>
        </w:tc>
      </w:tr>
      <w:tr w:rsidR="0082195D" w:rsidRPr="004A0C12" w14:paraId="29E03945"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tcPr>
          <w:p w14:paraId="3EC1C6BE" w14:textId="77777777" w:rsidR="0082195D" w:rsidRPr="004A0C12" w:rsidRDefault="0082195D" w:rsidP="00F65178">
            <w:pPr>
              <w:spacing w:after="0" w:line="0" w:lineRule="atLeast"/>
              <w:ind w:left="140" w:right="140"/>
              <w:rPr>
                <w:rFonts w:ascii="Garamond" w:eastAsia="Times New Roman" w:hAnsi="Garamond" w:cs="Times New Roman"/>
                <w:b/>
                <w:bCs/>
                <w:color w:val="1F497D"/>
              </w:rPr>
            </w:pPr>
            <w:r w:rsidRPr="004A0C12">
              <w:rPr>
                <w:rFonts w:ascii="Garamond" w:eastAsia="Times New Roman" w:hAnsi="Garamond" w:cs="Times New Roman"/>
                <w:b/>
                <w:bCs/>
                <w:color w:val="1F497D"/>
              </w:rPr>
              <w:t>Single parents (including pregnant single women)</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tcPr>
          <w:p w14:paraId="2AF23B78"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Unequal opportunities in education and employment; low wages; undervalued caregiving; domestic violence; lack of access to affordable childcare; low child support; low social capital; marital status; number and ages of children; structural racism</w:t>
            </w:r>
          </w:p>
        </w:tc>
      </w:tr>
      <w:tr w:rsidR="0082195D" w:rsidRPr="004A0C12" w14:paraId="0D179B8F"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tcPr>
          <w:p w14:paraId="1A01DB45" w14:textId="77777777" w:rsidR="0082195D" w:rsidRPr="004A0C12" w:rsidRDefault="0082195D" w:rsidP="00F65178">
            <w:pPr>
              <w:spacing w:after="0" w:line="0" w:lineRule="atLeast"/>
              <w:ind w:left="140" w:right="140"/>
              <w:rPr>
                <w:rFonts w:ascii="Garamond" w:eastAsia="Times New Roman" w:hAnsi="Garamond" w:cs="Times New Roman"/>
                <w:b/>
                <w:bCs/>
                <w:color w:val="1F497D"/>
              </w:rPr>
            </w:pPr>
            <w:r w:rsidRPr="004A0C12">
              <w:rPr>
                <w:rFonts w:ascii="Garamond" w:eastAsia="Times New Roman" w:hAnsi="Garamond" w:cs="Times New Roman"/>
                <w:b/>
                <w:bCs/>
                <w:color w:val="1F497D"/>
              </w:rPr>
              <w:t>Long-term unemployed individuals</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tcPr>
          <w:p w14:paraId="54459951" w14:textId="77777777" w:rsidR="0082195D" w:rsidRPr="004A0C12" w:rsidRDefault="0082195D" w:rsidP="00F65178">
            <w:pPr>
              <w:tabs>
                <w:tab w:val="left" w:pos="1545"/>
              </w:tabs>
              <w:spacing w:after="0" w:line="0" w:lineRule="atLeast"/>
              <w:ind w:left="140" w:right="140"/>
              <w:rPr>
                <w:rFonts w:ascii="Garamond" w:eastAsia="Times New Roman" w:hAnsi="Garamond" w:cs="Times New Roman"/>
              </w:rPr>
            </w:pPr>
            <w:r w:rsidRPr="004A0C12">
              <w:rPr>
                <w:rFonts w:ascii="Garamond" w:eastAsia="Times New Roman" w:hAnsi="Garamond" w:cs="Times New Roman"/>
              </w:rPr>
              <w:t>Lack of education and training; lack of technology literacy; low math skills;  lack of essential skills; transportation; employer bias; lack of standardized credentials across regions and facilities; criminal records hindering job applications; low literacy; homelessness; poverty; structural racism; mental health issues</w:t>
            </w:r>
          </w:p>
        </w:tc>
      </w:tr>
      <w:tr w:rsidR="0082195D" w:rsidRPr="004A0C12" w14:paraId="58EB1012"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tcPr>
          <w:p w14:paraId="5DB77C56" w14:textId="77777777" w:rsidR="0082195D" w:rsidRPr="004A0C12" w:rsidRDefault="0082195D" w:rsidP="00F65178">
            <w:pPr>
              <w:spacing w:after="0" w:line="0" w:lineRule="atLeast"/>
              <w:ind w:left="140" w:right="140"/>
              <w:rPr>
                <w:rFonts w:ascii="Garamond" w:eastAsia="Times New Roman" w:hAnsi="Garamond" w:cs="Times New Roman"/>
                <w:b/>
                <w:bCs/>
                <w:color w:val="1F497D"/>
              </w:rPr>
            </w:pPr>
            <w:r w:rsidRPr="004A0C12">
              <w:rPr>
                <w:rFonts w:ascii="Garamond" w:eastAsia="Times New Roman" w:hAnsi="Garamond" w:cs="Times New Roman"/>
                <w:b/>
                <w:bCs/>
                <w:color w:val="1F497D"/>
              </w:rPr>
              <w:t>Individuals who have low levels of literacy</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tcPr>
          <w:p w14:paraId="6329E2B4"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High School Diploma as prerequisite for jobs; low wages; low literacy; lack of technology literacy; low math skills; transportation; lack of education and training; lack of work experience; lack of social capital; lack of affordable housing; criminal records hindering job applications; lack of understanding career options; need to dress professionally and other necessities for an interview</w:t>
            </w:r>
          </w:p>
        </w:tc>
      </w:tr>
      <w:tr w:rsidR="0082195D" w:rsidRPr="004A0C12" w14:paraId="6558A409" w14:textId="77777777" w:rsidTr="00F65178">
        <w:tc>
          <w:tcPr>
            <w:tcW w:w="2535" w:type="dxa"/>
            <w:tcBorders>
              <w:top w:val="single" w:sz="6" w:space="0" w:color="4F81BD"/>
              <w:left w:val="single" w:sz="6" w:space="0" w:color="4F81BD"/>
              <w:bottom w:val="single" w:sz="6" w:space="0" w:color="4F81BD"/>
              <w:right w:val="single" w:sz="6" w:space="0" w:color="000000"/>
            </w:tcBorders>
            <w:tcMar>
              <w:top w:w="105" w:type="dxa"/>
              <w:left w:w="105" w:type="dxa"/>
              <w:bottom w:w="105" w:type="dxa"/>
              <w:right w:w="105" w:type="dxa"/>
            </w:tcMar>
          </w:tcPr>
          <w:p w14:paraId="4CD465F8" w14:textId="77777777" w:rsidR="0082195D" w:rsidRPr="004A0C12" w:rsidRDefault="0082195D" w:rsidP="00F65178">
            <w:pPr>
              <w:spacing w:after="0" w:line="0" w:lineRule="atLeast"/>
              <w:ind w:left="140" w:right="140"/>
              <w:rPr>
                <w:rFonts w:ascii="Garamond" w:eastAsia="Times New Roman" w:hAnsi="Garamond" w:cs="Times New Roman"/>
                <w:b/>
                <w:bCs/>
                <w:color w:val="1F497D"/>
              </w:rPr>
            </w:pPr>
            <w:r w:rsidRPr="004A0C12">
              <w:rPr>
                <w:rFonts w:ascii="Garamond" w:eastAsia="Times New Roman" w:hAnsi="Garamond" w:cs="Times New Roman"/>
                <w:b/>
                <w:bCs/>
                <w:color w:val="1F497D"/>
              </w:rPr>
              <w:t>Individuals without a High School Diploma</w:t>
            </w:r>
          </w:p>
        </w:tc>
        <w:tc>
          <w:tcPr>
            <w:tcW w:w="7035" w:type="dxa"/>
            <w:tcBorders>
              <w:top w:val="single" w:sz="6" w:space="0" w:color="4F81BD"/>
              <w:left w:val="single" w:sz="6" w:space="0" w:color="000000"/>
              <w:bottom w:val="single" w:sz="6" w:space="0" w:color="4F81BD"/>
              <w:right w:val="single" w:sz="6" w:space="0" w:color="4F81BD"/>
            </w:tcBorders>
            <w:tcMar>
              <w:top w:w="105" w:type="dxa"/>
              <w:left w:w="105" w:type="dxa"/>
              <w:bottom w:w="105" w:type="dxa"/>
              <w:right w:w="105" w:type="dxa"/>
            </w:tcMar>
          </w:tcPr>
          <w:p w14:paraId="0B58B65C" w14:textId="77777777" w:rsidR="0082195D" w:rsidRPr="004A0C12" w:rsidRDefault="0082195D" w:rsidP="00F65178">
            <w:pPr>
              <w:spacing w:after="0" w:line="0" w:lineRule="atLeast"/>
              <w:ind w:left="140" w:right="140"/>
              <w:rPr>
                <w:rFonts w:ascii="Garamond" w:eastAsia="Times New Roman" w:hAnsi="Garamond" w:cs="Times New Roman"/>
              </w:rPr>
            </w:pPr>
            <w:r w:rsidRPr="004A0C12">
              <w:rPr>
                <w:rFonts w:ascii="Garamond" w:eastAsia="Times New Roman" w:hAnsi="Garamond" w:cs="Times New Roman"/>
              </w:rPr>
              <w:t>High School Diploma as prerequisite for jobs; low wages; low literacy; lack of technology literacy; low math skills; transportation; lack of education and training; lack of work experience; lack of social capital; lack of affordable housing; criminal records hindering job applications; lack of understanding career options; need to dress professionally and other necessities for an interview</w:t>
            </w:r>
          </w:p>
        </w:tc>
      </w:tr>
    </w:tbl>
    <w:p w14:paraId="116F5ED9" w14:textId="77777777" w:rsidR="00B60621" w:rsidRDefault="00B60621" w:rsidP="0082195D">
      <w:pPr>
        <w:spacing w:after="100" w:line="240" w:lineRule="auto"/>
        <w:rPr>
          <w:rFonts w:ascii="Garamond" w:eastAsia="Times New Roman" w:hAnsi="Garamond" w:cs="Times New Roman"/>
          <w:color w:val="000000"/>
        </w:rPr>
      </w:pPr>
    </w:p>
    <w:p w14:paraId="107A44F8" w14:textId="77777777" w:rsidR="0082195D" w:rsidRPr="004A0C12" w:rsidRDefault="0082195D" w:rsidP="0082195D">
      <w:pPr>
        <w:spacing w:after="100" w:line="240" w:lineRule="auto"/>
        <w:rPr>
          <w:rFonts w:ascii="Garamond" w:eastAsia="Times New Roman" w:hAnsi="Garamond" w:cs="Times New Roman"/>
        </w:rPr>
      </w:pPr>
      <w:r w:rsidRPr="004A0C12">
        <w:rPr>
          <w:rFonts w:ascii="Garamond" w:eastAsia="Times New Roman" w:hAnsi="Garamond" w:cs="Times New Roman"/>
          <w:color w:val="000000"/>
        </w:rPr>
        <w:t>Maryland is committed to ensuring its target jobseeker populations receive the support they need to increase their earning capacity and self-sufficiency. To more deeply understand the barriers the State’s target populations face, Maryland will establish Jobseeker Advisory Focus Groups to engage jobseekers. The focus groups will ensure that the WIOA Partners are continually aware of the barriers faced by jobseekers and workers in securing and maintaining stable employment, and earning a family-supporting wage.</w:t>
      </w:r>
    </w:p>
    <w:p w14:paraId="404C6E82" w14:textId="78965CA8" w:rsidR="0082195D" w:rsidRDefault="0082195D" w:rsidP="00B60621">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Engagement of focus groups will allow the WIOA Partners to further develop an understanding of how processes could be streamlined and services could be enhanced from the customer’s perspective. Members of these focus groups will help identify </w:t>
      </w:r>
      <w:r w:rsidRPr="004A0C12">
        <w:rPr>
          <w:rFonts w:ascii="Garamond" w:eastAsia="Times New Roman" w:hAnsi="Garamond" w:cs="Times New Roman"/>
          <w:color w:val="000000"/>
        </w:rPr>
        <w:lastRenderedPageBreak/>
        <w:t>and validate skill(s) gaps and barriers to employment by providing first-hand information on how WIOA programs can more effectively and efficiently help jobseekers.</w:t>
      </w:r>
    </w:p>
    <w:p w14:paraId="3B6D9138" w14:textId="77777777" w:rsidR="00B60621" w:rsidRPr="00B60621" w:rsidRDefault="00B60621" w:rsidP="00B60621">
      <w:pPr>
        <w:spacing w:after="100" w:line="240" w:lineRule="auto"/>
        <w:rPr>
          <w:rFonts w:ascii="Garamond" w:eastAsia="Times New Roman" w:hAnsi="Garamond" w:cs="Times New Roman"/>
        </w:rPr>
      </w:pPr>
    </w:p>
    <w:p w14:paraId="0C98DDD8" w14:textId="77777777" w:rsidR="001A1E04" w:rsidRPr="00B60621" w:rsidRDefault="001A1E04" w:rsidP="001A1E04">
      <w:pPr>
        <w:pStyle w:val="Heading2"/>
        <w:spacing w:before="0" w:line="240" w:lineRule="auto"/>
        <w:rPr>
          <w:rFonts w:ascii="Garamond" w:hAnsi="Garamond"/>
          <w:sz w:val="24"/>
          <w:szCs w:val="24"/>
        </w:rPr>
      </w:pPr>
      <w:bookmarkStart w:id="37" w:name="_Toc447276092"/>
      <w:r w:rsidRPr="00B60621">
        <w:rPr>
          <w:rFonts w:ascii="Garamond" w:hAnsi="Garamond"/>
          <w:sz w:val="24"/>
          <w:szCs w:val="24"/>
        </w:rPr>
        <w:t>Labor Market Trends and Projections</w:t>
      </w:r>
      <w:bookmarkEnd w:id="37"/>
      <w:r w:rsidRPr="00B60621">
        <w:rPr>
          <w:rFonts w:ascii="Garamond" w:hAnsi="Garamond"/>
          <w:sz w:val="24"/>
          <w:szCs w:val="24"/>
        </w:rPr>
        <w:t xml:space="preserve"> </w:t>
      </w:r>
    </w:p>
    <w:p w14:paraId="5F836C40" w14:textId="2FA403D3" w:rsidR="001A1E04" w:rsidRPr="004A0C12" w:rsidRDefault="001A1E04" w:rsidP="001A1E04">
      <w:pPr>
        <w:spacing w:after="0" w:line="240" w:lineRule="auto"/>
        <w:jc w:val="both"/>
        <w:rPr>
          <w:rFonts w:ascii="Garamond" w:hAnsi="Garamond"/>
        </w:rPr>
      </w:pPr>
      <w:r w:rsidRPr="004A0C12">
        <w:rPr>
          <w:rFonts w:ascii="Garamond" w:hAnsi="Garamond"/>
        </w:rPr>
        <w:t>Given the historical growth and prevalence of employment of Maryland’s sectors, it is also important to look at projected changes in employment by industry occupation. From 2012 to 2022</w:t>
      </w:r>
      <w:r w:rsidR="003C7999" w:rsidRPr="004A0C12">
        <w:rPr>
          <w:rFonts w:ascii="Garamond" w:hAnsi="Garamond"/>
        </w:rPr>
        <w:t>,</w:t>
      </w:r>
      <w:r w:rsidRPr="004A0C12">
        <w:rPr>
          <w:rFonts w:ascii="Garamond" w:hAnsi="Garamond"/>
        </w:rPr>
        <w:t xml:space="preserve"> it is projected that total employment in Maryland will increase by 6.12 percent. All sectors are expected to exhibit growth, with the exception of </w:t>
      </w:r>
      <w:r w:rsidR="003D4100" w:rsidRPr="004A0C12">
        <w:rPr>
          <w:rFonts w:ascii="Garamond" w:hAnsi="Garamond"/>
        </w:rPr>
        <w:t>m</w:t>
      </w:r>
      <w:r w:rsidRPr="004A0C12">
        <w:rPr>
          <w:rFonts w:ascii="Garamond" w:hAnsi="Garamond"/>
        </w:rPr>
        <w:t xml:space="preserve">anufacturing, </w:t>
      </w:r>
      <w:r w:rsidR="003D4100" w:rsidRPr="004A0C12">
        <w:rPr>
          <w:rFonts w:ascii="Garamond" w:hAnsi="Garamond"/>
        </w:rPr>
        <w:t>u</w:t>
      </w:r>
      <w:r w:rsidRPr="004A0C12">
        <w:rPr>
          <w:rFonts w:ascii="Garamond" w:hAnsi="Garamond"/>
        </w:rPr>
        <w:t xml:space="preserve">tilities, and </w:t>
      </w:r>
      <w:r w:rsidR="003D4100" w:rsidRPr="004A0C12">
        <w:rPr>
          <w:rFonts w:ascii="Garamond" w:hAnsi="Garamond"/>
        </w:rPr>
        <w:t>r</w:t>
      </w:r>
      <w:r w:rsidRPr="004A0C12">
        <w:rPr>
          <w:rFonts w:ascii="Garamond" w:hAnsi="Garamond"/>
        </w:rPr>
        <w:t>eal estate, rental, and leasing. The largest growth is projected to occur in Professional, scientific, and technical services, which is projected to grow in employment by 42,555</w:t>
      </w:r>
      <w:r w:rsidR="003D4100" w:rsidRPr="004A0C12">
        <w:rPr>
          <w:rFonts w:ascii="Garamond" w:hAnsi="Garamond"/>
        </w:rPr>
        <w:t xml:space="preserve"> jobs (See Graph 13).</w:t>
      </w:r>
      <w:r w:rsidR="003D4100" w:rsidRPr="004A0C12">
        <w:rPr>
          <w:rStyle w:val="FootnoteReference"/>
          <w:rFonts w:ascii="Garamond" w:hAnsi="Garamond"/>
        </w:rPr>
        <w:footnoteReference w:id="36"/>
      </w:r>
    </w:p>
    <w:p w14:paraId="4FDCC9B6" w14:textId="77777777" w:rsidR="005911F5" w:rsidRPr="004A0C12" w:rsidRDefault="005911F5" w:rsidP="00057B5A">
      <w:pPr>
        <w:spacing w:after="0" w:line="240" w:lineRule="auto"/>
        <w:rPr>
          <w:rFonts w:ascii="Garamond" w:hAnsi="Garamond"/>
        </w:rPr>
      </w:pPr>
    </w:p>
    <w:p w14:paraId="64332B9F" w14:textId="755FB539" w:rsidR="001A1E04" w:rsidRPr="004A0C12" w:rsidRDefault="001A1E04" w:rsidP="001A1E04">
      <w:pPr>
        <w:spacing w:after="0" w:line="240" w:lineRule="auto"/>
        <w:jc w:val="both"/>
        <w:rPr>
          <w:rFonts w:ascii="Garamond" w:hAnsi="Garamond"/>
        </w:rPr>
      </w:pPr>
      <w:r w:rsidRPr="004A0C12">
        <w:rPr>
          <w:rFonts w:ascii="Garamond" w:hAnsi="Garamond"/>
        </w:rPr>
        <w:t xml:space="preserve">Occupations </w:t>
      </w:r>
      <w:r w:rsidR="003D4100" w:rsidRPr="004A0C12">
        <w:rPr>
          <w:rFonts w:ascii="Garamond" w:hAnsi="Garamond"/>
        </w:rPr>
        <w:t xml:space="preserve">that are </w:t>
      </w:r>
      <w:r w:rsidRPr="004A0C12">
        <w:rPr>
          <w:rFonts w:ascii="Garamond" w:hAnsi="Garamond"/>
        </w:rPr>
        <w:t>projected to increase in size and have above average wages in Maryland were stratified by education levels to create list of “Hot Jobs”.  In the Associate’s degree or below category, the top occupations were projected to increase by as much as 33 percent from 2012 to 2022 and have average annual wages starting at nearly $60,000. These occupations typically required extensive experience or special</w:t>
      </w:r>
      <w:r w:rsidR="003D4100" w:rsidRPr="004A0C12">
        <w:rPr>
          <w:rFonts w:ascii="Garamond" w:hAnsi="Garamond"/>
        </w:rPr>
        <w:t>ized skills, such as radiologic t</w:t>
      </w:r>
      <w:r w:rsidRPr="004A0C12">
        <w:rPr>
          <w:rFonts w:ascii="Garamond" w:hAnsi="Garamond"/>
        </w:rPr>
        <w:t xml:space="preserve">echnicians and </w:t>
      </w:r>
      <w:r w:rsidR="003D4100" w:rsidRPr="004A0C12">
        <w:rPr>
          <w:rFonts w:ascii="Garamond" w:hAnsi="Garamond"/>
        </w:rPr>
        <w:t>m</w:t>
      </w:r>
      <w:r w:rsidRPr="004A0C12">
        <w:rPr>
          <w:rFonts w:ascii="Garamond" w:hAnsi="Garamond"/>
        </w:rPr>
        <w:t>anagers. For the Bachelor’s degree category, projected growth was estimated to be as high as 41 percent for some occupations. The average annual wages started at approximately $60,000 to over $100,000. These occupations were dominated by compute</w:t>
      </w:r>
      <w:r w:rsidR="003D4100" w:rsidRPr="004A0C12">
        <w:rPr>
          <w:rFonts w:ascii="Garamond" w:hAnsi="Garamond"/>
        </w:rPr>
        <w:t>r-related occupations, such as software d</w:t>
      </w:r>
      <w:r w:rsidRPr="004A0C12">
        <w:rPr>
          <w:rFonts w:ascii="Garamond" w:hAnsi="Garamond"/>
        </w:rPr>
        <w:t xml:space="preserve">evelopers. In the Graduate and Professional Degrees category, employment growth is estimated to be as high as 35 percent for </w:t>
      </w:r>
      <w:r w:rsidR="00C915AD" w:rsidRPr="004A0C12">
        <w:rPr>
          <w:rFonts w:ascii="Garamond" w:hAnsi="Garamond"/>
        </w:rPr>
        <w:t>some occupations. Health care, education, c</w:t>
      </w:r>
      <w:r w:rsidRPr="004A0C12">
        <w:rPr>
          <w:rFonts w:ascii="Garamond" w:hAnsi="Garamond"/>
        </w:rPr>
        <w:t>omputer and mathematical related occupations, dominated this list of “Hot Jobs” (DLLR, 2015)</w:t>
      </w:r>
    </w:p>
    <w:p w14:paraId="1A1D712B" w14:textId="77777777" w:rsidR="001A1E04" w:rsidRPr="004A0C12" w:rsidRDefault="001A1E04" w:rsidP="001A1E04">
      <w:pPr>
        <w:spacing w:after="0" w:line="240" w:lineRule="auto"/>
        <w:rPr>
          <w:rFonts w:ascii="Garamond" w:hAnsi="Garamond"/>
        </w:rPr>
      </w:pPr>
    </w:p>
    <w:p w14:paraId="768B4281" w14:textId="77777777" w:rsidR="001A1E04" w:rsidRPr="004A0C12" w:rsidRDefault="001A1E04" w:rsidP="001A1E04">
      <w:pPr>
        <w:spacing w:after="0" w:line="240" w:lineRule="auto"/>
        <w:rPr>
          <w:rFonts w:ascii="Garamond" w:hAnsi="Garamond"/>
        </w:rPr>
      </w:pPr>
      <w:r w:rsidRPr="004A0C12">
        <w:rPr>
          <w:rFonts w:ascii="Garamond" w:hAnsi="Garamond"/>
          <w:noProof/>
        </w:rPr>
        <mc:AlternateContent>
          <mc:Choice Requires="wps">
            <w:drawing>
              <wp:anchor distT="0" distB="0" distL="114300" distR="114300" simplePos="0" relativeHeight="251682816" behindDoc="0" locked="0" layoutInCell="1" allowOverlap="1" wp14:anchorId="4F0F113D" wp14:editId="10153EA2">
                <wp:simplePos x="0" y="0"/>
                <wp:positionH relativeFrom="column">
                  <wp:posOffset>-7951</wp:posOffset>
                </wp:positionH>
                <wp:positionV relativeFrom="paragraph">
                  <wp:posOffset>222637</wp:posOffset>
                </wp:positionV>
                <wp:extent cx="6988838" cy="3880236"/>
                <wp:effectExtent l="0" t="0" r="21590" b="25400"/>
                <wp:wrapNone/>
                <wp:docPr id="310" name="Text Box 310"/>
                <wp:cNvGraphicFramePr/>
                <a:graphic xmlns:a="http://schemas.openxmlformats.org/drawingml/2006/main">
                  <a:graphicData uri="http://schemas.microsoft.com/office/word/2010/wordprocessingShape">
                    <wps:wsp>
                      <wps:cNvSpPr txBox="1"/>
                      <wps:spPr>
                        <a:xfrm>
                          <a:off x="0" y="0"/>
                          <a:ext cx="6988838" cy="388023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5D5C44" w14:textId="77777777" w:rsidR="003D14AC" w:rsidRDefault="003D14AC">
                            <w:r>
                              <w:rPr>
                                <w:noProof/>
                              </w:rPr>
                              <w:drawing>
                                <wp:inline distT="0" distB="0" distL="0" distR="0" wp14:anchorId="426CC06D" wp14:editId="0C400B41">
                                  <wp:extent cx="6893395" cy="3466301"/>
                                  <wp:effectExtent l="0" t="0" r="0" b="0"/>
                                  <wp:docPr id="39" name="Picture 39" descr="Using 2015 DLLR data, this graph shows Maryland's long-term industry projections. Declines are projected for: Finance and Insurance; Manufacturing; and Utilities. " title="Maryland Industry Projections: 2012-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93721" cy="3466465"/>
                                          </a:xfrm>
                                          <a:prstGeom prst="rect">
                                            <a:avLst/>
                                          </a:prstGeom>
                                          <a:noFill/>
                                          <a:ln>
                                            <a:noFill/>
                                          </a:ln>
                                        </pic:spPr>
                                      </pic:pic>
                                    </a:graphicData>
                                  </a:graphic>
                                </wp:inline>
                              </w:drawing>
                            </w:r>
                          </w:p>
                          <w:p w14:paraId="2BA97545" w14:textId="77777777" w:rsidR="003D14AC" w:rsidRDefault="003D14AC" w:rsidP="001A1E04">
                            <w:pPr>
                              <w:pStyle w:val="Caption"/>
                            </w:pPr>
                            <w:r>
                              <w:t>Graph 13: Maryland’s Long-term Industry Projections; Source: DLLR, 2015</w:t>
                            </w:r>
                          </w:p>
                          <w:p w14:paraId="1F04A65E"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43" type="#_x0000_t202" style="position:absolute;margin-left:-.65pt;margin-top:17.55pt;width:550.3pt;height:305.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" fillcolor="white [3201]" strokeweight=".5pt">
                <v:textbox>
                  <w:txbxContent>
                    <w:p w14:paraId="2F5D5C44" w14:textId="77777777" w:rsidR="003D14AC" w:rsidRDefault="003D14AC">
                      <w:r>
                        <w:rPr>
                          <w:noProof/>
                        </w:rPr>
                        <w:drawing>
                          <wp:inline distT="0" distB="0" distL="0" distR="0" wp14:anchorId="426CC06D" wp14:editId="0C400B41">
                            <wp:extent cx="6893395" cy="3466301"/>
                            <wp:effectExtent l="0" t="0" r="0" b="0"/>
                            <wp:docPr id="39" name="Picture 39" descr="Using 2015 DLLR data, this graph shows Maryland's long-term industry projections. Declines are projected for: Finance and Insurance; Manufacturing; and Utilities. " title="Maryland Industry Projections: 2012-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93721" cy="3466465"/>
                                    </a:xfrm>
                                    <a:prstGeom prst="rect">
                                      <a:avLst/>
                                    </a:prstGeom>
                                    <a:noFill/>
                                    <a:ln>
                                      <a:noFill/>
                                    </a:ln>
                                  </pic:spPr>
                                </pic:pic>
                              </a:graphicData>
                            </a:graphic>
                          </wp:inline>
                        </w:drawing>
                      </w:r>
                    </w:p>
                    <w:p w14:paraId="2BA97545" w14:textId="77777777" w:rsidR="003D14AC" w:rsidRDefault="003D14AC" w:rsidP="001A1E04">
                      <w:pPr>
                        <w:pStyle w:val="Caption"/>
                      </w:pPr>
                      <w:r>
                        <w:t>Graph 13: Maryland’s Long-term Industry Projections; Source: DLLR, 2015</w:t>
                      </w:r>
                    </w:p>
                    <w:p w14:paraId="1F04A65E" w14:textId="77777777" w:rsidR="003D14AC" w:rsidRDefault="003D14AC"/>
                  </w:txbxContent>
                </v:textbox>
              </v:shape>
            </w:pict>
          </mc:Fallback>
        </mc:AlternateContent>
      </w:r>
    </w:p>
    <w:p w14:paraId="57833E6E" w14:textId="77777777" w:rsidR="001A1E04" w:rsidRPr="004A0C12" w:rsidRDefault="001A1E04" w:rsidP="001A1E04">
      <w:pPr>
        <w:rPr>
          <w:rFonts w:ascii="Garamond" w:hAnsi="Garamond"/>
        </w:rPr>
      </w:pPr>
    </w:p>
    <w:p w14:paraId="60FEEDA2" w14:textId="77777777" w:rsidR="001A1E04" w:rsidRPr="004A0C12" w:rsidRDefault="001A1E04" w:rsidP="001A1E04">
      <w:pPr>
        <w:rPr>
          <w:rFonts w:ascii="Garamond" w:hAnsi="Garamond"/>
        </w:rPr>
      </w:pPr>
    </w:p>
    <w:p w14:paraId="2EEF3A5E" w14:textId="77777777" w:rsidR="001A1E04" w:rsidRPr="004A0C12" w:rsidRDefault="001A1E04" w:rsidP="001A1E04">
      <w:pPr>
        <w:rPr>
          <w:rFonts w:ascii="Garamond" w:hAnsi="Garamond"/>
        </w:rPr>
      </w:pPr>
    </w:p>
    <w:p w14:paraId="2A9EEBCF" w14:textId="77777777" w:rsidR="001A1E04" w:rsidRPr="004A0C12" w:rsidRDefault="001A1E04" w:rsidP="001A1E04">
      <w:pPr>
        <w:rPr>
          <w:rFonts w:ascii="Garamond" w:hAnsi="Garamond"/>
        </w:rPr>
      </w:pPr>
    </w:p>
    <w:p w14:paraId="2DC93EDD" w14:textId="77777777" w:rsidR="001A1E04" w:rsidRPr="004A0C12" w:rsidRDefault="001A1E04" w:rsidP="001A1E04">
      <w:pPr>
        <w:rPr>
          <w:rFonts w:ascii="Garamond" w:hAnsi="Garamond"/>
        </w:rPr>
      </w:pPr>
    </w:p>
    <w:p w14:paraId="1C7D75E2" w14:textId="77777777" w:rsidR="001A1E04" w:rsidRPr="004A0C12" w:rsidRDefault="001A1E04" w:rsidP="001A1E04">
      <w:pPr>
        <w:rPr>
          <w:rFonts w:ascii="Garamond" w:hAnsi="Garamond"/>
        </w:rPr>
      </w:pPr>
    </w:p>
    <w:p w14:paraId="14203187" w14:textId="77777777" w:rsidR="001A1E04" w:rsidRPr="004A0C12" w:rsidRDefault="001A1E04" w:rsidP="001A1E04">
      <w:pPr>
        <w:rPr>
          <w:rFonts w:ascii="Garamond" w:hAnsi="Garamond"/>
        </w:rPr>
      </w:pPr>
    </w:p>
    <w:p w14:paraId="3218B407" w14:textId="77777777" w:rsidR="001A1E04" w:rsidRPr="004A0C12" w:rsidRDefault="001A1E04" w:rsidP="001A1E04">
      <w:pPr>
        <w:rPr>
          <w:rFonts w:ascii="Garamond" w:hAnsi="Garamond"/>
        </w:rPr>
      </w:pPr>
    </w:p>
    <w:p w14:paraId="78BF3BEB" w14:textId="77777777" w:rsidR="001A1E04" w:rsidRPr="004A0C12" w:rsidRDefault="001A1E04" w:rsidP="001A1E04">
      <w:pPr>
        <w:rPr>
          <w:rFonts w:ascii="Garamond" w:hAnsi="Garamond"/>
        </w:rPr>
      </w:pPr>
    </w:p>
    <w:p w14:paraId="5B6A9C3B" w14:textId="77777777" w:rsidR="001A1E04" w:rsidRPr="004A0C12" w:rsidRDefault="001A1E04" w:rsidP="001A1E04">
      <w:pPr>
        <w:rPr>
          <w:rFonts w:ascii="Garamond" w:hAnsi="Garamond"/>
        </w:rPr>
      </w:pPr>
    </w:p>
    <w:p w14:paraId="23F87900" w14:textId="77777777" w:rsidR="001A1E04" w:rsidRPr="004A0C12" w:rsidRDefault="001A1E04" w:rsidP="001A1E04">
      <w:pPr>
        <w:rPr>
          <w:rFonts w:ascii="Garamond" w:hAnsi="Garamond"/>
        </w:rPr>
      </w:pPr>
    </w:p>
    <w:p w14:paraId="0E46A841" w14:textId="77777777" w:rsidR="001A1E04" w:rsidRPr="004A0C12" w:rsidRDefault="001A1E04" w:rsidP="001A1E04">
      <w:pPr>
        <w:rPr>
          <w:rFonts w:ascii="Garamond" w:hAnsi="Garamond"/>
        </w:rPr>
      </w:pPr>
    </w:p>
    <w:p w14:paraId="5BD6E560" w14:textId="77777777" w:rsidR="001A1E04" w:rsidRPr="004A0C12" w:rsidRDefault="001A1E04" w:rsidP="001A1E04">
      <w:pPr>
        <w:spacing w:after="0" w:line="240" w:lineRule="auto"/>
        <w:jc w:val="both"/>
        <w:rPr>
          <w:rFonts w:ascii="Garamond" w:hAnsi="Garamond"/>
        </w:rPr>
      </w:pPr>
    </w:p>
    <w:p w14:paraId="2A7912B8" w14:textId="77777777" w:rsidR="001A1E04" w:rsidRPr="00B60621" w:rsidRDefault="001A1E04" w:rsidP="001A1E04">
      <w:pPr>
        <w:pStyle w:val="Heading2"/>
        <w:rPr>
          <w:rFonts w:ascii="Garamond" w:hAnsi="Garamond"/>
          <w:sz w:val="24"/>
          <w:szCs w:val="24"/>
        </w:rPr>
      </w:pPr>
      <w:bookmarkStart w:id="38" w:name="_Toc447276093"/>
      <w:r w:rsidRPr="00B60621">
        <w:rPr>
          <w:rFonts w:ascii="Garamond" w:hAnsi="Garamond"/>
          <w:sz w:val="24"/>
          <w:szCs w:val="24"/>
        </w:rPr>
        <w:lastRenderedPageBreak/>
        <w:t>Conclusion</w:t>
      </w:r>
      <w:bookmarkEnd w:id="38"/>
    </w:p>
    <w:p w14:paraId="01CFF005" w14:textId="2D06110E" w:rsidR="001A1E04" w:rsidRPr="004A0C12" w:rsidRDefault="001A1E04" w:rsidP="001A1E04">
      <w:pPr>
        <w:spacing w:after="0" w:line="240" w:lineRule="auto"/>
        <w:jc w:val="both"/>
        <w:rPr>
          <w:rFonts w:ascii="Garamond" w:hAnsi="Garamond"/>
        </w:rPr>
      </w:pPr>
      <w:r w:rsidRPr="004A0C12">
        <w:rPr>
          <w:rFonts w:ascii="Garamond" w:hAnsi="Garamond"/>
        </w:rPr>
        <w:t>Maryland is home to a diverse and well-educated labor force. The unemployment rate has continued to decline from elevated levels associated with the Great Recession and real GDP is on the rise. Government, Professional and technical s</w:t>
      </w:r>
      <w:r w:rsidR="00C915AD" w:rsidRPr="004A0C12">
        <w:rPr>
          <w:rFonts w:ascii="Garamond" w:hAnsi="Garamond"/>
        </w:rPr>
        <w:t>ervices, and e</w:t>
      </w:r>
      <w:r w:rsidRPr="004A0C12">
        <w:rPr>
          <w:rFonts w:ascii="Garamond" w:hAnsi="Garamond"/>
        </w:rPr>
        <w:t>ducation and health services are industries that employ many Marylanders</w:t>
      </w:r>
      <w:r w:rsidR="00C915AD" w:rsidRPr="004A0C12">
        <w:rPr>
          <w:rFonts w:ascii="Garamond" w:hAnsi="Garamond"/>
        </w:rPr>
        <w:t>,</w:t>
      </w:r>
      <w:r w:rsidRPr="004A0C12">
        <w:rPr>
          <w:rFonts w:ascii="Garamond" w:hAnsi="Garamond"/>
        </w:rPr>
        <w:t xml:space="preserve"> and these industries have recovered from the Great Recession. Additionally, these industries are projected to continue to grow based on long-term projections. Skilled occupations, such as those related to computers or health care, are expected to grow and are high-paying careers available for Marylanders.</w:t>
      </w:r>
    </w:p>
    <w:p w14:paraId="1908B5C7" w14:textId="77777777" w:rsidR="001A1E04" w:rsidRPr="00B60621" w:rsidRDefault="001A1E04" w:rsidP="001A1E04">
      <w:pPr>
        <w:pStyle w:val="Heading2"/>
        <w:rPr>
          <w:rFonts w:ascii="Garamond" w:hAnsi="Garamond"/>
          <w:sz w:val="24"/>
          <w:szCs w:val="24"/>
        </w:rPr>
      </w:pPr>
      <w:bookmarkStart w:id="39" w:name="_Toc447276094"/>
      <w:r w:rsidRPr="00B60621">
        <w:rPr>
          <w:rFonts w:ascii="Garamond" w:hAnsi="Garamond"/>
          <w:sz w:val="24"/>
          <w:szCs w:val="24"/>
        </w:rPr>
        <w:t>Workforce Development, Education and Training Activities Analysis</w:t>
      </w:r>
      <w:bookmarkEnd w:id="39"/>
    </w:p>
    <w:p w14:paraId="7E326590" w14:textId="77777777" w:rsidR="001A1E04" w:rsidRPr="00B60621" w:rsidRDefault="001A1E04" w:rsidP="001A1E04">
      <w:pPr>
        <w:pStyle w:val="Heading3"/>
        <w:rPr>
          <w:rFonts w:ascii="Garamond" w:hAnsi="Garamond"/>
          <w:b w:val="0"/>
          <w:sz w:val="24"/>
          <w:szCs w:val="24"/>
        </w:rPr>
      </w:pPr>
      <w:bookmarkStart w:id="40" w:name="_Toc447276095"/>
      <w:r w:rsidRPr="00B60621">
        <w:rPr>
          <w:rFonts w:ascii="Garamond" w:hAnsi="Garamond"/>
          <w:sz w:val="24"/>
          <w:szCs w:val="24"/>
        </w:rPr>
        <w:t xml:space="preserve">DLLR – </w:t>
      </w:r>
      <w:r w:rsidR="009F5EDD" w:rsidRPr="00B60621">
        <w:rPr>
          <w:rFonts w:ascii="Garamond" w:hAnsi="Garamond"/>
          <w:sz w:val="24"/>
          <w:szCs w:val="24"/>
        </w:rPr>
        <w:t xml:space="preserve">Division of </w:t>
      </w:r>
      <w:r w:rsidRPr="00B60621">
        <w:rPr>
          <w:rFonts w:ascii="Garamond" w:hAnsi="Garamond"/>
          <w:sz w:val="24"/>
          <w:szCs w:val="24"/>
        </w:rPr>
        <w:t>Workforce Development</w:t>
      </w:r>
      <w:r w:rsidR="009F5EDD" w:rsidRPr="00B60621">
        <w:rPr>
          <w:rFonts w:ascii="Garamond" w:hAnsi="Garamond"/>
          <w:sz w:val="24"/>
          <w:szCs w:val="24"/>
        </w:rPr>
        <w:t xml:space="preserve"> and Adult Learning</w:t>
      </w:r>
      <w:bookmarkEnd w:id="40"/>
      <w:r w:rsidRPr="00B60621">
        <w:rPr>
          <w:rFonts w:ascii="Garamond" w:hAnsi="Garamond"/>
          <w:sz w:val="24"/>
          <w:szCs w:val="24"/>
        </w:rPr>
        <w:t xml:space="preserve"> </w:t>
      </w:r>
    </w:p>
    <w:p w14:paraId="6E6F3015" w14:textId="4B34F310" w:rsidR="001A1E04" w:rsidRPr="004A0C12" w:rsidRDefault="001A1E04" w:rsidP="001A1E04">
      <w:pPr>
        <w:spacing w:after="0" w:line="240" w:lineRule="auto"/>
        <w:jc w:val="both"/>
        <w:rPr>
          <w:rFonts w:ascii="Garamond" w:hAnsi="Garamond"/>
        </w:rPr>
      </w:pPr>
      <w:r w:rsidRPr="004A0C12">
        <w:rPr>
          <w:rFonts w:ascii="Garamond" w:hAnsi="Garamond"/>
        </w:rPr>
        <w:t>DLLR commissioned the Jacob France Institute (JFI) at the University of Baltimore to analyze the economic and fiscal contribution of its workforce development programs. The analysis utilized data provided to JFI for outcomes under the core programs provided at Maryland’s American Job Centers during P</w:t>
      </w:r>
      <w:r w:rsidR="003C7999" w:rsidRPr="004A0C12">
        <w:rPr>
          <w:rFonts w:ascii="Garamond" w:hAnsi="Garamond"/>
        </w:rPr>
        <w:t xml:space="preserve">rogram </w:t>
      </w:r>
      <w:r w:rsidRPr="004A0C12">
        <w:rPr>
          <w:rFonts w:ascii="Garamond" w:hAnsi="Garamond"/>
        </w:rPr>
        <w:t>Y</w:t>
      </w:r>
      <w:r w:rsidR="003C7999" w:rsidRPr="004A0C12">
        <w:rPr>
          <w:rFonts w:ascii="Garamond" w:hAnsi="Garamond"/>
        </w:rPr>
        <w:t>ear</w:t>
      </w:r>
      <w:r w:rsidRPr="004A0C12">
        <w:rPr>
          <w:rFonts w:ascii="Garamond" w:hAnsi="Garamond"/>
        </w:rPr>
        <w:t xml:space="preserve"> 2013. </w:t>
      </w:r>
    </w:p>
    <w:p w14:paraId="3A948FB0" w14:textId="77777777" w:rsidR="001A1E04" w:rsidRPr="004A0C12" w:rsidRDefault="001A1E04" w:rsidP="001A1E04">
      <w:pPr>
        <w:spacing w:after="0" w:line="240" w:lineRule="auto"/>
        <w:jc w:val="both"/>
        <w:rPr>
          <w:rFonts w:ascii="Garamond" w:hAnsi="Garamond"/>
        </w:rPr>
      </w:pPr>
    </w:p>
    <w:p w14:paraId="705928BA" w14:textId="7F3443A2" w:rsidR="001A1E04" w:rsidRPr="004A0C12" w:rsidRDefault="002E1552" w:rsidP="001A1E04">
      <w:pPr>
        <w:spacing w:after="0" w:line="240" w:lineRule="auto"/>
        <w:jc w:val="both"/>
        <w:rPr>
          <w:rFonts w:ascii="Garamond" w:hAnsi="Garamond"/>
        </w:rPr>
      </w:pPr>
      <w:r w:rsidRPr="004A0C12">
        <w:rPr>
          <w:rFonts w:ascii="Garamond" w:hAnsi="Garamond"/>
        </w:rPr>
        <w:t>This study used</w:t>
      </w:r>
      <w:r w:rsidR="001A1E04" w:rsidRPr="004A0C12">
        <w:rPr>
          <w:rFonts w:ascii="Garamond" w:hAnsi="Garamond"/>
        </w:rPr>
        <w:t xml:space="preserve"> the standard regional economics modeling method of input/output (I/O) analysis to quantify the induced (multiplier) impacts of DLLR workforce development programs in terms of the earnings of persons placed in employment after receiving DLLR services. This analysis uses an IMPLAN</w:t>
      </w:r>
      <w:r w:rsidR="00C915AD" w:rsidRPr="004A0C12">
        <w:rPr>
          <w:rStyle w:val="FootnoteReference"/>
          <w:rFonts w:ascii="Garamond" w:hAnsi="Garamond"/>
        </w:rPr>
        <w:footnoteReference w:id="37"/>
      </w:r>
      <w:r w:rsidRPr="004A0C12">
        <w:rPr>
          <w:rFonts w:ascii="Garamond" w:hAnsi="Garamond"/>
        </w:rPr>
        <w:t xml:space="preserve"> Maryland economic I/O</w:t>
      </w:r>
      <w:r w:rsidR="001A1E04" w:rsidRPr="004A0C12">
        <w:rPr>
          <w:rFonts w:ascii="Garamond" w:hAnsi="Garamond"/>
        </w:rPr>
        <w:t xml:space="preserve"> model that quantifies the interrelationships between economic sectors. I/O data show the flow of commodities to industries from producers and institutional consumers for any given state, region or county. The data also show consumption activities by workers, owners of capital, and imports from outside the state or region. These trade flows built into the model permit estimating the impacts of one sector on all other sectors with which it interacts. In other words, I/O analysis models the flow of funds that originate from the direct expenditures associated with the earnings of persons entering employment after receiving DLLR workforce development services and the ongoing ripple (multiplier) effect of these earnings. I/O analysis is widely considered the “gold standard” for measurement of economic impacts and is the generally accepted methodology for measuring the economic impact associated with projects, companies, or of entire industries.</w:t>
      </w:r>
    </w:p>
    <w:p w14:paraId="277C66F3" w14:textId="77777777" w:rsidR="001A1E04" w:rsidRPr="004A0C12" w:rsidRDefault="001A1E04" w:rsidP="001A1E04">
      <w:pPr>
        <w:spacing w:after="0" w:line="240" w:lineRule="auto"/>
        <w:jc w:val="both"/>
        <w:rPr>
          <w:rFonts w:ascii="Garamond" w:hAnsi="Garamond"/>
        </w:rPr>
      </w:pPr>
    </w:p>
    <w:p w14:paraId="6A864A06" w14:textId="77777777" w:rsidR="001A1E04" w:rsidRPr="004A0C12" w:rsidRDefault="001A1E04" w:rsidP="001A1E04">
      <w:pPr>
        <w:spacing w:after="0" w:line="240" w:lineRule="auto"/>
        <w:jc w:val="both"/>
        <w:rPr>
          <w:rFonts w:ascii="Garamond" w:hAnsi="Garamond"/>
        </w:rPr>
      </w:pPr>
      <w:r w:rsidRPr="004A0C12">
        <w:rPr>
          <w:rFonts w:ascii="Garamond" w:hAnsi="Garamond"/>
        </w:rPr>
        <w:t>The IMPLAN model allows for the estimation of three key economic measures used in this analysis:</w:t>
      </w:r>
    </w:p>
    <w:p w14:paraId="3CD2A88A" w14:textId="77777777" w:rsidR="001A1E04" w:rsidRPr="004A0C12" w:rsidRDefault="001A1E04" w:rsidP="001A1E04">
      <w:pPr>
        <w:spacing w:after="0" w:line="240" w:lineRule="auto"/>
        <w:jc w:val="both"/>
        <w:rPr>
          <w:rFonts w:ascii="Garamond" w:hAnsi="Garamond"/>
        </w:rPr>
      </w:pPr>
    </w:p>
    <w:p w14:paraId="7898803C" w14:textId="77777777" w:rsidR="001A1E04" w:rsidRPr="004A0C12" w:rsidRDefault="001A1E04" w:rsidP="001A1E04">
      <w:pPr>
        <w:spacing w:after="0" w:line="240" w:lineRule="auto"/>
        <w:ind w:firstLine="720"/>
        <w:jc w:val="both"/>
        <w:rPr>
          <w:rFonts w:ascii="Garamond" w:hAnsi="Garamond"/>
        </w:rPr>
      </w:pPr>
      <w:r w:rsidRPr="004A0C12">
        <w:rPr>
          <w:rFonts w:ascii="Garamond" w:hAnsi="Garamond"/>
        </w:rPr>
        <w:t>Employment – The total number of full and part time jobs in all industries;</w:t>
      </w:r>
    </w:p>
    <w:p w14:paraId="0D7C704A" w14:textId="77777777" w:rsidR="001A1E04" w:rsidRPr="004A0C12" w:rsidRDefault="001A1E04" w:rsidP="001A1E04">
      <w:pPr>
        <w:spacing w:after="0" w:line="240" w:lineRule="auto"/>
        <w:ind w:left="720"/>
        <w:jc w:val="both"/>
        <w:rPr>
          <w:rFonts w:ascii="Garamond" w:hAnsi="Garamond"/>
        </w:rPr>
      </w:pPr>
      <w:r w:rsidRPr="004A0C12">
        <w:rPr>
          <w:rFonts w:ascii="Garamond" w:hAnsi="Garamond"/>
        </w:rPr>
        <w:t>Labor Income – All forms of employment income, including both employee compensation (wages and benefits) and self-employment earnings; and</w:t>
      </w:r>
    </w:p>
    <w:p w14:paraId="79EC8F56" w14:textId="77777777" w:rsidR="001A1E04" w:rsidRPr="004A0C12" w:rsidRDefault="001A1E04" w:rsidP="001A1E04">
      <w:pPr>
        <w:spacing w:after="0" w:line="240" w:lineRule="auto"/>
        <w:ind w:firstLine="720"/>
        <w:jc w:val="both"/>
        <w:rPr>
          <w:rFonts w:ascii="Garamond" w:hAnsi="Garamond"/>
        </w:rPr>
      </w:pPr>
      <w:r w:rsidRPr="004A0C12">
        <w:rPr>
          <w:rFonts w:ascii="Garamond" w:hAnsi="Garamond"/>
        </w:rPr>
        <w:t>Output – The total value of production or sales in all industries.</w:t>
      </w:r>
    </w:p>
    <w:p w14:paraId="0343C8E3" w14:textId="77777777" w:rsidR="001A1E04" w:rsidRPr="004A0C12" w:rsidRDefault="001A1E04" w:rsidP="001A1E04">
      <w:pPr>
        <w:spacing w:after="0" w:line="240" w:lineRule="auto"/>
        <w:jc w:val="both"/>
        <w:rPr>
          <w:rFonts w:ascii="Garamond" w:hAnsi="Garamond"/>
        </w:rPr>
      </w:pPr>
    </w:p>
    <w:p w14:paraId="5A7E5CA4" w14:textId="77777777" w:rsidR="001A1E04" w:rsidRPr="004A0C12" w:rsidRDefault="001A1E04" w:rsidP="001A1E04">
      <w:pPr>
        <w:spacing w:after="0" w:line="240" w:lineRule="auto"/>
        <w:jc w:val="both"/>
        <w:rPr>
          <w:rFonts w:ascii="Garamond" w:hAnsi="Garamond"/>
        </w:rPr>
      </w:pPr>
      <w:r w:rsidRPr="004A0C12">
        <w:rPr>
          <w:rFonts w:ascii="Garamond" w:hAnsi="Garamond"/>
        </w:rPr>
        <w:t>Economic impact analyses begin with quantifying the direct effect of an activity. In the case of this analysis, the direct effect being modeled is the earnings of persons placed in or entering employment after receiving DLLR workforce development services. As described above, the JFI obtained data on the number of previously unemployed persons who were placed or entered into employment and their associated average annual earnings for Program Year 2013 from DLLR.</w:t>
      </w:r>
    </w:p>
    <w:p w14:paraId="4CCF95CE" w14:textId="77777777" w:rsidR="00C915AD" w:rsidRPr="004A0C12" w:rsidRDefault="00C915AD" w:rsidP="001A1E04">
      <w:pPr>
        <w:spacing w:after="0" w:line="240" w:lineRule="auto"/>
        <w:jc w:val="both"/>
        <w:rPr>
          <w:rFonts w:ascii="Garamond" w:hAnsi="Garamond"/>
        </w:rPr>
      </w:pPr>
    </w:p>
    <w:p w14:paraId="3CB4F7EA" w14:textId="77777777" w:rsidR="001A1E04" w:rsidRPr="004A0C12" w:rsidRDefault="001A1E04" w:rsidP="001A1E04">
      <w:pPr>
        <w:spacing w:after="0" w:line="240" w:lineRule="auto"/>
        <w:jc w:val="both"/>
        <w:rPr>
          <w:rFonts w:ascii="Garamond" w:hAnsi="Garamond"/>
        </w:rPr>
      </w:pPr>
      <w:r w:rsidRPr="004A0C12">
        <w:rPr>
          <w:rFonts w:ascii="Garamond" w:hAnsi="Garamond"/>
        </w:rPr>
        <w:t>For this analysis, the contribution of DLLR’s WIA and Wagner-Peyser Act workforce development programs is considered to be the earnings of the previously unemployed persons receiving services under both programs. These earnings impact the Maryland economy as they are spent on purchases of goods, services, housing and other activities.</w:t>
      </w:r>
    </w:p>
    <w:p w14:paraId="0597B1EA" w14:textId="77777777" w:rsidR="001A1E04" w:rsidRPr="004A0C12" w:rsidRDefault="001A1E04" w:rsidP="001A1E04">
      <w:pPr>
        <w:spacing w:after="0" w:line="240" w:lineRule="auto"/>
        <w:jc w:val="both"/>
        <w:rPr>
          <w:rFonts w:ascii="Garamond" w:hAnsi="Garamond"/>
        </w:rPr>
      </w:pPr>
    </w:p>
    <w:p w14:paraId="279112AF" w14:textId="52B2D268" w:rsidR="001A1E04" w:rsidRPr="004A0C12" w:rsidRDefault="001A1E04" w:rsidP="001A1E04">
      <w:pPr>
        <w:spacing w:after="0" w:line="240" w:lineRule="auto"/>
        <w:jc w:val="both"/>
        <w:rPr>
          <w:rFonts w:ascii="Garamond" w:hAnsi="Garamond"/>
        </w:rPr>
      </w:pPr>
      <w:r w:rsidRPr="004A0C12">
        <w:rPr>
          <w:rFonts w:ascii="Garamond" w:hAnsi="Garamond"/>
        </w:rPr>
        <w:t xml:space="preserve">As presented in the table below, there is a total of $1.37 billion in earnings associated with the 70,786 previously unemployed persons included in this analysis, placed in or entering employment after receiving services from DLLR’s WIA and Wagner-Peyser Act funded programs. The 3,340 previously unemployed persons placed in or entering employment after receiving WIA services had </w:t>
      </w:r>
      <w:r w:rsidR="00C915AD" w:rsidRPr="004A0C12">
        <w:rPr>
          <w:rFonts w:ascii="Garamond" w:hAnsi="Garamond"/>
        </w:rPr>
        <w:t xml:space="preserve">an </w:t>
      </w:r>
      <w:r w:rsidRPr="004A0C12">
        <w:rPr>
          <w:rFonts w:ascii="Garamond" w:hAnsi="Garamond"/>
        </w:rPr>
        <w:t>e</w:t>
      </w:r>
      <w:r w:rsidR="00C915AD" w:rsidRPr="004A0C12">
        <w:rPr>
          <w:rFonts w:ascii="Garamond" w:hAnsi="Garamond"/>
        </w:rPr>
        <w:t>stimated annual income of $86</w:t>
      </w:r>
      <w:r w:rsidRPr="004A0C12">
        <w:rPr>
          <w:rFonts w:ascii="Garamond" w:hAnsi="Garamond"/>
        </w:rPr>
        <w:t xml:space="preserve"> million.</w:t>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p>
    <w:p w14:paraId="038691A7" w14:textId="6F2BEA30" w:rsidR="001A1E04" w:rsidRPr="004A0C12" w:rsidRDefault="001A1E04" w:rsidP="001A1E04">
      <w:pPr>
        <w:spacing w:after="0" w:line="240" w:lineRule="auto"/>
        <w:jc w:val="both"/>
        <w:rPr>
          <w:rFonts w:ascii="Garamond" w:hAnsi="Garamond"/>
        </w:rPr>
      </w:pPr>
      <w:r w:rsidRPr="004A0C12">
        <w:rPr>
          <w:rFonts w:ascii="Garamond" w:hAnsi="Garamond"/>
        </w:rPr>
        <w:t xml:space="preserve">The earnings of the previously unemployed persons receiving services from WIA and Wagner-Peyser Act funded programs is one measure of DLLR’s contribution to the State of Maryland. Simply counting these earnings as the economic contribution of the </w:t>
      </w:r>
      <w:r w:rsidRPr="004A0C12">
        <w:rPr>
          <w:rFonts w:ascii="Garamond" w:hAnsi="Garamond"/>
        </w:rPr>
        <w:lastRenderedPageBreak/>
        <w:t>program</w:t>
      </w:r>
      <w:r w:rsidR="00B87622" w:rsidRPr="004A0C12">
        <w:rPr>
          <w:rFonts w:ascii="Garamond" w:hAnsi="Garamond"/>
        </w:rPr>
        <w:t>,</w:t>
      </w:r>
      <w:r w:rsidRPr="004A0C12">
        <w:rPr>
          <w:rFonts w:ascii="Garamond" w:hAnsi="Garamond"/>
        </w:rPr>
        <w:t xml:space="preserve"> however, undercounts the actual contribution of the program. These earnings also support other economic activity in the State as the incomes of these previously unemployed persons are spent and become income for businesses and other individuals in the State. This additional spending can be measured through the use of economic I/O modeling, which estimates the “multiplier” effects of the additional rounds of spending associated with an activity.</w:t>
      </w:r>
    </w:p>
    <w:p w14:paraId="5C8E717B" w14:textId="77777777" w:rsidR="001A1E04" w:rsidRPr="004A0C12" w:rsidRDefault="001A1E04" w:rsidP="001A1E04">
      <w:pPr>
        <w:spacing w:after="0" w:line="240" w:lineRule="auto"/>
        <w:jc w:val="both"/>
        <w:rPr>
          <w:rFonts w:ascii="Garamond" w:hAnsi="Garamond"/>
        </w:rPr>
      </w:pPr>
      <w:r w:rsidRPr="004A0C12">
        <w:rPr>
          <w:rFonts w:ascii="Garamond" w:hAnsi="Garamond"/>
          <w:noProof/>
        </w:rPr>
        <mc:AlternateContent>
          <mc:Choice Requires="wps">
            <w:drawing>
              <wp:anchor distT="0" distB="0" distL="114300" distR="114300" simplePos="0" relativeHeight="251685888" behindDoc="0" locked="0" layoutInCell="1" allowOverlap="1" wp14:anchorId="1A108ECB" wp14:editId="1BE11033">
                <wp:simplePos x="0" y="0"/>
                <wp:positionH relativeFrom="column">
                  <wp:posOffset>-82550</wp:posOffset>
                </wp:positionH>
                <wp:positionV relativeFrom="paragraph">
                  <wp:posOffset>191770</wp:posOffset>
                </wp:positionV>
                <wp:extent cx="7220585" cy="2066925"/>
                <wp:effectExtent l="0" t="0" r="18415" b="28575"/>
                <wp:wrapTopAndBottom/>
                <wp:docPr id="313" name="Text Box 313"/>
                <wp:cNvGraphicFramePr/>
                <a:graphic xmlns:a="http://schemas.openxmlformats.org/drawingml/2006/main">
                  <a:graphicData uri="http://schemas.microsoft.com/office/word/2010/wordprocessingShape">
                    <wps:wsp>
                      <wps:cNvSpPr txBox="1"/>
                      <wps:spPr>
                        <a:xfrm>
                          <a:off x="0" y="0"/>
                          <a:ext cx="7220585" cy="2066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11158" w:type="dxa"/>
                              <w:tblLayout w:type="fixed"/>
                              <w:tblLook w:val="0000" w:firstRow="0" w:lastRow="0" w:firstColumn="0" w:lastColumn="0" w:noHBand="0" w:noVBand="0"/>
                              <w:tblCaption w:val="Increases in Incomes Attributable to DLLR Wagner-Peyser Act and WIA Program Entered Employment and Placements, Program Year 2013"/>
                              <w:tblDescription w:val="This charts increases in incomes that are attibutable to DLLR Wagner-Peyser Act and WIA Program Entered Employment and Placement for Program Year 2013. Of WIA, 3,340 entered employment with an estimated pre-tax earnings of 85,958,990. Of WIA Adult, 1,105 entered employment with 30,689 average annual salary and 27,012,010 estimated pre-tax earnings. Of WIA Dislocated Worker, 1,717 entered employment with 37,849 average annual salary and 54,966,320 estimated pre-tax earnings. Of WIA Youth, 518 entered employment with 12,695 average annual salary and 3,980,660 estimated pre-tax earnings. Of Wagner Peyser Act participants, 70,786 entered employment with 28,105 average annual salary and 1,366,668,724 estimated pre-tax earnings. "/>
                            </w:tblPr>
                            <w:tblGrid>
                              <w:gridCol w:w="3236"/>
                              <w:gridCol w:w="1609"/>
                              <w:gridCol w:w="2104"/>
                              <w:gridCol w:w="2104"/>
                              <w:gridCol w:w="2105"/>
                            </w:tblGrid>
                            <w:tr w:rsidR="003D14AC" w:rsidRPr="001A1E04" w14:paraId="4AFC5647" w14:textId="77777777" w:rsidTr="00847A0D">
                              <w:trPr>
                                <w:trHeight w:val="590"/>
                                <w:tblHeader/>
                              </w:trPr>
                              <w:tc>
                                <w:tcPr>
                                  <w:cnfStyle w:val="000010000000" w:firstRow="0" w:lastRow="0" w:firstColumn="0" w:lastColumn="0" w:oddVBand="1" w:evenVBand="0" w:oddHBand="0" w:evenHBand="0" w:firstRowFirstColumn="0" w:firstRowLastColumn="0" w:lastRowFirstColumn="0" w:lastRowLastColumn="0"/>
                                  <w:tcW w:w="11158" w:type="dxa"/>
                                  <w:gridSpan w:val="5"/>
                                </w:tcPr>
                                <w:p w14:paraId="1598D0DF"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 xml:space="preserve">Increase in Incomes Attributable to DLLR Wagner-Peyser Act and WIA Program Entered </w:t>
                                  </w:r>
                                </w:p>
                                <w:p w14:paraId="2291B5E8"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Employment and Placements, Program Year 2013</w:t>
                                  </w:r>
                                </w:p>
                              </w:tc>
                            </w:tr>
                            <w:tr w:rsidR="003D14AC" w:rsidRPr="001A1E04" w14:paraId="4F44D706" w14:textId="77777777" w:rsidTr="00C915AD">
                              <w:trPr>
                                <w:cnfStyle w:val="000000100000" w:firstRow="0" w:lastRow="0" w:firstColumn="0" w:lastColumn="0" w:oddVBand="0" w:evenVBand="0" w:oddHBand="1" w:evenHBand="0" w:firstRowFirstColumn="0" w:firstRowLastColumn="0" w:lastRowFirstColumn="0" w:lastRowLastColumn="0"/>
                                <w:trHeight w:val="590"/>
                              </w:trPr>
                              <w:tc>
                                <w:tcPr>
                                  <w:cnfStyle w:val="000010000000" w:firstRow="0" w:lastRow="0" w:firstColumn="0" w:lastColumn="0" w:oddVBand="1" w:evenVBand="0" w:oddHBand="0" w:evenHBand="0" w:firstRowFirstColumn="0" w:firstRowLastColumn="0" w:lastRowFirstColumn="0" w:lastRowLastColumn="0"/>
                                  <w:tcW w:w="3236" w:type="dxa"/>
                                </w:tcPr>
                                <w:p w14:paraId="4D86C932" w14:textId="77777777" w:rsidR="003D14AC" w:rsidRPr="001A1E04" w:rsidRDefault="003D14AC" w:rsidP="001A1E04">
                                  <w:pPr>
                                    <w:pStyle w:val="ListParagraph"/>
                                    <w:ind w:left="0"/>
                                    <w:jc w:val="both"/>
                                    <w:rPr>
                                      <w:rFonts w:ascii="Times New Roman Italic" w:hAnsi="Times New Roman Italic"/>
                                      <w:sz w:val="21"/>
                                      <w:szCs w:val="21"/>
                                    </w:rPr>
                                  </w:pPr>
                                  <w:r w:rsidRPr="001A1E04">
                                    <w:rPr>
                                      <w:rFonts w:ascii="Times New Roman Italic" w:hAnsi="Times New Roman Italic"/>
                                      <w:sz w:val="21"/>
                                      <w:szCs w:val="21"/>
                                    </w:rPr>
                                    <w:t>Program</w:t>
                                  </w:r>
                                </w:p>
                              </w:tc>
                              <w:tc>
                                <w:tcPr>
                                  <w:tcW w:w="1609" w:type="dxa"/>
                                </w:tcPr>
                                <w:p w14:paraId="46E1501E"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4CCB5747" w14:textId="77777777" w:rsidR="003D14AC" w:rsidRPr="001A1E04" w:rsidRDefault="003D14AC" w:rsidP="001A1E04">
                                  <w:pPr>
                                    <w:pStyle w:val="ListParagraph"/>
                                    <w:ind w:left="162"/>
                                    <w:jc w:val="center"/>
                                    <w:rPr>
                                      <w:rFonts w:ascii="Times New Roman Italic" w:hAnsi="Times New Roman Italic"/>
                                      <w:sz w:val="21"/>
                                      <w:szCs w:val="21"/>
                                    </w:rPr>
                                  </w:pPr>
                                  <w:r w:rsidRPr="001A1E04">
                                    <w:rPr>
                                      <w:rFonts w:ascii="Times New Roman Italic" w:hAnsi="Times New Roman Italic"/>
                                      <w:sz w:val="21"/>
                                      <w:szCs w:val="21"/>
                                    </w:rPr>
                                    <w:t>Entered Employment</w:t>
                                  </w:r>
                                </w:p>
                              </w:tc>
                              <w:tc>
                                <w:tcPr>
                                  <w:tcW w:w="2104" w:type="dxa"/>
                                </w:tcPr>
                                <w:p w14:paraId="2FE02A77" w14:textId="77777777" w:rsidR="003D14AC" w:rsidRPr="001A1E04" w:rsidRDefault="003D14AC" w:rsidP="001A1E04">
                                  <w:pPr>
                                    <w:pStyle w:val="ListParagraph"/>
                                    <w:ind w:left="162"/>
                                    <w:jc w:val="center"/>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Average Annual Salary</w:t>
                                  </w:r>
                                </w:p>
                              </w:tc>
                              <w:tc>
                                <w:tcPr>
                                  <w:cnfStyle w:val="000010000000" w:firstRow="0" w:lastRow="0" w:firstColumn="0" w:lastColumn="0" w:oddVBand="1" w:evenVBand="0" w:oddHBand="0" w:evenHBand="0" w:firstRowFirstColumn="0" w:firstRowLastColumn="0" w:lastRowFirstColumn="0" w:lastRowLastColumn="0"/>
                                  <w:tcW w:w="2104" w:type="dxa"/>
                                </w:tcPr>
                                <w:p w14:paraId="45C9F1BE" w14:textId="77777777" w:rsidR="003D14AC" w:rsidRPr="001A1E04" w:rsidRDefault="003D14AC" w:rsidP="001A1E04">
                                  <w:pPr>
                                    <w:pStyle w:val="ListParagraph"/>
                                    <w:ind w:left="162"/>
                                    <w:jc w:val="center"/>
                                    <w:rPr>
                                      <w:rFonts w:ascii="Times New Roman Italic" w:hAnsi="Times New Roman Italic"/>
                                      <w:sz w:val="21"/>
                                      <w:szCs w:val="21"/>
                                    </w:rPr>
                                  </w:pPr>
                                  <w:r w:rsidRPr="001A1E04">
                                    <w:rPr>
                                      <w:rFonts w:ascii="Times New Roman Italic" w:hAnsi="Times New Roman Italic"/>
                                      <w:sz w:val="21"/>
                                      <w:szCs w:val="21"/>
                                    </w:rPr>
                                    <w:t>Estimated</w:t>
                                  </w:r>
                                </w:p>
                                <w:p w14:paraId="6F4BF00B" w14:textId="77777777" w:rsidR="003D14AC" w:rsidRPr="001A1E04" w:rsidRDefault="003D14AC" w:rsidP="001A1E04">
                                  <w:pPr>
                                    <w:pStyle w:val="ListParagraph"/>
                                    <w:ind w:left="162"/>
                                    <w:jc w:val="center"/>
                                    <w:rPr>
                                      <w:rFonts w:ascii="Times New Roman Italic" w:hAnsi="Times New Roman Italic"/>
                                      <w:sz w:val="21"/>
                                      <w:szCs w:val="21"/>
                                    </w:rPr>
                                  </w:pPr>
                                  <w:r w:rsidRPr="001A1E04">
                                    <w:rPr>
                                      <w:rFonts w:ascii="Times New Roman Italic" w:hAnsi="Times New Roman Italic"/>
                                      <w:sz w:val="21"/>
                                      <w:szCs w:val="21"/>
                                    </w:rPr>
                                    <w:t>Pre-Tax Earnings</w:t>
                                  </w:r>
                                </w:p>
                              </w:tc>
                            </w:tr>
                            <w:tr w:rsidR="003D14AC" w:rsidRPr="001A1E04" w14:paraId="0D0B94A2" w14:textId="77777777" w:rsidTr="00C915AD">
                              <w:trPr>
                                <w:trHeight w:val="346"/>
                              </w:trPr>
                              <w:tc>
                                <w:tcPr>
                                  <w:cnfStyle w:val="000010000000" w:firstRow="0" w:lastRow="0" w:firstColumn="0" w:lastColumn="0" w:oddVBand="1" w:evenVBand="0" w:oddHBand="0" w:evenHBand="0" w:firstRowFirstColumn="0" w:firstRowLastColumn="0" w:lastRowFirstColumn="0" w:lastRowLastColumn="0"/>
                                  <w:tcW w:w="3236" w:type="dxa"/>
                                </w:tcPr>
                                <w:p w14:paraId="1EF9D2EE"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WIA</w:t>
                                  </w:r>
                                </w:p>
                              </w:tc>
                              <w:tc>
                                <w:tcPr>
                                  <w:tcW w:w="1609" w:type="dxa"/>
                                </w:tcPr>
                                <w:p w14:paraId="711DAE74"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1ABA889C"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3,340</w:t>
                                  </w:r>
                                </w:p>
                              </w:tc>
                              <w:tc>
                                <w:tcPr>
                                  <w:tcW w:w="2104" w:type="dxa"/>
                                </w:tcPr>
                                <w:p w14:paraId="011794E1"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00B724CE"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85,958,990</w:t>
                                  </w:r>
                                </w:p>
                              </w:tc>
                            </w:tr>
                            <w:tr w:rsidR="003D14AC" w:rsidRPr="001A1E04" w14:paraId="205F8A5C" w14:textId="77777777" w:rsidTr="00C915AD">
                              <w:trPr>
                                <w:cnfStyle w:val="000000100000" w:firstRow="0" w:lastRow="0" w:firstColumn="0" w:lastColumn="0" w:oddVBand="0" w:evenVBand="0" w:oddHBand="1" w:evenHBand="0" w:firstRowFirstColumn="0" w:firstRowLastColumn="0" w:lastRowFirstColumn="0" w:lastRowLastColumn="0"/>
                                <w:trHeight w:val="346"/>
                              </w:trPr>
                              <w:tc>
                                <w:tcPr>
                                  <w:cnfStyle w:val="000010000000" w:firstRow="0" w:lastRow="0" w:firstColumn="0" w:lastColumn="0" w:oddVBand="1" w:evenVBand="0" w:oddHBand="0" w:evenHBand="0" w:firstRowFirstColumn="0" w:firstRowLastColumn="0" w:lastRowFirstColumn="0" w:lastRowLastColumn="0"/>
                                  <w:tcW w:w="3236" w:type="dxa"/>
                                </w:tcPr>
                                <w:p w14:paraId="1051C6C2" w14:textId="77777777" w:rsidR="003D14AC" w:rsidRPr="001A1E04" w:rsidRDefault="003D14AC" w:rsidP="001A1E04">
                                  <w:pPr>
                                    <w:rPr>
                                      <w:sz w:val="21"/>
                                      <w:szCs w:val="21"/>
                                    </w:rPr>
                                  </w:pPr>
                                  <w:r w:rsidRPr="001A1E04">
                                    <w:rPr>
                                      <w:sz w:val="21"/>
                                      <w:szCs w:val="21"/>
                                    </w:rPr>
                                    <w:tab/>
                                    <w:t>Adult</w:t>
                                  </w:r>
                                </w:p>
                              </w:tc>
                              <w:tc>
                                <w:tcPr>
                                  <w:tcW w:w="1609" w:type="dxa"/>
                                </w:tcPr>
                                <w:p w14:paraId="2C42B8A5"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16B26D35"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1,105</w:t>
                                  </w:r>
                                </w:p>
                              </w:tc>
                              <w:tc>
                                <w:tcPr>
                                  <w:tcW w:w="2104" w:type="dxa"/>
                                </w:tcPr>
                                <w:p w14:paraId="561446DF"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30,689</w:t>
                                  </w:r>
                                </w:p>
                              </w:tc>
                              <w:tc>
                                <w:tcPr>
                                  <w:cnfStyle w:val="000010000000" w:firstRow="0" w:lastRow="0" w:firstColumn="0" w:lastColumn="0" w:oddVBand="1" w:evenVBand="0" w:oddHBand="0" w:evenHBand="0" w:firstRowFirstColumn="0" w:firstRowLastColumn="0" w:lastRowFirstColumn="0" w:lastRowLastColumn="0"/>
                                  <w:tcW w:w="2104" w:type="dxa"/>
                                </w:tcPr>
                                <w:p w14:paraId="62EFB0D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27,012,010</w:t>
                                  </w:r>
                                </w:p>
                              </w:tc>
                            </w:tr>
                            <w:tr w:rsidR="003D14AC" w:rsidRPr="001A1E04" w14:paraId="5C23E25D" w14:textId="77777777" w:rsidTr="00C915AD">
                              <w:trPr>
                                <w:trHeight w:val="346"/>
                              </w:trPr>
                              <w:tc>
                                <w:tcPr>
                                  <w:cnfStyle w:val="000010000000" w:firstRow="0" w:lastRow="0" w:firstColumn="0" w:lastColumn="0" w:oddVBand="1" w:evenVBand="0" w:oddHBand="0" w:evenHBand="0" w:firstRowFirstColumn="0" w:firstRowLastColumn="0" w:lastRowFirstColumn="0" w:lastRowLastColumn="0"/>
                                  <w:tcW w:w="3236" w:type="dxa"/>
                                </w:tcPr>
                                <w:p w14:paraId="0C4BC0FE"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Dislocated Worker</w:t>
                                  </w:r>
                                </w:p>
                              </w:tc>
                              <w:tc>
                                <w:tcPr>
                                  <w:tcW w:w="1609" w:type="dxa"/>
                                </w:tcPr>
                                <w:p w14:paraId="51379462"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5C4451B6"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1,717</w:t>
                                  </w:r>
                                </w:p>
                              </w:tc>
                              <w:tc>
                                <w:tcPr>
                                  <w:tcW w:w="2104" w:type="dxa"/>
                                </w:tcPr>
                                <w:p w14:paraId="43FF925A"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37,849</w:t>
                                  </w:r>
                                </w:p>
                              </w:tc>
                              <w:tc>
                                <w:tcPr>
                                  <w:cnfStyle w:val="000010000000" w:firstRow="0" w:lastRow="0" w:firstColumn="0" w:lastColumn="0" w:oddVBand="1" w:evenVBand="0" w:oddHBand="0" w:evenHBand="0" w:firstRowFirstColumn="0" w:firstRowLastColumn="0" w:lastRowFirstColumn="0" w:lastRowLastColumn="0"/>
                                  <w:tcW w:w="2104" w:type="dxa"/>
                                </w:tcPr>
                                <w:p w14:paraId="3E9E5B5D"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54,966,320</w:t>
                                  </w:r>
                                </w:p>
                              </w:tc>
                            </w:tr>
                            <w:tr w:rsidR="003D14AC" w:rsidRPr="001A1E04" w14:paraId="56FEC3F3" w14:textId="77777777" w:rsidTr="00C915AD">
                              <w:trPr>
                                <w:cnfStyle w:val="000000100000" w:firstRow="0" w:lastRow="0" w:firstColumn="0" w:lastColumn="0" w:oddVBand="0" w:evenVBand="0" w:oddHBand="1" w:evenHBand="0" w:firstRowFirstColumn="0" w:firstRowLastColumn="0" w:lastRowFirstColumn="0" w:lastRowLastColumn="0"/>
                                <w:trHeight w:val="346"/>
                              </w:trPr>
                              <w:tc>
                                <w:tcPr>
                                  <w:cnfStyle w:val="000010000000" w:firstRow="0" w:lastRow="0" w:firstColumn="0" w:lastColumn="0" w:oddVBand="1" w:evenVBand="0" w:oddHBand="0" w:evenHBand="0" w:firstRowFirstColumn="0" w:firstRowLastColumn="0" w:lastRowFirstColumn="0" w:lastRowLastColumn="0"/>
                                  <w:tcW w:w="3236" w:type="dxa"/>
                                </w:tcPr>
                                <w:p w14:paraId="67AFF2FB"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Youth</w:t>
                                  </w:r>
                                </w:p>
                              </w:tc>
                              <w:tc>
                                <w:tcPr>
                                  <w:tcW w:w="1609" w:type="dxa"/>
                                </w:tcPr>
                                <w:p w14:paraId="64098848"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5CBE3115"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518</w:t>
                                  </w:r>
                                </w:p>
                              </w:tc>
                              <w:tc>
                                <w:tcPr>
                                  <w:tcW w:w="2104" w:type="dxa"/>
                                </w:tcPr>
                                <w:p w14:paraId="076DE74C"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12,695</w:t>
                                  </w:r>
                                </w:p>
                              </w:tc>
                              <w:tc>
                                <w:tcPr>
                                  <w:cnfStyle w:val="000010000000" w:firstRow="0" w:lastRow="0" w:firstColumn="0" w:lastColumn="0" w:oddVBand="1" w:evenVBand="0" w:oddHBand="0" w:evenHBand="0" w:firstRowFirstColumn="0" w:firstRowLastColumn="0" w:lastRowFirstColumn="0" w:lastRowLastColumn="0"/>
                                  <w:tcW w:w="2104" w:type="dxa"/>
                                </w:tcPr>
                                <w:p w14:paraId="1E4EFAF8"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3,980,660</w:t>
                                  </w:r>
                                </w:p>
                              </w:tc>
                            </w:tr>
                            <w:tr w:rsidR="003D14AC" w:rsidRPr="001A1E04" w14:paraId="6E3EF783" w14:textId="77777777" w:rsidTr="00C915AD">
                              <w:trPr>
                                <w:trHeight w:val="346"/>
                              </w:trPr>
                              <w:tc>
                                <w:tcPr>
                                  <w:cnfStyle w:val="000010000000" w:firstRow="0" w:lastRow="0" w:firstColumn="0" w:lastColumn="0" w:oddVBand="1" w:evenVBand="0" w:oddHBand="0" w:evenHBand="0" w:firstRowFirstColumn="0" w:firstRowLastColumn="0" w:lastRowFirstColumn="0" w:lastRowLastColumn="0"/>
                                  <w:tcW w:w="3236" w:type="dxa"/>
                                </w:tcPr>
                                <w:p w14:paraId="06B0228A" w14:textId="77777777" w:rsidR="003D14AC" w:rsidRPr="001A1E04" w:rsidRDefault="003D14AC" w:rsidP="001A1E04">
                                  <w:pPr>
                                    <w:pStyle w:val="ListParagraph"/>
                                    <w:ind w:left="0"/>
                                    <w:jc w:val="both"/>
                                    <w:rPr>
                                      <w:rFonts w:ascii="Times New Roman Bold" w:hAnsi="Times New Roman Bold"/>
                                      <w:sz w:val="21"/>
                                      <w:szCs w:val="21"/>
                                    </w:rPr>
                                  </w:pPr>
                                  <w:r w:rsidRPr="001A1E04">
                                    <w:rPr>
                                      <w:rFonts w:ascii="Times New Roman Bold" w:hAnsi="Times New Roman Bold"/>
                                      <w:sz w:val="21"/>
                                      <w:szCs w:val="21"/>
                                    </w:rPr>
                                    <w:t>Wagner Peyser</w:t>
                                  </w:r>
                                </w:p>
                              </w:tc>
                              <w:tc>
                                <w:tcPr>
                                  <w:tcW w:w="1609" w:type="dxa"/>
                                </w:tcPr>
                                <w:p w14:paraId="2E29B2C5"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10BBF09B"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70,786</w:t>
                                  </w:r>
                                </w:p>
                              </w:tc>
                              <w:tc>
                                <w:tcPr>
                                  <w:tcW w:w="2104" w:type="dxa"/>
                                </w:tcPr>
                                <w:p w14:paraId="150A3743"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28,105</w:t>
                                  </w:r>
                                </w:p>
                              </w:tc>
                              <w:tc>
                                <w:tcPr>
                                  <w:cnfStyle w:val="000010000000" w:firstRow="0" w:lastRow="0" w:firstColumn="0" w:lastColumn="0" w:oddVBand="1" w:evenVBand="0" w:oddHBand="0" w:evenHBand="0" w:firstRowFirstColumn="0" w:firstRowLastColumn="0" w:lastRowFirstColumn="0" w:lastRowLastColumn="0"/>
                                  <w:tcW w:w="2104" w:type="dxa"/>
                                </w:tcPr>
                                <w:p w14:paraId="43F6CDB8"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1,366,668,724</w:t>
                                  </w:r>
                                </w:p>
                              </w:tc>
                            </w:tr>
                          </w:tbl>
                          <w:p w14:paraId="00AA5D78" w14:textId="77777777" w:rsidR="003D14AC" w:rsidRDefault="003D14AC" w:rsidP="001A1E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3" o:spid="_x0000_s1044" type="#_x0000_t202" style="position:absolute;left:0;text-align:left;margin-left:-6.5pt;margin-top:15.1pt;width:568.55pt;height:162.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" fillcolor="white [3201]" strokeweight=".5pt">
                <v:textbox>
                  <w:txbxContent>
                    <w:tbl>
                      <w:tblPr>
                        <w:tblStyle w:val="PlainTable11"/>
                        <w:tblW w:w="11158" w:type="dxa"/>
                        <w:tblLayout w:type="fixed"/>
                        <w:tblLook w:val="0000" w:firstRow="0" w:lastRow="0" w:firstColumn="0" w:lastColumn="0" w:noHBand="0" w:noVBand="0"/>
                        <w:tblCaption w:val="Increases in Incomes Attributable to DLLR Wagner-Peyser Act and WIA Program Entered Employment and Placements, Program Year 2013"/>
                        <w:tblDescription w:val="This charts increases in incomes that are attibutable to DLLR Wagner-Peyser Act and WIA Program Entered Employment and Placement for Program Year 2013. Of WIA, 3,340 entered employment with an estimated pre-tax earnings of 85,958,990. Of WIA Adult, 1,105 entered employment with 30,689 average annual salary and 27,012,010 estimated pre-tax earnings. Of WIA Dislocated Worker, 1,717 entered employment with 37,849 average annual salary and 54,966,320 estimated pre-tax earnings. Of WIA Youth, 518 entered employment with 12,695 average annual salary and 3,980,660 estimated pre-tax earnings. Of Wagner Peyser Act participants, 70,786 entered employment with 28,105 average annual salary and 1,366,668,724 estimated pre-tax earnings. "/>
                      </w:tblPr>
                      <w:tblGrid>
                        <w:gridCol w:w="3236"/>
                        <w:gridCol w:w="1609"/>
                        <w:gridCol w:w="2104"/>
                        <w:gridCol w:w="2104"/>
                        <w:gridCol w:w="2105"/>
                      </w:tblGrid>
                      <w:tr w:rsidR="003D14AC" w:rsidRPr="001A1E04" w14:paraId="4AFC5647" w14:textId="77777777" w:rsidTr="00847A0D">
                        <w:trPr>
                          <w:trHeight w:val="590"/>
                          <w:tblHeader/>
                        </w:trPr>
                        <w:tc>
                          <w:tcPr>
                            <w:cnfStyle w:val="000010000000" w:firstRow="0" w:lastRow="0" w:firstColumn="0" w:lastColumn="0" w:oddVBand="1" w:evenVBand="0" w:oddHBand="0" w:evenHBand="0" w:firstRowFirstColumn="0" w:firstRowLastColumn="0" w:lastRowFirstColumn="0" w:lastRowLastColumn="0"/>
                            <w:tcW w:w="11158" w:type="dxa"/>
                            <w:gridSpan w:val="5"/>
                          </w:tcPr>
                          <w:p w14:paraId="1598D0DF"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 xml:space="preserve">Increase in Incomes Attributable to DLLR Wagner-Peyser Act and WIA Program Entered </w:t>
                            </w:r>
                          </w:p>
                          <w:p w14:paraId="2291B5E8"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Employment and Placements, Program Year 2013</w:t>
                            </w:r>
                          </w:p>
                        </w:tc>
                      </w:tr>
                      <w:tr w:rsidR="003D14AC" w:rsidRPr="001A1E04" w14:paraId="4F44D706" w14:textId="77777777" w:rsidTr="00C915AD">
                        <w:trPr>
                          <w:cnfStyle w:val="000000100000" w:firstRow="0" w:lastRow="0" w:firstColumn="0" w:lastColumn="0" w:oddVBand="0" w:evenVBand="0" w:oddHBand="1" w:evenHBand="0" w:firstRowFirstColumn="0" w:firstRowLastColumn="0" w:lastRowFirstColumn="0" w:lastRowLastColumn="0"/>
                          <w:trHeight w:val="590"/>
                        </w:trPr>
                        <w:tc>
                          <w:tcPr>
                            <w:cnfStyle w:val="000010000000" w:firstRow="0" w:lastRow="0" w:firstColumn="0" w:lastColumn="0" w:oddVBand="1" w:evenVBand="0" w:oddHBand="0" w:evenHBand="0" w:firstRowFirstColumn="0" w:firstRowLastColumn="0" w:lastRowFirstColumn="0" w:lastRowLastColumn="0"/>
                            <w:tcW w:w="3236" w:type="dxa"/>
                          </w:tcPr>
                          <w:p w14:paraId="4D86C932" w14:textId="77777777" w:rsidR="003D14AC" w:rsidRPr="001A1E04" w:rsidRDefault="003D14AC" w:rsidP="001A1E04">
                            <w:pPr>
                              <w:pStyle w:val="ListParagraph"/>
                              <w:ind w:left="0"/>
                              <w:jc w:val="both"/>
                              <w:rPr>
                                <w:rFonts w:ascii="Times New Roman Italic" w:hAnsi="Times New Roman Italic"/>
                                <w:sz w:val="21"/>
                                <w:szCs w:val="21"/>
                              </w:rPr>
                            </w:pPr>
                            <w:r w:rsidRPr="001A1E04">
                              <w:rPr>
                                <w:rFonts w:ascii="Times New Roman Italic" w:hAnsi="Times New Roman Italic"/>
                                <w:sz w:val="21"/>
                                <w:szCs w:val="21"/>
                              </w:rPr>
                              <w:t>Program</w:t>
                            </w:r>
                          </w:p>
                        </w:tc>
                        <w:tc>
                          <w:tcPr>
                            <w:tcW w:w="1609" w:type="dxa"/>
                          </w:tcPr>
                          <w:p w14:paraId="46E1501E"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4CCB5747" w14:textId="77777777" w:rsidR="003D14AC" w:rsidRPr="001A1E04" w:rsidRDefault="003D14AC" w:rsidP="001A1E04">
                            <w:pPr>
                              <w:pStyle w:val="ListParagraph"/>
                              <w:ind w:left="162"/>
                              <w:jc w:val="center"/>
                              <w:rPr>
                                <w:rFonts w:ascii="Times New Roman Italic" w:hAnsi="Times New Roman Italic"/>
                                <w:sz w:val="21"/>
                                <w:szCs w:val="21"/>
                              </w:rPr>
                            </w:pPr>
                            <w:r w:rsidRPr="001A1E04">
                              <w:rPr>
                                <w:rFonts w:ascii="Times New Roman Italic" w:hAnsi="Times New Roman Italic"/>
                                <w:sz w:val="21"/>
                                <w:szCs w:val="21"/>
                              </w:rPr>
                              <w:t>Entered Employment</w:t>
                            </w:r>
                          </w:p>
                        </w:tc>
                        <w:tc>
                          <w:tcPr>
                            <w:tcW w:w="2104" w:type="dxa"/>
                          </w:tcPr>
                          <w:p w14:paraId="2FE02A77" w14:textId="77777777" w:rsidR="003D14AC" w:rsidRPr="001A1E04" w:rsidRDefault="003D14AC" w:rsidP="001A1E04">
                            <w:pPr>
                              <w:pStyle w:val="ListParagraph"/>
                              <w:ind w:left="162"/>
                              <w:jc w:val="center"/>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Average Annual Salary</w:t>
                            </w:r>
                          </w:p>
                        </w:tc>
                        <w:tc>
                          <w:tcPr>
                            <w:cnfStyle w:val="000010000000" w:firstRow="0" w:lastRow="0" w:firstColumn="0" w:lastColumn="0" w:oddVBand="1" w:evenVBand="0" w:oddHBand="0" w:evenHBand="0" w:firstRowFirstColumn="0" w:firstRowLastColumn="0" w:lastRowFirstColumn="0" w:lastRowLastColumn="0"/>
                            <w:tcW w:w="2104" w:type="dxa"/>
                          </w:tcPr>
                          <w:p w14:paraId="45C9F1BE" w14:textId="77777777" w:rsidR="003D14AC" w:rsidRPr="001A1E04" w:rsidRDefault="003D14AC" w:rsidP="001A1E04">
                            <w:pPr>
                              <w:pStyle w:val="ListParagraph"/>
                              <w:ind w:left="162"/>
                              <w:jc w:val="center"/>
                              <w:rPr>
                                <w:rFonts w:ascii="Times New Roman Italic" w:hAnsi="Times New Roman Italic"/>
                                <w:sz w:val="21"/>
                                <w:szCs w:val="21"/>
                              </w:rPr>
                            </w:pPr>
                            <w:r w:rsidRPr="001A1E04">
                              <w:rPr>
                                <w:rFonts w:ascii="Times New Roman Italic" w:hAnsi="Times New Roman Italic"/>
                                <w:sz w:val="21"/>
                                <w:szCs w:val="21"/>
                              </w:rPr>
                              <w:t>Estimated</w:t>
                            </w:r>
                          </w:p>
                          <w:p w14:paraId="6F4BF00B" w14:textId="77777777" w:rsidR="003D14AC" w:rsidRPr="001A1E04" w:rsidRDefault="003D14AC" w:rsidP="001A1E04">
                            <w:pPr>
                              <w:pStyle w:val="ListParagraph"/>
                              <w:ind w:left="162"/>
                              <w:jc w:val="center"/>
                              <w:rPr>
                                <w:rFonts w:ascii="Times New Roman Italic" w:hAnsi="Times New Roman Italic"/>
                                <w:sz w:val="21"/>
                                <w:szCs w:val="21"/>
                              </w:rPr>
                            </w:pPr>
                            <w:r w:rsidRPr="001A1E04">
                              <w:rPr>
                                <w:rFonts w:ascii="Times New Roman Italic" w:hAnsi="Times New Roman Italic"/>
                                <w:sz w:val="21"/>
                                <w:szCs w:val="21"/>
                              </w:rPr>
                              <w:t>Pre-Tax Earnings</w:t>
                            </w:r>
                          </w:p>
                        </w:tc>
                      </w:tr>
                      <w:tr w:rsidR="003D14AC" w:rsidRPr="001A1E04" w14:paraId="0D0B94A2" w14:textId="77777777" w:rsidTr="00C915AD">
                        <w:trPr>
                          <w:trHeight w:val="346"/>
                        </w:trPr>
                        <w:tc>
                          <w:tcPr>
                            <w:cnfStyle w:val="000010000000" w:firstRow="0" w:lastRow="0" w:firstColumn="0" w:lastColumn="0" w:oddVBand="1" w:evenVBand="0" w:oddHBand="0" w:evenHBand="0" w:firstRowFirstColumn="0" w:firstRowLastColumn="0" w:lastRowFirstColumn="0" w:lastRowLastColumn="0"/>
                            <w:tcW w:w="3236" w:type="dxa"/>
                          </w:tcPr>
                          <w:p w14:paraId="1EF9D2EE"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WIA</w:t>
                            </w:r>
                          </w:p>
                        </w:tc>
                        <w:tc>
                          <w:tcPr>
                            <w:tcW w:w="1609" w:type="dxa"/>
                          </w:tcPr>
                          <w:p w14:paraId="711DAE74"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1ABA889C"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3,340</w:t>
                            </w:r>
                          </w:p>
                        </w:tc>
                        <w:tc>
                          <w:tcPr>
                            <w:tcW w:w="2104" w:type="dxa"/>
                          </w:tcPr>
                          <w:p w14:paraId="011794E1"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00B724CE"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85,958,990</w:t>
                            </w:r>
                          </w:p>
                        </w:tc>
                      </w:tr>
                      <w:tr w:rsidR="003D14AC" w:rsidRPr="001A1E04" w14:paraId="205F8A5C" w14:textId="77777777" w:rsidTr="00C915AD">
                        <w:trPr>
                          <w:cnfStyle w:val="000000100000" w:firstRow="0" w:lastRow="0" w:firstColumn="0" w:lastColumn="0" w:oddVBand="0" w:evenVBand="0" w:oddHBand="1" w:evenHBand="0" w:firstRowFirstColumn="0" w:firstRowLastColumn="0" w:lastRowFirstColumn="0" w:lastRowLastColumn="0"/>
                          <w:trHeight w:val="346"/>
                        </w:trPr>
                        <w:tc>
                          <w:tcPr>
                            <w:cnfStyle w:val="000010000000" w:firstRow="0" w:lastRow="0" w:firstColumn="0" w:lastColumn="0" w:oddVBand="1" w:evenVBand="0" w:oddHBand="0" w:evenHBand="0" w:firstRowFirstColumn="0" w:firstRowLastColumn="0" w:lastRowFirstColumn="0" w:lastRowLastColumn="0"/>
                            <w:tcW w:w="3236" w:type="dxa"/>
                          </w:tcPr>
                          <w:p w14:paraId="1051C6C2" w14:textId="77777777" w:rsidR="003D14AC" w:rsidRPr="001A1E04" w:rsidRDefault="003D14AC" w:rsidP="001A1E04">
                            <w:pPr>
                              <w:rPr>
                                <w:sz w:val="21"/>
                                <w:szCs w:val="21"/>
                              </w:rPr>
                            </w:pPr>
                            <w:r w:rsidRPr="001A1E04">
                              <w:rPr>
                                <w:sz w:val="21"/>
                                <w:szCs w:val="21"/>
                              </w:rPr>
                              <w:tab/>
                              <w:t>Adult</w:t>
                            </w:r>
                          </w:p>
                        </w:tc>
                        <w:tc>
                          <w:tcPr>
                            <w:tcW w:w="1609" w:type="dxa"/>
                          </w:tcPr>
                          <w:p w14:paraId="2C42B8A5"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16B26D35"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1,105</w:t>
                            </w:r>
                          </w:p>
                        </w:tc>
                        <w:tc>
                          <w:tcPr>
                            <w:tcW w:w="2104" w:type="dxa"/>
                          </w:tcPr>
                          <w:p w14:paraId="561446DF"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30,689</w:t>
                            </w:r>
                          </w:p>
                        </w:tc>
                        <w:tc>
                          <w:tcPr>
                            <w:cnfStyle w:val="000010000000" w:firstRow="0" w:lastRow="0" w:firstColumn="0" w:lastColumn="0" w:oddVBand="1" w:evenVBand="0" w:oddHBand="0" w:evenHBand="0" w:firstRowFirstColumn="0" w:firstRowLastColumn="0" w:lastRowFirstColumn="0" w:lastRowLastColumn="0"/>
                            <w:tcW w:w="2104" w:type="dxa"/>
                          </w:tcPr>
                          <w:p w14:paraId="62EFB0D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27,012,010</w:t>
                            </w:r>
                          </w:p>
                        </w:tc>
                      </w:tr>
                      <w:tr w:rsidR="003D14AC" w:rsidRPr="001A1E04" w14:paraId="5C23E25D" w14:textId="77777777" w:rsidTr="00C915AD">
                        <w:trPr>
                          <w:trHeight w:val="346"/>
                        </w:trPr>
                        <w:tc>
                          <w:tcPr>
                            <w:cnfStyle w:val="000010000000" w:firstRow="0" w:lastRow="0" w:firstColumn="0" w:lastColumn="0" w:oddVBand="1" w:evenVBand="0" w:oddHBand="0" w:evenHBand="0" w:firstRowFirstColumn="0" w:firstRowLastColumn="0" w:lastRowFirstColumn="0" w:lastRowLastColumn="0"/>
                            <w:tcW w:w="3236" w:type="dxa"/>
                          </w:tcPr>
                          <w:p w14:paraId="0C4BC0FE"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Dislocated Worker</w:t>
                            </w:r>
                          </w:p>
                        </w:tc>
                        <w:tc>
                          <w:tcPr>
                            <w:tcW w:w="1609" w:type="dxa"/>
                          </w:tcPr>
                          <w:p w14:paraId="51379462"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5C4451B6"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1,717</w:t>
                            </w:r>
                          </w:p>
                        </w:tc>
                        <w:tc>
                          <w:tcPr>
                            <w:tcW w:w="2104" w:type="dxa"/>
                          </w:tcPr>
                          <w:p w14:paraId="43FF925A"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37,849</w:t>
                            </w:r>
                          </w:p>
                        </w:tc>
                        <w:tc>
                          <w:tcPr>
                            <w:cnfStyle w:val="000010000000" w:firstRow="0" w:lastRow="0" w:firstColumn="0" w:lastColumn="0" w:oddVBand="1" w:evenVBand="0" w:oddHBand="0" w:evenHBand="0" w:firstRowFirstColumn="0" w:firstRowLastColumn="0" w:lastRowFirstColumn="0" w:lastRowLastColumn="0"/>
                            <w:tcW w:w="2104" w:type="dxa"/>
                          </w:tcPr>
                          <w:p w14:paraId="3E9E5B5D"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54,966,320</w:t>
                            </w:r>
                          </w:p>
                        </w:tc>
                      </w:tr>
                      <w:tr w:rsidR="003D14AC" w:rsidRPr="001A1E04" w14:paraId="56FEC3F3" w14:textId="77777777" w:rsidTr="00C915AD">
                        <w:trPr>
                          <w:cnfStyle w:val="000000100000" w:firstRow="0" w:lastRow="0" w:firstColumn="0" w:lastColumn="0" w:oddVBand="0" w:evenVBand="0" w:oddHBand="1" w:evenHBand="0" w:firstRowFirstColumn="0" w:firstRowLastColumn="0" w:lastRowFirstColumn="0" w:lastRowLastColumn="0"/>
                          <w:trHeight w:val="346"/>
                        </w:trPr>
                        <w:tc>
                          <w:tcPr>
                            <w:cnfStyle w:val="000010000000" w:firstRow="0" w:lastRow="0" w:firstColumn="0" w:lastColumn="0" w:oddVBand="1" w:evenVBand="0" w:oddHBand="0" w:evenHBand="0" w:firstRowFirstColumn="0" w:firstRowLastColumn="0" w:lastRowFirstColumn="0" w:lastRowLastColumn="0"/>
                            <w:tcW w:w="3236" w:type="dxa"/>
                          </w:tcPr>
                          <w:p w14:paraId="67AFF2FB"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Youth</w:t>
                            </w:r>
                          </w:p>
                        </w:tc>
                        <w:tc>
                          <w:tcPr>
                            <w:tcW w:w="1609" w:type="dxa"/>
                          </w:tcPr>
                          <w:p w14:paraId="64098848"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5CBE3115"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518</w:t>
                            </w:r>
                          </w:p>
                        </w:tc>
                        <w:tc>
                          <w:tcPr>
                            <w:tcW w:w="2104" w:type="dxa"/>
                          </w:tcPr>
                          <w:p w14:paraId="076DE74C" w14:textId="77777777" w:rsidR="003D14AC" w:rsidRPr="001A1E04" w:rsidRDefault="003D14AC" w:rsidP="001A1E04">
                            <w:pPr>
                              <w:pStyle w:val="ListParagraph"/>
                              <w:ind w:left="162"/>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12,695</w:t>
                            </w:r>
                          </w:p>
                        </w:tc>
                        <w:tc>
                          <w:tcPr>
                            <w:cnfStyle w:val="000010000000" w:firstRow="0" w:lastRow="0" w:firstColumn="0" w:lastColumn="0" w:oddVBand="1" w:evenVBand="0" w:oddHBand="0" w:evenHBand="0" w:firstRowFirstColumn="0" w:firstRowLastColumn="0" w:lastRowFirstColumn="0" w:lastRowLastColumn="0"/>
                            <w:tcW w:w="2104" w:type="dxa"/>
                          </w:tcPr>
                          <w:p w14:paraId="1E4EFAF8"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3,980,660</w:t>
                            </w:r>
                          </w:p>
                        </w:tc>
                      </w:tr>
                      <w:tr w:rsidR="003D14AC" w:rsidRPr="001A1E04" w14:paraId="6E3EF783" w14:textId="77777777" w:rsidTr="00C915AD">
                        <w:trPr>
                          <w:trHeight w:val="346"/>
                        </w:trPr>
                        <w:tc>
                          <w:tcPr>
                            <w:cnfStyle w:val="000010000000" w:firstRow="0" w:lastRow="0" w:firstColumn="0" w:lastColumn="0" w:oddVBand="1" w:evenVBand="0" w:oddHBand="0" w:evenHBand="0" w:firstRowFirstColumn="0" w:firstRowLastColumn="0" w:lastRowFirstColumn="0" w:lastRowLastColumn="0"/>
                            <w:tcW w:w="3236" w:type="dxa"/>
                          </w:tcPr>
                          <w:p w14:paraId="06B0228A" w14:textId="77777777" w:rsidR="003D14AC" w:rsidRPr="001A1E04" w:rsidRDefault="003D14AC" w:rsidP="001A1E04">
                            <w:pPr>
                              <w:pStyle w:val="ListParagraph"/>
                              <w:ind w:left="0"/>
                              <w:jc w:val="both"/>
                              <w:rPr>
                                <w:rFonts w:ascii="Times New Roman Bold" w:hAnsi="Times New Roman Bold"/>
                                <w:sz w:val="21"/>
                                <w:szCs w:val="21"/>
                              </w:rPr>
                            </w:pPr>
                            <w:r w:rsidRPr="001A1E04">
                              <w:rPr>
                                <w:rFonts w:ascii="Times New Roman Bold" w:hAnsi="Times New Roman Bold"/>
                                <w:sz w:val="21"/>
                                <w:szCs w:val="21"/>
                              </w:rPr>
                              <w:t>Wagner Peyser</w:t>
                            </w:r>
                          </w:p>
                        </w:tc>
                        <w:tc>
                          <w:tcPr>
                            <w:tcW w:w="1609" w:type="dxa"/>
                          </w:tcPr>
                          <w:p w14:paraId="2E29B2C5"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2104" w:type="dxa"/>
                          </w:tcPr>
                          <w:p w14:paraId="10BBF09B" w14:textId="77777777" w:rsidR="003D14AC" w:rsidRPr="001A1E04" w:rsidRDefault="003D14AC" w:rsidP="001A1E04">
                            <w:pPr>
                              <w:pStyle w:val="ListParagraph"/>
                              <w:ind w:left="162"/>
                              <w:jc w:val="both"/>
                              <w:rPr>
                                <w:rFonts w:ascii="Times New Roman" w:hAnsi="Times New Roman"/>
                                <w:sz w:val="21"/>
                                <w:szCs w:val="21"/>
                              </w:rPr>
                            </w:pPr>
                            <w:r w:rsidRPr="001A1E04">
                              <w:rPr>
                                <w:rFonts w:ascii="Times New Roman" w:hAnsi="Times New Roman"/>
                                <w:sz w:val="21"/>
                                <w:szCs w:val="21"/>
                              </w:rPr>
                              <w:t>70,786</w:t>
                            </w:r>
                          </w:p>
                        </w:tc>
                        <w:tc>
                          <w:tcPr>
                            <w:tcW w:w="2104" w:type="dxa"/>
                          </w:tcPr>
                          <w:p w14:paraId="150A3743" w14:textId="77777777" w:rsidR="003D14AC" w:rsidRPr="001A1E04" w:rsidRDefault="003D14AC" w:rsidP="001A1E04">
                            <w:pPr>
                              <w:pStyle w:val="ListParagraph"/>
                              <w:ind w:left="162"/>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28,105</w:t>
                            </w:r>
                          </w:p>
                        </w:tc>
                        <w:tc>
                          <w:tcPr>
                            <w:cnfStyle w:val="000010000000" w:firstRow="0" w:lastRow="0" w:firstColumn="0" w:lastColumn="0" w:oddVBand="1" w:evenVBand="0" w:oddHBand="0" w:evenHBand="0" w:firstRowFirstColumn="0" w:firstRowLastColumn="0" w:lastRowFirstColumn="0" w:lastRowLastColumn="0"/>
                            <w:tcW w:w="2104" w:type="dxa"/>
                          </w:tcPr>
                          <w:p w14:paraId="43F6CDB8"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1,366,668,724</w:t>
                            </w:r>
                          </w:p>
                        </w:tc>
                      </w:tr>
                    </w:tbl>
                    <w:p w14:paraId="00AA5D78" w14:textId="77777777" w:rsidR="003D14AC" w:rsidRDefault="003D14AC" w:rsidP="001A1E04"/>
                  </w:txbxContent>
                </v:textbox>
                <w10:wrap type="topAndBottom"/>
              </v:shape>
            </w:pict>
          </mc:Fallback>
        </mc:AlternateContent>
      </w:r>
    </w:p>
    <w:p w14:paraId="5FA47644" w14:textId="77777777" w:rsidR="001A1E04" w:rsidRPr="004A0C12" w:rsidRDefault="001A1E04" w:rsidP="001A1E04">
      <w:pPr>
        <w:spacing w:after="0" w:line="240" w:lineRule="auto"/>
        <w:jc w:val="both"/>
        <w:rPr>
          <w:rFonts w:ascii="Garamond" w:hAnsi="Garamond"/>
        </w:rPr>
      </w:pPr>
    </w:p>
    <w:p w14:paraId="4359EED6" w14:textId="77777777" w:rsidR="001A1E04" w:rsidRPr="004A0C12" w:rsidRDefault="001A1E04" w:rsidP="001A1E04">
      <w:pPr>
        <w:spacing w:after="0" w:line="240" w:lineRule="auto"/>
        <w:jc w:val="both"/>
        <w:rPr>
          <w:rFonts w:ascii="Garamond" w:hAnsi="Garamond"/>
        </w:rPr>
      </w:pPr>
      <w:r w:rsidRPr="004A0C12">
        <w:rPr>
          <w:rFonts w:ascii="Garamond" w:hAnsi="Garamond"/>
        </w:rPr>
        <w:t>The results of the IMPLAN economic contribution analysis are presented in Table 3. As presented in this table:</w:t>
      </w:r>
    </w:p>
    <w:p w14:paraId="6C2C634D" w14:textId="48D46D14" w:rsidR="001A1E04" w:rsidRPr="004A0C12" w:rsidRDefault="00194A70" w:rsidP="009204FA">
      <w:pPr>
        <w:numPr>
          <w:ilvl w:val="0"/>
          <w:numId w:val="36"/>
        </w:numPr>
        <w:tabs>
          <w:tab w:val="clear" w:pos="360"/>
          <w:tab w:val="num" w:pos="720"/>
        </w:tabs>
        <w:spacing w:after="0" w:line="240" w:lineRule="auto"/>
        <w:ind w:left="720" w:hanging="360"/>
        <w:jc w:val="both"/>
        <w:rPr>
          <w:rFonts w:ascii="Garamond" w:hAnsi="Garamond"/>
        </w:rPr>
      </w:pPr>
      <w:r w:rsidRPr="004A0C12">
        <w:rPr>
          <w:rFonts w:ascii="Garamond" w:hAnsi="Garamond"/>
        </w:rPr>
        <w:t>The nearly $86</w:t>
      </w:r>
      <w:r w:rsidR="001A1E04" w:rsidRPr="004A0C12">
        <w:rPr>
          <w:rFonts w:ascii="Garamond" w:hAnsi="Garamond"/>
        </w:rPr>
        <w:t xml:space="preserve"> million in post placement earnings for the 3,340 previously unemployed persons placed in or entering employment after receiving WIA services supports $91.96 million in economic activity in Maryland, supports 698 jobs earning $32.9 million in labor income, and generates $6.2 million in estimated combined State and local tax revenues;</w:t>
      </w:r>
    </w:p>
    <w:p w14:paraId="7DEA7FD3" w14:textId="77777777" w:rsidR="001A1E04" w:rsidRPr="004A0C12" w:rsidRDefault="001A1E04" w:rsidP="001A1E04">
      <w:pPr>
        <w:spacing w:after="0" w:line="240" w:lineRule="auto"/>
        <w:ind w:left="720"/>
        <w:jc w:val="both"/>
        <w:rPr>
          <w:rFonts w:ascii="Garamond" w:hAnsi="Garamond"/>
        </w:rPr>
      </w:pPr>
    </w:p>
    <w:p w14:paraId="2836AF6D" w14:textId="77777777" w:rsidR="001A1E04" w:rsidRPr="004A0C12" w:rsidRDefault="001A1E04" w:rsidP="009204FA">
      <w:pPr>
        <w:numPr>
          <w:ilvl w:val="0"/>
          <w:numId w:val="36"/>
        </w:numPr>
        <w:tabs>
          <w:tab w:val="clear" w:pos="360"/>
          <w:tab w:val="num" w:pos="720"/>
        </w:tabs>
        <w:spacing w:after="0" w:line="240" w:lineRule="auto"/>
        <w:ind w:left="720" w:hanging="360"/>
        <w:jc w:val="both"/>
        <w:rPr>
          <w:rFonts w:ascii="Garamond" w:hAnsi="Garamond"/>
        </w:rPr>
      </w:pPr>
      <w:r w:rsidRPr="004A0C12">
        <w:rPr>
          <w:rFonts w:ascii="Garamond" w:hAnsi="Garamond"/>
        </w:rPr>
        <w:t>The $1.37 billion in post placement earnings for the 70,786 previously unemployed persons placed in or entering employment after receiving Wagner-Peyser services induces $1.5 billion in economic activity in Maryland, supports 11,091 jobs earning $525.5 million in labor income, and generates $97.3 million in estimated combined State and local tax revenues.</w:t>
      </w:r>
    </w:p>
    <w:p w14:paraId="54F4A01E" w14:textId="77777777" w:rsidR="001A1E04" w:rsidRPr="004A0C12" w:rsidRDefault="001A1E04" w:rsidP="001A1E04">
      <w:pPr>
        <w:spacing w:after="0" w:line="240" w:lineRule="auto"/>
        <w:jc w:val="both"/>
        <w:rPr>
          <w:rFonts w:ascii="Garamond" w:hAnsi="Garamond"/>
        </w:rPr>
      </w:pPr>
    </w:p>
    <w:p w14:paraId="47AF8F97" w14:textId="77777777" w:rsidR="001A1E04" w:rsidRPr="004A0C12" w:rsidRDefault="001A1E04" w:rsidP="001A1E04">
      <w:pPr>
        <w:spacing w:after="0" w:line="240" w:lineRule="auto"/>
        <w:jc w:val="both"/>
        <w:rPr>
          <w:rFonts w:ascii="Garamond" w:hAnsi="Garamond"/>
        </w:rPr>
      </w:pPr>
      <w:r w:rsidRPr="004A0C12">
        <w:rPr>
          <w:rFonts w:ascii="Garamond" w:hAnsi="Garamond"/>
        </w:rPr>
        <w:t>It is important to note that the total economic contributions derived from the increase in spending of persons placed in or entering employment after receiving DLLR Wagner-Peyser or WIA services is only a small increment above the actual increase in incomes. This is because an increase in an individual’s income impacts the economy through the local spending associated with this income. Increases in incomes are reduced by the amount of state and federal taxes and individual savings and thus, only a portion of any increase in income is actually spent in the form of consumption expenditures. Furthermore, a large portion of actual in-State consumption expenditures are spent on items that are imported from outside of the State. Thus, the overall State-level contribution of increases in income appear to be small in relation to the actual increase in incomes.</w:t>
      </w:r>
    </w:p>
    <w:p w14:paraId="352474E3" w14:textId="77777777" w:rsidR="001A1E04" w:rsidRPr="004A0C12" w:rsidRDefault="001A1E04" w:rsidP="001A1E04">
      <w:pPr>
        <w:spacing w:after="0" w:line="240" w:lineRule="auto"/>
        <w:jc w:val="both"/>
        <w:rPr>
          <w:rFonts w:ascii="Garamond" w:hAnsi="Garamond"/>
        </w:rPr>
      </w:pPr>
    </w:p>
    <w:p w14:paraId="52A50AEB" w14:textId="77777777" w:rsidR="001A1E04" w:rsidRPr="004A0C12" w:rsidRDefault="001A1E04" w:rsidP="001A1E04">
      <w:pPr>
        <w:spacing w:after="0" w:line="240" w:lineRule="auto"/>
        <w:jc w:val="both"/>
        <w:rPr>
          <w:rFonts w:ascii="Garamond" w:hAnsi="Garamond"/>
        </w:rPr>
      </w:pPr>
    </w:p>
    <w:p w14:paraId="20A0CD23" w14:textId="77777777" w:rsidR="001A1E04" w:rsidRPr="004A0C12" w:rsidRDefault="001A1E04" w:rsidP="001A1E04">
      <w:pPr>
        <w:spacing w:after="0" w:line="240" w:lineRule="auto"/>
        <w:jc w:val="both"/>
        <w:rPr>
          <w:rFonts w:ascii="Garamond" w:hAnsi="Garamond"/>
        </w:rPr>
      </w:pPr>
    </w:p>
    <w:p w14:paraId="53EA838B" w14:textId="77777777" w:rsidR="001A1E04" w:rsidRPr="004A0C12" w:rsidRDefault="001A1E04" w:rsidP="001A1E04">
      <w:pPr>
        <w:spacing w:after="0" w:line="240" w:lineRule="auto"/>
        <w:ind w:firstLine="720"/>
        <w:rPr>
          <w:rFonts w:ascii="Garamond" w:hAnsi="Garamond"/>
        </w:rPr>
      </w:pPr>
    </w:p>
    <w:p w14:paraId="66C53E71" w14:textId="77777777" w:rsidR="001A1E04" w:rsidRPr="004A0C12" w:rsidRDefault="001A1E04" w:rsidP="001A1E04">
      <w:pPr>
        <w:spacing w:after="0" w:line="240" w:lineRule="auto"/>
        <w:ind w:firstLine="720"/>
        <w:rPr>
          <w:rFonts w:ascii="Garamond" w:hAnsi="Garamond"/>
        </w:rPr>
      </w:pPr>
    </w:p>
    <w:p w14:paraId="37F951D0" w14:textId="77777777" w:rsidR="001A1E04" w:rsidRPr="004A0C12" w:rsidRDefault="001A1E04" w:rsidP="001A1E04">
      <w:pPr>
        <w:spacing w:after="0" w:line="240" w:lineRule="auto"/>
        <w:ind w:firstLine="720"/>
        <w:rPr>
          <w:rFonts w:ascii="Garamond" w:hAnsi="Garamond"/>
        </w:rPr>
      </w:pPr>
    </w:p>
    <w:p w14:paraId="4FA87F4E" w14:textId="77777777" w:rsidR="001A1E04" w:rsidRPr="004A0C12" w:rsidRDefault="001A1E04" w:rsidP="001A1E04">
      <w:pPr>
        <w:spacing w:after="0" w:line="240" w:lineRule="auto"/>
        <w:ind w:firstLine="720"/>
        <w:rPr>
          <w:rFonts w:ascii="Garamond" w:hAnsi="Garamond"/>
        </w:rPr>
      </w:pPr>
    </w:p>
    <w:p w14:paraId="0E28AC6E" w14:textId="1CAFC7EA" w:rsidR="001A1E04" w:rsidRPr="004A0C12" w:rsidRDefault="00194A70" w:rsidP="001A1E04">
      <w:pPr>
        <w:spacing w:after="0" w:line="240" w:lineRule="auto"/>
        <w:ind w:firstLine="720"/>
        <w:rPr>
          <w:rFonts w:ascii="Garamond" w:hAnsi="Garamond"/>
        </w:rPr>
      </w:pPr>
      <w:r w:rsidRPr="004A0C12">
        <w:rPr>
          <w:rFonts w:ascii="Garamond" w:hAnsi="Garamond"/>
          <w:noProof/>
        </w:rPr>
        <w:lastRenderedPageBreak/>
        <mc:AlternateContent>
          <mc:Choice Requires="wps">
            <w:drawing>
              <wp:anchor distT="0" distB="0" distL="114300" distR="114300" simplePos="0" relativeHeight="251683840" behindDoc="0" locked="0" layoutInCell="1" allowOverlap="1" wp14:anchorId="1F313D7F" wp14:editId="00E8918B">
                <wp:simplePos x="0" y="0"/>
                <wp:positionH relativeFrom="column">
                  <wp:posOffset>83185</wp:posOffset>
                </wp:positionH>
                <wp:positionV relativeFrom="paragraph">
                  <wp:posOffset>-47625</wp:posOffset>
                </wp:positionV>
                <wp:extent cx="6901180" cy="4413885"/>
                <wp:effectExtent l="0" t="0" r="13970" b="24765"/>
                <wp:wrapTopAndBottom/>
                <wp:docPr id="312" name="Text Box 312"/>
                <wp:cNvGraphicFramePr/>
                <a:graphic xmlns:a="http://schemas.openxmlformats.org/drawingml/2006/main">
                  <a:graphicData uri="http://schemas.microsoft.com/office/word/2010/wordprocessingShape">
                    <wps:wsp>
                      <wps:cNvSpPr txBox="1"/>
                      <wps:spPr>
                        <a:xfrm>
                          <a:off x="0" y="0"/>
                          <a:ext cx="6901180" cy="44138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10693" w:type="dxa"/>
                              <w:tblLayout w:type="fixed"/>
                              <w:tblLook w:val="0000" w:firstRow="0" w:lastRow="0" w:firstColumn="0" w:lastColumn="0" w:noHBand="0" w:noVBand="0"/>
                              <w:tblCaption w:val="Estimated Economic Contribution of DLLR Wagner-Peyser and WIA Program Placements and Earnings Program Year 2013"/>
                              <w:tblDescription w:val="This chart details the estimated pre-tax earnings of program participants. WIA Program Placements and Earnings were estimated at $85,958,990 in pre-tax earnings. Wagner-Peyser Program Placements and Earnings were estimated at $1,366,668,724 in pre-tax earnings. "/>
                            </w:tblPr>
                            <w:tblGrid>
                              <w:gridCol w:w="8508"/>
                              <w:gridCol w:w="2185"/>
                            </w:tblGrid>
                            <w:tr w:rsidR="003D14AC" w:rsidRPr="001A1E04" w14:paraId="5DF178AA" w14:textId="77777777" w:rsidTr="00847A0D">
                              <w:trPr>
                                <w:trHeight w:val="598"/>
                                <w:tblHeader/>
                              </w:trPr>
                              <w:tc>
                                <w:tcPr>
                                  <w:cnfStyle w:val="000010000000" w:firstRow="0" w:lastRow="0" w:firstColumn="0" w:lastColumn="0" w:oddVBand="1" w:evenVBand="0" w:oddHBand="0" w:evenHBand="0" w:firstRowFirstColumn="0" w:firstRowLastColumn="0" w:lastRowFirstColumn="0" w:lastRowLastColumn="0"/>
                                  <w:tcW w:w="10693" w:type="dxa"/>
                                  <w:gridSpan w:val="2"/>
                                </w:tcPr>
                                <w:p w14:paraId="36B1CC25"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Estimated Economic Contribution of DLLR Wagner-Peyser and WIA Program Placements and Earnings Program Year 2013</w:t>
                                  </w:r>
                                </w:p>
                              </w:tc>
                            </w:tr>
                            <w:tr w:rsidR="003D14AC" w:rsidRPr="001A1E04" w14:paraId="1042130C" w14:textId="77777777" w:rsidTr="00194A70">
                              <w:trPr>
                                <w:cnfStyle w:val="000000100000" w:firstRow="0" w:lastRow="0" w:firstColumn="0" w:lastColumn="0" w:oddVBand="0" w:evenVBand="0" w:oddHBand="1" w:evenHBand="0" w:firstRowFirstColumn="0" w:firstRowLastColumn="0" w:lastRowFirstColumn="0" w:lastRowLastColumn="0"/>
                                <w:trHeight w:val="598"/>
                              </w:trPr>
                              <w:tc>
                                <w:tcPr>
                                  <w:cnfStyle w:val="000010000000" w:firstRow="0" w:lastRow="0" w:firstColumn="0" w:lastColumn="0" w:oddVBand="1" w:evenVBand="0" w:oddHBand="0" w:evenHBand="0" w:firstRowFirstColumn="0" w:firstRowLastColumn="0" w:lastRowFirstColumn="0" w:lastRowLastColumn="0"/>
                                  <w:tcW w:w="8508" w:type="dxa"/>
                                </w:tcPr>
                                <w:p w14:paraId="13AEE7B4" w14:textId="77777777" w:rsidR="003D14AC" w:rsidRPr="001A1E04" w:rsidRDefault="003D14AC" w:rsidP="001A1E04">
                                  <w:pPr>
                                    <w:pStyle w:val="ListParagraph"/>
                                    <w:ind w:left="0"/>
                                    <w:jc w:val="both"/>
                                    <w:rPr>
                                      <w:rFonts w:ascii="Times New Roman Italic" w:hAnsi="Times New Roman Italic"/>
                                      <w:sz w:val="21"/>
                                      <w:szCs w:val="21"/>
                                    </w:rPr>
                                  </w:pPr>
                                  <w:r w:rsidRPr="001A1E04">
                                    <w:rPr>
                                      <w:rFonts w:ascii="Times New Roman Italic" w:hAnsi="Times New Roman Italic"/>
                                      <w:sz w:val="21"/>
                                      <w:szCs w:val="21"/>
                                    </w:rPr>
                                    <w:t>Program</w:t>
                                  </w:r>
                                </w:p>
                              </w:tc>
                              <w:tc>
                                <w:tcPr>
                                  <w:tcW w:w="2185" w:type="dxa"/>
                                </w:tcPr>
                                <w:p w14:paraId="37FBA4FB"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Estimated</w:t>
                                  </w:r>
                                </w:p>
                                <w:p w14:paraId="4BF4FAB0"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Pre-Tax Earnings</w:t>
                                  </w:r>
                                </w:p>
                              </w:tc>
                            </w:tr>
                            <w:tr w:rsidR="003D14AC" w:rsidRPr="001A1E04" w14:paraId="099A5229"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51E1766B"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WIA Program Placements and Earnings</w:t>
                                  </w:r>
                                </w:p>
                              </w:tc>
                              <w:tc>
                                <w:tcPr>
                                  <w:tcW w:w="2185" w:type="dxa"/>
                                </w:tcPr>
                                <w:p w14:paraId="5188D68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$85,958,990</w:t>
                                  </w:r>
                                </w:p>
                              </w:tc>
                            </w:tr>
                            <w:tr w:rsidR="003D14AC" w:rsidRPr="001A1E04" w14:paraId="4117ADAA"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004E97F6" w14:textId="77777777" w:rsidR="003D14AC" w:rsidRPr="001A1E04" w:rsidRDefault="003D14AC" w:rsidP="001A1E04">
                                  <w:pPr>
                                    <w:rPr>
                                      <w:sz w:val="21"/>
                                      <w:szCs w:val="21"/>
                                    </w:rPr>
                                  </w:pPr>
                                  <w:r w:rsidRPr="001A1E04">
                                    <w:rPr>
                                      <w:sz w:val="21"/>
                                      <w:szCs w:val="21"/>
                                    </w:rPr>
                                    <w:tab/>
                                    <w:t>Economic Output</w:t>
                                  </w:r>
                                </w:p>
                              </w:tc>
                              <w:tc>
                                <w:tcPr>
                                  <w:tcW w:w="2185" w:type="dxa"/>
                                </w:tcPr>
                                <w:p w14:paraId="62285A28"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$9,1961,252</w:t>
                                  </w:r>
                                </w:p>
                              </w:tc>
                            </w:tr>
                            <w:tr w:rsidR="003D14AC" w:rsidRPr="001A1E04" w14:paraId="464121F7"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446E21A8"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Employment</w:t>
                                  </w:r>
                                </w:p>
                              </w:tc>
                              <w:tc>
                                <w:tcPr>
                                  <w:tcW w:w="2185" w:type="dxa"/>
                                </w:tcPr>
                                <w:p w14:paraId="500E0E2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698</w:t>
                                  </w:r>
                                </w:p>
                              </w:tc>
                            </w:tr>
                            <w:tr w:rsidR="003D14AC" w:rsidRPr="001A1E04" w14:paraId="7EC7724E"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4BC0E4FC"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 xml:space="preserve">Labor Income </w:t>
                                  </w:r>
                                </w:p>
                              </w:tc>
                              <w:tc>
                                <w:tcPr>
                                  <w:tcW w:w="2185" w:type="dxa"/>
                                </w:tcPr>
                                <w:p w14:paraId="421D72BC"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$32,898,960</w:t>
                                  </w:r>
                                </w:p>
                              </w:tc>
                            </w:tr>
                            <w:tr w:rsidR="003D14AC" w:rsidRPr="001A1E04" w14:paraId="102EBA0A"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44791CA3"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w:hAnsi="Times New Roman"/>
                                      <w:sz w:val="21"/>
                                      <w:szCs w:val="21"/>
                                    </w:rPr>
                                    <w:t>Combined State and Local Tax Revenues</w:t>
                                  </w:r>
                                </w:p>
                              </w:tc>
                              <w:tc>
                                <w:tcPr>
                                  <w:tcW w:w="2185" w:type="dxa"/>
                                </w:tcPr>
                                <w:p w14:paraId="754C6E4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$6,235,602</w:t>
                                  </w:r>
                                </w:p>
                              </w:tc>
                            </w:tr>
                            <w:tr w:rsidR="003D14AC" w:rsidRPr="001A1E04" w14:paraId="131FDB72"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6BA3C003"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Bold" w:hAnsi="Times New Roman Bold"/>
                                      <w:sz w:val="21"/>
                                      <w:szCs w:val="21"/>
                                    </w:rPr>
                                    <w:tab/>
                                  </w:r>
                                  <w:r w:rsidRPr="001A1E04">
                                    <w:rPr>
                                      <w:rFonts w:ascii="Times New Roman" w:hAnsi="Times New Roman"/>
                                      <w:sz w:val="21"/>
                                      <w:szCs w:val="21"/>
                                    </w:rPr>
                                    <w:t>State Tax Revenues</w:t>
                                  </w:r>
                                </w:p>
                              </w:tc>
                              <w:tc>
                                <w:tcPr>
                                  <w:tcW w:w="2185" w:type="dxa"/>
                                </w:tcPr>
                                <w:p w14:paraId="040A1DA4"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$3,443,847</w:t>
                                  </w:r>
                                </w:p>
                              </w:tc>
                            </w:tr>
                            <w:tr w:rsidR="003D14AC" w:rsidRPr="001A1E04" w14:paraId="2930DAB2"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4832671A"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Bold" w:hAnsi="Times New Roman Bold"/>
                                      <w:sz w:val="21"/>
                                      <w:szCs w:val="21"/>
                                    </w:rPr>
                                    <w:tab/>
                                  </w:r>
                                  <w:r w:rsidRPr="001A1E04">
                                    <w:rPr>
                                      <w:rFonts w:ascii="Times New Roman" w:hAnsi="Times New Roman"/>
                                      <w:sz w:val="21"/>
                                      <w:szCs w:val="21"/>
                                    </w:rPr>
                                    <w:t>Local Tax Revenues</w:t>
                                  </w:r>
                                </w:p>
                              </w:tc>
                              <w:tc>
                                <w:tcPr>
                                  <w:tcW w:w="2185" w:type="dxa"/>
                                </w:tcPr>
                                <w:p w14:paraId="50AA1D3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$2,791,755</w:t>
                                  </w:r>
                                </w:p>
                              </w:tc>
                            </w:tr>
                            <w:tr w:rsidR="003D14AC" w:rsidRPr="001A1E04" w14:paraId="3691D117"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5242AC37" w14:textId="77777777" w:rsidR="003D14AC" w:rsidRPr="001A1E04" w:rsidRDefault="003D14AC" w:rsidP="001A1E04">
                                  <w:pPr>
                                    <w:pStyle w:val="ListParagraph"/>
                                    <w:ind w:left="0"/>
                                    <w:jc w:val="both"/>
                                    <w:rPr>
                                      <w:sz w:val="21"/>
                                      <w:szCs w:val="21"/>
                                    </w:rPr>
                                  </w:pPr>
                                </w:p>
                              </w:tc>
                              <w:tc>
                                <w:tcPr>
                                  <w:tcW w:w="2185" w:type="dxa"/>
                                </w:tcPr>
                                <w:p w14:paraId="62D593BE"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sz w:val="21"/>
                                      <w:szCs w:val="21"/>
                                    </w:rPr>
                                  </w:pPr>
                                </w:p>
                              </w:tc>
                            </w:tr>
                            <w:tr w:rsidR="003D14AC" w:rsidRPr="001A1E04" w14:paraId="4BCAA3C6"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130F3CDE" w14:textId="77777777" w:rsidR="003D14AC" w:rsidRPr="001A1E04" w:rsidRDefault="003D14AC" w:rsidP="001A1E04">
                                  <w:pPr>
                                    <w:pStyle w:val="ListParagraph"/>
                                    <w:ind w:left="0"/>
                                    <w:jc w:val="both"/>
                                    <w:rPr>
                                      <w:rFonts w:ascii="Times New Roman Bold" w:hAnsi="Times New Roman Bold"/>
                                      <w:sz w:val="21"/>
                                      <w:szCs w:val="21"/>
                                    </w:rPr>
                                  </w:pPr>
                                  <w:r w:rsidRPr="001A1E04">
                                    <w:rPr>
                                      <w:rFonts w:ascii="Times New Roman Bold" w:hAnsi="Times New Roman Bold"/>
                                      <w:sz w:val="21"/>
                                      <w:szCs w:val="21"/>
                                    </w:rPr>
                                    <w:t>Wagner-Peyser Program Placements and Earnings</w:t>
                                  </w:r>
                                </w:p>
                              </w:tc>
                              <w:tc>
                                <w:tcPr>
                                  <w:tcW w:w="2185" w:type="dxa"/>
                                </w:tcPr>
                                <w:p w14:paraId="4A9EDE80"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$1,366,668,724</w:t>
                                  </w:r>
                                </w:p>
                              </w:tc>
                            </w:tr>
                            <w:tr w:rsidR="003D14AC" w:rsidRPr="001A1E04" w14:paraId="1E036EB6"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37F9C383" w14:textId="77777777" w:rsidR="003D14AC" w:rsidRPr="001A1E04" w:rsidRDefault="003D14AC" w:rsidP="001A1E04">
                                  <w:pPr>
                                    <w:rPr>
                                      <w:sz w:val="21"/>
                                      <w:szCs w:val="21"/>
                                    </w:rPr>
                                  </w:pPr>
                                  <w:r w:rsidRPr="001A1E04">
                                    <w:rPr>
                                      <w:sz w:val="21"/>
                                      <w:szCs w:val="21"/>
                                    </w:rPr>
                                    <w:tab/>
                                    <w:t>Economic Output</w:t>
                                  </w:r>
                                </w:p>
                              </w:tc>
                              <w:tc>
                                <w:tcPr>
                                  <w:tcW w:w="2185" w:type="dxa"/>
                                </w:tcPr>
                                <w:p w14:paraId="03CE579A"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$1,478,746,404</w:t>
                                  </w:r>
                                </w:p>
                              </w:tc>
                            </w:tr>
                            <w:tr w:rsidR="003D14AC" w:rsidRPr="001A1E04" w14:paraId="5D09E8F6"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04BB05B3"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Employment</w:t>
                                  </w:r>
                                </w:p>
                              </w:tc>
                              <w:tc>
                                <w:tcPr>
                                  <w:tcW w:w="2185" w:type="dxa"/>
                                </w:tcPr>
                                <w:p w14:paraId="15D665BE"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11,091</w:t>
                                  </w:r>
                                </w:p>
                              </w:tc>
                            </w:tr>
                            <w:tr w:rsidR="003D14AC" w:rsidRPr="001A1E04" w14:paraId="65867E1F"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603B1562"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 xml:space="preserve">Labor Income </w:t>
                                  </w:r>
                                </w:p>
                              </w:tc>
                              <w:tc>
                                <w:tcPr>
                                  <w:tcW w:w="2185" w:type="dxa"/>
                                </w:tcPr>
                                <w:p w14:paraId="55B03FA5"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$525,502,224</w:t>
                                  </w:r>
                                </w:p>
                              </w:tc>
                            </w:tr>
                            <w:tr w:rsidR="003D14AC" w:rsidRPr="001A1E04" w14:paraId="68A88173"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73A15BA7"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w:hAnsi="Times New Roman"/>
                                      <w:sz w:val="21"/>
                                      <w:szCs w:val="21"/>
                                    </w:rPr>
                                    <w:t>Combined State and Local Tax Revenues</w:t>
                                  </w:r>
                                </w:p>
                              </w:tc>
                              <w:tc>
                                <w:tcPr>
                                  <w:tcW w:w="2185" w:type="dxa"/>
                                </w:tcPr>
                                <w:p w14:paraId="1046013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$97,261,246</w:t>
                                  </w:r>
                                </w:p>
                              </w:tc>
                            </w:tr>
                            <w:tr w:rsidR="003D14AC" w:rsidRPr="001A1E04" w14:paraId="0D9D011F"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237B1203"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Bold" w:hAnsi="Times New Roman Bold"/>
                                      <w:sz w:val="21"/>
                                      <w:szCs w:val="21"/>
                                    </w:rPr>
                                    <w:tab/>
                                  </w:r>
                                  <w:r w:rsidRPr="001A1E04">
                                    <w:rPr>
                                      <w:rFonts w:ascii="Times New Roman" w:hAnsi="Times New Roman"/>
                                      <w:sz w:val="21"/>
                                      <w:szCs w:val="21"/>
                                    </w:rPr>
                                    <w:t>State Tax Revenues</w:t>
                                  </w:r>
                                </w:p>
                              </w:tc>
                              <w:tc>
                                <w:tcPr>
                                  <w:tcW w:w="2185" w:type="dxa"/>
                                </w:tcPr>
                                <w:p w14:paraId="436ED2E2"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$53,976,108</w:t>
                                  </w:r>
                                </w:p>
                              </w:tc>
                            </w:tr>
                            <w:tr w:rsidR="003D14AC" w:rsidRPr="001A1E04" w14:paraId="051E1B15"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5B40ADA5"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Bold" w:hAnsi="Times New Roman Bold"/>
                                      <w:sz w:val="21"/>
                                      <w:szCs w:val="21"/>
                                    </w:rPr>
                                    <w:tab/>
                                  </w:r>
                                  <w:r w:rsidRPr="001A1E04">
                                    <w:rPr>
                                      <w:rFonts w:ascii="Times New Roman" w:hAnsi="Times New Roman"/>
                                      <w:sz w:val="21"/>
                                      <w:szCs w:val="21"/>
                                    </w:rPr>
                                    <w:t>Local Tax Revenues</w:t>
                                  </w:r>
                                </w:p>
                              </w:tc>
                              <w:tc>
                                <w:tcPr>
                                  <w:tcW w:w="2185" w:type="dxa"/>
                                </w:tcPr>
                                <w:p w14:paraId="5B52734C"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$43,285,138</w:t>
                                  </w:r>
                                </w:p>
                              </w:tc>
                            </w:tr>
                          </w:tbl>
                          <w:p w14:paraId="6F019A64"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2" o:spid="_x0000_s1045" type="#_x0000_t202" style="position:absolute;left:0;text-align:left;margin-left:6.55pt;margin-top:-3.75pt;width:543.4pt;height:347.5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" fillcolor="white [3201]" strokeweight=".5pt">
                <v:textbox>
                  <w:txbxContent>
                    <w:tbl>
                      <w:tblPr>
                        <w:tblStyle w:val="PlainTable11"/>
                        <w:tblW w:w="10693" w:type="dxa"/>
                        <w:tblLayout w:type="fixed"/>
                        <w:tblLook w:val="0000" w:firstRow="0" w:lastRow="0" w:firstColumn="0" w:lastColumn="0" w:noHBand="0" w:noVBand="0"/>
                        <w:tblCaption w:val="Estimated Economic Contribution of DLLR Wagner-Peyser and WIA Program Placements and Earnings Program Year 2013"/>
                        <w:tblDescription w:val="This chart details the estimated pre-tax earnings of program participants. WIA Program Placements and Earnings were estimated at $85,958,990 in pre-tax earnings. Wagner-Peyser Program Placements and Earnings were estimated at $1,366,668,724 in pre-tax earnings. "/>
                      </w:tblPr>
                      <w:tblGrid>
                        <w:gridCol w:w="8508"/>
                        <w:gridCol w:w="2185"/>
                      </w:tblGrid>
                      <w:tr w:rsidR="003D14AC" w:rsidRPr="001A1E04" w14:paraId="5DF178AA" w14:textId="77777777" w:rsidTr="00847A0D">
                        <w:trPr>
                          <w:trHeight w:val="598"/>
                          <w:tblHeader/>
                        </w:trPr>
                        <w:tc>
                          <w:tcPr>
                            <w:cnfStyle w:val="000010000000" w:firstRow="0" w:lastRow="0" w:firstColumn="0" w:lastColumn="0" w:oddVBand="1" w:evenVBand="0" w:oddHBand="0" w:evenHBand="0" w:firstRowFirstColumn="0" w:firstRowLastColumn="0" w:lastRowFirstColumn="0" w:lastRowLastColumn="0"/>
                            <w:tcW w:w="10693" w:type="dxa"/>
                            <w:gridSpan w:val="2"/>
                          </w:tcPr>
                          <w:p w14:paraId="36B1CC25"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Estimated Economic Contribution of DLLR Wagner-Peyser and WIA Program Placements and Earnings Program Year 2013</w:t>
                            </w:r>
                          </w:p>
                        </w:tc>
                      </w:tr>
                      <w:tr w:rsidR="003D14AC" w:rsidRPr="001A1E04" w14:paraId="1042130C" w14:textId="77777777" w:rsidTr="00194A70">
                        <w:trPr>
                          <w:cnfStyle w:val="000000100000" w:firstRow="0" w:lastRow="0" w:firstColumn="0" w:lastColumn="0" w:oddVBand="0" w:evenVBand="0" w:oddHBand="1" w:evenHBand="0" w:firstRowFirstColumn="0" w:firstRowLastColumn="0" w:lastRowFirstColumn="0" w:lastRowLastColumn="0"/>
                          <w:trHeight w:val="598"/>
                        </w:trPr>
                        <w:tc>
                          <w:tcPr>
                            <w:cnfStyle w:val="000010000000" w:firstRow="0" w:lastRow="0" w:firstColumn="0" w:lastColumn="0" w:oddVBand="1" w:evenVBand="0" w:oddHBand="0" w:evenHBand="0" w:firstRowFirstColumn="0" w:firstRowLastColumn="0" w:lastRowFirstColumn="0" w:lastRowLastColumn="0"/>
                            <w:tcW w:w="8508" w:type="dxa"/>
                          </w:tcPr>
                          <w:p w14:paraId="13AEE7B4" w14:textId="77777777" w:rsidR="003D14AC" w:rsidRPr="001A1E04" w:rsidRDefault="003D14AC" w:rsidP="001A1E04">
                            <w:pPr>
                              <w:pStyle w:val="ListParagraph"/>
                              <w:ind w:left="0"/>
                              <w:jc w:val="both"/>
                              <w:rPr>
                                <w:rFonts w:ascii="Times New Roman Italic" w:hAnsi="Times New Roman Italic"/>
                                <w:sz w:val="21"/>
                                <w:szCs w:val="21"/>
                              </w:rPr>
                            </w:pPr>
                            <w:r w:rsidRPr="001A1E04">
                              <w:rPr>
                                <w:rFonts w:ascii="Times New Roman Italic" w:hAnsi="Times New Roman Italic"/>
                                <w:sz w:val="21"/>
                                <w:szCs w:val="21"/>
                              </w:rPr>
                              <w:t>Program</w:t>
                            </w:r>
                          </w:p>
                        </w:tc>
                        <w:tc>
                          <w:tcPr>
                            <w:tcW w:w="2185" w:type="dxa"/>
                          </w:tcPr>
                          <w:p w14:paraId="37FBA4FB"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Estimated</w:t>
                            </w:r>
                          </w:p>
                          <w:p w14:paraId="4BF4FAB0"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Pre-Tax Earnings</w:t>
                            </w:r>
                          </w:p>
                        </w:tc>
                      </w:tr>
                      <w:tr w:rsidR="003D14AC" w:rsidRPr="001A1E04" w14:paraId="099A5229"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51E1766B"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WIA Program Placements and Earnings</w:t>
                            </w:r>
                          </w:p>
                        </w:tc>
                        <w:tc>
                          <w:tcPr>
                            <w:tcW w:w="2185" w:type="dxa"/>
                          </w:tcPr>
                          <w:p w14:paraId="5188D68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$85,958,990</w:t>
                            </w:r>
                          </w:p>
                        </w:tc>
                      </w:tr>
                      <w:tr w:rsidR="003D14AC" w:rsidRPr="001A1E04" w14:paraId="4117ADAA"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004E97F6" w14:textId="77777777" w:rsidR="003D14AC" w:rsidRPr="001A1E04" w:rsidRDefault="003D14AC" w:rsidP="001A1E04">
                            <w:pPr>
                              <w:rPr>
                                <w:sz w:val="21"/>
                                <w:szCs w:val="21"/>
                              </w:rPr>
                            </w:pPr>
                            <w:r w:rsidRPr="001A1E04">
                              <w:rPr>
                                <w:sz w:val="21"/>
                                <w:szCs w:val="21"/>
                              </w:rPr>
                              <w:tab/>
                              <w:t>Economic Output</w:t>
                            </w:r>
                          </w:p>
                        </w:tc>
                        <w:tc>
                          <w:tcPr>
                            <w:tcW w:w="2185" w:type="dxa"/>
                          </w:tcPr>
                          <w:p w14:paraId="62285A28"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$9,1961,252</w:t>
                            </w:r>
                          </w:p>
                        </w:tc>
                      </w:tr>
                      <w:tr w:rsidR="003D14AC" w:rsidRPr="001A1E04" w14:paraId="464121F7"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446E21A8"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Employment</w:t>
                            </w:r>
                          </w:p>
                        </w:tc>
                        <w:tc>
                          <w:tcPr>
                            <w:tcW w:w="2185" w:type="dxa"/>
                          </w:tcPr>
                          <w:p w14:paraId="500E0E2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698</w:t>
                            </w:r>
                          </w:p>
                        </w:tc>
                      </w:tr>
                      <w:tr w:rsidR="003D14AC" w:rsidRPr="001A1E04" w14:paraId="7EC7724E"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4BC0E4FC"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 xml:space="preserve">Labor Income </w:t>
                            </w:r>
                          </w:p>
                        </w:tc>
                        <w:tc>
                          <w:tcPr>
                            <w:tcW w:w="2185" w:type="dxa"/>
                          </w:tcPr>
                          <w:p w14:paraId="421D72BC"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$32,898,960</w:t>
                            </w:r>
                          </w:p>
                        </w:tc>
                      </w:tr>
                      <w:tr w:rsidR="003D14AC" w:rsidRPr="001A1E04" w14:paraId="102EBA0A"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44791CA3"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w:hAnsi="Times New Roman"/>
                                <w:sz w:val="21"/>
                                <w:szCs w:val="21"/>
                              </w:rPr>
                              <w:t>Combined State and Local Tax Revenues</w:t>
                            </w:r>
                          </w:p>
                        </w:tc>
                        <w:tc>
                          <w:tcPr>
                            <w:tcW w:w="2185" w:type="dxa"/>
                          </w:tcPr>
                          <w:p w14:paraId="754C6E4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$6,235,602</w:t>
                            </w:r>
                          </w:p>
                        </w:tc>
                      </w:tr>
                      <w:tr w:rsidR="003D14AC" w:rsidRPr="001A1E04" w14:paraId="131FDB72"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6BA3C003"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Bold" w:hAnsi="Times New Roman Bold"/>
                                <w:sz w:val="21"/>
                                <w:szCs w:val="21"/>
                              </w:rPr>
                              <w:tab/>
                            </w:r>
                            <w:r w:rsidRPr="001A1E04">
                              <w:rPr>
                                <w:rFonts w:ascii="Times New Roman" w:hAnsi="Times New Roman"/>
                                <w:sz w:val="21"/>
                                <w:szCs w:val="21"/>
                              </w:rPr>
                              <w:t>State Tax Revenues</w:t>
                            </w:r>
                          </w:p>
                        </w:tc>
                        <w:tc>
                          <w:tcPr>
                            <w:tcW w:w="2185" w:type="dxa"/>
                          </w:tcPr>
                          <w:p w14:paraId="040A1DA4"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$3,443,847</w:t>
                            </w:r>
                          </w:p>
                        </w:tc>
                      </w:tr>
                      <w:tr w:rsidR="003D14AC" w:rsidRPr="001A1E04" w14:paraId="2930DAB2"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4832671A"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Bold" w:hAnsi="Times New Roman Bold"/>
                                <w:sz w:val="21"/>
                                <w:szCs w:val="21"/>
                              </w:rPr>
                              <w:tab/>
                            </w:r>
                            <w:r w:rsidRPr="001A1E04">
                              <w:rPr>
                                <w:rFonts w:ascii="Times New Roman" w:hAnsi="Times New Roman"/>
                                <w:sz w:val="21"/>
                                <w:szCs w:val="21"/>
                              </w:rPr>
                              <w:t>Local Tax Revenues</w:t>
                            </w:r>
                          </w:p>
                        </w:tc>
                        <w:tc>
                          <w:tcPr>
                            <w:tcW w:w="2185" w:type="dxa"/>
                          </w:tcPr>
                          <w:p w14:paraId="50AA1D3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$2,791,755</w:t>
                            </w:r>
                          </w:p>
                        </w:tc>
                      </w:tr>
                      <w:tr w:rsidR="003D14AC" w:rsidRPr="001A1E04" w14:paraId="3691D117"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5242AC37" w14:textId="77777777" w:rsidR="003D14AC" w:rsidRPr="001A1E04" w:rsidRDefault="003D14AC" w:rsidP="001A1E04">
                            <w:pPr>
                              <w:pStyle w:val="ListParagraph"/>
                              <w:ind w:left="0"/>
                              <w:jc w:val="both"/>
                              <w:rPr>
                                <w:sz w:val="21"/>
                                <w:szCs w:val="21"/>
                              </w:rPr>
                            </w:pPr>
                          </w:p>
                        </w:tc>
                        <w:tc>
                          <w:tcPr>
                            <w:tcW w:w="2185" w:type="dxa"/>
                          </w:tcPr>
                          <w:p w14:paraId="62D593BE"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sz w:val="21"/>
                                <w:szCs w:val="21"/>
                              </w:rPr>
                            </w:pPr>
                          </w:p>
                        </w:tc>
                      </w:tr>
                      <w:tr w:rsidR="003D14AC" w:rsidRPr="001A1E04" w14:paraId="4BCAA3C6"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130F3CDE" w14:textId="77777777" w:rsidR="003D14AC" w:rsidRPr="001A1E04" w:rsidRDefault="003D14AC" w:rsidP="001A1E04">
                            <w:pPr>
                              <w:pStyle w:val="ListParagraph"/>
                              <w:ind w:left="0"/>
                              <w:jc w:val="both"/>
                              <w:rPr>
                                <w:rFonts w:ascii="Times New Roman Bold" w:hAnsi="Times New Roman Bold"/>
                                <w:sz w:val="21"/>
                                <w:szCs w:val="21"/>
                              </w:rPr>
                            </w:pPr>
                            <w:r w:rsidRPr="001A1E04">
                              <w:rPr>
                                <w:rFonts w:ascii="Times New Roman Bold" w:hAnsi="Times New Roman Bold"/>
                                <w:sz w:val="21"/>
                                <w:szCs w:val="21"/>
                              </w:rPr>
                              <w:t>Wagner-Peyser Program Placements and Earnings</w:t>
                            </w:r>
                          </w:p>
                        </w:tc>
                        <w:tc>
                          <w:tcPr>
                            <w:tcW w:w="2185" w:type="dxa"/>
                          </w:tcPr>
                          <w:p w14:paraId="4A9EDE80"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$1,366,668,724</w:t>
                            </w:r>
                          </w:p>
                        </w:tc>
                      </w:tr>
                      <w:tr w:rsidR="003D14AC" w:rsidRPr="001A1E04" w14:paraId="1E036EB6"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37F9C383" w14:textId="77777777" w:rsidR="003D14AC" w:rsidRPr="001A1E04" w:rsidRDefault="003D14AC" w:rsidP="001A1E04">
                            <w:pPr>
                              <w:rPr>
                                <w:sz w:val="21"/>
                                <w:szCs w:val="21"/>
                              </w:rPr>
                            </w:pPr>
                            <w:r w:rsidRPr="001A1E04">
                              <w:rPr>
                                <w:sz w:val="21"/>
                                <w:szCs w:val="21"/>
                              </w:rPr>
                              <w:tab/>
                              <w:t>Economic Output</w:t>
                            </w:r>
                          </w:p>
                        </w:tc>
                        <w:tc>
                          <w:tcPr>
                            <w:tcW w:w="2185" w:type="dxa"/>
                          </w:tcPr>
                          <w:p w14:paraId="03CE579A"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$1,478,746,404</w:t>
                            </w:r>
                          </w:p>
                        </w:tc>
                      </w:tr>
                      <w:tr w:rsidR="003D14AC" w:rsidRPr="001A1E04" w14:paraId="5D09E8F6"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04BB05B3"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Employment</w:t>
                            </w:r>
                          </w:p>
                        </w:tc>
                        <w:tc>
                          <w:tcPr>
                            <w:tcW w:w="2185" w:type="dxa"/>
                          </w:tcPr>
                          <w:p w14:paraId="15D665BE"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11,091</w:t>
                            </w:r>
                          </w:p>
                        </w:tc>
                      </w:tr>
                      <w:tr w:rsidR="003D14AC" w:rsidRPr="001A1E04" w14:paraId="65867E1F"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603B1562"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 xml:space="preserve">Labor Income </w:t>
                            </w:r>
                          </w:p>
                        </w:tc>
                        <w:tc>
                          <w:tcPr>
                            <w:tcW w:w="2185" w:type="dxa"/>
                          </w:tcPr>
                          <w:p w14:paraId="55B03FA5"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$525,502,224</w:t>
                            </w:r>
                          </w:p>
                        </w:tc>
                      </w:tr>
                      <w:tr w:rsidR="003D14AC" w:rsidRPr="001A1E04" w14:paraId="68A88173"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73A15BA7"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w:hAnsi="Times New Roman"/>
                                <w:sz w:val="21"/>
                                <w:szCs w:val="21"/>
                              </w:rPr>
                              <w:t>Combined State and Local Tax Revenues</w:t>
                            </w:r>
                          </w:p>
                        </w:tc>
                        <w:tc>
                          <w:tcPr>
                            <w:tcW w:w="2185" w:type="dxa"/>
                          </w:tcPr>
                          <w:p w14:paraId="1046013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$97,261,246</w:t>
                            </w:r>
                          </w:p>
                        </w:tc>
                      </w:tr>
                      <w:tr w:rsidR="003D14AC" w:rsidRPr="001A1E04" w14:paraId="0D9D011F" w14:textId="77777777" w:rsidTr="00194A70">
                        <w:trPr>
                          <w:cnfStyle w:val="000000100000" w:firstRow="0" w:lastRow="0" w:firstColumn="0" w:lastColumn="0" w:oddVBand="0" w:evenVBand="0" w:oddHBand="1" w:evenHBand="0" w:firstRowFirstColumn="0" w:firstRowLastColumn="0" w:lastRowFirstColumn="0" w:lastRowLastColumn="0"/>
                          <w:trHeight w:val="351"/>
                        </w:trPr>
                        <w:tc>
                          <w:tcPr>
                            <w:cnfStyle w:val="000010000000" w:firstRow="0" w:lastRow="0" w:firstColumn="0" w:lastColumn="0" w:oddVBand="1" w:evenVBand="0" w:oddHBand="0" w:evenHBand="0" w:firstRowFirstColumn="0" w:firstRowLastColumn="0" w:lastRowFirstColumn="0" w:lastRowLastColumn="0"/>
                            <w:tcW w:w="8508" w:type="dxa"/>
                          </w:tcPr>
                          <w:p w14:paraId="237B1203"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Bold" w:hAnsi="Times New Roman Bold"/>
                                <w:sz w:val="21"/>
                                <w:szCs w:val="21"/>
                              </w:rPr>
                              <w:tab/>
                            </w:r>
                            <w:r w:rsidRPr="001A1E04">
                              <w:rPr>
                                <w:rFonts w:ascii="Times New Roman" w:hAnsi="Times New Roman"/>
                                <w:sz w:val="21"/>
                                <w:szCs w:val="21"/>
                              </w:rPr>
                              <w:t>State Tax Revenues</w:t>
                            </w:r>
                          </w:p>
                        </w:tc>
                        <w:tc>
                          <w:tcPr>
                            <w:tcW w:w="2185" w:type="dxa"/>
                          </w:tcPr>
                          <w:p w14:paraId="436ED2E2"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$53,976,108</w:t>
                            </w:r>
                          </w:p>
                        </w:tc>
                      </w:tr>
                      <w:tr w:rsidR="003D14AC" w:rsidRPr="001A1E04" w14:paraId="051E1B15" w14:textId="77777777" w:rsidTr="00194A70">
                        <w:trPr>
                          <w:trHeight w:val="351"/>
                        </w:trPr>
                        <w:tc>
                          <w:tcPr>
                            <w:cnfStyle w:val="000010000000" w:firstRow="0" w:lastRow="0" w:firstColumn="0" w:lastColumn="0" w:oddVBand="1" w:evenVBand="0" w:oddHBand="0" w:evenHBand="0" w:firstRowFirstColumn="0" w:firstRowLastColumn="0" w:lastRowFirstColumn="0" w:lastRowLastColumn="0"/>
                            <w:tcW w:w="8508" w:type="dxa"/>
                          </w:tcPr>
                          <w:p w14:paraId="5B40ADA5"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Bold" w:hAnsi="Times New Roman Bold"/>
                                <w:sz w:val="21"/>
                                <w:szCs w:val="21"/>
                              </w:rPr>
                              <w:tab/>
                            </w:r>
                            <w:r w:rsidRPr="001A1E04">
                              <w:rPr>
                                <w:rFonts w:ascii="Times New Roman" w:hAnsi="Times New Roman"/>
                                <w:sz w:val="21"/>
                                <w:szCs w:val="21"/>
                              </w:rPr>
                              <w:t>Local Tax Revenues</w:t>
                            </w:r>
                          </w:p>
                        </w:tc>
                        <w:tc>
                          <w:tcPr>
                            <w:tcW w:w="2185" w:type="dxa"/>
                          </w:tcPr>
                          <w:p w14:paraId="5B52734C"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$43,285,138</w:t>
                            </w:r>
                          </w:p>
                        </w:tc>
                      </w:tr>
                    </w:tbl>
                    <w:p w14:paraId="6F019A64" w14:textId="77777777" w:rsidR="003D14AC" w:rsidRDefault="003D14AC"/>
                  </w:txbxContent>
                </v:textbox>
                <w10:wrap type="topAndBottom"/>
              </v:shape>
            </w:pict>
          </mc:Fallback>
        </mc:AlternateContent>
      </w:r>
    </w:p>
    <w:p w14:paraId="496BAA50" w14:textId="77777777" w:rsidR="001A1E04" w:rsidRPr="004A0C12" w:rsidRDefault="001A1E04" w:rsidP="001A1E04">
      <w:pPr>
        <w:spacing w:after="0" w:line="240" w:lineRule="auto"/>
        <w:ind w:firstLine="720"/>
        <w:rPr>
          <w:rFonts w:ascii="Garamond" w:hAnsi="Garamond"/>
        </w:rPr>
      </w:pPr>
      <w:r w:rsidRPr="004A0C12">
        <w:rPr>
          <w:rFonts w:ascii="Garamond" w:hAnsi="Garamond"/>
          <w:noProof/>
        </w:rPr>
        <mc:AlternateContent>
          <mc:Choice Requires="wps">
            <w:drawing>
              <wp:anchor distT="0" distB="0" distL="114300" distR="114300" simplePos="0" relativeHeight="251686912" behindDoc="0" locked="0" layoutInCell="1" allowOverlap="1" wp14:anchorId="014927BB" wp14:editId="204A9B31">
                <wp:simplePos x="0" y="0"/>
                <wp:positionH relativeFrom="column">
                  <wp:posOffset>83557</wp:posOffset>
                </wp:positionH>
                <wp:positionV relativeFrom="paragraph">
                  <wp:posOffset>104753</wp:posOffset>
                </wp:positionV>
                <wp:extent cx="6901180" cy="1340069"/>
                <wp:effectExtent l="0" t="0" r="13970" b="12700"/>
                <wp:wrapNone/>
                <wp:docPr id="314" name="Text Box 314"/>
                <wp:cNvGraphicFramePr/>
                <a:graphic xmlns:a="http://schemas.openxmlformats.org/drawingml/2006/main">
                  <a:graphicData uri="http://schemas.microsoft.com/office/word/2010/wordprocessingShape">
                    <wps:wsp>
                      <wps:cNvSpPr txBox="1"/>
                      <wps:spPr>
                        <a:xfrm>
                          <a:off x="0" y="0"/>
                          <a:ext cx="6901180" cy="134006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0" w:type="auto"/>
                              <w:tblLayout w:type="fixed"/>
                              <w:tblLook w:val="0000" w:firstRow="0" w:lastRow="0" w:firstColumn="0" w:lastColumn="0" w:noHBand="0" w:noVBand="0"/>
                              <w:tblCaption w:val="Budget for DLLR Wagner-Peyser and WIA Programs: Program Year 2013"/>
                              <w:tblDescription w:val="This chart shows WIA and Wagner-Peyser programs by budgets. Overall, these programs were budgeted at $45,704,646 in PY 2013. Of this, $34,150.108 was WIA and $11,554,308 was Wagner-Peyser. "/>
                            </w:tblPr>
                            <w:tblGrid>
                              <w:gridCol w:w="8508"/>
                              <w:gridCol w:w="2185"/>
                            </w:tblGrid>
                            <w:tr w:rsidR="003D14AC" w:rsidRPr="001A1E04" w14:paraId="0EFF80E5" w14:textId="77777777" w:rsidTr="00847A0D">
                              <w:trPr>
                                <w:trHeight w:val="346"/>
                                <w:tblHeader/>
                              </w:trPr>
                              <w:tc>
                                <w:tcPr>
                                  <w:cnfStyle w:val="000010000000" w:firstRow="0" w:lastRow="0" w:firstColumn="0" w:lastColumn="0" w:oddVBand="1" w:evenVBand="0" w:oddHBand="0" w:evenHBand="0" w:firstRowFirstColumn="0" w:firstRowLastColumn="0" w:lastRowFirstColumn="0" w:lastRowLastColumn="0"/>
                                  <w:tcW w:w="10693" w:type="dxa"/>
                                  <w:gridSpan w:val="2"/>
                                </w:tcPr>
                                <w:p w14:paraId="35080047"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Budget for DLLR Wagner-Peyser and WIA Programs Program Year 2013</w:t>
                                  </w:r>
                                </w:p>
                              </w:tc>
                            </w:tr>
                            <w:tr w:rsidR="003D14AC" w:rsidRPr="001A1E04" w14:paraId="2F4EE0B3" w14:textId="77777777" w:rsidTr="00194A70">
                              <w:trPr>
                                <w:cnfStyle w:val="000000100000" w:firstRow="0" w:lastRow="0" w:firstColumn="0" w:lastColumn="0" w:oddVBand="0" w:evenVBand="0" w:oddHBand="1" w:evenHBand="0" w:firstRowFirstColumn="0" w:firstRowLastColumn="0" w:lastRowFirstColumn="0" w:lastRowLastColumn="0"/>
                                <w:trHeight w:val="346"/>
                              </w:trPr>
                              <w:tc>
                                <w:tcPr>
                                  <w:cnfStyle w:val="000010000000" w:firstRow="0" w:lastRow="0" w:firstColumn="0" w:lastColumn="0" w:oddVBand="1" w:evenVBand="0" w:oddHBand="0" w:evenHBand="0" w:firstRowFirstColumn="0" w:firstRowLastColumn="0" w:lastRowFirstColumn="0" w:lastRowLastColumn="0"/>
                                  <w:tcW w:w="8508" w:type="dxa"/>
                                </w:tcPr>
                                <w:p w14:paraId="7B008BE5" w14:textId="77777777" w:rsidR="003D14AC" w:rsidRPr="001A1E04" w:rsidRDefault="003D14AC" w:rsidP="001A1E04">
                                  <w:pPr>
                                    <w:pStyle w:val="ListParagraph"/>
                                    <w:ind w:left="0"/>
                                    <w:jc w:val="both"/>
                                    <w:rPr>
                                      <w:rFonts w:ascii="Times New Roman Italic" w:hAnsi="Times New Roman Italic"/>
                                      <w:sz w:val="21"/>
                                      <w:szCs w:val="21"/>
                                    </w:rPr>
                                  </w:pPr>
                                  <w:r w:rsidRPr="001A1E04">
                                    <w:rPr>
                                      <w:rFonts w:ascii="Times New Roman Italic" w:hAnsi="Times New Roman Italic"/>
                                      <w:sz w:val="21"/>
                                      <w:szCs w:val="21"/>
                                    </w:rPr>
                                    <w:t>Program</w:t>
                                  </w:r>
                                </w:p>
                              </w:tc>
                              <w:tc>
                                <w:tcPr>
                                  <w:tcW w:w="2185" w:type="dxa"/>
                                </w:tcPr>
                                <w:p w14:paraId="5F03C950"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Budget</w:t>
                                  </w:r>
                                </w:p>
                              </w:tc>
                            </w:tr>
                            <w:tr w:rsidR="003D14AC" w:rsidRPr="001A1E04" w14:paraId="44FD0C17" w14:textId="77777777" w:rsidTr="00194A70">
                              <w:trPr>
                                <w:trHeight w:val="346"/>
                              </w:trPr>
                              <w:tc>
                                <w:tcPr>
                                  <w:cnfStyle w:val="000010000000" w:firstRow="0" w:lastRow="0" w:firstColumn="0" w:lastColumn="0" w:oddVBand="1" w:evenVBand="0" w:oddHBand="0" w:evenHBand="0" w:firstRowFirstColumn="0" w:firstRowLastColumn="0" w:lastRowFirstColumn="0" w:lastRowLastColumn="0"/>
                                  <w:tcW w:w="8508" w:type="dxa"/>
                                </w:tcPr>
                                <w:p w14:paraId="000EF651"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Total for DLLR Workforce Programs Analyzed</w:t>
                                  </w:r>
                                </w:p>
                              </w:tc>
                              <w:tc>
                                <w:tcPr>
                                  <w:tcW w:w="2185" w:type="dxa"/>
                                </w:tcPr>
                                <w:p w14:paraId="590C393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$45,704,646</w:t>
                                  </w:r>
                                </w:p>
                              </w:tc>
                            </w:tr>
                            <w:tr w:rsidR="003D14AC" w:rsidRPr="001A1E04" w14:paraId="5B7483CA" w14:textId="77777777" w:rsidTr="00194A70">
                              <w:trPr>
                                <w:cnfStyle w:val="000000100000" w:firstRow="0" w:lastRow="0" w:firstColumn="0" w:lastColumn="0" w:oddVBand="0" w:evenVBand="0" w:oddHBand="1" w:evenHBand="0" w:firstRowFirstColumn="0" w:firstRowLastColumn="0" w:lastRowFirstColumn="0" w:lastRowLastColumn="0"/>
                                <w:trHeight w:val="346"/>
                              </w:trPr>
                              <w:tc>
                                <w:tcPr>
                                  <w:cnfStyle w:val="000010000000" w:firstRow="0" w:lastRow="0" w:firstColumn="0" w:lastColumn="0" w:oddVBand="1" w:evenVBand="0" w:oddHBand="0" w:evenHBand="0" w:firstRowFirstColumn="0" w:firstRowLastColumn="0" w:lastRowFirstColumn="0" w:lastRowLastColumn="0"/>
                                  <w:tcW w:w="8508" w:type="dxa"/>
                                </w:tcPr>
                                <w:p w14:paraId="3AC5AC8A" w14:textId="77777777" w:rsidR="003D14AC" w:rsidRPr="001A1E04" w:rsidRDefault="003D14AC" w:rsidP="001A1E04">
                                  <w:pPr>
                                    <w:rPr>
                                      <w:sz w:val="21"/>
                                      <w:szCs w:val="21"/>
                                    </w:rPr>
                                  </w:pPr>
                                  <w:r w:rsidRPr="001A1E04">
                                    <w:rPr>
                                      <w:sz w:val="21"/>
                                      <w:szCs w:val="21"/>
                                    </w:rPr>
                                    <w:tab/>
                                    <w:t>WIA</w:t>
                                  </w:r>
                                </w:p>
                              </w:tc>
                              <w:tc>
                                <w:tcPr>
                                  <w:tcW w:w="2185" w:type="dxa"/>
                                </w:tcPr>
                                <w:p w14:paraId="4C791056"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$34,150.108</w:t>
                                  </w:r>
                                </w:p>
                              </w:tc>
                            </w:tr>
                            <w:tr w:rsidR="003D14AC" w:rsidRPr="001A1E04" w14:paraId="59048BDE" w14:textId="77777777" w:rsidTr="00194A70">
                              <w:trPr>
                                <w:trHeight w:val="346"/>
                              </w:trPr>
                              <w:tc>
                                <w:tcPr>
                                  <w:cnfStyle w:val="000010000000" w:firstRow="0" w:lastRow="0" w:firstColumn="0" w:lastColumn="0" w:oddVBand="1" w:evenVBand="0" w:oddHBand="0" w:evenHBand="0" w:firstRowFirstColumn="0" w:firstRowLastColumn="0" w:lastRowFirstColumn="0" w:lastRowLastColumn="0"/>
                                  <w:tcW w:w="8508" w:type="dxa"/>
                                </w:tcPr>
                                <w:p w14:paraId="1FF0C057" w14:textId="6CA1FA21" w:rsidR="003D14AC" w:rsidRPr="001A1E04" w:rsidRDefault="003D14AC" w:rsidP="001A1E04">
                                  <w:pPr>
                                    <w:pStyle w:val="ListParagraph"/>
                                    <w:ind w:left="0"/>
                                    <w:jc w:val="both"/>
                                    <w:rPr>
                                      <w:rFonts w:ascii="Times New Roman" w:hAnsi="Times New Roman"/>
                                      <w:sz w:val="21"/>
                                      <w:szCs w:val="21"/>
                                    </w:rPr>
                                  </w:pPr>
                                  <w:r>
                                    <w:rPr>
                                      <w:rFonts w:ascii="Times New Roman" w:hAnsi="Times New Roman"/>
                                      <w:sz w:val="21"/>
                                      <w:szCs w:val="21"/>
                                    </w:rPr>
                                    <w:tab/>
                                    <w:t>Wagner-</w:t>
                                  </w:r>
                                  <w:r w:rsidRPr="001A1E04">
                                    <w:rPr>
                                      <w:rFonts w:ascii="Times New Roman" w:hAnsi="Times New Roman"/>
                                      <w:sz w:val="21"/>
                                      <w:szCs w:val="21"/>
                                    </w:rPr>
                                    <w:t>Peyser</w:t>
                                  </w:r>
                                </w:p>
                              </w:tc>
                              <w:tc>
                                <w:tcPr>
                                  <w:tcW w:w="2185" w:type="dxa"/>
                                </w:tcPr>
                                <w:p w14:paraId="720F88EB"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$11,554,308</w:t>
                                  </w:r>
                                </w:p>
                              </w:tc>
                            </w:tr>
                          </w:tbl>
                          <w:p w14:paraId="1E769E17"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4" o:spid="_x0000_s1046" type="#_x0000_t202" style="position:absolute;left:0;text-align:left;margin-left:6.6pt;margin-top:8.25pt;width:543.4pt;height:10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" fillcolor="white [3201]" strokeweight=".5pt">
                <v:textbox>
                  <w:txbxContent>
                    <w:tbl>
                      <w:tblPr>
                        <w:tblStyle w:val="PlainTable11"/>
                        <w:tblW w:w="0" w:type="auto"/>
                        <w:tblLayout w:type="fixed"/>
                        <w:tblLook w:val="0000" w:firstRow="0" w:lastRow="0" w:firstColumn="0" w:lastColumn="0" w:noHBand="0" w:noVBand="0"/>
                        <w:tblCaption w:val="Budget for DLLR Wagner-Peyser and WIA Programs: Program Year 2013"/>
                        <w:tblDescription w:val="This chart shows WIA and Wagner-Peyser programs by budgets. Overall, these programs were budgeted at $45,704,646 in PY 2013. Of this, $34,150.108 was WIA and $11,554,308 was Wagner-Peyser. "/>
                      </w:tblPr>
                      <w:tblGrid>
                        <w:gridCol w:w="8508"/>
                        <w:gridCol w:w="2185"/>
                      </w:tblGrid>
                      <w:tr w:rsidR="003D14AC" w:rsidRPr="001A1E04" w14:paraId="0EFF80E5" w14:textId="77777777" w:rsidTr="00847A0D">
                        <w:trPr>
                          <w:trHeight w:val="346"/>
                          <w:tblHeader/>
                        </w:trPr>
                        <w:tc>
                          <w:tcPr>
                            <w:cnfStyle w:val="000010000000" w:firstRow="0" w:lastRow="0" w:firstColumn="0" w:lastColumn="0" w:oddVBand="1" w:evenVBand="0" w:oddHBand="0" w:evenHBand="0" w:firstRowFirstColumn="0" w:firstRowLastColumn="0" w:lastRowFirstColumn="0" w:lastRowLastColumn="0"/>
                            <w:tcW w:w="10693" w:type="dxa"/>
                            <w:gridSpan w:val="2"/>
                          </w:tcPr>
                          <w:p w14:paraId="35080047"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Budget for DLLR Wagner-Peyser and WIA Programs Program Year 2013</w:t>
                            </w:r>
                          </w:p>
                        </w:tc>
                      </w:tr>
                      <w:tr w:rsidR="003D14AC" w:rsidRPr="001A1E04" w14:paraId="2F4EE0B3" w14:textId="77777777" w:rsidTr="00194A70">
                        <w:trPr>
                          <w:cnfStyle w:val="000000100000" w:firstRow="0" w:lastRow="0" w:firstColumn="0" w:lastColumn="0" w:oddVBand="0" w:evenVBand="0" w:oddHBand="1" w:evenHBand="0" w:firstRowFirstColumn="0" w:firstRowLastColumn="0" w:lastRowFirstColumn="0" w:lastRowLastColumn="0"/>
                          <w:trHeight w:val="346"/>
                        </w:trPr>
                        <w:tc>
                          <w:tcPr>
                            <w:cnfStyle w:val="000010000000" w:firstRow="0" w:lastRow="0" w:firstColumn="0" w:lastColumn="0" w:oddVBand="1" w:evenVBand="0" w:oddHBand="0" w:evenHBand="0" w:firstRowFirstColumn="0" w:firstRowLastColumn="0" w:lastRowFirstColumn="0" w:lastRowLastColumn="0"/>
                            <w:tcW w:w="8508" w:type="dxa"/>
                          </w:tcPr>
                          <w:p w14:paraId="7B008BE5" w14:textId="77777777" w:rsidR="003D14AC" w:rsidRPr="001A1E04" w:rsidRDefault="003D14AC" w:rsidP="001A1E04">
                            <w:pPr>
                              <w:pStyle w:val="ListParagraph"/>
                              <w:ind w:left="0"/>
                              <w:jc w:val="both"/>
                              <w:rPr>
                                <w:rFonts w:ascii="Times New Roman Italic" w:hAnsi="Times New Roman Italic"/>
                                <w:sz w:val="21"/>
                                <w:szCs w:val="21"/>
                              </w:rPr>
                            </w:pPr>
                            <w:r w:rsidRPr="001A1E04">
                              <w:rPr>
                                <w:rFonts w:ascii="Times New Roman Italic" w:hAnsi="Times New Roman Italic"/>
                                <w:sz w:val="21"/>
                                <w:szCs w:val="21"/>
                              </w:rPr>
                              <w:t>Program</w:t>
                            </w:r>
                          </w:p>
                        </w:tc>
                        <w:tc>
                          <w:tcPr>
                            <w:tcW w:w="2185" w:type="dxa"/>
                          </w:tcPr>
                          <w:p w14:paraId="5F03C950"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Budget</w:t>
                            </w:r>
                          </w:p>
                        </w:tc>
                      </w:tr>
                      <w:tr w:rsidR="003D14AC" w:rsidRPr="001A1E04" w14:paraId="44FD0C17" w14:textId="77777777" w:rsidTr="00194A70">
                        <w:trPr>
                          <w:trHeight w:val="346"/>
                        </w:trPr>
                        <w:tc>
                          <w:tcPr>
                            <w:cnfStyle w:val="000010000000" w:firstRow="0" w:lastRow="0" w:firstColumn="0" w:lastColumn="0" w:oddVBand="1" w:evenVBand="0" w:oddHBand="0" w:evenHBand="0" w:firstRowFirstColumn="0" w:firstRowLastColumn="0" w:lastRowFirstColumn="0" w:lastRowLastColumn="0"/>
                            <w:tcW w:w="8508" w:type="dxa"/>
                          </w:tcPr>
                          <w:p w14:paraId="000EF651"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Total for DLLR Workforce Programs Analyzed</w:t>
                            </w:r>
                          </w:p>
                        </w:tc>
                        <w:tc>
                          <w:tcPr>
                            <w:tcW w:w="2185" w:type="dxa"/>
                          </w:tcPr>
                          <w:p w14:paraId="590C393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$45,704,646</w:t>
                            </w:r>
                          </w:p>
                        </w:tc>
                      </w:tr>
                      <w:tr w:rsidR="003D14AC" w:rsidRPr="001A1E04" w14:paraId="5B7483CA" w14:textId="77777777" w:rsidTr="00194A70">
                        <w:trPr>
                          <w:cnfStyle w:val="000000100000" w:firstRow="0" w:lastRow="0" w:firstColumn="0" w:lastColumn="0" w:oddVBand="0" w:evenVBand="0" w:oddHBand="1" w:evenHBand="0" w:firstRowFirstColumn="0" w:firstRowLastColumn="0" w:lastRowFirstColumn="0" w:lastRowLastColumn="0"/>
                          <w:trHeight w:val="346"/>
                        </w:trPr>
                        <w:tc>
                          <w:tcPr>
                            <w:cnfStyle w:val="000010000000" w:firstRow="0" w:lastRow="0" w:firstColumn="0" w:lastColumn="0" w:oddVBand="1" w:evenVBand="0" w:oddHBand="0" w:evenHBand="0" w:firstRowFirstColumn="0" w:firstRowLastColumn="0" w:lastRowFirstColumn="0" w:lastRowLastColumn="0"/>
                            <w:tcW w:w="8508" w:type="dxa"/>
                          </w:tcPr>
                          <w:p w14:paraId="3AC5AC8A" w14:textId="77777777" w:rsidR="003D14AC" w:rsidRPr="001A1E04" w:rsidRDefault="003D14AC" w:rsidP="001A1E04">
                            <w:pPr>
                              <w:rPr>
                                <w:sz w:val="21"/>
                                <w:szCs w:val="21"/>
                              </w:rPr>
                            </w:pPr>
                            <w:r w:rsidRPr="001A1E04">
                              <w:rPr>
                                <w:sz w:val="21"/>
                                <w:szCs w:val="21"/>
                              </w:rPr>
                              <w:tab/>
                              <w:t>WIA</w:t>
                            </w:r>
                          </w:p>
                        </w:tc>
                        <w:tc>
                          <w:tcPr>
                            <w:tcW w:w="2185" w:type="dxa"/>
                          </w:tcPr>
                          <w:p w14:paraId="4C791056"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$34,150.108</w:t>
                            </w:r>
                          </w:p>
                        </w:tc>
                      </w:tr>
                      <w:tr w:rsidR="003D14AC" w:rsidRPr="001A1E04" w14:paraId="59048BDE" w14:textId="77777777" w:rsidTr="00194A70">
                        <w:trPr>
                          <w:trHeight w:val="346"/>
                        </w:trPr>
                        <w:tc>
                          <w:tcPr>
                            <w:cnfStyle w:val="000010000000" w:firstRow="0" w:lastRow="0" w:firstColumn="0" w:lastColumn="0" w:oddVBand="1" w:evenVBand="0" w:oddHBand="0" w:evenHBand="0" w:firstRowFirstColumn="0" w:firstRowLastColumn="0" w:lastRowFirstColumn="0" w:lastRowLastColumn="0"/>
                            <w:tcW w:w="8508" w:type="dxa"/>
                          </w:tcPr>
                          <w:p w14:paraId="1FF0C057" w14:textId="6CA1FA21" w:rsidR="003D14AC" w:rsidRPr="001A1E04" w:rsidRDefault="003D14AC" w:rsidP="001A1E04">
                            <w:pPr>
                              <w:pStyle w:val="ListParagraph"/>
                              <w:ind w:left="0"/>
                              <w:jc w:val="both"/>
                              <w:rPr>
                                <w:rFonts w:ascii="Times New Roman" w:hAnsi="Times New Roman"/>
                                <w:sz w:val="21"/>
                                <w:szCs w:val="21"/>
                              </w:rPr>
                            </w:pPr>
                            <w:r>
                              <w:rPr>
                                <w:rFonts w:ascii="Times New Roman" w:hAnsi="Times New Roman"/>
                                <w:sz w:val="21"/>
                                <w:szCs w:val="21"/>
                              </w:rPr>
                              <w:tab/>
                              <w:t>Wagner-</w:t>
                            </w:r>
                            <w:r w:rsidRPr="001A1E04">
                              <w:rPr>
                                <w:rFonts w:ascii="Times New Roman" w:hAnsi="Times New Roman"/>
                                <w:sz w:val="21"/>
                                <w:szCs w:val="21"/>
                              </w:rPr>
                              <w:t>Peyser</w:t>
                            </w:r>
                          </w:p>
                        </w:tc>
                        <w:tc>
                          <w:tcPr>
                            <w:tcW w:w="2185" w:type="dxa"/>
                          </w:tcPr>
                          <w:p w14:paraId="720F88EB"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$11,554,308</w:t>
                            </w:r>
                          </w:p>
                        </w:tc>
                      </w:tr>
                    </w:tbl>
                    <w:p w14:paraId="1E769E17" w14:textId="77777777" w:rsidR="003D14AC" w:rsidRDefault="003D14AC"/>
                  </w:txbxContent>
                </v:textbox>
              </v:shape>
            </w:pict>
          </mc:Fallback>
        </mc:AlternateContent>
      </w:r>
    </w:p>
    <w:p w14:paraId="42719B4D" w14:textId="0A027E31" w:rsidR="001A1E04" w:rsidRPr="004A0C12" w:rsidRDefault="001A1E04" w:rsidP="001A1E04">
      <w:pPr>
        <w:spacing w:after="0" w:line="240" w:lineRule="auto"/>
        <w:ind w:firstLine="720"/>
        <w:rPr>
          <w:rFonts w:ascii="Garamond" w:hAnsi="Garamond"/>
        </w:rPr>
      </w:pP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r w:rsidRPr="004A0C12">
        <w:rPr>
          <w:rFonts w:ascii="Garamond" w:hAnsi="Garamond"/>
        </w:rPr>
        <w:tab/>
      </w:r>
    </w:p>
    <w:p w14:paraId="1B5FA374" w14:textId="77777777" w:rsidR="001A1E04" w:rsidRPr="004A0C12" w:rsidRDefault="001A1E04" w:rsidP="001A1E04">
      <w:pPr>
        <w:spacing w:after="0" w:line="240" w:lineRule="auto"/>
        <w:ind w:firstLine="720"/>
        <w:rPr>
          <w:rFonts w:ascii="Garamond" w:hAnsi="Garamond"/>
        </w:rPr>
      </w:pPr>
    </w:p>
    <w:p w14:paraId="3F0E61BF" w14:textId="77777777" w:rsidR="001A1E04" w:rsidRPr="004A0C12" w:rsidRDefault="001A1E04" w:rsidP="001A1E04">
      <w:pPr>
        <w:spacing w:after="0" w:line="240" w:lineRule="auto"/>
        <w:ind w:firstLine="720"/>
        <w:rPr>
          <w:rFonts w:ascii="Garamond" w:hAnsi="Garamond"/>
        </w:rPr>
      </w:pPr>
    </w:p>
    <w:p w14:paraId="25C8B69A" w14:textId="77777777" w:rsidR="001A1E04" w:rsidRPr="004A0C12" w:rsidRDefault="001A1E04" w:rsidP="001A1E04">
      <w:pPr>
        <w:spacing w:after="0" w:line="240" w:lineRule="auto"/>
        <w:ind w:firstLine="720"/>
        <w:rPr>
          <w:rFonts w:ascii="Garamond" w:hAnsi="Garamond"/>
        </w:rPr>
      </w:pPr>
    </w:p>
    <w:p w14:paraId="20120019" w14:textId="77777777" w:rsidR="001A1E04" w:rsidRPr="004A0C12" w:rsidRDefault="001A1E04" w:rsidP="001A1E04">
      <w:pPr>
        <w:spacing w:after="0" w:line="240" w:lineRule="auto"/>
        <w:ind w:firstLine="720"/>
        <w:rPr>
          <w:rFonts w:ascii="Garamond" w:hAnsi="Garamond"/>
        </w:rPr>
      </w:pPr>
    </w:p>
    <w:p w14:paraId="6D9A83DD" w14:textId="77777777" w:rsidR="001A1E04" w:rsidRPr="004A0C12" w:rsidRDefault="001A1E04" w:rsidP="001A1E04">
      <w:pPr>
        <w:spacing w:after="0" w:line="240" w:lineRule="auto"/>
        <w:ind w:firstLine="720"/>
        <w:rPr>
          <w:rFonts w:ascii="Garamond" w:hAnsi="Garamond"/>
        </w:rPr>
      </w:pPr>
    </w:p>
    <w:p w14:paraId="5BC1ABBF" w14:textId="77777777" w:rsidR="001A1E04" w:rsidRPr="004A0C12" w:rsidRDefault="001A1E04" w:rsidP="001A1E04">
      <w:pPr>
        <w:spacing w:after="0" w:line="240" w:lineRule="auto"/>
        <w:ind w:firstLine="720"/>
        <w:rPr>
          <w:rFonts w:ascii="Garamond" w:hAnsi="Garamond"/>
        </w:rPr>
      </w:pPr>
    </w:p>
    <w:p w14:paraId="2FE69EF8" w14:textId="77777777" w:rsidR="001A1E04" w:rsidRPr="004A0C12" w:rsidRDefault="001A1E04" w:rsidP="001A1E04">
      <w:pPr>
        <w:spacing w:after="0" w:line="240" w:lineRule="auto"/>
        <w:ind w:firstLine="720"/>
        <w:rPr>
          <w:rFonts w:ascii="Garamond" w:hAnsi="Garamond"/>
        </w:rPr>
      </w:pPr>
    </w:p>
    <w:p w14:paraId="3D6D6F1A" w14:textId="77777777" w:rsidR="001A1E04" w:rsidRPr="00B60621" w:rsidRDefault="001A1E04" w:rsidP="001A1E04">
      <w:pPr>
        <w:spacing w:after="0" w:line="240" w:lineRule="auto"/>
        <w:ind w:firstLine="720"/>
        <w:rPr>
          <w:rFonts w:ascii="Garamond" w:hAnsi="Garamond"/>
          <w:sz w:val="24"/>
          <w:szCs w:val="24"/>
        </w:rPr>
      </w:pPr>
    </w:p>
    <w:p w14:paraId="2A4C1E93" w14:textId="77777777" w:rsidR="001A1E04" w:rsidRPr="00B60621" w:rsidRDefault="001A1E04" w:rsidP="001A1E04">
      <w:pPr>
        <w:pStyle w:val="Heading4"/>
        <w:spacing w:before="0" w:line="240" w:lineRule="auto"/>
        <w:rPr>
          <w:rFonts w:ascii="Garamond" w:hAnsi="Garamond"/>
          <w:sz w:val="24"/>
          <w:szCs w:val="24"/>
        </w:rPr>
      </w:pPr>
      <w:r w:rsidRPr="00B60621">
        <w:rPr>
          <w:rFonts w:ascii="Garamond" w:hAnsi="Garamond"/>
          <w:sz w:val="24"/>
          <w:szCs w:val="24"/>
        </w:rPr>
        <w:t>Benefit-Cost Ratio Analysis</w:t>
      </w:r>
    </w:p>
    <w:p w14:paraId="453DB6FB" w14:textId="77777777" w:rsidR="001A1E04" w:rsidRPr="004A0C12" w:rsidRDefault="001A1E04" w:rsidP="001A1E04">
      <w:pPr>
        <w:spacing w:after="0" w:line="240" w:lineRule="auto"/>
        <w:jc w:val="both"/>
        <w:rPr>
          <w:rFonts w:ascii="Garamond" w:hAnsi="Garamond"/>
        </w:rPr>
      </w:pPr>
      <w:r w:rsidRPr="004A0C12">
        <w:rPr>
          <w:rFonts w:ascii="Garamond" w:hAnsi="Garamond"/>
        </w:rPr>
        <w:t xml:space="preserve">The budget for the WIA and Wagner-Peyser workforce programs analyzed is presented in Table 4. </w:t>
      </w:r>
      <w:proofErr w:type="gramStart"/>
      <w:r w:rsidRPr="004A0C12">
        <w:rPr>
          <w:rFonts w:ascii="Garamond" w:hAnsi="Garamond"/>
        </w:rPr>
        <w:t>DLLR total spending for WIA and Wagner-Peyser workforce programs totals $45.7 million, consisting of $34.2 million for WIA programs and $11.6 million for Wagner-Peyser programs.</w:t>
      </w:r>
      <w:proofErr w:type="gramEnd"/>
    </w:p>
    <w:p w14:paraId="6BA1A342" w14:textId="77777777" w:rsidR="001A1E04" w:rsidRPr="004A0C12" w:rsidRDefault="001A1E04" w:rsidP="001A1E04">
      <w:pPr>
        <w:spacing w:after="0" w:line="240" w:lineRule="auto"/>
        <w:jc w:val="both"/>
        <w:rPr>
          <w:rFonts w:ascii="Garamond" w:hAnsi="Garamond"/>
        </w:rPr>
      </w:pPr>
    </w:p>
    <w:p w14:paraId="33010048" w14:textId="068D9B7F" w:rsidR="001A1E04" w:rsidRPr="004A0C12" w:rsidRDefault="001A1E04" w:rsidP="001A1E04">
      <w:pPr>
        <w:spacing w:after="0" w:line="240" w:lineRule="auto"/>
        <w:jc w:val="both"/>
        <w:rPr>
          <w:rFonts w:ascii="Garamond" w:hAnsi="Garamond"/>
        </w:rPr>
      </w:pPr>
      <w:r w:rsidRPr="004A0C12">
        <w:rPr>
          <w:rFonts w:ascii="Garamond" w:hAnsi="Garamond"/>
        </w:rPr>
        <w:t>The most conservative way to look at the benefit-cost ratio of DLLR’s WIA and Wagner-Peyser workforce programs is to analyze the State tax revenues generated in comparison to the costs in</w:t>
      </w:r>
      <w:r w:rsidR="00194A70" w:rsidRPr="004A0C12">
        <w:rPr>
          <w:rFonts w:ascii="Garamond" w:hAnsi="Garamond"/>
        </w:rPr>
        <w:t>curred. This type of comparison,</w:t>
      </w:r>
      <w:r w:rsidRPr="004A0C12">
        <w:rPr>
          <w:rFonts w:ascii="Garamond" w:hAnsi="Garamond"/>
        </w:rPr>
        <w:t xml:space="preserve"> however, is complicated by the fact that the majority of these funds come from the federal government, rather than state appropriations. As presented in Table 5, using this benefit-cost measure, DLLR’s WIA and Wagner-Peyser programs return $1.18 in estimated State tax revenues per $1 spent. A broader measure of the benefit-cost ratio of DLLR’s WIA and Wagner-Peyser workforce programs is to analyze the economic output or activity generated by these programs compared to the cost of the programs. This analysis is complicated by the relatively low levels of expenditures per person in comparison to the post employment earnings, making this measure quite </w:t>
      </w:r>
      <w:r w:rsidRPr="004A0C12">
        <w:rPr>
          <w:rFonts w:ascii="Garamond" w:hAnsi="Garamond"/>
        </w:rPr>
        <w:lastRenderedPageBreak/>
        <w:t>distorted. This is especially true of the Wagner-Peyser program, where only limited direct ass</w:t>
      </w:r>
      <w:r w:rsidR="00080EC6" w:rsidRPr="004A0C12">
        <w:rPr>
          <w:rFonts w:ascii="Garamond" w:hAnsi="Garamond"/>
        </w:rPr>
        <w:t>istance is provided to each job</w:t>
      </w:r>
      <w:r w:rsidRPr="004A0C12">
        <w:rPr>
          <w:rFonts w:ascii="Garamond" w:hAnsi="Garamond"/>
        </w:rPr>
        <w:t xml:space="preserve">seeker. For the more intensive WIA program, where persons receive more substantial training and placement assistance, the program generates $2.7 in Maryland economic activity for each $1 budgeted </w:t>
      </w:r>
      <w:r w:rsidR="00194A70" w:rsidRPr="004A0C12">
        <w:rPr>
          <w:rFonts w:ascii="Garamond" w:hAnsi="Garamond"/>
          <w:noProof/>
        </w:rPr>
        <mc:AlternateContent>
          <mc:Choice Requires="wps">
            <w:drawing>
              <wp:anchor distT="0" distB="0" distL="114300" distR="114300" simplePos="0" relativeHeight="251687936" behindDoc="0" locked="0" layoutInCell="1" allowOverlap="1" wp14:anchorId="07B75A59" wp14:editId="78CB69B7">
                <wp:simplePos x="0" y="0"/>
                <wp:positionH relativeFrom="column">
                  <wp:posOffset>-34925</wp:posOffset>
                </wp:positionH>
                <wp:positionV relativeFrom="paragraph">
                  <wp:posOffset>1252855</wp:posOffset>
                </wp:positionV>
                <wp:extent cx="7092315" cy="1954530"/>
                <wp:effectExtent l="0" t="0" r="13335" b="26670"/>
                <wp:wrapTopAndBottom/>
                <wp:docPr id="315" name="Text Box 315"/>
                <wp:cNvGraphicFramePr/>
                <a:graphic xmlns:a="http://schemas.openxmlformats.org/drawingml/2006/main">
                  <a:graphicData uri="http://schemas.microsoft.com/office/word/2010/wordprocessingShape">
                    <wps:wsp>
                      <wps:cNvSpPr txBox="1"/>
                      <wps:spPr>
                        <a:xfrm>
                          <a:off x="0" y="0"/>
                          <a:ext cx="7092315" cy="19545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10969" w:type="dxa"/>
                              <w:tblLayout w:type="fixed"/>
                              <w:tblLook w:val="0000" w:firstRow="0" w:lastRow="0" w:firstColumn="0" w:lastColumn="0" w:noHBand="0" w:noVBand="0"/>
                              <w:tblCaption w:val="Budget for DLLR Wagner-Peyser and WIA Programs: PY 2013"/>
                              <w:tblDescription w:val="For DLLR's WIA and Wagner-Peyser Programs, this charts PY 2013 budget, State Tax Revenue, and State Tax Revenue per $1 Budgeted. "/>
                            </w:tblPr>
                            <w:tblGrid>
                              <w:gridCol w:w="6166"/>
                              <w:gridCol w:w="1631"/>
                              <w:gridCol w:w="1586"/>
                              <w:gridCol w:w="1586"/>
                            </w:tblGrid>
                            <w:tr w:rsidR="003D14AC" w:rsidRPr="001A1E04" w14:paraId="434126E4" w14:textId="77777777" w:rsidTr="00847A0D">
                              <w:trPr>
                                <w:trHeight w:val="343"/>
                                <w:tblHeader/>
                              </w:trPr>
                              <w:tc>
                                <w:tcPr>
                                  <w:cnfStyle w:val="000010000000" w:firstRow="0" w:lastRow="0" w:firstColumn="0" w:lastColumn="0" w:oddVBand="1" w:evenVBand="0" w:oddHBand="0" w:evenHBand="0" w:firstRowFirstColumn="0" w:firstRowLastColumn="0" w:lastRowFirstColumn="0" w:lastRowLastColumn="0"/>
                                  <w:tcW w:w="10968" w:type="dxa"/>
                                  <w:gridSpan w:val="4"/>
                                </w:tcPr>
                                <w:p w14:paraId="560CC728"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Budget for DLLR Wagner-Peyser and WIA Programs Program Year 2013</w:t>
                                  </w:r>
                                </w:p>
                              </w:tc>
                            </w:tr>
                            <w:tr w:rsidR="003D14AC" w:rsidRPr="001A1E04" w14:paraId="6AFBC08E" w14:textId="77777777" w:rsidTr="00194A70">
                              <w:trPr>
                                <w:cnfStyle w:val="000000100000" w:firstRow="0" w:lastRow="0" w:firstColumn="0" w:lastColumn="0" w:oddVBand="0" w:evenVBand="0" w:oddHBand="1" w:evenHBand="0" w:firstRowFirstColumn="0" w:firstRowLastColumn="0" w:lastRowFirstColumn="0" w:lastRowLastColumn="0"/>
                                <w:trHeight w:val="343"/>
                              </w:trPr>
                              <w:tc>
                                <w:tcPr>
                                  <w:cnfStyle w:val="000010000000" w:firstRow="0" w:lastRow="0" w:firstColumn="0" w:lastColumn="0" w:oddVBand="1" w:evenVBand="0" w:oddHBand="0" w:evenHBand="0" w:firstRowFirstColumn="0" w:firstRowLastColumn="0" w:lastRowFirstColumn="0" w:lastRowLastColumn="0"/>
                                  <w:tcW w:w="6166" w:type="dxa"/>
                                </w:tcPr>
                                <w:p w14:paraId="357DDF1B" w14:textId="77777777" w:rsidR="003D14AC" w:rsidRPr="001A1E04" w:rsidRDefault="003D14AC" w:rsidP="001A1E04">
                                  <w:pPr>
                                    <w:pStyle w:val="ListParagraph"/>
                                    <w:ind w:left="0"/>
                                    <w:jc w:val="both"/>
                                    <w:rPr>
                                      <w:sz w:val="21"/>
                                      <w:szCs w:val="21"/>
                                    </w:rPr>
                                  </w:pPr>
                                </w:p>
                              </w:tc>
                              <w:tc>
                                <w:tcPr>
                                  <w:tcW w:w="1631" w:type="dxa"/>
                                </w:tcPr>
                                <w:p w14:paraId="38E4E653"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586" w:type="dxa"/>
                                </w:tcPr>
                                <w:p w14:paraId="4064DDFC" w14:textId="77777777" w:rsidR="003D14AC" w:rsidRPr="001A1E04" w:rsidRDefault="003D14AC" w:rsidP="001A1E04">
                                  <w:pPr>
                                    <w:pStyle w:val="ListParagraph"/>
                                    <w:ind w:left="162"/>
                                    <w:jc w:val="right"/>
                                    <w:rPr>
                                      <w:sz w:val="21"/>
                                      <w:szCs w:val="21"/>
                                    </w:rPr>
                                  </w:pPr>
                                </w:p>
                              </w:tc>
                              <w:tc>
                                <w:tcPr>
                                  <w:tcW w:w="1586" w:type="dxa"/>
                                </w:tcPr>
                                <w:p w14:paraId="78A4F299"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sz w:val="21"/>
                                      <w:szCs w:val="21"/>
                                    </w:rPr>
                                  </w:pPr>
                                </w:p>
                              </w:tc>
                            </w:tr>
                            <w:tr w:rsidR="003D14AC" w:rsidRPr="001A1E04" w14:paraId="6CB078A9" w14:textId="77777777" w:rsidTr="00194A70">
                              <w:trPr>
                                <w:trHeight w:val="888"/>
                              </w:trPr>
                              <w:tc>
                                <w:tcPr>
                                  <w:cnfStyle w:val="000010000000" w:firstRow="0" w:lastRow="0" w:firstColumn="0" w:lastColumn="0" w:oddVBand="1" w:evenVBand="0" w:oddHBand="0" w:evenHBand="0" w:firstRowFirstColumn="0" w:firstRowLastColumn="0" w:lastRowFirstColumn="0" w:lastRowLastColumn="0"/>
                                  <w:tcW w:w="6166" w:type="dxa"/>
                                </w:tcPr>
                                <w:p w14:paraId="5716F3DB" w14:textId="77777777" w:rsidR="003D14AC" w:rsidRPr="001A1E04" w:rsidRDefault="003D14AC" w:rsidP="001A1E04">
                                  <w:pPr>
                                    <w:rPr>
                                      <w:rFonts w:ascii="Times New Roman Bold Italic" w:hAnsi="Times New Roman Bold Italic"/>
                                      <w:sz w:val="21"/>
                                      <w:szCs w:val="21"/>
                                    </w:rPr>
                                  </w:pPr>
                                  <w:r w:rsidRPr="001A1E04">
                                    <w:rPr>
                                      <w:rFonts w:ascii="Times New Roman Bold Italic" w:hAnsi="Times New Roman Bold Italic"/>
                                      <w:sz w:val="21"/>
                                      <w:szCs w:val="21"/>
                                    </w:rPr>
                                    <w:t>Program</w:t>
                                  </w:r>
                                </w:p>
                              </w:tc>
                              <w:tc>
                                <w:tcPr>
                                  <w:tcW w:w="1631" w:type="dxa"/>
                                </w:tcPr>
                                <w:p w14:paraId="26960488"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PY 2013 Budget</w:t>
                                  </w:r>
                                </w:p>
                              </w:tc>
                              <w:tc>
                                <w:tcPr>
                                  <w:cnfStyle w:val="000010000000" w:firstRow="0" w:lastRow="0" w:firstColumn="0" w:lastColumn="0" w:oddVBand="1" w:evenVBand="0" w:oddHBand="0" w:evenHBand="0" w:firstRowFirstColumn="0" w:firstRowLastColumn="0" w:lastRowFirstColumn="0" w:lastRowLastColumn="0"/>
                                  <w:tcW w:w="1586" w:type="dxa"/>
                                </w:tcPr>
                                <w:p w14:paraId="6438A56E" w14:textId="77777777" w:rsidR="003D14AC" w:rsidRPr="001A1E04" w:rsidRDefault="003D14AC" w:rsidP="001A1E04">
                                  <w:pPr>
                                    <w:pStyle w:val="ListParagraph"/>
                                    <w:ind w:left="162"/>
                                    <w:jc w:val="right"/>
                                    <w:rPr>
                                      <w:rFonts w:ascii="Times New Roman Italic" w:hAnsi="Times New Roman Italic"/>
                                      <w:sz w:val="21"/>
                                      <w:szCs w:val="21"/>
                                    </w:rPr>
                                  </w:pPr>
                                  <w:r w:rsidRPr="001A1E04">
                                    <w:rPr>
                                      <w:rFonts w:ascii="Times New Roman Italic" w:hAnsi="Times New Roman Italic"/>
                                      <w:sz w:val="21"/>
                                      <w:szCs w:val="21"/>
                                    </w:rPr>
                                    <w:t>State Tax Revenue</w:t>
                                  </w:r>
                                </w:p>
                              </w:tc>
                              <w:tc>
                                <w:tcPr>
                                  <w:tcW w:w="1586" w:type="dxa"/>
                                </w:tcPr>
                                <w:p w14:paraId="6C2F467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State Tax Revenue per $1 Budgeted</w:t>
                                  </w:r>
                                </w:p>
                              </w:tc>
                            </w:tr>
                            <w:tr w:rsidR="003D14AC" w:rsidRPr="001A1E04" w14:paraId="6EB38096" w14:textId="77777777" w:rsidTr="00194A70">
                              <w:trPr>
                                <w:cnfStyle w:val="000000100000" w:firstRow="0" w:lastRow="0" w:firstColumn="0" w:lastColumn="0" w:oddVBand="0" w:evenVBand="0" w:oddHBand="1" w:evenHBand="0" w:firstRowFirstColumn="0" w:firstRowLastColumn="0" w:lastRowFirstColumn="0" w:lastRowLastColumn="0"/>
                                <w:trHeight w:val="318"/>
                              </w:trPr>
                              <w:tc>
                                <w:tcPr>
                                  <w:cnfStyle w:val="000010000000" w:firstRow="0" w:lastRow="0" w:firstColumn="0" w:lastColumn="0" w:oddVBand="1" w:evenVBand="0" w:oddHBand="0" w:evenHBand="0" w:firstRowFirstColumn="0" w:firstRowLastColumn="0" w:lastRowFirstColumn="0" w:lastRowLastColumn="0"/>
                                  <w:tcW w:w="6166" w:type="dxa"/>
                                </w:tcPr>
                                <w:p w14:paraId="4911D56B"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Total for DLLR Workforce Programs Analyzed</w:t>
                                  </w:r>
                                </w:p>
                              </w:tc>
                              <w:tc>
                                <w:tcPr>
                                  <w:tcW w:w="1631" w:type="dxa"/>
                                </w:tcPr>
                                <w:p w14:paraId="4C35449C"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$45,704,646</w:t>
                                  </w:r>
                                </w:p>
                              </w:tc>
                              <w:tc>
                                <w:tcPr>
                                  <w:cnfStyle w:val="000010000000" w:firstRow="0" w:lastRow="0" w:firstColumn="0" w:lastColumn="0" w:oddVBand="1" w:evenVBand="0" w:oddHBand="0" w:evenHBand="0" w:firstRowFirstColumn="0" w:firstRowLastColumn="0" w:lastRowFirstColumn="0" w:lastRowLastColumn="0"/>
                                  <w:tcW w:w="1586" w:type="dxa"/>
                                </w:tcPr>
                                <w:p w14:paraId="3295ED3D" w14:textId="77777777" w:rsidR="003D14AC" w:rsidRPr="001A1E04" w:rsidRDefault="003D14AC" w:rsidP="001A1E04">
                                  <w:pPr>
                                    <w:pStyle w:val="ListParagraph"/>
                                    <w:ind w:left="162"/>
                                    <w:jc w:val="right"/>
                                    <w:rPr>
                                      <w:rFonts w:ascii="Times New Roman Bold" w:hAnsi="Times New Roman Bold"/>
                                      <w:sz w:val="21"/>
                                      <w:szCs w:val="21"/>
                                    </w:rPr>
                                  </w:pPr>
                                  <w:r w:rsidRPr="001A1E04">
                                    <w:rPr>
                                      <w:rFonts w:ascii="Times New Roman Bold" w:hAnsi="Times New Roman Bold"/>
                                      <w:sz w:val="21"/>
                                      <w:szCs w:val="21"/>
                                    </w:rPr>
                                    <w:t>$53,976,108</w:t>
                                  </w:r>
                                </w:p>
                              </w:tc>
                              <w:tc>
                                <w:tcPr>
                                  <w:tcW w:w="1586" w:type="dxa"/>
                                </w:tcPr>
                                <w:p w14:paraId="3CBB0B76"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$1.18</w:t>
                                  </w:r>
                                </w:p>
                              </w:tc>
                            </w:tr>
                            <w:tr w:rsidR="003D14AC" w:rsidRPr="001A1E04" w14:paraId="76DF698D" w14:textId="77777777" w:rsidTr="00194A70">
                              <w:trPr>
                                <w:trHeight w:val="102"/>
                              </w:trPr>
                              <w:tc>
                                <w:tcPr>
                                  <w:cnfStyle w:val="000010000000" w:firstRow="0" w:lastRow="0" w:firstColumn="0" w:lastColumn="0" w:oddVBand="1" w:evenVBand="0" w:oddHBand="0" w:evenHBand="0" w:firstRowFirstColumn="0" w:firstRowLastColumn="0" w:lastRowFirstColumn="0" w:lastRowLastColumn="0"/>
                                  <w:tcW w:w="6166" w:type="dxa"/>
                                </w:tcPr>
                                <w:p w14:paraId="7758E8B5" w14:textId="77777777" w:rsidR="003D14AC" w:rsidRPr="001A1E04" w:rsidRDefault="003D14AC" w:rsidP="001A1E04">
                                  <w:pPr>
                                    <w:pStyle w:val="ListParagraph"/>
                                    <w:ind w:left="0"/>
                                    <w:jc w:val="both"/>
                                    <w:rPr>
                                      <w:sz w:val="21"/>
                                      <w:szCs w:val="21"/>
                                    </w:rPr>
                                  </w:pPr>
                                </w:p>
                              </w:tc>
                              <w:tc>
                                <w:tcPr>
                                  <w:tcW w:w="1631" w:type="dxa"/>
                                </w:tcPr>
                                <w:p w14:paraId="28E46F7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586" w:type="dxa"/>
                                </w:tcPr>
                                <w:p w14:paraId="5E9466D1" w14:textId="77777777" w:rsidR="003D14AC" w:rsidRPr="001A1E04" w:rsidRDefault="003D14AC" w:rsidP="001A1E04">
                                  <w:pPr>
                                    <w:pStyle w:val="ListParagraph"/>
                                    <w:ind w:left="162"/>
                                    <w:jc w:val="right"/>
                                    <w:rPr>
                                      <w:sz w:val="21"/>
                                      <w:szCs w:val="21"/>
                                    </w:rPr>
                                  </w:pPr>
                                </w:p>
                              </w:tc>
                              <w:tc>
                                <w:tcPr>
                                  <w:tcW w:w="1586" w:type="dxa"/>
                                </w:tcPr>
                                <w:p w14:paraId="7E394A2C"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sz w:val="21"/>
                                      <w:szCs w:val="21"/>
                                    </w:rPr>
                                  </w:pPr>
                                </w:p>
                              </w:tc>
                            </w:tr>
                            <w:tr w:rsidR="003D14AC" w:rsidRPr="001A1E04" w14:paraId="7420DFAC" w14:textId="77777777" w:rsidTr="00194A70">
                              <w:trPr>
                                <w:cnfStyle w:val="000000100000" w:firstRow="0" w:lastRow="0" w:firstColumn="0" w:lastColumn="0" w:oddVBand="0" w:evenVBand="0" w:oddHBand="1" w:evenHBand="0" w:firstRowFirstColumn="0" w:firstRowLastColumn="0" w:lastRowFirstColumn="0" w:lastRowLastColumn="0"/>
                                <w:trHeight w:val="343"/>
                              </w:trPr>
                              <w:tc>
                                <w:tcPr>
                                  <w:cnfStyle w:val="000010000000" w:firstRow="0" w:lastRow="0" w:firstColumn="0" w:lastColumn="0" w:oddVBand="1" w:evenVBand="0" w:oddHBand="0" w:evenHBand="0" w:firstRowFirstColumn="0" w:firstRowLastColumn="0" w:lastRowFirstColumn="0" w:lastRowLastColumn="0"/>
                                  <w:tcW w:w="6166" w:type="dxa"/>
                                </w:tcPr>
                                <w:p w14:paraId="73E131E4" w14:textId="77777777" w:rsidR="003D14AC" w:rsidRPr="001A1E04" w:rsidRDefault="003D14AC" w:rsidP="001A1E04">
                                  <w:pPr>
                                    <w:pStyle w:val="ListParagraph"/>
                                    <w:ind w:left="0"/>
                                    <w:jc w:val="both"/>
                                    <w:rPr>
                                      <w:rFonts w:ascii="Times New Roman Bold" w:hAnsi="Times New Roman Bold"/>
                                      <w:sz w:val="21"/>
                                      <w:szCs w:val="21"/>
                                    </w:rPr>
                                  </w:pPr>
                                  <w:r w:rsidRPr="001A1E04">
                                    <w:rPr>
                                      <w:rFonts w:ascii="Times New Roman Bold" w:hAnsi="Times New Roman Bold"/>
                                      <w:sz w:val="21"/>
                                      <w:szCs w:val="21"/>
                                    </w:rPr>
                                    <w:t>WIA</w:t>
                                  </w:r>
                                </w:p>
                              </w:tc>
                              <w:tc>
                                <w:tcPr>
                                  <w:tcW w:w="1631" w:type="dxa"/>
                                </w:tcPr>
                                <w:p w14:paraId="2143F8C8"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$34,150,108</w:t>
                                  </w:r>
                                </w:p>
                              </w:tc>
                              <w:tc>
                                <w:tcPr>
                                  <w:cnfStyle w:val="000010000000" w:firstRow="0" w:lastRow="0" w:firstColumn="0" w:lastColumn="0" w:oddVBand="1" w:evenVBand="0" w:oddHBand="0" w:evenHBand="0" w:firstRowFirstColumn="0" w:firstRowLastColumn="0" w:lastRowFirstColumn="0" w:lastRowLastColumn="0"/>
                                  <w:tcW w:w="1586" w:type="dxa"/>
                                </w:tcPr>
                                <w:p w14:paraId="47ABDB5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$3,443,847</w:t>
                                  </w:r>
                                </w:p>
                              </w:tc>
                              <w:tc>
                                <w:tcPr>
                                  <w:tcW w:w="1586" w:type="dxa"/>
                                </w:tcPr>
                                <w:p w14:paraId="270B35EF"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$0.10</w:t>
                                  </w:r>
                                </w:p>
                              </w:tc>
                            </w:tr>
                            <w:tr w:rsidR="003D14AC" w:rsidRPr="001A1E04" w14:paraId="2B21C8D7" w14:textId="77777777" w:rsidTr="00194A70">
                              <w:trPr>
                                <w:trHeight w:val="343"/>
                              </w:trPr>
                              <w:tc>
                                <w:tcPr>
                                  <w:cnfStyle w:val="000010000000" w:firstRow="0" w:lastRow="0" w:firstColumn="0" w:lastColumn="0" w:oddVBand="1" w:evenVBand="0" w:oddHBand="0" w:evenHBand="0" w:firstRowFirstColumn="0" w:firstRowLastColumn="0" w:lastRowFirstColumn="0" w:lastRowLastColumn="0"/>
                                  <w:tcW w:w="6166" w:type="dxa"/>
                                </w:tcPr>
                                <w:p w14:paraId="2C31BF20" w14:textId="77777777" w:rsidR="003D14AC" w:rsidRPr="001A1E04" w:rsidRDefault="003D14AC" w:rsidP="001A1E04">
                                  <w:pPr>
                                    <w:pStyle w:val="ListParagraph"/>
                                    <w:ind w:left="0"/>
                                    <w:jc w:val="both"/>
                                    <w:rPr>
                                      <w:rFonts w:ascii="Times New Roman Bold" w:hAnsi="Times New Roman Bold"/>
                                      <w:sz w:val="21"/>
                                      <w:szCs w:val="21"/>
                                    </w:rPr>
                                  </w:pPr>
                                  <w:r w:rsidRPr="001A1E04">
                                    <w:rPr>
                                      <w:rFonts w:ascii="Times New Roman Bold" w:hAnsi="Times New Roman Bold"/>
                                      <w:sz w:val="21"/>
                                      <w:szCs w:val="21"/>
                                    </w:rPr>
                                    <w:t>Wagner Peyser</w:t>
                                  </w:r>
                                </w:p>
                              </w:tc>
                              <w:tc>
                                <w:tcPr>
                                  <w:tcW w:w="1631" w:type="dxa"/>
                                </w:tcPr>
                                <w:p w14:paraId="0B7DE8F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$11,554,538</w:t>
                                  </w:r>
                                </w:p>
                              </w:tc>
                              <w:tc>
                                <w:tcPr>
                                  <w:cnfStyle w:val="000010000000" w:firstRow="0" w:lastRow="0" w:firstColumn="0" w:lastColumn="0" w:oddVBand="1" w:evenVBand="0" w:oddHBand="0" w:evenHBand="0" w:firstRowFirstColumn="0" w:firstRowLastColumn="0" w:lastRowFirstColumn="0" w:lastRowLastColumn="0"/>
                                  <w:tcW w:w="1586" w:type="dxa"/>
                                </w:tcPr>
                                <w:p w14:paraId="7860453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$53,976,108</w:t>
                                  </w:r>
                                </w:p>
                              </w:tc>
                              <w:tc>
                                <w:tcPr>
                                  <w:tcW w:w="1586" w:type="dxa"/>
                                </w:tcPr>
                                <w:p w14:paraId="204C533B"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$4.67</w:t>
                                  </w:r>
                                </w:p>
                              </w:tc>
                            </w:tr>
                          </w:tbl>
                          <w:p w14:paraId="4A22A1BE" w14:textId="77777777" w:rsidR="003D14AC" w:rsidRDefault="003D14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5" o:spid="_x0000_s1047" type="#_x0000_t202" style="position:absolute;left:0;text-align:left;margin-left:-2.75pt;margin-top:98.65pt;width:558.45pt;height:153.9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" fillcolor="white [3201]" strokeweight=".5pt">
                <v:textbox>
                  <w:txbxContent>
                    <w:tbl>
                      <w:tblPr>
                        <w:tblStyle w:val="PlainTable11"/>
                        <w:tblW w:w="10969" w:type="dxa"/>
                        <w:tblLayout w:type="fixed"/>
                        <w:tblLook w:val="0000" w:firstRow="0" w:lastRow="0" w:firstColumn="0" w:lastColumn="0" w:noHBand="0" w:noVBand="0"/>
                        <w:tblCaption w:val="Budget for DLLR Wagner-Peyser and WIA Programs: PY 2013"/>
                        <w:tblDescription w:val="For DLLR's WIA and Wagner-Peyser Programs, this charts PY 2013 budget, State Tax Revenue, and State Tax Revenue per $1 Budgeted. "/>
                      </w:tblPr>
                      <w:tblGrid>
                        <w:gridCol w:w="6166"/>
                        <w:gridCol w:w="1631"/>
                        <w:gridCol w:w="1586"/>
                        <w:gridCol w:w="1586"/>
                      </w:tblGrid>
                      <w:tr w:rsidR="003D14AC" w:rsidRPr="001A1E04" w14:paraId="434126E4" w14:textId="77777777" w:rsidTr="00847A0D">
                        <w:trPr>
                          <w:trHeight w:val="343"/>
                          <w:tblHeader/>
                        </w:trPr>
                        <w:tc>
                          <w:tcPr>
                            <w:cnfStyle w:val="000010000000" w:firstRow="0" w:lastRow="0" w:firstColumn="0" w:lastColumn="0" w:oddVBand="1" w:evenVBand="0" w:oddHBand="0" w:evenHBand="0" w:firstRowFirstColumn="0" w:firstRowLastColumn="0" w:lastRowFirstColumn="0" w:lastRowLastColumn="0"/>
                            <w:tcW w:w="10968" w:type="dxa"/>
                            <w:gridSpan w:val="4"/>
                          </w:tcPr>
                          <w:p w14:paraId="560CC728"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Budget for DLLR Wagner-Peyser and WIA Programs Program Year 2013</w:t>
                            </w:r>
                          </w:p>
                        </w:tc>
                      </w:tr>
                      <w:tr w:rsidR="003D14AC" w:rsidRPr="001A1E04" w14:paraId="6AFBC08E" w14:textId="77777777" w:rsidTr="00194A70">
                        <w:trPr>
                          <w:cnfStyle w:val="000000100000" w:firstRow="0" w:lastRow="0" w:firstColumn="0" w:lastColumn="0" w:oddVBand="0" w:evenVBand="0" w:oddHBand="1" w:evenHBand="0" w:firstRowFirstColumn="0" w:firstRowLastColumn="0" w:lastRowFirstColumn="0" w:lastRowLastColumn="0"/>
                          <w:trHeight w:val="343"/>
                        </w:trPr>
                        <w:tc>
                          <w:tcPr>
                            <w:cnfStyle w:val="000010000000" w:firstRow="0" w:lastRow="0" w:firstColumn="0" w:lastColumn="0" w:oddVBand="1" w:evenVBand="0" w:oddHBand="0" w:evenHBand="0" w:firstRowFirstColumn="0" w:firstRowLastColumn="0" w:lastRowFirstColumn="0" w:lastRowLastColumn="0"/>
                            <w:tcW w:w="6166" w:type="dxa"/>
                          </w:tcPr>
                          <w:p w14:paraId="357DDF1B" w14:textId="77777777" w:rsidR="003D14AC" w:rsidRPr="001A1E04" w:rsidRDefault="003D14AC" w:rsidP="001A1E04">
                            <w:pPr>
                              <w:pStyle w:val="ListParagraph"/>
                              <w:ind w:left="0"/>
                              <w:jc w:val="both"/>
                              <w:rPr>
                                <w:sz w:val="21"/>
                                <w:szCs w:val="21"/>
                              </w:rPr>
                            </w:pPr>
                          </w:p>
                        </w:tc>
                        <w:tc>
                          <w:tcPr>
                            <w:tcW w:w="1631" w:type="dxa"/>
                          </w:tcPr>
                          <w:p w14:paraId="38E4E653"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586" w:type="dxa"/>
                          </w:tcPr>
                          <w:p w14:paraId="4064DDFC" w14:textId="77777777" w:rsidR="003D14AC" w:rsidRPr="001A1E04" w:rsidRDefault="003D14AC" w:rsidP="001A1E04">
                            <w:pPr>
                              <w:pStyle w:val="ListParagraph"/>
                              <w:ind w:left="162"/>
                              <w:jc w:val="right"/>
                              <w:rPr>
                                <w:sz w:val="21"/>
                                <w:szCs w:val="21"/>
                              </w:rPr>
                            </w:pPr>
                          </w:p>
                        </w:tc>
                        <w:tc>
                          <w:tcPr>
                            <w:tcW w:w="1586" w:type="dxa"/>
                          </w:tcPr>
                          <w:p w14:paraId="78A4F299"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sz w:val="21"/>
                                <w:szCs w:val="21"/>
                              </w:rPr>
                            </w:pPr>
                          </w:p>
                        </w:tc>
                      </w:tr>
                      <w:tr w:rsidR="003D14AC" w:rsidRPr="001A1E04" w14:paraId="6CB078A9" w14:textId="77777777" w:rsidTr="00194A70">
                        <w:trPr>
                          <w:trHeight w:val="888"/>
                        </w:trPr>
                        <w:tc>
                          <w:tcPr>
                            <w:cnfStyle w:val="000010000000" w:firstRow="0" w:lastRow="0" w:firstColumn="0" w:lastColumn="0" w:oddVBand="1" w:evenVBand="0" w:oddHBand="0" w:evenHBand="0" w:firstRowFirstColumn="0" w:firstRowLastColumn="0" w:lastRowFirstColumn="0" w:lastRowLastColumn="0"/>
                            <w:tcW w:w="6166" w:type="dxa"/>
                          </w:tcPr>
                          <w:p w14:paraId="5716F3DB" w14:textId="77777777" w:rsidR="003D14AC" w:rsidRPr="001A1E04" w:rsidRDefault="003D14AC" w:rsidP="001A1E04">
                            <w:pPr>
                              <w:rPr>
                                <w:rFonts w:ascii="Times New Roman Bold Italic" w:hAnsi="Times New Roman Bold Italic"/>
                                <w:sz w:val="21"/>
                                <w:szCs w:val="21"/>
                              </w:rPr>
                            </w:pPr>
                            <w:r w:rsidRPr="001A1E04">
                              <w:rPr>
                                <w:rFonts w:ascii="Times New Roman Bold Italic" w:hAnsi="Times New Roman Bold Italic"/>
                                <w:sz w:val="21"/>
                                <w:szCs w:val="21"/>
                              </w:rPr>
                              <w:t>Program</w:t>
                            </w:r>
                          </w:p>
                        </w:tc>
                        <w:tc>
                          <w:tcPr>
                            <w:tcW w:w="1631" w:type="dxa"/>
                          </w:tcPr>
                          <w:p w14:paraId="26960488"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PY 2013 Budget</w:t>
                            </w:r>
                          </w:p>
                        </w:tc>
                        <w:tc>
                          <w:tcPr>
                            <w:cnfStyle w:val="000010000000" w:firstRow="0" w:lastRow="0" w:firstColumn="0" w:lastColumn="0" w:oddVBand="1" w:evenVBand="0" w:oddHBand="0" w:evenHBand="0" w:firstRowFirstColumn="0" w:firstRowLastColumn="0" w:lastRowFirstColumn="0" w:lastRowLastColumn="0"/>
                            <w:tcW w:w="1586" w:type="dxa"/>
                          </w:tcPr>
                          <w:p w14:paraId="6438A56E" w14:textId="77777777" w:rsidR="003D14AC" w:rsidRPr="001A1E04" w:rsidRDefault="003D14AC" w:rsidP="001A1E04">
                            <w:pPr>
                              <w:pStyle w:val="ListParagraph"/>
                              <w:ind w:left="162"/>
                              <w:jc w:val="right"/>
                              <w:rPr>
                                <w:rFonts w:ascii="Times New Roman Italic" w:hAnsi="Times New Roman Italic"/>
                                <w:sz w:val="21"/>
                                <w:szCs w:val="21"/>
                              </w:rPr>
                            </w:pPr>
                            <w:r w:rsidRPr="001A1E04">
                              <w:rPr>
                                <w:rFonts w:ascii="Times New Roman Italic" w:hAnsi="Times New Roman Italic"/>
                                <w:sz w:val="21"/>
                                <w:szCs w:val="21"/>
                              </w:rPr>
                              <w:t>State Tax Revenue</w:t>
                            </w:r>
                          </w:p>
                        </w:tc>
                        <w:tc>
                          <w:tcPr>
                            <w:tcW w:w="1586" w:type="dxa"/>
                          </w:tcPr>
                          <w:p w14:paraId="6C2F467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State Tax Revenue per $1 Budgeted</w:t>
                            </w:r>
                          </w:p>
                        </w:tc>
                      </w:tr>
                      <w:tr w:rsidR="003D14AC" w:rsidRPr="001A1E04" w14:paraId="6EB38096" w14:textId="77777777" w:rsidTr="00194A70">
                        <w:trPr>
                          <w:cnfStyle w:val="000000100000" w:firstRow="0" w:lastRow="0" w:firstColumn="0" w:lastColumn="0" w:oddVBand="0" w:evenVBand="0" w:oddHBand="1" w:evenHBand="0" w:firstRowFirstColumn="0" w:firstRowLastColumn="0" w:lastRowFirstColumn="0" w:lastRowLastColumn="0"/>
                          <w:trHeight w:val="318"/>
                        </w:trPr>
                        <w:tc>
                          <w:tcPr>
                            <w:cnfStyle w:val="000010000000" w:firstRow="0" w:lastRow="0" w:firstColumn="0" w:lastColumn="0" w:oddVBand="1" w:evenVBand="0" w:oddHBand="0" w:evenHBand="0" w:firstRowFirstColumn="0" w:firstRowLastColumn="0" w:lastRowFirstColumn="0" w:lastRowLastColumn="0"/>
                            <w:tcW w:w="6166" w:type="dxa"/>
                          </w:tcPr>
                          <w:p w14:paraId="4911D56B"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Total for DLLR Workforce Programs Analyzed</w:t>
                            </w:r>
                          </w:p>
                        </w:tc>
                        <w:tc>
                          <w:tcPr>
                            <w:tcW w:w="1631" w:type="dxa"/>
                          </w:tcPr>
                          <w:p w14:paraId="4C35449C"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$45,704,646</w:t>
                            </w:r>
                          </w:p>
                        </w:tc>
                        <w:tc>
                          <w:tcPr>
                            <w:cnfStyle w:val="000010000000" w:firstRow="0" w:lastRow="0" w:firstColumn="0" w:lastColumn="0" w:oddVBand="1" w:evenVBand="0" w:oddHBand="0" w:evenHBand="0" w:firstRowFirstColumn="0" w:firstRowLastColumn="0" w:lastRowFirstColumn="0" w:lastRowLastColumn="0"/>
                            <w:tcW w:w="1586" w:type="dxa"/>
                          </w:tcPr>
                          <w:p w14:paraId="3295ED3D" w14:textId="77777777" w:rsidR="003D14AC" w:rsidRPr="001A1E04" w:rsidRDefault="003D14AC" w:rsidP="001A1E04">
                            <w:pPr>
                              <w:pStyle w:val="ListParagraph"/>
                              <w:ind w:left="162"/>
                              <w:jc w:val="right"/>
                              <w:rPr>
                                <w:rFonts w:ascii="Times New Roman Bold" w:hAnsi="Times New Roman Bold"/>
                                <w:sz w:val="21"/>
                                <w:szCs w:val="21"/>
                              </w:rPr>
                            </w:pPr>
                            <w:r w:rsidRPr="001A1E04">
                              <w:rPr>
                                <w:rFonts w:ascii="Times New Roman Bold" w:hAnsi="Times New Roman Bold"/>
                                <w:sz w:val="21"/>
                                <w:szCs w:val="21"/>
                              </w:rPr>
                              <w:t>$53,976,108</w:t>
                            </w:r>
                          </w:p>
                        </w:tc>
                        <w:tc>
                          <w:tcPr>
                            <w:tcW w:w="1586" w:type="dxa"/>
                          </w:tcPr>
                          <w:p w14:paraId="3CBB0B76"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$1.18</w:t>
                            </w:r>
                          </w:p>
                        </w:tc>
                      </w:tr>
                      <w:tr w:rsidR="003D14AC" w:rsidRPr="001A1E04" w14:paraId="76DF698D" w14:textId="77777777" w:rsidTr="00194A70">
                        <w:trPr>
                          <w:trHeight w:val="102"/>
                        </w:trPr>
                        <w:tc>
                          <w:tcPr>
                            <w:cnfStyle w:val="000010000000" w:firstRow="0" w:lastRow="0" w:firstColumn="0" w:lastColumn="0" w:oddVBand="1" w:evenVBand="0" w:oddHBand="0" w:evenHBand="0" w:firstRowFirstColumn="0" w:firstRowLastColumn="0" w:lastRowFirstColumn="0" w:lastRowLastColumn="0"/>
                            <w:tcW w:w="6166" w:type="dxa"/>
                          </w:tcPr>
                          <w:p w14:paraId="7758E8B5" w14:textId="77777777" w:rsidR="003D14AC" w:rsidRPr="001A1E04" w:rsidRDefault="003D14AC" w:rsidP="001A1E04">
                            <w:pPr>
                              <w:pStyle w:val="ListParagraph"/>
                              <w:ind w:left="0"/>
                              <w:jc w:val="both"/>
                              <w:rPr>
                                <w:sz w:val="21"/>
                                <w:szCs w:val="21"/>
                              </w:rPr>
                            </w:pPr>
                          </w:p>
                        </w:tc>
                        <w:tc>
                          <w:tcPr>
                            <w:tcW w:w="1631" w:type="dxa"/>
                          </w:tcPr>
                          <w:p w14:paraId="28E46F7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586" w:type="dxa"/>
                          </w:tcPr>
                          <w:p w14:paraId="5E9466D1" w14:textId="77777777" w:rsidR="003D14AC" w:rsidRPr="001A1E04" w:rsidRDefault="003D14AC" w:rsidP="001A1E04">
                            <w:pPr>
                              <w:pStyle w:val="ListParagraph"/>
                              <w:ind w:left="162"/>
                              <w:jc w:val="right"/>
                              <w:rPr>
                                <w:sz w:val="21"/>
                                <w:szCs w:val="21"/>
                              </w:rPr>
                            </w:pPr>
                          </w:p>
                        </w:tc>
                        <w:tc>
                          <w:tcPr>
                            <w:tcW w:w="1586" w:type="dxa"/>
                          </w:tcPr>
                          <w:p w14:paraId="7E394A2C"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sz w:val="21"/>
                                <w:szCs w:val="21"/>
                              </w:rPr>
                            </w:pPr>
                          </w:p>
                        </w:tc>
                      </w:tr>
                      <w:tr w:rsidR="003D14AC" w:rsidRPr="001A1E04" w14:paraId="7420DFAC" w14:textId="77777777" w:rsidTr="00194A70">
                        <w:trPr>
                          <w:cnfStyle w:val="000000100000" w:firstRow="0" w:lastRow="0" w:firstColumn="0" w:lastColumn="0" w:oddVBand="0" w:evenVBand="0" w:oddHBand="1" w:evenHBand="0" w:firstRowFirstColumn="0" w:firstRowLastColumn="0" w:lastRowFirstColumn="0" w:lastRowLastColumn="0"/>
                          <w:trHeight w:val="343"/>
                        </w:trPr>
                        <w:tc>
                          <w:tcPr>
                            <w:cnfStyle w:val="000010000000" w:firstRow="0" w:lastRow="0" w:firstColumn="0" w:lastColumn="0" w:oddVBand="1" w:evenVBand="0" w:oddHBand="0" w:evenHBand="0" w:firstRowFirstColumn="0" w:firstRowLastColumn="0" w:lastRowFirstColumn="0" w:lastRowLastColumn="0"/>
                            <w:tcW w:w="6166" w:type="dxa"/>
                          </w:tcPr>
                          <w:p w14:paraId="73E131E4" w14:textId="77777777" w:rsidR="003D14AC" w:rsidRPr="001A1E04" w:rsidRDefault="003D14AC" w:rsidP="001A1E04">
                            <w:pPr>
                              <w:pStyle w:val="ListParagraph"/>
                              <w:ind w:left="0"/>
                              <w:jc w:val="both"/>
                              <w:rPr>
                                <w:rFonts w:ascii="Times New Roman Bold" w:hAnsi="Times New Roman Bold"/>
                                <w:sz w:val="21"/>
                                <w:szCs w:val="21"/>
                              </w:rPr>
                            </w:pPr>
                            <w:r w:rsidRPr="001A1E04">
                              <w:rPr>
                                <w:rFonts w:ascii="Times New Roman Bold" w:hAnsi="Times New Roman Bold"/>
                                <w:sz w:val="21"/>
                                <w:szCs w:val="21"/>
                              </w:rPr>
                              <w:t>WIA</w:t>
                            </w:r>
                          </w:p>
                        </w:tc>
                        <w:tc>
                          <w:tcPr>
                            <w:tcW w:w="1631" w:type="dxa"/>
                          </w:tcPr>
                          <w:p w14:paraId="2143F8C8"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$34,150,108</w:t>
                            </w:r>
                          </w:p>
                        </w:tc>
                        <w:tc>
                          <w:tcPr>
                            <w:cnfStyle w:val="000010000000" w:firstRow="0" w:lastRow="0" w:firstColumn="0" w:lastColumn="0" w:oddVBand="1" w:evenVBand="0" w:oddHBand="0" w:evenHBand="0" w:firstRowFirstColumn="0" w:firstRowLastColumn="0" w:lastRowFirstColumn="0" w:lastRowLastColumn="0"/>
                            <w:tcW w:w="1586" w:type="dxa"/>
                          </w:tcPr>
                          <w:p w14:paraId="47ABDB5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$3,443,847</w:t>
                            </w:r>
                          </w:p>
                        </w:tc>
                        <w:tc>
                          <w:tcPr>
                            <w:tcW w:w="1586" w:type="dxa"/>
                          </w:tcPr>
                          <w:p w14:paraId="270B35EF"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$0.10</w:t>
                            </w:r>
                          </w:p>
                        </w:tc>
                      </w:tr>
                      <w:tr w:rsidR="003D14AC" w:rsidRPr="001A1E04" w14:paraId="2B21C8D7" w14:textId="77777777" w:rsidTr="00194A70">
                        <w:trPr>
                          <w:trHeight w:val="343"/>
                        </w:trPr>
                        <w:tc>
                          <w:tcPr>
                            <w:cnfStyle w:val="000010000000" w:firstRow="0" w:lastRow="0" w:firstColumn="0" w:lastColumn="0" w:oddVBand="1" w:evenVBand="0" w:oddHBand="0" w:evenHBand="0" w:firstRowFirstColumn="0" w:firstRowLastColumn="0" w:lastRowFirstColumn="0" w:lastRowLastColumn="0"/>
                            <w:tcW w:w="6166" w:type="dxa"/>
                          </w:tcPr>
                          <w:p w14:paraId="2C31BF20" w14:textId="77777777" w:rsidR="003D14AC" w:rsidRPr="001A1E04" w:rsidRDefault="003D14AC" w:rsidP="001A1E04">
                            <w:pPr>
                              <w:pStyle w:val="ListParagraph"/>
                              <w:ind w:left="0"/>
                              <w:jc w:val="both"/>
                              <w:rPr>
                                <w:rFonts w:ascii="Times New Roman Bold" w:hAnsi="Times New Roman Bold"/>
                                <w:sz w:val="21"/>
                                <w:szCs w:val="21"/>
                              </w:rPr>
                            </w:pPr>
                            <w:r w:rsidRPr="001A1E04">
                              <w:rPr>
                                <w:rFonts w:ascii="Times New Roman Bold" w:hAnsi="Times New Roman Bold"/>
                                <w:sz w:val="21"/>
                                <w:szCs w:val="21"/>
                              </w:rPr>
                              <w:t>Wagner Peyser</w:t>
                            </w:r>
                          </w:p>
                        </w:tc>
                        <w:tc>
                          <w:tcPr>
                            <w:tcW w:w="1631" w:type="dxa"/>
                          </w:tcPr>
                          <w:p w14:paraId="0B7DE8F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$11,554,538</w:t>
                            </w:r>
                          </w:p>
                        </w:tc>
                        <w:tc>
                          <w:tcPr>
                            <w:cnfStyle w:val="000010000000" w:firstRow="0" w:lastRow="0" w:firstColumn="0" w:lastColumn="0" w:oddVBand="1" w:evenVBand="0" w:oddHBand="0" w:evenHBand="0" w:firstRowFirstColumn="0" w:firstRowLastColumn="0" w:lastRowFirstColumn="0" w:lastRowLastColumn="0"/>
                            <w:tcW w:w="1586" w:type="dxa"/>
                          </w:tcPr>
                          <w:p w14:paraId="7860453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$53,976,108</w:t>
                            </w:r>
                          </w:p>
                        </w:tc>
                        <w:tc>
                          <w:tcPr>
                            <w:tcW w:w="1586" w:type="dxa"/>
                          </w:tcPr>
                          <w:p w14:paraId="204C533B"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$4.67</w:t>
                            </w:r>
                          </w:p>
                        </w:tc>
                      </w:tr>
                    </w:tbl>
                    <w:p w14:paraId="4A22A1BE" w14:textId="77777777" w:rsidR="003D14AC" w:rsidRDefault="003D14AC"/>
                  </w:txbxContent>
                </v:textbox>
                <w10:wrap type="topAndBottom"/>
              </v:shape>
            </w:pict>
          </mc:Fallback>
        </mc:AlternateContent>
      </w:r>
      <w:r w:rsidRPr="004A0C12">
        <w:rPr>
          <w:rFonts w:ascii="Garamond" w:hAnsi="Garamond"/>
        </w:rPr>
        <w:t>via WIA.</w:t>
      </w:r>
    </w:p>
    <w:p w14:paraId="487493D0" w14:textId="56335BC3" w:rsidR="001A1E04" w:rsidRPr="004A0C12" w:rsidRDefault="001A1E04" w:rsidP="001A1E04">
      <w:pPr>
        <w:spacing w:after="0" w:line="240" w:lineRule="auto"/>
        <w:jc w:val="both"/>
        <w:rPr>
          <w:rFonts w:ascii="Garamond" w:hAnsi="Garamond"/>
        </w:rPr>
      </w:pPr>
      <w:r w:rsidRPr="004A0C12">
        <w:rPr>
          <w:rFonts w:ascii="Garamond" w:hAnsi="Garamond"/>
        </w:rPr>
        <w:t>The workforce development services provided by DLLR are also important because the Department is charged with ensuring employers have the skilled workforce they need to be competitive. DLLR pursues this mission by working with the business and employer community to identify key industries and occupations vital to Maryland’s economic future.</w:t>
      </w:r>
      <w:r w:rsidR="00194A70" w:rsidRPr="004A0C12">
        <w:rPr>
          <w:rFonts w:ascii="Garamond" w:hAnsi="Garamond"/>
        </w:rPr>
        <w:t xml:space="preserve"> Another key contribution of</w:t>
      </w:r>
      <w:r w:rsidRPr="004A0C12">
        <w:rPr>
          <w:rFonts w:ascii="Garamond" w:hAnsi="Garamond"/>
        </w:rPr>
        <w:t xml:space="preserve"> DLLR’s WIA and Wagner-Peyser workforce programs is the role of each in facilitating the hiring of the individuals served through its Wagner-Peyser and WIA programs by the core industries deemed to be vital for Maryland’s economic future. Employment by sector for 66,156 of the 70,786 persons entering or placed in employment by DLLR’s WIA and Wagner-Peyser workforce programs is presented in Table 6.</w:t>
      </w:r>
    </w:p>
    <w:p w14:paraId="3B575B3E" w14:textId="77777777" w:rsidR="001C614D" w:rsidRPr="004A0C12" w:rsidRDefault="001C614D" w:rsidP="001A1E04">
      <w:pPr>
        <w:spacing w:after="0" w:line="240" w:lineRule="auto"/>
        <w:jc w:val="both"/>
        <w:rPr>
          <w:rFonts w:ascii="Garamond" w:hAnsi="Garamond"/>
        </w:rPr>
      </w:pPr>
    </w:p>
    <w:p w14:paraId="21543AB5" w14:textId="597BF208" w:rsidR="001A1E04" w:rsidRPr="004A0C12" w:rsidRDefault="001A1E04" w:rsidP="001A1E04">
      <w:pPr>
        <w:spacing w:after="0" w:line="240" w:lineRule="auto"/>
        <w:jc w:val="both"/>
        <w:rPr>
          <w:rFonts w:ascii="Garamond" w:hAnsi="Garamond"/>
        </w:rPr>
      </w:pPr>
      <w:r w:rsidRPr="004A0C12">
        <w:rPr>
          <w:rFonts w:ascii="Garamond" w:hAnsi="Garamond"/>
        </w:rPr>
        <w:t>The largest number of placements/persons</w:t>
      </w:r>
      <w:r w:rsidR="00194A70" w:rsidRPr="004A0C12">
        <w:rPr>
          <w:rFonts w:ascii="Garamond" w:hAnsi="Garamond"/>
        </w:rPr>
        <w:t xml:space="preserve"> entering employment is in the administrative and waste services sector, with 17 percent. This sector includes the employment s</w:t>
      </w:r>
      <w:r w:rsidRPr="004A0C12">
        <w:rPr>
          <w:rFonts w:ascii="Garamond" w:hAnsi="Garamond"/>
        </w:rPr>
        <w:t>ervices industry, which includes placement and temporary help services. The</w:t>
      </w:r>
      <w:r w:rsidR="00194A70" w:rsidRPr="004A0C12">
        <w:rPr>
          <w:rFonts w:ascii="Garamond" w:hAnsi="Garamond"/>
        </w:rPr>
        <w:t xml:space="preserve"> retail sector accounted for 16 percent</w:t>
      </w:r>
      <w:r w:rsidRPr="004A0C12">
        <w:rPr>
          <w:rFonts w:ascii="Garamond" w:hAnsi="Garamond"/>
        </w:rPr>
        <w:t xml:space="preserve"> of employment, followed by</w:t>
      </w:r>
      <w:r w:rsidR="00194A70" w:rsidRPr="004A0C12">
        <w:rPr>
          <w:rFonts w:ascii="Garamond" w:hAnsi="Garamond"/>
        </w:rPr>
        <w:t xml:space="preserve"> health and social services (13 percent</w:t>
      </w:r>
      <w:r w:rsidRPr="004A0C12">
        <w:rPr>
          <w:rFonts w:ascii="Garamond" w:hAnsi="Garamond"/>
        </w:rPr>
        <w:t>) and acco</w:t>
      </w:r>
      <w:r w:rsidR="00194A70" w:rsidRPr="004A0C12">
        <w:rPr>
          <w:rFonts w:ascii="Garamond" w:hAnsi="Garamond"/>
        </w:rPr>
        <w:t>mmodations and food service (10 percent</w:t>
      </w:r>
      <w:r w:rsidRPr="004A0C12">
        <w:rPr>
          <w:rFonts w:ascii="Garamond" w:hAnsi="Garamond"/>
        </w:rPr>
        <w:t>).</w:t>
      </w:r>
    </w:p>
    <w:p w14:paraId="375CFBC9" w14:textId="77777777" w:rsidR="001C614D" w:rsidRPr="004A0C12" w:rsidRDefault="001C614D" w:rsidP="001A1E04">
      <w:pPr>
        <w:spacing w:after="0" w:line="240" w:lineRule="auto"/>
        <w:jc w:val="both"/>
        <w:rPr>
          <w:rFonts w:ascii="Garamond" w:hAnsi="Garamond"/>
        </w:rPr>
      </w:pPr>
    </w:p>
    <w:p w14:paraId="0534132F" w14:textId="77777777" w:rsidR="001C614D" w:rsidRPr="004A0C12" w:rsidRDefault="001C614D" w:rsidP="001A1E04">
      <w:pPr>
        <w:spacing w:after="0" w:line="240" w:lineRule="auto"/>
        <w:jc w:val="both"/>
        <w:rPr>
          <w:rFonts w:ascii="Garamond" w:hAnsi="Garamond"/>
        </w:rPr>
      </w:pPr>
    </w:p>
    <w:p w14:paraId="39D0984A" w14:textId="77777777" w:rsidR="001C614D" w:rsidRPr="004A0C12" w:rsidRDefault="001C614D" w:rsidP="001A1E04">
      <w:pPr>
        <w:spacing w:after="0" w:line="240" w:lineRule="auto"/>
        <w:jc w:val="both"/>
        <w:rPr>
          <w:rFonts w:ascii="Garamond" w:hAnsi="Garamond"/>
        </w:rPr>
      </w:pPr>
    </w:p>
    <w:p w14:paraId="126F1ACA" w14:textId="77777777" w:rsidR="001C614D" w:rsidRPr="004A0C12" w:rsidRDefault="001C614D" w:rsidP="001A1E04">
      <w:pPr>
        <w:spacing w:after="0" w:line="240" w:lineRule="auto"/>
        <w:jc w:val="both"/>
        <w:rPr>
          <w:rFonts w:ascii="Garamond" w:hAnsi="Garamond"/>
        </w:rPr>
      </w:pPr>
    </w:p>
    <w:p w14:paraId="4B636AEF" w14:textId="77777777" w:rsidR="001A1E04" w:rsidRPr="004A0C12" w:rsidRDefault="001A1E04" w:rsidP="001A1E04">
      <w:pPr>
        <w:spacing w:after="0" w:line="240" w:lineRule="auto"/>
        <w:jc w:val="both"/>
        <w:rPr>
          <w:rFonts w:ascii="Garamond" w:hAnsi="Garamond"/>
        </w:rPr>
      </w:pPr>
    </w:p>
    <w:p w14:paraId="400A2B77" w14:textId="77777777" w:rsidR="001C614D" w:rsidRPr="004A0C12" w:rsidRDefault="001C614D" w:rsidP="001A1E04">
      <w:pPr>
        <w:pStyle w:val="Heading3"/>
        <w:spacing w:before="0" w:line="240" w:lineRule="auto"/>
        <w:rPr>
          <w:rFonts w:ascii="Garamond" w:hAnsi="Garamond"/>
        </w:rPr>
      </w:pPr>
    </w:p>
    <w:p w14:paraId="6132497F" w14:textId="77777777" w:rsidR="001C614D" w:rsidRPr="004A0C12" w:rsidRDefault="001C614D" w:rsidP="001A1E04">
      <w:pPr>
        <w:pStyle w:val="Heading3"/>
        <w:spacing w:before="0" w:line="240" w:lineRule="auto"/>
        <w:rPr>
          <w:rFonts w:ascii="Garamond" w:hAnsi="Garamond"/>
        </w:rPr>
      </w:pPr>
    </w:p>
    <w:p w14:paraId="613A8219" w14:textId="77777777" w:rsidR="001C614D" w:rsidRPr="004A0C12" w:rsidRDefault="001C614D" w:rsidP="001A1E04">
      <w:pPr>
        <w:pStyle w:val="Heading3"/>
        <w:spacing w:before="0" w:line="240" w:lineRule="auto"/>
        <w:rPr>
          <w:rFonts w:ascii="Garamond" w:hAnsi="Garamond"/>
        </w:rPr>
      </w:pPr>
      <w:bookmarkStart w:id="41" w:name="_Toc447276096"/>
      <w:r w:rsidRPr="004A0C12">
        <w:rPr>
          <w:rFonts w:ascii="Garamond" w:hAnsi="Garamond"/>
          <w:noProof/>
        </w:rPr>
        <w:lastRenderedPageBreak/>
        <mc:AlternateContent>
          <mc:Choice Requires="wps">
            <w:drawing>
              <wp:anchor distT="0" distB="0" distL="114300" distR="114300" simplePos="0" relativeHeight="251689984" behindDoc="0" locked="0" layoutInCell="1" allowOverlap="1" wp14:anchorId="61D7D775" wp14:editId="49CF8747">
                <wp:simplePos x="0" y="0"/>
                <wp:positionH relativeFrom="column">
                  <wp:posOffset>-66675</wp:posOffset>
                </wp:positionH>
                <wp:positionV relativeFrom="paragraph">
                  <wp:posOffset>165100</wp:posOffset>
                </wp:positionV>
                <wp:extent cx="6981190" cy="5454650"/>
                <wp:effectExtent l="0" t="0" r="10160" b="12700"/>
                <wp:wrapTopAndBottom/>
                <wp:docPr id="316" name="Text Box 316"/>
                <wp:cNvGraphicFramePr/>
                <a:graphic xmlns:a="http://schemas.openxmlformats.org/drawingml/2006/main">
                  <a:graphicData uri="http://schemas.microsoft.com/office/word/2010/wordprocessingShape">
                    <wps:wsp>
                      <wps:cNvSpPr txBox="1"/>
                      <wps:spPr>
                        <a:xfrm>
                          <a:off x="0" y="0"/>
                          <a:ext cx="6981190" cy="5454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PlainTable11"/>
                              <w:tblW w:w="0" w:type="auto"/>
                              <w:tblLayout w:type="fixed"/>
                              <w:tblLook w:val="0000" w:firstRow="0" w:lastRow="0" w:firstColumn="0" w:lastColumn="0" w:noHBand="0" w:noVBand="0"/>
                              <w:tblCaption w:val="DLLR Wagner-Peyser and WIA Program Entered Employment and Placements by Sector: PY 2013"/>
                              <w:tblDescription w:val="This chart shows DLLR Wagner-Peyser and WIA Program entered employment and placements by sector for PY 2013. "/>
                            </w:tblPr>
                            <w:tblGrid>
                              <w:gridCol w:w="6588"/>
                              <w:gridCol w:w="1170"/>
                              <w:gridCol w:w="1080"/>
                              <w:gridCol w:w="810"/>
                              <w:gridCol w:w="1044"/>
                            </w:tblGrid>
                            <w:tr w:rsidR="003D14AC" w:rsidRPr="001A1E04" w14:paraId="29CEBF16" w14:textId="77777777" w:rsidTr="00847A0D">
                              <w:trPr>
                                <w:trHeight w:val="578"/>
                                <w:tblHeader/>
                              </w:trPr>
                              <w:tc>
                                <w:tcPr>
                                  <w:cnfStyle w:val="000010000000" w:firstRow="0" w:lastRow="0" w:firstColumn="0" w:lastColumn="0" w:oddVBand="1" w:evenVBand="0" w:oddHBand="0" w:evenHBand="0" w:firstRowFirstColumn="0" w:firstRowLastColumn="0" w:lastRowFirstColumn="0" w:lastRowLastColumn="0"/>
                                  <w:tcW w:w="10692" w:type="dxa"/>
                                  <w:gridSpan w:val="5"/>
                                </w:tcPr>
                                <w:p w14:paraId="01169B34"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 xml:space="preserve">DLLR Wagner-Peyser and WIA Program Entered Employment and Placements By Sector </w:t>
                                  </w:r>
                                </w:p>
                                <w:p w14:paraId="5B4CBBD5"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 xml:space="preserve">Program Year 2013 </w:t>
                                  </w:r>
                                </w:p>
                              </w:tc>
                            </w:tr>
                            <w:tr w:rsidR="003D14AC" w:rsidRPr="001A1E04" w14:paraId="73B344FF"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7B8572B9" w14:textId="77777777" w:rsidR="003D14AC" w:rsidRPr="001A1E04" w:rsidRDefault="003D14AC" w:rsidP="001A1E04">
                                  <w:pPr>
                                    <w:pStyle w:val="ListParagraph"/>
                                    <w:ind w:left="0"/>
                                    <w:jc w:val="both"/>
                                    <w:rPr>
                                      <w:rFonts w:ascii="Times New Roman Italic" w:hAnsi="Times New Roman Italic"/>
                                      <w:sz w:val="21"/>
                                      <w:szCs w:val="21"/>
                                    </w:rPr>
                                  </w:pPr>
                                  <w:r w:rsidRPr="001A1E04">
                                    <w:rPr>
                                      <w:rFonts w:ascii="Times New Roman Italic" w:hAnsi="Times New Roman Italic"/>
                                      <w:sz w:val="21"/>
                                      <w:szCs w:val="21"/>
                                    </w:rPr>
                                    <w:t>Sector</w:t>
                                  </w:r>
                                </w:p>
                              </w:tc>
                              <w:tc>
                                <w:tcPr>
                                  <w:tcW w:w="1170" w:type="dxa"/>
                                </w:tcPr>
                                <w:p w14:paraId="498F2B34" w14:textId="472ACAAE"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Pr>
                                      <w:rFonts w:ascii="Times New Roman Italic" w:hAnsi="Times New Roman Italic"/>
                                      <w:sz w:val="21"/>
                                      <w:szCs w:val="21"/>
                                    </w:rPr>
                                    <w:t>Wagner-</w:t>
                                  </w:r>
                                  <w:r w:rsidRPr="001A1E04">
                                    <w:rPr>
                                      <w:rFonts w:ascii="Times New Roman Italic" w:hAnsi="Times New Roman Italic"/>
                                      <w:sz w:val="21"/>
                                      <w:szCs w:val="21"/>
                                    </w:rPr>
                                    <w:t>Peyser</w:t>
                                  </w:r>
                                </w:p>
                              </w:tc>
                              <w:tc>
                                <w:tcPr>
                                  <w:cnfStyle w:val="000010000000" w:firstRow="0" w:lastRow="0" w:firstColumn="0" w:lastColumn="0" w:oddVBand="1" w:evenVBand="0" w:oddHBand="0" w:evenHBand="0" w:firstRowFirstColumn="0" w:firstRowLastColumn="0" w:lastRowFirstColumn="0" w:lastRowLastColumn="0"/>
                                  <w:tcW w:w="1080" w:type="dxa"/>
                                </w:tcPr>
                                <w:p w14:paraId="14793772" w14:textId="77777777" w:rsidR="003D14AC" w:rsidRPr="001A1E04" w:rsidRDefault="003D14AC" w:rsidP="001A1E04">
                                  <w:pPr>
                                    <w:pStyle w:val="ListParagraph"/>
                                    <w:ind w:left="162"/>
                                    <w:jc w:val="right"/>
                                    <w:rPr>
                                      <w:rFonts w:ascii="Times New Roman Italic" w:hAnsi="Times New Roman Italic"/>
                                      <w:sz w:val="21"/>
                                      <w:szCs w:val="21"/>
                                    </w:rPr>
                                  </w:pPr>
                                  <w:r w:rsidRPr="001A1E04">
                                    <w:rPr>
                                      <w:rFonts w:ascii="Times New Roman Italic" w:hAnsi="Times New Roman Italic"/>
                                      <w:sz w:val="21"/>
                                      <w:szCs w:val="21"/>
                                    </w:rPr>
                                    <w:t>Percent</w:t>
                                  </w:r>
                                </w:p>
                              </w:tc>
                              <w:tc>
                                <w:tcPr>
                                  <w:tcW w:w="810" w:type="dxa"/>
                                </w:tcPr>
                                <w:p w14:paraId="0950C3D2"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WIA</w:t>
                                  </w:r>
                                </w:p>
                              </w:tc>
                              <w:tc>
                                <w:tcPr>
                                  <w:cnfStyle w:val="000010000000" w:firstRow="0" w:lastRow="0" w:firstColumn="0" w:lastColumn="0" w:oddVBand="1" w:evenVBand="0" w:oddHBand="0" w:evenHBand="0" w:firstRowFirstColumn="0" w:firstRowLastColumn="0" w:lastRowFirstColumn="0" w:lastRowLastColumn="0"/>
                                  <w:tcW w:w="1044" w:type="dxa"/>
                                </w:tcPr>
                                <w:p w14:paraId="7A74F3A0" w14:textId="77777777" w:rsidR="003D14AC" w:rsidRPr="001A1E04" w:rsidRDefault="003D14AC" w:rsidP="001A1E04">
                                  <w:pPr>
                                    <w:pStyle w:val="ListParagraph"/>
                                    <w:ind w:left="162"/>
                                    <w:jc w:val="right"/>
                                    <w:rPr>
                                      <w:rFonts w:ascii="Times New Roman Italic" w:hAnsi="Times New Roman Italic"/>
                                      <w:sz w:val="21"/>
                                      <w:szCs w:val="21"/>
                                    </w:rPr>
                                  </w:pPr>
                                  <w:r w:rsidRPr="001A1E04">
                                    <w:rPr>
                                      <w:rFonts w:ascii="Times New Roman Italic" w:hAnsi="Times New Roman Italic"/>
                                      <w:sz w:val="21"/>
                                      <w:szCs w:val="21"/>
                                    </w:rPr>
                                    <w:t>Percent</w:t>
                                  </w:r>
                                </w:p>
                              </w:tc>
                            </w:tr>
                            <w:tr w:rsidR="003D14AC" w:rsidRPr="001A1E04" w14:paraId="1718C0B0"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3F6ADEDA"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Totals</w:t>
                                  </w:r>
                                </w:p>
                              </w:tc>
                              <w:tc>
                                <w:tcPr>
                                  <w:tcW w:w="1170" w:type="dxa"/>
                                </w:tcPr>
                                <w:p w14:paraId="01F4208C"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66,156</w:t>
                                  </w:r>
                                </w:p>
                              </w:tc>
                              <w:tc>
                                <w:tcPr>
                                  <w:cnfStyle w:val="000010000000" w:firstRow="0" w:lastRow="0" w:firstColumn="0" w:lastColumn="0" w:oddVBand="1" w:evenVBand="0" w:oddHBand="0" w:evenHBand="0" w:firstRowFirstColumn="0" w:firstRowLastColumn="0" w:lastRowFirstColumn="0" w:lastRowLastColumn="0"/>
                                  <w:tcW w:w="1080" w:type="dxa"/>
                                </w:tcPr>
                                <w:p w14:paraId="0D915C0D" w14:textId="77777777" w:rsidR="003D14AC" w:rsidRPr="001A1E04" w:rsidRDefault="003D14AC" w:rsidP="001A1E04">
                                  <w:pPr>
                                    <w:pStyle w:val="ListParagraph"/>
                                    <w:ind w:left="162"/>
                                    <w:jc w:val="right"/>
                                    <w:rPr>
                                      <w:rFonts w:ascii="Times New Roman Bold" w:hAnsi="Times New Roman Bold"/>
                                      <w:sz w:val="21"/>
                                      <w:szCs w:val="21"/>
                                    </w:rPr>
                                  </w:pPr>
                                  <w:r w:rsidRPr="001A1E04">
                                    <w:rPr>
                                      <w:rFonts w:ascii="Times New Roman Bold" w:hAnsi="Times New Roman Bold"/>
                                      <w:sz w:val="21"/>
                                      <w:szCs w:val="21"/>
                                    </w:rPr>
                                    <w:t>100</w:t>
                                  </w:r>
                                </w:p>
                              </w:tc>
                              <w:tc>
                                <w:tcPr>
                                  <w:tcW w:w="810" w:type="dxa"/>
                                </w:tcPr>
                                <w:p w14:paraId="1C85134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2188</w:t>
                                  </w:r>
                                </w:p>
                              </w:tc>
                              <w:tc>
                                <w:tcPr>
                                  <w:cnfStyle w:val="000010000000" w:firstRow="0" w:lastRow="0" w:firstColumn="0" w:lastColumn="0" w:oddVBand="1" w:evenVBand="0" w:oddHBand="0" w:evenHBand="0" w:firstRowFirstColumn="0" w:firstRowLastColumn="0" w:lastRowFirstColumn="0" w:lastRowLastColumn="0"/>
                                  <w:tcW w:w="1044" w:type="dxa"/>
                                </w:tcPr>
                                <w:p w14:paraId="38405564" w14:textId="77777777" w:rsidR="003D14AC" w:rsidRPr="001A1E04" w:rsidRDefault="003D14AC" w:rsidP="001A1E04">
                                  <w:pPr>
                                    <w:pStyle w:val="ListParagraph"/>
                                    <w:ind w:left="162"/>
                                    <w:jc w:val="right"/>
                                    <w:rPr>
                                      <w:rFonts w:ascii="Times New Roman Bold" w:hAnsi="Times New Roman Bold"/>
                                      <w:sz w:val="21"/>
                                      <w:szCs w:val="21"/>
                                    </w:rPr>
                                  </w:pPr>
                                  <w:r w:rsidRPr="001A1E04">
                                    <w:rPr>
                                      <w:rFonts w:ascii="Times New Roman Bold" w:hAnsi="Times New Roman Bold"/>
                                      <w:sz w:val="21"/>
                                      <w:szCs w:val="21"/>
                                    </w:rPr>
                                    <w:t>100</w:t>
                                  </w:r>
                                </w:p>
                              </w:tc>
                            </w:tr>
                            <w:tr w:rsidR="003D14AC" w:rsidRPr="001A1E04" w14:paraId="6CF898F3"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2BA4CDDF" w14:textId="77777777" w:rsidR="003D14AC" w:rsidRPr="001A1E04" w:rsidRDefault="003D14AC" w:rsidP="001A1E04">
                                  <w:pPr>
                                    <w:rPr>
                                      <w:sz w:val="21"/>
                                      <w:szCs w:val="21"/>
                                    </w:rPr>
                                  </w:pPr>
                                  <w:r w:rsidRPr="001A1E04">
                                    <w:rPr>
                                      <w:sz w:val="21"/>
                                      <w:szCs w:val="21"/>
                                    </w:rPr>
                                    <w:tab/>
                                    <w:t>Accommodation &amp; Food Service</w:t>
                                  </w:r>
                                </w:p>
                              </w:tc>
                              <w:tc>
                                <w:tcPr>
                                  <w:tcW w:w="1170" w:type="dxa"/>
                                </w:tcPr>
                                <w:p w14:paraId="6C7AA4BF"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6,742</w:t>
                                  </w:r>
                                </w:p>
                              </w:tc>
                              <w:tc>
                                <w:tcPr>
                                  <w:cnfStyle w:val="000010000000" w:firstRow="0" w:lastRow="0" w:firstColumn="0" w:lastColumn="0" w:oddVBand="1" w:evenVBand="0" w:oddHBand="0" w:evenHBand="0" w:firstRowFirstColumn="0" w:firstRowLastColumn="0" w:lastRowFirstColumn="0" w:lastRowLastColumn="0"/>
                                  <w:tcW w:w="1080" w:type="dxa"/>
                                </w:tcPr>
                                <w:p w14:paraId="380F3131"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10</w:t>
                                  </w:r>
                                </w:p>
                              </w:tc>
                              <w:tc>
                                <w:tcPr>
                                  <w:tcW w:w="810" w:type="dxa"/>
                                </w:tcPr>
                                <w:p w14:paraId="39DEFDBE"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207</w:t>
                                  </w:r>
                                </w:p>
                              </w:tc>
                              <w:tc>
                                <w:tcPr>
                                  <w:cnfStyle w:val="000010000000" w:firstRow="0" w:lastRow="0" w:firstColumn="0" w:lastColumn="0" w:oddVBand="1" w:evenVBand="0" w:oddHBand="0" w:evenHBand="0" w:firstRowFirstColumn="0" w:firstRowLastColumn="0" w:lastRowFirstColumn="0" w:lastRowLastColumn="0"/>
                                  <w:tcW w:w="1044" w:type="dxa"/>
                                </w:tcPr>
                                <w:p w14:paraId="3AB92CCD"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9</w:t>
                                  </w:r>
                                </w:p>
                              </w:tc>
                            </w:tr>
                            <w:tr w:rsidR="003D14AC" w:rsidRPr="001A1E04" w14:paraId="38CC83FE"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810925F" w14:textId="6F75C80B" w:rsidR="003D14AC" w:rsidRPr="001A1E04" w:rsidRDefault="003D14AC" w:rsidP="001A1E04">
                                  <w:pPr>
                                    <w:pStyle w:val="ListParagraph"/>
                                    <w:ind w:left="0"/>
                                    <w:jc w:val="both"/>
                                    <w:rPr>
                                      <w:rFonts w:ascii="Times New Roman" w:hAnsi="Times New Roman"/>
                                      <w:sz w:val="21"/>
                                      <w:szCs w:val="21"/>
                                    </w:rPr>
                                  </w:pPr>
                                  <w:r>
                                    <w:rPr>
                                      <w:rFonts w:ascii="Times New Roman" w:hAnsi="Times New Roman"/>
                                      <w:sz w:val="21"/>
                                      <w:szCs w:val="21"/>
                                    </w:rPr>
                                    <w:tab/>
                                    <w:t xml:space="preserve">Administrative Support, Waste Management Remediation Services </w:t>
                                  </w:r>
                                </w:p>
                              </w:tc>
                              <w:tc>
                                <w:tcPr>
                                  <w:tcW w:w="1170" w:type="dxa"/>
                                </w:tcPr>
                                <w:p w14:paraId="4ECC1629"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11,089</w:t>
                                  </w:r>
                                </w:p>
                              </w:tc>
                              <w:tc>
                                <w:tcPr>
                                  <w:cnfStyle w:val="000010000000" w:firstRow="0" w:lastRow="0" w:firstColumn="0" w:lastColumn="0" w:oddVBand="1" w:evenVBand="0" w:oddHBand="0" w:evenHBand="0" w:firstRowFirstColumn="0" w:firstRowLastColumn="0" w:lastRowFirstColumn="0" w:lastRowLastColumn="0"/>
                                  <w:tcW w:w="1080" w:type="dxa"/>
                                </w:tcPr>
                                <w:p w14:paraId="067AFFF6"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17</w:t>
                                  </w:r>
                                </w:p>
                              </w:tc>
                              <w:tc>
                                <w:tcPr>
                                  <w:tcW w:w="810" w:type="dxa"/>
                                </w:tcPr>
                                <w:p w14:paraId="37BA2469"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338</w:t>
                                  </w:r>
                                </w:p>
                              </w:tc>
                              <w:tc>
                                <w:tcPr>
                                  <w:cnfStyle w:val="000010000000" w:firstRow="0" w:lastRow="0" w:firstColumn="0" w:lastColumn="0" w:oddVBand="1" w:evenVBand="0" w:oddHBand="0" w:evenHBand="0" w:firstRowFirstColumn="0" w:firstRowLastColumn="0" w:lastRowFirstColumn="0" w:lastRowLastColumn="0"/>
                                  <w:tcW w:w="1044" w:type="dxa"/>
                                </w:tcPr>
                                <w:p w14:paraId="7B1391C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15</w:t>
                                  </w:r>
                                </w:p>
                              </w:tc>
                            </w:tr>
                            <w:tr w:rsidR="003D14AC" w:rsidRPr="001A1E04" w14:paraId="71A0F7E5"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8F07520"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Agric., Forestry, Fishing &amp; Hunting</w:t>
                                  </w:r>
                                </w:p>
                              </w:tc>
                              <w:tc>
                                <w:tcPr>
                                  <w:tcW w:w="1170" w:type="dxa"/>
                                </w:tcPr>
                                <w:p w14:paraId="5BCA1BE6"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141</w:t>
                                  </w:r>
                                </w:p>
                              </w:tc>
                              <w:tc>
                                <w:tcPr>
                                  <w:cnfStyle w:val="000010000000" w:firstRow="0" w:lastRow="0" w:firstColumn="0" w:lastColumn="0" w:oddVBand="1" w:evenVBand="0" w:oddHBand="0" w:evenHBand="0" w:firstRowFirstColumn="0" w:firstRowLastColumn="0" w:lastRowFirstColumn="0" w:lastRowLastColumn="0"/>
                                  <w:tcW w:w="1080" w:type="dxa"/>
                                </w:tcPr>
                                <w:p w14:paraId="739D2722"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0</w:t>
                                  </w:r>
                                </w:p>
                              </w:tc>
                              <w:tc>
                                <w:tcPr>
                                  <w:tcW w:w="810" w:type="dxa"/>
                                </w:tcPr>
                                <w:p w14:paraId="6EF348B9"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044" w:type="dxa"/>
                                </w:tcPr>
                                <w:p w14:paraId="0639C757" w14:textId="77777777" w:rsidR="003D14AC" w:rsidRPr="001A1E04" w:rsidRDefault="003D14AC" w:rsidP="001A1E04">
                                  <w:pPr>
                                    <w:pStyle w:val="ListParagraph"/>
                                    <w:ind w:left="162"/>
                                    <w:jc w:val="right"/>
                                    <w:rPr>
                                      <w:sz w:val="21"/>
                                      <w:szCs w:val="21"/>
                                    </w:rPr>
                                  </w:pPr>
                                </w:p>
                              </w:tc>
                            </w:tr>
                            <w:tr w:rsidR="003D14AC" w:rsidRPr="001A1E04" w14:paraId="3DC66FAC"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4752FB3C"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Arts, Entertainment &amp; Recreation</w:t>
                                  </w:r>
                                </w:p>
                              </w:tc>
                              <w:tc>
                                <w:tcPr>
                                  <w:tcW w:w="1170" w:type="dxa"/>
                                </w:tcPr>
                                <w:p w14:paraId="557D0E2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1,024</w:t>
                                  </w:r>
                                </w:p>
                              </w:tc>
                              <w:tc>
                                <w:tcPr>
                                  <w:cnfStyle w:val="000010000000" w:firstRow="0" w:lastRow="0" w:firstColumn="0" w:lastColumn="0" w:oddVBand="1" w:evenVBand="0" w:oddHBand="0" w:evenHBand="0" w:firstRowFirstColumn="0" w:firstRowLastColumn="0" w:lastRowFirstColumn="0" w:lastRowLastColumn="0"/>
                                  <w:tcW w:w="1080" w:type="dxa"/>
                                </w:tcPr>
                                <w:p w14:paraId="3993DFF4"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w:t>
                                  </w:r>
                                </w:p>
                              </w:tc>
                              <w:tc>
                                <w:tcPr>
                                  <w:tcW w:w="810" w:type="dxa"/>
                                </w:tcPr>
                                <w:p w14:paraId="790376EB"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29</w:t>
                                  </w:r>
                                </w:p>
                              </w:tc>
                              <w:tc>
                                <w:tcPr>
                                  <w:cnfStyle w:val="000010000000" w:firstRow="0" w:lastRow="0" w:firstColumn="0" w:lastColumn="0" w:oddVBand="1" w:evenVBand="0" w:oddHBand="0" w:evenHBand="0" w:firstRowFirstColumn="0" w:firstRowLastColumn="0" w:lastRowFirstColumn="0" w:lastRowLastColumn="0"/>
                                  <w:tcW w:w="1044" w:type="dxa"/>
                                </w:tcPr>
                                <w:p w14:paraId="14F60910"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w:t>
                                  </w:r>
                                </w:p>
                              </w:tc>
                            </w:tr>
                            <w:tr w:rsidR="003D14AC" w:rsidRPr="001A1E04" w14:paraId="78620EE3"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00B6F08E"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Construction</w:t>
                                  </w:r>
                                </w:p>
                              </w:tc>
                              <w:tc>
                                <w:tcPr>
                                  <w:tcW w:w="1170" w:type="dxa"/>
                                </w:tcPr>
                                <w:p w14:paraId="05372D9D"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4,193</w:t>
                                  </w:r>
                                </w:p>
                              </w:tc>
                              <w:tc>
                                <w:tcPr>
                                  <w:cnfStyle w:val="000010000000" w:firstRow="0" w:lastRow="0" w:firstColumn="0" w:lastColumn="0" w:oddVBand="1" w:evenVBand="0" w:oddHBand="0" w:evenHBand="0" w:firstRowFirstColumn="0" w:firstRowLastColumn="0" w:lastRowFirstColumn="0" w:lastRowLastColumn="0"/>
                                  <w:tcW w:w="1080" w:type="dxa"/>
                                </w:tcPr>
                                <w:p w14:paraId="30DD921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6</w:t>
                                  </w:r>
                                </w:p>
                              </w:tc>
                              <w:tc>
                                <w:tcPr>
                                  <w:tcW w:w="810" w:type="dxa"/>
                                </w:tcPr>
                                <w:p w14:paraId="3F3A4837"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146</w:t>
                                  </w:r>
                                </w:p>
                              </w:tc>
                              <w:tc>
                                <w:tcPr>
                                  <w:cnfStyle w:val="000010000000" w:firstRow="0" w:lastRow="0" w:firstColumn="0" w:lastColumn="0" w:oddVBand="1" w:evenVBand="0" w:oddHBand="0" w:evenHBand="0" w:firstRowFirstColumn="0" w:firstRowLastColumn="0" w:lastRowFirstColumn="0" w:lastRowLastColumn="0"/>
                                  <w:tcW w:w="1044" w:type="dxa"/>
                                </w:tcPr>
                                <w:p w14:paraId="39F147F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7</w:t>
                                  </w:r>
                                </w:p>
                              </w:tc>
                            </w:tr>
                            <w:tr w:rsidR="003D14AC" w:rsidRPr="001A1E04" w14:paraId="71A77914"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64E223F5"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Educational Services</w:t>
                                  </w:r>
                                </w:p>
                              </w:tc>
                              <w:tc>
                                <w:tcPr>
                                  <w:tcW w:w="1170" w:type="dxa"/>
                                </w:tcPr>
                                <w:p w14:paraId="528A53D5"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3,001</w:t>
                                  </w:r>
                                </w:p>
                              </w:tc>
                              <w:tc>
                                <w:tcPr>
                                  <w:cnfStyle w:val="000010000000" w:firstRow="0" w:lastRow="0" w:firstColumn="0" w:lastColumn="0" w:oddVBand="1" w:evenVBand="0" w:oddHBand="0" w:evenHBand="0" w:firstRowFirstColumn="0" w:firstRowLastColumn="0" w:lastRowFirstColumn="0" w:lastRowLastColumn="0"/>
                                  <w:tcW w:w="1080" w:type="dxa"/>
                                </w:tcPr>
                                <w:p w14:paraId="1FBEE67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w:t>
                                  </w:r>
                                </w:p>
                              </w:tc>
                              <w:tc>
                                <w:tcPr>
                                  <w:tcW w:w="810" w:type="dxa"/>
                                </w:tcPr>
                                <w:p w14:paraId="799B9BF8"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131</w:t>
                                  </w:r>
                                </w:p>
                              </w:tc>
                              <w:tc>
                                <w:tcPr>
                                  <w:cnfStyle w:val="000010000000" w:firstRow="0" w:lastRow="0" w:firstColumn="0" w:lastColumn="0" w:oddVBand="1" w:evenVBand="0" w:oddHBand="0" w:evenHBand="0" w:firstRowFirstColumn="0" w:firstRowLastColumn="0" w:lastRowFirstColumn="0" w:lastRowLastColumn="0"/>
                                  <w:tcW w:w="1044" w:type="dxa"/>
                                </w:tcPr>
                                <w:p w14:paraId="61BB834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6</w:t>
                                  </w:r>
                                </w:p>
                              </w:tc>
                            </w:tr>
                            <w:tr w:rsidR="003D14AC" w:rsidRPr="001A1E04" w14:paraId="73B2EDEE"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40DCE901"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w:hAnsi="Times New Roman"/>
                                      <w:sz w:val="21"/>
                                      <w:szCs w:val="21"/>
                                    </w:rPr>
                                    <w:t>Finance &amp; Insurance</w:t>
                                  </w:r>
                                </w:p>
                              </w:tc>
                              <w:tc>
                                <w:tcPr>
                                  <w:tcW w:w="1170" w:type="dxa"/>
                                </w:tcPr>
                                <w:p w14:paraId="75E3A533"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1,698</w:t>
                                  </w:r>
                                </w:p>
                              </w:tc>
                              <w:tc>
                                <w:tcPr>
                                  <w:cnfStyle w:val="000010000000" w:firstRow="0" w:lastRow="0" w:firstColumn="0" w:lastColumn="0" w:oddVBand="1" w:evenVBand="0" w:oddHBand="0" w:evenHBand="0" w:firstRowFirstColumn="0" w:firstRowLastColumn="0" w:lastRowFirstColumn="0" w:lastRowLastColumn="0"/>
                                  <w:tcW w:w="1080" w:type="dxa"/>
                                </w:tcPr>
                                <w:p w14:paraId="39458D90"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w:t>
                                  </w:r>
                                </w:p>
                              </w:tc>
                              <w:tc>
                                <w:tcPr>
                                  <w:tcW w:w="810" w:type="dxa"/>
                                </w:tcPr>
                                <w:p w14:paraId="3C54A6DA"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103</w:t>
                                  </w:r>
                                </w:p>
                              </w:tc>
                              <w:tc>
                                <w:tcPr>
                                  <w:cnfStyle w:val="000010000000" w:firstRow="0" w:lastRow="0" w:firstColumn="0" w:lastColumn="0" w:oddVBand="1" w:evenVBand="0" w:oddHBand="0" w:evenHBand="0" w:firstRowFirstColumn="0" w:firstRowLastColumn="0" w:lastRowFirstColumn="0" w:lastRowLastColumn="0"/>
                                  <w:tcW w:w="1044" w:type="dxa"/>
                                </w:tcPr>
                                <w:p w14:paraId="1691D55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w:t>
                                  </w:r>
                                </w:p>
                              </w:tc>
                            </w:tr>
                            <w:tr w:rsidR="003D14AC" w:rsidRPr="001A1E04" w14:paraId="1CF9088B"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325EB68D" w14:textId="77777777" w:rsidR="003D14AC" w:rsidRPr="001A1E04" w:rsidRDefault="003D14AC" w:rsidP="001A1E04">
                                  <w:pPr>
                                    <w:rPr>
                                      <w:sz w:val="21"/>
                                      <w:szCs w:val="21"/>
                                    </w:rPr>
                                  </w:pPr>
                                  <w:r w:rsidRPr="001A1E04">
                                    <w:rPr>
                                      <w:sz w:val="21"/>
                                      <w:szCs w:val="21"/>
                                    </w:rPr>
                                    <w:tab/>
                                    <w:t>Health Care &amp; Social Assistance</w:t>
                                  </w:r>
                                </w:p>
                              </w:tc>
                              <w:tc>
                                <w:tcPr>
                                  <w:tcW w:w="1170" w:type="dxa"/>
                                </w:tcPr>
                                <w:p w14:paraId="768E190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8,704</w:t>
                                  </w:r>
                                </w:p>
                              </w:tc>
                              <w:tc>
                                <w:tcPr>
                                  <w:cnfStyle w:val="000010000000" w:firstRow="0" w:lastRow="0" w:firstColumn="0" w:lastColumn="0" w:oddVBand="1" w:evenVBand="0" w:oddHBand="0" w:evenHBand="0" w:firstRowFirstColumn="0" w:firstRowLastColumn="0" w:lastRowFirstColumn="0" w:lastRowLastColumn="0"/>
                                  <w:tcW w:w="1080" w:type="dxa"/>
                                </w:tcPr>
                                <w:p w14:paraId="44644C7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13</w:t>
                                  </w:r>
                                </w:p>
                              </w:tc>
                              <w:tc>
                                <w:tcPr>
                                  <w:tcW w:w="810" w:type="dxa"/>
                                </w:tcPr>
                                <w:p w14:paraId="56D70A96"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506</w:t>
                                  </w:r>
                                </w:p>
                              </w:tc>
                              <w:tc>
                                <w:tcPr>
                                  <w:cnfStyle w:val="000010000000" w:firstRow="0" w:lastRow="0" w:firstColumn="0" w:lastColumn="0" w:oddVBand="1" w:evenVBand="0" w:oddHBand="0" w:evenHBand="0" w:firstRowFirstColumn="0" w:firstRowLastColumn="0" w:lastRowFirstColumn="0" w:lastRowLastColumn="0"/>
                                  <w:tcW w:w="1044" w:type="dxa"/>
                                </w:tcPr>
                                <w:p w14:paraId="12BDF8A8"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23</w:t>
                                  </w:r>
                                </w:p>
                              </w:tc>
                            </w:tr>
                            <w:tr w:rsidR="003D14AC" w:rsidRPr="001A1E04" w14:paraId="60EF8DFE"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8C9893A"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Information</w:t>
                                  </w:r>
                                </w:p>
                              </w:tc>
                              <w:tc>
                                <w:tcPr>
                                  <w:tcW w:w="1170" w:type="dxa"/>
                                </w:tcPr>
                                <w:p w14:paraId="06A2298D"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761</w:t>
                                  </w:r>
                                </w:p>
                              </w:tc>
                              <w:tc>
                                <w:tcPr>
                                  <w:cnfStyle w:val="000010000000" w:firstRow="0" w:lastRow="0" w:firstColumn="0" w:lastColumn="0" w:oddVBand="1" w:evenVBand="0" w:oddHBand="0" w:evenHBand="0" w:firstRowFirstColumn="0" w:firstRowLastColumn="0" w:lastRowFirstColumn="0" w:lastRowLastColumn="0"/>
                                  <w:tcW w:w="1080" w:type="dxa"/>
                                </w:tcPr>
                                <w:p w14:paraId="1620B189"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w:t>
                                  </w:r>
                                </w:p>
                              </w:tc>
                              <w:tc>
                                <w:tcPr>
                                  <w:tcW w:w="810" w:type="dxa"/>
                                </w:tcPr>
                                <w:p w14:paraId="7F4787CB"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24</w:t>
                                  </w:r>
                                </w:p>
                              </w:tc>
                              <w:tc>
                                <w:tcPr>
                                  <w:cnfStyle w:val="000010000000" w:firstRow="0" w:lastRow="0" w:firstColumn="0" w:lastColumn="0" w:oddVBand="1" w:evenVBand="0" w:oddHBand="0" w:evenHBand="0" w:firstRowFirstColumn="0" w:firstRowLastColumn="0" w:lastRowFirstColumn="0" w:lastRowLastColumn="0"/>
                                  <w:tcW w:w="1044" w:type="dxa"/>
                                </w:tcPr>
                                <w:p w14:paraId="76316B55"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w:t>
                                  </w:r>
                                </w:p>
                              </w:tc>
                            </w:tr>
                            <w:tr w:rsidR="003D14AC" w:rsidRPr="001A1E04" w14:paraId="0A1C7C2B"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61273BB0" w14:textId="4A4326D3" w:rsidR="003D14AC" w:rsidRPr="001A1E04" w:rsidRDefault="003D14AC" w:rsidP="001A1E04">
                                  <w:pPr>
                                    <w:pStyle w:val="ListParagraph"/>
                                    <w:ind w:left="0"/>
                                    <w:jc w:val="both"/>
                                    <w:rPr>
                                      <w:rFonts w:ascii="Times New Roman" w:hAnsi="Times New Roman"/>
                                      <w:sz w:val="21"/>
                                      <w:szCs w:val="21"/>
                                    </w:rPr>
                                  </w:pPr>
                                  <w:r>
                                    <w:rPr>
                                      <w:rFonts w:ascii="Times New Roman" w:hAnsi="Times New Roman"/>
                                      <w:sz w:val="21"/>
                                      <w:szCs w:val="21"/>
                                    </w:rPr>
                                    <w:tab/>
                                    <w:t>Management</w:t>
                                  </w:r>
                                  <w:r w:rsidRPr="001A1E04">
                                    <w:rPr>
                                      <w:rFonts w:ascii="Times New Roman" w:hAnsi="Times New Roman"/>
                                      <w:sz w:val="21"/>
                                      <w:szCs w:val="21"/>
                                    </w:rPr>
                                    <w:t xml:space="preserve"> of Companies &amp; Enterprises</w:t>
                                  </w:r>
                                </w:p>
                              </w:tc>
                              <w:tc>
                                <w:tcPr>
                                  <w:tcW w:w="1170" w:type="dxa"/>
                                </w:tcPr>
                                <w:p w14:paraId="3929B6CA"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358</w:t>
                                  </w:r>
                                </w:p>
                              </w:tc>
                              <w:tc>
                                <w:tcPr>
                                  <w:cnfStyle w:val="000010000000" w:firstRow="0" w:lastRow="0" w:firstColumn="0" w:lastColumn="0" w:oddVBand="1" w:evenVBand="0" w:oddHBand="0" w:evenHBand="0" w:firstRowFirstColumn="0" w:firstRowLastColumn="0" w:lastRowFirstColumn="0" w:lastRowLastColumn="0"/>
                                  <w:tcW w:w="1080" w:type="dxa"/>
                                </w:tcPr>
                                <w:p w14:paraId="105633C9"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w:t>
                                  </w:r>
                                </w:p>
                              </w:tc>
                              <w:tc>
                                <w:tcPr>
                                  <w:tcW w:w="810" w:type="dxa"/>
                                </w:tcPr>
                                <w:p w14:paraId="560D55AC"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8</w:t>
                                  </w:r>
                                </w:p>
                              </w:tc>
                              <w:tc>
                                <w:tcPr>
                                  <w:cnfStyle w:val="000010000000" w:firstRow="0" w:lastRow="0" w:firstColumn="0" w:lastColumn="0" w:oddVBand="1" w:evenVBand="0" w:oddHBand="0" w:evenHBand="0" w:firstRowFirstColumn="0" w:firstRowLastColumn="0" w:lastRowFirstColumn="0" w:lastRowLastColumn="0"/>
                                  <w:tcW w:w="1044" w:type="dxa"/>
                                </w:tcPr>
                                <w:p w14:paraId="589C956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0</w:t>
                                  </w:r>
                                </w:p>
                              </w:tc>
                            </w:tr>
                            <w:tr w:rsidR="003D14AC" w:rsidRPr="001A1E04" w14:paraId="320C49E9"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01D438BE"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Manufacturing</w:t>
                                  </w:r>
                                </w:p>
                              </w:tc>
                              <w:tc>
                                <w:tcPr>
                                  <w:tcW w:w="1170" w:type="dxa"/>
                                </w:tcPr>
                                <w:p w14:paraId="45919090"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2,921</w:t>
                                  </w:r>
                                </w:p>
                              </w:tc>
                              <w:tc>
                                <w:tcPr>
                                  <w:cnfStyle w:val="000010000000" w:firstRow="0" w:lastRow="0" w:firstColumn="0" w:lastColumn="0" w:oddVBand="1" w:evenVBand="0" w:oddHBand="0" w:evenHBand="0" w:firstRowFirstColumn="0" w:firstRowLastColumn="0" w:lastRowFirstColumn="0" w:lastRowLastColumn="0"/>
                                  <w:tcW w:w="1080" w:type="dxa"/>
                                </w:tcPr>
                                <w:p w14:paraId="7C63BF59"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4</w:t>
                                  </w:r>
                                </w:p>
                              </w:tc>
                              <w:tc>
                                <w:tcPr>
                                  <w:tcW w:w="810" w:type="dxa"/>
                                </w:tcPr>
                                <w:p w14:paraId="19B0C4C7"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132</w:t>
                                  </w:r>
                                </w:p>
                              </w:tc>
                              <w:tc>
                                <w:tcPr>
                                  <w:cnfStyle w:val="000010000000" w:firstRow="0" w:lastRow="0" w:firstColumn="0" w:lastColumn="0" w:oddVBand="1" w:evenVBand="0" w:oddHBand="0" w:evenHBand="0" w:firstRowFirstColumn="0" w:firstRowLastColumn="0" w:lastRowFirstColumn="0" w:lastRowLastColumn="0"/>
                                  <w:tcW w:w="1044" w:type="dxa"/>
                                </w:tcPr>
                                <w:p w14:paraId="2D79BB1E"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6</w:t>
                                  </w:r>
                                </w:p>
                              </w:tc>
                            </w:tr>
                            <w:tr w:rsidR="003D14AC" w:rsidRPr="001A1E04" w14:paraId="5BDA5E2E"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C7C4B96"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Mining, Quarrying, Oil &amp; Gas Extraction</w:t>
                                  </w:r>
                                </w:p>
                              </w:tc>
                              <w:tc>
                                <w:tcPr>
                                  <w:tcW w:w="1170" w:type="dxa"/>
                                </w:tcPr>
                                <w:p w14:paraId="676C6818"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35</w:t>
                                  </w:r>
                                </w:p>
                              </w:tc>
                              <w:tc>
                                <w:tcPr>
                                  <w:cnfStyle w:val="000010000000" w:firstRow="0" w:lastRow="0" w:firstColumn="0" w:lastColumn="0" w:oddVBand="1" w:evenVBand="0" w:oddHBand="0" w:evenHBand="0" w:firstRowFirstColumn="0" w:firstRowLastColumn="0" w:lastRowFirstColumn="0" w:lastRowLastColumn="0"/>
                                  <w:tcW w:w="1080" w:type="dxa"/>
                                </w:tcPr>
                                <w:p w14:paraId="44E2602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0</w:t>
                                  </w:r>
                                </w:p>
                              </w:tc>
                              <w:tc>
                                <w:tcPr>
                                  <w:tcW w:w="810" w:type="dxa"/>
                                </w:tcPr>
                                <w:p w14:paraId="3B9050B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044" w:type="dxa"/>
                                </w:tcPr>
                                <w:p w14:paraId="2A74BF44" w14:textId="77777777" w:rsidR="003D14AC" w:rsidRPr="001A1E04" w:rsidRDefault="003D14AC" w:rsidP="001A1E04">
                                  <w:pPr>
                                    <w:pStyle w:val="ListParagraph"/>
                                    <w:ind w:left="162"/>
                                    <w:jc w:val="right"/>
                                    <w:rPr>
                                      <w:sz w:val="21"/>
                                      <w:szCs w:val="21"/>
                                    </w:rPr>
                                  </w:pPr>
                                </w:p>
                              </w:tc>
                            </w:tr>
                            <w:tr w:rsidR="003D14AC" w:rsidRPr="001A1E04" w14:paraId="3AC78AE6"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635BF9AE" w14:textId="248DC041"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Prof</w:t>
                                  </w:r>
                                  <w:r>
                                    <w:rPr>
                                      <w:rFonts w:ascii="Times New Roman" w:hAnsi="Times New Roman"/>
                                      <w:sz w:val="21"/>
                                      <w:szCs w:val="21"/>
                                    </w:rPr>
                                    <w:t>essional, Scientific &amp; Tech Services</w:t>
                                  </w:r>
                                </w:p>
                              </w:tc>
                              <w:tc>
                                <w:tcPr>
                                  <w:tcW w:w="1170" w:type="dxa"/>
                                </w:tcPr>
                                <w:p w14:paraId="5A86626C"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4,683</w:t>
                                  </w:r>
                                </w:p>
                              </w:tc>
                              <w:tc>
                                <w:tcPr>
                                  <w:cnfStyle w:val="000010000000" w:firstRow="0" w:lastRow="0" w:firstColumn="0" w:lastColumn="0" w:oddVBand="1" w:evenVBand="0" w:oddHBand="0" w:evenHBand="0" w:firstRowFirstColumn="0" w:firstRowLastColumn="0" w:lastRowFirstColumn="0" w:lastRowLastColumn="0"/>
                                  <w:tcW w:w="1080" w:type="dxa"/>
                                </w:tcPr>
                                <w:p w14:paraId="707ABDBF"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7</w:t>
                                  </w:r>
                                </w:p>
                              </w:tc>
                              <w:tc>
                                <w:tcPr>
                                  <w:tcW w:w="810" w:type="dxa"/>
                                </w:tcPr>
                                <w:p w14:paraId="2FCE3389"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272</w:t>
                                  </w:r>
                                </w:p>
                              </w:tc>
                              <w:tc>
                                <w:tcPr>
                                  <w:cnfStyle w:val="000010000000" w:firstRow="0" w:lastRow="0" w:firstColumn="0" w:lastColumn="0" w:oddVBand="1" w:evenVBand="0" w:oddHBand="0" w:evenHBand="0" w:firstRowFirstColumn="0" w:firstRowLastColumn="0" w:lastRowFirstColumn="0" w:lastRowLastColumn="0"/>
                                  <w:tcW w:w="1044" w:type="dxa"/>
                                </w:tcPr>
                                <w:p w14:paraId="149BDF05"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12</w:t>
                                  </w:r>
                                </w:p>
                              </w:tc>
                            </w:tr>
                            <w:tr w:rsidR="003D14AC" w:rsidRPr="001A1E04" w14:paraId="57F25A16"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428695B"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Public Administration</w:t>
                                  </w:r>
                                </w:p>
                              </w:tc>
                              <w:tc>
                                <w:tcPr>
                                  <w:tcW w:w="1170" w:type="dxa"/>
                                </w:tcPr>
                                <w:p w14:paraId="6D5E8CB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2,150</w:t>
                                  </w:r>
                                </w:p>
                              </w:tc>
                              <w:tc>
                                <w:tcPr>
                                  <w:cnfStyle w:val="000010000000" w:firstRow="0" w:lastRow="0" w:firstColumn="0" w:lastColumn="0" w:oddVBand="1" w:evenVBand="0" w:oddHBand="0" w:evenHBand="0" w:firstRowFirstColumn="0" w:firstRowLastColumn="0" w:lastRowFirstColumn="0" w:lastRowLastColumn="0"/>
                                  <w:tcW w:w="1080" w:type="dxa"/>
                                </w:tcPr>
                                <w:p w14:paraId="5F484AD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w:t>
                                  </w:r>
                                </w:p>
                              </w:tc>
                              <w:tc>
                                <w:tcPr>
                                  <w:tcW w:w="810" w:type="dxa"/>
                                </w:tcPr>
                                <w:p w14:paraId="736B6979"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108</w:t>
                                  </w:r>
                                </w:p>
                              </w:tc>
                              <w:tc>
                                <w:tcPr>
                                  <w:cnfStyle w:val="000010000000" w:firstRow="0" w:lastRow="0" w:firstColumn="0" w:lastColumn="0" w:oddVBand="1" w:evenVBand="0" w:oddHBand="0" w:evenHBand="0" w:firstRowFirstColumn="0" w:firstRowLastColumn="0" w:lastRowFirstColumn="0" w:lastRowLastColumn="0"/>
                                  <w:tcW w:w="1044" w:type="dxa"/>
                                </w:tcPr>
                                <w:p w14:paraId="7ABA4B94"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w:t>
                                  </w:r>
                                </w:p>
                              </w:tc>
                            </w:tr>
                            <w:tr w:rsidR="003D14AC" w:rsidRPr="001A1E04" w14:paraId="0620B258"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0776D86F"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Real Estate &amp; Rental &amp; Leasing</w:t>
                                  </w:r>
                                </w:p>
                              </w:tc>
                              <w:tc>
                                <w:tcPr>
                                  <w:tcW w:w="1170" w:type="dxa"/>
                                </w:tcPr>
                                <w:p w14:paraId="7559D703"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1,190</w:t>
                                  </w:r>
                                </w:p>
                              </w:tc>
                              <w:tc>
                                <w:tcPr>
                                  <w:cnfStyle w:val="000010000000" w:firstRow="0" w:lastRow="0" w:firstColumn="0" w:lastColumn="0" w:oddVBand="1" w:evenVBand="0" w:oddHBand="0" w:evenHBand="0" w:firstRowFirstColumn="0" w:firstRowLastColumn="0" w:lastRowFirstColumn="0" w:lastRowLastColumn="0"/>
                                  <w:tcW w:w="1080" w:type="dxa"/>
                                </w:tcPr>
                                <w:p w14:paraId="129A933E"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w:t>
                                  </w:r>
                                </w:p>
                              </w:tc>
                              <w:tc>
                                <w:tcPr>
                                  <w:tcW w:w="810" w:type="dxa"/>
                                </w:tcPr>
                                <w:p w14:paraId="4F0F5C75"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34</w:t>
                                  </w:r>
                                </w:p>
                              </w:tc>
                              <w:tc>
                                <w:tcPr>
                                  <w:cnfStyle w:val="000010000000" w:firstRow="0" w:lastRow="0" w:firstColumn="0" w:lastColumn="0" w:oddVBand="1" w:evenVBand="0" w:oddHBand="0" w:evenHBand="0" w:firstRowFirstColumn="0" w:firstRowLastColumn="0" w:lastRowFirstColumn="0" w:lastRowLastColumn="0"/>
                                  <w:tcW w:w="1044" w:type="dxa"/>
                                </w:tcPr>
                                <w:p w14:paraId="1B5AD16B"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w:t>
                                  </w:r>
                                </w:p>
                              </w:tc>
                            </w:tr>
                            <w:tr w:rsidR="003D14AC" w:rsidRPr="001A1E04" w14:paraId="6792F478"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2F667D7C"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Retail Trade</w:t>
                                  </w:r>
                                </w:p>
                              </w:tc>
                              <w:tc>
                                <w:tcPr>
                                  <w:tcW w:w="1170" w:type="dxa"/>
                                </w:tcPr>
                                <w:p w14:paraId="09E8DBA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10,808</w:t>
                                  </w:r>
                                </w:p>
                              </w:tc>
                              <w:tc>
                                <w:tcPr>
                                  <w:cnfStyle w:val="000010000000" w:firstRow="0" w:lastRow="0" w:firstColumn="0" w:lastColumn="0" w:oddVBand="1" w:evenVBand="0" w:oddHBand="0" w:evenHBand="0" w:firstRowFirstColumn="0" w:firstRowLastColumn="0" w:lastRowFirstColumn="0" w:lastRowLastColumn="0"/>
                                  <w:tcW w:w="1080" w:type="dxa"/>
                                </w:tcPr>
                                <w:p w14:paraId="453EAAA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16</w:t>
                                  </w:r>
                                </w:p>
                              </w:tc>
                              <w:tc>
                                <w:tcPr>
                                  <w:tcW w:w="810" w:type="dxa"/>
                                </w:tcPr>
                                <w:p w14:paraId="102653A4"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367</w:t>
                                  </w:r>
                                </w:p>
                              </w:tc>
                              <w:tc>
                                <w:tcPr>
                                  <w:cnfStyle w:val="000010000000" w:firstRow="0" w:lastRow="0" w:firstColumn="0" w:lastColumn="0" w:oddVBand="1" w:evenVBand="0" w:oddHBand="0" w:evenHBand="0" w:firstRowFirstColumn="0" w:firstRowLastColumn="0" w:lastRowFirstColumn="0" w:lastRowLastColumn="0"/>
                                  <w:tcW w:w="1044" w:type="dxa"/>
                                </w:tcPr>
                                <w:p w14:paraId="2963752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17</w:t>
                                  </w:r>
                                </w:p>
                              </w:tc>
                            </w:tr>
                            <w:tr w:rsidR="003D14AC" w:rsidRPr="001A1E04" w14:paraId="0DE29233"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0BB9977C"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Transportation &amp; Warehousing</w:t>
                                  </w:r>
                                </w:p>
                              </w:tc>
                              <w:tc>
                                <w:tcPr>
                                  <w:tcW w:w="1170" w:type="dxa"/>
                                </w:tcPr>
                                <w:p w14:paraId="69F51522"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2,613</w:t>
                                  </w:r>
                                </w:p>
                              </w:tc>
                              <w:tc>
                                <w:tcPr>
                                  <w:cnfStyle w:val="000010000000" w:firstRow="0" w:lastRow="0" w:firstColumn="0" w:lastColumn="0" w:oddVBand="1" w:evenVBand="0" w:oddHBand="0" w:evenHBand="0" w:firstRowFirstColumn="0" w:firstRowLastColumn="0" w:lastRowFirstColumn="0" w:lastRowLastColumn="0"/>
                                  <w:tcW w:w="1080" w:type="dxa"/>
                                </w:tcPr>
                                <w:p w14:paraId="7A38B62E"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4</w:t>
                                  </w:r>
                                </w:p>
                              </w:tc>
                              <w:tc>
                                <w:tcPr>
                                  <w:tcW w:w="810" w:type="dxa"/>
                                </w:tcPr>
                                <w:p w14:paraId="6CB1F413"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109</w:t>
                                  </w:r>
                                </w:p>
                              </w:tc>
                              <w:tc>
                                <w:tcPr>
                                  <w:cnfStyle w:val="000010000000" w:firstRow="0" w:lastRow="0" w:firstColumn="0" w:lastColumn="0" w:oddVBand="1" w:evenVBand="0" w:oddHBand="0" w:evenHBand="0" w:firstRowFirstColumn="0" w:firstRowLastColumn="0" w:lastRowFirstColumn="0" w:lastRowLastColumn="0"/>
                                  <w:tcW w:w="1044" w:type="dxa"/>
                                </w:tcPr>
                                <w:p w14:paraId="01ED765D"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w:t>
                                  </w:r>
                                </w:p>
                              </w:tc>
                            </w:tr>
                            <w:tr w:rsidR="003D14AC" w:rsidRPr="001A1E04" w14:paraId="36FB00FA"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480F5BC9"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Utilities</w:t>
                                  </w:r>
                                </w:p>
                              </w:tc>
                              <w:tc>
                                <w:tcPr>
                                  <w:tcW w:w="1170" w:type="dxa"/>
                                </w:tcPr>
                                <w:p w14:paraId="104113C6"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51</w:t>
                                  </w:r>
                                </w:p>
                              </w:tc>
                              <w:tc>
                                <w:tcPr>
                                  <w:cnfStyle w:val="000010000000" w:firstRow="0" w:lastRow="0" w:firstColumn="0" w:lastColumn="0" w:oddVBand="1" w:evenVBand="0" w:oddHBand="0" w:evenHBand="0" w:firstRowFirstColumn="0" w:firstRowLastColumn="0" w:lastRowFirstColumn="0" w:lastRowLastColumn="0"/>
                                  <w:tcW w:w="1080" w:type="dxa"/>
                                </w:tcPr>
                                <w:p w14:paraId="2BA06008"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0</w:t>
                                  </w:r>
                                </w:p>
                              </w:tc>
                              <w:tc>
                                <w:tcPr>
                                  <w:tcW w:w="810" w:type="dxa"/>
                                </w:tcPr>
                                <w:p w14:paraId="4290E939"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044" w:type="dxa"/>
                                </w:tcPr>
                                <w:p w14:paraId="4C501323" w14:textId="77777777" w:rsidR="003D14AC" w:rsidRPr="001A1E04" w:rsidRDefault="003D14AC" w:rsidP="001A1E04">
                                  <w:pPr>
                                    <w:pStyle w:val="ListParagraph"/>
                                    <w:ind w:left="162"/>
                                    <w:jc w:val="right"/>
                                    <w:rPr>
                                      <w:sz w:val="21"/>
                                      <w:szCs w:val="21"/>
                                    </w:rPr>
                                  </w:pPr>
                                </w:p>
                              </w:tc>
                            </w:tr>
                            <w:tr w:rsidR="003D14AC" w:rsidRPr="001A1E04" w14:paraId="779009EF"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566159CD"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Wholesale Trade</w:t>
                                  </w:r>
                                </w:p>
                              </w:tc>
                              <w:tc>
                                <w:tcPr>
                                  <w:tcW w:w="1170" w:type="dxa"/>
                                </w:tcPr>
                                <w:p w14:paraId="6FBEE549"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2,167</w:t>
                                  </w:r>
                                </w:p>
                              </w:tc>
                              <w:tc>
                                <w:tcPr>
                                  <w:cnfStyle w:val="000010000000" w:firstRow="0" w:lastRow="0" w:firstColumn="0" w:lastColumn="0" w:oddVBand="1" w:evenVBand="0" w:oddHBand="0" w:evenHBand="0" w:firstRowFirstColumn="0" w:firstRowLastColumn="0" w:lastRowFirstColumn="0" w:lastRowLastColumn="0"/>
                                  <w:tcW w:w="1080" w:type="dxa"/>
                                </w:tcPr>
                                <w:p w14:paraId="096F1D3B"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w:t>
                                  </w:r>
                                </w:p>
                              </w:tc>
                              <w:tc>
                                <w:tcPr>
                                  <w:tcW w:w="810" w:type="dxa"/>
                                </w:tcPr>
                                <w:p w14:paraId="06C10FB8"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87</w:t>
                                  </w:r>
                                </w:p>
                              </w:tc>
                              <w:tc>
                                <w:tcPr>
                                  <w:cnfStyle w:val="000010000000" w:firstRow="0" w:lastRow="0" w:firstColumn="0" w:lastColumn="0" w:oddVBand="1" w:evenVBand="0" w:oddHBand="0" w:evenHBand="0" w:firstRowFirstColumn="0" w:firstRowLastColumn="0" w:lastRowFirstColumn="0" w:lastRowLastColumn="0"/>
                                  <w:tcW w:w="1044" w:type="dxa"/>
                                </w:tcPr>
                                <w:p w14:paraId="3784AA8F"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4</w:t>
                                  </w:r>
                                </w:p>
                              </w:tc>
                            </w:tr>
                            <w:tr w:rsidR="003D14AC" w:rsidRPr="001A1E04" w14:paraId="683FED7B"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6BDA1BCB" w14:textId="3A0BFF7F"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Othe</w:t>
                                  </w:r>
                                  <w:r>
                                    <w:rPr>
                                      <w:rFonts w:ascii="Times New Roman" w:hAnsi="Times New Roman"/>
                                      <w:sz w:val="21"/>
                                      <w:szCs w:val="21"/>
                                    </w:rPr>
                                    <w:t>r Services (except Public Administration</w:t>
                                  </w:r>
                                  <w:r w:rsidRPr="001A1E04">
                                    <w:rPr>
                                      <w:rFonts w:ascii="Times New Roman" w:hAnsi="Times New Roman"/>
                                      <w:sz w:val="21"/>
                                      <w:szCs w:val="21"/>
                                    </w:rPr>
                                    <w:t>)</w:t>
                                  </w:r>
                                </w:p>
                              </w:tc>
                              <w:tc>
                                <w:tcPr>
                                  <w:tcW w:w="1170" w:type="dxa"/>
                                </w:tcPr>
                                <w:p w14:paraId="29693242"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1,827</w:t>
                                  </w:r>
                                </w:p>
                              </w:tc>
                              <w:tc>
                                <w:tcPr>
                                  <w:cnfStyle w:val="000010000000" w:firstRow="0" w:lastRow="0" w:firstColumn="0" w:lastColumn="0" w:oddVBand="1" w:evenVBand="0" w:oddHBand="0" w:evenHBand="0" w:firstRowFirstColumn="0" w:firstRowLastColumn="0" w:lastRowFirstColumn="0" w:lastRowLastColumn="0"/>
                                  <w:tcW w:w="1080" w:type="dxa"/>
                                </w:tcPr>
                                <w:p w14:paraId="43B9DD0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w:t>
                                  </w:r>
                                </w:p>
                              </w:tc>
                              <w:tc>
                                <w:tcPr>
                                  <w:tcW w:w="810" w:type="dxa"/>
                                </w:tcPr>
                                <w:p w14:paraId="4C612138"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77</w:t>
                                  </w:r>
                                </w:p>
                              </w:tc>
                              <w:tc>
                                <w:tcPr>
                                  <w:cnfStyle w:val="000010000000" w:firstRow="0" w:lastRow="0" w:firstColumn="0" w:lastColumn="0" w:oddVBand="1" w:evenVBand="0" w:oddHBand="0" w:evenHBand="0" w:firstRowFirstColumn="0" w:firstRowLastColumn="0" w:lastRowFirstColumn="0" w:lastRowLastColumn="0"/>
                                  <w:tcW w:w="1044" w:type="dxa"/>
                                </w:tcPr>
                                <w:p w14:paraId="45444CB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4</w:t>
                                  </w:r>
                                </w:p>
                              </w:tc>
                            </w:tr>
                          </w:tbl>
                          <w:p w14:paraId="77868230" w14:textId="77777777" w:rsidR="003D14AC" w:rsidRDefault="003D14AC" w:rsidP="001C61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48" type="#_x0000_t202" style="position:absolute;margin-left:-5.25pt;margin-top:13pt;width:549.7pt;height:42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" fillcolor="white [3201]" strokeweight=".5pt">
                <v:textbox>
                  <w:txbxContent>
                    <w:tbl>
                      <w:tblPr>
                        <w:tblStyle w:val="PlainTable11"/>
                        <w:tblW w:w="0" w:type="auto"/>
                        <w:tblLayout w:type="fixed"/>
                        <w:tblLook w:val="0000" w:firstRow="0" w:lastRow="0" w:firstColumn="0" w:lastColumn="0" w:noHBand="0" w:noVBand="0"/>
                        <w:tblCaption w:val="DLLR Wagner-Peyser and WIA Program Entered Employment and Placements by Sector: PY 2013"/>
                        <w:tblDescription w:val="This chart shows DLLR Wagner-Peyser and WIA Program entered employment and placements by sector for PY 2013. "/>
                      </w:tblPr>
                      <w:tblGrid>
                        <w:gridCol w:w="6588"/>
                        <w:gridCol w:w="1170"/>
                        <w:gridCol w:w="1080"/>
                        <w:gridCol w:w="810"/>
                        <w:gridCol w:w="1044"/>
                      </w:tblGrid>
                      <w:tr w:rsidR="003D14AC" w:rsidRPr="001A1E04" w14:paraId="29CEBF16" w14:textId="77777777" w:rsidTr="00847A0D">
                        <w:trPr>
                          <w:trHeight w:val="578"/>
                          <w:tblHeader/>
                        </w:trPr>
                        <w:tc>
                          <w:tcPr>
                            <w:cnfStyle w:val="000010000000" w:firstRow="0" w:lastRow="0" w:firstColumn="0" w:lastColumn="0" w:oddVBand="1" w:evenVBand="0" w:oddHBand="0" w:evenHBand="0" w:firstRowFirstColumn="0" w:firstRowLastColumn="0" w:lastRowFirstColumn="0" w:lastRowLastColumn="0"/>
                            <w:tcW w:w="10692" w:type="dxa"/>
                            <w:gridSpan w:val="5"/>
                          </w:tcPr>
                          <w:p w14:paraId="01169B34"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 xml:space="preserve">DLLR Wagner-Peyser and WIA Program Entered Employment and Placements By Sector </w:t>
                            </w:r>
                          </w:p>
                          <w:p w14:paraId="5B4CBBD5" w14:textId="77777777" w:rsidR="003D14AC" w:rsidRPr="001A1E04" w:rsidRDefault="003D14AC" w:rsidP="001A1E04">
                            <w:pPr>
                              <w:pStyle w:val="ListParagraph"/>
                              <w:ind w:left="0"/>
                              <w:jc w:val="center"/>
                              <w:rPr>
                                <w:rFonts w:ascii="Times New Roman Bold Italic" w:hAnsi="Times New Roman Bold Italic"/>
                                <w:sz w:val="21"/>
                                <w:szCs w:val="21"/>
                              </w:rPr>
                            </w:pPr>
                            <w:r w:rsidRPr="001A1E04">
                              <w:rPr>
                                <w:rFonts w:ascii="Times New Roman Bold Italic" w:hAnsi="Times New Roman Bold Italic"/>
                                <w:sz w:val="21"/>
                                <w:szCs w:val="21"/>
                              </w:rPr>
                              <w:t xml:space="preserve">Program Year 2013 </w:t>
                            </w:r>
                          </w:p>
                        </w:tc>
                      </w:tr>
                      <w:tr w:rsidR="003D14AC" w:rsidRPr="001A1E04" w14:paraId="73B344FF"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7B8572B9" w14:textId="77777777" w:rsidR="003D14AC" w:rsidRPr="001A1E04" w:rsidRDefault="003D14AC" w:rsidP="001A1E04">
                            <w:pPr>
                              <w:pStyle w:val="ListParagraph"/>
                              <w:ind w:left="0"/>
                              <w:jc w:val="both"/>
                              <w:rPr>
                                <w:rFonts w:ascii="Times New Roman Italic" w:hAnsi="Times New Roman Italic"/>
                                <w:sz w:val="21"/>
                                <w:szCs w:val="21"/>
                              </w:rPr>
                            </w:pPr>
                            <w:r w:rsidRPr="001A1E04">
                              <w:rPr>
                                <w:rFonts w:ascii="Times New Roman Italic" w:hAnsi="Times New Roman Italic"/>
                                <w:sz w:val="21"/>
                                <w:szCs w:val="21"/>
                              </w:rPr>
                              <w:t>Sector</w:t>
                            </w:r>
                          </w:p>
                        </w:tc>
                        <w:tc>
                          <w:tcPr>
                            <w:tcW w:w="1170" w:type="dxa"/>
                          </w:tcPr>
                          <w:p w14:paraId="498F2B34" w14:textId="472ACAAE"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Pr>
                                <w:rFonts w:ascii="Times New Roman Italic" w:hAnsi="Times New Roman Italic"/>
                                <w:sz w:val="21"/>
                                <w:szCs w:val="21"/>
                              </w:rPr>
                              <w:t>Wagner-</w:t>
                            </w:r>
                            <w:r w:rsidRPr="001A1E04">
                              <w:rPr>
                                <w:rFonts w:ascii="Times New Roman Italic" w:hAnsi="Times New Roman Italic"/>
                                <w:sz w:val="21"/>
                                <w:szCs w:val="21"/>
                              </w:rPr>
                              <w:t>Peyser</w:t>
                            </w:r>
                          </w:p>
                        </w:tc>
                        <w:tc>
                          <w:tcPr>
                            <w:cnfStyle w:val="000010000000" w:firstRow="0" w:lastRow="0" w:firstColumn="0" w:lastColumn="0" w:oddVBand="1" w:evenVBand="0" w:oddHBand="0" w:evenHBand="0" w:firstRowFirstColumn="0" w:firstRowLastColumn="0" w:lastRowFirstColumn="0" w:lastRowLastColumn="0"/>
                            <w:tcW w:w="1080" w:type="dxa"/>
                          </w:tcPr>
                          <w:p w14:paraId="14793772" w14:textId="77777777" w:rsidR="003D14AC" w:rsidRPr="001A1E04" w:rsidRDefault="003D14AC" w:rsidP="001A1E04">
                            <w:pPr>
                              <w:pStyle w:val="ListParagraph"/>
                              <w:ind w:left="162"/>
                              <w:jc w:val="right"/>
                              <w:rPr>
                                <w:rFonts w:ascii="Times New Roman Italic" w:hAnsi="Times New Roman Italic"/>
                                <w:sz w:val="21"/>
                                <w:szCs w:val="21"/>
                              </w:rPr>
                            </w:pPr>
                            <w:r w:rsidRPr="001A1E04">
                              <w:rPr>
                                <w:rFonts w:ascii="Times New Roman Italic" w:hAnsi="Times New Roman Italic"/>
                                <w:sz w:val="21"/>
                                <w:szCs w:val="21"/>
                              </w:rPr>
                              <w:t>Percent</w:t>
                            </w:r>
                          </w:p>
                        </w:tc>
                        <w:tc>
                          <w:tcPr>
                            <w:tcW w:w="810" w:type="dxa"/>
                          </w:tcPr>
                          <w:p w14:paraId="0950C3D2"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Italic" w:hAnsi="Times New Roman Italic"/>
                                <w:sz w:val="21"/>
                                <w:szCs w:val="21"/>
                              </w:rPr>
                            </w:pPr>
                            <w:r w:rsidRPr="001A1E04">
                              <w:rPr>
                                <w:rFonts w:ascii="Times New Roman Italic" w:hAnsi="Times New Roman Italic"/>
                                <w:sz w:val="21"/>
                                <w:szCs w:val="21"/>
                              </w:rPr>
                              <w:t>WIA</w:t>
                            </w:r>
                          </w:p>
                        </w:tc>
                        <w:tc>
                          <w:tcPr>
                            <w:cnfStyle w:val="000010000000" w:firstRow="0" w:lastRow="0" w:firstColumn="0" w:lastColumn="0" w:oddVBand="1" w:evenVBand="0" w:oddHBand="0" w:evenHBand="0" w:firstRowFirstColumn="0" w:firstRowLastColumn="0" w:lastRowFirstColumn="0" w:lastRowLastColumn="0"/>
                            <w:tcW w:w="1044" w:type="dxa"/>
                          </w:tcPr>
                          <w:p w14:paraId="7A74F3A0" w14:textId="77777777" w:rsidR="003D14AC" w:rsidRPr="001A1E04" w:rsidRDefault="003D14AC" w:rsidP="001A1E04">
                            <w:pPr>
                              <w:pStyle w:val="ListParagraph"/>
                              <w:ind w:left="162"/>
                              <w:jc w:val="right"/>
                              <w:rPr>
                                <w:rFonts w:ascii="Times New Roman Italic" w:hAnsi="Times New Roman Italic"/>
                                <w:sz w:val="21"/>
                                <w:szCs w:val="21"/>
                              </w:rPr>
                            </w:pPr>
                            <w:r w:rsidRPr="001A1E04">
                              <w:rPr>
                                <w:rFonts w:ascii="Times New Roman Italic" w:hAnsi="Times New Roman Italic"/>
                                <w:sz w:val="21"/>
                                <w:szCs w:val="21"/>
                              </w:rPr>
                              <w:t>Percent</w:t>
                            </w:r>
                          </w:p>
                        </w:tc>
                      </w:tr>
                      <w:tr w:rsidR="003D14AC" w:rsidRPr="001A1E04" w14:paraId="1718C0B0"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3F6ADEDA" w14:textId="77777777" w:rsidR="003D14AC" w:rsidRPr="001A1E04" w:rsidRDefault="003D14AC" w:rsidP="001A1E04">
                            <w:pPr>
                              <w:rPr>
                                <w:rFonts w:ascii="Times New Roman Bold" w:hAnsi="Times New Roman Bold"/>
                                <w:sz w:val="21"/>
                                <w:szCs w:val="21"/>
                              </w:rPr>
                            </w:pPr>
                            <w:r w:rsidRPr="001A1E04">
                              <w:rPr>
                                <w:rFonts w:ascii="Times New Roman Bold" w:hAnsi="Times New Roman Bold"/>
                                <w:sz w:val="21"/>
                                <w:szCs w:val="21"/>
                              </w:rPr>
                              <w:t>Totals</w:t>
                            </w:r>
                          </w:p>
                        </w:tc>
                        <w:tc>
                          <w:tcPr>
                            <w:tcW w:w="1170" w:type="dxa"/>
                          </w:tcPr>
                          <w:p w14:paraId="01F4208C"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66,156</w:t>
                            </w:r>
                          </w:p>
                        </w:tc>
                        <w:tc>
                          <w:tcPr>
                            <w:cnfStyle w:val="000010000000" w:firstRow="0" w:lastRow="0" w:firstColumn="0" w:lastColumn="0" w:oddVBand="1" w:evenVBand="0" w:oddHBand="0" w:evenHBand="0" w:firstRowFirstColumn="0" w:firstRowLastColumn="0" w:lastRowFirstColumn="0" w:lastRowLastColumn="0"/>
                            <w:tcW w:w="1080" w:type="dxa"/>
                          </w:tcPr>
                          <w:p w14:paraId="0D915C0D" w14:textId="77777777" w:rsidR="003D14AC" w:rsidRPr="001A1E04" w:rsidRDefault="003D14AC" w:rsidP="001A1E04">
                            <w:pPr>
                              <w:pStyle w:val="ListParagraph"/>
                              <w:ind w:left="162"/>
                              <w:jc w:val="right"/>
                              <w:rPr>
                                <w:rFonts w:ascii="Times New Roman Bold" w:hAnsi="Times New Roman Bold"/>
                                <w:sz w:val="21"/>
                                <w:szCs w:val="21"/>
                              </w:rPr>
                            </w:pPr>
                            <w:r w:rsidRPr="001A1E04">
                              <w:rPr>
                                <w:rFonts w:ascii="Times New Roman Bold" w:hAnsi="Times New Roman Bold"/>
                                <w:sz w:val="21"/>
                                <w:szCs w:val="21"/>
                              </w:rPr>
                              <w:t>100</w:t>
                            </w:r>
                          </w:p>
                        </w:tc>
                        <w:tc>
                          <w:tcPr>
                            <w:tcW w:w="810" w:type="dxa"/>
                          </w:tcPr>
                          <w:p w14:paraId="1C85134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Bold" w:hAnsi="Times New Roman Bold"/>
                                <w:sz w:val="21"/>
                                <w:szCs w:val="21"/>
                              </w:rPr>
                            </w:pPr>
                            <w:r w:rsidRPr="001A1E04">
                              <w:rPr>
                                <w:rFonts w:ascii="Times New Roman Bold" w:hAnsi="Times New Roman Bold"/>
                                <w:sz w:val="21"/>
                                <w:szCs w:val="21"/>
                              </w:rPr>
                              <w:t>2188</w:t>
                            </w:r>
                          </w:p>
                        </w:tc>
                        <w:tc>
                          <w:tcPr>
                            <w:cnfStyle w:val="000010000000" w:firstRow="0" w:lastRow="0" w:firstColumn="0" w:lastColumn="0" w:oddVBand="1" w:evenVBand="0" w:oddHBand="0" w:evenHBand="0" w:firstRowFirstColumn="0" w:firstRowLastColumn="0" w:lastRowFirstColumn="0" w:lastRowLastColumn="0"/>
                            <w:tcW w:w="1044" w:type="dxa"/>
                          </w:tcPr>
                          <w:p w14:paraId="38405564" w14:textId="77777777" w:rsidR="003D14AC" w:rsidRPr="001A1E04" w:rsidRDefault="003D14AC" w:rsidP="001A1E04">
                            <w:pPr>
                              <w:pStyle w:val="ListParagraph"/>
                              <w:ind w:left="162"/>
                              <w:jc w:val="right"/>
                              <w:rPr>
                                <w:rFonts w:ascii="Times New Roman Bold" w:hAnsi="Times New Roman Bold"/>
                                <w:sz w:val="21"/>
                                <w:szCs w:val="21"/>
                              </w:rPr>
                            </w:pPr>
                            <w:r w:rsidRPr="001A1E04">
                              <w:rPr>
                                <w:rFonts w:ascii="Times New Roman Bold" w:hAnsi="Times New Roman Bold"/>
                                <w:sz w:val="21"/>
                                <w:szCs w:val="21"/>
                              </w:rPr>
                              <w:t>100</w:t>
                            </w:r>
                          </w:p>
                        </w:tc>
                      </w:tr>
                      <w:tr w:rsidR="003D14AC" w:rsidRPr="001A1E04" w14:paraId="6CF898F3"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2BA4CDDF" w14:textId="77777777" w:rsidR="003D14AC" w:rsidRPr="001A1E04" w:rsidRDefault="003D14AC" w:rsidP="001A1E04">
                            <w:pPr>
                              <w:rPr>
                                <w:sz w:val="21"/>
                                <w:szCs w:val="21"/>
                              </w:rPr>
                            </w:pPr>
                            <w:r w:rsidRPr="001A1E04">
                              <w:rPr>
                                <w:sz w:val="21"/>
                                <w:szCs w:val="21"/>
                              </w:rPr>
                              <w:tab/>
                              <w:t>Accommodation &amp; Food Service</w:t>
                            </w:r>
                          </w:p>
                        </w:tc>
                        <w:tc>
                          <w:tcPr>
                            <w:tcW w:w="1170" w:type="dxa"/>
                          </w:tcPr>
                          <w:p w14:paraId="6C7AA4BF"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6,742</w:t>
                            </w:r>
                          </w:p>
                        </w:tc>
                        <w:tc>
                          <w:tcPr>
                            <w:cnfStyle w:val="000010000000" w:firstRow="0" w:lastRow="0" w:firstColumn="0" w:lastColumn="0" w:oddVBand="1" w:evenVBand="0" w:oddHBand="0" w:evenHBand="0" w:firstRowFirstColumn="0" w:firstRowLastColumn="0" w:lastRowFirstColumn="0" w:lastRowLastColumn="0"/>
                            <w:tcW w:w="1080" w:type="dxa"/>
                          </w:tcPr>
                          <w:p w14:paraId="380F3131"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10</w:t>
                            </w:r>
                          </w:p>
                        </w:tc>
                        <w:tc>
                          <w:tcPr>
                            <w:tcW w:w="810" w:type="dxa"/>
                          </w:tcPr>
                          <w:p w14:paraId="39DEFDBE"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207</w:t>
                            </w:r>
                          </w:p>
                        </w:tc>
                        <w:tc>
                          <w:tcPr>
                            <w:cnfStyle w:val="000010000000" w:firstRow="0" w:lastRow="0" w:firstColumn="0" w:lastColumn="0" w:oddVBand="1" w:evenVBand="0" w:oddHBand="0" w:evenHBand="0" w:firstRowFirstColumn="0" w:firstRowLastColumn="0" w:lastRowFirstColumn="0" w:lastRowLastColumn="0"/>
                            <w:tcW w:w="1044" w:type="dxa"/>
                          </w:tcPr>
                          <w:p w14:paraId="3AB92CCD"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9</w:t>
                            </w:r>
                          </w:p>
                        </w:tc>
                      </w:tr>
                      <w:tr w:rsidR="003D14AC" w:rsidRPr="001A1E04" w14:paraId="38CC83FE"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810925F" w14:textId="6F75C80B" w:rsidR="003D14AC" w:rsidRPr="001A1E04" w:rsidRDefault="003D14AC" w:rsidP="001A1E04">
                            <w:pPr>
                              <w:pStyle w:val="ListParagraph"/>
                              <w:ind w:left="0"/>
                              <w:jc w:val="both"/>
                              <w:rPr>
                                <w:rFonts w:ascii="Times New Roman" w:hAnsi="Times New Roman"/>
                                <w:sz w:val="21"/>
                                <w:szCs w:val="21"/>
                              </w:rPr>
                            </w:pPr>
                            <w:r>
                              <w:rPr>
                                <w:rFonts w:ascii="Times New Roman" w:hAnsi="Times New Roman"/>
                                <w:sz w:val="21"/>
                                <w:szCs w:val="21"/>
                              </w:rPr>
                              <w:tab/>
                              <w:t xml:space="preserve">Administrative Support, Waste Management Remediation Services </w:t>
                            </w:r>
                          </w:p>
                        </w:tc>
                        <w:tc>
                          <w:tcPr>
                            <w:tcW w:w="1170" w:type="dxa"/>
                          </w:tcPr>
                          <w:p w14:paraId="4ECC1629"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11,089</w:t>
                            </w:r>
                          </w:p>
                        </w:tc>
                        <w:tc>
                          <w:tcPr>
                            <w:cnfStyle w:val="000010000000" w:firstRow="0" w:lastRow="0" w:firstColumn="0" w:lastColumn="0" w:oddVBand="1" w:evenVBand="0" w:oddHBand="0" w:evenHBand="0" w:firstRowFirstColumn="0" w:firstRowLastColumn="0" w:lastRowFirstColumn="0" w:lastRowLastColumn="0"/>
                            <w:tcW w:w="1080" w:type="dxa"/>
                          </w:tcPr>
                          <w:p w14:paraId="067AFFF6"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17</w:t>
                            </w:r>
                          </w:p>
                        </w:tc>
                        <w:tc>
                          <w:tcPr>
                            <w:tcW w:w="810" w:type="dxa"/>
                          </w:tcPr>
                          <w:p w14:paraId="37BA2469"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338</w:t>
                            </w:r>
                          </w:p>
                        </w:tc>
                        <w:tc>
                          <w:tcPr>
                            <w:cnfStyle w:val="000010000000" w:firstRow="0" w:lastRow="0" w:firstColumn="0" w:lastColumn="0" w:oddVBand="1" w:evenVBand="0" w:oddHBand="0" w:evenHBand="0" w:firstRowFirstColumn="0" w:firstRowLastColumn="0" w:lastRowFirstColumn="0" w:lastRowLastColumn="0"/>
                            <w:tcW w:w="1044" w:type="dxa"/>
                          </w:tcPr>
                          <w:p w14:paraId="7B1391C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15</w:t>
                            </w:r>
                          </w:p>
                        </w:tc>
                      </w:tr>
                      <w:tr w:rsidR="003D14AC" w:rsidRPr="001A1E04" w14:paraId="71A0F7E5"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8F07520"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Agric., Forestry, Fishing &amp; Hunting</w:t>
                            </w:r>
                          </w:p>
                        </w:tc>
                        <w:tc>
                          <w:tcPr>
                            <w:tcW w:w="1170" w:type="dxa"/>
                          </w:tcPr>
                          <w:p w14:paraId="5BCA1BE6"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141</w:t>
                            </w:r>
                          </w:p>
                        </w:tc>
                        <w:tc>
                          <w:tcPr>
                            <w:cnfStyle w:val="000010000000" w:firstRow="0" w:lastRow="0" w:firstColumn="0" w:lastColumn="0" w:oddVBand="1" w:evenVBand="0" w:oddHBand="0" w:evenHBand="0" w:firstRowFirstColumn="0" w:firstRowLastColumn="0" w:lastRowFirstColumn="0" w:lastRowLastColumn="0"/>
                            <w:tcW w:w="1080" w:type="dxa"/>
                          </w:tcPr>
                          <w:p w14:paraId="739D2722"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0</w:t>
                            </w:r>
                          </w:p>
                        </w:tc>
                        <w:tc>
                          <w:tcPr>
                            <w:tcW w:w="810" w:type="dxa"/>
                          </w:tcPr>
                          <w:p w14:paraId="6EF348B9"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044" w:type="dxa"/>
                          </w:tcPr>
                          <w:p w14:paraId="0639C757" w14:textId="77777777" w:rsidR="003D14AC" w:rsidRPr="001A1E04" w:rsidRDefault="003D14AC" w:rsidP="001A1E04">
                            <w:pPr>
                              <w:pStyle w:val="ListParagraph"/>
                              <w:ind w:left="162"/>
                              <w:jc w:val="right"/>
                              <w:rPr>
                                <w:sz w:val="21"/>
                                <w:szCs w:val="21"/>
                              </w:rPr>
                            </w:pPr>
                          </w:p>
                        </w:tc>
                      </w:tr>
                      <w:tr w:rsidR="003D14AC" w:rsidRPr="001A1E04" w14:paraId="3DC66FAC"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4752FB3C"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Arts, Entertainment &amp; Recreation</w:t>
                            </w:r>
                          </w:p>
                        </w:tc>
                        <w:tc>
                          <w:tcPr>
                            <w:tcW w:w="1170" w:type="dxa"/>
                          </w:tcPr>
                          <w:p w14:paraId="557D0E2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1,024</w:t>
                            </w:r>
                          </w:p>
                        </w:tc>
                        <w:tc>
                          <w:tcPr>
                            <w:cnfStyle w:val="000010000000" w:firstRow="0" w:lastRow="0" w:firstColumn="0" w:lastColumn="0" w:oddVBand="1" w:evenVBand="0" w:oddHBand="0" w:evenHBand="0" w:firstRowFirstColumn="0" w:firstRowLastColumn="0" w:lastRowFirstColumn="0" w:lastRowLastColumn="0"/>
                            <w:tcW w:w="1080" w:type="dxa"/>
                          </w:tcPr>
                          <w:p w14:paraId="3993DFF4"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w:t>
                            </w:r>
                          </w:p>
                        </w:tc>
                        <w:tc>
                          <w:tcPr>
                            <w:tcW w:w="810" w:type="dxa"/>
                          </w:tcPr>
                          <w:p w14:paraId="790376EB"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29</w:t>
                            </w:r>
                          </w:p>
                        </w:tc>
                        <w:tc>
                          <w:tcPr>
                            <w:cnfStyle w:val="000010000000" w:firstRow="0" w:lastRow="0" w:firstColumn="0" w:lastColumn="0" w:oddVBand="1" w:evenVBand="0" w:oddHBand="0" w:evenHBand="0" w:firstRowFirstColumn="0" w:firstRowLastColumn="0" w:lastRowFirstColumn="0" w:lastRowLastColumn="0"/>
                            <w:tcW w:w="1044" w:type="dxa"/>
                          </w:tcPr>
                          <w:p w14:paraId="14F60910"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w:t>
                            </w:r>
                          </w:p>
                        </w:tc>
                      </w:tr>
                      <w:tr w:rsidR="003D14AC" w:rsidRPr="001A1E04" w14:paraId="78620EE3"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00B6F08E"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Construction</w:t>
                            </w:r>
                          </w:p>
                        </w:tc>
                        <w:tc>
                          <w:tcPr>
                            <w:tcW w:w="1170" w:type="dxa"/>
                          </w:tcPr>
                          <w:p w14:paraId="05372D9D"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4,193</w:t>
                            </w:r>
                          </w:p>
                        </w:tc>
                        <w:tc>
                          <w:tcPr>
                            <w:cnfStyle w:val="000010000000" w:firstRow="0" w:lastRow="0" w:firstColumn="0" w:lastColumn="0" w:oddVBand="1" w:evenVBand="0" w:oddHBand="0" w:evenHBand="0" w:firstRowFirstColumn="0" w:firstRowLastColumn="0" w:lastRowFirstColumn="0" w:lastRowLastColumn="0"/>
                            <w:tcW w:w="1080" w:type="dxa"/>
                          </w:tcPr>
                          <w:p w14:paraId="30DD921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6</w:t>
                            </w:r>
                          </w:p>
                        </w:tc>
                        <w:tc>
                          <w:tcPr>
                            <w:tcW w:w="810" w:type="dxa"/>
                          </w:tcPr>
                          <w:p w14:paraId="3F3A4837"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146</w:t>
                            </w:r>
                          </w:p>
                        </w:tc>
                        <w:tc>
                          <w:tcPr>
                            <w:cnfStyle w:val="000010000000" w:firstRow="0" w:lastRow="0" w:firstColumn="0" w:lastColumn="0" w:oddVBand="1" w:evenVBand="0" w:oddHBand="0" w:evenHBand="0" w:firstRowFirstColumn="0" w:firstRowLastColumn="0" w:lastRowFirstColumn="0" w:lastRowLastColumn="0"/>
                            <w:tcW w:w="1044" w:type="dxa"/>
                          </w:tcPr>
                          <w:p w14:paraId="39F147F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7</w:t>
                            </w:r>
                          </w:p>
                        </w:tc>
                      </w:tr>
                      <w:tr w:rsidR="003D14AC" w:rsidRPr="001A1E04" w14:paraId="71A77914"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64E223F5"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Educational Services</w:t>
                            </w:r>
                          </w:p>
                        </w:tc>
                        <w:tc>
                          <w:tcPr>
                            <w:tcW w:w="1170" w:type="dxa"/>
                          </w:tcPr>
                          <w:p w14:paraId="528A53D5"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3,001</w:t>
                            </w:r>
                          </w:p>
                        </w:tc>
                        <w:tc>
                          <w:tcPr>
                            <w:cnfStyle w:val="000010000000" w:firstRow="0" w:lastRow="0" w:firstColumn="0" w:lastColumn="0" w:oddVBand="1" w:evenVBand="0" w:oddHBand="0" w:evenHBand="0" w:firstRowFirstColumn="0" w:firstRowLastColumn="0" w:lastRowFirstColumn="0" w:lastRowLastColumn="0"/>
                            <w:tcW w:w="1080" w:type="dxa"/>
                          </w:tcPr>
                          <w:p w14:paraId="1FBEE67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w:t>
                            </w:r>
                          </w:p>
                        </w:tc>
                        <w:tc>
                          <w:tcPr>
                            <w:tcW w:w="810" w:type="dxa"/>
                          </w:tcPr>
                          <w:p w14:paraId="799B9BF8"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131</w:t>
                            </w:r>
                          </w:p>
                        </w:tc>
                        <w:tc>
                          <w:tcPr>
                            <w:cnfStyle w:val="000010000000" w:firstRow="0" w:lastRow="0" w:firstColumn="0" w:lastColumn="0" w:oddVBand="1" w:evenVBand="0" w:oddHBand="0" w:evenHBand="0" w:firstRowFirstColumn="0" w:firstRowLastColumn="0" w:lastRowFirstColumn="0" w:lastRowLastColumn="0"/>
                            <w:tcW w:w="1044" w:type="dxa"/>
                          </w:tcPr>
                          <w:p w14:paraId="61BB834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6</w:t>
                            </w:r>
                          </w:p>
                        </w:tc>
                      </w:tr>
                      <w:tr w:rsidR="003D14AC" w:rsidRPr="001A1E04" w14:paraId="73B2EDEE"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40DCE901"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Bold" w:hAnsi="Times New Roman Bold"/>
                                <w:sz w:val="21"/>
                                <w:szCs w:val="21"/>
                              </w:rPr>
                              <w:tab/>
                            </w:r>
                            <w:r w:rsidRPr="001A1E04">
                              <w:rPr>
                                <w:rFonts w:ascii="Times New Roman" w:hAnsi="Times New Roman"/>
                                <w:sz w:val="21"/>
                                <w:szCs w:val="21"/>
                              </w:rPr>
                              <w:t>Finance &amp; Insurance</w:t>
                            </w:r>
                          </w:p>
                        </w:tc>
                        <w:tc>
                          <w:tcPr>
                            <w:tcW w:w="1170" w:type="dxa"/>
                          </w:tcPr>
                          <w:p w14:paraId="75E3A533"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1,698</w:t>
                            </w:r>
                          </w:p>
                        </w:tc>
                        <w:tc>
                          <w:tcPr>
                            <w:cnfStyle w:val="000010000000" w:firstRow="0" w:lastRow="0" w:firstColumn="0" w:lastColumn="0" w:oddVBand="1" w:evenVBand="0" w:oddHBand="0" w:evenHBand="0" w:firstRowFirstColumn="0" w:firstRowLastColumn="0" w:lastRowFirstColumn="0" w:lastRowLastColumn="0"/>
                            <w:tcW w:w="1080" w:type="dxa"/>
                          </w:tcPr>
                          <w:p w14:paraId="39458D90"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w:t>
                            </w:r>
                          </w:p>
                        </w:tc>
                        <w:tc>
                          <w:tcPr>
                            <w:tcW w:w="810" w:type="dxa"/>
                          </w:tcPr>
                          <w:p w14:paraId="3C54A6DA"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103</w:t>
                            </w:r>
                          </w:p>
                        </w:tc>
                        <w:tc>
                          <w:tcPr>
                            <w:cnfStyle w:val="000010000000" w:firstRow="0" w:lastRow="0" w:firstColumn="0" w:lastColumn="0" w:oddVBand="1" w:evenVBand="0" w:oddHBand="0" w:evenHBand="0" w:firstRowFirstColumn="0" w:firstRowLastColumn="0" w:lastRowFirstColumn="0" w:lastRowLastColumn="0"/>
                            <w:tcW w:w="1044" w:type="dxa"/>
                          </w:tcPr>
                          <w:p w14:paraId="1691D55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w:t>
                            </w:r>
                          </w:p>
                        </w:tc>
                      </w:tr>
                      <w:tr w:rsidR="003D14AC" w:rsidRPr="001A1E04" w14:paraId="1CF9088B"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325EB68D" w14:textId="77777777" w:rsidR="003D14AC" w:rsidRPr="001A1E04" w:rsidRDefault="003D14AC" w:rsidP="001A1E04">
                            <w:pPr>
                              <w:rPr>
                                <w:sz w:val="21"/>
                                <w:szCs w:val="21"/>
                              </w:rPr>
                            </w:pPr>
                            <w:r w:rsidRPr="001A1E04">
                              <w:rPr>
                                <w:sz w:val="21"/>
                                <w:szCs w:val="21"/>
                              </w:rPr>
                              <w:tab/>
                              <w:t>Health Care &amp; Social Assistance</w:t>
                            </w:r>
                          </w:p>
                        </w:tc>
                        <w:tc>
                          <w:tcPr>
                            <w:tcW w:w="1170" w:type="dxa"/>
                          </w:tcPr>
                          <w:p w14:paraId="768E190F"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8,704</w:t>
                            </w:r>
                          </w:p>
                        </w:tc>
                        <w:tc>
                          <w:tcPr>
                            <w:cnfStyle w:val="000010000000" w:firstRow="0" w:lastRow="0" w:firstColumn="0" w:lastColumn="0" w:oddVBand="1" w:evenVBand="0" w:oddHBand="0" w:evenHBand="0" w:firstRowFirstColumn="0" w:firstRowLastColumn="0" w:lastRowFirstColumn="0" w:lastRowLastColumn="0"/>
                            <w:tcW w:w="1080" w:type="dxa"/>
                          </w:tcPr>
                          <w:p w14:paraId="44644C7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13</w:t>
                            </w:r>
                          </w:p>
                        </w:tc>
                        <w:tc>
                          <w:tcPr>
                            <w:tcW w:w="810" w:type="dxa"/>
                          </w:tcPr>
                          <w:p w14:paraId="56D70A96"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506</w:t>
                            </w:r>
                          </w:p>
                        </w:tc>
                        <w:tc>
                          <w:tcPr>
                            <w:cnfStyle w:val="000010000000" w:firstRow="0" w:lastRow="0" w:firstColumn="0" w:lastColumn="0" w:oddVBand="1" w:evenVBand="0" w:oddHBand="0" w:evenHBand="0" w:firstRowFirstColumn="0" w:firstRowLastColumn="0" w:lastRowFirstColumn="0" w:lastRowLastColumn="0"/>
                            <w:tcW w:w="1044" w:type="dxa"/>
                          </w:tcPr>
                          <w:p w14:paraId="12BDF8A8"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23</w:t>
                            </w:r>
                          </w:p>
                        </w:tc>
                      </w:tr>
                      <w:tr w:rsidR="003D14AC" w:rsidRPr="001A1E04" w14:paraId="60EF8DFE"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8C9893A"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Information</w:t>
                            </w:r>
                          </w:p>
                        </w:tc>
                        <w:tc>
                          <w:tcPr>
                            <w:tcW w:w="1170" w:type="dxa"/>
                          </w:tcPr>
                          <w:p w14:paraId="06A2298D"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761</w:t>
                            </w:r>
                          </w:p>
                        </w:tc>
                        <w:tc>
                          <w:tcPr>
                            <w:cnfStyle w:val="000010000000" w:firstRow="0" w:lastRow="0" w:firstColumn="0" w:lastColumn="0" w:oddVBand="1" w:evenVBand="0" w:oddHBand="0" w:evenHBand="0" w:firstRowFirstColumn="0" w:firstRowLastColumn="0" w:lastRowFirstColumn="0" w:lastRowLastColumn="0"/>
                            <w:tcW w:w="1080" w:type="dxa"/>
                          </w:tcPr>
                          <w:p w14:paraId="1620B189"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w:t>
                            </w:r>
                          </w:p>
                        </w:tc>
                        <w:tc>
                          <w:tcPr>
                            <w:tcW w:w="810" w:type="dxa"/>
                          </w:tcPr>
                          <w:p w14:paraId="7F4787CB"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24</w:t>
                            </w:r>
                          </w:p>
                        </w:tc>
                        <w:tc>
                          <w:tcPr>
                            <w:cnfStyle w:val="000010000000" w:firstRow="0" w:lastRow="0" w:firstColumn="0" w:lastColumn="0" w:oddVBand="1" w:evenVBand="0" w:oddHBand="0" w:evenHBand="0" w:firstRowFirstColumn="0" w:firstRowLastColumn="0" w:lastRowFirstColumn="0" w:lastRowLastColumn="0"/>
                            <w:tcW w:w="1044" w:type="dxa"/>
                          </w:tcPr>
                          <w:p w14:paraId="76316B55"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w:t>
                            </w:r>
                          </w:p>
                        </w:tc>
                      </w:tr>
                      <w:tr w:rsidR="003D14AC" w:rsidRPr="001A1E04" w14:paraId="0A1C7C2B"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61273BB0" w14:textId="4A4326D3" w:rsidR="003D14AC" w:rsidRPr="001A1E04" w:rsidRDefault="003D14AC" w:rsidP="001A1E04">
                            <w:pPr>
                              <w:pStyle w:val="ListParagraph"/>
                              <w:ind w:left="0"/>
                              <w:jc w:val="both"/>
                              <w:rPr>
                                <w:rFonts w:ascii="Times New Roman" w:hAnsi="Times New Roman"/>
                                <w:sz w:val="21"/>
                                <w:szCs w:val="21"/>
                              </w:rPr>
                            </w:pPr>
                            <w:r>
                              <w:rPr>
                                <w:rFonts w:ascii="Times New Roman" w:hAnsi="Times New Roman"/>
                                <w:sz w:val="21"/>
                                <w:szCs w:val="21"/>
                              </w:rPr>
                              <w:tab/>
                              <w:t>Management</w:t>
                            </w:r>
                            <w:r w:rsidRPr="001A1E04">
                              <w:rPr>
                                <w:rFonts w:ascii="Times New Roman" w:hAnsi="Times New Roman"/>
                                <w:sz w:val="21"/>
                                <w:szCs w:val="21"/>
                              </w:rPr>
                              <w:t xml:space="preserve"> of Companies &amp; Enterprises</w:t>
                            </w:r>
                          </w:p>
                        </w:tc>
                        <w:tc>
                          <w:tcPr>
                            <w:tcW w:w="1170" w:type="dxa"/>
                          </w:tcPr>
                          <w:p w14:paraId="3929B6CA"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358</w:t>
                            </w:r>
                          </w:p>
                        </w:tc>
                        <w:tc>
                          <w:tcPr>
                            <w:cnfStyle w:val="000010000000" w:firstRow="0" w:lastRow="0" w:firstColumn="0" w:lastColumn="0" w:oddVBand="1" w:evenVBand="0" w:oddHBand="0" w:evenHBand="0" w:firstRowFirstColumn="0" w:firstRowLastColumn="0" w:lastRowFirstColumn="0" w:lastRowLastColumn="0"/>
                            <w:tcW w:w="1080" w:type="dxa"/>
                          </w:tcPr>
                          <w:p w14:paraId="105633C9"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w:t>
                            </w:r>
                          </w:p>
                        </w:tc>
                        <w:tc>
                          <w:tcPr>
                            <w:tcW w:w="810" w:type="dxa"/>
                          </w:tcPr>
                          <w:p w14:paraId="560D55AC"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8</w:t>
                            </w:r>
                          </w:p>
                        </w:tc>
                        <w:tc>
                          <w:tcPr>
                            <w:cnfStyle w:val="000010000000" w:firstRow="0" w:lastRow="0" w:firstColumn="0" w:lastColumn="0" w:oddVBand="1" w:evenVBand="0" w:oddHBand="0" w:evenHBand="0" w:firstRowFirstColumn="0" w:firstRowLastColumn="0" w:lastRowFirstColumn="0" w:lastRowLastColumn="0"/>
                            <w:tcW w:w="1044" w:type="dxa"/>
                          </w:tcPr>
                          <w:p w14:paraId="589C956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0</w:t>
                            </w:r>
                          </w:p>
                        </w:tc>
                      </w:tr>
                      <w:tr w:rsidR="003D14AC" w:rsidRPr="001A1E04" w14:paraId="320C49E9"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01D438BE"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Manufacturing</w:t>
                            </w:r>
                          </w:p>
                        </w:tc>
                        <w:tc>
                          <w:tcPr>
                            <w:tcW w:w="1170" w:type="dxa"/>
                          </w:tcPr>
                          <w:p w14:paraId="45919090"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2,921</w:t>
                            </w:r>
                          </w:p>
                        </w:tc>
                        <w:tc>
                          <w:tcPr>
                            <w:cnfStyle w:val="000010000000" w:firstRow="0" w:lastRow="0" w:firstColumn="0" w:lastColumn="0" w:oddVBand="1" w:evenVBand="0" w:oddHBand="0" w:evenHBand="0" w:firstRowFirstColumn="0" w:firstRowLastColumn="0" w:lastRowFirstColumn="0" w:lastRowLastColumn="0"/>
                            <w:tcW w:w="1080" w:type="dxa"/>
                          </w:tcPr>
                          <w:p w14:paraId="7C63BF59"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4</w:t>
                            </w:r>
                          </w:p>
                        </w:tc>
                        <w:tc>
                          <w:tcPr>
                            <w:tcW w:w="810" w:type="dxa"/>
                          </w:tcPr>
                          <w:p w14:paraId="19B0C4C7"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132</w:t>
                            </w:r>
                          </w:p>
                        </w:tc>
                        <w:tc>
                          <w:tcPr>
                            <w:cnfStyle w:val="000010000000" w:firstRow="0" w:lastRow="0" w:firstColumn="0" w:lastColumn="0" w:oddVBand="1" w:evenVBand="0" w:oddHBand="0" w:evenHBand="0" w:firstRowFirstColumn="0" w:firstRowLastColumn="0" w:lastRowFirstColumn="0" w:lastRowLastColumn="0"/>
                            <w:tcW w:w="1044" w:type="dxa"/>
                          </w:tcPr>
                          <w:p w14:paraId="2D79BB1E"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6</w:t>
                            </w:r>
                          </w:p>
                        </w:tc>
                      </w:tr>
                      <w:tr w:rsidR="003D14AC" w:rsidRPr="001A1E04" w14:paraId="5BDA5E2E"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C7C4B96"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Mining, Quarrying, Oil &amp; Gas Extraction</w:t>
                            </w:r>
                          </w:p>
                        </w:tc>
                        <w:tc>
                          <w:tcPr>
                            <w:tcW w:w="1170" w:type="dxa"/>
                          </w:tcPr>
                          <w:p w14:paraId="676C6818"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35</w:t>
                            </w:r>
                          </w:p>
                        </w:tc>
                        <w:tc>
                          <w:tcPr>
                            <w:cnfStyle w:val="000010000000" w:firstRow="0" w:lastRow="0" w:firstColumn="0" w:lastColumn="0" w:oddVBand="1" w:evenVBand="0" w:oddHBand="0" w:evenHBand="0" w:firstRowFirstColumn="0" w:firstRowLastColumn="0" w:lastRowFirstColumn="0" w:lastRowLastColumn="0"/>
                            <w:tcW w:w="1080" w:type="dxa"/>
                          </w:tcPr>
                          <w:p w14:paraId="44E2602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0</w:t>
                            </w:r>
                          </w:p>
                        </w:tc>
                        <w:tc>
                          <w:tcPr>
                            <w:tcW w:w="810" w:type="dxa"/>
                          </w:tcPr>
                          <w:p w14:paraId="3B9050B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044" w:type="dxa"/>
                          </w:tcPr>
                          <w:p w14:paraId="2A74BF44" w14:textId="77777777" w:rsidR="003D14AC" w:rsidRPr="001A1E04" w:rsidRDefault="003D14AC" w:rsidP="001A1E04">
                            <w:pPr>
                              <w:pStyle w:val="ListParagraph"/>
                              <w:ind w:left="162"/>
                              <w:jc w:val="right"/>
                              <w:rPr>
                                <w:sz w:val="21"/>
                                <w:szCs w:val="21"/>
                              </w:rPr>
                            </w:pPr>
                          </w:p>
                        </w:tc>
                      </w:tr>
                      <w:tr w:rsidR="003D14AC" w:rsidRPr="001A1E04" w14:paraId="3AC78AE6"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635BF9AE" w14:textId="248DC041"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Prof</w:t>
                            </w:r>
                            <w:r>
                              <w:rPr>
                                <w:rFonts w:ascii="Times New Roman" w:hAnsi="Times New Roman"/>
                                <w:sz w:val="21"/>
                                <w:szCs w:val="21"/>
                              </w:rPr>
                              <w:t>essional, Scientific &amp; Tech Services</w:t>
                            </w:r>
                          </w:p>
                        </w:tc>
                        <w:tc>
                          <w:tcPr>
                            <w:tcW w:w="1170" w:type="dxa"/>
                          </w:tcPr>
                          <w:p w14:paraId="5A86626C"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4,683</w:t>
                            </w:r>
                          </w:p>
                        </w:tc>
                        <w:tc>
                          <w:tcPr>
                            <w:cnfStyle w:val="000010000000" w:firstRow="0" w:lastRow="0" w:firstColumn="0" w:lastColumn="0" w:oddVBand="1" w:evenVBand="0" w:oddHBand="0" w:evenHBand="0" w:firstRowFirstColumn="0" w:firstRowLastColumn="0" w:lastRowFirstColumn="0" w:lastRowLastColumn="0"/>
                            <w:tcW w:w="1080" w:type="dxa"/>
                          </w:tcPr>
                          <w:p w14:paraId="707ABDBF"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7</w:t>
                            </w:r>
                          </w:p>
                        </w:tc>
                        <w:tc>
                          <w:tcPr>
                            <w:tcW w:w="810" w:type="dxa"/>
                          </w:tcPr>
                          <w:p w14:paraId="2FCE3389"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272</w:t>
                            </w:r>
                          </w:p>
                        </w:tc>
                        <w:tc>
                          <w:tcPr>
                            <w:cnfStyle w:val="000010000000" w:firstRow="0" w:lastRow="0" w:firstColumn="0" w:lastColumn="0" w:oddVBand="1" w:evenVBand="0" w:oddHBand="0" w:evenHBand="0" w:firstRowFirstColumn="0" w:firstRowLastColumn="0" w:lastRowFirstColumn="0" w:lastRowLastColumn="0"/>
                            <w:tcW w:w="1044" w:type="dxa"/>
                          </w:tcPr>
                          <w:p w14:paraId="149BDF05"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12</w:t>
                            </w:r>
                          </w:p>
                        </w:tc>
                      </w:tr>
                      <w:tr w:rsidR="003D14AC" w:rsidRPr="001A1E04" w14:paraId="57F25A16"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1428695B"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Public Administration</w:t>
                            </w:r>
                          </w:p>
                        </w:tc>
                        <w:tc>
                          <w:tcPr>
                            <w:tcW w:w="1170" w:type="dxa"/>
                          </w:tcPr>
                          <w:p w14:paraId="6D5E8CB1"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2,150</w:t>
                            </w:r>
                          </w:p>
                        </w:tc>
                        <w:tc>
                          <w:tcPr>
                            <w:cnfStyle w:val="000010000000" w:firstRow="0" w:lastRow="0" w:firstColumn="0" w:lastColumn="0" w:oddVBand="1" w:evenVBand="0" w:oddHBand="0" w:evenHBand="0" w:firstRowFirstColumn="0" w:firstRowLastColumn="0" w:lastRowFirstColumn="0" w:lastRowLastColumn="0"/>
                            <w:tcW w:w="1080" w:type="dxa"/>
                          </w:tcPr>
                          <w:p w14:paraId="5F484AD3"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w:t>
                            </w:r>
                          </w:p>
                        </w:tc>
                        <w:tc>
                          <w:tcPr>
                            <w:tcW w:w="810" w:type="dxa"/>
                          </w:tcPr>
                          <w:p w14:paraId="736B6979"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108</w:t>
                            </w:r>
                          </w:p>
                        </w:tc>
                        <w:tc>
                          <w:tcPr>
                            <w:cnfStyle w:val="000010000000" w:firstRow="0" w:lastRow="0" w:firstColumn="0" w:lastColumn="0" w:oddVBand="1" w:evenVBand="0" w:oddHBand="0" w:evenHBand="0" w:firstRowFirstColumn="0" w:firstRowLastColumn="0" w:lastRowFirstColumn="0" w:lastRowLastColumn="0"/>
                            <w:tcW w:w="1044" w:type="dxa"/>
                          </w:tcPr>
                          <w:p w14:paraId="7ABA4B94"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w:t>
                            </w:r>
                          </w:p>
                        </w:tc>
                      </w:tr>
                      <w:tr w:rsidR="003D14AC" w:rsidRPr="001A1E04" w14:paraId="0620B258"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0776D86F"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Real Estate &amp; Rental &amp; Leasing</w:t>
                            </w:r>
                          </w:p>
                        </w:tc>
                        <w:tc>
                          <w:tcPr>
                            <w:tcW w:w="1170" w:type="dxa"/>
                          </w:tcPr>
                          <w:p w14:paraId="7559D703"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1,190</w:t>
                            </w:r>
                          </w:p>
                        </w:tc>
                        <w:tc>
                          <w:tcPr>
                            <w:cnfStyle w:val="000010000000" w:firstRow="0" w:lastRow="0" w:firstColumn="0" w:lastColumn="0" w:oddVBand="1" w:evenVBand="0" w:oddHBand="0" w:evenHBand="0" w:firstRowFirstColumn="0" w:firstRowLastColumn="0" w:lastRowFirstColumn="0" w:lastRowLastColumn="0"/>
                            <w:tcW w:w="1080" w:type="dxa"/>
                          </w:tcPr>
                          <w:p w14:paraId="129A933E"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w:t>
                            </w:r>
                          </w:p>
                        </w:tc>
                        <w:tc>
                          <w:tcPr>
                            <w:tcW w:w="810" w:type="dxa"/>
                          </w:tcPr>
                          <w:p w14:paraId="4F0F5C75"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34</w:t>
                            </w:r>
                          </w:p>
                        </w:tc>
                        <w:tc>
                          <w:tcPr>
                            <w:cnfStyle w:val="000010000000" w:firstRow="0" w:lastRow="0" w:firstColumn="0" w:lastColumn="0" w:oddVBand="1" w:evenVBand="0" w:oddHBand="0" w:evenHBand="0" w:firstRowFirstColumn="0" w:firstRowLastColumn="0" w:lastRowFirstColumn="0" w:lastRowLastColumn="0"/>
                            <w:tcW w:w="1044" w:type="dxa"/>
                          </w:tcPr>
                          <w:p w14:paraId="1B5AD16B"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2</w:t>
                            </w:r>
                          </w:p>
                        </w:tc>
                      </w:tr>
                      <w:tr w:rsidR="003D14AC" w:rsidRPr="001A1E04" w14:paraId="6792F478"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2F667D7C"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Retail Trade</w:t>
                            </w:r>
                          </w:p>
                        </w:tc>
                        <w:tc>
                          <w:tcPr>
                            <w:tcW w:w="1170" w:type="dxa"/>
                          </w:tcPr>
                          <w:p w14:paraId="09E8DBA3"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10,808</w:t>
                            </w:r>
                          </w:p>
                        </w:tc>
                        <w:tc>
                          <w:tcPr>
                            <w:cnfStyle w:val="000010000000" w:firstRow="0" w:lastRow="0" w:firstColumn="0" w:lastColumn="0" w:oddVBand="1" w:evenVBand="0" w:oddHBand="0" w:evenHBand="0" w:firstRowFirstColumn="0" w:firstRowLastColumn="0" w:lastRowFirstColumn="0" w:lastRowLastColumn="0"/>
                            <w:tcW w:w="1080" w:type="dxa"/>
                          </w:tcPr>
                          <w:p w14:paraId="453EAAA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16</w:t>
                            </w:r>
                          </w:p>
                        </w:tc>
                        <w:tc>
                          <w:tcPr>
                            <w:tcW w:w="810" w:type="dxa"/>
                          </w:tcPr>
                          <w:p w14:paraId="102653A4"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367</w:t>
                            </w:r>
                          </w:p>
                        </w:tc>
                        <w:tc>
                          <w:tcPr>
                            <w:cnfStyle w:val="000010000000" w:firstRow="0" w:lastRow="0" w:firstColumn="0" w:lastColumn="0" w:oddVBand="1" w:evenVBand="0" w:oddHBand="0" w:evenHBand="0" w:firstRowFirstColumn="0" w:firstRowLastColumn="0" w:lastRowFirstColumn="0" w:lastRowLastColumn="0"/>
                            <w:tcW w:w="1044" w:type="dxa"/>
                          </w:tcPr>
                          <w:p w14:paraId="2963752C"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17</w:t>
                            </w:r>
                          </w:p>
                        </w:tc>
                      </w:tr>
                      <w:tr w:rsidR="003D14AC" w:rsidRPr="001A1E04" w14:paraId="0DE29233"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0BB9977C"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Transportation &amp; Warehousing</w:t>
                            </w:r>
                          </w:p>
                        </w:tc>
                        <w:tc>
                          <w:tcPr>
                            <w:tcW w:w="1170" w:type="dxa"/>
                          </w:tcPr>
                          <w:p w14:paraId="69F51522"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2,613</w:t>
                            </w:r>
                          </w:p>
                        </w:tc>
                        <w:tc>
                          <w:tcPr>
                            <w:cnfStyle w:val="000010000000" w:firstRow="0" w:lastRow="0" w:firstColumn="0" w:lastColumn="0" w:oddVBand="1" w:evenVBand="0" w:oddHBand="0" w:evenHBand="0" w:firstRowFirstColumn="0" w:firstRowLastColumn="0" w:lastRowFirstColumn="0" w:lastRowLastColumn="0"/>
                            <w:tcW w:w="1080" w:type="dxa"/>
                          </w:tcPr>
                          <w:p w14:paraId="7A38B62E"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4</w:t>
                            </w:r>
                          </w:p>
                        </w:tc>
                        <w:tc>
                          <w:tcPr>
                            <w:tcW w:w="810" w:type="dxa"/>
                          </w:tcPr>
                          <w:p w14:paraId="6CB1F413"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109</w:t>
                            </w:r>
                          </w:p>
                        </w:tc>
                        <w:tc>
                          <w:tcPr>
                            <w:cnfStyle w:val="000010000000" w:firstRow="0" w:lastRow="0" w:firstColumn="0" w:lastColumn="0" w:oddVBand="1" w:evenVBand="0" w:oddHBand="0" w:evenHBand="0" w:firstRowFirstColumn="0" w:firstRowLastColumn="0" w:lastRowFirstColumn="0" w:lastRowLastColumn="0"/>
                            <w:tcW w:w="1044" w:type="dxa"/>
                          </w:tcPr>
                          <w:p w14:paraId="01ED765D"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5</w:t>
                            </w:r>
                          </w:p>
                        </w:tc>
                      </w:tr>
                      <w:tr w:rsidR="003D14AC" w:rsidRPr="001A1E04" w14:paraId="36FB00FA"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480F5BC9"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Utilities</w:t>
                            </w:r>
                          </w:p>
                        </w:tc>
                        <w:tc>
                          <w:tcPr>
                            <w:tcW w:w="1170" w:type="dxa"/>
                          </w:tcPr>
                          <w:p w14:paraId="104113C6"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51</w:t>
                            </w:r>
                          </w:p>
                        </w:tc>
                        <w:tc>
                          <w:tcPr>
                            <w:cnfStyle w:val="000010000000" w:firstRow="0" w:lastRow="0" w:firstColumn="0" w:lastColumn="0" w:oddVBand="1" w:evenVBand="0" w:oddHBand="0" w:evenHBand="0" w:firstRowFirstColumn="0" w:firstRowLastColumn="0" w:lastRowFirstColumn="0" w:lastRowLastColumn="0"/>
                            <w:tcW w:w="1080" w:type="dxa"/>
                          </w:tcPr>
                          <w:p w14:paraId="2BA06008"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0</w:t>
                            </w:r>
                          </w:p>
                        </w:tc>
                        <w:tc>
                          <w:tcPr>
                            <w:tcW w:w="810" w:type="dxa"/>
                          </w:tcPr>
                          <w:p w14:paraId="4290E939"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sz w:val="21"/>
                                <w:szCs w:val="21"/>
                              </w:rPr>
                            </w:pPr>
                          </w:p>
                        </w:tc>
                        <w:tc>
                          <w:tcPr>
                            <w:cnfStyle w:val="000010000000" w:firstRow="0" w:lastRow="0" w:firstColumn="0" w:lastColumn="0" w:oddVBand="1" w:evenVBand="0" w:oddHBand="0" w:evenHBand="0" w:firstRowFirstColumn="0" w:firstRowLastColumn="0" w:lastRowFirstColumn="0" w:lastRowLastColumn="0"/>
                            <w:tcW w:w="1044" w:type="dxa"/>
                          </w:tcPr>
                          <w:p w14:paraId="4C501323" w14:textId="77777777" w:rsidR="003D14AC" w:rsidRPr="001A1E04" w:rsidRDefault="003D14AC" w:rsidP="001A1E04">
                            <w:pPr>
                              <w:pStyle w:val="ListParagraph"/>
                              <w:ind w:left="162"/>
                              <w:jc w:val="right"/>
                              <w:rPr>
                                <w:sz w:val="21"/>
                                <w:szCs w:val="21"/>
                              </w:rPr>
                            </w:pPr>
                          </w:p>
                        </w:tc>
                      </w:tr>
                      <w:tr w:rsidR="003D14AC" w:rsidRPr="001A1E04" w14:paraId="779009EF" w14:textId="77777777" w:rsidTr="00194A7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6588" w:type="dxa"/>
                          </w:tcPr>
                          <w:p w14:paraId="566159CD" w14:textId="77777777"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Wholesale Trade</w:t>
                            </w:r>
                          </w:p>
                        </w:tc>
                        <w:tc>
                          <w:tcPr>
                            <w:tcW w:w="1170" w:type="dxa"/>
                          </w:tcPr>
                          <w:p w14:paraId="6FBEE549"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2,167</w:t>
                            </w:r>
                          </w:p>
                        </w:tc>
                        <w:tc>
                          <w:tcPr>
                            <w:cnfStyle w:val="000010000000" w:firstRow="0" w:lastRow="0" w:firstColumn="0" w:lastColumn="0" w:oddVBand="1" w:evenVBand="0" w:oddHBand="0" w:evenHBand="0" w:firstRowFirstColumn="0" w:firstRowLastColumn="0" w:lastRowFirstColumn="0" w:lastRowLastColumn="0"/>
                            <w:tcW w:w="1080" w:type="dxa"/>
                          </w:tcPr>
                          <w:p w14:paraId="096F1D3B"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w:t>
                            </w:r>
                          </w:p>
                        </w:tc>
                        <w:tc>
                          <w:tcPr>
                            <w:tcW w:w="810" w:type="dxa"/>
                          </w:tcPr>
                          <w:p w14:paraId="06C10FB8" w14:textId="77777777" w:rsidR="003D14AC" w:rsidRPr="001A1E04" w:rsidRDefault="003D14AC" w:rsidP="001A1E04">
                            <w:pPr>
                              <w:pStyle w:val="ListParagraph"/>
                              <w:ind w:left="162"/>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87</w:t>
                            </w:r>
                          </w:p>
                        </w:tc>
                        <w:tc>
                          <w:tcPr>
                            <w:cnfStyle w:val="000010000000" w:firstRow="0" w:lastRow="0" w:firstColumn="0" w:lastColumn="0" w:oddVBand="1" w:evenVBand="0" w:oddHBand="0" w:evenHBand="0" w:firstRowFirstColumn="0" w:firstRowLastColumn="0" w:lastRowFirstColumn="0" w:lastRowLastColumn="0"/>
                            <w:tcW w:w="1044" w:type="dxa"/>
                          </w:tcPr>
                          <w:p w14:paraId="3784AA8F"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4</w:t>
                            </w:r>
                          </w:p>
                        </w:tc>
                      </w:tr>
                      <w:tr w:rsidR="003D14AC" w:rsidRPr="001A1E04" w14:paraId="683FED7B" w14:textId="77777777" w:rsidTr="00194A70">
                        <w:trPr>
                          <w:trHeight w:val="339"/>
                        </w:trPr>
                        <w:tc>
                          <w:tcPr>
                            <w:cnfStyle w:val="000010000000" w:firstRow="0" w:lastRow="0" w:firstColumn="0" w:lastColumn="0" w:oddVBand="1" w:evenVBand="0" w:oddHBand="0" w:evenHBand="0" w:firstRowFirstColumn="0" w:firstRowLastColumn="0" w:lastRowFirstColumn="0" w:lastRowLastColumn="0"/>
                            <w:tcW w:w="6588" w:type="dxa"/>
                          </w:tcPr>
                          <w:p w14:paraId="6BDA1BCB" w14:textId="3A0BFF7F" w:rsidR="003D14AC" w:rsidRPr="001A1E04" w:rsidRDefault="003D14AC" w:rsidP="001A1E04">
                            <w:pPr>
                              <w:pStyle w:val="ListParagraph"/>
                              <w:ind w:left="0"/>
                              <w:jc w:val="both"/>
                              <w:rPr>
                                <w:rFonts w:ascii="Times New Roman" w:hAnsi="Times New Roman"/>
                                <w:sz w:val="21"/>
                                <w:szCs w:val="21"/>
                              </w:rPr>
                            </w:pPr>
                            <w:r w:rsidRPr="001A1E04">
                              <w:rPr>
                                <w:rFonts w:ascii="Times New Roman" w:hAnsi="Times New Roman"/>
                                <w:sz w:val="21"/>
                                <w:szCs w:val="21"/>
                              </w:rPr>
                              <w:tab/>
                              <w:t>Othe</w:t>
                            </w:r>
                            <w:r>
                              <w:rPr>
                                <w:rFonts w:ascii="Times New Roman" w:hAnsi="Times New Roman"/>
                                <w:sz w:val="21"/>
                                <w:szCs w:val="21"/>
                              </w:rPr>
                              <w:t>r Services (except Public Administration</w:t>
                            </w:r>
                            <w:r w:rsidRPr="001A1E04">
                              <w:rPr>
                                <w:rFonts w:ascii="Times New Roman" w:hAnsi="Times New Roman"/>
                                <w:sz w:val="21"/>
                                <w:szCs w:val="21"/>
                              </w:rPr>
                              <w:t>)</w:t>
                            </w:r>
                          </w:p>
                        </w:tc>
                        <w:tc>
                          <w:tcPr>
                            <w:tcW w:w="1170" w:type="dxa"/>
                          </w:tcPr>
                          <w:p w14:paraId="29693242"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1,827</w:t>
                            </w:r>
                          </w:p>
                        </w:tc>
                        <w:tc>
                          <w:tcPr>
                            <w:cnfStyle w:val="000010000000" w:firstRow="0" w:lastRow="0" w:firstColumn="0" w:lastColumn="0" w:oddVBand="1" w:evenVBand="0" w:oddHBand="0" w:evenHBand="0" w:firstRowFirstColumn="0" w:firstRowLastColumn="0" w:lastRowFirstColumn="0" w:lastRowLastColumn="0"/>
                            <w:tcW w:w="1080" w:type="dxa"/>
                          </w:tcPr>
                          <w:p w14:paraId="43B9DD0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3</w:t>
                            </w:r>
                          </w:p>
                        </w:tc>
                        <w:tc>
                          <w:tcPr>
                            <w:tcW w:w="810" w:type="dxa"/>
                          </w:tcPr>
                          <w:p w14:paraId="4C612138" w14:textId="77777777" w:rsidR="003D14AC" w:rsidRPr="001A1E04" w:rsidRDefault="003D14AC" w:rsidP="001A1E04">
                            <w:pPr>
                              <w:pStyle w:val="ListParagraph"/>
                              <w:ind w:left="162"/>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rPr>
                            </w:pPr>
                            <w:r w:rsidRPr="001A1E04">
                              <w:rPr>
                                <w:rFonts w:ascii="Times New Roman" w:hAnsi="Times New Roman"/>
                                <w:sz w:val="21"/>
                                <w:szCs w:val="21"/>
                              </w:rPr>
                              <w:t>77</w:t>
                            </w:r>
                          </w:p>
                        </w:tc>
                        <w:tc>
                          <w:tcPr>
                            <w:cnfStyle w:val="000010000000" w:firstRow="0" w:lastRow="0" w:firstColumn="0" w:lastColumn="0" w:oddVBand="1" w:evenVBand="0" w:oddHBand="0" w:evenHBand="0" w:firstRowFirstColumn="0" w:firstRowLastColumn="0" w:lastRowFirstColumn="0" w:lastRowLastColumn="0"/>
                            <w:tcW w:w="1044" w:type="dxa"/>
                          </w:tcPr>
                          <w:p w14:paraId="45444CB7" w14:textId="77777777" w:rsidR="003D14AC" w:rsidRPr="001A1E04" w:rsidRDefault="003D14AC" w:rsidP="001A1E04">
                            <w:pPr>
                              <w:pStyle w:val="ListParagraph"/>
                              <w:ind w:left="162"/>
                              <w:jc w:val="right"/>
                              <w:rPr>
                                <w:rFonts w:ascii="Times New Roman" w:hAnsi="Times New Roman"/>
                                <w:sz w:val="21"/>
                                <w:szCs w:val="21"/>
                              </w:rPr>
                            </w:pPr>
                            <w:r w:rsidRPr="001A1E04">
                              <w:rPr>
                                <w:rFonts w:ascii="Times New Roman" w:hAnsi="Times New Roman"/>
                                <w:sz w:val="21"/>
                                <w:szCs w:val="21"/>
                              </w:rPr>
                              <w:t>4</w:t>
                            </w:r>
                          </w:p>
                        </w:tc>
                      </w:tr>
                    </w:tbl>
                    <w:p w14:paraId="77868230" w14:textId="77777777" w:rsidR="003D14AC" w:rsidRDefault="003D14AC" w:rsidP="001C614D"/>
                  </w:txbxContent>
                </v:textbox>
                <w10:wrap type="topAndBottom"/>
              </v:shape>
            </w:pict>
          </mc:Fallback>
        </mc:AlternateContent>
      </w:r>
      <w:bookmarkEnd w:id="41"/>
    </w:p>
    <w:p w14:paraId="1C9DE7AE" w14:textId="77777777" w:rsidR="001C614D" w:rsidRPr="004A0C12" w:rsidRDefault="001C614D" w:rsidP="001A1E04">
      <w:pPr>
        <w:pStyle w:val="Heading3"/>
        <w:spacing w:before="0" w:line="240" w:lineRule="auto"/>
        <w:rPr>
          <w:rFonts w:ascii="Garamond" w:hAnsi="Garamond"/>
        </w:rPr>
      </w:pPr>
    </w:p>
    <w:p w14:paraId="70CDB595" w14:textId="77777777" w:rsidR="0074457B" w:rsidRPr="00B60621" w:rsidRDefault="0074457B" w:rsidP="0074457B">
      <w:pPr>
        <w:pStyle w:val="Heading2"/>
        <w:rPr>
          <w:rFonts w:ascii="Garamond" w:hAnsi="Garamond"/>
          <w:sz w:val="24"/>
          <w:szCs w:val="24"/>
        </w:rPr>
      </w:pPr>
      <w:bookmarkStart w:id="42" w:name="_Toc447276097"/>
      <w:r w:rsidRPr="00B60621">
        <w:rPr>
          <w:rFonts w:ascii="Garamond" w:hAnsi="Garamond"/>
          <w:sz w:val="24"/>
          <w:szCs w:val="24"/>
        </w:rPr>
        <w:t>TANF Program</w:t>
      </w:r>
      <w:bookmarkEnd w:id="42"/>
    </w:p>
    <w:p w14:paraId="1EBBF7E3" w14:textId="3C5065D6" w:rsidR="001A1E04" w:rsidRPr="00B60621" w:rsidRDefault="00194A70" w:rsidP="0074457B">
      <w:pPr>
        <w:pStyle w:val="Heading4"/>
        <w:rPr>
          <w:rFonts w:ascii="Garamond" w:hAnsi="Garamond"/>
          <w:sz w:val="24"/>
          <w:szCs w:val="24"/>
        </w:rPr>
      </w:pPr>
      <w:r w:rsidRPr="00B60621">
        <w:rPr>
          <w:rFonts w:ascii="Garamond" w:hAnsi="Garamond"/>
          <w:sz w:val="24"/>
          <w:szCs w:val="24"/>
        </w:rPr>
        <w:t>Short-T</w:t>
      </w:r>
      <w:r w:rsidR="001A1E04" w:rsidRPr="00B60621">
        <w:rPr>
          <w:rFonts w:ascii="Garamond" w:hAnsi="Garamond"/>
          <w:sz w:val="24"/>
          <w:szCs w:val="24"/>
        </w:rPr>
        <w:t>erm Employment &amp; Earnings Outcomes</w:t>
      </w:r>
    </w:p>
    <w:p w14:paraId="2C218287" w14:textId="77777777" w:rsidR="001A1E04" w:rsidRPr="004A0C12" w:rsidRDefault="001A1E04" w:rsidP="00CC66F0">
      <w:pPr>
        <w:spacing w:after="0" w:line="240" w:lineRule="auto"/>
        <w:jc w:val="both"/>
        <w:rPr>
          <w:rFonts w:ascii="Garamond" w:hAnsi="Garamond"/>
        </w:rPr>
      </w:pPr>
      <w:r w:rsidRPr="004A0C12">
        <w:rPr>
          <w:rFonts w:ascii="Garamond" w:hAnsi="Garamond"/>
        </w:rPr>
        <w:t>TANF’s federal performance measure focuses on the percent of work-eligible clients that are engaged in work-related activities intended to prepare them for employment. These activities can include job search, work experience, subsidized employment, and on-the-job training among others. In order to gauge the impact of these activities on recipients, Maryland also examines employment outcome measures, such as the percent of work-eligible clients with employment after they exit the TANF program. The following table examines the employment and earnings of work-eligible clients in the year before and the year after their cash assistance receipt.</w:t>
      </w:r>
    </w:p>
    <w:p w14:paraId="1C993E53" w14:textId="77777777" w:rsidR="001C614D" w:rsidRPr="004A0C12" w:rsidRDefault="001C614D" w:rsidP="00CC66F0">
      <w:pPr>
        <w:spacing w:after="0" w:line="240" w:lineRule="auto"/>
        <w:jc w:val="both"/>
        <w:rPr>
          <w:rFonts w:ascii="Garamond" w:hAnsi="Garamond"/>
          <w:b/>
        </w:rPr>
      </w:pPr>
    </w:p>
    <w:p w14:paraId="3DF8C25B" w14:textId="52E09C77" w:rsidR="001A1E04" w:rsidRPr="004A0C12" w:rsidRDefault="001A1E04" w:rsidP="00CC66F0">
      <w:pPr>
        <w:spacing w:after="0" w:line="240" w:lineRule="auto"/>
        <w:jc w:val="both"/>
        <w:rPr>
          <w:rFonts w:ascii="Garamond" w:hAnsi="Garamond"/>
        </w:rPr>
      </w:pPr>
      <w:r w:rsidRPr="004A0C12">
        <w:rPr>
          <w:rFonts w:ascii="Garamond" w:hAnsi="Garamond"/>
          <w:b/>
        </w:rPr>
        <w:t>Population:</w:t>
      </w:r>
      <w:r w:rsidRPr="004A0C12">
        <w:rPr>
          <w:rFonts w:ascii="Garamond" w:hAnsi="Garamond"/>
        </w:rPr>
        <w:t xml:space="preserve"> Work-eligible TANF clients who exited</w:t>
      </w:r>
      <w:r w:rsidR="00194A70" w:rsidRPr="004A0C12">
        <w:rPr>
          <w:rFonts w:ascii="Garamond" w:hAnsi="Garamond"/>
        </w:rPr>
        <w:t xml:space="preserve"> the</w:t>
      </w:r>
      <w:r w:rsidRPr="004A0C12">
        <w:rPr>
          <w:rFonts w:ascii="Garamond" w:hAnsi="Garamond"/>
        </w:rPr>
        <w:t xml:space="preserve"> cash assistance</w:t>
      </w:r>
      <w:r w:rsidR="00194A70" w:rsidRPr="004A0C12">
        <w:rPr>
          <w:rFonts w:ascii="Garamond" w:hAnsi="Garamond"/>
        </w:rPr>
        <w:t xml:space="preserve"> program</w:t>
      </w:r>
      <w:r w:rsidRPr="004A0C12">
        <w:rPr>
          <w:rFonts w:ascii="Garamond" w:hAnsi="Garamond"/>
        </w:rPr>
        <w:t xml:space="preserve"> between October 2013 and June 2014 (n=11,340). Most of these individuals were unemployed </w:t>
      </w:r>
      <w:r w:rsidR="00194A70" w:rsidRPr="004A0C12">
        <w:rPr>
          <w:rFonts w:ascii="Garamond" w:hAnsi="Garamond"/>
        </w:rPr>
        <w:t>while receiving TANF; only 14.4 percent</w:t>
      </w:r>
      <w:r w:rsidRPr="004A0C12">
        <w:rPr>
          <w:rFonts w:ascii="Garamond" w:hAnsi="Garamond"/>
        </w:rPr>
        <w:t xml:space="preserve"> (n=1,639) had earnings below the eligibility threshold while they were cash assistance recipients.</w:t>
      </w:r>
    </w:p>
    <w:p w14:paraId="735FA4F8" w14:textId="77777777" w:rsidR="00194A70" w:rsidRPr="004A0C12" w:rsidRDefault="00194A70" w:rsidP="00CC66F0">
      <w:pPr>
        <w:spacing w:after="0" w:line="240" w:lineRule="auto"/>
        <w:jc w:val="both"/>
        <w:rPr>
          <w:rFonts w:ascii="Garamond" w:hAnsi="Garamond"/>
          <w:b/>
        </w:rPr>
      </w:pPr>
    </w:p>
    <w:p w14:paraId="0B44EC7C" w14:textId="29ABC76C" w:rsidR="001A1E04" w:rsidRPr="004A0C12" w:rsidRDefault="001A1E04" w:rsidP="00CC66F0">
      <w:pPr>
        <w:spacing w:after="0" w:line="240" w:lineRule="auto"/>
        <w:jc w:val="both"/>
        <w:rPr>
          <w:rFonts w:ascii="Garamond" w:hAnsi="Garamond"/>
        </w:rPr>
      </w:pPr>
      <w:r w:rsidRPr="004A0C12">
        <w:rPr>
          <w:rFonts w:ascii="Garamond" w:hAnsi="Garamond"/>
          <w:b/>
        </w:rPr>
        <w:lastRenderedPageBreak/>
        <w:t>Employment before and after TANF receipt:</w:t>
      </w:r>
      <w:r w:rsidR="00194A70" w:rsidRPr="004A0C12">
        <w:rPr>
          <w:rFonts w:ascii="Garamond" w:hAnsi="Garamond"/>
        </w:rPr>
        <w:t xml:space="preserve"> About half (52 percent</w:t>
      </w:r>
      <w:r w:rsidRPr="004A0C12">
        <w:rPr>
          <w:rFonts w:ascii="Garamond" w:hAnsi="Garamond"/>
        </w:rPr>
        <w:t xml:space="preserve">) of work-eligible TANF clients worked in the year before they began receiving TANF, </w:t>
      </w:r>
      <w:r w:rsidR="00194A70" w:rsidRPr="004A0C12">
        <w:rPr>
          <w:rFonts w:ascii="Garamond" w:hAnsi="Garamond"/>
        </w:rPr>
        <w:t>and more than three in five (62 percent</w:t>
      </w:r>
      <w:r w:rsidRPr="004A0C12">
        <w:rPr>
          <w:rFonts w:ascii="Garamond" w:hAnsi="Garamond"/>
        </w:rPr>
        <w:t>) worked in the year after they exited the program.</w:t>
      </w:r>
    </w:p>
    <w:p w14:paraId="6E311933" w14:textId="77777777" w:rsidR="001A1E04" w:rsidRPr="004A0C12" w:rsidRDefault="001A1E04" w:rsidP="00CC66F0">
      <w:pPr>
        <w:spacing w:after="0" w:line="240" w:lineRule="auto"/>
        <w:jc w:val="both"/>
        <w:rPr>
          <w:rFonts w:ascii="Garamond" w:hAnsi="Garamond"/>
          <w:b/>
        </w:rPr>
      </w:pPr>
    </w:p>
    <w:p w14:paraId="6CA0B6A8" w14:textId="77777777" w:rsidR="001A1E04" w:rsidRPr="004A0C12" w:rsidRDefault="001A1E04" w:rsidP="00CC66F0">
      <w:pPr>
        <w:spacing w:after="0" w:line="240" w:lineRule="auto"/>
        <w:jc w:val="both"/>
        <w:rPr>
          <w:rFonts w:ascii="Garamond" w:hAnsi="Garamond"/>
        </w:rPr>
      </w:pPr>
      <w:r w:rsidRPr="004A0C12">
        <w:rPr>
          <w:rFonts w:ascii="Garamond" w:hAnsi="Garamond"/>
          <w:b/>
        </w:rPr>
        <w:t xml:space="preserve">Earnings before and after TANF receipt: </w:t>
      </w:r>
      <w:r w:rsidRPr="004A0C12">
        <w:rPr>
          <w:rFonts w:ascii="Garamond" w:hAnsi="Garamond"/>
        </w:rPr>
        <w:t>In the year before TANF receipt, employed work-eligible TANF clients had average annual earnings of $7,344, and among those working in the year after exiting the program, average annual earnings were nearly $3,000 more ($10,134). This translates into an increase of nearly $30 million in total earned income after clients had participated in the TANF program.</w:t>
      </w:r>
    </w:p>
    <w:p w14:paraId="6C8C320E" w14:textId="77777777" w:rsidR="001A1E04" w:rsidRPr="004A0C12" w:rsidRDefault="001A1E04" w:rsidP="00CC66F0">
      <w:pPr>
        <w:spacing w:after="0" w:line="240" w:lineRule="auto"/>
        <w:jc w:val="both"/>
        <w:rPr>
          <w:rFonts w:ascii="Garamond" w:hAnsi="Garamond"/>
          <w:b/>
        </w:rPr>
      </w:pPr>
    </w:p>
    <w:p w14:paraId="596939FF" w14:textId="3CD00B38" w:rsidR="001A1E04" w:rsidRPr="004A0C12" w:rsidRDefault="001A1E04" w:rsidP="00CC66F0">
      <w:pPr>
        <w:spacing w:after="0" w:line="240" w:lineRule="auto"/>
        <w:jc w:val="both"/>
        <w:rPr>
          <w:rFonts w:ascii="Garamond" w:hAnsi="Garamond"/>
        </w:rPr>
      </w:pPr>
      <w:r w:rsidRPr="004A0C12">
        <w:rPr>
          <w:rFonts w:ascii="Garamond" w:hAnsi="Garamond"/>
          <w:b/>
        </w:rPr>
        <w:t>Strength of the TANF work program:</w:t>
      </w:r>
      <w:r w:rsidRPr="004A0C12">
        <w:rPr>
          <w:rFonts w:ascii="Garamond" w:hAnsi="Garamond"/>
        </w:rPr>
        <w:t xml:space="preserve"> Maryland’s TANF program is able to assist clients in returning to the workforce. Additionally, clients typically receive higher earnings after TANF participation. One of the goals of the TANF program is to end the dependence of needy parents on government benefits by promoting job preparation, work, and marriage. </w:t>
      </w:r>
      <w:proofErr w:type="gramStart"/>
      <w:r w:rsidRPr="004A0C12">
        <w:rPr>
          <w:rFonts w:ascii="Garamond" w:hAnsi="Garamond"/>
        </w:rPr>
        <w:t xml:space="preserve">Based on this analysis, employment increased by 10 percentage points after TANF receipt, and </w:t>
      </w:r>
      <w:r w:rsidR="00194A70" w:rsidRPr="004A0C12">
        <w:rPr>
          <w:rFonts w:ascii="Garamond" w:hAnsi="Garamond"/>
        </w:rPr>
        <w:t>earnings increased by nearly 40 percent</w:t>
      </w:r>
      <w:r w:rsidRPr="004A0C12">
        <w:rPr>
          <w:rFonts w:ascii="Garamond" w:hAnsi="Garamond"/>
        </w:rPr>
        <w:t>.</w:t>
      </w:r>
      <w:proofErr w:type="gramEnd"/>
    </w:p>
    <w:p w14:paraId="34E2CFAB" w14:textId="77777777" w:rsidR="001C614D" w:rsidRPr="004A0C12" w:rsidRDefault="001C614D" w:rsidP="001C614D">
      <w:pPr>
        <w:spacing w:after="0" w:line="240" w:lineRule="auto"/>
        <w:jc w:val="center"/>
        <w:rPr>
          <w:rFonts w:ascii="Garamond" w:hAnsi="Garamond"/>
          <w:b/>
        </w:rPr>
      </w:pPr>
    </w:p>
    <w:p w14:paraId="7C459967" w14:textId="77777777" w:rsidR="001A1E04" w:rsidRPr="004A0C12" w:rsidRDefault="001A1E04" w:rsidP="001C614D">
      <w:pPr>
        <w:spacing w:after="0" w:line="240" w:lineRule="auto"/>
        <w:jc w:val="center"/>
        <w:rPr>
          <w:rFonts w:ascii="Garamond" w:hAnsi="Garamond"/>
          <w:b/>
        </w:rPr>
      </w:pPr>
      <w:r w:rsidRPr="004A0C12">
        <w:rPr>
          <w:rFonts w:ascii="Garamond" w:hAnsi="Garamond"/>
          <w:b/>
        </w:rPr>
        <w:t>Employment &amp; Earnings Before &amp; After TANF Participation</w:t>
      </w:r>
    </w:p>
    <w:tbl>
      <w:tblPr>
        <w:tblStyle w:val="PlainTable11"/>
        <w:tblW w:w="10975" w:type="dxa"/>
        <w:tblLook w:val="04A0" w:firstRow="1" w:lastRow="0" w:firstColumn="1" w:lastColumn="0" w:noHBand="0" w:noVBand="1"/>
        <w:tblCaption w:val="Employment &amp; Earnings Before &amp; After TANF Participation"/>
        <w:tblDescription w:val="For the year before TANF receipt, this chart shows 52.4% (5,932) were working with an average earnings of $7,344, and Total Earnings of $43.5 million. For the year after TANF receipt, this chart shows 62.1% (7,044) were working with an average earnings of $10,134 and Total Earnings of $71.3 million. "/>
      </w:tblPr>
      <w:tblGrid>
        <w:gridCol w:w="2860"/>
        <w:gridCol w:w="1958"/>
        <w:gridCol w:w="2135"/>
        <w:gridCol w:w="2136"/>
        <w:gridCol w:w="1886"/>
      </w:tblGrid>
      <w:tr w:rsidR="001A1E04" w:rsidRPr="004A0C12" w14:paraId="59729B45" w14:textId="77777777" w:rsidTr="00847A0D">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2860" w:type="dxa"/>
          </w:tcPr>
          <w:p w14:paraId="151AECCC" w14:textId="77777777" w:rsidR="001A1E04" w:rsidRPr="004A0C12" w:rsidRDefault="001A1E04" w:rsidP="001C614D">
            <w:pPr>
              <w:rPr>
                <w:rFonts w:ascii="Garamond" w:hAnsi="Garamond"/>
                <w:sz w:val="22"/>
                <w:szCs w:val="22"/>
              </w:rPr>
            </w:pPr>
          </w:p>
        </w:tc>
        <w:tc>
          <w:tcPr>
            <w:tcW w:w="1958" w:type="dxa"/>
          </w:tcPr>
          <w:p w14:paraId="44FB02A2"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Percent Working</w:t>
            </w:r>
          </w:p>
        </w:tc>
        <w:tc>
          <w:tcPr>
            <w:tcW w:w="2135" w:type="dxa"/>
          </w:tcPr>
          <w:p w14:paraId="6CA0E75A"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Number Working</w:t>
            </w:r>
          </w:p>
        </w:tc>
        <w:tc>
          <w:tcPr>
            <w:tcW w:w="2136" w:type="dxa"/>
          </w:tcPr>
          <w:p w14:paraId="73D8541D"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Average Earnings</w:t>
            </w:r>
          </w:p>
        </w:tc>
        <w:tc>
          <w:tcPr>
            <w:tcW w:w="1886" w:type="dxa"/>
          </w:tcPr>
          <w:p w14:paraId="4D1FD671"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Total Earnings</w:t>
            </w:r>
          </w:p>
        </w:tc>
      </w:tr>
      <w:tr w:rsidR="001A1E04" w:rsidRPr="004A0C12" w14:paraId="001E7E79" w14:textId="77777777" w:rsidTr="00194A7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2860" w:type="dxa"/>
          </w:tcPr>
          <w:p w14:paraId="1CBB8753" w14:textId="77777777" w:rsidR="001A1E04" w:rsidRPr="004A0C12" w:rsidRDefault="001A1E04" w:rsidP="001C614D">
            <w:pPr>
              <w:rPr>
                <w:rFonts w:ascii="Garamond" w:hAnsi="Garamond"/>
                <w:sz w:val="22"/>
                <w:szCs w:val="22"/>
              </w:rPr>
            </w:pPr>
            <w:r w:rsidRPr="004A0C12">
              <w:rPr>
                <w:rFonts w:ascii="Garamond" w:hAnsi="Garamond"/>
                <w:sz w:val="22"/>
                <w:szCs w:val="22"/>
              </w:rPr>
              <w:t>Year before TANF receipt</w:t>
            </w:r>
          </w:p>
        </w:tc>
        <w:tc>
          <w:tcPr>
            <w:tcW w:w="1958" w:type="dxa"/>
          </w:tcPr>
          <w:p w14:paraId="61434C26"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52.4%</w:t>
            </w:r>
          </w:p>
        </w:tc>
        <w:tc>
          <w:tcPr>
            <w:tcW w:w="2135" w:type="dxa"/>
          </w:tcPr>
          <w:p w14:paraId="6DCD3534"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5,932</w:t>
            </w:r>
          </w:p>
        </w:tc>
        <w:tc>
          <w:tcPr>
            <w:tcW w:w="2136" w:type="dxa"/>
          </w:tcPr>
          <w:p w14:paraId="747EFF34"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$7,344</w:t>
            </w:r>
          </w:p>
        </w:tc>
        <w:tc>
          <w:tcPr>
            <w:tcW w:w="1886" w:type="dxa"/>
          </w:tcPr>
          <w:p w14:paraId="47115CB6"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$43.5 million</w:t>
            </w:r>
          </w:p>
        </w:tc>
      </w:tr>
      <w:tr w:rsidR="001A1E04" w:rsidRPr="004A0C12" w14:paraId="6173CE4C" w14:textId="77777777" w:rsidTr="00194A70">
        <w:trPr>
          <w:trHeight w:val="232"/>
        </w:trPr>
        <w:tc>
          <w:tcPr>
            <w:cnfStyle w:val="001000000000" w:firstRow="0" w:lastRow="0" w:firstColumn="1" w:lastColumn="0" w:oddVBand="0" w:evenVBand="0" w:oddHBand="0" w:evenHBand="0" w:firstRowFirstColumn="0" w:firstRowLastColumn="0" w:lastRowFirstColumn="0" w:lastRowLastColumn="0"/>
            <w:tcW w:w="2860" w:type="dxa"/>
          </w:tcPr>
          <w:p w14:paraId="2CE69EF5" w14:textId="77777777" w:rsidR="001A1E04" w:rsidRPr="004A0C12" w:rsidRDefault="001A1E04" w:rsidP="001C614D">
            <w:pPr>
              <w:rPr>
                <w:rFonts w:ascii="Garamond" w:hAnsi="Garamond"/>
                <w:sz w:val="22"/>
                <w:szCs w:val="22"/>
              </w:rPr>
            </w:pPr>
            <w:r w:rsidRPr="004A0C12">
              <w:rPr>
                <w:rFonts w:ascii="Garamond" w:hAnsi="Garamond"/>
                <w:sz w:val="22"/>
                <w:szCs w:val="22"/>
              </w:rPr>
              <w:t>Year after TANF receipt</w:t>
            </w:r>
          </w:p>
        </w:tc>
        <w:tc>
          <w:tcPr>
            <w:tcW w:w="1958" w:type="dxa"/>
          </w:tcPr>
          <w:p w14:paraId="266CDCEC"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62.1%</w:t>
            </w:r>
          </w:p>
        </w:tc>
        <w:tc>
          <w:tcPr>
            <w:tcW w:w="2135" w:type="dxa"/>
          </w:tcPr>
          <w:p w14:paraId="39640946"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7,044</w:t>
            </w:r>
          </w:p>
        </w:tc>
        <w:tc>
          <w:tcPr>
            <w:tcW w:w="2136" w:type="dxa"/>
          </w:tcPr>
          <w:p w14:paraId="4DC49D78"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$10,134</w:t>
            </w:r>
          </w:p>
        </w:tc>
        <w:tc>
          <w:tcPr>
            <w:tcW w:w="1886" w:type="dxa"/>
          </w:tcPr>
          <w:p w14:paraId="0AD9D2AC"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$71.3 million</w:t>
            </w:r>
          </w:p>
        </w:tc>
      </w:tr>
    </w:tbl>
    <w:p w14:paraId="32BE3431" w14:textId="77777777" w:rsidR="001C614D" w:rsidRPr="004A0C12" w:rsidRDefault="001C614D" w:rsidP="001C614D">
      <w:pPr>
        <w:spacing w:after="0" w:line="240" w:lineRule="auto"/>
        <w:rPr>
          <w:rFonts w:ascii="Garamond" w:hAnsi="Garamond"/>
          <w:b/>
        </w:rPr>
      </w:pPr>
    </w:p>
    <w:p w14:paraId="016D7B64" w14:textId="6A547FD4" w:rsidR="001C614D" w:rsidRPr="004A0C12" w:rsidRDefault="001A1E04" w:rsidP="001C614D">
      <w:pPr>
        <w:spacing w:after="0" w:line="240" w:lineRule="auto"/>
        <w:rPr>
          <w:rFonts w:ascii="Garamond" w:hAnsi="Garamond"/>
        </w:rPr>
      </w:pPr>
      <w:r w:rsidRPr="004A0C12">
        <w:rPr>
          <w:rFonts w:ascii="Garamond" w:hAnsi="Garamond"/>
          <w:b/>
        </w:rPr>
        <w:t>Note:</w:t>
      </w:r>
      <w:r w:rsidRPr="004A0C12">
        <w:rPr>
          <w:rFonts w:ascii="Garamond" w:hAnsi="Garamond"/>
        </w:rPr>
        <w:t xml:space="preserve"> Includes work-eligible clients with a TANF case closure between October 2013 and June 2014 (n=11,340). Earnings figures exclude clients without any employment in the year before or after TANF receipt and are standardized to 2015 dollars.</w:t>
      </w:r>
    </w:p>
    <w:p w14:paraId="60235D74" w14:textId="77777777" w:rsidR="001A1E04" w:rsidRPr="00B60621" w:rsidRDefault="001A1E04" w:rsidP="0074457B">
      <w:pPr>
        <w:pStyle w:val="Heading4"/>
        <w:rPr>
          <w:rFonts w:ascii="Garamond" w:hAnsi="Garamond"/>
          <w:sz w:val="24"/>
          <w:szCs w:val="24"/>
        </w:rPr>
      </w:pPr>
      <w:r w:rsidRPr="00B60621">
        <w:rPr>
          <w:rFonts w:ascii="Garamond" w:hAnsi="Garamond"/>
          <w:sz w:val="24"/>
          <w:szCs w:val="24"/>
        </w:rPr>
        <w:t>Five-Year Employment &amp; Earnings Outcomes</w:t>
      </w:r>
    </w:p>
    <w:p w14:paraId="47C518D6" w14:textId="5D009380" w:rsidR="001A1E04" w:rsidRPr="004A0C12" w:rsidRDefault="001A1E04" w:rsidP="00CC66F0">
      <w:pPr>
        <w:spacing w:after="0" w:line="240" w:lineRule="auto"/>
        <w:jc w:val="both"/>
        <w:rPr>
          <w:rFonts w:ascii="Garamond" w:hAnsi="Garamond"/>
        </w:rPr>
      </w:pPr>
      <w:r w:rsidRPr="004A0C12">
        <w:rPr>
          <w:rFonts w:ascii="Garamond" w:hAnsi="Garamond"/>
        </w:rPr>
        <w:t>The following two tables examine em</w:t>
      </w:r>
      <w:r w:rsidR="00194A70" w:rsidRPr="004A0C12">
        <w:rPr>
          <w:rFonts w:ascii="Garamond" w:hAnsi="Garamond"/>
        </w:rPr>
        <w:t>ployment and earnings among a 5 percent</w:t>
      </w:r>
      <w:r w:rsidRPr="004A0C12">
        <w:rPr>
          <w:rFonts w:ascii="Garamond" w:hAnsi="Garamond"/>
        </w:rPr>
        <w:t xml:space="preserve"> random sample of TANF clients, excluding child-only cases, who exited cash assistance between December 2001 and March 2009 (n=4,767). Clients are categorized into groups based on their employment and earnings in the first five years after exit. </w:t>
      </w:r>
    </w:p>
    <w:p w14:paraId="6F56AC0C" w14:textId="77777777" w:rsidR="001C614D" w:rsidRPr="004A0C12" w:rsidRDefault="001C614D" w:rsidP="00CC66F0">
      <w:pPr>
        <w:spacing w:after="0" w:line="240" w:lineRule="auto"/>
        <w:jc w:val="both"/>
        <w:rPr>
          <w:rFonts w:ascii="Garamond" w:hAnsi="Garamond"/>
          <w:b/>
        </w:rPr>
      </w:pPr>
    </w:p>
    <w:p w14:paraId="6B132E2F" w14:textId="1233EAF9" w:rsidR="001A1E04" w:rsidRPr="004A0C12" w:rsidRDefault="001A1E04" w:rsidP="00CC66F0">
      <w:pPr>
        <w:spacing w:after="0" w:line="240" w:lineRule="auto"/>
        <w:jc w:val="both"/>
        <w:rPr>
          <w:rFonts w:ascii="Garamond" w:hAnsi="Garamond"/>
        </w:rPr>
      </w:pPr>
      <w:r w:rsidRPr="004A0C12">
        <w:rPr>
          <w:rFonts w:ascii="Garamond" w:hAnsi="Garamond"/>
          <w:b/>
        </w:rPr>
        <w:t xml:space="preserve">Employment five years after TANF receipt: </w:t>
      </w:r>
      <w:r w:rsidRPr="004A0C12">
        <w:rPr>
          <w:rFonts w:ascii="Garamond" w:hAnsi="Garamond"/>
        </w:rPr>
        <w:t>On</w:t>
      </w:r>
      <w:r w:rsidR="00194A70" w:rsidRPr="004A0C12">
        <w:rPr>
          <w:rFonts w:ascii="Garamond" w:hAnsi="Garamond"/>
        </w:rPr>
        <w:t>e in five (21.6 percent</w:t>
      </w:r>
      <w:r w:rsidRPr="004A0C12">
        <w:rPr>
          <w:rFonts w:ascii="Garamond" w:hAnsi="Garamond"/>
        </w:rPr>
        <w:t xml:space="preserve">) TANF clients </w:t>
      </w:r>
      <w:proofErr w:type="gramStart"/>
      <w:r w:rsidRPr="004A0C12">
        <w:rPr>
          <w:rFonts w:ascii="Garamond" w:hAnsi="Garamond"/>
        </w:rPr>
        <w:t>were</w:t>
      </w:r>
      <w:proofErr w:type="gramEnd"/>
      <w:r w:rsidRPr="004A0C12">
        <w:rPr>
          <w:rFonts w:ascii="Garamond" w:hAnsi="Garamond"/>
        </w:rPr>
        <w:t xml:space="preserve"> able to maintain stable employment during the five years after exiting TANF. Considering the changes in the economy during this period, this is a significant accomplishment</w:t>
      </w:r>
      <w:r w:rsidR="00194A70" w:rsidRPr="004A0C12">
        <w:rPr>
          <w:rFonts w:ascii="Garamond" w:hAnsi="Garamond"/>
        </w:rPr>
        <w:t>; fewer than one in three (30.2 percent</w:t>
      </w:r>
      <w:r w:rsidRPr="004A0C12">
        <w:rPr>
          <w:rFonts w:ascii="Garamond" w:hAnsi="Garamond"/>
        </w:rPr>
        <w:t>) of these clients returned to welfare during those five years. However, clients with decreasing o</w:t>
      </w:r>
      <w:r w:rsidR="00194A70" w:rsidRPr="004A0C12">
        <w:rPr>
          <w:rFonts w:ascii="Garamond" w:hAnsi="Garamond"/>
        </w:rPr>
        <w:t>r low employment outcomes (29.3 percent</w:t>
      </w:r>
      <w:r w:rsidRPr="004A0C12">
        <w:rPr>
          <w:rFonts w:ascii="Garamond" w:hAnsi="Garamond"/>
        </w:rPr>
        <w:t>) were substantially more likely to return to TANF wit</w:t>
      </w:r>
      <w:r w:rsidR="00194A70" w:rsidRPr="004A0C12">
        <w:rPr>
          <w:rFonts w:ascii="Garamond" w:hAnsi="Garamond"/>
        </w:rPr>
        <w:t>hin five years after exit (64.5 percent</w:t>
      </w:r>
      <w:r w:rsidRPr="004A0C12">
        <w:rPr>
          <w:rFonts w:ascii="Garamond" w:hAnsi="Garamond"/>
        </w:rPr>
        <w:t>). One major difference between these two groups of clients is their educational attainment: almost three in four clien</w:t>
      </w:r>
      <w:r w:rsidR="00194A70" w:rsidRPr="004A0C12">
        <w:rPr>
          <w:rFonts w:ascii="Garamond" w:hAnsi="Garamond"/>
        </w:rPr>
        <w:t>ts with stable employment (73.1 percent</w:t>
      </w:r>
      <w:r w:rsidRPr="004A0C12">
        <w:rPr>
          <w:rFonts w:ascii="Garamond" w:hAnsi="Garamond"/>
        </w:rPr>
        <w:t>) finished high school, compared to just over half of clients with dec</w:t>
      </w:r>
      <w:r w:rsidR="00194A70" w:rsidRPr="004A0C12">
        <w:rPr>
          <w:rFonts w:ascii="Garamond" w:hAnsi="Garamond"/>
        </w:rPr>
        <w:t>reasing or low employment (53.7 percent</w:t>
      </w:r>
      <w:r w:rsidRPr="004A0C12">
        <w:rPr>
          <w:rFonts w:ascii="Garamond" w:hAnsi="Garamond"/>
        </w:rPr>
        <w:t>).</w:t>
      </w:r>
    </w:p>
    <w:p w14:paraId="59DFBB95" w14:textId="77777777" w:rsidR="001C614D" w:rsidRPr="004A0C12" w:rsidRDefault="001C614D" w:rsidP="00CC66F0">
      <w:pPr>
        <w:spacing w:after="0" w:line="240" w:lineRule="auto"/>
        <w:jc w:val="both"/>
        <w:rPr>
          <w:rFonts w:ascii="Garamond" w:hAnsi="Garamond"/>
          <w:b/>
        </w:rPr>
      </w:pPr>
    </w:p>
    <w:p w14:paraId="772C1C5E" w14:textId="0EA7DA8E" w:rsidR="001A1E04" w:rsidRPr="004A0C12" w:rsidRDefault="001A1E04" w:rsidP="00CC66F0">
      <w:pPr>
        <w:spacing w:after="0" w:line="240" w:lineRule="auto"/>
        <w:jc w:val="both"/>
        <w:rPr>
          <w:rFonts w:ascii="Garamond" w:hAnsi="Garamond"/>
        </w:rPr>
      </w:pPr>
      <w:r w:rsidRPr="004A0C12">
        <w:rPr>
          <w:rFonts w:ascii="Garamond" w:hAnsi="Garamond"/>
          <w:b/>
        </w:rPr>
        <w:t>Earnings five years after TANF receipt:</w:t>
      </w:r>
      <w:r w:rsidRPr="004A0C12">
        <w:rPr>
          <w:rFonts w:ascii="Garamond" w:hAnsi="Garamond"/>
        </w:rPr>
        <w:t xml:space="preserve"> Less than 10% of clients were able to maintain earnings above the poverty threshold for a family of three ($19,790 in 2014) for each of the five</w:t>
      </w:r>
      <w:r w:rsidR="00194A70" w:rsidRPr="004A0C12">
        <w:rPr>
          <w:rFonts w:ascii="Garamond" w:hAnsi="Garamond"/>
        </w:rPr>
        <w:t xml:space="preserve"> years after exit. Just over 10 percent</w:t>
      </w:r>
      <w:r w:rsidRPr="004A0C12">
        <w:rPr>
          <w:rFonts w:ascii="Garamond" w:hAnsi="Garamond"/>
        </w:rPr>
        <w:t xml:space="preserve"> of these individuals returned t</w:t>
      </w:r>
      <w:r w:rsidR="00194A70" w:rsidRPr="004A0C12">
        <w:rPr>
          <w:rFonts w:ascii="Garamond" w:hAnsi="Garamond"/>
        </w:rPr>
        <w:t>o TANF. On the other hand, 32.3 percent</w:t>
      </w:r>
      <w:r w:rsidRPr="004A0C12">
        <w:rPr>
          <w:rFonts w:ascii="Garamond" w:hAnsi="Garamond"/>
        </w:rPr>
        <w:t xml:space="preserve"> of clients had earnings amounting to less than 20 hours per week at the minimum wage or earnings that decreased </w:t>
      </w:r>
      <w:r w:rsidR="00194A70" w:rsidRPr="004A0C12">
        <w:rPr>
          <w:rFonts w:ascii="Garamond" w:hAnsi="Garamond"/>
        </w:rPr>
        <w:t>over the five-year period; 72.9 percent</w:t>
      </w:r>
      <w:r w:rsidRPr="004A0C12">
        <w:rPr>
          <w:rFonts w:ascii="Garamond" w:hAnsi="Garamond"/>
        </w:rPr>
        <w:t xml:space="preserve"> of these clients returned to TANF. There is a considerable difference in educational attainment between those with continuous substantial earnings and those with decr</w:t>
      </w:r>
      <w:r w:rsidR="00194A70" w:rsidRPr="004A0C12">
        <w:rPr>
          <w:rFonts w:ascii="Garamond" w:hAnsi="Garamond"/>
        </w:rPr>
        <w:t>easing or low earnings; over 80 percent</w:t>
      </w:r>
      <w:r w:rsidRPr="004A0C12">
        <w:rPr>
          <w:rFonts w:ascii="Garamond" w:hAnsi="Garamond"/>
        </w:rPr>
        <w:t xml:space="preserve"> of those with higher earnings finis</w:t>
      </w:r>
      <w:r w:rsidR="00194A70" w:rsidRPr="004A0C12">
        <w:rPr>
          <w:rFonts w:ascii="Garamond" w:hAnsi="Garamond"/>
        </w:rPr>
        <w:t>hed high school, compared to 50 percent</w:t>
      </w:r>
      <w:r w:rsidRPr="004A0C12">
        <w:rPr>
          <w:rFonts w:ascii="Garamond" w:hAnsi="Garamond"/>
        </w:rPr>
        <w:t xml:space="preserve"> of their counterparts with low or decreasing earnings.</w:t>
      </w:r>
    </w:p>
    <w:p w14:paraId="724928CC" w14:textId="77777777" w:rsidR="001A1E04" w:rsidRPr="004A0C12" w:rsidRDefault="001A1E04" w:rsidP="00CC66F0">
      <w:pPr>
        <w:spacing w:after="0" w:line="240" w:lineRule="auto"/>
        <w:jc w:val="both"/>
        <w:rPr>
          <w:rFonts w:ascii="Garamond" w:hAnsi="Garamond"/>
          <w:b/>
        </w:rPr>
      </w:pPr>
    </w:p>
    <w:p w14:paraId="7BAF149D" w14:textId="77777777" w:rsidR="001A1E04" w:rsidRPr="004A0C12" w:rsidRDefault="001A1E04" w:rsidP="00CC66F0">
      <w:pPr>
        <w:spacing w:after="0" w:line="240" w:lineRule="auto"/>
        <w:jc w:val="both"/>
        <w:rPr>
          <w:rFonts w:ascii="Garamond" w:hAnsi="Garamond"/>
        </w:rPr>
      </w:pPr>
      <w:r w:rsidRPr="004A0C12">
        <w:rPr>
          <w:rFonts w:ascii="Garamond" w:hAnsi="Garamond"/>
          <w:b/>
        </w:rPr>
        <w:t>Improving long-term outcomes:</w:t>
      </w:r>
      <w:r w:rsidRPr="004A0C12">
        <w:rPr>
          <w:rFonts w:ascii="Garamond" w:hAnsi="Garamond"/>
        </w:rPr>
        <w:t xml:space="preserve">  Some TANF clients have difficulty maintaining stable employment during the five years after their exits from TANF. Additionally, earning self-sufficient wages may be challenging for some clients. Those with decreasing or low employment or earnings were more likely to return to the TANF program for additional cash assistance than clients with stable employment or clients with earnings above the poverty threshold. It is important to note, however, that the study period includes the Great Recession, which affected the employment opportunities available to clients exiting TANF and depressed their wages. The main difference between clients who have successful long-term employment or earnings outcomes and those who do not is higher educational attainment. This suggests that additional education and training may help many TANF clients obtain stable employment and increase their earning power.</w:t>
      </w:r>
    </w:p>
    <w:p w14:paraId="06B6CAA4" w14:textId="77777777" w:rsidR="001C614D" w:rsidRPr="004A0C12" w:rsidRDefault="001C614D" w:rsidP="001C614D">
      <w:pPr>
        <w:spacing w:after="0" w:line="240" w:lineRule="auto"/>
        <w:rPr>
          <w:rFonts w:ascii="Garamond" w:hAnsi="Garamond"/>
        </w:rPr>
      </w:pPr>
    </w:p>
    <w:p w14:paraId="2D88B5F1" w14:textId="77777777" w:rsidR="001A1E04" w:rsidRPr="004A0C12" w:rsidRDefault="001A1E04" w:rsidP="001C614D">
      <w:pPr>
        <w:spacing w:after="0" w:line="240" w:lineRule="auto"/>
        <w:jc w:val="center"/>
        <w:rPr>
          <w:rFonts w:ascii="Garamond" w:hAnsi="Garamond"/>
          <w:b/>
        </w:rPr>
      </w:pPr>
      <w:r w:rsidRPr="004A0C12">
        <w:rPr>
          <w:rFonts w:ascii="Garamond" w:hAnsi="Garamond"/>
          <w:b/>
        </w:rPr>
        <w:lastRenderedPageBreak/>
        <w:t>Employment Outcomes: Five Years after Exit</w:t>
      </w:r>
    </w:p>
    <w:tbl>
      <w:tblPr>
        <w:tblStyle w:val="PlainTable11"/>
        <w:tblW w:w="11178" w:type="dxa"/>
        <w:tblLook w:val="04A0" w:firstRow="1" w:lastRow="0" w:firstColumn="1" w:lastColumn="0" w:noHBand="0" w:noVBand="1"/>
        <w:tblCaption w:val="Employment Outcomes: Five Years after Exit"/>
        <w:tblDescription w:val="This chart shows employment outcomes for TANF recipients five years after exit. For those with stable employment, 21.6% of sample were employed. 73.1% held a high school diploma and 30.2% returned to TANF within 5 years. For those with &quot;Other Employment Success,&quot; 20.9 percent of sample were employed, 62.4 percent held a high school diploma, and 61.6% returned to TANF within 5 years. For those with &quot;Decreasing or low employment,&quot; 29.3 percent of sample were employed, 53.7% held a high school diploma, and 64.5% returned to TANF within 5 years. For those with &quot;Inconsistent Pattern,&quot; 28.3% of sample were working, 57.2% held a high school diploma, and 71.7% returned to TANF within 5 years. "/>
      </w:tblPr>
      <w:tblGrid>
        <w:gridCol w:w="1908"/>
        <w:gridCol w:w="3600"/>
        <w:gridCol w:w="1350"/>
        <w:gridCol w:w="1924"/>
        <w:gridCol w:w="2396"/>
      </w:tblGrid>
      <w:tr w:rsidR="001A1E04" w:rsidRPr="004A0C12" w14:paraId="6988FCA2" w14:textId="77777777" w:rsidTr="00847A0D">
        <w:trPr>
          <w:cnfStyle w:val="100000000000" w:firstRow="1" w:lastRow="0" w:firstColumn="0" w:lastColumn="0" w:oddVBand="0" w:evenVBand="0" w:oddHBand="0" w:evenHBand="0" w:firstRowFirstColumn="0" w:firstRowLastColumn="0" w:lastRowFirstColumn="0" w:lastRowLastColumn="0"/>
          <w:trHeight w:val="722"/>
          <w:tblHeader/>
        </w:trPr>
        <w:tc>
          <w:tcPr>
            <w:cnfStyle w:val="001000000000" w:firstRow="0" w:lastRow="0" w:firstColumn="1" w:lastColumn="0" w:oddVBand="0" w:evenVBand="0" w:oddHBand="0" w:evenHBand="0" w:firstRowFirstColumn="0" w:firstRowLastColumn="0" w:lastRowFirstColumn="0" w:lastRowLastColumn="0"/>
            <w:tcW w:w="5508" w:type="dxa"/>
            <w:gridSpan w:val="2"/>
          </w:tcPr>
          <w:p w14:paraId="70B8B983" w14:textId="77777777" w:rsidR="001A1E04" w:rsidRPr="004A0C12" w:rsidRDefault="001A1E04" w:rsidP="001C614D">
            <w:pPr>
              <w:rPr>
                <w:rFonts w:ascii="Garamond" w:hAnsi="Garamond"/>
                <w:b w:val="0"/>
                <w:sz w:val="22"/>
                <w:szCs w:val="22"/>
              </w:rPr>
            </w:pPr>
          </w:p>
        </w:tc>
        <w:tc>
          <w:tcPr>
            <w:tcW w:w="1350" w:type="dxa"/>
          </w:tcPr>
          <w:p w14:paraId="79B1C40F"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Percent of Sample</w:t>
            </w:r>
          </w:p>
        </w:tc>
        <w:tc>
          <w:tcPr>
            <w:tcW w:w="1924" w:type="dxa"/>
          </w:tcPr>
          <w:p w14:paraId="33BB5BD3"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Percent with High School Diploma</w:t>
            </w:r>
          </w:p>
        </w:tc>
        <w:tc>
          <w:tcPr>
            <w:tcW w:w="2396" w:type="dxa"/>
          </w:tcPr>
          <w:p w14:paraId="35BE888B"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Percent who Return to TANF within 5 Years</w:t>
            </w:r>
          </w:p>
        </w:tc>
      </w:tr>
      <w:tr w:rsidR="001A1E04" w:rsidRPr="004A0C12" w14:paraId="04830B8F" w14:textId="77777777" w:rsidTr="00AE52EE">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1908" w:type="dxa"/>
          </w:tcPr>
          <w:p w14:paraId="4750BF46" w14:textId="77777777" w:rsidR="001A1E04" w:rsidRPr="004A0C12" w:rsidRDefault="001A1E04" w:rsidP="001C614D">
            <w:pPr>
              <w:rPr>
                <w:rFonts w:ascii="Garamond" w:hAnsi="Garamond"/>
                <w:b w:val="0"/>
                <w:i/>
                <w:sz w:val="22"/>
                <w:szCs w:val="22"/>
              </w:rPr>
            </w:pPr>
            <w:r w:rsidRPr="004A0C12">
              <w:rPr>
                <w:rFonts w:ascii="Garamond" w:hAnsi="Garamond"/>
                <w:b w:val="0"/>
                <w:sz w:val="22"/>
                <w:szCs w:val="22"/>
              </w:rPr>
              <w:t xml:space="preserve">Stable employment  </w:t>
            </w:r>
          </w:p>
        </w:tc>
        <w:tc>
          <w:tcPr>
            <w:tcW w:w="3600" w:type="dxa"/>
          </w:tcPr>
          <w:p w14:paraId="7FC6B3E5" w14:textId="77777777" w:rsidR="001A1E04" w:rsidRPr="004A0C12" w:rsidRDefault="001A1E04" w:rsidP="001C614D">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i/>
                <w:sz w:val="22"/>
                <w:szCs w:val="22"/>
              </w:rPr>
              <w:t>Employed for 3-4 quarters in each year</w:t>
            </w:r>
          </w:p>
        </w:tc>
        <w:tc>
          <w:tcPr>
            <w:tcW w:w="1350" w:type="dxa"/>
          </w:tcPr>
          <w:p w14:paraId="04F065BC"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21.6%</w:t>
            </w:r>
          </w:p>
        </w:tc>
        <w:tc>
          <w:tcPr>
            <w:tcW w:w="1924" w:type="dxa"/>
          </w:tcPr>
          <w:p w14:paraId="157B956C"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73.1%</w:t>
            </w:r>
          </w:p>
        </w:tc>
        <w:tc>
          <w:tcPr>
            <w:tcW w:w="2396" w:type="dxa"/>
          </w:tcPr>
          <w:p w14:paraId="41200595"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30.2%</w:t>
            </w:r>
          </w:p>
        </w:tc>
      </w:tr>
      <w:tr w:rsidR="001A1E04" w:rsidRPr="004A0C12" w14:paraId="683D8890" w14:textId="77777777" w:rsidTr="00AE52EE">
        <w:trPr>
          <w:trHeight w:val="1006"/>
        </w:trPr>
        <w:tc>
          <w:tcPr>
            <w:cnfStyle w:val="001000000000" w:firstRow="0" w:lastRow="0" w:firstColumn="1" w:lastColumn="0" w:oddVBand="0" w:evenVBand="0" w:oddHBand="0" w:evenHBand="0" w:firstRowFirstColumn="0" w:firstRowLastColumn="0" w:lastRowFirstColumn="0" w:lastRowLastColumn="0"/>
            <w:tcW w:w="1908" w:type="dxa"/>
          </w:tcPr>
          <w:p w14:paraId="325F2C0A" w14:textId="77777777" w:rsidR="001A1E04" w:rsidRPr="004A0C12" w:rsidRDefault="001A1E04" w:rsidP="001C614D">
            <w:pPr>
              <w:rPr>
                <w:rFonts w:ascii="Garamond" w:hAnsi="Garamond"/>
                <w:b w:val="0"/>
                <w:i/>
                <w:sz w:val="22"/>
                <w:szCs w:val="22"/>
              </w:rPr>
            </w:pPr>
            <w:r w:rsidRPr="004A0C12">
              <w:rPr>
                <w:rFonts w:ascii="Garamond" w:hAnsi="Garamond"/>
                <w:b w:val="0"/>
                <w:sz w:val="22"/>
                <w:szCs w:val="22"/>
              </w:rPr>
              <w:t>Other employment success</w:t>
            </w:r>
          </w:p>
        </w:tc>
        <w:tc>
          <w:tcPr>
            <w:tcW w:w="3600" w:type="dxa"/>
          </w:tcPr>
          <w:p w14:paraId="0829533A" w14:textId="77777777" w:rsidR="001A1E04" w:rsidRPr="004A0C12" w:rsidRDefault="001A1E04" w:rsidP="001C614D">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i/>
                <w:sz w:val="22"/>
                <w:szCs w:val="22"/>
              </w:rPr>
              <w:t>Employment increased over time or worked 3-4 quarters in each of last 2 years</w:t>
            </w:r>
          </w:p>
        </w:tc>
        <w:tc>
          <w:tcPr>
            <w:tcW w:w="1350" w:type="dxa"/>
          </w:tcPr>
          <w:p w14:paraId="346A9882"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20.9%</w:t>
            </w:r>
          </w:p>
        </w:tc>
        <w:tc>
          <w:tcPr>
            <w:tcW w:w="1924" w:type="dxa"/>
          </w:tcPr>
          <w:p w14:paraId="78699528"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62.4%</w:t>
            </w:r>
          </w:p>
        </w:tc>
        <w:tc>
          <w:tcPr>
            <w:tcW w:w="2396" w:type="dxa"/>
          </w:tcPr>
          <w:p w14:paraId="058C08E2"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61.6%</w:t>
            </w:r>
          </w:p>
        </w:tc>
      </w:tr>
      <w:tr w:rsidR="001A1E04" w:rsidRPr="004A0C12" w14:paraId="0EB64698" w14:textId="77777777" w:rsidTr="00AE52EE">
        <w:trPr>
          <w:cnfStyle w:val="000000100000" w:firstRow="0" w:lastRow="0" w:firstColumn="0" w:lastColumn="0" w:oddVBand="0" w:evenVBand="0" w:oddHBand="1" w:evenHBand="0" w:firstRowFirstColumn="0" w:firstRowLastColumn="0" w:lastRowFirstColumn="0" w:lastRowLastColumn="0"/>
          <w:trHeight w:val="958"/>
        </w:trPr>
        <w:tc>
          <w:tcPr>
            <w:cnfStyle w:val="001000000000" w:firstRow="0" w:lastRow="0" w:firstColumn="1" w:lastColumn="0" w:oddVBand="0" w:evenVBand="0" w:oddHBand="0" w:evenHBand="0" w:firstRowFirstColumn="0" w:firstRowLastColumn="0" w:lastRowFirstColumn="0" w:lastRowLastColumn="0"/>
            <w:tcW w:w="1908" w:type="dxa"/>
          </w:tcPr>
          <w:p w14:paraId="1BACDA93" w14:textId="77777777" w:rsidR="001A1E04" w:rsidRPr="004A0C12" w:rsidRDefault="001A1E04" w:rsidP="001C614D">
            <w:pPr>
              <w:rPr>
                <w:rFonts w:ascii="Garamond" w:hAnsi="Garamond"/>
                <w:b w:val="0"/>
                <w:i/>
                <w:sz w:val="22"/>
                <w:szCs w:val="22"/>
              </w:rPr>
            </w:pPr>
            <w:r w:rsidRPr="004A0C12">
              <w:rPr>
                <w:rFonts w:ascii="Garamond" w:hAnsi="Garamond"/>
                <w:b w:val="0"/>
                <w:sz w:val="22"/>
                <w:szCs w:val="22"/>
              </w:rPr>
              <w:t>Decreasing or low employment</w:t>
            </w:r>
          </w:p>
        </w:tc>
        <w:tc>
          <w:tcPr>
            <w:tcW w:w="3600" w:type="dxa"/>
          </w:tcPr>
          <w:p w14:paraId="514A0035" w14:textId="77777777" w:rsidR="001A1E04" w:rsidRPr="004A0C12" w:rsidRDefault="001A1E04" w:rsidP="001C614D">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i/>
                <w:sz w:val="22"/>
                <w:szCs w:val="22"/>
              </w:rPr>
              <w:t>Employment decreased over time or worked 0-1 quarter each year</w:t>
            </w:r>
          </w:p>
        </w:tc>
        <w:tc>
          <w:tcPr>
            <w:tcW w:w="1350" w:type="dxa"/>
          </w:tcPr>
          <w:p w14:paraId="1EF6E40C"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29.3%</w:t>
            </w:r>
          </w:p>
        </w:tc>
        <w:tc>
          <w:tcPr>
            <w:tcW w:w="1924" w:type="dxa"/>
          </w:tcPr>
          <w:p w14:paraId="00975E54"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53.7%</w:t>
            </w:r>
          </w:p>
        </w:tc>
        <w:tc>
          <w:tcPr>
            <w:tcW w:w="2396" w:type="dxa"/>
          </w:tcPr>
          <w:p w14:paraId="4A0A784F"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64.5%</w:t>
            </w:r>
          </w:p>
        </w:tc>
      </w:tr>
      <w:tr w:rsidR="001A1E04" w:rsidRPr="004A0C12" w14:paraId="61B5B2D3" w14:textId="77777777" w:rsidTr="00AE52EE">
        <w:trPr>
          <w:trHeight w:val="722"/>
        </w:trPr>
        <w:tc>
          <w:tcPr>
            <w:cnfStyle w:val="001000000000" w:firstRow="0" w:lastRow="0" w:firstColumn="1" w:lastColumn="0" w:oddVBand="0" w:evenVBand="0" w:oddHBand="0" w:evenHBand="0" w:firstRowFirstColumn="0" w:firstRowLastColumn="0" w:lastRowFirstColumn="0" w:lastRowLastColumn="0"/>
            <w:tcW w:w="1908" w:type="dxa"/>
          </w:tcPr>
          <w:p w14:paraId="01BEF6A3" w14:textId="77777777" w:rsidR="001A1E04" w:rsidRPr="004A0C12" w:rsidRDefault="001A1E04" w:rsidP="001C614D">
            <w:pPr>
              <w:rPr>
                <w:rFonts w:ascii="Garamond" w:hAnsi="Garamond"/>
                <w:b w:val="0"/>
                <w:i/>
                <w:sz w:val="22"/>
                <w:szCs w:val="22"/>
              </w:rPr>
            </w:pPr>
            <w:r w:rsidRPr="004A0C12">
              <w:rPr>
                <w:rFonts w:ascii="Garamond" w:hAnsi="Garamond"/>
                <w:b w:val="0"/>
                <w:sz w:val="22"/>
                <w:szCs w:val="22"/>
              </w:rPr>
              <w:t>Inconsistent pattern</w:t>
            </w:r>
          </w:p>
        </w:tc>
        <w:tc>
          <w:tcPr>
            <w:tcW w:w="3600" w:type="dxa"/>
          </w:tcPr>
          <w:p w14:paraId="16086E49" w14:textId="77777777" w:rsidR="001A1E04" w:rsidRPr="004A0C12" w:rsidRDefault="001A1E04" w:rsidP="001C614D">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i/>
                <w:sz w:val="22"/>
                <w:szCs w:val="22"/>
              </w:rPr>
              <w:t>No pattern or worked 0-1 quarter in each of last 2 years</w:t>
            </w:r>
          </w:p>
        </w:tc>
        <w:tc>
          <w:tcPr>
            <w:tcW w:w="1350" w:type="dxa"/>
          </w:tcPr>
          <w:p w14:paraId="5C7B9A4C"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28.3%</w:t>
            </w:r>
          </w:p>
        </w:tc>
        <w:tc>
          <w:tcPr>
            <w:tcW w:w="1924" w:type="dxa"/>
          </w:tcPr>
          <w:p w14:paraId="0CDB33CC"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57.2%</w:t>
            </w:r>
          </w:p>
        </w:tc>
        <w:tc>
          <w:tcPr>
            <w:tcW w:w="2396" w:type="dxa"/>
          </w:tcPr>
          <w:p w14:paraId="505ED8F3"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71.7%</w:t>
            </w:r>
          </w:p>
        </w:tc>
      </w:tr>
    </w:tbl>
    <w:p w14:paraId="129A2C9C" w14:textId="77777777" w:rsidR="001A1E04" w:rsidRPr="004A0C12" w:rsidRDefault="001A1E04" w:rsidP="001C614D">
      <w:pPr>
        <w:spacing w:after="0" w:line="240" w:lineRule="auto"/>
        <w:rPr>
          <w:rFonts w:ascii="Garamond" w:hAnsi="Garamond"/>
        </w:rPr>
      </w:pPr>
    </w:p>
    <w:p w14:paraId="3FAE1BFD" w14:textId="77777777" w:rsidR="001A1E04" w:rsidRPr="004A0C12" w:rsidRDefault="001A1E04" w:rsidP="001C614D">
      <w:pPr>
        <w:spacing w:after="0" w:line="240" w:lineRule="auto"/>
        <w:jc w:val="center"/>
        <w:rPr>
          <w:rFonts w:ascii="Garamond" w:hAnsi="Garamond"/>
          <w:b/>
        </w:rPr>
      </w:pPr>
      <w:r w:rsidRPr="004A0C12">
        <w:rPr>
          <w:rFonts w:ascii="Garamond" w:hAnsi="Garamond"/>
          <w:b/>
        </w:rPr>
        <w:t>Earnings Outcomes: Five Years after Exit</w:t>
      </w:r>
    </w:p>
    <w:tbl>
      <w:tblPr>
        <w:tblStyle w:val="PlainTable11"/>
        <w:tblW w:w="0" w:type="auto"/>
        <w:tblLook w:val="04A0" w:firstRow="1" w:lastRow="0" w:firstColumn="1" w:lastColumn="0" w:noHBand="0" w:noVBand="1"/>
        <w:tblCaption w:val="Earnings Outcomes: Five Years after Exit"/>
        <w:tblDescription w:val="Eight percent of the sample had &quot;Continuous Substantial Earnings.&quot; Of those, 83.0% held a high school diploma and 11.6% returned to TANF within 5 years. 20.4% of sample had &quot;Other Earnings Success.&quot; Of those, 70.9% held a high school diploma and 45.8% returned to TANF within 5 years. 32.3% of sample had &quot;Decreasing or Low Earnings.&quot; Of those, 50.4 percent held a high school diploma and 72.9% returned to TANF within 5 years. 39.3% had &quot;Inconsistent Pattern.&quot; Of those, 62.4% held a high school diploma and 61.8 percent returned to TANF within 5 years. "/>
      </w:tblPr>
      <w:tblGrid>
        <w:gridCol w:w="1728"/>
        <w:gridCol w:w="4140"/>
        <w:gridCol w:w="1260"/>
        <w:gridCol w:w="1890"/>
        <w:gridCol w:w="2250"/>
      </w:tblGrid>
      <w:tr w:rsidR="001A1E04" w:rsidRPr="004A0C12" w14:paraId="744E1B66" w14:textId="77777777" w:rsidTr="00A01666">
        <w:trPr>
          <w:cnfStyle w:val="100000000000" w:firstRow="1" w:lastRow="0" w:firstColumn="0" w:lastColumn="0" w:oddVBand="0" w:evenVBand="0" w:oddHBand="0" w:evenHBand="0" w:firstRowFirstColumn="0" w:firstRowLastColumn="0" w:lastRowFirstColumn="0" w:lastRowLastColumn="0"/>
          <w:trHeight w:val="728"/>
          <w:tblHeader/>
        </w:trPr>
        <w:tc>
          <w:tcPr>
            <w:cnfStyle w:val="001000000000" w:firstRow="0" w:lastRow="0" w:firstColumn="1" w:lastColumn="0" w:oddVBand="0" w:evenVBand="0" w:oddHBand="0" w:evenHBand="0" w:firstRowFirstColumn="0" w:firstRowLastColumn="0" w:lastRowFirstColumn="0" w:lastRowLastColumn="0"/>
            <w:tcW w:w="5868" w:type="dxa"/>
            <w:gridSpan w:val="2"/>
          </w:tcPr>
          <w:p w14:paraId="15747F0C" w14:textId="77777777" w:rsidR="001A1E04" w:rsidRPr="004A0C12" w:rsidRDefault="001A1E04" w:rsidP="001C614D">
            <w:pPr>
              <w:rPr>
                <w:rFonts w:ascii="Garamond" w:hAnsi="Garamond"/>
                <w:b w:val="0"/>
                <w:sz w:val="22"/>
                <w:szCs w:val="22"/>
              </w:rPr>
            </w:pPr>
          </w:p>
        </w:tc>
        <w:tc>
          <w:tcPr>
            <w:tcW w:w="1260" w:type="dxa"/>
          </w:tcPr>
          <w:p w14:paraId="313AA370"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Percent of Sample</w:t>
            </w:r>
          </w:p>
        </w:tc>
        <w:tc>
          <w:tcPr>
            <w:tcW w:w="1890" w:type="dxa"/>
          </w:tcPr>
          <w:p w14:paraId="319CBC61"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Percent with High School Diploma</w:t>
            </w:r>
          </w:p>
        </w:tc>
        <w:tc>
          <w:tcPr>
            <w:tcW w:w="2250" w:type="dxa"/>
          </w:tcPr>
          <w:p w14:paraId="64F3B405" w14:textId="77777777" w:rsidR="001A1E04" w:rsidRPr="004A0C12" w:rsidRDefault="001A1E04" w:rsidP="001C614D">
            <w:pPr>
              <w:jc w:val="center"/>
              <w:cnfStyle w:val="100000000000" w:firstRow="1" w:lastRow="0" w:firstColumn="0" w:lastColumn="0" w:oddVBand="0" w:evenVBand="0" w:oddHBand="0" w:evenHBand="0" w:firstRowFirstColumn="0" w:firstRowLastColumn="0" w:lastRowFirstColumn="0" w:lastRowLastColumn="0"/>
              <w:rPr>
                <w:rFonts w:ascii="Garamond" w:hAnsi="Garamond"/>
                <w:b w:val="0"/>
                <w:sz w:val="22"/>
                <w:szCs w:val="22"/>
              </w:rPr>
            </w:pPr>
            <w:r w:rsidRPr="004A0C12">
              <w:rPr>
                <w:rFonts w:ascii="Garamond" w:hAnsi="Garamond"/>
                <w:b w:val="0"/>
                <w:sz w:val="22"/>
                <w:szCs w:val="22"/>
              </w:rPr>
              <w:t>Percent who Return to TANF within 5 Years</w:t>
            </w:r>
          </w:p>
        </w:tc>
      </w:tr>
      <w:tr w:rsidR="001A1E04" w:rsidRPr="004A0C12" w14:paraId="76EC729D" w14:textId="77777777" w:rsidTr="00AE52EE">
        <w:trPr>
          <w:cnfStyle w:val="000000100000" w:firstRow="0" w:lastRow="0" w:firstColumn="0" w:lastColumn="0" w:oddVBand="0" w:evenVBand="0" w:oddHBand="1" w:evenHBand="0" w:firstRowFirstColumn="0" w:firstRowLastColumn="0" w:lastRowFirstColumn="0" w:lastRowLastColumn="0"/>
          <w:trHeight w:val="955"/>
        </w:trPr>
        <w:tc>
          <w:tcPr>
            <w:cnfStyle w:val="001000000000" w:firstRow="0" w:lastRow="0" w:firstColumn="1" w:lastColumn="0" w:oddVBand="0" w:evenVBand="0" w:oddHBand="0" w:evenHBand="0" w:firstRowFirstColumn="0" w:firstRowLastColumn="0" w:lastRowFirstColumn="0" w:lastRowLastColumn="0"/>
            <w:tcW w:w="1728" w:type="dxa"/>
          </w:tcPr>
          <w:p w14:paraId="737E145C" w14:textId="77777777" w:rsidR="001A1E04" w:rsidRPr="004A0C12" w:rsidRDefault="001A1E04" w:rsidP="001C614D">
            <w:pPr>
              <w:rPr>
                <w:rFonts w:ascii="Garamond" w:hAnsi="Garamond"/>
                <w:b w:val="0"/>
                <w:i/>
                <w:sz w:val="22"/>
                <w:szCs w:val="22"/>
              </w:rPr>
            </w:pPr>
            <w:r w:rsidRPr="004A0C12">
              <w:rPr>
                <w:rFonts w:ascii="Garamond" w:hAnsi="Garamond"/>
                <w:b w:val="0"/>
                <w:sz w:val="22"/>
                <w:szCs w:val="22"/>
              </w:rPr>
              <w:t>Continuous substantial earnings</w:t>
            </w:r>
          </w:p>
        </w:tc>
        <w:tc>
          <w:tcPr>
            <w:tcW w:w="4140" w:type="dxa"/>
          </w:tcPr>
          <w:p w14:paraId="46DFF473" w14:textId="77777777" w:rsidR="001A1E04" w:rsidRPr="004A0C12" w:rsidRDefault="001A1E04" w:rsidP="001C614D">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i/>
                <w:sz w:val="22"/>
                <w:szCs w:val="22"/>
              </w:rPr>
              <w:t>Total earnings more than the federal poverty threshold for a family of three ($19,790) each year</w:t>
            </w:r>
          </w:p>
        </w:tc>
        <w:tc>
          <w:tcPr>
            <w:tcW w:w="1260" w:type="dxa"/>
          </w:tcPr>
          <w:p w14:paraId="18B1B054"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8.0%</w:t>
            </w:r>
          </w:p>
        </w:tc>
        <w:tc>
          <w:tcPr>
            <w:tcW w:w="1890" w:type="dxa"/>
          </w:tcPr>
          <w:p w14:paraId="73C6441B"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83.0%</w:t>
            </w:r>
          </w:p>
        </w:tc>
        <w:tc>
          <w:tcPr>
            <w:tcW w:w="2250" w:type="dxa"/>
          </w:tcPr>
          <w:p w14:paraId="182FA57D"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11.6%</w:t>
            </w:r>
          </w:p>
        </w:tc>
      </w:tr>
      <w:tr w:rsidR="001A1E04" w:rsidRPr="004A0C12" w14:paraId="3E037C08" w14:textId="77777777" w:rsidTr="00AE52EE">
        <w:trPr>
          <w:trHeight w:val="808"/>
        </w:trPr>
        <w:tc>
          <w:tcPr>
            <w:cnfStyle w:val="001000000000" w:firstRow="0" w:lastRow="0" w:firstColumn="1" w:lastColumn="0" w:oddVBand="0" w:evenVBand="0" w:oddHBand="0" w:evenHBand="0" w:firstRowFirstColumn="0" w:firstRowLastColumn="0" w:lastRowFirstColumn="0" w:lastRowLastColumn="0"/>
            <w:tcW w:w="1728" w:type="dxa"/>
          </w:tcPr>
          <w:p w14:paraId="67F5F8CE" w14:textId="77777777" w:rsidR="001A1E04" w:rsidRPr="004A0C12" w:rsidRDefault="001A1E04" w:rsidP="001C614D">
            <w:pPr>
              <w:rPr>
                <w:rFonts w:ascii="Garamond" w:hAnsi="Garamond"/>
                <w:b w:val="0"/>
                <w:i/>
                <w:sz w:val="22"/>
                <w:szCs w:val="22"/>
              </w:rPr>
            </w:pPr>
            <w:r w:rsidRPr="004A0C12">
              <w:rPr>
                <w:rFonts w:ascii="Garamond" w:hAnsi="Garamond"/>
                <w:b w:val="0"/>
                <w:sz w:val="22"/>
                <w:szCs w:val="22"/>
              </w:rPr>
              <w:t>Other earnings success</w:t>
            </w:r>
          </w:p>
        </w:tc>
        <w:tc>
          <w:tcPr>
            <w:tcW w:w="4140" w:type="dxa"/>
          </w:tcPr>
          <w:p w14:paraId="6256D5C5" w14:textId="77777777" w:rsidR="001A1E04" w:rsidRPr="004A0C12" w:rsidRDefault="001A1E04" w:rsidP="001C614D">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i/>
                <w:sz w:val="22"/>
                <w:szCs w:val="22"/>
              </w:rPr>
              <w:t>Earnings increased over time or earned more than $19,790 in each of last 2 years</w:t>
            </w:r>
          </w:p>
        </w:tc>
        <w:tc>
          <w:tcPr>
            <w:tcW w:w="1260" w:type="dxa"/>
          </w:tcPr>
          <w:p w14:paraId="3853C5BA"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20.4%</w:t>
            </w:r>
          </w:p>
        </w:tc>
        <w:tc>
          <w:tcPr>
            <w:tcW w:w="1890" w:type="dxa"/>
          </w:tcPr>
          <w:p w14:paraId="00D53E46"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70.9%</w:t>
            </w:r>
          </w:p>
        </w:tc>
        <w:tc>
          <w:tcPr>
            <w:tcW w:w="2250" w:type="dxa"/>
          </w:tcPr>
          <w:p w14:paraId="0FC2C4C5"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45.8%</w:t>
            </w:r>
          </w:p>
        </w:tc>
      </w:tr>
      <w:tr w:rsidR="001A1E04" w:rsidRPr="004A0C12" w14:paraId="7BAF6FAA" w14:textId="77777777" w:rsidTr="00AE52EE">
        <w:trPr>
          <w:cnfStyle w:val="000000100000" w:firstRow="0" w:lastRow="0" w:firstColumn="0" w:lastColumn="0" w:oddVBand="0" w:evenVBand="0" w:oddHBand="1"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1728" w:type="dxa"/>
          </w:tcPr>
          <w:p w14:paraId="26BA024E" w14:textId="77777777" w:rsidR="001A1E04" w:rsidRPr="004A0C12" w:rsidRDefault="001A1E04" w:rsidP="001C614D">
            <w:pPr>
              <w:rPr>
                <w:rFonts w:ascii="Garamond" w:hAnsi="Garamond"/>
                <w:b w:val="0"/>
                <w:i/>
                <w:sz w:val="22"/>
                <w:szCs w:val="22"/>
              </w:rPr>
            </w:pPr>
            <w:r w:rsidRPr="004A0C12">
              <w:rPr>
                <w:rFonts w:ascii="Garamond" w:hAnsi="Garamond"/>
                <w:b w:val="0"/>
                <w:sz w:val="22"/>
                <w:szCs w:val="22"/>
              </w:rPr>
              <w:t>Decreasing or low earnings</w:t>
            </w:r>
          </w:p>
        </w:tc>
        <w:tc>
          <w:tcPr>
            <w:tcW w:w="4140" w:type="dxa"/>
          </w:tcPr>
          <w:p w14:paraId="48F73FC1" w14:textId="77777777" w:rsidR="001A1E04" w:rsidRPr="004A0C12" w:rsidRDefault="001A1E04" w:rsidP="001C614D">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i/>
                <w:sz w:val="22"/>
                <w:szCs w:val="22"/>
              </w:rPr>
              <w:t>Earnings decreased over time or earned less than $7,540 (20 hours per week at minimum wage) each year</w:t>
            </w:r>
          </w:p>
        </w:tc>
        <w:tc>
          <w:tcPr>
            <w:tcW w:w="1260" w:type="dxa"/>
          </w:tcPr>
          <w:p w14:paraId="5055ABA6"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32.3%</w:t>
            </w:r>
          </w:p>
        </w:tc>
        <w:tc>
          <w:tcPr>
            <w:tcW w:w="1890" w:type="dxa"/>
          </w:tcPr>
          <w:p w14:paraId="01A6E5A9"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50.4%</w:t>
            </w:r>
          </w:p>
        </w:tc>
        <w:tc>
          <w:tcPr>
            <w:tcW w:w="2250" w:type="dxa"/>
          </w:tcPr>
          <w:p w14:paraId="7AC53C83" w14:textId="77777777" w:rsidR="001A1E04" w:rsidRPr="004A0C12" w:rsidRDefault="001A1E04" w:rsidP="001C614D">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72.9%</w:t>
            </w:r>
          </w:p>
        </w:tc>
      </w:tr>
      <w:tr w:rsidR="001A1E04" w:rsidRPr="004A0C12" w14:paraId="30CF6BC4" w14:textId="77777777" w:rsidTr="00AE52EE">
        <w:trPr>
          <w:trHeight w:val="790"/>
        </w:trPr>
        <w:tc>
          <w:tcPr>
            <w:cnfStyle w:val="001000000000" w:firstRow="0" w:lastRow="0" w:firstColumn="1" w:lastColumn="0" w:oddVBand="0" w:evenVBand="0" w:oddHBand="0" w:evenHBand="0" w:firstRowFirstColumn="0" w:firstRowLastColumn="0" w:lastRowFirstColumn="0" w:lastRowLastColumn="0"/>
            <w:tcW w:w="1728" w:type="dxa"/>
          </w:tcPr>
          <w:p w14:paraId="145BBEBA" w14:textId="77777777" w:rsidR="001A1E04" w:rsidRPr="004A0C12" w:rsidRDefault="001A1E04" w:rsidP="001C614D">
            <w:pPr>
              <w:rPr>
                <w:rFonts w:ascii="Garamond" w:hAnsi="Garamond"/>
                <w:b w:val="0"/>
                <w:i/>
                <w:sz w:val="22"/>
                <w:szCs w:val="22"/>
              </w:rPr>
            </w:pPr>
            <w:r w:rsidRPr="004A0C12">
              <w:rPr>
                <w:rFonts w:ascii="Garamond" w:hAnsi="Garamond"/>
                <w:b w:val="0"/>
                <w:sz w:val="22"/>
                <w:szCs w:val="22"/>
              </w:rPr>
              <w:t>Inconsistent pattern</w:t>
            </w:r>
          </w:p>
        </w:tc>
        <w:tc>
          <w:tcPr>
            <w:tcW w:w="4140" w:type="dxa"/>
          </w:tcPr>
          <w:p w14:paraId="1EB0A3B0" w14:textId="77777777" w:rsidR="001A1E04" w:rsidRPr="004A0C12" w:rsidRDefault="001A1E04" w:rsidP="001C614D">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i/>
                <w:sz w:val="22"/>
                <w:szCs w:val="22"/>
              </w:rPr>
              <w:t>No pattern or earned less than $7,540 (20 hours per week at minimum wage) in each of last 2 years</w:t>
            </w:r>
          </w:p>
        </w:tc>
        <w:tc>
          <w:tcPr>
            <w:tcW w:w="1260" w:type="dxa"/>
          </w:tcPr>
          <w:p w14:paraId="798460AA"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39.3%</w:t>
            </w:r>
          </w:p>
        </w:tc>
        <w:tc>
          <w:tcPr>
            <w:tcW w:w="1890" w:type="dxa"/>
          </w:tcPr>
          <w:p w14:paraId="667D4FC5"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62.4%</w:t>
            </w:r>
          </w:p>
        </w:tc>
        <w:tc>
          <w:tcPr>
            <w:tcW w:w="2250" w:type="dxa"/>
          </w:tcPr>
          <w:p w14:paraId="706A15B3" w14:textId="77777777" w:rsidR="001A1E04" w:rsidRPr="004A0C12" w:rsidRDefault="001A1E04" w:rsidP="001C614D">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61.8%</w:t>
            </w:r>
          </w:p>
        </w:tc>
      </w:tr>
    </w:tbl>
    <w:p w14:paraId="3C8837BB" w14:textId="77777777" w:rsidR="006B1BDF" w:rsidRPr="00B60621" w:rsidRDefault="006B1BDF" w:rsidP="00A07F49">
      <w:pPr>
        <w:pStyle w:val="Heading4"/>
        <w:rPr>
          <w:rFonts w:ascii="Garamond" w:eastAsia="Times New Roman" w:hAnsi="Garamond"/>
          <w:sz w:val="24"/>
          <w:szCs w:val="24"/>
        </w:rPr>
      </w:pPr>
      <w:r w:rsidRPr="00B60621">
        <w:rPr>
          <w:rFonts w:ascii="Garamond" w:eastAsia="Times New Roman" w:hAnsi="Garamond"/>
          <w:sz w:val="24"/>
          <w:szCs w:val="24"/>
        </w:rPr>
        <w:t>Developing Models for Assessing Return on Investment</w:t>
      </w:r>
    </w:p>
    <w:p w14:paraId="50CEE663" w14:textId="1B9CFAB3" w:rsidR="006B1BDF" w:rsidRPr="004A0C12" w:rsidRDefault="006B1BDF" w:rsidP="0054168E">
      <w:pPr>
        <w:widowControl w:val="0"/>
        <w:autoSpaceDE w:val="0"/>
        <w:autoSpaceDN w:val="0"/>
        <w:adjustRightInd w:val="0"/>
        <w:spacing w:before="120" w:after="0" w:line="240" w:lineRule="auto"/>
        <w:contextualSpacing/>
        <w:jc w:val="both"/>
        <w:rPr>
          <w:rFonts w:ascii="Garamond" w:eastAsia="Times New Roman" w:hAnsi="Garamond" w:cs="Times New Roman"/>
          <w:bCs/>
        </w:rPr>
      </w:pPr>
      <w:r w:rsidRPr="004A0C12">
        <w:rPr>
          <w:rFonts w:ascii="Garamond" w:eastAsia="Times New Roman" w:hAnsi="Garamond" w:cs="Times New Roman"/>
          <w:bCs/>
        </w:rPr>
        <w:t xml:space="preserve">The Vocational Rehabilitation Program in Maryland has a history of returning individuals with significant disabilities to the labor force and </w:t>
      </w:r>
      <w:proofErr w:type="gramStart"/>
      <w:r w:rsidRPr="004A0C12">
        <w:rPr>
          <w:rFonts w:ascii="Garamond" w:eastAsia="Times New Roman" w:hAnsi="Garamond" w:cs="Times New Roman"/>
          <w:bCs/>
        </w:rPr>
        <w:t>increase</w:t>
      </w:r>
      <w:proofErr w:type="gramEnd"/>
      <w:r w:rsidRPr="004A0C12">
        <w:rPr>
          <w:rFonts w:ascii="Garamond" w:eastAsia="Times New Roman" w:hAnsi="Garamond" w:cs="Times New Roman"/>
          <w:bCs/>
        </w:rPr>
        <w:t xml:space="preserve"> their lifetime earnings. For example, in FY 2015, DORS assisted 2,559 individuals with disabilities reach their goals of successful </w:t>
      </w:r>
      <w:r w:rsidR="00AE52EE" w:rsidRPr="004A0C12">
        <w:rPr>
          <w:rFonts w:ascii="Garamond" w:eastAsia="Times New Roman" w:hAnsi="Garamond" w:cs="Times New Roman"/>
          <w:bCs/>
        </w:rPr>
        <w:t>employment. Of those, 983 (38.4 percent</w:t>
      </w:r>
      <w:r w:rsidRPr="004A0C12">
        <w:rPr>
          <w:rFonts w:ascii="Garamond" w:eastAsia="Times New Roman" w:hAnsi="Garamond" w:cs="Times New Roman"/>
          <w:bCs/>
        </w:rPr>
        <w:t xml:space="preserve"> claimed public support as t</w:t>
      </w:r>
      <w:r w:rsidR="00AE52EE" w:rsidRPr="004A0C12">
        <w:rPr>
          <w:rFonts w:ascii="Garamond" w:eastAsia="Times New Roman" w:hAnsi="Garamond" w:cs="Times New Roman"/>
          <w:bCs/>
        </w:rPr>
        <w:t>heir primary source of support w</w:t>
      </w:r>
      <w:r w:rsidRPr="004A0C12">
        <w:rPr>
          <w:rFonts w:ascii="Garamond" w:eastAsia="Times New Roman" w:hAnsi="Garamond" w:cs="Times New Roman"/>
          <w:bCs/>
        </w:rPr>
        <w:t>hen they first applied for DORS</w:t>
      </w:r>
      <w:r w:rsidR="00AE52EE" w:rsidRPr="004A0C12">
        <w:rPr>
          <w:rFonts w:ascii="Garamond" w:eastAsia="Times New Roman" w:hAnsi="Garamond" w:cs="Times New Roman"/>
          <w:bCs/>
        </w:rPr>
        <w:t xml:space="preserve"> services compared to 396 (15.4 percent</w:t>
      </w:r>
      <w:r w:rsidRPr="004A0C12">
        <w:rPr>
          <w:rFonts w:ascii="Garamond" w:eastAsia="Times New Roman" w:hAnsi="Garamond" w:cs="Times New Roman"/>
          <w:bCs/>
        </w:rPr>
        <w:t>) at</w:t>
      </w:r>
      <w:r w:rsidR="00AE52EE" w:rsidRPr="004A0C12">
        <w:rPr>
          <w:rFonts w:ascii="Garamond" w:eastAsia="Times New Roman" w:hAnsi="Garamond" w:cs="Times New Roman"/>
          <w:bCs/>
        </w:rPr>
        <w:t xml:space="preserve"> closure. Conversely, 279 (10.9 percent</w:t>
      </w:r>
      <w:r w:rsidRPr="004A0C12">
        <w:rPr>
          <w:rFonts w:ascii="Garamond" w:eastAsia="Times New Roman" w:hAnsi="Garamond" w:cs="Times New Roman"/>
          <w:bCs/>
        </w:rPr>
        <w:t>) of these consumers claimed personal income as their primary source of support at applic</w:t>
      </w:r>
      <w:r w:rsidR="00AE52EE" w:rsidRPr="004A0C12">
        <w:rPr>
          <w:rFonts w:ascii="Garamond" w:eastAsia="Times New Roman" w:hAnsi="Garamond" w:cs="Times New Roman"/>
          <w:bCs/>
        </w:rPr>
        <w:t>ation compared with 1,944 (75.9 percent</w:t>
      </w:r>
      <w:r w:rsidRPr="004A0C12">
        <w:rPr>
          <w:rFonts w:ascii="Garamond" w:eastAsia="Times New Roman" w:hAnsi="Garamond" w:cs="Times New Roman"/>
          <w:bCs/>
        </w:rPr>
        <w:t>) at closure. The anticipated first-year revenue from taxes generated by the consumer successfully employed in FY 2015 is $3,805,163.</w:t>
      </w:r>
    </w:p>
    <w:p w14:paraId="2C693B8F" w14:textId="77777777" w:rsidR="006B1BDF" w:rsidRPr="004A0C12" w:rsidRDefault="006B1BDF" w:rsidP="0054168E">
      <w:pPr>
        <w:widowControl w:val="0"/>
        <w:autoSpaceDE w:val="0"/>
        <w:autoSpaceDN w:val="0"/>
        <w:adjustRightInd w:val="0"/>
        <w:spacing w:after="0" w:line="240" w:lineRule="auto"/>
        <w:contextualSpacing/>
        <w:jc w:val="both"/>
        <w:rPr>
          <w:rFonts w:ascii="Garamond" w:eastAsia="Times New Roman" w:hAnsi="Garamond" w:cs="Times New Roman"/>
        </w:rPr>
      </w:pPr>
    </w:p>
    <w:p w14:paraId="5C1E9D63" w14:textId="2D8B2AD5" w:rsidR="006B1BDF" w:rsidRPr="004A0C12" w:rsidRDefault="006B1BDF" w:rsidP="0054168E">
      <w:pPr>
        <w:widowControl w:val="0"/>
        <w:autoSpaceDE w:val="0"/>
        <w:autoSpaceDN w:val="0"/>
        <w:adjustRightInd w:val="0"/>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 xml:space="preserve">The benefits to consumers of vocational rehabilitation services outweigh the costs of the program. In order to further study the return on investment of vocational rehabilitation services, DORS </w:t>
      </w:r>
      <w:r w:rsidR="00AE52EE" w:rsidRPr="004A0C12">
        <w:rPr>
          <w:rFonts w:ascii="Garamond" w:eastAsia="Times New Roman" w:hAnsi="Garamond" w:cs="Times New Roman"/>
        </w:rPr>
        <w:t>is partnering with economists f</w:t>
      </w:r>
      <w:r w:rsidRPr="004A0C12">
        <w:rPr>
          <w:rFonts w:ascii="Garamond" w:eastAsia="Times New Roman" w:hAnsi="Garamond" w:cs="Times New Roman"/>
        </w:rPr>
        <w:t>r</w:t>
      </w:r>
      <w:r w:rsidR="00AE52EE" w:rsidRPr="004A0C12">
        <w:rPr>
          <w:rFonts w:ascii="Garamond" w:eastAsia="Times New Roman" w:hAnsi="Garamond" w:cs="Times New Roman"/>
        </w:rPr>
        <w:t>om</w:t>
      </w:r>
      <w:r w:rsidRPr="004A0C12">
        <w:rPr>
          <w:rFonts w:ascii="Garamond" w:eastAsia="Times New Roman" w:hAnsi="Garamond" w:cs="Times New Roman"/>
        </w:rPr>
        <w:t xml:space="preserve"> the University of Richmond and the University of Virginia, as well as colleagues at the George Washington University and other state vocational rehabilitation (VR) agencies on </w:t>
      </w:r>
      <w:r w:rsidRPr="004A0C12">
        <w:rPr>
          <w:rFonts w:ascii="Garamond" w:eastAsia="Times New Roman" w:hAnsi="Garamond" w:cs="Times New Roman"/>
          <w:i/>
        </w:rPr>
        <w:t>The VR-ROI Project: Estimating Return on Investment in State Vocational Rehabilitation Programs</w:t>
      </w:r>
      <w:r w:rsidRPr="004A0C12">
        <w:rPr>
          <w:rFonts w:ascii="Garamond" w:eastAsia="Times New Roman" w:hAnsi="Garamond" w:cs="Times New Roman"/>
        </w:rPr>
        <w:t>. The multi-year project is developing models for assessing return on investment by providing critical information for assessing the long-term impacts of the state-federal Vocational Rehabilitation program on the employment of individuals with disabilities.</w:t>
      </w:r>
    </w:p>
    <w:p w14:paraId="5D0E077C" w14:textId="77777777" w:rsidR="00AE52EE" w:rsidRPr="004A0C12" w:rsidRDefault="00AE52EE" w:rsidP="0054168E">
      <w:pPr>
        <w:widowControl w:val="0"/>
        <w:autoSpaceDE w:val="0"/>
        <w:autoSpaceDN w:val="0"/>
        <w:adjustRightInd w:val="0"/>
        <w:spacing w:after="0" w:line="240" w:lineRule="auto"/>
        <w:contextualSpacing/>
        <w:jc w:val="both"/>
        <w:rPr>
          <w:rFonts w:ascii="Garamond" w:eastAsia="Times New Roman" w:hAnsi="Garamond" w:cs="Times New Roman"/>
        </w:rPr>
      </w:pPr>
    </w:p>
    <w:p w14:paraId="1D88C0E6" w14:textId="77EB0562" w:rsidR="006B1BDF" w:rsidRPr="004A0C12" w:rsidRDefault="006B1BDF" w:rsidP="0054168E">
      <w:pPr>
        <w:widowControl w:val="0"/>
        <w:autoSpaceDE w:val="0"/>
        <w:autoSpaceDN w:val="0"/>
        <w:adjustRightInd w:val="0"/>
        <w:spacing w:before="120" w:after="0" w:line="240" w:lineRule="auto"/>
        <w:ind w:right="-120"/>
        <w:contextualSpacing/>
        <w:jc w:val="both"/>
        <w:rPr>
          <w:rFonts w:ascii="Garamond" w:eastAsia="Times New Roman" w:hAnsi="Garamond" w:cs="Times New Roman"/>
        </w:rPr>
      </w:pPr>
      <w:r w:rsidRPr="004A0C12">
        <w:rPr>
          <w:rFonts w:ascii="Garamond" w:eastAsia="Times New Roman" w:hAnsi="Garamond" w:cs="Times New Roman"/>
        </w:rPr>
        <w:lastRenderedPageBreak/>
        <w:t>Existing performance indicators for Vocational Rehabil</w:t>
      </w:r>
      <w:r w:rsidR="00AE52EE" w:rsidRPr="004A0C12">
        <w:rPr>
          <w:rFonts w:ascii="Garamond" w:eastAsia="Times New Roman" w:hAnsi="Garamond" w:cs="Times New Roman"/>
        </w:rPr>
        <w:t xml:space="preserve">itation programs are very short </w:t>
      </w:r>
      <w:r w:rsidRPr="004A0C12">
        <w:rPr>
          <w:rFonts w:ascii="Garamond" w:eastAsia="Times New Roman" w:hAnsi="Garamond" w:cs="Times New Roman"/>
        </w:rPr>
        <w:t>term in nature.  However, unlike many workforce development programs that are job-placement oriented, the VR program’s emphasis on pursuit of meaningful careers, based on informed choice, means that VR program impacts are likely to extend beyond this relatively brief period.  Literature in the field of labor economics suggests that the most important impacts of workforce development programs like VR will appear several years following program completion.  Little is known about the state-specific, long-term sustainability of employment and growth in earnings that may result from VR participation.</w:t>
      </w:r>
    </w:p>
    <w:p w14:paraId="5528C83D" w14:textId="77777777" w:rsidR="0054168E" w:rsidRPr="004A0C12" w:rsidRDefault="0054168E" w:rsidP="0054168E">
      <w:pPr>
        <w:widowControl w:val="0"/>
        <w:autoSpaceDE w:val="0"/>
        <w:autoSpaceDN w:val="0"/>
        <w:adjustRightInd w:val="0"/>
        <w:spacing w:before="120" w:after="0" w:line="240" w:lineRule="auto"/>
        <w:ind w:right="-120"/>
        <w:contextualSpacing/>
        <w:jc w:val="both"/>
        <w:rPr>
          <w:rFonts w:ascii="Garamond" w:eastAsia="Times New Roman" w:hAnsi="Garamond" w:cs="Times New Roman"/>
        </w:rPr>
      </w:pPr>
    </w:p>
    <w:p w14:paraId="225CFA8B" w14:textId="77777777" w:rsidR="006B1BDF" w:rsidRPr="004A0C12" w:rsidRDefault="006B1BDF" w:rsidP="0054168E">
      <w:pPr>
        <w:widowControl w:val="0"/>
        <w:autoSpaceDE w:val="0"/>
        <w:autoSpaceDN w:val="0"/>
        <w:adjustRightInd w:val="0"/>
        <w:spacing w:before="120" w:after="0" w:line="240" w:lineRule="auto"/>
        <w:contextualSpacing/>
        <w:jc w:val="both"/>
        <w:rPr>
          <w:rFonts w:ascii="Garamond" w:eastAsia="Times New Roman" w:hAnsi="Garamond" w:cs="Times New Roman"/>
        </w:rPr>
      </w:pPr>
      <w:r w:rsidRPr="004A0C12">
        <w:rPr>
          <w:rFonts w:ascii="Garamond" w:eastAsia="Times New Roman" w:hAnsi="Garamond" w:cs="Times New Roman"/>
        </w:rPr>
        <w:t>The project has several major components:</w:t>
      </w:r>
    </w:p>
    <w:p w14:paraId="1896BA9B" w14:textId="77777777" w:rsidR="0054168E" w:rsidRPr="004A0C12" w:rsidRDefault="0054168E" w:rsidP="0054168E">
      <w:pPr>
        <w:widowControl w:val="0"/>
        <w:autoSpaceDE w:val="0"/>
        <w:autoSpaceDN w:val="0"/>
        <w:adjustRightInd w:val="0"/>
        <w:spacing w:before="120" w:after="0" w:line="240" w:lineRule="auto"/>
        <w:contextualSpacing/>
        <w:jc w:val="both"/>
        <w:rPr>
          <w:rFonts w:ascii="Garamond" w:eastAsia="Times New Roman" w:hAnsi="Garamond" w:cs="Times New Roman"/>
        </w:rPr>
      </w:pPr>
    </w:p>
    <w:p w14:paraId="640468CE" w14:textId="7176C469" w:rsidR="006B1BDF" w:rsidRPr="004A0C12" w:rsidRDefault="006B1BDF" w:rsidP="00232F09">
      <w:pPr>
        <w:widowControl w:val="0"/>
        <w:numPr>
          <w:ilvl w:val="0"/>
          <w:numId w:val="205"/>
        </w:numPr>
        <w:autoSpaceDE w:val="0"/>
        <w:autoSpaceDN w:val="0"/>
        <w:adjustRightInd w:val="0"/>
        <w:spacing w:before="60" w:after="0" w:line="240" w:lineRule="auto"/>
        <w:contextualSpacing/>
        <w:jc w:val="both"/>
        <w:rPr>
          <w:rFonts w:ascii="Garamond" w:eastAsia="Times New Roman" w:hAnsi="Garamond" w:cs="Times New Roman"/>
        </w:rPr>
      </w:pPr>
      <w:r w:rsidRPr="004A0C12">
        <w:rPr>
          <w:rFonts w:ascii="Garamond" w:eastAsia="Times New Roman" w:hAnsi="Garamond" w:cs="Times New Roman"/>
        </w:rPr>
        <w:t>ROI model development and testing:  identifying the necessary components for a sound ROI model for VR and validating thes</w:t>
      </w:r>
      <w:r w:rsidR="00AE52EE" w:rsidRPr="004A0C12">
        <w:rPr>
          <w:rFonts w:ascii="Garamond" w:eastAsia="Times New Roman" w:hAnsi="Garamond" w:cs="Times New Roman"/>
        </w:rPr>
        <w:t>e models with state VR agencies</w:t>
      </w:r>
    </w:p>
    <w:p w14:paraId="18359D86" w14:textId="35500728" w:rsidR="006B1BDF" w:rsidRPr="004A0C12" w:rsidRDefault="006B1BDF" w:rsidP="00232F09">
      <w:pPr>
        <w:widowControl w:val="0"/>
        <w:numPr>
          <w:ilvl w:val="0"/>
          <w:numId w:val="205"/>
        </w:numPr>
        <w:autoSpaceDE w:val="0"/>
        <w:autoSpaceDN w:val="0"/>
        <w:adjustRightInd w:val="0"/>
        <w:spacing w:before="60" w:after="0" w:line="240" w:lineRule="auto"/>
        <w:contextualSpacing/>
        <w:jc w:val="both"/>
        <w:rPr>
          <w:rFonts w:ascii="Garamond" w:eastAsia="Times New Roman" w:hAnsi="Garamond" w:cs="Times New Roman"/>
        </w:rPr>
      </w:pPr>
      <w:r w:rsidRPr="004A0C12">
        <w:rPr>
          <w:rFonts w:ascii="Garamond" w:eastAsia="Times New Roman" w:hAnsi="Garamond" w:cs="Times New Roman"/>
        </w:rPr>
        <w:t>Development of model interagency agreements and protocols for accessing employment and earnings data from existing state administrative records and from SSA, testing those models with the partner states, and providing te</w:t>
      </w:r>
      <w:r w:rsidR="00AE52EE" w:rsidRPr="004A0C12">
        <w:rPr>
          <w:rFonts w:ascii="Garamond" w:eastAsia="Times New Roman" w:hAnsi="Garamond" w:cs="Times New Roman"/>
        </w:rPr>
        <w:t>chnical assistance in their use</w:t>
      </w:r>
    </w:p>
    <w:p w14:paraId="5BE8ECBA" w14:textId="62D6B54A" w:rsidR="006B1BDF" w:rsidRPr="004A0C12" w:rsidRDefault="006B1BDF" w:rsidP="00232F09">
      <w:pPr>
        <w:widowControl w:val="0"/>
        <w:numPr>
          <w:ilvl w:val="0"/>
          <w:numId w:val="205"/>
        </w:numPr>
        <w:autoSpaceDE w:val="0"/>
        <w:autoSpaceDN w:val="0"/>
        <w:adjustRightInd w:val="0"/>
        <w:spacing w:before="60" w:after="0" w:line="240" w:lineRule="auto"/>
        <w:contextualSpacing/>
        <w:jc w:val="both"/>
        <w:rPr>
          <w:rFonts w:ascii="Garamond" w:eastAsia="Times New Roman" w:hAnsi="Garamond" w:cs="Times New Roman"/>
        </w:rPr>
      </w:pPr>
      <w:r w:rsidRPr="004A0C12">
        <w:rPr>
          <w:rFonts w:ascii="Garamond" w:eastAsia="Times New Roman" w:hAnsi="Garamond" w:cs="Times New Roman"/>
        </w:rPr>
        <w:t xml:space="preserve">Development and testing of guidance documents, and provision of technical assistance to partner state VR agencies, to conduct ROI analyses with their </w:t>
      </w:r>
      <w:r w:rsidR="00AE52EE" w:rsidRPr="004A0C12">
        <w:rPr>
          <w:rFonts w:ascii="Garamond" w:eastAsia="Times New Roman" w:hAnsi="Garamond" w:cs="Times New Roman"/>
        </w:rPr>
        <w:t>own states’ administrative data</w:t>
      </w:r>
    </w:p>
    <w:p w14:paraId="11CE8D9D" w14:textId="77777777" w:rsidR="006B1BDF" w:rsidRPr="004A0C12" w:rsidRDefault="006B1BDF" w:rsidP="00232F09">
      <w:pPr>
        <w:widowControl w:val="0"/>
        <w:numPr>
          <w:ilvl w:val="0"/>
          <w:numId w:val="205"/>
        </w:numPr>
        <w:autoSpaceDE w:val="0"/>
        <w:autoSpaceDN w:val="0"/>
        <w:adjustRightInd w:val="0"/>
        <w:spacing w:before="60" w:after="0" w:line="240" w:lineRule="auto"/>
        <w:contextualSpacing/>
        <w:jc w:val="both"/>
        <w:rPr>
          <w:rFonts w:ascii="Garamond" w:eastAsia="Times New Roman" w:hAnsi="Garamond" w:cs="Times New Roman"/>
        </w:rPr>
      </w:pPr>
      <w:r w:rsidRPr="004A0C12">
        <w:rPr>
          <w:rFonts w:ascii="Garamond" w:eastAsia="Times New Roman" w:hAnsi="Garamond" w:cs="Times New Roman"/>
          <w:bCs/>
        </w:rPr>
        <w:t>Develop and test the “VR ROI Estimator”, a user-friendly platform to allow state agencies to simulate the impacts of VR services on employment outcomes of VR clients, as well the overall rate of return</w:t>
      </w:r>
    </w:p>
    <w:p w14:paraId="3C1B850B" w14:textId="77777777" w:rsidR="006B1BDF" w:rsidRPr="004A0C12" w:rsidRDefault="006B1BDF" w:rsidP="00232F09">
      <w:pPr>
        <w:widowControl w:val="0"/>
        <w:numPr>
          <w:ilvl w:val="0"/>
          <w:numId w:val="205"/>
        </w:numPr>
        <w:autoSpaceDE w:val="0"/>
        <w:autoSpaceDN w:val="0"/>
        <w:adjustRightInd w:val="0"/>
        <w:spacing w:before="60" w:after="0" w:line="240" w:lineRule="auto"/>
        <w:contextualSpacing/>
        <w:jc w:val="both"/>
        <w:rPr>
          <w:rFonts w:ascii="Garamond" w:eastAsia="Times New Roman" w:hAnsi="Garamond" w:cs="Times New Roman"/>
        </w:rPr>
      </w:pPr>
      <w:r w:rsidRPr="004A0C12">
        <w:rPr>
          <w:rFonts w:ascii="Garamond" w:eastAsia="Times New Roman" w:hAnsi="Garamond" w:cs="Times New Roman"/>
          <w:bCs/>
        </w:rPr>
        <w:t>Develop and test a web-based approach to ROI analysis that can generate rigorous and credible estimates</w:t>
      </w:r>
    </w:p>
    <w:p w14:paraId="06CBDC01" w14:textId="77777777" w:rsidR="006B1BDF" w:rsidRPr="004A0C12" w:rsidRDefault="006B1BDF" w:rsidP="00232F09">
      <w:pPr>
        <w:widowControl w:val="0"/>
        <w:numPr>
          <w:ilvl w:val="0"/>
          <w:numId w:val="205"/>
        </w:numPr>
        <w:autoSpaceDE w:val="0"/>
        <w:autoSpaceDN w:val="0"/>
        <w:adjustRightInd w:val="0"/>
        <w:spacing w:after="0" w:line="240" w:lineRule="auto"/>
        <w:contextualSpacing/>
        <w:jc w:val="both"/>
        <w:rPr>
          <w:rFonts w:ascii="Garamond" w:eastAsia="Times New Roman" w:hAnsi="Garamond" w:cs="Times New Roman"/>
        </w:rPr>
      </w:pPr>
      <w:r w:rsidRPr="004A0C12">
        <w:rPr>
          <w:rFonts w:ascii="Garamond" w:eastAsia="Times New Roman" w:hAnsi="Garamond" w:cs="Times New Roman"/>
          <w:bCs/>
        </w:rPr>
        <w:t>Provide training to interested state VR agencies and other stakeholders in the use of the ROI model and the Estimator</w:t>
      </w:r>
    </w:p>
    <w:p w14:paraId="32B268D0" w14:textId="3380F2E7" w:rsidR="00F005AC" w:rsidRPr="004A0C12" w:rsidRDefault="006B1BDF" w:rsidP="00232F09">
      <w:pPr>
        <w:widowControl w:val="0"/>
        <w:numPr>
          <w:ilvl w:val="0"/>
          <w:numId w:val="205"/>
        </w:numPr>
        <w:autoSpaceDE w:val="0"/>
        <w:autoSpaceDN w:val="0"/>
        <w:adjustRightInd w:val="0"/>
        <w:spacing w:after="0" w:line="240" w:lineRule="auto"/>
        <w:contextualSpacing/>
        <w:jc w:val="both"/>
        <w:rPr>
          <w:rFonts w:ascii="Garamond" w:eastAsia="Times New Roman" w:hAnsi="Garamond" w:cs="Times New Roman"/>
          <w:bCs/>
        </w:rPr>
      </w:pPr>
      <w:r w:rsidRPr="004A0C12">
        <w:rPr>
          <w:rFonts w:ascii="Garamond" w:eastAsia="Times New Roman" w:hAnsi="Garamond" w:cs="Times New Roman"/>
          <w:bCs/>
        </w:rPr>
        <w:t>Disseminate project information nationally to VR audiences, other stakeholders, and disability economics researchers.</w:t>
      </w:r>
    </w:p>
    <w:p w14:paraId="2065FBDF" w14:textId="77777777" w:rsidR="001A1E04" w:rsidRPr="00B60621" w:rsidRDefault="001A1E04" w:rsidP="0074457B">
      <w:pPr>
        <w:pStyle w:val="Heading2"/>
        <w:rPr>
          <w:rFonts w:ascii="Garamond" w:hAnsi="Garamond"/>
          <w:sz w:val="24"/>
          <w:szCs w:val="24"/>
        </w:rPr>
      </w:pPr>
      <w:bookmarkStart w:id="43" w:name="_Toc447276098"/>
      <w:r w:rsidRPr="00B60621">
        <w:rPr>
          <w:rFonts w:ascii="Garamond" w:hAnsi="Garamond"/>
          <w:sz w:val="24"/>
          <w:szCs w:val="24"/>
        </w:rPr>
        <w:t>Assessments, Performance and Alignment</w:t>
      </w:r>
      <w:bookmarkEnd w:id="43"/>
      <w:r w:rsidRPr="00B60621">
        <w:rPr>
          <w:rFonts w:ascii="Garamond" w:hAnsi="Garamond"/>
          <w:sz w:val="24"/>
          <w:szCs w:val="24"/>
        </w:rPr>
        <w:t xml:space="preserve">  </w:t>
      </w:r>
    </w:p>
    <w:p w14:paraId="037C604C" w14:textId="02C42F99" w:rsidR="001A1E04" w:rsidRPr="004A0C12" w:rsidRDefault="001A1E04" w:rsidP="001C614D">
      <w:pPr>
        <w:spacing w:after="0" w:line="240" w:lineRule="auto"/>
        <w:jc w:val="both"/>
        <w:rPr>
          <w:rFonts w:ascii="Garamond" w:hAnsi="Garamond"/>
        </w:rPr>
      </w:pPr>
      <w:r w:rsidRPr="004A0C12">
        <w:rPr>
          <w:rFonts w:ascii="Garamond" w:hAnsi="Garamond"/>
        </w:rPr>
        <w:t xml:space="preserve">To ensure that </w:t>
      </w:r>
      <w:r w:rsidR="00B87622" w:rsidRPr="004A0C12">
        <w:rPr>
          <w:rFonts w:ascii="Garamond" w:hAnsi="Garamond"/>
        </w:rPr>
        <w:t xml:space="preserve">the </w:t>
      </w:r>
      <w:r w:rsidRPr="004A0C12">
        <w:rPr>
          <w:rFonts w:ascii="Garamond" w:hAnsi="Garamond"/>
        </w:rPr>
        <w:t xml:space="preserve">workforce system continuously improves, Maryland’s WIOA Partners must dedicate themselves to placing people before performance standards. In placing the customers (businesses and jobseekers) that rely on the workforce system at the center of the decisions that are made regarding the system, Maryland’s WIOA Partners must continue to strive for excellence, innovation, and the best service delivery possible. People who need the services the most will benefit from a system that operates out of realistic expectations and is empowered with the flexibility to take risks needed to serve target populations. To that end, the WIOA Partners will work with USDOL and the federal Department of Education and other federal funders to agree on performance standards once further guidance is provided.  </w:t>
      </w:r>
    </w:p>
    <w:p w14:paraId="70F89C3B" w14:textId="5FC8A15C" w:rsidR="007513CF" w:rsidRPr="00B60621" w:rsidRDefault="007513CF" w:rsidP="0054168E">
      <w:pPr>
        <w:pStyle w:val="Heading3"/>
        <w:rPr>
          <w:rFonts w:ascii="Garamond" w:hAnsi="Garamond"/>
          <w:sz w:val="24"/>
          <w:szCs w:val="24"/>
        </w:rPr>
      </w:pPr>
      <w:bookmarkStart w:id="44" w:name="_Toc447276099"/>
      <w:r w:rsidRPr="00B60621">
        <w:rPr>
          <w:rFonts w:ascii="Garamond" w:hAnsi="Garamond"/>
          <w:sz w:val="24"/>
          <w:szCs w:val="24"/>
        </w:rPr>
        <w:t>Alignment Group</w:t>
      </w:r>
      <w:r w:rsidR="005D0F85" w:rsidRPr="00B60621">
        <w:rPr>
          <w:rFonts w:ascii="Garamond" w:hAnsi="Garamond"/>
          <w:sz w:val="24"/>
          <w:szCs w:val="24"/>
        </w:rPr>
        <w:t xml:space="preserve"> and Refocusing of the Maryland WIOA Workgroups</w:t>
      </w:r>
      <w:bookmarkEnd w:id="44"/>
    </w:p>
    <w:p w14:paraId="37EF7F93" w14:textId="5B4526A6" w:rsidR="001A1E04" w:rsidRPr="004A0C12" w:rsidRDefault="002E1552" w:rsidP="001C614D">
      <w:pPr>
        <w:spacing w:after="0" w:line="240" w:lineRule="auto"/>
        <w:jc w:val="both"/>
        <w:rPr>
          <w:rFonts w:ascii="Garamond" w:hAnsi="Garamond"/>
        </w:rPr>
      </w:pPr>
      <w:r w:rsidRPr="004A0C12">
        <w:rPr>
          <w:rFonts w:ascii="Garamond" w:hAnsi="Garamond"/>
        </w:rPr>
        <w:t>In order for the P</w:t>
      </w:r>
      <w:r w:rsidR="007513CF" w:rsidRPr="004A0C12">
        <w:rPr>
          <w:rFonts w:ascii="Garamond" w:hAnsi="Garamond"/>
        </w:rPr>
        <w:t>lan to succeed, leadership from the WIOA Partners must ensure that the programs they administer adapt and integrate to ensure seamless delivery of services for the workforce</w:t>
      </w:r>
      <w:r w:rsidR="007056D8" w:rsidRPr="004A0C12">
        <w:rPr>
          <w:rFonts w:ascii="Garamond" w:hAnsi="Garamond"/>
        </w:rPr>
        <w:t xml:space="preserve"> system’s collective customers.</w:t>
      </w:r>
      <w:r w:rsidR="007513CF" w:rsidRPr="004A0C12">
        <w:rPr>
          <w:rFonts w:ascii="Garamond" w:hAnsi="Garamond"/>
        </w:rPr>
        <w:t xml:space="preserve"> This requires a greater level of communication between the </w:t>
      </w:r>
      <w:r w:rsidR="007056D8" w:rsidRPr="004A0C12">
        <w:rPr>
          <w:rFonts w:ascii="Garamond" w:hAnsi="Garamond"/>
        </w:rPr>
        <w:t xml:space="preserve">WIOA </w:t>
      </w:r>
      <w:r w:rsidR="007513CF" w:rsidRPr="004A0C12">
        <w:rPr>
          <w:rFonts w:ascii="Garamond" w:hAnsi="Garamond"/>
        </w:rPr>
        <w:t>Partners</w:t>
      </w:r>
      <w:r w:rsidR="007056D8" w:rsidRPr="004A0C12">
        <w:rPr>
          <w:rFonts w:ascii="Garamond" w:hAnsi="Garamond"/>
        </w:rPr>
        <w:t>,</w:t>
      </w:r>
      <w:r w:rsidR="007513CF" w:rsidRPr="004A0C12">
        <w:rPr>
          <w:rFonts w:ascii="Garamond" w:hAnsi="Garamond"/>
        </w:rPr>
        <w:t xml:space="preserve"> as well as a commun</w:t>
      </w:r>
      <w:r w:rsidR="007056D8" w:rsidRPr="004A0C12">
        <w:rPr>
          <w:rFonts w:ascii="Garamond" w:hAnsi="Garamond"/>
        </w:rPr>
        <w:t xml:space="preserve">ication throughout the system. </w:t>
      </w:r>
      <w:r w:rsidR="007513CF" w:rsidRPr="004A0C12">
        <w:rPr>
          <w:rFonts w:ascii="Garamond" w:hAnsi="Garamond"/>
        </w:rPr>
        <w:t xml:space="preserve">The </w:t>
      </w:r>
      <w:r w:rsidR="001A1E04" w:rsidRPr="004A0C12">
        <w:rPr>
          <w:rFonts w:ascii="Garamond" w:hAnsi="Garamond"/>
        </w:rPr>
        <w:t xml:space="preserve">constituent programs within Maryland’s workforce system </w:t>
      </w:r>
      <w:r w:rsidRPr="004A0C12">
        <w:rPr>
          <w:rFonts w:ascii="Garamond" w:hAnsi="Garamond"/>
        </w:rPr>
        <w:t>must be</w:t>
      </w:r>
      <w:r w:rsidR="001A1E04" w:rsidRPr="004A0C12">
        <w:rPr>
          <w:rFonts w:ascii="Garamond" w:hAnsi="Garamond"/>
        </w:rPr>
        <w:t xml:space="preserve"> aligned to provide businesses and jobseekers</w:t>
      </w:r>
      <w:r w:rsidR="007056D8" w:rsidRPr="004A0C12">
        <w:rPr>
          <w:rFonts w:ascii="Garamond" w:hAnsi="Garamond"/>
        </w:rPr>
        <w:t xml:space="preserve"> with the best</w:t>
      </w:r>
      <w:r w:rsidR="001A1E04" w:rsidRPr="004A0C12">
        <w:rPr>
          <w:rFonts w:ascii="Garamond" w:hAnsi="Garamond"/>
        </w:rPr>
        <w:t xml:space="preserve"> possible</w:t>
      </w:r>
      <w:r w:rsidR="007056D8" w:rsidRPr="004A0C12">
        <w:rPr>
          <w:rFonts w:ascii="Garamond" w:hAnsi="Garamond"/>
        </w:rPr>
        <w:t xml:space="preserve"> service</w:t>
      </w:r>
      <w:r w:rsidR="001A1E04" w:rsidRPr="004A0C12">
        <w:rPr>
          <w:rFonts w:ascii="Garamond" w:hAnsi="Garamond"/>
        </w:rPr>
        <w:t xml:space="preserve">. </w:t>
      </w:r>
      <w:r w:rsidR="007513CF" w:rsidRPr="004A0C12">
        <w:rPr>
          <w:rFonts w:ascii="Garamond" w:hAnsi="Garamond"/>
        </w:rPr>
        <w:t>To ensure that the transition into WIOA implementation is as smooth as possible, the WIOA P</w:t>
      </w:r>
      <w:r w:rsidR="001A1E04" w:rsidRPr="004A0C12">
        <w:rPr>
          <w:rFonts w:ascii="Garamond" w:hAnsi="Garamond"/>
        </w:rPr>
        <w:t xml:space="preserve">artners </w:t>
      </w:r>
      <w:r w:rsidR="007513CF" w:rsidRPr="004A0C12">
        <w:rPr>
          <w:rFonts w:ascii="Garamond" w:hAnsi="Garamond"/>
        </w:rPr>
        <w:t xml:space="preserve">will establish </w:t>
      </w:r>
      <w:r w:rsidR="005D0F85" w:rsidRPr="004A0C12">
        <w:rPr>
          <w:rFonts w:ascii="Garamond" w:hAnsi="Garamond"/>
        </w:rPr>
        <w:t xml:space="preserve">an </w:t>
      </w:r>
      <w:r w:rsidR="001A1E04" w:rsidRPr="004A0C12">
        <w:rPr>
          <w:rFonts w:ascii="Garamond" w:hAnsi="Garamond"/>
        </w:rPr>
        <w:t>Alignment Group</w:t>
      </w:r>
      <w:r w:rsidR="007513CF" w:rsidRPr="004A0C12">
        <w:rPr>
          <w:rFonts w:ascii="Garamond" w:hAnsi="Garamond"/>
        </w:rPr>
        <w:t>.</w:t>
      </w:r>
      <w:r w:rsidR="001A1E04" w:rsidRPr="004A0C12">
        <w:rPr>
          <w:rFonts w:ascii="Garamond" w:hAnsi="Garamond"/>
        </w:rPr>
        <w:t xml:space="preserve"> </w:t>
      </w:r>
      <w:r w:rsidR="005D0F85" w:rsidRPr="004A0C12">
        <w:rPr>
          <w:rFonts w:ascii="Garamond" w:hAnsi="Garamond"/>
        </w:rPr>
        <w:t>The Alignment Group will be a forum for the WIOA Partners to continue to collaboratively approach the challenges of WIOA implementation.</w:t>
      </w:r>
    </w:p>
    <w:p w14:paraId="6898621A" w14:textId="77777777" w:rsidR="007513CF" w:rsidRPr="004A0C12" w:rsidRDefault="007513CF" w:rsidP="001C614D">
      <w:pPr>
        <w:spacing w:after="0" w:line="240" w:lineRule="auto"/>
        <w:jc w:val="both"/>
        <w:rPr>
          <w:rFonts w:ascii="Garamond" w:hAnsi="Garamond"/>
        </w:rPr>
      </w:pPr>
    </w:p>
    <w:p w14:paraId="47B31222" w14:textId="0F42D530" w:rsidR="007513CF" w:rsidRPr="004A0C12" w:rsidRDefault="000D217D" w:rsidP="001C614D">
      <w:pPr>
        <w:spacing w:after="0" w:line="240" w:lineRule="auto"/>
        <w:jc w:val="both"/>
        <w:rPr>
          <w:rFonts w:ascii="Garamond" w:hAnsi="Garamond"/>
        </w:rPr>
      </w:pPr>
      <w:r w:rsidRPr="004A0C12">
        <w:rPr>
          <w:rFonts w:ascii="Garamond" w:hAnsi="Garamond"/>
        </w:rPr>
        <w:t xml:space="preserve">The group will include key leadership in </w:t>
      </w:r>
      <w:proofErr w:type="gramStart"/>
      <w:r w:rsidRPr="004A0C12">
        <w:rPr>
          <w:rFonts w:ascii="Garamond" w:hAnsi="Garamond"/>
        </w:rPr>
        <w:t>all of the</w:t>
      </w:r>
      <w:proofErr w:type="gramEnd"/>
      <w:r w:rsidRPr="004A0C12">
        <w:rPr>
          <w:rFonts w:ascii="Garamond" w:hAnsi="Garamond"/>
        </w:rPr>
        <w:t xml:space="preserve"> core and combined programs represented in </w:t>
      </w:r>
      <w:r w:rsidR="007056D8" w:rsidRPr="004A0C12">
        <w:rPr>
          <w:rFonts w:ascii="Garamond" w:hAnsi="Garamond"/>
        </w:rPr>
        <w:t xml:space="preserve">the </w:t>
      </w:r>
      <w:r w:rsidRPr="004A0C12">
        <w:rPr>
          <w:rFonts w:ascii="Garamond" w:hAnsi="Garamond"/>
        </w:rPr>
        <w:t>Maryland State Plan. Specifically, t</w:t>
      </w:r>
      <w:r w:rsidR="007513CF" w:rsidRPr="004A0C12">
        <w:rPr>
          <w:rFonts w:ascii="Garamond" w:hAnsi="Garamond"/>
        </w:rPr>
        <w:t xml:space="preserve">he Alignment Group will be comprised of representatives from: </w:t>
      </w:r>
    </w:p>
    <w:p w14:paraId="61FBADAE" w14:textId="77777777" w:rsidR="007056D8" w:rsidRPr="004A0C12" w:rsidRDefault="007056D8" w:rsidP="001C614D">
      <w:pPr>
        <w:spacing w:after="0" w:line="240" w:lineRule="auto"/>
        <w:jc w:val="both"/>
        <w:rPr>
          <w:rFonts w:ascii="Garamond" w:hAnsi="Garamond"/>
        </w:rPr>
      </w:pPr>
    </w:p>
    <w:p w14:paraId="0773E078" w14:textId="3C234061" w:rsidR="007513CF" w:rsidRPr="004A0C12" w:rsidRDefault="007513CF" w:rsidP="00232F09">
      <w:pPr>
        <w:pStyle w:val="ListParagraph"/>
        <w:numPr>
          <w:ilvl w:val="0"/>
          <w:numId w:val="206"/>
        </w:numPr>
        <w:jc w:val="both"/>
        <w:rPr>
          <w:rFonts w:ascii="Garamond" w:hAnsi="Garamond"/>
          <w:szCs w:val="22"/>
        </w:rPr>
      </w:pPr>
      <w:r w:rsidRPr="004A0C12">
        <w:rPr>
          <w:rFonts w:ascii="Garamond" w:hAnsi="Garamond"/>
          <w:szCs w:val="22"/>
        </w:rPr>
        <w:t xml:space="preserve">The Maryland Department </w:t>
      </w:r>
      <w:r w:rsidR="006608CD" w:rsidRPr="004A0C12">
        <w:rPr>
          <w:rFonts w:ascii="Garamond" w:hAnsi="Garamond"/>
          <w:szCs w:val="22"/>
        </w:rPr>
        <w:t xml:space="preserve">of Labor, Licensing and Regulation’s Division of Workforce Development and Adult Learning; </w:t>
      </w:r>
    </w:p>
    <w:p w14:paraId="0D019132" w14:textId="6F4812A9" w:rsidR="006608CD" w:rsidRPr="004A0C12" w:rsidRDefault="006608CD" w:rsidP="00232F09">
      <w:pPr>
        <w:pStyle w:val="ListParagraph"/>
        <w:numPr>
          <w:ilvl w:val="0"/>
          <w:numId w:val="206"/>
        </w:numPr>
        <w:jc w:val="both"/>
        <w:rPr>
          <w:rFonts w:ascii="Garamond" w:hAnsi="Garamond"/>
          <w:szCs w:val="22"/>
        </w:rPr>
      </w:pPr>
      <w:r w:rsidRPr="004A0C12">
        <w:rPr>
          <w:rFonts w:ascii="Garamond" w:hAnsi="Garamond"/>
          <w:szCs w:val="22"/>
        </w:rPr>
        <w:t xml:space="preserve">The Maryland Department of Human Resources’ Family Investment Administration; </w:t>
      </w:r>
    </w:p>
    <w:p w14:paraId="0BCA69C3" w14:textId="3D0A2D4F" w:rsidR="006608CD" w:rsidRPr="004A0C12" w:rsidRDefault="006608CD" w:rsidP="00232F09">
      <w:pPr>
        <w:pStyle w:val="ListParagraph"/>
        <w:numPr>
          <w:ilvl w:val="0"/>
          <w:numId w:val="206"/>
        </w:numPr>
        <w:jc w:val="both"/>
        <w:rPr>
          <w:rFonts w:ascii="Garamond" w:hAnsi="Garamond"/>
          <w:szCs w:val="22"/>
        </w:rPr>
      </w:pPr>
      <w:r w:rsidRPr="004A0C12">
        <w:rPr>
          <w:rFonts w:ascii="Garamond" w:hAnsi="Garamond"/>
          <w:szCs w:val="22"/>
        </w:rPr>
        <w:t xml:space="preserve">The Maryland State Department of Education’s Division of Rehabilitative Services; </w:t>
      </w:r>
    </w:p>
    <w:p w14:paraId="5B112D78" w14:textId="487CEB77" w:rsidR="006608CD" w:rsidRPr="004A0C12" w:rsidRDefault="006608CD" w:rsidP="00232F09">
      <w:pPr>
        <w:pStyle w:val="ListParagraph"/>
        <w:numPr>
          <w:ilvl w:val="0"/>
          <w:numId w:val="206"/>
        </w:numPr>
        <w:ind w:left="1022"/>
        <w:jc w:val="both"/>
        <w:rPr>
          <w:rFonts w:ascii="Garamond" w:hAnsi="Garamond"/>
          <w:szCs w:val="22"/>
        </w:rPr>
      </w:pPr>
      <w:r w:rsidRPr="004A0C12">
        <w:rPr>
          <w:rFonts w:ascii="Garamond" w:hAnsi="Garamond"/>
          <w:szCs w:val="22"/>
        </w:rPr>
        <w:t xml:space="preserve">The Governor’s Workforce Investment Board; </w:t>
      </w:r>
    </w:p>
    <w:p w14:paraId="7B620C0B" w14:textId="3234F996" w:rsidR="006608CD" w:rsidRPr="004A0C12" w:rsidRDefault="006608CD" w:rsidP="00232F09">
      <w:pPr>
        <w:pStyle w:val="ListParagraph"/>
        <w:numPr>
          <w:ilvl w:val="0"/>
          <w:numId w:val="206"/>
        </w:numPr>
        <w:ind w:left="1022"/>
        <w:jc w:val="both"/>
        <w:rPr>
          <w:rFonts w:ascii="Garamond" w:hAnsi="Garamond"/>
          <w:szCs w:val="22"/>
        </w:rPr>
      </w:pPr>
      <w:r w:rsidRPr="004A0C12">
        <w:rPr>
          <w:rFonts w:ascii="Garamond" w:hAnsi="Garamond"/>
          <w:szCs w:val="22"/>
        </w:rPr>
        <w:t>Local Workforce Development Areas and local WIOA Partner programs; and</w:t>
      </w:r>
      <w:r w:rsidR="00C27DD6" w:rsidRPr="004A0C12">
        <w:rPr>
          <w:rFonts w:ascii="Garamond" w:hAnsi="Garamond"/>
          <w:szCs w:val="22"/>
        </w:rPr>
        <w:t>,</w:t>
      </w:r>
    </w:p>
    <w:p w14:paraId="27662333" w14:textId="49638EB7" w:rsidR="005D0F85" w:rsidRPr="004A0C12" w:rsidRDefault="006608CD" w:rsidP="00232F09">
      <w:pPr>
        <w:pStyle w:val="ListParagraph"/>
        <w:numPr>
          <w:ilvl w:val="0"/>
          <w:numId w:val="206"/>
        </w:numPr>
        <w:jc w:val="both"/>
        <w:rPr>
          <w:rFonts w:ascii="Garamond" w:hAnsi="Garamond"/>
          <w:szCs w:val="22"/>
        </w:rPr>
      </w:pPr>
      <w:r w:rsidRPr="004A0C12">
        <w:rPr>
          <w:rFonts w:ascii="Garamond" w:hAnsi="Garamond"/>
          <w:szCs w:val="22"/>
        </w:rPr>
        <w:t>Representatives from the Community College System of Maryland.</w:t>
      </w:r>
    </w:p>
    <w:p w14:paraId="0B66E1F1" w14:textId="77777777" w:rsidR="007056D8" w:rsidRPr="004A0C12" w:rsidRDefault="007056D8" w:rsidP="007056D8">
      <w:pPr>
        <w:pStyle w:val="ListParagraph"/>
        <w:ind w:left="1021"/>
        <w:jc w:val="both"/>
        <w:rPr>
          <w:rFonts w:ascii="Garamond" w:hAnsi="Garamond"/>
          <w:szCs w:val="22"/>
        </w:rPr>
      </w:pPr>
    </w:p>
    <w:p w14:paraId="0E526155" w14:textId="163C6110" w:rsidR="005D0F85" w:rsidRPr="004A0C12" w:rsidRDefault="006608CD" w:rsidP="005D0F85">
      <w:pPr>
        <w:spacing w:line="240" w:lineRule="auto"/>
        <w:jc w:val="both"/>
        <w:rPr>
          <w:rFonts w:ascii="Garamond" w:hAnsi="Garamond"/>
        </w:rPr>
      </w:pPr>
      <w:r w:rsidRPr="004A0C12">
        <w:rPr>
          <w:rFonts w:ascii="Garamond" w:hAnsi="Garamond"/>
        </w:rPr>
        <w:t>The</w:t>
      </w:r>
      <w:r w:rsidR="005D0F85" w:rsidRPr="004A0C12">
        <w:rPr>
          <w:rFonts w:ascii="Garamond" w:hAnsi="Garamond"/>
        </w:rPr>
        <w:t xml:space="preserve"> </w:t>
      </w:r>
      <w:r w:rsidRPr="004A0C12">
        <w:rPr>
          <w:rFonts w:ascii="Garamond" w:hAnsi="Garamond"/>
        </w:rPr>
        <w:t>Alignment Group</w:t>
      </w:r>
      <w:r w:rsidR="005D0F85" w:rsidRPr="004A0C12">
        <w:rPr>
          <w:rFonts w:ascii="Garamond" w:hAnsi="Garamond"/>
        </w:rPr>
        <w:t xml:space="preserve"> will provide key overs</w:t>
      </w:r>
      <w:r w:rsidR="002E1552" w:rsidRPr="004A0C12">
        <w:rPr>
          <w:rFonts w:ascii="Garamond" w:hAnsi="Garamond"/>
        </w:rPr>
        <w:t xml:space="preserve">ight to the WIOA </w:t>
      </w:r>
      <w:r w:rsidR="005D0F85" w:rsidRPr="004A0C12">
        <w:rPr>
          <w:rFonts w:ascii="Garamond" w:hAnsi="Garamond"/>
        </w:rPr>
        <w:t>workgroups</w:t>
      </w:r>
      <w:r w:rsidR="007056D8" w:rsidRPr="004A0C12">
        <w:rPr>
          <w:rFonts w:ascii="Garamond" w:hAnsi="Garamond"/>
        </w:rPr>
        <w:t>,</w:t>
      </w:r>
      <w:r w:rsidR="005D0F85" w:rsidRPr="004A0C12">
        <w:rPr>
          <w:rFonts w:ascii="Garamond" w:hAnsi="Garamond"/>
        </w:rPr>
        <w:t xml:space="preserve"> as Maryland continues to implement the provisions of the federal act. In the months following the initial submission and approval of the State Plan, the Alignment Group will work to repurpose the previously </w:t>
      </w:r>
      <w:r w:rsidR="002E1552" w:rsidRPr="004A0C12">
        <w:rPr>
          <w:rFonts w:ascii="Garamond" w:hAnsi="Garamond"/>
        </w:rPr>
        <w:t xml:space="preserve">established WIOA </w:t>
      </w:r>
      <w:r w:rsidR="005D0F85" w:rsidRPr="004A0C12">
        <w:rPr>
          <w:rFonts w:ascii="Garamond" w:hAnsi="Garamond"/>
        </w:rPr>
        <w:t xml:space="preserve">workgroups. While the workgroups will continue to provide valuable input into the development of Maryland’s WIOA system, their focus will be on implementation of the provisions of the Plan.       </w:t>
      </w:r>
    </w:p>
    <w:p w14:paraId="51E6B28E" w14:textId="77777777" w:rsidR="005D0F85" w:rsidRPr="004A0C12" w:rsidRDefault="005D0F85" w:rsidP="005D0F85">
      <w:pPr>
        <w:spacing w:line="240" w:lineRule="auto"/>
        <w:jc w:val="both"/>
        <w:rPr>
          <w:rFonts w:ascii="Garamond" w:hAnsi="Garamond"/>
        </w:rPr>
      </w:pPr>
      <w:r w:rsidRPr="004A0C12">
        <w:rPr>
          <w:rFonts w:ascii="Garamond" w:hAnsi="Garamond"/>
        </w:rPr>
        <w:t xml:space="preserve">The Alignment Group will further focus on: </w:t>
      </w:r>
    </w:p>
    <w:p w14:paraId="17F53422" w14:textId="77777777" w:rsidR="000D217D" w:rsidRPr="004A0C12" w:rsidRDefault="000D217D" w:rsidP="00232F09">
      <w:pPr>
        <w:pStyle w:val="ListParagraph"/>
        <w:numPr>
          <w:ilvl w:val="0"/>
          <w:numId w:val="207"/>
        </w:numPr>
        <w:jc w:val="both"/>
        <w:rPr>
          <w:rFonts w:ascii="Garamond" w:hAnsi="Garamond"/>
          <w:szCs w:val="22"/>
        </w:rPr>
      </w:pPr>
      <w:r w:rsidRPr="004A0C12">
        <w:rPr>
          <w:rFonts w:ascii="Garamond" w:hAnsi="Garamond"/>
          <w:szCs w:val="22"/>
        </w:rPr>
        <w:t>Ensuring</w:t>
      </w:r>
      <w:r w:rsidR="006608CD" w:rsidRPr="004A0C12">
        <w:rPr>
          <w:rFonts w:ascii="Garamond" w:hAnsi="Garamond"/>
          <w:szCs w:val="22"/>
        </w:rPr>
        <w:t xml:space="preserve"> that Maryland continues to develop a baseline of performance for serving </w:t>
      </w:r>
      <w:r w:rsidRPr="004A0C12">
        <w:rPr>
          <w:rFonts w:ascii="Garamond" w:hAnsi="Garamond"/>
          <w:szCs w:val="22"/>
        </w:rPr>
        <w:t>customers;</w:t>
      </w:r>
      <w:r w:rsidR="006608CD" w:rsidRPr="004A0C12">
        <w:rPr>
          <w:rFonts w:ascii="Garamond" w:hAnsi="Garamond"/>
          <w:szCs w:val="22"/>
        </w:rPr>
        <w:t xml:space="preserve"> </w:t>
      </w:r>
    </w:p>
    <w:p w14:paraId="79FE09EF" w14:textId="52C51040" w:rsidR="001A1E04" w:rsidRPr="004A0C12" w:rsidRDefault="000D217D" w:rsidP="00232F09">
      <w:pPr>
        <w:pStyle w:val="ListParagraph"/>
        <w:numPr>
          <w:ilvl w:val="0"/>
          <w:numId w:val="207"/>
        </w:numPr>
        <w:jc w:val="both"/>
        <w:rPr>
          <w:rFonts w:ascii="Garamond" w:hAnsi="Garamond"/>
          <w:szCs w:val="22"/>
        </w:rPr>
      </w:pPr>
      <w:r w:rsidRPr="004A0C12">
        <w:rPr>
          <w:rFonts w:ascii="Garamond" w:hAnsi="Garamond"/>
          <w:szCs w:val="22"/>
        </w:rPr>
        <w:t>Ensuring</w:t>
      </w:r>
      <w:r w:rsidR="006608CD" w:rsidRPr="004A0C12">
        <w:rPr>
          <w:rFonts w:ascii="Garamond" w:hAnsi="Garamond"/>
          <w:szCs w:val="22"/>
        </w:rPr>
        <w:t xml:space="preserve"> that the message set forth in thi</w:t>
      </w:r>
      <w:r w:rsidRPr="004A0C12">
        <w:rPr>
          <w:rFonts w:ascii="Garamond" w:hAnsi="Garamond"/>
          <w:szCs w:val="22"/>
        </w:rPr>
        <w:t>s P</w:t>
      </w:r>
      <w:r w:rsidR="006608CD" w:rsidRPr="004A0C12">
        <w:rPr>
          <w:rFonts w:ascii="Garamond" w:hAnsi="Garamond"/>
          <w:szCs w:val="22"/>
        </w:rPr>
        <w:t>lan is ca</w:t>
      </w:r>
      <w:r w:rsidRPr="004A0C12">
        <w:rPr>
          <w:rFonts w:ascii="Garamond" w:hAnsi="Garamond"/>
          <w:szCs w:val="22"/>
        </w:rPr>
        <w:t xml:space="preserve">rried out throughout the system; </w:t>
      </w:r>
      <w:r w:rsidR="006608CD" w:rsidRPr="004A0C12">
        <w:rPr>
          <w:rFonts w:ascii="Garamond" w:hAnsi="Garamond"/>
          <w:szCs w:val="22"/>
        </w:rPr>
        <w:t xml:space="preserve"> </w:t>
      </w:r>
    </w:p>
    <w:p w14:paraId="412426CA" w14:textId="040F190F" w:rsidR="000D217D" w:rsidRPr="004A0C12" w:rsidRDefault="000D217D" w:rsidP="009204FA">
      <w:pPr>
        <w:numPr>
          <w:ilvl w:val="0"/>
          <w:numId w:val="37"/>
        </w:numPr>
        <w:tabs>
          <w:tab w:val="clear" w:pos="360"/>
          <w:tab w:val="num" w:pos="1021"/>
        </w:tabs>
        <w:spacing w:after="0" w:line="240" w:lineRule="auto"/>
        <w:ind w:left="1021" w:hanging="360"/>
        <w:jc w:val="both"/>
        <w:rPr>
          <w:rFonts w:ascii="Garamond" w:hAnsi="Garamond"/>
        </w:rPr>
      </w:pPr>
      <w:r w:rsidRPr="004A0C12">
        <w:rPr>
          <w:rFonts w:ascii="Garamond" w:hAnsi="Garamond"/>
        </w:rPr>
        <w:t>Developing c</w:t>
      </w:r>
      <w:r w:rsidR="001A1E04" w:rsidRPr="004A0C12">
        <w:rPr>
          <w:rFonts w:ascii="Garamond" w:hAnsi="Garamond"/>
        </w:rPr>
        <w:t xml:space="preserve">ustomer flow strategies </w:t>
      </w:r>
      <w:r w:rsidRPr="004A0C12">
        <w:rPr>
          <w:rFonts w:ascii="Garamond" w:hAnsi="Garamond"/>
        </w:rPr>
        <w:t xml:space="preserve">that are </w:t>
      </w:r>
      <w:r w:rsidR="001A1E04" w:rsidRPr="004A0C12">
        <w:rPr>
          <w:rFonts w:ascii="Garamond" w:hAnsi="Garamond"/>
        </w:rPr>
        <w:t>formalized</w:t>
      </w:r>
      <w:r w:rsidR="007056D8" w:rsidRPr="004A0C12">
        <w:rPr>
          <w:rFonts w:ascii="Garamond" w:hAnsi="Garamond"/>
        </w:rPr>
        <w:t>;</w:t>
      </w:r>
      <w:r w:rsidR="001A1E04" w:rsidRPr="004A0C12">
        <w:rPr>
          <w:rFonts w:ascii="Garamond" w:hAnsi="Garamond"/>
        </w:rPr>
        <w:t xml:space="preserve"> </w:t>
      </w:r>
    </w:p>
    <w:p w14:paraId="21D0065E" w14:textId="1C924216" w:rsidR="001A1E04" w:rsidRPr="004A0C12" w:rsidRDefault="000D217D" w:rsidP="009204FA">
      <w:pPr>
        <w:numPr>
          <w:ilvl w:val="0"/>
          <w:numId w:val="37"/>
        </w:numPr>
        <w:tabs>
          <w:tab w:val="clear" w:pos="360"/>
          <w:tab w:val="num" w:pos="1021"/>
        </w:tabs>
        <w:spacing w:after="0" w:line="240" w:lineRule="auto"/>
        <w:ind w:left="1021" w:hanging="360"/>
        <w:jc w:val="both"/>
        <w:rPr>
          <w:rFonts w:ascii="Garamond" w:hAnsi="Garamond"/>
        </w:rPr>
      </w:pPr>
      <w:r w:rsidRPr="004A0C12">
        <w:rPr>
          <w:rFonts w:ascii="Garamond" w:hAnsi="Garamond"/>
        </w:rPr>
        <w:t>Ensuring that system e</w:t>
      </w:r>
      <w:r w:rsidR="001A1E04" w:rsidRPr="004A0C12">
        <w:rPr>
          <w:rFonts w:ascii="Garamond" w:hAnsi="Garamond"/>
        </w:rPr>
        <w:t xml:space="preserve">fficiencies are maximized; </w:t>
      </w:r>
    </w:p>
    <w:p w14:paraId="2E6E6A30" w14:textId="65F15FEF" w:rsidR="007513CF" w:rsidRPr="004A0C12" w:rsidRDefault="000D217D" w:rsidP="009204FA">
      <w:pPr>
        <w:numPr>
          <w:ilvl w:val="0"/>
          <w:numId w:val="37"/>
        </w:numPr>
        <w:tabs>
          <w:tab w:val="clear" w:pos="360"/>
          <w:tab w:val="num" w:pos="1021"/>
        </w:tabs>
        <w:spacing w:after="0" w:line="240" w:lineRule="auto"/>
        <w:ind w:left="1021" w:hanging="360"/>
        <w:jc w:val="both"/>
        <w:rPr>
          <w:rFonts w:ascii="Garamond" w:hAnsi="Garamond"/>
        </w:rPr>
      </w:pPr>
      <w:r w:rsidRPr="004A0C12">
        <w:rPr>
          <w:rFonts w:ascii="Garamond" w:hAnsi="Garamond"/>
        </w:rPr>
        <w:t>Ensuring the i</w:t>
      </w:r>
      <w:r w:rsidR="007513CF" w:rsidRPr="004A0C12">
        <w:rPr>
          <w:rFonts w:ascii="Garamond" w:hAnsi="Garamond"/>
        </w:rPr>
        <w:t xml:space="preserve">ntegration of resources connected to all employment and training-related funding; </w:t>
      </w:r>
    </w:p>
    <w:p w14:paraId="44911765" w14:textId="56C50DB5" w:rsidR="001A1E04" w:rsidRPr="004A0C12" w:rsidRDefault="000D217D" w:rsidP="009204FA">
      <w:pPr>
        <w:numPr>
          <w:ilvl w:val="0"/>
          <w:numId w:val="37"/>
        </w:numPr>
        <w:tabs>
          <w:tab w:val="clear" w:pos="360"/>
          <w:tab w:val="num" w:pos="1021"/>
        </w:tabs>
        <w:spacing w:after="0" w:line="240" w:lineRule="auto"/>
        <w:ind w:left="1021" w:hanging="360"/>
        <w:jc w:val="both"/>
        <w:rPr>
          <w:rFonts w:ascii="Garamond" w:hAnsi="Garamond"/>
        </w:rPr>
      </w:pPr>
      <w:r w:rsidRPr="004A0C12">
        <w:rPr>
          <w:rFonts w:ascii="Garamond" w:hAnsi="Garamond"/>
        </w:rPr>
        <w:t>Ensuring s</w:t>
      </w:r>
      <w:r w:rsidR="001A1E04" w:rsidRPr="004A0C12">
        <w:rPr>
          <w:rFonts w:ascii="Garamond" w:hAnsi="Garamond"/>
        </w:rPr>
        <w:t>eamless access to information for businesses and jobseekers alike;</w:t>
      </w:r>
    </w:p>
    <w:p w14:paraId="0D3B4FF7" w14:textId="1AC28C7B" w:rsidR="001A1E04" w:rsidRPr="004A0C12" w:rsidRDefault="000D217D" w:rsidP="009204FA">
      <w:pPr>
        <w:numPr>
          <w:ilvl w:val="0"/>
          <w:numId w:val="37"/>
        </w:numPr>
        <w:tabs>
          <w:tab w:val="clear" w:pos="360"/>
          <w:tab w:val="num" w:pos="1021"/>
        </w:tabs>
        <w:spacing w:after="0" w:line="240" w:lineRule="auto"/>
        <w:ind w:left="1021" w:hanging="360"/>
        <w:jc w:val="both"/>
        <w:rPr>
          <w:rFonts w:ascii="Garamond" w:hAnsi="Garamond"/>
        </w:rPr>
      </w:pPr>
      <w:r w:rsidRPr="004A0C12">
        <w:rPr>
          <w:rFonts w:ascii="Garamond" w:hAnsi="Garamond"/>
        </w:rPr>
        <w:t>Developing</w:t>
      </w:r>
      <w:r w:rsidR="001A1E04" w:rsidRPr="004A0C12">
        <w:rPr>
          <w:rFonts w:ascii="Garamond" w:hAnsi="Garamond"/>
        </w:rPr>
        <w:t xml:space="preserve"> shared assessment tools that emphasize customer service;    </w:t>
      </w:r>
    </w:p>
    <w:p w14:paraId="37777B24" w14:textId="75C18E9F" w:rsidR="001A1E04" w:rsidRPr="004A0C12" w:rsidRDefault="000D217D" w:rsidP="009204FA">
      <w:pPr>
        <w:numPr>
          <w:ilvl w:val="0"/>
          <w:numId w:val="37"/>
        </w:numPr>
        <w:tabs>
          <w:tab w:val="clear" w:pos="360"/>
          <w:tab w:val="num" w:pos="1021"/>
        </w:tabs>
        <w:spacing w:after="0" w:line="240" w:lineRule="auto"/>
        <w:ind w:left="1021" w:hanging="360"/>
        <w:jc w:val="both"/>
        <w:rPr>
          <w:rFonts w:ascii="Garamond" w:hAnsi="Garamond"/>
        </w:rPr>
      </w:pPr>
      <w:r w:rsidRPr="004A0C12">
        <w:rPr>
          <w:rFonts w:ascii="Garamond" w:hAnsi="Garamond"/>
        </w:rPr>
        <w:t>Ensuring n</w:t>
      </w:r>
      <w:r w:rsidR="001A1E04" w:rsidRPr="004A0C12">
        <w:rPr>
          <w:rFonts w:ascii="Garamond" w:hAnsi="Garamond"/>
        </w:rPr>
        <w:t>ew technologies are harnessed for ease of access for the consumer; and,</w:t>
      </w:r>
    </w:p>
    <w:p w14:paraId="7DBBE7B2" w14:textId="26524452" w:rsidR="001A1E04" w:rsidRPr="004A0C12" w:rsidRDefault="000D217D" w:rsidP="009204FA">
      <w:pPr>
        <w:numPr>
          <w:ilvl w:val="0"/>
          <w:numId w:val="37"/>
        </w:numPr>
        <w:tabs>
          <w:tab w:val="clear" w:pos="360"/>
          <w:tab w:val="num" w:pos="1021"/>
        </w:tabs>
        <w:spacing w:after="0" w:line="240" w:lineRule="auto"/>
        <w:ind w:left="1021" w:hanging="360"/>
        <w:jc w:val="both"/>
        <w:rPr>
          <w:rFonts w:ascii="Garamond" w:hAnsi="Garamond"/>
        </w:rPr>
      </w:pPr>
      <w:r w:rsidRPr="004A0C12">
        <w:rPr>
          <w:rFonts w:ascii="Garamond" w:hAnsi="Garamond"/>
        </w:rPr>
        <w:t>Developing c</w:t>
      </w:r>
      <w:r w:rsidR="001A1E04" w:rsidRPr="004A0C12">
        <w:rPr>
          <w:rFonts w:ascii="Garamond" w:hAnsi="Garamond"/>
        </w:rPr>
        <w:t xml:space="preserve">ommon branding to </w:t>
      </w:r>
      <w:r w:rsidR="007056D8" w:rsidRPr="004A0C12">
        <w:rPr>
          <w:rFonts w:ascii="Garamond" w:hAnsi="Garamond"/>
        </w:rPr>
        <w:t xml:space="preserve">effectively </w:t>
      </w:r>
      <w:r w:rsidR="001A1E04" w:rsidRPr="004A0C12">
        <w:rPr>
          <w:rFonts w:ascii="Garamond" w:hAnsi="Garamond"/>
        </w:rPr>
        <w:t>promote Maryland’s workforce system.</w:t>
      </w:r>
    </w:p>
    <w:p w14:paraId="2CB48CC7" w14:textId="77777777" w:rsidR="001A1E04" w:rsidRPr="004A0C12" w:rsidRDefault="001A1E04" w:rsidP="001C614D">
      <w:pPr>
        <w:spacing w:after="0" w:line="240" w:lineRule="auto"/>
        <w:jc w:val="both"/>
        <w:rPr>
          <w:rFonts w:ascii="Garamond" w:hAnsi="Garamond"/>
        </w:rPr>
      </w:pPr>
    </w:p>
    <w:p w14:paraId="57F32154" w14:textId="6839E9DE" w:rsidR="005D0F85" w:rsidRPr="004A0C12" w:rsidRDefault="005D0F85" w:rsidP="001C614D">
      <w:pPr>
        <w:spacing w:after="0" w:line="240" w:lineRule="auto"/>
        <w:jc w:val="both"/>
        <w:rPr>
          <w:rFonts w:ascii="Garamond" w:hAnsi="Garamond"/>
        </w:rPr>
      </w:pPr>
      <w:r w:rsidRPr="004A0C12">
        <w:rPr>
          <w:rFonts w:ascii="Garamond" w:hAnsi="Garamond"/>
        </w:rPr>
        <w:t xml:space="preserve">To that end, </w:t>
      </w:r>
      <w:r w:rsidR="002E1552" w:rsidRPr="004A0C12">
        <w:rPr>
          <w:rFonts w:ascii="Garamond" w:hAnsi="Garamond"/>
        </w:rPr>
        <w:t>the WIOA Partners are committed</w:t>
      </w:r>
      <w:r w:rsidRPr="004A0C12">
        <w:rPr>
          <w:rFonts w:ascii="Garamond" w:hAnsi="Garamond"/>
        </w:rPr>
        <w:t xml:space="preserve"> to </w:t>
      </w:r>
      <w:r w:rsidR="002E1552" w:rsidRPr="004A0C12">
        <w:rPr>
          <w:rFonts w:ascii="Garamond" w:hAnsi="Garamond"/>
        </w:rPr>
        <w:t xml:space="preserve">convening </w:t>
      </w:r>
      <w:r w:rsidRPr="004A0C12">
        <w:rPr>
          <w:rFonts w:ascii="Garamond" w:hAnsi="Garamond"/>
        </w:rPr>
        <w:t>on a monthly basis for at least the first two years of implementation.</w:t>
      </w:r>
      <w:r w:rsidR="000D217D" w:rsidRPr="004A0C12">
        <w:rPr>
          <w:rFonts w:ascii="Garamond" w:hAnsi="Garamond"/>
        </w:rPr>
        <w:t xml:space="preserve"> </w:t>
      </w:r>
      <w:r w:rsidR="003935B8" w:rsidRPr="004A0C12">
        <w:rPr>
          <w:rFonts w:ascii="Garamond" w:hAnsi="Garamond"/>
        </w:rPr>
        <w:t xml:space="preserve">Additionally, local workforce areas are encouraged to find ways to collaboratively engage their local partners during both the formulation </w:t>
      </w:r>
      <w:r w:rsidR="002E1552" w:rsidRPr="004A0C12">
        <w:rPr>
          <w:rFonts w:ascii="Garamond" w:hAnsi="Garamond"/>
        </w:rPr>
        <w:t xml:space="preserve">and implementation </w:t>
      </w:r>
      <w:r w:rsidR="003935B8" w:rsidRPr="004A0C12">
        <w:rPr>
          <w:rFonts w:ascii="Garamond" w:hAnsi="Garamond"/>
        </w:rPr>
        <w:t xml:space="preserve">of local plans and the implementation of the same. For instance, all local partners can establish a monthly event for their joint customers. Information for the event can be posted in local libraries, food pantries, and other public spaces to provide inclusiveness to the public who may not regularly be aware </w:t>
      </w:r>
      <w:r w:rsidR="007056D8" w:rsidRPr="004A0C12">
        <w:rPr>
          <w:rFonts w:ascii="Garamond" w:hAnsi="Garamond"/>
        </w:rPr>
        <w:t xml:space="preserve">that these resources exist.    </w:t>
      </w:r>
    </w:p>
    <w:p w14:paraId="6FF6B79D" w14:textId="69819C1B" w:rsidR="000D217D" w:rsidRPr="00B60621" w:rsidRDefault="0087536B" w:rsidP="0054168E">
      <w:pPr>
        <w:pStyle w:val="Heading3"/>
        <w:rPr>
          <w:rFonts w:ascii="Garamond" w:hAnsi="Garamond"/>
          <w:sz w:val="24"/>
          <w:szCs w:val="24"/>
        </w:rPr>
      </w:pPr>
      <w:bookmarkStart w:id="45" w:name="_Toc447276100"/>
      <w:r w:rsidRPr="00B60621">
        <w:rPr>
          <w:rFonts w:ascii="Garamond" w:hAnsi="Garamond"/>
          <w:sz w:val="24"/>
          <w:szCs w:val="24"/>
        </w:rPr>
        <w:t>Jobseeker Advisory Focus Groups</w:t>
      </w:r>
      <w:bookmarkEnd w:id="45"/>
      <w:r w:rsidRPr="00B60621">
        <w:rPr>
          <w:rFonts w:ascii="Garamond" w:hAnsi="Garamond"/>
          <w:sz w:val="24"/>
          <w:szCs w:val="24"/>
        </w:rPr>
        <w:t xml:space="preserve"> </w:t>
      </w:r>
    </w:p>
    <w:p w14:paraId="34C0A2C4" w14:textId="6E360AE6" w:rsidR="00186FA0" w:rsidRPr="004A0C12" w:rsidRDefault="00AE52EE" w:rsidP="007056D8">
      <w:pPr>
        <w:spacing w:after="0" w:line="240" w:lineRule="auto"/>
        <w:jc w:val="both"/>
        <w:rPr>
          <w:rFonts w:ascii="Garamond" w:hAnsi="Garamond"/>
        </w:rPr>
      </w:pPr>
      <w:r w:rsidRPr="004A0C12">
        <w:rPr>
          <w:rFonts w:ascii="Garamond" w:hAnsi="Garamond"/>
        </w:rPr>
        <w:t>Maryland’s customer-</w:t>
      </w:r>
      <w:r w:rsidR="000D217D" w:rsidRPr="004A0C12">
        <w:rPr>
          <w:rFonts w:ascii="Garamond" w:hAnsi="Garamond"/>
        </w:rPr>
        <w:t>centric approach</w:t>
      </w:r>
      <w:r w:rsidR="0087536B" w:rsidRPr="004A0C12">
        <w:rPr>
          <w:rFonts w:ascii="Garamond" w:hAnsi="Garamond"/>
        </w:rPr>
        <w:t xml:space="preserve"> requires that the WIOA Partners continue to meet the needs of jobseekers and businesses who </w:t>
      </w:r>
      <w:r w:rsidR="002E1552" w:rsidRPr="004A0C12">
        <w:rPr>
          <w:rFonts w:ascii="Garamond" w:hAnsi="Garamond"/>
        </w:rPr>
        <w:t>utilize the services of</w:t>
      </w:r>
      <w:r w:rsidR="0087536B" w:rsidRPr="004A0C12">
        <w:rPr>
          <w:rFonts w:ascii="Garamond" w:hAnsi="Garamond"/>
        </w:rPr>
        <w:t xml:space="preserve"> the WIOA system. As GWIB continues to ensure that businesses are proactively engaged and that the voice of business is represented, the WIOA Partners are also dedicated to establishing a Jobseeker Advisory </w:t>
      </w:r>
      <w:r w:rsidR="00174353" w:rsidRPr="004A0C12">
        <w:rPr>
          <w:rFonts w:ascii="Garamond" w:hAnsi="Garamond"/>
        </w:rPr>
        <w:t>Focus Groups</w:t>
      </w:r>
      <w:r w:rsidR="0087536B" w:rsidRPr="004A0C12">
        <w:rPr>
          <w:rFonts w:ascii="Garamond" w:hAnsi="Garamond"/>
        </w:rPr>
        <w:t>. T</w:t>
      </w:r>
      <w:r w:rsidR="00186FA0" w:rsidRPr="004A0C12">
        <w:rPr>
          <w:rFonts w:ascii="Garamond" w:hAnsi="Garamond"/>
        </w:rPr>
        <w:t>o ensure that Maryland’s workforce system continually focuses on placing people before performance, t</w:t>
      </w:r>
      <w:r w:rsidR="0087536B" w:rsidRPr="004A0C12">
        <w:rPr>
          <w:rFonts w:ascii="Garamond" w:hAnsi="Garamond"/>
        </w:rPr>
        <w:t xml:space="preserve">his effort will engage jobseekers throughout the State </w:t>
      </w:r>
      <w:r w:rsidR="002E1552" w:rsidRPr="004A0C12">
        <w:rPr>
          <w:rFonts w:ascii="Garamond" w:hAnsi="Garamond"/>
        </w:rPr>
        <w:t xml:space="preserve">in an effort to better </w:t>
      </w:r>
      <w:r w:rsidR="0087536B" w:rsidRPr="004A0C12">
        <w:rPr>
          <w:rFonts w:ascii="Garamond" w:hAnsi="Garamond"/>
        </w:rPr>
        <w:t>understand the barriers t</w:t>
      </w:r>
      <w:r w:rsidR="00186FA0" w:rsidRPr="004A0C12">
        <w:rPr>
          <w:rFonts w:ascii="Garamond" w:hAnsi="Garamond"/>
        </w:rPr>
        <w:t>hey face in securing employment.</w:t>
      </w:r>
    </w:p>
    <w:p w14:paraId="5375D6D4" w14:textId="77777777" w:rsidR="0087536B" w:rsidRPr="004A0C12" w:rsidRDefault="0087536B" w:rsidP="007056D8">
      <w:pPr>
        <w:spacing w:after="0" w:line="240" w:lineRule="auto"/>
        <w:jc w:val="both"/>
        <w:rPr>
          <w:rFonts w:ascii="Garamond" w:hAnsi="Garamond"/>
        </w:rPr>
      </w:pPr>
    </w:p>
    <w:p w14:paraId="166158BA" w14:textId="4F0CCAC8" w:rsidR="00174353" w:rsidRPr="004A0C12" w:rsidRDefault="0087536B" w:rsidP="007056D8">
      <w:pPr>
        <w:pStyle w:val="CommentText"/>
        <w:jc w:val="both"/>
        <w:rPr>
          <w:rFonts w:ascii="Garamond" w:hAnsi="Garamond"/>
          <w:sz w:val="22"/>
          <w:szCs w:val="22"/>
        </w:rPr>
      </w:pPr>
      <w:r w:rsidRPr="004A0C12">
        <w:rPr>
          <w:rFonts w:ascii="Garamond" w:hAnsi="Garamond"/>
          <w:sz w:val="22"/>
          <w:szCs w:val="22"/>
        </w:rPr>
        <w:t xml:space="preserve">The </w:t>
      </w:r>
      <w:r w:rsidR="00174353" w:rsidRPr="004A0C12">
        <w:rPr>
          <w:rFonts w:ascii="Garamond" w:hAnsi="Garamond"/>
          <w:sz w:val="22"/>
          <w:szCs w:val="22"/>
        </w:rPr>
        <w:t xml:space="preserve">focus groups will </w:t>
      </w:r>
      <w:r w:rsidRPr="004A0C12">
        <w:rPr>
          <w:rFonts w:ascii="Garamond" w:hAnsi="Garamond"/>
          <w:sz w:val="22"/>
          <w:szCs w:val="22"/>
        </w:rPr>
        <w:t>advise the workforce system</w:t>
      </w:r>
      <w:r w:rsidR="00174353" w:rsidRPr="004A0C12">
        <w:rPr>
          <w:rFonts w:ascii="Garamond" w:hAnsi="Garamond"/>
          <w:sz w:val="22"/>
          <w:szCs w:val="22"/>
        </w:rPr>
        <w:t xml:space="preserve"> by giving a voice to the jobseekers it </w:t>
      </w:r>
      <w:r w:rsidR="002E1552" w:rsidRPr="004A0C12">
        <w:rPr>
          <w:rFonts w:ascii="Garamond" w:hAnsi="Garamond"/>
          <w:sz w:val="22"/>
          <w:szCs w:val="22"/>
        </w:rPr>
        <w:t>serves</w:t>
      </w:r>
      <w:r w:rsidR="00174353" w:rsidRPr="004A0C12">
        <w:rPr>
          <w:rFonts w:ascii="Garamond" w:hAnsi="Garamond"/>
          <w:sz w:val="22"/>
          <w:szCs w:val="22"/>
        </w:rPr>
        <w:t>. As Maryland’s system continues to dedicate its efforts to those with barriers to employment, the focus groups will ensure that the WIOA Partners are continually awa</w:t>
      </w:r>
      <w:r w:rsidR="00BB5F3C" w:rsidRPr="004A0C12">
        <w:rPr>
          <w:rFonts w:ascii="Garamond" w:hAnsi="Garamond"/>
          <w:sz w:val="22"/>
          <w:szCs w:val="22"/>
        </w:rPr>
        <w:t>re of the barriers faced by job</w:t>
      </w:r>
      <w:r w:rsidR="00174353" w:rsidRPr="004A0C12">
        <w:rPr>
          <w:rFonts w:ascii="Garamond" w:hAnsi="Garamond"/>
          <w:sz w:val="22"/>
          <w:szCs w:val="22"/>
        </w:rPr>
        <w:t>seekers and workers in securing and maintaining stable employment</w:t>
      </w:r>
      <w:r w:rsidR="00BD0F79" w:rsidRPr="004A0C12">
        <w:rPr>
          <w:rFonts w:ascii="Garamond" w:hAnsi="Garamond"/>
          <w:sz w:val="22"/>
          <w:szCs w:val="22"/>
        </w:rPr>
        <w:t>,</w:t>
      </w:r>
      <w:r w:rsidR="00174353" w:rsidRPr="004A0C12">
        <w:rPr>
          <w:rFonts w:ascii="Garamond" w:hAnsi="Garamond"/>
          <w:sz w:val="22"/>
          <w:szCs w:val="22"/>
        </w:rPr>
        <w:t xml:space="preserve"> and earning a family-supporting wage. </w:t>
      </w:r>
    </w:p>
    <w:p w14:paraId="15CACB21" w14:textId="77777777" w:rsidR="00174353" w:rsidRPr="004A0C12" w:rsidRDefault="00174353" w:rsidP="007056D8">
      <w:pPr>
        <w:pStyle w:val="CommentText"/>
        <w:jc w:val="both"/>
        <w:rPr>
          <w:rFonts w:ascii="Garamond" w:hAnsi="Garamond"/>
          <w:sz w:val="22"/>
          <w:szCs w:val="22"/>
        </w:rPr>
      </w:pPr>
    </w:p>
    <w:p w14:paraId="64D7E9D3" w14:textId="45E20BA8" w:rsidR="00174353" w:rsidRPr="004A0C12" w:rsidRDefault="00174353" w:rsidP="007056D8">
      <w:pPr>
        <w:pStyle w:val="CommentText"/>
        <w:jc w:val="both"/>
        <w:rPr>
          <w:rFonts w:ascii="Garamond" w:hAnsi="Garamond"/>
          <w:sz w:val="22"/>
          <w:szCs w:val="22"/>
        </w:rPr>
      </w:pPr>
      <w:r w:rsidRPr="004A0C12">
        <w:rPr>
          <w:rFonts w:ascii="Garamond" w:hAnsi="Garamond"/>
          <w:sz w:val="22"/>
          <w:szCs w:val="22"/>
        </w:rPr>
        <w:t xml:space="preserve">Engagement of focus groups will </w:t>
      </w:r>
      <w:r w:rsidR="002E1552" w:rsidRPr="004A0C12">
        <w:rPr>
          <w:rFonts w:ascii="Garamond" w:hAnsi="Garamond"/>
          <w:sz w:val="22"/>
          <w:szCs w:val="22"/>
        </w:rPr>
        <w:t xml:space="preserve">allow </w:t>
      </w:r>
      <w:r w:rsidRPr="004A0C12">
        <w:rPr>
          <w:rFonts w:ascii="Garamond" w:hAnsi="Garamond"/>
          <w:sz w:val="22"/>
          <w:szCs w:val="22"/>
        </w:rPr>
        <w:t>the WIOA Partners</w:t>
      </w:r>
      <w:r w:rsidR="002E1552" w:rsidRPr="004A0C12">
        <w:rPr>
          <w:rFonts w:ascii="Garamond" w:hAnsi="Garamond"/>
          <w:sz w:val="22"/>
          <w:szCs w:val="22"/>
        </w:rPr>
        <w:t xml:space="preserve"> to further</w:t>
      </w:r>
      <w:r w:rsidRPr="004A0C12">
        <w:rPr>
          <w:rFonts w:ascii="Garamond" w:hAnsi="Garamond"/>
          <w:sz w:val="22"/>
          <w:szCs w:val="22"/>
        </w:rPr>
        <w:t xml:space="preserve"> develop an understanding of how processes could be streamlined from a customer’s point of view. Members of these focus groups could also help improve the reemployment</w:t>
      </w:r>
      <w:r w:rsidR="002E1552" w:rsidRPr="004A0C12">
        <w:rPr>
          <w:rFonts w:ascii="Garamond" w:hAnsi="Garamond"/>
          <w:sz w:val="22"/>
          <w:szCs w:val="22"/>
        </w:rPr>
        <w:t xml:space="preserve"> efforts</w:t>
      </w:r>
      <w:r w:rsidRPr="004A0C12">
        <w:rPr>
          <w:rFonts w:ascii="Garamond" w:hAnsi="Garamond"/>
          <w:sz w:val="22"/>
          <w:szCs w:val="22"/>
        </w:rPr>
        <w:t>, Rapid Response, and other programs provided at the American Job Centers throughout the State by providing</w:t>
      </w:r>
      <w:r w:rsidR="002E1552" w:rsidRPr="004A0C12">
        <w:rPr>
          <w:rFonts w:ascii="Garamond" w:hAnsi="Garamond"/>
          <w:sz w:val="22"/>
          <w:szCs w:val="22"/>
        </w:rPr>
        <w:t xml:space="preserve"> first-hand</w:t>
      </w:r>
      <w:r w:rsidRPr="004A0C12">
        <w:rPr>
          <w:rFonts w:ascii="Garamond" w:hAnsi="Garamond"/>
          <w:sz w:val="22"/>
          <w:szCs w:val="22"/>
        </w:rPr>
        <w:t xml:space="preserve"> information on how these programs can help jobseekers overcome the barriers they face in order to become re-employed quickly.  </w:t>
      </w:r>
    </w:p>
    <w:p w14:paraId="05B3FA3D" w14:textId="77777777" w:rsidR="0087536B" w:rsidRPr="004A0C12" w:rsidRDefault="0087536B" w:rsidP="007056D8">
      <w:pPr>
        <w:spacing w:after="0" w:line="240" w:lineRule="auto"/>
        <w:jc w:val="both"/>
        <w:rPr>
          <w:rFonts w:ascii="Garamond" w:hAnsi="Garamond"/>
          <w:b/>
        </w:rPr>
      </w:pPr>
    </w:p>
    <w:p w14:paraId="0DAAC776" w14:textId="7DA9EF15" w:rsidR="0087536B" w:rsidRPr="004A0C12" w:rsidRDefault="00174353" w:rsidP="007056D8">
      <w:pPr>
        <w:spacing w:after="0" w:line="240" w:lineRule="auto"/>
        <w:jc w:val="both"/>
        <w:rPr>
          <w:rFonts w:ascii="Garamond" w:hAnsi="Garamond"/>
        </w:rPr>
      </w:pPr>
      <w:r w:rsidRPr="004A0C12">
        <w:rPr>
          <w:rFonts w:ascii="Garamond" w:hAnsi="Garamond" w:cs="Times New Roman"/>
        </w:rPr>
        <w:t xml:space="preserve">The WIOA Partners will develop a process upon which customers are selected to participate in the focus groups without interrupting their </w:t>
      </w:r>
      <w:r w:rsidR="00BB5F3C" w:rsidRPr="004A0C12">
        <w:rPr>
          <w:rFonts w:ascii="Garamond" w:hAnsi="Garamond" w:cs="Times New Roman"/>
        </w:rPr>
        <w:t>lives. Local A</w:t>
      </w:r>
      <w:r w:rsidR="00BA1FD0" w:rsidRPr="004A0C12">
        <w:rPr>
          <w:rFonts w:ascii="Garamond" w:hAnsi="Garamond" w:cs="Times New Roman"/>
        </w:rPr>
        <w:t xml:space="preserve">reas are also encouraged to </w:t>
      </w:r>
      <w:r w:rsidR="002E1552" w:rsidRPr="004A0C12">
        <w:rPr>
          <w:rFonts w:ascii="Garamond" w:hAnsi="Garamond" w:cs="Times New Roman"/>
        </w:rPr>
        <w:t>include</w:t>
      </w:r>
      <w:r w:rsidR="00BA1FD0" w:rsidRPr="004A0C12">
        <w:rPr>
          <w:rFonts w:ascii="Garamond" w:hAnsi="Garamond" w:cs="Times New Roman"/>
        </w:rPr>
        <w:t xml:space="preserve"> in their local plans how they intend to engage jobseekers who use their services.  </w:t>
      </w:r>
    </w:p>
    <w:p w14:paraId="27AE583C" w14:textId="2C4EA2CF" w:rsidR="001A1E04" w:rsidRPr="00B60621" w:rsidRDefault="00BA1FD0" w:rsidP="0054168E">
      <w:pPr>
        <w:pStyle w:val="Heading3"/>
        <w:rPr>
          <w:rFonts w:ascii="Garamond" w:hAnsi="Garamond"/>
          <w:sz w:val="24"/>
          <w:szCs w:val="24"/>
        </w:rPr>
      </w:pPr>
      <w:bookmarkStart w:id="46" w:name="_Toc447276101"/>
      <w:r w:rsidRPr="00B60621">
        <w:rPr>
          <w:rFonts w:ascii="Garamond" w:hAnsi="Garamond"/>
          <w:sz w:val="24"/>
          <w:szCs w:val="24"/>
        </w:rPr>
        <w:t>Maryland State WIOA Convening</w:t>
      </w:r>
      <w:bookmarkEnd w:id="46"/>
      <w:r w:rsidRPr="00B60621">
        <w:rPr>
          <w:rFonts w:ascii="Garamond" w:hAnsi="Garamond"/>
          <w:sz w:val="24"/>
          <w:szCs w:val="24"/>
        </w:rPr>
        <w:t xml:space="preserve"> </w:t>
      </w:r>
    </w:p>
    <w:p w14:paraId="71EA6239" w14:textId="7944E87D" w:rsidR="00BA1FD0" w:rsidRPr="004A0C12" w:rsidRDefault="00BA1FD0" w:rsidP="00BD0F79">
      <w:pPr>
        <w:spacing w:after="0" w:line="240" w:lineRule="auto"/>
        <w:jc w:val="both"/>
        <w:rPr>
          <w:rFonts w:ascii="Garamond" w:hAnsi="Garamond"/>
        </w:rPr>
      </w:pPr>
      <w:r w:rsidRPr="004A0C12">
        <w:rPr>
          <w:rFonts w:ascii="Garamond" w:hAnsi="Garamond"/>
        </w:rPr>
        <w:t xml:space="preserve">The WIOA Partners recognize that continuous communication is necessary to ensure that Maryland’s customer-centric workforce model is not just words on a page. During the summer of 2016, the WIOA Partners </w:t>
      </w:r>
      <w:r w:rsidR="002E1552" w:rsidRPr="004A0C12">
        <w:rPr>
          <w:rFonts w:ascii="Garamond" w:hAnsi="Garamond"/>
        </w:rPr>
        <w:t>will hold</w:t>
      </w:r>
      <w:r w:rsidRPr="004A0C12">
        <w:rPr>
          <w:rFonts w:ascii="Garamond" w:hAnsi="Garamond"/>
        </w:rPr>
        <w:t xml:space="preserve"> a </w:t>
      </w:r>
      <w:r w:rsidR="00671935" w:rsidRPr="004A0C12">
        <w:rPr>
          <w:rFonts w:ascii="Garamond" w:hAnsi="Garamond"/>
        </w:rPr>
        <w:t>WIOA convening</w:t>
      </w:r>
      <w:r w:rsidRPr="004A0C12">
        <w:rPr>
          <w:rFonts w:ascii="Garamond" w:hAnsi="Garamond"/>
        </w:rPr>
        <w:t xml:space="preserve">. The convening will </w:t>
      </w:r>
      <w:r w:rsidR="001A1E04" w:rsidRPr="004A0C12">
        <w:rPr>
          <w:rFonts w:ascii="Garamond" w:hAnsi="Garamond"/>
        </w:rPr>
        <w:t xml:space="preserve">include </w:t>
      </w:r>
      <w:r w:rsidRPr="004A0C12">
        <w:rPr>
          <w:rFonts w:ascii="Garamond" w:hAnsi="Garamond"/>
        </w:rPr>
        <w:t xml:space="preserve">the </w:t>
      </w:r>
      <w:r w:rsidR="001A1E04" w:rsidRPr="004A0C12">
        <w:rPr>
          <w:rFonts w:ascii="Garamond" w:hAnsi="Garamond"/>
        </w:rPr>
        <w:t>cabinet sec</w:t>
      </w:r>
      <w:r w:rsidR="00AE52EE" w:rsidRPr="004A0C12">
        <w:rPr>
          <w:rFonts w:ascii="Garamond" w:hAnsi="Garamond"/>
        </w:rPr>
        <w:t>retaries representing the WIOA P</w:t>
      </w:r>
      <w:r w:rsidR="001A1E04" w:rsidRPr="004A0C12">
        <w:rPr>
          <w:rFonts w:ascii="Garamond" w:hAnsi="Garamond"/>
        </w:rPr>
        <w:t>artners</w:t>
      </w:r>
      <w:r w:rsidR="00AE52EE" w:rsidRPr="004A0C12">
        <w:rPr>
          <w:rFonts w:ascii="Garamond" w:hAnsi="Garamond"/>
        </w:rPr>
        <w:t>, key management from the WIOA P</w:t>
      </w:r>
      <w:r w:rsidR="001A1E04" w:rsidRPr="004A0C12">
        <w:rPr>
          <w:rFonts w:ascii="Garamond" w:hAnsi="Garamond"/>
        </w:rPr>
        <w:t xml:space="preserve">artners, GWIB representatives, and key local operational representation. </w:t>
      </w:r>
    </w:p>
    <w:p w14:paraId="3EA067A7" w14:textId="77777777" w:rsidR="00BA1FD0" w:rsidRPr="004A0C12" w:rsidRDefault="00BA1FD0" w:rsidP="00BD0F79">
      <w:pPr>
        <w:spacing w:after="0" w:line="240" w:lineRule="auto"/>
        <w:jc w:val="both"/>
        <w:rPr>
          <w:rFonts w:ascii="Garamond" w:hAnsi="Garamond"/>
        </w:rPr>
      </w:pPr>
    </w:p>
    <w:p w14:paraId="68DACB81" w14:textId="1EBC0ECD" w:rsidR="00BA1FD0" w:rsidRPr="004A0C12" w:rsidRDefault="001A1E04" w:rsidP="00BD0F79">
      <w:pPr>
        <w:spacing w:after="0" w:line="240" w:lineRule="auto"/>
        <w:jc w:val="both"/>
        <w:rPr>
          <w:rFonts w:ascii="Garamond" w:hAnsi="Garamond"/>
        </w:rPr>
      </w:pPr>
      <w:r w:rsidRPr="004A0C12">
        <w:rPr>
          <w:rFonts w:ascii="Garamond" w:hAnsi="Garamond"/>
        </w:rPr>
        <w:lastRenderedPageBreak/>
        <w:t>The vision for an integrate</w:t>
      </w:r>
      <w:r w:rsidR="002E1552" w:rsidRPr="004A0C12">
        <w:rPr>
          <w:rFonts w:ascii="Garamond" w:hAnsi="Garamond"/>
        </w:rPr>
        <w:t>d system, as set forth in this P</w:t>
      </w:r>
      <w:r w:rsidRPr="004A0C12">
        <w:rPr>
          <w:rFonts w:ascii="Garamond" w:hAnsi="Garamond"/>
        </w:rPr>
        <w:t>lan, will be communicated at this convening. A</w:t>
      </w:r>
      <w:r w:rsidR="002E1552" w:rsidRPr="004A0C12">
        <w:rPr>
          <w:rFonts w:ascii="Garamond" w:hAnsi="Garamond"/>
        </w:rPr>
        <w:t>dditionally, best practices will</w:t>
      </w:r>
      <w:r w:rsidRPr="004A0C12">
        <w:rPr>
          <w:rFonts w:ascii="Garamond" w:hAnsi="Garamond"/>
        </w:rPr>
        <w:t xml:space="preserve"> be discussed, and partners from all levels must be afforded the opportunity to d</w:t>
      </w:r>
      <w:r w:rsidR="002E1552" w:rsidRPr="004A0C12">
        <w:rPr>
          <w:rFonts w:ascii="Garamond" w:hAnsi="Garamond"/>
        </w:rPr>
        <w:t>iscuss issues as this combined P</w:t>
      </w:r>
      <w:r w:rsidRPr="004A0C12">
        <w:rPr>
          <w:rFonts w:ascii="Garamond" w:hAnsi="Garamond"/>
        </w:rPr>
        <w:t>lan is implemented.</w:t>
      </w:r>
      <w:r w:rsidR="00BA1FD0" w:rsidRPr="004A0C12">
        <w:rPr>
          <w:rFonts w:ascii="Garamond" w:hAnsi="Garamond"/>
        </w:rPr>
        <w:t xml:space="preserve"> The goal of the convening is to ensure that the provisions set forth in the Maryland State Combined Plan will be implemented</w:t>
      </w:r>
      <w:r w:rsidR="002E1552" w:rsidRPr="004A0C12">
        <w:rPr>
          <w:rFonts w:ascii="Garamond" w:hAnsi="Garamond"/>
        </w:rPr>
        <w:t xml:space="preserve"> in the most effective and efficient way to better serve Maryland’s jobseekers and businesses</w:t>
      </w:r>
      <w:r w:rsidR="00BA1FD0" w:rsidRPr="004A0C12">
        <w:rPr>
          <w:rFonts w:ascii="Garamond" w:hAnsi="Garamond"/>
        </w:rPr>
        <w:t xml:space="preserve">. </w:t>
      </w:r>
    </w:p>
    <w:p w14:paraId="5FAB8C50" w14:textId="77777777" w:rsidR="00BA1FD0" w:rsidRPr="004A0C12" w:rsidRDefault="00BA1FD0" w:rsidP="00BD0F79">
      <w:pPr>
        <w:spacing w:after="0" w:line="240" w:lineRule="auto"/>
        <w:jc w:val="both"/>
        <w:rPr>
          <w:rFonts w:ascii="Garamond" w:hAnsi="Garamond"/>
        </w:rPr>
      </w:pPr>
    </w:p>
    <w:p w14:paraId="5332B6DF" w14:textId="68A47B73" w:rsidR="00BA1FD0" w:rsidRPr="004A0C12" w:rsidRDefault="00BA1FD0" w:rsidP="00BD0F79">
      <w:pPr>
        <w:spacing w:after="0" w:line="240" w:lineRule="auto"/>
        <w:jc w:val="both"/>
        <w:rPr>
          <w:rFonts w:ascii="Garamond" w:hAnsi="Garamond"/>
        </w:rPr>
      </w:pPr>
      <w:r w:rsidRPr="004A0C12">
        <w:rPr>
          <w:rFonts w:ascii="Garamond" w:hAnsi="Garamond"/>
        </w:rPr>
        <w:t xml:space="preserve">The convening should include: </w:t>
      </w:r>
    </w:p>
    <w:p w14:paraId="5B9E72BC" w14:textId="674CCB1E" w:rsidR="00BA1FD0" w:rsidRPr="004A0C12" w:rsidRDefault="00BA1FD0" w:rsidP="00232F09">
      <w:pPr>
        <w:pStyle w:val="ListParagraph"/>
        <w:numPr>
          <w:ilvl w:val="0"/>
          <w:numId w:val="208"/>
        </w:numPr>
        <w:jc w:val="both"/>
        <w:rPr>
          <w:rFonts w:ascii="Garamond" w:hAnsi="Garamond"/>
          <w:szCs w:val="22"/>
        </w:rPr>
      </w:pPr>
      <w:r w:rsidRPr="004A0C12">
        <w:rPr>
          <w:rFonts w:ascii="Garamond" w:hAnsi="Garamond"/>
          <w:szCs w:val="22"/>
        </w:rPr>
        <w:t>A communication of a shared vision for Maryland’s cust</w:t>
      </w:r>
      <w:r w:rsidR="00AE52EE" w:rsidRPr="004A0C12">
        <w:rPr>
          <w:rFonts w:ascii="Garamond" w:hAnsi="Garamond"/>
          <w:szCs w:val="22"/>
        </w:rPr>
        <w:t>omer-centric workforce approach</w:t>
      </w:r>
      <w:r w:rsidRPr="004A0C12">
        <w:rPr>
          <w:rFonts w:ascii="Garamond" w:hAnsi="Garamond"/>
          <w:szCs w:val="22"/>
        </w:rPr>
        <w:t xml:space="preserve"> </w:t>
      </w:r>
    </w:p>
    <w:p w14:paraId="41399623" w14:textId="483D64EE" w:rsidR="00BA1FD0" w:rsidRPr="004A0C12" w:rsidRDefault="00BA1FD0" w:rsidP="00232F09">
      <w:pPr>
        <w:pStyle w:val="ListParagraph"/>
        <w:numPr>
          <w:ilvl w:val="0"/>
          <w:numId w:val="208"/>
        </w:numPr>
        <w:jc w:val="both"/>
        <w:rPr>
          <w:rFonts w:ascii="Garamond" w:hAnsi="Garamond"/>
          <w:szCs w:val="22"/>
        </w:rPr>
      </w:pPr>
      <w:r w:rsidRPr="004A0C12">
        <w:rPr>
          <w:rFonts w:ascii="Garamond" w:hAnsi="Garamond"/>
          <w:szCs w:val="22"/>
        </w:rPr>
        <w:t xml:space="preserve">Breakout sessions regarding ways to integrate vocational rehabilitation and TANF customers into </w:t>
      </w:r>
      <w:r w:rsidR="00AE52EE" w:rsidRPr="004A0C12">
        <w:rPr>
          <w:rFonts w:ascii="Garamond" w:hAnsi="Garamond"/>
          <w:szCs w:val="22"/>
        </w:rPr>
        <w:t>the American Job Center system</w:t>
      </w:r>
    </w:p>
    <w:p w14:paraId="382308E4" w14:textId="540A8E28" w:rsidR="00BA1FD0" w:rsidRPr="004A0C12" w:rsidRDefault="00BA1FD0" w:rsidP="00232F09">
      <w:pPr>
        <w:pStyle w:val="ListParagraph"/>
        <w:numPr>
          <w:ilvl w:val="0"/>
          <w:numId w:val="208"/>
        </w:numPr>
        <w:jc w:val="both"/>
        <w:rPr>
          <w:rFonts w:ascii="Garamond" w:hAnsi="Garamond"/>
          <w:szCs w:val="22"/>
        </w:rPr>
      </w:pPr>
      <w:r w:rsidRPr="004A0C12">
        <w:rPr>
          <w:rFonts w:ascii="Garamond" w:hAnsi="Garamond"/>
          <w:szCs w:val="22"/>
        </w:rPr>
        <w:t>Sessions on barriers to employment and be</w:t>
      </w:r>
      <w:r w:rsidR="00AE52EE" w:rsidRPr="004A0C12">
        <w:rPr>
          <w:rFonts w:ascii="Garamond" w:hAnsi="Garamond"/>
          <w:szCs w:val="22"/>
        </w:rPr>
        <w:t>st practices on barrier removal</w:t>
      </w:r>
      <w:r w:rsidRPr="004A0C12">
        <w:rPr>
          <w:rFonts w:ascii="Garamond" w:hAnsi="Garamond"/>
          <w:szCs w:val="22"/>
        </w:rPr>
        <w:t xml:space="preserve"> </w:t>
      </w:r>
    </w:p>
    <w:p w14:paraId="5B95CC50" w14:textId="106C7CC0" w:rsidR="00BA1FD0" w:rsidRPr="004A0C12" w:rsidRDefault="00BA1FD0" w:rsidP="00232F09">
      <w:pPr>
        <w:pStyle w:val="ListParagraph"/>
        <w:numPr>
          <w:ilvl w:val="0"/>
          <w:numId w:val="208"/>
        </w:numPr>
        <w:jc w:val="both"/>
        <w:rPr>
          <w:rFonts w:ascii="Garamond" w:hAnsi="Garamond"/>
          <w:szCs w:val="22"/>
        </w:rPr>
      </w:pPr>
      <w:r w:rsidRPr="004A0C12">
        <w:rPr>
          <w:rFonts w:ascii="Garamond" w:hAnsi="Garamond"/>
          <w:szCs w:val="22"/>
        </w:rPr>
        <w:t>Sessions on leveraging funding for supportive service</w:t>
      </w:r>
      <w:r w:rsidR="00AE52EE" w:rsidRPr="004A0C12">
        <w:rPr>
          <w:rFonts w:ascii="Garamond" w:hAnsi="Garamond"/>
          <w:szCs w:val="22"/>
        </w:rPr>
        <w:t>s</w:t>
      </w:r>
    </w:p>
    <w:p w14:paraId="647A8748" w14:textId="3333711C" w:rsidR="00BA1FD0" w:rsidRPr="004A0C12" w:rsidRDefault="00BA1FD0" w:rsidP="00232F09">
      <w:pPr>
        <w:pStyle w:val="ListParagraph"/>
        <w:numPr>
          <w:ilvl w:val="0"/>
          <w:numId w:val="208"/>
        </w:numPr>
        <w:jc w:val="both"/>
        <w:rPr>
          <w:rFonts w:ascii="Garamond" w:hAnsi="Garamond"/>
          <w:szCs w:val="22"/>
        </w:rPr>
      </w:pPr>
      <w:r w:rsidRPr="004A0C12">
        <w:rPr>
          <w:rFonts w:ascii="Garamond" w:hAnsi="Garamond"/>
          <w:szCs w:val="22"/>
        </w:rPr>
        <w:t>Sessions on best practices such as ACE and MI-BEST, as well as sector-based training programs and sector partnerships, inclu</w:t>
      </w:r>
      <w:r w:rsidR="00AE52EE" w:rsidRPr="004A0C12">
        <w:rPr>
          <w:rFonts w:ascii="Garamond" w:hAnsi="Garamond"/>
          <w:szCs w:val="22"/>
        </w:rPr>
        <w:t>ding EARN, should be discussed</w:t>
      </w:r>
    </w:p>
    <w:p w14:paraId="3E03CAC1" w14:textId="70792C11" w:rsidR="00BA1FD0" w:rsidRPr="004A0C12" w:rsidRDefault="00BA1FD0" w:rsidP="00232F09">
      <w:pPr>
        <w:pStyle w:val="ListParagraph"/>
        <w:numPr>
          <w:ilvl w:val="0"/>
          <w:numId w:val="208"/>
        </w:numPr>
        <w:jc w:val="both"/>
        <w:rPr>
          <w:rFonts w:ascii="Garamond" w:hAnsi="Garamond"/>
          <w:szCs w:val="22"/>
        </w:rPr>
      </w:pPr>
      <w:r w:rsidRPr="004A0C12">
        <w:rPr>
          <w:rFonts w:ascii="Garamond" w:hAnsi="Garamond"/>
          <w:szCs w:val="22"/>
        </w:rPr>
        <w:t>Sessions on integrating apprentice</w:t>
      </w:r>
      <w:r w:rsidR="00AE52EE" w:rsidRPr="004A0C12">
        <w:rPr>
          <w:rFonts w:ascii="Garamond" w:hAnsi="Garamond"/>
          <w:szCs w:val="22"/>
        </w:rPr>
        <w:t>ships into the workforce system</w:t>
      </w:r>
      <w:r w:rsidRPr="004A0C12">
        <w:rPr>
          <w:rFonts w:ascii="Garamond" w:hAnsi="Garamond"/>
          <w:szCs w:val="22"/>
        </w:rPr>
        <w:t xml:space="preserve">  </w:t>
      </w:r>
    </w:p>
    <w:p w14:paraId="0C4C8B19" w14:textId="77777777" w:rsidR="00BA1FD0" w:rsidRPr="004A0C12" w:rsidRDefault="00BA1FD0" w:rsidP="00BD0F79">
      <w:pPr>
        <w:spacing w:after="0" w:line="240" w:lineRule="auto"/>
        <w:jc w:val="both"/>
        <w:rPr>
          <w:rFonts w:ascii="Garamond" w:hAnsi="Garamond"/>
        </w:rPr>
      </w:pPr>
    </w:p>
    <w:p w14:paraId="4EAD1DFA" w14:textId="5A7383CC" w:rsidR="003935B8" w:rsidRPr="004A0C12" w:rsidRDefault="003935B8" w:rsidP="00BD0F79">
      <w:pPr>
        <w:spacing w:after="0" w:line="240" w:lineRule="auto"/>
        <w:jc w:val="both"/>
        <w:rPr>
          <w:rFonts w:ascii="Garamond" w:hAnsi="Garamond"/>
        </w:rPr>
      </w:pPr>
      <w:r w:rsidRPr="004A0C12">
        <w:rPr>
          <w:rFonts w:ascii="Garamond" w:hAnsi="Garamond"/>
        </w:rPr>
        <w:t xml:space="preserve">In all, Maryland is dedicated to ensuring that communication regarding the State’s implementation efforts is not a singular event. The WIOA Partners are </w:t>
      </w:r>
      <w:r w:rsidR="002E1552" w:rsidRPr="004A0C12">
        <w:rPr>
          <w:rFonts w:ascii="Garamond" w:hAnsi="Garamond"/>
        </w:rPr>
        <w:t>committed</w:t>
      </w:r>
      <w:r w:rsidRPr="004A0C12">
        <w:rPr>
          <w:rFonts w:ascii="Garamond" w:hAnsi="Garamond"/>
        </w:rPr>
        <w:t xml:space="preserve"> to incorporating mass communication systems</w:t>
      </w:r>
      <w:r w:rsidR="00BD0F79" w:rsidRPr="004A0C12">
        <w:rPr>
          <w:rFonts w:ascii="Garamond" w:hAnsi="Garamond"/>
        </w:rPr>
        <w:t>,</w:t>
      </w:r>
      <w:r w:rsidR="006108DC" w:rsidRPr="004A0C12">
        <w:rPr>
          <w:rFonts w:ascii="Garamond" w:hAnsi="Garamond"/>
        </w:rPr>
        <w:t xml:space="preserve"> such as Gov</w:t>
      </w:r>
      <w:r w:rsidRPr="004A0C12">
        <w:rPr>
          <w:rFonts w:ascii="Garamond" w:hAnsi="Garamond"/>
        </w:rPr>
        <w:t>Delivery</w:t>
      </w:r>
      <w:r w:rsidR="00AE52EE" w:rsidRPr="004A0C12">
        <w:rPr>
          <w:rFonts w:ascii="Garamond" w:hAnsi="Garamond"/>
        </w:rPr>
        <w:t>,</w:t>
      </w:r>
      <w:r w:rsidRPr="004A0C12">
        <w:rPr>
          <w:rFonts w:ascii="Garamond" w:hAnsi="Garamond"/>
        </w:rPr>
        <w:t xml:space="preserve"> to ensure that important messages regarding implementation are continually provided to frontline staff and local providers. Furthermore, Maryland is dedicated to utilizing WIOA im</w:t>
      </w:r>
      <w:r w:rsidR="00AE52EE" w:rsidRPr="004A0C12">
        <w:rPr>
          <w:rFonts w:ascii="Garamond" w:hAnsi="Garamond"/>
        </w:rPr>
        <w:t>plementation funding to ensure</w:t>
      </w:r>
      <w:r w:rsidRPr="004A0C12">
        <w:rPr>
          <w:rFonts w:ascii="Garamond" w:hAnsi="Garamond"/>
        </w:rPr>
        <w:t xml:space="preserve"> that local and State staff are provided professional development and other training opportunities.  </w:t>
      </w:r>
    </w:p>
    <w:p w14:paraId="339768F9" w14:textId="6263D6A9" w:rsidR="00421DFC" w:rsidRPr="004A0C12" w:rsidRDefault="003935B8" w:rsidP="001C614D">
      <w:pPr>
        <w:spacing w:after="0" w:line="240" w:lineRule="auto"/>
        <w:jc w:val="both"/>
        <w:rPr>
          <w:rFonts w:ascii="Garamond" w:hAnsi="Garamond"/>
        </w:rPr>
      </w:pPr>
      <w:r w:rsidRPr="004A0C12">
        <w:rPr>
          <w:rFonts w:ascii="Garamond" w:hAnsi="Garamond"/>
        </w:rPr>
        <w:t xml:space="preserve">  </w:t>
      </w:r>
    </w:p>
    <w:p w14:paraId="52A2EC27" w14:textId="77777777" w:rsidR="00421DFC" w:rsidRPr="004A0C12" w:rsidRDefault="00421DFC" w:rsidP="001C614D">
      <w:pPr>
        <w:spacing w:after="0" w:line="240" w:lineRule="auto"/>
        <w:jc w:val="both"/>
        <w:rPr>
          <w:rFonts w:ascii="Garamond" w:hAnsi="Garamond"/>
        </w:rPr>
      </w:pPr>
    </w:p>
    <w:p w14:paraId="4F4A69E3" w14:textId="77777777" w:rsidR="00421DFC" w:rsidRPr="00B60621" w:rsidRDefault="00421DFC" w:rsidP="001C614D">
      <w:pPr>
        <w:spacing w:after="0" w:line="240" w:lineRule="auto"/>
        <w:jc w:val="both"/>
        <w:rPr>
          <w:rFonts w:ascii="Garamond" w:hAnsi="Garamond"/>
          <w:sz w:val="28"/>
          <w:szCs w:val="28"/>
        </w:rPr>
      </w:pPr>
    </w:p>
    <w:p w14:paraId="4EB410B8" w14:textId="77777777" w:rsidR="00421DFC" w:rsidRPr="00B60621" w:rsidRDefault="00421DFC" w:rsidP="00FF31F0">
      <w:pPr>
        <w:pStyle w:val="Heading1"/>
        <w:spacing w:before="0" w:line="240" w:lineRule="auto"/>
        <w:rPr>
          <w:rFonts w:ascii="Garamond" w:hAnsi="Garamond" w:cs="Times New Roman"/>
        </w:rPr>
      </w:pPr>
      <w:bookmarkStart w:id="47" w:name="_Toc447276102"/>
      <w:proofErr w:type="gramStart"/>
      <w:r w:rsidRPr="00B60621">
        <w:rPr>
          <w:rFonts w:ascii="Garamond" w:hAnsi="Garamond" w:cs="Times New Roman"/>
        </w:rPr>
        <w:t>PART 3.</w:t>
      </w:r>
      <w:proofErr w:type="gramEnd"/>
      <w:r w:rsidRPr="00B60621">
        <w:rPr>
          <w:rFonts w:ascii="Garamond" w:hAnsi="Garamond" w:cs="Times New Roman"/>
        </w:rPr>
        <w:t xml:space="preserve"> OPERATIONAL PLANNING ELEMENTS</w:t>
      </w:r>
      <w:bookmarkEnd w:id="47"/>
    </w:p>
    <w:p w14:paraId="6CF24A78" w14:textId="77777777" w:rsidR="00421DFC" w:rsidRPr="00B60621" w:rsidRDefault="00421DFC" w:rsidP="00FF31F0">
      <w:pPr>
        <w:pStyle w:val="PlainText1"/>
        <w:rPr>
          <w:rFonts w:ascii="Garamond" w:hAnsi="Garamond"/>
          <w:b/>
          <w:sz w:val="24"/>
          <w:szCs w:val="24"/>
          <w:u w:val="single"/>
        </w:rPr>
      </w:pPr>
    </w:p>
    <w:p w14:paraId="261FBF74" w14:textId="77777777" w:rsidR="00421DFC" w:rsidRPr="00B60621" w:rsidRDefault="00421DFC" w:rsidP="00FF31F0">
      <w:pPr>
        <w:pStyle w:val="Heading2"/>
        <w:spacing w:before="0" w:line="240" w:lineRule="auto"/>
        <w:rPr>
          <w:rFonts w:ascii="Garamond" w:hAnsi="Garamond"/>
          <w:sz w:val="24"/>
          <w:szCs w:val="24"/>
        </w:rPr>
      </w:pPr>
      <w:bookmarkStart w:id="48" w:name="_Toc447276103"/>
      <w:r w:rsidRPr="00B60621">
        <w:rPr>
          <w:rFonts w:ascii="Garamond" w:hAnsi="Garamond"/>
          <w:sz w:val="24"/>
          <w:szCs w:val="24"/>
        </w:rPr>
        <w:t>STATE STRATEGY IMPLEMENTATION</w:t>
      </w:r>
      <w:bookmarkEnd w:id="48"/>
    </w:p>
    <w:p w14:paraId="2B00814F" w14:textId="77777777" w:rsidR="00421DFC" w:rsidRPr="004A0C12" w:rsidRDefault="00421DFC" w:rsidP="00FF31F0">
      <w:pPr>
        <w:shd w:val="clear" w:color="auto" w:fill="FFFFFF"/>
        <w:spacing w:after="0" w:line="240" w:lineRule="auto"/>
        <w:jc w:val="both"/>
        <w:rPr>
          <w:rFonts w:ascii="Garamond" w:hAnsi="Garamond"/>
        </w:rPr>
      </w:pPr>
      <w:r w:rsidRPr="004A0C12">
        <w:rPr>
          <w:rFonts w:ascii="Garamond" w:hAnsi="Garamond"/>
        </w:rPr>
        <w:t>The Governor’s Workforce Investment Board (GWIB) is responsible for advising the Governor on the development of strategies and policies to form a coordinated WIOA-compliant workforce system by integrating a variety of education, employment, and training programs. It brings together and focuses various workforce development partners and stakeholders on two key outcomes – ensuring there is a properly prepared workforce that meets the current and future demands of Maryland employers, and providing opportunities for all Marylanders to succeed in the 21st century workforce.</w:t>
      </w:r>
    </w:p>
    <w:p w14:paraId="6EB3A8B8" w14:textId="77777777" w:rsidR="0054168E" w:rsidRPr="004A0C12" w:rsidRDefault="0054168E" w:rsidP="00FF31F0">
      <w:pPr>
        <w:shd w:val="clear" w:color="auto" w:fill="FFFFFF"/>
        <w:spacing w:after="0" w:line="240" w:lineRule="auto"/>
        <w:jc w:val="both"/>
        <w:rPr>
          <w:rFonts w:ascii="Garamond" w:hAnsi="Garamond"/>
        </w:rPr>
      </w:pPr>
    </w:p>
    <w:p w14:paraId="4D6D8811" w14:textId="7D31753A" w:rsidR="00421DFC" w:rsidRPr="004A0C12" w:rsidRDefault="00421DFC" w:rsidP="00FF31F0">
      <w:pPr>
        <w:shd w:val="clear" w:color="auto" w:fill="FFFFFF"/>
        <w:spacing w:after="0" w:line="240" w:lineRule="auto"/>
        <w:jc w:val="both"/>
        <w:rPr>
          <w:rFonts w:ascii="Garamond" w:hAnsi="Garamond"/>
        </w:rPr>
      </w:pPr>
      <w:bookmarkStart w:id="49" w:name="mission"/>
      <w:bookmarkEnd w:id="49"/>
      <w:r w:rsidRPr="004A0C12">
        <w:rPr>
          <w:rFonts w:ascii="Garamond" w:hAnsi="Garamond"/>
        </w:rPr>
        <w:t>GWIB Mission: To guide a nationally-recognized workforce development system that aligns with the economic and educational goals of the State of Maryland and will result in a qualified workforce available to employers across the State.</w:t>
      </w:r>
    </w:p>
    <w:p w14:paraId="47EA2184" w14:textId="77777777" w:rsidR="002E1552" w:rsidRPr="004A0C12" w:rsidRDefault="002E1552" w:rsidP="00FF31F0">
      <w:pPr>
        <w:shd w:val="clear" w:color="auto" w:fill="FFFFFF"/>
        <w:spacing w:after="0" w:line="240" w:lineRule="auto"/>
        <w:jc w:val="both"/>
        <w:rPr>
          <w:rFonts w:ascii="Garamond" w:hAnsi="Garamond"/>
        </w:rPr>
      </w:pPr>
    </w:p>
    <w:p w14:paraId="7E09E23E" w14:textId="77777777" w:rsidR="00421DFC" w:rsidRPr="004A0C12" w:rsidRDefault="00421DFC" w:rsidP="00FF31F0">
      <w:pPr>
        <w:shd w:val="clear" w:color="auto" w:fill="FFFFFF"/>
        <w:spacing w:after="0" w:line="240" w:lineRule="auto"/>
        <w:ind w:right="75"/>
        <w:jc w:val="both"/>
        <w:rPr>
          <w:rFonts w:ascii="Garamond" w:hAnsi="Garamond"/>
        </w:rPr>
      </w:pPr>
      <w:r w:rsidRPr="004A0C12">
        <w:rPr>
          <w:rFonts w:ascii="Garamond" w:hAnsi="Garamond"/>
        </w:rPr>
        <w:t>GWIB Vision: A Maryland where every person maximizes his or her career potential and businesses have access to the human resources they need to be successful. The vision includes:</w:t>
      </w:r>
    </w:p>
    <w:p w14:paraId="5C395E35" w14:textId="4C7C8438" w:rsidR="00421DFC" w:rsidRPr="004A0C12" w:rsidRDefault="00421DFC" w:rsidP="009204FA">
      <w:pPr>
        <w:numPr>
          <w:ilvl w:val="0"/>
          <w:numId w:val="38"/>
        </w:numPr>
        <w:shd w:val="clear" w:color="auto" w:fill="FFFFFF"/>
        <w:tabs>
          <w:tab w:val="clear" w:pos="360"/>
          <w:tab w:val="num" w:pos="720"/>
        </w:tabs>
        <w:spacing w:after="0" w:line="240" w:lineRule="auto"/>
        <w:ind w:left="720" w:hanging="360"/>
        <w:jc w:val="both"/>
        <w:rPr>
          <w:rFonts w:ascii="Garamond" w:hAnsi="Garamond"/>
        </w:rPr>
      </w:pPr>
      <w:r w:rsidRPr="004A0C12">
        <w:rPr>
          <w:rFonts w:ascii="Garamond" w:hAnsi="Garamond"/>
        </w:rPr>
        <w:t>Alignment of the business, workforce system, and economic de</w:t>
      </w:r>
      <w:r w:rsidR="00C371C8" w:rsidRPr="004A0C12">
        <w:rPr>
          <w:rFonts w:ascii="Garamond" w:hAnsi="Garamond"/>
        </w:rPr>
        <w:t>velopment interests in Maryland</w:t>
      </w:r>
    </w:p>
    <w:p w14:paraId="1FDFF07F" w14:textId="0899A8DA" w:rsidR="00421DFC" w:rsidRPr="004A0C12" w:rsidRDefault="00421DFC" w:rsidP="009204FA">
      <w:pPr>
        <w:numPr>
          <w:ilvl w:val="0"/>
          <w:numId w:val="38"/>
        </w:numPr>
        <w:shd w:val="clear" w:color="auto" w:fill="FFFFFF"/>
        <w:tabs>
          <w:tab w:val="clear" w:pos="360"/>
          <w:tab w:val="num" w:pos="720"/>
        </w:tabs>
        <w:spacing w:after="0" w:line="240" w:lineRule="auto"/>
        <w:ind w:left="720" w:hanging="360"/>
        <w:jc w:val="both"/>
        <w:rPr>
          <w:rFonts w:ascii="Garamond" w:hAnsi="Garamond"/>
        </w:rPr>
      </w:pPr>
      <w:r w:rsidRPr="004A0C12">
        <w:rPr>
          <w:rFonts w:ascii="Garamond" w:hAnsi="Garamond"/>
        </w:rPr>
        <w:t>Well-integrated, coordinated, and collaborative systems across agencies, instituti</w:t>
      </w:r>
      <w:r w:rsidR="00BB5F3C" w:rsidRPr="004A0C12">
        <w:rPr>
          <w:rFonts w:ascii="Garamond" w:hAnsi="Garamond"/>
        </w:rPr>
        <w:t>ons, Local A</w:t>
      </w:r>
      <w:r w:rsidR="00C371C8" w:rsidRPr="004A0C12">
        <w:rPr>
          <w:rFonts w:ascii="Garamond" w:hAnsi="Garamond"/>
        </w:rPr>
        <w:t>reas, and business</w:t>
      </w:r>
    </w:p>
    <w:p w14:paraId="6D19F86C" w14:textId="499C20BF" w:rsidR="00421DFC" w:rsidRPr="004A0C12" w:rsidRDefault="00421DFC" w:rsidP="009204FA">
      <w:pPr>
        <w:numPr>
          <w:ilvl w:val="0"/>
          <w:numId w:val="38"/>
        </w:numPr>
        <w:shd w:val="clear" w:color="auto" w:fill="FFFFFF"/>
        <w:tabs>
          <w:tab w:val="clear" w:pos="360"/>
          <w:tab w:val="num" w:pos="720"/>
        </w:tabs>
        <w:spacing w:after="0" w:line="240" w:lineRule="auto"/>
        <w:ind w:left="720" w:hanging="360"/>
        <w:jc w:val="both"/>
        <w:rPr>
          <w:rFonts w:ascii="Garamond" w:hAnsi="Garamond"/>
        </w:rPr>
      </w:pPr>
      <w:r w:rsidRPr="004A0C12">
        <w:rPr>
          <w:rFonts w:ascii="Garamond" w:hAnsi="Garamond"/>
        </w:rPr>
        <w:t>Preservation and expansion of Maryl</w:t>
      </w:r>
      <w:r w:rsidR="00C371C8" w:rsidRPr="004A0C12">
        <w:rPr>
          <w:rFonts w:ascii="Garamond" w:hAnsi="Garamond"/>
        </w:rPr>
        <w:t xml:space="preserve">and's highly-educated workforce </w:t>
      </w:r>
      <w:r w:rsidRPr="004A0C12">
        <w:rPr>
          <w:rFonts w:ascii="Garamond" w:hAnsi="Garamond"/>
        </w:rPr>
        <w:t xml:space="preserve"> </w:t>
      </w:r>
    </w:p>
    <w:p w14:paraId="185C4198" w14:textId="77777777" w:rsidR="00421DFC" w:rsidRPr="004A0C12" w:rsidRDefault="00421DFC" w:rsidP="009204FA">
      <w:pPr>
        <w:numPr>
          <w:ilvl w:val="0"/>
          <w:numId w:val="38"/>
        </w:numPr>
        <w:shd w:val="clear" w:color="auto" w:fill="FFFFFF"/>
        <w:tabs>
          <w:tab w:val="clear" w:pos="360"/>
          <w:tab w:val="num" w:pos="720"/>
        </w:tabs>
        <w:spacing w:after="0" w:line="240" w:lineRule="auto"/>
        <w:ind w:left="720" w:hanging="360"/>
        <w:jc w:val="both"/>
        <w:rPr>
          <w:rFonts w:ascii="Garamond" w:hAnsi="Garamond"/>
        </w:rPr>
      </w:pPr>
      <w:r w:rsidRPr="004A0C12">
        <w:rPr>
          <w:rFonts w:ascii="Garamond" w:hAnsi="Garamond"/>
        </w:rPr>
        <w:t>Creation of opportunities for all Maryland residents to participate and succeed in the workforce.</w:t>
      </w:r>
    </w:p>
    <w:p w14:paraId="264D2F86" w14:textId="77777777" w:rsidR="00421DFC" w:rsidRPr="004A0C12" w:rsidRDefault="00421DFC" w:rsidP="00FF31F0">
      <w:pPr>
        <w:pStyle w:val="ListParagraph"/>
        <w:ind w:left="0"/>
        <w:jc w:val="both"/>
        <w:rPr>
          <w:rFonts w:ascii="Garamond" w:hAnsi="Garamond"/>
          <w:szCs w:val="22"/>
          <w:shd w:val="clear" w:color="auto" w:fill="FFFFFF"/>
        </w:rPr>
      </w:pPr>
    </w:p>
    <w:p w14:paraId="7A24F035" w14:textId="117FDC9B" w:rsidR="00421DFC" w:rsidRPr="004A0C12" w:rsidRDefault="00421DFC" w:rsidP="00FF31F0">
      <w:pPr>
        <w:pStyle w:val="ListParagraph"/>
        <w:ind w:left="0"/>
        <w:jc w:val="both"/>
        <w:rPr>
          <w:rFonts w:ascii="Garamond" w:hAnsi="Garamond"/>
          <w:szCs w:val="22"/>
          <w:shd w:val="clear" w:color="auto" w:fill="FFFFFF"/>
        </w:rPr>
      </w:pPr>
      <w:r w:rsidRPr="004A0C12">
        <w:rPr>
          <w:rFonts w:ascii="Garamond" w:hAnsi="Garamond"/>
          <w:szCs w:val="22"/>
          <w:shd w:val="clear" w:color="auto" w:fill="FFFFFF"/>
        </w:rPr>
        <w:t>To ensure the State’s workforce</w:t>
      </w:r>
      <w:r w:rsidRPr="004A0C12">
        <w:rPr>
          <w:rFonts w:ascii="Garamond" w:hAnsi="Garamond"/>
          <w:szCs w:val="22"/>
        </w:rPr>
        <w:t xml:space="preserve"> </w:t>
      </w:r>
      <w:r w:rsidRPr="004A0C12">
        <w:rPr>
          <w:rFonts w:ascii="Garamond" w:hAnsi="Garamond"/>
          <w:szCs w:val="22"/>
          <w:shd w:val="clear" w:color="auto" w:fill="FFFFFF"/>
        </w:rPr>
        <w:t>board’s functions are successfully carried ou</w:t>
      </w:r>
      <w:r w:rsidR="00C371C8" w:rsidRPr="004A0C12">
        <w:rPr>
          <w:rFonts w:ascii="Garamond" w:hAnsi="Garamond"/>
          <w:szCs w:val="22"/>
          <w:shd w:val="clear" w:color="auto" w:fill="FFFFFF"/>
        </w:rPr>
        <w:t>t pursuant to WIOA, the GWIB includes the following key oversight and management positions</w:t>
      </w:r>
      <w:r w:rsidRPr="004A0C12">
        <w:rPr>
          <w:rFonts w:ascii="Garamond" w:hAnsi="Garamond"/>
          <w:szCs w:val="22"/>
          <w:shd w:val="clear" w:color="auto" w:fill="FFFFFF"/>
        </w:rPr>
        <w:t>:</w:t>
      </w:r>
    </w:p>
    <w:p w14:paraId="76201ADC" w14:textId="77777777" w:rsidR="00421DFC" w:rsidRPr="004A0C12" w:rsidRDefault="00421DFC" w:rsidP="00FF31F0">
      <w:pPr>
        <w:pStyle w:val="ListParagraph"/>
        <w:ind w:left="0"/>
        <w:jc w:val="both"/>
        <w:rPr>
          <w:rFonts w:ascii="Garamond" w:hAnsi="Garamond"/>
          <w:szCs w:val="22"/>
          <w:shd w:val="clear" w:color="auto" w:fill="FFFFFF"/>
        </w:rPr>
      </w:pPr>
    </w:p>
    <w:p w14:paraId="6D6B3797" w14:textId="7CBC069E" w:rsidR="002E1552" w:rsidRPr="004A0C12" w:rsidRDefault="00421DFC" w:rsidP="002E1552">
      <w:pPr>
        <w:pStyle w:val="ListParagraph"/>
        <w:numPr>
          <w:ilvl w:val="0"/>
          <w:numId w:val="39"/>
        </w:numPr>
        <w:tabs>
          <w:tab w:val="clear" w:pos="297"/>
          <w:tab w:val="num" w:pos="720"/>
        </w:tabs>
        <w:ind w:left="783" w:hanging="360"/>
        <w:jc w:val="both"/>
        <w:rPr>
          <w:rFonts w:ascii="Garamond" w:hAnsi="Garamond"/>
          <w:szCs w:val="22"/>
        </w:rPr>
      </w:pPr>
      <w:r w:rsidRPr="004A0C12">
        <w:rPr>
          <w:rFonts w:ascii="Garamond" w:hAnsi="Garamond"/>
          <w:szCs w:val="22"/>
        </w:rPr>
        <w:t xml:space="preserve">GWIB Chairperson </w:t>
      </w:r>
      <w:r w:rsidR="002E1552" w:rsidRPr="004A0C12">
        <w:rPr>
          <w:rFonts w:ascii="Garamond" w:hAnsi="Garamond"/>
          <w:szCs w:val="22"/>
        </w:rPr>
        <w:t>who presides over</w:t>
      </w:r>
      <w:r w:rsidRPr="004A0C12">
        <w:rPr>
          <w:rFonts w:ascii="Garamond" w:hAnsi="Garamond"/>
          <w:szCs w:val="22"/>
        </w:rPr>
        <w:t xml:space="preserve"> all meetings, appoints committees, and is responsible for leading the Board in its activities and for serving as the principal liaison between the Governor and the Board. As necessary to facilitate the Board’s performance of its WIOA duties and responsibilities, the Chairperson duties include: facilitating and driving high-performance governance; setting the proposed agenda with the Executive Director; holding task force committees </w:t>
      </w:r>
      <w:r w:rsidRPr="004A0C12">
        <w:rPr>
          <w:rFonts w:ascii="Garamond" w:hAnsi="Garamond"/>
          <w:szCs w:val="22"/>
        </w:rPr>
        <w:lastRenderedPageBreak/>
        <w:t>accountable; communicating and coordinating with the Executive Director; managing and facilitating meetings; appoin</w:t>
      </w:r>
      <w:r w:rsidR="002E1552" w:rsidRPr="004A0C12">
        <w:rPr>
          <w:rFonts w:ascii="Garamond" w:hAnsi="Garamond"/>
          <w:szCs w:val="22"/>
        </w:rPr>
        <w:t>ting members to committees; serving as an</w:t>
      </w:r>
      <w:r w:rsidRPr="004A0C12">
        <w:rPr>
          <w:rFonts w:ascii="Garamond" w:hAnsi="Garamond"/>
          <w:szCs w:val="22"/>
        </w:rPr>
        <w:t xml:space="preserve"> ambassador, </w:t>
      </w:r>
      <w:r w:rsidR="002E1552" w:rsidRPr="004A0C12">
        <w:rPr>
          <w:rFonts w:ascii="Garamond" w:hAnsi="Garamond"/>
          <w:szCs w:val="22"/>
        </w:rPr>
        <w:t xml:space="preserve">and various </w:t>
      </w:r>
      <w:r w:rsidRPr="004A0C12">
        <w:rPr>
          <w:rFonts w:ascii="Garamond" w:hAnsi="Garamond"/>
          <w:szCs w:val="22"/>
        </w:rPr>
        <w:t xml:space="preserve">advocacy and public relations responsibilities. </w:t>
      </w:r>
    </w:p>
    <w:p w14:paraId="45408FEB" w14:textId="4B693007" w:rsidR="002E1552" w:rsidRPr="004A0C12" w:rsidRDefault="00421DFC" w:rsidP="002E1552">
      <w:pPr>
        <w:pStyle w:val="ListParagraph"/>
        <w:numPr>
          <w:ilvl w:val="0"/>
          <w:numId w:val="39"/>
        </w:numPr>
        <w:tabs>
          <w:tab w:val="clear" w:pos="297"/>
          <w:tab w:val="num" w:pos="720"/>
        </w:tabs>
        <w:ind w:left="783" w:hanging="360"/>
        <w:jc w:val="both"/>
        <w:rPr>
          <w:rFonts w:ascii="Garamond" w:hAnsi="Garamond"/>
          <w:color w:val="E90000"/>
          <w:szCs w:val="22"/>
        </w:rPr>
      </w:pPr>
      <w:r w:rsidRPr="004A0C12">
        <w:rPr>
          <w:rFonts w:ascii="Garamond" w:hAnsi="Garamond"/>
          <w:szCs w:val="22"/>
          <w:shd w:val="clear" w:color="auto" w:fill="FFFFFF"/>
        </w:rPr>
        <w:t>An Executive Committee that is comprised of 10 GWIB Board members—6 members of business, 3 government representatives, and</w:t>
      </w:r>
      <w:r w:rsidR="002E1552" w:rsidRPr="004A0C12">
        <w:rPr>
          <w:rFonts w:ascii="Garamond" w:hAnsi="Garamond"/>
          <w:szCs w:val="22"/>
          <w:shd w:val="clear" w:color="auto" w:fill="FFFFFF"/>
        </w:rPr>
        <w:t xml:space="preserve"> 1 member representing community-based organizations</w:t>
      </w:r>
      <w:r w:rsidRPr="004A0C12">
        <w:rPr>
          <w:rFonts w:ascii="Garamond" w:hAnsi="Garamond"/>
          <w:szCs w:val="22"/>
          <w:shd w:val="clear" w:color="auto" w:fill="FFFFFF"/>
        </w:rPr>
        <w:t xml:space="preserve">. The Executive Committee develops recommendations to the Board in the areas of strategic planning, legislation, and operations. One of their primary duties is to develop the agenda for full Board meetings. </w:t>
      </w:r>
    </w:p>
    <w:p w14:paraId="1A6E02CE" w14:textId="77777777" w:rsidR="00421DFC" w:rsidRPr="004A0C12" w:rsidRDefault="00421DFC" w:rsidP="009204FA">
      <w:pPr>
        <w:pStyle w:val="ListParagraph"/>
        <w:numPr>
          <w:ilvl w:val="0"/>
          <w:numId w:val="39"/>
        </w:numPr>
        <w:tabs>
          <w:tab w:val="clear" w:pos="297"/>
          <w:tab w:val="num" w:pos="720"/>
        </w:tabs>
        <w:ind w:left="783" w:hanging="360"/>
        <w:jc w:val="both"/>
        <w:rPr>
          <w:rFonts w:ascii="Garamond" w:hAnsi="Garamond"/>
          <w:szCs w:val="22"/>
          <w:shd w:val="clear" w:color="auto" w:fill="FFFFFF"/>
        </w:rPr>
      </w:pPr>
      <w:r w:rsidRPr="004A0C12">
        <w:rPr>
          <w:rFonts w:ascii="Garamond" w:hAnsi="Garamond"/>
          <w:szCs w:val="22"/>
        </w:rPr>
        <w:t>An</w:t>
      </w:r>
      <w:r w:rsidRPr="004A0C12">
        <w:rPr>
          <w:rFonts w:ascii="Garamond" w:hAnsi="Garamond"/>
          <w:szCs w:val="22"/>
          <w:shd w:val="clear" w:color="auto" w:fill="FFFFFF"/>
        </w:rPr>
        <w:t xml:space="preserve"> Interagency Workforce Committee that is comprised of senior officials from the GWIB's partner agencies. The Committee's purpose is to coordinate and align workforce development initiatives and policies to meet the demands of Maryland’s industries.</w:t>
      </w:r>
    </w:p>
    <w:p w14:paraId="096E63D8" w14:textId="77777777" w:rsidR="00421DFC" w:rsidRPr="004A0C12" w:rsidRDefault="00421DFC" w:rsidP="009204FA">
      <w:pPr>
        <w:pStyle w:val="ListParagraph"/>
        <w:numPr>
          <w:ilvl w:val="0"/>
          <w:numId w:val="39"/>
        </w:numPr>
        <w:tabs>
          <w:tab w:val="clear" w:pos="297"/>
          <w:tab w:val="num" w:pos="720"/>
        </w:tabs>
        <w:ind w:left="783" w:hanging="360"/>
        <w:jc w:val="both"/>
        <w:rPr>
          <w:rFonts w:ascii="Garamond" w:hAnsi="Garamond"/>
          <w:szCs w:val="22"/>
          <w:shd w:val="clear" w:color="auto" w:fill="FFFFFF"/>
        </w:rPr>
      </w:pPr>
      <w:r w:rsidRPr="004A0C12">
        <w:rPr>
          <w:rFonts w:ascii="Garamond" w:hAnsi="Garamond"/>
          <w:szCs w:val="22"/>
        </w:rPr>
        <w:t xml:space="preserve">GWIB Staff provide strong administrative support to the Board in its efforts to carry out its WIOA functions. </w:t>
      </w:r>
    </w:p>
    <w:p w14:paraId="6AF90220" w14:textId="77777777" w:rsidR="00421DFC" w:rsidRPr="004A0C12" w:rsidRDefault="00421DFC" w:rsidP="00FF31F0">
      <w:pPr>
        <w:pStyle w:val="ListParagraph"/>
        <w:jc w:val="both"/>
        <w:rPr>
          <w:rFonts w:ascii="Garamond" w:hAnsi="Garamond"/>
          <w:szCs w:val="22"/>
          <w:shd w:val="clear" w:color="auto" w:fill="FFFFFF"/>
        </w:rPr>
      </w:pPr>
    </w:p>
    <w:p w14:paraId="6DD3695A" w14:textId="77777777" w:rsidR="00421DFC" w:rsidRPr="00B60621" w:rsidRDefault="00421DFC" w:rsidP="00FF31F0">
      <w:pPr>
        <w:pStyle w:val="Heading2"/>
        <w:spacing w:before="0" w:line="240" w:lineRule="auto"/>
        <w:rPr>
          <w:rFonts w:ascii="Garamond" w:hAnsi="Garamond"/>
          <w:sz w:val="24"/>
          <w:szCs w:val="24"/>
        </w:rPr>
      </w:pPr>
      <w:bookmarkStart w:id="50" w:name="_Toc447276104"/>
      <w:r w:rsidRPr="00B60621">
        <w:rPr>
          <w:rFonts w:ascii="Garamond" w:hAnsi="Garamond"/>
          <w:sz w:val="24"/>
          <w:szCs w:val="24"/>
        </w:rPr>
        <w:t>Implementation of Maryland’s Strategy</w:t>
      </w:r>
      <w:bookmarkEnd w:id="50"/>
      <w:r w:rsidRPr="00B60621">
        <w:rPr>
          <w:rFonts w:ascii="Garamond" w:hAnsi="Garamond"/>
          <w:sz w:val="24"/>
          <w:szCs w:val="24"/>
        </w:rPr>
        <w:t xml:space="preserve"> </w:t>
      </w:r>
    </w:p>
    <w:p w14:paraId="627D98E8" w14:textId="229B06AD" w:rsidR="00421DFC" w:rsidRPr="004A0C12" w:rsidRDefault="00421DFC" w:rsidP="00FF31F0">
      <w:pPr>
        <w:pStyle w:val="ListParagraph"/>
        <w:tabs>
          <w:tab w:val="left" w:pos="720"/>
        </w:tabs>
        <w:ind w:left="0"/>
        <w:jc w:val="both"/>
        <w:rPr>
          <w:rFonts w:ascii="Garamond" w:hAnsi="Garamond"/>
          <w:szCs w:val="22"/>
        </w:rPr>
      </w:pPr>
      <w:r w:rsidRPr="004A0C12">
        <w:rPr>
          <w:rFonts w:ascii="Garamond" w:hAnsi="Garamond"/>
          <w:szCs w:val="22"/>
        </w:rPr>
        <w:t xml:space="preserve">To support Maryland’s comprehensive and collaborative workforce system, DLLR, DHR, MSDE, and local partners are committed to ensuring effective coordination and alignment of the State’s WIOA programs through strategic policy development </w:t>
      </w:r>
      <w:r w:rsidR="00B87622" w:rsidRPr="004A0C12">
        <w:rPr>
          <w:rFonts w:ascii="Garamond" w:hAnsi="Garamond"/>
          <w:szCs w:val="22"/>
        </w:rPr>
        <w:t xml:space="preserve">and </w:t>
      </w:r>
      <w:r w:rsidRPr="004A0C12">
        <w:rPr>
          <w:rFonts w:ascii="Garamond" w:hAnsi="Garamond"/>
          <w:szCs w:val="22"/>
        </w:rPr>
        <w:t>coordinated resource sharing through cooperative agreements, and collaboration with local and regional partners</w:t>
      </w:r>
      <w:r w:rsidR="00BB5F3C" w:rsidRPr="004A0C12">
        <w:rPr>
          <w:rFonts w:ascii="Garamond" w:hAnsi="Garamond"/>
          <w:szCs w:val="22"/>
        </w:rPr>
        <w:t>. Together, Maryland’s WIOA Partners</w:t>
      </w:r>
      <w:r w:rsidRPr="004A0C12">
        <w:rPr>
          <w:rFonts w:ascii="Garamond" w:hAnsi="Garamond"/>
          <w:szCs w:val="22"/>
        </w:rPr>
        <w:t xml:space="preserve"> </w:t>
      </w:r>
      <w:r w:rsidR="002E1552" w:rsidRPr="004A0C12">
        <w:rPr>
          <w:rFonts w:ascii="Garamond" w:hAnsi="Garamond"/>
          <w:szCs w:val="22"/>
        </w:rPr>
        <w:t>will facilitate</w:t>
      </w:r>
      <w:r w:rsidRPr="004A0C12">
        <w:rPr>
          <w:rFonts w:ascii="Garamond" w:hAnsi="Garamond"/>
          <w:szCs w:val="22"/>
        </w:rPr>
        <w:t xml:space="preserve"> the creation of a strong, skilled workforce that effectively connects with businesses to help them compete in the global, State, and local economies.</w:t>
      </w:r>
    </w:p>
    <w:p w14:paraId="075FD5D3" w14:textId="77777777" w:rsidR="00FF31F0" w:rsidRPr="004A0C12" w:rsidRDefault="00FF31F0" w:rsidP="00FF31F0">
      <w:pPr>
        <w:pStyle w:val="ListParagraph"/>
        <w:tabs>
          <w:tab w:val="left" w:pos="720"/>
        </w:tabs>
        <w:ind w:left="0"/>
        <w:jc w:val="both"/>
        <w:rPr>
          <w:rFonts w:ascii="Garamond" w:hAnsi="Garamond"/>
          <w:szCs w:val="22"/>
        </w:rPr>
      </w:pPr>
    </w:p>
    <w:p w14:paraId="029AB574" w14:textId="0AA939F4" w:rsidR="00421DFC" w:rsidRPr="004A0C12" w:rsidRDefault="00421DFC" w:rsidP="00FF31F0">
      <w:pPr>
        <w:pStyle w:val="ListParagraph"/>
        <w:tabs>
          <w:tab w:val="left" w:pos="720"/>
        </w:tabs>
        <w:ind w:left="0"/>
        <w:jc w:val="both"/>
        <w:rPr>
          <w:rFonts w:ascii="Garamond" w:hAnsi="Garamond"/>
          <w:szCs w:val="22"/>
        </w:rPr>
      </w:pPr>
      <w:r w:rsidRPr="004A0C12">
        <w:rPr>
          <w:rFonts w:ascii="Garamond" w:hAnsi="Garamond"/>
          <w:szCs w:val="22"/>
        </w:rPr>
        <w:t xml:space="preserve">Consistent with Governor Hogan’s vision, </w:t>
      </w:r>
      <w:r w:rsidR="00AE4841" w:rsidRPr="004A0C12">
        <w:rPr>
          <w:rFonts w:ascii="Garamond" w:hAnsi="Garamond"/>
          <w:szCs w:val="22"/>
        </w:rPr>
        <w:t>the WIOA Partners</w:t>
      </w:r>
      <w:r w:rsidRPr="004A0C12">
        <w:rPr>
          <w:rFonts w:ascii="Garamond" w:hAnsi="Garamond"/>
          <w:szCs w:val="22"/>
        </w:rPr>
        <w:t xml:space="preserve"> will continue to ensure that customers are provided with the services they need, in a way that avoids duplication of programs and activities carried out through the system. DLLR’s Division of Workforce Development and Adult Learning (DWDAL) </w:t>
      </w:r>
      <w:proofErr w:type="gramStart"/>
      <w:r w:rsidRPr="004A0C12">
        <w:rPr>
          <w:rFonts w:ascii="Garamond" w:hAnsi="Garamond"/>
          <w:szCs w:val="22"/>
        </w:rPr>
        <w:t>leads</w:t>
      </w:r>
      <w:proofErr w:type="gramEnd"/>
      <w:r w:rsidRPr="004A0C12">
        <w:rPr>
          <w:rFonts w:ascii="Garamond" w:hAnsi="Garamond"/>
          <w:szCs w:val="22"/>
        </w:rPr>
        <w:t xml:space="preserve"> the State WIOA workforce system’s implementation of operational protocols, programs, and practices. The Division is committed to the implementation of policies and procedures that promote systems improvement, efficient operations within the American Job Center system, and the expansion of established best practices related to service provision.</w:t>
      </w:r>
    </w:p>
    <w:p w14:paraId="042FE6A8" w14:textId="77777777" w:rsidR="00FF31F0" w:rsidRPr="004A0C12" w:rsidRDefault="00FF31F0" w:rsidP="00FF31F0">
      <w:pPr>
        <w:pStyle w:val="ListParagraph"/>
        <w:tabs>
          <w:tab w:val="left" w:pos="720"/>
        </w:tabs>
        <w:ind w:left="0"/>
        <w:jc w:val="both"/>
        <w:rPr>
          <w:rFonts w:ascii="Garamond" w:hAnsi="Garamond"/>
          <w:szCs w:val="22"/>
        </w:rPr>
      </w:pPr>
    </w:p>
    <w:p w14:paraId="55955086" w14:textId="4AD42F21" w:rsidR="00FF31F0" w:rsidRPr="004A0C12" w:rsidRDefault="00FF31F0" w:rsidP="00FF31F0">
      <w:pPr>
        <w:spacing w:after="0" w:line="240" w:lineRule="auto"/>
        <w:jc w:val="both"/>
        <w:rPr>
          <w:rFonts w:ascii="Garamond" w:hAnsi="Garamond"/>
        </w:rPr>
      </w:pPr>
      <w:r w:rsidRPr="004A0C12">
        <w:rPr>
          <w:rFonts w:ascii="Garamond" w:hAnsi="Garamond"/>
        </w:rPr>
        <w:t>Maryland is positioning itself to make certain that investments in the State’s workforce system will</w:t>
      </w:r>
      <w:r w:rsidR="002E1552" w:rsidRPr="004A0C12">
        <w:rPr>
          <w:rFonts w:ascii="Garamond" w:hAnsi="Garamond"/>
        </w:rPr>
        <w:t xml:space="preserve"> now</w:t>
      </w:r>
      <w:r w:rsidRPr="004A0C12">
        <w:rPr>
          <w:rFonts w:ascii="Garamond" w:hAnsi="Garamond"/>
        </w:rPr>
        <w:t xml:space="preserve"> ensure continuous improvement of a comprehensive and robust system that gives the State’s businesses the skilled workforce they need to compete in an ever changing global economy.</w:t>
      </w:r>
      <w:r w:rsidR="00C371C8" w:rsidRPr="004A0C12">
        <w:rPr>
          <w:rFonts w:ascii="Garamond" w:hAnsi="Garamond"/>
        </w:rPr>
        <w:t xml:space="preserve"> </w:t>
      </w:r>
      <w:r w:rsidRPr="004A0C12">
        <w:rPr>
          <w:rFonts w:ascii="Garamond" w:hAnsi="Garamond"/>
        </w:rPr>
        <w:t xml:space="preserve">Maryland will continue to take a customer-focused approach to workforce development issues to successfully meet both jobseeker and business needs. </w:t>
      </w:r>
    </w:p>
    <w:p w14:paraId="5C3F045D" w14:textId="77777777" w:rsidR="00FF31F0" w:rsidRPr="00B60621" w:rsidRDefault="00FF31F0" w:rsidP="00FF31F0">
      <w:pPr>
        <w:pStyle w:val="Heading2"/>
        <w:rPr>
          <w:rFonts w:ascii="Garamond" w:hAnsi="Garamond"/>
          <w:sz w:val="24"/>
          <w:szCs w:val="24"/>
        </w:rPr>
      </w:pPr>
      <w:bookmarkStart w:id="51" w:name="_Toc447276105"/>
      <w:r w:rsidRPr="00B60621">
        <w:rPr>
          <w:rFonts w:ascii="Garamond" w:hAnsi="Garamond"/>
          <w:sz w:val="24"/>
          <w:szCs w:val="24"/>
        </w:rPr>
        <w:t>Jobseekers as Customers: Coordination, Alignment, and Provision of Services</w:t>
      </w:r>
      <w:bookmarkEnd w:id="51"/>
    </w:p>
    <w:p w14:paraId="78973BE6" w14:textId="76894B12" w:rsidR="00FF31F0" w:rsidRPr="004A0C12" w:rsidRDefault="00FF31F0" w:rsidP="00FF31F0">
      <w:pPr>
        <w:spacing w:after="0" w:line="240" w:lineRule="auto"/>
        <w:jc w:val="both"/>
        <w:rPr>
          <w:rFonts w:ascii="Garamond" w:hAnsi="Garamond"/>
        </w:rPr>
      </w:pPr>
      <w:r w:rsidRPr="004A0C12">
        <w:rPr>
          <w:rFonts w:ascii="Garamond" w:hAnsi="Garamond"/>
        </w:rPr>
        <w:t>For jobseekers—especially for those jobseekers who are unemployed or who face barriers to employment—this approach means that the State will strive to ensure customers who are receiving multiple services across agencies are not discouraged or disenfranchised by unnecessary bureaucracy. Instead, Maryland customers will feel encouraged and assisted by the work</w:t>
      </w:r>
      <w:r w:rsidR="00C371C8" w:rsidRPr="004A0C12">
        <w:rPr>
          <w:rFonts w:ascii="Garamond" w:hAnsi="Garamond"/>
        </w:rPr>
        <w:t>force system</w:t>
      </w:r>
      <w:r w:rsidR="006108DC" w:rsidRPr="004A0C12">
        <w:rPr>
          <w:rFonts w:ascii="Garamond" w:hAnsi="Garamond"/>
        </w:rPr>
        <w:t xml:space="preserve"> because the WIOA P</w:t>
      </w:r>
      <w:r w:rsidRPr="004A0C12">
        <w:rPr>
          <w:rFonts w:ascii="Garamond" w:hAnsi="Garamond"/>
        </w:rPr>
        <w:t>artners will continue to communicate often and effectively, taking action to align efforts across pr</w:t>
      </w:r>
      <w:r w:rsidR="006108DC" w:rsidRPr="004A0C12">
        <w:rPr>
          <w:rFonts w:ascii="Garamond" w:hAnsi="Garamond"/>
        </w:rPr>
        <w:t>ograms when possible. The WIOA P</w:t>
      </w:r>
      <w:r w:rsidRPr="004A0C12">
        <w:rPr>
          <w:rFonts w:ascii="Garamond" w:hAnsi="Garamond"/>
        </w:rPr>
        <w:t>artne</w:t>
      </w:r>
      <w:r w:rsidR="002E1552" w:rsidRPr="004A0C12">
        <w:rPr>
          <w:rFonts w:ascii="Garamond" w:hAnsi="Garamond"/>
        </w:rPr>
        <w:t xml:space="preserve">rs will meet on a </w:t>
      </w:r>
      <w:r w:rsidRPr="004A0C12">
        <w:rPr>
          <w:rFonts w:ascii="Garamond" w:hAnsi="Garamond"/>
        </w:rPr>
        <w:t>monthly basis through the Alignment Group to discuss implementation and alignment efforts, and to address the progress and opportunities for improvement, which would include training opportunities for staff.  Maryland will use multiple avenues and access points to provide efficient and effective services and systems for customers to access resources and services needed to achieve their</w:t>
      </w:r>
      <w:r w:rsidR="002E1552" w:rsidRPr="004A0C12">
        <w:rPr>
          <w:rFonts w:ascii="Garamond" w:hAnsi="Garamond"/>
        </w:rPr>
        <w:t xml:space="preserve"> personal</w:t>
      </w:r>
      <w:r w:rsidRPr="004A0C12">
        <w:rPr>
          <w:rFonts w:ascii="Garamond" w:hAnsi="Garamond"/>
        </w:rPr>
        <w:t xml:space="preserve"> goal</w:t>
      </w:r>
      <w:r w:rsidR="00CB4585" w:rsidRPr="004A0C12">
        <w:rPr>
          <w:rFonts w:ascii="Garamond" w:hAnsi="Garamond"/>
        </w:rPr>
        <w:t>.</w:t>
      </w:r>
    </w:p>
    <w:p w14:paraId="5F6BF67F" w14:textId="77777777" w:rsidR="00CB4585" w:rsidRPr="004A0C12" w:rsidRDefault="00CB4585" w:rsidP="00FF31F0">
      <w:pPr>
        <w:spacing w:after="0" w:line="240" w:lineRule="auto"/>
        <w:jc w:val="both"/>
        <w:rPr>
          <w:rFonts w:ascii="Garamond" w:hAnsi="Garamond"/>
        </w:rPr>
      </w:pPr>
    </w:p>
    <w:p w14:paraId="5CE1D7C5" w14:textId="32BA10F4" w:rsidR="00FF31F0" w:rsidRPr="004A0C12" w:rsidRDefault="00FF31F0" w:rsidP="00FF31F0">
      <w:pPr>
        <w:spacing w:after="0" w:line="240" w:lineRule="auto"/>
        <w:jc w:val="both"/>
        <w:rPr>
          <w:rFonts w:ascii="Garamond" w:hAnsi="Garamond"/>
        </w:rPr>
      </w:pPr>
      <w:r w:rsidRPr="004A0C12">
        <w:rPr>
          <w:rFonts w:ascii="Garamond" w:hAnsi="Garamond"/>
        </w:rPr>
        <w:t>To help operationalize alignment efforts, DLLR, DHR, MSDE, and local workforce partners are committed to cross training employees and sharing resources and data, as appropriate and when possible. Collaboration between State and local workforce partners and the co-location of resources will further foster improved custo</w:t>
      </w:r>
      <w:r w:rsidR="00D446AD" w:rsidRPr="004A0C12">
        <w:rPr>
          <w:rFonts w:ascii="Garamond" w:hAnsi="Garamond"/>
        </w:rPr>
        <w:t xml:space="preserve">mer service, as it will help </w:t>
      </w:r>
      <w:r w:rsidRPr="004A0C12">
        <w:rPr>
          <w:rFonts w:ascii="Garamond" w:hAnsi="Garamond"/>
        </w:rPr>
        <w:t xml:space="preserve">identify commonalities and ensure that processes are in place </w:t>
      </w:r>
      <w:r w:rsidR="00D446AD" w:rsidRPr="004A0C12">
        <w:rPr>
          <w:rFonts w:ascii="Garamond" w:hAnsi="Garamond"/>
        </w:rPr>
        <w:t>to</w:t>
      </w:r>
      <w:r w:rsidRPr="004A0C12">
        <w:rPr>
          <w:rFonts w:ascii="Garamond" w:hAnsi="Garamond"/>
        </w:rPr>
        <w:t xml:space="preserve"> provide</w:t>
      </w:r>
      <w:r w:rsidR="00D446AD" w:rsidRPr="004A0C12">
        <w:rPr>
          <w:rFonts w:ascii="Garamond" w:hAnsi="Garamond"/>
        </w:rPr>
        <w:t xml:space="preserve"> a greater number of services</w:t>
      </w:r>
      <w:r w:rsidRPr="004A0C12">
        <w:rPr>
          <w:rFonts w:ascii="Garamond" w:hAnsi="Garamond"/>
        </w:rPr>
        <w:t xml:space="preserve"> to shared customers.  </w:t>
      </w:r>
    </w:p>
    <w:p w14:paraId="5F1F8C16" w14:textId="77777777" w:rsidR="00FF31F0" w:rsidRPr="004A0C12" w:rsidRDefault="00FF31F0" w:rsidP="00FF31F0">
      <w:pPr>
        <w:pStyle w:val="ListParagraph"/>
        <w:ind w:left="0"/>
        <w:jc w:val="both"/>
        <w:rPr>
          <w:rFonts w:ascii="Garamond" w:hAnsi="Garamond"/>
          <w:szCs w:val="22"/>
        </w:rPr>
      </w:pPr>
    </w:p>
    <w:p w14:paraId="584E1AEE" w14:textId="35657547" w:rsidR="00FF31F0" w:rsidRPr="004A0C12" w:rsidRDefault="00AE4841" w:rsidP="00FF31F0">
      <w:pPr>
        <w:pStyle w:val="ListParagraph"/>
        <w:ind w:left="0"/>
        <w:jc w:val="both"/>
        <w:rPr>
          <w:rFonts w:ascii="Garamond" w:hAnsi="Garamond"/>
          <w:szCs w:val="22"/>
        </w:rPr>
      </w:pPr>
      <w:r w:rsidRPr="004A0C12">
        <w:rPr>
          <w:rFonts w:ascii="Garamond" w:hAnsi="Garamond"/>
          <w:szCs w:val="22"/>
        </w:rPr>
        <w:t>The WIOA Partners will explore ways to successfully build in incentives for local providers to serve those who are most in need of assistance. The WIOA P</w:t>
      </w:r>
      <w:r w:rsidR="00FF31F0" w:rsidRPr="004A0C12">
        <w:rPr>
          <w:rFonts w:ascii="Garamond" w:hAnsi="Garamond"/>
          <w:szCs w:val="22"/>
        </w:rPr>
        <w:t>artners are further committed to placing jobseekers in the</w:t>
      </w:r>
      <w:r w:rsidR="00D446AD" w:rsidRPr="004A0C12">
        <w:rPr>
          <w:rFonts w:ascii="Garamond" w:hAnsi="Garamond"/>
          <w:szCs w:val="22"/>
        </w:rPr>
        <w:t xml:space="preserve"> center of service delivery solutions. </w:t>
      </w:r>
      <w:r w:rsidRPr="004A0C12">
        <w:rPr>
          <w:rFonts w:ascii="Garamond" w:hAnsi="Garamond"/>
          <w:szCs w:val="22"/>
        </w:rPr>
        <w:t xml:space="preserve"> </w:t>
      </w:r>
    </w:p>
    <w:p w14:paraId="738B87E6" w14:textId="77777777" w:rsidR="00CC66F0" w:rsidRPr="004A0C12" w:rsidRDefault="00CC66F0" w:rsidP="00FF31F0">
      <w:pPr>
        <w:pStyle w:val="ListParagraph"/>
        <w:ind w:left="0"/>
        <w:jc w:val="both"/>
        <w:rPr>
          <w:rFonts w:ascii="Garamond" w:hAnsi="Garamond"/>
          <w:szCs w:val="22"/>
        </w:rPr>
      </w:pPr>
    </w:p>
    <w:p w14:paraId="4AE9708D" w14:textId="6AE5C76F" w:rsidR="009F5EDD" w:rsidRDefault="006108DC" w:rsidP="00CC66F0">
      <w:pPr>
        <w:pStyle w:val="ListParagraph"/>
        <w:ind w:left="0"/>
        <w:rPr>
          <w:rFonts w:ascii="Garamond" w:hAnsi="Garamond"/>
          <w:szCs w:val="22"/>
        </w:rPr>
      </w:pPr>
      <w:r w:rsidRPr="004A0C12">
        <w:rPr>
          <w:rFonts w:ascii="Garamond" w:hAnsi="Garamond"/>
          <w:szCs w:val="22"/>
        </w:rPr>
        <w:t>Maryland’s WIOA P</w:t>
      </w:r>
      <w:r w:rsidR="00FF31F0" w:rsidRPr="004A0C12">
        <w:rPr>
          <w:rFonts w:ascii="Garamond" w:hAnsi="Garamond"/>
          <w:szCs w:val="22"/>
        </w:rPr>
        <w:t>artners are committed to serving th</w:t>
      </w:r>
      <w:r w:rsidR="00CC66F0" w:rsidRPr="004A0C12">
        <w:rPr>
          <w:rFonts w:ascii="Garamond" w:hAnsi="Garamond"/>
          <w:szCs w:val="22"/>
        </w:rPr>
        <w:t>e following target population</w:t>
      </w:r>
      <w:r w:rsidR="00B87622" w:rsidRPr="004A0C12">
        <w:rPr>
          <w:rFonts w:ascii="Garamond" w:hAnsi="Garamond"/>
          <w:szCs w:val="22"/>
        </w:rPr>
        <w:t>s</w:t>
      </w:r>
      <w:r w:rsidR="00CC66F0" w:rsidRPr="004A0C12">
        <w:rPr>
          <w:rFonts w:ascii="Garamond" w:hAnsi="Garamond"/>
          <w:szCs w:val="22"/>
        </w:rPr>
        <w:t xml:space="preserve">: </w:t>
      </w:r>
    </w:p>
    <w:p w14:paraId="50C1657D" w14:textId="77777777" w:rsidR="00B60621" w:rsidRPr="004A0C12" w:rsidRDefault="00B60621" w:rsidP="00CC66F0">
      <w:pPr>
        <w:pStyle w:val="ListParagraph"/>
        <w:ind w:left="0"/>
        <w:rPr>
          <w:rFonts w:ascii="Garamond" w:hAnsi="Garamond"/>
          <w:szCs w:val="22"/>
        </w:rPr>
      </w:pPr>
    </w:p>
    <w:p w14:paraId="788F9D92" w14:textId="77777777" w:rsidR="00CC66F0" w:rsidRPr="004A0C12" w:rsidRDefault="00CC66F0" w:rsidP="00CC66F0">
      <w:pPr>
        <w:pStyle w:val="ListParagraph"/>
        <w:ind w:left="0"/>
        <w:rPr>
          <w:rFonts w:ascii="Garamond" w:hAnsi="Garamond"/>
          <w:szCs w:val="22"/>
        </w:rPr>
      </w:pPr>
    </w:p>
    <w:tbl>
      <w:tblPr>
        <w:tblStyle w:val="PlainTable11"/>
        <w:tblpPr w:leftFromText="180" w:rightFromText="180" w:vertAnchor="text" w:tblpY="1"/>
        <w:tblW w:w="9917" w:type="dxa"/>
        <w:tblLook w:val="04A0" w:firstRow="1" w:lastRow="0" w:firstColumn="1" w:lastColumn="0" w:noHBand="0" w:noVBand="1"/>
        <w:tblCaption w:val="Target Populations: Individuals with Barriers to Employment"/>
        <w:tblDescription w:val="Maryland's WIOA Partners are committed to serving the following target populations: Displaced Homemakers; Eligible migrant and seasonal farmworkers; Ex-offenders; Homeless individuals; Individuals facing substantial cultural barriers; Individuals with disabilities, including youth with disabilities; Individuals within two years of exhausting lifetime eligibility under Part A of the Social Security Act; Individuals who are English language learners; Individuals who are unemployed, including the long-term unemployed; Individuals who have low levels of literacy; Individuals without a High School Diploma; Low income individuals (including TANF and SNAP recipients); Long-term unemployed individuals;&#10;Native Americans, Alaskan Natives, and Native Hawaiians; Older individuals; Single parents (including single pregnant women and non-custodial parents); Veterans; and, Youth who are in or have aged out of the foster care system.&#10;"/>
      </w:tblPr>
      <w:tblGrid>
        <w:gridCol w:w="9917"/>
      </w:tblGrid>
      <w:tr w:rsidR="00FF31F0" w:rsidRPr="004A0C12" w14:paraId="775A3844" w14:textId="77777777" w:rsidTr="008B1D9A">
        <w:trPr>
          <w:cnfStyle w:val="100000000000" w:firstRow="1" w:lastRow="0" w:firstColumn="0" w:lastColumn="0" w:oddVBand="0" w:evenVBand="0" w:oddHBand="0" w:evenHBand="0" w:firstRowFirstColumn="0" w:firstRowLastColumn="0" w:lastRowFirstColumn="0" w:lastRowLastColumn="0"/>
          <w:trHeight w:val="331"/>
          <w:tblHeader/>
        </w:trPr>
        <w:tc>
          <w:tcPr>
            <w:cnfStyle w:val="001000000000" w:firstRow="0" w:lastRow="0" w:firstColumn="1" w:lastColumn="0" w:oddVBand="0" w:evenVBand="0" w:oddHBand="0" w:evenHBand="0" w:firstRowFirstColumn="0" w:firstRowLastColumn="0" w:lastRowFirstColumn="0" w:lastRowLastColumn="0"/>
            <w:tcW w:w="9917" w:type="dxa"/>
          </w:tcPr>
          <w:p w14:paraId="389CEDC4" w14:textId="77777777" w:rsidR="00FF31F0" w:rsidRPr="004A0C12" w:rsidRDefault="00FF31F0" w:rsidP="00D21526">
            <w:pPr>
              <w:jc w:val="center"/>
              <w:rPr>
                <w:rFonts w:ascii="Garamond" w:hAnsi="Garamond"/>
                <w:sz w:val="22"/>
                <w:szCs w:val="22"/>
              </w:rPr>
            </w:pPr>
            <w:r w:rsidRPr="004A0C12">
              <w:rPr>
                <w:rFonts w:ascii="Garamond" w:hAnsi="Garamond"/>
                <w:sz w:val="22"/>
                <w:szCs w:val="22"/>
              </w:rPr>
              <w:lastRenderedPageBreak/>
              <w:t>Target Populations: Individuals with Barriers to Employment</w:t>
            </w:r>
          </w:p>
        </w:tc>
      </w:tr>
      <w:tr w:rsidR="002D5C26" w:rsidRPr="004A0C12" w14:paraId="78E7CC45" w14:textId="77777777" w:rsidTr="00C371C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17" w:type="dxa"/>
          </w:tcPr>
          <w:p w14:paraId="5B2D6E28" w14:textId="77777777" w:rsidR="002D5C26" w:rsidRPr="004A0C12" w:rsidRDefault="002D5C26" w:rsidP="00D21526">
            <w:pPr>
              <w:rPr>
                <w:rFonts w:ascii="Garamond" w:hAnsi="Garamond"/>
                <w:sz w:val="22"/>
                <w:szCs w:val="22"/>
              </w:rPr>
            </w:pPr>
            <w:r w:rsidRPr="004A0C12">
              <w:rPr>
                <w:rFonts w:ascii="Garamond" w:hAnsi="Garamond"/>
                <w:b w:val="0"/>
                <w:sz w:val="22"/>
                <w:szCs w:val="22"/>
              </w:rPr>
              <w:t>Displaced Homemakers</w:t>
            </w:r>
          </w:p>
        </w:tc>
      </w:tr>
      <w:tr w:rsidR="00FF31F0" w:rsidRPr="004A0C12" w14:paraId="2B5F23AD" w14:textId="77777777" w:rsidTr="00C371C8">
        <w:trPr>
          <w:trHeight w:val="331"/>
        </w:trPr>
        <w:tc>
          <w:tcPr>
            <w:cnfStyle w:val="001000000000" w:firstRow="0" w:lastRow="0" w:firstColumn="1" w:lastColumn="0" w:oddVBand="0" w:evenVBand="0" w:oddHBand="0" w:evenHBand="0" w:firstRowFirstColumn="0" w:firstRowLastColumn="0" w:lastRowFirstColumn="0" w:lastRowLastColumn="0"/>
            <w:tcW w:w="9917" w:type="dxa"/>
          </w:tcPr>
          <w:p w14:paraId="6F9467CD" w14:textId="77777777" w:rsidR="00FF31F0" w:rsidRPr="004A0C12" w:rsidRDefault="002D5C26" w:rsidP="00D21526">
            <w:pPr>
              <w:pStyle w:val="ListParagraph"/>
              <w:ind w:left="0"/>
              <w:rPr>
                <w:rFonts w:ascii="Garamond" w:hAnsi="Garamond"/>
                <w:b w:val="0"/>
                <w:sz w:val="22"/>
                <w:szCs w:val="22"/>
              </w:rPr>
            </w:pPr>
            <w:r w:rsidRPr="004A0C12">
              <w:rPr>
                <w:rFonts w:ascii="Garamond" w:hAnsi="Garamond"/>
                <w:b w:val="0"/>
                <w:sz w:val="22"/>
                <w:szCs w:val="22"/>
              </w:rPr>
              <w:t>Eligible migrant and seasonal farmworkers</w:t>
            </w:r>
          </w:p>
        </w:tc>
      </w:tr>
      <w:tr w:rsidR="002D5C26" w:rsidRPr="004A0C12" w14:paraId="1FF42894" w14:textId="77777777" w:rsidTr="00C371C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17" w:type="dxa"/>
          </w:tcPr>
          <w:p w14:paraId="7BE87597" w14:textId="77777777" w:rsidR="002D5C26" w:rsidRPr="004A0C12" w:rsidRDefault="002D5C26" w:rsidP="00D21526">
            <w:pPr>
              <w:pStyle w:val="ListParagraph"/>
              <w:ind w:left="0"/>
              <w:rPr>
                <w:rFonts w:ascii="Garamond" w:hAnsi="Garamond"/>
                <w:b w:val="0"/>
                <w:sz w:val="22"/>
                <w:szCs w:val="22"/>
              </w:rPr>
            </w:pPr>
            <w:r w:rsidRPr="004A0C12">
              <w:rPr>
                <w:rFonts w:ascii="Garamond" w:hAnsi="Garamond"/>
                <w:b w:val="0"/>
                <w:sz w:val="22"/>
                <w:szCs w:val="22"/>
              </w:rPr>
              <w:t>Ex-offenders</w:t>
            </w:r>
          </w:p>
        </w:tc>
      </w:tr>
      <w:tr w:rsidR="008D373E" w:rsidRPr="004A0C12" w14:paraId="57CD19E1" w14:textId="77777777" w:rsidTr="00C371C8">
        <w:trPr>
          <w:trHeight w:val="331"/>
        </w:trPr>
        <w:tc>
          <w:tcPr>
            <w:cnfStyle w:val="001000000000" w:firstRow="0" w:lastRow="0" w:firstColumn="1" w:lastColumn="0" w:oddVBand="0" w:evenVBand="0" w:oddHBand="0" w:evenHBand="0" w:firstRowFirstColumn="0" w:firstRowLastColumn="0" w:lastRowFirstColumn="0" w:lastRowLastColumn="0"/>
            <w:tcW w:w="9917" w:type="dxa"/>
          </w:tcPr>
          <w:p w14:paraId="74C58004" w14:textId="77777777" w:rsidR="008D373E" w:rsidRPr="004A0C12" w:rsidRDefault="008D373E" w:rsidP="00D21526">
            <w:pPr>
              <w:pStyle w:val="ListParagraph"/>
              <w:ind w:left="0"/>
              <w:rPr>
                <w:rFonts w:ascii="Garamond" w:hAnsi="Garamond"/>
                <w:b w:val="0"/>
                <w:sz w:val="22"/>
                <w:szCs w:val="22"/>
              </w:rPr>
            </w:pPr>
            <w:r w:rsidRPr="004A0C12">
              <w:rPr>
                <w:rFonts w:ascii="Garamond" w:hAnsi="Garamond"/>
                <w:b w:val="0"/>
                <w:sz w:val="22"/>
                <w:szCs w:val="22"/>
              </w:rPr>
              <w:t>Homeless individuals</w:t>
            </w:r>
          </w:p>
        </w:tc>
      </w:tr>
      <w:tr w:rsidR="00D21526" w:rsidRPr="004A0C12" w14:paraId="26B8FF2E" w14:textId="77777777" w:rsidTr="00C371C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17" w:type="dxa"/>
          </w:tcPr>
          <w:p w14:paraId="5720F738" w14:textId="2AF9D4CF" w:rsidR="00D21526" w:rsidRPr="004A0C12" w:rsidRDefault="00D21526" w:rsidP="00D21526">
            <w:pPr>
              <w:pStyle w:val="ListParagraph"/>
              <w:ind w:left="0"/>
              <w:rPr>
                <w:rFonts w:ascii="Garamond" w:hAnsi="Garamond"/>
                <w:b w:val="0"/>
                <w:sz w:val="22"/>
                <w:szCs w:val="22"/>
              </w:rPr>
            </w:pPr>
            <w:r w:rsidRPr="004A0C12">
              <w:rPr>
                <w:rFonts w:ascii="Garamond" w:hAnsi="Garamond"/>
                <w:b w:val="0"/>
                <w:sz w:val="22"/>
                <w:szCs w:val="22"/>
              </w:rPr>
              <w:t>Individuals facing substantial cultural barriers</w:t>
            </w:r>
          </w:p>
        </w:tc>
      </w:tr>
      <w:tr w:rsidR="00D21526" w:rsidRPr="004A0C12" w14:paraId="62664F8E" w14:textId="77777777" w:rsidTr="00C371C8">
        <w:trPr>
          <w:trHeight w:val="331"/>
        </w:trPr>
        <w:tc>
          <w:tcPr>
            <w:cnfStyle w:val="001000000000" w:firstRow="0" w:lastRow="0" w:firstColumn="1" w:lastColumn="0" w:oddVBand="0" w:evenVBand="0" w:oddHBand="0" w:evenHBand="0" w:firstRowFirstColumn="0" w:firstRowLastColumn="0" w:lastRowFirstColumn="0" w:lastRowLastColumn="0"/>
            <w:tcW w:w="9917" w:type="dxa"/>
          </w:tcPr>
          <w:p w14:paraId="4DB636EF" w14:textId="026E98DA" w:rsidR="00D21526" w:rsidRPr="004A0C12" w:rsidRDefault="00D21526" w:rsidP="00D21526">
            <w:pPr>
              <w:pStyle w:val="ListParagraph"/>
              <w:ind w:left="0"/>
              <w:rPr>
                <w:rFonts w:ascii="Garamond" w:hAnsi="Garamond"/>
                <w:b w:val="0"/>
                <w:sz w:val="22"/>
                <w:szCs w:val="22"/>
              </w:rPr>
            </w:pPr>
            <w:r w:rsidRPr="004A0C12">
              <w:rPr>
                <w:rFonts w:ascii="Garamond" w:hAnsi="Garamond"/>
                <w:b w:val="0"/>
                <w:sz w:val="22"/>
                <w:szCs w:val="22"/>
              </w:rPr>
              <w:t>Individuals with disabilities, including youth with disabilities</w:t>
            </w:r>
          </w:p>
        </w:tc>
      </w:tr>
      <w:tr w:rsidR="00D21526" w:rsidRPr="004A0C12" w14:paraId="56A14F0E" w14:textId="77777777" w:rsidTr="00C371C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17" w:type="dxa"/>
          </w:tcPr>
          <w:p w14:paraId="25B61DC8" w14:textId="0E3FE4D2" w:rsidR="00D21526" w:rsidRPr="004A0C12" w:rsidRDefault="00D21526" w:rsidP="00D21526">
            <w:pPr>
              <w:pStyle w:val="ListParagraph"/>
              <w:ind w:left="0"/>
              <w:rPr>
                <w:rFonts w:ascii="Garamond" w:hAnsi="Garamond"/>
                <w:b w:val="0"/>
                <w:sz w:val="22"/>
                <w:szCs w:val="22"/>
              </w:rPr>
            </w:pPr>
            <w:r w:rsidRPr="004A0C12">
              <w:rPr>
                <w:rFonts w:ascii="Garamond" w:hAnsi="Garamond"/>
                <w:b w:val="0"/>
                <w:sz w:val="22"/>
                <w:szCs w:val="22"/>
              </w:rPr>
              <w:t>Individuals within two years of exhausting lifetime eligibility under Part A of the Social Security Act</w:t>
            </w:r>
          </w:p>
        </w:tc>
      </w:tr>
      <w:tr w:rsidR="00D21526" w:rsidRPr="004A0C12" w14:paraId="5B98D5E5" w14:textId="77777777" w:rsidTr="00C371C8">
        <w:trPr>
          <w:trHeight w:val="331"/>
        </w:trPr>
        <w:tc>
          <w:tcPr>
            <w:cnfStyle w:val="001000000000" w:firstRow="0" w:lastRow="0" w:firstColumn="1" w:lastColumn="0" w:oddVBand="0" w:evenVBand="0" w:oddHBand="0" w:evenHBand="0" w:firstRowFirstColumn="0" w:firstRowLastColumn="0" w:lastRowFirstColumn="0" w:lastRowLastColumn="0"/>
            <w:tcW w:w="9917" w:type="dxa"/>
          </w:tcPr>
          <w:p w14:paraId="598B99D1" w14:textId="72B8C738" w:rsidR="00D21526" w:rsidRPr="004A0C12" w:rsidRDefault="00D21526" w:rsidP="00D21526">
            <w:pPr>
              <w:pStyle w:val="ListParagraph"/>
              <w:ind w:left="0"/>
              <w:rPr>
                <w:rFonts w:ascii="Garamond" w:hAnsi="Garamond"/>
                <w:b w:val="0"/>
                <w:sz w:val="22"/>
                <w:szCs w:val="22"/>
              </w:rPr>
            </w:pPr>
            <w:r w:rsidRPr="004A0C12">
              <w:rPr>
                <w:rFonts w:ascii="Garamond" w:hAnsi="Garamond"/>
                <w:b w:val="0"/>
                <w:sz w:val="22"/>
                <w:szCs w:val="22"/>
              </w:rPr>
              <w:t>Individuals who are English language learners</w:t>
            </w:r>
          </w:p>
        </w:tc>
      </w:tr>
      <w:tr w:rsidR="00D21526" w:rsidRPr="004A0C12" w14:paraId="250CC6F2" w14:textId="77777777" w:rsidTr="00C371C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17" w:type="dxa"/>
          </w:tcPr>
          <w:p w14:paraId="61340E13" w14:textId="3BA87E6F" w:rsidR="00D21526" w:rsidRPr="004A0C12" w:rsidRDefault="00D21526" w:rsidP="00D21526">
            <w:pPr>
              <w:jc w:val="both"/>
              <w:rPr>
                <w:rFonts w:ascii="Garamond" w:hAnsi="Garamond"/>
                <w:b w:val="0"/>
                <w:sz w:val="22"/>
                <w:szCs w:val="22"/>
              </w:rPr>
            </w:pPr>
            <w:r w:rsidRPr="004A0C12">
              <w:rPr>
                <w:rFonts w:ascii="Garamond" w:hAnsi="Garamond"/>
                <w:b w:val="0"/>
                <w:sz w:val="22"/>
                <w:szCs w:val="22"/>
              </w:rPr>
              <w:t>Individuals who are unemployed, including the long-term unemployed</w:t>
            </w:r>
          </w:p>
        </w:tc>
      </w:tr>
      <w:tr w:rsidR="00D21526" w:rsidRPr="004A0C12" w14:paraId="2A5E789C" w14:textId="77777777" w:rsidTr="00C371C8">
        <w:trPr>
          <w:trHeight w:val="331"/>
        </w:trPr>
        <w:tc>
          <w:tcPr>
            <w:cnfStyle w:val="001000000000" w:firstRow="0" w:lastRow="0" w:firstColumn="1" w:lastColumn="0" w:oddVBand="0" w:evenVBand="0" w:oddHBand="0" w:evenHBand="0" w:firstRowFirstColumn="0" w:firstRowLastColumn="0" w:lastRowFirstColumn="0" w:lastRowLastColumn="0"/>
            <w:tcW w:w="9917" w:type="dxa"/>
          </w:tcPr>
          <w:p w14:paraId="26E13FEF" w14:textId="6EB4C3ED" w:rsidR="00D21526" w:rsidRPr="004A0C12" w:rsidRDefault="00D21526" w:rsidP="00D21526">
            <w:pPr>
              <w:jc w:val="both"/>
              <w:rPr>
                <w:rFonts w:ascii="Garamond" w:hAnsi="Garamond"/>
                <w:b w:val="0"/>
                <w:sz w:val="22"/>
                <w:szCs w:val="22"/>
              </w:rPr>
            </w:pPr>
            <w:r w:rsidRPr="004A0C12">
              <w:rPr>
                <w:rFonts w:ascii="Garamond" w:hAnsi="Garamond"/>
                <w:b w:val="0"/>
                <w:sz w:val="22"/>
                <w:szCs w:val="22"/>
              </w:rPr>
              <w:t>Individuals who have low levels of literacy</w:t>
            </w:r>
          </w:p>
        </w:tc>
      </w:tr>
      <w:tr w:rsidR="00D21526" w:rsidRPr="004A0C12" w14:paraId="367C4993" w14:textId="77777777" w:rsidTr="00C371C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17" w:type="dxa"/>
          </w:tcPr>
          <w:p w14:paraId="45ED2A4B" w14:textId="7DB27BB7" w:rsidR="00D21526" w:rsidRPr="004A0C12" w:rsidRDefault="00D21526" w:rsidP="00D21526">
            <w:pPr>
              <w:pStyle w:val="ListParagraph"/>
              <w:ind w:left="0"/>
              <w:rPr>
                <w:rFonts w:ascii="Garamond" w:hAnsi="Garamond"/>
                <w:b w:val="0"/>
                <w:sz w:val="22"/>
                <w:szCs w:val="22"/>
              </w:rPr>
            </w:pPr>
            <w:r w:rsidRPr="004A0C12">
              <w:rPr>
                <w:rFonts w:ascii="Garamond" w:hAnsi="Garamond"/>
                <w:b w:val="0"/>
                <w:sz w:val="22"/>
                <w:szCs w:val="22"/>
              </w:rPr>
              <w:t>Individuals without a High School Diploma</w:t>
            </w:r>
          </w:p>
        </w:tc>
      </w:tr>
      <w:tr w:rsidR="00D21526" w:rsidRPr="004A0C12" w14:paraId="4220B2FA" w14:textId="77777777" w:rsidTr="00C371C8">
        <w:trPr>
          <w:trHeight w:val="331"/>
        </w:trPr>
        <w:tc>
          <w:tcPr>
            <w:cnfStyle w:val="001000000000" w:firstRow="0" w:lastRow="0" w:firstColumn="1" w:lastColumn="0" w:oddVBand="0" w:evenVBand="0" w:oddHBand="0" w:evenHBand="0" w:firstRowFirstColumn="0" w:firstRowLastColumn="0" w:lastRowFirstColumn="0" w:lastRowLastColumn="0"/>
            <w:tcW w:w="9917" w:type="dxa"/>
          </w:tcPr>
          <w:p w14:paraId="33543FCF" w14:textId="6BA796C8" w:rsidR="00D21526" w:rsidRPr="004A0C12" w:rsidRDefault="00D21526" w:rsidP="00FB32D9">
            <w:pPr>
              <w:jc w:val="both"/>
              <w:rPr>
                <w:rFonts w:ascii="Garamond" w:hAnsi="Garamond"/>
                <w:b w:val="0"/>
                <w:sz w:val="22"/>
                <w:szCs w:val="22"/>
              </w:rPr>
            </w:pPr>
            <w:r w:rsidRPr="004A0C12">
              <w:rPr>
                <w:rFonts w:ascii="Garamond" w:hAnsi="Garamond"/>
                <w:b w:val="0"/>
                <w:sz w:val="22"/>
                <w:szCs w:val="22"/>
              </w:rPr>
              <w:t>Low income individuals (including TANF and SNAP recipients)</w:t>
            </w:r>
          </w:p>
        </w:tc>
      </w:tr>
      <w:tr w:rsidR="00D21526" w:rsidRPr="004A0C12" w14:paraId="5BAD7800" w14:textId="77777777" w:rsidTr="00C371C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17" w:type="dxa"/>
          </w:tcPr>
          <w:p w14:paraId="32E6CF5A" w14:textId="53B1EB95" w:rsidR="00D21526" w:rsidRPr="004A0C12" w:rsidRDefault="00D21526" w:rsidP="00FB32D9">
            <w:pPr>
              <w:jc w:val="both"/>
              <w:rPr>
                <w:rFonts w:ascii="Garamond" w:hAnsi="Garamond"/>
                <w:b w:val="0"/>
                <w:sz w:val="22"/>
                <w:szCs w:val="22"/>
              </w:rPr>
            </w:pPr>
            <w:r w:rsidRPr="004A0C12">
              <w:rPr>
                <w:rFonts w:ascii="Garamond" w:hAnsi="Garamond"/>
                <w:b w:val="0"/>
                <w:sz w:val="22"/>
                <w:szCs w:val="22"/>
              </w:rPr>
              <w:t>L</w:t>
            </w:r>
            <w:r w:rsidR="0013794C" w:rsidRPr="004A0C12">
              <w:rPr>
                <w:rFonts w:ascii="Garamond" w:hAnsi="Garamond"/>
                <w:b w:val="0"/>
                <w:sz w:val="22"/>
                <w:szCs w:val="22"/>
              </w:rPr>
              <w:t>ong-term unemployed individuals</w:t>
            </w:r>
          </w:p>
        </w:tc>
      </w:tr>
      <w:tr w:rsidR="00D21526" w:rsidRPr="004A0C12" w14:paraId="62953C2D" w14:textId="77777777" w:rsidTr="00C371C8">
        <w:trPr>
          <w:trHeight w:val="331"/>
        </w:trPr>
        <w:tc>
          <w:tcPr>
            <w:cnfStyle w:val="001000000000" w:firstRow="0" w:lastRow="0" w:firstColumn="1" w:lastColumn="0" w:oddVBand="0" w:evenVBand="0" w:oddHBand="0" w:evenHBand="0" w:firstRowFirstColumn="0" w:firstRowLastColumn="0" w:lastRowFirstColumn="0" w:lastRowLastColumn="0"/>
            <w:tcW w:w="9917" w:type="dxa"/>
          </w:tcPr>
          <w:p w14:paraId="38B06812" w14:textId="02858359" w:rsidR="00D21526" w:rsidRPr="004A0C12" w:rsidRDefault="00D21526" w:rsidP="00FB32D9">
            <w:pPr>
              <w:jc w:val="both"/>
              <w:rPr>
                <w:rFonts w:ascii="Garamond" w:hAnsi="Garamond"/>
                <w:b w:val="0"/>
                <w:sz w:val="22"/>
                <w:szCs w:val="22"/>
              </w:rPr>
            </w:pPr>
            <w:r w:rsidRPr="004A0C12">
              <w:rPr>
                <w:rFonts w:ascii="Garamond" w:hAnsi="Garamond"/>
                <w:b w:val="0"/>
                <w:sz w:val="22"/>
                <w:szCs w:val="22"/>
              </w:rPr>
              <w:t>Native Americans, Alaskan</w:t>
            </w:r>
            <w:r w:rsidR="0013794C" w:rsidRPr="004A0C12">
              <w:rPr>
                <w:rFonts w:ascii="Garamond" w:hAnsi="Garamond"/>
                <w:b w:val="0"/>
                <w:sz w:val="22"/>
                <w:szCs w:val="22"/>
              </w:rPr>
              <w:t xml:space="preserve"> Natives, and Native Hawaiians</w:t>
            </w:r>
          </w:p>
        </w:tc>
      </w:tr>
      <w:tr w:rsidR="00D21526" w:rsidRPr="004A0C12" w14:paraId="66F3EF8E" w14:textId="77777777" w:rsidTr="00C371C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17" w:type="dxa"/>
          </w:tcPr>
          <w:p w14:paraId="1BA6BED7" w14:textId="1B6ACC67" w:rsidR="00D21526" w:rsidRPr="004A0C12" w:rsidRDefault="0013794C" w:rsidP="00FB32D9">
            <w:pPr>
              <w:jc w:val="both"/>
              <w:rPr>
                <w:rFonts w:ascii="Garamond" w:hAnsi="Garamond"/>
                <w:b w:val="0"/>
                <w:sz w:val="22"/>
                <w:szCs w:val="22"/>
              </w:rPr>
            </w:pPr>
            <w:r w:rsidRPr="004A0C12">
              <w:rPr>
                <w:rFonts w:ascii="Garamond" w:hAnsi="Garamond"/>
                <w:b w:val="0"/>
                <w:sz w:val="22"/>
                <w:szCs w:val="22"/>
              </w:rPr>
              <w:t>Older individuals</w:t>
            </w:r>
          </w:p>
        </w:tc>
      </w:tr>
      <w:tr w:rsidR="00D21526" w:rsidRPr="004A0C12" w14:paraId="07BBDD0B" w14:textId="77777777" w:rsidTr="00C371C8">
        <w:trPr>
          <w:trHeight w:val="331"/>
        </w:trPr>
        <w:tc>
          <w:tcPr>
            <w:cnfStyle w:val="001000000000" w:firstRow="0" w:lastRow="0" w:firstColumn="1" w:lastColumn="0" w:oddVBand="0" w:evenVBand="0" w:oddHBand="0" w:evenHBand="0" w:firstRowFirstColumn="0" w:firstRowLastColumn="0" w:lastRowFirstColumn="0" w:lastRowLastColumn="0"/>
            <w:tcW w:w="9917" w:type="dxa"/>
          </w:tcPr>
          <w:p w14:paraId="52FB24B4" w14:textId="14873D8B" w:rsidR="00D21526" w:rsidRPr="004A0C12" w:rsidRDefault="00D21526" w:rsidP="00FB32D9">
            <w:pPr>
              <w:jc w:val="both"/>
              <w:rPr>
                <w:rFonts w:ascii="Garamond" w:hAnsi="Garamond"/>
                <w:b w:val="0"/>
                <w:sz w:val="22"/>
                <w:szCs w:val="22"/>
              </w:rPr>
            </w:pPr>
            <w:r w:rsidRPr="004A0C12">
              <w:rPr>
                <w:rFonts w:ascii="Garamond" w:hAnsi="Garamond"/>
                <w:b w:val="0"/>
                <w:sz w:val="22"/>
                <w:szCs w:val="22"/>
              </w:rPr>
              <w:t>Single parents (including single pregnant women and non-custodial parents)</w:t>
            </w:r>
          </w:p>
        </w:tc>
      </w:tr>
      <w:tr w:rsidR="00D21526" w:rsidRPr="004A0C12" w14:paraId="2A02E4CA" w14:textId="77777777" w:rsidTr="00C371C8">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917" w:type="dxa"/>
          </w:tcPr>
          <w:p w14:paraId="7E55509F" w14:textId="514543F8" w:rsidR="00D21526" w:rsidRPr="004A0C12" w:rsidRDefault="00FB32D9" w:rsidP="00FB32D9">
            <w:pPr>
              <w:jc w:val="both"/>
              <w:rPr>
                <w:rFonts w:ascii="Garamond" w:hAnsi="Garamond"/>
                <w:b w:val="0"/>
                <w:sz w:val="22"/>
                <w:szCs w:val="22"/>
              </w:rPr>
            </w:pPr>
            <w:r w:rsidRPr="004A0C12">
              <w:rPr>
                <w:rFonts w:ascii="Garamond" w:hAnsi="Garamond"/>
                <w:b w:val="0"/>
                <w:sz w:val="22"/>
                <w:szCs w:val="22"/>
              </w:rPr>
              <w:t>Veterans</w:t>
            </w:r>
          </w:p>
        </w:tc>
      </w:tr>
      <w:tr w:rsidR="00FB32D9" w:rsidRPr="004A0C12" w14:paraId="38AAE0DF" w14:textId="77777777" w:rsidTr="00C371C8">
        <w:trPr>
          <w:trHeight w:val="331"/>
        </w:trPr>
        <w:tc>
          <w:tcPr>
            <w:cnfStyle w:val="001000000000" w:firstRow="0" w:lastRow="0" w:firstColumn="1" w:lastColumn="0" w:oddVBand="0" w:evenVBand="0" w:oddHBand="0" w:evenHBand="0" w:firstRowFirstColumn="0" w:firstRowLastColumn="0" w:lastRowFirstColumn="0" w:lastRowLastColumn="0"/>
            <w:tcW w:w="9917" w:type="dxa"/>
          </w:tcPr>
          <w:p w14:paraId="57B793B8" w14:textId="6D708649" w:rsidR="00FB32D9" w:rsidRPr="004A0C12" w:rsidRDefault="00FB32D9" w:rsidP="00FB32D9">
            <w:pPr>
              <w:jc w:val="both"/>
              <w:rPr>
                <w:rFonts w:ascii="Garamond" w:hAnsi="Garamond"/>
                <w:b w:val="0"/>
                <w:sz w:val="22"/>
                <w:szCs w:val="22"/>
              </w:rPr>
            </w:pPr>
            <w:r w:rsidRPr="004A0C12">
              <w:rPr>
                <w:rFonts w:ascii="Garamond" w:hAnsi="Garamond"/>
                <w:b w:val="0"/>
                <w:sz w:val="22"/>
                <w:szCs w:val="22"/>
              </w:rPr>
              <w:t>Youth who are in or have age</w:t>
            </w:r>
            <w:r w:rsidR="0013794C" w:rsidRPr="004A0C12">
              <w:rPr>
                <w:rFonts w:ascii="Garamond" w:hAnsi="Garamond"/>
                <w:b w:val="0"/>
                <w:sz w:val="22"/>
                <w:szCs w:val="22"/>
              </w:rPr>
              <w:t>d out of the foster care system</w:t>
            </w:r>
          </w:p>
        </w:tc>
      </w:tr>
    </w:tbl>
    <w:p w14:paraId="373A164B" w14:textId="77777777" w:rsidR="00D21526" w:rsidRPr="004A0C12" w:rsidRDefault="00D21526" w:rsidP="00D21526">
      <w:pPr>
        <w:pStyle w:val="ListParagraph"/>
        <w:tabs>
          <w:tab w:val="left" w:pos="720"/>
        </w:tabs>
        <w:ind w:left="0"/>
        <w:jc w:val="both"/>
        <w:rPr>
          <w:rFonts w:ascii="Garamond" w:hAnsi="Garamond"/>
          <w:szCs w:val="22"/>
        </w:rPr>
      </w:pPr>
    </w:p>
    <w:p w14:paraId="46321F5B" w14:textId="49443229" w:rsidR="00D21526" w:rsidRPr="004A0C12" w:rsidRDefault="00D21526" w:rsidP="00FB32D9">
      <w:pPr>
        <w:pStyle w:val="ListParagraph"/>
        <w:tabs>
          <w:tab w:val="left" w:pos="720"/>
        </w:tabs>
        <w:ind w:left="0"/>
        <w:jc w:val="both"/>
        <w:rPr>
          <w:rFonts w:ascii="Garamond" w:hAnsi="Garamond"/>
          <w:szCs w:val="22"/>
          <w:highlight w:val="yellow"/>
        </w:rPr>
      </w:pPr>
      <w:r w:rsidRPr="004A0C12">
        <w:rPr>
          <w:rFonts w:ascii="Garamond" w:hAnsi="Garamond"/>
          <w:szCs w:val="22"/>
        </w:rPr>
        <w:br w:type="textWrapping" w:clear="all"/>
      </w:r>
    </w:p>
    <w:p w14:paraId="2B67DB46" w14:textId="77777777" w:rsidR="003C6F51" w:rsidRPr="004A0C12" w:rsidRDefault="003C6F51" w:rsidP="003C6F51">
      <w:pPr>
        <w:spacing w:after="0" w:line="240" w:lineRule="auto"/>
        <w:jc w:val="both"/>
        <w:rPr>
          <w:rFonts w:ascii="Garamond" w:hAnsi="Garamond"/>
        </w:rPr>
      </w:pPr>
      <w:r w:rsidRPr="004A0C12">
        <w:rPr>
          <w:rFonts w:ascii="Garamond" w:hAnsi="Garamond"/>
        </w:rPr>
        <w:t xml:space="preserve">Maryland is dedicated to continued discussions regarding the individual barriers noted on the above list, and whether additional barriers to employment should be included. Local plans may include specific additional barriers that the Local Areas may wish to include in their service delivery. </w:t>
      </w:r>
    </w:p>
    <w:p w14:paraId="00D5F6C0" w14:textId="77777777" w:rsidR="003C6F51" w:rsidRPr="004A0C12" w:rsidRDefault="003C6F51" w:rsidP="00A816E3">
      <w:pPr>
        <w:pStyle w:val="ListParagraph"/>
        <w:ind w:left="0"/>
        <w:jc w:val="both"/>
        <w:rPr>
          <w:rFonts w:ascii="Garamond" w:hAnsi="Garamond"/>
          <w:szCs w:val="22"/>
        </w:rPr>
      </w:pPr>
    </w:p>
    <w:p w14:paraId="736770AC" w14:textId="77777777" w:rsidR="00A816E3" w:rsidRPr="004A0C12" w:rsidRDefault="00A816E3" w:rsidP="00A816E3">
      <w:pPr>
        <w:pStyle w:val="ListParagraph"/>
        <w:ind w:left="0"/>
        <w:jc w:val="both"/>
        <w:rPr>
          <w:rFonts w:ascii="Garamond" w:hAnsi="Garamond"/>
          <w:szCs w:val="22"/>
        </w:rPr>
      </w:pPr>
      <w:r w:rsidRPr="004A0C12">
        <w:rPr>
          <w:rFonts w:ascii="Garamond" w:hAnsi="Garamond"/>
          <w:szCs w:val="22"/>
        </w:rPr>
        <w:t xml:space="preserve">These individuals face challenges that require innovative strategies, solutions, and tools to meet their needs throughout the job acquisition, training, and business recruitment processes. Maryland’s WIOA system will: </w:t>
      </w:r>
    </w:p>
    <w:p w14:paraId="625A684C" w14:textId="77777777" w:rsidR="00A816E3" w:rsidRPr="004A0C12" w:rsidRDefault="00A816E3" w:rsidP="00A816E3">
      <w:pPr>
        <w:pStyle w:val="ListParagraph"/>
        <w:ind w:left="0"/>
        <w:jc w:val="both"/>
        <w:rPr>
          <w:rFonts w:ascii="Garamond" w:hAnsi="Garamond"/>
          <w:szCs w:val="22"/>
        </w:rPr>
      </w:pPr>
    </w:p>
    <w:p w14:paraId="41602884" w14:textId="77777777" w:rsidR="00A816E3" w:rsidRPr="004A0C12" w:rsidRDefault="00A816E3" w:rsidP="00232F09">
      <w:pPr>
        <w:pStyle w:val="ListParagraph"/>
        <w:numPr>
          <w:ilvl w:val="0"/>
          <w:numId w:val="294"/>
        </w:numPr>
        <w:tabs>
          <w:tab w:val="clear" w:pos="0"/>
          <w:tab w:val="num" w:pos="720"/>
        </w:tabs>
        <w:ind w:left="720" w:hanging="360"/>
        <w:rPr>
          <w:rFonts w:ascii="Garamond" w:hAnsi="Garamond"/>
          <w:szCs w:val="22"/>
        </w:rPr>
      </w:pPr>
      <w:r w:rsidRPr="004A0C12">
        <w:rPr>
          <w:rFonts w:ascii="Garamond" w:hAnsi="Garamond"/>
          <w:szCs w:val="22"/>
        </w:rPr>
        <w:t xml:space="preserve">Incorporate continuous staff training, which is paramount to understanding and properly utilizing the tools available to facilitate assessment, to disseminate information on services available throughout the system, and to refer customers to appropriate WIOA partner organizations.   </w:t>
      </w:r>
    </w:p>
    <w:p w14:paraId="20FF21ED" w14:textId="77777777" w:rsidR="00A816E3" w:rsidRPr="004A0C12" w:rsidRDefault="00A816E3" w:rsidP="00232F09">
      <w:pPr>
        <w:pStyle w:val="ListParagraph"/>
        <w:numPr>
          <w:ilvl w:val="0"/>
          <w:numId w:val="294"/>
        </w:numPr>
        <w:tabs>
          <w:tab w:val="clear" w:pos="0"/>
          <w:tab w:val="num" w:pos="720"/>
        </w:tabs>
        <w:ind w:left="720" w:hanging="360"/>
        <w:rPr>
          <w:rFonts w:ascii="Garamond" w:hAnsi="Garamond"/>
          <w:szCs w:val="22"/>
        </w:rPr>
      </w:pPr>
      <w:r w:rsidRPr="004A0C12">
        <w:rPr>
          <w:rFonts w:ascii="Garamond" w:hAnsi="Garamond"/>
          <w:szCs w:val="22"/>
        </w:rPr>
        <w:t>Provide multiple access points to increase outreach and balance efficiency among the various persons involved with the customer experience.</w:t>
      </w:r>
    </w:p>
    <w:p w14:paraId="76C54FFE" w14:textId="77777777"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t>Create a robust menu of services and appropriate referrals that can effectively meet the needs of a diverse customer base.</w:t>
      </w:r>
    </w:p>
    <w:p w14:paraId="0A9ACDBF" w14:textId="285E218F"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t>Establish relationships, competence, and accountability among all partners involved in the system. Through</w:t>
      </w:r>
      <w:r w:rsidR="006108DC" w:rsidRPr="004A0C12">
        <w:rPr>
          <w:rFonts w:ascii="Garamond" w:hAnsi="Garamond"/>
          <w:szCs w:val="22"/>
        </w:rPr>
        <w:t xml:space="preserve"> the Alignment Group, the WIOA P</w:t>
      </w:r>
      <w:r w:rsidRPr="004A0C12">
        <w:rPr>
          <w:rFonts w:ascii="Garamond" w:hAnsi="Garamond"/>
          <w:szCs w:val="22"/>
        </w:rPr>
        <w:t>artners will establish deeper relationships and accountability to enhance our customers’ experiences.</w:t>
      </w:r>
    </w:p>
    <w:p w14:paraId="6FD3BF46" w14:textId="22BC2EDA"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t>Encourage sharing of information among partners, such as creating a resource map, wo</w:t>
      </w:r>
      <w:r w:rsidR="00D446AD" w:rsidRPr="004A0C12">
        <w:rPr>
          <w:rFonts w:ascii="Garamond" w:hAnsi="Garamond"/>
          <w:szCs w:val="22"/>
        </w:rPr>
        <w:t>rkforce network blog, WIOA listserv</w:t>
      </w:r>
      <w:r w:rsidRPr="004A0C12">
        <w:rPr>
          <w:rFonts w:ascii="Garamond" w:hAnsi="Garamond"/>
          <w:szCs w:val="22"/>
        </w:rPr>
        <w:t xml:space="preserve">, and a common customer service management system. The Alignment Group will provide guidance to the system. </w:t>
      </w:r>
    </w:p>
    <w:p w14:paraId="295DC4AF" w14:textId="050DC092"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t xml:space="preserve">Encourage greater business involvement in workforce processes, in Workforce Development Boards, and in the sharing of “industry-related” work skills and behavioral expectations. This includes a greater collaborative role for community colleges and industry organizations in developing programs that </w:t>
      </w:r>
      <w:r w:rsidR="00BB5F3C" w:rsidRPr="004A0C12">
        <w:rPr>
          <w:rFonts w:ascii="Garamond" w:hAnsi="Garamond"/>
          <w:szCs w:val="22"/>
        </w:rPr>
        <w:t>meet labor market needs in the Local A</w:t>
      </w:r>
      <w:r w:rsidRPr="004A0C12">
        <w:rPr>
          <w:rFonts w:ascii="Garamond" w:hAnsi="Garamond"/>
          <w:szCs w:val="22"/>
        </w:rPr>
        <w:t xml:space="preserve">rea. </w:t>
      </w:r>
    </w:p>
    <w:p w14:paraId="0D4F48EA" w14:textId="2F0A9F28"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t>Develop a common intake process</w:t>
      </w:r>
      <w:r w:rsidR="00D446AD" w:rsidRPr="004A0C12">
        <w:rPr>
          <w:rFonts w:ascii="Garamond" w:hAnsi="Garamond"/>
          <w:szCs w:val="22"/>
        </w:rPr>
        <w:t xml:space="preserve"> that provides the </w:t>
      </w:r>
      <w:r w:rsidRPr="004A0C12">
        <w:rPr>
          <w:rFonts w:ascii="Garamond" w:hAnsi="Garamond"/>
          <w:szCs w:val="22"/>
        </w:rPr>
        <w:t>ability to access customer information on services provided and next steps in the process.</w:t>
      </w:r>
    </w:p>
    <w:p w14:paraId="35ACFC98" w14:textId="23252F8D"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lastRenderedPageBreak/>
        <w:t>Reduce duplicative processes to expand staff’s ability to serve customers more efficiently. The Alignment Group will prov</w:t>
      </w:r>
      <w:r w:rsidR="00D446AD" w:rsidRPr="004A0C12">
        <w:rPr>
          <w:rFonts w:ascii="Garamond" w:hAnsi="Garamond"/>
          <w:szCs w:val="22"/>
        </w:rPr>
        <w:t>ide guidance, and the WIOA work</w:t>
      </w:r>
      <w:r w:rsidRPr="004A0C12">
        <w:rPr>
          <w:rFonts w:ascii="Garamond" w:hAnsi="Garamond"/>
          <w:szCs w:val="22"/>
        </w:rPr>
        <w:t xml:space="preserve">groups will continue to work on customer flow models, and common intake.  </w:t>
      </w:r>
    </w:p>
    <w:p w14:paraId="486326EA" w14:textId="42CED6E1"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t xml:space="preserve">Establish guidelines for WIOA </w:t>
      </w:r>
      <w:r w:rsidR="006108DC" w:rsidRPr="004A0C12">
        <w:rPr>
          <w:rFonts w:ascii="Garamond" w:hAnsi="Garamond"/>
          <w:szCs w:val="22"/>
        </w:rPr>
        <w:t>P</w:t>
      </w:r>
      <w:r w:rsidRPr="004A0C12">
        <w:rPr>
          <w:rFonts w:ascii="Garamond" w:hAnsi="Garamond"/>
          <w:szCs w:val="22"/>
        </w:rPr>
        <w:t>artners to manage and refer customers to other partners.</w:t>
      </w:r>
    </w:p>
    <w:p w14:paraId="1ED8B4BA" w14:textId="77777777"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t>Identify liaisons among the various partners to assure that customers experience a seamless flow and referral to appropriate services.</w:t>
      </w:r>
    </w:p>
    <w:p w14:paraId="7A9A159D" w14:textId="77777777"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t>Develop a mechanism for clear identification of resources and service responsibilities among the partners and within the community.</w:t>
      </w:r>
    </w:p>
    <w:p w14:paraId="043C2445" w14:textId="77777777" w:rsidR="00A816E3" w:rsidRPr="004A0C12" w:rsidRDefault="00A816E3" w:rsidP="00232F09">
      <w:pPr>
        <w:pStyle w:val="ListParagraph"/>
        <w:numPr>
          <w:ilvl w:val="0"/>
          <w:numId w:val="294"/>
        </w:numPr>
        <w:tabs>
          <w:tab w:val="clear" w:pos="0"/>
          <w:tab w:val="num" w:pos="720"/>
        </w:tabs>
        <w:ind w:left="720" w:hanging="360"/>
        <w:jc w:val="both"/>
        <w:rPr>
          <w:rFonts w:ascii="Garamond" w:hAnsi="Garamond"/>
          <w:szCs w:val="22"/>
        </w:rPr>
      </w:pPr>
      <w:r w:rsidRPr="004A0C12">
        <w:rPr>
          <w:rFonts w:ascii="Garamond" w:hAnsi="Garamond"/>
          <w:szCs w:val="22"/>
        </w:rPr>
        <w:t>Place people before performance by putting customers at the center of policy decisions regarding service delivery.</w:t>
      </w:r>
    </w:p>
    <w:p w14:paraId="200CF7B1" w14:textId="77777777" w:rsidR="0003065B" w:rsidRPr="004A0C12" w:rsidRDefault="0003065B" w:rsidP="0003065B">
      <w:pPr>
        <w:shd w:val="clear" w:color="auto" w:fill="FFFFFF"/>
        <w:spacing w:after="0" w:line="240" w:lineRule="auto"/>
        <w:rPr>
          <w:rFonts w:ascii="Garamond" w:eastAsia="Times New Roman" w:hAnsi="Garamond" w:cs="Arial"/>
          <w:color w:val="073763"/>
        </w:rPr>
      </w:pPr>
    </w:p>
    <w:p w14:paraId="3746A675" w14:textId="77777777" w:rsidR="0003065B" w:rsidRPr="00B60621" w:rsidRDefault="0003065B" w:rsidP="0003065B">
      <w:pPr>
        <w:pStyle w:val="Heading2"/>
        <w:rPr>
          <w:rFonts w:ascii="Garamond" w:eastAsia="Times New Roman" w:hAnsi="Garamond"/>
          <w:sz w:val="24"/>
          <w:szCs w:val="24"/>
        </w:rPr>
      </w:pPr>
      <w:bookmarkStart w:id="52" w:name="_Toc447276106"/>
      <w:r w:rsidRPr="00B60621">
        <w:rPr>
          <w:rFonts w:ascii="Garamond" w:eastAsia="Times New Roman" w:hAnsi="Garamond"/>
          <w:sz w:val="24"/>
          <w:szCs w:val="24"/>
        </w:rPr>
        <w:t>Priority of Service</w:t>
      </w:r>
      <w:bookmarkEnd w:id="52"/>
      <w:r w:rsidRPr="00B60621">
        <w:rPr>
          <w:rFonts w:ascii="Garamond" w:eastAsia="Times New Roman" w:hAnsi="Garamond"/>
          <w:sz w:val="24"/>
          <w:szCs w:val="24"/>
        </w:rPr>
        <w:t> </w:t>
      </w:r>
    </w:p>
    <w:p w14:paraId="5FDB9279" w14:textId="55B9F435" w:rsidR="0003065B" w:rsidRPr="004A0C12" w:rsidRDefault="0003065B" w:rsidP="00EE1E55">
      <w:pPr>
        <w:shd w:val="clear" w:color="auto" w:fill="FFFFFF"/>
        <w:spacing w:after="0" w:line="240" w:lineRule="auto"/>
        <w:jc w:val="both"/>
        <w:rPr>
          <w:rFonts w:ascii="Garamond" w:eastAsia="Times New Roman" w:hAnsi="Garamond" w:cs="Times New Roman"/>
        </w:rPr>
      </w:pPr>
      <w:r w:rsidRPr="004A0C12">
        <w:rPr>
          <w:rFonts w:ascii="Garamond" w:eastAsia="Times New Roman" w:hAnsi="Garamond" w:cs="Times New Roman"/>
        </w:rPr>
        <w:t xml:space="preserve">Maryland's WIOA system can be a pathway to the middle class and </w:t>
      </w:r>
      <w:r w:rsidR="00D446AD" w:rsidRPr="004A0C12">
        <w:rPr>
          <w:rFonts w:ascii="Garamond" w:eastAsia="Times New Roman" w:hAnsi="Garamond" w:cs="Times New Roman"/>
        </w:rPr>
        <w:t xml:space="preserve">a means to </w:t>
      </w:r>
      <w:r w:rsidRPr="004A0C12">
        <w:rPr>
          <w:rFonts w:ascii="Garamond" w:eastAsia="Times New Roman" w:hAnsi="Garamond" w:cs="Times New Roman"/>
        </w:rPr>
        <w:t>maintain and build the skills</w:t>
      </w:r>
      <w:r w:rsidR="00D446AD" w:rsidRPr="004A0C12">
        <w:rPr>
          <w:rFonts w:ascii="Garamond" w:eastAsia="Times New Roman" w:hAnsi="Garamond" w:cs="Times New Roman"/>
        </w:rPr>
        <w:t xml:space="preserve"> necessary</w:t>
      </w:r>
      <w:r w:rsidRPr="004A0C12">
        <w:rPr>
          <w:rFonts w:ascii="Garamond" w:eastAsia="Times New Roman" w:hAnsi="Garamond" w:cs="Times New Roman"/>
        </w:rPr>
        <w:t xml:space="preserve"> to remain in the middle class. Maryland is committed to ensuring its target populations are able to access the WIOA system on a priority basis. </w:t>
      </w:r>
    </w:p>
    <w:p w14:paraId="058F0294" w14:textId="77777777" w:rsidR="0003065B" w:rsidRPr="004A0C12" w:rsidRDefault="0003065B" w:rsidP="00EE1E55">
      <w:pPr>
        <w:shd w:val="clear" w:color="auto" w:fill="FFFFFF"/>
        <w:spacing w:after="0" w:line="240" w:lineRule="auto"/>
        <w:jc w:val="both"/>
        <w:rPr>
          <w:rFonts w:ascii="Garamond" w:eastAsia="Times New Roman" w:hAnsi="Garamond" w:cs="Times New Roman"/>
        </w:rPr>
      </w:pPr>
    </w:p>
    <w:p w14:paraId="5A629A57" w14:textId="794FAC8E" w:rsidR="0003065B" w:rsidRPr="004A0C12" w:rsidRDefault="0003065B" w:rsidP="00EE1E55">
      <w:pPr>
        <w:shd w:val="clear" w:color="auto" w:fill="FFFFFF"/>
        <w:spacing w:after="0" w:line="240" w:lineRule="auto"/>
        <w:jc w:val="both"/>
        <w:rPr>
          <w:rFonts w:ascii="Garamond" w:eastAsia="Times New Roman" w:hAnsi="Garamond" w:cs="Times New Roman"/>
        </w:rPr>
      </w:pPr>
      <w:r w:rsidRPr="004A0C12">
        <w:rPr>
          <w:rFonts w:ascii="Garamond" w:eastAsia="Times New Roman" w:hAnsi="Garamond" w:cs="Times New Roman"/>
        </w:rPr>
        <w:t xml:space="preserve">For the WIOA Title I Adult Program, this means that local workforce areas must </w:t>
      </w:r>
      <w:r w:rsidR="00D446AD" w:rsidRPr="004A0C12">
        <w:rPr>
          <w:rFonts w:ascii="Garamond" w:eastAsia="Times New Roman" w:hAnsi="Garamond" w:cs="Times New Roman"/>
        </w:rPr>
        <w:t>provide</w:t>
      </w:r>
      <w:r w:rsidRPr="004A0C12">
        <w:rPr>
          <w:rFonts w:ascii="Garamond" w:eastAsia="Times New Roman" w:hAnsi="Garamond" w:cs="Times New Roman"/>
        </w:rPr>
        <w:t xml:space="preserve"> priority for</w:t>
      </w:r>
      <w:r w:rsidR="00D446AD" w:rsidRPr="004A0C12">
        <w:rPr>
          <w:rFonts w:ascii="Garamond" w:eastAsia="Times New Roman" w:hAnsi="Garamond" w:cs="Times New Roman"/>
        </w:rPr>
        <w:t xml:space="preserve"> training activities to individuals </w:t>
      </w:r>
      <w:r w:rsidRPr="004A0C12">
        <w:rPr>
          <w:rFonts w:ascii="Garamond" w:eastAsia="Times New Roman" w:hAnsi="Garamond" w:cs="Times New Roman"/>
        </w:rPr>
        <w:t>in the target populations. Under WIA, priority was required to be given to public assistance recipients and low-income individuals only when it was determined that allocated funds were limited. Now, under WIOA, priority must be provided regardless of the level of available funds. Priority must be provided in the following order: </w:t>
      </w:r>
    </w:p>
    <w:p w14:paraId="67B80FBF" w14:textId="77777777" w:rsidR="00EE1E55" w:rsidRPr="004A0C12" w:rsidRDefault="00EE1E55" w:rsidP="00EE1E55">
      <w:pPr>
        <w:shd w:val="clear" w:color="auto" w:fill="FFFFFF"/>
        <w:spacing w:after="0" w:line="240" w:lineRule="auto"/>
        <w:jc w:val="both"/>
        <w:rPr>
          <w:rFonts w:ascii="Garamond" w:eastAsia="Times New Roman" w:hAnsi="Garamond" w:cs="Times New Roman"/>
        </w:rPr>
      </w:pPr>
    </w:p>
    <w:tbl>
      <w:tblPr>
        <w:tblStyle w:val="PlainTable11"/>
        <w:tblW w:w="0" w:type="auto"/>
        <w:jc w:val="center"/>
        <w:tblLook w:val="04A0" w:firstRow="1" w:lastRow="0" w:firstColumn="1" w:lastColumn="0" w:noHBand="0" w:noVBand="1"/>
        <w:tblCaption w:val="Priority of Service for the WIOA Title I Adult Program "/>
        <w:tblDescription w:val="First Priority is for Veterans and eligible spouses who are also low-income, recipients of public assistance and/or basic skills deficient. Second Priority is for Individuals who are not veterans or eligible spouses, but meet criteria to be considered a target population. Third Priority is for Veterans and eligible spouses who did not meet &quot;first priority&quot; conditions. Fourth Priority is for Individuals who are not veterans and do not meet criteria to be considered a target population. &#10;"/>
      </w:tblPr>
      <w:tblGrid>
        <w:gridCol w:w="1170"/>
        <w:gridCol w:w="6300"/>
      </w:tblGrid>
      <w:tr w:rsidR="00EE1E55" w:rsidRPr="004A0C12" w14:paraId="1D446400" w14:textId="77777777" w:rsidTr="008B1D9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7470" w:type="dxa"/>
            <w:gridSpan w:val="2"/>
          </w:tcPr>
          <w:p w14:paraId="72255540" w14:textId="54EA9767" w:rsidR="00EE1E55" w:rsidRPr="004A0C12" w:rsidRDefault="00EE1E55" w:rsidP="00EE1E55">
            <w:pPr>
              <w:jc w:val="center"/>
              <w:rPr>
                <w:rFonts w:ascii="Garamond" w:hAnsi="Garamond"/>
                <w:sz w:val="22"/>
                <w:szCs w:val="22"/>
              </w:rPr>
            </w:pPr>
            <w:r w:rsidRPr="004A0C12">
              <w:rPr>
                <w:rFonts w:ascii="Garamond" w:hAnsi="Garamond"/>
                <w:sz w:val="22"/>
                <w:szCs w:val="22"/>
              </w:rPr>
              <w:t>Priority of Service for the WIOA Title I Adult Program</w:t>
            </w:r>
          </w:p>
        </w:tc>
      </w:tr>
      <w:tr w:rsidR="00EE1E55" w:rsidRPr="004A0C12" w14:paraId="19D8AE83" w14:textId="77777777" w:rsidTr="00C371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tcPr>
          <w:p w14:paraId="63BD0F1E" w14:textId="46BF3EDB" w:rsidR="00EE1E55" w:rsidRPr="004A0C12" w:rsidRDefault="00EE1E55" w:rsidP="00EE1E55">
            <w:pPr>
              <w:jc w:val="both"/>
              <w:rPr>
                <w:rFonts w:ascii="Garamond" w:hAnsi="Garamond"/>
                <w:sz w:val="22"/>
                <w:szCs w:val="22"/>
              </w:rPr>
            </w:pPr>
            <w:r w:rsidRPr="004A0C12">
              <w:rPr>
                <w:rFonts w:ascii="Garamond" w:hAnsi="Garamond"/>
                <w:sz w:val="22"/>
                <w:szCs w:val="22"/>
              </w:rPr>
              <w:t>First Priority</w:t>
            </w:r>
          </w:p>
        </w:tc>
        <w:tc>
          <w:tcPr>
            <w:tcW w:w="6300" w:type="dxa"/>
          </w:tcPr>
          <w:p w14:paraId="66F9D7CD" w14:textId="5D38BD42" w:rsidR="00EE1E55" w:rsidRPr="004A0C12" w:rsidRDefault="00EE1E55" w:rsidP="00EE1E55">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Veterans and eligible spouses who are also low-income, recipients of public assistance and/or basic skills deficient</w:t>
            </w:r>
          </w:p>
        </w:tc>
      </w:tr>
      <w:tr w:rsidR="00EE1E55" w:rsidRPr="004A0C12" w14:paraId="6C842168" w14:textId="77777777" w:rsidTr="00C371C8">
        <w:trPr>
          <w:jc w:val="center"/>
        </w:trPr>
        <w:tc>
          <w:tcPr>
            <w:cnfStyle w:val="001000000000" w:firstRow="0" w:lastRow="0" w:firstColumn="1" w:lastColumn="0" w:oddVBand="0" w:evenVBand="0" w:oddHBand="0" w:evenHBand="0" w:firstRowFirstColumn="0" w:firstRowLastColumn="0" w:lastRowFirstColumn="0" w:lastRowLastColumn="0"/>
            <w:tcW w:w="1170" w:type="dxa"/>
          </w:tcPr>
          <w:p w14:paraId="28ABA5AB" w14:textId="31DB3BBD" w:rsidR="00EE1E55" w:rsidRPr="004A0C12" w:rsidRDefault="00EE1E55" w:rsidP="00EE1E55">
            <w:pPr>
              <w:jc w:val="both"/>
              <w:rPr>
                <w:rFonts w:ascii="Garamond" w:hAnsi="Garamond"/>
                <w:sz w:val="22"/>
                <w:szCs w:val="22"/>
              </w:rPr>
            </w:pPr>
            <w:r w:rsidRPr="004A0C12">
              <w:rPr>
                <w:rFonts w:ascii="Garamond" w:hAnsi="Garamond"/>
                <w:sz w:val="22"/>
                <w:szCs w:val="22"/>
              </w:rPr>
              <w:t>Second Priority</w:t>
            </w:r>
          </w:p>
        </w:tc>
        <w:tc>
          <w:tcPr>
            <w:tcW w:w="6300" w:type="dxa"/>
          </w:tcPr>
          <w:p w14:paraId="5BFF4EF0" w14:textId="4CD70524" w:rsidR="00EE1E55" w:rsidRPr="004A0C12" w:rsidRDefault="00EE1E55" w:rsidP="00EE1E55">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Individuals who are not veterans or eligible spouses, but meet criteria to be considered a target population</w:t>
            </w:r>
          </w:p>
        </w:tc>
      </w:tr>
      <w:tr w:rsidR="00EE1E55" w:rsidRPr="004A0C12" w14:paraId="70648516" w14:textId="77777777" w:rsidTr="00C371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0" w:type="dxa"/>
          </w:tcPr>
          <w:p w14:paraId="76A013B6" w14:textId="428F95E1" w:rsidR="00EE1E55" w:rsidRPr="004A0C12" w:rsidRDefault="00EE1E55" w:rsidP="00EE1E55">
            <w:pPr>
              <w:jc w:val="both"/>
              <w:rPr>
                <w:rFonts w:ascii="Garamond" w:hAnsi="Garamond"/>
                <w:sz w:val="22"/>
                <w:szCs w:val="22"/>
              </w:rPr>
            </w:pPr>
            <w:r w:rsidRPr="004A0C12">
              <w:rPr>
                <w:rFonts w:ascii="Garamond" w:hAnsi="Garamond"/>
                <w:sz w:val="22"/>
                <w:szCs w:val="22"/>
              </w:rPr>
              <w:t>Third Priority</w:t>
            </w:r>
          </w:p>
        </w:tc>
        <w:tc>
          <w:tcPr>
            <w:tcW w:w="6300" w:type="dxa"/>
          </w:tcPr>
          <w:p w14:paraId="762123BA" w14:textId="04104D96" w:rsidR="00EE1E55" w:rsidRPr="004A0C12" w:rsidRDefault="00EE1E55" w:rsidP="00EE1E55">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Veterans and eligible spouses who did not meet "first priority" conditions</w:t>
            </w:r>
          </w:p>
        </w:tc>
      </w:tr>
      <w:tr w:rsidR="00EE1E55" w:rsidRPr="004A0C12" w14:paraId="3AABD767" w14:textId="77777777" w:rsidTr="00C371C8">
        <w:trPr>
          <w:jc w:val="center"/>
        </w:trPr>
        <w:tc>
          <w:tcPr>
            <w:cnfStyle w:val="001000000000" w:firstRow="0" w:lastRow="0" w:firstColumn="1" w:lastColumn="0" w:oddVBand="0" w:evenVBand="0" w:oddHBand="0" w:evenHBand="0" w:firstRowFirstColumn="0" w:firstRowLastColumn="0" w:lastRowFirstColumn="0" w:lastRowLastColumn="0"/>
            <w:tcW w:w="1170" w:type="dxa"/>
          </w:tcPr>
          <w:p w14:paraId="240272EB" w14:textId="1975B8E0" w:rsidR="00EE1E55" w:rsidRPr="004A0C12" w:rsidRDefault="00EE1E55" w:rsidP="00EE1E55">
            <w:pPr>
              <w:jc w:val="both"/>
              <w:rPr>
                <w:rFonts w:ascii="Garamond" w:hAnsi="Garamond"/>
                <w:sz w:val="22"/>
                <w:szCs w:val="22"/>
              </w:rPr>
            </w:pPr>
            <w:r w:rsidRPr="004A0C12">
              <w:rPr>
                <w:rFonts w:ascii="Garamond" w:hAnsi="Garamond"/>
                <w:sz w:val="22"/>
                <w:szCs w:val="22"/>
              </w:rPr>
              <w:t>Fourth Priority</w:t>
            </w:r>
          </w:p>
        </w:tc>
        <w:tc>
          <w:tcPr>
            <w:tcW w:w="6300" w:type="dxa"/>
          </w:tcPr>
          <w:p w14:paraId="0CFF56A6" w14:textId="764686CA" w:rsidR="00EE1E55" w:rsidRPr="004A0C12" w:rsidRDefault="00EE1E55" w:rsidP="00EE1E55">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Individuals who are not veterans and do not meet criteria to be considered a target population </w:t>
            </w:r>
          </w:p>
        </w:tc>
      </w:tr>
    </w:tbl>
    <w:p w14:paraId="1B410F12" w14:textId="77777777" w:rsidR="00EE1E55" w:rsidRPr="004A0C12" w:rsidRDefault="00EE1E55" w:rsidP="00EE1E55">
      <w:pPr>
        <w:shd w:val="clear" w:color="auto" w:fill="FFFFFF"/>
        <w:spacing w:after="0" w:line="240" w:lineRule="auto"/>
        <w:jc w:val="both"/>
        <w:rPr>
          <w:rFonts w:ascii="Garamond" w:eastAsia="Times New Roman" w:hAnsi="Garamond" w:cs="Times New Roman"/>
        </w:rPr>
      </w:pPr>
    </w:p>
    <w:p w14:paraId="57F6A31B" w14:textId="281A5B13" w:rsidR="00B93C94" w:rsidRPr="004A0C12" w:rsidRDefault="00B93C94" w:rsidP="00AD2026">
      <w:pPr>
        <w:spacing w:after="100" w:line="240" w:lineRule="auto"/>
        <w:rPr>
          <w:rFonts w:ascii="Garamond" w:eastAsia="Times New Roman" w:hAnsi="Garamond" w:cs="Times New Roman"/>
        </w:rPr>
      </w:pPr>
      <w:r w:rsidRPr="004A0C12">
        <w:rPr>
          <w:rFonts w:ascii="Garamond" w:eastAsia="Times New Roman" w:hAnsi="Garamond" w:cs="Times New Roman"/>
          <w:color w:val="000000"/>
        </w:rPr>
        <w:t>The State will ensure priority of service provisions are appropriately followed and monitored through several means.</w:t>
      </w:r>
    </w:p>
    <w:p w14:paraId="481062D3" w14:textId="77777777" w:rsidR="00B93C94" w:rsidRPr="004A0C12" w:rsidRDefault="00B93C94" w:rsidP="00B93C94">
      <w:pPr>
        <w:pStyle w:val="NormalWeb"/>
        <w:spacing w:before="0" w:beforeAutospacing="0" w:afterAutospacing="0"/>
        <w:rPr>
          <w:rFonts w:ascii="Garamond" w:hAnsi="Garamond"/>
          <w:sz w:val="22"/>
          <w:szCs w:val="22"/>
        </w:rPr>
      </w:pPr>
      <w:r w:rsidRPr="004A0C12">
        <w:rPr>
          <w:rFonts w:ascii="Garamond" w:hAnsi="Garamond"/>
          <w:sz w:val="22"/>
          <w:szCs w:val="22"/>
        </w:rPr>
        <w:t xml:space="preserve">First, the </w:t>
      </w:r>
      <w:r w:rsidR="00BB5F3C" w:rsidRPr="004A0C12">
        <w:rPr>
          <w:rFonts w:ascii="Garamond" w:hAnsi="Garamond"/>
          <w:sz w:val="22"/>
          <w:szCs w:val="22"/>
        </w:rPr>
        <w:t>Local A</w:t>
      </w:r>
      <w:r w:rsidR="0003065B" w:rsidRPr="004A0C12">
        <w:rPr>
          <w:rFonts w:ascii="Garamond" w:hAnsi="Garamond"/>
          <w:sz w:val="22"/>
          <w:szCs w:val="22"/>
        </w:rPr>
        <w:t>reas must adhere to these priorit</w:t>
      </w:r>
      <w:r w:rsidR="00D446AD" w:rsidRPr="004A0C12">
        <w:rPr>
          <w:rFonts w:ascii="Garamond" w:hAnsi="Garamond"/>
          <w:sz w:val="22"/>
          <w:szCs w:val="22"/>
        </w:rPr>
        <w:t>y provisions and, within their local p</w:t>
      </w:r>
      <w:r w:rsidR="0003065B" w:rsidRPr="004A0C12">
        <w:rPr>
          <w:rFonts w:ascii="Garamond" w:hAnsi="Garamond"/>
          <w:sz w:val="22"/>
          <w:szCs w:val="22"/>
        </w:rPr>
        <w:t xml:space="preserve">lans, provide details on how </w:t>
      </w:r>
      <w:r w:rsidR="00BB5F3C" w:rsidRPr="004A0C12">
        <w:rPr>
          <w:rFonts w:ascii="Garamond" w:hAnsi="Garamond"/>
          <w:sz w:val="22"/>
          <w:szCs w:val="22"/>
        </w:rPr>
        <w:t>priority shall be given in the Local A</w:t>
      </w:r>
      <w:r w:rsidR="0003065B" w:rsidRPr="004A0C12">
        <w:rPr>
          <w:rFonts w:ascii="Garamond" w:hAnsi="Garamond"/>
          <w:sz w:val="22"/>
          <w:szCs w:val="22"/>
        </w:rPr>
        <w:t>rea within these parameters. </w:t>
      </w:r>
      <w:r w:rsidRPr="004A0C12">
        <w:rPr>
          <w:rFonts w:ascii="Garamond" w:hAnsi="Garamond"/>
          <w:color w:val="000000"/>
          <w:sz w:val="22"/>
          <w:szCs w:val="22"/>
        </w:rPr>
        <w:t xml:space="preserve">Specifically, Maryland asked its 12 local workforce areas to provide “a description of how the Local Board will provide priority of service that conforms </w:t>
      </w:r>
      <w:proofErr w:type="gramStart"/>
      <w:r w:rsidRPr="004A0C12">
        <w:rPr>
          <w:rFonts w:ascii="Garamond" w:hAnsi="Garamond"/>
          <w:color w:val="000000"/>
          <w:sz w:val="22"/>
          <w:szCs w:val="22"/>
        </w:rPr>
        <w:t>with</w:t>
      </w:r>
      <w:proofErr w:type="gramEnd"/>
      <w:r w:rsidRPr="004A0C12">
        <w:rPr>
          <w:rFonts w:ascii="Garamond" w:hAnsi="Garamond"/>
          <w:color w:val="000000"/>
          <w:sz w:val="22"/>
          <w:szCs w:val="22"/>
        </w:rPr>
        <w:t xml:space="preserve"> the State Plan. This should include a description of additional local requirements or discretionary priorities, including data to support the need and how the local requirement and/or priority will be documented and implemented for the Adult program.”</w:t>
      </w:r>
    </w:p>
    <w:p w14:paraId="37AC103F" w14:textId="77777777" w:rsidR="00B93C94" w:rsidRPr="004A0C12" w:rsidRDefault="00B93C94" w:rsidP="00B93C94">
      <w:pPr>
        <w:spacing w:after="100" w:line="240" w:lineRule="auto"/>
        <w:rPr>
          <w:rFonts w:ascii="Garamond" w:eastAsia="Times New Roman" w:hAnsi="Garamond" w:cs="Times New Roman"/>
        </w:rPr>
      </w:pPr>
      <w:r w:rsidRPr="004A0C12">
        <w:rPr>
          <w:rFonts w:ascii="Garamond" w:eastAsia="Times New Roman" w:hAnsi="Garamond" w:cs="Times New Roman"/>
          <w:color w:val="000000"/>
        </w:rPr>
        <w:t>Second, Maryland is in the process of re-tooling its WIOA Work Groups for implementation. One new WIOA Work Group will concentrate its efforts on monitoring to share best practices on monitoring across the system and ensure the local systems are complying with WIOA provisions, including priority of service for the WIOA Title I adult program.</w:t>
      </w:r>
    </w:p>
    <w:p w14:paraId="5EF80153" w14:textId="77777777" w:rsidR="00B93C94" w:rsidRPr="004A0C12" w:rsidRDefault="00B93C94" w:rsidP="00B93C94">
      <w:pPr>
        <w:spacing w:after="100" w:line="240" w:lineRule="auto"/>
        <w:rPr>
          <w:rFonts w:ascii="Garamond" w:eastAsia="Times New Roman" w:hAnsi="Garamond" w:cs="Times New Roman"/>
        </w:rPr>
      </w:pPr>
      <w:r w:rsidRPr="004A0C12">
        <w:rPr>
          <w:rFonts w:ascii="Garamond" w:eastAsia="Times New Roman" w:hAnsi="Garamond" w:cs="Times New Roman"/>
          <w:color w:val="000000"/>
        </w:rPr>
        <w:t>Finally, another key way that Maryland will ensure priority of service is effectively offered is through local WIOA Memoranda of Understandings (MOU). The State is in the final stages of policy development for the WIOA MOU policy, which will be jointly issued in September by the Governor’s Workforce Development Board, DLLR, DHR and DORS. This policy requires that WIOA MOUs contain provisions regarding a number of key components, including priority of service. The policy states that “all partners must certify within the local WIOA MOU that they will adhere to all statutes, regulations, policies, and plans regarding priority of service, including, but not limited to, priority of service for the WIOA Title I Adult Program and for veterans and their eligible spouses.”</w:t>
      </w:r>
    </w:p>
    <w:p w14:paraId="52001286" w14:textId="5F123135" w:rsidR="0003065B" w:rsidRPr="004A0C12" w:rsidRDefault="0003065B" w:rsidP="00EE1E55">
      <w:pPr>
        <w:shd w:val="clear" w:color="auto" w:fill="FFFFFF"/>
        <w:spacing w:after="0" w:line="240" w:lineRule="auto"/>
        <w:jc w:val="both"/>
        <w:rPr>
          <w:rFonts w:ascii="Garamond" w:eastAsia="Times New Roman" w:hAnsi="Garamond" w:cs="Times New Roman"/>
        </w:rPr>
      </w:pPr>
    </w:p>
    <w:p w14:paraId="7D5C8D41" w14:textId="77777777" w:rsidR="0054168E" w:rsidRPr="004A0C12" w:rsidRDefault="0054168E" w:rsidP="00EE1E55">
      <w:pPr>
        <w:shd w:val="clear" w:color="auto" w:fill="FFFFFF"/>
        <w:spacing w:after="0" w:line="240" w:lineRule="auto"/>
        <w:jc w:val="both"/>
        <w:rPr>
          <w:rFonts w:ascii="Garamond" w:eastAsia="Times New Roman" w:hAnsi="Garamond" w:cs="Times New Roman"/>
        </w:rPr>
      </w:pPr>
    </w:p>
    <w:p w14:paraId="78985299" w14:textId="77777777" w:rsidR="0054168E" w:rsidRPr="004A0C12" w:rsidRDefault="0054168E" w:rsidP="00EE1E55">
      <w:pPr>
        <w:shd w:val="clear" w:color="auto" w:fill="FFFFFF"/>
        <w:spacing w:after="0" w:line="240" w:lineRule="auto"/>
        <w:jc w:val="both"/>
        <w:rPr>
          <w:rFonts w:ascii="Garamond" w:eastAsia="Times New Roman" w:hAnsi="Garamond" w:cs="Times New Roman"/>
        </w:rPr>
      </w:pPr>
    </w:p>
    <w:p w14:paraId="124824D7" w14:textId="57961163" w:rsidR="00A816E3" w:rsidRPr="00B25499" w:rsidRDefault="00A816E3" w:rsidP="00A816E3">
      <w:pPr>
        <w:pStyle w:val="Heading2"/>
        <w:rPr>
          <w:rFonts w:ascii="Garamond" w:hAnsi="Garamond"/>
          <w:sz w:val="24"/>
          <w:szCs w:val="24"/>
        </w:rPr>
      </w:pPr>
      <w:bookmarkStart w:id="53" w:name="_Toc447276107"/>
      <w:r w:rsidRPr="00B25499">
        <w:rPr>
          <w:rFonts w:ascii="Garamond" w:hAnsi="Garamond"/>
          <w:sz w:val="24"/>
          <w:szCs w:val="24"/>
        </w:rPr>
        <w:lastRenderedPageBreak/>
        <w:t>Supportive Services</w:t>
      </w:r>
      <w:bookmarkEnd w:id="53"/>
    </w:p>
    <w:p w14:paraId="4D4B11A0" w14:textId="689E67C7" w:rsidR="0003065B" w:rsidRPr="004A0C12" w:rsidRDefault="00D446AD" w:rsidP="0003065B">
      <w:pPr>
        <w:pStyle w:val="Heading2"/>
        <w:shd w:val="clear" w:color="auto" w:fill="FFFFFF"/>
        <w:spacing w:before="0" w:line="240" w:lineRule="auto"/>
        <w:jc w:val="both"/>
        <w:rPr>
          <w:rFonts w:ascii="Garamond" w:hAnsi="Garamond" w:cs="Times New Roman"/>
          <w:color w:val="auto"/>
          <w:sz w:val="22"/>
          <w:szCs w:val="22"/>
        </w:rPr>
      </w:pPr>
      <w:bookmarkStart w:id="54" w:name="_Toc445839558"/>
      <w:bookmarkStart w:id="55" w:name="_Toc447215964"/>
      <w:bookmarkStart w:id="56" w:name="_Toc447276108"/>
      <w:r w:rsidRPr="004A0C12">
        <w:rPr>
          <w:rFonts w:ascii="Garamond" w:hAnsi="Garamond" w:cs="Times New Roman"/>
          <w:b w:val="0"/>
          <w:bCs w:val="0"/>
          <w:color w:val="auto"/>
          <w:sz w:val="22"/>
          <w:szCs w:val="22"/>
        </w:rPr>
        <w:t xml:space="preserve">To fully </w:t>
      </w:r>
      <w:r w:rsidR="0003065B" w:rsidRPr="004A0C12">
        <w:rPr>
          <w:rFonts w:ascii="Garamond" w:hAnsi="Garamond" w:cs="Times New Roman"/>
          <w:b w:val="0"/>
          <w:bCs w:val="0"/>
          <w:color w:val="auto"/>
          <w:sz w:val="22"/>
          <w:szCs w:val="22"/>
        </w:rPr>
        <w:t>address the wide range of barriers that WIOA participants may face, Maryland is committed to offering a diverse array of supportive services as needed and available. Supportive and wrap-around services will provide financial and other assistance to participants who would not be able to successfully participate otherwise.</w:t>
      </w:r>
      <w:bookmarkEnd w:id="54"/>
      <w:bookmarkEnd w:id="55"/>
      <w:bookmarkEnd w:id="56"/>
      <w:r w:rsidR="0003065B" w:rsidRPr="004A0C12">
        <w:rPr>
          <w:rFonts w:ascii="Garamond" w:hAnsi="Garamond" w:cs="Times New Roman"/>
          <w:b w:val="0"/>
          <w:bCs w:val="0"/>
          <w:color w:val="auto"/>
          <w:sz w:val="22"/>
          <w:szCs w:val="22"/>
        </w:rPr>
        <w:t> </w:t>
      </w:r>
    </w:p>
    <w:p w14:paraId="61FDBFD7" w14:textId="77777777" w:rsidR="0003065B" w:rsidRPr="004A0C12" w:rsidRDefault="0003065B" w:rsidP="0003065B">
      <w:pPr>
        <w:pStyle w:val="Heading2"/>
        <w:shd w:val="clear" w:color="auto" w:fill="FFFFFF"/>
        <w:spacing w:before="0" w:line="240" w:lineRule="auto"/>
        <w:jc w:val="both"/>
        <w:rPr>
          <w:rFonts w:ascii="Garamond" w:hAnsi="Garamond" w:cs="Times New Roman"/>
          <w:b w:val="0"/>
          <w:bCs w:val="0"/>
          <w:color w:val="auto"/>
          <w:sz w:val="22"/>
          <w:szCs w:val="22"/>
        </w:rPr>
      </w:pPr>
    </w:p>
    <w:p w14:paraId="53F00695" w14:textId="3F19BE4D" w:rsidR="0003065B" w:rsidRPr="004A0C12" w:rsidRDefault="0003065B" w:rsidP="0003065B">
      <w:pPr>
        <w:pStyle w:val="Heading2"/>
        <w:shd w:val="clear" w:color="auto" w:fill="FFFFFF"/>
        <w:spacing w:before="0" w:line="240" w:lineRule="auto"/>
        <w:jc w:val="both"/>
        <w:rPr>
          <w:rFonts w:ascii="Garamond" w:hAnsi="Garamond" w:cs="Times New Roman"/>
          <w:b w:val="0"/>
          <w:bCs w:val="0"/>
          <w:color w:val="auto"/>
          <w:sz w:val="22"/>
          <w:szCs w:val="22"/>
        </w:rPr>
      </w:pPr>
      <w:bookmarkStart w:id="57" w:name="_Toc445839559"/>
      <w:bookmarkStart w:id="58" w:name="_Toc447215965"/>
      <w:bookmarkStart w:id="59" w:name="_Toc447276109"/>
      <w:r w:rsidRPr="004A0C12">
        <w:rPr>
          <w:rFonts w:ascii="Garamond" w:hAnsi="Garamond" w:cs="Times New Roman"/>
          <w:b w:val="0"/>
          <w:bCs w:val="0"/>
          <w:color w:val="auto"/>
          <w:sz w:val="22"/>
          <w:szCs w:val="22"/>
        </w:rPr>
        <w:t xml:space="preserve">Using a systems approach, the WIOA Partners are committed to working together to ensure supportive service resources are leveraged effectively for jobseekers. By taking advantage of opportunities to braid funding streams within Maryland’s WIOA system, participants may be supported with transportation assistance, suitable attire for </w:t>
      </w:r>
      <w:r w:rsidR="00D446AD" w:rsidRPr="004A0C12">
        <w:rPr>
          <w:rFonts w:ascii="Garamond" w:hAnsi="Garamond" w:cs="Times New Roman"/>
          <w:b w:val="0"/>
          <w:bCs w:val="0"/>
          <w:color w:val="auto"/>
          <w:sz w:val="22"/>
          <w:szCs w:val="22"/>
        </w:rPr>
        <w:t>work</w:t>
      </w:r>
      <w:r w:rsidRPr="004A0C12">
        <w:rPr>
          <w:rFonts w:ascii="Garamond" w:hAnsi="Garamond" w:cs="Times New Roman"/>
          <w:b w:val="0"/>
          <w:bCs w:val="0"/>
          <w:color w:val="auto"/>
          <w:sz w:val="22"/>
          <w:szCs w:val="22"/>
        </w:rPr>
        <w:t>, tools, work or training equipment, child or dependent care, graduation fees, union fees, clothing for interviews or work, and more.</w:t>
      </w:r>
      <w:bookmarkEnd w:id="57"/>
      <w:bookmarkEnd w:id="58"/>
      <w:bookmarkEnd w:id="59"/>
      <w:r w:rsidRPr="004A0C12">
        <w:rPr>
          <w:rFonts w:ascii="Garamond" w:hAnsi="Garamond" w:cs="Times New Roman"/>
          <w:b w:val="0"/>
          <w:bCs w:val="0"/>
          <w:color w:val="auto"/>
          <w:sz w:val="22"/>
          <w:szCs w:val="22"/>
        </w:rPr>
        <w:t> </w:t>
      </w:r>
    </w:p>
    <w:p w14:paraId="2CE1F99D" w14:textId="77777777" w:rsidR="0003065B" w:rsidRPr="004A0C12" w:rsidRDefault="0003065B" w:rsidP="0003065B">
      <w:pPr>
        <w:pStyle w:val="Heading2"/>
        <w:shd w:val="clear" w:color="auto" w:fill="FFFFFF"/>
        <w:spacing w:before="0" w:line="240" w:lineRule="auto"/>
        <w:jc w:val="both"/>
        <w:rPr>
          <w:rFonts w:ascii="Garamond" w:hAnsi="Garamond" w:cs="Times New Roman"/>
          <w:b w:val="0"/>
          <w:bCs w:val="0"/>
          <w:color w:val="auto"/>
          <w:sz w:val="22"/>
          <w:szCs w:val="22"/>
        </w:rPr>
      </w:pPr>
    </w:p>
    <w:p w14:paraId="5EB59743" w14:textId="1340221B" w:rsidR="0003065B" w:rsidRPr="004A0C12" w:rsidRDefault="0003065B" w:rsidP="0003065B">
      <w:pPr>
        <w:pStyle w:val="Heading2"/>
        <w:shd w:val="clear" w:color="auto" w:fill="FFFFFF"/>
        <w:spacing w:before="0" w:line="240" w:lineRule="auto"/>
        <w:jc w:val="both"/>
        <w:rPr>
          <w:rFonts w:ascii="Garamond" w:hAnsi="Garamond" w:cs="Times New Roman"/>
          <w:b w:val="0"/>
          <w:bCs w:val="0"/>
          <w:color w:val="auto"/>
          <w:sz w:val="22"/>
          <w:szCs w:val="22"/>
        </w:rPr>
      </w:pPr>
      <w:bookmarkStart w:id="60" w:name="_Toc445839560"/>
      <w:bookmarkStart w:id="61" w:name="_Toc447215966"/>
      <w:bookmarkStart w:id="62" w:name="_Toc447276110"/>
      <w:r w:rsidRPr="004A0C12">
        <w:rPr>
          <w:rFonts w:ascii="Garamond" w:hAnsi="Garamond" w:cs="Times New Roman"/>
          <w:b w:val="0"/>
          <w:bCs w:val="0"/>
          <w:color w:val="auto"/>
          <w:sz w:val="22"/>
          <w:szCs w:val="22"/>
        </w:rPr>
        <w:t>Maryland’s WIOA Partners recognize that supportive service needs vary widely by participant and geography and, therefore, supportive services must be designed to assist in the removal of the specific barriers that individual participants face. The Jobseeker Advisory Focus Groups will be of critical importance to the</w:t>
      </w:r>
      <w:r w:rsidR="00D446AD" w:rsidRPr="004A0C12">
        <w:rPr>
          <w:rFonts w:ascii="Garamond" w:hAnsi="Garamond" w:cs="Times New Roman"/>
          <w:b w:val="0"/>
          <w:bCs w:val="0"/>
          <w:color w:val="auto"/>
          <w:sz w:val="22"/>
          <w:szCs w:val="22"/>
        </w:rPr>
        <w:t xml:space="preserve"> WIOA System in meeting this goal</w:t>
      </w:r>
      <w:r w:rsidRPr="004A0C12">
        <w:rPr>
          <w:rFonts w:ascii="Garamond" w:hAnsi="Garamond" w:cs="Times New Roman"/>
          <w:b w:val="0"/>
          <w:bCs w:val="0"/>
          <w:color w:val="auto"/>
          <w:sz w:val="22"/>
          <w:szCs w:val="22"/>
        </w:rPr>
        <w:t xml:space="preserve">, as it will provide a feedback mechanism from current and past customers. This customer board will </w:t>
      </w:r>
      <w:r w:rsidR="00D446AD" w:rsidRPr="004A0C12">
        <w:rPr>
          <w:rFonts w:ascii="Garamond" w:hAnsi="Garamond" w:cs="Times New Roman"/>
          <w:b w:val="0"/>
          <w:bCs w:val="0"/>
          <w:color w:val="auto"/>
          <w:sz w:val="22"/>
          <w:szCs w:val="22"/>
        </w:rPr>
        <w:t>make certain that</w:t>
      </w:r>
      <w:r w:rsidRPr="004A0C12">
        <w:rPr>
          <w:rFonts w:ascii="Garamond" w:hAnsi="Garamond" w:cs="Times New Roman"/>
          <w:b w:val="0"/>
          <w:bCs w:val="0"/>
          <w:color w:val="auto"/>
          <w:sz w:val="22"/>
          <w:szCs w:val="22"/>
        </w:rPr>
        <w:t xml:space="preserve"> supportive service funding is allocated in a way that truly meets customer needs.</w:t>
      </w:r>
      <w:bookmarkEnd w:id="60"/>
      <w:bookmarkEnd w:id="61"/>
      <w:bookmarkEnd w:id="62"/>
    </w:p>
    <w:p w14:paraId="3A396BB4" w14:textId="7778BE5A" w:rsidR="0003065B" w:rsidRPr="004A0C12" w:rsidRDefault="0003065B" w:rsidP="0003065B">
      <w:pPr>
        <w:pStyle w:val="Heading2"/>
        <w:shd w:val="clear" w:color="auto" w:fill="FFFFFF"/>
        <w:spacing w:before="0" w:line="240" w:lineRule="auto"/>
        <w:jc w:val="both"/>
        <w:rPr>
          <w:rFonts w:ascii="Garamond" w:hAnsi="Garamond" w:cs="Times New Roman"/>
          <w:color w:val="auto"/>
          <w:sz w:val="22"/>
          <w:szCs w:val="22"/>
        </w:rPr>
      </w:pPr>
      <w:r w:rsidRPr="004A0C12">
        <w:rPr>
          <w:rFonts w:ascii="Garamond" w:hAnsi="Garamond" w:cs="Times New Roman"/>
          <w:b w:val="0"/>
          <w:bCs w:val="0"/>
          <w:color w:val="auto"/>
          <w:sz w:val="22"/>
          <w:szCs w:val="22"/>
        </w:rPr>
        <w:t> </w:t>
      </w:r>
    </w:p>
    <w:p w14:paraId="2EDB72C9" w14:textId="77777777" w:rsidR="0003065B" w:rsidRPr="004A0C12" w:rsidRDefault="0003065B" w:rsidP="0003065B">
      <w:pPr>
        <w:pStyle w:val="Heading2"/>
        <w:shd w:val="clear" w:color="auto" w:fill="FFFFFF"/>
        <w:spacing w:before="0" w:line="240" w:lineRule="auto"/>
        <w:jc w:val="both"/>
        <w:rPr>
          <w:rFonts w:ascii="Garamond" w:hAnsi="Garamond" w:cs="Times New Roman"/>
          <w:b w:val="0"/>
          <w:bCs w:val="0"/>
          <w:color w:val="auto"/>
          <w:sz w:val="22"/>
          <w:szCs w:val="22"/>
        </w:rPr>
      </w:pPr>
      <w:bookmarkStart w:id="63" w:name="_Toc445839561"/>
      <w:bookmarkStart w:id="64" w:name="_Toc447215967"/>
      <w:bookmarkStart w:id="65" w:name="_Toc447276111"/>
      <w:r w:rsidRPr="004A0C12">
        <w:rPr>
          <w:rFonts w:ascii="Garamond" w:hAnsi="Garamond" w:cs="Times New Roman"/>
          <w:b w:val="0"/>
          <w:bCs w:val="0"/>
          <w:color w:val="auto"/>
          <w:sz w:val="22"/>
          <w:szCs w:val="22"/>
        </w:rPr>
        <w:t>Additionally, programs working with out-of-school youth ages 16-24 are strongly encouraged to work with Local Management Boards through the Governor’s Office for Children to plan and implement supportive services that respond to the needs of youth in their respective jurisdictions. Local Management Boards are local government designees established in each of Maryland’s 24 jurisdictions to ensure the coordinated implementation of a local inter-agency service delivery system for children, youth, and families. Local Management Boards are able to apply for flexible State funds from the Children’s Cabinet to support programming that aligns with Governor Hogan’s goal of ensuring economic opportunity for all.  These flexible State funds may provide necessary supports that could not otherwise be provided with existing, less flexible federal dollars.</w:t>
      </w:r>
      <w:bookmarkEnd w:id="63"/>
      <w:bookmarkEnd w:id="64"/>
      <w:bookmarkEnd w:id="65"/>
      <w:r w:rsidRPr="004A0C12">
        <w:rPr>
          <w:rFonts w:ascii="Garamond" w:hAnsi="Garamond" w:cs="Times New Roman"/>
          <w:b w:val="0"/>
          <w:bCs w:val="0"/>
          <w:color w:val="auto"/>
          <w:sz w:val="22"/>
          <w:szCs w:val="22"/>
        </w:rPr>
        <w:t xml:space="preserve">  </w:t>
      </w:r>
    </w:p>
    <w:p w14:paraId="3202B248" w14:textId="77777777" w:rsidR="0003065B" w:rsidRPr="004A0C12" w:rsidRDefault="0003065B" w:rsidP="0003065B">
      <w:pPr>
        <w:pStyle w:val="Heading2"/>
        <w:shd w:val="clear" w:color="auto" w:fill="FFFFFF"/>
        <w:spacing w:before="0" w:line="240" w:lineRule="auto"/>
        <w:jc w:val="both"/>
        <w:rPr>
          <w:rFonts w:ascii="Garamond" w:hAnsi="Garamond" w:cs="Times New Roman"/>
          <w:b w:val="0"/>
          <w:bCs w:val="0"/>
          <w:color w:val="auto"/>
          <w:sz w:val="22"/>
          <w:szCs w:val="22"/>
        </w:rPr>
      </w:pPr>
    </w:p>
    <w:p w14:paraId="518EB7A2" w14:textId="33CF47CF" w:rsidR="0003065B" w:rsidRPr="004A0C12" w:rsidRDefault="0003065B" w:rsidP="0003065B">
      <w:pPr>
        <w:pStyle w:val="Heading2"/>
        <w:shd w:val="clear" w:color="auto" w:fill="FFFFFF"/>
        <w:spacing w:before="0" w:line="240" w:lineRule="auto"/>
        <w:jc w:val="both"/>
        <w:rPr>
          <w:rFonts w:ascii="Garamond" w:hAnsi="Garamond" w:cs="Times New Roman"/>
          <w:b w:val="0"/>
          <w:bCs w:val="0"/>
          <w:color w:val="auto"/>
          <w:sz w:val="22"/>
          <w:szCs w:val="22"/>
        </w:rPr>
      </w:pPr>
      <w:bookmarkStart w:id="66" w:name="_Toc445839562"/>
      <w:bookmarkStart w:id="67" w:name="_Toc447215968"/>
      <w:bookmarkStart w:id="68" w:name="_Toc447276112"/>
      <w:r w:rsidRPr="004A0C12">
        <w:rPr>
          <w:rFonts w:ascii="Garamond" w:hAnsi="Garamond" w:cs="Times New Roman"/>
          <w:b w:val="0"/>
          <w:bCs w:val="0"/>
          <w:color w:val="auto"/>
          <w:sz w:val="22"/>
          <w:szCs w:val="22"/>
        </w:rPr>
        <w:t>It is envisioned that collaborative planning and implementation will prevent service duplication and ensure that State funds are used to fill gaps in services. Local plans must address how they will leverage and coordinate supportive services in service delivery.</w:t>
      </w:r>
      <w:bookmarkEnd w:id="66"/>
      <w:bookmarkEnd w:id="67"/>
      <w:bookmarkEnd w:id="68"/>
      <w:r w:rsidRPr="004A0C12">
        <w:rPr>
          <w:rFonts w:ascii="Garamond" w:hAnsi="Garamond" w:cs="Times New Roman"/>
          <w:b w:val="0"/>
          <w:bCs w:val="0"/>
          <w:color w:val="auto"/>
          <w:sz w:val="22"/>
          <w:szCs w:val="22"/>
        </w:rPr>
        <w:t> </w:t>
      </w:r>
    </w:p>
    <w:p w14:paraId="5D28B60B" w14:textId="77777777" w:rsidR="00A816E3" w:rsidRPr="00B25499" w:rsidRDefault="00A816E3" w:rsidP="00A816E3">
      <w:pPr>
        <w:pStyle w:val="Heading2"/>
        <w:spacing w:line="240" w:lineRule="auto"/>
        <w:rPr>
          <w:rFonts w:ascii="Garamond" w:hAnsi="Garamond"/>
          <w:color w:val="191919"/>
          <w:sz w:val="24"/>
          <w:szCs w:val="24"/>
        </w:rPr>
      </w:pPr>
      <w:bookmarkStart w:id="69" w:name="_Toc447276113"/>
      <w:r w:rsidRPr="00B25499">
        <w:rPr>
          <w:rFonts w:ascii="Garamond" w:hAnsi="Garamond"/>
          <w:sz w:val="24"/>
          <w:szCs w:val="24"/>
        </w:rPr>
        <w:t>Business as WIOA Customers: Coordination, Alignment and Provision of Services to Employers</w:t>
      </w:r>
      <w:bookmarkEnd w:id="69"/>
    </w:p>
    <w:p w14:paraId="7DDCADB7" w14:textId="3A299EEB" w:rsidR="00A816E3" w:rsidRPr="004A0C12" w:rsidRDefault="00A816E3" w:rsidP="00A816E3">
      <w:pPr>
        <w:pStyle w:val="NormalWeb2"/>
        <w:shd w:val="clear" w:color="auto" w:fill="FFFFFF"/>
        <w:contextualSpacing/>
        <w:jc w:val="both"/>
        <w:rPr>
          <w:rFonts w:ascii="Garamond" w:hAnsi="Garamond"/>
          <w:sz w:val="22"/>
          <w:szCs w:val="22"/>
        </w:rPr>
      </w:pPr>
      <w:r w:rsidRPr="004A0C12">
        <w:rPr>
          <w:rFonts w:ascii="Garamond" w:hAnsi="Garamond"/>
          <w:sz w:val="22"/>
          <w:szCs w:val="22"/>
        </w:rPr>
        <w:t>Businesses must play a central</w:t>
      </w:r>
      <w:r w:rsidR="001A4386" w:rsidRPr="004A0C12">
        <w:rPr>
          <w:rFonts w:ascii="Garamond" w:hAnsi="Garamond"/>
          <w:sz w:val="22"/>
          <w:szCs w:val="22"/>
        </w:rPr>
        <w:t xml:space="preserve"> role in the workforce system. </w:t>
      </w:r>
      <w:r w:rsidRPr="004A0C12">
        <w:rPr>
          <w:rFonts w:ascii="Garamond" w:hAnsi="Garamond"/>
          <w:sz w:val="22"/>
          <w:szCs w:val="22"/>
        </w:rPr>
        <w:t xml:space="preserve">Businesses create jobs and employ Marylanders.  They directly benefit from the creation of a pipeline of skilled and knowledgeable workforce.  </w:t>
      </w:r>
      <w:r w:rsidR="00D446AD" w:rsidRPr="004A0C12">
        <w:rPr>
          <w:rFonts w:ascii="Garamond" w:hAnsi="Garamond"/>
          <w:sz w:val="22"/>
          <w:szCs w:val="22"/>
        </w:rPr>
        <w:t>As such, b</w:t>
      </w:r>
      <w:r w:rsidRPr="004A0C12">
        <w:rPr>
          <w:rFonts w:ascii="Garamond" w:hAnsi="Garamond"/>
          <w:sz w:val="22"/>
          <w:szCs w:val="22"/>
        </w:rPr>
        <w:t>usiness is a key customer of the workforce system.  Recognizin</w:t>
      </w:r>
      <w:r w:rsidR="00D446AD" w:rsidRPr="004A0C12">
        <w:rPr>
          <w:rFonts w:ascii="Garamond" w:hAnsi="Garamond"/>
          <w:sz w:val="22"/>
          <w:szCs w:val="22"/>
        </w:rPr>
        <w:t>g this fact, the majority of</w:t>
      </w:r>
      <w:r w:rsidRPr="004A0C12">
        <w:rPr>
          <w:rFonts w:ascii="Garamond" w:hAnsi="Garamond"/>
          <w:sz w:val="22"/>
          <w:szCs w:val="22"/>
        </w:rPr>
        <w:t xml:space="preserve"> </w:t>
      </w:r>
      <w:r w:rsidR="00D446AD" w:rsidRPr="004A0C12">
        <w:rPr>
          <w:rFonts w:ascii="Garamond" w:hAnsi="Garamond"/>
          <w:sz w:val="22"/>
          <w:szCs w:val="22"/>
        </w:rPr>
        <w:t>GWIB</w:t>
      </w:r>
      <w:r w:rsidRPr="004A0C12">
        <w:rPr>
          <w:rFonts w:ascii="Garamond" w:hAnsi="Garamond"/>
          <w:sz w:val="22"/>
          <w:szCs w:val="22"/>
        </w:rPr>
        <w:t>, consistent with the requirements of WIOA, is comprised of business leaders. As Governor Hogan’s chief policy-making body on workforce development, innovation and opportunity, the Board is dedicated to promoting comprehensive planning and coordination of employment and training programs in the State.  Business can play an important role in developing training criteria and identifying emerging jobs.</w:t>
      </w:r>
    </w:p>
    <w:p w14:paraId="4DD8D7FC" w14:textId="77777777" w:rsidR="001A4386" w:rsidRPr="004A0C12" w:rsidRDefault="001A4386" w:rsidP="00A816E3">
      <w:pPr>
        <w:pStyle w:val="NormalWeb2"/>
        <w:shd w:val="clear" w:color="auto" w:fill="FFFFFF"/>
        <w:contextualSpacing/>
        <w:jc w:val="both"/>
        <w:rPr>
          <w:rFonts w:ascii="Garamond" w:hAnsi="Garamond"/>
          <w:sz w:val="22"/>
          <w:szCs w:val="22"/>
        </w:rPr>
      </w:pPr>
    </w:p>
    <w:p w14:paraId="4B8D28DE" w14:textId="2ED6441E" w:rsidR="00A816E3" w:rsidRPr="004A0C12" w:rsidRDefault="001A4386" w:rsidP="00A816E3">
      <w:pPr>
        <w:pStyle w:val="NormalWeb2"/>
        <w:shd w:val="clear" w:color="auto" w:fill="FFFFFF"/>
        <w:contextualSpacing/>
        <w:jc w:val="both"/>
        <w:rPr>
          <w:rFonts w:ascii="Garamond" w:hAnsi="Garamond"/>
          <w:sz w:val="22"/>
          <w:szCs w:val="22"/>
        </w:rPr>
      </w:pPr>
      <w:r w:rsidRPr="004A0C12">
        <w:rPr>
          <w:rFonts w:ascii="Garamond" w:hAnsi="Garamond"/>
          <w:sz w:val="22"/>
          <w:szCs w:val="22"/>
        </w:rPr>
        <w:t xml:space="preserve">The workforce system must proactively engage business in its processes early and often in the development of processes and services to ensure that the services that will be provided to Maryland’s jobseekers are in line with business needs. The workforce system must also introduce businesses to existing processes. For instance, there is a wide array of professional development, social assistance, and incumbent worker resources offered to businesses through the American Job Centers. In short, Maryland’s American Job Centers should not be the “best kept secret” for business any longer. Rather, the workforce system will thrive through the relationships it builds with the business community. To that end, </w:t>
      </w:r>
      <w:r w:rsidR="00A816E3" w:rsidRPr="004A0C12">
        <w:rPr>
          <w:rFonts w:ascii="Garamond" w:hAnsi="Garamond"/>
          <w:sz w:val="22"/>
          <w:szCs w:val="22"/>
        </w:rPr>
        <w:t>GWIB will dedicate efforts to establish</w:t>
      </w:r>
      <w:r w:rsidR="00D446AD" w:rsidRPr="004A0C12">
        <w:rPr>
          <w:rFonts w:ascii="Garamond" w:hAnsi="Garamond"/>
          <w:sz w:val="22"/>
          <w:szCs w:val="22"/>
        </w:rPr>
        <w:t>ing</w:t>
      </w:r>
      <w:r w:rsidR="00A816E3" w:rsidRPr="004A0C12">
        <w:rPr>
          <w:rFonts w:ascii="Garamond" w:hAnsi="Garamond"/>
          <w:sz w:val="22"/>
          <w:szCs w:val="22"/>
        </w:rPr>
        <w:t xml:space="preserve"> a business engagement taskforce to ensure that business is </w:t>
      </w:r>
      <w:r w:rsidR="00D446AD" w:rsidRPr="004A0C12">
        <w:rPr>
          <w:rFonts w:ascii="Garamond" w:hAnsi="Garamond"/>
          <w:sz w:val="22"/>
          <w:szCs w:val="22"/>
        </w:rPr>
        <w:t xml:space="preserve">involved </w:t>
      </w:r>
      <w:r w:rsidR="00A816E3" w:rsidRPr="004A0C12">
        <w:rPr>
          <w:rFonts w:ascii="Garamond" w:hAnsi="Garamond"/>
          <w:sz w:val="22"/>
          <w:szCs w:val="22"/>
        </w:rPr>
        <w:t xml:space="preserve">in the delivery of workforce services.  The taskforce will </w:t>
      </w:r>
      <w:r w:rsidR="006218FA" w:rsidRPr="004A0C12">
        <w:rPr>
          <w:rFonts w:ascii="Garamond" w:hAnsi="Garamond"/>
          <w:sz w:val="22"/>
          <w:szCs w:val="22"/>
        </w:rPr>
        <w:t>provide strategies to the WIOA P</w:t>
      </w:r>
      <w:r w:rsidR="00D446AD" w:rsidRPr="004A0C12">
        <w:rPr>
          <w:rFonts w:ascii="Garamond" w:hAnsi="Garamond"/>
          <w:sz w:val="22"/>
          <w:szCs w:val="22"/>
        </w:rPr>
        <w:t>artners on conducting</w:t>
      </w:r>
      <w:r w:rsidR="00A816E3" w:rsidRPr="004A0C12">
        <w:rPr>
          <w:rFonts w:ascii="Garamond" w:hAnsi="Garamond"/>
          <w:sz w:val="22"/>
          <w:szCs w:val="22"/>
        </w:rPr>
        <w:t xml:space="preserve"> outreach to Maryland’s businesses, utilization of labor market information, and the development of innovative practices in workforce development training needs. Local Boards must also outline in their respective local plans how they intend to provide a greater business voice in local workforce services. </w:t>
      </w:r>
    </w:p>
    <w:p w14:paraId="0165AB83" w14:textId="77777777" w:rsidR="00A816E3" w:rsidRPr="004A0C12" w:rsidRDefault="00A816E3" w:rsidP="00A816E3">
      <w:pPr>
        <w:pStyle w:val="NormalWeb2"/>
        <w:shd w:val="clear" w:color="auto" w:fill="FFFFFF"/>
        <w:contextualSpacing/>
        <w:jc w:val="both"/>
        <w:rPr>
          <w:rFonts w:ascii="Garamond" w:hAnsi="Garamond"/>
          <w:sz w:val="22"/>
          <w:szCs w:val="22"/>
        </w:rPr>
      </w:pPr>
    </w:p>
    <w:p w14:paraId="3471726B" w14:textId="18B08CB6" w:rsidR="00A816E3" w:rsidRPr="004A0C12" w:rsidRDefault="006218FA" w:rsidP="00A816E3">
      <w:pPr>
        <w:pStyle w:val="NormalWeb2"/>
        <w:shd w:val="clear" w:color="auto" w:fill="FFFFFF"/>
        <w:contextualSpacing/>
        <w:jc w:val="both"/>
        <w:rPr>
          <w:rFonts w:ascii="Garamond" w:hAnsi="Garamond"/>
          <w:sz w:val="22"/>
          <w:szCs w:val="22"/>
        </w:rPr>
      </w:pPr>
      <w:r w:rsidRPr="004A0C12">
        <w:rPr>
          <w:rFonts w:ascii="Garamond" w:hAnsi="Garamond"/>
          <w:sz w:val="22"/>
          <w:szCs w:val="22"/>
        </w:rPr>
        <w:t>Furthermore, the WIOA P</w:t>
      </w:r>
      <w:r w:rsidR="00A816E3" w:rsidRPr="004A0C12">
        <w:rPr>
          <w:rFonts w:ascii="Garamond" w:hAnsi="Garamond"/>
          <w:sz w:val="22"/>
          <w:szCs w:val="22"/>
        </w:rPr>
        <w:t xml:space="preserve">artners agree to work together to ensure quality customer service to businesses. The Maryland Business Services </w:t>
      </w:r>
      <w:proofErr w:type="gramStart"/>
      <w:r w:rsidR="00A816E3" w:rsidRPr="004A0C12">
        <w:rPr>
          <w:rFonts w:ascii="Garamond" w:hAnsi="Garamond"/>
          <w:sz w:val="22"/>
          <w:szCs w:val="22"/>
        </w:rPr>
        <w:t>Team,</w:t>
      </w:r>
      <w:proofErr w:type="gramEnd"/>
      <w:r w:rsidR="00A816E3" w:rsidRPr="004A0C12">
        <w:rPr>
          <w:rFonts w:ascii="Garamond" w:hAnsi="Garamond"/>
          <w:sz w:val="22"/>
          <w:szCs w:val="22"/>
        </w:rPr>
        <w:t xml:space="preserve"> is comprised of DLLR staff, local workforce staff, and other locally determined partners.  It exists to help companies grow and thrive, to foster economic growth and stability, and to ensure that Marylanders have opportunities for gainful employment. </w:t>
      </w:r>
    </w:p>
    <w:p w14:paraId="7F3F44B1" w14:textId="77777777" w:rsidR="00A816E3" w:rsidRPr="004A0C12" w:rsidRDefault="00A816E3" w:rsidP="00A816E3">
      <w:pPr>
        <w:pStyle w:val="NormalWeb2"/>
        <w:shd w:val="clear" w:color="auto" w:fill="FFFFFF"/>
        <w:contextualSpacing/>
        <w:jc w:val="both"/>
        <w:rPr>
          <w:rFonts w:ascii="Garamond" w:hAnsi="Garamond"/>
          <w:sz w:val="22"/>
          <w:szCs w:val="22"/>
        </w:rPr>
      </w:pPr>
    </w:p>
    <w:p w14:paraId="393B2D21" w14:textId="62E8725B" w:rsidR="00A816E3" w:rsidRPr="004A0C12" w:rsidRDefault="00A816E3" w:rsidP="00A816E3">
      <w:pPr>
        <w:pStyle w:val="NormalWeb2"/>
        <w:shd w:val="clear" w:color="auto" w:fill="FFFFFF"/>
        <w:contextualSpacing/>
        <w:jc w:val="both"/>
        <w:rPr>
          <w:rFonts w:ascii="Garamond" w:hAnsi="Garamond"/>
          <w:sz w:val="22"/>
          <w:szCs w:val="22"/>
        </w:rPr>
      </w:pPr>
      <w:r w:rsidRPr="004A0C12">
        <w:rPr>
          <w:rFonts w:ascii="Garamond" w:hAnsi="Garamond"/>
          <w:sz w:val="22"/>
          <w:szCs w:val="22"/>
        </w:rPr>
        <w:t>Together, the members of the Business Services Team work with companies throughout the State to understand specific business needs and to proactively assist Maryland’s businesses with growth and workforce development strategies. The team partners with agencies and local entities to meet its goal. Additional partners may include, but are not limited to: Maryland Department of Commerce, D</w:t>
      </w:r>
      <w:r w:rsidR="001A4386" w:rsidRPr="004A0C12">
        <w:rPr>
          <w:rFonts w:ascii="Garamond" w:hAnsi="Garamond"/>
          <w:sz w:val="22"/>
          <w:szCs w:val="22"/>
        </w:rPr>
        <w:t xml:space="preserve">epartment of </w:t>
      </w:r>
      <w:r w:rsidRPr="004A0C12">
        <w:rPr>
          <w:rFonts w:ascii="Garamond" w:hAnsi="Garamond"/>
          <w:sz w:val="22"/>
          <w:szCs w:val="22"/>
        </w:rPr>
        <w:t>H</w:t>
      </w:r>
      <w:r w:rsidR="001A4386" w:rsidRPr="004A0C12">
        <w:rPr>
          <w:rFonts w:ascii="Garamond" w:hAnsi="Garamond"/>
          <w:sz w:val="22"/>
          <w:szCs w:val="22"/>
        </w:rPr>
        <w:t xml:space="preserve">uman </w:t>
      </w:r>
      <w:r w:rsidRPr="004A0C12">
        <w:rPr>
          <w:rFonts w:ascii="Garamond" w:hAnsi="Garamond"/>
          <w:sz w:val="22"/>
          <w:szCs w:val="22"/>
        </w:rPr>
        <w:t>R</w:t>
      </w:r>
      <w:r w:rsidR="001A4386" w:rsidRPr="004A0C12">
        <w:rPr>
          <w:rFonts w:ascii="Garamond" w:hAnsi="Garamond"/>
          <w:sz w:val="22"/>
          <w:szCs w:val="22"/>
        </w:rPr>
        <w:t>esources</w:t>
      </w:r>
      <w:r w:rsidRPr="004A0C12">
        <w:rPr>
          <w:rFonts w:ascii="Garamond" w:hAnsi="Garamond"/>
          <w:sz w:val="22"/>
          <w:szCs w:val="22"/>
        </w:rPr>
        <w:t>, M</w:t>
      </w:r>
      <w:r w:rsidR="001A4386" w:rsidRPr="004A0C12">
        <w:rPr>
          <w:rFonts w:ascii="Garamond" w:hAnsi="Garamond"/>
          <w:sz w:val="22"/>
          <w:szCs w:val="22"/>
        </w:rPr>
        <w:t xml:space="preserve">aryland </w:t>
      </w:r>
      <w:r w:rsidRPr="004A0C12">
        <w:rPr>
          <w:rFonts w:ascii="Garamond" w:hAnsi="Garamond"/>
          <w:sz w:val="22"/>
          <w:szCs w:val="22"/>
        </w:rPr>
        <w:t>S</w:t>
      </w:r>
      <w:r w:rsidR="001A4386" w:rsidRPr="004A0C12">
        <w:rPr>
          <w:rFonts w:ascii="Garamond" w:hAnsi="Garamond"/>
          <w:sz w:val="22"/>
          <w:szCs w:val="22"/>
        </w:rPr>
        <w:t xml:space="preserve">tate </w:t>
      </w:r>
      <w:r w:rsidRPr="004A0C12">
        <w:rPr>
          <w:rFonts w:ascii="Garamond" w:hAnsi="Garamond"/>
          <w:sz w:val="22"/>
          <w:szCs w:val="22"/>
        </w:rPr>
        <w:t>D</w:t>
      </w:r>
      <w:r w:rsidR="001A4386" w:rsidRPr="004A0C12">
        <w:rPr>
          <w:rFonts w:ascii="Garamond" w:hAnsi="Garamond"/>
          <w:sz w:val="22"/>
          <w:szCs w:val="22"/>
        </w:rPr>
        <w:t xml:space="preserve">epartment of </w:t>
      </w:r>
      <w:r w:rsidRPr="004A0C12">
        <w:rPr>
          <w:rFonts w:ascii="Garamond" w:hAnsi="Garamond"/>
          <w:sz w:val="22"/>
          <w:szCs w:val="22"/>
        </w:rPr>
        <w:t>E</w:t>
      </w:r>
      <w:r w:rsidR="001A4386" w:rsidRPr="004A0C12">
        <w:rPr>
          <w:rFonts w:ascii="Garamond" w:hAnsi="Garamond"/>
          <w:sz w:val="22"/>
          <w:szCs w:val="22"/>
        </w:rPr>
        <w:t>ducation</w:t>
      </w:r>
      <w:r w:rsidRPr="004A0C12">
        <w:rPr>
          <w:rFonts w:ascii="Garamond" w:hAnsi="Garamond"/>
          <w:sz w:val="22"/>
          <w:szCs w:val="22"/>
        </w:rPr>
        <w:t>, the Maryland Department of Disabilities, local economic development agencies, public libraries, faith-based organizations, community organizations, Chambers of Commerce, industry associations, Maryland businesses and colleges and universities. Moving forward, the aforementioned agencies will have representation on the Business Services Team to ensure that both workforce and economic development needs of a respective business are met, and that State resources are effectively leveraged.</w:t>
      </w:r>
    </w:p>
    <w:p w14:paraId="2E3F1FBC" w14:textId="77777777" w:rsidR="00A816E3" w:rsidRPr="004A0C12" w:rsidRDefault="00A816E3" w:rsidP="00A816E3">
      <w:pPr>
        <w:pStyle w:val="NormalWeb2"/>
        <w:shd w:val="clear" w:color="auto" w:fill="FFFFFF"/>
        <w:contextualSpacing/>
        <w:jc w:val="both"/>
        <w:rPr>
          <w:rFonts w:ascii="Garamond" w:hAnsi="Garamond"/>
          <w:sz w:val="22"/>
          <w:szCs w:val="22"/>
        </w:rPr>
      </w:pPr>
    </w:p>
    <w:p w14:paraId="46B1337B" w14:textId="4812E374" w:rsidR="00A816E3" w:rsidRPr="004A0C12" w:rsidRDefault="005E7605" w:rsidP="00A816E3">
      <w:pPr>
        <w:pStyle w:val="NormalWeb2"/>
        <w:shd w:val="clear" w:color="auto" w:fill="FFFFFF"/>
        <w:contextualSpacing/>
        <w:jc w:val="both"/>
        <w:rPr>
          <w:rFonts w:ascii="Garamond" w:hAnsi="Garamond"/>
          <w:sz w:val="22"/>
          <w:szCs w:val="22"/>
        </w:rPr>
      </w:pPr>
      <w:r w:rsidRPr="004A0C12">
        <w:rPr>
          <w:rFonts w:ascii="Garamond" w:hAnsi="Garamond"/>
          <w:sz w:val="22"/>
          <w:szCs w:val="22"/>
        </w:rPr>
        <w:t xml:space="preserve">Business Services </w:t>
      </w:r>
      <w:r w:rsidR="00A816E3" w:rsidRPr="004A0C12">
        <w:rPr>
          <w:rFonts w:ascii="Garamond" w:hAnsi="Garamond"/>
          <w:sz w:val="22"/>
          <w:szCs w:val="22"/>
        </w:rPr>
        <w:t>Team members have participated, and will continue to participate, in joint training sessions and will work collaboratively to develop relationships with Maryland businesses, meet with leaders and provide consulting services related to company stabilization and growth throughout the business life cycle.  In frequent communication, the Business Services Team will develop a deeper understanding of the service</w:t>
      </w:r>
      <w:r w:rsidR="00EE1E55" w:rsidRPr="004A0C12">
        <w:rPr>
          <w:rFonts w:ascii="Garamond" w:hAnsi="Garamond"/>
          <w:sz w:val="22"/>
          <w:szCs w:val="22"/>
        </w:rPr>
        <w:t>s</w:t>
      </w:r>
      <w:r w:rsidR="00A816E3" w:rsidRPr="004A0C12">
        <w:rPr>
          <w:rFonts w:ascii="Garamond" w:hAnsi="Garamond"/>
          <w:sz w:val="22"/>
          <w:szCs w:val="22"/>
        </w:rPr>
        <w:t xml:space="preserve"> each offer, and, after understanding a business’s needs, will be able to refer the business to the services of fellow team members.   </w:t>
      </w:r>
    </w:p>
    <w:p w14:paraId="49FA9F37" w14:textId="77777777" w:rsidR="00A10CFF" w:rsidRPr="004A0C12" w:rsidRDefault="00A10CFF" w:rsidP="00A816E3">
      <w:pPr>
        <w:pStyle w:val="NormalWeb2"/>
        <w:shd w:val="clear" w:color="auto" w:fill="FFFFFF"/>
        <w:contextualSpacing/>
        <w:jc w:val="both"/>
        <w:rPr>
          <w:rFonts w:ascii="Garamond" w:hAnsi="Garamond"/>
          <w:sz w:val="22"/>
          <w:szCs w:val="22"/>
        </w:rPr>
      </w:pPr>
    </w:p>
    <w:p w14:paraId="6B7976AF" w14:textId="5591DE99" w:rsidR="00A816E3" w:rsidRPr="004A0C12" w:rsidRDefault="00A816E3" w:rsidP="00A816E3">
      <w:pPr>
        <w:pStyle w:val="NormalWeb2"/>
        <w:shd w:val="clear" w:color="auto" w:fill="FFFFFF"/>
        <w:contextualSpacing/>
        <w:jc w:val="both"/>
        <w:rPr>
          <w:rFonts w:ascii="Garamond" w:hAnsi="Garamond"/>
          <w:color w:val="191919"/>
          <w:sz w:val="22"/>
          <w:szCs w:val="22"/>
        </w:rPr>
      </w:pPr>
      <w:r w:rsidRPr="004A0C12">
        <w:rPr>
          <w:rFonts w:ascii="Garamond" w:hAnsi="Garamond"/>
          <w:color w:val="191919"/>
          <w:sz w:val="22"/>
          <w:szCs w:val="22"/>
        </w:rPr>
        <w:t>Recognizing that a workforce system that is disconnected from business fails to meet the</w:t>
      </w:r>
      <w:r w:rsidR="001A4386" w:rsidRPr="004A0C12">
        <w:rPr>
          <w:rFonts w:ascii="Garamond" w:hAnsi="Garamond"/>
          <w:color w:val="191919"/>
          <w:sz w:val="22"/>
          <w:szCs w:val="22"/>
        </w:rPr>
        <w:t xml:space="preserve"> needs of jobseekers, the WIOA P</w:t>
      </w:r>
      <w:r w:rsidRPr="004A0C12">
        <w:rPr>
          <w:rFonts w:ascii="Garamond" w:hAnsi="Garamond"/>
          <w:color w:val="191919"/>
          <w:sz w:val="22"/>
          <w:szCs w:val="22"/>
        </w:rPr>
        <w:t xml:space="preserve">artners are dedicated to creating an industry-driven solution to workforce development that places businesses in the center of the identification of workforce needs, the development of curriculum, the design of trainings, and the placement of successful participants.  Deep involvement of business in the process breeds confidence from employers that program participants are proficient in relevant skills that create contributing employees. </w:t>
      </w:r>
      <w:r w:rsidR="005E7605" w:rsidRPr="004A0C12">
        <w:rPr>
          <w:rFonts w:ascii="Garamond" w:hAnsi="Garamond"/>
          <w:color w:val="191919"/>
          <w:sz w:val="22"/>
          <w:szCs w:val="22"/>
        </w:rPr>
        <w:t xml:space="preserve">This model is currently being utilized in the EARN Maryland program, as administered by DLLR. </w:t>
      </w:r>
      <w:r w:rsidRPr="004A0C12">
        <w:rPr>
          <w:rFonts w:ascii="Garamond" w:hAnsi="Garamond"/>
          <w:color w:val="191919"/>
          <w:sz w:val="22"/>
          <w:szCs w:val="22"/>
        </w:rPr>
        <w:t xml:space="preserve">The program, whose acronym stands for Employment Advancement Right Now, is a </w:t>
      </w:r>
      <w:r w:rsidR="005E7605" w:rsidRPr="004A0C12">
        <w:rPr>
          <w:rFonts w:ascii="Garamond" w:hAnsi="Garamond"/>
          <w:color w:val="191919"/>
          <w:sz w:val="22"/>
          <w:szCs w:val="22"/>
        </w:rPr>
        <w:t>nationally recognized initiative with over 500 employer participants.</w:t>
      </w:r>
    </w:p>
    <w:p w14:paraId="2DCAF7B5" w14:textId="77777777" w:rsidR="00A816E3" w:rsidRPr="004A0C12" w:rsidRDefault="00A816E3" w:rsidP="00A816E3">
      <w:pPr>
        <w:pStyle w:val="NormalWeb2"/>
        <w:shd w:val="clear" w:color="auto" w:fill="FFFFFF"/>
        <w:contextualSpacing/>
        <w:jc w:val="both"/>
        <w:rPr>
          <w:rFonts w:ascii="Garamond" w:hAnsi="Garamond"/>
          <w:color w:val="191919"/>
          <w:sz w:val="22"/>
          <w:szCs w:val="22"/>
        </w:rPr>
      </w:pPr>
    </w:p>
    <w:p w14:paraId="5E8DB664" w14:textId="2084E965" w:rsidR="00A816E3" w:rsidRPr="004A0C12" w:rsidRDefault="006218FA" w:rsidP="00A816E3">
      <w:pPr>
        <w:pStyle w:val="NormalWeb2"/>
        <w:shd w:val="clear" w:color="auto" w:fill="FFFFFF"/>
        <w:contextualSpacing/>
        <w:jc w:val="both"/>
        <w:rPr>
          <w:rFonts w:ascii="Garamond" w:hAnsi="Garamond"/>
          <w:color w:val="191919"/>
          <w:sz w:val="22"/>
          <w:szCs w:val="22"/>
        </w:rPr>
      </w:pPr>
      <w:r w:rsidRPr="004A0C12">
        <w:rPr>
          <w:rFonts w:ascii="Garamond" w:hAnsi="Garamond"/>
          <w:color w:val="191919"/>
          <w:sz w:val="22"/>
          <w:szCs w:val="22"/>
        </w:rPr>
        <w:t>The WIOA P</w:t>
      </w:r>
      <w:r w:rsidR="00A816E3" w:rsidRPr="004A0C12">
        <w:rPr>
          <w:rFonts w:ascii="Garamond" w:hAnsi="Garamond"/>
          <w:color w:val="191919"/>
          <w:sz w:val="22"/>
          <w:szCs w:val="22"/>
        </w:rPr>
        <w:t>artners agree that building on the success of this industry-driven model will ensure that the needs of businesses and jobse</w:t>
      </w:r>
      <w:r w:rsidRPr="004A0C12">
        <w:rPr>
          <w:rFonts w:ascii="Garamond" w:hAnsi="Garamond"/>
          <w:color w:val="191919"/>
          <w:sz w:val="22"/>
          <w:szCs w:val="22"/>
        </w:rPr>
        <w:t>ekers are met. Maryland’s WIOA P</w:t>
      </w:r>
      <w:r w:rsidR="00A816E3" w:rsidRPr="004A0C12">
        <w:rPr>
          <w:rFonts w:ascii="Garamond" w:hAnsi="Garamond"/>
          <w:color w:val="191919"/>
          <w:sz w:val="22"/>
          <w:szCs w:val="22"/>
        </w:rPr>
        <w:t>artners are also dedicated to the expansion of industry-led partnerships that allow participants to obtain industry-recognized credentials</w:t>
      </w:r>
      <w:r w:rsidR="001A4386" w:rsidRPr="004A0C12">
        <w:rPr>
          <w:rFonts w:ascii="Garamond" w:hAnsi="Garamond"/>
          <w:color w:val="191919"/>
          <w:sz w:val="22"/>
          <w:szCs w:val="22"/>
        </w:rPr>
        <w:t xml:space="preserve">, and are invested in providing policy guidance to the workforce system regarding this important component of WIOA. </w:t>
      </w:r>
      <w:r w:rsidR="00A816E3" w:rsidRPr="004A0C12">
        <w:rPr>
          <w:rFonts w:ascii="Garamond" w:hAnsi="Garamond"/>
          <w:color w:val="191919"/>
          <w:sz w:val="22"/>
          <w:szCs w:val="22"/>
        </w:rPr>
        <w:t>In placing an emphasis on both industry-led partnership opportunities and industry-recognized credentials, Maryland is ensuring that its talent pipeline is responsive to the needs of in-demand</w:t>
      </w:r>
      <w:r w:rsidR="003B2AF0" w:rsidRPr="004A0C12">
        <w:rPr>
          <w:rFonts w:ascii="Garamond" w:hAnsi="Garamond"/>
          <w:color w:val="191919"/>
          <w:sz w:val="22"/>
          <w:szCs w:val="22"/>
        </w:rPr>
        <w:t xml:space="preserve"> careers and industry sectors. </w:t>
      </w:r>
      <w:r w:rsidR="00A816E3" w:rsidRPr="004A0C12">
        <w:rPr>
          <w:rFonts w:ascii="Garamond" w:hAnsi="Garamond"/>
          <w:color w:val="191919"/>
          <w:sz w:val="22"/>
          <w:szCs w:val="22"/>
        </w:rPr>
        <w:t>To that end, local workforce partners must al</w:t>
      </w:r>
      <w:r w:rsidR="005E7605" w:rsidRPr="004A0C12">
        <w:rPr>
          <w:rFonts w:ascii="Garamond" w:hAnsi="Garamond"/>
          <w:color w:val="191919"/>
          <w:sz w:val="22"/>
          <w:szCs w:val="22"/>
        </w:rPr>
        <w:t xml:space="preserve">so identify in their local plans </w:t>
      </w:r>
      <w:r w:rsidR="00A816E3" w:rsidRPr="004A0C12">
        <w:rPr>
          <w:rFonts w:ascii="Garamond" w:hAnsi="Garamond"/>
          <w:color w:val="191919"/>
          <w:sz w:val="22"/>
          <w:szCs w:val="22"/>
        </w:rPr>
        <w:t>how they will promote and cultivate industry-led partnerships in the delivery of workforce training opportunities.  Opportunities to link</w:t>
      </w:r>
      <w:r w:rsidR="00BB5F3C" w:rsidRPr="004A0C12">
        <w:rPr>
          <w:rFonts w:ascii="Garamond" w:hAnsi="Garamond"/>
          <w:color w:val="191919"/>
          <w:sz w:val="22"/>
          <w:szCs w:val="22"/>
        </w:rPr>
        <w:t xml:space="preserve"> EARN with the Adult Education/career p</w:t>
      </w:r>
      <w:r w:rsidR="00A816E3" w:rsidRPr="004A0C12">
        <w:rPr>
          <w:rFonts w:ascii="Garamond" w:hAnsi="Garamond"/>
          <w:color w:val="191919"/>
          <w:sz w:val="22"/>
          <w:szCs w:val="22"/>
        </w:rPr>
        <w:t xml:space="preserve">athways system should be explored and implemented, in order to establish a bridge to participation for low-skilled individuals and others with barriers to </w:t>
      </w:r>
      <w:r w:rsidR="00A816E3" w:rsidRPr="004A0C12">
        <w:rPr>
          <w:rFonts w:ascii="Garamond" w:hAnsi="Garamond"/>
          <w:sz w:val="22"/>
          <w:szCs w:val="22"/>
        </w:rPr>
        <w:t>employment</w:t>
      </w:r>
      <w:r w:rsidR="00CC66F0" w:rsidRPr="004A0C12">
        <w:rPr>
          <w:rFonts w:ascii="Garamond" w:hAnsi="Garamond"/>
          <w:color w:val="191919"/>
          <w:sz w:val="22"/>
          <w:szCs w:val="22"/>
        </w:rPr>
        <w:t>.   </w:t>
      </w:r>
    </w:p>
    <w:p w14:paraId="7D9AF9C9" w14:textId="77777777" w:rsidR="00A816E3" w:rsidRPr="00B25499" w:rsidRDefault="00A816E3" w:rsidP="00A816E3">
      <w:pPr>
        <w:pStyle w:val="Heading2"/>
        <w:rPr>
          <w:rFonts w:ascii="Garamond" w:hAnsi="Garamond"/>
          <w:sz w:val="24"/>
          <w:szCs w:val="24"/>
        </w:rPr>
      </w:pPr>
      <w:bookmarkStart w:id="70" w:name="_Toc447276114"/>
      <w:r w:rsidRPr="00B25499">
        <w:rPr>
          <w:rFonts w:ascii="Garamond" w:hAnsi="Garamond"/>
          <w:sz w:val="24"/>
          <w:szCs w:val="24"/>
        </w:rPr>
        <w:t>Partnership with Education</w:t>
      </w:r>
      <w:bookmarkEnd w:id="70"/>
    </w:p>
    <w:p w14:paraId="3D6D7D98" w14:textId="19019FF4" w:rsidR="00A816E3" w:rsidRPr="004A0C12" w:rsidRDefault="00A816E3" w:rsidP="00A816E3">
      <w:pPr>
        <w:pStyle w:val="ListParagraph"/>
        <w:ind w:left="0"/>
        <w:jc w:val="both"/>
        <w:rPr>
          <w:rFonts w:ascii="Garamond" w:hAnsi="Garamond"/>
          <w:szCs w:val="22"/>
        </w:rPr>
      </w:pPr>
      <w:r w:rsidRPr="004A0C12">
        <w:rPr>
          <w:rFonts w:ascii="Garamond" w:hAnsi="Garamond"/>
          <w:szCs w:val="22"/>
        </w:rPr>
        <w:t xml:space="preserve">Unlike many states, which face siloed education and workforce systems, Maryland enjoys strong, collaborative partnerships between its educational institutions and workforce entities. By emphasizing career pathways as a key </w:t>
      </w:r>
      <w:r w:rsidR="00057E39" w:rsidRPr="004A0C12">
        <w:rPr>
          <w:rFonts w:ascii="Garamond" w:hAnsi="Garamond"/>
          <w:szCs w:val="22"/>
        </w:rPr>
        <w:t>tenet</w:t>
      </w:r>
      <w:r w:rsidR="005E7605" w:rsidRPr="004A0C12">
        <w:rPr>
          <w:rFonts w:ascii="Garamond" w:hAnsi="Garamond"/>
          <w:szCs w:val="22"/>
        </w:rPr>
        <w:t xml:space="preserve"> of our S</w:t>
      </w:r>
      <w:r w:rsidRPr="004A0C12">
        <w:rPr>
          <w:rFonts w:ascii="Garamond" w:hAnsi="Garamond"/>
          <w:szCs w:val="22"/>
        </w:rPr>
        <w:t xml:space="preserve">tate’s strategic plan, Governor Hogan recognizes the importance of sustaining and continuing to foster this important relationship. </w:t>
      </w:r>
    </w:p>
    <w:p w14:paraId="2C780783" w14:textId="77777777" w:rsidR="00A816E3" w:rsidRPr="004A0C12" w:rsidRDefault="00A816E3" w:rsidP="00A816E3">
      <w:pPr>
        <w:pStyle w:val="ListParagraph"/>
        <w:ind w:left="0"/>
        <w:jc w:val="both"/>
        <w:rPr>
          <w:rFonts w:ascii="Garamond" w:hAnsi="Garamond"/>
          <w:szCs w:val="22"/>
        </w:rPr>
      </w:pPr>
    </w:p>
    <w:p w14:paraId="13C4F785" w14:textId="475F1A2F" w:rsidR="00A816E3" w:rsidRPr="004A0C12" w:rsidRDefault="00A816E3" w:rsidP="00A816E3">
      <w:pPr>
        <w:pStyle w:val="ListParagraph"/>
        <w:ind w:left="0"/>
        <w:jc w:val="both"/>
        <w:rPr>
          <w:rFonts w:ascii="Garamond" w:hAnsi="Garamond"/>
          <w:szCs w:val="22"/>
        </w:rPr>
      </w:pPr>
      <w:r w:rsidRPr="004A0C12">
        <w:rPr>
          <w:rFonts w:ascii="Garamond" w:hAnsi="Garamond"/>
          <w:szCs w:val="22"/>
        </w:rPr>
        <w:t>In Maryland, adult education and literacy programs are housed within DLLR’s Division of Workforce Development and Adult Learning, alongside the WIOA workforce programs. Co</w:t>
      </w:r>
      <w:r w:rsidR="00094A78" w:rsidRPr="004A0C12">
        <w:rPr>
          <w:rFonts w:ascii="Garamond" w:hAnsi="Garamond"/>
          <w:szCs w:val="22"/>
        </w:rPr>
        <w:t>-</w:t>
      </w:r>
      <w:r w:rsidRPr="004A0C12">
        <w:rPr>
          <w:rFonts w:ascii="Garamond" w:hAnsi="Garamond"/>
          <w:szCs w:val="22"/>
        </w:rPr>
        <w:t>location of leadership ensures that administrators are communicating often and effectively. Strong communication helps to ensure that local adu</w:t>
      </w:r>
      <w:r w:rsidR="005E7605" w:rsidRPr="004A0C12">
        <w:rPr>
          <w:rFonts w:ascii="Garamond" w:hAnsi="Garamond"/>
          <w:szCs w:val="22"/>
        </w:rPr>
        <w:t xml:space="preserve">lt education service providers, </w:t>
      </w:r>
      <w:r w:rsidRPr="004A0C12">
        <w:rPr>
          <w:rFonts w:ascii="Garamond" w:hAnsi="Garamond"/>
          <w:szCs w:val="22"/>
        </w:rPr>
        <w:t>many of which are com</w:t>
      </w:r>
      <w:r w:rsidR="005E7605" w:rsidRPr="004A0C12">
        <w:rPr>
          <w:rFonts w:ascii="Garamond" w:hAnsi="Garamond"/>
          <w:szCs w:val="22"/>
        </w:rPr>
        <w:t xml:space="preserve">munity </w:t>
      </w:r>
      <w:proofErr w:type="gramStart"/>
      <w:r w:rsidR="005E7605" w:rsidRPr="004A0C12">
        <w:rPr>
          <w:rFonts w:ascii="Garamond" w:hAnsi="Garamond"/>
          <w:szCs w:val="22"/>
        </w:rPr>
        <w:t>colleges,</w:t>
      </w:r>
      <w:proofErr w:type="gramEnd"/>
      <w:r w:rsidRPr="004A0C12">
        <w:rPr>
          <w:rFonts w:ascii="Garamond" w:hAnsi="Garamond"/>
          <w:szCs w:val="22"/>
        </w:rPr>
        <w:t xml:space="preserve"> and local workforce areas are administering programs in a coordinated fashion. It also provides the State with an opportunity to apply for supplemental grants together, and it allo</w:t>
      </w:r>
      <w:r w:rsidR="005E7605" w:rsidRPr="004A0C12">
        <w:rPr>
          <w:rFonts w:ascii="Garamond" w:hAnsi="Garamond"/>
          <w:szCs w:val="22"/>
        </w:rPr>
        <w:t xml:space="preserve">ws for more easily identifiable </w:t>
      </w:r>
      <w:r w:rsidRPr="004A0C12">
        <w:rPr>
          <w:rFonts w:ascii="Garamond" w:hAnsi="Garamond"/>
          <w:szCs w:val="22"/>
        </w:rPr>
        <w:t>alignment opportunities.</w:t>
      </w:r>
    </w:p>
    <w:p w14:paraId="0658755F" w14:textId="77777777" w:rsidR="00A816E3" w:rsidRPr="004A0C12" w:rsidRDefault="00A816E3" w:rsidP="00A816E3">
      <w:pPr>
        <w:pStyle w:val="ListParagraph"/>
        <w:ind w:left="0"/>
        <w:jc w:val="both"/>
        <w:rPr>
          <w:rFonts w:ascii="Garamond" w:hAnsi="Garamond"/>
          <w:szCs w:val="22"/>
        </w:rPr>
      </w:pPr>
    </w:p>
    <w:p w14:paraId="0A63F367" w14:textId="1F38D3A4" w:rsidR="00A816E3" w:rsidRPr="004A0C12" w:rsidRDefault="00A816E3" w:rsidP="00A816E3">
      <w:pPr>
        <w:pStyle w:val="ListParagraph"/>
        <w:ind w:left="0"/>
        <w:jc w:val="both"/>
        <w:rPr>
          <w:rFonts w:ascii="Garamond" w:hAnsi="Garamond"/>
          <w:szCs w:val="22"/>
        </w:rPr>
      </w:pPr>
      <w:r w:rsidRPr="004A0C12">
        <w:rPr>
          <w:rFonts w:ascii="Garamond" w:hAnsi="Garamond"/>
          <w:szCs w:val="22"/>
        </w:rPr>
        <w:t xml:space="preserve">For example, Maryland is committed to aligning </w:t>
      </w:r>
      <w:r w:rsidR="00143186" w:rsidRPr="004A0C12">
        <w:rPr>
          <w:rFonts w:ascii="Garamond" w:hAnsi="Garamond"/>
          <w:szCs w:val="22"/>
        </w:rPr>
        <w:t xml:space="preserve">the required </w:t>
      </w:r>
      <w:r w:rsidR="00AA3F72" w:rsidRPr="004A0C12">
        <w:rPr>
          <w:rFonts w:ascii="Garamond" w:hAnsi="Garamond"/>
          <w:szCs w:val="22"/>
        </w:rPr>
        <w:t xml:space="preserve">procedures </w:t>
      </w:r>
      <w:r w:rsidR="00143186" w:rsidRPr="004A0C12">
        <w:rPr>
          <w:rFonts w:ascii="Garamond" w:hAnsi="Garamond"/>
          <w:szCs w:val="22"/>
        </w:rPr>
        <w:t>that Title I and Title II providers must use to</w:t>
      </w:r>
      <w:r w:rsidR="00AA3F72" w:rsidRPr="004A0C12">
        <w:rPr>
          <w:rFonts w:ascii="Garamond" w:hAnsi="Garamond"/>
          <w:szCs w:val="22"/>
        </w:rPr>
        <w:t xml:space="preserve"> assess </w:t>
      </w:r>
      <w:r w:rsidRPr="004A0C12">
        <w:rPr>
          <w:rFonts w:ascii="Garamond" w:hAnsi="Garamond"/>
          <w:szCs w:val="22"/>
        </w:rPr>
        <w:t>basic skills and English language assessments</w:t>
      </w:r>
      <w:r w:rsidR="00143186" w:rsidRPr="004A0C12">
        <w:rPr>
          <w:rFonts w:ascii="Garamond" w:hAnsi="Garamond"/>
          <w:szCs w:val="22"/>
        </w:rPr>
        <w:t>. The intent of an aligned assessment process is to provide better services to shared customers, to reduce dup</w:t>
      </w:r>
      <w:r w:rsidR="005E7605" w:rsidRPr="004A0C12">
        <w:rPr>
          <w:rFonts w:ascii="Garamond" w:hAnsi="Garamond"/>
          <w:szCs w:val="22"/>
        </w:rPr>
        <w:t xml:space="preserve">licative </w:t>
      </w:r>
      <w:r w:rsidR="00143186" w:rsidRPr="004A0C12">
        <w:rPr>
          <w:rFonts w:ascii="Garamond" w:hAnsi="Garamond"/>
          <w:szCs w:val="22"/>
        </w:rPr>
        <w:t>testing, and to ensure a streamlined referral system between partner agencies.</w:t>
      </w:r>
      <w:r w:rsidRPr="004A0C12">
        <w:rPr>
          <w:rFonts w:ascii="Garamond" w:hAnsi="Garamond"/>
          <w:szCs w:val="22"/>
        </w:rPr>
        <w:t xml:space="preserve"> </w:t>
      </w:r>
      <w:r w:rsidR="00143186" w:rsidRPr="004A0C12">
        <w:rPr>
          <w:rFonts w:ascii="Garamond" w:hAnsi="Garamond"/>
          <w:szCs w:val="22"/>
        </w:rPr>
        <w:t xml:space="preserve">Local WIOA Plans will specify the steps that each jurisdiction </w:t>
      </w:r>
      <w:r w:rsidR="005E7605" w:rsidRPr="004A0C12">
        <w:rPr>
          <w:rFonts w:ascii="Garamond" w:hAnsi="Garamond"/>
          <w:szCs w:val="22"/>
        </w:rPr>
        <w:t>will take</w:t>
      </w:r>
      <w:r w:rsidR="00143186" w:rsidRPr="004A0C12">
        <w:rPr>
          <w:rFonts w:ascii="Garamond" w:hAnsi="Garamond"/>
          <w:szCs w:val="22"/>
        </w:rPr>
        <w:t xml:space="preserve"> to align basic skills and English language assessment services. Maryland will continue to explore opportunities to increase efficiency and maximize resources as we move forward. </w:t>
      </w:r>
    </w:p>
    <w:p w14:paraId="43A0E9A6" w14:textId="77777777" w:rsidR="00057E39" w:rsidRPr="004A0C12" w:rsidRDefault="00057E39" w:rsidP="00A816E3">
      <w:pPr>
        <w:pStyle w:val="ListParagraph"/>
        <w:ind w:left="0"/>
        <w:jc w:val="both"/>
        <w:rPr>
          <w:rFonts w:ascii="Garamond" w:hAnsi="Garamond"/>
          <w:szCs w:val="22"/>
        </w:rPr>
      </w:pPr>
    </w:p>
    <w:p w14:paraId="377D6613" w14:textId="3E62ABF0" w:rsidR="00A816E3" w:rsidRPr="004A0C12" w:rsidRDefault="00A816E3" w:rsidP="00A816E3">
      <w:pPr>
        <w:pStyle w:val="ListParagraph"/>
        <w:ind w:left="0"/>
        <w:jc w:val="both"/>
        <w:rPr>
          <w:rFonts w:ascii="Garamond" w:hAnsi="Garamond"/>
          <w:szCs w:val="22"/>
        </w:rPr>
      </w:pPr>
      <w:r w:rsidRPr="004A0C12">
        <w:rPr>
          <w:rFonts w:ascii="Garamond" w:hAnsi="Garamond"/>
          <w:szCs w:val="22"/>
        </w:rPr>
        <w:lastRenderedPageBreak/>
        <w:t>Maryland is committed to re</w:t>
      </w:r>
      <w:r w:rsidR="00094A78" w:rsidRPr="004A0C12">
        <w:rPr>
          <w:rFonts w:ascii="Garamond" w:hAnsi="Garamond"/>
          <w:szCs w:val="22"/>
        </w:rPr>
        <w:t>-</w:t>
      </w:r>
      <w:r w:rsidRPr="004A0C12">
        <w:rPr>
          <w:rFonts w:ascii="Garamond" w:hAnsi="Garamond"/>
          <w:szCs w:val="22"/>
        </w:rPr>
        <w:t xml:space="preserve">evaluating its Eligible Training Provider (ETP) application process, as a way to ensure that WIOA customers have a robust list of diverse, job-driven training and career pathway programs for which Individual Training Accounts (ITAs) can be used. While an interim policy was released by DLLR in July 2015, DLLR has since made efforts to further consolidate responsibilities for the State’s administration of the Eligible Training Provider List. A revised policy regarding the process in light of this consolidation will be issued by </w:t>
      </w:r>
      <w:proofErr w:type="gramStart"/>
      <w:r w:rsidRPr="004A0C12">
        <w:rPr>
          <w:rFonts w:ascii="Garamond" w:hAnsi="Garamond"/>
          <w:szCs w:val="22"/>
        </w:rPr>
        <w:t>Summer</w:t>
      </w:r>
      <w:proofErr w:type="gramEnd"/>
      <w:r w:rsidRPr="004A0C12">
        <w:rPr>
          <w:rFonts w:ascii="Garamond" w:hAnsi="Garamond"/>
          <w:szCs w:val="22"/>
        </w:rPr>
        <w:t xml:space="preserve"> 2016. DLLR is also committed to convening stakeholders, inc</w:t>
      </w:r>
      <w:r w:rsidR="007D1705" w:rsidRPr="004A0C12">
        <w:rPr>
          <w:rFonts w:ascii="Garamond" w:hAnsi="Garamond"/>
          <w:szCs w:val="22"/>
        </w:rPr>
        <w:t>luding</w:t>
      </w:r>
      <w:r w:rsidR="005E7605" w:rsidRPr="004A0C12">
        <w:rPr>
          <w:rFonts w:ascii="Garamond" w:hAnsi="Garamond"/>
          <w:szCs w:val="22"/>
        </w:rPr>
        <w:t>,</w:t>
      </w:r>
      <w:r w:rsidR="007D1705" w:rsidRPr="004A0C12">
        <w:rPr>
          <w:rFonts w:ascii="Garamond" w:hAnsi="Garamond"/>
          <w:szCs w:val="22"/>
        </w:rPr>
        <w:t xml:space="preserve"> but not limited to</w:t>
      </w:r>
      <w:r w:rsidR="005E7605" w:rsidRPr="004A0C12">
        <w:rPr>
          <w:rFonts w:ascii="Garamond" w:hAnsi="Garamond"/>
          <w:szCs w:val="22"/>
        </w:rPr>
        <w:t>,</w:t>
      </w:r>
      <w:r w:rsidR="007D1705" w:rsidRPr="004A0C12">
        <w:rPr>
          <w:rFonts w:ascii="Garamond" w:hAnsi="Garamond"/>
          <w:szCs w:val="22"/>
        </w:rPr>
        <w:t xml:space="preserve"> WIOA P</w:t>
      </w:r>
      <w:r w:rsidRPr="004A0C12">
        <w:rPr>
          <w:rFonts w:ascii="Garamond" w:hAnsi="Garamond"/>
          <w:szCs w:val="22"/>
        </w:rPr>
        <w:t xml:space="preserve">artners, community colleges, and EARN Program training providers, to understand how </w:t>
      </w:r>
      <w:r w:rsidR="005E7605" w:rsidRPr="004A0C12">
        <w:rPr>
          <w:rFonts w:ascii="Garamond" w:hAnsi="Garamond"/>
          <w:szCs w:val="22"/>
        </w:rPr>
        <w:t>the application process</w:t>
      </w:r>
      <w:r w:rsidRPr="004A0C12">
        <w:rPr>
          <w:rFonts w:ascii="Garamond" w:hAnsi="Garamond"/>
          <w:szCs w:val="22"/>
        </w:rPr>
        <w:t xml:space="preserve"> for new providers could be improved. DLLR will also continue conversations with its existing ETPs and the USDOL to gauge how Personally Identifiable Information (PII) concerns can be addressed to ensure that PII is managed scrupulously. </w:t>
      </w:r>
    </w:p>
    <w:p w14:paraId="60C1AE75" w14:textId="77777777" w:rsidR="00A816E3" w:rsidRPr="004A0C12" w:rsidRDefault="00A816E3" w:rsidP="00A816E3">
      <w:pPr>
        <w:pStyle w:val="ListParagraph"/>
        <w:ind w:left="0"/>
        <w:jc w:val="both"/>
        <w:rPr>
          <w:rFonts w:ascii="Garamond" w:hAnsi="Garamond"/>
          <w:szCs w:val="22"/>
        </w:rPr>
      </w:pPr>
    </w:p>
    <w:p w14:paraId="41E63ABB" w14:textId="1D9EFB5B" w:rsidR="00A816E3" w:rsidRPr="004A0C12" w:rsidRDefault="00A816E3" w:rsidP="00A816E3">
      <w:pPr>
        <w:pStyle w:val="ListParagraph"/>
        <w:ind w:left="0"/>
        <w:jc w:val="both"/>
        <w:rPr>
          <w:rFonts w:ascii="Garamond" w:hAnsi="Garamond"/>
          <w:szCs w:val="22"/>
        </w:rPr>
      </w:pPr>
      <w:r w:rsidRPr="004A0C12">
        <w:rPr>
          <w:rFonts w:ascii="Garamond" w:hAnsi="Garamond"/>
          <w:szCs w:val="22"/>
        </w:rPr>
        <w:t>Though WIOA places a greater emphasis on serving out-of</w:t>
      </w:r>
      <w:r w:rsidR="007D1705" w:rsidRPr="004A0C12">
        <w:rPr>
          <w:rFonts w:ascii="Garamond" w:hAnsi="Garamond"/>
          <w:szCs w:val="22"/>
        </w:rPr>
        <w:t>-school youth, Maryland’s WIOA P</w:t>
      </w:r>
      <w:r w:rsidRPr="004A0C12">
        <w:rPr>
          <w:rFonts w:ascii="Garamond" w:hAnsi="Garamond"/>
          <w:szCs w:val="22"/>
        </w:rPr>
        <w:t>artners rema</w:t>
      </w:r>
      <w:r w:rsidR="005E7605" w:rsidRPr="004A0C12">
        <w:rPr>
          <w:rFonts w:ascii="Garamond" w:hAnsi="Garamond"/>
          <w:szCs w:val="22"/>
        </w:rPr>
        <w:t xml:space="preserve">in committed to ensuring that </w:t>
      </w:r>
      <w:r w:rsidRPr="004A0C12">
        <w:rPr>
          <w:rFonts w:ascii="Garamond" w:hAnsi="Garamond"/>
          <w:szCs w:val="22"/>
        </w:rPr>
        <w:t>clearly defined career pathway</w:t>
      </w:r>
      <w:r w:rsidR="005E7605" w:rsidRPr="004A0C12">
        <w:rPr>
          <w:rFonts w:ascii="Garamond" w:hAnsi="Garamond"/>
          <w:szCs w:val="22"/>
        </w:rPr>
        <w:t>s</w:t>
      </w:r>
      <w:r w:rsidRPr="004A0C12">
        <w:rPr>
          <w:rFonts w:ascii="Garamond" w:hAnsi="Garamond"/>
          <w:szCs w:val="22"/>
        </w:rPr>
        <w:t xml:space="preserve"> exists for</w:t>
      </w:r>
      <w:r w:rsidR="005E7605" w:rsidRPr="004A0C12">
        <w:rPr>
          <w:rFonts w:ascii="Garamond" w:hAnsi="Garamond"/>
          <w:szCs w:val="22"/>
        </w:rPr>
        <w:t xml:space="preserve"> in-school youth as well</w:t>
      </w:r>
      <w:r w:rsidRPr="004A0C12">
        <w:rPr>
          <w:rFonts w:ascii="Garamond" w:hAnsi="Garamond"/>
          <w:szCs w:val="22"/>
        </w:rPr>
        <w:t>. The workforce system has a strong, enduring relationship with its Career and Technical Education (CTE) schools across the State. Many CTE administrators sit on Local Workforce Boards and are actively engaged in conversations with businesses and workforce providers to understand how high school programs can be improved to meet industry needs. Representatives from DLLR’s Division of Workforce Development and Adult Learning are currently meeting alongside MSDE and other key stakeholders to ensure ongoing alignment of Maryland’s CTE system with in-demand careers. The group is further committed to placing a greater emphasis on CTE programming as an avenue of college and car</w:t>
      </w:r>
      <w:r w:rsidR="00057E39" w:rsidRPr="004A0C12">
        <w:rPr>
          <w:rFonts w:ascii="Garamond" w:hAnsi="Garamond"/>
          <w:szCs w:val="22"/>
        </w:rPr>
        <w:t>eer readiness for all students.</w:t>
      </w:r>
    </w:p>
    <w:p w14:paraId="6AD79206" w14:textId="77777777" w:rsidR="00057E39" w:rsidRPr="004A0C12" w:rsidRDefault="00057E39" w:rsidP="00A816E3">
      <w:pPr>
        <w:pStyle w:val="ListParagraph"/>
        <w:ind w:left="0"/>
        <w:jc w:val="both"/>
        <w:rPr>
          <w:rFonts w:ascii="Garamond" w:hAnsi="Garamond"/>
          <w:szCs w:val="22"/>
        </w:rPr>
      </w:pPr>
    </w:p>
    <w:p w14:paraId="3867FDD7" w14:textId="5CAEAC54" w:rsidR="00A816E3" w:rsidRPr="004A0C12" w:rsidRDefault="00A816E3" w:rsidP="00A816E3">
      <w:pPr>
        <w:pStyle w:val="ListParagraph"/>
        <w:ind w:left="0"/>
        <w:jc w:val="both"/>
        <w:rPr>
          <w:rFonts w:ascii="Garamond" w:hAnsi="Garamond"/>
          <w:szCs w:val="22"/>
        </w:rPr>
      </w:pPr>
      <w:r w:rsidRPr="004A0C12">
        <w:rPr>
          <w:rFonts w:ascii="Garamond" w:hAnsi="Garamond"/>
          <w:szCs w:val="22"/>
        </w:rPr>
        <w:t>DLLR has provided training in promis</w:t>
      </w:r>
      <w:r w:rsidR="005E7605" w:rsidRPr="004A0C12">
        <w:rPr>
          <w:rFonts w:ascii="Garamond" w:hAnsi="Garamond"/>
          <w:szCs w:val="22"/>
        </w:rPr>
        <w:t>ing models of career p</w:t>
      </w:r>
      <w:r w:rsidRPr="004A0C12">
        <w:rPr>
          <w:rFonts w:ascii="Garamond" w:hAnsi="Garamond"/>
          <w:szCs w:val="22"/>
        </w:rPr>
        <w:t>athways and awarded grants to support career pathways systems planning in various local workforce areas. With leadership from DLLR’s adult education office, Maryland also piloted the Maryland Integrated Basic Education and Skills Training (MI-BEST) program and the Accelerating Connections to Employment (ACE) initiative, both of which provided accelerated, integrated learning op</w:t>
      </w:r>
      <w:r w:rsidR="00BB5F3C" w:rsidRPr="004A0C12">
        <w:rPr>
          <w:rFonts w:ascii="Garamond" w:hAnsi="Garamond"/>
          <w:szCs w:val="22"/>
        </w:rPr>
        <w:t>portunities for low-skilled job</w:t>
      </w:r>
      <w:r w:rsidRPr="004A0C12">
        <w:rPr>
          <w:rFonts w:ascii="Garamond" w:hAnsi="Garamond"/>
          <w:szCs w:val="22"/>
        </w:rPr>
        <w:t>seekers, including individuals with limited English proficiency and those with low reading, writing, and math skills. DLLR will continue to provide technical assistance</w:t>
      </w:r>
      <w:r w:rsidR="00AE4841" w:rsidRPr="004A0C12">
        <w:rPr>
          <w:rFonts w:ascii="Garamond" w:hAnsi="Garamond"/>
          <w:szCs w:val="22"/>
        </w:rPr>
        <w:t xml:space="preserve"> through the Maryland WIOA Conve</w:t>
      </w:r>
      <w:r w:rsidR="00094A78" w:rsidRPr="004A0C12">
        <w:rPr>
          <w:rFonts w:ascii="Garamond" w:hAnsi="Garamond"/>
          <w:szCs w:val="22"/>
        </w:rPr>
        <w:t>ning, policies, and other means</w:t>
      </w:r>
      <w:r w:rsidRPr="004A0C12">
        <w:rPr>
          <w:rFonts w:ascii="Garamond" w:hAnsi="Garamond"/>
          <w:szCs w:val="22"/>
        </w:rPr>
        <w:t xml:space="preserve"> to local </w:t>
      </w:r>
      <w:r w:rsidR="00AE4841" w:rsidRPr="004A0C12">
        <w:rPr>
          <w:rFonts w:ascii="Garamond" w:hAnsi="Garamond"/>
          <w:szCs w:val="22"/>
        </w:rPr>
        <w:t>partners</w:t>
      </w:r>
      <w:r w:rsidR="005E7605" w:rsidRPr="004A0C12">
        <w:rPr>
          <w:rFonts w:ascii="Garamond" w:hAnsi="Garamond"/>
          <w:szCs w:val="22"/>
        </w:rPr>
        <w:t xml:space="preserve"> in an effort to</w:t>
      </w:r>
      <w:r w:rsidR="00AE4841" w:rsidRPr="004A0C12">
        <w:rPr>
          <w:rFonts w:ascii="Garamond" w:hAnsi="Garamond"/>
          <w:szCs w:val="22"/>
        </w:rPr>
        <w:t xml:space="preserve"> successfully</w:t>
      </w:r>
      <w:r w:rsidRPr="004A0C12">
        <w:rPr>
          <w:rFonts w:ascii="Garamond" w:hAnsi="Garamond"/>
          <w:szCs w:val="22"/>
        </w:rPr>
        <w:t xml:space="preserve"> implement career pathways systems. This approach requires an investment of time and resources in order to best s</w:t>
      </w:r>
      <w:r w:rsidR="00BB5F3C" w:rsidRPr="004A0C12">
        <w:rPr>
          <w:rFonts w:ascii="Garamond" w:hAnsi="Garamond"/>
          <w:szCs w:val="22"/>
        </w:rPr>
        <w:t>erve businesses, as well as job</w:t>
      </w:r>
      <w:r w:rsidRPr="004A0C12">
        <w:rPr>
          <w:rFonts w:ascii="Garamond" w:hAnsi="Garamond"/>
          <w:szCs w:val="22"/>
        </w:rPr>
        <w:t xml:space="preserve">seekers. Identifying businesses in need of trained, entry-level employees is </w:t>
      </w:r>
      <w:proofErr w:type="gramStart"/>
      <w:r w:rsidRPr="004A0C12">
        <w:rPr>
          <w:rFonts w:ascii="Garamond" w:hAnsi="Garamond"/>
          <w:szCs w:val="22"/>
        </w:rPr>
        <w:t>key</w:t>
      </w:r>
      <w:proofErr w:type="gramEnd"/>
      <w:r w:rsidRPr="004A0C12">
        <w:rPr>
          <w:rFonts w:ascii="Garamond" w:hAnsi="Garamond"/>
          <w:szCs w:val="22"/>
        </w:rPr>
        <w:t xml:space="preserve"> to the success of career pathways programming. This requires the expertise of local workforce and economic development agencies. Planning for integrated academic and specific job training requires thoughtful coordination of training providers and adult education providers. Other partners must be engaged to fulfill the need for support services for individuals with barriers to employment. Businesses may provide internships and he</w:t>
      </w:r>
      <w:r w:rsidR="00094A78" w:rsidRPr="004A0C12">
        <w:rPr>
          <w:rFonts w:ascii="Garamond" w:hAnsi="Garamond"/>
          <w:szCs w:val="22"/>
        </w:rPr>
        <w:t>lp</w:t>
      </w:r>
      <w:r w:rsidR="005E7605" w:rsidRPr="004A0C12">
        <w:rPr>
          <w:rFonts w:ascii="Garamond" w:hAnsi="Garamond"/>
          <w:szCs w:val="22"/>
        </w:rPr>
        <w:t xml:space="preserve"> guide</w:t>
      </w:r>
      <w:r w:rsidR="00094A78" w:rsidRPr="004A0C12">
        <w:rPr>
          <w:rFonts w:ascii="Garamond" w:hAnsi="Garamond"/>
          <w:szCs w:val="22"/>
        </w:rPr>
        <w:t xml:space="preserve"> </w:t>
      </w:r>
      <w:r w:rsidRPr="004A0C12">
        <w:rPr>
          <w:rFonts w:ascii="Garamond" w:hAnsi="Garamond"/>
          <w:szCs w:val="22"/>
        </w:rPr>
        <w:t>curriculum</w:t>
      </w:r>
      <w:r w:rsidR="005E7605" w:rsidRPr="004A0C12">
        <w:rPr>
          <w:rFonts w:ascii="Garamond" w:hAnsi="Garamond"/>
          <w:szCs w:val="22"/>
        </w:rPr>
        <w:t xml:space="preserve"> development</w:t>
      </w:r>
      <w:r w:rsidRPr="004A0C12">
        <w:rPr>
          <w:rFonts w:ascii="Garamond" w:hAnsi="Garamond"/>
          <w:szCs w:val="22"/>
        </w:rPr>
        <w:t xml:space="preserve">. The success of the program is measured by the percentage of participants who become employed within the specific industry for which they were trained. </w:t>
      </w:r>
    </w:p>
    <w:p w14:paraId="0881E13F" w14:textId="77777777" w:rsidR="00A816E3" w:rsidRPr="004A0C12" w:rsidRDefault="00A816E3" w:rsidP="00A816E3">
      <w:pPr>
        <w:pStyle w:val="ListParagraph"/>
        <w:ind w:left="0"/>
        <w:jc w:val="both"/>
        <w:rPr>
          <w:rFonts w:ascii="Garamond" w:hAnsi="Garamond"/>
          <w:szCs w:val="22"/>
        </w:rPr>
      </w:pPr>
    </w:p>
    <w:p w14:paraId="79AAF3F1" w14:textId="006BD489" w:rsidR="00A816E3" w:rsidRPr="004A0C12" w:rsidRDefault="00A816E3" w:rsidP="00A816E3">
      <w:pPr>
        <w:pStyle w:val="ListParagraph"/>
        <w:ind w:left="0"/>
        <w:jc w:val="both"/>
        <w:rPr>
          <w:rFonts w:ascii="Garamond" w:hAnsi="Garamond"/>
          <w:szCs w:val="22"/>
        </w:rPr>
      </w:pPr>
      <w:r w:rsidRPr="004A0C12">
        <w:rPr>
          <w:rFonts w:ascii="Garamond" w:hAnsi="Garamond"/>
          <w:szCs w:val="22"/>
        </w:rPr>
        <w:t xml:space="preserve">The career pathways approach will require a workforce system transformation and can benefit a wide variety of participants, including low-skilled adults, high school students, disconnected youth, veterans, incumbent workers, individuals with disabilities, and other target populations. The system requires aligned and </w:t>
      </w:r>
      <w:r w:rsidR="00057E39" w:rsidRPr="004A0C12">
        <w:rPr>
          <w:rFonts w:ascii="Garamond" w:hAnsi="Garamond"/>
          <w:szCs w:val="22"/>
        </w:rPr>
        <w:t xml:space="preserve">transparent </w:t>
      </w:r>
      <w:r w:rsidRPr="004A0C12">
        <w:rPr>
          <w:rFonts w:ascii="Garamond" w:hAnsi="Garamond"/>
          <w:szCs w:val="22"/>
        </w:rPr>
        <w:t xml:space="preserve">educational progression with multiple entry points and clearly defined “on and off ramps.” The system </w:t>
      </w:r>
      <w:r w:rsidR="00825DE7" w:rsidRPr="004A0C12">
        <w:rPr>
          <w:rFonts w:ascii="Garamond" w:hAnsi="Garamond"/>
          <w:szCs w:val="22"/>
        </w:rPr>
        <w:t>warrants</w:t>
      </w:r>
      <w:r w:rsidRPr="004A0C12">
        <w:rPr>
          <w:rFonts w:ascii="Garamond" w:hAnsi="Garamond"/>
          <w:szCs w:val="22"/>
        </w:rPr>
        <w:t xml:space="preserve"> a source of funding to scale up and sustain initiatives, maintain the partnerships that are critical to the process, and </w:t>
      </w:r>
      <w:r w:rsidR="00825DE7" w:rsidRPr="004A0C12">
        <w:rPr>
          <w:rFonts w:ascii="Garamond" w:hAnsi="Garamond"/>
          <w:szCs w:val="22"/>
        </w:rPr>
        <w:t xml:space="preserve">must include </w:t>
      </w:r>
      <w:r w:rsidRPr="004A0C12">
        <w:rPr>
          <w:rFonts w:ascii="Garamond" w:hAnsi="Garamond"/>
          <w:szCs w:val="22"/>
        </w:rPr>
        <w:t xml:space="preserve">tools to measure and evaluate outcomes. </w:t>
      </w:r>
    </w:p>
    <w:p w14:paraId="2E5D5E63" w14:textId="77777777" w:rsidR="00A816E3" w:rsidRPr="004A0C12" w:rsidRDefault="00A816E3" w:rsidP="00A816E3">
      <w:pPr>
        <w:pStyle w:val="ListParagraph"/>
        <w:ind w:left="0"/>
        <w:jc w:val="both"/>
        <w:rPr>
          <w:rFonts w:ascii="Garamond" w:hAnsi="Garamond"/>
          <w:szCs w:val="22"/>
        </w:rPr>
      </w:pPr>
    </w:p>
    <w:p w14:paraId="4EFABCED" w14:textId="1A6E946A" w:rsidR="00A816E3" w:rsidRPr="004A0C12" w:rsidRDefault="007D1705" w:rsidP="00A816E3">
      <w:pPr>
        <w:pStyle w:val="ListParagraph"/>
        <w:ind w:left="0"/>
        <w:jc w:val="both"/>
        <w:rPr>
          <w:rFonts w:ascii="Garamond" w:hAnsi="Garamond"/>
          <w:szCs w:val="22"/>
        </w:rPr>
      </w:pPr>
      <w:r w:rsidRPr="004A0C12">
        <w:rPr>
          <w:rFonts w:ascii="Garamond" w:hAnsi="Garamond"/>
          <w:szCs w:val="22"/>
        </w:rPr>
        <w:t>The WIOA P</w:t>
      </w:r>
      <w:r w:rsidR="00A816E3" w:rsidRPr="004A0C12">
        <w:rPr>
          <w:rFonts w:ascii="Garamond" w:hAnsi="Garamond"/>
          <w:szCs w:val="22"/>
        </w:rPr>
        <w:t xml:space="preserve">artners are dedicated to the career pathways system as a way to further implement a systematic approach to sustainable employment solutions for Maryland's </w:t>
      </w:r>
      <w:r w:rsidRPr="004A0C12">
        <w:rPr>
          <w:rFonts w:ascii="Garamond" w:hAnsi="Garamond"/>
          <w:szCs w:val="22"/>
        </w:rPr>
        <w:t>jobseekers.  To that end, WIOA P</w:t>
      </w:r>
      <w:r w:rsidR="00A816E3" w:rsidRPr="004A0C12">
        <w:rPr>
          <w:rFonts w:ascii="Garamond" w:hAnsi="Garamond"/>
          <w:szCs w:val="22"/>
        </w:rPr>
        <w:t>artners pledge to provide resources to establish a robust career pathways system in Maryland. Local workforce partners must address in their local plans how they intend to implement a career pathways model to address their local workforce training needs.</w:t>
      </w:r>
    </w:p>
    <w:p w14:paraId="042EBC73" w14:textId="77777777" w:rsidR="00A816E3" w:rsidRPr="004A0C12" w:rsidRDefault="00A816E3" w:rsidP="00A816E3">
      <w:pPr>
        <w:pStyle w:val="ListParagraph"/>
        <w:ind w:left="0"/>
        <w:rPr>
          <w:rFonts w:ascii="Garamond" w:hAnsi="Garamond"/>
          <w:szCs w:val="22"/>
        </w:rPr>
      </w:pPr>
    </w:p>
    <w:p w14:paraId="17CC27FC" w14:textId="77777777" w:rsidR="00094A78" w:rsidRPr="004A0C12" w:rsidRDefault="00A816E3" w:rsidP="00A816E3">
      <w:pPr>
        <w:pStyle w:val="ListParagraph"/>
        <w:ind w:left="0"/>
        <w:jc w:val="both"/>
        <w:rPr>
          <w:rFonts w:ascii="Garamond" w:hAnsi="Garamond"/>
          <w:szCs w:val="22"/>
        </w:rPr>
      </w:pPr>
      <w:r w:rsidRPr="004A0C12">
        <w:rPr>
          <w:rFonts w:ascii="Garamond" w:hAnsi="Garamond"/>
          <w:szCs w:val="22"/>
        </w:rPr>
        <w:t xml:space="preserve">Recently, DLLR convened a Youth Apprenticeship Advisory Committee, a group of business, labor, CTE experts, and other stakeholders, to explore the expansion of youth apprenticeships in Maryland pursuant to Chapter 646 of the Acts of 2014, as codified in Section 11-409 of the Labor and Employment Article of the Maryland Annotated Code. The Committee issued a report to serve as a blueprint for the Maryland’s youth apprenticeship system in an effort to engage a new generation of workers and employers in Maryland. </w:t>
      </w:r>
    </w:p>
    <w:p w14:paraId="7A92D851" w14:textId="77777777" w:rsidR="00094A78" w:rsidRPr="004A0C12" w:rsidRDefault="00094A78" w:rsidP="00A816E3">
      <w:pPr>
        <w:pStyle w:val="ListParagraph"/>
        <w:ind w:left="0"/>
        <w:jc w:val="both"/>
        <w:rPr>
          <w:rFonts w:ascii="Garamond" w:hAnsi="Garamond"/>
          <w:szCs w:val="22"/>
        </w:rPr>
      </w:pPr>
    </w:p>
    <w:p w14:paraId="798D6BA7" w14:textId="02CD11E8" w:rsidR="00094A78" w:rsidRPr="004A0C12" w:rsidRDefault="00A816E3" w:rsidP="00A816E3">
      <w:pPr>
        <w:pStyle w:val="ListParagraph"/>
        <w:ind w:left="0"/>
        <w:jc w:val="both"/>
        <w:rPr>
          <w:rFonts w:ascii="Garamond" w:hAnsi="Garamond"/>
          <w:szCs w:val="22"/>
        </w:rPr>
      </w:pPr>
      <w:r w:rsidRPr="004A0C12">
        <w:rPr>
          <w:rFonts w:ascii="Garamond" w:hAnsi="Garamond"/>
          <w:szCs w:val="22"/>
        </w:rPr>
        <w:t xml:space="preserve">The Committee is charged </w:t>
      </w:r>
      <w:r w:rsidR="00825DE7" w:rsidRPr="004A0C12">
        <w:rPr>
          <w:rFonts w:ascii="Garamond" w:hAnsi="Garamond"/>
          <w:szCs w:val="22"/>
        </w:rPr>
        <w:t>with evaluating</w:t>
      </w:r>
      <w:r w:rsidRPr="004A0C12">
        <w:rPr>
          <w:rFonts w:ascii="Garamond" w:hAnsi="Garamond"/>
          <w:szCs w:val="22"/>
        </w:rPr>
        <w:t xml:space="preserve"> the effectiveness of existing high school youth apprenticeship programs in other states and other countries. The Committee is further tasked with reviewing and identifying ways to implement high school youth </w:t>
      </w:r>
      <w:r w:rsidRPr="004A0C12">
        <w:rPr>
          <w:rFonts w:ascii="Garamond" w:hAnsi="Garamond"/>
          <w:szCs w:val="22"/>
        </w:rPr>
        <w:lastRenderedPageBreak/>
        <w:t>apprenticeship programs in the State. The Committee must also review and identify means through which employers and organizations can obtain tax credits, grants, and other subsidies to support</w:t>
      </w:r>
      <w:r w:rsidR="00094A78" w:rsidRPr="004A0C12">
        <w:rPr>
          <w:rFonts w:ascii="Garamond" w:hAnsi="Garamond"/>
          <w:szCs w:val="22"/>
        </w:rPr>
        <w:t xml:space="preserve"> the</w:t>
      </w:r>
      <w:r w:rsidRPr="004A0C12">
        <w:rPr>
          <w:rFonts w:ascii="Garamond" w:hAnsi="Garamond"/>
          <w:szCs w:val="22"/>
        </w:rPr>
        <w:t xml:space="preserve"> establishment and operation of high school youth apprenticeship programs, and set targets for the number of apprenticeship opportunities for youth that the State should reach over the next three years. </w:t>
      </w:r>
    </w:p>
    <w:p w14:paraId="46809513" w14:textId="77777777" w:rsidR="00094A78" w:rsidRPr="004A0C12" w:rsidRDefault="00094A78" w:rsidP="00A816E3">
      <w:pPr>
        <w:pStyle w:val="ListParagraph"/>
        <w:ind w:left="0"/>
        <w:jc w:val="both"/>
        <w:rPr>
          <w:rFonts w:ascii="Garamond" w:hAnsi="Garamond"/>
          <w:szCs w:val="22"/>
        </w:rPr>
      </w:pPr>
    </w:p>
    <w:p w14:paraId="10002DEB" w14:textId="1CBEDA2C" w:rsidR="00A816E3" w:rsidRPr="004A0C12" w:rsidRDefault="00094A78" w:rsidP="00A816E3">
      <w:pPr>
        <w:pStyle w:val="ListParagraph"/>
        <w:ind w:left="0"/>
        <w:jc w:val="both"/>
        <w:rPr>
          <w:rFonts w:ascii="Garamond" w:hAnsi="Garamond"/>
          <w:szCs w:val="22"/>
        </w:rPr>
      </w:pPr>
      <w:r w:rsidRPr="004A0C12">
        <w:rPr>
          <w:rFonts w:ascii="Garamond" w:hAnsi="Garamond"/>
          <w:szCs w:val="22"/>
        </w:rPr>
        <w:t>As has been</w:t>
      </w:r>
      <w:r w:rsidR="00A816E3" w:rsidRPr="004A0C12">
        <w:rPr>
          <w:rFonts w:ascii="Garamond" w:hAnsi="Garamond"/>
          <w:szCs w:val="22"/>
        </w:rPr>
        <w:t xml:space="preserve"> learned with the more traditional trade-focused Registered Apprenticeship programs, apprenticeships are a win-win for the business and the apprentice alike. Studies show that apprenticeships can and do reduce turnover costs, increase job satisfaction and increase productivity. Apprenticeships offer employees the opportunity to earn while they learn and reduce sky-rocketing costs associated with education and training necessary to compete effectively i</w:t>
      </w:r>
      <w:r w:rsidRPr="004A0C12">
        <w:rPr>
          <w:rFonts w:ascii="Garamond" w:hAnsi="Garamond"/>
          <w:szCs w:val="22"/>
        </w:rPr>
        <w:t>n the workforce. Also,</w:t>
      </w:r>
      <w:r w:rsidR="00A816E3" w:rsidRPr="004A0C12">
        <w:rPr>
          <w:rFonts w:ascii="Garamond" w:hAnsi="Garamond"/>
          <w:szCs w:val="22"/>
        </w:rPr>
        <w:t xml:space="preserve"> a team from </w:t>
      </w:r>
      <w:r w:rsidR="00825DE7" w:rsidRPr="004A0C12">
        <w:rPr>
          <w:rFonts w:ascii="Garamond" w:hAnsi="Garamond"/>
          <w:szCs w:val="22"/>
        </w:rPr>
        <w:t>MSDE</w:t>
      </w:r>
      <w:r w:rsidRPr="004A0C12">
        <w:rPr>
          <w:rFonts w:ascii="Garamond" w:hAnsi="Garamond"/>
          <w:szCs w:val="22"/>
        </w:rPr>
        <w:t>, Commerce, and</w:t>
      </w:r>
      <w:r w:rsidR="00825DE7" w:rsidRPr="004A0C12">
        <w:rPr>
          <w:rFonts w:ascii="Garamond" w:hAnsi="Garamond"/>
          <w:szCs w:val="22"/>
        </w:rPr>
        <w:t xml:space="preserve"> DLLR</w:t>
      </w:r>
      <w:r w:rsidR="00A816E3" w:rsidRPr="004A0C12">
        <w:rPr>
          <w:rFonts w:ascii="Garamond" w:hAnsi="Garamond"/>
          <w:szCs w:val="22"/>
        </w:rPr>
        <w:t xml:space="preserve"> identi</w:t>
      </w:r>
      <w:r w:rsidRPr="004A0C12">
        <w:rPr>
          <w:rFonts w:ascii="Garamond" w:hAnsi="Garamond"/>
          <w:szCs w:val="22"/>
        </w:rPr>
        <w:t>fied two school jurisdictions—F</w:t>
      </w:r>
      <w:r w:rsidR="00A816E3" w:rsidRPr="004A0C12">
        <w:rPr>
          <w:rFonts w:ascii="Garamond" w:hAnsi="Garamond"/>
          <w:szCs w:val="22"/>
        </w:rPr>
        <w:t xml:space="preserve">rederick and Washington Counties—where youth apprenticeship programs will be piloted beginning in September 2016 with high school juniors and seniors in STEM and manufacturing careers. Legislation creating the pilot was approved by the Maryland General Assembly in 2015 as part of the State’s Economic Development and Business Climate Commission. Over the course of the next few years, DLLR hopes to build on best practices identified by this pilot to potentially expand this earn-and-learn model. </w:t>
      </w:r>
    </w:p>
    <w:p w14:paraId="71EE554D" w14:textId="77777777" w:rsidR="00A816E3" w:rsidRPr="004A0C12" w:rsidRDefault="00A816E3" w:rsidP="00A816E3">
      <w:pPr>
        <w:pStyle w:val="ListParagraph"/>
        <w:ind w:left="0"/>
        <w:jc w:val="both"/>
        <w:rPr>
          <w:rFonts w:ascii="Garamond" w:hAnsi="Garamond"/>
          <w:szCs w:val="22"/>
        </w:rPr>
      </w:pPr>
    </w:p>
    <w:p w14:paraId="5F4B6F5F" w14:textId="4CF7631D" w:rsidR="00A816E3" w:rsidRPr="004A0C12" w:rsidRDefault="00A816E3" w:rsidP="00A816E3">
      <w:pPr>
        <w:pStyle w:val="ListParagraph"/>
        <w:ind w:left="0"/>
        <w:jc w:val="both"/>
        <w:rPr>
          <w:rFonts w:ascii="Garamond" w:hAnsi="Garamond"/>
          <w:b/>
          <w:szCs w:val="22"/>
        </w:rPr>
      </w:pPr>
      <w:r w:rsidRPr="004A0C12">
        <w:rPr>
          <w:rFonts w:ascii="Garamond" w:hAnsi="Garamond"/>
          <w:szCs w:val="22"/>
        </w:rPr>
        <w:t xml:space="preserve">Maryland is dedicated to expanding Integrated Education and Training programming (training models that combine classroom instruction with meaningful workforce experiences), and specifically utilizing this model for </w:t>
      </w:r>
      <w:r w:rsidR="00825DE7" w:rsidRPr="004A0C12">
        <w:rPr>
          <w:rFonts w:ascii="Garamond" w:hAnsi="Garamond"/>
          <w:szCs w:val="22"/>
        </w:rPr>
        <w:t xml:space="preserve">the further development of </w:t>
      </w:r>
      <w:r w:rsidRPr="004A0C12">
        <w:rPr>
          <w:rFonts w:ascii="Garamond" w:hAnsi="Garamond"/>
          <w:szCs w:val="22"/>
        </w:rPr>
        <w:t>apprenticeship and career pathways</w:t>
      </w:r>
      <w:r w:rsidR="00825DE7" w:rsidRPr="004A0C12">
        <w:rPr>
          <w:rFonts w:ascii="Garamond" w:hAnsi="Garamond"/>
          <w:szCs w:val="22"/>
        </w:rPr>
        <w:t xml:space="preserve"> opportunities</w:t>
      </w:r>
      <w:r w:rsidRPr="004A0C12">
        <w:rPr>
          <w:rFonts w:ascii="Garamond" w:hAnsi="Garamond"/>
          <w:szCs w:val="22"/>
        </w:rPr>
        <w:t>. These are primary tenets of our State’s strategic vision and, as such, our investments will open opportunities for Marylanders to access portable, stackable post</w:t>
      </w:r>
      <w:r w:rsidR="00825DE7" w:rsidRPr="004A0C12">
        <w:rPr>
          <w:rFonts w:ascii="Garamond" w:hAnsi="Garamond"/>
          <w:szCs w:val="22"/>
        </w:rPr>
        <w:t>-</w:t>
      </w:r>
      <w:r w:rsidRPr="004A0C12">
        <w:rPr>
          <w:rFonts w:ascii="Garamond" w:hAnsi="Garamond"/>
          <w:szCs w:val="22"/>
        </w:rPr>
        <w:t xml:space="preserve">secondary credentials that are recognized across industry and education. </w:t>
      </w:r>
    </w:p>
    <w:p w14:paraId="6BFC67DA" w14:textId="77777777" w:rsidR="00A816E3" w:rsidRPr="00B25499" w:rsidRDefault="00A816E3" w:rsidP="00A816E3">
      <w:pPr>
        <w:pStyle w:val="Heading2"/>
        <w:rPr>
          <w:rFonts w:ascii="Garamond" w:hAnsi="Garamond"/>
          <w:sz w:val="24"/>
          <w:szCs w:val="24"/>
        </w:rPr>
      </w:pPr>
      <w:bookmarkStart w:id="71" w:name="_Toc447276115"/>
      <w:r w:rsidRPr="00B25499">
        <w:rPr>
          <w:rFonts w:ascii="Garamond" w:hAnsi="Garamond"/>
          <w:sz w:val="24"/>
          <w:szCs w:val="24"/>
        </w:rPr>
        <w:t>Coordinating with Commerce</w:t>
      </w:r>
      <w:bookmarkEnd w:id="71"/>
    </w:p>
    <w:p w14:paraId="4D28F5F4" w14:textId="0B760670" w:rsidR="00A816E3" w:rsidRPr="004A0C12" w:rsidRDefault="00A816E3" w:rsidP="00A816E3">
      <w:pPr>
        <w:pStyle w:val="ListParagraph"/>
        <w:ind w:left="0"/>
        <w:jc w:val="both"/>
        <w:rPr>
          <w:rFonts w:ascii="Garamond" w:hAnsi="Garamond"/>
          <w:szCs w:val="22"/>
        </w:rPr>
      </w:pPr>
      <w:r w:rsidRPr="004A0C12">
        <w:rPr>
          <w:rFonts w:ascii="Garamond" w:hAnsi="Garamond"/>
          <w:szCs w:val="22"/>
        </w:rPr>
        <w:t>Recognizing that greater collaboration between agencies may require the use of common platforms, data col</w:t>
      </w:r>
      <w:r w:rsidR="00825DE7" w:rsidRPr="004A0C12">
        <w:rPr>
          <w:rFonts w:ascii="Garamond" w:hAnsi="Garamond"/>
          <w:szCs w:val="22"/>
        </w:rPr>
        <w:t xml:space="preserve">lection and information </w:t>
      </w:r>
      <w:proofErr w:type="gramStart"/>
      <w:r w:rsidR="00825DE7" w:rsidRPr="004A0C12">
        <w:rPr>
          <w:rFonts w:ascii="Garamond" w:hAnsi="Garamond"/>
          <w:szCs w:val="22"/>
        </w:rPr>
        <w:t>sharing,</w:t>
      </w:r>
      <w:proofErr w:type="gramEnd"/>
      <w:r w:rsidRPr="004A0C12">
        <w:rPr>
          <w:rFonts w:ascii="Garamond" w:hAnsi="Garamond"/>
          <w:szCs w:val="22"/>
        </w:rPr>
        <w:t xml:space="preserve"> Maryland is committed to exploring technologies that link our business services teams in a more coordinated way. In order to provide relevant information to Maryland’s businesses, Business Services Team members from various state a</w:t>
      </w:r>
      <w:r w:rsidR="00825DE7" w:rsidRPr="004A0C12">
        <w:rPr>
          <w:rFonts w:ascii="Garamond" w:hAnsi="Garamond"/>
          <w:szCs w:val="22"/>
        </w:rPr>
        <w:t>gencies must be cross-trained in</w:t>
      </w:r>
      <w:r w:rsidRPr="004A0C12">
        <w:rPr>
          <w:rFonts w:ascii="Garamond" w:hAnsi="Garamond"/>
          <w:szCs w:val="22"/>
        </w:rPr>
        <w:t xml:space="preserve"> a functional knowledge of business services offered by other state agencies and actively facilitate warm referrals to partners. Maryland’s Business Services members will attend quarterly training on business retention, growth and layoff aversion strategies, as well as econom</w:t>
      </w:r>
      <w:r w:rsidR="00825DE7" w:rsidRPr="004A0C12">
        <w:rPr>
          <w:rFonts w:ascii="Garamond" w:hAnsi="Garamond"/>
          <w:szCs w:val="22"/>
        </w:rPr>
        <w:t>ic and industry indicators</w:t>
      </w:r>
      <w:r w:rsidR="00094A78" w:rsidRPr="004A0C12">
        <w:rPr>
          <w:rFonts w:ascii="Garamond" w:hAnsi="Garamond"/>
          <w:szCs w:val="22"/>
        </w:rPr>
        <w:t xml:space="preserve"> and labor market i</w:t>
      </w:r>
      <w:r w:rsidRPr="004A0C12">
        <w:rPr>
          <w:rFonts w:ascii="Garamond" w:hAnsi="Garamond"/>
          <w:szCs w:val="22"/>
        </w:rPr>
        <w:t xml:space="preserve">nformation. Additionally, representatives from DLLR and Commerce will continue discussions to </w:t>
      </w:r>
      <w:r w:rsidR="00825DE7" w:rsidRPr="004A0C12">
        <w:rPr>
          <w:rFonts w:ascii="Garamond" w:hAnsi="Garamond"/>
          <w:szCs w:val="22"/>
        </w:rPr>
        <w:t>allow for</w:t>
      </w:r>
      <w:r w:rsidRPr="004A0C12">
        <w:rPr>
          <w:rFonts w:ascii="Garamond" w:hAnsi="Garamond"/>
          <w:szCs w:val="22"/>
        </w:rPr>
        <w:t xml:space="preserve"> greater coordination of services, including but not limited to access to Commerce’s current business services platform.</w:t>
      </w:r>
    </w:p>
    <w:p w14:paraId="377070E0" w14:textId="77777777" w:rsidR="00A816E3" w:rsidRPr="004A0C12" w:rsidRDefault="00A816E3" w:rsidP="00A816E3">
      <w:pPr>
        <w:pStyle w:val="ListParagraph"/>
        <w:jc w:val="both"/>
        <w:rPr>
          <w:rFonts w:ascii="Garamond" w:hAnsi="Garamond"/>
          <w:szCs w:val="22"/>
        </w:rPr>
      </w:pPr>
    </w:p>
    <w:p w14:paraId="072EFBAE" w14:textId="0B8B1E10" w:rsidR="00A816E3" w:rsidRPr="004A0C12" w:rsidRDefault="00A816E3" w:rsidP="00A816E3">
      <w:pPr>
        <w:pStyle w:val="ListParagraph"/>
        <w:ind w:left="0"/>
        <w:jc w:val="both"/>
        <w:rPr>
          <w:rFonts w:ascii="Garamond" w:hAnsi="Garamond"/>
          <w:szCs w:val="22"/>
        </w:rPr>
      </w:pPr>
      <w:r w:rsidRPr="004A0C12">
        <w:rPr>
          <w:rFonts w:ascii="Garamond" w:hAnsi="Garamond"/>
          <w:szCs w:val="22"/>
        </w:rPr>
        <w:t>Furthermore, joint investment in incumbent worker training programs support employer strategies for upgrading the skills of currently employed workers. Incumbent worker training programs invest not only in the employee who obtains transferable skills and industry-recognized credentials, but also supports the competitiveness of Maryland’s businesses by ensuring that their incumbent employees can effectively adapt to meet continually advancing technologies.</w:t>
      </w:r>
      <w:r w:rsidR="00825DE7" w:rsidRPr="004A0C12">
        <w:rPr>
          <w:rFonts w:ascii="Garamond" w:hAnsi="Garamond"/>
          <w:szCs w:val="22"/>
        </w:rPr>
        <w:t xml:space="preserve"> Additionally, t</w:t>
      </w:r>
      <w:r w:rsidRPr="004A0C12">
        <w:rPr>
          <w:rFonts w:ascii="Garamond" w:hAnsi="Garamond"/>
          <w:szCs w:val="22"/>
        </w:rPr>
        <w:t xml:space="preserve">hese programs typically support business retention and expansion efforts. They do so not by developing basic skill levels in occupations with growing demand, a primary focus of Maryland’s EARN program, but by supporting company efforts to update skills for new processes and equipment. Both DLLR and Commerce have previously invested in matching grant programs directed to businesses. These investments in Maryland’s businesses provided customized training solutions for individual companies with unique or proprietary technical skill requirements.   </w:t>
      </w:r>
    </w:p>
    <w:p w14:paraId="3079FDA1" w14:textId="77777777" w:rsidR="00A816E3" w:rsidRPr="004A0C12" w:rsidRDefault="00A816E3" w:rsidP="00A816E3">
      <w:pPr>
        <w:pStyle w:val="ListParagraph"/>
        <w:jc w:val="both"/>
        <w:rPr>
          <w:rFonts w:ascii="Garamond" w:hAnsi="Garamond"/>
          <w:szCs w:val="22"/>
        </w:rPr>
      </w:pPr>
    </w:p>
    <w:p w14:paraId="5303E4E6" w14:textId="77777777" w:rsidR="00A816E3" w:rsidRPr="004A0C12" w:rsidRDefault="00A816E3" w:rsidP="00A816E3">
      <w:pPr>
        <w:pStyle w:val="ListParagraph"/>
        <w:ind w:left="0"/>
        <w:jc w:val="both"/>
        <w:rPr>
          <w:rFonts w:ascii="Garamond" w:hAnsi="Garamond"/>
          <w:szCs w:val="22"/>
        </w:rPr>
      </w:pPr>
      <w:r w:rsidRPr="004A0C12">
        <w:rPr>
          <w:rFonts w:ascii="Garamond" w:hAnsi="Garamond"/>
          <w:szCs w:val="22"/>
        </w:rPr>
        <w:t>Under WIOA, incumbent worker training can be used to help avert potential layoffs of employees, or to increase the skill levels of employees.  DLLR and Commerce will collaboratively find ways to renew efforts to increase incumbent worker training funds, and will jointly market the availability of these training funds to ensure Maryland’s businesses are competitive and their employees are well-trained to compete in a global marketplace.</w:t>
      </w:r>
    </w:p>
    <w:p w14:paraId="57713C78" w14:textId="77777777" w:rsidR="00A816E3" w:rsidRPr="00B25499" w:rsidRDefault="00A816E3" w:rsidP="00A816E3">
      <w:pPr>
        <w:pStyle w:val="Heading2"/>
        <w:rPr>
          <w:rFonts w:ascii="Garamond" w:hAnsi="Garamond"/>
          <w:sz w:val="28"/>
          <w:szCs w:val="28"/>
        </w:rPr>
      </w:pPr>
      <w:bookmarkStart w:id="72" w:name="_Toc447276116"/>
      <w:r w:rsidRPr="00B25499">
        <w:rPr>
          <w:rFonts w:ascii="Garamond" w:hAnsi="Garamond"/>
          <w:sz w:val="28"/>
          <w:szCs w:val="28"/>
        </w:rPr>
        <w:t>MARYLAND OPERATING SYSTEMS &amp; POLICIES</w:t>
      </w:r>
      <w:bookmarkEnd w:id="72"/>
      <w:r w:rsidRPr="00B25499">
        <w:rPr>
          <w:rFonts w:ascii="Garamond" w:hAnsi="Garamond"/>
          <w:sz w:val="28"/>
          <w:szCs w:val="28"/>
        </w:rPr>
        <w:t xml:space="preserve"> </w:t>
      </w:r>
    </w:p>
    <w:p w14:paraId="2E29BD88" w14:textId="77777777" w:rsidR="00A816E3" w:rsidRPr="00B25499" w:rsidRDefault="00A816E3" w:rsidP="00A816E3">
      <w:pPr>
        <w:pStyle w:val="Heading3"/>
        <w:rPr>
          <w:rFonts w:ascii="Garamond" w:hAnsi="Garamond"/>
          <w:sz w:val="24"/>
          <w:szCs w:val="24"/>
        </w:rPr>
      </w:pPr>
      <w:bookmarkStart w:id="73" w:name="_Toc447276117"/>
      <w:r w:rsidRPr="00B25499">
        <w:rPr>
          <w:rFonts w:ascii="Garamond" w:hAnsi="Garamond"/>
          <w:sz w:val="24"/>
          <w:szCs w:val="24"/>
        </w:rPr>
        <w:t>Maryland’s Virtual One-Stop</w:t>
      </w:r>
      <w:bookmarkEnd w:id="73"/>
    </w:p>
    <w:p w14:paraId="1258E081" w14:textId="4A3B5829" w:rsidR="00A816E3" w:rsidRPr="004A0C12" w:rsidRDefault="00A816E3" w:rsidP="00825DE7">
      <w:pPr>
        <w:shd w:val="clear" w:color="auto" w:fill="FFFFFF"/>
        <w:spacing w:after="0" w:line="240" w:lineRule="auto"/>
        <w:jc w:val="both"/>
        <w:rPr>
          <w:rFonts w:ascii="Garamond" w:hAnsi="Garamond"/>
        </w:rPr>
      </w:pPr>
      <w:r w:rsidRPr="004A0C12">
        <w:rPr>
          <w:rFonts w:ascii="Garamond" w:hAnsi="Garamond"/>
        </w:rPr>
        <w:t>The Maryland Workforce Exchange (MWE) is the State’s online operating system that is the foundation, support, and common link alig</w:t>
      </w:r>
      <w:r w:rsidR="00825DE7" w:rsidRPr="004A0C12">
        <w:rPr>
          <w:rFonts w:ascii="Garamond" w:hAnsi="Garamond"/>
        </w:rPr>
        <w:t>ning Maryland’s workforce s</w:t>
      </w:r>
      <w:r w:rsidRPr="004A0C12">
        <w:rPr>
          <w:rFonts w:ascii="Garamond" w:hAnsi="Garamond"/>
        </w:rPr>
        <w:t xml:space="preserve">ystem to include labor market information, data systems, and communications systems. With </w:t>
      </w:r>
      <w:r w:rsidRPr="004A0C12">
        <w:rPr>
          <w:rFonts w:ascii="Garamond" w:hAnsi="Garamond"/>
        </w:rPr>
        <w:lastRenderedPageBreak/>
        <w:t>funding from various grants, the MWE has improved the St</w:t>
      </w:r>
      <w:r w:rsidR="00BB5F3C" w:rsidRPr="004A0C12">
        <w:rPr>
          <w:rFonts w:ascii="Garamond" w:hAnsi="Garamond"/>
        </w:rPr>
        <w:t>ate’s ability to serve both job</w:t>
      </w:r>
      <w:r w:rsidRPr="004A0C12">
        <w:rPr>
          <w:rFonts w:ascii="Garamond" w:hAnsi="Garamond"/>
        </w:rPr>
        <w:t xml:space="preserve">seekers and businesses through an innovative, technology-based approach that provides comprehensive workforce services and online applications for a variety of integrated programs. These programs include the </w:t>
      </w:r>
      <w:r w:rsidR="00825DE7" w:rsidRPr="004A0C12">
        <w:rPr>
          <w:rFonts w:ascii="Garamond" w:hAnsi="Garamond"/>
        </w:rPr>
        <w:t xml:space="preserve">state’s key workforce programs – </w:t>
      </w:r>
      <w:r w:rsidRPr="004A0C12">
        <w:rPr>
          <w:rFonts w:ascii="Garamond" w:hAnsi="Garamond"/>
        </w:rPr>
        <w:t xml:space="preserve">Wagner-Peyser, the WIOA Adult, Dislocated Worker and Youth Programs, Trade Adjustment Assistance Act, the Jobs for Veterans State Grant Program, national dislocated worker grant programs, and more. </w:t>
      </w:r>
    </w:p>
    <w:p w14:paraId="76A95D06" w14:textId="77777777" w:rsidR="00A816E3" w:rsidRPr="004A0C12" w:rsidRDefault="00A816E3" w:rsidP="00A816E3">
      <w:pPr>
        <w:shd w:val="clear" w:color="auto" w:fill="FFFFFF"/>
        <w:spacing w:after="0" w:line="240" w:lineRule="auto"/>
        <w:jc w:val="both"/>
        <w:rPr>
          <w:rFonts w:ascii="Garamond" w:hAnsi="Garamond"/>
        </w:rPr>
      </w:pPr>
    </w:p>
    <w:p w14:paraId="5A6296CE" w14:textId="77777777" w:rsidR="00A816E3" w:rsidRPr="004A0C12" w:rsidRDefault="00A816E3" w:rsidP="00A816E3">
      <w:pPr>
        <w:shd w:val="clear" w:color="auto" w:fill="FFFFFF"/>
        <w:spacing w:after="0" w:line="240" w:lineRule="auto"/>
        <w:jc w:val="both"/>
        <w:rPr>
          <w:rFonts w:ascii="Garamond" w:hAnsi="Garamond"/>
        </w:rPr>
      </w:pPr>
      <w:r w:rsidRPr="004A0C12">
        <w:rPr>
          <w:rFonts w:ascii="Garamond" w:hAnsi="Garamond"/>
        </w:rPr>
        <w:t>Self-service resource rooms, available in each American Job Center, include computers with internet access and shortcuts to other web-based job search and recruitment tools, labor market information, and career exploration.</w:t>
      </w:r>
    </w:p>
    <w:p w14:paraId="13403EC5" w14:textId="77777777" w:rsidR="00A816E3" w:rsidRPr="004A0C12" w:rsidRDefault="00A816E3" w:rsidP="00A816E3">
      <w:pPr>
        <w:shd w:val="clear" w:color="auto" w:fill="FFFFFF"/>
        <w:spacing w:after="0" w:line="240" w:lineRule="auto"/>
        <w:jc w:val="both"/>
        <w:rPr>
          <w:rFonts w:ascii="Garamond" w:hAnsi="Garamond"/>
        </w:rPr>
      </w:pPr>
    </w:p>
    <w:p w14:paraId="22B4CE8E" w14:textId="7FADB893" w:rsidR="00A816E3" w:rsidRPr="004A0C12" w:rsidRDefault="00A816E3" w:rsidP="00A816E3">
      <w:pPr>
        <w:shd w:val="clear" w:color="auto" w:fill="FFFFFF"/>
        <w:spacing w:after="0" w:line="240" w:lineRule="auto"/>
        <w:jc w:val="both"/>
        <w:rPr>
          <w:rFonts w:ascii="Garamond" w:hAnsi="Garamond"/>
        </w:rPr>
      </w:pPr>
      <w:r w:rsidRPr="004A0C12">
        <w:rPr>
          <w:rFonts w:ascii="Garamond" w:hAnsi="Garamond"/>
        </w:rPr>
        <w:t xml:space="preserve">The </w:t>
      </w:r>
      <w:r w:rsidR="00825DE7" w:rsidRPr="004A0C12">
        <w:rPr>
          <w:rFonts w:ascii="Garamond" w:hAnsi="Garamond"/>
        </w:rPr>
        <w:t>MWE</w:t>
      </w:r>
      <w:r w:rsidRPr="004A0C12">
        <w:rPr>
          <w:rFonts w:ascii="Garamond" w:hAnsi="Garamond"/>
        </w:rPr>
        <w:t xml:space="preserve"> provides the opportunity for increased data integration services and case management. Businesses and employers have access to the portal as a customer service tool to search for qualified candidates, job description tools, </w:t>
      </w:r>
      <w:r w:rsidR="00825DE7" w:rsidRPr="004A0C12">
        <w:rPr>
          <w:rFonts w:ascii="Garamond" w:hAnsi="Garamond"/>
        </w:rPr>
        <w:t>understand LMI and salary data, and learn about employment opportunities</w:t>
      </w:r>
      <w:r w:rsidRPr="004A0C12">
        <w:rPr>
          <w:rFonts w:ascii="Garamond" w:hAnsi="Garamond"/>
        </w:rPr>
        <w:t>. </w:t>
      </w:r>
    </w:p>
    <w:p w14:paraId="0D64DFE7" w14:textId="77777777" w:rsidR="00A816E3" w:rsidRPr="004A0C12" w:rsidRDefault="00A816E3" w:rsidP="00A816E3">
      <w:pPr>
        <w:shd w:val="clear" w:color="auto" w:fill="FFFFFF"/>
        <w:spacing w:after="0" w:line="240" w:lineRule="auto"/>
        <w:jc w:val="both"/>
        <w:rPr>
          <w:rFonts w:ascii="Garamond" w:hAnsi="Garamond"/>
          <w:color w:val="191919"/>
        </w:rPr>
      </w:pPr>
    </w:p>
    <w:p w14:paraId="71EE4AE0" w14:textId="7327C36A" w:rsidR="00A816E3" w:rsidRPr="004A0C12" w:rsidRDefault="00A816E3" w:rsidP="00A816E3">
      <w:pPr>
        <w:shd w:val="clear" w:color="auto" w:fill="FFFFFF"/>
        <w:spacing w:after="0" w:line="240" w:lineRule="auto"/>
        <w:jc w:val="both"/>
        <w:rPr>
          <w:rFonts w:ascii="Garamond" w:hAnsi="Garamond"/>
        </w:rPr>
      </w:pPr>
      <w:r w:rsidRPr="004A0C12">
        <w:rPr>
          <w:rFonts w:ascii="Garamond" w:hAnsi="Garamond"/>
        </w:rPr>
        <w:t xml:space="preserve">Based upon feedback from the local workforce areas and businesses, the MWE will continue to provide convenient access to a variety of services through technology. This eliminates the necessity for both the jobseeker and business to enter a brick-and-mortar location, </w:t>
      </w:r>
      <w:r w:rsidR="00094A78" w:rsidRPr="004A0C12">
        <w:rPr>
          <w:rFonts w:ascii="Garamond" w:hAnsi="Garamond"/>
        </w:rPr>
        <w:t xml:space="preserve">and </w:t>
      </w:r>
      <w:r w:rsidRPr="004A0C12">
        <w:rPr>
          <w:rFonts w:ascii="Garamond" w:hAnsi="Garamond"/>
        </w:rPr>
        <w:t>saves travel expense and time. The MWE is consistently updated with the changin</w:t>
      </w:r>
      <w:r w:rsidR="00825DE7" w:rsidRPr="004A0C12">
        <w:rPr>
          <w:rFonts w:ascii="Garamond" w:hAnsi="Garamond"/>
        </w:rPr>
        <w:t>g and growing needs of both job</w:t>
      </w:r>
      <w:r w:rsidRPr="004A0C12">
        <w:rPr>
          <w:rFonts w:ascii="Garamond" w:hAnsi="Garamond"/>
        </w:rPr>
        <w:t>seeker and business customers. In 2016, the MWE will be enhanced with the following modules:</w:t>
      </w:r>
    </w:p>
    <w:p w14:paraId="5DBB68C9" w14:textId="77777777" w:rsidR="00A816E3" w:rsidRPr="004A0C12" w:rsidRDefault="00A816E3" w:rsidP="00A816E3">
      <w:pPr>
        <w:shd w:val="clear" w:color="auto" w:fill="FFFFFF"/>
        <w:spacing w:after="0" w:line="240" w:lineRule="auto"/>
        <w:jc w:val="both"/>
        <w:rPr>
          <w:rFonts w:ascii="Garamond" w:hAnsi="Garamond"/>
        </w:rPr>
      </w:pPr>
    </w:p>
    <w:p w14:paraId="79AFD922" w14:textId="77777777" w:rsidR="00A816E3" w:rsidRPr="004A0C12" w:rsidRDefault="00A816E3" w:rsidP="00F733CF">
      <w:pPr>
        <w:numPr>
          <w:ilvl w:val="0"/>
          <w:numId w:val="40"/>
        </w:numPr>
        <w:shd w:val="clear" w:color="auto" w:fill="FFFFFF"/>
        <w:tabs>
          <w:tab w:val="clear" w:pos="360"/>
          <w:tab w:val="num" w:pos="720"/>
        </w:tabs>
        <w:spacing w:after="0" w:line="240" w:lineRule="auto"/>
        <w:ind w:left="720" w:hanging="360"/>
        <w:jc w:val="both"/>
        <w:rPr>
          <w:rFonts w:ascii="Garamond" w:hAnsi="Garamond"/>
          <w:color w:val="191919"/>
        </w:rPr>
      </w:pPr>
      <w:r w:rsidRPr="004A0C12">
        <w:rPr>
          <w:rFonts w:ascii="Garamond" w:hAnsi="Garamond"/>
          <w:b/>
        </w:rPr>
        <w:t>Mobile application</w:t>
      </w:r>
      <w:r w:rsidRPr="004A0C12">
        <w:rPr>
          <w:rFonts w:ascii="Garamond" w:hAnsi="Garamond"/>
        </w:rPr>
        <w:t xml:space="preserve"> – to provide access to MWE from mobile phones and other wireless devices</w:t>
      </w:r>
    </w:p>
    <w:p w14:paraId="6A29DFB1" w14:textId="77777777" w:rsidR="00A816E3" w:rsidRPr="004A0C12" w:rsidRDefault="00A816E3" w:rsidP="00F733CF">
      <w:pPr>
        <w:numPr>
          <w:ilvl w:val="0"/>
          <w:numId w:val="40"/>
        </w:numPr>
        <w:shd w:val="clear" w:color="auto" w:fill="FFFFFF"/>
        <w:tabs>
          <w:tab w:val="clear" w:pos="360"/>
          <w:tab w:val="num" w:pos="720"/>
        </w:tabs>
        <w:spacing w:after="0" w:line="240" w:lineRule="auto"/>
        <w:ind w:left="720" w:hanging="360"/>
        <w:jc w:val="both"/>
        <w:rPr>
          <w:rFonts w:ascii="Garamond" w:hAnsi="Garamond"/>
          <w:color w:val="191919"/>
        </w:rPr>
      </w:pPr>
      <w:r w:rsidRPr="004A0C12">
        <w:rPr>
          <w:rFonts w:ascii="Garamond" w:hAnsi="Garamond"/>
          <w:b/>
        </w:rPr>
        <w:t>Resume Aggregation</w:t>
      </w:r>
      <w:r w:rsidRPr="004A0C12">
        <w:rPr>
          <w:rFonts w:ascii="Garamond" w:hAnsi="Garamond"/>
        </w:rPr>
        <w:t xml:space="preserve"> – to provide resumes collected from external websites nationally. This module will add over 360,000 high quality resumes</w:t>
      </w:r>
      <w:r w:rsidRPr="004A0C12">
        <w:rPr>
          <w:rFonts w:ascii="Garamond" w:hAnsi="Garamond"/>
          <w:color w:val="191919"/>
        </w:rPr>
        <w:t xml:space="preserve"> </w:t>
      </w:r>
      <w:r w:rsidRPr="004A0C12">
        <w:rPr>
          <w:rFonts w:ascii="Garamond" w:hAnsi="Garamond"/>
          <w:color w:val="191919"/>
          <w:shd w:val="clear" w:color="auto" w:fill="FFFFFF"/>
        </w:rPr>
        <w:t xml:space="preserve">to MWE to help meet business’ recruitment needs. </w:t>
      </w:r>
    </w:p>
    <w:p w14:paraId="63776A55" w14:textId="5C4FD859" w:rsidR="00A816E3" w:rsidRPr="004A0C12" w:rsidRDefault="00A816E3" w:rsidP="00F733CF">
      <w:pPr>
        <w:numPr>
          <w:ilvl w:val="0"/>
          <w:numId w:val="40"/>
        </w:numPr>
        <w:shd w:val="clear" w:color="auto" w:fill="FFFFFF"/>
        <w:tabs>
          <w:tab w:val="clear" w:pos="360"/>
          <w:tab w:val="num" w:pos="720"/>
        </w:tabs>
        <w:spacing w:after="0" w:line="240" w:lineRule="auto"/>
        <w:ind w:left="720" w:hanging="360"/>
        <w:jc w:val="both"/>
        <w:rPr>
          <w:rFonts w:ascii="Garamond" w:hAnsi="Garamond"/>
          <w:shd w:val="clear" w:color="auto" w:fill="FFFFFF"/>
        </w:rPr>
      </w:pPr>
      <w:r w:rsidRPr="004A0C12">
        <w:rPr>
          <w:rFonts w:ascii="Garamond" w:hAnsi="Garamond"/>
          <w:b/>
          <w:shd w:val="clear" w:color="auto" w:fill="FFFFFF"/>
        </w:rPr>
        <w:t>Worker Adjustment Retraining Notification (WARN) module</w:t>
      </w:r>
      <w:r w:rsidR="00094A78" w:rsidRPr="004A0C12">
        <w:rPr>
          <w:rFonts w:ascii="Garamond" w:hAnsi="Garamond"/>
          <w:shd w:val="clear" w:color="auto" w:fill="FFFFFF"/>
        </w:rPr>
        <w:t xml:space="preserve"> </w:t>
      </w:r>
      <w:r w:rsidRPr="004A0C12">
        <w:rPr>
          <w:rFonts w:ascii="Garamond" w:hAnsi="Garamond"/>
          <w:shd w:val="clear" w:color="auto" w:fill="FFFFFF"/>
        </w:rPr>
        <w:t>– to track company layoff and closure activity as defined by Federal and State regulations automatically alerting staff of a new WARN notifications.</w:t>
      </w:r>
    </w:p>
    <w:p w14:paraId="77372155" w14:textId="77777777" w:rsidR="00A816E3" w:rsidRPr="004A0C12" w:rsidRDefault="00A816E3" w:rsidP="00A816E3">
      <w:pPr>
        <w:shd w:val="clear" w:color="auto" w:fill="FFFFFF"/>
        <w:spacing w:after="0" w:line="240" w:lineRule="auto"/>
        <w:jc w:val="both"/>
        <w:rPr>
          <w:rFonts w:ascii="Garamond" w:hAnsi="Garamond"/>
        </w:rPr>
      </w:pPr>
    </w:p>
    <w:p w14:paraId="1906ADA5" w14:textId="6CC52872" w:rsidR="00A816E3" w:rsidRPr="004A0C12" w:rsidRDefault="00A816E3" w:rsidP="00A816E3">
      <w:pPr>
        <w:shd w:val="clear" w:color="auto" w:fill="FFFFFF"/>
        <w:spacing w:after="0" w:line="240" w:lineRule="auto"/>
        <w:jc w:val="both"/>
        <w:rPr>
          <w:rFonts w:ascii="Garamond" w:hAnsi="Garamond"/>
        </w:rPr>
      </w:pPr>
      <w:r w:rsidRPr="004A0C12">
        <w:rPr>
          <w:rFonts w:ascii="Garamond" w:hAnsi="Garamond"/>
        </w:rPr>
        <w:t>MWE enhancements allow the State to better meet the needs of Maryland’s jobseekers and business customers alike. The system allows us the ability to register and establish preliminary eligibility, obtain primary services, create customer profiles, post resumes, access training provider lists, and search thousands of emp</w:t>
      </w:r>
      <w:r w:rsidR="00825DE7" w:rsidRPr="004A0C12">
        <w:rPr>
          <w:rFonts w:ascii="Garamond" w:hAnsi="Garamond"/>
        </w:rPr>
        <w:t>loyment opportunities using key</w:t>
      </w:r>
      <w:r w:rsidRPr="004A0C12">
        <w:rPr>
          <w:rFonts w:ascii="Garamond" w:hAnsi="Garamond"/>
        </w:rPr>
        <w:t>word searches and filters. The system provides helpful resource tools and allows for ease of access to the portal from the office, home, school, library and various locations where inte</w:t>
      </w:r>
      <w:r w:rsidR="00094A78" w:rsidRPr="004A0C12">
        <w:rPr>
          <w:rFonts w:ascii="Garamond" w:hAnsi="Garamond"/>
        </w:rPr>
        <w:t>rnet access is available.  E</w:t>
      </w:r>
      <w:r w:rsidRPr="004A0C12">
        <w:rPr>
          <w:rFonts w:ascii="Garamond" w:hAnsi="Garamond"/>
        </w:rPr>
        <w:t xml:space="preserve">nhancements will also be made to raise business community awareness of MWE, and the applications will be developed to </w:t>
      </w:r>
      <w:r w:rsidR="00825DE7" w:rsidRPr="004A0C12">
        <w:rPr>
          <w:rFonts w:ascii="Garamond" w:hAnsi="Garamond"/>
        </w:rPr>
        <w:t>gain</w:t>
      </w:r>
      <w:r w:rsidRPr="004A0C12">
        <w:rPr>
          <w:rFonts w:ascii="Garamond" w:hAnsi="Garamond"/>
        </w:rPr>
        <w:t xml:space="preserve"> favorable reaction from business leaders. Development of applications should also take into account all accessibility requirements to ensure that MWE is accessible for all of Maryland’s jobseekers.   </w:t>
      </w:r>
    </w:p>
    <w:p w14:paraId="30405ED8" w14:textId="77777777" w:rsidR="00A816E3" w:rsidRPr="004A0C12" w:rsidRDefault="00A816E3" w:rsidP="00A816E3">
      <w:pPr>
        <w:shd w:val="clear" w:color="auto" w:fill="FFFFFF"/>
        <w:spacing w:after="0" w:line="240" w:lineRule="auto"/>
        <w:jc w:val="both"/>
        <w:rPr>
          <w:rFonts w:ascii="Garamond" w:hAnsi="Garamond"/>
        </w:rPr>
      </w:pPr>
    </w:p>
    <w:p w14:paraId="30835E62" w14:textId="5EA4E9AF" w:rsidR="00A816E3" w:rsidRPr="004A0C12" w:rsidRDefault="00A816E3" w:rsidP="00A816E3">
      <w:pPr>
        <w:shd w:val="clear" w:color="auto" w:fill="FFFFFF"/>
        <w:spacing w:after="0" w:line="240" w:lineRule="auto"/>
        <w:jc w:val="both"/>
        <w:rPr>
          <w:rFonts w:ascii="Garamond" w:hAnsi="Garamond"/>
          <w:shd w:val="clear" w:color="auto" w:fill="FFFFFF"/>
        </w:rPr>
      </w:pPr>
      <w:r w:rsidRPr="004A0C12">
        <w:rPr>
          <w:rFonts w:ascii="Garamond" w:hAnsi="Garamond"/>
        </w:rPr>
        <w:t xml:space="preserve">Under WIOA, there is an even greater emphasis on labor market information </w:t>
      </w:r>
      <w:r w:rsidR="00825DE7" w:rsidRPr="004A0C12">
        <w:rPr>
          <w:rFonts w:ascii="Garamond" w:hAnsi="Garamond"/>
        </w:rPr>
        <w:t xml:space="preserve">than </w:t>
      </w:r>
      <w:r w:rsidRPr="004A0C12">
        <w:rPr>
          <w:rFonts w:ascii="Garamond" w:hAnsi="Garamond"/>
        </w:rPr>
        <w:t>in the past.</w:t>
      </w:r>
      <w:r w:rsidR="00094A78" w:rsidRPr="004A0C12">
        <w:rPr>
          <w:rFonts w:ascii="Garamond" w:hAnsi="Garamond"/>
          <w:shd w:val="clear" w:color="auto" w:fill="FFFFFF"/>
        </w:rPr>
        <w:t xml:space="preserve"> DLLR’s Labor Market Information (LMI)</w:t>
      </w:r>
      <w:r w:rsidRPr="004A0C12">
        <w:rPr>
          <w:rFonts w:ascii="Garamond" w:hAnsi="Garamond"/>
          <w:shd w:val="clear" w:color="auto" w:fill="FFFFFF"/>
        </w:rPr>
        <w:t xml:space="preserve"> Team is a part of the Office of Workforce Information and Performance. The LMI Team works to make workforce and economic data analyses easily accessible for informed decision-making for jobseekers, businesses, and policymakers, alike.</w:t>
      </w:r>
      <w:r w:rsidR="00094A78" w:rsidRPr="004A0C12">
        <w:rPr>
          <w:rFonts w:ascii="Garamond" w:hAnsi="Garamond"/>
          <w:shd w:val="clear" w:color="auto" w:fill="FFFFFF"/>
        </w:rPr>
        <w:t xml:space="preserve"> </w:t>
      </w:r>
      <w:r w:rsidRPr="004A0C12">
        <w:rPr>
          <w:rFonts w:ascii="Garamond" w:hAnsi="Garamond"/>
          <w:shd w:val="clear" w:color="auto" w:fill="FFFFFF"/>
        </w:rPr>
        <w:t>These analyses include:</w:t>
      </w:r>
    </w:p>
    <w:p w14:paraId="3AC8AE3E" w14:textId="77777777" w:rsidR="00A816E3" w:rsidRPr="004A0C12" w:rsidRDefault="00A816E3" w:rsidP="00A816E3">
      <w:pPr>
        <w:shd w:val="clear" w:color="auto" w:fill="FFFFFF"/>
        <w:spacing w:after="0" w:line="240" w:lineRule="auto"/>
        <w:jc w:val="both"/>
        <w:rPr>
          <w:rFonts w:ascii="Garamond" w:hAnsi="Garamond"/>
          <w:shd w:val="clear" w:color="auto" w:fill="FFFFFF"/>
        </w:rPr>
      </w:pPr>
    </w:p>
    <w:p w14:paraId="3FD155CB" w14:textId="43C19CD2" w:rsidR="00A816E3" w:rsidRPr="004A0C12" w:rsidRDefault="00A816E3" w:rsidP="00F733CF">
      <w:pPr>
        <w:numPr>
          <w:ilvl w:val="0"/>
          <w:numId w:val="41"/>
        </w:numPr>
        <w:shd w:val="clear" w:color="auto" w:fill="FFFFFF"/>
        <w:tabs>
          <w:tab w:val="clear" w:pos="360"/>
          <w:tab w:val="num" w:pos="720"/>
        </w:tabs>
        <w:spacing w:after="0" w:line="240" w:lineRule="auto"/>
        <w:ind w:left="720" w:hanging="360"/>
        <w:jc w:val="both"/>
        <w:rPr>
          <w:rFonts w:ascii="Garamond" w:hAnsi="Garamond"/>
          <w:shd w:val="clear" w:color="auto" w:fill="FFFFFF"/>
        </w:rPr>
      </w:pPr>
      <w:r w:rsidRPr="004A0C12">
        <w:rPr>
          <w:rFonts w:ascii="Garamond" w:hAnsi="Garamond"/>
        </w:rPr>
        <w:t>Analyzing  rea</w:t>
      </w:r>
      <w:r w:rsidR="00094A78" w:rsidRPr="004A0C12">
        <w:rPr>
          <w:rFonts w:ascii="Garamond" w:hAnsi="Garamond"/>
        </w:rPr>
        <w:t>l-time labor market information</w:t>
      </w:r>
    </w:p>
    <w:p w14:paraId="5CD51B58" w14:textId="15DA65EA" w:rsidR="00A816E3" w:rsidRPr="004A0C12" w:rsidRDefault="00A816E3" w:rsidP="00F733CF">
      <w:pPr>
        <w:numPr>
          <w:ilvl w:val="0"/>
          <w:numId w:val="41"/>
        </w:numPr>
        <w:shd w:val="clear" w:color="auto" w:fill="FFFFFF"/>
        <w:tabs>
          <w:tab w:val="clear" w:pos="360"/>
          <w:tab w:val="num" w:pos="720"/>
        </w:tabs>
        <w:spacing w:after="0" w:line="240" w:lineRule="auto"/>
        <w:ind w:left="720" w:hanging="360"/>
        <w:jc w:val="both"/>
        <w:rPr>
          <w:rFonts w:ascii="Garamond" w:hAnsi="Garamond"/>
          <w:color w:val="191919"/>
        </w:rPr>
      </w:pPr>
      <w:r w:rsidRPr="004A0C12">
        <w:rPr>
          <w:rFonts w:ascii="Garamond" w:hAnsi="Garamond"/>
        </w:rPr>
        <w:t>Identifying in-de</w:t>
      </w:r>
      <w:r w:rsidR="00094A78" w:rsidRPr="004A0C12">
        <w:rPr>
          <w:rFonts w:ascii="Garamond" w:hAnsi="Garamond"/>
        </w:rPr>
        <w:t>mand industries and occupations</w:t>
      </w:r>
      <w:r w:rsidRPr="004A0C12">
        <w:rPr>
          <w:rFonts w:ascii="Garamond" w:hAnsi="Garamond"/>
        </w:rPr>
        <w:t xml:space="preserve"> </w:t>
      </w:r>
    </w:p>
    <w:p w14:paraId="7686ED8F" w14:textId="0D351552" w:rsidR="00A816E3" w:rsidRPr="004A0C12" w:rsidRDefault="00A816E3" w:rsidP="00F733CF">
      <w:pPr>
        <w:numPr>
          <w:ilvl w:val="0"/>
          <w:numId w:val="41"/>
        </w:numPr>
        <w:shd w:val="clear" w:color="auto" w:fill="FFFFFF"/>
        <w:tabs>
          <w:tab w:val="clear" w:pos="360"/>
          <w:tab w:val="num" w:pos="720"/>
        </w:tabs>
        <w:spacing w:after="0" w:line="240" w:lineRule="auto"/>
        <w:ind w:left="720" w:hanging="360"/>
        <w:jc w:val="both"/>
        <w:rPr>
          <w:rFonts w:ascii="Garamond" w:hAnsi="Garamond"/>
          <w:color w:val="191919"/>
        </w:rPr>
      </w:pPr>
      <w:r w:rsidRPr="004A0C12">
        <w:rPr>
          <w:rFonts w:ascii="Garamond" w:hAnsi="Garamond"/>
        </w:rPr>
        <w:t xml:space="preserve">Analyzing employers’ needs in those </w:t>
      </w:r>
      <w:r w:rsidR="00094A78" w:rsidRPr="004A0C12">
        <w:rPr>
          <w:rFonts w:ascii="Garamond" w:hAnsi="Garamond"/>
        </w:rPr>
        <w:t>industries and occupations</w:t>
      </w:r>
      <w:r w:rsidRPr="004A0C12">
        <w:rPr>
          <w:rFonts w:ascii="Garamond" w:hAnsi="Garamond"/>
        </w:rPr>
        <w:t>  </w:t>
      </w:r>
    </w:p>
    <w:p w14:paraId="31548B0D" w14:textId="153E3D1D" w:rsidR="00A816E3" w:rsidRPr="004A0C12" w:rsidRDefault="00A816E3" w:rsidP="00F733CF">
      <w:pPr>
        <w:numPr>
          <w:ilvl w:val="0"/>
          <w:numId w:val="41"/>
        </w:numPr>
        <w:shd w:val="clear" w:color="auto" w:fill="FFFFFF"/>
        <w:tabs>
          <w:tab w:val="clear" w:pos="360"/>
          <w:tab w:val="num" w:pos="720"/>
        </w:tabs>
        <w:spacing w:after="0" w:line="240" w:lineRule="auto"/>
        <w:ind w:left="720" w:hanging="360"/>
        <w:jc w:val="both"/>
        <w:rPr>
          <w:rFonts w:ascii="Garamond" w:hAnsi="Garamond"/>
          <w:shd w:val="clear" w:color="auto" w:fill="FFFFFF"/>
        </w:rPr>
      </w:pPr>
      <w:r w:rsidRPr="004A0C12">
        <w:rPr>
          <w:rFonts w:ascii="Garamond" w:hAnsi="Garamond"/>
          <w:shd w:val="clear" w:color="auto" w:fill="FFFFFF"/>
        </w:rPr>
        <w:t>Analyzing the workforce itself, including employment and unemployment rates and patterns, and the educational and</w:t>
      </w:r>
      <w:r w:rsidR="00094A78" w:rsidRPr="004A0C12">
        <w:rPr>
          <w:rFonts w:ascii="Garamond" w:hAnsi="Garamond"/>
          <w:shd w:val="clear" w:color="auto" w:fill="FFFFFF"/>
        </w:rPr>
        <w:t xml:space="preserve"> skill levels of the workforce</w:t>
      </w:r>
    </w:p>
    <w:p w14:paraId="13672E31" w14:textId="77777777" w:rsidR="00A816E3" w:rsidRPr="004A0C12" w:rsidRDefault="00A816E3" w:rsidP="00A816E3">
      <w:pPr>
        <w:shd w:val="clear" w:color="auto" w:fill="FFFFFF"/>
        <w:spacing w:after="0" w:line="240" w:lineRule="auto"/>
        <w:ind w:left="720"/>
        <w:jc w:val="both"/>
        <w:rPr>
          <w:rFonts w:ascii="Garamond" w:hAnsi="Garamond"/>
          <w:shd w:val="clear" w:color="auto" w:fill="FFFFFF"/>
        </w:rPr>
      </w:pPr>
    </w:p>
    <w:p w14:paraId="7863D7AD" w14:textId="01EAEA6C" w:rsidR="00A816E3" w:rsidRPr="004A0C12" w:rsidRDefault="00825DE7" w:rsidP="00A816E3">
      <w:pPr>
        <w:shd w:val="clear" w:color="auto" w:fill="FFFFFF"/>
        <w:spacing w:after="0" w:line="240" w:lineRule="auto"/>
        <w:jc w:val="both"/>
        <w:rPr>
          <w:rFonts w:ascii="Garamond" w:hAnsi="Garamond"/>
          <w:color w:val="191919"/>
        </w:rPr>
      </w:pPr>
      <w:r w:rsidRPr="004A0C12">
        <w:rPr>
          <w:rFonts w:ascii="Garamond" w:hAnsi="Garamond"/>
        </w:rPr>
        <w:t>The T</w:t>
      </w:r>
      <w:r w:rsidR="00A816E3" w:rsidRPr="004A0C12">
        <w:rPr>
          <w:rFonts w:ascii="Garamond" w:hAnsi="Garamond"/>
        </w:rPr>
        <w:t>eam provides Maryland’s workforce with information about the local, regional, and national labor market, such as employment levels, unemployment, wage and earnings data, labor supply and demand</w:t>
      </w:r>
      <w:r w:rsidR="00094A78" w:rsidRPr="004A0C12">
        <w:rPr>
          <w:rFonts w:ascii="Garamond" w:hAnsi="Garamond"/>
        </w:rPr>
        <w:t>,</w:t>
      </w:r>
      <w:r w:rsidR="00A816E3" w:rsidRPr="004A0C12">
        <w:rPr>
          <w:rFonts w:ascii="Garamond" w:hAnsi="Garamond"/>
        </w:rPr>
        <w:t xml:space="preserve"> and employment projections. The LMI Team develops and deploys new information solution tools and systems that are located on the MWE and DLLR’s LMI website (</w:t>
      </w:r>
      <w:hyperlink r:id="rId72" w:history="1">
        <w:r w:rsidR="00A816E3" w:rsidRPr="004A0C12">
          <w:rPr>
            <w:rFonts w:ascii="Garamond" w:hAnsi="Garamond"/>
            <w:color w:val="003DC8"/>
            <w:u w:val="single"/>
          </w:rPr>
          <w:t>http://www.dllr.state.md.us/lmi/</w:t>
        </w:r>
      </w:hyperlink>
      <w:r w:rsidR="00A816E3" w:rsidRPr="004A0C12">
        <w:rPr>
          <w:rFonts w:ascii="Garamond" w:hAnsi="Garamond"/>
        </w:rPr>
        <w:t>).</w:t>
      </w:r>
    </w:p>
    <w:p w14:paraId="29560BCC" w14:textId="77777777" w:rsidR="00A816E3" w:rsidRPr="004A0C12" w:rsidRDefault="00A816E3" w:rsidP="00A816E3">
      <w:pPr>
        <w:pStyle w:val="ListParagraph"/>
        <w:ind w:left="0"/>
        <w:jc w:val="both"/>
        <w:rPr>
          <w:rFonts w:ascii="Garamond" w:hAnsi="Garamond"/>
          <w:szCs w:val="22"/>
        </w:rPr>
      </w:pPr>
    </w:p>
    <w:p w14:paraId="650F6600" w14:textId="59EAF430" w:rsidR="00A816E3" w:rsidRPr="004A0C12" w:rsidRDefault="00A816E3" w:rsidP="00A816E3">
      <w:pPr>
        <w:pStyle w:val="ListParagraph"/>
        <w:ind w:left="0"/>
        <w:jc w:val="both"/>
        <w:rPr>
          <w:rFonts w:ascii="Garamond" w:hAnsi="Garamond"/>
          <w:szCs w:val="22"/>
        </w:rPr>
      </w:pPr>
      <w:r w:rsidRPr="004A0C12">
        <w:rPr>
          <w:rFonts w:ascii="Garamond" w:hAnsi="Garamond"/>
          <w:szCs w:val="22"/>
        </w:rPr>
        <w:t>The MWE is utilized to manage and valida</w:t>
      </w:r>
      <w:r w:rsidR="00094A78" w:rsidRPr="004A0C12">
        <w:rPr>
          <w:rFonts w:ascii="Garamond" w:hAnsi="Garamond"/>
          <w:szCs w:val="22"/>
        </w:rPr>
        <w:t xml:space="preserve">te operational activities, via </w:t>
      </w:r>
      <w:r w:rsidRPr="004A0C12">
        <w:rPr>
          <w:rFonts w:ascii="Garamond" w:hAnsi="Garamond"/>
          <w:szCs w:val="22"/>
        </w:rPr>
        <w:t xml:space="preserve">an internet-accessible participant reporting and data collection system that all DLLR and local workforce area case managers use to report, collect, verify, and manage participant data from each of the local and regional teams. The system’s case management capabilities allow staff to determine program eligibility, </w:t>
      </w:r>
      <w:r w:rsidRPr="004A0C12">
        <w:rPr>
          <w:rFonts w:ascii="Garamond" w:hAnsi="Garamond"/>
          <w:szCs w:val="22"/>
        </w:rPr>
        <w:lastRenderedPageBreak/>
        <w:t>track s</w:t>
      </w:r>
      <w:r w:rsidR="00094A78" w:rsidRPr="004A0C12">
        <w:rPr>
          <w:rFonts w:ascii="Garamond" w:hAnsi="Garamond"/>
          <w:szCs w:val="22"/>
        </w:rPr>
        <w:t>ervices, and report results to f</w:t>
      </w:r>
      <w:r w:rsidRPr="004A0C12">
        <w:rPr>
          <w:rFonts w:ascii="Garamond" w:hAnsi="Garamond"/>
          <w:szCs w:val="22"/>
        </w:rPr>
        <w:t>ederal funding sources. MWE is the official data source for all performance and program management data for all WIOA workforce programs. The State has directed considerable funds and resources in this system's development to ensure that performance measure calculations are consistent with cu</w:t>
      </w:r>
      <w:r w:rsidR="00094A78" w:rsidRPr="004A0C12">
        <w:rPr>
          <w:rFonts w:ascii="Garamond" w:hAnsi="Garamond"/>
          <w:szCs w:val="22"/>
        </w:rPr>
        <w:t>rrent f</w:t>
      </w:r>
      <w:r w:rsidRPr="004A0C12">
        <w:rPr>
          <w:rFonts w:ascii="Garamond" w:hAnsi="Garamond"/>
          <w:szCs w:val="22"/>
        </w:rPr>
        <w:t xml:space="preserve">ederal reporting requirements as specified by USDOL. </w:t>
      </w:r>
    </w:p>
    <w:p w14:paraId="1AC9067D" w14:textId="77777777" w:rsidR="00A816E3" w:rsidRPr="00B25499" w:rsidRDefault="00A816E3" w:rsidP="00A816E3">
      <w:pPr>
        <w:pStyle w:val="Heading3"/>
        <w:rPr>
          <w:rFonts w:ascii="Garamond" w:hAnsi="Garamond"/>
          <w:sz w:val="24"/>
          <w:szCs w:val="24"/>
        </w:rPr>
      </w:pPr>
      <w:bookmarkStart w:id="74" w:name="_Toc447276118"/>
      <w:r w:rsidRPr="00B25499">
        <w:rPr>
          <w:rFonts w:ascii="Garamond" w:hAnsi="Garamond"/>
          <w:sz w:val="24"/>
          <w:szCs w:val="24"/>
        </w:rPr>
        <w:t>LACES System</w:t>
      </w:r>
      <w:bookmarkEnd w:id="74"/>
      <w:r w:rsidRPr="00B25499">
        <w:rPr>
          <w:rFonts w:ascii="Garamond" w:hAnsi="Garamond"/>
          <w:sz w:val="24"/>
          <w:szCs w:val="24"/>
        </w:rPr>
        <w:t xml:space="preserve"> </w:t>
      </w:r>
    </w:p>
    <w:p w14:paraId="2D0A9FE2" w14:textId="779154ED" w:rsidR="00A816E3" w:rsidRPr="004A0C12" w:rsidRDefault="00A816E3" w:rsidP="00A816E3">
      <w:pPr>
        <w:pStyle w:val="ListParagraph"/>
        <w:ind w:left="0"/>
        <w:jc w:val="both"/>
        <w:rPr>
          <w:rFonts w:ascii="Garamond" w:hAnsi="Garamond"/>
          <w:szCs w:val="22"/>
        </w:rPr>
      </w:pPr>
      <w:r w:rsidRPr="004A0C12">
        <w:rPr>
          <w:rFonts w:ascii="Garamond" w:hAnsi="Garamond"/>
          <w:szCs w:val="22"/>
        </w:rPr>
        <w:t xml:space="preserve">DLLR has adopted the online LACES (Literacy, Adult and Community Education System), developed by LiteracyPro Systems to collect and report performance data from adult education providers.  The system was designed specifically to report to the National Reporting System for Adult Education (NRS), as required by all states receiving WIOA Title II funding.  </w:t>
      </w:r>
      <w:proofErr w:type="gramStart"/>
      <w:r w:rsidRPr="004A0C12">
        <w:rPr>
          <w:rFonts w:ascii="Garamond" w:hAnsi="Garamond"/>
          <w:szCs w:val="22"/>
        </w:rPr>
        <w:t>LACES is</w:t>
      </w:r>
      <w:proofErr w:type="gramEnd"/>
      <w:r w:rsidRPr="004A0C12">
        <w:rPr>
          <w:rFonts w:ascii="Garamond" w:hAnsi="Garamond"/>
          <w:szCs w:val="22"/>
        </w:rPr>
        <w:t xml:space="preserve"> currentl</w:t>
      </w:r>
      <w:r w:rsidR="00D67ABB" w:rsidRPr="004A0C12">
        <w:rPr>
          <w:rFonts w:ascii="Garamond" w:hAnsi="Garamond"/>
          <w:szCs w:val="22"/>
        </w:rPr>
        <w:t>y utilized by approximately one-</w:t>
      </w:r>
      <w:r w:rsidRPr="004A0C12">
        <w:rPr>
          <w:rFonts w:ascii="Garamond" w:hAnsi="Garamond"/>
          <w:szCs w:val="22"/>
        </w:rPr>
        <w:t>third of the states to report to NRS.  In addition to meeting the requirements for federal reporting, LACES offers adult education providers a tool to manage student demographic, assessment</w:t>
      </w:r>
      <w:r w:rsidR="00094A78" w:rsidRPr="004A0C12">
        <w:rPr>
          <w:rFonts w:ascii="Garamond" w:hAnsi="Garamond"/>
          <w:szCs w:val="22"/>
        </w:rPr>
        <w:t>,</w:t>
      </w:r>
      <w:r w:rsidRPr="004A0C12">
        <w:rPr>
          <w:rFonts w:ascii="Garamond" w:hAnsi="Garamond"/>
          <w:szCs w:val="22"/>
        </w:rPr>
        <w:t xml:space="preserve"> and progress data. Data may be exported from LACES or imported from partner programs to provide integrated reporting.</w:t>
      </w:r>
    </w:p>
    <w:p w14:paraId="0BA47CF8" w14:textId="77777777" w:rsidR="00A816E3" w:rsidRPr="00B25499" w:rsidRDefault="00A816E3" w:rsidP="0074457B">
      <w:pPr>
        <w:pStyle w:val="Heading3"/>
        <w:rPr>
          <w:rFonts w:ascii="Garamond" w:hAnsi="Garamond"/>
          <w:sz w:val="24"/>
          <w:szCs w:val="24"/>
        </w:rPr>
      </w:pPr>
      <w:bookmarkStart w:id="75" w:name="_Toc447276119"/>
      <w:r w:rsidRPr="00B25499">
        <w:rPr>
          <w:rFonts w:ascii="Garamond" w:hAnsi="Garamond"/>
          <w:sz w:val="24"/>
          <w:szCs w:val="24"/>
        </w:rPr>
        <w:t>AWARE System</w:t>
      </w:r>
      <w:bookmarkEnd w:id="75"/>
      <w:r w:rsidRPr="00B25499">
        <w:rPr>
          <w:rFonts w:ascii="Garamond" w:hAnsi="Garamond"/>
          <w:sz w:val="24"/>
          <w:szCs w:val="24"/>
        </w:rPr>
        <w:t xml:space="preserve"> </w:t>
      </w:r>
    </w:p>
    <w:p w14:paraId="405ADDBB" w14:textId="09EC2272" w:rsidR="00A816E3" w:rsidRPr="004A0C12" w:rsidRDefault="00A816E3" w:rsidP="00A816E3">
      <w:pPr>
        <w:pStyle w:val="ListParagraph"/>
        <w:ind w:left="0"/>
        <w:jc w:val="both"/>
        <w:rPr>
          <w:rFonts w:ascii="Garamond" w:hAnsi="Garamond"/>
          <w:szCs w:val="22"/>
        </w:rPr>
      </w:pPr>
      <w:r w:rsidRPr="004A0C12">
        <w:rPr>
          <w:rFonts w:ascii="Garamond" w:hAnsi="Garamond"/>
          <w:szCs w:val="22"/>
        </w:rPr>
        <w:t>DORS utilizes the AWARE VR case management system, a product from Alliance Enterprises. AWARE is a web-based, comprehensive, statewide database of participants, employers, staff</w:t>
      </w:r>
      <w:r w:rsidR="00094A78" w:rsidRPr="004A0C12">
        <w:rPr>
          <w:rFonts w:ascii="Garamond" w:hAnsi="Garamond"/>
          <w:szCs w:val="22"/>
        </w:rPr>
        <w:t>,</w:t>
      </w:r>
      <w:r w:rsidRPr="004A0C12">
        <w:rPr>
          <w:rFonts w:ascii="Garamond" w:hAnsi="Garamond"/>
          <w:szCs w:val="22"/>
        </w:rPr>
        <w:t xml:space="preserve"> and vendors. The AWARE system is also used by the majority of the VR agencies throughout the nation. AWARE provides DORS with a comprehensive set of modules and tools grouped by general function. Case, Financial, and Organizational modules are each available from the Main Menu. DORS staff can access the modules for which they have been granted the security to do so.  </w:t>
      </w:r>
      <w:proofErr w:type="gramStart"/>
      <w:r w:rsidRPr="004A0C12">
        <w:rPr>
          <w:rFonts w:ascii="Garamond" w:hAnsi="Garamond"/>
          <w:szCs w:val="22"/>
        </w:rPr>
        <w:t>The features and procedures in AWARE are consistent and standardized throughout all modules, providing easy navigation and task completion throughout the system.</w:t>
      </w:r>
      <w:proofErr w:type="gramEnd"/>
      <w:r w:rsidRPr="004A0C12">
        <w:rPr>
          <w:rFonts w:ascii="Garamond" w:hAnsi="Garamond"/>
          <w:szCs w:val="22"/>
        </w:rPr>
        <w:t xml:space="preserve"> Individual modules are based on VR business practices and Federal requirements. Alliance Enterprises is required by contract to ensure that AWARE VR remains current with all federal reporting requirements. </w:t>
      </w:r>
    </w:p>
    <w:p w14:paraId="78F92C24" w14:textId="77777777" w:rsidR="00A816E3" w:rsidRPr="004A0C12" w:rsidRDefault="00A816E3" w:rsidP="00A816E3">
      <w:pPr>
        <w:pStyle w:val="ListParagraph"/>
        <w:jc w:val="both"/>
        <w:rPr>
          <w:rFonts w:ascii="Garamond" w:hAnsi="Garamond"/>
          <w:szCs w:val="22"/>
        </w:rPr>
      </w:pPr>
    </w:p>
    <w:p w14:paraId="0A1F5FC9" w14:textId="51C19089" w:rsidR="00A816E3" w:rsidRPr="004A0C12" w:rsidRDefault="00A816E3" w:rsidP="00A816E3">
      <w:pPr>
        <w:pStyle w:val="ListParagraph"/>
        <w:ind w:left="0"/>
        <w:jc w:val="both"/>
        <w:rPr>
          <w:rFonts w:ascii="Garamond" w:hAnsi="Garamond"/>
          <w:szCs w:val="22"/>
        </w:rPr>
      </w:pPr>
      <w:r w:rsidRPr="004A0C12">
        <w:rPr>
          <w:rFonts w:ascii="Garamond" w:hAnsi="Garamond"/>
          <w:szCs w:val="22"/>
        </w:rPr>
        <w:t xml:space="preserve">AWARE </w:t>
      </w:r>
      <w:r w:rsidR="00D67ABB" w:rsidRPr="004A0C12">
        <w:rPr>
          <w:rFonts w:ascii="Garamond" w:hAnsi="Garamond"/>
          <w:szCs w:val="22"/>
        </w:rPr>
        <w:t xml:space="preserve">enables all DORS staff to execute </w:t>
      </w:r>
      <w:r w:rsidRPr="004A0C12">
        <w:rPr>
          <w:rFonts w:ascii="Garamond" w:hAnsi="Garamond"/>
          <w:szCs w:val="22"/>
        </w:rPr>
        <w:t>their required tasks,</w:t>
      </w:r>
      <w:r w:rsidR="00D67ABB" w:rsidRPr="004A0C12">
        <w:rPr>
          <w:rFonts w:ascii="Garamond" w:hAnsi="Garamond"/>
          <w:szCs w:val="22"/>
        </w:rPr>
        <w:t xml:space="preserve"> and</w:t>
      </w:r>
      <w:r w:rsidRPr="004A0C12">
        <w:rPr>
          <w:rFonts w:ascii="Garamond" w:hAnsi="Garamond"/>
          <w:szCs w:val="22"/>
        </w:rPr>
        <w:t xml:space="preserve"> collect and access all data and reports required to do their case management work and monitor performance. AWARE supports the two primary federal case types that DORS provides – Vocational Rehabilitation and Independent Living Older Blind. In addition, AWARE allows DORS to set up “custom” case types for special programs, such as the new Pre-Employment Transitioning Services. Finally, AWARE has been customized to meet DORS’ need to batch transmit client authorizations (POs) directly into the State’s FMIS. This allows DORS to integrate client tracking and the vendor payment system into one single system, thus eliminating the duplication of effort.</w:t>
      </w:r>
    </w:p>
    <w:p w14:paraId="70AA5B7D" w14:textId="77777777" w:rsidR="00A816E3" w:rsidRPr="00B25499" w:rsidRDefault="00A816E3" w:rsidP="00A816E3">
      <w:pPr>
        <w:pStyle w:val="Heading3"/>
        <w:rPr>
          <w:rFonts w:ascii="Garamond" w:hAnsi="Garamond"/>
          <w:sz w:val="24"/>
          <w:szCs w:val="24"/>
        </w:rPr>
      </w:pPr>
      <w:bookmarkStart w:id="76" w:name="_Toc447276120"/>
      <w:r w:rsidRPr="00B25499">
        <w:rPr>
          <w:rFonts w:ascii="Garamond" w:hAnsi="Garamond"/>
          <w:sz w:val="24"/>
          <w:szCs w:val="24"/>
        </w:rPr>
        <w:t>WORKS System</w:t>
      </w:r>
      <w:bookmarkEnd w:id="76"/>
      <w:r w:rsidRPr="00B25499">
        <w:rPr>
          <w:rFonts w:ascii="Garamond" w:hAnsi="Garamond"/>
          <w:sz w:val="24"/>
          <w:szCs w:val="24"/>
        </w:rPr>
        <w:t xml:space="preserve"> </w:t>
      </w:r>
    </w:p>
    <w:p w14:paraId="5284B076" w14:textId="129E777B" w:rsidR="00A816E3" w:rsidRPr="004A0C12" w:rsidRDefault="00A816E3" w:rsidP="00A816E3">
      <w:pPr>
        <w:pStyle w:val="ListParagraph"/>
        <w:ind w:left="0"/>
        <w:jc w:val="both"/>
        <w:rPr>
          <w:rFonts w:ascii="Garamond" w:hAnsi="Garamond"/>
          <w:szCs w:val="22"/>
        </w:rPr>
      </w:pPr>
      <w:r w:rsidRPr="004A0C12">
        <w:rPr>
          <w:rFonts w:ascii="Garamond" w:hAnsi="Garamond"/>
          <w:szCs w:val="22"/>
        </w:rPr>
        <w:t>The Maryland Department of Hum</w:t>
      </w:r>
      <w:r w:rsidR="00D67ABB" w:rsidRPr="004A0C12">
        <w:rPr>
          <w:rFonts w:ascii="Garamond" w:hAnsi="Garamond"/>
          <w:szCs w:val="22"/>
        </w:rPr>
        <w:t>an Resource</w:t>
      </w:r>
      <w:r w:rsidRPr="004A0C12">
        <w:rPr>
          <w:rFonts w:ascii="Garamond" w:hAnsi="Garamond"/>
          <w:szCs w:val="22"/>
        </w:rPr>
        <w:t>s</w:t>
      </w:r>
      <w:r w:rsidR="00D67ABB" w:rsidRPr="004A0C12">
        <w:rPr>
          <w:rFonts w:ascii="Garamond" w:hAnsi="Garamond"/>
          <w:szCs w:val="22"/>
        </w:rPr>
        <w:t>’</w:t>
      </w:r>
      <w:r w:rsidRPr="004A0C12">
        <w:rPr>
          <w:rFonts w:ascii="Garamond" w:hAnsi="Garamond"/>
          <w:szCs w:val="22"/>
        </w:rPr>
        <w:t xml:space="preserve"> WORKS system is an online management information system that tracks work activity for a number of human service programs, including TANF. The system is used to collect and report data for federal reporting requirements and to provide both DHR and its local social service departments with information to help monitor results of work pro</w:t>
      </w:r>
      <w:r w:rsidR="00D67ABB" w:rsidRPr="004A0C12">
        <w:rPr>
          <w:rFonts w:ascii="Garamond" w:hAnsi="Garamond"/>
          <w:szCs w:val="22"/>
        </w:rPr>
        <w:t>grams. WORKS ensures compliance</w:t>
      </w:r>
      <w:r w:rsidRPr="004A0C12">
        <w:rPr>
          <w:rFonts w:ascii="Garamond" w:hAnsi="Garamond"/>
          <w:szCs w:val="22"/>
        </w:rPr>
        <w:t xml:space="preserve"> and interfaces with a number of other DHR systems. </w:t>
      </w:r>
    </w:p>
    <w:p w14:paraId="477287FE" w14:textId="77777777" w:rsidR="00A816E3" w:rsidRPr="00B25499" w:rsidRDefault="00A816E3" w:rsidP="00A816E3">
      <w:pPr>
        <w:pStyle w:val="Heading3"/>
        <w:rPr>
          <w:rFonts w:ascii="Garamond" w:hAnsi="Garamond"/>
          <w:sz w:val="24"/>
          <w:szCs w:val="24"/>
        </w:rPr>
      </w:pPr>
      <w:bookmarkStart w:id="77" w:name="_Toc447276121"/>
      <w:r w:rsidRPr="00B25499">
        <w:rPr>
          <w:rFonts w:ascii="Garamond" w:hAnsi="Garamond"/>
          <w:sz w:val="24"/>
          <w:szCs w:val="24"/>
        </w:rPr>
        <w:t>Enhancing Alignment of Maryland’s Management Information Systems</w:t>
      </w:r>
      <w:bookmarkEnd w:id="77"/>
      <w:r w:rsidRPr="00B25499">
        <w:rPr>
          <w:rFonts w:ascii="Garamond" w:hAnsi="Garamond"/>
          <w:sz w:val="24"/>
          <w:szCs w:val="24"/>
        </w:rPr>
        <w:t xml:space="preserve"> </w:t>
      </w:r>
    </w:p>
    <w:p w14:paraId="0FD7EF0C" w14:textId="636F8AEA" w:rsidR="00A816E3" w:rsidRPr="004A0C12" w:rsidRDefault="00A816E3" w:rsidP="00A816E3">
      <w:pPr>
        <w:pStyle w:val="ListParagraph"/>
        <w:ind w:left="0"/>
        <w:jc w:val="both"/>
        <w:rPr>
          <w:rFonts w:ascii="Garamond" w:hAnsi="Garamond"/>
          <w:szCs w:val="22"/>
        </w:rPr>
      </w:pPr>
      <w:proofErr w:type="gramStart"/>
      <w:r w:rsidRPr="004A0C12">
        <w:rPr>
          <w:rFonts w:ascii="Garamond" w:hAnsi="Garamond"/>
          <w:szCs w:val="22"/>
        </w:rPr>
        <w:t>As previously mentioned, part of the State’s strategic plan calls for greater alignment of Maryland’s WIOA programs.</w:t>
      </w:r>
      <w:proofErr w:type="gramEnd"/>
      <w:r w:rsidRPr="004A0C12">
        <w:rPr>
          <w:rFonts w:ascii="Garamond" w:hAnsi="Garamond"/>
          <w:szCs w:val="22"/>
        </w:rPr>
        <w:t xml:space="preserve"> While many of the State’s WIOA programs use the MWE for the processes previously described, several of the State’s WIOA programs operate in a different data system. At times, this can challenge our ability to easily share information on mutual customers. Recognizing this challenge, in the interim, Maryland is committed to establishing data sharing agreements in the absence of one common State system. Maryland is also committed to exploring common platform methods that will help us to improve system coordination. Pages</w:t>
      </w:r>
      <w:r w:rsidR="009009EC" w:rsidRPr="004A0C12">
        <w:rPr>
          <w:rFonts w:ascii="Garamond" w:hAnsi="Garamond"/>
          <w:szCs w:val="22"/>
        </w:rPr>
        <w:t xml:space="preserve"> 93-94</w:t>
      </w:r>
      <w:r w:rsidRPr="004A0C12">
        <w:rPr>
          <w:rFonts w:ascii="Garamond" w:hAnsi="Garamond"/>
          <w:szCs w:val="22"/>
        </w:rPr>
        <w:t xml:space="preserve"> provide details on the WIOA</w:t>
      </w:r>
      <w:r w:rsidR="00BB5F3C" w:rsidRPr="004A0C12">
        <w:rPr>
          <w:rFonts w:ascii="Garamond" w:hAnsi="Garamond"/>
          <w:szCs w:val="22"/>
        </w:rPr>
        <w:t xml:space="preserve"> Partner’</w:t>
      </w:r>
      <w:r w:rsidRPr="004A0C12">
        <w:rPr>
          <w:rFonts w:ascii="Garamond" w:hAnsi="Garamond"/>
          <w:szCs w:val="22"/>
        </w:rPr>
        <w:t xml:space="preserve">s short-term and long-term plans for aligning and sharing information. </w:t>
      </w:r>
    </w:p>
    <w:p w14:paraId="69FA55AE" w14:textId="77777777" w:rsidR="00A816E3" w:rsidRPr="00B25499" w:rsidRDefault="00A816E3" w:rsidP="00A816E3">
      <w:pPr>
        <w:pStyle w:val="Heading2"/>
        <w:rPr>
          <w:rFonts w:ascii="Garamond" w:hAnsi="Garamond"/>
          <w:sz w:val="24"/>
          <w:szCs w:val="24"/>
        </w:rPr>
      </w:pPr>
      <w:bookmarkStart w:id="78" w:name="_Toc447276122"/>
      <w:r w:rsidRPr="00B25499">
        <w:rPr>
          <w:rFonts w:ascii="Garamond" w:hAnsi="Garamond"/>
          <w:sz w:val="24"/>
          <w:szCs w:val="24"/>
        </w:rPr>
        <w:t>Performance Accountability System and Related Performance Issues</w:t>
      </w:r>
      <w:bookmarkEnd w:id="78"/>
    </w:p>
    <w:p w14:paraId="43B5E880" w14:textId="77777777" w:rsidR="00A816E3" w:rsidRPr="004A0C12" w:rsidRDefault="00A816E3" w:rsidP="00A816E3">
      <w:pPr>
        <w:pStyle w:val="ListParagraph"/>
        <w:ind w:left="0"/>
        <w:jc w:val="both"/>
        <w:rPr>
          <w:rFonts w:ascii="Garamond" w:hAnsi="Garamond"/>
          <w:szCs w:val="22"/>
        </w:rPr>
      </w:pPr>
      <w:r w:rsidRPr="004A0C12">
        <w:rPr>
          <w:rFonts w:ascii="Garamond" w:hAnsi="Garamond"/>
          <w:szCs w:val="22"/>
        </w:rPr>
        <w:t>Performance measures are a regular component of our technical assistance and training activities throughout the year. In addition to specific performance measure training conferences held as needed, staff participate in roundtables and provide locally customized training upon request.</w:t>
      </w:r>
    </w:p>
    <w:p w14:paraId="34A54CBE" w14:textId="77777777" w:rsidR="00A816E3" w:rsidRPr="004A0C12" w:rsidRDefault="00A816E3" w:rsidP="00A816E3">
      <w:pPr>
        <w:pStyle w:val="ListParagraph"/>
        <w:jc w:val="both"/>
        <w:rPr>
          <w:rFonts w:ascii="Garamond" w:hAnsi="Garamond"/>
          <w:szCs w:val="22"/>
        </w:rPr>
      </w:pPr>
    </w:p>
    <w:p w14:paraId="447DF17C" w14:textId="12B806D5" w:rsidR="00A816E3" w:rsidRPr="004A0C12" w:rsidRDefault="00D67ABB" w:rsidP="00A816E3">
      <w:pPr>
        <w:pStyle w:val="ListParagraph"/>
        <w:ind w:left="0"/>
        <w:jc w:val="both"/>
        <w:rPr>
          <w:rFonts w:ascii="Garamond" w:hAnsi="Garamond"/>
          <w:szCs w:val="22"/>
        </w:rPr>
      </w:pPr>
      <w:r w:rsidRPr="004A0C12">
        <w:rPr>
          <w:rFonts w:ascii="Garamond" w:hAnsi="Garamond"/>
          <w:szCs w:val="22"/>
        </w:rPr>
        <w:t>State and</w:t>
      </w:r>
      <w:r w:rsidR="00A816E3" w:rsidRPr="004A0C12">
        <w:rPr>
          <w:rFonts w:ascii="Garamond" w:hAnsi="Garamond"/>
          <w:szCs w:val="22"/>
        </w:rPr>
        <w:t xml:space="preserve"> local workforce development</w:t>
      </w:r>
      <w:r w:rsidRPr="004A0C12">
        <w:rPr>
          <w:rFonts w:ascii="Garamond" w:hAnsi="Garamond"/>
          <w:szCs w:val="22"/>
        </w:rPr>
        <w:t xml:space="preserve"> staffs receive</w:t>
      </w:r>
      <w:r w:rsidR="00A816E3" w:rsidRPr="004A0C12">
        <w:rPr>
          <w:rFonts w:ascii="Garamond" w:hAnsi="Garamond"/>
          <w:szCs w:val="22"/>
        </w:rPr>
        <w:t xml:space="preserve"> quarterly performance reports and data that help them to monitor and continuously improve their participant reporting and performance outcomes. In addition to locally customized reports that </w:t>
      </w:r>
      <w:r w:rsidR="00A816E3" w:rsidRPr="004A0C12">
        <w:rPr>
          <w:rFonts w:ascii="Garamond" w:hAnsi="Garamond"/>
          <w:szCs w:val="22"/>
        </w:rPr>
        <w:lastRenderedPageBreak/>
        <w:t>coincide with the USDOL’s quarterly performance reporting</w:t>
      </w:r>
      <w:r w:rsidR="00C81EEA" w:rsidRPr="004A0C12">
        <w:rPr>
          <w:rFonts w:ascii="Garamond" w:hAnsi="Garamond"/>
          <w:szCs w:val="22"/>
        </w:rPr>
        <w:t xml:space="preserve"> formats, DLLR computes program </w:t>
      </w:r>
      <w:r w:rsidR="00A816E3" w:rsidRPr="004A0C12">
        <w:rPr>
          <w:rFonts w:ascii="Garamond" w:hAnsi="Garamond"/>
          <w:szCs w:val="22"/>
        </w:rPr>
        <w:t>year-to-dat</w:t>
      </w:r>
      <w:r w:rsidR="00BB5F3C" w:rsidRPr="004A0C12">
        <w:rPr>
          <w:rFonts w:ascii="Garamond" w:hAnsi="Garamond"/>
          <w:szCs w:val="22"/>
        </w:rPr>
        <w:t>e performance outcomes so that Local B</w:t>
      </w:r>
      <w:r w:rsidR="00A816E3" w:rsidRPr="004A0C12">
        <w:rPr>
          <w:rFonts w:ascii="Garamond" w:hAnsi="Garamond"/>
          <w:szCs w:val="22"/>
        </w:rPr>
        <w:t>oards can monitor their progress toward meeting negotiated performance goals. DLLR staff work closely with the local and regional teams to monitor and enhance performance throughout the year. Regularly scheduled training sessions will be held to provide the local and regional teams with basic and specific training on performance indicators, data entry, and data element validation. DLLR is also committed to provi</w:t>
      </w:r>
      <w:r w:rsidR="00094A78" w:rsidRPr="004A0C12">
        <w:rPr>
          <w:rFonts w:ascii="Garamond" w:hAnsi="Garamond"/>
          <w:szCs w:val="22"/>
        </w:rPr>
        <w:t>ding bi-annual</w:t>
      </w:r>
      <w:r w:rsidR="00A816E3" w:rsidRPr="004A0C12">
        <w:rPr>
          <w:rFonts w:ascii="Garamond" w:hAnsi="Garamond"/>
          <w:szCs w:val="22"/>
        </w:rPr>
        <w:t xml:space="preserve"> performance</w:t>
      </w:r>
      <w:r w:rsidR="00094A78" w:rsidRPr="004A0C12">
        <w:rPr>
          <w:rFonts w:ascii="Garamond" w:hAnsi="Garamond"/>
          <w:szCs w:val="22"/>
        </w:rPr>
        <w:t xml:space="preserve"> reports</w:t>
      </w:r>
      <w:r w:rsidR="00A816E3" w:rsidRPr="004A0C12">
        <w:rPr>
          <w:rFonts w:ascii="Garamond" w:hAnsi="Garamond"/>
          <w:szCs w:val="22"/>
        </w:rPr>
        <w:t>, fiscal and other pertinent information regarding</w:t>
      </w:r>
      <w:r w:rsidR="00BB5F3C" w:rsidRPr="004A0C12">
        <w:rPr>
          <w:rFonts w:ascii="Garamond" w:hAnsi="Garamond"/>
          <w:szCs w:val="22"/>
        </w:rPr>
        <w:t xml:space="preserve"> workforce programming to both Local B</w:t>
      </w:r>
      <w:r w:rsidR="00A816E3" w:rsidRPr="004A0C12">
        <w:rPr>
          <w:rFonts w:ascii="Garamond" w:hAnsi="Garamond"/>
          <w:szCs w:val="22"/>
        </w:rPr>
        <w:t xml:space="preserve">oard chairs and chief local elected officials to ensure that both are well-informed of the workforce </w:t>
      </w:r>
      <w:r w:rsidR="00BB5F3C" w:rsidRPr="004A0C12">
        <w:rPr>
          <w:rFonts w:ascii="Garamond" w:hAnsi="Garamond"/>
          <w:szCs w:val="22"/>
        </w:rPr>
        <w:t>activities in their respective Local A</w:t>
      </w:r>
      <w:r w:rsidR="00A816E3" w:rsidRPr="004A0C12">
        <w:rPr>
          <w:rFonts w:ascii="Garamond" w:hAnsi="Garamond"/>
          <w:szCs w:val="22"/>
        </w:rPr>
        <w:t xml:space="preserve">reas.  </w:t>
      </w:r>
    </w:p>
    <w:p w14:paraId="2EA6016F" w14:textId="77777777" w:rsidR="00A816E3" w:rsidRPr="004A0C12" w:rsidRDefault="00A816E3" w:rsidP="00A816E3">
      <w:pPr>
        <w:pStyle w:val="ListParagraph"/>
        <w:ind w:left="0"/>
        <w:jc w:val="both"/>
        <w:rPr>
          <w:rFonts w:ascii="Garamond" w:hAnsi="Garamond"/>
          <w:szCs w:val="22"/>
        </w:rPr>
      </w:pPr>
    </w:p>
    <w:p w14:paraId="3191BB91" w14:textId="2A65CD9B" w:rsidR="00A816E3" w:rsidRPr="004A0C12" w:rsidRDefault="00A816E3" w:rsidP="00A816E3">
      <w:pPr>
        <w:pStyle w:val="ListParagraph"/>
        <w:ind w:left="0"/>
        <w:jc w:val="both"/>
        <w:rPr>
          <w:rFonts w:ascii="Garamond" w:hAnsi="Garamond"/>
          <w:szCs w:val="22"/>
        </w:rPr>
      </w:pPr>
      <w:r w:rsidRPr="004A0C12">
        <w:rPr>
          <w:rFonts w:ascii="Garamond" w:hAnsi="Garamond"/>
          <w:szCs w:val="22"/>
        </w:rPr>
        <w:t xml:space="preserve">DORS also monitors performance on an ongoing basis. DORS </w:t>
      </w:r>
      <w:proofErr w:type="gramStart"/>
      <w:r w:rsidRPr="004A0C12">
        <w:rPr>
          <w:rFonts w:ascii="Garamond" w:hAnsi="Garamond"/>
          <w:szCs w:val="22"/>
        </w:rPr>
        <w:t>staff have</w:t>
      </w:r>
      <w:proofErr w:type="gramEnd"/>
      <w:r w:rsidRPr="004A0C12">
        <w:rPr>
          <w:rFonts w:ascii="Garamond" w:hAnsi="Garamond"/>
          <w:szCs w:val="22"/>
        </w:rPr>
        <w:t xml:space="preserve"> access to AWARE VR standardized performance reports on an ongoing basis - weekly, monthly, quarterly, and annual reports. Performance is monitored regularly to ensure progress toward the achievement of performance goals. Additionally, Alliance Enterprises has been working with DORS and other VR agencies to develop new data reporting elements in accordance with WIOA common performance measures. As Alliance Enterprises updates AWARE, DORS will ensure that staff are provided necessary training. Also, DORS staff will continue to work with its workforce partners toward implementing WIOA common performance measures. </w:t>
      </w:r>
    </w:p>
    <w:p w14:paraId="3ED58504" w14:textId="77777777" w:rsidR="00A816E3" w:rsidRPr="004A0C12" w:rsidRDefault="00A816E3" w:rsidP="00A816E3">
      <w:pPr>
        <w:pStyle w:val="ListParagraph"/>
        <w:ind w:left="0"/>
        <w:jc w:val="both"/>
        <w:rPr>
          <w:rFonts w:ascii="Garamond" w:hAnsi="Garamond"/>
          <w:szCs w:val="22"/>
        </w:rPr>
      </w:pPr>
    </w:p>
    <w:p w14:paraId="205CAE0A" w14:textId="58E38901" w:rsidR="00A816E3" w:rsidRPr="004A0C12" w:rsidRDefault="00A816E3" w:rsidP="0074457B">
      <w:pPr>
        <w:pStyle w:val="ListParagraph"/>
        <w:ind w:left="0"/>
        <w:jc w:val="both"/>
        <w:rPr>
          <w:rFonts w:ascii="Garamond" w:hAnsi="Garamond"/>
          <w:szCs w:val="22"/>
        </w:rPr>
      </w:pPr>
      <w:r w:rsidRPr="004A0C12">
        <w:rPr>
          <w:rFonts w:ascii="Garamond" w:hAnsi="Garamond"/>
          <w:szCs w:val="22"/>
        </w:rPr>
        <w:t>Currently, the Maryland Workforce Exchange (MWE) has the capability to request that the customer participate in a customer service survey outlining his or her experience in obtaining serv</w:t>
      </w:r>
      <w:r w:rsidR="007D1705" w:rsidRPr="004A0C12">
        <w:rPr>
          <w:rFonts w:ascii="Garamond" w:hAnsi="Garamond"/>
          <w:szCs w:val="22"/>
        </w:rPr>
        <w:t>ices. Moving forward, the WIOA P</w:t>
      </w:r>
      <w:r w:rsidRPr="004A0C12">
        <w:rPr>
          <w:rFonts w:ascii="Garamond" w:hAnsi="Garamond"/>
          <w:szCs w:val="22"/>
        </w:rPr>
        <w:t xml:space="preserve">artners are dedicated to establishing a common customer service survey to ensure that common measures of customer satisfaction are captured.  </w:t>
      </w:r>
    </w:p>
    <w:p w14:paraId="1E8D8955" w14:textId="77777777" w:rsidR="0074457B" w:rsidRPr="00B25499" w:rsidRDefault="0074457B" w:rsidP="0074457B">
      <w:pPr>
        <w:pStyle w:val="ListParagraph"/>
        <w:ind w:left="0"/>
        <w:jc w:val="both"/>
        <w:rPr>
          <w:rFonts w:ascii="Garamond" w:hAnsi="Garamond"/>
          <w:sz w:val="24"/>
          <w:szCs w:val="24"/>
        </w:rPr>
      </w:pPr>
    </w:p>
    <w:p w14:paraId="36DA313C" w14:textId="77777777" w:rsidR="00A816E3" w:rsidRPr="00B25499" w:rsidRDefault="00A816E3" w:rsidP="0074457B">
      <w:pPr>
        <w:pStyle w:val="Heading2"/>
        <w:spacing w:before="0" w:line="240" w:lineRule="auto"/>
        <w:rPr>
          <w:rFonts w:ascii="Garamond" w:hAnsi="Garamond"/>
          <w:sz w:val="24"/>
          <w:szCs w:val="24"/>
        </w:rPr>
      </w:pPr>
      <w:bookmarkStart w:id="79" w:name="_Toc447276123"/>
      <w:r w:rsidRPr="00B25499">
        <w:rPr>
          <w:rFonts w:ascii="Garamond" w:hAnsi="Garamond"/>
          <w:sz w:val="24"/>
          <w:szCs w:val="24"/>
        </w:rPr>
        <w:t>WIOA Policy Work</w:t>
      </w:r>
      <w:bookmarkEnd w:id="79"/>
      <w:r w:rsidRPr="00B25499">
        <w:rPr>
          <w:rFonts w:ascii="Garamond" w:hAnsi="Garamond"/>
          <w:sz w:val="24"/>
          <w:szCs w:val="24"/>
        </w:rPr>
        <w:t xml:space="preserve"> </w:t>
      </w:r>
    </w:p>
    <w:p w14:paraId="6B9F9CD7" w14:textId="0F13964C" w:rsidR="00A816E3" w:rsidRPr="004A0C12" w:rsidRDefault="00A816E3" w:rsidP="0074457B">
      <w:pPr>
        <w:pStyle w:val="ListParagraph"/>
        <w:ind w:left="0"/>
        <w:jc w:val="both"/>
        <w:rPr>
          <w:rFonts w:ascii="Garamond" w:hAnsi="Garamond"/>
          <w:szCs w:val="22"/>
        </w:rPr>
      </w:pPr>
      <w:r w:rsidRPr="004A0C12">
        <w:rPr>
          <w:rFonts w:ascii="Garamond" w:hAnsi="Garamond"/>
          <w:szCs w:val="22"/>
        </w:rPr>
        <w:t>The Governor’s Workforce Investment Board (GWIB) sets forth public policy guidance for the workforce system.  This includes, but is not limited to, the promotion of sector strategies and the development and growth of industry-led partnerships for workforce training delivery. The GWIB plays the critical role of finding ways to promote Maryland’s workforce system to businesses and jobseekers alike.  GWIB also provide</w:t>
      </w:r>
      <w:r w:rsidR="00C870F3" w:rsidRPr="004A0C12">
        <w:rPr>
          <w:rFonts w:ascii="Garamond" w:hAnsi="Garamond"/>
          <w:szCs w:val="22"/>
        </w:rPr>
        <w:t>s</w:t>
      </w:r>
      <w:r w:rsidRPr="004A0C12">
        <w:rPr>
          <w:rFonts w:ascii="Garamond" w:hAnsi="Garamond"/>
          <w:szCs w:val="22"/>
        </w:rPr>
        <w:t xml:space="preserve"> needed insight into the needs of Maryland’s businesses and will be apprised of operational policy needs.  </w:t>
      </w:r>
    </w:p>
    <w:p w14:paraId="56067519" w14:textId="77777777" w:rsidR="00C870F3" w:rsidRPr="004A0C12" w:rsidRDefault="00C870F3" w:rsidP="0074457B">
      <w:pPr>
        <w:pStyle w:val="ListParagraph"/>
        <w:ind w:left="0"/>
        <w:jc w:val="both"/>
        <w:rPr>
          <w:rFonts w:ascii="Garamond" w:hAnsi="Garamond"/>
          <w:szCs w:val="22"/>
        </w:rPr>
      </w:pPr>
    </w:p>
    <w:p w14:paraId="6550E056" w14:textId="786A4FFC" w:rsidR="0074457B" w:rsidRPr="004A0C12" w:rsidRDefault="00A816E3" w:rsidP="0074457B">
      <w:pPr>
        <w:pStyle w:val="ListParagraph"/>
        <w:ind w:left="0"/>
        <w:jc w:val="both"/>
        <w:rPr>
          <w:rFonts w:ascii="Garamond" w:hAnsi="Garamond"/>
          <w:szCs w:val="22"/>
        </w:rPr>
      </w:pPr>
      <w:r w:rsidRPr="004A0C12">
        <w:rPr>
          <w:rFonts w:ascii="Garamond" w:hAnsi="Garamond"/>
          <w:szCs w:val="22"/>
        </w:rPr>
        <w:t xml:space="preserve">Maryland is committed to a collaborative approach to operational policy making and will continue to encourage participation from State and local partners across the WIOA </w:t>
      </w:r>
      <w:r w:rsidR="007D1705" w:rsidRPr="004A0C12">
        <w:rPr>
          <w:rFonts w:ascii="Garamond" w:hAnsi="Garamond"/>
          <w:szCs w:val="22"/>
        </w:rPr>
        <w:t>spectrum. The WIOA P</w:t>
      </w:r>
      <w:r w:rsidRPr="004A0C12">
        <w:rPr>
          <w:rFonts w:ascii="Garamond" w:hAnsi="Garamond"/>
          <w:szCs w:val="22"/>
        </w:rPr>
        <w:t>artners will develop WIOA policies using DLLR’s 8 step process for policy development (</w:t>
      </w:r>
      <w:hyperlink r:id="rId73" w:history="1">
        <w:r w:rsidRPr="004A0C12">
          <w:rPr>
            <w:rStyle w:val="Hyperlink2"/>
            <w:rFonts w:ascii="Garamond" w:hAnsi="Garamond"/>
            <w:sz w:val="22"/>
            <w:szCs w:val="22"/>
          </w:rPr>
          <w:t>http://www.dllr.state.md.us/employment/mpi/</w:t>
        </w:r>
      </w:hyperlink>
      <w:r w:rsidR="00CC66F0" w:rsidRPr="004A0C12">
        <w:rPr>
          <w:rFonts w:ascii="Garamond" w:hAnsi="Garamond"/>
          <w:szCs w:val="22"/>
        </w:rPr>
        <w:t>):</w:t>
      </w:r>
    </w:p>
    <w:p w14:paraId="6ABB235F" w14:textId="77777777" w:rsidR="00A816E3" w:rsidRPr="004A0C12" w:rsidRDefault="00A816E3" w:rsidP="00A816E3">
      <w:pPr>
        <w:pStyle w:val="ListParagraph"/>
        <w:ind w:left="0"/>
        <w:jc w:val="both"/>
        <w:rPr>
          <w:rFonts w:ascii="Garamond" w:hAnsi="Garamond"/>
          <w:szCs w:val="22"/>
        </w:rPr>
      </w:pPr>
    </w:p>
    <w:tbl>
      <w:tblPr>
        <w:tblStyle w:val="PlainTable11"/>
        <w:tblW w:w="0" w:type="auto"/>
        <w:jc w:val="center"/>
        <w:tblLayout w:type="fixed"/>
        <w:tblLook w:val="0000" w:firstRow="0" w:lastRow="0" w:firstColumn="0" w:lastColumn="0" w:noHBand="0" w:noVBand="0"/>
        <w:tblCaption w:val="Maryland's 8 Step Process for WIOA Policy Development"/>
        <w:tblDescription w:val="The 8 step process for WIOA Policy Development in Maryland include the following: 1. Determine policy need; 2. Policy Session with Subject Matter Experts; 3. Policy drafting; 4. Review &amp; Comment Period; 5. Updates to draft; 6. Final approvals; 7. Policy dissemination; and, 8.Policy modification (when applicable).&#10;"/>
      </w:tblPr>
      <w:tblGrid>
        <w:gridCol w:w="894"/>
        <w:gridCol w:w="5308"/>
      </w:tblGrid>
      <w:tr w:rsidR="00A816E3" w:rsidRPr="004A0C12" w14:paraId="11FCA22E" w14:textId="77777777" w:rsidTr="008B1D9A">
        <w:trPr>
          <w:trHeight w:val="486"/>
          <w:tblHeader/>
          <w:jc w:val="center"/>
        </w:trPr>
        <w:tc>
          <w:tcPr>
            <w:cnfStyle w:val="000010000000" w:firstRow="0" w:lastRow="0" w:firstColumn="0" w:lastColumn="0" w:oddVBand="1" w:evenVBand="0" w:oddHBand="0" w:evenHBand="0" w:firstRowFirstColumn="0" w:firstRowLastColumn="0" w:lastRowFirstColumn="0" w:lastRowLastColumn="0"/>
            <w:tcW w:w="6202" w:type="dxa"/>
            <w:gridSpan w:val="2"/>
          </w:tcPr>
          <w:p w14:paraId="2848F570" w14:textId="77777777" w:rsidR="00A816E3" w:rsidRPr="004A0C12" w:rsidRDefault="00A816E3" w:rsidP="009F5EDD">
            <w:pPr>
              <w:pStyle w:val="ListParagraph"/>
              <w:ind w:left="0"/>
              <w:jc w:val="center"/>
              <w:rPr>
                <w:rFonts w:ascii="Garamond" w:hAnsi="Garamond"/>
                <w:sz w:val="22"/>
                <w:szCs w:val="22"/>
              </w:rPr>
            </w:pPr>
            <w:r w:rsidRPr="004A0C12">
              <w:rPr>
                <w:rFonts w:ascii="Garamond" w:hAnsi="Garamond"/>
                <w:sz w:val="22"/>
                <w:szCs w:val="22"/>
              </w:rPr>
              <w:t>Maryland’s 8 Step Process for WIOA Policy Development</w:t>
            </w:r>
          </w:p>
        </w:tc>
      </w:tr>
      <w:tr w:rsidR="00A816E3" w:rsidRPr="004A0C12" w14:paraId="70C54196" w14:textId="77777777" w:rsidTr="00C81EEA">
        <w:trPr>
          <w:cnfStyle w:val="000000100000" w:firstRow="0" w:lastRow="0" w:firstColumn="0" w:lastColumn="0" w:oddVBand="0" w:evenVBand="0" w:oddHBand="1" w:evenHBand="0" w:firstRowFirstColumn="0" w:firstRowLastColumn="0" w:lastRowFirstColumn="0" w:lastRowLastColumn="0"/>
          <w:trHeight w:val="334"/>
          <w:jc w:val="center"/>
        </w:trPr>
        <w:tc>
          <w:tcPr>
            <w:cnfStyle w:val="000010000000" w:firstRow="0" w:lastRow="0" w:firstColumn="0" w:lastColumn="0" w:oddVBand="1" w:evenVBand="0" w:oddHBand="0" w:evenHBand="0" w:firstRowFirstColumn="0" w:firstRowLastColumn="0" w:lastRowFirstColumn="0" w:lastRowLastColumn="0"/>
            <w:tcW w:w="894" w:type="dxa"/>
          </w:tcPr>
          <w:p w14:paraId="23E6860B" w14:textId="77777777" w:rsidR="00A816E3" w:rsidRPr="004A0C12" w:rsidRDefault="00A816E3" w:rsidP="00A816E3">
            <w:pPr>
              <w:jc w:val="both"/>
              <w:rPr>
                <w:rFonts w:ascii="Garamond" w:hAnsi="Garamond"/>
                <w:sz w:val="22"/>
                <w:szCs w:val="22"/>
              </w:rPr>
            </w:pPr>
            <w:r w:rsidRPr="004A0C12">
              <w:rPr>
                <w:rFonts w:ascii="Garamond" w:hAnsi="Garamond"/>
                <w:sz w:val="22"/>
                <w:szCs w:val="22"/>
              </w:rPr>
              <w:t>1.</w:t>
            </w:r>
          </w:p>
        </w:tc>
        <w:tc>
          <w:tcPr>
            <w:tcW w:w="5308" w:type="dxa"/>
          </w:tcPr>
          <w:p w14:paraId="5DB12AD6" w14:textId="77777777" w:rsidR="00A816E3" w:rsidRPr="004A0C12" w:rsidRDefault="00A816E3" w:rsidP="009F5EDD">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Determine policy need</w:t>
            </w:r>
          </w:p>
        </w:tc>
      </w:tr>
      <w:tr w:rsidR="00A816E3" w:rsidRPr="004A0C12" w14:paraId="140D0D86" w14:textId="77777777" w:rsidTr="00C81EEA">
        <w:trPr>
          <w:trHeight w:val="334"/>
          <w:jc w:val="center"/>
        </w:trPr>
        <w:tc>
          <w:tcPr>
            <w:cnfStyle w:val="000010000000" w:firstRow="0" w:lastRow="0" w:firstColumn="0" w:lastColumn="0" w:oddVBand="1" w:evenVBand="0" w:oddHBand="0" w:evenHBand="0" w:firstRowFirstColumn="0" w:firstRowLastColumn="0" w:lastRowFirstColumn="0" w:lastRowLastColumn="0"/>
            <w:tcW w:w="894" w:type="dxa"/>
          </w:tcPr>
          <w:p w14:paraId="5A71FC45" w14:textId="77777777" w:rsidR="00A816E3" w:rsidRPr="004A0C12" w:rsidRDefault="00A816E3" w:rsidP="00A816E3">
            <w:pPr>
              <w:jc w:val="both"/>
              <w:rPr>
                <w:rFonts w:ascii="Garamond" w:hAnsi="Garamond"/>
                <w:sz w:val="22"/>
                <w:szCs w:val="22"/>
              </w:rPr>
            </w:pPr>
            <w:r w:rsidRPr="004A0C12">
              <w:rPr>
                <w:rFonts w:ascii="Garamond" w:hAnsi="Garamond"/>
                <w:sz w:val="22"/>
                <w:szCs w:val="22"/>
              </w:rPr>
              <w:t>2.</w:t>
            </w:r>
          </w:p>
        </w:tc>
        <w:tc>
          <w:tcPr>
            <w:tcW w:w="5308" w:type="dxa"/>
          </w:tcPr>
          <w:p w14:paraId="61E7C8BE" w14:textId="77777777" w:rsidR="00A816E3" w:rsidRPr="004A0C12" w:rsidRDefault="00A816E3" w:rsidP="009F5EDD">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Policy Session with Subject Matter Experts</w:t>
            </w:r>
          </w:p>
        </w:tc>
      </w:tr>
      <w:tr w:rsidR="00A816E3" w:rsidRPr="004A0C12" w14:paraId="33CBCC68" w14:textId="77777777" w:rsidTr="00C81EEA">
        <w:trPr>
          <w:cnfStyle w:val="000000100000" w:firstRow="0" w:lastRow="0" w:firstColumn="0" w:lastColumn="0" w:oddVBand="0" w:evenVBand="0" w:oddHBand="1" w:evenHBand="0" w:firstRowFirstColumn="0" w:firstRowLastColumn="0" w:lastRowFirstColumn="0" w:lastRowLastColumn="0"/>
          <w:trHeight w:val="334"/>
          <w:jc w:val="center"/>
        </w:trPr>
        <w:tc>
          <w:tcPr>
            <w:cnfStyle w:val="000010000000" w:firstRow="0" w:lastRow="0" w:firstColumn="0" w:lastColumn="0" w:oddVBand="1" w:evenVBand="0" w:oddHBand="0" w:evenHBand="0" w:firstRowFirstColumn="0" w:firstRowLastColumn="0" w:lastRowFirstColumn="0" w:lastRowLastColumn="0"/>
            <w:tcW w:w="894" w:type="dxa"/>
          </w:tcPr>
          <w:p w14:paraId="53CC81C1" w14:textId="77777777" w:rsidR="00A816E3" w:rsidRPr="004A0C12" w:rsidRDefault="00A816E3" w:rsidP="00A816E3">
            <w:pPr>
              <w:jc w:val="both"/>
              <w:rPr>
                <w:rFonts w:ascii="Garamond" w:hAnsi="Garamond"/>
                <w:sz w:val="22"/>
                <w:szCs w:val="22"/>
              </w:rPr>
            </w:pPr>
            <w:r w:rsidRPr="004A0C12">
              <w:rPr>
                <w:rFonts w:ascii="Garamond" w:hAnsi="Garamond"/>
                <w:sz w:val="22"/>
                <w:szCs w:val="22"/>
              </w:rPr>
              <w:t>3.</w:t>
            </w:r>
          </w:p>
        </w:tc>
        <w:tc>
          <w:tcPr>
            <w:tcW w:w="5308" w:type="dxa"/>
          </w:tcPr>
          <w:p w14:paraId="679AAC2B" w14:textId="77777777" w:rsidR="00A816E3" w:rsidRPr="004A0C12" w:rsidRDefault="00A816E3" w:rsidP="009F5EDD">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Policy drafting</w:t>
            </w:r>
          </w:p>
        </w:tc>
      </w:tr>
      <w:tr w:rsidR="00A816E3" w:rsidRPr="004A0C12" w14:paraId="54EAFE49" w14:textId="77777777" w:rsidTr="00C81EEA">
        <w:trPr>
          <w:trHeight w:val="334"/>
          <w:jc w:val="center"/>
        </w:trPr>
        <w:tc>
          <w:tcPr>
            <w:cnfStyle w:val="000010000000" w:firstRow="0" w:lastRow="0" w:firstColumn="0" w:lastColumn="0" w:oddVBand="1" w:evenVBand="0" w:oddHBand="0" w:evenHBand="0" w:firstRowFirstColumn="0" w:firstRowLastColumn="0" w:lastRowFirstColumn="0" w:lastRowLastColumn="0"/>
            <w:tcW w:w="894" w:type="dxa"/>
          </w:tcPr>
          <w:p w14:paraId="2C6D8301" w14:textId="77777777" w:rsidR="00A816E3" w:rsidRPr="004A0C12" w:rsidRDefault="00A816E3" w:rsidP="00A816E3">
            <w:pPr>
              <w:jc w:val="both"/>
              <w:rPr>
                <w:rFonts w:ascii="Garamond" w:hAnsi="Garamond"/>
                <w:sz w:val="22"/>
                <w:szCs w:val="22"/>
              </w:rPr>
            </w:pPr>
            <w:r w:rsidRPr="004A0C12">
              <w:rPr>
                <w:rFonts w:ascii="Garamond" w:hAnsi="Garamond"/>
                <w:sz w:val="22"/>
                <w:szCs w:val="22"/>
              </w:rPr>
              <w:t>4.</w:t>
            </w:r>
          </w:p>
        </w:tc>
        <w:tc>
          <w:tcPr>
            <w:tcW w:w="5308" w:type="dxa"/>
          </w:tcPr>
          <w:p w14:paraId="0047934F" w14:textId="77777777" w:rsidR="00A816E3" w:rsidRPr="004A0C12" w:rsidRDefault="00A816E3" w:rsidP="009F5EDD">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Review &amp; Comment Period </w:t>
            </w:r>
          </w:p>
        </w:tc>
      </w:tr>
      <w:tr w:rsidR="00A816E3" w:rsidRPr="004A0C12" w14:paraId="3298D422" w14:textId="77777777" w:rsidTr="00C81EEA">
        <w:trPr>
          <w:cnfStyle w:val="000000100000" w:firstRow="0" w:lastRow="0" w:firstColumn="0" w:lastColumn="0" w:oddVBand="0" w:evenVBand="0" w:oddHBand="1" w:evenHBand="0" w:firstRowFirstColumn="0" w:firstRowLastColumn="0" w:lastRowFirstColumn="0" w:lastRowLastColumn="0"/>
          <w:trHeight w:val="334"/>
          <w:jc w:val="center"/>
        </w:trPr>
        <w:tc>
          <w:tcPr>
            <w:cnfStyle w:val="000010000000" w:firstRow="0" w:lastRow="0" w:firstColumn="0" w:lastColumn="0" w:oddVBand="1" w:evenVBand="0" w:oddHBand="0" w:evenHBand="0" w:firstRowFirstColumn="0" w:firstRowLastColumn="0" w:lastRowFirstColumn="0" w:lastRowLastColumn="0"/>
            <w:tcW w:w="894" w:type="dxa"/>
          </w:tcPr>
          <w:p w14:paraId="562A2663" w14:textId="77777777" w:rsidR="00A816E3" w:rsidRPr="004A0C12" w:rsidRDefault="00A816E3" w:rsidP="00A816E3">
            <w:pPr>
              <w:jc w:val="both"/>
              <w:rPr>
                <w:rFonts w:ascii="Garamond" w:hAnsi="Garamond"/>
                <w:sz w:val="22"/>
                <w:szCs w:val="22"/>
              </w:rPr>
            </w:pPr>
            <w:r w:rsidRPr="004A0C12">
              <w:rPr>
                <w:rFonts w:ascii="Garamond" w:hAnsi="Garamond"/>
                <w:sz w:val="22"/>
                <w:szCs w:val="22"/>
              </w:rPr>
              <w:t>5.</w:t>
            </w:r>
          </w:p>
        </w:tc>
        <w:tc>
          <w:tcPr>
            <w:tcW w:w="5308" w:type="dxa"/>
          </w:tcPr>
          <w:p w14:paraId="2A0F9376" w14:textId="77777777" w:rsidR="00A816E3" w:rsidRPr="004A0C12" w:rsidRDefault="00A816E3" w:rsidP="009F5EDD">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Updates to draft</w:t>
            </w:r>
          </w:p>
        </w:tc>
      </w:tr>
      <w:tr w:rsidR="00A816E3" w:rsidRPr="004A0C12" w14:paraId="1EEB0785" w14:textId="77777777" w:rsidTr="00C81EEA">
        <w:trPr>
          <w:trHeight w:val="334"/>
          <w:jc w:val="center"/>
        </w:trPr>
        <w:tc>
          <w:tcPr>
            <w:cnfStyle w:val="000010000000" w:firstRow="0" w:lastRow="0" w:firstColumn="0" w:lastColumn="0" w:oddVBand="1" w:evenVBand="0" w:oddHBand="0" w:evenHBand="0" w:firstRowFirstColumn="0" w:firstRowLastColumn="0" w:lastRowFirstColumn="0" w:lastRowLastColumn="0"/>
            <w:tcW w:w="894" w:type="dxa"/>
          </w:tcPr>
          <w:p w14:paraId="2C0EF405" w14:textId="77777777" w:rsidR="00A816E3" w:rsidRPr="004A0C12" w:rsidRDefault="00A816E3" w:rsidP="00A816E3">
            <w:pPr>
              <w:jc w:val="both"/>
              <w:rPr>
                <w:rFonts w:ascii="Garamond" w:hAnsi="Garamond"/>
                <w:sz w:val="22"/>
                <w:szCs w:val="22"/>
              </w:rPr>
            </w:pPr>
            <w:r w:rsidRPr="004A0C12">
              <w:rPr>
                <w:rFonts w:ascii="Garamond" w:hAnsi="Garamond"/>
                <w:sz w:val="22"/>
                <w:szCs w:val="22"/>
              </w:rPr>
              <w:t>6.</w:t>
            </w:r>
          </w:p>
        </w:tc>
        <w:tc>
          <w:tcPr>
            <w:tcW w:w="5308" w:type="dxa"/>
          </w:tcPr>
          <w:p w14:paraId="54B42B39" w14:textId="77777777" w:rsidR="00A816E3" w:rsidRPr="004A0C12" w:rsidRDefault="00A816E3" w:rsidP="009F5EDD">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Final approvals </w:t>
            </w:r>
          </w:p>
        </w:tc>
      </w:tr>
      <w:tr w:rsidR="00A816E3" w:rsidRPr="004A0C12" w14:paraId="36BA4815" w14:textId="77777777" w:rsidTr="00C81EEA">
        <w:trPr>
          <w:cnfStyle w:val="000000100000" w:firstRow="0" w:lastRow="0" w:firstColumn="0" w:lastColumn="0" w:oddVBand="0" w:evenVBand="0" w:oddHBand="1" w:evenHBand="0" w:firstRowFirstColumn="0" w:firstRowLastColumn="0" w:lastRowFirstColumn="0" w:lastRowLastColumn="0"/>
          <w:trHeight w:val="334"/>
          <w:jc w:val="center"/>
        </w:trPr>
        <w:tc>
          <w:tcPr>
            <w:cnfStyle w:val="000010000000" w:firstRow="0" w:lastRow="0" w:firstColumn="0" w:lastColumn="0" w:oddVBand="1" w:evenVBand="0" w:oddHBand="0" w:evenHBand="0" w:firstRowFirstColumn="0" w:firstRowLastColumn="0" w:lastRowFirstColumn="0" w:lastRowLastColumn="0"/>
            <w:tcW w:w="894" w:type="dxa"/>
          </w:tcPr>
          <w:p w14:paraId="398C3CAD" w14:textId="77777777" w:rsidR="00A816E3" w:rsidRPr="004A0C12" w:rsidRDefault="00A816E3" w:rsidP="00A816E3">
            <w:pPr>
              <w:jc w:val="both"/>
              <w:rPr>
                <w:rFonts w:ascii="Garamond" w:hAnsi="Garamond"/>
                <w:sz w:val="22"/>
                <w:szCs w:val="22"/>
              </w:rPr>
            </w:pPr>
            <w:r w:rsidRPr="004A0C12">
              <w:rPr>
                <w:rFonts w:ascii="Garamond" w:hAnsi="Garamond"/>
                <w:sz w:val="22"/>
                <w:szCs w:val="22"/>
              </w:rPr>
              <w:t>7.</w:t>
            </w:r>
          </w:p>
        </w:tc>
        <w:tc>
          <w:tcPr>
            <w:tcW w:w="5308" w:type="dxa"/>
          </w:tcPr>
          <w:p w14:paraId="54009E00" w14:textId="77777777" w:rsidR="00A816E3" w:rsidRPr="004A0C12" w:rsidRDefault="00A816E3" w:rsidP="009F5EDD">
            <w:pPr>
              <w:pStyle w:val="ListParagraph"/>
              <w:ind w:left="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Policy dissemination</w:t>
            </w:r>
          </w:p>
        </w:tc>
      </w:tr>
      <w:tr w:rsidR="00A816E3" w:rsidRPr="004A0C12" w14:paraId="06AFE91C" w14:textId="77777777" w:rsidTr="00C81EEA">
        <w:trPr>
          <w:trHeight w:val="334"/>
          <w:jc w:val="center"/>
        </w:trPr>
        <w:tc>
          <w:tcPr>
            <w:cnfStyle w:val="000010000000" w:firstRow="0" w:lastRow="0" w:firstColumn="0" w:lastColumn="0" w:oddVBand="1" w:evenVBand="0" w:oddHBand="0" w:evenHBand="0" w:firstRowFirstColumn="0" w:firstRowLastColumn="0" w:lastRowFirstColumn="0" w:lastRowLastColumn="0"/>
            <w:tcW w:w="894" w:type="dxa"/>
          </w:tcPr>
          <w:p w14:paraId="236C1E8E" w14:textId="77777777" w:rsidR="00A816E3" w:rsidRPr="004A0C12" w:rsidRDefault="00A816E3" w:rsidP="00A816E3">
            <w:pPr>
              <w:jc w:val="both"/>
              <w:rPr>
                <w:rFonts w:ascii="Garamond" w:hAnsi="Garamond"/>
                <w:sz w:val="22"/>
                <w:szCs w:val="22"/>
              </w:rPr>
            </w:pPr>
            <w:r w:rsidRPr="004A0C12">
              <w:rPr>
                <w:rFonts w:ascii="Garamond" w:hAnsi="Garamond"/>
                <w:sz w:val="22"/>
                <w:szCs w:val="22"/>
              </w:rPr>
              <w:t>8.</w:t>
            </w:r>
          </w:p>
        </w:tc>
        <w:tc>
          <w:tcPr>
            <w:tcW w:w="5308" w:type="dxa"/>
          </w:tcPr>
          <w:p w14:paraId="05DCE7A9" w14:textId="77777777" w:rsidR="00A816E3" w:rsidRPr="004A0C12" w:rsidRDefault="00A816E3" w:rsidP="009F5EDD">
            <w:pPr>
              <w:pStyle w:val="ListParagraph"/>
              <w:ind w:left="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Policy modification (when applicable)</w:t>
            </w:r>
          </w:p>
        </w:tc>
      </w:tr>
    </w:tbl>
    <w:p w14:paraId="258E78D1" w14:textId="77777777" w:rsidR="00A816E3" w:rsidRPr="004A0C12" w:rsidRDefault="00A816E3" w:rsidP="00A816E3">
      <w:pPr>
        <w:pStyle w:val="ListParagraph"/>
        <w:ind w:left="0"/>
        <w:jc w:val="both"/>
        <w:rPr>
          <w:rFonts w:ascii="Garamond" w:hAnsi="Garamond"/>
          <w:szCs w:val="22"/>
        </w:rPr>
      </w:pPr>
    </w:p>
    <w:p w14:paraId="0D673D76" w14:textId="77777777" w:rsidR="002C0FD8" w:rsidRPr="004A0C12" w:rsidRDefault="002C0FD8" w:rsidP="002C0FD8">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The WIOA Partners have a robust and collaborative operational policy plan in place to guide the state’s workforce system. Maryland is committed to implementing WIOA with a true systems approach, and therefore, DLLR, DORS, and DHR are committed to jointly issuing policies, memos, and guidance documents for the WIOA system, in line with the direction of the Governor’s Workforce Development Board, and as appropriate. Jointly issuing operational policies is Maryland’s way of ensuring all staff and system partners, regardless of which agency or organization they represent, will have the same expectations, training, and understanding of how to interact with customers and each other. By taking a collaborative, thoughtful approach, which allows for subject matter experts across the system to weigh in, the WIOA Policy Work Group, in coordination with the WIOA Alignment Group and the Governor’s Workforce Development Board, successfully works to provide policy guidance on a variety </w:t>
      </w:r>
      <w:r w:rsidRPr="004A0C12">
        <w:rPr>
          <w:rFonts w:ascii="Garamond" w:hAnsi="Garamond"/>
          <w:color w:val="000000"/>
          <w:sz w:val="22"/>
          <w:szCs w:val="22"/>
        </w:rPr>
        <w:lastRenderedPageBreak/>
        <w:t>of topics that are key to WIOA implementation. The U.S. Department of Labor has touted Maryland’s approach to policymaking as a national best practice and Maryland often provides technical assistance on the development of policies to other states via webinars and other means.</w:t>
      </w:r>
    </w:p>
    <w:p w14:paraId="556A8A14" w14:textId="77777777" w:rsidR="002C0FD8" w:rsidRPr="004A0C12" w:rsidRDefault="002C0FD8" w:rsidP="002C0FD8">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All of Maryland’s policy guidance is provided on DLLR’s website (http://www.dllr.state.md.us/employment/mpi/) to ensure ease of access for staff and the general public, alike. To help identify specific WIOA policy needs, the WIOA Policy Work Group began by soliciting feedback in Spring 2015 from the State’s other WIOA Workgroups to ensure policy needs were documented and subject matter experts from relevant State and local organizations were appropriately identified and engaged. Additionally, DLLR reviewed its existing policies and identified areas that could benefit from improvement and/or alignment with other WIOA programs. The WIOA Policy Work Group, in consultation with the other WIOA Work Groups, </w:t>
      </w:r>
      <w:proofErr w:type="gramStart"/>
      <w:r w:rsidRPr="004A0C12">
        <w:rPr>
          <w:rFonts w:ascii="Garamond" w:hAnsi="Garamond"/>
          <w:color w:val="000000"/>
          <w:sz w:val="22"/>
          <w:szCs w:val="22"/>
        </w:rPr>
        <w:t>have</w:t>
      </w:r>
      <w:proofErr w:type="gramEnd"/>
      <w:r w:rsidRPr="004A0C12">
        <w:rPr>
          <w:rFonts w:ascii="Garamond" w:hAnsi="Garamond"/>
          <w:color w:val="000000"/>
          <w:sz w:val="22"/>
          <w:szCs w:val="22"/>
        </w:rPr>
        <w:t xml:space="preserve"> thus identified a variety of policy needs and work is underway to fully develop strong policies that align with the State Plan’s vision. The Policy Work Group has strategically solicited the expertise of a wide-range of subject matter experts, ranging from directors to front-line staff, which represent many different organizations and will continue to work systematically to issue policy guidance as necessary for effective and efficient system operations.</w:t>
      </w:r>
    </w:p>
    <w:p w14:paraId="05D1A3DD" w14:textId="77777777" w:rsidR="002C0FD8" w:rsidRPr="004A0C12" w:rsidRDefault="002C0FD8" w:rsidP="0074457B">
      <w:pPr>
        <w:pStyle w:val="ListParagraph"/>
        <w:ind w:left="0"/>
        <w:jc w:val="both"/>
        <w:rPr>
          <w:rFonts w:ascii="Garamond" w:hAnsi="Garamond"/>
          <w:szCs w:val="22"/>
        </w:rPr>
      </w:pPr>
    </w:p>
    <w:p w14:paraId="65BDB2C1" w14:textId="4BBCA303" w:rsidR="0074457B" w:rsidRPr="004A0C12" w:rsidRDefault="0074457B" w:rsidP="0074457B">
      <w:pPr>
        <w:pStyle w:val="ListParagraph"/>
        <w:ind w:left="0"/>
        <w:jc w:val="both"/>
        <w:rPr>
          <w:rFonts w:ascii="Garamond" w:hAnsi="Garamond"/>
          <w:szCs w:val="22"/>
        </w:rPr>
      </w:pPr>
      <w:r w:rsidRPr="004A0C12">
        <w:rPr>
          <w:rFonts w:ascii="Garamond" w:hAnsi="Garamond"/>
          <w:szCs w:val="22"/>
        </w:rPr>
        <w:t>To help identify specific WIOA policy needs, the WIOA Policy Work Group began by soliciting feedback in Spring 2015 from the State’s other eight WIOA</w:t>
      </w:r>
      <w:r w:rsidR="009009EC" w:rsidRPr="004A0C12">
        <w:rPr>
          <w:rFonts w:ascii="Garamond" w:hAnsi="Garamond"/>
          <w:szCs w:val="22"/>
        </w:rPr>
        <w:t xml:space="preserve"> Workgroups (identified on pages 2-7</w:t>
      </w:r>
      <w:r w:rsidRPr="004A0C12">
        <w:rPr>
          <w:rFonts w:ascii="Garamond" w:hAnsi="Garamond"/>
          <w:szCs w:val="22"/>
        </w:rPr>
        <w:t xml:space="preserve">) to ensure policy needs were documented and subject matter experts from relevant State and local organizations were appropriately identified and engaged. Additionally, DLLR reviewed its existing policies and identified areas that could benefit from improvement and/or alignment with other WIOA programs. As of December 2015, the following policy needs have been identified: </w:t>
      </w:r>
    </w:p>
    <w:p w14:paraId="397F853C" w14:textId="77777777" w:rsidR="0074457B" w:rsidRPr="004A0C12" w:rsidRDefault="0074457B" w:rsidP="0074457B">
      <w:pPr>
        <w:pStyle w:val="ListParagraph"/>
        <w:ind w:left="0"/>
        <w:jc w:val="both"/>
        <w:rPr>
          <w:rFonts w:ascii="Garamond" w:hAnsi="Garamond"/>
          <w:szCs w:val="22"/>
        </w:rPr>
      </w:pPr>
    </w:p>
    <w:tbl>
      <w:tblPr>
        <w:tblStyle w:val="LightList-Accent1"/>
        <w:tblW w:w="0" w:type="auto"/>
        <w:tblLayout w:type="fixed"/>
        <w:tblLook w:val="0000" w:firstRow="0" w:lastRow="0" w:firstColumn="0" w:lastColumn="0" w:noHBand="0" w:noVBand="0"/>
        <w:tblCaption w:val="WIOA Policy Needs"/>
        <w:tblDescription w:val="This chart lists the WIOA Policy Needs that have been idenfified to date. It also lists the organizations represented by Subject Matter Experts in the policy discussions held to craft policy. "/>
      </w:tblPr>
      <w:tblGrid>
        <w:gridCol w:w="529"/>
        <w:gridCol w:w="3644"/>
        <w:gridCol w:w="6831"/>
      </w:tblGrid>
      <w:tr w:rsidR="0074457B" w:rsidRPr="004A0C12" w14:paraId="7A1E6D36" w14:textId="77777777" w:rsidTr="008B1D9A">
        <w:trPr>
          <w:trHeight w:val="480"/>
          <w:tblHeader/>
        </w:trPr>
        <w:tc>
          <w:tcPr>
            <w:cnfStyle w:val="000010000000" w:firstRow="0" w:lastRow="0" w:firstColumn="0" w:lastColumn="0" w:oddVBand="1" w:evenVBand="0" w:oddHBand="0" w:evenHBand="0" w:firstRowFirstColumn="0" w:firstRowLastColumn="0" w:lastRowFirstColumn="0" w:lastRowLastColumn="0"/>
            <w:tcW w:w="529" w:type="dxa"/>
          </w:tcPr>
          <w:p w14:paraId="6C271095" w14:textId="77777777" w:rsidR="0074457B" w:rsidRPr="004A0C12" w:rsidRDefault="0074457B" w:rsidP="009F5EDD">
            <w:pPr>
              <w:pStyle w:val="ListParagraph"/>
              <w:ind w:left="0"/>
              <w:rPr>
                <w:rFonts w:ascii="Garamond" w:hAnsi="Garamond"/>
                <w:szCs w:val="22"/>
              </w:rPr>
            </w:pPr>
          </w:p>
        </w:tc>
        <w:tc>
          <w:tcPr>
            <w:tcW w:w="3644" w:type="dxa"/>
          </w:tcPr>
          <w:p w14:paraId="31B41067" w14:textId="77777777" w:rsidR="0074457B" w:rsidRPr="004A0C12" w:rsidRDefault="0074457B" w:rsidP="009F5EDD">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Garamond" w:hAnsi="Garamond"/>
                <w:b/>
                <w:szCs w:val="22"/>
              </w:rPr>
            </w:pPr>
            <w:r w:rsidRPr="004A0C12">
              <w:rPr>
                <w:rFonts w:ascii="Garamond" w:hAnsi="Garamond"/>
                <w:b/>
                <w:szCs w:val="22"/>
              </w:rPr>
              <w:t>WIOA Policy Need</w:t>
            </w:r>
          </w:p>
        </w:tc>
        <w:tc>
          <w:tcPr>
            <w:cnfStyle w:val="000010000000" w:firstRow="0" w:lastRow="0" w:firstColumn="0" w:lastColumn="0" w:oddVBand="1" w:evenVBand="0" w:oddHBand="0" w:evenHBand="0" w:firstRowFirstColumn="0" w:firstRowLastColumn="0" w:lastRowFirstColumn="0" w:lastRowLastColumn="0"/>
            <w:tcW w:w="6831" w:type="dxa"/>
          </w:tcPr>
          <w:p w14:paraId="63E60506" w14:textId="77777777" w:rsidR="0074457B" w:rsidRPr="004A0C12" w:rsidRDefault="0074457B" w:rsidP="009F5EDD">
            <w:pPr>
              <w:pStyle w:val="ListParagraph"/>
              <w:ind w:left="0"/>
              <w:jc w:val="center"/>
              <w:rPr>
                <w:rFonts w:ascii="Garamond" w:hAnsi="Garamond"/>
                <w:b/>
                <w:szCs w:val="22"/>
              </w:rPr>
            </w:pPr>
            <w:r w:rsidRPr="004A0C12">
              <w:rPr>
                <w:rFonts w:ascii="Garamond" w:hAnsi="Garamond"/>
                <w:b/>
                <w:szCs w:val="22"/>
              </w:rPr>
              <w:t xml:space="preserve">Organizations Represented  </w:t>
            </w:r>
          </w:p>
          <w:p w14:paraId="0A5BAD92" w14:textId="77777777" w:rsidR="0074457B" w:rsidRPr="004A0C12" w:rsidRDefault="0074457B" w:rsidP="009F5EDD">
            <w:pPr>
              <w:pStyle w:val="ListParagraph"/>
              <w:ind w:left="0"/>
              <w:jc w:val="center"/>
              <w:rPr>
                <w:rFonts w:ascii="Garamond" w:hAnsi="Garamond"/>
                <w:b/>
                <w:szCs w:val="22"/>
              </w:rPr>
            </w:pPr>
            <w:r w:rsidRPr="004A0C12">
              <w:rPr>
                <w:rFonts w:ascii="Garamond" w:hAnsi="Garamond"/>
                <w:b/>
                <w:szCs w:val="22"/>
              </w:rPr>
              <w:t xml:space="preserve">by Subject Matter Experts in Policy Discussion </w:t>
            </w:r>
          </w:p>
        </w:tc>
      </w:tr>
      <w:tr w:rsidR="0074457B" w:rsidRPr="004A0C12" w14:paraId="1D71163B" w14:textId="77777777" w:rsidTr="00C81EEA">
        <w:trPr>
          <w:cnfStyle w:val="000000100000" w:firstRow="0" w:lastRow="0" w:firstColumn="0" w:lastColumn="0" w:oddVBand="0" w:evenVBand="0" w:oddHBand="1" w:evenHBand="0" w:firstRowFirstColumn="0" w:firstRowLastColumn="0" w:lastRowFirstColumn="0" w:lastRowLastColumn="0"/>
          <w:trHeight w:val="1140"/>
        </w:trPr>
        <w:tc>
          <w:tcPr>
            <w:cnfStyle w:val="000010000000" w:firstRow="0" w:lastRow="0" w:firstColumn="0" w:lastColumn="0" w:oddVBand="1" w:evenVBand="0" w:oddHBand="0" w:evenHBand="0" w:firstRowFirstColumn="0" w:firstRowLastColumn="0" w:lastRowFirstColumn="0" w:lastRowLastColumn="0"/>
            <w:tcW w:w="529" w:type="dxa"/>
          </w:tcPr>
          <w:p w14:paraId="7C50B324" w14:textId="77777777" w:rsidR="0074457B" w:rsidRPr="004A0C12" w:rsidRDefault="0074457B" w:rsidP="009F5EDD">
            <w:pPr>
              <w:pStyle w:val="ListParagraph"/>
              <w:ind w:left="0"/>
              <w:rPr>
                <w:rFonts w:ascii="Garamond" w:hAnsi="Garamond"/>
                <w:b/>
                <w:szCs w:val="22"/>
              </w:rPr>
            </w:pPr>
            <w:r w:rsidRPr="004A0C12">
              <w:rPr>
                <w:rFonts w:ascii="Garamond" w:hAnsi="Garamond"/>
                <w:b/>
                <w:szCs w:val="22"/>
              </w:rPr>
              <w:t>1.</w:t>
            </w:r>
          </w:p>
        </w:tc>
        <w:tc>
          <w:tcPr>
            <w:tcW w:w="3644" w:type="dxa"/>
          </w:tcPr>
          <w:p w14:paraId="3EF5561A" w14:textId="77777777" w:rsidR="0074457B" w:rsidRPr="004A0C12" w:rsidRDefault="0074457B" w:rsidP="00C81EEA">
            <w:pPr>
              <w:pStyle w:val="NoSpacing"/>
              <w:cnfStyle w:val="000000100000" w:firstRow="0" w:lastRow="0" w:firstColumn="0" w:lastColumn="0" w:oddVBand="0" w:evenVBand="0" w:oddHBand="1" w:evenHBand="0" w:firstRowFirstColumn="0" w:firstRowLastColumn="0" w:lastRowFirstColumn="0" w:lastRowLastColumn="0"/>
              <w:rPr>
                <w:rFonts w:ascii="Garamond" w:hAnsi="Garamond"/>
              </w:rPr>
            </w:pPr>
            <w:r w:rsidRPr="004A0C12">
              <w:rPr>
                <w:rFonts w:ascii="Garamond" w:hAnsi="Garamond"/>
              </w:rPr>
              <w:t xml:space="preserve">Local Workforce Development Boards </w:t>
            </w:r>
          </w:p>
          <w:p w14:paraId="64F4FE2E" w14:textId="77777777" w:rsidR="0074457B" w:rsidRPr="004A0C12" w:rsidRDefault="0074457B" w:rsidP="00C81EEA">
            <w:pPr>
              <w:pStyle w:val="NoSpacing"/>
              <w:cnfStyle w:val="000000100000" w:firstRow="0" w:lastRow="0" w:firstColumn="0" w:lastColumn="0" w:oddVBand="0" w:evenVBand="0" w:oddHBand="1" w:evenHBand="0" w:firstRowFirstColumn="0" w:firstRowLastColumn="0" w:lastRowFirstColumn="0" w:lastRowLastColumn="0"/>
              <w:rPr>
                <w:rFonts w:ascii="Garamond" w:hAnsi="Garamond"/>
              </w:rPr>
            </w:pPr>
          </w:p>
          <w:p w14:paraId="25C829A4" w14:textId="77777777" w:rsidR="0074457B" w:rsidRPr="004A0C12" w:rsidRDefault="0074457B" w:rsidP="00C81EEA">
            <w:pPr>
              <w:pStyle w:val="NoSpacing"/>
              <w:cnfStyle w:val="000000100000" w:firstRow="0" w:lastRow="0" w:firstColumn="0" w:lastColumn="0" w:oddVBand="0" w:evenVBand="0" w:oddHBand="1" w:evenHBand="0" w:firstRowFirstColumn="0" w:firstRowLastColumn="0" w:lastRowFirstColumn="0" w:lastRowLastColumn="0"/>
              <w:rPr>
                <w:rFonts w:ascii="Garamond" w:hAnsi="Garamond"/>
              </w:rPr>
            </w:pPr>
            <w:r w:rsidRPr="004A0C12">
              <w:rPr>
                <w:rFonts w:ascii="Garamond" w:hAnsi="Garamond"/>
              </w:rPr>
              <w:t>Policy Issued by GWIB on 7/8/2015:</w:t>
            </w:r>
          </w:p>
          <w:p w14:paraId="0AF246E2" w14:textId="77777777" w:rsidR="0074457B" w:rsidRPr="004A0C12" w:rsidRDefault="00943AA8" w:rsidP="00C81EEA">
            <w:pPr>
              <w:pStyle w:val="NoSpacing"/>
              <w:cnfStyle w:val="000000100000" w:firstRow="0" w:lastRow="0" w:firstColumn="0" w:lastColumn="0" w:oddVBand="0" w:evenVBand="0" w:oddHBand="1" w:evenHBand="0" w:firstRowFirstColumn="0" w:firstRowLastColumn="0" w:lastRowFirstColumn="0" w:lastRowLastColumn="0"/>
              <w:rPr>
                <w:rFonts w:ascii="Garamond" w:hAnsi="Garamond"/>
              </w:rPr>
            </w:pPr>
            <w:hyperlink r:id="rId74" w:history="1">
              <w:r w:rsidR="0074457B" w:rsidRPr="004A0C12">
                <w:rPr>
                  <w:rStyle w:val="Hyperlink2"/>
                  <w:rFonts w:ascii="Garamond" w:eastAsia="ヒラギノ角ゴ Pro W3" w:hAnsi="Garamond"/>
                  <w:sz w:val="22"/>
                </w:rPr>
                <w:t>http://www.gwib.maryland.gov/policy/gwibpi1-15.pdf</w:t>
              </w:r>
            </w:hyperlink>
          </w:p>
        </w:tc>
        <w:tc>
          <w:tcPr>
            <w:cnfStyle w:val="000010000000" w:firstRow="0" w:lastRow="0" w:firstColumn="0" w:lastColumn="0" w:oddVBand="1" w:evenVBand="0" w:oddHBand="0" w:evenHBand="0" w:firstRowFirstColumn="0" w:firstRowLastColumn="0" w:lastRowFirstColumn="0" w:lastRowLastColumn="0"/>
            <w:tcW w:w="6831" w:type="dxa"/>
          </w:tcPr>
          <w:p w14:paraId="0B95F876" w14:textId="77777777" w:rsidR="0074457B" w:rsidRPr="004A0C12" w:rsidRDefault="0074457B" w:rsidP="00F733CF">
            <w:pPr>
              <w:pStyle w:val="ListParagraph"/>
              <w:numPr>
                <w:ilvl w:val="0"/>
                <w:numId w:val="42"/>
              </w:numPr>
              <w:ind w:hanging="360"/>
              <w:rPr>
                <w:rFonts w:ascii="Garamond" w:hAnsi="Garamond"/>
                <w:szCs w:val="22"/>
              </w:rPr>
            </w:pPr>
            <w:r w:rsidRPr="004A0C12">
              <w:rPr>
                <w:rFonts w:ascii="Garamond" w:hAnsi="Garamond"/>
                <w:szCs w:val="22"/>
              </w:rPr>
              <w:t xml:space="preserve">Anne Arundel Workforce Development Corporation </w:t>
            </w:r>
          </w:p>
          <w:p w14:paraId="13698EBA" w14:textId="77777777" w:rsidR="0074457B" w:rsidRPr="004A0C12" w:rsidRDefault="0074457B" w:rsidP="00F733CF">
            <w:pPr>
              <w:pStyle w:val="ListParagraph"/>
              <w:numPr>
                <w:ilvl w:val="0"/>
                <w:numId w:val="42"/>
              </w:numPr>
              <w:ind w:hanging="360"/>
              <w:rPr>
                <w:rFonts w:ascii="Garamond" w:hAnsi="Garamond"/>
                <w:szCs w:val="22"/>
              </w:rPr>
            </w:pPr>
            <w:r w:rsidRPr="004A0C12">
              <w:rPr>
                <w:rFonts w:ascii="Garamond" w:hAnsi="Garamond"/>
                <w:szCs w:val="22"/>
              </w:rPr>
              <w:t xml:space="preserve">Governor’s Workforce Investment Board Maryland </w:t>
            </w:r>
          </w:p>
          <w:p w14:paraId="53953077" w14:textId="77777777" w:rsidR="0074457B" w:rsidRPr="004A0C12" w:rsidRDefault="0074457B" w:rsidP="00F733CF">
            <w:pPr>
              <w:pStyle w:val="ListParagraph"/>
              <w:numPr>
                <w:ilvl w:val="0"/>
                <w:numId w:val="42"/>
              </w:numPr>
              <w:ind w:hanging="360"/>
              <w:rPr>
                <w:rFonts w:ascii="Garamond" w:hAnsi="Garamond"/>
                <w:szCs w:val="22"/>
              </w:rPr>
            </w:pPr>
            <w:r w:rsidRPr="004A0C12">
              <w:rPr>
                <w:rFonts w:ascii="Garamond" w:hAnsi="Garamond"/>
                <w:szCs w:val="22"/>
              </w:rPr>
              <w:t>Maryland DLLR-Division of Workforce Development &amp; Adult Learning</w:t>
            </w:r>
          </w:p>
        </w:tc>
      </w:tr>
      <w:tr w:rsidR="0074457B" w:rsidRPr="004A0C12" w14:paraId="621CD716" w14:textId="77777777" w:rsidTr="00C81EEA">
        <w:trPr>
          <w:trHeight w:val="2880"/>
        </w:trPr>
        <w:tc>
          <w:tcPr>
            <w:cnfStyle w:val="000010000000" w:firstRow="0" w:lastRow="0" w:firstColumn="0" w:lastColumn="0" w:oddVBand="1" w:evenVBand="0" w:oddHBand="0" w:evenHBand="0" w:firstRowFirstColumn="0" w:firstRowLastColumn="0" w:lastRowFirstColumn="0" w:lastRowLastColumn="0"/>
            <w:tcW w:w="529" w:type="dxa"/>
          </w:tcPr>
          <w:p w14:paraId="166E9679" w14:textId="77777777" w:rsidR="0074457B" w:rsidRPr="004A0C12" w:rsidRDefault="0074457B" w:rsidP="009F5EDD">
            <w:pPr>
              <w:pStyle w:val="ListParagraph"/>
              <w:ind w:left="0"/>
              <w:rPr>
                <w:rFonts w:ascii="Garamond" w:hAnsi="Garamond"/>
                <w:b/>
                <w:szCs w:val="22"/>
              </w:rPr>
            </w:pPr>
            <w:r w:rsidRPr="004A0C12">
              <w:rPr>
                <w:rFonts w:ascii="Garamond" w:hAnsi="Garamond"/>
                <w:b/>
                <w:szCs w:val="22"/>
              </w:rPr>
              <w:t xml:space="preserve">2. </w:t>
            </w:r>
          </w:p>
        </w:tc>
        <w:tc>
          <w:tcPr>
            <w:tcW w:w="3644" w:type="dxa"/>
          </w:tcPr>
          <w:p w14:paraId="2B8F6CE9" w14:textId="77777777" w:rsidR="0074457B" w:rsidRPr="004A0C12" w:rsidRDefault="0074457B" w:rsidP="00C81EEA">
            <w:pPr>
              <w:pStyle w:val="NoSpacing"/>
              <w:cnfStyle w:val="000000000000" w:firstRow="0" w:lastRow="0" w:firstColumn="0" w:lastColumn="0" w:oddVBand="0" w:evenVBand="0" w:oddHBand="0" w:evenHBand="0" w:firstRowFirstColumn="0" w:firstRowLastColumn="0" w:lastRowFirstColumn="0" w:lastRowLastColumn="0"/>
              <w:rPr>
                <w:rFonts w:ascii="Garamond" w:hAnsi="Garamond"/>
              </w:rPr>
            </w:pPr>
            <w:r w:rsidRPr="004A0C12">
              <w:rPr>
                <w:rFonts w:ascii="Garamond" w:hAnsi="Garamond"/>
              </w:rPr>
              <w:t xml:space="preserve">WIOA Eligibility </w:t>
            </w:r>
          </w:p>
          <w:p w14:paraId="3851EF07" w14:textId="77777777" w:rsidR="0074457B" w:rsidRPr="004A0C12" w:rsidRDefault="0074457B" w:rsidP="00C81EEA">
            <w:pPr>
              <w:pStyle w:val="NoSpacing"/>
              <w:cnfStyle w:val="000000000000" w:firstRow="0" w:lastRow="0" w:firstColumn="0" w:lastColumn="0" w:oddVBand="0" w:evenVBand="0" w:oddHBand="0" w:evenHBand="0" w:firstRowFirstColumn="0" w:firstRowLastColumn="0" w:lastRowFirstColumn="0" w:lastRowLastColumn="0"/>
              <w:rPr>
                <w:rFonts w:ascii="Garamond" w:hAnsi="Garamond"/>
              </w:rPr>
            </w:pPr>
          </w:p>
          <w:p w14:paraId="3A4BA4DA" w14:textId="77777777" w:rsidR="0074457B" w:rsidRPr="004A0C12" w:rsidRDefault="0074457B" w:rsidP="00C81EEA">
            <w:pPr>
              <w:pStyle w:val="NoSpacing"/>
              <w:cnfStyle w:val="000000000000" w:firstRow="0" w:lastRow="0" w:firstColumn="0" w:lastColumn="0" w:oddVBand="0" w:evenVBand="0" w:oddHBand="0" w:evenHBand="0" w:firstRowFirstColumn="0" w:firstRowLastColumn="0" w:lastRowFirstColumn="0" w:lastRowLastColumn="0"/>
              <w:rPr>
                <w:rFonts w:ascii="Garamond" w:hAnsi="Garamond"/>
              </w:rPr>
            </w:pPr>
            <w:r w:rsidRPr="004A0C12">
              <w:rPr>
                <w:rFonts w:ascii="Garamond" w:hAnsi="Garamond"/>
              </w:rPr>
              <w:t xml:space="preserve">Title I policy issued by DLLR on 6/25/15: </w:t>
            </w:r>
            <w:hyperlink r:id="rId75" w:history="1">
              <w:r w:rsidRPr="004A0C12">
                <w:rPr>
                  <w:rStyle w:val="Hyperlink2"/>
                  <w:rFonts w:ascii="Garamond" w:eastAsia="ヒラギノ角ゴ Pro W3" w:hAnsi="Garamond"/>
                  <w:sz w:val="22"/>
                </w:rPr>
                <w:t>http://www.dllr.state.md.us/employment/mpi/mpi4-15.pdf</w:t>
              </w:r>
            </w:hyperlink>
          </w:p>
        </w:tc>
        <w:tc>
          <w:tcPr>
            <w:cnfStyle w:val="000010000000" w:firstRow="0" w:lastRow="0" w:firstColumn="0" w:lastColumn="0" w:oddVBand="1" w:evenVBand="0" w:oddHBand="0" w:evenHBand="0" w:firstRowFirstColumn="0" w:firstRowLastColumn="0" w:lastRowFirstColumn="0" w:lastRowLastColumn="0"/>
            <w:tcW w:w="6831" w:type="dxa"/>
          </w:tcPr>
          <w:p w14:paraId="030019B6" w14:textId="77777777" w:rsidR="0074457B" w:rsidRPr="004A0C12" w:rsidRDefault="0074457B" w:rsidP="00F733CF">
            <w:pPr>
              <w:pStyle w:val="ListParagraph"/>
              <w:numPr>
                <w:ilvl w:val="0"/>
                <w:numId w:val="43"/>
              </w:numPr>
              <w:ind w:hanging="360"/>
              <w:rPr>
                <w:rFonts w:ascii="Garamond" w:hAnsi="Garamond"/>
                <w:szCs w:val="22"/>
              </w:rPr>
            </w:pPr>
            <w:r w:rsidRPr="004A0C12">
              <w:rPr>
                <w:rFonts w:ascii="Garamond" w:hAnsi="Garamond"/>
                <w:szCs w:val="22"/>
              </w:rPr>
              <w:t>Baltimore City Mayor’s Office of Employment Development</w:t>
            </w:r>
          </w:p>
          <w:p w14:paraId="35E71EC7" w14:textId="77777777" w:rsidR="0074457B" w:rsidRPr="004A0C12" w:rsidRDefault="0074457B" w:rsidP="00F733CF">
            <w:pPr>
              <w:pStyle w:val="ListParagraph"/>
              <w:numPr>
                <w:ilvl w:val="0"/>
                <w:numId w:val="43"/>
              </w:numPr>
              <w:ind w:hanging="360"/>
              <w:rPr>
                <w:rFonts w:ascii="Garamond" w:hAnsi="Garamond"/>
                <w:szCs w:val="22"/>
              </w:rPr>
            </w:pPr>
            <w:r w:rsidRPr="004A0C12">
              <w:rPr>
                <w:rFonts w:ascii="Garamond" w:hAnsi="Garamond"/>
                <w:szCs w:val="22"/>
              </w:rPr>
              <w:t xml:space="preserve">Maryland Department of Disabilities </w:t>
            </w:r>
          </w:p>
          <w:p w14:paraId="7E9492F4" w14:textId="29605A40" w:rsidR="0074457B" w:rsidRPr="004A0C12" w:rsidRDefault="00C81EEA" w:rsidP="00F733CF">
            <w:pPr>
              <w:pStyle w:val="ListParagraph"/>
              <w:numPr>
                <w:ilvl w:val="0"/>
                <w:numId w:val="43"/>
              </w:numPr>
              <w:ind w:hanging="360"/>
              <w:rPr>
                <w:rFonts w:ascii="Garamond" w:hAnsi="Garamond"/>
                <w:szCs w:val="22"/>
              </w:rPr>
            </w:pPr>
            <w:r w:rsidRPr="004A0C12">
              <w:rPr>
                <w:rFonts w:ascii="Garamond" w:hAnsi="Garamond"/>
                <w:szCs w:val="22"/>
              </w:rPr>
              <w:t>Maryland DHR-</w:t>
            </w:r>
            <w:r w:rsidR="0074457B" w:rsidRPr="004A0C12">
              <w:rPr>
                <w:rFonts w:ascii="Garamond" w:hAnsi="Garamond"/>
                <w:szCs w:val="22"/>
              </w:rPr>
              <w:t>Family Investment Administration</w:t>
            </w:r>
          </w:p>
          <w:p w14:paraId="24D6A99B" w14:textId="77777777" w:rsidR="0074457B" w:rsidRPr="004A0C12" w:rsidRDefault="0074457B" w:rsidP="00F733CF">
            <w:pPr>
              <w:numPr>
                <w:ilvl w:val="0"/>
                <w:numId w:val="43"/>
              </w:numPr>
              <w:ind w:hanging="360"/>
              <w:rPr>
                <w:rFonts w:ascii="Garamond" w:hAnsi="Garamond"/>
              </w:rPr>
            </w:pPr>
            <w:r w:rsidRPr="004A0C12">
              <w:rPr>
                <w:rFonts w:ascii="Garamond" w:hAnsi="Garamond"/>
              </w:rPr>
              <w:t>Maryland DLLR-Division of Workforce Development &amp; Adult Learning</w:t>
            </w:r>
          </w:p>
          <w:p w14:paraId="5A3568AA" w14:textId="77777777" w:rsidR="0074457B" w:rsidRPr="004A0C12" w:rsidRDefault="0074457B" w:rsidP="00F733CF">
            <w:pPr>
              <w:pStyle w:val="ListParagraph"/>
              <w:numPr>
                <w:ilvl w:val="0"/>
                <w:numId w:val="43"/>
              </w:numPr>
              <w:ind w:hanging="360"/>
              <w:rPr>
                <w:rFonts w:ascii="Garamond" w:hAnsi="Garamond"/>
                <w:szCs w:val="22"/>
              </w:rPr>
            </w:pPr>
            <w:r w:rsidRPr="004A0C12">
              <w:rPr>
                <w:rFonts w:ascii="Garamond" w:hAnsi="Garamond"/>
                <w:szCs w:val="22"/>
              </w:rPr>
              <w:t>Maryland DLLR-Division of Unemployment Insurance</w:t>
            </w:r>
          </w:p>
          <w:p w14:paraId="4DFD14ED" w14:textId="77777777" w:rsidR="0074457B" w:rsidRPr="004A0C12" w:rsidRDefault="0074457B" w:rsidP="00F733CF">
            <w:pPr>
              <w:pStyle w:val="ListParagraph"/>
              <w:numPr>
                <w:ilvl w:val="0"/>
                <w:numId w:val="43"/>
              </w:numPr>
              <w:ind w:hanging="360"/>
              <w:rPr>
                <w:rFonts w:ascii="Garamond" w:hAnsi="Garamond"/>
                <w:szCs w:val="22"/>
              </w:rPr>
            </w:pPr>
            <w:r w:rsidRPr="004A0C12">
              <w:rPr>
                <w:rFonts w:ascii="Garamond" w:hAnsi="Garamond"/>
                <w:szCs w:val="22"/>
              </w:rPr>
              <w:t>Maryland Department of Planning</w:t>
            </w:r>
          </w:p>
          <w:p w14:paraId="0118B9C5" w14:textId="77777777" w:rsidR="0074457B" w:rsidRPr="004A0C12" w:rsidRDefault="0074457B" w:rsidP="00F733CF">
            <w:pPr>
              <w:pStyle w:val="ListParagraph"/>
              <w:numPr>
                <w:ilvl w:val="0"/>
                <w:numId w:val="43"/>
              </w:numPr>
              <w:ind w:hanging="360"/>
              <w:rPr>
                <w:rFonts w:ascii="Garamond" w:hAnsi="Garamond"/>
                <w:szCs w:val="22"/>
              </w:rPr>
            </w:pPr>
            <w:r w:rsidRPr="004A0C12">
              <w:rPr>
                <w:rFonts w:ascii="Garamond" w:hAnsi="Garamond"/>
                <w:szCs w:val="22"/>
              </w:rPr>
              <w:t>Maryland State Dept. of Education -Division of Rehabilitation Services</w:t>
            </w:r>
          </w:p>
          <w:p w14:paraId="2C9B5CBC" w14:textId="77777777" w:rsidR="0074457B" w:rsidRPr="004A0C12" w:rsidRDefault="0074457B" w:rsidP="00F733CF">
            <w:pPr>
              <w:pStyle w:val="ListParagraph"/>
              <w:numPr>
                <w:ilvl w:val="0"/>
                <w:numId w:val="43"/>
              </w:numPr>
              <w:ind w:hanging="360"/>
              <w:rPr>
                <w:rFonts w:ascii="Garamond" w:hAnsi="Garamond"/>
                <w:szCs w:val="22"/>
              </w:rPr>
            </w:pPr>
            <w:r w:rsidRPr="004A0C12">
              <w:rPr>
                <w:rFonts w:ascii="Garamond" w:hAnsi="Garamond"/>
                <w:szCs w:val="22"/>
              </w:rPr>
              <w:t>Mid-Maryland Workforce Investment Area</w:t>
            </w:r>
          </w:p>
          <w:p w14:paraId="5F416B8B" w14:textId="5E461915" w:rsidR="0074457B" w:rsidRPr="004A0C12" w:rsidRDefault="0074457B" w:rsidP="00F733CF">
            <w:pPr>
              <w:pStyle w:val="ListParagraph"/>
              <w:numPr>
                <w:ilvl w:val="0"/>
                <w:numId w:val="43"/>
              </w:numPr>
              <w:ind w:hanging="360"/>
              <w:rPr>
                <w:rFonts w:ascii="Garamond" w:hAnsi="Garamond"/>
                <w:szCs w:val="22"/>
              </w:rPr>
            </w:pPr>
            <w:r w:rsidRPr="004A0C12">
              <w:rPr>
                <w:rFonts w:ascii="Garamond" w:hAnsi="Garamond"/>
                <w:szCs w:val="22"/>
              </w:rPr>
              <w:t>Montgomer</w:t>
            </w:r>
            <w:r w:rsidR="00D67ABB" w:rsidRPr="004A0C12">
              <w:rPr>
                <w:rFonts w:ascii="Garamond" w:hAnsi="Garamond"/>
                <w:szCs w:val="22"/>
              </w:rPr>
              <w:t xml:space="preserve">y County Division of Workforce </w:t>
            </w:r>
            <w:r w:rsidRPr="004A0C12">
              <w:rPr>
                <w:rFonts w:ascii="Garamond" w:hAnsi="Garamond"/>
                <w:szCs w:val="22"/>
              </w:rPr>
              <w:t>Services</w:t>
            </w:r>
          </w:p>
          <w:p w14:paraId="6BC79144" w14:textId="77777777" w:rsidR="0074457B" w:rsidRPr="004A0C12" w:rsidRDefault="0074457B" w:rsidP="00F733CF">
            <w:pPr>
              <w:pStyle w:val="ListParagraph"/>
              <w:numPr>
                <w:ilvl w:val="0"/>
                <w:numId w:val="43"/>
              </w:numPr>
              <w:ind w:hanging="360"/>
              <w:rPr>
                <w:rFonts w:ascii="Garamond" w:hAnsi="Garamond"/>
                <w:szCs w:val="22"/>
              </w:rPr>
            </w:pPr>
            <w:r w:rsidRPr="004A0C12">
              <w:rPr>
                <w:rFonts w:ascii="Garamond" w:hAnsi="Garamond"/>
                <w:szCs w:val="22"/>
              </w:rPr>
              <w:t xml:space="preserve">Susquehanna Workforce Network, Inc. </w:t>
            </w:r>
          </w:p>
        </w:tc>
      </w:tr>
      <w:tr w:rsidR="0074457B" w:rsidRPr="004A0C12" w14:paraId="3CB74AA0" w14:textId="77777777" w:rsidTr="00C81EEA">
        <w:trPr>
          <w:cnfStyle w:val="000000100000" w:firstRow="0" w:lastRow="0" w:firstColumn="0" w:lastColumn="0" w:oddVBand="0" w:evenVBand="0" w:oddHBand="1" w:evenHBand="0" w:firstRowFirstColumn="0" w:firstRowLastColumn="0" w:lastRowFirstColumn="0" w:lastRowLastColumn="0"/>
          <w:trHeight w:val="1920"/>
        </w:trPr>
        <w:tc>
          <w:tcPr>
            <w:cnfStyle w:val="000010000000" w:firstRow="0" w:lastRow="0" w:firstColumn="0" w:lastColumn="0" w:oddVBand="1" w:evenVBand="0" w:oddHBand="0" w:evenHBand="0" w:firstRowFirstColumn="0" w:firstRowLastColumn="0" w:lastRowFirstColumn="0" w:lastRowLastColumn="0"/>
            <w:tcW w:w="529" w:type="dxa"/>
          </w:tcPr>
          <w:p w14:paraId="07744ABA"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3.</w:t>
            </w:r>
          </w:p>
        </w:tc>
        <w:tc>
          <w:tcPr>
            <w:tcW w:w="3644" w:type="dxa"/>
          </w:tcPr>
          <w:p w14:paraId="13636BFC"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 xml:space="preserve">Youth </w:t>
            </w:r>
          </w:p>
          <w:p w14:paraId="68324EAD"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p>
          <w:p w14:paraId="6D014286"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Interim policy issued on 7/2/15 &amp; replaced by comprehensive policy issued on 10/2/15:</w:t>
            </w:r>
          </w:p>
          <w:p w14:paraId="6461FC4C" w14:textId="77777777" w:rsidR="0074457B" w:rsidRPr="004A0C12" w:rsidRDefault="00943AA8"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hyperlink r:id="rId76" w:history="1">
              <w:r w:rsidR="0074457B" w:rsidRPr="004A0C12">
                <w:rPr>
                  <w:rStyle w:val="Hyperlink2"/>
                  <w:rFonts w:ascii="Garamond" w:hAnsi="Garamond"/>
                  <w:sz w:val="22"/>
                  <w:szCs w:val="22"/>
                </w:rPr>
                <w:t>http://www.dllr.state.md.us/employment/mpi/mpi8-15.pdf</w:t>
              </w:r>
            </w:hyperlink>
          </w:p>
        </w:tc>
        <w:tc>
          <w:tcPr>
            <w:cnfStyle w:val="000010000000" w:firstRow="0" w:lastRow="0" w:firstColumn="0" w:lastColumn="0" w:oddVBand="1" w:evenVBand="0" w:oddHBand="0" w:evenHBand="0" w:firstRowFirstColumn="0" w:firstRowLastColumn="0" w:lastRowFirstColumn="0" w:lastRowLastColumn="0"/>
            <w:tcW w:w="6831" w:type="dxa"/>
          </w:tcPr>
          <w:p w14:paraId="1E18E5EC" w14:textId="77777777" w:rsidR="0074457B" w:rsidRPr="00F6079B" w:rsidRDefault="0074457B" w:rsidP="00F733CF">
            <w:pPr>
              <w:pStyle w:val="ListParagraph"/>
              <w:numPr>
                <w:ilvl w:val="0"/>
                <w:numId w:val="44"/>
              </w:numPr>
              <w:ind w:hanging="360"/>
              <w:jc w:val="both"/>
              <w:rPr>
                <w:rFonts w:ascii="Garamond" w:hAnsi="Garamond"/>
                <w:szCs w:val="22"/>
              </w:rPr>
            </w:pPr>
            <w:r w:rsidRPr="00F6079B">
              <w:rPr>
                <w:rFonts w:ascii="Garamond" w:hAnsi="Garamond"/>
                <w:szCs w:val="22"/>
              </w:rPr>
              <w:t xml:space="preserve">Anne Arundel Workforce Development Corporation </w:t>
            </w:r>
          </w:p>
          <w:p w14:paraId="3C39614E" w14:textId="77777777" w:rsidR="0074457B" w:rsidRPr="00F6079B" w:rsidRDefault="0074457B" w:rsidP="00F733CF">
            <w:pPr>
              <w:pStyle w:val="ListParagraph"/>
              <w:numPr>
                <w:ilvl w:val="0"/>
                <w:numId w:val="44"/>
              </w:numPr>
              <w:ind w:hanging="360"/>
              <w:rPr>
                <w:rFonts w:ascii="Garamond" w:hAnsi="Garamond"/>
                <w:szCs w:val="22"/>
              </w:rPr>
            </w:pPr>
            <w:r w:rsidRPr="00F6079B">
              <w:rPr>
                <w:rFonts w:ascii="Garamond" w:hAnsi="Garamond"/>
                <w:szCs w:val="22"/>
              </w:rPr>
              <w:t xml:space="preserve">Baltimore Co. Department of Economic Development </w:t>
            </w:r>
          </w:p>
          <w:p w14:paraId="0056CD9F" w14:textId="77777777" w:rsidR="0074457B" w:rsidRPr="00F6079B" w:rsidRDefault="0074457B" w:rsidP="00F733CF">
            <w:pPr>
              <w:pStyle w:val="ListParagraph"/>
              <w:numPr>
                <w:ilvl w:val="0"/>
                <w:numId w:val="44"/>
              </w:numPr>
              <w:ind w:hanging="360"/>
              <w:jc w:val="both"/>
              <w:rPr>
                <w:rFonts w:ascii="Garamond" w:hAnsi="Garamond"/>
                <w:szCs w:val="22"/>
              </w:rPr>
            </w:pPr>
            <w:r w:rsidRPr="00F6079B">
              <w:rPr>
                <w:rFonts w:ascii="Garamond" w:hAnsi="Garamond"/>
                <w:szCs w:val="22"/>
              </w:rPr>
              <w:t>Maryland DLLR-Division of Workforce Development &amp; Adult Learning</w:t>
            </w:r>
          </w:p>
          <w:p w14:paraId="1D1B0FE6" w14:textId="43BD6F79" w:rsidR="0074457B" w:rsidRPr="00F6079B" w:rsidRDefault="00C81EEA" w:rsidP="00F733CF">
            <w:pPr>
              <w:pStyle w:val="ListParagraph"/>
              <w:numPr>
                <w:ilvl w:val="0"/>
                <w:numId w:val="44"/>
              </w:numPr>
              <w:ind w:hanging="360"/>
              <w:rPr>
                <w:rFonts w:ascii="Garamond" w:hAnsi="Garamond"/>
                <w:szCs w:val="22"/>
              </w:rPr>
            </w:pPr>
            <w:r w:rsidRPr="00F6079B">
              <w:rPr>
                <w:rFonts w:ascii="Garamond" w:hAnsi="Garamond"/>
                <w:szCs w:val="22"/>
              </w:rPr>
              <w:t>Maryland DHR-</w:t>
            </w:r>
            <w:r w:rsidR="0074457B" w:rsidRPr="00F6079B">
              <w:rPr>
                <w:rFonts w:ascii="Garamond" w:hAnsi="Garamond"/>
                <w:szCs w:val="22"/>
              </w:rPr>
              <w:t>Family Investment Administration</w:t>
            </w:r>
          </w:p>
          <w:p w14:paraId="323DBACE" w14:textId="0E13D12B" w:rsidR="0074457B" w:rsidRPr="00F6079B" w:rsidRDefault="00C81EEA" w:rsidP="00F733CF">
            <w:pPr>
              <w:pStyle w:val="ListParagraph"/>
              <w:numPr>
                <w:ilvl w:val="0"/>
                <w:numId w:val="44"/>
              </w:numPr>
              <w:ind w:hanging="360"/>
              <w:rPr>
                <w:rFonts w:ascii="Garamond" w:hAnsi="Garamond"/>
                <w:szCs w:val="22"/>
              </w:rPr>
            </w:pPr>
            <w:r w:rsidRPr="00F6079B">
              <w:rPr>
                <w:rFonts w:ascii="Garamond" w:hAnsi="Garamond"/>
                <w:szCs w:val="22"/>
              </w:rPr>
              <w:t>Maryland DHR-</w:t>
            </w:r>
            <w:r w:rsidR="0074457B" w:rsidRPr="00F6079B">
              <w:rPr>
                <w:rFonts w:ascii="Garamond" w:hAnsi="Garamond"/>
                <w:szCs w:val="22"/>
              </w:rPr>
              <w:t>Social Services Administration</w:t>
            </w:r>
          </w:p>
          <w:p w14:paraId="0534474F" w14:textId="77777777" w:rsidR="0074457B" w:rsidRPr="004A0C12" w:rsidRDefault="0074457B" w:rsidP="00F733CF">
            <w:pPr>
              <w:pStyle w:val="ListParagraph"/>
              <w:numPr>
                <w:ilvl w:val="0"/>
                <w:numId w:val="44"/>
              </w:numPr>
              <w:ind w:hanging="360"/>
              <w:rPr>
                <w:rFonts w:ascii="Garamond" w:hAnsi="Garamond"/>
                <w:szCs w:val="22"/>
              </w:rPr>
            </w:pPr>
            <w:r w:rsidRPr="00F6079B">
              <w:rPr>
                <w:rFonts w:ascii="Garamond" w:hAnsi="Garamond"/>
                <w:szCs w:val="22"/>
              </w:rPr>
              <w:t>Mid-Maryland Workforce Investment Area</w:t>
            </w:r>
          </w:p>
          <w:p w14:paraId="41A04657" w14:textId="6761D91D" w:rsidR="0074457B" w:rsidRPr="004A0C12" w:rsidRDefault="0074457B" w:rsidP="00F733CF">
            <w:pPr>
              <w:pStyle w:val="ListParagraph"/>
              <w:numPr>
                <w:ilvl w:val="0"/>
                <w:numId w:val="44"/>
              </w:numPr>
              <w:ind w:hanging="360"/>
              <w:rPr>
                <w:rFonts w:ascii="Garamond" w:hAnsi="Garamond"/>
                <w:szCs w:val="22"/>
              </w:rPr>
            </w:pPr>
            <w:r w:rsidRPr="004A0C12">
              <w:rPr>
                <w:rFonts w:ascii="Garamond" w:hAnsi="Garamond"/>
                <w:szCs w:val="22"/>
              </w:rPr>
              <w:t>Montgomery County Division of Workforce Services</w:t>
            </w:r>
          </w:p>
        </w:tc>
      </w:tr>
      <w:tr w:rsidR="0074457B" w:rsidRPr="004A0C12" w14:paraId="7F0EF7E0" w14:textId="77777777" w:rsidTr="00C81EEA">
        <w:trPr>
          <w:trHeight w:val="2160"/>
        </w:trPr>
        <w:tc>
          <w:tcPr>
            <w:cnfStyle w:val="000010000000" w:firstRow="0" w:lastRow="0" w:firstColumn="0" w:lastColumn="0" w:oddVBand="1" w:evenVBand="0" w:oddHBand="0" w:evenHBand="0" w:firstRowFirstColumn="0" w:firstRowLastColumn="0" w:lastRowFirstColumn="0" w:lastRowLastColumn="0"/>
            <w:tcW w:w="529" w:type="dxa"/>
          </w:tcPr>
          <w:p w14:paraId="5EB6BFDA"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lastRenderedPageBreak/>
              <w:t>4.</w:t>
            </w:r>
          </w:p>
        </w:tc>
        <w:tc>
          <w:tcPr>
            <w:tcW w:w="3644" w:type="dxa"/>
          </w:tcPr>
          <w:p w14:paraId="23EB0555"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 xml:space="preserve">Maryland State List of Eligible Training Providers </w:t>
            </w:r>
          </w:p>
          <w:p w14:paraId="0A386061"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p>
          <w:p w14:paraId="2FD61C31"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Interim policy issued on 7/22/15:</w:t>
            </w:r>
          </w:p>
          <w:p w14:paraId="44044B0F" w14:textId="77777777" w:rsidR="0074457B" w:rsidRPr="004A0C12" w:rsidRDefault="00943AA8"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hyperlink r:id="rId77" w:history="1">
              <w:r w:rsidR="0074457B" w:rsidRPr="004A0C12">
                <w:rPr>
                  <w:rStyle w:val="Hyperlink2"/>
                  <w:rFonts w:ascii="Garamond" w:hAnsi="Garamond"/>
                  <w:sz w:val="22"/>
                  <w:szCs w:val="22"/>
                </w:rPr>
                <w:t>http://www.dllr.state.md.us/employment/mpi/mpi6-15.pdf</w:t>
              </w:r>
            </w:hyperlink>
            <w:r w:rsidR="0074457B" w:rsidRPr="004A0C12">
              <w:rPr>
                <w:rFonts w:ascii="Garamond" w:hAnsi="Garamond"/>
                <w:szCs w:val="22"/>
              </w:rPr>
              <w:t xml:space="preserve"> </w:t>
            </w:r>
          </w:p>
        </w:tc>
        <w:tc>
          <w:tcPr>
            <w:cnfStyle w:val="000010000000" w:firstRow="0" w:lastRow="0" w:firstColumn="0" w:lastColumn="0" w:oddVBand="1" w:evenVBand="0" w:oddHBand="0" w:evenHBand="0" w:firstRowFirstColumn="0" w:firstRowLastColumn="0" w:lastRowFirstColumn="0" w:lastRowLastColumn="0"/>
            <w:tcW w:w="6831" w:type="dxa"/>
          </w:tcPr>
          <w:p w14:paraId="73C04E52" w14:textId="77777777" w:rsidR="0074457B" w:rsidRPr="004A0C12" w:rsidRDefault="0074457B" w:rsidP="00F733CF">
            <w:pPr>
              <w:pStyle w:val="ListParagraph"/>
              <w:numPr>
                <w:ilvl w:val="0"/>
                <w:numId w:val="45"/>
              </w:numPr>
              <w:ind w:hanging="360"/>
              <w:rPr>
                <w:rFonts w:ascii="Garamond" w:hAnsi="Garamond"/>
                <w:szCs w:val="22"/>
              </w:rPr>
            </w:pPr>
            <w:r w:rsidRPr="004A0C12">
              <w:rPr>
                <w:rFonts w:ascii="Garamond" w:hAnsi="Garamond"/>
                <w:szCs w:val="22"/>
              </w:rPr>
              <w:t>Anne Arundel Community College</w:t>
            </w:r>
          </w:p>
          <w:p w14:paraId="338991C2" w14:textId="77777777" w:rsidR="0074457B" w:rsidRPr="004A0C12" w:rsidRDefault="0074457B" w:rsidP="00F733CF">
            <w:pPr>
              <w:pStyle w:val="ListParagraph"/>
              <w:numPr>
                <w:ilvl w:val="0"/>
                <w:numId w:val="46"/>
              </w:numPr>
              <w:ind w:hanging="360"/>
              <w:rPr>
                <w:rFonts w:ascii="Garamond" w:hAnsi="Garamond"/>
                <w:szCs w:val="22"/>
              </w:rPr>
            </w:pPr>
            <w:r w:rsidRPr="004A0C12">
              <w:rPr>
                <w:rFonts w:ascii="Garamond" w:hAnsi="Garamond"/>
                <w:szCs w:val="22"/>
              </w:rPr>
              <w:t>Anne Arundel Workforce Development Corporation</w:t>
            </w:r>
          </w:p>
          <w:p w14:paraId="3FA97D98" w14:textId="77777777" w:rsidR="0074457B" w:rsidRPr="004A0C12" w:rsidRDefault="0074457B" w:rsidP="00F733CF">
            <w:pPr>
              <w:pStyle w:val="ListParagraph"/>
              <w:numPr>
                <w:ilvl w:val="0"/>
                <w:numId w:val="46"/>
              </w:numPr>
              <w:ind w:hanging="360"/>
              <w:rPr>
                <w:rFonts w:ascii="Garamond" w:hAnsi="Garamond"/>
                <w:szCs w:val="22"/>
              </w:rPr>
            </w:pPr>
            <w:r w:rsidRPr="004A0C12">
              <w:rPr>
                <w:rFonts w:ascii="Garamond" w:hAnsi="Garamond"/>
                <w:szCs w:val="22"/>
              </w:rPr>
              <w:t xml:space="preserve">Baltimore City Mayor’s Office of Employment Development </w:t>
            </w:r>
          </w:p>
          <w:p w14:paraId="6443F9F2" w14:textId="77777777" w:rsidR="0074457B" w:rsidRPr="004A0C12" w:rsidRDefault="0074457B" w:rsidP="00F733CF">
            <w:pPr>
              <w:pStyle w:val="ListParagraph"/>
              <w:numPr>
                <w:ilvl w:val="0"/>
                <w:numId w:val="46"/>
              </w:numPr>
              <w:ind w:hanging="360"/>
              <w:rPr>
                <w:rFonts w:ascii="Garamond" w:hAnsi="Garamond"/>
                <w:szCs w:val="22"/>
              </w:rPr>
            </w:pPr>
            <w:r w:rsidRPr="004A0C12">
              <w:rPr>
                <w:rFonts w:ascii="Garamond" w:hAnsi="Garamond"/>
                <w:szCs w:val="22"/>
              </w:rPr>
              <w:t xml:space="preserve">Community College of Baltimore County </w:t>
            </w:r>
          </w:p>
          <w:p w14:paraId="1ED8AEEE" w14:textId="77777777" w:rsidR="0074457B" w:rsidRPr="004A0C12" w:rsidRDefault="0074457B" w:rsidP="00F733CF">
            <w:pPr>
              <w:pStyle w:val="ListParagraph"/>
              <w:numPr>
                <w:ilvl w:val="0"/>
                <w:numId w:val="46"/>
              </w:numPr>
              <w:ind w:hanging="360"/>
              <w:rPr>
                <w:rFonts w:ascii="Garamond" w:hAnsi="Garamond"/>
                <w:szCs w:val="22"/>
              </w:rPr>
            </w:pPr>
            <w:r w:rsidRPr="004A0C12">
              <w:rPr>
                <w:rFonts w:ascii="Garamond" w:hAnsi="Garamond"/>
                <w:szCs w:val="22"/>
              </w:rPr>
              <w:t>Frederick County Workforce Services</w:t>
            </w:r>
          </w:p>
          <w:p w14:paraId="79BB9728" w14:textId="77777777" w:rsidR="0074457B" w:rsidRPr="004A0C12" w:rsidRDefault="0074457B" w:rsidP="00F733CF">
            <w:pPr>
              <w:pStyle w:val="ListParagraph"/>
              <w:numPr>
                <w:ilvl w:val="0"/>
                <w:numId w:val="46"/>
              </w:numPr>
              <w:ind w:hanging="360"/>
              <w:rPr>
                <w:rFonts w:ascii="Garamond" w:hAnsi="Garamond"/>
                <w:szCs w:val="22"/>
              </w:rPr>
            </w:pPr>
            <w:r w:rsidRPr="004A0C12">
              <w:rPr>
                <w:rFonts w:ascii="Garamond" w:hAnsi="Garamond"/>
                <w:szCs w:val="22"/>
              </w:rPr>
              <w:t>Maryland DLLR-Division of Workforce Development &amp; Adult Learning</w:t>
            </w:r>
          </w:p>
          <w:p w14:paraId="2CA2CA4D" w14:textId="77777777" w:rsidR="0074457B" w:rsidRPr="004A0C12" w:rsidRDefault="0074457B" w:rsidP="00F733CF">
            <w:pPr>
              <w:pStyle w:val="ListParagraph"/>
              <w:numPr>
                <w:ilvl w:val="0"/>
                <w:numId w:val="46"/>
              </w:numPr>
              <w:ind w:hanging="360"/>
              <w:rPr>
                <w:rFonts w:ascii="Garamond" w:hAnsi="Garamond"/>
                <w:szCs w:val="22"/>
              </w:rPr>
            </w:pPr>
            <w:r w:rsidRPr="004A0C12">
              <w:rPr>
                <w:rFonts w:ascii="Garamond" w:hAnsi="Garamond"/>
                <w:szCs w:val="22"/>
              </w:rPr>
              <w:t>Maryland Higher Education Commission</w:t>
            </w:r>
          </w:p>
          <w:p w14:paraId="7C37ADAE" w14:textId="77777777" w:rsidR="0074457B" w:rsidRPr="004A0C12" w:rsidRDefault="0074457B" w:rsidP="00F733CF">
            <w:pPr>
              <w:pStyle w:val="ListParagraph"/>
              <w:numPr>
                <w:ilvl w:val="0"/>
                <w:numId w:val="46"/>
              </w:numPr>
              <w:ind w:hanging="360"/>
              <w:rPr>
                <w:rFonts w:ascii="Garamond" w:hAnsi="Garamond"/>
                <w:szCs w:val="22"/>
              </w:rPr>
            </w:pPr>
            <w:r w:rsidRPr="004A0C12">
              <w:rPr>
                <w:rFonts w:ascii="Garamond" w:hAnsi="Garamond"/>
                <w:szCs w:val="22"/>
              </w:rPr>
              <w:t>Mid-Maryland Workforce Investment Area</w:t>
            </w:r>
          </w:p>
        </w:tc>
      </w:tr>
      <w:tr w:rsidR="0074457B" w:rsidRPr="004A0C12" w14:paraId="3ED5CB8E" w14:textId="77777777" w:rsidTr="00C81EEA">
        <w:trPr>
          <w:cnfStyle w:val="000000100000" w:firstRow="0" w:lastRow="0" w:firstColumn="0" w:lastColumn="0" w:oddVBand="0" w:evenVBand="0" w:oddHBand="1" w:evenHBand="0" w:firstRowFirstColumn="0" w:firstRowLastColumn="0" w:lastRowFirstColumn="0" w:lastRowLastColumn="0"/>
          <w:trHeight w:val="1200"/>
        </w:trPr>
        <w:tc>
          <w:tcPr>
            <w:cnfStyle w:val="000010000000" w:firstRow="0" w:lastRow="0" w:firstColumn="0" w:lastColumn="0" w:oddVBand="1" w:evenVBand="0" w:oddHBand="0" w:evenHBand="0" w:firstRowFirstColumn="0" w:firstRowLastColumn="0" w:lastRowFirstColumn="0" w:lastRowLastColumn="0"/>
            <w:tcW w:w="529" w:type="dxa"/>
          </w:tcPr>
          <w:p w14:paraId="7C483C64"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5.</w:t>
            </w:r>
          </w:p>
        </w:tc>
        <w:tc>
          <w:tcPr>
            <w:tcW w:w="3644" w:type="dxa"/>
          </w:tcPr>
          <w:p w14:paraId="0370D8B6"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Transfer of funds up to 100% allocation (Adult and Dislocated Worker Training Programs)</w:t>
            </w:r>
          </w:p>
          <w:p w14:paraId="1B366CCD" w14:textId="77777777" w:rsidR="00047DFA" w:rsidRPr="004A0C12" w:rsidRDefault="00047DFA"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p>
          <w:p w14:paraId="7A41B772" w14:textId="68ADF505" w:rsidR="00047DFA" w:rsidRPr="004A0C12" w:rsidRDefault="00047DFA"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 xml:space="preserve">Policy issued on 1/12/16: </w:t>
            </w:r>
            <w:hyperlink r:id="rId78" w:history="1">
              <w:r w:rsidRPr="004A0C12">
                <w:rPr>
                  <w:rStyle w:val="Hyperlink"/>
                  <w:rFonts w:ascii="Garamond" w:hAnsi="Garamond"/>
                  <w:szCs w:val="22"/>
                </w:rPr>
                <w:t>http://www.dllr.state.md.us/employment/mpi/mpi1-16.pdf</w:t>
              </w:r>
            </w:hyperlink>
          </w:p>
        </w:tc>
        <w:tc>
          <w:tcPr>
            <w:cnfStyle w:val="000010000000" w:firstRow="0" w:lastRow="0" w:firstColumn="0" w:lastColumn="0" w:oddVBand="1" w:evenVBand="0" w:oddHBand="0" w:evenHBand="0" w:firstRowFirstColumn="0" w:firstRowLastColumn="0" w:lastRowFirstColumn="0" w:lastRowLastColumn="0"/>
            <w:tcW w:w="6831" w:type="dxa"/>
          </w:tcPr>
          <w:p w14:paraId="462778A4" w14:textId="77777777" w:rsidR="0074457B" w:rsidRPr="004A0C12" w:rsidRDefault="0074457B" w:rsidP="00F733CF">
            <w:pPr>
              <w:pStyle w:val="ListParagraph"/>
              <w:numPr>
                <w:ilvl w:val="0"/>
                <w:numId w:val="47"/>
              </w:numPr>
              <w:ind w:hanging="360"/>
              <w:rPr>
                <w:rFonts w:ascii="Garamond" w:hAnsi="Garamond"/>
                <w:szCs w:val="22"/>
              </w:rPr>
            </w:pPr>
            <w:r w:rsidRPr="004A0C12">
              <w:rPr>
                <w:rFonts w:ascii="Garamond" w:hAnsi="Garamond"/>
                <w:szCs w:val="22"/>
              </w:rPr>
              <w:t>Frederick County Workforce Services</w:t>
            </w:r>
          </w:p>
          <w:p w14:paraId="734BF887" w14:textId="77777777" w:rsidR="0074457B" w:rsidRPr="004A0C12" w:rsidRDefault="0074457B" w:rsidP="00F733CF">
            <w:pPr>
              <w:pStyle w:val="ListParagraph"/>
              <w:numPr>
                <w:ilvl w:val="0"/>
                <w:numId w:val="47"/>
              </w:numPr>
              <w:ind w:hanging="360"/>
              <w:rPr>
                <w:rFonts w:ascii="Garamond" w:hAnsi="Garamond"/>
                <w:szCs w:val="22"/>
              </w:rPr>
            </w:pPr>
            <w:r w:rsidRPr="004A0C12">
              <w:rPr>
                <w:rFonts w:ascii="Garamond" w:hAnsi="Garamond"/>
                <w:szCs w:val="22"/>
              </w:rPr>
              <w:t xml:space="preserve">Governor’s Workforce Investment Board </w:t>
            </w:r>
          </w:p>
          <w:p w14:paraId="448A41C9" w14:textId="77777777" w:rsidR="0074457B" w:rsidRPr="004A0C12" w:rsidRDefault="0074457B" w:rsidP="00F733CF">
            <w:pPr>
              <w:pStyle w:val="ListParagraph"/>
              <w:numPr>
                <w:ilvl w:val="0"/>
                <w:numId w:val="47"/>
              </w:numPr>
              <w:ind w:hanging="360"/>
              <w:rPr>
                <w:rFonts w:ascii="Garamond" w:hAnsi="Garamond"/>
                <w:szCs w:val="22"/>
              </w:rPr>
            </w:pPr>
            <w:r w:rsidRPr="004A0C12">
              <w:rPr>
                <w:rFonts w:ascii="Garamond" w:hAnsi="Garamond"/>
                <w:szCs w:val="22"/>
              </w:rPr>
              <w:t>Maryland DLLR-Division of Workforce Development &amp; Adult Learning</w:t>
            </w:r>
          </w:p>
          <w:p w14:paraId="070AA7D8" w14:textId="77777777" w:rsidR="0074457B" w:rsidRPr="004A0C12" w:rsidRDefault="0074457B" w:rsidP="00F733CF">
            <w:pPr>
              <w:pStyle w:val="ListParagraph"/>
              <w:numPr>
                <w:ilvl w:val="0"/>
                <w:numId w:val="47"/>
              </w:numPr>
              <w:ind w:hanging="360"/>
              <w:rPr>
                <w:rFonts w:ascii="Garamond" w:hAnsi="Garamond"/>
                <w:szCs w:val="22"/>
              </w:rPr>
            </w:pPr>
            <w:r w:rsidRPr="004A0C12">
              <w:rPr>
                <w:rFonts w:ascii="Garamond" w:hAnsi="Garamond"/>
                <w:szCs w:val="22"/>
              </w:rPr>
              <w:t>Mid-Maryland Workforce Investment Area</w:t>
            </w:r>
          </w:p>
        </w:tc>
      </w:tr>
      <w:tr w:rsidR="0074457B" w:rsidRPr="004A0C12" w14:paraId="783B0B19" w14:textId="77777777" w:rsidTr="00C81EEA">
        <w:trPr>
          <w:trHeight w:val="3600"/>
        </w:trPr>
        <w:tc>
          <w:tcPr>
            <w:cnfStyle w:val="000010000000" w:firstRow="0" w:lastRow="0" w:firstColumn="0" w:lastColumn="0" w:oddVBand="1" w:evenVBand="0" w:oddHBand="0" w:evenHBand="0" w:firstRowFirstColumn="0" w:firstRowLastColumn="0" w:lastRowFirstColumn="0" w:lastRowLastColumn="0"/>
            <w:tcW w:w="529" w:type="dxa"/>
          </w:tcPr>
          <w:p w14:paraId="2AEEE85E"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6.</w:t>
            </w:r>
          </w:p>
        </w:tc>
        <w:tc>
          <w:tcPr>
            <w:tcW w:w="3644" w:type="dxa"/>
          </w:tcPr>
          <w:p w14:paraId="0716D313" w14:textId="77777777" w:rsidR="0074457B" w:rsidRPr="004A0C12" w:rsidRDefault="00047DFA"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 xml:space="preserve">Basic Education Skills &amp; English Language Assessments </w:t>
            </w:r>
          </w:p>
          <w:p w14:paraId="15A388C4" w14:textId="77777777" w:rsidR="00047DFA" w:rsidRPr="004A0C12" w:rsidRDefault="00047DFA"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p>
          <w:p w14:paraId="06E8635D" w14:textId="0ECB1492" w:rsidR="00047DFA" w:rsidRPr="004A0C12" w:rsidRDefault="00047DFA"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 xml:space="preserve">Policy issued on 2/26/16: </w:t>
            </w:r>
            <w:hyperlink r:id="rId79" w:history="1">
              <w:r w:rsidRPr="004A0C12">
                <w:rPr>
                  <w:rStyle w:val="Hyperlink"/>
                  <w:rFonts w:ascii="Garamond" w:hAnsi="Garamond"/>
                  <w:szCs w:val="22"/>
                </w:rPr>
                <w:t>http://www.dllr.state.md.us/employment/mpi/mpi5-16.pdf</w:t>
              </w:r>
            </w:hyperlink>
          </w:p>
          <w:p w14:paraId="2A553990" w14:textId="1E10D5D7" w:rsidR="00047DFA" w:rsidRPr="004A0C12" w:rsidRDefault="00047DFA"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p>
        </w:tc>
        <w:tc>
          <w:tcPr>
            <w:cnfStyle w:val="000010000000" w:firstRow="0" w:lastRow="0" w:firstColumn="0" w:lastColumn="0" w:oddVBand="1" w:evenVBand="0" w:oddHBand="0" w:evenHBand="0" w:firstRowFirstColumn="0" w:firstRowLastColumn="0" w:lastRowFirstColumn="0" w:lastRowLastColumn="0"/>
            <w:tcW w:w="6831" w:type="dxa"/>
          </w:tcPr>
          <w:p w14:paraId="228E13DE"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Anne Arundel Community College</w:t>
            </w:r>
          </w:p>
          <w:p w14:paraId="3F9CFB39"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 xml:space="preserve">Baltimore City Mayor’s Office of Employment Development </w:t>
            </w:r>
          </w:p>
          <w:p w14:paraId="045E8FCE"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Baltimore County Dept. of Economic Development</w:t>
            </w:r>
          </w:p>
          <w:p w14:paraId="3ABF7A00"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Frederick County Workforce Services</w:t>
            </w:r>
          </w:p>
          <w:p w14:paraId="5EB81343"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Hagerstown Community College</w:t>
            </w:r>
          </w:p>
          <w:p w14:paraId="56C7D332"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 xml:space="preserve">Howard Community College </w:t>
            </w:r>
          </w:p>
          <w:p w14:paraId="4AFE078B"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 xml:space="preserve">Lifelong Learning Center (Charles County) </w:t>
            </w:r>
          </w:p>
          <w:p w14:paraId="0E744C4C"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Literacy Council of Montgomery County</w:t>
            </w:r>
          </w:p>
          <w:p w14:paraId="1E9FA932"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 xml:space="preserve">Maryland DHR – Family Investment Administration </w:t>
            </w:r>
          </w:p>
          <w:p w14:paraId="6E2AB5BC"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Maryland DLLR-Division of Workforce Development &amp; Adult Learning</w:t>
            </w:r>
          </w:p>
          <w:p w14:paraId="778ACD94" w14:textId="50302421"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Mid</w:t>
            </w:r>
            <w:r w:rsidR="00D67ABB" w:rsidRPr="004A0C12">
              <w:rPr>
                <w:rFonts w:ascii="Garamond" w:hAnsi="Garamond"/>
                <w:szCs w:val="22"/>
              </w:rPr>
              <w:t>-</w:t>
            </w:r>
            <w:r w:rsidRPr="004A0C12">
              <w:rPr>
                <w:rFonts w:ascii="Garamond" w:hAnsi="Garamond"/>
                <w:szCs w:val="22"/>
              </w:rPr>
              <w:t>Maryland Workforce Investment Area</w:t>
            </w:r>
          </w:p>
          <w:p w14:paraId="22FD9057"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Montgomery College</w:t>
            </w:r>
          </w:p>
          <w:p w14:paraId="749730E5" w14:textId="61E6E811"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Montgomery County Division of Workforce Services</w:t>
            </w:r>
          </w:p>
          <w:p w14:paraId="673BB27B" w14:textId="77777777" w:rsidR="0074457B" w:rsidRPr="004A0C12" w:rsidRDefault="0074457B" w:rsidP="00F733CF">
            <w:pPr>
              <w:pStyle w:val="ListParagraph"/>
              <w:numPr>
                <w:ilvl w:val="0"/>
                <w:numId w:val="48"/>
              </w:numPr>
              <w:ind w:hanging="360"/>
              <w:rPr>
                <w:rFonts w:ascii="Garamond" w:hAnsi="Garamond"/>
                <w:szCs w:val="22"/>
              </w:rPr>
            </w:pPr>
            <w:r w:rsidRPr="004A0C12">
              <w:rPr>
                <w:rFonts w:ascii="Garamond" w:hAnsi="Garamond"/>
                <w:szCs w:val="22"/>
              </w:rPr>
              <w:t xml:space="preserve">Prince George’s County Economic Development Corporation </w:t>
            </w:r>
          </w:p>
        </w:tc>
      </w:tr>
      <w:tr w:rsidR="0074457B" w:rsidRPr="004A0C12" w14:paraId="7F8448B1" w14:textId="77777777" w:rsidTr="00C81EEA">
        <w:trPr>
          <w:cnfStyle w:val="000000100000" w:firstRow="0" w:lastRow="0" w:firstColumn="0" w:lastColumn="0" w:oddVBand="0" w:evenVBand="0" w:oddHBand="1" w:evenHBand="0" w:firstRowFirstColumn="0" w:firstRowLastColumn="0" w:lastRowFirstColumn="0" w:lastRowLastColumn="0"/>
          <w:trHeight w:val="1680"/>
        </w:trPr>
        <w:tc>
          <w:tcPr>
            <w:cnfStyle w:val="000010000000" w:firstRow="0" w:lastRow="0" w:firstColumn="0" w:lastColumn="0" w:oddVBand="1" w:evenVBand="0" w:oddHBand="0" w:evenHBand="0" w:firstRowFirstColumn="0" w:firstRowLastColumn="0" w:lastRowFirstColumn="0" w:lastRowLastColumn="0"/>
            <w:tcW w:w="529" w:type="dxa"/>
          </w:tcPr>
          <w:p w14:paraId="0C25A5F0" w14:textId="11AC2F69"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7.</w:t>
            </w:r>
          </w:p>
        </w:tc>
        <w:tc>
          <w:tcPr>
            <w:tcW w:w="3644" w:type="dxa"/>
          </w:tcPr>
          <w:p w14:paraId="1B5B9260"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Monitoring &amp; Data Validation</w:t>
            </w:r>
          </w:p>
        </w:tc>
        <w:tc>
          <w:tcPr>
            <w:cnfStyle w:val="000010000000" w:firstRow="0" w:lastRow="0" w:firstColumn="0" w:lastColumn="0" w:oddVBand="1" w:evenVBand="0" w:oddHBand="0" w:evenHBand="0" w:firstRowFirstColumn="0" w:firstRowLastColumn="0" w:lastRowFirstColumn="0" w:lastRowLastColumn="0"/>
            <w:tcW w:w="6831" w:type="dxa"/>
          </w:tcPr>
          <w:p w14:paraId="230B2A78" w14:textId="77777777" w:rsidR="0074457B" w:rsidRPr="004A0C12" w:rsidRDefault="0074457B" w:rsidP="00F733CF">
            <w:pPr>
              <w:pStyle w:val="ListParagraph"/>
              <w:numPr>
                <w:ilvl w:val="0"/>
                <w:numId w:val="49"/>
              </w:numPr>
              <w:ind w:hanging="360"/>
              <w:rPr>
                <w:rFonts w:ascii="Garamond" w:hAnsi="Garamond"/>
                <w:szCs w:val="22"/>
              </w:rPr>
            </w:pPr>
            <w:r w:rsidRPr="004A0C12">
              <w:rPr>
                <w:rFonts w:ascii="Garamond" w:hAnsi="Garamond"/>
                <w:szCs w:val="22"/>
              </w:rPr>
              <w:t xml:space="preserve">Baltimore City Mayor’s Office of Employment Development </w:t>
            </w:r>
          </w:p>
          <w:p w14:paraId="7E68FCE8" w14:textId="77777777" w:rsidR="0074457B" w:rsidRPr="004A0C12" w:rsidRDefault="0074457B" w:rsidP="00F733CF">
            <w:pPr>
              <w:pStyle w:val="ListParagraph"/>
              <w:numPr>
                <w:ilvl w:val="0"/>
                <w:numId w:val="49"/>
              </w:numPr>
              <w:ind w:hanging="360"/>
              <w:rPr>
                <w:rFonts w:ascii="Garamond" w:hAnsi="Garamond"/>
                <w:szCs w:val="22"/>
              </w:rPr>
            </w:pPr>
            <w:r w:rsidRPr="004A0C12">
              <w:rPr>
                <w:rFonts w:ascii="Garamond" w:hAnsi="Garamond"/>
                <w:szCs w:val="22"/>
              </w:rPr>
              <w:t>Maryland DLLR-Division of Workforce Development &amp; Adult Learning</w:t>
            </w:r>
          </w:p>
          <w:p w14:paraId="1CBB3CC8" w14:textId="77777777" w:rsidR="0074457B" w:rsidRPr="004A0C12" w:rsidRDefault="0074457B" w:rsidP="00F733CF">
            <w:pPr>
              <w:pStyle w:val="ListParagraph"/>
              <w:numPr>
                <w:ilvl w:val="0"/>
                <w:numId w:val="49"/>
              </w:numPr>
              <w:ind w:hanging="360"/>
              <w:rPr>
                <w:rFonts w:ascii="Garamond" w:hAnsi="Garamond"/>
                <w:szCs w:val="22"/>
              </w:rPr>
            </w:pPr>
            <w:r w:rsidRPr="004A0C12">
              <w:rPr>
                <w:rFonts w:ascii="Garamond" w:hAnsi="Garamond"/>
                <w:szCs w:val="22"/>
              </w:rPr>
              <w:t>Maryland State Dept. of Education-Division of Rehabilitation Services</w:t>
            </w:r>
          </w:p>
          <w:p w14:paraId="561778BB" w14:textId="77777777" w:rsidR="0074457B" w:rsidRPr="004A0C12" w:rsidRDefault="0074457B" w:rsidP="00F733CF">
            <w:pPr>
              <w:pStyle w:val="ListParagraph"/>
              <w:numPr>
                <w:ilvl w:val="0"/>
                <w:numId w:val="49"/>
              </w:numPr>
              <w:ind w:hanging="360"/>
              <w:rPr>
                <w:rFonts w:ascii="Garamond" w:hAnsi="Garamond"/>
                <w:szCs w:val="22"/>
              </w:rPr>
            </w:pPr>
            <w:r w:rsidRPr="004A0C12">
              <w:rPr>
                <w:rFonts w:ascii="Garamond" w:hAnsi="Garamond"/>
                <w:szCs w:val="22"/>
              </w:rPr>
              <w:t>Mid-Maryland Workforce Investment Area</w:t>
            </w:r>
          </w:p>
          <w:p w14:paraId="5D7F80FD" w14:textId="7261CB75" w:rsidR="0074457B" w:rsidRPr="004A0C12" w:rsidRDefault="0074457B" w:rsidP="00F733CF">
            <w:pPr>
              <w:pStyle w:val="ListParagraph"/>
              <w:numPr>
                <w:ilvl w:val="0"/>
                <w:numId w:val="49"/>
              </w:numPr>
              <w:ind w:hanging="360"/>
              <w:rPr>
                <w:rFonts w:ascii="Garamond" w:hAnsi="Garamond"/>
                <w:szCs w:val="22"/>
              </w:rPr>
            </w:pPr>
            <w:r w:rsidRPr="004A0C12">
              <w:rPr>
                <w:rFonts w:ascii="Garamond" w:hAnsi="Garamond"/>
                <w:szCs w:val="22"/>
              </w:rPr>
              <w:t>Montgomery County Division of Workforce Services</w:t>
            </w:r>
          </w:p>
        </w:tc>
      </w:tr>
      <w:tr w:rsidR="0074457B" w:rsidRPr="004A0C12" w14:paraId="4FDC5528" w14:textId="77777777" w:rsidTr="00C81EEA">
        <w:trPr>
          <w:trHeight w:val="2640"/>
        </w:trPr>
        <w:tc>
          <w:tcPr>
            <w:cnfStyle w:val="000010000000" w:firstRow="0" w:lastRow="0" w:firstColumn="0" w:lastColumn="0" w:oddVBand="1" w:evenVBand="0" w:oddHBand="0" w:evenHBand="0" w:firstRowFirstColumn="0" w:firstRowLastColumn="0" w:lastRowFirstColumn="0" w:lastRowLastColumn="0"/>
            <w:tcW w:w="529" w:type="dxa"/>
          </w:tcPr>
          <w:p w14:paraId="10E5A5E4"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8.</w:t>
            </w:r>
          </w:p>
        </w:tc>
        <w:tc>
          <w:tcPr>
            <w:tcW w:w="3644" w:type="dxa"/>
          </w:tcPr>
          <w:p w14:paraId="19DA7485" w14:textId="77777777" w:rsidR="00EA29E5"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Memoranda of Understanding/Resource Sharing Agreement</w:t>
            </w:r>
          </w:p>
          <w:p w14:paraId="6CB4CA23" w14:textId="77777777" w:rsidR="00EA29E5" w:rsidRPr="004A0C12" w:rsidRDefault="00EA29E5"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p>
          <w:p w14:paraId="5519CB68" w14:textId="29DFE1AD" w:rsidR="00EA29E5" w:rsidRPr="004A0C12" w:rsidRDefault="00EA29E5"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-clarify how an impasse would be handled</w:t>
            </w:r>
          </w:p>
        </w:tc>
        <w:tc>
          <w:tcPr>
            <w:cnfStyle w:val="000010000000" w:firstRow="0" w:lastRow="0" w:firstColumn="0" w:lastColumn="0" w:oddVBand="1" w:evenVBand="0" w:oddHBand="0" w:evenHBand="0" w:firstRowFirstColumn="0" w:firstRowLastColumn="0" w:lastRowFirstColumn="0" w:lastRowLastColumn="0"/>
            <w:tcW w:w="6831" w:type="dxa"/>
          </w:tcPr>
          <w:p w14:paraId="599D3BBB" w14:textId="77777777" w:rsidR="0074457B" w:rsidRPr="004A0C12" w:rsidRDefault="0074457B" w:rsidP="00F733CF">
            <w:pPr>
              <w:pStyle w:val="ListParagraph"/>
              <w:numPr>
                <w:ilvl w:val="0"/>
                <w:numId w:val="50"/>
              </w:numPr>
              <w:ind w:hanging="360"/>
              <w:rPr>
                <w:rFonts w:ascii="Garamond" w:hAnsi="Garamond"/>
                <w:szCs w:val="22"/>
              </w:rPr>
            </w:pPr>
            <w:r w:rsidRPr="004A0C12">
              <w:rPr>
                <w:rFonts w:ascii="Garamond" w:hAnsi="Garamond"/>
                <w:szCs w:val="22"/>
              </w:rPr>
              <w:t>Frederick County Workforce Services</w:t>
            </w:r>
          </w:p>
          <w:p w14:paraId="000964CE" w14:textId="77777777" w:rsidR="0074457B" w:rsidRPr="004A0C12" w:rsidRDefault="0074457B" w:rsidP="00F733CF">
            <w:pPr>
              <w:pStyle w:val="ListParagraph"/>
              <w:numPr>
                <w:ilvl w:val="0"/>
                <w:numId w:val="50"/>
              </w:numPr>
              <w:ind w:hanging="360"/>
              <w:rPr>
                <w:rFonts w:ascii="Garamond" w:hAnsi="Garamond"/>
                <w:szCs w:val="22"/>
              </w:rPr>
            </w:pPr>
            <w:r w:rsidRPr="004A0C12">
              <w:rPr>
                <w:rFonts w:ascii="Garamond" w:hAnsi="Garamond"/>
                <w:szCs w:val="22"/>
              </w:rPr>
              <w:t>Governor’s Workforce Investment Board</w:t>
            </w:r>
          </w:p>
          <w:p w14:paraId="036CED95" w14:textId="77777777" w:rsidR="0074457B" w:rsidRPr="004A0C12" w:rsidRDefault="0074457B" w:rsidP="00F733CF">
            <w:pPr>
              <w:pStyle w:val="ListParagraph"/>
              <w:numPr>
                <w:ilvl w:val="0"/>
                <w:numId w:val="50"/>
              </w:numPr>
              <w:ind w:hanging="360"/>
              <w:rPr>
                <w:rFonts w:ascii="Garamond" w:hAnsi="Garamond"/>
                <w:szCs w:val="22"/>
              </w:rPr>
            </w:pPr>
            <w:r w:rsidRPr="004A0C12">
              <w:rPr>
                <w:rFonts w:ascii="Garamond" w:hAnsi="Garamond"/>
                <w:szCs w:val="22"/>
              </w:rPr>
              <w:t>Maryland DLLR-Division of Workforce Development &amp; Adult Learning</w:t>
            </w:r>
          </w:p>
          <w:p w14:paraId="04E33032" w14:textId="77777777" w:rsidR="0074457B" w:rsidRPr="004A0C12" w:rsidRDefault="0074457B" w:rsidP="00F733CF">
            <w:pPr>
              <w:pStyle w:val="ListParagraph"/>
              <w:numPr>
                <w:ilvl w:val="0"/>
                <w:numId w:val="50"/>
              </w:numPr>
              <w:ind w:hanging="360"/>
              <w:rPr>
                <w:rFonts w:ascii="Garamond" w:hAnsi="Garamond"/>
                <w:szCs w:val="22"/>
              </w:rPr>
            </w:pPr>
            <w:r w:rsidRPr="004A0C12">
              <w:rPr>
                <w:rFonts w:ascii="Garamond" w:hAnsi="Garamond"/>
                <w:szCs w:val="22"/>
              </w:rPr>
              <w:t>Susquehanna Workforce Network, Inc.</w:t>
            </w:r>
          </w:p>
          <w:p w14:paraId="1ABC9EBD" w14:textId="77777777" w:rsidR="0074457B" w:rsidRPr="004A0C12" w:rsidRDefault="0074457B" w:rsidP="00F733CF">
            <w:pPr>
              <w:pStyle w:val="ListParagraph"/>
              <w:numPr>
                <w:ilvl w:val="0"/>
                <w:numId w:val="50"/>
              </w:numPr>
              <w:ind w:hanging="360"/>
              <w:rPr>
                <w:rFonts w:ascii="Garamond" w:hAnsi="Garamond"/>
                <w:szCs w:val="22"/>
              </w:rPr>
            </w:pPr>
            <w:r w:rsidRPr="004A0C12">
              <w:rPr>
                <w:rFonts w:ascii="Garamond" w:hAnsi="Garamond"/>
                <w:szCs w:val="22"/>
              </w:rPr>
              <w:t>Maryland DHR – Family Investment Administration</w:t>
            </w:r>
          </w:p>
          <w:p w14:paraId="51227F43" w14:textId="77777777" w:rsidR="0074457B" w:rsidRPr="004A0C12" w:rsidRDefault="0074457B" w:rsidP="00F733CF">
            <w:pPr>
              <w:pStyle w:val="ListParagraph"/>
              <w:numPr>
                <w:ilvl w:val="0"/>
                <w:numId w:val="50"/>
              </w:numPr>
              <w:ind w:hanging="360"/>
              <w:rPr>
                <w:rFonts w:ascii="Garamond" w:hAnsi="Garamond"/>
                <w:szCs w:val="22"/>
              </w:rPr>
            </w:pPr>
            <w:r w:rsidRPr="004A0C12">
              <w:rPr>
                <w:rFonts w:ascii="Garamond" w:hAnsi="Garamond"/>
                <w:szCs w:val="22"/>
              </w:rPr>
              <w:t xml:space="preserve">Maryland DLLR-Division of Unemployment Insurance </w:t>
            </w:r>
          </w:p>
          <w:p w14:paraId="3379035C" w14:textId="2FC9A9F8" w:rsidR="0074457B" w:rsidRPr="004A0C12" w:rsidRDefault="0074457B" w:rsidP="00F733CF">
            <w:pPr>
              <w:pStyle w:val="ListParagraph"/>
              <w:numPr>
                <w:ilvl w:val="0"/>
                <w:numId w:val="50"/>
              </w:numPr>
              <w:ind w:hanging="360"/>
              <w:rPr>
                <w:rFonts w:ascii="Garamond" w:hAnsi="Garamond"/>
                <w:szCs w:val="22"/>
              </w:rPr>
            </w:pPr>
            <w:r w:rsidRPr="004A0C12">
              <w:rPr>
                <w:rFonts w:ascii="Garamond" w:hAnsi="Garamond"/>
                <w:szCs w:val="22"/>
              </w:rPr>
              <w:t>Mary</w:t>
            </w:r>
            <w:r w:rsidR="00C81EEA" w:rsidRPr="004A0C12">
              <w:rPr>
                <w:rFonts w:ascii="Garamond" w:hAnsi="Garamond"/>
                <w:szCs w:val="22"/>
              </w:rPr>
              <w:t>land State Dept. of Education-</w:t>
            </w:r>
            <w:r w:rsidRPr="004A0C12">
              <w:rPr>
                <w:rFonts w:ascii="Garamond" w:hAnsi="Garamond"/>
                <w:szCs w:val="22"/>
              </w:rPr>
              <w:t>Division of Rehabilitation Services</w:t>
            </w:r>
          </w:p>
          <w:p w14:paraId="4482A7FA" w14:textId="2CC74E4D" w:rsidR="0074457B" w:rsidRPr="004A0C12" w:rsidRDefault="0074457B" w:rsidP="00F733CF">
            <w:pPr>
              <w:pStyle w:val="ListParagraph"/>
              <w:numPr>
                <w:ilvl w:val="0"/>
                <w:numId w:val="50"/>
              </w:numPr>
              <w:ind w:hanging="360"/>
              <w:rPr>
                <w:rFonts w:ascii="Garamond" w:hAnsi="Garamond"/>
                <w:szCs w:val="22"/>
              </w:rPr>
            </w:pPr>
            <w:r w:rsidRPr="004A0C12">
              <w:rPr>
                <w:rFonts w:ascii="Garamond" w:hAnsi="Garamond"/>
                <w:szCs w:val="22"/>
              </w:rPr>
              <w:t>Montgomery County Division of Workforce Services</w:t>
            </w:r>
          </w:p>
          <w:p w14:paraId="63730D91" w14:textId="77777777" w:rsidR="0074457B" w:rsidRPr="004A0C12" w:rsidRDefault="0074457B" w:rsidP="00F733CF">
            <w:pPr>
              <w:pStyle w:val="ListParagraph"/>
              <w:numPr>
                <w:ilvl w:val="0"/>
                <w:numId w:val="50"/>
              </w:numPr>
              <w:ind w:hanging="360"/>
              <w:rPr>
                <w:rFonts w:ascii="Garamond" w:hAnsi="Garamond"/>
                <w:szCs w:val="22"/>
              </w:rPr>
            </w:pPr>
            <w:r w:rsidRPr="004A0C12">
              <w:rPr>
                <w:rFonts w:ascii="Garamond" w:hAnsi="Garamond"/>
                <w:szCs w:val="22"/>
              </w:rPr>
              <w:t xml:space="preserve">Tri-County Council for Southern Maryland </w:t>
            </w:r>
          </w:p>
        </w:tc>
      </w:tr>
      <w:tr w:rsidR="0074457B" w:rsidRPr="004A0C12" w14:paraId="772A69E3" w14:textId="77777777" w:rsidTr="00C81EEA">
        <w:trPr>
          <w:cnfStyle w:val="000000100000" w:firstRow="0" w:lastRow="0" w:firstColumn="0" w:lastColumn="0" w:oddVBand="0" w:evenVBand="0" w:oddHBand="1" w:evenHBand="0" w:firstRowFirstColumn="0" w:firstRowLastColumn="0" w:lastRowFirstColumn="0" w:lastRowLastColumn="0"/>
          <w:trHeight w:val="1258"/>
        </w:trPr>
        <w:tc>
          <w:tcPr>
            <w:cnfStyle w:val="000010000000" w:firstRow="0" w:lastRow="0" w:firstColumn="0" w:lastColumn="0" w:oddVBand="1" w:evenVBand="0" w:oddHBand="0" w:evenHBand="0" w:firstRowFirstColumn="0" w:firstRowLastColumn="0" w:lastRowFirstColumn="0" w:lastRowLastColumn="0"/>
            <w:tcW w:w="529" w:type="dxa"/>
          </w:tcPr>
          <w:p w14:paraId="52BBC56F" w14:textId="2B33B5EC"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lastRenderedPageBreak/>
              <w:t>9.</w:t>
            </w:r>
          </w:p>
        </w:tc>
        <w:tc>
          <w:tcPr>
            <w:tcW w:w="3644" w:type="dxa"/>
          </w:tcPr>
          <w:p w14:paraId="08920E5E"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Approved Training &amp; Work Search Waivers for UI Claimants</w:t>
            </w:r>
          </w:p>
        </w:tc>
        <w:tc>
          <w:tcPr>
            <w:cnfStyle w:val="000010000000" w:firstRow="0" w:lastRow="0" w:firstColumn="0" w:lastColumn="0" w:oddVBand="1" w:evenVBand="0" w:oddHBand="0" w:evenHBand="0" w:firstRowFirstColumn="0" w:firstRowLastColumn="0" w:lastRowFirstColumn="0" w:lastRowLastColumn="0"/>
            <w:tcW w:w="6831" w:type="dxa"/>
          </w:tcPr>
          <w:p w14:paraId="663DD3DC" w14:textId="77777777" w:rsidR="0074457B" w:rsidRPr="004A0C12" w:rsidRDefault="0074457B" w:rsidP="00F733CF">
            <w:pPr>
              <w:numPr>
                <w:ilvl w:val="0"/>
                <w:numId w:val="51"/>
              </w:numPr>
              <w:ind w:hanging="360"/>
              <w:rPr>
                <w:rFonts w:ascii="Garamond" w:hAnsi="Garamond"/>
              </w:rPr>
            </w:pPr>
            <w:r w:rsidRPr="004A0C12">
              <w:rPr>
                <w:rFonts w:ascii="Garamond" w:hAnsi="Garamond"/>
              </w:rPr>
              <w:t>Maryland DLLR-Division of Workforce Development &amp; Adult Learning</w:t>
            </w:r>
          </w:p>
          <w:p w14:paraId="6CF58319" w14:textId="77777777" w:rsidR="0074457B" w:rsidRPr="004A0C12" w:rsidRDefault="0074457B" w:rsidP="00F733CF">
            <w:pPr>
              <w:pStyle w:val="ListParagraph"/>
              <w:numPr>
                <w:ilvl w:val="0"/>
                <w:numId w:val="51"/>
              </w:numPr>
              <w:ind w:hanging="360"/>
              <w:rPr>
                <w:rFonts w:ascii="Garamond" w:hAnsi="Garamond"/>
                <w:szCs w:val="22"/>
              </w:rPr>
            </w:pPr>
            <w:r w:rsidRPr="004A0C12">
              <w:rPr>
                <w:rFonts w:ascii="Garamond" w:hAnsi="Garamond"/>
                <w:szCs w:val="22"/>
              </w:rPr>
              <w:t>Maryland DLLR-Division of Unemployment Insurance</w:t>
            </w:r>
          </w:p>
          <w:p w14:paraId="21B350AB" w14:textId="0F7EC13D" w:rsidR="0074457B" w:rsidRPr="004A0C12" w:rsidRDefault="0074457B" w:rsidP="00F733CF">
            <w:pPr>
              <w:pStyle w:val="ListParagraph"/>
              <w:numPr>
                <w:ilvl w:val="0"/>
                <w:numId w:val="51"/>
              </w:numPr>
              <w:ind w:hanging="360"/>
              <w:rPr>
                <w:rFonts w:ascii="Garamond" w:hAnsi="Garamond"/>
                <w:szCs w:val="22"/>
              </w:rPr>
            </w:pPr>
            <w:r w:rsidRPr="004A0C12">
              <w:rPr>
                <w:rFonts w:ascii="Garamond" w:hAnsi="Garamond"/>
                <w:szCs w:val="22"/>
              </w:rPr>
              <w:t>Mid</w:t>
            </w:r>
            <w:r w:rsidR="00D67ABB" w:rsidRPr="004A0C12">
              <w:rPr>
                <w:rFonts w:ascii="Garamond" w:hAnsi="Garamond"/>
                <w:szCs w:val="22"/>
              </w:rPr>
              <w:t>-</w:t>
            </w:r>
            <w:r w:rsidRPr="004A0C12">
              <w:rPr>
                <w:rFonts w:ascii="Garamond" w:hAnsi="Garamond"/>
                <w:szCs w:val="22"/>
              </w:rPr>
              <w:t>Maryland Workforce Investment Area</w:t>
            </w:r>
          </w:p>
        </w:tc>
      </w:tr>
      <w:tr w:rsidR="0074457B" w:rsidRPr="004A0C12" w14:paraId="3F9266F9" w14:textId="77777777" w:rsidTr="00C81EEA">
        <w:trPr>
          <w:trHeight w:val="1440"/>
        </w:trPr>
        <w:tc>
          <w:tcPr>
            <w:cnfStyle w:val="000010000000" w:firstRow="0" w:lastRow="0" w:firstColumn="0" w:lastColumn="0" w:oddVBand="1" w:evenVBand="0" w:oddHBand="0" w:evenHBand="0" w:firstRowFirstColumn="0" w:firstRowLastColumn="0" w:lastRowFirstColumn="0" w:lastRowLastColumn="0"/>
            <w:tcW w:w="529" w:type="dxa"/>
          </w:tcPr>
          <w:p w14:paraId="312D2B64"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10.</w:t>
            </w:r>
          </w:p>
        </w:tc>
        <w:tc>
          <w:tcPr>
            <w:tcW w:w="3644" w:type="dxa"/>
          </w:tcPr>
          <w:p w14:paraId="2CE673F8"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WIOA Career Services and Training</w:t>
            </w:r>
          </w:p>
        </w:tc>
        <w:tc>
          <w:tcPr>
            <w:cnfStyle w:val="000010000000" w:firstRow="0" w:lastRow="0" w:firstColumn="0" w:lastColumn="0" w:oddVBand="1" w:evenVBand="0" w:oddHBand="0" w:evenHBand="0" w:firstRowFirstColumn="0" w:firstRowLastColumn="0" w:lastRowFirstColumn="0" w:lastRowLastColumn="0"/>
            <w:tcW w:w="6831" w:type="dxa"/>
          </w:tcPr>
          <w:p w14:paraId="1FFBC65D" w14:textId="77777777" w:rsidR="0074457B" w:rsidRPr="004A0C12" w:rsidRDefault="0074457B" w:rsidP="00F733CF">
            <w:pPr>
              <w:numPr>
                <w:ilvl w:val="0"/>
                <w:numId w:val="52"/>
              </w:numPr>
              <w:ind w:hanging="360"/>
              <w:rPr>
                <w:rFonts w:ascii="Garamond" w:hAnsi="Garamond"/>
              </w:rPr>
            </w:pPr>
            <w:r w:rsidRPr="004A0C12">
              <w:rPr>
                <w:rFonts w:ascii="Garamond" w:hAnsi="Garamond"/>
              </w:rPr>
              <w:t xml:space="preserve">Anne Arundel Workforce Development Corporation </w:t>
            </w:r>
          </w:p>
          <w:p w14:paraId="18F5AC63" w14:textId="77777777" w:rsidR="0074457B" w:rsidRPr="004A0C12" w:rsidRDefault="0074457B" w:rsidP="00F733CF">
            <w:pPr>
              <w:numPr>
                <w:ilvl w:val="0"/>
                <w:numId w:val="52"/>
              </w:numPr>
              <w:ind w:hanging="360"/>
              <w:rPr>
                <w:rFonts w:ascii="Garamond" w:hAnsi="Garamond"/>
              </w:rPr>
            </w:pPr>
            <w:r w:rsidRPr="004A0C12">
              <w:rPr>
                <w:rFonts w:ascii="Garamond" w:hAnsi="Garamond"/>
              </w:rPr>
              <w:t>Maryland DLLR-Division of Workforce Development &amp; Adult Learning</w:t>
            </w:r>
          </w:p>
          <w:p w14:paraId="23E31A33" w14:textId="70960524" w:rsidR="0074457B" w:rsidRPr="004A0C12" w:rsidRDefault="0074457B" w:rsidP="00F733CF">
            <w:pPr>
              <w:pStyle w:val="ListParagraph"/>
              <w:numPr>
                <w:ilvl w:val="0"/>
                <w:numId w:val="52"/>
              </w:numPr>
              <w:ind w:hanging="360"/>
              <w:rPr>
                <w:rFonts w:ascii="Garamond" w:hAnsi="Garamond"/>
                <w:szCs w:val="22"/>
              </w:rPr>
            </w:pPr>
            <w:r w:rsidRPr="004A0C12">
              <w:rPr>
                <w:rFonts w:ascii="Garamond" w:hAnsi="Garamond"/>
                <w:szCs w:val="22"/>
              </w:rPr>
              <w:t>Mid</w:t>
            </w:r>
            <w:r w:rsidR="00D67ABB" w:rsidRPr="004A0C12">
              <w:rPr>
                <w:rFonts w:ascii="Garamond" w:hAnsi="Garamond"/>
                <w:szCs w:val="22"/>
              </w:rPr>
              <w:t>-</w:t>
            </w:r>
            <w:r w:rsidRPr="004A0C12">
              <w:rPr>
                <w:rFonts w:ascii="Garamond" w:hAnsi="Garamond"/>
                <w:szCs w:val="22"/>
              </w:rPr>
              <w:t>Maryland Workforce Investment Area</w:t>
            </w:r>
          </w:p>
          <w:p w14:paraId="5A70CDE6" w14:textId="23BCDF6C" w:rsidR="0074457B" w:rsidRPr="004A0C12" w:rsidRDefault="0074457B" w:rsidP="00F733CF">
            <w:pPr>
              <w:pStyle w:val="ListParagraph"/>
              <w:numPr>
                <w:ilvl w:val="0"/>
                <w:numId w:val="52"/>
              </w:numPr>
              <w:ind w:hanging="360"/>
              <w:rPr>
                <w:rFonts w:ascii="Garamond" w:hAnsi="Garamond"/>
                <w:szCs w:val="22"/>
              </w:rPr>
            </w:pPr>
            <w:r w:rsidRPr="004A0C12">
              <w:rPr>
                <w:rFonts w:ascii="Garamond" w:hAnsi="Garamond"/>
                <w:szCs w:val="22"/>
              </w:rPr>
              <w:t>Montgomery County Division of Workforce Services</w:t>
            </w:r>
          </w:p>
          <w:p w14:paraId="3497D350" w14:textId="77777777" w:rsidR="0074457B" w:rsidRPr="004A0C12" w:rsidRDefault="0074457B" w:rsidP="00F733CF">
            <w:pPr>
              <w:pStyle w:val="ListParagraph"/>
              <w:numPr>
                <w:ilvl w:val="0"/>
                <w:numId w:val="52"/>
              </w:numPr>
              <w:ind w:hanging="360"/>
              <w:rPr>
                <w:rFonts w:ascii="Garamond" w:hAnsi="Garamond"/>
                <w:szCs w:val="22"/>
              </w:rPr>
            </w:pPr>
            <w:r w:rsidRPr="004A0C12">
              <w:rPr>
                <w:rFonts w:ascii="Garamond" w:hAnsi="Garamond"/>
                <w:szCs w:val="22"/>
              </w:rPr>
              <w:t>Susquehanna Workforce Network, Inc.</w:t>
            </w:r>
          </w:p>
        </w:tc>
      </w:tr>
      <w:tr w:rsidR="0074457B" w:rsidRPr="004A0C12" w14:paraId="4F127CB3" w14:textId="77777777" w:rsidTr="00C81EEA">
        <w:trPr>
          <w:cnfStyle w:val="000000100000" w:firstRow="0" w:lastRow="0" w:firstColumn="0" w:lastColumn="0" w:oddVBand="0" w:evenVBand="0" w:oddHBand="1" w:evenHBand="0" w:firstRowFirstColumn="0" w:firstRowLastColumn="0" w:lastRowFirstColumn="0" w:lastRowLastColumn="0"/>
          <w:trHeight w:val="2160"/>
        </w:trPr>
        <w:tc>
          <w:tcPr>
            <w:cnfStyle w:val="000010000000" w:firstRow="0" w:lastRow="0" w:firstColumn="0" w:lastColumn="0" w:oddVBand="1" w:evenVBand="0" w:oddHBand="0" w:evenHBand="0" w:firstRowFirstColumn="0" w:firstRowLastColumn="0" w:lastRowFirstColumn="0" w:lastRowLastColumn="0"/>
            <w:tcW w:w="529" w:type="dxa"/>
          </w:tcPr>
          <w:p w14:paraId="6E854029"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11.</w:t>
            </w:r>
          </w:p>
        </w:tc>
        <w:tc>
          <w:tcPr>
            <w:tcW w:w="3644" w:type="dxa"/>
          </w:tcPr>
          <w:p w14:paraId="08FB5FB5"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Business Services</w:t>
            </w:r>
          </w:p>
        </w:tc>
        <w:tc>
          <w:tcPr>
            <w:cnfStyle w:val="000010000000" w:firstRow="0" w:lastRow="0" w:firstColumn="0" w:lastColumn="0" w:oddVBand="1" w:evenVBand="0" w:oddHBand="0" w:evenHBand="0" w:firstRowFirstColumn="0" w:firstRowLastColumn="0" w:lastRowFirstColumn="0" w:lastRowLastColumn="0"/>
            <w:tcW w:w="6831" w:type="dxa"/>
          </w:tcPr>
          <w:p w14:paraId="2E934B24" w14:textId="77777777" w:rsidR="0074457B" w:rsidRPr="004A0C12" w:rsidRDefault="0074457B" w:rsidP="00F733CF">
            <w:pPr>
              <w:pStyle w:val="ListParagraph"/>
              <w:numPr>
                <w:ilvl w:val="0"/>
                <w:numId w:val="53"/>
              </w:numPr>
              <w:ind w:hanging="360"/>
              <w:rPr>
                <w:rFonts w:ascii="Garamond" w:hAnsi="Garamond"/>
                <w:szCs w:val="22"/>
              </w:rPr>
            </w:pPr>
            <w:r w:rsidRPr="004A0C12">
              <w:rPr>
                <w:rFonts w:ascii="Garamond" w:hAnsi="Garamond"/>
                <w:szCs w:val="22"/>
              </w:rPr>
              <w:t>Frederick County Workforce Services</w:t>
            </w:r>
          </w:p>
          <w:p w14:paraId="63B67A3E" w14:textId="77777777" w:rsidR="0074457B" w:rsidRPr="004A0C12" w:rsidRDefault="0074457B" w:rsidP="00F733CF">
            <w:pPr>
              <w:pStyle w:val="ListParagraph"/>
              <w:numPr>
                <w:ilvl w:val="0"/>
                <w:numId w:val="53"/>
              </w:numPr>
              <w:ind w:hanging="360"/>
              <w:rPr>
                <w:rFonts w:ascii="Garamond" w:hAnsi="Garamond"/>
                <w:szCs w:val="22"/>
              </w:rPr>
            </w:pPr>
            <w:r w:rsidRPr="004A0C12">
              <w:rPr>
                <w:rFonts w:ascii="Garamond" w:hAnsi="Garamond"/>
                <w:szCs w:val="22"/>
              </w:rPr>
              <w:t>Maryland Dept. of Commerce</w:t>
            </w:r>
          </w:p>
          <w:p w14:paraId="6A7C9861" w14:textId="77777777" w:rsidR="0074457B" w:rsidRPr="004A0C12" w:rsidRDefault="0074457B" w:rsidP="00F733CF">
            <w:pPr>
              <w:pStyle w:val="ListParagraph"/>
              <w:numPr>
                <w:ilvl w:val="0"/>
                <w:numId w:val="53"/>
              </w:numPr>
              <w:ind w:hanging="360"/>
              <w:rPr>
                <w:rFonts w:ascii="Garamond" w:hAnsi="Garamond"/>
                <w:szCs w:val="22"/>
              </w:rPr>
            </w:pPr>
            <w:r w:rsidRPr="004A0C12">
              <w:rPr>
                <w:rFonts w:ascii="Garamond" w:hAnsi="Garamond"/>
                <w:szCs w:val="22"/>
              </w:rPr>
              <w:t xml:space="preserve">Maryland Dept. of Disabilities </w:t>
            </w:r>
          </w:p>
          <w:p w14:paraId="48EEA4BE" w14:textId="77777777" w:rsidR="0074457B" w:rsidRPr="004A0C12" w:rsidRDefault="0074457B" w:rsidP="00F733CF">
            <w:pPr>
              <w:pStyle w:val="ListParagraph"/>
              <w:numPr>
                <w:ilvl w:val="0"/>
                <w:numId w:val="53"/>
              </w:numPr>
              <w:ind w:hanging="360"/>
              <w:rPr>
                <w:rFonts w:ascii="Garamond" w:hAnsi="Garamond"/>
                <w:szCs w:val="22"/>
              </w:rPr>
            </w:pPr>
            <w:r w:rsidRPr="004A0C12">
              <w:rPr>
                <w:rFonts w:ascii="Garamond" w:hAnsi="Garamond"/>
                <w:szCs w:val="22"/>
              </w:rPr>
              <w:t xml:space="preserve">Maryland DHR-Family Investment Administration </w:t>
            </w:r>
          </w:p>
          <w:p w14:paraId="0632EF42" w14:textId="74FF48A0" w:rsidR="0074457B" w:rsidRPr="004A0C12" w:rsidRDefault="00C81EEA" w:rsidP="00F733CF">
            <w:pPr>
              <w:pStyle w:val="ListParagraph"/>
              <w:numPr>
                <w:ilvl w:val="0"/>
                <w:numId w:val="53"/>
              </w:numPr>
              <w:ind w:hanging="360"/>
              <w:rPr>
                <w:rFonts w:ascii="Garamond" w:hAnsi="Garamond"/>
                <w:szCs w:val="22"/>
              </w:rPr>
            </w:pPr>
            <w:r w:rsidRPr="004A0C12">
              <w:rPr>
                <w:rFonts w:ascii="Garamond" w:hAnsi="Garamond"/>
                <w:szCs w:val="22"/>
              </w:rPr>
              <w:t>Maryland DLLR-</w:t>
            </w:r>
            <w:r w:rsidR="0074457B" w:rsidRPr="004A0C12">
              <w:rPr>
                <w:rFonts w:ascii="Garamond" w:hAnsi="Garamond"/>
                <w:szCs w:val="22"/>
              </w:rPr>
              <w:t>Division of Workforce Development &amp; Adult Learning</w:t>
            </w:r>
          </w:p>
          <w:p w14:paraId="6B116F78" w14:textId="63D33E30" w:rsidR="0074457B" w:rsidRPr="004A0C12" w:rsidRDefault="0074457B" w:rsidP="00F733CF">
            <w:pPr>
              <w:pStyle w:val="ListParagraph"/>
              <w:numPr>
                <w:ilvl w:val="0"/>
                <w:numId w:val="53"/>
              </w:numPr>
              <w:ind w:hanging="360"/>
              <w:rPr>
                <w:rFonts w:ascii="Garamond" w:hAnsi="Garamond"/>
                <w:szCs w:val="22"/>
              </w:rPr>
            </w:pPr>
            <w:r w:rsidRPr="004A0C12">
              <w:rPr>
                <w:rFonts w:ascii="Garamond" w:hAnsi="Garamond"/>
                <w:szCs w:val="22"/>
              </w:rPr>
              <w:t>Mary</w:t>
            </w:r>
            <w:r w:rsidR="00C81EEA" w:rsidRPr="004A0C12">
              <w:rPr>
                <w:rFonts w:ascii="Garamond" w:hAnsi="Garamond"/>
                <w:szCs w:val="22"/>
              </w:rPr>
              <w:t>land State Dept. of Education-</w:t>
            </w:r>
            <w:r w:rsidRPr="004A0C12">
              <w:rPr>
                <w:rFonts w:ascii="Garamond" w:hAnsi="Garamond"/>
                <w:szCs w:val="22"/>
              </w:rPr>
              <w:t>Division of Rehabilitation Services</w:t>
            </w:r>
          </w:p>
          <w:p w14:paraId="16EE4D27" w14:textId="77777777" w:rsidR="0074457B" w:rsidRPr="004A0C12" w:rsidRDefault="0074457B" w:rsidP="00F733CF">
            <w:pPr>
              <w:pStyle w:val="ListParagraph"/>
              <w:numPr>
                <w:ilvl w:val="0"/>
                <w:numId w:val="53"/>
              </w:numPr>
              <w:ind w:hanging="360"/>
              <w:rPr>
                <w:rFonts w:ascii="Garamond" w:hAnsi="Garamond"/>
                <w:szCs w:val="22"/>
              </w:rPr>
            </w:pPr>
            <w:r w:rsidRPr="004A0C12">
              <w:rPr>
                <w:rFonts w:ascii="Garamond" w:hAnsi="Garamond"/>
                <w:szCs w:val="22"/>
              </w:rPr>
              <w:t>Susquehanna Workforce Network, Inc.</w:t>
            </w:r>
          </w:p>
        </w:tc>
      </w:tr>
      <w:tr w:rsidR="0074457B" w:rsidRPr="004A0C12" w14:paraId="5F897BFC" w14:textId="77777777" w:rsidTr="00C81EEA">
        <w:trPr>
          <w:trHeight w:val="960"/>
        </w:trPr>
        <w:tc>
          <w:tcPr>
            <w:cnfStyle w:val="000010000000" w:firstRow="0" w:lastRow="0" w:firstColumn="0" w:lastColumn="0" w:oddVBand="1" w:evenVBand="0" w:oddHBand="0" w:evenHBand="0" w:firstRowFirstColumn="0" w:firstRowLastColumn="0" w:lastRowFirstColumn="0" w:lastRowLastColumn="0"/>
            <w:tcW w:w="529" w:type="dxa"/>
          </w:tcPr>
          <w:p w14:paraId="1346CD53"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12.</w:t>
            </w:r>
          </w:p>
        </w:tc>
        <w:tc>
          <w:tcPr>
            <w:tcW w:w="3644" w:type="dxa"/>
          </w:tcPr>
          <w:p w14:paraId="1E3FAB04"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Rapid Response</w:t>
            </w:r>
          </w:p>
        </w:tc>
        <w:tc>
          <w:tcPr>
            <w:cnfStyle w:val="000010000000" w:firstRow="0" w:lastRow="0" w:firstColumn="0" w:lastColumn="0" w:oddVBand="1" w:evenVBand="0" w:oddHBand="0" w:evenHBand="0" w:firstRowFirstColumn="0" w:firstRowLastColumn="0" w:lastRowFirstColumn="0" w:lastRowLastColumn="0"/>
            <w:tcW w:w="6831" w:type="dxa"/>
          </w:tcPr>
          <w:p w14:paraId="0B908555" w14:textId="77777777" w:rsidR="0074457B" w:rsidRPr="004A0C12" w:rsidRDefault="0074457B" w:rsidP="00F733CF">
            <w:pPr>
              <w:pStyle w:val="ListParagraph"/>
              <w:numPr>
                <w:ilvl w:val="0"/>
                <w:numId w:val="54"/>
              </w:numPr>
              <w:ind w:hanging="360"/>
              <w:rPr>
                <w:rFonts w:ascii="Garamond" w:hAnsi="Garamond"/>
                <w:szCs w:val="22"/>
              </w:rPr>
            </w:pPr>
            <w:r w:rsidRPr="004A0C12">
              <w:rPr>
                <w:rFonts w:ascii="Garamond" w:hAnsi="Garamond"/>
                <w:szCs w:val="22"/>
              </w:rPr>
              <w:t>Maryland DLLR-Division of Workforce Development &amp; Adult Learning</w:t>
            </w:r>
          </w:p>
          <w:p w14:paraId="4257CF4B" w14:textId="77777777" w:rsidR="0074457B" w:rsidRPr="004A0C12" w:rsidRDefault="0074457B" w:rsidP="00F733CF">
            <w:pPr>
              <w:pStyle w:val="ListParagraph"/>
              <w:numPr>
                <w:ilvl w:val="0"/>
                <w:numId w:val="54"/>
              </w:numPr>
              <w:ind w:hanging="360"/>
              <w:rPr>
                <w:rFonts w:ascii="Garamond" w:hAnsi="Garamond"/>
                <w:szCs w:val="22"/>
              </w:rPr>
            </w:pPr>
            <w:r w:rsidRPr="004A0C12">
              <w:rPr>
                <w:rFonts w:ascii="Garamond" w:hAnsi="Garamond"/>
                <w:szCs w:val="22"/>
              </w:rPr>
              <w:t xml:space="preserve">Maryland DLLR-Division of Unemployment Insurance </w:t>
            </w:r>
          </w:p>
          <w:p w14:paraId="3DB839AD" w14:textId="77777777" w:rsidR="0074457B" w:rsidRPr="004A0C12" w:rsidRDefault="0074457B" w:rsidP="00F733CF">
            <w:pPr>
              <w:pStyle w:val="ListParagraph"/>
              <w:numPr>
                <w:ilvl w:val="0"/>
                <w:numId w:val="54"/>
              </w:numPr>
              <w:ind w:hanging="360"/>
              <w:rPr>
                <w:rFonts w:ascii="Garamond" w:hAnsi="Garamond"/>
                <w:szCs w:val="22"/>
              </w:rPr>
            </w:pPr>
            <w:r w:rsidRPr="004A0C12">
              <w:rPr>
                <w:rFonts w:ascii="Garamond" w:hAnsi="Garamond"/>
                <w:szCs w:val="22"/>
              </w:rPr>
              <w:t>Mid-Maryland Workforce Investment Area</w:t>
            </w:r>
          </w:p>
        </w:tc>
      </w:tr>
      <w:tr w:rsidR="0074457B" w:rsidRPr="004A0C12" w14:paraId="23821D0E" w14:textId="77777777" w:rsidTr="00C81EEA">
        <w:trPr>
          <w:cnfStyle w:val="000000100000" w:firstRow="0" w:lastRow="0" w:firstColumn="0" w:lastColumn="0" w:oddVBand="0" w:evenVBand="0" w:oddHBand="1" w:evenHBand="0" w:firstRowFirstColumn="0" w:firstRowLastColumn="0" w:lastRowFirstColumn="0" w:lastRowLastColumn="0"/>
          <w:trHeight w:val="960"/>
        </w:trPr>
        <w:tc>
          <w:tcPr>
            <w:cnfStyle w:val="000010000000" w:firstRow="0" w:lastRow="0" w:firstColumn="0" w:lastColumn="0" w:oddVBand="1" w:evenVBand="0" w:oddHBand="0" w:evenHBand="0" w:firstRowFirstColumn="0" w:firstRowLastColumn="0" w:lastRowFirstColumn="0" w:lastRowLastColumn="0"/>
            <w:tcW w:w="529" w:type="dxa"/>
          </w:tcPr>
          <w:p w14:paraId="38666018"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13.</w:t>
            </w:r>
          </w:p>
        </w:tc>
        <w:tc>
          <w:tcPr>
            <w:tcW w:w="3644" w:type="dxa"/>
          </w:tcPr>
          <w:p w14:paraId="4A8141A0" w14:textId="6B3044E6" w:rsidR="0074457B" w:rsidRPr="004A0C12" w:rsidRDefault="00C81EEA"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Exit Policies for E</w:t>
            </w:r>
            <w:r w:rsidR="0074457B" w:rsidRPr="004A0C12">
              <w:rPr>
                <w:rFonts w:ascii="Garamond" w:hAnsi="Garamond"/>
                <w:szCs w:val="22"/>
              </w:rPr>
              <w:t>ach Core Program</w:t>
            </w:r>
          </w:p>
        </w:tc>
        <w:tc>
          <w:tcPr>
            <w:cnfStyle w:val="000010000000" w:firstRow="0" w:lastRow="0" w:firstColumn="0" w:lastColumn="0" w:oddVBand="1" w:evenVBand="0" w:oddHBand="0" w:evenHBand="0" w:firstRowFirstColumn="0" w:firstRowLastColumn="0" w:lastRowFirstColumn="0" w:lastRowLastColumn="0"/>
            <w:tcW w:w="6831" w:type="dxa"/>
          </w:tcPr>
          <w:p w14:paraId="5BBF66D9" w14:textId="77777777" w:rsidR="0074457B" w:rsidRPr="004A0C12" w:rsidRDefault="0074457B" w:rsidP="00F733CF">
            <w:pPr>
              <w:pStyle w:val="ListParagraph"/>
              <w:numPr>
                <w:ilvl w:val="0"/>
                <w:numId w:val="55"/>
              </w:numPr>
              <w:ind w:hanging="360"/>
              <w:rPr>
                <w:rFonts w:ascii="Garamond" w:hAnsi="Garamond"/>
                <w:szCs w:val="22"/>
              </w:rPr>
            </w:pPr>
            <w:r w:rsidRPr="004A0C12">
              <w:rPr>
                <w:rFonts w:ascii="Garamond" w:hAnsi="Garamond"/>
                <w:szCs w:val="22"/>
              </w:rPr>
              <w:t>Baltimore City Mayor’s Office of Employment Development</w:t>
            </w:r>
          </w:p>
          <w:p w14:paraId="58D976DC" w14:textId="77777777" w:rsidR="0074457B" w:rsidRPr="004A0C12" w:rsidRDefault="0074457B" w:rsidP="00F733CF">
            <w:pPr>
              <w:pStyle w:val="ListParagraph"/>
              <w:numPr>
                <w:ilvl w:val="0"/>
                <w:numId w:val="55"/>
              </w:numPr>
              <w:ind w:hanging="360"/>
              <w:rPr>
                <w:rFonts w:ascii="Garamond" w:hAnsi="Garamond"/>
                <w:szCs w:val="22"/>
              </w:rPr>
            </w:pPr>
            <w:r w:rsidRPr="004A0C12">
              <w:rPr>
                <w:rFonts w:ascii="Garamond" w:hAnsi="Garamond"/>
                <w:szCs w:val="22"/>
              </w:rPr>
              <w:t>Maryland DLLR-Division of Workforce Development &amp; Adult Learning</w:t>
            </w:r>
          </w:p>
          <w:p w14:paraId="29B1C292" w14:textId="0A1D6980" w:rsidR="0074457B" w:rsidRPr="004A0C12" w:rsidRDefault="0074457B" w:rsidP="00F733CF">
            <w:pPr>
              <w:pStyle w:val="ListParagraph"/>
              <w:numPr>
                <w:ilvl w:val="0"/>
                <w:numId w:val="55"/>
              </w:numPr>
              <w:ind w:hanging="360"/>
              <w:rPr>
                <w:rFonts w:ascii="Garamond" w:hAnsi="Garamond"/>
                <w:szCs w:val="22"/>
              </w:rPr>
            </w:pPr>
            <w:r w:rsidRPr="004A0C12">
              <w:rPr>
                <w:rFonts w:ascii="Garamond" w:hAnsi="Garamond"/>
                <w:szCs w:val="22"/>
              </w:rPr>
              <w:t>Mid</w:t>
            </w:r>
            <w:r w:rsidR="00D67ABB" w:rsidRPr="004A0C12">
              <w:rPr>
                <w:rFonts w:ascii="Garamond" w:hAnsi="Garamond"/>
                <w:szCs w:val="22"/>
              </w:rPr>
              <w:t>-</w:t>
            </w:r>
            <w:r w:rsidRPr="004A0C12">
              <w:rPr>
                <w:rFonts w:ascii="Garamond" w:hAnsi="Garamond"/>
                <w:szCs w:val="22"/>
              </w:rPr>
              <w:t>Maryland Workforce Investment Area</w:t>
            </w:r>
          </w:p>
        </w:tc>
      </w:tr>
      <w:tr w:rsidR="0074457B" w:rsidRPr="004A0C12" w14:paraId="3EC12940" w14:textId="77777777" w:rsidTr="00C81EEA">
        <w:trPr>
          <w:trHeight w:val="1680"/>
        </w:trPr>
        <w:tc>
          <w:tcPr>
            <w:cnfStyle w:val="000010000000" w:firstRow="0" w:lastRow="0" w:firstColumn="0" w:lastColumn="0" w:oddVBand="1" w:evenVBand="0" w:oddHBand="0" w:evenHBand="0" w:firstRowFirstColumn="0" w:firstRowLastColumn="0" w:lastRowFirstColumn="0" w:lastRowLastColumn="0"/>
            <w:tcW w:w="529" w:type="dxa"/>
          </w:tcPr>
          <w:p w14:paraId="51A15689"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14.</w:t>
            </w:r>
          </w:p>
        </w:tc>
        <w:tc>
          <w:tcPr>
            <w:tcW w:w="3644" w:type="dxa"/>
          </w:tcPr>
          <w:p w14:paraId="3581A54E"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Determining Planning Regions</w:t>
            </w:r>
          </w:p>
        </w:tc>
        <w:tc>
          <w:tcPr>
            <w:cnfStyle w:val="000010000000" w:firstRow="0" w:lastRow="0" w:firstColumn="0" w:lastColumn="0" w:oddVBand="1" w:evenVBand="0" w:oddHBand="0" w:evenHBand="0" w:firstRowFirstColumn="0" w:firstRowLastColumn="0" w:lastRowFirstColumn="0" w:lastRowLastColumn="0"/>
            <w:tcW w:w="6831" w:type="dxa"/>
          </w:tcPr>
          <w:p w14:paraId="49AF6B84" w14:textId="77777777" w:rsidR="0074457B" w:rsidRPr="004A0C12" w:rsidRDefault="0074457B" w:rsidP="00F733CF">
            <w:pPr>
              <w:pStyle w:val="ListParagraph"/>
              <w:numPr>
                <w:ilvl w:val="0"/>
                <w:numId w:val="56"/>
              </w:numPr>
              <w:ind w:hanging="360"/>
              <w:rPr>
                <w:rFonts w:ascii="Garamond" w:hAnsi="Garamond"/>
                <w:szCs w:val="22"/>
              </w:rPr>
            </w:pPr>
            <w:r w:rsidRPr="004A0C12">
              <w:rPr>
                <w:rFonts w:ascii="Garamond" w:hAnsi="Garamond"/>
                <w:szCs w:val="22"/>
              </w:rPr>
              <w:t>Goodwill Industries</w:t>
            </w:r>
          </w:p>
          <w:p w14:paraId="69BC7A0C" w14:textId="77777777" w:rsidR="0074457B" w:rsidRPr="004A0C12" w:rsidRDefault="0074457B" w:rsidP="00F733CF">
            <w:pPr>
              <w:pStyle w:val="ListParagraph"/>
              <w:numPr>
                <w:ilvl w:val="0"/>
                <w:numId w:val="56"/>
              </w:numPr>
              <w:ind w:hanging="360"/>
              <w:rPr>
                <w:rFonts w:ascii="Garamond" w:hAnsi="Garamond"/>
                <w:szCs w:val="22"/>
              </w:rPr>
            </w:pPr>
            <w:r w:rsidRPr="004A0C12">
              <w:rPr>
                <w:rFonts w:ascii="Garamond" w:hAnsi="Garamond"/>
                <w:szCs w:val="22"/>
              </w:rPr>
              <w:t xml:space="preserve">Governor’s Workforce Investment Board </w:t>
            </w:r>
          </w:p>
          <w:p w14:paraId="7EA3090E" w14:textId="77777777" w:rsidR="0074457B" w:rsidRPr="004A0C12" w:rsidRDefault="0074457B" w:rsidP="00F733CF">
            <w:pPr>
              <w:pStyle w:val="ListParagraph"/>
              <w:numPr>
                <w:ilvl w:val="0"/>
                <w:numId w:val="56"/>
              </w:numPr>
              <w:ind w:hanging="360"/>
              <w:rPr>
                <w:rFonts w:ascii="Garamond" w:hAnsi="Garamond"/>
                <w:szCs w:val="22"/>
              </w:rPr>
            </w:pPr>
            <w:r w:rsidRPr="004A0C12">
              <w:rPr>
                <w:rFonts w:ascii="Garamond" w:hAnsi="Garamond"/>
                <w:szCs w:val="22"/>
              </w:rPr>
              <w:t>Department of Commerce</w:t>
            </w:r>
          </w:p>
          <w:p w14:paraId="4F9F511A" w14:textId="77777777" w:rsidR="0074457B" w:rsidRPr="004A0C12" w:rsidRDefault="0074457B" w:rsidP="00F733CF">
            <w:pPr>
              <w:pStyle w:val="ListParagraph"/>
              <w:numPr>
                <w:ilvl w:val="0"/>
                <w:numId w:val="56"/>
              </w:numPr>
              <w:ind w:hanging="360"/>
              <w:rPr>
                <w:rFonts w:ascii="Garamond" w:hAnsi="Garamond"/>
                <w:szCs w:val="22"/>
              </w:rPr>
            </w:pPr>
            <w:r w:rsidRPr="004A0C12">
              <w:rPr>
                <w:rFonts w:ascii="Garamond" w:hAnsi="Garamond"/>
                <w:szCs w:val="22"/>
              </w:rPr>
              <w:t>Maryland DLLR-Division of Workforce Development &amp; Adult Learning</w:t>
            </w:r>
          </w:p>
          <w:p w14:paraId="2DF72564" w14:textId="77777777" w:rsidR="0074457B" w:rsidRPr="004A0C12" w:rsidRDefault="0074457B" w:rsidP="00F733CF">
            <w:pPr>
              <w:pStyle w:val="ListParagraph"/>
              <w:numPr>
                <w:ilvl w:val="0"/>
                <w:numId w:val="56"/>
              </w:numPr>
              <w:ind w:hanging="360"/>
              <w:rPr>
                <w:rFonts w:ascii="Garamond" w:hAnsi="Garamond"/>
                <w:szCs w:val="22"/>
              </w:rPr>
            </w:pPr>
            <w:r w:rsidRPr="004A0C12">
              <w:rPr>
                <w:rFonts w:ascii="Garamond" w:hAnsi="Garamond"/>
                <w:szCs w:val="22"/>
              </w:rPr>
              <w:t xml:space="preserve">Maryland Dept. of Planning </w:t>
            </w:r>
          </w:p>
          <w:p w14:paraId="7D624A16" w14:textId="77777777" w:rsidR="0074457B" w:rsidRPr="004A0C12" w:rsidRDefault="0074457B" w:rsidP="00F733CF">
            <w:pPr>
              <w:pStyle w:val="ListParagraph"/>
              <w:numPr>
                <w:ilvl w:val="0"/>
                <w:numId w:val="56"/>
              </w:numPr>
              <w:ind w:hanging="360"/>
              <w:rPr>
                <w:rFonts w:ascii="Garamond" w:hAnsi="Garamond"/>
                <w:szCs w:val="22"/>
              </w:rPr>
            </w:pPr>
            <w:r w:rsidRPr="004A0C12">
              <w:rPr>
                <w:rFonts w:ascii="Garamond" w:hAnsi="Garamond"/>
                <w:szCs w:val="22"/>
              </w:rPr>
              <w:t xml:space="preserve">Upper Shore Workforce Investment Board </w:t>
            </w:r>
          </w:p>
        </w:tc>
      </w:tr>
      <w:tr w:rsidR="0074457B" w:rsidRPr="004A0C12" w14:paraId="2745A3A9" w14:textId="77777777" w:rsidTr="00C81EEA">
        <w:trPr>
          <w:cnfStyle w:val="000000100000" w:firstRow="0" w:lastRow="0" w:firstColumn="0" w:lastColumn="0" w:oddVBand="0" w:evenVBand="0" w:oddHBand="1" w:evenHBand="0" w:firstRowFirstColumn="0" w:firstRowLastColumn="0" w:lastRowFirstColumn="0" w:lastRowLastColumn="0"/>
          <w:trHeight w:val="960"/>
        </w:trPr>
        <w:tc>
          <w:tcPr>
            <w:cnfStyle w:val="000010000000" w:firstRow="0" w:lastRow="0" w:firstColumn="0" w:lastColumn="0" w:oddVBand="1" w:evenVBand="0" w:oddHBand="0" w:evenHBand="0" w:firstRowFirstColumn="0" w:firstRowLastColumn="0" w:lastRowFirstColumn="0" w:lastRowLastColumn="0"/>
            <w:tcW w:w="529" w:type="dxa"/>
          </w:tcPr>
          <w:p w14:paraId="13584E73"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15.</w:t>
            </w:r>
          </w:p>
        </w:tc>
        <w:tc>
          <w:tcPr>
            <w:tcW w:w="3644" w:type="dxa"/>
          </w:tcPr>
          <w:p w14:paraId="3DC64F38" w14:textId="5A059626" w:rsidR="0074457B" w:rsidRPr="004A0C12" w:rsidRDefault="00C81EEA"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Reporting, Including C</w:t>
            </w:r>
            <w:r w:rsidR="0074457B" w:rsidRPr="004A0C12">
              <w:rPr>
                <w:rFonts w:ascii="Garamond" w:hAnsi="Garamond"/>
                <w:szCs w:val="22"/>
              </w:rPr>
              <w:t>loseout</w:t>
            </w:r>
          </w:p>
        </w:tc>
        <w:tc>
          <w:tcPr>
            <w:cnfStyle w:val="000010000000" w:firstRow="0" w:lastRow="0" w:firstColumn="0" w:lastColumn="0" w:oddVBand="1" w:evenVBand="0" w:oddHBand="0" w:evenHBand="0" w:firstRowFirstColumn="0" w:firstRowLastColumn="0" w:lastRowFirstColumn="0" w:lastRowLastColumn="0"/>
            <w:tcW w:w="6831" w:type="dxa"/>
          </w:tcPr>
          <w:p w14:paraId="7BD9EF15" w14:textId="77777777" w:rsidR="0074457B" w:rsidRPr="004A0C12" w:rsidRDefault="0074457B" w:rsidP="00F733CF">
            <w:pPr>
              <w:pStyle w:val="ListParagraph"/>
              <w:numPr>
                <w:ilvl w:val="0"/>
                <w:numId w:val="57"/>
              </w:numPr>
              <w:ind w:hanging="360"/>
              <w:rPr>
                <w:rFonts w:ascii="Garamond" w:hAnsi="Garamond"/>
                <w:szCs w:val="22"/>
              </w:rPr>
            </w:pPr>
            <w:r w:rsidRPr="004A0C12">
              <w:rPr>
                <w:rFonts w:ascii="Garamond" w:hAnsi="Garamond"/>
                <w:szCs w:val="22"/>
              </w:rPr>
              <w:t>Frederick County Workforce Services</w:t>
            </w:r>
          </w:p>
          <w:p w14:paraId="72B5ED5D" w14:textId="77777777" w:rsidR="0074457B" w:rsidRPr="004A0C12" w:rsidRDefault="0074457B" w:rsidP="00F733CF">
            <w:pPr>
              <w:pStyle w:val="ListParagraph"/>
              <w:numPr>
                <w:ilvl w:val="0"/>
                <w:numId w:val="57"/>
              </w:numPr>
              <w:ind w:hanging="360"/>
              <w:rPr>
                <w:rFonts w:ascii="Garamond" w:hAnsi="Garamond"/>
                <w:szCs w:val="22"/>
              </w:rPr>
            </w:pPr>
            <w:r w:rsidRPr="004A0C12">
              <w:rPr>
                <w:rFonts w:ascii="Garamond" w:hAnsi="Garamond"/>
                <w:szCs w:val="22"/>
              </w:rPr>
              <w:t>Maryland DLLR-Division of Workforce Development &amp; Adult Learning</w:t>
            </w:r>
          </w:p>
          <w:p w14:paraId="486008FD" w14:textId="2E11AA48" w:rsidR="0074457B" w:rsidRPr="004A0C12" w:rsidRDefault="0074457B" w:rsidP="00F733CF">
            <w:pPr>
              <w:pStyle w:val="ListParagraph"/>
              <w:numPr>
                <w:ilvl w:val="0"/>
                <w:numId w:val="57"/>
              </w:numPr>
              <w:ind w:hanging="360"/>
              <w:rPr>
                <w:rFonts w:ascii="Garamond" w:hAnsi="Garamond"/>
                <w:szCs w:val="22"/>
              </w:rPr>
            </w:pPr>
            <w:r w:rsidRPr="004A0C12">
              <w:rPr>
                <w:rFonts w:ascii="Garamond" w:hAnsi="Garamond"/>
                <w:szCs w:val="22"/>
              </w:rPr>
              <w:t>Mid</w:t>
            </w:r>
            <w:r w:rsidR="00D67ABB" w:rsidRPr="004A0C12">
              <w:rPr>
                <w:rFonts w:ascii="Garamond" w:hAnsi="Garamond"/>
                <w:szCs w:val="22"/>
              </w:rPr>
              <w:t>-</w:t>
            </w:r>
            <w:r w:rsidRPr="004A0C12">
              <w:rPr>
                <w:rFonts w:ascii="Garamond" w:hAnsi="Garamond"/>
                <w:szCs w:val="22"/>
              </w:rPr>
              <w:t>Maryland Workforce Investment Area</w:t>
            </w:r>
          </w:p>
        </w:tc>
      </w:tr>
      <w:tr w:rsidR="0074457B" w:rsidRPr="004A0C12" w14:paraId="1854D603" w14:textId="77777777" w:rsidTr="00C81EEA">
        <w:trPr>
          <w:trHeight w:val="1440"/>
        </w:trPr>
        <w:tc>
          <w:tcPr>
            <w:cnfStyle w:val="000010000000" w:firstRow="0" w:lastRow="0" w:firstColumn="0" w:lastColumn="0" w:oddVBand="1" w:evenVBand="0" w:oddHBand="0" w:evenHBand="0" w:firstRowFirstColumn="0" w:firstRowLastColumn="0" w:lastRowFirstColumn="0" w:lastRowLastColumn="0"/>
            <w:tcW w:w="529" w:type="dxa"/>
          </w:tcPr>
          <w:p w14:paraId="35A44464"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16.</w:t>
            </w:r>
          </w:p>
        </w:tc>
        <w:tc>
          <w:tcPr>
            <w:tcW w:w="3644" w:type="dxa"/>
          </w:tcPr>
          <w:p w14:paraId="79E07A6E"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Grant Award Agreements</w:t>
            </w:r>
          </w:p>
        </w:tc>
        <w:tc>
          <w:tcPr>
            <w:cnfStyle w:val="000010000000" w:firstRow="0" w:lastRow="0" w:firstColumn="0" w:lastColumn="0" w:oddVBand="1" w:evenVBand="0" w:oddHBand="0" w:evenHBand="0" w:firstRowFirstColumn="0" w:firstRowLastColumn="0" w:lastRowFirstColumn="0" w:lastRowLastColumn="0"/>
            <w:tcW w:w="6831" w:type="dxa"/>
          </w:tcPr>
          <w:p w14:paraId="33C5C074" w14:textId="77777777" w:rsidR="0074457B" w:rsidRPr="004A0C12" w:rsidRDefault="0074457B" w:rsidP="00F733CF">
            <w:pPr>
              <w:pStyle w:val="ListParagraph"/>
              <w:numPr>
                <w:ilvl w:val="0"/>
                <w:numId w:val="58"/>
              </w:numPr>
              <w:ind w:hanging="360"/>
              <w:rPr>
                <w:rFonts w:ascii="Garamond" w:hAnsi="Garamond"/>
                <w:szCs w:val="22"/>
              </w:rPr>
            </w:pPr>
            <w:r w:rsidRPr="004A0C12">
              <w:rPr>
                <w:rFonts w:ascii="Garamond" w:hAnsi="Garamond"/>
                <w:szCs w:val="22"/>
              </w:rPr>
              <w:t xml:space="preserve">Frederick County Workforce Services </w:t>
            </w:r>
          </w:p>
          <w:p w14:paraId="4474EA99" w14:textId="77777777" w:rsidR="0074457B" w:rsidRPr="004A0C12" w:rsidRDefault="0074457B" w:rsidP="00F733CF">
            <w:pPr>
              <w:pStyle w:val="ListParagraph"/>
              <w:numPr>
                <w:ilvl w:val="0"/>
                <w:numId w:val="58"/>
              </w:numPr>
              <w:ind w:hanging="360"/>
              <w:rPr>
                <w:rFonts w:ascii="Garamond" w:hAnsi="Garamond"/>
                <w:szCs w:val="22"/>
              </w:rPr>
            </w:pPr>
            <w:r w:rsidRPr="004A0C12">
              <w:rPr>
                <w:rFonts w:ascii="Garamond" w:hAnsi="Garamond"/>
                <w:szCs w:val="22"/>
              </w:rPr>
              <w:t>Governor’s Workforce Investment Board</w:t>
            </w:r>
          </w:p>
          <w:p w14:paraId="5458BBDC" w14:textId="77777777" w:rsidR="0074457B" w:rsidRPr="004A0C12" w:rsidRDefault="0074457B" w:rsidP="00F733CF">
            <w:pPr>
              <w:pStyle w:val="ListParagraph"/>
              <w:numPr>
                <w:ilvl w:val="0"/>
                <w:numId w:val="58"/>
              </w:numPr>
              <w:ind w:hanging="360"/>
              <w:rPr>
                <w:rFonts w:ascii="Garamond" w:hAnsi="Garamond"/>
                <w:szCs w:val="22"/>
              </w:rPr>
            </w:pPr>
            <w:r w:rsidRPr="004A0C12">
              <w:rPr>
                <w:rFonts w:ascii="Garamond" w:hAnsi="Garamond"/>
                <w:szCs w:val="22"/>
              </w:rPr>
              <w:t xml:space="preserve">Maryland DHR-Family Investment Administration </w:t>
            </w:r>
          </w:p>
          <w:p w14:paraId="6B2BBD50" w14:textId="77777777" w:rsidR="0074457B" w:rsidRPr="004A0C12" w:rsidRDefault="0074457B" w:rsidP="00F733CF">
            <w:pPr>
              <w:pStyle w:val="ListParagraph"/>
              <w:numPr>
                <w:ilvl w:val="0"/>
                <w:numId w:val="58"/>
              </w:numPr>
              <w:ind w:hanging="360"/>
              <w:rPr>
                <w:rFonts w:ascii="Garamond" w:hAnsi="Garamond"/>
                <w:szCs w:val="22"/>
              </w:rPr>
            </w:pPr>
            <w:r w:rsidRPr="004A0C12">
              <w:rPr>
                <w:rFonts w:ascii="Garamond" w:hAnsi="Garamond"/>
                <w:szCs w:val="22"/>
              </w:rPr>
              <w:t xml:space="preserve">Maryland DLLR-Division of Workforce Development &amp; Adult Learning </w:t>
            </w:r>
          </w:p>
          <w:p w14:paraId="080A9077" w14:textId="77777777" w:rsidR="0074457B" w:rsidRPr="004A0C12" w:rsidRDefault="0074457B" w:rsidP="00F733CF">
            <w:pPr>
              <w:pStyle w:val="ListParagraph"/>
              <w:numPr>
                <w:ilvl w:val="0"/>
                <w:numId w:val="58"/>
              </w:numPr>
              <w:ind w:hanging="360"/>
              <w:rPr>
                <w:rFonts w:ascii="Garamond" w:hAnsi="Garamond"/>
                <w:szCs w:val="22"/>
              </w:rPr>
            </w:pPr>
            <w:r w:rsidRPr="004A0C12">
              <w:rPr>
                <w:rFonts w:ascii="Garamond" w:hAnsi="Garamond"/>
                <w:szCs w:val="22"/>
              </w:rPr>
              <w:t>Susquehanna Workforce Network, Inc.</w:t>
            </w:r>
          </w:p>
        </w:tc>
      </w:tr>
      <w:tr w:rsidR="0074457B" w:rsidRPr="004A0C12" w14:paraId="271C7589" w14:textId="77777777" w:rsidTr="00C81EEA">
        <w:trPr>
          <w:cnfStyle w:val="000000100000" w:firstRow="0" w:lastRow="0" w:firstColumn="0" w:lastColumn="0" w:oddVBand="0" w:evenVBand="0" w:oddHBand="1" w:evenHBand="0" w:firstRowFirstColumn="0" w:firstRowLastColumn="0" w:lastRowFirstColumn="0" w:lastRowLastColumn="0"/>
          <w:trHeight w:val="1440"/>
        </w:trPr>
        <w:tc>
          <w:tcPr>
            <w:cnfStyle w:val="000010000000" w:firstRow="0" w:lastRow="0" w:firstColumn="0" w:lastColumn="0" w:oddVBand="1" w:evenVBand="0" w:oddHBand="0" w:evenHBand="0" w:firstRowFirstColumn="0" w:firstRowLastColumn="0" w:lastRowFirstColumn="0" w:lastRowLastColumn="0"/>
            <w:tcW w:w="529" w:type="dxa"/>
          </w:tcPr>
          <w:p w14:paraId="09A2EE16"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lastRenderedPageBreak/>
              <w:t>17.</w:t>
            </w:r>
          </w:p>
        </w:tc>
        <w:tc>
          <w:tcPr>
            <w:tcW w:w="3644" w:type="dxa"/>
          </w:tcPr>
          <w:p w14:paraId="4A946FEC"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WIOA Funding Allocations</w:t>
            </w:r>
          </w:p>
        </w:tc>
        <w:tc>
          <w:tcPr>
            <w:cnfStyle w:val="000010000000" w:firstRow="0" w:lastRow="0" w:firstColumn="0" w:lastColumn="0" w:oddVBand="1" w:evenVBand="0" w:oddHBand="0" w:evenHBand="0" w:firstRowFirstColumn="0" w:firstRowLastColumn="0" w:lastRowFirstColumn="0" w:lastRowLastColumn="0"/>
            <w:tcW w:w="6831" w:type="dxa"/>
          </w:tcPr>
          <w:p w14:paraId="3B9697D6" w14:textId="77777777" w:rsidR="0074457B" w:rsidRPr="004A0C12" w:rsidRDefault="0074457B" w:rsidP="00F733CF">
            <w:pPr>
              <w:pStyle w:val="ListParagraph"/>
              <w:numPr>
                <w:ilvl w:val="0"/>
                <w:numId w:val="59"/>
              </w:numPr>
              <w:ind w:hanging="360"/>
              <w:rPr>
                <w:rFonts w:ascii="Garamond" w:hAnsi="Garamond"/>
                <w:szCs w:val="22"/>
              </w:rPr>
            </w:pPr>
            <w:r w:rsidRPr="004A0C12">
              <w:rPr>
                <w:rFonts w:ascii="Garamond" w:hAnsi="Garamond"/>
                <w:szCs w:val="22"/>
              </w:rPr>
              <w:t>Frederick County Workforce Services</w:t>
            </w:r>
          </w:p>
          <w:p w14:paraId="1B4BC430" w14:textId="77777777" w:rsidR="0074457B" w:rsidRPr="004A0C12" w:rsidRDefault="0074457B" w:rsidP="00F733CF">
            <w:pPr>
              <w:pStyle w:val="ListParagraph"/>
              <w:numPr>
                <w:ilvl w:val="0"/>
                <w:numId w:val="59"/>
              </w:numPr>
              <w:ind w:hanging="360"/>
              <w:rPr>
                <w:rFonts w:ascii="Garamond" w:hAnsi="Garamond"/>
                <w:szCs w:val="22"/>
              </w:rPr>
            </w:pPr>
            <w:r w:rsidRPr="004A0C12">
              <w:rPr>
                <w:rFonts w:ascii="Garamond" w:hAnsi="Garamond"/>
                <w:szCs w:val="22"/>
              </w:rPr>
              <w:t>Maryland DLLR-Division of Workforce Development &amp; Adult Learning</w:t>
            </w:r>
          </w:p>
          <w:p w14:paraId="44B217F0" w14:textId="7E0BBF75" w:rsidR="0074457B" w:rsidRPr="004A0C12" w:rsidRDefault="0074457B" w:rsidP="00F733CF">
            <w:pPr>
              <w:pStyle w:val="ListParagraph"/>
              <w:numPr>
                <w:ilvl w:val="0"/>
                <w:numId w:val="59"/>
              </w:numPr>
              <w:ind w:hanging="360"/>
              <w:rPr>
                <w:rFonts w:ascii="Garamond" w:hAnsi="Garamond"/>
                <w:szCs w:val="22"/>
              </w:rPr>
            </w:pPr>
            <w:r w:rsidRPr="004A0C12">
              <w:rPr>
                <w:rFonts w:ascii="Garamond" w:hAnsi="Garamond"/>
                <w:szCs w:val="22"/>
              </w:rPr>
              <w:t>Mid</w:t>
            </w:r>
            <w:r w:rsidR="00D67ABB" w:rsidRPr="004A0C12">
              <w:rPr>
                <w:rFonts w:ascii="Garamond" w:hAnsi="Garamond"/>
                <w:szCs w:val="22"/>
              </w:rPr>
              <w:t>-</w:t>
            </w:r>
            <w:r w:rsidRPr="004A0C12">
              <w:rPr>
                <w:rFonts w:ascii="Garamond" w:hAnsi="Garamond"/>
                <w:szCs w:val="22"/>
              </w:rPr>
              <w:t>Maryland Workforce Investment Area</w:t>
            </w:r>
          </w:p>
          <w:p w14:paraId="7F4D3C5B" w14:textId="77777777" w:rsidR="0074457B" w:rsidRPr="004A0C12" w:rsidRDefault="0074457B" w:rsidP="00F733CF">
            <w:pPr>
              <w:pStyle w:val="ListParagraph"/>
              <w:numPr>
                <w:ilvl w:val="0"/>
                <w:numId w:val="59"/>
              </w:numPr>
              <w:ind w:hanging="360"/>
              <w:rPr>
                <w:rFonts w:ascii="Garamond" w:hAnsi="Garamond"/>
                <w:szCs w:val="22"/>
              </w:rPr>
            </w:pPr>
            <w:r w:rsidRPr="004A0C12">
              <w:rPr>
                <w:rFonts w:ascii="Garamond" w:hAnsi="Garamond"/>
                <w:szCs w:val="22"/>
              </w:rPr>
              <w:t xml:space="preserve">Upper Shore Workforce Investment Board </w:t>
            </w:r>
          </w:p>
          <w:p w14:paraId="51117E05" w14:textId="77777777" w:rsidR="0074457B" w:rsidRPr="004A0C12" w:rsidRDefault="0074457B" w:rsidP="00F733CF">
            <w:pPr>
              <w:pStyle w:val="ListParagraph"/>
              <w:numPr>
                <w:ilvl w:val="0"/>
                <w:numId w:val="59"/>
              </w:numPr>
              <w:ind w:hanging="360"/>
              <w:rPr>
                <w:rFonts w:ascii="Garamond" w:hAnsi="Garamond"/>
                <w:szCs w:val="22"/>
              </w:rPr>
            </w:pPr>
            <w:r w:rsidRPr="004A0C12">
              <w:rPr>
                <w:rFonts w:ascii="Garamond" w:hAnsi="Garamond"/>
                <w:szCs w:val="22"/>
              </w:rPr>
              <w:t>Western Maryland Consortium</w:t>
            </w:r>
          </w:p>
        </w:tc>
      </w:tr>
      <w:tr w:rsidR="0074457B" w:rsidRPr="004A0C12" w14:paraId="721DC0A5" w14:textId="77777777" w:rsidTr="00C81EEA">
        <w:trPr>
          <w:trHeight w:val="1920"/>
        </w:trPr>
        <w:tc>
          <w:tcPr>
            <w:cnfStyle w:val="000010000000" w:firstRow="0" w:lastRow="0" w:firstColumn="0" w:lastColumn="0" w:oddVBand="1" w:evenVBand="0" w:oddHBand="0" w:evenHBand="0" w:firstRowFirstColumn="0" w:firstRowLastColumn="0" w:lastRowFirstColumn="0" w:lastRowLastColumn="0"/>
            <w:tcW w:w="529" w:type="dxa"/>
          </w:tcPr>
          <w:p w14:paraId="09D5DBF2"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18.</w:t>
            </w:r>
          </w:p>
        </w:tc>
        <w:tc>
          <w:tcPr>
            <w:tcW w:w="3644" w:type="dxa"/>
          </w:tcPr>
          <w:p w14:paraId="6C6377DA"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Performance Standards</w:t>
            </w:r>
          </w:p>
        </w:tc>
        <w:tc>
          <w:tcPr>
            <w:cnfStyle w:val="000010000000" w:firstRow="0" w:lastRow="0" w:firstColumn="0" w:lastColumn="0" w:oddVBand="1" w:evenVBand="0" w:oddHBand="0" w:evenHBand="0" w:firstRowFirstColumn="0" w:firstRowLastColumn="0" w:lastRowFirstColumn="0" w:lastRowLastColumn="0"/>
            <w:tcW w:w="6831" w:type="dxa"/>
          </w:tcPr>
          <w:p w14:paraId="3EF9D517" w14:textId="77777777" w:rsidR="0074457B" w:rsidRPr="004A0C12" w:rsidRDefault="0074457B" w:rsidP="00F733CF">
            <w:pPr>
              <w:pStyle w:val="ListParagraph"/>
              <w:numPr>
                <w:ilvl w:val="0"/>
                <w:numId w:val="60"/>
              </w:numPr>
              <w:ind w:hanging="360"/>
              <w:rPr>
                <w:rFonts w:ascii="Garamond" w:hAnsi="Garamond"/>
                <w:szCs w:val="22"/>
              </w:rPr>
            </w:pPr>
            <w:r w:rsidRPr="004A0C12">
              <w:rPr>
                <w:rFonts w:ascii="Garamond" w:hAnsi="Garamond"/>
                <w:szCs w:val="22"/>
              </w:rPr>
              <w:t>Baltimore City Mayor’s Office of Employment Development</w:t>
            </w:r>
          </w:p>
          <w:p w14:paraId="1170A69B" w14:textId="77777777" w:rsidR="0074457B" w:rsidRPr="004A0C12" w:rsidRDefault="0074457B" w:rsidP="00F733CF">
            <w:pPr>
              <w:pStyle w:val="ListParagraph"/>
              <w:numPr>
                <w:ilvl w:val="0"/>
                <w:numId w:val="60"/>
              </w:numPr>
              <w:ind w:hanging="360"/>
              <w:rPr>
                <w:rFonts w:ascii="Garamond" w:hAnsi="Garamond"/>
                <w:szCs w:val="22"/>
              </w:rPr>
            </w:pPr>
            <w:r w:rsidRPr="004A0C12">
              <w:rPr>
                <w:rFonts w:ascii="Garamond" w:hAnsi="Garamond"/>
                <w:szCs w:val="22"/>
              </w:rPr>
              <w:t>Goodwill Industries</w:t>
            </w:r>
          </w:p>
          <w:p w14:paraId="29B43438" w14:textId="77777777" w:rsidR="0074457B" w:rsidRPr="004A0C12" w:rsidRDefault="0074457B" w:rsidP="00F733CF">
            <w:pPr>
              <w:pStyle w:val="ListParagraph"/>
              <w:numPr>
                <w:ilvl w:val="0"/>
                <w:numId w:val="60"/>
              </w:numPr>
              <w:ind w:hanging="360"/>
              <w:rPr>
                <w:rFonts w:ascii="Garamond" w:hAnsi="Garamond"/>
                <w:szCs w:val="22"/>
              </w:rPr>
            </w:pPr>
            <w:r w:rsidRPr="004A0C12">
              <w:rPr>
                <w:rFonts w:ascii="Garamond" w:hAnsi="Garamond"/>
                <w:szCs w:val="22"/>
              </w:rPr>
              <w:t>Maryland Dept. of Disabilities</w:t>
            </w:r>
          </w:p>
          <w:p w14:paraId="01440CC2" w14:textId="77777777" w:rsidR="0074457B" w:rsidRPr="004A0C12" w:rsidRDefault="0074457B" w:rsidP="00F733CF">
            <w:pPr>
              <w:pStyle w:val="ListParagraph"/>
              <w:numPr>
                <w:ilvl w:val="0"/>
                <w:numId w:val="60"/>
              </w:numPr>
              <w:ind w:hanging="360"/>
              <w:rPr>
                <w:rFonts w:ascii="Garamond" w:hAnsi="Garamond"/>
                <w:szCs w:val="22"/>
              </w:rPr>
            </w:pPr>
            <w:r w:rsidRPr="004A0C12">
              <w:rPr>
                <w:rFonts w:ascii="Garamond" w:hAnsi="Garamond"/>
                <w:szCs w:val="22"/>
              </w:rPr>
              <w:t xml:space="preserve">Maryland DHR- Family Investment Administration </w:t>
            </w:r>
          </w:p>
          <w:p w14:paraId="2AAA1BBC" w14:textId="77777777" w:rsidR="0074457B" w:rsidRPr="004A0C12" w:rsidRDefault="0074457B" w:rsidP="00F733CF">
            <w:pPr>
              <w:pStyle w:val="ListParagraph"/>
              <w:numPr>
                <w:ilvl w:val="0"/>
                <w:numId w:val="60"/>
              </w:numPr>
              <w:ind w:hanging="360"/>
              <w:rPr>
                <w:rFonts w:ascii="Garamond" w:hAnsi="Garamond"/>
                <w:szCs w:val="22"/>
              </w:rPr>
            </w:pPr>
            <w:r w:rsidRPr="004A0C12">
              <w:rPr>
                <w:rFonts w:ascii="Garamond" w:hAnsi="Garamond"/>
                <w:szCs w:val="22"/>
              </w:rPr>
              <w:t xml:space="preserve">Maryland DLLR-Division of Workforce Development &amp; Adult Learning </w:t>
            </w:r>
          </w:p>
          <w:p w14:paraId="5AF6CA0C" w14:textId="77777777" w:rsidR="0074457B" w:rsidRPr="004A0C12" w:rsidRDefault="0074457B" w:rsidP="00F733CF">
            <w:pPr>
              <w:pStyle w:val="ListParagraph"/>
              <w:numPr>
                <w:ilvl w:val="0"/>
                <w:numId w:val="60"/>
              </w:numPr>
              <w:ind w:hanging="360"/>
              <w:rPr>
                <w:rFonts w:ascii="Garamond" w:hAnsi="Garamond"/>
                <w:szCs w:val="22"/>
              </w:rPr>
            </w:pPr>
            <w:r w:rsidRPr="004A0C12">
              <w:rPr>
                <w:rFonts w:ascii="Garamond" w:hAnsi="Garamond"/>
                <w:szCs w:val="22"/>
              </w:rPr>
              <w:t>Susquehanna Workforce Network, Inc.</w:t>
            </w:r>
          </w:p>
          <w:p w14:paraId="48B21007" w14:textId="77777777" w:rsidR="0074457B" w:rsidRPr="004A0C12" w:rsidRDefault="0074457B" w:rsidP="00F733CF">
            <w:pPr>
              <w:pStyle w:val="ListParagraph"/>
              <w:numPr>
                <w:ilvl w:val="0"/>
                <w:numId w:val="60"/>
              </w:numPr>
              <w:ind w:hanging="360"/>
              <w:rPr>
                <w:rFonts w:ascii="Garamond" w:hAnsi="Garamond"/>
                <w:szCs w:val="22"/>
              </w:rPr>
            </w:pPr>
            <w:r w:rsidRPr="004A0C12">
              <w:rPr>
                <w:rFonts w:ascii="Garamond" w:hAnsi="Garamond"/>
                <w:szCs w:val="22"/>
              </w:rPr>
              <w:t>Montgomery County Division of Workforce Investment Services</w:t>
            </w:r>
          </w:p>
        </w:tc>
      </w:tr>
      <w:tr w:rsidR="0074457B" w:rsidRPr="004A0C12" w14:paraId="00A71B7A" w14:textId="77777777" w:rsidTr="00C81EEA">
        <w:trPr>
          <w:cnfStyle w:val="000000100000" w:firstRow="0" w:lastRow="0" w:firstColumn="0" w:lastColumn="0" w:oddVBand="0" w:evenVBand="0" w:oddHBand="1" w:evenHBand="0" w:firstRowFirstColumn="0" w:firstRowLastColumn="0" w:lastRowFirstColumn="0" w:lastRowLastColumn="0"/>
          <w:trHeight w:val="1882"/>
        </w:trPr>
        <w:tc>
          <w:tcPr>
            <w:cnfStyle w:val="000010000000" w:firstRow="0" w:lastRow="0" w:firstColumn="0" w:lastColumn="0" w:oddVBand="1" w:evenVBand="0" w:oddHBand="0" w:evenHBand="0" w:firstRowFirstColumn="0" w:firstRowLastColumn="0" w:lastRowFirstColumn="0" w:lastRowLastColumn="0"/>
            <w:tcW w:w="529" w:type="dxa"/>
          </w:tcPr>
          <w:p w14:paraId="7A746D8D"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19.</w:t>
            </w:r>
          </w:p>
        </w:tc>
        <w:tc>
          <w:tcPr>
            <w:tcW w:w="3644" w:type="dxa"/>
          </w:tcPr>
          <w:p w14:paraId="5F9BC4EA"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Information Sharing and Integrating Data Systems</w:t>
            </w:r>
          </w:p>
        </w:tc>
        <w:tc>
          <w:tcPr>
            <w:cnfStyle w:val="000010000000" w:firstRow="0" w:lastRow="0" w:firstColumn="0" w:lastColumn="0" w:oddVBand="1" w:evenVBand="0" w:oddHBand="0" w:evenHBand="0" w:firstRowFirstColumn="0" w:firstRowLastColumn="0" w:lastRowFirstColumn="0" w:lastRowLastColumn="0"/>
            <w:tcW w:w="6831" w:type="dxa"/>
          </w:tcPr>
          <w:p w14:paraId="75DE273C" w14:textId="77777777" w:rsidR="0074457B" w:rsidRPr="004A0C12" w:rsidRDefault="0074457B" w:rsidP="00F733CF">
            <w:pPr>
              <w:pStyle w:val="ListParagraph"/>
              <w:numPr>
                <w:ilvl w:val="0"/>
                <w:numId w:val="61"/>
              </w:numPr>
              <w:ind w:hanging="360"/>
              <w:rPr>
                <w:rFonts w:ascii="Garamond" w:hAnsi="Garamond"/>
                <w:szCs w:val="22"/>
              </w:rPr>
            </w:pPr>
            <w:r w:rsidRPr="004A0C12">
              <w:rPr>
                <w:rFonts w:ascii="Garamond" w:hAnsi="Garamond"/>
                <w:szCs w:val="22"/>
              </w:rPr>
              <w:t xml:space="preserve">Baltimore City Mayor’s Office of Employment Development </w:t>
            </w:r>
          </w:p>
          <w:p w14:paraId="66942E04" w14:textId="77777777" w:rsidR="0074457B" w:rsidRPr="004A0C12" w:rsidRDefault="0074457B" w:rsidP="00F733CF">
            <w:pPr>
              <w:pStyle w:val="ListParagraph"/>
              <w:numPr>
                <w:ilvl w:val="0"/>
                <w:numId w:val="61"/>
              </w:numPr>
              <w:ind w:hanging="360"/>
              <w:rPr>
                <w:rFonts w:ascii="Garamond" w:hAnsi="Garamond"/>
                <w:szCs w:val="22"/>
              </w:rPr>
            </w:pPr>
            <w:r w:rsidRPr="004A0C12">
              <w:rPr>
                <w:rFonts w:ascii="Garamond" w:hAnsi="Garamond"/>
                <w:szCs w:val="22"/>
              </w:rPr>
              <w:t>Maryland DHR-Family Investment Administration</w:t>
            </w:r>
          </w:p>
          <w:p w14:paraId="5DB64E28" w14:textId="77777777" w:rsidR="0074457B" w:rsidRPr="004A0C12" w:rsidRDefault="0074457B" w:rsidP="00F733CF">
            <w:pPr>
              <w:pStyle w:val="ListParagraph"/>
              <w:numPr>
                <w:ilvl w:val="0"/>
                <w:numId w:val="61"/>
              </w:numPr>
              <w:ind w:hanging="360"/>
              <w:rPr>
                <w:rFonts w:ascii="Garamond" w:hAnsi="Garamond"/>
                <w:szCs w:val="22"/>
              </w:rPr>
            </w:pPr>
            <w:r w:rsidRPr="004A0C12">
              <w:rPr>
                <w:rFonts w:ascii="Garamond" w:hAnsi="Garamond"/>
                <w:szCs w:val="22"/>
              </w:rPr>
              <w:t>Maryland DLLR-Division of Workforce Development &amp; Adult Learning</w:t>
            </w:r>
          </w:p>
          <w:p w14:paraId="35E1344A" w14:textId="77777777" w:rsidR="0074457B" w:rsidRPr="004A0C12" w:rsidRDefault="0074457B" w:rsidP="00F733CF">
            <w:pPr>
              <w:pStyle w:val="ListParagraph"/>
              <w:numPr>
                <w:ilvl w:val="0"/>
                <w:numId w:val="61"/>
              </w:numPr>
              <w:ind w:hanging="360"/>
              <w:rPr>
                <w:rFonts w:ascii="Garamond" w:hAnsi="Garamond"/>
                <w:szCs w:val="22"/>
              </w:rPr>
            </w:pPr>
            <w:r w:rsidRPr="004A0C12">
              <w:rPr>
                <w:rFonts w:ascii="Garamond" w:hAnsi="Garamond"/>
                <w:szCs w:val="22"/>
              </w:rPr>
              <w:t>Maryland DLLR-Office of Information Technology</w:t>
            </w:r>
          </w:p>
          <w:p w14:paraId="1B9FD9F8" w14:textId="77777777" w:rsidR="0074457B" w:rsidRPr="004A0C12" w:rsidRDefault="0074457B" w:rsidP="00F733CF">
            <w:pPr>
              <w:pStyle w:val="ListParagraph"/>
              <w:numPr>
                <w:ilvl w:val="0"/>
                <w:numId w:val="61"/>
              </w:numPr>
              <w:ind w:hanging="360"/>
              <w:rPr>
                <w:rFonts w:ascii="Garamond" w:hAnsi="Garamond"/>
                <w:szCs w:val="22"/>
              </w:rPr>
            </w:pPr>
            <w:r w:rsidRPr="004A0C12">
              <w:rPr>
                <w:rFonts w:ascii="Garamond" w:hAnsi="Garamond"/>
                <w:szCs w:val="22"/>
              </w:rPr>
              <w:t>Maryland State Dept. of Education –Division of Rehabilitation Services</w:t>
            </w:r>
          </w:p>
          <w:p w14:paraId="5E79C5D3" w14:textId="349546C6" w:rsidR="0074457B" w:rsidRPr="004A0C12" w:rsidRDefault="00D67ABB" w:rsidP="00F733CF">
            <w:pPr>
              <w:pStyle w:val="ListParagraph"/>
              <w:numPr>
                <w:ilvl w:val="0"/>
                <w:numId w:val="61"/>
              </w:numPr>
              <w:ind w:hanging="360"/>
              <w:rPr>
                <w:rFonts w:ascii="Garamond" w:hAnsi="Garamond"/>
                <w:szCs w:val="22"/>
              </w:rPr>
            </w:pPr>
            <w:r w:rsidRPr="004A0C12">
              <w:rPr>
                <w:rFonts w:ascii="Garamond" w:hAnsi="Garamond"/>
                <w:szCs w:val="22"/>
              </w:rPr>
              <w:t>Mid-</w:t>
            </w:r>
            <w:r w:rsidR="0074457B" w:rsidRPr="004A0C12">
              <w:rPr>
                <w:rFonts w:ascii="Garamond" w:hAnsi="Garamond"/>
                <w:szCs w:val="22"/>
              </w:rPr>
              <w:t>Maryland Workforce Investment Area</w:t>
            </w:r>
          </w:p>
        </w:tc>
      </w:tr>
      <w:tr w:rsidR="0074457B" w:rsidRPr="004A0C12" w14:paraId="5F2D6556" w14:textId="77777777" w:rsidTr="00C81EEA">
        <w:trPr>
          <w:trHeight w:val="1680"/>
        </w:trPr>
        <w:tc>
          <w:tcPr>
            <w:cnfStyle w:val="000010000000" w:firstRow="0" w:lastRow="0" w:firstColumn="0" w:lastColumn="0" w:oddVBand="1" w:evenVBand="0" w:oddHBand="0" w:evenHBand="0" w:firstRowFirstColumn="0" w:firstRowLastColumn="0" w:lastRowFirstColumn="0" w:lastRowLastColumn="0"/>
            <w:tcW w:w="529" w:type="dxa"/>
          </w:tcPr>
          <w:p w14:paraId="25D5D969"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20.</w:t>
            </w:r>
          </w:p>
        </w:tc>
        <w:tc>
          <w:tcPr>
            <w:tcW w:w="3644" w:type="dxa"/>
          </w:tcPr>
          <w:p w14:paraId="18024C91"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 xml:space="preserve">Personally Identifiable Information and Confidentiality/Ethics </w:t>
            </w:r>
          </w:p>
        </w:tc>
        <w:tc>
          <w:tcPr>
            <w:cnfStyle w:val="000010000000" w:firstRow="0" w:lastRow="0" w:firstColumn="0" w:lastColumn="0" w:oddVBand="1" w:evenVBand="0" w:oddHBand="0" w:evenHBand="0" w:firstRowFirstColumn="0" w:firstRowLastColumn="0" w:lastRowFirstColumn="0" w:lastRowLastColumn="0"/>
            <w:tcW w:w="6831" w:type="dxa"/>
          </w:tcPr>
          <w:p w14:paraId="2B40173A" w14:textId="77777777" w:rsidR="0074457B" w:rsidRPr="004A0C12" w:rsidRDefault="0074457B" w:rsidP="00F733CF">
            <w:pPr>
              <w:numPr>
                <w:ilvl w:val="0"/>
                <w:numId w:val="62"/>
              </w:numPr>
              <w:ind w:hanging="360"/>
              <w:rPr>
                <w:rFonts w:ascii="Garamond" w:hAnsi="Garamond"/>
              </w:rPr>
            </w:pPr>
            <w:r w:rsidRPr="004A0C12">
              <w:rPr>
                <w:rFonts w:ascii="Garamond" w:hAnsi="Garamond"/>
              </w:rPr>
              <w:t xml:space="preserve">Maryland Dept. of Disabilities </w:t>
            </w:r>
          </w:p>
          <w:p w14:paraId="54C7E546" w14:textId="77777777" w:rsidR="0074457B" w:rsidRPr="004A0C12" w:rsidRDefault="0074457B" w:rsidP="00F733CF">
            <w:pPr>
              <w:pStyle w:val="ListParagraph"/>
              <w:numPr>
                <w:ilvl w:val="0"/>
                <w:numId w:val="62"/>
              </w:numPr>
              <w:ind w:hanging="360"/>
              <w:rPr>
                <w:rFonts w:ascii="Garamond" w:hAnsi="Garamond"/>
                <w:szCs w:val="22"/>
              </w:rPr>
            </w:pPr>
            <w:r w:rsidRPr="004A0C12">
              <w:rPr>
                <w:rFonts w:ascii="Garamond" w:hAnsi="Garamond"/>
                <w:szCs w:val="22"/>
              </w:rPr>
              <w:t>Maryland DHR-Family Investment Administration</w:t>
            </w:r>
          </w:p>
          <w:p w14:paraId="13B37E6B" w14:textId="77777777" w:rsidR="0074457B" w:rsidRPr="004A0C12" w:rsidRDefault="0074457B" w:rsidP="00F733CF">
            <w:pPr>
              <w:numPr>
                <w:ilvl w:val="0"/>
                <w:numId w:val="62"/>
              </w:numPr>
              <w:ind w:hanging="360"/>
              <w:rPr>
                <w:rFonts w:ascii="Garamond" w:hAnsi="Garamond"/>
              </w:rPr>
            </w:pPr>
            <w:r w:rsidRPr="004A0C12">
              <w:rPr>
                <w:rFonts w:ascii="Garamond" w:hAnsi="Garamond"/>
              </w:rPr>
              <w:t>Maryland DLLR-Division of Workforce Development &amp; Adult Learning</w:t>
            </w:r>
          </w:p>
          <w:p w14:paraId="680591B4" w14:textId="1C07DA96" w:rsidR="0074457B" w:rsidRPr="004A0C12" w:rsidRDefault="0074457B" w:rsidP="00F733CF">
            <w:pPr>
              <w:pStyle w:val="ListParagraph"/>
              <w:numPr>
                <w:ilvl w:val="0"/>
                <w:numId w:val="62"/>
              </w:numPr>
              <w:ind w:hanging="360"/>
              <w:rPr>
                <w:rFonts w:ascii="Garamond" w:hAnsi="Garamond"/>
                <w:szCs w:val="22"/>
              </w:rPr>
            </w:pPr>
            <w:r w:rsidRPr="004A0C12">
              <w:rPr>
                <w:rFonts w:ascii="Garamond" w:hAnsi="Garamond"/>
                <w:szCs w:val="22"/>
              </w:rPr>
              <w:t>Maryland State Dept. of Educati</w:t>
            </w:r>
            <w:r w:rsidR="00C81EEA" w:rsidRPr="004A0C12">
              <w:rPr>
                <w:rFonts w:ascii="Garamond" w:hAnsi="Garamond"/>
                <w:szCs w:val="22"/>
              </w:rPr>
              <w:t>on-</w:t>
            </w:r>
            <w:r w:rsidRPr="004A0C12">
              <w:rPr>
                <w:rFonts w:ascii="Garamond" w:hAnsi="Garamond"/>
                <w:szCs w:val="22"/>
              </w:rPr>
              <w:t>Division of Rehabilitation Services</w:t>
            </w:r>
          </w:p>
          <w:p w14:paraId="38B3A77E" w14:textId="48ED467F" w:rsidR="0074457B" w:rsidRPr="004A0C12" w:rsidRDefault="00D67ABB" w:rsidP="00F733CF">
            <w:pPr>
              <w:pStyle w:val="ListParagraph"/>
              <w:numPr>
                <w:ilvl w:val="0"/>
                <w:numId w:val="62"/>
              </w:numPr>
              <w:ind w:hanging="360"/>
              <w:rPr>
                <w:rFonts w:ascii="Garamond" w:hAnsi="Garamond"/>
                <w:szCs w:val="22"/>
              </w:rPr>
            </w:pPr>
            <w:r w:rsidRPr="004A0C12">
              <w:rPr>
                <w:rFonts w:ascii="Garamond" w:hAnsi="Garamond"/>
                <w:szCs w:val="22"/>
              </w:rPr>
              <w:t>Mid-</w:t>
            </w:r>
            <w:r w:rsidR="0074457B" w:rsidRPr="004A0C12">
              <w:rPr>
                <w:rFonts w:ascii="Garamond" w:hAnsi="Garamond"/>
                <w:szCs w:val="22"/>
              </w:rPr>
              <w:t>Maryland Workforce Investment Area</w:t>
            </w:r>
          </w:p>
        </w:tc>
      </w:tr>
      <w:tr w:rsidR="0074457B" w:rsidRPr="004A0C12" w14:paraId="2D08FAE6" w14:textId="77777777" w:rsidTr="00C81EEA">
        <w:trPr>
          <w:cnfStyle w:val="000000100000" w:firstRow="0" w:lastRow="0" w:firstColumn="0" w:lastColumn="0" w:oddVBand="0" w:evenVBand="0" w:oddHBand="1" w:evenHBand="0" w:firstRowFirstColumn="0" w:firstRowLastColumn="0" w:lastRowFirstColumn="0" w:lastRowLastColumn="0"/>
          <w:trHeight w:val="1440"/>
        </w:trPr>
        <w:tc>
          <w:tcPr>
            <w:cnfStyle w:val="000010000000" w:firstRow="0" w:lastRow="0" w:firstColumn="0" w:lastColumn="0" w:oddVBand="1" w:evenVBand="0" w:oddHBand="0" w:evenHBand="0" w:firstRowFirstColumn="0" w:firstRowLastColumn="0" w:lastRowFirstColumn="0" w:lastRowLastColumn="0"/>
            <w:tcW w:w="529" w:type="dxa"/>
          </w:tcPr>
          <w:p w14:paraId="6B9588E7" w14:textId="77777777" w:rsidR="0074457B" w:rsidRPr="004A0C12" w:rsidRDefault="0074457B" w:rsidP="009F5EDD">
            <w:pPr>
              <w:pStyle w:val="ListParagraph"/>
              <w:ind w:left="0"/>
              <w:rPr>
                <w:rFonts w:ascii="Garamond" w:hAnsi="Garamond"/>
                <w:b/>
                <w:szCs w:val="22"/>
              </w:rPr>
            </w:pPr>
            <w:r w:rsidRPr="004A0C12">
              <w:rPr>
                <w:rFonts w:ascii="Garamond" w:hAnsi="Garamond"/>
                <w:b/>
                <w:szCs w:val="22"/>
              </w:rPr>
              <w:t>21.</w:t>
            </w:r>
          </w:p>
        </w:tc>
        <w:tc>
          <w:tcPr>
            <w:tcW w:w="3644" w:type="dxa"/>
          </w:tcPr>
          <w:p w14:paraId="62B1FF00"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Priority of Services (Veteran, WIOA Title I, Adult Edu.)</w:t>
            </w:r>
          </w:p>
        </w:tc>
        <w:tc>
          <w:tcPr>
            <w:cnfStyle w:val="000010000000" w:firstRow="0" w:lastRow="0" w:firstColumn="0" w:lastColumn="0" w:oddVBand="1" w:evenVBand="0" w:oddHBand="0" w:evenHBand="0" w:firstRowFirstColumn="0" w:firstRowLastColumn="0" w:lastRowFirstColumn="0" w:lastRowLastColumn="0"/>
            <w:tcW w:w="6831" w:type="dxa"/>
          </w:tcPr>
          <w:p w14:paraId="61909138" w14:textId="77777777" w:rsidR="0074457B" w:rsidRPr="004A0C12" w:rsidRDefault="0074457B" w:rsidP="00F733CF">
            <w:pPr>
              <w:pStyle w:val="ListParagraph"/>
              <w:numPr>
                <w:ilvl w:val="0"/>
                <w:numId w:val="63"/>
              </w:numPr>
              <w:ind w:hanging="360"/>
              <w:rPr>
                <w:rFonts w:ascii="Garamond" w:hAnsi="Garamond"/>
                <w:szCs w:val="22"/>
              </w:rPr>
            </w:pPr>
            <w:r w:rsidRPr="004A0C12">
              <w:rPr>
                <w:rFonts w:ascii="Garamond" w:hAnsi="Garamond"/>
                <w:szCs w:val="22"/>
              </w:rPr>
              <w:t>Adult Education Program Administrators</w:t>
            </w:r>
          </w:p>
          <w:p w14:paraId="021FF29B" w14:textId="77777777" w:rsidR="0074457B" w:rsidRPr="004A0C12" w:rsidRDefault="0074457B" w:rsidP="00F733CF">
            <w:pPr>
              <w:numPr>
                <w:ilvl w:val="0"/>
                <w:numId w:val="63"/>
              </w:numPr>
              <w:ind w:hanging="360"/>
              <w:rPr>
                <w:rFonts w:ascii="Garamond" w:hAnsi="Garamond"/>
              </w:rPr>
            </w:pPr>
            <w:r w:rsidRPr="004A0C12">
              <w:rPr>
                <w:rFonts w:ascii="Garamond" w:hAnsi="Garamond"/>
              </w:rPr>
              <w:t xml:space="preserve">Anne Arundel Workforce Development Corporation </w:t>
            </w:r>
          </w:p>
          <w:p w14:paraId="1EAACEF2" w14:textId="77777777" w:rsidR="0074457B" w:rsidRPr="004A0C12" w:rsidRDefault="0074457B" w:rsidP="00F733CF">
            <w:pPr>
              <w:numPr>
                <w:ilvl w:val="0"/>
                <w:numId w:val="63"/>
              </w:numPr>
              <w:ind w:hanging="360"/>
              <w:rPr>
                <w:rFonts w:ascii="Garamond" w:hAnsi="Garamond"/>
              </w:rPr>
            </w:pPr>
            <w:r w:rsidRPr="004A0C12">
              <w:rPr>
                <w:rFonts w:ascii="Garamond" w:hAnsi="Garamond"/>
              </w:rPr>
              <w:t>Maryland DLLR-Division of Workforce Development &amp; Adult Learning</w:t>
            </w:r>
          </w:p>
          <w:p w14:paraId="19D1DAF5" w14:textId="77777777" w:rsidR="0074457B" w:rsidRPr="004A0C12" w:rsidRDefault="0074457B" w:rsidP="00F733CF">
            <w:pPr>
              <w:pStyle w:val="ListParagraph"/>
              <w:numPr>
                <w:ilvl w:val="0"/>
                <w:numId w:val="63"/>
              </w:numPr>
              <w:ind w:hanging="360"/>
              <w:rPr>
                <w:rFonts w:ascii="Garamond" w:hAnsi="Garamond"/>
                <w:szCs w:val="22"/>
              </w:rPr>
            </w:pPr>
            <w:r w:rsidRPr="004A0C12">
              <w:rPr>
                <w:rFonts w:ascii="Garamond" w:hAnsi="Garamond"/>
                <w:szCs w:val="22"/>
              </w:rPr>
              <w:t xml:space="preserve">Maryland Department of Disabilities </w:t>
            </w:r>
          </w:p>
          <w:p w14:paraId="22C9A699" w14:textId="2265CBE3" w:rsidR="0074457B" w:rsidRPr="004A0C12" w:rsidRDefault="00D67ABB" w:rsidP="00F733CF">
            <w:pPr>
              <w:pStyle w:val="ListParagraph"/>
              <w:numPr>
                <w:ilvl w:val="0"/>
                <w:numId w:val="63"/>
              </w:numPr>
              <w:ind w:hanging="360"/>
              <w:rPr>
                <w:rFonts w:ascii="Garamond" w:hAnsi="Garamond"/>
                <w:szCs w:val="22"/>
              </w:rPr>
            </w:pPr>
            <w:r w:rsidRPr="004A0C12">
              <w:rPr>
                <w:rFonts w:ascii="Garamond" w:hAnsi="Garamond"/>
                <w:szCs w:val="22"/>
              </w:rPr>
              <w:t>Mid-</w:t>
            </w:r>
            <w:r w:rsidR="0074457B" w:rsidRPr="004A0C12">
              <w:rPr>
                <w:rFonts w:ascii="Garamond" w:hAnsi="Garamond"/>
                <w:szCs w:val="22"/>
              </w:rPr>
              <w:t>Maryland Workforce Investment Area</w:t>
            </w:r>
          </w:p>
        </w:tc>
      </w:tr>
      <w:tr w:rsidR="0074457B" w:rsidRPr="004A0C12" w14:paraId="5440418A" w14:textId="77777777" w:rsidTr="00C81EEA">
        <w:trPr>
          <w:trHeight w:val="1200"/>
        </w:trPr>
        <w:tc>
          <w:tcPr>
            <w:cnfStyle w:val="000010000000" w:firstRow="0" w:lastRow="0" w:firstColumn="0" w:lastColumn="0" w:oddVBand="1" w:evenVBand="0" w:oddHBand="0" w:evenHBand="0" w:firstRowFirstColumn="0" w:firstRowLastColumn="0" w:lastRowFirstColumn="0" w:lastRowLastColumn="0"/>
            <w:tcW w:w="529" w:type="dxa"/>
          </w:tcPr>
          <w:p w14:paraId="4C8E0FB0"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22.</w:t>
            </w:r>
          </w:p>
        </w:tc>
        <w:tc>
          <w:tcPr>
            <w:tcW w:w="3644" w:type="dxa"/>
          </w:tcPr>
          <w:p w14:paraId="00FCAD61"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Consequences of Non-Compliance</w:t>
            </w:r>
          </w:p>
        </w:tc>
        <w:tc>
          <w:tcPr>
            <w:cnfStyle w:val="000010000000" w:firstRow="0" w:lastRow="0" w:firstColumn="0" w:lastColumn="0" w:oddVBand="1" w:evenVBand="0" w:oddHBand="0" w:evenHBand="0" w:firstRowFirstColumn="0" w:firstRowLastColumn="0" w:lastRowFirstColumn="0" w:lastRowLastColumn="0"/>
            <w:tcW w:w="6831" w:type="dxa"/>
          </w:tcPr>
          <w:p w14:paraId="78941EED" w14:textId="77777777" w:rsidR="0074457B" w:rsidRPr="004A0C12" w:rsidRDefault="0074457B" w:rsidP="00F733CF">
            <w:pPr>
              <w:pStyle w:val="ListParagraph"/>
              <w:numPr>
                <w:ilvl w:val="0"/>
                <w:numId w:val="64"/>
              </w:numPr>
              <w:ind w:hanging="360"/>
              <w:rPr>
                <w:rFonts w:ascii="Garamond" w:hAnsi="Garamond"/>
                <w:szCs w:val="22"/>
              </w:rPr>
            </w:pPr>
            <w:r w:rsidRPr="004A0C12">
              <w:rPr>
                <w:rFonts w:ascii="Garamond" w:hAnsi="Garamond"/>
                <w:szCs w:val="22"/>
              </w:rPr>
              <w:t>Governor’s Workforce Investment Board</w:t>
            </w:r>
          </w:p>
          <w:p w14:paraId="65736F3F" w14:textId="77777777" w:rsidR="0074457B" w:rsidRPr="004A0C12" w:rsidRDefault="0074457B" w:rsidP="00F733CF">
            <w:pPr>
              <w:numPr>
                <w:ilvl w:val="0"/>
                <w:numId w:val="64"/>
              </w:numPr>
              <w:ind w:hanging="360"/>
              <w:rPr>
                <w:rFonts w:ascii="Garamond" w:hAnsi="Garamond"/>
              </w:rPr>
            </w:pPr>
            <w:r w:rsidRPr="004A0C12">
              <w:rPr>
                <w:rFonts w:ascii="Garamond" w:hAnsi="Garamond"/>
              </w:rPr>
              <w:t>Maryland DLLR-Division of Workforce Development &amp; Adult Learning</w:t>
            </w:r>
          </w:p>
          <w:p w14:paraId="187FA0BA" w14:textId="77777777" w:rsidR="0074457B" w:rsidRPr="004A0C12" w:rsidRDefault="0074457B" w:rsidP="00F733CF">
            <w:pPr>
              <w:pStyle w:val="ListParagraph"/>
              <w:numPr>
                <w:ilvl w:val="0"/>
                <w:numId w:val="64"/>
              </w:numPr>
              <w:ind w:hanging="360"/>
              <w:rPr>
                <w:rFonts w:ascii="Garamond" w:hAnsi="Garamond"/>
                <w:szCs w:val="22"/>
              </w:rPr>
            </w:pPr>
            <w:r w:rsidRPr="004A0C12">
              <w:rPr>
                <w:rFonts w:ascii="Garamond" w:hAnsi="Garamond"/>
                <w:szCs w:val="22"/>
              </w:rPr>
              <w:t xml:space="preserve">Maryland DLLR-Division of Unemployment Insurance </w:t>
            </w:r>
          </w:p>
          <w:p w14:paraId="7345B511" w14:textId="515828A8" w:rsidR="0074457B" w:rsidRPr="004A0C12" w:rsidRDefault="00D67ABB" w:rsidP="00F733CF">
            <w:pPr>
              <w:pStyle w:val="ListParagraph"/>
              <w:numPr>
                <w:ilvl w:val="0"/>
                <w:numId w:val="64"/>
              </w:numPr>
              <w:ind w:hanging="360"/>
              <w:rPr>
                <w:rFonts w:ascii="Garamond" w:hAnsi="Garamond"/>
                <w:szCs w:val="22"/>
              </w:rPr>
            </w:pPr>
            <w:r w:rsidRPr="004A0C12">
              <w:rPr>
                <w:rFonts w:ascii="Garamond" w:hAnsi="Garamond"/>
                <w:szCs w:val="22"/>
              </w:rPr>
              <w:t>Mid-</w:t>
            </w:r>
            <w:r w:rsidR="0074457B" w:rsidRPr="004A0C12">
              <w:rPr>
                <w:rFonts w:ascii="Garamond" w:hAnsi="Garamond"/>
                <w:szCs w:val="22"/>
              </w:rPr>
              <w:t>Maryland Workforce Investment Area</w:t>
            </w:r>
          </w:p>
        </w:tc>
      </w:tr>
      <w:tr w:rsidR="0074457B" w:rsidRPr="004A0C12" w14:paraId="19D0BFC7" w14:textId="77777777" w:rsidTr="00C81EEA">
        <w:trPr>
          <w:cnfStyle w:val="000000100000" w:firstRow="0" w:lastRow="0" w:firstColumn="0" w:lastColumn="0" w:oddVBand="0" w:evenVBand="0" w:oddHBand="1" w:evenHBand="0" w:firstRowFirstColumn="0" w:firstRowLastColumn="0" w:lastRowFirstColumn="0" w:lastRowLastColumn="0"/>
          <w:trHeight w:val="1680"/>
        </w:trPr>
        <w:tc>
          <w:tcPr>
            <w:cnfStyle w:val="000010000000" w:firstRow="0" w:lastRow="0" w:firstColumn="0" w:lastColumn="0" w:oddVBand="1" w:evenVBand="0" w:oddHBand="0" w:evenHBand="0" w:firstRowFirstColumn="0" w:firstRowLastColumn="0" w:lastRowFirstColumn="0" w:lastRowLastColumn="0"/>
            <w:tcW w:w="529" w:type="dxa"/>
          </w:tcPr>
          <w:p w14:paraId="401F286B"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23.</w:t>
            </w:r>
          </w:p>
        </w:tc>
        <w:tc>
          <w:tcPr>
            <w:tcW w:w="3644" w:type="dxa"/>
          </w:tcPr>
          <w:p w14:paraId="065E702F"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Reasonable Accommodations</w:t>
            </w:r>
          </w:p>
        </w:tc>
        <w:tc>
          <w:tcPr>
            <w:cnfStyle w:val="000010000000" w:firstRow="0" w:lastRow="0" w:firstColumn="0" w:lastColumn="0" w:oddVBand="1" w:evenVBand="0" w:oddHBand="0" w:evenHBand="0" w:firstRowFirstColumn="0" w:firstRowLastColumn="0" w:lastRowFirstColumn="0" w:lastRowLastColumn="0"/>
            <w:tcW w:w="6831" w:type="dxa"/>
          </w:tcPr>
          <w:p w14:paraId="70027058" w14:textId="77777777" w:rsidR="0074457B" w:rsidRPr="004A0C12" w:rsidRDefault="0074457B" w:rsidP="00F733CF">
            <w:pPr>
              <w:pStyle w:val="ListParagraph"/>
              <w:numPr>
                <w:ilvl w:val="0"/>
                <w:numId w:val="65"/>
              </w:numPr>
              <w:ind w:hanging="360"/>
              <w:rPr>
                <w:rFonts w:ascii="Garamond" w:hAnsi="Garamond"/>
                <w:szCs w:val="22"/>
              </w:rPr>
            </w:pPr>
            <w:r w:rsidRPr="004A0C12">
              <w:rPr>
                <w:rFonts w:ascii="Garamond" w:hAnsi="Garamond"/>
                <w:szCs w:val="22"/>
              </w:rPr>
              <w:t>Maryland Dept. of Disabilities</w:t>
            </w:r>
          </w:p>
          <w:p w14:paraId="289CE5CB" w14:textId="77777777" w:rsidR="0074457B" w:rsidRPr="004A0C12" w:rsidRDefault="0074457B" w:rsidP="00F733CF">
            <w:pPr>
              <w:pStyle w:val="ListParagraph"/>
              <w:numPr>
                <w:ilvl w:val="0"/>
                <w:numId w:val="65"/>
              </w:numPr>
              <w:ind w:hanging="360"/>
              <w:rPr>
                <w:rFonts w:ascii="Garamond" w:hAnsi="Garamond"/>
                <w:szCs w:val="22"/>
              </w:rPr>
            </w:pPr>
            <w:r w:rsidRPr="004A0C12">
              <w:rPr>
                <w:rFonts w:ascii="Garamond" w:hAnsi="Garamond"/>
                <w:szCs w:val="22"/>
              </w:rPr>
              <w:t>Maryland DHR-Family Investment Administration</w:t>
            </w:r>
          </w:p>
          <w:p w14:paraId="2628601C" w14:textId="77777777" w:rsidR="0074457B" w:rsidRPr="004A0C12" w:rsidRDefault="0074457B" w:rsidP="00F733CF">
            <w:pPr>
              <w:numPr>
                <w:ilvl w:val="0"/>
                <w:numId w:val="65"/>
              </w:numPr>
              <w:ind w:hanging="360"/>
              <w:rPr>
                <w:rFonts w:ascii="Garamond" w:hAnsi="Garamond"/>
              </w:rPr>
            </w:pPr>
            <w:r w:rsidRPr="004A0C12">
              <w:rPr>
                <w:rFonts w:ascii="Garamond" w:hAnsi="Garamond"/>
              </w:rPr>
              <w:t>Maryland DLLR-Division of Workforce Development &amp; Adult Learning</w:t>
            </w:r>
          </w:p>
          <w:p w14:paraId="75FBD0F5" w14:textId="7C6A9CE7" w:rsidR="0074457B" w:rsidRPr="004A0C12" w:rsidRDefault="0074457B" w:rsidP="00F733CF">
            <w:pPr>
              <w:pStyle w:val="ListParagraph"/>
              <w:numPr>
                <w:ilvl w:val="0"/>
                <w:numId w:val="65"/>
              </w:numPr>
              <w:ind w:hanging="360"/>
              <w:rPr>
                <w:rFonts w:ascii="Garamond" w:hAnsi="Garamond"/>
                <w:szCs w:val="22"/>
              </w:rPr>
            </w:pPr>
            <w:r w:rsidRPr="004A0C12">
              <w:rPr>
                <w:rFonts w:ascii="Garamond" w:hAnsi="Garamond"/>
                <w:szCs w:val="22"/>
              </w:rPr>
              <w:t>Mary</w:t>
            </w:r>
            <w:r w:rsidR="00C81EEA" w:rsidRPr="004A0C12">
              <w:rPr>
                <w:rFonts w:ascii="Garamond" w:hAnsi="Garamond"/>
                <w:szCs w:val="22"/>
              </w:rPr>
              <w:t>land State Dept. of Education-</w:t>
            </w:r>
            <w:r w:rsidRPr="004A0C12">
              <w:rPr>
                <w:rFonts w:ascii="Garamond" w:hAnsi="Garamond"/>
                <w:szCs w:val="22"/>
              </w:rPr>
              <w:t>Division of Rehabilitation Services</w:t>
            </w:r>
          </w:p>
          <w:p w14:paraId="588C4F72" w14:textId="2B3461A6" w:rsidR="0074457B" w:rsidRPr="004A0C12" w:rsidRDefault="00D67ABB" w:rsidP="00F733CF">
            <w:pPr>
              <w:pStyle w:val="ListParagraph"/>
              <w:numPr>
                <w:ilvl w:val="0"/>
                <w:numId w:val="65"/>
              </w:numPr>
              <w:ind w:hanging="360"/>
              <w:rPr>
                <w:rFonts w:ascii="Garamond" w:hAnsi="Garamond"/>
                <w:szCs w:val="22"/>
              </w:rPr>
            </w:pPr>
            <w:r w:rsidRPr="004A0C12">
              <w:rPr>
                <w:rFonts w:ascii="Garamond" w:hAnsi="Garamond"/>
                <w:szCs w:val="22"/>
              </w:rPr>
              <w:t>Mid-</w:t>
            </w:r>
            <w:r w:rsidR="0074457B" w:rsidRPr="004A0C12">
              <w:rPr>
                <w:rFonts w:ascii="Garamond" w:hAnsi="Garamond"/>
                <w:szCs w:val="22"/>
              </w:rPr>
              <w:t>Maryland Workforce Investment Area</w:t>
            </w:r>
          </w:p>
        </w:tc>
      </w:tr>
      <w:tr w:rsidR="0074457B" w:rsidRPr="004A0C12" w14:paraId="706086CF" w14:textId="77777777" w:rsidTr="00C81EEA">
        <w:trPr>
          <w:trHeight w:val="1200"/>
        </w:trPr>
        <w:tc>
          <w:tcPr>
            <w:cnfStyle w:val="000010000000" w:firstRow="0" w:lastRow="0" w:firstColumn="0" w:lastColumn="0" w:oddVBand="1" w:evenVBand="0" w:oddHBand="0" w:evenHBand="0" w:firstRowFirstColumn="0" w:firstRowLastColumn="0" w:lastRowFirstColumn="0" w:lastRowLastColumn="0"/>
            <w:tcW w:w="529" w:type="dxa"/>
          </w:tcPr>
          <w:p w14:paraId="7859F654"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lastRenderedPageBreak/>
              <w:t>24.</w:t>
            </w:r>
          </w:p>
        </w:tc>
        <w:tc>
          <w:tcPr>
            <w:tcW w:w="3644" w:type="dxa"/>
          </w:tcPr>
          <w:p w14:paraId="2E4BE7D5"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Mandatory workshops for UI claimants - RESEA &amp; ROW</w:t>
            </w:r>
          </w:p>
        </w:tc>
        <w:tc>
          <w:tcPr>
            <w:cnfStyle w:val="000010000000" w:firstRow="0" w:lastRow="0" w:firstColumn="0" w:lastColumn="0" w:oddVBand="1" w:evenVBand="0" w:oddHBand="0" w:evenHBand="0" w:firstRowFirstColumn="0" w:firstRowLastColumn="0" w:lastRowFirstColumn="0" w:lastRowLastColumn="0"/>
            <w:tcW w:w="6831" w:type="dxa"/>
          </w:tcPr>
          <w:p w14:paraId="31099ED6" w14:textId="77777777" w:rsidR="0074457B" w:rsidRPr="004A0C12" w:rsidRDefault="0074457B" w:rsidP="00F733CF">
            <w:pPr>
              <w:numPr>
                <w:ilvl w:val="0"/>
                <w:numId w:val="66"/>
              </w:numPr>
              <w:ind w:hanging="360"/>
              <w:rPr>
                <w:rFonts w:ascii="Garamond" w:hAnsi="Garamond"/>
              </w:rPr>
            </w:pPr>
            <w:r w:rsidRPr="004A0C12">
              <w:rPr>
                <w:rFonts w:ascii="Garamond" w:hAnsi="Garamond"/>
              </w:rPr>
              <w:t>Maryland DLLR-Division of Workforce Development &amp; Adult Learning</w:t>
            </w:r>
          </w:p>
          <w:p w14:paraId="591F4405" w14:textId="77777777" w:rsidR="0074457B" w:rsidRPr="004A0C12" w:rsidRDefault="0074457B" w:rsidP="00F733CF">
            <w:pPr>
              <w:pStyle w:val="ListParagraph"/>
              <w:numPr>
                <w:ilvl w:val="0"/>
                <w:numId w:val="66"/>
              </w:numPr>
              <w:ind w:hanging="360"/>
              <w:rPr>
                <w:rFonts w:ascii="Garamond" w:hAnsi="Garamond"/>
                <w:szCs w:val="22"/>
              </w:rPr>
            </w:pPr>
            <w:r w:rsidRPr="004A0C12">
              <w:rPr>
                <w:rFonts w:ascii="Garamond" w:hAnsi="Garamond"/>
                <w:szCs w:val="22"/>
              </w:rPr>
              <w:t>Maryland DLLR-Division of Unemployment Insurance</w:t>
            </w:r>
          </w:p>
          <w:p w14:paraId="1F814A36" w14:textId="77777777" w:rsidR="0074457B" w:rsidRPr="004A0C12" w:rsidRDefault="0074457B" w:rsidP="00F733CF">
            <w:pPr>
              <w:pStyle w:val="ListParagraph"/>
              <w:numPr>
                <w:ilvl w:val="0"/>
                <w:numId w:val="66"/>
              </w:numPr>
              <w:ind w:hanging="360"/>
              <w:rPr>
                <w:rFonts w:ascii="Garamond" w:hAnsi="Garamond"/>
                <w:szCs w:val="22"/>
              </w:rPr>
            </w:pPr>
            <w:r w:rsidRPr="004A0C12">
              <w:rPr>
                <w:rFonts w:ascii="Garamond" w:hAnsi="Garamond"/>
                <w:szCs w:val="22"/>
              </w:rPr>
              <w:t>Maryland DLLR- Office of Information Technology</w:t>
            </w:r>
          </w:p>
          <w:p w14:paraId="3E08BDA7" w14:textId="77777777" w:rsidR="0074457B" w:rsidRPr="004A0C12" w:rsidRDefault="0074457B" w:rsidP="00F733CF">
            <w:pPr>
              <w:pStyle w:val="ListParagraph"/>
              <w:numPr>
                <w:ilvl w:val="0"/>
                <w:numId w:val="66"/>
              </w:numPr>
              <w:ind w:hanging="360"/>
              <w:rPr>
                <w:rFonts w:ascii="Garamond" w:hAnsi="Garamond"/>
                <w:szCs w:val="22"/>
              </w:rPr>
            </w:pPr>
            <w:r w:rsidRPr="004A0C12">
              <w:rPr>
                <w:rFonts w:ascii="Garamond" w:hAnsi="Garamond"/>
                <w:szCs w:val="22"/>
              </w:rPr>
              <w:t>Susquehanna Workforce Network, Inc.</w:t>
            </w:r>
          </w:p>
        </w:tc>
      </w:tr>
      <w:tr w:rsidR="0074457B" w:rsidRPr="004A0C12" w14:paraId="1C4FB1F3" w14:textId="77777777" w:rsidTr="00C81EEA">
        <w:trPr>
          <w:cnfStyle w:val="000000100000" w:firstRow="0" w:lastRow="0" w:firstColumn="0" w:lastColumn="0" w:oddVBand="0" w:evenVBand="0" w:oddHBand="1" w:evenHBand="0" w:firstRowFirstColumn="0" w:firstRowLastColumn="0" w:lastRowFirstColumn="0" w:lastRowLastColumn="0"/>
          <w:trHeight w:val="720"/>
        </w:trPr>
        <w:tc>
          <w:tcPr>
            <w:cnfStyle w:val="000010000000" w:firstRow="0" w:lastRow="0" w:firstColumn="0" w:lastColumn="0" w:oddVBand="1" w:evenVBand="0" w:oddHBand="0" w:evenHBand="0" w:firstRowFirstColumn="0" w:firstRowLastColumn="0" w:lastRowFirstColumn="0" w:lastRowLastColumn="0"/>
            <w:tcW w:w="529" w:type="dxa"/>
          </w:tcPr>
          <w:p w14:paraId="4220968E"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25.</w:t>
            </w:r>
          </w:p>
        </w:tc>
        <w:tc>
          <w:tcPr>
            <w:tcW w:w="3644" w:type="dxa"/>
          </w:tcPr>
          <w:p w14:paraId="773C9A07"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Trade</w:t>
            </w:r>
          </w:p>
        </w:tc>
        <w:tc>
          <w:tcPr>
            <w:cnfStyle w:val="000010000000" w:firstRow="0" w:lastRow="0" w:firstColumn="0" w:lastColumn="0" w:oddVBand="1" w:evenVBand="0" w:oddHBand="0" w:evenHBand="0" w:firstRowFirstColumn="0" w:firstRowLastColumn="0" w:lastRowFirstColumn="0" w:lastRowLastColumn="0"/>
            <w:tcW w:w="6831" w:type="dxa"/>
          </w:tcPr>
          <w:p w14:paraId="6AEDF394" w14:textId="77777777" w:rsidR="0074457B" w:rsidRPr="004A0C12" w:rsidRDefault="0074457B" w:rsidP="00F733CF">
            <w:pPr>
              <w:numPr>
                <w:ilvl w:val="0"/>
                <w:numId w:val="67"/>
              </w:numPr>
              <w:ind w:hanging="360"/>
              <w:rPr>
                <w:rFonts w:ascii="Garamond" w:hAnsi="Garamond"/>
              </w:rPr>
            </w:pPr>
            <w:r w:rsidRPr="004A0C12">
              <w:rPr>
                <w:rFonts w:ascii="Garamond" w:hAnsi="Garamond"/>
              </w:rPr>
              <w:t>Maryland DLLR-Division of Workforce Development &amp; Adult Learning</w:t>
            </w:r>
          </w:p>
          <w:p w14:paraId="45A66A7A" w14:textId="77777777" w:rsidR="0074457B" w:rsidRPr="004A0C12" w:rsidRDefault="0074457B" w:rsidP="00F733CF">
            <w:pPr>
              <w:pStyle w:val="ListParagraph"/>
              <w:numPr>
                <w:ilvl w:val="0"/>
                <w:numId w:val="67"/>
              </w:numPr>
              <w:ind w:hanging="360"/>
              <w:rPr>
                <w:rFonts w:ascii="Garamond" w:hAnsi="Garamond"/>
                <w:szCs w:val="22"/>
              </w:rPr>
            </w:pPr>
            <w:r w:rsidRPr="004A0C12">
              <w:rPr>
                <w:rFonts w:ascii="Garamond" w:hAnsi="Garamond"/>
                <w:szCs w:val="22"/>
              </w:rPr>
              <w:t>Maryland DLLR-Division of Unemployment Insurance</w:t>
            </w:r>
          </w:p>
        </w:tc>
      </w:tr>
      <w:tr w:rsidR="0074457B" w:rsidRPr="004A0C12" w14:paraId="11327CD3" w14:textId="77777777" w:rsidTr="00C81EEA">
        <w:trPr>
          <w:trHeight w:val="960"/>
        </w:trPr>
        <w:tc>
          <w:tcPr>
            <w:cnfStyle w:val="000010000000" w:firstRow="0" w:lastRow="0" w:firstColumn="0" w:lastColumn="0" w:oddVBand="1" w:evenVBand="0" w:oddHBand="0" w:evenHBand="0" w:firstRowFirstColumn="0" w:firstRowLastColumn="0" w:lastRowFirstColumn="0" w:lastRowLastColumn="0"/>
            <w:tcW w:w="529" w:type="dxa"/>
          </w:tcPr>
          <w:p w14:paraId="386A72C5"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26.</w:t>
            </w:r>
          </w:p>
        </w:tc>
        <w:tc>
          <w:tcPr>
            <w:tcW w:w="3644" w:type="dxa"/>
          </w:tcPr>
          <w:p w14:paraId="66C1D1F2"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National Dislocated Worker Grants</w:t>
            </w:r>
          </w:p>
        </w:tc>
        <w:tc>
          <w:tcPr>
            <w:cnfStyle w:val="000010000000" w:firstRow="0" w:lastRow="0" w:firstColumn="0" w:lastColumn="0" w:oddVBand="1" w:evenVBand="0" w:oddHBand="0" w:evenHBand="0" w:firstRowFirstColumn="0" w:firstRowLastColumn="0" w:lastRowFirstColumn="0" w:lastRowLastColumn="0"/>
            <w:tcW w:w="6831" w:type="dxa"/>
          </w:tcPr>
          <w:p w14:paraId="34A01DB6" w14:textId="77777777" w:rsidR="0074457B" w:rsidRPr="004A0C12" w:rsidRDefault="0074457B" w:rsidP="00F733CF">
            <w:pPr>
              <w:pStyle w:val="ListParagraph"/>
              <w:numPr>
                <w:ilvl w:val="0"/>
                <w:numId w:val="68"/>
              </w:numPr>
              <w:ind w:hanging="360"/>
              <w:rPr>
                <w:rFonts w:ascii="Garamond" w:hAnsi="Garamond"/>
                <w:szCs w:val="22"/>
              </w:rPr>
            </w:pPr>
            <w:r w:rsidRPr="004A0C12">
              <w:rPr>
                <w:rFonts w:ascii="Garamond" w:hAnsi="Garamond"/>
                <w:szCs w:val="22"/>
              </w:rPr>
              <w:t>Anne Arundel Workforce Development Corporation</w:t>
            </w:r>
          </w:p>
          <w:p w14:paraId="7DA09F10" w14:textId="77777777" w:rsidR="0074457B" w:rsidRPr="004A0C12" w:rsidRDefault="0074457B" w:rsidP="00F733CF">
            <w:pPr>
              <w:numPr>
                <w:ilvl w:val="0"/>
                <w:numId w:val="68"/>
              </w:numPr>
              <w:ind w:hanging="360"/>
              <w:rPr>
                <w:rFonts w:ascii="Garamond" w:hAnsi="Garamond"/>
              </w:rPr>
            </w:pPr>
            <w:r w:rsidRPr="004A0C12">
              <w:rPr>
                <w:rFonts w:ascii="Garamond" w:hAnsi="Garamond"/>
              </w:rPr>
              <w:t>Maryland DLLR-Division of Workforce Development &amp; Adult Learning</w:t>
            </w:r>
          </w:p>
          <w:p w14:paraId="160321C0" w14:textId="42F3AC4F" w:rsidR="0074457B" w:rsidRPr="004A0C12" w:rsidRDefault="00D67ABB" w:rsidP="00F733CF">
            <w:pPr>
              <w:pStyle w:val="ListParagraph"/>
              <w:numPr>
                <w:ilvl w:val="0"/>
                <w:numId w:val="68"/>
              </w:numPr>
              <w:ind w:hanging="360"/>
              <w:rPr>
                <w:rFonts w:ascii="Garamond" w:hAnsi="Garamond"/>
                <w:szCs w:val="22"/>
              </w:rPr>
            </w:pPr>
            <w:r w:rsidRPr="004A0C12">
              <w:rPr>
                <w:rFonts w:ascii="Garamond" w:hAnsi="Garamond"/>
                <w:szCs w:val="22"/>
              </w:rPr>
              <w:t>Mid-</w:t>
            </w:r>
            <w:r w:rsidR="0074457B" w:rsidRPr="004A0C12">
              <w:rPr>
                <w:rFonts w:ascii="Garamond" w:hAnsi="Garamond"/>
                <w:szCs w:val="22"/>
              </w:rPr>
              <w:t>Maryland Workforce Investment Area</w:t>
            </w:r>
          </w:p>
        </w:tc>
      </w:tr>
      <w:tr w:rsidR="0074457B" w:rsidRPr="004A0C12" w14:paraId="0780C8D6" w14:textId="77777777" w:rsidTr="00C81EEA">
        <w:trPr>
          <w:cnfStyle w:val="000000100000" w:firstRow="0" w:lastRow="0" w:firstColumn="0" w:lastColumn="0" w:oddVBand="0" w:evenVBand="0" w:oddHBand="1" w:evenHBand="0" w:firstRowFirstColumn="0" w:firstRowLastColumn="0" w:lastRowFirstColumn="0" w:lastRowLastColumn="0"/>
          <w:trHeight w:val="1680"/>
        </w:trPr>
        <w:tc>
          <w:tcPr>
            <w:cnfStyle w:val="000010000000" w:firstRow="0" w:lastRow="0" w:firstColumn="0" w:lastColumn="0" w:oddVBand="1" w:evenVBand="0" w:oddHBand="0" w:evenHBand="0" w:firstRowFirstColumn="0" w:firstRowLastColumn="0" w:lastRowFirstColumn="0" w:lastRowLastColumn="0"/>
            <w:tcW w:w="529" w:type="dxa"/>
          </w:tcPr>
          <w:p w14:paraId="58EB555C"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27.</w:t>
            </w:r>
          </w:p>
        </w:tc>
        <w:tc>
          <w:tcPr>
            <w:tcW w:w="3644" w:type="dxa"/>
          </w:tcPr>
          <w:p w14:paraId="573698CA"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EARN / Sectors and Interfaces</w:t>
            </w:r>
          </w:p>
        </w:tc>
        <w:tc>
          <w:tcPr>
            <w:cnfStyle w:val="000010000000" w:firstRow="0" w:lastRow="0" w:firstColumn="0" w:lastColumn="0" w:oddVBand="1" w:evenVBand="0" w:oddHBand="0" w:evenHBand="0" w:firstRowFirstColumn="0" w:firstRowLastColumn="0" w:lastRowFirstColumn="0" w:lastRowLastColumn="0"/>
            <w:tcW w:w="6831" w:type="dxa"/>
          </w:tcPr>
          <w:p w14:paraId="64906C93" w14:textId="77777777" w:rsidR="0074457B" w:rsidRPr="004A0C12" w:rsidRDefault="0074457B" w:rsidP="00F733CF">
            <w:pPr>
              <w:pStyle w:val="ListParagraph"/>
              <w:numPr>
                <w:ilvl w:val="0"/>
                <w:numId w:val="69"/>
              </w:numPr>
              <w:ind w:hanging="360"/>
              <w:rPr>
                <w:rFonts w:ascii="Garamond" w:hAnsi="Garamond"/>
                <w:szCs w:val="22"/>
              </w:rPr>
            </w:pPr>
            <w:r w:rsidRPr="004A0C12">
              <w:rPr>
                <w:rFonts w:ascii="Garamond" w:hAnsi="Garamond"/>
                <w:szCs w:val="22"/>
              </w:rPr>
              <w:t>Baltimore City Mayor’s Office of Employment Development</w:t>
            </w:r>
          </w:p>
          <w:p w14:paraId="13A23286" w14:textId="77777777" w:rsidR="0074457B" w:rsidRPr="004A0C12" w:rsidRDefault="0074457B" w:rsidP="00F733CF">
            <w:pPr>
              <w:numPr>
                <w:ilvl w:val="0"/>
                <w:numId w:val="69"/>
              </w:numPr>
              <w:ind w:hanging="360"/>
              <w:rPr>
                <w:rFonts w:ascii="Garamond" w:hAnsi="Garamond"/>
              </w:rPr>
            </w:pPr>
            <w:r w:rsidRPr="004A0C12">
              <w:rPr>
                <w:rFonts w:ascii="Garamond" w:hAnsi="Garamond"/>
              </w:rPr>
              <w:t>Maryland DLLR-Division of Workforce Development &amp; Adult Learning</w:t>
            </w:r>
          </w:p>
          <w:p w14:paraId="50790077" w14:textId="77777777" w:rsidR="0074457B" w:rsidRPr="004A0C12" w:rsidRDefault="0074457B" w:rsidP="00F733CF">
            <w:pPr>
              <w:pStyle w:val="ListParagraph"/>
              <w:numPr>
                <w:ilvl w:val="0"/>
                <w:numId w:val="69"/>
              </w:numPr>
              <w:ind w:hanging="360"/>
              <w:rPr>
                <w:rFonts w:ascii="Garamond" w:hAnsi="Garamond"/>
                <w:szCs w:val="22"/>
              </w:rPr>
            </w:pPr>
            <w:r w:rsidRPr="004A0C12">
              <w:rPr>
                <w:rFonts w:ascii="Garamond" w:hAnsi="Garamond"/>
                <w:szCs w:val="22"/>
              </w:rPr>
              <w:t>Goodwill</w:t>
            </w:r>
          </w:p>
          <w:p w14:paraId="4D13C180" w14:textId="38FBA61F" w:rsidR="0074457B" w:rsidRPr="004A0C12" w:rsidRDefault="00D67ABB" w:rsidP="00F733CF">
            <w:pPr>
              <w:pStyle w:val="ListParagraph"/>
              <w:numPr>
                <w:ilvl w:val="0"/>
                <w:numId w:val="69"/>
              </w:numPr>
              <w:ind w:hanging="360"/>
              <w:rPr>
                <w:rFonts w:ascii="Garamond" w:hAnsi="Garamond"/>
                <w:szCs w:val="22"/>
              </w:rPr>
            </w:pPr>
            <w:r w:rsidRPr="004A0C12">
              <w:rPr>
                <w:rFonts w:ascii="Garamond" w:hAnsi="Garamond"/>
                <w:szCs w:val="22"/>
              </w:rPr>
              <w:t>Mid-</w:t>
            </w:r>
            <w:r w:rsidR="0074457B" w:rsidRPr="004A0C12">
              <w:rPr>
                <w:rFonts w:ascii="Garamond" w:hAnsi="Garamond"/>
                <w:szCs w:val="22"/>
              </w:rPr>
              <w:t>Maryland Workforce Investment Area</w:t>
            </w:r>
          </w:p>
          <w:p w14:paraId="09F33766" w14:textId="77777777" w:rsidR="0074457B" w:rsidRPr="004A0C12" w:rsidRDefault="0074457B" w:rsidP="00F733CF">
            <w:pPr>
              <w:pStyle w:val="ListParagraph"/>
              <w:numPr>
                <w:ilvl w:val="0"/>
                <w:numId w:val="69"/>
              </w:numPr>
              <w:ind w:hanging="360"/>
              <w:rPr>
                <w:rFonts w:ascii="Garamond" w:hAnsi="Garamond"/>
                <w:szCs w:val="22"/>
              </w:rPr>
            </w:pPr>
            <w:r w:rsidRPr="004A0C12">
              <w:rPr>
                <w:rFonts w:ascii="Garamond" w:hAnsi="Garamond"/>
                <w:szCs w:val="22"/>
              </w:rPr>
              <w:t>Montgomery County Division of Workforce Investment Services</w:t>
            </w:r>
          </w:p>
          <w:p w14:paraId="52A10D1C" w14:textId="77777777" w:rsidR="0074457B" w:rsidRPr="004A0C12" w:rsidRDefault="0074457B" w:rsidP="00F733CF">
            <w:pPr>
              <w:pStyle w:val="ListParagraph"/>
              <w:numPr>
                <w:ilvl w:val="0"/>
                <w:numId w:val="69"/>
              </w:numPr>
              <w:ind w:hanging="360"/>
              <w:rPr>
                <w:rFonts w:ascii="Garamond" w:hAnsi="Garamond"/>
                <w:szCs w:val="22"/>
              </w:rPr>
            </w:pPr>
            <w:r w:rsidRPr="004A0C12">
              <w:rPr>
                <w:rFonts w:ascii="Garamond" w:hAnsi="Garamond"/>
                <w:szCs w:val="22"/>
              </w:rPr>
              <w:t>Tri County Council for Southern Maryland</w:t>
            </w:r>
          </w:p>
        </w:tc>
      </w:tr>
      <w:tr w:rsidR="0074457B" w:rsidRPr="004A0C12" w14:paraId="24EBB6BB" w14:textId="77777777" w:rsidTr="00C81EEA">
        <w:trPr>
          <w:trHeight w:val="1680"/>
        </w:trPr>
        <w:tc>
          <w:tcPr>
            <w:cnfStyle w:val="000010000000" w:firstRow="0" w:lastRow="0" w:firstColumn="0" w:lastColumn="0" w:oddVBand="1" w:evenVBand="0" w:oddHBand="0" w:evenHBand="0" w:firstRowFirstColumn="0" w:firstRowLastColumn="0" w:lastRowFirstColumn="0" w:lastRowLastColumn="0"/>
            <w:tcW w:w="529" w:type="dxa"/>
          </w:tcPr>
          <w:p w14:paraId="72A56F2A"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28.</w:t>
            </w:r>
          </w:p>
        </w:tc>
        <w:tc>
          <w:tcPr>
            <w:tcW w:w="3644" w:type="dxa"/>
          </w:tcPr>
          <w:p w14:paraId="4FA68BA7"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Use of funds (braiding and leveraging)</w:t>
            </w:r>
          </w:p>
        </w:tc>
        <w:tc>
          <w:tcPr>
            <w:cnfStyle w:val="000010000000" w:firstRow="0" w:lastRow="0" w:firstColumn="0" w:lastColumn="0" w:oddVBand="1" w:evenVBand="0" w:oddHBand="0" w:evenHBand="0" w:firstRowFirstColumn="0" w:firstRowLastColumn="0" w:lastRowFirstColumn="0" w:lastRowLastColumn="0"/>
            <w:tcW w:w="6831" w:type="dxa"/>
          </w:tcPr>
          <w:p w14:paraId="43486700" w14:textId="77777777" w:rsidR="0074457B" w:rsidRPr="004A0C12" w:rsidRDefault="0074457B" w:rsidP="00F733CF">
            <w:pPr>
              <w:pStyle w:val="ListParagraph"/>
              <w:numPr>
                <w:ilvl w:val="0"/>
                <w:numId w:val="70"/>
              </w:numPr>
              <w:ind w:hanging="360"/>
              <w:rPr>
                <w:rFonts w:ascii="Garamond" w:hAnsi="Garamond"/>
                <w:szCs w:val="22"/>
              </w:rPr>
            </w:pPr>
            <w:r w:rsidRPr="004A0C12">
              <w:rPr>
                <w:rFonts w:ascii="Garamond" w:hAnsi="Garamond"/>
                <w:szCs w:val="22"/>
              </w:rPr>
              <w:t>Maryland Association for Adult Community and Continuing Education Maryland DHR-Family Investment Administration</w:t>
            </w:r>
          </w:p>
          <w:p w14:paraId="4BA442F7" w14:textId="77777777" w:rsidR="0074457B" w:rsidRPr="004A0C12" w:rsidRDefault="0074457B" w:rsidP="00F733CF">
            <w:pPr>
              <w:numPr>
                <w:ilvl w:val="0"/>
                <w:numId w:val="70"/>
              </w:numPr>
              <w:ind w:hanging="360"/>
              <w:rPr>
                <w:rFonts w:ascii="Garamond" w:hAnsi="Garamond"/>
              </w:rPr>
            </w:pPr>
            <w:r w:rsidRPr="004A0C12">
              <w:rPr>
                <w:rFonts w:ascii="Garamond" w:hAnsi="Garamond"/>
              </w:rPr>
              <w:t>Maryland DLLR-Division of Workforce Development &amp; Adult Learning</w:t>
            </w:r>
          </w:p>
          <w:p w14:paraId="77A9E102" w14:textId="7420B971" w:rsidR="0074457B" w:rsidRPr="004A0C12" w:rsidRDefault="0074457B" w:rsidP="00F733CF">
            <w:pPr>
              <w:pStyle w:val="ListParagraph"/>
              <w:numPr>
                <w:ilvl w:val="0"/>
                <w:numId w:val="70"/>
              </w:numPr>
              <w:ind w:hanging="360"/>
              <w:rPr>
                <w:rFonts w:ascii="Garamond" w:hAnsi="Garamond"/>
                <w:szCs w:val="22"/>
              </w:rPr>
            </w:pPr>
            <w:r w:rsidRPr="004A0C12">
              <w:rPr>
                <w:rFonts w:ascii="Garamond" w:hAnsi="Garamond"/>
                <w:szCs w:val="22"/>
              </w:rPr>
              <w:t>Mary</w:t>
            </w:r>
            <w:r w:rsidR="00C81EEA" w:rsidRPr="004A0C12">
              <w:rPr>
                <w:rFonts w:ascii="Garamond" w:hAnsi="Garamond"/>
                <w:szCs w:val="22"/>
              </w:rPr>
              <w:t>land State Dept. of Education-</w:t>
            </w:r>
            <w:r w:rsidRPr="004A0C12">
              <w:rPr>
                <w:rFonts w:ascii="Garamond" w:hAnsi="Garamond"/>
                <w:szCs w:val="22"/>
              </w:rPr>
              <w:t>Division of Rehabilitation Services</w:t>
            </w:r>
          </w:p>
          <w:p w14:paraId="4B29FD6A" w14:textId="77777777" w:rsidR="0074457B" w:rsidRPr="004A0C12" w:rsidRDefault="0074457B" w:rsidP="00F733CF">
            <w:pPr>
              <w:pStyle w:val="ListParagraph"/>
              <w:numPr>
                <w:ilvl w:val="0"/>
                <w:numId w:val="70"/>
              </w:numPr>
              <w:ind w:hanging="360"/>
              <w:rPr>
                <w:rFonts w:ascii="Garamond" w:hAnsi="Garamond"/>
                <w:szCs w:val="22"/>
              </w:rPr>
            </w:pPr>
            <w:r w:rsidRPr="004A0C12">
              <w:rPr>
                <w:rFonts w:ascii="Garamond" w:hAnsi="Garamond"/>
                <w:szCs w:val="22"/>
              </w:rPr>
              <w:t>Susquehanna Workforce Network, Inc.</w:t>
            </w:r>
          </w:p>
        </w:tc>
      </w:tr>
      <w:tr w:rsidR="0074457B" w:rsidRPr="004A0C12" w14:paraId="59AA9E34" w14:textId="77777777" w:rsidTr="00C81EEA">
        <w:trPr>
          <w:cnfStyle w:val="000000100000" w:firstRow="0" w:lastRow="0" w:firstColumn="0" w:lastColumn="0" w:oddVBand="0" w:evenVBand="0" w:oddHBand="1" w:evenHBand="0" w:firstRowFirstColumn="0" w:firstRowLastColumn="0" w:lastRowFirstColumn="0" w:lastRowLastColumn="0"/>
          <w:trHeight w:val="960"/>
        </w:trPr>
        <w:tc>
          <w:tcPr>
            <w:cnfStyle w:val="000010000000" w:firstRow="0" w:lastRow="0" w:firstColumn="0" w:lastColumn="0" w:oddVBand="1" w:evenVBand="0" w:oddHBand="0" w:evenHBand="0" w:firstRowFirstColumn="0" w:firstRowLastColumn="0" w:lastRowFirstColumn="0" w:lastRowLastColumn="0"/>
            <w:tcW w:w="529" w:type="dxa"/>
          </w:tcPr>
          <w:p w14:paraId="01CDFB01"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29.</w:t>
            </w:r>
          </w:p>
        </w:tc>
        <w:tc>
          <w:tcPr>
            <w:tcW w:w="3644" w:type="dxa"/>
          </w:tcPr>
          <w:p w14:paraId="56230B63"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Disaster Plan</w:t>
            </w:r>
          </w:p>
        </w:tc>
        <w:tc>
          <w:tcPr>
            <w:cnfStyle w:val="000010000000" w:firstRow="0" w:lastRow="0" w:firstColumn="0" w:lastColumn="0" w:oddVBand="1" w:evenVBand="0" w:oddHBand="0" w:evenHBand="0" w:firstRowFirstColumn="0" w:firstRowLastColumn="0" w:lastRowFirstColumn="0" w:lastRowLastColumn="0"/>
            <w:tcW w:w="6831" w:type="dxa"/>
          </w:tcPr>
          <w:p w14:paraId="1978AD63" w14:textId="77777777" w:rsidR="0074457B" w:rsidRPr="004A0C12" w:rsidRDefault="0074457B" w:rsidP="00F733CF">
            <w:pPr>
              <w:pStyle w:val="ListParagraph"/>
              <w:numPr>
                <w:ilvl w:val="0"/>
                <w:numId w:val="71"/>
              </w:numPr>
              <w:ind w:hanging="360"/>
              <w:rPr>
                <w:rFonts w:ascii="Garamond" w:hAnsi="Garamond"/>
                <w:szCs w:val="22"/>
              </w:rPr>
            </w:pPr>
            <w:r w:rsidRPr="004A0C12">
              <w:rPr>
                <w:rFonts w:ascii="Garamond" w:hAnsi="Garamond"/>
                <w:szCs w:val="22"/>
              </w:rPr>
              <w:t>Maryland Dept. of Disabilities</w:t>
            </w:r>
          </w:p>
          <w:p w14:paraId="45A05FF8" w14:textId="77777777" w:rsidR="0074457B" w:rsidRPr="004A0C12" w:rsidRDefault="0074457B" w:rsidP="00F733CF">
            <w:pPr>
              <w:numPr>
                <w:ilvl w:val="0"/>
                <w:numId w:val="71"/>
              </w:numPr>
              <w:ind w:hanging="360"/>
              <w:rPr>
                <w:rFonts w:ascii="Garamond" w:hAnsi="Garamond"/>
              </w:rPr>
            </w:pPr>
            <w:r w:rsidRPr="004A0C12">
              <w:rPr>
                <w:rFonts w:ascii="Garamond" w:hAnsi="Garamond"/>
              </w:rPr>
              <w:t>Maryland DLLR-Division of Workforce Development &amp; Adult Learning</w:t>
            </w:r>
          </w:p>
          <w:p w14:paraId="348E7EFE" w14:textId="77777777" w:rsidR="0074457B" w:rsidRPr="004A0C12" w:rsidRDefault="0074457B" w:rsidP="00F733CF">
            <w:pPr>
              <w:pStyle w:val="ListParagraph"/>
              <w:numPr>
                <w:ilvl w:val="0"/>
                <w:numId w:val="71"/>
              </w:numPr>
              <w:ind w:hanging="360"/>
              <w:rPr>
                <w:rFonts w:ascii="Garamond" w:hAnsi="Garamond"/>
                <w:szCs w:val="22"/>
              </w:rPr>
            </w:pPr>
            <w:r w:rsidRPr="004A0C12">
              <w:rPr>
                <w:rFonts w:ascii="Garamond" w:hAnsi="Garamond"/>
                <w:szCs w:val="22"/>
              </w:rPr>
              <w:t>Prince George’s County Economic Development Corporation</w:t>
            </w:r>
          </w:p>
        </w:tc>
      </w:tr>
      <w:tr w:rsidR="0074457B" w:rsidRPr="004A0C12" w14:paraId="35F0A1F9" w14:textId="77777777" w:rsidTr="00C81EEA">
        <w:trPr>
          <w:trHeight w:val="1920"/>
        </w:trPr>
        <w:tc>
          <w:tcPr>
            <w:cnfStyle w:val="000010000000" w:firstRow="0" w:lastRow="0" w:firstColumn="0" w:lastColumn="0" w:oddVBand="1" w:evenVBand="0" w:oddHBand="0" w:evenHBand="0" w:firstRowFirstColumn="0" w:firstRowLastColumn="0" w:lastRowFirstColumn="0" w:lastRowLastColumn="0"/>
            <w:tcW w:w="529" w:type="dxa"/>
          </w:tcPr>
          <w:p w14:paraId="0184191F"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30.</w:t>
            </w:r>
          </w:p>
        </w:tc>
        <w:tc>
          <w:tcPr>
            <w:tcW w:w="3644" w:type="dxa"/>
          </w:tcPr>
          <w:p w14:paraId="43C460C6"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Use of technology</w:t>
            </w:r>
          </w:p>
        </w:tc>
        <w:tc>
          <w:tcPr>
            <w:cnfStyle w:val="000010000000" w:firstRow="0" w:lastRow="0" w:firstColumn="0" w:lastColumn="0" w:oddVBand="1" w:evenVBand="0" w:oddHBand="0" w:evenHBand="0" w:firstRowFirstColumn="0" w:firstRowLastColumn="0" w:lastRowFirstColumn="0" w:lastRowLastColumn="0"/>
            <w:tcW w:w="6831" w:type="dxa"/>
          </w:tcPr>
          <w:p w14:paraId="5FC173B4" w14:textId="77777777" w:rsidR="0074457B" w:rsidRPr="004A0C12" w:rsidRDefault="0074457B" w:rsidP="00F733CF">
            <w:pPr>
              <w:pStyle w:val="ListParagraph"/>
              <w:numPr>
                <w:ilvl w:val="0"/>
                <w:numId w:val="72"/>
              </w:numPr>
              <w:ind w:hanging="360"/>
              <w:rPr>
                <w:rFonts w:ascii="Garamond" w:hAnsi="Garamond"/>
                <w:szCs w:val="22"/>
              </w:rPr>
            </w:pPr>
            <w:r w:rsidRPr="004A0C12">
              <w:rPr>
                <w:rFonts w:ascii="Garamond" w:hAnsi="Garamond"/>
                <w:szCs w:val="22"/>
              </w:rPr>
              <w:t>Maryland Department of Disabilities</w:t>
            </w:r>
          </w:p>
          <w:p w14:paraId="1B80BBA6" w14:textId="77777777" w:rsidR="0074457B" w:rsidRPr="004A0C12" w:rsidRDefault="0074457B" w:rsidP="00F733CF">
            <w:pPr>
              <w:pStyle w:val="ListParagraph"/>
              <w:numPr>
                <w:ilvl w:val="0"/>
                <w:numId w:val="72"/>
              </w:numPr>
              <w:ind w:hanging="360"/>
              <w:rPr>
                <w:rFonts w:ascii="Garamond" w:hAnsi="Garamond"/>
                <w:szCs w:val="22"/>
              </w:rPr>
            </w:pPr>
            <w:r w:rsidRPr="004A0C12">
              <w:rPr>
                <w:rFonts w:ascii="Garamond" w:hAnsi="Garamond"/>
                <w:szCs w:val="22"/>
              </w:rPr>
              <w:t>Maryland DHR-Family Investment Administration</w:t>
            </w:r>
          </w:p>
          <w:p w14:paraId="34ABA16D" w14:textId="77777777" w:rsidR="0074457B" w:rsidRPr="004A0C12" w:rsidRDefault="0074457B" w:rsidP="00F733CF">
            <w:pPr>
              <w:numPr>
                <w:ilvl w:val="0"/>
                <w:numId w:val="72"/>
              </w:numPr>
              <w:ind w:hanging="360"/>
              <w:rPr>
                <w:rFonts w:ascii="Garamond" w:hAnsi="Garamond"/>
              </w:rPr>
            </w:pPr>
            <w:r w:rsidRPr="004A0C12">
              <w:rPr>
                <w:rFonts w:ascii="Garamond" w:hAnsi="Garamond"/>
              </w:rPr>
              <w:t>Maryland DLLR-Division of Workforce Development &amp; Adult Learning</w:t>
            </w:r>
          </w:p>
          <w:p w14:paraId="375CAF6F" w14:textId="5F097B7C" w:rsidR="0074457B" w:rsidRPr="004A0C12" w:rsidRDefault="0074457B" w:rsidP="00F733CF">
            <w:pPr>
              <w:pStyle w:val="ListParagraph"/>
              <w:numPr>
                <w:ilvl w:val="0"/>
                <w:numId w:val="72"/>
              </w:numPr>
              <w:ind w:hanging="360"/>
              <w:rPr>
                <w:rFonts w:ascii="Garamond" w:hAnsi="Garamond"/>
                <w:szCs w:val="22"/>
              </w:rPr>
            </w:pPr>
            <w:r w:rsidRPr="004A0C12">
              <w:rPr>
                <w:rFonts w:ascii="Garamond" w:hAnsi="Garamond"/>
                <w:szCs w:val="22"/>
              </w:rPr>
              <w:t>Mary</w:t>
            </w:r>
            <w:r w:rsidR="00C81EEA" w:rsidRPr="004A0C12">
              <w:rPr>
                <w:rFonts w:ascii="Garamond" w:hAnsi="Garamond"/>
                <w:szCs w:val="22"/>
              </w:rPr>
              <w:t>land State Dept. of Education-</w:t>
            </w:r>
            <w:r w:rsidRPr="004A0C12">
              <w:rPr>
                <w:rFonts w:ascii="Garamond" w:hAnsi="Garamond"/>
                <w:szCs w:val="22"/>
              </w:rPr>
              <w:t>Division of Rehabilitation Services</w:t>
            </w:r>
          </w:p>
          <w:p w14:paraId="79C3112F" w14:textId="77777777" w:rsidR="0074457B" w:rsidRPr="004A0C12" w:rsidRDefault="0074457B" w:rsidP="00F733CF">
            <w:pPr>
              <w:pStyle w:val="ListParagraph"/>
              <w:numPr>
                <w:ilvl w:val="0"/>
                <w:numId w:val="72"/>
              </w:numPr>
              <w:ind w:hanging="360"/>
              <w:rPr>
                <w:rFonts w:ascii="Garamond" w:hAnsi="Garamond"/>
                <w:szCs w:val="22"/>
              </w:rPr>
            </w:pPr>
            <w:r w:rsidRPr="004A0C12">
              <w:rPr>
                <w:rFonts w:ascii="Garamond" w:hAnsi="Garamond"/>
                <w:szCs w:val="22"/>
              </w:rPr>
              <w:t>Mid Maryland Workforce Investment Area</w:t>
            </w:r>
          </w:p>
          <w:p w14:paraId="4B772C70" w14:textId="77777777" w:rsidR="0074457B" w:rsidRPr="004A0C12" w:rsidRDefault="0074457B" w:rsidP="00F733CF">
            <w:pPr>
              <w:pStyle w:val="ListParagraph"/>
              <w:numPr>
                <w:ilvl w:val="0"/>
                <w:numId w:val="72"/>
              </w:numPr>
              <w:ind w:hanging="360"/>
              <w:rPr>
                <w:rFonts w:ascii="Garamond" w:hAnsi="Garamond"/>
                <w:szCs w:val="22"/>
              </w:rPr>
            </w:pPr>
            <w:r w:rsidRPr="004A0C12">
              <w:rPr>
                <w:rFonts w:ascii="Garamond" w:hAnsi="Garamond"/>
                <w:szCs w:val="22"/>
              </w:rPr>
              <w:t>Prince George’s County Economic Development Corporation</w:t>
            </w:r>
          </w:p>
        </w:tc>
      </w:tr>
      <w:tr w:rsidR="0074457B" w:rsidRPr="004A0C12" w14:paraId="05C54D16" w14:textId="77777777" w:rsidTr="00C81EEA">
        <w:trPr>
          <w:cnfStyle w:val="000000100000" w:firstRow="0" w:lastRow="0" w:firstColumn="0" w:lastColumn="0" w:oddVBand="0" w:evenVBand="0" w:oddHBand="1" w:evenHBand="0" w:firstRowFirstColumn="0" w:firstRowLastColumn="0" w:lastRowFirstColumn="0" w:lastRowLastColumn="0"/>
          <w:trHeight w:val="1680"/>
        </w:trPr>
        <w:tc>
          <w:tcPr>
            <w:cnfStyle w:val="000010000000" w:firstRow="0" w:lastRow="0" w:firstColumn="0" w:lastColumn="0" w:oddVBand="1" w:evenVBand="0" w:oddHBand="0" w:evenHBand="0" w:firstRowFirstColumn="0" w:firstRowLastColumn="0" w:lastRowFirstColumn="0" w:lastRowLastColumn="0"/>
            <w:tcW w:w="529" w:type="dxa"/>
          </w:tcPr>
          <w:p w14:paraId="6B82ACC3"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31.</w:t>
            </w:r>
          </w:p>
        </w:tc>
        <w:tc>
          <w:tcPr>
            <w:tcW w:w="3644" w:type="dxa"/>
          </w:tcPr>
          <w:p w14:paraId="0F2AB6D8"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GED/National External Diploma Program and alternatives to these measures</w:t>
            </w:r>
          </w:p>
        </w:tc>
        <w:tc>
          <w:tcPr>
            <w:cnfStyle w:val="000010000000" w:firstRow="0" w:lastRow="0" w:firstColumn="0" w:lastColumn="0" w:oddVBand="1" w:evenVBand="0" w:oddHBand="0" w:evenHBand="0" w:firstRowFirstColumn="0" w:firstRowLastColumn="0" w:lastRowFirstColumn="0" w:lastRowLastColumn="0"/>
            <w:tcW w:w="6831" w:type="dxa"/>
          </w:tcPr>
          <w:p w14:paraId="74B535A3" w14:textId="77777777" w:rsidR="0074457B" w:rsidRPr="004A0C12" w:rsidRDefault="0074457B" w:rsidP="00F733CF">
            <w:pPr>
              <w:pStyle w:val="ListParagraph"/>
              <w:numPr>
                <w:ilvl w:val="0"/>
                <w:numId w:val="73"/>
              </w:numPr>
              <w:ind w:hanging="360"/>
              <w:rPr>
                <w:rFonts w:ascii="Garamond" w:hAnsi="Garamond"/>
                <w:szCs w:val="22"/>
              </w:rPr>
            </w:pPr>
            <w:r w:rsidRPr="004A0C12">
              <w:rPr>
                <w:rFonts w:ascii="Garamond" w:hAnsi="Garamond"/>
                <w:szCs w:val="22"/>
              </w:rPr>
              <w:t xml:space="preserve">Maryland Adult Learning Advisory Council </w:t>
            </w:r>
          </w:p>
          <w:p w14:paraId="66D79EC1" w14:textId="77777777" w:rsidR="0074457B" w:rsidRPr="004A0C12" w:rsidRDefault="0074457B" w:rsidP="00F733CF">
            <w:pPr>
              <w:pStyle w:val="ListParagraph"/>
              <w:numPr>
                <w:ilvl w:val="0"/>
                <w:numId w:val="73"/>
              </w:numPr>
              <w:ind w:hanging="360"/>
              <w:rPr>
                <w:rFonts w:ascii="Garamond" w:hAnsi="Garamond"/>
                <w:szCs w:val="22"/>
              </w:rPr>
            </w:pPr>
            <w:r w:rsidRPr="004A0C12">
              <w:rPr>
                <w:rFonts w:ascii="Garamond" w:hAnsi="Garamond"/>
                <w:szCs w:val="22"/>
              </w:rPr>
              <w:t>Maryland Association for Adult Community and Continuing Education</w:t>
            </w:r>
          </w:p>
          <w:p w14:paraId="78F24BB8" w14:textId="77777777" w:rsidR="0074457B" w:rsidRPr="004A0C12" w:rsidRDefault="0074457B" w:rsidP="00F733CF">
            <w:pPr>
              <w:numPr>
                <w:ilvl w:val="0"/>
                <w:numId w:val="73"/>
              </w:numPr>
              <w:ind w:hanging="360"/>
              <w:rPr>
                <w:rFonts w:ascii="Garamond" w:hAnsi="Garamond"/>
              </w:rPr>
            </w:pPr>
            <w:r w:rsidRPr="004A0C12">
              <w:rPr>
                <w:rFonts w:ascii="Garamond" w:hAnsi="Garamond"/>
              </w:rPr>
              <w:t>Maryland DLLR-Division of Workforce Development &amp; Adult Learning</w:t>
            </w:r>
          </w:p>
          <w:p w14:paraId="024FCA7B" w14:textId="77777777" w:rsidR="0074457B" w:rsidRPr="004A0C12" w:rsidRDefault="0074457B" w:rsidP="00F733CF">
            <w:pPr>
              <w:pStyle w:val="ListParagraph"/>
              <w:numPr>
                <w:ilvl w:val="0"/>
                <w:numId w:val="73"/>
              </w:numPr>
              <w:ind w:hanging="360"/>
              <w:rPr>
                <w:rFonts w:ascii="Garamond" w:hAnsi="Garamond"/>
                <w:szCs w:val="22"/>
              </w:rPr>
            </w:pPr>
            <w:r w:rsidRPr="004A0C12">
              <w:rPr>
                <w:rFonts w:ascii="Garamond" w:hAnsi="Garamond"/>
                <w:szCs w:val="22"/>
              </w:rPr>
              <w:t>Maryland State Dept. of Education</w:t>
            </w:r>
          </w:p>
          <w:p w14:paraId="4A17953E" w14:textId="77777777" w:rsidR="0074457B" w:rsidRPr="004A0C12" w:rsidRDefault="0074457B" w:rsidP="00F733CF">
            <w:pPr>
              <w:pStyle w:val="ListParagraph"/>
              <w:numPr>
                <w:ilvl w:val="0"/>
                <w:numId w:val="73"/>
              </w:numPr>
              <w:ind w:hanging="360"/>
              <w:rPr>
                <w:rFonts w:ascii="Garamond" w:hAnsi="Garamond"/>
                <w:szCs w:val="22"/>
              </w:rPr>
            </w:pPr>
            <w:r w:rsidRPr="004A0C12">
              <w:rPr>
                <w:rFonts w:ascii="Garamond" w:hAnsi="Garamond"/>
                <w:szCs w:val="22"/>
              </w:rPr>
              <w:t>Maryland State Board of Education</w:t>
            </w:r>
          </w:p>
        </w:tc>
      </w:tr>
      <w:tr w:rsidR="0074457B" w:rsidRPr="004A0C12" w14:paraId="7351A49B" w14:textId="77777777" w:rsidTr="00C81EEA">
        <w:trPr>
          <w:trHeight w:val="960"/>
        </w:trPr>
        <w:tc>
          <w:tcPr>
            <w:cnfStyle w:val="000010000000" w:firstRow="0" w:lastRow="0" w:firstColumn="0" w:lastColumn="0" w:oddVBand="1" w:evenVBand="0" w:oddHBand="0" w:evenHBand="0" w:firstRowFirstColumn="0" w:firstRowLastColumn="0" w:lastRowFirstColumn="0" w:lastRowLastColumn="0"/>
            <w:tcW w:w="529" w:type="dxa"/>
          </w:tcPr>
          <w:p w14:paraId="7D2AFC23"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t>32.</w:t>
            </w:r>
          </w:p>
        </w:tc>
        <w:tc>
          <w:tcPr>
            <w:tcW w:w="3644" w:type="dxa"/>
          </w:tcPr>
          <w:p w14:paraId="7517BEED" w14:textId="77777777" w:rsidR="0074457B" w:rsidRPr="004A0C12" w:rsidRDefault="0074457B" w:rsidP="00C81EEA">
            <w:pPr>
              <w:pStyle w:val="ListParagraph"/>
              <w:ind w:left="0"/>
              <w:cnfStyle w:val="000000000000" w:firstRow="0" w:lastRow="0" w:firstColumn="0" w:lastColumn="0" w:oddVBand="0" w:evenVBand="0" w:oddHBand="0" w:evenHBand="0" w:firstRowFirstColumn="0" w:firstRowLastColumn="0" w:lastRowFirstColumn="0" w:lastRowLastColumn="0"/>
              <w:rPr>
                <w:rFonts w:ascii="Garamond" w:hAnsi="Garamond"/>
                <w:szCs w:val="22"/>
              </w:rPr>
            </w:pPr>
            <w:r w:rsidRPr="004A0C12">
              <w:rPr>
                <w:rFonts w:ascii="Garamond" w:hAnsi="Garamond"/>
                <w:szCs w:val="22"/>
              </w:rPr>
              <w:t>Addressing the growing out of school population to increase graduation rates</w:t>
            </w:r>
          </w:p>
        </w:tc>
        <w:tc>
          <w:tcPr>
            <w:cnfStyle w:val="000010000000" w:firstRow="0" w:lastRow="0" w:firstColumn="0" w:lastColumn="0" w:oddVBand="1" w:evenVBand="0" w:oddHBand="0" w:evenHBand="0" w:firstRowFirstColumn="0" w:firstRowLastColumn="0" w:lastRowFirstColumn="0" w:lastRowLastColumn="0"/>
            <w:tcW w:w="6831" w:type="dxa"/>
          </w:tcPr>
          <w:p w14:paraId="2B047FD0" w14:textId="77777777" w:rsidR="0074457B" w:rsidRPr="004A0C12" w:rsidRDefault="0074457B" w:rsidP="00F733CF">
            <w:pPr>
              <w:numPr>
                <w:ilvl w:val="0"/>
                <w:numId w:val="74"/>
              </w:numPr>
              <w:ind w:hanging="360"/>
              <w:rPr>
                <w:rFonts w:ascii="Garamond" w:hAnsi="Garamond"/>
              </w:rPr>
            </w:pPr>
            <w:r w:rsidRPr="004A0C12">
              <w:rPr>
                <w:rFonts w:ascii="Garamond" w:hAnsi="Garamond"/>
              </w:rPr>
              <w:t xml:space="preserve">Goodwill Industries </w:t>
            </w:r>
          </w:p>
          <w:p w14:paraId="66A80FD3" w14:textId="77777777" w:rsidR="0074457B" w:rsidRPr="004A0C12" w:rsidRDefault="0074457B" w:rsidP="00F733CF">
            <w:pPr>
              <w:numPr>
                <w:ilvl w:val="0"/>
                <w:numId w:val="74"/>
              </w:numPr>
              <w:ind w:hanging="360"/>
              <w:rPr>
                <w:rFonts w:ascii="Garamond" w:hAnsi="Garamond"/>
              </w:rPr>
            </w:pPr>
            <w:r w:rsidRPr="004A0C12">
              <w:rPr>
                <w:rFonts w:ascii="Garamond" w:hAnsi="Garamond"/>
              </w:rPr>
              <w:t>Maryland DLLR-Division of Workforce Development &amp; Adult Learning</w:t>
            </w:r>
          </w:p>
          <w:p w14:paraId="5873F382" w14:textId="77777777" w:rsidR="0074457B" w:rsidRPr="004A0C12" w:rsidRDefault="0074457B" w:rsidP="00F733CF">
            <w:pPr>
              <w:pStyle w:val="ListParagraph"/>
              <w:numPr>
                <w:ilvl w:val="0"/>
                <w:numId w:val="74"/>
              </w:numPr>
              <w:ind w:hanging="360"/>
              <w:rPr>
                <w:rFonts w:ascii="Garamond" w:hAnsi="Garamond"/>
                <w:szCs w:val="22"/>
              </w:rPr>
            </w:pPr>
            <w:r w:rsidRPr="004A0C12">
              <w:rPr>
                <w:rFonts w:ascii="Garamond" w:hAnsi="Garamond"/>
                <w:szCs w:val="22"/>
              </w:rPr>
              <w:t>Maryland State Dept. of Education</w:t>
            </w:r>
          </w:p>
        </w:tc>
      </w:tr>
      <w:tr w:rsidR="0074457B" w:rsidRPr="004A0C12" w14:paraId="6BB73777" w14:textId="77777777" w:rsidTr="00C81EEA">
        <w:trPr>
          <w:cnfStyle w:val="000000100000" w:firstRow="0" w:lastRow="0" w:firstColumn="0" w:lastColumn="0" w:oddVBand="0" w:evenVBand="0" w:oddHBand="1" w:evenHBand="0" w:firstRowFirstColumn="0" w:firstRowLastColumn="0" w:lastRowFirstColumn="0" w:lastRowLastColumn="0"/>
          <w:trHeight w:val="1200"/>
        </w:trPr>
        <w:tc>
          <w:tcPr>
            <w:cnfStyle w:val="000010000000" w:firstRow="0" w:lastRow="0" w:firstColumn="0" w:lastColumn="0" w:oddVBand="1" w:evenVBand="0" w:oddHBand="0" w:evenHBand="0" w:firstRowFirstColumn="0" w:firstRowLastColumn="0" w:lastRowFirstColumn="0" w:lastRowLastColumn="0"/>
            <w:tcW w:w="529" w:type="dxa"/>
          </w:tcPr>
          <w:p w14:paraId="1E24BB1B" w14:textId="77777777" w:rsidR="0074457B" w:rsidRPr="004A0C12" w:rsidRDefault="0074457B" w:rsidP="009F5EDD">
            <w:pPr>
              <w:pStyle w:val="ListParagraph"/>
              <w:ind w:left="0"/>
              <w:jc w:val="both"/>
              <w:rPr>
                <w:rFonts w:ascii="Garamond" w:hAnsi="Garamond"/>
                <w:b/>
                <w:szCs w:val="22"/>
              </w:rPr>
            </w:pPr>
            <w:r w:rsidRPr="004A0C12">
              <w:rPr>
                <w:rFonts w:ascii="Garamond" w:hAnsi="Garamond"/>
                <w:b/>
                <w:szCs w:val="22"/>
              </w:rPr>
              <w:lastRenderedPageBreak/>
              <w:t>33.</w:t>
            </w:r>
          </w:p>
        </w:tc>
        <w:tc>
          <w:tcPr>
            <w:tcW w:w="3644" w:type="dxa"/>
          </w:tcPr>
          <w:p w14:paraId="022ACAC3" w14:textId="77777777" w:rsidR="0074457B" w:rsidRPr="004A0C12" w:rsidRDefault="0074457B" w:rsidP="00C81EEA">
            <w:pPr>
              <w:pStyle w:val="ListParagraph"/>
              <w:ind w:left="0"/>
              <w:cnfStyle w:val="000000100000" w:firstRow="0" w:lastRow="0" w:firstColumn="0" w:lastColumn="0" w:oddVBand="0" w:evenVBand="0" w:oddHBand="1" w:evenHBand="0" w:firstRowFirstColumn="0" w:firstRowLastColumn="0" w:lastRowFirstColumn="0" w:lastRowLastColumn="0"/>
              <w:rPr>
                <w:rFonts w:ascii="Garamond" w:hAnsi="Garamond"/>
                <w:szCs w:val="22"/>
              </w:rPr>
            </w:pPr>
            <w:r w:rsidRPr="004A0C12">
              <w:rPr>
                <w:rFonts w:ascii="Garamond" w:hAnsi="Garamond"/>
                <w:szCs w:val="22"/>
              </w:rPr>
              <w:t xml:space="preserve">Work to develop policies to increase work study (School to Work) </w:t>
            </w:r>
          </w:p>
        </w:tc>
        <w:tc>
          <w:tcPr>
            <w:cnfStyle w:val="000010000000" w:firstRow="0" w:lastRow="0" w:firstColumn="0" w:lastColumn="0" w:oddVBand="1" w:evenVBand="0" w:oddHBand="0" w:evenHBand="0" w:firstRowFirstColumn="0" w:firstRowLastColumn="0" w:lastRowFirstColumn="0" w:lastRowLastColumn="0"/>
            <w:tcW w:w="6831" w:type="dxa"/>
          </w:tcPr>
          <w:p w14:paraId="3EB1470C" w14:textId="77777777" w:rsidR="0074457B" w:rsidRPr="004A0C12" w:rsidRDefault="0074457B" w:rsidP="00F733CF">
            <w:pPr>
              <w:numPr>
                <w:ilvl w:val="0"/>
                <w:numId w:val="75"/>
              </w:numPr>
              <w:ind w:hanging="360"/>
              <w:rPr>
                <w:rFonts w:ascii="Garamond" w:hAnsi="Garamond"/>
              </w:rPr>
            </w:pPr>
            <w:r w:rsidRPr="004A0C12">
              <w:rPr>
                <w:rFonts w:ascii="Garamond" w:hAnsi="Garamond"/>
              </w:rPr>
              <w:t xml:space="preserve">Maryland Dept. of Disabilities </w:t>
            </w:r>
          </w:p>
          <w:p w14:paraId="31FF77A5" w14:textId="77777777" w:rsidR="0074457B" w:rsidRPr="004A0C12" w:rsidRDefault="0074457B" w:rsidP="00F733CF">
            <w:pPr>
              <w:numPr>
                <w:ilvl w:val="0"/>
                <w:numId w:val="75"/>
              </w:numPr>
              <w:ind w:hanging="360"/>
              <w:rPr>
                <w:rFonts w:ascii="Garamond" w:hAnsi="Garamond"/>
              </w:rPr>
            </w:pPr>
            <w:r w:rsidRPr="004A0C12">
              <w:rPr>
                <w:rFonts w:ascii="Garamond" w:hAnsi="Garamond"/>
              </w:rPr>
              <w:t>Maryland DLLR-Division of Workforce Development &amp; Adult Learning</w:t>
            </w:r>
          </w:p>
          <w:p w14:paraId="309DCF15" w14:textId="77777777" w:rsidR="0074457B" w:rsidRPr="004A0C12" w:rsidRDefault="0074457B" w:rsidP="00F733CF">
            <w:pPr>
              <w:pStyle w:val="ListParagraph"/>
              <w:numPr>
                <w:ilvl w:val="0"/>
                <w:numId w:val="75"/>
              </w:numPr>
              <w:ind w:hanging="360"/>
              <w:rPr>
                <w:rFonts w:ascii="Garamond" w:hAnsi="Garamond"/>
                <w:szCs w:val="22"/>
              </w:rPr>
            </w:pPr>
            <w:r w:rsidRPr="004A0C12">
              <w:rPr>
                <w:rFonts w:ascii="Garamond" w:hAnsi="Garamond"/>
                <w:szCs w:val="22"/>
              </w:rPr>
              <w:t>Maryland State Dept. of Education</w:t>
            </w:r>
          </w:p>
          <w:p w14:paraId="311E1FD0" w14:textId="77777777" w:rsidR="0074457B" w:rsidRPr="004A0C12" w:rsidRDefault="0074457B" w:rsidP="00F733CF">
            <w:pPr>
              <w:pStyle w:val="ListParagraph"/>
              <w:numPr>
                <w:ilvl w:val="0"/>
                <w:numId w:val="75"/>
              </w:numPr>
              <w:ind w:hanging="360"/>
              <w:rPr>
                <w:rFonts w:ascii="Garamond" w:hAnsi="Garamond"/>
                <w:szCs w:val="22"/>
              </w:rPr>
            </w:pPr>
            <w:r w:rsidRPr="004A0C12">
              <w:rPr>
                <w:rFonts w:ascii="Garamond" w:hAnsi="Garamond"/>
                <w:szCs w:val="22"/>
              </w:rPr>
              <w:t>Governor’s Workforce Investment Board</w:t>
            </w:r>
          </w:p>
        </w:tc>
      </w:tr>
    </w:tbl>
    <w:p w14:paraId="6ED7C651" w14:textId="77777777" w:rsidR="0074457B" w:rsidRPr="004A0C12" w:rsidRDefault="0074457B" w:rsidP="0074457B">
      <w:pPr>
        <w:pStyle w:val="ListParagraph"/>
        <w:spacing w:before="100" w:beforeAutospacing="1"/>
        <w:ind w:left="0"/>
        <w:jc w:val="both"/>
        <w:rPr>
          <w:rFonts w:ascii="Garamond" w:hAnsi="Garamond"/>
          <w:szCs w:val="22"/>
        </w:rPr>
      </w:pPr>
      <w:r w:rsidRPr="004A0C12">
        <w:rPr>
          <w:rFonts w:ascii="Garamond" w:hAnsi="Garamond"/>
          <w:szCs w:val="22"/>
        </w:rPr>
        <w:t xml:space="preserve">These collaborative, comprehensive policy efforts build on and leverage state policies that promote a systems approach to implementing WIOA. Maryland will continue to build partnerships that will ensure the development of effective policies to support the State’s strategies. </w:t>
      </w:r>
    </w:p>
    <w:p w14:paraId="6CB5FA5B" w14:textId="77777777" w:rsidR="0054168E" w:rsidRPr="00B25499" w:rsidRDefault="0074457B" w:rsidP="0054168E">
      <w:pPr>
        <w:pStyle w:val="Heading2"/>
        <w:spacing w:line="240" w:lineRule="auto"/>
        <w:contextualSpacing/>
        <w:rPr>
          <w:rFonts w:ascii="Garamond" w:hAnsi="Garamond"/>
          <w:sz w:val="28"/>
          <w:szCs w:val="28"/>
        </w:rPr>
      </w:pPr>
      <w:bookmarkStart w:id="80" w:name="_Toc447276124"/>
      <w:r w:rsidRPr="00B25499">
        <w:rPr>
          <w:rFonts w:ascii="Garamond" w:hAnsi="Garamond"/>
          <w:sz w:val="28"/>
          <w:szCs w:val="28"/>
        </w:rPr>
        <w:t>MARYLAND WIOA STATE AGENCIES ORGANIZATION</w:t>
      </w:r>
      <w:bookmarkEnd w:id="80"/>
    </w:p>
    <w:p w14:paraId="7B803087" w14:textId="77777777" w:rsidR="002F156B" w:rsidRPr="004A0C12" w:rsidRDefault="002F156B" w:rsidP="002F156B">
      <w:pPr>
        <w:spacing w:after="100" w:line="240" w:lineRule="auto"/>
        <w:rPr>
          <w:rFonts w:ascii="Garamond" w:eastAsia="Times New Roman" w:hAnsi="Garamond" w:cs="Times New Roman"/>
        </w:rPr>
      </w:pPr>
      <w:r w:rsidRPr="004A0C12">
        <w:rPr>
          <w:rFonts w:ascii="Garamond" w:eastAsia="Times New Roman" w:hAnsi="Garamond" w:cs="Times New Roman"/>
          <w:color w:val="000000"/>
        </w:rPr>
        <w:t>For the first time in the State’s history, Maryland has submitted a Combined State Plan that was careful to include the workforce functions of three state agencies: the Department of Labor, Licensing and Regulation (DLLR), the Department of Human Resources (DHR) as the agency charged with administration of Maryland’s Temporary Assistance for Needy Families (TANF) program, and the Maryland State Department of Education’s Division of Rehabilitation Services (DORS) as the agency charged with administration of the State’s vocational rehabilitation program.</w:t>
      </w:r>
    </w:p>
    <w:p w14:paraId="16282AF6" w14:textId="04E9D11C" w:rsidR="0054168E" w:rsidRPr="004A0C12" w:rsidRDefault="00917D14" w:rsidP="0054168E">
      <w:pPr>
        <w:pStyle w:val="BodyText"/>
        <w:rPr>
          <w:rFonts w:ascii="Garamond" w:hAnsi="Garamond" w:cs="Times New Roman"/>
        </w:rPr>
      </w:pPr>
      <w:r w:rsidRPr="004A0C12">
        <w:rPr>
          <w:rFonts w:ascii="Garamond" w:hAnsi="Garamond" w:cs="Times New Roman"/>
        </w:rPr>
        <w:t>Three Maryland State a</w:t>
      </w:r>
      <w:r w:rsidR="0074457B" w:rsidRPr="004A0C12">
        <w:rPr>
          <w:rFonts w:ascii="Garamond" w:hAnsi="Garamond" w:cs="Times New Roman"/>
        </w:rPr>
        <w:t>gencies are responsible for administration and oversight of the WIOA System:</w:t>
      </w:r>
    </w:p>
    <w:p w14:paraId="5D7C9A44" w14:textId="77777777" w:rsidR="0074457B" w:rsidRPr="004A0C12" w:rsidRDefault="0074457B" w:rsidP="00F733CF">
      <w:pPr>
        <w:numPr>
          <w:ilvl w:val="0"/>
          <w:numId w:val="76"/>
        </w:numPr>
        <w:tabs>
          <w:tab w:val="clear" w:pos="360"/>
          <w:tab w:val="num" w:pos="720"/>
        </w:tabs>
        <w:spacing w:before="100" w:beforeAutospacing="1" w:after="0" w:line="240" w:lineRule="auto"/>
        <w:ind w:left="720" w:hanging="360"/>
        <w:contextualSpacing/>
        <w:rPr>
          <w:rFonts w:ascii="Garamond" w:hAnsi="Garamond"/>
        </w:rPr>
      </w:pPr>
      <w:r w:rsidRPr="004A0C12">
        <w:rPr>
          <w:rFonts w:ascii="Garamond" w:hAnsi="Garamond"/>
        </w:rPr>
        <w:t>Maryland Department of Labor, Licensing and Regulation – Division of Workforce Development &amp; Adult Learning</w:t>
      </w:r>
    </w:p>
    <w:p w14:paraId="1036F966" w14:textId="77777777" w:rsidR="0074457B" w:rsidRPr="004A0C12" w:rsidRDefault="0074457B" w:rsidP="00F733CF">
      <w:pPr>
        <w:numPr>
          <w:ilvl w:val="0"/>
          <w:numId w:val="76"/>
        </w:numPr>
        <w:tabs>
          <w:tab w:val="clear" w:pos="360"/>
          <w:tab w:val="num" w:pos="720"/>
        </w:tabs>
        <w:spacing w:before="100" w:beforeAutospacing="1" w:after="0" w:line="240" w:lineRule="auto"/>
        <w:ind w:left="720" w:hanging="360"/>
        <w:contextualSpacing/>
        <w:rPr>
          <w:rFonts w:ascii="Garamond" w:hAnsi="Garamond"/>
        </w:rPr>
      </w:pPr>
      <w:r w:rsidRPr="004A0C12">
        <w:rPr>
          <w:rFonts w:ascii="Garamond" w:hAnsi="Garamond"/>
        </w:rPr>
        <w:t>Maryland State Department of Education – Division of Rehabilitation Services</w:t>
      </w:r>
    </w:p>
    <w:p w14:paraId="280A779A" w14:textId="77777777" w:rsidR="0074457B" w:rsidRPr="004A0C12" w:rsidRDefault="0074457B" w:rsidP="00F733CF">
      <w:pPr>
        <w:numPr>
          <w:ilvl w:val="0"/>
          <w:numId w:val="76"/>
        </w:numPr>
        <w:tabs>
          <w:tab w:val="clear" w:pos="360"/>
          <w:tab w:val="num" w:pos="720"/>
        </w:tabs>
        <w:spacing w:before="100" w:beforeAutospacing="1" w:after="0" w:line="240" w:lineRule="auto"/>
        <w:ind w:left="720" w:hanging="360"/>
        <w:contextualSpacing/>
        <w:rPr>
          <w:rFonts w:ascii="Garamond" w:hAnsi="Garamond"/>
        </w:rPr>
      </w:pPr>
      <w:r w:rsidRPr="004A0C12">
        <w:rPr>
          <w:rFonts w:ascii="Garamond" w:hAnsi="Garamond"/>
        </w:rPr>
        <w:t>Maryland Division of Human Resources – Family Investment Administration</w:t>
      </w:r>
    </w:p>
    <w:p w14:paraId="1E04D2EC" w14:textId="77777777" w:rsidR="0054168E" w:rsidRPr="004A0C12" w:rsidRDefault="0054168E" w:rsidP="0054168E">
      <w:pPr>
        <w:spacing w:before="100" w:beforeAutospacing="1" w:after="0" w:line="240" w:lineRule="auto"/>
        <w:ind w:left="720"/>
        <w:contextualSpacing/>
        <w:rPr>
          <w:rFonts w:ascii="Garamond" w:hAnsi="Garamond"/>
        </w:rPr>
      </w:pPr>
    </w:p>
    <w:p w14:paraId="349B159B" w14:textId="21B84A55" w:rsidR="0074457B" w:rsidRPr="004A0C12" w:rsidRDefault="0074457B" w:rsidP="0054168E">
      <w:pPr>
        <w:spacing w:before="100" w:beforeAutospacing="1" w:after="0" w:line="240" w:lineRule="auto"/>
        <w:contextualSpacing/>
        <w:rPr>
          <w:rFonts w:ascii="Garamond" w:hAnsi="Garamond"/>
        </w:rPr>
      </w:pPr>
      <w:r w:rsidRPr="004A0C12">
        <w:rPr>
          <w:rFonts w:ascii="Garamond" w:hAnsi="Garamond"/>
        </w:rPr>
        <w:t>The following section details both the State and local organization and delivery systems for the Maryland’s WIOA programs.  Appendix B provid</w:t>
      </w:r>
      <w:r w:rsidR="00917D14" w:rsidRPr="004A0C12">
        <w:rPr>
          <w:rFonts w:ascii="Garamond" w:hAnsi="Garamond"/>
        </w:rPr>
        <w:t xml:space="preserve">es organizational charts to supplement </w:t>
      </w:r>
      <w:r w:rsidRPr="004A0C12">
        <w:rPr>
          <w:rFonts w:ascii="Garamond" w:hAnsi="Garamond"/>
        </w:rPr>
        <w:t xml:space="preserve">this explanation.  </w:t>
      </w:r>
    </w:p>
    <w:p w14:paraId="3C9899CD" w14:textId="77777777" w:rsidR="009F5EDD" w:rsidRPr="00B25499" w:rsidRDefault="009F5EDD" w:rsidP="009F5EDD">
      <w:pPr>
        <w:pStyle w:val="Heading3"/>
        <w:spacing w:before="0" w:line="240" w:lineRule="auto"/>
        <w:rPr>
          <w:rFonts w:ascii="Garamond" w:hAnsi="Garamond"/>
          <w:sz w:val="24"/>
          <w:szCs w:val="24"/>
        </w:rPr>
      </w:pPr>
    </w:p>
    <w:p w14:paraId="455113AE" w14:textId="3677BA6F" w:rsidR="0074457B" w:rsidRPr="00B25499" w:rsidRDefault="0074457B" w:rsidP="009F5EDD">
      <w:pPr>
        <w:pStyle w:val="Heading3"/>
        <w:spacing w:before="0" w:line="240" w:lineRule="auto"/>
        <w:rPr>
          <w:rFonts w:ascii="Garamond" w:hAnsi="Garamond"/>
          <w:sz w:val="24"/>
          <w:szCs w:val="24"/>
        </w:rPr>
      </w:pPr>
      <w:bookmarkStart w:id="81" w:name="_Toc447276125"/>
      <w:r w:rsidRPr="00B25499">
        <w:rPr>
          <w:rFonts w:ascii="Garamond" w:hAnsi="Garamond"/>
          <w:sz w:val="24"/>
          <w:szCs w:val="24"/>
        </w:rPr>
        <w:t>Dept. of Labor, Licensing &amp; Regulation – Division of Workforce Development &amp; Adult Learning</w:t>
      </w:r>
      <w:bookmarkEnd w:id="81"/>
    </w:p>
    <w:p w14:paraId="40EEE779" w14:textId="77777777" w:rsidR="002F156B" w:rsidRPr="004A0C12" w:rsidRDefault="002F156B" w:rsidP="002F156B">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Administration of the majority of the programs set forth in this Combined State Workforce Plan is the responsibility of the Department of Labor, Licensing and Regulation’s Division of Workforce Development and Adult Learning. The Division administers the WIOA Title I, Title II, and Wagner- Peyser Programs. The Division also administers the Trade Adjustment Assistance Act </w:t>
      </w:r>
      <w:proofErr w:type="gramStart"/>
      <w:r w:rsidRPr="004A0C12">
        <w:rPr>
          <w:rFonts w:ascii="Garamond" w:hAnsi="Garamond"/>
          <w:color w:val="000000"/>
          <w:sz w:val="22"/>
          <w:szCs w:val="22"/>
        </w:rPr>
        <w:t>program,</w:t>
      </w:r>
      <w:proofErr w:type="gramEnd"/>
      <w:r w:rsidRPr="004A0C12">
        <w:rPr>
          <w:rFonts w:ascii="Garamond" w:hAnsi="Garamond"/>
          <w:color w:val="000000"/>
          <w:sz w:val="22"/>
          <w:szCs w:val="22"/>
        </w:rPr>
        <w:t xml:space="preserve"> and the Jobs for Veterans State Grant Program.</w:t>
      </w:r>
    </w:p>
    <w:p w14:paraId="2832EE4A" w14:textId="77777777" w:rsidR="002F156B" w:rsidRPr="004A0C12" w:rsidRDefault="002F156B" w:rsidP="002F156B">
      <w:pPr>
        <w:pStyle w:val="NormalWeb"/>
        <w:spacing w:before="0" w:beforeAutospacing="0" w:afterAutospacing="0"/>
        <w:rPr>
          <w:rFonts w:ascii="Garamond" w:hAnsi="Garamond"/>
          <w:sz w:val="22"/>
          <w:szCs w:val="22"/>
        </w:rPr>
      </w:pPr>
      <w:r w:rsidRPr="004A0C12">
        <w:rPr>
          <w:rFonts w:ascii="Garamond" w:hAnsi="Garamond"/>
          <w:color w:val="000000"/>
          <w:sz w:val="22"/>
          <w:szCs w:val="22"/>
        </w:rPr>
        <w:t>The Division coordinates the efforts of Maryland’s 32 American Job Centers, which provide comprehensive services to both jobseekers and businesses. While jobseekers are offered a wide range of career and training services, businesses are provided with numerous types of assistance and growth services. The Division’s Dislocated Worker Services unit provides centralized oversight and administration of Maryland’s Rapid Response and Trade Assistance Act (Trade) Program activities.</w:t>
      </w:r>
    </w:p>
    <w:p w14:paraId="51CC4CF1" w14:textId="44EC64D9" w:rsidR="002F156B" w:rsidRPr="004A0C12" w:rsidRDefault="002F156B" w:rsidP="00AD2026">
      <w:pPr>
        <w:rPr>
          <w:rFonts w:ascii="Garamond" w:hAnsi="Garamond"/>
        </w:rPr>
      </w:pPr>
      <w:r w:rsidRPr="004A0C12">
        <w:rPr>
          <w:rFonts w:ascii="Garamond" w:hAnsi="Garamond"/>
          <w:color w:val="000000"/>
        </w:rPr>
        <w:t>The Division also has a number of specialized offices focused on the diverse needs of Maryland’s businesses and jobseekers.</w:t>
      </w:r>
    </w:p>
    <w:p w14:paraId="526CDB9E" w14:textId="77777777" w:rsidR="0074457B" w:rsidRPr="004A0C12" w:rsidRDefault="0074457B" w:rsidP="009F5EDD">
      <w:pPr>
        <w:spacing w:after="0" w:line="240" w:lineRule="auto"/>
        <w:jc w:val="both"/>
        <w:rPr>
          <w:rFonts w:ascii="Garamond" w:hAnsi="Garamond"/>
        </w:rPr>
      </w:pPr>
      <w:r w:rsidRPr="004A0C12">
        <w:rPr>
          <w:rFonts w:ascii="Garamond" w:hAnsi="Garamond"/>
        </w:rPr>
        <w:t xml:space="preserve">Maryland’s employment and training programs comprise a workforce system that serves the businesses and jobseekers of our State.  Among other workforce programs, DLLR’s Division of Workforce Development and Adult Learning (DWDAL) </w:t>
      </w:r>
      <w:proofErr w:type="gramStart"/>
      <w:r w:rsidRPr="004A0C12">
        <w:rPr>
          <w:rFonts w:ascii="Garamond" w:hAnsi="Garamond"/>
        </w:rPr>
        <w:t>administers</w:t>
      </w:r>
      <w:proofErr w:type="gramEnd"/>
      <w:r w:rsidRPr="004A0C12">
        <w:rPr>
          <w:rFonts w:ascii="Garamond" w:hAnsi="Garamond"/>
        </w:rPr>
        <w:t xml:space="preserve"> the WIOA Title I, Title II, and Wagner-Peyser Programs. To provide support and oversight DWDAL offers: </w:t>
      </w:r>
    </w:p>
    <w:p w14:paraId="35321B55" w14:textId="409034F1" w:rsidR="0074457B" w:rsidRPr="004A0C12" w:rsidRDefault="0074457B" w:rsidP="00F733CF">
      <w:pPr>
        <w:numPr>
          <w:ilvl w:val="0"/>
          <w:numId w:val="77"/>
        </w:numPr>
        <w:tabs>
          <w:tab w:val="clear" w:pos="360"/>
          <w:tab w:val="num" w:pos="720"/>
        </w:tabs>
        <w:spacing w:before="100" w:beforeAutospacing="1" w:after="0" w:line="240" w:lineRule="auto"/>
        <w:ind w:left="720" w:hanging="360"/>
        <w:jc w:val="both"/>
        <w:rPr>
          <w:rFonts w:ascii="Garamond" w:hAnsi="Garamond"/>
        </w:rPr>
      </w:pPr>
      <w:r w:rsidRPr="004A0C12">
        <w:rPr>
          <w:rFonts w:ascii="Garamond" w:hAnsi="Garamond"/>
        </w:rPr>
        <w:t>Oversight of the State’s WIOA Planning Regions that consist of the State</w:t>
      </w:r>
      <w:r w:rsidR="00C81EEA" w:rsidRPr="004A0C12">
        <w:rPr>
          <w:rFonts w:ascii="Garamond" w:hAnsi="Garamond"/>
        </w:rPr>
        <w:t>’s twelve local workforce areas</w:t>
      </w:r>
      <w:r w:rsidRPr="004A0C12">
        <w:rPr>
          <w:rFonts w:ascii="Garamond" w:hAnsi="Garamond"/>
        </w:rPr>
        <w:t xml:space="preserve"> </w:t>
      </w:r>
    </w:p>
    <w:p w14:paraId="5E4F6B09" w14:textId="358DED18" w:rsidR="0074457B" w:rsidRPr="004A0C12" w:rsidRDefault="0074457B" w:rsidP="00F733CF">
      <w:pPr>
        <w:numPr>
          <w:ilvl w:val="0"/>
          <w:numId w:val="77"/>
        </w:numPr>
        <w:tabs>
          <w:tab w:val="clear" w:pos="360"/>
          <w:tab w:val="num" w:pos="720"/>
        </w:tabs>
        <w:spacing w:before="100" w:beforeAutospacing="1" w:after="0" w:line="240" w:lineRule="auto"/>
        <w:ind w:left="720" w:hanging="360"/>
        <w:jc w:val="both"/>
        <w:rPr>
          <w:rFonts w:ascii="Garamond" w:hAnsi="Garamond"/>
        </w:rPr>
      </w:pPr>
      <w:r w:rsidRPr="004A0C12">
        <w:rPr>
          <w:rFonts w:ascii="Garamond" w:hAnsi="Garamond"/>
        </w:rPr>
        <w:t xml:space="preserve">Guidance to Local Workforce Development Boards on the Development of Regional and Local Plans that support </w:t>
      </w:r>
      <w:r w:rsidR="00C81EEA" w:rsidRPr="004A0C12">
        <w:rPr>
          <w:rFonts w:ascii="Garamond" w:hAnsi="Garamond"/>
        </w:rPr>
        <w:t>the Governor’s vision and goals</w:t>
      </w:r>
    </w:p>
    <w:p w14:paraId="27CA2C56" w14:textId="4E95F5D9" w:rsidR="0074457B" w:rsidRPr="004A0C12" w:rsidRDefault="0074457B" w:rsidP="00F733CF">
      <w:pPr>
        <w:numPr>
          <w:ilvl w:val="0"/>
          <w:numId w:val="77"/>
        </w:numPr>
        <w:tabs>
          <w:tab w:val="clear" w:pos="360"/>
          <w:tab w:val="num" w:pos="720"/>
        </w:tabs>
        <w:spacing w:before="100" w:beforeAutospacing="1" w:after="0" w:line="240" w:lineRule="auto"/>
        <w:ind w:left="720" w:hanging="360"/>
        <w:jc w:val="both"/>
        <w:rPr>
          <w:rFonts w:ascii="Garamond" w:hAnsi="Garamond"/>
        </w:rPr>
      </w:pPr>
      <w:r w:rsidRPr="004A0C12">
        <w:rPr>
          <w:rFonts w:ascii="Garamond" w:hAnsi="Garamond"/>
        </w:rPr>
        <w:t>Policies and Procedures that guide th</w:t>
      </w:r>
      <w:r w:rsidR="00C81EEA" w:rsidRPr="004A0C12">
        <w:rPr>
          <w:rFonts w:ascii="Garamond" w:hAnsi="Garamond"/>
        </w:rPr>
        <w:t>e overall workforce system</w:t>
      </w:r>
      <w:r w:rsidRPr="004A0C12">
        <w:rPr>
          <w:rFonts w:ascii="Garamond" w:hAnsi="Garamond"/>
        </w:rPr>
        <w:t xml:space="preserve"> </w:t>
      </w:r>
    </w:p>
    <w:p w14:paraId="1213A095" w14:textId="6EBAB28C" w:rsidR="0074457B" w:rsidRPr="004A0C12" w:rsidRDefault="0074457B" w:rsidP="00F733CF">
      <w:pPr>
        <w:numPr>
          <w:ilvl w:val="0"/>
          <w:numId w:val="77"/>
        </w:numPr>
        <w:tabs>
          <w:tab w:val="clear" w:pos="360"/>
          <w:tab w:val="num" w:pos="720"/>
        </w:tabs>
        <w:spacing w:before="100" w:beforeAutospacing="1" w:after="0" w:line="240" w:lineRule="auto"/>
        <w:ind w:left="720" w:hanging="360"/>
        <w:jc w:val="both"/>
        <w:rPr>
          <w:rFonts w:ascii="Garamond" w:hAnsi="Garamond"/>
        </w:rPr>
      </w:pPr>
      <w:r w:rsidRPr="004A0C12">
        <w:rPr>
          <w:rFonts w:ascii="Garamond" w:hAnsi="Garamond"/>
        </w:rPr>
        <w:t>Technical Assistance related to prog</w:t>
      </w:r>
      <w:r w:rsidR="00C81EEA" w:rsidRPr="004A0C12">
        <w:rPr>
          <w:rFonts w:ascii="Garamond" w:hAnsi="Garamond"/>
        </w:rPr>
        <w:t>ramming and system improvements</w:t>
      </w:r>
      <w:r w:rsidRPr="004A0C12">
        <w:rPr>
          <w:rFonts w:ascii="Garamond" w:hAnsi="Garamond"/>
        </w:rPr>
        <w:t xml:space="preserve"> </w:t>
      </w:r>
    </w:p>
    <w:p w14:paraId="5C688DBC" w14:textId="32123F70" w:rsidR="005C5961" w:rsidRPr="004A0C12" w:rsidRDefault="0074457B" w:rsidP="0054168E">
      <w:pPr>
        <w:pStyle w:val="PlainText1"/>
        <w:spacing w:before="100" w:beforeAutospacing="1"/>
        <w:jc w:val="both"/>
        <w:rPr>
          <w:rFonts w:ascii="Garamond" w:hAnsi="Garamond"/>
          <w:sz w:val="22"/>
          <w:szCs w:val="22"/>
        </w:rPr>
      </w:pPr>
      <w:r w:rsidRPr="004A0C12">
        <w:rPr>
          <w:rFonts w:ascii="Garamond" w:hAnsi="Garamond"/>
          <w:sz w:val="22"/>
          <w:szCs w:val="22"/>
        </w:rPr>
        <w:lastRenderedPageBreak/>
        <w:t>Maryland has twelve local workforce areas, which are governed by Local Workforce Development Boards (Local Boards). These local workforce areas administer much of the State’s public workforce system in collaboration with Wagner-Peyser funded staff, DLLR’s central offices, the Governor’s Workforce Investment Board, MSDE’s Division of Rehabilitation Services, and DHR. Other partners, such as community colleges, provide career and technical education</w:t>
      </w:r>
      <w:r w:rsidR="00C81EEA" w:rsidRPr="004A0C12">
        <w:rPr>
          <w:rFonts w:ascii="Garamond" w:hAnsi="Garamond"/>
          <w:sz w:val="22"/>
          <w:szCs w:val="22"/>
        </w:rPr>
        <w:t>,</w:t>
      </w:r>
      <w:r w:rsidRPr="004A0C12">
        <w:rPr>
          <w:rFonts w:ascii="Garamond" w:hAnsi="Garamond"/>
          <w:sz w:val="22"/>
          <w:szCs w:val="22"/>
        </w:rPr>
        <w:t xml:space="preserve"> and adult education services across Maryland. Case management and reporting related to employment services and labor market information are coordinated across the State through a statewide information and technology resource called the Maryland Workforce Exchange (MWE).</w:t>
      </w:r>
    </w:p>
    <w:p w14:paraId="011872E0" w14:textId="77777777" w:rsidR="005C5961" w:rsidRPr="004A0C12" w:rsidRDefault="005C5961" w:rsidP="005C5961">
      <w:pPr>
        <w:pStyle w:val="PlainText1"/>
        <w:jc w:val="both"/>
        <w:rPr>
          <w:rFonts w:ascii="Garamond" w:hAnsi="Garamond"/>
          <w:sz w:val="22"/>
          <w:szCs w:val="22"/>
        </w:rPr>
      </w:pPr>
    </w:p>
    <w:p w14:paraId="6AFCCEB4" w14:textId="77777777" w:rsidR="0074457B" w:rsidRPr="00B25499" w:rsidRDefault="0074457B" w:rsidP="009F5EDD">
      <w:pPr>
        <w:pStyle w:val="Heading4"/>
        <w:spacing w:before="0" w:line="240" w:lineRule="auto"/>
        <w:rPr>
          <w:rFonts w:ascii="Garamond" w:hAnsi="Garamond"/>
          <w:sz w:val="24"/>
          <w:szCs w:val="24"/>
        </w:rPr>
      </w:pPr>
      <w:r w:rsidRPr="00B25499">
        <w:rPr>
          <w:rFonts w:ascii="Garamond" w:hAnsi="Garamond"/>
          <w:sz w:val="24"/>
          <w:szCs w:val="24"/>
        </w:rPr>
        <w:t xml:space="preserve">Office of the Assistant Secretary (OAS) </w:t>
      </w:r>
    </w:p>
    <w:p w14:paraId="7F92C22D" w14:textId="77777777" w:rsidR="0074457B" w:rsidRPr="004A0C12" w:rsidRDefault="0074457B" w:rsidP="009F5EDD">
      <w:pPr>
        <w:pStyle w:val="PlainText1"/>
        <w:jc w:val="both"/>
        <w:rPr>
          <w:rFonts w:ascii="Garamond" w:hAnsi="Garamond"/>
          <w:sz w:val="22"/>
          <w:szCs w:val="22"/>
        </w:rPr>
      </w:pPr>
      <w:r w:rsidRPr="004A0C12">
        <w:rPr>
          <w:rFonts w:ascii="Garamond" w:hAnsi="Garamond"/>
          <w:sz w:val="22"/>
          <w:szCs w:val="22"/>
        </w:rPr>
        <w:t xml:space="preserve">The Division of Workforce Development and Adult Learning (DWDAL) </w:t>
      </w:r>
      <w:proofErr w:type="gramStart"/>
      <w:r w:rsidRPr="004A0C12">
        <w:rPr>
          <w:rFonts w:ascii="Garamond" w:hAnsi="Garamond"/>
          <w:sz w:val="22"/>
          <w:szCs w:val="22"/>
        </w:rPr>
        <w:t>is</w:t>
      </w:r>
      <w:proofErr w:type="gramEnd"/>
      <w:r w:rsidRPr="004A0C12">
        <w:rPr>
          <w:rFonts w:ascii="Garamond" w:hAnsi="Garamond"/>
          <w:sz w:val="22"/>
          <w:szCs w:val="22"/>
        </w:rPr>
        <w:t xml:space="preserve"> managed by the Division’s Assistant Secretary. The Assistant Secretary provides day-to-day supervision of programmatic managers, as well as the strategic vision for the operations of Maryland’s workforce system. The office provides centralized oversight for the following: </w:t>
      </w:r>
    </w:p>
    <w:p w14:paraId="3C30430A" w14:textId="439DB918" w:rsidR="0074457B" w:rsidRPr="004A0C12" w:rsidRDefault="0074457B" w:rsidP="00F733CF">
      <w:pPr>
        <w:numPr>
          <w:ilvl w:val="0"/>
          <w:numId w:val="78"/>
        </w:numPr>
        <w:tabs>
          <w:tab w:val="clear" w:pos="360"/>
          <w:tab w:val="num" w:pos="720"/>
        </w:tabs>
        <w:spacing w:after="0" w:line="240" w:lineRule="auto"/>
        <w:ind w:left="720" w:hanging="360"/>
        <w:jc w:val="both"/>
        <w:rPr>
          <w:rFonts w:ascii="Garamond" w:hAnsi="Garamond"/>
        </w:rPr>
      </w:pPr>
      <w:r w:rsidRPr="004A0C12">
        <w:rPr>
          <w:rFonts w:ascii="Garamond" w:hAnsi="Garamond"/>
          <w:b/>
        </w:rPr>
        <w:t>Offic</w:t>
      </w:r>
      <w:r w:rsidR="00C81EEA" w:rsidRPr="004A0C12">
        <w:rPr>
          <w:rFonts w:ascii="Garamond" w:hAnsi="Garamond"/>
          <w:b/>
        </w:rPr>
        <w:t>e of Discretionary Grants (ODG)</w:t>
      </w:r>
      <w:r w:rsidR="00C81EEA" w:rsidRPr="004A0C12">
        <w:rPr>
          <w:rFonts w:ascii="Garamond" w:hAnsi="Garamond"/>
          <w:u w:val="single"/>
        </w:rPr>
        <w:t xml:space="preserve"> </w:t>
      </w:r>
      <w:r w:rsidRPr="004A0C12">
        <w:rPr>
          <w:rFonts w:ascii="Garamond" w:hAnsi="Garamond"/>
        </w:rPr>
        <w:t>is responsible for developing strategies and partnerships that provide a means for securing additional Federal and State funding through the competitive grant process. The ODG successfully secures competitive funds to enhance Maryland’s programs and services. Grants target dislocated workers, the long-term unemployed, veterans</w:t>
      </w:r>
      <w:r w:rsidR="00C81EEA" w:rsidRPr="004A0C12">
        <w:rPr>
          <w:rFonts w:ascii="Garamond" w:hAnsi="Garamond"/>
        </w:rPr>
        <w:t>,</w:t>
      </w:r>
      <w:r w:rsidRPr="004A0C12">
        <w:rPr>
          <w:rFonts w:ascii="Garamond" w:hAnsi="Garamond"/>
        </w:rPr>
        <w:t xml:space="preserve"> and other targeted populations. </w:t>
      </w:r>
    </w:p>
    <w:p w14:paraId="2288B8DE" w14:textId="77777777" w:rsidR="0074457B" w:rsidRPr="004A0C12" w:rsidRDefault="0074457B" w:rsidP="0074457B">
      <w:pPr>
        <w:spacing w:after="0" w:line="240" w:lineRule="auto"/>
        <w:ind w:left="720"/>
        <w:jc w:val="both"/>
        <w:rPr>
          <w:rFonts w:ascii="Garamond" w:hAnsi="Garamond"/>
        </w:rPr>
      </w:pPr>
    </w:p>
    <w:p w14:paraId="7228D524" w14:textId="77777777" w:rsidR="0074457B" w:rsidRPr="004A0C12" w:rsidRDefault="0074457B" w:rsidP="00F733CF">
      <w:pPr>
        <w:numPr>
          <w:ilvl w:val="0"/>
          <w:numId w:val="78"/>
        </w:numPr>
        <w:tabs>
          <w:tab w:val="clear" w:pos="360"/>
          <w:tab w:val="num" w:pos="720"/>
        </w:tabs>
        <w:spacing w:after="0" w:line="240" w:lineRule="auto"/>
        <w:ind w:left="720" w:hanging="360"/>
        <w:jc w:val="both"/>
        <w:rPr>
          <w:rFonts w:ascii="Garamond" w:hAnsi="Garamond"/>
          <w:u w:val="single"/>
        </w:rPr>
      </w:pPr>
      <w:r w:rsidRPr="004A0C12">
        <w:rPr>
          <w:rFonts w:ascii="Garamond" w:hAnsi="Garamond"/>
          <w:b/>
        </w:rPr>
        <w:t>Policy Director</w:t>
      </w:r>
      <w:r w:rsidRPr="004A0C12">
        <w:rPr>
          <w:rFonts w:ascii="Garamond" w:hAnsi="Garamond"/>
        </w:rPr>
        <w:t xml:space="preserve"> is responsible for leading policies through the process for policy development from beginning to end. When a need for policy is determined, the Director convenes stakeholders and subject matter experts in policy sessions to develop, draft, and implement the Division’s policies. The Director works closely with the leadership team and key stakeholders from the business and education community to ensure effective implementation of new laws, regulations, and guidance that affect DLLR DWDAL programs. </w:t>
      </w:r>
    </w:p>
    <w:p w14:paraId="2385C4A2" w14:textId="77777777" w:rsidR="0074457B" w:rsidRPr="004A0C12" w:rsidRDefault="0074457B" w:rsidP="0074457B">
      <w:pPr>
        <w:spacing w:after="0" w:line="240" w:lineRule="auto"/>
        <w:jc w:val="both"/>
        <w:rPr>
          <w:rFonts w:ascii="Garamond" w:hAnsi="Garamond"/>
          <w:u w:val="single"/>
        </w:rPr>
      </w:pPr>
    </w:p>
    <w:p w14:paraId="5DD54CBF" w14:textId="77777777" w:rsidR="0074457B" w:rsidRPr="004A0C12" w:rsidRDefault="0074457B" w:rsidP="00F733CF">
      <w:pPr>
        <w:numPr>
          <w:ilvl w:val="0"/>
          <w:numId w:val="78"/>
        </w:numPr>
        <w:tabs>
          <w:tab w:val="clear" w:pos="360"/>
          <w:tab w:val="num" w:pos="720"/>
        </w:tabs>
        <w:spacing w:after="0" w:line="240" w:lineRule="auto"/>
        <w:ind w:left="720" w:hanging="360"/>
        <w:jc w:val="both"/>
        <w:rPr>
          <w:rFonts w:ascii="Garamond" w:hAnsi="Garamond"/>
          <w:u w:val="single"/>
        </w:rPr>
      </w:pPr>
      <w:r w:rsidRPr="004A0C12">
        <w:rPr>
          <w:rFonts w:ascii="Garamond" w:hAnsi="Garamond"/>
          <w:b/>
        </w:rPr>
        <w:t>New Americans Workforce Program</w:t>
      </w:r>
      <w:r w:rsidRPr="004A0C12">
        <w:rPr>
          <w:rFonts w:ascii="Garamond" w:hAnsi="Garamond"/>
        </w:rPr>
        <w:t xml:space="preserve"> was created in 2010 in response to the recommendations of the Maryland Council for New Americans 2009 report, which sought to "expedite immigrant integration into the economic and civic life of the state."  Through frequent outreach and community engagement efforts, the New Americans Program provides information on the State's training and employment opportunities to those immigrants who call Maryland home. The Program further provides multilingual support for American Job Center staff. The New Americans Workforce Program promotes adult literacy and English language acquisition for immigrants including foreign </w:t>
      </w:r>
      <w:proofErr w:type="gramStart"/>
      <w:r w:rsidRPr="004A0C12">
        <w:rPr>
          <w:rFonts w:ascii="Garamond" w:hAnsi="Garamond"/>
        </w:rPr>
        <w:t>born  professionals</w:t>
      </w:r>
      <w:proofErr w:type="gramEnd"/>
      <w:r w:rsidRPr="004A0C12">
        <w:rPr>
          <w:rFonts w:ascii="Garamond" w:hAnsi="Garamond"/>
        </w:rPr>
        <w:t>.</w:t>
      </w:r>
    </w:p>
    <w:p w14:paraId="5AEE29AE" w14:textId="77777777" w:rsidR="0074457B" w:rsidRPr="004A0C12" w:rsidRDefault="0074457B" w:rsidP="0074457B">
      <w:pPr>
        <w:spacing w:after="0" w:line="240" w:lineRule="auto"/>
        <w:jc w:val="both"/>
        <w:rPr>
          <w:rFonts w:ascii="Garamond" w:hAnsi="Garamond"/>
          <w:u w:val="single"/>
        </w:rPr>
      </w:pPr>
    </w:p>
    <w:p w14:paraId="7DC1E06F" w14:textId="2BFA417A" w:rsidR="0074457B" w:rsidRPr="004A0C12" w:rsidRDefault="0074457B" w:rsidP="00F733CF">
      <w:pPr>
        <w:numPr>
          <w:ilvl w:val="0"/>
          <w:numId w:val="78"/>
        </w:numPr>
        <w:tabs>
          <w:tab w:val="clear" w:pos="360"/>
          <w:tab w:val="num" w:pos="720"/>
        </w:tabs>
        <w:spacing w:after="0" w:line="240" w:lineRule="auto"/>
        <w:ind w:left="720" w:hanging="360"/>
        <w:jc w:val="both"/>
        <w:rPr>
          <w:rFonts w:ascii="Garamond" w:hAnsi="Garamond"/>
        </w:rPr>
      </w:pPr>
      <w:r w:rsidRPr="004A0C12">
        <w:rPr>
          <w:rFonts w:ascii="Garamond" w:hAnsi="Garamond"/>
          <w:b/>
        </w:rPr>
        <w:t>Communications and Outreach Unit</w:t>
      </w:r>
      <w:r w:rsidRPr="004A0C12">
        <w:rPr>
          <w:rFonts w:ascii="Garamond" w:hAnsi="Garamond"/>
        </w:rPr>
        <w:t xml:space="preserve"> works in coordination with various internal and external departments and agencies to ensure that accurate, clear, and consistent messaging regarding DWDAL programs and services is effectively relayed to busi</w:t>
      </w:r>
      <w:r w:rsidR="00BB5F3C" w:rsidRPr="004A0C12">
        <w:rPr>
          <w:rFonts w:ascii="Garamond" w:hAnsi="Garamond"/>
        </w:rPr>
        <w:t>nesses, job</w:t>
      </w:r>
      <w:r w:rsidRPr="004A0C12">
        <w:rPr>
          <w:rFonts w:ascii="Garamond" w:hAnsi="Garamond"/>
        </w:rPr>
        <w:t xml:space="preserve">seekers, and the public.  </w:t>
      </w:r>
    </w:p>
    <w:p w14:paraId="11CBF591" w14:textId="77777777" w:rsidR="0074457B" w:rsidRPr="004A0C12" w:rsidRDefault="0074457B" w:rsidP="0074457B">
      <w:pPr>
        <w:spacing w:after="0" w:line="240" w:lineRule="auto"/>
        <w:jc w:val="both"/>
        <w:rPr>
          <w:rFonts w:ascii="Garamond" w:hAnsi="Garamond"/>
        </w:rPr>
      </w:pPr>
    </w:p>
    <w:p w14:paraId="58987D3D" w14:textId="776ADA9A" w:rsidR="0074457B" w:rsidRPr="004A0C12" w:rsidRDefault="0074457B" w:rsidP="00F733CF">
      <w:pPr>
        <w:numPr>
          <w:ilvl w:val="0"/>
          <w:numId w:val="78"/>
        </w:numPr>
        <w:tabs>
          <w:tab w:val="clear" w:pos="360"/>
          <w:tab w:val="num" w:pos="720"/>
        </w:tabs>
        <w:spacing w:after="0" w:line="240" w:lineRule="auto"/>
        <w:ind w:left="720" w:hanging="360"/>
        <w:jc w:val="both"/>
        <w:rPr>
          <w:rFonts w:ascii="Garamond" w:hAnsi="Garamond"/>
          <w:u w:val="single"/>
        </w:rPr>
      </w:pPr>
      <w:r w:rsidRPr="004A0C12">
        <w:rPr>
          <w:rFonts w:ascii="Garamond" w:hAnsi="Garamond"/>
          <w:b/>
        </w:rPr>
        <w:t>Monitoring &amp; Compliance Unit</w:t>
      </w:r>
      <w:r w:rsidR="00917D14" w:rsidRPr="004A0C12">
        <w:rPr>
          <w:rFonts w:ascii="Garamond" w:hAnsi="Garamond"/>
        </w:rPr>
        <w:t xml:space="preserve"> </w:t>
      </w:r>
      <w:r w:rsidRPr="004A0C12">
        <w:rPr>
          <w:rFonts w:ascii="Garamond" w:hAnsi="Garamond"/>
        </w:rPr>
        <w:t xml:space="preserve">provides fiscal and programmatic monitoring of local workforce and adult education entities to ensure compliance with applicable federal and State law. </w:t>
      </w:r>
    </w:p>
    <w:p w14:paraId="6D096486" w14:textId="77777777" w:rsidR="0074457B" w:rsidRPr="00B25499" w:rsidRDefault="0074457B" w:rsidP="0074457B">
      <w:pPr>
        <w:pStyle w:val="Heading4"/>
        <w:rPr>
          <w:rFonts w:ascii="Garamond" w:hAnsi="Garamond"/>
          <w:sz w:val="24"/>
          <w:szCs w:val="24"/>
        </w:rPr>
      </w:pPr>
      <w:r w:rsidRPr="00B25499">
        <w:rPr>
          <w:rFonts w:ascii="Garamond" w:hAnsi="Garamond"/>
          <w:sz w:val="24"/>
          <w:szCs w:val="24"/>
        </w:rPr>
        <w:t xml:space="preserve">Office of Workforce Development (OWD) </w:t>
      </w:r>
    </w:p>
    <w:p w14:paraId="1C6260F1" w14:textId="5D1B8D91" w:rsidR="0074457B" w:rsidRPr="004A0C12" w:rsidRDefault="0074457B" w:rsidP="00C81EEA">
      <w:pPr>
        <w:spacing w:line="240" w:lineRule="auto"/>
        <w:jc w:val="both"/>
        <w:rPr>
          <w:rFonts w:ascii="Garamond" w:hAnsi="Garamond"/>
        </w:rPr>
      </w:pPr>
      <w:r w:rsidRPr="004A0C12">
        <w:rPr>
          <w:rFonts w:ascii="Garamond" w:hAnsi="Garamond"/>
        </w:rPr>
        <w:t>The Office of Workforce Development (OWD) coordinates the efforts of Maryland’s American Job Centers. Maryland is home to 32 American Job Centers across the State</w:t>
      </w:r>
      <w:r w:rsidR="00C81EEA" w:rsidRPr="004A0C12">
        <w:rPr>
          <w:rFonts w:ascii="Garamond" w:hAnsi="Garamond"/>
        </w:rPr>
        <w:t xml:space="preserve"> </w:t>
      </w:r>
      <w:r w:rsidRPr="004A0C12">
        <w:rPr>
          <w:rFonts w:ascii="Garamond" w:hAnsi="Garamond"/>
        </w:rPr>
        <w:t>– all of which provide com</w:t>
      </w:r>
      <w:r w:rsidR="00917D14" w:rsidRPr="004A0C12">
        <w:rPr>
          <w:rFonts w:ascii="Garamond" w:hAnsi="Garamond"/>
        </w:rPr>
        <w:t>prehensive services to both job</w:t>
      </w:r>
      <w:r w:rsidRPr="004A0C12">
        <w:rPr>
          <w:rFonts w:ascii="Garamond" w:hAnsi="Garamond"/>
        </w:rPr>
        <w:t>se</w:t>
      </w:r>
      <w:r w:rsidR="00917D14" w:rsidRPr="004A0C12">
        <w:rPr>
          <w:rFonts w:ascii="Garamond" w:hAnsi="Garamond"/>
        </w:rPr>
        <w:t>ekers and businesses. While job</w:t>
      </w:r>
      <w:r w:rsidRPr="004A0C12">
        <w:rPr>
          <w:rFonts w:ascii="Garamond" w:hAnsi="Garamond"/>
        </w:rPr>
        <w:t>seekers are offered a wide range of career and training services, businesses are provided with numerous types of assistance and growth services.</w:t>
      </w:r>
    </w:p>
    <w:p w14:paraId="052DC590" w14:textId="77777777" w:rsidR="0074457B" w:rsidRPr="004A0C12" w:rsidRDefault="0074457B" w:rsidP="0074457B">
      <w:pPr>
        <w:spacing w:before="100" w:beforeAutospacing="1" w:after="0" w:line="240" w:lineRule="auto"/>
        <w:jc w:val="both"/>
        <w:rPr>
          <w:rFonts w:ascii="Garamond" w:hAnsi="Garamond"/>
        </w:rPr>
      </w:pPr>
      <w:r w:rsidRPr="004A0C12">
        <w:rPr>
          <w:rFonts w:ascii="Garamond" w:hAnsi="Garamond"/>
          <w:noProof/>
        </w:rPr>
        <w:lastRenderedPageBreak/>
        <mc:AlternateContent>
          <mc:Choice Requires="wps">
            <w:drawing>
              <wp:anchor distT="0" distB="0" distL="114300" distR="114300" simplePos="0" relativeHeight="251691008" behindDoc="0" locked="0" layoutInCell="1" allowOverlap="1" wp14:anchorId="10520312" wp14:editId="354C8183">
                <wp:simplePos x="0" y="0"/>
                <wp:positionH relativeFrom="column">
                  <wp:posOffset>212090</wp:posOffset>
                </wp:positionH>
                <wp:positionV relativeFrom="paragraph">
                  <wp:posOffset>137160</wp:posOffset>
                </wp:positionV>
                <wp:extent cx="6685280" cy="3139440"/>
                <wp:effectExtent l="0" t="0" r="20320" b="22860"/>
                <wp:wrapTopAndBottom/>
                <wp:docPr id="319" name="Text Box 319"/>
                <wp:cNvGraphicFramePr/>
                <a:graphic xmlns:a="http://schemas.openxmlformats.org/drawingml/2006/main">
                  <a:graphicData uri="http://schemas.microsoft.com/office/word/2010/wordprocessingShape">
                    <wps:wsp>
                      <wps:cNvSpPr txBox="1"/>
                      <wps:spPr>
                        <a:xfrm>
                          <a:off x="0" y="0"/>
                          <a:ext cx="6685280" cy="3139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3D6591" w14:textId="77777777" w:rsidR="003D14AC" w:rsidRDefault="003D14AC" w:rsidP="0074457B">
                            <w:pPr>
                              <w:jc w:val="center"/>
                            </w:pPr>
                            <w:r>
                              <w:rPr>
                                <w:noProof/>
                              </w:rPr>
                              <w:drawing>
                                <wp:inline distT="0" distB="0" distL="0" distR="0" wp14:anchorId="795EBE2B" wp14:editId="68FA4507">
                                  <wp:extent cx="4951730" cy="3140075"/>
                                  <wp:effectExtent l="0" t="0" r="1270" b="3175"/>
                                  <wp:docPr id="40" name="Picture 40" descr="This provides a map of where the American Job Centers are located throughout the State. " title="Maryland's American Job Cen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1730" cy="3140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9" o:spid="_x0000_s1049" type="#_x0000_t202" style="position:absolute;left:0;text-align:left;margin-left:16.7pt;margin-top:10.8pt;width:526.4pt;height:247.2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" fillcolor="white [3201]" strokeweight=".5pt">
                <v:textbox>
                  <w:txbxContent>
                    <w:p w14:paraId="153D6591" w14:textId="77777777" w:rsidR="003D14AC" w:rsidRDefault="003D14AC" w:rsidP="0074457B">
                      <w:pPr>
                        <w:jc w:val="center"/>
                      </w:pPr>
                      <w:r>
                        <w:rPr>
                          <w:noProof/>
                        </w:rPr>
                        <w:drawing>
                          <wp:inline distT="0" distB="0" distL="0" distR="0" wp14:anchorId="795EBE2B" wp14:editId="68FA4507">
                            <wp:extent cx="4951730" cy="3140075"/>
                            <wp:effectExtent l="0" t="0" r="1270" b="3175"/>
                            <wp:docPr id="40" name="Picture 40" descr="This provides a map of where the American Job Centers are located throughout the State. " title="Maryland's American Job Cen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1730" cy="3140075"/>
                                    </a:xfrm>
                                    <a:prstGeom prst="rect">
                                      <a:avLst/>
                                    </a:prstGeom>
                                    <a:noFill/>
                                    <a:ln>
                                      <a:noFill/>
                                    </a:ln>
                                  </pic:spPr>
                                </pic:pic>
                              </a:graphicData>
                            </a:graphic>
                          </wp:inline>
                        </w:drawing>
                      </w:r>
                    </w:p>
                  </w:txbxContent>
                </v:textbox>
                <w10:wrap type="topAndBottom"/>
              </v:shape>
            </w:pict>
          </mc:Fallback>
        </mc:AlternateContent>
      </w:r>
      <w:r w:rsidRPr="004A0C12">
        <w:rPr>
          <w:rFonts w:ascii="Garamond" w:hAnsi="Garamond"/>
        </w:rPr>
        <w:t xml:space="preserve"> </w:t>
      </w:r>
    </w:p>
    <w:p w14:paraId="4800C7C8" w14:textId="3FC75714"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American Job Center Operations Unit</w:t>
      </w:r>
      <w:r w:rsidRPr="004A0C12">
        <w:rPr>
          <w:rFonts w:ascii="Garamond" w:hAnsi="Garamond"/>
        </w:rPr>
        <w:t xml:space="preserve"> provides centralized oversight of DLLR’s Labor Exchange Administrators who manage employment and training programs and services throughout the State’s American Job Centers. The Unit provides a</w:t>
      </w:r>
      <w:r w:rsidR="00917D14" w:rsidRPr="004A0C12">
        <w:rPr>
          <w:rFonts w:ascii="Garamond" w:hAnsi="Garamond"/>
        </w:rPr>
        <w:t>dministrative oversight and job</w:t>
      </w:r>
      <w:r w:rsidRPr="004A0C12">
        <w:rPr>
          <w:rFonts w:ascii="Garamond" w:hAnsi="Garamond"/>
        </w:rPr>
        <w:t>seeker services through Wagner-Peyser and WIOA Title I Adult, Dislocated Worker, and Youth programs funding.</w:t>
      </w:r>
    </w:p>
    <w:p w14:paraId="60FD0C69" w14:textId="77777777" w:rsidR="0074457B" w:rsidRPr="004A0C12" w:rsidRDefault="0074457B" w:rsidP="0074457B">
      <w:pPr>
        <w:spacing w:after="0" w:line="240" w:lineRule="auto"/>
        <w:ind w:left="720"/>
        <w:jc w:val="both"/>
        <w:rPr>
          <w:rFonts w:ascii="Garamond" w:hAnsi="Garamond"/>
        </w:rPr>
      </w:pPr>
    </w:p>
    <w:p w14:paraId="66D2004B" w14:textId="301DA3FC"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Dislocated Worker Services</w:t>
      </w:r>
      <w:r w:rsidRPr="004A0C12">
        <w:rPr>
          <w:rFonts w:ascii="Garamond" w:hAnsi="Garamond"/>
        </w:rPr>
        <w:t xml:space="preserve"> provides centralized oversight and administration of Maryland’s Rapid Response and Trade Assistance Act (T</w:t>
      </w:r>
      <w:r w:rsidR="00917D14" w:rsidRPr="004A0C12">
        <w:rPr>
          <w:rFonts w:ascii="Garamond" w:hAnsi="Garamond"/>
        </w:rPr>
        <w:t xml:space="preserve">rade) Program activities. Both </w:t>
      </w:r>
      <w:r w:rsidRPr="004A0C12">
        <w:rPr>
          <w:rFonts w:ascii="Garamond" w:hAnsi="Garamond"/>
        </w:rPr>
        <w:t>programs a</w:t>
      </w:r>
      <w:r w:rsidR="00917D14" w:rsidRPr="004A0C12">
        <w:rPr>
          <w:rFonts w:ascii="Garamond" w:hAnsi="Garamond"/>
        </w:rPr>
        <w:t>re</w:t>
      </w:r>
      <w:r w:rsidRPr="004A0C12">
        <w:rPr>
          <w:rFonts w:ascii="Garamond" w:hAnsi="Garamond"/>
        </w:rPr>
        <w:t xml:space="preserve"> designed to help individuals through their transition to reemployment. </w:t>
      </w:r>
    </w:p>
    <w:p w14:paraId="21622985" w14:textId="77777777" w:rsidR="0074457B" w:rsidRPr="004A0C12" w:rsidRDefault="0074457B" w:rsidP="0074457B">
      <w:pPr>
        <w:spacing w:after="0" w:line="240" w:lineRule="auto"/>
        <w:jc w:val="both"/>
        <w:rPr>
          <w:rFonts w:ascii="Garamond" w:hAnsi="Garamond"/>
        </w:rPr>
      </w:pPr>
    </w:p>
    <w:p w14:paraId="0C3311DA" w14:textId="77777777" w:rsidR="00047DFA" w:rsidRPr="004A0C12" w:rsidRDefault="0074457B" w:rsidP="00F733CF">
      <w:pPr>
        <w:numPr>
          <w:ilvl w:val="1"/>
          <w:numId w:val="79"/>
        </w:numPr>
        <w:tabs>
          <w:tab w:val="clear" w:pos="360"/>
          <w:tab w:val="num" w:pos="1440"/>
        </w:tabs>
        <w:spacing w:after="0" w:line="240" w:lineRule="auto"/>
        <w:ind w:left="1440" w:hanging="360"/>
        <w:jc w:val="both"/>
        <w:rPr>
          <w:rFonts w:ascii="Garamond" w:hAnsi="Garamond"/>
        </w:rPr>
      </w:pPr>
      <w:r w:rsidRPr="004A0C12">
        <w:rPr>
          <w:rFonts w:ascii="Garamond" w:hAnsi="Garamond"/>
          <w:u w:val="single"/>
        </w:rPr>
        <w:t>Rapid Response</w:t>
      </w:r>
      <w:r w:rsidRPr="004A0C12">
        <w:rPr>
          <w:rFonts w:ascii="Garamond" w:hAnsi="Garamond"/>
        </w:rPr>
        <w:t xml:space="preserve"> is designed to shorten or eliminate time between employment opportunities for an individual, reducing or eliminating the time an individual would receive Unemployment Insurance (UI) benefits. The Rapid Response team, which is comprised of State and local workforce area employees, offers its services to the State’s small organizations and large companies alike. DSU employees disseminate essential information to individuals, ranging from how to file for and what to expect from Unemployment Insurance to local resources available for individuals seeking reemployment. </w:t>
      </w:r>
    </w:p>
    <w:p w14:paraId="2CC25C97" w14:textId="77777777" w:rsidR="00047DFA" w:rsidRPr="004A0C12" w:rsidRDefault="00047DFA" w:rsidP="00047DFA">
      <w:pPr>
        <w:spacing w:after="0" w:line="240" w:lineRule="auto"/>
        <w:ind w:left="1440"/>
        <w:jc w:val="both"/>
        <w:rPr>
          <w:rFonts w:ascii="Garamond" w:hAnsi="Garamond"/>
        </w:rPr>
      </w:pPr>
    </w:p>
    <w:p w14:paraId="5997F0E9" w14:textId="18858913" w:rsidR="0074457B" w:rsidRPr="004A0C12" w:rsidRDefault="0074457B" w:rsidP="00F733CF">
      <w:pPr>
        <w:numPr>
          <w:ilvl w:val="1"/>
          <w:numId w:val="79"/>
        </w:numPr>
        <w:tabs>
          <w:tab w:val="clear" w:pos="360"/>
          <w:tab w:val="num" w:pos="1440"/>
        </w:tabs>
        <w:spacing w:after="0" w:line="240" w:lineRule="auto"/>
        <w:ind w:left="1440" w:hanging="360"/>
        <w:jc w:val="both"/>
        <w:rPr>
          <w:rFonts w:ascii="Garamond" w:hAnsi="Garamond"/>
        </w:rPr>
      </w:pPr>
      <w:r w:rsidRPr="004A0C12">
        <w:rPr>
          <w:rFonts w:ascii="Garamond" w:hAnsi="Garamond"/>
          <w:u w:val="single"/>
        </w:rPr>
        <w:t xml:space="preserve">Trade </w:t>
      </w:r>
      <w:r w:rsidR="00047DFA" w:rsidRPr="004A0C12">
        <w:rPr>
          <w:rFonts w:ascii="Garamond" w:hAnsi="Garamond"/>
          <w:u w:val="single"/>
        </w:rPr>
        <w:t xml:space="preserve">Adjustment Assistance </w:t>
      </w:r>
      <w:r w:rsidRPr="004A0C12">
        <w:rPr>
          <w:rFonts w:ascii="Garamond" w:hAnsi="Garamond"/>
          <w:u w:val="single"/>
        </w:rPr>
        <w:t>Program</w:t>
      </w:r>
      <w:r w:rsidRPr="004A0C12">
        <w:rPr>
          <w:rFonts w:ascii="Garamond" w:hAnsi="Garamond"/>
        </w:rPr>
        <w:t xml:space="preserve"> provides aid to eligible workers who lose their jobs, or whose hours of work and wages are reduced, as a result of increased imports or production transfers abroad. </w:t>
      </w:r>
      <w:r w:rsidR="00047DFA" w:rsidRPr="004A0C12">
        <w:rPr>
          <w:rFonts w:ascii="Garamond" w:hAnsi="Garamond"/>
        </w:rPr>
        <w:t>The Trade Program, which is considered to be part of Maryland’s WIOA System,</w:t>
      </w:r>
      <w:r w:rsidR="00C81EEA" w:rsidRPr="004A0C12">
        <w:rPr>
          <w:rFonts w:ascii="Garamond" w:hAnsi="Garamond"/>
        </w:rPr>
        <w:t xml:space="preserve"> is a f</w:t>
      </w:r>
      <w:r w:rsidR="00047DFA" w:rsidRPr="004A0C12">
        <w:rPr>
          <w:rFonts w:ascii="Garamond" w:hAnsi="Garamond"/>
        </w:rPr>
        <w:t>ederal program that offers a variety of benefits and services to workers whose employment has been adversely impacted by foreign trade. Through a number of benefits and services, the Trade Program provides trade-affected workers with opportunities to obtain the support, resources, skills, and credentials they need to return to the workforce in a good job. These include employment and case management services, training, job search allowances, relocation allowances, reemployment and Alternative/Reemployment Trade Adjustment Assistance (ATAA/RTAA) wage subsidies for older workers, and income support in the form of Trade Readjustment Allowances (TRA). The TAA State Merit Staff reviews and makes the final determination on the retraining plan, ensuring it meets the federal requirements under the Trade Act. The Trade Act program is administered, staffed and implemented by the Maryland Department of Labor, L</w:t>
      </w:r>
      <w:r w:rsidR="00C81EEA" w:rsidRPr="004A0C12">
        <w:rPr>
          <w:rFonts w:ascii="Garamond" w:hAnsi="Garamond"/>
        </w:rPr>
        <w:t>icensing and Regulation, and</w:t>
      </w:r>
      <w:r w:rsidR="00047DFA" w:rsidRPr="004A0C12">
        <w:rPr>
          <w:rFonts w:ascii="Garamond" w:hAnsi="Garamond"/>
        </w:rPr>
        <w:t xml:space="preserve"> local workforce areas, and the Unemployment Insurance Division.</w:t>
      </w:r>
    </w:p>
    <w:p w14:paraId="3501F66F" w14:textId="77777777" w:rsidR="0074457B" w:rsidRPr="004A0C12" w:rsidRDefault="0074457B" w:rsidP="0074457B">
      <w:pPr>
        <w:spacing w:after="0" w:line="240" w:lineRule="auto"/>
        <w:jc w:val="both"/>
        <w:rPr>
          <w:rFonts w:ascii="Garamond" w:hAnsi="Garamond"/>
        </w:rPr>
      </w:pPr>
    </w:p>
    <w:p w14:paraId="2757C75C" w14:textId="4F4EBCC2" w:rsidR="0074457B" w:rsidRPr="004A0C12" w:rsidRDefault="0074457B" w:rsidP="00F733CF">
      <w:pPr>
        <w:numPr>
          <w:ilvl w:val="0"/>
          <w:numId w:val="79"/>
        </w:numPr>
        <w:tabs>
          <w:tab w:val="clear" w:pos="360"/>
          <w:tab w:val="num" w:pos="720"/>
        </w:tabs>
        <w:spacing w:after="0" w:line="240" w:lineRule="auto"/>
        <w:ind w:left="720" w:hanging="360"/>
        <w:rPr>
          <w:rFonts w:ascii="Garamond" w:hAnsi="Garamond"/>
        </w:rPr>
      </w:pPr>
      <w:r w:rsidRPr="004A0C12">
        <w:rPr>
          <w:rFonts w:ascii="Garamond" w:hAnsi="Garamond"/>
          <w:b/>
        </w:rPr>
        <w:t xml:space="preserve">Professional Outplacement Assistance Center </w:t>
      </w:r>
      <w:r w:rsidRPr="004A0C12">
        <w:rPr>
          <w:rFonts w:ascii="Garamond" w:hAnsi="Garamond"/>
        </w:rPr>
        <w:t xml:space="preserve">(POAC) provides assistance to individuals who are in the professional, executive, technical, managerial, and/or scientific occupations, along with recent college graduates, who find themselves in need of assistance in getting reconnected to the labor market. POAC provides employers with access to an e-service program where </w:t>
      </w:r>
      <w:r w:rsidR="007750CA" w:rsidRPr="004A0C12">
        <w:rPr>
          <w:rFonts w:ascii="Garamond" w:hAnsi="Garamond"/>
        </w:rPr>
        <w:t>they</w:t>
      </w:r>
      <w:r w:rsidRPr="004A0C12">
        <w:rPr>
          <w:rFonts w:ascii="Garamond" w:hAnsi="Garamond"/>
        </w:rPr>
        <w:t xml:space="preserve"> can use active marketing approaches to promote employment opportunities.  </w:t>
      </w:r>
    </w:p>
    <w:p w14:paraId="6D87CF63" w14:textId="77777777" w:rsidR="0074457B" w:rsidRPr="004A0C12" w:rsidRDefault="0074457B" w:rsidP="0074457B">
      <w:pPr>
        <w:spacing w:after="0" w:line="240" w:lineRule="auto"/>
        <w:ind w:left="360"/>
        <w:rPr>
          <w:rFonts w:ascii="Garamond" w:hAnsi="Garamond"/>
        </w:rPr>
      </w:pPr>
    </w:p>
    <w:p w14:paraId="0E2C074C" w14:textId="5D4A9AE9"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Reemployment Services and Eligibility Assessment (RESEA) Program</w:t>
      </w:r>
      <w:r w:rsidRPr="004A0C12">
        <w:rPr>
          <w:rFonts w:ascii="Garamond" w:hAnsi="Garamond"/>
        </w:rPr>
        <w:t xml:space="preserve"> was developed by the USDOL in an effort to reduce the number of weeks that UI claimants receive benefits, by assisting </w:t>
      </w:r>
      <w:r w:rsidR="007750CA" w:rsidRPr="004A0C12">
        <w:rPr>
          <w:rFonts w:ascii="Garamond" w:hAnsi="Garamond"/>
        </w:rPr>
        <w:t>them</w:t>
      </w:r>
      <w:r w:rsidRPr="004A0C12">
        <w:rPr>
          <w:rFonts w:ascii="Garamond" w:hAnsi="Garamond"/>
        </w:rPr>
        <w:t xml:space="preserve"> in quickly returning to the workforce. The RESEA Program is designed to help claimants to identify potential barriers to employment and assesses work search progress. It also includes an eligibility review, which in turn helps the DLLR Division of Unemployment Insurance to identify claimants that may be out of compliance with basic UI laws and policies regarding ability and availability to work, school attendance, and active work search.</w:t>
      </w:r>
    </w:p>
    <w:p w14:paraId="4A20ABAD" w14:textId="77777777" w:rsidR="0074457B" w:rsidRPr="004A0C12" w:rsidRDefault="0074457B" w:rsidP="0074457B">
      <w:pPr>
        <w:spacing w:after="0" w:line="240" w:lineRule="auto"/>
        <w:jc w:val="both"/>
        <w:rPr>
          <w:rFonts w:ascii="Garamond" w:hAnsi="Garamond"/>
        </w:rPr>
      </w:pPr>
    </w:p>
    <w:p w14:paraId="6266E71C" w14:textId="71BA0E4E"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Reemployment Opportunities Workshop (ROW) Program</w:t>
      </w:r>
      <w:r w:rsidR="007750CA" w:rsidRPr="004A0C12">
        <w:rPr>
          <w:rFonts w:ascii="Garamond" w:hAnsi="Garamond"/>
        </w:rPr>
        <w:t xml:space="preserve"> is a full-</w:t>
      </w:r>
      <w:r w:rsidRPr="004A0C12">
        <w:rPr>
          <w:rFonts w:ascii="Garamond" w:hAnsi="Garamond"/>
        </w:rPr>
        <w:t>day workshop offered to certain UI claimants to shorten the duration of UI benefits received through reemployment efforts</w:t>
      </w:r>
    </w:p>
    <w:p w14:paraId="20BD0028" w14:textId="77777777" w:rsidR="0074457B" w:rsidRPr="004A0C12" w:rsidRDefault="0074457B" w:rsidP="0074457B">
      <w:pPr>
        <w:spacing w:after="0" w:line="240" w:lineRule="auto"/>
        <w:jc w:val="both"/>
        <w:rPr>
          <w:rFonts w:ascii="Garamond" w:hAnsi="Garamond"/>
        </w:rPr>
      </w:pPr>
    </w:p>
    <w:p w14:paraId="0DBBAFFD" w14:textId="77777777"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Veteran Services Unit</w:t>
      </w:r>
      <w:r w:rsidRPr="004A0C12">
        <w:rPr>
          <w:rFonts w:ascii="Garamond" w:hAnsi="Garamond"/>
        </w:rPr>
        <w:t xml:space="preserve"> operates the Jobs for Veterans State Grant (JVSG). The JVSG Program’s mission is two-fold: it offers employment and training services to Veterans with significant barriers to employment and connects employers with work-ready Veterans.   </w:t>
      </w:r>
    </w:p>
    <w:p w14:paraId="745B2BE3" w14:textId="77777777" w:rsidR="0074457B" w:rsidRPr="004A0C12" w:rsidRDefault="0074457B" w:rsidP="0074457B">
      <w:pPr>
        <w:spacing w:after="0" w:line="240" w:lineRule="auto"/>
        <w:jc w:val="both"/>
        <w:rPr>
          <w:rFonts w:ascii="Garamond" w:hAnsi="Garamond"/>
        </w:rPr>
      </w:pPr>
    </w:p>
    <w:p w14:paraId="68AF9F65" w14:textId="36794FBF"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Foreign Labor Certification Program</w:t>
      </w:r>
      <w:r w:rsidRPr="004A0C12">
        <w:rPr>
          <w:rFonts w:ascii="Garamond" w:hAnsi="Garamond"/>
          <w:u w:val="single"/>
        </w:rPr>
        <w:t xml:space="preserve"> </w:t>
      </w:r>
      <w:r w:rsidRPr="004A0C12">
        <w:rPr>
          <w:rFonts w:ascii="Garamond" w:hAnsi="Garamond"/>
        </w:rPr>
        <w:t xml:space="preserve">is an employment-based immigration program which </w:t>
      </w:r>
      <w:r w:rsidR="007750CA" w:rsidRPr="004A0C12">
        <w:rPr>
          <w:rFonts w:ascii="Garamond" w:hAnsi="Garamond"/>
        </w:rPr>
        <w:t>assists</w:t>
      </w:r>
      <w:r w:rsidRPr="004A0C12">
        <w:rPr>
          <w:rFonts w:ascii="Garamond" w:hAnsi="Garamond"/>
        </w:rPr>
        <w:t xml:space="preserve"> applicable employers, who have obtained USDOL approval to begin the hiring process of permanent or temporary foreign workers. The program assists employers across Maryland in navigating federal program requirements, including application processing, data collection, wage and prevailing practice surveys in specific employment areas where foreign workers have been brought to Maryland.  </w:t>
      </w:r>
    </w:p>
    <w:p w14:paraId="3482D051" w14:textId="77777777" w:rsidR="002B224F" w:rsidRPr="004A0C12" w:rsidRDefault="002B224F" w:rsidP="002B224F">
      <w:pPr>
        <w:spacing w:after="0" w:line="240" w:lineRule="auto"/>
        <w:jc w:val="both"/>
        <w:rPr>
          <w:rFonts w:ascii="Garamond" w:hAnsi="Garamond"/>
        </w:rPr>
      </w:pPr>
    </w:p>
    <w:p w14:paraId="197E791D" w14:textId="77777777"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Tax Credit Unit</w:t>
      </w:r>
      <w:r w:rsidRPr="004A0C12">
        <w:rPr>
          <w:rFonts w:ascii="Garamond" w:hAnsi="Garamond"/>
          <w:u w:val="single"/>
        </w:rPr>
        <w:t xml:space="preserve"> </w:t>
      </w:r>
      <w:r w:rsidRPr="004A0C12">
        <w:rPr>
          <w:rFonts w:ascii="Garamond" w:hAnsi="Garamond"/>
        </w:rPr>
        <w:t xml:space="preserve">is charged with administering federal and State tax credit programs which offer income tax incentives to employers for hiring members of targeted population groups, such as ex-offenders or certain individuals with disabilities. </w:t>
      </w:r>
    </w:p>
    <w:p w14:paraId="23F8FE2A" w14:textId="77777777" w:rsidR="0074457B" w:rsidRPr="004A0C12" w:rsidRDefault="0074457B" w:rsidP="0074457B">
      <w:pPr>
        <w:spacing w:after="0" w:line="240" w:lineRule="auto"/>
        <w:jc w:val="both"/>
        <w:rPr>
          <w:rFonts w:ascii="Garamond" w:hAnsi="Garamond"/>
        </w:rPr>
      </w:pPr>
    </w:p>
    <w:p w14:paraId="223B66AE" w14:textId="77777777"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Migrant Seasonal Farm Worker Program</w:t>
      </w:r>
      <w:r w:rsidRPr="004A0C12">
        <w:rPr>
          <w:rFonts w:ascii="Garamond" w:hAnsi="Garamond"/>
        </w:rPr>
        <w:t xml:space="preserve"> ensures migrant and seasonal farm workers are receiving the same employment services that non-migrant seasonal farm workers receive at the State’s American Job Centers. </w:t>
      </w:r>
    </w:p>
    <w:p w14:paraId="5BDED762" w14:textId="77777777" w:rsidR="0074457B" w:rsidRPr="004A0C12" w:rsidRDefault="0074457B" w:rsidP="0074457B">
      <w:pPr>
        <w:spacing w:after="0" w:line="240" w:lineRule="auto"/>
        <w:jc w:val="both"/>
        <w:rPr>
          <w:rFonts w:ascii="Garamond" w:hAnsi="Garamond"/>
        </w:rPr>
      </w:pPr>
    </w:p>
    <w:p w14:paraId="0EF9B0F5" w14:textId="5B883968"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Maryland Re-Entry Initiative (MRI)</w:t>
      </w:r>
      <w:r w:rsidRPr="004A0C12">
        <w:rPr>
          <w:rFonts w:ascii="Garamond" w:hAnsi="Garamond"/>
        </w:rPr>
        <w:t xml:space="preserve"> is a statewide initiative to increase the employability of Maryland citizens with criminal backgrounds. The program provi</w:t>
      </w:r>
      <w:r w:rsidR="00BB5F3C" w:rsidRPr="004A0C12">
        <w:rPr>
          <w:rFonts w:ascii="Garamond" w:hAnsi="Garamond"/>
        </w:rPr>
        <w:t>des technical assistance to job</w:t>
      </w:r>
      <w:r w:rsidRPr="004A0C12">
        <w:rPr>
          <w:rFonts w:ascii="Garamond" w:hAnsi="Garamond"/>
        </w:rPr>
        <w:t xml:space="preserve">seekers, staff, and employers to increase the number of individuals hired with criminal history and barriers to employment. The MRI administers the Federal Bonding Program through the State’s American Job Centers. </w:t>
      </w:r>
    </w:p>
    <w:p w14:paraId="1C065F21" w14:textId="77777777" w:rsidR="0074457B" w:rsidRPr="004A0C12" w:rsidRDefault="0074457B" w:rsidP="0074457B">
      <w:pPr>
        <w:spacing w:after="0" w:line="240" w:lineRule="auto"/>
        <w:jc w:val="both"/>
        <w:rPr>
          <w:rFonts w:ascii="Garamond" w:hAnsi="Garamond"/>
        </w:rPr>
      </w:pPr>
    </w:p>
    <w:p w14:paraId="3B7C2A56" w14:textId="77777777" w:rsidR="0074457B"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Youth and Disability Services</w:t>
      </w:r>
      <w:r w:rsidRPr="004A0C12">
        <w:rPr>
          <w:rFonts w:ascii="Garamond" w:hAnsi="Garamond"/>
        </w:rPr>
        <w:t xml:space="preserve"> provides disability and youth services coordination and technical assistance to the State of Maryland’s Local workforce areas and partners responsible for serving WIOA Title I youth program participants and American Job Center customers with disabilities.  </w:t>
      </w:r>
    </w:p>
    <w:p w14:paraId="25710BAC" w14:textId="77777777" w:rsidR="0074457B" w:rsidRPr="004A0C12" w:rsidRDefault="0074457B" w:rsidP="0074457B">
      <w:pPr>
        <w:spacing w:after="0" w:line="240" w:lineRule="auto"/>
        <w:jc w:val="both"/>
        <w:rPr>
          <w:rFonts w:ascii="Garamond" w:hAnsi="Garamond"/>
        </w:rPr>
      </w:pPr>
    </w:p>
    <w:p w14:paraId="7CD98492" w14:textId="77777777" w:rsidR="009F5EDD" w:rsidRPr="004A0C12" w:rsidRDefault="0074457B" w:rsidP="00F733CF">
      <w:pPr>
        <w:numPr>
          <w:ilvl w:val="0"/>
          <w:numId w:val="79"/>
        </w:numPr>
        <w:tabs>
          <w:tab w:val="clear" w:pos="360"/>
          <w:tab w:val="num" w:pos="720"/>
        </w:tabs>
        <w:spacing w:after="0" w:line="240" w:lineRule="auto"/>
        <w:ind w:left="720" w:hanging="360"/>
        <w:jc w:val="both"/>
        <w:rPr>
          <w:rFonts w:ascii="Garamond" w:hAnsi="Garamond"/>
        </w:rPr>
      </w:pPr>
      <w:r w:rsidRPr="004A0C12">
        <w:rPr>
          <w:rFonts w:ascii="Garamond" w:hAnsi="Garamond"/>
          <w:b/>
        </w:rPr>
        <w:t>Business Services Unit</w:t>
      </w:r>
      <w:r w:rsidRPr="004A0C12">
        <w:rPr>
          <w:rFonts w:ascii="Garamond" w:hAnsi="Garamond"/>
        </w:rPr>
        <w:t xml:space="preserve"> exists to help companies grow and thrive, to foster economic growth and stability, and to ensure that Marylanders have opportunities for gainful employment. </w:t>
      </w:r>
    </w:p>
    <w:p w14:paraId="72CCFB16" w14:textId="77777777" w:rsidR="00047DFA" w:rsidRPr="004A0C12" w:rsidRDefault="00047DFA" w:rsidP="00047DFA">
      <w:pPr>
        <w:spacing w:after="0" w:line="240" w:lineRule="auto"/>
        <w:jc w:val="both"/>
        <w:rPr>
          <w:rFonts w:ascii="Garamond" w:hAnsi="Garamond"/>
        </w:rPr>
      </w:pPr>
    </w:p>
    <w:p w14:paraId="3FBFD2FE" w14:textId="77777777" w:rsidR="0074457B" w:rsidRPr="00B25499" w:rsidRDefault="0074457B" w:rsidP="009F5EDD">
      <w:pPr>
        <w:pStyle w:val="Heading4"/>
        <w:spacing w:before="0" w:line="240" w:lineRule="auto"/>
        <w:rPr>
          <w:rFonts w:ascii="Garamond" w:hAnsi="Garamond"/>
          <w:sz w:val="24"/>
          <w:szCs w:val="24"/>
        </w:rPr>
      </w:pPr>
      <w:r w:rsidRPr="00B25499">
        <w:rPr>
          <w:rFonts w:ascii="Garamond" w:hAnsi="Garamond"/>
          <w:sz w:val="24"/>
          <w:szCs w:val="24"/>
        </w:rPr>
        <w:t xml:space="preserve">Office of Workforce Information and Performance (OWIP) </w:t>
      </w:r>
    </w:p>
    <w:p w14:paraId="3D0E4127" w14:textId="27B70E80" w:rsidR="0074457B" w:rsidRPr="004A0C12" w:rsidRDefault="0074457B" w:rsidP="009F5EDD">
      <w:pPr>
        <w:spacing w:after="0" w:line="240" w:lineRule="auto"/>
        <w:jc w:val="both"/>
        <w:rPr>
          <w:rFonts w:ascii="Garamond" w:hAnsi="Garamond"/>
        </w:rPr>
      </w:pPr>
      <w:r w:rsidRPr="004A0C12">
        <w:rPr>
          <w:rFonts w:ascii="Garamond" w:hAnsi="Garamond"/>
        </w:rPr>
        <w:t>OWIP’s mission is to collect, analyze, and produce labor market and workforce information as a service t</w:t>
      </w:r>
      <w:r w:rsidR="00BB5F3C" w:rsidRPr="004A0C12">
        <w:rPr>
          <w:rFonts w:ascii="Garamond" w:hAnsi="Garamond"/>
        </w:rPr>
        <w:t>o businesses, job</w:t>
      </w:r>
      <w:r w:rsidRPr="004A0C12">
        <w:rPr>
          <w:rFonts w:ascii="Garamond" w:hAnsi="Garamond"/>
        </w:rPr>
        <w:t xml:space="preserve">seekers, students, and workforce entities. OWIP carries out five core functions: </w:t>
      </w:r>
    </w:p>
    <w:p w14:paraId="66E637B4" w14:textId="4E7DD147" w:rsidR="0074457B" w:rsidRPr="004A0C12" w:rsidRDefault="0074457B" w:rsidP="00F733CF">
      <w:pPr>
        <w:numPr>
          <w:ilvl w:val="0"/>
          <w:numId w:val="80"/>
        </w:numPr>
        <w:tabs>
          <w:tab w:val="clear" w:pos="360"/>
          <w:tab w:val="num" w:pos="720"/>
        </w:tabs>
        <w:spacing w:before="100" w:beforeAutospacing="1" w:after="0" w:line="240" w:lineRule="auto"/>
        <w:ind w:left="720" w:hanging="360"/>
        <w:jc w:val="both"/>
        <w:rPr>
          <w:rFonts w:ascii="Garamond" w:hAnsi="Garamond"/>
        </w:rPr>
      </w:pPr>
      <w:r w:rsidRPr="004A0C12">
        <w:rPr>
          <w:rFonts w:ascii="Garamond" w:hAnsi="Garamond"/>
        </w:rPr>
        <w:t>Bureau of Labor Statistics (BLS) information shar</w:t>
      </w:r>
      <w:r w:rsidR="00C81EEA" w:rsidRPr="004A0C12">
        <w:rPr>
          <w:rFonts w:ascii="Garamond" w:hAnsi="Garamond"/>
        </w:rPr>
        <w:t>ing</w:t>
      </w:r>
    </w:p>
    <w:p w14:paraId="28F3D99F" w14:textId="63686DFA" w:rsidR="0074457B" w:rsidRPr="004A0C12" w:rsidRDefault="0074457B" w:rsidP="00F733CF">
      <w:pPr>
        <w:numPr>
          <w:ilvl w:val="0"/>
          <w:numId w:val="80"/>
        </w:numPr>
        <w:tabs>
          <w:tab w:val="clear" w:pos="360"/>
          <w:tab w:val="num" w:pos="720"/>
        </w:tabs>
        <w:spacing w:before="100" w:beforeAutospacing="1" w:after="0" w:line="240" w:lineRule="auto"/>
        <w:ind w:left="720" w:hanging="360"/>
        <w:jc w:val="both"/>
        <w:rPr>
          <w:rFonts w:ascii="Garamond" w:hAnsi="Garamond"/>
        </w:rPr>
      </w:pPr>
      <w:r w:rsidRPr="004A0C12">
        <w:rPr>
          <w:rFonts w:ascii="Garamond" w:hAnsi="Garamond"/>
        </w:rPr>
        <w:t>La</w:t>
      </w:r>
      <w:r w:rsidR="00C81EEA" w:rsidRPr="004A0C12">
        <w:rPr>
          <w:rFonts w:ascii="Garamond" w:hAnsi="Garamond"/>
        </w:rPr>
        <w:t>bor Market Information Services</w:t>
      </w:r>
    </w:p>
    <w:p w14:paraId="2DF06B73" w14:textId="6BA30835" w:rsidR="0074457B" w:rsidRPr="004A0C12" w:rsidRDefault="0074457B" w:rsidP="00F733CF">
      <w:pPr>
        <w:numPr>
          <w:ilvl w:val="0"/>
          <w:numId w:val="80"/>
        </w:numPr>
        <w:tabs>
          <w:tab w:val="clear" w:pos="360"/>
          <w:tab w:val="num" w:pos="720"/>
        </w:tabs>
        <w:spacing w:before="100" w:beforeAutospacing="1" w:after="0" w:line="240" w:lineRule="auto"/>
        <w:ind w:left="720" w:hanging="360"/>
        <w:jc w:val="both"/>
        <w:rPr>
          <w:rFonts w:ascii="Garamond" w:hAnsi="Garamond"/>
        </w:rPr>
      </w:pPr>
      <w:r w:rsidRPr="004A0C12">
        <w:rPr>
          <w:rFonts w:ascii="Garamond" w:hAnsi="Garamond"/>
        </w:rPr>
        <w:lastRenderedPageBreak/>
        <w:t>Maryland Workforce Exchange – Virtual</w:t>
      </w:r>
      <w:r w:rsidR="00C81EEA" w:rsidRPr="004A0C12">
        <w:rPr>
          <w:rFonts w:ascii="Garamond" w:hAnsi="Garamond"/>
        </w:rPr>
        <w:t xml:space="preserve"> One-Stop (MWE-VOS) maintenance</w:t>
      </w:r>
    </w:p>
    <w:p w14:paraId="7B56E793" w14:textId="1EC94045" w:rsidR="0074457B" w:rsidRPr="004A0C12" w:rsidRDefault="00C81EEA" w:rsidP="00F733CF">
      <w:pPr>
        <w:numPr>
          <w:ilvl w:val="0"/>
          <w:numId w:val="80"/>
        </w:numPr>
        <w:tabs>
          <w:tab w:val="clear" w:pos="360"/>
          <w:tab w:val="num" w:pos="720"/>
        </w:tabs>
        <w:spacing w:before="100" w:beforeAutospacing="1" w:after="0" w:line="240" w:lineRule="auto"/>
        <w:ind w:left="720" w:hanging="360"/>
        <w:jc w:val="both"/>
        <w:rPr>
          <w:rFonts w:ascii="Garamond" w:hAnsi="Garamond"/>
        </w:rPr>
      </w:pPr>
      <w:r w:rsidRPr="004A0C12">
        <w:rPr>
          <w:rFonts w:ascii="Garamond" w:hAnsi="Garamond"/>
        </w:rPr>
        <w:t>MWE-VOS Help Desk</w:t>
      </w:r>
    </w:p>
    <w:p w14:paraId="4FFEF993" w14:textId="5F39A86B" w:rsidR="00CC66F0" w:rsidRPr="004A0C12" w:rsidRDefault="00C81EEA" w:rsidP="00F733CF">
      <w:pPr>
        <w:numPr>
          <w:ilvl w:val="0"/>
          <w:numId w:val="80"/>
        </w:numPr>
        <w:tabs>
          <w:tab w:val="clear" w:pos="360"/>
          <w:tab w:val="num" w:pos="720"/>
        </w:tabs>
        <w:spacing w:before="100" w:beforeAutospacing="1" w:after="0" w:line="240" w:lineRule="auto"/>
        <w:ind w:left="720" w:hanging="360"/>
        <w:jc w:val="both"/>
        <w:rPr>
          <w:rFonts w:ascii="Garamond" w:hAnsi="Garamond"/>
        </w:rPr>
      </w:pPr>
      <w:r w:rsidRPr="004A0C12">
        <w:rPr>
          <w:rFonts w:ascii="Garamond" w:hAnsi="Garamond"/>
        </w:rPr>
        <w:t>WIOA Performance Units</w:t>
      </w:r>
      <w:r w:rsidR="0074457B" w:rsidRPr="004A0C12">
        <w:rPr>
          <w:rFonts w:ascii="Garamond" w:hAnsi="Garamond"/>
        </w:rPr>
        <w:t xml:space="preserve"> </w:t>
      </w:r>
    </w:p>
    <w:p w14:paraId="04F4CEDA" w14:textId="77777777" w:rsidR="00B25499" w:rsidRDefault="00CC66F0" w:rsidP="009F5EDD">
      <w:pPr>
        <w:spacing w:after="0" w:line="240" w:lineRule="auto"/>
        <w:jc w:val="both"/>
        <w:rPr>
          <w:rFonts w:ascii="Garamond" w:hAnsi="Garamond"/>
        </w:rPr>
      </w:pPr>
      <w:r w:rsidRPr="004A0C12">
        <w:rPr>
          <w:rFonts w:ascii="Garamond" w:hAnsi="Garamond"/>
        </w:rPr>
        <w:t xml:space="preserve">                                                                                                                                                                           </w:t>
      </w:r>
      <w:r w:rsidR="00B25499">
        <w:rPr>
          <w:rFonts w:ascii="Garamond" w:hAnsi="Garamond"/>
        </w:rPr>
        <w:t xml:space="preserve">   </w:t>
      </w:r>
    </w:p>
    <w:p w14:paraId="03B949F5" w14:textId="3EB02576" w:rsidR="0074457B" w:rsidRPr="004A0C12" w:rsidRDefault="0074457B" w:rsidP="009F5EDD">
      <w:pPr>
        <w:spacing w:after="0" w:line="240" w:lineRule="auto"/>
        <w:jc w:val="both"/>
        <w:rPr>
          <w:rFonts w:ascii="Garamond" w:hAnsi="Garamond"/>
        </w:rPr>
      </w:pPr>
      <w:r w:rsidRPr="004A0C12">
        <w:rPr>
          <w:rFonts w:ascii="Garamond" w:hAnsi="Garamond"/>
        </w:rPr>
        <w:t xml:space="preserve">Additionally, through administering USDOL’s Workforce Information Grant, OWIP manages and maintains the Workforce Information Database, the production of industry and occupational employment projections, and other workforce information and economic products and services. </w:t>
      </w:r>
    </w:p>
    <w:p w14:paraId="7656EF67" w14:textId="77777777" w:rsidR="009F5EDD" w:rsidRPr="00B25499" w:rsidRDefault="009F5EDD" w:rsidP="009F5EDD">
      <w:pPr>
        <w:spacing w:after="0" w:line="240" w:lineRule="auto"/>
        <w:jc w:val="both"/>
        <w:rPr>
          <w:rFonts w:ascii="Garamond" w:hAnsi="Garamond"/>
          <w:sz w:val="24"/>
          <w:szCs w:val="24"/>
        </w:rPr>
      </w:pPr>
    </w:p>
    <w:p w14:paraId="002B337D" w14:textId="77777777" w:rsidR="0074457B" w:rsidRPr="00B25499" w:rsidRDefault="0074457B" w:rsidP="009F5EDD">
      <w:pPr>
        <w:pStyle w:val="Heading4"/>
        <w:spacing w:before="0" w:line="240" w:lineRule="auto"/>
        <w:rPr>
          <w:rFonts w:ascii="Garamond" w:hAnsi="Garamond"/>
          <w:sz w:val="24"/>
          <w:szCs w:val="24"/>
        </w:rPr>
      </w:pPr>
      <w:r w:rsidRPr="00B25499">
        <w:rPr>
          <w:rFonts w:ascii="Garamond" w:hAnsi="Garamond"/>
          <w:sz w:val="24"/>
          <w:szCs w:val="24"/>
        </w:rPr>
        <w:t xml:space="preserve">Office of Adult Education and Literacy Services </w:t>
      </w:r>
    </w:p>
    <w:p w14:paraId="1462F9A3" w14:textId="77777777" w:rsidR="0074457B" w:rsidRPr="004A0C12" w:rsidRDefault="0074457B" w:rsidP="009F5EDD">
      <w:pPr>
        <w:spacing w:after="0" w:line="240" w:lineRule="auto"/>
        <w:jc w:val="both"/>
        <w:rPr>
          <w:rFonts w:ascii="Garamond" w:hAnsi="Garamond"/>
        </w:rPr>
      </w:pPr>
      <w:r w:rsidRPr="004A0C12">
        <w:rPr>
          <w:rFonts w:ascii="Garamond" w:hAnsi="Garamond"/>
        </w:rPr>
        <w:t xml:space="preserve">The Office of Adult Education and Literacy Services </w:t>
      </w:r>
      <w:proofErr w:type="gramStart"/>
      <w:r w:rsidRPr="004A0C12">
        <w:rPr>
          <w:rFonts w:ascii="Garamond" w:hAnsi="Garamond"/>
        </w:rPr>
        <w:t>provides</w:t>
      </w:r>
      <w:proofErr w:type="gramEnd"/>
      <w:r w:rsidRPr="004A0C12">
        <w:rPr>
          <w:rFonts w:ascii="Garamond" w:hAnsi="Garamond"/>
        </w:rPr>
        <w:t xml:space="preserve"> services to Maryland’s adult learners as required under WIOA Title II. Under the Act, the Office selects local providers of adult education instructional services via a statewide competition made available to eligible providers every five years. Instructional services include Adult Basic and Secondary Education, English Language Acquisition / Integrated English Literacy and Civics, Family Literacy, High School Diploma preparation, and Correctional Education.  </w:t>
      </w:r>
    </w:p>
    <w:p w14:paraId="340F90AC" w14:textId="77777777" w:rsidR="00CC66F0" w:rsidRPr="004A0C12" w:rsidRDefault="0074457B" w:rsidP="0074457B">
      <w:pPr>
        <w:spacing w:before="100" w:beforeAutospacing="1" w:after="0" w:line="240" w:lineRule="auto"/>
        <w:jc w:val="both"/>
        <w:rPr>
          <w:rFonts w:ascii="Garamond" w:hAnsi="Garamond"/>
        </w:rPr>
      </w:pPr>
      <w:r w:rsidRPr="004A0C12">
        <w:rPr>
          <w:rFonts w:ascii="Garamond" w:hAnsi="Garamond"/>
        </w:rPr>
        <w:t>Maryland’s current providers include a wide-range of community colleges, local public school systems, community-based organizations, public libraries, and the State’s Correctional Education program. A complete listing of local providers of adult education authorized u</w:t>
      </w:r>
      <w:r w:rsidR="00CC66F0" w:rsidRPr="004A0C12">
        <w:rPr>
          <w:rFonts w:ascii="Garamond" w:hAnsi="Garamond"/>
        </w:rPr>
        <w:t>nder Title II can be found at:</w:t>
      </w:r>
    </w:p>
    <w:p w14:paraId="542DF001" w14:textId="77777777" w:rsidR="0074457B" w:rsidRPr="004A0C12" w:rsidRDefault="00CC66F0" w:rsidP="0074457B">
      <w:pPr>
        <w:spacing w:before="100" w:beforeAutospacing="1" w:after="0" w:line="240" w:lineRule="auto"/>
        <w:jc w:val="both"/>
        <w:rPr>
          <w:rFonts w:ascii="Garamond" w:hAnsi="Garamond"/>
        </w:rPr>
      </w:pPr>
      <w:r w:rsidRPr="004A0C12">
        <w:rPr>
          <w:rFonts w:ascii="Garamond" w:hAnsi="Garamond"/>
        </w:rPr>
        <w:t xml:space="preserve"> </w:t>
      </w:r>
      <w:hyperlink r:id="rId82" w:history="1">
        <w:r w:rsidR="0074457B" w:rsidRPr="004A0C12">
          <w:rPr>
            <w:rStyle w:val="Hyperlink2"/>
            <w:rFonts w:ascii="Garamond" w:hAnsi="Garamond"/>
            <w:sz w:val="22"/>
          </w:rPr>
          <w:t>http://www.dllr.maryland.gov/gedmd/programs.shtml</w:t>
        </w:r>
      </w:hyperlink>
      <w:r w:rsidR="0074457B" w:rsidRPr="004A0C12">
        <w:rPr>
          <w:rFonts w:ascii="Garamond" w:hAnsi="Garamond"/>
        </w:rPr>
        <w:t>.</w:t>
      </w:r>
    </w:p>
    <w:p w14:paraId="015D3A66" w14:textId="77777777" w:rsidR="0074457B" w:rsidRPr="004A0C12" w:rsidRDefault="0074457B" w:rsidP="0074457B">
      <w:pPr>
        <w:spacing w:before="100" w:beforeAutospacing="1" w:after="0" w:line="240" w:lineRule="auto"/>
        <w:jc w:val="both"/>
        <w:rPr>
          <w:rFonts w:ascii="Garamond" w:hAnsi="Garamond"/>
        </w:rPr>
      </w:pPr>
      <w:r w:rsidRPr="004A0C12">
        <w:rPr>
          <w:rFonts w:ascii="Garamond" w:hAnsi="Garamond"/>
        </w:rPr>
        <w:t xml:space="preserve">The Office provides monitoring, technical assistance, professional development, and assistance to these providers. The Office further serves as the State’s contact for adult education with the United States Department of Education. Also located within the Office is Maryland’s GED ® and National External Diploma Program® administration. The Office provides key oversight for the administration of these two opportunities for Maryland’s adult learners and out-of-school youth to obtain their Maryland High School Diplomas. </w:t>
      </w:r>
      <w:proofErr w:type="gramStart"/>
      <w:r w:rsidRPr="004A0C12">
        <w:rPr>
          <w:rFonts w:ascii="Garamond" w:hAnsi="Garamond"/>
        </w:rPr>
        <w:t>A complete listing of GED® testing sites in Maryland are</w:t>
      </w:r>
      <w:proofErr w:type="gramEnd"/>
      <w:r w:rsidRPr="004A0C12">
        <w:rPr>
          <w:rFonts w:ascii="Garamond" w:hAnsi="Garamond"/>
        </w:rPr>
        <w:t xml:space="preserve"> listed at </w:t>
      </w:r>
      <w:hyperlink r:id="rId83" w:history="1">
        <w:r w:rsidRPr="004A0C12">
          <w:rPr>
            <w:rStyle w:val="Hyperlink2"/>
            <w:rFonts w:ascii="Garamond" w:hAnsi="Garamond"/>
            <w:sz w:val="22"/>
          </w:rPr>
          <w:t>http://www.dllr.maryland.gov/gedmd/gedlocations.shtml</w:t>
        </w:r>
      </w:hyperlink>
      <w:r w:rsidRPr="004A0C12">
        <w:rPr>
          <w:rFonts w:ascii="Garamond" w:hAnsi="Garamond"/>
        </w:rPr>
        <w:t xml:space="preserve">. </w:t>
      </w:r>
    </w:p>
    <w:p w14:paraId="7095FAF9" w14:textId="77777777" w:rsidR="009F5EDD" w:rsidRPr="00B25499" w:rsidRDefault="009F5EDD" w:rsidP="009F5EDD">
      <w:pPr>
        <w:pStyle w:val="Heading4"/>
        <w:spacing w:before="0" w:line="240" w:lineRule="auto"/>
        <w:rPr>
          <w:rFonts w:ascii="Garamond" w:hAnsi="Garamond"/>
          <w:sz w:val="24"/>
          <w:szCs w:val="24"/>
        </w:rPr>
      </w:pPr>
    </w:p>
    <w:p w14:paraId="44CA0AD5" w14:textId="77777777" w:rsidR="0074457B" w:rsidRPr="00B25499" w:rsidRDefault="0074457B" w:rsidP="009F5EDD">
      <w:pPr>
        <w:pStyle w:val="Heading4"/>
        <w:spacing w:before="0" w:line="240" w:lineRule="auto"/>
        <w:rPr>
          <w:rFonts w:ascii="Garamond" w:hAnsi="Garamond"/>
          <w:sz w:val="24"/>
          <w:szCs w:val="24"/>
        </w:rPr>
      </w:pPr>
      <w:r w:rsidRPr="00B25499">
        <w:rPr>
          <w:rFonts w:ascii="Garamond" w:hAnsi="Garamond"/>
          <w:sz w:val="24"/>
          <w:szCs w:val="24"/>
        </w:rPr>
        <w:t xml:space="preserve">Office of Correctional Education </w:t>
      </w:r>
    </w:p>
    <w:p w14:paraId="160E73CF" w14:textId="687ECF57" w:rsidR="0074457B" w:rsidRPr="004A0C12" w:rsidRDefault="009F5EDD" w:rsidP="009F5EDD">
      <w:pPr>
        <w:spacing w:after="0" w:line="240" w:lineRule="auto"/>
        <w:jc w:val="both"/>
        <w:rPr>
          <w:rFonts w:ascii="Garamond" w:hAnsi="Garamond"/>
        </w:rPr>
      </w:pPr>
      <w:r w:rsidRPr="004A0C12">
        <w:rPr>
          <w:rFonts w:ascii="Garamond" w:hAnsi="Garamond"/>
        </w:rPr>
        <w:t>T</w:t>
      </w:r>
      <w:r w:rsidR="0074457B" w:rsidRPr="004A0C12">
        <w:rPr>
          <w:rFonts w:ascii="Garamond" w:hAnsi="Garamond"/>
        </w:rPr>
        <w:t>he Office of Correctional Education provides educational opportunities for incarcerated men and women enabling them to become independent and productive workers, citizens</w:t>
      </w:r>
      <w:r w:rsidR="00C81EEA" w:rsidRPr="004A0C12">
        <w:rPr>
          <w:rFonts w:ascii="Garamond" w:hAnsi="Garamond"/>
        </w:rPr>
        <w:t>,</w:t>
      </w:r>
      <w:r w:rsidR="0074457B" w:rsidRPr="004A0C12">
        <w:rPr>
          <w:rFonts w:ascii="Garamond" w:hAnsi="Garamond"/>
        </w:rPr>
        <w:t xml:space="preserve"> and parents. The Office, with the oversight of the Correctional Education Council, and in partnership with the Department of Public Safety and Correctional Services (DPSCS) is responsible for the academic and vocational educational programs provided in Maryland’s correctional institutions. </w:t>
      </w:r>
    </w:p>
    <w:p w14:paraId="437D8B4A" w14:textId="77777777" w:rsidR="00440FE5" w:rsidRPr="004A0C12" w:rsidRDefault="00440FE5" w:rsidP="009F5EDD">
      <w:pPr>
        <w:spacing w:after="0" w:line="240" w:lineRule="auto"/>
        <w:jc w:val="both"/>
        <w:rPr>
          <w:rFonts w:ascii="Garamond" w:hAnsi="Garamond"/>
        </w:rPr>
      </w:pPr>
    </w:p>
    <w:p w14:paraId="42556D79" w14:textId="66F51CDD" w:rsidR="00A816E3" w:rsidRPr="004A0C12" w:rsidRDefault="0074457B" w:rsidP="008E59E3">
      <w:pPr>
        <w:spacing w:after="0" w:line="240" w:lineRule="auto"/>
        <w:jc w:val="both"/>
        <w:rPr>
          <w:rFonts w:ascii="Garamond" w:hAnsi="Garamond"/>
        </w:rPr>
      </w:pPr>
      <w:r w:rsidRPr="004A0C12">
        <w:rPr>
          <w:rFonts w:ascii="Garamond" w:hAnsi="Garamond"/>
        </w:rPr>
        <w:t>The academic program begins with basic literacy and continues along a learning continuum through high school</w:t>
      </w:r>
      <w:r w:rsidR="007750CA" w:rsidRPr="004A0C12">
        <w:rPr>
          <w:rFonts w:ascii="Garamond" w:hAnsi="Garamond"/>
        </w:rPr>
        <w:t xml:space="preserve"> equivalency</w:t>
      </w:r>
      <w:r w:rsidRPr="004A0C12">
        <w:rPr>
          <w:rFonts w:ascii="Garamond" w:hAnsi="Garamond"/>
        </w:rPr>
        <w:t xml:space="preserve"> completion.  Special education services are also available to eligible students.  Upon attainment of the Maryland High School Dip</w:t>
      </w:r>
      <w:r w:rsidR="008E59E3" w:rsidRPr="004A0C12">
        <w:rPr>
          <w:rFonts w:ascii="Garamond" w:hAnsi="Garamond"/>
        </w:rPr>
        <w:t>loma through passage of the GED</w:t>
      </w:r>
      <w:r w:rsidR="008E59E3" w:rsidRPr="004A0C12">
        <w:rPr>
          <w:rFonts w:ascii="Garamond" w:hAnsi="Garamond" w:cs="Times New Roman"/>
          <w:color w:val="545454"/>
          <w:shd w:val="clear" w:color="auto" w:fill="FFFFFF"/>
        </w:rPr>
        <w:t>®</w:t>
      </w:r>
      <w:r w:rsidR="008E59E3" w:rsidRPr="004A0C12">
        <w:rPr>
          <w:rFonts w:ascii="Garamond" w:hAnsi="Garamond"/>
        </w:rPr>
        <w:t xml:space="preserve"> </w:t>
      </w:r>
      <w:r w:rsidRPr="004A0C12">
        <w:rPr>
          <w:rFonts w:ascii="Garamond" w:hAnsi="Garamond"/>
        </w:rPr>
        <w:t xml:space="preserve">examination, students may participate in one of 23 occupational programs or limited post-secondary education courses. Many of the occupational programs provide a unique opportunity for the inmate to obtain nationally recognized credentials, with the goal of reaching economic self-sufficiency. </w:t>
      </w:r>
    </w:p>
    <w:p w14:paraId="6255A1C2" w14:textId="77777777" w:rsidR="00440FE5" w:rsidRPr="004A0C12" w:rsidRDefault="00440FE5" w:rsidP="008E59E3">
      <w:pPr>
        <w:spacing w:after="0" w:line="240" w:lineRule="auto"/>
        <w:jc w:val="both"/>
        <w:rPr>
          <w:rFonts w:ascii="Garamond" w:hAnsi="Garamond"/>
        </w:rPr>
      </w:pPr>
    </w:p>
    <w:tbl>
      <w:tblPr>
        <w:tblStyle w:val="PlainTable11"/>
        <w:tblW w:w="0" w:type="auto"/>
        <w:jc w:val="center"/>
        <w:tblLayout w:type="fixed"/>
        <w:tblLook w:val="0000" w:firstRow="0" w:lastRow="0" w:firstColumn="0" w:lastColumn="0" w:noHBand="0" w:noVBand="0"/>
        <w:tblCaption w:val="Occupational Programs Offered by Maryland Correctional Education"/>
        <w:tblDescription w:val="The following occupational programs are offered by Maryland Correctional Education: Architectural CADD; Pre-Apprenticeship Facilities Maintenance; Automotive Body Repair; Pre-Apprenticeship HVAC/R; Automotive Maintenance and Inspection; Pre-Apprenticeship Masonry; Building Maintenance; Pre-Apprenticeship Plumbing; Fabric and Upholstery Cleaning; Pre-Apprenticeship Sheet Metal;  Furniture Upholstery; Pre-Apprenticeship Welding; Graphic Arts and Design; Print Communication; Introduction to Word and Excel; Roofing; Office Practice and Management; Small Engine Repair;Office Technology; Warehouse/Distribution; Pre-Apprenticeship Carpentry; Woodworking/Finish Carpentry; and,  Pre-Apprenticeship Electrical.&#10;"/>
      </w:tblPr>
      <w:tblGrid>
        <w:gridCol w:w="3888"/>
        <w:gridCol w:w="4050"/>
      </w:tblGrid>
      <w:tr w:rsidR="0074457B" w:rsidRPr="004A0C12" w14:paraId="3FAA8C21" w14:textId="77777777" w:rsidTr="008B1D9A">
        <w:trPr>
          <w:trHeight w:val="320"/>
          <w:tblHeader/>
          <w:jc w:val="center"/>
        </w:trPr>
        <w:tc>
          <w:tcPr>
            <w:cnfStyle w:val="000010000000" w:firstRow="0" w:lastRow="0" w:firstColumn="0" w:lastColumn="0" w:oddVBand="1" w:evenVBand="0" w:oddHBand="0" w:evenHBand="0" w:firstRowFirstColumn="0" w:firstRowLastColumn="0" w:lastRowFirstColumn="0" w:lastRowLastColumn="0"/>
            <w:tcW w:w="7938" w:type="dxa"/>
            <w:gridSpan w:val="2"/>
          </w:tcPr>
          <w:p w14:paraId="0A2B7169" w14:textId="0CC7BD5C" w:rsidR="0074457B" w:rsidRPr="004A0C12" w:rsidRDefault="00C81EEA" w:rsidP="0074457B">
            <w:pPr>
              <w:jc w:val="center"/>
              <w:rPr>
                <w:rFonts w:ascii="Garamond" w:hAnsi="Garamond"/>
                <w:b/>
                <w:sz w:val="22"/>
                <w:szCs w:val="22"/>
              </w:rPr>
            </w:pPr>
            <w:r w:rsidRPr="004A0C12">
              <w:rPr>
                <w:rFonts w:ascii="Garamond" w:hAnsi="Garamond"/>
                <w:b/>
                <w:sz w:val="22"/>
                <w:szCs w:val="22"/>
              </w:rPr>
              <w:t>Occupational Programs O</w:t>
            </w:r>
            <w:r w:rsidR="0074457B" w:rsidRPr="004A0C12">
              <w:rPr>
                <w:rFonts w:ascii="Garamond" w:hAnsi="Garamond"/>
                <w:b/>
                <w:sz w:val="22"/>
                <w:szCs w:val="22"/>
              </w:rPr>
              <w:t>ffered by Maryland Correctional Education</w:t>
            </w:r>
          </w:p>
        </w:tc>
      </w:tr>
      <w:tr w:rsidR="0074457B" w:rsidRPr="004A0C12" w14:paraId="1B9FBCAE" w14:textId="77777777" w:rsidTr="00C81EEA">
        <w:trPr>
          <w:cnfStyle w:val="000000100000" w:firstRow="0" w:lastRow="0" w:firstColumn="0" w:lastColumn="0" w:oddVBand="0" w:evenVBand="0" w:oddHBand="1" w:evenHBand="0" w:firstRowFirstColumn="0" w:firstRowLastColumn="0" w:lastRowFirstColumn="0" w:lastRowLastColumn="0"/>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0CCEB6AB" w14:textId="77777777" w:rsidR="0074457B" w:rsidRPr="004A0C12" w:rsidRDefault="0074457B" w:rsidP="0074457B">
            <w:pPr>
              <w:rPr>
                <w:rFonts w:ascii="Garamond" w:hAnsi="Garamond"/>
                <w:b/>
                <w:sz w:val="22"/>
                <w:szCs w:val="22"/>
              </w:rPr>
            </w:pPr>
            <w:r w:rsidRPr="004A0C12">
              <w:rPr>
                <w:rFonts w:ascii="Garamond" w:hAnsi="Garamond"/>
                <w:b/>
                <w:sz w:val="22"/>
                <w:szCs w:val="22"/>
              </w:rPr>
              <w:t>Architectural CADD</w:t>
            </w:r>
          </w:p>
        </w:tc>
        <w:tc>
          <w:tcPr>
            <w:tcW w:w="4050" w:type="dxa"/>
          </w:tcPr>
          <w:p w14:paraId="71426814"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Pre-Apprenticeship Facilities Maintenance</w:t>
            </w:r>
          </w:p>
        </w:tc>
      </w:tr>
      <w:tr w:rsidR="0074457B" w:rsidRPr="004A0C12" w14:paraId="4F632DA3" w14:textId="77777777" w:rsidTr="00C81EEA">
        <w:trPr>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5A162AF6" w14:textId="77777777" w:rsidR="0074457B" w:rsidRPr="004A0C12" w:rsidRDefault="0074457B" w:rsidP="0074457B">
            <w:pPr>
              <w:rPr>
                <w:rFonts w:ascii="Garamond" w:hAnsi="Garamond"/>
                <w:b/>
                <w:sz w:val="22"/>
                <w:szCs w:val="22"/>
              </w:rPr>
            </w:pPr>
            <w:r w:rsidRPr="004A0C12">
              <w:rPr>
                <w:rFonts w:ascii="Garamond" w:hAnsi="Garamond"/>
                <w:b/>
                <w:sz w:val="22"/>
                <w:szCs w:val="22"/>
              </w:rPr>
              <w:t>Automotive Body Repair</w:t>
            </w:r>
          </w:p>
        </w:tc>
        <w:tc>
          <w:tcPr>
            <w:tcW w:w="4050" w:type="dxa"/>
          </w:tcPr>
          <w:p w14:paraId="1F7B11B6"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Pre-Apprenticeship HVAC/R</w:t>
            </w:r>
          </w:p>
        </w:tc>
      </w:tr>
      <w:tr w:rsidR="0074457B" w:rsidRPr="004A0C12" w14:paraId="7E912FA0" w14:textId="77777777" w:rsidTr="00C81EEA">
        <w:trPr>
          <w:cnfStyle w:val="000000100000" w:firstRow="0" w:lastRow="0" w:firstColumn="0" w:lastColumn="0" w:oddVBand="0" w:evenVBand="0" w:oddHBand="1" w:evenHBand="0" w:firstRowFirstColumn="0" w:firstRowLastColumn="0" w:lastRowFirstColumn="0" w:lastRowLastColumn="0"/>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2ADA9ABC" w14:textId="77777777" w:rsidR="0074457B" w:rsidRPr="004A0C12" w:rsidRDefault="0074457B" w:rsidP="0074457B">
            <w:pPr>
              <w:rPr>
                <w:rFonts w:ascii="Garamond" w:hAnsi="Garamond"/>
                <w:b/>
                <w:sz w:val="22"/>
                <w:szCs w:val="22"/>
              </w:rPr>
            </w:pPr>
            <w:r w:rsidRPr="004A0C12">
              <w:rPr>
                <w:rFonts w:ascii="Garamond" w:hAnsi="Garamond"/>
                <w:b/>
                <w:sz w:val="22"/>
                <w:szCs w:val="22"/>
              </w:rPr>
              <w:t>Automotive Maintenance and Inspection</w:t>
            </w:r>
          </w:p>
        </w:tc>
        <w:tc>
          <w:tcPr>
            <w:tcW w:w="4050" w:type="dxa"/>
          </w:tcPr>
          <w:p w14:paraId="1F6EF3F1"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Pre-Apprenticeship Masonry</w:t>
            </w:r>
          </w:p>
        </w:tc>
      </w:tr>
      <w:tr w:rsidR="0074457B" w:rsidRPr="004A0C12" w14:paraId="5A76BB7A" w14:textId="77777777" w:rsidTr="00C81EEA">
        <w:trPr>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22DD0D7B" w14:textId="77777777" w:rsidR="0074457B" w:rsidRPr="004A0C12" w:rsidRDefault="0074457B" w:rsidP="0074457B">
            <w:pPr>
              <w:rPr>
                <w:rFonts w:ascii="Garamond" w:hAnsi="Garamond"/>
                <w:b/>
                <w:sz w:val="22"/>
                <w:szCs w:val="22"/>
              </w:rPr>
            </w:pPr>
            <w:r w:rsidRPr="004A0C12">
              <w:rPr>
                <w:rFonts w:ascii="Garamond" w:hAnsi="Garamond"/>
                <w:b/>
                <w:sz w:val="22"/>
                <w:szCs w:val="22"/>
              </w:rPr>
              <w:t>Building Maintenance</w:t>
            </w:r>
          </w:p>
        </w:tc>
        <w:tc>
          <w:tcPr>
            <w:tcW w:w="4050" w:type="dxa"/>
          </w:tcPr>
          <w:p w14:paraId="155AE102"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Pre-Apprenticeship Plumbing</w:t>
            </w:r>
          </w:p>
        </w:tc>
      </w:tr>
      <w:tr w:rsidR="0074457B" w:rsidRPr="004A0C12" w14:paraId="745058F3" w14:textId="77777777" w:rsidTr="00C81EEA">
        <w:trPr>
          <w:cnfStyle w:val="000000100000" w:firstRow="0" w:lastRow="0" w:firstColumn="0" w:lastColumn="0" w:oddVBand="0" w:evenVBand="0" w:oddHBand="1" w:evenHBand="0" w:firstRowFirstColumn="0" w:firstRowLastColumn="0" w:lastRowFirstColumn="0" w:lastRowLastColumn="0"/>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1803288A" w14:textId="77777777" w:rsidR="0074457B" w:rsidRPr="004A0C12" w:rsidRDefault="0074457B" w:rsidP="0074457B">
            <w:pPr>
              <w:rPr>
                <w:rFonts w:ascii="Garamond" w:hAnsi="Garamond"/>
                <w:b/>
                <w:sz w:val="22"/>
                <w:szCs w:val="22"/>
              </w:rPr>
            </w:pPr>
            <w:r w:rsidRPr="004A0C12">
              <w:rPr>
                <w:rFonts w:ascii="Garamond" w:hAnsi="Garamond"/>
                <w:b/>
                <w:sz w:val="22"/>
                <w:szCs w:val="22"/>
              </w:rPr>
              <w:t>Fabric and Upholstery Cleaning</w:t>
            </w:r>
          </w:p>
        </w:tc>
        <w:tc>
          <w:tcPr>
            <w:tcW w:w="4050" w:type="dxa"/>
          </w:tcPr>
          <w:p w14:paraId="4C36FB37"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Pre-Apprenticeship Sheet Metal</w:t>
            </w:r>
          </w:p>
        </w:tc>
      </w:tr>
      <w:tr w:rsidR="0074457B" w:rsidRPr="004A0C12" w14:paraId="284C7EC6" w14:textId="77777777" w:rsidTr="00C81EEA">
        <w:trPr>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497158AA" w14:textId="77777777" w:rsidR="0074457B" w:rsidRPr="004A0C12" w:rsidRDefault="0074457B" w:rsidP="0074457B">
            <w:pPr>
              <w:rPr>
                <w:rFonts w:ascii="Garamond" w:hAnsi="Garamond"/>
                <w:b/>
                <w:sz w:val="22"/>
                <w:szCs w:val="22"/>
              </w:rPr>
            </w:pPr>
            <w:r w:rsidRPr="004A0C12">
              <w:rPr>
                <w:rFonts w:ascii="Garamond" w:hAnsi="Garamond"/>
                <w:b/>
                <w:sz w:val="22"/>
                <w:szCs w:val="22"/>
              </w:rPr>
              <w:t>Furniture Upholstery</w:t>
            </w:r>
          </w:p>
        </w:tc>
        <w:tc>
          <w:tcPr>
            <w:tcW w:w="4050" w:type="dxa"/>
          </w:tcPr>
          <w:p w14:paraId="1C634B4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Pre-Apprenticeship Welding</w:t>
            </w:r>
          </w:p>
        </w:tc>
      </w:tr>
      <w:tr w:rsidR="0074457B" w:rsidRPr="004A0C12" w14:paraId="3DEC3822" w14:textId="77777777" w:rsidTr="00C81EEA">
        <w:trPr>
          <w:cnfStyle w:val="000000100000" w:firstRow="0" w:lastRow="0" w:firstColumn="0" w:lastColumn="0" w:oddVBand="0" w:evenVBand="0" w:oddHBand="1" w:evenHBand="0" w:firstRowFirstColumn="0" w:firstRowLastColumn="0" w:lastRowFirstColumn="0" w:lastRowLastColumn="0"/>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19A83571" w14:textId="77777777" w:rsidR="0074457B" w:rsidRPr="004A0C12" w:rsidRDefault="0074457B" w:rsidP="0074457B">
            <w:pPr>
              <w:rPr>
                <w:rFonts w:ascii="Garamond" w:hAnsi="Garamond"/>
                <w:b/>
                <w:sz w:val="22"/>
                <w:szCs w:val="22"/>
              </w:rPr>
            </w:pPr>
            <w:r w:rsidRPr="004A0C12">
              <w:rPr>
                <w:rFonts w:ascii="Garamond" w:hAnsi="Garamond"/>
                <w:b/>
                <w:sz w:val="22"/>
                <w:szCs w:val="22"/>
              </w:rPr>
              <w:lastRenderedPageBreak/>
              <w:t>Graphic Arts and Design</w:t>
            </w:r>
          </w:p>
        </w:tc>
        <w:tc>
          <w:tcPr>
            <w:tcW w:w="4050" w:type="dxa"/>
          </w:tcPr>
          <w:p w14:paraId="6516FCC7"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Print Communication</w:t>
            </w:r>
          </w:p>
        </w:tc>
      </w:tr>
      <w:tr w:rsidR="0074457B" w:rsidRPr="004A0C12" w14:paraId="73AAE443" w14:textId="77777777" w:rsidTr="00C81EEA">
        <w:trPr>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2A324206" w14:textId="77777777" w:rsidR="0074457B" w:rsidRPr="004A0C12" w:rsidRDefault="0074457B" w:rsidP="0074457B">
            <w:pPr>
              <w:rPr>
                <w:rFonts w:ascii="Garamond" w:hAnsi="Garamond"/>
                <w:b/>
                <w:sz w:val="22"/>
                <w:szCs w:val="22"/>
              </w:rPr>
            </w:pPr>
            <w:r w:rsidRPr="004A0C12">
              <w:rPr>
                <w:rFonts w:ascii="Garamond" w:hAnsi="Garamond"/>
                <w:b/>
                <w:sz w:val="22"/>
                <w:szCs w:val="22"/>
              </w:rPr>
              <w:t>Introduction to Word and Excel</w:t>
            </w:r>
          </w:p>
        </w:tc>
        <w:tc>
          <w:tcPr>
            <w:tcW w:w="4050" w:type="dxa"/>
          </w:tcPr>
          <w:p w14:paraId="651BB991"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Roofing</w:t>
            </w:r>
          </w:p>
        </w:tc>
      </w:tr>
      <w:tr w:rsidR="0074457B" w:rsidRPr="004A0C12" w14:paraId="672D0382" w14:textId="77777777" w:rsidTr="00C81EEA">
        <w:trPr>
          <w:cnfStyle w:val="000000100000" w:firstRow="0" w:lastRow="0" w:firstColumn="0" w:lastColumn="0" w:oddVBand="0" w:evenVBand="0" w:oddHBand="1" w:evenHBand="0" w:firstRowFirstColumn="0" w:firstRowLastColumn="0" w:lastRowFirstColumn="0" w:lastRowLastColumn="0"/>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7E03D074" w14:textId="77777777" w:rsidR="0074457B" w:rsidRPr="004A0C12" w:rsidRDefault="0074457B" w:rsidP="0074457B">
            <w:pPr>
              <w:rPr>
                <w:rFonts w:ascii="Garamond" w:hAnsi="Garamond"/>
                <w:b/>
                <w:sz w:val="22"/>
                <w:szCs w:val="22"/>
              </w:rPr>
            </w:pPr>
            <w:r w:rsidRPr="004A0C12">
              <w:rPr>
                <w:rFonts w:ascii="Garamond" w:hAnsi="Garamond"/>
                <w:b/>
                <w:sz w:val="22"/>
                <w:szCs w:val="22"/>
              </w:rPr>
              <w:t>Office Practice and Management</w:t>
            </w:r>
          </w:p>
        </w:tc>
        <w:tc>
          <w:tcPr>
            <w:tcW w:w="4050" w:type="dxa"/>
          </w:tcPr>
          <w:p w14:paraId="7360E48E"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Small Engine Repair</w:t>
            </w:r>
          </w:p>
        </w:tc>
      </w:tr>
      <w:tr w:rsidR="0074457B" w:rsidRPr="004A0C12" w14:paraId="38F37EBE" w14:textId="77777777" w:rsidTr="00C81EEA">
        <w:trPr>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44EC9008" w14:textId="77777777" w:rsidR="0074457B" w:rsidRPr="004A0C12" w:rsidRDefault="0074457B" w:rsidP="0074457B">
            <w:pPr>
              <w:rPr>
                <w:rFonts w:ascii="Garamond" w:hAnsi="Garamond"/>
                <w:b/>
                <w:sz w:val="22"/>
                <w:szCs w:val="22"/>
              </w:rPr>
            </w:pPr>
            <w:r w:rsidRPr="004A0C12">
              <w:rPr>
                <w:rFonts w:ascii="Garamond" w:hAnsi="Garamond"/>
                <w:b/>
                <w:sz w:val="22"/>
                <w:szCs w:val="22"/>
              </w:rPr>
              <w:t>Office Technology</w:t>
            </w:r>
          </w:p>
        </w:tc>
        <w:tc>
          <w:tcPr>
            <w:tcW w:w="4050" w:type="dxa"/>
          </w:tcPr>
          <w:p w14:paraId="425E5BC5"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Warehouse/Distribution</w:t>
            </w:r>
          </w:p>
        </w:tc>
      </w:tr>
      <w:tr w:rsidR="0074457B" w:rsidRPr="004A0C12" w14:paraId="4FE3EFE9" w14:textId="77777777" w:rsidTr="00C81EEA">
        <w:trPr>
          <w:cnfStyle w:val="000000100000" w:firstRow="0" w:lastRow="0" w:firstColumn="0" w:lastColumn="0" w:oddVBand="0" w:evenVBand="0" w:oddHBand="1" w:evenHBand="0" w:firstRowFirstColumn="0" w:firstRowLastColumn="0" w:lastRowFirstColumn="0" w:lastRowLastColumn="0"/>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70520142" w14:textId="77777777" w:rsidR="0074457B" w:rsidRPr="004A0C12" w:rsidRDefault="0074457B" w:rsidP="0074457B">
            <w:pPr>
              <w:rPr>
                <w:rFonts w:ascii="Garamond" w:hAnsi="Garamond"/>
                <w:b/>
                <w:sz w:val="22"/>
                <w:szCs w:val="22"/>
              </w:rPr>
            </w:pPr>
            <w:r w:rsidRPr="004A0C12">
              <w:rPr>
                <w:rFonts w:ascii="Garamond" w:hAnsi="Garamond"/>
                <w:b/>
                <w:sz w:val="22"/>
                <w:szCs w:val="22"/>
              </w:rPr>
              <w:t>Pre-Apprenticeship Carpentry</w:t>
            </w:r>
          </w:p>
        </w:tc>
        <w:tc>
          <w:tcPr>
            <w:tcW w:w="4050" w:type="dxa"/>
          </w:tcPr>
          <w:p w14:paraId="150730B3"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Woodworking/Finish Carpentry</w:t>
            </w:r>
          </w:p>
        </w:tc>
      </w:tr>
      <w:tr w:rsidR="0074457B" w:rsidRPr="004A0C12" w14:paraId="144D425B" w14:textId="77777777" w:rsidTr="00C81EEA">
        <w:trPr>
          <w:trHeight w:val="320"/>
          <w:jc w:val="center"/>
        </w:trPr>
        <w:tc>
          <w:tcPr>
            <w:cnfStyle w:val="000010000000" w:firstRow="0" w:lastRow="0" w:firstColumn="0" w:lastColumn="0" w:oddVBand="1" w:evenVBand="0" w:oddHBand="0" w:evenHBand="0" w:firstRowFirstColumn="0" w:firstRowLastColumn="0" w:lastRowFirstColumn="0" w:lastRowLastColumn="0"/>
            <w:tcW w:w="3888" w:type="dxa"/>
          </w:tcPr>
          <w:p w14:paraId="76778FEA" w14:textId="77777777" w:rsidR="0074457B" w:rsidRPr="004A0C12" w:rsidRDefault="0074457B" w:rsidP="0074457B">
            <w:pPr>
              <w:rPr>
                <w:rFonts w:ascii="Garamond" w:hAnsi="Garamond"/>
                <w:b/>
                <w:sz w:val="22"/>
                <w:szCs w:val="22"/>
              </w:rPr>
            </w:pPr>
            <w:r w:rsidRPr="004A0C12">
              <w:rPr>
                <w:rFonts w:ascii="Garamond" w:hAnsi="Garamond"/>
                <w:b/>
                <w:sz w:val="22"/>
                <w:szCs w:val="22"/>
              </w:rPr>
              <w:t>Pre-Apprenticeship Electrical</w:t>
            </w:r>
          </w:p>
        </w:tc>
        <w:tc>
          <w:tcPr>
            <w:tcW w:w="4050" w:type="dxa"/>
          </w:tcPr>
          <w:p w14:paraId="63D8EEC7"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p>
        </w:tc>
      </w:tr>
    </w:tbl>
    <w:p w14:paraId="72F74C69" w14:textId="77777777" w:rsidR="00A816E3" w:rsidRPr="004A0C12" w:rsidRDefault="00A816E3" w:rsidP="0074457B">
      <w:pPr>
        <w:pStyle w:val="ListParagraph"/>
        <w:ind w:left="0"/>
        <w:jc w:val="both"/>
        <w:rPr>
          <w:rFonts w:ascii="Garamond" w:hAnsi="Garamond"/>
          <w:szCs w:val="22"/>
        </w:rPr>
      </w:pPr>
    </w:p>
    <w:p w14:paraId="143B508F" w14:textId="77777777" w:rsidR="0074457B" w:rsidRPr="004A0C12" w:rsidRDefault="0074457B" w:rsidP="0074457B">
      <w:pPr>
        <w:spacing w:after="0" w:line="240" w:lineRule="auto"/>
        <w:jc w:val="both"/>
        <w:rPr>
          <w:rFonts w:ascii="Garamond" w:hAnsi="Garamond"/>
        </w:rPr>
      </w:pPr>
      <w:r w:rsidRPr="004A0C12">
        <w:rPr>
          <w:rFonts w:ascii="Garamond" w:hAnsi="Garamond"/>
        </w:rPr>
        <w:t>Transitional programs also provide students with skills for developing short and long term employment plans including job search strategies and soft skills training for job readiness.  In short, the program seeks to provide educational opportunities to support the inmate’s successful reentry and reintegration into the community.</w:t>
      </w:r>
    </w:p>
    <w:p w14:paraId="428E2D87" w14:textId="77777777" w:rsidR="0074457B" w:rsidRPr="00B25499" w:rsidRDefault="0074457B" w:rsidP="0074457B">
      <w:pPr>
        <w:pStyle w:val="Heading3"/>
        <w:rPr>
          <w:rFonts w:ascii="Garamond" w:hAnsi="Garamond"/>
          <w:sz w:val="24"/>
          <w:szCs w:val="24"/>
        </w:rPr>
      </w:pPr>
      <w:bookmarkStart w:id="82" w:name="_Toc447276126"/>
      <w:r w:rsidRPr="00B25499">
        <w:rPr>
          <w:rFonts w:ascii="Garamond" w:hAnsi="Garamond"/>
          <w:sz w:val="24"/>
          <w:szCs w:val="24"/>
        </w:rPr>
        <w:t>Maryland State Department of Education – Division of Rehabilitation Services</w:t>
      </w:r>
      <w:bookmarkEnd w:id="82"/>
      <w:r w:rsidRPr="00B25499">
        <w:rPr>
          <w:rFonts w:ascii="Garamond" w:hAnsi="Garamond"/>
          <w:sz w:val="24"/>
          <w:szCs w:val="24"/>
        </w:rPr>
        <w:t xml:space="preserve"> </w:t>
      </w:r>
    </w:p>
    <w:p w14:paraId="63757AFE" w14:textId="3EF96868" w:rsidR="0074457B" w:rsidRPr="004A0C12" w:rsidRDefault="007750CA" w:rsidP="0074457B">
      <w:pPr>
        <w:spacing w:after="0" w:line="240" w:lineRule="auto"/>
        <w:jc w:val="both"/>
        <w:rPr>
          <w:rFonts w:ascii="Garamond" w:hAnsi="Garamond" w:cs="Times New Roman"/>
        </w:rPr>
      </w:pPr>
      <w:r w:rsidRPr="004A0C12">
        <w:rPr>
          <w:rFonts w:ascii="Garamond" w:hAnsi="Garamond" w:cs="Times New Roman"/>
        </w:rPr>
        <w:t xml:space="preserve">The public </w:t>
      </w:r>
      <w:r w:rsidR="0074457B" w:rsidRPr="004A0C12">
        <w:rPr>
          <w:rFonts w:ascii="Garamond" w:hAnsi="Garamond" w:cs="Times New Roman"/>
        </w:rPr>
        <w:t>Vocational Rehabilitation Program in Maryland is administered by the Maryland State Department of Education’s Division of Rehabilitation Services (DORS) in accordance with the Rehabilitation Act of 1973, as amended, most recently by the Workforce Innovation and Opportunity Act of 2014. DORS is funded primarily by t</w:t>
      </w:r>
      <w:r w:rsidRPr="004A0C12">
        <w:rPr>
          <w:rFonts w:ascii="Garamond" w:hAnsi="Garamond" w:cs="Times New Roman"/>
        </w:rPr>
        <w:t>he United States</w:t>
      </w:r>
      <w:r w:rsidR="00B07B43" w:rsidRPr="004A0C12">
        <w:rPr>
          <w:rFonts w:ascii="Garamond" w:hAnsi="Garamond" w:cs="Times New Roman"/>
        </w:rPr>
        <w:t xml:space="preserve"> Department of Education’s</w:t>
      </w:r>
      <w:r w:rsidR="0074457B" w:rsidRPr="004A0C12">
        <w:rPr>
          <w:rFonts w:ascii="Garamond" w:hAnsi="Garamond" w:cs="Times New Roman"/>
        </w:rPr>
        <w:t xml:space="preserve"> Rehabilitation Services Administration. The federal funding includes a State mat</w:t>
      </w:r>
      <w:r w:rsidR="00B07B43" w:rsidRPr="004A0C12">
        <w:rPr>
          <w:rFonts w:ascii="Garamond" w:hAnsi="Garamond" w:cs="Times New Roman"/>
        </w:rPr>
        <w:t>ching requirement (Federal 78.7 percent and State match of 21.3 percent</w:t>
      </w:r>
      <w:r w:rsidR="0074457B" w:rsidRPr="004A0C12">
        <w:rPr>
          <w:rFonts w:ascii="Garamond" w:hAnsi="Garamond" w:cs="Times New Roman"/>
        </w:rPr>
        <w:t xml:space="preserve">) and maintenance of effort requirement. </w:t>
      </w:r>
    </w:p>
    <w:p w14:paraId="2CFC5225" w14:textId="77777777" w:rsidR="0074457B" w:rsidRPr="004A0C12" w:rsidRDefault="0074457B" w:rsidP="0074457B">
      <w:pPr>
        <w:spacing w:after="0" w:line="240" w:lineRule="auto"/>
        <w:jc w:val="both"/>
        <w:rPr>
          <w:rFonts w:ascii="Garamond" w:hAnsi="Garamond" w:cs="Times New Roman"/>
        </w:rPr>
      </w:pPr>
    </w:p>
    <w:p w14:paraId="66E8102F" w14:textId="7777777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DORS provides services and supports to assist eligible students, youth, and adults with significant disabilities transition to post-secondary education, training, and employment. Vocational rehabilitation services and Pre-Employment Transition Services are provided by the following branches:</w:t>
      </w:r>
    </w:p>
    <w:p w14:paraId="6FC1C47F" w14:textId="77777777" w:rsidR="0074457B" w:rsidRPr="004A0C12" w:rsidRDefault="0074457B" w:rsidP="0074457B">
      <w:pPr>
        <w:spacing w:after="0" w:line="240" w:lineRule="auto"/>
        <w:jc w:val="both"/>
        <w:rPr>
          <w:rFonts w:ascii="Garamond" w:hAnsi="Garamond" w:cs="Times New Roman"/>
        </w:rPr>
      </w:pPr>
    </w:p>
    <w:p w14:paraId="779C2BC7" w14:textId="2A967EF6" w:rsidR="0074457B" w:rsidRPr="004A0C12" w:rsidRDefault="007750CA" w:rsidP="00F733CF">
      <w:pPr>
        <w:pStyle w:val="ListParagraph"/>
        <w:numPr>
          <w:ilvl w:val="0"/>
          <w:numId w:val="81"/>
        </w:numPr>
        <w:ind w:left="720" w:hanging="360"/>
        <w:jc w:val="both"/>
        <w:rPr>
          <w:rFonts w:ascii="Garamond" w:hAnsi="Garamond"/>
          <w:szCs w:val="22"/>
        </w:rPr>
      </w:pPr>
      <w:r w:rsidRPr="004A0C12">
        <w:rPr>
          <w:rFonts w:ascii="Garamond" w:hAnsi="Garamond"/>
          <w:b/>
          <w:i/>
          <w:szCs w:val="22"/>
        </w:rPr>
        <w:t xml:space="preserve">The </w:t>
      </w:r>
      <w:r w:rsidR="0074457B" w:rsidRPr="004A0C12">
        <w:rPr>
          <w:rFonts w:ascii="Garamond" w:hAnsi="Garamond"/>
          <w:b/>
          <w:i/>
          <w:szCs w:val="22"/>
        </w:rPr>
        <w:t>Office of Field Services</w:t>
      </w:r>
      <w:r w:rsidRPr="004A0C12">
        <w:rPr>
          <w:rFonts w:ascii="Garamond" w:hAnsi="Garamond"/>
          <w:szCs w:val="22"/>
        </w:rPr>
        <w:t xml:space="preserve"> </w:t>
      </w:r>
      <w:r w:rsidR="0074457B" w:rsidRPr="004A0C12">
        <w:rPr>
          <w:rFonts w:ascii="Garamond" w:hAnsi="Garamond"/>
          <w:szCs w:val="22"/>
        </w:rPr>
        <w:t>provides services such as career counseling, assistive technol</w:t>
      </w:r>
      <w:r w:rsidRPr="004A0C12">
        <w:rPr>
          <w:rFonts w:ascii="Garamond" w:hAnsi="Garamond"/>
          <w:szCs w:val="22"/>
        </w:rPr>
        <w:t>ogy, vocational training and job placement services. S</w:t>
      </w:r>
      <w:r w:rsidR="0074457B" w:rsidRPr="004A0C12">
        <w:rPr>
          <w:rFonts w:ascii="Garamond" w:hAnsi="Garamond"/>
          <w:szCs w:val="22"/>
        </w:rPr>
        <w:t xml:space="preserve">taff </w:t>
      </w:r>
      <w:r w:rsidRPr="004A0C12">
        <w:rPr>
          <w:rFonts w:ascii="Garamond" w:hAnsi="Garamond"/>
          <w:szCs w:val="22"/>
        </w:rPr>
        <w:t>members are</w:t>
      </w:r>
      <w:r w:rsidR="0074457B" w:rsidRPr="004A0C12">
        <w:rPr>
          <w:rFonts w:ascii="Garamond" w:hAnsi="Garamond"/>
          <w:szCs w:val="22"/>
        </w:rPr>
        <w:t xml:space="preserve"> located in 22 field offices located throughout the State, some of which are co-located with American Job Centers.</w:t>
      </w:r>
    </w:p>
    <w:p w14:paraId="3D486402" w14:textId="6D9C1766" w:rsidR="0074457B" w:rsidRPr="004A0C12" w:rsidRDefault="0074457B" w:rsidP="00F733CF">
      <w:pPr>
        <w:pStyle w:val="ListParagraph"/>
        <w:numPr>
          <w:ilvl w:val="0"/>
          <w:numId w:val="81"/>
        </w:numPr>
        <w:ind w:left="720" w:hanging="360"/>
        <w:jc w:val="both"/>
        <w:rPr>
          <w:rFonts w:ascii="Garamond" w:hAnsi="Garamond"/>
          <w:szCs w:val="22"/>
        </w:rPr>
      </w:pPr>
      <w:r w:rsidRPr="004A0C12">
        <w:rPr>
          <w:rFonts w:ascii="Garamond" w:hAnsi="Garamond"/>
          <w:b/>
          <w:i/>
          <w:szCs w:val="22"/>
        </w:rPr>
        <w:t>Office for</w:t>
      </w:r>
      <w:r w:rsidR="007750CA" w:rsidRPr="004A0C12">
        <w:rPr>
          <w:rFonts w:ascii="Garamond" w:hAnsi="Garamond"/>
          <w:b/>
          <w:i/>
          <w:szCs w:val="22"/>
        </w:rPr>
        <w:t xml:space="preserve"> Blindness and Vision Services </w:t>
      </w:r>
      <w:r w:rsidR="007750CA" w:rsidRPr="004A0C12">
        <w:rPr>
          <w:rFonts w:ascii="Garamond" w:hAnsi="Garamond"/>
          <w:szCs w:val="22"/>
        </w:rPr>
        <w:t xml:space="preserve">was established in 2005. </w:t>
      </w:r>
      <w:proofErr w:type="gramStart"/>
      <w:r w:rsidR="007750CA" w:rsidRPr="004A0C12">
        <w:rPr>
          <w:rFonts w:ascii="Garamond" w:hAnsi="Garamond"/>
          <w:szCs w:val="22"/>
        </w:rPr>
        <w:t>S</w:t>
      </w:r>
      <w:r w:rsidRPr="004A0C12">
        <w:rPr>
          <w:rFonts w:ascii="Garamond" w:hAnsi="Garamond"/>
          <w:szCs w:val="22"/>
        </w:rPr>
        <w:t>taff located in offices statewide specialize</w:t>
      </w:r>
      <w:proofErr w:type="gramEnd"/>
      <w:r w:rsidRPr="004A0C12">
        <w:rPr>
          <w:rFonts w:ascii="Garamond" w:hAnsi="Garamond"/>
          <w:szCs w:val="22"/>
        </w:rPr>
        <w:t xml:space="preserve"> in services to individuals whose primary disability is blindness or vision loss, to assist them in achieving their goals of employment and of independence</w:t>
      </w:r>
      <w:r w:rsidR="007750CA" w:rsidRPr="004A0C12">
        <w:rPr>
          <w:rFonts w:ascii="Garamond" w:hAnsi="Garamond"/>
          <w:szCs w:val="22"/>
        </w:rPr>
        <w:t xml:space="preserve"> in their homes and communities.</w:t>
      </w:r>
      <w:r w:rsidRPr="004A0C12">
        <w:rPr>
          <w:rFonts w:ascii="Garamond" w:hAnsi="Garamond"/>
          <w:szCs w:val="22"/>
        </w:rPr>
        <w:t xml:space="preserve"> </w:t>
      </w:r>
      <w:r w:rsidR="007750CA" w:rsidRPr="004A0C12">
        <w:rPr>
          <w:rFonts w:ascii="Garamond" w:hAnsi="Garamond"/>
          <w:szCs w:val="22"/>
        </w:rPr>
        <w:t xml:space="preserve">The Office </w:t>
      </w:r>
      <w:r w:rsidRPr="004A0C12">
        <w:rPr>
          <w:rFonts w:ascii="Garamond" w:hAnsi="Garamond"/>
          <w:szCs w:val="22"/>
        </w:rPr>
        <w:t xml:space="preserve">oversees the Maryland Business Enterprise Program (BEP) for the Blind, a program that prepares individuals who are legally blind to operate vending, gift, or food service businesses in public facilities, in accordance with the Randolph Sheppard Act. </w:t>
      </w:r>
    </w:p>
    <w:p w14:paraId="1D317E2A" w14:textId="19E22A93" w:rsidR="0074457B" w:rsidRPr="004A0C12" w:rsidRDefault="0074457B" w:rsidP="00F733CF">
      <w:pPr>
        <w:pStyle w:val="ListParagraph"/>
        <w:numPr>
          <w:ilvl w:val="0"/>
          <w:numId w:val="81"/>
        </w:numPr>
        <w:ind w:left="720" w:hanging="360"/>
        <w:jc w:val="both"/>
        <w:rPr>
          <w:rFonts w:ascii="Garamond" w:hAnsi="Garamond"/>
          <w:szCs w:val="22"/>
        </w:rPr>
      </w:pPr>
      <w:r w:rsidRPr="004A0C12">
        <w:rPr>
          <w:rFonts w:ascii="Garamond" w:hAnsi="Garamond"/>
          <w:b/>
          <w:i/>
          <w:szCs w:val="22"/>
        </w:rPr>
        <w:t xml:space="preserve">Workforce and Technology Center </w:t>
      </w:r>
      <w:r w:rsidR="007750CA" w:rsidRPr="004A0C12">
        <w:rPr>
          <w:rFonts w:ascii="Garamond" w:hAnsi="Garamond"/>
          <w:szCs w:val="22"/>
        </w:rPr>
        <w:t>is</w:t>
      </w:r>
      <w:r w:rsidRPr="004A0C12">
        <w:rPr>
          <w:rFonts w:ascii="Garamond" w:hAnsi="Garamond"/>
          <w:szCs w:val="22"/>
        </w:rPr>
        <w:t xml:space="preserve"> a comprehensive vocational rehabilitation facility that offers career assessment services, career and skills training, job placement assistance, assistive technology services, and other medical and support services.</w:t>
      </w:r>
    </w:p>
    <w:p w14:paraId="0EC1D825" w14:textId="77777777" w:rsidR="0074457B" w:rsidRPr="004A0C12" w:rsidRDefault="0074457B" w:rsidP="0074457B">
      <w:pPr>
        <w:spacing w:after="0" w:line="240" w:lineRule="auto"/>
        <w:jc w:val="both"/>
        <w:rPr>
          <w:rFonts w:ascii="Garamond" w:hAnsi="Garamond" w:cs="Times New Roman"/>
        </w:rPr>
      </w:pPr>
    </w:p>
    <w:p w14:paraId="3D8DB079" w14:textId="77777777" w:rsidR="00CC66F0" w:rsidRPr="004A0C12" w:rsidRDefault="0074457B" w:rsidP="0074457B">
      <w:pPr>
        <w:spacing w:after="0" w:line="240" w:lineRule="auto"/>
        <w:jc w:val="both"/>
        <w:rPr>
          <w:rFonts w:ascii="Garamond" w:hAnsi="Garamond" w:cs="Times New Roman"/>
        </w:rPr>
      </w:pPr>
      <w:r w:rsidRPr="004A0C12">
        <w:rPr>
          <w:rFonts w:ascii="Garamond" w:hAnsi="Garamond" w:cs="Times New Roman"/>
        </w:rPr>
        <w:t xml:space="preserve">A complete listing of DORS Regions and Offices is available at the following link: </w:t>
      </w:r>
    </w:p>
    <w:p w14:paraId="7FB7F229" w14:textId="77777777" w:rsidR="0074457B" w:rsidRPr="004A0C12" w:rsidRDefault="00943AA8" w:rsidP="0074457B">
      <w:pPr>
        <w:spacing w:after="0" w:line="240" w:lineRule="auto"/>
        <w:jc w:val="both"/>
        <w:rPr>
          <w:rFonts w:ascii="Garamond" w:hAnsi="Garamond" w:cs="Times New Roman"/>
        </w:rPr>
      </w:pPr>
      <w:hyperlink r:id="rId84" w:history="1">
        <w:r w:rsidR="0074457B" w:rsidRPr="004A0C12">
          <w:rPr>
            <w:rFonts w:ascii="Garamond" w:hAnsi="Garamond" w:cs="Times New Roman"/>
            <w:color w:val="000099"/>
            <w:u w:val="single"/>
          </w:rPr>
          <w:t>http://dors.maryland.gov/resources/Pages/locations.aspx</w:t>
        </w:r>
      </w:hyperlink>
      <w:r w:rsidR="0074457B" w:rsidRPr="004A0C12">
        <w:rPr>
          <w:rFonts w:ascii="Garamond" w:hAnsi="Garamond" w:cs="Times New Roman"/>
        </w:rPr>
        <w:t xml:space="preserve">. </w:t>
      </w:r>
    </w:p>
    <w:p w14:paraId="4ED217CA" w14:textId="77777777" w:rsidR="0074457B" w:rsidRPr="004A0C12" w:rsidRDefault="0074457B" w:rsidP="0074457B">
      <w:pPr>
        <w:spacing w:after="0" w:line="240" w:lineRule="auto"/>
        <w:jc w:val="both"/>
        <w:rPr>
          <w:rFonts w:ascii="Garamond" w:hAnsi="Garamond" w:cs="Times New Roman"/>
        </w:rPr>
      </w:pPr>
    </w:p>
    <w:p w14:paraId="0679B7B2" w14:textId="05BCC677" w:rsidR="0074457B" w:rsidRPr="004A0C12" w:rsidRDefault="0074457B" w:rsidP="005378E5">
      <w:pPr>
        <w:spacing w:after="0" w:line="240" w:lineRule="auto"/>
        <w:jc w:val="both"/>
        <w:rPr>
          <w:rFonts w:ascii="Garamond" w:hAnsi="Garamond" w:cs="Times New Roman"/>
        </w:rPr>
      </w:pPr>
      <w:r w:rsidRPr="004A0C12">
        <w:rPr>
          <w:rFonts w:ascii="Garamond" w:hAnsi="Garamond" w:cs="Times New Roman"/>
        </w:rPr>
        <w:t>DORS also engages with businesses throughout the State, assisting Maryland businesses</w:t>
      </w:r>
      <w:r w:rsidR="007750CA" w:rsidRPr="004A0C12">
        <w:rPr>
          <w:rFonts w:ascii="Garamond" w:hAnsi="Garamond" w:cs="Times New Roman"/>
        </w:rPr>
        <w:t xml:space="preserve"> to</w:t>
      </w:r>
      <w:r w:rsidRPr="004A0C12">
        <w:rPr>
          <w:rFonts w:ascii="Garamond" w:hAnsi="Garamond" w:cs="Times New Roman"/>
        </w:rPr>
        <w:t xml:space="preserve"> recruit and maintain qualified, valuable employees. DORS also serves as a resource on disability and employment matters such as disability awareness training, workforce diversity and inclusion initiatives, training on the Ame</w:t>
      </w:r>
      <w:r w:rsidR="002B7D36" w:rsidRPr="004A0C12">
        <w:rPr>
          <w:rFonts w:ascii="Garamond" w:hAnsi="Garamond" w:cs="Times New Roman"/>
        </w:rPr>
        <w:t>ricans with Disabilities Act,</w:t>
      </w:r>
      <w:r w:rsidRPr="004A0C12">
        <w:rPr>
          <w:rFonts w:ascii="Garamond" w:hAnsi="Garamond" w:cs="Times New Roman"/>
        </w:rPr>
        <w:t xml:space="preserve"> solutions for reasonable accommodatio</w:t>
      </w:r>
      <w:r w:rsidR="007750CA" w:rsidRPr="004A0C12">
        <w:rPr>
          <w:rFonts w:ascii="Garamond" w:hAnsi="Garamond" w:cs="Times New Roman"/>
        </w:rPr>
        <w:t>ns, and worksite consultations. DORS</w:t>
      </w:r>
      <w:r w:rsidRPr="004A0C12">
        <w:rPr>
          <w:rFonts w:ascii="Garamond" w:hAnsi="Garamond" w:cs="Times New Roman"/>
        </w:rPr>
        <w:t xml:space="preserve"> continues to be dedicated to the creation of the </w:t>
      </w:r>
      <w:r w:rsidR="007750CA" w:rsidRPr="004A0C12">
        <w:rPr>
          <w:rFonts w:ascii="Garamond" w:hAnsi="Garamond" w:cs="Times New Roman"/>
        </w:rPr>
        <w:t xml:space="preserve">aforementioned </w:t>
      </w:r>
      <w:r w:rsidRPr="004A0C12">
        <w:rPr>
          <w:rFonts w:ascii="Garamond" w:hAnsi="Garamond" w:cs="Times New Roman"/>
        </w:rPr>
        <w:t>Maryland Business</w:t>
      </w:r>
      <w:r w:rsidR="005378E5" w:rsidRPr="004A0C12">
        <w:rPr>
          <w:rFonts w:ascii="Garamond" w:hAnsi="Garamond" w:cs="Times New Roman"/>
        </w:rPr>
        <w:t xml:space="preserve"> Services team</w:t>
      </w:r>
      <w:r w:rsidR="007750CA" w:rsidRPr="004A0C12">
        <w:rPr>
          <w:rFonts w:ascii="Garamond" w:hAnsi="Garamond" w:cs="Times New Roman"/>
        </w:rPr>
        <w:t>.</w:t>
      </w:r>
      <w:r w:rsidR="005378E5" w:rsidRPr="004A0C12">
        <w:rPr>
          <w:rFonts w:ascii="Garamond" w:hAnsi="Garamond" w:cs="Times New Roman"/>
        </w:rPr>
        <w:t xml:space="preserve">  </w:t>
      </w:r>
    </w:p>
    <w:p w14:paraId="0688D0A7" w14:textId="3D6C3854" w:rsidR="0074457B" w:rsidRPr="00B25499" w:rsidRDefault="0074457B" w:rsidP="0074457B">
      <w:pPr>
        <w:pStyle w:val="Heading3"/>
        <w:rPr>
          <w:rFonts w:ascii="Garamond" w:hAnsi="Garamond"/>
          <w:sz w:val="24"/>
          <w:szCs w:val="24"/>
        </w:rPr>
      </w:pPr>
      <w:bookmarkStart w:id="83" w:name="_Toc447276127"/>
      <w:r w:rsidRPr="00B25499">
        <w:rPr>
          <w:rFonts w:ascii="Garamond" w:hAnsi="Garamond"/>
          <w:sz w:val="24"/>
          <w:szCs w:val="24"/>
        </w:rPr>
        <w:t>Department of Human Resources – Family Investment Administration</w:t>
      </w:r>
      <w:bookmarkEnd w:id="83"/>
      <w:r w:rsidRPr="00B25499">
        <w:rPr>
          <w:rFonts w:ascii="Garamond" w:hAnsi="Garamond"/>
          <w:sz w:val="24"/>
          <w:szCs w:val="24"/>
        </w:rPr>
        <w:t xml:space="preserve"> </w:t>
      </w:r>
    </w:p>
    <w:p w14:paraId="49B957DB" w14:textId="5E764DBA"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 xml:space="preserve">In Maryland, the TANF program is called Temporary Cash Assistance (TCA) and </w:t>
      </w:r>
      <w:r w:rsidR="007750CA" w:rsidRPr="004A0C12">
        <w:rPr>
          <w:rFonts w:ascii="Garamond" w:hAnsi="Garamond" w:cs="Times New Roman"/>
        </w:rPr>
        <w:t xml:space="preserve">is delivered </w:t>
      </w:r>
      <w:r w:rsidRPr="004A0C12">
        <w:rPr>
          <w:rFonts w:ascii="Garamond" w:hAnsi="Garamond" w:cs="Times New Roman"/>
        </w:rPr>
        <w:t>at the local departments of social services level</w:t>
      </w:r>
      <w:r w:rsidR="007750CA" w:rsidRPr="004A0C12">
        <w:rPr>
          <w:rFonts w:ascii="Garamond" w:hAnsi="Garamond" w:cs="Times New Roman"/>
        </w:rPr>
        <w:t>.</w:t>
      </w:r>
      <w:r w:rsidRPr="004A0C12">
        <w:rPr>
          <w:rFonts w:ascii="Garamond" w:hAnsi="Garamond" w:cs="Times New Roman"/>
        </w:rPr>
        <w:t xml:space="preserve"> </w:t>
      </w:r>
      <w:r w:rsidR="007750CA" w:rsidRPr="004A0C12">
        <w:rPr>
          <w:rFonts w:ascii="Garamond" w:hAnsi="Garamond" w:cs="Times New Roman"/>
        </w:rPr>
        <w:t xml:space="preserve">Local </w:t>
      </w:r>
      <w:r w:rsidRPr="004A0C12">
        <w:rPr>
          <w:rFonts w:ascii="Garamond" w:hAnsi="Garamond" w:cs="Times New Roman"/>
        </w:rPr>
        <w:t>D</w:t>
      </w:r>
      <w:r w:rsidR="002B7D36" w:rsidRPr="004A0C12">
        <w:rPr>
          <w:rFonts w:ascii="Garamond" w:hAnsi="Garamond" w:cs="Times New Roman"/>
        </w:rPr>
        <w:t xml:space="preserve">epartment of </w:t>
      </w:r>
      <w:r w:rsidRPr="004A0C12">
        <w:rPr>
          <w:rFonts w:ascii="Garamond" w:hAnsi="Garamond" w:cs="Times New Roman"/>
        </w:rPr>
        <w:t>S</w:t>
      </w:r>
      <w:r w:rsidR="002B7D36" w:rsidRPr="004A0C12">
        <w:rPr>
          <w:rFonts w:ascii="Garamond" w:hAnsi="Garamond" w:cs="Times New Roman"/>
        </w:rPr>
        <w:t xml:space="preserve">ocial </w:t>
      </w:r>
      <w:r w:rsidRPr="004A0C12">
        <w:rPr>
          <w:rFonts w:ascii="Garamond" w:hAnsi="Garamond" w:cs="Times New Roman"/>
        </w:rPr>
        <w:t>S</w:t>
      </w:r>
      <w:r w:rsidR="002B7D36" w:rsidRPr="004A0C12">
        <w:rPr>
          <w:rFonts w:ascii="Garamond" w:hAnsi="Garamond" w:cs="Times New Roman"/>
        </w:rPr>
        <w:t>ervices Offices, a listing of which can be found at</w:t>
      </w:r>
      <w:r w:rsidRPr="004A0C12">
        <w:rPr>
          <w:rFonts w:ascii="Garamond" w:hAnsi="Garamond" w:cs="Times New Roman"/>
        </w:rPr>
        <w:t xml:space="preserve"> </w:t>
      </w:r>
      <w:hyperlink r:id="rId85" w:history="1">
        <w:r w:rsidRPr="004A0C12">
          <w:rPr>
            <w:rStyle w:val="Hyperlink"/>
            <w:rFonts w:ascii="Garamond" w:hAnsi="Garamond" w:cs="Times New Roman"/>
          </w:rPr>
          <w:t>http://www.dhr.state.md.us/blog/?page_id=805</w:t>
        </w:r>
      </w:hyperlink>
      <w:r w:rsidR="002B7D36" w:rsidRPr="004A0C12">
        <w:rPr>
          <w:rFonts w:ascii="Garamond" w:hAnsi="Garamond" w:cs="Times New Roman"/>
        </w:rPr>
        <w:t xml:space="preserve">, </w:t>
      </w:r>
      <w:r w:rsidRPr="004A0C12">
        <w:rPr>
          <w:rFonts w:ascii="Garamond" w:hAnsi="Garamond" w:cs="Times New Roman"/>
        </w:rPr>
        <w:t xml:space="preserve">is the statewide framework for delivering education, job training, job placement,  and  other  services  to  assist  TANF customers  with overcoming  barriers  to  obtaining  self-sustaining </w:t>
      </w:r>
      <w:r w:rsidRPr="004A0C12">
        <w:rPr>
          <w:rFonts w:ascii="Garamond" w:hAnsi="Garamond" w:cs="Times New Roman"/>
        </w:rPr>
        <w:lastRenderedPageBreak/>
        <w:t xml:space="preserve">employment. In Maryland, our efforts led to record TANF job placements in each year of the Fiscal Year (FY) 2012-2014 </w:t>
      </w:r>
      <w:proofErr w:type="gramStart"/>
      <w:r w:rsidRPr="004A0C12">
        <w:rPr>
          <w:rFonts w:ascii="Garamond" w:hAnsi="Garamond" w:cs="Times New Roman"/>
        </w:rPr>
        <w:t>period</w:t>
      </w:r>
      <w:proofErr w:type="gramEnd"/>
      <w:r w:rsidRPr="004A0C12">
        <w:rPr>
          <w:rFonts w:ascii="Garamond" w:hAnsi="Garamond" w:cs="Times New Roman"/>
        </w:rPr>
        <w:t>.  Key components of the program include:</w:t>
      </w:r>
    </w:p>
    <w:p w14:paraId="666C4772" w14:textId="77777777" w:rsidR="0074457B" w:rsidRPr="004A0C12" w:rsidRDefault="0074457B" w:rsidP="0074457B">
      <w:pPr>
        <w:spacing w:after="0" w:line="240" w:lineRule="auto"/>
        <w:jc w:val="both"/>
        <w:rPr>
          <w:rFonts w:ascii="Garamond" w:hAnsi="Garamond" w:cs="Times New Roman"/>
        </w:rPr>
      </w:pPr>
    </w:p>
    <w:p w14:paraId="62FDC6EA" w14:textId="19785109" w:rsidR="0074457B" w:rsidRPr="004A0C12" w:rsidRDefault="0074457B" w:rsidP="00F733CF">
      <w:pPr>
        <w:pStyle w:val="ListParagraph"/>
        <w:numPr>
          <w:ilvl w:val="0"/>
          <w:numId w:val="86"/>
        </w:numPr>
        <w:contextualSpacing/>
        <w:jc w:val="both"/>
        <w:rPr>
          <w:rFonts w:ascii="Garamond" w:hAnsi="Garamond"/>
          <w:szCs w:val="22"/>
        </w:rPr>
      </w:pPr>
      <w:r w:rsidRPr="004A0C12">
        <w:rPr>
          <w:rFonts w:ascii="Garamond" w:hAnsi="Garamond"/>
          <w:szCs w:val="22"/>
        </w:rPr>
        <w:t>Collaborating  with  private  and  public  sector  partners  to  identify local  growth  occupations  and  their associated educ</w:t>
      </w:r>
      <w:r w:rsidR="002B7D36" w:rsidRPr="004A0C12">
        <w:rPr>
          <w:rFonts w:ascii="Garamond" w:hAnsi="Garamond"/>
          <w:szCs w:val="22"/>
        </w:rPr>
        <w:t>ation and training requirements</w:t>
      </w:r>
    </w:p>
    <w:p w14:paraId="3CC4EB6E" w14:textId="7B5F5FF0" w:rsidR="0074457B" w:rsidRPr="004A0C12" w:rsidRDefault="0074457B" w:rsidP="00F733CF">
      <w:pPr>
        <w:pStyle w:val="ListParagraph"/>
        <w:numPr>
          <w:ilvl w:val="0"/>
          <w:numId w:val="86"/>
        </w:numPr>
        <w:contextualSpacing/>
        <w:jc w:val="both"/>
        <w:rPr>
          <w:rFonts w:ascii="Garamond" w:hAnsi="Garamond"/>
          <w:szCs w:val="22"/>
        </w:rPr>
      </w:pPr>
      <w:r w:rsidRPr="004A0C12">
        <w:rPr>
          <w:rFonts w:ascii="Garamond" w:hAnsi="Garamond"/>
          <w:szCs w:val="22"/>
        </w:rPr>
        <w:t xml:space="preserve">Assessing  customers  respective  skill  sets,  career  interests  and  barriers  to  obtaining </w:t>
      </w:r>
      <w:r w:rsidR="002B7D36" w:rsidRPr="004A0C12">
        <w:rPr>
          <w:rFonts w:ascii="Garamond" w:hAnsi="Garamond"/>
          <w:szCs w:val="22"/>
        </w:rPr>
        <w:t xml:space="preserve"> self-sustaining employment</w:t>
      </w:r>
    </w:p>
    <w:p w14:paraId="6988AE6E" w14:textId="77777777" w:rsidR="0074457B" w:rsidRPr="004A0C12" w:rsidRDefault="0074457B" w:rsidP="00F733CF">
      <w:pPr>
        <w:pStyle w:val="ListParagraph"/>
        <w:numPr>
          <w:ilvl w:val="0"/>
          <w:numId w:val="86"/>
        </w:numPr>
        <w:contextualSpacing/>
        <w:jc w:val="both"/>
        <w:rPr>
          <w:rFonts w:ascii="Garamond" w:hAnsi="Garamond"/>
          <w:szCs w:val="22"/>
        </w:rPr>
      </w:pPr>
      <w:r w:rsidRPr="004A0C12">
        <w:rPr>
          <w:rFonts w:ascii="Garamond" w:hAnsi="Garamond"/>
          <w:szCs w:val="22"/>
        </w:rPr>
        <w:t>Developing or procuring appropriate work-related services, including academic remediation, targeted sector training, and job placement services.</w:t>
      </w:r>
    </w:p>
    <w:p w14:paraId="3B989923" w14:textId="77777777" w:rsidR="00440FE5" w:rsidRPr="004A0C12" w:rsidRDefault="00440FE5" w:rsidP="00440FE5">
      <w:pPr>
        <w:pStyle w:val="ListParagraph"/>
        <w:contextualSpacing/>
        <w:jc w:val="both"/>
        <w:rPr>
          <w:rFonts w:ascii="Garamond" w:hAnsi="Garamond"/>
          <w:szCs w:val="22"/>
        </w:rPr>
      </w:pPr>
    </w:p>
    <w:p w14:paraId="6837B21F" w14:textId="01B3DA33"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 xml:space="preserve">TANF workforce development is built on a philosophy of “universal engagement.”  This means that </w:t>
      </w:r>
      <w:r w:rsidR="002B7D36" w:rsidRPr="004A0C12">
        <w:rPr>
          <w:rFonts w:ascii="Garamond" w:hAnsi="Garamond" w:cs="Times New Roman"/>
        </w:rPr>
        <w:t>c</w:t>
      </w:r>
      <w:r w:rsidRPr="004A0C12">
        <w:rPr>
          <w:rFonts w:ascii="Garamond" w:hAnsi="Garamond" w:cs="Times New Roman"/>
        </w:rPr>
        <w:t>ustomer</w:t>
      </w:r>
      <w:r w:rsidR="002B7D36" w:rsidRPr="004A0C12">
        <w:rPr>
          <w:rFonts w:ascii="Garamond" w:hAnsi="Garamond" w:cs="Times New Roman"/>
        </w:rPr>
        <w:t>s</w:t>
      </w:r>
      <w:r w:rsidRPr="004A0C12">
        <w:rPr>
          <w:rFonts w:ascii="Garamond" w:hAnsi="Garamond" w:cs="Times New Roman"/>
        </w:rPr>
        <w:t xml:space="preserve"> </w:t>
      </w:r>
      <w:r w:rsidR="002B7D36" w:rsidRPr="004A0C12">
        <w:rPr>
          <w:rFonts w:ascii="Garamond" w:hAnsi="Garamond" w:cs="Times New Roman"/>
        </w:rPr>
        <w:t>are</w:t>
      </w:r>
      <w:r w:rsidRPr="004A0C12">
        <w:rPr>
          <w:rFonts w:ascii="Garamond" w:hAnsi="Garamond" w:cs="Times New Roman"/>
        </w:rPr>
        <w:t xml:space="preserve"> expected to participate in activities based on the results of individual assessments with the goal of employment or removing barriers to employment.  Many of the remaining welfare families</w:t>
      </w:r>
      <w:r w:rsidR="002B7D36" w:rsidRPr="004A0C12">
        <w:rPr>
          <w:rFonts w:ascii="Garamond" w:hAnsi="Garamond" w:cs="Times New Roman"/>
        </w:rPr>
        <w:t>, in addition to many</w:t>
      </w:r>
      <w:r w:rsidRPr="004A0C12">
        <w:rPr>
          <w:rFonts w:ascii="Garamond" w:hAnsi="Garamond" w:cs="Times New Roman"/>
        </w:rPr>
        <w:t xml:space="preserve"> of the new families applying for TCA can be considered “hard to place” in</w:t>
      </w:r>
      <w:r w:rsidR="002B7D36" w:rsidRPr="004A0C12">
        <w:rPr>
          <w:rFonts w:ascii="Garamond" w:hAnsi="Garamond" w:cs="Times New Roman"/>
        </w:rPr>
        <w:t>to</w:t>
      </w:r>
      <w:r w:rsidRPr="004A0C12">
        <w:rPr>
          <w:rFonts w:ascii="Garamond" w:hAnsi="Garamond" w:cs="Times New Roman"/>
        </w:rPr>
        <w:t xml:space="preserve"> jobs.  Workforce development is designed to meet the critical, essential needs of the under-employed, newly unemployed and hard-to-place.</w:t>
      </w:r>
    </w:p>
    <w:p w14:paraId="3BB94A5F" w14:textId="77777777" w:rsidR="0074457B" w:rsidRPr="004A0C12" w:rsidRDefault="0074457B" w:rsidP="0074457B">
      <w:pPr>
        <w:spacing w:after="0" w:line="240" w:lineRule="auto"/>
        <w:jc w:val="both"/>
        <w:rPr>
          <w:rFonts w:ascii="Garamond" w:hAnsi="Garamond" w:cs="Times New Roman"/>
        </w:rPr>
      </w:pPr>
    </w:p>
    <w:p w14:paraId="4E66E2B2" w14:textId="24E8DDFC"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In addition to workforce development, our TANF program provides a broad ran</w:t>
      </w:r>
      <w:r w:rsidR="002B7D36" w:rsidRPr="004A0C12">
        <w:rPr>
          <w:rFonts w:ascii="Garamond" w:hAnsi="Garamond" w:cs="Times New Roman"/>
        </w:rPr>
        <w:t>ge of services.  The Department’</w:t>
      </w:r>
      <w:r w:rsidRPr="004A0C12">
        <w:rPr>
          <w:rFonts w:ascii="Garamond" w:hAnsi="Garamond" w:cs="Times New Roman"/>
        </w:rPr>
        <w:t>s Family Investment Administration (FIA) formed partnerships with other administrations within DHR, including the Child Support Enforcement and Social Services divisions and with other State agencies and community organizations. FIA works wit</w:t>
      </w:r>
      <w:r w:rsidR="002B7D36" w:rsidRPr="004A0C12">
        <w:rPr>
          <w:rFonts w:ascii="Garamond" w:hAnsi="Garamond" w:cs="Times New Roman"/>
        </w:rPr>
        <w:t>h these partners to promote DHR’</w:t>
      </w:r>
      <w:r w:rsidRPr="004A0C12">
        <w:rPr>
          <w:rFonts w:ascii="Garamond" w:hAnsi="Garamond" w:cs="Times New Roman"/>
        </w:rPr>
        <w:t xml:space="preserve">s goal to protect children by assisting their families to become independent through work, personal and family responsibility, and community involvement. The Department expanded its </w:t>
      </w:r>
      <w:r w:rsidR="002B7D36" w:rsidRPr="004A0C12">
        <w:rPr>
          <w:rFonts w:ascii="Garamond" w:hAnsi="Garamond" w:cs="Times New Roman"/>
        </w:rPr>
        <w:t>goal to include support for low-</w:t>
      </w:r>
      <w:r w:rsidRPr="004A0C12">
        <w:rPr>
          <w:rFonts w:ascii="Garamond" w:hAnsi="Garamond" w:cs="Times New Roman"/>
        </w:rPr>
        <w:t>income working families and continues to strengthen those partnerships by empowering staff in the LDSS across the State to work together to provide employment and training activities, supportive services, and benefits that enable customers to obtain jobs and improv</w:t>
      </w:r>
      <w:r w:rsidR="00CC66F0" w:rsidRPr="004A0C12">
        <w:rPr>
          <w:rFonts w:ascii="Garamond" w:hAnsi="Garamond" w:cs="Times New Roman"/>
        </w:rPr>
        <w:t>e their economic circumstances.</w:t>
      </w:r>
    </w:p>
    <w:p w14:paraId="5C13ABBE" w14:textId="77777777" w:rsidR="0074457B" w:rsidRPr="00B25499" w:rsidRDefault="0074457B" w:rsidP="0074457B">
      <w:pPr>
        <w:pStyle w:val="Heading3"/>
        <w:rPr>
          <w:rFonts w:ascii="Garamond" w:hAnsi="Garamond"/>
          <w:sz w:val="28"/>
          <w:szCs w:val="28"/>
        </w:rPr>
      </w:pPr>
      <w:bookmarkStart w:id="84" w:name="_Toc447276128"/>
      <w:r w:rsidRPr="00B25499">
        <w:rPr>
          <w:rFonts w:ascii="Garamond" w:hAnsi="Garamond"/>
          <w:sz w:val="28"/>
          <w:szCs w:val="28"/>
        </w:rPr>
        <w:t>MARYLAND’S STATE WORKFORCE DEVELOPMENT BOARD</w:t>
      </w:r>
      <w:bookmarkEnd w:id="84"/>
      <w:r w:rsidRPr="00B25499">
        <w:rPr>
          <w:rFonts w:ascii="Garamond" w:hAnsi="Garamond"/>
          <w:sz w:val="28"/>
          <w:szCs w:val="28"/>
        </w:rPr>
        <w:t xml:space="preserve"> </w:t>
      </w:r>
    </w:p>
    <w:p w14:paraId="79B07322" w14:textId="02581439" w:rsidR="0074457B" w:rsidRPr="004A0C12" w:rsidRDefault="0074457B" w:rsidP="0074457B">
      <w:pPr>
        <w:shd w:val="clear" w:color="auto" w:fill="FFFFFF"/>
        <w:spacing w:after="0" w:line="240" w:lineRule="auto"/>
        <w:jc w:val="both"/>
        <w:rPr>
          <w:rFonts w:ascii="Garamond" w:hAnsi="Garamond" w:cs="Times New Roman"/>
        </w:rPr>
      </w:pPr>
      <w:r w:rsidRPr="004A0C12">
        <w:rPr>
          <w:rFonts w:ascii="Garamond" w:hAnsi="Garamond" w:cs="Times New Roman"/>
        </w:rPr>
        <w:t xml:space="preserve">The Governor's Workforce </w:t>
      </w:r>
      <w:r w:rsidR="002F156B" w:rsidRPr="004A0C12">
        <w:rPr>
          <w:rFonts w:ascii="Garamond" w:hAnsi="Garamond" w:cs="Times New Roman"/>
        </w:rPr>
        <w:t xml:space="preserve">Development </w:t>
      </w:r>
      <w:r w:rsidRPr="004A0C12">
        <w:rPr>
          <w:rFonts w:ascii="Garamond" w:hAnsi="Garamond" w:cs="Times New Roman"/>
        </w:rPr>
        <w:t>Board (GW</w:t>
      </w:r>
      <w:r w:rsidR="002F156B" w:rsidRPr="004A0C12">
        <w:rPr>
          <w:rFonts w:ascii="Garamond" w:hAnsi="Garamond" w:cs="Times New Roman"/>
        </w:rPr>
        <w:t>D</w:t>
      </w:r>
      <w:r w:rsidRPr="004A0C12">
        <w:rPr>
          <w:rFonts w:ascii="Garamond" w:hAnsi="Garamond" w:cs="Times New Roman"/>
        </w:rPr>
        <w:t>B) is the Governor's chief policymaking body for workforce development. The GW</w:t>
      </w:r>
      <w:r w:rsidR="00C55E56" w:rsidRPr="004A0C12">
        <w:rPr>
          <w:rFonts w:ascii="Garamond" w:hAnsi="Garamond" w:cs="Times New Roman"/>
        </w:rPr>
        <w:t>D</w:t>
      </w:r>
      <w:r w:rsidRPr="004A0C12">
        <w:rPr>
          <w:rFonts w:ascii="Garamond" w:hAnsi="Garamond" w:cs="Times New Roman"/>
        </w:rPr>
        <w:t>B is a business-led board of 53 members, a majority of whom represent the business community, as mandated by WIOA. Specifically, 37 members represent business, 11 represent workforce, and 15 represent government. Members include the Governor and the Lieutenant Governor, cabinet secretaries, college presidents, the State Superintendent of Schools, elected officials, labor, and representatives of non-profit organizations. The following links provide a complete, updated board roster and the GW</w:t>
      </w:r>
      <w:r w:rsidR="00C55E56" w:rsidRPr="004A0C12">
        <w:rPr>
          <w:rFonts w:ascii="Garamond" w:hAnsi="Garamond" w:cs="Times New Roman"/>
        </w:rPr>
        <w:t>D</w:t>
      </w:r>
      <w:r w:rsidRPr="004A0C12">
        <w:rPr>
          <w:rFonts w:ascii="Garamond" w:hAnsi="Garamond" w:cs="Times New Roman"/>
        </w:rPr>
        <w:t>B Executive Order signed by Governor Hogan:</w:t>
      </w:r>
    </w:p>
    <w:p w14:paraId="013DDAC3" w14:textId="77777777" w:rsidR="0074457B" w:rsidRPr="004A0C12" w:rsidRDefault="0074457B" w:rsidP="0074457B">
      <w:pPr>
        <w:shd w:val="clear" w:color="auto" w:fill="FFFFFF"/>
        <w:spacing w:after="0" w:line="240" w:lineRule="auto"/>
        <w:jc w:val="both"/>
        <w:rPr>
          <w:rFonts w:ascii="Garamond" w:hAnsi="Garamond" w:cs="Times New Roman"/>
        </w:rPr>
      </w:pPr>
    </w:p>
    <w:p w14:paraId="3CFE249C" w14:textId="77777777" w:rsidR="0074457B" w:rsidRPr="004A0C12" w:rsidRDefault="0074457B" w:rsidP="00F733CF">
      <w:pPr>
        <w:numPr>
          <w:ilvl w:val="0"/>
          <w:numId w:val="82"/>
        </w:numPr>
        <w:shd w:val="clear" w:color="auto" w:fill="FFFFFF"/>
        <w:spacing w:after="0" w:line="240" w:lineRule="auto"/>
        <w:ind w:left="720" w:hanging="360"/>
        <w:jc w:val="both"/>
        <w:rPr>
          <w:rFonts w:ascii="Garamond" w:hAnsi="Garamond" w:cs="Times New Roman"/>
        </w:rPr>
      </w:pPr>
      <w:r w:rsidRPr="004A0C12">
        <w:rPr>
          <w:rFonts w:ascii="Garamond" w:hAnsi="Garamond" w:cs="Times New Roman"/>
        </w:rPr>
        <w:t xml:space="preserve">Membership Roster - </w:t>
      </w:r>
      <w:hyperlink r:id="rId86" w:history="1">
        <w:r w:rsidRPr="004A0C12">
          <w:rPr>
            <w:rStyle w:val="Hyperlink2"/>
            <w:rFonts w:ascii="Garamond" w:hAnsi="Garamond" w:cs="Times New Roman"/>
            <w:sz w:val="22"/>
          </w:rPr>
          <w:t>http://www.gwib.maryland.gov/board/members.shtml</w:t>
        </w:r>
      </w:hyperlink>
      <w:r w:rsidRPr="004A0C12">
        <w:rPr>
          <w:rFonts w:ascii="Garamond" w:hAnsi="Garamond" w:cs="Times New Roman"/>
        </w:rPr>
        <w:t>.</w:t>
      </w:r>
    </w:p>
    <w:p w14:paraId="5DBE509F" w14:textId="77777777" w:rsidR="00F65178" w:rsidRPr="004A0C12" w:rsidRDefault="0074457B" w:rsidP="00AD2026">
      <w:pPr>
        <w:numPr>
          <w:ilvl w:val="0"/>
          <w:numId w:val="82"/>
        </w:numPr>
        <w:shd w:val="clear" w:color="auto" w:fill="FFFFFF"/>
        <w:spacing w:after="0" w:line="240" w:lineRule="auto"/>
        <w:ind w:left="720" w:hanging="360"/>
        <w:jc w:val="both"/>
        <w:rPr>
          <w:rStyle w:val="Hyperlink2"/>
          <w:rFonts w:ascii="Garamond" w:hAnsi="Garamond"/>
          <w:color w:val="auto"/>
          <w:sz w:val="22"/>
          <w:u w:val="none"/>
        </w:rPr>
      </w:pPr>
      <w:r w:rsidRPr="004A0C12">
        <w:rPr>
          <w:rFonts w:ascii="Garamond" w:hAnsi="Garamond" w:cs="Times New Roman"/>
        </w:rPr>
        <w:t xml:space="preserve">Executive Order - </w:t>
      </w:r>
      <w:hyperlink r:id="rId87" w:history="1">
        <w:r w:rsidRPr="004A0C12">
          <w:rPr>
            <w:rStyle w:val="Hyperlink2"/>
            <w:rFonts w:ascii="Garamond" w:hAnsi="Garamond" w:cs="Times New Roman"/>
            <w:sz w:val="22"/>
          </w:rPr>
          <w:t>http://www.gwib.maryland.gov/board/execorder.pdf</w:t>
        </w:r>
      </w:hyperlink>
    </w:p>
    <w:p w14:paraId="1015EA3B" w14:textId="77777777" w:rsidR="004D0138" w:rsidRPr="004A0C12" w:rsidRDefault="00F65178" w:rsidP="004D0138">
      <w:pPr>
        <w:pStyle w:val="NormalWeb"/>
        <w:spacing w:before="0" w:beforeAutospacing="0" w:afterAutospacing="0"/>
        <w:rPr>
          <w:rFonts w:ascii="Garamond" w:hAnsi="Garamond"/>
          <w:sz w:val="22"/>
          <w:szCs w:val="22"/>
        </w:rPr>
      </w:pPr>
      <w:r w:rsidRPr="004A0C12">
        <w:rPr>
          <w:rFonts w:ascii="Garamond" w:hAnsi="Garamond"/>
          <w:sz w:val="22"/>
          <w:szCs w:val="22"/>
        </w:rPr>
        <w:t>The Board’s Chairman and majority membership represent the business community in Maryland. These hand-picked business leaders are established advocates in their varying areas of expertise.</w:t>
      </w:r>
      <w:r w:rsidR="004D0138" w:rsidRPr="004A0C12">
        <w:rPr>
          <w:rFonts w:ascii="Garamond" w:hAnsi="Garamond"/>
          <w:sz w:val="22"/>
          <w:szCs w:val="22"/>
        </w:rPr>
        <w:t xml:space="preserve"> </w:t>
      </w:r>
      <w:r w:rsidR="004D0138" w:rsidRPr="004A0C12">
        <w:rPr>
          <w:rFonts w:ascii="Garamond" w:hAnsi="Garamond" w:cs="Helvetica"/>
          <w:color w:val="000000"/>
          <w:sz w:val="22"/>
          <w:szCs w:val="22"/>
        </w:rPr>
        <w:t>In establishing his Board of workforce advisors, Governor Hogan emphasized the need to ensure that a diverse group of business, community and government leaders were selected to ensure that public policy recommendations from the Board represented Maryland’s diverse population and growth industries.</w:t>
      </w:r>
    </w:p>
    <w:p w14:paraId="1DF861AF" w14:textId="77777777" w:rsidR="004D0138" w:rsidRPr="00B25499" w:rsidRDefault="004D0138" w:rsidP="004D0138">
      <w:pPr>
        <w:pStyle w:val="NormalWeb"/>
        <w:spacing w:before="0" w:beforeAutospacing="0" w:afterAutospacing="0"/>
        <w:rPr>
          <w:rFonts w:ascii="Garamond" w:hAnsi="Garamond"/>
          <w:b/>
          <w:color w:val="0070C0"/>
        </w:rPr>
      </w:pPr>
      <w:r w:rsidRPr="00B25499">
        <w:rPr>
          <w:rFonts w:ascii="Garamond" w:hAnsi="Garamond" w:cs="Helvetica"/>
          <w:b/>
          <w:color w:val="0070C0"/>
        </w:rPr>
        <w:t>COMMUNITY AND WORKFORCE LEADERS</w:t>
      </w:r>
    </w:p>
    <w:p w14:paraId="5CC84014"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Maryland’s workforce system is dependent on a network of community and workforce leaders to provide innovative services, education and training resources, and services that support the needs of jobseekers. Governor Hogan has selected community and workforce leaders with a proven track record of delivering quality services to Maryland’s jobseekers and businesses alike.</w:t>
      </w:r>
    </w:p>
    <w:p w14:paraId="2512D442"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Board Activities</w:t>
      </w:r>
    </w:p>
    <w:p w14:paraId="5E65A7BD"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Governor Hogan’s Executive Order 01.01.2015.19 established the new Governor’s Workforce Investment Board, pursuant to Section 101 of WIOA. Pursuant to the Executive Order, the GWIB shall advise the Governor on the following matters:</w:t>
      </w:r>
    </w:p>
    <w:p w14:paraId="7CE0ED9A"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(1) The development, implementation, and modification of the State Plan under the 2014 Act;</w:t>
      </w:r>
    </w:p>
    <w:p w14:paraId="5C081505"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(2) The review of statewide policies and programs and the recommendations on actions to align workforce development programs in a manner that supports a comprehensive and streamlined workforce development system in the State;</w:t>
      </w:r>
    </w:p>
    <w:p w14:paraId="3D1B4632"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lastRenderedPageBreak/>
        <w:t>(3) The development and continuous improvement of the workforce development system in the State including: the identification and removal of barriers to employment, development of strategies to support career pathways, providing effective outreach and improved access for individuals and employers who could benefit from services, expansion of strategies for sector partnerships to meet the needs of employers, workers and jobseekers;</w:t>
      </w:r>
    </w:p>
    <w:p w14:paraId="5A60BCC9"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(4) The identification of regions, the designation of local area, and the improvement of the one-stop delivery system to local areas to support effective delivery of services to workers, jobseekers and employers;</w:t>
      </w:r>
    </w:p>
    <w:p w14:paraId="4C3755F1"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(5) The development and updating of comprehensive State performance accountability measures to assess the effectiveness of core programs;</w:t>
      </w:r>
    </w:p>
    <w:p w14:paraId="01E8E01D"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(6) The identification and dissemination of information on best practices related to effective operation of the one-stop delivery system, local boards, training programs that respond to real-time labor market analysis and competency assessments to support efficient placement into career pathways or employment;</w:t>
      </w:r>
    </w:p>
    <w:p w14:paraId="5DEA58AE"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(7) The development and review of statewide policies affecting the coordinated provision of services through the one-stop delivery system, including objective criteria for assessing effectiveness, guidance for allocation of infrastructure funds, and policies relating to the appropriate roles and contributions of one-stop partners;</w:t>
      </w:r>
    </w:p>
    <w:p w14:paraId="0258E222"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(8) The development of strategies for technological improvements to facilitate access to, and improve the quality of, services and activities provided through the one-stop delivery system,</w:t>
      </w:r>
    </w:p>
    <w:p w14:paraId="26E7F171"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including improvements to enhanced digital literacy skills, acquisition of postsecondary credentials by participants, strengthen professional development of providers and workforce professionals, and ensure accessibility of technology to individuals with disabilities and individuals residing in remote areas;</w:t>
      </w:r>
    </w:p>
    <w:p w14:paraId="2B2653A5"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(9) The development of strategies for aligning technology and data systems across one-stop partner programs to enhance service delivery and improve efficiencies in reporting on performance accountability measures;</w:t>
      </w:r>
    </w:p>
    <w:p w14:paraId="7863B861"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(10) The development of allocation formulas for the distribution of funds for employment and training activities for adults, and youth workforce areas;</w:t>
      </w:r>
    </w:p>
    <w:p w14:paraId="24A56078"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(11) The preparation of the 2014 Act annual reports;</w:t>
      </w:r>
    </w:p>
    <w:p w14:paraId="77729F67"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(12) The development of the statewide workforce and labor market information system under the Wagner-Peyser Act; and</w:t>
      </w:r>
    </w:p>
    <w:p w14:paraId="1AE9B3A4" w14:textId="77777777" w:rsidR="00B25499" w:rsidRDefault="004D0138" w:rsidP="0074457B">
      <w:pPr>
        <w:pStyle w:val="Heading3"/>
        <w:rPr>
          <w:rFonts w:ascii="Garamond" w:hAnsi="Garamond" w:cs="Helvetica"/>
          <w:color w:val="000000"/>
        </w:rPr>
      </w:pPr>
      <w:r w:rsidRPr="004A0C12">
        <w:rPr>
          <w:rFonts w:ascii="Garamond" w:hAnsi="Garamond" w:cs="Helvetica"/>
          <w:color w:val="000000"/>
        </w:rPr>
        <w:t>(13) The development of any other policies or procedures as may promote statewide objectives for the workforce development system in the State.</w:t>
      </w:r>
      <w:bookmarkStart w:id="85" w:name="_Toc447276129"/>
    </w:p>
    <w:p w14:paraId="3845F1C1" w14:textId="129D4BCF" w:rsidR="0074457B" w:rsidRPr="00B25499" w:rsidRDefault="0074457B" w:rsidP="0074457B">
      <w:pPr>
        <w:pStyle w:val="Heading3"/>
        <w:rPr>
          <w:rFonts w:ascii="Garamond" w:hAnsi="Garamond"/>
          <w:sz w:val="24"/>
          <w:szCs w:val="24"/>
        </w:rPr>
      </w:pPr>
      <w:r w:rsidRPr="00B25499">
        <w:rPr>
          <w:rFonts w:ascii="Garamond" w:hAnsi="Garamond"/>
          <w:sz w:val="24"/>
          <w:szCs w:val="24"/>
        </w:rPr>
        <w:t>MARYLAND’S LOCAL WORKFORCE DEVELOPMENT BOARDS</w:t>
      </w:r>
      <w:bookmarkEnd w:id="85"/>
    </w:p>
    <w:p w14:paraId="6E583893" w14:textId="7791E4D0"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 xml:space="preserve">The Workforce Investment Network for Maryland (WIN) is a coalition of executive directors from Maryland’s 12 local workforce agencies. WIN </w:t>
      </w:r>
      <w:r w:rsidR="002B7D36" w:rsidRPr="004A0C12">
        <w:rPr>
          <w:rFonts w:ascii="Garamond" w:hAnsi="Garamond" w:cs="Times New Roman"/>
        </w:rPr>
        <w:t xml:space="preserve">works closely with </w:t>
      </w:r>
      <w:r w:rsidRPr="004A0C12">
        <w:rPr>
          <w:rFonts w:ascii="Garamond" w:hAnsi="Garamond" w:cs="Times New Roman"/>
        </w:rPr>
        <w:t xml:space="preserve">GWIB and DLLR to support a comprehensive workforce system.  WIN, GWIB and DLLR meet monthly to discuss important matters pertaining to the workforce system and to provide perspective on issues that may arise.  The collaboration between WIN, GWIB and DLLR creates a strong workforce system in Maryland. </w:t>
      </w:r>
    </w:p>
    <w:p w14:paraId="497F59D6" w14:textId="77777777" w:rsidR="0074457B" w:rsidRPr="004A0C12" w:rsidRDefault="0074457B" w:rsidP="0074457B">
      <w:pPr>
        <w:shd w:val="clear" w:color="auto" w:fill="FFFFFF"/>
        <w:spacing w:after="0" w:line="240" w:lineRule="auto"/>
        <w:jc w:val="both"/>
        <w:rPr>
          <w:rFonts w:ascii="Garamond" w:hAnsi="Garamond" w:cs="Times New Roman"/>
        </w:rPr>
      </w:pPr>
    </w:p>
    <w:p w14:paraId="35A63917" w14:textId="77777777" w:rsidR="0074457B" w:rsidRPr="004A0C12" w:rsidRDefault="0074457B" w:rsidP="0074457B">
      <w:pPr>
        <w:shd w:val="clear" w:color="auto" w:fill="FFFFFF"/>
        <w:spacing w:after="0" w:line="240" w:lineRule="auto"/>
        <w:jc w:val="both"/>
        <w:rPr>
          <w:rFonts w:ascii="Garamond" w:hAnsi="Garamond" w:cs="Times New Roman"/>
        </w:rPr>
      </w:pPr>
      <w:r w:rsidRPr="004A0C12">
        <w:rPr>
          <w:rFonts w:ascii="Garamond" w:hAnsi="Garamond" w:cs="Times New Roman"/>
        </w:rPr>
        <w:t>Local workforce boards are established in each of these twelve areas to ensure that each area’s workforce is well-prepared to meet the current and future needs of local businesses. Pursuant to WIOA Section 107(b</w:t>
      </w:r>
      <w:proofErr w:type="gramStart"/>
      <w:r w:rsidRPr="004A0C12">
        <w:rPr>
          <w:rFonts w:ascii="Garamond" w:hAnsi="Garamond" w:cs="Times New Roman"/>
        </w:rPr>
        <w:t>)(</w:t>
      </w:r>
      <w:proofErr w:type="gramEnd"/>
      <w:r w:rsidRPr="004A0C12">
        <w:rPr>
          <w:rFonts w:ascii="Garamond" w:hAnsi="Garamond" w:cs="Times New Roman"/>
        </w:rPr>
        <w:t xml:space="preserve">2), at a minimum, Local Board membership must include: </w:t>
      </w:r>
    </w:p>
    <w:p w14:paraId="44E8F2BC" w14:textId="77777777" w:rsidR="0074457B" w:rsidRPr="004A0C12" w:rsidRDefault="0074457B" w:rsidP="0074457B">
      <w:pPr>
        <w:shd w:val="clear" w:color="auto" w:fill="FFFFFF"/>
        <w:spacing w:after="0" w:line="240" w:lineRule="auto"/>
        <w:jc w:val="both"/>
        <w:rPr>
          <w:rFonts w:ascii="Garamond" w:hAnsi="Garamond" w:cs="Times New Roman"/>
        </w:rPr>
      </w:pPr>
    </w:p>
    <w:p w14:paraId="37B4E5CC" w14:textId="1D485AC3" w:rsidR="0074457B" w:rsidRPr="004A0C12" w:rsidRDefault="0074457B" w:rsidP="00F733CF">
      <w:pPr>
        <w:pStyle w:val="ListParagraph"/>
        <w:numPr>
          <w:ilvl w:val="0"/>
          <w:numId w:val="88"/>
        </w:numPr>
        <w:shd w:val="clear" w:color="auto" w:fill="FFFFFF"/>
        <w:jc w:val="both"/>
        <w:rPr>
          <w:rFonts w:ascii="Garamond" w:hAnsi="Garamond"/>
          <w:szCs w:val="22"/>
        </w:rPr>
      </w:pPr>
      <w:r w:rsidRPr="004A0C12">
        <w:rPr>
          <w:rFonts w:ascii="Garamond" w:hAnsi="Garamond"/>
          <w:szCs w:val="22"/>
        </w:rPr>
        <w:t>Majority representation fr</w:t>
      </w:r>
      <w:r w:rsidR="002B7D36" w:rsidRPr="004A0C12">
        <w:rPr>
          <w:rFonts w:ascii="Garamond" w:hAnsi="Garamond"/>
          <w:szCs w:val="22"/>
        </w:rPr>
        <w:t>om representatives of Business</w:t>
      </w:r>
    </w:p>
    <w:p w14:paraId="31E0923C" w14:textId="2CEE7E0F" w:rsidR="0074457B" w:rsidRPr="004A0C12" w:rsidRDefault="0074457B" w:rsidP="00F733CF">
      <w:pPr>
        <w:pStyle w:val="ListParagraph"/>
        <w:numPr>
          <w:ilvl w:val="0"/>
          <w:numId w:val="88"/>
        </w:numPr>
        <w:shd w:val="clear" w:color="auto" w:fill="FFFFFF"/>
        <w:jc w:val="both"/>
        <w:rPr>
          <w:rFonts w:ascii="Garamond" w:hAnsi="Garamond"/>
          <w:szCs w:val="22"/>
        </w:rPr>
      </w:pPr>
      <w:r w:rsidRPr="004A0C12">
        <w:rPr>
          <w:rFonts w:ascii="Garamond" w:hAnsi="Garamond"/>
          <w:szCs w:val="22"/>
        </w:rPr>
        <w:t>At least 20% representation fro</w:t>
      </w:r>
      <w:r w:rsidR="002B7D36" w:rsidRPr="004A0C12">
        <w:rPr>
          <w:rFonts w:ascii="Garamond" w:hAnsi="Garamond"/>
          <w:szCs w:val="22"/>
        </w:rPr>
        <w:t>m representatives of Workforce</w:t>
      </w:r>
    </w:p>
    <w:p w14:paraId="0F56DA72" w14:textId="08AAF5E8" w:rsidR="0074457B" w:rsidRPr="004A0C12" w:rsidRDefault="0074457B" w:rsidP="00F733CF">
      <w:pPr>
        <w:pStyle w:val="ListParagraph"/>
        <w:numPr>
          <w:ilvl w:val="0"/>
          <w:numId w:val="88"/>
        </w:numPr>
        <w:shd w:val="clear" w:color="auto" w:fill="FFFFFF"/>
        <w:jc w:val="both"/>
        <w:rPr>
          <w:rFonts w:ascii="Garamond" w:hAnsi="Garamond"/>
          <w:szCs w:val="22"/>
        </w:rPr>
      </w:pPr>
      <w:r w:rsidRPr="004A0C12">
        <w:rPr>
          <w:rFonts w:ascii="Garamond" w:hAnsi="Garamond"/>
          <w:szCs w:val="22"/>
        </w:rPr>
        <w:t>Representatives of Education and Training, including government and economic and</w:t>
      </w:r>
      <w:r w:rsidR="002B7D36" w:rsidRPr="004A0C12">
        <w:rPr>
          <w:rFonts w:ascii="Garamond" w:hAnsi="Garamond"/>
          <w:szCs w:val="22"/>
        </w:rPr>
        <w:t xml:space="preserve"> community development entities</w:t>
      </w:r>
      <w:r w:rsidRPr="004A0C12">
        <w:rPr>
          <w:rFonts w:ascii="Garamond" w:hAnsi="Garamond"/>
          <w:szCs w:val="22"/>
        </w:rPr>
        <w:t xml:space="preserve"> </w:t>
      </w:r>
    </w:p>
    <w:p w14:paraId="1207084E" w14:textId="77777777" w:rsidR="0074457B" w:rsidRPr="004A0C12" w:rsidRDefault="0074457B" w:rsidP="0074457B">
      <w:pPr>
        <w:shd w:val="clear" w:color="auto" w:fill="FFFFFF"/>
        <w:spacing w:after="0" w:line="240" w:lineRule="auto"/>
        <w:jc w:val="both"/>
        <w:rPr>
          <w:rFonts w:ascii="Garamond" w:hAnsi="Garamond" w:cs="Times New Roman"/>
        </w:rPr>
      </w:pPr>
    </w:p>
    <w:p w14:paraId="3DD7A8C6" w14:textId="77777777" w:rsidR="00B25499" w:rsidRDefault="0074457B" w:rsidP="0074457B">
      <w:pPr>
        <w:shd w:val="clear" w:color="auto" w:fill="FFFFFF"/>
        <w:spacing w:after="0" w:line="240" w:lineRule="auto"/>
        <w:jc w:val="both"/>
        <w:rPr>
          <w:rFonts w:ascii="Garamond" w:hAnsi="Garamond" w:cs="Times New Roman"/>
        </w:rPr>
      </w:pPr>
      <w:r w:rsidRPr="004A0C12">
        <w:rPr>
          <w:rFonts w:ascii="Garamond" w:hAnsi="Garamond" w:cs="Times New Roman"/>
        </w:rPr>
        <w:t xml:space="preserve">The Governor’s Workforce Investment Board, on July 1, 2015, issued GWIB Policy Issuance 2015-01, </w:t>
      </w:r>
      <w:r w:rsidRPr="004A0C12">
        <w:rPr>
          <w:rFonts w:ascii="Garamond" w:hAnsi="Garamond" w:cs="Times New Roman"/>
          <w:i/>
        </w:rPr>
        <w:t>Maryland’s Loca</w:t>
      </w:r>
      <w:r w:rsidR="002B7D36" w:rsidRPr="004A0C12">
        <w:rPr>
          <w:rFonts w:ascii="Garamond" w:hAnsi="Garamond" w:cs="Times New Roman"/>
          <w:i/>
        </w:rPr>
        <w:t>l Workforce Development Boards u</w:t>
      </w:r>
      <w:r w:rsidRPr="004A0C12">
        <w:rPr>
          <w:rFonts w:ascii="Garamond" w:hAnsi="Garamond" w:cs="Times New Roman"/>
          <w:i/>
        </w:rPr>
        <w:t>nder WIOA</w:t>
      </w:r>
      <w:r w:rsidRPr="004A0C12">
        <w:rPr>
          <w:rFonts w:ascii="Garamond" w:hAnsi="Garamond" w:cs="Times New Roman"/>
        </w:rPr>
        <w:t xml:space="preserve">. </w:t>
      </w:r>
    </w:p>
    <w:p w14:paraId="32D6575A" w14:textId="157282FB" w:rsidR="0074457B" w:rsidRPr="004A0C12" w:rsidRDefault="0074457B" w:rsidP="0074457B">
      <w:pPr>
        <w:shd w:val="clear" w:color="auto" w:fill="FFFFFF"/>
        <w:spacing w:after="0" w:line="240" w:lineRule="auto"/>
        <w:jc w:val="both"/>
        <w:rPr>
          <w:rFonts w:ascii="Garamond" w:hAnsi="Garamond" w:cs="Times New Roman"/>
          <w:i/>
        </w:rPr>
      </w:pPr>
      <w:r w:rsidRPr="004A0C12">
        <w:rPr>
          <w:rFonts w:ascii="Garamond" w:hAnsi="Garamond" w:cs="Times New Roman"/>
        </w:rPr>
        <w:lastRenderedPageBreak/>
        <w:t xml:space="preserve">The Policy is accessible at the following link: </w:t>
      </w:r>
      <w:hyperlink r:id="rId88" w:history="1">
        <w:r w:rsidRPr="004A0C12">
          <w:rPr>
            <w:rStyle w:val="Hyperlink"/>
            <w:rFonts w:ascii="Garamond" w:hAnsi="Garamond" w:cs="Times New Roman"/>
          </w:rPr>
          <w:t>http://www.gwib.maryland.gov/policy/gwibpi1-15.pdf</w:t>
        </w:r>
      </w:hyperlink>
      <w:r w:rsidRPr="004A0C12">
        <w:rPr>
          <w:rFonts w:ascii="Garamond" w:hAnsi="Garamond" w:cs="Times New Roman"/>
        </w:rPr>
        <w:t xml:space="preserve">. The Policy outlines the responsibilities of the Local Boards, membership composition, and the appointment, certification and decertification processes.    </w:t>
      </w:r>
      <w:r w:rsidRPr="004A0C12">
        <w:rPr>
          <w:rFonts w:ascii="Garamond" w:hAnsi="Garamond" w:cs="Times New Roman"/>
          <w:i/>
        </w:rPr>
        <w:t xml:space="preserve"> </w:t>
      </w:r>
    </w:p>
    <w:p w14:paraId="63E1E851" w14:textId="77777777" w:rsidR="0074457B" w:rsidRPr="004A0C12" w:rsidRDefault="0074457B" w:rsidP="0074457B">
      <w:pPr>
        <w:shd w:val="clear" w:color="auto" w:fill="FFFFFF"/>
        <w:spacing w:after="0" w:line="240" w:lineRule="auto"/>
        <w:jc w:val="both"/>
        <w:rPr>
          <w:rFonts w:ascii="Garamond" w:hAnsi="Garamond" w:cs="Times New Roman"/>
        </w:rPr>
      </w:pPr>
    </w:p>
    <w:p w14:paraId="6C9A5659" w14:textId="3E919E05" w:rsidR="0074457B" w:rsidRPr="004A0C12" w:rsidRDefault="0074457B" w:rsidP="0074457B">
      <w:pPr>
        <w:shd w:val="clear" w:color="auto" w:fill="FFFFFF"/>
        <w:spacing w:after="0" w:line="240" w:lineRule="auto"/>
        <w:jc w:val="both"/>
        <w:rPr>
          <w:rFonts w:ascii="Garamond" w:hAnsi="Garamond" w:cs="Times New Roman"/>
        </w:rPr>
      </w:pPr>
      <w:r w:rsidRPr="004A0C12">
        <w:rPr>
          <w:rFonts w:ascii="Garamond" w:hAnsi="Garamond" w:cs="Times New Roman"/>
        </w:rPr>
        <w:t>In light of the Combined State Plan, Local Boards are strongly encouraged to include Local Directors from both V</w:t>
      </w:r>
      <w:r w:rsidR="002B7D36" w:rsidRPr="004A0C12">
        <w:rPr>
          <w:rFonts w:ascii="Garamond" w:hAnsi="Garamond" w:cs="Times New Roman"/>
        </w:rPr>
        <w:t xml:space="preserve">R </w:t>
      </w:r>
      <w:r w:rsidRPr="004A0C12">
        <w:rPr>
          <w:rFonts w:ascii="Garamond" w:hAnsi="Garamond" w:cs="Times New Roman"/>
        </w:rPr>
        <w:t>and T</w:t>
      </w:r>
      <w:r w:rsidR="002B7D36" w:rsidRPr="004A0C12">
        <w:rPr>
          <w:rFonts w:ascii="Garamond" w:hAnsi="Garamond" w:cs="Times New Roman"/>
        </w:rPr>
        <w:t>ANF</w:t>
      </w:r>
      <w:r w:rsidRPr="004A0C12">
        <w:rPr>
          <w:rFonts w:ascii="Garamond" w:hAnsi="Garamond" w:cs="Times New Roman"/>
        </w:rPr>
        <w:t xml:space="preserve"> progra</w:t>
      </w:r>
      <w:r w:rsidR="00BB5F3C" w:rsidRPr="004A0C12">
        <w:rPr>
          <w:rFonts w:ascii="Garamond" w:hAnsi="Garamond" w:cs="Times New Roman"/>
        </w:rPr>
        <w:t>ms. The individual selected by Local A</w:t>
      </w:r>
      <w:r w:rsidRPr="004A0C12">
        <w:rPr>
          <w:rFonts w:ascii="Garamond" w:hAnsi="Garamond" w:cs="Times New Roman"/>
        </w:rPr>
        <w:t xml:space="preserve">reas to serve on the Local Board must have decision-making authority for the local vocational rehabilitation </w:t>
      </w:r>
      <w:r w:rsidR="007D1705" w:rsidRPr="004A0C12">
        <w:rPr>
          <w:rFonts w:ascii="Garamond" w:hAnsi="Garamond" w:cs="Times New Roman"/>
        </w:rPr>
        <w:t>and/or TANF programs. The WIOA P</w:t>
      </w:r>
      <w:r w:rsidRPr="004A0C12">
        <w:rPr>
          <w:rFonts w:ascii="Garamond" w:hAnsi="Garamond" w:cs="Times New Roman"/>
        </w:rPr>
        <w:t xml:space="preserve">artners strongly encourage inclusion of local presentation of these programs on the Local Boards as a way to ensure constant communication and alignment of programming at the local level.     </w:t>
      </w:r>
    </w:p>
    <w:p w14:paraId="06DBDAAA" w14:textId="77777777" w:rsidR="00C55E56" w:rsidRPr="004A0C12" w:rsidRDefault="00C55E56" w:rsidP="00C55E56">
      <w:pPr>
        <w:spacing w:after="100" w:line="240" w:lineRule="auto"/>
        <w:rPr>
          <w:rFonts w:ascii="Garamond" w:eastAsia="Times New Roman" w:hAnsi="Garamond" w:cs="Times New Roman"/>
        </w:rPr>
      </w:pPr>
      <w:r w:rsidRPr="004A0C12">
        <w:rPr>
          <w:rFonts w:ascii="Garamond" w:eastAsia="Times New Roman" w:hAnsi="Garamond" w:cs="Times New Roman"/>
          <w:color w:val="000000"/>
        </w:rPr>
        <w:t>As noted above, the State provides a wide-range of services to Maryland’s jobseeker and businesses. However, in order to efficiently provide an analysis of the strengths and weaknesses of Maryland’s workforce system, one must first look at it as a system. As the State begins to implement the provisions of the federal Act, it is clear that Maryland’s jobseekers and businesses require a systems approach to the delivery of services. While the WIOA Partners have and continue to refer customers to each other, the true systems integration under the federal Act demands more. Maryland, as noted in the Executive Summary to this plan, is taking our federal partners at their word and “hitting the reset button.”</w:t>
      </w:r>
    </w:p>
    <w:p w14:paraId="3B605B30" w14:textId="77777777" w:rsidR="00C55E56" w:rsidRPr="004A0C12" w:rsidRDefault="00C55E56" w:rsidP="00C55E56">
      <w:pPr>
        <w:spacing w:after="100" w:line="240" w:lineRule="auto"/>
        <w:rPr>
          <w:rFonts w:ascii="Garamond" w:eastAsia="Times New Roman" w:hAnsi="Garamond" w:cs="Times New Roman"/>
        </w:rPr>
      </w:pPr>
      <w:r w:rsidRPr="004A0C12">
        <w:rPr>
          <w:rFonts w:ascii="Garamond" w:eastAsia="Times New Roman" w:hAnsi="Garamond" w:cs="Times New Roman"/>
          <w:color w:val="000000"/>
        </w:rPr>
        <w:t>As such, rather than analyze a system as it was under the Workforce Investment Act, Maryland has decided to critically analyze itself under WIOA. Therefore, Maryland proposes the following plan to achieve this through a SWOT (Strengths, Weaknesses, Opportunities, and Threats) analysis.</w:t>
      </w:r>
    </w:p>
    <w:p w14:paraId="7A971973" w14:textId="77777777" w:rsidR="00C55E56" w:rsidRPr="004A0C12" w:rsidRDefault="00C55E56" w:rsidP="00C55E56">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By July 1, 2017, the Maryland WIOA Alignment Group will meet and develop a SWOT analysis of Maryland’s Workforce System. The analysis will identify all of the workforce activities being carried out by all of the plan partners, </w:t>
      </w:r>
      <w:proofErr w:type="gramStart"/>
      <w:r w:rsidRPr="004A0C12">
        <w:rPr>
          <w:rFonts w:ascii="Garamond" w:eastAsia="Times New Roman" w:hAnsi="Garamond" w:cs="Times New Roman"/>
          <w:color w:val="000000"/>
        </w:rPr>
        <w:t>then</w:t>
      </w:r>
      <w:proofErr w:type="gramEnd"/>
      <w:r w:rsidRPr="004A0C12">
        <w:rPr>
          <w:rFonts w:ascii="Garamond" w:eastAsia="Times New Roman" w:hAnsi="Garamond" w:cs="Times New Roman"/>
          <w:color w:val="000000"/>
        </w:rPr>
        <w:t xml:space="preserve"> provide an earnest assessment of each. This analysis will be provided to the Governor’s Workforce Development Board for their review at their earliest quarterly meeting. As leaders in Maryland’s business community, and as the Governor’s policy advisors for workforce related items, the GWDB will be a good sounding board for the SWOT analysis. The SWOT analysis will also be shared with the jobseeker focus groups created under this plan. The goal here is to provide valuable feedback from the customers using Maryland’s workforce system.</w:t>
      </w:r>
    </w:p>
    <w:p w14:paraId="11B848E4" w14:textId="77777777" w:rsidR="00C55E56" w:rsidRPr="004A0C12" w:rsidRDefault="00C55E56" w:rsidP="00C55E56">
      <w:pPr>
        <w:spacing w:after="100" w:line="240" w:lineRule="auto"/>
        <w:rPr>
          <w:rFonts w:ascii="Garamond" w:eastAsia="Times New Roman" w:hAnsi="Garamond" w:cs="Times New Roman"/>
        </w:rPr>
      </w:pPr>
      <w:r w:rsidRPr="004A0C12">
        <w:rPr>
          <w:rFonts w:ascii="Garamond" w:eastAsia="Times New Roman" w:hAnsi="Garamond" w:cs="Times New Roman"/>
          <w:color w:val="000000"/>
        </w:rPr>
        <w:t>Maryland plans to revise the SWOT analysis every two years, and provide it with updated versions of this plan. The SWOT analysis will also serve as a guide for a system that is continually evolving to meet the needs of the State’s businesses and jobseekers.</w:t>
      </w:r>
    </w:p>
    <w:p w14:paraId="7AC1C00B" w14:textId="77777777" w:rsidR="00C55E56" w:rsidRPr="004A0C12" w:rsidRDefault="00C55E56" w:rsidP="0074457B">
      <w:pPr>
        <w:shd w:val="clear" w:color="auto" w:fill="FFFFFF"/>
        <w:spacing w:after="0" w:line="240" w:lineRule="auto"/>
        <w:jc w:val="both"/>
        <w:rPr>
          <w:rFonts w:ascii="Garamond" w:hAnsi="Garamond" w:cs="Times New Roman"/>
        </w:rPr>
      </w:pPr>
    </w:p>
    <w:p w14:paraId="77EF75E3" w14:textId="77777777" w:rsidR="0074457B" w:rsidRPr="00B25499" w:rsidRDefault="0074457B" w:rsidP="0074457B">
      <w:pPr>
        <w:pStyle w:val="Heading2"/>
        <w:rPr>
          <w:rFonts w:ascii="Garamond" w:hAnsi="Garamond"/>
          <w:sz w:val="24"/>
          <w:szCs w:val="24"/>
        </w:rPr>
      </w:pPr>
      <w:bookmarkStart w:id="86" w:name="_Toc447276130"/>
      <w:r w:rsidRPr="00B25499">
        <w:rPr>
          <w:rFonts w:ascii="Garamond" w:hAnsi="Garamond"/>
          <w:sz w:val="24"/>
          <w:szCs w:val="24"/>
        </w:rPr>
        <w:t>MEASURING MARYLAND’S SUCCESS: PERFORMANCE ACCOUNTABILITY</w:t>
      </w:r>
      <w:bookmarkEnd w:id="86"/>
    </w:p>
    <w:p w14:paraId="388A727C" w14:textId="5BFB08AB"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WIOA makes changes to the performance accountability system and cre</w:t>
      </w:r>
      <w:r w:rsidR="002B7D36" w:rsidRPr="004A0C12">
        <w:rPr>
          <w:rFonts w:ascii="Garamond" w:hAnsi="Garamond" w:cs="Times New Roman"/>
        </w:rPr>
        <w:t>ates a requirement that the United States</w:t>
      </w:r>
      <w:r w:rsidRPr="004A0C12">
        <w:rPr>
          <w:rFonts w:ascii="Garamond" w:hAnsi="Garamond" w:cs="Times New Roman"/>
        </w:rPr>
        <w:t xml:space="preserve"> Secretaries of Labor and Education create a statistical adjustment model which will replace the regression-based levels that the USDOL used in performance negotiations under the Workforce Investment Act of 1998.</w:t>
      </w:r>
    </w:p>
    <w:p w14:paraId="3256E3FA" w14:textId="77777777" w:rsidR="0074457B" w:rsidRPr="004A0C12" w:rsidRDefault="0074457B" w:rsidP="0074457B">
      <w:pPr>
        <w:spacing w:after="0" w:line="240" w:lineRule="auto"/>
        <w:rPr>
          <w:rFonts w:ascii="Garamond" w:hAnsi="Garamond" w:cs="Times New Roman"/>
        </w:rPr>
      </w:pPr>
    </w:p>
    <w:p w14:paraId="4A74BAFF" w14:textId="7D9CC5F5"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The implementation of WIOA performance accountability requirements will be phased in and must be implemented by July 1, 2016 (Program Year 2016). To accommodate Maryland’s development of a WIOA-compliant performance accountability system, USDOL has extended Maryland WIA Program Year (PY) 2014 performance goals into</w:t>
      </w:r>
      <w:r w:rsidR="002B7D36" w:rsidRPr="004A0C12">
        <w:rPr>
          <w:rFonts w:ascii="Garamond" w:hAnsi="Garamond" w:cs="Times New Roman"/>
        </w:rPr>
        <w:t xml:space="preserve"> PY 2015.  While</w:t>
      </w:r>
      <w:r w:rsidRPr="004A0C12">
        <w:rPr>
          <w:rFonts w:ascii="Garamond" w:hAnsi="Garamond" w:cs="Times New Roman"/>
        </w:rPr>
        <w:t xml:space="preserve"> DLLR, MSDE, and DHR are capable of reporting on each individual program to the respective federal oversight agency, Maryland does not currently have an integrated system </w:t>
      </w:r>
      <w:r w:rsidR="002B7D36" w:rsidRPr="004A0C12">
        <w:rPr>
          <w:rFonts w:ascii="Garamond" w:hAnsi="Garamond" w:cs="Times New Roman"/>
        </w:rPr>
        <w:t>that includes</w:t>
      </w:r>
      <w:r w:rsidRPr="004A0C12">
        <w:rPr>
          <w:rFonts w:ascii="Garamond" w:hAnsi="Garamond" w:cs="Times New Roman"/>
        </w:rPr>
        <w:t xml:space="preserve"> partner programs.  DLLR is therefore currently unable t</w:t>
      </w:r>
      <w:r w:rsidR="002B7D36" w:rsidRPr="004A0C12">
        <w:rPr>
          <w:rFonts w:ascii="Garamond" w:hAnsi="Garamond" w:cs="Times New Roman"/>
        </w:rPr>
        <w:t>o report data from divisions</w:t>
      </w:r>
      <w:r w:rsidRPr="004A0C12">
        <w:rPr>
          <w:rFonts w:ascii="Garamond" w:hAnsi="Garamond" w:cs="Times New Roman"/>
        </w:rPr>
        <w:t>, like DORS and FIA, which report outside of the Maryland Workforce Exchange (MWE) system.  As shown, the MWE currently houses WIOA Adult, Dislocated Worker. Youth, Wagner-Peyser, JVSG, and Trade program participants; however, TANF, Vocational Rehabilitation, and Adult Education are n</w:t>
      </w:r>
      <w:r w:rsidR="007D1705" w:rsidRPr="004A0C12">
        <w:rPr>
          <w:rFonts w:ascii="Garamond" w:hAnsi="Garamond" w:cs="Times New Roman"/>
        </w:rPr>
        <w:t>ot currently in MWE.  The WIOA P</w:t>
      </w:r>
      <w:r w:rsidRPr="004A0C12">
        <w:rPr>
          <w:rFonts w:ascii="Garamond" w:hAnsi="Garamond" w:cs="Times New Roman"/>
        </w:rPr>
        <w:t>artners intend to replace the existing multiple systems with a new system that will include imaging and workflow management, and a robust business rules engine to aid in eligibility determination and creating and managing benefit plans, as well as report perfor</w:t>
      </w:r>
      <w:r w:rsidR="00BF6375" w:rsidRPr="004A0C12">
        <w:rPr>
          <w:rFonts w:ascii="Garamond" w:hAnsi="Garamond" w:cs="Times New Roman"/>
        </w:rPr>
        <w:t xml:space="preserve">mance accountability measures. Refer to </w:t>
      </w:r>
      <w:r w:rsidR="009009EC" w:rsidRPr="004A0C12">
        <w:rPr>
          <w:rFonts w:ascii="Garamond" w:hAnsi="Garamond" w:cs="Times New Roman"/>
        </w:rPr>
        <w:t>pages 91-93</w:t>
      </w:r>
      <w:r w:rsidR="00BF6375" w:rsidRPr="004A0C12">
        <w:rPr>
          <w:rFonts w:ascii="Garamond" w:hAnsi="Garamond" w:cs="Times New Roman"/>
        </w:rPr>
        <w:t xml:space="preserve"> for additional information</w:t>
      </w:r>
      <w:r w:rsidR="00207E65" w:rsidRPr="004A0C12">
        <w:rPr>
          <w:rFonts w:ascii="Garamond" w:hAnsi="Garamond" w:cs="Times New Roman"/>
        </w:rPr>
        <w:t xml:space="preserve"> on WIOA program data and system alignment</w:t>
      </w:r>
      <w:r w:rsidR="00BF6375" w:rsidRPr="004A0C12">
        <w:rPr>
          <w:rFonts w:ascii="Garamond" w:hAnsi="Garamond" w:cs="Times New Roman"/>
        </w:rPr>
        <w:t>.</w:t>
      </w:r>
    </w:p>
    <w:p w14:paraId="7B36A5EB" w14:textId="77777777" w:rsidR="0074457B" w:rsidRPr="004A0C12" w:rsidRDefault="0074457B" w:rsidP="0074457B">
      <w:pPr>
        <w:spacing w:after="0" w:line="240" w:lineRule="auto"/>
        <w:jc w:val="both"/>
        <w:rPr>
          <w:rFonts w:ascii="Garamond" w:hAnsi="Garamond" w:cs="Times New Roman"/>
        </w:rPr>
      </w:pPr>
    </w:p>
    <w:p w14:paraId="7A882E0A" w14:textId="637790F5"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As previously noted, Maryl</w:t>
      </w:r>
      <w:r w:rsidR="007D1705" w:rsidRPr="004A0C12">
        <w:rPr>
          <w:rFonts w:ascii="Garamond" w:hAnsi="Garamond" w:cs="Times New Roman"/>
        </w:rPr>
        <w:t>and’s WIOA P</w:t>
      </w:r>
      <w:r w:rsidRPr="004A0C12">
        <w:rPr>
          <w:rFonts w:ascii="Garamond" w:hAnsi="Garamond" w:cs="Times New Roman"/>
        </w:rPr>
        <w:t xml:space="preserve">artners are dedicated to placing customers at the heart of the WIOA system. This will often require a customer to receive additional services and training to ensure that they are placed on a sustainable career pathway. This dedication places less emphasis on a performance goal and more emphasis on the individual behind the goal. </w:t>
      </w:r>
    </w:p>
    <w:p w14:paraId="555B37A2" w14:textId="77777777" w:rsidR="0074457B" w:rsidRPr="004A0C12" w:rsidRDefault="0074457B" w:rsidP="0074457B">
      <w:pPr>
        <w:spacing w:after="0" w:line="240" w:lineRule="auto"/>
        <w:jc w:val="both"/>
        <w:rPr>
          <w:rFonts w:ascii="Garamond" w:hAnsi="Garamond" w:cs="Times New Roman"/>
        </w:rPr>
      </w:pPr>
    </w:p>
    <w:p w14:paraId="27722163" w14:textId="5824129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lastRenderedPageBreak/>
        <w:t xml:space="preserve">Maryland continues to recognize the importance of performance accountability metrics to accurately assess the WIOA system’s overall effectiveness. Therefore, Maryland’s WIOA </w:t>
      </w:r>
      <w:r w:rsidR="002B7D36" w:rsidRPr="004A0C12">
        <w:rPr>
          <w:rFonts w:ascii="Garamond" w:hAnsi="Garamond" w:cs="Times New Roman"/>
        </w:rPr>
        <w:t>Partners are</w:t>
      </w:r>
      <w:r w:rsidRPr="004A0C12">
        <w:rPr>
          <w:rFonts w:ascii="Garamond" w:hAnsi="Garamond" w:cs="Times New Roman"/>
        </w:rPr>
        <w:t xml:space="preserve"> committed to explo</w:t>
      </w:r>
      <w:r w:rsidR="002B7D36" w:rsidRPr="004A0C12">
        <w:rPr>
          <w:rFonts w:ascii="Garamond" w:hAnsi="Garamond" w:cs="Times New Roman"/>
        </w:rPr>
        <w:t xml:space="preserve">ring the establishment of cross </w:t>
      </w:r>
      <w:r w:rsidRPr="004A0C12">
        <w:rPr>
          <w:rFonts w:ascii="Garamond" w:hAnsi="Garamond" w:cs="Times New Roman"/>
        </w:rPr>
        <w:t xml:space="preserve">cutting measures that focus on the quality of customer service for jobseekers and businesses, which could potentially supplement or replace the WIOA measures specified by law. GWIB is dedicated to forming a task force to examine additional performance accountability measures to ensure that Maryland’s focus remains </w:t>
      </w:r>
      <w:r w:rsidR="002B7D36" w:rsidRPr="004A0C12">
        <w:rPr>
          <w:rFonts w:ascii="Garamond" w:hAnsi="Garamond" w:cs="Times New Roman"/>
        </w:rPr>
        <w:t xml:space="preserve">squarely </w:t>
      </w:r>
      <w:r w:rsidRPr="004A0C12">
        <w:rPr>
          <w:rFonts w:ascii="Garamond" w:hAnsi="Garamond" w:cs="Times New Roman"/>
        </w:rPr>
        <w:t>on its business and jobseeker customers. Maryland is interested in securing a third party evaluator to focus on overall WIOA system effectiveness in relation to the WIOA performance measures prescribed by law.  Maryland’s WIOA Partners are further committed to conducting ongoing evaluations of workforce activities carried out in the State in order to promote, establish, implement, and utilize methods for continuously improving core program activities</w:t>
      </w:r>
      <w:r w:rsidR="002B7D36" w:rsidRPr="004A0C12">
        <w:rPr>
          <w:rFonts w:ascii="Garamond" w:hAnsi="Garamond" w:cs="Times New Roman"/>
        </w:rPr>
        <w:t>.</w:t>
      </w:r>
      <w:r w:rsidRPr="004A0C12">
        <w:rPr>
          <w:rFonts w:ascii="Garamond" w:hAnsi="Garamond" w:cs="Times New Roman"/>
        </w:rPr>
        <w:t xml:space="preserve"> </w:t>
      </w:r>
      <w:r w:rsidR="002B7D36" w:rsidRPr="004A0C12">
        <w:rPr>
          <w:rFonts w:ascii="Garamond" w:hAnsi="Garamond" w:cs="Times New Roman"/>
        </w:rPr>
        <w:t>This will allow the WIOA system to</w:t>
      </w:r>
      <w:r w:rsidRPr="004A0C12">
        <w:rPr>
          <w:rFonts w:ascii="Garamond" w:hAnsi="Garamond" w:cs="Times New Roman"/>
        </w:rPr>
        <w:t xml:space="preserve"> achieve high-level performance within</w:t>
      </w:r>
      <w:r w:rsidR="002B7D36" w:rsidRPr="004A0C12">
        <w:rPr>
          <w:rFonts w:ascii="Garamond" w:hAnsi="Garamond" w:cs="Times New Roman"/>
        </w:rPr>
        <w:t xml:space="preserve">, and high-level outcomes from </w:t>
      </w:r>
      <w:r w:rsidRPr="004A0C12">
        <w:rPr>
          <w:rFonts w:ascii="Garamond" w:hAnsi="Garamond" w:cs="Times New Roman"/>
        </w:rPr>
        <w:t xml:space="preserve">the workforce development system. </w:t>
      </w:r>
    </w:p>
    <w:p w14:paraId="60779D24" w14:textId="77777777" w:rsidR="0074457B" w:rsidRPr="00B25499" w:rsidRDefault="0074457B" w:rsidP="0074457B">
      <w:pPr>
        <w:pStyle w:val="Heading3"/>
        <w:rPr>
          <w:rFonts w:ascii="Garamond" w:hAnsi="Garamond"/>
          <w:sz w:val="24"/>
          <w:szCs w:val="24"/>
        </w:rPr>
      </w:pPr>
      <w:bookmarkStart w:id="87" w:name="_Toc447276131"/>
      <w:r w:rsidRPr="00B25499">
        <w:rPr>
          <w:rFonts w:ascii="Garamond" w:hAnsi="Garamond"/>
          <w:sz w:val="24"/>
          <w:szCs w:val="24"/>
        </w:rPr>
        <w:t>Core WIOA Programs</w:t>
      </w:r>
      <w:bookmarkEnd w:id="87"/>
    </w:p>
    <w:p w14:paraId="67D46789" w14:textId="7777777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 xml:space="preserve">WIOA standardizes performance requirements across core programs. </w:t>
      </w:r>
    </w:p>
    <w:p w14:paraId="5A94DD77" w14:textId="77777777" w:rsidR="0074457B" w:rsidRPr="004A0C12" w:rsidRDefault="0074457B" w:rsidP="0074457B">
      <w:pPr>
        <w:spacing w:after="0" w:line="240" w:lineRule="auto"/>
        <w:jc w:val="both"/>
        <w:rPr>
          <w:rFonts w:ascii="Garamond" w:hAnsi="Garamond" w:cs="Times New Roman"/>
        </w:rPr>
      </w:pPr>
    </w:p>
    <w:p w14:paraId="1C01113F" w14:textId="372181D8"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 xml:space="preserve">For the WIOA Title I Adult &amp; Dislocated Worker Programs, Title II </w:t>
      </w:r>
      <w:r w:rsidR="00AA3F72" w:rsidRPr="004A0C12">
        <w:rPr>
          <w:rFonts w:ascii="Garamond" w:hAnsi="Garamond" w:cs="Times New Roman"/>
        </w:rPr>
        <w:t>A</w:t>
      </w:r>
      <w:r w:rsidRPr="004A0C12">
        <w:rPr>
          <w:rFonts w:ascii="Garamond" w:hAnsi="Garamond" w:cs="Times New Roman"/>
        </w:rPr>
        <w:t xml:space="preserve">dult </w:t>
      </w:r>
      <w:r w:rsidR="00AA3F72" w:rsidRPr="004A0C12">
        <w:rPr>
          <w:rFonts w:ascii="Garamond" w:hAnsi="Garamond" w:cs="Times New Roman"/>
        </w:rPr>
        <w:t>E</w:t>
      </w:r>
      <w:r w:rsidRPr="004A0C12">
        <w:rPr>
          <w:rFonts w:ascii="Garamond" w:hAnsi="Garamond" w:cs="Times New Roman"/>
        </w:rPr>
        <w:t xml:space="preserve">ducation and </w:t>
      </w:r>
      <w:r w:rsidR="00AA3F72" w:rsidRPr="004A0C12">
        <w:rPr>
          <w:rFonts w:ascii="Garamond" w:hAnsi="Garamond" w:cs="Times New Roman"/>
        </w:rPr>
        <w:t>L</w:t>
      </w:r>
      <w:r w:rsidRPr="004A0C12">
        <w:rPr>
          <w:rFonts w:ascii="Garamond" w:hAnsi="Garamond" w:cs="Times New Roman"/>
        </w:rPr>
        <w:t xml:space="preserve">iteracy </w:t>
      </w:r>
      <w:r w:rsidR="00AA3F72" w:rsidRPr="004A0C12">
        <w:rPr>
          <w:rFonts w:ascii="Garamond" w:hAnsi="Garamond" w:cs="Times New Roman"/>
        </w:rPr>
        <w:t>programs</w:t>
      </w:r>
      <w:r w:rsidRPr="004A0C12">
        <w:rPr>
          <w:rFonts w:ascii="Garamond" w:hAnsi="Garamond" w:cs="Times New Roman"/>
        </w:rPr>
        <w:t xml:space="preserve">, Title III Wagner-Peyser employment services, and Title IV </w:t>
      </w:r>
      <w:r w:rsidR="00F96F1A" w:rsidRPr="004A0C12">
        <w:rPr>
          <w:rFonts w:ascii="Garamond" w:hAnsi="Garamond" w:cs="Times New Roman"/>
        </w:rPr>
        <w:t>V</w:t>
      </w:r>
      <w:r w:rsidRPr="004A0C12">
        <w:rPr>
          <w:rFonts w:ascii="Garamond" w:hAnsi="Garamond" w:cs="Times New Roman"/>
        </w:rPr>
        <w:t xml:space="preserve">ocational </w:t>
      </w:r>
      <w:r w:rsidR="00F96F1A" w:rsidRPr="004A0C12">
        <w:rPr>
          <w:rFonts w:ascii="Garamond" w:hAnsi="Garamond" w:cs="Times New Roman"/>
        </w:rPr>
        <w:t>R</w:t>
      </w:r>
      <w:r w:rsidRPr="004A0C12">
        <w:rPr>
          <w:rFonts w:ascii="Garamond" w:hAnsi="Garamond" w:cs="Times New Roman"/>
        </w:rPr>
        <w:t xml:space="preserve">ehabilitation, the primary indicators of performance are, as follows: </w:t>
      </w:r>
    </w:p>
    <w:p w14:paraId="6FFF70C1" w14:textId="77777777" w:rsidR="0074457B" w:rsidRPr="004A0C12" w:rsidRDefault="0074457B" w:rsidP="0074457B">
      <w:pPr>
        <w:spacing w:after="0" w:line="240" w:lineRule="auto"/>
        <w:jc w:val="both"/>
        <w:rPr>
          <w:rFonts w:ascii="Garamond" w:hAnsi="Garamond" w:cs="Times New Roman"/>
        </w:rPr>
      </w:pPr>
    </w:p>
    <w:p w14:paraId="35959845" w14:textId="0240EA1F" w:rsidR="0074457B" w:rsidRPr="004A0C12" w:rsidRDefault="00AA3F72"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E</w:t>
      </w:r>
      <w:r w:rsidR="0074457B" w:rsidRPr="004A0C12">
        <w:rPr>
          <w:rFonts w:ascii="Garamond" w:hAnsi="Garamond" w:cs="Times New Roman"/>
        </w:rPr>
        <w:t>mployment d</w:t>
      </w:r>
      <w:r w:rsidR="002B7D36" w:rsidRPr="004A0C12">
        <w:rPr>
          <w:rFonts w:ascii="Garamond" w:hAnsi="Garamond" w:cs="Times New Roman"/>
        </w:rPr>
        <w:t>uring 2nd quarter after exit</w:t>
      </w:r>
    </w:p>
    <w:p w14:paraId="46FF6828" w14:textId="48D8B203" w:rsidR="0074457B" w:rsidRPr="004A0C12" w:rsidRDefault="00AA3F72"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E</w:t>
      </w:r>
      <w:r w:rsidR="0074457B" w:rsidRPr="004A0C12">
        <w:rPr>
          <w:rFonts w:ascii="Garamond" w:hAnsi="Garamond" w:cs="Times New Roman"/>
        </w:rPr>
        <w:t>mploymen</w:t>
      </w:r>
      <w:r w:rsidR="002B7D36" w:rsidRPr="004A0C12">
        <w:rPr>
          <w:rFonts w:ascii="Garamond" w:hAnsi="Garamond" w:cs="Times New Roman"/>
        </w:rPr>
        <w:t>t during 4th quarter after exit</w:t>
      </w:r>
    </w:p>
    <w:p w14:paraId="4F4B9F3F" w14:textId="616B1632" w:rsidR="0074457B" w:rsidRPr="004A0C12" w:rsidRDefault="002B7D36"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Median earnings</w:t>
      </w:r>
    </w:p>
    <w:p w14:paraId="23291020" w14:textId="2E09A0A5" w:rsidR="0074457B" w:rsidRPr="004A0C12" w:rsidRDefault="002B7D36"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Credential attainment rate</w:t>
      </w:r>
    </w:p>
    <w:p w14:paraId="795C661A" w14:textId="25EB7821" w:rsidR="0074457B" w:rsidRPr="004A0C12" w:rsidRDefault="002B7D36"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Measurable skills gain</w:t>
      </w:r>
    </w:p>
    <w:p w14:paraId="68C5E269" w14:textId="3789CCDB" w:rsidR="0074457B" w:rsidRPr="004A0C12" w:rsidRDefault="0074457B"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Eff</w:t>
      </w:r>
      <w:r w:rsidR="002B7D36" w:rsidRPr="004A0C12">
        <w:rPr>
          <w:rFonts w:ascii="Garamond" w:hAnsi="Garamond" w:cs="Times New Roman"/>
        </w:rPr>
        <w:t>ectiveness in serving employers</w:t>
      </w:r>
    </w:p>
    <w:p w14:paraId="0A8BD6CD" w14:textId="77777777" w:rsidR="0074457B" w:rsidRPr="004A0C12" w:rsidRDefault="0074457B" w:rsidP="0074457B">
      <w:pPr>
        <w:spacing w:after="0" w:line="240" w:lineRule="auto"/>
        <w:jc w:val="both"/>
        <w:rPr>
          <w:rFonts w:ascii="Garamond" w:hAnsi="Garamond" w:cs="Times New Roman"/>
        </w:rPr>
      </w:pPr>
    </w:p>
    <w:p w14:paraId="31BC253B" w14:textId="7777777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For the WIOA Title I Youth program, the primary indicators of performance are, as follows:</w:t>
      </w:r>
    </w:p>
    <w:p w14:paraId="19ED0919" w14:textId="77777777" w:rsidR="0074457B" w:rsidRPr="004A0C12" w:rsidRDefault="0074457B" w:rsidP="0074457B">
      <w:pPr>
        <w:spacing w:after="0" w:line="240" w:lineRule="auto"/>
        <w:jc w:val="both"/>
        <w:rPr>
          <w:rFonts w:ascii="Garamond" w:hAnsi="Garamond" w:cs="Times New Roman"/>
        </w:rPr>
      </w:pPr>
    </w:p>
    <w:p w14:paraId="3582D48E" w14:textId="4C2D4DE0" w:rsidR="0074457B" w:rsidRPr="004A0C12" w:rsidRDefault="00AA3F72"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E</w:t>
      </w:r>
      <w:r w:rsidR="0074457B" w:rsidRPr="004A0C12">
        <w:rPr>
          <w:rFonts w:ascii="Garamond" w:hAnsi="Garamond" w:cs="Times New Roman"/>
        </w:rPr>
        <w:t>mployment, education, or trainin</w:t>
      </w:r>
      <w:r w:rsidR="002B7D36" w:rsidRPr="004A0C12">
        <w:rPr>
          <w:rFonts w:ascii="Garamond" w:hAnsi="Garamond" w:cs="Times New Roman"/>
        </w:rPr>
        <w:t>g during 2nd quarter after exit</w:t>
      </w:r>
    </w:p>
    <w:p w14:paraId="77212892" w14:textId="11D713D2" w:rsidR="0074457B" w:rsidRPr="004A0C12" w:rsidRDefault="00AA3F72"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E</w:t>
      </w:r>
      <w:r w:rsidR="0074457B" w:rsidRPr="004A0C12">
        <w:rPr>
          <w:rFonts w:ascii="Garamond" w:hAnsi="Garamond" w:cs="Times New Roman"/>
        </w:rPr>
        <w:t>mployment, education, or trainin</w:t>
      </w:r>
      <w:r w:rsidR="002B7D36" w:rsidRPr="004A0C12">
        <w:rPr>
          <w:rFonts w:ascii="Garamond" w:hAnsi="Garamond" w:cs="Times New Roman"/>
        </w:rPr>
        <w:t>g during 4th quarter after exit</w:t>
      </w:r>
    </w:p>
    <w:p w14:paraId="4E1E52D6" w14:textId="02E10AD6" w:rsidR="0074457B" w:rsidRPr="004A0C12" w:rsidRDefault="002B7D36"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Median earnings</w:t>
      </w:r>
    </w:p>
    <w:p w14:paraId="7C5CC7DC" w14:textId="79BA09D4" w:rsidR="0074457B" w:rsidRPr="004A0C12" w:rsidRDefault="002B7D36"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Credential attainment rate</w:t>
      </w:r>
    </w:p>
    <w:p w14:paraId="0E6C4740" w14:textId="19803553" w:rsidR="0074457B" w:rsidRPr="004A0C12" w:rsidRDefault="002B7D36"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Measurable skills gain</w:t>
      </w:r>
    </w:p>
    <w:p w14:paraId="6AF60D55" w14:textId="65ADCCE2" w:rsidR="0074457B" w:rsidRPr="004A0C12" w:rsidRDefault="0074457B" w:rsidP="00F733CF">
      <w:pPr>
        <w:numPr>
          <w:ilvl w:val="0"/>
          <w:numId w:val="83"/>
        </w:numPr>
        <w:spacing w:after="0" w:line="240" w:lineRule="auto"/>
        <w:ind w:left="720" w:hanging="360"/>
        <w:jc w:val="both"/>
        <w:rPr>
          <w:rFonts w:ascii="Garamond" w:hAnsi="Garamond" w:cs="Times New Roman"/>
        </w:rPr>
      </w:pPr>
      <w:r w:rsidRPr="004A0C12">
        <w:rPr>
          <w:rFonts w:ascii="Garamond" w:hAnsi="Garamond" w:cs="Times New Roman"/>
        </w:rPr>
        <w:t>Effectiveness in serving employ</w:t>
      </w:r>
      <w:r w:rsidR="002B7D36" w:rsidRPr="004A0C12">
        <w:rPr>
          <w:rFonts w:ascii="Garamond" w:hAnsi="Garamond" w:cs="Times New Roman"/>
        </w:rPr>
        <w:t>ers</w:t>
      </w:r>
    </w:p>
    <w:p w14:paraId="7C6A60B9" w14:textId="77777777" w:rsidR="0074457B" w:rsidRPr="004A0C12" w:rsidRDefault="0074457B" w:rsidP="0074457B">
      <w:pPr>
        <w:spacing w:after="0" w:line="240" w:lineRule="auto"/>
        <w:jc w:val="both"/>
        <w:rPr>
          <w:rFonts w:ascii="Garamond" w:hAnsi="Garamond" w:cs="Times New Roman"/>
        </w:rPr>
      </w:pPr>
    </w:p>
    <w:p w14:paraId="180D9A50" w14:textId="7777777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 xml:space="preserve">WIOA explains that each state shall identify within the State Plan its expected levels of performance for each primary indicator, for each program, for the first 2 program years covered by the State Plan. The law subsequently explains that the levels agreed to by the State, the Secretary of Labor, and the Secretary of Education, shall be considered to be the State adjusted performance and shall be incorporated into the State Plan prior to its approval. </w:t>
      </w:r>
    </w:p>
    <w:p w14:paraId="5CE5A157" w14:textId="77777777" w:rsidR="0074457B" w:rsidRPr="004A0C12" w:rsidRDefault="0074457B" w:rsidP="0074457B">
      <w:pPr>
        <w:spacing w:after="0" w:line="240" w:lineRule="auto"/>
        <w:jc w:val="both"/>
        <w:rPr>
          <w:rFonts w:ascii="Garamond" w:hAnsi="Garamond" w:cs="Times New Roman"/>
        </w:rPr>
      </w:pPr>
    </w:p>
    <w:p w14:paraId="706B5BDF" w14:textId="62465809"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Maryland anticipates that USDOL will soon provide further guidance on the WIOA performance measures via Training and Employment Guidance Letters (TEGLs) and Training and Employment Notices (TENs). Therefore, pending federal guidance, Maryland has not yet identified expected performa</w:t>
      </w:r>
      <w:r w:rsidR="00BB5F3C" w:rsidRPr="004A0C12">
        <w:rPr>
          <w:rFonts w:ascii="Garamond" w:hAnsi="Garamond" w:cs="Times New Roman"/>
        </w:rPr>
        <w:t>nce levels. Maryland’s WIOA Partners</w:t>
      </w:r>
      <w:r w:rsidRPr="004A0C12">
        <w:rPr>
          <w:rFonts w:ascii="Garamond" w:hAnsi="Garamond" w:cs="Times New Roman"/>
        </w:rPr>
        <w:t xml:space="preserve"> </w:t>
      </w:r>
      <w:r w:rsidR="00BB5F3C" w:rsidRPr="004A0C12">
        <w:rPr>
          <w:rFonts w:ascii="Garamond" w:hAnsi="Garamond" w:cs="Times New Roman"/>
        </w:rPr>
        <w:t xml:space="preserve">are </w:t>
      </w:r>
      <w:r w:rsidRPr="004A0C12">
        <w:rPr>
          <w:rFonts w:ascii="Garamond" w:hAnsi="Garamond" w:cs="Times New Roman"/>
        </w:rPr>
        <w:t xml:space="preserve">committed to continuing to work closely with USDOL in anticipation of additional information.  </w:t>
      </w:r>
    </w:p>
    <w:p w14:paraId="2F4EDB34" w14:textId="768566D5" w:rsidR="00AE2906" w:rsidRPr="00B25499" w:rsidRDefault="0074457B" w:rsidP="00AE2906">
      <w:pPr>
        <w:pStyle w:val="Heading3"/>
        <w:rPr>
          <w:rFonts w:ascii="Garamond" w:hAnsi="Garamond"/>
          <w:sz w:val="24"/>
          <w:szCs w:val="24"/>
        </w:rPr>
      </w:pPr>
      <w:bookmarkStart w:id="88" w:name="_Toc447276132"/>
      <w:r w:rsidRPr="00B25499">
        <w:rPr>
          <w:rFonts w:ascii="Garamond" w:hAnsi="Garamond"/>
          <w:sz w:val="24"/>
          <w:szCs w:val="24"/>
        </w:rPr>
        <w:t>Temporary Assistance for Needy Families</w:t>
      </w:r>
      <w:bookmarkEnd w:id="88"/>
      <w:r w:rsidRPr="00B25499">
        <w:rPr>
          <w:rFonts w:ascii="Garamond" w:hAnsi="Garamond"/>
          <w:sz w:val="24"/>
          <w:szCs w:val="24"/>
        </w:rPr>
        <w:t xml:space="preserve"> </w:t>
      </w:r>
    </w:p>
    <w:p w14:paraId="489E3520" w14:textId="7777777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The U.S. Department of Health and Human Services assesses state TANF performance based on the Work Participation Rate (WPR) performance indicator. Under the WPR, states must engage TANF work eligible individuals in federally approved, countable work activities for a specific number of hours per week. By statute, the target WPR is 50 percent. Below is Maryland’s WPR Federal indicator:</w:t>
      </w:r>
    </w:p>
    <w:p w14:paraId="7868F153" w14:textId="77777777" w:rsidR="0074457B" w:rsidRPr="004A0C12" w:rsidRDefault="0074457B" w:rsidP="0074457B">
      <w:pPr>
        <w:spacing w:after="0" w:line="240" w:lineRule="auto"/>
        <w:jc w:val="both"/>
        <w:rPr>
          <w:rFonts w:ascii="Garamond" w:hAnsi="Garamond" w:cs="Times New Roman"/>
        </w:rPr>
      </w:pPr>
    </w:p>
    <w:p w14:paraId="6CFF0226" w14:textId="77777777" w:rsidR="0074457B" w:rsidRPr="004A0C12" w:rsidRDefault="0074457B" w:rsidP="00F733CF">
      <w:pPr>
        <w:numPr>
          <w:ilvl w:val="0"/>
          <w:numId w:val="87"/>
        </w:numPr>
        <w:spacing w:after="0" w:line="240" w:lineRule="auto"/>
        <w:jc w:val="both"/>
        <w:rPr>
          <w:rFonts w:ascii="Garamond" w:hAnsi="Garamond" w:cs="Times New Roman"/>
        </w:rPr>
      </w:pPr>
      <w:r w:rsidRPr="004A0C12">
        <w:rPr>
          <w:rFonts w:ascii="Garamond" w:hAnsi="Garamond" w:cs="Times New Roman"/>
        </w:rPr>
        <w:lastRenderedPageBreak/>
        <w:t>WPR – The total number of work eligible TANF recipients that have met their work requirement, averaging 30 hours per week (20 hours a week for single parents with one or more children under 6 years old), in the month.</w:t>
      </w:r>
    </w:p>
    <w:p w14:paraId="0E025588" w14:textId="77777777" w:rsidR="0074457B" w:rsidRPr="004A0C12" w:rsidRDefault="0074457B" w:rsidP="0074457B">
      <w:pPr>
        <w:spacing w:after="0" w:line="240" w:lineRule="auto"/>
        <w:ind w:left="720"/>
        <w:jc w:val="both"/>
        <w:rPr>
          <w:rFonts w:ascii="Garamond" w:hAnsi="Garamond" w:cs="Times New Roman"/>
        </w:rPr>
      </w:pPr>
    </w:p>
    <w:p w14:paraId="04759D1F" w14:textId="095C2295"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In addition to the Federal WPR, Maryland assesses performance bas</w:t>
      </w:r>
      <w:r w:rsidR="00AE2906" w:rsidRPr="004A0C12">
        <w:rPr>
          <w:rFonts w:ascii="Garamond" w:hAnsi="Garamond" w:cs="Times New Roman"/>
        </w:rPr>
        <w:t>ed on the following indicators:</w:t>
      </w:r>
    </w:p>
    <w:p w14:paraId="2F1954B4" w14:textId="46B1B033" w:rsidR="0074457B" w:rsidRPr="004A0C12" w:rsidRDefault="0074457B" w:rsidP="00F733CF">
      <w:pPr>
        <w:numPr>
          <w:ilvl w:val="0"/>
          <w:numId w:val="87"/>
        </w:numPr>
        <w:spacing w:after="0" w:line="240" w:lineRule="auto"/>
        <w:jc w:val="both"/>
        <w:rPr>
          <w:rFonts w:ascii="Garamond" w:hAnsi="Garamond" w:cs="Times New Roman"/>
        </w:rPr>
      </w:pPr>
      <w:r w:rsidRPr="004A0C12">
        <w:rPr>
          <w:rFonts w:ascii="Garamond" w:hAnsi="Garamond" w:cs="Times New Roman"/>
        </w:rPr>
        <w:t xml:space="preserve">Job Placements – The total number of TANF recipients that were placed in a subsidized public employment, subsidized private employment, unsubsidized employment, or on </w:t>
      </w:r>
      <w:r w:rsidR="002B7D36" w:rsidRPr="004A0C12">
        <w:rPr>
          <w:rFonts w:ascii="Garamond" w:hAnsi="Garamond" w:cs="Times New Roman"/>
        </w:rPr>
        <w:t>the job training activity</w:t>
      </w:r>
    </w:p>
    <w:p w14:paraId="79D337D5" w14:textId="5A131FBB" w:rsidR="0074457B" w:rsidRPr="004A0C12" w:rsidRDefault="0074457B" w:rsidP="00F733CF">
      <w:pPr>
        <w:numPr>
          <w:ilvl w:val="0"/>
          <w:numId w:val="87"/>
        </w:numPr>
        <w:spacing w:after="0" w:line="240" w:lineRule="auto"/>
        <w:jc w:val="both"/>
        <w:rPr>
          <w:rFonts w:ascii="Garamond" w:hAnsi="Garamond" w:cs="Times New Roman"/>
        </w:rPr>
      </w:pPr>
      <w:r w:rsidRPr="004A0C12">
        <w:rPr>
          <w:rFonts w:ascii="Garamond" w:hAnsi="Garamond" w:cs="Times New Roman"/>
        </w:rPr>
        <w:t xml:space="preserve">Ten Dollar per Hour Job Placements – The total number of TANF recipients that were placed in a subsidized public employment, subsidized private employment, unsubsidized employment, or on the job training activity and scheduled for </w:t>
      </w:r>
      <w:r w:rsidR="002B7D36" w:rsidRPr="004A0C12">
        <w:rPr>
          <w:rFonts w:ascii="Garamond" w:hAnsi="Garamond" w:cs="Times New Roman"/>
        </w:rPr>
        <w:t>30 hours per week or more</w:t>
      </w:r>
    </w:p>
    <w:p w14:paraId="42F04916" w14:textId="74A1FCDD" w:rsidR="0074457B" w:rsidRPr="004A0C12" w:rsidRDefault="0074457B" w:rsidP="00F733CF">
      <w:pPr>
        <w:numPr>
          <w:ilvl w:val="0"/>
          <w:numId w:val="87"/>
        </w:numPr>
        <w:spacing w:after="0" w:line="240" w:lineRule="auto"/>
        <w:jc w:val="both"/>
        <w:rPr>
          <w:rFonts w:ascii="Garamond" w:hAnsi="Garamond" w:cs="Times New Roman"/>
        </w:rPr>
      </w:pPr>
      <w:r w:rsidRPr="004A0C12">
        <w:rPr>
          <w:rFonts w:ascii="Garamond" w:hAnsi="Garamond" w:cs="Times New Roman"/>
        </w:rPr>
        <w:t>Job Retention</w:t>
      </w:r>
      <w:r w:rsidR="002B7D36" w:rsidRPr="004A0C12">
        <w:rPr>
          <w:rFonts w:ascii="Garamond" w:hAnsi="Garamond" w:cs="Times New Roman"/>
        </w:rPr>
        <w:t xml:space="preserve"> – Ac</w:t>
      </w:r>
      <w:r w:rsidR="0054168E" w:rsidRPr="004A0C12">
        <w:rPr>
          <w:rFonts w:ascii="Garamond" w:hAnsi="Garamond" w:cs="Times New Roman"/>
        </w:rPr>
        <w:t>hieve</w:t>
      </w:r>
      <w:r w:rsidRPr="004A0C12">
        <w:rPr>
          <w:rFonts w:ascii="Garamond" w:hAnsi="Garamond" w:cs="Times New Roman"/>
        </w:rPr>
        <w:t xml:space="preserve"> a j</w:t>
      </w:r>
      <w:r w:rsidR="002B7D36" w:rsidRPr="004A0C12">
        <w:rPr>
          <w:rFonts w:ascii="Garamond" w:hAnsi="Garamond" w:cs="Times New Roman"/>
        </w:rPr>
        <w:t>ob retention rate of 75 percent</w:t>
      </w:r>
    </w:p>
    <w:p w14:paraId="76C6E340" w14:textId="77777777" w:rsidR="00AE2906" w:rsidRPr="004A0C12" w:rsidRDefault="00AE2906" w:rsidP="00AE2906">
      <w:pPr>
        <w:spacing w:after="0" w:line="240" w:lineRule="auto"/>
        <w:jc w:val="both"/>
        <w:rPr>
          <w:rFonts w:ascii="Garamond" w:hAnsi="Garamond" w:cs="Times New Roman"/>
        </w:rPr>
      </w:pPr>
    </w:p>
    <w:p w14:paraId="4709016A" w14:textId="00138494" w:rsidR="00AE2906" w:rsidRPr="004A0C12" w:rsidRDefault="00AE2906" w:rsidP="00AE2906">
      <w:pPr>
        <w:spacing w:after="0" w:line="240" w:lineRule="auto"/>
        <w:jc w:val="both"/>
        <w:rPr>
          <w:rFonts w:ascii="Garamond" w:hAnsi="Garamond" w:cs="Times New Roman"/>
        </w:rPr>
      </w:pPr>
      <w:r w:rsidRPr="004A0C12">
        <w:rPr>
          <w:rFonts w:ascii="Garamond" w:hAnsi="Garamond" w:cs="Times New Roman"/>
        </w:rPr>
        <w:t>Maryland DHR will continue to focus on the primary federal TANF performance measure of 50 percent for WPR. In addition to WPR, DHR will begin to provide and report out data on TANF outcomes for the first three proposed Common Measures: Employment, Retention, and Median Wages. Maryland would like to baseline these TANF Common Measures data for two years to evaluate the effectiveness of the WIOA/TANF mandated partnership, analyze alignment with other WIOA Partners’ data, and consider adoption of some or all of the Common Measures over time.</w:t>
      </w:r>
    </w:p>
    <w:p w14:paraId="1730A2AB" w14:textId="77777777" w:rsidR="0074457B" w:rsidRPr="00B25499" w:rsidRDefault="0074457B" w:rsidP="0074457B">
      <w:pPr>
        <w:pStyle w:val="Heading3"/>
        <w:rPr>
          <w:rFonts w:ascii="Garamond" w:hAnsi="Garamond"/>
          <w:sz w:val="24"/>
          <w:szCs w:val="24"/>
        </w:rPr>
      </w:pPr>
      <w:bookmarkStart w:id="89" w:name="_Toc447276133"/>
      <w:r w:rsidRPr="00B25499">
        <w:rPr>
          <w:rFonts w:ascii="Garamond" w:hAnsi="Garamond"/>
          <w:sz w:val="24"/>
          <w:szCs w:val="24"/>
        </w:rPr>
        <w:t>Trade Program</w:t>
      </w:r>
      <w:bookmarkEnd w:id="89"/>
      <w:r w:rsidRPr="00B25499">
        <w:rPr>
          <w:rFonts w:ascii="Garamond" w:hAnsi="Garamond"/>
          <w:sz w:val="24"/>
          <w:szCs w:val="24"/>
        </w:rPr>
        <w:t xml:space="preserve"> </w:t>
      </w:r>
    </w:p>
    <w:p w14:paraId="3FDD2D26" w14:textId="57ACFA0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USDOL assessed Maryland’s Trade performance through the Trade Act Participant Report (TAPR). The TAPR features a data extract capturing the full universe of Trade Adjustment Assistance (TAA) applicants, including TAA participants who receive benefits and services across programs.  A standardized set of data elements that includes information on participant demographics, types of services received, and performance outcomes is a key component of this reporting structure. As the TAPR is intended to track information on TAA activity on a “real time” basis for individuals, from the point of TAA eligibility determination th</w:t>
      </w:r>
      <w:r w:rsidR="002B7D36" w:rsidRPr="004A0C12">
        <w:rPr>
          <w:rFonts w:ascii="Garamond" w:hAnsi="Garamond" w:cs="Times New Roman"/>
        </w:rPr>
        <w:t>rough post-</w:t>
      </w:r>
      <w:r w:rsidRPr="004A0C12">
        <w:rPr>
          <w:rFonts w:ascii="Garamond" w:hAnsi="Garamond" w:cs="Times New Roman"/>
        </w:rPr>
        <w:t>participation outcomes, the data are used to respond quickly and effectively to the management information needs of Congress, the</w:t>
      </w:r>
      <w:r w:rsidR="002B7D36" w:rsidRPr="004A0C12">
        <w:rPr>
          <w:rFonts w:ascii="Garamond" w:hAnsi="Garamond" w:cs="Times New Roman"/>
        </w:rPr>
        <w:t xml:space="preserve"> Executive Branch agencies of the federal government</w:t>
      </w:r>
      <w:r w:rsidRPr="004A0C12">
        <w:rPr>
          <w:rFonts w:ascii="Garamond" w:hAnsi="Garamond" w:cs="Times New Roman"/>
        </w:rPr>
        <w:t>, and a variety of stakeholders who develop and</w:t>
      </w:r>
      <w:r w:rsidR="00440FE5" w:rsidRPr="004A0C12">
        <w:rPr>
          <w:rFonts w:ascii="Garamond" w:hAnsi="Garamond" w:cs="Times New Roman"/>
        </w:rPr>
        <w:t xml:space="preserve"> implement TAA program design. </w:t>
      </w:r>
    </w:p>
    <w:p w14:paraId="2319D908" w14:textId="77777777" w:rsidR="00440FE5" w:rsidRPr="004A0C12" w:rsidRDefault="00440FE5" w:rsidP="0074457B">
      <w:pPr>
        <w:spacing w:after="0" w:line="240" w:lineRule="auto"/>
        <w:jc w:val="both"/>
        <w:rPr>
          <w:rFonts w:ascii="Garamond" w:hAnsi="Garamond" w:cs="Times New Roman"/>
        </w:rPr>
      </w:pPr>
    </w:p>
    <w:p w14:paraId="31A7D3A9" w14:textId="0A64E02E"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In addition, Trade assessment data are made available to the public based on industry, state, and nati</w:t>
      </w:r>
      <w:r w:rsidR="002B7D36" w:rsidRPr="004A0C12">
        <w:rPr>
          <w:rFonts w:ascii="Garamond" w:hAnsi="Garamond" w:cs="Times New Roman"/>
        </w:rPr>
        <w:t>onal aggregates through a query</w:t>
      </w:r>
      <w:r w:rsidR="00B157E4">
        <w:rPr>
          <w:rFonts w:ascii="Garamond" w:hAnsi="Garamond" w:cs="Times New Roman"/>
        </w:rPr>
        <w:t>-</w:t>
      </w:r>
      <w:r w:rsidRPr="004A0C12">
        <w:rPr>
          <w:rFonts w:ascii="Garamond" w:hAnsi="Garamond" w:cs="Times New Roman"/>
        </w:rPr>
        <w:t xml:space="preserve">able search feature on the TAA </w:t>
      </w:r>
      <w:r w:rsidR="002B7D36" w:rsidRPr="004A0C12">
        <w:rPr>
          <w:rFonts w:ascii="Garamond" w:hAnsi="Garamond" w:cs="Times New Roman"/>
        </w:rPr>
        <w:t xml:space="preserve">website located at </w:t>
      </w:r>
      <w:hyperlink r:id="rId89" w:history="1">
        <w:r w:rsidR="002B7D36" w:rsidRPr="004A0C12">
          <w:rPr>
            <w:rStyle w:val="Hyperlink"/>
            <w:rFonts w:ascii="Garamond" w:hAnsi="Garamond" w:cs="Times New Roman"/>
          </w:rPr>
          <w:t>www.doleta.gov/tradeact</w:t>
        </w:r>
      </w:hyperlink>
      <w:r w:rsidRPr="004A0C12">
        <w:rPr>
          <w:rFonts w:ascii="Garamond" w:hAnsi="Garamond" w:cs="Times New Roman"/>
        </w:rPr>
        <w:t>,</w:t>
      </w:r>
      <w:r w:rsidR="002B7D36" w:rsidRPr="004A0C12">
        <w:rPr>
          <w:rFonts w:ascii="Garamond" w:hAnsi="Garamond" w:cs="Times New Roman"/>
        </w:rPr>
        <w:t xml:space="preserve"> </w:t>
      </w:r>
      <w:r w:rsidRPr="004A0C12">
        <w:rPr>
          <w:rFonts w:ascii="Garamond" w:hAnsi="Garamond" w:cs="Times New Roman"/>
        </w:rPr>
        <w:t>which provides an unprecedented level of transparency on TAA participation.</w:t>
      </w:r>
    </w:p>
    <w:p w14:paraId="0E6FC660" w14:textId="77777777" w:rsidR="0074457B" w:rsidRPr="00B25499" w:rsidRDefault="0074457B" w:rsidP="0074457B">
      <w:pPr>
        <w:spacing w:after="0" w:line="240" w:lineRule="auto"/>
        <w:jc w:val="both"/>
        <w:rPr>
          <w:rFonts w:ascii="Garamond" w:hAnsi="Garamond" w:cs="Times New Roman"/>
          <w:sz w:val="24"/>
          <w:szCs w:val="24"/>
        </w:rPr>
      </w:pPr>
    </w:p>
    <w:p w14:paraId="711A0B64" w14:textId="77777777" w:rsidR="0074457B" w:rsidRPr="00B25499" w:rsidRDefault="0074457B" w:rsidP="0074457B">
      <w:pPr>
        <w:pStyle w:val="Heading3"/>
        <w:spacing w:before="0" w:line="240" w:lineRule="auto"/>
        <w:rPr>
          <w:rFonts w:ascii="Garamond" w:hAnsi="Garamond"/>
          <w:sz w:val="24"/>
          <w:szCs w:val="24"/>
        </w:rPr>
      </w:pPr>
      <w:bookmarkStart w:id="90" w:name="_Toc447276134"/>
      <w:r w:rsidRPr="00B25499">
        <w:rPr>
          <w:rFonts w:ascii="Garamond" w:hAnsi="Garamond"/>
          <w:sz w:val="24"/>
          <w:szCs w:val="24"/>
        </w:rPr>
        <w:t>Jobs for Veterans State Grant Program</w:t>
      </w:r>
      <w:bookmarkEnd w:id="90"/>
      <w:r w:rsidRPr="00B25499">
        <w:rPr>
          <w:rFonts w:ascii="Garamond" w:hAnsi="Garamond"/>
          <w:sz w:val="24"/>
          <w:szCs w:val="24"/>
        </w:rPr>
        <w:t xml:space="preserve"> </w:t>
      </w:r>
    </w:p>
    <w:p w14:paraId="0F33F637" w14:textId="7777777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Annually, the State and USDOL negotiate Maryland’s targets for performance measures for employment services for Veterans. Performance during previous periods guides the performance negotiation process to ensure that performance levels are both realistic and challenging. States are expected to develop strategies and policies that demonstrate continuous improvement.</w:t>
      </w:r>
    </w:p>
    <w:p w14:paraId="57794B42" w14:textId="77777777" w:rsidR="0074457B" w:rsidRPr="004A0C12" w:rsidRDefault="0074457B" w:rsidP="0074457B">
      <w:pPr>
        <w:spacing w:after="0" w:line="240" w:lineRule="auto"/>
        <w:jc w:val="both"/>
        <w:rPr>
          <w:rFonts w:ascii="Garamond" w:hAnsi="Garamond" w:cs="Times New Roman"/>
        </w:rPr>
      </w:pPr>
    </w:p>
    <w:p w14:paraId="6349146B" w14:textId="7777777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USDOL measures the effectiveness of a State’s employment services by reviewing:</w:t>
      </w:r>
    </w:p>
    <w:p w14:paraId="05A126DD" w14:textId="77777777" w:rsidR="0074457B" w:rsidRPr="004A0C12" w:rsidRDefault="0074457B" w:rsidP="0074457B">
      <w:pPr>
        <w:spacing w:after="0" w:line="240" w:lineRule="auto"/>
        <w:jc w:val="both"/>
        <w:rPr>
          <w:rFonts w:ascii="Garamond" w:hAnsi="Garamond" w:cs="Times New Roman"/>
        </w:rPr>
      </w:pPr>
    </w:p>
    <w:p w14:paraId="125CA589" w14:textId="77777777" w:rsidR="0074457B" w:rsidRPr="004A0C12" w:rsidRDefault="0074457B" w:rsidP="00F733CF">
      <w:pPr>
        <w:numPr>
          <w:ilvl w:val="0"/>
          <w:numId w:val="84"/>
        </w:numPr>
        <w:tabs>
          <w:tab w:val="clear" w:pos="0"/>
          <w:tab w:val="num" w:pos="720"/>
        </w:tabs>
        <w:spacing w:after="0" w:line="240" w:lineRule="auto"/>
        <w:ind w:left="720" w:hanging="360"/>
        <w:jc w:val="both"/>
        <w:rPr>
          <w:rFonts w:ascii="Garamond" w:hAnsi="Garamond" w:cs="Times New Roman"/>
        </w:rPr>
      </w:pPr>
      <w:r w:rsidRPr="004A0C12">
        <w:rPr>
          <w:rFonts w:ascii="Garamond" w:hAnsi="Garamond" w:cs="Times New Roman"/>
        </w:rPr>
        <w:t xml:space="preserve">The Jobs for Veterans State Grant (JVSG) Program; and, </w:t>
      </w:r>
    </w:p>
    <w:p w14:paraId="0747238F" w14:textId="77777777" w:rsidR="0074457B" w:rsidRPr="004A0C12" w:rsidRDefault="0074457B" w:rsidP="00F733CF">
      <w:pPr>
        <w:numPr>
          <w:ilvl w:val="0"/>
          <w:numId w:val="84"/>
        </w:numPr>
        <w:tabs>
          <w:tab w:val="clear" w:pos="0"/>
          <w:tab w:val="num" w:pos="720"/>
        </w:tabs>
        <w:spacing w:after="0" w:line="240" w:lineRule="auto"/>
        <w:ind w:left="720" w:hanging="360"/>
        <w:jc w:val="both"/>
        <w:rPr>
          <w:rFonts w:ascii="Garamond" w:hAnsi="Garamond" w:cs="Times New Roman"/>
        </w:rPr>
      </w:pPr>
      <w:r w:rsidRPr="004A0C12">
        <w:rPr>
          <w:rFonts w:ascii="Garamond" w:hAnsi="Garamond" w:cs="Times New Roman"/>
        </w:rPr>
        <w:t xml:space="preserve">All other USDOL administered programs that are offered to Veterans through the American Job Center delivery system. </w:t>
      </w:r>
    </w:p>
    <w:p w14:paraId="4F2BCD8F" w14:textId="77777777" w:rsidR="0074457B" w:rsidRPr="004A0C12" w:rsidRDefault="0074457B" w:rsidP="0074457B">
      <w:pPr>
        <w:spacing w:after="0" w:line="240" w:lineRule="auto"/>
        <w:jc w:val="both"/>
        <w:rPr>
          <w:rFonts w:ascii="Garamond" w:hAnsi="Garamond" w:cs="Times New Roman"/>
        </w:rPr>
      </w:pPr>
    </w:p>
    <w:p w14:paraId="5E79D205" w14:textId="6D1E71BE" w:rsidR="0074457B" w:rsidRPr="004A0C12" w:rsidRDefault="002B7D36" w:rsidP="0074457B">
      <w:pPr>
        <w:spacing w:after="0" w:line="240" w:lineRule="auto"/>
        <w:jc w:val="both"/>
        <w:rPr>
          <w:rFonts w:ascii="Garamond" w:hAnsi="Garamond" w:cs="Times New Roman"/>
        </w:rPr>
      </w:pPr>
      <w:r w:rsidRPr="004A0C12">
        <w:rPr>
          <w:rFonts w:ascii="Garamond" w:hAnsi="Garamond" w:cs="Times New Roman"/>
        </w:rPr>
        <w:t>Should the State fall</w:t>
      </w:r>
      <w:r w:rsidR="0074457B" w:rsidRPr="004A0C12">
        <w:rPr>
          <w:rFonts w:ascii="Garamond" w:hAnsi="Garamond" w:cs="Times New Roman"/>
        </w:rPr>
        <w:t xml:space="preserve"> short of its negotiated targets, USDOL’s Veterans Employment Training Services (VETS) provides technical assistance to help the State achieve success in providing Veterans with employment services that lead to viable opportunities for employment. </w:t>
      </w:r>
    </w:p>
    <w:p w14:paraId="027AF950" w14:textId="77777777" w:rsidR="0074457B" w:rsidRPr="004A0C12" w:rsidRDefault="0074457B" w:rsidP="0074457B">
      <w:pPr>
        <w:spacing w:after="0" w:line="240" w:lineRule="auto"/>
        <w:rPr>
          <w:rFonts w:ascii="Garamond" w:hAnsi="Garamond" w:cs="Times New Roman"/>
          <w:color w:val="17366D"/>
        </w:rPr>
      </w:pPr>
    </w:p>
    <w:p w14:paraId="42BB3054" w14:textId="10A33966"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The following measures seek to address the outcomes experienced by eligible V</w:t>
      </w:r>
      <w:r w:rsidR="00900002" w:rsidRPr="004A0C12">
        <w:rPr>
          <w:rFonts w:ascii="Garamond" w:hAnsi="Garamond" w:cs="Times New Roman"/>
        </w:rPr>
        <w:t>eterans and spouses with significant barriers to e</w:t>
      </w:r>
      <w:r w:rsidRPr="004A0C12">
        <w:rPr>
          <w:rFonts w:ascii="Garamond" w:hAnsi="Garamond" w:cs="Times New Roman"/>
        </w:rPr>
        <w:t>mployment, who are served by Disabled Veterans Outreach Program (DVOP) specialists.</w:t>
      </w:r>
    </w:p>
    <w:p w14:paraId="2239DE30" w14:textId="77777777" w:rsidR="0074457B" w:rsidRPr="004A0C12" w:rsidRDefault="0074457B" w:rsidP="0074457B">
      <w:pPr>
        <w:spacing w:after="0" w:line="240" w:lineRule="auto"/>
        <w:jc w:val="both"/>
        <w:rPr>
          <w:rFonts w:ascii="Garamond" w:hAnsi="Garamond" w:cs="Times New Roman"/>
        </w:rPr>
      </w:pPr>
    </w:p>
    <w:p w14:paraId="210D8F7C" w14:textId="7777777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 xml:space="preserve">The State’s JVSG Program is evaluated on the following measures: </w:t>
      </w:r>
    </w:p>
    <w:p w14:paraId="20465CCB" w14:textId="77777777" w:rsidR="0074457B" w:rsidRPr="004A0C12" w:rsidRDefault="0074457B" w:rsidP="0074457B">
      <w:pPr>
        <w:spacing w:after="0" w:line="240" w:lineRule="auto"/>
        <w:jc w:val="both"/>
        <w:rPr>
          <w:rFonts w:ascii="Garamond" w:hAnsi="Garamond" w:cs="Times New Roman"/>
        </w:rPr>
      </w:pPr>
    </w:p>
    <w:p w14:paraId="46629BEE" w14:textId="36D61EB7"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Intensive Servic</w:t>
      </w:r>
      <w:r w:rsidR="00900002" w:rsidRPr="004A0C12">
        <w:rPr>
          <w:rFonts w:ascii="Garamond" w:hAnsi="Garamond" w:cs="Times New Roman"/>
        </w:rPr>
        <w:t>es provided by DVOP specialists</w:t>
      </w:r>
      <w:r w:rsidRPr="004A0C12">
        <w:rPr>
          <w:rFonts w:ascii="Garamond" w:hAnsi="Garamond" w:cs="Times New Roman"/>
        </w:rPr>
        <w:t xml:space="preserve"> </w:t>
      </w:r>
    </w:p>
    <w:p w14:paraId="5004DE8A" w14:textId="7334C791"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lastRenderedPageBreak/>
        <w:t xml:space="preserve">Total Veterans and eligible persons served </w:t>
      </w:r>
      <w:r w:rsidR="00900002" w:rsidRPr="004A0C12">
        <w:rPr>
          <w:rFonts w:ascii="Garamond" w:hAnsi="Garamond" w:cs="Times New Roman"/>
        </w:rPr>
        <w:t>by DVOP specialists in Maryland</w:t>
      </w:r>
    </w:p>
    <w:p w14:paraId="65DA2F3E" w14:textId="55FB659D"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Vet</w:t>
      </w:r>
      <w:r w:rsidR="00900002" w:rsidRPr="004A0C12">
        <w:rPr>
          <w:rFonts w:ascii="Garamond" w:hAnsi="Garamond" w:cs="Times New Roman"/>
        </w:rPr>
        <w:t>erans’ entered employment rate</w:t>
      </w:r>
    </w:p>
    <w:p w14:paraId="7E5358ED" w14:textId="58362667"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Vete</w:t>
      </w:r>
      <w:r w:rsidR="00900002" w:rsidRPr="004A0C12">
        <w:rPr>
          <w:rFonts w:ascii="Garamond" w:hAnsi="Garamond" w:cs="Times New Roman"/>
        </w:rPr>
        <w:t>rans’ employment retention rate</w:t>
      </w:r>
    </w:p>
    <w:p w14:paraId="5E878284" w14:textId="1EAB2942"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Veterans’</w:t>
      </w:r>
      <w:r w:rsidR="00900002" w:rsidRPr="004A0C12">
        <w:rPr>
          <w:rFonts w:ascii="Garamond" w:hAnsi="Garamond" w:cs="Times New Roman"/>
        </w:rPr>
        <w:t xml:space="preserve"> average earnings (six months)</w:t>
      </w:r>
    </w:p>
    <w:p w14:paraId="0FA6FD10" w14:textId="54DB4605"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Disabled Ve</w:t>
      </w:r>
      <w:r w:rsidR="00900002" w:rsidRPr="004A0C12">
        <w:rPr>
          <w:rFonts w:ascii="Garamond" w:hAnsi="Garamond" w:cs="Times New Roman"/>
        </w:rPr>
        <w:t>terans’ entered employment rate</w:t>
      </w:r>
    </w:p>
    <w:p w14:paraId="14471300" w14:textId="3731D0E3"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Disabled Veterans’ employ</w:t>
      </w:r>
      <w:r w:rsidR="00900002" w:rsidRPr="004A0C12">
        <w:rPr>
          <w:rFonts w:ascii="Garamond" w:hAnsi="Garamond" w:cs="Times New Roman"/>
        </w:rPr>
        <w:t>ment retention rate</w:t>
      </w:r>
    </w:p>
    <w:p w14:paraId="64D23897" w14:textId="69F7A27F"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Disabled Veterans’</w:t>
      </w:r>
      <w:r w:rsidR="00900002" w:rsidRPr="004A0C12">
        <w:rPr>
          <w:rFonts w:ascii="Garamond" w:hAnsi="Garamond" w:cs="Times New Roman"/>
        </w:rPr>
        <w:t xml:space="preserve"> average earnings (six months)</w:t>
      </w:r>
    </w:p>
    <w:p w14:paraId="2DB8FC39" w14:textId="77777777" w:rsidR="0054168E" w:rsidRPr="004A0C12" w:rsidRDefault="0054168E" w:rsidP="0054168E">
      <w:pPr>
        <w:spacing w:after="0" w:line="240" w:lineRule="auto"/>
        <w:ind w:left="720"/>
        <w:jc w:val="both"/>
        <w:rPr>
          <w:rFonts w:ascii="Garamond" w:hAnsi="Garamond" w:cs="Times New Roman"/>
        </w:rPr>
      </w:pPr>
    </w:p>
    <w:p w14:paraId="6FD1F443" w14:textId="77777777" w:rsidR="0074457B" w:rsidRPr="004A0C12" w:rsidRDefault="0074457B" w:rsidP="0074457B">
      <w:pPr>
        <w:spacing w:after="0" w:line="240" w:lineRule="auto"/>
        <w:jc w:val="both"/>
        <w:rPr>
          <w:rFonts w:ascii="Garamond" w:hAnsi="Garamond" w:cs="Times New Roman"/>
        </w:rPr>
      </w:pPr>
      <w:r w:rsidRPr="004A0C12">
        <w:rPr>
          <w:rFonts w:ascii="Garamond" w:hAnsi="Garamond" w:cs="Times New Roman"/>
        </w:rPr>
        <w:t xml:space="preserve">The State’s American Job Center delivery system is also evaluated on the following measures: </w:t>
      </w:r>
    </w:p>
    <w:p w14:paraId="64948E65" w14:textId="77777777" w:rsidR="0074457B" w:rsidRPr="004A0C12" w:rsidRDefault="0074457B" w:rsidP="0074457B">
      <w:pPr>
        <w:spacing w:after="0" w:line="240" w:lineRule="auto"/>
        <w:jc w:val="both"/>
        <w:rPr>
          <w:rFonts w:ascii="Garamond" w:hAnsi="Garamond" w:cs="Times New Roman"/>
        </w:rPr>
      </w:pPr>
    </w:p>
    <w:p w14:paraId="3227B3CD" w14:textId="1620ECE4"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Ve</w:t>
      </w:r>
      <w:r w:rsidR="00900002" w:rsidRPr="004A0C12">
        <w:rPr>
          <w:rFonts w:ascii="Garamond" w:hAnsi="Garamond" w:cs="Times New Roman"/>
        </w:rPr>
        <w:t>terans’ entered employment rate</w:t>
      </w:r>
    </w:p>
    <w:p w14:paraId="382983A9" w14:textId="3330E81C"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Vete</w:t>
      </w:r>
      <w:r w:rsidR="00900002" w:rsidRPr="004A0C12">
        <w:rPr>
          <w:rFonts w:ascii="Garamond" w:hAnsi="Garamond" w:cs="Times New Roman"/>
        </w:rPr>
        <w:t>rans’ employment retention rate</w:t>
      </w:r>
    </w:p>
    <w:p w14:paraId="2BACA91C" w14:textId="63BC229B"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Veterans’ avera</w:t>
      </w:r>
      <w:r w:rsidR="00900002" w:rsidRPr="004A0C12">
        <w:rPr>
          <w:rFonts w:ascii="Garamond" w:hAnsi="Garamond" w:cs="Times New Roman"/>
        </w:rPr>
        <w:t>ge earnings (six months)</w:t>
      </w:r>
    </w:p>
    <w:p w14:paraId="19E0724A" w14:textId="445B7880"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Disabled Vet</w:t>
      </w:r>
      <w:r w:rsidR="00900002" w:rsidRPr="004A0C12">
        <w:rPr>
          <w:rFonts w:ascii="Garamond" w:hAnsi="Garamond" w:cs="Times New Roman"/>
        </w:rPr>
        <w:t>erans’ entered employment rate</w:t>
      </w:r>
    </w:p>
    <w:p w14:paraId="528D2F90" w14:textId="1A4EA7FF"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Disabled Veter</w:t>
      </w:r>
      <w:r w:rsidR="00900002" w:rsidRPr="004A0C12">
        <w:rPr>
          <w:rFonts w:ascii="Garamond" w:hAnsi="Garamond" w:cs="Times New Roman"/>
        </w:rPr>
        <w:t>ans’ employment retention rate</w:t>
      </w:r>
    </w:p>
    <w:p w14:paraId="31641C1B" w14:textId="78F73481" w:rsidR="0074457B" w:rsidRPr="004A0C12" w:rsidRDefault="0074457B" w:rsidP="00F733CF">
      <w:pPr>
        <w:numPr>
          <w:ilvl w:val="0"/>
          <w:numId w:val="85"/>
        </w:numPr>
        <w:spacing w:after="0" w:line="240" w:lineRule="auto"/>
        <w:ind w:left="720" w:hanging="360"/>
        <w:jc w:val="both"/>
        <w:rPr>
          <w:rFonts w:ascii="Garamond" w:hAnsi="Garamond" w:cs="Times New Roman"/>
        </w:rPr>
      </w:pPr>
      <w:r w:rsidRPr="004A0C12">
        <w:rPr>
          <w:rFonts w:ascii="Garamond" w:hAnsi="Garamond" w:cs="Times New Roman"/>
        </w:rPr>
        <w:t>Disabled Veterans’ average earnings (six months)</w:t>
      </w:r>
    </w:p>
    <w:p w14:paraId="27B48482" w14:textId="77777777" w:rsidR="001B22D3" w:rsidRPr="004A0C12" w:rsidRDefault="001B22D3" w:rsidP="001B22D3">
      <w:pPr>
        <w:spacing w:after="0" w:line="240" w:lineRule="auto"/>
        <w:ind w:left="720"/>
        <w:jc w:val="both"/>
        <w:rPr>
          <w:rFonts w:ascii="Garamond" w:hAnsi="Garamond" w:cs="Times New Roman"/>
        </w:rPr>
      </w:pPr>
    </w:p>
    <w:p w14:paraId="6897146B" w14:textId="77777777" w:rsidR="0074457B" w:rsidRPr="00B25499" w:rsidRDefault="0074457B" w:rsidP="0074457B">
      <w:pPr>
        <w:pStyle w:val="Heading3"/>
        <w:spacing w:before="0" w:line="240" w:lineRule="auto"/>
        <w:rPr>
          <w:rFonts w:ascii="Garamond" w:hAnsi="Garamond"/>
          <w:sz w:val="28"/>
          <w:szCs w:val="28"/>
        </w:rPr>
      </w:pPr>
      <w:bookmarkStart w:id="91" w:name="_Toc447276135"/>
      <w:r w:rsidRPr="00B25499">
        <w:rPr>
          <w:rFonts w:ascii="Garamond" w:hAnsi="Garamond"/>
          <w:sz w:val="28"/>
          <w:szCs w:val="28"/>
        </w:rPr>
        <w:t>PRECEDING PERFORMANCE</w:t>
      </w:r>
      <w:bookmarkEnd w:id="91"/>
    </w:p>
    <w:p w14:paraId="06F73A32" w14:textId="77777777" w:rsidR="0074457B" w:rsidRPr="004A0C12" w:rsidRDefault="0074457B" w:rsidP="0074457B">
      <w:pPr>
        <w:spacing w:after="0" w:line="240" w:lineRule="auto"/>
        <w:rPr>
          <w:rFonts w:ascii="Garamond" w:hAnsi="Garamond" w:cs="Times New Roman"/>
        </w:rPr>
      </w:pPr>
    </w:p>
    <w:p w14:paraId="5580442A" w14:textId="77777777" w:rsidR="00CC66F0" w:rsidRPr="004A0C12" w:rsidRDefault="0074457B" w:rsidP="00440FE5">
      <w:pPr>
        <w:spacing w:after="0" w:line="240" w:lineRule="auto"/>
        <w:rPr>
          <w:rFonts w:ascii="Garamond" w:hAnsi="Garamond" w:cs="Times New Roman"/>
        </w:rPr>
      </w:pPr>
      <w:r w:rsidRPr="004A0C12">
        <w:rPr>
          <w:rFonts w:ascii="Garamond" w:hAnsi="Garamond" w:cs="Times New Roman"/>
        </w:rPr>
        <w:t xml:space="preserve">Maryland’s previous assessment results are, as follows: </w:t>
      </w:r>
    </w:p>
    <w:p w14:paraId="34C3DB58" w14:textId="77777777" w:rsidR="0074457B" w:rsidRPr="00B25499" w:rsidRDefault="0074457B" w:rsidP="0074457B">
      <w:pPr>
        <w:pStyle w:val="Heading4"/>
        <w:spacing w:before="0" w:line="240" w:lineRule="auto"/>
        <w:rPr>
          <w:rFonts w:ascii="Garamond" w:hAnsi="Garamond"/>
          <w:sz w:val="24"/>
          <w:szCs w:val="24"/>
        </w:rPr>
      </w:pPr>
      <w:r w:rsidRPr="00B25499">
        <w:rPr>
          <w:rFonts w:ascii="Garamond" w:hAnsi="Garamond"/>
          <w:sz w:val="24"/>
          <w:szCs w:val="24"/>
        </w:rPr>
        <w:t xml:space="preserve">WIOA Titles I &amp; III: Adult, Dislocated Worker, Youth &amp; Wagner-Peyser </w:t>
      </w:r>
    </w:p>
    <w:p w14:paraId="58C2A1DF" w14:textId="77777777" w:rsidR="0074457B" w:rsidRPr="004A0C12" w:rsidRDefault="0074457B" w:rsidP="0074457B">
      <w:pPr>
        <w:spacing w:after="0" w:line="240" w:lineRule="auto"/>
        <w:rPr>
          <w:rFonts w:ascii="Garamond" w:hAnsi="Garamond"/>
        </w:rPr>
      </w:pPr>
    </w:p>
    <w:tbl>
      <w:tblPr>
        <w:tblStyle w:val="PlainTable11"/>
        <w:tblW w:w="0" w:type="auto"/>
        <w:tblLayout w:type="fixed"/>
        <w:tblLook w:val="0000" w:firstRow="0" w:lastRow="0" w:firstColumn="0" w:lastColumn="0" w:noHBand="0" w:noVBand="0"/>
        <w:tblCaption w:val="WIOA Title I &amp; III Performance for PY 2013 "/>
        <w:tblDescription w:val="This chart lists the performance measures and shows the standard and State Performance by each of the WIOA Title I &amp; III Program Measures for PY 2013. "/>
      </w:tblPr>
      <w:tblGrid>
        <w:gridCol w:w="2225"/>
        <w:gridCol w:w="2534"/>
        <w:gridCol w:w="3040"/>
        <w:gridCol w:w="3043"/>
      </w:tblGrid>
      <w:tr w:rsidR="0074457B" w:rsidRPr="004A0C12" w14:paraId="5E28672B" w14:textId="77777777" w:rsidTr="008B1D9A">
        <w:trPr>
          <w:trHeight w:val="223"/>
          <w:tblHeader/>
        </w:trPr>
        <w:tc>
          <w:tcPr>
            <w:cnfStyle w:val="000010000000" w:firstRow="0" w:lastRow="0" w:firstColumn="0" w:lastColumn="0" w:oddVBand="1" w:evenVBand="0" w:oddHBand="0" w:evenHBand="0" w:firstRowFirstColumn="0" w:firstRowLastColumn="0" w:lastRowFirstColumn="0" w:lastRowLastColumn="0"/>
            <w:tcW w:w="10841" w:type="dxa"/>
            <w:gridSpan w:val="4"/>
          </w:tcPr>
          <w:p w14:paraId="3DC8DF39" w14:textId="77777777" w:rsidR="0074457B" w:rsidRPr="004A0C12" w:rsidRDefault="0074457B" w:rsidP="0074457B">
            <w:pPr>
              <w:jc w:val="center"/>
              <w:rPr>
                <w:rFonts w:ascii="Garamond" w:hAnsi="Garamond"/>
                <w:sz w:val="22"/>
                <w:szCs w:val="22"/>
              </w:rPr>
            </w:pPr>
            <w:r w:rsidRPr="004A0C12">
              <w:rPr>
                <w:rFonts w:ascii="Garamond" w:hAnsi="Garamond"/>
                <w:sz w:val="22"/>
                <w:szCs w:val="22"/>
              </w:rPr>
              <w:t>WIOA Title I &amp; III Performance for PY 2013</w:t>
            </w:r>
          </w:p>
        </w:tc>
      </w:tr>
      <w:tr w:rsidR="0074457B" w:rsidRPr="004A0C12" w14:paraId="7755F739"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4758" w:type="dxa"/>
            <w:gridSpan w:val="2"/>
          </w:tcPr>
          <w:p w14:paraId="4F0AD82D" w14:textId="77777777" w:rsidR="0074457B" w:rsidRPr="004A0C12" w:rsidRDefault="0074457B" w:rsidP="0074457B">
            <w:pPr>
              <w:jc w:val="center"/>
              <w:rPr>
                <w:rFonts w:ascii="Garamond" w:hAnsi="Garamond"/>
                <w:sz w:val="22"/>
                <w:szCs w:val="22"/>
              </w:rPr>
            </w:pPr>
            <w:r w:rsidRPr="004A0C12">
              <w:rPr>
                <w:rFonts w:ascii="Garamond" w:hAnsi="Garamond"/>
                <w:sz w:val="22"/>
                <w:szCs w:val="22"/>
              </w:rPr>
              <w:t>Performance Measure</w:t>
            </w:r>
          </w:p>
        </w:tc>
        <w:tc>
          <w:tcPr>
            <w:tcW w:w="3040" w:type="dxa"/>
          </w:tcPr>
          <w:p w14:paraId="6E14245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Standard</w:t>
            </w:r>
          </w:p>
        </w:tc>
        <w:tc>
          <w:tcPr>
            <w:cnfStyle w:val="000010000000" w:firstRow="0" w:lastRow="0" w:firstColumn="0" w:lastColumn="0" w:oddVBand="1" w:evenVBand="0" w:oddHBand="0" w:evenHBand="0" w:firstRowFirstColumn="0" w:firstRowLastColumn="0" w:lastRowFirstColumn="0" w:lastRowLastColumn="0"/>
            <w:tcW w:w="3042" w:type="dxa"/>
          </w:tcPr>
          <w:p w14:paraId="15C3105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State Performance</w:t>
            </w:r>
          </w:p>
        </w:tc>
      </w:tr>
      <w:tr w:rsidR="0074457B" w:rsidRPr="004A0C12" w14:paraId="49388F38"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4758" w:type="dxa"/>
            <w:gridSpan w:val="2"/>
          </w:tcPr>
          <w:p w14:paraId="37FA32F4" w14:textId="77777777" w:rsidR="0074457B" w:rsidRPr="004A0C12" w:rsidRDefault="0074457B" w:rsidP="0074457B">
            <w:pPr>
              <w:rPr>
                <w:rFonts w:ascii="Garamond" w:hAnsi="Garamond"/>
                <w:sz w:val="22"/>
                <w:szCs w:val="22"/>
              </w:rPr>
            </w:pPr>
            <w:r w:rsidRPr="004A0C12">
              <w:rPr>
                <w:rFonts w:ascii="Garamond" w:hAnsi="Garamond"/>
                <w:sz w:val="22"/>
                <w:szCs w:val="22"/>
              </w:rPr>
              <w:t>Entered Employment Rate</w:t>
            </w:r>
          </w:p>
        </w:tc>
        <w:tc>
          <w:tcPr>
            <w:tcW w:w="6083" w:type="dxa"/>
            <w:gridSpan w:val="2"/>
          </w:tcPr>
          <w:p w14:paraId="14818E30"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r>
      <w:tr w:rsidR="0074457B" w:rsidRPr="004A0C12" w14:paraId="3A366B49"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2225" w:type="dxa"/>
          </w:tcPr>
          <w:p w14:paraId="19DB31A3" w14:textId="77777777" w:rsidR="0074457B" w:rsidRPr="004A0C12" w:rsidRDefault="0074457B" w:rsidP="0074457B">
            <w:pPr>
              <w:rPr>
                <w:rFonts w:ascii="Garamond" w:hAnsi="Garamond"/>
                <w:sz w:val="22"/>
                <w:szCs w:val="22"/>
              </w:rPr>
            </w:pPr>
          </w:p>
        </w:tc>
        <w:tc>
          <w:tcPr>
            <w:tcW w:w="2534" w:type="dxa"/>
          </w:tcPr>
          <w:p w14:paraId="090BE8F9"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Adult</w:t>
            </w:r>
          </w:p>
        </w:tc>
        <w:tc>
          <w:tcPr>
            <w:cnfStyle w:val="000010000000" w:firstRow="0" w:lastRow="0" w:firstColumn="0" w:lastColumn="0" w:oddVBand="1" w:evenVBand="0" w:oddHBand="0" w:evenHBand="0" w:firstRowFirstColumn="0" w:firstRowLastColumn="0" w:lastRowFirstColumn="0" w:lastRowLastColumn="0"/>
            <w:tcW w:w="3040" w:type="dxa"/>
          </w:tcPr>
          <w:p w14:paraId="28F5591F" w14:textId="77777777" w:rsidR="0074457B" w:rsidRPr="004A0C12" w:rsidRDefault="0074457B" w:rsidP="0074457B">
            <w:pPr>
              <w:rPr>
                <w:rFonts w:ascii="Garamond" w:hAnsi="Garamond"/>
                <w:sz w:val="22"/>
                <w:szCs w:val="22"/>
              </w:rPr>
            </w:pPr>
            <w:r w:rsidRPr="004A0C12">
              <w:rPr>
                <w:rFonts w:ascii="Garamond" w:hAnsi="Garamond"/>
                <w:sz w:val="22"/>
                <w:szCs w:val="22"/>
              </w:rPr>
              <w:t>82%</w:t>
            </w:r>
          </w:p>
        </w:tc>
        <w:tc>
          <w:tcPr>
            <w:tcW w:w="3042" w:type="dxa"/>
          </w:tcPr>
          <w:p w14:paraId="6768CABC"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80.3%</w:t>
            </w:r>
          </w:p>
        </w:tc>
      </w:tr>
      <w:tr w:rsidR="0074457B" w:rsidRPr="004A0C12" w14:paraId="41C50B8D"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2225" w:type="dxa"/>
          </w:tcPr>
          <w:p w14:paraId="54BE92F4" w14:textId="77777777" w:rsidR="0074457B" w:rsidRPr="004A0C12" w:rsidRDefault="0074457B" w:rsidP="0074457B">
            <w:pPr>
              <w:rPr>
                <w:rFonts w:ascii="Garamond" w:hAnsi="Garamond"/>
                <w:sz w:val="22"/>
                <w:szCs w:val="22"/>
              </w:rPr>
            </w:pPr>
          </w:p>
        </w:tc>
        <w:tc>
          <w:tcPr>
            <w:tcW w:w="2534" w:type="dxa"/>
          </w:tcPr>
          <w:p w14:paraId="2E1886C3"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Dislocated Worker</w:t>
            </w:r>
          </w:p>
        </w:tc>
        <w:tc>
          <w:tcPr>
            <w:cnfStyle w:val="000010000000" w:firstRow="0" w:lastRow="0" w:firstColumn="0" w:lastColumn="0" w:oddVBand="1" w:evenVBand="0" w:oddHBand="0" w:evenHBand="0" w:firstRowFirstColumn="0" w:firstRowLastColumn="0" w:lastRowFirstColumn="0" w:lastRowLastColumn="0"/>
            <w:tcW w:w="3040" w:type="dxa"/>
          </w:tcPr>
          <w:p w14:paraId="7DF6C4CC" w14:textId="77777777" w:rsidR="0074457B" w:rsidRPr="004A0C12" w:rsidRDefault="0074457B" w:rsidP="0074457B">
            <w:pPr>
              <w:rPr>
                <w:rFonts w:ascii="Garamond" w:hAnsi="Garamond"/>
                <w:sz w:val="22"/>
                <w:szCs w:val="22"/>
              </w:rPr>
            </w:pPr>
            <w:r w:rsidRPr="004A0C12">
              <w:rPr>
                <w:rFonts w:ascii="Garamond" w:hAnsi="Garamond"/>
                <w:sz w:val="22"/>
                <w:szCs w:val="22"/>
              </w:rPr>
              <w:t>87%</w:t>
            </w:r>
          </w:p>
        </w:tc>
        <w:tc>
          <w:tcPr>
            <w:tcW w:w="3042" w:type="dxa"/>
          </w:tcPr>
          <w:p w14:paraId="7EE8BDC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85%</w:t>
            </w:r>
          </w:p>
        </w:tc>
      </w:tr>
      <w:tr w:rsidR="0074457B" w:rsidRPr="004A0C12" w14:paraId="7908EEB9"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2225" w:type="dxa"/>
          </w:tcPr>
          <w:p w14:paraId="3F590A19" w14:textId="77777777" w:rsidR="0074457B" w:rsidRPr="004A0C12" w:rsidRDefault="0074457B" w:rsidP="0074457B">
            <w:pPr>
              <w:rPr>
                <w:rFonts w:ascii="Garamond" w:hAnsi="Garamond"/>
                <w:sz w:val="22"/>
                <w:szCs w:val="22"/>
              </w:rPr>
            </w:pPr>
          </w:p>
        </w:tc>
        <w:tc>
          <w:tcPr>
            <w:tcW w:w="2534" w:type="dxa"/>
          </w:tcPr>
          <w:p w14:paraId="55E52DCF" w14:textId="0DAF90A5" w:rsidR="0074457B" w:rsidRPr="004A0C12" w:rsidRDefault="00900002"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Wagner-</w:t>
            </w:r>
            <w:r w:rsidR="0074457B" w:rsidRPr="004A0C12">
              <w:rPr>
                <w:rFonts w:ascii="Garamond" w:hAnsi="Garamond"/>
                <w:sz w:val="22"/>
                <w:szCs w:val="22"/>
              </w:rPr>
              <w:t xml:space="preserve">Peyser </w:t>
            </w:r>
          </w:p>
        </w:tc>
        <w:tc>
          <w:tcPr>
            <w:cnfStyle w:val="000010000000" w:firstRow="0" w:lastRow="0" w:firstColumn="0" w:lastColumn="0" w:oddVBand="1" w:evenVBand="0" w:oddHBand="0" w:evenHBand="0" w:firstRowFirstColumn="0" w:firstRowLastColumn="0" w:lastRowFirstColumn="0" w:lastRowLastColumn="0"/>
            <w:tcW w:w="3040" w:type="dxa"/>
          </w:tcPr>
          <w:p w14:paraId="541B380A" w14:textId="77777777" w:rsidR="0074457B" w:rsidRPr="004A0C12" w:rsidRDefault="0074457B" w:rsidP="0074457B">
            <w:pPr>
              <w:rPr>
                <w:rFonts w:ascii="Garamond" w:hAnsi="Garamond"/>
                <w:sz w:val="22"/>
                <w:szCs w:val="22"/>
              </w:rPr>
            </w:pPr>
            <w:r w:rsidRPr="004A0C12">
              <w:rPr>
                <w:rFonts w:ascii="Garamond" w:hAnsi="Garamond"/>
                <w:sz w:val="22"/>
                <w:szCs w:val="22"/>
              </w:rPr>
              <w:t>55%</w:t>
            </w:r>
          </w:p>
        </w:tc>
        <w:tc>
          <w:tcPr>
            <w:tcW w:w="3042" w:type="dxa"/>
          </w:tcPr>
          <w:p w14:paraId="3341A94E"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51.5%</w:t>
            </w:r>
          </w:p>
        </w:tc>
      </w:tr>
      <w:tr w:rsidR="0074457B" w:rsidRPr="004A0C12" w14:paraId="345914DD"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10841" w:type="dxa"/>
            <w:gridSpan w:val="4"/>
          </w:tcPr>
          <w:p w14:paraId="66BB23CB" w14:textId="77777777" w:rsidR="0074457B" w:rsidRPr="004A0C12" w:rsidRDefault="0074457B" w:rsidP="0074457B">
            <w:pPr>
              <w:rPr>
                <w:rFonts w:ascii="Garamond" w:hAnsi="Garamond"/>
                <w:sz w:val="22"/>
                <w:szCs w:val="22"/>
              </w:rPr>
            </w:pPr>
          </w:p>
        </w:tc>
      </w:tr>
      <w:tr w:rsidR="0074457B" w:rsidRPr="004A0C12" w14:paraId="4576DC3A"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4758" w:type="dxa"/>
            <w:gridSpan w:val="2"/>
          </w:tcPr>
          <w:p w14:paraId="58822E43" w14:textId="77777777" w:rsidR="0074457B" w:rsidRPr="004A0C12" w:rsidRDefault="0074457B" w:rsidP="0074457B">
            <w:pPr>
              <w:rPr>
                <w:rFonts w:ascii="Garamond" w:hAnsi="Garamond"/>
                <w:sz w:val="22"/>
                <w:szCs w:val="22"/>
              </w:rPr>
            </w:pPr>
            <w:r w:rsidRPr="004A0C12">
              <w:rPr>
                <w:rFonts w:ascii="Garamond" w:hAnsi="Garamond"/>
                <w:sz w:val="22"/>
                <w:szCs w:val="22"/>
              </w:rPr>
              <w:t>Retention Rate</w:t>
            </w:r>
          </w:p>
        </w:tc>
        <w:tc>
          <w:tcPr>
            <w:tcW w:w="6083" w:type="dxa"/>
            <w:gridSpan w:val="2"/>
          </w:tcPr>
          <w:p w14:paraId="1535A13A"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r>
      <w:tr w:rsidR="0074457B" w:rsidRPr="004A0C12" w14:paraId="1B65D90A"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2225" w:type="dxa"/>
          </w:tcPr>
          <w:p w14:paraId="7BEB72B6" w14:textId="77777777" w:rsidR="0074457B" w:rsidRPr="004A0C12" w:rsidRDefault="0074457B" w:rsidP="0074457B">
            <w:pPr>
              <w:rPr>
                <w:rFonts w:ascii="Garamond" w:hAnsi="Garamond"/>
                <w:sz w:val="22"/>
                <w:szCs w:val="22"/>
              </w:rPr>
            </w:pPr>
          </w:p>
        </w:tc>
        <w:tc>
          <w:tcPr>
            <w:tcW w:w="2534" w:type="dxa"/>
          </w:tcPr>
          <w:p w14:paraId="129CA190"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Adult</w:t>
            </w:r>
          </w:p>
        </w:tc>
        <w:tc>
          <w:tcPr>
            <w:cnfStyle w:val="000010000000" w:firstRow="0" w:lastRow="0" w:firstColumn="0" w:lastColumn="0" w:oddVBand="1" w:evenVBand="0" w:oddHBand="0" w:evenHBand="0" w:firstRowFirstColumn="0" w:firstRowLastColumn="0" w:lastRowFirstColumn="0" w:lastRowLastColumn="0"/>
            <w:tcW w:w="3040" w:type="dxa"/>
          </w:tcPr>
          <w:p w14:paraId="1DEEC517" w14:textId="77777777" w:rsidR="0074457B" w:rsidRPr="004A0C12" w:rsidRDefault="0074457B" w:rsidP="0074457B">
            <w:pPr>
              <w:rPr>
                <w:rFonts w:ascii="Garamond" w:hAnsi="Garamond"/>
                <w:sz w:val="22"/>
                <w:szCs w:val="22"/>
              </w:rPr>
            </w:pPr>
            <w:r w:rsidRPr="004A0C12">
              <w:rPr>
                <w:rFonts w:ascii="Garamond" w:hAnsi="Garamond"/>
                <w:sz w:val="22"/>
                <w:szCs w:val="22"/>
              </w:rPr>
              <w:t>87%</w:t>
            </w:r>
          </w:p>
        </w:tc>
        <w:tc>
          <w:tcPr>
            <w:tcW w:w="3042" w:type="dxa"/>
          </w:tcPr>
          <w:p w14:paraId="6C0BCA89"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88.4%</w:t>
            </w:r>
          </w:p>
        </w:tc>
      </w:tr>
      <w:tr w:rsidR="0074457B" w:rsidRPr="004A0C12" w14:paraId="6F203309"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2225" w:type="dxa"/>
          </w:tcPr>
          <w:p w14:paraId="2D44246F" w14:textId="77777777" w:rsidR="0074457B" w:rsidRPr="004A0C12" w:rsidRDefault="0074457B" w:rsidP="0074457B">
            <w:pPr>
              <w:rPr>
                <w:rFonts w:ascii="Garamond" w:hAnsi="Garamond"/>
                <w:sz w:val="22"/>
                <w:szCs w:val="22"/>
              </w:rPr>
            </w:pPr>
          </w:p>
        </w:tc>
        <w:tc>
          <w:tcPr>
            <w:tcW w:w="2534" w:type="dxa"/>
          </w:tcPr>
          <w:p w14:paraId="2A367AF6"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Dislocated Worker</w:t>
            </w:r>
          </w:p>
        </w:tc>
        <w:tc>
          <w:tcPr>
            <w:cnfStyle w:val="000010000000" w:firstRow="0" w:lastRow="0" w:firstColumn="0" w:lastColumn="0" w:oddVBand="1" w:evenVBand="0" w:oddHBand="0" w:evenHBand="0" w:firstRowFirstColumn="0" w:firstRowLastColumn="0" w:lastRowFirstColumn="0" w:lastRowLastColumn="0"/>
            <w:tcW w:w="3040" w:type="dxa"/>
          </w:tcPr>
          <w:p w14:paraId="0717F188" w14:textId="77777777" w:rsidR="0074457B" w:rsidRPr="004A0C12" w:rsidRDefault="0074457B" w:rsidP="0074457B">
            <w:pPr>
              <w:rPr>
                <w:rFonts w:ascii="Garamond" w:hAnsi="Garamond"/>
                <w:sz w:val="22"/>
                <w:szCs w:val="22"/>
              </w:rPr>
            </w:pPr>
            <w:r w:rsidRPr="004A0C12">
              <w:rPr>
                <w:rFonts w:ascii="Garamond" w:hAnsi="Garamond"/>
                <w:sz w:val="22"/>
                <w:szCs w:val="22"/>
              </w:rPr>
              <w:t>91%</w:t>
            </w:r>
          </w:p>
        </w:tc>
        <w:tc>
          <w:tcPr>
            <w:tcW w:w="3042" w:type="dxa"/>
          </w:tcPr>
          <w:p w14:paraId="3C99B0CB"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91.4%</w:t>
            </w:r>
          </w:p>
        </w:tc>
      </w:tr>
      <w:tr w:rsidR="0074457B" w:rsidRPr="004A0C12" w14:paraId="49E6D621"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2225" w:type="dxa"/>
          </w:tcPr>
          <w:p w14:paraId="4152D190" w14:textId="77777777" w:rsidR="0074457B" w:rsidRPr="004A0C12" w:rsidRDefault="0074457B" w:rsidP="0074457B">
            <w:pPr>
              <w:rPr>
                <w:rFonts w:ascii="Garamond" w:hAnsi="Garamond"/>
                <w:sz w:val="22"/>
                <w:szCs w:val="22"/>
              </w:rPr>
            </w:pPr>
          </w:p>
        </w:tc>
        <w:tc>
          <w:tcPr>
            <w:tcW w:w="2534" w:type="dxa"/>
          </w:tcPr>
          <w:p w14:paraId="213E4D5E" w14:textId="0EEF92D8" w:rsidR="0074457B" w:rsidRPr="004A0C12" w:rsidRDefault="00900002"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Wagner-</w:t>
            </w:r>
            <w:r w:rsidR="0074457B" w:rsidRPr="004A0C12">
              <w:rPr>
                <w:rFonts w:ascii="Garamond" w:hAnsi="Garamond"/>
                <w:sz w:val="22"/>
                <w:szCs w:val="22"/>
              </w:rPr>
              <w:t>Peyser</w:t>
            </w:r>
          </w:p>
        </w:tc>
        <w:tc>
          <w:tcPr>
            <w:cnfStyle w:val="000010000000" w:firstRow="0" w:lastRow="0" w:firstColumn="0" w:lastColumn="0" w:oddVBand="1" w:evenVBand="0" w:oddHBand="0" w:evenHBand="0" w:firstRowFirstColumn="0" w:firstRowLastColumn="0" w:lastRowFirstColumn="0" w:lastRowLastColumn="0"/>
            <w:tcW w:w="3040" w:type="dxa"/>
          </w:tcPr>
          <w:p w14:paraId="6E2AD0A2" w14:textId="77777777" w:rsidR="0074457B" w:rsidRPr="004A0C12" w:rsidRDefault="0074457B" w:rsidP="0074457B">
            <w:pPr>
              <w:rPr>
                <w:rFonts w:ascii="Garamond" w:hAnsi="Garamond"/>
                <w:sz w:val="22"/>
                <w:szCs w:val="22"/>
              </w:rPr>
            </w:pPr>
            <w:r w:rsidRPr="004A0C12">
              <w:rPr>
                <w:rFonts w:ascii="Garamond" w:hAnsi="Garamond"/>
                <w:sz w:val="22"/>
                <w:szCs w:val="22"/>
              </w:rPr>
              <w:t>81%</w:t>
            </w:r>
          </w:p>
        </w:tc>
        <w:tc>
          <w:tcPr>
            <w:tcW w:w="3042" w:type="dxa"/>
          </w:tcPr>
          <w:p w14:paraId="7B92CD9C"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82.4% </w:t>
            </w:r>
          </w:p>
        </w:tc>
      </w:tr>
      <w:tr w:rsidR="0074457B" w:rsidRPr="004A0C12" w14:paraId="2F522F16"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10841" w:type="dxa"/>
            <w:gridSpan w:val="4"/>
          </w:tcPr>
          <w:p w14:paraId="37B17E97" w14:textId="77777777" w:rsidR="0074457B" w:rsidRPr="004A0C12" w:rsidRDefault="0074457B" w:rsidP="0074457B">
            <w:pPr>
              <w:rPr>
                <w:rFonts w:ascii="Garamond" w:hAnsi="Garamond"/>
                <w:sz w:val="22"/>
                <w:szCs w:val="22"/>
              </w:rPr>
            </w:pPr>
          </w:p>
        </w:tc>
      </w:tr>
      <w:tr w:rsidR="0074457B" w:rsidRPr="004A0C12" w14:paraId="28FBEF94"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4758" w:type="dxa"/>
            <w:gridSpan w:val="2"/>
          </w:tcPr>
          <w:p w14:paraId="7EE53CB9" w14:textId="77777777" w:rsidR="0074457B" w:rsidRPr="004A0C12" w:rsidRDefault="0074457B" w:rsidP="0074457B">
            <w:pPr>
              <w:rPr>
                <w:rFonts w:ascii="Garamond" w:hAnsi="Garamond"/>
                <w:sz w:val="22"/>
                <w:szCs w:val="22"/>
              </w:rPr>
            </w:pPr>
            <w:r w:rsidRPr="004A0C12">
              <w:rPr>
                <w:rFonts w:ascii="Garamond" w:hAnsi="Garamond"/>
                <w:sz w:val="22"/>
                <w:szCs w:val="22"/>
              </w:rPr>
              <w:t>Average Earnings</w:t>
            </w:r>
          </w:p>
        </w:tc>
        <w:tc>
          <w:tcPr>
            <w:tcW w:w="6083" w:type="dxa"/>
            <w:gridSpan w:val="2"/>
          </w:tcPr>
          <w:p w14:paraId="3B578E5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r>
      <w:tr w:rsidR="0074457B" w:rsidRPr="004A0C12" w14:paraId="56C337B1"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2225" w:type="dxa"/>
          </w:tcPr>
          <w:p w14:paraId="6422CA0B" w14:textId="77777777" w:rsidR="0074457B" w:rsidRPr="004A0C12" w:rsidRDefault="0074457B" w:rsidP="0074457B">
            <w:pPr>
              <w:rPr>
                <w:rFonts w:ascii="Garamond" w:hAnsi="Garamond"/>
                <w:sz w:val="22"/>
                <w:szCs w:val="22"/>
              </w:rPr>
            </w:pPr>
          </w:p>
        </w:tc>
        <w:tc>
          <w:tcPr>
            <w:tcW w:w="2534" w:type="dxa"/>
          </w:tcPr>
          <w:p w14:paraId="25ADFA9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Adult</w:t>
            </w:r>
          </w:p>
        </w:tc>
        <w:tc>
          <w:tcPr>
            <w:cnfStyle w:val="000010000000" w:firstRow="0" w:lastRow="0" w:firstColumn="0" w:lastColumn="0" w:oddVBand="1" w:evenVBand="0" w:oddHBand="0" w:evenHBand="0" w:firstRowFirstColumn="0" w:firstRowLastColumn="0" w:lastRowFirstColumn="0" w:lastRowLastColumn="0"/>
            <w:tcW w:w="3040" w:type="dxa"/>
          </w:tcPr>
          <w:p w14:paraId="1E7235BD" w14:textId="77777777" w:rsidR="0074457B" w:rsidRPr="004A0C12" w:rsidRDefault="0074457B" w:rsidP="0074457B">
            <w:pPr>
              <w:rPr>
                <w:rFonts w:ascii="Garamond" w:hAnsi="Garamond"/>
                <w:sz w:val="22"/>
                <w:szCs w:val="22"/>
              </w:rPr>
            </w:pPr>
            <w:r w:rsidRPr="004A0C12">
              <w:rPr>
                <w:rFonts w:ascii="Garamond" w:hAnsi="Garamond"/>
                <w:sz w:val="22"/>
                <w:szCs w:val="22"/>
              </w:rPr>
              <w:t>$15,800</w:t>
            </w:r>
          </w:p>
        </w:tc>
        <w:tc>
          <w:tcPr>
            <w:tcW w:w="3042" w:type="dxa"/>
          </w:tcPr>
          <w:p w14:paraId="1E845BD2"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$16,329</w:t>
            </w:r>
          </w:p>
        </w:tc>
      </w:tr>
      <w:tr w:rsidR="0074457B" w:rsidRPr="004A0C12" w14:paraId="2C18954C"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2225" w:type="dxa"/>
          </w:tcPr>
          <w:p w14:paraId="1A3C682E" w14:textId="77777777" w:rsidR="0074457B" w:rsidRPr="004A0C12" w:rsidRDefault="0074457B" w:rsidP="0074457B">
            <w:pPr>
              <w:rPr>
                <w:rFonts w:ascii="Garamond" w:hAnsi="Garamond"/>
                <w:sz w:val="22"/>
                <w:szCs w:val="22"/>
              </w:rPr>
            </w:pPr>
          </w:p>
        </w:tc>
        <w:tc>
          <w:tcPr>
            <w:tcW w:w="2534" w:type="dxa"/>
          </w:tcPr>
          <w:p w14:paraId="1A756F40"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Dislocated Worker</w:t>
            </w:r>
          </w:p>
        </w:tc>
        <w:tc>
          <w:tcPr>
            <w:cnfStyle w:val="000010000000" w:firstRow="0" w:lastRow="0" w:firstColumn="0" w:lastColumn="0" w:oddVBand="1" w:evenVBand="0" w:oddHBand="0" w:evenHBand="0" w:firstRowFirstColumn="0" w:firstRowLastColumn="0" w:lastRowFirstColumn="0" w:lastRowLastColumn="0"/>
            <w:tcW w:w="3040" w:type="dxa"/>
          </w:tcPr>
          <w:p w14:paraId="2639A91E" w14:textId="77777777" w:rsidR="0074457B" w:rsidRPr="004A0C12" w:rsidRDefault="0074457B" w:rsidP="0074457B">
            <w:pPr>
              <w:rPr>
                <w:rFonts w:ascii="Garamond" w:hAnsi="Garamond"/>
                <w:sz w:val="22"/>
                <w:szCs w:val="22"/>
              </w:rPr>
            </w:pPr>
            <w:r w:rsidRPr="004A0C12">
              <w:rPr>
                <w:rFonts w:ascii="Garamond" w:hAnsi="Garamond"/>
                <w:sz w:val="22"/>
                <w:szCs w:val="22"/>
              </w:rPr>
              <w:t>$18,500</w:t>
            </w:r>
          </w:p>
        </w:tc>
        <w:tc>
          <w:tcPr>
            <w:tcW w:w="3042" w:type="dxa"/>
          </w:tcPr>
          <w:p w14:paraId="0D19A697"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$20,127</w:t>
            </w:r>
          </w:p>
        </w:tc>
      </w:tr>
      <w:tr w:rsidR="0074457B" w:rsidRPr="004A0C12" w14:paraId="7CAAEFCA"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2225" w:type="dxa"/>
          </w:tcPr>
          <w:p w14:paraId="46243F0E" w14:textId="77777777" w:rsidR="0074457B" w:rsidRPr="004A0C12" w:rsidRDefault="0074457B" w:rsidP="0074457B">
            <w:pPr>
              <w:rPr>
                <w:rFonts w:ascii="Garamond" w:hAnsi="Garamond"/>
                <w:sz w:val="22"/>
                <w:szCs w:val="22"/>
              </w:rPr>
            </w:pPr>
          </w:p>
        </w:tc>
        <w:tc>
          <w:tcPr>
            <w:tcW w:w="2534" w:type="dxa"/>
          </w:tcPr>
          <w:p w14:paraId="7793C9A2" w14:textId="4703909A" w:rsidR="0074457B" w:rsidRPr="004A0C12" w:rsidRDefault="00900002"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Wagner-</w:t>
            </w:r>
            <w:r w:rsidR="0074457B" w:rsidRPr="004A0C12">
              <w:rPr>
                <w:rFonts w:ascii="Garamond" w:hAnsi="Garamond"/>
                <w:sz w:val="22"/>
                <w:szCs w:val="22"/>
              </w:rPr>
              <w:t>Peyser</w:t>
            </w:r>
          </w:p>
        </w:tc>
        <w:tc>
          <w:tcPr>
            <w:cnfStyle w:val="000010000000" w:firstRow="0" w:lastRow="0" w:firstColumn="0" w:lastColumn="0" w:oddVBand="1" w:evenVBand="0" w:oddHBand="0" w:evenHBand="0" w:firstRowFirstColumn="0" w:firstRowLastColumn="0" w:lastRowFirstColumn="0" w:lastRowLastColumn="0"/>
            <w:tcW w:w="3040" w:type="dxa"/>
          </w:tcPr>
          <w:p w14:paraId="7BAB4BFA" w14:textId="77777777" w:rsidR="0074457B" w:rsidRPr="004A0C12" w:rsidRDefault="0074457B" w:rsidP="0074457B">
            <w:pPr>
              <w:rPr>
                <w:rFonts w:ascii="Garamond" w:hAnsi="Garamond"/>
                <w:sz w:val="22"/>
                <w:szCs w:val="22"/>
              </w:rPr>
            </w:pPr>
            <w:r w:rsidRPr="004A0C12">
              <w:rPr>
                <w:rFonts w:ascii="Garamond" w:hAnsi="Garamond"/>
                <w:sz w:val="22"/>
                <w:szCs w:val="22"/>
              </w:rPr>
              <w:t>$15,000</w:t>
            </w:r>
          </w:p>
        </w:tc>
        <w:tc>
          <w:tcPr>
            <w:tcW w:w="3042" w:type="dxa"/>
          </w:tcPr>
          <w:p w14:paraId="758EA709"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$15,041</w:t>
            </w:r>
          </w:p>
        </w:tc>
      </w:tr>
      <w:tr w:rsidR="0074457B" w:rsidRPr="004A0C12" w14:paraId="49C81B00"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10841" w:type="dxa"/>
            <w:gridSpan w:val="4"/>
          </w:tcPr>
          <w:p w14:paraId="44BE0B66" w14:textId="77777777" w:rsidR="0074457B" w:rsidRPr="004A0C12" w:rsidRDefault="0074457B" w:rsidP="0074457B">
            <w:pPr>
              <w:rPr>
                <w:rFonts w:ascii="Garamond" w:hAnsi="Garamond"/>
                <w:sz w:val="22"/>
                <w:szCs w:val="22"/>
              </w:rPr>
            </w:pPr>
          </w:p>
        </w:tc>
      </w:tr>
      <w:tr w:rsidR="0074457B" w:rsidRPr="004A0C12" w14:paraId="1DE2FA6C"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4758" w:type="dxa"/>
            <w:gridSpan w:val="2"/>
          </w:tcPr>
          <w:p w14:paraId="1CC0ABC4" w14:textId="77777777" w:rsidR="0074457B" w:rsidRPr="004A0C12" w:rsidRDefault="0074457B" w:rsidP="0074457B">
            <w:pPr>
              <w:rPr>
                <w:rFonts w:ascii="Garamond" w:hAnsi="Garamond"/>
                <w:sz w:val="22"/>
                <w:szCs w:val="22"/>
              </w:rPr>
            </w:pPr>
            <w:r w:rsidRPr="004A0C12">
              <w:rPr>
                <w:rFonts w:ascii="Garamond" w:hAnsi="Garamond"/>
                <w:sz w:val="22"/>
                <w:szCs w:val="22"/>
              </w:rPr>
              <w:t>Attainment of Degree or Certificate</w:t>
            </w:r>
          </w:p>
        </w:tc>
        <w:tc>
          <w:tcPr>
            <w:tcW w:w="6083" w:type="dxa"/>
            <w:gridSpan w:val="2"/>
          </w:tcPr>
          <w:p w14:paraId="268A2CBC"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r>
      <w:tr w:rsidR="0074457B" w:rsidRPr="004A0C12" w14:paraId="73BBB80A"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2225" w:type="dxa"/>
          </w:tcPr>
          <w:p w14:paraId="27ADB7B6" w14:textId="77777777" w:rsidR="0074457B" w:rsidRPr="004A0C12" w:rsidRDefault="0074457B" w:rsidP="0074457B">
            <w:pPr>
              <w:rPr>
                <w:rFonts w:ascii="Garamond" w:hAnsi="Garamond"/>
                <w:sz w:val="22"/>
                <w:szCs w:val="22"/>
              </w:rPr>
            </w:pPr>
          </w:p>
        </w:tc>
        <w:tc>
          <w:tcPr>
            <w:tcW w:w="2534" w:type="dxa"/>
          </w:tcPr>
          <w:p w14:paraId="4E6D769E"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Youth</w:t>
            </w:r>
          </w:p>
        </w:tc>
        <w:tc>
          <w:tcPr>
            <w:cnfStyle w:val="000010000000" w:firstRow="0" w:lastRow="0" w:firstColumn="0" w:lastColumn="0" w:oddVBand="1" w:evenVBand="0" w:oddHBand="0" w:evenHBand="0" w:firstRowFirstColumn="0" w:firstRowLastColumn="0" w:lastRowFirstColumn="0" w:lastRowLastColumn="0"/>
            <w:tcW w:w="3040" w:type="dxa"/>
          </w:tcPr>
          <w:p w14:paraId="586C5966" w14:textId="77777777" w:rsidR="0074457B" w:rsidRPr="004A0C12" w:rsidRDefault="0074457B" w:rsidP="0074457B">
            <w:pPr>
              <w:rPr>
                <w:rFonts w:ascii="Garamond" w:hAnsi="Garamond"/>
                <w:sz w:val="22"/>
                <w:szCs w:val="22"/>
              </w:rPr>
            </w:pPr>
            <w:r w:rsidRPr="004A0C12">
              <w:rPr>
                <w:rFonts w:ascii="Garamond" w:hAnsi="Garamond"/>
                <w:sz w:val="22"/>
                <w:szCs w:val="22"/>
              </w:rPr>
              <w:t>70%</w:t>
            </w:r>
          </w:p>
        </w:tc>
        <w:tc>
          <w:tcPr>
            <w:tcW w:w="3042" w:type="dxa"/>
          </w:tcPr>
          <w:p w14:paraId="4FAE7B4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80.1%</w:t>
            </w:r>
          </w:p>
        </w:tc>
      </w:tr>
      <w:tr w:rsidR="0074457B" w:rsidRPr="004A0C12" w14:paraId="54699459"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10841" w:type="dxa"/>
            <w:gridSpan w:val="4"/>
          </w:tcPr>
          <w:p w14:paraId="03905DC2" w14:textId="77777777" w:rsidR="0074457B" w:rsidRPr="004A0C12" w:rsidRDefault="0074457B" w:rsidP="0074457B">
            <w:pPr>
              <w:rPr>
                <w:rFonts w:ascii="Garamond" w:hAnsi="Garamond"/>
                <w:sz w:val="22"/>
                <w:szCs w:val="22"/>
              </w:rPr>
            </w:pPr>
          </w:p>
        </w:tc>
      </w:tr>
      <w:tr w:rsidR="0074457B" w:rsidRPr="004A0C12" w14:paraId="247E350B"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4758" w:type="dxa"/>
            <w:gridSpan w:val="2"/>
          </w:tcPr>
          <w:p w14:paraId="716CEF00" w14:textId="77777777" w:rsidR="0074457B" w:rsidRPr="004A0C12" w:rsidRDefault="0074457B" w:rsidP="0074457B">
            <w:pPr>
              <w:rPr>
                <w:rFonts w:ascii="Garamond" w:hAnsi="Garamond"/>
                <w:sz w:val="22"/>
                <w:szCs w:val="22"/>
              </w:rPr>
            </w:pPr>
            <w:r w:rsidRPr="004A0C12">
              <w:rPr>
                <w:rFonts w:ascii="Garamond" w:hAnsi="Garamond"/>
                <w:sz w:val="22"/>
                <w:szCs w:val="22"/>
              </w:rPr>
              <w:t xml:space="preserve">Placement in Employment or Education </w:t>
            </w:r>
          </w:p>
        </w:tc>
        <w:tc>
          <w:tcPr>
            <w:tcW w:w="6083" w:type="dxa"/>
            <w:gridSpan w:val="2"/>
          </w:tcPr>
          <w:p w14:paraId="7B19B69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r>
      <w:tr w:rsidR="0074457B" w:rsidRPr="004A0C12" w14:paraId="7D0A278A"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2225" w:type="dxa"/>
          </w:tcPr>
          <w:p w14:paraId="18C5A26B" w14:textId="77777777" w:rsidR="0074457B" w:rsidRPr="004A0C12" w:rsidRDefault="0074457B" w:rsidP="0074457B">
            <w:pPr>
              <w:rPr>
                <w:rFonts w:ascii="Garamond" w:hAnsi="Garamond"/>
                <w:sz w:val="22"/>
                <w:szCs w:val="22"/>
              </w:rPr>
            </w:pPr>
          </w:p>
        </w:tc>
        <w:tc>
          <w:tcPr>
            <w:tcW w:w="2534" w:type="dxa"/>
          </w:tcPr>
          <w:p w14:paraId="70F497EB"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Youth</w:t>
            </w:r>
          </w:p>
        </w:tc>
        <w:tc>
          <w:tcPr>
            <w:cnfStyle w:val="000010000000" w:firstRow="0" w:lastRow="0" w:firstColumn="0" w:lastColumn="0" w:oddVBand="1" w:evenVBand="0" w:oddHBand="0" w:evenHBand="0" w:firstRowFirstColumn="0" w:firstRowLastColumn="0" w:lastRowFirstColumn="0" w:lastRowLastColumn="0"/>
            <w:tcW w:w="3040" w:type="dxa"/>
          </w:tcPr>
          <w:p w14:paraId="72750349" w14:textId="77777777" w:rsidR="0074457B" w:rsidRPr="004A0C12" w:rsidRDefault="0074457B" w:rsidP="0074457B">
            <w:pPr>
              <w:rPr>
                <w:rFonts w:ascii="Garamond" w:hAnsi="Garamond"/>
                <w:sz w:val="22"/>
                <w:szCs w:val="22"/>
              </w:rPr>
            </w:pPr>
            <w:r w:rsidRPr="004A0C12">
              <w:rPr>
                <w:rFonts w:ascii="Garamond" w:hAnsi="Garamond"/>
                <w:sz w:val="22"/>
                <w:szCs w:val="22"/>
              </w:rPr>
              <w:t>67%</w:t>
            </w:r>
          </w:p>
        </w:tc>
        <w:tc>
          <w:tcPr>
            <w:tcW w:w="3042" w:type="dxa"/>
          </w:tcPr>
          <w:p w14:paraId="0E0BFD89"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77.2%</w:t>
            </w:r>
          </w:p>
        </w:tc>
      </w:tr>
      <w:tr w:rsidR="0074457B" w:rsidRPr="004A0C12" w14:paraId="18C1B17F" w14:textId="77777777" w:rsidTr="00900002">
        <w:trPr>
          <w:trHeight w:val="304"/>
        </w:trPr>
        <w:tc>
          <w:tcPr>
            <w:cnfStyle w:val="000010000000" w:firstRow="0" w:lastRow="0" w:firstColumn="0" w:lastColumn="0" w:oddVBand="1" w:evenVBand="0" w:oddHBand="0" w:evenHBand="0" w:firstRowFirstColumn="0" w:firstRowLastColumn="0" w:lastRowFirstColumn="0" w:lastRowLastColumn="0"/>
            <w:tcW w:w="4758" w:type="dxa"/>
            <w:gridSpan w:val="2"/>
          </w:tcPr>
          <w:p w14:paraId="099BD0DF" w14:textId="77777777" w:rsidR="0074457B" w:rsidRPr="004A0C12" w:rsidRDefault="0074457B" w:rsidP="0074457B">
            <w:pPr>
              <w:rPr>
                <w:rFonts w:ascii="Garamond" w:hAnsi="Garamond"/>
                <w:sz w:val="22"/>
                <w:szCs w:val="22"/>
              </w:rPr>
            </w:pPr>
            <w:r w:rsidRPr="004A0C12">
              <w:rPr>
                <w:rFonts w:ascii="Garamond" w:hAnsi="Garamond"/>
                <w:sz w:val="22"/>
                <w:szCs w:val="22"/>
              </w:rPr>
              <w:lastRenderedPageBreak/>
              <w:t xml:space="preserve">Literacy/Numeracy </w:t>
            </w:r>
          </w:p>
        </w:tc>
        <w:tc>
          <w:tcPr>
            <w:tcW w:w="6083" w:type="dxa"/>
            <w:gridSpan w:val="2"/>
          </w:tcPr>
          <w:p w14:paraId="39A8B8AE"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r>
      <w:tr w:rsidR="0074457B" w:rsidRPr="004A0C12" w14:paraId="0108B777" w14:textId="77777777" w:rsidTr="00900002">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2225" w:type="dxa"/>
          </w:tcPr>
          <w:p w14:paraId="59C31726" w14:textId="77777777" w:rsidR="0074457B" w:rsidRPr="004A0C12" w:rsidRDefault="0074457B" w:rsidP="0074457B">
            <w:pPr>
              <w:rPr>
                <w:rFonts w:ascii="Garamond" w:hAnsi="Garamond"/>
                <w:sz w:val="22"/>
                <w:szCs w:val="22"/>
              </w:rPr>
            </w:pPr>
          </w:p>
        </w:tc>
        <w:tc>
          <w:tcPr>
            <w:tcW w:w="2534" w:type="dxa"/>
          </w:tcPr>
          <w:p w14:paraId="2C5BE79F"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Youth </w:t>
            </w:r>
          </w:p>
        </w:tc>
        <w:tc>
          <w:tcPr>
            <w:cnfStyle w:val="000010000000" w:firstRow="0" w:lastRow="0" w:firstColumn="0" w:lastColumn="0" w:oddVBand="1" w:evenVBand="0" w:oddHBand="0" w:evenHBand="0" w:firstRowFirstColumn="0" w:firstRowLastColumn="0" w:lastRowFirstColumn="0" w:lastRowLastColumn="0"/>
            <w:tcW w:w="3040" w:type="dxa"/>
          </w:tcPr>
          <w:p w14:paraId="5CD177EE" w14:textId="77777777" w:rsidR="0074457B" w:rsidRPr="004A0C12" w:rsidRDefault="0074457B" w:rsidP="0074457B">
            <w:pPr>
              <w:rPr>
                <w:rFonts w:ascii="Garamond" w:hAnsi="Garamond"/>
                <w:sz w:val="22"/>
                <w:szCs w:val="22"/>
              </w:rPr>
            </w:pPr>
            <w:r w:rsidRPr="004A0C12">
              <w:rPr>
                <w:rFonts w:ascii="Garamond" w:hAnsi="Garamond"/>
                <w:sz w:val="22"/>
                <w:szCs w:val="22"/>
              </w:rPr>
              <w:t>69%</w:t>
            </w:r>
          </w:p>
        </w:tc>
        <w:tc>
          <w:tcPr>
            <w:tcW w:w="3042" w:type="dxa"/>
          </w:tcPr>
          <w:p w14:paraId="6AF2D60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78.7%</w:t>
            </w:r>
          </w:p>
        </w:tc>
      </w:tr>
    </w:tbl>
    <w:p w14:paraId="4672EE47" w14:textId="77777777" w:rsidR="0074457B" w:rsidRPr="004A0C12" w:rsidRDefault="0074457B" w:rsidP="0074457B">
      <w:pPr>
        <w:spacing w:after="0" w:line="240" w:lineRule="auto"/>
        <w:rPr>
          <w:rFonts w:ascii="Garamond" w:hAnsi="Garamond"/>
        </w:rPr>
      </w:pPr>
    </w:p>
    <w:p w14:paraId="2CB0E588" w14:textId="77777777" w:rsidR="0054168E" w:rsidRPr="004A0C12" w:rsidRDefault="0054168E" w:rsidP="0074457B">
      <w:pPr>
        <w:spacing w:after="0" w:line="240" w:lineRule="auto"/>
        <w:rPr>
          <w:rFonts w:ascii="Garamond" w:hAnsi="Garamond"/>
        </w:rPr>
      </w:pPr>
    </w:p>
    <w:p w14:paraId="19626F8B" w14:textId="77777777" w:rsidR="0054168E" w:rsidRPr="004A0C12" w:rsidRDefault="0054168E" w:rsidP="0074457B">
      <w:pPr>
        <w:spacing w:after="0" w:line="240" w:lineRule="auto"/>
        <w:rPr>
          <w:rFonts w:ascii="Garamond" w:hAnsi="Garamond"/>
        </w:rPr>
      </w:pPr>
    </w:p>
    <w:p w14:paraId="705DF8DE" w14:textId="77777777" w:rsidR="0054168E" w:rsidRPr="004A0C12" w:rsidRDefault="0054168E" w:rsidP="0074457B">
      <w:pPr>
        <w:spacing w:after="0" w:line="240" w:lineRule="auto"/>
        <w:rPr>
          <w:rFonts w:ascii="Garamond" w:hAnsi="Garamond"/>
        </w:rPr>
      </w:pPr>
    </w:p>
    <w:p w14:paraId="60214087" w14:textId="77777777" w:rsidR="0054168E" w:rsidRPr="004A0C12" w:rsidRDefault="0054168E" w:rsidP="0074457B">
      <w:pPr>
        <w:spacing w:after="0" w:line="240" w:lineRule="auto"/>
        <w:rPr>
          <w:rFonts w:ascii="Garamond" w:hAnsi="Garamond"/>
        </w:rPr>
      </w:pPr>
    </w:p>
    <w:tbl>
      <w:tblPr>
        <w:tblStyle w:val="PlainTable11"/>
        <w:tblW w:w="0" w:type="auto"/>
        <w:tblLayout w:type="fixed"/>
        <w:tblLook w:val="0000" w:firstRow="0" w:lastRow="0" w:firstColumn="0" w:lastColumn="0" w:noHBand="0" w:noVBand="0"/>
        <w:tblCaption w:val="WIOA Title I &amp; III Performance for PY 2014"/>
        <w:tblDescription w:val="This chart lists the performance measures and shows the standard and State Performance by each of the WIOA Title I &amp; III Program Measures for PY 2014. "/>
      </w:tblPr>
      <w:tblGrid>
        <w:gridCol w:w="2495"/>
        <w:gridCol w:w="2467"/>
        <w:gridCol w:w="2960"/>
        <w:gridCol w:w="2961"/>
      </w:tblGrid>
      <w:tr w:rsidR="0074457B" w:rsidRPr="004A0C12" w14:paraId="2A3FD5B9" w14:textId="77777777" w:rsidTr="008B1D9A">
        <w:trPr>
          <w:trHeight w:val="222"/>
          <w:tblHeader/>
        </w:trPr>
        <w:tc>
          <w:tcPr>
            <w:cnfStyle w:val="000010000000" w:firstRow="0" w:lastRow="0" w:firstColumn="0" w:lastColumn="0" w:oddVBand="1" w:evenVBand="0" w:oddHBand="0" w:evenHBand="0" w:firstRowFirstColumn="0" w:firstRowLastColumn="0" w:lastRowFirstColumn="0" w:lastRowLastColumn="0"/>
            <w:tcW w:w="10882" w:type="dxa"/>
            <w:gridSpan w:val="4"/>
          </w:tcPr>
          <w:p w14:paraId="422BED6A" w14:textId="77777777" w:rsidR="0074457B" w:rsidRPr="004A0C12" w:rsidRDefault="0074457B" w:rsidP="0074457B">
            <w:pPr>
              <w:jc w:val="center"/>
              <w:rPr>
                <w:rFonts w:ascii="Garamond" w:hAnsi="Garamond"/>
                <w:sz w:val="22"/>
                <w:szCs w:val="22"/>
              </w:rPr>
            </w:pPr>
            <w:r w:rsidRPr="004A0C12">
              <w:rPr>
                <w:rFonts w:ascii="Garamond" w:hAnsi="Garamond"/>
                <w:sz w:val="22"/>
                <w:szCs w:val="22"/>
              </w:rPr>
              <w:t>WIOA Title I &amp; III Performance for PY 2014</w:t>
            </w:r>
          </w:p>
        </w:tc>
      </w:tr>
      <w:tr w:rsidR="0074457B" w:rsidRPr="004A0C12" w14:paraId="1E123FF2"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4962" w:type="dxa"/>
            <w:gridSpan w:val="2"/>
          </w:tcPr>
          <w:p w14:paraId="6DF6E85B" w14:textId="77777777" w:rsidR="0074457B" w:rsidRPr="004A0C12" w:rsidRDefault="0074457B" w:rsidP="0074457B">
            <w:pPr>
              <w:jc w:val="center"/>
              <w:rPr>
                <w:rFonts w:ascii="Garamond" w:hAnsi="Garamond"/>
                <w:sz w:val="22"/>
                <w:szCs w:val="22"/>
              </w:rPr>
            </w:pPr>
            <w:r w:rsidRPr="004A0C12">
              <w:rPr>
                <w:rFonts w:ascii="Garamond" w:hAnsi="Garamond"/>
                <w:sz w:val="22"/>
                <w:szCs w:val="22"/>
              </w:rPr>
              <w:t>Performance Measure</w:t>
            </w:r>
          </w:p>
        </w:tc>
        <w:tc>
          <w:tcPr>
            <w:tcW w:w="2960" w:type="dxa"/>
          </w:tcPr>
          <w:p w14:paraId="343CD63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Standard</w:t>
            </w:r>
          </w:p>
        </w:tc>
        <w:tc>
          <w:tcPr>
            <w:cnfStyle w:val="000010000000" w:firstRow="0" w:lastRow="0" w:firstColumn="0" w:lastColumn="0" w:oddVBand="1" w:evenVBand="0" w:oddHBand="0" w:evenHBand="0" w:firstRowFirstColumn="0" w:firstRowLastColumn="0" w:lastRowFirstColumn="0" w:lastRowLastColumn="0"/>
            <w:tcW w:w="2960" w:type="dxa"/>
          </w:tcPr>
          <w:p w14:paraId="1CF27F81" w14:textId="77777777" w:rsidR="0074457B" w:rsidRPr="004A0C12" w:rsidRDefault="0074457B" w:rsidP="0074457B">
            <w:pPr>
              <w:jc w:val="center"/>
              <w:rPr>
                <w:rFonts w:ascii="Garamond" w:hAnsi="Garamond"/>
                <w:sz w:val="22"/>
                <w:szCs w:val="22"/>
              </w:rPr>
            </w:pPr>
            <w:r w:rsidRPr="004A0C12">
              <w:rPr>
                <w:rFonts w:ascii="Garamond" w:hAnsi="Garamond"/>
                <w:sz w:val="22"/>
                <w:szCs w:val="22"/>
              </w:rPr>
              <w:t>State Performance</w:t>
            </w:r>
          </w:p>
        </w:tc>
      </w:tr>
      <w:tr w:rsidR="0074457B" w:rsidRPr="004A0C12" w14:paraId="7613340F"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4962" w:type="dxa"/>
            <w:gridSpan w:val="2"/>
          </w:tcPr>
          <w:p w14:paraId="3D2BF6B7" w14:textId="77777777" w:rsidR="0074457B" w:rsidRPr="004A0C12" w:rsidRDefault="0074457B" w:rsidP="0074457B">
            <w:pPr>
              <w:rPr>
                <w:rFonts w:ascii="Garamond" w:hAnsi="Garamond"/>
                <w:sz w:val="22"/>
                <w:szCs w:val="22"/>
              </w:rPr>
            </w:pPr>
            <w:r w:rsidRPr="004A0C12">
              <w:rPr>
                <w:rFonts w:ascii="Garamond" w:hAnsi="Garamond"/>
                <w:sz w:val="22"/>
                <w:szCs w:val="22"/>
              </w:rPr>
              <w:t>Entered Employment Rate</w:t>
            </w:r>
          </w:p>
        </w:tc>
        <w:tc>
          <w:tcPr>
            <w:tcW w:w="5921" w:type="dxa"/>
            <w:gridSpan w:val="2"/>
          </w:tcPr>
          <w:p w14:paraId="5AA48F1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r>
      <w:tr w:rsidR="0074457B" w:rsidRPr="004A0C12" w14:paraId="78ABE905"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2495" w:type="dxa"/>
          </w:tcPr>
          <w:p w14:paraId="59C10C33" w14:textId="77777777" w:rsidR="0074457B" w:rsidRPr="004A0C12" w:rsidRDefault="0074457B" w:rsidP="0074457B">
            <w:pPr>
              <w:rPr>
                <w:rFonts w:ascii="Garamond" w:hAnsi="Garamond"/>
                <w:sz w:val="22"/>
                <w:szCs w:val="22"/>
              </w:rPr>
            </w:pPr>
          </w:p>
        </w:tc>
        <w:tc>
          <w:tcPr>
            <w:tcW w:w="2467" w:type="dxa"/>
          </w:tcPr>
          <w:p w14:paraId="5DFDD7F8"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Adult</w:t>
            </w:r>
          </w:p>
        </w:tc>
        <w:tc>
          <w:tcPr>
            <w:cnfStyle w:val="000010000000" w:firstRow="0" w:lastRow="0" w:firstColumn="0" w:lastColumn="0" w:oddVBand="1" w:evenVBand="0" w:oddHBand="0" w:evenHBand="0" w:firstRowFirstColumn="0" w:firstRowLastColumn="0" w:lastRowFirstColumn="0" w:lastRowLastColumn="0"/>
            <w:tcW w:w="2960" w:type="dxa"/>
          </w:tcPr>
          <w:p w14:paraId="6E531DF5" w14:textId="77777777" w:rsidR="0074457B" w:rsidRPr="004A0C12" w:rsidRDefault="0074457B" w:rsidP="0074457B">
            <w:pPr>
              <w:rPr>
                <w:rFonts w:ascii="Garamond" w:hAnsi="Garamond"/>
                <w:sz w:val="22"/>
                <w:szCs w:val="22"/>
              </w:rPr>
            </w:pPr>
            <w:r w:rsidRPr="004A0C12">
              <w:rPr>
                <w:rFonts w:ascii="Garamond" w:hAnsi="Garamond"/>
                <w:sz w:val="22"/>
                <w:szCs w:val="22"/>
              </w:rPr>
              <w:t>82%</w:t>
            </w:r>
          </w:p>
        </w:tc>
        <w:tc>
          <w:tcPr>
            <w:tcW w:w="2960" w:type="dxa"/>
          </w:tcPr>
          <w:p w14:paraId="05B12A2E"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78.6%</w:t>
            </w:r>
          </w:p>
        </w:tc>
      </w:tr>
      <w:tr w:rsidR="0074457B" w:rsidRPr="004A0C12" w14:paraId="32B13CAE"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2495" w:type="dxa"/>
          </w:tcPr>
          <w:p w14:paraId="76175B80" w14:textId="77777777" w:rsidR="0074457B" w:rsidRPr="004A0C12" w:rsidRDefault="0074457B" w:rsidP="0074457B">
            <w:pPr>
              <w:rPr>
                <w:rFonts w:ascii="Garamond" w:hAnsi="Garamond"/>
                <w:sz w:val="22"/>
                <w:szCs w:val="22"/>
              </w:rPr>
            </w:pPr>
          </w:p>
        </w:tc>
        <w:tc>
          <w:tcPr>
            <w:tcW w:w="2467" w:type="dxa"/>
          </w:tcPr>
          <w:p w14:paraId="791E32E9"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Dislocated Worker</w:t>
            </w:r>
          </w:p>
        </w:tc>
        <w:tc>
          <w:tcPr>
            <w:cnfStyle w:val="000010000000" w:firstRow="0" w:lastRow="0" w:firstColumn="0" w:lastColumn="0" w:oddVBand="1" w:evenVBand="0" w:oddHBand="0" w:evenHBand="0" w:firstRowFirstColumn="0" w:firstRowLastColumn="0" w:lastRowFirstColumn="0" w:lastRowLastColumn="0"/>
            <w:tcW w:w="2960" w:type="dxa"/>
          </w:tcPr>
          <w:p w14:paraId="169406C3" w14:textId="77777777" w:rsidR="0074457B" w:rsidRPr="004A0C12" w:rsidRDefault="0074457B" w:rsidP="0074457B">
            <w:pPr>
              <w:rPr>
                <w:rFonts w:ascii="Garamond" w:hAnsi="Garamond"/>
                <w:sz w:val="22"/>
                <w:szCs w:val="22"/>
              </w:rPr>
            </w:pPr>
            <w:r w:rsidRPr="004A0C12">
              <w:rPr>
                <w:rFonts w:ascii="Garamond" w:hAnsi="Garamond"/>
                <w:sz w:val="22"/>
                <w:szCs w:val="22"/>
              </w:rPr>
              <w:t>87%</w:t>
            </w:r>
          </w:p>
        </w:tc>
        <w:tc>
          <w:tcPr>
            <w:tcW w:w="2960" w:type="dxa"/>
          </w:tcPr>
          <w:p w14:paraId="47D432E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82.2%</w:t>
            </w:r>
          </w:p>
        </w:tc>
      </w:tr>
      <w:tr w:rsidR="0074457B" w:rsidRPr="004A0C12" w14:paraId="6F969CD1"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2495" w:type="dxa"/>
          </w:tcPr>
          <w:p w14:paraId="5471AF9C" w14:textId="77777777" w:rsidR="0074457B" w:rsidRPr="004A0C12" w:rsidRDefault="0074457B" w:rsidP="0074457B">
            <w:pPr>
              <w:rPr>
                <w:rFonts w:ascii="Garamond" w:hAnsi="Garamond"/>
                <w:sz w:val="22"/>
                <w:szCs w:val="22"/>
              </w:rPr>
            </w:pPr>
          </w:p>
        </w:tc>
        <w:tc>
          <w:tcPr>
            <w:tcW w:w="2467" w:type="dxa"/>
          </w:tcPr>
          <w:p w14:paraId="286AC9B1" w14:textId="35C06350" w:rsidR="0074457B" w:rsidRPr="004A0C12" w:rsidRDefault="00900002"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Wagner-</w:t>
            </w:r>
            <w:r w:rsidR="0074457B" w:rsidRPr="004A0C12">
              <w:rPr>
                <w:rFonts w:ascii="Garamond" w:hAnsi="Garamond"/>
                <w:sz w:val="22"/>
                <w:szCs w:val="22"/>
              </w:rPr>
              <w:t xml:space="preserve">Peyser </w:t>
            </w:r>
          </w:p>
        </w:tc>
        <w:tc>
          <w:tcPr>
            <w:cnfStyle w:val="000010000000" w:firstRow="0" w:lastRow="0" w:firstColumn="0" w:lastColumn="0" w:oddVBand="1" w:evenVBand="0" w:oddHBand="0" w:evenHBand="0" w:firstRowFirstColumn="0" w:firstRowLastColumn="0" w:lastRowFirstColumn="0" w:lastRowLastColumn="0"/>
            <w:tcW w:w="2960" w:type="dxa"/>
          </w:tcPr>
          <w:p w14:paraId="23C852DC" w14:textId="77777777" w:rsidR="0074457B" w:rsidRPr="004A0C12" w:rsidRDefault="0074457B" w:rsidP="0074457B">
            <w:pPr>
              <w:rPr>
                <w:rFonts w:ascii="Garamond" w:hAnsi="Garamond"/>
                <w:sz w:val="22"/>
                <w:szCs w:val="22"/>
              </w:rPr>
            </w:pPr>
            <w:r w:rsidRPr="004A0C12">
              <w:rPr>
                <w:rFonts w:ascii="Garamond" w:hAnsi="Garamond"/>
                <w:sz w:val="22"/>
                <w:szCs w:val="22"/>
              </w:rPr>
              <w:t>55%</w:t>
            </w:r>
          </w:p>
        </w:tc>
        <w:tc>
          <w:tcPr>
            <w:tcW w:w="2960" w:type="dxa"/>
          </w:tcPr>
          <w:p w14:paraId="571F874E"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r>
      <w:tr w:rsidR="0074457B" w:rsidRPr="004A0C12" w14:paraId="3CD3170E"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10882" w:type="dxa"/>
            <w:gridSpan w:val="4"/>
          </w:tcPr>
          <w:p w14:paraId="000AE3D5" w14:textId="77777777" w:rsidR="0074457B" w:rsidRPr="004A0C12" w:rsidRDefault="0074457B" w:rsidP="0074457B">
            <w:pPr>
              <w:rPr>
                <w:rFonts w:ascii="Garamond" w:hAnsi="Garamond"/>
                <w:sz w:val="22"/>
                <w:szCs w:val="22"/>
              </w:rPr>
            </w:pPr>
          </w:p>
        </w:tc>
      </w:tr>
      <w:tr w:rsidR="0074457B" w:rsidRPr="004A0C12" w14:paraId="6DB0EC95"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4962" w:type="dxa"/>
            <w:gridSpan w:val="2"/>
          </w:tcPr>
          <w:p w14:paraId="0928422B" w14:textId="77777777" w:rsidR="0074457B" w:rsidRPr="004A0C12" w:rsidRDefault="0074457B" w:rsidP="0074457B">
            <w:pPr>
              <w:rPr>
                <w:rFonts w:ascii="Garamond" w:hAnsi="Garamond"/>
                <w:sz w:val="22"/>
                <w:szCs w:val="22"/>
              </w:rPr>
            </w:pPr>
            <w:r w:rsidRPr="004A0C12">
              <w:rPr>
                <w:rFonts w:ascii="Garamond" w:hAnsi="Garamond"/>
                <w:sz w:val="22"/>
                <w:szCs w:val="22"/>
              </w:rPr>
              <w:t>Retention Rate</w:t>
            </w:r>
          </w:p>
        </w:tc>
        <w:tc>
          <w:tcPr>
            <w:tcW w:w="5921" w:type="dxa"/>
            <w:gridSpan w:val="2"/>
          </w:tcPr>
          <w:p w14:paraId="687F10B5"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r>
      <w:tr w:rsidR="0074457B" w:rsidRPr="004A0C12" w14:paraId="713A943B"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2495" w:type="dxa"/>
          </w:tcPr>
          <w:p w14:paraId="3771017F" w14:textId="77777777" w:rsidR="0074457B" w:rsidRPr="004A0C12" w:rsidRDefault="0074457B" w:rsidP="0074457B">
            <w:pPr>
              <w:rPr>
                <w:rFonts w:ascii="Garamond" w:hAnsi="Garamond"/>
                <w:sz w:val="22"/>
                <w:szCs w:val="22"/>
              </w:rPr>
            </w:pPr>
          </w:p>
        </w:tc>
        <w:tc>
          <w:tcPr>
            <w:tcW w:w="2467" w:type="dxa"/>
          </w:tcPr>
          <w:p w14:paraId="0553383C"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Adult</w:t>
            </w:r>
          </w:p>
        </w:tc>
        <w:tc>
          <w:tcPr>
            <w:cnfStyle w:val="000010000000" w:firstRow="0" w:lastRow="0" w:firstColumn="0" w:lastColumn="0" w:oddVBand="1" w:evenVBand="0" w:oddHBand="0" w:evenHBand="0" w:firstRowFirstColumn="0" w:firstRowLastColumn="0" w:lastRowFirstColumn="0" w:lastRowLastColumn="0"/>
            <w:tcW w:w="2960" w:type="dxa"/>
          </w:tcPr>
          <w:p w14:paraId="64A11A21" w14:textId="77777777" w:rsidR="0074457B" w:rsidRPr="004A0C12" w:rsidRDefault="0074457B" w:rsidP="0074457B">
            <w:pPr>
              <w:rPr>
                <w:rFonts w:ascii="Garamond" w:hAnsi="Garamond"/>
                <w:sz w:val="22"/>
                <w:szCs w:val="22"/>
              </w:rPr>
            </w:pPr>
            <w:r w:rsidRPr="004A0C12">
              <w:rPr>
                <w:rFonts w:ascii="Garamond" w:hAnsi="Garamond"/>
                <w:sz w:val="22"/>
                <w:szCs w:val="22"/>
              </w:rPr>
              <w:t>89%</w:t>
            </w:r>
          </w:p>
        </w:tc>
        <w:tc>
          <w:tcPr>
            <w:tcW w:w="2960" w:type="dxa"/>
          </w:tcPr>
          <w:p w14:paraId="13745702"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90.8%</w:t>
            </w:r>
          </w:p>
        </w:tc>
      </w:tr>
      <w:tr w:rsidR="0074457B" w:rsidRPr="004A0C12" w14:paraId="105C3FF1"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2495" w:type="dxa"/>
          </w:tcPr>
          <w:p w14:paraId="6F559796" w14:textId="77777777" w:rsidR="0074457B" w:rsidRPr="004A0C12" w:rsidRDefault="0074457B" w:rsidP="0074457B">
            <w:pPr>
              <w:rPr>
                <w:rFonts w:ascii="Garamond" w:hAnsi="Garamond"/>
                <w:sz w:val="22"/>
                <w:szCs w:val="22"/>
              </w:rPr>
            </w:pPr>
          </w:p>
        </w:tc>
        <w:tc>
          <w:tcPr>
            <w:tcW w:w="2467" w:type="dxa"/>
          </w:tcPr>
          <w:p w14:paraId="41A554F2"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Dislocated Worker</w:t>
            </w:r>
          </w:p>
        </w:tc>
        <w:tc>
          <w:tcPr>
            <w:cnfStyle w:val="000010000000" w:firstRow="0" w:lastRow="0" w:firstColumn="0" w:lastColumn="0" w:oddVBand="1" w:evenVBand="0" w:oddHBand="0" w:evenHBand="0" w:firstRowFirstColumn="0" w:firstRowLastColumn="0" w:lastRowFirstColumn="0" w:lastRowLastColumn="0"/>
            <w:tcW w:w="2960" w:type="dxa"/>
          </w:tcPr>
          <w:p w14:paraId="7EB8A0B3" w14:textId="77777777" w:rsidR="0074457B" w:rsidRPr="004A0C12" w:rsidRDefault="0074457B" w:rsidP="0074457B">
            <w:pPr>
              <w:rPr>
                <w:rFonts w:ascii="Garamond" w:hAnsi="Garamond"/>
                <w:sz w:val="22"/>
                <w:szCs w:val="22"/>
              </w:rPr>
            </w:pPr>
            <w:r w:rsidRPr="004A0C12">
              <w:rPr>
                <w:rFonts w:ascii="Garamond" w:hAnsi="Garamond"/>
                <w:sz w:val="22"/>
                <w:szCs w:val="22"/>
              </w:rPr>
              <w:t>91%</w:t>
            </w:r>
          </w:p>
        </w:tc>
        <w:tc>
          <w:tcPr>
            <w:tcW w:w="2960" w:type="dxa"/>
          </w:tcPr>
          <w:p w14:paraId="0BF9FC99"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92.2%</w:t>
            </w:r>
          </w:p>
        </w:tc>
      </w:tr>
      <w:tr w:rsidR="0074457B" w:rsidRPr="004A0C12" w14:paraId="67A48C50"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2495" w:type="dxa"/>
          </w:tcPr>
          <w:p w14:paraId="3E0DC988" w14:textId="77777777" w:rsidR="0074457B" w:rsidRPr="004A0C12" w:rsidRDefault="0074457B" w:rsidP="0074457B">
            <w:pPr>
              <w:rPr>
                <w:rFonts w:ascii="Garamond" w:hAnsi="Garamond"/>
                <w:sz w:val="22"/>
                <w:szCs w:val="22"/>
              </w:rPr>
            </w:pPr>
          </w:p>
        </w:tc>
        <w:tc>
          <w:tcPr>
            <w:tcW w:w="2467" w:type="dxa"/>
          </w:tcPr>
          <w:p w14:paraId="31F93D19" w14:textId="4582C5C2" w:rsidR="0074457B" w:rsidRPr="004A0C12" w:rsidRDefault="00900002"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Wagner-</w:t>
            </w:r>
            <w:r w:rsidR="0074457B" w:rsidRPr="004A0C12">
              <w:rPr>
                <w:rFonts w:ascii="Garamond" w:hAnsi="Garamond"/>
                <w:sz w:val="22"/>
                <w:szCs w:val="22"/>
              </w:rPr>
              <w:t>Peyser</w:t>
            </w:r>
          </w:p>
        </w:tc>
        <w:tc>
          <w:tcPr>
            <w:cnfStyle w:val="000010000000" w:firstRow="0" w:lastRow="0" w:firstColumn="0" w:lastColumn="0" w:oddVBand="1" w:evenVBand="0" w:oddHBand="0" w:evenHBand="0" w:firstRowFirstColumn="0" w:firstRowLastColumn="0" w:lastRowFirstColumn="0" w:lastRowLastColumn="0"/>
            <w:tcW w:w="2960" w:type="dxa"/>
          </w:tcPr>
          <w:p w14:paraId="41A9C7FE" w14:textId="77777777" w:rsidR="0074457B" w:rsidRPr="004A0C12" w:rsidRDefault="0074457B" w:rsidP="0074457B">
            <w:pPr>
              <w:rPr>
                <w:rFonts w:ascii="Garamond" w:hAnsi="Garamond"/>
                <w:sz w:val="22"/>
                <w:szCs w:val="22"/>
              </w:rPr>
            </w:pPr>
            <w:r w:rsidRPr="004A0C12">
              <w:rPr>
                <w:rFonts w:ascii="Garamond" w:hAnsi="Garamond"/>
                <w:sz w:val="22"/>
                <w:szCs w:val="22"/>
              </w:rPr>
              <w:t>81%</w:t>
            </w:r>
          </w:p>
        </w:tc>
        <w:tc>
          <w:tcPr>
            <w:tcW w:w="2960" w:type="dxa"/>
          </w:tcPr>
          <w:p w14:paraId="296A21EF"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82.9%</w:t>
            </w:r>
          </w:p>
        </w:tc>
      </w:tr>
      <w:tr w:rsidR="0074457B" w:rsidRPr="004A0C12" w14:paraId="7555B941"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10882" w:type="dxa"/>
            <w:gridSpan w:val="4"/>
          </w:tcPr>
          <w:p w14:paraId="2EA7C5A3" w14:textId="77777777" w:rsidR="0074457B" w:rsidRPr="004A0C12" w:rsidRDefault="0074457B" w:rsidP="0074457B">
            <w:pPr>
              <w:rPr>
                <w:rFonts w:ascii="Garamond" w:hAnsi="Garamond"/>
                <w:sz w:val="22"/>
                <w:szCs w:val="22"/>
              </w:rPr>
            </w:pPr>
          </w:p>
        </w:tc>
      </w:tr>
      <w:tr w:rsidR="0074457B" w:rsidRPr="004A0C12" w14:paraId="21AD807C"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4962" w:type="dxa"/>
            <w:gridSpan w:val="2"/>
          </w:tcPr>
          <w:p w14:paraId="74B0F7E8" w14:textId="77777777" w:rsidR="0074457B" w:rsidRPr="004A0C12" w:rsidRDefault="0074457B" w:rsidP="0074457B">
            <w:pPr>
              <w:rPr>
                <w:rFonts w:ascii="Garamond" w:hAnsi="Garamond"/>
                <w:sz w:val="22"/>
                <w:szCs w:val="22"/>
              </w:rPr>
            </w:pPr>
            <w:r w:rsidRPr="004A0C12">
              <w:rPr>
                <w:rFonts w:ascii="Garamond" w:hAnsi="Garamond"/>
                <w:sz w:val="22"/>
                <w:szCs w:val="22"/>
              </w:rPr>
              <w:t>Average Earnings</w:t>
            </w:r>
          </w:p>
        </w:tc>
        <w:tc>
          <w:tcPr>
            <w:tcW w:w="5921" w:type="dxa"/>
            <w:gridSpan w:val="2"/>
          </w:tcPr>
          <w:p w14:paraId="442384E1"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r>
      <w:tr w:rsidR="0074457B" w:rsidRPr="004A0C12" w14:paraId="1C878963"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2495" w:type="dxa"/>
          </w:tcPr>
          <w:p w14:paraId="1826D93C" w14:textId="77777777" w:rsidR="0074457B" w:rsidRPr="004A0C12" w:rsidRDefault="0074457B" w:rsidP="0074457B">
            <w:pPr>
              <w:rPr>
                <w:rFonts w:ascii="Garamond" w:hAnsi="Garamond"/>
                <w:sz w:val="22"/>
                <w:szCs w:val="22"/>
              </w:rPr>
            </w:pPr>
          </w:p>
        </w:tc>
        <w:tc>
          <w:tcPr>
            <w:tcW w:w="2467" w:type="dxa"/>
          </w:tcPr>
          <w:p w14:paraId="25689184"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Adult</w:t>
            </w:r>
          </w:p>
        </w:tc>
        <w:tc>
          <w:tcPr>
            <w:cnfStyle w:val="000010000000" w:firstRow="0" w:lastRow="0" w:firstColumn="0" w:lastColumn="0" w:oddVBand="1" w:evenVBand="0" w:oddHBand="0" w:evenHBand="0" w:firstRowFirstColumn="0" w:firstRowLastColumn="0" w:lastRowFirstColumn="0" w:lastRowLastColumn="0"/>
            <w:tcW w:w="2960" w:type="dxa"/>
          </w:tcPr>
          <w:p w14:paraId="37A329B4" w14:textId="77777777" w:rsidR="0074457B" w:rsidRPr="004A0C12" w:rsidRDefault="0074457B" w:rsidP="0074457B">
            <w:pPr>
              <w:rPr>
                <w:rFonts w:ascii="Garamond" w:hAnsi="Garamond"/>
                <w:sz w:val="22"/>
                <w:szCs w:val="22"/>
              </w:rPr>
            </w:pPr>
            <w:r w:rsidRPr="004A0C12">
              <w:rPr>
                <w:rFonts w:ascii="Garamond" w:hAnsi="Garamond"/>
                <w:sz w:val="22"/>
                <w:szCs w:val="22"/>
              </w:rPr>
              <w:t>$16,500</w:t>
            </w:r>
          </w:p>
        </w:tc>
        <w:tc>
          <w:tcPr>
            <w:tcW w:w="2960" w:type="dxa"/>
          </w:tcPr>
          <w:p w14:paraId="0983B37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$17,289</w:t>
            </w:r>
          </w:p>
        </w:tc>
      </w:tr>
      <w:tr w:rsidR="0074457B" w:rsidRPr="004A0C12" w14:paraId="14D6EC20"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2495" w:type="dxa"/>
          </w:tcPr>
          <w:p w14:paraId="16AE4933" w14:textId="77777777" w:rsidR="0074457B" w:rsidRPr="004A0C12" w:rsidRDefault="0074457B" w:rsidP="0074457B">
            <w:pPr>
              <w:rPr>
                <w:rFonts w:ascii="Garamond" w:hAnsi="Garamond"/>
                <w:sz w:val="22"/>
                <w:szCs w:val="22"/>
              </w:rPr>
            </w:pPr>
          </w:p>
        </w:tc>
        <w:tc>
          <w:tcPr>
            <w:tcW w:w="2467" w:type="dxa"/>
          </w:tcPr>
          <w:p w14:paraId="373ADFC7"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Dislocated Worker</w:t>
            </w:r>
          </w:p>
        </w:tc>
        <w:tc>
          <w:tcPr>
            <w:cnfStyle w:val="000010000000" w:firstRow="0" w:lastRow="0" w:firstColumn="0" w:lastColumn="0" w:oddVBand="1" w:evenVBand="0" w:oddHBand="0" w:evenHBand="0" w:firstRowFirstColumn="0" w:firstRowLastColumn="0" w:lastRowFirstColumn="0" w:lastRowLastColumn="0"/>
            <w:tcW w:w="2960" w:type="dxa"/>
          </w:tcPr>
          <w:p w14:paraId="68A79C3F" w14:textId="77777777" w:rsidR="0074457B" w:rsidRPr="004A0C12" w:rsidRDefault="0074457B" w:rsidP="0074457B">
            <w:pPr>
              <w:rPr>
                <w:rFonts w:ascii="Garamond" w:hAnsi="Garamond"/>
                <w:sz w:val="22"/>
                <w:szCs w:val="22"/>
              </w:rPr>
            </w:pPr>
            <w:r w:rsidRPr="004A0C12">
              <w:rPr>
                <w:rFonts w:ascii="Garamond" w:hAnsi="Garamond"/>
                <w:sz w:val="22"/>
                <w:szCs w:val="22"/>
              </w:rPr>
              <w:t>$19,500</w:t>
            </w:r>
          </w:p>
        </w:tc>
        <w:tc>
          <w:tcPr>
            <w:tcW w:w="2960" w:type="dxa"/>
          </w:tcPr>
          <w:p w14:paraId="01221D9E"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$21,204</w:t>
            </w:r>
          </w:p>
        </w:tc>
      </w:tr>
      <w:tr w:rsidR="0074457B" w:rsidRPr="004A0C12" w14:paraId="0890E7BD"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2495" w:type="dxa"/>
          </w:tcPr>
          <w:p w14:paraId="142D442C" w14:textId="77777777" w:rsidR="0074457B" w:rsidRPr="004A0C12" w:rsidRDefault="0074457B" w:rsidP="0074457B">
            <w:pPr>
              <w:rPr>
                <w:rFonts w:ascii="Garamond" w:hAnsi="Garamond"/>
                <w:sz w:val="22"/>
                <w:szCs w:val="22"/>
              </w:rPr>
            </w:pPr>
          </w:p>
        </w:tc>
        <w:tc>
          <w:tcPr>
            <w:tcW w:w="2467" w:type="dxa"/>
          </w:tcPr>
          <w:p w14:paraId="279D01F9" w14:textId="4DA77B00" w:rsidR="0074457B" w:rsidRPr="004A0C12" w:rsidRDefault="00900002"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Wagner-</w:t>
            </w:r>
            <w:r w:rsidR="0074457B" w:rsidRPr="004A0C12">
              <w:rPr>
                <w:rFonts w:ascii="Garamond" w:hAnsi="Garamond"/>
                <w:sz w:val="22"/>
                <w:szCs w:val="22"/>
              </w:rPr>
              <w:t>Peyser</w:t>
            </w:r>
          </w:p>
        </w:tc>
        <w:tc>
          <w:tcPr>
            <w:cnfStyle w:val="000010000000" w:firstRow="0" w:lastRow="0" w:firstColumn="0" w:lastColumn="0" w:oddVBand="1" w:evenVBand="0" w:oddHBand="0" w:evenHBand="0" w:firstRowFirstColumn="0" w:firstRowLastColumn="0" w:lastRowFirstColumn="0" w:lastRowLastColumn="0"/>
            <w:tcW w:w="2960" w:type="dxa"/>
          </w:tcPr>
          <w:p w14:paraId="4D616F35" w14:textId="77777777" w:rsidR="0074457B" w:rsidRPr="004A0C12" w:rsidRDefault="0074457B" w:rsidP="0074457B">
            <w:pPr>
              <w:rPr>
                <w:rFonts w:ascii="Garamond" w:hAnsi="Garamond"/>
                <w:sz w:val="22"/>
                <w:szCs w:val="22"/>
              </w:rPr>
            </w:pPr>
            <w:r w:rsidRPr="004A0C12">
              <w:rPr>
                <w:rFonts w:ascii="Garamond" w:hAnsi="Garamond"/>
                <w:sz w:val="22"/>
                <w:szCs w:val="22"/>
              </w:rPr>
              <w:t>$15,000</w:t>
            </w:r>
          </w:p>
        </w:tc>
        <w:tc>
          <w:tcPr>
            <w:tcW w:w="2960" w:type="dxa"/>
          </w:tcPr>
          <w:p w14:paraId="2DF419DC"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$15,062</w:t>
            </w:r>
          </w:p>
        </w:tc>
      </w:tr>
      <w:tr w:rsidR="0074457B" w:rsidRPr="004A0C12" w14:paraId="1E08138F"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10882" w:type="dxa"/>
            <w:gridSpan w:val="4"/>
          </w:tcPr>
          <w:p w14:paraId="3A16F6D5" w14:textId="77777777" w:rsidR="0074457B" w:rsidRPr="004A0C12" w:rsidRDefault="0074457B" w:rsidP="0074457B">
            <w:pPr>
              <w:rPr>
                <w:rFonts w:ascii="Garamond" w:hAnsi="Garamond"/>
                <w:sz w:val="22"/>
                <w:szCs w:val="22"/>
              </w:rPr>
            </w:pPr>
          </w:p>
        </w:tc>
      </w:tr>
      <w:tr w:rsidR="0074457B" w:rsidRPr="004A0C12" w14:paraId="3DB43151"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4962" w:type="dxa"/>
            <w:gridSpan w:val="2"/>
          </w:tcPr>
          <w:p w14:paraId="36E3280C" w14:textId="77777777" w:rsidR="0074457B" w:rsidRPr="004A0C12" w:rsidRDefault="0074457B" w:rsidP="0074457B">
            <w:pPr>
              <w:rPr>
                <w:rFonts w:ascii="Garamond" w:hAnsi="Garamond"/>
                <w:sz w:val="22"/>
                <w:szCs w:val="22"/>
              </w:rPr>
            </w:pPr>
            <w:r w:rsidRPr="004A0C12">
              <w:rPr>
                <w:rFonts w:ascii="Garamond" w:hAnsi="Garamond"/>
                <w:sz w:val="22"/>
                <w:szCs w:val="22"/>
              </w:rPr>
              <w:t>Attainment of Degree or Certificate</w:t>
            </w:r>
          </w:p>
        </w:tc>
        <w:tc>
          <w:tcPr>
            <w:tcW w:w="5921" w:type="dxa"/>
            <w:gridSpan w:val="2"/>
          </w:tcPr>
          <w:p w14:paraId="438418B2"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r>
      <w:tr w:rsidR="0074457B" w:rsidRPr="004A0C12" w14:paraId="51808EE5"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2495" w:type="dxa"/>
          </w:tcPr>
          <w:p w14:paraId="44D4C34C" w14:textId="77777777" w:rsidR="0074457B" w:rsidRPr="004A0C12" w:rsidRDefault="0074457B" w:rsidP="0074457B">
            <w:pPr>
              <w:rPr>
                <w:rFonts w:ascii="Garamond" w:hAnsi="Garamond"/>
                <w:sz w:val="22"/>
                <w:szCs w:val="22"/>
              </w:rPr>
            </w:pPr>
          </w:p>
        </w:tc>
        <w:tc>
          <w:tcPr>
            <w:tcW w:w="2467" w:type="dxa"/>
          </w:tcPr>
          <w:p w14:paraId="31551067"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Youth</w:t>
            </w:r>
          </w:p>
        </w:tc>
        <w:tc>
          <w:tcPr>
            <w:cnfStyle w:val="000010000000" w:firstRow="0" w:lastRow="0" w:firstColumn="0" w:lastColumn="0" w:oddVBand="1" w:evenVBand="0" w:oddHBand="0" w:evenHBand="0" w:firstRowFirstColumn="0" w:firstRowLastColumn="0" w:lastRowFirstColumn="0" w:lastRowLastColumn="0"/>
            <w:tcW w:w="2960" w:type="dxa"/>
          </w:tcPr>
          <w:p w14:paraId="2763186F" w14:textId="77777777" w:rsidR="0074457B" w:rsidRPr="004A0C12" w:rsidRDefault="0074457B" w:rsidP="0074457B">
            <w:pPr>
              <w:rPr>
                <w:rFonts w:ascii="Garamond" w:hAnsi="Garamond"/>
                <w:sz w:val="22"/>
                <w:szCs w:val="22"/>
              </w:rPr>
            </w:pPr>
            <w:r w:rsidRPr="004A0C12">
              <w:rPr>
                <w:rFonts w:ascii="Garamond" w:hAnsi="Garamond"/>
                <w:sz w:val="22"/>
                <w:szCs w:val="22"/>
              </w:rPr>
              <w:t>76%</w:t>
            </w:r>
          </w:p>
        </w:tc>
        <w:tc>
          <w:tcPr>
            <w:tcW w:w="2960" w:type="dxa"/>
          </w:tcPr>
          <w:p w14:paraId="1FAD2C13"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77.6%</w:t>
            </w:r>
          </w:p>
        </w:tc>
      </w:tr>
      <w:tr w:rsidR="0074457B" w:rsidRPr="004A0C12" w14:paraId="57BC3A85"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10882" w:type="dxa"/>
            <w:gridSpan w:val="4"/>
          </w:tcPr>
          <w:p w14:paraId="4BF6D7A9" w14:textId="77777777" w:rsidR="0074457B" w:rsidRPr="004A0C12" w:rsidRDefault="0074457B" w:rsidP="0074457B">
            <w:pPr>
              <w:rPr>
                <w:rFonts w:ascii="Garamond" w:hAnsi="Garamond"/>
                <w:sz w:val="22"/>
                <w:szCs w:val="22"/>
              </w:rPr>
            </w:pPr>
          </w:p>
        </w:tc>
      </w:tr>
      <w:tr w:rsidR="0074457B" w:rsidRPr="004A0C12" w14:paraId="23302FD1"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4962" w:type="dxa"/>
            <w:gridSpan w:val="2"/>
          </w:tcPr>
          <w:p w14:paraId="6B1DEF22" w14:textId="77777777" w:rsidR="0074457B" w:rsidRPr="004A0C12" w:rsidRDefault="0074457B" w:rsidP="0074457B">
            <w:pPr>
              <w:rPr>
                <w:rFonts w:ascii="Garamond" w:hAnsi="Garamond"/>
                <w:sz w:val="22"/>
                <w:szCs w:val="22"/>
              </w:rPr>
            </w:pPr>
            <w:r w:rsidRPr="004A0C12">
              <w:rPr>
                <w:rFonts w:ascii="Garamond" w:hAnsi="Garamond"/>
                <w:sz w:val="22"/>
                <w:szCs w:val="22"/>
              </w:rPr>
              <w:t xml:space="preserve">Placement in Employment or Education </w:t>
            </w:r>
          </w:p>
        </w:tc>
        <w:tc>
          <w:tcPr>
            <w:tcW w:w="5921" w:type="dxa"/>
            <w:gridSpan w:val="2"/>
          </w:tcPr>
          <w:p w14:paraId="766BDDF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r>
      <w:tr w:rsidR="0074457B" w:rsidRPr="004A0C12" w14:paraId="0647EA57"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2495" w:type="dxa"/>
          </w:tcPr>
          <w:p w14:paraId="0AA736FA" w14:textId="77777777" w:rsidR="0074457B" w:rsidRPr="004A0C12" w:rsidRDefault="0074457B" w:rsidP="0074457B">
            <w:pPr>
              <w:rPr>
                <w:rFonts w:ascii="Garamond" w:hAnsi="Garamond"/>
                <w:sz w:val="22"/>
                <w:szCs w:val="22"/>
              </w:rPr>
            </w:pPr>
          </w:p>
        </w:tc>
        <w:tc>
          <w:tcPr>
            <w:tcW w:w="2467" w:type="dxa"/>
          </w:tcPr>
          <w:p w14:paraId="4BF4C453"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Youth</w:t>
            </w:r>
          </w:p>
        </w:tc>
        <w:tc>
          <w:tcPr>
            <w:cnfStyle w:val="000010000000" w:firstRow="0" w:lastRow="0" w:firstColumn="0" w:lastColumn="0" w:oddVBand="1" w:evenVBand="0" w:oddHBand="0" w:evenHBand="0" w:firstRowFirstColumn="0" w:firstRowLastColumn="0" w:lastRowFirstColumn="0" w:lastRowLastColumn="0"/>
            <w:tcW w:w="2960" w:type="dxa"/>
          </w:tcPr>
          <w:p w14:paraId="081C8424" w14:textId="77777777" w:rsidR="0074457B" w:rsidRPr="004A0C12" w:rsidRDefault="0074457B" w:rsidP="0074457B">
            <w:pPr>
              <w:rPr>
                <w:rFonts w:ascii="Garamond" w:hAnsi="Garamond"/>
                <w:sz w:val="22"/>
                <w:szCs w:val="22"/>
              </w:rPr>
            </w:pPr>
            <w:r w:rsidRPr="004A0C12">
              <w:rPr>
                <w:rFonts w:ascii="Garamond" w:hAnsi="Garamond"/>
                <w:sz w:val="22"/>
                <w:szCs w:val="22"/>
              </w:rPr>
              <w:t>73%</w:t>
            </w:r>
          </w:p>
        </w:tc>
        <w:tc>
          <w:tcPr>
            <w:tcW w:w="2960" w:type="dxa"/>
          </w:tcPr>
          <w:p w14:paraId="49060057"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78.3%</w:t>
            </w:r>
          </w:p>
        </w:tc>
      </w:tr>
      <w:tr w:rsidR="0074457B" w:rsidRPr="004A0C12" w14:paraId="669542B7" w14:textId="77777777" w:rsidTr="00900002">
        <w:trPr>
          <w:trHeight w:val="302"/>
        </w:trPr>
        <w:tc>
          <w:tcPr>
            <w:cnfStyle w:val="000010000000" w:firstRow="0" w:lastRow="0" w:firstColumn="0" w:lastColumn="0" w:oddVBand="1" w:evenVBand="0" w:oddHBand="0" w:evenHBand="0" w:firstRowFirstColumn="0" w:firstRowLastColumn="0" w:lastRowFirstColumn="0" w:lastRowLastColumn="0"/>
            <w:tcW w:w="4962" w:type="dxa"/>
            <w:gridSpan w:val="2"/>
          </w:tcPr>
          <w:p w14:paraId="0FF5D231" w14:textId="77777777" w:rsidR="0074457B" w:rsidRPr="004A0C12" w:rsidRDefault="0074457B" w:rsidP="0074457B">
            <w:pPr>
              <w:rPr>
                <w:rFonts w:ascii="Garamond" w:hAnsi="Garamond"/>
                <w:sz w:val="22"/>
                <w:szCs w:val="22"/>
              </w:rPr>
            </w:pPr>
            <w:r w:rsidRPr="004A0C12">
              <w:rPr>
                <w:rFonts w:ascii="Garamond" w:hAnsi="Garamond"/>
                <w:sz w:val="22"/>
                <w:szCs w:val="22"/>
              </w:rPr>
              <w:t xml:space="preserve">Literacy/Numeracy </w:t>
            </w:r>
          </w:p>
        </w:tc>
        <w:tc>
          <w:tcPr>
            <w:tcW w:w="2960" w:type="dxa"/>
          </w:tcPr>
          <w:p w14:paraId="648D5952"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2960" w:type="dxa"/>
          </w:tcPr>
          <w:p w14:paraId="1DA88F7C" w14:textId="77777777" w:rsidR="0074457B" w:rsidRPr="004A0C12" w:rsidRDefault="0074457B" w:rsidP="0074457B">
            <w:pPr>
              <w:rPr>
                <w:rFonts w:ascii="Garamond" w:hAnsi="Garamond"/>
                <w:sz w:val="22"/>
                <w:szCs w:val="22"/>
              </w:rPr>
            </w:pPr>
          </w:p>
        </w:tc>
      </w:tr>
      <w:tr w:rsidR="0074457B" w:rsidRPr="004A0C12" w14:paraId="0EA78F15" w14:textId="77777777" w:rsidTr="00900002">
        <w:trPr>
          <w:cnfStyle w:val="000000100000" w:firstRow="0" w:lastRow="0" w:firstColumn="0" w:lastColumn="0" w:oddVBand="0" w:evenVBand="0" w:oddHBand="1" w:evenHBand="0" w:firstRowFirstColumn="0" w:firstRowLastColumn="0" w:lastRowFirstColumn="0" w:lastRowLastColumn="0"/>
          <w:trHeight w:val="302"/>
        </w:trPr>
        <w:tc>
          <w:tcPr>
            <w:cnfStyle w:val="000010000000" w:firstRow="0" w:lastRow="0" w:firstColumn="0" w:lastColumn="0" w:oddVBand="1" w:evenVBand="0" w:oddHBand="0" w:evenHBand="0" w:firstRowFirstColumn="0" w:firstRowLastColumn="0" w:lastRowFirstColumn="0" w:lastRowLastColumn="0"/>
            <w:tcW w:w="2495" w:type="dxa"/>
          </w:tcPr>
          <w:p w14:paraId="072D48F1" w14:textId="77777777" w:rsidR="0074457B" w:rsidRPr="004A0C12" w:rsidRDefault="0074457B" w:rsidP="0074457B">
            <w:pPr>
              <w:rPr>
                <w:rFonts w:ascii="Garamond" w:hAnsi="Garamond"/>
                <w:sz w:val="22"/>
                <w:szCs w:val="22"/>
              </w:rPr>
            </w:pPr>
          </w:p>
        </w:tc>
        <w:tc>
          <w:tcPr>
            <w:tcW w:w="2467" w:type="dxa"/>
          </w:tcPr>
          <w:p w14:paraId="6F53EC96"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Youth </w:t>
            </w:r>
          </w:p>
        </w:tc>
        <w:tc>
          <w:tcPr>
            <w:cnfStyle w:val="000010000000" w:firstRow="0" w:lastRow="0" w:firstColumn="0" w:lastColumn="0" w:oddVBand="1" w:evenVBand="0" w:oddHBand="0" w:evenHBand="0" w:firstRowFirstColumn="0" w:firstRowLastColumn="0" w:lastRowFirstColumn="0" w:lastRowLastColumn="0"/>
            <w:tcW w:w="2960" w:type="dxa"/>
          </w:tcPr>
          <w:p w14:paraId="01A828B0" w14:textId="77777777" w:rsidR="0074457B" w:rsidRPr="004A0C12" w:rsidRDefault="0074457B" w:rsidP="0074457B">
            <w:pPr>
              <w:rPr>
                <w:rFonts w:ascii="Garamond" w:hAnsi="Garamond"/>
                <w:sz w:val="22"/>
                <w:szCs w:val="22"/>
              </w:rPr>
            </w:pPr>
            <w:r w:rsidRPr="004A0C12">
              <w:rPr>
                <w:rFonts w:ascii="Garamond" w:hAnsi="Garamond"/>
                <w:sz w:val="22"/>
                <w:szCs w:val="22"/>
              </w:rPr>
              <w:t>70%</w:t>
            </w:r>
          </w:p>
        </w:tc>
        <w:tc>
          <w:tcPr>
            <w:tcW w:w="2960" w:type="dxa"/>
          </w:tcPr>
          <w:p w14:paraId="2B2D9485"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74.1%</w:t>
            </w:r>
          </w:p>
        </w:tc>
      </w:tr>
    </w:tbl>
    <w:p w14:paraId="5C1958CE" w14:textId="77777777" w:rsidR="008D1C56" w:rsidRPr="004A0C12" w:rsidRDefault="008D1C56" w:rsidP="00440FE5">
      <w:pPr>
        <w:rPr>
          <w:rFonts w:ascii="Garamond" w:hAnsi="Garamond"/>
        </w:rPr>
      </w:pPr>
    </w:p>
    <w:p w14:paraId="76B559D3" w14:textId="77777777" w:rsidR="0054168E" w:rsidRPr="004A0C12" w:rsidRDefault="0054168E" w:rsidP="00440FE5">
      <w:pPr>
        <w:rPr>
          <w:rFonts w:ascii="Garamond" w:hAnsi="Garamond"/>
        </w:rPr>
      </w:pPr>
    </w:p>
    <w:p w14:paraId="2643EB3D" w14:textId="77777777" w:rsidR="0054168E" w:rsidRPr="004A0C12" w:rsidRDefault="0054168E" w:rsidP="00440FE5">
      <w:pPr>
        <w:rPr>
          <w:rFonts w:ascii="Garamond" w:hAnsi="Garamond"/>
        </w:rPr>
      </w:pPr>
    </w:p>
    <w:p w14:paraId="16A4591B" w14:textId="77777777" w:rsidR="0054168E" w:rsidRPr="004A0C12" w:rsidRDefault="0054168E" w:rsidP="00440FE5">
      <w:pPr>
        <w:rPr>
          <w:rFonts w:ascii="Garamond" w:hAnsi="Garamond"/>
        </w:rPr>
      </w:pPr>
    </w:p>
    <w:p w14:paraId="39FB2166" w14:textId="77777777" w:rsidR="0054168E" w:rsidRPr="004A0C12" w:rsidRDefault="0054168E" w:rsidP="00440FE5">
      <w:pPr>
        <w:rPr>
          <w:rFonts w:ascii="Garamond" w:hAnsi="Garamond"/>
        </w:rPr>
      </w:pPr>
    </w:p>
    <w:p w14:paraId="723D0F8E" w14:textId="77777777" w:rsidR="0054168E" w:rsidRPr="004A0C12" w:rsidRDefault="0054168E" w:rsidP="00440FE5">
      <w:pPr>
        <w:rPr>
          <w:rFonts w:ascii="Garamond" w:hAnsi="Garamond"/>
        </w:rPr>
      </w:pPr>
    </w:p>
    <w:p w14:paraId="2B8AC20F" w14:textId="77777777" w:rsidR="0054168E" w:rsidRPr="004A0C12" w:rsidRDefault="0054168E" w:rsidP="00440FE5">
      <w:pPr>
        <w:rPr>
          <w:rFonts w:ascii="Garamond" w:hAnsi="Garamond"/>
        </w:rPr>
      </w:pPr>
    </w:p>
    <w:p w14:paraId="32267E2A" w14:textId="77777777" w:rsidR="0074457B" w:rsidRPr="004A0C12" w:rsidRDefault="0074457B" w:rsidP="0074457B">
      <w:pPr>
        <w:pStyle w:val="Heading4"/>
        <w:spacing w:before="0" w:line="240" w:lineRule="auto"/>
        <w:rPr>
          <w:rFonts w:ascii="Garamond" w:hAnsi="Garamond"/>
        </w:rPr>
      </w:pPr>
      <w:r w:rsidRPr="004A0C12">
        <w:rPr>
          <w:rFonts w:ascii="Garamond" w:hAnsi="Garamond"/>
        </w:rPr>
        <w:lastRenderedPageBreak/>
        <w:t xml:space="preserve">WIOA Title II Adult Education </w:t>
      </w:r>
    </w:p>
    <w:tbl>
      <w:tblPr>
        <w:tblStyle w:val="PlainTable11"/>
        <w:tblW w:w="0" w:type="auto"/>
        <w:tblLayout w:type="fixed"/>
        <w:tblLook w:val="0000" w:firstRow="0" w:lastRow="0" w:firstColumn="0" w:lastColumn="0" w:noHBand="0" w:noVBand="0"/>
        <w:tblCaption w:val="Adult Education Performance Outcomes for July 1-2013-June 30,2014"/>
        <w:tblDescription w:val="This chart provides the State's Adult Education Performance Outcomes for July 1-2013-June 30,2014"/>
      </w:tblPr>
      <w:tblGrid>
        <w:gridCol w:w="1795"/>
        <w:gridCol w:w="445"/>
        <w:gridCol w:w="851"/>
        <w:gridCol w:w="537"/>
        <w:gridCol w:w="780"/>
        <w:gridCol w:w="1132"/>
        <w:gridCol w:w="60"/>
        <w:gridCol w:w="995"/>
        <w:gridCol w:w="728"/>
        <w:gridCol w:w="855"/>
        <w:gridCol w:w="437"/>
        <w:gridCol w:w="1146"/>
        <w:gridCol w:w="120"/>
        <w:gridCol w:w="1115"/>
      </w:tblGrid>
      <w:tr w:rsidR="0074457B" w:rsidRPr="004A0C12" w14:paraId="54AC7436" w14:textId="77777777" w:rsidTr="008B1D9A">
        <w:trPr>
          <w:trHeight w:val="660"/>
          <w:tblHeader/>
        </w:trPr>
        <w:tc>
          <w:tcPr>
            <w:cnfStyle w:val="000010000000" w:firstRow="0" w:lastRow="0" w:firstColumn="0" w:lastColumn="0" w:oddVBand="1" w:evenVBand="0" w:oddHBand="0" w:evenHBand="0" w:firstRowFirstColumn="0" w:firstRowLastColumn="0" w:lastRowFirstColumn="0" w:lastRowLastColumn="0"/>
            <w:tcW w:w="10996" w:type="dxa"/>
            <w:gridSpan w:val="14"/>
          </w:tcPr>
          <w:p w14:paraId="09C2EE79" w14:textId="77777777" w:rsidR="0074457B" w:rsidRPr="004A0C12" w:rsidRDefault="0074457B" w:rsidP="0074457B">
            <w:pPr>
              <w:jc w:val="center"/>
              <w:rPr>
                <w:rFonts w:ascii="Garamond" w:hAnsi="Garamond"/>
                <w:sz w:val="22"/>
                <w:szCs w:val="22"/>
              </w:rPr>
            </w:pPr>
            <w:r w:rsidRPr="004A0C12">
              <w:rPr>
                <w:rFonts w:ascii="Garamond" w:hAnsi="Garamond"/>
                <w:sz w:val="22"/>
                <w:szCs w:val="22"/>
              </w:rPr>
              <w:t>Adult Education</w:t>
            </w:r>
          </w:p>
          <w:p w14:paraId="164349F0" w14:textId="77777777" w:rsidR="0074457B" w:rsidRPr="004A0C12" w:rsidRDefault="0074457B" w:rsidP="0074457B">
            <w:pPr>
              <w:jc w:val="center"/>
              <w:rPr>
                <w:rFonts w:ascii="Garamond" w:hAnsi="Garamond"/>
                <w:sz w:val="22"/>
                <w:szCs w:val="22"/>
              </w:rPr>
            </w:pPr>
            <w:r w:rsidRPr="004A0C12">
              <w:rPr>
                <w:rFonts w:ascii="Garamond" w:hAnsi="Garamond"/>
                <w:sz w:val="22"/>
                <w:szCs w:val="22"/>
              </w:rPr>
              <w:t>Core Follow-Up Outcome Achievement</w:t>
            </w:r>
          </w:p>
          <w:p w14:paraId="2E783595" w14:textId="77777777" w:rsidR="0074457B" w:rsidRPr="004A0C12" w:rsidRDefault="0074457B" w:rsidP="0074457B">
            <w:pPr>
              <w:jc w:val="center"/>
              <w:rPr>
                <w:rFonts w:ascii="Garamond" w:hAnsi="Garamond"/>
                <w:sz w:val="22"/>
                <w:szCs w:val="22"/>
              </w:rPr>
            </w:pPr>
            <w:r w:rsidRPr="004A0C12">
              <w:rPr>
                <w:rFonts w:ascii="Garamond" w:hAnsi="Garamond"/>
                <w:sz w:val="22"/>
                <w:szCs w:val="22"/>
              </w:rPr>
              <w:t>July 1, 2013 – June 30, 2014</w:t>
            </w:r>
          </w:p>
        </w:tc>
      </w:tr>
      <w:tr w:rsidR="0074457B" w:rsidRPr="004A0C12" w14:paraId="3A22F2C3" w14:textId="77777777" w:rsidTr="00900002">
        <w:trPr>
          <w:cnfStyle w:val="000000100000" w:firstRow="0" w:lastRow="0" w:firstColumn="0" w:lastColumn="0" w:oddVBand="0" w:evenVBand="0" w:oddHBand="1" w:evenHBand="0" w:firstRowFirstColumn="0" w:firstRowLastColumn="0" w:lastRowFirstColumn="0" w:lastRowLastColumn="0"/>
          <w:trHeight w:val="880"/>
        </w:trPr>
        <w:tc>
          <w:tcPr>
            <w:cnfStyle w:val="000010000000" w:firstRow="0" w:lastRow="0" w:firstColumn="0" w:lastColumn="0" w:oddVBand="1" w:evenVBand="0" w:oddHBand="0" w:evenHBand="0" w:firstRowFirstColumn="0" w:firstRowLastColumn="0" w:lastRowFirstColumn="0" w:lastRowLastColumn="0"/>
            <w:tcW w:w="2240" w:type="dxa"/>
            <w:gridSpan w:val="2"/>
          </w:tcPr>
          <w:p w14:paraId="76F328B6" w14:textId="77777777" w:rsidR="0074457B" w:rsidRPr="004A0C12" w:rsidRDefault="0074457B" w:rsidP="0074457B">
            <w:pPr>
              <w:jc w:val="center"/>
              <w:rPr>
                <w:rFonts w:ascii="Garamond" w:hAnsi="Garamond"/>
                <w:sz w:val="22"/>
                <w:szCs w:val="22"/>
              </w:rPr>
            </w:pPr>
          </w:p>
        </w:tc>
        <w:tc>
          <w:tcPr>
            <w:tcW w:w="1388" w:type="dxa"/>
            <w:gridSpan w:val="2"/>
          </w:tcPr>
          <w:p w14:paraId="696DB9F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Participants in Cohort</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318314B7" w14:textId="77777777" w:rsidR="0074457B" w:rsidRPr="004A0C12" w:rsidRDefault="0074457B" w:rsidP="0074457B">
            <w:pPr>
              <w:jc w:val="center"/>
              <w:rPr>
                <w:rFonts w:ascii="Garamond" w:hAnsi="Garamond"/>
                <w:sz w:val="22"/>
                <w:szCs w:val="22"/>
              </w:rPr>
            </w:pPr>
            <w:r w:rsidRPr="004A0C12">
              <w:rPr>
                <w:rFonts w:ascii="Garamond" w:hAnsi="Garamond"/>
                <w:sz w:val="22"/>
                <w:szCs w:val="22"/>
              </w:rPr>
              <w:t>Participants Responding to Survey or Available for Data Matching</w:t>
            </w:r>
          </w:p>
        </w:tc>
        <w:tc>
          <w:tcPr>
            <w:tcW w:w="1055" w:type="dxa"/>
            <w:gridSpan w:val="2"/>
          </w:tcPr>
          <w:p w14:paraId="0CBE72D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Response Rate or % Available for Match</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014985F2"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of Participants Achieving Outcomes (Unweighted)</w:t>
            </w:r>
          </w:p>
        </w:tc>
        <w:tc>
          <w:tcPr>
            <w:tcW w:w="1583" w:type="dxa"/>
            <w:gridSpan w:val="2"/>
          </w:tcPr>
          <w:p w14:paraId="7CA4397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Participants Achieving Outcome (Weighted)</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433DEFBD"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Achieving Outcome (Weighted)</w:t>
            </w:r>
          </w:p>
        </w:tc>
      </w:tr>
      <w:tr w:rsidR="0074457B" w:rsidRPr="004A0C12" w14:paraId="2B73BA2A"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240" w:type="dxa"/>
            <w:gridSpan w:val="2"/>
          </w:tcPr>
          <w:p w14:paraId="69C7F928" w14:textId="77777777" w:rsidR="0074457B" w:rsidRPr="004A0C12" w:rsidRDefault="0074457B" w:rsidP="0074457B">
            <w:pPr>
              <w:rPr>
                <w:rFonts w:ascii="Garamond" w:hAnsi="Garamond"/>
                <w:sz w:val="22"/>
                <w:szCs w:val="22"/>
              </w:rPr>
            </w:pPr>
            <w:r w:rsidRPr="004A0C12">
              <w:rPr>
                <w:rFonts w:ascii="Garamond" w:hAnsi="Garamond"/>
                <w:sz w:val="22"/>
                <w:szCs w:val="22"/>
              </w:rPr>
              <w:t xml:space="preserve">Entered Employment </w:t>
            </w:r>
          </w:p>
        </w:tc>
        <w:tc>
          <w:tcPr>
            <w:tcW w:w="1388" w:type="dxa"/>
            <w:gridSpan w:val="2"/>
          </w:tcPr>
          <w:p w14:paraId="37AE56F6"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8,431</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364AF6A1" w14:textId="77777777" w:rsidR="0074457B" w:rsidRPr="004A0C12" w:rsidRDefault="0074457B" w:rsidP="0074457B">
            <w:pPr>
              <w:rPr>
                <w:rFonts w:ascii="Garamond" w:hAnsi="Garamond"/>
                <w:sz w:val="22"/>
                <w:szCs w:val="22"/>
              </w:rPr>
            </w:pPr>
            <w:r w:rsidRPr="004A0C12">
              <w:rPr>
                <w:rFonts w:ascii="Garamond" w:hAnsi="Garamond"/>
                <w:sz w:val="22"/>
                <w:szCs w:val="22"/>
              </w:rPr>
              <w:t>6,512</w:t>
            </w:r>
          </w:p>
        </w:tc>
        <w:tc>
          <w:tcPr>
            <w:tcW w:w="1055" w:type="dxa"/>
            <w:gridSpan w:val="2"/>
          </w:tcPr>
          <w:p w14:paraId="74E46177"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77%</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787C1068" w14:textId="77777777" w:rsidR="0074457B" w:rsidRPr="004A0C12" w:rsidRDefault="0074457B" w:rsidP="0074457B">
            <w:pPr>
              <w:rPr>
                <w:rFonts w:ascii="Garamond" w:hAnsi="Garamond"/>
                <w:sz w:val="22"/>
                <w:szCs w:val="22"/>
              </w:rPr>
            </w:pPr>
            <w:r w:rsidRPr="004A0C12">
              <w:rPr>
                <w:rFonts w:ascii="Garamond" w:hAnsi="Garamond"/>
                <w:sz w:val="22"/>
                <w:szCs w:val="22"/>
              </w:rPr>
              <w:t>1,982</w:t>
            </w:r>
          </w:p>
        </w:tc>
        <w:tc>
          <w:tcPr>
            <w:tcW w:w="1583" w:type="dxa"/>
            <w:gridSpan w:val="2"/>
          </w:tcPr>
          <w:p w14:paraId="4A8E617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2,566</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533ECE0D" w14:textId="77777777" w:rsidR="0074457B" w:rsidRPr="004A0C12" w:rsidRDefault="0074457B" w:rsidP="0074457B">
            <w:pPr>
              <w:rPr>
                <w:rFonts w:ascii="Garamond" w:hAnsi="Garamond"/>
                <w:sz w:val="22"/>
                <w:szCs w:val="22"/>
              </w:rPr>
            </w:pPr>
            <w:r w:rsidRPr="004A0C12">
              <w:rPr>
                <w:rFonts w:ascii="Garamond" w:hAnsi="Garamond"/>
                <w:sz w:val="22"/>
                <w:szCs w:val="22"/>
              </w:rPr>
              <w:t>30%</w:t>
            </w:r>
          </w:p>
        </w:tc>
      </w:tr>
      <w:tr w:rsidR="0074457B" w:rsidRPr="004A0C12" w14:paraId="414C434E"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240" w:type="dxa"/>
            <w:gridSpan w:val="2"/>
          </w:tcPr>
          <w:p w14:paraId="11B9B740" w14:textId="77777777" w:rsidR="0074457B" w:rsidRPr="004A0C12" w:rsidRDefault="0074457B" w:rsidP="0074457B">
            <w:pPr>
              <w:rPr>
                <w:rFonts w:ascii="Garamond" w:hAnsi="Garamond"/>
                <w:sz w:val="22"/>
                <w:szCs w:val="22"/>
              </w:rPr>
            </w:pPr>
            <w:r w:rsidRPr="004A0C12">
              <w:rPr>
                <w:rFonts w:ascii="Garamond" w:hAnsi="Garamond"/>
                <w:sz w:val="22"/>
                <w:szCs w:val="22"/>
              </w:rPr>
              <w:t xml:space="preserve">Retained Employment </w:t>
            </w:r>
          </w:p>
        </w:tc>
        <w:tc>
          <w:tcPr>
            <w:tcW w:w="1388" w:type="dxa"/>
            <w:gridSpan w:val="2"/>
          </w:tcPr>
          <w:p w14:paraId="1CB7CB7F"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9,906</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52069849" w14:textId="77777777" w:rsidR="0074457B" w:rsidRPr="004A0C12" w:rsidRDefault="0074457B" w:rsidP="0074457B">
            <w:pPr>
              <w:rPr>
                <w:rFonts w:ascii="Garamond" w:hAnsi="Garamond"/>
                <w:sz w:val="22"/>
                <w:szCs w:val="22"/>
              </w:rPr>
            </w:pPr>
            <w:r w:rsidRPr="004A0C12">
              <w:rPr>
                <w:rFonts w:ascii="Garamond" w:hAnsi="Garamond"/>
                <w:sz w:val="22"/>
                <w:szCs w:val="22"/>
              </w:rPr>
              <w:t>6,176</w:t>
            </w:r>
          </w:p>
        </w:tc>
        <w:tc>
          <w:tcPr>
            <w:tcW w:w="1055" w:type="dxa"/>
            <w:gridSpan w:val="2"/>
          </w:tcPr>
          <w:p w14:paraId="620CF77E"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62%</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267F87D9" w14:textId="77777777" w:rsidR="0074457B" w:rsidRPr="004A0C12" w:rsidRDefault="0074457B" w:rsidP="0074457B">
            <w:pPr>
              <w:rPr>
                <w:rFonts w:ascii="Garamond" w:hAnsi="Garamond"/>
                <w:sz w:val="22"/>
                <w:szCs w:val="22"/>
              </w:rPr>
            </w:pPr>
            <w:r w:rsidRPr="004A0C12">
              <w:rPr>
                <w:rFonts w:ascii="Garamond" w:hAnsi="Garamond"/>
                <w:sz w:val="22"/>
                <w:szCs w:val="22"/>
              </w:rPr>
              <w:t>3,903</w:t>
            </w:r>
          </w:p>
        </w:tc>
        <w:tc>
          <w:tcPr>
            <w:tcW w:w="1583" w:type="dxa"/>
            <w:gridSpan w:val="2"/>
          </w:tcPr>
          <w:p w14:paraId="058B58F7"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6,260</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4DE0B9FF" w14:textId="77777777" w:rsidR="0074457B" w:rsidRPr="004A0C12" w:rsidRDefault="0074457B" w:rsidP="0074457B">
            <w:pPr>
              <w:rPr>
                <w:rFonts w:ascii="Garamond" w:hAnsi="Garamond"/>
                <w:sz w:val="22"/>
                <w:szCs w:val="22"/>
              </w:rPr>
            </w:pPr>
            <w:r w:rsidRPr="004A0C12">
              <w:rPr>
                <w:rFonts w:ascii="Garamond" w:hAnsi="Garamond"/>
                <w:sz w:val="22"/>
                <w:szCs w:val="22"/>
              </w:rPr>
              <w:t>63%</w:t>
            </w:r>
          </w:p>
        </w:tc>
      </w:tr>
      <w:tr w:rsidR="0074457B" w:rsidRPr="004A0C12" w14:paraId="04855E05" w14:textId="77777777" w:rsidTr="00900002">
        <w:trPr>
          <w:trHeight w:val="660"/>
        </w:trPr>
        <w:tc>
          <w:tcPr>
            <w:cnfStyle w:val="000010000000" w:firstRow="0" w:lastRow="0" w:firstColumn="0" w:lastColumn="0" w:oddVBand="1" w:evenVBand="0" w:oddHBand="0" w:evenHBand="0" w:firstRowFirstColumn="0" w:firstRowLastColumn="0" w:lastRowFirstColumn="0" w:lastRowLastColumn="0"/>
            <w:tcW w:w="2240" w:type="dxa"/>
            <w:gridSpan w:val="2"/>
          </w:tcPr>
          <w:p w14:paraId="25BECEBF" w14:textId="77777777" w:rsidR="0074457B" w:rsidRPr="004A0C12" w:rsidRDefault="0074457B" w:rsidP="0074457B">
            <w:pPr>
              <w:rPr>
                <w:rFonts w:ascii="Garamond" w:hAnsi="Garamond"/>
                <w:sz w:val="22"/>
                <w:szCs w:val="22"/>
              </w:rPr>
            </w:pPr>
            <w:r w:rsidRPr="004A0C12">
              <w:rPr>
                <w:rFonts w:ascii="Garamond" w:hAnsi="Garamond"/>
                <w:sz w:val="22"/>
                <w:szCs w:val="22"/>
              </w:rPr>
              <w:t>Obtained a Secondary School Credential or its Equivalent</w:t>
            </w:r>
          </w:p>
        </w:tc>
        <w:tc>
          <w:tcPr>
            <w:tcW w:w="1388" w:type="dxa"/>
            <w:gridSpan w:val="2"/>
          </w:tcPr>
          <w:p w14:paraId="240E2CD6"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3,205</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4EDAD11A" w14:textId="77777777" w:rsidR="0074457B" w:rsidRPr="004A0C12" w:rsidRDefault="0074457B" w:rsidP="0074457B">
            <w:pPr>
              <w:rPr>
                <w:rFonts w:ascii="Garamond" w:hAnsi="Garamond"/>
                <w:sz w:val="22"/>
                <w:szCs w:val="22"/>
              </w:rPr>
            </w:pPr>
            <w:r w:rsidRPr="004A0C12">
              <w:rPr>
                <w:rFonts w:ascii="Garamond" w:hAnsi="Garamond"/>
                <w:sz w:val="22"/>
                <w:szCs w:val="22"/>
              </w:rPr>
              <w:t>3,187</w:t>
            </w:r>
          </w:p>
        </w:tc>
        <w:tc>
          <w:tcPr>
            <w:tcW w:w="1055" w:type="dxa"/>
            <w:gridSpan w:val="2"/>
          </w:tcPr>
          <w:p w14:paraId="3B94B799"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99%</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53544AAA" w14:textId="77777777" w:rsidR="0074457B" w:rsidRPr="004A0C12" w:rsidRDefault="0074457B" w:rsidP="0074457B">
            <w:pPr>
              <w:rPr>
                <w:rFonts w:ascii="Garamond" w:hAnsi="Garamond"/>
                <w:sz w:val="22"/>
                <w:szCs w:val="22"/>
              </w:rPr>
            </w:pPr>
            <w:r w:rsidRPr="004A0C12">
              <w:rPr>
                <w:rFonts w:ascii="Garamond" w:hAnsi="Garamond"/>
                <w:sz w:val="22"/>
                <w:szCs w:val="22"/>
              </w:rPr>
              <w:t>1,828</w:t>
            </w:r>
          </w:p>
        </w:tc>
        <w:tc>
          <w:tcPr>
            <w:tcW w:w="1583" w:type="dxa"/>
            <w:gridSpan w:val="2"/>
          </w:tcPr>
          <w:p w14:paraId="63C12CAE"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1,838</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04DBEFA6" w14:textId="77777777" w:rsidR="0074457B" w:rsidRPr="004A0C12" w:rsidRDefault="0074457B" w:rsidP="0074457B">
            <w:pPr>
              <w:rPr>
                <w:rFonts w:ascii="Garamond" w:hAnsi="Garamond"/>
                <w:sz w:val="22"/>
                <w:szCs w:val="22"/>
              </w:rPr>
            </w:pPr>
            <w:r w:rsidRPr="004A0C12">
              <w:rPr>
                <w:rFonts w:ascii="Garamond" w:hAnsi="Garamond"/>
                <w:sz w:val="22"/>
                <w:szCs w:val="22"/>
              </w:rPr>
              <w:t>57%</w:t>
            </w:r>
          </w:p>
        </w:tc>
      </w:tr>
      <w:tr w:rsidR="0074457B" w:rsidRPr="004A0C12" w14:paraId="14028BC1" w14:textId="77777777" w:rsidTr="00900002">
        <w:trPr>
          <w:cnfStyle w:val="000000100000" w:firstRow="0" w:lastRow="0" w:firstColumn="0" w:lastColumn="0" w:oddVBand="0" w:evenVBand="0" w:oddHBand="1" w:evenHBand="0" w:firstRowFirstColumn="0" w:firstRowLastColumn="0" w:lastRowFirstColumn="0" w:lastRowLastColumn="0"/>
          <w:trHeight w:val="660"/>
        </w:trPr>
        <w:tc>
          <w:tcPr>
            <w:cnfStyle w:val="000010000000" w:firstRow="0" w:lastRow="0" w:firstColumn="0" w:lastColumn="0" w:oddVBand="1" w:evenVBand="0" w:oddHBand="0" w:evenHBand="0" w:firstRowFirstColumn="0" w:firstRowLastColumn="0" w:lastRowFirstColumn="0" w:lastRowLastColumn="0"/>
            <w:tcW w:w="2240" w:type="dxa"/>
            <w:gridSpan w:val="2"/>
          </w:tcPr>
          <w:p w14:paraId="0B748776" w14:textId="3A79E823" w:rsidR="0074457B" w:rsidRPr="004A0C12" w:rsidRDefault="0074457B" w:rsidP="0074457B">
            <w:pPr>
              <w:rPr>
                <w:rFonts w:ascii="Garamond" w:hAnsi="Garamond"/>
                <w:sz w:val="22"/>
                <w:szCs w:val="22"/>
              </w:rPr>
            </w:pPr>
            <w:r w:rsidRPr="004A0C12">
              <w:rPr>
                <w:rFonts w:ascii="Garamond" w:hAnsi="Garamond"/>
                <w:sz w:val="22"/>
                <w:szCs w:val="22"/>
              </w:rPr>
              <w:t>Entered Post</w:t>
            </w:r>
            <w:r w:rsidR="00900002" w:rsidRPr="004A0C12">
              <w:rPr>
                <w:rFonts w:ascii="Garamond" w:hAnsi="Garamond"/>
                <w:sz w:val="22"/>
                <w:szCs w:val="22"/>
              </w:rPr>
              <w:t>-</w:t>
            </w:r>
            <w:r w:rsidRPr="004A0C12">
              <w:rPr>
                <w:rFonts w:ascii="Garamond" w:hAnsi="Garamond"/>
                <w:sz w:val="22"/>
                <w:szCs w:val="22"/>
              </w:rPr>
              <w:t>secondary Education or Training – current program year</w:t>
            </w:r>
          </w:p>
        </w:tc>
        <w:tc>
          <w:tcPr>
            <w:tcW w:w="1388" w:type="dxa"/>
            <w:gridSpan w:val="2"/>
          </w:tcPr>
          <w:p w14:paraId="107D82B3"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4,342</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3A0BD5C9" w14:textId="77777777" w:rsidR="0074457B" w:rsidRPr="004A0C12" w:rsidRDefault="0074457B" w:rsidP="0074457B">
            <w:pPr>
              <w:rPr>
                <w:rFonts w:ascii="Garamond" w:hAnsi="Garamond"/>
                <w:sz w:val="22"/>
                <w:szCs w:val="22"/>
              </w:rPr>
            </w:pPr>
            <w:r w:rsidRPr="004A0C12">
              <w:rPr>
                <w:rFonts w:ascii="Garamond" w:hAnsi="Garamond"/>
                <w:sz w:val="22"/>
                <w:szCs w:val="22"/>
              </w:rPr>
              <w:t>4,342</w:t>
            </w:r>
          </w:p>
        </w:tc>
        <w:tc>
          <w:tcPr>
            <w:tcW w:w="1055" w:type="dxa"/>
            <w:gridSpan w:val="2"/>
          </w:tcPr>
          <w:p w14:paraId="731541CE"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118A681C" w14:textId="77777777" w:rsidR="0074457B" w:rsidRPr="004A0C12" w:rsidRDefault="0074457B" w:rsidP="0074457B">
            <w:pPr>
              <w:rPr>
                <w:rFonts w:ascii="Garamond" w:hAnsi="Garamond"/>
                <w:sz w:val="22"/>
                <w:szCs w:val="22"/>
              </w:rPr>
            </w:pPr>
            <w:r w:rsidRPr="004A0C12">
              <w:rPr>
                <w:rFonts w:ascii="Garamond" w:hAnsi="Garamond"/>
                <w:sz w:val="22"/>
                <w:szCs w:val="22"/>
              </w:rPr>
              <w:t>304</w:t>
            </w:r>
          </w:p>
        </w:tc>
        <w:tc>
          <w:tcPr>
            <w:tcW w:w="1583" w:type="dxa"/>
            <w:gridSpan w:val="2"/>
          </w:tcPr>
          <w:p w14:paraId="05C8BFC9"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304</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01722BAF" w14:textId="77777777" w:rsidR="0074457B" w:rsidRPr="004A0C12" w:rsidRDefault="0074457B" w:rsidP="0074457B">
            <w:pPr>
              <w:rPr>
                <w:rFonts w:ascii="Garamond" w:hAnsi="Garamond"/>
                <w:sz w:val="22"/>
                <w:szCs w:val="22"/>
              </w:rPr>
            </w:pPr>
            <w:r w:rsidRPr="004A0C12">
              <w:rPr>
                <w:rFonts w:ascii="Garamond" w:hAnsi="Garamond"/>
                <w:sz w:val="22"/>
                <w:szCs w:val="22"/>
              </w:rPr>
              <w:t>7%</w:t>
            </w:r>
          </w:p>
        </w:tc>
      </w:tr>
      <w:tr w:rsidR="0074457B" w:rsidRPr="004A0C12" w14:paraId="7D059291" w14:textId="77777777" w:rsidTr="00900002">
        <w:trPr>
          <w:trHeight w:val="660"/>
        </w:trPr>
        <w:tc>
          <w:tcPr>
            <w:cnfStyle w:val="000010000000" w:firstRow="0" w:lastRow="0" w:firstColumn="0" w:lastColumn="0" w:oddVBand="1" w:evenVBand="0" w:oddHBand="0" w:evenHBand="0" w:firstRowFirstColumn="0" w:firstRowLastColumn="0" w:lastRowFirstColumn="0" w:lastRowLastColumn="0"/>
            <w:tcW w:w="2240" w:type="dxa"/>
            <w:gridSpan w:val="2"/>
          </w:tcPr>
          <w:p w14:paraId="40B820EA" w14:textId="71CB5024" w:rsidR="0074457B" w:rsidRPr="004A0C12" w:rsidRDefault="0074457B" w:rsidP="0074457B">
            <w:pPr>
              <w:rPr>
                <w:rFonts w:ascii="Garamond" w:hAnsi="Garamond"/>
                <w:sz w:val="22"/>
                <w:szCs w:val="22"/>
              </w:rPr>
            </w:pPr>
            <w:r w:rsidRPr="004A0C12">
              <w:rPr>
                <w:rFonts w:ascii="Garamond" w:hAnsi="Garamond"/>
                <w:sz w:val="22"/>
                <w:szCs w:val="22"/>
              </w:rPr>
              <w:t>Entered Post</w:t>
            </w:r>
            <w:r w:rsidR="00900002" w:rsidRPr="004A0C12">
              <w:rPr>
                <w:rFonts w:ascii="Garamond" w:hAnsi="Garamond"/>
                <w:sz w:val="22"/>
                <w:szCs w:val="22"/>
              </w:rPr>
              <w:t>-</w:t>
            </w:r>
            <w:r w:rsidRPr="004A0C12">
              <w:rPr>
                <w:rFonts w:ascii="Garamond" w:hAnsi="Garamond"/>
                <w:sz w:val="22"/>
                <w:szCs w:val="22"/>
              </w:rPr>
              <w:t>secondar</w:t>
            </w:r>
            <w:r w:rsidR="00900002" w:rsidRPr="004A0C12">
              <w:rPr>
                <w:rFonts w:ascii="Garamond" w:hAnsi="Garamond"/>
                <w:sz w:val="22"/>
                <w:szCs w:val="22"/>
              </w:rPr>
              <w:t>y Education or Training – prior</w:t>
            </w:r>
            <w:r w:rsidRPr="004A0C12">
              <w:rPr>
                <w:rFonts w:ascii="Garamond" w:hAnsi="Garamond"/>
                <w:sz w:val="22"/>
                <w:szCs w:val="22"/>
              </w:rPr>
              <w:t xml:space="preserve"> program year</w:t>
            </w:r>
          </w:p>
        </w:tc>
        <w:tc>
          <w:tcPr>
            <w:tcW w:w="1388" w:type="dxa"/>
            <w:gridSpan w:val="2"/>
          </w:tcPr>
          <w:p w14:paraId="72D3800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3,211</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36E31B3B" w14:textId="77777777" w:rsidR="0074457B" w:rsidRPr="004A0C12" w:rsidRDefault="0074457B" w:rsidP="0074457B">
            <w:pPr>
              <w:rPr>
                <w:rFonts w:ascii="Garamond" w:hAnsi="Garamond"/>
                <w:sz w:val="22"/>
                <w:szCs w:val="22"/>
              </w:rPr>
            </w:pPr>
            <w:r w:rsidRPr="004A0C12">
              <w:rPr>
                <w:rFonts w:ascii="Garamond" w:hAnsi="Garamond"/>
                <w:sz w:val="22"/>
                <w:szCs w:val="22"/>
              </w:rPr>
              <w:t>3,211</w:t>
            </w:r>
          </w:p>
        </w:tc>
        <w:tc>
          <w:tcPr>
            <w:tcW w:w="1055" w:type="dxa"/>
            <w:gridSpan w:val="2"/>
          </w:tcPr>
          <w:p w14:paraId="419870F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1033697D" w14:textId="77777777" w:rsidR="0074457B" w:rsidRPr="004A0C12" w:rsidRDefault="0074457B" w:rsidP="0074457B">
            <w:pPr>
              <w:rPr>
                <w:rFonts w:ascii="Garamond" w:hAnsi="Garamond"/>
                <w:sz w:val="22"/>
                <w:szCs w:val="22"/>
              </w:rPr>
            </w:pPr>
            <w:r w:rsidRPr="004A0C12">
              <w:rPr>
                <w:rFonts w:ascii="Garamond" w:hAnsi="Garamond"/>
                <w:sz w:val="22"/>
                <w:szCs w:val="22"/>
              </w:rPr>
              <w:t>317</w:t>
            </w:r>
          </w:p>
        </w:tc>
        <w:tc>
          <w:tcPr>
            <w:tcW w:w="1583" w:type="dxa"/>
            <w:gridSpan w:val="2"/>
          </w:tcPr>
          <w:p w14:paraId="1F62902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317</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2340839B" w14:textId="77777777" w:rsidR="0074457B" w:rsidRPr="004A0C12" w:rsidRDefault="0074457B" w:rsidP="0074457B">
            <w:pPr>
              <w:rPr>
                <w:rFonts w:ascii="Garamond" w:hAnsi="Garamond"/>
                <w:sz w:val="22"/>
                <w:szCs w:val="22"/>
              </w:rPr>
            </w:pPr>
            <w:r w:rsidRPr="004A0C12">
              <w:rPr>
                <w:rFonts w:ascii="Garamond" w:hAnsi="Garamond"/>
                <w:sz w:val="22"/>
                <w:szCs w:val="22"/>
              </w:rPr>
              <w:t>10%</w:t>
            </w:r>
          </w:p>
        </w:tc>
      </w:tr>
      <w:tr w:rsidR="0074457B" w:rsidRPr="004A0C12" w14:paraId="600A3578" w14:textId="77777777" w:rsidTr="00900002">
        <w:trPr>
          <w:cnfStyle w:val="000000100000" w:firstRow="0" w:lastRow="0" w:firstColumn="0" w:lastColumn="0" w:oddVBand="0" w:evenVBand="0" w:oddHBand="1" w:evenHBand="0" w:firstRowFirstColumn="0" w:firstRowLastColumn="0" w:lastRowFirstColumn="0" w:lastRowLastColumn="0"/>
          <w:trHeight w:val="660"/>
        </w:trPr>
        <w:tc>
          <w:tcPr>
            <w:cnfStyle w:val="000010000000" w:firstRow="0" w:lastRow="0" w:firstColumn="0" w:lastColumn="0" w:oddVBand="1" w:evenVBand="0" w:oddHBand="0" w:evenHBand="0" w:firstRowFirstColumn="0" w:firstRowLastColumn="0" w:lastRowFirstColumn="0" w:lastRowLastColumn="0"/>
            <w:tcW w:w="10996" w:type="dxa"/>
            <w:gridSpan w:val="14"/>
          </w:tcPr>
          <w:p w14:paraId="3571A9A4" w14:textId="77777777" w:rsidR="00CB5D2C" w:rsidRPr="004A0C12" w:rsidRDefault="00CB5D2C" w:rsidP="0074457B">
            <w:pPr>
              <w:jc w:val="center"/>
              <w:rPr>
                <w:rFonts w:ascii="Garamond" w:hAnsi="Garamond"/>
                <w:sz w:val="22"/>
                <w:szCs w:val="22"/>
              </w:rPr>
            </w:pPr>
          </w:p>
          <w:p w14:paraId="318C6D4C" w14:textId="77777777" w:rsidR="00CB5D2C" w:rsidRPr="004A0C12" w:rsidRDefault="00CB5D2C" w:rsidP="00CB5D2C">
            <w:pPr>
              <w:rPr>
                <w:rFonts w:ascii="Garamond" w:hAnsi="Garamond"/>
                <w:sz w:val="22"/>
                <w:szCs w:val="22"/>
              </w:rPr>
            </w:pPr>
          </w:p>
          <w:p w14:paraId="7349CC7B" w14:textId="77777777" w:rsidR="00CB5D2C" w:rsidRPr="004A0C12" w:rsidRDefault="00CB5D2C" w:rsidP="00CB5D2C">
            <w:pPr>
              <w:rPr>
                <w:rFonts w:ascii="Garamond" w:hAnsi="Garamond"/>
                <w:sz w:val="22"/>
                <w:szCs w:val="22"/>
              </w:rPr>
            </w:pPr>
          </w:p>
          <w:p w14:paraId="59D4CCE5" w14:textId="77777777" w:rsidR="0074457B" w:rsidRPr="004A0C12" w:rsidRDefault="0074457B" w:rsidP="0074457B">
            <w:pPr>
              <w:jc w:val="center"/>
              <w:rPr>
                <w:rFonts w:ascii="Garamond" w:hAnsi="Garamond"/>
                <w:sz w:val="22"/>
                <w:szCs w:val="22"/>
              </w:rPr>
            </w:pPr>
            <w:r w:rsidRPr="004A0C12">
              <w:rPr>
                <w:rFonts w:ascii="Garamond" w:hAnsi="Garamond"/>
                <w:sz w:val="22"/>
                <w:szCs w:val="22"/>
              </w:rPr>
              <w:t>Adult Education</w:t>
            </w:r>
          </w:p>
          <w:p w14:paraId="53C54FB9" w14:textId="517CC40C" w:rsidR="0074457B" w:rsidRPr="004A0C12" w:rsidRDefault="0074457B" w:rsidP="0074457B">
            <w:pPr>
              <w:jc w:val="center"/>
              <w:rPr>
                <w:rFonts w:ascii="Garamond" w:hAnsi="Garamond"/>
                <w:sz w:val="22"/>
                <w:szCs w:val="22"/>
              </w:rPr>
            </w:pPr>
            <w:r w:rsidRPr="004A0C12">
              <w:rPr>
                <w:rFonts w:ascii="Garamond" w:hAnsi="Garamond"/>
                <w:sz w:val="22"/>
                <w:szCs w:val="22"/>
              </w:rPr>
              <w:t>Educational Gain</w:t>
            </w:r>
            <w:r w:rsidR="00900002" w:rsidRPr="004A0C12">
              <w:rPr>
                <w:rFonts w:ascii="Garamond" w:hAnsi="Garamond"/>
                <w:sz w:val="22"/>
                <w:szCs w:val="22"/>
              </w:rPr>
              <w:t>s &amp; Attendance for Pre- &amp; Post-T</w:t>
            </w:r>
            <w:r w:rsidRPr="004A0C12">
              <w:rPr>
                <w:rFonts w:ascii="Garamond" w:hAnsi="Garamond"/>
                <w:sz w:val="22"/>
                <w:szCs w:val="22"/>
              </w:rPr>
              <w:t>ested Participants</w:t>
            </w:r>
          </w:p>
          <w:p w14:paraId="5390409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xml:space="preserve">July 1, 2013 – June 30, 2014 </w:t>
            </w:r>
          </w:p>
        </w:tc>
      </w:tr>
      <w:tr w:rsidR="0074457B" w:rsidRPr="004A0C12" w14:paraId="7671DF1C" w14:textId="77777777" w:rsidTr="00900002">
        <w:trPr>
          <w:trHeight w:val="660"/>
        </w:trPr>
        <w:tc>
          <w:tcPr>
            <w:cnfStyle w:val="000010000000" w:firstRow="0" w:lastRow="0" w:firstColumn="0" w:lastColumn="0" w:oddVBand="1" w:evenVBand="0" w:oddHBand="0" w:evenHBand="0" w:firstRowFirstColumn="0" w:firstRowLastColumn="0" w:lastRowFirstColumn="0" w:lastRowLastColumn="0"/>
            <w:tcW w:w="1795" w:type="dxa"/>
          </w:tcPr>
          <w:p w14:paraId="02B2364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Entering EFL</w:t>
            </w:r>
          </w:p>
        </w:tc>
        <w:tc>
          <w:tcPr>
            <w:tcW w:w="1296" w:type="dxa"/>
            <w:gridSpan w:val="2"/>
          </w:tcPr>
          <w:p w14:paraId="09D91B09"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Total # Enrolled Pre- and Post-tested</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68EEE88F" w14:textId="77777777" w:rsidR="0074457B" w:rsidRPr="004A0C12" w:rsidRDefault="0074457B" w:rsidP="0074457B">
            <w:pPr>
              <w:jc w:val="center"/>
              <w:rPr>
                <w:rFonts w:ascii="Garamond" w:hAnsi="Garamond"/>
                <w:sz w:val="22"/>
                <w:szCs w:val="22"/>
              </w:rPr>
            </w:pPr>
            <w:r w:rsidRPr="004A0C12">
              <w:rPr>
                <w:rFonts w:ascii="Garamond" w:hAnsi="Garamond"/>
                <w:sz w:val="22"/>
                <w:szCs w:val="22"/>
              </w:rPr>
              <w:t>Total Attendance Hours</w:t>
            </w:r>
          </w:p>
        </w:tc>
        <w:tc>
          <w:tcPr>
            <w:tcW w:w="1192" w:type="dxa"/>
            <w:gridSpan w:val="2"/>
          </w:tcPr>
          <w:p w14:paraId="305CA0F0"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Completed Level</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6C96F06D" w14:textId="5D5951D6" w:rsidR="0074457B" w:rsidRPr="004A0C12" w:rsidRDefault="00900002" w:rsidP="0074457B">
            <w:pPr>
              <w:jc w:val="center"/>
              <w:rPr>
                <w:rFonts w:ascii="Garamond" w:hAnsi="Garamond"/>
                <w:sz w:val="22"/>
                <w:szCs w:val="22"/>
              </w:rPr>
            </w:pPr>
            <w:r w:rsidRPr="004A0C12">
              <w:rPr>
                <w:rFonts w:ascii="Garamond" w:hAnsi="Garamond"/>
                <w:sz w:val="22"/>
                <w:szCs w:val="22"/>
              </w:rPr>
              <w:t># W</w:t>
            </w:r>
            <w:r w:rsidR="0074457B" w:rsidRPr="004A0C12">
              <w:rPr>
                <w:rFonts w:ascii="Garamond" w:hAnsi="Garamond"/>
                <w:sz w:val="22"/>
                <w:szCs w:val="22"/>
              </w:rPr>
              <w:t>ho Completed a Level &amp; Advanced 1 or more Levels</w:t>
            </w:r>
          </w:p>
        </w:tc>
        <w:tc>
          <w:tcPr>
            <w:tcW w:w="1292" w:type="dxa"/>
            <w:gridSpan w:val="2"/>
          </w:tcPr>
          <w:p w14:paraId="75926C3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Separated Before Completing</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0D4FA766"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Remaining within Level</w:t>
            </w:r>
          </w:p>
        </w:tc>
        <w:tc>
          <w:tcPr>
            <w:tcW w:w="1115" w:type="dxa"/>
          </w:tcPr>
          <w:p w14:paraId="43D5A6E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Completing Level</w:t>
            </w:r>
          </w:p>
        </w:tc>
      </w:tr>
      <w:tr w:rsidR="0074457B" w:rsidRPr="004A0C12" w14:paraId="2DC66862"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09892F89" w14:textId="77777777" w:rsidR="0074457B" w:rsidRPr="004A0C12" w:rsidRDefault="0074457B" w:rsidP="0074457B">
            <w:pPr>
              <w:rPr>
                <w:rFonts w:ascii="Garamond" w:hAnsi="Garamond"/>
                <w:sz w:val="22"/>
                <w:szCs w:val="22"/>
              </w:rPr>
            </w:pPr>
            <w:r w:rsidRPr="004A0C12">
              <w:rPr>
                <w:rFonts w:ascii="Garamond" w:hAnsi="Garamond"/>
                <w:sz w:val="22"/>
                <w:szCs w:val="22"/>
              </w:rPr>
              <w:t>ABE Beginning Literacy</w:t>
            </w:r>
          </w:p>
        </w:tc>
        <w:tc>
          <w:tcPr>
            <w:tcW w:w="1296" w:type="dxa"/>
            <w:gridSpan w:val="2"/>
          </w:tcPr>
          <w:p w14:paraId="6EF13FB5"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445</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3825F1A6" w14:textId="77777777" w:rsidR="0074457B" w:rsidRPr="004A0C12" w:rsidRDefault="0074457B" w:rsidP="0074457B">
            <w:pPr>
              <w:rPr>
                <w:rFonts w:ascii="Garamond" w:hAnsi="Garamond"/>
                <w:sz w:val="22"/>
                <w:szCs w:val="22"/>
              </w:rPr>
            </w:pPr>
            <w:r w:rsidRPr="004A0C12">
              <w:rPr>
                <w:rFonts w:ascii="Garamond" w:hAnsi="Garamond"/>
                <w:sz w:val="22"/>
                <w:szCs w:val="22"/>
              </w:rPr>
              <w:t>50,898</w:t>
            </w:r>
          </w:p>
        </w:tc>
        <w:tc>
          <w:tcPr>
            <w:tcW w:w="1192" w:type="dxa"/>
            <w:gridSpan w:val="2"/>
          </w:tcPr>
          <w:p w14:paraId="22B4408D"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265</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781D337E" w14:textId="77777777" w:rsidR="0074457B" w:rsidRPr="004A0C12" w:rsidRDefault="0074457B" w:rsidP="0074457B">
            <w:pPr>
              <w:rPr>
                <w:rFonts w:ascii="Garamond" w:hAnsi="Garamond"/>
                <w:sz w:val="22"/>
                <w:szCs w:val="22"/>
              </w:rPr>
            </w:pPr>
            <w:r w:rsidRPr="004A0C12">
              <w:rPr>
                <w:rFonts w:ascii="Garamond" w:hAnsi="Garamond"/>
                <w:sz w:val="22"/>
                <w:szCs w:val="22"/>
              </w:rPr>
              <w:t>246</w:t>
            </w:r>
          </w:p>
        </w:tc>
        <w:tc>
          <w:tcPr>
            <w:tcW w:w="1292" w:type="dxa"/>
            <w:gridSpan w:val="2"/>
          </w:tcPr>
          <w:p w14:paraId="134D538D"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170</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188AF58F" w14:textId="77777777" w:rsidR="0074457B" w:rsidRPr="004A0C12" w:rsidRDefault="0074457B" w:rsidP="0074457B">
            <w:pPr>
              <w:rPr>
                <w:rFonts w:ascii="Garamond" w:hAnsi="Garamond"/>
                <w:sz w:val="22"/>
                <w:szCs w:val="22"/>
              </w:rPr>
            </w:pPr>
            <w:r w:rsidRPr="004A0C12">
              <w:rPr>
                <w:rFonts w:ascii="Garamond" w:hAnsi="Garamond"/>
                <w:sz w:val="22"/>
                <w:szCs w:val="22"/>
              </w:rPr>
              <w:t>10</w:t>
            </w:r>
          </w:p>
        </w:tc>
        <w:tc>
          <w:tcPr>
            <w:tcW w:w="1115" w:type="dxa"/>
          </w:tcPr>
          <w:p w14:paraId="25FB1E4E"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60%</w:t>
            </w:r>
          </w:p>
        </w:tc>
      </w:tr>
      <w:tr w:rsidR="0074457B" w:rsidRPr="004A0C12" w14:paraId="4BEEFFC8"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2F9F4D79" w14:textId="77777777" w:rsidR="0074457B" w:rsidRPr="004A0C12" w:rsidRDefault="0074457B" w:rsidP="0074457B">
            <w:pPr>
              <w:rPr>
                <w:rFonts w:ascii="Garamond" w:hAnsi="Garamond"/>
                <w:sz w:val="22"/>
                <w:szCs w:val="22"/>
              </w:rPr>
            </w:pPr>
            <w:r w:rsidRPr="004A0C12">
              <w:rPr>
                <w:rFonts w:ascii="Garamond" w:hAnsi="Garamond"/>
                <w:sz w:val="22"/>
                <w:szCs w:val="22"/>
              </w:rPr>
              <w:t>ABE Beginning Basic Literacy</w:t>
            </w:r>
          </w:p>
        </w:tc>
        <w:tc>
          <w:tcPr>
            <w:tcW w:w="1296" w:type="dxa"/>
            <w:gridSpan w:val="2"/>
          </w:tcPr>
          <w:p w14:paraId="0D6BD495"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1,285</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7CC6FF63" w14:textId="77777777" w:rsidR="0074457B" w:rsidRPr="004A0C12" w:rsidRDefault="0074457B" w:rsidP="0074457B">
            <w:pPr>
              <w:rPr>
                <w:rFonts w:ascii="Garamond" w:hAnsi="Garamond"/>
                <w:sz w:val="22"/>
                <w:szCs w:val="22"/>
              </w:rPr>
            </w:pPr>
            <w:r w:rsidRPr="004A0C12">
              <w:rPr>
                <w:rFonts w:ascii="Garamond" w:hAnsi="Garamond"/>
                <w:sz w:val="22"/>
                <w:szCs w:val="22"/>
              </w:rPr>
              <w:t>171,919</w:t>
            </w:r>
          </w:p>
        </w:tc>
        <w:tc>
          <w:tcPr>
            <w:tcW w:w="1192" w:type="dxa"/>
            <w:gridSpan w:val="2"/>
          </w:tcPr>
          <w:p w14:paraId="7940800F"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941</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3A7DAC78" w14:textId="77777777" w:rsidR="0074457B" w:rsidRPr="004A0C12" w:rsidRDefault="0074457B" w:rsidP="0074457B">
            <w:pPr>
              <w:rPr>
                <w:rFonts w:ascii="Garamond" w:hAnsi="Garamond"/>
                <w:sz w:val="22"/>
                <w:szCs w:val="22"/>
              </w:rPr>
            </w:pPr>
            <w:r w:rsidRPr="004A0C12">
              <w:rPr>
                <w:rFonts w:ascii="Garamond" w:hAnsi="Garamond"/>
                <w:sz w:val="22"/>
                <w:szCs w:val="22"/>
              </w:rPr>
              <w:t>867</w:t>
            </w:r>
          </w:p>
        </w:tc>
        <w:tc>
          <w:tcPr>
            <w:tcW w:w="1292" w:type="dxa"/>
            <w:gridSpan w:val="2"/>
          </w:tcPr>
          <w:p w14:paraId="024E5C87"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325</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13404DDC" w14:textId="77777777" w:rsidR="0074457B" w:rsidRPr="004A0C12" w:rsidRDefault="0074457B" w:rsidP="0074457B">
            <w:pPr>
              <w:rPr>
                <w:rFonts w:ascii="Garamond" w:hAnsi="Garamond"/>
                <w:sz w:val="22"/>
                <w:szCs w:val="22"/>
              </w:rPr>
            </w:pPr>
            <w:r w:rsidRPr="004A0C12">
              <w:rPr>
                <w:rFonts w:ascii="Garamond" w:hAnsi="Garamond"/>
                <w:sz w:val="22"/>
                <w:szCs w:val="22"/>
              </w:rPr>
              <w:t>19</w:t>
            </w:r>
          </w:p>
        </w:tc>
        <w:tc>
          <w:tcPr>
            <w:tcW w:w="1115" w:type="dxa"/>
          </w:tcPr>
          <w:p w14:paraId="24F7A7D9"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73%</w:t>
            </w:r>
          </w:p>
        </w:tc>
      </w:tr>
      <w:tr w:rsidR="0074457B" w:rsidRPr="004A0C12" w14:paraId="29A2BEE8"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2AD76E3B" w14:textId="77777777" w:rsidR="0074457B" w:rsidRPr="004A0C12" w:rsidRDefault="0074457B" w:rsidP="0074457B">
            <w:pPr>
              <w:rPr>
                <w:rFonts w:ascii="Garamond" w:hAnsi="Garamond"/>
                <w:sz w:val="22"/>
                <w:szCs w:val="22"/>
              </w:rPr>
            </w:pPr>
            <w:r w:rsidRPr="004A0C12">
              <w:rPr>
                <w:rFonts w:ascii="Garamond" w:hAnsi="Garamond"/>
                <w:sz w:val="22"/>
                <w:szCs w:val="22"/>
              </w:rPr>
              <w:t>ABE Intermediate Low</w:t>
            </w:r>
          </w:p>
        </w:tc>
        <w:tc>
          <w:tcPr>
            <w:tcW w:w="1296" w:type="dxa"/>
            <w:gridSpan w:val="2"/>
          </w:tcPr>
          <w:p w14:paraId="25AC875B"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2,352</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66D17131" w14:textId="77777777" w:rsidR="0074457B" w:rsidRPr="004A0C12" w:rsidRDefault="0074457B" w:rsidP="0074457B">
            <w:pPr>
              <w:rPr>
                <w:rFonts w:ascii="Garamond" w:hAnsi="Garamond"/>
                <w:sz w:val="22"/>
                <w:szCs w:val="22"/>
              </w:rPr>
            </w:pPr>
            <w:r w:rsidRPr="004A0C12">
              <w:rPr>
                <w:rFonts w:ascii="Garamond" w:hAnsi="Garamond"/>
                <w:sz w:val="22"/>
                <w:szCs w:val="22"/>
              </w:rPr>
              <w:t>293,023</w:t>
            </w:r>
          </w:p>
        </w:tc>
        <w:tc>
          <w:tcPr>
            <w:tcW w:w="1192" w:type="dxa"/>
            <w:gridSpan w:val="2"/>
          </w:tcPr>
          <w:p w14:paraId="0BF05B6A"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1467</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1EEFB997" w14:textId="77777777" w:rsidR="0074457B" w:rsidRPr="004A0C12" w:rsidRDefault="0074457B" w:rsidP="0074457B">
            <w:pPr>
              <w:rPr>
                <w:rFonts w:ascii="Garamond" w:hAnsi="Garamond"/>
                <w:sz w:val="22"/>
                <w:szCs w:val="22"/>
              </w:rPr>
            </w:pPr>
            <w:r w:rsidRPr="004A0C12">
              <w:rPr>
                <w:rFonts w:ascii="Garamond" w:hAnsi="Garamond"/>
                <w:sz w:val="22"/>
                <w:szCs w:val="22"/>
              </w:rPr>
              <w:t>1,382</w:t>
            </w:r>
          </w:p>
        </w:tc>
        <w:tc>
          <w:tcPr>
            <w:tcW w:w="1292" w:type="dxa"/>
            <w:gridSpan w:val="2"/>
          </w:tcPr>
          <w:p w14:paraId="6DAFA5A7"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759</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0672E2AB" w14:textId="77777777" w:rsidR="0074457B" w:rsidRPr="004A0C12" w:rsidRDefault="0074457B" w:rsidP="0074457B">
            <w:pPr>
              <w:rPr>
                <w:rFonts w:ascii="Garamond" w:hAnsi="Garamond"/>
                <w:sz w:val="22"/>
                <w:szCs w:val="22"/>
              </w:rPr>
            </w:pPr>
            <w:r w:rsidRPr="004A0C12">
              <w:rPr>
                <w:rFonts w:ascii="Garamond" w:hAnsi="Garamond"/>
                <w:sz w:val="22"/>
                <w:szCs w:val="22"/>
              </w:rPr>
              <w:t>126</w:t>
            </w:r>
          </w:p>
        </w:tc>
        <w:tc>
          <w:tcPr>
            <w:tcW w:w="1115" w:type="dxa"/>
          </w:tcPr>
          <w:p w14:paraId="006E7C49"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62%</w:t>
            </w:r>
          </w:p>
        </w:tc>
      </w:tr>
      <w:tr w:rsidR="0074457B" w:rsidRPr="004A0C12" w14:paraId="55802E27"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6382A192" w14:textId="77777777" w:rsidR="0074457B" w:rsidRPr="004A0C12" w:rsidRDefault="0074457B" w:rsidP="0074457B">
            <w:pPr>
              <w:rPr>
                <w:rFonts w:ascii="Garamond" w:hAnsi="Garamond"/>
                <w:sz w:val="22"/>
                <w:szCs w:val="22"/>
              </w:rPr>
            </w:pPr>
            <w:r w:rsidRPr="004A0C12">
              <w:rPr>
                <w:rFonts w:ascii="Garamond" w:hAnsi="Garamond"/>
                <w:sz w:val="22"/>
                <w:szCs w:val="22"/>
              </w:rPr>
              <w:t>ABE Intermediate High</w:t>
            </w:r>
          </w:p>
        </w:tc>
        <w:tc>
          <w:tcPr>
            <w:tcW w:w="1296" w:type="dxa"/>
            <w:gridSpan w:val="2"/>
          </w:tcPr>
          <w:p w14:paraId="257D5AD6"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3,577</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5512780B" w14:textId="77777777" w:rsidR="0074457B" w:rsidRPr="004A0C12" w:rsidRDefault="0074457B" w:rsidP="0074457B">
            <w:pPr>
              <w:rPr>
                <w:rFonts w:ascii="Garamond" w:hAnsi="Garamond"/>
                <w:sz w:val="22"/>
                <w:szCs w:val="22"/>
              </w:rPr>
            </w:pPr>
            <w:r w:rsidRPr="004A0C12">
              <w:rPr>
                <w:rFonts w:ascii="Garamond" w:hAnsi="Garamond"/>
                <w:sz w:val="22"/>
                <w:szCs w:val="22"/>
              </w:rPr>
              <w:t>470,101</w:t>
            </w:r>
          </w:p>
        </w:tc>
        <w:tc>
          <w:tcPr>
            <w:tcW w:w="1192" w:type="dxa"/>
            <w:gridSpan w:val="2"/>
          </w:tcPr>
          <w:p w14:paraId="40940F98"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1192</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0B270CA5" w14:textId="77777777" w:rsidR="0074457B" w:rsidRPr="004A0C12" w:rsidRDefault="0074457B" w:rsidP="0074457B">
            <w:pPr>
              <w:rPr>
                <w:rFonts w:ascii="Garamond" w:hAnsi="Garamond"/>
                <w:sz w:val="22"/>
                <w:szCs w:val="22"/>
              </w:rPr>
            </w:pPr>
            <w:r w:rsidRPr="004A0C12">
              <w:rPr>
                <w:rFonts w:ascii="Garamond" w:hAnsi="Garamond"/>
                <w:sz w:val="22"/>
                <w:szCs w:val="22"/>
              </w:rPr>
              <w:t>1,109</w:t>
            </w:r>
          </w:p>
        </w:tc>
        <w:tc>
          <w:tcPr>
            <w:tcW w:w="1292" w:type="dxa"/>
            <w:gridSpan w:val="2"/>
          </w:tcPr>
          <w:p w14:paraId="741CC1EC"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2,095</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0E486C7B" w14:textId="77777777" w:rsidR="0074457B" w:rsidRPr="004A0C12" w:rsidRDefault="0074457B" w:rsidP="0074457B">
            <w:pPr>
              <w:rPr>
                <w:rFonts w:ascii="Garamond" w:hAnsi="Garamond"/>
                <w:sz w:val="22"/>
                <w:szCs w:val="22"/>
              </w:rPr>
            </w:pPr>
            <w:r w:rsidRPr="004A0C12">
              <w:rPr>
                <w:rFonts w:ascii="Garamond" w:hAnsi="Garamond"/>
                <w:sz w:val="22"/>
                <w:szCs w:val="22"/>
              </w:rPr>
              <w:t>290</w:t>
            </w:r>
          </w:p>
        </w:tc>
        <w:tc>
          <w:tcPr>
            <w:tcW w:w="1115" w:type="dxa"/>
          </w:tcPr>
          <w:p w14:paraId="0B7653F9"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33%</w:t>
            </w:r>
          </w:p>
        </w:tc>
      </w:tr>
      <w:tr w:rsidR="0074457B" w:rsidRPr="004A0C12" w14:paraId="4FA18BD1"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31777EF0" w14:textId="77777777" w:rsidR="0074457B" w:rsidRPr="004A0C12" w:rsidRDefault="0074457B" w:rsidP="0074457B">
            <w:pPr>
              <w:rPr>
                <w:rFonts w:ascii="Garamond" w:hAnsi="Garamond"/>
                <w:sz w:val="22"/>
                <w:szCs w:val="22"/>
              </w:rPr>
            </w:pPr>
            <w:r w:rsidRPr="004A0C12">
              <w:rPr>
                <w:rFonts w:ascii="Garamond" w:hAnsi="Garamond"/>
                <w:sz w:val="22"/>
                <w:szCs w:val="22"/>
              </w:rPr>
              <w:t>ASE Low</w:t>
            </w:r>
          </w:p>
        </w:tc>
        <w:tc>
          <w:tcPr>
            <w:tcW w:w="1296" w:type="dxa"/>
            <w:gridSpan w:val="2"/>
          </w:tcPr>
          <w:p w14:paraId="504D7ED3"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725</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480742FD" w14:textId="77777777" w:rsidR="0074457B" w:rsidRPr="004A0C12" w:rsidRDefault="0074457B" w:rsidP="0074457B">
            <w:pPr>
              <w:rPr>
                <w:rFonts w:ascii="Garamond" w:hAnsi="Garamond"/>
                <w:sz w:val="22"/>
                <w:szCs w:val="22"/>
              </w:rPr>
            </w:pPr>
            <w:r w:rsidRPr="004A0C12">
              <w:rPr>
                <w:rFonts w:ascii="Garamond" w:hAnsi="Garamond"/>
                <w:sz w:val="22"/>
                <w:szCs w:val="22"/>
              </w:rPr>
              <w:t>96,941</w:t>
            </w:r>
          </w:p>
        </w:tc>
        <w:tc>
          <w:tcPr>
            <w:tcW w:w="1192" w:type="dxa"/>
            <w:gridSpan w:val="2"/>
          </w:tcPr>
          <w:p w14:paraId="59A1B1AF"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215</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2B2A753F" w14:textId="77777777" w:rsidR="0074457B" w:rsidRPr="004A0C12" w:rsidRDefault="0074457B" w:rsidP="0074457B">
            <w:pPr>
              <w:rPr>
                <w:rFonts w:ascii="Garamond" w:hAnsi="Garamond"/>
                <w:sz w:val="22"/>
                <w:szCs w:val="22"/>
              </w:rPr>
            </w:pPr>
            <w:r w:rsidRPr="004A0C12">
              <w:rPr>
                <w:rFonts w:ascii="Garamond" w:hAnsi="Garamond"/>
                <w:sz w:val="22"/>
                <w:szCs w:val="22"/>
              </w:rPr>
              <w:t>195</w:t>
            </w:r>
          </w:p>
        </w:tc>
        <w:tc>
          <w:tcPr>
            <w:tcW w:w="1292" w:type="dxa"/>
            <w:gridSpan w:val="2"/>
          </w:tcPr>
          <w:p w14:paraId="16E0B03B"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477</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44D57FB4" w14:textId="77777777" w:rsidR="0074457B" w:rsidRPr="004A0C12" w:rsidRDefault="0074457B" w:rsidP="0074457B">
            <w:pPr>
              <w:rPr>
                <w:rFonts w:ascii="Garamond" w:hAnsi="Garamond"/>
                <w:sz w:val="22"/>
                <w:szCs w:val="22"/>
              </w:rPr>
            </w:pPr>
            <w:r w:rsidRPr="004A0C12">
              <w:rPr>
                <w:rFonts w:ascii="Garamond" w:hAnsi="Garamond"/>
                <w:sz w:val="22"/>
                <w:szCs w:val="22"/>
              </w:rPr>
              <w:t>33</w:t>
            </w:r>
          </w:p>
        </w:tc>
        <w:tc>
          <w:tcPr>
            <w:tcW w:w="1115" w:type="dxa"/>
          </w:tcPr>
          <w:p w14:paraId="4D91060A"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30%</w:t>
            </w:r>
          </w:p>
        </w:tc>
      </w:tr>
      <w:tr w:rsidR="0074457B" w:rsidRPr="004A0C12" w14:paraId="762CA654"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037DB722" w14:textId="77777777" w:rsidR="0074457B" w:rsidRPr="004A0C12" w:rsidRDefault="0074457B" w:rsidP="0074457B">
            <w:pPr>
              <w:rPr>
                <w:rFonts w:ascii="Garamond" w:hAnsi="Garamond"/>
                <w:sz w:val="22"/>
                <w:szCs w:val="22"/>
              </w:rPr>
            </w:pPr>
            <w:r w:rsidRPr="004A0C12">
              <w:rPr>
                <w:rFonts w:ascii="Garamond" w:hAnsi="Garamond"/>
                <w:sz w:val="22"/>
                <w:szCs w:val="22"/>
              </w:rPr>
              <w:t>ASE High</w:t>
            </w:r>
          </w:p>
        </w:tc>
        <w:tc>
          <w:tcPr>
            <w:tcW w:w="1296" w:type="dxa"/>
            <w:gridSpan w:val="2"/>
          </w:tcPr>
          <w:p w14:paraId="08E73D8A"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355</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2A3094BA" w14:textId="77777777" w:rsidR="0074457B" w:rsidRPr="004A0C12" w:rsidRDefault="0074457B" w:rsidP="0074457B">
            <w:pPr>
              <w:rPr>
                <w:rFonts w:ascii="Garamond" w:hAnsi="Garamond"/>
                <w:sz w:val="22"/>
                <w:szCs w:val="22"/>
              </w:rPr>
            </w:pPr>
            <w:r w:rsidRPr="004A0C12">
              <w:rPr>
                <w:rFonts w:ascii="Garamond" w:hAnsi="Garamond"/>
                <w:sz w:val="22"/>
                <w:szCs w:val="22"/>
              </w:rPr>
              <w:t>38,591</w:t>
            </w:r>
          </w:p>
        </w:tc>
        <w:tc>
          <w:tcPr>
            <w:tcW w:w="1192" w:type="dxa"/>
            <w:gridSpan w:val="2"/>
          </w:tcPr>
          <w:p w14:paraId="24C662E3"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166</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69CC6498" w14:textId="77777777" w:rsidR="0074457B" w:rsidRPr="004A0C12" w:rsidRDefault="0074457B" w:rsidP="0074457B">
            <w:pPr>
              <w:rPr>
                <w:rFonts w:ascii="Garamond" w:hAnsi="Garamond"/>
                <w:sz w:val="22"/>
                <w:szCs w:val="22"/>
              </w:rPr>
            </w:pPr>
            <w:r w:rsidRPr="004A0C12">
              <w:rPr>
                <w:rFonts w:ascii="Garamond" w:hAnsi="Garamond"/>
                <w:sz w:val="22"/>
                <w:szCs w:val="22"/>
              </w:rPr>
              <w:t>0</w:t>
            </w:r>
          </w:p>
        </w:tc>
        <w:tc>
          <w:tcPr>
            <w:tcW w:w="1292" w:type="dxa"/>
            <w:gridSpan w:val="2"/>
          </w:tcPr>
          <w:p w14:paraId="613C1C05"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175</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5A0BCEDF" w14:textId="77777777" w:rsidR="0074457B" w:rsidRPr="004A0C12" w:rsidRDefault="0074457B" w:rsidP="0074457B">
            <w:pPr>
              <w:rPr>
                <w:rFonts w:ascii="Garamond" w:hAnsi="Garamond"/>
                <w:sz w:val="22"/>
                <w:szCs w:val="22"/>
              </w:rPr>
            </w:pPr>
            <w:r w:rsidRPr="004A0C12">
              <w:rPr>
                <w:rFonts w:ascii="Garamond" w:hAnsi="Garamond"/>
                <w:sz w:val="22"/>
                <w:szCs w:val="22"/>
              </w:rPr>
              <w:t>14</w:t>
            </w:r>
          </w:p>
        </w:tc>
        <w:tc>
          <w:tcPr>
            <w:tcW w:w="1115" w:type="dxa"/>
          </w:tcPr>
          <w:p w14:paraId="120C1FC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47%</w:t>
            </w:r>
          </w:p>
        </w:tc>
      </w:tr>
      <w:tr w:rsidR="0074457B" w:rsidRPr="004A0C12" w14:paraId="6ED3DB94"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29F5E0D3" w14:textId="77777777" w:rsidR="0074457B" w:rsidRPr="004A0C12" w:rsidRDefault="0074457B" w:rsidP="0074457B">
            <w:pPr>
              <w:rPr>
                <w:rFonts w:ascii="Garamond" w:hAnsi="Garamond"/>
                <w:sz w:val="22"/>
                <w:szCs w:val="22"/>
              </w:rPr>
            </w:pPr>
            <w:r w:rsidRPr="004A0C12">
              <w:rPr>
                <w:rFonts w:ascii="Garamond" w:hAnsi="Garamond"/>
                <w:sz w:val="22"/>
                <w:szCs w:val="22"/>
              </w:rPr>
              <w:t>ESL Beginning Literacy</w:t>
            </w:r>
          </w:p>
        </w:tc>
        <w:tc>
          <w:tcPr>
            <w:tcW w:w="1296" w:type="dxa"/>
            <w:gridSpan w:val="2"/>
          </w:tcPr>
          <w:p w14:paraId="58BEBF5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760</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28BE56E7" w14:textId="77777777" w:rsidR="0074457B" w:rsidRPr="004A0C12" w:rsidRDefault="0074457B" w:rsidP="0074457B">
            <w:pPr>
              <w:rPr>
                <w:rFonts w:ascii="Garamond" w:hAnsi="Garamond"/>
                <w:sz w:val="22"/>
                <w:szCs w:val="22"/>
              </w:rPr>
            </w:pPr>
            <w:r w:rsidRPr="004A0C12">
              <w:rPr>
                <w:rFonts w:ascii="Garamond" w:hAnsi="Garamond"/>
                <w:sz w:val="22"/>
                <w:szCs w:val="22"/>
              </w:rPr>
              <w:t>71,020</w:t>
            </w:r>
          </w:p>
        </w:tc>
        <w:tc>
          <w:tcPr>
            <w:tcW w:w="1192" w:type="dxa"/>
            <w:gridSpan w:val="2"/>
          </w:tcPr>
          <w:p w14:paraId="2918928B"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657</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2EBAA1EF" w14:textId="77777777" w:rsidR="0074457B" w:rsidRPr="004A0C12" w:rsidRDefault="0074457B" w:rsidP="0074457B">
            <w:pPr>
              <w:rPr>
                <w:rFonts w:ascii="Garamond" w:hAnsi="Garamond"/>
                <w:sz w:val="22"/>
                <w:szCs w:val="22"/>
              </w:rPr>
            </w:pPr>
            <w:r w:rsidRPr="004A0C12">
              <w:rPr>
                <w:rFonts w:ascii="Garamond" w:hAnsi="Garamond"/>
                <w:sz w:val="22"/>
                <w:szCs w:val="22"/>
              </w:rPr>
              <w:t>606</w:t>
            </w:r>
          </w:p>
        </w:tc>
        <w:tc>
          <w:tcPr>
            <w:tcW w:w="1292" w:type="dxa"/>
            <w:gridSpan w:val="2"/>
          </w:tcPr>
          <w:p w14:paraId="48E31395"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79</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4A731917" w14:textId="77777777" w:rsidR="0074457B" w:rsidRPr="004A0C12" w:rsidRDefault="0074457B" w:rsidP="0074457B">
            <w:pPr>
              <w:rPr>
                <w:rFonts w:ascii="Garamond" w:hAnsi="Garamond"/>
                <w:sz w:val="22"/>
                <w:szCs w:val="22"/>
              </w:rPr>
            </w:pPr>
            <w:r w:rsidRPr="004A0C12">
              <w:rPr>
                <w:rFonts w:ascii="Garamond" w:hAnsi="Garamond"/>
                <w:sz w:val="22"/>
                <w:szCs w:val="22"/>
              </w:rPr>
              <w:t>24</w:t>
            </w:r>
          </w:p>
        </w:tc>
        <w:tc>
          <w:tcPr>
            <w:tcW w:w="1115" w:type="dxa"/>
          </w:tcPr>
          <w:p w14:paraId="3C9658A7"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86%</w:t>
            </w:r>
          </w:p>
        </w:tc>
      </w:tr>
      <w:tr w:rsidR="0074457B" w:rsidRPr="004A0C12" w14:paraId="4F422E61"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509B9F98" w14:textId="77777777" w:rsidR="0074457B" w:rsidRPr="004A0C12" w:rsidRDefault="0074457B" w:rsidP="0074457B">
            <w:pPr>
              <w:rPr>
                <w:rFonts w:ascii="Garamond" w:hAnsi="Garamond"/>
                <w:sz w:val="22"/>
                <w:szCs w:val="22"/>
              </w:rPr>
            </w:pPr>
            <w:r w:rsidRPr="004A0C12">
              <w:rPr>
                <w:rFonts w:ascii="Garamond" w:hAnsi="Garamond"/>
                <w:sz w:val="22"/>
                <w:szCs w:val="22"/>
              </w:rPr>
              <w:t>ESL Beginning Low</w:t>
            </w:r>
          </w:p>
        </w:tc>
        <w:tc>
          <w:tcPr>
            <w:tcW w:w="1296" w:type="dxa"/>
            <w:gridSpan w:val="2"/>
          </w:tcPr>
          <w:p w14:paraId="7D467A88"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1,243</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13D7BE54" w14:textId="77777777" w:rsidR="0074457B" w:rsidRPr="004A0C12" w:rsidRDefault="0074457B" w:rsidP="0074457B">
            <w:pPr>
              <w:rPr>
                <w:rFonts w:ascii="Garamond" w:hAnsi="Garamond"/>
                <w:sz w:val="22"/>
                <w:szCs w:val="22"/>
              </w:rPr>
            </w:pPr>
            <w:r w:rsidRPr="004A0C12">
              <w:rPr>
                <w:rFonts w:ascii="Garamond" w:hAnsi="Garamond"/>
                <w:sz w:val="22"/>
                <w:szCs w:val="22"/>
              </w:rPr>
              <w:t>114,141</w:t>
            </w:r>
          </w:p>
        </w:tc>
        <w:tc>
          <w:tcPr>
            <w:tcW w:w="1192" w:type="dxa"/>
            <w:gridSpan w:val="2"/>
          </w:tcPr>
          <w:p w14:paraId="56AD4700"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1045</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5089A477" w14:textId="77777777" w:rsidR="0074457B" w:rsidRPr="004A0C12" w:rsidRDefault="0074457B" w:rsidP="0074457B">
            <w:pPr>
              <w:rPr>
                <w:rFonts w:ascii="Garamond" w:hAnsi="Garamond"/>
                <w:sz w:val="22"/>
                <w:szCs w:val="22"/>
              </w:rPr>
            </w:pPr>
            <w:r w:rsidRPr="004A0C12">
              <w:rPr>
                <w:rFonts w:ascii="Garamond" w:hAnsi="Garamond"/>
                <w:sz w:val="22"/>
                <w:szCs w:val="22"/>
              </w:rPr>
              <w:t>943</w:t>
            </w:r>
          </w:p>
        </w:tc>
        <w:tc>
          <w:tcPr>
            <w:tcW w:w="1292" w:type="dxa"/>
            <w:gridSpan w:val="2"/>
          </w:tcPr>
          <w:p w14:paraId="4B773E6C"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138</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38A2A33B" w14:textId="77777777" w:rsidR="0074457B" w:rsidRPr="004A0C12" w:rsidRDefault="0074457B" w:rsidP="0074457B">
            <w:pPr>
              <w:rPr>
                <w:rFonts w:ascii="Garamond" w:hAnsi="Garamond"/>
                <w:sz w:val="22"/>
                <w:szCs w:val="22"/>
              </w:rPr>
            </w:pPr>
            <w:r w:rsidRPr="004A0C12">
              <w:rPr>
                <w:rFonts w:ascii="Garamond" w:hAnsi="Garamond"/>
                <w:sz w:val="22"/>
                <w:szCs w:val="22"/>
              </w:rPr>
              <w:t>60</w:t>
            </w:r>
          </w:p>
        </w:tc>
        <w:tc>
          <w:tcPr>
            <w:tcW w:w="1115" w:type="dxa"/>
          </w:tcPr>
          <w:p w14:paraId="525CDAC9"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84%</w:t>
            </w:r>
          </w:p>
        </w:tc>
      </w:tr>
      <w:tr w:rsidR="0074457B" w:rsidRPr="004A0C12" w14:paraId="0114AF5A"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38FA2584" w14:textId="77777777" w:rsidR="0074457B" w:rsidRPr="004A0C12" w:rsidRDefault="0074457B" w:rsidP="0074457B">
            <w:pPr>
              <w:rPr>
                <w:rFonts w:ascii="Garamond" w:hAnsi="Garamond"/>
                <w:sz w:val="22"/>
                <w:szCs w:val="22"/>
              </w:rPr>
            </w:pPr>
            <w:r w:rsidRPr="004A0C12">
              <w:rPr>
                <w:rFonts w:ascii="Garamond" w:hAnsi="Garamond"/>
                <w:sz w:val="22"/>
                <w:szCs w:val="22"/>
              </w:rPr>
              <w:t>ESL Beginning High</w:t>
            </w:r>
          </w:p>
        </w:tc>
        <w:tc>
          <w:tcPr>
            <w:tcW w:w="1296" w:type="dxa"/>
            <w:gridSpan w:val="2"/>
          </w:tcPr>
          <w:p w14:paraId="6F7E1078"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2,602</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524AAB6D" w14:textId="77777777" w:rsidR="0074457B" w:rsidRPr="004A0C12" w:rsidRDefault="0074457B" w:rsidP="0074457B">
            <w:pPr>
              <w:rPr>
                <w:rFonts w:ascii="Garamond" w:hAnsi="Garamond"/>
                <w:sz w:val="22"/>
                <w:szCs w:val="22"/>
              </w:rPr>
            </w:pPr>
            <w:r w:rsidRPr="004A0C12">
              <w:rPr>
                <w:rFonts w:ascii="Garamond" w:hAnsi="Garamond"/>
                <w:sz w:val="22"/>
                <w:szCs w:val="22"/>
              </w:rPr>
              <w:t>231,571</w:t>
            </w:r>
          </w:p>
        </w:tc>
        <w:tc>
          <w:tcPr>
            <w:tcW w:w="1192" w:type="dxa"/>
            <w:gridSpan w:val="2"/>
          </w:tcPr>
          <w:p w14:paraId="159F5ABA"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1740</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1D685B27" w14:textId="77777777" w:rsidR="0074457B" w:rsidRPr="004A0C12" w:rsidRDefault="0074457B" w:rsidP="0074457B">
            <w:pPr>
              <w:rPr>
                <w:rFonts w:ascii="Garamond" w:hAnsi="Garamond"/>
                <w:sz w:val="22"/>
                <w:szCs w:val="22"/>
              </w:rPr>
            </w:pPr>
            <w:r w:rsidRPr="004A0C12">
              <w:rPr>
                <w:rFonts w:ascii="Garamond" w:hAnsi="Garamond"/>
                <w:sz w:val="22"/>
                <w:szCs w:val="22"/>
              </w:rPr>
              <w:t>1,564</w:t>
            </w:r>
          </w:p>
        </w:tc>
        <w:tc>
          <w:tcPr>
            <w:tcW w:w="1292" w:type="dxa"/>
            <w:gridSpan w:val="2"/>
          </w:tcPr>
          <w:p w14:paraId="477DA8E1"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521</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3AC4A50B" w14:textId="77777777" w:rsidR="0074457B" w:rsidRPr="004A0C12" w:rsidRDefault="0074457B" w:rsidP="0074457B">
            <w:pPr>
              <w:rPr>
                <w:rFonts w:ascii="Garamond" w:hAnsi="Garamond"/>
                <w:sz w:val="22"/>
                <w:szCs w:val="22"/>
              </w:rPr>
            </w:pPr>
            <w:r w:rsidRPr="004A0C12">
              <w:rPr>
                <w:rFonts w:ascii="Garamond" w:hAnsi="Garamond"/>
                <w:sz w:val="22"/>
                <w:szCs w:val="22"/>
              </w:rPr>
              <w:t>341</w:t>
            </w:r>
          </w:p>
        </w:tc>
        <w:tc>
          <w:tcPr>
            <w:tcW w:w="1115" w:type="dxa"/>
          </w:tcPr>
          <w:p w14:paraId="24FC60A7"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67%</w:t>
            </w:r>
          </w:p>
        </w:tc>
      </w:tr>
      <w:tr w:rsidR="0074457B" w:rsidRPr="004A0C12" w14:paraId="5D3F07B6"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1197CA84" w14:textId="77777777" w:rsidR="0074457B" w:rsidRPr="004A0C12" w:rsidRDefault="0074457B" w:rsidP="0074457B">
            <w:pPr>
              <w:rPr>
                <w:rFonts w:ascii="Garamond" w:hAnsi="Garamond"/>
                <w:sz w:val="22"/>
                <w:szCs w:val="22"/>
              </w:rPr>
            </w:pPr>
            <w:r w:rsidRPr="004A0C12">
              <w:rPr>
                <w:rFonts w:ascii="Garamond" w:hAnsi="Garamond"/>
                <w:sz w:val="22"/>
                <w:szCs w:val="22"/>
              </w:rPr>
              <w:lastRenderedPageBreak/>
              <w:t>ESL Intermediate Low</w:t>
            </w:r>
          </w:p>
        </w:tc>
        <w:tc>
          <w:tcPr>
            <w:tcW w:w="1296" w:type="dxa"/>
            <w:gridSpan w:val="2"/>
          </w:tcPr>
          <w:p w14:paraId="0740F3F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3,079</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61DCDB35" w14:textId="77777777" w:rsidR="0074457B" w:rsidRPr="004A0C12" w:rsidRDefault="0074457B" w:rsidP="0074457B">
            <w:pPr>
              <w:rPr>
                <w:rFonts w:ascii="Garamond" w:hAnsi="Garamond"/>
                <w:sz w:val="22"/>
                <w:szCs w:val="22"/>
              </w:rPr>
            </w:pPr>
            <w:r w:rsidRPr="004A0C12">
              <w:rPr>
                <w:rFonts w:ascii="Garamond" w:hAnsi="Garamond"/>
                <w:sz w:val="22"/>
                <w:szCs w:val="22"/>
              </w:rPr>
              <w:t>271,160</w:t>
            </w:r>
          </w:p>
        </w:tc>
        <w:tc>
          <w:tcPr>
            <w:tcW w:w="1192" w:type="dxa"/>
            <w:gridSpan w:val="2"/>
          </w:tcPr>
          <w:p w14:paraId="70D25B7A"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1747</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510C49F6" w14:textId="77777777" w:rsidR="0074457B" w:rsidRPr="004A0C12" w:rsidRDefault="0074457B" w:rsidP="0074457B">
            <w:pPr>
              <w:rPr>
                <w:rFonts w:ascii="Garamond" w:hAnsi="Garamond"/>
                <w:sz w:val="22"/>
                <w:szCs w:val="22"/>
              </w:rPr>
            </w:pPr>
            <w:r w:rsidRPr="004A0C12">
              <w:rPr>
                <w:rFonts w:ascii="Garamond" w:hAnsi="Garamond"/>
                <w:sz w:val="22"/>
                <w:szCs w:val="22"/>
              </w:rPr>
              <w:t>1,552</w:t>
            </w:r>
          </w:p>
        </w:tc>
        <w:tc>
          <w:tcPr>
            <w:tcW w:w="1292" w:type="dxa"/>
            <w:gridSpan w:val="2"/>
          </w:tcPr>
          <w:p w14:paraId="5F7E38E8"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871</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085A149F" w14:textId="77777777" w:rsidR="0074457B" w:rsidRPr="004A0C12" w:rsidRDefault="0074457B" w:rsidP="0074457B">
            <w:pPr>
              <w:rPr>
                <w:rFonts w:ascii="Garamond" w:hAnsi="Garamond"/>
                <w:sz w:val="22"/>
                <w:szCs w:val="22"/>
              </w:rPr>
            </w:pPr>
            <w:r w:rsidRPr="004A0C12">
              <w:rPr>
                <w:rFonts w:ascii="Garamond" w:hAnsi="Garamond"/>
                <w:sz w:val="22"/>
                <w:szCs w:val="22"/>
              </w:rPr>
              <w:t>461</w:t>
            </w:r>
          </w:p>
        </w:tc>
        <w:tc>
          <w:tcPr>
            <w:tcW w:w="1115" w:type="dxa"/>
          </w:tcPr>
          <w:p w14:paraId="02D5C04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57%</w:t>
            </w:r>
          </w:p>
        </w:tc>
      </w:tr>
      <w:tr w:rsidR="0074457B" w:rsidRPr="004A0C12" w14:paraId="6C9B01B8"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5617C4BC" w14:textId="77777777" w:rsidR="0074457B" w:rsidRPr="004A0C12" w:rsidRDefault="0074457B" w:rsidP="0074457B">
            <w:pPr>
              <w:rPr>
                <w:rFonts w:ascii="Garamond" w:hAnsi="Garamond"/>
                <w:sz w:val="22"/>
                <w:szCs w:val="22"/>
              </w:rPr>
            </w:pPr>
            <w:r w:rsidRPr="004A0C12">
              <w:rPr>
                <w:rFonts w:ascii="Garamond" w:hAnsi="Garamond"/>
                <w:sz w:val="22"/>
                <w:szCs w:val="22"/>
              </w:rPr>
              <w:t>ESL Intermediate High</w:t>
            </w:r>
          </w:p>
        </w:tc>
        <w:tc>
          <w:tcPr>
            <w:tcW w:w="1296" w:type="dxa"/>
            <w:gridSpan w:val="2"/>
          </w:tcPr>
          <w:p w14:paraId="68E3353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2,211</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6F7C6AEB" w14:textId="77777777" w:rsidR="0074457B" w:rsidRPr="004A0C12" w:rsidRDefault="0074457B" w:rsidP="0074457B">
            <w:pPr>
              <w:rPr>
                <w:rFonts w:ascii="Garamond" w:hAnsi="Garamond"/>
                <w:sz w:val="22"/>
                <w:szCs w:val="22"/>
              </w:rPr>
            </w:pPr>
            <w:r w:rsidRPr="004A0C12">
              <w:rPr>
                <w:rFonts w:ascii="Garamond" w:hAnsi="Garamond"/>
                <w:sz w:val="22"/>
                <w:szCs w:val="22"/>
              </w:rPr>
              <w:t>201,551</w:t>
            </w:r>
          </w:p>
        </w:tc>
        <w:tc>
          <w:tcPr>
            <w:tcW w:w="1192" w:type="dxa"/>
            <w:gridSpan w:val="2"/>
          </w:tcPr>
          <w:p w14:paraId="131EBC93"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1118</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1D3508FB" w14:textId="77777777" w:rsidR="0074457B" w:rsidRPr="004A0C12" w:rsidRDefault="0074457B" w:rsidP="0074457B">
            <w:pPr>
              <w:rPr>
                <w:rFonts w:ascii="Garamond" w:hAnsi="Garamond"/>
                <w:sz w:val="22"/>
                <w:szCs w:val="22"/>
              </w:rPr>
            </w:pPr>
            <w:r w:rsidRPr="004A0C12">
              <w:rPr>
                <w:rFonts w:ascii="Garamond" w:hAnsi="Garamond"/>
                <w:sz w:val="22"/>
                <w:szCs w:val="22"/>
              </w:rPr>
              <w:t>1,013</w:t>
            </w:r>
          </w:p>
        </w:tc>
        <w:tc>
          <w:tcPr>
            <w:tcW w:w="1292" w:type="dxa"/>
            <w:gridSpan w:val="2"/>
          </w:tcPr>
          <w:p w14:paraId="16A633CB"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762</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011DA57A" w14:textId="77777777" w:rsidR="0074457B" w:rsidRPr="004A0C12" w:rsidRDefault="0074457B" w:rsidP="0074457B">
            <w:pPr>
              <w:rPr>
                <w:rFonts w:ascii="Garamond" w:hAnsi="Garamond"/>
                <w:sz w:val="22"/>
                <w:szCs w:val="22"/>
              </w:rPr>
            </w:pPr>
            <w:r w:rsidRPr="004A0C12">
              <w:rPr>
                <w:rFonts w:ascii="Garamond" w:hAnsi="Garamond"/>
                <w:sz w:val="22"/>
                <w:szCs w:val="22"/>
              </w:rPr>
              <w:t>331</w:t>
            </w:r>
          </w:p>
        </w:tc>
        <w:tc>
          <w:tcPr>
            <w:tcW w:w="1115" w:type="dxa"/>
          </w:tcPr>
          <w:p w14:paraId="6961EBAC"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51%</w:t>
            </w:r>
          </w:p>
        </w:tc>
      </w:tr>
      <w:tr w:rsidR="0074457B" w:rsidRPr="004A0C12" w14:paraId="16126139"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119DEC27" w14:textId="77777777" w:rsidR="0074457B" w:rsidRPr="004A0C12" w:rsidRDefault="0074457B" w:rsidP="0074457B">
            <w:pPr>
              <w:rPr>
                <w:rFonts w:ascii="Garamond" w:hAnsi="Garamond"/>
                <w:sz w:val="22"/>
                <w:szCs w:val="22"/>
              </w:rPr>
            </w:pPr>
            <w:r w:rsidRPr="004A0C12">
              <w:rPr>
                <w:rFonts w:ascii="Garamond" w:hAnsi="Garamond"/>
                <w:sz w:val="22"/>
                <w:szCs w:val="22"/>
              </w:rPr>
              <w:t>ESL Advanced</w:t>
            </w:r>
          </w:p>
        </w:tc>
        <w:tc>
          <w:tcPr>
            <w:tcW w:w="1296" w:type="dxa"/>
            <w:gridSpan w:val="2"/>
          </w:tcPr>
          <w:p w14:paraId="727954D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1,090</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33B83FDA" w14:textId="77777777" w:rsidR="0074457B" w:rsidRPr="004A0C12" w:rsidRDefault="0074457B" w:rsidP="0074457B">
            <w:pPr>
              <w:rPr>
                <w:rFonts w:ascii="Garamond" w:hAnsi="Garamond"/>
                <w:sz w:val="22"/>
                <w:szCs w:val="22"/>
              </w:rPr>
            </w:pPr>
            <w:r w:rsidRPr="004A0C12">
              <w:rPr>
                <w:rFonts w:ascii="Garamond" w:hAnsi="Garamond"/>
                <w:sz w:val="22"/>
                <w:szCs w:val="22"/>
              </w:rPr>
              <w:t>96,643</w:t>
            </w:r>
          </w:p>
        </w:tc>
        <w:tc>
          <w:tcPr>
            <w:tcW w:w="1192" w:type="dxa"/>
            <w:gridSpan w:val="2"/>
          </w:tcPr>
          <w:p w14:paraId="3E766B55"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167</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60006D40" w14:textId="77777777" w:rsidR="0074457B" w:rsidRPr="004A0C12" w:rsidRDefault="0074457B" w:rsidP="0074457B">
            <w:pPr>
              <w:rPr>
                <w:rFonts w:ascii="Garamond" w:hAnsi="Garamond"/>
                <w:sz w:val="22"/>
                <w:szCs w:val="22"/>
              </w:rPr>
            </w:pPr>
            <w:r w:rsidRPr="004A0C12">
              <w:rPr>
                <w:rFonts w:ascii="Garamond" w:hAnsi="Garamond"/>
                <w:sz w:val="22"/>
                <w:szCs w:val="22"/>
              </w:rPr>
              <w:t>0</w:t>
            </w:r>
          </w:p>
        </w:tc>
        <w:tc>
          <w:tcPr>
            <w:tcW w:w="1292" w:type="dxa"/>
            <w:gridSpan w:val="2"/>
          </w:tcPr>
          <w:p w14:paraId="0B6C1422"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718</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4C4D14B2" w14:textId="77777777" w:rsidR="0074457B" w:rsidRPr="004A0C12" w:rsidRDefault="0074457B" w:rsidP="0074457B">
            <w:pPr>
              <w:rPr>
                <w:rFonts w:ascii="Garamond" w:hAnsi="Garamond"/>
                <w:sz w:val="22"/>
                <w:szCs w:val="22"/>
              </w:rPr>
            </w:pPr>
            <w:r w:rsidRPr="004A0C12">
              <w:rPr>
                <w:rFonts w:ascii="Garamond" w:hAnsi="Garamond"/>
                <w:sz w:val="22"/>
                <w:szCs w:val="22"/>
              </w:rPr>
              <w:t>205</w:t>
            </w:r>
          </w:p>
        </w:tc>
        <w:tc>
          <w:tcPr>
            <w:tcW w:w="1115" w:type="dxa"/>
          </w:tcPr>
          <w:p w14:paraId="441FE148"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15%</w:t>
            </w:r>
          </w:p>
        </w:tc>
      </w:tr>
      <w:tr w:rsidR="0074457B" w:rsidRPr="004A0C12" w14:paraId="7B777E9C"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5A2887EB" w14:textId="77777777" w:rsidR="0074457B" w:rsidRPr="004A0C12" w:rsidRDefault="0074457B" w:rsidP="0074457B">
            <w:pPr>
              <w:rPr>
                <w:rFonts w:ascii="Garamond" w:hAnsi="Garamond"/>
                <w:sz w:val="22"/>
                <w:szCs w:val="22"/>
              </w:rPr>
            </w:pPr>
            <w:r w:rsidRPr="004A0C12">
              <w:rPr>
                <w:rFonts w:ascii="Garamond" w:hAnsi="Garamond"/>
                <w:sz w:val="22"/>
                <w:szCs w:val="22"/>
              </w:rPr>
              <w:t xml:space="preserve">TOTAL </w:t>
            </w:r>
          </w:p>
        </w:tc>
        <w:tc>
          <w:tcPr>
            <w:tcW w:w="1296" w:type="dxa"/>
            <w:gridSpan w:val="2"/>
          </w:tcPr>
          <w:p w14:paraId="5FF335C2"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19,724</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10624931" w14:textId="77777777" w:rsidR="0074457B" w:rsidRPr="004A0C12" w:rsidRDefault="0074457B" w:rsidP="0074457B">
            <w:pPr>
              <w:rPr>
                <w:rFonts w:ascii="Garamond" w:hAnsi="Garamond"/>
                <w:sz w:val="22"/>
                <w:szCs w:val="22"/>
              </w:rPr>
            </w:pPr>
            <w:r w:rsidRPr="004A0C12">
              <w:rPr>
                <w:rFonts w:ascii="Garamond" w:hAnsi="Garamond"/>
                <w:sz w:val="22"/>
                <w:szCs w:val="22"/>
              </w:rPr>
              <w:t>2,107,559</w:t>
            </w:r>
          </w:p>
        </w:tc>
        <w:tc>
          <w:tcPr>
            <w:tcW w:w="1192" w:type="dxa"/>
            <w:gridSpan w:val="2"/>
          </w:tcPr>
          <w:p w14:paraId="259E9DFE"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10,720</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511FCDCC" w14:textId="77777777" w:rsidR="0074457B" w:rsidRPr="004A0C12" w:rsidRDefault="0074457B" w:rsidP="0074457B">
            <w:pPr>
              <w:rPr>
                <w:rFonts w:ascii="Garamond" w:hAnsi="Garamond"/>
                <w:sz w:val="22"/>
                <w:szCs w:val="22"/>
              </w:rPr>
            </w:pPr>
            <w:r w:rsidRPr="004A0C12">
              <w:rPr>
                <w:rFonts w:ascii="Garamond" w:hAnsi="Garamond"/>
                <w:sz w:val="22"/>
                <w:szCs w:val="22"/>
              </w:rPr>
              <w:t>9,477</w:t>
            </w:r>
          </w:p>
        </w:tc>
        <w:tc>
          <w:tcPr>
            <w:tcW w:w="1292" w:type="dxa"/>
            <w:gridSpan w:val="2"/>
          </w:tcPr>
          <w:p w14:paraId="4C26F19C"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7,090</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0D0FDA19" w14:textId="77777777" w:rsidR="0074457B" w:rsidRPr="004A0C12" w:rsidRDefault="0074457B" w:rsidP="0074457B">
            <w:pPr>
              <w:rPr>
                <w:rFonts w:ascii="Garamond" w:hAnsi="Garamond"/>
                <w:sz w:val="22"/>
                <w:szCs w:val="22"/>
              </w:rPr>
            </w:pPr>
            <w:r w:rsidRPr="004A0C12">
              <w:rPr>
                <w:rFonts w:ascii="Garamond" w:hAnsi="Garamond"/>
                <w:sz w:val="22"/>
                <w:szCs w:val="22"/>
              </w:rPr>
              <w:t>1914</w:t>
            </w:r>
          </w:p>
        </w:tc>
        <w:tc>
          <w:tcPr>
            <w:tcW w:w="1115" w:type="dxa"/>
          </w:tcPr>
          <w:p w14:paraId="342E9E31"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54%</w:t>
            </w:r>
          </w:p>
        </w:tc>
      </w:tr>
    </w:tbl>
    <w:p w14:paraId="32412B72" w14:textId="77777777" w:rsidR="0074457B" w:rsidRPr="004A0C12" w:rsidRDefault="0074457B" w:rsidP="0074457B">
      <w:pPr>
        <w:pStyle w:val="FreeForm"/>
        <w:jc w:val="center"/>
        <w:rPr>
          <w:rFonts w:ascii="Garamond" w:hAnsi="Garamond"/>
          <w:sz w:val="22"/>
          <w:szCs w:val="22"/>
        </w:rPr>
      </w:pPr>
    </w:p>
    <w:p w14:paraId="092C8929" w14:textId="77777777" w:rsidR="0074457B" w:rsidRPr="004A0C12" w:rsidRDefault="0074457B" w:rsidP="0074457B">
      <w:pPr>
        <w:spacing w:after="0" w:line="240" w:lineRule="auto"/>
        <w:rPr>
          <w:rFonts w:ascii="Garamond" w:hAnsi="Garamond"/>
        </w:rPr>
      </w:pPr>
      <w:r w:rsidRPr="004A0C12">
        <w:rPr>
          <w:rFonts w:ascii="Garamond" w:hAnsi="Garamond"/>
        </w:rPr>
        <w:t xml:space="preserve">EFL = Educational Functioning Level; ABE = Adult Basic Education; ASE = Adult Secondary Education; ESL = English as a Second Language </w:t>
      </w:r>
    </w:p>
    <w:p w14:paraId="413490E5" w14:textId="77777777" w:rsidR="005378E5" w:rsidRPr="004A0C12" w:rsidRDefault="005378E5" w:rsidP="0074457B">
      <w:pPr>
        <w:spacing w:after="0" w:line="240" w:lineRule="auto"/>
        <w:rPr>
          <w:rFonts w:ascii="Garamond" w:hAnsi="Garamond"/>
        </w:rPr>
      </w:pPr>
    </w:p>
    <w:tbl>
      <w:tblPr>
        <w:tblStyle w:val="PlainTable11"/>
        <w:tblW w:w="0" w:type="auto"/>
        <w:tblLayout w:type="fixed"/>
        <w:tblLook w:val="0000" w:firstRow="0" w:lastRow="0" w:firstColumn="0" w:lastColumn="0" w:noHBand="0" w:noVBand="0"/>
        <w:tblCaption w:val="State's Adult Education Performance Outcomes for July 1-2014-June 30,2015"/>
        <w:tblDescription w:val="This chart provides the State's Adult Education Performance Outcomes for July 1-2014-June 30,2015"/>
      </w:tblPr>
      <w:tblGrid>
        <w:gridCol w:w="1795"/>
        <w:gridCol w:w="1296"/>
        <w:gridCol w:w="1317"/>
        <w:gridCol w:w="1192"/>
        <w:gridCol w:w="1723"/>
        <w:gridCol w:w="1292"/>
        <w:gridCol w:w="1266"/>
        <w:gridCol w:w="1115"/>
      </w:tblGrid>
      <w:tr w:rsidR="005378E5" w:rsidRPr="004A0C12" w14:paraId="14C17367" w14:textId="77777777" w:rsidTr="008B1D9A">
        <w:trPr>
          <w:trHeight w:val="660"/>
          <w:tblHeader/>
        </w:trPr>
        <w:tc>
          <w:tcPr>
            <w:cnfStyle w:val="000010000000" w:firstRow="0" w:lastRow="0" w:firstColumn="0" w:lastColumn="0" w:oddVBand="1" w:evenVBand="0" w:oddHBand="0" w:evenHBand="0" w:firstRowFirstColumn="0" w:firstRowLastColumn="0" w:lastRowFirstColumn="0" w:lastRowLastColumn="0"/>
            <w:tcW w:w="10996" w:type="dxa"/>
            <w:gridSpan w:val="8"/>
          </w:tcPr>
          <w:p w14:paraId="676319C1" w14:textId="77777777" w:rsidR="005378E5" w:rsidRPr="004A0C12" w:rsidRDefault="005378E5" w:rsidP="008C4670">
            <w:pPr>
              <w:jc w:val="center"/>
              <w:rPr>
                <w:rFonts w:ascii="Garamond" w:hAnsi="Garamond"/>
                <w:sz w:val="22"/>
                <w:szCs w:val="22"/>
                <w:lang w:bidi="x-none"/>
              </w:rPr>
            </w:pPr>
          </w:p>
          <w:p w14:paraId="5FDFE13F" w14:textId="77777777" w:rsidR="005378E5" w:rsidRPr="004A0C12" w:rsidRDefault="005378E5" w:rsidP="008C4670">
            <w:pPr>
              <w:jc w:val="center"/>
              <w:rPr>
                <w:rFonts w:ascii="Garamond" w:hAnsi="Garamond"/>
                <w:sz w:val="22"/>
                <w:szCs w:val="22"/>
              </w:rPr>
            </w:pPr>
            <w:r w:rsidRPr="004A0C12">
              <w:rPr>
                <w:rFonts w:ascii="Garamond" w:hAnsi="Garamond"/>
                <w:sz w:val="22"/>
                <w:szCs w:val="22"/>
              </w:rPr>
              <w:t>Adult Education</w:t>
            </w:r>
          </w:p>
          <w:p w14:paraId="2AD10973" w14:textId="77777777" w:rsidR="005378E5" w:rsidRPr="004A0C12" w:rsidRDefault="005378E5" w:rsidP="008C4670">
            <w:pPr>
              <w:jc w:val="center"/>
              <w:rPr>
                <w:rFonts w:ascii="Garamond" w:hAnsi="Garamond"/>
                <w:sz w:val="22"/>
                <w:szCs w:val="22"/>
              </w:rPr>
            </w:pPr>
            <w:r w:rsidRPr="004A0C12">
              <w:rPr>
                <w:rFonts w:ascii="Garamond" w:hAnsi="Garamond"/>
                <w:sz w:val="22"/>
                <w:szCs w:val="22"/>
              </w:rPr>
              <w:t xml:space="preserve">Educational Gains &amp; Attendance by Educational Functioning Level </w:t>
            </w:r>
          </w:p>
          <w:p w14:paraId="30645945" w14:textId="77777777" w:rsidR="005378E5" w:rsidRPr="004A0C12" w:rsidRDefault="005378E5" w:rsidP="008C4670">
            <w:pPr>
              <w:jc w:val="center"/>
              <w:rPr>
                <w:rFonts w:ascii="Garamond" w:hAnsi="Garamond"/>
                <w:sz w:val="22"/>
                <w:szCs w:val="22"/>
              </w:rPr>
            </w:pPr>
            <w:r w:rsidRPr="004A0C12">
              <w:rPr>
                <w:rFonts w:ascii="Garamond" w:hAnsi="Garamond"/>
                <w:sz w:val="22"/>
                <w:szCs w:val="22"/>
              </w:rPr>
              <w:t>July 1, 2014 – June 30, 2015</w:t>
            </w:r>
          </w:p>
        </w:tc>
      </w:tr>
      <w:tr w:rsidR="005378E5" w:rsidRPr="004A0C12" w14:paraId="79507DCE" w14:textId="77777777" w:rsidTr="00900002">
        <w:trPr>
          <w:cnfStyle w:val="000000100000" w:firstRow="0" w:lastRow="0" w:firstColumn="0" w:lastColumn="0" w:oddVBand="0" w:evenVBand="0" w:oddHBand="1" w:evenHBand="0" w:firstRowFirstColumn="0" w:firstRowLastColumn="0" w:lastRowFirstColumn="0" w:lastRowLastColumn="0"/>
          <w:trHeight w:val="660"/>
        </w:trPr>
        <w:tc>
          <w:tcPr>
            <w:cnfStyle w:val="000010000000" w:firstRow="0" w:lastRow="0" w:firstColumn="0" w:lastColumn="0" w:oddVBand="1" w:evenVBand="0" w:oddHBand="0" w:evenHBand="0" w:firstRowFirstColumn="0" w:firstRowLastColumn="0" w:lastRowFirstColumn="0" w:lastRowLastColumn="0"/>
            <w:tcW w:w="1795" w:type="dxa"/>
          </w:tcPr>
          <w:p w14:paraId="5C74E6E5" w14:textId="77777777" w:rsidR="005378E5" w:rsidRPr="004A0C12" w:rsidRDefault="005378E5" w:rsidP="008C4670">
            <w:pPr>
              <w:jc w:val="center"/>
              <w:rPr>
                <w:rFonts w:ascii="Garamond" w:hAnsi="Garamond"/>
                <w:sz w:val="22"/>
                <w:szCs w:val="22"/>
              </w:rPr>
            </w:pPr>
            <w:r w:rsidRPr="004A0C12">
              <w:rPr>
                <w:rFonts w:ascii="Garamond" w:hAnsi="Garamond"/>
                <w:sz w:val="22"/>
                <w:szCs w:val="22"/>
              </w:rPr>
              <w:t>Entering EFL</w:t>
            </w:r>
          </w:p>
        </w:tc>
        <w:tc>
          <w:tcPr>
            <w:tcW w:w="1296" w:type="dxa"/>
          </w:tcPr>
          <w:p w14:paraId="0BCACD0A"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Total # Enrolled</w:t>
            </w:r>
          </w:p>
        </w:tc>
        <w:tc>
          <w:tcPr>
            <w:cnfStyle w:val="000010000000" w:firstRow="0" w:lastRow="0" w:firstColumn="0" w:lastColumn="0" w:oddVBand="1" w:evenVBand="0" w:oddHBand="0" w:evenHBand="0" w:firstRowFirstColumn="0" w:firstRowLastColumn="0" w:lastRowFirstColumn="0" w:lastRowLastColumn="0"/>
            <w:tcW w:w="1317" w:type="dxa"/>
          </w:tcPr>
          <w:p w14:paraId="7E28B70B" w14:textId="77777777" w:rsidR="005378E5" w:rsidRPr="004A0C12" w:rsidRDefault="005378E5" w:rsidP="008C4670">
            <w:pPr>
              <w:jc w:val="center"/>
              <w:rPr>
                <w:rFonts w:ascii="Garamond" w:hAnsi="Garamond"/>
                <w:sz w:val="22"/>
                <w:szCs w:val="22"/>
              </w:rPr>
            </w:pPr>
            <w:r w:rsidRPr="004A0C12">
              <w:rPr>
                <w:rFonts w:ascii="Garamond" w:hAnsi="Garamond"/>
                <w:sz w:val="22"/>
                <w:szCs w:val="22"/>
              </w:rPr>
              <w:t>Total Attendance Hours</w:t>
            </w:r>
          </w:p>
        </w:tc>
        <w:tc>
          <w:tcPr>
            <w:tcW w:w="1192" w:type="dxa"/>
          </w:tcPr>
          <w:p w14:paraId="7B032CF5"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Completed Level</w:t>
            </w:r>
          </w:p>
        </w:tc>
        <w:tc>
          <w:tcPr>
            <w:cnfStyle w:val="000010000000" w:firstRow="0" w:lastRow="0" w:firstColumn="0" w:lastColumn="0" w:oddVBand="1" w:evenVBand="0" w:oddHBand="0" w:evenHBand="0" w:firstRowFirstColumn="0" w:firstRowLastColumn="0" w:lastRowFirstColumn="0" w:lastRowLastColumn="0"/>
            <w:tcW w:w="1723" w:type="dxa"/>
          </w:tcPr>
          <w:p w14:paraId="43E0BEE5" w14:textId="5F113E83" w:rsidR="005378E5" w:rsidRPr="004A0C12" w:rsidRDefault="00900002" w:rsidP="008C4670">
            <w:pPr>
              <w:jc w:val="center"/>
              <w:rPr>
                <w:rFonts w:ascii="Garamond" w:hAnsi="Garamond"/>
                <w:sz w:val="22"/>
                <w:szCs w:val="22"/>
              </w:rPr>
            </w:pPr>
            <w:r w:rsidRPr="004A0C12">
              <w:rPr>
                <w:rFonts w:ascii="Garamond" w:hAnsi="Garamond"/>
                <w:sz w:val="22"/>
                <w:szCs w:val="22"/>
              </w:rPr>
              <w:t># W</w:t>
            </w:r>
            <w:r w:rsidR="005378E5" w:rsidRPr="004A0C12">
              <w:rPr>
                <w:rFonts w:ascii="Garamond" w:hAnsi="Garamond"/>
                <w:sz w:val="22"/>
                <w:szCs w:val="22"/>
              </w:rPr>
              <w:t>ho Completed a Level &amp; Advanced 1 or more Levels</w:t>
            </w:r>
          </w:p>
        </w:tc>
        <w:tc>
          <w:tcPr>
            <w:tcW w:w="1292" w:type="dxa"/>
          </w:tcPr>
          <w:p w14:paraId="200835D4"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Separated Before Completing</w:t>
            </w:r>
          </w:p>
        </w:tc>
        <w:tc>
          <w:tcPr>
            <w:cnfStyle w:val="000010000000" w:firstRow="0" w:lastRow="0" w:firstColumn="0" w:lastColumn="0" w:oddVBand="1" w:evenVBand="0" w:oddHBand="0" w:evenHBand="0" w:firstRowFirstColumn="0" w:firstRowLastColumn="0" w:lastRowFirstColumn="0" w:lastRowLastColumn="0"/>
            <w:tcW w:w="1266" w:type="dxa"/>
          </w:tcPr>
          <w:p w14:paraId="7605C94C" w14:textId="77777777" w:rsidR="005378E5" w:rsidRPr="004A0C12" w:rsidRDefault="005378E5" w:rsidP="008C4670">
            <w:pPr>
              <w:jc w:val="center"/>
              <w:rPr>
                <w:rFonts w:ascii="Garamond" w:hAnsi="Garamond"/>
                <w:sz w:val="22"/>
                <w:szCs w:val="22"/>
              </w:rPr>
            </w:pPr>
            <w:r w:rsidRPr="004A0C12">
              <w:rPr>
                <w:rFonts w:ascii="Garamond" w:hAnsi="Garamond"/>
                <w:sz w:val="22"/>
                <w:szCs w:val="22"/>
              </w:rPr>
              <w:t># Remaining within Level</w:t>
            </w:r>
          </w:p>
        </w:tc>
        <w:tc>
          <w:tcPr>
            <w:tcW w:w="1111" w:type="dxa"/>
          </w:tcPr>
          <w:p w14:paraId="57086D28"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Completing Level</w:t>
            </w:r>
          </w:p>
        </w:tc>
      </w:tr>
      <w:tr w:rsidR="005378E5" w:rsidRPr="004A0C12" w14:paraId="7B91AEFA"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1FF745B8" w14:textId="77777777" w:rsidR="005378E5" w:rsidRPr="004A0C12" w:rsidRDefault="005378E5" w:rsidP="008C4670">
            <w:pPr>
              <w:rPr>
                <w:rFonts w:ascii="Garamond" w:hAnsi="Garamond"/>
                <w:sz w:val="22"/>
                <w:szCs w:val="22"/>
              </w:rPr>
            </w:pPr>
            <w:r w:rsidRPr="004A0C12">
              <w:rPr>
                <w:rFonts w:ascii="Garamond" w:hAnsi="Garamond"/>
                <w:sz w:val="22"/>
                <w:szCs w:val="22"/>
              </w:rPr>
              <w:t>ABE Beginning Literacy</w:t>
            </w:r>
          </w:p>
        </w:tc>
        <w:tc>
          <w:tcPr>
            <w:tcW w:w="1296" w:type="dxa"/>
          </w:tcPr>
          <w:p w14:paraId="6C3A5D50"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781</w:t>
            </w:r>
          </w:p>
        </w:tc>
        <w:tc>
          <w:tcPr>
            <w:cnfStyle w:val="000010000000" w:firstRow="0" w:lastRow="0" w:firstColumn="0" w:lastColumn="0" w:oddVBand="1" w:evenVBand="0" w:oddHBand="0" w:evenHBand="0" w:firstRowFirstColumn="0" w:firstRowLastColumn="0" w:lastRowFirstColumn="0" w:lastRowLastColumn="0"/>
            <w:tcW w:w="1317" w:type="dxa"/>
          </w:tcPr>
          <w:p w14:paraId="161AAC1E" w14:textId="77777777" w:rsidR="005378E5" w:rsidRPr="004A0C12" w:rsidRDefault="005378E5" w:rsidP="008C4670">
            <w:pPr>
              <w:rPr>
                <w:rFonts w:ascii="Garamond" w:hAnsi="Garamond"/>
                <w:sz w:val="22"/>
                <w:szCs w:val="22"/>
              </w:rPr>
            </w:pPr>
            <w:r w:rsidRPr="004A0C12">
              <w:rPr>
                <w:rFonts w:ascii="Garamond" w:hAnsi="Garamond"/>
                <w:sz w:val="22"/>
                <w:szCs w:val="22"/>
              </w:rPr>
              <w:t>67,019</w:t>
            </w:r>
          </w:p>
        </w:tc>
        <w:tc>
          <w:tcPr>
            <w:tcW w:w="1192" w:type="dxa"/>
          </w:tcPr>
          <w:p w14:paraId="1849BD83"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265</w:t>
            </w:r>
          </w:p>
        </w:tc>
        <w:tc>
          <w:tcPr>
            <w:cnfStyle w:val="000010000000" w:firstRow="0" w:lastRow="0" w:firstColumn="0" w:lastColumn="0" w:oddVBand="1" w:evenVBand="0" w:oddHBand="0" w:evenHBand="0" w:firstRowFirstColumn="0" w:firstRowLastColumn="0" w:lastRowFirstColumn="0" w:lastRowLastColumn="0"/>
            <w:tcW w:w="1723" w:type="dxa"/>
          </w:tcPr>
          <w:p w14:paraId="5FF8106C" w14:textId="77777777" w:rsidR="005378E5" w:rsidRPr="004A0C12" w:rsidRDefault="005378E5" w:rsidP="008C4670">
            <w:pPr>
              <w:rPr>
                <w:rFonts w:ascii="Garamond" w:hAnsi="Garamond"/>
                <w:sz w:val="22"/>
                <w:szCs w:val="22"/>
              </w:rPr>
            </w:pPr>
            <w:r w:rsidRPr="004A0C12">
              <w:rPr>
                <w:rFonts w:ascii="Garamond" w:hAnsi="Garamond"/>
                <w:sz w:val="22"/>
                <w:szCs w:val="22"/>
              </w:rPr>
              <w:t>246</w:t>
            </w:r>
          </w:p>
        </w:tc>
        <w:tc>
          <w:tcPr>
            <w:tcW w:w="1292" w:type="dxa"/>
          </w:tcPr>
          <w:p w14:paraId="4A9AE42A"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491</w:t>
            </w:r>
          </w:p>
        </w:tc>
        <w:tc>
          <w:tcPr>
            <w:cnfStyle w:val="000010000000" w:firstRow="0" w:lastRow="0" w:firstColumn="0" w:lastColumn="0" w:oddVBand="1" w:evenVBand="0" w:oddHBand="0" w:evenHBand="0" w:firstRowFirstColumn="0" w:firstRowLastColumn="0" w:lastRowFirstColumn="0" w:lastRowLastColumn="0"/>
            <w:tcW w:w="1266" w:type="dxa"/>
          </w:tcPr>
          <w:p w14:paraId="332FEC6F" w14:textId="77777777" w:rsidR="005378E5" w:rsidRPr="004A0C12" w:rsidRDefault="005378E5" w:rsidP="008C4670">
            <w:pPr>
              <w:rPr>
                <w:rFonts w:ascii="Garamond" w:hAnsi="Garamond"/>
                <w:sz w:val="22"/>
                <w:szCs w:val="22"/>
              </w:rPr>
            </w:pPr>
            <w:r w:rsidRPr="004A0C12">
              <w:rPr>
                <w:rFonts w:ascii="Garamond" w:hAnsi="Garamond"/>
                <w:sz w:val="22"/>
                <w:szCs w:val="22"/>
              </w:rPr>
              <w:t>25</w:t>
            </w:r>
          </w:p>
        </w:tc>
        <w:tc>
          <w:tcPr>
            <w:tcW w:w="1111" w:type="dxa"/>
          </w:tcPr>
          <w:p w14:paraId="508E3B9C"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34%</w:t>
            </w:r>
          </w:p>
        </w:tc>
      </w:tr>
      <w:tr w:rsidR="005378E5" w:rsidRPr="004A0C12" w14:paraId="1B81DD45"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1EF2AED3" w14:textId="77777777" w:rsidR="005378E5" w:rsidRPr="004A0C12" w:rsidRDefault="005378E5" w:rsidP="008C4670">
            <w:pPr>
              <w:rPr>
                <w:rFonts w:ascii="Garamond" w:hAnsi="Garamond"/>
                <w:sz w:val="22"/>
                <w:szCs w:val="22"/>
              </w:rPr>
            </w:pPr>
            <w:r w:rsidRPr="004A0C12">
              <w:rPr>
                <w:rFonts w:ascii="Garamond" w:hAnsi="Garamond"/>
                <w:sz w:val="22"/>
                <w:szCs w:val="22"/>
              </w:rPr>
              <w:t>ABE Beginning Basic Literacy</w:t>
            </w:r>
          </w:p>
        </w:tc>
        <w:tc>
          <w:tcPr>
            <w:tcW w:w="1296" w:type="dxa"/>
          </w:tcPr>
          <w:p w14:paraId="5F298DD2"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2,065</w:t>
            </w:r>
          </w:p>
        </w:tc>
        <w:tc>
          <w:tcPr>
            <w:cnfStyle w:val="000010000000" w:firstRow="0" w:lastRow="0" w:firstColumn="0" w:lastColumn="0" w:oddVBand="1" w:evenVBand="0" w:oddHBand="0" w:evenHBand="0" w:firstRowFirstColumn="0" w:firstRowLastColumn="0" w:lastRowFirstColumn="0" w:lastRowLastColumn="0"/>
            <w:tcW w:w="1317" w:type="dxa"/>
          </w:tcPr>
          <w:p w14:paraId="5832A1D5" w14:textId="77777777" w:rsidR="005378E5" w:rsidRPr="004A0C12" w:rsidRDefault="005378E5" w:rsidP="008C4670">
            <w:pPr>
              <w:rPr>
                <w:rFonts w:ascii="Garamond" w:hAnsi="Garamond"/>
                <w:sz w:val="22"/>
                <w:szCs w:val="22"/>
              </w:rPr>
            </w:pPr>
            <w:r w:rsidRPr="004A0C12">
              <w:rPr>
                <w:rFonts w:ascii="Garamond" w:hAnsi="Garamond"/>
                <w:sz w:val="22"/>
                <w:szCs w:val="22"/>
              </w:rPr>
              <w:t>212,454</w:t>
            </w:r>
          </w:p>
        </w:tc>
        <w:tc>
          <w:tcPr>
            <w:tcW w:w="1192" w:type="dxa"/>
          </w:tcPr>
          <w:p w14:paraId="29773B7A"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941</w:t>
            </w:r>
          </w:p>
        </w:tc>
        <w:tc>
          <w:tcPr>
            <w:cnfStyle w:val="000010000000" w:firstRow="0" w:lastRow="0" w:firstColumn="0" w:lastColumn="0" w:oddVBand="1" w:evenVBand="0" w:oddHBand="0" w:evenHBand="0" w:firstRowFirstColumn="0" w:firstRowLastColumn="0" w:lastRowFirstColumn="0" w:lastRowLastColumn="0"/>
            <w:tcW w:w="1723" w:type="dxa"/>
          </w:tcPr>
          <w:p w14:paraId="5E317BA7" w14:textId="77777777" w:rsidR="005378E5" w:rsidRPr="004A0C12" w:rsidRDefault="005378E5" w:rsidP="008C4670">
            <w:pPr>
              <w:rPr>
                <w:rFonts w:ascii="Garamond" w:hAnsi="Garamond"/>
                <w:sz w:val="22"/>
                <w:szCs w:val="22"/>
              </w:rPr>
            </w:pPr>
            <w:r w:rsidRPr="004A0C12">
              <w:rPr>
                <w:rFonts w:ascii="Garamond" w:hAnsi="Garamond"/>
                <w:sz w:val="22"/>
                <w:szCs w:val="22"/>
              </w:rPr>
              <w:t>867</w:t>
            </w:r>
          </w:p>
        </w:tc>
        <w:tc>
          <w:tcPr>
            <w:tcW w:w="1292" w:type="dxa"/>
          </w:tcPr>
          <w:p w14:paraId="2B61A8AF"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1,066</w:t>
            </w:r>
          </w:p>
        </w:tc>
        <w:tc>
          <w:tcPr>
            <w:cnfStyle w:val="000010000000" w:firstRow="0" w:lastRow="0" w:firstColumn="0" w:lastColumn="0" w:oddVBand="1" w:evenVBand="0" w:oddHBand="0" w:evenHBand="0" w:firstRowFirstColumn="0" w:firstRowLastColumn="0" w:lastRowFirstColumn="0" w:lastRowLastColumn="0"/>
            <w:tcW w:w="1266" w:type="dxa"/>
          </w:tcPr>
          <w:p w14:paraId="5C911472" w14:textId="77777777" w:rsidR="005378E5" w:rsidRPr="004A0C12" w:rsidRDefault="005378E5" w:rsidP="008C4670">
            <w:pPr>
              <w:rPr>
                <w:rFonts w:ascii="Garamond" w:hAnsi="Garamond"/>
                <w:sz w:val="22"/>
                <w:szCs w:val="22"/>
              </w:rPr>
            </w:pPr>
            <w:r w:rsidRPr="004A0C12">
              <w:rPr>
                <w:rFonts w:ascii="Garamond" w:hAnsi="Garamond"/>
                <w:sz w:val="22"/>
                <w:szCs w:val="22"/>
              </w:rPr>
              <w:t>58</w:t>
            </w:r>
          </w:p>
        </w:tc>
        <w:tc>
          <w:tcPr>
            <w:tcW w:w="1111" w:type="dxa"/>
          </w:tcPr>
          <w:p w14:paraId="44CA2F35"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46%</w:t>
            </w:r>
          </w:p>
        </w:tc>
      </w:tr>
      <w:tr w:rsidR="005378E5" w:rsidRPr="004A0C12" w14:paraId="22FC3D2B"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601271D0" w14:textId="77777777" w:rsidR="005378E5" w:rsidRPr="004A0C12" w:rsidRDefault="005378E5" w:rsidP="008C4670">
            <w:pPr>
              <w:rPr>
                <w:rFonts w:ascii="Garamond" w:hAnsi="Garamond"/>
                <w:sz w:val="22"/>
                <w:szCs w:val="22"/>
              </w:rPr>
            </w:pPr>
            <w:r w:rsidRPr="004A0C12">
              <w:rPr>
                <w:rFonts w:ascii="Garamond" w:hAnsi="Garamond"/>
                <w:sz w:val="22"/>
                <w:szCs w:val="22"/>
              </w:rPr>
              <w:t>ABE Intermediate Low</w:t>
            </w:r>
          </w:p>
        </w:tc>
        <w:tc>
          <w:tcPr>
            <w:tcW w:w="1296" w:type="dxa"/>
          </w:tcPr>
          <w:p w14:paraId="3EA518EC"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3,684</w:t>
            </w:r>
          </w:p>
        </w:tc>
        <w:tc>
          <w:tcPr>
            <w:cnfStyle w:val="000010000000" w:firstRow="0" w:lastRow="0" w:firstColumn="0" w:lastColumn="0" w:oddVBand="1" w:evenVBand="0" w:oddHBand="0" w:evenHBand="0" w:firstRowFirstColumn="0" w:firstRowLastColumn="0" w:lastRowFirstColumn="0" w:lastRowLastColumn="0"/>
            <w:tcW w:w="1317" w:type="dxa"/>
          </w:tcPr>
          <w:p w14:paraId="5EB9DFD6" w14:textId="77777777" w:rsidR="005378E5" w:rsidRPr="004A0C12" w:rsidRDefault="005378E5" w:rsidP="008C4670">
            <w:pPr>
              <w:rPr>
                <w:rFonts w:ascii="Garamond" w:hAnsi="Garamond"/>
                <w:sz w:val="22"/>
                <w:szCs w:val="22"/>
              </w:rPr>
            </w:pPr>
            <w:r w:rsidRPr="004A0C12">
              <w:rPr>
                <w:rFonts w:ascii="Garamond" w:hAnsi="Garamond"/>
                <w:sz w:val="22"/>
                <w:szCs w:val="22"/>
              </w:rPr>
              <w:t>351,153</w:t>
            </w:r>
          </w:p>
        </w:tc>
        <w:tc>
          <w:tcPr>
            <w:tcW w:w="1192" w:type="dxa"/>
          </w:tcPr>
          <w:p w14:paraId="1BCD073C"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1,467</w:t>
            </w:r>
          </w:p>
        </w:tc>
        <w:tc>
          <w:tcPr>
            <w:cnfStyle w:val="000010000000" w:firstRow="0" w:lastRow="0" w:firstColumn="0" w:lastColumn="0" w:oddVBand="1" w:evenVBand="0" w:oddHBand="0" w:evenHBand="0" w:firstRowFirstColumn="0" w:firstRowLastColumn="0" w:lastRowFirstColumn="0" w:lastRowLastColumn="0"/>
            <w:tcW w:w="1723" w:type="dxa"/>
          </w:tcPr>
          <w:p w14:paraId="239B5141" w14:textId="77777777" w:rsidR="005378E5" w:rsidRPr="004A0C12" w:rsidRDefault="005378E5" w:rsidP="008C4670">
            <w:pPr>
              <w:rPr>
                <w:rFonts w:ascii="Garamond" w:hAnsi="Garamond"/>
                <w:sz w:val="22"/>
                <w:szCs w:val="22"/>
              </w:rPr>
            </w:pPr>
            <w:r w:rsidRPr="004A0C12">
              <w:rPr>
                <w:rFonts w:ascii="Garamond" w:hAnsi="Garamond"/>
                <w:sz w:val="22"/>
                <w:szCs w:val="22"/>
              </w:rPr>
              <w:t>1,382</w:t>
            </w:r>
          </w:p>
        </w:tc>
        <w:tc>
          <w:tcPr>
            <w:tcW w:w="1292" w:type="dxa"/>
          </w:tcPr>
          <w:p w14:paraId="1888F6E5"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1,997</w:t>
            </w:r>
          </w:p>
        </w:tc>
        <w:tc>
          <w:tcPr>
            <w:cnfStyle w:val="000010000000" w:firstRow="0" w:lastRow="0" w:firstColumn="0" w:lastColumn="0" w:oddVBand="1" w:evenVBand="0" w:oddHBand="0" w:evenHBand="0" w:firstRowFirstColumn="0" w:firstRowLastColumn="0" w:lastRowFirstColumn="0" w:lastRowLastColumn="0"/>
            <w:tcW w:w="1266" w:type="dxa"/>
          </w:tcPr>
          <w:p w14:paraId="59745F38" w14:textId="77777777" w:rsidR="005378E5" w:rsidRPr="004A0C12" w:rsidRDefault="005378E5" w:rsidP="008C4670">
            <w:pPr>
              <w:rPr>
                <w:rFonts w:ascii="Garamond" w:hAnsi="Garamond"/>
                <w:sz w:val="22"/>
                <w:szCs w:val="22"/>
              </w:rPr>
            </w:pPr>
            <w:r w:rsidRPr="004A0C12">
              <w:rPr>
                <w:rFonts w:ascii="Garamond" w:hAnsi="Garamond"/>
                <w:sz w:val="22"/>
                <w:szCs w:val="22"/>
              </w:rPr>
              <w:t>220</w:t>
            </w:r>
          </w:p>
        </w:tc>
        <w:tc>
          <w:tcPr>
            <w:tcW w:w="1111" w:type="dxa"/>
          </w:tcPr>
          <w:p w14:paraId="6075D1BE"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40%</w:t>
            </w:r>
          </w:p>
        </w:tc>
      </w:tr>
      <w:tr w:rsidR="005378E5" w:rsidRPr="004A0C12" w14:paraId="578AFA78"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41C3579D" w14:textId="77777777" w:rsidR="005378E5" w:rsidRPr="004A0C12" w:rsidRDefault="005378E5" w:rsidP="008C4670">
            <w:pPr>
              <w:rPr>
                <w:rFonts w:ascii="Garamond" w:hAnsi="Garamond"/>
                <w:sz w:val="22"/>
                <w:szCs w:val="22"/>
              </w:rPr>
            </w:pPr>
            <w:r w:rsidRPr="004A0C12">
              <w:rPr>
                <w:rFonts w:ascii="Garamond" w:hAnsi="Garamond"/>
                <w:sz w:val="22"/>
                <w:szCs w:val="22"/>
              </w:rPr>
              <w:t>ABE Intermediate High</w:t>
            </w:r>
          </w:p>
        </w:tc>
        <w:tc>
          <w:tcPr>
            <w:tcW w:w="1296" w:type="dxa"/>
          </w:tcPr>
          <w:p w14:paraId="7E04F653"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6,304</w:t>
            </w:r>
          </w:p>
        </w:tc>
        <w:tc>
          <w:tcPr>
            <w:cnfStyle w:val="000010000000" w:firstRow="0" w:lastRow="0" w:firstColumn="0" w:lastColumn="0" w:oddVBand="1" w:evenVBand="0" w:oddHBand="0" w:evenHBand="0" w:firstRowFirstColumn="0" w:firstRowLastColumn="0" w:lastRowFirstColumn="0" w:lastRowLastColumn="0"/>
            <w:tcW w:w="1317" w:type="dxa"/>
          </w:tcPr>
          <w:p w14:paraId="1F6ADB9F" w14:textId="77777777" w:rsidR="005378E5" w:rsidRPr="004A0C12" w:rsidRDefault="005378E5" w:rsidP="008C4670">
            <w:pPr>
              <w:rPr>
                <w:rFonts w:ascii="Garamond" w:hAnsi="Garamond"/>
                <w:sz w:val="22"/>
                <w:szCs w:val="22"/>
              </w:rPr>
            </w:pPr>
            <w:r w:rsidRPr="004A0C12">
              <w:rPr>
                <w:rFonts w:ascii="Garamond" w:hAnsi="Garamond"/>
                <w:sz w:val="22"/>
                <w:szCs w:val="22"/>
              </w:rPr>
              <w:t>613,479</w:t>
            </w:r>
          </w:p>
        </w:tc>
        <w:tc>
          <w:tcPr>
            <w:tcW w:w="1192" w:type="dxa"/>
          </w:tcPr>
          <w:p w14:paraId="617813D7"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1,192</w:t>
            </w:r>
          </w:p>
        </w:tc>
        <w:tc>
          <w:tcPr>
            <w:cnfStyle w:val="000010000000" w:firstRow="0" w:lastRow="0" w:firstColumn="0" w:lastColumn="0" w:oddVBand="1" w:evenVBand="0" w:oddHBand="0" w:evenHBand="0" w:firstRowFirstColumn="0" w:firstRowLastColumn="0" w:lastRowFirstColumn="0" w:lastRowLastColumn="0"/>
            <w:tcW w:w="1723" w:type="dxa"/>
          </w:tcPr>
          <w:p w14:paraId="569DF7F8" w14:textId="77777777" w:rsidR="005378E5" w:rsidRPr="004A0C12" w:rsidRDefault="005378E5" w:rsidP="008C4670">
            <w:pPr>
              <w:rPr>
                <w:rFonts w:ascii="Garamond" w:hAnsi="Garamond"/>
                <w:sz w:val="22"/>
                <w:szCs w:val="22"/>
              </w:rPr>
            </w:pPr>
            <w:r w:rsidRPr="004A0C12">
              <w:rPr>
                <w:rFonts w:ascii="Garamond" w:hAnsi="Garamond"/>
                <w:sz w:val="22"/>
                <w:szCs w:val="22"/>
              </w:rPr>
              <w:t>1,109</w:t>
            </w:r>
          </w:p>
        </w:tc>
        <w:tc>
          <w:tcPr>
            <w:tcW w:w="1292" w:type="dxa"/>
          </w:tcPr>
          <w:p w14:paraId="053ECF45"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4,587</w:t>
            </w:r>
          </w:p>
        </w:tc>
        <w:tc>
          <w:tcPr>
            <w:cnfStyle w:val="000010000000" w:firstRow="0" w:lastRow="0" w:firstColumn="0" w:lastColumn="0" w:oddVBand="1" w:evenVBand="0" w:oddHBand="0" w:evenHBand="0" w:firstRowFirstColumn="0" w:firstRowLastColumn="0" w:lastRowFirstColumn="0" w:lastRowLastColumn="0"/>
            <w:tcW w:w="1266" w:type="dxa"/>
          </w:tcPr>
          <w:p w14:paraId="55A24C4D" w14:textId="77777777" w:rsidR="005378E5" w:rsidRPr="004A0C12" w:rsidRDefault="005378E5" w:rsidP="008C4670">
            <w:pPr>
              <w:rPr>
                <w:rFonts w:ascii="Garamond" w:hAnsi="Garamond"/>
                <w:sz w:val="22"/>
                <w:szCs w:val="22"/>
              </w:rPr>
            </w:pPr>
            <w:r w:rsidRPr="004A0C12">
              <w:rPr>
                <w:rFonts w:ascii="Garamond" w:hAnsi="Garamond"/>
                <w:sz w:val="22"/>
                <w:szCs w:val="22"/>
              </w:rPr>
              <w:t>525</w:t>
            </w:r>
          </w:p>
        </w:tc>
        <w:tc>
          <w:tcPr>
            <w:tcW w:w="1111" w:type="dxa"/>
          </w:tcPr>
          <w:p w14:paraId="4E5615B1"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19%</w:t>
            </w:r>
          </w:p>
        </w:tc>
      </w:tr>
      <w:tr w:rsidR="005378E5" w:rsidRPr="004A0C12" w14:paraId="69CD2CF1"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09B7BF43" w14:textId="77777777" w:rsidR="005378E5" w:rsidRPr="004A0C12" w:rsidRDefault="005378E5" w:rsidP="008C4670">
            <w:pPr>
              <w:rPr>
                <w:rFonts w:ascii="Garamond" w:hAnsi="Garamond"/>
                <w:sz w:val="22"/>
                <w:szCs w:val="22"/>
              </w:rPr>
            </w:pPr>
            <w:r w:rsidRPr="004A0C12">
              <w:rPr>
                <w:rFonts w:ascii="Garamond" w:hAnsi="Garamond"/>
                <w:sz w:val="22"/>
                <w:szCs w:val="22"/>
              </w:rPr>
              <w:t>ASE Low</w:t>
            </w:r>
          </w:p>
        </w:tc>
        <w:tc>
          <w:tcPr>
            <w:tcW w:w="1296" w:type="dxa"/>
          </w:tcPr>
          <w:p w14:paraId="693135DE"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1,709</w:t>
            </w:r>
          </w:p>
        </w:tc>
        <w:tc>
          <w:tcPr>
            <w:cnfStyle w:val="000010000000" w:firstRow="0" w:lastRow="0" w:firstColumn="0" w:lastColumn="0" w:oddVBand="1" w:evenVBand="0" w:oddHBand="0" w:evenHBand="0" w:firstRowFirstColumn="0" w:firstRowLastColumn="0" w:lastRowFirstColumn="0" w:lastRowLastColumn="0"/>
            <w:tcW w:w="1317" w:type="dxa"/>
          </w:tcPr>
          <w:p w14:paraId="1FEC7F42" w14:textId="77777777" w:rsidR="005378E5" w:rsidRPr="004A0C12" w:rsidRDefault="005378E5" w:rsidP="008C4670">
            <w:pPr>
              <w:rPr>
                <w:rFonts w:ascii="Garamond" w:hAnsi="Garamond"/>
                <w:sz w:val="22"/>
                <w:szCs w:val="22"/>
              </w:rPr>
            </w:pPr>
            <w:r w:rsidRPr="004A0C12">
              <w:rPr>
                <w:rFonts w:ascii="Garamond" w:hAnsi="Garamond"/>
                <w:sz w:val="22"/>
                <w:szCs w:val="22"/>
              </w:rPr>
              <w:t>150,571</w:t>
            </w:r>
          </w:p>
        </w:tc>
        <w:tc>
          <w:tcPr>
            <w:tcW w:w="1192" w:type="dxa"/>
          </w:tcPr>
          <w:p w14:paraId="4EDAD93F"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470</w:t>
            </w:r>
          </w:p>
        </w:tc>
        <w:tc>
          <w:tcPr>
            <w:cnfStyle w:val="000010000000" w:firstRow="0" w:lastRow="0" w:firstColumn="0" w:lastColumn="0" w:oddVBand="1" w:evenVBand="0" w:oddHBand="0" w:evenHBand="0" w:firstRowFirstColumn="0" w:firstRowLastColumn="0" w:lastRowFirstColumn="0" w:lastRowLastColumn="0"/>
            <w:tcW w:w="1723" w:type="dxa"/>
          </w:tcPr>
          <w:p w14:paraId="3CCD30A9" w14:textId="77777777" w:rsidR="005378E5" w:rsidRPr="004A0C12" w:rsidRDefault="005378E5" w:rsidP="008C4670">
            <w:pPr>
              <w:rPr>
                <w:rFonts w:ascii="Garamond" w:hAnsi="Garamond"/>
                <w:sz w:val="22"/>
                <w:szCs w:val="22"/>
              </w:rPr>
            </w:pPr>
            <w:r w:rsidRPr="004A0C12">
              <w:rPr>
                <w:rFonts w:ascii="Garamond" w:hAnsi="Garamond"/>
                <w:sz w:val="22"/>
                <w:szCs w:val="22"/>
              </w:rPr>
              <w:t>195</w:t>
            </w:r>
          </w:p>
        </w:tc>
        <w:tc>
          <w:tcPr>
            <w:tcW w:w="1292" w:type="dxa"/>
          </w:tcPr>
          <w:p w14:paraId="26D09704"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1,160</w:t>
            </w:r>
          </w:p>
        </w:tc>
        <w:tc>
          <w:tcPr>
            <w:cnfStyle w:val="000010000000" w:firstRow="0" w:lastRow="0" w:firstColumn="0" w:lastColumn="0" w:oddVBand="1" w:evenVBand="0" w:oddHBand="0" w:evenHBand="0" w:firstRowFirstColumn="0" w:firstRowLastColumn="0" w:lastRowFirstColumn="0" w:lastRowLastColumn="0"/>
            <w:tcW w:w="1266" w:type="dxa"/>
          </w:tcPr>
          <w:p w14:paraId="2B3E4334" w14:textId="77777777" w:rsidR="005378E5" w:rsidRPr="004A0C12" w:rsidRDefault="005378E5" w:rsidP="008C4670">
            <w:pPr>
              <w:rPr>
                <w:rFonts w:ascii="Garamond" w:hAnsi="Garamond"/>
                <w:sz w:val="22"/>
                <w:szCs w:val="22"/>
              </w:rPr>
            </w:pPr>
            <w:r w:rsidRPr="004A0C12">
              <w:rPr>
                <w:rFonts w:ascii="Garamond" w:hAnsi="Garamond"/>
                <w:sz w:val="22"/>
                <w:szCs w:val="22"/>
              </w:rPr>
              <w:t>79</w:t>
            </w:r>
          </w:p>
        </w:tc>
        <w:tc>
          <w:tcPr>
            <w:tcW w:w="1111" w:type="dxa"/>
          </w:tcPr>
          <w:p w14:paraId="0EA4F810"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28%</w:t>
            </w:r>
          </w:p>
        </w:tc>
      </w:tr>
      <w:tr w:rsidR="005378E5" w:rsidRPr="004A0C12" w14:paraId="178CA243"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7F41FD0D" w14:textId="77777777" w:rsidR="005378E5" w:rsidRPr="004A0C12" w:rsidRDefault="005378E5" w:rsidP="008C4670">
            <w:pPr>
              <w:rPr>
                <w:rFonts w:ascii="Garamond" w:hAnsi="Garamond"/>
                <w:sz w:val="22"/>
                <w:szCs w:val="22"/>
              </w:rPr>
            </w:pPr>
            <w:r w:rsidRPr="004A0C12">
              <w:rPr>
                <w:rFonts w:ascii="Garamond" w:hAnsi="Garamond"/>
                <w:sz w:val="22"/>
                <w:szCs w:val="22"/>
              </w:rPr>
              <w:t>ASE High</w:t>
            </w:r>
          </w:p>
        </w:tc>
        <w:tc>
          <w:tcPr>
            <w:tcW w:w="1296" w:type="dxa"/>
          </w:tcPr>
          <w:p w14:paraId="2195E452"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893</w:t>
            </w:r>
          </w:p>
        </w:tc>
        <w:tc>
          <w:tcPr>
            <w:cnfStyle w:val="000010000000" w:firstRow="0" w:lastRow="0" w:firstColumn="0" w:lastColumn="0" w:oddVBand="1" w:evenVBand="0" w:oddHBand="0" w:evenHBand="0" w:firstRowFirstColumn="0" w:firstRowLastColumn="0" w:lastRowFirstColumn="0" w:lastRowLastColumn="0"/>
            <w:tcW w:w="1317" w:type="dxa"/>
          </w:tcPr>
          <w:p w14:paraId="0E64D65D" w14:textId="77777777" w:rsidR="005378E5" w:rsidRPr="004A0C12" w:rsidRDefault="005378E5" w:rsidP="008C4670">
            <w:pPr>
              <w:rPr>
                <w:rFonts w:ascii="Garamond" w:hAnsi="Garamond"/>
                <w:sz w:val="22"/>
                <w:szCs w:val="22"/>
              </w:rPr>
            </w:pPr>
            <w:r w:rsidRPr="004A0C12">
              <w:rPr>
                <w:rFonts w:ascii="Garamond" w:hAnsi="Garamond"/>
                <w:sz w:val="22"/>
                <w:szCs w:val="22"/>
              </w:rPr>
              <w:t>71,573</w:t>
            </w:r>
          </w:p>
        </w:tc>
        <w:tc>
          <w:tcPr>
            <w:tcW w:w="1192" w:type="dxa"/>
          </w:tcPr>
          <w:p w14:paraId="4D806695"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365</w:t>
            </w:r>
          </w:p>
        </w:tc>
        <w:tc>
          <w:tcPr>
            <w:cnfStyle w:val="000010000000" w:firstRow="0" w:lastRow="0" w:firstColumn="0" w:lastColumn="0" w:oddVBand="1" w:evenVBand="0" w:oddHBand="0" w:evenHBand="0" w:firstRowFirstColumn="0" w:firstRowLastColumn="0" w:lastRowFirstColumn="0" w:lastRowLastColumn="0"/>
            <w:tcW w:w="1723" w:type="dxa"/>
          </w:tcPr>
          <w:p w14:paraId="51EC2FD4" w14:textId="77777777" w:rsidR="005378E5" w:rsidRPr="004A0C12" w:rsidRDefault="005378E5" w:rsidP="008C4670">
            <w:pPr>
              <w:rPr>
                <w:rFonts w:ascii="Garamond" w:hAnsi="Garamond"/>
                <w:sz w:val="22"/>
                <w:szCs w:val="22"/>
              </w:rPr>
            </w:pPr>
            <w:r w:rsidRPr="004A0C12">
              <w:rPr>
                <w:rFonts w:ascii="Garamond" w:hAnsi="Garamond"/>
                <w:sz w:val="22"/>
                <w:szCs w:val="22"/>
              </w:rPr>
              <w:t>0</w:t>
            </w:r>
          </w:p>
        </w:tc>
        <w:tc>
          <w:tcPr>
            <w:tcW w:w="1292" w:type="dxa"/>
          </w:tcPr>
          <w:p w14:paraId="6CF3BFB7"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475</w:t>
            </w:r>
          </w:p>
        </w:tc>
        <w:tc>
          <w:tcPr>
            <w:cnfStyle w:val="000010000000" w:firstRow="0" w:lastRow="0" w:firstColumn="0" w:lastColumn="0" w:oddVBand="1" w:evenVBand="0" w:oddHBand="0" w:evenHBand="0" w:firstRowFirstColumn="0" w:firstRowLastColumn="0" w:lastRowFirstColumn="0" w:lastRowLastColumn="0"/>
            <w:tcW w:w="1266" w:type="dxa"/>
          </w:tcPr>
          <w:p w14:paraId="5E0EB84E" w14:textId="77777777" w:rsidR="005378E5" w:rsidRPr="004A0C12" w:rsidRDefault="005378E5" w:rsidP="008C4670">
            <w:pPr>
              <w:rPr>
                <w:rFonts w:ascii="Garamond" w:hAnsi="Garamond"/>
                <w:sz w:val="22"/>
                <w:szCs w:val="22"/>
              </w:rPr>
            </w:pPr>
            <w:r w:rsidRPr="004A0C12">
              <w:rPr>
                <w:rFonts w:ascii="Garamond" w:hAnsi="Garamond"/>
                <w:sz w:val="22"/>
                <w:szCs w:val="22"/>
              </w:rPr>
              <w:t>53</w:t>
            </w:r>
          </w:p>
        </w:tc>
        <w:tc>
          <w:tcPr>
            <w:tcW w:w="1111" w:type="dxa"/>
          </w:tcPr>
          <w:p w14:paraId="75C166AB"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41%</w:t>
            </w:r>
          </w:p>
        </w:tc>
      </w:tr>
      <w:tr w:rsidR="005378E5" w:rsidRPr="004A0C12" w14:paraId="62589B08"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0939ACA6" w14:textId="77777777" w:rsidR="005378E5" w:rsidRPr="004A0C12" w:rsidRDefault="005378E5" w:rsidP="008C4670">
            <w:pPr>
              <w:rPr>
                <w:rFonts w:ascii="Garamond" w:hAnsi="Garamond"/>
                <w:sz w:val="22"/>
                <w:szCs w:val="22"/>
              </w:rPr>
            </w:pPr>
            <w:r w:rsidRPr="004A0C12">
              <w:rPr>
                <w:rFonts w:ascii="Garamond" w:hAnsi="Garamond"/>
                <w:sz w:val="22"/>
                <w:szCs w:val="22"/>
              </w:rPr>
              <w:t>ESL Beginning Literacy</w:t>
            </w:r>
          </w:p>
        </w:tc>
        <w:tc>
          <w:tcPr>
            <w:tcW w:w="1296" w:type="dxa"/>
          </w:tcPr>
          <w:p w14:paraId="04A11AA6"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1,062</w:t>
            </w:r>
          </w:p>
        </w:tc>
        <w:tc>
          <w:tcPr>
            <w:cnfStyle w:val="000010000000" w:firstRow="0" w:lastRow="0" w:firstColumn="0" w:lastColumn="0" w:oddVBand="1" w:evenVBand="0" w:oddHBand="0" w:evenHBand="0" w:firstRowFirstColumn="0" w:firstRowLastColumn="0" w:lastRowFirstColumn="0" w:lastRowLastColumn="0"/>
            <w:tcW w:w="1317" w:type="dxa"/>
          </w:tcPr>
          <w:p w14:paraId="33880A94" w14:textId="77777777" w:rsidR="005378E5" w:rsidRPr="004A0C12" w:rsidRDefault="005378E5" w:rsidP="008C4670">
            <w:pPr>
              <w:rPr>
                <w:rFonts w:ascii="Garamond" w:hAnsi="Garamond"/>
                <w:sz w:val="22"/>
                <w:szCs w:val="22"/>
              </w:rPr>
            </w:pPr>
            <w:r w:rsidRPr="004A0C12">
              <w:rPr>
                <w:rFonts w:ascii="Garamond" w:hAnsi="Garamond"/>
                <w:sz w:val="22"/>
                <w:szCs w:val="22"/>
              </w:rPr>
              <w:t>80,208</w:t>
            </w:r>
          </w:p>
        </w:tc>
        <w:tc>
          <w:tcPr>
            <w:tcW w:w="1192" w:type="dxa"/>
          </w:tcPr>
          <w:p w14:paraId="050A930E"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657</w:t>
            </w:r>
          </w:p>
        </w:tc>
        <w:tc>
          <w:tcPr>
            <w:cnfStyle w:val="000010000000" w:firstRow="0" w:lastRow="0" w:firstColumn="0" w:lastColumn="0" w:oddVBand="1" w:evenVBand="0" w:oddHBand="0" w:evenHBand="0" w:firstRowFirstColumn="0" w:firstRowLastColumn="0" w:lastRowFirstColumn="0" w:lastRowLastColumn="0"/>
            <w:tcW w:w="1723" w:type="dxa"/>
          </w:tcPr>
          <w:p w14:paraId="01B837E9" w14:textId="77777777" w:rsidR="005378E5" w:rsidRPr="004A0C12" w:rsidRDefault="005378E5" w:rsidP="008C4670">
            <w:pPr>
              <w:rPr>
                <w:rFonts w:ascii="Garamond" w:hAnsi="Garamond"/>
                <w:sz w:val="22"/>
                <w:szCs w:val="22"/>
              </w:rPr>
            </w:pPr>
            <w:r w:rsidRPr="004A0C12">
              <w:rPr>
                <w:rFonts w:ascii="Garamond" w:hAnsi="Garamond"/>
                <w:sz w:val="22"/>
                <w:szCs w:val="22"/>
              </w:rPr>
              <w:t>606</w:t>
            </w:r>
          </w:p>
        </w:tc>
        <w:tc>
          <w:tcPr>
            <w:tcW w:w="1292" w:type="dxa"/>
          </w:tcPr>
          <w:p w14:paraId="1345A57D"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337</w:t>
            </w:r>
          </w:p>
        </w:tc>
        <w:tc>
          <w:tcPr>
            <w:cnfStyle w:val="000010000000" w:firstRow="0" w:lastRow="0" w:firstColumn="0" w:lastColumn="0" w:oddVBand="1" w:evenVBand="0" w:oddHBand="0" w:evenHBand="0" w:firstRowFirstColumn="0" w:firstRowLastColumn="0" w:lastRowFirstColumn="0" w:lastRowLastColumn="0"/>
            <w:tcW w:w="1266" w:type="dxa"/>
          </w:tcPr>
          <w:p w14:paraId="71EA5698" w14:textId="77777777" w:rsidR="005378E5" w:rsidRPr="004A0C12" w:rsidRDefault="005378E5" w:rsidP="008C4670">
            <w:pPr>
              <w:rPr>
                <w:rFonts w:ascii="Garamond" w:hAnsi="Garamond"/>
                <w:sz w:val="22"/>
                <w:szCs w:val="22"/>
              </w:rPr>
            </w:pPr>
            <w:r w:rsidRPr="004A0C12">
              <w:rPr>
                <w:rFonts w:ascii="Garamond" w:hAnsi="Garamond"/>
                <w:sz w:val="22"/>
                <w:szCs w:val="22"/>
              </w:rPr>
              <w:t>68</w:t>
            </w:r>
          </w:p>
        </w:tc>
        <w:tc>
          <w:tcPr>
            <w:tcW w:w="1111" w:type="dxa"/>
          </w:tcPr>
          <w:p w14:paraId="4609002D"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62%</w:t>
            </w:r>
          </w:p>
        </w:tc>
      </w:tr>
      <w:tr w:rsidR="005378E5" w:rsidRPr="004A0C12" w14:paraId="79823E55"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7C407631" w14:textId="77777777" w:rsidR="005378E5" w:rsidRPr="004A0C12" w:rsidRDefault="005378E5" w:rsidP="008C4670">
            <w:pPr>
              <w:rPr>
                <w:rFonts w:ascii="Garamond" w:hAnsi="Garamond"/>
                <w:sz w:val="22"/>
                <w:szCs w:val="22"/>
              </w:rPr>
            </w:pPr>
            <w:r w:rsidRPr="004A0C12">
              <w:rPr>
                <w:rFonts w:ascii="Garamond" w:hAnsi="Garamond"/>
                <w:sz w:val="22"/>
                <w:szCs w:val="22"/>
              </w:rPr>
              <w:t>ESL Beginning Low</w:t>
            </w:r>
          </w:p>
        </w:tc>
        <w:tc>
          <w:tcPr>
            <w:tcW w:w="1296" w:type="dxa"/>
          </w:tcPr>
          <w:p w14:paraId="50033268"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1,665</w:t>
            </w:r>
          </w:p>
        </w:tc>
        <w:tc>
          <w:tcPr>
            <w:cnfStyle w:val="000010000000" w:firstRow="0" w:lastRow="0" w:firstColumn="0" w:lastColumn="0" w:oddVBand="1" w:evenVBand="0" w:oddHBand="0" w:evenHBand="0" w:firstRowFirstColumn="0" w:firstRowLastColumn="0" w:lastRowFirstColumn="0" w:lastRowLastColumn="0"/>
            <w:tcW w:w="1317" w:type="dxa"/>
          </w:tcPr>
          <w:p w14:paraId="25B19C52" w14:textId="77777777" w:rsidR="005378E5" w:rsidRPr="004A0C12" w:rsidRDefault="005378E5" w:rsidP="008C4670">
            <w:pPr>
              <w:rPr>
                <w:rFonts w:ascii="Garamond" w:hAnsi="Garamond"/>
                <w:sz w:val="22"/>
                <w:szCs w:val="22"/>
              </w:rPr>
            </w:pPr>
            <w:r w:rsidRPr="004A0C12">
              <w:rPr>
                <w:rFonts w:ascii="Garamond" w:hAnsi="Garamond"/>
                <w:sz w:val="22"/>
                <w:szCs w:val="22"/>
              </w:rPr>
              <w:t>126,511</w:t>
            </w:r>
          </w:p>
        </w:tc>
        <w:tc>
          <w:tcPr>
            <w:tcW w:w="1192" w:type="dxa"/>
          </w:tcPr>
          <w:p w14:paraId="29C6B5C8"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1,045</w:t>
            </w:r>
          </w:p>
        </w:tc>
        <w:tc>
          <w:tcPr>
            <w:cnfStyle w:val="000010000000" w:firstRow="0" w:lastRow="0" w:firstColumn="0" w:lastColumn="0" w:oddVBand="1" w:evenVBand="0" w:oddHBand="0" w:evenHBand="0" w:firstRowFirstColumn="0" w:firstRowLastColumn="0" w:lastRowFirstColumn="0" w:lastRowLastColumn="0"/>
            <w:tcW w:w="1723" w:type="dxa"/>
          </w:tcPr>
          <w:p w14:paraId="473871C7" w14:textId="77777777" w:rsidR="005378E5" w:rsidRPr="004A0C12" w:rsidRDefault="005378E5" w:rsidP="008C4670">
            <w:pPr>
              <w:rPr>
                <w:rFonts w:ascii="Garamond" w:hAnsi="Garamond"/>
                <w:sz w:val="22"/>
                <w:szCs w:val="22"/>
              </w:rPr>
            </w:pPr>
            <w:r w:rsidRPr="004A0C12">
              <w:rPr>
                <w:rFonts w:ascii="Garamond" w:hAnsi="Garamond"/>
                <w:sz w:val="22"/>
                <w:szCs w:val="22"/>
              </w:rPr>
              <w:t>943</w:t>
            </w:r>
          </w:p>
        </w:tc>
        <w:tc>
          <w:tcPr>
            <w:tcW w:w="1292" w:type="dxa"/>
          </w:tcPr>
          <w:p w14:paraId="5B71BB01"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450</w:t>
            </w:r>
          </w:p>
        </w:tc>
        <w:tc>
          <w:tcPr>
            <w:cnfStyle w:val="000010000000" w:firstRow="0" w:lastRow="0" w:firstColumn="0" w:lastColumn="0" w:oddVBand="1" w:evenVBand="0" w:oddHBand="0" w:evenHBand="0" w:firstRowFirstColumn="0" w:firstRowLastColumn="0" w:lastRowFirstColumn="0" w:lastRowLastColumn="0"/>
            <w:tcW w:w="1266" w:type="dxa"/>
          </w:tcPr>
          <w:p w14:paraId="351FFBCB" w14:textId="77777777" w:rsidR="005378E5" w:rsidRPr="004A0C12" w:rsidRDefault="005378E5" w:rsidP="008C4670">
            <w:pPr>
              <w:rPr>
                <w:rFonts w:ascii="Garamond" w:hAnsi="Garamond"/>
                <w:sz w:val="22"/>
                <w:szCs w:val="22"/>
              </w:rPr>
            </w:pPr>
            <w:r w:rsidRPr="004A0C12">
              <w:rPr>
                <w:rFonts w:ascii="Garamond" w:hAnsi="Garamond"/>
                <w:sz w:val="22"/>
                <w:szCs w:val="22"/>
              </w:rPr>
              <w:t>170</w:t>
            </w:r>
          </w:p>
        </w:tc>
        <w:tc>
          <w:tcPr>
            <w:tcW w:w="1111" w:type="dxa"/>
          </w:tcPr>
          <w:p w14:paraId="270B59D6"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63%</w:t>
            </w:r>
          </w:p>
        </w:tc>
      </w:tr>
      <w:tr w:rsidR="005378E5" w:rsidRPr="004A0C12" w14:paraId="08755F2C"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149E29AF" w14:textId="77777777" w:rsidR="005378E5" w:rsidRPr="004A0C12" w:rsidRDefault="005378E5" w:rsidP="008C4670">
            <w:pPr>
              <w:rPr>
                <w:rFonts w:ascii="Garamond" w:hAnsi="Garamond"/>
                <w:sz w:val="22"/>
                <w:szCs w:val="22"/>
              </w:rPr>
            </w:pPr>
            <w:r w:rsidRPr="004A0C12">
              <w:rPr>
                <w:rFonts w:ascii="Garamond" w:hAnsi="Garamond"/>
                <w:sz w:val="22"/>
                <w:szCs w:val="22"/>
              </w:rPr>
              <w:t>ESL Beginning High</w:t>
            </w:r>
          </w:p>
        </w:tc>
        <w:tc>
          <w:tcPr>
            <w:tcW w:w="1296" w:type="dxa"/>
          </w:tcPr>
          <w:p w14:paraId="12B1DA25"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3,425</w:t>
            </w:r>
          </w:p>
        </w:tc>
        <w:tc>
          <w:tcPr>
            <w:cnfStyle w:val="000010000000" w:firstRow="0" w:lastRow="0" w:firstColumn="0" w:lastColumn="0" w:oddVBand="1" w:evenVBand="0" w:oddHBand="0" w:evenHBand="0" w:firstRowFirstColumn="0" w:firstRowLastColumn="0" w:lastRowFirstColumn="0" w:lastRowLastColumn="0"/>
            <w:tcW w:w="1317" w:type="dxa"/>
          </w:tcPr>
          <w:p w14:paraId="4C0A806D" w14:textId="77777777" w:rsidR="005378E5" w:rsidRPr="004A0C12" w:rsidRDefault="005378E5" w:rsidP="008C4670">
            <w:pPr>
              <w:rPr>
                <w:rFonts w:ascii="Garamond" w:hAnsi="Garamond"/>
                <w:sz w:val="22"/>
                <w:szCs w:val="22"/>
              </w:rPr>
            </w:pPr>
            <w:r w:rsidRPr="004A0C12">
              <w:rPr>
                <w:rFonts w:ascii="Garamond" w:hAnsi="Garamond"/>
                <w:sz w:val="22"/>
                <w:szCs w:val="22"/>
              </w:rPr>
              <w:t>257,402</w:t>
            </w:r>
          </w:p>
        </w:tc>
        <w:tc>
          <w:tcPr>
            <w:tcW w:w="1192" w:type="dxa"/>
          </w:tcPr>
          <w:p w14:paraId="49EDBE46"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1,740</w:t>
            </w:r>
          </w:p>
        </w:tc>
        <w:tc>
          <w:tcPr>
            <w:cnfStyle w:val="000010000000" w:firstRow="0" w:lastRow="0" w:firstColumn="0" w:lastColumn="0" w:oddVBand="1" w:evenVBand="0" w:oddHBand="0" w:evenHBand="0" w:firstRowFirstColumn="0" w:firstRowLastColumn="0" w:lastRowFirstColumn="0" w:lastRowLastColumn="0"/>
            <w:tcW w:w="1723" w:type="dxa"/>
          </w:tcPr>
          <w:p w14:paraId="40A953C1" w14:textId="77777777" w:rsidR="005378E5" w:rsidRPr="004A0C12" w:rsidRDefault="005378E5" w:rsidP="008C4670">
            <w:pPr>
              <w:rPr>
                <w:rFonts w:ascii="Garamond" w:hAnsi="Garamond"/>
                <w:sz w:val="22"/>
                <w:szCs w:val="22"/>
              </w:rPr>
            </w:pPr>
            <w:r w:rsidRPr="004A0C12">
              <w:rPr>
                <w:rFonts w:ascii="Garamond" w:hAnsi="Garamond"/>
                <w:sz w:val="22"/>
                <w:szCs w:val="22"/>
              </w:rPr>
              <w:t>1,564</w:t>
            </w:r>
          </w:p>
        </w:tc>
        <w:tc>
          <w:tcPr>
            <w:tcW w:w="1292" w:type="dxa"/>
          </w:tcPr>
          <w:p w14:paraId="3AFEE22A"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1,166</w:t>
            </w:r>
          </w:p>
        </w:tc>
        <w:tc>
          <w:tcPr>
            <w:cnfStyle w:val="000010000000" w:firstRow="0" w:lastRow="0" w:firstColumn="0" w:lastColumn="0" w:oddVBand="1" w:evenVBand="0" w:oddHBand="0" w:evenHBand="0" w:firstRowFirstColumn="0" w:firstRowLastColumn="0" w:lastRowFirstColumn="0" w:lastRowLastColumn="0"/>
            <w:tcW w:w="1266" w:type="dxa"/>
          </w:tcPr>
          <w:p w14:paraId="5F3730EF" w14:textId="77777777" w:rsidR="005378E5" w:rsidRPr="004A0C12" w:rsidRDefault="005378E5" w:rsidP="008C4670">
            <w:pPr>
              <w:rPr>
                <w:rFonts w:ascii="Garamond" w:hAnsi="Garamond"/>
                <w:sz w:val="22"/>
                <w:szCs w:val="22"/>
              </w:rPr>
            </w:pPr>
            <w:r w:rsidRPr="004A0C12">
              <w:rPr>
                <w:rFonts w:ascii="Garamond" w:hAnsi="Garamond"/>
                <w:sz w:val="22"/>
                <w:szCs w:val="22"/>
              </w:rPr>
              <w:t>519</w:t>
            </w:r>
          </w:p>
        </w:tc>
        <w:tc>
          <w:tcPr>
            <w:tcW w:w="1111" w:type="dxa"/>
          </w:tcPr>
          <w:p w14:paraId="635D2C32"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51%</w:t>
            </w:r>
          </w:p>
        </w:tc>
      </w:tr>
      <w:tr w:rsidR="005378E5" w:rsidRPr="004A0C12" w14:paraId="766836E7"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19D0C8C5" w14:textId="77777777" w:rsidR="005378E5" w:rsidRPr="004A0C12" w:rsidRDefault="005378E5" w:rsidP="008C4670">
            <w:pPr>
              <w:rPr>
                <w:rFonts w:ascii="Garamond" w:hAnsi="Garamond"/>
                <w:sz w:val="22"/>
                <w:szCs w:val="22"/>
              </w:rPr>
            </w:pPr>
            <w:r w:rsidRPr="004A0C12">
              <w:rPr>
                <w:rFonts w:ascii="Garamond" w:hAnsi="Garamond"/>
                <w:sz w:val="22"/>
                <w:szCs w:val="22"/>
              </w:rPr>
              <w:t>ESL Intermediate Low</w:t>
            </w:r>
          </w:p>
        </w:tc>
        <w:tc>
          <w:tcPr>
            <w:tcW w:w="1296" w:type="dxa"/>
          </w:tcPr>
          <w:p w14:paraId="79B2E05D"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4,038</w:t>
            </w:r>
          </w:p>
        </w:tc>
        <w:tc>
          <w:tcPr>
            <w:cnfStyle w:val="000010000000" w:firstRow="0" w:lastRow="0" w:firstColumn="0" w:lastColumn="0" w:oddVBand="1" w:evenVBand="0" w:oddHBand="0" w:evenHBand="0" w:firstRowFirstColumn="0" w:firstRowLastColumn="0" w:lastRowFirstColumn="0" w:lastRowLastColumn="0"/>
            <w:tcW w:w="1317" w:type="dxa"/>
          </w:tcPr>
          <w:p w14:paraId="5E5655D5" w14:textId="77777777" w:rsidR="005378E5" w:rsidRPr="004A0C12" w:rsidRDefault="005378E5" w:rsidP="008C4670">
            <w:pPr>
              <w:rPr>
                <w:rFonts w:ascii="Garamond" w:hAnsi="Garamond"/>
                <w:sz w:val="22"/>
                <w:szCs w:val="22"/>
              </w:rPr>
            </w:pPr>
            <w:r w:rsidRPr="004A0C12">
              <w:rPr>
                <w:rFonts w:ascii="Garamond" w:hAnsi="Garamond"/>
                <w:sz w:val="22"/>
                <w:szCs w:val="22"/>
              </w:rPr>
              <w:t>301,885</w:t>
            </w:r>
          </w:p>
        </w:tc>
        <w:tc>
          <w:tcPr>
            <w:tcW w:w="1192" w:type="dxa"/>
          </w:tcPr>
          <w:p w14:paraId="3127A492"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1,747</w:t>
            </w:r>
          </w:p>
        </w:tc>
        <w:tc>
          <w:tcPr>
            <w:cnfStyle w:val="000010000000" w:firstRow="0" w:lastRow="0" w:firstColumn="0" w:lastColumn="0" w:oddVBand="1" w:evenVBand="0" w:oddHBand="0" w:evenHBand="0" w:firstRowFirstColumn="0" w:firstRowLastColumn="0" w:lastRowFirstColumn="0" w:lastRowLastColumn="0"/>
            <w:tcW w:w="1723" w:type="dxa"/>
          </w:tcPr>
          <w:p w14:paraId="58E146DC" w14:textId="77777777" w:rsidR="005378E5" w:rsidRPr="004A0C12" w:rsidRDefault="005378E5" w:rsidP="008C4670">
            <w:pPr>
              <w:rPr>
                <w:rFonts w:ascii="Garamond" w:hAnsi="Garamond"/>
                <w:sz w:val="22"/>
                <w:szCs w:val="22"/>
              </w:rPr>
            </w:pPr>
            <w:r w:rsidRPr="004A0C12">
              <w:rPr>
                <w:rFonts w:ascii="Garamond" w:hAnsi="Garamond"/>
                <w:sz w:val="22"/>
                <w:szCs w:val="22"/>
              </w:rPr>
              <w:t>1,552</w:t>
            </w:r>
          </w:p>
        </w:tc>
        <w:tc>
          <w:tcPr>
            <w:tcW w:w="1292" w:type="dxa"/>
          </w:tcPr>
          <w:p w14:paraId="55684D3F"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1,623</w:t>
            </w:r>
          </w:p>
        </w:tc>
        <w:tc>
          <w:tcPr>
            <w:cnfStyle w:val="000010000000" w:firstRow="0" w:lastRow="0" w:firstColumn="0" w:lastColumn="0" w:oddVBand="1" w:evenVBand="0" w:oddHBand="0" w:evenHBand="0" w:firstRowFirstColumn="0" w:firstRowLastColumn="0" w:lastRowFirstColumn="0" w:lastRowLastColumn="0"/>
            <w:tcW w:w="1266" w:type="dxa"/>
          </w:tcPr>
          <w:p w14:paraId="1D68563C" w14:textId="77777777" w:rsidR="005378E5" w:rsidRPr="004A0C12" w:rsidRDefault="005378E5" w:rsidP="008C4670">
            <w:pPr>
              <w:rPr>
                <w:rFonts w:ascii="Garamond" w:hAnsi="Garamond"/>
                <w:sz w:val="22"/>
                <w:szCs w:val="22"/>
              </w:rPr>
            </w:pPr>
            <w:r w:rsidRPr="004A0C12">
              <w:rPr>
                <w:rFonts w:ascii="Garamond" w:hAnsi="Garamond"/>
                <w:sz w:val="22"/>
                <w:szCs w:val="22"/>
              </w:rPr>
              <w:t>668</w:t>
            </w:r>
          </w:p>
        </w:tc>
        <w:tc>
          <w:tcPr>
            <w:tcW w:w="1111" w:type="dxa"/>
          </w:tcPr>
          <w:p w14:paraId="46C1084C"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43%</w:t>
            </w:r>
          </w:p>
        </w:tc>
      </w:tr>
      <w:tr w:rsidR="005378E5" w:rsidRPr="004A0C12" w14:paraId="1082AD9A"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170F4052" w14:textId="77777777" w:rsidR="005378E5" w:rsidRPr="004A0C12" w:rsidRDefault="005378E5" w:rsidP="008C4670">
            <w:pPr>
              <w:rPr>
                <w:rFonts w:ascii="Garamond" w:hAnsi="Garamond"/>
                <w:sz w:val="22"/>
                <w:szCs w:val="22"/>
              </w:rPr>
            </w:pPr>
            <w:r w:rsidRPr="004A0C12">
              <w:rPr>
                <w:rFonts w:ascii="Garamond" w:hAnsi="Garamond"/>
                <w:sz w:val="22"/>
                <w:szCs w:val="22"/>
              </w:rPr>
              <w:t>ESL Intermediate High</w:t>
            </w:r>
          </w:p>
        </w:tc>
        <w:tc>
          <w:tcPr>
            <w:tcW w:w="1296" w:type="dxa"/>
          </w:tcPr>
          <w:p w14:paraId="3F233BC4"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2,943</w:t>
            </w:r>
          </w:p>
        </w:tc>
        <w:tc>
          <w:tcPr>
            <w:cnfStyle w:val="000010000000" w:firstRow="0" w:lastRow="0" w:firstColumn="0" w:lastColumn="0" w:oddVBand="1" w:evenVBand="0" w:oddHBand="0" w:evenHBand="0" w:firstRowFirstColumn="0" w:firstRowLastColumn="0" w:lastRowFirstColumn="0" w:lastRowLastColumn="0"/>
            <w:tcW w:w="1317" w:type="dxa"/>
          </w:tcPr>
          <w:p w14:paraId="45B8ADF6" w14:textId="77777777" w:rsidR="005378E5" w:rsidRPr="004A0C12" w:rsidRDefault="005378E5" w:rsidP="008C4670">
            <w:pPr>
              <w:rPr>
                <w:rFonts w:ascii="Garamond" w:hAnsi="Garamond"/>
                <w:sz w:val="22"/>
                <w:szCs w:val="22"/>
              </w:rPr>
            </w:pPr>
            <w:r w:rsidRPr="004A0C12">
              <w:rPr>
                <w:rFonts w:ascii="Garamond" w:hAnsi="Garamond"/>
                <w:sz w:val="22"/>
                <w:szCs w:val="22"/>
              </w:rPr>
              <w:t>228,277</w:t>
            </w:r>
          </w:p>
        </w:tc>
        <w:tc>
          <w:tcPr>
            <w:tcW w:w="1192" w:type="dxa"/>
          </w:tcPr>
          <w:p w14:paraId="58F69573"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1,118</w:t>
            </w:r>
          </w:p>
        </w:tc>
        <w:tc>
          <w:tcPr>
            <w:cnfStyle w:val="000010000000" w:firstRow="0" w:lastRow="0" w:firstColumn="0" w:lastColumn="0" w:oddVBand="1" w:evenVBand="0" w:oddHBand="0" w:evenHBand="0" w:firstRowFirstColumn="0" w:firstRowLastColumn="0" w:lastRowFirstColumn="0" w:lastRowLastColumn="0"/>
            <w:tcW w:w="1723" w:type="dxa"/>
          </w:tcPr>
          <w:p w14:paraId="06D049E0" w14:textId="77777777" w:rsidR="005378E5" w:rsidRPr="004A0C12" w:rsidRDefault="005378E5" w:rsidP="008C4670">
            <w:pPr>
              <w:rPr>
                <w:rFonts w:ascii="Garamond" w:hAnsi="Garamond"/>
                <w:sz w:val="22"/>
                <w:szCs w:val="22"/>
              </w:rPr>
            </w:pPr>
            <w:r w:rsidRPr="004A0C12">
              <w:rPr>
                <w:rFonts w:ascii="Garamond" w:hAnsi="Garamond"/>
                <w:sz w:val="22"/>
                <w:szCs w:val="22"/>
              </w:rPr>
              <w:t>1,013</w:t>
            </w:r>
          </w:p>
        </w:tc>
        <w:tc>
          <w:tcPr>
            <w:tcW w:w="1292" w:type="dxa"/>
          </w:tcPr>
          <w:p w14:paraId="7FAEDBD4"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1,363</w:t>
            </w:r>
          </w:p>
        </w:tc>
        <w:tc>
          <w:tcPr>
            <w:cnfStyle w:val="000010000000" w:firstRow="0" w:lastRow="0" w:firstColumn="0" w:lastColumn="0" w:oddVBand="1" w:evenVBand="0" w:oddHBand="0" w:evenHBand="0" w:firstRowFirstColumn="0" w:firstRowLastColumn="0" w:lastRowFirstColumn="0" w:lastRowLastColumn="0"/>
            <w:tcW w:w="1266" w:type="dxa"/>
          </w:tcPr>
          <w:p w14:paraId="723462D4" w14:textId="77777777" w:rsidR="005378E5" w:rsidRPr="004A0C12" w:rsidRDefault="005378E5" w:rsidP="008C4670">
            <w:pPr>
              <w:rPr>
                <w:rFonts w:ascii="Garamond" w:hAnsi="Garamond"/>
                <w:sz w:val="22"/>
                <w:szCs w:val="22"/>
              </w:rPr>
            </w:pPr>
            <w:r w:rsidRPr="004A0C12">
              <w:rPr>
                <w:rFonts w:ascii="Garamond" w:hAnsi="Garamond"/>
                <w:sz w:val="22"/>
                <w:szCs w:val="22"/>
              </w:rPr>
              <w:t>462</w:t>
            </w:r>
          </w:p>
        </w:tc>
        <w:tc>
          <w:tcPr>
            <w:tcW w:w="1111" w:type="dxa"/>
          </w:tcPr>
          <w:p w14:paraId="5EC040CC"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38%</w:t>
            </w:r>
          </w:p>
        </w:tc>
      </w:tr>
      <w:tr w:rsidR="005378E5" w:rsidRPr="004A0C12" w14:paraId="2A4B52D3"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004A981C" w14:textId="77777777" w:rsidR="005378E5" w:rsidRPr="004A0C12" w:rsidRDefault="005378E5" w:rsidP="008C4670">
            <w:pPr>
              <w:rPr>
                <w:rFonts w:ascii="Garamond" w:hAnsi="Garamond"/>
                <w:sz w:val="22"/>
                <w:szCs w:val="22"/>
              </w:rPr>
            </w:pPr>
            <w:r w:rsidRPr="004A0C12">
              <w:rPr>
                <w:rFonts w:ascii="Garamond" w:hAnsi="Garamond"/>
                <w:sz w:val="22"/>
                <w:szCs w:val="22"/>
              </w:rPr>
              <w:t>ESL Advanced</w:t>
            </w:r>
          </w:p>
        </w:tc>
        <w:tc>
          <w:tcPr>
            <w:tcW w:w="1296" w:type="dxa"/>
          </w:tcPr>
          <w:p w14:paraId="48BA0F43"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1,485</w:t>
            </w:r>
          </w:p>
        </w:tc>
        <w:tc>
          <w:tcPr>
            <w:cnfStyle w:val="000010000000" w:firstRow="0" w:lastRow="0" w:firstColumn="0" w:lastColumn="0" w:oddVBand="1" w:evenVBand="0" w:oddHBand="0" w:evenHBand="0" w:firstRowFirstColumn="0" w:firstRowLastColumn="0" w:lastRowFirstColumn="0" w:lastRowLastColumn="0"/>
            <w:tcW w:w="1317" w:type="dxa"/>
          </w:tcPr>
          <w:p w14:paraId="24E853CF" w14:textId="77777777" w:rsidR="005378E5" w:rsidRPr="004A0C12" w:rsidRDefault="005378E5" w:rsidP="008C4670">
            <w:pPr>
              <w:rPr>
                <w:rFonts w:ascii="Garamond" w:hAnsi="Garamond"/>
                <w:sz w:val="22"/>
                <w:szCs w:val="22"/>
              </w:rPr>
            </w:pPr>
            <w:r w:rsidRPr="004A0C12">
              <w:rPr>
                <w:rFonts w:ascii="Garamond" w:hAnsi="Garamond"/>
                <w:sz w:val="22"/>
                <w:szCs w:val="22"/>
              </w:rPr>
              <w:t>110,919</w:t>
            </w:r>
          </w:p>
        </w:tc>
        <w:tc>
          <w:tcPr>
            <w:tcW w:w="1192" w:type="dxa"/>
          </w:tcPr>
          <w:p w14:paraId="7FE40596"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167</w:t>
            </w:r>
          </w:p>
        </w:tc>
        <w:tc>
          <w:tcPr>
            <w:cnfStyle w:val="000010000000" w:firstRow="0" w:lastRow="0" w:firstColumn="0" w:lastColumn="0" w:oddVBand="1" w:evenVBand="0" w:oddHBand="0" w:evenHBand="0" w:firstRowFirstColumn="0" w:firstRowLastColumn="0" w:lastRowFirstColumn="0" w:lastRowLastColumn="0"/>
            <w:tcW w:w="1723" w:type="dxa"/>
          </w:tcPr>
          <w:p w14:paraId="69B74014" w14:textId="77777777" w:rsidR="005378E5" w:rsidRPr="004A0C12" w:rsidRDefault="005378E5" w:rsidP="008C4670">
            <w:pPr>
              <w:rPr>
                <w:rFonts w:ascii="Garamond" w:hAnsi="Garamond"/>
                <w:sz w:val="22"/>
                <w:szCs w:val="22"/>
              </w:rPr>
            </w:pPr>
            <w:r w:rsidRPr="004A0C12">
              <w:rPr>
                <w:rFonts w:ascii="Garamond" w:hAnsi="Garamond"/>
                <w:sz w:val="22"/>
                <w:szCs w:val="22"/>
              </w:rPr>
              <w:t>0</w:t>
            </w:r>
          </w:p>
        </w:tc>
        <w:tc>
          <w:tcPr>
            <w:tcW w:w="1292" w:type="dxa"/>
          </w:tcPr>
          <w:p w14:paraId="36223162"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1,067</w:t>
            </w:r>
          </w:p>
        </w:tc>
        <w:tc>
          <w:tcPr>
            <w:cnfStyle w:val="000010000000" w:firstRow="0" w:lastRow="0" w:firstColumn="0" w:lastColumn="0" w:oddVBand="1" w:evenVBand="0" w:oddHBand="0" w:evenHBand="0" w:firstRowFirstColumn="0" w:firstRowLastColumn="0" w:lastRowFirstColumn="0" w:lastRowLastColumn="0"/>
            <w:tcW w:w="1266" w:type="dxa"/>
          </w:tcPr>
          <w:p w14:paraId="58CD4894" w14:textId="77777777" w:rsidR="005378E5" w:rsidRPr="004A0C12" w:rsidRDefault="005378E5" w:rsidP="008C4670">
            <w:pPr>
              <w:rPr>
                <w:rFonts w:ascii="Garamond" w:hAnsi="Garamond"/>
                <w:sz w:val="22"/>
                <w:szCs w:val="22"/>
              </w:rPr>
            </w:pPr>
            <w:r w:rsidRPr="004A0C12">
              <w:rPr>
                <w:rFonts w:ascii="Garamond" w:hAnsi="Garamond"/>
                <w:sz w:val="22"/>
                <w:szCs w:val="22"/>
              </w:rPr>
              <w:t>251</w:t>
            </w:r>
          </w:p>
        </w:tc>
        <w:tc>
          <w:tcPr>
            <w:tcW w:w="1111" w:type="dxa"/>
          </w:tcPr>
          <w:p w14:paraId="566636A6" w14:textId="77777777" w:rsidR="005378E5" w:rsidRPr="004A0C12" w:rsidRDefault="005378E5" w:rsidP="008C4670">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w:t>
            </w:r>
          </w:p>
        </w:tc>
      </w:tr>
      <w:tr w:rsidR="005378E5" w:rsidRPr="004A0C12" w14:paraId="419FA0FD"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26B53E4C" w14:textId="77777777" w:rsidR="005378E5" w:rsidRPr="004A0C12" w:rsidRDefault="005378E5" w:rsidP="008C4670">
            <w:pPr>
              <w:rPr>
                <w:rFonts w:ascii="Garamond" w:hAnsi="Garamond"/>
                <w:sz w:val="22"/>
                <w:szCs w:val="22"/>
              </w:rPr>
            </w:pPr>
            <w:r w:rsidRPr="004A0C12">
              <w:rPr>
                <w:rFonts w:ascii="Garamond" w:hAnsi="Garamond"/>
                <w:sz w:val="22"/>
                <w:szCs w:val="22"/>
              </w:rPr>
              <w:t xml:space="preserve">TOTAL </w:t>
            </w:r>
          </w:p>
        </w:tc>
        <w:tc>
          <w:tcPr>
            <w:tcW w:w="1296" w:type="dxa"/>
          </w:tcPr>
          <w:p w14:paraId="1223B4B1"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30,054</w:t>
            </w:r>
          </w:p>
        </w:tc>
        <w:tc>
          <w:tcPr>
            <w:cnfStyle w:val="000010000000" w:firstRow="0" w:lastRow="0" w:firstColumn="0" w:lastColumn="0" w:oddVBand="1" w:evenVBand="0" w:oddHBand="0" w:evenHBand="0" w:firstRowFirstColumn="0" w:firstRowLastColumn="0" w:lastRowFirstColumn="0" w:lastRowLastColumn="0"/>
            <w:tcW w:w="1317" w:type="dxa"/>
          </w:tcPr>
          <w:p w14:paraId="7ED79DEC" w14:textId="77777777" w:rsidR="005378E5" w:rsidRPr="004A0C12" w:rsidRDefault="005378E5" w:rsidP="008C4670">
            <w:pPr>
              <w:rPr>
                <w:rFonts w:ascii="Garamond" w:hAnsi="Garamond"/>
                <w:sz w:val="22"/>
                <w:szCs w:val="22"/>
              </w:rPr>
            </w:pPr>
            <w:r w:rsidRPr="004A0C12">
              <w:rPr>
                <w:rFonts w:ascii="Garamond" w:hAnsi="Garamond"/>
                <w:sz w:val="22"/>
                <w:szCs w:val="22"/>
              </w:rPr>
              <w:t>2,571,451</w:t>
            </w:r>
          </w:p>
        </w:tc>
        <w:tc>
          <w:tcPr>
            <w:tcW w:w="1192" w:type="dxa"/>
          </w:tcPr>
          <w:p w14:paraId="30D26CB5"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11,174</w:t>
            </w:r>
          </w:p>
        </w:tc>
        <w:tc>
          <w:tcPr>
            <w:cnfStyle w:val="000010000000" w:firstRow="0" w:lastRow="0" w:firstColumn="0" w:lastColumn="0" w:oddVBand="1" w:evenVBand="0" w:oddHBand="0" w:evenHBand="0" w:firstRowFirstColumn="0" w:firstRowLastColumn="0" w:lastRowFirstColumn="0" w:lastRowLastColumn="0"/>
            <w:tcW w:w="1723" w:type="dxa"/>
          </w:tcPr>
          <w:p w14:paraId="13A12CE7" w14:textId="77777777" w:rsidR="005378E5" w:rsidRPr="004A0C12" w:rsidRDefault="005378E5" w:rsidP="008C4670">
            <w:pPr>
              <w:rPr>
                <w:rFonts w:ascii="Garamond" w:hAnsi="Garamond"/>
                <w:sz w:val="22"/>
                <w:szCs w:val="22"/>
              </w:rPr>
            </w:pPr>
            <w:r w:rsidRPr="004A0C12">
              <w:rPr>
                <w:rFonts w:ascii="Garamond" w:hAnsi="Garamond"/>
                <w:sz w:val="22"/>
                <w:szCs w:val="22"/>
              </w:rPr>
              <w:t>9,477</w:t>
            </w:r>
          </w:p>
        </w:tc>
        <w:tc>
          <w:tcPr>
            <w:tcW w:w="1292" w:type="dxa"/>
          </w:tcPr>
          <w:p w14:paraId="294468E5"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15,782</w:t>
            </w:r>
          </w:p>
        </w:tc>
        <w:tc>
          <w:tcPr>
            <w:cnfStyle w:val="000010000000" w:firstRow="0" w:lastRow="0" w:firstColumn="0" w:lastColumn="0" w:oddVBand="1" w:evenVBand="0" w:oddHBand="0" w:evenHBand="0" w:firstRowFirstColumn="0" w:firstRowLastColumn="0" w:lastRowFirstColumn="0" w:lastRowLastColumn="0"/>
            <w:tcW w:w="1266" w:type="dxa"/>
          </w:tcPr>
          <w:p w14:paraId="4078DDE7" w14:textId="77777777" w:rsidR="005378E5" w:rsidRPr="004A0C12" w:rsidRDefault="005378E5" w:rsidP="008C4670">
            <w:pPr>
              <w:rPr>
                <w:rFonts w:ascii="Garamond" w:hAnsi="Garamond"/>
                <w:sz w:val="22"/>
                <w:szCs w:val="22"/>
              </w:rPr>
            </w:pPr>
            <w:r w:rsidRPr="004A0C12">
              <w:rPr>
                <w:rFonts w:ascii="Garamond" w:hAnsi="Garamond"/>
                <w:sz w:val="22"/>
                <w:szCs w:val="22"/>
              </w:rPr>
              <w:t>3,098</w:t>
            </w:r>
          </w:p>
        </w:tc>
        <w:tc>
          <w:tcPr>
            <w:tcW w:w="1111" w:type="dxa"/>
          </w:tcPr>
          <w:p w14:paraId="77E5B00B" w14:textId="77777777" w:rsidR="005378E5" w:rsidRPr="004A0C12" w:rsidRDefault="005378E5" w:rsidP="008C4670">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37%</w:t>
            </w:r>
          </w:p>
        </w:tc>
      </w:tr>
    </w:tbl>
    <w:p w14:paraId="44DF89AF" w14:textId="77777777" w:rsidR="005378E5" w:rsidRDefault="005378E5" w:rsidP="0074457B">
      <w:pPr>
        <w:spacing w:after="0" w:line="240" w:lineRule="auto"/>
        <w:rPr>
          <w:rFonts w:ascii="Garamond" w:hAnsi="Garamond"/>
        </w:rPr>
      </w:pPr>
    </w:p>
    <w:p w14:paraId="1FB8CD73" w14:textId="77777777" w:rsidR="00B25499" w:rsidRDefault="00B25499" w:rsidP="0074457B">
      <w:pPr>
        <w:spacing w:after="0" w:line="240" w:lineRule="auto"/>
        <w:rPr>
          <w:rFonts w:ascii="Garamond" w:hAnsi="Garamond"/>
        </w:rPr>
      </w:pPr>
    </w:p>
    <w:p w14:paraId="0FAE7C56" w14:textId="77777777" w:rsidR="00B25499" w:rsidRDefault="00B25499" w:rsidP="0074457B">
      <w:pPr>
        <w:spacing w:after="0" w:line="240" w:lineRule="auto"/>
        <w:rPr>
          <w:rFonts w:ascii="Garamond" w:hAnsi="Garamond"/>
        </w:rPr>
      </w:pPr>
    </w:p>
    <w:p w14:paraId="33E4B4A0" w14:textId="77777777" w:rsidR="00B25499" w:rsidRPr="004A0C12" w:rsidRDefault="00B25499" w:rsidP="0074457B">
      <w:pPr>
        <w:spacing w:after="0" w:line="240" w:lineRule="auto"/>
        <w:rPr>
          <w:rFonts w:ascii="Garamond" w:hAnsi="Garamond"/>
        </w:rPr>
      </w:pPr>
    </w:p>
    <w:tbl>
      <w:tblPr>
        <w:tblStyle w:val="PlainTable11"/>
        <w:tblW w:w="0" w:type="auto"/>
        <w:tblLayout w:type="fixed"/>
        <w:tblLook w:val="0000" w:firstRow="0" w:lastRow="0" w:firstColumn="0" w:lastColumn="0" w:noHBand="0" w:noVBand="0"/>
        <w:tblCaption w:val="State's Adult Education Performance Outcomes for July 1-2014-June 30,2015"/>
        <w:tblDescription w:val="This chart provides the State's Adult Education Performance Outcomes for July 1-2014-June 30,2015"/>
      </w:tblPr>
      <w:tblGrid>
        <w:gridCol w:w="1795"/>
        <w:gridCol w:w="445"/>
        <w:gridCol w:w="851"/>
        <w:gridCol w:w="537"/>
        <w:gridCol w:w="780"/>
        <w:gridCol w:w="1132"/>
        <w:gridCol w:w="60"/>
        <w:gridCol w:w="995"/>
        <w:gridCol w:w="728"/>
        <w:gridCol w:w="855"/>
        <w:gridCol w:w="437"/>
        <w:gridCol w:w="1146"/>
        <w:gridCol w:w="120"/>
        <w:gridCol w:w="1115"/>
      </w:tblGrid>
      <w:tr w:rsidR="005378E5" w:rsidRPr="004A0C12" w14:paraId="158060B7" w14:textId="77777777" w:rsidTr="008B1D9A">
        <w:trPr>
          <w:trHeight w:val="660"/>
          <w:tblHeader/>
        </w:trPr>
        <w:tc>
          <w:tcPr>
            <w:cnfStyle w:val="000010000000" w:firstRow="0" w:lastRow="0" w:firstColumn="0" w:lastColumn="0" w:oddVBand="1" w:evenVBand="0" w:oddHBand="0" w:evenHBand="0" w:firstRowFirstColumn="0" w:firstRowLastColumn="0" w:lastRowFirstColumn="0" w:lastRowLastColumn="0"/>
            <w:tcW w:w="10996" w:type="dxa"/>
            <w:gridSpan w:val="14"/>
          </w:tcPr>
          <w:p w14:paraId="4B490471" w14:textId="77777777" w:rsidR="005378E5" w:rsidRPr="004A0C12" w:rsidRDefault="005378E5" w:rsidP="008C4670">
            <w:pPr>
              <w:jc w:val="center"/>
              <w:rPr>
                <w:rFonts w:ascii="Garamond" w:hAnsi="Garamond"/>
                <w:sz w:val="22"/>
                <w:szCs w:val="22"/>
              </w:rPr>
            </w:pPr>
            <w:r w:rsidRPr="004A0C12">
              <w:rPr>
                <w:rFonts w:ascii="Garamond" w:hAnsi="Garamond"/>
                <w:sz w:val="22"/>
                <w:szCs w:val="22"/>
              </w:rPr>
              <w:lastRenderedPageBreak/>
              <w:t>Adult Education</w:t>
            </w:r>
          </w:p>
          <w:p w14:paraId="4B3C4CC6" w14:textId="77777777" w:rsidR="005378E5" w:rsidRPr="004A0C12" w:rsidRDefault="005378E5" w:rsidP="008C4670">
            <w:pPr>
              <w:jc w:val="center"/>
              <w:rPr>
                <w:rFonts w:ascii="Garamond" w:hAnsi="Garamond"/>
                <w:sz w:val="22"/>
                <w:szCs w:val="22"/>
              </w:rPr>
            </w:pPr>
            <w:r w:rsidRPr="004A0C12">
              <w:rPr>
                <w:rFonts w:ascii="Garamond" w:hAnsi="Garamond"/>
                <w:sz w:val="22"/>
                <w:szCs w:val="22"/>
              </w:rPr>
              <w:t>Core Follow-Up Outcome Achievement</w:t>
            </w:r>
          </w:p>
          <w:p w14:paraId="635A2D15" w14:textId="1F80DB44" w:rsidR="005378E5" w:rsidRPr="004A0C12" w:rsidRDefault="005378E5" w:rsidP="008C4670">
            <w:pPr>
              <w:jc w:val="center"/>
              <w:rPr>
                <w:rFonts w:ascii="Garamond" w:hAnsi="Garamond"/>
                <w:sz w:val="22"/>
                <w:szCs w:val="22"/>
              </w:rPr>
            </w:pPr>
            <w:r w:rsidRPr="004A0C12">
              <w:rPr>
                <w:rFonts w:ascii="Garamond" w:hAnsi="Garamond"/>
                <w:sz w:val="22"/>
                <w:szCs w:val="22"/>
              </w:rPr>
              <w:t>July 1, 2014 – June 30, 2015</w:t>
            </w:r>
          </w:p>
        </w:tc>
      </w:tr>
      <w:tr w:rsidR="005378E5" w:rsidRPr="004A0C12" w14:paraId="4870A88F" w14:textId="77777777" w:rsidTr="00900002">
        <w:trPr>
          <w:cnfStyle w:val="000000100000" w:firstRow="0" w:lastRow="0" w:firstColumn="0" w:lastColumn="0" w:oddVBand="0" w:evenVBand="0" w:oddHBand="1" w:evenHBand="0" w:firstRowFirstColumn="0" w:firstRowLastColumn="0" w:lastRowFirstColumn="0" w:lastRowLastColumn="0"/>
          <w:trHeight w:val="880"/>
        </w:trPr>
        <w:tc>
          <w:tcPr>
            <w:cnfStyle w:val="000010000000" w:firstRow="0" w:lastRow="0" w:firstColumn="0" w:lastColumn="0" w:oddVBand="1" w:evenVBand="0" w:oddHBand="0" w:evenHBand="0" w:firstRowFirstColumn="0" w:firstRowLastColumn="0" w:lastRowFirstColumn="0" w:lastRowLastColumn="0"/>
            <w:tcW w:w="2240" w:type="dxa"/>
            <w:gridSpan w:val="2"/>
          </w:tcPr>
          <w:p w14:paraId="790AF709" w14:textId="77777777" w:rsidR="005378E5" w:rsidRPr="004A0C12" w:rsidRDefault="005378E5" w:rsidP="008C4670">
            <w:pPr>
              <w:jc w:val="center"/>
              <w:rPr>
                <w:rFonts w:ascii="Garamond" w:hAnsi="Garamond"/>
                <w:sz w:val="22"/>
                <w:szCs w:val="22"/>
              </w:rPr>
            </w:pPr>
          </w:p>
        </w:tc>
        <w:tc>
          <w:tcPr>
            <w:tcW w:w="1388" w:type="dxa"/>
            <w:gridSpan w:val="2"/>
          </w:tcPr>
          <w:p w14:paraId="34B41B11"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Participants in Cohort</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7C7F2C52" w14:textId="77777777" w:rsidR="005378E5" w:rsidRPr="004A0C12" w:rsidRDefault="005378E5" w:rsidP="008C4670">
            <w:pPr>
              <w:jc w:val="center"/>
              <w:rPr>
                <w:rFonts w:ascii="Garamond" w:hAnsi="Garamond"/>
                <w:sz w:val="22"/>
                <w:szCs w:val="22"/>
              </w:rPr>
            </w:pPr>
            <w:r w:rsidRPr="004A0C12">
              <w:rPr>
                <w:rFonts w:ascii="Garamond" w:hAnsi="Garamond"/>
                <w:sz w:val="22"/>
                <w:szCs w:val="22"/>
              </w:rPr>
              <w:t>Participants Responding to Survey or Available for Data Matching</w:t>
            </w:r>
          </w:p>
        </w:tc>
        <w:tc>
          <w:tcPr>
            <w:tcW w:w="1055" w:type="dxa"/>
            <w:gridSpan w:val="2"/>
          </w:tcPr>
          <w:p w14:paraId="35D43B21"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Response Rate or % Available for Match</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29ED25B3" w14:textId="77777777" w:rsidR="005378E5" w:rsidRPr="004A0C12" w:rsidRDefault="005378E5" w:rsidP="008C4670">
            <w:pPr>
              <w:jc w:val="center"/>
              <w:rPr>
                <w:rFonts w:ascii="Garamond" w:hAnsi="Garamond"/>
                <w:sz w:val="22"/>
                <w:szCs w:val="22"/>
              </w:rPr>
            </w:pPr>
            <w:r w:rsidRPr="004A0C12">
              <w:rPr>
                <w:rFonts w:ascii="Garamond" w:hAnsi="Garamond"/>
                <w:sz w:val="22"/>
                <w:szCs w:val="22"/>
              </w:rPr>
              <w:t># of Participants Achieving Outcomes (Unweighted)</w:t>
            </w:r>
          </w:p>
        </w:tc>
        <w:tc>
          <w:tcPr>
            <w:tcW w:w="1583" w:type="dxa"/>
            <w:gridSpan w:val="2"/>
          </w:tcPr>
          <w:p w14:paraId="09CC0D29"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Participants Achieving Outcome (Weighted)</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74219C28" w14:textId="77777777" w:rsidR="005378E5" w:rsidRPr="004A0C12" w:rsidRDefault="005378E5" w:rsidP="008C4670">
            <w:pPr>
              <w:jc w:val="center"/>
              <w:rPr>
                <w:rFonts w:ascii="Garamond" w:hAnsi="Garamond"/>
                <w:sz w:val="22"/>
                <w:szCs w:val="22"/>
              </w:rPr>
            </w:pPr>
            <w:r w:rsidRPr="004A0C12">
              <w:rPr>
                <w:rFonts w:ascii="Garamond" w:hAnsi="Garamond"/>
                <w:sz w:val="22"/>
                <w:szCs w:val="22"/>
              </w:rPr>
              <w:t># Achieving Outcome (Weighted)</w:t>
            </w:r>
          </w:p>
        </w:tc>
      </w:tr>
      <w:tr w:rsidR="005378E5" w:rsidRPr="004A0C12" w14:paraId="73B7E417"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240" w:type="dxa"/>
            <w:gridSpan w:val="2"/>
          </w:tcPr>
          <w:p w14:paraId="24FF63B9" w14:textId="77777777" w:rsidR="005378E5" w:rsidRPr="004A0C12" w:rsidRDefault="005378E5" w:rsidP="008C4670">
            <w:pPr>
              <w:rPr>
                <w:rFonts w:ascii="Garamond" w:hAnsi="Garamond"/>
                <w:sz w:val="22"/>
                <w:szCs w:val="22"/>
              </w:rPr>
            </w:pPr>
            <w:r w:rsidRPr="004A0C12">
              <w:rPr>
                <w:rFonts w:ascii="Garamond" w:hAnsi="Garamond"/>
                <w:sz w:val="22"/>
                <w:szCs w:val="22"/>
              </w:rPr>
              <w:t xml:space="preserve">Entered Employment </w:t>
            </w:r>
          </w:p>
        </w:tc>
        <w:tc>
          <w:tcPr>
            <w:tcW w:w="1388" w:type="dxa"/>
            <w:gridSpan w:val="2"/>
          </w:tcPr>
          <w:p w14:paraId="74A167A7" w14:textId="6A6CB48E" w:rsidR="005378E5" w:rsidRPr="004A0C12" w:rsidRDefault="005378E5" w:rsidP="005378E5">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6,135</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6F125B64" w14:textId="789E8230" w:rsidR="005378E5" w:rsidRPr="004A0C12" w:rsidRDefault="005378E5" w:rsidP="005378E5">
            <w:pPr>
              <w:jc w:val="center"/>
              <w:rPr>
                <w:rFonts w:ascii="Garamond" w:hAnsi="Garamond"/>
                <w:sz w:val="22"/>
                <w:szCs w:val="22"/>
              </w:rPr>
            </w:pPr>
            <w:r w:rsidRPr="004A0C12">
              <w:rPr>
                <w:rFonts w:ascii="Garamond" w:hAnsi="Garamond"/>
                <w:sz w:val="22"/>
                <w:szCs w:val="22"/>
              </w:rPr>
              <w:t>5,088</w:t>
            </w:r>
          </w:p>
        </w:tc>
        <w:tc>
          <w:tcPr>
            <w:tcW w:w="1055" w:type="dxa"/>
            <w:gridSpan w:val="2"/>
          </w:tcPr>
          <w:p w14:paraId="2E48F08F" w14:textId="440AD24D" w:rsidR="005378E5" w:rsidRPr="004A0C12" w:rsidRDefault="005378E5" w:rsidP="005378E5">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83%</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3F4160B6" w14:textId="7DE9FEE0" w:rsidR="005378E5" w:rsidRPr="004A0C12" w:rsidRDefault="005378E5" w:rsidP="005378E5">
            <w:pPr>
              <w:jc w:val="center"/>
              <w:rPr>
                <w:rFonts w:ascii="Garamond" w:hAnsi="Garamond"/>
                <w:sz w:val="22"/>
                <w:szCs w:val="22"/>
              </w:rPr>
            </w:pPr>
            <w:r w:rsidRPr="004A0C12">
              <w:rPr>
                <w:rFonts w:ascii="Garamond" w:hAnsi="Garamond"/>
                <w:sz w:val="22"/>
                <w:szCs w:val="22"/>
              </w:rPr>
              <w:t>1,587</w:t>
            </w:r>
          </w:p>
        </w:tc>
        <w:tc>
          <w:tcPr>
            <w:tcW w:w="1583" w:type="dxa"/>
            <w:gridSpan w:val="2"/>
          </w:tcPr>
          <w:p w14:paraId="4A27F9E3" w14:textId="440DEEF7" w:rsidR="005378E5" w:rsidRPr="004A0C12" w:rsidRDefault="005378E5" w:rsidP="005378E5">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1,914</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7AAA5626" w14:textId="67583AAD" w:rsidR="005378E5" w:rsidRPr="004A0C12" w:rsidRDefault="005378E5" w:rsidP="005378E5">
            <w:pPr>
              <w:jc w:val="center"/>
              <w:rPr>
                <w:rFonts w:ascii="Garamond" w:hAnsi="Garamond"/>
                <w:sz w:val="22"/>
                <w:szCs w:val="22"/>
              </w:rPr>
            </w:pPr>
            <w:r w:rsidRPr="004A0C12">
              <w:rPr>
                <w:rFonts w:ascii="Garamond" w:hAnsi="Garamond"/>
                <w:sz w:val="22"/>
                <w:szCs w:val="22"/>
              </w:rPr>
              <w:t>31%</w:t>
            </w:r>
          </w:p>
        </w:tc>
      </w:tr>
      <w:tr w:rsidR="005378E5" w:rsidRPr="004A0C12" w14:paraId="37B4AEE4"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240" w:type="dxa"/>
            <w:gridSpan w:val="2"/>
          </w:tcPr>
          <w:p w14:paraId="70B642F5" w14:textId="77777777" w:rsidR="005378E5" w:rsidRPr="004A0C12" w:rsidRDefault="005378E5" w:rsidP="008C4670">
            <w:pPr>
              <w:rPr>
                <w:rFonts w:ascii="Garamond" w:hAnsi="Garamond"/>
                <w:sz w:val="22"/>
                <w:szCs w:val="22"/>
              </w:rPr>
            </w:pPr>
            <w:r w:rsidRPr="004A0C12">
              <w:rPr>
                <w:rFonts w:ascii="Garamond" w:hAnsi="Garamond"/>
                <w:sz w:val="22"/>
                <w:szCs w:val="22"/>
              </w:rPr>
              <w:t xml:space="preserve">Retained Employment </w:t>
            </w:r>
          </w:p>
        </w:tc>
        <w:tc>
          <w:tcPr>
            <w:tcW w:w="1388" w:type="dxa"/>
            <w:gridSpan w:val="2"/>
          </w:tcPr>
          <w:p w14:paraId="1B33B3E8" w14:textId="67579455" w:rsidR="005378E5" w:rsidRPr="004A0C12" w:rsidRDefault="005378E5" w:rsidP="005378E5">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11,158</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29898B59" w14:textId="73F5692A" w:rsidR="005378E5" w:rsidRPr="004A0C12" w:rsidRDefault="005378E5" w:rsidP="005378E5">
            <w:pPr>
              <w:jc w:val="center"/>
              <w:rPr>
                <w:rFonts w:ascii="Garamond" w:hAnsi="Garamond"/>
                <w:sz w:val="22"/>
                <w:szCs w:val="22"/>
              </w:rPr>
            </w:pPr>
            <w:r w:rsidRPr="004A0C12">
              <w:rPr>
                <w:rFonts w:ascii="Garamond" w:hAnsi="Garamond"/>
                <w:sz w:val="22"/>
                <w:szCs w:val="22"/>
              </w:rPr>
              <w:t>7,274</w:t>
            </w:r>
          </w:p>
        </w:tc>
        <w:tc>
          <w:tcPr>
            <w:tcW w:w="1055" w:type="dxa"/>
            <w:gridSpan w:val="2"/>
          </w:tcPr>
          <w:p w14:paraId="1CB3946D" w14:textId="6E32BC1F" w:rsidR="005378E5" w:rsidRPr="004A0C12" w:rsidRDefault="005378E5" w:rsidP="005378E5">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65%</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3051CAD4" w14:textId="14E3D9E7" w:rsidR="005378E5" w:rsidRPr="004A0C12" w:rsidRDefault="005378E5" w:rsidP="005378E5">
            <w:pPr>
              <w:jc w:val="center"/>
              <w:rPr>
                <w:rFonts w:ascii="Garamond" w:hAnsi="Garamond"/>
                <w:sz w:val="22"/>
                <w:szCs w:val="22"/>
              </w:rPr>
            </w:pPr>
            <w:r w:rsidRPr="004A0C12">
              <w:rPr>
                <w:rFonts w:ascii="Garamond" w:hAnsi="Garamond"/>
                <w:sz w:val="22"/>
                <w:szCs w:val="22"/>
              </w:rPr>
              <w:t>5,009</w:t>
            </w:r>
          </w:p>
        </w:tc>
        <w:tc>
          <w:tcPr>
            <w:tcW w:w="1583" w:type="dxa"/>
            <w:gridSpan w:val="2"/>
          </w:tcPr>
          <w:p w14:paraId="4CDEE774" w14:textId="6595531E" w:rsidR="005378E5" w:rsidRPr="004A0C12" w:rsidRDefault="005378E5" w:rsidP="005378E5">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7,684</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1E622F13" w14:textId="3ECFF9BB" w:rsidR="005378E5" w:rsidRPr="004A0C12" w:rsidRDefault="005378E5" w:rsidP="005378E5">
            <w:pPr>
              <w:jc w:val="center"/>
              <w:rPr>
                <w:rFonts w:ascii="Garamond" w:hAnsi="Garamond"/>
                <w:sz w:val="22"/>
                <w:szCs w:val="22"/>
              </w:rPr>
            </w:pPr>
            <w:r w:rsidRPr="004A0C12">
              <w:rPr>
                <w:rFonts w:ascii="Garamond" w:hAnsi="Garamond"/>
                <w:sz w:val="22"/>
                <w:szCs w:val="22"/>
              </w:rPr>
              <w:t>69%</w:t>
            </w:r>
          </w:p>
        </w:tc>
      </w:tr>
      <w:tr w:rsidR="005378E5" w:rsidRPr="004A0C12" w14:paraId="37F3A8A8" w14:textId="77777777" w:rsidTr="00900002">
        <w:trPr>
          <w:trHeight w:val="660"/>
        </w:trPr>
        <w:tc>
          <w:tcPr>
            <w:cnfStyle w:val="000010000000" w:firstRow="0" w:lastRow="0" w:firstColumn="0" w:lastColumn="0" w:oddVBand="1" w:evenVBand="0" w:oddHBand="0" w:evenHBand="0" w:firstRowFirstColumn="0" w:firstRowLastColumn="0" w:lastRowFirstColumn="0" w:lastRowLastColumn="0"/>
            <w:tcW w:w="2240" w:type="dxa"/>
            <w:gridSpan w:val="2"/>
          </w:tcPr>
          <w:p w14:paraId="29A62324" w14:textId="77777777" w:rsidR="005378E5" w:rsidRPr="004A0C12" w:rsidRDefault="005378E5" w:rsidP="008C4670">
            <w:pPr>
              <w:rPr>
                <w:rFonts w:ascii="Garamond" w:hAnsi="Garamond"/>
                <w:sz w:val="22"/>
                <w:szCs w:val="22"/>
              </w:rPr>
            </w:pPr>
            <w:r w:rsidRPr="004A0C12">
              <w:rPr>
                <w:rFonts w:ascii="Garamond" w:hAnsi="Garamond"/>
                <w:sz w:val="22"/>
                <w:szCs w:val="22"/>
              </w:rPr>
              <w:t>Obtained a Secondary School Credential or its Equivalent</w:t>
            </w:r>
          </w:p>
        </w:tc>
        <w:tc>
          <w:tcPr>
            <w:tcW w:w="1388" w:type="dxa"/>
            <w:gridSpan w:val="2"/>
          </w:tcPr>
          <w:p w14:paraId="659EEC66" w14:textId="25E27E89" w:rsidR="005378E5" w:rsidRPr="004A0C12" w:rsidRDefault="005378E5" w:rsidP="005378E5">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1,810</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1CDFFA78" w14:textId="28D06885" w:rsidR="005378E5" w:rsidRPr="004A0C12" w:rsidRDefault="005378E5" w:rsidP="005378E5">
            <w:pPr>
              <w:jc w:val="center"/>
              <w:rPr>
                <w:rFonts w:ascii="Garamond" w:hAnsi="Garamond"/>
                <w:sz w:val="22"/>
                <w:szCs w:val="22"/>
              </w:rPr>
            </w:pPr>
            <w:r w:rsidRPr="004A0C12">
              <w:rPr>
                <w:rFonts w:ascii="Garamond" w:hAnsi="Garamond"/>
                <w:sz w:val="22"/>
                <w:szCs w:val="22"/>
              </w:rPr>
              <w:t>1,810</w:t>
            </w:r>
          </w:p>
        </w:tc>
        <w:tc>
          <w:tcPr>
            <w:tcW w:w="1055" w:type="dxa"/>
            <w:gridSpan w:val="2"/>
          </w:tcPr>
          <w:p w14:paraId="57989945" w14:textId="2B67DD89" w:rsidR="005378E5" w:rsidRPr="004A0C12" w:rsidRDefault="005378E5" w:rsidP="005378E5">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143CD771" w14:textId="042B366F" w:rsidR="005378E5" w:rsidRPr="004A0C12" w:rsidRDefault="005378E5" w:rsidP="005378E5">
            <w:pPr>
              <w:jc w:val="center"/>
              <w:rPr>
                <w:rFonts w:ascii="Garamond" w:hAnsi="Garamond"/>
                <w:sz w:val="22"/>
                <w:szCs w:val="22"/>
              </w:rPr>
            </w:pPr>
            <w:r w:rsidRPr="004A0C12">
              <w:rPr>
                <w:rFonts w:ascii="Garamond" w:hAnsi="Garamond"/>
                <w:sz w:val="22"/>
                <w:szCs w:val="22"/>
              </w:rPr>
              <w:t>985</w:t>
            </w:r>
          </w:p>
        </w:tc>
        <w:tc>
          <w:tcPr>
            <w:tcW w:w="1583" w:type="dxa"/>
            <w:gridSpan w:val="2"/>
          </w:tcPr>
          <w:p w14:paraId="7D21C8B0" w14:textId="2CA29A7D" w:rsidR="005378E5" w:rsidRPr="004A0C12" w:rsidRDefault="005378E5" w:rsidP="005378E5">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985</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141D0273" w14:textId="4BAC5094" w:rsidR="005378E5" w:rsidRPr="004A0C12" w:rsidRDefault="005378E5" w:rsidP="005378E5">
            <w:pPr>
              <w:jc w:val="center"/>
              <w:rPr>
                <w:rFonts w:ascii="Garamond" w:hAnsi="Garamond"/>
                <w:sz w:val="22"/>
                <w:szCs w:val="22"/>
              </w:rPr>
            </w:pPr>
            <w:r w:rsidRPr="004A0C12">
              <w:rPr>
                <w:rFonts w:ascii="Garamond" w:hAnsi="Garamond"/>
                <w:sz w:val="22"/>
                <w:szCs w:val="22"/>
              </w:rPr>
              <w:t>54%</w:t>
            </w:r>
          </w:p>
        </w:tc>
      </w:tr>
      <w:tr w:rsidR="005378E5" w:rsidRPr="004A0C12" w14:paraId="2C3B584B" w14:textId="77777777" w:rsidTr="00900002">
        <w:trPr>
          <w:cnfStyle w:val="000000100000" w:firstRow="0" w:lastRow="0" w:firstColumn="0" w:lastColumn="0" w:oddVBand="0" w:evenVBand="0" w:oddHBand="1" w:evenHBand="0" w:firstRowFirstColumn="0" w:firstRowLastColumn="0" w:lastRowFirstColumn="0" w:lastRowLastColumn="0"/>
          <w:trHeight w:val="660"/>
        </w:trPr>
        <w:tc>
          <w:tcPr>
            <w:cnfStyle w:val="000010000000" w:firstRow="0" w:lastRow="0" w:firstColumn="0" w:lastColumn="0" w:oddVBand="1" w:evenVBand="0" w:oddHBand="0" w:evenHBand="0" w:firstRowFirstColumn="0" w:firstRowLastColumn="0" w:lastRowFirstColumn="0" w:lastRowLastColumn="0"/>
            <w:tcW w:w="2240" w:type="dxa"/>
            <w:gridSpan w:val="2"/>
          </w:tcPr>
          <w:p w14:paraId="1999F553" w14:textId="46A570B5" w:rsidR="005378E5" w:rsidRPr="004A0C12" w:rsidRDefault="005378E5" w:rsidP="008C4670">
            <w:pPr>
              <w:rPr>
                <w:rFonts w:ascii="Garamond" w:hAnsi="Garamond"/>
                <w:sz w:val="22"/>
                <w:szCs w:val="22"/>
              </w:rPr>
            </w:pPr>
            <w:r w:rsidRPr="004A0C12">
              <w:rPr>
                <w:rFonts w:ascii="Garamond" w:hAnsi="Garamond"/>
                <w:sz w:val="22"/>
                <w:szCs w:val="22"/>
              </w:rPr>
              <w:t>Entered Post</w:t>
            </w:r>
            <w:r w:rsidR="00900002" w:rsidRPr="004A0C12">
              <w:rPr>
                <w:rFonts w:ascii="Garamond" w:hAnsi="Garamond"/>
                <w:sz w:val="22"/>
                <w:szCs w:val="22"/>
              </w:rPr>
              <w:t>-</w:t>
            </w:r>
            <w:r w:rsidRPr="004A0C12">
              <w:rPr>
                <w:rFonts w:ascii="Garamond" w:hAnsi="Garamond"/>
                <w:sz w:val="22"/>
                <w:szCs w:val="22"/>
              </w:rPr>
              <w:t>secondary Education or Training – current program year</w:t>
            </w:r>
          </w:p>
        </w:tc>
        <w:tc>
          <w:tcPr>
            <w:tcW w:w="1388" w:type="dxa"/>
            <w:gridSpan w:val="2"/>
          </w:tcPr>
          <w:p w14:paraId="42651EC9" w14:textId="7D1D18B2" w:rsidR="005378E5" w:rsidRPr="004A0C12" w:rsidRDefault="005378E5" w:rsidP="005378E5">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6,756</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3C5AD040" w14:textId="5E467E52" w:rsidR="005378E5" w:rsidRPr="004A0C12" w:rsidRDefault="005378E5" w:rsidP="005378E5">
            <w:pPr>
              <w:jc w:val="center"/>
              <w:rPr>
                <w:rFonts w:ascii="Garamond" w:hAnsi="Garamond"/>
                <w:sz w:val="22"/>
                <w:szCs w:val="22"/>
              </w:rPr>
            </w:pPr>
            <w:r w:rsidRPr="004A0C12">
              <w:rPr>
                <w:rFonts w:ascii="Garamond" w:hAnsi="Garamond"/>
                <w:sz w:val="22"/>
                <w:szCs w:val="22"/>
              </w:rPr>
              <w:t>6,756</w:t>
            </w:r>
          </w:p>
        </w:tc>
        <w:tc>
          <w:tcPr>
            <w:tcW w:w="1055" w:type="dxa"/>
            <w:gridSpan w:val="2"/>
          </w:tcPr>
          <w:p w14:paraId="02F3E8D1" w14:textId="4AAA9661" w:rsidR="005378E5" w:rsidRPr="004A0C12" w:rsidRDefault="005378E5" w:rsidP="005378E5">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62374AED" w14:textId="08D3E6B1" w:rsidR="005378E5" w:rsidRPr="004A0C12" w:rsidRDefault="005378E5" w:rsidP="005378E5">
            <w:pPr>
              <w:jc w:val="center"/>
              <w:rPr>
                <w:rFonts w:ascii="Garamond" w:hAnsi="Garamond"/>
                <w:sz w:val="22"/>
                <w:szCs w:val="22"/>
              </w:rPr>
            </w:pPr>
            <w:r w:rsidRPr="004A0C12">
              <w:rPr>
                <w:rFonts w:ascii="Garamond" w:hAnsi="Garamond"/>
                <w:sz w:val="22"/>
                <w:szCs w:val="22"/>
              </w:rPr>
              <w:t>251</w:t>
            </w:r>
          </w:p>
        </w:tc>
        <w:tc>
          <w:tcPr>
            <w:tcW w:w="1583" w:type="dxa"/>
            <w:gridSpan w:val="2"/>
          </w:tcPr>
          <w:p w14:paraId="7E425E5B" w14:textId="750D7929" w:rsidR="005378E5" w:rsidRPr="004A0C12" w:rsidRDefault="005378E5" w:rsidP="005378E5">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251</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532ACE5B" w14:textId="2C9C08D8" w:rsidR="005378E5" w:rsidRPr="004A0C12" w:rsidRDefault="005378E5" w:rsidP="005378E5">
            <w:pPr>
              <w:jc w:val="center"/>
              <w:rPr>
                <w:rFonts w:ascii="Garamond" w:hAnsi="Garamond"/>
                <w:sz w:val="22"/>
                <w:szCs w:val="22"/>
              </w:rPr>
            </w:pPr>
            <w:r w:rsidRPr="004A0C12">
              <w:rPr>
                <w:rFonts w:ascii="Garamond" w:hAnsi="Garamond"/>
                <w:sz w:val="22"/>
                <w:szCs w:val="22"/>
              </w:rPr>
              <w:t>4%</w:t>
            </w:r>
          </w:p>
        </w:tc>
      </w:tr>
      <w:tr w:rsidR="005378E5" w:rsidRPr="004A0C12" w14:paraId="1BC8DB6D" w14:textId="77777777" w:rsidTr="00900002">
        <w:trPr>
          <w:trHeight w:val="660"/>
        </w:trPr>
        <w:tc>
          <w:tcPr>
            <w:cnfStyle w:val="000010000000" w:firstRow="0" w:lastRow="0" w:firstColumn="0" w:lastColumn="0" w:oddVBand="1" w:evenVBand="0" w:oddHBand="0" w:evenHBand="0" w:firstRowFirstColumn="0" w:firstRowLastColumn="0" w:lastRowFirstColumn="0" w:lastRowLastColumn="0"/>
            <w:tcW w:w="2240" w:type="dxa"/>
            <w:gridSpan w:val="2"/>
          </w:tcPr>
          <w:p w14:paraId="7BB709E9" w14:textId="09683FCE" w:rsidR="005378E5" w:rsidRPr="004A0C12" w:rsidRDefault="005378E5" w:rsidP="008C4670">
            <w:pPr>
              <w:rPr>
                <w:rFonts w:ascii="Garamond" w:hAnsi="Garamond"/>
                <w:sz w:val="22"/>
                <w:szCs w:val="22"/>
              </w:rPr>
            </w:pPr>
            <w:r w:rsidRPr="004A0C12">
              <w:rPr>
                <w:rFonts w:ascii="Garamond" w:hAnsi="Garamond"/>
                <w:sz w:val="22"/>
                <w:szCs w:val="22"/>
              </w:rPr>
              <w:t>Entered Post</w:t>
            </w:r>
            <w:r w:rsidR="00900002" w:rsidRPr="004A0C12">
              <w:rPr>
                <w:rFonts w:ascii="Garamond" w:hAnsi="Garamond"/>
                <w:sz w:val="22"/>
                <w:szCs w:val="22"/>
              </w:rPr>
              <w:t>-</w:t>
            </w:r>
            <w:r w:rsidRPr="004A0C12">
              <w:rPr>
                <w:rFonts w:ascii="Garamond" w:hAnsi="Garamond"/>
                <w:sz w:val="22"/>
                <w:szCs w:val="22"/>
              </w:rPr>
              <w:t>secondar</w:t>
            </w:r>
            <w:r w:rsidR="00900002" w:rsidRPr="004A0C12">
              <w:rPr>
                <w:rFonts w:ascii="Garamond" w:hAnsi="Garamond"/>
                <w:sz w:val="22"/>
                <w:szCs w:val="22"/>
              </w:rPr>
              <w:t>y Education or Training – prior</w:t>
            </w:r>
            <w:r w:rsidRPr="004A0C12">
              <w:rPr>
                <w:rFonts w:ascii="Garamond" w:hAnsi="Garamond"/>
                <w:sz w:val="22"/>
                <w:szCs w:val="22"/>
              </w:rPr>
              <w:t xml:space="preserve"> program year</w:t>
            </w:r>
          </w:p>
        </w:tc>
        <w:tc>
          <w:tcPr>
            <w:tcW w:w="1388" w:type="dxa"/>
            <w:gridSpan w:val="2"/>
          </w:tcPr>
          <w:p w14:paraId="38043997" w14:textId="60495714" w:rsidR="005378E5" w:rsidRPr="004A0C12" w:rsidRDefault="005378E5" w:rsidP="005378E5">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4,342</w:t>
            </w:r>
          </w:p>
        </w:tc>
        <w:tc>
          <w:tcPr>
            <w:cnfStyle w:val="000010000000" w:firstRow="0" w:lastRow="0" w:firstColumn="0" w:lastColumn="0" w:oddVBand="1" w:evenVBand="0" w:oddHBand="0" w:evenHBand="0" w:firstRowFirstColumn="0" w:firstRowLastColumn="0" w:lastRowFirstColumn="0" w:lastRowLastColumn="0"/>
            <w:tcW w:w="1912" w:type="dxa"/>
            <w:gridSpan w:val="2"/>
          </w:tcPr>
          <w:p w14:paraId="152218C5" w14:textId="5168FEFB" w:rsidR="005378E5" w:rsidRPr="004A0C12" w:rsidRDefault="005378E5" w:rsidP="005378E5">
            <w:pPr>
              <w:jc w:val="center"/>
              <w:rPr>
                <w:rFonts w:ascii="Garamond" w:hAnsi="Garamond"/>
                <w:sz w:val="22"/>
                <w:szCs w:val="22"/>
              </w:rPr>
            </w:pPr>
            <w:r w:rsidRPr="004A0C12">
              <w:rPr>
                <w:rFonts w:ascii="Garamond" w:hAnsi="Garamond"/>
                <w:sz w:val="22"/>
                <w:szCs w:val="22"/>
              </w:rPr>
              <w:t>4,342</w:t>
            </w:r>
          </w:p>
        </w:tc>
        <w:tc>
          <w:tcPr>
            <w:tcW w:w="1055" w:type="dxa"/>
            <w:gridSpan w:val="2"/>
          </w:tcPr>
          <w:p w14:paraId="581CF8E9" w14:textId="0D57D744" w:rsidR="005378E5" w:rsidRPr="004A0C12" w:rsidRDefault="005378E5" w:rsidP="005378E5">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583" w:type="dxa"/>
            <w:gridSpan w:val="2"/>
          </w:tcPr>
          <w:p w14:paraId="6A85D716" w14:textId="4445C7C7" w:rsidR="005378E5" w:rsidRPr="004A0C12" w:rsidRDefault="005378E5" w:rsidP="005378E5">
            <w:pPr>
              <w:jc w:val="center"/>
              <w:rPr>
                <w:rFonts w:ascii="Garamond" w:hAnsi="Garamond"/>
                <w:sz w:val="22"/>
                <w:szCs w:val="22"/>
              </w:rPr>
            </w:pPr>
            <w:r w:rsidRPr="004A0C12">
              <w:rPr>
                <w:rFonts w:ascii="Garamond" w:hAnsi="Garamond"/>
                <w:sz w:val="22"/>
                <w:szCs w:val="22"/>
              </w:rPr>
              <w:t>411</w:t>
            </w:r>
          </w:p>
        </w:tc>
        <w:tc>
          <w:tcPr>
            <w:tcW w:w="1583" w:type="dxa"/>
            <w:gridSpan w:val="2"/>
          </w:tcPr>
          <w:p w14:paraId="2B995C08" w14:textId="20EE0C3D" w:rsidR="005378E5" w:rsidRPr="004A0C12" w:rsidRDefault="005378E5" w:rsidP="005378E5">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411</w:t>
            </w:r>
          </w:p>
        </w:tc>
        <w:tc>
          <w:tcPr>
            <w:cnfStyle w:val="000010000000" w:firstRow="0" w:lastRow="0" w:firstColumn="0" w:lastColumn="0" w:oddVBand="1" w:evenVBand="0" w:oddHBand="0" w:evenHBand="0" w:firstRowFirstColumn="0" w:firstRowLastColumn="0" w:lastRowFirstColumn="0" w:lastRowLastColumn="0"/>
            <w:tcW w:w="1235" w:type="dxa"/>
            <w:gridSpan w:val="2"/>
          </w:tcPr>
          <w:p w14:paraId="356C6E1B" w14:textId="790C2074" w:rsidR="005378E5" w:rsidRPr="004A0C12" w:rsidRDefault="005378E5" w:rsidP="005378E5">
            <w:pPr>
              <w:jc w:val="center"/>
              <w:rPr>
                <w:rFonts w:ascii="Garamond" w:hAnsi="Garamond"/>
                <w:sz w:val="22"/>
                <w:szCs w:val="22"/>
              </w:rPr>
            </w:pPr>
            <w:r w:rsidRPr="004A0C12">
              <w:rPr>
                <w:rFonts w:ascii="Garamond" w:hAnsi="Garamond"/>
                <w:sz w:val="22"/>
                <w:szCs w:val="22"/>
              </w:rPr>
              <w:t>9%</w:t>
            </w:r>
          </w:p>
        </w:tc>
      </w:tr>
      <w:tr w:rsidR="005378E5" w:rsidRPr="004A0C12" w14:paraId="638CE51D" w14:textId="77777777" w:rsidTr="00900002">
        <w:trPr>
          <w:cnfStyle w:val="000000100000" w:firstRow="0" w:lastRow="0" w:firstColumn="0" w:lastColumn="0" w:oddVBand="0" w:evenVBand="0" w:oddHBand="1" w:evenHBand="0" w:firstRowFirstColumn="0" w:firstRowLastColumn="0" w:lastRowFirstColumn="0" w:lastRowLastColumn="0"/>
          <w:trHeight w:val="660"/>
        </w:trPr>
        <w:tc>
          <w:tcPr>
            <w:cnfStyle w:val="000010000000" w:firstRow="0" w:lastRow="0" w:firstColumn="0" w:lastColumn="0" w:oddVBand="1" w:evenVBand="0" w:oddHBand="0" w:evenHBand="0" w:firstRowFirstColumn="0" w:firstRowLastColumn="0" w:lastRowFirstColumn="0" w:lastRowLastColumn="0"/>
            <w:tcW w:w="10996" w:type="dxa"/>
            <w:gridSpan w:val="14"/>
          </w:tcPr>
          <w:p w14:paraId="49F234F4" w14:textId="77777777" w:rsidR="0054168E" w:rsidRPr="004A0C12" w:rsidRDefault="0054168E" w:rsidP="0054168E">
            <w:pPr>
              <w:rPr>
                <w:rFonts w:ascii="Garamond" w:hAnsi="Garamond"/>
                <w:sz w:val="22"/>
                <w:szCs w:val="22"/>
              </w:rPr>
            </w:pPr>
          </w:p>
          <w:p w14:paraId="6BE65B84" w14:textId="77777777" w:rsidR="0054168E" w:rsidRPr="004A0C12" w:rsidRDefault="0054168E" w:rsidP="0054168E">
            <w:pPr>
              <w:rPr>
                <w:rFonts w:ascii="Garamond" w:hAnsi="Garamond"/>
                <w:sz w:val="22"/>
                <w:szCs w:val="22"/>
              </w:rPr>
            </w:pPr>
          </w:p>
          <w:p w14:paraId="7E39F36C" w14:textId="77777777" w:rsidR="0054168E" w:rsidRPr="004A0C12" w:rsidRDefault="0054168E" w:rsidP="0054168E">
            <w:pPr>
              <w:rPr>
                <w:rFonts w:ascii="Garamond" w:hAnsi="Garamond"/>
                <w:sz w:val="22"/>
                <w:szCs w:val="22"/>
              </w:rPr>
            </w:pPr>
          </w:p>
          <w:p w14:paraId="0396A15E" w14:textId="77777777" w:rsidR="005378E5" w:rsidRPr="004A0C12" w:rsidRDefault="005378E5" w:rsidP="008C4670">
            <w:pPr>
              <w:jc w:val="center"/>
              <w:rPr>
                <w:rFonts w:ascii="Garamond" w:hAnsi="Garamond"/>
                <w:sz w:val="22"/>
                <w:szCs w:val="22"/>
              </w:rPr>
            </w:pPr>
            <w:r w:rsidRPr="004A0C12">
              <w:rPr>
                <w:rFonts w:ascii="Garamond" w:hAnsi="Garamond"/>
                <w:sz w:val="22"/>
                <w:szCs w:val="22"/>
              </w:rPr>
              <w:t>Adult Education</w:t>
            </w:r>
          </w:p>
          <w:p w14:paraId="44B9528A" w14:textId="50E349F8" w:rsidR="005378E5" w:rsidRPr="004A0C12" w:rsidRDefault="005378E5" w:rsidP="008C4670">
            <w:pPr>
              <w:jc w:val="center"/>
              <w:rPr>
                <w:rFonts w:ascii="Garamond" w:hAnsi="Garamond"/>
                <w:sz w:val="22"/>
                <w:szCs w:val="22"/>
              </w:rPr>
            </w:pPr>
            <w:r w:rsidRPr="004A0C12">
              <w:rPr>
                <w:rFonts w:ascii="Garamond" w:hAnsi="Garamond"/>
                <w:sz w:val="22"/>
                <w:szCs w:val="22"/>
              </w:rPr>
              <w:t>Educational Gain</w:t>
            </w:r>
            <w:r w:rsidR="00900002" w:rsidRPr="004A0C12">
              <w:rPr>
                <w:rFonts w:ascii="Garamond" w:hAnsi="Garamond"/>
                <w:sz w:val="22"/>
                <w:szCs w:val="22"/>
              </w:rPr>
              <w:t>s &amp; Attendance for Pre- &amp; Post-T</w:t>
            </w:r>
            <w:r w:rsidRPr="004A0C12">
              <w:rPr>
                <w:rFonts w:ascii="Garamond" w:hAnsi="Garamond"/>
                <w:sz w:val="22"/>
                <w:szCs w:val="22"/>
              </w:rPr>
              <w:t>ested Participants</w:t>
            </w:r>
          </w:p>
          <w:p w14:paraId="14A0453D" w14:textId="16C6B997" w:rsidR="005378E5" w:rsidRPr="004A0C12" w:rsidRDefault="005378E5" w:rsidP="008C4670">
            <w:pPr>
              <w:jc w:val="center"/>
              <w:rPr>
                <w:rFonts w:ascii="Garamond" w:hAnsi="Garamond"/>
                <w:sz w:val="22"/>
                <w:szCs w:val="22"/>
              </w:rPr>
            </w:pPr>
            <w:r w:rsidRPr="004A0C12">
              <w:rPr>
                <w:rFonts w:ascii="Garamond" w:hAnsi="Garamond"/>
                <w:sz w:val="22"/>
                <w:szCs w:val="22"/>
              </w:rPr>
              <w:t xml:space="preserve">July 1, 2014 – June 30, 2015 </w:t>
            </w:r>
          </w:p>
        </w:tc>
      </w:tr>
      <w:tr w:rsidR="005378E5" w:rsidRPr="004A0C12" w14:paraId="22F329EC" w14:textId="77777777" w:rsidTr="00900002">
        <w:trPr>
          <w:trHeight w:val="660"/>
        </w:trPr>
        <w:tc>
          <w:tcPr>
            <w:cnfStyle w:val="000010000000" w:firstRow="0" w:lastRow="0" w:firstColumn="0" w:lastColumn="0" w:oddVBand="1" w:evenVBand="0" w:oddHBand="0" w:evenHBand="0" w:firstRowFirstColumn="0" w:firstRowLastColumn="0" w:lastRowFirstColumn="0" w:lastRowLastColumn="0"/>
            <w:tcW w:w="1795" w:type="dxa"/>
          </w:tcPr>
          <w:p w14:paraId="2F3E6CF7" w14:textId="77777777" w:rsidR="005378E5" w:rsidRPr="004A0C12" w:rsidRDefault="005378E5" w:rsidP="008C4670">
            <w:pPr>
              <w:jc w:val="center"/>
              <w:rPr>
                <w:rFonts w:ascii="Garamond" w:hAnsi="Garamond"/>
                <w:sz w:val="22"/>
                <w:szCs w:val="22"/>
              </w:rPr>
            </w:pPr>
            <w:r w:rsidRPr="004A0C12">
              <w:rPr>
                <w:rFonts w:ascii="Garamond" w:hAnsi="Garamond"/>
                <w:sz w:val="22"/>
                <w:szCs w:val="22"/>
              </w:rPr>
              <w:t>Entering EFL</w:t>
            </w:r>
          </w:p>
        </w:tc>
        <w:tc>
          <w:tcPr>
            <w:tcW w:w="1296" w:type="dxa"/>
            <w:gridSpan w:val="2"/>
          </w:tcPr>
          <w:p w14:paraId="08E71AFF" w14:textId="77777777" w:rsidR="005378E5" w:rsidRPr="004A0C12" w:rsidRDefault="005378E5" w:rsidP="008C4670">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Total # Enrolled Pre- and Post-tested</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25036541" w14:textId="77777777" w:rsidR="005378E5" w:rsidRPr="004A0C12" w:rsidRDefault="005378E5" w:rsidP="008C4670">
            <w:pPr>
              <w:jc w:val="center"/>
              <w:rPr>
                <w:rFonts w:ascii="Garamond" w:hAnsi="Garamond"/>
                <w:sz w:val="22"/>
                <w:szCs w:val="22"/>
              </w:rPr>
            </w:pPr>
            <w:r w:rsidRPr="004A0C12">
              <w:rPr>
                <w:rFonts w:ascii="Garamond" w:hAnsi="Garamond"/>
                <w:sz w:val="22"/>
                <w:szCs w:val="22"/>
              </w:rPr>
              <w:t>Total Attendance Hours</w:t>
            </w:r>
          </w:p>
        </w:tc>
        <w:tc>
          <w:tcPr>
            <w:tcW w:w="1192" w:type="dxa"/>
            <w:gridSpan w:val="2"/>
          </w:tcPr>
          <w:p w14:paraId="0E50466F" w14:textId="77777777" w:rsidR="005378E5" w:rsidRPr="004A0C12" w:rsidRDefault="005378E5" w:rsidP="008C4670">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Completed Level</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38AABF4E" w14:textId="7B747087" w:rsidR="005378E5" w:rsidRPr="004A0C12" w:rsidRDefault="00900002" w:rsidP="008C4670">
            <w:pPr>
              <w:jc w:val="center"/>
              <w:rPr>
                <w:rFonts w:ascii="Garamond" w:hAnsi="Garamond"/>
                <w:sz w:val="22"/>
                <w:szCs w:val="22"/>
              </w:rPr>
            </w:pPr>
            <w:r w:rsidRPr="004A0C12">
              <w:rPr>
                <w:rFonts w:ascii="Garamond" w:hAnsi="Garamond"/>
                <w:sz w:val="22"/>
                <w:szCs w:val="22"/>
              </w:rPr>
              <w:t># W</w:t>
            </w:r>
            <w:r w:rsidR="005378E5" w:rsidRPr="004A0C12">
              <w:rPr>
                <w:rFonts w:ascii="Garamond" w:hAnsi="Garamond"/>
                <w:sz w:val="22"/>
                <w:szCs w:val="22"/>
              </w:rPr>
              <w:t>ho Completed a Level &amp; Advanced 1 or more Levels</w:t>
            </w:r>
          </w:p>
        </w:tc>
        <w:tc>
          <w:tcPr>
            <w:tcW w:w="1292" w:type="dxa"/>
            <w:gridSpan w:val="2"/>
          </w:tcPr>
          <w:p w14:paraId="0979E8E8" w14:textId="77777777" w:rsidR="005378E5" w:rsidRPr="004A0C12" w:rsidRDefault="005378E5" w:rsidP="008C4670">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Separated Before Completing</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24E8D065" w14:textId="77777777" w:rsidR="005378E5" w:rsidRPr="004A0C12" w:rsidRDefault="005378E5" w:rsidP="008C4670">
            <w:pPr>
              <w:jc w:val="center"/>
              <w:rPr>
                <w:rFonts w:ascii="Garamond" w:hAnsi="Garamond"/>
                <w:sz w:val="22"/>
                <w:szCs w:val="22"/>
              </w:rPr>
            </w:pPr>
            <w:r w:rsidRPr="004A0C12">
              <w:rPr>
                <w:rFonts w:ascii="Garamond" w:hAnsi="Garamond"/>
                <w:sz w:val="22"/>
                <w:szCs w:val="22"/>
              </w:rPr>
              <w:t># Remaining within Level</w:t>
            </w:r>
          </w:p>
        </w:tc>
        <w:tc>
          <w:tcPr>
            <w:tcW w:w="1115" w:type="dxa"/>
          </w:tcPr>
          <w:p w14:paraId="128F6A71" w14:textId="77777777" w:rsidR="005378E5" w:rsidRPr="004A0C12" w:rsidRDefault="005378E5" w:rsidP="008C4670">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Completing Level</w:t>
            </w:r>
          </w:p>
        </w:tc>
      </w:tr>
      <w:tr w:rsidR="005378E5" w:rsidRPr="004A0C12" w14:paraId="3865D4D3"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659C1767" w14:textId="77777777" w:rsidR="005378E5" w:rsidRPr="004A0C12" w:rsidRDefault="005378E5" w:rsidP="008C4670">
            <w:pPr>
              <w:rPr>
                <w:rFonts w:ascii="Garamond" w:hAnsi="Garamond"/>
                <w:sz w:val="22"/>
                <w:szCs w:val="22"/>
              </w:rPr>
            </w:pPr>
            <w:r w:rsidRPr="004A0C12">
              <w:rPr>
                <w:rFonts w:ascii="Garamond" w:hAnsi="Garamond"/>
                <w:sz w:val="22"/>
                <w:szCs w:val="22"/>
              </w:rPr>
              <w:t>ABE Beginning Literacy</w:t>
            </w:r>
          </w:p>
        </w:tc>
        <w:tc>
          <w:tcPr>
            <w:tcW w:w="1296" w:type="dxa"/>
            <w:gridSpan w:val="2"/>
          </w:tcPr>
          <w:p w14:paraId="303AAE00" w14:textId="24C714BE"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435</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5631F8D6" w14:textId="36ACC9B1" w:rsidR="005378E5" w:rsidRPr="004A0C12" w:rsidRDefault="00E97CC8" w:rsidP="007B0E94">
            <w:pPr>
              <w:jc w:val="center"/>
              <w:rPr>
                <w:rFonts w:ascii="Garamond" w:hAnsi="Garamond"/>
                <w:sz w:val="22"/>
                <w:szCs w:val="22"/>
              </w:rPr>
            </w:pPr>
            <w:r w:rsidRPr="004A0C12">
              <w:rPr>
                <w:rFonts w:ascii="Garamond" w:hAnsi="Garamond"/>
                <w:sz w:val="22"/>
                <w:szCs w:val="22"/>
              </w:rPr>
              <w:t>57,287</w:t>
            </w:r>
          </w:p>
        </w:tc>
        <w:tc>
          <w:tcPr>
            <w:tcW w:w="1192" w:type="dxa"/>
            <w:gridSpan w:val="2"/>
          </w:tcPr>
          <w:p w14:paraId="5624047B" w14:textId="67532545"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272</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3ECCBB40" w14:textId="699552AF" w:rsidR="005378E5" w:rsidRPr="004A0C12" w:rsidRDefault="007B0E94" w:rsidP="007B0E94">
            <w:pPr>
              <w:jc w:val="center"/>
              <w:rPr>
                <w:rFonts w:ascii="Garamond" w:hAnsi="Garamond"/>
                <w:sz w:val="22"/>
                <w:szCs w:val="22"/>
              </w:rPr>
            </w:pPr>
            <w:r w:rsidRPr="004A0C12">
              <w:rPr>
                <w:rFonts w:ascii="Garamond" w:hAnsi="Garamond"/>
                <w:sz w:val="22"/>
                <w:szCs w:val="22"/>
              </w:rPr>
              <w:t>250</w:t>
            </w:r>
          </w:p>
        </w:tc>
        <w:tc>
          <w:tcPr>
            <w:tcW w:w="1292" w:type="dxa"/>
            <w:gridSpan w:val="2"/>
          </w:tcPr>
          <w:p w14:paraId="4F38548D" w14:textId="69E19F6E"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79</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3F1077F2" w14:textId="68BE5C3C" w:rsidR="005378E5" w:rsidRPr="004A0C12" w:rsidRDefault="007B0E94" w:rsidP="007B0E94">
            <w:pPr>
              <w:jc w:val="center"/>
              <w:rPr>
                <w:rFonts w:ascii="Garamond" w:hAnsi="Garamond"/>
                <w:sz w:val="22"/>
                <w:szCs w:val="22"/>
              </w:rPr>
            </w:pPr>
            <w:r w:rsidRPr="004A0C12">
              <w:rPr>
                <w:rFonts w:ascii="Garamond" w:hAnsi="Garamond"/>
                <w:sz w:val="22"/>
                <w:szCs w:val="22"/>
              </w:rPr>
              <w:t>84</w:t>
            </w:r>
          </w:p>
        </w:tc>
        <w:tc>
          <w:tcPr>
            <w:tcW w:w="1115" w:type="dxa"/>
          </w:tcPr>
          <w:p w14:paraId="75D646C4" w14:textId="31AE33A6"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63%</w:t>
            </w:r>
          </w:p>
        </w:tc>
      </w:tr>
      <w:tr w:rsidR="005378E5" w:rsidRPr="004A0C12" w14:paraId="11417387"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35A273A7" w14:textId="77777777" w:rsidR="005378E5" w:rsidRPr="004A0C12" w:rsidRDefault="005378E5" w:rsidP="008C4670">
            <w:pPr>
              <w:rPr>
                <w:rFonts w:ascii="Garamond" w:hAnsi="Garamond"/>
                <w:sz w:val="22"/>
                <w:szCs w:val="22"/>
              </w:rPr>
            </w:pPr>
            <w:r w:rsidRPr="004A0C12">
              <w:rPr>
                <w:rFonts w:ascii="Garamond" w:hAnsi="Garamond"/>
                <w:sz w:val="22"/>
                <w:szCs w:val="22"/>
              </w:rPr>
              <w:t>ABE Beginning Basic Literacy</w:t>
            </w:r>
          </w:p>
        </w:tc>
        <w:tc>
          <w:tcPr>
            <w:tcW w:w="1296" w:type="dxa"/>
            <w:gridSpan w:val="2"/>
          </w:tcPr>
          <w:p w14:paraId="343B8EB5" w14:textId="047391C5" w:rsidR="005378E5" w:rsidRPr="004A0C12" w:rsidRDefault="00E97CC8"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901</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6BDE82B4" w14:textId="1DC264C4" w:rsidR="005378E5" w:rsidRPr="004A0C12" w:rsidRDefault="00E97CC8" w:rsidP="007B0E94">
            <w:pPr>
              <w:jc w:val="center"/>
              <w:rPr>
                <w:rFonts w:ascii="Garamond" w:hAnsi="Garamond"/>
                <w:sz w:val="22"/>
                <w:szCs w:val="22"/>
              </w:rPr>
            </w:pPr>
            <w:r w:rsidRPr="004A0C12">
              <w:rPr>
                <w:rFonts w:ascii="Garamond" w:hAnsi="Garamond"/>
                <w:sz w:val="22"/>
                <w:szCs w:val="22"/>
              </w:rPr>
              <w:t>108,227</w:t>
            </w:r>
          </w:p>
        </w:tc>
        <w:tc>
          <w:tcPr>
            <w:tcW w:w="1192" w:type="dxa"/>
            <w:gridSpan w:val="2"/>
          </w:tcPr>
          <w:p w14:paraId="52492222" w14:textId="7BC9A559" w:rsidR="005378E5" w:rsidRPr="004A0C12" w:rsidRDefault="00E97CC8"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641</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5AAF5E06" w14:textId="20920341" w:rsidR="005378E5" w:rsidRPr="004A0C12" w:rsidRDefault="007B0E94" w:rsidP="007B0E94">
            <w:pPr>
              <w:jc w:val="center"/>
              <w:rPr>
                <w:rFonts w:ascii="Garamond" w:hAnsi="Garamond"/>
                <w:sz w:val="22"/>
                <w:szCs w:val="22"/>
              </w:rPr>
            </w:pPr>
            <w:r w:rsidRPr="004A0C12">
              <w:rPr>
                <w:rFonts w:ascii="Garamond" w:hAnsi="Garamond"/>
                <w:sz w:val="22"/>
                <w:szCs w:val="22"/>
              </w:rPr>
              <w:t>567</w:t>
            </w:r>
          </w:p>
        </w:tc>
        <w:tc>
          <w:tcPr>
            <w:tcW w:w="1292" w:type="dxa"/>
            <w:gridSpan w:val="2"/>
          </w:tcPr>
          <w:p w14:paraId="14B6E6B2" w14:textId="0FAE40AA"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213</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47BCFE53" w14:textId="69E54C40" w:rsidR="005378E5" w:rsidRPr="004A0C12" w:rsidRDefault="007B0E94" w:rsidP="007B0E94">
            <w:pPr>
              <w:jc w:val="center"/>
              <w:rPr>
                <w:rFonts w:ascii="Garamond" w:hAnsi="Garamond"/>
                <w:sz w:val="22"/>
                <w:szCs w:val="22"/>
              </w:rPr>
            </w:pPr>
            <w:r w:rsidRPr="004A0C12">
              <w:rPr>
                <w:rFonts w:ascii="Garamond" w:hAnsi="Garamond"/>
                <w:sz w:val="22"/>
                <w:szCs w:val="22"/>
              </w:rPr>
              <w:t>47</w:t>
            </w:r>
          </w:p>
        </w:tc>
        <w:tc>
          <w:tcPr>
            <w:tcW w:w="1115" w:type="dxa"/>
          </w:tcPr>
          <w:p w14:paraId="387590D1" w14:textId="0300262C"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71%</w:t>
            </w:r>
          </w:p>
        </w:tc>
      </w:tr>
      <w:tr w:rsidR="005378E5" w:rsidRPr="004A0C12" w14:paraId="5C8E4728"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16F9AE1B" w14:textId="77777777" w:rsidR="005378E5" w:rsidRPr="004A0C12" w:rsidRDefault="005378E5" w:rsidP="008C4670">
            <w:pPr>
              <w:rPr>
                <w:rFonts w:ascii="Garamond" w:hAnsi="Garamond"/>
                <w:sz w:val="22"/>
                <w:szCs w:val="22"/>
              </w:rPr>
            </w:pPr>
            <w:r w:rsidRPr="004A0C12">
              <w:rPr>
                <w:rFonts w:ascii="Garamond" w:hAnsi="Garamond"/>
                <w:sz w:val="22"/>
                <w:szCs w:val="22"/>
              </w:rPr>
              <w:t>ABE Intermediate Low</w:t>
            </w:r>
          </w:p>
        </w:tc>
        <w:tc>
          <w:tcPr>
            <w:tcW w:w="1296" w:type="dxa"/>
            <w:gridSpan w:val="2"/>
          </w:tcPr>
          <w:p w14:paraId="0398EDCC" w14:textId="60ABF6C0"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2,117</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1CE75020" w14:textId="45A08866" w:rsidR="005378E5" w:rsidRPr="004A0C12" w:rsidRDefault="00E97CC8" w:rsidP="007B0E94">
            <w:pPr>
              <w:jc w:val="center"/>
              <w:rPr>
                <w:rFonts w:ascii="Garamond" w:hAnsi="Garamond"/>
                <w:sz w:val="22"/>
                <w:szCs w:val="22"/>
              </w:rPr>
            </w:pPr>
            <w:r w:rsidRPr="004A0C12">
              <w:rPr>
                <w:rFonts w:ascii="Garamond" w:hAnsi="Garamond"/>
                <w:sz w:val="22"/>
                <w:szCs w:val="22"/>
              </w:rPr>
              <w:t>269,290</w:t>
            </w:r>
          </w:p>
        </w:tc>
        <w:tc>
          <w:tcPr>
            <w:tcW w:w="1192" w:type="dxa"/>
            <w:gridSpan w:val="2"/>
          </w:tcPr>
          <w:p w14:paraId="70F9AB1F" w14:textId="01D94D02"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1,297</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3526B9C0" w14:textId="1C939BDF" w:rsidR="005378E5" w:rsidRPr="004A0C12" w:rsidRDefault="007B0E94" w:rsidP="007B0E94">
            <w:pPr>
              <w:jc w:val="center"/>
              <w:rPr>
                <w:rFonts w:ascii="Garamond" w:hAnsi="Garamond"/>
                <w:sz w:val="22"/>
                <w:szCs w:val="22"/>
              </w:rPr>
            </w:pPr>
            <w:r w:rsidRPr="004A0C12">
              <w:rPr>
                <w:rFonts w:ascii="Garamond" w:hAnsi="Garamond"/>
                <w:sz w:val="22"/>
                <w:szCs w:val="22"/>
              </w:rPr>
              <w:t>1,163</w:t>
            </w:r>
          </w:p>
        </w:tc>
        <w:tc>
          <w:tcPr>
            <w:tcW w:w="1292" w:type="dxa"/>
            <w:gridSpan w:val="2"/>
          </w:tcPr>
          <w:p w14:paraId="29B0CD66" w14:textId="2AF37D58"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644</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7EC482F0" w14:textId="1CAB2704" w:rsidR="005378E5" w:rsidRPr="004A0C12" w:rsidRDefault="007B0E94" w:rsidP="007B0E94">
            <w:pPr>
              <w:jc w:val="center"/>
              <w:rPr>
                <w:rFonts w:ascii="Garamond" w:hAnsi="Garamond"/>
                <w:sz w:val="22"/>
                <w:szCs w:val="22"/>
              </w:rPr>
            </w:pPr>
            <w:r w:rsidRPr="004A0C12">
              <w:rPr>
                <w:rFonts w:ascii="Garamond" w:hAnsi="Garamond"/>
                <w:sz w:val="22"/>
                <w:szCs w:val="22"/>
              </w:rPr>
              <w:t>176</w:t>
            </w:r>
          </w:p>
        </w:tc>
        <w:tc>
          <w:tcPr>
            <w:tcW w:w="1115" w:type="dxa"/>
          </w:tcPr>
          <w:p w14:paraId="53E03CEE" w14:textId="37C528AC"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61%</w:t>
            </w:r>
          </w:p>
        </w:tc>
      </w:tr>
      <w:tr w:rsidR="005378E5" w:rsidRPr="004A0C12" w14:paraId="1A98D047"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594CBB6C" w14:textId="77777777" w:rsidR="005378E5" w:rsidRPr="004A0C12" w:rsidRDefault="005378E5" w:rsidP="008C4670">
            <w:pPr>
              <w:rPr>
                <w:rFonts w:ascii="Garamond" w:hAnsi="Garamond"/>
                <w:sz w:val="22"/>
                <w:szCs w:val="22"/>
              </w:rPr>
            </w:pPr>
            <w:r w:rsidRPr="004A0C12">
              <w:rPr>
                <w:rFonts w:ascii="Garamond" w:hAnsi="Garamond"/>
                <w:sz w:val="22"/>
                <w:szCs w:val="22"/>
              </w:rPr>
              <w:t>ABE Intermediate High</w:t>
            </w:r>
          </w:p>
        </w:tc>
        <w:tc>
          <w:tcPr>
            <w:tcW w:w="1296" w:type="dxa"/>
            <w:gridSpan w:val="2"/>
          </w:tcPr>
          <w:p w14:paraId="6FBEFBAB" w14:textId="402608D4" w:rsidR="005378E5" w:rsidRPr="004A0C12" w:rsidRDefault="00E97CC8"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2,949</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0CC9BC5F" w14:textId="3A9D78B0" w:rsidR="005378E5" w:rsidRPr="004A0C12" w:rsidRDefault="00E97CC8" w:rsidP="007B0E94">
            <w:pPr>
              <w:jc w:val="center"/>
              <w:rPr>
                <w:rFonts w:ascii="Garamond" w:hAnsi="Garamond"/>
                <w:sz w:val="22"/>
                <w:szCs w:val="22"/>
              </w:rPr>
            </w:pPr>
            <w:r w:rsidRPr="004A0C12">
              <w:rPr>
                <w:rFonts w:ascii="Garamond" w:hAnsi="Garamond"/>
                <w:sz w:val="22"/>
                <w:szCs w:val="22"/>
              </w:rPr>
              <w:t>359,290</w:t>
            </w:r>
          </w:p>
        </w:tc>
        <w:tc>
          <w:tcPr>
            <w:tcW w:w="1192" w:type="dxa"/>
            <w:gridSpan w:val="2"/>
          </w:tcPr>
          <w:p w14:paraId="324C358B" w14:textId="086BFB01" w:rsidR="005378E5" w:rsidRPr="004A0C12" w:rsidRDefault="00E97CC8"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969</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30AEF5B5" w14:textId="65CF89E2" w:rsidR="005378E5" w:rsidRPr="004A0C12" w:rsidRDefault="007B0E94" w:rsidP="007B0E94">
            <w:pPr>
              <w:jc w:val="center"/>
              <w:rPr>
                <w:rFonts w:ascii="Garamond" w:hAnsi="Garamond"/>
                <w:sz w:val="22"/>
                <w:szCs w:val="22"/>
              </w:rPr>
            </w:pPr>
            <w:r w:rsidRPr="004A0C12">
              <w:rPr>
                <w:rFonts w:ascii="Garamond" w:hAnsi="Garamond"/>
                <w:sz w:val="22"/>
                <w:szCs w:val="22"/>
              </w:rPr>
              <w:t>858</w:t>
            </w:r>
          </w:p>
        </w:tc>
        <w:tc>
          <w:tcPr>
            <w:tcW w:w="1292" w:type="dxa"/>
            <w:gridSpan w:val="2"/>
          </w:tcPr>
          <w:p w14:paraId="4314DCEC" w14:textId="5A1C6CAA"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1,556</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126C1E1B" w14:textId="6D049047" w:rsidR="005378E5" w:rsidRPr="004A0C12" w:rsidRDefault="007B0E94" w:rsidP="007B0E94">
            <w:pPr>
              <w:jc w:val="center"/>
              <w:rPr>
                <w:rFonts w:ascii="Garamond" w:hAnsi="Garamond"/>
                <w:sz w:val="22"/>
                <w:szCs w:val="22"/>
              </w:rPr>
            </w:pPr>
            <w:r w:rsidRPr="004A0C12">
              <w:rPr>
                <w:rFonts w:ascii="Garamond" w:hAnsi="Garamond"/>
                <w:sz w:val="22"/>
                <w:szCs w:val="22"/>
              </w:rPr>
              <w:t>424</w:t>
            </w:r>
          </w:p>
        </w:tc>
        <w:tc>
          <w:tcPr>
            <w:tcW w:w="1115" w:type="dxa"/>
          </w:tcPr>
          <w:p w14:paraId="58CBB984" w14:textId="21B61B4A"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33%</w:t>
            </w:r>
          </w:p>
        </w:tc>
      </w:tr>
      <w:tr w:rsidR="005378E5" w:rsidRPr="004A0C12" w14:paraId="4091204F"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737AE6AB" w14:textId="77777777" w:rsidR="005378E5" w:rsidRPr="004A0C12" w:rsidRDefault="005378E5" w:rsidP="008C4670">
            <w:pPr>
              <w:rPr>
                <w:rFonts w:ascii="Garamond" w:hAnsi="Garamond"/>
                <w:sz w:val="22"/>
                <w:szCs w:val="22"/>
              </w:rPr>
            </w:pPr>
            <w:r w:rsidRPr="004A0C12">
              <w:rPr>
                <w:rFonts w:ascii="Garamond" w:hAnsi="Garamond"/>
                <w:sz w:val="22"/>
                <w:szCs w:val="22"/>
              </w:rPr>
              <w:t>ASE Low</w:t>
            </w:r>
          </w:p>
        </w:tc>
        <w:tc>
          <w:tcPr>
            <w:tcW w:w="1296" w:type="dxa"/>
            <w:gridSpan w:val="2"/>
          </w:tcPr>
          <w:p w14:paraId="4CF014C6" w14:textId="0E2D8822"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820</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3159C3ED" w14:textId="462BC44A" w:rsidR="005378E5" w:rsidRPr="004A0C12" w:rsidRDefault="00E97CC8" w:rsidP="007B0E94">
            <w:pPr>
              <w:jc w:val="center"/>
              <w:rPr>
                <w:rFonts w:ascii="Garamond" w:hAnsi="Garamond"/>
                <w:sz w:val="22"/>
                <w:szCs w:val="22"/>
              </w:rPr>
            </w:pPr>
            <w:r w:rsidRPr="004A0C12">
              <w:rPr>
                <w:rFonts w:ascii="Garamond" w:hAnsi="Garamond"/>
                <w:sz w:val="22"/>
                <w:szCs w:val="22"/>
              </w:rPr>
              <w:t>131,247</w:t>
            </w:r>
          </w:p>
        </w:tc>
        <w:tc>
          <w:tcPr>
            <w:tcW w:w="1192" w:type="dxa"/>
            <w:gridSpan w:val="2"/>
          </w:tcPr>
          <w:p w14:paraId="5BBE2653" w14:textId="31890E76"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273</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28D12614" w14:textId="65E99511" w:rsidR="005378E5" w:rsidRPr="004A0C12" w:rsidRDefault="007B0E94" w:rsidP="007B0E94">
            <w:pPr>
              <w:jc w:val="center"/>
              <w:rPr>
                <w:rFonts w:ascii="Garamond" w:hAnsi="Garamond"/>
                <w:sz w:val="22"/>
                <w:szCs w:val="22"/>
              </w:rPr>
            </w:pPr>
            <w:r w:rsidRPr="004A0C12">
              <w:rPr>
                <w:rFonts w:ascii="Garamond" w:hAnsi="Garamond"/>
                <w:sz w:val="22"/>
                <w:szCs w:val="22"/>
              </w:rPr>
              <w:t>238</w:t>
            </w:r>
          </w:p>
        </w:tc>
        <w:tc>
          <w:tcPr>
            <w:tcW w:w="1292" w:type="dxa"/>
            <w:gridSpan w:val="2"/>
          </w:tcPr>
          <w:p w14:paraId="7AAEA4A1" w14:textId="0F818B7B"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415</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18EEACC0" w14:textId="631FED1A" w:rsidR="005378E5" w:rsidRPr="004A0C12" w:rsidRDefault="007B0E94" w:rsidP="007B0E94">
            <w:pPr>
              <w:jc w:val="center"/>
              <w:rPr>
                <w:rFonts w:ascii="Garamond" w:hAnsi="Garamond"/>
                <w:sz w:val="22"/>
                <w:szCs w:val="22"/>
              </w:rPr>
            </w:pPr>
            <w:r w:rsidRPr="004A0C12">
              <w:rPr>
                <w:rFonts w:ascii="Garamond" w:hAnsi="Garamond"/>
                <w:sz w:val="22"/>
                <w:szCs w:val="22"/>
              </w:rPr>
              <w:t>132</w:t>
            </w:r>
          </w:p>
        </w:tc>
        <w:tc>
          <w:tcPr>
            <w:tcW w:w="1115" w:type="dxa"/>
          </w:tcPr>
          <w:p w14:paraId="176609C2" w14:textId="6241B754"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33%</w:t>
            </w:r>
          </w:p>
        </w:tc>
      </w:tr>
      <w:tr w:rsidR="005378E5" w:rsidRPr="004A0C12" w14:paraId="42A3112E"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1A913F75" w14:textId="77777777" w:rsidR="005378E5" w:rsidRPr="004A0C12" w:rsidRDefault="005378E5" w:rsidP="008C4670">
            <w:pPr>
              <w:rPr>
                <w:rFonts w:ascii="Garamond" w:hAnsi="Garamond"/>
                <w:sz w:val="22"/>
                <w:szCs w:val="22"/>
              </w:rPr>
            </w:pPr>
            <w:r w:rsidRPr="004A0C12">
              <w:rPr>
                <w:rFonts w:ascii="Garamond" w:hAnsi="Garamond"/>
                <w:sz w:val="22"/>
                <w:szCs w:val="22"/>
              </w:rPr>
              <w:t>ASE High</w:t>
            </w:r>
          </w:p>
        </w:tc>
        <w:tc>
          <w:tcPr>
            <w:tcW w:w="1296" w:type="dxa"/>
            <w:gridSpan w:val="2"/>
          </w:tcPr>
          <w:p w14:paraId="513C2D4A" w14:textId="03CC2F09" w:rsidR="005378E5" w:rsidRPr="004A0C12" w:rsidRDefault="00E97CC8"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456</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0CA25C28" w14:textId="1816283F" w:rsidR="005378E5" w:rsidRPr="004A0C12" w:rsidRDefault="00E97CC8" w:rsidP="007B0E94">
            <w:pPr>
              <w:jc w:val="center"/>
              <w:rPr>
                <w:rFonts w:ascii="Garamond" w:hAnsi="Garamond"/>
                <w:sz w:val="22"/>
                <w:szCs w:val="22"/>
              </w:rPr>
            </w:pPr>
            <w:r w:rsidRPr="004A0C12">
              <w:rPr>
                <w:rFonts w:ascii="Garamond" w:hAnsi="Garamond"/>
                <w:sz w:val="22"/>
                <w:szCs w:val="22"/>
              </w:rPr>
              <w:t>78,790</w:t>
            </w:r>
          </w:p>
        </w:tc>
        <w:tc>
          <w:tcPr>
            <w:tcW w:w="1192" w:type="dxa"/>
            <w:gridSpan w:val="2"/>
          </w:tcPr>
          <w:p w14:paraId="4BB63010" w14:textId="71FC9F12" w:rsidR="005378E5" w:rsidRPr="004A0C12" w:rsidRDefault="00E97CC8"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149</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275EC53C" w14:textId="4D089194" w:rsidR="005378E5" w:rsidRPr="004A0C12" w:rsidRDefault="007B0E94" w:rsidP="007B0E94">
            <w:pPr>
              <w:jc w:val="center"/>
              <w:rPr>
                <w:rFonts w:ascii="Garamond" w:hAnsi="Garamond"/>
                <w:sz w:val="22"/>
                <w:szCs w:val="22"/>
              </w:rPr>
            </w:pPr>
            <w:r w:rsidRPr="004A0C12">
              <w:rPr>
                <w:rFonts w:ascii="Garamond" w:hAnsi="Garamond"/>
                <w:sz w:val="22"/>
                <w:szCs w:val="22"/>
              </w:rPr>
              <w:t>0</w:t>
            </w:r>
          </w:p>
        </w:tc>
        <w:tc>
          <w:tcPr>
            <w:tcW w:w="1292" w:type="dxa"/>
            <w:gridSpan w:val="2"/>
          </w:tcPr>
          <w:p w14:paraId="79C14617" w14:textId="77D0995D"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214</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06AAE282" w14:textId="5AD7DB48" w:rsidR="005378E5" w:rsidRPr="004A0C12" w:rsidRDefault="007B0E94" w:rsidP="007B0E94">
            <w:pPr>
              <w:jc w:val="center"/>
              <w:rPr>
                <w:rFonts w:ascii="Garamond" w:hAnsi="Garamond"/>
                <w:sz w:val="22"/>
                <w:szCs w:val="22"/>
              </w:rPr>
            </w:pPr>
            <w:r w:rsidRPr="004A0C12">
              <w:rPr>
                <w:rFonts w:ascii="Garamond" w:hAnsi="Garamond"/>
                <w:sz w:val="22"/>
                <w:szCs w:val="22"/>
              </w:rPr>
              <w:t>93</w:t>
            </w:r>
          </w:p>
        </w:tc>
        <w:tc>
          <w:tcPr>
            <w:tcW w:w="1115" w:type="dxa"/>
          </w:tcPr>
          <w:p w14:paraId="64C05C55" w14:textId="0E22FC5E"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33%</w:t>
            </w:r>
          </w:p>
        </w:tc>
      </w:tr>
      <w:tr w:rsidR="005378E5" w:rsidRPr="004A0C12" w14:paraId="29F3F025"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04D6E58F" w14:textId="77777777" w:rsidR="005378E5" w:rsidRPr="004A0C12" w:rsidRDefault="005378E5" w:rsidP="008C4670">
            <w:pPr>
              <w:rPr>
                <w:rFonts w:ascii="Garamond" w:hAnsi="Garamond"/>
                <w:sz w:val="22"/>
                <w:szCs w:val="22"/>
              </w:rPr>
            </w:pPr>
            <w:r w:rsidRPr="004A0C12">
              <w:rPr>
                <w:rFonts w:ascii="Garamond" w:hAnsi="Garamond"/>
                <w:sz w:val="22"/>
                <w:szCs w:val="22"/>
              </w:rPr>
              <w:t>ESL Beginning Literacy</w:t>
            </w:r>
          </w:p>
        </w:tc>
        <w:tc>
          <w:tcPr>
            <w:tcW w:w="1296" w:type="dxa"/>
            <w:gridSpan w:val="2"/>
          </w:tcPr>
          <w:p w14:paraId="43315C3E" w14:textId="4B3525F7"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867</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57AC8054" w14:textId="2512B8CD" w:rsidR="005378E5" w:rsidRPr="004A0C12" w:rsidRDefault="00E97CC8" w:rsidP="007B0E94">
            <w:pPr>
              <w:jc w:val="center"/>
              <w:rPr>
                <w:rFonts w:ascii="Garamond" w:hAnsi="Garamond"/>
                <w:sz w:val="22"/>
                <w:szCs w:val="22"/>
              </w:rPr>
            </w:pPr>
            <w:r w:rsidRPr="004A0C12">
              <w:rPr>
                <w:rFonts w:ascii="Garamond" w:hAnsi="Garamond"/>
                <w:sz w:val="22"/>
                <w:szCs w:val="22"/>
              </w:rPr>
              <w:t>70,058</w:t>
            </w:r>
          </w:p>
        </w:tc>
        <w:tc>
          <w:tcPr>
            <w:tcW w:w="1192" w:type="dxa"/>
            <w:gridSpan w:val="2"/>
          </w:tcPr>
          <w:p w14:paraId="0FC3ED23" w14:textId="036F5ACF"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734</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6A6D0A4A" w14:textId="5CC5C3E3" w:rsidR="005378E5" w:rsidRPr="004A0C12" w:rsidRDefault="007B0E94" w:rsidP="007B0E94">
            <w:pPr>
              <w:jc w:val="center"/>
              <w:rPr>
                <w:rFonts w:ascii="Garamond" w:hAnsi="Garamond"/>
                <w:sz w:val="22"/>
                <w:szCs w:val="22"/>
              </w:rPr>
            </w:pPr>
            <w:r w:rsidRPr="004A0C12">
              <w:rPr>
                <w:rFonts w:ascii="Garamond" w:hAnsi="Garamond"/>
                <w:sz w:val="22"/>
                <w:szCs w:val="22"/>
              </w:rPr>
              <w:t>668</w:t>
            </w:r>
          </w:p>
        </w:tc>
        <w:tc>
          <w:tcPr>
            <w:tcW w:w="1292" w:type="dxa"/>
            <w:gridSpan w:val="2"/>
          </w:tcPr>
          <w:p w14:paraId="7430AA06" w14:textId="18988105"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124</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09F78CAA" w14:textId="26043505" w:rsidR="005378E5" w:rsidRPr="004A0C12" w:rsidRDefault="007B0E94" w:rsidP="007B0E94">
            <w:pPr>
              <w:jc w:val="center"/>
              <w:rPr>
                <w:rFonts w:ascii="Garamond" w:hAnsi="Garamond"/>
                <w:sz w:val="22"/>
                <w:szCs w:val="22"/>
              </w:rPr>
            </w:pPr>
            <w:r w:rsidRPr="004A0C12">
              <w:rPr>
                <w:rFonts w:ascii="Garamond" w:hAnsi="Garamond"/>
                <w:sz w:val="22"/>
                <w:szCs w:val="22"/>
              </w:rPr>
              <w:t>9</w:t>
            </w:r>
          </w:p>
        </w:tc>
        <w:tc>
          <w:tcPr>
            <w:tcW w:w="1115" w:type="dxa"/>
          </w:tcPr>
          <w:p w14:paraId="78DBF932" w14:textId="6F38565F"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85%</w:t>
            </w:r>
          </w:p>
        </w:tc>
      </w:tr>
      <w:tr w:rsidR="005378E5" w:rsidRPr="004A0C12" w14:paraId="665AA121"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0E509462" w14:textId="77777777" w:rsidR="005378E5" w:rsidRPr="004A0C12" w:rsidRDefault="005378E5" w:rsidP="008C4670">
            <w:pPr>
              <w:rPr>
                <w:rFonts w:ascii="Garamond" w:hAnsi="Garamond"/>
                <w:sz w:val="22"/>
                <w:szCs w:val="22"/>
              </w:rPr>
            </w:pPr>
            <w:r w:rsidRPr="004A0C12">
              <w:rPr>
                <w:rFonts w:ascii="Garamond" w:hAnsi="Garamond"/>
                <w:sz w:val="22"/>
                <w:szCs w:val="22"/>
              </w:rPr>
              <w:t>ESL Beginning Low</w:t>
            </w:r>
          </w:p>
        </w:tc>
        <w:tc>
          <w:tcPr>
            <w:tcW w:w="1296" w:type="dxa"/>
            <w:gridSpan w:val="2"/>
          </w:tcPr>
          <w:p w14:paraId="44593E61" w14:textId="50FE4953" w:rsidR="005378E5" w:rsidRPr="004A0C12" w:rsidRDefault="00E97CC8"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957</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2EBAF3B8" w14:textId="5A4867FD" w:rsidR="005378E5" w:rsidRPr="004A0C12" w:rsidRDefault="00E97CC8" w:rsidP="007B0E94">
            <w:pPr>
              <w:jc w:val="center"/>
              <w:rPr>
                <w:rFonts w:ascii="Garamond" w:hAnsi="Garamond"/>
                <w:sz w:val="22"/>
                <w:szCs w:val="22"/>
              </w:rPr>
            </w:pPr>
            <w:r w:rsidRPr="004A0C12">
              <w:rPr>
                <w:rFonts w:ascii="Garamond" w:hAnsi="Garamond"/>
                <w:sz w:val="22"/>
                <w:szCs w:val="22"/>
              </w:rPr>
              <w:t>84,238</w:t>
            </w:r>
          </w:p>
        </w:tc>
        <w:tc>
          <w:tcPr>
            <w:tcW w:w="1192" w:type="dxa"/>
            <w:gridSpan w:val="2"/>
          </w:tcPr>
          <w:p w14:paraId="5524A392" w14:textId="6F658D99"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732</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79A40E0C" w14:textId="29F8D59A" w:rsidR="005378E5" w:rsidRPr="004A0C12" w:rsidRDefault="007B0E94" w:rsidP="007B0E94">
            <w:pPr>
              <w:jc w:val="center"/>
              <w:rPr>
                <w:rFonts w:ascii="Garamond" w:hAnsi="Garamond"/>
                <w:sz w:val="22"/>
                <w:szCs w:val="22"/>
              </w:rPr>
            </w:pPr>
            <w:r w:rsidRPr="004A0C12">
              <w:rPr>
                <w:rFonts w:ascii="Garamond" w:hAnsi="Garamond"/>
                <w:sz w:val="22"/>
                <w:szCs w:val="22"/>
              </w:rPr>
              <w:t>686</w:t>
            </w:r>
          </w:p>
        </w:tc>
        <w:tc>
          <w:tcPr>
            <w:tcW w:w="1292" w:type="dxa"/>
            <w:gridSpan w:val="2"/>
          </w:tcPr>
          <w:p w14:paraId="25BBE5C9" w14:textId="2D9A5670"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200</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346B1A6D" w14:textId="0A72CED2" w:rsidR="005378E5" w:rsidRPr="004A0C12" w:rsidRDefault="007B0E94" w:rsidP="007B0E94">
            <w:pPr>
              <w:jc w:val="center"/>
              <w:rPr>
                <w:rFonts w:ascii="Garamond" w:hAnsi="Garamond"/>
                <w:sz w:val="22"/>
                <w:szCs w:val="22"/>
              </w:rPr>
            </w:pPr>
            <w:r w:rsidRPr="004A0C12">
              <w:rPr>
                <w:rFonts w:ascii="Garamond" w:hAnsi="Garamond"/>
                <w:sz w:val="22"/>
                <w:szCs w:val="22"/>
              </w:rPr>
              <w:t>25</w:t>
            </w:r>
          </w:p>
        </w:tc>
        <w:tc>
          <w:tcPr>
            <w:tcW w:w="1115" w:type="dxa"/>
          </w:tcPr>
          <w:p w14:paraId="0BE1893D" w14:textId="5F566B81"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76%</w:t>
            </w:r>
          </w:p>
        </w:tc>
      </w:tr>
      <w:tr w:rsidR="005378E5" w:rsidRPr="004A0C12" w14:paraId="4B68EEAE"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3DE46321" w14:textId="77777777" w:rsidR="005378E5" w:rsidRPr="004A0C12" w:rsidRDefault="005378E5" w:rsidP="008C4670">
            <w:pPr>
              <w:rPr>
                <w:rFonts w:ascii="Garamond" w:hAnsi="Garamond"/>
                <w:sz w:val="22"/>
                <w:szCs w:val="22"/>
              </w:rPr>
            </w:pPr>
            <w:r w:rsidRPr="004A0C12">
              <w:rPr>
                <w:rFonts w:ascii="Garamond" w:hAnsi="Garamond"/>
                <w:sz w:val="22"/>
                <w:szCs w:val="22"/>
              </w:rPr>
              <w:t>ESL Beginning High</w:t>
            </w:r>
          </w:p>
        </w:tc>
        <w:tc>
          <w:tcPr>
            <w:tcW w:w="1296" w:type="dxa"/>
            <w:gridSpan w:val="2"/>
          </w:tcPr>
          <w:p w14:paraId="7DBBB14A" w14:textId="464FD1C3"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2,431</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248D6EF4" w14:textId="26CA34BF" w:rsidR="005378E5" w:rsidRPr="004A0C12" w:rsidRDefault="00E97CC8" w:rsidP="007B0E94">
            <w:pPr>
              <w:jc w:val="center"/>
              <w:rPr>
                <w:rFonts w:ascii="Garamond" w:hAnsi="Garamond"/>
                <w:sz w:val="22"/>
                <w:szCs w:val="22"/>
              </w:rPr>
            </w:pPr>
            <w:r w:rsidRPr="004A0C12">
              <w:rPr>
                <w:rFonts w:ascii="Garamond" w:hAnsi="Garamond"/>
                <w:sz w:val="22"/>
                <w:szCs w:val="22"/>
              </w:rPr>
              <w:t>212,971</w:t>
            </w:r>
          </w:p>
        </w:tc>
        <w:tc>
          <w:tcPr>
            <w:tcW w:w="1192" w:type="dxa"/>
            <w:gridSpan w:val="2"/>
          </w:tcPr>
          <w:p w14:paraId="60E63EE9" w14:textId="6F857B67"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1,481</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7C085A4A" w14:textId="4A272B45" w:rsidR="005378E5" w:rsidRPr="004A0C12" w:rsidRDefault="007B0E94" w:rsidP="007B0E94">
            <w:pPr>
              <w:jc w:val="center"/>
              <w:rPr>
                <w:rFonts w:ascii="Garamond" w:hAnsi="Garamond"/>
                <w:sz w:val="22"/>
                <w:szCs w:val="22"/>
              </w:rPr>
            </w:pPr>
            <w:r w:rsidRPr="004A0C12">
              <w:rPr>
                <w:rFonts w:ascii="Garamond" w:hAnsi="Garamond"/>
                <w:sz w:val="22"/>
                <w:szCs w:val="22"/>
              </w:rPr>
              <w:t>1,401</w:t>
            </w:r>
          </w:p>
        </w:tc>
        <w:tc>
          <w:tcPr>
            <w:tcW w:w="1292" w:type="dxa"/>
            <w:gridSpan w:val="2"/>
          </w:tcPr>
          <w:p w14:paraId="677CCD6E" w14:textId="14F2D451"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845</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39E1DB3D" w14:textId="71750522" w:rsidR="005378E5" w:rsidRPr="004A0C12" w:rsidRDefault="007B0E94" w:rsidP="007B0E94">
            <w:pPr>
              <w:jc w:val="center"/>
              <w:rPr>
                <w:rFonts w:ascii="Garamond" w:hAnsi="Garamond"/>
                <w:sz w:val="22"/>
                <w:szCs w:val="22"/>
              </w:rPr>
            </w:pPr>
            <w:r w:rsidRPr="004A0C12">
              <w:rPr>
                <w:rFonts w:ascii="Garamond" w:hAnsi="Garamond"/>
                <w:sz w:val="22"/>
                <w:szCs w:val="22"/>
              </w:rPr>
              <w:t>105</w:t>
            </w:r>
          </w:p>
        </w:tc>
        <w:tc>
          <w:tcPr>
            <w:tcW w:w="1115" w:type="dxa"/>
          </w:tcPr>
          <w:p w14:paraId="28A48AAE" w14:textId="11670A69"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61%</w:t>
            </w:r>
          </w:p>
        </w:tc>
      </w:tr>
      <w:tr w:rsidR="005378E5" w:rsidRPr="004A0C12" w14:paraId="2B61DF7F"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13996F44" w14:textId="77777777" w:rsidR="005378E5" w:rsidRPr="004A0C12" w:rsidRDefault="005378E5" w:rsidP="008C4670">
            <w:pPr>
              <w:rPr>
                <w:rFonts w:ascii="Garamond" w:hAnsi="Garamond"/>
                <w:sz w:val="22"/>
                <w:szCs w:val="22"/>
              </w:rPr>
            </w:pPr>
            <w:r w:rsidRPr="004A0C12">
              <w:rPr>
                <w:rFonts w:ascii="Garamond" w:hAnsi="Garamond"/>
                <w:sz w:val="22"/>
                <w:szCs w:val="22"/>
              </w:rPr>
              <w:lastRenderedPageBreak/>
              <w:t>ESL Intermediate Low</w:t>
            </w:r>
          </w:p>
        </w:tc>
        <w:tc>
          <w:tcPr>
            <w:tcW w:w="1296" w:type="dxa"/>
            <w:gridSpan w:val="2"/>
          </w:tcPr>
          <w:p w14:paraId="004E4652" w14:textId="7F2F1328" w:rsidR="005378E5" w:rsidRPr="004A0C12" w:rsidRDefault="00E97CC8"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2,528</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55EC5742" w14:textId="36564314" w:rsidR="005378E5" w:rsidRPr="004A0C12" w:rsidRDefault="00E97CC8" w:rsidP="007B0E94">
            <w:pPr>
              <w:jc w:val="center"/>
              <w:rPr>
                <w:rFonts w:ascii="Garamond" w:hAnsi="Garamond"/>
                <w:sz w:val="22"/>
                <w:szCs w:val="22"/>
              </w:rPr>
            </w:pPr>
            <w:r w:rsidRPr="004A0C12">
              <w:rPr>
                <w:rFonts w:ascii="Garamond" w:hAnsi="Garamond"/>
                <w:sz w:val="22"/>
                <w:szCs w:val="22"/>
              </w:rPr>
              <w:t>227,220</w:t>
            </w:r>
          </w:p>
        </w:tc>
        <w:tc>
          <w:tcPr>
            <w:tcW w:w="1192" w:type="dxa"/>
            <w:gridSpan w:val="2"/>
          </w:tcPr>
          <w:p w14:paraId="66DC63E8" w14:textId="6EDC06B7"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1,282</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2FF196D8" w14:textId="5BB3C3FE" w:rsidR="005378E5" w:rsidRPr="004A0C12" w:rsidRDefault="007B0E94" w:rsidP="007B0E94">
            <w:pPr>
              <w:jc w:val="center"/>
              <w:rPr>
                <w:rFonts w:ascii="Garamond" w:hAnsi="Garamond"/>
                <w:sz w:val="22"/>
                <w:szCs w:val="22"/>
              </w:rPr>
            </w:pPr>
            <w:r w:rsidRPr="004A0C12">
              <w:rPr>
                <w:rFonts w:ascii="Garamond" w:hAnsi="Garamond"/>
                <w:sz w:val="22"/>
                <w:szCs w:val="22"/>
              </w:rPr>
              <w:t>1,240</w:t>
            </w:r>
          </w:p>
        </w:tc>
        <w:tc>
          <w:tcPr>
            <w:tcW w:w="1292" w:type="dxa"/>
            <w:gridSpan w:val="2"/>
          </w:tcPr>
          <w:p w14:paraId="6234B4F5" w14:textId="42C7E1CC"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1,120</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1B0F08B4" w14:textId="3152E80E" w:rsidR="005378E5" w:rsidRPr="004A0C12" w:rsidRDefault="007B0E94" w:rsidP="007B0E94">
            <w:pPr>
              <w:jc w:val="center"/>
              <w:rPr>
                <w:rFonts w:ascii="Garamond" w:hAnsi="Garamond"/>
                <w:sz w:val="22"/>
                <w:szCs w:val="22"/>
              </w:rPr>
            </w:pPr>
            <w:r w:rsidRPr="004A0C12">
              <w:rPr>
                <w:rFonts w:ascii="Garamond" w:hAnsi="Garamond"/>
                <w:sz w:val="22"/>
                <w:szCs w:val="22"/>
              </w:rPr>
              <w:t>126</w:t>
            </w:r>
          </w:p>
        </w:tc>
        <w:tc>
          <w:tcPr>
            <w:tcW w:w="1115" w:type="dxa"/>
          </w:tcPr>
          <w:p w14:paraId="2ACD91DF" w14:textId="390709C1"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51%</w:t>
            </w:r>
          </w:p>
        </w:tc>
      </w:tr>
      <w:tr w:rsidR="005378E5" w:rsidRPr="004A0C12" w14:paraId="050E2BA6"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64C7C98D" w14:textId="77777777" w:rsidR="005378E5" w:rsidRPr="004A0C12" w:rsidRDefault="005378E5" w:rsidP="008C4670">
            <w:pPr>
              <w:rPr>
                <w:rFonts w:ascii="Garamond" w:hAnsi="Garamond"/>
                <w:sz w:val="22"/>
                <w:szCs w:val="22"/>
              </w:rPr>
            </w:pPr>
            <w:r w:rsidRPr="004A0C12">
              <w:rPr>
                <w:rFonts w:ascii="Garamond" w:hAnsi="Garamond"/>
                <w:sz w:val="22"/>
                <w:szCs w:val="22"/>
              </w:rPr>
              <w:t>ESL Intermediate High</w:t>
            </w:r>
          </w:p>
        </w:tc>
        <w:tc>
          <w:tcPr>
            <w:tcW w:w="1296" w:type="dxa"/>
            <w:gridSpan w:val="2"/>
          </w:tcPr>
          <w:p w14:paraId="5F8C0BD3" w14:textId="4BFEE642"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2,014</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1AAE832F" w14:textId="265818E1" w:rsidR="005378E5" w:rsidRPr="004A0C12" w:rsidRDefault="00E97CC8" w:rsidP="007B0E94">
            <w:pPr>
              <w:jc w:val="center"/>
              <w:rPr>
                <w:rFonts w:ascii="Garamond" w:hAnsi="Garamond"/>
                <w:sz w:val="22"/>
                <w:szCs w:val="22"/>
              </w:rPr>
            </w:pPr>
            <w:r w:rsidRPr="004A0C12">
              <w:rPr>
                <w:rFonts w:ascii="Garamond" w:hAnsi="Garamond"/>
                <w:sz w:val="22"/>
                <w:szCs w:val="22"/>
              </w:rPr>
              <w:t>177,876</w:t>
            </w:r>
          </w:p>
        </w:tc>
        <w:tc>
          <w:tcPr>
            <w:tcW w:w="1192" w:type="dxa"/>
            <w:gridSpan w:val="2"/>
          </w:tcPr>
          <w:p w14:paraId="33EB5A46" w14:textId="09FA94B1"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849</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66F2EBBF" w14:textId="1A72BD85" w:rsidR="005378E5" w:rsidRPr="004A0C12" w:rsidRDefault="007B0E94" w:rsidP="007B0E94">
            <w:pPr>
              <w:jc w:val="center"/>
              <w:rPr>
                <w:rFonts w:ascii="Garamond" w:hAnsi="Garamond"/>
                <w:sz w:val="22"/>
                <w:szCs w:val="22"/>
              </w:rPr>
            </w:pPr>
            <w:r w:rsidRPr="004A0C12">
              <w:rPr>
                <w:rFonts w:ascii="Garamond" w:hAnsi="Garamond"/>
                <w:sz w:val="22"/>
                <w:szCs w:val="22"/>
              </w:rPr>
              <w:t>807</w:t>
            </w:r>
          </w:p>
        </w:tc>
        <w:tc>
          <w:tcPr>
            <w:tcW w:w="1292" w:type="dxa"/>
            <w:gridSpan w:val="2"/>
          </w:tcPr>
          <w:p w14:paraId="104AE0B2" w14:textId="092E15B2"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1,059</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239ACC21" w14:textId="043C76EF" w:rsidR="005378E5" w:rsidRPr="004A0C12" w:rsidRDefault="007B0E94" w:rsidP="007B0E94">
            <w:pPr>
              <w:jc w:val="center"/>
              <w:rPr>
                <w:rFonts w:ascii="Garamond" w:hAnsi="Garamond"/>
                <w:sz w:val="22"/>
                <w:szCs w:val="22"/>
              </w:rPr>
            </w:pPr>
            <w:r w:rsidRPr="004A0C12">
              <w:rPr>
                <w:rFonts w:ascii="Garamond" w:hAnsi="Garamond"/>
                <w:sz w:val="22"/>
                <w:szCs w:val="22"/>
              </w:rPr>
              <w:t>106</w:t>
            </w:r>
          </w:p>
        </w:tc>
        <w:tc>
          <w:tcPr>
            <w:tcW w:w="1115" w:type="dxa"/>
          </w:tcPr>
          <w:p w14:paraId="0495E210" w14:textId="5E0E0003"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42%</w:t>
            </w:r>
          </w:p>
        </w:tc>
      </w:tr>
      <w:tr w:rsidR="005378E5" w:rsidRPr="004A0C12" w14:paraId="773CAEAF"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0BAD3CC0" w14:textId="77777777" w:rsidR="005378E5" w:rsidRPr="004A0C12" w:rsidRDefault="005378E5" w:rsidP="008C4670">
            <w:pPr>
              <w:rPr>
                <w:rFonts w:ascii="Garamond" w:hAnsi="Garamond"/>
                <w:sz w:val="22"/>
                <w:szCs w:val="22"/>
              </w:rPr>
            </w:pPr>
            <w:r w:rsidRPr="004A0C12">
              <w:rPr>
                <w:rFonts w:ascii="Garamond" w:hAnsi="Garamond"/>
                <w:sz w:val="22"/>
                <w:szCs w:val="22"/>
              </w:rPr>
              <w:t>ESL Advanced</w:t>
            </w:r>
          </w:p>
        </w:tc>
        <w:tc>
          <w:tcPr>
            <w:tcW w:w="1296" w:type="dxa"/>
            <w:gridSpan w:val="2"/>
          </w:tcPr>
          <w:p w14:paraId="10004322" w14:textId="0CD44E11" w:rsidR="005378E5" w:rsidRPr="004A0C12" w:rsidRDefault="00E97CC8"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1,058</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751C175C" w14:textId="1CBF3593" w:rsidR="005378E5" w:rsidRPr="004A0C12" w:rsidRDefault="00E97CC8" w:rsidP="007B0E94">
            <w:pPr>
              <w:jc w:val="center"/>
              <w:rPr>
                <w:rFonts w:ascii="Garamond" w:hAnsi="Garamond"/>
                <w:sz w:val="22"/>
                <w:szCs w:val="22"/>
              </w:rPr>
            </w:pPr>
            <w:r w:rsidRPr="004A0C12">
              <w:rPr>
                <w:rFonts w:ascii="Garamond" w:hAnsi="Garamond"/>
                <w:sz w:val="22"/>
                <w:szCs w:val="22"/>
              </w:rPr>
              <w:t>92,712</w:t>
            </w:r>
          </w:p>
        </w:tc>
        <w:tc>
          <w:tcPr>
            <w:tcW w:w="1192" w:type="dxa"/>
            <w:gridSpan w:val="2"/>
          </w:tcPr>
          <w:p w14:paraId="51B92479" w14:textId="6D2707AA"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299</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46B92021" w14:textId="3EDD4D6A" w:rsidR="005378E5" w:rsidRPr="004A0C12" w:rsidRDefault="007B0E94" w:rsidP="007B0E94">
            <w:pPr>
              <w:jc w:val="center"/>
              <w:rPr>
                <w:rFonts w:ascii="Garamond" w:hAnsi="Garamond"/>
                <w:sz w:val="22"/>
                <w:szCs w:val="22"/>
              </w:rPr>
            </w:pPr>
            <w:r w:rsidRPr="004A0C12">
              <w:rPr>
                <w:rFonts w:ascii="Garamond" w:hAnsi="Garamond"/>
                <w:sz w:val="22"/>
                <w:szCs w:val="22"/>
              </w:rPr>
              <w:t>0</w:t>
            </w:r>
          </w:p>
        </w:tc>
        <w:tc>
          <w:tcPr>
            <w:tcW w:w="1292" w:type="dxa"/>
            <w:gridSpan w:val="2"/>
          </w:tcPr>
          <w:p w14:paraId="47127A97" w14:textId="48030530"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700</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2AF5BC36" w14:textId="620213E7" w:rsidR="005378E5" w:rsidRPr="004A0C12" w:rsidRDefault="007B0E94" w:rsidP="007B0E94">
            <w:pPr>
              <w:jc w:val="center"/>
              <w:rPr>
                <w:rFonts w:ascii="Garamond" w:hAnsi="Garamond"/>
                <w:sz w:val="22"/>
                <w:szCs w:val="22"/>
              </w:rPr>
            </w:pPr>
            <w:r w:rsidRPr="004A0C12">
              <w:rPr>
                <w:rFonts w:ascii="Garamond" w:hAnsi="Garamond"/>
                <w:sz w:val="22"/>
                <w:szCs w:val="22"/>
              </w:rPr>
              <w:t>59</w:t>
            </w:r>
          </w:p>
        </w:tc>
        <w:tc>
          <w:tcPr>
            <w:tcW w:w="1115" w:type="dxa"/>
          </w:tcPr>
          <w:p w14:paraId="304236CA" w14:textId="5A235731" w:rsidR="005378E5" w:rsidRPr="004A0C12" w:rsidRDefault="007B0E94" w:rsidP="007B0E94">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28%</w:t>
            </w:r>
          </w:p>
        </w:tc>
      </w:tr>
      <w:tr w:rsidR="005378E5" w:rsidRPr="004A0C12" w14:paraId="099625F0"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6E065E77" w14:textId="77777777" w:rsidR="005378E5" w:rsidRPr="004A0C12" w:rsidRDefault="005378E5" w:rsidP="008C4670">
            <w:pPr>
              <w:rPr>
                <w:rFonts w:ascii="Garamond" w:hAnsi="Garamond"/>
                <w:sz w:val="22"/>
                <w:szCs w:val="22"/>
              </w:rPr>
            </w:pPr>
            <w:r w:rsidRPr="004A0C12">
              <w:rPr>
                <w:rFonts w:ascii="Garamond" w:hAnsi="Garamond"/>
                <w:sz w:val="22"/>
                <w:szCs w:val="22"/>
              </w:rPr>
              <w:t xml:space="preserve">TOTAL </w:t>
            </w:r>
          </w:p>
        </w:tc>
        <w:tc>
          <w:tcPr>
            <w:tcW w:w="1296" w:type="dxa"/>
            <w:gridSpan w:val="2"/>
          </w:tcPr>
          <w:p w14:paraId="0562F4D8" w14:textId="47C39EB8" w:rsidR="005378E5" w:rsidRPr="004A0C12" w:rsidRDefault="00E97CC8"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17,533</w:t>
            </w:r>
          </w:p>
        </w:tc>
        <w:tc>
          <w:tcPr>
            <w:cnfStyle w:val="000010000000" w:firstRow="0" w:lastRow="0" w:firstColumn="0" w:lastColumn="0" w:oddVBand="1" w:evenVBand="0" w:oddHBand="0" w:evenHBand="0" w:firstRowFirstColumn="0" w:firstRowLastColumn="0" w:lastRowFirstColumn="0" w:lastRowLastColumn="0"/>
            <w:tcW w:w="1317" w:type="dxa"/>
            <w:gridSpan w:val="2"/>
          </w:tcPr>
          <w:p w14:paraId="4057AE74" w14:textId="6E7706F7" w:rsidR="005378E5" w:rsidRPr="004A0C12" w:rsidRDefault="00E97CC8" w:rsidP="007B0E94">
            <w:pPr>
              <w:jc w:val="center"/>
              <w:rPr>
                <w:rFonts w:ascii="Garamond" w:hAnsi="Garamond"/>
                <w:sz w:val="22"/>
                <w:szCs w:val="22"/>
              </w:rPr>
            </w:pPr>
            <w:r w:rsidRPr="004A0C12">
              <w:rPr>
                <w:rFonts w:ascii="Garamond" w:hAnsi="Garamond"/>
                <w:sz w:val="22"/>
                <w:szCs w:val="22"/>
              </w:rPr>
              <w:t>1,869,780</w:t>
            </w:r>
          </w:p>
        </w:tc>
        <w:tc>
          <w:tcPr>
            <w:tcW w:w="1192" w:type="dxa"/>
            <w:gridSpan w:val="2"/>
          </w:tcPr>
          <w:p w14:paraId="7ECC6384" w14:textId="0D5DFBE6"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8,978</w:t>
            </w:r>
          </w:p>
        </w:tc>
        <w:tc>
          <w:tcPr>
            <w:cnfStyle w:val="000010000000" w:firstRow="0" w:lastRow="0" w:firstColumn="0" w:lastColumn="0" w:oddVBand="1" w:evenVBand="0" w:oddHBand="0" w:evenHBand="0" w:firstRowFirstColumn="0" w:firstRowLastColumn="0" w:lastRowFirstColumn="0" w:lastRowLastColumn="0"/>
            <w:tcW w:w="1723" w:type="dxa"/>
            <w:gridSpan w:val="2"/>
          </w:tcPr>
          <w:p w14:paraId="0212B4D2" w14:textId="4AEFBAE4" w:rsidR="005378E5" w:rsidRPr="004A0C12" w:rsidRDefault="007B0E94" w:rsidP="007B0E94">
            <w:pPr>
              <w:jc w:val="center"/>
              <w:rPr>
                <w:rFonts w:ascii="Garamond" w:hAnsi="Garamond"/>
                <w:sz w:val="22"/>
                <w:szCs w:val="22"/>
              </w:rPr>
            </w:pPr>
            <w:r w:rsidRPr="004A0C12">
              <w:rPr>
                <w:rFonts w:ascii="Garamond" w:hAnsi="Garamond"/>
                <w:sz w:val="22"/>
                <w:szCs w:val="22"/>
              </w:rPr>
              <w:t>7,878</w:t>
            </w:r>
          </w:p>
        </w:tc>
        <w:tc>
          <w:tcPr>
            <w:tcW w:w="1292" w:type="dxa"/>
            <w:gridSpan w:val="2"/>
          </w:tcPr>
          <w:p w14:paraId="22AF8521" w14:textId="36EACCC4"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7,169</w:t>
            </w:r>
          </w:p>
        </w:tc>
        <w:tc>
          <w:tcPr>
            <w:cnfStyle w:val="000010000000" w:firstRow="0" w:lastRow="0" w:firstColumn="0" w:lastColumn="0" w:oddVBand="1" w:evenVBand="0" w:oddHBand="0" w:evenHBand="0" w:firstRowFirstColumn="0" w:firstRowLastColumn="0" w:lastRowFirstColumn="0" w:lastRowLastColumn="0"/>
            <w:tcW w:w="1266" w:type="dxa"/>
            <w:gridSpan w:val="2"/>
          </w:tcPr>
          <w:p w14:paraId="4292F63E" w14:textId="04C26BCC" w:rsidR="005378E5" w:rsidRPr="004A0C12" w:rsidRDefault="007B0E94" w:rsidP="007B0E94">
            <w:pPr>
              <w:jc w:val="center"/>
              <w:rPr>
                <w:rFonts w:ascii="Garamond" w:hAnsi="Garamond"/>
                <w:sz w:val="22"/>
                <w:szCs w:val="22"/>
              </w:rPr>
            </w:pPr>
            <w:r w:rsidRPr="004A0C12">
              <w:rPr>
                <w:rFonts w:ascii="Garamond" w:hAnsi="Garamond"/>
                <w:sz w:val="22"/>
                <w:szCs w:val="22"/>
              </w:rPr>
              <w:t>1,386</w:t>
            </w:r>
          </w:p>
        </w:tc>
        <w:tc>
          <w:tcPr>
            <w:tcW w:w="1115" w:type="dxa"/>
          </w:tcPr>
          <w:p w14:paraId="1AFD7C4C" w14:textId="18D4E66B" w:rsidR="005378E5" w:rsidRPr="004A0C12" w:rsidRDefault="007B0E94" w:rsidP="007B0E94">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51%</w:t>
            </w:r>
          </w:p>
        </w:tc>
      </w:tr>
    </w:tbl>
    <w:p w14:paraId="46A86952" w14:textId="77777777" w:rsidR="0074457B" w:rsidRPr="004A0C12" w:rsidRDefault="0074457B" w:rsidP="007B0E94">
      <w:pPr>
        <w:pStyle w:val="FreeForm"/>
        <w:rPr>
          <w:rFonts w:ascii="Garamond" w:hAnsi="Garamond"/>
          <w:sz w:val="22"/>
          <w:szCs w:val="22"/>
        </w:rPr>
      </w:pPr>
    </w:p>
    <w:p w14:paraId="2BAB286F" w14:textId="537F0336" w:rsidR="0054168E" w:rsidRPr="00B25499" w:rsidRDefault="0074457B" w:rsidP="00B25499">
      <w:pPr>
        <w:spacing w:after="0" w:line="240" w:lineRule="auto"/>
        <w:rPr>
          <w:rFonts w:ascii="Garamond" w:hAnsi="Garamond"/>
        </w:rPr>
      </w:pPr>
      <w:r w:rsidRPr="004A0C12">
        <w:rPr>
          <w:rFonts w:ascii="Garamond" w:hAnsi="Garamond"/>
        </w:rPr>
        <w:t xml:space="preserve">EFL = Educational Functioning Level; ABE = Adult Basic Education; ASE = Adult Secondary Education; ESL </w:t>
      </w:r>
      <w:r w:rsidR="00B25499">
        <w:rPr>
          <w:rFonts w:ascii="Garamond" w:hAnsi="Garamond"/>
        </w:rPr>
        <w:t xml:space="preserve">= English as a Second Language </w:t>
      </w:r>
    </w:p>
    <w:p w14:paraId="603AF40D" w14:textId="77777777" w:rsidR="0054168E" w:rsidRPr="004A0C12" w:rsidRDefault="0054168E" w:rsidP="0074457B">
      <w:pPr>
        <w:spacing w:after="0" w:line="240" w:lineRule="auto"/>
        <w:jc w:val="center"/>
        <w:rPr>
          <w:rFonts w:ascii="Garamond" w:hAnsi="Garamond" w:cs="Times New Roman"/>
          <w:b/>
        </w:rPr>
      </w:pPr>
    </w:p>
    <w:p w14:paraId="50B18CBC" w14:textId="77777777" w:rsidR="0054168E" w:rsidRPr="004A0C12" w:rsidRDefault="0054168E" w:rsidP="0074457B">
      <w:pPr>
        <w:spacing w:after="0" w:line="240" w:lineRule="auto"/>
        <w:jc w:val="center"/>
        <w:rPr>
          <w:rFonts w:ascii="Garamond" w:hAnsi="Garamond" w:cs="Times New Roman"/>
          <w:b/>
        </w:rPr>
      </w:pPr>
    </w:p>
    <w:p w14:paraId="4670E55C" w14:textId="77777777" w:rsidR="0054168E" w:rsidRPr="004A0C12" w:rsidRDefault="0054168E" w:rsidP="0074457B">
      <w:pPr>
        <w:spacing w:after="0" w:line="240" w:lineRule="auto"/>
        <w:jc w:val="center"/>
        <w:rPr>
          <w:rFonts w:ascii="Garamond" w:hAnsi="Garamond" w:cs="Times New Roman"/>
          <w:b/>
        </w:rPr>
      </w:pPr>
    </w:p>
    <w:p w14:paraId="741BC4D3" w14:textId="77777777" w:rsidR="0054168E" w:rsidRPr="004A0C12" w:rsidRDefault="0054168E" w:rsidP="0074457B">
      <w:pPr>
        <w:spacing w:after="0" w:line="240" w:lineRule="auto"/>
        <w:jc w:val="center"/>
        <w:rPr>
          <w:rFonts w:ascii="Garamond" w:hAnsi="Garamond" w:cs="Times New Roman"/>
          <w:b/>
        </w:rPr>
      </w:pPr>
    </w:p>
    <w:tbl>
      <w:tblPr>
        <w:tblStyle w:val="PlainTable11"/>
        <w:tblW w:w="0" w:type="auto"/>
        <w:tblLayout w:type="fixed"/>
        <w:tblLook w:val="0000" w:firstRow="0" w:lastRow="0" w:firstColumn="0" w:lastColumn="0" w:noHBand="0" w:noVBand="0"/>
        <w:tblCaption w:val="Adult Education Performance Measures for July 1, 2014-June 30, 2015"/>
        <w:tblDescription w:val="This chart provides the Adult Education performance measures for July 1, 2014-June 30,2015."/>
      </w:tblPr>
      <w:tblGrid>
        <w:gridCol w:w="1795"/>
        <w:gridCol w:w="1296"/>
        <w:gridCol w:w="1317"/>
        <w:gridCol w:w="1192"/>
        <w:gridCol w:w="1723"/>
        <w:gridCol w:w="1292"/>
        <w:gridCol w:w="1266"/>
        <w:gridCol w:w="1115"/>
      </w:tblGrid>
      <w:tr w:rsidR="005378E5" w:rsidRPr="004A0C12" w14:paraId="0FC47E2D" w14:textId="77777777" w:rsidTr="008B1D9A">
        <w:trPr>
          <w:trHeight w:val="660"/>
          <w:tblHeader/>
        </w:trPr>
        <w:tc>
          <w:tcPr>
            <w:cnfStyle w:val="000010000000" w:firstRow="0" w:lastRow="0" w:firstColumn="0" w:lastColumn="0" w:oddVBand="1" w:evenVBand="0" w:oddHBand="0" w:evenHBand="0" w:firstRowFirstColumn="0" w:firstRowLastColumn="0" w:lastRowFirstColumn="0" w:lastRowLastColumn="0"/>
            <w:tcW w:w="10996" w:type="dxa"/>
            <w:gridSpan w:val="8"/>
          </w:tcPr>
          <w:p w14:paraId="30EDB93E" w14:textId="77777777" w:rsidR="005378E5" w:rsidRPr="004A0C12" w:rsidRDefault="005378E5" w:rsidP="00E97CC8">
            <w:pPr>
              <w:jc w:val="center"/>
              <w:rPr>
                <w:rFonts w:ascii="Garamond" w:hAnsi="Garamond"/>
                <w:sz w:val="22"/>
                <w:szCs w:val="22"/>
              </w:rPr>
            </w:pPr>
            <w:r w:rsidRPr="004A0C12">
              <w:rPr>
                <w:rFonts w:ascii="Garamond" w:hAnsi="Garamond"/>
                <w:sz w:val="22"/>
                <w:szCs w:val="22"/>
              </w:rPr>
              <w:t>Adult Education</w:t>
            </w:r>
          </w:p>
          <w:p w14:paraId="2AE85252" w14:textId="77777777" w:rsidR="005378E5" w:rsidRPr="004A0C12" w:rsidRDefault="005378E5" w:rsidP="008C4670">
            <w:pPr>
              <w:jc w:val="center"/>
              <w:rPr>
                <w:rFonts w:ascii="Garamond" w:hAnsi="Garamond"/>
                <w:sz w:val="22"/>
                <w:szCs w:val="22"/>
              </w:rPr>
            </w:pPr>
            <w:r w:rsidRPr="004A0C12">
              <w:rPr>
                <w:rFonts w:ascii="Garamond" w:hAnsi="Garamond"/>
                <w:sz w:val="22"/>
                <w:szCs w:val="22"/>
              </w:rPr>
              <w:t xml:space="preserve">Educational Gains &amp; Attendance by Educational Functioning Level </w:t>
            </w:r>
          </w:p>
          <w:p w14:paraId="2DAAE29D" w14:textId="0E368D65" w:rsidR="005378E5" w:rsidRPr="004A0C12" w:rsidRDefault="005378E5" w:rsidP="008C4670">
            <w:pPr>
              <w:jc w:val="center"/>
              <w:rPr>
                <w:rFonts w:ascii="Garamond" w:hAnsi="Garamond"/>
                <w:sz w:val="22"/>
                <w:szCs w:val="22"/>
              </w:rPr>
            </w:pPr>
            <w:r w:rsidRPr="004A0C12">
              <w:rPr>
                <w:rFonts w:ascii="Garamond" w:hAnsi="Garamond"/>
                <w:sz w:val="22"/>
                <w:szCs w:val="22"/>
              </w:rPr>
              <w:t>July 1, 2014 – June 30, 2015</w:t>
            </w:r>
          </w:p>
        </w:tc>
      </w:tr>
      <w:tr w:rsidR="005378E5" w:rsidRPr="004A0C12" w14:paraId="5A09CE93" w14:textId="77777777" w:rsidTr="00900002">
        <w:trPr>
          <w:cnfStyle w:val="000000100000" w:firstRow="0" w:lastRow="0" w:firstColumn="0" w:lastColumn="0" w:oddVBand="0" w:evenVBand="0" w:oddHBand="1" w:evenHBand="0" w:firstRowFirstColumn="0" w:firstRowLastColumn="0" w:lastRowFirstColumn="0" w:lastRowLastColumn="0"/>
          <w:trHeight w:val="660"/>
        </w:trPr>
        <w:tc>
          <w:tcPr>
            <w:cnfStyle w:val="000010000000" w:firstRow="0" w:lastRow="0" w:firstColumn="0" w:lastColumn="0" w:oddVBand="1" w:evenVBand="0" w:oddHBand="0" w:evenHBand="0" w:firstRowFirstColumn="0" w:firstRowLastColumn="0" w:lastRowFirstColumn="0" w:lastRowLastColumn="0"/>
            <w:tcW w:w="1795" w:type="dxa"/>
          </w:tcPr>
          <w:p w14:paraId="00292F5C" w14:textId="77777777" w:rsidR="005378E5" w:rsidRPr="004A0C12" w:rsidRDefault="005378E5" w:rsidP="008C4670">
            <w:pPr>
              <w:jc w:val="center"/>
              <w:rPr>
                <w:rFonts w:ascii="Garamond" w:hAnsi="Garamond"/>
                <w:sz w:val="22"/>
                <w:szCs w:val="22"/>
              </w:rPr>
            </w:pPr>
            <w:r w:rsidRPr="004A0C12">
              <w:rPr>
                <w:rFonts w:ascii="Garamond" w:hAnsi="Garamond"/>
                <w:sz w:val="22"/>
                <w:szCs w:val="22"/>
              </w:rPr>
              <w:t>Entering EFL</w:t>
            </w:r>
          </w:p>
        </w:tc>
        <w:tc>
          <w:tcPr>
            <w:tcW w:w="1296" w:type="dxa"/>
          </w:tcPr>
          <w:p w14:paraId="470A99F0"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Total # Enrolled</w:t>
            </w:r>
          </w:p>
        </w:tc>
        <w:tc>
          <w:tcPr>
            <w:cnfStyle w:val="000010000000" w:firstRow="0" w:lastRow="0" w:firstColumn="0" w:lastColumn="0" w:oddVBand="1" w:evenVBand="0" w:oddHBand="0" w:evenHBand="0" w:firstRowFirstColumn="0" w:firstRowLastColumn="0" w:lastRowFirstColumn="0" w:lastRowLastColumn="0"/>
            <w:tcW w:w="1317" w:type="dxa"/>
          </w:tcPr>
          <w:p w14:paraId="7CC06AE5" w14:textId="77777777" w:rsidR="005378E5" w:rsidRPr="004A0C12" w:rsidRDefault="005378E5" w:rsidP="008C4670">
            <w:pPr>
              <w:jc w:val="center"/>
              <w:rPr>
                <w:rFonts w:ascii="Garamond" w:hAnsi="Garamond"/>
                <w:sz w:val="22"/>
                <w:szCs w:val="22"/>
              </w:rPr>
            </w:pPr>
            <w:r w:rsidRPr="004A0C12">
              <w:rPr>
                <w:rFonts w:ascii="Garamond" w:hAnsi="Garamond"/>
                <w:sz w:val="22"/>
                <w:szCs w:val="22"/>
              </w:rPr>
              <w:t>Total Attendance Hours</w:t>
            </w:r>
          </w:p>
        </w:tc>
        <w:tc>
          <w:tcPr>
            <w:tcW w:w="1192" w:type="dxa"/>
          </w:tcPr>
          <w:p w14:paraId="7CD1D231"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Completed Level</w:t>
            </w:r>
          </w:p>
        </w:tc>
        <w:tc>
          <w:tcPr>
            <w:cnfStyle w:val="000010000000" w:firstRow="0" w:lastRow="0" w:firstColumn="0" w:lastColumn="0" w:oddVBand="1" w:evenVBand="0" w:oddHBand="0" w:evenHBand="0" w:firstRowFirstColumn="0" w:firstRowLastColumn="0" w:lastRowFirstColumn="0" w:lastRowLastColumn="0"/>
            <w:tcW w:w="1723" w:type="dxa"/>
          </w:tcPr>
          <w:p w14:paraId="18799D83" w14:textId="65CE280D" w:rsidR="005378E5" w:rsidRPr="004A0C12" w:rsidRDefault="00900002" w:rsidP="008C4670">
            <w:pPr>
              <w:jc w:val="center"/>
              <w:rPr>
                <w:rFonts w:ascii="Garamond" w:hAnsi="Garamond"/>
                <w:sz w:val="22"/>
                <w:szCs w:val="22"/>
              </w:rPr>
            </w:pPr>
            <w:r w:rsidRPr="004A0C12">
              <w:rPr>
                <w:rFonts w:ascii="Garamond" w:hAnsi="Garamond"/>
                <w:sz w:val="22"/>
                <w:szCs w:val="22"/>
              </w:rPr>
              <w:t># W</w:t>
            </w:r>
            <w:r w:rsidR="005378E5" w:rsidRPr="004A0C12">
              <w:rPr>
                <w:rFonts w:ascii="Garamond" w:hAnsi="Garamond"/>
                <w:sz w:val="22"/>
                <w:szCs w:val="22"/>
              </w:rPr>
              <w:t>ho Completed a Level &amp; Advanced 1 or more Levels</w:t>
            </w:r>
          </w:p>
        </w:tc>
        <w:tc>
          <w:tcPr>
            <w:tcW w:w="1292" w:type="dxa"/>
          </w:tcPr>
          <w:p w14:paraId="0C9C59E0"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Separated Before Completing</w:t>
            </w:r>
          </w:p>
        </w:tc>
        <w:tc>
          <w:tcPr>
            <w:cnfStyle w:val="000010000000" w:firstRow="0" w:lastRow="0" w:firstColumn="0" w:lastColumn="0" w:oddVBand="1" w:evenVBand="0" w:oddHBand="0" w:evenHBand="0" w:firstRowFirstColumn="0" w:firstRowLastColumn="0" w:lastRowFirstColumn="0" w:lastRowLastColumn="0"/>
            <w:tcW w:w="1266" w:type="dxa"/>
          </w:tcPr>
          <w:p w14:paraId="65308B17" w14:textId="77777777" w:rsidR="005378E5" w:rsidRPr="004A0C12" w:rsidRDefault="005378E5" w:rsidP="008C4670">
            <w:pPr>
              <w:jc w:val="center"/>
              <w:rPr>
                <w:rFonts w:ascii="Garamond" w:hAnsi="Garamond"/>
                <w:sz w:val="22"/>
                <w:szCs w:val="22"/>
              </w:rPr>
            </w:pPr>
            <w:r w:rsidRPr="004A0C12">
              <w:rPr>
                <w:rFonts w:ascii="Garamond" w:hAnsi="Garamond"/>
                <w:sz w:val="22"/>
                <w:szCs w:val="22"/>
              </w:rPr>
              <w:t># Remaining within Level</w:t>
            </w:r>
          </w:p>
        </w:tc>
        <w:tc>
          <w:tcPr>
            <w:tcW w:w="1115" w:type="dxa"/>
          </w:tcPr>
          <w:p w14:paraId="1254CB59" w14:textId="77777777" w:rsidR="005378E5" w:rsidRPr="004A0C12" w:rsidRDefault="005378E5" w:rsidP="008C467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Completing Level</w:t>
            </w:r>
          </w:p>
        </w:tc>
      </w:tr>
      <w:tr w:rsidR="005378E5" w:rsidRPr="004A0C12" w14:paraId="13AE1A90"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4546D4EA" w14:textId="77777777" w:rsidR="005378E5" w:rsidRPr="004A0C12" w:rsidRDefault="005378E5" w:rsidP="008C4670">
            <w:pPr>
              <w:rPr>
                <w:rFonts w:ascii="Garamond" w:hAnsi="Garamond"/>
                <w:sz w:val="22"/>
                <w:szCs w:val="22"/>
              </w:rPr>
            </w:pPr>
            <w:r w:rsidRPr="004A0C12">
              <w:rPr>
                <w:rFonts w:ascii="Garamond" w:hAnsi="Garamond"/>
                <w:sz w:val="22"/>
                <w:szCs w:val="22"/>
              </w:rPr>
              <w:t>ABE Beginning Literacy</w:t>
            </w:r>
          </w:p>
        </w:tc>
        <w:tc>
          <w:tcPr>
            <w:tcW w:w="1296" w:type="dxa"/>
          </w:tcPr>
          <w:p w14:paraId="4962E3FB" w14:textId="3C150CE7"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766</w:t>
            </w:r>
          </w:p>
        </w:tc>
        <w:tc>
          <w:tcPr>
            <w:cnfStyle w:val="000010000000" w:firstRow="0" w:lastRow="0" w:firstColumn="0" w:lastColumn="0" w:oddVBand="1" w:evenVBand="0" w:oddHBand="0" w:evenHBand="0" w:firstRowFirstColumn="0" w:firstRowLastColumn="0" w:lastRowFirstColumn="0" w:lastRowLastColumn="0"/>
            <w:tcW w:w="1317" w:type="dxa"/>
          </w:tcPr>
          <w:p w14:paraId="71D0FF41" w14:textId="799B9D3C" w:rsidR="005378E5" w:rsidRPr="004A0C12" w:rsidRDefault="00E97CC8" w:rsidP="00E97CC8">
            <w:pPr>
              <w:jc w:val="center"/>
              <w:rPr>
                <w:rFonts w:ascii="Garamond" w:hAnsi="Garamond"/>
                <w:sz w:val="22"/>
                <w:szCs w:val="22"/>
              </w:rPr>
            </w:pPr>
            <w:r w:rsidRPr="004A0C12">
              <w:rPr>
                <w:rFonts w:ascii="Garamond" w:hAnsi="Garamond"/>
                <w:sz w:val="22"/>
                <w:szCs w:val="22"/>
              </w:rPr>
              <w:t>83,851</w:t>
            </w:r>
          </w:p>
        </w:tc>
        <w:tc>
          <w:tcPr>
            <w:tcW w:w="1192" w:type="dxa"/>
          </w:tcPr>
          <w:p w14:paraId="79DD501A" w14:textId="7A788B81"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272</w:t>
            </w:r>
          </w:p>
        </w:tc>
        <w:tc>
          <w:tcPr>
            <w:cnfStyle w:val="000010000000" w:firstRow="0" w:lastRow="0" w:firstColumn="0" w:lastColumn="0" w:oddVBand="1" w:evenVBand="0" w:oddHBand="0" w:evenHBand="0" w:firstRowFirstColumn="0" w:firstRowLastColumn="0" w:lastRowFirstColumn="0" w:lastRowLastColumn="0"/>
            <w:tcW w:w="1723" w:type="dxa"/>
          </w:tcPr>
          <w:p w14:paraId="3A570070" w14:textId="0AEEF5F7" w:rsidR="005378E5" w:rsidRPr="004A0C12" w:rsidRDefault="00E97CC8" w:rsidP="00E97CC8">
            <w:pPr>
              <w:jc w:val="center"/>
              <w:rPr>
                <w:rFonts w:ascii="Garamond" w:hAnsi="Garamond"/>
                <w:sz w:val="22"/>
                <w:szCs w:val="22"/>
              </w:rPr>
            </w:pPr>
            <w:r w:rsidRPr="004A0C12">
              <w:rPr>
                <w:rFonts w:ascii="Garamond" w:hAnsi="Garamond"/>
                <w:sz w:val="22"/>
                <w:szCs w:val="22"/>
              </w:rPr>
              <w:t>250</w:t>
            </w:r>
          </w:p>
        </w:tc>
        <w:tc>
          <w:tcPr>
            <w:tcW w:w="1292" w:type="dxa"/>
          </w:tcPr>
          <w:p w14:paraId="36B8A06E" w14:textId="04C6E306"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360</w:t>
            </w:r>
          </w:p>
        </w:tc>
        <w:tc>
          <w:tcPr>
            <w:cnfStyle w:val="000010000000" w:firstRow="0" w:lastRow="0" w:firstColumn="0" w:lastColumn="0" w:oddVBand="1" w:evenVBand="0" w:oddHBand="0" w:evenHBand="0" w:firstRowFirstColumn="0" w:firstRowLastColumn="0" w:lastRowFirstColumn="0" w:lastRowLastColumn="0"/>
            <w:tcW w:w="1266" w:type="dxa"/>
          </w:tcPr>
          <w:p w14:paraId="63EF6A56" w14:textId="0EA174D4" w:rsidR="005378E5" w:rsidRPr="004A0C12" w:rsidRDefault="00E97CC8" w:rsidP="00E97CC8">
            <w:pPr>
              <w:jc w:val="center"/>
              <w:rPr>
                <w:rFonts w:ascii="Garamond" w:hAnsi="Garamond"/>
                <w:sz w:val="22"/>
                <w:szCs w:val="22"/>
              </w:rPr>
            </w:pPr>
            <w:r w:rsidRPr="004A0C12">
              <w:rPr>
                <w:rFonts w:ascii="Garamond" w:hAnsi="Garamond"/>
                <w:sz w:val="22"/>
                <w:szCs w:val="22"/>
              </w:rPr>
              <w:t>134</w:t>
            </w:r>
          </w:p>
        </w:tc>
        <w:tc>
          <w:tcPr>
            <w:tcW w:w="1115" w:type="dxa"/>
          </w:tcPr>
          <w:p w14:paraId="72CF3EEE" w14:textId="060CCD1E"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36%</w:t>
            </w:r>
          </w:p>
        </w:tc>
      </w:tr>
      <w:tr w:rsidR="005378E5" w:rsidRPr="004A0C12" w14:paraId="1DFCAA59"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193DC195" w14:textId="77777777" w:rsidR="005378E5" w:rsidRPr="004A0C12" w:rsidRDefault="005378E5" w:rsidP="008C4670">
            <w:pPr>
              <w:rPr>
                <w:rFonts w:ascii="Garamond" w:hAnsi="Garamond"/>
                <w:sz w:val="22"/>
                <w:szCs w:val="22"/>
              </w:rPr>
            </w:pPr>
            <w:r w:rsidRPr="004A0C12">
              <w:rPr>
                <w:rFonts w:ascii="Garamond" w:hAnsi="Garamond"/>
                <w:sz w:val="22"/>
                <w:szCs w:val="22"/>
              </w:rPr>
              <w:t>ABE Beginning Basic Literacy</w:t>
            </w:r>
          </w:p>
        </w:tc>
        <w:tc>
          <w:tcPr>
            <w:tcW w:w="1296" w:type="dxa"/>
          </w:tcPr>
          <w:p w14:paraId="71383E9A" w14:textId="0E9CBBA3"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1,576</w:t>
            </w:r>
          </w:p>
        </w:tc>
        <w:tc>
          <w:tcPr>
            <w:cnfStyle w:val="000010000000" w:firstRow="0" w:lastRow="0" w:firstColumn="0" w:lastColumn="0" w:oddVBand="1" w:evenVBand="0" w:oddHBand="0" w:evenHBand="0" w:firstRowFirstColumn="0" w:firstRowLastColumn="0" w:lastRowFirstColumn="0" w:lastRowLastColumn="0"/>
            <w:tcW w:w="1317" w:type="dxa"/>
          </w:tcPr>
          <w:p w14:paraId="15C6931B" w14:textId="61EC01FA" w:rsidR="005378E5" w:rsidRPr="004A0C12" w:rsidRDefault="00E97CC8" w:rsidP="00E97CC8">
            <w:pPr>
              <w:jc w:val="center"/>
              <w:rPr>
                <w:rFonts w:ascii="Garamond" w:hAnsi="Garamond"/>
                <w:sz w:val="22"/>
                <w:szCs w:val="22"/>
              </w:rPr>
            </w:pPr>
            <w:r w:rsidRPr="004A0C12">
              <w:rPr>
                <w:rFonts w:ascii="Garamond" w:hAnsi="Garamond"/>
                <w:sz w:val="22"/>
                <w:szCs w:val="22"/>
              </w:rPr>
              <w:t>155,506</w:t>
            </w:r>
          </w:p>
        </w:tc>
        <w:tc>
          <w:tcPr>
            <w:tcW w:w="1192" w:type="dxa"/>
          </w:tcPr>
          <w:p w14:paraId="7E0641B4" w14:textId="7D8CD2F0"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641</w:t>
            </w:r>
          </w:p>
        </w:tc>
        <w:tc>
          <w:tcPr>
            <w:cnfStyle w:val="000010000000" w:firstRow="0" w:lastRow="0" w:firstColumn="0" w:lastColumn="0" w:oddVBand="1" w:evenVBand="0" w:oddHBand="0" w:evenHBand="0" w:firstRowFirstColumn="0" w:firstRowLastColumn="0" w:lastRowFirstColumn="0" w:lastRowLastColumn="0"/>
            <w:tcW w:w="1723" w:type="dxa"/>
          </w:tcPr>
          <w:p w14:paraId="5113A0DB" w14:textId="0C5EC7DF" w:rsidR="005378E5" w:rsidRPr="004A0C12" w:rsidRDefault="00E97CC8" w:rsidP="00E97CC8">
            <w:pPr>
              <w:jc w:val="center"/>
              <w:rPr>
                <w:rFonts w:ascii="Garamond" w:hAnsi="Garamond"/>
                <w:sz w:val="22"/>
                <w:szCs w:val="22"/>
              </w:rPr>
            </w:pPr>
            <w:r w:rsidRPr="004A0C12">
              <w:rPr>
                <w:rFonts w:ascii="Garamond" w:hAnsi="Garamond"/>
                <w:sz w:val="22"/>
                <w:szCs w:val="22"/>
              </w:rPr>
              <w:t>567</w:t>
            </w:r>
          </w:p>
        </w:tc>
        <w:tc>
          <w:tcPr>
            <w:tcW w:w="1292" w:type="dxa"/>
          </w:tcPr>
          <w:p w14:paraId="790EE52B" w14:textId="5D0019DF"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819</w:t>
            </w:r>
          </w:p>
        </w:tc>
        <w:tc>
          <w:tcPr>
            <w:cnfStyle w:val="000010000000" w:firstRow="0" w:lastRow="0" w:firstColumn="0" w:lastColumn="0" w:oddVBand="1" w:evenVBand="0" w:oddHBand="0" w:evenHBand="0" w:firstRowFirstColumn="0" w:firstRowLastColumn="0" w:lastRowFirstColumn="0" w:lastRowLastColumn="0"/>
            <w:tcW w:w="1266" w:type="dxa"/>
          </w:tcPr>
          <w:p w14:paraId="4B7AAD3D" w14:textId="630B93CC" w:rsidR="005378E5" w:rsidRPr="004A0C12" w:rsidRDefault="00E97CC8" w:rsidP="00E97CC8">
            <w:pPr>
              <w:jc w:val="center"/>
              <w:rPr>
                <w:rFonts w:ascii="Garamond" w:hAnsi="Garamond"/>
                <w:sz w:val="22"/>
                <w:szCs w:val="22"/>
              </w:rPr>
            </w:pPr>
            <w:r w:rsidRPr="004A0C12">
              <w:rPr>
                <w:rFonts w:ascii="Garamond" w:hAnsi="Garamond"/>
                <w:sz w:val="22"/>
                <w:szCs w:val="22"/>
              </w:rPr>
              <w:t>116</w:t>
            </w:r>
          </w:p>
        </w:tc>
        <w:tc>
          <w:tcPr>
            <w:tcW w:w="1115" w:type="dxa"/>
          </w:tcPr>
          <w:p w14:paraId="3C54D859" w14:textId="34259F16"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41%</w:t>
            </w:r>
          </w:p>
        </w:tc>
      </w:tr>
      <w:tr w:rsidR="005378E5" w:rsidRPr="004A0C12" w14:paraId="523EB8A2"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011FCDE9" w14:textId="77777777" w:rsidR="005378E5" w:rsidRPr="004A0C12" w:rsidRDefault="005378E5" w:rsidP="008C4670">
            <w:pPr>
              <w:rPr>
                <w:rFonts w:ascii="Garamond" w:hAnsi="Garamond"/>
                <w:sz w:val="22"/>
                <w:szCs w:val="22"/>
              </w:rPr>
            </w:pPr>
            <w:r w:rsidRPr="004A0C12">
              <w:rPr>
                <w:rFonts w:ascii="Garamond" w:hAnsi="Garamond"/>
                <w:sz w:val="22"/>
                <w:szCs w:val="22"/>
              </w:rPr>
              <w:t>ABE Intermediate Low</w:t>
            </w:r>
          </w:p>
        </w:tc>
        <w:tc>
          <w:tcPr>
            <w:tcW w:w="1296" w:type="dxa"/>
          </w:tcPr>
          <w:p w14:paraId="3C2B1240" w14:textId="2DD7026E"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3,508</w:t>
            </w:r>
          </w:p>
        </w:tc>
        <w:tc>
          <w:tcPr>
            <w:cnfStyle w:val="000010000000" w:firstRow="0" w:lastRow="0" w:firstColumn="0" w:lastColumn="0" w:oddVBand="1" w:evenVBand="0" w:oddHBand="0" w:evenHBand="0" w:firstRowFirstColumn="0" w:firstRowLastColumn="0" w:lastRowFirstColumn="0" w:lastRowLastColumn="0"/>
            <w:tcW w:w="1317" w:type="dxa"/>
          </w:tcPr>
          <w:p w14:paraId="5B67FA57" w14:textId="3614C556" w:rsidR="005378E5" w:rsidRPr="004A0C12" w:rsidRDefault="00E97CC8" w:rsidP="00E97CC8">
            <w:pPr>
              <w:jc w:val="center"/>
              <w:rPr>
                <w:rFonts w:ascii="Garamond" w:hAnsi="Garamond"/>
                <w:sz w:val="22"/>
                <w:szCs w:val="22"/>
              </w:rPr>
            </w:pPr>
            <w:r w:rsidRPr="004A0C12">
              <w:rPr>
                <w:rFonts w:ascii="Garamond" w:hAnsi="Garamond"/>
                <w:sz w:val="22"/>
                <w:szCs w:val="22"/>
              </w:rPr>
              <w:t>349,603</w:t>
            </w:r>
          </w:p>
        </w:tc>
        <w:tc>
          <w:tcPr>
            <w:tcW w:w="1192" w:type="dxa"/>
          </w:tcPr>
          <w:p w14:paraId="3EFBBFC9" w14:textId="1E8543CA"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1,297</w:t>
            </w:r>
          </w:p>
        </w:tc>
        <w:tc>
          <w:tcPr>
            <w:cnfStyle w:val="000010000000" w:firstRow="0" w:lastRow="0" w:firstColumn="0" w:lastColumn="0" w:oddVBand="1" w:evenVBand="0" w:oddHBand="0" w:evenHBand="0" w:firstRowFirstColumn="0" w:firstRowLastColumn="0" w:lastRowFirstColumn="0" w:lastRowLastColumn="0"/>
            <w:tcW w:w="1723" w:type="dxa"/>
          </w:tcPr>
          <w:p w14:paraId="5AF9563D" w14:textId="2B265FE6" w:rsidR="005378E5" w:rsidRPr="004A0C12" w:rsidRDefault="00E97CC8" w:rsidP="00E97CC8">
            <w:pPr>
              <w:jc w:val="center"/>
              <w:rPr>
                <w:rFonts w:ascii="Garamond" w:hAnsi="Garamond"/>
                <w:sz w:val="22"/>
                <w:szCs w:val="22"/>
              </w:rPr>
            </w:pPr>
            <w:r w:rsidRPr="004A0C12">
              <w:rPr>
                <w:rFonts w:ascii="Garamond" w:hAnsi="Garamond"/>
                <w:sz w:val="22"/>
                <w:szCs w:val="22"/>
              </w:rPr>
              <w:t>1,163</w:t>
            </w:r>
          </w:p>
        </w:tc>
        <w:tc>
          <w:tcPr>
            <w:tcW w:w="1292" w:type="dxa"/>
          </w:tcPr>
          <w:p w14:paraId="2A6E424B" w14:textId="67ED5ECB"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1,912</w:t>
            </w:r>
          </w:p>
        </w:tc>
        <w:tc>
          <w:tcPr>
            <w:cnfStyle w:val="000010000000" w:firstRow="0" w:lastRow="0" w:firstColumn="0" w:lastColumn="0" w:oddVBand="1" w:evenVBand="0" w:oddHBand="0" w:evenHBand="0" w:firstRowFirstColumn="0" w:firstRowLastColumn="0" w:lastRowFirstColumn="0" w:lastRowLastColumn="0"/>
            <w:tcW w:w="1266" w:type="dxa"/>
          </w:tcPr>
          <w:p w14:paraId="62F212CF" w14:textId="4E31EE72" w:rsidR="005378E5" w:rsidRPr="004A0C12" w:rsidRDefault="00E97CC8" w:rsidP="00E97CC8">
            <w:pPr>
              <w:jc w:val="center"/>
              <w:rPr>
                <w:rFonts w:ascii="Garamond" w:hAnsi="Garamond"/>
                <w:sz w:val="22"/>
                <w:szCs w:val="22"/>
              </w:rPr>
            </w:pPr>
            <w:r w:rsidRPr="004A0C12">
              <w:rPr>
                <w:rFonts w:ascii="Garamond" w:hAnsi="Garamond"/>
                <w:sz w:val="22"/>
                <w:szCs w:val="22"/>
              </w:rPr>
              <w:t>299</w:t>
            </w:r>
          </w:p>
        </w:tc>
        <w:tc>
          <w:tcPr>
            <w:tcW w:w="1115" w:type="dxa"/>
          </w:tcPr>
          <w:p w14:paraId="7BC867B0" w14:textId="2254E8C2"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37%</w:t>
            </w:r>
          </w:p>
        </w:tc>
      </w:tr>
      <w:tr w:rsidR="005378E5" w:rsidRPr="004A0C12" w14:paraId="117155ED"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4B3DF5B1" w14:textId="77777777" w:rsidR="005378E5" w:rsidRPr="004A0C12" w:rsidRDefault="005378E5" w:rsidP="008C4670">
            <w:pPr>
              <w:rPr>
                <w:rFonts w:ascii="Garamond" w:hAnsi="Garamond"/>
                <w:sz w:val="22"/>
                <w:szCs w:val="22"/>
              </w:rPr>
            </w:pPr>
            <w:r w:rsidRPr="004A0C12">
              <w:rPr>
                <w:rFonts w:ascii="Garamond" w:hAnsi="Garamond"/>
                <w:sz w:val="22"/>
                <w:szCs w:val="22"/>
              </w:rPr>
              <w:t>ABE Intermediate High</w:t>
            </w:r>
          </w:p>
        </w:tc>
        <w:tc>
          <w:tcPr>
            <w:tcW w:w="1296" w:type="dxa"/>
          </w:tcPr>
          <w:p w14:paraId="23077526" w14:textId="2C8501DD"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5,468</w:t>
            </w:r>
          </w:p>
        </w:tc>
        <w:tc>
          <w:tcPr>
            <w:cnfStyle w:val="000010000000" w:firstRow="0" w:lastRow="0" w:firstColumn="0" w:lastColumn="0" w:oddVBand="1" w:evenVBand="0" w:oddHBand="0" w:evenHBand="0" w:firstRowFirstColumn="0" w:firstRowLastColumn="0" w:lastRowFirstColumn="0" w:lastRowLastColumn="0"/>
            <w:tcW w:w="1317" w:type="dxa"/>
          </w:tcPr>
          <w:p w14:paraId="7025F138" w14:textId="55E35533" w:rsidR="005378E5" w:rsidRPr="004A0C12" w:rsidRDefault="00E97CC8" w:rsidP="00E97CC8">
            <w:pPr>
              <w:jc w:val="center"/>
              <w:rPr>
                <w:rFonts w:ascii="Garamond" w:hAnsi="Garamond"/>
                <w:sz w:val="22"/>
                <w:szCs w:val="22"/>
              </w:rPr>
            </w:pPr>
            <w:r w:rsidRPr="004A0C12">
              <w:rPr>
                <w:rFonts w:ascii="Garamond" w:hAnsi="Garamond"/>
                <w:sz w:val="22"/>
                <w:szCs w:val="22"/>
              </w:rPr>
              <w:t>476,314</w:t>
            </w:r>
          </w:p>
        </w:tc>
        <w:tc>
          <w:tcPr>
            <w:tcW w:w="1192" w:type="dxa"/>
          </w:tcPr>
          <w:p w14:paraId="7AA3D6F1" w14:textId="798666EF"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969</w:t>
            </w:r>
          </w:p>
        </w:tc>
        <w:tc>
          <w:tcPr>
            <w:cnfStyle w:val="000010000000" w:firstRow="0" w:lastRow="0" w:firstColumn="0" w:lastColumn="0" w:oddVBand="1" w:evenVBand="0" w:oddHBand="0" w:evenHBand="0" w:firstRowFirstColumn="0" w:firstRowLastColumn="0" w:lastRowFirstColumn="0" w:lastRowLastColumn="0"/>
            <w:tcW w:w="1723" w:type="dxa"/>
          </w:tcPr>
          <w:p w14:paraId="7A79E770" w14:textId="7A39C2A2" w:rsidR="005378E5" w:rsidRPr="004A0C12" w:rsidRDefault="00E97CC8" w:rsidP="00E97CC8">
            <w:pPr>
              <w:jc w:val="center"/>
              <w:rPr>
                <w:rFonts w:ascii="Garamond" w:hAnsi="Garamond"/>
                <w:sz w:val="22"/>
                <w:szCs w:val="22"/>
              </w:rPr>
            </w:pPr>
            <w:r w:rsidRPr="004A0C12">
              <w:rPr>
                <w:rFonts w:ascii="Garamond" w:hAnsi="Garamond"/>
                <w:sz w:val="22"/>
                <w:szCs w:val="22"/>
              </w:rPr>
              <w:t>858</w:t>
            </w:r>
          </w:p>
        </w:tc>
        <w:tc>
          <w:tcPr>
            <w:tcW w:w="1292" w:type="dxa"/>
          </w:tcPr>
          <w:p w14:paraId="31B0B8B0" w14:textId="185A8956"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3,793</w:t>
            </w:r>
          </w:p>
        </w:tc>
        <w:tc>
          <w:tcPr>
            <w:cnfStyle w:val="000010000000" w:firstRow="0" w:lastRow="0" w:firstColumn="0" w:lastColumn="0" w:oddVBand="1" w:evenVBand="0" w:oddHBand="0" w:evenHBand="0" w:firstRowFirstColumn="0" w:firstRowLastColumn="0" w:lastRowFirstColumn="0" w:lastRowLastColumn="0"/>
            <w:tcW w:w="1266" w:type="dxa"/>
          </w:tcPr>
          <w:p w14:paraId="63A9FB4C" w14:textId="6C95767C" w:rsidR="005378E5" w:rsidRPr="004A0C12" w:rsidRDefault="00E97CC8" w:rsidP="00E97CC8">
            <w:pPr>
              <w:jc w:val="center"/>
              <w:rPr>
                <w:rFonts w:ascii="Garamond" w:hAnsi="Garamond"/>
                <w:sz w:val="22"/>
                <w:szCs w:val="22"/>
              </w:rPr>
            </w:pPr>
            <w:r w:rsidRPr="004A0C12">
              <w:rPr>
                <w:rFonts w:ascii="Garamond" w:hAnsi="Garamond"/>
                <w:sz w:val="22"/>
                <w:szCs w:val="22"/>
              </w:rPr>
              <w:t>706</w:t>
            </w:r>
          </w:p>
        </w:tc>
        <w:tc>
          <w:tcPr>
            <w:tcW w:w="1115" w:type="dxa"/>
          </w:tcPr>
          <w:p w14:paraId="0B1A77C4" w14:textId="2E72252E"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r>
      <w:tr w:rsidR="005378E5" w:rsidRPr="004A0C12" w14:paraId="37FC6EEF"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43FA0FA8" w14:textId="77777777" w:rsidR="005378E5" w:rsidRPr="004A0C12" w:rsidRDefault="005378E5" w:rsidP="008C4670">
            <w:pPr>
              <w:rPr>
                <w:rFonts w:ascii="Garamond" w:hAnsi="Garamond"/>
                <w:sz w:val="22"/>
                <w:szCs w:val="22"/>
              </w:rPr>
            </w:pPr>
            <w:r w:rsidRPr="004A0C12">
              <w:rPr>
                <w:rFonts w:ascii="Garamond" w:hAnsi="Garamond"/>
                <w:sz w:val="22"/>
                <w:szCs w:val="22"/>
              </w:rPr>
              <w:t>ASE Low</w:t>
            </w:r>
          </w:p>
        </w:tc>
        <w:tc>
          <w:tcPr>
            <w:tcW w:w="1296" w:type="dxa"/>
          </w:tcPr>
          <w:p w14:paraId="6B378076" w14:textId="05A55534"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1,734</w:t>
            </w:r>
          </w:p>
        </w:tc>
        <w:tc>
          <w:tcPr>
            <w:cnfStyle w:val="000010000000" w:firstRow="0" w:lastRow="0" w:firstColumn="0" w:lastColumn="0" w:oddVBand="1" w:evenVBand="0" w:oddHBand="0" w:evenHBand="0" w:firstRowFirstColumn="0" w:firstRowLastColumn="0" w:lastRowFirstColumn="0" w:lastRowLastColumn="0"/>
            <w:tcW w:w="1317" w:type="dxa"/>
          </w:tcPr>
          <w:p w14:paraId="4B48264D" w14:textId="0D486105" w:rsidR="005378E5" w:rsidRPr="004A0C12" w:rsidRDefault="00E97CC8" w:rsidP="00E97CC8">
            <w:pPr>
              <w:jc w:val="center"/>
              <w:rPr>
                <w:rFonts w:ascii="Garamond" w:hAnsi="Garamond"/>
                <w:sz w:val="22"/>
                <w:szCs w:val="22"/>
              </w:rPr>
            </w:pPr>
            <w:r w:rsidRPr="004A0C12">
              <w:rPr>
                <w:rFonts w:ascii="Garamond" w:hAnsi="Garamond"/>
                <w:sz w:val="22"/>
                <w:szCs w:val="22"/>
              </w:rPr>
              <w:t>200,056</w:t>
            </w:r>
          </w:p>
        </w:tc>
        <w:tc>
          <w:tcPr>
            <w:tcW w:w="1192" w:type="dxa"/>
          </w:tcPr>
          <w:p w14:paraId="29F24658" w14:textId="3427D4C3"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395</w:t>
            </w:r>
          </w:p>
        </w:tc>
        <w:tc>
          <w:tcPr>
            <w:cnfStyle w:val="000010000000" w:firstRow="0" w:lastRow="0" w:firstColumn="0" w:lastColumn="0" w:oddVBand="1" w:evenVBand="0" w:oddHBand="0" w:evenHBand="0" w:firstRowFirstColumn="0" w:firstRowLastColumn="0" w:lastRowFirstColumn="0" w:lastRowLastColumn="0"/>
            <w:tcW w:w="1723" w:type="dxa"/>
          </w:tcPr>
          <w:p w14:paraId="4E8166CC" w14:textId="14ECB704" w:rsidR="005378E5" w:rsidRPr="004A0C12" w:rsidRDefault="00E97CC8" w:rsidP="00E97CC8">
            <w:pPr>
              <w:jc w:val="center"/>
              <w:rPr>
                <w:rFonts w:ascii="Garamond" w:hAnsi="Garamond"/>
                <w:sz w:val="22"/>
                <w:szCs w:val="22"/>
              </w:rPr>
            </w:pPr>
            <w:r w:rsidRPr="004A0C12">
              <w:rPr>
                <w:rFonts w:ascii="Garamond" w:hAnsi="Garamond"/>
                <w:sz w:val="22"/>
                <w:szCs w:val="22"/>
              </w:rPr>
              <w:t>238</w:t>
            </w:r>
          </w:p>
        </w:tc>
        <w:tc>
          <w:tcPr>
            <w:tcW w:w="1292" w:type="dxa"/>
          </w:tcPr>
          <w:p w14:paraId="55518F3A" w14:textId="645357D2"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1,081</w:t>
            </w:r>
          </w:p>
        </w:tc>
        <w:tc>
          <w:tcPr>
            <w:cnfStyle w:val="000010000000" w:firstRow="0" w:lastRow="0" w:firstColumn="0" w:lastColumn="0" w:oddVBand="1" w:evenVBand="0" w:oddHBand="0" w:evenHBand="0" w:firstRowFirstColumn="0" w:firstRowLastColumn="0" w:lastRowFirstColumn="0" w:lastRowLastColumn="0"/>
            <w:tcW w:w="1266" w:type="dxa"/>
          </w:tcPr>
          <w:p w14:paraId="34F08C39" w14:textId="3CEF628A" w:rsidR="005378E5" w:rsidRPr="004A0C12" w:rsidRDefault="00E97CC8" w:rsidP="00E97CC8">
            <w:pPr>
              <w:jc w:val="center"/>
              <w:rPr>
                <w:rFonts w:ascii="Garamond" w:hAnsi="Garamond"/>
                <w:sz w:val="22"/>
                <w:szCs w:val="22"/>
              </w:rPr>
            </w:pPr>
            <w:r w:rsidRPr="004A0C12">
              <w:rPr>
                <w:rFonts w:ascii="Garamond" w:hAnsi="Garamond"/>
                <w:sz w:val="22"/>
                <w:szCs w:val="22"/>
              </w:rPr>
              <w:t>258</w:t>
            </w:r>
          </w:p>
        </w:tc>
        <w:tc>
          <w:tcPr>
            <w:tcW w:w="1115" w:type="dxa"/>
          </w:tcPr>
          <w:p w14:paraId="0B402C9E" w14:textId="6C093338"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23%</w:t>
            </w:r>
          </w:p>
        </w:tc>
      </w:tr>
      <w:tr w:rsidR="005378E5" w:rsidRPr="004A0C12" w14:paraId="23082CA0"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6A388FE1" w14:textId="77777777" w:rsidR="005378E5" w:rsidRPr="004A0C12" w:rsidRDefault="005378E5" w:rsidP="008C4670">
            <w:pPr>
              <w:rPr>
                <w:rFonts w:ascii="Garamond" w:hAnsi="Garamond"/>
                <w:sz w:val="22"/>
                <w:szCs w:val="22"/>
              </w:rPr>
            </w:pPr>
            <w:r w:rsidRPr="004A0C12">
              <w:rPr>
                <w:rFonts w:ascii="Garamond" w:hAnsi="Garamond"/>
                <w:sz w:val="22"/>
                <w:szCs w:val="22"/>
              </w:rPr>
              <w:t>ASE High</w:t>
            </w:r>
          </w:p>
        </w:tc>
        <w:tc>
          <w:tcPr>
            <w:tcW w:w="1296" w:type="dxa"/>
          </w:tcPr>
          <w:p w14:paraId="16F48867" w14:textId="32C25E2B"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1,030</w:t>
            </w:r>
          </w:p>
        </w:tc>
        <w:tc>
          <w:tcPr>
            <w:cnfStyle w:val="000010000000" w:firstRow="0" w:lastRow="0" w:firstColumn="0" w:lastColumn="0" w:oddVBand="1" w:evenVBand="0" w:oddHBand="0" w:evenHBand="0" w:firstRowFirstColumn="0" w:firstRowLastColumn="0" w:lastRowFirstColumn="0" w:lastRowLastColumn="0"/>
            <w:tcW w:w="1317" w:type="dxa"/>
          </w:tcPr>
          <w:p w14:paraId="3E218CD8" w14:textId="2CBEA7FA" w:rsidR="005378E5" w:rsidRPr="004A0C12" w:rsidRDefault="00E97CC8" w:rsidP="00E97CC8">
            <w:pPr>
              <w:jc w:val="center"/>
              <w:rPr>
                <w:rFonts w:ascii="Garamond" w:hAnsi="Garamond"/>
                <w:sz w:val="22"/>
                <w:szCs w:val="22"/>
              </w:rPr>
            </w:pPr>
            <w:r w:rsidRPr="004A0C12">
              <w:rPr>
                <w:rFonts w:ascii="Garamond" w:hAnsi="Garamond"/>
                <w:sz w:val="22"/>
                <w:szCs w:val="22"/>
              </w:rPr>
              <w:t>111,920</w:t>
            </w:r>
          </w:p>
        </w:tc>
        <w:tc>
          <w:tcPr>
            <w:tcW w:w="1192" w:type="dxa"/>
          </w:tcPr>
          <w:p w14:paraId="28250181" w14:textId="771A12EE"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293</w:t>
            </w:r>
          </w:p>
        </w:tc>
        <w:tc>
          <w:tcPr>
            <w:cnfStyle w:val="000010000000" w:firstRow="0" w:lastRow="0" w:firstColumn="0" w:lastColumn="0" w:oddVBand="1" w:evenVBand="0" w:oddHBand="0" w:evenHBand="0" w:firstRowFirstColumn="0" w:firstRowLastColumn="0" w:lastRowFirstColumn="0" w:lastRowLastColumn="0"/>
            <w:tcW w:w="1723" w:type="dxa"/>
          </w:tcPr>
          <w:p w14:paraId="2EB76CD5" w14:textId="5835D929" w:rsidR="005378E5" w:rsidRPr="004A0C12" w:rsidRDefault="00E97CC8" w:rsidP="00E97CC8">
            <w:pPr>
              <w:jc w:val="center"/>
              <w:rPr>
                <w:rFonts w:ascii="Garamond" w:hAnsi="Garamond"/>
                <w:sz w:val="22"/>
                <w:szCs w:val="22"/>
              </w:rPr>
            </w:pPr>
            <w:r w:rsidRPr="004A0C12">
              <w:rPr>
                <w:rFonts w:ascii="Garamond" w:hAnsi="Garamond"/>
                <w:sz w:val="22"/>
                <w:szCs w:val="22"/>
              </w:rPr>
              <w:t>0</w:t>
            </w:r>
          </w:p>
        </w:tc>
        <w:tc>
          <w:tcPr>
            <w:tcW w:w="1292" w:type="dxa"/>
          </w:tcPr>
          <w:p w14:paraId="4DD6FF58" w14:textId="6C5CFA3D"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558</w:t>
            </w:r>
          </w:p>
        </w:tc>
        <w:tc>
          <w:tcPr>
            <w:cnfStyle w:val="000010000000" w:firstRow="0" w:lastRow="0" w:firstColumn="0" w:lastColumn="0" w:oddVBand="1" w:evenVBand="0" w:oddHBand="0" w:evenHBand="0" w:firstRowFirstColumn="0" w:firstRowLastColumn="0" w:lastRowFirstColumn="0" w:lastRowLastColumn="0"/>
            <w:tcW w:w="1266" w:type="dxa"/>
          </w:tcPr>
          <w:p w14:paraId="4C0EB640" w14:textId="46A42CC3" w:rsidR="005378E5" w:rsidRPr="004A0C12" w:rsidRDefault="00E97CC8" w:rsidP="00E97CC8">
            <w:pPr>
              <w:jc w:val="center"/>
              <w:rPr>
                <w:rFonts w:ascii="Garamond" w:hAnsi="Garamond"/>
                <w:sz w:val="22"/>
                <w:szCs w:val="22"/>
              </w:rPr>
            </w:pPr>
            <w:r w:rsidRPr="004A0C12">
              <w:rPr>
                <w:rFonts w:ascii="Garamond" w:hAnsi="Garamond"/>
                <w:sz w:val="22"/>
                <w:szCs w:val="22"/>
              </w:rPr>
              <w:t>179</w:t>
            </w:r>
          </w:p>
        </w:tc>
        <w:tc>
          <w:tcPr>
            <w:tcW w:w="1115" w:type="dxa"/>
          </w:tcPr>
          <w:p w14:paraId="6B728293" w14:textId="37FEDF8F"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28%</w:t>
            </w:r>
          </w:p>
        </w:tc>
      </w:tr>
      <w:tr w:rsidR="005378E5" w:rsidRPr="004A0C12" w14:paraId="18F8A60C"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0BA4CD45" w14:textId="77777777" w:rsidR="005378E5" w:rsidRPr="004A0C12" w:rsidRDefault="005378E5" w:rsidP="008C4670">
            <w:pPr>
              <w:rPr>
                <w:rFonts w:ascii="Garamond" w:hAnsi="Garamond"/>
                <w:sz w:val="22"/>
                <w:szCs w:val="22"/>
              </w:rPr>
            </w:pPr>
            <w:r w:rsidRPr="004A0C12">
              <w:rPr>
                <w:rFonts w:ascii="Garamond" w:hAnsi="Garamond"/>
                <w:sz w:val="22"/>
                <w:szCs w:val="22"/>
              </w:rPr>
              <w:t>ESL Beginning Literacy</w:t>
            </w:r>
          </w:p>
        </w:tc>
        <w:tc>
          <w:tcPr>
            <w:tcW w:w="1296" w:type="dxa"/>
          </w:tcPr>
          <w:p w14:paraId="4C638D0F" w14:textId="65A36CE3"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1,363</w:t>
            </w:r>
          </w:p>
        </w:tc>
        <w:tc>
          <w:tcPr>
            <w:cnfStyle w:val="000010000000" w:firstRow="0" w:lastRow="0" w:firstColumn="0" w:lastColumn="0" w:oddVBand="1" w:evenVBand="0" w:oddHBand="0" w:evenHBand="0" w:firstRowFirstColumn="0" w:firstRowLastColumn="0" w:lastRowFirstColumn="0" w:lastRowLastColumn="0"/>
            <w:tcW w:w="1317" w:type="dxa"/>
          </w:tcPr>
          <w:p w14:paraId="22274CBF" w14:textId="293EED46" w:rsidR="005378E5" w:rsidRPr="004A0C12" w:rsidRDefault="00E97CC8" w:rsidP="00E97CC8">
            <w:pPr>
              <w:jc w:val="center"/>
              <w:rPr>
                <w:rFonts w:ascii="Garamond" w:hAnsi="Garamond"/>
                <w:sz w:val="22"/>
                <w:szCs w:val="22"/>
              </w:rPr>
            </w:pPr>
            <w:r w:rsidRPr="004A0C12">
              <w:rPr>
                <w:rFonts w:ascii="Garamond" w:hAnsi="Garamond"/>
                <w:sz w:val="22"/>
                <w:szCs w:val="22"/>
              </w:rPr>
              <w:t>84,638</w:t>
            </w:r>
          </w:p>
        </w:tc>
        <w:tc>
          <w:tcPr>
            <w:tcW w:w="1192" w:type="dxa"/>
          </w:tcPr>
          <w:p w14:paraId="58B7FC20" w14:textId="3E552959"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734</w:t>
            </w:r>
          </w:p>
        </w:tc>
        <w:tc>
          <w:tcPr>
            <w:cnfStyle w:val="000010000000" w:firstRow="0" w:lastRow="0" w:firstColumn="0" w:lastColumn="0" w:oddVBand="1" w:evenVBand="0" w:oddHBand="0" w:evenHBand="0" w:firstRowFirstColumn="0" w:firstRowLastColumn="0" w:lastRowFirstColumn="0" w:lastRowLastColumn="0"/>
            <w:tcW w:w="1723" w:type="dxa"/>
          </w:tcPr>
          <w:p w14:paraId="25502F11" w14:textId="24D8E964" w:rsidR="005378E5" w:rsidRPr="004A0C12" w:rsidRDefault="00E97CC8" w:rsidP="00E97CC8">
            <w:pPr>
              <w:jc w:val="center"/>
              <w:rPr>
                <w:rFonts w:ascii="Garamond" w:hAnsi="Garamond"/>
                <w:sz w:val="22"/>
                <w:szCs w:val="22"/>
              </w:rPr>
            </w:pPr>
            <w:r w:rsidRPr="004A0C12">
              <w:rPr>
                <w:rFonts w:ascii="Garamond" w:hAnsi="Garamond"/>
                <w:sz w:val="22"/>
                <w:szCs w:val="22"/>
              </w:rPr>
              <w:t>668</w:t>
            </w:r>
          </w:p>
        </w:tc>
        <w:tc>
          <w:tcPr>
            <w:tcW w:w="1292" w:type="dxa"/>
          </w:tcPr>
          <w:p w14:paraId="102A780B" w14:textId="45F8E607"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610</w:t>
            </w:r>
          </w:p>
        </w:tc>
        <w:tc>
          <w:tcPr>
            <w:cnfStyle w:val="000010000000" w:firstRow="0" w:lastRow="0" w:firstColumn="0" w:lastColumn="0" w:oddVBand="1" w:evenVBand="0" w:oddHBand="0" w:evenHBand="0" w:firstRowFirstColumn="0" w:firstRowLastColumn="0" w:lastRowFirstColumn="0" w:lastRowLastColumn="0"/>
            <w:tcW w:w="1266" w:type="dxa"/>
          </w:tcPr>
          <w:p w14:paraId="484C01CE" w14:textId="23560C82" w:rsidR="005378E5" w:rsidRPr="004A0C12" w:rsidRDefault="00E97CC8" w:rsidP="00E97CC8">
            <w:pPr>
              <w:jc w:val="center"/>
              <w:rPr>
                <w:rFonts w:ascii="Garamond" w:hAnsi="Garamond"/>
                <w:sz w:val="22"/>
                <w:szCs w:val="22"/>
              </w:rPr>
            </w:pPr>
            <w:r w:rsidRPr="004A0C12">
              <w:rPr>
                <w:rFonts w:ascii="Garamond" w:hAnsi="Garamond"/>
                <w:sz w:val="22"/>
                <w:szCs w:val="22"/>
              </w:rPr>
              <w:t>19</w:t>
            </w:r>
          </w:p>
        </w:tc>
        <w:tc>
          <w:tcPr>
            <w:tcW w:w="1115" w:type="dxa"/>
          </w:tcPr>
          <w:p w14:paraId="26EE2470" w14:textId="47D3404C"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54%</w:t>
            </w:r>
          </w:p>
        </w:tc>
      </w:tr>
      <w:tr w:rsidR="005378E5" w:rsidRPr="004A0C12" w14:paraId="0718E402"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1606C72B" w14:textId="77777777" w:rsidR="005378E5" w:rsidRPr="004A0C12" w:rsidRDefault="005378E5" w:rsidP="008C4670">
            <w:pPr>
              <w:rPr>
                <w:rFonts w:ascii="Garamond" w:hAnsi="Garamond"/>
                <w:sz w:val="22"/>
                <w:szCs w:val="22"/>
              </w:rPr>
            </w:pPr>
            <w:r w:rsidRPr="004A0C12">
              <w:rPr>
                <w:rFonts w:ascii="Garamond" w:hAnsi="Garamond"/>
                <w:sz w:val="22"/>
                <w:szCs w:val="22"/>
              </w:rPr>
              <w:t>ESL Beginning Low</w:t>
            </w:r>
          </w:p>
        </w:tc>
        <w:tc>
          <w:tcPr>
            <w:tcW w:w="1296" w:type="dxa"/>
          </w:tcPr>
          <w:p w14:paraId="1D1387ED" w14:textId="4995356D"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1,405</w:t>
            </w:r>
          </w:p>
        </w:tc>
        <w:tc>
          <w:tcPr>
            <w:cnfStyle w:val="000010000000" w:firstRow="0" w:lastRow="0" w:firstColumn="0" w:lastColumn="0" w:oddVBand="1" w:evenVBand="0" w:oddHBand="0" w:evenHBand="0" w:firstRowFirstColumn="0" w:firstRowLastColumn="0" w:lastRowFirstColumn="0" w:lastRowLastColumn="0"/>
            <w:tcW w:w="1317" w:type="dxa"/>
          </w:tcPr>
          <w:p w14:paraId="115257A2" w14:textId="6E216CE5" w:rsidR="005378E5" w:rsidRPr="004A0C12" w:rsidRDefault="00E97CC8" w:rsidP="00E97CC8">
            <w:pPr>
              <w:jc w:val="center"/>
              <w:rPr>
                <w:rFonts w:ascii="Garamond" w:hAnsi="Garamond"/>
                <w:sz w:val="22"/>
                <w:szCs w:val="22"/>
              </w:rPr>
            </w:pPr>
            <w:r w:rsidRPr="004A0C12">
              <w:rPr>
                <w:rFonts w:ascii="Garamond" w:hAnsi="Garamond"/>
                <w:sz w:val="22"/>
                <w:szCs w:val="22"/>
              </w:rPr>
              <w:t>96,760</w:t>
            </w:r>
          </w:p>
        </w:tc>
        <w:tc>
          <w:tcPr>
            <w:tcW w:w="1192" w:type="dxa"/>
          </w:tcPr>
          <w:p w14:paraId="1EF88EBC" w14:textId="642022F5"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732</w:t>
            </w:r>
          </w:p>
        </w:tc>
        <w:tc>
          <w:tcPr>
            <w:cnfStyle w:val="000010000000" w:firstRow="0" w:lastRow="0" w:firstColumn="0" w:lastColumn="0" w:oddVBand="1" w:evenVBand="0" w:oddHBand="0" w:evenHBand="0" w:firstRowFirstColumn="0" w:firstRowLastColumn="0" w:lastRowFirstColumn="0" w:lastRowLastColumn="0"/>
            <w:tcW w:w="1723" w:type="dxa"/>
          </w:tcPr>
          <w:p w14:paraId="40889492" w14:textId="307E5F98" w:rsidR="005378E5" w:rsidRPr="004A0C12" w:rsidRDefault="00E97CC8" w:rsidP="00E97CC8">
            <w:pPr>
              <w:jc w:val="center"/>
              <w:rPr>
                <w:rFonts w:ascii="Garamond" w:hAnsi="Garamond"/>
                <w:sz w:val="22"/>
                <w:szCs w:val="22"/>
              </w:rPr>
            </w:pPr>
            <w:r w:rsidRPr="004A0C12">
              <w:rPr>
                <w:rFonts w:ascii="Garamond" w:hAnsi="Garamond"/>
                <w:sz w:val="22"/>
                <w:szCs w:val="22"/>
              </w:rPr>
              <w:t>686</w:t>
            </w:r>
          </w:p>
        </w:tc>
        <w:tc>
          <w:tcPr>
            <w:tcW w:w="1292" w:type="dxa"/>
          </w:tcPr>
          <w:p w14:paraId="52B86973" w14:textId="789D7BB9"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637</w:t>
            </w:r>
          </w:p>
        </w:tc>
        <w:tc>
          <w:tcPr>
            <w:cnfStyle w:val="000010000000" w:firstRow="0" w:lastRow="0" w:firstColumn="0" w:lastColumn="0" w:oddVBand="1" w:evenVBand="0" w:oddHBand="0" w:evenHBand="0" w:firstRowFirstColumn="0" w:firstRowLastColumn="0" w:lastRowFirstColumn="0" w:lastRowLastColumn="0"/>
            <w:tcW w:w="1266" w:type="dxa"/>
          </w:tcPr>
          <w:p w14:paraId="07B23467" w14:textId="372A9EA2" w:rsidR="005378E5" w:rsidRPr="004A0C12" w:rsidRDefault="00E97CC8" w:rsidP="00E97CC8">
            <w:pPr>
              <w:jc w:val="center"/>
              <w:rPr>
                <w:rFonts w:ascii="Garamond" w:hAnsi="Garamond"/>
                <w:sz w:val="22"/>
                <w:szCs w:val="22"/>
              </w:rPr>
            </w:pPr>
            <w:r w:rsidRPr="004A0C12">
              <w:rPr>
                <w:rFonts w:ascii="Garamond" w:hAnsi="Garamond"/>
                <w:sz w:val="22"/>
                <w:szCs w:val="22"/>
              </w:rPr>
              <w:t>36</w:t>
            </w:r>
          </w:p>
        </w:tc>
        <w:tc>
          <w:tcPr>
            <w:tcW w:w="1115" w:type="dxa"/>
          </w:tcPr>
          <w:p w14:paraId="5A90FBCE" w14:textId="0E568B2A"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52%</w:t>
            </w:r>
          </w:p>
        </w:tc>
      </w:tr>
      <w:tr w:rsidR="005378E5" w:rsidRPr="004A0C12" w14:paraId="15594BC3"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60EFCFDB" w14:textId="77777777" w:rsidR="005378E5" w:rsidRPr="004A0C12" w:rsidRDefault="005378E5" w:rsidP="008C4670">
            <w:pPr>
              <w:rPr>
                <w:rFonts w:ascii="Garamond" w:hAnsi="Garamond"/>
                <w:sz w:val="22"/>
                <w:szCs w:val="22"/>
              </w:rPr>
            </w:pPr>
            <w:r w:rsidRPr="004A0C12">
              <w:rPr>
                <w:rFonts w:ascii="Garamond" w:hAnsi="Garamond"/>
                <w:sz w:val="22"/>
                <w:szCs w:val="22"/>
              </w:rPr>
              <w:t>ESL Beginning High</w:t>
            </w:r>
          </w:p>
        </w:tc>
        <w:tc>
          <w:tcPr>
            <w:tcW w:w="1296" w:type="dxa"/>
          </w:tcPr>
          <w:p w14:paraId="6B05E810" w14:textId="7C2F8530"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3,442</w:t>
            </w:r>
          </w:p>
        </w:tc>
        <w:tc>
          <w:tcPr>
            <w:cnfStyle w:val="000010000000" w:firstRow="0" w:lastRow="0" w:firstColumn="0" w:lastColumn="0" w:oddVBand="1" w:evenVBand="0" w:oddHBand="0" w:evenHBand="0" w:firstRowFirstColumn="0" w:firstRowLastColumn="0" w:lastRowFirstColumn="0" w:lastRowLastColumn="0"/>
            <w:tcW w:w="1317" w:type="dxa"/>
          </w:tcPr>
          <w:p w14:paraId="5CA4900B" w14:textId="135B7E90" w:rsidR="005378E5" w:rsidRPr="004A0C12" w:rsidRDefault="00E97CC8" w:rsidP="00E97CC8">
            <w:pPr>
              <w:jc w:val="center"/>
              <w:rPr>
                <w:rFonts w:ascii="Garamond" w:hAnsi="Garamond"/>
                <w:sz w:val="22"/>
                <w:szCs w:val="22"/>
              </w:rPr>
            </w:pPr>
            <w:r w:rsidRPr="004A0C12">
              <w:rPr>
                <w:rFonts w:ascii="Garamond" w:hAnsi="Garamond"/>
                <w:sz w:val="22"/>
                <w:szCs w:val="22"/>
              </w:rPr>
              <w:t>243,901</w:t>
            </w:r>
          </w:p>
        </w:tc>
        <w:tc>
          <w:tcPr>
            <w:tcW w:w="1192" w:type="dxa"/>
          </w:tcPr>
          <w:p w14:paraId="3036D4EE" w14:textId="3FE9F2DC"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1,481</w:t>
            </w:r>
          </w:p>
        </w:tc>
        <w:tc>
          <w:tcPr>
            <w:cnfStyle w:val="000010000000" w:firstRow="0" w:lastRow="0" w:firstColumn="0" w:lastColumn="0" w:oddVBand="1" w:evenVBand="0" w:oddHBand="0" w:evenHBand="0" w:firstRowFirstColumn="0" w:firstRowLastColumn="0" w:lastRowFirstColumn="0" w:lastRowLastColumn="0"/>
            <w:tcW w:w="1723" w:type="dxa"/>
          </w:tcPr>
          <w:p w14:paraId="42938D9F" w14:textId="7B2621E2" w:rsidR="005378E5" w:rsidRPr="004A0C12" w:rsidRDefault="00E97CC8" w:rsidP="00E97CC8">
            <w:pPr>
              <w:jc w:val="center"/>
              <w:rPr>
                <w:rFonts w:ascii="Garamond" w:hAnsi="Garamond"/>
                <w:sz w:val="22"/>
                <w:szCs w:val="22"/>
              </w:rPr>
            </w:pPr>
            <w:r w:rsidRPr="004A0C12">
              <w:rPr>
                <w:rFonts w:ascii="Garamond" w:hAnsi="Garamond"/>
                <w:sz w:val="22"/>
                <w:szCs w:val="22"/>
              </w:rPr>
              <w:t>1,401</w:t>
            </w:r>
          </w:p>
        </w:tc>
        <w:tc>
          <w:tcPr>
            <w:tcW w:w="1292" w:type="dxa"/>
          </w:tcPr>
          <w:p w14:paraId="31ACDA77" w14:textId="4CA05899"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1,828</w:t>
            </w:r>
          </w:p>
        </w:tc>
        <w:tc>
          <w:tcPr>
            <w:cnfStyle w:val="000010000000" w:firstRow="0" w:lastRow="0" w:firstColumn="0" w:lastColumn="0" w:oddVBand="1" w:evenVBand="0" w:oddHBand="0" w:evenHBand="0" w:firstRowFirstColumn="0" w:firstRowLastColumn="0" w:lastRowFirstColumn="0" w:lastRowLastColumn="0"/>
            <w:tcW w:w="1266" w:type="dxa"/>
          </w:tcPr>
          <w:p w14:paraId="4F45C891" w14:textId="79148AA9" w:rsidR="005378E5" w:rsidRPr="004A0C12" w:rsidRDefault="00E97CC8" w:rsidP="00E97CC8">
            <w:pPr>
              <w:jc w:val="center"/>
              <w:rPr>
                <w:rFonts w:ascii="Garamond" w:hAnsi="Garamond"/>
                <w:sz w:val="22"/>
                <w:szCs w:val="22"/>
              </w:rPr>
            </w:pPr>
            <w:r w:rsidRPr="004A0C12">
              <w:rPr>
                <w:rFonts w:ascii="Garamond" w:hAnsi="Garamond"/>
                <w:sz w:val="22"/>
                <w:szCs w:val="22"/>
              </w:rPr>
              <w:t>133</w:t>
            </w:r>
          </w:p>
        </w:tc>
        <w:tc>
          <w:tcPr>
            <w:tcW w:w="1115" w:type="dxa"/>
          </w:tcPr>
          <w:p w14:paraId="432C4B80" w14:textId="29257EC9"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43%</w:t>
            </w:r>
          </w:p>
        </w:tc>
      </w:tr>
      <w:tr w:rsidR="005378E5" w:rsidRPr="004A0C12" w14:paraId="51B6F234"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1795" w:type="dxa"/>
          </w:tcPr>
          <w:p w14:paraId="1DBC3EA6" w14:textId="77777777" w:rsidR="005378E5" w:rsidRPr="004A0C12" w:rsidRDefault="005378E5" w:rsidP="008C4670">
            <w:pPr>
              <w:rPr>
                <w:rFonts w:ascii="Garamond" w:hAnsi="Garamond"/>
                <w:sz w:val="22"/>
                <w:szCs w:val="22"/>
              </w:rPr>
            </w:pPr>
            <w:r w:rsidRPr="004A0C12">
              <w:rPr>
                <w:rFonts w:ascii="Garamond" w:hAnsi="Garamond"/>
                <w:sz w:val="22"/>
                <w:szCs w:val="22"/>
              </w:rPr>
              <w:t>ESL Intermediate Low</w:t>
            </w:r>
          </w:p>
        </w:tc>
        <w:tc>
          <w:tcPr>
            <w:tcW w:w="1296" w:type="dxa"/>
          </w:tcPr>
          <w:p w14:paraId="59BC32BB" w14:textId="46158689"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3,492</w:t>
            </w:r>
          </w:p>
        </w:tc>
        <w:tc>
          <w:tcPr>
            <w:cnfStyle w:val="000010000000" w:firstRow="0" w:lastRow="0" w:firstColumn="0" w:lastColumn="0" w:oddVBand="1" w:evenVBand="0" w:oddHBand="0" w:evenHBand="0" w:firstRowFirstColumn="0" w:firstRowLastColumn="0" w:lastRowFirstColumn="0" w:lastRowLastColumn="0"/>
            <w:tcW w:w="1317" w:type="dxa"/>
          </w:tcPr>
          <w:p w14:paraId="23F31444" w14:textId="3813070C" w:rsidR="005378E5" w:rsidRPr="004A0C12" w:rsidRDefault="00E97CC8" w:rsidP="00E97CC8">
            <w:pPr>
              <w:jc w:val="center"/>
              <w:rPr>
                <w:rFonts w:ascii="Garamond" w:hAnsi="Garamond"/>
                <w:sz w:val="22"/>
                <w:szCs w:val="22"/>
              </w:rPr>
            </w:pPr>
            <w:r w:rsidRPr="004A0C12">
              <w:rPr>
                <w:rFonts w:ascii="Garamond" w:hAnsi="Garamond"/>
                <w:sz w:val="22"/>
                <w:szCs w:val="22"/>
              </w:rPr>
              <w:t>258,004</w:t>
            </w:r>
          </w:p>
        </w:tc>
        <w:tc>
          <w:tcPr>
            <w:tcW w:w="1192" w:type="dxa"/>
          </w:tcPr>
          <w:p w14:paraId="3F5D307F" w14:textId="0D16C44E"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1,282</w:t>
            </w:r>
          </w:p>
        </w:tc>
        <w:tc>
          <w:tcPr>
            <w:cnfStyle w:val="000010000000" w:firstRow="0" w:lastRow="0" w:firstColumn="0" w:lastColumn="0" w:oddVBand="1" w:evenVBand="0" w:oddHBand="0" w:evenHBand="0" w:firstRowFirstColumn="0" w:firstRowLastColumn="0" w:lastRowFirstColumn="0" w:lastRowLastColumn="0"/>
            <w:tcW w:w="1723" w:type="dxa"/>
          </w:tcPr>
          <w:p w14:paraId="751A5006" w14:textId="00EEC8E0" w:rsidR="005378E5" w:rsidRPr="004A0C12" w:rsidRDefault="00E97CC8" w:rsidP="00E97CC8">
            <w:pPr>
              <w:jc w:val="center"/>
              <w:rPr>
                <w:rFonts w:ascii="Garamond" w:hAnsi="Garamond"/>
                <w:sz w:val="22"/>
                <w:szCs w:val="22"/>
              </w:rPr>
            </w:pPr>
            <w:r w:rsidRPr="004A0C12">
              <w:rPr>
                <w:rFonts w:ascii="Garamond" w:hAnsi="Garamond"/>
                <w:sz w:val="22"/>
                <w:szCs w:val="22"/>
              </w:rPr>
              <w:t>1,240</w:t>
            </w:r>
          </w:p>
        </w:tc>
        <w:tc>
          <w:tcPr>
            <w:tcW w:w="1292" w:type="dxa"/>
          </w:tcPr>
          <w:p w14:paraId="0D7CF8DC" w14:textId="3E73D11B"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2,050</w:t>
            </w:r>
          </w:p>
        </w:tc>
        <w:tc>
          <w:tcPr>
            <w:cnfStyle w:val="000010000000" w:firstRow="0" w:lastRow="0" w:firstColumn="0" w:lastColumn="0" w:oddVBand="1" w:evenVBand="0" w:oddHBand="0" w:evenHBand="0" w:firstRowFirstColumn="0" w:firstRowLastColumn="0" w:lastRowFirstColumn="0" w:lastRowLastColumn="0"/>
            <w:tcW w:w="1266" w:type="dxa"/>
          </w:tcPr>
          <w:p w14:paraId="0E63BB02" w14:textId="24185F1F" w:rsidR="005378E5" w:rsidRPr="004A0C12" w:rsidRDefault="00E97CC8" w:rsidP="00E97CC8">
            <w:pPr>
              <w:jc w:val="center"/>
              <w:rPr>
                <w:rFonts w:ascii="Garamond" w:hAnsi="Garamond"/>
                <w:sz w:val="22"/>
                <w:szCs w:val="22"/>
              </w:rPr>
            </w:pPr>
            <w:r w:rsidRPr="004A0C12">
              <w:rPr>
                <w:rFonts w:ascii="Garamond" w:hAnsi="Garamond"/>
                <w:sz w:val="22"/>
                <w:szCs w:val="22"/>
              </w:rPr>
              <w:t>160</w:t>
            </w:r>
          </w:p>
        </w:tc>
        <w:tc>
          <w:tcPr>
            <w:tcW w:w="1115" w:type="dxa"/>
          </w:tcPr>
          <w:p w14:paraId="230A0037" w14:textId="1E7DA529"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37%</w:t>
            </w:r>
          </w:p>
        </w:tc>
      </w:tr>
      <w:tr w:rsidR="005378E5" w:rsidRPr="004A0C12" w14:paraId="1A416FB7" w14:textId="77777777" w:rsidTr="00900002">
        <w:trPr>
          <w:trHeight w:val="440"/>
        </w:trPr>
        <w:tc>
          <w:tcPr>
            <w:cnfStyle w:val="000010000000" w:firstRow="0" w:lastRow="0" w:firstColumn="0" w:lastColumn="0" w:oddVBand="1" w:evenVBand="0" w:oddHBand="0" w:evenHBand="0" w:firstRowFirstColumn="0" w:firstRowLastColumn="0" w:lastRowFirstColumn="0" w:lastRowLastColumn="0"/>
            <w:tcW w:w="1795" w:type="dxa"/>
          </w:tcPr>
          <w:p w14:paraId="7276A5E1" w14:textId="77777777" w:rsidR="005378E5" w:rsidRPr="004A0C12" w:rsidRDefault="005378E5" w:rsidP="008C4670">
            <w:pPr>
              <w:rPr>
                <w:rFonts w:ascii="Garamond" w:hAnsi="Garamond"/>
                <w:sz w:val="22"/>
                <w:szCs w:val="22"/>
              </w:rPr>
            </w:pPr>
            <w:r w:rsidRPr="004A0C12">
              <w:rPr>
                <w:rFonts w:ascii="Garamond" w:hAnsi="Garamond"/>
                <w:sz w:val="22"/>
                <w:szCs w:val="22"/>
              </w:rPr>
              <w:t>ESL Intermediate High</w:t>
            </w:r>
          </w:p>
        </w:tc>
        <w:tc>
          <w:tcPr>
            <w:tcW w:w="1296" w:type="dxa"/>
          </w:tcPr>
          <w:p w14:paraId="4CC6A5A5" w14:textId="42D7189A"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2,764</w:t>
            </w:r>
          </w:p>
        </w:tc>
        <w:tc>
          <w:tcPr>
            <w:cnfStyle w:val="000010000000" w:firstRow="0" w:lastRow="0" w:firstColumn="0" w:lastColumn="0" w:oddVBand="1" w:evenVBand="0" w:oddHBand="0" w:evenHBand="0" w:firstRowFirstColumn="0" w:firstRowLastColumn="0" w:lastRowFirstColumn="0" w:lastRowLastColumn="0"/>
            <w:tcW w:w="1317" w:type="dxa"/>
          </w:tcPr>
          <w:p w14:paraId="7BCD7CFC" w14:textId="4D021BB2" w:rsidR="005378E5" w:rsidRPr="004A0C12" w:rsidRDefault="00E97CC8" w:rsidP="00E97CC8">
            <w:pPr>
              <w:jc w:val="center"/>
              <w:rPr>
                <w:rFonts w:ascii="Garamond" w:hAnsi="Garamond"/>
                <w:sz w:val="22"/>
                <w:szCs w:val="22"/>
              </w:rPr>
            </w:pPr>
            <w:r w:rsidRPr="004A0C12">
              <w:rPr>
                <w:rFonts w:ascii="Garamond" w:hAnsi="Garamond"/>
                <w:sz w:val="22"/>
                <w:szCs w:val="22"/>
              </w:rPr>
              <w:t>202,678</w:t>
            </w:r>
          </w:p>
        </w:tc>
        <w:tc>
          <w:tcPr>
            <w:tcW w:w="1192" w:type="dxa"/>
          </w:tcPr>
          <w:p w14:paraId="1540CBC8" w14:textId="3D75AAC5"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849</w:t>
            </w:r>
          </w:p>
        </w:tc>
        <w:tc>
          <w:tcPr>
            <w:cnfStyle w:val="000010000000" w:firstRow="0" w:lastRow="0" w:firstColumn="0" w:lastColumn="0" w:oddVBand="1" w:evenVBand="0" w:oddHBand="0" w:evenHBand="0" w:firstRowFirstColumn="0" w:firstRowLastColumn="0" w:lastRowFirstColumn="0" w:lastRowLastColumn="0"/>
            <w:tcW w:w="1723" w:type="dxa"/>
          </w:tcPr>
          <w:p w14:paraId="71D67146" w14:textId="639CF0E5" w:rsidR="005378E5" w:rsidRPr="004A0C12" w:rsidRDefault="00E97CC8" w:rsidP="00E97CC8">
            <w:pPr>
              <w:jc w:val="center"/>
              <w:rPr>
                <w:rFonts w:ascii="Garamond" w:hAnsi="Garamond"/>
                <w:sz w:val="22"/>
                <w:szCs w:val="22"/>
              </w:rPr>
            </w:pPr>
            <w:r w:rsidRPr="004A0C12">
              <w:rPr>
                <w:rFonts w:ascii="Garamond" w:hAnsi="Garamond"/>
                <w:sz w:val="22"/>
                <w:szCs w:val="22"/>
              </w:rPr>
              <w:t>807</w:t>
            </w:r>
          </w:p>
        </w:tc>
        <w:tc>
          <w:tcPr>
            <w:tcW w:w="1292" w:type="dxa"/>
          </w:tcPr>
          <w:p w14:paraId="4AC47E6B" w14:textId="7C29C562"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1,789</w:t>
            </w:r>
          </w:p>
        </w:tc>
        <w:tc>
          <w:tcPr>
            <w:cnfStyle w:val="000010000000" w:firstRow="0" w:lastRow="0" w:firstColumn="0" w:lastColumn="0" w:oddVBand="1" w:evenVBand="0" w:oddHBand="0" w:evenHBand="0" w:firstRowFirstColumn="0" w:firstRowLastColumn="0" w:lastRowFirstColumn="0" w:lastRowLastColumn="0"/>
            <w:tcW w:w="1266" w:type="dxa"/>
          </w:tcPr>
          <w:p w14:paraId="6F32AF9A" w14:textId="5605E720" w:rsidR="005378E5" w:rsidRPr="004A0C12" w:rsidRDefault="00E97CC8" w:rsidP="00E97CC8">
            <w:pPr>
              <w:jc w:val="center"/>
              <w:rPr>
                <w:rFonts w:ascii="Garamond" w:hAnsi="Garamond"/>
                <w:sz w:val="22"/>
                <w:szCs w:val="22"/>
              </w:rPr>
            </w:pPr>
            <w:r w:rsidRPr="004A0C12">
              <w:rPr>
                <w:rFonts w:ascii="Garamond" w:hAnsi="Garamond"/>
                <w:sz w:val="22"/>
                <w:szCs w:val="22"/>
              </w:rPr>
              <w:t>126</w:t>
            </w:r>
          </w:p>
        </w:tc>
        <w:tc>
          <w:tcPr>
            <w:tcW w:w="1115" w:type="dxa"/>
          </w:tcPr>
          <w:p w14:paraId="068793E5" w14:textId="5535DBF4"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31%</w:t>
            </w:r>
          </w:p>
        </w:tc>
      </w:tr>
      <w:tr w:rsidR="005378E5" w:rsidRPr="004A0C12" w14:paraId="5BF390D8"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795" w:type="dxa"/>
          </w:tcPr>
          <w:p w14:paraId="5B6789CF" w14:textId="77777777" w:rsidR="005378E5" w:rsidRPr="004A0C12" w:rsidRDefault="005378E5" w:rsidP="008C4670">
            <w:pPr>
              <w:rPr>
                <w:rFonts w:ascii="Garamond" w:hAnsi="Garamond"/>
                <w:sz w:val="22"/>
                <w:szCs w:val="22"/>
              </w:rPr>
            </w:pPr>
            <w:r w:rsidRPr="004A0C12">
              <w:rPr>
                <w:rFonts w:ascii="Garamond" w:hAnsi="Garamond"/>
                <w:sz w:val="22"/>
                <w:szCs w:val="22"/>
              </w:rPr>
              <w:t>ESL Advanced</w:t>
            </w:r>
          </w:p>
        </w:tc>
        <w:tc>
          <w:tcPr>
            <w:tcW w:w="1296" w:type="dxa"/>
          </w:tcPr>
          <w:p w14:paraId="2E1EAB3C" w14:textId="50D795D3"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1,449</w:t>
            </w:r>
          </w:p>
        </w:tc>
        <w:tc>
          <w:tcPr>
            <w:cnfStyle w:val="000010000000" w:firstRow="0" w:lastRow="0" w:firstColumn="0" w:lastColumn="0" w:oddVBand="1" w:evenVBand="0" w:oddHBand="0" w:evenHBand="0" w:firstRowFirstColumn="0" w:firstRowLastColumn="0" w:lastRowFirstColumn="0" w:lastRowLastColumn="0"/>
            <w:tcW w:w="1317" w:type="dxa"/>
          </w:tcPr>
          <w:p w14:paraId="699BD8E3" w14:textId="64ED4850" w:rsidR="005378E5" w:rsidRPr="004A0C12" w:rsidRDefault="00E97CC8" w:rsidP="00E97CC8">
            <w:pPr>
              <w:jc w:val="center"/>
              <w:rPr>
                <w:rFonts w:ascii="Garamond" w:hAnsi="Garamond"/>
                <w:sz w:val="22"/>
                <w:szCs w:val="22"/>
              </w:rPr>
            </w:pPr>
            <w:r w:rsidRPr="004A0C12">
              <w:rPr>
                <w:rFonts w:ascii="Garamond" w:hAnsi="Garamond"/>
                <w:sz w:val="22"/>
                <w:szCs w:val="22"/>
              </w:rPr>
              <w:t>106,050</w:t>
            </w:r>
          </w:p>
        </w:tc>
        <w:tc>
          <w:tcPr>
            <w:tcW w:w="1192" w:type="dxa"/>
          </w:tcPr>
          <w:p w14:paraId="1ADC703B" w14:textId="66251783"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299</w:t>
            </w:r>
          </w:p>
        </w:tc>
        <w:tc>
          <w:tcPr>
            <w:cnfStyle w:val="000010000000" w:firstRow="0" w:lastRow="0" w:firstColumn="0" w:lastColumn="0" w:oddVBand="1" w:evenVBand="0" w:oddHBand="0" w:evenHBand="0" w:firstRowFirstColumn="0" w:firstRowLastColumn="0" w:lastRowFirstColumn="0" w:lastRowLastColumn="0"/>
            <w:tcW w:w="1723" w:type="dxa"/>
          </w:tcPr>
          <w:p w14:paraId="15CA5344" w14:textId="16D271E3" w:rsidR="005378E5" w:rsidRPr="004A0C12" w:rsidRDefault="00E97CC8" w:rsidP="00E97CC8">
            <w:pPr>
              <w:jc w:val="center"/>
              <w:rPr>
                <w:rFonts w:ascii="Garamond" w:hAnsi="Garamond"/>
                <w:sz w:val="22"/>
                <w:szCs w:val="22"/>
              </w:rPr>
            </w:pPr>
            <w:r w:rsidRPr="004A0C12">
              <w:rPr>
                <w:rFonts w:ascii="Garamond" w:hAnsi="Garamond"/>
                <w:sz w:val="22"/>
                <w:szCs w:val="22"/>
              </w:rPr>
              <w:t>0</w:t>
            </w:r>
          </w:p>
        </w:tc>
        <w:tc>
          <w:tcPr>
            <w:tcW w:w="1292" w:type="dxa"/>
          </w:tcPr>
          <w:p w14:paraId="0DE9044A" w14:textId="698632DD"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1,078</w:t>
            </w:r>
          </w:p>
        </w:tc>
        <w:tc>
          <w:tcPr>
            <w:cnfStyle w:val="000010000000" w:firstRow="0" w:lastRow="0" w:firstColumn="0" w:lastColumn="0" w:oddVBand="1" w:evenVBand="0" w:oddHBand="0" w:evenHBand="0" w:firstRowFirstColumn="0" w:firstRowLastColumn="0" w:lastRowFirstColumn="0" w:lastRowLastColumn="0"/>
            <w:tcW w:w="1266" w:type="dxa"/>
          </w:tcPr>
          <w:p w14:paraId="3F564148" w14:textId="3B809FAD" w:rsidR="005378E5" w:rsidRPr="004A0C12" w:rsidRDefault="00E97CC8" w:rsidP="00E97CC8">
            <w:pPr>
              <w:jc w:val="center"/>
              <w:rPr>
                <w:rFonts w:ascii="Garamond" w:hAnsi="Garamond"/>
                <w:sz w:val="22"/>
                <w:szCs w:val="22"/>
              </w:rPr>
            </w:pPr>
            <w:r w:rsidRPr="004A0C12">
              <w:rPr>
                <w:rFonts w:ascii="Garamond" w:hAnsi="Garamond"/>
                <w:sz w:val="22"/>
                <w:szCs w:val="22"/>
              </w:rPr>
              <w:t>72</w:t>
            </w:r>
          </w:p>
        </w:tc>
        <w:tc>
          <w:tcPr>
            <w:tcW w:w="1115" w:type="dxa"/>
          </w:tcPr>
          <w:p w14:paraId="6B133C0C" w14:textId="0E43F31D" w:rsidR="005378E5" w:rsidRPr="004A0C12" w:rsidRDefault="00E97CC8" w:rsidP="00E97CC8">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21%</w:t>
            </w:r>
          </w:p>
        </w:tc>
      </w:tr>
      <w:tr w:rsidR="005378E5" w:rsidRPr="004A0C12" w14:paraId="56D88651"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1795" w:type="dxa"/>
          </w:tcPr>
          <w:p w14:paraId="2A088B4E" w14:textId="77777777" w:rsidR="005378E5" w:rsidRPr="004A0C12" w:rsidRDefault="005378E5" w:rsidP="008C4670">
            <w:pPr>
              <w:rPr>
                <w:rFonts w:ascii="Garamond" w:hAnsi="Garamond"/>
                <w:sz w:val="22"/>
                <w:szCs w:val="22"/>
              </w:rPr>
            </w:pPr>
            <w:r w:rsidRPr="004A0C12">
              <w:rPr>
                <w:rFonts w:ascii="Garamond" w:hAnsi="Garamond"/>
                <w:sz w:val="22"/>
                <w:szCs w:val="22"/>
              </w:rPr>
              <w:t xml:space="preserve">TOTAL </w:t>
            </w:r>
          </w:p>
        </w:tc>
        <w:tc>
          <w:tcPr>
            <w:tcW w:w="1296" w:type="dxa"/>
          </w:tcPr>
          <w:p w14:paraId="24D50B33" w14:textId="7DFC1E4B"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27,997</w:t>
            </w:r>
          </w:p>
        </w:tc>
        <w:tc>
          <w:tcPr>
            <w:cnfStyle w:val="000010000000" w:firstRow="0" w:lastRow="0" w:firstColumn="0" w:lastColumn="0" w:oddVBand="1" w:evenVBand="0" w:oddHBand="0" w:evenHBand="0" w:firstRowFirstColumn="0" w:firstRowLastColumn="0" w:lastRowFirstColumn="0" w:lastRowLastColumn="0"/>
            <w:tcW w:w="1317" w:type="dxa"/>
          </w:tcPr>
          <w:p w14:paraId="1C1B7188" w14:textId="4C231F67" w:rsidR="005378E5" w:rsidRPr="004A0C12" w:rsidRDefault="00E97CC8" w:rsidP="00E97CC8">
            <w:pPr>
              <w:jc w:val="center"/>
              <w:rPr>
                <w:rFonts w:ascii="Garamond" w:hAnsi="Garamond"/>
                <w:sz w:val="22"/>
                <w:szCs w:val="22"/>
              </w:rPr>
            </w:pPr>
            <w:r w:rsidRPr="004A0C12">
              <w:rPr>
                <w:rFonts w:ascii="Garamond" w:hAnsi="Garamond"/>
                <w:sz w:val="22"/>
                <w:szCs w:val="22"/>
              </w:rPr>
              <w:t>2,369,281</w:t>
            </w:r>
          </w:p>
        </w:tc>
        <w:tc>
          <w:tcPr>
            <w:tcW w:w="1192" w:type="dxa"/>
          </w:tcPr>
          <w:p w14:paraId="63DF2540" w14:textId="3803F586"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9,244</w:t>
            </w:r>
          </w:p>
        </w:tc>
        <w:tc>
          <w:tcPr>
            <w:cnfStyle w:val="000010000000" w:firstRow="0" w:lastRow="0" w:firstColumn="0" w:lastColumn="0" w:oddVBand="1" w:evenVBand="0" w:oddHBand="0" w:evenHBand="0" w:firstRowFirstColumn="0" w:firstRowLastColumn="0" w:lastRowFirstColumn="0" w:lastRowLastColumn="0"/>
            <w:tcW w:w="1723" w:type="dxa"/>
          </w:tcPr>
          <w:p w14:paraId="02A506F5" w14:textId="2267D79A" w:rsidR="005378E5" w:rsidRPr="004A0C12" w:rsidRDefault="00E97CC8" w:rsidP="00E97CC8">
            <w:pPr>
              <w:jc w:val="center"/>
              <w:rPr>
                <w:rFonts w:ascii="Garamond" w:hAnsi="Garamond"/>
                <w:sz w:val="22"/>
                <w:szCs w:val="22"/>
              </w:rPr>
            </w:pPr>
            <w:r w:rsidRPr="004A0C12">
              <w:rPr>
                <w:rFonts w:ascii="Garamond" w:hAnsi="Garamond"/>
                <w:sz w:val="22"/>
                <w:szCs w:val="22"/>
              </w:rPr>
              <w:t>7,878</w:t>
            </w:r>
          </w:p>
        </w:tc>
        <w:tc>
          <w:tcPr>
            <w:tcW w:w="1292" w:type="dxa"/>
          </w:tcPr>
          <w:p w14:paraId="10089E67" w14:textId="5C5A48A3"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16,515</w:t>
            </w:r>
          </w:p>
        </w:tc>
        <w:tc>
          <w:tcPr>
            <w:cnfStyle w:val="000010000000" w:firstRow="0" w:lastRow="0" w:firstColumn="0" w:lastColumn="0" w:oddVBand="1" w:evenVBand="0" w:oddHBand="0" w:evenHBand="0" w:firstRowFirstColumn="0" w:firstRowLastColumn="0" w:lastRowFirstColumn="0" w:lastRowLastColumn="0"/>
            <w:tcW w:w="1266" w:type="dxa"/>
          </w:tcPr>
          <w:p w14:paraId="35B18E24" w14:textId="507A7CA6" w:rsidR="005378E5" w:rsidRPr="004A0C12" w:rsidRDefault="00E97CC8" w:rsidP="00E97CC8">
            <w:pPr>
              <w:jc w:val="center"/>
              <w:rPr>
                <w:rFonts w:ascii="Garamond" w:hAnsi="Garamond"/>
                <w:sz w:val="22"/>
                <w:szCs w:val="22"/>
              </w:rPr>
            </w:pPr>
            <w:r w:rsidRPr="004A0C12">
              <w:rPr>
                <w:rFonts w:ascii="Garamond" w:hAnsi="Garamond"/>
                <w:sz w:val="22"/>
                <w:szCs w:val="22"/>
              </w:rPr>
              <w:t>2,238</w:t>
            </w:r>
          </w:p>
        </w:tc>
        <w:tc>
          <w:tcPr>
            <w:tcW w:w="1115" w:type="dxa"/>
          </w:tcPr>
          <w:p w14:paraId="77A6D8CF" w14:textId="5FD26059" w:rsidR="005378E5" w:rsidRPr="004A0C12" w:rsidRDefault="00E97CC8" w:rsidP="00E97CC8">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33%</w:t>
            </w:r>
          </w:p>
        </w:tc>
      </w:tr>
    </w:tbl>
    <w:p w14:paraId="44F6FD7D" w14:textId="77777777" w:rsidR="005378E5" w:rsidRPr="004A0C12" w:rsidRDefault="005378E5" w:rsidP="000559FA">
      <w:pPr>
        <w:spacing w:after="0" w:line="240" w:lineRule="auto"/>
        <w:rPr>
          <w:rFonts w:ascii="Garamond" w:hAnsi="Garamond"/>
          <w:b/>
        </w:rPr>
      </w:pPr>
    </w:p>
    <w:p w14:paraId="39E64062" w14:textId="77777777" w:rsidR="0054168E" w:rsidRPr="004A0C12" w:rsidRDefault="0054168E" w:rsidP="000559FA">
      <w:pPr>
        <w:spacing w:after="0" w:line="240" w:lineRule="auto"/>
        <w:rPr>
          <w:rFonts w:ascii="Garamond" w:hAnsi="Garamond"/>
          <w:b/>
        </w:rPr>
      </w:pPr>
    </w:p>
    <w:p w14:paraId="5140D44E" w14:textId="77777777" w:rsidR="0054168E" w:rsidRPr="004A0C12" w:rsidRDefault="0054168E" w:rsidP="000559FA">
      <w:pPr>
        <w:spacing w:after="0" w:line="240" w:lineRule="auto"/>
        <w:rPr>
          <w:rFonts w:ascii="Garamond" w:hAnsi="Garamond"/>
          <w:b/>
        </w:rPr>
      </w:pPr>
    </w:p>
    <w:p w14:paraId="3F1D92F9" w14:textId="77777777" w:rsidR="0054168E" w:rsidRPr="004A0C12" w:rsidRDefault="0054168E" w:rsidP="000559FA">
      <w:pPr>
        <w:spacing w:after="0" w:line="240" w:lineRule="auto"/>
        <w:rPr>
          <w:rFonts w:ascii="Garamond" w:hAnsi="Garamond"/>
          <w:b/>
        </w:rPr>
      </w:pPr>
    </w:p>
    <w:p w14:paraId="6C9C1DBE" w14:textId="77777777" w:rsidR="0054168E" w:rsidRPr="004A0C12" w:rsidRDefault="0054168E" w:rsidP="000559FA">
      <w:pPr>
        <w:spacing w:after="0" w:line="240" w:lineRule="auto"/>
        <w:rPr>
          <w:rFonts w:ascii="Garamond" w:hAnsi="Garamond"/>
          <w:b/>
        </w:rPr>
      </w:pPr>
    </w:p>
    <w:p w14:paraId="24854D32" w14:textId="77777777" w:rsidR="0074457B" w:rsidRPr="004A0C12" w:rsidRDefault="0074457B" w:rsidP="0074457B">
      <w:pPr>
        <w:pStyle w:val="Heading4"/>
        <w:spacing w:before="0" w:line="240" w:lineRule="auto"/>
        <w:rPr>
          <w:rFonts w:ascii="Garamond" w:hAnsi="Garamond"/>
        </w:rPr>
      </w:pPr>
      <w:r w:rsidRPr="004A0C12">
        <w:rPr>
          <w:rFonts w:ascii="Garamond" w:hAnsi="Garamond"/>
        </w:rPr>
        <w:t xml:space="preserve">WIOA Title IV Vocational Rehabilitation </w:t>
      </w:r>
    </w:p>
    <w:tbl>
      <w:tblPr>
        <w:tblStyle w:val="PlainTable11"/>
        <w:tblW w:w="0" w:type="auto"/>
        <w:tblLayout w:type="fixed"/>
        <w:tblLook w:val="0000" w:firstRow="0" w:lastRow="0" w:firstColumn="0" w:lastColumn="0" w:noHBand="0" w:noVBand="0"/>
        <w:tblCaption w:val="Division of Rehabilitation Services Federal Standard and Indicators Report"/>
        <w:tblDescription w:val="The chart provides the Division of Rehabilitation Services Federal Standard and Indicators Report for Federal Fiscal Years 2014 &amp; 2015. "/>
      </w:tblPr>
      <w:tblGrid>
        <w:gridCol w:w="4300"/>
        <w:gridCol w:w="1800"/>
        <w:gridCol w:w="1620"/>
        <w:gridCol w:w="3060"/>
      </w:tblGrid>
      <w:tr w:rsidR="0074457B" w:rsidRPr="004A0C12" w14:paraId="5CEF908C" w14:textId="77777777" w:rsidTr="008B1D9A">
        <w:trPr>
          <w:trHeight w:val="660"/>
          <w:tblHeader/>
        </w:trPr>
        <w:tc>
          <w:tcPr>
            <w:cnfStyle w:val="000010000000" w:firstRow="0" w:lastRow="0" w:firstColumn="0" w:lastColumn="0" w:oddVBand="1" w:evenVBand="0" w:oddHBand="0" w:evenHBand="0" w:firstRowFirstColumn="0" w:firstRowLastColumn="0" w:lastRowFirstColumn="0" w:lastRowLastColumn="0"/>
            <w:tcW w:w="10780" w:type="dxa"/>
            <w:gridSpan w:val="4"/>
          </w:tcPr>
          <w:p w14:paraId="28EF422B" w14:textId="77777777" w:rsidR="0074457B" w:rsidRPr="004A0C12" w:rsidRDefault="0074457B" w:rsidP="0074457B">
            <w:pPr>
              <w:jc w:val="center"/>
              <w:rPr>
                <w:rFonts w:ascii="Garamond" w:hAnsi="Garamond"/>
                <w:b/>
                <w:sz w:val="22"/>
                <w:szCs w:val="22"/>
              </w:rPr>
            </w:pPr>
            <w:r w:rsidRPr="004A0C12">
              <w:rPr>
                <w:rFonts w:ascii="Garamond" w:hAnsi="Garamond"/>
                <w:b/>
                <w:sz w:val="22"/>
                <w:szCs w:val="22"/>
              </w:rPr>
              <w:t>Division of Rehabilitation Services</w:t>
            </w:r>
          </w:p>
          <w:p w14:paraId="7DCA3EA3" w14:textId="77777777" w:rsidR="0074457B" w:rsidRPr="004A0C12" w:rsidRDefault="0074457B" w:rsidP="0074457B">
            <w:pPr>
              <w:jc w:val="center"/>
              <w:rPr>
                <w:rFonts w:ascii="Garamond" w:hAnsi="Garamond"/>
                <w:b/>
                <w:sz w:val="22"/>
                <w:szCs w:val="22"/>
              </w:rPr>
            </w:pPr>
            <w:r w:rsidRPr="004A0C12">
              <w:rPr>
                <w:rFonts w:ascii="Garamond" w:hAnsi="Garamond"/>
                <w:b/>
                <w:sz w:val="22"/>
                <w:szCs w:val="22"/>
              </w:rPr>
              <w:t>Federal Standards &amp; Indicators Report</w:t>
            </w:r>
          </w:p>
          <w:p w14:paraId="52D1FD4F" w14:textId="77777777" w:rsidR="0074457B" w:rsidRPr="004A0C12" w:rsidRDefault="0074457B" w:rsidP="0074457B">
            <w:pPr>
              <w:jc w:val="center"/>
              <w:rPr>
                <w:rFonts w:ascii="Garamond" w:hAnsi="Garamond"/>
                <w:sz w:val="22"/>
                <w:szCs w:val="22"/>
              </w:rPr>
            </w:pPr>
            <w:r w:rsidRPr="004A0C12">
              <w:rPr>
                <w:rFonts w:ascii="Garamond" w:hAnsi="Garamond"/>
                <w:b/>
                <w:sz w:val="22"/>
                <w:szCs w:val="22"/>
              </w:rPr>
              <w:t>Federal Fiscal Years 2014 &amp; 2015</w:t>
            </w:r>
          </w:p>
        </w:tc>
      </w:tr>
      <w:tr w:rsidR="0074457B" w:rsidRPr="004A0C12" w14:paraId="40117EE1"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300" w:type="dxa"/>
          </w:tcPr>
          <w:p w14:paraId="6D892452" w14:textId="77777777" w:rsidR="0074457B" w:rsidRPr="004A0C12" w:rsidRDefault="0074457B" w:rsidP="0074457B">
            <w:pPr>
              <w:jc w:val="center"/>
              <w:rPr>
                <w:rFonts w:ascii="Garamond" w:hAnsi="Garamond"/>
                <w:b/>
                <w:sz w:val="22"/>
                <w:szCs w:val="22"/>
              </w:rPr>
            </w:pPr>
            <w:r w:rsidRPr="004A0C12">
              <w:rPr>
                <w:rFonts w:ascii="Garamond" w:hAnsi="Garamond"/>
                <w:b/>
                <w:sz w:val="22"/>
                <w:szCs w:val="22"/>
              </w:rPr>
              <w:t>Standard</w:t>
            </w:r>
          </w:p>
        </w:tc>
        <w:tc>
          <w:tcPr>
            <w:tcW w:w="1800" w:type="dxa"/>
          </w:tcPr>
          <w:p w14:paraId="41435959"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Federal FY 2014</w:t>
            </w:r>
          </w:p>
        </w:tc>
        <w:tc>
          <w:tcPr>
            <w:cnfStyle w:val="000010000000" w:firstRow="0" w:lastRow="0" w:firstColumn="0" w:lastColumn="0" w:oddVBand="1" w:evenVBand="0" w:oddHBand="0" w:evenHBand="0" w:firstRowFirstColumn="0" w:firstRowLastColumn="0" w:lastRowFirstColumn="0" w:lastRowLastColumn="0"/>
            <w:tcW w:w="1620" w:type="dxa"/>
          </w:tcPr>
          <w:p w14:paraId="4FC7730A" w14:textId="77777777" w:rsidR="0074457B" w:rsidRPr="004A0C12" w:rsidRDefault="0074457B" w:rsidP="0074457B">
            <w:pPr>
              <w:rPr>
                <w:rFonts w:ascii="Garamond" w:hAnsi="Garamond"/>
                <w:b/>
                <w:sz w:val="22"/>
                <w:szCs w:val="22"/>
              </w:rPr>
            </w:pPr>
            <w:r w:rsidRPr="004A0C12">
              <w:rPr>
                <w:rFonts w:ascii="Garamond" w:hAnsi="Garamond"/>
                <w:b/>
                <w:sz w:val="22"/>
                <w:szCs w:val="22"/>
              </w:rPr>
              <w:t>Federal FY 2015</w:t>
            </w:r>
          </w:p>
        </w:tc>
        <w:tc>
          <w:tcPr>
            <w:tcW w:w="3060" w:type="dxa"/>
          </w:tcPr>
          <w:p w14:paraId="319519F4"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Federal Standard</w:t>
            </w:r>
          </w:p>
        </w:tc>
      </w:tr>
      <w:tr w:rsidR="0074457B" w:rsidRPr="004A0C12" w14:paraId="205CE75A" w14:textId="77777777" w:rsidTr="00900002">
        <w:trPr>
          <w:trHeight w:val="480"/>
        </w:trPr>
        <w:tc>
          <w:tcPr>
            <w:cnfStyle w:val="000010000000" w:firstRow="0" w:lastRow="0" w:firstColumn="0" w:lastColumn="0" w:oddVBand="1" w:evenVBand="0" w:oddHBand="0" w:evenHBand="0" w:firstRowFirstColumn="0" w:firstRowLastColumn="0" w:lastRowFirstColumn="0" w:lastRowLastColumn="0"/>
            <w:tcW w:w="4300" w:type="dxa"/>
          </w:tcPr>
          <w:p w14:paraId="7A3D6463" w14:textId="77777777" w:rsidR="0074457B" w:rsidRPr="004A0C12" w:rsidRDefault="0074457B" w:rsidP="000559FA">
            <w:pPr>
              <w:rPr>
                <w:rFonts w:ascii="Garamond" w:hAnsi="Garamond"/>
                <w:sz w:val="22"/>
                <w:szCs w:val="22"/>
              </w:rPr>
            </w:pPr>
            <w:r w:rsidRPr="004A0C12">
              <w:rPr>
                <w:rFonts w:ascii="Garamond" w:hAnsi="Garamond"/>
                <w:sz w:val="22"/>
                <w:szCs w:val="22"/>
              </w:rPr>
              <w:t>Number of Closed Cases with an Employment Outcome</w:t>
            </w:r>
          </w:p>
        </w:tc>
        <w:tc>
          <w:tcPr>
            <w:tcW w:w="1800" w:type="dxa"/>
          </w:tcPr>
          <w:p w14:paraId="20412453" w14:textId="77777777" w:rsidR="0074457B" w:rsidRPr="004A0C12" w:rsidRDefault="0074457B" w:rsidP="0074457B">
            <w:pPr>
              <w:jc w:val="righ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p w14:paraId="7E1B4F74" w14:textId="77777777" w:rsidR="0074457B" w:rsidRPr="004A0C12" w:rsidRDefault="0074457B" w:rsidP="0074457B">
            <w:pPr>
              <w:jc w:val="righ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2,545</w:t>
            </w:r>
          </w:p>
        </w:tc>
        <w:tc>
          <w:tcPr>
            <w:cnfStyle w:val="000010000000" w:firstRow="0" w:lastRow="0" w:firstColumn="0" w:lastColumn="0" w:oddVBand="1" w:evenVBand="0" w:oddHBand="0" w:evenHBand="0" w:firstRowFirstColumn="0" w:firstRowLastColumn="0" w:lastRowFirstColumn="0" w:lastRowLastColumn="0"/>
            <w:tcW w:w="1620" w:type="dxa"/>
          </w:tcPr>
          <w:p w14:paraId="78C40408" w14:textId="77777777" w:rsidR="0074457B" w:rsidRPr="004A0C12" w:rsidRDefault="0074457B" w:rsidP="0074457B">
            <w:pPr>
              <w:jc w:val="right"/>
              <w:rPr>
                <w:rFonts w:ascii="Garamond" w:hAnsi="Garamond"/>
                <w:sz w:val="22"/>
                <w:szCs w:val="22"/>
              </w:rPr>
            </w:pPr>
          </w:p>
          <w:p w14:paraId="12DBA085" w14:textId="77777777" w:rsidR="0074457B" w:rsidRPr="004A0C12" w:rsidRDefault="0074457B" w:rsidP="0074457B">
            <w:pPr>
              <w:jc w:val="right"/>
              <w:rPr>
                <w:rFonts w:ascii="Garamond" w:hAnsi="Garamond"/>
                <w:sz w:val="22"/>
                <w:szCs w:val="22"/>
              </w:rPr>
            </w:pPr>
            <w:r w:rsidRPr="004A0C12">
              <w:rPr>
                <w:rFonts w:ascii="Garamond" w:hAnsi="Garamond"/>
                <w:sz w:val="22"/>
                <w:szCs w:val="22"/>
              </w:rPr>
              <w:t>2,559</w:t>
            </w:r>
          </w:p>
        </w:tc>
        <w:tc>
          <w:tcPr>
            <w:tcW w:w="3060" w:type="dxa"/>
          </w:tcPr>
          <w:p w14:paraId="0EA9BA4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At least one more than the previous year.</w:t>
            </w:r>
          </w:p>
        </w:tc>
      </w:tr>
      <w:tr w:rsidR="0074457B" w:rsidRPr="004A0C12" w14:paraId="3366484A"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780" w:type="dxa"/>
            <w:gridSpan w:val="4"/>
          </w:tcPr>
          <w:p w14:paraId="27243732" w14:textId="77777777" w:rsidR="0074457B" w:rsidRPr="004A0C12" w:rsidRDefault="0074457B" w:rsidP="000559FA">
            <w:pPr>
              <w:rPr>
                <w:rFonts w:ascii="Garamond" w:hAnsi="Garamond"/>
                <w:sz w:val="22"/>
                <w:szCs w:val="22"/>
              </w:rPr>
            </w:pPr>
          </w:p>
        </w:tc>
      </w:tr>
      <w:tr w:rsidR="0074457B" w:rsidRPr="004A0C12" w14:paraId="2F26FD18"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4300" w:type="dxa"/>
          </w:tcPr>
          <w:p w14:paraId="75F01187" w14:textId="77777777" w:rsidR="0074457B" w:rsidRPr="004A0C12" w:rsidRDefault="0074457B" w:rsidP="000559FA">
            <w:pPr>
              <w:rPr>
                <w:rFonts w:ascii="Garamond" w:hAnsi="Garamond"/>
                <w:b/>
                <w:sz w:val="22"/>
                <w:szCs w:val="22"/>
              </w:rPr>
            </w:pPr>
            <w:r w:rsidRPr="004A0C12">
              <w:rPr>
                <w:rFonts w:ascii="Garamond" w:hAnsi="Garamond"/>
                <w:b/>
                <w:sz w:val="22"/>
                <w:szCs w:val="22"/>
              </w:rPr>
              <w:t>Standards</w:t>
            </w:r>
          </w:p>
        </w:tc>
        <w:tc>
          <w:tcPr>
            <w:tcW w:w="1800" w:type="dxa"/>
          </w:tcPr>
          <w:p w14:paraId="15DD4F4C"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1620" w:type="dxa"/>
          </w:tcPr>
          <w:p w14:paraId="6637D5C6" w14:textId="77777777" w:rsidR="0074457B" w:rsidRPr="004A0C12" w:rsidRDefault="0074457B" w:rsidP="0074457B">
            <w:pPr>
              <w:rPr>
                <w:rFonts w:ascii="Garamond" w:hAnsi="Garamond"/>
                <w:sz w:val="22"/>
                <w:szCs w:val="22"/>
              </w:rPr>
            </w:pPr>
          </w:p>
        </w:tc>
        <w:tc>
          <w:tcPr>
            <w:tcW w:w="3060" w:type="dxa"/>
          </w:tcPr>
          <w:p w14:paraId="0710EB7E"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Federal Minimum Standard</w:t>
            </w:r>
          </w:p>
        </w:tc>
      </w:tr>
      <w:tr w:rsidR="0074457B" w:rsidRPr="004A0C12" w14:paraId="4273AAF5"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4300" w:type="dxa"/>
          </w:tcPr>
          <w:p w14:paraId="05C83DAA" w14:textId="77777777" w:rsidR="0074457B" w:rsidRPr="004A0C12" w:rsidRDefault="0074457B" w:rsidP="000559FA">
            <w:pPr>
              <w:rPr>
                <w:rFonts w:ascii="Garamond" w:hAnsi="Garamond"/>
                <w:sz w:val="22"/>
                <w:szCs w:val="22"/>
              </w:rPr>
            </w:pPr>
            <w:r w:rsidRPr="004A0C12">
              <w:rPr>
                <w:rFonts w:ascii="Garamond" w:hAnsi="Garamond"/>
                <w:sz w:val="22"/>
                <w:szCs w:val="22"/>
              </w:rPr>
              <w:t>Of the Closed Cases that received services, the percentage with an Employment Outcome</w:t>
            </w:r>
          </w:p>
        </w:tc>
        <w:tc>
          <w:tcPr>
            <w:tcW w:w="1800" w:type="dxa"/>
          </w:tcPr>
          <w:p w14:paraId="6DF26238" w14:textId="77777777" w:rsidR="0074457B" w:rsidRPr="004A0C12" w:rsidRDefault="0074457B" w:rsidP="0074457B">
            <w:pPr>
              <w:jc w:val="right"/>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59.08%</w:t>
            </w:r>
          </w:p>
        </w:tc>
        <w:tc>
          <w:tcPr>
            <w:cnfStyle w:val="000010000000" w:firstRow="0" w:lastRow="0" w:firstColumn="0" w:lastColumn="0" w:oddVBand="1" w:evenVBand="0" w:oddHBand="0" w:evenHBand="0" w:firstRowFirstColumn="0" w:firstRowLastColumn="0" w:lastRowFirstColumn="0" w:lastRowLastColumn="0"/>
            <w:tcW w:w="1620" w:type="dxa"/>
          </w:tcPr>
          <w:p w14:paraId="06AEF8C8" w14:textId="77777777" w:rsidR="0074457B" w:rsidRPr="004A0C12" w:rsidRDefault="0074457B" w:rsidP="0074457B">
            <w:pPr>
              <w:jc w:val="right"/>
              <w:rPr>
                <w:rFonts w:ascii="Garamond" w:hAnsi="Garamond"/>
                <w:sz w:val="22"/>
                <w:szCs w:val="22"/>
              </w:rPr>
            </w:pPr>
            <w:r w:rsidRPr="004A0C12">
              <w:rPr>
                <w:rFonts w:ascii="Garamond" w:hAnsi="Garamond"/>
                <w:sz w:val="22"/>
                <w:szCs w:val="22"/>
              </w:rPr>
              <w:t>59.65%</w:t>
            </w:r>
          </w:p>
        </w:tc>
        <w:tc>
          <w:tcPr>
            <w:tcW w:w="3060" w:type="dxa"/>
          </w:tcPr>
          <w:p w14:paraId="018ABCA5" w14:textId="77777777" w:rsidR="0074457B" w:rsidRPr="004A0C12" w:rsidRDefault="0074457B" w:rsidP="0074457B">
            <w:pPr>
              <w:jc w:val="right"/>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55.80%</w:t>
            </w:r>
          </w:p>
        </w:tc>
      </w:tr>
      <w:tr w:rsidR="0074457B" w:rsidRPr="004A0C12" w14:paraId="73E6AF24" w14:textId="77777777" w:rsidTr="00900002">
        <w:trPr>
          <w:trHeight w:val="745"/>
        </w:trPr>
        <w:tc>
          <w:tcPr>
            <w:cnfStyle w:val="000010000000" w:firstRow="0" w:lastRow="0" w:firstColumn="0" w:lastColumn="0" w:oddVBand="1" w:evenVBand="0" w:oddHBand="0" w:evenHBand="0" w:firstRowFirstColumn="0" w:firstRowLastColumn="0" w:lastRowFirstColumn="0" w:lastRowLastColumn="0"/>
            <w:tcW w:w="4300" w:type="dxa"/>
          </w:tcPr>
          <w:p w14:paraId="6A724880" w14:textId="164260AC" w:rsidR="0074457B" w:rsidRPr="004A0C12" w:rsidRDefault="000559FA" w:rsidP="000559FA">
            <w:pPr>
              <w:ind w:left="450" w:hanging="450"/>
              <w:rPr>
                <w:rFonts w:ascii="Garamond" w:hAnsi="Garamond"/>
                <w:sz w:val="22"/>
                <w:szCs w:val="22"/>
              </w:rPr>
            </w:pPr>
            <w:r w:rsidRPr="004A0C12">
              <w:rPr>
                <w:rFonts w:ascii="Garamond" w:hAnsi="Garamond"/>
                <w:sz w:val="22"/>
                <w:szCs w:val="22"/>
              </w:rPr>
              <w:t>Of the Closed Cases with an Employment Outcome, the percentage that have a wage greater than or equal to Minimum Wage.</w:t>
            </w:r>
          </w:p>
        </w:tc>
        <w:tc>
          <w:tcPr>
            <w:tcW w:w="1800" w:type="dxa"/>
          </w:tcPr>
          <w:p w14:paraId="3D545774" w14:textId="77777777" w:rsidR="0074457B" w:rsidRPr="004A0C12" w:rsidRDefault="0074457B" w:rsidP="0074457B">
            <w:pPr>
              <w:jc w:val="righ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95.09%</w:t>
            </w:r>
          </w:p>
        </w:tc>
        <w:tc>
          <w:tcPr>
            <w:cnfStyle w:val="000010000000" w:firstRow="0" w:lastRow="0" w:firstColumn="0" w:lastColumn="0" w:oddVBand="1" w:evenVBand="0" w:oddHBand="0" w:evenHBand="0" w:firstRowFirstColumn="0" w:firstRowLastColumn="0" w:lastRowFirstColumn="0" w:lastRowLastColumn="0"/>
            <w:tcW w:w="1620" w:type="dxa"/>
          </w:tcPr>
          <w:p w14:paraId="67ABC7C4" w14:textId="77777777" w:rsidR="0074457B" w:rsidRPr="004A0C12" w:rsidRDefault="0074457B" w:rsidP="0074457B">
            <w:pPr>
              <w:jc w:val="right"/>
              <w:rPr>
                <w:rFonts w:ascii="Garamond" w:hAnsi="Garamond"/>
                <w:sz w:val="22"/>
                <w:szCs w:val="22"/>
              </w:rPr>
            </w:pPr>
            <w:r w:rsidRPr="004A0C12">
              <w:rPr>
                <w:rFonts w:ascii="Garamond" w:hAnsi="Garamond"/>
                <w:sz w:val="22"/>
                <w:szCs w:val="22"/>
              </w:rPr>
              <w:t>90.47%</w:t>
            </w:r>
          </w:p>
        </w:tc>
        <w:tc>
          <w:tcPr>
            <w:tcW w:w="3060" w:type="dxa"/>
          </w:tcPr>
          <w:p w14:paraId="441BA71C" w14:textId="77777777" w:rsidR="0074457B" w:rsidRPr="004A0C12" w:rsidRDefault="0074457B" w:rsidP="0074457B">
            <w:pPr>
              <w:jc w:val="righ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72.60%</w:t>
            </w:r>
          </w:p>
        </w:tc>
      </w:tr>
      <w:tr w:rsidR="0074457B" w:rsidRPr="004A0C12" w14:paraId="7F04DFB2" w14:textId="77777777" w:rsidTr="00900002">
        <w:trPr>
          <w:cnfStyle w:val="000000100000" w:firstRow="0" w:lastRow="0" w:firstColumn="0" w:lastColumn="0" w:oddVBand="0" w:evenVBand="0" w:oddHBand="1" w:evenHBand="0" w:firstRowFirstColumn="0" w:firstRowLastColumn="0" w:lastRowFirstColumn="0" w:lastRowLastColumn="0"/>
          <w:trHeight w:val="970"/>
        </w:trPr>
        <w:tc>
          <w:tcPr>
            <w:cnfStyle w:val="000010000000" w:firstRow="0" w:lastRow="0" w:firstColumn="0" w:lastColumn="0" w:oddVBand="1" w:evenVBand="0" w:oddHBand="0" w:evenHBand="0" w:firstRowFirstColumn="0" w:firstRowLastColumn="0" w:lastRowFirstColumn="0" w:lastRowLastColumn="0"/>
            <w:tcW w:w="4300" w:type="dxa"/>
          </w:tcPr>
          <w:p w14:paraId="73D9ED57" w14:textId="77777777" w:rsidR="0074457B" w:rsidRPr="004A0C12" w:rsidRDefault="0074457B" w:rsidP="000559FA">
            <w:pPr>
              <w:ind w:left="450" w:hanging="450"/>
              <w:rPr>
                <w:rFonts w:ascii="Garamond" w:hAnsi="Garamond"/>
                <w:sz w:val="22"/>
                <w:szCs w:val="22"/>
              </w:rPr>
            </w:pPr>
            <w:r w:rsidRPr="004A0C12">
              <w:rPr>
                <w:rFonts w:ascii="Garamond" w:hAnsi="Garamond"/>
                <w:sz w:val="22"/>
                <w:szCs w:val="22"/>
              </w:rPr>
              <w:t>Of the Closed Cases with an Employment Outcome, the percentage that have a wage greater than or equal to the Minimum Wage and have Significant Disabilities.</w:t>
            </w:r>
          </w:p>
        </w:tc>
        <w:tc>
          <w:tcPr>
            <w:tcW w:w="1800" w:type="dxa"/>
          </w:tcPr>
          <w:p w14:paraId="0A7306CA" w14:textId="77777777" w:rsidR="0074457B" w:rsidRPr="004A0C12" w:rsidRDefault="0074457B" w:rsidP="0074457B">
            <w:pPr>
              <w:jc w:val="right"/>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100.00%</w:t>
            </w:r>
          </w:p>
        </w:tc>
        <w:tc>
          <w:tcPr>
            <w:cnfStyle w:val="000010000000" w:firstRow="0" w:lastRow="0" w:firstColumn="0" w:lastColumn="0" w:oddVBand="1" w:evenVBand="0" w:oddHBand="0" w:evenHBand="0" w:firstRowFirstColumn="0" w:firstRowLastColumn="0" w:lastRowFirstColumn="0" w:lastRowLastColumn="0"/>
            <w:tcW w:w="1620" w:type="dxa"/>
          </w:tcPr>
          <w:p w14:paraId="79D82150" w14:textId="77777777" w:rsidR="0074457B" w:rsidRPr="004A0C12" w:rsidRDefault="0074457B" w:rsidP="0074457B">
            <w:pPr>
              <w:jc w:val="right"/>
              <w:rPr>
                <w:rFonts w:ascii="Garamond" w:hAnsi="Garamond"/>
                <w:sz w:val="22"/>
                <w:szCs w:val="22"/>
              </w:rPr>
            </w:pPr>
            <w:r w:rsidRPr="004A0C12">
              <w:rPr>
                <w:rFonts w:ascii="Garamond" w:hAnsi="Garamond"/>
                <w:sz w:val="22"/>
                <w:szCs w:val="22"/>
              </w:rPr>
              <w:t>100.00%</w:t>
            </w:r>
          </w:p>
        </w:tc>
        <w:tc>
          <w:tcPr>
            <w:tcW w:w="3060" w:type="dxa"/>
          </w:tcPr>
          <w:p w14:paraId="7382E129" w14:textId="77777777" w:rsidR="0074457B" w:rsidRPr="004A0C12" w:rsidRDefault="0074457B" w:rsidP="0074457B">
            <w:pPr>
              <w:jc w:val="right"/>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62.40%</w:t>
            </w:r>
          </w:p>
        </w:tc>
      </w:tr>
      <w:tr w:rsidR="0074457B" w:rsidRPr="004A0C12" w14:paraId="7C54D69A" w14:textId="77777777" w:rsidTr="00900002">
        <w:trPr>
          <w:trHeight w:val="979"/>
        </w:trPr>
        <w:tc>
          <w:tcPr>
            <w:cnfStyle w:val="000010000000" w:firstRow="0" w:lastRow="0" w:firstColumn="0" w:lastColumn="0" w:oddVBand="1" w:evenVBand="0" w:oddHBand="0" w:evenHBand="0" w:firstRowFirstColumn="0" w:firstRowLastColumn="0" w:lastRowFirstColumn="0" w:lastRowLastColumn="0"/>
            <w:tcW w:w="4300" w:type="dxa"/>
          </w:tcPr>
          <w:p w14:paraId="7906AEF7" w14:textId="77777777" w:rsidR="0074457B" w:rsidRPr="004A0C12" w:rsidRDefault="0074457B" w:rsidP="000559FA">
            <w:pPr>
              <w:ind w:left="450" w:hanging="450"/>
              <w:rPr>
                <w:rFonts w:ascii="Garamond" w:hAnsi="Garamond"/>
                <w:sz w:val="22"/>
                <w:szCs w:val="22"/>
              </w:rPr>
            </w:pPr>
            <w:r w:rsidRPr="004A0C12">
              <w:rPr>
                <w:rFonts w:ascii="Garamond" w:hAnsi="Garamond"/>
                <w:sz w:val="22"/>
                <w:szCs w:val="22"/>
              </w:rPr>
              <w:t>Ratio of Average State Wage to the average wage of Closed Cases with Employment Outcome that have wages greater than or equal to Minimum Wage.</w:t>
            </w:r>
          </w:p>
        </w:tc>
        <w:tc>
          <w:tcPr>
            <w:tcW w:w="1800" w:type="dxa"/>
          </w:tcPr>
          <w:p w14:paraId="10732AF3" w14:textId="77777777" w:rsidR="0074457B" w:rsidRPr="004A0C12" w:rsidRDefault="0074457B" w:rsidP="0074457B">
            <w:pPr>
              <w:jc w:val="righ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0.42</w:t>
            </w:r>
          </w:p>
        </w:tc>
        <w:tc>
          <w:tcPr>
            <w:cnfStyle w:val="000010000000" w:firstRow="0" w:lastRow="0" w:firstColumn="0" w:lastColumn="0" w:oddVBand="1" w:evenVBand="0" w:oddHBand="0" w:evenHBand="0" w:firstRowFirstColumn="0" w:firstRowLastColumn="0" w:lastRowFirstColumn="0" w:lastRowLastColumn="0"/>
            <w:tcW w:w="1620" w:type="dxa"/>
          </w:tcPr>
          <w:p w14:paraId="2D437170" w14:textId="77777777" w:rsidR="0074457B" w:rsidRPr="004A0C12" w:rsidRDefault="0074457B" w:rsidP="0074457B">
            <w:pPr>
              <w:jc w:val="right"/>
              <w:rPr>
                <w:rFonts w:ascii="Garamond" w:hAnsi="Garamond"/>
                <w:sz w:val="22"/>
                <w:szCs w:val="22"/>
              </w:rPr>
            </w:pPr>
            <w:r w:rsidRPr="004A0C12">
              <w:rPr>
                <w:rFonts w:ascii="Garamond" w:hAnsi="Garamond"/>
                <w:sz w:val="22"/>
                <w:szCs w:val="22"/>
              </w:rPr>
              <w:t>0.44</w:t>
            </w:r>
          </w:p>
        </w:tc>
        <w:tc>
          <w:tcPr>
            <w:tcW w:w="3060" w:type="dxa"/>
          </w:tcPr>
          <w:p w14:paraId="0F63A244" w14:textId="77777777" w:rsidR="0074457B" w:rsidRPr="004A0C12" w:rsidRDefault="0074457B" w:rsidP="0074457B">
            <w:pPr>
              <w:jc w:val="righ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0.52</w:t>
            </w:r>
          </w:p>
        </w:tc>
      </w:tr>
      <w:tr w:rsidR="0074457B" w:rsidRPr="004A0C12" w14:paraId="56F70117" w14:textId="77777777" w:rsidTr="00900002">
        <w:trPr>
          <w:cnfStyle w:val="000000100000" w:firstRow="0" w:lastRow="0" w:firstColumn="0" w:lastColumn="0" w:oddVBand="0" w:evenVBand="0" w:oddHBand="1" w:evenHBand="0" w:firstRowFirstColumn="0" w:firstRowLastColumn="0" w:lastRowFirstColumn="0" w:lastRowLastColumn="0"/>
          <w:trHeight w:val="1870"/>
        </w:trPr>
        <w:tc>
          <w:tcPr>
            <w:cnfStyle w:val="000010000000" w:firstRow="0" w:lastRow="0" w:firstColumn="0" w:lastColumn="0" w:oddVBand="1" w:evenVBand="0" w:oddHBand="0" w:evenHBand="0" w:firstRowFirstColumn="0" w:firstRowLastColumn="0" w:lastRowFirstColumn="0" w:lastRowLastColumn="0"/>
            <w:tcW w:w="4300" w:type="dxa"/>
          </w:tcPr>
          <w:p w14:paraId="5DB9D239" w14:textId="77777777" w:rsidR="0074457B" w:rsidRPr="004A0C12" w:rsidRDefault="0074457B" w:rsidP="000559FA">
            <w:pPr>
              <w:ind w:left="450" w:hanging="450"/>
              <w:rPr>
                <w:rFonts w:ascii="Garamond" w:hAnsi="Garamond"/>
                <w:sz w:val="22"/>
                <w:szCs w:val="22"/>
              </w:rPr>
            </w:pPr>
            <w:r w:rsidRPr="004A0C12">
              <w:rPr>
                <w:rFonts w:ascii="Garamond" w:hAnsi="Garamond"/>
                <w:sz w:val="22"/>
                <w:szCs w:val="22"/>
              </w:rPr>
              <w:t>Difference between the percentage of Closed Cases with Employment Outcomes that have a wage greater than or equal to the Minimum Wage that are Self Support at Application and the percentage of Closed Cases with Employment Outcomes that have a wage greater than or equal to the Minimum Wage that are Self Support at Closure.</w:t>
            </w:r>
          </w:p>
        </w:tc>
        <w:tc>
          <w:tcPr>
            <w:tcW w:w="1800" w:type="dxa"/>
          </w:tcPr>
          <w:p w14:paraId="3CC2AD59" w14:textId="77777777" w:rsidR="0074457B" w:rsidRPr="004A0C12" w:rsidRDefault="0074457B" w:rsidP="0074457B">
            <w:pPr>
              <w:jc w:val="right"/>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67.645</w:t>
            </w:r>
          </w:p>
        </w:tc>
        <w:tc>
          <w:tcPr>
            <w:cnfStyle w:val="000010000000" w:firstRow="0" w:lastRow="0" w:firstColumn="0" w:lastColumn="0" w:oddVBand="1" w:evenVBand="0" w:oddHBand="0" w:evenHBand="0" w:firstRowFirstColumn="0" w:firstRowLastColumn="0" w:lastRowFirstColumn="0" w:lastRowLastColumn="0"/>
            <w:tcW w:w="1620" w:type="dxa"/>
          </w:tcPr>
          <w:p w14:paraId="1381049A" w14:textId="77777777" w:rsidR="0074457B" w:rsidRPr="004A0C12" w:rsidRDefault="0074457B" w:rsidP="0074457B">
            <w:pPr>
              <w:jc w:val="right"/>
              <w:rPr>
                <w:rFonts w:ascii="Garamond" w:hAnsi="Garamond"/>
                <w:sz w:val="22"/>
                <w:szCs w:val="22"/>
              </w:rPr>
            </w:pPr>
            <w:r w:rsidRPr="004A0C12">
              <w:rPr>
                <w:rFonts w:ascii="Garamond" w:hAnsi="Garamond"/>
                <w:sz w:val="22"/>
                <w:szCs w:val="22"/>
              </w:rPr>
              <w:t>68.596</w:t>
            </w:r>
          </w:p>
        </w:tc>
        <w:tc>
          <w:tcPr>
            <w:tcW w:w="3060" w:type="dxa"/>
          </w:tcPr>
          <w:p w14:paraId="579A568B" w14:textId="77777777" w:rsidR="0074457B" w:rsidRPr="004A0C12" w:rsidRDefault="0074457B" w:rsidP="0074457B">
            <w:pPr>
              <w:jc w:val="right"/>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53.000</w:t>
            </w:r>
          </w:p>
        </w:tc>
      </w:tr>
      <w:tr w:rsidR="0074457B" w:rsidRPr="004A0C12" w14:paraId="049E4DB6" w14:textId="77777777" w:rsidTr="00900002">
        <w:trPr>
          <w:trHeight w:val="480"/>
        </w:trPr>
        <w:tc>
          <w:tcPr>
            <w:cnfStyle w:val="000010000000" w:firstRow="0" w:lastRow="0" w:firstColumn="0" w:lastColumn="0" w:oddVBand="1" w:evenVBand="0" w:oddHBand="0" w:evenHBand="0" w:firstRowFirstColumn="0" w:firstRowLastColumn="0" w:lastRowFirstColumn="0" w:lastRowLastColumn="0"/>
            <w:tcW w:w="4300" w:type="dxa"/>
          </w:tcPr>
          <w:p w14:paraId="5CF1AD17" w14:textId="77777777" w:rsidR="0074457B" w:rsidRPr="004A0C12" w:rsidRDefault="0074457B" w:rsidP="000559FA">
            <w:pPr>
              <w:rPr>
                <w:rFonts w:ascii="Garamond" w:hAnsi="Garamond"/>
                <w:sz w:val="22"/>
                <w:szCs w:val="22"/>
              </w:rPr>
            </w:pPr>
            <w:r w:rsidRPr="004A0C12">
              <w:rPr>
                <w:rFonts w:ascii="Garamond" w:hAnsi="Garamond"/>
                <w:sz w:val="22"/>
                <w:szCs w:val="22"/>
              </w:rPr>
              <w:t>Ratio of Minority Service Rate to Non-Minority Service Rate</w:t>
            </w:r>
          </w:p>
        </w:tc>
        <w:tc>
          <w:tcPr>
            <w:tcW w:w="1800" w:type="dxa"/>
          </w:tcPr>
          <w:p w14:paraId="3E8A2E1D" w14:textId="77777777" w:rsidR="0074457B" w:rsidRPr="004A0C12" w:rsidRDefault="0074457B" w:rsidP="0074457B">
            <w:pPr>
              <w:jc w:val="righ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0.841</w:t>
            </w:r>
          </w:p>
        </w:tc>
        <w:tc>
          <w:tcPr>
            <w:cnfStyle w:val="000010000000" w:firstRow="0" w:lastRow="0" w:firstColumn="0" w:lastColumn="0" w:oddVBand="1" w:evenVBand="0" w:oddHBand="0" w:evenHBand="0" w:firstRowFirstColumn="0" w:firstRowLastColumn="0" w:lastRowFirstColumn="0" w:lastRowLastColumn="0"/>
            <w:tcW w:w="1620" w:type="dxa"/>
          </w:tcPr>
          <w:p w14:paraId="5617D172" w14:textId="77777777" w:rsidR="0074457B" w:rsidRPr="004A0C12" w:rsidRDefault="0074457B" w:rsidP="0074457B">
            <w:pPr>
              <w:jc w:val="right"/>
              <w:rPr>
                <w:rFonts w:ascii="Garamond" w:hAnsi="Garamond"/>
                <w:sz w:val="22"/>
                <w:szCs w:val="22"/>
              </w:rPr>
            </w:pPr>
            <w:r w:rsidRPr="004A0C12">
              <w:rPr>
                <w:rFonts w:ascii="Garamond" w:hAnsi="Garamond"/>
                <w:sz w:val="22"/>
                <w:szCs w:val="22"/>
              </w:rPr>
              <w:t>0.894</w:t>
            </w:r>
          </w:p>
        </w:tc>
        <w:tc>
          <w:tcPr>
            <w:tcW w:w="3060" w:type="dxa"/>
          </w:tcPr>
          <w:p w14:paraId="6ACAE41E" w14:textId="77777777" w:rsidR="0074457B" w:rsidRPr="004A0C12" w:rsidRDefault="0074457B" w:rsidP="0074457B">
            <w:pPr>
              <w:jc w:val="right"/>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0.800</w:t>
            </w:r>
          </w:p>
        </w:tc>
      </w:tr>
    </w:tbl>
    <w:p w14:paraId="58191608" w14:textId="77777777" w:rsidR="0074457B" w:rsidRPr="004A0C12" w:rsidRDefault="0074457B" w:rsidP="0074457B">
      <w:pPr>
        <w:spacing w:after="0" w:line="240" w:lineRule="auto"/>
        <w:rPr>
          <w:rFonts w:ascii="Garamond" w:hAnsi="Garamond"/>
        </w:rPr>
      </w:pPr>
    </w:p>
    <w:p w14:paraId="04B51ED4" w14:textId="77777777" w:rsidR="0054168E" w:rsidRPr="004A0C12" w:rsidRDefault="0054168E" w:rsidP="0074457B">
      <w:pPr>
        <w:spacing w:after="0" w:line="240" w:lineRule="auto"/>
        <w:rPr>
          <w:rFonts w:ascii="Garamond" w:hAnsi="Garamond"/>
        </w:rPr>
      </w:pPr>
    </w:p>
    <w:p w14:paraId="336C5859" w14:textId="77777777" w:rsidR="0054168E" w:rsidRPr="004A0C12" w:rsidRDefault="0054168E" w:rsidP="0074457B">
      <w:pPr>
        <w:spacing w:after="0" w:line="240" w:lineRule="auto"/>
        <w:rPr>
          <w:rFonts w:ascii="Garamond" w:hAnsi="Garamond"/>
        </w:rPr>
      </w:pPr>
    </w:p>
    <w:p w14:paraId="5E86240C" w14:textId="77777777" w:rsidR="0054168E" w:rsidRPr="004A0C12" w:rsidRDefault="0054168E" w:rsidP="0074457B">
      <w:pPr>
        <w:spacing w:after="0" w:line="240" w:lineRule="auto"/>
        <w:rPr>
          <w:rFonts w:ascii="Garamond" w:hAnsi="Garamond"/>
        </w:rPr>
      </w:pPr>
    </w:p>
    <w:p w14:paraId="5B21D8C5" w14:textId="77777777" w:rsidR="0054168E" w:rsidRPr="004A0C12" w:rsidRDefault="0054168E" w:rsidP="0074457B">
      <w:pPr>
        <w:spacing w:after="0" w:line="240" w:lineRule="auto"/>
        <w:rPr>
          <w:rFonts w:ascii="Garamond" w:hAnsi="Garamond"/>
        </w:rPr>
      </w:pPr>
    </w:p>
    <w:p w14:paraId="3C85D36F" w14:textId="77777777" w:rsidR="0054168E" w:rsidRPr="004A0C12" w:rsidRDefault="0054168E" w:rsidP="0074457B">
      <w:pPr>
        <w:spacing w:after="0" w:line="240" w:lineRule="auto"/>
        <w:rPr>
          <w:rFonts w:ascii="Garamond" w:hAnsi="Garamond"/>
        </w:rPr>
      </w:pPr>
    </w:p>
    <w:p w14:paraId="750D294E" w14:textId="77777777" w:rsidR="0054168E" w:rsidRPr="004A0C12" w:rsidRDefault="0054168E" w:rsidP="0074457B">
      <w:pPr>
        <w:spacing w:after="0" w:line="240" w:lineRule="auto"/>
        <w:rPr>
          <w:rFonts w:ascii="Garamond" w:hAnsi="Garamond"/>
        </w:rPr>
      </w:pPr>
    </w:p>
    <w:p w14:paraId="14F68954" w14:textId="77777777" w:rsidR="0054168E" w:rsidRPr="004A0C12" w:rsidRDefault="0054168E" w:rsidP="0074457B">
      <w:pPr>
        <w:spacing w:after="0" w:line="240" w:lineRule="auto"/>
        <w:rPr>
          <w:rFonts w:ascii="Garamond" w:hAnsi="Garamond"/>
        </w:rPr>
      </w:pPr>
    </w:p>
    <w:p w14:paraId="50FF15E2" w14:textId="77777777" w:rsidR="0054168E" w:rsidRPr="004A0C12" w:rsidRDefault="0054168E" w:rsidP="0074457B">
      <w:pPr>
        <w:spacing w:after="0" w:line="240" w:lineRule="auto"/>
        <w:rPr>
          <w:rFonts w:ascii="Garamond" w:hAnsi="Garamond"/>
        </w:rPr>
      </w:pPr>
    </w:p>
    <w:p w14:paraId="64F76C0C" w14:textId="77777777" w:rsidR="0054168E" w:rsidRPr="004A0C12" w:rsidRDefault="0054168E" w:rsidP="0074457B">
      <w:pPr>
        <w:spacing w:after="0" w:line="240" w:lineRule="auto"/>
        <w:rPr>
          <w:rFonts w:ascii="Garamond" w:hAnsi="Garamond"/>
        </w:rPr>
      </w:pPr>
    </w:p>
    <w:p w14:paraId="02F8E640" w14:textId="77777777" w:rsidR="0054168E" w:rsidRPr="004A0C12" w:rsidRDefault="0054168E" w:rsidP="0074457B">
      <w:pPr>
        <w:spacing w:after="0" w:line="240" w:lineRule="auto"/>
        <w:rPr>
          <w:rFonts w:ascii="Garamond" w:hAnsi="Garamond"/>
        </w:rPr>
      </w:pPr>
    </w:p>
    <w:p w14:paraId="21A5C938" w14:textId="77777777" w:rsidR="0054168E" w:rsidRPr="004A0C12" w:rsidRDefault="0054168E" w:rsidP="0074457B">
      <w:pPr>
        <w:spacing w:after="0" w:line="240" w:lineRule="auto"/>
        <w:rPr>
          <w:rFonts w:ascii="Garamond" w:hAnsi="Garamond"/>
        </w:rPr>
      </w:pPr>
    </w:p>
    <w:p w14:paraId="70252403" w14:textId="77777777" w:rsidR="0054168E" w:rsidRPr="004A0C12" w:rsidRDefault="0054168E" w:rsidP="0074457B">
      <w:pPr>
        <w:spacing w:after="0" w:line="240" w:lineRule="auto"/>
        <w:rPr>
          <w:rFonts w:ascii="Garamond" w:hAnsi="Garamond"/>
        </w:rPr>
      </w:pPr>
    </w:p>
    <w:p w14:paraId="5BE3808C" w14:textId="77777777" w:rsidR="0054168E" w:rsidRPr="004A0C12" w:rsidRDefault="0054168E" w:rsidP="0074457B">
      <w:pPr>
        <w:spacing w:after="0" w:line="240" w:lineRule="auto"/>
        <w:rPr>
          <w:rFonts w:ascii="Garamond" w:hAnsi="Garamond"/>
        </w:rPr>
      </w:pPr>
    </w:p>
    <w:p w14:paraId="41C765A2" w14:textId="77777777" w:rsidR="0054168E" w:rsidRPr="004A0C12" w:rsidRDefault="0054168E" w:rsidP="0074457B">
      <w:pPr>
        <w:spacing w:after="0" w:line="240" w:lineRule="auto"/>
        <w:rPr>
          <w:rFonts w:ascii="Garamond" w:hAnsi="Garamond"/>
        </w:rPr>
      </w:pPr>
    </w:p>
    <w:p w14:paraId="556F0666" w14:textId="77777777" w:rsidR="0074457B" w:rsidRPr="00B25499" w:rsidRDefault="0074457B" w:rsidP="0074457B">
      <w:pPr>
        <w:pStyle w:val="Heading4"/>
        <w:spacing w:before="0" w:line="240" w:lineRule="auto"/>
        <w:rPr>
          <w:rFonts w:ascii="Garamond" w:hAnsi="Garamond"/>
          <w:sz w:val="24"/>
          <w:szCs w:val="24"/>
        </w:rPr>
      </w:pPr>
      <w:r w:rsidRPr="00B25499">
        <w:rPr>
          <w:rFonts w:ascii="Garamond" w:hAnsi="Garamond"/>
          <w:sz w:val="24"/>
          <w:szCs w:val="24"/>
        </w:rPr>
        <w:lastRenderedPageBreak/>
        <w:t xml:space="preserve">Temporary Assistance for Needy Families </w:t>
      </w:r>
    </w:p>
    <w:tbl>
      <w:tblPr>
        <w:tblStyle w:val="PlainTable11"/>
        <w:tblW w:w="10618" w:type="dxa"/>
        <w:tblLook w:val="04A0" w:firstRow="1" w:lastRow="0" w:firstColumn="1" w:lastColumn="0" w:noHBand="0" w:noVBand="1"/>
        <w:tblCaption w:val="TANF Federal Fiscal Year 2014 Aggregate Scores At-A-Glance"/>
        <w:tblDescription w:val="The chart provides the TANF Aggregate Scores at-a-glance for Federal Fiscal Year 2014"/>
      </w:tblPr>
      <w:tblGrid>
        <w:gridCol w:w="2356"/>
        <w:gridCol w:w="25"/>
        <w:gridCol w:w="1592"/>
        <w:gridCol w:w="2762"/>
        <w:gridCol w:w="1348"/>
        <w:gridCol w:w="2535"/>
      </w:tblGrid>
      <w:tr w:rsidR="0074457B" w:rsidRPr="004A0C12" w14:paraId="51E07D92" w14:textId="77777777" w:rsidTr="008B1D9A">
        <w:trPr>
          <w:cnfStyle w:val="100000000000" w:firstRow="1" w:lastRow="0" w:firstColumn="0" w:lastColumn="0" w:oddVBand="0" w:evenVBand="0" w:oddHBand="0" w:evenHBand="0" w:firstRowFirstColumn="0" w:firstRowLastColumn="0" w:lastRowFirstColumn="0" w:lastRowLastColumn="0"/>
          <w:trHeight w:val="331"/>
          <w:tblHeader/>
        </w:trPr>
        <w:tc>
          <w:tcPr>
            <w:cnfStyle w:val="001000000000" w:firstRow="0" w:lastRow="0" w:firstColumn="1" w:lastColumn="0" w:oddVBand="0" w:evenVBand="0" w:oddHBand="0" w:evenHBand="0" w:firstRowFirstColumn="0" w:firstRowLastColumn="0" w:lastRowFirstColumn="0" w:lastRowLastColumn="0"/>
            <w:tcW w:w="10617" w:type="dxa"/>
            <w:gridSpan w:val="6"/>
            <w:noWrap/>
            <w:hideMark/>
          </w:tcPr>
          <w:p w14:paraId="1F555A90" w14:textId="77777777" w:rsidR="0074457B" w:rsidRPr="004A0C12" w:rsidRDefault="0074457B" w:rsidP="0074457B">
            <w:pPr>
              <w:jc w:val="center"/>
              <w:rPr>
                <w:rFonts w:ascii="Garamond" w:hAnsi="Garamond"/>
                <w:bCs w:val="0"/>
                <w:sz w:val="22"/>
                <w:szCs w:val="22"/>
              </w:rPr>
            </w:pPr>
            <w:r w:rsidRPr="004A0C12">
              <w:rPr>
                <w:rFonts w:ascii="Garamond" w:hAnsi="Garamond"/>
                <w:bCs w:val="0"/>
                <w:sz w:val="22"/>
                <w:szCs w:val="22"/>
              </w:rPr>
              <w:t xml:space="preserve">Temporary Assistance for Needy Families </w:t>
            </w:r>
          </w:p>
          <w:p w14:paraId="2880022F" w14:textId="77777777" w:rsidR="0074457B" w:rsidRPr="004A0C12" w:rsidRDefault="0074457B" w:rsidP="0074457B">
            <w:pPr>
              <w:jc w:val="center"/>
              <w:rPr>
                <w:rFonts w:ascii="Garamond" w:hAnsi="Garamond"/>
                <w:b w:val="0"/>
                <w:bCs w:val="0"/>
                <w:sz w:val="22"/>
                <w:szCs w:val="22"/>
              </w:rPr>
            </w:pPr>
            <w:r w:rsidRPr="004A0C12">
              <w:rPr>
                <w:rFonts w:ascii="Garamond" w:hAnsi="Garamond"/>
                <w:bCs w:val="0"/>
                <w:sz w:val="22"/>
                <w:szCs w:val="22"/>
              </w:rPr>
              <w:t>Federal Fiscal Year 2014 Aggregate Scores At-A-Glance</w:t>
            </w:r>
          </w:p>
        </w:tc>
      </w:tr>
      <w:tr w:rsidR="0074457B" w:rsidRPr="004A0C12" w14:paraId="324C9E46" w14:textId="77777777" w:rsidTr="00900002">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3973" w:type="dxa"/>
            <w:gridSpan w:val="3"/>
            <w:hideMark/>
          </w:tcPr>
          <w:p w14:paraId="2C3E223B" w14:textId="77777777" w:rsidR="0074457B" w:rsidRPr="004A0C12" w:rsidRDefault="0074457B" w:rsidP="0074457B">
            <w:pPr>
              <w:jc w:val="center"/>
              <w:rPr>
                <w:rFonts w:ascii="Garamond" w:hAnsi="Garamond"/>
                <w:b w:val="0"/>
                <w:bCs w:val="0"/>
                <w:sz w:val="22"/>
                <w:szCs w:val="22"/>
              </w:rPr>
            </w:pPr>
            <w:r w:rsidRPr="004A0C12">
              <w:rPr>
                <w:rFonts w:ascii="Garamond" w:hAnsi="Garamond"/>
                <w:b w:val="0"/>
                <w:bCs w:val="0"/>
                <w:sz w:val="22"/>
                <w:szCs w:val="22"/>
              </w:rPr>
              <w:t>Jurisdiction </w:t>
            </w:r>
          </w:p>
        </w:tc>
        <w:tc>
          <w:tcPr>
            <w:tcW w:w="2762" w:type="dxa"/>
            <w:hideMark/>
          </w:tcPr>
          <w:p w14:paraId="66B4034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 xml:space="preserve"> Work Participation Rate</w:t>
            </w:r>
          </w:p>
        </w:tc>
        <w:tc>
          <w:tcPr>
            <w:tcW w:w="1348" w:type="dxa"/>
            <w:hideMark/>
          </w:tcPr>
          <w:p w14:paraId="22EDBBF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Total Job Placements</w:t>
            </w:r>
          </w:p>
        </w:tc>
        <w:tc>
          <w:tcPr>
            <w:tcW w:w="2535" w:type="dxa"/>
            <w:hideMark/>
          </w:tcPr>
          <w:p w14:paraId="154FD289" w14:textId="1E2AD133"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 xml:space="preserve"> Total Full</w:t>
            </w:r>
            <w:r w:rsidR="00900002" w:rsidRPr="004A0C12">
              <w:rPr>
                <w:rFonts w:ascii="Garamond" w:hAnsi="Garamond"/>
                <w:b/>
                <w:bCs/>
                <w:sz w:val="22"/>
                <w:szCs w:val="22"/>
              </w:rPr>
              <w:t>-T</w:t>
            </w:r>
            <w:r w:rsidRPr="004A0C12">
              <w:rPr>
                <w:rFonts w:ascii="Garamond" w:hAnsi="Garamond"/>
                <w:b/>
                <w:bCs/>
                <w:sz w:val="22"/>
                <w:szCs w:val="22"/>
              </w:rPr>
              <w:t>ime $10/</w:t>
            </w:r>
            <w:r w:rsidR="00B157E4" w:rsidRPr="004A0C12">
              <w:rPr>
                <w:rFonts w:ascii="Garamond" w:hAnsi="Garamond"/>
                <w:b/>
                <w:bCs/>
                <w:sz w:val="22"/>
                <w:szCs w:val="22"/>
              </w:rPr>
              <w:t>hr.</w:t>
            </w:r>
            <w:r w:rsidRPr="004A0C12">
              <w:rPr>
                <w:rFonts w:ascii="Garamond" w:hAnsi="Garamond"/>
                <w:b/>
                <w:bCs/>
                <w:sz w:val="22"/>
                <w:szCs w:val="22"/>
              </w:rPr>
              <w:t xml:space="preserve"> Job Placements</w:t>
            </w:r>
          </w:p>
        </w:tc>
      </w:tr>
      <w:tr w:rsidR="0074457B" w:rsidRPr="004A0C12" w14:paraId="5727D5D2" w14:textId="77777777" w:rsidTr="00900002">
        <w:trPr>
          <w:trHeight w:val="316"/>
        </w:trPr>
        <w:tc>
          <w:tcPr>
            <w:cnfStyle w:val="001000000000" w:firstRow="0" w:lastRow="0" w:firstColumn="1" w:lastColumn="0" w:oddVBand="0" w:evenVBand="0" w:oddHBand="0" w:evenHBand="0" w:firstRowFirstColumn="0" w:firstRowLastColumn="0" w:lastRowFirstColumn="0" w:lastRowLastColumn="0"/>
            <w:tcW w:w="10617" w:type="dxa"/>
            <w:gridSpan w:val="6"/>
            <w:noWrap/>
            <w:hideMark/>
          </w:tcPr>
          <w:p w14:paraId="4060A85D" w14:textId="77777777" w:rsidR="0074457B" w:rsidRPr="004A0C12" w:rsidRDefault="0074457B" w:rsidP="0074457B">
            <w:pPr>
              <w:rPr>
                <w:rFonts w:ascii="Garamond" w:hAnsi="Garamond"/>
                <w:sz w:val="22"/>
                <w:szCs w:val="22"/>
              </w:rPr>
            </w:pPr>
            <w:r w:rsidRPr="004A0C12">
              <w:rPr>
                <w:rFonts w:ascii="Garamond" w:hAnsi="Garamond"/>
                <w:b w:val="0"/>
                <w:bCs w:val="0"/>
                <w:sz w:val="22"/>
                <w:szCs w:val="22"/>
              </w:rPr>
              <w:t>Large Counties  </w:t>
            </w:r>
          </w:p>
        </w:tc>
      </w:tr>
      <w:tr w:rsidR="0074457B" w:rsidRPr="004A0C12" w14:paraId="5DB28985"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56" w:type="dxa"/>
            <w:noWrap/>
            <w:hideMark/>
          </w:tcPr>
          <w:p w14:paraId="2E42B18E" w14:textId="77777777" w:rsidR="0074457B" w:rsidRPr="004A0C12" w:rsidRDefault="0074457B" w:rsidP="0074457B">
            <w:pPr>
              <w:rPr>
                <w:rFonts w:ascii="Garamond" w:hAnsi="Garamond"/>
                <w:sz w:val="22"/>
                <w:szCs w:val="22"/>
              </w:rPr>
            </w:pPr>
          </w:p>
        </w:tc>
        <w:tc>
          <w:tcPr>
            <w:tcW w:w="1617" w:type="dxa"/>
            <w:gridSpan w:val="2"/>
          </w:tcPr>
          <w:p w14:paraId="4FA26D6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Baltimore City</w:t>
            </w:r>
          </w:p>
        </w:tc>
        <w:tc>
          <w:tcPr>
            <w:tcW w:w="2762" w:type="dxa"/>
            <w:noWrap/>
            <w:hideMark/>
          </w:tcPr>
          <w:p w14:paraId="254ADF1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52%</w:t>
            </w:r>
          </w:p>
        </w:tc>
        <w:tc>
          <w:tcPr>
            <w:tcW w:w="1348" w:type="dxa"/>
            <w:noWrap/>
            <w:hideMark/>
          </w:tcPr>
          <w:p w14:paraId="445CEEFD"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5030</w:t>
            </w:r>
          </w:p>
        </w:tc>
        <w:tc>
          <w:tcPr>
            <w:tcW w:w="2535" w:type="dxa"/>
            <w:noWrap/>
            <w:hideMark/>
          </w:tcPr>
          <w:p w14:paraId="3C4928E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1020</w:t>
            </w:r>
          </w:p>
        </w:tc>
      </w:tr>
      <w:tr w:rsidR="0074457B" w:rsidRPr="004A0C12" w14:paraId="688A023D" w14:textId="77777777" w:rsidTr="00900002">
        <w:trPr>
          <w:trHeight w:val="301"/>
        </w:trPr>
        <w:tc>
          <w:tcPr>
            <w:cnfStyle w:val="001000000000" w:firstRow="0" w:lastRow="0" w:firstColumn="1" w:lastColumn="0" w:oddVBand="0" w:evenVBand="0" w:oddHBand="0" w:evenHBand="0" w:firstRowFirstColumn="0" w:firstRowLastColumn="0" w:lastRowFirstColumn="0" w:lastRowLastColumn="0"/>
            <w:tcW w:w="2356" w:type="dxa"/>
            <w:noWrap/>
            <w:hideMark/>
          </w:tcPr>
          <w:p w14:paraId="2552933A" w14:textId="77777777" w:rsidR="0074457B" w:rsidRPr="004A0C12" w:rsidRDefault="0074457B" w:rsidP="0074457B">
            <w:pPr>
              <w:rPr>
                <w:rFonts w:ascii="Garamond" w:hAnsi="Garamond"/>
                <w:sz w:val="22"/>
                <w:szCs w:val="22"/>
              </w:rPr>
            </w:pPr>
          </w:p>
        </w:tc>
        <w:tc>
          <w:tcPr>
            <w:tcW w:w="1617" w:type="dxa"/>
            <w:gridSpan w:val="2"/>
          </w:tcPr>
          <w:p w14:paraId="6BE6DEBA"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Baltimore County</w:t>
            </w:r>
          </w:p>
        </w:tc>
        <w:tc>
          <w:tcPr>
            <w:tcW w:w="2762" w:type="dxa"/>
            <w:noWrap/>
            <w:hideMark/>
          </w:tcPr>
          <w:p w14:paraId="12FB6A6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55%</w:t>
            </w:r>
          </w:p>
        </w:tc>
        <w:tc>
          <w:tcPr>
            <w:tcW w:w="1348" w:type="dxa"/>
            <w:noWrap/>
            <w:hideMark/>
          </w:tcPr>
          <w:p w14:paraId="522E9DF4"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1713</w:t>
            </w:r>
          </w:p>
        </w:tc>
        <w:tc>
          <w:tcPr>
            <w:tcW w:w="2535" w:type="dxa"/>
            <w:noWrap/>
            <w:hideMark/>
          </w:tcPr>
          <w:p w14:paraId="616E88FB"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514</w:t>
            </w:r>
          </w:p>
        </w:tc>
      </w:tr>
      <w:tr w:rsidR="0074457B" w:rsidRPr="004A0C12" w14:paraId="04B5786E" w14:textId="77777777" w:rsidTr="00900002">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356" w:type="dxa"/>
            <w:noWrap/>
            <w:hideMark/>
          </w:tcPr>
          <w:p w14:paraId="1184BE12" w14:textId="77777777" w:rsidR="0074457B" w:rsidRPr="004A0C12" w:rsidRDefault="0074457B" w:rsidP="0074457B">
            <w:pPr>
              <w:rPr>
                <w:rFonts w:ascii="Garamond" w:hAnsi="Garamond"/>
                <w:sz w:val="22"/>
                <w:szCs w:val="22"/>
              </w:rPr>
            </w:pPr>
          </w:p>
        </w:tc>
        <w:tc>
          <w:tcPr>
            <w:tcW w:w="1617" w:type="dxa"/>
            <w:gridSpan w:val="2"/>
          </w:tcPr>
          <w:p w14:paraId="2C7C7F33"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Prince George's</w:t>
            </w:r>
          </w:p>
        </w:tc>
        <w:tc>
          <w:tcPr>
            <w:tcW w:w="2762" w:type="dxa"/>
            <w:noWrap/>
            <w:hideMark/>
          </w:tcPr>
          <w:p w14:paraId="3F28860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65%</w:t>
            </w:r>
          </w:p>
        </w:tc>
        <w:tc>
          <w:tcPr>
            <w:tcW w:w="1348" w:type="dxa"/>
            <w:noWrap/>
            <w:hideMark/>
          </w:tcPr>
          <w:p w14:paraId="10AA340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1099</w:t>
            </w:r>
          </w:p>
        </w:tc>
        <w:tc>
          <w:tcPr>
            <w:tcW w:w="2535" w:type="dxa"/>
            <w:noWrap/>
            <w:hideMark/>
          </w:tcPr>
          <w:p w14:paraId="6C9AAB96"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281</w:t>
            </w:r>
          </w:p>
        </w:tc>
      </w:tr>
      <w:tr w:rsidR="0074457B" w:rsidRPr="004A0C12" w14:paraId="7E93DC0B" w14:textId="77777777" w:rsidTr="00900002">
        <w:trPr>
          <w:trHeight w:val="331"/>
        </w:trPr>
        <w:tc>
          <w:tcPr>
            <w:cnfStyle w:val="001000000000" w:firstRow="0" w:lastRow="0" w:firstColumn="1" w:lastColumn="0" w:oddVBand="0" w:evenVBand="0" w:oddHBand="0" w:evenHBand="0" w:firstRowFirstColumn="0" w:firstRowLastColumn="0" w:lastRowFirstColumn="0" w:lastRowLastColumn="0"/>
            <w:tcW w:w="10617" w:type="dxa"/>
            <w:gridSpan w:val="6"/>
            <w:noWrap/>
            <w:hideMark/>
          </w:tcPr>
          <w:p w14:paraId="40D9CCD5" w14:textId="77777777" w:rsidR="0074457B" w:rsidRPr="004A0C12" w:rsidRDefault="0074457B" w:rsidP="0074457B">
            <w:pPr>
              <w:rPr>
                <w:rFonts w:ascii="Garamond" w:hAnsi="Garamond"/>
                <w:sz w:val="22"/>
                <w:szCs w:val="22"/>
              </w:rPr>
            </w:pPr>
            <w:r w:rsidRPr="004A0C12">
              <w:rPr>
                <w:rFonts w:ascii="Garamond" w:hAnsi="Garamond"/>
                <w:b w:val="0"/>
                <w:bCs w:val="0"/>
                <w:sz w:val="22"/>
                <w:szCs w:val="22"/>
              </w:rPr>
              <w:t>Medium Counties </w:t>
            </w:r>
          </w:p>
        </w:tc>
      </w:tr>
      <w:tr w:rsidR="0074457B" w:rsidRPr="004A0C12" w14:paraId="2B62936D" w14:textId="77777777" w:rsidTr="00900002">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096D9BF1" w14:textId="77777777" w:rsidR="0074457B" w:rsidRPr="004A0C12" w:rsidRDefault="0074457B" w:rsidP="0074457B">
            <w:pPr>
              <w:rPr>
                <w:rFonts w:ascii="Garamond" w:hAnsi="Garamond"/>
                <w:sz w:val="22"/>
                <w:szCs w:val="22"/>
              </w:rPr>
            </w:pPr>
          </w:p>
        </w:tc>
        <w:tc>
          <w:tcPr>
            <w:tcW w:w="1592" w:type="dxa"/>
          </w:tcPr>
          <w:p w14:paraId="4D042F76"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Anne Arundel</w:t>
            </w:r>
          </w:p>
        </w:tc>
        <w:tc>
          <w:tcPr>
            <w:tcW w:w="2762" w:type="dxa"/>
            <w:noWrap/>
            <w:hideMark/>
          </w:tcPr>
          <w:p w14:paraId="349DA393"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56%</w:t>
            </w:r>
          </w:p>
        </w:tc>
        <w:tc>
          <w:tcPr>
            <w:tcW w:w="1348" w:type="dxa"/>
            <w:noWrap/>
            <w:hideMark/>
          </w:tcPr>
          <w:p w14:paraId="1E9912D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1232</w:t>
            </w:r>
          </w:p>
        </w:tc>
        <w:tc>
          <w:tcPr>
            <w:tcW w:w="2535" w:type="dxa"/>
            <w:noWrap/>
            <w:hideMark/>
          </w:tcPr>
          <w:p w14:paraId="7174DD8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375</w:t>
            </w:r>
          </w:p>
        </w:tc>
      </w:tr>
      <w:tr w:rsidR="0074457B" w:rsidRPr="004A0C12" w14:paraId="369AF4F5" w14:textId="77777777" w:rsidTr="00900002">
        <w:trPr>
          <w:trHeight w:val="316"/>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7FBE9649" w14:textId="77777777" w:rsidR="0074457B" w:rsidRPr="004A0C12" w:rsidRDefault="0074457B" w:rsidP="0074457B">
            <w:pPr>
              <w:rPr>
                <w:rFonts w:ascii="Garamond" w:hAnsi="Garamond"/>
                <w:sz w:val="22"/>
                <w:szCs w:val="22"/>
              </w:rPr>
            </w:pPr>
          </w:p>
        </w:tc>
        <w:tc>
          <w:tcPr>
            <w:tcW w:w="1592" w:type="dxa"/>
          </w:tcPr>
          <w:p w14:paraId="4D98589E"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Montgomery</w:t>
            </w:r>
          </w:p>
        </w:tc>
        <w:tc>
          <w:tcPr>
            <w:tcW w:w="2762" w:type="dxa"/>
            <w:noWrap/>
            <w:hideMark/>
          </w:tcPr>
          <w:p w14:paraId="688C870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56%</w:t>
            </w:r>
          </w:p>
        </w:tc>
        <w:tc>
          <w:tcPr>
            <w:tcW w:w="1348" w:type="dxa"/>
            <w:noWrap/>
            <w:hideMark/>
          </w:tcPr>
          <w:p w14:paraId="72250B61"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768</w:t>
            </w:r>
          </w:p>
        </w:tc>
        <w:tc>
          <w:tcPr>
            <w:tcW w:w="2535" w:type="dxa"/>
            <w:noWrap/>
            <w:hideMark/>
          </w:tcPr>
          <w:p w14:paraId="1232816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235</w:t>
            </w:r>
          </w:p>
        </w:tc>
      </w:tr>
      <w:tr w:rsidR="0074457B" w:rsidRPr="004A0C12" w14:paraId="304FCF43"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71B418BE" w14:textId="77777777" w:rsidR="0074457B" w:rsidRPr="004A0C12" w:rsidRDefault="0074457B" w:rsidP="0074457B">
            <w:pPr>
              <w:rPr>
                <w:rFonts w:ascii="Garamond" w:hAnsi="Garamond"/>
                <w:sz w:val="22"/>
                <w:szCs w:val="22"/>
              </w:rPr>
            </w:pPr>
          </w:p>
        </w:tc>
        <w:tc>
          <w:tcPr>
            <w:tcW w:w="1592" w:type="dxa"/>
          </w:tcPr>
          <w:p w14:paraId="252624A4"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Wicomico</w:t>
            </w:r>
          </w:p>
        </w:tc>
        <w:tc>
          <w:tcPr>
            <w:tcW w:w="2762" w:type="dxa"/>
            <w:noWrap/>
            <w:hideMark/>
          </w:tcPr>
          <w:p w14:paraId="4358658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w:t>
            </w:r>
          </w:p>
        </w:tc>
        <w:tc>
          <w:tcPr>
            <w:tcW w:w="1348" w:type="dxa"/>
            <w:noWrap/>
            <w:hideMark/>
          </w:tcPr>
          <w:p w14:paraId="313C67A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322</w:t>
            </w:r>
          </w:p>
        </w:tc>
        <w:tc>
          <w:tcPr>
            <w:tcW w:w="2535" w:type="dxa"/>
            <w:noWrap/>
            <w:hideMark/>
          </w:tcPr>
          <w:p w14:paraId="7561498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47</w:t>
            </w:r>
          </w:p>
        </w:tc>
      </w:tr>
      <w:tr w:rsidR="0074457B" w:rsidRPr="004A0C12" w14:paraId="13D7FB81" w14:textId="77777777" w:rsidTr="00900002">
        <w:trPr>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00CF0ECB" w14:textId="77777777" w:rsidR="0074457B" w:rsidRPr="004A0C12" w:rsidRDefault="0074457B" w:rsidP="0074457B">
            <w:pPr>
              <w:rPr>
                <w:rFonts w:ascii="Garamond" w:hAnsi="Garamond"/>
                <w:sz w:val="22"/>
                <w:szCs w:val="22"/>
              </w:rPr>
            </w:pPr>
          </w:p>
        </w:tc>
        <w:tc>
          <w:tcPr>
            <w:tcW w:w="1592" w:type="dxa"/>
          </w:tcPr>
          <w:p w14:paraId="22771FDF"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Harford</w:t>
            </w:r>
          </w:p>
        </w:tc>
        <w:tc>
          <w:tcPr>
            <w:tcW w:w="2762" w:type="dxa"/>
            <w:noWrap/>
            <w:hideMark/>
          </w:tcPr>
          <w:p w14:paraId="4F0E623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55%</w:t>
            </w:r>
          </w:p>
        </w:tc>
        <w:tc>
          <w:tcPr>
            <w:tcW w:w="1348" w:type="dxa"/>
            <w:noWrap/>
            <w:hideMark/>
          </w:tcPr>
          <w:p w14:paraId="75DB944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476</w:t>
            </w:r>
          </w:p>
        </w:tc>
        <w:tc>
          <w:tcPr>
            <w:tcW w:w="2535" w:type="dxa"/>
            <w:noWrap/>
            <w:hideMark/>
          </w:tcPr>
          <w:p w14:paraId="03D4C00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134</w:t>
            </w:r>
          </w:p>
        </w:tc>
      </w:tr>
      <w:tr w:rsidR="0074457B" w:rsidRPr="004A0C12" w14:paraId="08109748"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5FD83C5C" w14:textId="77777777" w:rsidR="0074457B" w:rsidRPr="004A0C12" w:rsidRDefault="0074457B" w:rsidP="0074457B">
            <w:pPr>
              <w:rPr>
                <w:rFonts w:ascii="Garamond" w:hAnsi="Garamond"/>
                <w:sz w:val="22"/>
                <w:szCs w:val="22"/>
              </w:rPr>
            </w:pPr>
          </w:p>
        </w:tc>
        <w:tc>
          <w:tcPr>
            <w:tcW w:w="1592" w:type="dxa"/>
          </w:tcPr>
          <w:p w14:paraId="05906D9E"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St. Mary's</w:t>
            </w:r>
          </w:p>
        </w:tc>
        <w:tc>
          <w:tcPr>
            <w:tcW w:w="2762" w:type="dxa"/>
            <w:noWrap/>
            <w:hideMark/>
          </w:tcPr>
          <w:p w14:paraId="10C9F1D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w:t>
            </w:r>
          </w:p>
        </w:tc>
        <w:tc>
          <w:tcPr>
            <w:tcW w:w="1348" w:type="dxa"/>
            <w:noWrap/>
            <w:hideMark/>
          </w:tcPr>
          <w:p w14:paraId="2E5045E3"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261</w:t>
            </w:r>
          </w:p>
        </w:tc>
        <w:tc>
          <w:tcPr>
            <w:tcW w:w="2535" w:type="dxa"/>
            <w:noWrap/>
            <w:hideMark/>
          </w:tcPr>
          <w:p w14:paraId="5895DB72"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w:t>
            </w:r>
          </w:p>
        </w:tc>
      </w:tr>
      <w:tr w:rsidR="0074457B" w:rsidRPr="004A0C12" w14:paraId="58283075" w14:textId="77777777" w:rsidTr="00900002">
        <w:trPr>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7F886A16" w14:textId="77777777" w:rsidR="0074457B" w:rsidRPr="004A0C12" w:rsidRDefault="0074457B" w:rsidP="0074457B">
            <w:pPr>
              <w:rPr>
                <w:rFonts w:ascii="Garamond" w:hAnsi="Garamond"/>
                <w:sz w:val="22"/>
                <w:szCs w:val="22"/>
              </w:rPr>
            </w:pPr>
          </w:p>
        </w:tc>
        <w:tc>
          <w:tcPr>
            <w:tcW w:w="1592" w:type="dxa"/>
          </w:tcPr>
          <w:p w14:paraId="2F5AD26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Howard</w:t>
            </w:r>
          </w:p>
        </w:tc>
        <w:tc>
          <w:tcPr>
            <w:tcW w:w="2762" w:type="dxa"/>
            <w:noWrap/>
            <w:hideMark/>
          </w:tcPr>
          <w:p w14:paraId="4A461EAB"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42%</w:t>
            </w:r>
          </w:p>
        </w:tc>
        <w:tc>
          <w:tcPr>
            <w:tcW w:w="1348" w:type="dxa"/>
            <w:noWrap/>
            <w:hideMark/>
          </w:tcPr>
          <w:p w14:paraId="7F1365E0"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262</w:t>
            </w:r>
          </w:p>
        </w:tc>
        <w:tc>
          <w:tcPr>
            <w:tcW w:w="2535" w:type="dxa"/>
            <w:noWrap/>
            <w:hideMark/>
          </w:tcPr>
          <w:p w14:paraId="263847D3"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65</w:t>
            </w:r>
          </w:p>
        </w:tc>
      </w:tr>
      <w:tr w:rsidR="0074457B" w:rsidRPr="004A0C12" w14:paraId="58775851"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18D7EB4C" w14:textId="77777777" w:rsidR="0074457B" w:rsidRPr="004A0C12" w:rsidRDefault="0074457B" w:rsidP="0074457B">
            <w:pPr>
              <w:rPr>
                <w:rFonts w:ascii="Garamond" w:hAnsi="Garamond"/>
                <w:sz w:val="22"/>
                <w:szCs w:val="22"/>
              </w:rPr>
            </w:pPr>
          </w:p>
        </w:tc>
        <w:tc>
          <w:tcPr>
            <w:tcW w:w="1592" w:type="dxa"/>
          </w:tcPr>
          <w:p w14:paraId="2E6A8094"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Washington</w:t>
            </w:r>
          </w:p>
        </w:tc>
        <w:tc>
          <w:tcPr>
            <w:tcW w:w="2762" w:type="dxa"/>
            <w:noWrap/>
            <w:hideMark/>
          </w:tcPr>
          <w:p w14:paraId="46D3698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62%</w:t>
            </w:r>
          </w:p>
        </w:tc>
        <w:tc>
          <w:tcPr>
            <w:tcW w:w="1348" w:type="dxa"/>
            <w:noWrap/>
            <w:hideMark/>
          </w:tcPr>
          <w:p w14:paraId="37856AD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246</w:t>
            </w:r>
          </w:p>
        </w:tc>
        <w:tc>
          <w:tcPr>
            <w:tcW w:w="2535" w:type="dxa"/>
            <w:noWrap/>
            <w:hideMark/>
          </w:tcPr>
          <w:p w14:paraId="1460966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41</w:t>
            </w:r>
          </w:p>
        </w:tc>
      </w:tr>
      <w:tr w:rsidR="0074457B" w:rsidRPr="004A0C12" w14:paraId="3ED598FF" w14:textId="77777777" w:rsidTr="00900002">
        <w:trPr>
          <w:trHeight w:val="316"/>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75840645" w14:textId="77777777" w:rsidR="0074457B" w:rsidRPr="004A0C12" w:rsidRDefault="0074457B" w:rsidP="0074457B">
            <w:pPr>
              <w:rPr>
                <w:rFonts w:ascii="Garamond" w:hAnsi="Garamond"/>
                <w:sz w:val="22"/>
                <w:szCs w:val="22"/>
              </w:rPr>
            </w:pPr>
          </w:p>
        </w:tc>
        <w:tc>
          <w:tcPr>
            <w:tcW w:w="1592" w:type="dxa"/>
          </w:tcPr>
          <w:p w14:paraId="64F1860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Cecil</w:t>
            </w:r>
          </w:p>
        </w:tc>
        <w:tc>
          <w:tcPr>
            <w:tcW w:w="2762" w:type="dxa"/>
            <w:noWrap/>
            <w:hideMark/>
          </w:tcPr>
          <w:p w14:paraId="20AF3886"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50%</w:t>
            </w:r>
          </w:p>
        </w:tc>
        <w:tc>
          <w:tcPr>
            <w:tcW w:w="1348" w:type="dxa"/>
            <w:noWrap/>
            <w:hideMark/>
          </w:tcPr>
          <w:p w14:paraId="7D1823D3"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227</w:t>
            </w:r>
          </w:p>
        </w:tc>
        <w:tc>
          <w:tcPr>
            <w:tcW w:w="2535" w:type="dxa"/>
            <w:noWrap/>
            <w:hideMark/>
          </w:tcPr>
          <w:p w14:paraId="222349D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48</w:t>
            </w:r>
          </w:p>
        </w:tc>
      </w:tr>
      <w:tr w:rsidR="0074457B" w:rsidRPr="004A0C12" w14:paraId="02064A54" w14:textId="77777777" w:rsidTr="0090000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0617" w:type="dxa"/>
            <w:gridSpan w:val="6"/>
            <w:noWrap/>
            <w:hideMark/>
          </w:tcPr>
          <w:p w14:paraId="235B5631" w14:textId="77777777" w:rsidR="0074457B" w:rsidRPr="004A0C12" w:rsidRDefault="0074457B" w:rsidP="0074457B">
            <w:pPr>
              <w:rPr>
                <w:rFonts w:ascii="Garamond" w:hAnsi="Garamond"/>
                <w:sz w:val="22"/>
                <w:szCs w:val="22"/>
              </w:rPr>
            </w:pPr>
            <w:r w:rsidRPr="004A0C12">
              <w:rPr>
                <w:rFonts w:ascii="Garamond" w:hAnsi="Garamond"/>
                <w:b w:val="0"/>
                <w:bCs w:val="0"/>
                <w:sz w:val="22"/>
                <w:szCs w:val="22"/>
              </w:rPr>
              <w:t>Small Counties </w:t>
            </w:r>
          </w:p>
        </w:tc>
      </w:tr>
      <w:tr w:rsidR="0074457B" w:rsidRPr="004A0C12" w14:paraId="4F839097" w14:textId="77777777" w:rsidTr="00900002">
        <w:trPr>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465E38A7" w14:textId="77777777" w:rsidR="0074457B" w:rsidRPr="004A0C12" w:rsidRDefault="0074457B" w:rsidP="0074457B">
            <w:pPr>
              <w:rPr>
                <w:rFonts w:ascii="Garamond" w:hAnsi="Garamond"/>
                <w:sz w:val="22"/>
                <w:szCs w:val="22"/>
              </w:rPr>
            </w:pPr>
          </w:p>
        </w:tc>
        <w:tc>
          <w:tcPr>
            <w:tcW w:w="1592" w:type="dxa"/>
          </w:tcPr>
          <w:p w14:paraId="27B04B18"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Frederick</w:t>
            </w:r>
          </w:p>
        </w:tc>
        <w:tc>
          <w:tcPr>
            <w:tcW w:w="2762" w:type="dxa"/>
            <w:noWrap/>
            <w:hideMark/>
          </w:tcPr>
          <w:p w14:paraId="313D9BD4"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67%</w:t>
            </w:r>
          </w:p>
        </w:tc>
        <w:tc>
          <w:tcPr>
            <w:tcW w:w="1348" w:type="dxa"/>
            <w:noWrap/>
            <w:hideMark/>
          </w:tcPr>
          <w:p w14:paraId="238FF221"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360</w:t>
            </w:r>
          </w:p>
        </w:tc>
        <w:tc>
          <w:tcPr>
            <w:tcW w:w="2535" w:type="dxa"/>
            <w:noWrap/>
            <w:hideMark/>
          </w:tcPr>
          <w:p w14:paraId="644894DB"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137</w:t>
            </w:r>
          </w:p>
        </w:tc>
      </w:tr>
      <w:tr w:rsidR="0074457B" w:rsidRPr="004A0C12" w14:paraId="5F124DA1"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054ED470" w14:textId="77777777" w:rsidR="0074457B" w:rsidRPr="004A0C12" w:rsidRDefault="0074457B" w:rsidP="0074457B">
            <w:pPr>
              <w:rPr>
                <w:rFonts w:ascii="Garamond" w:hAnsi="Garamond"/>
                <w:sz w:val="22"/>
                <w:szCs w:val="22"/>
              </w:rPr>
            </w:pPr>
          </w:p>
        </w:tc>
        <w:tc>
          <w:tcPr>
            <w:tcW w:w="1592" w:type="dxa"/>
          </w:tcPr>
          <w:p w14:paraId="3C388F86"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Charles</w:t>
            </w:r>
          </w:p>
        </w:tc>
        <w:tc>
          <w:tcPr>
            <w:tcW w:w="2762" w:type="dxa"/>
            <w:noWrap/>
            <w:hideMark/>
          </w:tcPr>
          <w:p w14:paraId="60E6E26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54%</w:t>
            </w:r>
          </w:p>
        </w:tc>
        <w:tc>
          <w:tcPr>
            <w:tcW w:w="1348" w:type="dxa"/>
            <w:noWrap/>
            <w:hideMark/>
          </w:tcPr>
          <w:p w14:paraId="1488FB7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130</w:t>
            </w:r>
          </w:p>
        </w:tc>
        <w:tc>
          <w:tcPr>
            <w:tcW w:w="2535" w:type="dxa"/>
            <w:noWrap/>
            <w:hideMark/>
          </w:tcPr>
          <w:p w14:paraId="6622C5F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31</w:t>
            </w:r>
          </w:p>
        </w:tc>
      </w:tr>
      <w:tr w:rsidR="0074457B" w:rsidRPr="004A0C12" w14:paraId="34860053" w14:textId="77777777" w:rsidTr="00900002">
        <w:trPr>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5C3907B5" w14:textId="77777777" w:rsidR="0074457B" w:rsidRPr="004A0C12" w:rsidRDefault="0074457B" w:rsidP="0074457B">
            <w:pPr>
              <w:rPr>
                <w:rFonts w:ascii="Garamond" w:hAnsi="Garamond"/>
                <w:sz w:val="22"/>
                <w:szCs w:val="22"/>
              </w:rPr>
            </w:pPr>
          </w:p>
        </w:tc>
        <w:tc>
          <w:tcPr>
            <w:tcW w:w="1592" w:type="dxa"/>
          </w:tcPr>
          <w:p w14:paraId="12E98C04"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Allegany</w:t>
            </w:r>
          </w:p>
        </w:tc>
        <w:tc>
          <w:tcPr>
            <w:tcW w:w="2762" w:type="dxa"/>
            <w:noWrap/>
            <w:hideMark/>
          </w:tcPr>
          <w:p w14:paraId="24AD201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58%</w:t>
            </w:r>
          </w:p>
        </w:tc>
        <w:tc>
          <w:tcPr>
            <w:tcW w:w="1348" w:type="dxa"/>
            <w:noWrap/>
            <w:hideMark/>
          </w:tcPr>
          <w:p w14:paraId="20B4D36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139</w:t>
            </w:r>
          </w:p>
        </w:tc>
        <w:tc>
          <w:tcPr>
            <w:tcW w:w="2535" w:type="dxa"/>
            <w:noWrap/>
            <w:hideMark/>
          </w:tcPr>
          <w:p w14:paraId="541E96A4"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w:t>
            </w:r>
          </w:p>
        </w:tc>
      </w:tr>
      <w:tr w:rsidR="0074457B" w:rsidRPr="004A0C12" w14:paraId="526260CA"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13C73577" w14:textId="77777777" w:rsidR="0074457B" w:rsidRPr="004A0C12" w:rsidRDefault="0074457B" w:rsidP="0074457B">
            <w:pPr>
              <w:rPr>
                <w:rFonts w:ascii="Garamond" w:hAnsi="Garamond"/>
                <w:sz w:val="22"/>
                <w:szCs w:val="22"/>
              </w:rPr>
            </w:pPr>
          </w:p>
        </w:tc>
        <w:tc>
          <w:tcPr>
            <w:tcW w:w="1592" w:type="dxa"/>
          </w:tcPr>
          <w:p w14:paraId="5C5ACA61"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Dorchester</w:t>
            </w:r>
          </w:p>
        </w:tc>
        <w:tc>
          <w:tcPr>
            <w:tcW w:w="2762" w:type="dxa"/>
            <w:noWrap/>
            <w:hideMark/>
          </w:tcPr>
          <w:p w14:paraId="2212D54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54%</w:t>
            </w:r>
          </w:p>
        </w:tc>
        <w:tc>
          <w:tcPr>
            <w:tcW w:w="1348" w:type="dxa"/>
            <w:noWrap/>
            <w:hideMark/>
          </w:tcPr>
          <w:p w14:paraId="478C460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90</w:t>
            </w:r>
          </w:p>
        </w:tc>
        <w:tc>
          <w:tcPr>
            <w:tcW w:w="2535" w:type="dxa"/>
            <w:noWrap/>
            <w:hideMark/>
          </w:tcPr>
          <w:p w14:paraId="6B6665F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w:t>
            </w:r>
          </w:p>
        </w:tc>
      </w:tr>
      <w:tr w:rsidR="0074457B" w:rsidRPr="004A0C12" w14:paraId="729CF621" w14:textId="77777777" w:rsidTr="00900002">
        <w:trPr>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2327F7BB" w14:textId="77777777" w:rsidR="0074457B" w:rsidRPr="004A0C12" w:rsidRDefault="0074457B" w:rsidP="0074457B">
            <w:pPr>
              <w:rPr>
                <w:rFonts w:ascii="Garamond" w:hAnsi="Garamond"/>
                <w:sz w:val="22"/>
                <w:szCs w:val="22"/>
              </w:rPr>
            </w:pPr>
          </w:p>
        </w:tc>
        <w:tc>
          <w:tcPr>
            <w:tcW w:w="1592" w:type="dxa"/>
          </w:tcPr>
          <w:p w14:paraId="4F578C50"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Caroline</w:t>
            </w:r>
          </w:p>
        </w:tc>
        <w:tc>
          <w:tcPr>
            <w:tcW w:w="2762" w:type="dxa"/>
            <w:noWrap/>
            <w:hideMark/>
          </w:tcPr>
          <w:p w14:paraId="6CAEA88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79%</w:t>
            </w:r>
          </w:p>
        </w:tc>
        <w:tc>
          <w:tcPr>
            <w:tcW w:w="1348" w:type="dxa"/>
            <w:noWrap/>
            <w:hideMark/>
          </w:tcPr>
          <w:p w14:paraId="03856B71"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117</w:t>
            </w:r>
          </w:p>
        </w:tc>
        <w:tc>
          <w:tcPr>
            <w:tcW w:w="2535" w:type="dxa"/>
            <w:noWrap/>
            <w:hideMark/>
          </w:tcPr>
          <w:p w14:paraId="30777A56"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w:t>
            </w:r>
          </w:p>
        </w:tc>
      </w:tr>
      <w:tr w:rsidR="0074457B" w:rsidRPr="004A0C12" w14:paraId="77F6753A"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0A9B355F" w14:textId="77777777" w:rsidR="0074457B" w:rsidRPr="004A0C12" w:rsidRDefault="0074457B" w:rsidP="0074457B">
            <w:pPr>
              <w:rPr>
                <w:rFonts w:ascii="Garamond" w:hAnsi="Garamond"/>
                <w:sz w:val="22"/>
                <w:szCs w:val="22"/>
              </w:rPr>
            </w:pPr>
          </w:p>
        </w:tc>
        <w:tc>
          <w:tcPr>
            <w:tcW w:w="1592" w:type="dxa"/>
          </w:tcPr>
          <w:p w14:paraId="7F5B27D8"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Carroll</w:t>
            </w:r>
          </w:p>
        </w:tc>
        <w:tc>
          <w:tcPr>
            <w:tcW w:w="2762" w:type="dxa"/>
            <w:noWrap/>
            <w:hideMark/>
          </w:tcPr>
          <w:p w14:paraId="67147B5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56%</w:t>
            </w:r>
          </w:p>
        </w:tc>
        <w:tc>
          <w:tcPr>
            <w:tcW w:w="1348" w:type="dxa"/>
            <w:noWrap/>
            <w:hideMark/>
          </w:tcPr>
          <w:p w14:paraId="17CD55D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106</w:t>
            </w:r>
          </w:p>
        </w:tc>
        <w:tc>
          <w:tcPr>
            <w:tcW w:w="2535" w:type="dxa"/>
            <w:noWrap/>
            <w:hideMark/>
          </w:tcPr>
          <w:p w14:paraId="3B639FC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36</w:t>
            </w:r>
          </w:p>
        </w:tc>
      </w:tr>
      <w:tr w:rsidR="0074457B" w:rsidRPr="004A0C12" w14:paraId="6B4A1EDB" w14:textId="77777777" w:rsidTr="00900002">
        <w:trPr>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44FC38A4" w14:textId="77777777" w:rsidR="0074457B" w:rsidRPr="004A0C12" w:rsidRDefault="0074457B" w:rsidP="0074457B">
            <w:pPr>
              <w:rPr>
                <w:rFonts w:ascii="Garamond" w:hAnsi="Garamond"/>
                <w:sz w:val="22"/>
                <w:szCs w:val="22"/>
              </w:rPr>
            </w:pPr>
          </w:p>
        </w:tc>
        <w:tc>
          <w:tcPr>
            <w:tcW w:w="1592" w:type="dxa"/>
          </w:tcPr>
          <w:p w14:paraId="1B15CE1D"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Somerset</w:t>
            </w:r>
          </w:p>
        </w:tc>
        <w:tc>
          <w:tcPr>
            <w:tcW w:w="2762" w:type="dxa"/>
            <w:noWrap/>
            <w:hideMark/>
          </w:tcPr>
          <w:p w14:paraId="2E90DC8B"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54%</w:t>
            </w:r>
          </w:p>
        </w:tc>
        <w:tc>
          <w:tcPr>
            <w:tcW w:w="1348" w:type="dxa"/>
            <w:noWrap/>
            <w:hideMark/>
          </w:tcPr>
          <w:p w14:paraId="0669883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128</w:t>
            </w:r>
          </w:p>
        </w:tc>
        <w:tc>
          <w:tcPr>
            <w:tcW w:w="2535" w:type="dxa"/>
            <w:noWrap/>
            <w:hideMark/>
          </w:tcPr>
          <w:p w14:paraId="199B063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19</w:t>
            </w:r>
          </w:p>
        </w:tc>
      </w:tr>
      <w:tr w:rsidR="0074457B" w:rsidRPr="004A0C12" w14:paraId="2803D82D"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158E9E37" w14:textId="77777777" w:rsidR="0074457B" w:rsidRPr="004A0C12" w:rsidRDefault="0074457B" w:rsidP="0074457B">
            <w:pPr>
              <w:rPr>
                <w:rFonts w:ascii="Garamond" w:hAnsi="Garamond"/>
                <w:sz w:val="22"/>
                <w:szCs w:val="22"/>
              </w:rPr>
            </w:pPr>
          </w:p>
        </w:tc>
        <w:tc>
          <w:tcPr>
            <w:tcW w:w="1592" w:type="dxa"/>
          </w:tcPr>
          <w:p w14:paraId="1B5851C4"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Queen Anne's</w:t>
            </w:r>
          </w:p>
        </w:tc>
        <w:tc>
          <w:tcPr>
            <w:tcW w:w="2762" w:type="dxa"/>
            <w:noWrap/>
            <w:hideMark/>
          </w:tcPr>
          <w:p w14:paraId="26457F02"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67%</w:t>
            </w:r>
          </w:p>
        </w:tc>
        <w:tc>
          <w:tcPr>
            <w:tcW w:w="1348" w:type="dxa"/>
            <w:noWrap/>
            <w:hideMark/>
          </w:tcPr>
          <w:p w14:paraId="5326290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70</w:t>
            </w:r>
          </w:p>
        </w:tc>
        <w:tc>
          <w:tcPr>
            <w:tcW w:w="2535" w:type="dxa"/>
            <w:noWrap/>
            <w:hideMark/>
          </w:tcPr>
          <w:p w14:paraId="7A01897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w:t>
            </w:r>
          </w:p>
        </w:tc>
      </w:tr>
      <w:tr w:rsidR="0074457B" w:rsidRPr="004A0C12" w14:paraId="24830F44" w14:textId="77777777" w:rsidTr="00900002">
        <w:trPr>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3688FB82" w14:textId="77777777" w:rsidR="0074457B" w:rsidRPr="004A0C12" w:rsidRDefault="0074457B" w:rsidP="0074457B">
            <w:pPr>
              <w:rPr>
                <w:rFonts w:ascii="Garamond" w:hAnsi="Garamond"/>
                <w:sz w:val="22"/>
                <w:szCs w:val="22"/>
              </w:rPr>
            </w:pPr>
          </w:p>
        </w:tc>
        <w:tc>
          <w:tcPr>
            <w:tcW w:w="1592" w:type="dxa"/>
          </w:tcPr>
          <w:p w14:paraId="402576CE"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Calvert</w:t>
            </w:r>
          </w:p>
        </w:tc>
        <w:tc>
          <w:tcPr>
            <w:tcW w:w="2762" w:type="dxa"/>
            <w:noWrap/>
            <w:hideMark/>
          </w:tcPr>
          <w:p w14:paraId="784B88BC"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68%</w:t>
            </w:r>
          </w:p>
        </w:tc>
        <w:tc>
          <w:tcPr>
            <w:tcW w:w="1348" w:type="dxa"/>
            <w:noWrap/>
            <w:hideMark/>
          </w:tcPr>
          <w:p w14:paraId="04C99494"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108</w:t>
            </w:r>
          </w:p>
        </w:tc>
        <w:tc>
          <w:tcPr>
            <w:tcW w:w="2535" w:type="dxa"/>
            <w:noWrap/>
            <w:hideMark/>
          </w:tcPr>
          <w:p w14:paraId="4455A40B"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25</w:t>
            </w:r>
          </w:p>
        </w:tc>
      </w:tr>
      <w:tr w:rsidR="0074457B" w:rsidRPr="004A0C12" w14:paraId="2D40789D"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tcPr>
          <w:p w14:paraId="52ED724D" w14:textId="77777777" w:rsidR="0074457B" w:rsidRPr="004A0C12" w:rsidRDefault="0074457B" w:rsidP="0074457B">
            <w:pPr>
              <w:rPr>
                <w:rFonts w:ascii="Garamond" w:hAnsi="Garamond"/>
                <w:sz w:val="22"/>
                <w:szCs w:val="22"/>
              </w:rPr>
            </w:pPr>
          </w:p>
        </w:tc>
        <w:tc>
          <w:tcPr>
            <w:tcW w:w="1592" w:type="dxa"/>
          </w:tcPr>
          <w:p w14:paraId="7A46E29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sz w:val="22"/>
                <w:szCs w:val="22"/>
              </w:rPr>
              <w:t>Worcester</w:t>
            </w:r>
          </w:p>
        </w:tc>
        <w:tc>
          <w:tcPr>
            <w:tcW w:w="2762" w:type="dxa"/>
            <w:noWrap/>
            <w:hideMark/>
          </w:tcPr>
          <w:p w14:paraId="0C6EB26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73%</w:t>
            </w:r>
          </w:p>
        </w:tc>
        <w:tc>
          <w:tcPr>
            <w:tcW w:w="1348" w:type="dxa"/>
            <w:noWrap/>
            <w:hideMark/>
          </w:tcPr>
          <w:p w14:paraId="0DBF48F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67</w:t>
            </w:r>
          </w:p>
        </w:tc>
        <w:tc>
          <w:tcPr>
            <w:tcW w:w="2535" w:type="dxa"/>
            <w:noWrap/>
            <w:hideMark/>
          </w:tcPr>
          <w:p w14:paraId="7E5F68B2"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w:t>
            </w:r>
          </w:p>
        </w:tc>
      </w:tr>
      <w:tr w:rsidR="0074457B" w:rsidRPr="004A0C12" w14:paraId="67DC9C8D" w14:textId="77777777" w:rsidTr="00900002">
        <w:trPr>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tcPr>
          <w:p w14:paraId="1D5FF3EE" w14:textId="77777777" w:rsidR="0074457B" w:rsidRPr="004A0C12" w:rsidRDefault="0074457B" w:rsidP="0074457B">
            <w:pPr>
              <w:rPr>
                <w:rFonts w:ascii="Garamond" w:hAnsi="Garamond"/>
                <w:sz w:val="22"/>
                <w:szCs w:val="22"/>
              </w:rPr>
            </w:pPr>
          </w:p>
        </w:tc>
        <w:tc>
          <w:tcPr>
            <w:tcW w:w="1592" w:type="dxa"/>
          </w:tcPr>
          <w:p w14:paraId="051DC396"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b/>
                <w:bCs/>
                <w:sz w:val="22"/>
                <w:szCs w:val="22"/>
              </w:rPr>
            </w:pPr>
            <w:r w:rsidRPr="004A0C12">
              <w:rPr>
                <w:rFonts w:ascii="Garamond" w:hAnsi="Garamond"/>
                <w:sz w:val="22"/>
                <w:szCs w:val="22"/>
              </w:rPr>
              <w:t>Garrett</w:t>
            </w:r>
          </w:p>
        </w:tc>
        <w:tc>
          <w:tcPr>
            <w:tcW w:w="2762" w:type="dxa"/>
            <w:noWrap/>
            <w:hideMark/>
          </w:tcPr>
          <w:p w14:paraId="61E507F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55%</w:t>
            </w:r>
          </w:p>
        </w:tc>
        <w:tc>
          <w:tcPr>
            <w:tcW w:w="1348" w:type="dxa"/>
            <w:noWrap/>
            <w:hideMark/>
          </w:tcPr>
          <w:p w14:paraId="2A6F6A98"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35</w:t>
            </w:r>
          </w:p>
        </w:tc>
        <w:tc>
          <w:tcPr>
            <w:tcW w:w="2535" w:type="dxa"/>
            <w:noWrap/>
            <w:hideMark/>
          </w:tcPr>
          <w:p w14:paraId="0F591739"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w:t>
            </w:r>
          </w:p>
        </w:tc>
      </w:tr>
      <w:tr w:rsidR="0074457B" w:rsidRPr="004A0C12" w14:paraId="38E4F4DD" w14:textId="77777777" w:rsidTr="009000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156ECBEE" w14:textId="77777777" w:rsidR="0074457B" w:rsidRPr="004A0C12" w:rsidRDefault="0074457B" w:rsidP="0074457B">
            <w:pPr>
              <w:rPr>
                <w:rFonts w:ascii="Garamond" w:hAnsi="Garamond"/>
                <w:sz w:val="22"/>
                <w:szCs w:val="22"/>
              </w:rPr>
            </w:pPr>
          </w:p>
        </w:tc>
        <w:tc>
          <w:tcPr>
            <w:tcW w:w="1592" w:type="dxa"/>
          </w:tcPr>
          <w:p w14:paraId="569222DB"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Talbot</w:t>
            </w:r>
          </w:p>
        </w:tc>
        <w:tc>
          <w:tcPr>
            <w:tcW w:w="2762" w:type="dxa"/>
            <w:noWrap/>
            <w:hideMark/>
          </w:tcPr>
          <w:p w14:paraId="3F500AA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33%</w:t>
            </w:r>
          </w:p>
        </w:tc>
        <w:tc>
          <w:tcPr>
            <w:tcW w:w="1348" w:type="dxa"/>
            <w:noWrap/>
            <w:hideMark/>
          </w:tcPr>
          <w:p w14:paraId="7CB522A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w:t>
            </w:r>
          </w:p>
        </w:tc>
        <w:tc>
          <w:tcPr>
            <w:tcW w:w="2535" w:type="dxa"/>
            <w:noWrap/>
            <w:hideMark/>
          </w:tcPr>
          <w:p w14:paraId="4C000C4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22</w:t>
            </w:r>
          </w:p>
        </w:tc>
      </w:tr>
      <w:tr w:rsidR="0074457B" w:rsidRPr="004A0C12" w14:paraId="627630E9" w14:textId="77777777" w:rsidTr="00900002">
        <w:trPr>
          <w:trHeight w:val="316"/>
        </w:trPr>
        <w:tc>
          <w:tcPr>
            <w:cnfStyle w:val="001000000000" w:firstRow="0" w:lastRow="0" w:firstColumn="1" w:lastColumn="0" w:oddVBand="0" w:evenVBand="0" w:oddHBand="0" w:evenHBand="0" w:firstRowFirstColumn="0" w:firstRowLastColumn="0" w:lastRowFirstColumn="0" w:lastRowLastColumn="0"/>
            <w:tcW w:w="2381" w:type="dxa"/>
            <w:gridSpan w:val="2"/>
            <w:noWrap/>
            <w:hideMark/>
          </w:tcPr>
          <w:p w14:paraId="429284AC" w14:textId="77777777" w:rsidR="0074457B" w:rsidRPr="004A0C12" w:rsidRDefault="0074457B" w:rsidP="0074457B">
            <w:pPr>
              <w:rPr>
                <w:rFonts w:ascii="Garamond" w:hAnsi="Garamond"/>
                <w:sz w:val="22"/>
                <w:szCs w:val="22"/>
              </w:rPr>
            </w:pPr>
          </w:p>
        </w:tc>
        <w:tc>
          <w:tcPr>
            <w:tcW w:w="1592" w:type="dxa"/>
          </w:tcPr>
          <w:p w14:paraId="09F891C8"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Kent</w:t>
            </w:r>
          </w:p>
        </w:tc>
        <w:tc>
          <w:tcPr>
            <w:tcW w:w="2762" w:type="dxa"/>
            <w:noWrap/>
            <w:hideMark/>
          </w:tcPr>
          <w:p w14:paraId="1FFD4A39"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57%</w:t>
            </w:r>
          </w:p>
        </w:tc>
        <w:tc>
          <w:tcPr>
            <w:tcW w:w="1348" w:type="dxa"/>
            <w:noWrap/>
            <w:hideMark/>
          </w:tcPr>
          <w:p w14:paraId="531538C2"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74</w:t>
            </w:r>
          </w:p>
        </w:tc>
        <w:tc>
          <w:tcPr>
            <w:tcW w:w="2535" w:type="dxa"/>
            <w:noWrap/>
            <w:hideMark/>
          </w:tcPr>
          <w:p w14:paraId="702F5253"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w:t>
            </w:r>
          </w:p>
        </w:tc>
      </w:tr>
      <w:tr w:rsidR="0074457B" w:rsidRPr="004A0C12" w14:paraId="39F42C20" w14:textId="77777777" w:rsidTr="0090000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973" w:type="dxa"/>
            <w:gridSpan w:val="3"/>
            <w:noWrap/>
            <w:hideMark/>
          </w:tcPr>
          <w:p w14:paraId="6B3F5719" w14:textId="77777777" w:rsidR="0074457B" w:rsidRPr="004A0C12" w:rsidRDefault="0074457B" w:rsidP="0074457B">
            <w:pPr>
              <w:rPr>
                <w:rFonts w:ascii="Garamond" w:hAnsi="Garamond"/>
                <w:b w:val="0"/>
                <w:bCs w:val="0"/>
                <w:sz w:val="22"/>
                <w:szCs w:val="22"/>
              </w:rPr>
            </w:pPr>
          </w:p>
          <w:p w14:paraId="77FD4EF8" w14:textId="77777777" w:rsidR="0074457B" w:rsidRPr="004A0C12" w:rsidRDefault="0074457B" w:rsidP="0074457B">
            <w:pPr>
              <w:rPr>
                <w:rFonts w:ascii="Garamond" w:hAnsi="Garamond"/>
                <w:b w:val="0"/>
                <w:bCs w:val="0"/>
                <w:sz w:val="22"/>
                <w:szCs w:val="22"/>
              </w:rPr>
            </w:pPr>
            <w:r w:rsidRPr="004A0C12">
              <w:rPr>
                <w:rFonts w:ascii="Garamond" w:hAnsi="Garamond"/>
                <w:b w:val="0"/>
                <w:bCs w:val="0"/>
                <w:sz w:val="22"/>
                <w:szCs w:val="22"/>
              </w:rPr>
              <w:t>MARYLAND</w:t>
            </w:r>
          </w:p>
        </w:tc>
        <w:tc>
          <w:tcPr>
            <w:tcW w:w="2762" w:type="dxa"/>
            <w:noWrap/>
            <w:hideMark/>
          </w:tcPr>
          <w:p w14:paraId="4BCB67B8"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p>
          <w:p w14:paraId="5556DFC6"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55%</w:t>
            </w:r>
          </w:p>
        </w:tc>
        <w:tc>
          <w:tcPr>
            <w:tcW w:w="1348" w:type="dxa"/>
            <w:noWrap/>
            <w:hideMark/>
          </w:tcPr>
          <w:p w14:paraId="00D39848"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p>
          <w:p w14:paraId="5085C478"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13,115</w:t>
            </w:r>
          </w:p>
        </w:tc>
        <w:tc>
          <w:tcPr>
            <w:tcW w:w="2535" w:type="dxa"/>
            <w:noWrap/>
            <w:hideMark/>
          </w:tcPr>
          <w:p w14:paraId="36CEFFE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p>
          <w:p w14:paraId="3E3CB4E3"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3126</w:t>
            </w:r>
          </w:p>
        </w:tc>
      </w:tr>
    </w:tbl>
    <w:p w14:paraId="674DA249" w14:textId="77777777" w:rsidR="0074457B" w:rsidRPr="004A0C12" w:rsidRDefault="0074457B" w:rsidP="0074457B">
      <w:pPr>
        <w:pStyle w:val="FreeForm"/>
        <w:rPr>
          <w:rFonts w:ascii="Garamond" w:hAnsi="Garamond"/>
          <w:sz w:val="22"/>
          <w:szCs w:val="22"/>
        </w:rPr>
      </w:pPr>
    </w:p>
    <w:p w14:paraId="2857C27B" w14:textId="77777777" w:rsidR="0074457B" w:rsidRPr="004A0C12" w:rsidRDefault="0074457B" w:rsidP="0074457B">
      <w:pPr>
        <w:pStyle w:val="FreeForm"/>
        <w:jc w:val="center"/>
        <w:rPr>
          <w:rFonts w:ascii="Garamond" w:hAnsi="Garamond"/>
          <w:sz w:val="22"/>
          <w:szCs w:val="22"/>
        </w:rPr>
      </w:pPr>
    </w:p>
    <w:p w14:paraId="49CCBB1B" w14:textId="77777777" w:rsidR="0074457B" w:rsidRPr="004A0C12" w:rsidRDefault="0074457B" w:rsidP="0074457B">
      <w:pPr>
        <w:spacing w:after="0" w:line="240" w:lineRule="auto"/>
        <w:rPr>
          <w:rFonts w:ascii="Garamond" w:hAnsi="Garamond"/>
        </w:rPr>
      </w:pPr>
    </w:p>
    <w:p w14:paraId="1992CB79" w14:textId="77777777" w:rsidR="0054168E" w:rsidRPr="004A0C12" w:rsidRDefault="0054168E" w:rsidP="0074457B">
      <w:pPr>
        <w:spacing w:after="0" w:line="240" w:lineRule="auto"/>
        <w:rPr>
          <w:rFonts w:ascii="Garamond" w:hAnsi="Garamond"/>
        </w:rPr>
      </w:pPr>
    </w:p>
    <w:p w14:paraId="2F94AFB5" w14:textId="77777777" w:rsidR="0054168E" w:rsidRPr="004A0C12" w:rsidRDefault="0054168E" w:rsidP="0074457B">
      <w:pPr>
        <w:spacing w:after="0" w:line="240" w:lineRule="auto"/>
        <w:rPr>
          <w:rFonts w:ascii="Garamond" w:hAnsi="Garamond"/>
        </w:rPr>
      </w:pPr>
    </w:p>
    <w:p w14:paraId="30368F42" w14:textId="77777777" w:rsidR="00900002" w:rsidRPr="004A0C12" w:rsidRDefault="00900002" w:rsidP="0074457B">
      <w:pPr>
        <w:spacing w:after="0" w:line="240" w:lineRule="auto"/>
        <w:rPr>
          <w:rFonts w:ascii="Garamond" w:hAnsi="Garamond"/>
        </w:rPr>
      </w:pPr>
    </w:p>
    <w:p w14:paraId="382291DF" w14:textId="77777777" w:rsidR="00900002" w:rsidRPr="004A0C12" w:rsidRDefault="00900002" w:rsidP="0074457B">
      <w:pPr>
        <w:spacing w:after="0" w:line="240" w:lineRule="auto"/>
        <w:rPr>
          <w:rFonts w:ascii="Garamond" w:hAnsi="Garamond"/>
        </w:rPr>
      </w:pPr>
    </w:p>
    <w:tbl>
      <w:tblPr>
        <w:tblStyle w:val="PlainTable11"/>
        <w:tblW w:w="10738" w:type="dxa"/>
        <w:tblLook w:val="04A0" w:firstRow="1" w:lastRow="0" w:firstColumn="1" w:lastColumn="0" w:noHBand="0" w:noVBand="1"/>
        <w:tblCaption w:val="TANF Federal Fiscal Year 2015 Aggregate Scores At-A-Glance"/>
        <w:tblDescription w:val="This chart provides the TANF Federal Fiscal Year 2015 aggregate performance scores at a glance. "/>
      </w:tblPr>
      <w:tblGrid>
        <w:gridCol w:w="2629"/>
        <w:gridCol w:w="24"/>
        <w:gridCol w:w="1572"/>
        <w:gridCol w:w="2726"/>
        <w:gridCol w:w="1331"/>
        <w:gridCol w:w="2456"/>
      </w:tblGrid>
      <w:tr w:rsidR="0074457B" w:rsidRPr="004A0C12" w14:paraId="1514B425" w14:textId="77777777" w:rsidTr="008B1D9A">
        <w:trPr>
          <w:cnfStyle w:val="100000000000" w:firstRow="1" w:lastRow="0" w:firstColumn="0" w:lastColumn="0" w:oddVBand="0" w:evenVBand="0" w:oddHBand="0" w:evenHBand="0" w:firstRowFirstColumn="0" w:firstRowLastColumn="0" w:lastRowFirstColumn="0" w:lastRowLastColumn="0"/>
          <w:trHeight w:val="332"/>
          <w:tblHeader/>
        </w:trPr>
        <w:tc>
          <w:tcPr>
            <w:cnfStyle w:val="001000000000" w:firstRow="0" w:lastRow="0" w:firstColumn="1" w:lastColumn="0" w:oddVBand="0" w:evenVBand="0" w:oddHBand="0" w:evenHBand="0" w:firstRowFirstColumn="0" w:firstRowLastColumn="0" w:lastRowFirstColumn="0" w:lastRowLastColumn="0"/>
            <w:tcW w:w="10738" w:type="dxa"/>
            <w:gridSpan w:val="6"/>
            <w:noWrap/>
            <w:hideMark/>
          </w:tcPr>
          <w:p w14:paraId="4E32CD27" w14:textId="77777777" w:rsidR="0074457B" w:rsidRPr="004A0C12" w:rsidRDefault="0074457B" w:rsidP="0074457B">
            <w:pPr>
              <w:jc w:val="center"/>
              <w:rPr>
                <w:rFonts w:ascii="Garamond" w:hAnsi="Garamond"/>
                <w:bCs w:val="0"/>
                <w:sz w:val="22"/>
                <w:szCs w:val="22"/>
              </w:rPr>
            </w:pPr>
            <w:r w:rsidRPr="004A0C12">
              <w:rPr>
                <w:rFonts w:ascii="Garamond" w:hAnsi="Garamond"/>
                <w:bCs w:val="0"/>
                <w:sz w:val="22"/>
                <w:szCs w:val="22"/>
              </w:rPr>
              <w:lastRenderedPageBreak/>
              <w:t xml:space="preserve">Temporary Assistance for Needy Families </w:t>
            </w:r>
          </w:p>
          <w:p w14:paraId="0DF542EA" w14:textId="77777777" w:rsidR="0074457B" w:rsidRPr="004A0C12" w:rsidRDefault="0074457B" w:rsidP="0074457B">
            <w:pPr>
              <w:jc w:val="center"/>
              <w:rPr>
                <w:rFonts w:ascii="Garamond" w:hAnsi="Garamond"/>
                <w:b w:val="0"/>
                <w:bCs w:val="0"/>
                <w:sz w:val="22"/>
                <w:szCs w:val="22"/>
              </w:rPr>
            </w:pPr>
            <w:r w:rsidRPr="004A0C12">
              <w:rPr>
                <w:rFonts w:ascii="Garamond" w:hAnsi="Garamond"/>
                <w:bCs w:val="0"/>
                <w:sz w:val="22"/>
                <w:szCs w:val="22"/>
              </w:rPr>
              <w:t>Federal Fiscal Year 2015 Aggregate Scores At-A-Glance</w:t>
            </w:r>
          </w:p>
        </w:tc>
      </w:tr>
      <w:tr w:rsidR="0074457B" w:rsidRPr="004A0C12" w14:paraId="0A9B4CCB" w14:textId="77777777" w:rsidTr="008B1D9A">
        <w:trPr>
          <w:cnfStyle w:val="000000100000" w:firstRow="0" w:lastRow="0" w:firstColumn="0" w:lastColumn="0" w:oddVBand="0" w:evenVBand="0" w:oddHBand="1" w:evenHBand="0" w:firstRowFirstColumn="0" w:firstRowLastColumn="0" w:lastRowFirstColumn="0" w:lastRowLastColumn="0"/>
          <w:trHeight w:val="922"/>
        </w:trPr>
        <w:tc>
          <w:tcPr>
            <w:cnfStyle w:val="001000000000" w:firstRow="0" w:lastRow="0" w:firstColumn="1" w:lastColumn="0" w:oddVBand="0" w:evenVBand="0" w:oddHBand="0" w:evenHBand="0" w:firstRowFirstColumn="0" w:firstRowLastColumn="0" w:lastRowFirstColumn="0" w:lastRowLastColumn="0"/>
            <w:tcW w:w="4225" w:type="dxa"/>
            <w:gridSpan w:val="3"/>
            <w:hideMark/>
          </w:tcPr>
          <w:p w14:paraId="564FBE91" w14:textId="77777777" w:rsidR="0074457B" w:rsidRPr="004A0C12" w:rsidRDefault="0074457B" w:rsidP="0074457B">
            <w:pPr>
              <w:jc w:val="center"/>
              <w:rPr>
                <w:rFonts w:ascii="Garamond" w:hAnsi="Garamond"/>
                <w:b w:val="0"/>
                <w:bCs w:val="0"/>
                <w:sz w:val="22"/>
                <w:szCs w:val="22"/>
              </w:rPr>
            </w:pPr>
            <w:r w:rsidRPr="004A0C12">
              <w:rPr>
                <w:rFonts w:ascii="Garamond" w:hAnsi="Garamond"/>
                <w:b w:val="0"/>
                <w:bCs w:val="0"/>
                <w:sz w:val="22"/>
                <w:szCs w:val="22"/>
              </w:rPr>
              <w:t>Jurisdiction </w:t>
            </w:r>
          </w:p>
        </w:tc>
        <w:tc>
          <w:tcPr>
            <w:tcW w:w="2726" w:type="dxa"/>
            <w:hideMark/>
          </w:tcPr>
          <w:p w14:paraId="4C4E9352"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 xml:space="preserve"> Work Participation Rate</w:t>
            </w:r>
          </w:p>
        </w:tc>
        <w:tc>
          <w:tcPr>
            <w:tcW w:w="1331" w:type="dxa"/>
            <w:hideMark/>
          </w:tcPr>
          <w:p w14:paraId="7D76980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Total Job Placements</w:t>
            </w:r>
          </w:p>
        </w:tc>
        <w:tc>
          <w:tcPr>
            <w:tcW w:w="2456" w:type="dxa"/>
            <w:hideMark/>
          </w:tcPr>
          <w:p w14:paraId="49B39D03" w14:textId="69699BCF" w:rsidR="0074457B" w:rsidRPr="004A0C12" w:rsidRDefault="00900002"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 xml:space="preserve"> Total Full-T</w:t>
            </w:r>
            <w:r w:rsidR="0074457B" w:rsidRPr="004A0C12">
              <w:rPr>
                <w:rFonts w:ascii="Garamond" w:hAnsi="Garamond"/>
                <w:b/>
                <w:bCs/>
                <w:sz w:val="22"/>
                <w:szCs w:val="22"/>
              </w:rPr>
              <w:t>ime $10/</w:t>
            </w:r>
            <w:r w:rsidR="00B157E4" w:rsidRPr="004A0C12">
              <w:rPr>
                <w:rFonts w:ascii="Garamond" w:hAnsi="Garamond"/>
                <w:b/>
                <w:bCs/>
                <w:sz w:val="22"/>
                <w:szCs w:val="22"/>
              </w:rPr>
              <w:t>hr.</w:t>
            </w:r>
            <w:r w:rsidR="0074457B" w:rsidRPr="004A0C12">
              <w:rPr>
                <w:rFonts w:ascii="Garamond" w:hAnsi="Garamond"/>
                <w:b/>
                <w:bCs/>
                <w:sz w:val="22"/>
                <w:szCs w:val="22"/>
              </w:rPr>
              <w:t xml:space="preserve"> Job Placements</w:t>
            </w:r>
          </w:p>
        </w:tc>
      </w:tr>
      <w:tr w:rsidR="0074457B" w:rsidRPr="004A0C12" w14:paraId="0D3F4415" w14:textId="77777777" w:rsidTr="008B1D9A">
        <w:trPr>
          <w:trHeight w:val="317"/>
        </w:trPr>
        <w:tc>
          <w:tcPr>
            <w:cnfStyle w:val="001000000000" w:firstRow="0" w:lastRow="0" w:firstColumn="1" w:lastColumn="0" w:oddVBand="0" w:evenVBand="0" w:oddHBand="0" w:evenHBand="0" w:firstRowFirstColumn="0" w:firstRowLastColumn="0" w:lastRowFirstColumn="0" w:lastRowLastColumn="0"/>
            <w:tcW w:w="10738" w:type="dxa"/>
            <w:gridSpan w:val="6"/>
            <w:noWrap/>
            <w:hideMark/>
          </w:tcPr>
          <w:p w14:paraId="02DDACEA" w14:textId="77777777" w:rsidR="0074457B" w:rsidRPr="004A0C12" w:rsidRDefault="0074457B" w:rsidP="0074457B">
            <w:pPr>
              <w:rPr>
                <w:rFonts w:ascii="Garamond" w:hAnsi="Garamond"/>
                <w:sz w:val="22"/>
                <w:szCs w:val="22"/>
              </w:rPr>
            </w:pPr>
            <w:r w:rsidRPr="004A0C12">
              <w:rPr>
                <w:rFonts w:ascii="Garamond" w:hAnsi="Garamond"/>
                <w:b w:val="0"/>
                <w:bCs w:val="0"/>
                <w:sz w:val="22"/>
                <w:szCs w:val="22"/>
              </w:rPr>
              <w:t>Large Counties  </w:t>
            </w:r>
          </w:p>
        </w:tc>
      </w:tr>
      <w:tr w:rsidR="0074457B" w:rsidRPr="004A0C12" w14:paraId="6086A90D"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29" w:type="dxa"/>
            <w:noWrap/>
            <w:hideMark/>
          </w:tcPr>
          <w:p w14:paraId="4F23A083" w14:textId="77777777" w:rsidR="0074457B" w:rsidRPr="004A0C12" w:rsidRDefault="0074457B" w:rsidP="0074457B">
            <w:pPr>
              <w:rPr>
                <w:rFonts w:ascii="Garamond" w:hAnsi="Garamond"/>
                <w:b w:val="0"/>
                <w:bCs w:val="0"/>
                <w:sz w:val="22"/>
                <w:szCs w:val="22"/>
              </w:rPr>
            </w:pPr>
          </w:p>
        </w:tc>
        <w:tc>
          <w:tcPr>
            <w:tcW w:w="1596" w:type="dxa"/>
            <w:gridSpan w:val="2"/>
          </w:tcPr>
          <w:p w14:paraId="24D1ABFB"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Baltimore City</w:t>
            </w:r>
          </w:p>
        </w:tc>
        <w:tc>
          <w:tcPr>
            <w:tcW w:w="2726" w:type="dxa"/>
            <w:noWrap/>
          </w:tcPr>
          <w:p w14:paraId="1ABF840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52%</w:t>
            </w:r>
          </w:p>
        </w:tc>
        <w:tc>
          <w:tcPr>
            <w:tcW w:w="1331" w:type="dxa"/>
            <w:noWrap/>
          </w:tcPr>
          <w:p w14:paraId="403954E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5572</w:t>
            </w:r>
          </w:p>
        </w:tc>
        <w:tc>
          <w:tcPr>
            <w:tcW w:w="2456" w:type="dxa"/>
            <w:noWrap/>
          </w:tcPr>
          <w:p w14:paraId="727A7FD3"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1301</w:t>
            </w:r>
          </w:p>
        </w:tc>
      </w:tr>
      <w:tr w:rsidR="0074457B" w:rsidRPr="004A0C12" w14:paraId="1BB6DD66" w14:textId="77777777" w:rsidTr="008B1D9A">
        <w:trPr>
          <w:trHeight w:val="302"/>
        </w:trPr>
        <w:tc>
          <w:tcPr>
            <w:cnfStyle w:val="001000000000" w:firstRow="0" w:lastRow="0" w:firstColumn="1" w:lastColumn="0" w:oddVBand="0" w:evenVBand="0" w:oddHBand="0" w:evenHBand="0" w:firstRowFirstColumn="0" w:firstRowLastColumn="0" w:lastRowFirstColumn="0" w:lastRowLastColumn="0"/>
            <w:tcW w:w="2629" w:type="dxa"/>
            <w:noWrap/>
            <w:hideMark/>
          </w:tcPr>
          <w:p w14:paraId="29104B0A" w14:textId="77777777" w:rsidR="0074457B" w:rsidRPr="004A0C12" w:rsidRDefault="0074457B" w:rsidP="0074457B">
            <w:pPr>
              <w:rPr>
                <w:rFonts w:ascii="Garamond" w:hAnsi="Garamond"/>
                <w:b w:val="0"/>
                <w:bCs w:val="0"/>
                <w:sz w:val="22"/>
                <w:szCs w:val="22"/>
              </w:rPr>
            </w:pPr>
          </w:p>
        </w:tc>
        <w:tc>
          <w:tcPr>
            <w:tcW w:w="1596" w:type="dxa"/>
            <w:gridSpan w:val="2"/>
          </w:tcPr>
          <w:p w14:paraId="711B8703"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Baltimore County</w:t>
            </w:r>
          </w:p>
        </w:tc>
        <w:tc>
          <w:tcPr>
            <w:tcW w:w="2726" w:type="dxa"/>
            <w:noWrap/>
          </w:tcPr>
          <w:p w14:paraId="481769C3"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54%</w:t>
            </w:r>
          </w:p>
        </w:tc>
        <w:tc>
          <w:tcPr>
            <w:tcW w:w="1331" w:type="dxa"/>
            <w:noWrap/>
          </w:tcPr>
          <w:p w14:paraId="4541386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1611</w:t>
            </w:r>
          </w:p>
        </w:tc>
        <w:tc>
          <w:tcPr>
            <w:tcW w:w="2456" w:type="dxa"/>
            <w:noWrap/>
          </w:tcPr>
          <w:p w14:paraId="721E9E96"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563</w:t>
            </w:r>
          </w:p>
        </w:tc>
      </w:tr>
      <w:tr w:rsidR="0074457B" w:rsidRPr="004A0C12" w14:paraId="2C8ED5BD" w14:textId="77777777" w:rsidTr="008B1D9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629" w:type="dxa"/>
            <w:noWrap/>
            <w:hideMark/>
          </w:tcPr>
          <w:p w14:paraId="5158641A" w14:textId="77777777" w:rsidR="0074457B" w:rsidRPr="004A0C12" w:rsidRDefault="0074457B" w:rsidP="0074457B">
            <w:pPr>
              <w:rPr>
                <w:rFonts w:ascii="Garamond" w:hAnsi="Garamond"/>
                <w:b w:val="0"/>
                <w:bCs w:val="0"/>
                <w:sz w:val="22"/>
                <w:szCs w:val="22"/>
              </w:rPr>
            </w:pPr>
          </w:p>
        </w:tc>
        <w:tc>
          <w:tcPr>
            <w:tcW w:w="1596" w:type="dxa"/>
            <w:gridSpan w:val="2"/>
          </w:tcPr>
          <w:p w14:paraId="47050F5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Prince George's</w:t>
            </w:r>
          </w:p>
        </w:tc>
        <w:tc>
          <w:tcPr>
            <w:tcW w:w="2726" w:type="dxa"/>
            <w:noWrap/>
          </w:tcPr>
          <w:p w14:paraId="2829500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63%</w:t>
            </w:r>
          </w:p>
        </w:tc>
        <w:tc>
          <w:tcPr>
            <w:tcW w:w="1331" w:type="dxa"/>
            <w:noWrap/>
          </w:tcPr>
          <w:p w14:paraId="53F0A9F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1147</w:t>
            </w:r>
          </w:p>
        </w:tc>
        <w:tc>
          <w:tcPr>
            <w:tcW w:w="2456" w:type="dxa"/>
            <w:noWrap/>
          </w:tcPr>
          <w:p w14:paraId="52B6094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285</w:t>
            </w:r>
          </w:p>
        </w:tc>
      </w:tr>
      <w:tr w:rsidR="0074457B" w:rsidRPr="004A0C12" w14:paraId="709E7230" w14:textId="77777777" w:rsidTr="008B1D9A">
        <w:trPr>
          <w:trHeight w:val="332"/>
        </w:trPr>
        <w:tc>
          <w:tcPr>
            <w:cnfStyle w:val="001000000000" w:firstRow="0" w:lastRow="0" w:firstColumn="1" w:lastColumn="0" w:oddVBand="0" w:evenVBand="0" w:oddHBand="0" w:evenHBand="0" w:firstRowFirstColumn="0" w:firstRowLastColumn="0" w:lastRowFirstColumn="0" w:lastRowLastColumn="0"/>
            <w:tcW w:w="10738" w:type="dxa"/>
            <w:gridSpan w:val="6"/>
            <w:noWrap/>
          </w:tcPr>
          <w:p w14:paraId="7EAA918B" w14:textId="77777777" w:rsidR="0074457B" w:rsidRPr="004A0C12" w:rsidRDefault="0074457B" w:rsidP="0074457B">
            <w:pPr>
              <w:rPr>
                <w:rFonts w:ascii="Garamond" w:hAnsi="Garamond"/>
                <w:b w:val="0"/>
                <w:sz w:val="22"/>
                <w:szCs w:val="22"/>
              </w:rPr>
            </w:pPr>
            <w:r w:rsidRPr="004A0C12">
              <w:rPr>
                <w:rFonts w:ascii="Garamond" w:hAnsi="Garamond"/>
                <w:b w:val="0"/>
                <w:bCs w:val="0"/>
                <w:sz w:val="22"/>
                <w:szCs w:val="22"/>
              </w:rPr>
              <w:t>Medium Counties</w:t>
            </w:r>
          </w:p>
        </w:tc>
      </w:tr>
      <w:tr w:rsidR="0074457B" w:rsidRPr="004A0C12" w14:paraId="7B8A79FD" w14:textId="77777777" w:rsidTr="008B1D9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098F7C79" w14:textId="77777777" w:rsidR="0074457B" w:rsidRPr="004A0C12" w:rsidRDefault="0074457B" w:rsidP="0074457B">
            <w:pPr>
              <w:rPr>
                <w:rFonts w:ascii="Garamond" w:hAnsi="Garamond"/>
                <w:b w:val="0"/>
                <w:bCs w:val="0"/>
                <w:sz w:val="22"/>
                <w:szCs w:val="22"/>
              </w:rPr>
            </w:pPr>
          </w:p>
        </w:tc>
        <w:tc>
          <w:tcPr>
            <w:tcW w:w="1572" w:type="dxa"/>
          </w:tcPr>
          <w:p w14:paraId="60A6EA1F"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Anne Arundel</w:t>
            </w:r>
          </w:p>
        </w:tc>
        <w:tc>
          <w:tcPr>
            <w:tcW w:w="2726" w:type="dxa"/>
            <w:noWrap/>
          </w:tcPr>
          <w:p w14:paraId="7E70A1F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52%</w:t>
            </w:r>
          </w:p>
        </w:tc>
        <w:tc>
          <w:tcPr>
            <w:tcW w:w="1331" w:type="dxa"/>
            <w:noWrap/>
          </w:tcPr>
          <w:p w14:paraId="42037B58"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1184</w:t>
            </w:r>
          </w:p>
        </w:tc>
        <w:tc>
          <w:tcPr>
            <w:tcW w:w="2456" w:type="dxa"/>
            <w:noWrap/>
          </w:tcPr>
          <w:p w14:paraId="1A9FB25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379</w:t>
            </w:r>
          </w:p>
        </w:tc>
      </w:tr>
      <w:tr w:rsidR="0074457B" w:rsidRPr="004A0C12" w14:paraId="30EEF75F" w14:textId="77777777" w:rsidTr="008B1D9A">
        <w:trPr>
          <w:trHeight w:val="317"/>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0A76E7CF" w14:textId="77777777" w:rsidR="0074457B" w:rsidRPr="004A0C12" w:rsidRDefault="0074457B" w:rsidP="0074457B">
            <w:pPr>
              <w:rPr>
                <w:rFonts w:ascii="Garamond" w:hAnsi="Garamond"/>
                <w:b w:val="0"/>
                <w:bCs w:val="0"/>
                <w:sz w:val="22"/>
                <w:szCs w:val="22"/>
              </w:rPr>
            </w:pPr>
          </w:p>
        </w:tc>
        <w:tc>
          <w:tcPr>
            <w:tcW w:w="1572" w:type="dxa"/>
          </w:tcPr>
          <w:p w14:paraId="0EA79E49"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Montgomery</w:t>
            </w:r>
          </w:p>
        </w:tc>
        <w:tc>
          <w:tcPr>
            <w:tcW w:w="2726" w:type="dxa"/>
            <w:noWrap/>
          </w:tcPr>
          <w:p w14:paraId="4F6FFED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59%</w:t>
            </w:r>
          </w:p>
        </w:tc>
        <w:tc>
          <w:tcPr>
            <w:tcW w:w="1331" w:type="dxa"/>
            <w:noWrap/>
          </w:tcPr>
          <w:p w14:paraId="1690009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748</w:t>
            </w:r>
          </w:p>
        </w:tc>
        <w:tc>
          <w:tcPr>
            <w:tcW w:w="2456" w:type="dxa"/>
            <w:noWrap/>
          </w:tcPr>
          <w:p w14:paraId="2D730762"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265</w:t>
            </w:r>
          </w:p>
        </w:tc>
      </w:tr>
      <w:tr w:rsidR="0074457B" w:rsidRPr="004A0C12" w14:paraId="53099B5A"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5A94B6E6" w14:textId="77777777" w:rsidR="0074457B" w:rsidRPr="004A0C12" w:rsidRDefault="0074457B" w:rsidP="0074457B">
            <w:pPr>
              <w:rPr>
                <w:rFonts w:ascii="Garamond" w:hAnsi="Garamond"/>
                <w:b w:val="0"/>
                <w:bCs w:val="0"/>
                <w:sz w:val="22"/>
                <w:szCs w:val="22"/>
              </w:rPr>
            </w:pPr>
          </w:p>
        </w:tc>
        <w:tc>
          <w:tcPr>
            <w:tcW w:w="1572" w:type="dxa"/>
          </w:tcPr>
          <w:p w14:paraId="16398906"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Wicomico</w:t>
            </w:r>
          </w:p>
        </w:tc>
        <w:tc>
          <w:tcPr>
            <w:tcW w:w="2726" w:type="dxa"/>
            <w:noWrap/>
          </w:tcPr>
          <w:p w14:paraId="384A5B22"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53%</w:t>
            </w:r>
          </w:p>
        </w:tc>
        <w:tc>
          <w:tcPr>
            <w:tcW w:w="1331" w:type="dxa"/>
            <w:noWrap/>
          </w:tcPr>
          <w:p w14:paraId="17970AC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303</w:t>
            </w:r>
          </w:p>
        </w:tc>
        <w:tc>
          <w:tcPr>
            <w:tcW w:w="2456" w:type="dxa"/>
            <w:noWrap/>
          </w:tcPr>
          <w:p w14:paraId="188575E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54</w:t>
            </w:r>
          </w:p>
        </w:tc>
      </w:tr>
      <w:tr w:rsidR="0074457B" w:rsidRPr="004A0C12" w14:paraId="347FC25D" w14:textId="77777777" w:rsidTr="008B1D9A">
        <w:trPr>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3299A383" w14:textId="77777777" w:rsidR="0074457B" w:rsidRPr="004A0C12" w:rsidRDefault="0074457B" w:rsidP="0074457B">
            <w:pPr>
              <w:rPr>
                <w:rFonts w:ascii="Garamond" w:hAnsi="Garamond"/>
                <w:b w:val="0"/>
                <w:bCs w:val="0"/>
                <w:sz w:val="22"/>
                <w:szCs w:val="22"/>
              </w:rPr>
            </w:pPr>
          </w:p>
        </w:tc>
        <w:tc>
          <w:tcPr>
            <w:tcW w:w="1572" w:type="dxa"/>
          </w:tcPr>
          <w:p w14:paraId="4B22ADEF"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Harford</w:t>
            </w:r>
          </w:p>
        </w:tc>
        <w:tc>
          <w:tcPr>
            <w:tcW w:w="2726" w:type="dxa"/>
            <w:noWrap/>
          </w:tcPr>
          <w:p w14:paraId="0C777F6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58%</w:t>
            </w:r>
          </w:p>
        </w:tc>
        <w:tc>
          <w:tcPr>
            <w:tcW w:w="1331" w:type="dxa"/>
            <w:noWrap/>
          </w:tcPr>
          <w:p w14:paraId="5F5F09C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471</w:t>
            </w:r>
          </w:p>
        </w:tc>
        <w:tc>
          <w:tcPr>
            <w:tcW w:w="2456" w:type="dxa"/>
            <w:noWrap/>
          </w:tcPr>
          <w:p w14:paraId="5C07DB9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135</w:t>
            </w:r>
          </w:p>
        </w:tc>
      </w:tr>
      <w:tr w:rsidR="0074457B" w:rsidRPr="004A0C12" w14:paraId="0086E776"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24503E75" w14:textId="77777777" w:rsidR="0074457B" w:rsidRPr="004A0C12" w:rsidRDefault="0074457B" w:rsidP="0074457B">
            <w:pPr>
              <w:rPr>
                <w:rFonts w:ascii="Garamond" w:hAnsi="Garamond"/>
                <w:b w:val="0"/>
                <w:bCs w:val="0"/>
                <w:sz w:val="22"/>
                <w:szCs w:val="22"/>
              </w:rPr>
            </w:pPr>
          </w:p>
        </w:tc>
        <w:tc>
          <w:tcPr>
            <w:tcW w:w="1572" w:type="dxa"/>
          </w:tcPr>
          <w:p w14:paraId="3578CBB9"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St. Mary's</w:t>
            </w:r>
          </w:p>
        </w:tc>
        <w:tc>
          <w:tcPr>
            <w:tcW w:w="2726" w:type="dxa"/>
            <w:noWrap/>
          </w:tcPr>
          <w:p w14:paraId="762C3B0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56%</w:t>
            </w:r>
          </w:p>
        </w:tc>
        <w:tc>
          <w:tcPr>
            <w:tcW w:w="1331" w:type="dxa"/>
            <w:noWrap/>
          </w:tcPr>
          <w:p w14:paraId="19E1EFBD"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277</w:t>
            </w:r>
          </w:p>
        </w:tc>
        <w:tc>
          <w:tcPr>
            <w:tcW w:w="2456" w:type="dxa"/>
            <w:noWrap/>
          </w:tcPr>
          <w:p w14:paraId="0BB6D7F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28</w:t>
            </w:r>
          </w:p>
        </w:tc>
      </w:tr>
      <w:tr w:rsidR="0074457B" w:rsidRPr="004A0C12" w14:paraId="3112EAAE" w14:textId="77777777" w:rsidTr="008B1D9A">
        <w:trPr>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526A421A" w14:textId="77777777" w:rsidR="0074457B" w:rsidRPr="004A0C12" w:rsidRDefault="0074457B" w:rsidP="0074457B">
            <w:pPr>
              <w:rPr>
                <w:rFonts w:ascii="Garamond" w:hAnsi="Garamond"/>
                <w:b w:val="0"/>
                <w:bCs w:val="0"/>
                <w:sz w:val="22"/>
                <w:szCs w:val="22"/>
              </w:rPr>
            </w:pPr>
          </w:p>
        </w:tc>
        <w:tc>
          <w:tcPr>
            <w:tcW w:w="1572" w:type="dxa"/>
          </w:tcPr>
          <w:p w14:paraId="5176CE0A"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Howard</w:t>
            </w:r>
          </w:p>
        </w:tc>
        <w:tc>
          <w:tcPr>
            <w:tcW w:w="2726" w:type="dxa"/>
            <w:noWrap/>
          </w:tcPr>
          <w:p w14:paraId="55CB3ED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67%</w:t>
            </w:r>
          </w:p>
        </w:tc>
        <w:tc>
          <w:tcPr>
            <w:tcW w:w="1331" w:type="dxa"/>
            <w:noWrap/>
          </w:tcPr>
          <w:p w14:paraId="71364C1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204</w:t>
            </w:r>
          </w:p>
        </w:tc>
        <w:tc>
          <w:tcPr>
            <w:tcW w:w="2456" w:type="dxa"/>
            <w:noWrap/>
          </w:tcPr>
          <w:p w14:paraId="4B12F37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52</w:t>
            </w:r>
          </w:p>
        </w:tc>
      </w:tr>
      <w:tr w:rsidR="0074457B" w:rsidRPr="004A0C12" w14:paraId="79A39886"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3DC1F5DE" w14:textId="77777777" w:rsidR="0074457B" w:rsidRPr="004A0C12" w:rsidRDefault="0074457B" w:rsidP="0074457B">
            <w:pPr>
              <w:rPr>
                <w:rFonts w:ascii="Garamond" w:hAnsi="Garamond"/>
                <w:b w:val="0"/>
                <w:bCs w:val="0"/>
                <w:sz w:val="22"/>
                <w:szCs w:val="22"/>
              </w:rPr>
            </w:pPr>
          </w:p>
        </w:tc>
        <w:tc>
          <w:tcPr>
            <w:tcW w:w="1572" w:type="dxa"/>
          </w:tcPr>
          <w:p w14:paraId="55022BA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Washington</w:t>
            </w:r>
          </w:p>
        </w:tc>
        <w:tc>
          <w:tcPr>
            <w:tcW w:w="2726" w:type="dxa"/>
            <w:noWrap/>
          </w:tcPr>
          <w:p w14:paraId="4F507B2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65%</w:t>
            </w:r>
          </w:p>
        </w:tc>
        <w:tc>
          <w:tcPr>
            <w:tcW w:w="1331" w:type="dxa"/>
            <w:noWrap/>
          </w:tcPr>
          <w:p w14:paraId="5D90914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246</w:t>
            </w:r>
          </w:p>
        </w:tc>
        <w:tc>
          <w:tcPr>
            <w:tcW w:w="2456" w:type="dxa"/>
            <w:noWrap/>
          </w:tcPr>
          <w:p w14:paraId="0E2341E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67</w:t>
            </w:r>
          </w:p>
        </w:tc>
      </w:tr>
      <w:tr w:rsidR="0074457B" w:rsidRPr="004A0C12" w14:paraId="1A1C2F1B" w14:textId="77777777" w:rsidTr="008B1D9A">
        <w:trPr>
          <w:trHeight w:val="317"/>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141F3E93" w14:textId="77777777" w:rsidR="0074457B" w:rsidRPr="004A0C12" w:rsidRDefault="0074457B" w:rsidP="0074457B">
            <w:pPr>
              <w:rPr>
                <w:rFonts w:ascii="Garamond" w:hAnsi="Garamond"/>
                <w:b w:val="0"/>
                <w:bCs w:val="0"/>
                <w:sz w:val="22"/>
                <w:szCs w:val="22"/>
              </w:rPr>
            </w:pPr>
          </w:p>
        </w:tc>
        <w:tc>
          <w:tcPr>
            <w:tcW w:w="1572" w:type="dxa"/>
          </w:tcPr>
          <w:p w14:paraId="0DB0447A"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Cecil</w:t>
            </w:r>
          </w:p>
        </w:tc>
        <w:tc>
          <w:tcPr>
            <w:tcW w:w="2726" w:type="dxa"/>
            <w:noWrap/>
          </w:tcPr>
          <w:p w14:paraId="3E3FC334"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49%</w:t>
            </w:r>
          </w:p>
        </w:tc>
        <w:tc>
          <w:tcPr>
            <w:tcW w:w="1331" w:type="dxa"/>
            <w:noWrap/>
          </w:tcPr>
          <w:p w14:paraId="2F30754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237</w:t>
            </w:r>
          </w:p>
        </w:tc>
        <w:tc>
          <w:tcPr>
            <w:tcW w:w="2456" w:type="dxa"/>
            <w:noWrap/>
          </w:tcPr>
          <w:p w14:paraId="711051B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66</w:t>
            </w:r>
          </w:p>
        </w:tc>
      </w:tr>
      <w:tr w:rsidR="0074457B" w:rsidRPr="004A0C12" w14:paraId="4B8C1581" w14:textId="77777777" w:rsidTr="008B1D9A">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0738" w:type="dxa"/>
            <w:gridSpan w:val="6"/>
            <w:noWrap/>
          </w:tcPr>
          <w:p w14:paraId="4647CCE4" w14:textId="77777777" w:rsidR="0074457B" w:rsidRPr="004A0C12" w:rsidRDefault="0074457B" w:rsidP="0074457B">
            <w:pPr>
              <w:rPr>
                <w:rFonts w:ascii="Garamond" w:hAnsi="Garamond"/>
                <w:b w:val="0"/>
                <w:sz w:val="22"/>
                <w:szCs w:val="22"/>
              </w:rPr>
            </w:pPr>
            <w:r w:rsidRPr="004A0C12">
              <w:rPr>
                <w:rFonts w:ascii="Garamond" w:hAnsi="Garamond"/>
                <w:b w:val="0"/>
                <w:bCs w:val="0"/>
                <w:sz w:val="22"/>
                <w:szCs w:val="22"/>
              </w:rPr>
              <w:t>Small Counties</w:t>
            </w:r>
          </w:p>
        </w:tc>
      </w:tr>
      <w:tr w:rsidR="0074457B" w:rsidRPr="004A0C12" w14:paraId="00D051EF" w14:textId="77777777" w:rsidTr="008B1D9A">
        <w:trPr>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5821C510" w14:textId="77777777" w:rsidR="0074457B" w:rsidRPr="004A0C12" w:rsidRDefault="0074457B" w:rsidP="0074457B">
            <w:pPr>
              <w:rPr>
                <w:rFonts w:ascii="Garamond" w:hAnsi="Garamond"/>
                <w:b w:val="0"/>
                <w:bCs w:val="0"/>
                <w:sz w:val="22"/>
                <w:szCs w:val="22"/>
              </w:rPr>
            </w:pPr>
          </w:p>
        </w:tc>
        <w:tc>
          <w:tcPr>
            <w:tcW w:w="1572" w:type="dxa"/>
          </w:tcPr>
          <w:p w14:paraId="2291D06E"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Frederick</w:t>
            </w:r>
          </w:p>
        </w:tc>
        <w:tc>
          <w:tcPr>
            <w:tcW w:w="2726" w:type="dxa"/>
            <w:noWrap/>
          </w:tcPr>
          <w:p w14:paraId="4EF5C8B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67%</w:t>
            </w:r>
          </w:p>
        </w:tc>
        <w:tc>
          <w:tcPr>
            <w:tcW w:w="1331" w:type="dxa"/>
            <w:noWrap/>
          </w:tcPr>
          <w:p w14:paraId="46226D53"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322</w:t>
            </w:r>
          </w:p>
        </w:tc>
        <w:tc>
          <w:tcPr>
            <w:tcW w:w="2456" w:type="dxa"/>
            <w:noWrap/>
          </w:tcPr>
          <w:p w14:paraId="31C8D641"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r>
      <w:tr w:rsidR="0074457B" w:rsidRPr="004A0C12" w14:paraId="3AAA4857"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52E3FAE4" w14:textId="77777777" w:rsidR="0074457B" w:rsidRPr="004A0C12" w:rsidRDefault="0074457B" w:rsidP="0074457B">
            <w:pPr>
              <w:rPr>
                <w:rFonts w:ascii="Garamond" w:hAnsi="Garamond"/>
                <w:b w:val="0"/>
                <w:bCs w:val="0"/>
                <w:sz w:val="22"/>
                <w:szCs w:val="22"/>
              </w:rPr>
            </w:pPr>
          </w:p>
        </w:tc>
        <w:tc>
          <w:tcPr>
            <w:tcW w:w="1572" w:type="dxa"/>
          </w:tcPr>
          <w:p w14:paraId="0F1CD818"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Charles</w:t>
            </w:r>
          </w:p>
        </w:tc>
        <w:tc>
          <w:tcPr>
            <w:tcW w:w="2726" w:type="dxa"/>
            <w:noWrap/>
          </w:tcPr>
          <w:p w14:paraId="609AD8C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59%</w:t>
            </w:r>
          </w:p>
        </w:tc>
        <w:tc>
          <w:tcPr>
            <w:tcW w:w="1331" w:type="dxa"/>
            <w:noWrap/>
          </w:tcPr>
          <w:p w14:paraId="2F7C0046"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149</w:t>
            </w:r>
          </w:p>
        </w:tc>
        <w:tc>
          <w:tcPr>
            <w:tcW w:w="2456" w:type="dxa"/>
            <w:noWrap/>
          </w:tcPr>
          <w:p w14:paraId="4323421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45</w:t>
            </w:r>
          </w:p>
        </w:tc>
      </w:tr>
      <w:tr w:rsidR="0074457B" w:rsidRPr="004A0C12" w14:paraId="78F077D3" w14:textId="77777777" w:rsidTr="008B1D9A">
        <w:trPr>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31A5F3FE" w14:textId="77777777" w:rsidR="0074457B" w:rsidRPr="004A0C12" w:rsidRDefault="0074457B" w:rsidP="0074457B">
            <w:pPr>
              <w:rPr>
                <w:rFonts w:ascii="Garamond" w:hAnsi="Garamond"/>
                <w:b w:val="0"/>
                <w:bCs w:val="0"/>
                <w:sz w:val="22"/>
                <w:szCs w:val="22"/>
              </w:rPr>
            </w:pPr>
          </w:p>
        </w:tc>
        <w:tc>
          <w:tcPr>
            <w:tcW w:w="1572" w:type="dxa"/>
          </w:tcPr>
          <w:p w14:paraId="468E2E91"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Allegany</w:t>
            </w:r>
          </w:p>
        </w:tc>
        <w:tc>
          <w:tcPr>
            <w:tcW w:w="2726" w:type="dxa"/>
            <w:noWrap/>
          </w:tcPr>
          <w:p w14:paraId="579D3B9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52%</w:t>
            </w:r>
          </w:p>
        </w:tc>
        <w:tc>
          <w:tcPr>
            <w:tcW w:w="1331" w:type="dxa"/>
            <w:noWrap/>
          </w:tcPr>
          <w:p w14:paraId="4604755C"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146</w:t>
            </w:r>
          </w:p>
        </w:tc>
        <w:tc>
          <w:tcPr>
            <w:tcW w:w="2456" w:type="dxa"/>
            <w:noWrap/>
          </w:tcPr>
          <w:p w14:paraId="34173246"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w:t>
            </w:r>
          </w:p>
        </w:tc>
      </w:tr>
      <w:tr w:rsidR="0074457B" w:rsidRPr="004A0C12" w14:paraId="74FA2485"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3C31D609" w14:textId="77777777" w:rsidR="0074457B" w:rsidRPr="004A0C12" w:rsidRDefault="0074457B" w:rsidP="0074457B">
            <w:pPr>
              <w:rPr>
                <w:rFonts w:ascii="Garamond" w:hAnsi="Garamond"/>
                <w:b w:val="0"/>
                <w:bCs w:val="0"/>
                <w:sz w:val="22"/>
                <w:szCs w:val="22"/>
              </w:rPr>
            </w:pPr>
          </w:p>
        </w:tc>
        <w:tc>
          <w:tcPr>
            <w:tcW w:w="1572" w:type="dxa"/>
          </w:tcPr>
          <w:p w14:paraId="5EECDED3"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Dorchester</w:t>
            </w:r>
          </w:p>
        </w:tc>
        <w:tc>
          <w:tcPr>
            <w:tcW w:w="2726" w:type="dxa"/>
            <w:noWrap/>
          </w:tcPr>
          <w:p w14:paraId="402D3066"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57%</w:t>
            </w:r>
          </w:p>
        </w:tc>
        <w:tc>
          <w:tcPr>
            <w:tcW w:w="1331" w:type="dxa"/>
            <w:noWrap/>
          </w:tcPr>
          <w:p w14:paraId="20A69A8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107</w:t>
            </w:r>
          </w:p>
        </w:tc>
        <w:tc>
          <w:tcPr>
            <w:tcW w:w="2456" w:type="dxa"/>
            <w:noWrap/>
          </w:tcPr>
          <w:p w14:paraId="32835FA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13</w:t>
            </w:r>
          </w:p>
        </w:tc>
      </w:tr>
      <w:tr w:rsidR="0074457B" w:rsidRPr="004A0C12" w14:paraId="11A09C90" w14:textId="77777777" w:rsidTr="008B1D9A">
        <w:trPr>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3B57F6C1" w14:textId="77777777" w:rsidR="0074457B" w:rsidRPr="004A0C12" w:rsidRDefault="0074457B" w:rsidP="0074457B">
            <w:pPr>
              <w:rPr>
                <w:rFonts w:ascii="Garamond" w:hAnsi="Garamond"/>
                <w:b w:val="0"/>
                <w:bCs w:val="0"/>
                <w:sz w:val="22"/>
                <w:szCs w:val="22"/>
              </w:rPr>
            </w:pPr>
          </w:p>
        </w:tc>
        <w:tc>
          <w:tcPr>
            <w:tcW w:w="1572" w:type="dxa"/>
          </w:tcPr>
          <w:p w14:paraId="38A22E71"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Caroline</w:t>
            </w:r>
          </w:p>
        </w:tc>
        <w:tc>
          <w:tcPr>
            <w:tcW w:w="2726" w:type="dxa"/>
            <w:noWrap/>
          </w:tcPr>
          <w:p w14:paraId="40DC873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71%</w:t>
            </w:r>
          </w:p>
        </w:tc>
        <w:tc>
          <w:tcPr>
            <w:tcW w:w="1331" w:type="dxa"/>
            <w:noWrap/>
          </w:tcPr>
          <w:p w14:paraId="673BD42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94</w:t>
            </w:r>
          </w:p>
        </w:tc>
        <w:tc>
          <w:tcPr>
            <w:tcW w:w="2456" w:type="dxa"/>
            <w:noWrap/>
          </w:tcPr>
          <w:p w14:paraId="7D466BC0"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w:t>
            </w:r>
          </w:p>
        </w:tc>
      </w:tr>
      <w:tr w:rsidR="0074457B" w:rsidRPr="004A0C12" w14:paraId="7C9F95AD"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59A304DF" w14:textId="77777777" w:rsidR="0074457B" w:rsidRPr="004A0C12" w:rsidRDefault="0074457B" w:rsidP="0074457B">
            <w:pPr>
              <w:rPr>
                <w:rFonts w:ascii="Garamond" w:hAnsi="Garamond"/>
                <w:b w:val="0"/>
                <w:bCs w:val="0"/>
                <w:sz w:val="22"/>
                <w:szCs w:val="22"/>
              </w:rPr>
            </w:pPr>
          </w:p>
        </w:tc>
        <w:tc>
          <w:tcPr>
            <w:tcW w:w="1572" w:type="dxa"/>
          </w:tcPr>
          <w:p w14:paraId="5DFEC091"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Carroll</w:t>
            </w:r>
          </w:p>
        </w:tc>
        <w:tc>
          <w:tcPr>
            <w:tcW w:w="2726" w:type="dxa"/>
            <w:noWrap/>
          </w:tcPr>
          <w:p w14:paraId="112E678D"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54%</w:t>
            </w:r>
          </w:p>
        </w:tc>
        <w:tc>
          <w:tcPr>
            <w:tcW w:w="1331" w:type="dxa"/>
            <w:noWrap/>
          </w:tcPr>
          <w:p w14:paraId="3C473CC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119</w:t>
            </w:r>
          </w:p>
        </w:tc>
        <w:tc>
          <w:tcPr>
            <w:tcW w:w="2456" w:type="dxa"/>
            <w:noWrap/>
          </w:tcPr>
          <w:p w14:paraId="13F36CB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36</w:t>
            </w:r>
          </w:p>
        </w:tc>
      </w:tr>
      <w:tr w:rsidR="0074457B" w:rsidRPr="004A0C12" w14:paraId="174DB141" w14:textId="77777777" w:rsidTr="008B1D9A">
        <w:trPr>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113E1A31" w14:textId="77777777" w:rsidR="0074457B" w:rsidRPr="004A0C12" w:rsidRDefault="0074457B" w:rsidP="0074457B">
            <w:pPr>
              <w:rPr>
                <w:rFonts w:ascii="Garamond" w:hAnsi="Garamond"/>
                <w:b w:val="0"/>
                <w:bCs w:val="0"/>
                <w:sz w:val="22"/>
                <w:szCs w:val="22"/>
              </w:rPr>
            </w:pPr>
          </w:p>
        </w:tc>
        <w:tc>
          <w:tcPr>
            <w:tcW w:w="1572" w:type="dxa"/>
          </w:tcPr>
          <w:p w14:paraId="167F8586"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Somerset</w:t>
            </w:r>
          </w:p>
        </w:tc>
        <w:tc>
          <w:tcPr>
            <w:tcW w:w="2726" w:type="dxa"/>
            <w:noWrap/>
          </w:tcPr>
          <w:p w14:paraId="3532103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53%</w:t>
            </w:r>
          </w:p>
        </w:tc>
        <w:tc>
          <w:tcPr>
            <w:tcW w:w="1331" w:type="dxa"/>
            <w:noWrap/>
          </w:tcPr>
          <w:p w14:paraId="5CA5D49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112</w:t>
            </w:r>
          </w:p>
        </w:tc>
        <w:tc>
          <w:tcPr>
            <w:tcW w:w="2456" w:type="dxa"/>
            <w:noWrap/>
          </w:tcPr>
          <w:p w14:paraId="60D99C4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w:t>
            </w:r>
          </w:p>
        </w:tc>
      </w:tr>
      <w:tr w:rsidR="0074457B" w:rsidRPr="004A0C12" w14:paraId="17C81CD9"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1A95D372" w14:textId="77777777" w:rsidR="0074457B" w:rsidRPr="004A0C12" w:rsidRDefault="0074457B" w:rsidP="0074457B">
            <w:pPr>
              <w:rPr>
                <w:rFonts w:ascii="Garamond" w:hAnsi="Garamond"/>
                <w:b w:val="0"/>
                <w:bCs w:val="0"/>
                <w:sz w:val="22"/>
                <w:szCs w:val="22"/>
              </w:rPr>
            </w:pPr>
          </w:p>
        </w:tc>
        <w:tc>
          <w:tcPr>
            <w:tcW w:w="1572" w:type="dxa"/>
          </w:tcPr>
          <w:p w14:paraId="00DD852C"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Queen Anne's</w:t>
            </w:r>
          </w:p>
        </w:tc>
        <w:tc>
          <w:tcPr>
            <w:tcW w:w="2726" w:type="dxa"/>
            <w:noWrap/>
          </w:tcPr>
          <w:p w14:paraId="4D4AAAC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63%</w:t>
            </w:r>
          </w:p>
        </w:tc>
        <w:tc>
          <w:tcPr>
            <w:tcW w:w="1331" w:type="dxa"/>
            <w:noWrap/>
          </w:tcPr>
          <w:p w14:paraId="448633D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43</w:t>
            </w:r>
          </w:p>
        </w:tc>
        <w:tc>
          <w:tcPr>
            <w:tcW w:w="2456" w:type="dxa"/>
            <w:noWrap/>
          </w:tcPr>
          <w:p w14:paraId="6B7F901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w:t>
            </w:r>
          </w:p>
        </w:tc>
      </w:tr>
      <w:tr w:rsidR="0074457B" w:rsidRPr="004A0C12" w14:paraId="35B3FED2" w14:textId="77777777" w:rsidTr="008B1D9A">
        <w:trPr>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73077DC8" w14:textId="77777777" w:rsidR="0074457B" w:rsidRPr="004A0C12" w:rsidRDefault="0074457B" w:rsidP="0074457B">
            <w:pPr>
              <w:rPr>
                <w:rFonts w:ascii="Garamond" w:hAnsi="Garamond"/>
                <w:b w:val="0"/>
                <w:bCs w:val="0"/>
                <w:sz w:val="22"/>
                <w:szCs w:val="22"/>
              </w:rPr>
            </w:pPr>
          </w:p>
        </w:tc>
        <w:tc>
          <w:tcPr>
            <w:tcW w:w="1572" w:type="dxa"/>
          </w:tcPr>
          <w:p w14:paraId="01715068"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Calvert</w:t>
            </w:r>
          </w:p>
        </w:tc>
        <w:tc>
          <w:tcPr>
            <w:tcW w:w="2726" w:type="dxa"/>
            <w:noWrap/>
          </w:tcPr>
          <w:p w14:paraId="732644E0"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68%</w:t>
            </w:r>
          </w:p>
        </w:tc>
        <w:tc>
          <w:tcPr>
            <w:tcW w:w="1331" w:type="dxa"/>
            <w:noWrap/>
          </w:tcPr>
          <w:p w14:paraId="1E2D2DD4"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98</w:t>
            </w:r>
          </w:p>
        </w:tc>
        <w:tc>
          <w:tcPr>
            <w:tcW w:w="2456" w:type="dxa"/>
            <w:noWrap/>
          </w:tcPr>
          <w:p w14:paraId="4643E4F9"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r>
      <w:tr w:rsidR="0074457B" w:rsidRPr="004A0C12" w14:paraId="3411DEC0"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tcPr>
          <w:p w14:paraId="55439A60" w14:textId="77777777" w:rsidR="0074457B" w:rsidRPr="004A0C12" w:rsidRDefault="0074457B" w:rsidP="0074457B">
            <w:pPr>
              <w:rPr>
                <w:rFonts w:ascii="Garamond" w:hAnsi="Garamond"/>
                <w:b w:val="0"/>
                <w:bCs w:val="0"/>
                <w:sz w:val="22"/>
                <w:szCs w:val="22"/>
              </w:rPr>
            </w:pPr>
          </w:p>
        </w:tc>
        <w:tc>
          <w:tcPr>
            <w:tcW w:w="1572" w:type="dxa"/>
          </w:tcPr>
          <w:p w14:paraId="1D8637C8"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sz w:val="22"/>
                <w:szCs w:val="22"/>
              </w:rPr>
              <w:t>Worcester</w:t>
            </w:r>
          </w:p>
        </w:tc>
        <w:tc>
          <w:tcPr>
            <w:tcW w:w="2726" w:type="dxa"/>
            <w:noWrap/>
          </w:tcPr>
          <w:p w14:paraId="4116C48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61%</w:t>
            </w:r>
          </w:p>
        </w:tc>
        <w:tc>
          <w:tcPr>
            <w:tcW w:w="1331" w:type="dxa"/>
            <w:noWrap/>
          </w:tcPr>
          <w:p w14:paraId="217D625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66</w:t>
            </w:r>
          </w:p>
        </w:tc>
        <w:tc>
          <w:tcPr>
            <w:tcW w:w="2456" w:type="dxa"/>
            <w:noWrap/>
          </w:tcPr>
          <w:p w14:paraId="623205B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24</w:t>
            </w:r>
          </w:p>
        </w:tc>
      </w:tr>
      <w:tr w:rsidR="0074457B" w:rsidRPr="004A0C12" w14:paraId="6BF13AA3" w14:textId="77777777" w:rsidTr="008B1D9A">
        <w:trPr>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tcPr>
          <w:p w14:paraId="2C9B381A" w14:textId="77777777" w:rsidR="0074457B" w:rsidRPr="004A0C12" w:rsidRDefault="0074457B" w:rsidP="0074457B">
            <w:pPr>
              <w:rPr>
                <w:rFonts w:ascii="Garamond" w:hAnsi="Garamond"/>
                <w:b w:val="0"/>
                <w:bCs w:val="0"/>
                <w:sz w:val="22"/>
                <w:szCs w:val="22"/>
              </w:rPr>
            </w:pPr>
          </w:p>
        </w:tc>
        <w:tc>
          <w:tcPr>
            <w:tcW w:w="1572" w:type="dxa"/>
          </w:tcPr>
          <w:p w14:paraId="59C41ACE"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b/>
                <w:bCs/>
                <w:sz w:val="22"/>
                <w:szCs w:val="22"/>
              </w:rPr>
            </w:pPr>
            <w:r w:rsidRPr="004A0C12">
              <w:rPr>
                <w:rFonts w:ascii="Garamond" w:hAnsi="Garamond"/>
                <w:sz w:val="22"/>
                <w:szCs w:val="22"/>
              </w:rPr>
              <w:t>Garrett</w:t>
            </w:r>
          </w:p>
        </w:tc>
        <w:tc>
          <w:tcPr>
            <w:tcW w:w="2726" w:type="dxa"/>
            <w:noWrap/>
          </w:tcPr>
          <w:p w14:paraId="5345371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63%</w:t>
            </w:r>
          </w:p>
        </w:tc>
        <w:tc>
          <w:tcPr>
            <w:tcW w:w="1331" w:type="dxa"/>
            <w:noWrap/>
          </w:tcPr>
          <w:p w14:paraId="21602B0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29</w:t>
            </w:r>
          </w:p>
        </w:tc>
        <w:tc>
          <w:tcPr>
            <w:tcW w:w="2456" w:type="dxa"/>
            <w:noWrap/>
          </w:tcPr>
          <w:p w14:paraId="0160718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w:t>
            </w:r>
          </w:p>
        </w:tc>
      </w:tr>
      <w:tr w:rsidR="0074457B" w:rsidRPr="004A0C12" w14:paraId="0852E044" w14:textId="77777777" w:rsidTr="008B1D9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20636831" w14:textId="77777777" w:rsidR="0074457B" w:rsidRPr="004A0C12" w:rsidRDefault="0074457B" w:rsidP="0074457B">
            <w:pPr>
              <w:rPr>
                <w:rFonts w:ascii="Garamond" w:hAnsi="Garamond"/>
                <w:b w:val="0"/>
                <w:bCs w:val="0"/>
                <w:sz w:val="22"/>
                <w:szCs w:val="22"/>
              </w:rPr>
            </w:pPr>
          </w:p>
        </w:tc>
        <w:tc>
          <w:tcPr>
            <w:tcW w:w="1572" w:type="dxa"/>
          </w:tcPr>
          <w:p w14:paraId="20A0F140" w14:textId="77777777" w:rsidR="0074457B" w:rsidRPr="004A0C12" w:rsidRDefault="0074457B" w:rsidP="0074457B">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Talbot</w:t>
            </w:r>
          </w:p>
        </w:tc>
        <w:tc>
          <w:tcPr>
            <w:tcW w:w="2726" w:type="dxa"/>
            <w:noWrap/>
          </w:tcPr>
          <w:p w14:paraId="5953E8B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23%</w:t>
            </w:r>
          </w:p>
        </w:tc>
        <w:tc>
          <w:tcPr>
            <w:tcW w:w="1331" w:type="dxa"/>
            <w:noWrap/>
          </w:tcPr>
          <w:p w14:paraId="03144EE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73</w:t>
            </w:r>
          </w:p>
        </w:tc>
        <w:tc>
          <w:tcPr>
            <w:tcW w:w="2456" w:type="dxa"/>
            <w:noWrap/>
          </w:tcPr>
          <w:p w14:paraId="3D232518"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w:t>
            </w:r>
          </w:p>
        </w:tc>
      </w:tr>
      <w:tr w:rsidR="0074457B" w:rsidRPr="004A0C12" w14:paraId="2D2BA6B1" w14:textId="77777777" w:rsidTr="008B1D9A">
        <w:trPr>
          <w:trHeight w:val="317"/>
        </w:trPr>
        <w:tc>
          <w:tcPr>
            <w:cnfStyle w:val="001000000000" w:firstRow="0" w:lastRow="0" w:firstColumn="1" w:lastColumn="0" w:oddVBand="0" w:evenVBand="0" w:oddHBand="0" w:evenHBand="0" w:firstRowFirstColumn="0" w:firstRowLastColumn="0" w:lastRowFirstColumn="0" w:lastRowLastColumn="0"/>
            <w:tcW w:w="2653" w:type="dxa"/>
            <w:gridSpan w:val="2"/>
            <w:noWrap/>
            <w:hideMark/>
          </w:tcPr>
          <w:p w14:paraId="6E725350" w14:textId="77777777" w:rsidR="0074457B" w:rsidRPr="004A0C12" w:rsidRDefault="0074457B" w:rsidP="0074457B">
            <w:pPr>
              <w:rPr>
                <w:rFonts w:ascii="Garamond" w:hAnsi="Garamond"/>
                <w:b w:val="0"/>
                <w:bCs w:val="0"/>
                <w:sz w:val="22"/>
                <w:szCs w:val="22"/>
              </w:rPr>
            </w:pPr>
          </w:p>
        </w:tc>
        <w:tc>
          <w:tcPr>
            <w:tcW w:w="1572" w:type="dxa"/>
          </w:tcPr>
          <w:p w14:paraId="32F31043" w14:textId="77777777" w:rsidR="0074457B" w:rsidRPr="004A0C12" w:rsidRDefault="0074457B" w:rsidP="0074457B">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Kent</w:t>
            </w:r>
          </w:p>
        </w:tc>
        <w:tc>
          <w:tcPr>
            <w:tcW w:w="2726" w:type="dxa"/>
            <w:noWrap/>
          </w:tcPr>
          <w:p w14:paraId="31C398E8"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59%</w:t>
            </w:r>
          </w:p>
        </w:tc>
        <w:tc>
          <w:tcPr>
            <w:tcW w:w="1331" w:type="dxa"/>
            <w:noWrap/>
          </w:tcPr>
          <w:p w14:paraId="37CDC97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55</w:t>
            </w:r>
          </w:p>
        </w:tc>
        <w:tc>
          <w:tcPr>
            <w:tcW w:w="2456" w:type="dxa"/>
            <w:noWrap/>
          </w:tcPr>
          <w:p w14:paraId="6CB66AC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w:t>
            </w:r>
          </w:p>
        </w:tc>
      </w:tr>
      <w:tr w:rsidR="0074457B" w:rsidRPr="004A0C12" w14:paraId="377EFC35" w14:textId="77777777" w:rsidTr="008B1D9A">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225" w:type="dxa"/>
            <w:gridSpan w:val="3"/>
            <w:noWrap/>
            <w:hideMark/>
          </w:tcPr>
          <w:p w14:paraId="7EA6AFEF" w14:textId="77777777" w:rsidR="0074457B" w:rsidRPr="004A0C12" w:rsidRDefault="0074457B" w:rsidP="0074457B">
            <w:pPr>
              <w:rPr>
                <w:rFonts w:ascii="Garamond" w:hAnsi="Garamond"/>
                <w:b w:val="0"/>
                <w:bCs w:val="0"/>
                <w:sz w:val="22"/>
                <w:szCs w:val="22"/>
              </w:rPr>
            </w:pPr>
          </w:p>
          <w:p w14:paraId="5BB869A5" w14:textId="77777777" w:rsidR="0074457B" w:rsidRPr="004A0C12" w:rsidRDefault="0074457B" w:rsidP="0074457B">
            <w:pPr>
              <w:rPr>
                <w:rFonts w:ascii="Garamond" w:hAnsi="Garamond"/>
                <w:b w:val="0"/>
                <w:bCs w:val="0"/>
                <w:sz w:val="22"/>
                <w:szCs w:val="22"/>
              </w:rPr>
            </w:pPr>
            <w:r w:rsidRPr="004A0C12">
              <w:rPr>
                <w:rFonts w:ascii="Garamond" w:hAnsi="Garamond"/>
                <w:b w:val="0"/>
                <w:bCs w:val="0"/>
                <w:sz w:val="22"/>
                <w:szCs w:val="22"/>
              </w:rPr>
              <w:t>MARYLAND</w:t>
            </w:r>
          </w:p>
        </w:tc>
        <w:tc>
          <w:tcPr>
            <w:tcW w:w="2726" w:type="dxa"/>
            <w:noWrap/>
          </w:tcPr>
          <w:p w14:paraId="4CB9C8A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p>
          <w:p w14:paraId="0E5406E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55%</w:t>
            </w:r>
          </w:p>
        </w:tc>
        <w:tc>
          <w:tcPr>
            <w:tcW w:w="1331" w:type="dxa"/>
            <w:noWrap/>
          </w:tcPr>
          <w:p w14:paraId="4899FAB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13,413</w:t>
            </w:r>
          </w:p>
        </w:tc>
        <w:tc>
          <w:tcPr>
            <w:tcW w:w="2456" w:type="dxa"/>
            <w:noWrap/>
          </w:tcPr>
          <w:p w14:paraId="5634827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3,519</w:t>
            </w:r>
          </w:p>
        </w:tc>
      </w:tr>
    </w:tbl>
    <w:p w14:paraId="762588EB" w14:textId="77777777" w:rsidR="0054168E" w:rsidRPr="004A0C12" w:rsidRDefault="0054168E" w:rsidP="009F5EDD">
      <w:pPr>
        <w:pStyle w:val="Heading4"/>
        <w:rPr>
          <w:rFonts w:ascii="Garamond" w:hAnsi="Garamond"/>
        </w:rPr>
      </w:pPr>
    </w:p>
    <w:p w14:paraId="1409E3A7" w14:textId="77777777" w:rsidR="0054168E" w:rsidRPr="004A0C12" w:rsidRDefault="0054168E" w:rsidP="009F5EDD">
      <w:pPr>
        <w:pStyle w:val="Heading4"/>
        <w:rPr>
          <w:rFonts w:ascii="Garamond" w:hAnsi="Garamond"/>
        </w:rPr>
      </w:pPr>
    </w:p>
    <w:p w14:paraId="5A6F4081" w14:textId="77777777" w:rsidR="0054168E" w:rsidRPr="004A0C12" w:rsidRDefault="0054168E" w:rsidP="0054168E">
      <w:pPr>
        <w:rPr>
          <w:rFonts w:ascii="Garamond" w:hAnsi="Garamond"/>
        </w:rPr>
      </w:pPr>
    </w:p>
    <w:p w14:paraId="2142E903" w14:textId="77777777" w:rsidR="00900002" w:rsidRPr="004A0C12" w:rsidRDefault="00900002" w:rsidP="0054168E">
      <w:pPr>
        <w:rPr>
          <w:rFonts w:ascii="Garamond" w:hAnsi="Garamond"/>
        </w:rPr>
      </w:pPr>
    </w:p>
    <w:p w14:paraId="1EF1D921" w14:textId="77777777" w:rsidR="00900002" w:rsidRPr="004A0C12" w:rsidRDefault="00900002" w:rsidP="0054168E">
      <w:pPr>
        <w:rPr>
          <w:rFonts w:ascii="Garamond" w:hAnsi="Garamond"/>
        </w:rPr>
      </w:pPr>
    </w:p>
    <w:p w14:paraId="5D2FB485" w14:textId="77777777" w:rsidR="0074457B" w:rsidRPr="00B25499" w:rsidRDefault="0074457B" w:rsidP="009F5EDD">
      <w:pPr>
        <w:pStyle w:val="Heading4"/>
        <w:rPr>
          <w:rFonts w:ascii="Garamond" w:hAnsi="Garamond"/>
          <w:sz w:val="24"/>
          <w:szCs w:val="24"/>
        </w:rPr>
      </w:pPr>
      <w:r w:rsidRPr="00B25499">
        <w:rPr>
          <w:rFonts w:ascii="Garamond" w:hAnsi="Garamond"/>
          <w:sz w:val="24"/>
          <w:szCs w:val="24"/>
        </w:rPr>
        <w:lastRenderedPageBreak/>
        <w:t xml:space="preserve">Trade Program </w:t>
      </w:r>
    </w:p>
    <w:tbl>
      <w:tblPr>
        <w:tblStyle w:val="PlainTable11"/>
        <w:tblW w:w="0" w:type="auto"/>
        <w:tblLayout w:type="fixed"/>
        <w:tblLook w:val="0000" w:firstRow="0" w:lastRow="0" w:firstColumn="0" w:lastColumn="0" w:noHBand="0" w:noVBand="0"/>
        <w:tblCaption w:val="Trade Program Assessment Results for FY 2014"/>
        <w:tblDescription w:val="This chart shows the Trade Program's assessment results for FY 2014. "/>
      </w:tblPr>
      <w:tblGrid>
        <w:gridCol w:w="2500"/>
        <w:gridCol w:w="1280"/>
        <w:gridCol w:w="1720"/>
        <w:gridCol w:w="1720"/>
        <w:gridCol w:w="1720"/>
        <w:gridCol w:w="1950"/>
      </w:tblGrid>
      <w:tr w:rsidR="0074457B" w:rsidRPr="004A0C12" w14:paraId="05370759" w14:textId="77777777" w:rsidTr="008B1D9A">
        <w:trPr>
          <w:trHeight w:val="252"/>
          <w:tblHeader/>
        </w:trPr>
        <w:tc>
          <w:tcPr>
            <w:cnfStyle w:val="000010000000" w:firstRow="0" w:lastRow="0" w:firstColumn="0" w:lastColumn="0" w:oddVBand="1" w:evenVBand="0" w:oddHBand="0" w:evenHBand="0" w:firstRowFirstColumn="0" w:firstRowLastColumn="0" w:lastRowFirstColumn="0" w:lastRowLastColumn="0"/>
            <w:tcW w:w="10890" w:type="dxa"/>
            <w:gridSpan w:val="6"/>
          </w:tcPr>
          <w:p w14:paraId="0A2D418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Trade Program Assessment Results for FY 2014</w:t>
            </w:r>
          </w:p>
        </w:tc>
      </w:tr>
      <w:tr w:rsidR="0074457B" w:rsidRPr="004A0C12" w14:paraId="00E138EB" w14:textId="77777777" w:rsidTr="00900002">
        <w:trPr>
          <w:cnfStyle w:val="000000100000" w:firstRow="0" w:lastRow="0" w:firstColumn="0" w:lastColumn="0" w:oddVBand="0" w:evenVBand="0" w:oddHBand="1" w:evenHBand="0" w:firstRowFirstColumn="0" w:firstRowLastColumn="0" w:lastRowFirstColumn="0" w:lastRowLastColumn="0"/>
          <w:trHeight w:val="440"/>
        </w:trPr>
        <w:tc>
          <w:tcPr>
            <w:cnfStyle w:val="000010000000" w:firstRow="0" w:lastRow="0" w:firstColumn="0" w:lastColumn="0" w:oddVBand="1" w:evenVBand="0" w:oddHBand="0" w:evenHBand="0" w:firstRowFirstColumn="0" w:firstRowLastColumn="0" w:lastRowFirstColumn="0" w:lastRowLastColumn="0"/>
            <w:tcW w:w="2500" w:type="dxa"/>
          </w:tcPr>
          <w:p w14:paraId="2B21A31F" w14:textId="77777777" w:rsidR="0074457B" w:rsidRPr="004A0C12" w:rsidRDefault="0074457B" w:rsidP="0074457B">
            <w:pPr>
              <w:jc w:val="center"/>
              <w:rPr>
                <w:rFonts w:ascii="Garamond" w:hAnsi="Garamond"/>
                <w:sz w:val="22"/>
                <w:szCs w:val="22"/>
              </w:rPr>
            </w:pPr>
            <w:r w:rsidRPr="004A0C12">
              <w:rPr>
                <w:rFonts w:ascii="Garamond" w:hAnsi="Garamond"/>
                <w:sz w:val="22"/>
                <w:szCs w:val="22"/>
              </w:rPr>
              <w:t>Measure</w:t>
            </w:r>
          </w:p>
        </w:tc>
        <w:tc>
          <w:tcPr>
            <w:tcW w:w="1280" w:type="dxa"/>
          </w:tcPr>
          <w:p w14:paraId="447BA22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Goal</w:t>
            </w:r>
          </w:p>
        </w:tc>
        <w:tc>
          <w:tcPr>
            <w:cnfStyle w:val="000010000000" w:firstRow="0" w:lastRow="0" w:firstColumn="0" w:lastColumn="0" w:oddVBand="1" w:evenVBand="0" w:oddHBand="0" w:evenHBand="0" w:firstRowFirstColumn="0" w:firstRowLastColumn="0" w:lastRowFirstColumn="0" w:lastRowLastColumn="0"/>
            <w:tcW w:w="1720" w:type="dxa"/>
          </w:tcPr>
          <w:p w14:paraId="56093784" w14:textId="77777777" w:rsidR="0074457B" w:rsidRPr="004A0C12" w:rsidRDefault="0074457B" w:rsidP="0074457B">
            <w:pPr>
              <w:jc w:val="center"/>
              <w:rPr>
                <w:rFonts w:ascii="Garamond" w:hAnsi="Garamond"/>
                <w:sz w:val="22"/>
                <w:szCs w:val="22"/>
              </w:rPr>
            </w:pPr>
            <w:r w:rsidRPr="004A0C12">
              <w:rPr>
                <w:rFonts w:ascii="Garamond" w:hAnsi="Garamond"/>
                <w:sz w:val="22"/>
                <w:szCs w:val="22"/>
              </w:rPr>
              <w:t>FY 14 Q1</w:t>
            </w:r>
          </w:p>
          <w:p w14:paraId="3AA3B25F" w14:textId="77777777" w:rsidR="0074457B" w:rsidRPr="004A0C12" w:rsidRDefault="0074457B" w:rsidP="0074457B">
            <w:pPr>
              <w:jc w:val="center"/>
              <w:rPr>
                <w:rFonts w:ascii="Garamond" w:hAnsi="Garamond"/>
                <w:sz w:val="22"/>
                <w:szCs w:val="22"/>
              </w:rPr>
            </w:pPr>
            <w:r w:rsidRPr="004A0C12">
              <w:rPr>
                <w:rFonts w:ascii="Garamond" w:hAnsi="Garamond"/>
                <w:sz w:val="22"/>
                <w:szCs w:val="22"/>
              </w:rPr>
              <w:t>(as of 4/9/14)</w:t>
            </w:r>
          </w:p>
        </w:tc>
        <w:tc>
          <w:tcPr>
            <w:tcW w:w="1720" w:type="dxa"/>
          </w:tcPr>
          <w:p w14:paraId="34FEC42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FY 14 Q2</w:t>
            </w:r>
          </w:p>
          <w:p w14:paraId="2CB8A7C6"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(as of 6/6/14)</w:t>
            </w:r>
          </w:p>
        </w:tc>
        <w:tc>
          <w:tcPr>
            <w:cnfStyle w:val="000010000000" w:firstRow="0" w:lastRow="0" w:firstColumn="0" w:lastColumn="0" w:oddVBand="1" w:evenVBand="0" w:oddHBand="0" w:evenHBand="0" w:firstRowFirstColumn="0" w:firstRowLastColumn="0" w:lastRowFirstColumn="0" w:lastRowLastColumn="0"/>
            <w:tcW w:w="1720" w:type="dxa"/>
          </w:tcPr>
          <w:p w14:paraId="43091DF6" w14:textId="77777777" w:rsidR="0074457B" w:rsidRPr="004A0C12" w:rsidRDefault="0074457B" w:rsidP="0074457B">
            <w:pPr>
              <w:jc w:val="center"/>
              <w:rPr>
                <w:rFonts w:ascii="Garamond" w:hAnsi="Garamond"/>
                <w:sz w:val="22"/>
                <w:szCs w:val="22"/>
              </w:rPr>
            </w:pPr>
            <w:r w:rsidRPr="004A0C12">
              <w:rPr>
                <w:rFonts w:ascii="Garamond" w:hAnsi="Garamond"/>
                <w:sz w:val="22"/>
                <w:szCs w:val="22"/>
              </w:rPr>
              <w:t>FY 14 Q3</w:t>
            </w:r>
          </w:p>
          <w:p w14:paraId="4FCF47B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(as of 9/5/14)</w:t>
            </w:r>
          </w:p>
        </w:tc>
        <w:tc>
          <w:tcPr>
            <w:tcW w:w="1950" w:type="dxa"/>
          </w:tcPr>
          <w:p w14:paraId="5DFE75F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FY 14 Q4</w:t>
            </w:r>
          </w:p>
          <w:p w14:paraId="0601748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(as of 12/9/14)</w:t>
            </w:r>
          </w:p>
        </w:tc>
      </w:tr>
      <w:tr w:rsidR="0074457B" w:rsidRPr="004A0C12" w14:paraId="1B3E6BA6" w14:textId="77777777" w:rsidTr="00900002">
        <w:trPr>
          <w:trHeight w:val="353"/>
        </w:trPr>
        <w:tc>
          <w:tcPr>
            <w:cnfStyle w:val="000010000000" w:firstRow="0" w:lastRow="0" w:firstColumn="0" w:lastColumn="0" w:oddVBand="1" w:evenVBand="0" w:oddHBand="0" w:evenHBand="0" w:firstRowFirstColumn="0" w:firstRowLastColumn="0" w:lastRowFirstColumn="0" w:lastRowLastColumn="0"/>
            <w:tcW w:w="2500" w:type="dxa"/>
          </w:tcPr>
          <w:p w14:paraId="5B512DDE" w14:textId="77777777" w:rsidR="0074457B" w:rsidRPr="004A0C12" w:rsidRDefault="0074457B" w:rsidP="0074457B">
            <w:pPr>
              <w:rPr>
                <w:rFonts w:ascii="Garamond" w:hAnsi="Garamond"/>
                <w:sz w:val="22"/>
                <w:szCs w:val="22"/>
              </w:rPr>
            </w:pPr>
            <w:r w:rsidRPr="004A0C12">
              <w:rPr>
                <w:rFonts w:ascii="Garamond" w:hAnsi="Garamond"/>
                <w:sz w:val="22"/>
                <w:szCs w:val="22"/>
              </w:rPr>
              <w:t>Training Expenditures</w:t>
            </w:r>
          </w:p>
        </w:tc>
        <w:tc>
          <w:tcPr>
            <w:tcW w:w="1280" w:type="dxa"/>
          </w:tcPr>
          <w:p w14:paraId="545974B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85% - 115%</w:t>
            </w:r>
          </w:p>
        </w:tc>
        <w:tc>
          <w:tcPr>
            <w:cnfStyle w:val="000010000000" w:firstRow="0" w:lastRow="0" w:firstColumn="0" w:lastColumn="0" w:oddVBand="1" w:evenVBand="0" w:oddHBand="0" w:evenHBand="0" w:firstRowFirstColumn="0" w:firstRowLastColumn="0" w:lastRowFirstColumn="0" w:lastRowLastColumn="0"/>
            <w:tcW w:w="1720" w:type="dxa"/>
          </w:tcPr>
          <w:p w14:paraId="06DF7856"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132.5%</w:t>
            </w:r>
          </w:p>
        </w:tc>
        <w:tc>
          <w:tcPr>
            <w:tcW w:w="1720" w:type="dxa"/>
          </w:tcPr>
          <w:p w14:paraId="4618254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166.8%</w:t>
            </w:r>
          </w:p>
        </w:tc>
        <w:tc>
          <w:tcPr>
            <w:cnfStyle w:val="000010000000" w:firstRow="0" w:lastRow="0" w:firstColumn="0" w:lastColumn="0" w:oddVBand="1" w:evenVBand="0" w:oddHBand="0" w:evenHBand="0" w:firstRowFirstColumn="0" w:firstRowLastColumn="0" w:lastRowFirstColumn="0" w:lastRowLastColumn="0"/>
            <w:tcW w:w="1720" w:type="dxa"/>
          </w:tcPr>
          <w:p w14:paraId="275AEAD0" w14:textId="77777777" w:rsidR="0074457B" w:rsidRPr="004A0C12" w:rsidRDefault="0074457B" w:rsidP="0074457B">
            <w:pPr>
              <w:jc w:val="center"/>
              <w:rPr>
                <w:rFonts w:ascii="Garamond" w:hAnsi="Garamond"/>
                <w:sz w:val="22"/>
                <w:szCs w:val="22"/>
              </w:rPr>
            </w:pPr>
            <w:r w:rsidRPr="004A0C12">
              <w:rPr>
                <w:rFonts w:ascii="Garamond" w:hAnsi="Garamond"/>
                <w:sz w:val="22"/>
                <w:szCs w:val="22"/>
              </w:rPr>
              <w:t>55.9%</w:t>
            </w:r>
          </w:p>
        </w:tc>
        <w:tc>
          <w:tcPr>
            <w:tcW w:w="1950" w:type="dxa"/>
          </w:tcPr>
          <w:p w14:paraId="65EEF51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65.7%</w:t>
            </w:r>
          </w:p>
        </w:tc>
      </w:tr>
      <w:tr w:rsidR="0074457B" w:rsidRPr="004A0C12" w14:paraId="67710142"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44B47A6C" w14:textId="77777777" w:rsidR="0074457B" w:rsidRPr="004A0C12" w:rsidRDefault="0074457B" w:rsidP="0074457B">
            <w:pPr>
              <w:rPr>
                <w:rFonts w:ascii="Garamond" w:hAnsi="Garamond"/>
                <w:sz w:val="22"/>
                <w:szCs w:val="22"/>
              </w:rPr>
            </w:pPr>
            <w:r w:rsidRPr="004A0C12">
              <w:rPr>
                <w:rFonts w:ascii="Garamond" w:hAnsi="Garamond"/>
                <w:sz w:val="22"/>
                <w:szCs w:val="22"/>
              </w:rPr>
              <w:t>TRA Expenditures</w:t>
            </w:r>
          </w:p>
        </w:tc>
        <w:tc>
          <w:tcPr>
            <w:tcW w:w="1280" w:type="dxa"/>
          </w:tcPr>
          <w:p w14:paraId="5AC96723"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85% - 115%</w:t>
            </w:r>
          </w:p>
        </w:tc>
        <w:tc>
          <w:tcPr>
            <w:cnfStyle w:val="000010000000" w:firstRow="0" w:lastRow="0" w:firstColumn="0" w:lastColumn="0" w:oddVBand="1" w:evenVBand="0" w:oddHBand="0" w:evenHBand="0" w:firstRowFirstColumn="0" w:firstRowLastColumn="0" w:lastRowFirstColumn="0" w:lastRowLastColumn="0"/>
            <w:tcW w:w="1720" w:type="dxa"/>
          </w:tcPr>
          <w:p w14:paraId="7B8684C0" w14:textId="77777777" w:rsidR="0074457B" w:rsidRPr="004A0C12" w:rsidRDefault="0074457B" w:rsidP="0074457B">
            <w:pPr>
              <w:jc w:val="center"/>
              <w:rPr>
                <w:rFonts w:ascii="Garamond" w:hAnsi="Garamond"/>
                <w:sz w:val="22"/>
                <w:szCs w:val="22"/>
              </w:rPr>
            </w:pPr>
            <w:r w:rsidRPr="004A0C12">
              <w:rPr>
                <w:rFonts w:ascii="Garamond" w:hAnsi="Garamond"/>
                <w:sz w:val="22"/>
                <w:szCs w:val="22"/>
              </w:rPr>
              <w:t>49.1%</w:t>
            </w:r>
          </w:p>
        </w:tc>
        <w:tc>
          <w:tcPr>
            <w:tcW w:w="1720" w:type="dxa"/>
          </w:tcPr>
          <w:p w14:paraId="729FAE3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98.3%</w:t>
            </w:r>
          </w:p>
        </w:tc>
        <w:tc>
          <w:tcPr>
            <w:cnfStyle w:val="000010000000" w:firstRow="0" w:lastRow="0" w:firstColumn="0" w:lastColumn="0" w:oddVBand="1" w:evenVBand="0" w:oddHBand="0" w:evenHBand="0" w:firstRowFirstColumn="0" w:firstRowLastColumn="0" w:lastRowFirstColumn="0" w:lastRowLastColumn="0"/>
            <w:tcW w:w="1720" w:type="dxa"/>
          </w:tcPr>
          <w:p w14:paraId="72EA4BC4"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98.0%</w:t>
            </w:r>
          </w:p>
        </w:tc>
        <w:tc>
          <w:tcPr>
            <w:tcW w:w="1950" w:type="dxa"/>
          </w:tcPr>
          <w:p w14:paraId="2169807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94.0%</w:t>
            </w:r>
          </w:p>
        </w:tc>
      </w:tr>
      <w:tr w:rsidR="0074457B" w:rsidRPr="004A0C12" w14:paraId="79D098FD"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754A2022" w14:textId="77777777" w:rsidR="0074457B" w:rsidRPr="004A0C12" w:rsidRDefault="0074457B" w:rsidP="0074457B">
            <w:pPr>
              <w:rPr>
                <w:rFonts w:ascii="Garamond" w:hAnsi="Garamond"/>
                <w:sz w:val="22"/>
                <w:szCs w:val="22"/>
              </w:rPr>
            </w:pPr>
            <w:r w:rsidRPr="004A0C12">
              <w:rPr>
                <w:rFonts w:ascii="Garamond" w:hAnsi="Garamond"/>
                <w:sz w:val="22"/>
                <w:szCs w:val="22"/>
              </w:rPr>
              <w:t>A/RTAA Expenditures</w:t>
            </w:r>
          </w:p>
        </w:tc>
        <w:tc>
          <w:tcPr>
            <w:tcW w:w="1280" w:type="dxa"/>
          </w:tcPr>
          <w:p w14:paraId="37BFAC6B"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85% - 115%</w:t>
            </w:r>
          </w:p>
        </w:tc>
        <w:tc>
          <w:tcPr>
            <w:cnfStyle w:val="000010000000" w:firstRow="0" w:lastRow="0" w:firstColumn="0" w:lastColumn="0" w:oddVBand="1" w:evenVBand="0" w:oddHBand="0" w:evenHBand="0" w:firstRowFirstColumn="0" w:firstRowLastColumn="0" w:lastRowFirstColumn="0" w:lastRowLastColumn="0"/>
            <w:tcW w:w="1720" w:type="dxa"/>
          </w:tcPr>
          <w:p w14:paraId="4F46464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93.2%</w:t>
            </w:r>
          </w:p>
        </w:tc>
        <w:tc>
          <w:tcPr>
            <w:tcW w:w="1720" w:type="dxa"/>
          </w:tcPr>
          <w:p w14:paraId="560327F3"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92.9%</w:t>
            </w:r>
          </w:p>
        </w:tc>
        <w:tc>
          <w:tcPr>
            <w:cnfStyle w:val="000010000000" w:firstRow="0" w:lastRow="0" w:firstColumn="0" w:lastColumn="0" w:oddVBand="1" w:evenVBand="0" w:oddHBand="0" w:evenHBand="0" w:firstRowFirstColumn="0" w:firstRowLastColumn="0" w:lastRowFirstColumn="0" w:lastRowLastColumn="0"/>
            <w:tcW w:w="1720" w:type="dxa"/>
          </w:tcPr>
          <w:p w14:paraId="52206F6A"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97.3%</w:t>
            </w:r>
          </w:p>
        </w:tc>
        <w:tc>
          <w:tcPr>
            <w:tcW w:w="1950" w:type="dxa"/>
          </w:tcPr>
          <w:p w14:paraId="415F230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94.7%</w:t>
            </w:r>
          </w:p>
        </w:tc>
      </w:tr>
      <w:tr w:rsidR="0074457B" w:rsidRPr="004A0C12" w14:paraId="526E021E"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528A17FF" w14:textId="77777777" w:rsidR="0074457B" w:rsidRPr="004A0C12" w:rsidRDefault="0074457B" w:rsidP="0074457B">
            <w:pPr>
              <w:rPr>
                <w:rFonts w:ascii="Garamond" w:hAnsi="Garamond"/>
                <w:sz w:val="22"/>
                <w:szCs w:val="22"/>
              </w:rPr>
            </w:pPr>
            <w:r w:rsidRPr="004A0C12">
              <w:rPr>
                <w:rFonts w:ascii="Garamond" w:hAnsi="Garamond"/>
                <w:sz w:val="22"/>
                <w:szCs w:val="22"/>
              </w:rPr>
              <w:t>Job Srch / Reloc Exp</w:t>
            </w:r>
          </w:p>
        </w:tc>
        <w:tc>
          <w:tcPr>
            <w:tcW w:w="1280" w:type="dxa"/>
          </w:tcPr>
          <w:p w14:paraId="16C775A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85% - 115%</w:t>
            </w:r>
          </w:p>
        </w:tc>
        <w:tc>
          <w:tcPr>
            <w:cnfStyle w:val="000010000000" w:firstRow="0" w:lastRow="0" w:firstColumn="0" w:lastColumn="0" w:oddVBand="1" w:evenVBand="0" w:oddHBand="0" w:evenHBand="0" w:firstRowFirstColumn="0" w:firstRowLastColumn="0" w:lastRowFirstColumn="0" w:lastRowLastColumn="0"/>
            <w:tcW w:w="1720" w:type="dxa"/>
          </w:tcPr>
          <w:p w14:paraId="7CF9E767" w14:textId="77777777" w:rsidR="0074457B" w:rsidRPr="004A0C12" w:rsidRDefault="0074457B" w:rsidP="0074457B">
            <w:pPr>
              <w:jc w:val="center"/>
              <w:rPr>
                <w:rFonts w:ascii="Garamond" w:hAnsi="Garamond"/>
                <w:sz w:val="22"/>
                <w:szCs w:val="22"/>
              </w:rPr>
            </w:pPr>
            <w:r w:rsidRPr="004A0C12">
              <w:rPr>
                <w:rFonts w:ascii="Garamond" w:hAnsi="Garamond"/>
                <w:sz w:val="22"/>
                <w:szCs w:val="22"/>
              </w:rPr>
              <w:t>0.0%</w:t>
            </w:r>
          </w:p>
        </w:tc>
        <w:tc>
          <w:tcPr>
            <w:tcW w:w="1720" w:type="dxa"/>
          </w:tcPr>
          <w:p w14:paraId="1A2F42C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0.0%</w:t>
            </w:r>
          </w:p>
        </w:tc>
        <w:tc>
          <w:tcPr>
            <w:cnfStyle w:val="000010000000" w:firstRow="0" w:lastRow="0" w:firstColumn="0" w:lastColumn="0" w:oddVBand="1" w:evenVBand="0" w:oddHBand="0" w:evenHBand="0" w:firstRowFirstColumn="0" w:firstRowLastColumn="0" w:lastRowFirstColumn="0" w:lastRowLastColumn="0"/>
            <w:tcW w:w="1720" w:type="dxa"/>
          </w:tcPr>
          <w:p w14:paraId="222240A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17166D5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768F9F92" w14:textId="77777777" w:rsidTr="00900002">
        <w:trPr>
          <w:trHeight w:val="225"/>
        </w:trPr>
        <w:tc>
          <w:tcPr>
            <w:cnfStyle w:val="000010000000" w:firstRow="0" w:lastRow="0" w:firstColumn="0" w:lastColumn="0" w:oddVBand="1" w:evenVBand="0" w:oddHBand="0" w:evenHBand="0" w:firstRowFirstColumn="0" w:firstRowLastColumn="0" w:lastRowFirstColumn="0" w:lastRowLastColumn="0"/>
            <w:tcW w:w="2500" w:type="dxa"/>
          </w:tcPr>
          <w:p w14:paraId="61540C5E" w14:textId="77777777" w:rsidR="0074457B" w:rsidRPr="004A0C12" w:rsidRDefault="0074457B" w:rsidP="0074457B">
            <w:pPr>
              <w:rPr>
                <w:rFonts w:ascii="Garamond" w:hAnsi="Garamond"/>
                <w:sz w:val="22"/>
                <w:szCs w:val="22"/>
              </w:rPr>
            </w:pPr>
            <w:r w:rsidRPr="004A0C12">
              <w:rPr>
                <w:rFonts w:ascii="Garamond" w:hAnsi="Garamond"/>
                <w:sz w:val="22"/>
                <w:szCs w:val="22"/>
              </w:rPr>
              <w:t>Tenure</w:t>
            </w:r>
          </w:p>
        </w:tc>
        <w:tc>
          <w:tcPr>
            <w:tcW w:w="1280" w:type="dxa"/>
          </w:tcPr>
          <w:p w14:paraId="706B5952"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614EA38F"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97.5%</w:t>
            </w:r>
          </w:p>
        </w:tc>
        <w:tc>
          <w:tcPr>
            <w:tcW w:w="1720" w:type="dxa"/>
          </w:tcPr>
          <w:p w14:paraId="20E5A00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98.7%</w:t>
            </w:r>
          </w:p>
        </w:tc>
        <w:tc>
          <w:tcPr>
            <w:cnfStyle w:val="000010000000" w:firstRow="0" w:lastRow="0" w:firstColumn="0" w:lastColumn="0" w:oddVBand="1" w:evenVBand="0" w:oddHBand="0" w:evenHBand="0" w:firstRowFirstColumn="0" w:firstRowLastColumn="0" w:lastRowFirstColumn="0" w:lastRowLastColumn="0"/>
            <w:tcW w:w="1720" w:type="dxa"/>
          </w:tcPr>
          <w:p w14:paraId="243A23A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98.8%</w:t>
            </w:r>
          </w:p>
        </w:tc>
        <w:tc>
          <w:tcPr>
            <w:tcW w:w="1950" w:type="dxa"/>
          </w:tcPr>
          <w:p w14:paraId="6575E2E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98.9%</w:t>
            </w:r>
          </w:p>
        </w:tc>
      </w:tr>
      <w:tr w:rsidR="0074457B" w:rsidRPr="004A0C12" w14:paraId="2C2382B1" w14:textId="77777777" w:rsidTr="00900002">
        <w:trPr>
          <w:cnfStyle w:val="000000100000" w:firstRow="0" w:lastRow="0" w:firstColumn="0" w:lastColumn="0" w:oddVBand="0" w:evenVBand="0" w:oddHBand="1" w:evenHBand="0" w:firstRowFirstColumn="0" w:firstRowLastColumn="0" w:lastRowFirstColumn="0" w:lastRowLastColumn="0"/>
          <w:trHeight w:val="234"/>
        </w:trPr>
        <w:tc>
          <w:tcPr>
            <w:cnfStyle w:val="000010000000" w:firstRow="0" w:lastRow="0" w:firstColumn="0" w:lastColumn="0" w:oddVBand="1" w:evenVBand="0" w:oddHBand="0" w:evenHBand="0" w:firstRowFirstColumn="0" w:firstRowLastColumn="0" w:lastRowFirstColumn="0" w:lastRowLastColumn="0"/>
            <w:tcW w:w="2500" w:type="dxa"/>
          </w:tcPr>
          <w:p w14:paraId="7EE99F71" w14:textId="77777777" w:rsidR="0074457B" w:rsidRPr="004A0C12" w:rsidRDefault="0074457B" w:rsidP="0074457B">
            <w:pPr>
              <w:rPr>
                <w:rFonts w:ascii="Garamond" w:hAnsi="Garamond"/>
                <w:sz w:val="22"/>
                <w:szCs w:val="22"/>
              </w:rPr>
            </w:pPr>
            <w:r w:rsidRPr="004A0C12">
              <w:rPr>
                <w:rFonts w:ascii="Garamond" w:hAnsi="Garamond"/>
                <w:sz w:val="22"/>
                <w:szCs w:val="22"/>
              </w:rPr>
              <w:t>ONET</w:t>
            </w:r>
          </w:p>
        </w:tc>
        <w:tc>
          <w:tcPr>
            <w:tcW w:w="1280" w:type="dxa"/>
          </w:tcPr>
          <w:p w14:paraId="6396B88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2832AE80" w14:textId="77777777" w:rsidR="0074457B" w:rsidRPr="004A0C12" w:rsidRDefault="0074457B" w:rsidP="0074457B">
            <w:pPr>
              <w:jc w:val="center"/>
              <w:rPr>
                <w:rFonts w:ascii="Garamond" w:hAnsi="Garamond"/>
                <w:sz w:val="22"/>
                <w:szCs w:val="22"/>
              </w:rPr>
            </w:pPr>
            <w:r w:rsidRPr="004A0C12">
              <w:rPr>
                <w:rFonts w:ascii="Garamond" w:hAnsi="Garamond"/>
                <w:sz w:val="22"/>
                <w:szCs w:val="22"/>
              </w:rPr>
              <w:t>0.9%</w:t>
            </w:r>
          </w:p>
        </w:tc>
        <w:tc>
          <w:tcPr>
            <w:tcW w:w="1720" w:type="dxa"/>
          </w:tcPr>
          <w:p w14:paraId="3B5D1D9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0.8%</w:t>
            </w:r>
          </w:p>
        </w:tc>
        <w:tc>
          <w:tcPr>
            <w:cnfStyle w:val="000010000000" w:firstRow="0" w:lastRow="0" w:firstColumn="0" w:lastColumn="0" w:oddVBand="1" w:evenVBand="0" w:oddHBand="0" w:evenHBand="0" w:firstRowFirstColumn="0" w:firstRowLastColumn="0" w:lastRowFirstColumn="0" w:lastRowLastColumn="0"/>
            <w:tcW w:w="1720" w:type="dxa"/>
          </w:tcPr>
          <w:p w14:paraId="7E4539CA" w14:textId="77777777" w:rsidR="0074457B" w:rsidRPr="004A0C12" w:rsidRDefault="0074457B" w:rsidP="0074457B">
            <w:pPr>
              <w:jc w:val="center"/>
              <w:rPr>
                <w:rFonts w:ascii="Garamond" w:hAnsi="Garamond"/>
                <w:sz w:val="22"/>
                <w:szCs w:val="22"/>
              </w:rPr>
            </w:pPr>
            <w:r w:rsidRPr="004A0C12">
              <w:rPr>
                <w:rFonts w:ascii="Garamond" w:hAnsi="Garamond"/>
                <w:sz w:val="22"/>
                <w:szCs w:val="22"/>
              </w:rPr>
              <w:t>69.9%</w:t>
            </w:r>
          </w:p>
        </w:tc>
        <w:tc>
          <w:tcPr>
            <w:tcW w:w="1950" w:type="dxa"/>
          </w:tcPr>
          <w:p w14:paraId="40C6F7F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79.1%</w:t>
            </w:r>
          </w:p>
        </w:tc>
      </w:tr>
      <w:tr w:rsidR="0074457B" w:rsidRPr="004A0C12" w14:paraId="02154195"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69599079" w14:textId="77777777" w:rsidR="0074457B" w:rsidRPr="004A0C12" w:rsidRDefault="0074457B" w:rsidP="0074457B">
            <w:pPr>
              <w:rPr>
                <w:rFonts w:ascii="Garamond" w:hAnsi="Garamond"/>
                <w:sz w:val="22"/>
                <w:szCs w:val="22"/>
              </w:rPr>
            </w:pPr>
            <w:r w:rsidRPr="004A0C12">
              <w:rPr>
                <w:rFonts w:ascii="Garamond" w:hAnsi="Garamond"/>
                <w:sz w:val="22"/>
                <w:szCs w:val="22"/>
              </w:rPr>
              <w:t>ISP</w:t>
            </w:r>
          </w:p>
        </w:tc>
        <w:tc>
          <w:tcPr>
            <w:tcW w:w="1280" w:type="dxa"/>
          </w:tcPr>
          <w:p w14:paraId="2C08596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575BCB3E" w14:textId="77777777" w:rsidR="0074457B" w:rsidRPr="004A0C12" w:rsidRDefault="0074457B" w:rsidP="0074457B">
            <w:pPr>
              <w:jc w:val="center"/>
              <w:rPr>
                <w:rFonts w:ascii="Garamond" w:hAnsi="Garamond"/>
                <w:sz w:val="22"/>
                <w:szCs w:val="22"/>
              </w:rPr>
            </w:pPr>
            <w:r w:rsidRPr="004A0C12">
              <w:rPr>
                <w:rFonts w:ascii="Garamond" w:hAnsi="Garamond"/>
                <w:sz w:val="22"/>
                <w:szCs w:val="22"/>
              </w:rPr>
              <w:t>74.4%</w:t>
            </w:r>
          </w:p>
        </w:tc>
        <w:tc>
          <w:tcPr>
            <w:tcW w:w="1720" w:type="dxa"/>
          </w:tcPr>
          <w:p w14:paraId="7790F42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69.8%</w:t>
            </w:r>
          </w:p>
        </w:tc>
        <w:tc>
          <w:tcPr>
            <w:cnfStyle w:val="000010000000" w:firstRow="0" w:lastRow="0" w:firstColumn="0" w:lastColumn="0" w:oddVBand="1" w:evenVBand="0" w:oddHBand="0" w:evenHBand="0" w:firstRowFirstColumn="0" w:firstRowLastColumn="0" w:lastRowFirstColumn="0" w:lastRowLastColumn="0"/>
            <w:tcW w:w="1720" w:type="dxa"/>
          </w:tcPr>
          <w:p w14:paraId="0EF31B7E"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1F72618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0E2BADA5"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04819F10" w14:textId="77777777" w:rsidR="0074457B" w:rsidRPr="004A0C12" w:rsidRDefault="0074457B" w:rsidP="0074457B">
            <w:pPr>
              <w:rPr>
                <w:rFonts w:ascii="Garamond" w:hAnsi="Garamond"/>
                <w:sz w:val="22"/>
                <w:szCs w:val="22"/>
              </w:rPr>
            </w:pPr>
            <w:r w:rsidRPr="004A0C12">
              <w:rPr>
                <w:rFonts w:ascii="Garamond" w:hAnsi="Garamond"/>
                <w:sz w:val="22"/>
                <w:szCs w:val="22"/>
              </w:rPr>
              <w:t>NAICS</w:t>
            </w:r>
          </w:p>
        </w:tc>
        <w:tc>
          <w:tcPr>
            <w:tcW w:w="1280" w:type="dxa"/>
          </w:tcPr>
          <w:p w14:paraId="7BBFE98D"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90%</w:t>
            </w:r>
          </w:p>
        </w:tc>
        <w:tc>
          <w:tcPr>
            <w:cnfStyle w:val="000010000000" w:firstRow="0" w:lastRow="0" w:firstColumn="0" w:lastColumn="0" w:oddVBand="1" w:evenVBand="0" w:oddHBand="0" w:evenHBand="0" w:firstRowFirstColumn="0" w:firstRowLastColumn="0" w:lastRowFirstColumn="0" w:lastRowLastColumn="0"/>
            <w:tcW w:w="1720" w:type="dxa"/>
          </w:tcPr>
          <w:p w14:paraId="0C6FB4A9"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3472780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2674A7ED"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96.8%</w:t>
            </w:r>
          </w:p>
        </w:tc>
        <w:tc>
          <w:tcPr>
            <w:tcW w:w="1950" w:type="dxa"/>
          </w:tcPr>
          <w:p w14:paraId="645AE5B8"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93.8%</w:t>
            </w:r>
          </w:p>
        </w:tc>
      </w:tr>
      <w:tr w:rsidR="0074457B" w:rsidRPr="004A0C12" w14:paraId="4F044E96" w14:textId="77777777" w:rsidTr="00900002">
        <w:trPr>
          <w:trHeight w:val="351"/>
        </w:trPr>
        <w:tc>
          <w:tcPr>
            <w:cnfStyle w:val="000010000000" w:firstRow="0" w:lastRow="0" w:firstColumn="0" w:lastColumn="0" w:oddVBand="1" w:evenVBand="0" w:oddHBand="0" w:evenHBand="0" w:firstRowFirstColumn="0" w:firstRowLastColumn="0" w:lastRowFirstColumn="0" w:lastRowLastColumn="0"/>
            <w:tcW w:w="2500" w:type="dxa"/>
          </w:tcPr>
          <w:p w14:paraId="3CB158B3" w14:textId="77777777" w:rsidR="0074457B" w:rsidRPr="004A0C12" w:rsidRDefault="0074457B" w:rsidP="0074457B">
            <w:pPr>
              <w:rPr>
                <w:rFonts w:ascii="Garamond" w:hAnsi="Garamond"/>
                <w:sz w:val="22"/>
                <w:szCs w:val="22"/>
              </w:rPr>
            </w:pPr>
            <w:r w:rsidRPr="004A0C12">
              <w:rPr>
                <w:rFonts w:ascii="Garamond" w:hAnsi="Garamond"/>
                <w:sz w:val="22"/>
                <w:szCs w:val="22"/>
              </w:rPr>
              <w:t>Credential</w:t>
            </w:r>
          </w:p>
        </w:tc>
        <w:tc>
          <w:tcPr>
            <w:tcW w:w="1280" w:type="dxa"/>
          </w:tcPr>
          <w:p w14:paraId="7AA4A8FC"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50%</w:t>
            </w:r>
          </w:p>
        </w:tc>
        <w:tc>
          <w:tcPr>
            <w:cnfStyle w:val="000010000000" w:firstRow="0" w:lastRow="0" w:firstColumn="0" w:lastColumn="0" w:oddVBand="1" w:evenVBand="0" w:oddHBand="0" w:evenHBand="0" w:firstRowFirstColumn="0" w:firstRowLastColumn="0" w:lastRowFirstColumn="0" w:lastRowLastColumn="0"/>
            <w:tcW w:w="1720" w:type="dxa"/>
          </w:tcPr>
          <w:p w14:paraId="19F3C336" w14:textId="77777777" w:rsidR="0074457B" w:rsidRPr="004A0C12" w:rsidRDefault="0074457B" w:rsidP="0074457B">
            <w:pPr>
              <w:jc w:val="center"/>
              <w:rPr>
                <w:rFonts w:ascii="Garamond" w:hAnsi="Garamond"/>
                <w:sz w:val="22"/>
                <w:szCs w:val="22"/>
              </w:rPr>
            </w:pPr>
            <w:r w:rsidRPr="004A0C12">
              <w:rPr>
                <w:rFonts w:ascii="Garamond" w:hAnsi="Garamond"/>
                <w:sz w:val="22"/>
                <w:szCs w:val="22"/>
              </w:rPr>
              <w:t>25.9%</w:t>
            </w:r>
          </w:p>
        </w:tc>
        <w:tc>
          <w:tcPr>
            <w:tcW w:w="1720" w:type="dxa"/>
          </w:tcPr>
          <w:p w14:paraId="3794A53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32.1%</w:t>
            </w:r>
          </w:p>
        </w:tc>
        <w:tc>
          <w:tcPr>
            <w:cnfStyle w:val="000010000000" w:firstRow="0" w:lastRow="0" w:firstColumn="0" w:lastColumn="0" w:oddVBand="1" w:evenVBand="0" w:oddHBand="0" w:evenHBand="0" w:firstRowFirstColumn="0" w:firstRowLastColumn="0" w:lastRowFirstColumn="0" w:lastRowLastColumn="0"/>
            <w:tcW w:w="1720" w:type="dxa"/>
          </w:tcPr>
          <w:p w14:paraId="5C93FEF5" w14:textId="77777777" w:rsidR="0074457B" w:rsidRPr="004A0C12" w:rsidRDefault="0074457B" w:rsidP="0074457B">
            <w:pPr>
              <w:jc w:val="center"/>
              <w:rPr>
                <w:rFonts w:ascii="Garamond" w:hAnsi="Garamond"/>
                <w:sz w:val="22"/>
                <w:szCs w:val="22"/>
              </w:rPr>
            </w:pPr>
            <w:r w:rsidRPr="004A0C12">
              <w:rPr>
                <w:rFonts w:ascii="Garamond" w:hAnsi="Garamond"/>
                <w:sz w:val="22"/>
                <w:szCs w:val="22"/>
              </w:rPr>
              <w:t>37.8%</w:t>
            </w:r>
          </w:p>
        </w:tc>
        <w:tc>
          <w:tcPr>
            <w:tcW w:w="1950" w:type="dxa"/>
          </w:tcPr>
          <w:p w14:paraId="34A8E920"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40.3%</w:t>
            </w:r>
          </w:p>
        </w:tc>
      </w:tr>
      <w:tr w:rsidR="0074457B" w:rsidRPr="004A0C12" w14:paraId="132608D0"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7347A1C9" w14:textId="77777777" w:rsidR="0074457B" w:rsidRPr="004A0C12" w:rsidRDefault="0074457B" w:rsidP="0074457B">
            <w:pPr>
              <w:rPr>
                <w:rFonts w:ascii="Garamond" w:hAnsi="Garamond"/>
                <w:sz w:val="22"/>
                <w:szCs w:val="22"/>
              </w:rPr>
            </w:pPr>
            <w:r w:rsidRPr="004A0C12">
              <w:rPr>
                <w:rFonts w:ascii="Garamond" w:hAnsi="Garamond"/>
                <w:sz w:val="22"/>
                <w:szCs w:val="22"/>
              </w:rPr>
              <w:t>Rapid Response</w:t>
            </w:r>
          </w:p>
        </w:tc>
        <w:tc>
          <w:tcPr>
            <w:tcW w:w="1280" w:type="dxa"/>
          </w:tcPr>
          <w:p w14:paraId="1E169F4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50%</w:t>
            </w:r>
          </w:p>
        </w:tc>
        <w:tc>
          <w:tcPr>
            <w:cnfStyle w:val="000010000000" w:firstRow="0" w:lastRow="0" w:firstColumn="0" w:lastColumn="0" w:oddVBand="1" w:evenVBand="0" w:oddHBand="0" w:evenHBand="0" w:firstRowFirstColumn="0" w:firstRowLastColumn="0" w:lastRowFirstColumn="0" w:lastRowLastColumn="0"/>
            <w:tcW w:w="1720" w:type="dxa"/>
          </w:tcPr>
          <w:p w14:paraId="64E9E31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21.8%</w:t>
            </w:r>
          </w:p>
        </w:tc>
        <w:tc>
          <w:tcPr>
            <w:tcW w:w="1720" w:type="dxa"/>
          </w:tcPr>
          <w:p w14:paraId="7BB9402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16.7%</w:t>
            </w:r>
          </w:p>
        </w:tc>
        <w:tc>
          <w:tcPr>
            <w:cnfStyle w:val="000010000000" w:firstRow="0" w:lastRow="0" w:firstColumn="0" w:lastColumn="0" w:oddVBand="1" w:evenVBand="0" w:oddHBand="0" w:evenHBand="0" w:firstRowFirstColumn="0" w:firstRowLastColumn="0" w:lastRowFirstColumn="0" w:lastRowLastColumn="0"/>
            <w:tcW w:w="1720" w:type="dxa"/>
          </w:tcPr>
          <w:p w14:paraId="0CDEA90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51.5%</w:t>
            </w:r>
          </w:p>
        </w:tc>
        <w:tc>
          <w:tcPr>
            <w:tcW w:w="1950" w:type="dxa"/>
          </w:tcPr>
          <w:p w14:paraId="5507467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74.3%</w:t>
            </w:r>
          </w:p>
        </w:tc>
      </w:tr>
      <w:tr w:rsidR="0074457B" w:rsidRPr="004A0C12" w14:paraId="5A5A9E8D"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352CCA09" w14:textId="77777777" w:rsidR="0074457B" w:rsidRPr="004A0C12" w:rsidRDefault="0074457B" w:rsidP="0074457B">
            <w:pPr>
              <w:rPr>
                <w:rFonts w:ascii="Garamond" w:hAnsi="Garamond"/>
                <w:sz w:val="22"/>
                <w:szCs w:val="22"/>
              </w:rPr>
            </w:pPr>
            <w:r w:rsidRPr="004A0C12">
              <w:rPr>
                <w:rFonts w:ascii="Garamond" w:hAnsi="Garamond"/>
                <w:sz w:val="22"/>
                <w:szCs w:val="22"/>
              </w:rPr>
              <w:t>Case Management</w:t>
            </w:r>
          </w:p>
        </w:tc>
        <w:tc>
          <w:tcPr>
            <w:tcW w:w="1280" w:type="dxa"/>
          </w:tcPr>
          <w:p w14:paraId="124F9722"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50%</w:t>
            </w:r>
          </w:p>
        </w:tc>
        <w:tc>
          <w:tcPr>
            <w:cnfStyle w:val="000010000000" w:firstRow="0" w:lastRow="0" w:firstColumn="0" w:lastColumn="0" w:oddVBand="1" w:evenVBand="0" w:oddHBand="0" w:evenHBand="0" w:firstRowFirstColumn="0" w:firstRowLastColumn="0" w:lastRowFirstColumn="0" w:lastRowLastColumn="0"/>
            <w:tcW w:w="1720" w:type="dxa"/>
          </w:tcPr>
          <w:p w14:paraId="1265C15B" w14:textId="77777777" w:rsidR="0074457B" w:rsidRPr="004A0C12" w:rsidRDefault="0074457B" w:rsidP="0074457B">
            <w:pPr>
              <w:jc w:val="center"/>
              <w:rPr>
                <w:rFonts w:ascii="Garamond" w:hAnsi="Garamond"/>
                <w:sz w:val="22"/>
                <w:szCs w:val="22"/>
              </w:rPr>
            </w:pPr>
            <w:r w:rsidRPr="004A0C12">
              <w:rPr>
                <w:rFonts w:ascii="Garamond" w:hAnsi="Garamond"/>
                <w:sz w:val="22"/>
                <w:szCs w:val="22"/>
              </w:rPr>
              <w:t>73.8%</w:t>
            </w:r>
          </w:p>
        </w:tc>
        <w:tc>
          <w:tcPr>
            <w:tcW w:w="1720" w:type="dxa"/>
          </w:tcPr>
          <w:p w14:paraId="64B776E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87.7%</w:t>
            </w:r>
          </w:p>
        </w:tc>
        <w:tc>
          <w:tcPr>
            <w:cnfStyle w:val="000010000000" w:firstRow="0" w:lastRow="0" w:firstColumn="0" w:lastColumn="0" w:oddVBand="1" w:evenVBand="0" w:oddHBand="0" w:evenHBand="0" w:firstRowFirstColumn="0" w:firstRowLastColumn="0" w:lastRowFirstColumn="0" w:lastRowLastColumn="0"/>
            <w:tcW w:w="1720" w:type="dxa"/>
          </w:tcPr>
          <w:p w14:paraId="6D597A9F"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83.2%</w:t>
            </w:r>
          </w:p>
        </w:tc>
        <w:tc>
          <w:tcPr>
            <w:tcW w:w="1950" w:type="dxa"/>
          </w:tcPr>
          <w:p w14:paraId="1CC20586"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83.4%</w:t>
            </w:r>
          </w:p>
        </w:tc>
      </w:tr>
      <w:tr w:rsidR="0074457B" w:rsidRPr="004A0C12" w14:paraId="3F51220B"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61815BE4" w14:textId="77777777" w:rsidR="0074457B" w:rsidRPr="004A0C12" w:rsidRDefault="0074457B" w:rsidP="0074457B">
            <w:pPr>
              <w:rPr>
                <w:rFonts w:ascii="Garamond" w:hAnsi="Garamond"/>
                <w:sz w:val="22"/>
                <w:szCs w:val="22"/>
              </w:rPr>
            </w:pPr>
            <w:r w:rsidRPr="004A0C12">
              <w:rPr>
                <w:rFonts w:ascii="Garamond" w:hAnsi="Garamond"/>
                <w:sz w:val="22"/>
                <w:szCs w:val="22"/>
              </w:rPr>
              <w:t>First TAA Date</w:t>
            </w:r>
          </w:p>
        </w:tc>
        <w:tc>
          <w:tcPr>
            <w:tcW w:w="1280" w:type="dxa"/>
          </w:tcPr>
          <w:p w14:paraId="3AAF1D6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90%</w:t>
            </w:r>
          </w:p>
        </w:tc>
        <w:tc>
          <w:tcPr>
            <w:cnfStyle w:val="000010000000" w:firstRow="0" w:lastRow="0" w:firstColumn="0" w:lastColumn="0" w:oddVBand="1" w:evenVBand="0" w:oddHBand="0" w:evenHBand="0" w:firstRowFirstColumn="0" w:firstRowLastColumn="0" w:lastRowFirstColumn="0" w:lastRowLastColumn="0"/>
            <w:tcW w:w="1720" w:type="dxa"/>
          </w:tcPr>
          <w:p w14:paraId="6B0807FA"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99.7%</w:t>
            </w:r>
          </w:p>
        </w:tc>
        <w:tc>
          <w:tcPr>
            <w:tcW w:w="1720" w:type="dxa"/>
          </w:tcPr>
          <w:p w14:paraId="2E2702E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29A7F060"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2ABD682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4962C9D9"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2693C83B" w14:textId="77777777" w:rsidR="0074457B" w:rsidRPr="004A0C12" w:rsidRDefault="0074457B" w:rsidP="0074457B">
            <w:pPr>
              <w:rPr>
                <w:rFonts w:ascii="Garamond" w:hAnsi="Garamond"/>
                <w:sz w:val="22"/>
                <w:szCs w:val="22"/>
              </w:rPr>
            </w:pPr>
            <w:r w:rsidRPr="004A0C12">
              <w:rPr>
                <w:rFonts w:ascii="Garamond" w:hAnsi="Garamond"/>
                <w:sz w:val="22"/>
                <w:szCs w:val="22"/>
              </w:rPr>
              <w:t>Agent Liable</w:t>
            </w:r>
          </w:p>
        </w:tc>
        <w:tc>
          <w:tcPr>
            <w:tcW w:w="1280" w:type="dxa"/>
          </w:tcPr>
          <w:p w14:paraId="0E7536C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75%</w:t>
            </w:r>
          </w:p>
        </w:tc>
        <w:tc>
          <w:tcPr>
            <w:cnfStyle w:val="000010000000" w:firstRow="0" w:lastRow="0" w:firstColumn="0" w:lastColumn="0" w:oddVBand="1" w:evenVBand="0" w:oddHBand="0" w:evenHBand="0" w:firstRowFirstColumn="0" w:firstRowLastColumn="0" w:lastRowFirstColumn="0" w:lastRowLastColumn="0"/>
            <w:tcW w:w="1720" w:type="dxa"/>
          </w:tcPr>
          <w:p w14:paraId="41C45F97"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89.4%</w:t>
            </w:r>
          </w:p>
        </w:tc>
        <w:tc>
          <w:tcPr>
            <w:tcW w:w="1720" w:type="dxa"/>
          </w:tcPr>
          <w:p w14:paraId="25940D22"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91.4%</w:t>
            </w:r>
          </w:p>
        </w:tc>
        <w:tc>
          <w:tcPr>
            <w:cnfStyle w:val="000010000000" w:firstRow="0" w:lastRow="0" w:firstColumn="0" w:lastColumn="0" w:oddVBand="1" w:evenVBand="0" w:oddHBand="0" w:evenHBand="0" w:firstRowFirstColumn="0" w:firstRowLastColumn="0" w:lastRowFirstColumn="0" w:lastRowLastColumn="0"/>
            <w:tcW w:w="1720" w:type="dxa"/>
          </w:tcPr>
          <w:p w14:paraId="3BC88CB2"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94.9%</w:t>
            </w:r>
          </w:p>
        </w:tc>
        <w:tc>
          <w:tcPr>
            <w:tcW w:w="1950" w:type="dxa"/>
          </w:tcPr>
          <w:p w14:paraId="17CA5D1C"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93.5%</w:t>
            </w:r>
          </w:p>
        </w:tc>
      </w:tr>
      <w:tr w:rsidR="0074457B" w:rsidRPr="004A0C12" w14:paraId="2B27EE1C"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6DE65907" w14:textId="77777777" w:rsidR="0074457B" w:rsidRPr="004A0C12" w:rsidRDefault="0074457B" w:rsidP="0074457B">
            <w:pPr>
              <w:rPr>
                <w:rFonts w:ascii="Garamond" w:hAnsi="Garamond"/>
                <w:sz w:val="22"/>
                <w:szCs w:val="22"/>
              </w:rPr>
            </w:pPr>
            <w:r w:rsidRPr="004A0C12">
              <w:rPr>
                <w:rFonts w:ascii="Garamond" w:hAnsi="Garamond"/>
                <w:sz w:val="22"/>
                <w:szCs w:val="22"/>
              </w:rPr>
              <w:t>Employment After Exit</w:t>
            </w:r>
          </w:p>
        </w:tc>
        <w:tc>
          <w:tcPr>
            <w:tcW w:w="1280" w:type="dxa"/>
          </w:tcPr>
          <w:p w14:paraId="38F2618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45940E72"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5BFB112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49CE6BB9"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0F076E8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4B116D79"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35E6836F" w14:textId="77777777" w:rsidR="0074457B" w:rsidRPr="004A0C12" w:rsidRDefault="0074457B" w:rsidP="0074457B">
            <w:pPr>
              <w:rPr>
                <w:rFonts w:ascii="Garamond" w:hAnsi="Garamond"/>
                <w:sz w:val="22"/>
                <w:szCs w:val="22"/>
              </w:rPr>
            </w:pPr>
            <w:r w:rsidRPr="004A0C12">
              <w:rPr>
                <w:rFonts w:ascii="Garamond" w:hAnsi="Garamond"/>
                <w:sz w:val="22"/>
                <w:szCs w:val="22"/>
              </w:rPr>
              <w:t>Wages Prior</w:t>
            </w:r>
          </w:p>
        </w:tc>
        <w:tc>
          <w:tcPr>
            <w:tcW w:w="1280" w:type="dxa"/>
          </w:tcPr>
          <w:p w14:paraId="674D1C4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1443B42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04631184"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67A3A42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0BDD7D02"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13940A08"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76A19A30" w14:textId="77777777" w:rsidR="0074457B" w:rsidRPr="004A0C12" w:rsidRDefault="0074457B" w:rsidP="0074457B">
            <w:pPr>
              <w:rPr>
                <w:rFonts w:ascii="Garamond" w:hAnsi="Garamond"/>
                <w:sz w:val="22"/>
                <w:szCs w:val="22"/>
              </w:rPr>
            </w:pPr>
            <w:r w:rsidRPr="004A0C12">
              <w:rPr>
                <w:rFonts w:ascii="Garamond" w:hAnsi="Garamond"/>
                <w:sz w:val="22"/>
                <w:szCs w:val="22"/>
              </w:rPr>
              <w:t>Wages Following</w:t>
            </w:r>
          </w:p>
        </w:tc>
        <w:tc>
          <w:tcPr>
            <w:tcW w:w="1280" w:type="dxa"/>
          </w:tcPr>
          <w:p w14:paraId="30A51E7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498EC55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0534D1E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5666439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2C3BF78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bl>
    <w:p w14:paraId="31517E6B" w14:textId="77777777" w:rsidR="0074457B" w:rsidRPr="004A0C12" w:rsidRDefault="0074457B" w:rsidP="0074457B">
      <w:pPr>
        <w:spacing w:after="0" w:line="240" w:lineRule="auto"/>
        <w:rPr>
          <w:rFonts w:ascii="Garamond" w:hAnsi="Garamond"/>
        </w:rPr>
      </w:pPr>
    </w:p>
    <w:tbl>
      <w:tblPr>
        <w:tblStyle w:val="PlainTable11"/>
        <w:tblW w:w="0" w:type="auto"/>
        <w:tblLayout w:type="fixed"/>
        <w:tblLook w:val="0000" w:firstRow="0" w:lastRow="0" w:firstColumn="0" w:lastColumn="0" w:noHBand="0" w:noVBand="0"/>
        <w:tblCaption w:val="Trade Program Assessment Results for FY 15"/>
        <w:tblDescription w:val="This chart shows the Trade Program's assessment results for FY 2015. "/>
      </w:tblPr>
      <w:tblGrid>
        <w:gridCol w:w="2500"/>
        <w:gridCol w:w="1280"/>
        <w:gridCol w:w="1720"/>
        <w:gridCol w:w="1720"/>
        <w:gridCol w:w="1720"/>
        <w:gridCol w:w="1950"/>
      </w:tblGrid>
      <w:tr w:rsidR="0074457B" w:rsidRPr="004A0C12" w14:paraId="2111F85D" w14:textId="77777777" w:rsidTr="008B1D9A">
        <w:trPr>
          <w:trHeight w:val="300"/>
          <w:tblHeader/>
        </w:trPr>
        <w:tc>
          <w:tcPr>
            <w:cnfStyle w:val="000010000000" w:firstRow="0" w:lastRow="0" w:firstColumn="0" w:lastColumn="0" w:oddVBand="1" w:evenVBand="0" w:oddHBand="0" w:evenHBand="0" w:firstRowFirstColumn="0" w:firstRowLastColumn="0" w:lastRowFirstColumn="0" w:lastRowLastColumn="0"/>
            <w:tcW w:w="10890" w:type="dxa"/>
            <w:gridSpan w:val="6"/>
          </w:tcPr>
          <w:p w14:paraId="1E6B9A7A"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xml:space="preserve">Trade Program Assessment Results for FY 15 </w:t>
            </w:r>
          </w:p>
        </w:tc>
      </w:tr>
      <w:tr w:rsidR="0074457B" w:rsidRPr="004A0C12" w14:paraId="287FFC01" w14:textId="77777777" w:rsidTr="00900002">
        <w:trPr>
          <w:cnfStyle w:val="000000100000" w:firstRow="0" w:lastRow="0" w:firstColumn="0" w:lastColumn="0" w:oddVBand="0" w:evenVBand="0" w:oddHBand="1" w:evenHBand="0" w:firstRowFirstColumn="0" w:firstRowLastColumn="0" w:lastRowFirstColumn="0" w:lastRowLastColumn="0"/>
          <w:trHeight w:val="660"/>
        </w:trPr>
        <w:tc>
          <w:tcPr>
            <w:cnfStyle w:val="000010000000" w:firstRow="0" w:lastRow="0" w:firstColumn="0" w:lastColumn="0" w:oddVBand="1" w:evenVBand="0" w:oddHBand="0" w:evenHBand="0" w:firstRowFirstColumn="0" w:firstRowLastColumn="0" w:lastRowFirstColumn="0" w:lastRowLastColumn="0"/>
            <w:tcW w:w="2500" w:type="dxa"/>
          </w:tcPr>
          <w:p w14:paraId="4971CA8C" w14:textId="77777777" w:rsidR="0074457B" w:rsidRPr="004A0C12" w:rsidRDefault="0074457B" w:rsidP="0074457B">
            <w:pPr>
              <w:jc w:val="center"/>
              <w:rPr>
                <w:rFonts w:ascii="Garamond" w:hAnsi="Garamond"/>
                <w:sz w:val="22"/>
                <w:szCs w:val="22"/>
              </w:rPr>
            </w:pPr>
            <w:r w:rsidRPr="004A0C12">
              <w:rPr>
                <w:rFonts w:ascii="Garamond" w:hAnsi="Garamond"/>
                <w:sz w:val="22"/>
                <w:szCs w:val="22"/>
              </w:rPr>
              <w:t>Measure</w:t>
            </w:r>
          </w:p>
        </w:tc>
        <w:tc>
          <w:tcPr>
            <w:tcW w:w="1280" w:type="dxa"/>
          </w:tcPr>
          <w:p w14:paraId="2D7430A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Goal</w:t>
            </w:r>
          </w:p>
        </w:tc>
        <w:tc>
          <w:tcPr>
            <w:cnfStyle w:val="000010000000" w:firstRow="0" w:lastRow="0" w:firstColumn="0" w:lastColumn="0" w:oddVBand="1" w:evenVBand="0" w:oddHBand="0" w:evenHBand="0" w:firstRowFirstColumn="0" w:firstRowLastColumn="0" w:lastRowFirstColumn="0" w:lastRowLastColumn="0"/>
            <w:tcW w:w="1720" w:type="dxa"/>
          </w:tcPr>
          <w:p w14:paraId="5D7A6D2C" w14:textId="77777777" w:rsidR="0074457B" w:rsidRPr="004A0C12" w:rsidRDefault="0074457B" w:rsidP="0074457B">
            <w:pPr>
              <w:jc w:val="center"/>
              <w:rPr>
                <w:rFonts w:ascii="Garamond" w:hAnsi="Garamond"/>
                <w:sz w:val="22"/>
                <w:szCs w:val="22"/>
              </w:rPr>
            </w:pPr>
            <w:r w:rsidRPr="004A0C12">
              <w:rPr>
                <w:rFonts w:ascii="Garamond" w:hAnsi="Garamond"/>
                <w:sz w:val="22"/>
                <w:szCs w:val="22"/>
              </w:rPr>
              <w:t>FY 15 Q1</w:t>
            </w:r>
          </w:p>
          <w:p w14:paraId="3CBB2546" w14:textId="77777777" w:rsidR="0074457B" w:rsidRPr="004A0C12" w:rsidRDefault="0074457B" w:rsidP="0074457B">
            <w:pPr>
              <w:jc w:val="center"/>
              <w:rPr>
                <w:rFonts w:ascii="Garamond" w:hAnsi="Garamond"/>
                <w:sz w:val="22"/>
                <w:szCs w:val="22"/>
              </w:rPr>
            </w:pPr>
            <w:r w:rsidRPr="004A0C12">
              <w:rPr>
                <w:rFonts w:ascii="Garamond" w:hAnsi="Garamond"/>
                <w:sz w:val="22"/>
                <w:szCs w:val="22"/>
              </w:rPr>
              <w:t>(as of 3/10/15)</w:t>
            </w:r>
          </w:p>
        </w:tc>
        <w:tc>
          <w:tcPr>
            <w:tcW w:w="1720" w:type="dxa"/>
          </w:tcPr>
          <w:p w14:paraId="7291C4A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FY Q2</w:t>
            </w:r>
          </w:p>
          <w:p w14:paraId="5D32D6F2"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(as of 6/4/2015)</w:t>
            </w:r>
          </w:p>
          <w:p w14:paraId="026CE17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1720" w:type="dxa"/>
          </w:tcPr>
          <w:p w14:paraId="2611C2F5" w14:textId="77777777" w:rsidR="0074457B" w:rsidRPr="004A0C12" w:rsidRDefault="0074457B" w:rsidP="0074457B">
            <w:pPr>
              <w:jc w:val="center"/>
              <w:rPr>
                <w:rFonts w:ascii="Garamond" w:hAnsi="Garamond"/>
                <w:sz w:val="22"/>
                <w:szCs w:val="22"/>
              </w:rPr>
            </w:pPr>
            <w:r w:rsidRPr="004A0C12">
              <w:rPr>
                <w:rFonts w:ascii="Garamond" w:hAnsi="Garamond"/>
                <w:sz w:val="22"/>
                <w:szCs w:val="22"/>
              </w:rPr>
              <w:t>FY 15 Q3</w:t>
            </w:r>
          </w:p>
          <w:p w14:paraId="1271041B" w14:textId="77777777" w:rsidR="0074457B" w:rsidRPr="004A0C12" w:rsidRDefault="0074457B" w:rsidP="0074457B">
            <w:pPr>
              <w:jc w:val="center"/>
              <w:rPr>
                <w:rFonts w:ascii="Garamond" w:hAnsi="Garamond"/>
                <w:sz w:val="22"/>
                <w:szCs w:val="22"/>
              </w:rPr>
            </w:pPr>
            <w:r w:rsidRPr="004A0C12">
              <w:rPr>
                <w:rFonts w:ascii="Garamond" w:hAnsi="Garamond"/>
                <w:sz w:val="22"/>
                <w:szCs w:val="22"/>
              </w:rPr>
              <w:t>(as of 9/2/15)</w:t>
            </w:r>
          </w:p>
        </w:tc>
        <w:tc>
          <w:tcPr>
            <w:tcW w:w="1950" w:type="dxa"/>
          </w:tcPr>
          <w:p w14:paraId="14B734C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FY 15 Q4</w:t>
            </w:r>
          </w:p>
          <w:p w14:paraId="5370C69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(as of 12/10/15)</w:t>
            </w:r>
          </w:p>
        </w:tc>
      </w:tr>
      <w:tr w:rsidR="0074457B" w:rsidRPr="004A0C12" w14:paraId="4B14B0D4"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50F38815" w14:textId="77777777" w:rsidR="0074457B" w:rsidRPr="004A0C12" w:rsidRDefault="0074457B" w:rsidP="0074457B">
            <w:pPr>
              <w:rPr>
                <w:rFonts w:ascii="Garamond" w:hAnsi="Garamond"/>
                <w:sz w:val="22"/>
                <w:szCs w:val="22"/>
              </w:rPr>
            </w:pPr>
            <w:r w:rsidRPr="004A0C12">
              <w:rPr>
                <w:rFonts w:ascii="Garamond" w:hAnsi="Garamond"/>
                <w:sz w:val="22"/>
                <w:szCs w:val="22"/>
              </w:rPr>
              <w:t>Training Expenditures</w:t>
            </w:r>
          </w:p>
        </w:tc>
        <w:tc>
          <w:tcPr>
            <w:tcW w:w="1280" w:type="dxa"/>
          </w:tcPr>
          <w:p w14:paraId="29B85FA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85% - 115%</w:t>
            </w:r>
          </w:p>
        </w:tc>
        <w:tc>
          <w:tcPr>
            <w:cnfStyle w:val="000010000000" w:firstRow="0" w:lastRow="0" w:firstColumn="0" w:lastColumn="0" w:oddVBand="1" w:evenVBand="0" w:oddHBand="0" w:evenHBand="0" w:firstRowFirstColumn="0" w:firstRowLastColumn="0" w:lastRowFirstColumn="0" w:lastRowLastColumn="0"/>
            <w:tcW w:w="1720" w:type="dxa"/>
          </w:tcPr>
          <w:p w14:paraId="213B45B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Discrepancy</w:t>
            </w:r>
          </w:p>
        </w:tc>
        <w:tc>
          <w:tcPr>
            <w:tcW w:w="1720" w:type="dxa"/>
          </w:tcPr>
          <w:p w14:paraId="79EE5D76"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Discrepancy</w:t>
            </w:r>
          </w:p>
        </w:tc>
        <w:tc>
          <w:tcPr>
            <w:cnfStyle w:val="000010000000" w:firstRow="0" w:lastRow="0" w:firstColumn="0" w:lastColumn="0" w:oddVBand="1" w:evenVBand="0" w:oddHBand="0" w:evenHBand="0" w:firstRowFirstColumn="0" w:firstRowLastColumn="0" w:lastRowFirstColumn="0" w:lastRowLastColumn="0"/>
            <w:tcW w:w="1720" w:type="dxa"/>
          </w:tcPr>
          <w:p w14:paraId="48846BDB" w14:textId="77777777" w:rsidR="0074457B" w:rsidRPr="004A0C12" w:rsidRDefault="0074457B" w:rsidP="0074457B">
            <w:pPr>
              <w:jc w:val="center"/>
              <w:rPr>
                <w:rFonts w:ascii="Garamond" w:hAnsi="Garamond"/>
                <w:sz w:val="22"/>
                <w:szCs w:val="22"/>
              </w:rPr>
            </w:pPr>
            <w:r w:rsidRPr="004A0C12">
              <w:rPr>
                <w:rFonts w:ascii="Garamond" w:hAnsi="Garamond"/>
                <w:sz w:val="22"/>
                <w:szCs w:val="22"/>
              </w:rPr>
              <w:t>Discrepancy</w:t>
            </w:r>
          </w:p>
        </w:tc>
        <w:tc>
          <w:tcPr>
            <w:tcW w:w="1950" w:type="dxa"/>
          </w:tcPr>
          <w:p w14:paraId="1B2A914B"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Adjustment</w:t>
            </w:r>
          </w:p>
        </w:tc>
      </w:tr>
      <w:tr w:rsidR="0074457B" w:rsidRPr="004A0C12" w14:paraId="216A73FA"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73D092E6" w14:textId="77777777" w:rsidR="0074457B" w:rsidRPr="004A0C12" w:rsidRDefault="0074457B" w:rsidP="0074457B">
            <w:pPr>
              <w:rPr>
                <w:rFonts w:ascii="Garamond" w:hAnsi="Garamond"/>
                <w:sz w:val="22"/>
                <w:szCs w:val="22"/>
              </w:rPr>
            </w:pPr>
            <w:r w:rsidRPr="004A0C12">
              <w:rPr>
                <w:rFonts w:ascii="Garamond" w:hAnsi="Garamond"/>
                <w:sz w:val="22"/>
                <w:szCs w:val="22"/>
              </w:rPr>
              <w:t>TRA Expenditures</w:t>
            </w:r>
          </w:p>
        </w:tc>
        <w:tc>
          <w:tcPr>
            <w:tcW w:w="1280" w:type="dxa"/>
          </w:tcPr>
          <w:p w14:paraId="23A0724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85% - 115%</w:t>
            </w:r>
          </w:p>
        </w:tc>
        <w:tc>
          <w:tcPr>
            <w:cnfStyle w:val="000010000000" w:firstRow="0" w:lastRow="0" w:firstColumn="0" w:lastColumn="0" w:oddVBand="1" w:evenVBand="0" w:oddHBand="0" w:evenHBand="0" w:firstRowFirstColumn="0" w:firstRowLastColumn="0" w:lastRowFirstColumn="0" w:lastRowLastColumn="0"/>
            <w:tcW w:w="1720" w:type="dxa"/>
          </w:tcPr>
          <w:p w14:paraId="5D4BBBEB" w14:textId="77777777" w:rsidR="0074457B" w:rsidRPr="004A0C12" w:rsidRDefault="0074457B" w:rsidP="0074457B">
            <w:pPr>
              <w:jc w:val="center"/>
              <w:rPr>
                <w:rFonts w:ascii="Garamond" w:hAnsi="Garamond"/>
                <w:sz w:val="22"/>
                <w:szCs w:val="22"/>
              </w:rPr>
            </w:pPr>
            <w:r w:rsidRPr="004A0C12">
              <w:rPr>
                <w:rFonts w:ascii="Garamond" w:hAnsi="Garamond"/>
                <w:sz w:val="22"/>
                <w:szCs w:val="22"/>
              </w:rPr>
              <w:t>Pass</w:t>
            </w:r>
          </w:p>
        </w:tc>
        <w:tc>
          <w:tcPr>
            <w:tcW w:w="1720" w:type="dxa"/>
          </w:tcPr>
          <w:p w14:paraId="3D7508D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Pass</w:t>
            </w:r>
          </w:p>
        </w:tc>
        <w:tc>
          <w:tcPr>
            <w:cnfStyle w:val="000010000000" w:firstRow="0" w:lastRow="0" w:firstColumn="0" w:lastColumn="0" w:oddVBand="1" w:evenVBand="0" w:oddHBand="0" w:evenHBand="0" w:firstRowFirstColumn="0" w:firstRowLastColumn="0" w:lastRowFirstColumn="0" w:lastRowLastColumn="0"/>
            <w:tcW w:w="1720" w:type="dxa"/>
          </w:tcPr>
          <w:p w14:paraId="4DE07A6B" w14:textId="77777777" w:rsidR="0074457B" w:rsidRPr="004A0C12" w:rsidRDefault="0074457B" w:rsidP="0074457B">
            <w:pPr>
              <w:jc w:val="center"/>
              <w:rPr>
                <w:rFonts w:ascii="Garamond" w:hAnsi="Garamond"/>
                <w:sz w:val="22"/>
                <w:szCs w:val="22"/>
              </w:rPr>
            </w:pPr>
            <w:r w:rsidRPr="004A0C12">
              <w:rPr>
                <w:rFonts w:ascii="Garamond" w:hAnsi="Garamond"/>
                <w:sz w:val="22"/>
                <w:szCs w:val="22"/>
              </w:rPr>
              <w:t>Pass</w:t>
            </w:r>
          </w:p>
        </w:tc>
        <w:tc>
          <w:tcPr>
            <w:tcW w:w="1950" w:type="dxa"/>
          </w:tcPr>
          <w:p w14:paraId="37C526B3"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Pass</w:t>
            </w:r>
          </w:p>
        </w:tc>
      </w:tr>
      <w:tr w:rsidR="0074457B" w:rsidRPr="004A0C12" w14:paraId="76FA5E6E"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0BEFF439" w14:textId="77777777" w:rsidR="0074457B" w:rsidRPr="004A0C12" w:rsidRDefault="0074457B" w:rsidP="0074457B">
            <w:pPr>
              <w:rPr>
                <w:rFonts w:ascii="Garamond" w:hAnsi="Garamond"/>
                <w:sz w:val="22"/>
                <w:szCs w:val="22"/>
              </w:rPr>
            </w:pPr>
            <w:r w:rsidRPr="004A0C12">
              <w:rPr>
                <w:rFonts w:ascii="Garamond" w:hAnsi="Garamond"/>
                <w:sz w:val="22"/>
                <w:szCs w:val="22"/>
              </w:rPr>
              <w:t>A/RTAA Expenditures</w:t>
            </w:r>
          </w:p>
        </w:tc>
        <w:tc>
          <w:tcPr>
            <w:tcW w:w="1280" w:type="dxa"/>
          </w:tcPr>
          <w:p w14:paraId="0F78DD3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85% - 115%</w:t>
            </w:r>
          </w:p>
        </w:tc>
        <w:tc>
          <w:tcPr>
            <w:cnfStyle w:val="000010000000" w:firstRow="0" w:lastRow="0" w:firstColumn="0" w:lastColumn="0" w:oddVBand="1" w:evenVBand="0" w:oddHBand="0" w:evenHBand="0" w:firstRowFirstColumn="0" w:firstRowLastColumn="0" w:lastRowFirstColumn="0" w:lastRowLastColumn="0"/>
            <w:tcW w:w="1720" w:type="dxa"/>
          </w:tcPr>
          <w:p w14:paraId="2ACC3F4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Pass</w:t>
            </w:r>
          </w:p>
        </w:tc>
        <w:tc>
          <w:tcPr>
            <w:tcW w:w="1720" w:type="dxa"/>
          </w:tcPr>
          <w:p w14:paraId="78A489F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Pass</w:t>
            </w:r>
          </w:p>
        </w:tc>
        <w:tc>
          <w:tcPr>
            <w:cnfStyle w:val="000010000000" w:firstRow="0" w:lastRow="0" w:firstColumn="0" w:lastColumn="0" w:oddVBand="1" w:evenVBand="0" w:oddHBand="0" w:evenHBand="0" w:firstRowFirstColumn="0" w:firstRowLastColumn="0" w:lastRowFirstColumn="0" w:lastRowLastColumn="0"/>
            <w:tcW w:w="1720" w:type="dxa"/>
          </w:tcPr>
          <w:p w14:paraId="5B4EB122" w14:textId="77777777" w:rsidR="0074457B" w:rsidRPr="004A0C12" w:rsidRDefault="0074457B" w:rsidP="0074457B">
            <w:pPr>
              <w:jc w:val="center"/>
              <w:rPr>
                <w:rFonts w:ascii="Garamond" w:hAnsi="Garamond"/>
                <w:sz w:val="22"/>
                <w:szCs w:val="22"/>
              </w:rPr>
            </w:pPr>
            <w:r w:rsidRPr="004A0C12">
              <w:rPr>
                <w:rFonts w:ascii="Garamond" w:hAnsi="Garamond"/>
                <w:sz w:val="22"/>
                <w:szCs w:val="22"/>
              </w:rPr>
              <w:t>Pass</w:t>
            </w:r>
          </w:p>
        </w:tc>
        <w:tc>
          <w:tcPr>
            <w:tcW w:w="1950" w:type="dxa"/>
          </w:tcPr>
          <w:p w14:paraId="74EE59D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Pass</w:t>
            </w:r>
          </w:p>
        </w:tc>
      </w:tr>
      <w:tr w:rsidR="0074457B" w:rsidRPr="004A0C12" w14:paraId="0A9B04DB"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7E059892" w14:textId="77777777" w:rsidR="0074457B" w:rsidRPr="004A0C12" w:rsidRDefault="0074457B" w:rsidP="0074457B">
            <w:pPr>
              <w:rPr>
                <w:rFonts w:ascii="Garamond" w:hAnsi="Garamond"/>
                <w:sz w:val="22"/>
                <w:szCs w:val="22"/>
              </w:rPr>
            </w:pPr>
            <w:r w:rsidRPr="004A0C12">
              <w:rPr>
                <w:rFonts w:ascii="Garamond" w:hAnsi="Garamond"/>
                <w:sz w:val="22"/>
                <w:szCs w:val="22"/>
              </w:rPr>
              <w:t>Job Srch / Reloc Exp</w:t>
            </w:r>
          </w:p>
        </w:tc>
        <w:tc>
          <w:tcPr>
            <w:tcW w:w="1280" w:type="dxa"/>
          </w:tcPr>
          <w:p w14:paraId="37BB078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85% - 115%</w:t>
            </w:r>
          </w:p>
        </w:tc>
        <w:tc>
          <w:tcPr>
            <w:cnfStyle w:val="000010000000" w:firstRow="0" w:lastRow="0" w:firstColumn="0" w:lastColumn="0" w:oddVBand="1" w:evenVBand="0" w:oddHBand="0" w:evenHBand="0" w:firstRowFirstColumn="0" w:firstRowLastColumn="0" w:lastRowFirstColumn="0" w:lastRowLastColumn="0"/>
            <w:tcW w:w="1720" w:type="dxa"/>
          </w:tcPr>
          <w:p w14:paraId="1D1DCFCB" w14:textId="77777777" w:rsidR="0074457B" w:rsidRPr="004A0C12" w:rsidRDefault="0074457B" w:rsidP="0074457B">
            <w:pPr>
              <w:jc w:val="center"/>
              <w:rPr>
                <w:rFonts w:ascii="Garamond" w:hAnsi="Garamond"/>
                <w:sz w:val="22"/>
                <w:szCs w:val="22"/>
              </w:rPr>
            </w:pPr>
            <w:r w:rsidRPr="004A0C12">
              <w:rPr>
                <w:rFonts w:ascii="Garamond" w:hAnsi="Garamond"/>
                <w:sz w:val="22"/>
                <w:szCs w:val="22"/>
              </w:rPr>
              <w:t>Pass</w:t>
            </w:r>
          </w:p>
        </w:tc>
        <w:tc>
          <w:tcPr>
            <w:tcW w:w="1720" w:type="dxa"/>
          </w:tcPr>
          <w:p w14:paraId="1BB9663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Discrepancy</w:t>
            </w:r>
          </w:p>
        </w:tc>
        <w:tc>
          <w:tcPr>
            <w:cnfStyle w:val="000010000000" w:firstRow="0" w:lastRow="0" w:firstColumn="0" w:lastColumn="0" w:oddVBand="1" w:evenVBand="0" w:oddHBand="0" w:evenHBand="0" w:firstRowFirstColumn="0" w:firstRowLastColumn="0" w:lastRowFirstColumn="0" w:lastRowLastColumn="0"/>
            <w:tcW w:w="1720" w:type="dxa"/>
          </w:tcPr>
          <w:p w14:paraId="3293A3DA" w14:textId="77777777" w:rsidR="0074457B" w:rsidRPr="004A0C12" w:rsidRDefault="0074457B" w:rsidP="0074457B">
            <w:pPr>
              <w:jc w:val="center"/>
              <w:rPr>
                <w:rFonts w:ascii="Garamond" w:hAnsi="Garamond"/>
                <w:sz w:val="22"/>
                <w:szCs w:val="22"/>
              </w:rPr>
            </w:pPr>
            <w:r w:rsidRPr="004A0C12">
              <w:rPr>
                <w:rFonts w:ascii="Garamond" w:hAnsi="Garamond"/>
                <w:sz w:val="22"/>
                <w:szCs w:val="22"/>
              </w:rPr>
              <w:t>Discrepancy</w:t>
            </w:r>
          </w:p>
        </w:tc>
        <w:tc>
          <w:tcPr>
            <w:tcW w:w="1950" w:type="dxa"/>
          </w:tcPr>
          <w:p w14:paraId="6501A16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Pass</w:t>
            </w:r>
          </w:p>
        </w:tc>
      </w:tr>
      <w:tr w:rsidR="0074457B" w:rsidRPr="004A0C12" w14:paraId="104B8552"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7815FDC0" w14:textId="77777777" w:rsidR="0074457B" w:rsidRPr="004A0C12" w:rsidRDefault="0074457B" w:rsidP="0074457B">
            <w:pPr>
              <w:rPr>
                <w:rFonts w:ascii="Garamond" w:hAnsi="Garamond"/>
                <w:sz w:val="22"/>
                <w:szCs w:val="22"/>
              </w:rPr>
            </w:pPr>
            <w:r w:rsidRPr="004A0C12">
              <w:rPr>
                <w:rFonts w:ascii="Garamond" w:hAnsi="Garamond"/>
                <w:sz w:val="22"/>
                <w:szCs w:val="22"/>
              </w:rPr>
              <w:t>Tenure</w:t>
            </w:r>
          </w:p>
        </w:tc>
        <w:tc>
          <w:tcPr>
            <w:tcW w:w="1280" w:type="dxa"/>
          </w:tcPr>
          <w:p w14:paraId="7EB4B7C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75FBC920"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575FBD7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0EF58822"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99.0%</w:t>
            </w:r>
          </w:p>
        </w:tc>
        <w:tc>
          <w:tcPr>
            <w:tcW w:w="1950" w:type="dxa"/>
          </w:tcPr>
          <w:p w14:paraId="7C742F6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50865709"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3C465ADA" w14:textId="77777777" w:rsidR="0074457B" w:rsidRPr="004A0C12" w:rsidRDefault="0074457B" w:rsidP="0074457B">
            <w:pPr>
              <w:rPr>
                <w:rFonts w:ascii="Garamond" w:hAnsi="Garamond"/>
                <w:sz w:val="22"/>
                <w:szCs w:val="22"/>
              </w:rPr>
            </w:pPr>
            <w:r w:rsidRPr="004A0C12">
              <w:rPr>
                <w:rFonts w:ascii="Garamond" w:hAnsi="Garamond"/>
                <w:sz w:val="22"/>
                <w:szCs w:val="22"/>
              </w:rPr>
              <w:t>ONET</w:t>
            </w:r>
          </w:p>
        </w:tc>
        <w:tc>
          <w:tcPr>
            <w:tcW w:w="1280" w:type="dxa"/>
          </w:tcPr>
          <w:p w14:paraId="721842A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27C1B1E6"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82.1%</w:t>
            </w:r>
          </w:p>
        </w:tc>
        <w:tc>
          <w:tcPr>
            <w:tcW w:w="1720" w:type="dxa"/>
          </w:tcPr>
          <w:p w14:paraId="4CD2851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74.2%</w:t>
            </w:r>
          </w:p>
        </w:tc>
        <w:tc>
          <w:tcPr>
            <w:cnfStyle w:val="000010000000" w:firstRow="0" w:lastRow="0" w:firstColumn="0" w:lastColumn="0" w:oddVBand="1" w:evenVBand="0" w:oddHBand="0" w:evenHBand="0" w:firstRowFirstColumn="0" w:firstRowLastColumn="0" w:lastRowFirstColumn="0" w:lastRowLastColumn="0"/>
            <w:tcW w:w="1720" w:type="dxa"/>
          </w:tcPr>
          <w:p w14:paraId="4347C61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78.7%</w:t>
            </w:r>
          </w:p>
        </w:tc>
        <w:tc>
          <w:tcPr>
            <w:tcW w:w="1950" w:type="dxa"/>
          </w:tcPr>
          <w:p w14:paraId="3386AC22"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84.7%</w:t>
            </w:r>
          </w:p>
        </w:tc>
      </w:tr>
      <w:tr w:rsidR="0074457B" w:rsidRPr="004A0C12" w14:paraId="488F7D0F"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4CC5E76F" w14:textId="77777777" w:rsidR="0074457B" w:rsidRPr="004A0C12" w:rsidRDefault="0074457B" w:rsidP="0074457B">
            <w:pPr>
              <w:rPr>
                <w:rFonts w:ascii="Garamond" w:hAnsi="Garamond"/>
                <w:sz w:val="22"/>
                <w:szCs w:val="22"/>
              </w:rPr>
            </w:pPr>
            <w:r w:rsidRPr="004A0C12">
              <w:rPr>
                <w:rFonts w:ascii="Garamond" w:hAnsi="Garamond"/>
                <w:sz w:val="22"/>
                <w:szCs w:val="22"/>
              </w:rPr>
              <w:t>ISP</w:t>
            </w:r>
          </w:p>
        </w:tc>
        <w:tc>
          <w:tcPr>
            <w:tcW w:w="1280" w:type="dxa"/>
          </w:tcPr>
          <w:p w14:paraId="5F4C6E21"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1229DBE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6AE606A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159B324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7DE4AB60"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2FBFC35A"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43BD739A" w14:textId="77777777" w:rsidR="0074457B" w:rsidRPr="004A0C12" w:rsidRDefault="0074457B" w:rsidP="0074457B">
            <w:pPr>
              <w:rPr>
                <w:rFonts w:ascii="Garamond" w:hAnsi="Garamond"/>
                <w:sz w:val="22"/>
                <w:szCs w:val="22"/>
              </w:rPr>
            </w:pPr>
            <w:r w:rsidRPr="004A0C12">
              <w:rPr>
                <w:rFonts w:ascii="Garamond" w:hAnsi="Garamond"/>
                <w:sz w:val="22"/>
                <w:szCs w:val="22"/>
              </w:rPr>
              <w:t>NAICS</w:t>
            </w:r>
          </w:p>
        </w:tc>
        <w:tc>
          <w:tcPr>
            <w:tcW w:w="1280" w:type="dxa"/>
          </w:tcPr>
          <w:p w14:paraId="5608BBE7"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90%</w:t>
            </w:r>
          </w:p>
        </w:tc>
        <w:tc>
          <w:tcPr>
            <w:cnfStyle w:val="000010000000" w:firstRow="0" w:lastRow="0" w:firstColumn="0" w:lastColumn="0" w:oddVBand="1" w:evenVBand="0" w:oddHBand="0" w:evenHBand="0" w:firstRowFirstColumn="0" w:firstRowLastColumn="0" w:lastRowFirstColumn="0" w:lastRowLastColumn="0"/>
            <w:tcW w:w="1720" w:type="dxa"/>
          </w:tcPr>
          <w:p w14:paraId="281D686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94.1%</w:t>
            </w:r>
          </w:p>
        </w:tc>
        <w:tc>
          <w:tcPr>
            <w:tcW w:w="1720" w:type="dxa"/>
          </w:tcPr>
          <w:p w14:paraId="0B3B2F4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96.5%</w:t>
            </w:r>
          </w:p>
        </w:tc>
        <w:tc>
          <w:tcPr>
            <w:cnfStyle w:val="000010000000" w:firstRow="0" w:lastRow="0" w:firstColumn="0" w:lastColumn="0" w:oddVBand="1" w:evenVBand="0" w:oddHBand="0" w:evenHBand="0" w:firstRowFirstColumn="0" w:firstRowLastColumn="0" w:lastRowFirstColumn="0" w:lastRowLastColumn="0"/>
            <w:tcW w:w="1720" w:type="dxa"/>
          </w:tcPr>
          <w:p w14:paraId="78928EC9"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95.9%</w:t>
            </w:r>
          </w:p>
        </w:tc>
        <w:tc>
          <w:tcPr>
            <w:tcW w:w="1950" w:type="dxa"/>
          </w:tcPr>
          <w:p w14:paraId="297CB1D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97.4%</w:t>
            </w:r>
          </w:p>
        </w:tc>
      </w:tr>
      <w:tr w:rsidR="0074457B" w:rsidRPr="004A0C12" w14:paraId="73FCCA37"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6AB60E49" w14:textId="77777777" w:rsidR="0074457B" w:rsidRPr="004A0C12" w:rsidRDefault="0074457B" w:rsidP="0074457B">
            <w:pPr>
              <w:rPr>
                <w:rFonts w:ascii="Garamond" w:hAnsi="Garamond"/>
                <w:sz w:val="22"/>
                <w:szCs w:val="22"/>
              </w:rPr>
            </w:pPr>
            <w:r w:rsidRPr="004A0C12">
              <w:rPr>
                <w:rFonts w:ascii="Garamond" w:hAnsi="Garamond"/>
                <w:sz w:val="22"/>
                <w:szCs w:val="22"/>
              </w:rPr>
              <w:t>Credential</w:t>
            </w:r>
          </w:p>
        </w:tc>
        <w:tc>
          <w:tcPr>
            <w:tcW w:w="1280" w:type="dxa"/>
          </w:tcPr>
          <w:p w14:paraId="654F085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50%</w:t>
            </w:r>
          </w:p>
        </w:tc>
        <w:tc>
          <w:tcPr>
            <w:cnfStyle w:val="000010000000" w:firstRow="0" w:lastRow="0" w:firstColumn="0" w:lastColumn="0" w:oddVBand="1" w:evenVBand="0" w:oddHBand="0" w:evenHBand="0" w:firstRowFirstColumn="0" w:firstRowLastColumn="0" w:lastRowFirstColumn="0" w:lastRowLastColumn="0"/>
            <w:tcW w:w="1720" w:type="dxa"/>
          </w:tcPr>
          <w:p w14:paraId="2400F609" w14:textId="77777777" w:rsidR="0074457B" w:rsidRPr="004A0C12" w:rsidRDefault="0074457B" w:rsidP="0074457B">
            <w:pPr>
              <w:jc w:val="center"/>
              <w:rPr>
                <w:rFonts w:ascii="Garamond" w:hAnsi="Garamond"/>
                <w:sz w:val="22"/>
                <w:szCs w:val="22"/>
              </w:rPr>
            </w:pPr>
            <w:r w:rsidRPr="004A0C12">
              <w:rPr>
                <w:rFonts w:ascii="Garamond" w:hAnsi="Garamond"/>
                <w:sz w:val="22"/>
                <w:szCs w:val="22"/>
              </w:rPr>
              <w:t>46.4%</w:t>
            </w:r>
          </w:p>
        </w:tc>
        <w:tc>
          <w:tcPr>
            <w:tcW w:w="1720" w:type="dxa"/>
          </w:tcPr>
          <w:p w14:paraId="53EB82B9"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50.9%</w:t>
            </w:r>
          </w:p>
        </w:tc>
        <w:tc>
          <w:tcPr>
            <w:cnfStyle w:val="000010000000" w:firstRow="0" w:lastRow="0" w:firstColumn="0" w:lastColumn="0" w:oddVBand="1" w:evenVBand="0" w:oddHBand="0" w:evenHBand="0" w:firstRowFirstColumn="0" w:firstRowLastColumn="0" w:lastRowFirstColumn="0" w:lastRowLastColumn="0"/>
            <w:tcW w:w="1720" w:type="dxa"/>
          </w:tcPr>
          <w:p w14:paraId="0D02C9AD" w14:textId="77777777" w:rsidR="0074457B" w:rsidRPr="004A0C12" w:rsidRDefault="0074457B" w:rsidP="0074457B">
            <w:pPr>
              <w:jc w:val="center"/>
              <w:rPr>
                <w:rFonts w:ascii="Garamond" w:hAnsi="Garamond"/>
                <w:sz w:val="22"/>
                <w:szCs w:val="22"/>
              </w:rPr>
            </w:pPr>
            <w:r w:rsidRPr="004A0C12">
              <w:rPr>
                <w:rFonts w:ascii="Garamond" w:hAnsi="Garamond"/>
                <w:sz w:val="22"/>
                <w:szCs w:val="22"/>
              </w:rPr>
              <w:t>51.6%</w:t>
            </w:r>
          </w:p>
        </w:tc>
        <w:tc>
          <w:tcPr>
            <w:tcW w:w="1950" w:type="dxa"/>
          </w:tcPr>
          <w:p w14:paraId="3EFFBCDA"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55.9%</w:t>
            </w:r>
          </w:p>
        </w:tc>
      </w:tr>
      <w:tr w:rsidR="0074457B" w:rsidRPr="004A0C12" w14:paraId="781B8573"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43E683B6" w14:textId="77777777" w:rsidR="0074457B" w:rsidRPr="004A0C12" w:rsidRDefault="0074457B" w:rsidP="0074457B">
            <w:pPr>
              <w:rPr>
                <w:rFonts w:ascii="Garamond" w:hAnsi="Garamond"/>
                <w:sz w:val="22"/>
                <w:szCs w:val="22"/>
              </w:rPr>
            </w:pPr>
            <w:r w:rsidRPr="004A0C12">
              <w:rPr>
                <w:rFonts w:ascii="Garamond" w:hAnsi="Garamond"/>
                <w:sz w:val="22"/>
                <w:szCs w:val="22"/>
              </w:rPr>
              <w:t>Rapid Response</w:t>
            </w:r>
          </w:p>
        </w:tc>
        <w:tc>
          <w:tcPr>
            <w:tcW w:w="1280" w:type="dxa"/>
          </w:tcPr>
          <w:p w14:paraId="7D57ADF6"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w:t>
            </w:r>
          </w:p>
        </w:tc>
        <w:tc>
          <w:tcPr>
            <w:cnfStyle w:val="000010000000" w:firstRow="0" w:lastRow="0" w:firstColumn="0" w:lastColumn="0" w:oddVBand="1" w:evenVBand="0" w:oddHBand="0" w:evenHBand="0" w:firstRowFirstColumn="0" w:firstRowLastColumn="0" w:lastRowFirstColumn="0" w:lastRowLastColumn="0"/>
            <w:tcW w:w="1720" w:type="dxa"/>
          </w:tcPr>
          <w:p w14:paraId="27B9B632" w14:textId="77777777" w:rsidR="0074457B" w:rsidRPr="004A0C12" w:rsidRDefault="0074457B" w:rsidP="0074457B">
            <w:pPr>
              <w:jc w:val="center"/>
              <w:rPr>
                <w:rFonts w:ascii="Garamond" w:hAnsi="Garamond"/>
                <w:sz w:val="22"/>
                <w:szCs w:val="22"/>
              </w:rPr>
            </w:pPr>
            <w:r w:rsidRPr="004A0C12">
              <w:rPr>
                <w:rFonts w:ascii="Garamond" w:hAnsi="Garamond"/>
                <w:sz w:val="22"/>
                <w:szCs w:val="22"/>
              </w:rPr>
              <w:t>64.4%</w:t>
            </w:r>
          </w:p>
        </w:tc>
        <w:tc>
          <w:tcPr>
            <w:tcW w:w="1720" w:type="dxa"/>
          </w:tcPr>
          <w:p w14:paraId="1A8F7183"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60.0%</w:t>
            </w:r>
          </w:p>
        </w:tc>
        <w:tc>
          <w:tcPr>
            <w:cnfStyle w:val="000010000000" w:firstRow="0" w:lastRow="0" w:firstColumn="0" w:lastColumn="0" w:oddVBand="1" w:evenVBand="0" w:oddHBand="0" w:evenHBand="0" w:firstRowFirstColumn="0" w:firstRowLastColumn="0" w:lastRowFirstColumn="0" w:lastRowLastColumn="0"/>
            <w:tcW w:w="1720" w:type="dxa"/>
          </w:tcPr>
          <w:p w14:paraId="0C025DCC" w14:textId="77777777" w:rsidR="0074457B" w:rsidRPr="004A0C12" w:rsidRDefault="0074457B" w:rsidP="0074457B">
            <w:pPr>
              <w:jc w:val="center"/>
              <w:rPr>
                <w:rFonts w:ascii="Garamond" w:hAnsi="Garamond"/>
                <w:sz w:val="22"/>
                <w:szCs w:val="22"/>
              </w:rPr>
            </w:pPr>
            <w:r w:rsidRPr="004A0C12">
              <w:rPr>
                <w:rFonts w:ascii="Garamond" w:hAnsi="Garamond"/>
                <w:sz w:val="22"/>
                <w:szCs w:val="22"/>
              </w:rPr>
              <w:t>65.3%</w:t>
            </w:r>
          </w:p>
        </w:tc>
        <w:tc>
          <w:tcPr>
            <w:tcW w:w="1950" w:type="dxa"/>
          </w:tcPr>
          <w:p w14:paraId="51D51F38"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60.0%</w:t>
            </w:r>
          </w:p>
        </w:tc>
      </w:tr>
      <w:tr w:rsidR="0074457B" w:rsidRPr="004A0C12" w14:paraId="4E730AC9"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52DB9260" w14:textId="77777777" w:rsidR="0074457B" w:rsidRPr="004A0C12" w:rsidRDefault="0074457B" w:rsidP="0074457B">
            <w:pPr>
              <w:rPr>
                <w:rFonts w:ascii="Garamond" w:hAnsi="Garamond"/>
                <w:sz w:val="22"/>
                <w:szCs w:val="22"/>
              </w:rPr>
            </w:pPr>
            <w:r w:rsidRPr="004A0C12">
              <w:rPr>
                <w:rFonts w:ascii="Garamond" w:hAnsi="Garamond"/>
                <w:sz w:val="22"/>
                <w:szCs w:val="22"/>
              </w:rPr>
              <w:t>Case Management</w:t>
            </w:r>
          </w:p>
        </w:tc>
        <w:tc>
          <w:tcPr>
            <w:tcW w:w="1280" w:type="dxa"/>
          </w:tcPr>
          <w:p w14:paraId="4C8B419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50%</w:t>
            </w:r>
          </w:p>
        </w:tc>
        <w:tc>
          <w:tcPr>
            <w:cnfStyle w:val="000010000000" w:firstRow="0" w:lastRow="0" w:firstColumn="0" w:lastColumn="0" w:oddVBand="1" w:evenVBand="0" w:oddHBand="0" w:evenHBand="0" w:firstRowFirstColumn="0" w:firstRowLastColumn="0" w:lastRowFirstColumn="0" w:lastRowLastColumn="0"/>
            <w:tcW w:w="1720" w:type="dxa"/>
          </w:tcPr>
          <w:p w14:paraId="156134F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83.2%</w:t>
            </w:r>
          </w:p>
        </w:tc>
        <w:tc>
          <w:tcPr>
            <w:tcW w:w="1720" w:type="dxa"/>
          </w:tcPr>
          <w:p w14:paraId="4D390CFE"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80.4%</w:t>
            </w:r>
          </w:p>
        </w:tc>
        <w:tc>
          <w:tcPr>
            <w:cnfStyle w:val="000010000000" w:firstRow="0" w:lastRow="0" w:firstColumn="0" w:lastColumn="0" w:oddVBand="1" w:evenVBand="0" w:oddHBand="0" w:evenHBand="0" w:firstRowFirstColumn="0" w:firstRowLastColumn="0" w:lastRowFirstColumn="0" w:lastRowLastColumn="0"/>
            <w:tcW w:w="1720" w:type="dxa"/>
          </w:tcPr>
          <w:p w14:paraId="20B4476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78.6%</w:t>
            </w:r>
          </w:p>
        </w:tc>
        <w:tc>
          <w:tcPr>
            <w:tcW w:w="1950" w:type="dxa"/>
          </w:tcPr>
          <w:p w14:paraId="3F237602"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78.9%</w:t>
            </w:r>
          </w:p>
        </w:tc>
      </w:tr>
      <w:tr w:rsidR="0074457B" w:rsidRPr="004A0C12" w14:paraId="1F5D5CEC"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2E71959D" w14:textId="77777777" w:rsidR="0074457B" w:rsidRPr="004A0C12" w:rsidRDefault="0074457B" w:rsidP="0074457B">
            <w:pPr>
              <w:rPr>
                <w:rFonts w:ascii="Garamond" w:hAnsi="Garamond"/>
                <w:sz w:val="22"/>
                <w:szCs w:val="22"/>
              </w:rPr>
            </w:pPr>
            <w:r w:rsidRPr="004A0C12">
              <w:rPr>
                <w:rFonts w:ascii="Garamond" w:hAnsi="Garamond"/>
                <w:sz w:val="22"/>
                <w:szCs w:val="22"/>
              </w:rPr>
              <w:t>First TAA Date</w:t>
            </w:r>
          </w:p>
        </w:tc>
        <w:tc>
          <w:tcPr>
            <w:tcW w:w="1280" w:type="dxa"/>
          </w:tcPr>
          <w:p w14:paraId="568584A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90%</w:t>
            </w:r>
          </w:p>
        </w:tc>
        <w:tc>
          <w:tcPr>
            <w:cnfStyle w:val="000010000000" w:firstRow="0" w:lastRow="0" w:firstColumn="0" w:lastColumn="0" w:oddVBand="1" w:evenVBand="0" w:oddHBand="0" w:evenHBand="0" w:firstRowFirstColumn="0" w:firstRowLastColumn="0" w:lastRowFirstColumn="0" w:lastRowLastColumn="0"/>
            <w:tcW w:w="1720" w:type="dxa"/>
          </w:tcPr>
          <w:p w14:paraId="5B3E9B43"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0BD733B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59E75C7A"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1BD3973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553361D2"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5BC27CD6" w14:textId="77777777" w:rsidR="0074457B" w:rsidRPr="004A0C12" w:rsidRDefault="0074457B" w:rsidP="0074457B">
            <w:pPr>
              <w:rPr>
                <w:rFonts w:ascii="Garamond" w:hAnsi="Garamond"/>
                <w:sz w:val="22"/>
                <w:szCs w:val="22"/>
              </w:rPr>
            </w:pPr>
            <w:r w:rsidRPr="004A0C12">
              <w:rPr>
                <w:rFonts w:ascii="Garamond" w:hAnsi="Garamond"/>
                <w:sz w:val="22"/>
                <w:szCs w:val="22"/>
              </w:rPr>
              <w:t>Agent Liable</w:t>
            </w:r>
          </w:p>
        </w:tc>
        <w:tc>
          <w:tcPr>
            <w:tcW w:w="1280" w:type="dxa"/>
          </w:tcPr>
          <w:p w14:paraId="4F3BF2E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75%</w:t>
            </w:r>
          </w:p>
        </w:tc>
        <w:tc>
          <w:tcPr>
            <w:cnfStyle w:val="000010000000" w:firstRow="0" w:lastRow="0" w:firstColumn="0" w:lastColumn="0" w:oddVBand="1" w:evenVBand="0" w:oddHBand="0" w:evenHBand="0" w:firstRowFirstColumn="0" w:firstRowLastColumn="0" w:lastRowFirstColumn="0" w:lastRowLastColumn="0"/>
            <w:tcW w:w="1720" w:type="dxa"/>
          </w:tcPr>
          <w:p w14:paraId="49E3A8D2" w14:textId="77777777" w:rsidR="0074457B" w:rsidRPr="004A0C12" w:rsidRDefault="0074457B" w:rsidP="0074457B">
            <w:pPr>
              <w:jc w:val="center"/>
              <w:rPr>
                <w:rFonts w:ascii="Garamond" w:hAnsi="Garamond"/>
                <w:sz w:val="22"/>
                <w:szCs w:val="22"/>
              </w:rPr>
            </w:pPr>
            <w:r w:rsidRPr="004A0C12">
              <w:rPr>
                <w:rFonts w:ascii="Garamond" w:hAnsi="Garamond"/>
                <w:sz w:val="22"/>
                <w:szCs w:val="22"/>
              </w:rPr>
              <w:t>92.7%</w:t>
            </w:r>
          </w:p>
        </w:tc>
        <w:tc>
          <w:tcPr>
            <w:tcW w:w="1720" w:type="dxa"/>
          </w:tcPr>
          <w:p w14:paraId="3DD04CA4"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88.8%</w:t>
            </w:r>
          </w:p>
        </w:tc>
        <w:tc>
          <w:tcPr>
            <w:cnfStyle w:val="000010000000" w:firstRow="0" w:lastRow="0" w:firstColumn="0" w:lastColumn="0" w:oddVBand="1" w:evenVBand="0" w:oddHBand="0" w:evenHBand="0" w:firstRowFirstColumn="0" w:firstRowLastColumn="0" w:lastRowFirstColumn="0" w:lastRowLastColumn="0"/>
            <w:tcW w:w="1720" w:type="dxa"/>
          </w:tcPr>
          <w:p w14:paraId="7B190CEF" w14:textId="77777777" w:rsidR="0074457B" w:rsidRPr="004A0C12" w:rsidRDefault="0074457B" w:rsidP="0074457B">
            <w:pPr>
              <w:jc w:val="center"/>
              <w:rPr>
                <w:rFonts w:ascii="Garamond" w:hAnsi="Garamond"/>
                <w:sz w:val="22"/>
                <w:szCs w:val="22"/>
              </w:rPr>
            </w:pPr>
            <w:r w:rsidRPr="004A0C12">
              <w:rPr>
                <w:rFonts w:ascii="Garamond" w:hAnsi="Garamond"/>
                <w:sz w:val="22"/>
                <w:szCs w:val="22"/>
              </w:rPr>
              <w:t>79.7%</w:t>
            </w:r>
          </w:p>
        </w:tc>
        <w:tc>
          <w:tcPr>
            <w:tcW w:w="1950" w:type="dxa"/>
          </w:tcPr>
          <w:p w14:paraId="0B123978"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78.1%</w:t>
            </w:r>
          </w:p>
        </w:tc>
      </w:tr>
      <w:tr w:rsidR="0074457B" w:rsidRPr="004A0C12" w14:paraId="5232AD30"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2F3C9C18" w14:textId="77777777" w:rsidR="0074457B" w:rsidRPr="004A0C12" w:rsidRDefault="0074457B" w:rsidP="0074457B">
            <w:pPr>
              <w:rPr>
                <w:rFonts w:ascii="Garamond" w:hAnsi="Garamond"/>
                <w:sz w:val="22"/>
                <w:szCs w:val="22"/>
              </w:rPr>
            </w:pPr>
            <w:r w:rsidRPr="004A0C12">
              <w:rPr>
                <w:rFonts w:ascii="Garamond" w:hAnsi="Garamond"/>
                <w:sz w:val="22"/>
                <w:szCs w:val="22"/>
              </w:rPr>
              <w:t>Employment After Exit</w:t>
            </w:r>
          </w:p>
        </w:tc>
        <w:tc>
          <w:tcPr>
            <w:tcW w:w="1280" w:type="dxa"/>
          </w:tcPr>
          <w:p w14:paraId="433D0049"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1640D9DF"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50F30253"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15ACFA7A"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2811E95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6FA3F799"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2500" w:type="dxa"/>
          </w:tcPr>
          <w:p w14:paraId="7D2AF5CE" w14:textId="77777777" w:rsidR="0074457B" w:rsidRPr="004A0C12" w:rsidRDefault="0074457B" w:rsidP="0074457B">
            <w:pPr>
              <w:rPr>
                <w:rFonts w:ascii="Garamond" w:hAnsi="Garamond"/>
                <w:sz w:val="22"/>
                <w:szCs w:val="22"/>
              </w:rPr>
            </w:pPr>
            <w:r w:rsidRPr="004A0C12">
              <w:rPr>
                <w:rFonts w:ascii="Garamond" w:hAnsi="Garamond"/>
                <w:sz w:val="22"/>
                <w:szCs w:val="22"/>
              </w:rPr>
              <w:t>Wages Prior</w:t>
            </w:r>
          </w:p>
        </w:tc>
        <w:tc>
          <w:tcPr>
            <w:tcW w:w="1280" w:type="dxa"/>
          </w:tcPr>
          <w:p w14:paraId="7424EB33"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475FFE09"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48A17882"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7598F9E0"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08B700B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r w:rsidR="0074457B" w:rsidRPr="004A0C12" w14:paraId="64249720"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2500" w:type="dxa"/>
          </w:tcPr>
          <w:p w14:paraId="005E977B" w14:textId="77777777" w:rsidR="0074457B" w:rsidRPr="004A0C12" w:rsidRDefault="0074457B" w:rsidP="0074457B">
            <w:pPr>
              <w:rPr>
                <w:rFonts w:ascii="Garamond" w:hAnsi="Garamond"/>
                <w:sz w:val="22"/>
                <w:szCs w:val="22"/>
              </w:rPr>
            </w:pPr>
            <w:r w:rsidRPr="004A0C12">
              <w:rPr>
                <w:rFonts w:ascii="Garamond" w:hAnsi="Garamond"/>
                <w:sz w:val="22"/>
                <w:szCs w:val="22"/>
              </w:rPr>
              <w:t>Wages Following</w:t>
            </w:r>
          </w:p>
        </w:tc>
        <w:tc>
          <w:tcPr>
            <w:tcW w:w="1280" w:type="dxa"/>
          </w:tcPr>
          <w:p w14:paraId="47E5F69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c>
          <w:tcPr>
            <w:cnfStyle w:val="000010000000" w:firstRow="0" w:lastRow="0" w:firstColumn="0" w:lastColumn="0" w:oddVBand="1" w:evenVBand="0" w:oddHBand="0" w:evenHBand="0" w:firstRowFirstColumn="0" w:firstRowLastColumn="0" w:lastRowFirstColumn="0" w:lastRowLastColumn="0"/>
            <w:tcW w:w="1720" w:type="dxa"/>
          </w:tcPr>
          <w:p w14:paraId="5C30EAF2"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720" w:type="dxa"/>
          </w:tcPr>
          <w:p w14:paraId="5BB23F12"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720" w:type="dxa"/>
          </w:tcPr>
          <w:p w14:paraId="602A8ABA" w14:textId="77777777" w:rsidR="0074457B" w:rsidRPr="004A0C12" w:rsidRDefault="0074457B" w:rsidP="0074457B">
            <w:pPr>
              <w:jc w:val="center"/>
              <w:rPr>
                <w:rFonts w:ascii="Garamond" w:hAnsi="Garamond"/>
                <w:sz w:val="22"/>
                <w:szCs w:val="22"/>
              </w:rPr>
            </w:pPr>
            <w:r w:rsidRPr="004A0C12">
              <w:rPr>
                <w:rFonts w:ascii="Garamond" w:hAnsi="Garamond"/>
                <w:sz w:val="22"/>
                <w:szCs w:val="22"/>
              </w:rPr>
              <w:t>100.0%</w:t>
            </w:r>
          </w:p>
        </w:tc>
        <w:tc>
          <w:tcPr>
            <w:tcW w:w="1950" w:type="dxa"/>
          </w:tcPr>
          <w:p w14:paraId="5B18DEB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r>
    </w:tbl>
    <w:p w14:paraId="6AC68A81" w14:textId="77777777" w:rsidR="0074457B" w:rsidRPr="00B25499" w:rsidRDefault="0074457B" w:rsidP="009523C7">
      <w:pPr>
        <w:pStyle w:val="Heading4"/>
        <w:rPr>
          <w:rFonts w:ascii="Garamond" w:hAnsi="Garamond"/>
          <w:sz w:val="24"/>
          <w:szCs w:val="24"/>
        </w:rPr>
      </w:pPr>
      <w:r w:rsidRPr="00B25499">
        <w:rPr>
          <w:rFonts w:ascii="Garamond" w:hAnsi="Garamond"/>
          <w:sz w:val="24"/>
          <w:szCs w:val="24"/>
        </w:rPr>
        <w:lastRenderedPageBreak/>
        <w:t xml:space="preserve">Jobs for Veterans State Grant </w:t>
      </w:r>
    </w:p>
    <w:tbl>
      <w:tblPr>
        <w:tblStyle w:val="PlainTable11"/>
        <w:tblW w:w="0" w:type="auto"/>
        <w:tblLayout w:type="fixed"/>
        <w:tblLook w:val="0000" w:firstRow="0" w:lastRow="0" w:firstColumn="0" w:lastColumn="0" w:noHBand="0" w:noVBand="0"/>
        <w:tblCaption w:val="PY 13 Veterans Program Assessment Results"/>
        <w:tblDescription w:val="This chart shows the Veterans Program assessment results for program year 2013. "/>
      </w:tblPr>
      <w:tblGrid>
        <w:gridCol w:w="5908"/>
        <w:gridCol w:w="1874"/>
        <w:gridCol w:w="1695"/>
        <w:gridCol w:w="1367"/>
      </w:tblGrid>
      <w:tr w:rsidR="0074457B" w:rsidRPr="004A0C12" w14:paraId="1D2BB2A9" w14:textId="77777777" w:rsidTr="008B1D9A">
        <w:trPr>
          <w:trHeight w:val="300"/>
          <w:tblHeader/>
        </w:trPr>
        <w:tc>
          <w:tcPr>
            <w:cnfStyle w:val="000010000000" w:firstRow="0" w:lastRow="0" w:firstColumn="0" w:lastColumn="0" w:oddVBand="1" w:evenVBand="0" w:oddHBand="0" w:evenHBand="0" w:firstRowFirstColumn="0" w:firstRowLastColumn="0" w:lastRowFirstColumn="0" w:lastRowLastColumn="0"/>
            <w:tcW w:w="10844" w:type="dxa"/>
            <w:gridSpan w:val="4"/>
          </w:tcPr>
          <w:p w14:paraId="5DBC5592"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 xml:space="preserve">PY 13 Veterans Program Assessment Results </w:t>
            </w:r>
          </w:p>
        </w:tc>
      </w:tr>
      <w:tr w:rsidR="0074457B" w:rsidRPr="004A0C12" w14:paraId="7291F3F0"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08" w:type="dxa"/>
          </w:tcPr>
          <w:p w14:paraId="3071B119"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 xml:space="preserve"> Performance Targets for JVSG Staff</w:t>
            </w:r>
          </w:p>
        </w:tc>
        <w:tc>
          <w:tcPr>
            <w:tcW w:w="1874" w:type="dxa"/>
          </w:tcPr>
          <w:p w14:paraId="14A3CC4C"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Negotiated Targets</w:t>
            </w:r>
          </w:p>
        </w:tc>
        <w:tc>
          <w:tcPr>
            <w:cnfStyle w:val="000010000000" w:firstRow="0" w:lastRow="0" w:firstColumn="0" w:lastColumn="0" w:oddVBand="1" w:evenVBand="0" w:oddHBand="0" w:evenHBand="0" w:firstRowFirstColumn="0" w:firstRowLastColumn="0" w:lastRowFirstColumn="0" w:lastRowLastColumn="0"/>
            <w:tcW w:w="1695" w:type="dxa"/>
          </w:tcPr>
          <w:p w14:paraId="6AE14CA2"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Q-4 Performance</w:t>
            </w:r>
          </w:p>
        </w:tc>
        <w:tc>
          <w:tcPr>
            <w:tcW w:w="1367" w:type="dxa"/>
          </w:tcPr>
          <w:p w14:paraId="6045D890"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Standard</w:t>
            </w:r>
          </w:p>
        </w:tc>
      </w:tr>
      <w:tr w:rsidR="0074457B" w:rsidRPr="004A0C12" w14:paraId="790D625F" w14:textId="77777777" w:rsidTr="00900002">
        <w:trPr>
          <w:trHeight w:val="660"/>
        </w:trPr>
        <w:tc>
          <w:tcPr>
            <w:cnfStyle w:val="000010000000" w:firstRow="0" w:lastRow="0" w:firstColumn="0" w:lastColumn="0" w:oddVBand="1" w:evenVBand="0" w:oddHBand="0" w:evenHBand="0" w:firstRowFirstColumn="0" w:firstRowLastColumn="0" w:lastRowFirstColumn="0" w:lastRowLastColumn="0"/>
            <w:tcW w:w="5908" w:type="dxa"/>
          </w:tcPr>
          <w:p w14:paraId="6448200B"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Intensive Services Provided to Individuals by DVOP Specialists/Total Veterans and Eligible Persons Served by DVOP Specialists in the State</w:t>
            </w:r>
          </w:p>
        </w:tc>
        <w:tc>
          <w:tcPr>
            <w:tcW w:w="1874" w:type="dxa"/>
          </w:tcPr>
          <w:p w14:paraId="3E022887"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48%</w:t>
            </w:r>
          </w:p>
        </w:tc>
        <w:tc>
          <w:tcPr>
            <w:cnfStyle w:val="000010000000" w:firstRow="0" w:lastRow="0" w:firstColumn="0" w:lastColumn="0" w:oddVBand="1" w:evenVBand="0" w:oddHBand="0" w:evenHBand="0" w:firstRowFirstColumn="0" w:firstRowLastColumn="0" w:lastRowFirstColumn="0" w:lastRowLastColumn="0"/>
            <w:tcW w:w="1695" w:type="dxa"/>
          </w:tcPr>
          <w:p w14:paraId="73D99769"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59.2%</w:t>
            </w:r>
          </w:p>
        </w:tc>
        <w:tc>
          <w:tcPr>
            <w:tcW w:w="1367" w:type="dxa"/>
          </w:tcPr>
          <w:p w14:paraId="7D928536"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123%</w:t>
            </w:r>
          </w:p>
        </w:tc>
      </w:tr>
      <w:tr w:rsidR="0074457B" w:rsidRPr="004A0C12" w14:paraId="100EE50A"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08" w:type="dxa"/>
          </w:tcPr>
          <w:p w14:paraId="1183DD29"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Veterans’ Entered Employment Rate (weighted)</w:t>
            </w:r>
          </w:p>
        </w:tc>
        <w:tc>
          <w:tcPr>
            <w:tcW w:w="1874" w:type="dxa"/>
          </w:tcPr>
          <w:p w14:paraId="0AC8311C"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60%</w:t>
            </w:r>
          </w:p>
        </w:tc>
        <w:tc>
          <w:tcPr>
            <w:cnfStyle w:val="000010000000" w:firstRow="0" w:lastRow="0" w:firstColumn="0" w:lastColumn="0" w:oddVBand="1" w:evenVBand="0" w:oddHBand="0" w:evenHBand="0" w:firstRowFirstColumn="0" w:firstRowLastColumn="0" w:lastRowFirstColumn="0" w:lastRowLastColumn="0"/>
            <w:tcW w:w="1695" w:type="dxa"/>
          </w:tcPr>
          <w:p w14:paraId="3D10B007"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56%</w:t>
            </w:r>
          </w:p>
        </w:tc>
        <w:tc>
          <w:tcPr>
            <w:tcW w:w="1367" w:type="dxa"/>
          </w:tcPr>
          <w:p w14:paraId="443DC081"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93%</w:t>
            </w:r>
          </w:p>
        </w:tc>
      </w:tr>
      <w:tr w:rsidR="0074457B" w:rsidRPr="004A0C12" w14:paraId="294B81B8"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08" w:type="dxa"/>
          </w:tcPr>
          <w:p w14:paraId="267571BF"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 xml:space="preserve">Veterans’ Employment Retention Rate </w:t>
            </w:r>
          </w:p>
        </w:tc>
        <w:tc>
          <w:tcPr>
            <w:tcW w:w="1874" w:type="dxa"/>
          </w:tcPr>
          <w:p w14:paraId="0299804F"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84%</w:t>
            </w:r>
          </w:p>
        </w:tc>
        <w:tc>
          <w:tcPr>
            <w:cnfStyle w:val="000010000000" w:firstRow="0" w:lastRow="0" w:firstColumn="0" w:lastColumn="0" w:oddVBand="1" w:evenVBand="0" w:oddHBand="0" w:evenHBand="0" w:firstRowFirstColumn="0" w:firstRowLastColumn="0" w:lastRowFirstColumn="0" w:lastRowLastColumn="0"/>
            <w:tcW w:w="1695" w:type="dxa"/>
          </w:tcPr>
          <w:p w14:paraId="55DC1AF5"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82%</w:t>
            </w:r>
          </w:p>
        </w:tc>
        <w:tc>
          <w:tcPr>
            <w:tcW w:w="1367" w:type="dxa"/>
          </w:tcPr>
          <w:p w14:paraId="7803150D"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98%</w:t>
            </w:r>
          </w:p>
        </w:tc>
      </w:tr>
      <w:tr w:rsidR="0074457B" w:rsidRPr="004A0C12" w14:paraId="17FA7127"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08" w:type="dxa"/>
          </w:tcPr>
          <w:p w14:paraId="50BC3C32"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Veterans’ Average Earnings (Six-Months)</w:t>
            </w:r>
          </w:p>
        </w:tc>
        <w:tc>
          <w:tcPr>
            <w:tcW w:w="1874" w:type="dxa"/>
          </w:tcPr>
          <w:p w14:paraId="605E2786"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$20,400</w:t>
            </w:r>
          </w:p>
        </w:tc>
        <w:tc>
          <w:tcPr>
            <w:cnfStyle w:val="000010000000" w:firstRow="0" w:lastRow="0" w:firstColumn="0" w:lastColumn="0" w:oddVBand="1" w:evenVBand="0" w:oddHBand="0" w:evenHBand="0" w:firstRowFirstColumn="0" w:firstRowLastColumn="0" w:lastRowFirstColumn="0" w:lastRowLastColumn="0"/>
            <w:tcW w:w="1695" w:type="dxa"/>
          </w:tcPr>
          <w:p w14:paraId="171F25F6"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$19,223</w:t>
            </w:r>
          </w:p>
        </w:tc>
        <w:tc>
          <w:tcPr>
            <w:tcW w:w="1367" w:type="dxa"/>
          </w:tcPr>
          <w:p w14:paraId="20FFFF86"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94%</w:t>
            </w:r>
          </w:p>
        </w:tc>
      </w:tr>
      <w:tr w:rsidR="0074457B" w:rsidRPr="004A0C12" w14:paraId="024DDB72"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08" w:type="dxa"/>
          </w:tcPr>
          <w:p w14:paraId="7DD3A4DB" w14:textId="5A3E23C8"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Entered E</w:t>
            </w:r>
            <w:r w:rsidR="0074457B" w:rsidRPr="004A0C12">
              <w:rPr>
                <w:rFonts w:ascii="Garamond" w:hAnsi="Garamond"/>
                <w:sz w:val="22"/>
                <w:szCs w:val="22"/>
              </w:rPr>
              <w:t>mpl</w:t>
            </w:r>
            <w:r w:rsidRPr="004A0C12">
              <w:rPr>
                <w:rFonts w:ascii="Garamond" w:hAnsi="Garamond"/>
                <w:sz w:val="22"/>
                <w:szCs w:val="22"/>
              </w:rPr>
              <w:t>oyment R</w:t>
            </w:r>
            <w:r w:rsidR="0074457B" w:rsidRPr="004A0C12">
              <w:rPr>
                <w:rFonts w:ascii="Garamond" w:hAnsi="Garamond"/>
                <w:sz w:val="22"/>
                <w:szCs w:val="22"/>
              </w:rPr>
              <w:t>ate</w:t>
            </w:r>
          </w:p>
        </w:tc>
        <w:tc>
          <w:tcPr>
            <w:tcW w:w="1874" w:type="dxa"/>
          </w:tcPr>
          <w:p w14:paraId="3B684E89"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50%</w:t>
            </w:r>
          </w:p>
        </w:tc>
        <w:tc>
          <w:tcPr>
            <w:cnfStyle w:val="000010000000" w:firstRow="0" w:lastRow="0" w:firstColumn="0" w:lastColumn="0" w:oddVBand="1" w:evenVBand="0" w:oddHBand="0" w:evenHBand="0" w:firstRowFirstColumn="0" w:firstRowLastColumn="0" w:lastRowFirstColumn="0" w:lastRowLastColumn="0"/>
            <w:tcW w:w="1695" w:type="dxa"/>
          </w:tcPr>
          <w:p w14:paraId="2B99A3AE"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48%</w:t>
            </w:r>
          </w:p>
        </w:tc>
        <w:tc>
          <w:tcPr>
            <w:tcW w:w="1367" w:type="dxa"/>
          </w:tcPr>
          <w:p w14:paraId="40290FBF"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96%</w:t>
            </w:r>
          </w:p>
        </w:tc>
      </w:tr>
      <w:tr w:rsidR="0074457B" w:rsidRPr="004A0C12" w14:paraId="675CB017"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08" w:type="dxa"/>
          </w:tcPr>
          <w:p w14:paraId="7FE85BB5" w14:textId="3A2099B3" w:rsidR="0074457B" w:rsidRPr="004A0C12" w:rsidRDefault="0074457B" w:rsidP="0074457B">
            <w:pPr>
              <w:pStyle w:val="PlainText1"/>
              <w:rPr>
                <w:rFonts w:ascii="Garamond" w:hAnsi="Garamond"/>
                <w:sz w:val="22"/>
                <w:szCs w:val="22"/>
              </w:rPr>
            </w:pPr>
            <w:r w:rsidRPr="004A0C12">
              <w:rPr>
                <w:rFonts w:ascii="Garamond" w:hAnsi="Garamond"/>
                <w:sz w:val="22"/>
                <w:szCs w:val="22"/>
              </w:rPr>
              <w:t xml:space="preserve">Disabled </w:t>
            </w:r>
            <w:r w:rsidR="00900002" w:rsidRPr="004A0C12">
              <w:rPr>
                <w:rFonts w:ascii="Garamond" w:hAnsi="Garamond"/>
                <w:sz w:val="22"/>
                <w:szCs w:val="22"/>
              </w:rPr>
              <w:t>Veterans’ Employment Retention R</w:t>
            </w:r>
            <w:r w:rsidRPr="004A0C12">
              <w:rPr>
                <w:rFonts w:ascii="Garamond" w:hAnsi="Garamond"/>
                <w:sz w:val="22"/>
                <w:szCs w:val="22"/>
              </w:rPr>
              <w:t>ate</w:t>
            </w:r>
          </w:p>
        </w:tc>
        <w:tc>
          <w:tcPr>
            <w:tcW w:w="1874" w:type="dxa"/>
          </w:tcPr>
          <w:p w14:paraId="101330E9"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83%</w:t>
            </w:r>
          </w:p>
        </w:tc>
        <w:tc>
          <w:tcPr>
            <w:cnfStyle w:val="000010000000" w:firstRow="0" w:lastRow="0" w:firstColumn="0" w:lastColumn="0" w:oddVBand="1" w:evenVBand="0" w:oddHBand="0" w:evenHBand="0" w:firstRowFirstColumn="0" w:firstRowLastColumn="0" w:lastRowFirstColumn="0" w:lastRowLastColumn="0"/>
            <w:tcW w:w="1695" w:type="dxa"/>
          </w:tcPr>
          <w:p w14:paraId="4B481251"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82%</w:t>
            </w:r>
          </w:p>
        </w:tc>
        <w:tc>
          <w:tcPr>
            <w:tcW w:w="1367" w:type="dxa"/>
          </w:tcPr>
          <w:p w14:paraId="26F385B1"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99%</w:t>
            </w:r>
          </w:p>
        </w:tc>
      </w:tr>
      <w:tr w:rsidR="0074457B" w:rsidRPr="004A0C12" w14:paraId="3522BAA5"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08" w:type="dxa"/>
          </w:tcPr>
          <w:p w14:paraId="69DC458F" w14:textId="0966D452"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Average E</w:t>
            </w:r>
            <w:r w:rsidR="0074457B" w:rsidRPr="004A0C12">
              <w:rPr>
                <w:rFonts w:ascii="Garamond" w:hAnsi="Garamond"/>
                <w:sz w:val="22"/>
                <w:szCs w:val="22"/>
              </w:rPr>
              <w:t>arnings (Six Months)</w:t>
            </w:r>
          </w:p>
        </w:tc>
        <w:tc>
          <w:tcPr>
            <w:tcW w:w="1874" w:type="dxa"/>
          </w:tcPr>
          <w:p w14:paraId="42656BAC"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$23,400</w:t>
            </w:r>
          </w:p>
        </w:tc>
        <w:tc>
          <w:tcPr>
            <w:cnfStyle w:val="000010000000" w:firstRow="0" w:lastRow="0" w:firstColumn="0" w:lastColumn="0" w:oddVBand="1" w:evenVBand="0" w:oddHBand="0" w:evenHBand="0" w:firstRowFirstColumn="0" w:firstRowLastColumn="0" w:lastRowFirstColumn="0" w:lastRowLastColumn="0"/>
            <w:tcW w:w="1695" w:type="dxa"/>
          </w:tcPr>
          <w:p w14:paraId="47E06E77"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$22,558</w:t>
            </w:r>
          </w:p>
        </w:tc>
        <w:tc>
          <w:tcPr>
            <w:tcW w:w="1367" w:type="dxa"/>
          </w:tcPr>
          <w:p w14:paraId="07FAA1ED"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96%</w:t>
            </w:r>
          </w:p>
        </w:tc>
      </w:tr>
      <w:tr w:rsidR="0074457B" w:rsidRPr="004A0C12" w14:paraId="2A595C70"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844" w:type="dxa"/>
            <w:gridSpan w:val="4"/>
          </w:tcPr>
          <w:p w14:paraId="105F129A" w14:textId="77777777" w:rsidR="0074457B" w:rsidRPr="004A0C12" w:rsidRDefault="0074457B" w:rsidP="0074457B">
            <w:pPr>
              <w:pStyle w:val="PlainText1"/>
              <w:rPr>
                <w:rFonts w:ascii="Garamond" w:hAnsi="Garamond"/>
                <w:sz w:val="22"/>
                <w:szCs w:val="22"/>
              </w:rPr>
            </w:pPr>
          </w:p>
        </w:tc>
      </w:tr>
      <w:tr w:rsidR="0074457B" w:rsidRPr="004A0C12" w14:paraId="7FF8113C"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08" w:type="dxa"/>
          </w:tcPr>
          <w:p w14:paraId="413BFAE5"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 xml:space="preserve">Performance Targets for Labor Exchange Services for Veterans </w:t>
            </w:r>
          </w:p>
        </w:tc>
        <w:tc>
          <w:tcPr>
            <w:tcW w:w="1874" w:type="dxa"/>
          </w:tcPr>
          <w:p w14:paraId="35150499"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Negotiated Targets</w:t>
            </w:r>
          </w:p>
        </w:tc>
        <w:tc>
          <w:tcPr>
            <w:cnfStyle w:val="000010000000" w:firstRow="0" w:lastRow="0" w:firstColumn="0" w:lastColumn="0" w:oddVBand="1" w:evenVBand="0" w:oddHBand="0" w:evenHBand="0" w:firstRowFirstColumn="0" w:firstRowLastColumn="0" w:lastRowFirstColumn="0" w:lastRowLastColumn="0"/>
            <w:tcW w:w="1695" w:type="dxa"/>
          </w:tcPr>
          <w:p w14:paraId="025E4085"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Q-4 Performance</w:t>
            </w:r>
          </w:p>
        </w:tc>
        <w:tc>
          <w:tcPr>
            <w:tcW w:w="1367" w:type="dxa"/>
          </w:tcPr>
          <w:p w14:paraId="74DDE71C"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of Standard</w:t>
            </w:r>
          </w:p>
        </w:tc>
      </w:tr>
      <w:tr w:rsidR="0074457B" w:rsidRPr="004A0C12" w14:paraId="0859FD85"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08" w:type="dxa"/>
          </w:tcPr>
          <w:p w14:paraId="6ABA2980"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Veterans’ Entered Employment Rate</w:t>
            </w:r>
          </w:p>
        </w:tc>
        <w:tc>
          <w:tcPr>
            <w:tcW w:w="1874" w:type="dxa"/>
          </w:tcPr>
          <w:p w14:paraId="02D6F356"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55%</w:t>
            </w:r>
          </w:p>
        </w:tc>
        <w:tc>
          <w:tcPr>
            <w:cnfStyle w:val="000010000000" w:firstRow="0" w:lastRow="0" w:firstColumn="0" w:lastColumn="0" w:oddVBand="1" w:evenVBand="0" w:oddHBand="0" w:evenHBand="0" w:firstRowFirstColumn="0" w:firstRowLastColumn="0" w:lastRowFirstColumn="0" w:lastRowLastColumn="0"/>
            <w:tcW w:w="1695" w:type="dxa"/>
          </w:tcPr>
          <w:p w14:paraId="0B41E9EF" w14:textId="77777777" w:rsidR="0074457B" w:rsidRPr="004A0C12" w:rsidRDefault="0074457B" w:rsidP="0074457B">
            <w:pPr>
              <w:jc w:val="center"/>
              <w:rPr>
                <w:rFonts w:ascii="Garamond" w:hAnsi="Garamond"/>
                <w:sz w:val="22"/>
                <w:szCs w:val="22"/>
              </w:rPr>
            </w:pPr>
            <w:r w:rsidRPr="004A0C12">
              <w:rPr>
                <w:rFonts w:ascii="Garamond" w:hAnsi="Garamond"/>
                <w:sz w:val="22"/>
                <w:szCs w:val="22"/>
              </w:rPr>
              <w:t>51%</w:t>
            </w:r>
          </w:p>
        </w:tc>
        <w:tc>
          <w:tcPr>
            <w:tcW w:w="1367" w:type="dxa"/>
          </w:tcPr>
          <w:p w14:paraId="7AB8386F"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93%</w:t>
            </w:r>
          </w:p>
        </w:tc>
      </w:tr>
      <w:tr w:rsidR="0074457B" w:rsidRPr="004A0C12" w14:paraId="23050E45"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08" w:type="dxa"/>
          </w:tcPr>
          <w:p w14:paraId="7F5F7D9A"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 xml:space="preserve">Veterans’ Employment Retention Rate </w:t>
            </w:r>
          </w:p>
        </w:tc>
        <w:tc>
          <w:tcPr>
            <w:tcW w:w="1874" w:type="dxa"/>
          </w:tcPr>
          <w:p w14:paraId="0D62762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84%</w:t>
            </w:r>
          </w:p>
        </w:tc>
        <w:tc>
          <w:tcPr>
            <w:cnfStyle w:val="000010000000" w:firstRow="0" w:lastRow="0" w:firstColumn="0" w:lastColumn="0" w:oddVBand="1" w:evenVBand="0" w:oddHBand="0" w:evenHBand="0" w:firstRowFirstColumn="0" w:firstRowLastColumn="0" w:lastRowFirstColumn="0" w:lastRowLastColumn="0"/>
            <w:tcW w:w="1695" w:type="dxa"/>
          </w:tcPr>
          <w:p w14:paraId="155C98A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83%</w:t>
            </w:r>
          </w:p>
        </w:tc>
        <w:tc>
          <w:tcPr>
            <w:tcW w:w="1367" w:type="dxa"/>
          </w:tcPr>
          <w:p w14:paraId="1C59259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99%</w:t>
            </w:r>
          </w:p>
        </w:tc>
      </w:tr>
      <w:tr w:rsidR="0074457B" w:rsidRPr="004A0C12" w14:paraId="4B2967F8"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08" w:type="dxa"/>
          </w:tcPr>
          <w:p w14:paraId="140127D0"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Veterans’ Average Earnings  (Six-Months)</w:t>
            </w:r>
          </w:p>
        </w:tc>
        <w:tc>
          <w:tcPr>
            <w:tcW w:w="1874" w:type="dxa"/>
          </w:tcPr>
          <w:p w14:paraId="0B6119A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$20,300 </w:t>
            </w:r>
          </w:p>
        </w:tc>
        <w:tc>
          <w:tcPr>
            <w:cnfStyle w:val="000010000000" w:firstRow="0" w:lastRow="0" w:firstColumn="0" w:lastColumn="0" w:oddVBand="1" w:evenVBand="0" w:oddHBand="0" w:evenHBand="0" w:firstRowFirstColumn="0" w:firstRowLastColumn="0" w:lastRowFirstColumn="0" w:lastRowLastColumn="0"/>
            <w:tcW w:w="1695" w:type="dxa"/>
          </w:tcPr>
          <w:p w14:paraId="2720D86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xml:space="preserve">$19,627 </w:t>
            </w:r>
          </w:p>
        </w:tc>
        <w:tc>
          <w:tcPr>
            <w:tcW w:w="1367" w:type="dxa"/>
          </w:tcPr>
          <w:p w14:paraId="321AD9FC"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97%</w:t>
            </w:r>
          </w:p>
        </w:tc>
      </w:tr>
      <w:tr w:rsidR="0074457B" w:rsidRPr="004A0C12" w14:paraId="757F3AA9"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08" w:type="dxa"/>
          </w:tcPr>
          <w:p w14:paraId="0E86839E" w14:textId="469FD650"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Entered Employment R</w:t>
            </w:r>
            <w:r w:rsidR="0074457B" w:rsidRPr="004A0C12">
              <w:rPr>
                <w:rFonts w:ascii="Garamond" w:hAnsi="Garamond"/>
                <w:sz w:val="22"/>
                <w:szCs w:val="22"/>
              </w:rPr>
              <w:t>ate</w:t>
            </w:r>
          </w:p>
        </w:tc>
        <w:tc>
          <w:tcPr>
            <w:tcW w:w="1874" w:type="dxa"/>
          </w:tcPr>
          <w:p w14:paraId="5973F4C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50%</w:t>
            </w:r>
          </w:p>
        </w:tc>
        <w:tc>
          <w:tcPr>
            <w:cnfStyle w:val="000010000000" w:firstRow="0" w:lastRow="0" w:firstColumn="0" w:lastColumn="0" w:oddVBand="1" w:evenVBand="0" w:oddHBand="0" w:evenHBand="0" w:firstRowFirstColumn="0" w:firstRowLastColumn="0" w:lastRowFirstColumn="0" w:lastRowLastColumn="0"/>
            <w:tcW w:w="1695" w:type="dxa"/>
          </w:tcPr>
          <w:p w14:paraId="50834359" w14:textId="77777777" w:rsidR="0074457B" w:rsidRPr="004A0C12" w:rsidRDefault="0074457B" w:rsidP="0074457B">
            <w:pPr>
              <w:jc w:val="center"/>
              <w:rPr>
                <w:rFonts w:ascii="Garamond" w:hAnsi="Garamond"/>
                <w:sz w:val="22"/>
                <w:szCs w:val="22"/>
              </w:rPr>
            </w:pPr>
            <w:r w:rsidRPr="004A0C12">
              <w:rPr>
                <w:rFonts w:ascii="Garamond" w:hAnsi="Garamond"/>
                <w:sz w:val="22"/>
                <w:szCs w:val="22"/>
              </w:rPr>
              <w:t>47%</w:t>
            </w:r>
          </w:p>
        </w:tc>
        <w:tc>
          <w:tcPr>
            <w:tcW w:w="1367" w:type="dxa"/>
          </w:tcPr>
          <w:p w14:paraId="56BB963B"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94%</w:t>
            </w:r>
          </w:p>
        </w:tc>
      </w:tr>
      <w:tr w:rsidR="0074457B" w:rsidRPr="004A0C12" w14:paraId="75B67AFE"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08" w:type="dxa"/>
          </w:tcPr>
          <w:p w14:paraId="2CFA4E72" w14:textId="1C7221CF"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E</w:t>
            </w:r>
            <w:r w:rsidR="0074457B" w:rsidRPr="004A0C12">
              <w:rPr>
                <w:rFonts w:ascii="Garamond" w:hAnsi="Garamond"/>
                <w:sz w:val="22"/>
                <w:szCs w:val="22"/>
              </w:rPr>
              <w:t>mploymen</w:t>
            </w:r>
            <w:r w:rsidRPr="004A0C12">
              <w:rPr>
                <w:rFonts w:ascii="Garamond" w:hAnsi="Garamond"/>
                <w:sz w:val="22"/>
                <w:szCs w:val="22"/>
              </w:rPr>
              <w:t>t Retention R</w:t>
            </w:r>
            <w:r w:rsidR="0074457B" w:rsidRPr="004A0C12">
              <w:rPr>
                <w:rFonts w:ascii="Garamond" w:hAnsi="Garamond"/>
                <w:sz w:val="22"/>
                <w:szCs w:val="22"/>
              </w:rPr>
              <w:t>ate</w:t>
            </w:r>
          </w:p>
        </w:tc>
        <w:tc>
          <w:tcPr>
            <w:tcW w:w="1874" w:type="dxa"/>
          </w:tcPr>
          <w:p w14:paraId="19A0385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85%</w:t>
            </w:r>
          </w:p>
        </w:tc>
        <w:tc>
          <w:tcPr>
            <w:cnfStyle w:val="000010000000" w:firstRow="0" w:lastRow="0" w:firstColumn="0" w:lastColumn="0" w:oddVBand="1" w:evenVBand="0" w:oddHBand="0" w:evenHBand="0" w:firstRowFirstColumn="0" w:firstRowLastColumn="0" w:lastRowFirstColumn="0" w:lastRowLastColumn="0"/>
            <w:tcW w:w="1695" w:type="dxa"/>
          </w:tcPr>
          <w:p w14:paraId="329F368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83%</w:t>
            </w:r>
          </w:p>
        </w:tc>
        <w:tc>
          <w:tcPr>
            <w:tcW w:w="1367" w:type="dxa"/>
          </w:tcPr>
          <w:p w14:paraId="20FBC4B8"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98%</w:t>
            </w:r>
          </w:p>
        </w:tc>
      </w:tr>
      <w:tr w:rsidR="0074457B" w:rsidRPr="004A0C12" w14:paraId="4C067F52"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08" w:type="dxa"/>
          </w:tcPr>
          <w:p w14:paraId="74994C4B" w14:textId="3183C04A"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Average E</w:t>
            </w:r>
            <w:r w:rsidR="0074457B" w:rsidRPr="004A0C12">
              <w:rPr>
                <w:rFonts w:ascii="Garamond" w:hAnsi="Garamond"/>
                <w:sz w:val="22"/>
                <w:szCs w:val="22"/>
              </w:rPr>
              <w:t>arnings (Six Months)</w:t>
            </w:r>
          </w:p>
        </w:tc>
        <w:tc>
          <w:tcPr>
            <w:tcW w:w="1874" w:type="dxa"/>
          </w:tcPr>
          <w:p w14:paraId="3810DA59"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$23,000 </w:t>
            </w:r>
          </w:p>
        </w:tc>
        <w:tc>
          <w:tcPr>
            <w:cnfStyle w:val="000010000000" w:firstRow="0" w:lastRow="0" w:firstColumn="0" w:lastColumn="0" w:oddVBand="1" w:evenVBand="0" w:oddHBand="0" w:evenHBand="0" w:firstRowFirstColumn="0" w:firstRowLastColumn="0" w:lastRowFirstColumn="0" w:lastRowLastColumn="0"/>
            <w:tcW w:w="1695" w:type="dxa"/>
          </w:tcPr>
          <w:p w14:paraId="799560F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xml:space="preserve">$23,227 </w:t>
            </w:r>
          </w:p>
        </w:tc>
        <w:tc>
          <w:tcPr>
            <w:tcW w:w="1367" w:type="dxa"/>
          </w:tcPr>
          <w:p w14:paraId="72B605B9"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101%</w:t>
            </w:r>
          </w:p>
        </w:tc>
      </w:tr>
    </w:tbl>
    <w:p w14:paraId="304F4308" w14:textId="77777777" w:rsidR="0074457B" w:rsidRPr="004A0C12" w:rsidRDefault="0074457B" w:rsidP="0074457B">
      <w:pPr>
        <w:pStyle w:val="PlainText1"/>
        <w:rPr>
          <w:rFonts w:ascii="Garamond" w:hAnsi="Garamond"/>
          <w:sz w:val="22"/>
          <w:szCs w:val="22"/>
        </w:rPr>
      </w:pPr>
    </w:p>
    <w:tbl>
      <w:tblPr>
        <w:tblStyle w:val="PlainTable11"/>
        <w:tblW w:w="0" w:type="auto"/>
        <w:tblLayout w:type="fixed"/>
        <w:tblLook w:val="0000" w:firstRow="0" w:lastRow="0" w:firstColumn="0" w:lastColumn="0" w:noHBand="0" w:noVBand="0"/>
        <w:tblCaption w:val="PY 14 Veterans Program Assessment Results"/>
        <w:tblDescription w:val="This chart shows the Veterans Program assessment results for program year 2014. "/>
      </w:tblPr>
      <w:tblGrid>
        <w:gridCol w:w="5997"/>
        <w:gridCol w:w="1785"/>
        <w:gridCol w:w="1695"/>
        <w:gridCol w:w="1457"/>
      </w:tblGrid>
      <w:tr w:rsidR="0074457B" w:rsidRPr="004A0C12" w14:paraId="75230387" w14:textId="77777777" w:rsidTr="008B1D9A">
        <w:trPr>
          <w:trHeight w:val="300"/>
          <w:tblHeader/>
        </w:trPr>
        <w:tc>
          <w:tcPr>
            <w:cnfStyle w:val="000010000000" w:firstRow="0" w:lastRow="0" w:firstColumn="0" w:lastColumn="0" w:oddVBand="1" w:evenVBand="0" w:oddHBand="0" w:evenHBand="0" w:firstRowFirstColumn="0" w:firstRowLastColumn="0" w:lastRowFirstColumn="0" w:lastRowLastColumn="0"/>
            <w:tcW w:w="10934" w:type="dxa"/>
            <w:gridSpan w:val="4"/>
          </w:tcPr>
          <w:p w14:paraId="6BCB665E"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 xml:space="preserve">PY 14 Veterans Program Assessment Results </w:t>
            </w:r>
          </w:p>
        </w:tc>
      </w:tr>
      <w:tr w:rsidR="0074457B" w:rsidRPr="004A0C12" w14:paraId="57B962E0"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97" w:type="dxa"/>
          </w:tcPr>
          <w:p w14:paraId="5B4B5B16"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 xml:space="preserve"> Performance Targets for JVSG Staff</w:t>
            </w:r>
          </w:p>
        </w:tc>
        <w:tc>
          <w:tcPr>
            <w:tcW w:w="1785" w:type="dxa"/>
          </w:tcPr>
          <w:p w14:paraId="74F23D5F"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Negotiated Targets</w:t>
            </w:r>
          </w:p>
        </w:tc>
        <w:tc>
          <w:tcPr>
            <w:cnfStyle w:val="000010000000" w:firstRow="0" w:lastRow="0" w:firstColumn="0" w:lastColumn="0" w:oddVBand="1" w:evenVBand="0" w:oddHBand="0" w:evenHBand="0" w:firstRowFirstColumn="0" w:firstRowLastColumn="0" w:lastRowFirstColumn="0" w:lastRowLastColumn="0"/>
            <w:tcW w:w="1695" w:type="dxa"/>
          </w:tcPr>
          <w:p w14:paraId="0C295250"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Q-4 Performance</w:t>
            </w:r>
          </w:p>
        </w:tc>
        <w:tc>
          <w:tcPr>
            <w:tcW w:w="1457" w:type="dxa"/>
          </w:tcPr>
          <w:p w14:paraId="284770A6" w14:textId="77777777" w:rsidR="0074457B" w:rsidRPr="004A0C12" w:rsidRDefault="0074457B" w:rsidP="0074457B">
            <w:pPr>
              <w:pStyle w:val="PlainText1"/>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Standard</w:t>
            </w:r>
          </w:p>
        </w:tc>
      </w:tr>
      <w:tr w:rsidR="0074457B" w:rsidRPr="004A0C12" w14:paraId="595D0B55" w14:textId="77777777" w:rsidTr="00900002">
        <w:trPr>
          <w:trHeight w:val="660"/>
        </w:trPr>
        <w:tc>
          <w:tcPr>
            <w:cnfStyle w:val="000010000000" w:firstRow="0" w:lastRow="0" w:firstColumn="0" w:lastColumn="0" w:oddVBand="1" w:evenVBand="0" w:oddHBand="0" w:evenHBand="0" w:firstRowFirstColumn="0" w:firstRowLastColumn="0" w:lastRowFirstColumn="0" w:lastRowLastColumn="0"/>
            <w:tcW w:w="5997" w:type="dxa"/>
          </w:tcPr>
          <w:p w14:paraId="7E130BA8"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Intensive Services Provided to Individuals by DVOP Specialists/Total Veterans and Eligible Persons Served by DVOP Specialists in the State</w:t>
            </w:r>
          </w:p>
        </w:tc>
        <w:tc>
          <w:tcPr>
            <w:tcW w:w="1785" w:type="dxa"/>
          </w:tcPr>
          <w:p w14:paraId="3BB31588"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75%</w:t>
            </w:r>
          </w:p>
        </w:tc>
        <w:tc>
          <w:tcPr>
            <w:cnfStyle w:val="000010000000" w:firstRow="0" w:lastRow="0" w:firstColumn="0" w:lastColumn="0" w:oddVBand="1" w:evenVBand="0" w:oddHBand="0" w:evenHBand="0" w:firstRowFirstColumn="0" w:firstRowLastColumn="0" w:lastRowFirstColumn="0" w:lastRowLastColumn="0"/>
            <w:tcW w:w="1695" w:type="dxa"/>
          </w:tcPr>
          <w:p w14:paraId="604DD2A7"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81%</w:t>
            </w:r>
          </w:p>
        </w:tc>
        <w:tc>
          <w:tcPr>
            <w:tcW w:w="1457" w:type="dxa"/>
          </w:tcPr>
          <w:p w14:paraId="24973F1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108%</w:t>
            </w:r>
          </w:p>
        </w:tc>
      </w:tr>
      <w:tr w:rsidR="0074457B" w:rsidRPr="004A0C12" w14:paraId="75F4396A"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97" w:type="dxa"/>
          </w:tcPr>
          <w:p w14:paraId="6188A6E0"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Veterans’ Entered Employment Rate (weighted)</w:t>
            </w:r>
          </w:p>
        </w:tc>
        <w:tc>
          <w:tcPr>
            <w:tcW w:w="1785" w:type="dxa"/>
          </w:tcPr>
          <w:p w14:paraId="5276C7E6"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57%</w:t>
            </w:r>
          </w:p>
        </w:tc>
        <w:tc>
          <w:tcPr>
            <w:cnfStyle w:val="000010000000" w:firstRow="0" w:lastRow="0" w:firstColumn="0" w:lastColumn="0" w:oddVBand="1" w:evenVBand="0" w:oddHBand="0" w:evenHBand="0" w:firstRowFirstColumn="0" w:firstRowLastColumn="0" w:lastRowFirstColumn="0" w:lastRowLastColumn="0"/>
            <w:tcW w:w="1695" w:type="dxa"/>
          </w:tcPr>
          <w:p w14:paraId="31DFAB4E" w14:textId="77777777" w:rsidR="0074457B" w:rsidRPr="004A0C12" w:rsidRDefault="0074457B" w:rsidP="0074457B">
            <w:pPr>
              <w:jc w:val="center"/>
              <w:rPr>
                <w:rFonts w:ascii="Garamond" w:hAnsi="Garamond"/>
                <w:sz w:val="22"/>
                <w:szCs w:val="22"/>
              </w:rPr>
            </w:pPr>
            <w:r w:rsidRPr="004A0C12">
              <w:rPr>
                <w:rFonts w:ascii="Garamond" w:hAnsi="Garamond"/>
                <w:sz w:val="22"/>
                <w:szCs w:val="22"/>
              </w:rPr>
              <w:t>65%</w:t>
            </w:r>
          </w:p>
        </w:tc>
        <w:tc>
          <w:tcPr>
            <w:tcW w:w="1457" w:type="dxa"/>
          </w:tcPr>
          <w:p w14:paraId="6CBBA6A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114%</w:t>
            </w:r>
          </w:p>
        </w:tc>
      </w:tr>
      <w:tr w:rsidR="0074457B" w:rsidRPr="004A0C12" w14:paraId="2E86E8AB"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97" w:type="dxa"/>
          </w:tcPr>
          <w:p w14:paraId="354B89ED"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 xml:space="preserve">Veterans’ Employment Retention Rate </w:t>
            </w:r>
          </w:p>
        </w:tc>
        <w:tc>
          <w:tcPr>
            <w:tcW w:w="1785" w:type="dxa"/>
          </w:tcPr>
          <w:p w14:paraId="2DF70AA9"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83%</w:t>
            </w:r>
          </w:p>
        </w:tc>
        <w:tc>
          <w:tcPr>
            <w:cnfStyle w:val="000010000000" w:firstRow="0" w:lastRow="0" w:firstColumn="0" w:lastColumn="0" w:oddVBand="1" w:evenVBand="0" w:oddHBand="0" w:evenHBand="0" w:firstRowFirstColumn="0" w:firstRowLastColumn="0" w:lastRowFirstColumn="0" w:lastRowLastColumn="0"/>
            <w:tcW w:w="1695" w:type="dxa"/>
          </w:tcPr>
          <w:p w14:paraId="7960CCC2"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82%</w:t>
            </w:r>
          </w:p>
        </w:tc>
        <w:tc>
          <w:tcPr>
            <w:tcW w:w="1457" w:type="dxa"/>
          </w:tcPr>
          <w:p w14:paraId="119C26B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99%</w:t>
            </w:r>
          </w:p>
        </w:tc>
      </w:tr>
      <w:tr w:rsidR="0074457B" w:rsidRPr="004A0C12" w14:paraId="0435A9C7"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97" w:type="dxa"/>
          </w:tcPr>
          <w:p w14:paraId="0898B0F5"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Veterans’ Average Earnings (Six-Months)</w:t>
            </w:r>
          </w:p>
        </w:tc>
        <w:tc>
          <w:tcPr>
            <w:tcW w:w="1785" w:type="dxa"/>
          </w:tcPr>
          <w:p w14:paraId="64C94965"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$19,400 </w:t>
            </w:r>
          </w:p>
        </w:tc>
        <w:tc>
          <w:tcPr>
            <w:cnfStyle w:val="000010000000" w:firstRow="0" w:lastRow="0" w:firstColumn="0" w:lastColumn="0" w:oddVBand="1" w:evenVBand="0" w:oddHBand="0" w:evenHBand="0" w:firstRowFirstColumn="0" w:firstRowLastColumn="0" w:lastRowFirstColumn="0" w:lastRowLastColumn="0"/>
            <w:tcW w:w="1695" w:type="dxa"/>
          </w:tcPr>
          <w:p w14:paraId="19118FD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xml:space="preserve">$18,264 </w:t>
            </w:r>
          </w:p>
        </w:tc>
        <w:tc>
          <w:tcPr>
            <w:tcW w:w="1457" w:type="dxa"/>
          </w:tcPr>
          <w:p w14:paraId="51C8176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94%</w:t>
            </w:r>
          </w:p>
        </w:tc>
      </w:tr>
      <w:tr w:rsidR="0074457B" w:rsidRPr="004A0C12" w14:paraId="5C0AC9E0"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97" w:type="dxa"/>
          </w:tcPr>
          <w:p w14:paraId="19BED9FD" w14:textId="3AFA85BA"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Entered Employment R</w:t>
            </w:r>
            <w:r w:rsidR="0074457B" w:rsidRPr="004A0C12">
              <w:rPr>
                <w:rFonts w:ascii="Garamond" w:hAnsi="Garamond"/>
                <w:sz w:val="22"/>
                <w:szCs w:val="22"/>
              </w:rPr>
              <w:t>ate</w:t>
            </w:r>
          </w:p>
        </w:tc>
        <w:tc>
          <w:tcPr>
            <w:tcW w:w="1785" w:type="dxa"/>
          </w:tcPr>
          <w:p w14:paraId="49BD763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49%</w:t>
            </w:r>
          </w:p>
        </w:tc>
        <w:tc>
          <w:tcPr>
            <w:cnfStyle w:val="000010000000" w:firstRow="0" w:lastRow="0" w:firstColumn="0" w:lastColumn="0" w:oddVBand="1" w:evenVBand="0" w:oddHBand="0" w:evenHBand="0" w:firstRowFirstColumn="0" w:firstRowLastColumn="0" w:lastRowFirstColumn="0" w:lastRowLastColumn="0"/>
            <w:tcW w:w="1695" w:type="dxa"/>
          </w:tcPr>
          <w:p w14:paraId="046CAB0C" w14:textId="77777777" w:rsidR="0074457B" w:rsidRPr="004A0C12" w:rsidRDefault="0074457B" w:rsidP="0074457B">
            <w:pPr>
              <w:jc w:val="center"/>
              <w:rPr>
                <w:rFonts w:ascii="Garamond" w:hAnsi="Garamond"/>
                <w:sz w:val="22"/>
                <w:szCs w:val="22"/>
              </w:rPr>
            </w:pPr>
            <w:r w:rsidRPr="004A0C12">
              <w:rPr>
                <w:rFonts w:ascii="Garamond" w:hAnsi="Garamond"/>
                <w:sz w:val="22"/>
                <w:szCs w:val="22"/>
              </w:rPr>
              <w:t>49%</w:t>
            </w:r>
          </w:p>
        </w:tc>
        <w:tc>
          <w:tcPr>
            <w:tcW w:w="1457" w:type="dxa"/>
          </w:tcPr>
          <w:p w14:paraId="57EA8C07"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w:t>
            </w:r>
          </w:p>
        </w:tc>
      </w:tr>
      <w:tr w:rsidR="0074457B" w:rsidRPr="004A0C12" w14:paraId="42A00460"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97" w:type="dxa"/>
          </w:tcPr>
          <w:p w14:paraId="24EF6E58" w14:textId="591F4394"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Employment Retention R</w:t>
            </w:r>
            <w:r w:rsidR="0074457B" w:rsidRPr="004A0C12">
              <w:rPr>
                <w:rFonts w:ascii="Garamond" w:hAnsi="Garamond"/>
                <w:sz w:val="22"/>
                <w:szCs w:val="22"/>
              </w:rPr>
              <w:t>ate</w:t>
            </w:r>
          </w:p>
        </w:tc>
        <w:tc>
          <w:tcPr>
            <w:tcW w:w="1785" w:type="dxa"/>
          </w:tcPr>
          <w:p w14:paraId="1068E2E4"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83%</w:t>
            </w:r>
          </w:p>
        </w:tc>
        <w:tc>
          <w:tcPr>
            <w:cnfStyle w:val="000010000000" w:firstRow="0" w:lastRow="0" w:firstColumn="0" w:lastColumn="0" w:oddVBand="1" w:evenVBand="0" w:oddHBand="0" w:evenHBand="0" w:firstRowFirstColumn="0" w:firstRowLastColumn="0" w:lastRowFirstColumn="0" w:lastRowLastColumn="0"/>
            <w:tcW w:w="1695" w:type="dxa"/>
          </w:tcPr>
          <w:p w14:paraId="22D4EBCB"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81%</w:t>
            </w:r>
          </w:p>
        </w:tc>
        <w:tc>
          <w:tcPr>
            <w:tcW w:w="1457" w:type="dxa"/>
          </w:tcPr>
          <w:p w14:paraId="5D668F9B"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98%</w:t>
            </w:r>
          </w:p>
        </w:tc>
      </w:tr>
      <w:tr w:rsidR="0074457B" w:rsidRPr="004A0C12" w14:paraId="1BD1AF85"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97" w:type="dxa"/>
          </w:tcPr>
          <w:p w14:paraId="0FD4B344" w14:textId="06D1FAA3"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Average E</w:t>
            </w:r>
            <w:r w:rsidR="0074457B" w:rsidRPr="004A0C12">
              <w:rPr>
                <w:rFonts w:ascii="Garamond" w:hAnsi="Garamond"/>
                <w:sz w:val="22"/>
                <w:szCs w:val="22"/>
              </w:rPr>
              <w:t>arnings (Six Months)</w:t>
            </w:r>
          </w:p>
        </w:tc>
        <w:tc>
          <w:tcPr>
            <w:tcW w:w="1785" w:type="dxa"/>
          </w:tcPr>
          <w:p w14:paraId="6DEDE9C1"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$22,600 </w:t>
            </w:r>
          </w:p>
        </w:tc>
        <w:tc>
          <w:tcPr>
            <w:cnfStyle w:val="000010000000" w:firstRow="0" w:lastRow="0" w:firstColumn="0" w:lastColumn="0" w:oddVBand="1" w:evenVBand="0" w:oddHBand="0" w:evenHBand="0" w:firstRowFirstColumn="0" w:firstRowLastColumn="0" w:lastRowFirstColumn="0" w:lastRowLastColumn="0"/>
            <w:tcW w:w="1695" w:type="dxa"/>
          </w:tcPr>
          <w:p w14:paraId="5B2D77D7"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xml:space="preserve">$20,556 </w:t>
            </w:r>
          </w:p>
        </w:tc>
        <w:tc>
          <w:tcPr>
            <w:tcW w:w="1457" w:type="dxa"/>
          </w:tcPr>
          <w:p w14:paraId="7A5B4E24"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91%</w:t>
            </w:r>
          </w:p>
        </w:tc>
      </w:tr>
      <w:tr w:rsidR="0074457B" w:rsidRPr="004A0C12" w14:paraId="06538F51"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0934" w:type="dxa"/>
            <w:gridSpan w:val="4"/>
          </w:tcPr>
          <w:p w14:paraId="56473F48" w14:textId="77777777" w:rsidR="0074457B" w:rsidRPr="004A0C12" w:rsidRDefault="0074457B" w:rsidP="0074457B">
            <w:pPr>
              <w:pStyle w:val="PlainText1"/>
              <w:rPr>
                <w:rFonts w:ascii="Garamond" w:hAnsi="Garamond"/>
                <w:sz w:val="22"/>
                <w:szCs w:val="22"/>
              </w:rPr>
            </w:pPr>
          </w:p>
        </w:tc>
      </w:tr>
      <w:tr w:rsidR="0074457B" w:rsidRPr="004A0C12" w14:paraId="747F1590"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97" w:type="dxa"/>
          </w:tcPr>
          <w:p w14:paraId="4EADC7F4"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 xml:space="preserve">Performance Targets for Labor Exchange Services for Veterans </w:t>
            </w:r>
          </w:p>
        </w:tc>
        <w:tc>
          <w:tcPr>
            <w:tcW w:w="1785" w:type="dxa"/>
          </w:tcPr>
          <w:p w14:paraId="7BDCB7F3"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Negotiated Targets</w:t>
            </w:r>
          </w:p>
        </w:tc>
        <w:tc>
          <w:tcPr>
            <w:cnfStyle w:val="000010000000" w:firstRow="0" w:lastRow="0" w:firstColumn="0" w:lastColumn="0" w:oddVBand="1" w:evenVBand="0" w:oddHBand="0" w:evenHBand="0" w:firstRowFirstColumn="0" w:firstRowLastColumn="0" w:lastRowFirstColumn="0" w:lastRowLastColumn="0"/>
            <w:tcW w:w="1695" w:type="dxa"/>
          </w:tcPr>
          <w:p w14:paraId="5D89DD16" w14:textId="77777777" w:rsidR="0074457B" w:rsidRPr="004A0C12" w:rsidRDefault="0074457B" w:rsidP="0074457B">
            <w:pPr>
              <w:pStyle w:val="PlainText1"/>
              <w:jc w:val="center"/>
              <w:rPr>
                <w:rFonts w:ascii="Garamond" w:hAnsi="Garamond"/>
                <w:sz w:val="22"/>
                <w:szCs w:val="22"/>
              </w:rPr>
            </w:pPr>
            <w:r w:rsidRPr="004A0C12">
              <w:rPr>
                <w:rFonts w:ascii="Garamond" w:hAnsi="Garamond"/>
                <w:sz w:val="22"/>
                <w:szCs w:val="22"/>
              </w:rPr>
              <w:t>Q-4 Performance</w:t>
            </w:r>
          </w:p>
        </w:tc>
        <w:tc>
          <w:tcPr>
            <w:tcW w:w="1457" w:type="dxa"/>
          </w:tcPr>
          <w:p w14:paraId="0CF37FEB" w14:textId="77777777" w:rsidR="0074457B" w:rsidRPr="004A0C12" w:rsidRDefault="0074457B" w:rsidP="0074457B">
            <w:pPr>
              <w:pStyle w:val="PlainText1"/>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of Standard</w:t>
            </w:r>
          </w:p>
        </w:tc>
      </w:tr>
      <w:tr w:rsidR="0074457B" w:rsidRPr="004A0C12" w14:paraId="2C165E78"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97" w:type="dxa"/>
          </w:tcPr>
          <w:p w14:paraId="4A6B222F"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Veterans’ Entered Employment Rate</w:t>
            </w:r>
          </w:p>
        </w:tc>
        <w:tc>
          <w:tcPr>
            <w:tcW w:w="1785" w:type="dxa"/>
          </w:tcPr>
          <w:p w14:paraId="0B0B3C12"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52%</w:t>
            </w:r>
          </w:p>
        </w:tc>
        <w:tc>
          <w:tcPr>
            <w:cnfStyle w:val="000010000000" w:firstRow="0" w:lastRow="0" w:firstColumn="0" w:lastColumn="0" w:oddVBand="1" w:evenVBand="0" w:oddHBand="0" w:evenHBand="0" w:firstRowFirstColumn="0" w:firstRowLastColumn="0" w:lastRowFirstColumn="0" w:lastRowLastColumn="0"/>
            <w:tcW w:w="1695" w:type="dxa"/>
          </w:tcPr>
          <w:p w14:paraId="490C2D9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54%</w:t>
            </w:r>
          </w:p>
        </w:tc>
        <w:tc>
          <w:tcPr>
            <w:tcW w:w="1457" w:type="dxa"/>
          </w:tcPr>
          <w:p w14:paraId="733DFCC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104%</w:t>
            </w:r>
          </w:p>
        </w:tc>
      </w:tr>
      <w:tr w:rsidR="0074457B" w:rsidRPr="004A0C12" w14:paraId="5E912BCA"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97" w:type="dxa"/>
          </w:tcPr>
          <w:p w14:paraId="7132D9DD"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 xml:space="preserve">Veterans’ Employment Retention Rate </w:t>
            </w:r>
          </w:p>
        </w:tc>
        <w:tc>
          <w:tcPr>
            <w:tcW w:w="1785" w:type="dxa"/>
          </w:tcPr>
          <w:p w14:paraId="46DCDCEF"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84%</w:t>
            </w:r>
          </w:p>
        </w:tc>
        <w:tc>
          <w:tcPr>
            <w:cnfStyle w:val="000010000000" w:firstRow="0" w:lastRow="0" w:firstColumn="0" w:lastColumn="0" w:oddVBand="1" w:evenVBand="0" w:oddHBand="0" w:evenHBand="0" w:firstRowFirstColumn="0" w:firstRowLastColumn="0" w:lastRowFirstColumn="0" w:lastRowLastColumn="0"/>
            <w:tcW w:w="1695" w:type="dxa"/>
          </w:tcPr>
          <w:p w14:paraId="22149B29"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82%</w:t>
            </w:r>
          </w:p>
        </w:tc>
        <w:tc>
          <w:tcPr>
            <w:tcW w:w="1457" w:type="dxa"/>
          </w:tcPr>
          <w:p w14:paraId="0B9141AC"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98%</w:t>
            </w:r>
          </w:p>
        </w:tc>
      </w:tr>
      <w:tr w:rsidR="0074457B" w:rsidRPr="004A0C12" w14:paraId="2A3DFF09"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97" w:type="dxa"/>
          </w:tcPr>
          <w:p w14:paraId="0249C917" w14:textId="77777777" w:rsidR="0074457B" w:rsidRPr="004A0C12" w:rsidRDefault="0074457B" w:rsidP="0074457B">
            <w:pPr>
              <w:pStyle w:val="PlainText1"/>
              <w:rPr>
                <w:rFonts w:ascii="Garamond" w:hAnsi="Garamond"/>
                <w:sz w:val="22"/>
                <w:szCs w:val="22"/>
              </w:rPr>
            </w:pPr>
            <w:r w:rsidRPr="004A0C12">
              <w:rPr>
                <w:rFonts w:ascii="Garamond" w:hAnsi="Garamond"/>
                <w:sz w:val="22"/>
                <w:szCs w:val="22"/>
              </w:rPr>
              <w:t>Veterans’ Average Earnings  (Six-Months)</w:t>
            </w:r>
          </w:p>
        </w:tc>
        <w:tc>
          <w:tcPr>
            <w:tcW w:w="1785" w:type="dxa"/>
          </w:tcPr>
          <w:p w14:paraId="63B42FA0"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$19,700 </w:t>
            </w:r>
          </w:p>
        </w:tc>
        <w:tc>
          <w:tcPr>
            <w:cnfStyle w:val="000010000000" w:firstRow="0" w:lastRow="0" w:firstColumn="0" w:lastColumn="0" w:oddVBand="1" w:evenVBand="0" w:oddHBand="0" w:evenHBand="0" w:firstRowFirstColumn="0" w:firstRowLastColumn="0" w:lastRowFirstColumn="0" w:lastRowLastColumn="0"/>
            <w:tcW w:w="1695" w:type="dxa"/>
          </w:tcPr>
          <w:p w14:paraId="1293F6C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xml:space="preserve">$19,290 </w:t>
            </w:r>
          </w:p>
        </w:tc>
        <w:tc>
          <w:tcPr>
            <w:tcW w:w="1457" w:type="dxa"/>
          </w:tcPr>
          <w:p w14:paraId="516EFF1E"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98%</w:t>
            </w:r>
          </w:p>
        </w:tc>
      </w:tr>
      <w:tr w:rsidR="0074457B" w:rsidRPr="004A0C12" w14:paraId="06A64EF0"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97" w:type="dxa"/>
          </w:tcPr>
          <w:p w14:paraId="276DCDA5" w14:textId="32FDCC2B" w:rsidR="0074457B" w:rsidRPr="004A0C12" w:rsidRDefault="0074457B" w:rsidP="0074457B">
            <w:pPr>
              <w:pStyle w:val="PlainText1"/>
              <w:rPr>
                <w:rFonts w:ascii="Garamond" w:hAnsi="Garamond"/>
                <w:sz w:val="22"/>
                <w:szCs w:val="22"/>
              </w:rPr>
            </w:pPr>
            <w:r w:rsidRPr="004A0C12">
              <w:rPr>
                <w:rFonts w:ascii="Garamond" w:hAnsi="Garamond"/>
                <w:sz w:val="22"/>
                <w:szCs w:val="22"/>
              </w:rPr>
              <w:t>Di</w:t>
            </w:r>
            <w:r w:rsidR="00900002" w:rsidRPr="004A0C12">
              <w:rPr>
                <w:rFonts w:ascii="Garamond" w:hAnsi="Garamond"/>
                <w:sz w:val="22"/>
                <w:szCs w:val="22"/>
              </w:rPr>
              <w:t>sabled Veterans’ Entered Employment R</w:t>
            </w:r>
            <w:r w:rsidRPr="004A0C12">
              <w:rPr>
                <w:rFonts w:ascii="Garamond" w:hAnsi="Garamond"/>
                <w:sz w:val="22"/>
                <w:szCs w:val="22"/>
              </w:rPr>
              <w:t>ate</w:t>
            </w:r>
          </w:p>
        </w:tc>
        <w:tc>
          <w:tcPr>
            <w:tcW w:w="1785" w:type="dxa"/>
          </w:tcPr>
          <w:p w14:paraId="3A76F075"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50%</w:t>
            </w:r>
          </w:p>
        </w:tc>
        <w:tc>
          <w:tcPr>
            <w:cnfStyle w:val="000010000000" w:firstRow="0" w:lastRow="0" w:firstColumn="0" w:lastColumn="0" w:oddVBand="1" w:evenVBand="0" w:oddHBand="0" w:evenHBand="0" w:firstRowFirstColumn="0" w:firstRowLastColumn="0" w:lastRowFirstColumn="0" w:lastRowLastColumn="0"/>
            <w:tcW w:w="1695" w:type="dxa"/>
          </w:tcPr>
          <w:p w14:paraId="7FF39736" w14:textId="77777777" w:rsidR="0074457B" w:rsidRPr="004A0C12" w:rsidRDefault="0074457B" w:rsidP="0074457B">
            <w:pPr>
              <w:jc w:val="center"/>
              <w:rPr>
                <w:rFonts w:ascii="Garamond" w:hAnsi="Garamond"/>
                <w:sz w:val="22"/>
                <w:szCs w:val="22"/>
              </w:rPr>
            </w:pPr>
            <w:r w:rsidRPr="004A0C12">
              <w:rPr>
                <w:rFonts w:ascii="Garamond" w:hAnsi="Garamond"/>
                <w:sz w:val="22"/>
                <w:szCs w:val="22"/>
              </w:rPr>
              <w:t>48%</w:t>
            </w:r>
          </w:p>
        </w:tc>
        <w:tc>
          <w:tcPr>
            <w:tcW w:w="1457" w:type="dxa"/>
          </w:tcPr>
          <w:p w14:paraId="3EFCE33C"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96%</w:t>
            </w:r>
          </w:p>
        </w:tc>
      </w:tr>
      <w:tr w:rsidR="0074457B" w:rsidRPr="004A0C12" w14:paraId="1E758189" w14:textId="77777777" w:rsidTr="0090000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5997" w:type="dxa"/>
          </w:tcPr>
          <w:p w14:paraId="352F145F" w14:textId="70D3D40A"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Employment Retention R</w:t>
            </w:r>
            <w:r w:rsidR="0074457B" w:rsidRPr="004A0C12">
              <w:rPr>
                <w:rFonts w:ascii="Garamond" w:hAnsi="Garamond"/>
                <w:sz w:val="22"/>
                <w:szCs w:val="22"/>
              </w:rPr>
              <w:t>ate</w:t>
            </w:r>
          </w:p>
        </w:tc>
        <w:tc>
          <w:tcPr>
            <w:tcW w:w="1785" w:type="dxa"/>
          </w:tcPr>
          <w:p w14:paraId="6A2D496A"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84%</w:t>
            </w:r>
          </w:p>
        </w:tc>
        <w:tc>
          <w:tcPr>
            <w:cnfStyle w:val="000010000000" w:firstRow="0" w:lastRow="0" w:firstColumn="0" w:lastColumn="0" w:oddVBand="1" w:evenVBand="0" w:oddHBand="0" w:evenHBand="0" w:firstRowFirstColumn="0" w:firstRowLastColumn="0" w:lastRowFirstColumn="0" w:lastRowLastColumn="0"/>
            <w:tcW w:w="1695" w:type="dxa"/>
          </w:tcPr>
          <w:p w14:paraId="66665D98" w14:textId="77777777" w:rsidR="0074457B" w:rsidRPr="004A0C12" w:rsidRDefault="0074457B" w:rsidP="0074457B">
            <w:pPr>
              <w:jc w:val="center"/>
              <w:rPr>
                <w:rFonts w:ascii="Garamond" w:hAnsi="Garamond"/>
                <w:sz w:val="22"/>
                <w:szCs w:val="22"/>
              </w:rPr>
            </w:pPr>
            <w:r w:rsidRPr="004A0C12">
              <w:rPr>
                <w:rFonts w:ascii="Garamond" w:hAnsi="Garamond"/>
                <w:sz w:val="22"/>
                <w:szCs w:val="22"/>
              </w:rPr>
              <w:t>81%</w:t>
            </w:r>
          </w:p>
        </w:tc>
        <w:tc>
          <w:tcPr>
            <w:tcW w:w="1457" w:type="dxa"/>
          </w:tcPr>
          <w:p w14:paraId="00217441" w14:textId="77777777" w:rsidR="0074457B" w:rsidRPr="004A0C12" w:rsidRDefault="0074457B" w:rsidP="0074457B">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96%</w:t>
            </w:r>
          </w:p>
        </w:tc>
      </w:tr>
      <w:tr w:rsidR="0074457B" w:rsidRPr="004A0C12" w14:paraId="3F4FCFA6" w14:textId="77777777" w:rsidTr="00900002">
        <w:trPr>
          <w:trHeight w:val="300"/>
        </w:trPr>
        <w:tc>
          <w:tcPr>
            <w:cnfStyle w:val="000010000000" w:firstRow="0" w:lastRow="0" w:firstColumn="0" w:lastColumn="0" w:oddVBand="1" w:evenVBand="0" w:oddHBand="0" w:evenHBand="0" w:firstRowFirstColumn="0" w:firstRowLastColumn="0" w:lastRowFirstColumn="0" w:lastRowLastColumn="0"/>
            <w:tcW w:w="5997" w:type="dxa"/>
          </w:tcPr>
          <w:p w14:paraId="1CF726C9" w14:textId="2BD1E483" w:rsidR="0074457B" w:rsidRPr="004A0C12" w:rsidRDefault="00900002" w:rsidP="0074457B">
            <w:pPr>
              <w:pStyle w:val="PlainText1"/>
              <w:rPr>
                <w:rFonts w:ascii="Garamond" w:hAnsi="Garamond"/>
                <w:sz w:val="22"/>
                <w:szCs w:val="22"/>
              </w:rPr>
            </w:pPr>
            <w:r w:rsidRPr="004A0C12">
              <w:rPr>
                <w:rFonts w:ascii="Garamond" w:hAnsi="Garamond"/>
                <w:sz w:val="22"/>
                <w:szCs w:val="22"/>
              </w:rPr>
              <w:t>Disabled Veterans’ Average E</w:t>
            </w:r>
            <w:r w:rsidR="0074457B" w:rsidRPr="004A0C12">
              <w:rPr>
                <w:rFonts w:ascii="Garamond" w:hAnsi="Garamond"/>
                <w:sz w:val="22"/>
                <w:szCs w:val="22"/>
              </w:rPr>
              <w:t>arnings (Six Months)</w:t>
            </w:r>
          </w:p>
        </w:tc>
        <w:tc>
          <w:tcPr>
            <w:tcW w:w="1785" w:type="dxa"/>
          </w:tcPr>
          <w:p w14:paraId="5097AFDB"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$23,300 </w:t>
            </w:r>
          </w:p>
        </w:tc>
        <w:tc>
          <w:tcPr>
            <w:cnfStyle w:val="000010000000" w:firstRow="0" w:lastRow="0" w:firstColumn="0" w:lastColumn="0" w:oddVBand="1" w:evenVBand="0" w:oddHBand="0" w:evenHBand="0" w:firstRowFirstColumn="0" w:firstRowLastColumn="0" w:lastRowFirstColumn="0" w:lastRowLastColumn="0"/>
            <w:tcW w:w="1695" w:type="dxa"/>
          </w:tcPr>
          <w:p w14:paraId="66423F4B" w14:textId="77777777" w:rsidR="0074457B" w:rsidRPr="004A0C12" w:rsidRDefault="0074457B" w:rsidP="0074457B">
            <w:pPr>
              <w:jc w:val="center"/>
              <w:rPr>
                <w:rFonts w:ascii="Garamond" w:hAnsi="Garamond"/>
                <w:sz w:val="22"/>
                <w:szCs w:val="22"/>
              </w:rPr>
            </w:pPr>
            <w:r w:rsidRPr="004A0C12">
              <w:rPr>
                <w:rFonts w:ascii="Garamond" w:hAnsi="Garamond"/>
                <w:sz w:val="22"/>
                <w:szCs w:val="22"/>
              </w:rPr>
              <w:t xml:space="preserve">$22,615 </w:t>
            </w:r>
          </w:p>
        </w:tc>
        <w:tc>
          <w:tcPr>
            <w:tcW w:w="1457" w:type="dxa"/>
          </w:tcPr>
          <w:p w14:paraId="16831F2D" w14:textId="77777777" w:rsidR="0074457B" w:rsidRPr="004A0C12" w:rsidRDefault="0074457B" w:rsidP="0074457B">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97%</w:t>
            </w:r>
          </w:p>
        </w:tc>
      </w:tr>
    </w:tbl>
    <w:p w14:paraId="6AC38D0C" w14:textId="06EBDCCF" w:rsidR="003478E5" w:rsidRPr="00B25499" w:rsidRDefault="003478E5" w:rsidP="001B22D3">
      <w:pPr>
        <w:pStyle w:val="Heading3"/>
        <w:rPr>
          <w:rFonts w:ascii="Garamond" w:hAnsi="Garamond"/>
          <w:sz w:val="24"/>
          <w:szCs w:val="24"/>
        </w:rPr>
      </w:pPr>
      <w:bookmarkStart w:id="92" w:name="_Toc447276136"/>
      <w:r w:rsidRPr="00B25499">
        <w:rPr>
          <w:rFonts w:ascii="Garamond" w:hAnsi="Garamond"/>
          <w:sz w:val="24"/>
          <w:szCs w:val="24"/>
        </w:rPr>
        <w:lastRenderedPageBreak/>
        <w:t>Evaluation</w:t>
      </w:r>
      <w:bookmarkEnd w:id="92"/>
      <w:r w:rsidRPr="00B25499">
        <w:rPr>
          <w:rFonts w:ascii="Garamond" w:hAnsi="Garamond"/>
          <w:sz w:val="24"/>
          <w:szCs w:val="24"/>
        </w:rPr>
        <w:t xml:space="preserve"> </w:t>
      </w:r>
    </w:p>
    <w:p w14:paraId="3C2468BB" w14:textId="23268F0A" w:rsidR="003478E5" w:rsidRPr="004A0C12" w:rsidRDefault="003478E5" w:rsidP="001B22D3">
      <w:pPr>
        <w:spacing w:line="240" w:lineRule="auto"/>
        <w:contextualSpacing/>
        <w:jc w:val="both"/>
        <w:rPr>
          <w:rFonts w:ascii="Garamond" w:hAnsi="Garamond" w:cs="Times New Roman"/>
        </w:rPr>
      </w:pPr>
      <w:r w:rsidRPr="004A0C12">
        <w:rPr>
          <w:rFonts w:ascii="Garamond" w:hAnsi="Garamond" w:cs="Times New Roman"/>
        </w:rPr>
        <w:t>Recognizing that program evaluation and research are two key components of achieving overall system improvement, Maryland's WIOA Partners are committed to working with appropriate organizations to design and coordinate projects that inform sound WIOA policy making that is refined to appropriately meet shared customer needs. Evidence provided by research and evaluations can improve policy in two main ways: it can lead policymakers to adopt or scale-up programs or policies that are found to have net social benefits; or, it can lead policymakers to terminate existing programs that are found to have net social costs. The WIOA Partners, therefore, agree to explore how independent evaluation efforts, that have been historically contracted by each agency independently, can be coordinated to provide a comprehensive, deeper look at the overall WIOA system.</w:t>
      </w:r>
    </w:p>
    <w:p w14:paraId="73DDE606" w14:textId="77777777" w:rsidR="009523C7" w:rsidRPr="00B25499" w:rsidRDefault="009523C7" w:rsidP="006F7A7E">
      <w:pPr>
        <w:pStyle w:val="Heading2"/>
        <w:rPr>
          <w:rFonts w:ascii="Garamond" w:hAnsi="Garamond"/>
          <w:sz w:val="28"/>
          <w:szCs w:val="28"/>
        </w:rPr>
      </w:pPr>
      <w:bookmarkStart w:id="93" w:name="_Toc447276137"/>
      <w:r w:rsidRPr="00B25499">
        <w:rPr>
          <w:rFonts w:ascii="Garamond" w:hAnsi="Garamond"/>
          <w:sz w:val="28"/>
          <w:szCs w:val="28"/>
        </w:rPr>
        <w:t>WIOA FISCAL ACCOUNTABILITY</w:t>
      </w:r>
      <w:bookmarkEnd w:id="93"/>
      <w:r w:rsidRPr="00B25499">
        <w:rPr>
          <w:rFonts w:ascii="Garamond" w:hAnsi="Garamond"/>
          <w:sz w:val="28"/>
          <w:szCs w:val="28"/>
        </w:rPr>
        <w:t xml:space="preserve"> </w:t>
      </w:r>
    </w:p>
    <w:p w14:paraId="22CE6267" w14:textId="77777777" w:rsidR="009523C7" w:rsidRPr="004A0C12" w:rsidRDefault="009523C7" w:rsidP="00FB4F87">
      <w:pPr>
        <w:pStyle w:val="PlainText1"/>
        <w:jc w:val="both"/>
        <w:rPr>
          <w:rFonts w:ascii="Garamond" w:hAnsi="Garamond"/>
          <w:sz w:val="22"/>
          <w:szCs w:val="22"/>
        </w:rPr>
      </w:pPr>
      <w:r w:rsidRPr="004A0C12">
        <w:rPr>
          <w:rFonts w:ascii="Garamond" w:hAnsi="Garamond"/>
          <w:sz w:val="22"/>
          <w:szCs w:val="22"/>
        </w:rPr>
        <w:t>The following section details how Maryland will ensure fiscal integrity is maintained for its WIO</w:t>
      </w:r>
      <w:r w:rsidR="006F7A7E" w:rsidRPr="004A0C12">
        <w:rPr>
          <w:rFonts w:ascii="Garamond" w:hAnsi="Garamond"/>
          <w:sz w:val="22"/>
          <w:szCs w:val="22"/>
        </w:rPr>
        <w:t xml:space="preserve">A Title I, II and IV programs. </w:t>
      </w:r>
    </w:p>
    <w:p w14:paraId="62A1C462" w14:textId="77777777" w:rsidR="009523C7" w:rsidRPr="00B25499" w:rsidRDefault="009523C7" w:rsidP="009F5EDD">
      <w:pPr>
        <w:pStyle w:val="Heading3"/>
        <w:rPr>
          <w:rFonts w:ascii="Garamond" w:hAnsi="Garamond"/>
          <w:sz w:val="24"/>
          <w:szCs w:val="24"/>
        </w:rPr>
      </w:pPr>
      <w:bookmarkStart w:id="94" w:name="_Toc447276138"/>
      <w:r w:rsidRPr="00B25499">
        <w:rPr>
          <w:rFonts w:ascii="Garamond" w:hAnsi="Garamond"/>
          <w:sz w:val="24"/>
          <w:szCs w:val="24"/>
        </w:rPr>
        <w:t>WIOA Title I - Adult, Dislocated Worker &amp; Youth Programs</w:t>
      </w:r>
      <w:bookmarkEnd w:id="94"/>
    </w:p>
    <w:p w14:paraId="72F7E1EE" w14:textId="7301117F" w:rsidR="009523C7" w:rsidRPr="004A0C12" w:rsidRDefault="009523C7" w:rsidP="009523C7">
      <w:pPr>
        <w:pStyle w:val="PlainText1"/>
        <w:contextualSpacing/>
        <w:jc w:val="both"/>
        <w:rPr>
          <w:rFonts w:ascii="Garamond" w:hAnsi="Garamond"/>
          <w:sz w:val="22"/>
          <w:szCs w:val="22"/>
        </w:rPr>
      </w:pPr>
      <w:r w:rsidRPr="004A0C12">
        <w:rPr>
          <w:rFonts w:ascii="Garamond" w:hAnsi="Garamond"/>
          <w:sz w:val="22"/>
          <w:szCs w:val="22"/>
        </w:rPr>
        <w:t xml:space="preserve">Maryland is working to establish a new fiscal policy to appropriately describe the methods and factors the State uses in distributing funds under the WIOA Title I Adult, Dislocated Worker, and Youth programs. Currently, </w:t>
      </w:r>
      <w:r w:rsidR="00900002" w:rsidRPr="004A0C12">
        <w:rPr>
          <w:rFonts w:ascii="Garamond" w:hAnsi="Garamond"/>
          <w:sz w:val="22"/>
          <w:szCs w:val="22"/>
        </w:rPr>
        <w:t>the WIOA Fiscal Accountability Workg</w:t>
      </w:r>
      <w:r w:rsidRPr="004A0C12">
        <w:rPr>
          <w:rFonts w:ascii="Garamond" w:hAnsi="Garamond"/>
          <w:sz w:val="22"/>
          <w:szCs w:val="22"/>
        </w:rPr>
        <w:t xml:space="preserve">roup is convening to set forth recommendations regarding the establishment of the most effective factors to distribute funds. </w:t>
      </w:r>
    </w:p>
    <w:p w14:paraId="2AA34ABE" w14:textId="77777777" w:rsidR="009523C7" w:rsidRPr="004A0C12" w:rsidRDefault="009523C7" w:rsidP="009523C7">
      <w:pPr>
        <w:pStyle w:val="PlainText1"/>
        <w:contextualSpacing/>
        <w:jc w:val="both"/>
        <w:rPr>
          <w:rFonts w:ascii="Garamond" w:hAnsi="Garamond"/>
          <w:sz w:val="22"/>
          <w:szCs w:val="22"/>
        </w:rPr>
      </w:pPr>
    </w:p>
    <w:p w14:paraId="5577286C" w14:textId="59073CF3" w:rsidR="009523C7" w:rsidRPr="004A0C12" w:rsidRDefault="009523C7" w:rsidP="009523C7">
      <w:pPr>
        <w:pStyle w:val="PlainText1"/>
        <w:contextualSpacing/>
        <w:jc w:val="both"/>
        <w:rPr>
          <w:rFonts w:ascii="Garamond" w:hAnsi="Garamond"/>
          <w:sz w:val="22"/>
          <w:szCs w:val="22"/>
        </w:rPr>
      </w:pPr>
      <w:r w:rsidRPr="004A0C12">
        <w:rPr>
          <w:rFonts w:ascii="Garamond" w:hAnsi="Garamond"/>
          <w:color w:val="191919"/>
          <w:sz w:val="22"/>
          <w:szCs w:val="22"/>
        </w:rPr>
        <w:t>TEGL 29-14 o</w:t>
      </w:r>
      <w:r w:rsidR="00900002" w:rsidRPr="004A0C12">
        <w:rPr>
          <w:rFonts w:ascii="Garamond" w:hAnsi="Garamond"/>
          <w:color w:val="191919"/>
          <w:sz w:val="22"/>
          <w:szCs w:val="22"/>
        </w:rPr>
        <w:t>utlines methods upon which the S</w:t>
      </w:r>
      <w:r w:rsidRPr="004A0C12">
        <w:rPr>
          <w:rFonts w:ascii="Garamond" w:hAnsi="Garamond"/>
          <w:color w:val="191919"/>
          <w:sz w:val="22"/>
          <w:szCs w:val="22"/>
        </w:rPr>
        <w:t>tate must allocate WIOA Title I funds. While the work of Maryland’s cost allocation subgroup continues to identify the methods and factors which the State will use in distributing funds under WIOA Title I, Maryland will allocate Adult, Dislocated Worker &amp; Youth Program funds following TEGL 29-14.</w:t>
      </w:r>
    </w:p>
    <w:p w14:paraId="5756A96D" w14:textId="77777777" w:rsidR="006F7A7E" w:rsidRPr="004A0C12" w:rsidRDefault="006F7A7E" w:rsidP="009523C7">
      <w:pPr>
        <w:pStyle w:val="NormalWeb2"/>
        <w:shd w:val="clear" w:color="auto" w:fill="FFFFFF"/>
        <w:spacing w:before="0" w:after="0"/>
        <w:contextualSpacing/>
        <w:jc w:val="both"/>
        <w:rPr>
          <w:rFonts w:ascii="Garamond" w:hAnsi="Garamond"/>
          <w:color w:val="191919"/>
          <w:sz w:val="22"/>
          <w:szCs w:val="22"/>
        </w:rPr>
      </w:pPr>
    </w:p>
    <w:p w14:paraId="32AE8D8B" w14:textId="77777777" w:rsidR="009F5EDD" w:rsidRPr="00B25499" w:rsidRDefault="009F5EDD" w:rsidP="009523C7">
      <w:pPr>
        <w:pStyle w:val="NormalWeb2"/>
        <w:shd w:val="clear" w:color="auto" w:fill="FFFFFF"/>
        <w:spacing w:before="0" w:after="0"/>
        <w:contextualSpacing/>
        <w:jc w:val="both"/>
        <w:rPr>
          <w:rStyle w:val="apple-converted-space"/>
          <w:rFonts w:ascii="Garamond" w:hAnsi="Garamond"/>
          <w:color w:val="191919"/>
          <w:sz w:val="24"/>
          <w:szCs w:val="24"/>
        </w:rPr>
      </w:pPr>
      <w:r w:rsidRPr="00B25499">
        <w:rPr>
          <w:rStyle w:val="Heading4Char"/>
          <w:rFonts w:ascii="Garamond" w:hAnsi="Garamond"/>
          <w:szCs w:val="24"/>
        </w:rPr>
        <w:t>Local Youth Activities Funding</w:t>
      </w:r>
      <w:r w:rsidR="009523C7" w:rsidRPr="00B25499">
        <w:rPr>
          <w:rStyle w:val="apple-converted-space"/>
          <w:rFonts w:ascii="Garamond" w:hAnsi="Garamond"/>
          <w:color w:val="191919"/>
          <w:sz w:val="24"/>
          <w:szCs w:val="24"/>
        </w:rPr>
        <w:t xml:space="preserve">  </w:t>
      </w:r>
    </w:p>
    <w:p w14:paraId="1448C7B0" w14:textId="77777777" w:rsidR="004D0138" w:rsidRPr="004A0C12" w:rsidRDefault="004D0138" w:rsidP="004D0138">
      <w:pPr>
        <w:pStyle w:val="NormalWeb"/>
        <w:spacing w:before="0" w:beforeAutospacing="0" w:afterAutospacing="0"/>
        <w:jc w:val="both"/>
        <w:rPr>
          <w:rFonts w:ascii="Garamond" w:hAnsi="Garamond"/>
          <w:sz w:val="22"/>
          <w:szCs w:val="22"/>
        </w:rPr>
      </w:pPr>
      <w:r w:rsidRPr="004A0C12">
        <w:rPr>
          <w:rFonts w:ascii="Garamond" w:hAnsi="Garamond" w:cs="Helvetica"/>
          <w:color w:val="000000"/>
          <w:sz w:val="22"/>
          <w:szCs w:val="22"/>
        </w:rPr>
        <w:t>Maryland will distribute WIOA Title I Youth funds in accordance with the formula allocation method cited in WIOA Section 128 (b</w:t>
      </w:r>
      <w:proofErr w:type="gramStart"/>
      <w:r w:rsidRPr="004A0C12">
        <w:rPr>
          <w:rFonts w:ascii="Garamond" w:hAnsi="Garamond" w:cs="Helvetica"/>
          <w:color w:val="000000"/>
          <w:sz w:val="22"/>
          <w:szCs w:val="22"/>
        </w:rPr>
        <w:t>)(</w:t>
      </w:r>
      <w:proofErr w:type="gramEnd"/>
      <w:r w:rsidRPr="004A0C12">
        <w:rPr>
          <w:rFonts w:ascii="Garamond" w:hAnsi="Garamond" w:cs="Helvetica"/>
          <w:color w:val="000000"/>
          <w:sz w:val="22"/>
          <w:szCs w:val="22"/>
        </w:rPr>
        <w:t>2)(A). As such, 100% of funds will be distributed using the following three factors enumerated in Section 127(b</w:t>
      </w:r>
      <w:proofErr w:type="gramStart"/>
      <w:r w:rsidRPr="004A0C12">
        <w:rPr>
          <w:rFonts w:ascii="Garamond" w:hAnsi="Garamond" w:cs="Helvetica"/>
          <w:color w:val="000000"/>
          <w:sz w:val="22"/>
          <w:szCs w:val="22"/>
        </w:rPr>
        <w:t>)(</w:t>
      </w:r>
      <w:proofErr w:type="gramEnd"/>
      <w:r w:rsidRPr="004A0C12">
        <w:rPr>
          <w:rFonts w:ascii="Garamond" w:hAnsi="Garamond" w:cs="Helvetica"/>
          <w:color w:val="000000"/>
          <w:sz w:val="22"/>
          <w:szCs w:val="22"/>
        </w:rPr>
        <w:t>1)(C) of WIOA:</w:t>
      </w:r>
    </w:p>
    <w:p w14:paraId="47215439" w14:textId="4FFEE33D"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33</w:t>
      </w:r>
      <w:r w:rsidR="00F6079B">
        <w:rPr>
          <w:rFonts w:ascii="Garamond" w:hAnsi="Garamond" w:cs="Helvetica"/>
          <w:color w:val="000000"/>
          <w:sz w:val="22"/>
          <w:szCs w:val="22"/>
        </w:rPr>
        <w:t xml:space="preserve"> </w:t>
      </w:r>
      <w:r w:rsidRPr="004A0C12">
        <w:rPr>
          <w:rFonts w:ascii="Garamond" w:hAnsi="Garamond" w:cs="Helvetica"/>
          <w:color w:val="000000"/>
          <w:sz w:val="22"/>
          <w:szCs w:val="22"/>
        </w:rPr>
        <w:t>1/3 percent shall be allotted on the basis of the relative number of unemployed individuals in areas of substantial unemployment in each Local Area, compared to the total number of unemployed individuals in areas of substantial unemployment in all States;</w:t>
      </w:r>
    </w:p>
    <w:p w14:paraId="64A8EBC4" w14:textId="0060815E"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33</w:t>
      </w:r>
      <w:r w:rsidR="00F6079B">
        <w:rPr>
          <w:rFonts w:ascii="Garamond" w:hAnsi="Garamond" w:cs="Helvetica"/>
          <w:color w:val="000000"/>
          <w:sz w:val="22"/>
          <w:szCs w:val="22"/>
        </w:rPr>
        <w:t xml:space="preserve"> </w:t>
      </w:r>
      <w:r w:rsidRPr="004A0C12">
        <w:rPr>
          <w:rFonts w:ascii="Garamond" w:hAnsi="Garamond" w:cs="Helvetica"/>
          <w:color w:val="000000"/>
          <w:sz w:val="22"/>
          <w:szCs w:val="22"/>
        </w:rPr>
        <w:t>1/3 percent shall be allotted on the basis of the relative excess number of unemployed individuals in each State, compared to the total excess number of unemployed individuals in all States; and</w:t>
      </w:r>
    </w:p>
    <w:p w14:paraId="3F69AEF8" w14:textId="114F9D56"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33</w:t>
      </w:r>
      <w:r w:rsidR="00F6079B">
        <w:rPr>
          <w:rFonts w:ascii="Garamond" w:hAnsi="Garamond" w:cs="Helvetica"/>
          <w:color w:val="000000"/>
          <w:sz w:val="22"/>
          <w:szCs w:val="22"/>
        </w:rPr>
        <w:t xml:space="preserve"> </w:t>
      </w:r>
      <w:r w:rsidRPr="004A0C12">
        <w:rPr>
          <w:rFonts w:ascii="Garamond" w:hAnsi="Garamond" w:cs="Helvetica"/>
          <w:color w:val="000000"/>
          <w:sz w:val="22"/>
          <w:szCs w:val="22"/>
        </w:rPr>
        <w:t>1/3 percent shall be allotted on the basis of the relative number of disadvantaged youth in each State, compared to the total number of disadvantaged youth in all States. In determining an allotment in relation to a local area’s disadvantaged youth, the allotment shall be based on the higher of—</w:t>
      </w:r>
    </w:p>
    <w:p w14:paraId="546A4818"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(1) the number of individuals who are age 16 through 21 in families with an income below the low- income level in such area; or</w:t>
      </w:r>
    </w:p>
    <w:p w14:paraId="0C5C9F0F"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xml:space="preserve">(2) </w:t>
      </w:r>
      <w:proofErr w:type="gramStart"/>
      <w:r w:rsidRPr="004A0C12">
        <w:rPr>
          <w:rFonts w:ascii="Garamond" w:hAnsi="Garamond" w:cs="Helvetica"/>
          <w:color w:val="000000"/>
          <w:sz w:val="22"/>
          <w:szCs w:val="22"/>
        </w:rPr>
        <w:t>the</w:t>
      </w:r>
      <w:proofErr w:type="gramEnd"/>
      <w:r w:rsidRPr="004A0C12">
        <w:rPr>
          <w:rFonts w:ascii="Garamond" w:hAnsi="Garamond" w:cs="Helvetica"/>
          <w:color w:val="000000"/>
          <w:sz w:val="22"/>
          <w:szCs w:val="22"/>
        </w:rPr>
        <w:t xml:space="preserve"> number of disadvantaged youth in such area.</w:t>
      </w:r>
    </w:p>
    <w:p w14:paraId="584EA9DC"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The local area shall not receive an allocation percentage for a fiscal year that is less than 90 percent of the average allocation percentage of the local area for the 2 preceding fiscal years. Amounts necessary for increasing such allocations to local areas to comply with the preceding sentence shall be obtained by ratably reducing the allocations to be made to other local areas.</w:t>
      </w:r>
    </w:p>
    <w:p w14:paraId="5CD74B97"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Maryland will continue to review it policy in this regard and update it accordingly.</w:t>
      </w:r>
    </w:p>
    <w:p w14:paraId="3BA3FF31" w14:textId="77777777" w:rsidR="009F5EDD" w:rsidRPr="00B25499" w:rsidRDefault="009523C7" w:rsidP="009523C7">
      <w:pPr>
        <w:pStyle w:val="NormalWeb2"/>
        <w:shd w:val="clear" w:color="auto" w:fill="FFFFFF"/>
        <w:spacing w:before="0" w:after="0"/>
        <w:contextualSpacing/>
        <w:jc w:val="both"/>
        <w:rPr>
          <w:rStyle w:val="apple-converted-space"/>
          <w:rFonts w:ascii="Garamond" w:hAnsi="Garamond"/>
          <w:color w:val="191919"/>
          <w:sz w:val="24"/>
          <w:szCs w:val="24"/>
        </w:rPr>
      </w:pPr>
      <w:r w:rsidRPr="00B25499">
        <w:rPr>
          <w:rStyle w:val="Heading4Char"/>
          <w:rFonts w:ascii="Garamond" w:hAnsi="Garamond"/>
          <w:szCs w:val="24"/>
        </w:rPr>
        <w:t>Local Adult Activities Funding</w:t>
      </w:r>
      <w:r w:rsidRPr="00B25499">
        <w:rPr>
          <w:rStyle w:val="apple-converted-space"/>
          <w:rFonts w:ascii="Garamond" w:hAnsi="Garamond"/>
          <w:color w:val="191919"/>
          <w:sz w:val="24"/>
          <w:szCs w:val="24"/>
        </w:rPr>
        <w:t> </w:t>
      </w:r>
    </w:p>
    <w:p w14:paraId="0B6F34CF"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Maryland will distribute WIOA Title I Adult funds in accordance with the formula allocation method cited in WIOA Section 133 (b</w:t>
      </w:r>
      <w:proofErr w:type="gramStart"/>
      <w:r w:rsidRPr="004A0C12">
        <w:rPr>
          <w:rFonts w:ascii="Garamond" w:hAnsi="Garamond" w:cs="Helvetica"/>
          <w:color w:val="000000"/>
          <w:sz w:val="22"/>
          <w:szCs w:val="22"/>
        </w:rPr>
        <w:t>)(</w:t>
      </w:r>
      <w:proofErr w:type="gramEnd"/>
      <w:r w:rsidRPr="004A0C12">
        <w:rPr>
          <w:rFonts w:ascii="Garamond" w:hAnsi="Garamond" w:cs="Helvetica"/>
          <w:color w:val="000000"/>
          <w:sz w:val="22"/>
          <w:szCs w:val="22"/>
        </w:rPr>
        <w:t>2)(A). As such, 100% of funds will be distributed using the following three factors enumerated in Section 132(b</w:t>
      </w:r>
      <w:proofErr w:type="gramStart"/>
      <w:r w:rsidRPr="004A0C12">
        <w:rPr>
          <w:rFonts w:ascii="Garamond" w:hAnsi="Garamond" w:cs="Helvetica"/>
          <w:color w:val="000000"/>
          <w:sz w:val="22"/>
          <w:szCs w:val="22"/>
        </w:rPr>
        <w:t>)(</w:t>
      </w:r>
      <w:proofErr w:type="gramEnd"/>
      <w:r w:rsidRPr="004A0C12">
        <w:rPr>
          <w:rFonts w:ascii="Garamond" w:hAnsi="Garamond" w:cs="Helvetica"/>
          <w:color w:val="000000"/>
          <w:sz w:val="22"/>
          <w:szCs w:val="22"/>
        </w:rPr>
        <w:t>1)(B) of WIOA:</w:t>
      </w:r>
    </w:p>
    <w:p w14:paraId="4449A152"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33 1⁄3 percent shall be allotted on the basis of the relative number of unemployed individuals in areas of substantial unemployment in each local area, compared to the total number of unemployed individuals in areas of substantial unemployment in the State;</w:t>
      </w:r>
    </w:p>
    <w:p w14:paraId="57BEA280"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Arial"/>
          <w:color w:val="000000"/>
          <w:sz w:val="22"/>
          <w:szCs w:val="22"/>
        </w:rPr>
        <w:lastRenderedPageBreak/>
        <w:t>33 1⁄3 percent shall be allotted on the basis of the relative excess number of unemployed individuals in each local area, compared to the total excess number of unemployed individuals in the State; and</w:t>
      </w:r>
    </w:p>
    <w:p w14:paraId="476CEEED"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33 1⁄3 percent shall be allotted on the basis of the relative number of disadvantaged adults in each local area, compared to the total number of disadvantaged adults in the State. The allotment shall be based on the higher of—</w:t>
      </w:r>
    </w:p>
    <w:p w14:paraId="3916DF8D"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xml:space="preserve">(1) </w:t>
      </w:r>
      <w:proofErr w:type="gramStart"/>
      <w:r w:rsidRPr="004A0C12">
        <w:rPr>
          <w:rFonts w:ascii="Garamond" w:hAnsi="Garamond" w:cs="Helvetica"/>
          <w:color w:val="000000"/>
          <w:sz w:val="22"/>
          <w:szCs w:val="22"/>
        </w:rPr>
        <w:t>the</w:t>
      </w:r>
      <w:proofErr w:type="gramEnd"/>
      <w:r w:rsidRPr="004A0C12">
        <w:rPr>
          <w:rFonts w:ascii="Garamond" w:hAnsi="Garamond" w:cs="Helvetica"/>
          <w:color w:val="000000"/>
          <w:sz w:val="22"/>
          <w:szCs w:val="22"/>
        </w:rPr>
        <w:t xml:space="preserve"> number of adults in families with an income below the low-income level in such area; or</w:t>
      </w:r>
    </w:p>
    <w:p w14:paraId="3D8AFBD0"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xml:space="preserve">(2) </w:t>
      </w:r>
      <w:proofErr w:type="gramStart"/>
      <w:r w:rsidRPr="004A0C12">
        <w:rPr>
          <w:rFonts w:ascii="Garamond" w:hAnsi="Garamond" w:cs="Helvetica"/>
          <w:color w:val="000000"/>
          <w:sz w:val="22"/>
          <w:szCs w:val="22"/>
        </w:rPr>
        <w:t>the</w:t>
      </w:r>
      <w:proofErr w:type="gramEnd"/>
      <w:r w:rsidRPr="004A0C12">
        <w:rPr>
          <w:rFonts w:ascii="Garamond" w:hAnsi="Garamond" w:cs="Helvetica"/>
          <w:color w:val="000000"/>
          <w:sz w:val="22"/>
          <w:szCs w:val="22"/>
        </w:rPr>
        <w:t xml:space="preserve"> number of disadvantaged adults in such area.</w:t>
      </w:r>
    </w:p>
    <w:p w14:paraId="17EB415E"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The local area shall not receive an allocation percentage for a fiscal year that is less than 90 percent of the average allocation percentage of the local area for the 2 preceding fiscal years. Amounts necessary for increasing such allocations to local areas to comply with the preceding sentence shall be obtained by ratably reducing the allocations to be made to other local areas.</w:t>
      </w:r>
    </w:p>
    <w:p w14:paraId="37376EB8"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Maryland will continue to review it policy in this regard and update it accordingly.</w:t>
      </w:r>
    </w:p>
    <w:p w14:paraId="44402D22" w14:textId="77777777"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p>
    <w:p w14:paraId="6D104425" w14:textId="77777777" w:rsidR="00AB5AEF" w:rsidRPr="00B25499" w:rsidRDefault="009523C7" w:rsidP="009523C7">
      <w:pPr>
        <w:pStyle w:val="NormalWeb2"/>
        <w:shd w:val="clear" w:color="auto" w:fill="FFFFFF"/>
        <w:spacing w:before="0" w:after="0"/>
        <w:contextualSpacing/>
        <w:jc w:val="both"/>
        <w:rPr>
          <w:rFonts w:ascii="Garamond" w:hAnsi="Garamond"/>
          <w:color w:val="191919"/>
          <w:szCs w:val="24"/>
        </w:rPr>
      </w:pPr>
      <w:r w:rsidRPr="00B25499">
        <w:rPr>
          <w:rStyle w:val="Heading4Char"/>
          <w:rFonts w:ascii="Garamond" w:hAnsi="Garamond"/>
          <w:szCs w:val="24"/>
        </w:rPr>
        <w:t>Local Dislocated Worker Funding</w:t>
      </w:r>
      <w:r w:rsidR="00C26F86" w:rsidRPr="00B25499">
        <w:rPr>
          <w:rFonts w:ascii="Garamond" w:hAnsi="Garamond"/>
          <w:color w:val="191919"/>
          <w:szCs w:val="24"/>
        </w:rPr>
        <w:t xml:space="preserve"> </w:t>
      </w:r>
    </w:p>
    <w:p w14:paraId="75601554" w14:textId="77777777" w:rsidR="004D0138" w:rsidRPr="004A0C12" w:rsidRDefault="004D0138" w:rsidP="004D0138">
      <w:pPr>
        <w:pStyle w:val="NormalWeb"/>
        <w:spacing w:before="0" w:beforeAutospacing="0" w:afterAutospacing="0"/>
        <w:jc w:val="both"/>
        <w:rPr>
          <w:rFonts w:ascii="Garamond" w:hAnsi="Garamond"/>
          <w:sz w:val="22"/>
          <w:szCs w:val="22"/>
        </w:rPr>
      </w:pPr>
      <w:r w:rsidRPr="004A0C12">
        <w:rPr>
          <w:rFonts w:ascii="Garamond" w:hAnsi="Garamond" w:cs="Helvetica"/>
          <w:color w:val="000000"/>
          <w:sz w:val="22"/>
          <w:szCs w:val="22"/>
        </w:rPr>
        <w:t>The Maryland WIOA Fiscal Accountability Workgroup, comprised of Local Directors, local staff, and staff from the Division of Workforce Development and Adult Learning, met multiple times to discuss the allocation formula for Dislocated Worker funds administered under Title I of WIOA.</w:t>
      </w:r>
    </w:p>
    <w:p w14:paraId="021F2B49"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The workgroup used as a guide Section 133 of WIOA and TEGL 29-14 and examined how the funds were administered previously. Specifically, WIOA Section 133 provides that information that can be used in the formulation of the Dislocated Worker allocation includes “insured unemployment data, unemployment concentrations, plant closing and mass layoff data, declining industries data, farmer- rancher economic hardship data, and long-term unemployment data.”</w:t>
      </w:r>
    </w:p>
    <w:p w14:paraId="00CC3510"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Utilizing the data referenced above, which included unemployment statistics, Quarterly Census of Employment and Wages and other Bureau of Labor Statistics data, and other sources, the workgroup identified six factors to be used to determine the local Dislocated Worker formula.</w:t>
      </w:r>
    </w:p>
    <w:p w14:paraId="351C5A5E"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Unemployment Insurance Exhaustee</w:t>
      </w:r>
    </w:p>
    <w:p w14:paraId="1BC3916D"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Insured Unemployed</w:t>
      </w:r>
    </w:p>
    <w:p w14:paraId="38AEBBB2"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Unemployed</w:t>
      </w:r>
    </w:p>
    <w:p w14:paraId="22635EE0"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Declining Industries</w:t>
      </w:r>
    </w:p>
    <w:p w14:paraId="593B8E97"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Mass Layoffs/Plant Closings</w:t>
      </w:r>
    </w:p>
    <w:p w14:paraId="5CDA212D"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Farmer/Rancher Data</w:t>
      </w:r>
    </w:p>
    <w:p w14:paraId="3737B1E3" w14:textId="77777777" w:rsidR="004D0138" w:rsidRPr="004A0C12" w:rsidRDefault="004D0138" w:rsidP="004D0138">
      <w:pPr>
        <w:pStyle w:val="NormalWeb"/>
        <w:spacing w:before="0" w:beforeAutospacing="0" w:afterAutospacing="0"/>
        <w:rPr>
          <w:rFonts w:ascii="Garamond" w:hAnsi="Garamond" w:cs="Helvetica"/>
          <w:color w:val="000000"/>
          <w:sz w:val="22"/>
          <w:szCs w:val="22"/>
        </w:rPr>
      </w:pPr>
      <w:r w:rsidRPr="004A0C12">
        <w:rPr>
          <w:rFonts w:ascii="Garamond" w:hAnsi="Garamond" w:cs="Helvetica"/>
          <w:color w:val="000000"/>
          <w:sz w:val="22"/>
          <w:szCs w:val="22"/>
        </w:rPr>
        <w:t>The workgroup also recommended the priority of the factors. While recommendations were made, the workgroup deferred any final decision regarding the factors used, and the weighting of those factors. Consistent with the purpose of the dislocated worker program, the allocation method addresses current and future needs by focusing on unemployed individuals.</w:t>
      </w:r>
    </w:p>
    <w:p w14:paraId="12D937F1"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Maryland combines the Insured Unemployed and Unemployed into one factor with a high assigned weighting. This was done to ensure that all unemployed individuals, regardless of their status as receiving Unemployment Insurance benefits, can utilize dislocated worker funding within the existing constraints of the law. Based on that conversation and substantial research and data analysis, it was concluded that the final factors and weighting are:</w:t>
      </w:r>
    </w:p>
    <w:p w14:paraId="3243C8E1" w14:textId="77777777" w:rsidR="004D0138" w:rsidRPr="004A0C12" w:rsidRDefault="004D0138" w:rsidP="004D0138">
      <w:pPr>
        <w:pStyle w:val="NormalWeb"/>
        <w:spacing w:before="0" w:beforeAutospacing="0" w:afterAutospacing="0"/>
        <w:jc w:val="both"/>
        <w:rPr>
          <w:rFonts w:ascii="Garamond" w:hAnsi="Garamond"/>
          <w:sz w:val="22"/>
          <w:szCs w:val="22"/>
        </w:rPr>
      </w:pPr>
      <w:r w:rsidRPr="004A0C12">
        <w:rPr>
          <w:rFonts w:ascii="Garamond" w:hAnsi="Garamond" w:cs="Helvetica"/>
          <w:color w:val="000000"/>
          <w:sz w:val="22"/>
          <w:szCs w:val="22"/>
        </w:rPr>
        <w:t>Dislocated Workers Formula Allocation Factors Priority Weighting Unemployed 1 49% Unemployment Insurance Exhaustee 2 29% Declining Industries 3 8% Mass Layoffs/Plant Closings (WARN and other data) 4 7% Farmer/Rancher Data 5 7%</w:t>
      </w:r>
    </w:p>
    <w:p w14:paraId="6D7E3FA5"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As this is a change in the way the formula was previously structured, Local Areas that will be receiving less than 90 percent of their relative share as compared to their last two years’ funding level will be held at 90 percent. This is in accordance with guidance set forth in TEGL 3-15.</w:t>
      </w:r>
    </w:p>
    <w:p w14:paraId="6EB01293" w14:textId="3C25874C"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xml:space="preserve">Again, it is noted that pursuant to Policy Issuance 2016-01: Transfer Authority for WIOA Title I Adult &amp; Dislocated Worker Funds, as issued on January 12, 2016, and consistent with Section 133 of WIOA, a Local Area may transfer up to and including 100 percent of a Program Year (PY) and Fiscal Year (FY) allocation for Adult employment and training activities, and up to and </w:t>
      </w:r>
      <w:r w:rsidRPr="004A0C12">
        <w:rPr>
          <w:rFonts w:ascii="Garamond" w:hAnsi="Garamond" w:cs="Helvetica"/>
          <w:color w:val="000000"/>
          <w:sz w:val="22"/>
          <w:szCs w:val="22"/>
        </w:rPr>
        <w:lastRenderedPageBreak/>
        <w:t>including 100 percent of a PY and FY allocation for Dislocated Worker employment and training activities between the two programs. Transfers may only occur between Adult and Dislocated Worker funds within the same funding phase.</w:t>
      </w:r>
    </w:p>
    <w:p w14:paraId="79E3CEA7" w14:textId="77777777" w:rsidR="009523C7" w:rsidRPr="00D02BCE" w:rsidRDefault="00AB5AEF" w:rsidP="00C26F86">
      <w:pPr>
        <w:pStyle w:val="Heading3"/>
        <w:rPr>
          <w:rFonts w:ascii="Garamond" w:hAnsi="Garamond"/>
          <w:sz w:val="24"/>
          <w:szCs w:val="24"/>
        </w:rPr>
      </w:pPr>
      <w:bookmarkStart w:id="95" w:name="_Toc447276139"/>
      <w:r w:rsidRPr="00D02BCE">
        <w:rPr>
          <w:rFonts w:ascii="Garamond" w:hAnsi="Garamond"/>
          <w:sz w:val="24"/>
          <w:szCs w:val="24"/>
        </w:rPr>
        <w:t>WIOA Title II</w:t>
      </w:r>
      <w:r w:rsidR="009523C7" w:rsidRPr="00D02BCE">
        <w:rPr>
          <w:rFonts w:ascii="Garamond" w:hAnsi="Garamond"/>
          <w:sz w:val="24"/>
          <w:szCs w:val="24"/>
        </w:rPr>
        <w:t xml:space="preserve"> - Adult Education &amp; Literacy Services</w:t>
      </w:r>
      <w:bookmarkEnd w:id="95"/>
    </w:p>
    <w:p w14:paraId="6C328CCF" w14:textId="3B824290" w:rsidR="00622979" w:rsidRPr="004A0C12" w:rsidRDefault="009523C7" w:rsidP="009523C7">
      <w:pPr>
        <w:pStyle w:val="PlainText1"/>
        <w:contextualSpacing/>
        <w:jc w:val="both"/>
        <w:rPr>
          <w:rFonts w:ascii="Garamond" w:hAnsi="Garamond"/>
          <w:color w:val="191919"/>
          <w:sz w:val="22"/>
          <w:szCs w:val="22"/>
        </w:rPr>
      </w:pPr>
      <w:r w:rsidRPr="004A0C12">
        <w:rPr>
          <w:rFonts w:ascii="Garamond" w:hAnsi="Garamond"/>
          <w:sz w:val="22"/>
          <w:szCs w:val="22"/>
        </w:rPr>
        <w:t xml:space="preserve">For the Title II Adult Education fund, </w:t>
      </w:r>
      <w:r w:rsidRPr="004A0C12">
        <w:rPr>
          <w:rFonts w:ascii="Garamond" w:hAnsi="Garamond"/>
          <w:color w:val="191919"/>
          <w:sz w:val="22"/>
          <w:szCs w:val="22"/>
        </w:rPr>
        <w:t xml:space="preserve">Maryland will award grants to eligible providers through a competitive application process, to establish or operate programs that provide adult education and literacy activities. The application process will be open to eligible providers for seamless delivery of services, ensuring that services are available in every jurisdiction based on the level of need.  The services provided will focus on the adult education goals described in WIOA Title II, including helping adults to become literate and obtain the knowledge and skills necessary for employment and </w:t>
      </w:r>
      <w:r w:rsidR="00930A14" w:rsidRPr="004A0C12">
        <w:rPr>
          <w:rFonts w:ascii="Garamond" w:hAnsi="Garamond"/>
          <w:color w:val="191919"/>
          <w:sz w:val="22"/>
          <w:szCs w:val="22"/>
        </w:rPr>
        <w:t>self-</w:t>
      </w:r>
      <w:r w:rsidRPr="004A0C12">
        <w:rPr>
          <w:rFonts w:ascii="Garamond" w:hAnsi="Garamond"/>
          <w:color w:val="191919"/>
          <w:sz w:val="22"/>
          <w:szCs w:val="22"/>
        </w:rPr>
        <w:t xml:space="preserve">sufficiency. </w:t>
      </w:r>
    </w:p>
    <w:p w14:paraId="3DEA0036"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The office of Adult Education and Literacy Services (AELS) at DLLR will develop a competitive Request for Proposals (RFP) for Adult Education and Family Literacy Services in Maryland authorized and funded under WIOA Title II. The development process for this RFP will seek input from partner programs within the DLLR Division of Workforce Development and Adult Learning as well as the external WIOA partners, however AELS will assume the lead on developing the process and ensuring that all Title II requirements are included in the RFP. The RFP will be posted on the DLLR website in January 2017, seeking local providers of services to commence operation on July 1, 2017, and continue providing local services for a 5 year period, pending compliance with all requirements of the RFP. During the 5 year period, annual continuation applications will be required including planned activity and partnership updates, performance review and projections, annual class schedules, data quality reviews, budgets and assurances.</w:t>
      </w:r>
    </w:p>
    <w:p w14:paraId="5516F61A"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All applicants for WIOA Title II funding will be required to submit a proposal in response to this RFP. No other requests for funding under this Act will be considered, with the possible exception that a separate RFP would be developed for Integrated English Literacy and Civics Education (IELCE) as required under Section 243 of WIOA, Title II. (Should there be a separate RFP for IELCE, it would follow the same process of development and dissemination as the RFP for Adult Education and Family Literacy Services, with the DLLR office of AELS assuming the lead and ensuring compliance with all aspects of the Act.)</w:t>
      </w:r>
    </w:p>
    <w:p w14:paraId="6CEC1F28"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Funding allocations by county will be determined by AELS, on the basis of need and demand. Need is established through U.S. Census data identifying the numbers of individuals residing in counties with less than a high education and with English language barriers. Demand is established from historical adult education enrollment data by county.</w:t>
      </w:r>
    </w:p>
    <w:p w14:paraId="168E5A32" w14:textId="49FD663A" w:rsidR="00622979" w:rsidRPr="00D02BCE" w:rsidRDefault="004D0138" w:rsidP="00D02BCE">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xml:space="preserve">Proposals submitted in response to the competitive RFP will be reviewed by AELS along with an independent team of reviewers including individuals with knowledge and expertise in adult education, WIOA partner agency officials, and DWDAL personnel. Reviewers will score applications on the considerations set out in WIOA, Title II, </w:t>
      </w:r>
      <w:proofErr w:type="gramStart"/>
      <w:r w:rsidRPr="004A0C12">
        <w:rPr>
          <w:rFonts w:ascii="Garamond" w:hAnsi="Garamond" w:cs="Helvetica"/>
          <w:color w:val="000000"/>
          <w:sz w:val="22"/>
          <w:szCs w:val="22"/>
        </w:rPr>
        <w:t>Section</w:t>
      </w:r>
      <w:proofErr w:type="gramEnd"/>
      <w:r w:rsidRPr="004A0C12">
        <w:rPr>
          <w:rFonts w:ascii="Garamond" w:hAnsi="Garamond" w:cs="Helvetica"/>
          <w:color w:val="000000"/>
          <w:sz w:val="22"/>
          <w:szCs w:val="22"/>
        </w:rPr>
        <w:t xml:space="preserve"> 231. Demonstrated effectiveness will be determined by the applicant’s submission of verifiable data that documents previous successful provision of services, specifically identifying that participants enrolled in the services have demonstrated success in achieving the performance measures required in WIOA, Title I, Section 116.</w:t>
      </w:r>
    </w:p>
    <w:p w14:paraId="6A50DEDA" w14:textId="77777777" w:rsidR="00622979" w:rsidRPr="004A0C12" w:rsidRDefault="00622979" w:rsidP="009523C7">
      <w:pPr>
        <w:pStyle w:val="PlainText1"/>
        <w:contextualSpacing/>
        <w:jc w:val="both"/>
        <w:rPr>
          <w:rFonts w:ascii="Garamond" w:hAnsi="Garamond"/>
          <w:color w:val="191919"/>
          <w:sz w:val="22"/>
          <w:szCs w:val="22"/>
        </w:rPr>
      </w:pPr>
    </w:p>
    <w:p w14:paraId="16B6023A" w14:textId="1E64710B" w:rsidR="00AA3F72" w:rsidRPr="004A0C12" w:rsidRDefault="009523C7" w:rsidP="009523C7">
      <w:pPr>
        <w:pStyle w:val="PlainText1"/>
        <w:contextualSpacing/>
        <w:jc w:val="both"/>
        <w:rPr>
          <w:rFonts w:ascii="Garamond" w:hAnsi="Garamond"/>
          <w:color w:val="191919"/>
          <w:sz w:val="22"/>
          <w:szCs w:val="22"/>
        </w:rPr>
      </w:pPr>
      <w:r w:rsidRPr="004A0C12">
        <w:rPr>
          <w:rFonts w:ascii="Garamond" w:hAnsi="Garamond"/>
          <w:color w:val="191919"/>
          <w:sz w:val="22"/>
          <w:szCs w:val="22"/>
        </w:rPr>
        <w:t>The following services will be funded:</w:t>
      </w:r>
    </w:p>
    <w:p w14:paraId="348C0A34" w14:textId="77777777" w:rsidR="00622979" w:rsidRPr="004A0C12" w:rsidRDefault="00622979" w:rsidP="009523C7">
      <w:pPr>
        <w:pStyle w:val="PlainText1"/>
        <w:jc w:val="both"/>
        <w:rPr>
          <w:rFonts w:ascii="Garamond" w:hAnsi="Garamond"/>
          <w:color w:val="191919"/>
          <w:sz w:val="22"/>
          <w:szCs w:val="22"/>
        </w:rPr>
      </w:pPr>
    </w:p>
    <w:tbl>
      <w:tblPr>
        <w:tblStyle w:val="PlainTable11"/>
        <w:tblW w:w="0" w:type="auto"/>
        <w:tblLayout w:type="fixed"/>
        <w:tblLook w:val="0000" w:firstRow="0" w:lastRow="0" w:firstColumn="0" w:lastColumn="0" w:noHBand="0" w:noVBand="0"/>
        <w:tblCaption w:val="Adult Education &amp; Family Literacy Act Services"/>
        <w:tblDescription w:val="Adult Basic Skills Education Programs- Maryland adult education programs will continue to provide instruction in adult basic skills for adults with low basic skills, or low educational attainment, and will helping the most vulnerable adults to gain access to the services they need;&#10;&#10;Adult Secondary Education Programs - Adult secondary education instruction will be provided for students functioning at the adult secondary education level in preparation for a high school diploma through GED® testing or the National External Diploma Program®.&#10;&#10;English Language Acquisition Programs- English language acquisition programs will continue to be provided especially in jurisdictions with a high population of English language learners. Instructional programs will be required to incorporate mathematics instruction as required in the new law.&#10;&#10;Integrated English Literacy &amp; Civics Education- The integrated English literacy and civics education will provide instruction that enables such adults to achieve competency in the English language and acquire the basic and more advanced skills needed to function effectively as parents, workers, and citizens. Such services will include instruction in literacy and English language acquisition and instruction on the rights and responsibilities of citizenship and civic participation. This may also include workforce training (depending on which section of services they are provided through).  &#10;"/>
      </w:tblPr>
      <w:tblGrid>
        <w:gridCol w:w="4394"/>
        <w:gridCol w:w="6482"/>
      </w:tblGrid>
      <w:tr w:rsidR="009523C7" w:rsidRPr="004A0C12" w14:paraId="3F961CB6" w14:textId="77777777" w:rsidTr="008B1D9A">
        <w:trPr>
          <w:trHeight w:val="300"/>
          <w:tblHeader/>
        </w:trPr>
        <w:tc>
          <w:tcPr>
            <w:cnfStyle w:val="000010000000" w:firstRow="0" w:lastRow="0" w:firstColumn="0" w:lastColumn="0" w:oddVBand="1" w:evenVBand="0" w:oddHBand="0" w:evenHBand="0" w:firstRowFirstColumn="0" w:firstRowLastColumn="0" w:lastRowFirstColumn="0" w:lastRowLastColumn="0"/>
            <w:tcW w:w="10876" w:type="dxa"/>
            <w:gridSpan w:val="2"/>
          </w:tcPr>
          <w:p w14:paraId="0A718208" w14:textId="77777777" w:rsidR="009523C7" w:rsidRPr="004A0C12" w:rsidRDefault="009523C7" w:rsidP="009523C7">
            <w:pPr>
              <w:pStyle w:val="PlainText1"/>
              <w:jc w:val="center"/>
              <w:rPr>
                <w:rFonts w:ascii="Garamond" w:hAnsi="Garamond"/>
                <w:color w:val="191919"/>
                <w:sz w:val="22"/>
                <w:szCs w:val="22"/>
              </w:rPr>
            </w:pPr>
            <w:r w:rsidRPr="004A0C12">
              <w:rPr>
                <w:rFonts w:ascii="Garamond" w:hAnsi="Garamond"/>
                <w:color w:val="191919"/>
                <w:sz w:val="22"/>
                <w:szCs w:val="22"/>
              </w:rPr>
              <w:t>Adult Education &amp; Family Literacy Act Services</w:t>
            </w:r>
          </w:p>
        </w:tc>
      </w:tr>
      <w:tr w:rsidR="009523C7" w:rsidRPr="004A0C12" w14:paraId="0D11D5F8" w14:textId="77777777" w:rsidTr="002352EE">
        <w:trPr>
          <w:cnfStyle w:val="000000100000" w:firstRow="0" w:lastRow="0" w:firstColumn="0" w:lastColumn="0" w:oddVBand="0" w:evenVBand="0" w:oddHBand="1" w:evenHBand="0" w:firstRowFirstColumn="0" w:firstRowLastColumn="0" w:lastRowFirstColumn="0" w:lastRowLastColumn="0"/>
          <w:trHeight w:val="1320"/>
        </w:trPr>
        <w:tc>
          <w:tcPr>
            <w:cnfStyle w:val="000010000000" w:firstRow="0" w:lastRow="0" w:firstColumn="0" w:lastColumn="0" w:oddVBand="1" w:evenVBand="0" w:oddHBand="0" w:evenHBand="0" w:firstRowFirstColumn="0" w:firstRowLastColumn="0" w:lastRowFirstColumn="0" w:lastRowLastColumn="0"/>
            <w:tcW w:w="4394" w:type="dxa"/>
          </w:tcPr>
          <w:p w14:paraId="7CD8479B" w14:textId="77777777" w:rsidR="009523C7" w:rsidRPr="004A0C12" w:rsidRDefault="009523C7" w:rsidP="009523C7">
            <w:pPr>
              <w:pStyle w:val="PlainText1"/>
              <w:jc w:val="both"/>
              <w:rPr>
                <w:rFonts w:ascii="Garamond" w:hAnsi="Garamond"/>
                <w:color w:val="191919"/>
                <w:sz w:val="22"/>
                <w:szCs w:val="22"/>
              </w:rPr>
            </w:pPr>
          </w:p>
          <w:p w14:paraId="10400F2E" w14:textId="77777777" w:rsidR="009523C7" w:rsidRPr="004A0C12" w:rsidRDefault="009523C7" w:rsidP="009523C7">
            <w:pPr>
              <w:pStyle w:val="PlainText1"/>
              <w:jc w:val="both"/>
              <w:rPr>
                <w:rFonts w:ascii="Garamond" w:hAnsi="Garamond"/>
                <w:color w:val="191919"/>
                <w:sz w:val="22"/>
                <w:szCs w:val="22"/>
              </w:rPr>
            </w:pPr>
          </w:p>
          <w:p w14:paraId="04931395" w14:textId="77777777" w:rsidR="009523C7" w:rsidRPr="004A0C12" w:rsidRDefault="009523C7" w:rsidP="009523C7">
            <w:pPr>
              <w:pStyle w:val="PlainText1"/>
              <w:jc w:val="both"/>
              <w:rPr>
                <w:rFonts w:ascii="Garamond" w:hAnsi="Garamond"/>
                <w:color w:val="191919"/>
                <w:sz w:val="22"/>
                <w:szCs w:val="22"/>
              </w:rPr>
            </w:pPr>
          </w:p>
          <w:p w14:paraId="1962F3A1" w14:textId="77777777" w:rsidR="009523C7" w:rsidRPr="004A0C12" w:rsidRDefault="009523C7" w:rsidP="009523C7">
            <w:pPr>
              <w:pStyle w:val="PlainText1"/>
              <w:jc w:val="both"/>
              <w:rPr>
                <w:rFonts w:ascii="Garamond" w:hAnsi="Garamond"/>
                <w:color w:val="191919"/>
                <w:sz w:val="22"/>
                <w:szCs w:val="22"/>
              </w:rPr>
            </w:pPr>
            <w:r w:rsidRPr="004A0C12">
              <w:rPr>
                <w:rFonts w:ascii="Garamond" w:hAnsi="Garamond"/>
                <w:color w:val="191919"/>
                <w:sz w:val="22"/>
                <w:szCs w:val="22"/>
              </w:rPr>
              <w:t>Adult Basic Skills Education Programs</w:t>
            </w:r>
          </w:p>
        </w:tc>
        <w:tc>
          <w:tcPr>
            <w:tcW w:w="6482" w:type="dxa"/>
          </w:tcPr>
          <w:p w14:paraId="04291952" w14:textId="77777777" w:rsidR="009523C7" w:rsidRPr="004A0C12" w:rsidRDefault="009523C7" w:rsidP="009523C7">
            <w:pPr>
              <w:pStyle w:val="PlainText1"/>
              <w:jc w:val="both"/>
              <w:cnfStyle w:val="000000100000" w:firstRow="0" w:lastRow="0" w:firstColumn="0" w:lastColumn="0" w:oddVBand="0" w:evenVBand="0" w:oddHBand="1" w:evenHBand="0" w:firstRowFirstColumn="0" w:firstRowLastColumn="0" w:lastRowFirstColumn="0" w:lastRowLastColumn="0"/>
              <w:rPr>
                <w:rFonts w:ascii="Garamond" w:hAnsi="Garamond"/>
                <w:color w:val="191919"/>
                <w:sz w:val="22"/>
                <w:szCs w:val="22"/>
              </w:rPr>
            </w:pPr>
          </w:p>
          <w:p w14:paraId="37BD0A40" w14:textId="0CBB74A9" w:rsidR="009523C7" w:rsidRPr="004A0C12" w:rsidRDefault="009523C7" w:rsidP="009523C7">
            <w:pPr>
              <w:pStyle w:val="PlainText1"/>
              <w:jc w:val="both"/>
              <w:cnfStyle w:val="000000100000" w:firstRow="0" w:lastRow="0" w:firstColumn="0" w:lastColumn="0" w:oddVBand="0" w:evenVBand="0" w:oddHBand="1" w:evenHBand="0" w:firstRowFirstColumn="0" w:firstRowLastColumn="0" w:lastRowFirstColumn="0" w:lastRowLastColumn="0"/>
              <w:rPr>
                <w:rFonts w:ascii="Garamond" w:hAnsi="Garamond"/>
                <w:color w:val="191919"/>
                <w:sz w:val="22"/>
                <w:szCs w:val="22"/>
              </w:rPr>
            </w:pPr>
            <w:r w:rsidRPr="004A0C12">
              <w:rPr>
                <w:rFonts w:ascii="Garamond" w:hAnsi="Garamond"/>
                <w:color w:val="191919"/>
                <w:sz w:val="22"/>
                <w:szCs w:val="22"/>
              </w:rPr>
              <w:t>Maryland adult education program</w:t>
            </w:r>
            <w:r w:rsidR="002352EE" w:rsidRPr="004A0C12">
              <w:rPr>
                <w:rFonts w:ascii="Garamond" w:hAnsi="Garamond"/>
                <w:color w:val="191919"/>
                <w:sz w:val="22"/>
                <w:szCs w:val="22"/>
              </w:rPr>
              <w:t>s</w:t>
            </w:r>
            <w:r w:rsidRPr="004A0C12">
              <w:rPr>
                <w:rFonts w:ascii="Garamond" w:hAnsi="Garamond"/>
                <w:color w:val="191919"/>
                <w:sz w:val="22"/>
                <w:szCs w:val="22"/>
              </w:rPr>
              <w:t xml:space="preserve"> will continue to provide instruction in adult basic skills for adults with low basic skills,</w:t>
            </w:r>
            <w:r w:rsidR="002352EE" w:rsidRPr="004A0C12">
              <w:rPr>
                <w:rFonts w:ascii="Garamond" w:hAnsi="Garamond"/>
                <w:color w:val="191919"/>
                <w:sz w:val="22"/>
                <w:szCs w:val="22"/>
              </w:rPr>
              <w:t xml:space="preserve"> or</w:t>
            </w:r>
            <w:r w:rsidRPr="004A0C12">
              <w:rPr>
                <w:rFonts w:ascii="Garamond" w:hAnsi="Garamond"/>
                <w:color w:val="191919"/>
                <w:sz w:val="22"/>
                <w:szCs w:val="22"/>
              </w:rPr>
              <w:t xml:space="preserve"> low educational attainment, and </w:t>
            </w:r>
            <w:r w:rsidR="002352EE" w:rsidRPr="004A0C12">
              <w:rPr>
                <w:rFonts w:ascii="Garamond" w:hAnsi="Garamond"/>
                <w:color w:val="191919"/>
                <w:sz w:val="22"/>
                <w:szCs w:val="22"/>
              </w:rPr>
              <w:t xml:space="preserve">will </w:t>
            </w:r>
            <w:r w:rsidRPr="004A0C12">
              <w:rPr>
                <w:rFonts w:ascii="Garamond" w:hAnsi="Garamond"/>
                <w:color w:val="191919"/>
                <w:sz w:val="22"/>
                <w:szCs w:val="22"/>
              </w:rPr>
              <w:t>helping the most vulnerable adults to gain access to the services they need</w:t>
            </w:r>
          </w:p>
          <w:p w14:paraId="6A3EFA36" w14:textId="77777777" w:rsidR="009523C7" w:rsidRPr="004A0C12" w:rsidRDefault="009523C7" w:rsidP="009523C7">
            <w:pPr>
              <w:pStyle w:val="PlainText1"/>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r>
      <w:tr w:rsidR="009523C7" w:rsidRPr="004A0C12" w14:paraId="2A5AF1AE" w14:textId="77777777" w:rsidTr="002352EE">
        <w:trPr>
          <w:trHeight w:val="1320"/>
        </w:trPr>
        <w:tc>
          <w:tcPr>
            <w:cnfStyle w:val="000010000000" w:firstRow="0" w:lastRow="0" w:firstColumn="0" w:lastColumn="0" w:oddVBand="1" w:evenVBand="0" w:oddHBand="0" w:evenHBand="0" w:firstRowFirstColumn="0" w:firstRowLastColumn="0" w:lastRowFirstColumn="0" w:lastRowLastColumn="0"/>
            <w:tcW w:w="4394" w:type="dxa"/>
          </w:tcPr>
          <w:p w14:paraId="004A313D" w14:textId="77777777" w:rsidR="009523C7" w:rsidRPr="004A0C12" w:rsidRDefault="009523C7" w:rsidP="009523C7">
            <w:pPr>
              <w:pStyle w:val="PlainText1"/>
              <w:jc w:val="both"/>
              <w:rPr>
                <w:rFonts w:ascii="Garamond" w:hAnsi="Garamond"/>
                <w:color w:val="191919"/>
                <w:sz w:val="22"/>
                <w:szCs w:val="22"/>
              </w:rPr>
            </w:pPr>
          </w:p>
          <w:p w14:paraId="394F8FBB" w14:textId="77777777" w:rsidR="009523C7" w:rsidRPr="004A0C12" w:rsidRDefault="009523C7" w:rsidP="009523C7">
            <w:pPr>
              <w:pStyle w:val="PlainText1"/>
              <w:jc w:val="both"/>
              <w:rPr>
                <w:rFonts w:ascii="Garamond" w:hAnsi="Garamond"/>
                <w:color w:val="191919"/>
                <w:sz w:val="22"/>
                <w:szCs w:val="22"/>
              </w:rPr>
            </w:pPr>
          </w:p>
          <w:p w14:paraId="3C49D6F8" w14:textId="77777777" w:rsidR="009523C7" w:rsidRPr="004A0C12" w:rsidRDefault="009523C7" w:rsidP="009523C7">
            <w:pPr>
              <w:pStyle w:val="PlainText1"/>
              <w:jc w:val="both"/>
              <w:rPr>
                <w:rFonts w:ascii="Garamond" w:hAnsi="Garamond"/>
                <w:color w:val="191919"/>
                <w:sz w:val="22"/>
                <w:szCs w:val="22"/>
              </w:rPr>
            </w:pPr>
          </w:p>
          <w:p w14:paraId="77C8CEBE" w14:textId="77777777" w:rsidR="009523C7" w:rsidRPr="004A0C12" w:rsidRDefault="009523C7" w:rsidP="009523C7">
            <w:pPr>
              <w:pStyle w:val="PlainText1"/>
              <w:jc w:val="both"/>
              <w:rPr>
                <w:rFonts w:ascii="Garamond" w:hAnsi="Garamond"/>
                <w:color w:val="191919"/>
                <w:sz w:val="22"/>
                <w:szCs w:val="22"/>
              </w:rPr>
            </w:pPr>
            <w:r w:rsidRPr="004A0C12">
              <w:rPr>
                <w:rFonts w:ascii="Garamond" w:hAnsi="Garamond"/>
                <w:color w:val="191919"/>
                <w:sz w:val="22"/>
                <w:szCs w:val="22"/>
              </w:rPr>
              <w:t xml:space="preserve">Adult Secondary Education Programs </w:t>
            </w:r>
          </w:p>
        </w:tc>
        <w:tc>
          <w:tcPr>
            <w:tcW w:w="6482" w:type="dxa"/>
          </w:tcPr>
          <w:p w14:paraId="6DB04961" w14:textId="77777777" w:rsidR="009523C7" w:rsidRPr="004A0C12" w:rsidRDefault="009523C7" w:rsidP="009523C7">
            <w:pPr>
              <w:pStyle w:val="PlainText1"/>
              <w:jc w:val="both"/>
              <w:cnfStyle w:val="000000000000" w:firstRow="0" w:lastRow="0" w:firstColumn="0" w:lastColumn="0" w:oddVBand="0" w:evenVBand="0" w:oddHBand="0" w:evenHBand="0" w:firstRowFirstColumn="0" w:firstRowLastColumn="0" w:lastRowFirstColumn="0" w:lastRowLastColumn="0"/>
              <w:rPr>
                <w:rFonts w:ascii="Garamond" w:hAnsi="Garamond"/>
                <w:color w:val="191919"/>
                <w:sz w:val="22"/>
                <w:szCs w:val="22"/>
              </w:rPr>
            </w:pPr>
          </w:p>
          <w:p w14:paraId="1EFBFFE8" w14:textId="034DBBDC" w:rsidR="009523C7" w:rsidRPr="004A0C12" w:rsidRDefault="009523C7" w:rsidP="009523C7">
            <w:pPr>
              <w:pStyle w:val="PlainText1"/>
              <w:jc w:val="both"/>
              <w:cnfStyle w:val="000000000000" w:firstRow="0" w:lastRow="0" w:firstColumn="0" w:lastColumn="0" w:oddVBand="0" w:evenVBand="0" w:oddHBand="0" w:evenHBand="0" w:firstRowFirstColumn="0" w:firstRowLastColumn="0" w:lastRowFirstColumn="0" w:lastRowLastColumn="0"/>
              <w:rPr>
                <w:rFonts w:ascii="Garamond" w:hAnsi="Garamond"/>
                <w:color w:val="191919"/>
                <w:sz w:val="22"/>
                <w:szCs w:val="22"/>
              </w:rPr>
            </w:pPr>
            <w:r w:rsidRPr="004A0C12">
              <w:rPr>
                <w:rFonts w:ascii="Garamond" w:hAnsi="Garamond"/>
                <w:color w:val="191919"/>
                <w:sz w:val="22"/>
                <w:szCs w:val="22"/>
              </w:rPr>
              <w:t>Adult secondary education instruction will be provided for students functioning at the adult secondary education level in preparation for a high school diploma throug</w:t>
            </w:r>
            <w:r w:rsidR="002352EE" w:rsidRPr="004A0C12">
              <w:rPr>
                <w:rFonts w:ascii="Garamond" w:hAnsi="Garamond"/>
                <w:color w:val="191919"/>
                <w:sz w:val="22"/>
                <w:szCs w:val="22"/>
              </w:rPr>
              <w:t>h GED® testing or the National E</w:t>
            </w:r>
            <w:r w:rsidRPr="004A0C12">
              <w:rPr>
                <w:rFonts w:ascii="Garamond" w:hAnsi="Garamond"/>
                <w:color w:val="191919"/>
                <w:sz w:val="22"/>
                <w:szCs w:val="22"/>
              </w:rPr>
              <w:t>xternal Diploma Program®</w:t>
            </w:r>
          </w:p>
          <w:p w14:paraId="44952FE3" w14:textId="77777777" w:rsidR="009523C7" w:rsidRPr="004A0C12" w:rsidRDefault="009523C7" w:rsidP="009523C7">
            <w:pPr>
              <w:pStyle w:val="PlainText1"/>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r>
      <w:tr w:rsidR="009523C7" w:rsidRPr="004A0C12" w14:paraId="34351086" w14:textId="77777777" w:rsidTr="002352EE">
        <w:trPr>
          <w:cnfStyle w:val="000000100000" w:firstRow="0" w:lastRow="0" w:firstColumn="0" w:lastColumn="0" w:oddVBand="0" w:evenVBand="0" w:oddHBand="1" w:evenHBand="0" w:firstRowFirstColumn="0" w:firstRowLastColumn="0" w:lastRowFirstColumn="0" w:lastRowLastColumn="0"/>
          <w:trHeight w:val="1540"/>
        </w:trPr>
        <w:tc>
          <w:tcPr>
            <w:cnfStyle w:val="000010000000" w:firstRow="0" w:lastRow="0" w:firstColumn="0" w:lastColumn="0" w:oddVBand="1" w:evenVBand="0" w:oddHBand="0" w:evenHBand="0" w:firstRowFirstColumn="0" w:firstRowLastColumn="0" w:lastRowFirstColumn="0" w:lastRowLastColumn="0"/>
            <w:tcW w:w="4394" w:type="dxa"/>
          </w:tcPr>
          <w:p w14:paraId="7DF66E5C" w14:textId="77777777" w:rsidR="009523C7" w:rsidRPr="004A0C12" w:rsidRDefault="009523C7" w:rsidP="009523C7">
            <w:pPr>
              <w:pStyle w:val="PlainText1"/>
              <w:jc w:val="both"/>
              <w:rPr>
                <w:rFonts w:ascii="Garamond" w:hAnsi="Garamond"/>
                <w:color w:val="191919"/>
                <w:sz w:val="22"/>
                <w:szCs w:val="22"/>
              </w:rPr>
            </w:pPr>
          </w:p>
          <w:p w14:paraId="71F4AA91" w14:textId="77777777" w:rsidR="009523C7" w:rsidRPr="004A0C12" w:rsidRDefault="009523C7" w:rsidP="009523C7">
            <w:pPr>
              <w:pStyle w:val="PlainText1"/>
              <w:jc w:val="both"/>
              <w:rPr>
                <w:rFonts w:ascii="Garamond" w:hAnsi="Garamond"/>
                <w:color w:val="191919"/>
                <w:sz w:val="22"/>
                <w:szCs w:val="22"/>
              </w:rPr>
            </w:pPr>
          </w:p>
          <w:p w14:paraId="52407349" w14:textId="77777777" w:rsidR="009523C7" w:rsidRPr="004A0C12" w:rsidRDefault="009523C7" w:rsidP="009523C7">
            <w:pPr>
              <w:pStyle w:val="PlainText1"/>
              <w:jc w:val="both"/>
              <w:rPr>
                <w:rFonts w:ascii="Garamond" w:hAnsi="Garamond"/>
                <w:color w:val="191919"/>
                <w:sz w:val="22"/>
                <w:szCs w:val="22"/>
              </w:rPr>
            </w:pPr>
          </w:p>
          <w:p w14:paraId="0D93A60B" w14:textId="77777777" w:rsidR="009523C7" w:rsidRPr="004A0C12" w:rsidRDefault="009523C7" w:rsidP="009523C7">
            <w:pPr>
              <w:pStyle w:val="PlainText1"/>
              <w:jc w:val="both"/>
              <w:rPr>
                <w:rFonts w:ascii="Garamond" w:hAnsi="Garamond"/>
                <w:color w:val="191919"/>
                <w:sz w:val="22"/>
                <w:szCs w:val="22"/>
              </w:rPr>
            </w:pPr>
            <w:r w:rsidRPr="004A0C12">
              <w:rPr>
                <w:rFonts w:ascii="Garamond" w:hAnsi="Garamond"/>
                <w:color w:val="191919"/>
                <w:sz w:val="22"/>
                <w:szCs w:val="22"/>
              </w:rPr>
              <w:t>English Language Acquisition Programs</w:t>
            </w:r>
          </w:p>
        </w:tc>
        <w:tc>
          <w:tcPr>
            <w:tcW w:w="6482" w:type="dxa"/>
          </w:tcPr>
          <w:p w14:paraId="7455A466" w14:textId="77777777" w:rsidR="009523C7" w:rsidRPr="004A0C12" w:rsidRDefault="009523C7" w:rsidP="009523C7">
            <w:pPr>
              <w:pStyle w:val="PlainText1"/>
              <w:jc w:val="both"/>
              <w:cnfStyle w:val="000000100000" w:firstRow="0" w:lastRow="0" w:firstColumn="0" w:lastColumn="0" w:oddVBand="0" w:evenVBand="0" w:oddHBand="1" w:evenHBand="0" w:firstRowFirstColumn="0" w:firstRowLastColumn="0" w:lastRowFirstColumn="0" w:lastRowLastColumn="0"/>
              <w:rPr>
                <w:rFonts w:ascii="Garamond" w:hAnsi="Garamond"/>
                <w:color w:val="191919"/>
                <w:sz w:val="22"/>
                <w:szCs w:val="22"/>
              </w:rPr>
            </w:pPr>
          </w:p>
          <w:p w14:paraId="1490C3EF" w14:textId="77777777" w:rsidR="009523C7" w:rsidRPr="004A0C12" w:rsidRDefault="009523C7" w:rsidP="009523C7">
            <w:pPr>
              <w:pStyle w:val="PlainText1"/>
              <w:jc w:val="both"/>
              <w:cnfStyle w:val="000000100000" w:firstRow="0" w:lastRow="0" w:firstColumn="0" w:lastColumn="0" w:oddVBand="0" w:evenVBand="0" w:oddHBand="1" w:evenHBand="0" w:firstRowFirstColumn="0" w:firstRowLastColumn="0" w:lastRowFirstColumn="0" w:lastRowLastColumn="0"/>
              <w:rPr>
                <w:rFonts w:ascii="Garamond" w:hAnsi="Garamond"/>
                <w:color w:val="191919"/>
                <w:sz w:val="22"/>
                <w:szCs w:val="22"/>
              </w:rPr>
            </w:pPr>
            <w:r w:rsidRPr="004A0C12">
              <w:rPr>
                <w:rFonts w:ascii="Garamond" w:hAnsi="Garamond"/>
                <w:color w:val="191919"/>
                <w:sz w:val="22"/>
                <w:szCs w:val="22"/>
              </w:rPr>
              <w:t>English language acquisition programs will continue to be provided especially in jurisdictions with a high population of English language learners. Instructional programs will be required to incorporate mathematics instruction as required in the new law.</w:t>
            </w:r>
          </w:p>
          <w:p w14:paraId="10B96A70" w14:textId="77777777" w:rsidR="009523C7" w:rsidRPr="004A0C12" w:rsidRDefault="009523C7" w:rsidP="009523C7">
            <w:pPr>
              <w:pStyle w:val="PlainText1"/>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p>
        </w:tc>
      </w:tr>
      <w:tr w:rsidR="00AA3F72" w:rsidRPr="004A0C12" w14:paraId="2356B828" w14:textId="77777777" w:rsidTr="002352EE">
        <w:trPr>
          <w:trHeight w:val="1540"/>
        </w:trPr>
        <w:tc>
          <w:tcPr>
            <w:cnfStyle w:val="000010000000" w:firstRow="0" w:lastRow="0" w:firstColumn="0" w:lastColumn="0" w:oddVBand="1" w:evenVBand="0" w:oddHBand="0" w:evenHBand="0" w:firstRowFirstColumn="0" w:firstRowLastColumn="0" w:lastRowFirstColumn="0" w:lastRowLastColumn="0"/>
            <w:tcW w:w="4394" w:type="dxa"/>
          </w:tcPr>
          <w:p w14:paraId="02F6CBD7" w14:textId="4F811DA2" w:rsidR="00AA3F72" w:rsidRPr="004A0C12" w:rsidRDefault="00F96F1A" w:rsidP="009523C7">
            <w:pPr>
              <w:pStyle w:val="PlainText1"/>
              <w:jc w:val="both"/>
              <w:rPr>
                <w:rFonts w:ascii="Garamond" w:hAnsi="Garamond"/>
                <w:color w:val="191919"/>
                <w:sz w:val="22"/>
                <w:szCs w:val="22"/>
              </w:rPr>
            </w:pPr>
            <w:r w:rsidRPr="004A0C12">
              <w:rPr>
                <w:rFonts w:ascii="Garamond" w:hAnsi="Garamond"/>
                <w:color w:val="191919"/>
                <w:sz w:val="22"/>
                <w:szCs w:val="22"/>
              </w:rPr>
              <w:t xml:space="preserve">Integrated </w:t>
            </w:r>
            <w:r w:rsidR="00AA3F72" w:rsidRPr="004A0C12">
              <w:rPr>
                <w:rFonts w:ascii="Garamond" w:hAnsi="Garamond"/>
                <w:color w:val="191919"/>
                <w:sz w:val="22"/>
                <w:szCs w:val="22"/>
              </w:rPr>
              <w:t xml:space="preserve">English Literacy &amp; Civics </w:t>
            </w:r>
            <w:r w:rsidRPr="004A0C12">
              <w:rPr>
                <w:rFonts w:ascii="Garamond" w:hAnsi="Garamond"/>
                <w:color w:val="191919"/>
                <w:sz w:val="22"/>
                <w:szCs w:val="22"/>
              </w:rPr>
              <w:t>Education</w:t>
            </w:r>
          </w:p>
        </w:tc>
        <w:tc>
          <w:tcPr>
            <w:tcW w:w="6482" w:type="dxa"/>
          </w:tcPr>
          <w:p w14:paraId="50F6B3A6" w14:textId="338E1FA7" w:rsidR="00AA3F72" w:rsidRPr="004A0C12" w:rsidRDefault="002352EE" w:rsidP="002352EE">
            <w:pPr>
              <w:pStyle w:val="PlainText1"/>
              <w:jc w:val="both"/>
              <w:cnfStyle w:val="000000000000" w:firstRow="0" w:lastRow="0" w:firstColumn="0" w:lastColumn="0" w:oddVBand="0" w:evenVBand="0" w:oddHBand="0" w:evenHBand="0" w:firstRowFirstColumn="0" w:firstRowLastColumn="0" w:lastRowFirstColumn="0" w:lastRowLastColumn="0"/>
              <w:rPr>
                <w:rFonts w:ascii="Garamond" w:hAnsi="Garamond"/>
                <w:color w:val="191919"/>
                <w:sz w:val="22"/>
                <w:szCs w:val="22"/>
              </w:rPr>
            </w:pPr>
            <w:r w:rsidRPr="004A0C12">
              <w:rPr>
                <w:rFonts w:ascii="Garamond" w:hAnsi="Garamond"/>
                <w:color w:val="191919"/>
                <w:sz w:val="22"/>
                <w:szCs w:val="22"/>
              </w:rPr>
              <w:t>The integrated English literacy and civics education will provide i</w:t>
            </w:r>
            <w:r w:rsidR="00F96F1A" w:rsidRPr="004A0C12">
              <w:rPr>
                <w:rFonts w:ascii="Garamond" w:hAnsi="Garamond"/>
                <w:color w:val="191919"/>
                <w:sz w:val="22"/>
                <w:szCs w:val="22"/>
              </w:rPr>
              <w:t>nstruction that enables such adults to achieve competency in the English language and acquire the basic and more advanced skills needed to function effectively as parents, workers, and citizens. Such services will include instruction in literacy and English language acquisition and instruction on the rights and responsibilities of citi</w:t>
            </w:r>
            <w:r w:rsidRPr="004A0C12">
              <w:rPr>
                <w:rFonts w:ascii="Garamond" w:hAnsi="Garamond"/>
                <w:color w:val="191919"/>
                <w:sz w:val="22"/>
                <w:szCs w:val="22"/>
              </w:rPr>
              <w:t>zenship and civic participation.</w:t>
            </w:r>
            <w:r w:rsidR="00F96F1A" w:rsidRPr="004A0C12">
              <w:rPr>
                <w:rFonts w:ascii="Garamond" w:hAnsi="Garamond"/>
                <w:color w:val="191919"/>
                <w:sz w:val="22"/>
                <w:szCs w:val="22"/>
              </w:rPr>
              <w:t xml:space="preserve"> </w:t>
            </w:r>
            <w:r w:rsidRPr="004A0C12">
              <w:rPr>
                <w:rFonts w:ascii="Garamond" w:hAnsi="Garamond"/>
                <w:color w:val="191919"/>
                <w:sz w:val="22"/>
                <w:szCs w:val="22"/>
              </w:rPr>
              <w:t>This</w:t>
            </w:r>
            <w:r w:rsidR="00F96F1A" w:rsidRPr="004A0C12">
              <w:rPr>
                <w:rFonts w:ascii="Garamond" w:hAnsi="Garamond"/>
                <w:color w:val="191919"/>
                <w:sz w:val="22"/>
                <w:szCs w:val="22"/>
              </w:rPr>
              <w:t xml:space="preserve"> may</w:t>
            </w:r>
            <w:r w:rsidRPr="004A0C12">
              <w:rPr>
                <w:rFonts w:ascii="Garamond" w:hAnsi="Garamond"/>
                <w:color w:val="191919"/>
                <w:sz w:val="22"/>
                <w:szCs w:val="22"/>
              </w:rPr>
              <w:t xml:space="preserve"> also</w:t>
            </w:r>
            <w:r w:rsidR="00F96F1A" w:rsidRPr="004A0C12">
              <w:rPr>
                <w:rFonts w:ascii="Garamond" w:hAnsi="Garamond"/>
                <w:color w:val="191919"/>
                <w:sz w:val="22"/>
                <w:szCs w:val="22"/>
              </w:rPr>
              <w:t xml:space="preserve"> include workforce training (depending on which section of services they are provided through).  </w:t>
            </w:r>
          </w:p>
        </w:tc>
      </w:tr>
    </w:tbl>
    <w:p w14:paraId="6FCE750F" w14:textId="77777777" w:rsidR="00440FE5" w:rsidRPr="004A0C12" w:rsidRDefault="00440FE5" w:rsidP="00BF6375">
      <w:pPr>
        <w:pStyle w:val="FreeForm"/>
        <w:rPr>
          <w:rFonts w:ascii="Garamond" w:hAnsi="Garamond"/>
          <w:color w:val="191919"/>
          <w:sz w:val="22"/>
          <w:szCs w:val="22"/>
        </w:rPr>
      </w:pPr>
    </w:p>
    <w:p w14:paraId="340E9235" w14:textId="749C5DE1"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r w:rsidRPr="004A0C12">
        <w:rPr>
          <w:rFonts w:ascii="Garamond" w:hAnsi="Garamond"/>
          <w:color w:val="191919"/>
          <w:sz w:val="22"/>
          <w:szCs w:val="22"/>
        </w:rPr>
        <w:t>As the oversight and administrative agency for WIOA Title II adult education programs, DLLR will evaluate past performance in delivering adult education and family literacy activities in order to assess the effectiveness of applicants during the competitive process. Selected applicants must have documented success in providing adult education and literacy services. DLLR will convene one statewide application process for eligible providers.  Title II providers in each jurisdiction will be selected on the basis of th</w:t>
      </w:r>
      <w:r w:rsidR="00BF6375" w:rsidRPr="004A0C12">
        <w:rPr>
          <w:rFonts w:ascii="Garamond" w:hAnsi="Garamond"/>
          <w:color w:val="191919"/>
          <w:sz w:val="22"/>
          <w:szCs w:val="22"/>
        </w:rPr>
        <w:t>is competition.</w:t>
      </w:r>
    </w:p>
    <w:p w14:paraId="2A33E74F"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The DLLR office of AELS will be responsible for developing and disseminating the RFP for services to be delivered by local providers as authorized and funded under WIOA Title II. The RFP will be posted publicly on the DLLR website.</w:t>
      </w:r>
    </w:p>
    <w:p w14:paraId="243D9B64"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Only providers who have responded to the RFP in a timely manner, adhering to all submission requirements and deadlines will be considered for funding under WIOA Title II. Funds will not be awarded to providers who have not applied for funds under this uniform competition.</w:t>
      </w:r>
    </w:p>
    <w:p w14:paraId="6A7F0F10"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DLLR will directly award grants to providers who have been deemed to have successfully responded to the RFP requirements and satisfactorily documented previous success in providing the services. Sub-contracts will not be considered for funding.</w:t>
      </w:r>
    </w:p>
    <w:p w14:paraId="2771BA72" w14:textId="77777777" w:rsidR="004D0138" w:rsidRPr="004A0C12" w:rsidRDefault="004D0138" w:rsidP="004D013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xml:space="preserve">Proposals submitted in response to the competitive RFP will be reviewed by AELS along with an independent team of reviewers including individuals with knowledge and expertise in adult education, WIOA partner agency officials, and DWDAL personnel. Reviewers will score applications on the considerations set out in WIOA, Title II, </w:t>
      </w:r>
      <w:proofErr w:type="gramStart"/>
      <w:r w:rsidRPr="004A0C12">
        <w:rPr>
          <w:rFonts w:ascii="Garamond" w:hAnsi="Garamond" w:cs="Helvetica"/>
          <w:color w:val="000000"/>
          <w:sz w:val="22"/>
          <w:szCs w:val="22"/>
        </w:rPr>
        <w:t>Section</w:t>
      </w:r>
      <w:proofErr w:type="gramEnd"/>
      <w:r w:rsidRPr="004A0C12">
        <w:rPr>
          <w:rFonts w:ascii="Garamond" w:hAnsi="Garamond" w:cs="Helvetica"/>
          <w:color w:val="000000"/>
          <w:sz w:val="22"/>
          <w:szCs w:val="22"/>
        </w:rPr>
        <w:t xml:space="preserve"> 231.</w:t>
      </w:r>
    </w:p>
    <w:p w14:paraId="382DC788" w14:textId="77777777" w:rsidR="004D0138" w:rsidRPr="004A0C12" w:rsidRDefault="004D0138" w:rsidP="009523C7">
      <w:pPr>
        <w:pStyle w:val="NormalWeb2"/>
        <w:shd w:val="clear" w:color="auto" w:fill="FFFFFF"/>
        <w:spacing w:before="0" w:after="0"/>
        <w:contextualSpacing/>
        <w:jc w:val="both"/>
        <w:rPr>
          <w:rFonts w:ascii="Garamond" w:hAnsi="Garamond"/>
          <w:color w:val="191919"/>
          <w:sz w:val="22"/>
          <w:szCs w:val="22"/>
        </w:rPr>
      </w:pPr>
    </w:p>
    <w:p w14:paraId="2E0BD59E" w14:textId="77777777" w:rsidR="009523C7" w:rsidRPr="00D02BCE" w:rsidRDefault="009523C7" w:rsidP="00AB5AEF">
      <w:pPr>
        <w:pStyle w:val="Heading3"/>
        <w:rPr>
          <w:rFonts w:ascii="Garamond" w:hAnsi="Garamond"/>
          <w:sz w:val="24"/>
          <w:szCs w:val="24"/>
        </w:rPr>
      </w:pPr>
      <w:bookmarkStart w:id="96" w:name="_Toc447276140"/>
      <w:r w:rsidRPr="00D02BCE">
        <w:rPr>
          <w:rFonts w:ascii="Garamond" w:hAnsi="Garamond"/>
          <w:sz w:val="24"/>
          <w:szCs w:val="24"/>
        </w:rPr>
        <w:t>WIOA Title IV – Vocational Rehabilitation</w:t>
      </w:r>
      <w:bookmarkEnd w:id="96"/>
      <w:r w:rsidRPr="00D02BCE">
        <w:rPr>
          <w:rFonts w:ascii="Garamond" w:hAnsi="Garamond"/>
          <w:sz w:val="24"/>
          <w:szCs w:val="24"/>
        </w:rPr>
        <w:t xml:space="preserve"> </w:t>
      </w:r>
    </w:p>
    <w:p w14:paraId="2FFD1C33" w14:textId="1C2FA772" w:rsidR="00622979" w:rsidRPr="004A0C12" w:rsidRDefault="009523C7" w:rsidP="009523C7">
      <w:pPr>
        <w:pStyle w:val="NormalWeb2"/>
        <w:shd w:val="clear" w:color="auto" w:fill="FFFFFF"/>
        <w:spacing w:before="0" w:after="0"/>
        <w:contextualSpacing/>
        <w:jc w:val="both"/>
        <w:rPr>
          <w:rFonts w:ascii="Garamond" w:hAnsi="Garamond"/>
          <w:color w:val="191919"/>
          <w:sz w:val="22"/>
          <w:szCs w:val="22"/>
        </w:rPr>
      </w:pPr>
      <w:r w:rsidRPr="004A0C12">
        <w:rPr>
          <w:rFonts w:ascii="Garamond" w:hAnsi="Garamond"/>
          <w:color w:val="191919"/>
          <w:sz w:val="22"/>
          <w:szCs w:val="22"/>
        </w:rPr>
        <w:t xml:space="preserve">DORS is a Combined Agency that provides services for individuals who are </w:t>
      </w:r>
      <w:r w:rsidRPr="004A0C12">
        <w:rPr>
          <w:rFonts w:ascii="Garamond" w:hAnsi="Garamond"/>
          <w:sz w:val="22"/>
          <w:szCs w:val="22"/>
        </w:rPr>
        <w:t>blind</w:t>
      </w:r>
      <w:r w:rsidRPr="004A0C12">
        <w:rPr>
          <w:rFonts w:ascii="Garamond" w:hAnsi="Garamond"/>
          <w:color w:val="191919"/>
          <w:sz w:val="22"/>
          <w:szCs w:val="22"/>
        </w:rPr>
        <w:t xml:space="preserve">. As such this provision </w:t>
      </w:r>
      <w:r w:rsidR="00622979" w:rsidRPr="004A0C12">
        <w:rPr>
          <w:rFonts w:ascii="Garamond" w:hAnsi="Garamond"/>
          <w:color w:val="191919"/>
          <w:sz w:val="22"/>
          <w:szCs w:val="22"/>
        </w:rPr>
        <w:t xml:space="preserve">is not applicable in Maryland. </w:t>
      </w:r>
    </w:p>
    <w:p w14:paraId="54C1567D" w14:textId="77777777" w:rsidR="009523C7" w:rsidRPr="00D02BCE" w:rsidRDefault="009523C7" w:rsidP="00AB5AEF">
      <w:pPr>
        <w:pStyle w:val="Heading2"/>
        <w:rPr>
          <w:rFonts w:ascii="Garamond" w:hAnsi="Garamond"/>
          <w:sz w:val="28"/>
          <w:szCs w:val="28"/>
        </w:rPr>
      </w:pPr>
      <w:bookmarkStart w:id="97" w:name="_Toc447276141"/>
      <w:r w:rsidRPr="00D02BCE">
        <w:rPr>
          <w:rFonts w:ascii="Garamond" w:hAnsi="Garamond"/>
          <w:sz w:val="28"/>
          <w:szCs w:val="28"/>
        </w:rPr>
        <w:t>WIOA PROGRAM DATA &amp; SYSTEM ALIGNMENT</w:t>
      </w:r>
      <w:bookmarkEnd w:id="97"/>
      <w:r w:rsidRPr="00D02BCE">
        <w:rPr>
          <w:rFonts w:ascii="Garamond" w:hAnsi="Garamond"/>
          <w:sz w:val="28"/>
          <w:szCs w:val="28"/>
        </w:rPr>
        <w:t xml:space="preserve"> </w:t>
      </w:r>
    </w:p>
    <w:p w14:paraId="181FD2E1"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proofErr w:type="gramStart"/>
      <w:r w:rsidRPr="004A0C12">
        <w:rPr>
          <w:rFonts w:ascii="Garamond" w:hAnsi="Garamond"/>
          <w:sz w:val="22"/>
          <w:szCs w:val="22"/>
        </w:rPr>
        <w:t>The following section details Maryland’s plans on how it will ensure WIOA data systems become aligned and better integrated, all the while maintaining privacy and the highest ethical standards.</w:t>
      </w:r>
      <w:proofErr w:type="gramEnd"/>
    </w:p>
    <w:p w14:paraId="17E9B092"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p>
    <w:p w14:paraId="3918CAD6" w14:textId="2DCA696A" w:rsidR="00440FE5"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 xml:space="preserve">Under WIOA, states can report an integrated or non-integrated extract based on current federal register documents. Maryland is committed to moving towards an integrated system, but it has not reached that point yet.  </w:t>
      </w:r>
    </w:p>
    <w:p w14:paraId="5FBB37D2" w14:textId="77777777" w:rsidR="00622979" w:rsidRPr="004A0C12" w:rsidRDefault="00622979" w:rsidP="009523C7">
      <w:pPr>
        <w:pStyle w:val="NormalWeb2"/>
        <w:shd w:val="clear" w:color="auto" w:fill="FFFFFF"/>
        <w:spacing w:before="0" w:after="0"/>
        <w:contextualSpacing/>
        <w:jc w:val="both"/>
        <w:rPr>
          <w:rFonts w:ascii="Garamond" w:hAnsi="Garamond"/>
          <w:sz w:val="22"/>
          <w:szCs w:val="22"/>
        </w:rPr>
      </w:pPr>
    </w:p>
    <w:p w14:paraId="22382959" w14:textId="77777777" w:rsidR="009523C7"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The following chart documents the data systems used, by WIOA program and contract end date:</w:t>
      </w:r>
    </w:p>
    <w:p w14:paraId="5603BF60" w14:textId="77777777" w:rsidR="00D02BCE" w:rsidRDefault="00D02BCE" w:rsidP="009523C7">
      <w:pPr>
        <w:pStyle w:val="NormalWeb2"/>
        <w:shd w:val="clear" w:color="auto" w:fill="FFFFFF"/>
        <w:spacing w:before="0" w:after="0"/>
        <w:contextualSpacing/>
        <w:jc w:val="both"/>
        <w:rPr>
          <w:rFonts w:ascii="Garamond" w:hAnsi="Garamond"/>
          <w:sz w:val="22"/>
          <w:szCs w:val="22"/>
        </w:rPr>
      </w:pPr>
    </w:p>
    <w:p w14:paraId="68D1B09C" w14:textId="77777777" w:rsidR="00D02BCE" w:rsidRPr="004A0C12" w:rsidRDefault="00D02BCE" w:rsidP="009523C7">
      <w:pPr>
        <w:pStyle w:val="NormalWeb2"/>
        <w:shd w:val="clear" w:color="auto" w:fill="FFFFFF"/>
        <w:spacing w:before="0" w:after="0"/>
        <w:contextualSpacing/>
        <w:jc w:val="both"/>
        <w:rPr>
          <w:rFonts w:ascii="Garamond" w:hAnsi="Garamond"/>
          <w:sz w:val="22"/>
          <w:szCs w:val="22"/>
        </w:rPr>
      </w:pPr>
    </w:p>
    <w:p w14:paraId="7C40B681" w14:textId="77777777" w:rsidR="00622979" w:rsidRPr="004A0C12" w:rsidRDefault="00622979" w:rsidP="009523C7">
      <w:pPr>
        <w:pStyle w:val="NormalWeb2"/>
        <w:shd w:val="clear" w:color="auto" w:fill="FFFFFF"/>
        <w:spacing w:before="0" w:after="0"/>
        <w:contextualSpacing/>
        <w:jc w:val="both"/>
        <w:rPr>
          <w:rFonts w:ascii="Garamond" w:hAnsi="Garamond"/>
          <w:sz w:val="22"/>
          <w:szCs w:val="22"/>
        </w:rPr>
      </w:pPr>
    </w:p>
    <w:p w14:paraId="59A67E87" w14:textId="77777777" w:rsidR="00622979" w:rsidRPr="004A0C12" w:rsidRDefault="00622979" w:rsidP="009523C7">
      <w:pPr>
        <w:pStyle w:val="NormalWeb2"/>
        <w:shd w:val="clear" w:color="auto" w:fill="FFFFFF"/>
        <w:spacing w:before="0" w:after="0"/>
        <w:contextualSpacing/>
        <w:jc w:val="both"/>
        <w:rPr>
          <w:rFonts w:ascii="Garamond" w:hAnsi="Garamond"/>
          <w:sz w:val="22"/>
          <w:szCs w:val="22"/>
        </w:rPr>
      </w:pPr>
    </w:p>
    <w:tbl>
      <w:tblPr>
        <w:tblStyle w:val="PlainTable11"/>
        <w:tblW w:w="0" w:type="auto"/>
        <w:tblLayout w:type="fixed"/>
        <w:tblLook w:val="0000" w:firstRow="0" w:lastRow="0" w:firstColumn="0" w:lastColumn="0" w:noHBand="0" w:noVBand="0"/>
        <w:tblCaption w:val="WIOA Data Systems "/>
        <w:tblDescription w:val="This chart lists the data systems used and the year contracts expire for each of the WIOA Programs. The  Adult Adult Program uses the Maryland Workforce Exchange, which will expire in 2019. The Dislocated Worker Program uses the Maryland Workforce Exchange, which will expire in 2019. The Youth Program uses the Maryland Workforce Exchange which will expire in 2019. The Wagner-Peyser Act Program uses the Maryland Workforce Exchange, which will expire in 2019. The Adult Education &amp; Family Literacy Act Program uses the Literacy and Community Education System, which will expire in 2019; the Vocational Rehabilitation Program uses AWARE, which will expire in 2020; Temporary Assistance for Needy Families Program uses WORKS,which will expire in 2017; the Trade Adjustment Assistance for Workers Program uses the Maryland Workforce Exchange, which will expire in 2019. The Jobs for Veterans State Grant Program  uses the Maryland Workforce Exchange, which will expire in 2019. This information is not applicable for the Reintegration for Ex-Offenders. &#10;"/>
      </w:tblPr>
      <w:tblGrid>
        <w:gridCol w:w="4869"/>
        <w:gridCol w:w="3503"/>
        <w:gridCol w:w="2623"/>
      </w:tblGrid>
      <w:tr w:rsidR="009523C7" w:rsidRPr="004A0C12" w14:paraId="2CC9E93F" w14:textId="77777777" w:rsidTr="008B1D9A">
        <w:trPr>
          <w:trHeight w:val="280"/>
          <w:tblHeader/>
        </w:trPr>
        <w:tc>
          <w:tcPr>
            <w:cnfStyle w:val="000010000000" w:firstRow="0" w:lastRow="0" w:firstColumn="0" w:lastColumn="0" w:oddVBand="1" w:evenVBand="0" w:oddHBand="0" w:evenHBand="0" w:firstRowFirstColumn="0" w:firstRowLastColumn="0" w:lastRowFirstColumn="0" w:lastRowLastColumn="0"/>
            <w:tcW w:w="4869" w:type="dxa"/>
          </w:tcPr>
          <w:p w14:paraId="3F6AC94F" w14:textId="77777777" w:rsidR="009523C7" w:rsidRPr="004A0C12" w:rsidRDefault="009523C7" w:rsidP="009523C7">
            <w:pPr>
              <w:pStyle w:val="NormalWeb2"/>
              <w:spacing w:before="0" w:after="0"/>
              <w:jc w:val="center"/>
              <w:rPr>
                <w:rFonts w:ascii="Garamond" w:hAnsi="Garamond"/>
                <w:sz w:val="22"/>
                <w:szCs w:val="22"/>
              </w:rPr>
            </w:pPr>
            <w:r w:rsidRPr="004A0C12">
              <w:rPr>
                <w:rFonts w:ascii="Garamond" w:hAnsi="Garamond"/>
                <w:sz w:val="22"/>
                <w:szCs w:val="22"/>
              </w:rPr>
              <w:lastRenderedPageBreak/>
              <w:t>WIOA Program</w:t>
            </w:r>
          </w:p>
        </w:tc>
        <w:tc>
          <w:tcPr>
            <w:tcW w:w="3503" w:type="dxa"/>
          </w:tcPr>
          <w:p w14:paraId="7EB9A054" w14:textId="77777777" w:rsidR="009523C7" w:rsidRPr="004A0C12" w:rsidRDefault="009523C7" w:rsidP="009523C7">
            <w:pPr>
              <w:pStyle w:val="NormalWeb2"/>
              <w:spacing w:before="0" w:after="0"/>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Data System(s) Used</w:t>
            </w:r>
          </w:p>
        </w:tc>
        <w:tc>
          <w:tcPr>
            <w:cnfStyle w:val="000010000000" w:firstRow="0" w:lastRow="0" w:firstColumn="0" w:lastColumn="0" w:oddVBand="1" w:evenVBand="0" w:oddHBand="0" w:evenHBand="0" w:firstRowFirstColumn="0" w:firstRowLastColumn="0" w:lastRowFirstColumn="0" w:lastRowLastColumn="0"/>
            <w:tcW w:w="2623" w:type="dxa"/>
          </w:tcPr>
          <w:p w14:paraId="3248C568" w14:textId="77777777" w:rsidR="009523C7" w:rsidRPr="004A0C12" w:rsidRDefault="009523C7" w:rsidP="009523C7">
            <w:pPr>
              <w:pStyle w:val="NormalWeb2"/>
              <w:spacing w:before="0" w:after="0"/>
              <w:jc w:val="center"/>
              <w:rPr>
                <w:rFonts w:ascii="Garamond" w:hAnsi="Garamond"/>
                <w:sz w:val="22"/>
                <w:szCs w:val="22"/>
              </w:rPr>
            </w:pPr>
            <w:r w:rsidRPr="004A0C12">
              <w:rPr>
                <w:rFonts w:ascii="Garamond" w:hAnsi="Garamond"/>
                <w:sz w:val="22"/>
                <w:szCs w:val="22"/>
              </w:rPr>
              <w:t>Year Contract Expires</w:t>
            </w:r>
          </w:p>
        </w:tc>
      </w:tr>
      <w:tr w:rsidR="009523C7" w:rsidRPr="004A0C12" w14:paraId="2ED84E62" w14:textId="77777777" w:rsidTr="002352EE">
        <w:trPr>
          <w:cnfStyle w:val="000000100000" w:firstRow="0" w:lastRow="0" w:firstColumn="0" w:lastColumn="0" w:oddVBand="0" w:evenVBand="0" w:oddHBand="1" w:evenHBand="0"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4869" w:type="dxa"/>
          </w:tcPr>
          <w:p w14:paraId="5905CDC8"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Adult Program</w:t>
            </w:r>
          </w:p>
        </w:tc>
        <w:tc>
          <w:tcPr>
            <w:tcW w:w="3503" w:type="dxa"/>
          </w:tcPr>
          <w:p w14:paraId="4EB45ED4" w14:textId="77777777" w:rsidR="009523C7" w:rsidRPr="004A0C12" w:rsidRDefault="009523C7" w:rsidP="009523C7">
            <w:pPr>
              <w:pStyle w:val="NormalWeb2"/>
              <w:spacing w:before="0" w:after="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Maryland Workforce Exchange </w:t>
            </w:r>
          </w:p>
        </w:tc>
        <w:tc>
          <w:tcPr>
            <w:cnfStyle w:val="000010000000" w:firstRow="0" w:lastRow="0" w:firstColumn="0" w:lastColumn="0" w:oddVBand="1" w:evenVBand="0" w:oddHBand="0" w:evenHBand="0" w:firstRowFirstColumn="0" w:firstRowLastColumn="0" w:lastRowFirstColumn="0" w:lastRowLastColumn="0"/>
            <w:tcW w:w="2623" w:type="dxa"/>
          </w:tcPr>
          <w:p w14:paraId="78A6B770"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2019</w:t>
            </w:r>
          </w:p>
        </w:tc>
      </w:tr>
      <w:tr w:rsidR="009523C7" w:rsidRPr="004A0C12" w14:paraId="53F68FB3" w14:textId="77777777" w:rsidTr="002352EE">
        <w:trPr>
          <w:trHeight w:val="340"/>
        </w:trPr>
        <w:tc>
          <w:tcPr>
            <w:cnfStyle w:val="000010000000" w:firstRow="0" w:lastRow="0" w:firstColumn="0" w:lastColumn="0" w:oddVBand="1" w:evenVBand="0" w:oddHBand="0" w:evenHBand="0" w:firstRowFirstColumn="0" w:firstRowLastColumn="0" w:lastRowFirstColumn="0" w:lastRowLastColumn="0"/>
            <w:tcW w:w="4869" w:type="dxa"/>
          </w:tcPr>
          <w:p w14:paraId="3B43C178"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Dislocated Worker Program</w:t>
            </w:r>
          </w:p>
        </w:tc>
        <w:tc>
          <w:tcPr>
            <w:tcW w:w="3503" w:type="dxa"/>
          </w:tcPr>
          <w:p w14:paraId="3161F774" w14:textId="77777777" w:rsidR="009523C7" w:rsidRPr="004A0C12" w:rsidRDefault="009523C7" w:rsidP="009523C7">
            <w:pPr>
              <w:pStyle w:val="NormalWeb2"/>
              <w:spacing w:before="0" w:after="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Maryland Workforce Exchange</w:t>
            </w:r>
          </w:p>
        </w:tc>
        <w:tc>
          <w:tcPr>
            <w:cnfStyle w:val="000010000000" w:firstRow="0" w:lastRow="0" w:firstColumn="0" w:lastColumn="0" w:oddVBand="1" w:evenVBand="0" w:oddHBand="0" w:evenHBand="0" w:firstRowFirstColumn="0" w:firstRowLastColumn="0" w:lastRowFirstColumn="0" w:lastRowLastColumn="0"/>
            <w:tcW w:w="2623" w:type="dxa"/>
          </w:tcPr>
          <w:p w14:paraId="165EF556"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2019</w:t>
            </w:r>
          </w:p>
        </w:tc>
      </w:tr>
      <w:tr w:rsidR="009523C7" w:rsidRPr="004A0C12" w14:paraId="31772F70" w14:textId="77777777" w:rsidTr="002352EE">
        <w:trPr>
          <w:cnfStyle w:val="000000100000" w:firstRow="0" w:lastRow="0" w:firstColumn="0" w:lastColumn="0" w:oddVBand="0" w:evenVBand="0" w:oddHBand="1" w:evenHBand="0"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4869" w:type="dxa"/>
          </w:tcPr>
          <w:p w14:paraId="34F3AD5B"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Youth Program</w:t>
            </w:r>
          </w:p>
        </w:tc>
        <w:tc>
          <w:tcPr>
            <w:tcW w:w="3503" w:type="dxa"/>
          </w:tcPr>
          <w:p w14:paraId="034E420C" w14:textId="77777777" w:rsidR="009523C7" w:rsidRPr="004A0C12" w:rsidRDefault="009523C7" w:rsidP="009523C7">
            <w:pPr>
              <w:pStyle w:val="NormalWeb2"/>
              <w:spacing w:before="0" w:after="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Maryland Workforce Exchange</w:t>
            </w:r>
          </w:p>
        </w:tc>
        <w:tc>
          <w:tcPr>
            <w:cnfStyle w:val="000010000000" w:firstRow="0" w:lastRow="0" w:firstColumn="0" w:lastColumn="0" w:oddVBand="1" w:evenVBand="0" w:oddHBand="0" w:evenHBand="0" w:firstRowFirstColumn="0" w:firstRowLastColumn="0" w:lastRowFirstColumn="0" w:lastRowLastColumn="0"/>
            <w:tcW w:w="2623" w:type="dxa"/>
          </w:tcPr>
          <w:p w14:paraId="6C486C7F"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2019</w:t>
            </w:r>
          </w:p>
        </w:tc>
      </w:tr>
      <w:tr w:rsidR="009523C7" w:rsidRPr="004A0C12" w14:paraId="1C17E13B" w14:textId="77777777" w:rsidTr="002352EE">
        <w:trPr>
          <w:trHeight w:val="340"/>
        </w:trPr>
        <w:tc>
          <w:tcPr>
            <w:cnfStyle w:val="000010000000" w:firstRow="0" w:lastRow="0" w:firstColumn="0" w:lastColumn="0" w:oddVBand="1" w:evenVBand="0" w:oddHBand="0" w:evenHBand="0" w:firstRowFirstColumn="0" w:firstRowLastColumn="0" w:lastRowFirstColumn="0" w:lastRowLastColumn="0"/>
            <w:tcW w:w="4869" w:type="dxa"/>
          </w:tcPr>
          <w:p w14:paraId="4463AA70"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Wagner-Peyser Act Program</w:t>
            </w:r>
          </w:p>
        </w:tc>
        <w:tc>
          <w:tcPr>
            <w:tcW w:w="3503" w:type="dxa"/>
          </w:tcPr>
          <w:p w14:paraId="3E8E60DB" w14:textId="77777777" w:rsidR="009523C7" w:rsidRPr="004A0C12" w:rsidRDefault="009523C7" w:rsidP="009523C7">
            <w:pPr>
              <w:pStyle w:val="NormalWeb2"/>
              <w:spacing w:before="0" w:after="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Maryland Workforce Exchange</w:t>
            </w:r>
          </w:p>
        </w:tc>
        <w:tc>
          <w:tcPr>
            <w:cnfStyle w:val="000010000000" w:firstRow="0" w:lastRow="0" w:firstColumn="0" w:lastColumn="0" w:oddVBand="1" w:evenVBand="0" w:oddHBand="0" w:evenHBand="0" w:firstRowFirstColumn="0" w:firstRowLastColumn="0" w:lastRowFirstColumn="0" w:lastRowLastColumn="0"/>
            <w:tcW w:w="2623" w:type="dxa"/>
          </w:tcPr>
          <w:p w14:paraId="7726870C"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2019</w:t>
            </w:r>
          </w:p>
        </w:tc>
      </w:tr>
      <w:tr w:rsidR="009523C7" w:rsidRPr="004A0C12" w14:paraId="3892C1DD" w14:textId="77777777" w:rsidTr="002352EE">
        <w:trPr>
          <w:cnfStyle w:val="000000100000" w:firstRow="0" w:lastRow="0" w:firstColumn="0" w:lastColumn="0" w:oddVBand="0" w:evenVBand="0" w:oddHBand="1" w:evenHBand="0" w:firstRowFirstColumn="0" w:firstRowLastColumn="0" w:lastRowFirstColumn="0" w:lastRowLastColumn="0"/>
          <w:trHeight w:val="580"/>
        </w:trPr>
        <w:tc>
          <w:tcPr>
            <w:cnfStyle w:val="000010000000" w:firstRow="0" w:lastRow="0" w:firstColumn="0" w:lastColumn="0" w:oddVBand="1" w:evenVBand="0" w:oddHBand="0" w:evenHBand="0" w:firstRowFirstColumn="0" w:firstRowLastColumn="0" w:lastRowFirstColumn="0" w:lastRowLastColumn="0"/>
            <w:tcW w:w="4869" w:type="dxa"/>
          </w:tcPr>
          <w:p w14:paraId="5B28504D"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Adult Education &amp; Family Literacy Act Program</w:t>
            </w:r>
          </w:p>
        </w:tc>
        <w:tc>
          <w:tcPr>
            <w:tcW w:w="3503" w:type="dxa"/>
          </w:tcPr>
          <w:p w14:paraId="349D78D5" w14:textId="77777777" w:rsidR="009523C7" w:rsidRPr="004A0C12" w:rsidRDefault="009523C7" w:rsidP="009523C7">
            <w:pPr>
              <w:pStyle w:val="NormalWeb2"/>
              <w:spacing w:before="0" w:after="0"/>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Literacy and Community Education System </w:t>
            </w:r>
          </w:p>
        </w:tc>
        <w:tc>
          <w:tcPr>
            <w:cnfStyle w:val="000010000000" w:firstRow="0" w:lastRow="0" w:firstColumn="0" w:lastColumn="0" w:oddVBand="1" w:evenVBand="0" w:oddHBand="0" w:evenHBand="0" w:firstRowFirstColumn="0" w:firstRowLastColumn="0" w:lastRowFirstColumn="0" w:lastRowLastColumn="0"/>
            <w:tcW w:w="2623" w:type="dxa"/>
          </w:tcPr>
          <w:p w14:paraId="18315B92"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2019</w:t>
            </w:r>
          </w:p>
        </w:tc>
      </w:tr>
      <w:tr w:rsidR="009523C7" w:rsidRPr="004A0C12" w14:paraId="5ED061A5" w14:textId="77777777" w:rsidTr="002352EE">
        <w:trPr>
          <w:trHeight w:val="340"/>
        </w:trPr>
        <w:tc>
          <w:tcPr>
            <w:cnfStyle w:val="000010000000" w:firstRow="0" w:lastRow="0" w:firstColumn="0" w:lastColumn="0" w:oddVBand="1" w:evenVBand="0" w:oddHBand="0" w:evenHBand="0" w:firstRowFirstColumn="0" w:firstRowLastColumn="0" w:lastRowFirstColumn="0" w:lastRowLastColumn="0"/>
            <w:tcW w:w="4869" w:type="dxa"/>
          </w:tcPr>
          <w:p w14:paraId="7123FC3F"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Vocational Rehabilitation Program</w:t>
            </w:r>
          </w:p>
        </w:tc>
        <w:tc>
          <w:tcPr>
            <w:tcW w:w="3503" w:type="dxa"/>
          </w:tcPr>
          <w:p w14:paraId="0C90E93D" w14:textId="77777777" w:rsidR="009523C7" w:rsidRPr="004A0C12" w:rsidRDefault="009523C7" w:rsidP="009523C7">
            <w:pPr>
              <w:pStyle w:val="NormalWeb2"/>
              <w:spacing w:before="0" w:after="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AWARE</w:t>
            </w:r>
          </w:p>
        </w:tc>
        <w:tc>
          <w:tcPr>
            <w:cnfStyle w:val="000010000000" w:firstRow="0" w:lastRow="0" w:firstColumn="0" w:lastColumn="0" w:oddVBand="1" w:evenVBand="0" w:oddHBand="0" w:evenHBand="0" w:firstRowFirstColumn="0" w:firstRowLastColumn="0" w:lastRowFirstColumn="0" w:lastRowLastColumn="0"/>
            <w:tcW w:w="2623" w:type="dxa"/>
          </w:tcPr>
          <w:p w14:paraId="2E506F73"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2020</w:t>
            </w:r>
          </w:p>
        </w:tc>
      </w:tr>
      <w:tr w:rsidR="009523C7" w:rsidRPr="004A0C12" w14:paraId="2CE30C60" w14:textId="77777777" w:rsidTr="002352EE">
        <w:trPr>
          <w:cnfStyle w:val="000000100000" w:firstRow="0" w:lastRow="0" w:firstColumn="0" w:lastColumn="0" w:oddVBand="0" w:evenVBand="0" w:oddHBand="1" w:evenHBand="0" w:firstRowFirstColumn="0" w:firstRowLastColumn="0" w:lastRowFirstColumn="0" w:lastRowLastColumn="0"/>
          <w:trHeight w:val="580"/>
        </w:trPr>
        <w:tc>
          <w:tcPr>
            <w:cnfStyle w:val="000010000000" w:firstRow="0" w:lastRow="0" w:firstColumn="0" w:lastColumn="0" w:oddVBand="1" w:evenVBand="0" w:oddHBand="0" w:evenHBand="0" w:firstRowFirstColumn="0" w:firstRowLastColumn="0" w:lastRowFirstColumn="0" w:lastRowLastColumn="0"/>
            <w:tcW w:w="4869" w:type="dxa"/>
          </w:tcPr>
          <w:p w14:paraId="7B3EF318"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Temporary Assistance for Needy Families Program</w:t>
            </w:r>
          </w:p>
        </w:tc>
        <w:tc>
          <w:tcPr>
            <w:tcW w:w="3503" w:type="dxa"/>
          </w:tcPr>
          <w:p w14:paraId="3900DF19" w14:textId="77777777" w:rsidR="009523C7" w:rsidRPr="004A0C12" w:rsidRDefault="009523C7" w:rsidP="009523C7">
            <w:pPr>
              <w:pStyle w:val="NormalWeb2"/>
              <w:spacing w:before="0" w:after="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WORKS</w:t>
            </w:r>
          </w:p>
        </w:tc>
        <w:tc>
          <w:tcPr>
            <w:cnfStyle w:val="000010000000" w:firstRow="0" w:lastRow="0" w:firstColumn="0" w:lastColumn="0" w:oddVBand="1" w:evenVBand="0" w:oddHBand="0" w:evenHBand="0" w:firstRowFirstColumn="0" w:firstRowLastColumn="0" w:lastRowFirstColumn="0" w:lastRowLastColumn="0"/>
            <w:tcW w:w="2623" w:type="dxa"/>
          </w:tcPr>
          <w:p w14:paraId="717B93D3"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2017</w:t>
            </w:r>
          </w:p>
        </w:tc>
      </w:tr>
      <w:tr w:rsidR="009523C7" w:rsidRPr="004A0C12" w14:paraId="15290500" w14:textId="77777777" w:rsidTr="002352EE">
        <w:trPr>
          <w:trHeight w:val="580"/>
        </w:trPr>
        <w:tc>
          <w:tcPr>
            <w:cnfStyle w:val="000010000000" w:firstRow="0" w:lastRow="0" w:firstColumn="0" w:lastColumn="0" w:oddVBand="1" w:evenVBand="0" w:oddHBand="0" w:evenHBand="0" w:firstRowFirstColumn="0" w:firstRowLastColumn="0" w:lastRowFirstColumn="0" w:lastRowLastColumn="0"/>
            <w:tcW w:w="4869" w:type="dxa"/>
          </w:tcPr>
          <w:p w14:paraId="1D5E8922"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Trade Adjustment Assistance for Workers Program</w:t>
            </w:r>
          </w:p>
        </w:tc>
        <w:tc>
          <w:tcPr>
            <w:tcW w:w="3503" w:type="dxa"/>
          </w:tcPr>
          <w:p w14:paraId="4EBF910D" w14:textId="77777777" w:rsidR="009523C7" w:rsidRPr="004A0C12" w:rsidRDefault="009523C7" w:rsidP="009523C7">
            <w:pPr>
              <w:pStyle w:val="NormalWeb2"/>
              <w:spacing w:before="0" w:after="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Maryland Workforce Exchange</w:t>
            </w:r>
          </w:p>
        </w:tc>
        <w:tc>
          <w:tcPr>
            <w:cnfStyle w:val="000010000000" w:firstRow="0" w:lastRow="0" w:firstColumn="0" w:lastColumn="0" w:oddVBand="1" w:evenVBand="0" w:oddHBand="0" w:evenHBand="0" w:firstRowFirstColumn="0" w:firstRowLastColumn="0" w:lastRowFirstColumn="0" w:lastRowLastColumn="0"/>
            <w:tcW w:w="2623" w:type="dxa"/>
          </w:tcPr>
          <w:p w14:paraId="262C864D"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2019</w:t>
            </w:r>
          </w:p>
        </w:tc>
      </w:tr>
      <w:tr w:rsidR="009523C7" w:rsidRPr="004A0C12" w14:paraId="2196AD7D" w14:textId="77777777" w:rsidTr="002352EE">
        <w:trPr>
          <w:cnfStyle w:val="000000100000" w:firstRow="0" w:lastRow="0" w:firstColumn="0" w:lastColumn="0" w:oddVBand="0" w:evenVBand="0" w:oddHBand="1" w:evenHBand="0" w:firstRowFirstColumn="0" w:firstRowLastColumn="0" w:lastRowFirstColumn="0" w:lastRowLastColumn="0"/>
          <w:trHeight w:val="340"/>
        </w:trPr>
        <w:tc>
          <w:tcPr>
            <w:cnfStyle w:val="000010000000" w:firstRow="0" w:lastRow="0" w:firstColumn="0" w:lastColumn="0" w:oddVBand="1" w:evenVBand="0" w:oddHBand="0" w:evenHBand="0" w:firstRowFirstColumn="0" w:firstRowLastColumn="0" w:lastRowFirstColumn="0" w:lastRowLastColumn="0"/>
            <w:tcW w:w="4869" w:type="dxa"/>
          </w:tcPr>
          <w:p w14:paraId="61B1A059"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Jobs for Veterans State Grant Program</w:t>
            </w:r>
          </w:p>
        </w:tc>
        <w:tc>
          <w:tcPr>
            <w:tcW w:w="3503" w:type="dxa"/>
          </w:tcPr>
          <w:p w14:paraId="76615DE1" w14:textId="77777777" w:rsidR="009523C7" w:rsidRPr="004A0C12" w:rsidRDefault="009523C7" w:rsidP="009523C7">
            <w:pPr>
              <w:pStyle w:val="NormalWeb2"/>
              <w:spacing w:before="0" w:after="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Maryland Workforce Exchange</w:t>
            </w:r>
          </w:p>
        </w:tc>
        <w:tc>
          <w:tcPr>
            <w:cnfStyle w:val="000010000000" w:firstRow="0" w:lastRow="0" w:firstColumn="0" w:lastColumn="0" w:oddVBand="1" w:evenVBand="0" w:oddHBand="0" w:evenHBand="0" w:firstRowFirstColumn="0" w:firstRowLastColumn="0" w:lastRowFirstColumn="0" w:lastRowLastColumn="0"/>
            <w:tcW w:w="2623" w:type="dxa"/>
          </w:tcPr>
          <w:p w14:paraId="105B81FE"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2019</w:t>
            </w:r>
          </w:p>
        </w:tc>
      </w:tr>
      <w:tr w:rsidR="009523C7" w:rsidRPr="004A0C12" w14:paraId="05C9D02E" w14:textId="77777777" w:rsidTr="002352EE">
        <w:trPr>
          <w:trHeight w:val="340"/>
        </w:trPr>
        <w:tc>
          <w:tcPr>
            <w:cnfStyle w:val="000010000000" w:firstRow="0" w:lastRow="0" w:firstColumn="0" w:lastColumn="0" w:oddVBand="1" w:evenVBand="0" w:oddHBand="0" w:evenHBand="0" w:firstRowFirstColumn="0" w:firstRowLastColumn="0" w:lastRowFirstColumn="0" w:lastRowLastColumn="0"/>
            <w:tcW w:w="4869" w:type="dxa"/>
          </w:tcPr>
          <w:p w14:paraId="2C8A6170" w14:textId="77777777" w:rsidR="009523C7" w:rsidRPr="004A0C12" w:rsidRDefault="009523C7" w:rsidP="009523C7">
            <w:pPr>
              <w:pStyle w:val="NormalWeb2"/>
              <w:spacing w:before="0" w:after="0"/>
              <w:rPr>
                <w:rFonts w:ascii="Garamond" w:hAnsi="Garamond"/>
                <w:sz w:val="22"/>
                <w:szCs w:val="22"/>
              </w:rPr>
            </w:pPr>
            <w:r w:rsidRPr="004A0C12">
              <w:rPr>
                <w:rFonts w:ascii="Garamond" w:hAnsi="Garamond"/>
                <w:sz w:val="22"/>
                <w:szCs w:val="22"/>
              </w:rPr>
              <w:t>Reintegration for Ex-Offenders</w:t>
            </w:r>
          </w:p>
        </w:tc>
        <w:tc>
          <w:tcPr>
            <w:tcW w:w="3503" w:type="dxa"/>
          </w:tcPr>
          <w:p w14:paraId="53C8D509" w14:textId="77777777" w:rsidR="009523C7" w:rsidRPr="004A0C12" w:rsidRDefault="009523C7" w:rsidP="009523C7">
            <w:pPr>
              <w:pStyle w:val="NormalWeb2"/>
              <w:spacing w:before="0" w:after="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N/A</w:t>
            </w:r>
          </w:p>
        </w:tc>
        <w:tc>
          <w:tcPr>
            <w:cnfStyle w:val="000010000000" w:firstRow="0" w:lastRow="0" w:firstColumn="0" w:lastColumn="0" w:oddVBand="1" w:evenVBand="0" w:oddHBand="0" w:evenHBand="0" w:firstRowFirstColumn="0" w:firstRowLastColumn="0" w:lastRowFirstColumn="0" w:lastRowLastColumn="0"/>
            <w:tcW w:w="2623" w:type="dxa"/>
          </w:tcPr>
          <w:p w14:paraId="5AA1A1D2" w14:textId="77777777" w:rsidR="009523C7" w:rsidRPr="004A0C12" w:rsidRDefault="009523C7" w:rsidP="009523C7">
            <w:pPr>
              <w:pStyle w:val="NormalWeb2"/>
              <w:spacing w:before="0" w:after="0"/>
              <w:jc w:val="both"/>
              <w:rPr>
                <w:rFonts w:ascii="Garamond" w:hAnsi="Garamond"/>
                <w:sz w:val="22"/>
                <w:szCs w:val="22"/>
              </w:rPr>
            </w:pPr>
            <w:r w:rsidRPr="004A0C12">
              <w:rPr>
                <w:rFonts w:ascii="Garamond" w:hAnsi="Garamond"/>
                <w:sz w:val="22"/>
                <w:szCs w:val="22"/>
              </w:rPr>
              <w:t>N/A</w:t>
            </w:r>
          </w:p>
        </w:tc>
      </w:tr>
    </w:tbl>
    <w:p w14:paraId="2A4434DA"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p>
    <w:p w14:paraId="15AC5542"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 xml:space="preserve">While DLLR, MSDE, and DHR are capable of reporting on each individual program to the respective federal oversight agency, Maryland does not currently have an integrated system with all partner programs. DLLR is therefore currently unable to report data from agencies, like MSDE-DORS and DHR-FIA, which report outside of the Maryland Workforce Exchange (MWE) system. As shown, the MWE currently houses WIOA Adult, Dislocated Worker, Youth, Wagner-Peyser, JVSG, and Trade program participants, however, TANF, Vocational Rehabilitation, and Adult Education are not currently in MWE.  </w:t>
      </w:r>
    </w:p>
    <w:p w14:paraId="0F4F7216"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p>
    <w:p w14:paraId="581A94A1" w14:textId="7869EC72"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Due to contract end dates in 2019 and 2020, the WIOA leadership team recognizes that Maryland needs both short- and long-term solutions and goals to data sharing and alignment.</w:t>
      </w:r>
      <w:r w:rsidR="002352EE" w:rsidRPr="004A0C12">
        <w:rPr>
          <w:rFonts w:ascii="Garamond" w:hAnsi="Garamond"/>
          <w:sz w:val="22"/>
          <w:szCs w:val="22"/>
        </w:rPr>
        <w:t xml:space="preserve"> </w:t>
      </w:r>
      <w:r w:rsidRPr="004A0C12">
        <w:rPr>
          <w:rFonts w:ascii="Garamond" w:hAnsi="Garamond"/>
          <w:sz w:val="22"/>
          <w:szCs w:val="22"/>
        </w:rPr>
        <w:t xml:space="preserve">To reach the long-term goal of system integration or alignment, the WIOA leadership team will work to identify potential options for common platforms and data integration. The team will schedule demonstrations with vendors and </w:t>
      </w:r>
      <w:r w:rsidR="002352EE" w:rsidRPr="004A0C12">
        <w:rPr>
          <w:rFonts w:ascii="Garamond" w:hAnsi="Garamond"/>
          <w:sz w:val="22"/>
          <w:szCs w:val="22"/>
        </w:rPr>
        <w:t>will work together to weigh the advantages and disadvantages</w:t>
      </w:r>
      <w:r w:rsidRPr="004A0C12">
        <w:rPr>
          <w:rFonts w:ascii="Garamond" w:hAnsi="Garamond"/>
          <w:sz w:val="22"/>
          <w:szCs w:val="22"/>
        </w:rPr>
        <w:t xml:space="preserve"> of the options available. </w:t>
      </w:r>
    </w:p>
    <w:p w14:paraId="0EC4CF0A"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p>
    <w:p w14:paraId="2F477159" w14:textId="0127F38D"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DHR is</w:t>
      </w:r>
      <w:r w:rsidR="007D1705" w:rsidRPr="004A0C12">
        <w:rPr>
          <w:rFonts w:ascii="Garamond" w:hAnsi="Garamond"/>
          <w:sz w:val="22"/>
          <w:szCs w:val="22"/>
        </w:rPr>
        <w:t xml:space="preserve"> leading discussions with WIOA P</w:t>
      </w:r>
      <w:r w:rsidRPr="004A0C12">
        <w:rPr>
          <w:rFonts w:ascii="Garamond" w:hAnsi="Garamond"/>
          <w:sz w:val="22"/>
          <w:szCs w:val="22"/>
        </w:rPr>
        <w:t xml:space="preserve">artners on long-term solutions in </w:t>
      </w:r>
      <w:r w:rsidRPr="004A0C12">
        <w:rPr>
          <w:rFonts w:ascii="Garamond" w:hAnsi="Garamond"/>
          <w:color w:val="191919"/>
          <w:sz w:val="22"/>
          <w:szCs w:val="22"/>
        </w:rPr>
        <w:t xml:space="preserve">the development of prototypes, using multiple technologies to evaluate which best suit the needs of the State. Overall requirements and features are to be defined based on the suggestions from various stakeholders. </w:t>
      </w:r>
      <w:r w:rsidR="007D1705" w:rsidRPr="004A0C12">
        <w:rPr>
          <w:rFonts w:ascii="Garamond" w:hAnsi="Garamond"/>
          <w:sz w:val="22"/>
          <w:szCs w:val="22"/>
        </w:rPr>
        <w:t>The WIOA P</w:t>
      </w:r>
      <w:r w:rsidRPr="004A0C12">
        <w:rPr>
          <w:rFonts w:ascii="Garamond" w:hAnsi="Garamond"/>
          <w:sz w:val="22"/>
          <w:szCs w:val="22"/>
        </w:rPr>
        <w:t xml:space="preserve">artners intend to replace the </w:t>
      </w:r>
      <w:r w:rsidR="00EA6922" w:rsidRPr="004A0C12">
        <w:rPr>
          <w:rFonts w:ascii="Garamond" w:hAnsi="Garamond"/>
          <w:sz w:val="22"/>
          <w:szCs w:val="22"/>
        </w:rPr>
        <w:t>multiple,</w:t>
      </w:r>
      <w:r w:rsidRPr="004A0C12">
        <w:rPr>
          <w:rFonts w:ascii="Garamond" w:hAnsi="Garamond"/>
          <w:sz w:val="22"/>
          <w:szCs w:val="22"/>
        </w:rPr>
        <w:t xml:space="preserve"> </w:t>
      </w:r>
      <w:r w:rsidR="00EA6922" w:rsidRPr="004A0C12">
        <w:rPr>
          <w:rFonts w:ascii="Garamond" w:hAnsi="Garamond"/>
          <w:sz w:val="22"/>
          <w:szCs w:val="22"/>
        </w:rPr>
        <w:t>existing</w:t>
      </w:r>
      <w:r w:rsidRPr="004A0C12">
        <w:rPr>
          <w:rFonts w:ascii="Garamond" w:hAnsi="Garamond"/>
          <w:sz w:val="22"/>
          <w:szCs w:val="22"/>
        </w:rPr>
        <w:t xml:space="preserve"> systems, shown above, with a new system that will include imaging and workflow management, and a robust business rules engine to aide in eligibility determination and creating and managing benefit plans. The key design principles of the modernized s</w:t>
      </w:r>
      <w:r w:rsidR="002352EE" w:rsidRPr="004A0C12">
        <w:rPr>
          <w:rFonts w:ascii="Garamond" w:hAnsi="Garamond"/>
          <w:sz w:val="22"/>
          <w:szCs w:val="22"/>
        </w:rPr>
        <w:t>ystem will be to create a customer-</w:t>
      </w:r>
      <w:r w:rsidRPr="004A0C12">
        <w:rPr>
          <w:rFonts w:ascii="Garamond" w:hAnsi="Garamond"/>
          <w:sz w:val="22"/>
          <w:szCs w:val="22"/>
        </w:rPr>
        <w:t>centric view with the use of shared data sources and a common business operating model. </w:t>
      </w:r>
      <w:r w:rsidRPr="004A0C12">
        <w:rPr>
          <w:rFonts w:ascii="Garamond" w:hAnsi="Garamond"/>
          <w:color w:val="191919"/>
          <w:sz w:val="22"/>
          <w:szCs w:val="22"/>
        </w:rPr>
        <w:t>This platform for this new system will be adaptable across multiple Maryland State agencies. All require a system with similar attributes: a flexible, robust case management platform with safeguarding of Personally Identifiable Information, and a comprehensive, adaptable rules engine. It is intended that the MWE will be integrated into this common infrastructure platform for use. Long term, the application solution for the consolidated WIOA management system is to be utilized across the WIOA System.</w:t>
      </w:r>
    </w:p>
    <w:p w14:paraId="74B71374" w14:textId="77777777" w:rsidR="002352EE" w:rsidRPr="004A0C12" w:rsidRDefault="002352EE" w:rsidP="009523C7">
      <w:pPr>
        <w:pStyle w:val="NormalWeb2"/>
        <w:shd w:val="clear" w:color="auto" w:fill="FFFFFF"/>
        <w:spacing w:before="0" w:after="0"/>
        <w:contextualSpacing/>
        <w:jc w:val="both"/>
        <w:rPr>
          <w:rFonts w:ascii="Garamond" w:hAnsi="Garamond"/>
          <w:sz w:val="22"/>
          <w:szCs w:val="22"/>
        </w:rPr>
      </w:pPr>
    </w:p>
    <w:p w14:paraId="62D43E71"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 xml:space="preserve">In the short-term, the WIOA leadership team is very committed to working together to address data alignment and information sharing concerns through the following methods: </w:t>
      </w:r>
    </w:p>
    <w:p w14:paraId="3DBD441C" w14:textId="77777777" w:rsidR="002B38EB" w:rsidRPr="004A0C12" w:rsidRDefault="002B38EB" w:rsidP="009523C7">
      <w:pPr>
        <w:pStyle w:val="NormalWeb2"/>
        <w:shd w:val="clear" w:color="auto" w:fill="FFFFFF"/>
        <w:spacing w:before="0" w:after="0"/>
        <w:contextualSpacing/>
        <w:jc w:val="both"/>
        <w:rPr>
          <w:rFonts w:ascii="Garamond" w:hAnsi="Garamond"/>
          <w:sz w:val="22"/>
          <w:szCs w:val="22"/>
        </w:rPr>
      </w:pPr>
    </w:p>
    <w:p w14:paraId="036C7076" w14:textId="77777777" w:rsidR="009523C7" w:rsidRPr="004A0C12" w:rsidRDefault="009523C7" w:rsidP="00F733CF">
      <w:pPr>
        <w:pStyle w:val="NormalWeb2"/>
        <w:numPr>
          <w:ilvl w:val="0"/>
          <w:numId w:val="89"/>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Creating an inventory of data that is collected, by WIOA program, to determine which data elements (SSN, demographic data, etc.) would be helpful to partner WIOA organizations for eligibility purposes, etc.;</w:t>
      </w:r>
    </w:p>
    <w:p w14:paraId="7223188F" w14:textId="77777777" w:rsidR="009523C7" w:rsidRPr="004A0C12" w:rsidRDefault="009523C7" w:rsidP="00F733CF">
      <w:pPr>
        <w:pStyle w:val="NormalWeb2"/>
        <w:numPr>
          <w:ilvl w:val="0"/>
          <w:numId w:val="89"/>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Establishing Memoranda of Understanding between WIOA agencies, when applicable;</w:t>
      </w:r>
    </w:p>
    <w:p w14:paraId="477220E8" w14:textId="77777777" w:rsidR="009523C7" w:rsidRPr="004A0C12" w:rsidRDefault="009523C7" w:rsidP="00F733CF">
      <w:pPr>
        <w:pStyle w:val="NormalWeb2"/>
        <w:numPr>
          <w:ilvl w:val="0"/>
          <w:numId w:val="89"/>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 xml:space="preserve">Developing one standard confidentiality/ethics form for use with all personnel within the WIOA system to ensure staff understand, and agree with signature, to their responsibilities related to safeguarding confidential WIOA records; </w:t>
      </w:r>
    </w:p>
    <w:p w14:paraId="006540F9" w14:textId="77777777" w:rsidR="009523C7" w:rsidRPr="004A0C12" w:rsidRDefault="009523C7" w:rsidP="00F733CF">
      <w:pPr>
        <w:pStyle w:val="NormalWeb2"/>
        <w:numPr>
          <w:ilvl w:val="0"/>
          <w:numId w:val="89"/>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lastRenderedPageBreak/>
        <w:t>Developing one standard waiver for use with customers at first touch within the WIOA system to ensure compliance with applicable State and federal laws (e.g.: Family Educational Rights &amp; Privacy Act (FERPA); Health Insurance Portability and Accountability Act (HIPPA); etc.);</w:t>
      </w:r>
    </w:p>
    <w:p w14:paraId="477A3805" w14:textId="7ADDD3DF" w:rsidR="009523C7" w:rsidRPr="004A0C12" w:rsidRDefault="002352EE" w:rsidP="00F733CF">
      <w:pPr>
        <w:pStyle w:val="NormalWeb2"/>
        <w:numPr>
          <w:ilvl w:val="0"/>
          <w:numId w:val="89"/>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Granting “read-</w:t>
      </w:r>
      <w:r w:rsidR="009523C7" w:rsidRPr="004A0C12">
        <w:rPr>
          <w:rFonts w:ascii="Garamond" w:hAnsi="Garamond"/>
          <w:sz w:val="22"/>
          <w:szCs w:val="22"/>
        </w:rPr>
        <w:t xml:space="preserve">only” basic access, with the appropriate releases, to limited WIOA system staff; and, </w:t>
      </w:r>
    </w:p>
    <w:p w14:paraId="36C3EE10" w14:textId="77777777" w:rsidR="009523C7" w:rsidRPr="004A0C12" w:rsidRDefault="009523C7" w:rsidP="00F733CF">
      <w:pPr>
        <w:pStyle w:val="NormalWeb2"/>
        <w:numPr>
          <w:ilvl w:val="0"/>
          <w:numId w:val="89"/>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Recognizing that if a WIOA partner agency has verified eligibility documentation, then the same documentation does not need to be duplicated by another State agency for a common customer.</w:t>
      </w:r>
    </w:p>
    <w:p w14:paraId="1590A04D" w14:textId="77777777" w:rsidR="009523C7" w:rsidRPr="004A0C12" w:rsidRDefault="009523C7" w:rsidP="009523C7">
      <w:pPr>
        <w:pStyle w:val="NormalWeb2"/>
        <w:shd w:val="clear" w:color="auto" w:fill="FFFFFF"/>
        <w:spacing w:before="0" w:after="0"/>
        <w:ind w:left="720"/>
        <w:contextualSpacing/>
        <w:jc w:val="both"/>
        <w:rPr>
          <w:rFonts w:ascii="Garamond" w:hAnsi="Garamond"/>
          <w:sz w:val="22"/>
          <w:szCs w:val="22"/>
        </w:rPr>
      </w:pPr>
    </w:p>
    <w:p w14:paraId="68625E32" w14:textId="77777777" w:rsidR="009523C7"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In addition, the Governor’s Workforce Investment Board will establish a Data-Driven Technology Standing Committee to assist the Governor in aligning technology and data systems. The committee will report on high-level, cross-system indicators that are aligned with Maryland’s vision and connection to State data. The committee will analyze, develop, and advise on strategies that suppo</w:t>
      </w:r>
      <w:r w:rsidR="00440FE5" w:rsidRPr="004A0C12">
        <w:rPr>
          <w:rFonts w:ascii="Garamond" w:hAnsi="Garamond"/>
          <w:sz w:val="22"/>
          <w:szCs w:val="22"/>
        </w:rPr>
        <w:t xml:space="preserve">rt the State workforce system. </w:t>
      </w:r>
    </w:p>
    <w:p w14:paraId="3AF6E19E" w14:textId="77777777" w:rsidR="00241A11" w:rsidRPr="004A0C12" w:rsidRDefault="00241A11" w:rsidP="009523C7">
      <w:pPr>
        <w:pStyle w:val="NormalWeb2"/>
        <w:shd w:val="clear" w:color="auto" w:fill="FFFFFF"/>
        <w:spacing w:before="0" w:after="0"/>
        <w:contextualSpacing/>
        <w:jc w:val="both"/>
        <w:rPr>
          <w:rFonts w:ascii="Garamond" w:hAnsi="Garamond"/>
          <w:sz w:val="22"/>
          <w:szCs w:val="22"/>
        </w:rPr>
      </w:pPr>
    </w:p>
    <w:p w14:paraId="510A74E4" w14:textId="3D439E1C" w:rsidR="004D0138" w:rsidRDefault="004D0138" w:rsidP="009523C7">
      <w:pPr>
        <w:pStyle w:val="NormalWeb2"/>
        <w:shd w:val="clear" w:color="auto" w:fill="FFFFFF"/>
        <w:spacing w:before="0" w:after="0"/>
        <w:contextualSpacing/>
        <w:jc w:val="both"/>
        <w:rPr>
          <w:rFonts w:ascii="Garamond" w:hAnsi="Garamond" w:cs="Helvetica"/>
          <w:color w:val="622423"/>
          <w:sz w:val="22"/>
          <w:szCs w:val="22"/>
        </w:rPr>
      </w:pPr>
      <w:r w:rsidRPr="004A0C12">
        <w:rPr>
          <w:rFonts w:ascii="Garamond" w:hAnsi="Garamond" w:cs="Helvetica"/>
          <w:color w:val="622423"/>
          <w:sz w:val="22"/>
          <w:szCs w:val="22"/>
        </w:rPr>
        <w:t>ASSESSMENT OF PARTICIPANTS’ POST-PROGRAM SUCCESS</w:t>
      </w:r>
    </w:p>
    <w:p w14:paraId="27D3783D" w14:textId="77777777" w:rsidR="000C17E8" w:rsidRPr="004A0C12" w:rsidRDefault="000C17E8" w:rsidP="000C17E8">
      <w:pPr>
        <w:pStyle w:val="NormalWeb"/>
        <w:spacing w:before="0" w:beforeAutospacing="0" w:afterAutospacing="0"/>
        <w:rPr>
          <w:rFonts w:ascii="Garamond" w:hAnsi="Garamond"/>
          <w:sz w:val="22"/>
          <w:szCs w:val="22"/>
        </w:rPr>
      </w:pPr>
      <w:r w:rsidRPr="004A0C12">
        <w:rPr>
          <w:rFonts w:ascii="Garamond" w:hAnsi="Garamond"/>
          <w:color w:val="000000"/>
          <w:sz w:val="22"/>
          <w:szCs w:val="22"/>
        </w:rPr>
        <w:t>For the TANF Program, the primary indicator of performance, based on PRWORA requirements, is the Work Participation Rate. The Work Participation Rate is a measurement of families getting TANF cash assistance that include an adult “engaged in work”—that is, participating in a qualifying work- related activity for a sufficient number of hours per week.</w:t>
      </w:r>
    </w:p>
    <w:p w14:paraId="76B87900" w14:textId="77777777" w:rsidR="000C17E8" w:rsidRPr="004A0C12" w:rsidRDefault="000C17E8" w:rsidP="000C17E8">
      <w:pPr>
        <w:pStyle w:val="NormalWeb"/>
        <w:spacing w:before="0" w:beforeAutospacing="0" w:afterAutospacing="0"/>
        <w:rPr>
          <w:rFonts w:ascii="Garamond" w:hAnsi="Garamond"/>
          <w:sz w:val="22"/>
          <w:szCs w:val="22"/>
        </w:rPr>
      </w:pPr>
      <w:r w:rsidRPr="004A0C12">
        <w:rPr>
          <w:rFonts w:ascii="Garamond" w:hAnsi="Garamond"/>
          <w:color w:val="000000"/>
          <w:sz w:val="22"/>
          <w:szCs w:val="22"/>
        </w:rPr>
        <w:t>Maryland is fully committed to tracking these mandated outcomes, but recognizes that the WIOA system’s mark of success goes beyond these measures. Utilizing the technical assistance provided to Maryland through its participation in the U.S. Department of Health &amp; Human Services’ Systems to Family Stability National Policy Academy, the WIOA Partners have worked collaboratively to determine how best to measure success.</w:t>
      </w:r>
    </w:p>
    <w:p w14:paraId="19D623B7" w14:textId="77777777" w:rsidR="00042931" w:rsidRPr="004A0C12" w:rsidRDefault="000C17E8" w:rsidP="00042931">
      <w:pPr>
        <w:pStyle w:val="NormalWeb"/>
        <w:spacing w:before="0" w:beforeAutospacing="0" w:afterAutospacing="0"/>
        <w:rPr>
          <w:rFonts w:ascii="Garamond" w:hAnsi="Garamond"/>
          <w:sz w:val="22"/>
          <w:szCs w:val="22"/>
        </w:rPr>
      </w:pPr>
      <w:r w:rsidRPr="004A0C12">
        <w:rPr>
          <w:rFonts w:ascii="Garamond" w:hAnsi="Garamond"/>
          <w:color w:val="000000"/>
          <w:sz w:val="22"/>
          <w:szCs w:val="22"/>
        </w:rPr>
        <w:t>As Maryland seeks to strengthen and enhance its workforce system through implementation of the State Plan, success requires a commitment to innovation, collaboration, and a true systems approach among the State’s many workforce partners. In order to guide the WIOA Partners in this work, the Benchmarks of Success for Maryland’s Workforce System will set forth a clear vision,</w:t>
      </w:r>
      <w:r w:rsidRPr="004A0C12">
        <w:rPr>
          <w:rFonts w:ascii="Garamond" w:hAnsi="Garamond"/>
          <w:sz w:val="22"/>
          <w:szCs w:val="22"/>
        </w:rPr>
        <w:t xml:space="preserve"> </w:t>
      </w:r>
      <w:r w:rsidRPr="004A0C12">
        <w:rPr>
          <w:rFonts w:ascii="Garamond" w:hAnsi="Garamond"/>
          <w:color w:val="000000"/>
          <w:sz w:val="22"/>
          <w:szCs w:val="22"/>
        </w:rPr>
        <w:t>goals, and measureable achievements that help define success and lay the core foundation of this new system. In keeping with Maryland’s commitment to place “people before performance,” these goals and corresponding benchmarks will be focused around a central vision of increasing the earning capacity of Marylanders by maximizing access to employment, skills and credentialing, life management skills, and supportive services. These goals and benchmarks are not mere measures, but rather provide a way of thinking systematically about how we deliver services. They reflect</w:t>
      </w:r>
      <w:r w:rsidR="00042931" w:rsidRPr="004A0C12">
        <w:rPr>
          <w:rFonts w:ascii="Garamond" w:hAnsi="Garamond"/>
          <w:color w:val="000000"/>
          <w:sz w:val="22"/>
          <w:szCs w:val="22"/>
        </w:rPr>
        <w:t xml:space="preserve"> Maryland’s dedication to focusing its efforts on people who need the system’s assistance the most. The strategic goals and coinciding benchmarks, which are currently undergoing a collaborative vetting process, will intentionally set a high bar and are meant to be used as a leadership tool, guiding strategic conversations and defining a set of achievements for the workforce system to commit to and strive toward in our collective work to improve the lives of Marylanders.</w:t>
      </w:r>
    </w:p>
    <w:p w14:paraId="4724DE86" w14:textId="77777777" w:rsidR="00042931" w:rsidRPr="004A0C12" w:rsidRDefault="00042931" w:rsidP="00042931">
      <w:pPr>
        <w:pStyle w:val="NormalWeb"/>
        <w:spacing w:before="0" w:beforeAutospacing="0" w:afterAutospacing="0"/>
        <w:rPr>
          <w:rFonts w:ascii="Garamond" w:hAnsi="Garamond"/>
          <w:sz w:val="22"/>
          <w:szCs w:val="22"/>
        </w:rPr>
      </w:pPr>
      <w:r w:rsidRPr="004A0C12">
        <w:rPr>
          <w:rFonts w:ascii="Garamond" w:hAnsi="Garamond"/>
          <w:color w:val="000000"/>
          <w:sz w:val="22"/>
          <w:szCs w:val="22"/>
        </w:rPr>
        <w:t>To be clear, the intention of these benchmarks is not to be punitive; but rather, to be forward thinking about what success really means in Maryland. The benchmarks will allow the WIOA Partners to collectively measure success, as defined by Maryland, beyond what Congress requires. The WIOA Partners are committed to using these goals and benchmarks as leadership tools to propel Maryland forward in its work to put “people before performance.” Further, the WIOA Partners are committed to driving resources, services, and collaboration towards strategies that will effectively and efficiently push the system to make progress in reaching its goals. The WIOA Alignment Group will work with the WIOA Work Groups to find ways to effectively measure and strategize how best to meet these benchmarks across the system. Additionally, the WIOA Alignment Group will continually revisit these benchmarks to gauge progress and to determine whether additional measures should be tracked.</w:t>
      </w:r>
    </w:p>
    <w:p w14:paraId="20C49528" w14:textId="77777777" w:rsidR="009523C7" w:rsidRPr="00D02BCE" w:rsidRDefault="009523C7" w:rsidP="00AB5AEF">
      <w:pPr>
        <w:pStyle w:val="Heading2"/>
        <w:rPr>
          <w:rFonts w:ascii="Garamond" w:hAnsi="Garamond"/>
          <w:sz w:val="28"/>
          <w:szCs w:val="28"/>
        </w:rPr>
      </w:pPr>
      <w:bookmarkStart w:id="98" w:name="_Toc447276142"/>
      <w:r w:rsidRPr="00D02BCE">
        <w:rPr>
          <w:rFonts w:ascii="Garamond" w:hAnsi="Garamond"/>
          <w:sz w:val="28"/>
          <w:szCs w:val="28"/>
        </w:rPr>
        <w:t>INTEROPERABILITY OF MARYLAND’S WIOA MANAGEMENT INFORMATION SYSTEMS</w:t>
      </w:r>
      <w:bookmarkEnd w:id="98"/>
      <w:r w:rsidRPr="00D02BCE">
        <w:rPr>
          <w:rFonts w:ascii="Garamond" w:hAnsi="Garamond"/>
          <w:sz w:val="28"/>
          <w:szCs w:val="28"/>
        </w:rPr>
        <w:t xml:space="preserve"> </w:t>
      </w:r>
    </w:p>
    <w:p w14:paraId="309AF613" w14:textId="77777777" w:rsidR="009523C7" w:rsidRPr="00D02BCE" w:rsidRDefault="009523C7" w:rsidP="00AB5AEF">
      <w:pPr>
        <w:pStyle w:val="Heading3"/>
        <w:rPr>
          <w:rFonts w:ascii="Garamond" w:hAnsi="Garamond"/>
          <w:color w:val="1848A0"/>
          <w:sz w:val="24"/>
          <w:szCs w:val="24"/>
        </w:rPr>
      </w:pPr>
      <w:bookmarkStart w:id="99" w:name="_Toc447276143"/>
      <w:r w:rsidRPr="00D02BCE">
        <w:rPr>
          <w:rFonts w:ascii="Garamond" w:hAnsi="Garamond"/>
          <w:sz w:val="24"/>
          <w:szCs w:val="24"/>
        </w:rPr>
        <w:t>Performance Interoperability</w:t>
      </w:r>
      <w:bookmarkEnd w:id="99"/>
    </w:p>
    <w:p w14:paraId="43DF08E0" w14:textId="4F21F564" w:rsidR="009523C7" w:rsidRPr="004A0C12" w:rsidRDefault="007D1705" w:rsidP="009523C7">
      <w:pPr>
        <w:shd w:val="clear" w:color="auto" w:fill="FFFFFF"/>
        <w:spacing w:after="0" w:line="240" w:lineRule="auto"/>
        <w:contextualSpacing/>
        <w:jc w:val="both"/>
        <w:rPr>
          <w:rFonts w:ascii="Garamond" w:hAnsi="Garamond"/>
        </w:rPr>
      </w:pPr>
      <w:r w:rsidRPr="004A0C12">
        <w:rPr>
          <w:rFonts w:ascii="Garamond" w:hAnsi="Garamond"/>
        </w:rPr>
        <w:t>Once integrated, the WIOA P</w:t>
      </w:r>
      <w:r w:rsidR="009523C7" w:rsidRPr="004A0C12">
        <w:rPr>
          <w:rFonts w:ascii="Garamond" w:hAnsi="Garamond"/>
        </w:rPr>
        <w:t>artners will be able to effectively use the WIOA management system to assess the progress of participants exiting from core programs and completing post-sec</w:t>
      </w:r>
      <w:r w:rsidR="002352EE" w:rsidRPr="004A0C12">
        <w:rPr>
          <w:rFonts w:ascii="Garamond" w:hAnsi="Garamond"/>
        </w:rPr>
        <w:t>ondary education or entering in</w:t>
      </w:r>
      <w:r w:rsidR="009523C7" w:rsidRPr="004A0C12">
        <w:rPr>
          <w:rFonts w:ascii="Garamond" w:hAnsi="Garamond"/>
        </w:rPr>
        <w:t xml:space="preserve">to or retaining employment. The modernized WIOA management system will provide a common data infrastructure from which ad hoc and automatically generated reports may be produced. Once established, this system will provide the ability to flexibly analyze and visualize data </w:t>
      </w:r>
      <w:r w:rsidR="009523C7" w:rsidRPr="004A0C12">
        <w:rPr>
          <w:rFonts w:ascii="Garamond" w:hAnsi="Garamond"/>
        </w:rPr>
        <w:lastRenderedPageBreak/>
        <w:t xml:space="preserve">across the WIOA system, either in a consolidated fashion or using system specific data. Analysts will have the ability to quickly explore data through easily customized visualization tools. </w:t>
      </w:r>
      <w:r w:rsidR="002352EE" w:rsidRPr="004A0C12">
        <w:rPr>
          <w:rFonts w:ascii="Garamond" w:hAnsi="Garamond"/>
        </w:rPr>
        <w:t xml:space="preserve">This </w:t>
      </w:r>
      <w:r w:rsidR="009523C7" w:rsidRPr="004A0C12">
        <w:rPr>
          <w:rFonts w:ascii="Garamond" w:hAnsi="Garamond"/>
        </w:rPr>
        <w:t>allow</w:t>
      </w:r>
      <w:r w:rsidR="002352EE" w:rsidRPr="004A0C12">
        <w:rPr>
          <w:rFonts w:ascii="Garamond" w:hAnsi="Garamond"/>
        </w:rPr>
        <w:t>s</w:t>
      </w:r>
      <w:r w:rsidR="009523C7" w:rsidRPr="004A0C12">
        <w:rPr>
          <w:rFonts w:ascii="Garamond" w:hAnsi="Garamond"/>
        </w:rPr>
        <w:t xml:space="preserve"> for a drag and drop type interface, which would eliminate the need for hard coding when generating a new report or changing an existing report.</w:t>
      </w:r>
    </w:p>
    <w:p w14:paraId="5E644846" w14:textId="77777777" w:rsidR="009523C7" w:rsidRPr="004A0C12" w:rsidRDefault="009523C7" w:rsidP="009523C7">
      <w:pPr>
        <w:shd w:val="clear" w:color="auto" w:fill="FFFFFF"/>
        <w:spacing w:after="0" w:line="240" w:lineRule="auto"/>
        <w:contextualSpacing/>
        <w:jc w:val="both"/>
        <w:rPr>
          <w:rFonts w:ascii="Garamond" w:hAnsi="Garamond"/>
        </w:rPr>
      </w:pPr>
    </w:p>
    <w:p w14:paraId="48358989" w14:textId="1683C704" w:rsidR="009523C7" w:rsidRPr="004A0C12" w:rsidRDefault="009523C7" w:rsidP="009523C7">
      <w:pPr>
        <w:shd w:val="clear" w:color="auto" w:fill="FFFFFF"/>
        <w:spacing w:after="0" w:line="240" w:lineRule="auto"/>
        <w:contextualSpacing/>
        <w:jc w:val="both"/>
        <w:rPr>
          <w:rFonts w:ascii="Garamond" w:hAnsi="Garamond"/>
        </w:rPr>
      </w:pPr>
      <w:r w:rsidRPr="004A0C12">
        <w:rPr>
          <w:rFonts w:ascii="Garamond" w:hAnsi="Garamond"/>
        </w:rPr>
        <w:t xml:space="preserve">Until then, in order to collect the participant level data that will be aggregated and displayed in USDOL quarterly reports, Maryland will use a standardized individual record file for program participants, called the WIOA </w:t>
      </w:r>
      <w:r w:rsidR="002352EE" w:rsidRPr="004A0C12">
        <w:rPr>
          <w:rFonts w:ascii="Garamond" w:hAnsi="Garamond"/>
        </w:rPr>
        <w:t xml:space="preserve">Joint </w:t>
      </w:r>
      <w:r w:rsidRPr="004A0C12">
        <w:rPr>
          <w:rFonts w:ascii="Garamond" w:hAnsi="Garamond"/>
        </w:rPr>
        <w:t xml:space="preserve">Participant Individual Record Layout (PIRL). The PIRL provides a standardized set of data elements, definitions, and reporting instructions that will be used to describe the characteristics, activities, and outcomes of WIOA participants. Maryland will be able to meet USDOL requirements to collect participant information that corresponds with the data elements and descriptions delineated within the PIRL. Once collected, this information will then be aggregated according to the conditions outlined in the WIOA Data Element Specifications, which detail the common data elements and technical specifications necessary for calculation of reporting elements under all the USDOL programs listed in the paragraph below. </w:t>
      </w:r>
    </w:p>
    <w:p w14:paraId="48EA1A05" w14:textId="77777777" w:rsidR="009523C7" w:rsidRPr="004A0C12" w:rsidRDefault="009523C7" w:rsidP="009523C7">
      <w:pPr>
        <w:shd w:val="clear" w:color="auto" w:fill="FFFFFF"/>
        <w:spacing w:after="0" w:line="240" w:lineRule="auto"/>
        <w:contextualSpacing/>
        <w:jc w:val="both"/>
        <w:rPr>
          <w:rFonts w:ascii="Garamond" w:hAnsi="Garamond"/>
        </w:rPr>
      </w:pPr>
    </w:p>
    <w:p w14:paraId="57F51612" w14:textId="51FAEC3E" w:rsidR="009523C7" w:rsidRPr="004A0C12" w:rsidRDefault="009523C7" w:rsidP="009523C7">
      <w:pPr>
        <w:shd w:val="clear" w:color="auto" w:fill="FFFFFF"/>
        <w:spacing w:after="0" w:line="240" w:lineRule="auto"/>
        <w:contextualSpacing/>
        <w:jc w:val="both"/>
        <w:rPr>
          <w:rFonts w:ascii="Garamond" w:hAnsi="Garamond"/>
        </w:rPr>
      </w:pPr>
      <w:r w:rsidRPr="004A0C12">
        <w:rPr>
          <w:rFonts w:ascii="Garamond" w:hAnsi="Garamond"/>
        </w:rPr>
        <w:t>Once aggregated, Maryland will submit the outcomes of the PIRL data to USDOL</w:t>
      </w:r>
      <w:r w:rsidR="002352EE" w:rsidRPr="004A0C12">
        <w:rPr>
          <w:rFonts w:ascii="Garamond" w:hAnsi="Garamond"/>
        </w:rPr>
        <w:t>,</w:t>
      </w:r>
      <w:r w:rsidRPr="004A0C12">
        <w:rPr>
          <w:rFonts w:ascii="Garamond" w:hAnsi="Garamond"/>
        </w:rPr>
        <w:t xml:space="preserve"> </w:t>
      </w:r>
      <w:r w:rsidR="002352EE" w:rsidRPr="004A0C12">
        <w:rPr>
          <w:rFonts w:ascii="Garamond" w:hAnsi="Garamond"/>
        </w:rPr>
        <w:t>which will be displayed</w:t>
      </w:r>
      <w:r w:rsidRPr="004A0C12">
        <w:rPr>
          <w:rFonts w:ascii="Garamond" w:hAnsi="Garamond"/>
        </w:rPr>
        <w:t xml:space="preserve"> according to the frameworks within the USDOL Performance Scorecard and the WIOA Pay-for-Performance Scorecard.</w:t>
      </w:r>
      <w:r w:rsidR="00B61369" w:rsidRPr="004A0C12">
        <w:rPr>
          <w:rStyle w:val="FootnoteReference"/>
          <w:rFonts w:ascii="Garamond" w:hAnsi="Garamond"/>
        </w:rPr>
        <w:footnoteReference w:id="38"/>
      </w:r>
      <w:r w:rsidR="00B61369" w:rsidRPr="004A0C12">
        <w:rPr>
          <w:rFonts w:ascii="Garamond" w:hAnsi="Garamond"/>
        </w:rPr>
        <w:t xml:space="preserve"> </w:t>
      </w:r>
      <w:r w:rsidRPr="004A0C12">
        <w:rPr>
          <w:rFonts w:ascii="Garamond" w:hAnsi="Garamond"/>
        </w:rPr>
        <w:t>Each program mentioned in the supporting statement will generate a program specific report that mirrors the construct of the USDOL Performance Scorecard. The Job Openings Report collects data on individuals who receive core employment and workforce information services through th</w:t>
      </w:r>
      <w:r w:rsidR="00841B64" w:rsidRPr="004A0C12">
        <w:rPr>
          <w:rFonts w:ascii="Garamond" w:hAnsi="Garamond"/>
        </w:rPr>
        <w:t>e public labor exchange of the S</w:t>
      </w:r>
      <w:r w:rsidRPr="004A0C12">
        <w:rPr>
          <w:rFonts w:ascii="Garamond" w:hAnsi="Garamond"/>
        </w:rPr>
        <w:t>tate</w:t>
      </w:r>
      <w:r w:rsidR="00841B64" w:rsidRPr="004A0C12">
        <w:rPr>
          <w:rFonts w:ascii="Garamond" w:hAnsi="Garamond"/>
        </w:rPr>
        <w:t>’</w:t>
      </w:r>
      <w:r w:rsidRPr="004A0C12">
        <w:rPr>
          <w:rFonts w:ascii="Garamond" w:hAnsi="Garamond"/>
        </w:rPr>
        <w:t>s</w:t>
      </w:r>
      <w:r w:rsidR="00841B64" w:rsidRPr="004A0C12">
        <w:rPr>
          <w:rFonts w:ascii="Garamond" w:hAnsi="Garamond"/>
        </w:rPr>
        <w:t xml:space="preserve"> workforce </w:t>
      </w:r>
      <w:r w:rsidRPr="004A0C12">
        <w:rPr>
          <w:rFonts w:ascii="Garamond" w:hAnsi="Garamond"/>
        </w:rPr>
        <w:t xml:space="preserve">delivery system under the </w:t>
      </w:r>
      <w:r w:rsidR="00841B64" w:rsidRPr="004A0C12">
        <w:rPr>
          <w:rFonts w:ascii="Garamond" w:hAnsi="Garamond"/>
        </w:rPr>
        <w:t>Wagner-</w:t>
      </w:r>
      <w:r w:rsidRPr="004A0C12">
        <w:rPr>
          <w:rFonts w:ascii="Garamond" w:hAnsi="Garamond"/>
        </w:rPr>
        <w:t xml:space="preserve">Peyser Program. This </w:t>
      </w:r>
      <w:r w:rsidR="00841B64" w:rsidRPr="004A0C12">
        <w:rPr>
          <w:rFonts w:ascii="Garamond" w:hAnsi="Garamond"/>
        </w:rPr>
        <w:t>report is also included in the S</w:t>
      </w:r>
      <w:r w:rsidRPr="004A0C12">
        <w:rPr>
          <w:rFonts w:ascii="Garamond" w:hAnsi="Garamond"/>
        </w:rPr>
        <w:t>tate’s collection request. Additionally, to meet USDOL requirements, Maryland will certify and submit the USDOL Performance Scorecard to USDOL on a quarterly basis and will submit the Pay-for-Performance report(s) and Job Openings report quarterly</w:t>
      </w:r>
      <w:r w:rsidR="00930A14" w:rsidRPr="004A0C12">
        <w:rPr>
          <w:rFonts w:ascii="Garamond" w:hAnsi="Garamond"/>
        </w:rPr>
        <w:t>,</w:t>
      </w:r>
      <w:r w:rsidRPr="004A0C12">
        <w:rPr>
          <w:rFonts w:ascii="Garamond" w:hAnsi="Garamond"/>
        </w:rPr>
        <w:t xml:space="preserve"> when applicable.</w:t>
      </w:r>
    </w:p>
    <w:p w14:paraId="705C8BB9" w14:textId="77777777" w:rsidR="009523C7" w:rsidRPr="004A0C12" w:rsidRDefault="009523C7" w:rsidP="009523C7">
      <w:pPr>
        <w:shd w:val="clear" w:color="auto" w:fill="FFFFFF"/>
        <w:spacing w:after="0" w:line="240" w:lineRule="auto"/>
        <w:contextualSpacing/>
        <w:jc w:val="both"/>
        <w:rPr>
          <w:rFonts w:ascii="Garamond" w:hAnsi="Garamond"/>
        </w:rPr>
      </w:pPr>
    </w:p>
    <w:p w14:paraId="29693A95" w14:textId="77777777" w:rsidR="009523C7" w:rsidRPr="004A0C12" w:rsidRDefault="009523C7" w:rsidP="009523C7">
      <w:pPr>
        <w:shd w:val="clear" w:color="auto" w:fill="FFFFFF"/>
        <w:spacing w:after="0" w:line="240" w:lineRule="auto"/>
        <w:contextualSpacing/>
        <w:jc w:val="both"/>
        <w:rPr>
          <w:rFonts w:ascii="Garamond" w:hAnsi="Garamond"/>
        </w:rPr>
      </w:pPr>
      <w:r w:rsidRPr="004A0C12">
        <w:rPr>
          <w:rFonts w:ascii="Garamond" w:hAnsi="Garamond"/>
        </w:rPr>
        <w:t xml:space="preserve">The accuracy, reliability, and comparability of program reports submitted by Maryland using Federal funds are fundamental elements of good public administration, and are necessary tools for maintaining and demonstrating system integrity. The use of a standard set of data elements, definitions, and specifications at all levels of the workforce system helps improve the quality of the performance information that Maryland reports on its WIOA programs.  </w:t>
      </w:r>
    </w:p>
    <w:p w14:paraId="44F94211" w14:textId="77777777" w:rsidR="009523C7" w:rsidRPr="004A0C12" w:rsidRDefault="009523C7" w:rsidP="009523C7">
      <w:pPr>
        <w:shd w:val="clear" w:color="auto" w:fill="FFFFFF"/>
        <w:spacing w:after="0" w:line="240" w:lineRule="auto"/>
        <w:contextualSpacing/>
        <w:jc w:val="both"/>
        <w:rPr>
          <w:rFonts w:ascii="Garamond" w:hAnsi="Garamond"/>
        </w:rPr>
      </w:pPr>
    </w:p>
    <w:p w14:paraId="29685B25" w14:textId="48963493" w:rsidR="009523C7" w:rsidRPr="004A0C12" w:rsidRDefault="009523C7" w:rsidP="009523C7">
      <w:pPr>
        <w:shd w:val="clear" w:color="auto" w:fill="FFFFFF"/>
        <w:spacing w:after="0" w:line="240" w:lineRule="auto"/>
        <w:contextualSpacing/>
        <w:jc w:val="both"/>
        <w:rPr>
          <w:rFonts w:ascii="Garamond" w:hAnsi="Garamond"/>
        </w:rPr>
      </w:pPr>
      <w:r w:rsidRPr="004A0C12">
        <w:rPr>
          <w:rFonts w:ascii="Garamond" w:hAnsi="Garamond"/>
        </w:rPr>
        <w:t xml:space="preserve">The set of common performance </w:t>
      </w:r>
      <w:r w:rsidR="00310E67" w:rsidRPr="004A0C12">
        <w:rPr>
          <w:rFonts w:ascii="Garamond" w:hAnsi="Garamond"/>
        </w:rPr>
        <w:t xml:space="preserve">measures </w:t>
      </w:r>
      <w:r w:rsidRPr="004A0C12">
        <w:rPr>
          <w:rFonts w:ascii="Garamond" w:hAnsi="Garamond"/>
        </w:rPr>
        <w:t xml:space="preserve">represents the key results that Maryland strives to achieve for their customers, and </w:t>
      </w:r>
      <w:r w:rsidR="00310E67" w:rsidRPr="004A0C12">
        <w:rPr>
          <w:rFonts w:ascii="Garamond" w:hAnsi="Garamond"/>
        </w:rPr>
        <w:t>t</w:t>
      </w:r>
      <w:r w:rsidRPr="004A0C12">
        <w:rPr>
          <w:rFonts w:ascii="Garamond" w:hAnsi="Garamond"/>
        </w:rPr>
        <w:t>hat the WIOA federal oversight agencies</w:t>
      </w:r>
      <w:r w:rsidR="00310E67" w:rsidRPr="004A0C12">
        <w:rPr>
          <w:rFonts w:ascii="Garamond" w:hAnsi="Garamond"/>
        </w:rPr>
        <w:t>,</w:t>
      </w:r>
      <w:r w:rsidRPr="004A0C12">
        <w:rPr>
          <w:rFonts w:ascii="Garamond" w:hAnsi="Garamond"/>
        </w:rPr>
        <w:t xml:space="preserve"> like USDOL are interested in measuring. Using this set of common indicators affords ETA the ability to describe, in a similar manner, the core purposes of the workforce system – through the program services received, how many people</w:t>
      </w:r>
      <w:r w:rsidR="00310E67" w:rsidRPr="004A0C12">
        <w:rPr>
          <w:rFonts w:ascii="Garamond" w:hAnsi="Garamond"/>
        </w:rPr>
        <w:t xml:space="preserve"> obtained</w:t>
      </w:r>
      <w:r w:rsidRPr="004A0C12">
        <w:rPr>
          <w:rFonts w:ascii="Garamond" w:hAnsi="Garamond"/>
        </w:rPr>
        <w:t xml:space="preserve"> jobs; their earnings; and what skill gains they achieved. They are an integral part of Maryland’s WIOA performance accountability system, and through the Workforce Performance Accountability, Information, and Reporting System, Maryland will continue to collect and report data on program activities, participants, and outcomes that are necessary for progr</w:t>
      </w:r>
      <w:r w:rsidR="00310E67" w:rsidRPr="004A0C12">
        <w:rPr>
          <w:rFonts w:ascii="Garamond" w:hAnsi="Garamond"/>
        </w:rPr>
        <w:t>am management and to convey complete</w:t>
      </w:r>
      <w:r w:rsidRPr="004A0C12">
        <w:rPr>
          <w:rFonts w:ascii="Garamond" w:hAnsi="Garamond"/>
        </w:rPr>
        <w:t xml:space="preserve"> and accurate information on the performance of workforce programs to policymakers and stakeholders. </w:t>
      </w:r>
    </w:p>
    <w:p w14:paraId="237D7389" w14:textId="77777777" w:rsidR="009523C7" w:rsidRPr="004A0C12" w:rsidRDefault="009523C7" w:rsidP="009523C7">
      <w:pPr>
        <w:shd w:val="clear" w:color="auto" w:fill="FFFFFF"/>
        <w:spacing w:after="0" w:line="240" w:lineRule="auto"/>
        <w:contextualSpacing/>
        <w:jc w:val="both"/>
        <w:rPr>
          <w:rFonts w:ascii="Garamond" w:hAnsi="Garamond"/>
        </w:rPr>
      </w:pPr>
    </w:p>
    <w:p w14:paraId="1EC60120" w14:textId="466794C7" w:rsidR="009523C7" w:rsidRPr="004A0C12" w:rsidRDefault="009523C7" w:rsidP="009523C7">
      <w:pPr>
        <w:shd w:val="clear" w:color="auto" w:fill="FFFFFF"/>
        <w:spacing w:after="0" w:line="240" w:lineRule="auto"/>
        <w:contextualSpacing/>
        <w:jc w:val="both"/>
        <w:rPr>
          <w:rFonts w:ascii="Garamond" w:hAnsi="Garamond"/>
        </w:rPr>
      </w:pPr>
      <w:r w:rsidRPr="004A0C12">
        <w:rPr>
          <w:rFonts w:ascii="Garamond" w:hAnsi="Garamond"/>
        </w:rPr>
        <w:t xml:space="preserve">Section 116(d)(1) of WIOA mandates that the </w:t>
      </w:r>
      <w:r w:rsidR="00310E67" w:rsidRPr="004A0C12">
        <w:rPr>
          <w:rFonts w:ascii="Garamond" w:hAnsi="Garamond"/>
        </w:rPr>
        <w:t>United States</w:t>
      </w:r>
      <w:r w:rsidRPr="004A0C12">
        <w:rPr>
          <w:rFonts w:ascii="Garamond" w:hAnsi="Garamond"/>
        </w:rPr>
        <w:t xml:space="preserve"> Secretaries of Labor and Education develop a template for performance reports to be used by s</w:t>
      </w:r>
      <w:r w:rsidR="00BB5F3C" w:rsidRPr="004A0C12">
        <w:rPr>
          <w:rFonts w:ascii="Garamond" w:hAnsi="Garamond"/>
        </w:rPr>
        <w:t>tates, Local B</w:t>
      </w:r>
      <w:r w:rsidRPr="004A0C12">
        <w:rPr>
          <w:rFonts w:ascii="Garamond" w:hAnsi="Garamond"/>
        </w:rPr>
        <w:t>oards, and eligible providers of training services for reporting on outcomes achieved by participants in the WIOA core programs. Required annual data for the core programs include those related to primary performance indicators, participant counts and costs,</w:t>
      </w:r>
      <w:r w:rsidR="00310E67" w:rsidRPr="004A0C12">
        <w:rPr>
          <w:rFonts w:ascii="Garamond" w:hAnsi="Garamond"/>
        </w:rPr>
        <w:t xml:space="preserve"> and barriers to employment</w:t>
      </w:r>
      <w:r w:rsidRPr="004A0C12">
        <w:rPr>
          <w:rFonts w:ascii="Garamond" w:hAnsi="Garamond"/>
        </w:rPr>
        <w:t xml:space="preserve">. Once Maryland receives these templates from its federal agency partners, it will work to ensure data are collected and reported in a timely </w:t>
      </w:r>
      <w:r w:rsidR="007D1705" w:rsidRPr="004A0C12">
        <w:rPr>
          <w:rFonts w:ascii="Garamond" w:hAnsi="Garamond"/>
        </w:rPr>
        <w:t>and accurate manner.  The WIOA P</w:t>
      </w:r>
      <w:r w:rsidRPr="004A0C12">
        <w:rPr>
          <w:rFonts w:ascii="Garamond" w:hAnsi="Garamond"/>
        </w:rPr>
        <w:t xml:space="preserve">artners are dedicated to provide their staff with additional training regarding performance reporting to ensure proficiency.  </w:t>
      </w:r>
    </w:p>
    <w:p w14:paraId="2D25DE80" w14:textId="77777777" w:rsidR="009523C7" w:rsidRPr="004A0C12" w:rsidRDefault="009523C7" w:rsidP="009523C7">
      <w:pPr>
        <w:shd w:val="clear" w:color="auto" w:fill="FFFFFF"/>
        <w:spacing w:after="0" w:line="240" w:lineRule="auto"/>
        <w:contextualSpacing/>
        <w:jc w:val="both"/>
        <w:rPr>
          <w:rFonts w:ascii="Garamond" w:hAnsi="Garamond"/>
        </w:rPr>
      </w:pPr>
    </w:p>
    <w:p w14:paraId="20D59EFB" w14:textId="77777777" w:rsidR="009523C7" w:rsidRPr="004A0C12" w:rsidRDefault="009523C7" w:rsidP="009523C7">
      <w:pPr>
        <w:shd w:val="clear" w:color="auto" w:fill="FFFFFF"/>
        <w:spacing w:after="0" w:line="240" w:lineRule="auto"/>
        <w:contextualSpacing/>
        <w:jc w:val="both"/>
        <w:rPr>
          <w:rFonts w:ascii="Garamond" w:hAnsi="Garamond"/>
        </w:rPr>
      </w:pPr>
      <w:r w:rsidRPr="004A0C12">
        <w:rPr>
          <w:rFonts w:ascii="Garamond" w:hAnsi="Garamond"/>
        </w:rPr>
        <w:t>Sec. 506(b</w:t>
      </w:r>
      <w:proofErr w:type="gramStart"/>
      <w:r w:rsidRPr="004A0C12">
        <w:rPr>
          <w:rFonts w:ascii="Garamond" w:hAnsi="Garamond"/>
        </w:rPr>
        <w:t>)(</w:t>
      </w:r>
      <w:proofErr w:type="gramEnd"/>
      <w:r w:rsidRPr="004A0C12">
        <w:rPr>
          <w:rFonts w:ascii="Garamond" w:hAnsi="Garamond"/>
        </w:rPr>
        <w:t>1) of WIOA states that section 116 of WIOA will go into effect at the start of the second full program year after the date WIOA was enacted. WIOA was enacted on July 22, 2014. Therefore, Section 116’s performance accountability system is effective July 1, 2016. Approval of this information collection is required so that the states, grantees, and other entities can begin programming their management information systems in order to allow for collection of the necessary data to implement the data collection and reporting requirements of Section 116 in accordance with the WIOA statute.</w:t>
      </w:r>
    </w:p>
    <w:p w14:paraId="3E40CBCA" w14:textId="77777777" w:rsidR="009523C7" w:rsidRPr="004A0C12" w:rsidRDefault="009523C7" w:rsidP="009523C7">
      <w:pPr>
        <w:shd w:val="clear" w:color="auto" w:fill="FFFFFF"/>
        <w:spacing w:after="0" w:line="240" w:lineRule="auto"/>
        <w:contextualSpacing/>
        <w:jc w:val="both"/>
        <w:rPr>
          <w:rFonts w:ascii="Garamond" w:hAnsi="Garamond"/>
        </w:rPr>
      </w:pPr>
    </w:p>
    <w:p w14:paraId="56D6DE98"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 xml:space="preserve">DORS monitors performance on an ongoing basis. DORS </w:t>
      </w:r>
      <w:proofErr w:type="gramStart"/>
      <w:r w:rsidRPr="004A0C12">
        <w:rPr>
          <w:rFonts w:ascii="Garamond" w:hAnsi="Garamond"/>
          <w:sz w:val="22"/>
          <w:szCs w:val="22"/>
        </w:rPr>
        <w:t>staff have</w:t>
      </w:r>
      <w:proofErr w:type="gramEnd"/>
      <w:r w:rsidRPr="004A0C12">
        <w:rPr>
          <w:rFonts w:ascii="Garamond" w:hAnsi="Garamond"/>
          <w:sz w:val="22"/>
          <w:szCs w:val="22"/>
        </w:rPr>
        <w:t xml:space="preserve"> access to AWARE VR standardized performance reports on an ongoing basis through weekly, monthly, quarterly, and annual reports. Performance is monitored regularly to ensure progress toward the achievement of performance goals. Additionally, Alliance Enterprises has been working with Maryland DORS and other VR agencies to develop new data reporting elements in accordance with WIOA common performance measures. As Alliance Enterprises updates AWARE, DORS will ensure that staff are provided necessary training. Also, DORS staff will continue to work with its workforce partners toward implementing WI</w:t>
      </w:r>
      <w:r w:rsidR="009633C3" w:rsidRPr="004A0C12">
        <w:rPr>
          <w:rFonts w:ascii="Garamond" w:hAnsi="Garamond"/>
          <w:sz w:val="22"/>
          <w:szCs w:val="22"/>
        </w:rPr>
        <w:t>OA common performance measures.</w:t>
      </w:r>
    </w:p>
    <w:p w14:paraId="0C2661BC" w14:textId="77777777" w:rsidR="009523C7" w:rsidRPr="00D02BCE" w:rsidRDefault="009523C7" w:rsidP="00AB5AEF">
      <w:pPr>
        <w:pStyle w:val="Heading3"/>
        <w:rPr>
          <w:rFonts w:ascii="Garamond" w:hAnsi="Garamond"/>
          <w:sz w:val="24"/>
          <w:szCs w:val="24"/>
        </w:rPr>
      </w:pPr>
      <w:bookmarkStart w:id="100" w:name="_Toc447276144"/>
      <w:r w:rsidRPr="00D02BCE">
        <w:rPr>
          <w:rFonts w:ascii="Garamond" w:hAnsi="Garamond"/>
          <w:sz w:val="24"/>
          <w:szCs w:val="24"/>
        </w:rPr>
        <w:t>Use of Unemployment Insurance Data</w:t>
      </w:r>
      <w:bookmarkEnd w:id="100"/>
    </w:p>
    <w:p w14:paraId="37802E15" w14:textId="77777777" w:rsidR="009523C7" w:rsidRPr="004A0C12" w:rsidRDefault="009523C7" w:rsidP="009523C7">
      <w:pPr>
        <w:spacing w:after="0" w:line="240" w:lineRule="auto"/>
        <w:jc w:val="both"/>
        <w:rPr>
          <w:rFonts w:ascii="Garamond" w:hAnsi="Garamond"/>
          <w:shd w:val="clear" w:color="auto" w:fill="FFFFFF"/>
        </w:rPr>
      </w:pPr>
      <w:r w:rsidRPr="004A0C12">
        <w:rPr>
          <w:rFonts w:ascii="Garamond" w:hAnsi="Garamond"/>
          <w:shd w:val="clear" w:color="auto" w:fill="FFFFFF"/>
        </w:rPr>
        <w:t>Under WIOA, Unemployment Insurance wage records will continue to serve as the primary source for all employment related performance measures.</w:t>
      </w:r>
    </w:p>
    <w:p w14:paraId="4B74ABBA" w14:textId="77777777" w:rsidR="009523C7" w:rsidRPr="004A0C12" w:rsidRDefault="009523C7" w:rsidP="009523C7">
      <w:pPr>
        <w:spacing w:after="0" w:line="240" w:lineRule="auto"/>
        <w:jc w:val="both"/>
        <w:rPr>
          <w:rFonts w:ascii="Garamond" w:hAnsi="Garamond"/>
          <w:shd w:val="clear" w:color="auto" w:fill="FFFFFF"/>
        </w:rPr>
      </w:pPr>
    </w:p>
    <w:p w14:paraId="55ECDF14" w14:textId="5E7C18AA" w:rsidR="009523C7" w:rsidRPr="004A0C12" w:rsidRDefault="009523C7" w:rsidP="009523C7">
      <w:pPr>
        <w:spacing w:after="0" w:line="240" w:lineRule="auto"/>
        <w:jc w:val="both"/>
        <w:rPr>
          <w:rFonts w:ascii="Garamond" w:hAnsi="Garamond"/>
          <w:shd w:val="clear" w:color="auto" w:fill="FFFFFF"/>
        </w:rPr>
      </w:pPr>
      <w:r w:rsidRPr="004A0C12">
        <w:rPr>
          <w:rFonts w:ascii="Garamond" w:hAnsi="Garamond"/>
          <w:shd w:val="clear" w:color="auto" w:fill="FFFFFF"/>
        </w:rPr>
        <w:t xml:space="preserve">To </w:t>
      </w:r>
      <w:r w:rsidR="00310E67" w:rsidRPr="004A0C12">
        <w:rPr>
          <w:rFonts w:ascii="Garamond" w:hAnsi="Garamond"/>
          <w:shd w:val="clear" w:color="auto" w:fill="FFFFFF"/>
        </w:rPr>
        <w:t>guarantee</w:t>
      </w:r>
      <w:r w:rsidRPr="004A0C12">
        <w:rPr>
          <w:rFonts w:ascii="Garamond" w:hAnsi="Garamond"/>
          <w:shd w:val="clear" w:color="auto" w:fill="FFFFFF"/>
        </w:rPr>
        <w:t xml:space="preserve"> </w:t>
      </w:r>
      <w:r w:rsidR="00310E67" w:rsidRPr="004A0C12">
        <w:rPr>
          <w:rFonts w:ascii="Garamond" w:hAnsi="Garamond"/>
          <w:shd w:val="clear" w:color="auto" w:fill="FFFFFF"/>
        </w:rPr>
        <w:t xml:space="preserve">that </w:t>
      </w:r>
      <w:r w:rsidRPr="004A0C12">
        <w:rPr>
          <w:rFonts w:ascii="Garamond" w:hAnsi="Garamond"/>
          <w:shd w:val="clear" w:color="auto" w:fill="FFFFFF"/>
        </w:rPr>
        <w:t>Maryland is seeing a full and accurate picture of the impact its WIOA programs have on participants’ employment outcomes, the State plans to use supplemental wage record data to document participants’ entry and retention in employment when wage records are unavailable. Although a majority of employment situations will be covered by wage records, certain other types of employment, particularly self-employment, are either excluded from UI wage records, or remain difficult to gain access to due to restrictions related to confidentiality.</w:t>
      </w:r>
    </w:p>
    <w:p w14:paraId="7B36DA4E" w14:textId="77777777" w:rsidR="009523C7" w:rsidRPr="004A0C12" w:rsidRDefault="009523C7" w:rsidP="009523C7">
      <w:pPr>
        <w:spacing w:after="0" w:line="240" w:lineRule="auto"/>
        <w:jc w:val="both"/>
        <w:rPr>
          <w:rFonts w:ascii="Garamond" w:hAnsi="Garamond"/>
          <w:shd w:val="clear" w:color="auto" w:fill="FFFFFF"/>
        </w:rPr>
      </w:pPr>
    </w:p>
    <w:p w14:paraId="0261CC97" w14:textId="38D1B2D7" w:rsidR="009523C7" w:rsidRPr="004A0C12" w:rsidRDefault="007D1705" w:rsidP="009523C7">
      <w:pPr>
        <w:spacing w:after="0" w:line="240" w:lineRule="auto"/>
        <w:contextualSpacing/>
        <w:jc w:val="both"/>
        <w:rPr>
          <w:rFonts w:ascii="Garamond" w:hAnsi="Garamond"/>
          <w:shd w:val="clear" w:color="auto" w:fill="FFFFFF"/>
        </w:rPr>
      </w:pPr>
      <w:r w:rsidRPr="004A0C12">
        <w:rPr>
          <w:rFonts w:ascii="Garamond" w:hAnsi="Garamond"/>
          <w:shd w:val="clear" w:color="auto" w:fill="FFFFFF"/>
        </w:rPr>
        <w:t>WIOA P</w:t>
      </w:r>
      <w:r w:rsidR="009523C7" w:rsidRPr="004A0C12">
        <w:rPr>
          <w:rFonts w:ascii="Garamond" w:hAnsi="Garamond"/>
          <w:shd w:val="clear" w:color="auto" w:fill="FFFFFF"/>
        </w:rPr>
        <w:t xml:space="preserve">artners take the responsibilities of privacy and confidentiality very </w:t>
      </w:r>
      <w:r w:rsidRPr="004A0C12">
        <w:rPr>
          <w:rFonts w:ascii="Garamond" w:hAnsi="Garamond"/>
          <w:shd w:val="clear" w:color="auto" w:fill="FFFFFF"/>
        </w:rPr>
        <w:t>seriously. Therefore, the WIOA P</w:t>
      </w:r>
      <w:r w:rsidR="009523C7" w:rsidRPr="004A0C12">
        <w:rPr>
          <w:rFonts w:ascii="Garamond" w:hAnsi="Garamond"/>
          <w:shd w:val="clear" w:color="auto" w:fill="FFFFFF"/>
        </w:rPr>
        <w:t xml:space="preserve">artners are dedicated to ensuring that staff who access and review Unemployment Insurance wage records sign appropriate confidentiality and ethical disclosures every six (6) months.  </w:t>
      </w:r>
    </w:p>
    <w:p w14:paraId="7CF25FD8" w14:textId="77777777" w:rsidR="009523C7" w:rsidRPr="00D02BCE" w:rsidRDefault="009523C7" w:rsidP="00AB5AEF">
      <w:pPr>
        <w:pStyle w:val="Heading3"/>
        <w:rPr>
          <w:rFonts w:ascii="Garamond" w:hAnsi="Garamond"/>
          <w:sz w:val="24"/>
          <w:szCs w:val="24"/>
        </w:rPr>
      </w:pPr>
      <w:bookmarkStart w:id="101" w:name="_Toc447276145"/>
      <w:r w:rsidRPr="00D02BCE">
        <w:rPr>
          <w:rFonts w:ascii="Garamond" w:hAnsi="Garamond"/>
          <w:sz w:val="24"/>
          <w:szCs w:val="24"/>
        </w:rPr>
        <w:t>Fiscal Management &amp; Accountability System</w:t>
      </w:r>
      <w:bookmarkEnd w:id="101"/>
      <w:r w:rsidRPr="00D02BCE">
        <w:rPr>
          <w:rFonts w:ascii="Garamond" w:hAnsi="Garamond"/>
          <w:sz w:val="24"/>
          <w:szCs w:val="24"/>
        </w:rPr>
        <w:t xml:space="preserve"> </w:t>
      </w:r>
    </w:p>
    <w:p w14:paraId="7953DB00"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 xml:space="preserve">All of Maryland’s WIOA programs use the Financial Management Information System (FMIS) for fiscal and management accountability information. FMIS is an integrated database system with purchasing and accounting components. FMIS runs on the Comptroller of Maryland’s Annapolis Data Center’s computers, and supports individual agency and statewide purchasing and accounting operations. </w:t>
      </w:r>
    </w:p>
    <w:p w14:paraId="210597BF"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p>
    <w:p w14:paraId="6E9B40E4" w14:textId="191D30F0"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FMIS supports purchasing functions through the Advanced Purchasing and Inventory Control System (ADPICS) component, and supports the accounting operations through the Relational Standard Accounting and Reporting System (R*STARS) component. The integration of procurement and accounting processing within FMIS results in two primary agencies, the Department of Information Technology (DoIT) and the Comptroller of Maryland, having responsibility for separate aspects of FMIS. Specifically, DoIT is responsible for daily FMIS administration, including maintenance</w:t>
      </w:r>
      <w:r w:rsidR="00310E67" w:rsidRPr="004A0C12">
        <w:rPr>
          <w:rFonts w:ascii="Garamond" w:hAnsi="Garamond"/>
          <w:sz w:val="22"/>
          <w:szCs w:val="22"/>
        </w:rPr>
        <w:t>, operation, security, and back</w:t>
      </w:r>
      <w:r w:rsidRPr="004A0C12">
        <w:rPr>
          <w:rFonts w:ascii="Garamond" w:hAnsi="Garamond"/>
          <w:sz w:val="22"/>
          <w:szCs w:val="22"/>
        </w:rPr>
        <w:t>up of related database records and the computer programs that perform online and overnight processing. The Comptroller of Maryland’s General Accounting Division (GAD) is primarily responsible for R*STARS opera</w:t>
      </w:r>
      <w:r w:rsidR="00A40253" w:rsidRPr="004A0C12">
        <w:rPr>
          <w:rFonts w:ascii="Garamond" w:hAnsi="Garamond"/>
          <w:sz w:val="22"/>
          <w:szCs w:val="22"/>
        </w:rPr>
        <w:t>tions, security, and reporting.</w:t>
      </w:r>
    </w:p>
    <w:p w14:paraId="5515681B" w14:textId="77777777" w:rsidR="009523C7" w:rsidRPr="00D02BCE" w:rsidRDefault="009523C7" w:rsidP="00AB5AEF">
      <w:pPr>
        <w:pStyle w:val="Heading3"/>
        <w:rPr>
          <w:rFonts w:ascii="Garamond" w:hAnsi="Garamond"/>
          <w:sz w:val="24"/>
          <w:szCs w:val="24"/>
        </w:rPr>
      </w:pPr>
      <w:bookmarkStart w:id="102" w:name="_Toc447276146"/>
      <w:r w:rsidRPr="00D02BCE">
        <w:rPr>
          <w:rFonts w:ascii="Garamond" w:hAnsi="Garamond"/>
          <w:sz w:val="24"/>
          <w:szCs w:val="24"/>
        </w:rPr>
        <w:t>PRIVACY SAFEGUARDS</w:t>
      </w:r>
      <w:bookmarkEnd w:id="102"/>
      <w:r w:rsidRPr="00D02BCE">
        <w:rPr>
          <w:rFonts w:ascii="Garamond" w:hAnsi="Garamond"/>
          <w:sz w:val="24"/>
          <w:szCs w:val="24"/>
        </w:rPr>
        <w:t xml:space="preserve"> </w:t>
      </w:r>
    </w:p>
    <w:p w14:paraId="3147C89F" w14:textId="1909C4C4"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r w:rsidRPr="004A0C12">
        <w:rPr>
          <w:rFonts w:ascii="Garamond" w:hAnsi="Garamond"/>
          <w:color w:val="191919"/>
          <w:sz w:val="22"/>
          <w:szCs w:val="22"/>
        </w:rPr>
        <w:t xml:space="preserve">To protect Personally Identifiable Information (PII), Maryland adheres to USDOL guidance provided in Training and Employment Guidance Letter 39-11, </w:t>
      </w:r>
      <w:r w:rsidRPr="004A0C12">
        <w:rPr>
          <w:rFonts w:ascii="Garamond" w:hAnsi="Garamond"/>
          <w:i/>
          <w:color w:val="191919"/>
          <w:sz w:val="22"/>
          <w:szCs w:val="22"/>
        </w:rPr>
        <w:t>“Guidance on the Handling and Protection of PII.”</w:t>
      </w:r>
      <w:r w:rsidRPr="004A0C12">
        <w:rPr>
          <w:rFonts w:ascii="Garamond" w:hAnsi="Garamond"/>
          <w:color w:val="191919"/>
          <w:sz w:val="22"/>
          <w:szCs w:val="22"/>
        </w:rPr>
        <w:t xml:space="preserve"> Whenever possible, Maryland will continue to use unique identifiers for participant tracking instead of Social Security Numbers (SSNs). While SSNs may initially be required fo</w:t>
      </w:r>
      <w:r w:rsidR="00310E67" w:rsidRPr="004A0C12">
        <w:rPr>
          <w:rFonts w:ascii="Garamond" w:hAnsi="Garamond"/>
          <w:color w:val="191919"/>
          <w:sz w:val="22"/>
          <w:szCs w:val="22"/>
        </w:rPr>
        <w:t xml:space="preserve">r performance tracking purposes, </w:t>
      </w:r>
      <w:r w:rsidRPr="004A0C12">
        <w:rPr>
          <w:rFonts w:ascii="Garamond" w:hAnsi="Garamond"/>
          <w:color w:val="191919"/>
          <w:sz w:val="22"/>
          <w:szCs w:val="22"/>
        </w:rPr>
        <w:t>staff may use a unique identifier to link each individual record back to the SSN. Once the SSN is entered for performance tracking, the unique identifier may be used in place of the SSN for tracking purposes.</w:t>
      </w:r>
    </w:p>
    <w:p w14:paraId="29E85C6C" w14:textId="77777777"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p>
    <w:p w14:paraId="522E5AD9" w14:textId="77777777"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r w:rsidRPr="004A0C12">
        <w:rPr>
          <w:rFonts w:ascii="Garamond" w:hAnsi="Garamond"/>
          <w:color w:val="191919"/>
          <w:sz w:val="22"/>
          <w:szCs w:val="22"/>
        </w:rPr>
        <w:t>When SSNs are used for tracking purposes, Maryland requires its WIOA programs to store or display SSNs in a way that is not attributable to any particular individual. For Maryland’s WIOA programs using the MWE, the State subsequently uses alternative identifiers, such as State IDs, after SSNs have initially been supplied. When SSNs are used, this information is truncated and encrypted within the MWE. Only WIOA staff with selective privileges can access SSNs.</w:t>
      </w:r>
    </w:p>
    <w:p w14:paraId="576018D6" w14:textId="77777777"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p>
    <w:p w14:paraId="1CA5BA10" w14:textId="711C6218"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To secure the System Internet communications</w:t>
      </w:r>
      <w:r w:rsidRPr="004A0C12">
        <w:rPr>
          <w:rStyle w:val="apple-converted-space"/>
          <w:rFonts w:ascii="Garamond" w:hAnsi="Garamond"/>
          <w:sz w:val="22"/>
          <w:szCs w:val="22"/>
        </w:rPr>
        <w:t> </w:t>
      </w:r>
      <w:r w:rsidRPr="004A0C12">
        <w:rPr>
          <w:rFonts w:ascii="Garamond" w:hAnsi="Garamond"/>
          <w:sz w:val="22"/>
          <w:szCs w:val="22"/>
        </w:rPr>
        <w:t>within the MWE, a Secure Sockets Layer (SSL) is used to encrypt a sess</w:t>
      </w:r>
      <w:r w:rsidR="00310E67" w:rsidRPr="004A0C12">
        <w:rPr>
          <w:rFonts w:ascii="Garamond" w:hAnsi="Garamond"/>
          <w:sz w:val="22"/>
          <w:szCs w:val="22"/>
        </w:rPr>
        <w:t>ion between the server and the w</w:t>
      </w:r>
      <w:r w:rsidRPr="004A0C12">
        <w:rPr>
          <w:rFonts w:ascii="Garamond" w:hAnsi="Garamond"/>
          <w:sz w:val="22"/>
          <w:szCs w:val="22"/>
        </w:rPr>
        <w:t xml:space="preserve">eb user. SSL is a program layer for managing the security of message transmissions in a network. The programming for maintaining data confidentiality is contained in a program layer between an application such as the System and the Internet's Transmission Control Protocol / Internet Protocol (TCP/IP) layers. The “sockets” part of the term </w:t>
      </w:r>
      <w:r w:rsidRPr="004A0C12">
        <w:rPr>
          <w:rFonts w:ascii="Garamond" w:hAnsi="Garamond"/>
          <w:sz w:val="22"/>
          <w:szCs w:val="22"/>
        </w:rPr>
        <w:lastRenderedPageBreak/>
        <w:t>refers to the socket method of passing data back and forth between a client and a server program in a network or between program layers in the same computer. SSL uses the public-and-private key encryption system from RSA. </w:t>
      </w:r>
    </w:p>
    <w:p w14:paraId="1CDFB601" w14:textId="77777777"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p>
    <w:p w14:paraId="4D561510" w14:textId="2584E70F"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 xml:space="preserve">A digital certificate is an electronic "credit card" that establishes credentials when carrying out transactions on the </w:t>
      </w:r>
      <w:r w:rsidR="00310E67" w:rsidRPr="004A0C12">
        <w:rPr>
          <w:rFonts w:ascii="Garamond" w:hAnsi="Garamond"/>
          <w:sz w:val="22"/>
          <w:szCs w:val="22"/>
        </w:rPr>
        <w:t>w</w:t>
      </w:r>
      <w:r w:rsidRPr="004A0C12">
        <w:rPr>
          <w:rFonts w:ascii="Garamond" w:hAnsi="Garamond"/>
          <w:sz w:val="22"/>
          <w:szCs w:val="22"/>
        </w:rPr>
        <w:t>eb, and is issued by a certification authority. It contains a copy of the certificate holder's public key, which is used for encrypting and decrypting messages and digital signatures, and the digital signature of the certificate-issuing authority. This is used</w:t>
      </w:r>
      <w:r w:rsidRPr="004A0C12">
        <w:rPr>
          <w:rStyle w:val="apple-converted-space"/>
          <w:rFonts w:ascii="Garamond" w:hAnsi="Garamond"/>
          <w:sz w:val="22"/>
          <w:szCs w:val="22"/>
        </w:rPr>
        <w:t> </w:t>
      </w:r>
      <w:r w:rsidRPr="004A0C12">
        <w:rPr>
          <w:rFonts w:ascii="Garamond" w:hAnsi="Garamond"/>
          <w:sz w:val="22"/>
          <w:szCs w:val="22"/>
        </w:rPr>
        <w:t>so that a recipient can verify the certificate is real. The following data will always be encrypted when it is accessed by the</w:t>
      </w:r>
      <w:r w:rsidRPr="004A0C12">
        <w:rPr>
          <w:rStyle w:val="apple-converted-space"/>
          <w:rFonts w:ascii="Garamond" w:hAnsi="Garamond"/>
          <w:sz w:val="22"/>
          <w:szCs w:val="22"/>
        </w:rPr>
        <w:t> </w:t>
      </w:r>
      <w:r w:rsidRPr="004A0C12">
        <w:rPr>
          <w:rFonts w:ascii="Garamond" w:hAnsi="Garamond"/>
          <w:sz w:val="22"/>
          <w:szCs w:val="22"/>
        </w:rPr>
        <w:t>MWE</w:t>
      </w:r>
      <w:r w:rsidRPr="004A0C12">
        <w:rPr>
          <w:rStyle w:val="apple-converted-space"/>
          <w:rFonts w:ascii="Garamond" w:hAnsi="Garamond"/>
          <w:sz w:val="22"/>
          <w:szCs w:val="22"/>
        </w:rPr>
        <w:t> </w:t>
      </w:r>
      <w:r w:rsidRPr="004A0C12">
        <w:rPr>
          <w:rFonts w:ascii="Garamond" w:hAnsi="Garamond"/>
          <w:sz w:val="22"/>
          <w:szCs w:val="22"/>
        </w:rPr>
        <w:t>System:</w:t>
      </w:r>
    </w:p>
    <w:p w14:paraId="7A72D256" w14:textId="77777777" w:rsidR="009523C7" w:rsidRPr="004A0C12" w:rsidRDefault="009523C7" w:rsidP="009523C7">
      <w:pPr>
        <w:pStyle w:val="NormalWeb2"/>
        <w:shd w:val="clear" w:color="auto" w:fill="FFFFFF"/>
        <w:spacing w:before="0" w:after="0"/>
        <w:contextualSpacing/>
        <w:jc w:val="both"/>
        <w:rPr>
          <w:rFonts w:ascii="Garamond" w:hAnsi="Garamond"/>
          <w:sz w:val="22"/>
          <w:szCs w:val="22"/>
        </w:rPr>
      </w:pPr>
    </w:p>
    <w:p w14:paraId="21FC310B" w14:textId="46FA6A09" w:rsidR="009523C7" w:rsidRPr="004A0C12" w:rsidRDefault="00310E67" w:rsidP="00F733CF">
      <w:pPr>
        <w:pStyle w:val="NormalWeb2"/>
        <w:numPr>
          <w:ilvl w:val="0"/>
          <w:numId w:val="90"/>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Social Security Number</w:t>
      </w:r>
    </w:p>
    <w:p w14:paraId="62F239F4" w14:textId="3B34EA26" w:rsidR="009523C7" w:rsidRPr="004A0C12" w:rsidRDefault="009523C7" w:rsidP="00F733CF">
      <w:pPr>
        <w:pStyle w:val="NormalWeb2"/>
        <w:numPr>
          <w:ilvl w:val="0"/>
          <w:numId w:val="90"/>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Federal Employer Identifie</w:t>
      </w:r>
      <w:r w:rsidR="00310E67" w:rsidRPr="004A0C12">
        <w:rPr>
          <w:rFonts w:ascii="Garamond" w:hAnsi="Garamond"/>
          <w:sz w:val="22"/>
          <w:szCs w:val="22"/>
        </w:rPr>
        <w:t>r Number</w:t>
      </w:r>
    </w:p>
    <w:p w14:paraId="01A62002" w14:textId="5153CCD5" w:rsidR="009523C7" w:rsidRPr="004A0C12" w:rsidRDefault="00310E67" w:rsidP="00F733CF">
      <w:pPr>
        <w:pStyle w:val="NormalWeb2"/>
        <w:numPr>
          <w:ilvl w:val="0"/>
          <w:numId w:val="90"/>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Wage Records</w:t>
      </w:r>
    </w:p>
    <w:p w14:paraId="5D26A273" w14:textId="181C849E" w:rsidR="009523C7" w:rsidRPr="004A0C12" w:rsidRDefault="009523C7" w:rsidP="00F733CF">
      <w:pPr>
        <w:pStyle w:val="NormalWeb2"/>
        <w:numPr>
          <w:ilvl w:val="0"/>
          <w:numId w:val="90"/>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Information relating to benefits and p</w:t>
      </w:r>
      <w:r w:rsidR="00310E67" w:rsidRPr="004A0C12">
        <w:rPr>
          <w:rFonts w:ascii="Garamond" w:hAnsi="Garamond"/>
          <w:sz w:val="22"/>
          <w:szCs w:val="22"/>
        </w:rPr>
        <w:t>ublic assistance received</w:t>
      </w:r>
    </w:p>
    <w:p w14:paraId="2E32F8AF" w14:textId="5551C8FC" w:rsidR="009523C7" w:rsidRPr="004A0C12" w:rsidRDefault="00310E67" w:rsidP="00F733CF">
      <w:pPr>
        <w:pStyle w:val="NormalWeb2"/>
        <w:numPr>
          <w:ilvl w:val="0"/>
          <w:numId w:val="90"/>
        </w:numPr>
        <w:shd w:val="clear" w:color="auto" w:fill="FFFFFF"/>
        <w:tabs>
          <w:tab w:val="clear" w:pos="360"/>
          <w:tab w:val="num" w:pos="720"/>
        </w:tabs>
        <w:spacing w:before="0" w:after="0"/>
        <w:ind w:left="720" w:hanging="360"/>
        <w:contextualSpacing/>
        <w:jc w:val="both"/>
        <w:rPr>
          <w:rFonts w:ascii="Garamond" w:hAnsi="Garamond"/>
          <w:sz w:val="22"/>
          <w:szCs w:val="22"/>
        </w:rPr>
      </w:pPr>
      <w:r w:rsidRPr="004A0C12">
        <w:rPr>
          <w:rFonts w:ascii="Garamond" w:hAnsi="Garamond"/>
          <w:sz w:val="22"/>
          <w:szCs w:val="22"/>
        </w:rPr>
        <w:t>User ID and Password</w:t>
      </w:r>
    </w:p>
    <w:p w14:paraId="747B2DE2" w14:textId="77777777" w:rsidR="009523C7" w:rsidRPr="004A0C12" w:rsidRDefault="009523C7" w:rsidP="009523C7">
      <w:pPr>
        <w:pStyle w:val="NormalWeb2"/>
        <w:shd w:val="clear" w:color="auto" w:fill="FFFFFF"/>
        <w:spacing w:before="0" w:after="0"/>
        <w:ind w:left="720"/>
        <w:contextualSpacing/>
        <w:jc w:val="both"/>
        <w:rPr>
          <w:rFonts w:ascii="Garamond" w:hAnsi="Garamond"/>
          <w:sz w:val="22"/>
          <w:szCs w:val="22"/>
        </w:rPr>
      </w:pPr>
    </w:p>
    <w:p w14:paraId="349C2EEA" w14:textId="0816E90F" w:rsidR="009523C7" w:rsidRPr="004A0C12" w:rsidRDefault="009523C7" w:rsidP="009523C7">
      <w:pPr>
        <w:pStyle w:val="NormalWeb2"/>
        <w:shd w:val="clear" w:color="auto" w:fill="FFFFFF"/>
        <w:spacing w:before="0" w:after="0"/>
        <w:contextualSpacing/>
        <w:jc w:val="both"/>
        <w:rPr>
          <w:rFonts w:ascii="Garamond" w:hAnsi="Garamond"/>
          <w:sz w:val="22"/>
          <w:szCs w:val="22"/>
        </w:rPr>
      </w:pPr>
      <w:r w:rsidRPr="004A0C12">
        <w:rPr>
          <w:rFonts w:ascii="Garamond" w:hAnsi="Garamond"/>
          <w:sz w:val="22"/>
          <w:szCs w:val="22"/>
        </w:rPr>
        <w:t>The</w:t>
      </w:r>
      <w:r w:rsidRPr="004A0C12">
        <w:rPr>
          <w:rStyle w:val="apple-converted-space"/>
          <w:rFonts w:ascii="Garamond" w:hAnsi="Garamond"/>
          <w:sz w:val="22"/>
          <w:szCs w:val="22"/>
        </w:rPr>
        <w:t> </w:t>
      </w:r>
      <w:r w:rsidRPr="004A0C12">
        <w:rPr>
          <w:rFonts w:ascii="Garamond" w:hAnsi="Garamond"/>
          <w:sz w:val="22"/>
          <w:szCs w:val="22"/>
        </w:rPr>
        <w:t>MWE</w:t>
      </w:r>
      <w:r w:rsidRPr="004A0C12">
        <w:rPr>
          <w:rStyle w:val="apple-converted-space"/>
          <w:rFonts w:ascii="Garamond" w:hAnsi="Garamond"/>
          <w:sz w:val="22"/>
          <w:szCs w:val="22"/>
        </w:rPr>
        <w:t> </w:t>
      </w:r>
      <w:r w:rsidR="00310E67" w:rsidRPr="004A0C12">
        <w:rPr>
          <w:rFonts w:ascii="Garamond" w:hAnsi="Garamond"/>
          <w:sz w:val="22"/>
          <w:szCs w:val="22"/>
        </w:rPr>
        <w:t>s</w:t>
      </w:r>
      <w:r w:rsidRPr="004A0C12">
        <w:rPr>
          <w:rFonts w:ascii="Garamond" w:hAnsi="Garamond"/>
          <w:sz w:val="22"/>
          <w:szCs w:val="22"/>
        </w:rPr>
        <w:t xml:space="preserve">ystem includes a set of permissions that determine the resources in the system that a specific user can access and/or modify.  For example, some staff will be able to </w:t>
      </w:r>
      <w:r w:rsidR="00310E67" w:rsidRPr="004A0C12">
        <w:rPr>
          <w:rFonts w:ascii="Garamond" w:hAnsi="Garamond"/>
          <w:sz w:val="22"/>
          <w:szCs w:val="22"/>
        </w:rPr>
        <w:t xml:space="preserve">only </w:t>
      </w:r>
      <w:r w:rsidRPr="004A0C12">
        <w:rPr>
          <w:rFonts w:ascii="Garamond" w:hAnsi="Garamond"/>
          <w:sz w:val="22"/>
          <w:szCs w:val="22"/>
        </w:rPr>
        <w:t>view certain data while others will be able to view and modify this data. When</w:t>
      </w:r>
      <w:r w:rsidRPr="004A0C12">
        <w:rPr>
          <w:rStyle w:val="apple-converted-space"/>
          <w:rFonts w:ascii="Garamond" w:hAnsi="Garamond"/>
          <w:sz w:val="22"/>
          <w:szCs w:val="22"/>
        </w:rPr>
        <w:t> </w:t>
      </w:r>
      <w:r w:rsidRPr="004A0C12">
        <w:rPr>
          <w:rFonts w:ascii="Garamond" w:hAnsi="Garamond"/>
          <w:sz w:val="22"/>
          <w:szCs w:val="22"/>
        </w:rPr>
        <w:t>MWE’s creator,</w:t>
      </w:r>
      <w:r w:rsidRPr="004A0C12">
        <w:rPr>
          <w:rStyle w:val="apple-converted-space"/>
          <w:rFonts w:ascii="Garamond" w:hAnsi="Garamond"/>
          <w:sz w:val="22"/>
          <w:szCs w:val="22"/>
        </w:rPr>
        <w:t> </w:t>
      </w:r>
      <w:r w:rsidRPr="004A0C12">
        <w:rPr>
          <w:rFonts w:ascii="Garamond" w:hAnsi="Garamond"/>
          <w:sz w:val="22"/>
          <w:szCs w:val="22"/>
        </w:rPr>
        <w:t>Geographic Solutions,</w:t>
      </w:r>
      <w:r w:rsidRPr="004A0C12">
        <w:rPr>
          <w:rStyle w:val="apple-converted-space"/>
          <w:rFonts w:ascii="Garamond" w:hAnsi="Garamond"/>
          <w:sz w:val="22"/>
          <w:szCs w:val="22"/>
        </w:rPr>
        <w:t> </w:t>
      </w:r>
      <w:r w:rsidRPr="004A0C12">
        <w:rPr>
          <w:rFonts w:ascii="Garamond" w:hAnsi="Garamond"/>
          <w:sz w:val="22"/>
          <w:szCs w:val="22"/>
        </w:rPr>
        <w:t>hosts the System, the data is secured behind our advanced firewall.</w:t>
      </w:r>
    </w:p>
    <w:p w14:paraId="66C08B91" w14:textId="77777777"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p>
    <w:p w14:paraId="03B71B3D" w14:textId="71F791DA"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r w:rsidRPr="004A0C12">
        <w:rPr>
          <w:rFonts w:ascii="Garamond" w:hAnsi="Garamond"/>
          <w:color w:val="191919"/>
          <w:sz w:val="22"/>
          <w:szCs w:val="22"/>
        </w:rPr>
        <w:t>In addition, DLLR’s current policy on PII recommends that SSNs are obtained for performance and reporting purposes, but it also states that SSNs are not required for services to be provided. Because SSNs are important for tracking outcomes, staff should seek SSNs</w:t>
      </w:r>
      <w:r w:rsidR="00310E67" w:rsidRPr="004A0C12">
        <w:rPr>
          <w:rFonts w:ascii="Garamond" w:hAnsi="Garamond"/>
          <w:color w:val="191919"/>
          <w:sz w:val="22"/>
          <w:szCs w:val="22"/>
        </w:rPr>
        <w:t>,</w:t>
      </w:r>
      <w:r w:rsidRPr="004A0C12">
        <w:rPr>
          <w:rFonts w:ascii="Garamond" w:hAnsi="Garamond"/>
          <w:color w:val="191919"/>
          <w:sz w:val="22"/>
          <w:szCs w:val="22"/>
        </w:rPr>
        <w:t xml:space="preserve"> and in doing so</w:t>
      </w:r>
      <w:r w:rsidR="00310E67" w:rsidRPr="004A0C12">
        <w:rPr>
          <w:rFonts w:ascii="Garamond" w:hAnsi="Garamond"/>
          <w:color w:val="191919"/>
          <w:sz w:val="22"/>
          <w:szCs w:val="22"/>
        </w:rPr>
        <w:t>,</w:t>
      </w:r>
      <w:r w:rsidRPr="004A0C12">
        <w:rPr>
          <w:rFonts w:ascii="Garamond" w:hAnsi="Garamond"/>
          <w:color w:val="191919"/>
          <w:sz w:val="22"/>
          <w:szCs w:val="22"/>
        </w:rPr>
        <w:t xml:space="preserve"> should communicate the following to customers:</w:t>
      </w:r>
    </w:p>
    <w:p w14:paraId="229C934E" w14:textId="77777777"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p>
    <w:p w14:paraId="6BCBEE40" w14:textId="77777777" w:rsidR="009523C7" w:rsidRPr="004A0C12" w:rsidRDefault="009523C7" w:rsidP="00F733CF">
      <w:pPr>
        <w:pStyle w:val="NormalWeb2"/>
        <w:numPr>
          <w:ilvl w:val="0"/>
          <w:numId w:val="91"/>
        </w:numPr>
        <w:shd w:val="clear" w:color="auto" w:fill="FFFFFF"/>
        <w:tabs>
          <w:tab w:val="clear" w:pos="360"/>
          <w:tab w:val="num" w:pos="720"/>
        </w:tabs>
        <w:spacing w:before="0" w:after="0"/>
        <w:ind w:left="720" w:hanging="360"/>
        <w:contextualSpacing/>
        <w:jc w:val="both"/>
        <w:rPr>
          <w:rFonts w:ascii="Garamond" w:hAnsi="Garamond"/>
          <w:color w:val="191919"/>
          <w:sz w:val="22"/>
          <w:szCs w:val="22"/>
        </w:rPr>
      </w:pPr>
      <w:r w:rsidRPr="004A0C12">
        <w:rPr>
          <w:rFonts w:ascii="Garamond" w:hAnsi="Garamond"/>
          <w:color w:val="191919"/>
          <w:sz w:val="22"/>
          <w:szCs w:val="22"/>
        </w:rPr>
        <w:t>You are not required to provide us with your SSN. Your receipt of services will not be affected by disclosure or nondisclosure of your SSN or any other information that is voluntarily requested.</w:t>
      </w:r>
    </w:p>
    <w:p w14:paraId="09800211" w14:textId="32F04DE3" w:rsidR="009523C7" w:rsidRPr="004A0C12" w:rsidRDefault="009523C7" w:rsidP="00F733CF">
      <w:pPr>
        <w:pStyle w:val="NormalWeb2"/>
        <w:numPr>
          <w:ilvl w:val="0"/>
          <w:numId w:val="91"/>
        </w:numPr>
        <w:shd w:val="clear" w:color="auto" w:fill="FFFFFF"/>
        <w:tabs>
          <w:tab w:val="clear" w:pos="360"/>
          <w:tab w:val="num" w:pos="720"/>
        </w:tabs>
        <w:spacing w:before="0" w:after="0"/>
        <w:ind w:left="720" w:hanging="360"/>
        <w:contextualSpacing/>
        <w:jc w:val="both"/>
        <w:rPr>
          <w:rFonts w:ascii="Garamond" w:hAnsi="Garamond"/>
          <w:color w:val="191919"/>
          <w:sz w:val="22"/>
          <w:szCs w:val="22"/>
        </w:rPr>
      </w:pPr>
      <w:r w:rsidRPr="004A0C12">
        <w:rPr>
          <w:rFonts w:ascii="Garamond" w:hAnsi="Garamond"/>
          <w:color w:val="191919"/>
          <w:sz w:val="22"/>
          <w:szCs w:val="22"/>
        </w:rPr>
        <w:t>SSNs are used to facil</w:t>
      </w:r>
      <w:r w:rsidR="00310E67" w:rsidRPr="004A0C12">
        <w:rPr>
          <w:rFonts w:ascii="Garamond" w:hAnsi="Garamond"/>
          <w:color w:val="191919"/>
          <w:sz w:val="22"/>
          <w:szCs w:val="22"/>
        </w:rPr>
        <w:t>itate efficient record</w:t>
      </w:r>
      <w:r w:rsidRPr="004A0C12">
        <w:rPr>
          <w:rFonts w:ascii="Garamond" w:hAnsi="Garamond"/>
          <w:color w:val="191919"/>
          <w:sz w:val="22"/>
          <w:szCs w:val="22"/>
        </w:rPr>
        <w:t xml:space="preserve">keeping, </w:t>
      </w:r>
      <w:r w:rsidR="00310E67" w:rsidRPr="004A0C12">
        <w:rPr>
          <w:rFonts w:ascii="Garamond" w:hAnsi="Garamond"/>
          <w:color w:val="191919"/>
          <w:sz w:val="22"/>
          <w:szCs w:val="22"/>
        </w:rPr>
        <w:t xml:space="preserve">integrated service delivery, </w:t>
      </w:r>
      <w:r w:rsidRPr="004A0C12">
        <w:rPr>
          <w:rFonts w:ascii="Garamond" w:hAnsi="Garamond"/>
          <w:color w:val="191919"/>
          <w:sz w:val="22"/>
          <w:szCs w:val="22"/>
        </w:rPr>
        <w:t>performance measurement, research, planning, and program evaluation.</w:t>
      </w:r>
    </w:p>
    <w:p w14:paraId="0EDC008C" w14:textId="77777777" w:rsidR="009523C7" w:rsidRPr="004A0C12" w:rsidRDefault="009523C7" w:rsidP="00F733CF">
      <w:pPr>
        <w:pStyle w:val="NormalWeb2"/>
        <w:numPr>
          <w:ilvl w:val="0"/>
          <w:numId w:val="91"/>
        </w:numPr>
        <w:shd w:val="clear" w:color="auto" w:fill="FFFFFF"/>
        <w:tabs>
          <w:tab w:val="clear" w:pos="360"/>
          <w:tab w:val="num" w:pos="720"/>
        </w:tabs>
        <w:spacing w:before="0" w:after="0"/>
        <w:ind w:left="720" w:hanging="360"/>
        <w:contextualSpacing/>
        <w:jc w:val="both"/>
        <w:rPr>
          <w:rFonts w:ascii="Garamond" w:hAnsi="Garamond"/>
          <w:color w:val="191919"/>
          <w:sz w:val="22"/>
          <w:szCs w:val="22"/>
        </w:rPr>
      </w:pPr>
      <w:r w:rsidRPr="004A0C12">
        <w:rPr>
          <w:rFonts w:ascii="Garamond" w:hAnsi="Garamond"/>
          <w:color w:val="191919"/>
          <w:sz w:val="22"/>
          <w:szCs w:val="22"/>
        </w:rPr>
        <w:t>Your SSN will be kept confidential and is intended for use only by the program administrator and the federal government for reporting and evaluation.</w:t>
      </w:r>
    </w:p>
    <w:p w14:paraId="290DC172" w14:textId="77777777" w:rsidR="00AB5AEF" w:rsidRPr="004A0C12" w:rsidRDefault="00AB5AEF" w:rsidP="00AB5AEF">
      <w:pPr>
        <w:pStyle w:val="NormalWeb2"/>
        <w:shd w:val="clear" w:color="auto" w:fill="FFFFFF"/>
        <w:spacing w:before="0" w:after="0"/>
        <w:ind w:left="720"/>
        <w:contextualSpacing/>
        <w:jc w:val="both"/>
        <w:rPr>
          <w:rFonts w:ascii="Garamond" w:hAnsi="Garamond"/>
          <w:color w:val="191919"/>
          <w:sz w:val="22"/>
          <w:szCs w:val="22"/>
        </w:rPr>
      </w:pPr>
    </w:p>
    <w:p w14:paraId="0FC2E9F0" w14:textId="09A2F9A5"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r w:rsidRPr="004A0C12">
        <w:rPr>
          <w:rFonts w:ascii="Garamond" w:hAnsi="Garamond"/>
          <w:color w:val="191919"/>
          <w:sz w:val="22"/>
          <w:szCs w:val="22"/>
        </w:rPr>
        <w:t>Due to privacy concerns among local workforce areas and DLLR, Maryland recently formed a workgroup to assess current policy related to privacy and to work with the federal oversight agencies, like USDOL, to determine alternative methods of tracking that</w:t>
      </w:r>
      <w:r w:rsidR="00310E67" w:rsidRPr="004A0C12">
        <w:rPr>
          <w:rFonts w:ascii="Garamond" w:hAnsi="Garamond"/>
          <w:color w:val="191919"/>
          <w:sz w:val="22"/>
          <w:szCs w:val="22"/>
        </w:rPr>
        <w:t xml:space="preserve"> do not require staff to collect</w:t>
      </w:r>
      <w:r w:rsidRPr="004A0C12">
        <w:rPr>
          <w:rFonts w:ascii="Garamond" w:hAnsi="Garamond"/>
          <w:color w:val="191919"/>
          <w:sz w:val="22"/>
          <w:szCs w:val="22"/>
        </w:rPr>
        <w:t xml:space="preserve"> PII. The desired goal is to obtain accurate eligibility documentation while reducing paper case files. </w:t>
      </w:r>
    </w:p>
    <w:p w14:paraId="43956684" w14:textId="77777777" w:rsidR="009523C7" w:rsidRPr="004A0C12" w:rsidRDefault="009523C7" w:rsidP="009523C7">
      <w:pPr>
        <w:pStyle w:val="NormalWeb2"/>
        <w:shd w:val="clear" w:color="auto" w:fill="FFFFFF"/>
        <w:spacing w:before="0" w:after="0"/>
        <w:contextualSpacing/>
        <w:jc w:val="both"/>
        <w:rPr>
          <w:rFonts w:ascii="Garamond" w:hAnsi="Garamond"/>
          <w:color w:val="191919"/>
          <w:sz w:val="22"/>
          <w:szCs w:val="22"/>
        </w:rPr>
      </w:pPr>
    </w:p>
    <w:p w14:paraId="459AC401" w14:textId="10C6AB7D" w:rsidR="009523C7" w:rsidRPr="004A0C12" w:rsidRDefault="009523C7" w:rsidP="009523C7">
      <w:pPr>
        <w:pStyle w:val="NormalWeb2"/>
        <w:shd w:val="clear" w:color="auto" w:fill="FFFFFF"/>
        <w:spacing w:before="0" w:after="0"/>
        <w:contextualSpacing/>
        <w:jc w:val="both"/>
        <w:rPr>
          <w:rStyle w:val="FootnoteReference1"/>
          <w:rFonts w:ascii="Garamond" w:hAnsi="Garamond"/>
          <w:color w:val="191919"/>
          <w:sz w:val="22"/>
          <w:szCs w:val="22"/>
          <w:vertAlign w:val="baseline"/>
        </w:rPr>
      </w:pPr>
      <w:r w:rsidRPr="004A0C12">
        <w:rPr>
          <w:rFonts w:ascii="Garamond" w:hAnsi="Garamond"/>
          <w:color w:val="191919"/>
          <w:sz w:val="22"/>
          <w:szCs w:val="22"/>
        </w:rPr>
        <w:t xml:space="preserve">Utilization of a module within the MWE will allow all eligibility information and supporting documentation to be scanned and uploaded to the MWE </w:t>
      </w:r>
      <w:r w:rsidR="00F21DB1" w:rsidRPr="004A0C12">
        <w:rPr>
          <w:rFonts w:ascii="Garamond" w:hAnsi="Garamond"/>
          <w:color w:val="191919"/>
          <w:sz w:val="22"/>
          <w:szCs w:val="22"/>
        </w:rPr>
        <w:t>eliminating the need for a paper</w:t>
      </w:r>
      <w:r w:rsidRPr="004A0C12">
        <w:rPr>
          <w:rFonts w:ascii="Garamond" w:hAnsi="Garamond"/>
          <w:color w:val="191919"/>
          <w:sz w:val="22"/>
          <w:szCs w:val="22"/>
        </w:rPr>
        <w:t xml:space="preserve"> file.  </w:t>
      </w:r>
      <w:r w:rsidR="00F21DB1" w:rsidRPr="004A0C12">
        <w:rPr>
          <w:rFonts w:ascii="Garamond" w:hAnsi="Garamond"/>
          <w:color w:val="191919"/>
          <w:sz w:val="22"/>
          <w:szCs w:val="22"/>
        </w:rPr>
        <w:t>Though this option is still in the planning stages, with further discussion around partner access to MWE and data sharing to come,</w:t>
      </w:r>
      <w:r w:rsidRPr="004A0C12">
        <w:rPr>
          <w:rFonts w:ascii="Garamond" w:hAnsi="Garamond"/>
          <w:color w:val="191919"/>
          <w:sz w:val="22"/>
          <w:szCs w:val="22"/>
        </w:rPr>
        <w:t xml:space="preserve"> </w:t>
      </w:r>
      <w:r w:rsidR="00F21DB1" w:rsidRPr="004A0C12">
        <w:rPr>
          <w:rFonts w:ascii="Garamond" w:hAnsi="Garamond"/>
          <w:color w:val="191919"/>
          <w:sz w:val="22"/>
          <w:szCs w:val="22"/>
        </w:rPr>
        <w:t>the DLLR work</w:t>
      </w:r>
      <w:r w:rsidRPr="004A0C12">
        <w:rPr>
          <w:rFonts w:ascii="Garamond" w:hAnsi="Garamond"/>
          <w:color w:val="191919"/>
          <w:sz w:val="22"/>
          <w:szCs w:val="22"/>
        </w:rPr>
        <w:t>group believe</w:t>
      </w:r>
      <w:r w:rsidR="00310E67" w:rsidRPr="004A0C12">
        <w:rPr>
          <w:rFonts w:ascii="Garamond" w:hAnsi="Garamond"/>
          <w:color w:val="191919"/>
          <w:sz w:val="22"/>
          <w:szCs w:val="22"/>
        </w:rPr>
        <w:t>s</w:t>
      </w:r>
      <w:r w:rsidRPr="004A0C12">
        <w:rPr>
          <w:rFonts w:ascii="Garamond" w:hAnsi="Garamond"/>
          <w:color w:val="191919"/>
          <w:sz w:val="22"/>
          <w:szCs w:val="22"/>
        </w:rPr>
        <w:t xml:space="preserve"> that the adoption of a form in the style of </w:t>
      </w:r>
      <w:proofErr w:type="gramStart"/>
      <w:r w:rsidRPr="004A0C12">
        <w:rPr>
          <w:rFonts w:ascii="Garamond" w:hAnsi="Garamond"/>
          <w:color w:val="191919"/>
          <w:sz w:val="22"/>
          <w:szCs w:val="22"/>
        </w:rPr>
        <w:t>an</w:t>
      </w:r>
      <w:proofErr w:type="gramEnd"/>
      <w:r w:rsidRPr="004A0C12">
        <w:rPr>
          <w:rFonts w:ascii="Garamond" w:hAnsi="Garamond"/>
          <w:color w:val="191919"/>
          <w:sz w:val="22"/>
          <w:szCs w:val="22"/>
        </w:rPr>
        <w:t xml:space="preserve"> United States Citizenship and Immigration Services Form I-9 is preferable to the maintenance of a paper case file for each workforce participant.  The form would require the attestation of the program participant and the applicable WIOA partner case worker that the information provided on the form is correct and complete.  In such a case, the supporting documentation will no longer need to be secured by the partner agency.  Thus, documents containing PII will be limited to the information that has been attested to by both the customer and the case worker.  While such a form has been created by the DLLR work group, it has yet to be shared by the partners.  Once a doc</w:t>
      </w:r>
      <w:r w:rsidR="007D1705" w:rsidRPr="004A0C12">
        <w:rPr>
          <w:rFonts w:ascii="Garamond" w:hAnsi="Garamond"/>
          <w:color w:val="191919"/>
          <w:sz w:val="22"/>
          <w:szCs w:val="22"/>
        </w:rPr>
        <w:t>ument is agreed to by the WIOA P</w:t>
      </w:r>
      <w:r w:rsidRPr="004A0C12">
        <w:rPr>
          <w:rFonts w:ascii="Garamond" w:hAnsi="Garamond"/>
          <w:color w:val="191919"/>
          <w:sz w:val="22"/>
          <w:szCs w:val="22"/>
        </w:rPr>
        <w:t>artners, DLLR is committed to piloting a program that integrates the I-9 type form into the intake process. The pilo</w:t>
      </w:r>
      <w:r w:rsidR="007D1705" w:rsidRPr="004A0C12">
        <w:rPr>
          <w:rFonts w:ascii="Garamond" w:hAnsi="Garamond"/>
          <w:color w:val="191919"/>
          <w:sz w:val="22"/>
          <w:szCs w:val="22"/>
        </w:rPr>
        <w:t>t will allow agencies and WIOA P</w:t>
      </w:r>
      <w:r w:rsidRPr="004A0C12">
        <w:rPr>
          <w:rFonts w:ascii="Garamond" w:hAnsi="Garamond"/>
          <w:color w:val="191919"/>
          <w:sz w:val="22"/>
          <w:szCs w:val="22"/>
        </w:rPr>
        <w:t>artners to establish a baseline in determination of an acceptable error rate.  Upon successful completion of the pilot, and</w:t>
      </w:r>
      <w:r w:rsidR="007D1705" w:rsidRPr="004A0C12">
        <w:rPr>
          <w:rFonts w:ascii="Garamond" w:hAnsi="Garamond"/>
          <w:color w:val="191919"/>
          <w:sz w:val="22"/>
          <w:szCs w:val="22"/>
        </w:rPr>
        <w:t xml:space="preserve"> upon agreement among the WIOA P</w:t>
      </w:r>
      <w:r w:rsidRPr="004A0C12">
        <w:rPr>
          <w:rFonts w:ascii="Garamond" w:hAnsi="Garamond"/>
          <w:color w:val="191919"/>
          <w:sz w:val="22"/>
          <w:szCs w:val="22"/>
        </w:rPr>
        <w:t>artners, an I-9 based form will be integrated as a part of the intake process until information can be securely uploaded onto the MWE and/or partner systems and information can be successfully shared between the partners.   </w:t>
      </w:r>
    </w:p>
    <w:p w14:paraId="5D5E27C3" w14:textId="77777777" w:rsidR="009523C7" w:rsidRPr="00D02BCE" w:rsidRDefault="009523C7" w:rsidP="00AB5AEF">
      <w:pPr>
        <w:pStyle w:val="Heading2"/>
        <w:rPr>
          <w:rStyle w:val="FootnoteReference1"/>
          <w:rFonts w:ascii="Garamond" w:hAnsi="Garamond"/>
          <w:color w:val="4F81BD" w:themeColor="accent1"/>
          <w:sz w:val="28"/>
          <w:szCs w:val="28"/>
          <w:vertAlign w:val="baseline"/>
        </w:rPr>
      </w:pPr>
      <w:bookmarkStart w:id="103" w:name="_Toc447276147"/>
      <w:r w:rsidRPr="00D02BCE">
        <w:rPr>
          <w:rStyle w:val="FootnoteReference1"/>
          <w:rFonts w:ascii="Garamond" w:hAnsi="Garamond"/>
          <w:color w:val="4F81BD" w:themeColor="accent1"/>
          <w:sz w:val="28"/>
          <w:szCs w:val="28"/>
          <w:vertAlign w:val="baseline"/>
        </w:rPr>
        <w:t>VETERANS PRIORITY OF SERVICES</w:t>
      </w:r>
      <w:bookmarkEnd w:id="103"/>
    </w:p>
    <w:p w14:paraId="00285609" w14:textId="5322008F" w:rsidR="009523C7" w:rsidRPr="004A0C12" w:rsidRDefault="009523C7" w:rsidP="009523C7">
      <w:pPr>
        <w:spacing w:after="0" w:line="240" w:lineRule="auto"/>
        <w:jc w:val="both"/>
        <w:rPr>
          <w:rFonts w:ascii="Garamond" w:hAnsi="Garamond"/>
        </w:rPr>
      </w:pPr>
      <w:r w:rsidRPr="004A0C12">
        <w:rPr>
          <w:rFonts w:ascii="Garamond" w:hAnsi="Garamond"/>
        </w:rPr>
        <w:t xml:space="preserve">In accordance with the Jobs for Veterans Act of 2002 and the Veterans’ Benefits, Health Care, and Information Technology Act of 2006, DLLR offers covered Veterans and eligible spouses “Priority of Service.” The purpose of Priority of Service is to give </w:t>
      </w:r>
      <w:r w:rsidRPr="004A0C12">
        <w:rPr>
          <w:rFonts w:ascii="Garamond" w:hAnsi="Garamond"/>
        </w:rPr>
        <w:lastRenderedPageBreak/>
        <w:t xml:space="preserve">first consideration for program participation to covered Veterans and eligible spouses who also meet the eligibility criteria of a USDOL training, employment, or placement service in any workforce preparation program. </w:t>
      </w:r>
    </w:p>
    <w:p w14:paraId="267943DB" w14:textId="77777777" w:rsidR="009523C7" w:rsidRPr="004A0C12" w:rsidRDefault="009523C7" w:rsidP="009523C7">
      <w:pPr>
        <w:spacing w:after="0" w:line="240" w:lineRule="auto"/>
        <w:jc w:val="both"/>
        <w:rPr>
          <w:rFonts w:ascii="Garamond" w:hAnsi="Garamond"/>
        </w:rPr>
      </w:pPr>
    </w:p>
    <w:p w14:paraId="152CDEF6" w14:textId="27F73E69" w:rsidR="009523C7" w:rsidRPr="004A0C12" w:rsidRDefault="009523C7" w:rsidP="009523C7">
      <w:pPr>
        <w:spacing w:after="0" w:line="240" w:lineRule="auto"/>
        <w:jc w:val="both"/>
        <w:rPr>
          <w:rFonts w:ascii="Garamond" w:hAnsi="Garamond"/>
        </w:rPr>
      </w:pPr>
      <w:r w:rsidRPr="004A0C12">
        <w:rPr>
          <w:rFonts w:ascii="Garamond" w:hAnsi="Garamond"/>
        </w:rPr>
        <w:t>To receive Veterans Priority of Service for a specific program, a Veteran or eligible spouse must meet the statutory definition of a “covered person” and also must m</w:t>
      </w:r>
      <w:r w:rsidR="00F21DB1" w:rsidRPr="004A0C12">
        <w:rPr>
          <w:rFonts w:ascii="Garamond" w:hAnsi="Garamond"/>
        </w:rPr>
        <w:t>eet any other statutory eligibility</w:t>
      </w:r>
      <w:r w:rsidRPr="004A0C12">
        <w:rPr>
          <w:rFonts w:ascii="Garamond" w:hAnsi="Garamond"/>
        </w:rPr>
        <w:t xml:space="preserve"> requirement applicable to the program. Depending on the type of service or resource being provided, Priority of Service may mean:</w:t>
      </w:r>
    </w:p>
    <w:p w14:paraId="75724048" w14:textId="77777777" w:rsidR="009523C7" w:rsidRPr="004A0C12" w:rsidRDefault="009523C7" w:rsidP="009523C7">
      <w:pPr>
        <w:spacing w:after="0" w:line="240" w:lineRule="auto"/>
        <w:jc w:val="both"/>
        <w:rPr>
          <w:rFonts w:ascii="Garamond" w:hAnsi="Garamond"/>
        </w:rPr>
      </w:pPr>
    </w:p>
    <w:p w14:paraId="3B18FDD9" w14:textId="77777777" w:rsidR="009523C7" w:rsidRPr="004A0C12" w:rsidRDefault="009523C7" w:rsidP="00F733CF">
      <w:pPr>
        <w:pStyle w:val="ListParagraph"/>
        <w:numPr>
          <w:ilvl w:val="0"/>
          <w:numId w:val="92"/>
        </w:numPr>
        <w:tabs>
          <w:tab w:val="clear" w:pos="360"/>
          <w:tab w:val="num" w:pos="720"/>
        </w:tabs>
        <w:ind w:left="720" w:hanging="360"/>
        <w:jc w:val="both"/>
        <w:rPr>
          <w:rFonts w:ascii="Garamond" w:hAnsi="Garamond"/>
          <w:szCs w:val="22"/>
        </w:rPr>
      </w:pPr>
      <w:r w:rsidRPr="004A0C12">
        <w:rPr>
          <w:rFonts w:ascii="Garamond" w:hAnsi="Garamond"/>
          <w:szCs w:val="22"/>
        </w:rPr>
        <w:t>Covered person gains access to services or resources earlier than the non-covered persons;</w:t>
      </w:r>
    </w:p>
    <w:p w14:paraId="48CF32B1" w14:textId="77777777" w:rsidR="009523C7" w:rsidRPr="004A0C12" w:rsidRDefault="009523C7" w:rsidP="00F733CF">
      <w:pPr>
        <w:pStyle w:val="ListParagraph"/>
        <w:numPr>
          <w:ilvl w:val="0"/>
          <w:numId w:val="92"/>
        </w:numPr>
        <w:tabs>
          <w:tab w:val="clear" w:pos="360"/>
          <w:tab w:val="num" w:pos="720"/>
        </w:tabs>
        <w:ind w:left="720" w:hanging="360"/>
        <w:jc w:val="both"/>
        <w:rPr>
          <w:rFonts w:ascii="Garamond" w:hAnsi="Garamond"/>
          <w:szCs w:val="22"/>
        </w:rPr>
      </w:pPr>
      <w:r w:rsidRPr="004A0C12">
        <w:rPr>
          <w:rFonts w:ascii="Garamond" w:hAnsi="Garamond"/>
          <w:szCs w:val="22"/>
        </w:rPr>
        <w:t>Covered person receives service or resources instead of a non-covered person when resources are limited.</w:t>
      </w:r>
    </w:p>
    <w:p w14:paraId="4FD8875E" w14:textId="77777777" w:rsidR="009523C7" w:rsidRPr="004A0C12" w:rsidRDefault="009523C7" w:rsidP="009523C7">
      <w:pPr>
        <w:pStyle w:val="ListParagraph"/>
        <w:jc w:val="both"/>
        <w:rPr>
          <w:rFonts w:ascii="Garamond" w:hAnsi="Garamond"/>
          <w:szCs w:val="22"/>
        </w:rPr>
      </w:pPr>
    </w:p>
    <w:p w14:paraId="40CDFD89" w14:textId="77777777" w:rsidR="009523C7" w:rsidRPr="004A0C12" w:rsidRDefault="009523C7" w:rsidP="009523C7">
      <w:pPr>
        <w:spacing w:after="0" w:line="240" w:lineRule="auto"/>
        <w:jc w:val="both"/>
        <w:rPr>
          <w:rFonts w:ascii="Garamond" w:hAnsi="Garamond"/>
        </w:rPr>
      </w:pPr>
      <w:r w:rsidRPr="004A0C12">
        <w:rPr>
          <w:rFonts w:ascii="Garamond" w:hAnsi="Garamond"/>
        </w:rPr>
        <w:t xml:space="preserve">Veterans Priority of Service should take precedence before applying WIOA Priority of Service for recipients of public assistance, other low-income individuals, and individuals who are basic skills deficient. </w:t>
      </w:r>
    </w:p>
    <w:p w14:paraId="39844930" w14:textId="77777777" w:rsidR="009523C7" w:rsidRPr="004A0C12" w:rsidRDefault="009523C7" w:rsidP="009523C7">
      <w:pPr>
        <w:spacing w:after="0" w:line="240" w:lineRule="auto"/>
        <w:jc w:val="both"/>
        <w:rPr>
          <w:rFonts w:ascii="Garamond" w:hAnsi="Garamond"/>
        </w:rPr>
      </w:pPr>
    </w:p>
    <w:p w14:paraId="22F876CE" w14:textId="04FEAAEB" w:rsidR="009523C7" w:rsidRPr="004A0C12" w:rsidRDefault="009523C7" w:rsidP="009523C7">
      <w:pPr>
        <w:spacing w:after="0" w:line="240" w:lineRule="auto"/>
        <w:jc w:val="both"/>
        <w:rPr>
          <w:rFonts w:ascii="Garamond" w:hAnsi="Garamond"/>
        </w:rPr>
      </w:pPr>
      <w:r w:rsidRPr="004A0C12">
        <w:rPr>
          <w:rFonts w:ascii="Garamond" w:hAnsi="Garamond"/>
        </w:rPr>
        <w:t>For universal access programs</w:t>
      </w:r>
      <w:r w:rsidR="00F21DB1" w:rsidRPr="004A0C12">
        <w:rPr>
          <w:rFonts w:ascii="Garamond" w:hAnsi="Garamond"/>
        </w:rPr>
        <w:t>, such as Wagner-Peyser</w:t>
      </w:r>
      <w:r w:rsidRPr="004A0C12">
        <w:rPr>
          <w:rFonts w:ascii="Garamond" w:hAnsi="Garamond"/>
        </w:rPr>
        <w:t xml:space="preserve">, covered persons must receive Priority of Service over all other program participants. However, for programs with specific eligibility criteria, such as the WIOA Title I Adult program, covered persons must first meet all statutory eligibility requirements for the program to receive Priority of Service. For programs that target specific populations without statutory mandate, covered persons must receive the highest priority for enrollment, similarly to the Priority of Service applied to universal access programs. </w:t>
      </w:r>
    </w:p>
    <w:p w14:paraId="5A7C538D" w14:textId="77777777" w:rsidR="00F21DB1" w:rsidRPr="004A0C12" w:rsidRDefault="00F21DB1" w:rsidP="009523C7">
      <w:pPr>
        <w:spacing w:after="0" w:line="240" w:lineRule="auto"/>
        <w:jc w:val="both"/>
        <w:rPr>
          <w:rFonts w:ascii="Garamond" w:hAnsi="Garamond"/>
        </w:rPr>
      </w:pPr>
    </w:p>
    <w:p w14:paraId="30F27170" w14:textId="43812D53" w:rsidR="009523C7" w:rsidRPr="004A0C12" w:rsidRDefault="009523C7" w:rsidP="009523C7">
      <w:pPr>
        <w:spacing w:after="0" w:line="240" w:lineRule="auto"/>
        <w:jc w:val="both"/>
        <w:rPr>
          <w:rFonts w:ascii="Garamond" w:hAnsi="Garamond"/>
        </w:rPr>
      </w:pPr>
      <w:r w:rsidRPr="004A0C12">
        <w:rPr>
          <w:rFonts w:ascii="Garamond" w:hAnsi="Garamond"/>
        </w:rPr>
        <w:t>State and local program operators understand that Priority of Service must be followed. As established by statute, State and local operators do not have the discretion to establish further priorities within the overall Priority of Service; t</w:t>
      </w:r>
      <w:r w:rsidR="00F21DB1" w:rsidRPr="004A0C12">
        <w:rPr>
          <w:rFonts w:ascii="Garamond" w:hAnsi="Garamond"/>
        </w:rPr>
        <w:t>his right is reserved for the United States</w:t>
      </w:r>
      <w:r w:rsidRPr="004A0C12">
        <w:rPr>
          <w:rFonts w:ascii="Garamond" w:hAnsi="Garamond"/>
        </w:rPr>
        <w:t xml:space="preserve"> Secretary of Labor only. </w:t>
      </w:r>
    </w:p>
    <w:p w14:paraId="5FF69CCB" w14:textId="77777777" w:rsidR="009523C7" w:rsidRPr="004A0C12" w:rsidRDefault="009523C7" w:rsidP="009523C7">
      <w:pPr>
        <w:spacing w:after="0" w:line="240" w:lineRule="auto"/>
        <w:jc w:val="both"/>
        <w:rPr>
          <w:rFonts w:ascii="Garamond" w:hAnsi="Garamond"/>
        </w:rPr>
      </w:pPr>
    </w:p>
    <w:p w14:paraId="12EA000D" w14:textId="4DB4B07A" w:rsidR="009523C7" w:rsidRPr="004A0C12" w:rsidRDefault="009523C7" w:rsidP="009523C7">
      <w:pPr>
        <w:spacing w:after="0" w:line="240" w:lineRule="auto"/>
        <w:jc w:val="both"/>
        <w:rPr>
          <w:rFonts w:ascii="Garamond" w:hAnsi="Garamond"/>
        </w:rPr>
      </w:pPr>
      <w:r w:rsidRPr="004A0C12">
        <w:rPr>
          <w:rFonts w:ascii="Garamond" w:hAnsi="Garamond"/>
        </w:rPr>
        <w:t>Local workforce area directors must ensure that local plans incorporate a Veterans Priority of Service policy that is consistent with the requiremen</w:t>
      </w:r>
      <w:r w:rsidR="00A40253" w:rsidRPr="004A0C12">
        <w:rPr>
          <w:rFonts w:ascii="Garamond" w:hAnsi="Garamond"/>
        </w:rPr>
        <w:t>ts of State policy and the law.</w:t>
      </w:r>
    </w:p>
    <w:p w14:paraId="3610A034" w14:textId="77777777" w:rsidR="009523C7" w:rsidRPr="00D02BCE" w:rsidRDefault="009523C7" w:rsidP="00AB5AEF">
      <w:pPr>
        <w:pStyle w:val="Heading3"/>
        <w:rPr>
          <w:rFonts w:ascii="Garamond" w:hAnsi="Garamond"/>
          <w:color w:val="17366D"/>
          <w:sz w:val="24"/>
          <w:szCs w:val="24"/>
        </w:rPr>
      </w:pPr>
      <w:bookmarkStart w:id="104" w:name="_Toc447276148"/>
      <w:r w:rsidRPr="00D02BCE">
        <w:rPr>
          <w:rFonts w:ascii="Garamond" w:hAnsi="Garamond"/>
          <w:sz w:val="24"/>
          <w:szCs w:val="24"/>
        </w:rPr>
        <w:t>IDENTIFYING VETERAN STATUS</w:t>
      </w:r>
      <w:bookmarkEnd w:id="104"/>
      <w:r w:rsidRPr="00D02BCE">
        <w:rPr>
          <w:rFonts w:ascii="Garamond" w:hAnsi="Garamond"/>
          <w:sz w:val="24"/>
          <w:szCs w:val="24"/>
        </w:rPr>
        <w:t xml:space="preserve"> </w:t>
      </w:r>
    </w:p>
    <w:p w14:paraId="36DECE8C" w14:textId="2D2DBEA4" w:rsidR="009523C7" w:rsidRPr="004A0C12" w:rsidRDefault="009523C7" w:rsidP="009523C7">
      <w:pPr>
        <w:spacing w:after="0" w:line="240" w:lineRule="auto"/>
        <w:jc w:val="both"/>
        <w:rPr>
          <w:rFonts w:ascii="Garamond" w:hAnsi="Garamond"/>
        </w:rPr>
      </w:pPr>
      <w:r w:rsidRPr="004A0C12">
        <w:rPr>
          <w:rFonts w:ascii="Garamond" w:hAnsi="Garamond"/>
        </w:rPr>
        <w:t>Each American Job Center, or other relevant point of entry</w:t>
      </w:r>
      <w:r w:rsidR="00C870F3" w:rsidRPr="004A0C12">
        <w:rPr>
          <w:rFonts w:ascii="Garamond" w:hAnsi="Garamond"/>
        </w:rPr>
        <w:t>,</w:t>
      </w:r>
      <w:r w:rsidRPr="004A0C12">
        <w:rPr>
          <w:rFonts w:ascii="Garamond" w:hAnsi="Garamond"/>
        </w:rPr>
        <w:t xml:space="preserve"> should inform covered persons, that by identifying as a Veteran or covered spouse, they are entitled to Priority of Service. One of the responsibilities of the Local Veterans’ Employment Representatives (LVERs) is to ensure that signage and detailed sign-in sheets exist at both the physical service delivery point and through the Internet service delivery point. </w:t>
      </w:r>
    </w:p>
    <w:p w14:paraId="1CA69AAB" w14:textId="77777777" w:rsidR="009523C7" w:rsidRPr="004A0C12" w:rsidRDefault="009523C7" w:rsidP="009523C7">
      <w:pPr>
        <w:spacing w:after="0" w:line="240" w:lineRule="auto"/>
        <w:jc w:val="both"/>
        <w:rPr>
          <w:rFonts w:ascii="Garamond" w:hAnsi="Garamond"/>
        </w:rPr>
      </w:pPr>
    </w:p>
    <w:p w14:paraId="3E884260" w14:textId="77777777" w:rsidR="009523C7" w:rsidRPr="004A0C12" w:rsidRDefault="009523C7" w:rsidP="009523C7">
      <w:pPr>
        <w:spacing w:after="0" w:line="240" w:lineRule="auto"/>
        <w:jc w:val="both"/>
        <w:rPr>
          <w:rFonts w:ascii="Garamond" w:hAnsi="Garamond"/>
        </w:rPr>
      </w:pPr>
      <w:r w:rsidRPr="004A0C12">
        <w:rPr>
          <w:rFonts w:ascii="Garamond" w:hAnsi="Garamond"/>
        </w:rPr>
        <w:t xml:space="preserve">The workforce system and affiliate program operators must enable Veterans and eligible spouses to identify themselves as Veterans at the point of entry to the system or program, so that covered persons take full advantage of Priority of Service. American Job Center and affiliate program operators must ensure that covered Veterans and eligible spouses are made aware of: </w:t>
      </w:r>
    </w:p>
    <w:p w14:paraId="6E885DB4" w14:textId="5002809F" w:rsidR="009523C7" w:rsidRPr="004A0C12" w:rsidRDefault="00F21DB1" w:rsidP="00F733CF">
      <w:pPr>
        <w:pStyle w:val="ListParagraph"/>
        <w:numPr>
          <w:ilvl w:val="0"/>
          <w:numId w:val="93"/>
        </w:numPr>
        <w:tabs>
          <w:tab w:val="clear" w:pos="360"/>
          <w:tab w:val="num" w:pos="720"/>
        </w:tabs>
        <w:ind w:left="720" w:hanging="360"/>
        <w:jc w:val="both"/>
        <w:rPr>
          <w:rFonts w:ascii="Garamond" w:hAnsi="Garamond"/>
          <w:szCs w:val="22"/>
        </w:rPr>
      </w:pPr>
      <w:r w:rsidRPr="004A0C12">
        <w:rPr>
          <w:rFonts w:ascii="Garamond" w:hAnsi="Garamond"/>
          <w:szCs w:val="22"/>
        </w:rPr>
        <w:t>Priority of Service entitlement</w:t>
      </w:r>
      <w:r w:rsidR="009523C7" w:rsidRPr="004A0C12">
        <w:rPr>
          <w:rFonts w:ascii="Garamond" w:hAnsi="Garamond"/>
          <w:szCs w:val="22"/>
        </w:rPr>
        <w:t xml:space="preserve"> </w:t>
      </w:r>
    </w:p>
    <w:p w14:paraId="007FA6E0" w14:textId="653F6CE1" w:rsidR="009523C7" w:rsidRPr="004A0C12" w:rsidRDefault="009523C7" w:rsidP="00F733CF">
      <w:pPr>
        <w:pStyle w:val="ListParagraph"/>
        <w:numPr>
          <w:ilvl w:val="0"/>
          <w:numId w:val="93"/>
        </w:numPr>
        <w:tabs>
          <w:tab w:val="clear" w:pos="360"/>
          <w:tab w:val="num" w:pos="720"/>
        </w:tabs>
        <w:ind w:left="720" w:hanging="360"/>
        <w:jc w:val="both"/>
        <w:rPr>
          <w:rFonts w:ascii="Garamond" w:hAnsi="Garamond"/>
          <w:szCs w:val="22"/>
        </w:rPr>
      </w:pPr>
      <w:r w:rsidRPr="004A0C12">
        <w:rPr>
          <w:rFonts w:ascii="Garamond" w:hAnsi="Garamond"/>
          <w:szCs w:val="22"/>
        </w:rPr>
        <w:t>The full array of employment training and pla</w:t>
      </w:r>
      <w:r w:rsidR="00F21DB1" w:rsidRPr="004A0C12">
        <w:rPr>
          <w:rFonts w:ascii="Garamond" w:hAnsi="Garamond"/>
          <w:szCs w:val="22"/>
        </w:rPr>
        <w:t>cement services available</w:t>
      </w:r>
    </w:p>
    <w:p w14:paraId="3C3182D1" w14:textId="4DC19D2B" w:rsidR="009523C7" w:rsidRPr="004A0C12" w:rsidRDefault="009523C7" w:rsidP="00F733CF">
      <w:pPr>
        <w:pStyle w:val="ListParagraph"/>
        <w:numPr>
          <w:ilvl w:val="0"/>
          <w:numId w:val="93"/>
        </w:numPr>
        <w:tabs>
          <w:tab w:val="clear" w:pos="360"/>
          <w:tab w:val="num" w:pos="720"/>
        </w:tabs>
        <w:ind w:left="720" w:hanging="360"/>
        <w:jc w:val="both"/>
        <w:rPr>
          <w:rFonts w:ascii="Garamond" w:hAnsi="Garamond"/>
          <w:szCs w:val="22"/>
        </w:rPr>
      </w:pPr>
      <w:r w:rsidRPr="004A0C12">
        <w:rPr>
          <w:rFonts w:ascii="Garamond" w:hAnsi="Garamond"/>
          <w:szCs w:val="22"/>
        </w:rPr>
        <w:t>Applicable eligibility requirem</w:t>
      </w:r>
      <w:r w:rsidR="00F21DB1" w:rsidRPr="004A0C12">
        <w:rPr>
          <w:rFonts w:ascii="Garamond" w:hAnsi="Garamond"/>
          <w:szCs w:val="22"/>
        </w:rPr>
        <w:t>ents for programs and services</w:t>
      </w:r>
    </w:p>
    <w:p w14:paraId="5274628B" w14:textId="77777777" w:rsidR="009523C7" w:rsidRPr="00D02BCE" w:rsidRDefault="009523C7" w:rsidP="00AB5AEF">
      <w:pPr>
        <w:pStyle w:val="Heading3"/>
        <w:rPr>
          <w:rFonts w:ascii="Garamond" w:hAnsi="Garamond"/>
          <w:sz w:val="24"/>
          <w:szCs w:val="24"/>
        </w:rPr>
      </w:pPr>
      <w:bookmarkStart w:id="105" w:name="_Toc447276149"/>
      <w:r w:rsidRPr="00D02BCE">
        <w:rPr>
          <w:rFonts w:ascii="Garamond" w:hAnsi="Garamond"/>
          <w:sz w:val="24"/>
          <w:szCs w:val="24"/>
        </w:rPr>
        <w:t>VERIFYING VETERAN STATUS</w:t>
      </w:r>
      <w:bookmarkEnd w:id="105"/>
    </w:p>
    <w:p w14:paraId="55F552E6" w14:textId="77777777" w:rsidR="009523C7" w:rsidRPr="004A0C12" w:rsidRDefault="009523C7" w:rsidP="009523C7">
      <w:pPr>
        <w:spacing w:after="0" w:line="240" w:lineRule="auto"/>
        <w:jc w:val="both"/>
        <w:rPr>
          <w:rFonts w:ascii="Garamond" w:hAnsi="Garamond"/>
        </w:rPr>
      </w:pPr>
      <w:r w:rsidRPr="004A0C12">
        <w:rPr>
          <w:rFonts w:ascii="Garamond" w:hAnsi="Garamond"/>
        </w:rPr>
        <w:t>Any individual self-identifying as a covered person should be provided immediate priority in the delivery of employment and training services. No covered person should be denied access on a priority basis to any services provided by program staff in order to verify covered person status.</w:t>
      </w:r>
    </w:p>
    <w:p w14:paraId="3F7A2AAE" w14:textId="77777777" w:rsidR="009523C7" w:rsidRPr="004A0C12" w:rsidRDefault="009523C7" w:rsidP="009523C7">
      <w:pPr>
        <w:spacing w:after="0" w:line="240" w:lineRule="auto"/>
        <w:jc w:val="both"/>
        <w:rPr>
          <w:rFonts w:ascii="Garamond" w:hAnsi="Garamond"/>
        </w:rPr>
      </w:pPr>
    </w:p>
    <w:p w14:paraId="4CC428FB" w14:textId="77777777" w:rsidR="009523C7" w:rsidRPr="004A0C12" w:rsidRDefault="009523C7" w:rsidP="009523C7">
      <w:pPr>
        <w:spacing w:after="0" w:line="240" w:lineRule="auto"/>
        <w:jc w:val="both"/>
        <w:rPr>
          <w:rFonts w:ascii="Garamond" w:hAnsi="Garamond"/>
        </w:rPr>
      </w:pPr>
      <w:r w:rsidRPr="004A0C12">
        <w:rPr>
          <w:rFonts w:ascii="Garamond" w:hAnsi="Garamond"/>
        </w:rPr>
        <w:t xml:space="preserve">The only services that require eligibility verification are those that involve the use of outside resources, such as classroom training. For example, to receive training services under WIOA Title I programs, veteran status must be verified. In cases such as these, verification is only necessary where a decision is made to commit outside resources to a covered person over another individual. For all other purposes, covered persons should be enrolled and provided immediate priority before providing verification as a covered person. </w:t>
      </w:r>
    </w:p>
    <w:p w14:paraId="1C6501DF" w14:textId="77777777" w:rsidR="009523C7" w:rsidRPr="004A0C12" w:rsidRDefault="009523C7" w:rsidP="009523C7">
      <w:pPr>
        <w:spacing w:after="0" w:line="240" w:lineRule="auto"/>
        <w:jc w:val="both"/>
        <w:rPr>
          <w:rFonts w:ascii="Garamond" w:hAnsi="Garamond"/>
        </w:rPr>
      </w:pPr>
    </w:p>
    <w:p w14:paraId="6A0595EF" w14:textId="77777777" w:rsidR="009523C7" w:rsidRPr="004A0C12" w:rsidRDefault="009523C7" w:rsidP="009523C7">
      <w:pPr>
        <w:spacing w:after="0" w:line="240" w:lineRule="auto"/>
        <w:jc w:val="both"/>
        <w:rPr>
          <w:rFonts w:ascii="Garamond" w:hAnsi="Garamond"/>
        </w:rPr>
      </w:pPr>
      <w:r w:rsidRPr="004A0C12">
        <w:rPr>
          <w:rFonts w:ascii="Garamond" w:hAnsi="Garamond"/>
        </w:rPr>
        <w:lastRenderedPageBreak/>
        <w:t xml:space="preserve">It is neither necessary nor appropriate for any staff to require verification of the status of a Veteran or eligible spouse at the point of entry, unless the individual who self-identifies as a covered Veteran or eligible spouse: </w:t>
      </w:r>
    </w:p>
    <w:p w14:paraId="7355EE6D" w14:textId="77777777" w:rsidR="00A40253" w:rsidRPr="004A0C12" w:rsidRDefault="00A40253" w:rsidP="009523C7">
      <w:pPr>
        <w:spacing w:after="0" w:line="240" w:lineRule="auto"/>
        <w:jc w:val="both"/>
        <w:rPr>
          <w:rFonts w:ascii="Garamond" w:hAnsi="Garamond"/>
        </w:rPr>
      </w:pPr>
    </w:p>
    <w:p w14:paraId="42A8CE6C" w14:textId="77777777" w:rsidR="009523C7" w:rsidRPr="004A0C12" w:rsidRDefault="009523C7" w:rsidP="00F733CF">
      <w:pPr>
        <w:pStyle w:val="ListParagraph"/>
        <w:numPr>
          <w:ilvl w:val="0"/>
          <w:numId w:val="94"/>
        </w:numPr>
        <w:tabs>
          <w:tab w:val="clear" w:pos="360"/>
          <w:tab w:val="num" w:pos="720"/>
        </w:tabs>
        <w:ind w:left="720" w:hanging="360"/>
        <w:jc w:val="both"/>
        <w:rPr>
          <w:rFonts w:ascii="Garamond" w:hAnsi="Garamond"/>
          <w:szCs w:val="22"/>
        </w:rPr>
      </w:pPr>
      <w:r w:rsidRPr="004A0C12">
        <w:rPr>
          <w:rFonts w:ascii="Garamond" w:hAnsi="Garamond"/>
          <w:szCs w:val="22"/>
        </w:rPr>
        <w:t xml:space="preserve">Is to immediately undergo eligibility determination and must be registered or enrolled in a program; or, </w:t>
      </w:r>
    </w:p>
    <w:p w14:paraId="6103E4C4" w14:textId="3B86230F" w:rsidR="009523C7" w:rsidRPr="004A0C12" w:rsidRDefault="00F21DB1" w:rsidP="00F733CF">
      <w:pPr>
        <w:pStyle w:val="ListParagraph"/>
        <w:numPr>
          <w:ilvl w:val="0"/>
          <w:numId w:val="94"/>
        </w:numPr>
        <w:tabs>
          <w:tab w:val="clear" w:pos="360"/>
          <w:tab w:val="num" w:pos="720"/>
        </w:tabs>
        <w:ind w:left="720" w:hanging="360"/>
        <w:jc w:val="both"/>
        <w:rPr>
          <w:rFonts w:ascii="Garamond" w:hAnsi="Garamond"/>
          <w:szCs w:val="22"/>
        </w:rPr>
      </w:pPr>
      <w:r w:rsidRPr="004A0C12">
        <w:rPr>
          <w:rFonts w:ascii="Garamond" w:hAnsi="Garamond"/>
          <w:szCs w:val="22"/>
        </w:rPr>
        <w:t>The applicable f</w:t>
      </w:r>
      <w:r w:rsidR="009523C7" w:rsidRPr="004A0C12">
        <w:rPr>
          <w:rFonts w:ascii="Garamond" w:hAnsi="Garamond"/>
          <w:szCs w:val="22"/>
        </w:rPr>
        <w:t xml:space="preserve">ederal program rules require verification of covered Veteran or eligible spouse status at that time. </w:t>
      </w:r>
    </w:p>
    <w:p w14:paraId="6D6C23BE" w14:textId="77777777" w:rsidR="009523C7" w:rsidRPr="004A0C12" w:rsidRDefault="009523C7" w:rsidP="009523C7">
      <w:pPr>
        <w:pStyle w:val="ListParagraph"/>
        <w:jc w:val="both"/>
        <w:rPr>
          <w:rFonts w:ascii="Garamond" w:hAnsi="Garamond"/>
          <w:szCs w:val="22"/>
        </w:rPr>
      </w:pPr>
    </w:p>
    <w:p w14:paraId="68A4297B" w14:textId="77777777" w:rsidR="009523C7" w:rsidRPr="004A0C12" w:rsidRDefault="009523C7" w:rsidP="009523C7">
      <w:pPr>
        <w:spacing w:after="0" w:line="240" w:lineRule="auto"/>
        <w:jc w:val="both"/>
        <w:rPr>
          <w:rFonts w:ascii="Garamond" w:hAnsi="Garamond"/>
        </w:rPr>
      </w:pPr>
      <w:r w:rsidRPr="004A0C12">
        <w:rPr>
          <w:rFonts w:ascii="Garamond" w:hAnsi="Garamond"/>
        </w:rPr>
        <w:t xml:space="preserve">To receive Priority of Service for career services, covered persons may self-attest their Veteran or eligible spouse status. To receive training services under WIOA, however, Veteran status must be verified. </w:t>
      </w:r>
    </w:p>
    <w:p w14:paraId="4524F950" w14:textId="77777777" w:rsidR="00042931" w:rsidRPr="004A0C12" w:rsidRDefault="00042931" w:rsidP="00042931">
      <w:pPr>
        <w:pStyle w:val="NormalWeb"/>
        <w:spacing w:before="0" w:beforeAutospacing="0" w:afterAutospacing="0"/>
        <w:rPr>
          <w:rFonts w:ascii="Garamond" w:hAnsi="Garamond"/>
          <w:color w:val="000000"/>
          <w:sz w:val="22"/>
          <w:szCs w:val="22"/>
        </w:rPr>
      </w:pPr>
      <w:r w:rsidRPr="004A0C12">
        <w:rPr>
          <w:rFonts w:ascii="Garamond" w:hAnsi="Garamond"/>
          <w:color w:val="000000"/>
          <w:sz w:val="22"/>
          <w:szCs w:val="22"/>
        </w:rPr>
        <w:t xml:space="preserve">IMPLEMENTING PRIORITY OF SERVICE </w:t>
      </w:r>
    </w:p>
    <w:p w14:paraId="093CBE53" w14:textId="77777777" w:rsidR="00042931" w:rsidRPr="004A0C12" w:rsidRDefault="00042931" w:rsidP="00042931">
      <w:pPr>
        <w:pStyle w:val="NormalWeb"/>
        <w:spacing w:before="0" w:beforeAutospacing="0" w:afterAutospacing="0"/>
        <w:rPr>
          <w:rFonts w:ascii="Garamond" w:hAnsi="Garamond"/>
          <w:color w:val="000000"/>
          <w:sz w:val="22"/>
          <w:szCs w:val="22"/>
        </w:rPr>
      </w:pPr>
      <w:r w:rsidRPr="004A0C12">
        <w:rPr>
          <w:rFonts w:ascii="Garamond" w:hAnsi="Garamond"/>
          <w:color w:val="000000"/>
          <w:sz w:val="22"/>
          <w:szCs w:val="22"/>
        </w:rPr>
        <w:t>The regulations provide that priority of service means the right of eligible covered persons to take precedence over eligible non-covered persons in obtaining services. They further specify that taking precedence may mean:</w:t>
      </w:r>
    </w:p>
    <w:p w14:paraId="693D90B4" w14:textId="77777777" w:rsidR="00042931" w:rsidRPr="004A0C12" w:rsidRDefault="00042931" w:rsidP="00232F09">
      <w:pPr>
        <w:pStyle w:val="NormalWeb"/>
        <w:numPr>
          <w:ilvl w:val="0"/>
          <w:numId w:val="307"/>
        </w:numPr>
        <w:spacing w:before="0" w:beforeAutospacing="0" w:afterAutospacing="0"/>
        <w:rPr>
          <w:rFonts w:ascii="Garamond" w:hAnsi="Garamond"/>
          <w:sz w:val="22"/>
          <w:szCs w:val="22"/>
        </w:rPr>
      </w:pPr>
      <w:r w:rsidRPr="004A0C12">
        <w:rPr>
          <w:rFonts w:ascii="Garamond" w:hAnsi="Garamond"/>
          <w:color w:val="000000"/>
          <w:sz w:val="22"/>
          <w:szCs w:val="22"/>
        </w:rPr>
        <w:t>The covered person receives access to the service or resource earlier in time than the non-covered person; or</w:t>
      </w:r>
    </w:p>
    <w:p w14:paraId="680C4E84" w14:textId="77777777" w:rsidR="00042931" w:rsidRPr="004A0C12" w:rsidRDefault="00042931" w:rsidP="00232F09">
      <w:pPr>
        <w:pStyle w:val="NormalWeb"/>
        <w:numPr>
          <w:ilvl w:val="0"/>
          <w:numId w:val="307"/>
        </w:numPr>
        <w:spacing w:before="0" w:beforeAutospacing="0" w:afterAutospacing="0"/>
        <w:rPr>
          <w:rFonts w:ascii="Garamond" w:hAnsi="Garamond"/>
          <w:sz w:val="22"/>
          <w:szCs w:val="22"/>
        </w:rPr>
      </w:pPr>
      <w:r w:rsidRPr="004A0C12">
        <w:rPr>
          <w:rFonts w:ascii="Garamond" w:hAnsi="Garamond"/>
          <w:color w:val="000000"/>
          <w:sz w:val="22"/>
          <w:szCs w:val="22"/>
        </w:rPr>
        <w:t xml:space="preserve">If the service or resource is limited, the covered person receives access to the service or resource instead of or before the non-covered person. </w:t>
      </w:r>
    </w:p>
    <w:p w14:paraId="1A0EA66E" w14:textId="77777777" w:rsidR="000F299B" w:rsidRPr="004A0C12" w:rsidRDefault="00042931" w:rsidP="00042931">
      <w:pPr>
        <w:pStyle w:val="NormalWeb"/>
        <w:spacing w:before="0" w:beforeAutospacing="0" w:afterAutospacing="0"/>
        <w:rPr>
          <w:rFonts w:ascii="Garamond" w:hAnsi="Garamond"/>
          <w:color w:val="000000"/>
          <w:sz w:val="22"/>
          <w:szCs w:val="22"/>
        </w:rPr>
      </w:pPr>
      <w:r w:rsidRPr="004A0C12">
        <w:rPr>
          <w:rFonts w:ascii="Garamond" w:hAnsi="Garamond"/>
          <w:color w:val="000000"/>
          <w:sz w:val="22"/>
          <w:szCs w:val="22"/>
        </w:rPr>
        <w:t>The regulations specify how priority of service is to be applied across three different types of qu</w:t>
      </w:r>
      <w:r w:rsidR="000F299B" w:rsidRPr="004A0C12">
        <w:rPr>
          <w:rFonts w:ascii="Garamond" w:hAnsi="Garamond"/>
          <w:color w:val="000000"/>
          <w:sz w:val="22"/>
          <w:szCs w:val="22"/>
        </w:rPr>
        <w:t>alified job training programs:</w:t>
      </w:r>
    </w:p>
    <w:p w14:paraId="10CC0CFA" w14:textId="77777777" w:rsidR="000F299B" w:rsidRPr="004A0C12" w:rsidRDefault="00042931" w:rsidP="00232F09">
      <w:pPr>
        <w:pStyle w:val="NormalWeb"/>
        <w:numPr>
          <w:ilvl w:val="0"/>
          <w:numId w:val="308"/>
        </w:numPr>
        <w:spacing w:before="0" w:beforeAutospacing="0" w:afterAutospacing="0"/>
        <w:rPr>
          <w:rFonts w:ascii="Garamond" w:hAnsi="Garamond"/>
          <w:sz w:val="22"/>
          <w:szCs w:val="22"/>
        </w:rPr>
      </w:pPr>
      <w:r w:rsidRPr="004A0C12">
        <w:rPr>
          <w:rFonts w:ascii="Garamond" w:hAnsi="Garamond"/>
          <w:color w:val="000000"/>
          <w:sz w:val="22"/>
          <w:szCs w:val="22"/>
        </w:rPr>
        <w:t>Universal access programs that do not target specific groups</w:t>
      </w:r>
      <w:r w:rsidR="000F299B" w:rsidRPr="004A0C12">
        <w:rPr>
          <w:rFonts w:ascii="Garamond" w:hAnsi="Garamond"/>
          <w:color w:val="000000"/>
          <w:sz w:val="22"/>
          <w:szCs w:val="22"/>
        </w:rPr>
        <w:t>;</w:t>
      </w:r>
    </w:p>
    <w:p w14:paraId="70D90258" w14:textId="77777777" w:rsidR="000F299B" w:rsidRPr="004A0C12" w:rsidRDefault="00042931" w:rsidP="00232F09">
      <w:pPr>
        <w:pStyle w:val="NormalWeb"/>
        <w:numPr>
          <w:ilvl w:val="0"/>
          <w:numId w:val="308"/>
        </w:numPr>
        <w:spacing w:before="0" w:beforeAutospacing="0" w:afterAutospacing="0"/>
        <w:rPr>
          <w:rFonts w:ascii="Garamond" w:hAnsi="Garamond"/>
          <w:sz w:val="22"/>
          <w:szCs w:val="22"/>
        </w:rPr>
      </w:pPr>
      <w:r w:rsidRPr="004A0C12">
        <w:rPr>
          <w:rFonts w:ascii="Garamond" w:hAnsi="Garamond"/>
          <w:color w:val="000000"/>
          <w:sz w:val="22"/>
          <w:szCs w:val="22"/>
        </w:rPr>
        <w:t>Discretionary targeting programs that focus on certain groups but are not mandated to serve target group members before oth</w:t>
      </w:r>
      <w:r w:rsidR="000F299B" w:rsidRPr="004A0C12">
        <w:rPr>
          <w:rFonts w:ascii="Garamond" w:hAnsi="Garamond"/>
          <w:color w:val="000000"/>
          <w:sz w:val="22"/>
          <w:szCs w:val="22"/>
        </w:rPr>
        <w:t xml:space="preserve">er eligible individuals; and, </w:t>
      </w:r>
    </w:p>
    <w:p w14:paraId="32AEBFFB" w14:textId="503BD6D7" w:rsidR="00042931" w:rsidRPr="004A0C12" w:rsidRDefault="00042931" w:rsidP="00232F09">
      <w:pPr>
        <w:pStyle w:val="NormalWeb"/>
        <w:numPr>
          <w:ilvl w:val="0"/>
          <w:numId w:val="308"/>
        </w:numPr>
        <w:spacing w:before="0" w:beforeAutospacing="0" w:afterAutospacing="0"/>
        <w:rPr>
          <w:rFonts w:ascii="Garamond" w:hAnsi="Garamond"/>
          <w:sz w:val="22"/>
          <w:szCs w:val="22"/>
        </w:rPr>
      </w:pPr>
      <w:r w:rsidRPr="004A0C12">
        <w:rPr>
          <w:rFonts w:ascii="Garamond" w:hAnsi="Garamond"/>
          <w:color w:val="000000"/>
          <w:sz w:val="22"/>
          <w:szCs w:val="22"/>
        </w:rPr>
        <w:t>Statutory targeting programs that are mandated by federal law to provide priority or preference to certain groups.</w:t>
      </w:r>
    </w:p>
    <w:p w14:paraId="632CB952" w14:textId="77777777" w:rsidR="000F299B" w:rsidRPr="00D02BCE" w:rsidRDefault="00042931" w:rsidP="00042931">
      <w:pPr>
        <w:pStyle w:val="NormalWeb"/>
        <w:spacing w:before="0" w:beforeAutospacing="0" w:afterAutospacing="0"/>
        <w:rPr>
          <w:rFonts w:ascii="Garamond" w:hAnsi="Garamond"/>
          <w:b/>
          <w:color w:val="0070C0"/>
        </w:rPr>
      </w:pPr>
      <w:r w:rsidRPr="00D02BCE">
        <w:rPr>
          <w:rFonts w:ascii="Garamond" w:hAnsi="Garamond"/>
          <w:b/>
          <w:color w:val="0070C0"/>
        </w:rPr>
        <w:t>MONITORING COMPLIANCE WITH PRIORITY OF SERVICE</w:t>
      </w:r>
    </w:p>
    <w:p w14:paraId="0A4584B7" w14:textId="77777777" w:rsidR="000F299B" w:rsidRPr="004A0C12" w:rsidRDefault="00042931" w:rsidP="00042931">
      <w:pPr>
        <w:pStyle w:val="NormalWeb"/>
        <w:spacing w:before="0" w:beforeAutospacing="0" w:afterAutospacing="0"/>
        <w:rPr>
          <w:rFonts w:ascii="Garamond" w:hAnsi="Garamond"/>
          <w:color w:val="000000"/>
          <w:sz w:val="22"/>
          <w:szCs w:val="22"/>
        </w:rPr>
      </w:pPr>
      <w:r w:rsidRPr="004A0C12">
        <w:rPr>
          <w:rFonts w:ascii="Garamond" w:hAnsi="Garamond"/>
          <w:color w:val="000000"/>
          <w:sz w:val="22"/>
          <w:szCs w:val="22"/>
        </w:rPr>
        <w:t xml:space="preserve">DOL will monitor recipients of funds for qualified job training programs to ensure that covered persons are made aware of and provided priority of service. Monitoring will be performed jointly by the Veterans’ Employment and Training Service (VETS), the DOL agency responsible for administering the program, and the Regional Local Veterans Employment Representative (RLVER). The following will </w:t>
      </w:r>
      <w:r w:rsidR="000F299B" w:rsidRPr="004A0C12">
        <w:rPr>
          <w:rFonts w:ascii="Garamond" w:hAnsi="Garamond"/>
          <w:color w:val="000000"/>
          <w:sz w:val="22"/>
          <w:szCs w:val="22"/>
        </w:rPr>
        <w:t>be used to measure compliance:</w:t>
      </w:r>
    </w:p>
    <w:p w14:paraId="5937C35A" w14:textId="77777777" w:rsidR="00200F35" w:rsidRPr="004A0C12" w:rsidRDefault="00042931" w:rsidP="00232F09">
      <w:pPr>
        <w:pStyle w:val="NormalWeb"/>
        <w:numPr>
          <w:ilvl w:val="0"/>
          <w:numId w:val="309"/>
        </w:numPr>
        <w:spacing w:before="0" w:beforeAutospacing="0" w:afterAutospacing="0"/>
        <w:rPr>
          <w:rFonts w:ascii="Garamond" w:hAnsi="Garamond"/>
          <w:sz w:val="22"/>
          <w:szCs w:val="22"/>
        </w:rPr>
      </w:pPr>
      <w:r w:rsidRPr="004A0C12">
        <w:rPr>
          <w:rFonts w:ascii="Garamond" w:hAnsi="Garamond"/>
          <w:color w:val="000000"/>
          <w:sz w:val="22"/>
          <w:szCs w:val="22"/>
        </w:rPr>
        <w:t>The ratio of veterans referred to employment and WIOA servi</w:t>
      </w:r>
      <w:r w:rsidR="000F299B" w:rsidRPr="004A0C12">
        <w:rPr>
          <w:rFonts w:ascii="Garamond" w:hAnsi="Garamond"/>
          <w:color w:val="000000"/>
          <w:sz w:val="22"/>
          <w:szCs w:val="22"/>
        </w:rPr>
        <w:t>ces versus non-veteran clients</w:t>
      </w:r>
    </w:p>
    <w:p w14:paraId="3E2C8CAC" w14:textId="77777777" w:rsidR="00200F35" w:rsidRPr="004A0C12" w:rsidRDefault="00042931" w:rsidP="00232F09">
      <w:pPr>
        <w:pStyle w:val="NormalWeb"/>
        <w:numPr>
          <w:ilvl w:val="0"/>
          <w:numId w:val="309"/>
        </w:numPr>
        <w:spacing w:before="0" w:beforeAutospacing="0" w:afterAutospacing="0"/>
        <w:rPr>
          <w:rFonts w:ascii="Garamond" w:hAnsi="Garamond"/>
          <w:sz w:val="22"/>
          <w:szCs w:val="22"/>
        </w:rPr>
      </w:pPr>
      <w:r w:rsidRPr="004A0C12">
        <w:rPr>
          <w:rFonts w:ascii="Garamond" w:hAnsi="Garamond"/>
          <w:color w:val="000000"/>
          <w:sz w:val="22"/>
          <w:szCs w:val="22"/>
        </w:rPr>
        <w:t>The</w:t>
      </w:r>
      <w:r w:rsidR="000F299B" w:rsidRPr="004A0C12">
        <w:rPr>
          <w:rFonts w:ascii="Garamond" w:hAnsi="Garamond"/>
          <w:color w:val="000000"/>
          <w:sz w:val="22"/>
          <w:szCs w:val="22"/>
        </w:rPr>
        <w:t xml:space="preserve"> ratio of veterans referred and accepted to WIO</w:t>
      </w:r>
      <w:r w:rsidR="00200F35" w:rsidRPr="004A0C12">
        <w:rPr>
          <w:rFonts w:ascii="Garamond" w:hAnsi="Garamond"/>
          <w:color w:val="000000"/>
          <w:sz w:val="22"/>
          <w:szCs w:val="22"/>
        </w:rPr>
        <w:t>A training versus non-veterans</w:t>
      </w:r>
    </w:p>
    <w:p w14:paraId="363D8DD2" w14:textId="77777777" w:rsidR="00200F35" w:rsidRPr="004A0C12" w:rsidRDefault="000F299B" w:rsidP="00232F09">
      <w:pPr>
        <w:pStyle w:val="NormalWeb"/>
        <w:numPr>
          <w:ilvl w:val="0"/>
          <w:numId w:val="309"/>
        </w:numPr>
        <w:spacing w:before="0" w:beforeAutospacing="0" w:afterAutospacing="0"/>
        <w:rPr>
          <w:rFonts w:ascii="Garamond" w:hAnsi="Garamond"/>
          <w:sz w:val="22"/>
          <w:szCs w:val="22"/>
        </w:rPr>
      </w:pPr>
      <w:r w:rsidRPr="004A0C12">
        <w:rPr>
          <w:rFonts w:ascii="Garamond" w:hAnsi="Garamond"/>
          <w:color w:val="000000"/>
          <w:sz w:val="22"/>
          <w:szCs w:val="22"/>
        </w:rPr>
        <w:t>Are veterans priority of service signage ea</w:t>
      </w:r>
      <w:r w:rsidR="00200F35" w:rsidRPr="004A0C12">
        <w:rPr>
          <w:rFonts w:ascii="Garamond" w:hAnsi="Garamond"/>
          <w:color w:val="000000"/>
          <w:sz w:val="22"/>
          <w:szCs w:val="22"/>
        </w:rPr>
        <w:t>sily seen near entrance</w:t>
      </w:r>
    </w:p>
    <w:p w14:paraId="578A1D82" w14:textId="72768894" w:rsidR="000F299B" w:rsidRPr="004A0C12" w:rsidRDefault="000F299B" w:rsidP="00232F09">
      <w:pPr>
        <w:pStyle w:val="NormalWeb"/>
        <w:numPr>
          <w:ilvl w:val="0"/>
          <w:numId w:val="309"/>
        </w:numPr>
        <w:spacing w:before="0" w:beforeAutospacing="0" w:afterAutospacing="0"/>
        <w:rPr>
          <w:rFonts w:ascii="Garamond" w:hAnsi="Garamond"/>
          <w:sz w:val="22"/>
          <w:szCs w:val="22"/>
        </w:rPr>
      </w:pPr>
      <w:r w:rsidRPr="004A0C12">
        <w:rPr>
          <w:rFonts w:ascii="Garamond" w:hAnsi="Garamond"/>
          <w:color w:val="000000"/>
          <w:sz w:val="22"/>
          <w:szCs w:val="22"/>
        </w:rPr>
        <w:t>Are front desk personnel fully versed on veteran priority of service</w:t>
      </w:r>
    </w:p>
    <w:p w14:paraId="4862870F" w14:textId="77777777" w:rsidR="00200F35" w:rsidRPr="004A0C12" w:rsidRDefault="000F299B" w:rsidP="000F299B">
      <w:pPr>
        <w:pStyle w:val="NormalWeb"/>
        <w:spacing w:before="0" w:beforeAutospacing="0" w:afterAutospacing="0"/>
        <w:rPr>
          <w:rFonts w:ascii="Garamond" w:hAnsi="Garamond"/>
          <w:color w:val="000000"/>
          <w:sz w:val="22"/>
          <w:szCs w:val="22"/>
        </w:rPr>
      </w:pPr>
      <w:r w:rsidRPr="004A0C12">
        <w:rPr>
          <w:rFonts w:ascii="Garamond" w:hAnsi="Garamond"/>
          <w:color w:val="000000"/>
          <w:sz w:val="22"/>
          <w:szCs w:val="22"/>
        </w:rPr>
        <w:t xml:space="preserve">If monitoring identifies non-compliance with priority of service, the results of the monitoring: </w:t>
      </w:r>
    </w:p>
    <w:p w14:paraId="77401459" w14:textId="77777777" w:rsidR="00200F35" w:rsidRPr="004A0C12" w:rsidRDefault="000F299B" w:rsidP="000F299B">
      <w:pPr>
        <w:pStyle w:val="NormalWeb"/>
        <w:spacing w:before="0" w:beforeAutospacing="0" w:afterAutospacing="0"/>
        <w:rPr>
          <w:rFonts w:ascii="Garamond" w:hAnsi="Garamond"/>
          <w:color w:val="000000"/>
          <w:sz w:val="22"/>
          <w:szCs w:val="22"/>
        </w:rPr>
      </w:pPr>
      <w:r w:rsidRPr="004A0C12">
        <w:rPr>
          <w:rFonts w:ascii="Garamond" w:hAnsi="Garamond"/>
          <w:color w:val="000000"/>
          <w:sz w:val="22"/>
          <w:szCs w:val="22"/>
        </w:rPr>
        <w:t xml:space="preserve">1. Will be handled in accord with each program’s compliance review procedures; and, </w:t>
      </w:r>
    </w:p>
    <w:p w14:paraId="689AEA5A" w14:textId="70599117" w:rsidR="000F299B" w:rsidRPr="004A0C12" w:rsidRDefault="000F299B" w:rsidP="000F299B">
      <w:pPr>
        <w:pStyle w:val="NormalWeb"/>
        <w:spacing w:before="0" w:beforeAutospacing="0" w:afterAutospacing="0"/>
        <w:rPr>
          <w:rFonts w:ascii="Garamond" w:hAnsi="Garamond"/>
          <w:sz w:val="22"/>
          <w:szCs w:val="22"/>
        </w:rPr>
      </w:pPr>
      <w:r w:rsidRPr="004A0C12">
        <w:rPr>
          <w:rFonts w:ascii="Garamond" w:hAnsi="Garamond"/>
          <w:color w:val="000000"/>
          <w:sz w:val="22"/>
          <w:szCs w:val="22"/>
        </w:rPr>
        <w:t>2. May lead to imposition of a corrective action plan.</w:t>
      </w:r>
    </w:p>
    <w:p w14:paraId="37201BD0" w14:textId="77777777" w:rsidR="00200F35" w:rsidRPr="00D02BCE" w:rsidRDefault="000F299B" w:rsidP="000F299B">
      <w:pPr>
        <w:pStyle w:val="NormalWeb"/>
        <w:spacing w:before="0" w:beforeAutospacing="0" w:afterAutospacing="0"/>
        <w:rPr>
          <w:rFonts w:ascii="Garamond" w:hAnsi="Garamond"/>
          <w:b/>
          <w:color w:val="0070C0"/>
        </w:rPr>
      </w:pPr>
      <w:r w:rsidRPr="00D02BCE">
        <w:rPr>
          <w:rFonts w:ascii="Garamond" w:hAnsi="Garamond"/>
          <w:b/>
          <w:color w:val="0070C0"/>
        </w:rPr>
        <w:t xml:space="preserve">REFERRAL PROCESS FOR VETERANS DETERMINED TO HAVE SIGNIFICANT BARRIERS TO EMPLOYMENT </w:t>
      </w:r>
    </w:p>
    <w:p w14:paraId="1A1D6EA4" w14:textId="65D7C929" w:rsidR="000F299B" w:rsidRPr="004A0C12" w:rsidRDefault="000F299B" w:rsidP="000F299B">
      <w:pPr>
        <w:pStyle w:val="NormalWeb"/>
        <w:spacing w:before="0" w:beforeAutospacing="0" w:afterAutospacing="0"/>
        <w:rPr>
          <w:rFonts w:ascii="Garamond" w:hAnsi="Garamond"/>
          <w:sz w:val="22"/>
          <w:szCs w:val="22"/>
        </w:rPr>
      </w:pPr>
      <w:r w:rsidRPr="004A0C12">
        <w:rPr>
          <w:rFonts w:ascii="Garamond" w:hAnsi="Garamond"/>
          <w:color w:val="000000"/>
          <w:sz w:val="22"/>
          <w:szCs w:val="22"/>
        </w:rPr>
        <w:t>This guidance is meant to limit the number of eligible veterans and eligible spouses who DVOP specialists serve. Limiting DVOP specialists to serving only the veterans and eligible spouses who meet the criteria below will ensure that the DVOP specialists are serving the specific population of eligible veterans and eligible spouses prioritized by 38 U.S.C. 4103A.It will also ensure that DVOP specialists are better able to fulfill their primary responsibility of providing intensive services to all the people they serve. While the DVOP specialists’ provision of intensive services to these veterans and eligible spouses may include some core services, serving a more limited population will allow DVOP specialists enough time to devote a majority of their time to providing intensive services.</w:t>
      </w:r>
    </w:p>
    <w:p w14:paraId="762A4B4A" w14:textId="77777777" w:rsidR="000F299B" w:rsidRPr="004A0C12" w:rsidRDefault="000F299B" w:rsidP="000F299B">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The veterans who do not fall into one of the categories that are served by DVOP specialists are eligible to be served by other AJC Staff, including WIOA, WP, and other AJC program staff, and are eligible for priority of service as is discussed in section 8 below. The SBE categories were developed to implement the priority and maximum emphasis requirements of 38 U.S.C. </w:t>
      </w:r>
      <w:proofErr w:type="gramStart"/>
      <w:r w:rsidRPr="004A0C12">
        <w:rPr>
          <w:rFonts w:ascii="Garamond" w:hAnsi="Garamond"/>
          <w:color w:val="000000"/>
          <w:sz w:val="22"/>
          <w:szCs w:val="22"/>
        </w:rPr>
        <w:t>4103A(</w:t>
      </w:r>
      <w:proofErr w:type="gramEnd"/>
      <w:r w:rsidRPr="004A0C12">
        <w:rPr>
          <w:rFonts w:ascii="Garamond" w:hAnsi="Garamond"/>
          <w:color w:val="000000"/>
          <w:sz w:val="22"/>
          <w:szCs w:val="22"/>
        </w:rPr>
        <w:t>a).</w:t>
      </w:r>
    </w:p>
    <w:p w14:paraId="4F973B2F" w14:textId="77777777" w:rsidR="000F299B" w:rsidRPr="004A0C12" w:rsidRDefault="000F299B" w:rsidP="000F299B">
      <w:pPr>
        <w:pStyle w:val="NormalWeb"/>
        <w:spacing w:before="0" w:beforeAutospacing="0" w:afterAutospacing="0"/>
        <w:rPr>
          <w:rFonts w:ascii="Garamond" w:hAnsi="Garamond"/>
          <w:sz w:val="22"/>
          <w:szCs w:val="22"/>
        </w:rPr>
      </w:pPr>
      <w:r w:rsidRPr="004A0C12">
        <w:rPr>
          <w:rFonts w:ascii="Garamond" w:hAnsi="Garamond"/>
          <w:color w:val="000000"/>
          <w:sz w:val="22"/>
          <w:szCs w:val="22"/>
        </w:rPr>
        <w:lastRenderedPageBreak/>
        <w:t>As required by that subsection, “special disabled veterans” and “disabled veterans” (as those terms are defined in 38 U.S.C. 4211(1) and (3)) are included in the group of veterans who are given priority because they have a SBE. In addition, the SBE categories give priority to the other categories of veterans and eligible spouses identified by the Secretary and gives maximum emphasis to serving veterans and eligible spouses who are educationally or economically disadvantaged, such as certain groups of veterans and spouses who have been removed from the workforce for significant periods of time.</w:t>
      </w:r>
    </w:p>
    <w:p w14:paraId="77C66A17" w14:textId="77777777" w:rsidR="000F299B" w:rsidRPr="004A0C12" w:rsidRDefault="000F299B" w:rsidP="000F299B">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Additionally, under 38 U.S.C. </w:t>
      </w:r>
      <w:proofErr w:type="gramStart"/>
      <w:r w:rsidRPr="004A0C12">
        <w:rPr>
          <w:rFonts w:ascii="Garamond" w:hAnsi="Garamond"/>
          <w:color w:val="000000"/>
          <w:sz w:val="22"/>
          <w:szCs w:val="22"/>
        </w:rPr>
        <w:t>4103A(</w:t>
      </w:r>
      <w:proofErr w:type="gramEnd"/>
      <w:r w:rsidRPr="004A0C12">
        <w:rPr>
          <w:rFonts w:ascii="Garamond" w:hAnsi="Garamond"/>
          <w:color w:val="000000"/>
          <w:sz w:val="22"/>
          <w:szCs w:val="22"/>
        </w:rPr>
        <w:t>a)(1)(C), the Secretary may choose to prioritize additional categories of veterans and eligible spouses who may receive intensive services from DVOP specialists. Any additional priorities will be set forth in separate guidance. The Secretary will regularly reassess the definition to ensure it reflects the best available data and trends associated with veteran employment and continues to identify those veterans who are to be given priority and maximum emphasis for DVOP services under 38 U.S.C. 4103A(a).</w:t>
      </w:r>
    </w:p>
    <w:p w14:paraId="11E0E367" w14:textId="77777777" w:rsidR="000F299B" w:rsidRPr="004A0C12" w:rsidRDefault="000F299B" w:rsidP="000F299B">
      <w:pPr>
        <w:pStyle w:val="NormalWeb"/>
        <w:spacing w:before="0" w:beforeAutospacing="0" w:afterAutospacing="0"/>
        <w:rPr>
          <w:rFonts w:ascii="Garamond" w:hAnsi="Garamond"/>
          <w:sz w:val="22"/>
          <w:szCs w:val="22"/>
        </w:rPr>
      </w:pPr>
      <w:r w:rsidRPr="004A0C12">
        <w:rPr>
          <w:rFonts w:ascii="Garamond" w:hAnsi="Garamond"/>
          <w:color w:val="000000"/>
          <w:sz w:val="22"/>
          <w:szCs w:val="22"/>
        </w:rPr>
        <w:t>An eligible veteran or eligible spouse who is identified as having a SBE must be immediately referred to a DVOP specialist or, in instances where a DVOP specialist is not available, another AJC provider of intensive services. For planning purposes, ETA and VETS anticipate that approximately 30 percent of veterans seeking AJC services nationwide will be identified as having a SBE.</w:t>
      </w:r>
    </w:p>
    <w:p w14:paraId="02B15126" w14:textId="6782DB32" w:rsidR="00200F35" w:rsidRPr="004A0C12" w:rsidRDefault="000F299B" w:rsidP="00200F35">
      <w:pPr>
        <w:pStyle w:val="NormalWeb"/>
        <w:spacing w:before="0" w:beforeAutospacing="0" w:afterAutospacing="0"/>
        <w:rPr>
          <w:rFonts w:ascii="Garamond" w:hAnsi="Garamond"/>
          <w:sz w:val="22"/>
          <w:szCs w:val="22"/>
        </w:rPr>
      </w:pPr>
      <w:r w:rsidRPr="004A0C12">
        <w:rPr>
          <w:rFonts w:ascii="Garamond" w:hAnsi="Garamond"/>
          <w:color w:val="000000"/>
          <w:sz w:val="22"/>
          <w:szCs w:val="22"/>
        </w:rPr>
        <w:t>In accordance with 38 U.S.C. 4103A(a), DVOP specialists must provide intensive services to eligible veterans and eligible spouses to meet their employment needs, prioritizing service to special disabled and other disabled veterans, as defined by 38 U.S.C. 4211, and to other eligible veterans in accordance with priorities determined by the Secretary.</w:t>
      </w:r>
    </w:p>
    <w:p w14:paraId="5BEA2DCC" w14:textId="77777777" w:rsidR="00200F35" w:rsidRPr="004A0C12" w:rsidRDefault="00200F35" w:rsidP="00200F35">
      <w:pPr>
        <w:pStyle w:val="NormalWeb"/>
        <w:spacing w:before="0" w:beforeAutospacing="0" w:afterAutospacing="0"/>
        <w:rPr>
          <w:rFonts w:ascii="Garamond" w:hAnsi="Garamond"/>
          <w:sz w:val="22"/>
          <w:szCs w:val="22"/>
        </w:rPr>
      </w:pPr>
      <w:r w:rsidRPr="004A0C12">
        <w:rPr>
          <w:rFonts w:ascii="Garamond" w:hAnsi="Garamond"/>
          <w:color w:val="000000"/>
          <w:sz w:val="22"/>
          <w:szCs w:val="22"/>
        </w:rPr>
        <w:t>The statute also requires that DVOP specialists place maximum emphasis on assisting veterans who are economically or educationally disadvantaged. To ensure that DVOP specialists are able to fulfill their statutory responsibilities to provide intensive services to these categories of veterans, DOL has developed the following guidance to identify the veterans prioritized and emphasized by the DVOP statute.</w:t>
      </w:r>
    </w:p>
    <w:p w14:paraId="41EBD608" w14:textId="77777777" w:rsidR="00200F35" w:rsidRPr="004A0C12" w:rsidRDefault="00200F35" w:rsidP="00200F35">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In order to realign DVOP specialists’ roles, DOL is directing that DVOP specialists must limit their activities to providing services to eligible veterans and eligible spouses who: a. meet the definition of an individual with a Significant Barrier to Employment (SBE), specifically defined in bold, below paragraph (b), or b. are members of a veteran population identified by the Secretary under 38 U.S.C. </w:t>
      </w:r>
      <w:proofErr w:type="gramStart"/>
      <w:r w:rsidRPr="004A0C12">
        <w:rPr>
          <w:rFonts w:ascii="Garamond" w:hAnsi="Garamond"/>
          <w:color w:val="000000"/>
          <w:sz w:val="22"/>
          <w:szCs w:val="22"/>
        </w:rPr>
        <w:t>4103A(</w:t>
      </w:r>
      <w:proofErr w:type="gramEnd"/>
      <w:r w:rsidRPr="004A0C12">
        <w:rPr>
          <w:rFonts w:ascii="Garamond" w:hAnsi="Garamond"/>
          <w:color w:val="000000"/>
          <w:sz w:val="22"/>
          <w:szCs w:val="22"/>
        </w:rPr>
        <w:t>a)(1)(C) as eligible for DVOP services, as explained in separate guidance from DOL.</w:t>
      </w:r>
    </w:p>
    <w:p w14:paraId="221FF671" w14:textId="0F5CE5BE" w:rsidR="00200F35" w:rsidRPr="004A0C12" w:rsidRDefault="00200F35" w:rsidP="00200F35">
      <w:pPr>
        <w:pStyle w:val="NormalWeb"/>
        <w:spacing w:before="0" w:beforeAutospacing="0" w:afterAutospacing="0"/>
        <w:rPr>
          <w:rFonts w:ascii="Garamond" w:hAnsi="Garamond"/>
          <w:sz w:val="22"/>
          <w:szCs w:val="22"/>
        </w:rPr>
      </w:pPr>
      <w:r w:rsidRPr="004A0C12">
        <w:rPr>
          <w:rFonts w:ascii="Garamond" w:hAnsi="Garamond"/>
          <w:color w:val="000000"/>
          <w:sz w:val="22"/>
          <w:szCs w:val="22"/>
        </w:rPr>
        <w:t>An eligible veteran or eligible spouse is determined to have a SBE if he or she attests to belonging to at least one of the six criteria below</w:t>
      </w:r>
      <w:proofErr w:type="gramStart"/>
      <w:r w:rsidRPr="004A0C12">
        <w:rPr>
          <w:rFonts w:ascii="Garamond" w:hAnsi="Garamond"/>
          <w:color w:val="000000"/>
          <w:sz w:val="22"/>
          <w:szCs w:val="22"/>
        </w:rPr>
        <w:t>:1</w:t>
      </w:r>
      <w:proofErr w:type="gramEnd"/>
      <w:r w:rsidRPr="004A0C12">
        <w:rPr>
          <w:rFonts w:ascii="Garamond" w:hAnsi="Garamond"/>
          <w:color w:val="000000"/>
          <w:sz w:val="22"/>
          <w:szCs w:val="22"/>
        </w:rPr>
        <w:t>. A special disabled or disabled veteran, as those terms are defined in 38 U.S.C § 4211(1) and (3); Special disabled and disabled veterans are those: o who are entitled to compensation (or who but for the receipt of military retired pay would be entitled to compensation) under laws administered by the Secretary of Veterans’ Affairs; or, o were discharged or released from active duty because of a service connected disability</w:t>
      </w:r>
      <w:proofErr w:type="gramStart"/>
      <w:r w:rsidRPr="004A0C12">
        <w:rPr>
          <w:rFonts w:ascii="Garamond" w:hAnsi="Garamond"/>
          <w:color w:val="000000"/>
          <w:sz w:val="22"/>
          <w:szCs w:val="22"/>
        </w:rPr>
        <w:t>;2</w:t>
      </w:r>
      <w:proofErr w:type="gramEnd"/>
      <w:r w:rsidRPr="004A0C12">
        <w:rPr>
          <w:rFonts w:ascii="Garamond" w:hAnsi="Garamond"/>
          <w:color w:val="000000"/>
          <w:sz w:val="22"/>
          <w:szCs w:val="22"/>
        </w:rPr>
        <w:t>. Homeless, as defined in Section 103(a) of the Stewart B. McKinney Homeless Assistance Act (42 U.S.C. 11302(a))</w:t>
      </w:r>
      <w:proofErr w:type="gramStart"/>
      <w:r w:rsidRPr="004A0C12">
        <w:rPr>
          <w:rFonts w:ascii="Garamond" w:hAnsi="Garamond"/>
          <w:color w:val="000000"/>
          <w:sz w:val="22"/>
          <w:szCs w:val="22"/>
        </w:rPr>
        <w:t>;3</w:t>
      </w:r>
      <w:proofErr w:type="gramEnd"/>
      <w:r w:rsidRPr="004A0C12">
        <w:rPr>
          <w:rFonts w:ascii="Garamond" w:hAnsi="Garamond"/>
          <w:color w:val="000000"/>
          <w:sz w:val="22"/>
          <w:szCs w:val="22"/>
        </w:rPr>
        <w:t>. A recently-separated service member, as defined in 38 U.S.C § 4211(6), who at any point in the previous 12 months has been unemployed for 27 or more consecutive weeks;4. An offender, as defined by WIA Section 101(27), who has been released from incarceration within the last 12 months</w:t>
      </w:r>
      <w:proofErr w:type="gramStart"/>
      <w:r w:rsidRPr="004A0C12">
        <w:rPr>
          <w:rFonts w:ascii="Garamond" w:hAnsi="Garamond"/>
          <w:color w:val="000000"/>
          <w:sz w:val="22"/>
          <w:szCs w:val="22"/>
        </w:rPr>
        <w:t>;5</w:t>
      </w:r>
      <w:proofErr w:type="gramEnd"/>
      <w:r w:rsidRPr="004A0C12">
        <w:rPr>
          <w:rFonts w:ascii="Garamond" w:hAnsi="Garamond"/>
          <w:color w:val="000000"/>
          <w:sz w:val="22"/>
          <w:szCs w:val="22"/>
        </w:rPr>
        <w:t xml:space="preserve">. </w:t>
      </w:r>
      <w:proofErr w:type="gramStart"/>
      <w:r w:rsidRPr="004A0C12">
        <w:rPr>
          <w:rFonts w:ascii="Garamond" w:hAnsi="Garamond"/>
          <w:color w:val="000000"/>
          <w:sz w:val="22"/>
          <w:szCs w:val="22"/>
        </w:rPr>
        <w:t>Lacking a high school diploma or equivalent certificate; or6.</w:t>
      </w:r>
      <w:proofErr w:type="gramEnd"/>
      <w:r w:rsidRPr="004A0C12">
        <w:rPr>
          <w:rFonts w:ascii="Garamond" w:hAnsi="Garamond"/>
          <w:color w:val="000000"/>
          <w:sz w:val="22"/>
          <w:szCs w:val="22"/>
        </w:rPr>
        <w:t xml:space="preserve"> Low-income (as defined by WIA at Sec. 101(25</w:t>
      </w:r>
      <w:proofErr w:type="gramStart"/>
      <w:r w:rsidRPr="004A0C12">
        <w:rPr>
          <w:rFonts w:ascii="Garamond" w:hAnsi="Garamond"/>
          <w:color w:val="000000"/>
          <w:sz w:val="22"/>
          <w:szCs w:val="22"/>
        </w:rPr>
        <w:t>)(</w:t>
      </w:r>
      <w:proofErr w:type="gramEnd"/>
      <w:r w:rsidRPr="004A0C12">
        <w:rPr>
          <w:rFonts w:ascii="Garamond" w:hAnsi="Garamond"/>
          <w:color w:val="000000"/>
          <w:sz w:val="22"/>
          <w:szCs w:val="22"/>
        </w:rPr>
        <w:t>B)).</w:t>
      </w:r>
    </w:p>
    <w:p w14:paraId="6C79999D" w14:textId="77777777" w:rsidR="00042931" w:rsidRPr="004A0C12" w:rsidRDefault="00042931" w:rsidP="009523C7">
      <w:pPr>
        <w:spacing w:after="0" w:line="240" w:lineRule="auto"/>
        <w:jc w:val="both"/>
        <w:rPr>
          <w:rFonts w:ascii="Garamond" w:hAnsi="Garamond"/>
        </w:rPr>
      </w:pPr>
    </w:p>
    <w:p w14:paraId="7CD83E74" w14:textId="77777777" w:rsidR="009523C7" w:rsidRPr="00D02BCE" w:rsidRDefault="00AB5AEF" w:rsidP="00AB5AEF">
      <w:pPr>
        <w:pStyle w:val="Heading2"/>
        <w:rPr>
          <w:rStyle w:val="FootnoteReference1"/>
          <w:rFonts w:ascii="Garamond" w:hAnsi="Garamond"/>
          <w:color w:val="4F81BD" w:themeColor="accent1"/>
          <w:sz w:val="24"/>
          <w:szCs w:val="24"/>
          <w:vertAlign w:val="baseline"/>
        </w:rPr>
      </w:pPr>
      <w:bookmarkStart w:id="106" w:name="_Toc447276150"/>
      <w:r w:rsidRPr="00D02BCE">
        <w:rPr>
          <w:rStyle w:val="FootnoteReference1"/>
          <w:rFonts w:ascii="Garamond" w:hAnsi="Garamond"/>
          <w:color w:val="4F81BD" w:themeColor="accent1"/>
          <w:sz w:val="24"/>
          <w:szCs w:val="24"/>
          <w:vertAlign w:val="baseline"/>
        </w:rPr>
        <w:t>WIOA SYSTEM ACCESSIBILITY FOR</w:t>
      </w:r>
      <w:r w:rsidR="009523C7" w:rsidRPr="00D02BCE">
        <w:rPr>
          <w:rStyle w:val="FootnoteReference1"/>
          <w:rFonts w:ascii="Garamond" w:hAnsi="Garamond"/>
          <w:color w:val="4F81BD" w:themeColor="accent1"/>
          <w:sz w:val="24"/>
          <w:szCs w:val="24"/>
          <w:vertAlign w:val="baseline"/>
        </w:rPr>
        <w:t xml:space="preserve"> ALL MARYLANDERS</w:t>
      </w:r>
      <w:bookmarkEnd w:id="106"/>
    </w:p>
    <w:p w14:paraId="0EE0E221" w14:textId="77777777" w:rsidR="009523C7" w:rsidRPr="004A0C12" w:rsidRDefault="009523C7" w:rsidP="009523C7">
      <w:pPr>
        <w:spacing w:after="0" w:line="240" w:lineRule="auto"/>
        <w:contextualSpacing/>
        <w:jc w:val="both"/>
        <w:rPr>
          <w:rFonts w:ascii="Garamond" w:hAnsi="Garamond"/>
        </w:rPr>
      </w:pPr>
      <w:r w:rsidRPr="004A0C12">
        <w:rPr>
          <w:rFonts w:ascii="Garamond" w:hAnsi="Garamond"/>
        </w:rPr>
        <w:t xml:space="preserve">Maryland’s WIOA oversight entities are committed to ensuring that individuals with disabilities have equal access to all WIOA covered programs and activities. The State of Maryland will ensure that sub-recipients establish and implement appropriate procedures and processes under the Americans with Disabilities Act (ADA) and Rehabilitation Act -Title IV.  </w:t>
      </w:r>
    </w:p>
    <w:p w14:paraId="644FB45F" w14:textId="77777777" w:rsidR="009523C7" w:rsidRPr="004A0C12" w:rsidRDefault="009523C7" w:rsidP="009523C7">
      <w:pPr>
        <w:spacing w:after="0" w:line="240" w:lineRule="auto"/>
        <w:contextualSpacing/>
        <w:jc w:val="both"/>
        <w:rPr>
          <w:rFonts w:ascii="Garamond" w:hAnsi="Garamond"/>
        </w:rPr>
      </w:pPr>
    </w:p>
    <w:p w14:paraId="60C79D0A" w14:textId="13E643AF" w:rsidR="009523C7" w:rsidRPr="004A0C12" w:rsidRDefault="009523C7" w:rsidP="009523C7">
      <w:pPr>
        <w:spacing w:after="0" w:line="240" w:lineRule="auto"/>
        <w:contextualSpacing/>
        <w:jc w:val="both"/>
        <w:rPr>
          <w:rFonts w:ascii="Garamond" w:hAnsi="Garamond"/>
        </w:rPr>
      </w:pPr>
      <w:r w:rsidRPr="004A0C12">
        <w:rPr>
          <w:rFonts w:ascii="Garamond" w:hAnsi="Garamond"/>
        </w:rPr>
        <w:t>The State of Maryland has taken necessary steps to identify compliance under Section 188 of WIOA which contains provisions identical to</w:t>
      </w:r>
      <w:r w:rsidR="00F21DB1" w:rsidRPr="004A0C12">
        <w:rPr>
          <w:rFonts w:ascii="Garamond" w:hAnsi="Garamond"/>
        </w:rPr>
        <w:t xml:space="preserve"> those in Section 188 of WIA.  Additionally, t</w:t>
      </w:r>
      <w:r w:rsidRPr="004A0C12">
        <w:rPr>
          <w:rFonts w:ascii="Garamond" w:hAnsi="Garamond"/>
        </w:rPr>
        <w:t>he State will ensure that all local workforce areas comply with provisions that prohibit discrimination against individuals who apply to, participate in, work for, or come into contact with programs and activities that receive finan</w:t>
      </w:r>
      <w:r w:rsidR="00F21DB1" w:rsidRPr="004A0C12">
        <w:rPr>
          <w:rFonts w:ascii="Garamond" w:hAnsi="Garamond"/>
        </w:rPr>
        <w:t>cial assistance from USDOL, United States</w:t>
      </w:r>
      <w:r w:rsidRPr="004A0C12">
        <w:rPr>
          <w:rFonts w:ascii="Garamond" w:hAnsi="Garamond"/>
        </w:rPr>
        <w:t xml:space="preserve"> Department of Education, and the U.S. Department of Health &amp; Human Services. </w:t>
      </w:r>
    </w:p>
    <w:p w14:paraId="23FBC919" w14:textId="77777777" w:rsidR="00F21DB1" w:rsidRPr="004A0C12" w:rsidRDefault="00F21DB1" w:rsidP="009523C7">
      <w:pPr>
        <w:spacing w:after="0" w:line="240" w:lineRule="auto"/>
        <w:contextualSpacing/>
        <w:jc w:val="both"/>
        <w:rPr>
          <w:rFonts w:ascii="Garamond" w:hAnsi="Garamond"/>
        </w:rPr>
      </w:pPr>
    </w:p>
    <w:p w14:paraId="18DBFD3E" w14:textId="0D5E84F9" w:rsidR="00A40253" w:rsidRPr="004A0C12" w:rsidRDefault="009523C7" w:rsidP="009523C7">
      <w:pPr>
        <w:spacing w:after="0" w:line="240" w:lineRule="auto"/>
        <w:contextualSpacing/>
        <w:jc w:val="both"/>
        <w:rPr>
          <w:rFonts w:ascii="Garamond" w:hAnsi="Garamond"/>
        </w:rPr>
      </w:pPr>
      <w:r w:rsidRPr="004A0C12">
        <w:rPr>
          <w:rFonts w:ascii="Garamond" w:hAnsi="Garamond"/>
        </w:rPr>
        <w:t xml:space="preserve">Section 188 </w:t>
      </w:r>
      <w:r w:rsidR="00F21DB1" w:rsidRPr="004A0C12">
        <w:rPr>
          <w:rFonts w:ascii="Garamond" w:hAnsi="Garamond"/>
        </w:rPr>
        <w:t xml:space="preserve">of WIOA </w:t>
      </w:r>
      <w:r w:rsidRPr="004A0C12">
        <w:rPr>
          <w:rFonts w:ascii="Garamond" w:hAnsi="Garamond"/>
        </w:rPr>
        <w:t xml:space="preserve">prohibits discrimination on the grounds of race, color, religion, sex, national origin, age, disability, or political affiliation or belief, among other bases. Section 188 also requires that reasonable accommodations be provided to qualified individuals with disabilities in certain circumstances.  American Job Center </w:t>
      </w:r>
      <w:proofErr w:type="gramStart"/>
      <w:r w:rsidRPr="004A0C12">
        <w:rPr>
          <w:rFonts w:ascii="Garamond" w:hAnsi="Garamond"/>
        </w:rPr>
        <w:t>are</w:t>
      </w:r>
      <w:proofErr w:type="gramEnd"/>
      <w:r w:rsidRPr="004A0C12">
        <w:rPr>
          <w:rFonts w:ascii="Garamond" w:hAnsi="Garamond"/>
        </w:rPr>
        <w:t xml:space="preserve"> expected to meet the needs of their </w:t>
      </w:r>
      <w:r w:rsidRPr="004A0C12">
        <w:rPr>
          <w:rFonts w:ascii="Garamond" w:hAnsi="Garamond"/>
        </w:rPr>
        <w:lastRenderedPageBreak/>
        <w:t xml:space="preserve">customers by ensuring universal access to their programs and activities for all eligible individuals.  Universal access includes performance of the following functions: </w:t>
      </w:r>
    </w:p>
    <w:p w14:paraId="4A8EEC05" w14:textId="77777777" w:rsidR="00A40253" w:rsidRPr="004A0C12" w:rsidRDefault="00A40253" w:rsidP="009523C7">
      <w:pPr>
        <w:spacing w:after="0" w:line="240" w:lineRule="auto"/>
        <w:contextualSpacing/>
        <w:jc w:val="both"/>
        <w:rPr>
          <w:rFonts w:ascii="Garamond" w:hAnsi="Garamond"/>
        </w:rPr>
      </w:pPr>
    </w:p>
    <w:p w14:paraId="68015401" w14:textId="2B0649B3" w:rsidR="009523C7" w:rsidRPr="004A0C12" w:rsidRDefault="00F21DB1" w:rsidP="00F733CF">
      <w:pPr>
        <w:numPr>
          <w:ilvl w:val="0"/>
          <w:numId w:val="95"/>
        </w:numPr>
        <w:tabs>
          <w:tab w:val="clear" w:pos="297"/>
          <w:tab w:val="num" w:pos="720"/>
        </w:tabs>
        <w:spacing w:after="0" w:line="240" w:lineRule="auto"/>
        <w:ind w:left="783" w:hanging="360"/>
        <w:contextualSpacing/>
        <w:jc w:val="both"/>
        <w:rPr>
          <w:rFonts w:ascii="Garamond" w:hAnsi="Garamond"/>
        </w:rPr>
      </w:pPr>
      <w:r w:rsidRPr="004A0C12">
        <w:rPr>
          <w:rFonts w:ascii="Garamond" w:hAnsi="Garamond"/>
        </w:rPr>
        <w:t>Understanding local needs</w:t>
      </w:r>
    </w:p>
    <w:p w14:paraId="1600A28D" w14:textId="178436B5" w:rsidR="009523C7" w:rsidRPr="004A0C12" w:rsidRDefault="00F21DB1" w:rsidP="00F733CF">
      <w:pPr>
        <w:numPr>
          <w:ilvl w:val="0"/>
          <w:numId w:val="95"/>
        </w:numPr>
        <w:tabs>
          <w:tab w:val="clear" w:pos="297"/>
          <w:tab w:val="num" w:pos="720"/>
        </w:tabs>
        <w:spacing w:after="0" w:line="240" w:lineRule="auto"/>
        <w:ind w:left="783" w:hanging="360"/>
        <w:contextualSpacing/>
        <w:jc w:val="both"/>
        <w:rPr>
          <w:rFonts w:ascii="Garamond" w:hAnsi="Garamond"/>
        </w:rPr>
      </w:pPr>
      <w:r w:rsidRPr="004A0C12">
        <w:rPr>
          <w:rFonts w:ascii="Garamond" w:hAnsi="Garamond"/>
        </w:rPr>
        <w:t>Marketing and outreach</w:t>
      </w:r>
    </w:p>
    <w:p w14:paraId="3168BC30" w14:textId="41C790DC" w:rsidR="009523C7" w:rsidRPr="004A0C12" w:rsidRDefault="009523C7" w:rsidP="00F733CF">
      <w:pPr>
        <w:numPr>
          <w:ilvl w:val="0"/>
          <w:numId w:val="95"/>
        </w:numPr>
        <w:tabs>
          <w:tab w:val="clear" w:pos="297"/>
          <w:tab w:val="num" w:pos="720"/>
        </w:tabs>
        <w:spacing w:after="0" w:line="240" w:lineRule="auto"/>
        <w:ind w:left="783" w:hanging="360"/>
        <w:contextualSpacing/>
        <w:jc w:val="both"/>
        <w:rPr>
          <w:rFonts w:ascii="Garamond" w:hAnsi="Garamond"/>
        </w:rPr>
      </w:pPr>
      <w:r w:rsidRPr="004A0C12">
        <w:rPr>
          <w:rFonts w:ascii="Garamond" w:hAnsi="Garamond"/>
        </w:rPr>
        <w:t>Involvi</w:t>
      </w:r>
      <w:r w:rsidR="00F21DB1" w:rsidRPr="004A0C12">
        <w:rPr>
          <w:rFonts w:ascii="Garamond" w:hAnsi="Garamond"/>
        </w:rPr>
        <w:t>ng community groups and schools</w:t>
      </w:r>
      <w:r w:rsidRPr="004A0C12">
        <w:rPr>
          <w:rFonts w:ascii="Garamond" w:hAnsi="Garamond"/>
        </w:rPr>
        <w:t xml:space="preserve"> </w:t>
      </w:r>
    </w:p>
    <w:p w14:paraId="1A08436C" w14:textId="331FC426" w:rsidR="009523C7" w:rsidRPr="004A0C12" w:rsidRDefault="009523C7" w:rsidP="00F733CF">
      <w:pPr>
        <w:numPr>
          <w:ilvl w:val="0"/>
          <w:numId w:val="95"/>
        </w:numPr>
        <w:tabs>
          <w:tab w:val="clear" w:pos="297"/>
          <w:tab w:val="num" w:pos="720"/>
        </w:tabs>
        <w:spacing w:after="0" w:line="240" w:lineRule="auto"/>
        <w:ind w:left="783" w:hanging="360"/>
        <w:contextualSpacing/>
        <w:jc w:val="both"/>
        <w:rPr>
          <w:rFonts w:ascii="Garamond" w:hAnsi="Garamond"/>
        </w:rPr>
      </w:pPr>
      <w:r w:rsidRPr="004A0C12">
        <w:rPr>
          <w:rFonts w:ascii="Garamond" w:hAnsi="Garamond"/>
        </w:rPr>
        <w:t>Effecting collaboration, incl</w:t>
      </w:r>
      <w:r w:rsidR="00F21DB1" w:rsidRPr="004A0C12">
        <w:rPr>
          <w:rFonts w:ascii="Garamond" w:hAnsi="Garamond"/>
        </w:rPr>
        <w:t>uding partnerships and linkages</w:t>
      </w:r>
      <w:r w:rsidRPr="004A0C12">
        <w:rPr>
          <w:rFonts w:ascii="Garamond" w:hAnsi="Garamond"/>
        </w:rPr>
        <w:t xml:space="preserve"> </w:t>
      </w:r>
    </w:p>
    <w:p w14:paraId="4A0F52BC" w14:textId="064861AF" w:rsidR="009523C7" w:rsidRPr="004A0C12" w:rsidRDefault="00F21DB1" w:rsidP="00F733CF">
      <w:pPr>
        <w:numPr>
          <w:ilvl w:val="0"/>
          <w:numId w:val="95"/>
        </w:numPr>
        <w:tabs>
          <w:tab w:val="clear" w:pos="297"/>
          <w:tab w:val="num" w:pos="720"/>
        </w:tabs>
        <w:spacing w:after="0" w:line="240" w:lineRule="auto"/>
        <w:ind w:left="783" w:hanging="360"/>
        <w:contextualSpacing/>
        <w:jc w:val="both"/>
        <w:rPr>
          <w:rFonts w:ascii="Garamond" w:hAnsi="Garamond"/>
        </w:rPr>
      </w:pPr>
      <w:r w:rsidRPr="004A0C12">
        <w:rPr>
          <w:rFonts w:ascii="Garamond" w:hAnsi="Garamond"/>
        </w:rPr>
        <w:t>Staff training</w:t>
      </w:r>
    </w:p>
    <w:p w14:paraId="48E5E198" w14:textId="4486AF7A" w:rsidR="009523C7" w:rsidRPr="004A0C12" w:rsidRDefault="009523C7" w:rsidP="00F733CF">
      <w:pPr>
        <w:numPr>
          <w:ilvl w:val="0"/>
          <w:numId w:val="95"/>
        </w:numPr>
        <w:tabs>
          <w:tab w:val="clear" w:pos="297"/>
          <w:tab w:val="num" w:pos="720"/>
        </w:tabs>
        <w:spacing w:after="0" w:line="240" w:lineRule="auto"/>
        <w:ind w:left="783" w:hanging="360"/>
        <w:contextualSpacing/>
        <w:jc w:val="both"/>
        <w:rPr>
          <w:rFonts w:ascii="Garamond" w:hAnsi="Garamond"/>
        </w:rPr>
      </w:pPr>
      <w:r w:rsidRPr="004A0C12">
        <w:rPr>
          <w:rFonts w:ascii="Garamond" w:hAnsi="Garamond"/>
        </w:rPr>
        <w:t>Intake</w:t>
      </w:r>
      <w:r w:rsidR="00F21DB1" w:rsidRPr="004A0C12">
        <w:rPr>
          <w:rFonts w:ascii="Garamond" w:hAnsi="Garamond"/>
        </w:rPr>
        <w:t>, registration and orientation</w:t>
      </w:r>
    </w:p>
    <w:p w14:paraId="360C6241" w14:textId="2E885EC9" w:rsidR="009523C7" w:rsidRPr="004A0C12" w:rsidRDefault="009523C7" w:rsidP="00F733CF">
      <w:pPr>
        <w:numPr>
          <w:ilvl w:val="0"/>
          <w:numId w:val="95"/>
        </w:numPr>
        <w:tabs>
          <w:tab w:val="clear" w:pos="297"/>
          <w:tab w:val="num" w:pos="720"/>
        </w:tabs>
        <w:spacing w:after="0" w:line="240" w:lineRule="auto"/>
        <w:ind w:left="783" w:hanging="360"/>
        <w:contextualSpacing/>
        <w:jc w:val="both"/>
        <w:rPr>
          <w:rFonts w:ascii="Garamond" w:hAnsi="Garamond"/>
        </w:rPr>
      </w:pPr>
      <w:r w:rsidRPr="004A0C12">
        <w:rPr>
          <w:rFonts w:ascii="Garamond" w:hAnsi="Garamond"/>
        </w:rPr>
        <w:t>A</w:t>
      </w:r>
      <w:r w:rsidR="00F21DB1" w:rsidRPr="004A0C12">
        <w:rPr>
          <w:rFonts w:ascii="Garamond" w:hAnsi="Garamond"/>
        </w:rPr>
        <w:t>ssessments and screening</w:t>
      </w:r>
    </w:p>
    <w:p w14:paraId="14222FE2" w14:textId="2F06DE27" w:rsidR="009523C7" w:rsidRPr="004A0C12" w:rsidRDefault="00F21DB1" w:rsidP="00F733CF">
      <w:pPr>
        <w:numPr>
          <w:ilvl w:val="0"/>
          <w:numId w:val="95"/>
        </w:numPr>
        <w:tabs>
          <w:tab w:val="clear" w:pos="297"/>
          <w:tab w:val="num" w:pos="720"/>
        </w:tabs>
        <w:spacing w:after="0" w:line="240" w:lineRule="auto"/>
        <w:ind w:left="783" w:hanging="360"/>
        <w:contextualSpacing/>
        <w:jc w:val="both"/>
        <w:rPr>
          <w:rFonts w:ascii="Garamond" w:hAnsi="Garamond"/>
        </w:rPr>
      </w:pPr>
      <w:r w:rsidRPr="004A0C12">
        <w:rPr>
          <w:rFonts w:ascii="Garamond" w:hAnsi="Garamond"/>
        </w:rPr>
        <w:t>Service delivery</w:t>
      </w:r>
    </w:p>
    <w:p w14:paraId="7E93A386" w14:textId="77777777" w:rsidR="009523C7" w:rsidRPr="004A0C12" w:rsidRDefault="009523C7" w:rsidP="009523C7">
      <w:pPr>
        <w:spacing w:after="0" w:line="240" w:lineRule="auto"/>
        <w:contextualSpacing/>
        <w:rPr>
          <w:rFonts w:ascii="Garamond" w:hAnsi="Garamond"/>
        </w:rPr>
      </w:pPr>
    </w:p>
    <w:p w14:paraId="00F55541" w14:textId="23286D8E" w:rsidR="009523C7" w:rsidRPr="004A0C12" w:rsidRDefault="009523C7" w:rsidP="009523C7">
      <w:pPr>
        <w:spacing w:after="0" w:line="240" w:lineRule="auto"/>
        <w:contextualSpacing/>
        <w:jc w:val="both"/>
        <w:rPr>
          <w:rFonts w:ascii="Garamond" w:hAnsi="Garamond"/>
        </w:rPr>
      </w:pPr>
      <w:r w:rsidRPr="004A0C12">
        <w:rPr>
          <w:rFonts w:ascii="Garamond" w:hAnsi="Garamond"/>
        </w:rPr>
        <w:t>Maryland’s American Job Centers are required to provide reasonable accommodation for individuals with disabilities to ensure equal access and opportunity. The term “reasonable accommodation” is defined as “modifications or adjustments to an application/registration process that enables a qualified applicant/registrant with a disability to be considered for the aid, benefits, services, training or employment that the qualified applicant/registrant desires;” or “modifications or adjustments that enable a qualified individual with a disability to perform the essential functions of a job, or receive aid, benefits, services, or training equal to that provided to qualified i</w:t>
      </w:r>
      <w:r w:rsidR="00F21DB1" w:rsidRPr="004A0C12">
        <w:rPr>
          <w:rFonts w:ascii="Garamond" w:hAnsi="Garamond"/>
        </w:rPr>
        <w:t>ndividuals without disabilities,</w:t>
      </w:r>
      <w:r w:rsidRPr="004A0C12">
        <w:rPr>
          <w:rFonts w:ascii="Garamond" w:hAnsi="Garamond"/>
        </w:rPr>
        <w:t>” or “modifications or adjustments that enable a qualified individual with a disability to enjoy the same benefits and privileges of the aid.</w:t>
      </w:r>
      <w:r w:rsidR="00F21DB1" w:rsidRPr="004A0C12">
        <w:rPr>
          <w:rFonts w:ascii="Garamond" w:hAnsi="Garamond"/>
        </w:rPr>
        <w:t>”</w:t>
      </w:r>
      <w:r w:rsidRPr="004A0C12">
        <w:rPr>
          <w:rFonts w:ascii="Garamond" w:hAnsi="Garamond"/>
        </w:rPr>
        <w:t xml:space="preserve"> American Job Center will make visible to participants that:</w:t>
      </w:r>
    </w:p>
    <w:p w14:paraId="5ED43E9B" w14:textId="77777777" w:rsidR="009523C7" w:rsidRPr="004A0C12" w:rsidRDefault="009523C7" w:rsidP="009523C7">
      <w:pPr>
        <w:spacing w:after="0" w:line="240" w:lineRule="auto"/>
        <w:contextualSpacing/>
        <w:jc w:val="both"/>
        <w:rPr>
          <w:rFonts w:ascii="Garamond" w:hAnsi="Garamond"/>
        </w:rPr>
      </w:pPr>
    </w:p>
    <w:p w14:paraId="0F72AFA8" w14:textId="368C0337" w:rsidR="009523C7" w:rsidRPr="004A0C12" w:rsidRDefault="009523C7" w:rsidP="00F733CF">
      <w:pPr>
        <w:numPr>
          <w:ilvl w:val="0"/>
          <w:numId w:val="96"/>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Section 188 implements the nondiscrimination and equal opportunity provisions of WIOA, which</w:t>
      </w:r>
      <w:r w:rsidR="00F21DB1" w:rsidRPr="004A0C12">
        <w:rPr>
          <w:rFonts w:ascii="Garamond" w:hAnsi="Garamond"/>
        </w:rPr>
        <w:t xml:space="preserve"> are contained in S</w:t>
      </w:r>
      <w:r w:rsidRPr="004A0C12">
        <w:rPr>
          <w:rFonts w:ascii="Garamond" w:hAnsi="Garamond"/>
        </w:rPr>
        <w:t>ection 188 of the statute.</w:t>
      </w:r>
    </w:p>
    <w:p w14:paraId="3DC97BD3" w14:textId="77777777" w:rsidR="009523C7" w:rsidRPr="004A0C12" w:rsidRDefault="009523C7" w:rsidP="00F733CF">
      <w:pPr>
        <w:numPr>
          <w:ilvl w:val="0"/>
          <w:numId w:val="96"/>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 xml:space="preserve">Section 188 prohibits discrimination on the grounds of race, color, religion, sex, national origin, age, disability, political affiliation or belief, among other bases. </w:t>
      </w:r>
    </w:p>
    <w:p w14:paraId="75A0258A" w14:textId="77777777" w:rsidR="009523C7" w:rsidRPr="004A0C12" w:rsidRDefault="009523C7" w:rsidP="00F733CF">
      <w:pPr>
        <w:numPr>
          <w:ilvl w:val="0"/>
          <w:numId w:val="96"/>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Section 188 also requires that reasonable accommodations be provided to qualified individuals with disabilities in certain circumstances.</w:t>
      </w:r>
    </w:p>
    <w:p w14:paraId="1BCD21CF" w14:textId="77777777" w:rsidR="009523C7" w:rsidRPr="004A0C12" w:rsidRDefault="009523C7" w:rsidP="009523C7">
      <w:pPr>
        <w:spacing w:after="0" w:line="240" w:lineRule="auto"/>
        <w:ind w:left="360"/>
        <w:contextualSpacing/>
        <w:jc w:val="both"/>
        <w:rPr>
          <w:rFonts w:ascii="Garamond" w:hAnsi="Garamond"/>
        </w:rPr>
      </w:pPr>
    </w:p>
    <w:p w14:paraId="2796D3A6" w14:textId="77777777" w:rsidR="009523C7" w:rsidRPr="004A0C12" w:rsidRDefault="009523C7" w:rsidP="009523C7">
      <w:pPr>
        <w:spacing w:after="0" w:line="240" w:lineRule="auto"/>
        <w:contextualSpacing/>
        <w:jc w:val="both"/>
        <w:rPr>
          <w:rFonts w:ascii="Garamond" w:hAnsi="Garamond"/>
        </w:rPr>
      </w:pPr>
      <w:r w:rsidRPr="004A0C12">
        <w:rPr>
          <w:rFonts w:ascii="Garamond" w:hAnsi="Garamond"/>
        </w:rPr>
        <w:t>The State expects local providers to acknowledge in local plans and/or policies that they understand that, while Section 188 regulations ensure equal opportunity for individuals with disabilities, sub-recipients may also be subject to the requirements of:</w:t>
      </w:r>
    </w:p>
    <w:p w14:paraId="60424BCA" w14:textId="77777777" w:rsidR="009523C7" w:rsidRPr="004A0C12" w:rsidRDefault="009523C7" w:rsidP="009523C7">
      <w:pPr>
        <w:spacing w:after="0" w:line="240" w:lineRule="auto"/>
        <w:contextualSpacing/>
        <w:rPr>
          <w:rFonts w:ascii="Garamond" w:hAnsi="Garamond"/>
        </w:rPr>
      </w:pPr>
    </w:p>
    <w:p w14:paraId="6A625EF8" w14:textId="5F4D5A4C" w:rsidR="009523C7" w:rsidRPr="004A0C12" w:rsidRDefault="009523C7" w:rsidP="00F733CF">
      <w:pPr>
        <w:numPr>
          <w:ilvl w:val="0"/>
          <w:numId w:val="97"/>
        </w:numPr>
        <w:tabs>
          <w:tab w:val="clear" w:pos="360"/>
          <w:tab w:val="num" w:pos="720"/>
        </w:tabs>
        <w:spacing w:after="0" w:line="240" w:lineRule="auto"/>
        <w:ind w:left="720" w:hanging="360"/>
        <w:contextualSpacing/>
        <w:rPr>
          <w:rFonts w:ascii="Garamond" w:hAnsi="Garamond"/>
        </w:rPr>
      </w:pPr>
      <w:r w:rsidRPr="004A0C12">
        <w:rPr>
          <w:rFonts w:ascii="Garamond" w:hAnsi="Garamond"/>
        </w:rPr>
        <w:t xml:space="preserve">Section 504 of the Rehabilitation Act, which prohibits discrimination against individuals with disabilities by recipients </w:t>
      </w:r>
      <w:r w:rsidR="00F21DB1" w:rsidRPr="004A0C12">
        <w:rPr>
          <w:rFonts w:ascii="Garamond" w:hAnsi="Garamond"/>
        </w:rPr>
        <w:t>of Federal financial assistance</w:t>
      </w:r>
    </w:p>
    <w:p w14:paraId="5AE24116" w14:textId="2F576228" w:rsidR="009523C7" w:rsidRPr="004A0C12" w:rsidRDefault="009523C7" w:rsidP="00F733CF">
      <w:pPr>
        <w:numPr>
          <w:ilvl w:val="0"/>
          <w:numId w:val="97"/>
        </w:numPr>
        <w:tabs>
          <w:tab w:val="clear" w:pos="360"/>
          <w:tab w:val="num" w:pos="720"/>
        </w:tabs>
        <w:spacing w:after="0" w:line="240" w:lineRule="auto"/>
        <w:ind w:left="720" w:hanging="360"/>
        <w:contextualSpacing/>
        <w:rPr>
          <w:rFonts w:ascii="Garamond" w:hAnsi="Garamond"/>
        </w:rPr>
      </w:pPr>
      <w:r w:rsidRPr="004A0C12">
        <w:rPr>
          <w:rFonts w:ascii="Garamond" w:hAnsi="Garamond"/>
        </w:rPr>
        <w:t xml:space="preserve">Title I of the ADA, which prohibits discrimination in </w:t>
      </w:r>
      <w:r w:rsidR="00F21DB1" w:rsidRPr="004A0C12">
        <w:rPr>
          <w:rFonts w:ascii="Garamond" w:hAnsi="Garamond"/>
        </w:rPr>
        <w:t>employment based on disability</w:t>
      </w:r>
    </w:p>
    <w:p w14:paraId="34E7BF89" w14:textId="43872D01" w:rsidR="009523C7" w:rsidRPr="004A0C12" w:rsidRDefault="009523C7" w:rsidP="00F733CF">
      <w:pPr>
        <w:numPr>
          <w:ilvl w:val="0"/>
          <w:numId w:val="97"/>
        </w:numPr>
        <w:tabs>
          <w:tab w:val="clear" w:pos="360"/>
          <w:tab w:val="num" w:pos="720"/>
        </w:tabs>
        <w:spacing w:after="0" w:line="240" w:lineRule="auto"/>
        <w:ind w:left="720" w:hanging="360"/>
        <w:contextualSpacing/>
        <w:rPr>
          <w:rFonts w:ascii="Garamond" w:hAnsi="Garamond"/>
        </w:rPr>
      </w:pPr>
      <w:r w:rsidRPr="004A0C12">
        <w:rPr>
          <w:rFonts w:ascii="Garamond" w:hAnsi="Garamond"/>
        </w:rPr>
        <w:t>Title II of the ADA, which prohibits State and local governments from discriminat</w:t>
      </w:r>
      <w:r w:rsidR="00F21DB1" w:rsidRPr="004A0C12">
        <w:rPr>
          <w:rFonts w:ascii="Garamond" w:hAnsi="Garamond"/>
        </w:rPr>
        <w:t>ing on the basis of disability</w:t>
      </w:r>
    </w:p>
    <w:p w14:paraId="39ABBCBE" w14:textId="26B2CE20" w:rsidR="009523C7" w:rsidRPr="004A0C12" w:rsidRDefault="009523C7" w:rsidP="00F733CF">
      <w:pPr>
        <w:numPr>
          <w:ilvl w:val="0"/>
          <w:numId w:val="97"/>
        </w:numPr>
        <w:tabs>
          <w:tab w:val="clear" w:pos="360"/>
          <w:tab w:val="num" w:pos="720"/>
        </w:tabs>
        <w:spacing w:after="0" w:line="240" w:lineRule="auto"/>
        <w:ind w:left="720" w:hanging="360"/>
        <w:contextualSpacing/>
        <w:rPr>
          <w:rFonts w:ascii="Garamond" w:hAnsi="Garamond"/>
        </w:rPr>
      </w:pPr>
      <w:r w:rsidRPr="004A0C12">
        <w:rPr>
          <w:rFonts w:ascii="Garamond" w:hAnsi="Garamond"/>
        </w:rPr>
        <w:t>Section 427 of the Gener</w:t>
      </w:r>
      <w:r w:rsidR="00F21DB1" w:rsidRPr="004A0C12">
        <w:rPr>
          <w:rFonts w:ascii="Garamond" w:hAnsi="Garamond"/>
        </w:rPr>
        <w:t>al Education Provisions Act</w:t>
      </w:r>
    </w:p>
    <w:p w14:paraId="0C7493ED" w14:textId="402A641D" w:rsidR="009523C7" w:rsidRPr="004A0C12" w:rsidRDefault="009523C7" w:rsidP="00F733CF">
      <w:pPr>
        <w:numPr>
          <w:ilvl w:val="0"/>
          <w:numId w:val="97"/>
        </w:numPr>
        <w:tabs>
          <w:tab w:val="clear" w:pos="360"/>
          <w:tab w:val="num" w:pos="720"/>
        </w:tabs>
        <w:spacing w:after="0" w:line="240" w:lineRule="auto"/>
        <w:ind w:left="720" w:hanging="360"/>
        <w:contextualSpacing/>
        <w:rPr>
          <w:rFonts w:ascii="Garamond" w:hAnsi="Garamond"/>
        </w:rPr>
      </w:pPr>
      <w:r w:rsidRPr="004A0C12">
        <w:rPr>
          <w:rFonts w:ascii="Garamond" w:hAnsi="Garamond"/>
        </w:rPr>
        <w:t>Mar</w:t>
      </w:r>
      <w:r w:rsidR="00F21DB1" w:rsidRPr="004A0C12">
        <w:rPr>
          <w:rFonts w:ascii="Garamond" w:hAnsi="Garamond"/>
        </w:rPr>
        <w:t>yland Anti-Discrimination laws</w:t>
      </w:r>
    </w:p>
    <w:p w14:paraId="03972D2E" w14:textId="77777777" w:rsidR="006F2D3B" w:rsidRPr="004A0C12" w:rsidRDefault="006F2D3B" w:rsidP="006F2D3B">
      <w:pPr>
        <w:spacing w:after="0" w:line="240" w:lineRule="auto"/>
        <w:contextualSpacing/>
        <w:rPr>
          <w:rFonts w:ascii="Garamond" w:hAnsi="Garamond"/>
        </w:rPr>
      </w:pPr>
    </w:p>
    <w:p w14:paraId="5C2BDEE8" w14:textId="77777777" w:rsidR="006F2D3B" w:rsidRPr="004A0C12" w:rsidRDefault="006F2D3B" w:rsidP="006F2D3B">
      <w:pPr>
        <w:pStyle w:val="ListParagraph"/>
        <w:tabs>
          <w:tab w:val="left" w:pos="1080"/>
        </w:tabs>
        <w:ind w:left="0"/>
        <w:jc w:val="both"/>
        <w:rPr>
          <w:rFonts w:ascii="Garamond" w:hAnsi="Garamond"/>
          <w:szCs w:val="22"/>
        </w:rPr>
      </w:pPr>
      <w:r w:rsidRPr="004A0C12">
        <w:rPr>
          <w:rFonts w:ascii="Garamond" w:hAnsi="Garamond"/>
          <w:szCs w:val="22"/>
        </w:rPr>
        <w:t xml:space="preserve">English language learners represent a large subset, approximately 49 percent, of the adult education population. Immigrant populations make up approximately 17 percent of Maryland’s workforce system. They provide substantial contributions to Maryland’s economy every day. In turn, Maryland’s workforce system must strive to tailor services for this population as they obtain literacy and high school equivalency, training, and employment services. </w:t>
      </w:r>
    </w:p>
    <w:p w14:paraId="1A135F06" w14:textId="77777777" w:rsidR="006F2D3B" w:rsidRPr="004A0C12" w:rsidRDefault="006F2D3B" w:rsidP="006F2D3B">
      <w:pPr>
        <w:pStyle w:val="NoSpacing"/>
        <w:jc w:val="both"/>
        <w:rPr>
          <w:rFonts w:ascii="Garamond" w:hAnsi="Garamond" w:cs="Times New Roman"/>
        </w:rPr>
      </w:pPr>
    </w:p>
    <w:p w14:paraId="74311C81" w14:textId="77777777" w:rsidR="006F2D3B" w:rsidRPr="004A0C12" w:rsidRDefault="006F2D3B" w:rsidP="006F2D3B">
      <w:pPr>
        <w:pStyle w:val="NoSpacing"/>
        <w:jc w:val="both"/>
        <w:rPr>
          <w:rFonts w:ascii="Garamond" w:hAnsi="Garamond" w:cs="Times New Roman"/>
        </w:rPr>
      </w:pPr>
      <w:r w:rsidRPr="004A0C12">
        <w:rPr>
          <w:rFonts w:ascii="Garamond" w:hAnsi="Garamond" w:cs="Times New Roman"/>
        </w:rPr>
        <w:t xml:space="preserve">DLLR raises awareness of available services at the State’s American Job Centers through oral communication and distributing bilingual brochures specifically designed for this community. Recognizing that English language learners may have difficulty communicating their needs, available brochures provide pictorial representations to ensure the message is effectively received. </w:t>
      </w:r>
    </w:p>
    <w:p w14:paraId="1B1F6AF7" w14:textId="77777777" w:rsidR="006F2D3B" w:rsidRPr="004A0C12" w:rsidRDefault="006F2D3B" w:rsidP="006F2D3B">
      <w:pPr>
        <w:pStyle w:val="NoSpacing"/>
        <w:jc w:val="both"/>
        <w:rPr>
          <w:rFonts w:ascii="Garamond" w:hAnsi="Garamond" w:cs="Times New Roman"/>
        </w:rPr>
      </w:pPr>
    </w:p>
    <w:p w14:paraId="1F574100" w14:textId="77777777" w:rsidR="006F2D3B" w:rsidRPr="004A0C12" w:rsidRDefault="006F2D3B" w:rsidP="006F2D3B">
      <w:pPr>
        <w:pStyle w:val="NoSpacing"/>
        <w:jc w:val="both"/>
        <w:rPr>
          <w:rFonts w:ascii="Garamond" w:hAnsi="Garamond" w:cs="Times New Roman"/>
        </w:rPr>
      </w:pPr>
      <w:r w:rsidRPr="004A0C12">
        <w:rPr>
          <w:rFonts w:ascii="Garamond" w:hAnsi="Garamond" w:cs="Times New Roman"/>
        </w:rPr>
        <w:t xml:space="preserve">Furthermore, the Department’s New Americans Program provides much needed outreach and technical assistance for American Job Center staff. To ensure high quality services to both jobseekers and business, professional development opportunities are currently available and advertised through regular communications from Central Office administration. Under WIOA, through </w:t>
      </w:r>
      <w:r w:rsidRPr="004A0C12">
        <w:rPr>
          <w:rFonts w:ascii="Garamond" w:hAnsi="Garamond" w:cs="Times New Roman"/>
        </w:rPr>
        <w:lastRenderedPageBreak/>
        <w:t>leveraging partnerships, new professional development and training opportunities on topics relevant to all WIOA Partners will be available to staff.</w:t>
      </w:r>
    </w:p>
    <w:p w14:paraId="79E65A93" w14:textId="77777777" w:rsidR="00200F35" w:rsidRPr="004A0C12" w:rsidRDefault="00200F35" w:rsidP="006F2D3B">
      <w:pPr>
        <w:pStyle w:val="NoSpacing"/>
        <w:jc w:val="both"/>
        <w:rPr>
          <w:rFonts w:ascii="Garamond" w:hAnsi="Garamond" w:cs="Times New Roman"/>
        </w:rPr>
      </w:pPr>
    </w:p>
    <w:p w14:paraId="2DB6CB19" w14:textId="77777777" w:rsidR="00200F35" w:rsidRPr="004A0C12" w:rsidRDefault="00200F35" w:rsidP="00200F35">
      <w:pPr>
        <w:pStyle w:val="NormalWeb"/>
        <w:spacing w:before="0" w:beforeAutospacing="0" w:afterAutospacing="0"/>
        <w:rPr>
          <w:rFonts w:ascii="Garamond" w:hAnsi="Garamond"/>
          <w:sz w:val="22"/>
          <w:szCs w:val="22"/>
        </w:rPr>
      </w:pPr>
      <w:r w:rsidRPr="004A0C12">
        <w:rPr>
          <w:rFonts w:ascii="Garamond" w:hAnsi="Garamond"/>
          <w:color w:val="000000"/>
          <w:sz w:val="22"/>
          <w:szCs w:val="22"/>
        </w:rPr>
        <w:t>Providing accessibility to the workforce system for all of Maryland’s jobseekers is central to Maryland’s approach under the WIOA. On June 15, 2016, Maryland provided an updated Methods of Administration document to Ms. Naomi Barry-Perez. While the State acknowledges that new requirements under WIOA require the filing of a nondiscrimination plan after the issuance of final regulations promulgated pursuant to Section 188 of WIOA, the State wanted to provide an update noting the State’s transition from WIA to WIOA.</w:t>
      </w:r>
    </w:p>
    <w:p w14:paraId="589A5752" w14:textId="77777777" w:rsidR="00200F35" w:rsidRPr="004A0C12" w:rsidRDefault="00200F35" w:rsidP="00200F35">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According to an August 2016 report by the organization New American Economy, one in seven Marylanders </w:t>
      </w:r>
      <w:proofErr w:type="gramStart"/>
      <w:r w:rsidRPr="004A0C12">
        <w:rPr>
          <w:rFonts w:ascii="Garamond" w:hAnsi="Garamond"/>
          <w:color w:val="000000"/>
          <w:sz w:val="22"/>
          <w:szCs w:val="22"/>
        </w:rPr>
        <w:t>was</w:t>
      </w:r>
      <w:proofErr w:type="gramEnd"/>
      <w:r w:rsidRPr="004A0C12">
        <w:rPr>
          <w:rFonts w:ascii="Garamond" w:hAnsi="Garamond"/>
          <w:color w:val="000000"/>
          <w:sz w:val="22"/>
          <w:szCs w:val="22"/>
        </w:rPr>
        <w:t xml:space="preserve"> born in another country. Therefore, Maryland’s workforce system must meet the needs of English language learners.</w:t>
      </w:r>
    </w:p>
    <w:p w14:paraId="3414CB71" w14:textId="77777777" w:rsidR="00200F35" w:rsidRPr="004A0C12" w:rsidRDefault="00200F35" w:rsidP="00200F35">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Currently, the Department of Labor, Licensing and Regulation’s Office of Fair Practices is responsible for all overall compliance in regard to equal opportunity and nondiscrimination matters. The Office provides technical assistance and professional development opportunities. All Local Workforce Development Areas have designated an Equal Opportunity Officer to ensure accessibility of the Local Areas’ American Job Centers.</w:t>
      </w:r>
    </w:p>
    <w:p w14:paraId="63EB9695" w14:textId="2DD140CC" w:rsidR="00200F35" w:rsidRPr="004A0C12" w:rsidRDefault="00200F35" w:rsidP="00200F35">
      <w:pPr>
        <w:pStyle w:val="NormalWeb"/>
        <w:spacing w:before="0" w:beforeAutospacing="0" w:afterAutospacing="0"/>
        <w:rPr>
          <w:rFonts w:ascii="Garamond" w:hAnsi="Garamond"/>
          <w:sz w:val="22"/>
          <w:szCs w:val="22"/>
        </w:rPr>
      </w:pPr>
      <w:r w:rsidRPr="004A0C12">
        <w:rPr>
          <w:rFonts w:ascii="Garamond" w:hAnsi="Garamond"/>
          <w:color w:val="000000"/>
          <w:sz w:val="22"/>
          <w:szCs w:val="22"/>
        </w:rPr>
        <w:t>In addition to the equal opportunity and accommodations training conducted by that office, Maryland is dedicated to ensuring that frontline staff is trained to meet the needs of Maryland’s English language learners. Recently, Maryland was one of 18 communities to participate in the White House National Skills and Credential Institute’s Skilled Immigrant and Refugee Workgroup. Since meeting in Washington, D.C., Maryland has formed workgroups that include thought leaders, nonprofit organizations, and state and local workforce entities. Representatives from nationally recognized programs such as Upwardly Global and the International Rescue Committee have joined the discussion to specifically target areas to provide professional development to Local Areas in developing a culturally sensitive approach to this population. Through policy issuances and monitoring, the State workforce system will ensure that the needs of English language learners will be met.</w:t>
      </w:r>
    </w:p>
    <w:p w14:paraId="152DAE38" w14:textId="1302D197" w:rsidR="00200F35" w:rsidRPr="004A0C12" w:rsidRDefault="00200F35" w:rsidP="00200F35">
      <w:pPr>
        <w:pStyle w:val="NoSpacing"/>
        <w:jc w:val="both"/>
        <w:rPr>
          <w:rFonts w:ascii="Garamond" w:hAnsi="Garamond" w:cs="Times New Roman"/>
        </w:rPr>
      </w:pPr>
    </w:p>
    <w:p w14:paraId="6F5BA8D6" w14:textId="77777777" w:rsidR="009523C7" w:rsidRPr="00E64564" w:rsidRDefault="009523C7" w:rsidP="00AB5AEF">
      <w:pPr>
        <w:pStyle w:val="Heading2"/>
        <w:rPr>
          <w:rFonts w:ascii="Garamond" w:hAnsi="Garamond"/>
          <w:sz w:val="28"/>
          <w:szCs w:val="28"/>
        </w:rPr>
      </w:pPr>
      <w:bookmarkStart w:id="107" w:name="_Toc447276151"/>
      <w:r w:rsidRPr="00E64564">
        <w:rPr>
          <w:rFonts w:ascii="Garamond" w:hAnsi="Garamond"/>
          <w:sz w:val="28"/>
          <w:szCs w:val="28"/>
        </w:rPr>
        <w:t>MONITORING OF SITES</w:t>
      </w:r>
      <w:bookmarkEnd w:id="107"/>
    </w:p>
    <w:p w14:paraId="2F860AA7" w14:textId="006DAEAB" w:rsidR="00222E24" w:rsidRPr="004A0C12" w:rsidRDefault="009523C7" w:rsidP="009523C7">
      <w:pPr>
        <w:shd w:val="clear" w:color="auto" w:fill="FFFFFF"/>
        <w:spacing w:after="0" w:line="240" w:lineRule="auto"/>
        <w:contextualSpacing/>
        <w:jc w:val="both"/>
        <w:rPr>
          <w:rFonts w:ascii="Garamond" w:hAnsi="Garamond"/>
          <w:color w:val="191919"/>
        </w:rPr>
      </w:pPr>
      <w:r w:rsidRPr="004A0C12">
        <w:rPr>
          <w:rFonts w:ascii="Garamond" w:hAnsi="Garamond"/>
          <w:color w:val="191919"/>
        </w:rPr>
        <w:t xml:space="preserve">For WIOA programs </w:t>
      </w:r>
      <w:r w:rsidR="00F21DB1" w:rsidRPr="004A0C12">
        <w:rPr>
          <w:rFonts w:ascii="Garamond" w:hAnsi="Garamond"/>
          <w:color w:val="191919"/>
        </w:rPr>
        <w:t>under</w:t>
      </w:r>
      <w:r w:rsidRPr="004A0C12">
        <w:rPr>
          <w:rFonts w:ascii="Garamond" w:hAnsi="Garamond"/>
          <w:color w:val="191919"/>
        </w:rPr>
        <w:t xml:space="preserve"> DLLR</w:t>
      </w:r>
      <w:r w:rsidR="00F21DB1" w:rsidRPr="004A0C12">
        <w:rPr>
          <w:rFonts w:ascii="Garamond" w:hAnsi="Garamond"/>
          <w:color w:val="191919"/>
        </w:rPr>
        <w:t>’s</w:t>
      </w:r>
      <w:r w:rsidRPr="004A0C12">
        <w:rPr>
          <w:rFonts w:ascii="Garamond" w:hAnsi="Garamond"/>
          <w:color w:val="191919"/>
        </w:rPr>
        <w:t xml:space="preserve"> oversight, in order to confirm compliance under Section 188, DWDAL State Regional Program Monitors will conduct an onsite review</w:t>
      </w:r>
      <w:r w:rsidR="00222E24" w:rsidRPr="004A0C12">
        <w:rPr>
          <w:rFonts w:ascii="Garamond" w:hAnsi="Garamond"/>
          <w:color w:val="191919"/>
        </w:rPr>
        <w:t xml:space="preserve">. Prior to the commencement of the visit, the Monitor will confirm with the Program Manager or Director that notification of the visit was received, </w:t>
      </w:r>
      <w:proofErr w:type="gramStart"/>
      <w:r w:rsidR="00222E24" w:rsidRPr="004A0C12">
        <w:rPr>
          <w:rFonts w:ascii="Garamond" w:hAnsi="Garamond"/>
          <w:color w:val="191919"/>
        </w:rPr>
        <w:t>staff are</w:t>
      </w:r>
      <w:proofErr w:type="gramEnd"/>
      <w:r w:rsidR="00222E24" w:rsidRPr="004A0C12">
        <w:rPr>
          <w:rFonts w:ascii="Garamond" w:hAnsi="Garamond"/>
          <w:color w:val="191919"/>
        </w:rPr>
        <w:t xml:space="preserve"> aware, and requested information prior to the visit is unchanged.  The Program Monitor will observe the site’s triage system, confirm that appropriate federal signs are visible to participants, and examine the kiosk to confirm that appropriate </w:t>
      </w:r>
      <w:r w:rsidRPr="004A0C12">
        <w:rPr>
          <w:rFonts w:ascii="Garamond" w:hAnsi="Garamond"/>
          <w:color w:val="191919"/>
        </w:rPr>
        <w:t>WIOA, Veteran, ITA, OJT information</w:t>
      </w:r>
      <w:r w:rsidR="007D1705" w:rsidRPr="004A0C12">
        <w:rPr>
          <w:rFonts w:ascii="Garamond" w:hAnsi="Garamond"/>
          <w:color w:val="191919"/>
        </w:rPr>
        <w:t xml:space="preserve"> is available</w:t>
      </w:r>
      <w:r w:rsidR="00F21DB1" w:rsidRPr="004A0C12">
        <w:rPr>
          <w:rFonts w:ascii="Garamond" w:hAnsi="Garamond"/>
          <w:color w:val="191919"/>
        </w:rPr>
        <w:t>.</w:t>
      </w:r>
      <w:r w:rsidR="00222E24" w:rsidRPr="004A0C12">
        <w:rPr>
          <w:rFonts w:ascii="Garamond" w:hAnsi="Garamond"/>
          <w:color w:val="191919"/>
        </w:rPr>
        <w:t xml:space="preserve"> </w:t>
      </w:r>
    </w:p>
    <w:p w14:paraId="12E13202" w14:textId="77777777" w:rsidR="00DF6BF3" w:rsidRPr="004A0C12" w:rsidRDefault="00DF6BF3" w:rsidP="009523C7">
      <w:pPr>
        <w:shd w:val="clear" w:color="auto" w:fill="FFFFFF"/>
        <w:spacing w:after="0" w:line="240" w:lineRule="auto"/>
        <w:contextualSpacing/>
        <w:jc w:val="both"/>
        <w:rPr>
          <w:rFonts w:ascii="Garamond" w:hAnsi="Garamond"/>
          <w:color w:val="191919"/>
        </w:rPr>
      </w:pPr>
    </w:p>
    <w:p w14:paraId="2A690D5C" w14:textId="18EECB87" w:rsidR="009523C7" w:rsidRPr="004A0C12" w:rsidRDefault="00DF6BF3" w:rsidP="009523C7">
      <w:pPr>
        <w:shd w:val="clear" w:color="auto" w:fill="FFFFFF"/>
        <w:spacing w:after="0" w:line="240" w:lineRule="auto"/>
        <w:contextualSpacing/>
        <w:jc w:val="both"/>
        <w:rPr>
          <w:rFonts w:ascii="Garamond" w:hAnsi="Garamond"/>
          <w:color w:val="191919"/>
        </w:rPr>
      </w:pPr>
      <w:r w:rsidRPr="004A0C12">
        <w:rPr>
          <w:rFonts w:ascii="Garamond" w:hAnsi="Garamond"/>
          <w:color w:val="191919"/>
        </w:rPr>
        <w:t xml:space="preserve">A site walk-through will determine whether:  </w:t>
      </w:r>
      <w:r w:rsidR="009523C7" w:rsidRPr="004A0C12">
        <w:rPr>
          <w:rFonts w:ascii="Garamond" w:hAnsi="Garamond"/>
          <w:color w:val="191919"/>
        </w:rPr>
        <w:t xml:space="preserve"> </w:t>
      </w:r>
    </w:p>
    <w:p w14:paraId="1B324064" w14:textId="77777777" w:rsidR="009523C7" w:rsidRPr="004A0C12" w:rsidRDefault="009523C7" w:rsidP="009523C7">
      <w:pPr>
        <w:shd w:val="clear" w:color="auto" w:fill="FFFFFF"/>
        <w:spacing w:after="0" w:line="240" w:lineRule="auto"/>
        <w:contextualSpacing/>
        <w:jc w:val="both"/>
        <w:rPr>
          <w:rFonts w:ascii="Garamond" w:hAnsi="Garamond"/>
          <w:color w:val="191919"/>
        </w:rPr>
      </w:pPr>
    </w:p>
    <w:p w14:paraId="71DCF81E" w14:textId="77777777" w:rsidR="009523C7" w:rsidRPr="004A0C12" w:rsidRDefault="009523C7" w:rsidP="00F733CF">
      <w:pPr>
        <w:numPr>
          <w:ilvl w:val="0"/>
          <w:numId w:val="98"/>
        </w:numPr>
        <w:shd w:val="clear" w:color="auto" w:fill="FFFFFF"/>
        <w:tabs>
          <w:tab w:val="clear" w:pos="135"/>
          <w:tab w:val="num" w:pos="720"/>
        </w:tabs>
        <w:spacing w:after="0" w:line="240" w:lineRule="auto"/>
        <w:ind w:left="945" w:hanging="360"/>
        <w:contextualSpacing/>
        <w:jc w:val="both"/>
        <w:rPr>
          <w:rFonts w:ascii="Garamond" w:hAnsi="Garamond"/>
          <w:color w:val="191919"/>
        </w:rPr>
      </w:pPr>
      <w:r w:rsidRPr="004A0C12">
        <w:rPr>
          <w:rFonts w:ascii="Garamond" w:hAnsi="Garamond"/>
          <w:color w:val="191919"/>
        </w:rPr>
        <w:t>    EO Law Posters are in plain sight, centrally located, in needed languages; provide State and local EO Officer contact information</w:t>
      </w:r>
    </w:p>
    <w:p w14:paraId="45279527" w14:textId="1556E76E" w:rsidR="009523C7" w:rsidRPr="004A0C12" w:rsidRDefault="009523C7" w:rsidP="00F733CF">
      <w:pPr>
        <w:numPr>
          <w:ilvl w:val="0"/>
          <w:numId w:val="98"/>
        </w:numPr>
        <w:shd w:val="clear" w:color="auto" w:fill="FFFFFF"/>
        <w:tabs>
          <w:tab w:val="clear" w:pos="135"/>
          <w:tab w:val="num" w:pos="720"/>
        </w:tabs>
        <w:spacing w:after="0" w:line="240" w:lineRule="auto"/>
        <w:ind w:left="945" w:hanging="360"/>
        <w:contextualSpacing/>
        <w:jc w:val="both"/>
        <w:rPr>
          <w:rFonts w:ascii="Garamond" w:hAnsi="Garamond"/>
          <w:color w:val="191919"/>
        </w:rPr>
      </w:pPr>
      <w:r w:rsidRPr="004A0C12">
        <w:rPr>
          <w:rFonts w:ascii="Garamond" w:hAnsi="Garamond"/>
          <w:color w:val="191919"/>
        </w:rPr>
        <w:t>    </w:t>
      </w:r>
      <w:r w:rsidR="00DF6BF3" w:rsidRPr="004A0C12">
        <w:rPr>
          <w:rFonts w:ascii="Garamond" w:hAnsi="Garamond"/>
          <w:color w:val="191919"/>
        </w:rPr>
        <w:t xml:space="preserve">WIOA, Veteran, ITA, OJT </w:t>
      </w:r>
      <w:r w:rsidRPr="004A0C12">
        <w:rPr>
          <w:rFonts w:ascii="Garamond" w:hAnsi="Garamond"/>
          <w:color w:val="191919"/>
        </w:rPr>
        <w:t>Literature is present</w:t>
      </w:r>
    </w:p>
    <w:p w14:paraId="1A91D58F" w14:textId="77777777" w:rsidR="009523C7" w:rsidRPr="004A0C12" w:rsidRDefault="009523C7" w:rsidP="00F733CF">
      <w:pPr>
        <w:numPr>
          <w:ilvl w:val="0"/>
          <w:numId w:val="98"/>
        </w:numPr>
        <w:shd w:val="clear" w:color="auto" w:fill="FFFFFF"/>
        <w:tabs>
          <w:tab w:val="clear" w:pos="135"/>
          <w:tab w:val="num" w:pos="720"/>
        </w:tabs>
        <w:spacing w:after="0" w:line="240" w:lineRule="auto"/>
        <w:ind w:left="945" w:hanging="360"/>
        <w:contextualSpacing/>
        <w:jc w:val="both"/>
        <w:rPr>
          <w:rFonts w:ascii="Garamond" w:hAnsi="Garamond"/>
          <w:color w:val="191919"/>
        </w:rPr>
      </w:pPr>
      <w:r w:rsidRPr="004A0C12">
        <w:rPr>
          <w:rFonts w:ascii="Garamond" w:hAnsi="Garamond"/>
          <w:color w:val="191919"/>
        </w:rPr>
        <w:t>    EO tagline (inserted and correct); TTY/TDD or Relay Service number when phone number is listed</w:t>
      </w:r>
    </w:p>
    <w:p w14:paraId="67BA8100" w14:textId="77777777" w:rsidR="009523C7" w:rsidRPr="004A0C12" w:rsidRDefault="009523C7" w:rsidP="00F733CF">
      <w:pPr>
        <w:numPr>
          <w:ilvl w:val="0"/>
          <w:numId w:val="98"/>
        </w:numPr>
        <w:shd w:val="clear" w:color="auto" w:fill="FFFFFF"/>
        <w:tabs>
          <w:tab w:val="clear" w:pos="135"/>
          <w:tab w:val="num" w:pos="720"/>
        </w:tabs>
        <w:spacing w:after="0" w:line="240" w:lineRule="auto"/>
        <w:ind w:left="945" w:hanging="360"/>
        <w:contextualSpacing/>
        <w:jc w:val="both"/>
        <w:rPr>
          <w:rFonts w:ascii="Garamond" w:hAnsi="Garamond"/>
          <w:color w:val="191919"/>
        </w:rPr>
      </w:pPr>
      <w:r w:rsidRPr="004A0C12">
        <w:rPr>
          <w:rFonts w:ascii="Garamond" w:hAnsi="Garamond"/>
          <w:color w:val="191919"/>
        </w:rPr>
        <w:t>    Accessibility</w:t>
      </w:r>
    </w:p>
    <w:p w14:paraId="78F3C3B9" w14:textId="77777777" w:rsidR="009523C7" w:rsidRPr="004A0C12" w:rsidRDefault="009523C7" w:rsidP="00F733CF">
      <w:pPr>
        <w:numPr>
          <w:ilvl w:val="0"/>
          <w:numId w:val="98"/>
        </w:numPr>
        <w:shd w:val="clear" w:color="auto" w:fill="FFFFFF"/>
        <w:tabs>
          <w:tab w:val="clear" w:pos="135"/>
          <w:tab w:val="num" w:pos="720"/>
        </w:tabs>
        <w:spacing w:after="0" w:line="240" w:lineRule="auto"/>
        <w:ind w:left="945" w:hanging="360"/>
        <w:contextualSpacing/>
        <w:jc w:val="both"/>
        <w:rPr>
          <w:rFonts w:ascii="Garamond" w:hAnsi="Garamond"/>
          <w:color w:val="191919"/>
        </w:rPr>
      </w:pPr>
      <w:r w:rsidRPr="004A0C12">
        <w:rPr>
          <w:rFonts w:ascii="Garamond" w:hAnsi="Garamond"/>
          <w:color w:val="191919"/>
        </w:rPr>
        <w:t>    Disability entrance signage; entrance; parking lot</w:t>
      </w:r>
    </w:p>
    <w:p w14:paraId="3AA89189" w14:textId="77777777" w:rsidR="009523C7" w:rsidRPr="004A0C12" w:rsidRDefault="009523C7" w:rsidP="00F733CF">
      <w:pPr>
        <w:numPr>
          <w:ilvl w:val="0"/>
          <w:numId w:val="98"/>
        </w:numPr>
        <w:shd w:val="clear" w:color="auto" w:fill="FFFFFF"/>
        <w:tabs>
          <w:tab w:val="clear" w:pos="135"/>
          <w:tab w:val="num" w:pos="720"/>
        </w:tabs>
        <w:spacing w:after="0" w:line="240" w:lineRule="auto"/>
        <w:ind w:left="945" w:hanging="360"/>
        <w:contextualSpacing/>
        <w:jc w:val="both"/>
        <w:rPr>
          <w:rFonts w:ascii="Garamond" w:hAnsi="Garamond"/>
          <w:color w:val="191919"/>
        </w:rPr>
      </w:pPr>
      <w:r w:rsidRPr="004A0C12">
        <w:rPr>
          <w:rFonts w:ascii="Garamond" w:hAnsi="Garamond"/>
          <w:color w:val="191919"/>
        </w:rPr>
        <w:t>    Accessible stations; Assistive Technology</w:t>
      </w:r>
    </w:p>
    <w:p w14:paraId="6FE3FC06" w14:textId="77777777" w:rsidR="009523C7" w:rsidRPr="004A0C12" w:rsidRDefault="009523C7" w:rsidP="009523C7">
      <w:pPr>
        <w:shd w:val="clear" w:color="auto" w:fill="FFFFFF"/>
        <w:spacing w:after="0" w:line="240" w:lineRule="auto"/>
        <w:ind w:left="945"/>
        <w:contextualSpacing/>
        <w:jc w:val="both"/>
        <w:rPr>
          <w:rFonts w:ascii="Garamond" w:hAnsi="Garamond"/>
          <w:color w:val="191919"/>
        </w:rPr>
      </w:pPr>
    </w:p>
    <w:p w14:paraId="1848686B" w14:textId="1C92E273" w:rsidR="009523C7" w:rsidRPr="004A0C12" w:rsidRDefault="00DF6BF3" w:rsidP="009523C7">
      <w:pPr>
        <w:spacing w:after="0" w:line="240" w:lineRule="auto"/>
        <w:contextualSpacing/>
        <w:jc w:val="both"/>
        <w:rPr>
          <w:rFonts w:ascii="Garamond" w:hAnsi="Garamond"/>
        </w:rPr>
      </w:pPr>
      <w:r w:rsidRPr="004A0C12">
        <w:rPr>
          <w:rFonts w:ascii="Garamond" w:hAnsi="Garamond"/>
        </w:rPr>
        <w:t>The M</w:t>
      </w:r>
      <w:r w:rsidR="009523C7" w:rsidRPr="004A0C12">
        <w:rPr>
          <w:rFonts w:ascii="Garamond" w:hAnsi="Garamond"/>
        </w:rPr>
        <w:t>onitor will perform a case file r</w:t>
      </w:r>
      <w:r w:rsidR="00F21DB1" w:rsidRPr="004A0C12">
        <w:rPr>
          <w:rFonts w:ascii="Garamond" w:hAnsi="Garamond"/>
        </w:rPr>
        <w:t>eview analyzing documentation, i</w:t>
      </w:r>
      <w:r w:rsidR="009523C7" w:rsidRPr="004A0C12">
        <w:rPr>
          <w:rFonts w:ascii="Garamond" w:hAnsi="Garamond"/>
        </w:rPr>
        <w:t>ntake processes, eligibility determination and access to services based on the laws under WIOA Title I, and Title IV from randomly selected files for the Program year. Test</w:t>
      </w:r>
      <w:r w:rsidRPr="004A0C12">
        <w:rPr>
          <w:rFonts w:ascii="Garamond" w:hAnsi="Garamond"/>
        </w:rPr>
        <w:t>s</w:t>
      </w:r>
      <w:r w:rsidR="009523C7" w:rsidRPr="004A0C12">
        <w:rPr>
          <w:rFonts w:ascii="Garamond" w:hAnsi="Garamond"/>
        </w:rPr>
        <w:t xml:space="preserve"> will be performed using the monitoring tools created by the Monitoring Unit along with instruments provided by DLLR Office of Fair Practices. A report will be developed highlighting any discrepancies, findings or concerns that will be forwarded to the Office of Fair Practice, and the Office of the Assistant Secretary for further review.</w:t>
      </w:r>
    </w:p>
    <w:p w14:paraId="2CDA9CA0" w14:textId="77777777" w:rsidR="009523C7" w:rsidRPr="004A0C12" w:rsidRDefault="009523C7" w:rsidP="009523C7">
      <w:pPr>
        <w:spacing w:after="0" w:line="240" w:lineRule="auto"/>
        <w:contextualSpacing/>
        <w:jc w:val="both"/>
        <w:rPr>
          <w:rFonts w:ascii="Garamond" w:hAnsi="Garamond"/>
        </w:rPr>
      </w:pPr>
    </w:p>
    <w:p w14:paraId="6313537B" w14:textId="77777777" w:rsidR="00DF6BF3" w:rsidRPr="004A0C12" w:rsidRDefault="00DF6BF3" w:rsidP="00DF6BF3">
      <w:pPr>
        <w:shd w:val="clear" w:color="auto" w:fill="FFFFFF"/>
        <w:spacing w:after="0" w:line="240" w:lineRule="auto"/>
        <w:contextualSpacing/>
        <w:jc w:val="both"/>
        <w:rPr>
          <w:rFonts w:ascii="Garamond" w:hAnsi="Garamond"/>
          <w:color w:val="191919"/>
        </w:rPr>
      </w:pPr>
      <w:r w:rsidRPr="004A0C12">
        <w:rPr>
          <w:rFonts w:ascii="Garamond" w:hAnsi="Garamond"/>
          <w:color w:val="191919"/>
        </w:rPr>
        <w:t xml:space="preserve">The WIOA Partners are dedicated to ensuring that subject matter experts in relevant areas, such as disabilities and accessibility, are included in monitoring best practice training and discussions to ensure that WIOA programming is delivered thoroughly and effectively. </w:t>
      </w:r>
    </w:p>
    <w:p w14:paraId="0D6B2912" w14:textId="77777777" w:rsidR="00DF6BF3" w:rsidRPr="004A0C12" w:rsidRDefault="00DF6BF3" w:rsidP="009523C7">
      <w:pPr>
        <w:spacing w:after="0" w:line="240" w:lineRule="auto"/>
        <w:contextualSpacing/>
        <w:jc w:val="both"/>
        <w:rPr>
          <w:rFonts w:ascii="Garamond" w:hAnsi="Garamond"/>
        </w:rPr>
      </w:pPr>
    </w:p>
    <w:p w14:paraId="59B7721A" w14:textId="7B72A8E6" w:rsidR="009523C7" w:rsidRPr="004A0C12" w:rsidRDefault="009523C7" w:rsidP="009523C7">
      <w:pPr>
        <w:spacing w:after="0" w:line="240" w:lineRule="auto"/>
        <w:contextualSpacing/>
        <w:jc w:val="both"/>
        <w:rPr>
          <w:rFonts w:ascii="Garamond" w:hAnsi="Garamond"/>
        </w:rPr>
      </w:pPr>
      <w:r w:rsidRPr="004A0C12">
        <w:rPr>
          <w:rFonts w:ascii="Garamond" w:hAnsi="Garamond"/>
        </w:rPr>
        <w:t xml:space="preserve">DORS self-monitors compliance with the provisions of the Americans with Disabilities Act to ensure that all offices, programs, services, technology, and materials are fully accessible to staff with disabilities and consumers with significant disabilities. On a daily basis, </w:t>
      </w:r>
      <w:proofErr w:type="gramStart"/>
      <w:r w:rsidRPr="004A0C12">
        <w:rPr>
          <w:rFonts w:ascii="Garamond" w:hAnsi="Garamond"/>
        </w:rPr>
        <w:t>staff with disabilities and participants in the V</w:t>
      </w:r>
      <w:r w:rsidR="00EA6922" w:rsidRPr="004A0C12">
        <w:rPr>
          <w:rFonts w:ascii="Garamond" w:hAnsi="Garamond"/>
        </w:rPr>
        <w:t xml:space="preserve">ocational Rehabilitation </w:t>
      </w:r>
      <w:r w:rsidRPr="004A0C12">
        <w:rPr>
          <w:rFonts w:ascii="Garamond" w:hAnsi="Garamond"/>
        </w:rPr>
        <w:t>program monitor</w:t>
      </w:r>
      <w:proofErr w:type="gramEnd"/>
      <w:r w:rsidRPr="004A0C12">
        <w:rPr>
          <w:rFonts w:ascii="Garamond" w:hAnsi="Garamond"/>
        </w:rPr>
        <w:t xml:space="preserve"> DORS for accessibility. Monitoring activit</w:t>
      </w:r>
      <w:r w:rsidR="00F21DB1" w:rsidRPr="004A0C12">
        <w:rPr>
          <w:rFonts w:ascii="Garamond" w:hAnsi="Garamond"/>
        </w:rPr>
        <w:t>ies are also conducted by the United States</w:t>
      </w:r>
      <w:r w:rsidRPr="004A0C12">
        <w:rPr>
          <w:rFonts w:ascii="Garamond" w:hAnsi="Garamond"/>
        </w:rPr>
        <w:t xml:space="preserve"> Department of Education, Rehabilitation Services Administration, as well as by state and federal auditors.</w:t>
      </w:r>
    </w:p>
    <w:p w14:paraId="6DA13053" w14:textId="77777777" w:rsidR="009523C7" w:rsidRPr="004A0C12" w:rsidRDefault="009523C7" w:rsidP="009523C7">
      <w:pPr>
        <w:spacing w:after="0" w:line="240" w:lineRule="auto"/>
        <w:contextualSpacing/>
        <w:jc w:val="both"/>
        <w:rPr>
          <w:rFonts w:ascii="Garamond" w:hAnsi="Garamond"/>
        </w:rPr>
      </w:pPr>
    </w:p>
    <w:p w14:paraId="5BC7DB09" w14:textId="1F805587" w:rsidR="009523C7" w:rsidRPr="004A0C12" w:rsidRDefault="009523C7" w:rsidP="009523C7">
      <w:pPr>
        <w:spacing w:after="0" w:line="240" w:lineRule="auto"/>
        <w:contextualSpacing/>
        <w:jc w:val="both"/>
        <w:rPr>
          <w:rFonts w:ascii="Garamond" w:hAnsi="Garamond"/>
        </w:rPr>
      </w:pPr>
      <w:r w:rsidRPr="004A0C12">
        <w:rPr>
          <w:rFonts w:ascii="Garamond" w:hAnsi="Garamond"/>
        </w:rPr>
        <w:t>DHR provides assistance to individuals and families with disabilities ap</w:t>
      </w:r>
      <w:r w:rsidR="00DF6BF3" w:rsidRPr="004A0C12">
        <w:rPr>
          <w:rFonts w:ascii="Garamond" w:hAnsi="Garamond"/>
        </w:rPr>
        <w:t>plying for or receiving TANF by ensuring</w:t>
      </w:r>
      <w:r w:rsidRPr="004A0C12">
        <w:rPr>
          <w:rFonts w:ascii="Garamond" w:hAnsi="Garamond"/>
        </w:rPr>
        <w:t xml:space="preserve"> equal access to people with disabilities; </w:t>
      </w:r>
      <w:r w:rsidR="00DF6BF3" w:rsidRPr="004A0C12">
        <w:rPr>
          <w:rFonts w:ascii="Garamond" w:hAnsi="Garamond"/>
        </w:rPr>
        <w:t xml:space="preserve">ensuring that </w:t>
      </w:r>
      <w:r w:rsidRPr="004A0C12">
        <w:rPr>
          <w:rFonts w:ascii="Garamond" w:hAnsi="Garamond"/>
        </w:rPr>
        <w:t>policies, practices, and procedures</w:t>
      </w:r>
      <w:r w:rsidR="00DF6BF3" w:rsidRPr="004A0C12">
        <w:rPr>
          <w:rFonts w:ascii="Garamond" w:hAnsi="Garamond"/>
        </w:rPr>
        <w:t xml:space="preserve"> are modified</w:t>
      </w:r>
      <w:r w:rsidRPr="004A0C12">
        <w:rPr>
          <w:rFonts w:ascii="Garamond" w:hAnsi="Garamond"/>
        </w:rPr>
        <w:t xml:space="preserve"> for people with disab</w:t>
      </w:r>
      <w:r w:rsidR="00DF6BF3" w:rsidRPr="004A0C12">
        <w:rPr>
          <w:rFonts w:ascii="Garamond" w:hAnsi="Garamond"/>
        </w:rPr>
        <w:t>ilities where necessary; and ensuring</w:t>
      </w:r>
      <w:r w:rsidRPr="004A0C12">
        <w:rPr>
          <w:rFonts w:ascii="Garamond" w:hAnsi="Garamond"/>
        </w:rPr>
        <w:t xml:space="preserve"> that methods of administration do not discriminate on the basis of disability. Applicants and recipients are provided special accommodations and auxiliary aids such as interpreters for individuals with hearing impairments, large type reading materials for individuals with visual impairments and telephone interviews for those customers who unable to visit a LDSS.</w:t>
      </w:r>
    </w:p>
    <w:p w14:paraId="1D2ABDEA" w14:textId="77777777" w:rsidR="009523C7" w:rsidRPr="004A0C12" w:rsidRDefault="009523C7" w:rsidP="009523C7">
      <w:pPr>
        <w:spacing w:after="0" w:line="240" w:lineRule="auto"/>
        <w:contextualSpacing/>
        <w:jc w:val="both"/>
        <w:rPr>
          <w:rFonts w:ascii="Garamond" w:hAnsi="Garamond"/>
        </w:rPr>
      </w:pPr>
    </w:p>
    <w:p w14:paraId="0BC48517" w14:textId="021BD37C" w:rsidR="009523C7" w:rsidRPr="004A0C12" w:rsidRDefault="009523C7" w:rsidP="009523C7">
      <w:pPr>
        <w:spacing w:after="0" w:line="240" w:lineRule="auto"/>
        <w:contextualSpacing/>
        <w:jc w:val="both"/>
        <w:rPr>
          <w:rFonts w:ascii="Garamond" w:hAnsi="Garamond"/>
        </w:rPr>
      </w:pPr>
      <w:r w:rsidRPr="004A0C12">
        <w:rPr>
          <w:rFonts w:ascii="Garamond" w:hAnsi="Garamond"/>
        </w:rPr>
        <w:t>Further, specifically with TANF workforce deve</w:t>
      </w:r>
      <w:r w:rsidR="00DF6BF3" w:rsidRPr="004A0C12">
        <w:rPr>
          <w:rFonts w:ascii="Garamond" w:hAnsi="Garamond"/>
        </w:rPr>
        <w:t xml:space="preserve">lopment programs, DHR requires Local Department of </w:t>
      </w:r>
      <w:r w:rsidRPr="004A0C12">
        <w:rPr>
          <w:rFonts w:ascii="Garamond" w:hAnsi="Garamond"/>
        </w:rPr>
        <w:t>S</w:t>
      </w:r>
      <w:r w:rsidR="00DF6BF3" w:rsidRPr="004A0C12">
        <w:rPr>
          <w:rFonts w:ascii="Garamond" w:hAnsi="Garamond"/>
        </w:rPr>
        <w:t xml:space="preserve">ocial </w:t>
      </w:r>
      <w:r w:rsidRPr="004A0C12">
        <w:rPr>
          <w:rFonts w:ascii="Garamond" w:hAnsi="Garamond"/>
        </w:rPr>
        <w:t>S</w:t>
      </w:r>
      <w:r w:rsidR="00DF6BF3" w:rsidRPr="004A0C12">
        <w:rPr>
          <w:rFonts w:ascii="Garamond" w:hAnsi="Garamond"/>
        </w:rPr>
        <w:t>ervices (LDSS)</w:t>
      </w:r>
      <w:r w:rsidRPr="004A0C12">
        <w:rPr>
          <w:rFonts w:ascii="Garamond" w:hAnsi="Garamond"/>
        </w:rPr>
        <w:t xml:space="preserve"> to complete an annual Plan for Achieving Self-Sufficiency. Included in the annual plan are project descriptions for all work program activities. LDSS are required to describe in the plan their assessment, reasonable accommodation and monitoring processes which will include a communication strategy with vendors that provide workforce development services, if applicable. Additionally, DHR conducts monthly technical assistance/monitoring calls and annual on-site m</w:t>
      </w:r>
      <w:r w:rsidR="00DF6BF3" w:rsidRPr="004A0C12">
        <w:rPr>
          <w:rFonts w:ascii="Garamond" w:hAnsi="Garamond"/>
        </w:rPr>
        <w:t>onitoring visits with each LDSS, which includes evaluation of</w:t>
      </w:r>
      <w:r w:rsidRPr="004A0C12">
        <w:rPr>
          <w:rFonts w:ascii="Garamond" w:hAnsi="Garamond"/>
        </w:rPr>
        <w:t xml:space="preserve"> ADA compliance. Compliance will be measured, among other things, by the promulgation of policies, tracking of requests for reasonable accommodations and participation in DHR ADA trainings. Finally, monitoring is also conducted by the U.S. Department of Health and Human Services as well as state and federal auditors.</w:t>
      </w:r>
    </w:p>
    <w:p w14:paraId="7EB8B454" w14:textId="77777777" w:rsidR="001A1E04" w:rsidRPr="004A0C12" w:rsidRDefault="001A1E04" w:rsidP="00182EF4">
      <w:pPr>
        <w:spacing w:after="0" w:line="240" w:lineRule="auto"/>
        <w:rPr>
          <w:rFonts w:ascii="Garamond" w:hAnsi="Garamond"/>
        </w:rPr>
      </w:pPr>
    </w:p>
    <w:p w14:paraId="11078CC1" w14:textId="77777777" w:rsidR="00EA6922" w:rsidRPr="004A0C12" w:rsidRDefault="00EA6922" w:rsidP="00182EF4">
      <w:pPr>
        <w:spacing w:after="0" w:line="240" w:lineRule="auto"/>
        <w:rPr>
          <w:rFonts w:ascii="Garamond" w:hAnsi="Garamond"/>
        </w:rPr>
      </w:pPr>
    </w:p>
    <w:p w14:paraId="0EEAEA16" w14:textId="77777777" w:rsidR="00AB5AEF" w:rsidRPr="004A0C12" w:rsidRDefault="00AB5AEF" w:rsidP="00AB5AEF">
      <w:pPr>
        <w:pStyle w:val="PlainText1"/>
        <w:rPr>
          <w:rFonts w:ascii="Garamond" w:hAnsi="Garamond"/>
          <w:b/>
          <w:sz w:val="22"/>
          <w:szCs w:val="22"/>
        </w:rPr>
      </w:pPr>
      <w:r w:rsidRPr="004A0C12">
        <w:rPr>
          <w:rFonts w:ascii="Garamond" w:hAnsi="Garamond"/>
          <w:b/>
          <w:sz w:val="22"/>
          <w:szCs w:val="22"/>
        </w:rPr>
        <w:t xml:space="preserve">COMMON ASSURANCES (for all core programs) </w:t>
      </w:r>
    </w:p>
    <w:p w14:paraId="6523134D" w14:textId="77777777" w:rsidR="00AB5AEF" w:rsidRPr="004A0C12" w:rsidRDefault="00AB5AEF" w:rsidP="00AB5AEF">
      <w:pPr>
        <w:pStyle w:val="PlainText1"/>
        <w:rPr>
          <w:rFonts w:ascii="Garamond" w:hAnsi="Garamond"/>
          <w:b/>
          <w:sz w:val="22"/>
          <w:szCs w:val="22"/>
        </w:rPr>
      </w:pPr>
    </w:p>
    <w:tbl>
      <w:tblPr>
        <w:tblW w:w="0" w:type="auto"/>
        <w:tblInd w:w="5" w:type="dxa"/>
        <w:tblLayout w:type="fixed"/>
        <w:tblLook w:val="0000" w:firstRow="0" w:lastRow="0" w:firstColumn="0" w:lastColumn="0" w:noHBand="0" w:noVBand="0"/>
      </w:tblPr>
      <w:tblGrid>
        <w:gridCol w:w="546"/>
        <w:gridCol w:w="10244"/>
      </w:tblGrid>
      <w:tr w:rsidR="00AB5AEF" w:rsidRPr="004A0C12" w14:paraId="0C64BE13" w14:textId="77777777" w:rsidTr="007A1FDC">
        <w:trPr>
          <w:cantSplit/>
          <w:trHeight w:val="350"/>
        </w:trPr>
        <w:tc>
          <w:tcPr>
            <w:tcW w:w="1079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84B7D" w14:textId="77777777" w:rsidR="00AB5AEF" w:rsidRPr="004A0C12" w:rsidRDefault="00AB5AEF" w:rsidP="007A1FDC">
            <w:pPr>
              <w:pStyle w:val="PlainText1"/>
              <w:jc w:val="both"/>
              <w:rPr>
                <w:rFonts w:ascii="Garamond" w:hAnsi="Garamond"/>
                <w:b/>
                <w:sz w:val="22"/>
                <w:szCs w:val="22"/>
              </w:rPr>
            </w:pPr>
            <w:r w:rsidRPr="004A0C12">
              <w:rPr>
                <w:rFonts w:ascii="Garamond" w:hAnsi="Garamond"/>
                <w:b/>
                <w:sz w:val="22"/>
                <w:szCs w:val="22"/>
              </w:rPr>
              <w:t>The State Plan must include assurances that:</w:t>
            </w:r>
          </w:p>
        </w:tc>
      </w:tr>
      <w:tr w:rsidR="00AB5AEF" w:rsidRPr="004A0C12" w14:paraId="436474A6" w14:textId="77777777" w:rsidTr="007A1FDC">
        <w:trPr>
          <w:cantSplit/>
          <w:trHeight w:val="900"/>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1251B9"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t>1.</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D61806" w14:textId="71BD2F9C" w:rsidR="00AB5AEF" w:rsidRPr="004A0C12" w:rsidRDefault="00DF6BF3" w:rsidP="007A1FDC">
            <w:pPr>
              <w:pStyle w:val="PlainText1"/>
              <w:rPr>
                <w:rStyle w:val="FootnoteReference1"/>
                <w:rFonts w:ascii="Garamond" w:hAnsi="Garamond"/>
                <w:sz w:val="22"/>
                <w:szCs w:val="22"/>
              </w:rPr>
            </w:pPr>
            <w:r w:rsidRPr="004A0C12">
              <w:rPr>
                <w:rFonts w:ascii="Garamond" w:hAnsi="Garamond"/>
                <w:sz w:val="22"/>
                <w:szCs w:val="22"/>
              </w:rPr>
              <w:t>The State has established a policy identifying circumstances that may present a conflict of interest for a State Board or local board member, or the entity or class of officials that the member represents, and procedures to resolve such conflicts;</w:t>
            </w:r>
          </w:p>
        </w:tc>
      </w:tr>
      <w:tr w:rsidR="00AB5AEF" w:rsidRPr="004A0C12" w14:paraId="7FF62B46" w14:textId="77777777" w:rsidTr="007A1FDC">
        <w:trPr>
          <w:cantSplit/>
          <w:trHeight w:val="1200"/>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EFAD8"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t>2.</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A09C9" w14:textId="6514CE56" w:rsidR="00AB5AEF" w:rsidRPr="004A0C12" w:rsidRDefault="00DF6BF3" w:rsidP="007A1FDC">
            <w:pPr>
              <w:pStyle w:val="PlainText1"/>
              <w:rPr>
                <w:rStyle w:val="FootnoteReference1"/>
                <w:rFonts w:ascii="Garamond" w:hAnsi="Garamond"/>
                <w:sz w:val="22"/>
                <w:szCs w:val="22"/>
              </w:rPr>
            </w:pPr>
            <w:r w:rsidRPr="004A0C12">
              <w:rPr>
                <w:rFonts w:ascii="Garamond" w:hAnsi="Garamond"/>
                <w:sz w:val="22"/>
                <w:szCs w:val="22"/>
              </w:rPr>
              <w:t>The State has established a policy to provide to the public (including individuals with disabilities) access to meetings of State Boards and local boards, and information regarding activities of State Boards and local boards, such as data on board membership and minutes;</w:t>
            </w:r>
          </w:p>
        </w:tc>
      </w:tr>
      <w:tr w:rsidR="00AB5AEF" w:rsidRPr="004A0C12" w14:paraId="01955B2B" w14:textId="77777777" w:rsidTr="00AB5AEF">
        <w:trPr>
          <w:cantSplit/>
          <w:trHeight w:val="899"/>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C8393"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t>3.</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09948" w14:textId="06AAED2E" w:rsidR="00AB5AEF" w:rsidRPr="004A0C12" w:rsidRDefault="00DF6BF3" w:rsidP="00DF6BF3">
            <w:pPr>
              <w:pStyle w:val="PlainText1"/>
              <w:rPr>
                <w:rFonts w:ascii="Garamond" w:hAnsi="Garamond"/>
                <w:sz w:val="22"/>
                <w:szCs w:val="22"/>
              </w:rPr>
            </w:pPr>
            <w:r w:rsidRPr="004A0C12">
              <w:rPr>
                <w:rFonts w:ascii="Garamond" w:hAnsi="Garamond"/>
                <w:sz w:val="22"/>
                <w:szCs w:val="22"/>
              </w:rPr>
              <w:t>The lead State agencies with optimal policy-making authority and responsibility for the administration of core programs reviewed and commented on the appropriate operational planning elements of the Combined State Plan, and approved the elements as serving the needs of the populations served by such programs;</w:t>
            </w:r>
          </w:p>
        </w:tc>
      </w:tr>
      <w:tr w:rsidR="00AB5AEF" w:rsidRPr="004A0C12" w14:paraId="7C48C236" w14:textId="77777777" w:rsidTr="00AB5AEF">
        <w:trPr>
          <w:cantSplit/>
          <w:trHeight w:val="2114"/>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FA2C8F"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t>4.</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428D70" w14:textId="6978C92C" w:rsidR="00DF6BF3" w:rsidRPr="004A0C12" w:rsidRDefault="00DF6BF3" w:rsidP="007A1FDC">
            <w:pPr>
              <w:pStyle w:val="PlainText1"/>
              <w:rPr>
                <w:rFonts w:ascii="Garamond" w:hAnsi="Garamond"/>
                <w:sz w:val="22"/>
                <w:szCs w:val="22"/>
              </w:rPr>
            </w:pPr>
            <w:r w:rsidRPr="004A0C12">
              <w:rPr>
                <w:rFonts w:ascii="Garamond" w:hAnsi="Garamond"/>
                <w:sz w:val="22"/>
                <w:szCs w:val="22"/>
              </w:rPr>
              <w:t xml:space="preserve">(a) The State obtained input into the development of the Combined State Plan and provided an opportunity for comment on the plan by representatives of local boards and chief elected officials, businesses, labor organizations, institutions of higher education, the entities responsible for planning or administrating the core programs, required one-stop partners and the other Combined Plan programs (if included in the State Plan), other primary stakeholders, including other organizations that provide services to individuals with barriers to employment, and the general public, and that the Combined State Plan is available and accessible to the general public; </w:t>
            </w:r>
          </w:p>
          <w:p w14:paraId="249A3E8C" w14:textId="77777777" w:rsidR="00DF6BF3" w:rsidRPr="004A0C12" w:rsidRDefault="00DF6BF3" w:rsidP="007A1FDC">
            <w:pPr>
              <w:pStyle w:val="PlainText1"/>
              <w:rPr>
                <w:rFonts w:ascii="Garamond" w:hAnsi="Garamond"/>
                <w:sz w:val="22"/>
                <w:szCs w:val="22"/>
              </w:rPr>
            </w:pPr>
          </w:p>
          <w:p w14:paraId="036607E0" w14:textId="0B38FEF9" w:rsidR="00AB5AEF" w:rsidRPr="004A0C12" w:rsidRDefault="00DF6BF3" w:rsidP="007A1FDC">
            <w:pPr>
              <w:pStyle w:val="PlainText1"/>
              <w:rPr>
                <w:rFonts w:ascii="Garamond" w:hAnsi="Garamond"/>
                <w:sz w:val="22"/>
                <w:szCs w:val="22"/>
              </w:rPr>
            </w:pPr>
            <w:r w:rsidRPr="004A0C12">
              <w:rPr>
                <w:rFonts w:ascii="Garamond" w:hAnsi="Garamond"/>
                <w:sz w:val="22"/>
                <w:szCs w:val="22"/>
              </w:rPr>
              <w:t>(b) The State provided an opportunity for review and comment on the plan by the State Board, including State agency official(s) for the Unemployment Insurance Agency if such official(s) is a member of the State Board;</w:t>
            </w:r>
          </w:p>
        </w:tc>
      </w:tr>
      <w:tr w:rsidR="00DF6BF3" w:rsidRPr="004A0C12" w14:paraId="5BAE0E11" w14:textId="77777777" w:rsidTr="007A1FDC">
        <w:trPr>
          <w:cantSplit/>
          <w:trHeight w:val="350"/>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536C4" w14:textId="070516AD" w:rsidR="00DF6BF3" w:rsidRPr="004A0C12" w:rsidRDefault="00DF6BF3" w:rsidP="007A1FDC">
            <w:pPr>
              <w:pStyle w:val="PlainText1"/>
              <w:rPr>
                <w:rFonts w:ascii="Garamond" w:hAnsi="Garamond"/>
                <w:sz w:val="22"/>
                <w:szCs w:val="22"/>
              </w:rPr>
            </w:pPr>
            <w:r w:rsidRPr="004A0C12">
              <w:rPr>
                <w:rFonts w:ascii="Garamond" w:hAnsi="Garamond"/>
                <w:sz w:val="22"/>
                <w:szCs w:val="22"/>
              </w:rPr>
              <w:t>5.</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2EC40" w14:textId="4A2EF8A1" w:rsidR="00DF6BF3" w:rsidRPr="004A0C12" w:rsidRDefault="00DF6BF3" w:rsidP="007A1FDC">
            <w:pPr>
              <w:pStyle w:val="PlainText1"/>
              <w:rPr>
                <w:rFonts w:ascii="Garamond" w:hAnsi="Garamond"/>
                <w:sz w:val="22"/>
                <w:szCs w:val="22"/>
              </w:rPr>
            </w:pPr>
            <w:r w:rsidRPr="004A0C12">
              <w:rPr>
                <w:rFonts w:ascii="Garamond" w:hAnsi="Garamond"/>
                <w:sz w:val="22"/>
                <w:szCs w:val="22"/>
              </w:rPr>
              <w:t>The State has established, in accordance with WIOA section 116(i), fiscal control and fund accounting procedures that may be necessary to ensure the proper disbursement of, and accounting for, funds paid to the State through allotments made for the core programs to carry out workforce development activities;</w:t>
            </w:r>
          </w:p>
        </w:tc>
      </w:tr>
      <w:tr w:rsidR="00AB5AEF" w:rsidRPr="004A0C12" w14:paraId="2B51D86D" w14:textId="77777777" w:rsidTr="00AB5AEF">
        <w:trPr>
          <w:cantSplit/>
          <w:trHeight w:val="1151"/>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4D9885"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lastRenderedPageBreak/>
              <w:t>6.</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E0E8DB" w14:textId="2FF23B87" w:rsidR="00AB5AEF" w:rsidRPr="004A0C12" w:rsidRDefault="00DF6BF3" w:rsidP="007A1FDC">
            <w:pPr>
              <w:pStyle w:val="PlainText1"/>
              <w:rPr>
                <w:rStyle w:val="FootnoteReference1"/>
                <w:rFonts w:ascii="Garamond" w:hAnsi="Garamond"/>
                <w:sz w:val="22"/>
                <w:szCs w:val="22"/>
              </w:rPr>
            </w:pPr>
            <w:r w:rsidRPr="004A0C12">
              <w:rPr>
                <w:rFonts w:ascii="Garamond" w:hAnsi="Garamond"/>
                <w:sz w:val="22"/>
                <w:szCs w:val="22"/>
              </w:rPr>
              <w:t>The State has taken appropriate action to secure compliance with uniform administrative requirements in this Act, including that the State will annually monitor local areas to ensure compliance and otherwise take appropriate action to secure compliance with the uniform administrative requirements under WIOA section 184(a)(3);</w:t>
            </w:r>
          </w:p>
        </w:tc>
      </w:tr>
      <w:tr w:rsidR="00AB5AEF" w:rsidRPr="004A0C12" w14:paraId="26B2C5CE" w14:textId="77777777" w:rsidTr="00AB5AEF">
        <w:trPr>
          <w:cantSplit/>
          <w:trHeight w:val="296"/>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E1201"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t>7.</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58602" w14:textId="089351C6" w:rsidR="00AB5AEF" w:rsidRPr="004A0C12" w:rsidRDefault="00DF6BF3" w:rsidP="007A1FDC">
            <w:pPr>
              <w:pStyle w:val="PlainText1"/>
              <w:rPr>
                <w:rStyle w:val="FootnoteReference1"/>
                <w:rFonts w:ascii="Garamond" w:hAnsi="Garamond"/>
                <w:sz w:val="22"/>
                <w:szCs w:val="22"/>
              </w:rPr>
            </w:pPr>
            <w:r w:rsidRPr="004A0C12">
              <w:rPr>
                <w:rFonts w:ascii="Garamond" w:hAnsi="Garamond"/>
                <w:sz w:val="22"/>
                <w:szCs w:val="22"/>
              </w:rPr>
              <w:t>The State has taken the appropriate action to be in compliance with WIOA section 188, Nondiscrimination, as applicable;</w:t>
            </w:r>
          </w:p>
        </w:tc>
      </w:tr>
      <w:tr w:rsidR="00AB5AEF" w:rsidRPr="004A0C12" w14:paraId="045CBBFB" w14:textId="77777777" w:rsidTr="00AB5AEF">
        <w:trPr>
          <w:cantSplit/>
          <w:trHeight w:val="620"/>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47463"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t>8.</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1BEAD" w14:textId="358FDA8E" w:rsidR="00AB5AEF" w:rsidRPr="004A0C12" w:rsidRDefault="00DF6BF3" w:rsidP="007A1FDC">
            <w:pPr>
              <w:pStyle w:val="PlainText1"/>
              <w:rPr>
                <w:rFonts w:ascii="Garamond" w:hAnsi="Garamond"/>
                <w:sz w:val="22"/>
                <w:szCs w:val="22"/>
              </w:rPr>
            </w:pPr>
            <w:r w:rsidRPr="004A0C12">
              <w:rPr>
                <w:rFonts w:ascii="Garamond" w:hAnsi="Garamond"/>
                <w:sz w:val="22"/>
                <w:szCs w:val="22"/>
              </w:rPr>
              <w:t>The Federal funds received to carry out a core program will not be expended for any purpose other than for activities authorized with respect to such funds under that core program;</w:t>
            </w:r>
          </w:p>
        </w:tc>
      </w:tr>
      <w:tr w:rsidR="00AB5AEF" w:rsidRPr="004A0C12" w14:paraId="66274EE5" w14:textId="77777777" w:rsidTr="00AB5AEF">
        <w:trPr>
          <w:cantSplit/>
          <w:trHeight w:val="611"/>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5C5ED8"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t>9.</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AF3F97" w14:textId="1B9C1B6B" w:rsidR="00AB5AEF" w:rsidRPr="004A0C12" w:rsidRDefault="00DF6BF3" w:rsidP="007A1FDC">
            <w:pPr>
              <w:pStyle w:val="PlainText1"/>
              <w:rPr>
                <w:rFonts w:ascii="Garamond" w:hAnsi="Garamond"/>
                <w:sz w:val="22"/>
                <w:szCs w:val="22"/>
              </w:rPr>
            </w:pPr>
            <w:r w:rsidRPr="004A0C12">
              <w:rPr>
                <w:rFonts w:ascii="Garamond" w:hAnsi="Garamond"/>
                <w:sz w:val="22"/>
                <w:szCs w:val="22"/>
              </w:rPr>
              <w:t>The State will pay an appropriate share (as defined by the State board) of the costs of carrying out section 116, from funds made available through each of the core programs;</w:t>
            </w:r>
          </w:p>
        </w:tc>
      </w:tr>
      <w:tr w:rsidR="00AB5AEF" w:rsidRPr="004A0C12" w14:paraId="3613FBCF" w14:textId="77777777" w:rsidTr="00AB5AEF">
        <w:trPr>
          <w:cantSplit/>
          <w:trHeight w:val="539"/>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77896"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t>10.</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59F4E0" w14:textId="227FCD1E" w:rsidR="00AB5AEF" w:rsidRPr="004A0C12" w:rsidRDefault="00DF6BF3" w:rsidP="007A1FDC">
            <w:pPr>
              <w:pStyle w:val="PlainText1"/>
              <w:rPr>
                <w:rFonts w:ascii="Garamond" w:hAnsi="Garamond"/>
                <w:sz w:val="22"/>
                <w:szCs w:val="22"/>
              </w:rPr>
            </w:pPr>
            <w:r w:rsidRPr="004A0C12">
              <w:rPr>
                <w:rFonts w:ascii="Garamond" w:hAnsi="Garamond"/>
                <w:sz w:val="22"/>
                <w:szCs w:val="22"/>
              </w:rPr>
              <w:t>The State has a one-stop certification policy that ensures the physical and programmatic accessibility of all one-stop centers with the Americans with Disabilities Act of 1990 (ADA);</w:t>
            </w:r>
          </w:p>
        </w:tc>
      </w:tr>
      <w:tr w:rsidR="00AB5AEF" w:rsidRPr="004A0C12" w14:paraId="64003680" w14:textId="77777777" w:rsidTr="00C11764">
        <w:trPr>
          <w:cantSplit/>
          <w:trHeight w:val="530"/>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9F71B" w14:textId="77777777" w:rsidR="00AB5AEF" w:rsidRPr="004A0C12" w:rsidRDefault="00AB5AEF" w:rsidP="007A1FDC">
            <w:pPr>
              <w:pStyle w:val="PlainText1"/>
              <w:rPr>
                <w:rFonts w:ascii="Garamond" w:hAnsi="Garamond"/>
                <w:sz w:val="22"/>
                <w:szCs w:val="22"/>
              </w:rPr>
            </w:pPr>
            <w:r w:rsidRPr="004A0C12">
              <w:rPr>
                <w:rFonts w:ascii="Garamond" w:hAnsi="Garamond"/>
                <w:sz w:val="22"/>
                <w:szCs w:val="22"/>
              </w:rPr>
              <w:t>11.</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099E07" w14:textId="7076DCE7" w:rsidR="00AB5AEF" w:rsidRPr="004A0C12" w:rsidRDefault="00DF6BF3" w:rsidP="007A1FDC">
            <w:pPr>
              <w:rPr>
                <w:rFonts w:ascii="Garamond" w:hAnsi="Garamond" w:cs="Times New Roman"/>
              </w:rPr>
            </w:pPr>
            <w:r w:rsidRPr="004A0C12">
              <w:rPr>
                <w:rFonts w:ascii="Garamond" w:hAnsi="Garamond" w:cs="Times New Roman"/>
              </w:rPr>
              <w:t>Service providers have a referral process in place for directing Veterans with Significant Barriers to Employment (SBE) to DVOP services, when appropriate; and</w:t>
            </w:r>
          </w:p>
        </w:tc>
      </w:tr>
      <w:tr w:rsidR="00AB5AEF" w:rsidRPr="004A0C12" w14:paraId="147540EC" w14:textId="77777777" w:rsidTr="00AB5AEF">
        <w:trPr>
          <w:cantSplit/>
          <w:trHeight w:val="1304"/>
        </w:trPr>
        <w:tc>
          <w:tcPr>
            <w:tcW w:w="5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B50D4" w14:textId="77777777" w:rsidR="00AB5AEF" w:rsidRPr="004A0C12" w:rsidRDefault="00AB5AEF" w:rsidP="007A1FDC">
            <w:pPr>
              <w:rPr>
                <w:rFonts w:ascii="Garamond" w:hAnsi="Garamond" w:cs="Times New Roman"/>
              </w:rPr>
            </w:pPr>
            <w:r w:rsidRPr="004A0C12">
              <w:rPr>
                <w:rFonts w:ascii="Garamond" w:hAnsi="Garamond" w:cs="Times New Roman"/>
              </w:rPr>
              <w:t>12.</w:t>
            </w:r>
          </w:p>
        </w:tc>
        <w:tc>
          <w:tcPr>
            <w:tcW w:w="10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F8BCF1" w14:textId="0A8783DB" w:rsidR="00AB5AEF" w:rsidRPr="004A0C12" w:rsidRDefault="00C11764" w:rsidP="007A1FDC">
            <w:pPr>
              <w:rPr>
                <w:rFonts w:ascii="Garamond" w:hAnsi="Garamond" w:cs="Times New Roman"/>
              </w:rPr>
            </w:pPr>
            <w:r w:rsidRPr="004A0C12">
              <w:rPr>
                <w:rFonts w:ascii="Garamond" w:hAnsi="Garamond" w:cs="Times New Roman"/>
              </w:rPr>
              <w:t>Priority of service for veterans and eligible spouses is provided in accordance with 38 USC 4215 in all workforce preparation, development or delivery of programs or services funded directly, in whole or in part, by the Department of Labor.</w:t>
            </w:r>
          </w:p>
        </w:tc>
      </w:tr>
    </w:tbl>
    <w:p w14:paraId="71484944" w14:textId="77777777" w:rsidR="00AB5AEF" w:rsidRPr="004A0C12" w:rsidRDefault="00AB5AEF" w:rsidP="00AB5AEF">
      <w:pPr>
        <w:pStyle w:val="FreeForm"/>
        <w:ind w:left="5"/>
        <w:rPr>
          <w:rFonts w:ascii="Garamond" w:hAnsi="Garamond"/>
          <w:sz w:val="22"/>
          <w:szCs w:val="22"/>
        </w:rPr>
      </w:pPr>
    </w:p>
    <w:p w14:paraId="7D2FA3FF" w14:textId="77777777" w:rsidR="00AB5AEF" w:rsidRPr="004A0C12" w:rsidRDefault="00AB5AEF" w:rsidP="00AB5AEF">
      <w:pPr>
        <w:rPr>
          <w:rFonts w:ascii="Garamond" w:hAnsi="Garamond"/>
          <w:b/>
        </w:rPr>
      </w:pPr>
    </w:p>
    <w:p w14:paraId="27B355DD" w14:textId="77777777" w:rsidR="00971C0C" w:rsidRPr="004A0C12" w:rsidRDefault="00971C0C" w:rsidP="00AB5AEF">
      <w:pPr>
        <w:pStyle w:val="Heading1"/>
        <w:rPr>
          <w:rFonts w:ascii="Garamond" w:hAnsi="Garamond"/>
          <w:sz w:val="22"/>
          <w:szCs w:val="22"/>
        </w:rPr>
      </w:pPr>
    </w:p>
    <w:p w14:paraId="25F1CC3D" w14:textId="77777777" w:rsidR="00971C0C" w:rsidRPr="004A0C12" w:rsidRDefault="00971C0C" w:rsidP="00AB5AEF">
      <w:pPr>
        <w:pStyle w:val="Heading1"/>
        <w:rPr>
          <w:rFonts w:ascii="Garamond" w:hAnsi="Garamond"/>
          <w:sz w:val="22"/>
          <w:szCs w:val="22"/>
        </w:rPr>
      </w:pPr>
    </w:p>
    <w:p w14:paraId="4835088A" w14:textId="77777777" w:rsidR="00971C0C" w:rsidRPr="004A0C12" w:rsidRDefault="00971C0C" w:rsidP="00AB5AEF">
      <w:pPr>
        <w:pStyle w:val="Heading1"/>
        <w:rPr>
          <w:rFonts w:ascii="Garamond" w:hAnsi="Garamond"/>
          <w:sz w:val="22"/>
          <w:szCs w:val="22"/>
        </w:rPr>
      </w:pPr>
    </w:p>
    <w:p w14:paraId="359581CE" w14:textId="77777777" w:rsidR="00971C0C" w:rsidRPr="004A0C12" w:rsidRDefault="00971C0C" w:rsidP="00AB5AEF">
      <w:pPr>
        <w:pStyle w:val="Heading1"/>
        <w:rPr>
          <w:rFonts w:ascii="Garamond" w:hAnsi="Garamond"/>
          <w:sz w:val="22"/>
          <w:szCs w:val="22"/>
        </w:rPr>
      </w:pPr>
    </w:p>
    <w:p w14:paraId="43A19659" w14:textId="77777777" w:rsidR="00971C0C" w:rsidRPr="004A0C12" w:rsidRDefault="00971C0C">
      <w:pPr>
        <w:rPr>
          <w:rFonts w:ascii="Garamond" w:eastAsiaTheme="majorEastAsia" w:hAnsi="Garamond" w:cstheme="majorBidi"/>
          <w:b/>
          <w:bCs/>
          <w:color w:val="365F91" w:themeColor="accent1" w:themeShade="BF"/>
        </w:rPr>
      </w:pPr>
      <w:r w:rsidRPr="004A0C12">
        <w:rPr>
          <w:rFonts w:ascii="Garamond" w:hAnsi="Garamond"/>
        </w:rPr>
        <w:br w:type="page"/>
      </w:r>
    </w:p>
    <w:p w14:paraId="2911BE5B" w14:textId="77777777" w:rsidR="00AB5AEF" w:rsidRPr="00E64564" w:rsidRDefault="00AB5AEF" w:rsidP="00AB5AEF">
      <w:pPr>
        <w:pStyle w:val="Heading1"/>
        <w:rPr>
          <w:rFonts w:ascii="Garamond" w:hAnsi="Garamond"/>
        </w:rPr>
      </w:pPr>
      <w:bookmarkStart w:id="108" w:name="_Toc447276152"/>
      <w:proofErr w:type="gramStart"/>
      <w:r w:rsidRPr="00E64564">
        <w:rPr>
          <w:rFonts w:ascii="Garamond" w:hAnsi="Garamond"/>
        </w:rPr>
        <w:lastRenderedPageBreak/>
        <w:t>PART 4.</w:t>
      </w:r>
      <w:proofErr w:type="gramEnd"/>
      <w:r w:rsidRPr="00E64564">
        <w:rPr>
          <w:rFonts w:ascii="Garamond" w:hAnsi="Garamond"/>
        </w:rPr>
        <w:t xml:space="preserve"> PROGRAM SPECIFICS FOR ADULT, DISLOCATED WORKER, AND YOUTH ACTIVITIES</w:t>
      </w:r>
      <w:bookmarkEnd w:id="108"/>
    </w:p>
    <w:p w14:paraId="28C083B9" w14:textId="77777777" w:rsidR="00AB5AEF" w:rsidRPr="004A0C12" w:rsidRDefault="00AB5AEF" w:rsidP="00AB5AEF">
      <w:pPr>
        <w:pStyle w:val="Heading2"/>
        <w:rPr>
          <w:rFonts w:ascii="Garamond" w:hAnsi="Garamond"/>
          <w:sz w:val="22"/>
          <w:szCs w:val="22"/>
        </w:rPr>
      </w:pPr>
      <w:bookmarkStart w:id="109" w:name="_Toc447276153"/>
      <w:r w:rsidRPr="00E64564">
        <w:rPr>
          <w:rFonts w:ascii="Garamond" w:hAnsi="Garamond"/>
          <w:sz w:val="28"/>
          <w:szCs w:val="28"/>
        </w:rPr>
        <w:t>REGIONS &amp; LOCAL WORKFORCE DEVELOPMENT AREAS</w:t>
      </w:r>
      <w:bookmarkEnd w:id="109"/>
    </w:p>
    <w:p w14:paraId="7C8A21CD" w14:textId="77777777" w:rsidR="00AB5AEF" w:rsidRPr="00E64564" w:rsidRDefault="00AB5AEF" w:rsidP="00CF4628">
      <w:pPr>
        <w:pStyle w:val="Heading3"/>
        <w:rPr>
          <w:rFonts w:ascii="Garamond" w:hAnsi="Garamond"/>
          <w:sz w:val="24"/>
          <w:szCs w:val="24"/>
        </w:rPr>
      </w:pPr>
      <w:bookmarkStart w:id="110" w:name="_Toc447276154"/>
      <w:r w:rsidRPr="00E64564">
        <w:rPr>
          <w:rFonts w:ascii="Garamond" w:hAnsi="Garamond"/>
          <w:sz w:val="24"/>
          <w:szCs w:val="24"/>
        </w:rPr>
        <w:t>Maryland’s Planning Regions</w:t>
      </w:r>
      <w:bookmarkEnd w:id="110"/>
    </w:p>
    <w:p w14:paraId="5A3FAE41" w14:textId="213B19AA" w:rsidR="0074736E" w:rsidRPr="004A0C12" w:rsidRDefault="00971C0C" w:rsidP="0074736E">
      <w:pPr>
        <w:spacing w:line="240" w:lineRule="auto"/>
        <w:jc w:val="both"/>
        <w:rPr>
          <w:rFonts w:ascii="Garamond" w:hAnsi="Garamond" w:cs="Times New Roman"/>
        </w:rPr>
      </w:pPr>
      <w:r w:rsidRPr="004A0C12">
        <w:rPr>
          <w:rFonts w:ascii="Garamond" w:hAnsi="Garamond" w:cs="Times New Roman"/>
        </w:rPr>
        <w:t>Regional planning is a new requirement under Section 106 of WIOA. The Act requires the State to identify planning regions as a part of the process for developing the Stat</w:t>
      </w:r>
      <w:r w:rsidR="00BB5F3C" w:rsidRPr="004A0C12">
        <w:rPr>
          <w:rFonts w:ascii="Garamond" w:hAnsi="Garamond" w:cs="Times New Roman"/>
        </w:rPr>
        <w:t>e plan. Maryland’s twelve (12) Local A</w:t>
      </w:r>
      <w:r w:rsidRPr="004A0C12">
        <w:rPr>
          <w:rFonts w:ascii="Garamond" w:hAnsi="Garamond" w:cs="Times New Roman"/>
        </w:rPr>
        <w:t xml:space="preserve">reas have historically entered into agreements wherein they developed regions and produced </w:t>
      </w:r>
      <w:r w:rsidR="0074736E" w:rsidRPr="004A0C12">
        <w:rPr>
          <w:rFonts w:ascii="Garamond" w:hAnsi="Garamond" w:cs="Times New Roman"/>
        </w:rPr>
        <w:t xml:space="preserve">plans to regionally target various industry sectors.  However, in the development of Maryland’s planning regions pursuant to the Act, the </w:t>
      </w:r>
      <w:r w:rsidR="00B37299" w:rsidRPr="004A0C12">
        <w:rPr>
          <w:rFonts w:ascii="Garamond" w:hAnsi="Garamond" w:cs="Times New Roman"/>
        </w:rPr>
        <w:t>local workforce directors</w:t>
      </w:r>
      <w:r w:rsidR="00203CEE" w:rsidRPr="004A0C12">
        <w:rPr>
          <w:rFonts w:ascii="Garamond" w:hAnsi="Garamond" w:cs="Times New Roman"/>
        </w:rPr>
        <w:t xml:space="preserve"> and Chief Elected Officials</w:t>
      </w:r>
      <w:r w:rsidR="00B37299" w:rsidRPr="004A0C12">
        <w:rPr>
          <w:rFonts w:ascii="Garamond" w:hAnsi="Garamond" w:cs="Times New Roman"/>
        </w:rPr>
        <w:t xml:space="preserve"> were concerned with</w:t>
      </w:r>
      <w:r w:rsidR="0074736E" w:rsidRPr="004A0C12">
        <w:rPr>
          <w:rFonts w:ascii="Garamond" w:hAnsi="Garamond" w:cs="Times New Roman"/>
        </w:rPr>
        <w:t xml:space="preserve"> implications </w:t>
      </w:r>
      <w:r w:rsidR="00B37299" w:rsidRPr="004A0C12">
        <w:rPr>
          <w:rFonts w:ascii="Garamond" w:hAnsi="Garamond" w:cs="Times New Roman"/>
        </w:rPr>
        <w:t>surrounding the creation of WIOA</w:t>
      </w:r>
      <w:r w:rsidR="0074736E" w:rsidRPr="004A0C12">
        <w:rPr>
          <w:rFonts w:ascii="Garamond" w:hAnsi="Garamond" w:cs="Times New Roman"/>
        </w:rPr>
        <w:t xml:space="preserve"> regions. </w:t>
      </w:r>
      <w:r w:rsidR="00B37299" w:rsidRPr="004A0C12">
        <w:rPr>
          <w:rFonts w:ascii="Garamond" w:hAnsi="Garamond" w:cs="Times New Roman"/>
        </w:rPr>
        <w:t>According to the law</w:t>
      </w:r>
      <w:r w:rsidR="00BB5F3C" w:rsidRPr="004A0C12">
        <w:rPr>
          <w:rFonts w:ascii="Garamond" w:hAnsi="Garamond" w:cs="Times New Roman"/>
        </w:rPr>
        <w:t xml:space="preserve">, Local </w:t>
      </w:r>
      <w:proofErr w:type="gramStart"/>
      <w:r w:rsidR="00BB5F3C" w:rsidRPr="004A0C12">
        <w:rPr>
          <w:rFonts w:ascii="Garamond" w:hAnsi="Garamond" w:cs="Times New Roman"/>
        </w:rPr>
        <w:t>A</w:t>
      </w:r>
      <w:r w:rsidR="0074736E" w:rsidRPr="004A0C12">
        <w:rPr>
          <w:rFonts w:ascii="Garamond" w:hAnsi="Garamond" w:cs="Times New Roman"/>
        </w:rPr>
        <w:t>reas,</w:t>
      </w:r>
      <w:proofErr w:type="gramEnd"/>
      <w:r w:rsidR="0074736E" w:rsidRPr="004A0C12">
        <w:rPr>
          <w:rFonts w:ascii="Garamond" w:hAnsi="Garamond" w:cs="Times New Roman"/>
        </w:rPr>
        <w:t xml:space="preserve"> “must establish administrative cost arrangements, including the pooling of funds for administrative costs, as appropriate, for the region” as well as “coordinat[e]…transportation and other supportive services, as appropriate, for the region.”  Outside of the specific references in Section 106 of WIOA, there has been no additional guidance from USDOL regarding these important provisions. </w:t>
      </w:r>
    </w:p>
    <w:p w14:paraId="20B34E1E"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Therefore, when the State’s Combined Workforce Plan was submitted on April 1, 2016, Maryland noted that the State needed additional time to discuss this new requirement under WIOA with its local partners. To be compliant with the requirements issued by USDOL and the federal workforce entities, the State temporarily designated all of Maryland’s twelve (12) Local Areas as separate and independent regions. The State further dedicated to designating regions on or before July 1, 2016.</w:t>
      </w:r>
    </w:p>
    <w:p w14:paraId="19C88C0C"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Since its April submission, the State has designated five regions. They are as follows:</w:t>
      </w:r>
    </w:p>
    <w:p w14:paraId="3DB17636"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Western - The Western region is comprised of the Western Maryland Local Area. This Local Area is comprised of Maryland’s three most western counties: Garrett, Allegany, and Washington.</w:t>
      </w:r>
    </w:p>
    <w:p w14:paraId="5C10C4E4"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Capital - The Capital region includes three Local Areas: Prince George’s, Montgomery and Frederick. All three are located along the Washington, D.C. corridor.</w:t>
      </w:r>
    </w:p>
    <w:p w14:paraId="0A5E3F6A"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Central - The Central region is comprised of five Local Areas: Anne Arundel, Mid-Maryland, Baltimore County, Baltimore City, and Susquehanna.</w:t>
      </w:r>
    </w:p>
    <w:p w14:paraId="5CB37E27"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Southern - The Southern region is comprised of the Southern Maryland Local Area. That Local Area is comprised of Calvert, Saint Mary’s, and Charles Counties.</w:t>
      </w:r>
    </w:p>
    <w:p w14:paraId="6CFB844B"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Eastern Shore - The Eastern Shore region is comprised of two Local Areas: Upper Shore and Lower Shore.</w:t>
      </w:r>
    </w:p>
    <w:p w14:paraId="726EEBE7" w14:textId="77777777" w:rsidR="00B37299" w:rsidRPr="004A0C12" w:rsidRDefault="00B37299" w:rsidP="0074736E">
      <w:pPr>
        <w:spacing w:after="0" w:line="240" w:lineRule="auto"/>
        <w:jc w:val="both"/>
        <w:rPr>
          <w:rFonts w:ascii="Garamond" w:hAnsi="Garamond" w:cs="Times New Roman"/>
        </w:rPr>
      </w:pPr>
    </w:p>
    <w:p w14:paraId="245CF269" w14:textId="4B50C3EA" w:rsidR="0074736E" w:rsidRPr="004A0C12" w:rsidRDefault="00BB5F3C" w:rsidP="0074736E">
      <w:pPr>
        <w:spacing w:after="0" w:line="240" w:lineRule="auto"/>
        <w:jc w:val="both"/>
        <w:rPr>
          <w:rFonts w:ascii="Garamond" w:hAnsi="Garamond" w:cs="Times New Roman"/>
        </w:rPr>
      </w:pPr>
      <w:r w:rsidRPr="004A0C12">
        <w:rPr>
          <w:rFonts w:ascii="Garamond" w:hAnsi="Garamond" w:cs="Times New Roman"/>
        </w:rPr>
        <w:t>Again, Maryland’s twelve Local A</w:t>
      </w:r>
      <w:r w:rsidR="0074736E" w:rsidRPr="004A0C12">
        <w:rPr>
          <w:rFonts w:ascii="Garamond" w:hAnsi="Garamond" w:cs="Times New Roman"/>
        </w:rPr>
        <w:t xml:space="preserve">reas are: </w:t>
      </w:r>
    </w:p>
    <w:p w14:paraId="1CCC6982" w14:textId="77777777" w:rsidR="00B37299" w:rsidRPr="004A0C12" w:rsidRDefault="00B37299" w:rsidP="0074736E">
      <w:pPr>
        <w:spacing w:after="0" w:line="240" w:lineRule="auto"/>
        <w:jc w:val="both"/>
        <w:rPr>
          <w:rFonts w:ascii="Garamond" w:hAnsi="Garamond" w:cs="Times New Roman"/>
        </w:rPr>
      </w:pPr>
    </w:p>
    <w:tbl>
      <w:tblPr>
        <w:tblStyle w:val="PlainTable11"/>
        <w:tblW w:w="6910" w:type="dxa"/>
        <w:jc w:val="center"/>
        <w:tblLayout w:type="fixed"/>
        <w:tblLook w:val="04A0" w:firstRow="1" w:lastRow="0" w:firstColumn="1" w:lastColumn="0" w:noHBand="0" w:noVBand="1"/>
        <w:tblCaption w:val="Maryland Local Workforce Areas"/>
        <w:tblDescription w:val="Maryland has 12 local workforce areas: Anne Arundel County; Montgomery County; Baltimore City; Prince George’s County; Baltimore County; Southern Maryland; Frederick County; Susquehanna; Lower Shore; Upper Shore; Mid-Maryland; and Western Maryland. "/>
      </w:tblPr>
      <w:tblGrid>
        <w:gridCol w:w="3437"/>
        <w:gridCol w:w="3473"/>
      </w:tblGrid>
      <w:tr w:rsidR="0074736E" w:rsidRPr="004A0C12" w14:paraId="1B61FE89" w14:textId="77777777" w:rsidTr="008B1D9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6910" w:type="dxa"/>
            <w:gridSpan w:val="2"/>
          </w:tcPr>
          <w:p w14:paraId="68F85F04" w14:textId="77777777" w:rsidR="0074736E" w:rsidRPr="004A0C12" w:rsidRDefault="0074736E" w:rsidP="0074736E">
            <w:pPr>
              <w:autoSpaceDE w:val="0"/>
              <w:autoSpaceDN w:val="0"/>
              <w:adjustRightInd w:val="0"/>
              <w:jc w:val="center"/>
              <w:rPr>
                <w:rFonts w:ascii="Garamond" w:hAnsi="Garamond"/>
                <w:bCs w:val="0"/>
                <w:sz w:val="22"/>
                <w:szCs w:val="22"/>
              </w:rPr>
            </w:pPr>
            <w:r w:rsidRPr="004A0C12">
              <w:rPr>
                <w:rFonts w:ascii="Garamond" w:hAnsi="Garamond"/>
                <w:bCs w:val="0"/>
                <w:sz w:val="22"/>
                <w:szCs w:val="22"/>
              </w:rPr>
              <w:t>Maryland’s Local Workforce Areas</w:t>
            </w:r>
          </w:p>
        </w:tc>
      </w:tr>
      <w:tr w:rsidR="0074736E" w:rsidRPr="004A0C12" w14:paraId="561D195E" w14:textId="77777777" w:rsidTr="00CA5C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37" w:type="dxa"/>
          </w:tcPr>
          <w:p w14:paraId="196E9EB2" w14:textId="77777777" w:rsidR="0074736E" w:rsidRPr="004A0C12" w:rsidRDefault="0074736E" w:rsidP="0074736E">
            <w:pPr>
              <w:autoSpaceDE w:val="0"/>
              <w:autoSpaceDN w:val="0"/>
              <w:adjustRightInd w:val="0"/>
              <w:rPr>
                <w:rFonts w:ascii="Garamond" w:hAnsi="Garamond"/>
                <w:bCs w:val="0"/>
                <w:sz w:val="22"/>
                <w:szCs w:val="22"/>
              </w:rPr>
            </w:pPr>
            <w:r w:rsidRPr="004A0C12">
              <w:rPr>
                <w:rFonts w:ascii="Garamond" w:hAnsi="Garamond"/>
                <w:bCs w:val="0"/>
                <w:sz w:val="22"/>
                <w:szCs w:val="22"/>
              </w:rPr>
              <w:t>Anne Arundel County</w:t>
            </w:r>
          </w:p>
        </w:tc>
        <w:tc>
          <w:tcPr>
            <w:tcW w:w="3473" w:type="dxa"/>
          </w:tcPr>
          <w:p w14:paraId="43CACCBC" w14:textId="77777777" w:rsidR="0074736E" w:rsidRPr="004A0C12" w:rsidRDefault="0074736E" w:rsidP="007473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Montgomery County</w:t>
            </w:r>
          </w:p>
        </w:tc>
      </w:tr>
      <w:tr w:rsidR="0074736E" w:rsidRPr="004A0C12" w14:paraId="0C629690" w14:textId="77777777" w:rsidTr="00CA5C79">
        <w:trPr>
          <w:jc w:val="center"/>
        </w:trPr>
        <w:tc>
          <w:tcPr>
            <w:cnfStyle w:val="001000000000" w:firstRow="0" w:lastRow="0" w:firstColumn="1" w:lastColumn="0" w:oddVBand="0" w:evenVBand="0" w:oddHBand="0" w:evenHBand="0" w:firstRowFirstColumn="0" w:firstRowLastColumn="0" w:lastRowFirstColumn="0" w:lastRowLastColumn="0"/>
            <w:tcW w:w="3437" w:type="dxa"/>
          </w:tcPr>
          <w:p w14:paraId="35631985" w14:textId="77777777" w:rsidR="0074736E" w:rsidRPr="004A0C12" w:rsidRDefault="0074736E" w:rsidP="0074736E">
            <w:pPr>
              <w:autoSpaceDE w:val="0"/>
              <w:autoSpaceDN w:val="0"/>
              <w:adjustRightInd w:val="0"/>
              <w:jc w:val="both"/>
              <w:rPr>
                <w:rFonts w:ascii="Garamond" w:hAnsi="Garamond"/>
                <w:bCs w:val="0"/>
                <w:sz w:val="22"/>
                <w:szCs w:val="22"/>
              </w:rPr>
            </w:pPr>
            <w:r w:rsidRPr="004A0C12">
              <w:rPr>
                <w:rFonts w:ascii="Garamond" w:hAnsi="Garamond"/>
                <w:bCs w:val="0"/>
                <w:sz w:val="22"/>
                <w:szCs w:val="22"/>
              </w:rPr>
              <w:t>Baltimore City</w:t>
            </w:r>
          </w:p>
        </w:tc>
        <w:tc>
          <w:tcPr>
            <w:tcW w:w="3473" w:type="dxa"/>
          </w:tcPr>
          <w:p w14:paraId="35D6CC26" w14:textId="77777777" w:rsidR="0074736E" w:rsidRPr="004A0C12" w:rsidRDefault="0074736E" w:rsidP="007473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Prince George’s County</w:t>
            </w:r>
          </w:p>
        </w:tc>
      </w:tr>
      <w:tr w:rsidR="0074736E" w:rsidRPr="004A0C12" w14:paraId="201AFB98" w14:textId="77777777" w:rsidTr="00CA5C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37" w:type="dxa"/>
          </w:tcPr>
          <w:p w14:paraId="3D36D41A" w14:textId="77777777" w:rsidR="0074736E" w:rsidRPr="004A0C12" w:rsidRDefault="0074736E" w:rsidP="0074736E">
            <w:pPr>
              <w:autoSpaceDE w:val="0"/>
              <w:autoSpaceDN w:val="0"/>
              <w:adjustRightInd w:val="0"/>
              <w:jc w:val="both"/>
              <w:rPr>
                <w:rFonts w:ascii="Garamond" w:hAnsi="Garamond"/>
                <w:bCs w:val="0"/>
                <w:sz w:val="22"/>
                <w:szCs w:val="22"/>
              </w:rPr>
            </w:pPr>
            <w:r w:rsidRPr="004A0C12">
              <w:rPr>
                <w:rFonts w:ascii="Garamond" w:hAnsi="Garamond"/>
                <w:bCs w:val="0"/>
                <w:sz w:val="22"/>
                <w:szCs w:val="22"/>
              </w:rPr>
              <w:t>Baltimore County</w:t>
            </w:r>
          </w:p>
        </w:tc>
        <w:tc>
          <w:tcPr>
            <w:tcW w:w="3473" w:type="dxa"/>
          </w:tcPr>
          <w:p w14:paraId="7B73AF5A" w14:textId="77777777" w:rsidR="0074736E" w:rsidRPr="004A0C12" w:rsidRDefault="0074736E" w:rsidP="007473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Garamond" w:hAnsi="Garamond"/>
                <w:b/>
                <w:bCs/>
                <w:sz w:val="22"/>
                <w:szCs w:val="22"/>
              </w:rPr>
            </w:pPr>
            <w:r w:rsidRPr="004A0C12">
              <w:rPr>
                <w:rFonts w:ascii="Garamond" w:hAnsi="Garamond"/>
                <w:b/>
                <w:bCs/>
                <w:sz w:val="22"/>
                <w:szCs w:val="22"/>
              </w:rPr>
              <w:t>Southern Maryland</w:t>
            </w:r>
          </w:p>
        </w:tc>
      </w:tr>
      <w:tr w:rsidR="0074736E" w:rsidRPr="004A0C12" w14:paraId="7FE95424" w14:textId="77777777" w:rsidTr="00CA5C79">
        <w:trPr>
          <w:jc w:val="center"/>
        </w:trPr>
        <w:tc>
          <w:tcPr>
            <w:cnfStyle w:val="001000000000" w:firstRow="0" w:lastRow="0" w:firstColumn="1" w:lastColumn="0" w:oddVBand="0" w:evenVBand="0" w:oddHBand="0" w:evenHBand="0" w:firstRowFirstColumn="0" w:firstRowLastColumn="0" w:lastRowFirstColumn="0" w:lastRowLastColumn="0"/>
            <w:tcW w:w="3437" w:type="dxa"/>
          </w:tcPr>
          <w:p w14:paraId="4632BF46" w14:textId="77777777" w:rsidR="0074736E" w:rsidRPr="004A0C12" w:rsidRDefault="0074736E" w:rsidP="0074736E">
            <w:pPr>
              <w:autoSpaceDE w:val="0"/>
              <w:autoSpaceDN w:val="0"/>
              <w:adjustRightInd w:val="0"/>
              <w:jc w:val="both"/>
              <w:rPr>
                <w:rFonts w:ascii="Garamond" w:hAnsi="Garamond"/>
                <w:bCs w:val="0"/>
                <w:sz w:val="22"/>
                <w:szCs w:val="22"/>
              </w:rPr>
            </w:pPr>
            <w:r w:rsidRPr="004A0C12">
              <w:rPr>
                <w:rFonts w:ascii="Garamond" w:hAnsi="Garamond"/>
                <w:bCs w:val="0"/>
                <w:sz w:val="22"/>
                <w:szCs w:val="22"/>
              </w:rPr>
              <w:t>Frederick County</w:t>
            </w:r>
          </w:p>
        </w:tc>
        <w:tc>
          <w:tcPr>
            <w:tcW w:w="3473" w:type="dxa"/>
          </w:tcPr>
          <w:p w14:paraId="23E0BE18" w14:textId="77777777" w:rsidR="0074736E" w:rsidRPr="004A0C12" w:rsidRDefault="0074736E" w:rsidP="007473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bCs/>
                <w:sz w:val="22"/>
                <w:szCs w:val="22"/>
              </w:rPr>
              <w:t>Susquehanna</w:t>
            </w:r>
          </w:p>
        </w:tc>
      </w:tr>
      <w:tr w:rsidR="0074736E" w:rsidRPr="004A0C12" w14:paraId="0AE90BDA" w14:textId="77777777" w:rsidTr="00CA5C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37" w:type="dxa"/>
          </w:tcPr>
          <w:p w14:paraId="354DD679" w14:textId="77777777" w:rsidR="0074736E" w:rsidRPr="004A0C12" w:rsidRDefault="0074736E" w:rsidP="0074736E">
            <w:pPr>
              <w:autoSpaceDE w:val="0"/>
              <w:autoSpaceDN w:val="0"/>
              <w:adjustRightInd w:val="0"/>
              <w:jc w:val="both"/>
              <w:rPr>
                <w:rFonts w:ascii="Garamond" w:hAnsi="Garamond"/>
                <w:bCs w:val="0"/>
                <w:sz w:val="22"/>
                <w:szCs w:val="22"/>
              </w:rPr>
            </w:pPr>
            <w:r w:rsidRPr="004A0C12">
              <w:rPr>
                <w:rFonts w:ascii="Garamond" w:hAnsi="Garamond"/>
                <w:bCs w:val="0"/>
                <w:sz w:val="22"/>
                <w:szCs w:val="22"/>
              </w:rPr>
              <w:t>Lower Shore</w:t>
            </w:r>
          </w:p>
        </w:tc>
        <w:tc>
          <w:tcPr>
            <w:tcW w:w="3473" w:type="dxa"/>
          </w:tcPr>
          <w:p w14:paraId="0629C14B" w14:textId="77777777" w:rsidR="0074736E" w:rsidRPr="004A0C12" w:rsidRDefault="0074736E" w:rsidP="0074736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bCs/>
                <w:sz w:val="22"/>
                <w:szCs w:val="22"/>
              </w:rPr>
              <w:t>Upper Shore</w:t>
            </w:r>
          </w:p>
        </w:tc>
      </w:tr>
      <w:tr w:rsidR="0074736E" w:rsidRPr="004A0C12" w14:paraId="487A3325" w14:textId="77777777" w:rsidTr="00CA5C79">
        <w:trPr>
          <w:jc w:val="center"/>
        </w:trPr>
        <w:tc>
          <w:tcPr>
            <w:cnfStyle w:val="001000000000" w:firstRow="0" w:lastRow="0" w:firstColumn="1" w:lastColumn="0" w:oddVBand="0" w:evenVBand="0" w:oddHBand="0" w:evenHBand="0" w:firstRowFirstColumn="0" w:firstRowLastColumn="0" w:lastRowFirstColumn="0" w:lastRowLastColumn="0"/>
            <w:tcW w:w="3437" w:type="dxa"/>
          </w:tcPr>
          <w:p w14:paraId="2978671D" w14:textId="77777777" w:rsidR="0074736E" w:rsidRPr="004A0C12" w:rsidRDefault="0074736E" w:rsidP="0074736E">
            <w:pPr>
              <w:autoSpaceDE w:val="0"/>
              <w:autoSpaceDN w:val="0"/>
              <w:adjustRightInd w:val="0"/>
              <w:rPr>
                <w:rFonts w:ascii="Garamond" w:hAnsi="Garamond"/>
                <w:bCs w:val="0"/>
                <w:sz w:val="22"/>
                <w:szCs w:val="22"/>
              </w:rPr>
            </w:pPr>
            <w:r w:rsidRPr="004A0C12">
              <w:rPr>
                <w:rFonts w:ascii="Garamond" w:hAnsi="Garamond"/>
                <w:bCs w:val="0"/>
                <w:sz w:val="22"/>
                <w:szCs w:val="22"/>
              </w:rPr>
              <w:t>Mid-Maryland</w:t>
            </w:r>
          </w:p>
        </w:tc>
        <w:tc>
          <w:tcPr>
            <w:tcW w:w="3473" w:type="dxa"/>
          </w:tcPr>
          <w:p w14:paraId="0B1890DD" w14:textId="77777777" w:rsidR="0074736E" w:rsidRPr="004A0C12" w:rsidRDefault="0074736E" w:rsidP="0074736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bCs/>
                <w:sz w:val="22"/>
                <w:szCs w:val="22"/>
              </w:rPr>
              <w:t>Western Maryland</w:t>
            </w:r>
          </w:p>
        </w:tc>
      </w:tr>
    </w:tbl>
    <w:p w14:paraId="57F2FC9D" w14:textId="77777777" w:rsidR="00AB5AEF" w:rsidRPr="00E64564" w:rsidRDefault="00AB5AEF" w:rsidP="00CF4628">
      <w:pPr>
        <w:pStyle w:val="Heading3"/>
        <w:rPr>
          <w:rFonts w:ascii="Garamond" w:hAnsi="Garamond"/>
          <w:sz w:val="24"/>
          <w:szCs w:val="24"/>
        </w:rPr>
      </w:pPr>
      <w:bookmarkStart w:id="111" w:name="_Toc447276155"/>
      <w:r w:rsidRPr="00E64564">
        <w:rPr>
          <w:rFonts w:ascii="Garamond" w:hAnsi="Garamond"/>
          <w:sz w:val="24"/>
          <w:szCs w:val="24"/>
        </w:rPr>
        <w:t>Process for Determining Regions</w:t>
      </w:r>
      <w:bookmarkEnd w:id="111"/>
    </w:p>
    <w:p w14:paraId="1FD1EB74" w14:textId="27A08F22" w:rsidR="00AB5AEF" w:rsidRPr="004A0C12" w:rsidRDefault="00AB5AEF" w:rsidP="0074736E">
      <w:pPr>
        <w:spacing w:after="0" w:line="240" w:lineRule="auto"/>
        <w:jc w:val="both"/>
        <w:rPr>
          <w:rFonts w:ascii="Garamond" w:hAnsi="Garamond" w:cs="Times New Roman"/>
        </w:rPr>
      </w:pPr>
      <w:r w:rsidRPr="004A0C12">
        <w:rPr>
          <w:rFonts w:ascii="Garamond" w:hAnsi="Garamond" w:cs="Times New Roman"/>
        </w:rPr>
        <w:t>The State of Maryland convened a group of stakeholders as a part of its nine (9) WIOA workgroups to examine proposed methodology in delineating regions pursuant to Section 106 of WIOA. That gr</w:t>
      </w:r>
      <w:r w:rsidR="00B37299" w:rsidRPr="004A0C12">
        <w:rPr>
          <w:rFonts w:ascii="Garamond" w:hAnsi="Garamond" w:cs="Times New Roman"/>
        </w:rPr>
        <w:t xml:space="preserve">oup, consisting of the </w:t>
      </w:r>
      <w:r w:rsidR="00CA5C79" w:rsidRPr="004A0C12">
        <w:rPr>
          <w:rFonts w:ascii="Garamond" w:hAnsi="Garamond" w:cs="Times New Roman"/>
        </w:rPr>
        <w:t>DLLR</w:t>
      </w:r>
      <w:r w:rsidRPr="004A0C12">
        <w:rPr>
          <w:rFonts w:ascii="Garamond" w:hAnsi="Garamond" w:cs="Times New Roman"/>
        </w:rPr>
        <w:t>, economists, and local workforce development directors collaboratively reviewed the list of variables that could be used to delineate regions of economic activity pursuant to Section 679.210 of the Noti</w:t>
      </w:r>
      <w:r w:rsidR="00B37299" w:rsidRPr="004A0C12">
        <w:rPr>
          <w:rFonts w:ascii="Garamond" w:hAnsi="Garamond" w:cs="Times New Roman"/>
        </w:rPr>
        <w:t>ce of Proposed Rulemaking</w:t>
      </w:r>
      <w:r w:rsidRPr="004A0C12">
        <w:rPr>
          <w:rFonts w:ascii="Garamond" w:hAnsi="Garamond" w:cs="Times New Roman"/>
        </w:rPr>
        <w:t xml:space="preserve"> issued by USDOL on April 16, 2015. The Executive Director of the Governor’s Workforce Investm</w:t>
      </w:r>
      <w:r w:rsidR="00CA5C79" w:rsidRPr="004A0C12">
        <w:rPr>
          <w:rFonts w:ascii="Garamond" w:hAnsi="Garamond" w:cs="Times New Roman"/>
        </w:rPr>
        <w:t>ent Board contacted Maryland’s chief elected o</w:t>
      </w:r>
      <w:r w:rsidRPr="004A0C12">
        <w:rPr>
          <w:rFonts w:ascii="Garamond" w:hAnsi="Garamond" w:cs="Times New Roman"/>
        </w:rPr>
        <w:t xml:space="preserve">fficials explaining the statutory requirements regarding regional planning in July 2015. </w:t>
      </w:r>
    </w:p>
    <w:p w14:paraId="53428181" w14:textId="3674C86A" w:rsidR="00AB5AEF" w:rsidRPr="004A0C12" w:rsidRDefault="00AB5AEF" w:rsidP="0074736E">
      <w:pPr>
        <w:spacing w:after="0" w:line="240" w:lineRule="auto"/>
        <w:jc w:val="both"/>
        <w:rPr>
          <w:rFonts w:ascii="Garamond" w:hAnsi="Garamond" w:cs="Times New Roman"/>
        </w:rPr>
      </w:pPr>
      <w:r w:rsidRPr="004A0C12">
        <w:rPr>
          <w:rFonts w:ascii="Garamond" w:hAnsi="Garamond" w:cs="Times New Roman"/>
        </w:rPr>
        <w:lastRenderedPageBreak/>
        <w:t xml:space="preserve">In October 2015, the WIOA workgroup on Labor Market Information </w:t>
      </w:r>
      <w:r w:rsidR="00B37299" w:rsidRPr="004A0C12">
        <w:rPr>
          <w:rFonts w:ascii="Garamond" w:hAnsi="Garamond" w:cs="Times New Roman"/>
        </w:rPr>
        <w:t>distributed,</w:t>
      </w:r>
      <w:r w:rsidRPr="004A0C12">
        <w:rPr>
          <w:rFonts w:ascii="Garamond" w:hAnsi="Garamond" w:cs="Times New Roman"/>
        </w:rPr>
        <w:t xml:space="preserve"> for public review</w:t>
      </w:r>
      <w:r w:rsidR="00B37299" w:rsidRPr="004A0C12">
        <w:rPr>
          <w:rFonts w:ascii="Garamond" w:hAnsi="Garamond" w:cs="Times New Roman"/>
        </w:rPr>
        <w:t>,</w:t>
      </w:r>
      <w:r w:rsidRPr="004A0C12">
        <w:rPr>
          <w:rFonts w:ascii="Garamond" w:hAnsi="Garamond" w:cs="Times New Roman"/>
        </w:rPr>
        <w:t xml:space="preserve"> a list of draft variables </w:t>
      </w:r>
      <w:r w:rsidR="00B37299" w:rsidRPr="004A0C12">
        <w:rPr>
          <w:rFonts w:ascii="Garamond" w:hAnsi="Garamond" w:cs="Times New Roman"/>
        </w:rPr>
        <w:t xml:space="preserve">that </w:t>
      </w:r>
      <w:r w:rsidRPr="004A0C12">
        <w:rPr>
          <w:rFonts w:ascii="Garamond" w:hAnsi="Garamond" w:cs="Times New Roman"/>
        </w:rPr>
        <w:t xml:space="preserve">the State </w:t>
      </w:r>
      <w:r w:rsidR="00B37299" w:rsidRPr="004A0C12">
        <w:rPr>
          <w:rFonts w:ascii="Garamond" w:hAnsi="Garamond" w:cs="Times New Roman"/>
        </w:rPr>
        <w:t>proposed to us</w:t>
      </w:r>
      <w:r w:rsidR="009B48B2" w:rsidRPr="004A0C12">
        <w:rPr>
          <w:rFonts w:ascii="Garamond" w:hAnsi="Garamond" w:cs="Times New Roman"/>
        </w:rPr>
        <w:t>e for delineating regions. The DLLR led work</w:t>
      </w:r>
      <w:r w:rsidR="00B37299" w:rsidRPr="004A0C12">
        <w:rPr>
          <w:rFonts w:ascii="Garamond" w:hAnsi="Garamond" w:cs="Times New Roman"/>
        </w:rPr>
        <w:t>group proposed the use of a simil</w:t>
      </w:r>
      <w:r w:rsidR="00BB5F3C" w:rsidRPr="004A0C12">
        <w:rPr>
          <w:rFonts w:ascii="Garamond" w:hAnsi="Garamond" w:cs="Times New Roman"/>
        </w:rPr>
        <w:t>arity index that would include Local A</w:t>
      </w:r>
      <w:r w:rsidR="00B37299" w:rsidRPr="004A0C12">
        <w:rPr>
          <w:rFonts w:ascii="Garamond" w:hAnsi="Garamond" w:cs="Times New Roman"/>
        </w:rPr>
        <w:t xml:space="preserve">reas </w:t>
      </w:r>
      <w:r w:rsidRPr="004A0C12">
        <w:rPr>
          <w:rFonts w:ascii="Garamond" w:hAnsi="Garamond" w:cs="Times New Roman"/>
        </w:rPr>
        <w:t>with similar or shared labor markets, shared common economic development areas, and adequate possession of federal and non-federal resources to ensure that a proposed region would have appropriate education and training institutions. The State consider</w:t>
      </w:r>
      <w:r w:rsidR="00B37299" w:rsidRPr="004A0C12">
        <w:rPr>
          <w:rFonts w:ascii="Garamond" w:hAnsi="Garamond" w:cs="Times New Roman"/>
        </w:rPr>
        <w:t>ed</w:t>
      </w:r>
      <w:r w:rsidRPr="004A0C12">
        <w:rPr>
          <w:rFonts w:ascii="Garamond" w:hAnsi="Garamond" w:cs="Times New Roman"/>
        </w:rPr>
        <w:t xml:space="preserve"> the following additional variables: </w:t>
      </w:r>
    </w:p>
    <w:p w14:paraId="396F0CD4" w14:textId="77777777" w:rsidR="00B37299" w:rsidRPr="004A0C12" w:rsidRDefault="00B37299" w:rsidP="0074736E">
      <w:pPr>
        <w:spacing w:after="0" w:line="240" w:lineRule="auto"/>
        <w:jc w:val="both"/>
        <w:rPr>
          <w:rFonts w:ascii="Garamond" w:hAnsi="Garamond" w:cs="Times New Roman"/>
        </w:rPr>
      </w:pPr>
    </w:p>
    <w:p w14:paraId="744BE81F" w14:textId="0EC33925" w:rsidR="00AB5AEF" w:rsidRPr="004A0C12" w:rsidRDefault="00CA5C79" w:rsidP="00F733CF">
      <w:pPr>
        <w:numPr>
          <w:ilvl w:val="0"/>
          <w:numId w:val="99"/>
        </w:numPr>
        <w:tabs>
          <w:tab w:val="clear" w:pos="360"/>
          <w:tab w:val="num" w:pos="720"/>
        </w:tabs>
        <w:spacing w:after="0" w:line="240" w:lineRule="auto"/>
        <w:ind w:left="720" w:hanging="360"/>
        <w:jc w:val="both"/>
        <w:rPr>
          <w:rFonts w:ascii="Garamond" w:hAnsi="Garamond" w:cs="Times New Roman"/>
        </w:rPr>
      </w:pPr>
      <w:r w:rsidRPr="004A0C12">
        <w:rPr>
          <w:rFonts w:ascii="Garamond" w:hAnsi="Garamond" w:cs="Times New Roman"/>
        </w:rPr>
        <w:t>Population centers</w:t>
      </w:r>
    </w:p>
    <w:p w14:paraId="1F14D590" w14:textId="659DAD53" w:rsidR="00AB5AEF" w:rsidRPr="004A0C12" w:rsidRDefault="00CA5C79" w:rsidP="00F733CF">
      <w:pPr>
        <w:numPr>
          <w:ilvl w:val="0"/>
          <w:numId w:val="99"/>
        </w:numPr>
        <w:tabs>
          <w:tab w:val="clear" w:pos="360"/>
          <w:tab w:val="num" w:pos="720"/>
        </w:tabs>
        <w:spacing w:after="0" w:line="240" w:lineRule="auto"/>
        <w:ind w:left="720" w:hanging="360"/>
        <w:jc w:val="both"/>
        <w:rPr>
          <w:rFonts w:ascii="Garamond" w:hAnsi="Garamond" w:cs="Times New Roman"/>
        </w:rPr>
      </w:pPr>
      <w:r w:rsidRPr="004A0C12">
        <w:rPr>
          <w:rFonts w:ascii="Garamond" w:hAnsi="Garamond" w:cs="Times New Roman"/>
        </w:rPr>
        <w:t>Commuting patterns</w:t>
      </w:r>
    </w:p>
    <w:p w14:paraId="7D51C927" w14:textId="623F26E0" w:rsidR="00AB5AEF" w:rsidRPr="004A0C12" w:rsidRDefault="00CA5C79" w:rsidP="00F733CF">
      <w:pPr>
        <w:numPr>
          <w:ilvl w:val="0"/>
          <w:numId w:val="99"/>
        </w:numPr>
        <w:tabs>
          <w:tab w:val="clear" w:pos="360"/>
          <w:tab w:val="num" w:pos="720"/>
        </w:tabs>
        <w:spacing w:after="0" w:line="240" w:lineRule="auto"/>
        <w:ind w:left="720" w:hanging="360"/>
        <w:jc w:val="both"/>
        <w:rPr>
          <w:rFonts w:ascii="Garamond" w:hAnsi="Garamond" w:cs="Times New Roman"/>
        </w:rPr>
      </w:pPr>
      <w:r w:rsidRPr="004A0C12">
        <w:rPr>
          <w:rFonts w:ascii="Garamond" w:hAnsi="Garamond" w:cs="Times New Roman"/>
        </w:rPr>
        <w:t>Land ownership</w:t>
      </w:r>
    </w:p>
    <w:p w14:paraId="459EE730" w14:textId="7D2E90DD" w:rsidR="00AB5AEF" w:rsidRPr="004A0C12" w:rsidRDefault="00CA5C79" w:rsidP="00F733CF">
      <w:pPr>
        <w:numPr>
          <w:ilvl w:val="0"/>
          <w:numId w:val="99"/>
        </w:numPr>
        <w:tabs>
          <w:tab w:val="clear" w:pos="360"/>
          <w:tab w:val="num" w:pos="720"/>
        </w:tabs>
        <w:spacing w:after="0" w:line="240" w:lineRule="auto"/>
        <w:ind w:left="720" w:hanging="360"/>
        <w:jc w:val="both"/>
        <w:rPr>
          <w:rFonts w:ascii="Garamond" w:hAnsi="Garamond" w:cs="Times New Roman"/>
        </w:rPr>
      </w:pPr>
      <w:r w:rsidRPr="004A0C12">
        <w:rPr>
          <w:rFonts w:ascii="Garamond" w:hAnsi="Garamond" w:cs="Times New Roman"/>
        </w:rPr>
        <w:t>Industrial composition</w:t>
      </w:r>
    </w:p>
    <w:p w14:paraId="7C17E663" w14:textId="6AA140B2" w:rsidR="00AB5AEF" w:rsidRPr="004A0C12" w:rsidRDefault="00CA5C79" w:rsidP="00F733CF">
      <w:pPr>
        <w:numPr>
          <w:ilvl w:val="0"/>
          <w:numId w:val="99"/>
        </w:numPr>
        <w:tabs>
          <w:tab w:val="clear" w:pos="360"/>
          <w:tab w:val="num" w:pos="720"/>
        </w:tabs>
        <w:spacing w:after="0" w:line="240" w:lineRule="auto"/>
        <w:ind w:left="720" w:hanging="360"/>
        <w:jc w:val="both"/>
        <w:rPr>
          <w:rFonts w:ascii="Garamond" w:hAnsi="Garamond" w:cs="Times New Roman"/>
        </w:rPr>
      </w:pPr>
      <w:r w:rsidRPr="004A0C12">
        <w:rPr>
          <w:rFonts w:ascii="Garamond" w:hAnsi="Garamond" w:cs="Times New Roman"/>
        </w:rPr>
        <w:t>Location quotients</w:t>
      </w:r>
    </w:p>
    <w:p w14:paraId="3BEE6EE2" w14:textId="6C256B81" w:rsidR="00AB5AEF" w:rsidRPr="004A0C12" w:rsidRDefault="00CA5C79" w:rsidP="00F733CF">
      <w:pPr>
        <w:numPr>
          <w:ilvl w:val="0"/>
          <w:numId w:val="99"/>
        </w:numPr>
        <w:tabs>
          <w:tab w:val="clear" w:pos="360"/>
          <w:tab w:val="num" w:pos="720"/>
        </w:tabs>
        <w:spacing w:after="0" w:line="240" w:lineRule="auto"/>
        <w:ind w:left="720" w:hanging="360"/>
        <w:jc w:val="both"/>
        <w:rPr>
          <w:rFonts w:ascii="Garamond" w:hAnsi="Garamond" w:cs="Times New Roman"/>
        </w:rPr>
      </w:pPr>
      <w:r w:rsidRPr="004A0C12">
        <w:rPr>
          <w:rFonts w:ascii="Garamond" w:hAnsi="Garamond" w:cs="Times New Roman"/>
        </w:rPr>
        <w:t>Labor force conditions</w:t>
      </w:r>
    </w:p>
    <w:p w14:paraId="4520A4F3" w14:textId="729A34F6" w:rsidR="00AB5AEF" w:rsidRPr="004A0C12" w:rsidRDefault="00AB5AEF" w:rsidP="00F733CF">
      <w:pPr>
        <w:numPr>
          <w:ilvl w:val="0"/>
          <w:numId w:val="99"/>
        </w:numPr>
        <w:tabs>
          <w:tab w:val="clear" w:pos="360"/>
          <w:tab w:val="num" w:pos="720"/>
        </w:tabs>
        <w:spacing w:after="0" w:line="240" w:lineRule="auto"/>
        <w:ind w:left="720" w:hanging="360"/>
        <w:jc w:val="both"/>
        <w:rPr>
          <w:rFonts w:ascii="Garamond" w:hAnsi="Garamond" w:cs="Times New Roman"/>
        </w:rPr>
      </w:pPr>
      <w:r w:rsidRPr="004A0C12">
        <w:rPr>
          <w:rFonts w:ascii="Garamond" w:hAnsi="Garamond" w:cs="Times New Roman"/>
        </w:rPr>
        <w:t>Geographic boundaries</w:t>
      </w:r>
    </w:p>
    <w:p w14:paraId="1064D7BF" w14:textId="77777777" w:rsidR="00B37299" w:rsidRPr="004A0C12" w:rsidRDefault="00B37299" w:rsidP="00B37299">
      <w:pPr>
        <w:spacing w:after="0" w:line="240" w:lineRule="auto"/>
        <w:ind w:left="720"/>
        <w:jc w:val="both"/>
        <w:rPr>
          <w:rFonts w:ascii="Garamond" w:hAnsi="Garamond" w:cs="Times New Roman"/>
        </w:rPr>
      </w:pPr>
    </w:p>
    <w:p w14:paraId="07B56938" w14:textId="77777777" w:rsidR="00AB5AEF" w:rsidRPr="004A0C12" w:rsidRDefault="00AB5AEF" w:rsidP="0074736E">
      <w:pPr>
        <w:spacing w:after="0" w:line="240" w:lineRule="auto"/>
        <w:jc w:val="both"/>
        <w:rPr>
          <w:rFonts w:ascii="Garamond" w:hAnsi="Garamond" w:cs="Times New Roman"/>
        </w:rPr>
      </w:pPr>
      <w:r w:rsidRPr="004A0C12">
        <w:rPr>
          <w:rFonts w:ascii="Garamond" w:hAnsi="Garamond" w:cs="Times New Roman"/>
        </w:rPr>
        <w:t>After allowing for adequate public comment, three (3) draft maps incorporating the variables were circulated for public inspection, review, and comment. After consultation with the Maryland’s twelve (12) local</w:t>
      </w:r>
      <w:r w:rsidR="00B37299" w:rsidRPr="004A0C12">
        <w:rPr>
          <w:rFonts w:ascii="Garamond" w:hAnsi="Garamond" w:cs="Times New Roman"/>
        </w:rPr>
        <w:t xml:space="preserve"> workforce directors</w:t>
      </w:r>
      <w:r w:rsidRPr="004A0C12">
        <w:rPr>
          <w:rFonts w:ascii="Garamond" w:hAnsi="Garamond" w:cs="Times New Roman"/>
        </w:rPr>
        <w:t xml:space="preserve">, the </w:t>
      </w:r>
      <w:r w:rsidR="00B37299" w:rsidRPr="004A0C12">
        <w:rPr>
          <w:rFonts w:ascii="Garamond" w:hAnsi="Garamond" w:cs="Times New Roman"/>
        </w:rPr>
        <w:t>department</w:t>
      </w:r>
      <w:r w:rsidRPr="004A0C12">
        <w:rPr>
          <w:rFonts w:ascii="Garamond" w:hAnsi="Garamond" w:cs="Times New Roman"/>
        </w:rPr>
        <w:t xml:space="preserve"> issued a fourth map for review and comment. </w:t>
      </w:r>
    </w:p>
    <w:p w14:paraId="559250F9" w14:textId="77777777" w:rsidR="00AB5AEF" w:rsidRPr="00E64564" w:rsidRDefault="00AB5AEF" w:rsidP="00CF4628">
      <w:pPr>
        <w:pStyle w:val="Heading3"/>
        <w:rPr>
          <w:rFonts w:ascii="Garamond" w:hAnsi="Garamond"/>
          <w:sz w:val="24"/>
          <w:szCs w:val="24"/>
        </w:rPr>
      </w:pPr>
      <w:bookmarkStart w:id="112" w:name="_Toc447276156"/>
      <w:r w:rsidRPr="00E64564">
        <w:rPr>
          <w:rFonts w:ascii="Garamond" w:hAnsi="Garamond"/>
          <w:sz w:val="24"/>
          <w:szCs w:val="24"/>
        </w:rPr>
        <w:t>Functions of the Planning Regions</w:t>
      </w:r>
      <w:bookmarkEnd w:id="112"/>
    </w:p>
    <w:p w14:paraId="6939532C" w14:textId="063C88C3" w:rsidR="00AB5AEF" w:rsidRPr="004A0C12" w:rsidRDefault="00AB5AEF" w:rsidP="0074736E">
      <w:pPr>
        <w:spacing w:after="0" w:line="240" w:lineRule="auto"/>
        <w:jc w:val="both"/>
        <w:rPr>
          <w:rFonts w:ascii="Garamond" w:hAnsi="Garamond" w:cs="Times New Roman"/>
        </w:rPr>
      </w:pPr>
      <w:r w:rsidRPr="004A0C12">
        <w:rPr>
          <w:rFonts w:ascii="Garamond" w:hAnsi="Garamond" w:cs="Times New Roman"/>
        </w:rPr>
        <w:t>Pursuant to Section</w:t>
      </w:r>
      <w:r w:rsidR="009B48B2" w:rsidRPr="004A0C12">
        <w:rPr>
          <w:rFonts w:ascii="Garamond" w:hAnsi="Garamond" w:cs="Times New Roman"/>
        </w:rPr>
        <w:t xml:space="preserve"> 106 of WIOA, Local Boards and chief elected o</w:t>
      </w:r>
      <w:r w:rsidRPr="004A0C12">
        <w:rPr>
          <w:rFonts w:ascii="Garamond" w:hAnsi="Garamond" w:cs="Times New Roman"/>
        </w:rPr>
        <w:t>fficials must engage in a regional pl</w:t>
      </w:r>
      <w:r w:rsidR="00B37299" w:rsidRPr="004A0C12">
        <w:rPr>
          <w:rFonts w:ascii="Garamond" w:hAnsi="Garamond" w:cs="Times New Roman"/>
        </w:rPr>
        <w:t>anning process.  T</w:t>
      </w:r>
      <w:r w:rsidRPr="004A0C12">
        <w:rPr>
          <w:rFonts w:ascii="Garamond" w:hAnsi="Garamond" w:cs="Times New Roman"/>
        </w:rPr>
        <w:t>hat process must result in the preparation of regional plan.  The regional plan must incorporate t</w:t>
      </w:r>
      <w:r w:rsidR="00BB5F3C" w:rsidRPr="004A0C12">
        <w:rPr>
          <w:rFonts w:ascii="Garamond" w:hAnsi="Garamond" w:cs="Times New Roman"/>
        </w:rPr>
        <w:t>he local plans for each of the L</w:t>
      </w:r>
      <w:r w:rsidRPr="004A0C12">
        <w:rPr>
          <w:rFonts w:ascii="Garamond" w:hAnsi="Garamond" w:cs="Times New Roman"/>
        </w:rPr>
        <w:t>ocal</w:t>
      </w:r>
      <w:r w:rsidR="00BB5F3C" w:rsidRPr="004A0C12">
        <w:rPr>
          <w:rFonts w:ascii="Garamond" w:hAnsi="Garamond" w:cs="Times New Roman"/>
        </w:rPr>
        <w:t xml:space="preserve"> A</w:t>
      </w:r>
      <w:r w:rsidRPr="004A0C12">
        <w:rPr>
          <w:rFonts w:ascii="Garamond" w:hAnsi="Garamond" w:cs="Times New Roman"/>
        </w:rPr>
        <w:t>reas in the planning region and</w:t>
      </w:r>
      <w:r w:rsidR="00B37299" w:rsidRPr="004A0C12">
        <w:rPr>
          <w:rFonts w:ascii="Garamond" w:hAnsi="Garamond" w:cs="Times New Roman"/>
        </w:rPr>
        <w:t xml:space="preserve"> must</w:t>
      </w:r>
      <w:r w:rsidRPr="004A0C12">
        <w:rPr>
          <w:rFonts w:ascii="Garamond" w:hAnsi="Garamond" w:cs="Times New Roman"/>
        </w:rPr>
        <w:t xml:space="preserve"> be aligned with </w:t>
      </w:r>
      <w:r w:rsidR="00B37299" w:rsidRPr="004A0C12">
        <w:rPr>
          <w:rFonts w:ascii="Garamond" w:hAnsi="Garamond" w:cs="Times New Roman"/>
        </w:rPr>
        <w:t>Maryland’s</w:t>
      </w:r>
      <w:r w:rsidRPr="004A0C12">
        <w:rPr>
          <w:rFonts w:ascii="Garamond" w:hAnsi="Garamond" w:cs="Times New Roman"/>
        </w:rPr>
        <w:t xml:space="preserve"> </w:t>
      </w:r>
      <w:r w:rsidR="00B37299" w:rsidRPr="004A0C12">
        <w:rPr>
          <w:rFonts w:ascii="Garamond" w:hAnsi="Garamond" w:cs="Times New Roman"/>
        </w:rPr>
        <w:t>State Plan</w:t>
      </w:r>
      <w:r w:rsidRPr="004A0C12">
        <w:rPr>
          <w:rFonts w:ascii="Garamond" w:hAnsi="Garamond" w:cs="Times New Roman"/>
        </w:rPr>
        <w:t>.  Maryland, pursuant to Section 106 of WIOA, will provide technical assistance and labor market inf</w:t>
      </w:r>
      <w:r w:rsidR="00BB5F3C" w:rsidRPr="004A0C12">
        <w:rPr>
          <w:rFonts w:ascii="Garamond" w:hAnsi="Garamond" w:cs="Times New Roman"/>
        </w:rPr>
        <w:t>ormation upon the request of a Local A</w:t>
      </w:r>
      <w:r w:rsidRPr="004A0C12">
        <w:rPr>
          <w:rFonts w:ascii="Garamond" w:hAnsi="Garamond" w:cs="Times New Roman"/>
        </w:rPr>
        <w:t xml:space="preserve">rea to assist with regional planning. </w:t>
      </w:r>
    </w:p>
    <w:p w14:paraId="57389C58" w14:textId="77777777" w:rsidR="00B37299" w:rsidRPr="004A0C12" w:rsidRDefault="00B37299" w:rsidP="0074736E">
      <w:pPr>
        <w:spacing w:after="0" w:line="240" w:lineRule="auto"/>
        <w:jc w:val="both"/>
        <w:rPr>
          <w:rFonts w:ascii="Garamond" w:hAnsi="Garamond" w:cs="Times New Roman"/>
        </w:rPr>
      </w:pPr>
    </w:p>
    <w:p w14:paraId="31D2C23F" w14:textId="77777777" w:rsidR="00AB5AEF" w:rsidRPr="004A0C12" w:rsidRDefault="00B37299" w:rsidP="0074736E">
      <w:pPr>
        <w:spacing w:after="0" w:line="240" w:lineRule="auto"/>
        <w:jc w:val="both"/>
        <w:rPr>
          <w:rFonts w:ascii="Garamond" w:hAnsi="Garamond" w:cs="Times New Roman"/>
        </w:rPr>
      </w:pPr>
      <w:r w:rsidRPr="004A0C12">
        <w:rPr>
          <w:rFonts w:ascii="Garamond" w:hAnsi="Garamond" w:cs="Times New Roman"/>
        </w:rPr>
        <w:t>P</w:t>
      </w:r>
      <w:r w:rsidR="00AB5AEF" w:rsidRPr="004A0C12">
        <w:rPr>
          <w:rFonts w:ascii="Garamond" w:hAnsi="Garamond" w:cs="Times New Roman"/>
        </w:rPr>
        <w:t>ursuant to Section 106 of WIOA, each regional plan shall collaboratively engage</w:t>
      </w:r>
      <w:r w:rsidRPr="004A0C12">
        <w:rPr>
          <w:rFonts w:ascii="Garamond" w:hAnsi="Garamond" w:cs="Times New Roman"/>
        </w:rPr>
        <w:t xml:space="preserve"> in a process that results in:</w:t>
      </w:r>
      <w:r w:rsidR="00AB5AEF" w:rsidRPr="004A0C12">
        <w:rPr>
          <w:rFonts w:ascii="Garamond" w:hAnsi="Garamond" w:cs="Times New Roman"/>
        </w:rPr>
        <w:t xml:space="preserve">  </w:t>
      </w:r>
    </w:p>
    <w:p w14:paraId="7D72C266" w14:textId="77777777" w:rsidR="0074736E" w:rsidRPr="004A0C12" w:rsidRDefault="0074736E" w:rsidP="0074736E">
      <w:pPr>
        <w:spacing w:after="0" w:line="240" w:lineRule="auto"/>
        <w:jc w:val="both"/>
        <w:rPr>
          <w:rFonts w:ascii="Garamond" w:hAnsi="Garamond" w:cs="Times New Roman"/>
        </w:rPr>
      </w:pPr>
    </w:p>
    <w:p w14:paraId="3698C941" w14:textId="6D62EA6E" w:rsidR="00AB5AEF" w:rsidRPr="004A0C12" w:rsidRDefault="00AB5AEF" w:rsidP="00232F09">
      <w:pPr>
        <w:pStyle w:val="ListParagraph"/>
        <w:numPr>
          <w:ilvl w:val="0"/>
          <w:numId w:val="295"/>
        </w:numPr>
        <w:tabs>
          <w:tab w:val="clear" w:pos="0"/>
        </w:tabs>
        <w:ind w:left="720" w:hanging="360"/>
        <w:jc w:val="both"/>
        <w:rPr>
          <w:rFonts w:ascii="Garamond" w:hAnsi="Garamond"/>
          <w:szCs w:val="22"/>
        </w:rPr>
      </w:pPr>
      <w:r w:rsidRPr="004A0C12">
        <w:rPr>
          <w:rFonts w:ascii="Garamond" w:hAnsi="Garamond"/>
          <w:szCs w:val="22"/>
        </w:rPr>
        <w:t>The establishment of regional service strategies, including use of cooperat</w:t>
      </w:r>
      <w:r w:rsidR="009B48B2" w:rsidRPr="004A0C12">
        <w:rPr>
          <w:rFonts w:ascii="Garamond" w:hAnsi="Garamond"/>
          <w:szCs w:val="22"/>
        </w:rPr>
        <w:t>ive service delivery agreements</w:t>
      </w:r>
      <w:r w:rsidRPr="004A0C12">
        <w:rPr>
          <w:rFonts w:ascii="Garamond" w:hAnsi="Garamond"/>
          <w:szCs w:val="22"/>
        </w:rPr>
        <w:t xml:space="preserve"> </w:t>
      </w:r>
    </w:p>
    <w:p w14:paraId="1E6D8261" w14:textId="7C4C7C7E" w:rsidR="00AB5AEF" w:rsidRPr="004A0C12" w:rsidRDefault="00AB5AEF" w:rsidP="00232F09">
      <w:pPr>
        <w:pStyle w:val="ListParagraph"/>
        <w:numPr>
          <w:ilvl w:val="0"/>
          <w:numId w:val="295"/>
        </w:numPr>
        <w:tabs>
          <w:tab w:val="clear" w:pos="0"/>
        </w:tabs>
        <w:ind w:left="720" w:hanging="360"/>
        <w:jc w:val="both"/>
        <w:rPr>
          <w:rFonts w:ascii="Garamond" w:hAnsi="Garamond"/>
          <w:szCs w:val="22"/>
        </w:rPr>
      </w:pPr>
      <w:r w:rsidRPr="004A0C12">
        <w:rPr>
          <w:rFonts w:ascii="Garamond" w:hAnsi="Garamond"/>
          <w:szCs w:val="22"/>
        </w:rPr>
        <w:t>The development and implementation of sector initiatives for in-demand industry sectors</w:t>
      </w:r>
      <w:r w:rsidR="009B48B2" w:rsidRPr="004A0C12">
        <w:rPr>
          <w:rFonts w:ascii="Garamond" w:hAnsi="Garamond"/>
          <w:szCs w:val="22"/>
        </w:rPr>
        <w:t xml:space="preserve"> or occupations for the region</w:t>
      </w:r>
    </w:p>
    <w:p w14:paraId="6A2F8CD1" w14:textId="329F8D01" w:rsidR="00AB5AEF" w:rsidRPr="004A0C12" w:rsidRDefault="00AB5AEF" w:rsidP="00232F09">
      <w:pPr>
        <w:pStyle w:val="ListParagraph"/>
        <w:numPr>
          <w:ilvl w:val="0"/>
          <w:numId w:val="295"/>
        </w:numPr>
        <w:tabs>
          <w:tab w:val="clear" w:pos="0"/>
        </w:tabs>
        <w:ind w:left="720" w:hanging="360"/>
        <w:jc w:val="both"/>
        <w:rPr>
          <w:rFonts w:ascii="Garamond" w:hAnsi="Garamond"/>
          <w:szCs w:val="22"/>
        </w:rPr>
      </w:pPr>
      <w:r w:rsidRPr="004A0C12">
        <w:rPr>
          <w:rFonts w:ascii="Garamond" w:hAnsi="Garamond"/>
          <w:szCs w:val="22"/>
        </w:rPr>
        <w:t>The collection and analysis of regional labor market data,</w:t>
      </w:r>
      <w:r w:rsidR="009B48B2" w:rsidRPr="004A0C12">
        <w:rPr>
          <w:rFonts w:ascii="Garamond" w:hAnsi="Garamond"/>
          <w:szCs w:val="22"/>
        </w:rPr>
        <w:t xml:space="preserve"> in conjunction with the State</w:t>
      </w:r>
    </w:p>
    <w:p w14:paraId="3D3A1600" w14:textId="24D49FAF" w:rsidR="00AB5AEF" w:rsidRPr="004A0C12" w:rsidRDefault="00AB5AEF" w:rsidP="00232F09">
      <w:pPr>
        <w:pStyle w:val="ListParagraph"/>
        <w:numPr>
          <w:ilvl w:val="0"/>
          <w:numId w:val="295"/>
        </w:numPr>
        <w:tabs>
          <w:tab w:val="clear" w:pos="0"/>
        </w:tabs>
        <w:ind w:left="720" w:hanging="360"/>
        <w:jc w:val="both"/>
        <w:rPr>
          <w:rFonts w:ascii="Garamond" w:hAnsi="Garamond"/>
          <w:szCs w:val="22"/>
        </w:rPr>
      </w:pPr>
      <w:r w:rsidRPr="004A0C12">
        <w:rPr>
          <w:rFonts w:ascii="Garamond" w:hAnsi="Garamond"/>
          <w:szCs w:val="22"/>
        </w:rPr>
        <w:t xml:space="preserve">The establishment of administrative cost arrangements, including the pooling of funds for administrative costs, </w:t>
      </w:r>
      <w:r w:rsidR="009B48B2" w:rsidRPr="004A0C12">
        <w:rPr>
          <w:rFonts w:ascii="Garamond" w:hAnsi="Garamond"/>
          <w:szCs w:val="22"/>
        </w:rPr>
        <w:t>as appropriate, for the region</w:t>
      </w:r>
    </w:p>
    <w:p w14:paraId="786AE34D" w14:textId="1F60D171" w:rsidR="00AB5AEF" w:rsidRPr="004A0C12" w:rsidRDefault="00AB5AEF" w:rsidP="00232F09">
      <w:pPr>
        <w:pStyle w:val="ListParagraph"/>
        <w:numPr>
          <w:ilvl w:val="0"/>
          <w:numId w:val="295"/>
        </w:numPr>
        <w:tabs>
          <w:tab w:val="clear" w:pos="0"/>
        </w:tabs>
        <w:ind w:left="720" w:hanging="360"/>
        <w:jc w:val="both"/>
        <w:rPr>
          <w:rFonts w:ascii="Garamond" w:hAnsi="Garamond"/>
          <w:szCs w:val="22"/>
        </w:rPr>
      </w:pPr>
      <w:r w:rsidRPr="004A0C12">
        <w:rPr>
          <w:rFonts w:ascii="Garamond" w:hAnsi="Garamond"/>
          <w:szCs w:val="22"/>
        </w:rPr>
        <w:t xml:space="preserve">The coordination of transportation and other supportive services, </w:t>
      </w:r>
      <w:r w:rsidR="009B48B2" w:rsidRPr="004A0C12">
        <w:rPr>
          <w:rFonts w:ascii="Garamond" w:hAnsi="Garamond"/>
          <w:szCs w:val="22"/>
        </w:rPr>
        <w:t>as appropriate, for the region</w:t>
      </w:r>
    </w:p>
    <w:p w14:paraId="379EF0FE" w14:textId="729A872C" w:rsidR="00AB5AEF" w:rsidRPr="004A0C12" w:rsidRDefault="00AB5AEF" w:rsidP="00232F09">
      <w:pPr>
        <w:pStyle w:val="ListParagraph"/>
        <w:numPr>
          <w:ilvl w:val="0"/>
          <w:numId w:val="295"/>
        </w:numPr>
        <w:tabs>
          <w:tab w:val="clear" w:pos="0"/>
        </w:tabs>
        <w:ind w:left="720" w:hanging="360"/>
        <w:jc w:val="both"/>
        <w:rPr>
          <w:rFonts w:ascii="Garamond" w:hAnsi="Garamond"/>
          <w:szCs w:val="22"/>
        </w:rPr>
      </w:pPr>
      <w:r w:rsidRPr="004A0C12">
        <w:rPr>
          <w:rFonts w:ascii="Garamond" w:hAnsi="Garamond"/>
          <w:szCs w:val="22"/>
        </w:rPr>
        <w:t>The coordination of services with regional economic developme</w:t>
      </w:r>
      <w:r w:rsidR="009B48B2" w:rsidRPr="004A0C12">
        <w:rPr>
          <w:rFonts w:ascii="Garamond" w:hAnsi="Garamond"/>
          <w:szCs w:val="22"/>
        </w:rPr>
        <w:t>nt services and providers</w:t>
      </w:r>
    </w:p>
    <w:p w14:paraId="67900907" w14:textId="7BAF1AAC" w:rsidR="00AB5AEF" w:rsidRPr="004A0C12" w:rsidRDefault="00AB5AEF" w:rsidP="00232F09">
      <w:pPr>
        <w:pStyle w:val="ListParagraph"/>
        <w:numPr>
          <w:ilvl w:val="0"/>
          <w:numId w:val="295"/>
        </w:numPr>
        <w:tabs>
          <w:tab w:val="clear" w:pos="0"/>
        </w:tabs>
        <w:ind w:left="720" w:hanging="360"/>
        <w:jc w:val="both"/>
        <w:rPr>
          <w:rFonts w:ascii="Garamond" w:hAnsi="Garamond"/>
          <w:szCs w:val="22"/>
        </w:rPr>
      </w:pPr>
      <w:r w:rsidRPr="004A0C12">
        <w:rPr>
          <w:rFonts w:ascii="Garamond" w:hAnsi="Garamond"/>
          <w:szCs w:val="22"/>
        </w:rPr>
        <w:t>The establishment of an agreement regarding collective negotiation with the State on local levels of performance, and report on performan</w:t>
      </w:r>
      <w:r w:rsidR="00BB5F3C" w:rsidRPr="004A0C12">
        <w:rPr>
          <w:rFonts w:ascii="Garamond" w:hAnsi="Garamond"/>
          <w:szCs w:val="22"/>
        </w:rPr>
        <w:t>ce accountability measures for Local A</w:t>
      </w:r>
      <w:r w:rsidRPr="004A0C12">
        <w:rPr>
          <w:rFonts w:ascii="Garamond" w:hAnsi="Garamond"/>
          <w:szCs w:val="22"/>
        </w:rPr>
        <w:t xml:space="preserve">reas or the planning region as set forth in Section 116(c) of WIOA. </w:t>
      </w:r>
    </w:p>
    <w:p w14:paraId="1BB739B2" w14:textId="77777777" w:rsidR="00AB5AEF" w:rsidRPr="00E64564" w:rsidRDefault="00AB5AEF" w:rsidP="00CF4628">
      <w:pPr>
        <w:pStyle w:val="Heading3"/>
        <w:rPr>
          <w:rFonts w:ascii="Garamond" w:hAnsi="Garamond"/>
          <w:sz w:val="24"/>
          <w:szCs w:val="24"/>
        </w:rPr>
      </w:pPr>
      <w:bookmarkStart w:id="113" w:name="_Toc447276157"/>
      <w:r w:rsidRPr="00E64564">
        <w:rPr>
          <w:rFonts w:ascii="Garamond" w:hAnsi="Garamond"/>
          <w:sz w:val="24"/>
          <w:szCs w:val="24"/>
        </w:rPr>
        <w:t>Subsequent Designation of Regions</w:t>
      </w:r>
      <w:bookmarkEnd w:id="113"/>
      <w:r w:rsidRPr="00E64564">
        <w:rPr>
          <w:rFonts w:ascii="Garamond" w:hAnsi="Garamond"/>
          <w:sz w:val="24"/>
          <w:szCs w:val="24"/>
        </w:rPr>
        <w:t xml:space="preserve"> </w:t>
      </w:r>
    </w:p>
    <w:p w14:paraId="5F2D2792" w14:textId="13472565" w:rsidR="00AB5AEF" w:rsidRPr="004A0C12" w:rsidRDefault="009B48B2" w:rsidP="00EA6922">
      <w:pPr>
        <w:spacing w:line="240" w:lineRule="auto"/>
        <w:contextualSpacing/>
        <w:jc w:val="both"/>
        <w:rPr>
          <w:rFonts w:ascii="Garamond" w:hAnsi="Garamond" w:cs="Times New Roman"/>
        </w:rPr>
      </w:pPr>
      <w:r w:rsidRPr="004A0C12">
        <w:rPr>
          <w:rFonts w:ascii="Garamond" w:hAnsi="Garamond" w:cs="Times New Roman"/>
        </w:rPr>
        <w:t>Upon request of the chief elected o</w:t>
      </w:r>
      <w:r w:rsidR="00BB5F3C" w:rsidRPr="004A0C12">
        <w:rPr>
          <w:rFonts w:ascii="Garamond" w:hAnsi="Garamond" w:cs="Times New Roman"/>
        </w:rPr>
        <w:t>fficials from the Local A</w:t>
      </w:r>
      <w:r w:rsidR="00AB5AEF" w:rsidRPr="004A0C12">
        <w:rPr>
          <w:rFonts w:ascii="Garamond" w:hAnsi="Garamond" w:cs="Times New Roman"/>
        </w:rPr>
        <w:t>reas affected, or every two years beginning July 1, 2016, the State will review the current configuration of regions. Should it be determined that the regions no longer meet the needs of the State’s workforce system, the State will undertake a reconfiguration of the regions in coordination wi</w:t>
      </w:r>
      <w:r w:rsidRPr="004A0C12">
        <w:rPr>
          <w:rFonts w:ascii="Garamond" w:hAnsi="Garamond" w:cs="Times New Roman"/>
        </w:rPr>
        <w:t>th Maryland’s Local Boards and chief elected o</w:t>
      </w:r>
      <w:r w:rsidR="00AB5AEF" w:rsidRPr="004A0C12">
        <w:rPr>
          <w:rFonts w:ascii="Garamond" w:hAnsi="Garamond" w:cs="Times New Roman"/>
        </w:rPr>
        <w:t xml:space="preserve">fficials.  </w:t>
      </w:r>
    </w:p>
    <w:p w14:paraId="1B74AAB4" w14:textId="77777777" w:rsidR="00C11764" w:rsidRPr="004A0C12" w:rsidRDefault="00C11764" w:rsidP="00EA6922">
      <w:pPr>
        <w:spacing w:line="240" w:lineRule="auto"/>
        <w:contextualSpacing/>
        <w:jc w:val="both"/>
        <w:rPr>
          <w:rFonts w:ascii="Garamond" w:hAnsi="Garamond" w:cs="Times New Roman"/>
        </w:rPr>
      </w:pPr>
    </w:p>
    <w:p w14:paraId="6253F7EF" w14:textId="77777777" w:rsidR="00AB5AEF" w:rsidRPr="00E64564" w:rsidRDefault="00AB5AEF" w:rsidP="00CF4628">
      <w:pPr>
        <w:pStyle w:val="Heading3"/>
        <w:rPr>
          <w:rFonts w:ascii="Garamond" w:hAnsi="Garamond"/>
          <w:sz w:val="24"/>
          <w:szCs w:val="24"/>
        </w:rPr>
      </w:pPr>
      <w:bookmarkStart w:id="114" w:name="_Toc447276158"/>
      <w:r w:rsidRPr="00E64564">
        <w:rPr>
          <w:rFonts w:ascii="Garamond" w:hAnsi="Garamond"/>
          <w:sz w:val="24"/>
          <w:szCs w:val="24"/>
        </w:rPr>
        <w:lastRenderedPageBreak/>
        <w:t>Designation and Re-Designation of Local Areas</w:t>
      </w:r>
      <w:bookmarkEnd w:id="114"/>
    </w:p>
    <w:p w14:paraId="4A5B7B3E" w14:textId="77777777" w:rsidR="00AB5AEF" w:rsidRPr="004A0C12" w:rsidRDefault="00AB5AEF" w:rsidP="00AB5AEF">
      <w:pPr>
        <w:jc w:val="center"/>
        <w:rPr>
          <w:rFonts w:ascii="Garamond" w:hAnsi="Garamond" w:cs="Times New Roman"/>
        </w:rPr>
      </w:pPr>
      <w:r w:rsidRPr="004A0C12">
        <w:rPr>
          <w:rFonts w:ascii="Garamond" w:hAnsi="Garamond" w:cs="Times New Roman"/>
          <w:noProof/>
        </w:rPr>
        <w:drawing>
          <wp:inline distT="0" distB="0" distL="0" distR="0" wp14:anchorId="53114C5D" wp14:editId="311FD886">
            <wp:extent cx="5179695" cy="3999230"/>
            <wp:effectExtent l="0" t="0" r="1905" b="1270"/>
            <wp:docPr id="324" name="Picture 324" descr="This picture illustrates where Maryland's American Job Centers are located across the State. " title="Maryland's American Job Ce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79695" cy="3999230"/>
                    </a:xfrm>
                    <a:prstGeom prst="rect">
                      <a:avLst/>
                    </a:prstGeom>
                    <a:noFill/>
                    <a:ln>
                      <a:noFill/>
                    </a:ln>
                  </pic:spPr>
                </pic:pic>
              </a:graphicData>
            </a:graphic>
          </wp:inline>
        </w:drawing>
      </w:r>
    </w:p>
    <w:p w14:paraId="3293D72F" w14:textId="665ADEC8" w:rsidR="00AB5AEF" w:rsidRPr="004A0C12" w:rsidRDefault="009B48B2" w:rsidP="00EA6922">
      <w:pPr>
        <w:spacing w:line="240" w:lineRule="auto"/>
        <w:contextualSpacing/>
        <w:jc w:val="both"/>
        <w:rPr>
          <w:rFonts w:ascii="Garamond" w:hAnsi="Garamond" w:cs="Times New Roman"/>
        </w:rPr>
      </w:pPr>
      <w:r w:rsidRPr="004A0C12">
        <w:rPr>
          <w:rFonts w:ascii="Garamond" w:hAnsi="Garamond" w:cs="Times New Roman"/>
        </w:rPr>
        <w:t>Upon request of a chief e</w:t>
      </w:r>
      <w:r w:rsidR="00AB5AEF" w:rsidRPr="004A0C12">
        <w:rPr>
          <w:rFonts w:ascii="Garamond" w:hAnsi="Garamond" w:cs="Times New Roman"/>
        </w:rPr>
        <w:t>lecte</w:t>
      </w:r>
      <w:r w:rsidRPr="004A0C12">
        <w:rPr>
          <w:rFonts w:ascii="Garamond" w:hAnsi="Garamond" w:cs="Times New Roman"/>
        </w:rPr>
        <w:t>d o</w:t>
      </w:r>
      <w:r w:rsidR="00AB5AEF" w:rsidRPr="004A0C12">
        <w:rPr>
          <w:rFonts w:ascii="Garamond" w:hAnsi="Garamond" w:cs="Times New Roman"/>
        </w:rPr>
        <w:t>fficial(s)</w:t>
      </w:r>
      <w:r w:rsidR="00BB5F3C" w:rsidRPr="004A0C12">
        <w:rPr>
          <w:rFonts w:ascii="Garamond" w:hAnsi="Garamond" w:cs="Times New Roman"/>
        </w:rPr>
        <w:t xml:space="preserve"> of a Local A</w:t>
      </w:r>
      <w:r w:rsidR="00AB5AEF" w:rsidRPr="004A0C12">
        <w:rPr>
          <w:rFonts w:ascii="Garamond" w:hAnsi="Garamond" w:cs="Times New Roman"/>
        </w:rPr>
        <w:t>rea, the Governor shall a</w:t>
      </w:r>
      <w:r w:rsidR="00BB5F3C" w:rsidRPr="004A0C12">
        <w:rPr>
          <w:rFonts w:ascii="Garamond" w:hAnsi="Garamond" w:cs="Times New Roman"/>
        </w:rPr>
        <w:t>pprove the re-designation of a Local A</w:t>
      </w:r>
      <w:r w:rsidR="00AB5AEF" w:rsidRPr="004A0C12">
        <w:rPr>
          <w:rFonts w:ascii="Garamond" w:hAnsi="Garamond" w:cs="Times New Roman"/>
        </w:rPr>
        <w:t xml:space="preserve">rea that has performed successfully and sustained fiscal integrity. </w:t>
      </w:r>
    </w:p>
    <w:p w14:paraId="0DACB1F8" w14:textId="77777777" w:rsidR="00EA6922" w:rsidRPr="004A0C12" w:rsidRDefault="00EA6922" w:rsidP="00EA6922">
      <w:pPr>
        <w:spacing w:line="240" w:lineRule="auto"/>
        <w:contextualSpacing/>
        <w:jc w:val="both"/>
        <w:rPr>
          <w:rFonts w:ascii="Garamond" w:hAnsi="Garamond" w:cs="Times New Roman"/>
        </w:rPr>
      </w:pPr>
    </w:p>
    <w:p w14:paraId="6CB301DC" w14:textId="77777777"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 xml:space="preserve">For the purposes of these measures, Maryland adopts the following definitions: </w:t>
      </w:r>
    </w:p>
    <w:p w14:paraId="353424BA" w14:textId="77777777" w:rsidR="00EA6922" w:rsidRPr="004A0C12" w:rsidRDefault="00EA6922" w:rsidP="00EA6922">
      <w:pPr>
        <w:spacing w:line="240" w:lineRule="auto"/>
        <w:contextualSpacing/>
        <w:jc w:val="both"/>
        <w:rPr>
          <w:rFonts w:ascii="Garamond" w:hAnsi="Garamond" w:cs="Times New Roman"/>
        </w:rPr>
      </w:pPr>
    </w:p>
    <w:p w14:paraId="2A5B4252" w14:textId="13F0D50E" w:rsidR="0074736E" w:rsidRPr="004A0C12" w:rsidRDefault="00AB5AEF" w:rsidP="00EA6922">
      <w:pPr>
        <w:spacing w:line="240" w:lineRule="auto"/>
        <w:ind w:left="720"/>
        <w:contextualSpacing/>
        <w:jc w:val="both"/>
        <w:rPr>
          <w:rFonts w:ascii="Garamond" w:hAnsi="Garamond" w:cs="Times New Roman"/>
        </w:rPr>
      </w:pPr>
      <w:r w:rsidRPr="004A0C12">
        <w:rPr>
          <w:rFonts w:ascii="Garamond" w:hAnsi="Garamond" w:cs="Times New Roman"/>
          <w:i/>
        </w:rPr>
        <w:t>Performed Successfully</w:t>
      </w:r>
      <w:r w:rsidRPr="004A0C12">
        <w:rPr>
          <w:rFonts w:ascii="Garamond" w:hAnsi="Garamond" w:cs="Times New Roman"/>
        </w:rPr>
        <w:t xml:space="preserve"> -- The term “perfo</w:t>
      </w:r>
      <w:r w:rsidR="00BB5F3C" w:rsidRPr="004A0C12">
        <w:rPr>
          <w:rFonts w:ascii="Garamond" w:hAnsi="Garamond" w:cs="Times New Roman"/>
        </w:rPr>
        <w:t>rmance successfully” means the Local A</w:t>
      </w:r>
      <w:r w:rsidRPr="004A0C12">
        <w:rPr>
          <w:rFonts w:ascii="Garamond" w:hAnsi="Garamond" w:cs="Times New Roman"/>
        </w:rPr>
        <w:t>rea met or exceeded the adjusted levels of perf</w:t>
      </w:r>
      <w:r w:rsidR="00CB70A6" w:rsidRPr="004A0C12">
        <w:rPr>
          <w:rFonts w:ascii="Garamond" w:hAnsi="Garamond" w:cs="Times New Roman"/>
        </w:rPr>
        <w:t xml:space="preserve">ormance for primary indicators </w:t>
      </w:r>
      <w:r w:rsidRPr="004A0C12">
        <w:rPr>
          <w:rFonts w:ascii="Garamond" w:hAnsi="Garamond" w:cs="Times New Roman"/>
        </w:rPr>
        <w:t>of performance described in Section 116(b</w:t>
      </w:r>
      <w:proofErr w:type="gramStart"/>
      <w:r w:rsidRPr="004A0C12">
        <w:rPr>
          <w:rFonts w:ascii="Garamond" w:hAnsi="Garamond" w:cs="Times New Roman"/>
        </w:rPr>
        <w:t>)(</w:t>
      </w:r>
      <w:proofErr w:type="gramEnd"/>
      <w:r w:rsidRPr="004A0C12">
        <w:rPr>
          <w:rFonts w:ascii="Garamond" w:hAnsi="Garamond" w:cs="Times New Roman"/>
        </w:rPr>
        <w:t xml:space="preserve">2)(A) (or, </w:t>
      </w:r>
      <w:r w:rsidR="00CB70A6" w:rsidRPr="004A0C12">
        <w:rPr>
          <w:rFonts w:ascii="Garamond" w:hAnsi="Garamond" w:cs="Times New Roman"/>
        </w:rPr>
        <w:t xml:space="preserve">if applicable, core indicators </w:t>
      </w:r>
      <w:r w:rsidRPr="004A0C12">
        <w:rPr>
          <w:rFonts w:ascii="Garamond" w:hAnsi="Garamond" w:cs="Times New Roman"/>
        </w:rPr>
        <w:t xml:space="preserve">of performance described in Section 136(b)(2)(A) of the Workforce Investment Act of 1998) for each of the last 2 consecutive years for which data are available preceding the determination of performance under this paragraph. </w:t>
      </w:r>
      <w:r w:rsidR="0074736E" w:rsidRPr="004A0C12">
        <w:rPr>
          <w:rFonts w:ascii="Garamond" w:hAnsi="Garamond" w:cs="Times New Roman"/>
        </w:rPr>
        <w:t xml:space="preserve">As Maryland’s workforce system is dedicated to placing people before </w:t>
      </w:r>
      <w:r w:rsidR="007D1705" w:rsidRPr="004A0C12">
        <w:rPr>
          <w:rFonts w:ascii="Garamond" w:hAnsi="Garamond" w:cs="Times New Roman"/>
        </w:rPr>
        <w:t>performance measures, the WIOA P</w:t>
      </w:r>
      <w:r w:rsidR="0074736E" w:rsidRPr="004A0C12">
        <w:rPr>
          <w:rFonts w:ascii="Garamond" w:hAnsi="Garamond" w:cs="Times New Roman"/>
        </w:rPr>
        <w:t xml:space="preserve">artners are dedicated to taking the first two years </w:t>
      </w:r>
      <w:r w:rsidR="00CB70A6" w:rsidRPr="004A0C12">
        <w:rPr>
          <w:rFonts w:ascii="Garamond" w:hAnsi="Garamond" w:cs="Times New Roman"/>
        </w:rPr>
        <w:t>of implementation of the Act to develop</w:t>
      </w:r>
      <w:r w:rsidR="0074736E" w:rsidRPr="004A0C12">
        <w:rPr>
          <w:rFonts w:ascii="Garamond" w:hAnsi="Garamond" w:cs="Times New Roman"/>
        </w:rPr>
        <w:t xml:space="preserve"> a baseline of performance. During that time, all areas will be considered as “performing successfully</w:t>
      </w:r>
      <w:r w:rsidR="00CB70A6" w:rsidRPr="004A0C12">
        <w:rPr>
          <w:rFonts w:ascii="Garamond" w:hAnsi="Garamond" w:cs="Times New Roman"/>
        </w:rPr>
        <w:t>,</w:t>
      </w:r>
      <w:r w:rsidR="0074736E" w:rsidRPr="004A0C12">
        <w:rPr>
          <w:rFonts w:ascii="Garamond" w:hAnsi="Garamond" w:cs="Times New Roman"/>
        </w:rPr>
        <w:t xml:space="preserve">” as long as it is demonstrated that they are truly serving individuals with barriers to employment. </w:t>
      </w:r>
    </w:p>
    <w:p w14:paraId="5BD38507" w14:textId="77777777" w:rsidR="009B48B2" w:rsidRPr="004A0C12" w:rsidRDefault="009B48B2" w:rsidP="00EA6922">
      <w:pPr>
        <w:spacing w:line="240" w:lineRule="auto"/>
        <w:ind w:left="720"/>
        <w:contextualSpacing/>
        <w:jc w:val="both"/>
        <w:rPr>
          <w:rFonts w:ascii="Garamond" w:hAnsi="Garamond" w:cs="Times New Roman"/>
        </w:rPr>
      </w:pPr>
    </w:p>
    <w:p w14:paraId="0A0BFEC3" w14:textId="77777777" w:rsidR="00AB5AEF" w:rsidRPr="004A0C12" w:rsidRDefault="00AB5AEF" w:rsidP="00EA6922">
      <w:pPr>
        <w:spacing w:line="240" w:lineRule="auto"/>
        <w:ind w:left="720"/>
        <w:contextualSpacing/>
        <w:jc w:val="both"/>
        <w:rPr>
          <w:rFonts w:ascii="Garamond" w:hAnsi="Garamond" w:cs="Times New Roman"/>
        </w:rPr>
      </w:pPr>
      <w:r w:rsidRPr="004A0C12">
        <w:rPr>
          <w:rFonts w:ascii="Garamond" w:hAnsi="Garamond" w:cs="Times New Roman"/>
          <w:i/>
        </w:rPr>
        <w:t>Sustained Fiscal Integrity</w:t>
      </w:r>
      <w:r w:rsidRPr="004A0C12">
        <w:rPr>
          <w:rFonts w:ascii="Garamond" w:hAnsi="Garamond" w:cs="Times New Roman"/>
        </w:rPr>
        <w:t xml:space="preserve"> -- The term “sustained fi</w:t>
      </w:r>
      <w:r w:rsidR="00971C0C" w:rsidRPr="004A0C12">
        <w:rPr>
          <w:rFonts w:ascii="Garamond" w:hAnsi="Garamond" w:cs="Times New Roman"/>
        </w:rPr>
        <w:t xml:space="preserve">scal integrity” means that the </w:t>
      </w:r>
      <w:r w:rsidRPr="004A0C12">
        <w:rPr>
          <w:rFonts w:ascii="Garamond" w:hAnsi="Garamond" w:cs="Times New Roman"/>
        </w:rPr>
        <w:t>Secretary has not made a formal determination, during either of the last 2 consecutive years preceding the determination regarding such integrity, that the admini</w:t>
      </w:r>
      <w:r w:rsidR="00CB70A6" w:rsidRPr="004A0C12">
        <w:rPr>
          <w:rFonts w:ascii="Garamond" w:hAnsi="Garamond" w:cs="Times New Roman"/>
        </w:rPr>
        <w:t>strative entity of the area mis</w:t>
      </w:r>
      <w:r w:rsidRPr="004A0C12">
        <w:rPr>
          <w:rFonts w:ascii="Garamond" w:hAnsi="Garamond" w:cs="Times New Roman"/>
        </w:rPr>
        <w:t xml:space="preserve">spent funds provided under Subtitle B of WIOA (or, if applicable, Title I of the Workforce Investment Act of 1998) due to willful disregard of the requirements of the provision involved, gross negligence, or failure to comply with accepted standards of administration. </w:t>
      </w:r>
    </w:p>
    <w:p w14:paraId="2C71BECD" w14:textId="77777777" w:rsidR="00EA6922" w:rsidRPr="004A0C12" w:rsidRDefault="00EA6922" w:rsidP="00EA6922">
      <w:pPr>
        <w:spacing w:line="240" w:lineRule="auto"/>
        <w:ind w:left="720"/>
        <w:contextualSpacing/>
        <w:jc w:val="both"/>
        <w:rPr>
          <w:rFonts w:ascii="Garamond" w:hAnsi="Garamond" w:cs="Times New Roman"/>
        </w:rPr>
      </w:pPr>
    </w:p>
    <w:p w14:paraId="09393072" w14:textId="7DE0D1B4"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Upon</w:t>
      </w:r>
      <w:r w:rsidR="00CB70A6" w:rsidRPr="004A0C12">
        <w:rPr>
          <w:rFonts w:ascii="Garamond" w:hAnsi="Garamond" w:cs="Times New Roman"/>
        </w:rPr>
        <w:t xml:space="preserve"> receipt of a request from a</w:t>
      </w:r>
      <w:r w:rsidR="009B48B2" w:rsidRPr="004A0C12">
        <w:rPr>
          <w:rFonts w:ascii="Garamond" w:hAnsi="Garamond" w:cs="Times New Roman"/>
        </w:rPr>
        <w:t xml:space="preserve"> chief elected o</w:t>
      </w:r>
      <w:r w:rsidR="00BB5F3C" w:rsidRPr="004A0C12">
        <w:rPr>
          <w:rFonts w:ascii="Garamond" w:hAnsi="Garamond" w:cs="Times New Roman"/>
        </w:rPr>
        <w:t>fficial for a particular Local Area to re-designate the Local A</w:t>
      </w:r>
      <w:r w:rsidRPr="004A0C12">
        <w:rPr>
          <w:rFonts w:ascii="Garamond" w:hAnsi="Garamond" w:cs="Times New Roman"/>
        </w:rPr>
        <w:t>rea, the Maryland Department of Labor, Licensing and Regulatio</w:t>
      </w:r>
      <w:r w:rsidR="00BB5F3C" w:rsidRPr="004A0C12">
        <w:rPr>
          <w:rFonts w:ascii="Garamond" w:hAnsi="Garamond" w:cs="Times New Roman"/>
        </w:rPr>
        <w:t>n will conduct a review of the Local A</w:t>
      </w:r>
      <w:r w:rsidRPr="004A0C12">
        <w:rPr>
          <w:rFonts w:ascii="Garamond" w:hAnsi="Garamond" w:cs="Times New Roman"/>
        </w:rPr>
        <w:t>rea’s performance and fiscal integrity to ensure that it both performed successfully and sustained fiscal integrity. Upon conclusion of the same, the Secretary of the Department of Labor, Licensing and Regulation will rec</w:t>
      </w:r>
      <w:r w:rsidR="00BB5F3C" w:rsidRPr="004A0C12">
        <w:rPr>
          <w:rFonts w:ascii="Garamond" w:hAnsi="Garamond" w:cs="Times New Roman"/>
        </w:rPr>
        <w:t>ommend to the Governor whether Local A</w:t>
      </w:r>
      <w:r w:rsidRPr="004A0C12">
        <w:rPr>
          <w:rFonts w:ascii="Garamond" w:hAnsi="Garamond" w:cs="Times New Roman"/>
        </w:rPr>
        <w:t xml:space="preserve">rea should be re-designated. </w:t>
      </w:r>
    </w:p>
    <w:p w14:paraId="4DA46AF5"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lastRenderedPageBreak/>
        <w:t>By December 2017, Maryland is dedicated to issuing a Policy from the Governor’s Workforce Development Board clearly setting forth the criteria for how a Local Area will be determined as performing successfully and sustaining fiscal integrity. This will ensure that the State will have adequate time to receive guidance from USDOL regarding these important measures.</w:t>
      </w:r>
    </w:p>
    <w:p w14:paraId="72044254" w14:textId="340D4385" w:rsidR="00AB5AEF" w:rsidRPr="00E64564" w:rsidRDefault="00AB5AEF" w:rsidP="00CF4628">
      <w:pPr>
        <w:pStyle w:val="Heading3"/>
        <w:rPr>
          <w:rFonts w:ascii="Garamond" w:hAnsi="Garamond"/>
          <w:sz w:val="24"/>
          <w:szCs w:val="24"/>
        </w:rPr>
      </w:pPr>
      <w:bookmarkStart w:id="115" w:name="_Toc447276159"/>
      <w:r w:rsidRPr="00E64564">
        <w:rPr>
          <w:rFonts w:ascii="Garamond" w:hAnsi="Garamond"/>
          <w:sz w:val="24"/>
          <w:szCs w:val="24"/>
        </w:rPr>
        <w:t>Appeal of Re-Designation</w:t>
      </w:r>
      <w:r w:rsidR="00C11764" w:rsidRPr="00E64564">
        <w:rPr>
          <w:rFonts w:ascii="Garamond" w:hAnsi="Garamond"/>
          <w:sz w:val="24"/>
          <w:szCs w:val="24"/>
        </w:rPr>
        <w:t xml:space="preserve"> of Local Area</w:t>
      </w:r>
      <w:r w:rsidR="00CA5C79" w:rsidRPr="00E64564">
        <w:rPr>
          <w:rFonts w:ascii="Garamond" w:hAnsi="Garamond"/>
          <w:sz w:val="24"/>
          <w:szCs w:val="24"/>
        </w:rPr>
        <w:t xml:space="preserve"> or Region</w:t>
      </w:r>
      <w:bookmarkEnd w:id="115"/>
      <w:r w:rsidR="00CA5C79" w:rsidRPr="00E64564">
        <w:rPr>
          <w:rFonts w:ascii="Garamond" w:hAnsi="Garamond"/>
          <w:sz w:val="24"/>
          <w:szCs w:val="24"/>
        </w:rPr>
        <w:t xml:space="preserve"> </w:t>
      </w:r>
    </w:p>
    <w:p w14:paraId="457D4CA9" w14:textId="4E6BBCA5" w:rsidR="00CA5C79"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 xml:space="preserve">In the event that a unit of general local government (including a combination of such units) </w:t>
      </w:r>
      <w:r w:rsidR="00CB70A6" w:rsidRPr="004A0C12">
        <w:rPr>
          <w:rFonts w:ascii="Garamond" w:hAnsi="Garamond" w:cs="Times New Roman"/>
        </w:rPr>
        <w:t>is not</w:t>
      </w:r>
      <w:r w:rsidRPr="004A0C12">
        <w:rPr>
          <w:rFonts w:ascii="Garamond" w:hAnsi="Garamond" w:cs="Times New Roman"/>
        </w:rPr>
        <w:t xml:space="preserve"> granted re-designation</w:t>
      </w:r>
      <w:r w:rsidR="00CA5C79" w:rsidRPr="004A0C12">
        <w:rPr>
          <w:rFonts w:ascii="Garamond" w:hAnsi="Garamond" w:cs="Times New Roman"/>
        </w:rPr>
        <w:t>, or an area is not re-design</w:t>
      </w:r>
      <w:r w:rsidR="00BB5F3C" w:rsidRPr="004A0C12">
        <w:rPr>
          <w:rFonts w:ascii="Garamond" w:hAnsi="Garamond" w:cs="Times New Roman"/>
        </w:rPr>
        <w:t>ated as a planning region, the Local A</w:t>
      </w:r>
      <w:r w:rsidR="00CA5C79" w:rsidRPr="004A0C12">
        <w:rPr>
          <w:rFonts w:ascii="Garamond" w:hAnsi="Garamond" w:cs="Times New Roman"/>
        </w:rPr>
        <w:t>rea or region</w:t>
      </w:r>
      <w:r w:rsidRPr="004A0C12">
        <w:rPr>
          <w:rFonts w:ascii="Garamond" w:hAnsi="Garamond" w:cs="Times New Roman"/>
        </w:rPr>
        <w:t xml:space="preserve"> may appeal the decision, pursuant to Section 106(a)(5) of WIOA to the Governor’s Workforce Investment Board. </w:t>
      </w:r>
      <w:r w:rsidR="00CA5C79" w:rsidRPr="004A0C12">
        <w:rPr>
          <w:rFonts w:ascii="Garamond" w:hAnsi="Garamond" w:cs="Times New Roman"/>
        </w:rPr>
        <w:t xml:space="preserve">In the </w:t>
      </w:r>
      <w:r w:rsidR="00BB5F3C" w:rsidRPr="004A0C12">
        <w:rPr>
          <w:rFonts w:ascii="Garamond" w:hAnsi="Garamond" w:cs="Times New Roman"/>
        </w:rPr>
        <w:t>decision not to re-designate a Local A</w:t>
      </w:r>
      <w:r w:rsidR="00CA5C79" w:rsidRPr="004A0C12">
        <w:rPr>
          <w:rFonts w:ascii="Garamond" w:hAnsi="Garamond" w:cs="Times New Roman"/>
        </w:rPr>
        <w:t>rea or region, the Governor shall temporarily designate the successor for t</w:t>
      </w:r>
      <w:r w:rsidR="00BB5F3C" w:rsidRPr="004A0C12">
        <w:rPr>
          <w:rFonts w:ascii="Garamond" w:hAnsi="Garamond" w:cs="Times New Roman"/>
        </w:rPr>
        <w:t>he previously designated Local A</w:t>
      </w:r>
      <w:r w:rsidR="00CA5C79" w:rsidRPr="004A0C12">
        <w:rPr>
          <w:rFonts w:ascii="Garamond" w:hAnsi="Garamond" w:cs="Times New Roman"/>
        </w:rPr>
        <w:t>rea or region. Should the previously designated area or region wish to appeal, s</w:t>
      </w:r>
      <w:r w:rsidRPr="004A0C12">
        <w:rPr>
          <w:rFonts w:ascii="Garamond" w:hAnsi="Garamond" w:cs="Times New Roman"/>
        </w:rPr>
        <w:t xml:space="preserve">uch an appeal must be made in writing within 30 days of the Governor’s </w:t>
      </w:r>
      <w:r w:rsidR="00CA5C79" w:rsidRPr="004A0C12">
        <w:rPr>
          <w:rFonts w:ascii="Garamond" w:hAnsi="Garamond" w:cs="Times New Roman"/>
        </w:rPr>
        <w:t xml:space="preserve">decision not to re-designate either the </w:t>
      </w:r>
      <w:r w:rsidR="00BB5F3C" w:rsidRPr="004A0C12">
        <w:rPr>
          <w:rFonts w:ascii="Garamond" w:hAnsi="Garamond" w:cs="Times New Roman"/>
        </w:rPr>
        <w:t>Local A</w:t>
      </w:r>
      <w:r w:rsidRPr="004A0C12">
        <w:rPr>
          <w:rFonts w:ascii="Garamond" w:hAnsi="Garamond" w:cs="Times New Roman"/>
        </w:rPr>
        <w:t>rea</w:t>
      </w:r>
      <w:r w:rsidR="00CA5C79" w:rsidRPr="004A0C12">
        <w:rPr>
          <w:rFonts w:ascii="Garamond" w:hAnsi="Garamond" w:cs="Times New Roman"/>
        </w:rPr>
        <w:t xml:space="preserve"> or region</w:t>
      </w:r>
      <w:r w:rsidRPr="004A0C12">
        <w:rPr>
          <w:rFonts w:ascii="Garamond" w:hAnsi="Garamond" w:cs="Times New Roman"/>
        </w:rPr>
        <w:t>.</w:t>
      </w:r>
      <w:r w:rsidR="00CA5C79" w:rsidRPr="004A0C12">
        <w:rPr>
          <w:rFonts w:ascii="Garamond" w:hAnsi="Garamond" w:cs="Times New Roman"/>
        </w:rPr>
        <w:t xml:space="preserve"> </w:t>
      </w:r>
      <w:r w:rsidRPr="004A0C12">
        <w:rPr>
          <w:rFonts w:ascii="Garamond" w:hAnsi="Garamond" w:cs="Times New Roman"/>
        </w:rPr>
        <w:t xml:space="preserve"> </w:t>
      </w:r>
    </w:p>
    <w:p w14:paraId="672D33D2" w14:textId="77777777" w:rsidR="00CA5C79" w:rsidRPr="004A0C12" w:rsidRDefault="00CA5C79" w:rsidP="00EA6922">
      <w:pPr>
        <w:spacing w:line="240" w:lineRule="auto"/>
        <w:contextualSpacing/>
        <w:jc w:val="both"/>
        <w:rPr>
          <w:rFonts w:ascii="Garamond" w:hAnsi="Garamond" w:cs="Times New Roman"/>
        </w:rPr>
      </w:pPr>
    </w:p>
    <w:p w14:paraId="28718435" w14:textId="17182B4E"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 xml:space="preserve">If the appeal does not </w:t>
      </w:r>
      <w:r w:rsidR="00BB5F3C" w:rsidRPr="004A0C12">
        <w:rPr>
          <w:rFonts w:ascii="Garamond" w:hAnsi="Garamond" w:cs="Times New Roman"/>
        </w:rPr>
        <w:t>result in a designation of the Local A</w:t>
      </w:r>
      <w:r w:rsidRPr="004A0C12">
        <w:rPr>
          <w:rFonts w:ascii="Garamond" w:hAnsi="Garamond" w:cs="Times New Roman"/>
        </w:rPr>
        <w:t>re</w:t>
      </w:r>
      <w:r w:rsidR="00CA5C79" w:rsidRPr="004A0C12">
        <w:rPr>
          <w:rFonts w:ascii="Garamond" w:hAnsi="Garamond" w:cs="Times New Roman"/>
        </w:rPr>
        <w:t>a or a region</w:t>
      </w:r>
      <w:r w:rsidR="009B48B2" w:rsidRPr="004A0C12">
        <w:rPr>
          <w:rFonts w:ascii="Garamond" w:hAnsi="Garamond" w:cs="Times New Roman"/>
        </w:rPr>
        <w:t>, the United States</w:t>
      </w:r>
      <w:r w:rsidRPr="004A0C12">
        <w:rPr>
          <w:rFonts w:ascii="Garamond" w:hAnsi="Garamond" w:cs="Times New Roman"/>
        </w:rPr>
        <w:t xml:space="preserve"> Secretary of Labor, after receiving a request for review from the unit and on determining that the unit was not accorded procedural rights as specified under Section 102(b</w:t>
      </w:r>
      <w:proofErr w:type="gramStart"/>
      <w:r w:rsidRPr="004A0C12">
        <w:rPr>
          <w:rFonts w:ascii="Garamond" w:hAnsi="Garamond" w:cs="Times New Roman"/>
        </w:rPr>
        <w:t>)(</w:t>
      </w:r>
      <w:proofErr w:type="gramEnd"/>
      <w:r w:rsidRPr="004A0C12">
        <w:rPr>
          <w:rFonts w:ascii="Garamond" w:hAnsi="Garamond" w:cs="Times New Roman"/>
        </w:rPr>
        <w:t>2)(D)(i)(III) of WIOA, or that the area meets the requirements as set forth above, may requi</w:t>
      </w:r>
      <w:r w:rsidR="00BB5F3C" w:rsidRPr="004A0C12">
        <w:rPr>
          <w:rFonts w:ascii="Garamond" w:hAnsi="Garamond" w:cs="Times New Roman"/>
        </w:rPr>
        <w:t>re the area be designated as a Local A</w:t>
      </w:r>
      <w:r w:rsidRPr="004A0C12">
        <w:rPr>
          <w:rFonts w:ascii="Garamond" w:hAnsi="Garamond" w:cs="Times New Roman"/>
        </w:rPr>
        <w:t>rea</w:t>
      </w:r>
      <w:r w:rsidR="00CA5C79" w:rsidRPr="004A0C12">
        <w:rPr>
          <w:rFonts w:ascii="Garamond" w:hAnsi="Garamond" w:cs="Times New Roman"/>
        </w:rPr>
        <w:t xml:space="preserve"> or region</w:t>
      </w:r>
      <w:r w:rsidRPr="004A0C12">
        <w:rPr>
          <w:rFonts w:ascii="Garamond" w:hAnsi="Garamond" w:cs="Times New Roman"/>
        </w:rPr>
        <w:t xml:space="preserve">. </w:t>
      </w:r>
    </w:p>
    <w:p w14:paraId="488E1B9F" w14:textId="6CAD06C2" w:rsidR="00E54CD8" w:rsidRPr="004A0C12" w:rsidRDefault="00E54CD8" w:rsidP="00AD2026">
      <w:pPr>
        <w:pStyle w:val="NormalWeb"/>
        <w:spacing w:before="0" w:beforeAutospacing="0" w:afterAutospacing="0"/>
        <w:rPr>
          <w:rFonts w:ascii="Garamond" w:hAnsi="Garamond"/>
          <w:color w:val="000000"/>
          <w:sz w:val="22"/>
          <w:szCs w:val="22"/>
        </w:rPr>
      </w:pPr>
      <w:r w:rsidRPr="004A0C12">
        <w:rPr>
          <w:rFonts w:ascii="Garamond" w:hAnsi="Garamond"/>
          <w:color w:val="000000"/>
          <w:sz w:val="22"/>
          <w:szCs w:val="22"/>
        </w:rPr>
        <w:t>The appeal process upon which a Local Area can appeal a designation will be set forth in the Policy from the Governor’s Workforce Development Board on the criteria for how a Local Area will be determined as performing successfully and sustaining fiscal integrity. Again, Maryland is dedicated to developing and issuing that report no later than By December 2017. This will ensure that the State will have adequate time to receive guidance from USDOL regarding these important measures.</w:t>
      </w:r>
    </w:p>
    <w:p w14:paraId="6A49B82E"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On September 14, 2016, the Governor’s Workforce Development Board approved Policy Issuance 2016-09, entitled WIOA Memorandum of Understanding &amp; Resource Sharing Agreements. The Policy outlines the requirements of a WIOA compliant MOU/RSA, and further outlines the process in which disputes regarding funding are resolved. For purposes of an appeal of a determination regarding the state formula of infrastructure funding, the impasse process outlined in the Policy should be used to resolve the appeal. The impasse process is as follows:</w:t>
      </w:r>
    </w:p>
    <w:p w14:paraId="1302CA3B"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s="Arial"/>
          <w:b/>
          <w:bCs/>
          <w:color w:val="000000"/>
          <w:sz w:val="22"/>
          <w:szCs w:val="22"/>
        </w:rPr>
        <w:t>Impasse Step 1: Governor’s Workforce Development Board Proposes Resolution</w:t>
      </w:r>
    </w:p>
    <w:p w14:paraId="6D14FDFE"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The GWDB Executive Director is responsible for notifying the GWDB Chair that an impasse has been declared. At this point, the GWDB Executive Director and the DLLR-DWDAL Assistant Secretary must provide the GWDB Chair with relevant materials for review, including but not limited to:</w:t>
      </w:r>
    </w:p>
    <w:p w14:paraId="5960DAD4"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1. The completed Dispute Resolution Form; and,</w:t>
      </w:r>
    </w:p>
    <w:p w14:paraId="73B7E3E2"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2. DLLR-DWDAL Assistant Secretary’s proposed resolution.</w:t>
      </w:r>
    </w:p>
    <w:p w14:paraId="70AE5261"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In turn, the GWDB Chair is responsible for selecting three (3) GWDB members to serve as members of an Impasse Review Team. The Impasse Review Team must investigate the dispute to obtain additional information or to clarify the facts presented.</w:t>
      </w:r>
    </w:p>
    <w:p w14:paraId="6A9B480D"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Within fourteen (14) business days of the declaration of impasse, the Impasse Review Team must meet to discuss the dispute with all appropriate State and local Partners.</w:t>
      </w:r>
    </w:p>
    <w:p w14:paraId="6227FB74"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After meeting, within seven (7) business days, the Impasse Review Team must provide a written response and dated summary of the proposed resolution to all appropriate Parties. The Local Board Chair (or designee) then must contact the petitioner, the appropriate State and local Partners (when a local Partner is not the petitioner) and the Local Board (when the Board is not the petitioner) to verify that all appropriate Parties are in agreement with the proposed resolution. The State will consider the dispute to be settled when all Partners are in agreement.</w:t>
      </w:r>
    </w:p>
    <w:p w14:paraId="32E67E16"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If the dispute is not resolved within ten (10) business days of receipt of the GWDB Impasse Review Team’s written response, then Step 2 of the impasse procedure must be followed.</w:t>
      </w:r>
    </w:p>
    <w:p w14:paraId="4F7FEFE0"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s="Arial"/>
          <w:b/>
          <w:bCs/>
          <w:color w:val="000000"/>
          <w:sz w:val="22"/>
          <w:szCs w:val="22"/>
        </w:rPr>
        <w:t>Impasse Step 2: Governor Resolves Dispute</w:t>
      </w:r>
    </w:p>
    <w:p w14:paraId="7A225510"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After an impasse has gone through Step 1 and remains unresolved, then it is the responsibility of the GWDB Chair to inform the Governor of the impasse. The Chair must provide the Governor with relevant materials for review, including but not limited to:</w:t>
      </w:r>
    </w:p>
    <w:p w14:paraId="12264E36"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1. The completed Dispute Resolution Form;</w:t>
      </w:r>
    </w:p>
    <w:p w14:paraId="629329C8"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lastRenderedPageBreak/>
        <w:t>2. DLLR-DWDAL Assistant Secretary’s proposed resolution; and,</w:t>
      </w:r>
    </w:p>
    <w:p w14:paraId="42B6D864"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3. The GWDB Impasse Review Team’s proposed resolution.</w:t>
      </w:r>
    </w:p>
    <w:p w14:paraId="7B983C08"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Upon review, the Governor will determine how the impasse shall be resolved. The Local Board Chair will ensure that all Partners are aware of the Governor’s decision. In accordance with WIOA, the impasse decision made by the Governor shall be applicable to the Local Area for that program year and for each subsequent program year for which Partners fail to reach such agreement.</w:t>
      </w:r>
    </w:p>
    <w:p w14:paraId="1A43F898" w14:textId="77777777" w:rsidR="00E54CD8" w:rsidRPr="004A0C12" w:rsidRDefault="00E54CD8" w:rsidP="00E54CD8">
      <w:pPr>
        <w:pStyle w:val="NormalWeb"/>
        <w:spacing w:before="0" w:beforeAutospacing="0" w:afterAutospacing="0"/>
        <w:rPr>
          <w:rFonts w:ascii="Garamond" w:hAnsi="Garamond"/>
          <w:sz w:val="22"/>
          <w:szCs w:val="22"/>
        </w:rPr>
      </w:pPr>
      <w:r w:rsidRPr="004A0C12">
        <w:rPr>
          <w:rFonts w:ascii="Garamond" w:hAnsi="Garamond"/>
          <w:color w:val="000000"/>
          <w:sz w:val="22"/>
          <w:szCs w:val="22"/>
        </w:rPr>
        <w:t>WIOA Final Rules specify that if the State cannot assist the Local Workforce Board in resolving the impasse, the Governor or the Governor’s Workforce Development Board must report the failure to the U.S. Secretary of Labor and to the head of any other Federal agency with responsibility for oversight of a partner’s program.</w:t>
      </w:r>
    </w:p>
    <w:p w14:paraId="010998ED" w14:textId="4DDA751D" w:rsidR="006F2D3B" w:rsidRPr="00E64564" w:rsidRDefault="006F2D3B" w:rsidP="006F2D3B">
      <w:pPr>
        <w:pStyle w:val="Heading3"/>
        <w:rPr>
          <w:rFonts w:ascii="Garamond" w:hAnsi="Garamond"/>
          <w:sz w:val="24"/>
          <w:szCs w:val="24"/>
        </w:rPr>
      </w:pPr>
      <w:bookmarkStart w:id="116" w:name="_Toc447276160"/>
      <w:r w:rsidRPr="00E64564">
        <w:rPr>
          <w:rFonts w:ascii="Garamond" w:hAnsi="Garamond"/>
          <w:sz w:val="24"/>
          <w:szCs w:val="24"/>
        </w:rPr>
        <w:t>Appeal of Infrastructure Funding Determinations</w:t>
      </w:r>
      <w:bookmarkEnd w:id="116"/>
    </w:p>
    <w:p w14:paraId="1762C0F8" w14:textId="77777777" w:rsidR="006F2D3B" w:rsidRPr="004A0C12" w:rsidRDefault="006F2D3B" w:rsidP="006F2D3B">
      <w:pPr>
        <w:spacing w:line="240" w:lineRule="auto"/>
        <w:jc w:val="both"/>
        <w:rPr>
          <w:rFonts w:ascii="Garamond" w:hAnsi="Garamond" w:cs="Times New Roman"/>
        </w:rPr>
      </w:pPr>
      <w:r w:rsidRPr="004A0C12">
        <w:rPr>
          <w:rFonts w:ascii="Garamond" w:hAnsi="Garamond" w:cs="Times New Roman"/>
          <w:color w:val="222222"/>
          <w:shd w:val="clear" w:color="auto" w:fill="FFFFFF"/>
        </w:rPr>
        <w:t xml:space="preserve">Pursuant to guidance from USDOL, the specific requirements for the local funding agreements, which are related to how the shared and infrastructure costs of the one-stop service delivery system will be paid by the one-stop partners, need not be satisfied in the funding agreements for PY 2016.  States and local areas may continue to negotiate local funding agreements as they have been doing under WIA for purposes of PY 2016.  However, the local funding agreements must satisfy the requirements of section 121(h) of WIOA for purposes of funding the one-stop system in PY 2017. Therefore, Maryland, pursuant to the Act, will establish a process </w:t>
      </w:r>
      <w:r w:rsidRPr="004A0C12">
        <w:rPr>
          <w:rFonts w:ascii="Garamond" w:hAnsi="Garamond" w:cs="Times New Roman"/>
        </w:rPr>
        <w:t xml:space="preserve">for a one-stop partner administering a program to appeal a determination regarding the portion of funds to be provided through upcoming policy. </w:t>
      </w:r>
    </w:p>
    <w:p w14:paraId="25E9AA1D" w14:textId="77777777" w:rsidR="00AB5AEF" w:rsidRPr="00E64564" w:rsidRDefault="00AB5AEF" w:rsidP="00CF4628">
      <w:pPr>
        <w:pStyle w:val="Heading2"/>
        <w:rPr>
          <w:rFonts w:ascii="Garamond" w:hAnsi="Garamond"/>
          <w:sz w:val="24"/>
          <w:szCs w:val="24"/>
        </w:rPr>
      </w:pPr>
      <w:bookmarkStart w:id="117" w:name="_Toc447276161"/>
      <w:r w:rsidRPr="00E64564">
        <w:rPr>
          <w:rFonts w:ascii="Garamond" w:hAnsi="Garamond"/>
          <w:sz w:val="24"/>
          <w:szCs w:val="24"/>
        </w:rPr>
        <w:t>Statewide Policy Activities</w:t>
      </w:r>
      <w:bookmarkEnd w:id="117"/>
      <w:r w:rsidRPr="00E64564">
        <w:rPr>
          <w:rFonts w:ascii="Garamond" w:hAnsi="Garamond"/>
          <w:sz w:val="24"/>
          <w:szCs w:val="24"/>
        </w:rPr>
        <w:t xml:space="preserve"> </w:t>
      </w:r>
    </w:p>
    <w:p w14:paraId="102FF19B" w14:textId="14806405" w:rsidR="00AB5AEF" w:rsidRPr="004A0C12" w:rsidRDefault="00AB5AEF" w:rsidP="00EA6922">
      <w:pPr>
        <w:pStyle w:val="PlainText1"/>
        <w:jc w:val="both"/>
        <w:rPr>
          <w:rFonts w:ascii="Garamond" w:hAnsi="Garamond"/>
          <w:sz w:val="22"/>
          <w:szCs w:val="22"/>
        </w:rPr>
      </w:pPr>
      <w:r w:rsidRPr="004A0C12">
        <w:rPr>
          <w:rFonts w:ascii="Garamond" w:hAnsi="Garamond"/>
          <w:sz w:val="22"/>
          <w:szCs w:val="22"/>
        </w:rPr>
        <w:t>Maryland has a robust policy plan in place to guide the state workforce system. Pages</w:t>
      </w:r>
      <w:r w:rsidR="009009EC" w:rsidRPr="004A0C12">
        <w:rPr>
          <w:rFonts w:ascii="Garamond" w:hAnsi="Garamond"/>
          <w:sz w:val="22"/>
          <w:szCs w:val="22"/>
        </w:rPr>
        <w:t xml:space="preserve"> 62-67 </w:t>
      </w:r>
      <w:r w:rsidRPr="004A0C12">
        <w:rPr>
          <w:rFonts w:ascii="Garamond" w:hAnsi="Garamond"/>
          <w:sz w:val="22"/>
          <w:szCs w:val="22"/>
        </w:rPr>
        <w:t xml:space="preserve">provide details on Maryland’s WIOA policy activities. </w:t>
      </w:r>
    </w:p>
    <w:p w14:paraId="1A547D56" w14:textId="77777777" w:rsidR="00AB5AEF" w:rsidRPr="00E64564" w:rsidRDefault="00AB5AEF" w:rsidP="00CF4628">
      <w:pPr>
        <w:pStyle w:val="Heading2"/>
        <w:rPr>
          <w:rFonts w:ascii="Garamond" w:hAnsi="Garamond"/>
          <w:sz w:val="24"/>
          <w:szCs w:val="24"/>
        </w:rPr>
      </w:pPr>
      <w:bookmarkStart w:id="118" w:name="_Toc447276162"/>
      <w:r w:rsidRPr="00E64564">
        <w:rPr>
          <w:rFonts w:ascii="Garamond" w:hAnsi="Garamond"/>
          <w:sz w:val="24"/>
          <w:szCs w:val="24"/>
        </w:rPr>
        <w:t>Governor Hogan’s WIOA Set Aside Funding</w:t>
      </w:r>
      <w:bookmarkEnd w:id="118"/>
    </w:p>
    <w:p w14:paraId="3658FE4C" w14:textId="77777777" w:rsidR="00AB5AEF" w:rsidRPr="004A0C12" w:rsidRDefault="00AB5AEF" w:rsidP="00AB5AEF">
      <w:pPr>
        <w:pStyle w:val="PlainText1"/>
        <w:jc w:val="both"/>
        <w:rPr>
          <w:rFonts w:ascii="Garamond" w:hAnsi="Garamond"/>
          <w:sz w:val="22"/>
          <w:szCs w:val="22"/>
        </w:rPr>
      </w:pPr>
      <w:r w:rsidRPr="004A0C12">
        <w:rPr>
          <w:rFonts w:ascii="Garamond" w:hAnsi="Garamond"/>
          <w:sz w:val="22"/>
          <w:szCs w:val="22"/>
        </w:rPr>
        <w:t xml:space="preserve">As required in Section 134 of WIOA, DWDAL has set aside funding for both required (section 134.2) and allowable (section 134.3) Statewide activities. The final determination of the use of available funding for allowable activities is made by the Governor or his designee. DLLR is committed to providing funding opportunities for workforce delivery systems that are innovative and industry-driven. DLLR is particularly interested in providing funding to workforce training opportunities in the industries identified in Governor Hogan’s strategic plan. Additionally, in an effort to further align workforce development and apprenticeship opportunities, DLLR is committed to providing funding for apprenticeship opportunities in non-traditional apprenticeship fields.    </w:t>
      </w:r>
    </w:p>
    <w:p w14:paraId="0F2069FA" w14:textId="77777777" w:rsidR="00AB5AEF" w:rsidRPr="00E64564" w:rsidRDefault="00AB5AEF" w:rsidP="00CF4628">
      <w:pPr>
        <w:pStyle w:val="Heading2"/>
        <w:rPr>
          <w:rFonts w:ascii="Garamond" w:hAnsi="Garamond"/>
          <w:sz w:val="24"/>
          <w:szCs w:val="24"/>
        </w:rPr>
      </w:pPr>
      <w:bookmarkStart w:id="119" w:name="_Toc447276163"/>
      <w:r w:rsidRPr="00E64564">
        <w:rPr>
          <w:rFonts w:ascii="Garamond" w:hAnsi="Garamond"/>
          <w:sz w:val="24"/>
          <w:szCs w:val="24"/>
        </w:rPr>
        <w:t>Rapid Response &amp; Layoff Aversion in Maryland</w:t>
      </w:r>
      <w:bookmarkEnd w:id="119"/>
    </w:p>
    <w:p w14:paraId="698E506B" w14:textId="6AC599C4" w:rsidR="00AB5AEF" w:rsidRPr="004A0C12" w:rsidRDefault="00AB5AEF" w:rsidP="00AB5AEF">
      <w:pPr>
        <w:pStyle w:val="PlainText1"/>
        <w:jc w:val="both"/>
        <w:rPr>
          <w:rFonts w:ascii="Garamond" w:hAnsi="Garamond"/>
          <w:sz w:val="22"/>
          <w:szCs w:val="22"/>
        </w:rPr>
      </w:pPr>
      <w:r w:rsidRPr="004A0C12">
        <w:rPr>
          <w:rFonts w:ascii="Garamond" w:hAnsi="Garamond"/>
          <w:sz w:val="22"/>
          <w:szCs w:val="22"/>
        </w:rPr>
        <w:t>In Maryland, Rapid Response is a collaborative effort that involves locally defined part</w:t>
      </w:r>
      <w:r w:rsidR="009B48B2" w:rsidRPr="004A0C12">
        <w:rPr>
          <w:rFonts w:ascii="Garamond" w:hAnsi="Garamond"/>
          <w:sz w:val="22"/>
          <w:szCs w:val="22"/>
        </w:rPr>
        <w:t xml:space="preserve">nerships with staff from DLLR </w:t>
      </w:r>
      <w:r w:rsidRPr="004A0C12">
        <w:rPr>
          <w:rFonts w:ascii="Garamond" w:hAnsi="Garamond"/>
          <w:sz w:val="22"/>
          <w:szCs w:val="22"/>
        </w:rPr>
        <w:t>DWDAL</w:t>
      </w:r>
      <w:r w:rsidR="009B48B2" w:rsidRPr="004A0C12">
        <w:rPr>
          <w:rFonts w:ascii="Garamond" w:hAnsi="Garamond"/>
          <w:sz w:val="22"/>
          <w:szCs w:val="22"/>
        </w:rPr>
        <w:t>’s</w:t>
      </w:r>
      <w:r w:rsidRPr="004A0C12">
        <w:rPr>
          <w:rFonts w:ascii="Garamond" w:hAnsi="Garamond"/>
          <w:sz w:val="22"/>
          <w:szCs w:val="22"/>
        </w:rPr>
        <w:t xml:space="preserve"> Dislocation Serv</w:t>
      </w:r>
      <w:r w:rsidR="009B48B2" w:rsidRPr="004A0C12">
        <w:rPr>
          <w:rFonts w:ascii="Garamond" w:hAnsi="Garamond"/>
          <w:sz w:val="22"/>
          <w:szCs w:val="22"/>
        </w:rPr>
        <w:t>ices Unit</w:t>
      </w:r>
      <w:r w:rsidRPr="004A0C12">
        <w:rPr>
          <w:rFonts w:ascii="Garamond" w:hAnsi="Garamond"/>
          <w:sz w:val="22"/>
          <w:szCs w:val="22"/>
        </w:rPr>
        <w:t xml:space="preserve">, the local workforce areas, the State’s Business Services Team, and the DLLR Division of Unemployment Insurance. Rapid Response teams work with both Worker Adjustment and Retraining Notification (WARN) and non-WARN businesses and employees to quickly maximize public and private resources that will minimize the disruptions on companies, affected workers, and communities associated with job loss. Generally, Rapid Response Teams provide customized services onsite at an affected company, accommodate work schedules, and assist companies and workers through the </w:t>
      </w:r>
      <w:r w:rsidR="00203CEE" w:rsidRPr="004A0C12">
        <w:rPr>
          <w:rFonts w:ascii="Garamond" w:hAnsi="Garamond"/>
          <w:sz w:val="22"/>
          <w:szCs w:val="22"/>
        </w:rPr>
        <w:t>challenging</w:t>
      </w:r>
      <w:r w:rsidRPr="004A0C12">
        <w:rPr>
          <w:rFonts w:ascii="Garamond" w:hAnsi="Garamond"/>
          <w:sz w:val="22"/>
          <w:szCs w:val="22"/>
        </w:rPr>
        <w:t xml:space="preserve"> transitions associated with job loss.</w:t>
      </w:r>
    </w:p>
    <w:p w14:paraId="13B00658" w14:textId="77777777" w:rsidR="00AB5AEF" w:rsidRPr="004A0C12" w:rsidRDefault="00AB5AEF" w:rsidP="00AB5AEF">
      <w:pPr>
        <w:pStyle w:val="PlainText1"/>
        <w:jc w:val="both"/>
        <w:rPr>
          <w:rFonts w:ascii="Garamond" w:hAnsi="Garamond"/>
          <w:sz w:val="22"/>
          <w:szCs w:val="22"/>
        </w:rPr>
      </w:pPr>
    </w:p>
    <w:p w14:paraId="62F01FE7" w14:textId="599C382D" w:rsidR="00CB70A6" w:rsidRPr="004A0C12" w:rsidRDefault="00AB5AEF" w:rsidP="00EA6922">
      <w:pPr>
        <w:spacing w:line="240" w:lineRule="auto"/>
        <w:contextualSpacing/>
        <w:jc w:val="both"/>
        <w:rPr>
          <w:rFonts w:ascii="Garamond" w:hAnsi="Garamond" w:cs="Times New Roman"/>
          <w:color w:val="191919"/>
        </w:rPr>
      </w:pPr>
      <w:r w:rsidRPr="004A0C12">
        <w:rPr>
          <w:rFonts w:ascii="Garamond" w:hAnsi="Garamond" w:cs="Times New Roman"/>
          <w:color w:val="191919"/>
        </w:rPr>
        <w:t>All Rapid Responses— irrespective of the size of the dislocation event and whether it is a WARN or non-WARN situation—involve: (1) an initial business consultation, which is employer</w:t>
      </w:r>
      <w:r w:rsidR="009B48B2" w:rsidRPr="004A0C12">
        <w:rPr>
          <w:rFonts w:ascii="Garamond" w:hAnsi="Garamond" w:cs="Times New Roman"/>
          <w:color w:val="191919"/>
        </w:rPr>
        <w:t>-</w:t>
      </w:r>
      <w:r w:rsidRPr="004A0C12">
        <w:rPr>
          <w:rFonts w:ascii="Garamond" w:hAnsi="Garamond" w:cs="Times New Roman"/>
          <w:color w:val="191919"/>
        </w:rPr>
        <w:t>focused, and (2) an information session, which is employee focused. DLLR works collaboratively with the local wor</w:t>
      </w:r>
      <w:r w:rsidR="00CB70A6" w:rsidRPr="004A0C12">
        <w:rPr>
          <w:rFonts w:ascii="Garamond" w:hAnsi="Garamond" w:cs="Times New Roman"/>
          <w:color w:val="191919"/>
        </w:rPr>
        <w:t>kforce areas, the Division of Unemployment Insurance</w:t>
      </w:r>
      <w:r w:rsidRPr="004A0C12">
        <w:rPr>
          <w:rFonts w:ascii="Garamond" w:hAnsi="Garamond" w:cs="Times New Roman"/>
          <w:color w:val="191919"/>
        </w:rPr>
        <w:t>, and other relevant stakeholders to ensure effective, customer-</w:t>
      </w:r>
      <w:r w:rsidR="009B48B2" w:rsidRPr="004A0C12">
        <w:rPr>
          <w:rFonts w:ascii="Garamond" w:hAnsi="Garamond" w:cs="Times New Roman"/>
          <w:color w:val="191919"/>
        </w:rPr>
        <w:t>centric</w:t>
      </w:r>
      <w:r w:rsidRPr="004A0C12">
        <w:rPr>
          <w:rFonts w:ascii="Garamond" w:hAnsi="Garamond" w:cs="Times New Roman"/>
          <w:color w:val="191919"/>
        </w:rPr>
        <w:t xml:space="preserve"> Rapid Response provision. </w:t>
      </w:r>
    </w:p>
    <w:p w14:paraId="3104DB21" w14:textId="77777777" w:rsidR="00AB5AEF" w:rsidRPr="00E64564" w:rsidRDefault="00AB5AEF" w:rsidP="00CF4628">
      <w:pPr>
        <w:pStyle w:val="Heading3"/>
        <w:rPr>
          <w:rFonts w:ascii="Garamond" w:hAnsi="Garamond"/>
          <w:sz w:val="24"/>
          <w:szCs w:val="24"/>
        </w:rPr>
      </w:pPr>
      <w:bookmarkStart w:id="120" w:name="_Toc447276164"/>
      <w:r w:rsidRPr="00E64564">
        <w:rPr>
          <w:rFonts w:ascii="Garamond" w:hAnsi="Garamond"/>
          <w:sz w:val="24"/>
          <w:szCs w:val="24"/>
        </w:rPr>
        <w:t>WARN Protocols</w:t>
      </w:r>
      <w:bookmarkEnd w:id="120"/>
    </w:p>
    <w:p w14:paraId="22573E48" w14:textId="77777777" w:rsidR="00AB5AEF" w:rsidRPr="004A0C12" w:rsidRDefault="00AB5AEF" w:rsidP="00EA6922">
      <w:pPr>
        <w:spacing w:line="240" w:lineRule="auto"/>
        <w:contextualSpacing/>
        <w:jc w:val="both"/>
        <w:rPr>
          <w:rFonts w:ascii="Garamond" w:hAnsi="Garamond" w:cs="Times New Roman"/>
          <w:color w:val="191919"/>
        </w:rPr>
      </w:pPr>
      <w:r w:rsidRPr="004A0C12">
        <w:rPr>
          <w:rFonts w:ascii="Garamond" w:hAnsi="Garamond" w:cs="Times New Roman"/>
          <w:color w:val="191919"/>
        </w:rPr>
        <w:t xml:space="preserve">To ensure quality coordination, DLLR DWDAL’s Rapid Response Coordinator (or designee) is responsible for sharing WARN information with relevant staff from DWDAL, the affected local workforce </w:t>
      </w:r>
      <w:r w:rsidR="00CB70A6" w:rsidRPr="004A0C12">
        <w:rPr>
          <w:rFonts w:ascii="Garamond" w:hAnsi="Garamond" w:cs="Times New Roman"/>
          <w:color w:val="191919"/>
        </w:rPr>
        <w:t>area(s), the DLLR Division of Unemployment Insurance</w:t>
      </w:r>
      <w:r w:rsidRPr="004A0C12">
        <w:rPr>
          <w:rFonts w:ascii="Garamond" w:hAnsi="Garamond" w:cs="Times New Roman"/>
          <w:color w:val="191919"/>
        </w:rPr>
        <w:t xml:space="preserve">, other DLLR staff, and other relevant stakeholders in a timely manner. The local DSU field representative is then responsible for keeping the local workforce area well-informed of its anticipated actions, and for contacting the business in a </w:t>
      </w:r>
      <w:r w:rsidRPr="004A0C12">
        <w:rPr>
          <w:rFonts w:ascii="Garamond" w:hAnsi="Garamond" w:cs="Times New Roman"/>
          <w:color w:val="191919"/>
        </w:rPr>
        <w:lastRenderedPageBreak/>
        <w:t>timely manner to explain the importance of Rapid Response services and to determine the business’ level of interest. The local DSU field representative(s) also manages and coordinates the specific Rapid Response effort with relevant team members, including those from the affected local workforce area(s) to decide:</w:t>
      </w:r>
    </w:p>
    <w:p w14:paraId="503A76E4" w14:textId="77777777" w:rsidR="00EA6922" w:rsidRPr="004A0C12" w:rsidRDefault="00EA6922" w:rsidP="00EA6922">
      <w:pPr>
        <w:spacing w:line="240" w:lineRule="auto"/>
        <w:contextualSpacing/>
        <w:jc w:val="both"/>
        <w:rPr>
          <w:rFonts w:ascii="Garamond" w:hAnsi="Garamond" w:cs="Times New Roman"/>
          <w:color w:val="191919"/>
        </w:rPr>
      </w:pPr>
    </w:p>
    <w:p w14:paraId="07FD19F7" w14:textId="77777777" w:rsidR="00AB5AEF" w:rsidRPr="004A0C12" w:rsidRDefault="00AB5AEF" w:rsidP="00F733CF">
      <w:pPr>
        <w:numPr>
          <w:ilvl w:val="0"/>
          <w:numId w:val="100"/>
        </w:numPr>
        <w:tabs>
          <w:tab w:val="clear" w:pos="300"/>
          <w:tab w:val="num" w:pos="720"/>
        </w:tabs>
        <w:spacing w:after="0" w:line="240" w:lineRule="auto"/>
        <w:ind w:left="780" w:hanging="360"/>
        <w:contextualSpacing/>
        <w:jc w:val="both"/>
        <w:rPr>
          <w:rFonts w:ascii="Garamond" w:hAnsi="Garamond" w:cs="Times New Roman"/>
          <w:color w:val="191919"/>
        </w:rPr>
      </w:pPr>
      <w:r w:rsidRPr="004A0C12">
        <w:rPr>
          <w:rFonts w:ascii="Garamond" w:hAnsi="Garamond" w:cs="Times New Roman"/>
          <w:color w:val="191919"/>
        </w:rPr>
        <w:t xml:space="preserve">What approach should be taken for the initial business consultation?; and, </w:t>
      </w:r>
    </w:p>
    <w:p w14:paraId="13D9C8FD" w14:textId="77777777" w:rsidR="00AB5AEF" w:rsidRPr="004A0C12" w:rsidRDefault="00AB5AEF" w:rsidP="00F733CF">
      <w:pPr>
        <w:numPr>
          <w:ilvl w:val="0"/>
          <w:numId w:val="100"/>
        </w:numPr>
        <w:tabs>
          <w:tab w:val="clear" w:pos="300"/>
          <w:tab w:val="num" w:pos="720"/>
        </w:tabs>
        <w:spacing w:after="0" w:line="240" w:lineRule="auto"/>
        <w:ind w:left="780" w:hanging="360"/>
        <w:contextualSpacing/>
        <w:jc w:val="both"/>
        <w:rPr>
          <w:rFonts w:ascii="Garamond" w:hAnsi="Garamond" w:cs="Times New Roman"/>
          <w:color w:val="191919"/>
        </w:rPr>
      </w:pPr>
      <w:r w:rsidRPr="004A0C12">
        <w:rPr>
          <w:rFonts w:ascii="Garamond" w:hAnsi="Garamond" w:cs="Times New Roman"/>
          <w:color w:val="191919"/>
        </w:rPr>
        <w:t>Who specifically should participate in the initial business consultation from the local Rapid Response Team and in what capacity?</w:t>
      </w:r>
    </w:p>
    <w:p w14:paraId="2500447D" w14:textId="77777777" w:rsidR="00AB5AEF" w:rsidRPr="00E64564" w:rsidRDefault="00AB5AEF" w:rsidP="00CF4628">
      <w:pPr>
        <w:pStyle w:val="Heading3"/>
        <w:rPr>
          <w:rFonts w:ascii="Garamond" w:hAnsi="Garamond"/>
          <w:sz w:val="24"/>
          <w:szCs w:val="24"/>
        </w:rPr>
      </w:pPr>
      <w:bookmarkStart w:id="121" w:name="_Toc447276165"/>
      <w:r w:rsidRPr="00E64564">
        <w:rPr>
          <w:rFonts w:ascii="Garamond" w:hAnsi="Garamond"/>
          <w:sz w:val="24"/>
          <w:szCs w:val="24"/>
        </w:rPr>
        <w:t>Non-WARN Protocols</w:t>
      </w:r>
      <w:bookmarkEnd w:id="121"/>
    </w:p>
    <w:p w14:paraId="16503A31" w14:textId="1A7EB297" w:rsidR="00AB5AEF" w:rsidRPr="004A0C12" w:rsidRDefault="00AB5AEF" w:rsidP="00EA6922">
      <w:pPr>
        <w:spacing w:line="240" w:lineRule="auto"/>
        <w:contextualSpacing/>
        <w:jc w:val="both"/>
        <w:rPr>
          <w:rFonts w:ascii="Garamond" w:hAnsi="Garamond" w:cs="Times New Roman"/>
          <w:color w:val="191919"/>
        </w:rPr>
      </w:pPr>
      <w:r w:rsidRPr="004A0C12">
        <w:rPr>
          <w:rFonts w:ascii="Garamond" w:hAnsi="Garamond" w:cs="Times New Roman"/>
          <w:color w:val="191919"/>
        </w:rPr>
        <w:t>In the absence of a WARN, a business may contact any member of the Rapid Response team. For example</w:t>
      </w:r>
      <w:r w:rsidR="00BB5F3C" w:rsidRPr="004A0C12">
        <w:rPr>
          <w:rFonts w:ascii="Garamond" w:hAnsi="Garamond" w:cs="Times New Roman"/>
          <w:color w:val="191919"/>
        </w:rPr>
        <w:t>, the business may contact the Local A</w:t>
      </w:r>
      <w:r w:rsidRPr="004A0C12">
        <w:rPr>
          <w:rFonts w:ascii="Garamond" w:hAnsi="Garamond" w:cs="Times New Roman"/>
          <w:color w:val="191919"/>
        </w:rPr>
        <w:t>rea directly if it has an existing relationship or i</w:t>
      </w:r>
      <w:r w:rsidR="00CB70A6" w:rsidRPr="004A0C12">
        <w:rPr>
          <w:rFonts w:ascii="Garamond" w:hAnsi="Garamond" w:cs="Times New Roman"/>
          <w:color w:val="191919"/>
        </w:rPr>
        <w:t>t may contact the Division of Unemployment Insurance</w:t>
      </w:r>
      <w:r w:rsidRPr="004A0C12">
        <w:rPr>
          <w:rFonts w:ascii="Garamond" w:hAnsi="Garamond" w:cs="Times New Roman"/>
          <w:color w:val="191919"/>
        </w:rPr>
        <w:t xml:space="preserve"> to ask specific U</w:t>
      </w:r>
      <w:r w:rsidR="009B48B2" w:rsidRPr="004A0C12">
        <w:rPr>
          <w:rFonts w:ascii="Garamond" w:hAnsi="Garamond" w:cs="Times New Roman"/>
          <w:color w:val="191919"/>
        </w:rPr>
        <w:t xml:space="preserve">nemployment </w:t>
      </w:r>
      <w:r w:rsidRPr="004A0C12">
        <w:rPr>
          <w:rFonts w:ascii="Garamond" w:hAnsi="Garamond" w:cs="Times New Roman"/>
          <w:color w:val="191919"/>
        </w:rPr>
        <w:t>I</w:t>
      </w:r>
      <w:r w:rsidR="009B48B2" w:rsidRPr="004A0C12">
        <w:rPr>
          <w:rFonts w:ascii="Garamond" w:hAnsi="Garamond" w:cs="Times New Roman"/>
          <w:color w:val="191919"/>
        </w:rPr>
        <w:t>nsurance</w:t>
      </w:r>
      <w:r w:rsidRPr="004A0C12">
        <w:rPr>
          <w:rFonts w:ascii="Garamond" w:hAnsi="Garamond" w:cs="Times New Roman"/>
          <w:color w:val="191919"/>
        </w:rPr>
        <w:t xml:space="preserve"> questions. It is the responsibility of the individual who has been contacted to ensure coordination and information sharing between the Rapid Response team occurs timely. In the same way that DWDAL</w:t>
      </w:r>
      <w:r w:rsidR="00BB5F3C" w:rsidRPr="004A0C12">
        <w:rPr>
          <w:rFonts w:ascii="Garamond" w:hAnsi="Garamond" w:cs="Times New Roman"/>
          <w:color w:val="191919"/>
        </w:rPr>
        <w:t xml:space="preserve"> must coordinate with the L</w:t>
      </w:r>
      <w:r w:rsidR="009B48B2" w:rsidRPr="004A0C12">
        <w:rPr>
          <w:rFonts w:ascii="Garamond" w:hAnsi="Garamond" w:cs="Times New Roman"/>
          <w:color w:val="191919"/>
        </w:rPr>
        <w:t>ocal</w:t>
      </w:r>
      <w:r w:rsidR="00BB5F3C" w:rsidRPr="004A0C12">
        <w:rPr>
          <w:rFonts w:ascii="Garamond" w:hAnsi="Garamond" w:cs="Times New Roman"/>
          <w:color w:val="191919"/>
        </w:rPr>
        <w:t xml:space="preserve"> A</w:t>
      </w:r>
      <w:r w:rsidR="00CB70A6" w:rsidRPr="004A0C12">
        <w:rPr>
          <w:rFonts w:ascii="Garamond" w:hAnsi="Garamond" w:cs="Times New Roman"/>
          <w:color w:val="191919"/>
        </w:rPr>
        <w:t>rea(s), Division of Unemployment Insurance,</w:t>
      </w:r>
      <w:r w:rsidRPr="004A0C12">
        <w:rPr>
          <w:rFonts w:ascii="Garamond" w:hAnsi="Garamond" w:cs="Times New Roman"/>
          <w:color w:val="191919"/>
        </w:rPr>
        <w:t xml:space="preserve"> and other stakeholders in WARN situations, t</w:t>
      </w:r>
      <w:r w:rsidR="00BB5F3C" w:rsidRPr="004A0C12">
        <w:rPr>
          <w:rFonts w:ascii="Garamond" w:hAnsi="Garamond" w:cs="Times New Roman"/>
          <w:color w:val="191919"/>
        </w:rPr>
        <w:t>he L</w:t>
      </w:r>
      <w:r w:rsidRPr="004A0C12">
        <w:rPr>
          <w:rFonts w:ascii="Garamond" w:hAnsi="Garamond" w:cs="Times New Roman"/>
          <w:color w:val="191919"/>
        </w:rPr>
        <w:t xml:space="preserve">ocal </w:t>
      </w:r>
      <w:r w:rsidR="00BB5F3C" w:rsidRPr="004A0C12">
        <w:rPr>
          <w:rFonts w:ascii="Garamond" w:hAnsi="Garamond" w:cs="Times New Roman"/>
          <w:color w:val="191919"/>
        </w:rPr>
        <w:t>A</w:t>
      </w:r>
      <w:r w:rsidRPr="004A0C12">
        <w:rPr>
          <w:rFonts w:ascii="Garamond" w:hAnsi="Garamond" w:cs="Times New Roman"/>
          <w:color w:val="191919"/>
        </w:rPr>
        <w:t>rea(s) must coordinate with DWDAL and keep DWDAL well-informed of its anticipated actions in non-WARN situations,</w:t>
      </w:r>
      <w:r w:rsidRPr="004A0C12">
        <w:rPr>
          <w:rFonts w:ascii="Garamond" w:hAnsi="Garamond" w:cs="Times New Roman"/>
        </w:rPr>
        <w:t xml:space="preserve"> </w:t>
      </w:r>
      <w:r w:rsidRPr="004A0C12">
        <w:rPr>
          <w:rFonts w:ascii="Garamond" w:hAnsi="Garamond" w:cs="Times New Roman"/>
          <w:color w:val="191919"/>
        </w:rPr>
        <w:t>as it will be i</w:t>
      </w:r>
      <w:r w:rsidR="009B48B2" w:rsidRPr="004A0C12">
        <w:rPr>
          <w:rFonts w:ascii="Garamond" w:hAnsi="Garamond" w:cs="Times New Roman"/>
          <w:color w:val="191919"/>
        </w:rPr>
        <w:t>ncluded in reporting to the United States</w:t>
      </w:r>
      <w:r w:rsidRPr="004A0C12">
        <w:rPr>
          <w:rFonts w:ascii="Garamond" w:hAnsi="Garamond" w:cs="Times New Roman"/>
          <w:color w:val="191919"/>
        </w:rPr>
        <w:t xml:space="preserve"> Department of Labor. </w:t>
      </w:r>
    </w:p>
    <w:p w14:paraId="1ED527EB" w14:textId="77777777" w:rsidR="00AB5AEF" w:rsidRPr="00E64564" w:rsidRDefault="00AB5AEF" w:rsidP="00CF4628">
      <w:pPr>
        <w:pStyle w:val="Heading3"/>
        <w:rPr>
          <w:rFonts w:ascii="Garamond" w:hAnsi="Garamond"/>
          <w:sz w:val="24"/>
          <w:szCs w:val="24"/>
        </w:rPr>
      </w:pPr>
      <w:bookmarkStart w:id="122" w:name="_Toc447276166"/>
      <w:r w:rsidRPr="00E64564">
        <w:rPr>
          <w:rFonts w:ascii="Garamond" w:hAnsi="Garamond"/>
          <w:sz w:val="24"/>
          <w:szCs w:val="24"/>
        </w:rPr>
        <w:t>Initial Business Consultation (Employer Focused)</w:t>
      </w:r>
      <w:bookmarkEnd w:id="122"/>
    </w:p>
    <w:p w14:paraId="72692C19" w14:textId="2472B08C"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 xml:space="preserve">The Initial Business Consultation is an opportunity for members of the Rapid Response team to meet with the business to discuss employer needs and the benefits of moving forward with offering an employee-focused Rapid Response Information Session. Participants may include: the employer representative, local Rapid Response Coordinator, </w:t>
      </w:r>
      <w:r w:rsidR="009B48B2" w:rsidRPr="004A0C12">
        <w:rPr>
          <w:rFonts w:ascii="Garamond" w:hAnsi="Garamond"/>
        </w:rPr>
        <w:t>Dislocation Services Unit</w:t>
      </w:r>
      <w:r w:rsidRPr="004A0C12">
        <w:rPr>
          <w:rFonts w:ascii="Garamond" w:hAnsi="Garamond" w:cs="Times New Roman"/>
        </w:rPr>
        <w:t xml:space="preserve"> staff, State of local economic development staff, union representation, and/or private outplacement consultants hired by the employer.</w:t>
      </w:r>
    </w:p>
    <w:p w14:paraId="57BF19B8" w14:textId="77777777" w:rsidR="00EA6922" w:rsidRPr="004A0C12" w:rsidRDefault="00EA6922" w:rsidP="00EA6922">
      <w:pPr>
        <w:spacing w:line="240" w:lineRule="auto"/>
        <w:contextualSpacing/>
        <w:jc w:val="both"/>
        <w:rPr>
          <w:rFonts w:ascii="Garamond" w:hAnsi="Garamond" w:cs="Times New Roman"/>
        </w:rPr>
      </w:pPr>
    </w:p>
    <w:p w14:paraId="47CDB118" w14:textId="333DA3D2"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 xml:space="preserve">The primary goal of the consultation is to secure the employer’s commitment to offer an Information Session. Staff shall arrange for Initial Business Consultations on company time at the work site when appropriate. To gain employer </w:t>
      </w:r>
      <w:r w:rsidR="009B48B2" w:rsidRPr="004A0C12">
        <w:rPr>
          <w:rFonts w:ascii="Garamond" w:hAnsi="Garamond" w:cs="Times New Roman"/>
        </w:rPr>
        <w:t>buy-in</w:t>
      </w:r>
      <w:r w:rsidRPr="004A0C12">
        <w:rPr>
          <w:rFonts w:ascii="Garamond" w:hAnsi="Garamond" w:cs="Times New Roman"/>
        </w:rPr>
        <w:t>, the Rapid Response team shall describe the benefits of holding an Information Sessions, which include:</w:t>
      </w:r>
    </w:p>
    <w:p w14:paraId="594A8FEB" w14:textId="77777777" w:rsidR="00EA6922" w:rsidRPr="004A0C12" w:rsidRDefault="00EA6922" w:rsidP="00EA6922">
      <w:pPr>
        <w:spacing w:line="240" w:lineRule="auto"/>
        <w:contextualSpacing/>
        <w:jc w:val="both"/>
        <w:rPr>
          <w:rFonts w:ascii="Garamond" w:hAnsi="Garamond" w:cs="Times New Roman"/>
        </w:rPr>
      </w:pPr>
    </w:p>
    <w:p w14:paraId="390FC2DB" w14:textId="4719B489" w:rsidR="00AB5AEF" w:rsidRPr="004A0C12" w:rsidRDefault="00AB5AEF" w:rsidP="00F733CF">
      <w:pPr>
        <w:numPr>
          <w:ilvl w:val="0"/>
          <w:numId w:val="101"/>
        </w:numPr>
        <w:tabs>
          <w:tab w:val="clear" w:pos="360"/>
          <w:tab w:val="num" w:pos="720"/>
        </w:tabs>
        <w:spacing w:after="0" w:line="240" w:lineRule="auto"/>
        <w:ind w:left="720" w:hanging="360"/>
        <w:contextualSpacing/>
        <w:jc w:val="both"/>
        <w:rPr>
          <w:rFonts w:ascii="Garamond" w:hAnsi="Garamond" w:cs="Times New Roman"/>
        </w:rPr>
      </w:pPr>
      <w:r w:rsidRPr="004A0C12">
        <w:rPr>
          <w:rFonts w:ascii="Garamond" w:hAnsi="Garamond" w:cs="Times New Roman"/>
        </w:rPr>
        <w:t xml:space="preserve">Advising the </w:t>
      </w:r>
      <w:r w:rsidR="009B48B2" w:rsidRPr="004A0C12">
        <w:rPr>
          <w:rFonts w:ascii="Garamond" w:hAnsi="Garamond" w:cs="Times New Roman"/>
        </w:rPr>
        <w:t xml:space="preserve">affected </w:t>
      </w:r>
      <w:r w:rsidRPr="004A0C12">
        <w:rPr>
          <w:rFonts w:ascii="Garamond" w:hAnsi="Garamond" w:cs="Times New Roman"/>
        </w:rPr>
        <w:t>dislocated workers on the transition services that are available via the American J</w:t>
      </w:r>
      <w:r w:rsidR="001742D7" w:rsidRPr="004A0C12">
        <w:rPr>
          <w:rFonts w:ascii="Garamond" w:hAnsi="Garamond" w:cs="Times New Roman"/>
        </w:rPr>
        <w:t>ob Centers and workforce system</w:t>
      </w:r>
    </w:p>
    <w:p w14:paraId="2CB31CEF" w14:textId="4FEF11DF" w:rsidR="00AB5AEF" w:rsidRPr="004A0C12" w:rsidRDefault="00AB5AEF" w:rsidP="00F733CF">
      <w:pPr>
        <w:numPr>
          <w:ilvl w:val="0"/>
          <w:numId w:val="101"/>
        </w:numPr>
        <w:tabs>
          <w:tab w:val="clear" w:pos="360"/>
          <w:tab w:val="num" w:pos="720"/>
        </w:tabs>
        <w:spacing w:after="0" w:line="240" w:lineRule="auto"/>
        <w:ind w:left="720" w:hanging="360"/>
        <w:contextualSpacing/>
        <w:jc w:val="both"/>
        <w:rPr>
          <w:rFonts w:ascii="Garamond" w:hAnsi="Garamond" w:cs="Times New Roman"/>
        </w:rPr>
      </w:pPr>
      <w:r w:rsidRPr="004A0C12">
        <w:rPr>
          <w:rFonts w:ascii="Garamond" w:hAnsi="Garamond" w:cs="Times New Roman"/>
        </w:rPr>
        <w:t>E</w:t>
      </w:r>
      <w:r w:rsidR="001742D7" w:rsidRPr="004A0C12">
        <w:rPr>
          <w:rFonts w:ascii="Garamond" w:hAnsi="Garamond" w:cs="Times New Roman"/>
        </w:rPr>
        <w:t>xplaining the UI benefit system</w:t>
      </w:r>
    </w:p>
    <w:p w14:paraId="6E69BA56" w14:textId="49EB2EA7" w:rsidR="00CF4628" w:rsidRPr="004A0C12" w:rsidRDefault="00AB5AEF" w:rsidP="00F733CF">
      <w:pPr>
        <w:numPr>
          <w:ilvl w:val="0"/>
          <w:numId w:val="101"/>
        </w:numPr>
        <w:tabs>
          <w:tab w:val="clear" w:pos="360"/>
          <w:tab w:val="num" w:pos="720"/>
        </w:tabs>
        <w:spacing w:after="0" w:line="240" w:lineRule="auto"/>
        <w:ind w:left="720" w:hanging="360"/>
        <w:contextualSpacing/>
        <w:jc w:val="both"/>
        <w:rPr>
          <w:rFonts w:ascii="Garamond" w:hAnsi="Garamond" w:cs="Times New Roman"/>
        </w:rPr>
      </w:pPr>
      <w:r w:rsidRPr="004A0C12">
        <w:rPr>
          <w:rFonts w:ascii="Garamond" w:hAnsi="Garamond" w:cs="Times New Roman"/>
        </w:rPr>
        <w:t xml:space="preserve">Offering question and answer sessions to help reduce worker anxiety, and to minimize </w:t>
      </w:r>
      <w:r w:rsidR="001742D7" w:rsidRPr="004A0C12">
        <w:rPr>
          <w:rFonts w:ascii="Garamond" w:hAnsi="Garamond" w:cs="Times New Roman"/>
        </w:rPr>
        <w:t>negative impact on the business</w:t>
      </w:r>
    </w:p>
    <w:p w14:paraId="1C800FAD" w14:textId="77777777" w:rsidR="00EA6922" w:rsidRPr="004A0C12" w:rsidRDefault="00EA6922" w:rsidP="00EA6922">
      <w:pPr>
        <w:spacing w:after="0" w:line="240" w:lineRule="auto"/>
        <w:ind w:left="720"/>
        <w:contextualSpacing/>
        <w:jc w:val="both"/>
        <w:rPr>
          <w:rFonts w:ascii="Garamond" w:hAnsi="Garamond" w:cs="Times New Roman"/>
        </w:rPr>
      </w:pPr>
    </w:p>
    <w:p w14:paraId="691E7A50" w14:textId="605CC25B"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The Business Services Team shall be a part of the consultation whenever possible. Prior to</w:t>
      </w:r>
      <w:r w:rsidR="009B48B2" w:rsidRPr="004A0C12">
        <w:rPr>
          <w:rFonts w:ascii="Garamond" w:hAnsi="Garamond" w:cs="Times New Roman"/>
        </w:rPr>
        <w:t xml:space="preserve"> a Rapid Response event, the Business Services Team</w:t>
      </w:r>
      <w:r w:rsidRPr="004A0C12">
        <w:rPr>
          <w:rFonts w:ascii="Garamond" w:hAnsi="Garamond" w:cs="Times New Roman"/>
        </w:rPr>
        <w:t xml:space="preserve"> should encourage the business to solicit resumes from relevant employees. Staff </w:t>
      </w:r>
      <w:r w:rsidR="00CB70A6" w:rsidRPr="004A0C12">
        <w:rPr>
          <w:rFonts w:ascii="Garamond" w:hAnsi="Garamond" w:cs="Times New Roman"/>
        </w:rPr>
        <w:t>will</w:t>
      </w:r>
      <w:r w:rsidRPr="004A0C12">
        <w:rPr>
          <w:rFonts w:ascii="Garamond" w:hAnsi="Garamond" w:cs="Times New Roman"/>
        </w:rPr>
        <w:t xml:space="preserve"> gather information </w:t>
      </w:r>
      <w:r w:rsidR="009B48B2" w:rsidRPr="004A0C12">
        <w:rPr>
          <w:rFonts w:ascii="Garamond" w:hAnsi="Garamond" w:cs="Times New Roman"/>
        </w:rPr>
        <w:t>regarding</w:t>
      </w:r>
      <w:r w:rsidRPr="004A0C12">
        <w:rPr>
          <w:rFonts w:ascii="Garamond" w:hAnsi="Garamond" w:cs="Times New Roman"/>
        </w:rPr>
        <w:t xml:space="preserve"> the skills and abilities of impacted workers to be used for out</w:t>
      </w:r>
      <w:r w:rsidR="00CB70A6" w:rsidRPr="004A0C12">
        <w:rPr>
          <w:rFonts w:ascii="Garamond" w:hAnsi="Garamond" w:cs="Times New Roman"/>
        </w:rPr>
        <w:t>reach with local businesses. Business Services Team</w:t>
      </w:r>
      <w:r w:rsidRPr="004A0C12">
        <w:rPr>
          <w:rFonts w:ascii="Garamond" w:hAnsi="Garamond" w:cs="Times New Roman"/>
        </w:rPr>
        <w:t xml:space="preserve"> staff </w:t>
      </w:r>
      <w:r w:rsidR="00CB70A6" w:rsidRPr="004A0C12">
        <w:rPr>
          <w:rFonts w:ascii="Garamond" w:hAnsi="Garamond" w:cs="Times New Roman"/>
        </w:rPr>
        <w:t>will</w:t>
      </w:r>
      <w:r w:rsidRPr="004A0C12">
        <w:rPr>
          <w:rFonts w:ascii="Garamond" w:hAnsi="Garamond" w:cs="Times New Roman"/>
        </w:rPr>
        <w:t xml:space="preserve"> use </w:t>
      </w:r>
      <w:r w:rsidR="009B48B2" w:rsidRPr="004A0C12">
        <w:rPr>
          <w:rFonts w:ascii="Garamond" w:hAnsi="Garamond" w:cs="Times New Roman"/>
        </w:rPr>
        <w:t>the information learned during the</w:t>
      </w:r>
      <w:r w:rsidRPr="004A0C12">
        <w:rPr>
          <w:rFonts w:ascii="Garamond" w:hAnsi="Garamond" w:cs="Times New Roman"/>
        </w:rPr>
        <w:t xml:space="preserve"> consultation to inform future outreach opportunities and to provide information on business needs. </w:t>
      </w:r>
    </w:p>
    <w:p w14:paraId="51473FAE" w14:textId="77777777" w:rsidR="00AB5AEF" w:rsidRPr="00E64564" w:rsidRDefault="00AB5AEF" w:rsidP="00CF4628">
      <w:pPr>
        <w:pStyle w:val="Heading3"/>
        <w:rPr>
          <w:rFonts w:ascii="Garamond" w:hAnsi="Garamond"/>
          <w:sz w:val="24"/>
          <w:szCs w:val="24"/>
        </w:rPr>
      </w:pPr>
      <w:bookmarkStart w:id="123" w:name="_Toc447276167"/>
      <w:r w:rsidRPr="00E64564">
        <w:rPr>
          <w:rFonts w:ascii="Garamond" w:hAnsi="Garamond"/>
          <w:sz w:val="24"/>
          <w:szCs w:val="24"/>
        </w:rPr>
        <w:t>Information Session (Employee Focused)</w:t>
      </w:r>
      <w:bookmarkEnd w:id="123"/>
    </w:p>
    <w:p w14:paraId="3562D047" w14:textId="211C23C9" w:rsidR="00AB5AEF" w:rsidRPr="004A0C12" w:rsidRDefault="009B48B2" w:rsidP="00EA6922">
      <w:pPr>
        <w:spacing w:line="240" w:lineRule="auto"/>
        <w:contextualSpacing/>
        <w:jc w:val="both"/>
        <w:rPr>
          <w:rFonts w:ascii="Garamond" w:hAnsi="Garamond" w:cs="Times New Roman"/>
        </w:rPr>
      </w:pPr>
      <w:r w:rsidRPr="004A0C12">
        <w:rPr>
          <w:rFonts w:ascii="Garamond" w:hAnsi="Garamond" w:cs="Times New Roman"/>
        </w:rPr>
        <w:t>The information s</w:t>
      </w:r>
      <w:r w:rsidR="00AB5AEF" w:rsidRPr="004A0C12">
        <w:rPr>
          <w:rFonts w:ascii="Garamond" w:hAnsi="Garamond" w:cs="Times New Roman"/>
        </w:rPr>
        <w:t xml:space="preserve">ession is an opportunity for members of the Rapid Response team to meet, for about one hour, with the affected workers to provide important information on available transition services, unemployment insurance, and other relevant workforce development activities. </w:t>
      </w:r>
    </w:p>
    <w:p w14:paraId="6A04EE88" w14:textId="77777777" w:rsidR="00EA6922" w:rsidRPr="004A0C12" w:rsidRDefault="00EA6922" w:rsidP="00EA6922">
      <w:pPr>
        <w:spacing w:line="240" w:lineRule="auto"/>
        <w:contextualSpacing/>
        <w:jc w:val="both"/>
        <w:rPr>
          <w:rFonts w:ascii="Garamond" w:hAnsi="Garamond" w:cs="Times New Roman"/>
        </w:rPr>
      </w:pPr>
    </w:p>
    <w:p w14:paraId="2ADCF402" w14:textId="77777777"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The following two sections offer guidance that is specific to dislocation events affecting:</w:t>
      </w:r>
    </w:p>
    <w:p w14:paraId="5A3FB777" w14:textId="77777777" w:rsidR="00EA6922" w:rsidRPr="004A0C12" w:rsidRDefault="00EA6922" w:rsidP="00EA6922">
      <w:pPr>
        <w:spacing w:line="240" w:lineRule="auto"/>
        <w:contextualSpacing/>
        <w:jc w:val="both"/>
        <w:rPr>
          <w:rFonts w:ascii="Garamond" w:hAnsi="Garamond" w:cs="Times New Roman"/>
        </w:rPr>
      </w:pPr>
    </w:p>
    <w:p w14:paraId="7989BDC0" w14:textId="2B4A9DD2" w:rsidR="00AB5AEF" w:rsidRPr="004A0C12" w:rsidRDefault="00AB5AEF" w:rsidP="00F733CF">
      <w:pPr>
        <w:numPr>
          <w:ilvl w:val="0"/>
          <w:numId w:val="102"/>
        </w:numPr>
        <w:tabs>
          <w:tab w:val="clear" w:pos="360"/>
          <w:tab w:val="num" w:pos="720"/>
        </w:tabs>
        <w:spacing w:after="0" w:line="240" w:lineRule="auto"/>
        <w:ind w:left="720" w:hanging="360"/>
        <w:contextualSpacing/>
        <w:jc w:val="both"/>
        <w:rPr>
          <w:rFonts w:ascii="Garamond" w:hAnsi="Garamond" w:cs="Times New Roman"/>
        </w:rPr>
      </w:pPr>
      <w:r w:rsidRPr="004A0C12">
        <w:rPr>
          <w:rFonts w:ascii="Garamond" w:hAnsi="Garamond" w:cs="Times New Roman"/>
        </w:rPr>
        <w:t>Closures and</w:t>
      </w:r>
      <w:r w:rsidR="001742D7" w:rsidRPr="004A0C12">
        <w:rPr>
          <w:rFonts w:ascii="Garamond" w:hAnsi="Garamond" w:cs="Times New Roman"/>
        </w:rPr>
        <w:t xml:space="preserve"> mass layoffs of 100+ employees</w:t>
      </w:r>
    </w:p>
    <w:p w14:paraId="34416477" w14:textId="4393E125" w:rsidR="00AB5AEF" w:rsidRPr="004A0C12" w:rsidRDefault="00AB5AEF" w:rsidP="00F733CF">
      <w:pPr>
        <w:numPr>
          <w:ilvl w:val="0"/>
          <w:numId w:val="102"/>
        </w:numPr>
        <w:tabs>
          <w:tab w:val="clear" w:pos="360"/>
          <w:tab w:val="num" w:pos="720"/>
        </w:tabs>
        <w:spacing w:after="0" w:line="240" w:lineRule="auto"/>
        <w:ind w:left="720" w:hanging="360"/>
        <w:contextualSpacing/>
        <w:jc w:val="both"/>
        <w:rPr>
          <w:rFonts w:ascii="Garamond" w:hAnsi="Garamond" w:cs="Times New Roman"/>
        </w:rPr>
      </w:pPr>
      <w:r w:rsidRPr="004A0C12">
        <w:rPr>
          <w:rFonts w:ascii="Garamond" w:hAnsi="Garamond" w:cs="Times New Roman"/>
        </w:rPr>
        <w:t>Closures and substantial lay</w:t>
      </w:r>
      <w:r w:rsidR="001742D7" w:rsidRPr="004A0C12">
        <w:rPr>
          <w:rFonts w:ascii="Garamond" w:hAnsi="Garamond" w:cs="Times New Roman"/>
        </w:rPr>
        <w:t>offs of less than 100 employees</w:t>
      </w:r>
      <w:r w:rsidRPr="004A0C12">
        <w:rPr>
          <w:rFonts w:ascii="Garamond" w:hAnsi="Garamond" w:cs="Times New Roman"/>
        </w:rPr>
        <w:t xml:space="preserve"> </w:t>
      </w:r>
    </w:p>
    <w:p w14:paraId="4BB7EA7E" w14:textId="77777777" w:rsidR="00AB5AEF" w:rsidRPr="004A0C12" w:rsidRDefault="00AB5AEF" w:rsidP="00AB5AEF">
      <w:pPr>
        <w:rPr>
          <w:rFonts w:ascii="Garamond" w:hAnsi="Garamond" w:cs="Times New Roman"/>
          <w:color w:val="17366D"/>
        </w:rPr>
      </w:pPr>
    </w:p>
    <w:p w14:paraId="69ABC5A1" w14:textId="77777777" w:rsidR="00AB5AEF" w:rsidRPr="00E64564" w:rsidRDefault="00AB5AEF" w:rsidP="00CF4628">
      <w:pPr>
        <w:pStyle w:val="Heading3"/>
        <w:rPr>
          <w:rFonts w:ascii="Garamond" w:hAnsi="Garamond"/>
          <w:sz w:val="24"/>
          <w:szCs w:val="24"/>
        </w:rPr>
      </w:pPr>
      <w:bookmarkStart w:id="124" w:name="_Toc447276168"/>
      <w:r w:rsidRPr="00E64564">
        <w:rPr>
          <w:rFonts w:ascii="Garamond" w:hAnsi="Garamond"/>
          <w:sz w:val="24"/>
          <w:szCs w:val="24"/>
        </w:rPr>
        <w:lastRenderedPageBreak/>
        <w:t>CLOSURES AND MASS LAYOFFS OF 100+ EMPLOYEES</w:t>
      </w:r>
      <w:bookmarkEnd w:id="124"/>
      <w:r w:rsidRPr="00E64564">
        <w:rPr>
          <w:rFonts w:ascii="Garamond" w:hAnsi="Garamond"/>
          <w:sz w:val="24"/>
          <w:szCs w:val="24"/>
        </w:rPr>
        <w:t xml:space="preserve"> </w:t>
      </w:r>
    </w:p>
    <w:p w14:paraId="7DC993DE" w14:textId="2EE4AE67"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 xml:space="preserve">At a minimum, Rapid Response Information Sessions for closures and mass layoff of 100+ employees involve representatives from the </w:t>
      </w:r>
      <w:r w:rsidR="001742D7" w:rsidRPr="004A0C12">
        <w:rPr>
          <w:rFonts w:ascii="Garamond" w:hAnsi="Garamond"/>
        </w:rPr>
        <w:t>Dislocation Services Unit</w:t>
      </w:r>
      <w:r w:rsidRPr="004A0C12">
        <w:rPr>
          <w:rFonts w:ascii="Garamond" w:hAnsi="Garamond" w:cs="Times New Roman"/>
        </w:rPr>
        <w:t xml:space="preserve">, the affected local workforce area(s), and the Division of Unemployment Insurance. Other staff or stakeholders may also be involved. </w:t>
      </w:r>
    </w:p>
    <w:p w14:paraId="2179E183" w14:textId="77777777" w:rsidR="00EA6922" w:rsidRPr="004A0C12" w:rsidRDefault="00EA6922" w:rsidP="00EA6922">
      <w:pPr>
        <w:spacing w:line="240" w:lineRule="auto"/>
        <w:contextualSpacing/>
        <w:jc w:val="both"/>
        <w:rPr>
          <w:rFonts w:ascii="Garamond" w:hAnsi="Garamond" w:cs="Times New Roman"/>
        </w:rPr>
      </w:pPr>
    </w:p>
    <w:p w14:paraId="393A9872" w14:textId="1CF6525B"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 xml:space="preserve">The </w:t>
      </w:r>
      <w:r w:rsidR="001742D7" w:rsidRPr="004A0C12">
        <w:rPr>
          <w:rFonts w:ascii="Garamond" w:hAnsi="Garamond"/>
        </w:rPr>
        <w:t>Dislocation Services Unit</w:t>
      </w:r>
      <w:r w:rsidR="001742D7" w:rsidRPr="004A0C12">
        <w:rPr>
          <w:rFonts w:ascii="Garamond" w:hAnsi="Garamond" w:cs="Times New Roman"/>
        </w:rPr>
        <w:t xml:space="preserve"> </w:t>
      </w:r>
      <w:r w:rsidRPr="004A0C12">
        <w:rPr>
          <w:rFonts w:ascii="Garamond" w:hAnsi="Garamond" w:cs="Times New Roman"/>
        </w:rPr>
        <w:t>is responsible for coordinating the team’s efforts. This must include outreach to the Director of Benefits, Division of Unemployment Insurance to inform him or her of the dislocation event. The Director of Benefit</w:t>
      </w:r>
      <w:r w:rsidR="001742D7" w:rsidRPr="004A0C12">
        <w:rPr>
          <w:rFonts w:ascii="Garamond" w:hAnsi="Garamond" w:cs="Times New Roman"/>
        </w:rPr>
        <w:t>s</w:t>
      </w:r>
      <w:r w:rsidRPr="004A0C12">
        <w:rPr>
          <w:rFonts w:ascii="Garamond" w:hAnsi="Garamond" w:cs="Times New Roman"/>
        </w:rPr>
        <w:t xml:space="preserve"> shall</w:t>
      </w:r>
      <w:r w:rsidR="001742D7" w:rsidRPr="004A0C12">
        <w:rPr>
          <w:rFonts w:ascii="Garamond" w:hAnsi="Garamond" w:cs="Times New Roman"/>
        </w:rPr>
        <w:t xml:space="preserve"> determine who will attend the information s</w:t>
      </w:r>
      <w:r w:rsidRPr="004A0C12">
        <w:rPr>
          <w:rFonts w:ascii="Garamond" w:hAnsi="Garamond" w:cs="Times New Roman"/>
        </w:rPr>
        <w:t>ession to provide U</w:t>
      </w:r>
      <w:r w:rsidR="001742D7" w:rsidRPr="004A0C12">
        <w:rPr>
          <w:rFonts w:ascii="Garamond" w:hAnsi="Garamond" w:cs="Times New Roman"/>
        </w:rPr>
        <w:t xml:space="preserve">nemployment </w:t>
      </w:r>
      <w:r w:rsidRPr="004A0C12">
        <w:rPr>
          <w:rFonts w:ascii="Garamond" w:hAnsi="Garamond" w:cs="Times New Roman"/>
        </w:rPr>
        <w:t>I</w:t>
      </w:r>
      <w:r w:rsidR="001742D7" w:rsidRPr="004A0C12">
        <w:rPr>
          <w:rFonts w:ascii="Garamond" w:hAnsi="Garamond" w:cs="Times New Roman"/>
        </w:rPr>
        <w:t xml:space="preserve">nsurance information and to answer </w:t>
      </w:r>
      <w:r w:rsidRPr="004A0C12">
        <w:rPr>
          <w:rFonts w:ascii="Garamond" w:hAnsi="Garamond" w:cs="Times New Roman"/>
        </w:rPr>
        <w:t xml:space="preserve">questions.  </w:t>
      </w:r>
    </w:p>
    <w:p w14:paraId="17F71D5E" w14:textId="77777777" w:rsidR="00AB5AEF" w:rsidRPr="00E64564" w:rsidRDefault="00AB5AEF" w:rsidP="00CF4628">
      <w:pPr>
        <w:pStyle w:val="Heading3"/>
        <w:rPr>
          <w:rFonts w:ascii="Garamond" w:hAnsi="Garamond"/>
          <w:sz w:val="24"/>
          <w:szCs w:val="24"/>
        </w:rPr>
      </w:pPr>
      <w:bookmarkStart w:id="125" w:name="_Toc447276169"/>
      <w:r w:rsidRPr="00E64564">
        <w:rPr>
          <w:rFonts w:ascii="Garamond" w:hAnsi="Garamond"/>
          <w:sz w:val="24"/>
          <w:szCs w:val="24"/>
        </w:rPr>
        <w:t>CLOSURES AND SUBSTANTIAL LAYOFFS OF LESS THAN 100 EMPLOYEES</w:t>
      </w:r>
      <w:bookmarkEnd w:id="125"/>
      <w:r w:rsidRPr="00E64564">
        <w:rPr>
          <w:rFonts w:ascii="Garamond" w:hAnsi="Garamond"/>
          <w:sz w:val="24"/>
          <w:szCs w:val="24"/>
        </w:rPr>
        <w:t xml:space="preserve"> </w:t>
      </w:r>
    </w:p>
    <w:p w14:paraId="7E2E4B5A" w14:textId="0556D205" w:rsidR="00AB5AEF" w:rsidRPr="004A0C12" w:rsidRDefault="001742D7" w:rsidP="00EA6922">
      <w:pPr>
        <w:spacing w:line="240" w:lineRule="auto"/>
        <w:contextualSpacing/>
        <w:jc w:val="both"/>
        <w:rPr>
          <w:rFonts w:ascii="Garamond" w:hAnsi="Garamond" w:cs="Times New Roman"/>
        </w:rPr>
      </w:pPr>
      <w:r w:rsidRPr="004A0C12">
        <w:rPr>
          <w:rFonts w:ascii="Garamond" w:hAnsi="Garamond" w:cs="Times New Roman"/>
        </w:rPr>
        <w:t>At a minimum, Rapid Response information s</w:t>
      </w:r>
      <w:r w:rsidR="00AB5AEF" w:rsidRPr="004A0C12">
        <w:rPr>
          <w:rFonts w:ascii="Garamond" w:hAnsi="Garamond" w:cs="Times New Roman"/>
        </w:rPr>
        <w:t xml:space="preserve">essions for closures and mass layoff of less than 100 employees shall involve representatives from the </w:t>
      </w:r>
      <w:r w:rsidRPr="004A0C12">
        <w:rPr>
          <w:rFonts w:ascii="Garamond" w:hAnsi="Garamond"/>
        </w:rPr>
        <w:t>Dislocation Services Unit</w:t>
      </w:r>
      <w:r w:rsidRPr="004A0C12">
        <w:rPr>
          <w:rFonts w:ascii="Garamond" w:hAnsi="Garamond" w:cs="Times New Roman"/>
        </w:rPr>
        <w:t xml:space="preserve"> </w:t>
      </w:r>
      <w:r w:rsidR="00AB5AEF" w:rsidRPr="004A0C12">
        <w:rPr>
          <w:rFonts w:ascii="Garamond" w:hAnsi="Garamond" w:cs="Times New Roman"/>
        </w:rPr>
        <w:t>and the affected local workforce area(s). Other staff or stakeholders, such as Division of Unemployment Insurance staff, may also be involved.</w:t>
      </w:r>
    </w:p>
    <w:p w14:paraId="158AA940" w14:textId="77777777" w:rsidR="00EA6922" w:rsidRPr="004A0C12" w:rsidRDefault="00EA6922" w:rsidP="00EA6922">
      <w:pPr>
        <w:spacing w:line="240" w:lineRule="auto"/>
        <w:contextualSpacing/>
        <w:jc w:val="both"/>
        <w:rPr>
          <w:rFonts w:ascii="Garamond" w:hAnsi="Garamond" w:cs="Times New Roman"/>
        </w:rPr>
      </w:pPr>
    </w:p>
    <w:p w14:paraId="510DC257" w14:textId="07CCB7B7" w:rsidR="00AB5AEF" w:rsidRPr="004A0C12" w:rsidRDefault="00AB5AEF" w:rsidP="00EA6922">
      <w:pPr>
        <w:spacing w:line="240" w:lineRule="auto"/>
        <w:contextualSpacing/>
        <w:jc w:val="both"/>
        <w:rPr>
          <w:rFonts w:ascii="Garamond" w:hAnsi="Garamond" w:cs="Times New Roman"/>
        </w:rPr>
      </w:pPr>
      <w:r w:rsidRPr="004A0C12">
        <w:rPr>
          <w:rFonts w:ascii="Garamond" w:hAnsi="Garamond" w:cs="Times New Roman"/>
        </w:rPr>
        <w:t xml:space="preserve">Although the Division of Unemployment Insurance may not actively participate in a smaller dislocation event, the DLLR DSU staff must always </w:t>
      </w:r>
      <w:r w:rsidR="001742D7" w:rsidRPr="004A0C12">
        <w:rPr>
          <w:rFonts w:ascii="Garamond" w:hAnsi="Garamond" w:cs="Times New Roman"/>
        </w:rPr>
        <w:t>inform the Director of Benefits of the</w:t>
      </w:r>
      <w:r w:rsidRPr="004A0C12">
        <w:rPr>
          <w:rFonts w:ascii="Garamond" w:hAnsi="Garamond" w:cs="Times New Roman"/>
        </w:rPr>
        <w:t xml:space="preserve"> Division of Unemployment Insurance of</w:t>
      </w:r>
      <w:r w:rsidR="001742D7" w:rsidRPr="004A0C12">
        <w:rPr>
          <w:rFonts w:ascii="Garamond" w:hAnsi="Garamond" w:cs="Times New Roman"/>
        </w:rPr>
        <w:t xml:space="preserve"> the occurrence and subsequent information s</w:t>
      </w:r>
      <w:r w:rsidRPr="004A0C12">
        <w:rPr>
          <w:rFonts w:ascii="Garamond" w:hAnsi="Garamond" w:cs="Times New Roman"/>
        </w:rPr>
        <w:t>ession. The Director of Benefits shall then determine whether U</w:t>
      </w:r>
      <w:r w:rsidR="001742D7" w:rsidRPr="004A0C12">
        <w:rPr>
          <w:rFonts w:ascii="Garamond" w:hAnsi="Garamond" w:cs="Times New Roman"/>
        </w:rPr>
        <w:t xml:space="preserve">nemployment </w:t>
      </w:r>
      <w:r w:rsidRPr="004A0C12">
        <w:rPr>
          <w:rFonts w:ascii="Garamond" w:hAnsi="Garamond" w:cs="Times New Roman"/>
        </w:rPr>
        <w:t>I</w:t>
      </w:r>
      <w:r w:rsidR="001742D7" w:rsidRPr="004A0C12">
        <w:rPr>
          <w:rFonts w:ascii="Garamond" w:hAnsi="Garamond" w:cs="Times New Roman"/>
        </w:rPr>
        <w:t>nsurance</w:t>
      </w:r>
      <w:r w:rsidRPr="004A0C12">
        <w:rPr>
          <w:rFonts w:ascii="Garamond" w:hAnsi="Garamond" w:cs="Times New Roman"/>
        </w:rPr>
        <w:t xml:space="preserve"> staff can be present. If U</w:t>
      </w:r>
      <w:r w:rsidR="001742D7" w:rsidRPr="004A0C12">
        <w:rPr>
          <w:rFonts w:ascii="Garamond" w:hAnsi="Garamond" w:cs="Times New Roman"/>
        </w:rPr>
        <w:t xml:space="preserve">nemployment </w:t>
      </w:r>
      <w:r w:rsidRPr="004A0C12">
        <w:rPr>
          <w:rFonts w:ascii="Garamond" w:hAnsi="Garamond" w:cs="Times New Roman"/>
        </w:rPr>
        <w:t>I</w:t>
      </w:r>
      <w:r w:rsidR="001742D7" w:rsidRPr="004A0C12">
        <w:rPr>
          <w:rFonts w:ascii="Garamond" w:hAnsi="Garamond" w:cs="Times New Roman"/>
        </w:rPr>
        <w:t>nsurance</w:t>
      </w:r>
      <w:r w:rsidRPr="004A0C12">
        <w:rPr>
          <w:rFonts w:ascii="Garamond" w:hAnsi="Garamond" w:cs="Times New Roman"/>
        </w:rPr>
        <w:t xml:space="preserve"> staff cannot be present, then the </w:t>
      </w:r>
      <w:r w:rsidR="001742D7" w:rsidRPr="004A0C12">
        <w:rPr>
          <w:rFonts w:ascii="Garamond" w:hAnsi="Garamond"/>
        </w:rPr>
        <w:t>Dislocation Services Unit</w:t>
      </w:r>
      <w:r w:rsidRPr="004A0C12">
        <w:rPr>
          <w:rFonts w:ascii="Garamond" w:hAnsi="Garamond" w:cs="Times New Roman"/>
        </w:rPr>
        <w:t xml:space="preserve"> field representative is responsible for providing the U</w:t>
      </w:r>
      <w:r w:rsidR="001742D7" w:rsidRPr="004A0C12">
        <w:rPr>
          <w:rFonts w:ascii="Garamond" w:hAnsi="Garamond" w:cs="Times New Roman"/>
        </w:rPr>
        <w:t xml:space="preserve">nemployment </w:t>
      </w:r>
      <w:r w:rsidRPr="004A0C12">
        <w:rPr>
          <w:rFonts w:ascii="Garamond" w:hAnsi="Garamond" w:cs="Times New Roman"/>
        </w:rPr>
        <w:t>I</w:t>
      </w:r>
      <w:r w:rsidR="001742D7" w:rsidRPr="004A0C12">
        <w:rPr>
          <w:rFonts w:ascii="Garamond" w:hAnsi="Garamond" w:cs="Times New Roman"/>
        </w:rPr>
        <w:t>nsurance</w:t>
      </w:r>
      <w:r w:rsidRPr="004A0C12">
        <w:rPr>
          <w:rFonts w:ascii="Garamond" w:hAnsi="Garamond" w:cs="Times New Roman"/>
        </w:rPr>
        <w:t xml:space="preserve"> information prescribed by the Division of Unemployment Insurance. When U</w:t>
      </w:r>
      <w:r w:rsidR="001742D7" w:rsidRPr="004A0C12">
        <w:rPr>
          <w:rFonts w:ascii="Garamond" w:hAnsi="Garamond" w:cs="Times New Roman"/>
        </w:rPr>
        <w:t xml:space="preserve">nemployment </w:t>
      </w:r>
      <w:r w:rsidRPr="004A0C12">
        <w:rPr>
          <w:rFonts w:ascii="Garamond" w:hAnsi="Garamond" w:cs="Times New Roman"/>
        </w:rPr>
        <w:t>I</w:t>
      </w:r>
      <w:r w:rsidR="001742D7" w:rsidRPr="004A0C12">
        <w:rPr>
          <w:rFonts w:ascii="Garamond" w:hAnsi="Garamond" w:cs="Times New Roman"/>
        </w:rPr>
        <w:t>nsurance staff</w:t>
      </w:r>
      <w:r w:rsidRPr="004A0C12">
        <w:rPr>
          <w:rFonts w:ascii="Garamond" w:hAnsi="Garamond" w:cs="Times New Roman"/>
        </w:rPr>
        <w:t xml:space="preserve"> is not present, affected workers must be directed to the website and appropriate conta</w:t>
      </w:r>
      <w:r w:rsidR="00A40253" w:rsidRPr="004A0C12">
        <w:rPr>
          <w:rFonts w:ascii="Garamond" w:hAnsi="Garamond" w:cs="Times New Roman"/>
        </w:rPr>
        <w:t xml:space="preserve">ct for additional information. </w:t>
      </w:r>
    </w:p>
    <w:p w14:paraId="17E56D2F" w14:textId="77777777" w:rsidR="00AB5AEF" w:rsidRPr="00E64564" w:rsidRDefault="00A40253" w:rsidP="00CF4628">
      <w:pPr>
        <w:pStyle w:val="Heading3"/>
        <w:rPr>
          <w:rFonts w:ascii="Garamond" w:hAnsi="Garamond"/>
          <w:sz w:val="24"/>
          <w:szCs w:val="24"/>
          <w:u w:val="single"/>
        </w:rPr>
      </w:pPr>
      <w:bookmarkStart w:id="126" w:name="_Toc447276170"/>
      <w:r w:rsidRPr="00E64564">
        <w:rPr>
          <w:rFonts w:ascii="Garamond" w:hAnsi="Garamond"/>
          <w:sz w:val="24"/>
          <w:szCs w:val="24"/>
        </w:rPr>
        <w:t xml:space="preserve">LAYOFF AVERSION &amp; </w:t>
      </w:r>
      <w:r w:rsidR="00AB5AEF" w:rsidRPr="00E64564">
        <w:rPr>
          <w:rFonts w:ascii="Garamond" w:hAnsi="Garamond"/>
          <w:sz w:val="24"/>
          <w:szCs w:val="24"/>
        </w:rPr>
        <w:t>RAPID RESPONSE</w:t>
      </w:r>
      <w:bookmarkEnd w:id="126"/>
      <w:r w:rsidR="00AB5AEF" w:rsidRPr="00E64564">
        <w:rPr>
          <w:rFonts w:ascii="Garamond" w:hAnsi="Garamond"/>
          <w:sz w:val="24"/>
          <w:szCs w:val="24"/>
        </w:rPr>
        <w:t xml:space="preserve"> </w:t>
      </w:r>
    </w:p>
    <w:p w14:paraId="579A54ED" w14:textId="77777777" w:rsidR="00AB5AEF" w:rsidRDefault="00AB5AEF" w:rsidP="00EA6922">
      <w:pPr>
        <w:spacing w:line="240" w:lineRule="auto"/>
        <w:contextualSpacing/>
        <w:rPr>
          <w:rFonts w:ascii="Garamond" w:hAnsi="Garamond" w:cs="Times New Roman"/>
        </w:rPr>
      </w:pPr>
      <w:r w:rsidRPr="004A0C12">
        <w:rPr>
          <w:rFonts w:ascii="Garamond" w:hAnsi="Garamond" w:cs="Times New Roman"/>
        </w:rPr>
        <w:t>Bus</w:t>
      </w:r>
      <w:r w:rsidR="00CB70A6" w:rsidRPr="004A0C12">
        <w:rPr>
          <w:rFonts w:ascii="Garamond" w:hAnsi="Garamond" w:cs="Times New Roman"/>
        </w:rPr>
        <w:t>iness Service T</w:t>
      </w:r>
      <w:r w:rsidRPr="004A0C12">
        <w:rPr>
          <w:rFonts w:ascii="Garamond" w:hAnsi="Garamond" w:cs="Times New Roman"/>
        </w:rPr>
        <w:t xml:space="preserve">eam members assist eligible businesses with layoff aversion and/or Rapid Response along any given point of a business’ lifecycle. The following picture depicts the general lifecycle of a business. </w:t>
      </w:r>
    </w:p>
    <w:p w14:paraId="69E8398F" w14:textId="77777777" w:rsidR="00E64564" w:rsidRDefault="00E64564" w:rsidP="00EA6922">
      <w:pPr>
        <w:spacing w:line="240" w:lineRule="auto"/>
        <w:contextualSpacing/>
        <w:rPr>
          <w:rFonts w:ascii="Garamond" w:hAnsi="Garamond" w:cs="Times New Roman"/>
        </w:rPr>
      </w:pPr>
    </w:p>
    <w:p w14:paraId="0CF509E7" w14:textId="77777777" w:rsidR="00E64564" w:rsidRPr="004A0C12" w:rsidRDefault="00E64564" w:rsidP="00EA6922">
      <w:pPr>
        <w:spacing w:line="240" w:lineRule="auto"/>
        <w:contextualSpacing/>
        <w:rPr>
          <w:rFonts w:ascii="Garamond" w:hAnsi="Garamond" w:cs="Times New Roman"/>
        </w:rPr>
      </w:pPr>
    </w:p>
    <w:p w14:paraId="56B8F26B" w14:textId="77777777" w:rsidR="00AB5AEF" w:rsidRPr="004A0C12" w:rsidRDefault="00AB5AEF" w:rsidP="00AB5AEF">
      <w:pPr>
        <w:jc w:val="center"/>
        <w:rPr>
          <w:rFonts w:ascii="Garamond" w:hAnsi="Garamond" w:cs="Times New Roman"/>
        </w:rPr>
      </w:pPr>
      <w:r w:rsidRPr="004A0C12">
        <w:rPr>
          <w:rFonts w:ascii="Garamond" w:hAnsi="Garamond" w:cs="Times New Roman"/>
          <w:noProof/>
        </w:rPr>
        <w:drawing>
          <wp:inline distT="0" distB="0" distL="0" distR="0" wp14:anchorId="228598D9" wp14:editId="7CEF78AA">
            <wp:extent cx="3237230" cy="2115185"/>
            <wp:effectExtent l="0" t="0" r="1270" b="0"/>
            <wp:docPr id="323" name="Picture 323" descr="This picture shows the lifecycle of a business. It includes startup, rapid growth, maturity, decline, and either rebirth or death. " title="Lifecycle of a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37230" cy="2115185"/>
                    </a:xfrm>
                    <a:prstGeom prst="rect">
                      <a:avLst/>
                    </a:prstGeom>
                    <a:noFill/>
                    <a:ln>
                      <a:noFill/>
                    </a:ln>
                  </pic:spPr>
                </pic:pic>
              </a:graphicData>
            </a:graphic>
          </wp:inline>
        </w:drawing>
      </w:r>
    </w:p>
    <w:p w14:paraId="01BE2090" w14:textId="77777777" w:rsidR="00E64564" w:rsidRDefault="00E64564" w:rsidP="00EA6922">
      <w:pPr>
        <w:spacing w:line="240" w:lineRule="auto"/>
        <w:contextualSpacing/>
        <w:jc w:val="both"/>
        <w:rPr>
          <w:rFonts w:ascii="Garamond" w:hAnsi="Garamond" w:cs="Times New Roman"/>
        </w:rPr>
      </w:pPr>
    </w:p>
    <w:p w14:paraId="75F3DD38" w14:textId="77777777" w:rsidR="00E64564" w:rsidRDefault="00E64564" w:rsidP="00EA6922">
      <w:pPr>
        <w:spacing w:line="240" w:lineRule="auto"/>
        <w:contextualSpacing/>
        <w:jc w:val="both"/>
        <w:rPr>
          <w:rFonts w:ascii="Garamond" w:hAnsi="Garamond" w:cs="Times New Roman"/>
        </w:rPr>
      </w:pPr>
    </w:p>
    <w:p w14:paraId="1038E969" w14:textId="69EBFE5A" w:rsidR="00AB5AEF" w:rsidRPr="004A0C12" w:rsidRDefault="001742D7" w:rsidP="00EA6922">
      <w:pPr>
        <w:spacing w:line="240" w:lineRule="auto"/>
        <w:contextualSpacing/>
        <w:jc w:val="both"/>
        <w:rPr>
          <w:rFonts w:ascii="Garamond" w:hAnsi="Garamond" w:cs="Times New Roman"/>
        </w:rPr>
      </w:pPr>
      <w:r w:rsidRPr="004A0C12">
        <w:rPr>
          <w:rFonts w:ascii="Garamond" w:hAnsi="Garamond" w:cs="Times New Roman"/>
        </w:rPr>
        <w:t xml:space="preserve">The </w:t>
      </w:r>
      <w:r w:rsidR="00AB5AEF" w:rsidRPr="004A0C12">
        <w:rPr>
          <w:rFonts w:ascii="Garamond" w:hAnsi="Garamond" w:cs="Times New Roman"/>
        </w:rPr>
        <w:t xml:space="preserve">Business Services </w:t>
      </w:r>
      <w:r w:rsidRPr="004A0C12">
        <w:rPr>
          <w:rFonts w:ascii="Garamond" w:hAnsi="Garamond" w:cs="Times New Roman"/>
        </w:rPr>
        <w:t xml:space="preserve">Team </w:t>
      </w:r>
      <w:r w:rsidR="00AB5AEF" w:rsidRPr="004A0C12">
        <w:rPr>
          <w:rFonts w:ascii="Garamond" w:hAnsi="Garamond" w:cs="Times New Roman"/>
        </w:rPr>
        <w:t xml:space="preserve">offers an array of initiatives and strategies that work towards job creation and layoff aversion.  As defined by USDOL, layoff aversion is: </w:t>
      </w:r>
    </w:p>
    <w:p w14:paraId="1A565C84" w14:textId="77777777" w:rsidR="00EA6922" w:rsidRPr="004A0C12" w:rsidRDefault="00EA6922" w:rsidP="00EA6922">
      <w:pPr>
        <w:spacing w:line="240" w:lineRule="auto"/>
        <w:contextualSpacing/>
        <w:jc w:val="both"/>
        <w:rPr>
          <w:rFonts w:ascii="Garamond" w:hAnsi="Garamond" w:cs="Times New Roman"/>
        </w:rPr>
      </w:pPr>
    </w:p>
    <w:p w14:paraId="725F2241" w14:textId="77777777" w:rsidR="00AB5AEF" w:rsidRPr="004A0C12" w:rsidRDefault="00AB5AEF" w:rsidP="00F733CF">
      <w:pPr>
        <w:numPr>
          <w:ilvl w:val="0"/>
          <w:numId w:val="103"/>
        </w:numPr>
        <w:tabs>
          <w:tab w:val="clear" w:pos="0"/>
          <w:tab w:val="num" w:pos="720"/>
        </w:tabs>
        <w:spacing w:line="240" w:lineRule="auto"/>
        <w:ind w:left="720" w:hanging="360"/>
        <w:contextualSpacing/>
        <w:jc w:val="both"/>
        <w:rPr>
          <w:rFonts w:ascii="Garamond" w:hAnsi="Garamond" w:cs="Times New Roman"/>
        </w:rPr>
      </w:pPr>
      <w:r w:rsidRPr="004A0C12">
        <w:rPr>
          <w:rFonts w:ascii="Garamond" w:hAnsi="Garamond" w:cs="Times New Roman"/>
        </w:rPr>
        <w:t xml:space="preserve">When a worker’s job is saved with an existing employer that is at risk of downsizing or closing; or, </w:t>
      </w:r>
    </w:p>
    <w:p w14:paraId="09070652" w14:textId="77777777" w:rsidR="00B17D43" w:rsidRPr="004A0C12" w:rsidRDefault="00AB5AEF" w:rsidP="00AD2026">
      <w:pPr>
        <w:numPr>
          <w:ilvl w:val="0"/>
          <w:numId w:val="103"/>
        </w:numPr>
        <w:tabs>
          <w:tab w:val="clear" w:pos="0"/>
          <w:tab w:val="num" w:pos="720"/>
        </w:tabs>
        <w:spacing w:line="240" w:lineRule="auto"/>
        <w:ind w:left="720" w:hanging="360"/>
        <w:contextualSpacing/>
        <w:jc w:val="both"/>
        <w:rPr>
          <w:rFonts w:ascii="Garamond" w:hAnsi="Garamond"/>
        </w:rPr>
      </w:pPr>
      <w:r w:rsidRPr="004A0C12">
        <w:rPr>
          <w:rFonts w:ascii="Garamond" w:hAnsi="Garamond" w:cs="Times New Roman"/>
        </w:rPr>
        <w:t xml:space="preserve">When a worker at risk of dislocation transitions to a new job, with the same employer or a different employer, and experiences no or a minimal break in employment. </w:t>
      </w:r>
    </w:p>
    <w:p w14:paraId="4F0617EE" w14:textId="7A1446F0" w:rsidR="00B17D43" w:rsidRPr="004A0C12" w:rsidRDefault="00B17D43" w:rsidP="00AD2026">
      <w:pPr>
        <w:pStyle w:val="NormalWeb"/>
        <w:spacing w:before="0" w:beforeAutospacing="0" w:afterAutospacing="0"/>
        <w:ind w:left="360"/>
        <w:rPr>
          <w:rFonts w:ascii="Garamond" w:hAnsi="Garamond"/>
          <w:sz w:val="22"/>
          <w:szCs w:val="22"/>
        </w:rPr>
      </w:pPr>
      <w:r w:rsidRPr="004A0C12">
        <w:rPr>
          <w:rFonts w:ascii="Garamond" w:hAnsi="Garamond"/>
          <w:sz w:val="22"/>
          <w:szCs w:val="22"/>
        </w:rPr>
        <w:lastRenderedPageBreak/>
        <w:t xml:space="preserve">Through on going engagement with businesses, field representatives will establish relationships with employers and obtain basic knowledge regarding the company, their needs and processes as well as their well-being. If an employer contacts a field representative and advises them they are struggling, or if the representative suspects difficulties or obtains information suggesting trouble via news articles, current labor market information or other sources, arrangements can be made to work with the employer to take a pro-active approach. Field representatives can assist employers with strategies such as: providing assistance with incumbent worker training or other worker upskilling requirements; funding feasibility studies; connecting companies to business loan programs or other resources; establishing links to economic development activities and assistance; succession </w:t>
      </w:r>
      <w:r w:rsidRPr="004A0C12">
        <w:rPr>
          <w:rFonts w:ascii="Garamond" w:hAnsi="Garamond"/>
          <w:color w:val="000000"/>
          <w:sz w:val="22"/>
          <w:szCs w:val="22"/>
        </w:rPr>
        <w:t>planning; proactively identifying opportunities for potential economic transition into other growing industry sectors; cost reduction; process improvement; and connecting businesses to qualified workers.</w:t>
      </w:r>
    </w:p>
    <w:p w14:paraId="386568D1" w14:textId="77777777" w:rsidR="00AB5AEF" w:rsidRPr="00E64564" w:rsidRDefault="00AB5AEF" w:rsidP="00CF4628">
      <w:pPr>
        <w:pStyle w:val="Heading3"/>
        <w:rPr>
          <w:rFonts w:ascii="Garamond" w:hAnsi="Garamond"/>
          <w:sz w:val="24"/>
          <w:szCs w:val="24"/>
        </w:rPr>
      </w:pPr>
      <w:bookmarkStart w:id="127" w:name="_Toc447276171"/>
      <w:r w:rsidRPr="00E64564">
        <w:rPr>
          <w:rFonts w:ascii="Garamond" w:hAnsi="Garamond"/>
          <w:sz w:val="24"/>
          <w:szCs w:val="24"/>
        </w:rPr>
        <w:t>Disaster Planning</w:t>
      </w:r>
      <w:bookmarkEnd w:id="127"/>
    </w:p>
    <w:p w14:paraId="2572DF9C" w14:textId="49EF012F" w:rsidR="00AB5AEF" w:rsidRPr="004A0C12" w:rsidRDefault="00AB5AEF" w:rsidP="00EA6922">
      <w:pPr>
        <w:pStyle w:val="PlainText1"/>
        <w:contextualSpacing/>
        <w:jc w:val="both"/>
        <w:rPr>
          <w:rFonts w:ascii="Garamond" w:hAnsi="Garamond"/>
          <w:sz w:val="22"/>
          <w:szCs w:val="22"/>
        </w:rPr>
      </w:pPr>
      <w:r w:rsidRPr="004A0C12">
        <w:rPr>
          <w:rFonts w:ascii="Garamond" w:hAnsi="Garamond"/>
          <w:sz w:val="22"/>
          <w:szCs w:val="22"/>
        </w:rPr>
        <w:t xml:space="preserve">USDOL recommends </w:t>
      </w:r>
      <w:r w:rsidR="001742D7" w:rsidRPr="004A0C12">
        <w:rPr>
          <w:rFonts w:ascii="Garamond" w:hAnsi="Garamond"/>
          <w:sz w:val="22"/>
          <w:szCs w:val="22"/>
        </w:rPr>
        <w:t xml:space="preserve">that </w:t>
      </w:r>
      <w:r w:rsidRPr="004A0C12">
        <w:rPr>
          <w:rFonts w:ascii="Garamond" w:hAnsi="Garamond"/>
          <w:sz w:val="22"/>
          <w:szCs w:val="22"/>
        </w:rPr>
        <w:t xml:space="preserve">states use Rapid Response funds to plan for disaster response before a disaster strikes. In keeping with that recommendation, DLLR has developed a plan and taken initial preparation and coordination steps in an effort to strive for strong disaster preparedness. </w:t>
      </w:r>
    </w:p>
    <w:p w14:paraId="42F93AAA" w14:textId="77777777" w:rsidR="00AB5AEF" w:rsidRPr="004A0C12" w:rsidRDefault="00AB5AEF" w:rsidP="00EA6922">
      <w:pPr>
        <w:pStyle w:val="PlainText1"/>
        <w:contextualSpacing/>
        <w:jc w:val="both"/>
        <w:rPr>
          <w:rFonts w:ascii="Garamond" w:hAnsi="Garamond"/>
          <w:sz w:val="22"/>
          <w:szCs w:val="22"/>
        </w:rPr>
      </w:pPr>
    </w:p>
    <w:p w14:paraId="6E4C612C" w14:textId="77777777" w:rsidR="00AB5AEF" w:rsidRPr="004A0C12" w:rsidRDefault="00AB5AEF" w:rsidP="00EA6922">
      <w:pPr>
        <w:pStyle w:val="PlainText1"/>
        <w:contextualSpacing/>
        <w:jc w:val="both"/>
        <w:rPr>
          <w:rFonts w:ascii="Garamond" w:hAnsi="Garamond"/>
          <w:sz w:val="22"/>
          <w:szCs w:val="22"/>
        </w:rPr>
      </w:pPr>
      <w:r w:rsidRPr="004A0C12">
        <w:rPr>
          <w:rFonts w:ascii="Garamond" w:hAnsi="Garamond"/>
          <w:sz w:val="22"/>
          <w:szCs w:val="22"/>
        </w:rPr>
        <w:t>In the event of a disaster, Maryland will use Rapid Response funds to support the following activities:</w:t>
      </w:r>
    </w:p>
    <w:p w14:paraId="0338D7E3" w14:textId="77777777" w:rsidR="00AB5AEF" w:rsidRPr="004A0C12" w:rsidRDefault="00AB5AEF" w:rsidP="00EA6922">
      <w:pPr>
        <w:pStyle w:val="PlainText1"/>
        <w:contextualSpacing/>
        <w:jc w:val="both"/>
        <w:rPr>
          <w:rFonts w:ascii="Garamond" w:hAnsi="Garamond"/>
          <w:sz w:val="22"/>
          <w:szCs w:val="22"/>
        </w:rPr>
      </w:pPr>
    </w:p>
    <w:p w14:paraId="36BEDF88" w14:textId="264B29B1" w:rsidR="00AB5AEF" w:rsidRPr="004A0C12" w:rsidRDefault="00AB5AEF" w:rsidP="00F733CF">
      <w:pPr>
        <w:pStyle w:val="PlainText1"/>
        <w:numPr>
          <w:ilvl w:val="0"/>
          <w:numId w:val="104"/>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Devise prospective strat</w:t>
      </w:r>
      <w:r w:rsidR="00BB5F3C" w:rsidRPr="004A0C12">
        <w:rPr>
          <w:rFonts w:ascii="Garamond" w:hAnsi="Garamond"/>
          <w:sz w:val="22"/>
          <w:szCs w:val="22"/>
        </w:rPr>
        <w:t>egies to provide assistance to Local A</w:t>
      </w:r>
      <w:r w:rsidRPr="004A0C12">
        <w:rPr>
          <w:rFonts w:ascii="Garamond" w:hAnsi="Garamond"/>
          <w:sz w:val="22"/>
          <w:szCs w:val="22"/>
        </w:rPr>
        <w:t>reas experi</w:t>
      </w:r>
      <w:r w:rsidR="001742D7" w:rsidRPr="004A0C12">
        <w:rPr>
          <w:rFonts w:ascii="Garamond" w:hAnsi="Garamond"/>
          <w:sz w:val="22"/>
          <w:szCs w:val="22"/>
        </w:rPr>
        <w:t>encing disasters</w:t>
      </w:r>
    </w:p>
    <w:p w14:paraId="5392237F" w14:textId="43B275A7" w:rsidR="00AB5AEF" w:rsidRPr="004A0C12" w:rsidRDefault="00AB5AEF" w:rsidP="00F733CF">
      <w:pPr>
        <w:pStyle w:val="PlainText1"/>
        <w:numPr>
          <w:ilvl w:val="0"/>
          <w:numId w:val="104"/>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Identify str</w:t>
      </w:r>
      <w:r w:rsidR="001742D7" w:rsidRPr="004A0C12">
        <w:rPr>
          <w:rFonts w:ascii="Garamond" w:hAnsi="Garamond"/>
          <w:sz w:val="22"/>
          <w:szCs w:val="22"/>
        </w:rPr>
        <w:t>ategies for aversion of layoffs</w:t>
      </w:r>
    </w:p>
    <w:p w14:paraId="2868ADBC" w14:textId="46A20C6E" w:rsidR="00AB5AEF" w:rsidRPr="004A0C12" w:rsidRDefault="00CB70A6" w:rsidP="00F733CF">
      <w:pPr>
        <w:pStyle w:val="PlainText1"/>
        <w:numPr>
          <w:ilvl w:val="0"/>
          <w:numId w:val="104"/>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Ensure m</w:t>
      </w:r>
      <w:r w:rsidR="00AB5AEF" w:rsidRPr="004A0C12">
        <w:rPr>
          <w:rFonts w:ascii="Garamond" w:hAnsi="Garamond"/>
          <w:sz w:val="22"/>
          <w:szCs w:val="22"/>
        </w:rPr>
        <w:t>echanisms for regular exchange of information relating to potential dislocations</w:t>
      </w:r>
      <w:r w:rsidR="001742D7" w:rsidRPr="004A0C12">
        <w:rPr>
          <w:rFonts w:ascii="Garamond" w:hAnsi="Garamond"/>
          <w:sz w:val="22"/>
          <w:szCs w:val="22"/>
        </w:rPr>
        <w:t xml:space="preserve"> are in place</w:t>
      </w:r>
    </w:p>
    <w:p w14:paraId="52DDBCAB" w14:textId="637F0CE1" w:rsidR="00AB5AEF" w:rsidRPr="004A0C12" w:rsidRDefault="00AB5AEF" w:rsidP="00F733CF">
      <w:pPr>
        <w:pStyle w:val="PlainText1"/>
        <w:numPr>
          <w:ilvl w:val="0"/>
          <w:numId w:val="104"/>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Collect and analyze data and information for a number of purposes</w:t>
      </w:r>
    </w:p>
    <w:p w14:paraId="1F9BCEE1" w14:textId="77777777" w:rsidR="00AB5AEF" w:rsidRPr="004A0C12" w:rsidRDefault="00CB70A6" w:rsidP="00F733CF">
      <w:pPr>
        <w:pStyle w:val="PlainText1"/>
        <w:numPr>
          <w:ilvl w:val="0"/>
          <w:numId w:val="104"/>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Hold disaster d</w:t>
      </w:r>
      <w:r w:rsidR="00AB5AEF" w:rsidRPr="004A0C12">
        <w:rPr>
          <w:rFonts w:ascii="Garamond" w:hAnsi="Garamond"/>
          <w:sz w:val="22"/>
          <w:szCs w:val="22"/>
        </w:rPr>
        <w:t>rills</w:t>
      </w:r>
      <w:r w:rsidRPr="004A0C12">
        <w:rPr>
          <w:rFonts w:ascii="Garamond" w:hAnsi="Garamond"/>
          <w:sz w:val="22"/>
          <w:szCs w:val="22"/>
        </w:rPr>
        <w:t>.</w:t>
      </w:r>
    </w:p>
    <w:p w14:paraId="375C50A6" w14:textId="77777777" w:rsidR="00AB5AEF" w:rsidRPr="004A0C12" w:rsidRDefault="00AB5AEF" w:rsidP="00EA6922">
      <w:pPr>
        <w:pStyle w:val="PlainText1"/>
        <w:contextualSpacing/>
        <w:jc w:val="both"/>
        <w:rPr>
          <w:rFonts w:ascii="Garamond" w:hAnsi="Garamond"/>
          <w:sz w:val="22"/>
          <w:szCs w:val="22"/>
        </w:rPr>
      </w:pPr>
    </w:p>
    <w:p w14:paraId="6B8ED202" w14:textId="77777777" w:rsidR="00AB5AEF" w:rsidRPr="004A0C12" w:rsidRDefault="00AB5AEF" w:rsidP="00EA6922">
      <w:pPr>
        <w:pStyle w:val="PlainText1"/>
        <w:contextualSpacing/>
        <w:jc w:val="both"/>
        <w:rPr>
          <w:rFonts w:ascii="Garamond" w:hAnsi="Garamond"/>
          <w:sz w:val="22"/>
          <w:szCs w:val="22"/>
        </w:rPr>
      </w:pPr>
      <w:r w:rsidRPr="004A0C12">
        <w:rPr>
          <w:rFonts w:ascii="Garamond" w:hAnsi="Garamond"/>
          <w:sz w:val="22"/>
          <w:szCs w:val="22"/>
        </w:rPr>
        <w:t xml:space="preserve">In the event of a natural disaster, mass layoff, or other emergency, DLLR’s Secretary will work closely with the Governor and other cabinet-level staff to execute the appropriate actions in a timely manner through the Department’s position on the Maryland Emergency Management Agency Board. The Secretary, in turn, will communicate with appropriate staff, including the Rapid Response team, to ensure the State fulfills its obligation to deliver the appropriate services and transition workers to new employment as quickly as possible.  </w:t>
      </w:r>
    </w:p>
    <w:p w14:paraId="7A3E187A" w14:textId="77777777" w:rsidR="00B17D43" w:rsidRPr="004A0C12" w:rsidRDefault="00B17D43" w:rsidP="00B17D43">
      <w:pPr>
        <w:spacing w:after="100" w:line="240" w:lineRule="auto"/>
        <w:rPr>
          <w:rFonts w:ascii="Garamond" w:eastAsia="Times New Roman" w:hAnsi="Garamond" w:cs="Times New Roman"/>
        </w:rPr>
      </w:pPr>
      <w:r w:rsidRPr="004A0C12">
        <w:rPr>
          <w:rFonts w:ascii="Garamond" w:eastAsia="Times New Roman" w:hAnsi="Garamond" w:cs="Times New Roman"/>
          <w:color w:val="000000"/>
        </w:rPr>
        <w:t>The Director of the Department’s Office of General Services serves as the point person for the Maryland Emergency Management Agency (MEMA). The Director takes part in daily conference calls throughout the immediate aftermath of the emergency, and interfaces with FEMA, MEMA and other state agencies to coordinate the appropriate response. That information, in turn, is provided to senior staff of the Department.</w:t>
      </w:r>
    </w:p>
    <w:p w14:paraId="3B3DEA0B" w14:textId="77777777" w:rsidR="00B17D43" w:rsidRPr="004A0C12" w:rsidRDefault="00B17D43" w:rsidP="00B17D43">
      <w:pPr>
        <w:spacing w:after="100" w:line="240" w:lineRule="auto"/>
        <w:rPr>
          <w:rFonts w:ascii="Garamond" w:eastAsia="Times New Roman" w:hAnsi="Garamond" w:cs="Times New Roman"/>
        </w:rPr>
      </w:pPr>
      <w:r w:rsidRPr="004A0C12">
        <w:rPr>
          <w:rFonts w:ascii="Garamond" w:eastAsia="Times New Roman" w:hAnsi="Garamond" w:cs="Times New Roman"/>
          <w:color w:val="000000"/>
        </w:rPr>
        <w:t>In July 2016, in response to the Ellicott City flood, Governor Hogan requested that all cabinet secretaries work to find ways to provide services to those affected. In turn, the Secretary worked with all senior leaders to determine the services that could be offered by the Department. The Division of Workforce Development and Adult Learning and the Division of Unemployment Insurance worked closely together to ensure that those businesses and employees affected have access to technology and dedicated staff to ensure that unemployment benefits were filed and that reemployment efforts occurred immediately. The Division of Workforce Development and Adult Learning, in turn, worked closely with staff from the Local Area to ensure that job fairs and listings were widely distributed utilizing social media and agency listservs.</w:t>
      </w:r>
    </w:p>
    <w:p w14:paraId="611B9188" w14:textId="77777777" w:rsidR="00AB5AEF" w:rsidRPr="004A0C12" w:rsidRDefault="00AB5AEF" w:rsidP="00EA6922">
      <w:pPr>
        <w:pStyle w:val="PlainText1"/>
        <w:contextualSpacing/>
        <w:jc w:val="both"/>
        <w:rPr>
          <w:rFonts w:ascii="Garamond" w:hAnsi="Garamond"/>
          <w:sz w:val="22"/>
          <w:szCs w:val="22"/>
        </w:rPr>
      </w:pPr>
    </w:p>
    <w:p w14:paraId="79AB0384" w14:textId="28555582" w:rsidR="00AB5AEF" w:rsidRPr="004A0C12" w:rsidRDefault="00AB5AEF" w:rsidP="00EA6922">
      <w:pPr>
        <w:pStyle w:val="PlainText1"/>
        <w:contextualSpacing/>
        <w:jc w:val="both"/>
        <w:rPr>
          <w:rFonts w:ascii="Garamond" w:hAnsi="Garamond"/>
          <w:sz w:val="22"/>
          <w:szCs w:val="22"/>
        </w:rPr>
      </w:pPr>
      <w:r w:rsidRPr="004A0C12">
        <w:rPr>
          <w:rFonts w:ascii="Garamond" w:hAnsi="Garamond"/>
          <w:sz w:val="22"/>
          <w:szCs w:val="22"/>
        </w:rPr>
        <w:t xml:space="preserve">Rapid Response teams are expected to be flexible and responsive. Therefore, it </w:t>
      </w:r>
      <w:r w:rsidR="001742D7" w:rsidRPr="004A0C12">
        <w:rPr>
          <w:rFonts w:ascii="Garamond" w:hAnsi="Garamond"/>
          <w:sz w:val="22"/>
          <w:szCs w:val="22"/>
        </w:rPr>
        <w:t>is appropriate that</w:t>
      </w:r>
      <w:r w:rsidRPr="004A0C12">
        <w:rPr>
          <w:rFonts w:ascii="Garamond" w:hAnsi="Garamond"/>
          <w:sz w:val="22"/>
          <w:szCs w:val="22"/>
        </w:rPr>
        <w:t xml:space="preserve"> that Rapid Response</w:t>
      </w:r>
      <w:r w:rsidR="001742D7" w:rsidRPr="004A0C12">
        <w:rPr>
          <w:rFonts w:ascii="Garamond" w:hAnsi="Garamond"/>
          <w:sz w:val="22"/>
          <w:szCs w:val="22"/>
        </w:rPr>
        <w:t xml:space="preserve"> teams play</w:t>
      </w:r>
      <w:r w:rsidRPr="004A0C12">
        <w:rPr>
          <w:rFonts w:ascii="Garamond" w:hAnsi="Garamond"/>
          <w:sz w:val="22"/>
          <w:szCs w:val="22"/>
        </w:rPr>
        <w:t xml:space="preserve"> a key role in disaster response in partnership with other internal and external government, non-profit, and private agencies. </w:t>
      </w:r>
      <w:r w:rsidR="001742D7" w:rsidRPr="004A0C12">
        <w:rPr>
          <w:rFonts w:ascii="Garamond" w:hAnsi="Garamond"/>
          <w:sz w:val="22"/>
          <w:szCs w:val="22"/>
        </w:rPr>
        <w:t>If necessary</w:t>
      </w:r>
      <w:r w:rsidRPr="004A0C12">
        <w:rPr>
          <w:rFonts w:ascii="Garamond" w:hAnsi="Garamond"/>
          <w:sz w:val="22"/>
          <w:szCs w:val="22"/>
        </w:rPr>
        <w:t>, Mar</w:t>
      </w:r>
      <w:r w:rsidR="001742D7" w:rsidRPr="004A0C12">
        <w:rPr>
          <w:rFonts w:ascii="Garamond" w:hAnsi="Garamond"/>
          <w:sz w:val="22"/>
          <w:szCs w:val="22"/>
        </w:rPr>
        <w:t>yland will be able to access the</w:t>
      </w:r>
      <w:r w:rsidRPr="004A0C12">
        <w:rPr>
          <w:rFonts w:ascii="Garamond" w:hAnsi="Garamond"/>
          <w:sz w:val="22"/>
          <w:szCs w:val="22"/>
        </w:rPr>
        <w:t>se funds for the following activities:</w:t>
      </w:r>
    </w:p>
    <w:p w14:paraId="589AF9B0" w14:textId="45B3FB78" w:rsidR="00AB5AEF" w:rsidRPr="004A0C12" w:rsidRDefault="00AB5AEF" w:rsidP="00F733CF">
      <w:pPr>
        <w:pStyle w:val="PlainText1"/>
        <w:numPr>
          <w:ilvl w:val="0"/>
          <w:numId w:val="105"/>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Purchase and deployment of mobile units for ser</w:t>
      </w:r>
      <w:r w:rsidR="001742D7" w:rsidRPr="004A0C12">
        <w:rPr>
          <w:rFonts w:ascii="Garamond" w:hAnsi="Garamond"/>
          <w:sz w:val="22"/>
          <w:szCs w:val="22"/>
        </w:rPr>
        <w:t>vice delivery in disaster areas</w:t>
      </w:r>
    </w:p>
    <w:p w14:paraId="4C69C661" w14:textId="6820ACE9" w:rsidR="00AB5AEF" w:rsidRPr="004A0C12" w:rsidRDefault="00AB5AEF" w:rsidP="00F733CF">
      <w:pPr>
        <w:pStyle w:val="PlainText1"/>
        <w:numPr>
          <w:ilvl w:val="0"/>
          <w:numId w:val="105"/>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Support for organizing physical locations for disaster relief</w:t>
      </w:r>
      <w:r w:rsidR="001742D7" w:rsidRPr="004A0C12">
        <w:rPr>
          <w:rFonts w:ascii="Garamond" w:hAnsi="Garamond"/>
          <w:sz w:val="22"/>
          <w:szCs w:val="22"/>
        </w:rPr>
        <w:t xml:space="preserve"> centers</w:t>
      </w:r>
    </w:p>
    <w:p w14:paraId="10EC513B" w14:textId="479C2210" w:rsidR="00AB5AEF" w:rsidRPr="004A0C12" w:rsidRDefault="001742D7" w:rsidP="00F733CF">
      <w:pPr>
        <w:pStyle w:val="PlainText1"/>
        <w:numPr>
          <w:ilvl w:val="0"/>
          <w:numId w:val="105"/>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Assist</w:t>
      </w:r>
      <w:r w:rsidR="00AB5AEF" w:rsidRPr="004A0C12">
        <w:rPr>
          <w:rFonts w:ascii="Garamond" w:hAnsi="Garamond"/>
          <w:sz w:val="22"/>
          <w:szCs w:val="22"/>
        </w:rPr>
        <w:t xml:space="preserve"> individuals with applying for unemployment insurance (and Di</w:t>
      </w:r>
      <w:r w:rsidRPr="004A0C12">
        <w:rPr>
          <w:rFonts w:ascii="Garamond" w:hAnsi="Garamond"/>
          <w:sz w:val="22"/>
          <w:szCs w:val="22"/>
        </w:rPr>
        <w:t>saster Unemployment Assistance)</w:t>
      </w:r>
    </w:p>
    <w:p w14:paraId="54F4FDAE" w14:textId="106CA553" w:rsidR="00AB5AEF" w:rsidRPr="004A0C12" w:rsidRDefault="00AB5AEF" w:rsidP="00F733CF">
      <w:pPr>
        <w:pStyle w:val="PlainText1"/>
        <w:numPr>
          <w:ilvl w:val="0"/>
          <w:numId w:val="105"/>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Support sharing information on services available, including temporary jobs through Na</w:t>
      </w:r>
      <w:r w:rsidR="001742D7" w:rsidRPr="004A0C12">
        <w:rPr>
          <w:rFonts w:ascii="Garamond" w:hAnsi="Garamond"/>
          <w:sz w:val="22"/>
          <w:szCs w:val="22"/>
        </w:rPr>
        <w:t>tional Dislocated Worker Grants</w:t>
      </w:r>
    </w:p>
    <w:p w14:paraId="55B4CD5B" w14:textId="7D400EEB" w:rsidR="00AB5AEF" w:rsidRPr="004A0C12" w:rsidRDefault="00AB5AEF" w:rsidP="00F733CF">
      <w:pPr>
        <w:pStyle w:val="PlainText1"/>
        <w:numPr>
          <w:ilvl w:val="0"/>
          <w:numId w:val="105"/>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Hiring staff to support range of needs of impacted individ</w:t>
      </w:r>
      <w:r w:rsidR="001742D7" w:rsidRPr="004A0C12">
        <w:rPr>
          <w:rFonts w:ascii="Garamond" w:hAnsi="Garamond"/>
          <w:sz w:val="22"/>
          <w:szCs w:val="22"/>
        </w:rPr>
        <w:t>uals, including counselors</w:t>
      </w:r>
    </w:p>
    <w:p w14:paraId="14371166" w14:textId="36975BFB" w:rsidR="00AB5AEF" w:rsidRPr="004A0C12" w:rsidRDefault="001742D7" w:rsidP="00F733CF">
      <w:pPr>
        <w:pStyle w:val="PlainText1"/>
        <w:numPr>
          <w:ilvl w:val="0"/>
          <w:numId w:val="105"/>
        </w:numPr>
        <w:tabs>
          <w:tab w:val="clear" w:pos="360"/>
          <w:tab w:val="num" w:pos="720"/>
        </w:tabs>
        <w:ind w:left="720" w:hanging="360"/>
        <w:contextualSpacing/>
        <w:jc w:val="both"/>
        <w:rPr>
          <w:rFonts w:ascii="Garamond" w:hAnsi="Garamond"/>
          <w:sz w:val="22"/>
          <w:szCs w:val="22"/>
        </w:rPr>
      </w:pPr>
      <w:r w:rsidRPr="004A0C12">
        <w:rPr>
          <w:rFonts w:ascii="Garamond" w:hAnsi="Garamond"/>
          <w:sz w:val="22"/>
          <w:szCs w:val="22"/>
        </w:rPr>
        <w:t>Job search assistance</w:t>
      </w:r>
    </w:p>
    <w:p w14:paraId="1FA33AC4" w14:textId="77777777" w:rsidR="00AB5AEF" w:rsidRPr="004A0C12" w:rsidRDefault="00AB5AEF" w:rsidP="00EA6922">
      <w:pPr>
        <w:pStyle w:val="PlainText1"/>
        <w:contextualSpacing/>
        <w:rPr>
          <w:rFonts w:ascii="Garamond" w:hAnsi="Garamond"/>
          <w:sz w:val="22"/>
          <w:szCs w:val="22"/>
        </w:rPr>
      </w:pPr>
    </w:p>
    <w:p w14:paraId="54123A55" w14:textId="77777777" w:rsidR="00AB5AEF" w:rsidRPr="004A0C12" w:rsidRDefault="00AB5AEF" w:rsidP="00EA6922">
      <w:pPr>
        <w:pStyle w:val="PlainText1"/>
        <w:contextualSpacing/>
        <w:jc w:val="both"/>
        <w:rPr>
          <w:rFonts w:ascii="Garamond" w:hAnsi="Garamond"/>
          <w:sz w:val="22"/>
          <w:szCs w:val="22"/>
        </w:rPr>
      </w:pPr>
      <w:r w:rsidRPr="004A0C12">
        <w:rPr>
          <w:rFonts w:ascii="Garamond" w:hAnsi="Garamond"/>
          <w:sz w:val="22"/>
          <w:szCs w:val="22"/>
        </w:rPr>
        <w:lastRenderedPageBreak/>
        <w:t>The Dislocation Services Unit, in partnership with Business Services</w:t>
      </w:r>
      <w:r w:rsidR="00CB70A6" w:rsidRPr="004A0C12">
        <w:rPr>
          <w:rFonts w:ascii="Garamond" w:hAnsi="Garamond"/>
          <w:sz w:val="22"/>
          <w:szCs w:val="22"/>
        </w:rPr>
        <w:t xml:space="preserve"> Team</w:t>
      </w:r>
      <w:r w:rsidRPr="004A0C12">
        <w:rPr>
          <w:rFonts w:ascii="Garamond" w:hAnsi="Garamond"/>
          <w:sz w:val="22"/>
          <w:szCs w:val="22"/>
        </w:rPr>
        <w:t xml:space="preserve">, will work to ensure that Maryland businesses consider the importance of having an emergency plan within their own organization as a part of the Maryland Business </w:t>
      </w:r>
      <w:r w:rsidR="00CB70A6" w:rsidRPr="004A0C12">
        <w:rPr>
          <w:rFonts w:ascii="Garamond" w:hAnsi="Garamond"/>
          <w:sz w:val="22"/>
          <w:szCs w:val="22"/>
        </w:rPr>
        <w:t xml:space="preserve">Services </w:t>
      </w:r>
      <w:r w:rsidRPr="004A0C12">
        <w:rPr>
          <w:rFonts w:ascii="Garamond" w:hAnsi="Garamond"/>
          <w:sz w:val="22"/>
          <w:szCs w:val="22"/>
        </w:rPr>
        <w:t xml:space="preserve">Team’s outreach efforts. Staff will offer assistance in the development of their personal disaster plan, according to their projected needs.   </w:t>
      </w:r>
    </w:p>
    <w:p w14:paraId="5A54B382" w14:textId="77777777" w:rsidR="00AB5AEF" w:rsidRPr="00E64564" w:rsidRDefault="00AB5AEF" w:rsidP="00CF4628">
      <w:pPr>
        <w:pStyle w:val="Heading3"/>
        <w:rPr>
          <w:rFonts w:ascii="Garamond" w:hAnsi="Garamond"/>
          <w:sz w:val="24"/>
          <w:szCs w:val="24"/>
        </w:rPr>
      </w:pPr>
      <w:bookmarkStart w:id="128" w:name="_Toc447276172"/>
      <w:r w:rsidRPr="00E64564">
        <w:rPr>
          <w:rFonts w:ascii="Garamond" w:hAnsi="Garamond"/>
          <w:sz w:val="24"/>
          <w:szCs w:val="24"/>
        </w:rPr>
        <w:t>Rapid Response &amp; Trade Adjustment Assistance</w:t>
      </w:r>
      <w:bookmarkEnd w:id="128"/>
      <w:r w:rsidRPr="00E64564">
        <w:rPr>
          <w:rFonts w:ascii="Garamond" w:hAnsi="Garamond"/>
          <w:sz w:val="24"/>
          <w:szCs w:val="24"/>
        </w:rPr>
        <w:t xml:space="preserve"> </w:t>
      </w:r>
    </w:p>
    <w:p w14:paraId="7E7759E4" w14:textId="465CCA90" w:rsidR="00AB5AEF" w:rsidRPr="004A0C12" w:rsidRDefault="00AB5AEF" w:rsidP="00AB5AEF">
      <w:pPr>
        <w:pStyle w:val="ListParagraph"/>
        <w:tabs>
          <w:tab w:val="left" w:pos="360"/>
          <w:tab w:val="left" w:pos="990"/>
        </w:tabs>
        <w:ind w:left="0"/>
        <w:jc w:val="both"/>
        <w:rPr>
          <w:rFonts w:ascii="Garamond" w:hAnsi="Garamond"/>
          <w:szCs w:val="22"/>
        </w:rPr>
      </w:pPr>
      <w:r w:rsidRPr="004A0C12">
        <w:rPr>
          <w:rFonts w:ascii="Garamond" w:hAnsi="Garamond"/>
          <w:szCs w:val="22"/>
        </w:rPr>
        <w:t xml:space="preserve">The federal government provides additional services to workers whose jobs are lost due to foreign trade or shifts in production out of the United States. </w:t>
      </w:r>
      <w:r w:rsidR="00FC7AEC" w:rsidRPr="004A0C12">
        <w:rPr>
          <w:rFonts w:ascii="Garamond" w:hAnsi="Garamond"/>
          <w:szCs w:val="22"/>
        </w:rPr>
        <w:t xml:space="preserve">The Trade Act program is administered, staffed, and implemented by DWDAL and the Division of Unemployment Insurance, alongside the State’s local workforce areas. </w:t>
      </w:r>
      <w:r w:rsidRPr="004A0C12">
        <w:rPr>
          <w:rFonts w:ascii="Garamond" w:hAnsi="Garamond"/>
          <w:szCs w:val="22"/>
        </w:rPr>
        <w:t xml:space="preserve">While not all job loss due to foreign competition meets the requirements of the Trade Act, the Rapid Response team will work with businesses to provide information on Trade Adjustment Assistance and the benefits workers can receive if a business is certified as trade-affected. A business, the Rapid Response team, or the workers themselves can file a trade petition with the </w:t>
      </w:r>
      <w:r w:rsidR="001742D7" w:rsidRPr="004A0C12">
        <w:rPr>
          <w:rFonts w:ascii="Garamond" w:hAnsi="Garamond"/>
          <w:szCs w:val="22"/>
        </w:rPr>
        <w:t>USDOL</w:t>
      </w:r>
      <w:r w:rsidRPr="004A0C12">
        <w:rPr>
          <w:rFonts w:ascii="Garamond" w:hAnsi="Garamond"/>
          <w:szCs w:val="22"/>
        </w:rPr>
        <w:t>. Trade Adjustment Assistance, offered at no cost to employers, allows impacted workers to access an even wid</w:t>
      </w:r>
      <w:r w:rsidR="00CB70A6" w:rsidRPr="004A0C12">
        <w:rPr>
          <w:rFonts w:ascii="Garamond" w:hAnsi="Garamond"/>
          <w:szCs w:val="22"/>
        </w:rPr>
        <w:t>er array of services for which</w:t>
      </w:r>
      <w:r w:rsidRPr="004A0C12">
        <w:rPr>
          <w:rFonts w:ascii="Garamond" w:hAnsi="Garamond"/>
          <w:szCs w:val="22"/>
        </w:rPr>
        <w:t xml:space="preserve"> they would </w:t>
      </w:r>
      <w:r w:rsidR="00CB70A6" w:rsidRPr="004A0C12">
        <w:rPr>
          <w:rFonts w:ascii="Garamond" w:hAnsi="Garamond"/>
          <w:szCs w:val="22"/>
        </w:rPr>
        <w:t xml:space="preserve">not </w:t>
      </w:r>
      <w:r w:rsidRPr="004A0C12">
        <w:rPr>
          <w:rFonts w:ascii="Garamond" w:hAnsi="Garamond"/>
          <w:szCs w:val="22"/>
        </w:rPr>
        <w:t>otherwise be eligible.</w:t>
      </w:r>
    </w:p>
    <w:p w14:paraId="43C06D99" w14:textId="77777777" w:rsidR="00AB5AEF" w:rsidRPr="004A0C12" w:rsidRDefault="00AB5AEF" w:rsidP="00AB5AEF">
      <w:pPr>
        <w:pStyle w:val="ListParagraph"/>
        <w:tabs>
          <w:tab w:val="left" w:pos="360"/>
          <w:tab w:val="left" w:pos="990"/>
        </w:tabs>
        <w:ind w:left="0"/>
        <w:jc w:val="both"/>
        <w:rPr>
          <w:rFonts w:ascii="Garamond" w:hAnsi="Garamond"/>
          <w:szCs w:val="22"/>
        </w:rPr>
      </w:pPr>
    </w:p>
    <w:p w14:paraId="48396478" w14:textId="7CBCBA0D" w:rsidR="00AB5AEF" w:rsidRPr="004A0C12" w:rsidRDefault="00AB5AEF" w:rsidP="00AB5AEF">
      <w:pPr>
        <w:pStyle w:val="ListParagraph"/>
        <w:tabs>
          <w:tab w:val="left" w:pos="360"/>
          <w:tab w:val="left" w:pos="990"/>
        </w:tabs>
        <w:ind w:left="0"/>
        <w:jc w:val="both"/>
        <w:rPr>
          <w:rFonts w:ascii="Garamond" w:hAnsi="Garamond"/>
          <w:szCs w:val="22"/>
        </w:rPr>
      </w:pPr>
      <w:r w:rsidRPr="004A0C12">
        <w:rPr>
          <w:rFonts w:ascii="Garamond" w:hAnsi="Garamond"/>
          <w:szCs w:val="22"/>
        </w:rPr>
        <w:t>Once the adversely affected workers become certified un</w:t>
      </w:r>
      <w:r w:rsidR="001742D7" w:rsidRPr="004A0C12">
        <w:rPr>
          <w:rFonts w:ascii="Garamond" w:hAnsi="Garamond"/>
          <w:szCs w:val="22"/>
        </w:rPr>
        <w:t>der the Trade program, a Trade informational s</w:t>
      </w:r>
      <w:r w:rsidRPr="004A0C12">
        <w:rPr>
          <w:rFonts w:ascii="Garamond" w:hAnsi="Garamond"/>
          <w:szCs w:val="22"/>
        </w:rPr>
        <w:t>ession will be held for those workers by the Dislocation Services Unit Field Representative in coordination with th</w:t>
      </w:r>
      <w:r w:rsidR="001742D7" w:rsidRPr="004A0C12">
        <w:rPr>
          <w:rFonts w:ascii="Garamond" w:hAnsi="Garamond"/>
          <w:szCs w:val="22"/>
        </w:rPr>
        <w:t xml:space="preserve">e Trade Readjustment Allowance </w:t>
      </w:r>
      <w:r w:rsidRPr="004A0C12">
        <w:rPr>
          <w:rFonts w:ascii="Garamond" w:hAnsi="Garamond"/>
          <w:szCs w:val="22"/>
        </w:rPr>
        <w:t xml:space="preserve">Coordinator from the Division </w:t>
      </w:r>
      <w:r w:rsidR="00CB70A6" w:rsidRPr="004A0C12">
        <w:rPr>
          <w:rFonts w:ascii="Garamond" w:hAnsi="Garamond"/>
          <w:szCs w:val="22"/>
        </w:rPr>
        <w:t>of Unemployment Insurance and Trade Program case managers</w:t>
      </w:r>
      <w:r w:rsidRPr="004A0C12">
        <w:rPr>
          <w:rFonts w:ascii="Garamond" w:hAnsi="Garamond"/>
          <w:szCs w:val="22"/>
        </w:rPr>
        <w:t xml:space="preserve"> local to the impacted workers, to discuss all services and benefits </w:t>
      </w:r>
      <w:r w:rsidR="00CB70A6" w:rsidRPr="004A0C12">
        <w:rPr>
          <w:rFonts w:ascii="Garamond" w:hAnsi="Garamond"/>
          <w:szCs w:val="22"/>
        </w:rPr>
        <w:t>that</w:t>
      </w:r>
      <w:r w:rsidRPr="004A0C12">
        <w:rPr>
          <w:rFonts w:ascii="Garamond" w:hAnsi="Garamond"/>
          <w:szCs w:val="22"/>
        </w:rPr>
        <w:t xml:space="preserve"> they may be eligible for depending upon their approved petition identifier.</w:t>
      </w:r>
    </w:p>
    <w:p w14:paraId="15E5ADA0" w14:textId="77777777" w:rsidR="00B17D43" w:rsidRPr="004A0C12" w:rsidRDefault="00B17D43" w:rsidP="00B17D43">
      <w:pPr>
        <w:spacing w:after="100" w:line="240" w:lineRule="auto"/>
        <w:rPr>
          <w:rFonts w:ascii="Garamond" w:eastAsia="Times New Roman" w:hAnsi="Garamond" w:cs="Times New Roman"/>
        </w:rPr>
      </w:pPr>
      <w:r w:rsidRPr="004A0C12">
        <w:rPr>
          <w:rFonts w:ascii="Garamond" w:eastAsia="Times New Roman" w:hAnsi="Garamond" w:cs="Times New Roman"/>
          <w:color w:val="000000"/>
        </w:rPr>
        <w:t>Oftentimes it is several months before an investigation is concluded by USDOL regarding a Trade Determination. In any event, an initial Rapid Response is always offered and arranged whenever possible for the affected workers, regardless of the size of the dislocation, and whether or not a WARN was received. Maryland strives to ensure all workers receive the same services and information consistently and effectively. All impacted workers may still receive services in any one of our American Job Centers. Once the notice of Trade Certification is received, they may transition over to the Trade Adjustment Assistance Program if they choose to take advantage of the additional services provided to them under their corresponding certification number.</w:t>
      </w:r>
    </w:p>
    <w:p w14:paraId="367F53C4" w14:textId="417C2A65" w:rsidR="00AB5AEF" w:rsidRPr="004A0C12" w:rsidRDefault="00CB70A6" w:rsidP="00AB5AEF">
      <w:pPr>
        <w:pStyle w:val="ListParagraph"/>
        <w:tabs>
          <w:tab w:val="left" w:pos="360"/>
          <w:tab w:val="left" w:pos="990"/>
        </w:tabs>
        <w:ind w:left="0"/>
        <w:jc w:val="both"/>
        <w:rPr>
          <w:rFonts w:ascii="Garamond" w:hAnsi="Garamond"/>
          <w:szCs w:val="22"/>
        </w:rPr>
      </w:pPr>
      <w:r w:rsidRPr="004A0C12">
        <w:rPr>
          <w:rFonts w:ascii="Garamond" w:hAnsi="Garamond"/>
          <w:szCs w:val="22"/>
        </w:rPr>
        <w:t xml:space="preserve">The </w:t>
      </w:r>
      <w:r w:rsidR="00AB5AEF" w:rsidRPr="004A0C12">
        <w:rPr>
          <w:rFonts w:ascii="Garamond" w:hAnsi="Garamond"/>
          <w:szCs w:val="22"/>
        </w:rPr>
        <w:t xml:space="preserve">Trade Adjustment Assistance Program enables adversely affected workers to prepare for reemployment as quickly as possible by allowing Trade-impacted </w:t>
      </w:r>
      <w:r w:rsidRPr="004A0C12">
        <w:rPr>
          <w:rFonts w:ascii="Garamond" w:hAnsi="Garamond"/>
          <w:szCs w:val="22"/>
        </w:rPr>
        <w:t>participants</w:t>
      </w:r>
      <w:r w:rsidR="00AB5AEF" w:rsidRPr="004A0C12">
        <w:rPr>
          <w:rFonts w:ascii="Garamond" w:hAnsi="Garamond"/>
          <w:szCs w:val="22"/>
        </w:rPr>
        <w:t xml:space="preserve"> to work individually with a case manager located in one of the statewide American Job Centers. The case manager will work with the Dislocation Services Unit to enroll eligible participants into the Trade Program. Participants will be co-enrolled whenever possible. Co-enrollment allows the individual to receive core and intensive services, reemployment services, training, and support services. Funding for both</w:t>
      </w:r>
      <w:r w:rsidR="001742D7" w:rsidRPr="004A0C12">
        <w:rPr>
          <w:rFonts w:ascii="Garamond" w:hAnsi="Garamond"/>
          <w:szCs w:val="22"/>
        </w:rPr>
        <w:t xml:space="preserve"> </w:t>
      </w:r>
      <w:r w:rsidR="00AB5AEF" w:rsidRPr="004A0C12">
        <w:rPr>
          <w:rFonts w:ascii="Garamond" w:hAnsi="Garamond"/>
          <w:szCs w:val="22"/>
        </w:rPr>
        <w:t xml:space="preserve">programs is available at each of the American Job Centers. Individuals eligible for Dislocated Worker Services and </w:t>
      </w:r>
      <w:r w:rsidR="001742D7" w:rsidRPr="004A0C12">
        <w:rPr>
          <w:rFonts w:ascii="Garamond" w:hAnsi="Garamond"/>
          <w:szCs w:val="22"/>
        </w:rPr>
        <w:t>Trade Adjustment Assistance</w:t>
      </w:r>
      <w:r w:rsidR="00AB5AEF" w:rsidRPr="004A0C12">
        <w:rPr>
          <w:rFonts w:ascii="Garamond" w:hAnsi="Garamond"/>
          <w:szCs w:val="22"/>
        </w:rPr>
        <w:t xml:space="preserve"> Services are provided career services with the same case manager</w:t>
      </w:r>
      <w:r w:rsidRPr="004A0C12">
        <w:rPr>
          <w:rFonts w:ascii="Garamond" w:hAnsi="Garamond"/>
          <w:szCs w:val="22"/>
        </w:rPr>
        <w:t>,</w:t>
      </w:r>
      <w:r w:rsidR="00AB5AEF" w:rsidRPr="004A0C12">
        <w:rPr>
          <w:rFonts w:ascii="Garamond" w:hAnsi="Garamond"/>
          <w:szCs w:val="22"/>
        </w:rPr>
        <w:t xml:space="preserve"> allowing the individual a seamless approach to the development of an Individualized Employment Plan. </w:t>
      </w:r>
    </w:p>
    <w:p w14:paraId="4DBD68A9" w14:textId="77777777" w:rsidR="00AB5AEF" w:rsidRPr="004A0C12" w:rsidRDefault="00AB5AEF" w:rsidP="00AB5AEF">
      <w:pPr>
        <w:pStyle w:val="ListParagraph"/>
        <w:tabs>
          <w:tab w:val="left" w:pos="360"/>
          <w:tab w:val="left" w:pos="990"/>
        </w:tabs>
        <w:ind w:left="0"/>
        <w:jc w:val="both"/>
        <w:rPr>
          <w:rFonts w:ascii="Garamond" w:hAnsi="Garamond"/>
          <w:szCs w:val="22"/>
        </w:rPr>
      </w:pPr>
      <w:r w:rsidRPr="004A0C12">
        <w:rPr>
          <w:rFonts w:ascii="Garamond" w:hAnsi="Garamond"/>
          <w:szCs w:val="22"/>
        </w:rPr>
        <w:t xml:space="preserve"> </w:t>
      </w:r>
    </w:p>
    <w:p w14:paraId="7641BB21" w14:textId="25F43D36" w:rsidR="00AB5AEF" w:rsidRPr="004A0C12" w:rsidRDefault="00AB5AEF" w:rsidP="00AB5AEF">
      <w:pPr>
        <w:pStyle w:val="ListParagraph"/>
        <w:tabs>
          <w:tab w:val="left" w:pos="360"/>
          <w:tab w:val="left" w:pos="990"/>
        </w:tabs>
        <w:ind w:left="0"/>
        <w:jc w:val="both"/>
        <w:rPr>
          <w:rFonts w:ascii="Garamond" w:hAnsi="Garamond"/>
          <w:szCs w:val="22"/>
        </w:rPr>
      </w:pPr>
      <w:r w:rsidRPr="004A0C12">
        <w:rPr>
          <w:rFonts w:ascii="Garamond" w:hAnsi="Garamond"/>
          <w:szCs w:val="22"/>
        </w:rPr>
        <w:t xml:space="preserve">Case management begins with an initial assessment of the individual’s skills, interests, abilities, and goals. Marketable and transferrable skills are identified during this assessment </w:t>
      </w:r>
      <w:r w:rsidR="001742D7" w:rsidRPr="004A0C12">
        <w:rPr>
          <w:rFonts w:ascii="Garamond" w:hAnsi="Garamond"/>
          <w:szCs w:val="22"/>
        </w:rPr>
        <w:t>process, as well as matching existing</w:t>
      </w:r>
      <w:r w:rsidRPr="004A0C12">
        <w:rPr>
          <w:rFonts w:ascii="Garamond" w:hAnsi="Garamond"/>
          <w:szCs w:val="22"/>
        </w:rPr>
        <w:t xml:space="preserve"> skills to available, suitable employment with local employers. Many times the trade petition is certified well after the assessment process, and because DLLR has a co-enrollment process, the individual can continue working with the same case manager while being provided services and benefits under both the WIOA Title I Dislocated Worker program and the Trade program. After the assessment is completed and it is determined that the individual requires retraining in order to become reemployed in suitable employment, the case manager will continue working wit</w:t>
      </w:r>
      <w:r w:rsidR="00CB70A6" w:rsidRPr="004A0C12">
        <w:rPr>
          <w:rFonts w:ascii="Garamond" w:hAnsi="Garamond"/>
          <w:szCs w:val="22"/>
        </w:rPr>
        <w:t>h the individual in developing his or her</w:t>
      </w:r>
      <w:r w:rsidRPr="004A0C12">
        <w:rPr>
          <w:rFonts w:ascii="Garamond" w:hAnsi="Garamond"/>
          <w:szCs w:val="22"/>
        </w:rPr>
        <w:t xml:space="preserve"> retraining plan. The participants will do research on training programs and requirements using statewide labor market information. Training will be approved as long as it meets the six criteria for approval</w:t>
      </w:r>
      <w:r w:rsidR="001742D7" w:rsidRPr="004A0C12">
        <w:rPr>
          <w:rFonts w:ascii="Garamond" w:hAnsi="Garamond"/>
          <w:szCs w:val="22"/>
        </w:rPr>
        <w:t xml:space="preserve"> of training under the Trade Act, and federal </w:t>
      </w:r>
      <w:r w:rsidRPr="004A0C12">
        <w:rPr>
          <w:rFonts w:ascii="Garamond" w:hAnsi="Garamond"/>
          <w:szCs w:val="22"/>
        </w:rPr>
        <w:t>Tr</w:t>
      </w:r>
      <w:r w:rsidR="00CB70A6" w:rsidRPr="004A0C12">
        <w:rPr>
          <w:rFonts w:ascii="Garamond" w:hAnsi="Garamond"/>
          <w:szCs w:val="22"/>
        </w:rPr>
        <w:t>ade funds</w:t>
      </w:r>
      <w:r w:rsidR="001742D7" w:rsidRPr="004A0C12">
        <w:rPr>
          <w:rFonts w:ascii="Garamond" w:hAnsi="Garamond"/>
          <w:szCs w:val="22"/>
        </w:rPr>
        <w:t xml:space="preserve"> are available. The Trade Adjustment Assistance</w:t>
      </w:r>
      <w:r w:rsidR="00CB70A6" w:rsidRPr="004A0C12">
        <w:rPr>
          <w:rFonts w:ascii="Garamond" w:hAnsi="Garamond"/>
          <w:szCs w:val="22"/>
        </w:rPr>
        <w:t xml:space="preserve"> State Merit staff review and make</w:t>
      </w:r>
      <w:r w:rsidRPr="004A0C12">
        <w:rPr>
          <w:rFonts w:ascii="Garamond" w:hAnsi="Garamond"/>
          <w:szCs w:val="22"/>
        </w:rPr>
        <w:t xml:space="preserve"> the final determination on the retraining plan, ensuring it meets the federal requirements under the Trade Act. </w:t>
      </w:r>
      <w:r w:rsidR="00CB70A6" w:rsidRPr="004A0C12">
        <w:rPr>
          <w:rFonts w:ascii="Garamond" w:hAnsi="Garamond"/>
          <w:szCs w:val="22"/>
        </w:rPr>
        <w:t>Co-e</w:t>
      </w:r>
      <w:r w:rsidRPr="004A0C12">
        <w:rPr>
          <w:rFonts w:ascii="Garamond" w:hAnsi="Garamond"/>
          <w:szCs w:val="22"/>
        </w:rPr>
        <w:t>nrollment continues through the en</w:t>
      </w:r>
      <w:r w:rsidR="00FC7AEC" w:rsidRPr="004A0C12">
        <w:rPr>
          <w:rFonts w:ascii="Garamond" w:hAnsi="Garamond"/>
          <w:szCs w:val="22"/>
        </w:rPr>
        <w:t xml:space="preserve">d of the retraining program ensuring the </w:t>
      </w:r>
      <w:r w:rsidRPr="004A0C12">
        <w:rPr>
          <w:rFonts w:ascii="Garamond" w:hAnsi="Garamond"/>
          <w:szCs w:val="22"/>
        </w:rPr>
        <w:t>needs of the individual</w:t>
      </w:r>
      <w:r w:rsidR="00FC7AEC" w:rsidRPr="004A0C12">
        <w:rPr>
          <w:rFonts w:ascii="Garamond" w:hAnsi="Garamond"/>
          <w:szCs w:val="22"/>
        </w:rPr>
        <w:t xml:space="preserve"> are met</w:t>
      </w:r>
      <w:r w:rsidRPr="004A0C12">
        <w:rPr>
          <w:rFonts w:ascii="Garamond" w:hAnsi="Garamond"/>
          <w:szCs w:val="22"/>
        </w:rPr>
        <w:t xml:space="preserve">. </w:t>
      </w:r>
    </w:p>
    <w:p w14:paraId="52B4E41D" w14:textId="77777777" w:rsidR="00AB5AEF" w:rsidRPr="004A0C12" w:rsidRDefault="00AB5AEF" w:rsidP="00AB5AEF">
      <w:pPr>
        <w:pStyle w:val="ListParagraph"/>
        <w:tabs>
          <w:tab w:val="left" w:pos="360"/>
          <w:tab w:val="left" w:pos="990"/>
        </w:tabs>
        <w:ind w:left="990"/>
        <w:jc w:val="both"/>
        <w:rPr>
          <w:rFonts w:ascii="Garamond" w:hAnsi="Garamond"/>
          <w:szCs w:val="22"/>
        </w:rPr>
      </w:pPr>
    </w:p>
    <w:p w14:paraId="00A00195" w14:textId="045AF491" w:rsidR="00AB5AEF" w:rsidRPr="004A0C12" w:rsidRDefault="00AB5AEF" w:rsidP="00CB70A6">
      <w:pPr>
        <w:pStyle w:val="ListParagraph"/>
        <w:tabs>
          <w:tab w:val="left" w:pos="360"/>
          <w:tab w:val="left" w:pos="990"/>
        </w:tabs>
        <w:ind w:left="0"/>
        <w:jc w:val="both"/>
        <w:rPr>
          <w:rFonts w:ascii="Garamond" w:hAnsi="Garamond"/>
          <w:szCs w:val="22"/>
        </w:rPr>
      </w:pPr>
      <w:proofErr w:type="gramStart"/>
      <w:r w:rsidRPr="004A0C12">
        <w:rPr>
          <w:rFonts w:ascii="Garamond" w:hAnsi="Garamond"/>
          <w:szCs w:val="22"/>
        </w:rPr>
        <w:t xml:space="preserve">When </w:t>
      </w:r>
      <w:r w:rsidR="00FC7AEC" w:rsidRPr="004A0C12">
        <w:rPr>
          <w:rFonts w:ascii="Garamond" w:hAnsi="Garamond"/>
          <w:szCs w:val="22"/>
        </w:rPr>
        <w:t>assisting</w:t>
      </w:r>
      <w:r w:rsidRPr="004A0C12">
        <w:rPr>
          <w:rFonts w:ascii="Garamond" w:hAnsi="Garamond"/>
          <w:szCs w:val="22"/>
        </w:rPr>
        <w:t xml:space="preserve"> </w:t>
      </w:r>
      <w:r w:rsidR="00FC7AEC" w:rsidRPr="004A0C12">
        <w:rPr>
          <w:rFonts w:ascii="Garamond" w:hAnsi="Garamond"/>
          <w:szCs w:val="22"/>
        </w:rPr>
        <w:t>trade-impacted individuals, all p</w:t>
      </w:r>
      <w:r w:rsidRPr="004A0C12">
        <w:rPr>
          <w:rFonts w:ascii="Garamond" w:hAnsi="Garamond"/>
          <w:szCs w:val="22"/>
        </w:rPr>
        <w:t xml:space="preserve">artners </w:t>
      </w:r>
      <w:r w:rsidR="00FC7AEC" w:rsidRPr="004A0C12">
        <w:rPr>
          <w:rFonts w:ascii="Garamond" w:hAnsi="Garamond"/>
          <w:szCs w:val="22"/>
        </w:rPr>
        <w:t xml:space="preserve">must </w:t>
      </w:r>
      <w:r w:rsidRPr="004A0C12">
        <w:rPr>
          <w:rFonts w:ascii="Garamond" w:hAnsi="Garamond"/>
          <w:szCs w:val="22"/>
        </w:rPr>
        <w:t xml:space="preserve">work together </w:t>
      </w:r>
      <w:r w:rsidR="00FC7AEC" w:rsidRPr="004A0C12">
        <w:rPr>
          <w:rFonts w:ascii="Garamond" w:hAnsi="Garamond"/>
          <w:szCs w:val="22"/>
        </w:rPr>
        <w:t>to</w:t>
      </w:r>
      <w:r w:rsidRPr="004A0C12">
        <w:rPr>
          <w:rFonts w:ascii="Garamond" w:hAnsi="Garamond"/>
          <w:szCs w:val="22"/>
        </w:rPr>
        <w:t xml:space="preserve"> provid</w:t>
      </w:r>
      <w:r w:rsidR="00FC7AEC" w:rsidRPr="004A0C12">
        <w:rPr>
          <w:rFonts w:ascii="Garamond" w:hAnsi="Garamond"/>
          <w:szCs w:val="22"/>
        </w:rPr>
        <w:t>e</w:t>
      </w:r>
      <w:r w:rsidRPr="004A0C12">
        <w:rPr>
          <w:rFonts w:ascii="Garamond" w:hAnsi="Garamond"/>
          <w:szCs w:val="22"/>
        </w:rPr>
        <w:t xml:space="preserve"> accurate an</w:t>
      </w:r>
      <w:r w:rsidR="00FC7AEC" w:rsidRPr="004A0C12">
        <w:rPr>
          <w:rFonts w:ascii="Garamond" w:hAnsi="Garamond"/>
          <w:szCs w:val="22"/>
        </w:rPr>
        <w:t>d consistent information</w:t>
      </w:r>
      <w:r w:rsidRPr="004A0C12">
        <w:rPr>
          <w:rFonts w:ascii="Garamond" w:hAnsi="Garamond"/>
          <w:szCs w:val="22"/>
        </w:rPr>
        <w:t>.</w:t>
      </w:r>
      <w:proofErr w:type="gramEnd"/>
      <w:r w:rsidRPr="004A0C12">
        <w:rPr>
          <w:rFonts w:ascii="Garamond" w:hAnsi="Garamond"/>
          <w:szCs w:val="22"/>
        </w:rPr>
        <w:t xml:space="preserve"> When developing Individualized Employment Plans under the Trade Act, both DLLR divisions and the case manager, who is working </w:t>
      </w:r>
      <w:r w:rsidR="00FC7AEC" w:rsidRPr="004A0C12">
        <w:rPr>
          <w:rFonts w:ascii="Garamond" w:hAnsi="Garamond"/>
          <w:szCs w:val="22"/>
        </w:rPr>
        <w:t xml:space="preserve">closely </w:t>
      </w:r>
      <w:r w:rsidRPr="004A0C12">
        <w:rPr>
          <w:rFonts w:ascii="Garamond" w:hAnsi="Garamond"/>
          <w:szCs w:val="22"/>
        </w:rPr>
        <w:t xml:space="preserve">with the individual, must work together on behalf of the impacted worker. The case manager must gather accurate information during the entire training program to provide progress updates and report on benchmarks, </w:t>
      </w:r>
      <w:r w:rsidR="00FC7AEC" w:rsidRPr="004A0C12">
        <w:rPr>
          <w:rFonts w:ascii="Garamond" w:hAnsi="Garamond"/>
          <w:szCs w:val="22"/>
        </w:rPr>
        <w:t>and ensure that the Trade Readjustment Allowance deadlines are</w:t>
      </w:r>
      <w:r w:rsidRPr="004A0C12">
        <w:rPr>
          <w:rFonts w:ascii="Garamond" w:hAnsi="Garamond"/>
          <w:szCs w:val="22"/>
        </w:rPr>
        <w:t xml:space="preserve"> met. This is of paramount importance, as the individual must be able to enter and complete the retraining program in the required amount of time with the financial support provided. </w:t>
      </w:r>
      <w:r w:rsidR="00CB70A6" w:rsidRPr="004A0C12">
        <w:rPr>
          <w:rFonts w:ascii="Garamond" w:hAnsi="Garamond"/>
          <w:szCs w:val="22"/>
        </w:rPr>
        <w:t xml:space="preserve">Maryland </w:t>
      </w:r>
      <w:r w:rsidRPr="004A0C12">
        <w:rPr>
          <w:rFonts w:ascii="Garamond" w:hAnsi="Garamond"/>
          <w:szCs w:val="22"/>
        </w:rPr>
        <w:t xml:space="preserve">strives to provide </w:t>
      </w:r>
      <w:r w:rsidRPr="004A0C12">
        <w:rPr>
          <w:rFonts w:ascii="Garamond" w:hAnsi="Garamond"/>
          <w:szCs w:val="22"/>
        </w:rPr>
        <w:lastRenderedPageBreak/>
        <w:t>the best services possible to meet the needs of our customers in a seamless manner. With partners working together in a cohesive manner, we will be able to achieve our goals with the trade act program.</w:t>
      </w:r>
    </w:p>
    <w:p w14:paraId="74223D2A" w14:textId="77777777" w:rsidR="00B17D43" w:rsidRPr="004A0C12" w:rsidRDefault="00B17D43" w:rsidP="00B17D43">
      <w:pPr>
        <w:spacing w:after="100" w:line="240" w:lineRule="auto"/>
        <w:rPr>
          <w:rFonts w:ascii="Garamond" w:eastAsia="Times New Roman" w:hAnsi="Garamond" w:cs="Times New Roman"/>
        </w:rPr>
      </w:pPr>
      <w:r w:rsidRPr="004A0C12">
        <w:rPr>
          <w:rFonts w:ascii="Garamond" w:eastAsia="Times New Roman" w:hAnsi="Garamond" w:cs="Times New Roman"/>
          <w:color w:val="000000"/>
        </w:rPr>
        <w:t>Rapid Response activities are offered to all worker groups notified of a layoff when the DSU receives a WARN or when notified of potential layoffs. The DSU works with businesses to schedule Rapid Response information sessions for impacted workers. During these sessions workers are informed of the various services offered by the local American Job Center (AJC) and the unemployment insurance program. When it is determined that a potential Trade impact exists, workers are informed of the Trade program benefits and options available. These individuals may receive services through their local AJC, as appropriate, prior to their certification of eligibility to apply for benefits and services under the Trade Act programs. Rapid Response funds will be utilized to provide layoff aversion activities. These activities include recruitment events to create business connections, to support local area initiatives to re-train and to provide supportive services. The DSU will review WARN notices and work with businesses to determine if a petition can be filed as early as possible to speed the process for Trade approval. If a worker has been dislocated and is waiting for TAA eligibility determination, that person can receive career services at the local center. Once a petition is approved, DSU staff will notify impacted workers of the additional benefits available under Trade and how to apply. Rapid Response funds will be utilized to provide assistance to local workforce areas in situations where the layoff event results and a need beyond the availability of local resources, including TAA assistance. Local workforce boards may request additional Rapid Response funds as needed to supplement other funding to serve impacted workers that may not seek assistance under Trade.</w:t>
      </w:r>
    </w:p>
    <w:p w14:paraId="15696AD4" w14:textId="7C608E05" w:rsidR="00AB5AEF" w:rsidRPr="00E64564" w:rsidRDefault="00AB5AEF" w:rsidP="00CF4628">
      <w:pPr>
        <w:pStyle w:val="Heading2"/>
        <w:rPr>
          <w:rFonts w:ascii="Garamond" w:hAnsi="Garamond"/>
          <w:sz w:val="24"/>
          <w:szCs w:val="24"/>
        </w:rPr>
      </w:pPr>
      <w:bookmarkStart w:id="129" w:name="_Toc447276173"/>
      <w:r w:rsidRPr="00E64564">
        <w:rPr>
          <w:rFonts w:ascii="Garamond" w:hAnsi="Garamond"/>
          <w:sz w:val="24"/>
          <w:szCs w:val="24"/>
        </w:rPr>
        <w:t>WIOA ADU</w:t>
      </w:r>
      <w:r w:rsidR="00CF4628" w:rsidRPr="00E64564">
        <w:rPr>
          <w:rFonts w:ascii="Garamond" w:hAnsi="Garamond"/>
          <w:sz w:val="24"/>
          <w:szCs w:val="24"/>
        </w:rPr>
        <w:t xml:space="preserve">LT &amp; DISLOCATED WORKER PROGRAMS </w:t>
      </w:r>
      <w:r w:rsidR="00F55349" w:rsidRPr="00E64564">
        <w:rPr>
          <w:rFonts w:ascii="Garamond" w:hAnsi="Garamond"/>
          <w:sz w:val="24"/>
          <w:szCs w:val="24"/>
        </w:rPr>
        <w:t>–</w:t>
      </w:r>
      <w:r w:rsidR="00CF4628" w:rsidRPr="00E64564">
        <w:rPr>
          <w:rFonts w:ascii="Garamond" w:hAnsi="Garamond"/>
          <w:sz w:val="24"/>
          <w:szCs w:val="24"/>
        </w:rPr>
        <w:t xml:space="preserve"> </w:t>
      </w:r>
      <w:r w:rsidR="00F55349" w:rsidRPr="00E64564">
        <w:rPr>
          <w:rFonts w:ascii="Garamond" w:hAnsi="Garamond"/>
          <w:sz w:val="24"/>
          <w:szCs w:val="24"/>
        </w:rPr>
        <w:t>WORK-BASED</w:t>
      </w:r>
      <w:r w:rsidRPr="00E64564">
        <w:rPr>
          <w:rFonts w:ascii="Garamond" w:hAnsi="Garamond"/>
          <w:sz w:val="24"/>
          <w:szCs w:val="24"/>
        </w:rPr>
        <w:t xml:space="preserve"> TRAINING MODELS</w:t>
      </w:r>
      <w:bookmarkEnd w:id="129"/>
      <w:r w:rsidRPr="00E64564">
        <w:rPr>
          <w:rFonts w:ascii="Garamond" w:hAnsi="Garamond"/>
          <w:sz w:val="24"/>
          <w:szCs w:val="24"/>
        </w:rPr>
        <w:t xml:space="preserve"> </w:t>
      </w:r>
    </w:p>
    <w:p w14:paraId="6FA2C9B4" w14:textId="60916DA4" w:rsidR="00167878" w:rsidRPr="004A0C12" w:rsidRDefault="00167878" w:rsidP="00167878">
      <w:pPr>
        <w:spacing w:after="0" w:line="240" w:lineRule="auto"/>
        <w:jc w:val="both"/>
        <w:rPr>
          <w:rFonts w:ascii="Garamond" w:hAnsi="Garamond"/>
        </w:rPr>
      </w:pPr>
      <w:r w:rsidRPr="004A0C12">
        <w:rPr>
          <w:rFonts w:ascii="Garamond" w:hAnsi="Garamond"/>
        </w:rPr>
        <w:t>Employment Advancement Right Now (EARN) Maryland is a state-funded, competitive workforce program that is industry-led and regional in focus. It is flexible and innovative, designed to ensure that Maryland’s businesses have the talent they need to compete and grow, while providing targeted education and skills training to Maryland jobseekers. EARN Maryland is comprised of 40 Strategic Industry Partnerships (SIPs) that represent a variety of industries, including healthcare, manufacturing, construction</w:t>
      </w:r>
      <w:r w:rsidR="00FC7AEC" w:rsidRPr="004A0C12">
        <w:rPr>
          <w:rFonts w:ascii="Garamond" w:hAnsi="Garamond"/>
        </w:rPr>
        <w:t>,</w:t>
      </w:r>
      <w:r w:rsidRPr="004A0C12">
        <w:rPr>
          <w:rFonts w:ascii="Garamond" w:hAnsi="Garamond"/>
        </w:rPr>
        <w:t xml:space="preserve"> and biotechnology. Recognized as a national leader for industry-led and sector-based partnerships, over 500 employer and industry partners have been involved in the design and implementation of the training programs. Many EARN grantees emphasize the need for participants who do not otherwise have their h</w:t>
      </w:r>
      <w:r w:rsidR="00FC7AEC" w:rsidRPr="004A0C12">
        <w:rPr>
          <w:rFonts w:ascii="Garamond" w:hAnsi="Garamond"/>
        </w:rPr>
        <w:t>igh school diploma to obtain this certification</w:t>
      </w:r>
      <w:r w:rsidRPr="004A0C12">
        <w:rPr>
          <w:rFonts w:ascii="Garamond" w:hAnsi="Garamond"/>
        </w:rPr>
        <w:t xml:space="preserve"> through GED® preparation and literacy advancement</w:t>
      </w:r>
      <w:r w:rsidR="00B17D43" w:rsidRPr="004A0C12">
        <w:rPr>
          <w:rFonts w:ascii="Garamond" w:hAnsi="Garamond"/>
        </w:rPr>
        <w:t>.</w:t>
      </w:r>
    </w:p>
    <w:p w14:paraId="532103E9" w14:textId="77777777" w:rsidR="00167878" w:rsidRPr="004A0C12" w:rsidRDefault="00167878" w:rsidP="00167878">
      <w:pPr>
        <w:spacing w:after="0" w:line="240" w:lineRule="auto"/>
        <w:jc w:val="both"/>
        <w:rPr>
          <w:rFonts w:ascii="Garamond" w:hAnsi="Garamond"/>
        </w:rPr>
      </w:pPr>
    </w:p>
    <w:p w14:paraId="73373B91" w14:textId="77777777" w:rsidR="00AF01B6" w:rsidRPr="004A0C12" w:rsidRDefault="00167878" w:rsidP="00AF01B6">
      <w:pPr>
        <w:pStyle w:val="NormalWeb"/>
        <w:rPr>
          <w:rFonts w:ascii="Garamond" w:hAnsi="Garamond"/>
          <w:color w:val="000000"/>
          <w:sz w:val="22"/>
          <w:szCs w:val="22"/>
        </w:rPr>
      </w:pPr>
      <w:r w:rsidRPr="004A0C12">
        <w:rPr>
          <w:rFonts w:ascii="Garamond" w:hAnsi="Garamond"/>
          <w:color w:val="191919"/>
          <w:sz w:val="22"/>
          <w:szCs w:val="22"/>
        </w:rPr>
        <w:t xml:space="preserve">While traditional workforce programs often look to training entities or higher education to determine training needs and develop curriculum, EARN Maryland’s innovative model tasks business and industry partners with designing the program. </w:t>
      </w:r>
    </w:p>
    <w:p w14:paraId="0FD18064" w14:textId="77777777" w:rsidR="00AF01B6" w:rsidRPr="004A0C12" w:rsidRDefault="00AF01B6" w:rsidP="00AF01B6">
      <w:pPr>
        <w:pStyle w:val="NormalWeb"/>
        <w:spacing w:before="0" w:beforeAutospacing="0" w:afterAutospacing="0"/>
        <w:rPr>
          <w:rFonts w:ascii="Garamond" w:hAnsi="Garamond"/>
          <w:sz w:val="22"/>
          <w:szCs w:val="22"/>
        </w:rPr>
      </w:pPr>
      <w:r w:rsidRPr="004A0C12">
        <w:rPr>
          <w:rFonts w:ascii="Garamond" w:hAnsi="Garamond"/>
          <w:color w:val="000000"/>
          <w:sz w:val="22"/>
          <w:szCs w:val="22"/>
        </w:rPr>
        <w:t>Employer partners who participate in EARN are tasked with looking both within their individual company and across industry as a whole to identify skills gaps and workforce training needs. Employers are encouraged to look at the evolving needs within their industry, including increasing technological skill needs, and estimated retirements so that training curriculum meets the true skill and hiring needs of industry.</w:t>
      </w:r>
    </w:p>
    <w:p w14:paraId="70C15364" w14:textId="77777777" w:rsidR="00AF01B6" w:rsidRPr="004A0C12" w:rsidRDefault="00AF01B6" w:rsidP="00AF01B6">
      <w:pPr>
        <w:spacing w:after="100" w:line="240" w:lineRule="auto"/>
        <w:rPr>
          <w:rFonts w:ascii="Garamond" w:eastAsia="Times New Roman" w:hAnsi="Garamond" w:cs="Times New Roman"/>
        </w:rPr>
      </w:pPr>
      <w:r w:rsidRPr="004A0C12">
        <w:rPr>
          <w:rFonts w:ascii="Garamond" w:eastAsia="Times New Roman" w:hAnsi="Garamond" w:cs="Times New Roman"/>
          <w:color w:val="000000"/>
        </w:rPr>
        <w:t>Additionally, employer and industry partners must identify effective strategies and techniques to train for the skillsets they identify. For instance, some employers indicate that in order to truly master certain skills, on-the-job learning experiences, rather than classroom training, or a combination of both, are ideal. Because employers are the experts on what makes a competent employee, they are experienced in identifying the correct training techniques to ensure success of skill formation. Finally, employers and industry partners participate in training. This occurs in a variety of ways, including teaching certain courses, observing training, and mentoring trainees. This level of participation not only allows employers to ensure the training meets their vision, but also gives employers exposure to potential employment candidates.</w:t>
      </w:r>
    </w:p>
    <w:p w14:paraId="43A90FD3" w14:textId="77777777" w:rsidR="00AF01B6" w:rsidRPr="004A0C12" w:rsidRDefault="00AF01B6" w:rsidP="00AF01B6">
      <w:pPr>
        <w:spacing w:after="100" w:line="240" w:lineRule="auto"/>
        <w:rPr>
          <w:rFonts w:ascii="Garamond" w:eastAsia="Times New Roman" w:hAnsi="Garamond" w:cs="Times New Roman"/>
        </w:rPr>
      </w:pPr>
      <w:r w:rsidRPr="004A0C12">
        <w:rPr>
          <w:rFonts w:ascii="Garamond" w:eastAsia="Times New Roman" w:hAnsi="Garamond" w:cs="Times New Roman"/>
          <w:color w:val="000000"/>
        </w:rPr>
        <w:t>Because EARN employers are involved in training throughout the entire process, they also play the role of “quality control”. Employers are encouraged to provide feedback on training curriculum and implementation through their participation in quarterly partnership meetings. Because the EARN program is flexible, partnerships are able to making changes to curriculum and/or implementation of their training based upon employer feedback. This ensures that training remains industry-led at all times and is deemed high quality for the employers who participate. Additionally, upon the completion of entry-level training, employers will ideally interview successful candidates who have gone through training designed according to their standards. The comprehensive involvement of employers guarantees that training is high quality and meets industry needs.</w:t>
      </w:r>
    </w:p>
    <w:p w14:paraId="28F50F35" w14:textId="77777777" w:rsidR="00AF01B6" w:rsidRPr="004A0C12" w:rsidRDefault="00AF01B6" w:rsidP="00167878">
      <w:pPr>
        <w:pStyle w:val="NormalWeb2"/>
        <w:shd w:val="clear" w:color="auto" w:fill="FFFFFF"/>
        <w:spacing w:before="0" w:after="0"/>
        <w:jc w:val="both"/>
        <w:rPr>
          <w:rFonts w:ascii="Garamond" w:hAnsi="Garamond"/>
          <w:color w:val="191919"/>
          <w:sz w:val="22"/>
          <w:szCs w:val="22"/>
        </w:rPr>
      </w:pPr>
    </w:p>
    <w:p w14:paraId="178C97E8" w14:textId="62CFBACD" w:rsidR="00AF01B6" w:rsidRPr="004A0C12" w:rsidRDefault="00167878" w:rsidP="00AF01B6">
      <w:pPr>
        <w:pStyle w:val="NormalWeb"/>
        <w:spacing w:before="0" w:beforeAutospacing="0" w:afterAutospacing="0"/>
        <w:rPr>
          <w:rFonts w:ascii="Garamond" w:hAnsi="Garamond"/>
          <w:color w:val="000000"/>
          <w:sz w:val="22"/>
          <w:szCs w:val="22"/>
        </w:rPr>
      </w:pPr>
      <w:r w:rsidRPr="004A0C12">
        <w:rPr>
          <w:rFonts w:ascii="Garamond" w:hAnsi="Garamond"/>
          <w:color w:val="191919"/>
          <w:sz w:val="22"/>
          <w:szCs w:val="22"/>
        </w:rPr>
        <w:lastRenderedPageBreak/>
        <w:t xml:space="preserve">Many of the EARN Maryland SIPs are targeting specific underserved populations, including returning citizens, low-skilled workers, and the long-term unemployed. </w:t>
      </w:r>
      <w:r w:rsidR="00AF01B6" w:rsidRPr="004A0C12">
        <w:rPr>
          <w:rFonts w:ascii="Garamond" w:hAnsi="Garamond"/>
          <w:color w:val="000000"/>
          <w:sz w:val="22"/>
          <w:szCs w:val="22"/>
        </w:rPr>
        <w:t>Oftentimes, underserved populations need comprehensive soft skills training in order to be successful in employment. Also known as essential skills, these are an important component of job-readiness training. Examples of soft skills include, but are not limited to, skills related to professionalism, problem-solving, timeliness, interpersonal communication and customer service.</w:t>
      </w:r>
    </w:p>
    <w:p w14:paraId="2F803950" w14:textId="77777777" w:rsidR="00AF01B6" w:rsidRPr="004A0C12" w:rsidRDefault="00AF01B6" w:rsidP="00AF01B6">
      <w:pPr>
        <w:spacing w:after="100" w:line="240" w:lineRule="auto"/>
        <w:rPr>
          <w:rFonts w:ascii="Garamond" w:eastAsia="Times New Roman" w:hAnsi="Garamond" w:cs="Times New Roman"/>
        </w:rPr>
      </w:pPr>
      <w:r w:rsidRPr="004A0C12">
        <w:rPr>
          <w:rFonts w:ascii="Garamond" w:eastAsia="Times New Roman" w:hAnsi="Garamond" w:cs="Times New Roman"/>
          <w:color w:val="000000"/>
        </w:rPr>
        <w:t>EARN Maryland partnerships are implementing soft skills training in the classroom, as well as modeling on-the-job work experiences. For instance, some partnerships utilize a simulated work environment throughout training. This includes clocking in and out of training and practicing leadership techniques on newer trainees. This model requires trainees to prove that they are able to meet employer standards and ensures adequate preparedness for the workforce. Many employers who participate in the EARN Maryland program have stated that soft skills are equally as important as the hard skills, or technical skills, that are necessary to be proficient in a career. Employers play a role in identifying which soft skills are critical to success in the industry.</w:t>
      </w:r>
    </w:p>
    <w:p w14:paraId="65238A40" w14:textId="77777777" w:rsidR="00AF01B6" w:rsidRPr="004A0C12" w:rsidRDefault="00AF01B6" w:rsidP="00AF01B6">
      <w:pPr>
        <w:spacing w:after="100" w:line="240" w:lineRule="auto"/>
        <w:rPr>
          <w:rFonts w:ascii="Garamond" w:eastAsia="Times New Roman" w:hAnsi="Garamond" w:cs="Times New Roman"/>
        </w:rPr>
      </w:pPr>
      <w:r w:rsidRPr="004A0C12">
        <w:rPr>
          <w:rFonts w:ascii="Garamond" w:eastAsia="Times New Roman" w:hAnsi="Garamond" w:cs="Times New Roman"/>
          <w:color w:val="000000"/>
        </w:rPr>
        <w:t>EARN trainees often have significant barriers to employment, including criminal backgrounds, low levels of literacy, lack of transportation, and disadvantaged backgrounds. Each SIP must be comprised of at least two “diverse partners,” which often include a non-profit organization or a local workforce board, who have extensive experience in barrier removal. Partnerships targeting underserved groups must focus on the whole person when developing a training plan. For instance, a trainee can have a wide array of technical skills and strong soft skills, but without transportation to get to work on time, retention will not be high. Therefore, partners work individually with trainees to ensure all barriers to employment are removed before entering the workforce, therefore maximizing the odds for success. Examples of barrier removal include record expungement, bus tokens or a vehicle, providing bridge instruction in math and reading, GED courses and stipends for training.</w:t>
      </w:r>
    </w:p>
    <w:p w14:paraId="1F7BB170" w14:textId="77777777" w:rsidR="00AF01B6" w:rsidRPr="004A0C12" w:rsidRDefault="00AF01B6" w:rsidP="00AF01B6">
      <w:pPr>
        <w:spacing w:after="100" w:line="240" w:lineRule="auto"/>
        <w:rPr>
          <w:rFonts w:ascii="Garamond" w:eastAsia="Times New Roman" w:hAnsi="Garamond" w:cs="Times New Roman"/>
        </w:rPr>
      </w:pPr>
      <w:r w:rsidRPr="004A0C12">
        <w:rPr>
          <w:rFonts w:ascii="Garamond" w:eastAsia="Times New Roman" w:hAnsi="Garamond" w:cs="Times New Roman"/>
          <w:color w:val="000000"/>
        </w:rPr>
        <w:t>The EARN program places around 80% of its participants into employment. This success is rooted in the comprehensiveness of its program design. Employers, the experts in what makes a competent workforce, participate in every aspect of technical skills training. This ensures candidates complete training with relevant skills. Non-profit organizations and local workforce boards deliver soft skills training and barrier removal for all participants, which further promotes a job-ready candidate. These components make up the EARN model and guarantees high quality training for its participants.</w:t>
      </w:r>
    </w:p>
    <w:p w14:paraId="563E4415" w14:textId="77777777" w:rsidR="00AF01B6" w:rsidRPr="004A0C12" w:rsidRDefault="00AF01B6" w:rsidP="00AF01B6">
      <w:pPr>
        <w:pStyle w:val="NormalWeb"/>
        <w:spacing w:before="0" w:beforeAutospacing="0" w:afterAutospacing="0"/>
        <w:rPr>
          <w:rFonts w:ascii="Garamond" w:hAnsi="Garamond"/>
          <w:sz w:val="22"/>
          <w:szCs w:val="22"/>
        </w:rPr>
      </w:pPr>
    </w:p>
    <w:p w14:paraId="1E2B32F8" w14:textId="184C3C4E" w:rsidR="00167878" w:rsidRPr="004A0C12" w:rsidRDefault="00167878" w:rsidP="00167878">
      <w:pPr>
        <w:pStyle w:val="NormalWeb2"/>
        <w:shd w:val="clear" w:color="auto" w:fill="FFFFFF"/>
        <w:spacing w:before="0" w:after="0"/>
        <w:jc w:val="both"/>
        <w:rPr>
          <w:rFonts w:ascii="Garamond" w:hAnsi="Garamond"/>
          <w:color w:val="191919"/>
          <w:sz w:val="22"/>
          <w:szCs w:val="22"/>
        </w:rPr>
      </w:pPr>
      <w:r w:rsidRPr="004A0C12">
        <w:rPr>
          <w:rFonts w:ascii="Garamond" w:hAnsi="Garamond"/>
          <w:color w:val="191919"/>
          <w:sz w:val="22"/>
          <w:szCs w:val="22"/>
        </w:rPr>
        <w:t>These participants often have significant barriers to employment, including</w:t>
      </w:r>
      <w:r w:rsidR="00FC7AEC" w:rsidRPr="004A0C12">
        <w:rPr>
          <w:rFonts w:ascii="Garamond" w:hAnsi="Garamond"/>
          <w:color w:val="191919"/>
          <w:sz w:val="22"/>
          <w:szCs w:val="22"/>
        </w:rPr>
        <w:t xml:space="preserve"> </w:t>
      </w:r>
      <w:r w:rsidRPr="004A0C12">
        <w:rPr>
          <w:rFonts w:ascii="Garamond" w:hAnsi="Garamond"/>
          <w:color w:val="191919"/>
          <w:sz w:val="22"/>
          <w:szCs w:val="22"/>
        </w:rPr>
        <w:t>criminal backgrounds, low levels of literacy, lack of transportation</w:t>
      </w:r>
      <w:r w:rsidR="00FC7AEC" w:rsidRPr="004A0C12">
        <w:rPr>
          <w:rFonts w:ascii="Garamond" w:hAnsi="Garamond"/>
          <w:color w:val="191919"/>
          <w:sz w:val="22"/>
          <w:szCs w:val="22"/>
        </w:rPr>
        <w:t>,</w:t>
      </w:r>
      <w:r w:rsidRPr="004A0C12">
        <w:rPr>
          <w:rFonts w:ascii="Garamond" w:hAnsi="Garamond"/>
          <w:color w:val="191919"/>
          <w:sz w:val="22"/>
          <w:szCs w:val="22"/>
        </w:rPr>
        <w:t xml:space="preserve"> and disadvantaged backgrounds. Each SIP must be comprised of at least two “diverse partners,” which often include a non-profit organization or a local workforce board, who have extensive experience in barrier removal. This level of coordination ensures that trainees are prepared to be successful upon entering employment. The WIOA partners are committed to integrating the EARN Maryland model in on-going efforts to create an industry-lead workforce system that incorporates coordination among many unique partners. </w:t>
      </w:r>
    </w:p>
    <w:p w14:paraId="7A4F0C10" w14:textId="77777777" w:rsidR="00167878" w:rsidRPr="004A0C12" w:rsidRDefault="00167878" w:rsidP="00167878">
      <w:pPr>
        <w:spacing w:after="0" w:line="240" w:lineRule="auto"/>
        <w:rPr>
          <w:rFonts w:ascii="Garamond" w:hAnsi="Garamond" w:cs="Times New Roman"/>
        </w:rPr>
      </w:pPr>
    </w:p>
    <w:p w14:paraId="458EB5F4" w14:textId="77777777" w:rsidR="00167878" w:rsidRPr="004A0C12" w:rsidRDefault="00167878" w:rsidP="00FC7AEC">
      <w:pPr>
        <w:spacing w:after="0" w:line="240" w:lineRule="auto"/>
        <w:jc w:val="both"/>
        <w:rPr>
          <w:rFonts w:ascii="Garamond" w:hAnsi="Garamond" w:cs="Times New Roman"/>
        </w:rPr>
      </w:pPr>
      <w:r w:rsidRPr="004A0C12">
        <w:rPr>
          <w:rFonts w:ascii="Garamond" w:hAnsi="Garamond" w:cs="Times New Roman"/>
        </w:rPr>
        <w:t>The WIOA partners agree that building on the success of this industry-driven model will ensure that the needs of businesses and jobseekers are met and will use the model to i</w:t>
      </w:r>
      <w:r w:rsidRPr="004A0C12">
        <w:rPr>
          <w:rFonts w:ascii="Garamond" w:hAnsi="Garamond" w:cs="Times New Roman"/>
          <w:bCs/>
        </w:rPr>
        <w:t>ncrease focus on businesses and jobseekers as customers of the system. The industry-led, employer-driven model utilized in the EARN Maryland program is a proven strategy for meeting business and workforce needs, while strengthening the business climate across the State. Employer and industry partners are deeply involved with program design as they identify workforce needs and develop corresponding curriculum to train for those needs. This involvement breeds confidence from employers that program participants are proficient in relevant skills that will allow them to be contributing employees who will help improve their business. As such, the industry-led model will more effectively serve job-seekers, as they will be better prepared to meet the demands of the industry.</w:t>
      </w:r>
    </w:p>
    <w:p w14:paraId="52DB3D9E" w14:textId="32FB64E1" w:rsidR="00167878" w:rsidRPr="004A0C12" w:rsidRDefault="00167878" w:rsidP="00167878">
      <w:pPr>
        <w:spacing w:after="0" w:line="240" w:lineRule="auto"/>
        <w:jc w:val="both"/>
        <w:rPr>
          <w:rFonts w:ascii="Garamond" w:hAnsi="Garamond"/>
          <w:color w:val="191919"/>
        </w:rPr>
      </w:pPr>
      <w:r w:rsidRPr="004A0C12">
        <w:rPr>
          <w:rFonts w:ascii="Garamond" w:hAnsi="Garamond" w:cs="Times New Roman"/>
        </w:rPr>
        <w:t xml:space="preserve"> </w:t>
      </w:r>
    </w:p>
    <w:p w14:paraId="4C19B311" w14:textId="7516F067" w:rsidR="00FC7AEC" w:rsidRPr="004A0C12" w:rsidRDefault="00167878" w:rsidP="00167878">
      <w:pPr>
        <w:spacing w:after="0" w:line="240" w:lineRule="auto"/>
        <w:jc w:val="both"/>
        <w:rPr>
          <w:rFonts w:ascii="Garamond" w:hAnsi="Garamond"/>
        </w:rPr>
      </w:pPr>
      <w:r w:rsidRPr="004A0C12">
        <w:rPr>
          <w:rFonts w:ascii="Garamond" w:hAnsi="Garamond"/>
        </w:rPr>
        <w:t>T</w:t>
      </w:r>
      <w:r w:rsidR="00FC7AEC" w:rsidRPr="004A0C12">
        <w:rPr>
          <w:rFonts w:ascii="Garamond" w:hAnsi="Garamond"/>
        </w:rPr>
        <w:t xml:space="preserve">hrough the implementation of </w:t>
      </w:r>
      <w:r w:rsidRPr="004A0C12">
        <w:rPr>
          <w:rFonts w:ascii="Garamond" w:hAnsi="Garamond"/>
        </w:rPr>
        <w:t>EARN Maryland</w:t>
      </w:r>
      <w:r w:rsidR="00FC7AEC" w:rsidRPr="004A0C12">
        <w:rPr>
          <w:rFonts w:ascii="Garamond" w:hAnsi="Garamond"/>
        </w:rPr>
        <w:t>,</w:t>
      </w:r>
      <w:r w:rsidRPr="004A0C12">
        <w:rPr>
          <w:rFonts w:ascii="Garamond" w:hAnsi="Garamond"/>
        </w:rPr>
        <w:t xml:space="preserve"> </w:t>
      </w:r>
      <w:r w:rsidR="00FC7AEC" w:rsidRPr="004A0C12">
        <w:rPr>
          <w:rFonts w:ascii="Garamond" w:hAnsi="Garamond"/>
        </w:rPr>
        <w:t xml:space="preserve">DLLR has learned that strategic industry </w:t>
      </w:r>
      <w:r w:rsidRPr="004A0C12">
        <w:rPr>
          <w:rFonts w:ascii="Garamond" w:hAnsi="Garamond"/>
        </w:rPr>
        <w:t>partnerships, no mat</w:t>
      </w:r>
      <w:r w:rsidR="00FC7AEC" w:rsidRPr="004A0C12">
        <w:rPr>
          <w:rFonts w:ascii="Garamond" w:hAnsi="Garamond"/>
        </w:rPr>
        <w:t>ter what form they take, must</w:t>
      </w:r>
      <w:r w:rsidRPr="004A0C12">
        <w:rPr>
          <w:rFonts w:ascii="Garamond" w:hAnsi="Garamond"/>
        </w:rPr>
        <w:t>:</w:t>
      </w:r>
    </w:p>
    <w:p w14:paraId="3FD7B509" w14:textId="10F763CD" w:rsidR="00167878" w:rsidRPr="004A0C12" w:rsidRDefault="00167878" w:rsidP="00167878">
      <w:pPr>
        <w:spacing w:after="0" w:line="240" w:lineRule="auto"/>
        <w:jc w:val="both"/>
        <w:rPr>
          <w:rFonts w:ascii="Garamond" w:hAnsi="Garamond"/>
        </w:rPr>
      </w:pPr>
      <w:r w:rsidRPr="004A0C12">
        <w:rPr>
          <w:rFonts w:ascii="Garamond" w:hAnsi="Garamond"/>
        </w:rPr>
        <w:t xml:space="preserve"> </w:t>
      </w:r>
    </w:p>
    <w:p w14:paraId="5148DD8E" w14:textId="185C8896" w:rsidR="00167878" w:rsidRPr="004A0C12" w:rsidRDefault="00FC7AEC" w:rsidP="00232F09">
      <w:pPr>
        <w:pStyle w:val="ListParagraph"/>
        <w:numPr>
          <w:ilvl w:val="0"/>
          <w:numId w:val="291"/>
        </w:numPr>
        <w:jc w:val="both"/>
        <w:rPr>
          <w:rFonts w:ascii="Garamond" w:hAnsi="Garamond"/>
          <w:szCs w:val="22"/>
        </w:rPr>
      </w:pPr>
      <w:r w:rsidRPr="004A0C12">
        <w:rPr>
          <w:rFonts w:ascii="Garamond" w:hAnsi="Garamond"/>
          <w:szCs w:val="22"/>
        </w:rPr>
        <w:t>Be targeted for l</w:t>
      </w:r>
      <w:r w:rsidR="00167878" w:rsidRPr="004A0C12">
        <w:rPr>
          <w:rFonts w:ascii="Garamond" w:hAnsi="Garamond"/>
          <w:szCs w:val="22"/>
        </w:rPr>
        <w:t xml:space="preserve">ocally identified </w:t>
      </w:r>
      <w:r w:rsidRPr="004A0C12">
        <w:rPr>
          <w:rFonts w:ascii="Garamond" w:hAnsi="Garamond"/>
          <w:szCs w:val="22"/>
        </w:rPr>
        <w:t>industries</w:t>
      </w:r>
      <w:r w:rsidR="00167878" w:rsidRPr="004A0C12">
        <w:rPr>
          <w:rFonts w:ascii="Garamond" w:hAnsi="Garamond"/>
          <w:szCs w:val="22"/>
        </w:rPr>
        <w:t xml:space="preserve"> </w:t>
      </w:r>
    </w:p>
    <w:p w14:paraId="73686EC5" w14:textId="54CC4533" w:rsidR="00167878" w:rsidRPr="004A0C12" w:rsidRDefault="00FC7AEC" w:rsidP="00232F09">
      <w:pPr>
        <w:pStyle w:val="ListParagraph"/>
        <w:numPr>
          <w:ilvl w:val="0"/>
          <w:numId w:val="291"/>
        </w:numPr>
        <w:jc w:val="both"/>
        <w:rPr>
          <w:rFonts w:ascii="Garamond" w:hAnsi="Garamond"/>
          <w:szCs w:val="22"/>
        </w:rPr>
      </w:pPr>
      <w:r w:rsidRPr="004A0C12">
        <w:rPr>
          <w:rFonts w:ascii="Garamond" w:hAnsi="Garamond"/>
          <w:szCs w:val="22"/>
        </w:rPr>
        <w:t>Be industry-led and employer-driven</w:t>
      </w:r>
    </w:p>
    <w:p w14:paraId="086E61C6" w14:textId="3B8785C7" w:rsidR="00167878" w:rsidRPr="004A0C12" w:rsidRDefault="00FC7AEC" w:rsidP="00232F09">
      <w:pPr>
        <w:pStyle w:val="ListParagraph"/>
        <w:numPr>
          <w:ilvl w:val="0"/>
          <w:numId w:val="291"/>
        </w:numPr>
        <w:jc w:val="both"/>
        <w:rPr>
          <w:rFonts w:ascii="Garamond" w:hAnsi="Garamond"/>
          <w:szCs w:val="22"/>
        </w:rPr>
      </w:pPr>
      <w:r w:rsidRPr="004A0C12">
        <w:rPr>
          <w:rFonts w:ascii="Garamond" w:hAnsi="Garamond"/>
          <w:szCs w:val="22"/>
        </w:rPr>
        <w:t>Be built upon labor market information (LMI).</w:t>
      </w:r>
      <w:r w:rsidR="00167878" w:rsidRPr="004A0C12">
        <w:rPr>
          <w:rFonts w:ascii="Garamond" w:hAnsi="Garamond"/>
          <w:szCs w:val="22"/>
        </w:rPr>
        <w:t xml:space="preserve"> Sector and employer partners, including EARN grantees, will update partners on LMI and training needs, which will guide the development of programs.</w:t>
      </w:r>
    </w:p>
    <w:p w14:paraId="3D7DA37D" w14:textId="67058475" w:rsidR="00167878" w:rsidRPr="004A0C12" w:rsidRDefault="00FC7AEC" w:rsidP="00232F09">
      <w:pPr>
        <w:pStyle w:val="ListParagraph"/>
        <w:numPr>
          <w:ilvl w:val="0"/>
          <w:numId w:val="291"/>
        </w:numPr>
        <w:jc w:val="both"/>
        <w:rPr>
          <w:rFonts w:ascii="Garamond" w:hAnsi="Garamond"/>
          <w:szCs w:val="22"/>
        </w:rPr>
      </w:pPr>
      <w:r w:rsidRPr="004A0C12">
        <w:rPr>
          <w:rFonts w:ascii="Garamond" w:hAnsi="Garamond"/>
          <w:szCs w:val="22"/>
        </w:rPr>
        <w:lastRenderedPageBreak/>
        <w:t>I</w:t>
      </w:r>
      <w:r w:rsidR="00167878" w:rsidRPr="004A0C12">
        <w:rPr>
          <w:rFonts w:ascii="Garamond" w:hAnsi="Garamond"/>
          <w:szCs w:val="22"/>
        </w:rPr>
        <w:t>nclude soft skills training.  This is an emerging theme with EARN Maryland workforce training plans, regardless of industry, region or subset of the workforce.  Soft skills, also known as essential skills, are an important component of job-readiness training. Examples of soft skills include, but are not limited to, skills related to professionalism, problem-solving, timeliness, interpersonal communication and customer service. Many employers who participate in the EARN Maryland program have stated that soft skills are equally as important as the hard skills, or technical skills, that are necessary to be proficient in a career.  EARN Maryland’s partnerships are implementing soft skills training in the classroom, as well as modeling on-the-job work experiences throughout the training program. Time management, customer service, personal appearance, appropriate conduct and personal responsibility are all essential skills identified by DLLR’s Youth Apprenticeship Advisory Committee as important skills needed for the development of a youth apprenticeship talent pipeline. The Committee, formed to evaluate the effectiveness of existing high school youth apprenticeship programs in the State, other states, and other countries, concluded in its initial report outlining the steps the State needs to take in order to establish apprenticeship opportunities in both traditional and non-traditional apprenticeable fields</w:t>
      </w:r>
    </w:p>
    <w:p w14:paraId="17F5D817" w14:textId="77777777" w:rsidR="00167878" w:rsidRPr="004A0C12" w:rsidRDefault="00167878" w:rsidP="00232F09">
      <w:pPr>
        <w:pStyle w:val="ListParagraph"/>
        <w:numPr>
          <w:ilvl w:val="0"/>
          <w:numId w:val="291"/>
        </w:numPr>
        <w:jc w:val="both"/>
        <w:rPr>
          <w:rFonts w:ascii="Garamond" w:hAnsi="Garamond"/>
          <w:szCs w:val="22"/>
        </w:rPr>
      </w:pPr>
      <w:r w:rsidRPr="004A0C12">
        <w:rPr>
          <w:rFonts w:ascii="Garamond" w:hAnsi="Garamond"/>
          <w:color w:val="191919"/>
          <w:szCs w:val="22"/>
        </w:rPr>
        <w:t xml:space="preserve">Allow participants to obtain industry-recognized credentials. In placing an emphasis on both industry-led partnership opportunities and industry-recognized credentials, Maryland is ensuring that its talent pipeline is responsive to the needs of in-demand careers and industry sectors.  To that end, local workforce partners must also identify in their local plan submissions how they will promote and cultivate industry-led partnerships in the delivery of workforce training opportunities. </w:t>
      </w:r>
    </w:p>
    <w:p w14:paraId="4D6FB07D" w14:textId="5E4B1FBB" w:rsidR="00167878" w:rsidRPr="004A0C12" w:rsidRDefault="00FC7AEC" w:rsidP="00232F09">
      <w:pPr>
        <w:pStyle w:val="ListParagraph"/>
        <w:numPr>
          <w:ilvl w:val="0"/>
          <w:numId w:val="291"/>
        </w:numPr>
        <w:jc w:val="both"/>
        <w:rPr>
          <w:rFonts w:ascii="Garamond" w:hAnsi="Garamond"/>
          <w:szCs w:val="22"/>
        </w:rPr>
      </w:pPr>
      <w:r w:rsidRPr="004A0C12">
        <w:rPr>
          <w:rFonts w:ascii="Garamond" w:hAnsi="Garamond"/>
          <w:color w:val="191919"/>
          <w:szCs w:val="22"/>
        </w:rPr>
        <w:t>Incorporate c</w:t>
      </w:r>
      <w:r w:rsidR="00167878" w:rsidRPr="004A0C12">
        <w:rPr>
          <w:rFonts w:ascii="Garamond" w:hAnsi="Garamond"/>
          <w:color w:val="191919"/>
          <w:szCs w:val="22"/>
        </w:rPr>
        <w:t>a</w:t>
      </w:r>
      <w:r w:rsidRPr="004A0C12">
        <w:rPr>
          <w:rFonts w:ascii="Garamond" w:hAnsi="Garamond"/>
          <w:color w:val="191919"/>
          <w:szCs w:val="22"/>
        </w:rPr>
        <w:t>reer pathways,</w:t>
      </w:r>
      <w:r w:rsidR="00167878" w:rsidRPr="004A0C12">
        <w:rPr>
          <w:rFonts w:ascii="Garamond" w:hAnsi="Garamond"/>
          <w:color w:val="191919"/>
          <w:szCs w:val="22"/>
        </w:rPr>
        <w:t xml:space="preserve"> in order to establish a bridge to participation for low-skilled individuals and others with barriers to </w:t>
      </w:r>
      <w:r w:rsidR="00167878" w:rsidRPr="004A0C12">
        <w:rPr>
          <w:rFonts w:ascii="Garamond" w:hAnsi="Garamond"/>
          <w:szCs w:val="22"/>
        </w:rPr>
        <w:t xml:space="preserve">employment. </w:t>
      </w:r>
    </w:p>
    <w:p w14:paraId="50D285D9" w14:textId="0AFEFC13" w:rsidR="00167878" w:rsidRPr="004A0C12" w:rsidRDefault="00FC7AEC" w:rsidP="00232F09">
      <w:pPr>
        <w:pStyle w:val="ListParagraph"/>
        <w:numPr>
          <w:ilvl w:val="0"/>
          <w:numId w:val="291"/>
        </w:numPr>
        <w:jc w:val="both"/>
        <w:rPr>
          <w:rFonts w:ascii="Garamond" w:hAnsi="Garamond"/>
          <w:szCs w:val="22"/>
        </w:rPr>
      </w:pPr>
      <w:r w:rsidRPr="004A0C12">
        <w:rPr>
          <w:rFonts w:ascii="Garamond" w:hAnsi="Garamond"/>
          <w:color w:val="191919"/>
          <w:szCs w:val="22"/>
        </w:rPr>
        <w:t>Be incorporated in</w:t>
      </w:r>
      <w:r w:rsidR="00167878" w:rsidRPr="004A0C12">
        <w:rPr>
          <w:rFonts w:ascii="Garamond" w:hAnsi="Garamond"/>
          <w:color w:val="191919"/>
          <w:szCs w:val="22"/>
        </w:rPr>
        <w:t xml:space="preserve"> new business services strategies, to include a business-focused delivery system for workforce needs. </w:t>
      </w:r>
      <w:r w:rsidR="00167878" w:rsidRPr="004A0C12">
        <w:rPr>
          <w:rFonts w:ascii="Garamond" w:hAnsi="Garamond"/>
          <w:szCs w:val="22"/>
        </w:rPr>
        <w:t xml:space="preserve">Maryland’s workforce and economic agencies must coordinate efforts to provide consulting services in </w:t>
      </w:r>
      <w:r w:rsidR="00FB0BD4" w:rsidRPr="004A0C12">
        <w:rPr>
          <w:rFonts w:ascii="Garamond" w:hAnsi="Garamond"/>
          <w:szCs w:val="22"/>
        </w:rPr>
        <w:t>order to service business needs, which include not only</w:t>
      </w:r>
      <w:r w:rsidR="00167878" w:rsidRPr="004A0C12">
        <w:rPr>
          <w:rFonts w:ascii="Garamond" w:hAnsi="Garamond"/>
          <w:szCs w:val="22"/>
        </w:rPr>
        <w:t xml:space="preserve"> business </w:t>
      </w:r>
      <w:r w:rsidR="00FB0BD4" w:rsidRPr="004A0C12">
        <w:rPr>
          <w:rFonts w:ascii="Garamond" w:hAnsi="Garamond"/>
          <w:szCs w:val="22"/>
        </w:rPr>
        <w:t>retention and expansion efforts, but the development of</w:t>
      </w:r>
      <w:r w:rsidR="00167878" w:rsidRPr="004A0C12">
        <w:rPr>
          <w:rFonts w:ascii="Garamond" w:hAnsi="Garamond"/>
          <w:szCs w:val="22"/>
        </w:rPr>
        <w:t xml:space="preserve"> basic skill levels in occupations with growing demand</w:t>
      </w:r>
      <w:r w:rsidR="00FB0BD4" w:rsidRPr="004A0C12">
        <w:rPr>
          <w:rFonts w:ascii="Garamond" w:hAnsi="Garamond"/>
          <w:szCs w:val="22"/>
        </w:rPr>
        <w:t>.</w:t>
      </w:r>
      <w:r w:rsidR="00167878" w:rsidRPr="004A0C12">
        <w:rPr>
          <w:rFonts w:ascii="Garamond" w:hAnsi="Garamond"/>
          <w:szCs w:val="22"/>
        </w:rPr>
        <w:t xml:space="preserve"> </w:t>
      </w:r>
      <w:r w:rsidR="00FB0BD4" w:rsidRPr="004A0C12">
        <w:rPr>
          <w:rFonts w:ascii="Garamond" w:hAnsi="Garamond"/>
          <w:szCs w:val="22"/>
        </w:rPr>
        <w:t xml:space="preserve"> This is </w:t>
      </w:r>
      <w:r w:rsidR="00167878" w:rsidRPr="004A0C12">
        <w:rPr>
          <w:rFonts w:ascii="Garamond" w:hAnsi="Garamond"/>
          <w:szCs w:val="22"/>
        </w:rPr>
        <w:t>a primary focus of Maryland’</w:t>
      </w:r>
      <w:r w:rsidR="00FB0BD4" w:rsidRPr="004A0C12">
        <w:rPr>
          <w:rFonts w:ascii="Garamond" w:hAnsi="Garamond"/>
          <w:szCs w:val="22"/>
        </w:rPr>
        <w:t>s EARN program.</w:t>
      </w:r>
      <w:r w:rsidR="00167878" w:rsidRPr="004A0C12">
        <w:rPr>
          <w:rFonts w:ascii="Garamond" w:hAnsi="Garamond"/>
          <w:szCs w:val="22"/>
        </w:rPr>
        <w:t xml:space="preserve"> </w:t>
      </w:r>
      <w:r w:rsidR="00FB0BD4" w:rsidRPr="004A0C12">
        <w:rPr>
          <w:rFonts w:ascii="Garamond" w:hAnsi="Garamond"/>
          <w:szCs w:val="22"/>
        </w:rPr>
        <w:t>B</w:t>
      </w:r>
      <w:r w:rsidR="00167878" w:rsidRPr="004A0C12">
        <w:rPr>
          <w:rFonts w:ascii="Garamond" w:hAnsi="Garamond"/>
          <w:szCs w:val="22"/>
        </w:rPr>
        <w:t>y supporting company efforts to update skills f</w:t>
      </w:r>
      <w:r w:rsidR="00FB0BD4" w:rsidRPr="004A0C12">
        <w:rPr>
          <w:rFonts w:ascii="Garamond" w:hAnsi="Garamond"/>
          <w:szCs w:val="22"/>
        </w:rPr>
        <w:t xml:space="preserve">or new processes and equipment, </w:t>
      </w:r>
      <w:r w:rsidR="00167878" w:rsidRPr="004A0C12">
        <w:rPr>
          <w:rFonts w:ascii="Garamond" w:hAnsi="Garamond"/>
          <w:szCs w:val="22"/>
        </w:rPr>
        <w:t>there is an opportunity for business services to educate businesses not curre</w:t>
      </w:r>
      <w:r w:rsidR="00FB0BD4" w:rsidRPr="004A0C12">
        <w:rPr>
          <w:rFonts w:ascii="Garamond" w:hAnsi="Garamond"/>
          <w:szCs w:val="22"/>
        </w:rPr>
        <w:t>ntly involved with EARN on both</w:t>
      </w:r>
      <w:r w:rsidR="00167878" w:rsidRPr="004A0C12">
        <w:rPr>
          <w:rFonts w:ascii="Garamond" w:hAnsi="Garamond"/>
          <w:szCs w:val="22"/>
        </w:rPr>
        <w:t xml:space="preserve"> entry-level and in</w:t>
      </w:r>
      <w:r w:rsidR="00FB0BD4" w:rsidRPr="004A0C12">
        <w:rPr>
          <w:rFonts w:ascii="Garamond" w:hAnsi="Garamond"/>
          <w:szCs w:val="22"/>
        </w:rPr>
        <w:t>cumbent worker training efforts</w:t>
      </w:r>
      <w:r w:rsidR="00167878" w:rsidRPr="004A0C12">
        <w:rPr>
          <w:rFonts w:ascii="Garamond" w:hAnsi="Garamond"/>
          <w:szCs w:val="22"/>
        </w:rPr>
        <w:t xml:space="preserve">, where appropriate. Both DLLR and Commerce have previously invested in matching grant programs directed to businesses. These investments in Maryland’s businesses provided customized training solutions for individual companies with unique or proprietary technical skill requirements.   </w:t>
      </w:r>
    </w:p>
    <w:p w14:paraId="3765B8E3" w14:textId="77777777" w:rsidR="00167878" w:rsidRPr="004A0C12" w:rsidRDefault="00167878" w:rsidP="00167878">
      <w:pPr>
        <w:pStyle w:val="ListParagraph"/>
        <w:jc w:val="both"/>
        <w:rPr>
          <w:rFonts w:ascii="Garamond" w:hAnsi="Garamond"/>
          <w:szCs w:val="22"/>
        </w:rPr>
      </w:pPr>
    </w:p>
    <w:p w14:paraId="5472BB40" w14:textId="26179B5B" w:rsidR="00167878" w:rsidRPr="004A0C12" w:rsidRDefault="00167878" w:rsidP="00167878">
      <w:pPr>
        <w:pStyle w:val="NormalWeb2"/>
        <w:shd w:val="clear" w:color="auto" w:fill="FFFFFF"/>
        <w:spacing w:before="0" w:after="0"/>
        <w:jc w:val="both"/>
        <w:rPr>
          <w:rFonts w:ascii="Garamond" w:hAnsi="Garamond"/>
          <w:color w:val="191919"/>
          <w:sz w:val="22"/>
          <w:szCs w:val="22"/>
        </w:rPr>
      </w:pPr>
      <w:r w:rsidRPr="004A0C12">
        <w:rPr>
          <w:rFonts w:ascii="Garamond" w:hAnsi="Garamond"/>
          <w:color w:val="191919"/>
          <w:sz w:val="22"/>
          <w:szCs w:val="22"/>
        </w:rPr>
        <w:t xml:space="preserve">While much has been learned through the implementation of an industry-led model, there are new ideas to explore and further develop to better serve businesses and jobseekers.  </w:t>
      </w:r>
      <w:r w:rsidR="00FB0BD4" w:rsidRPr="004A0C12">
        <w:rPr>
          <w:rFonts w:ascii="Garamond" w:hAnsi="Garamond"/>
          <w:color w:val="191919"/>
          <w:sz w:val="22"/>
          <w:szCs w:val="22"/>
        </w:rPr>
        <w:t xml:space="preserve">This includes: </w:t>
      </w:r>
      <w:r w:rsidRPr="004A0C12">
        <w:rPr>
          <w:rFonts w:ascii="Garamond" w:hAnsi="Garamond"/>
          <w:color w:val="191919"/>
          <w:sz w:val="22"/>
          <w:szCs w:val="22"/>
        </w:rPr>
        <w:t xml:space="preserve"> </w:t>
      </w:r>
    </w:p>
    <w:p w14:paraId="50865779" w14:textId="77777777" w:rsidR="00167878" w:rsidRPr="004A0C12" w:rsidRDefault="00167878" w:rsidP="00167878">
      <w:pPr>
        <w:pStyle w:val="ListParagraph"/>
        <w:jc w:val="both"/>
        <w:rPr>
          <w:rFonts w:ascii="Garamond" w:hAnsi="Garamond"/>
          <w:szCs w:val="22"/>
        </w:rPr>
      </w:pPr>
    </w:p>
    <w:p w14:paraId="4CD692E6" w14:textId="42548A5B" w:rsidR="00167878" w:rsidRPr="004A0C12" w:rsidRDefault="00FB0BD4" w:rsidP="00232F09">
      <w:pPr>
        <w:pStyle w:val="ListParagraph"/>
        <w:numPr>
          <w:ilvl w:val="0"/>
          <w:numId w:val="292"/>
        </w:numPr>
        <w:rPr>
          <w:rFonts w:ascii="Garamond" w:hAnsi="Garamond"/>
          <w:szCs w:val="22"/>
        </w:rPr>
      </w:pPr>
      <w:r w:rsidRPr="004A0C12">
        <w:rPr>
          <w:rFonts w:ascii="Garamond" w:hAnsi="Garamond"/>
          <w:b/>
          <w:szCs w:val="22"/>
        </w:rPr>
        <w:t>Developing an approach for industry-lead programs to target</w:t>
      </w:r>
      <w:r w:rsidR="00167878" w:rsidRPr="004A0C12">
        <w:rPr>
          <w:rFonts w:ascii="Garamond" w:hAnsi="Garamond"/>
          <w:b/>
          <w:szCs w:val="22"/>
        </w:rPr>
        <w:t xml:space="preserve"> special populations such as those served by DORS, TANF, etc.</w:t>
      </w:r>
      <w:r w:rsidR="00167878" w:rsidRPr="004A0C12">
        <w:rPr>
          <w:rFonts w:ascii="Garamond" w:hAnsi="Garamond"/>
          <w:szCs w:val="22"/>
        </w:rPr>
        <w:t xml:space="preserve"> </w:t>
      </w:r>
      <w:r w:rsidRPr="004A0C12">
        <w:rPr>
          <w:rFonts w:ascii="Garamond" w:hAnsi="Garamond"/>
          <w:szCs w:val="22"/>
        </w:rPr>
        <w:t>– T</w:t>
      </w:r>
      <w:r w:rsidR="00167878" w:rsidRPr="004A0C12">
        <w:rPr>
          <w:rFonts w:ascii="Garamond" w:hAnsi="Garamond"/>
          <w:szCs w:val="22"/>
        </w:rPr>
        <w:t xml:space="preserve">he interplay between industry-led partnerships and provision of services to targeted populations is one that some grantees have undertaken. We look forward to learning from their experiences. </w:t>
      </w:r>
    </w:p>
    <w:p w14:paraId="5ECE6881" w14:textId="67FCD35C" w:rsidR="00167878" w:rsidRPr="004A0C12" w:rsidRDefault="00167878" w:rsidP="00232F09">
      <w:pPr>
        <w:pStyle w:val="ListParagraph"/>
        <w:numPr>
          <w:ilvl w:val="0"/>
          <w:numId w:val="292"/>
        </w:numPr>
        <w:rPr>
          <w:rFonts w:ascii="Garamond" w:hAnsi="Garamond"/>
          <w:szCs w:val="22"/>
        </w:rPr>
      </w:pPr>
      <w:r w:rsidRPr="004A0C12">
        <w:rPr>
          <w:rFonts w:ascii="Garamond" w:hAnsi="Garamond"/>
          <w:b/>
          <w:szCs w:val="22"/>
        </w:rPr>
        <w:t>Bringing programs such as EARN to scale</w:t>
      </w:r>
      <w:r w:rsidR="00FB0BD4" w:rsidRPr="004A0C12">
        <w:rPr>
          <w:rFonts w:ascii="Garamond" w:hAnsi="Garamond"/>
          <w:szCs w:val="22"/>
        </w:rPr>
        <w:t xml:space="preserve"> – </w:t>
      </w:r>
      <w:r w:rsidRPr="004A0C12">
        <w:rPr>
          <w:rFonts w:ascii="Garamond" w:hAnsi="Garamond"/>
          <w:szCs w:val="22"/>
        </w:rPr>
        <w:t xml:space="preserve">EARN has been successful and has involved more than 500 business and industry partners. </w:t>
      </w:r>
      <w:r w:rsidR="00FB0BD4" w:rsidRPr="004A0C12">
        <w:rPr>
          <w:rFonts w:ascii="Garamond" w:hAnsi="Garamond"/>
          <w:szCs w:val="22"/>
        </w:rPr>
        <w:t xml:space="preserve"> However, Maryland has approximately 10,000 businesses. </w:t>
      </w:r>
      <w:r w:rsidRPr="004A0C12">
        <w:rPr>
          <w:rFonts w:ascii="Garamond" w:hAnsi="Garamond"/>
          <w:szCs w:val="22"/>
        </w:rPr>
        <w:t>The effort to involve a larger number of businesses in industry-led partnerships, leading to training</w:t>
      </w:r>
      <w:r w:rsidR="00FB0BD4" w:rsidRPr="004A0C12">
        <w:rPr>
          <w:rFonts w:ascii="Garamond" w:hAnsi="Garamond"/>
          <w:szCs w:val="22"/>
        </w:rPr>
        <w:t>,</w:t>
      </w:r>
      <w:r w:rsidRPr="004A0C12">
        <w:rPr>
          <w:rFonts w:ascii="Garamond" w:hAnsi="Garamond"/>
          <w:szCs w:val="22"/>
        </w:rPr>
        <w:t xml:space="preserve"> and the creation and use of career pathways, is a challenge that EARN can help to address by providing lessons learned. </w:t>
      </w:r>
    </w:p>
    <w:p w14:paraId="2F8C0CBC" w14:textId="791A2E05" w:rsidR="00167878" w:rsidRPr="004A0C12" w:rsidRDefault="00167878" w:rsidP="00232F09">
      <w:pPr>
        <w:pStyle w:val="ListParagraph"/>
        <w:numPr>
          <w:ilvl w:val="0"/>
          <w:numId w:val="292"/>
        </w:numPr>
        <w:rPr>
          <w:rFonts w:ascii="Garamond" w:hAnsi="Garamond"/>
          <w:szCs w:val="22"/>
        </w:rPr>
      </w:pPr>
      <w:r w:rsidRPr="004A0C12">
        <w:rPr>
          <w:rFonts w:ascii="Garamond" w:hAnsi="Garamond"/>
          <w:b/>
          <w:szCs w:val="22"/>
        </w:rPr>
        <w:t>Outline strategies to increase work-based learning experiences such as paid internships and registered a</w:t>
      </w:r>
      <w:r w:rsidR="00BB5F3C" w:rsidRPr="004A0C12">
        <w:rPr>
          <w:rFonts w:ascii="Garamond" w:hAnsi="Garamond"/>
          <w:b/>
          <w:szCs w:val="22"/>
        </w:rPr>
        <w:t>pprenticeships that provide job</w:t>
      </w:r>
      <w:r w:rsidRPr="004A0C12">
        <w:rPr>
          <w:rFonts w:ascii="Garamond" w:hAnsi="Garamond"/>
          <w:b/>
          <w:szCs w:val="22"/>
        </w:rPr>
        <w:t>seekers with the skills and credentials necessary to secure employment and advance in their jobs with family sustaining wages and benefits by building new sector partnerships and strengthening existing partnerships</w:t>
      </w:r>
      <w:r w:rsidR="00FB0BD4" w:rsidRPr="004A0C12">
        <w:rPr>
          <w:rFonts w:ascii="Garamond" w:hAnsi="Garamond"/>
          <w:szCs w:val="22"/>
        </w:rPr>
        <w:t xml:space="preserve"> – E</w:t>
      </w:r>
      <w:r w:rsidRPr="004A0C12">
        <w:rPr>
          <w:rFonts w:ascii="Garamond" w:hAnsi="Garamond"/>
          <w:szCs w:val="22"/>
        </w:rPr>
        <w:t xml:space="preserve">ARN will serve as the starting point for this, as some SIPs are providing work-based learning experiences. We look forward to building on lessons learned. </w:t>
      </w:r>
    </w:p>
    <w:p w14:paraId="2AD1430B" w14:textId="7AFDA275" w:rsidR="00167878" w:rsidRPr="004A0C12" w:rsidRDefault="00167878" w:rsidP="00232F09">
      <w:pPr>
        <w:pStyle w:val="NormalWeb2"/>
        <w:numPr>
          <w:ilvl w:val="0"/>
          <w:numId w:val="292"/>
        </w:numPr>
        <w:shd w:val="clear" w:color="auto" w:fill="FFFFFF"/>
        <w:spacing w:before="0" w:after="0"/>
        <w:jc w:val="both"/>
        <w:rPr>
          <w:rFonts w:ascii="Garamond" w:hAnsi="Garamond"/>
          <w:color w:val="191919"/>
          <w:sz w:val="22"/>
          <w:szCs w:val="22"/>
        </w:rPr>
      </w:pPr>
      <w:r w:rsidRPr="004A0C12">
        <w:rPr>
          <w:rFonts w:ascii="Garamond" w:hAnsi="Garamond"/>
          <w:b/>
          <w:sz w:val="22"/>
          <w:szCs w:val="22"/>
        </w:rPr>
        <w:t>Tying business services with EARN</w:t>
      </w:r>
      <w:r w:rsidR="00FB0BD4" w:rsidRPr="004A0C12">
        <w:rPr>
          <w:rFonts w:ascii="Garamond" w:hAnsi="Garamond"/>
          <w:sz w:val="22"/>
          <w:szCs w:val="22"/>
        </w:rPr>
        <w:t xml:space="preserve"> – Mar</w:t>
      </w:r>
      <w:r w:rsidRPr="004A0C12">
        <w:rPr>
          <w:rFonts w:ascii="Garamond" w:hAnsi="Garamond"/>
          <w:color w:val="191919"/>
          <w:sz w:val="22"/>
          <w:szCs w:val="22"/>
        </w:rPr>
        <w:t>yland is c</w:t>
      </w:r>
      <w:r w:rsidR="00FB0BD4" w:rsidRPr="004A0C12">
        <w:rPr>
          <w:rFonts w:ascii="Garamond" w:hAnsi="Garamond"/>
          <w:color w:val="191919"/>
          <w:sz w:val="22"/>
          <w:szCs w:val="22"/>
        </w:rPr>
        <w:t>ommitted to creating a business-</w:t>
      </w:r>
      <w:r w:rsidRPr="004A0C12">
        <w:rPr>
          <w:rFonts w:ascii="Garamond" w:hAnsi="Garamond"/>
          <w:color w:val="191919"/>
          <w:sz w:val="22"/>
          <w:szCs w:val="22"/>
        </w:rPr>
        <w:t xml:space="preserve">focused delivery system for workforce needs. In a business-focused system, customized training can be used to meet the special requirements of an employer or group of employers, conducted with a commitment by the employer to employ all individuals upon successful completion of training. Some EARN Partnerships are providing incumbent worker training that meet an employer’s specialized needs. Under WIOA, incumbent worker training is an allowable cost, so the partners will review </w:t>
      </w:r>
      <w:r w:rsidRPr="004A0C12">
        <w:rPr>
          <w:rFonts w:ascii="Garamond" w:hAnsi="Garamond"/>
          <w:color w:val="191919"/>
          <w:sz w:val="22"/>
          <w:szCs w:val="22"/>
        </w:rPr>
        <w:lastRenderedPageBreak/>
        <w:t xml:space="preserve">best practices from these training initiatives. </w:t>
      </w:r>
      <w:r w:rsidR="00BB5F3C" w:rsidRPr="004A0C12">
        <w:rPr>
          <w:rFonts w:ascii="Garamond" w:hAnsi="Garamond"/>
          <w:color w:val="191919"/>
          <w:sz w:val="22"/>
          <w:szCs w:val="22"/>
        </w:rPr>
        <w:t>The WIOA P</w:t>
      </w:r>
      <w:r w:rsidRPr="004A0C12">
        <w:rPr>
          <w:rFonts w:ascii="Garamond" w:hAnsi="Garamond"/>
          <w:color w:val="191919"/>
          <w:sz w:val="22"/>
          <w:szCs w:val="22"/>
        </w:rPr>
        <w:t>artners collaborate with the business to identify eligible program participants and potential sources of training funds. </w:t>
      </w:r>
    </w:p>
    <w:p w14:paraId="3905C00F" w14:textId="77777777" w:rsidR="00167878" w:rsidRPr="004A0C12" w:rsidRDefault="00167878" w:rsidP="00232F09">
      <w:pPr>
        <w:pStyle w:val="ListParagraph"/>
        <w:numPr>
          <w:ilvl w:val="0"/>
          <w:numId w:val="292"/>
        </w:numPr>
        <w:rPr>
          <w:rFonts w:ascii="Garamond" w:hAnsi="Garamond"/>
          <w:szCs w:val="22"/>
        </w:rPr>
      </w:pPr>
      <w:r w:rsidRPr="004A0C12">
        <w:rPr>
          <w:rFonts w:ascii="Garamond" w:hAnsi="Garamond"/>
          <w:b/>
          <w:szCs w:val="22"/>
        </w:rPr>
        <w:t>Identification and delivery of industry recognized credentials through industry-led partnerships</w:t>
      </w:r>
      <w:r w:rsidRPr="004A0C12">
        <w:rPr>
          <w:rFonts w:ascii="Garamond" w:hAnsi="Garamond"/>
          <w:szCs w:val="22"/>
        </w:rPr>
        <w:t>.</w:t>
      </w:r>
    </w:p>
    <w:p w14:paraId="2CA5C8BB" w14:textId="616E7964" w:rsidR="00167878" w:rsidRPr="004A0C12" w:rsidRDefault="00FB0BD4" w:rsidP="00232F09">
      <w:pPr>
        <w:pStyle w:val="ListParagraph"/>
        <w:numPr>
          <w:ilvl w:val="0"/>
          <w:numId w:val="292"/>
        </w:numPr>
        <w:rPr>
          <w:rFonts w:ascii="Garamond" w:hAnsi="Garamond"/>
          <w:color w:val="191919"/>
          <w:szCs w:val="22"/>
        </w:rPr>
      </w:pPr>
      <w:r w:rsidRPr="004A0C12">
        <w:rPr>
          <w:rFonts w:ascii="Garamond" w:hAnsi="Garamond"/>
          <w:b/>
          <w:szCs w:val="22"/>
        </w:rPr>
        <w:t>Incorporation of</w:t>
      </w:r>
      <w:r w:rsidR="00167878" w:rsidRPr="004A0C12">
        <w:rPr>
          <w:rFonts w:ascii="Garamond" w:hAnsi="Garamond"/>
          <w:b/>
          <w:szCs w:val="22"/>
        </w:rPr>
        <w:t xml:space="preserve"> </w:t>
      </w:r>
      <w:r w:rsidR="00B157E4" w:rsidRPr="004A0C12">
        <w:rPr>
          <w:rFonts w:ascii="Garamond" w:hAnsi="Garamond"/>
          <w:b/>
          <w:szCs w:val="22"/>
        </w:rPr>
        <w:t>an</w:t>
      </w:r>
      <w:r w:rsidR="00167878" w:rsidRPr="004A0C12">
        <w:rPr>
          <w:rFonts w:ascii="Garamond" w:hAnsi="Garamond"/>
          <w:b/>
          <w:szCs w:val="22"/>
        </w:rPr>
        <w:t xml:space="preserve"> increase</w:t>
      </w:r>
      <w:r w:rsidRPr="004A0C12">
        <w:rPr>
          <w:rFonts w:ascii="Garamond" w:hAnsi="Garamond"/>
          <w:b/>
          <w:szCs w:val="22"/>
        </w:rPr>
        <w:t xml:space="preserve"> in</w:t>
      </w:r>
      <w:r w:rsidR="00167878" w:rsidRPr="004A0C12">
        <w:rPr>
          <w:rFonts w:ascii="Garamond" w:hAnsi="Garamond"/>
          <w:b/>
          <w:szCs w:val="22"/>
        </w:rPr>
        <w:t xml:space="preserve"> work-based learning opportunities in EARN and throughout the business-focused delivery system </w:t>
      </w:r>
      <w:r w:rsidR="00167878" w:rsidRPr="004A0C12">
        <w:rPr>
          <w:rFonts w:ascii="Garamond" w:hAnsi="Garamond"/>
          <w:b/>
          <w:color w:val="191919"/>
          <w:szCs w:val="22"/>
        </w:rPr>
        <w:t>with the Job Driven National Emergency Grant Program</w:t>
      </w:r>
      <w:r w:rsidRPr="004A0C12">
        <w:rPr>
          <w:rFonts w:ascii="Garamond" w:hAnsi="Garamond"/>
          <w:b/>
          <w:color w:val="191919"/>
          <w:szCs w:val="22"/>
        </w:rPr>
        <w:t xml:space="preserve"> – </w:t>
      </w:r>
      <w:r w:rsidR="00167878" w:rsidRPr="004A0C12">
        <w:rPr>
          <w:rFonts w:ascii="Garamond" w:hAnsi="Garamond"/>
          <w:color w:val="191919"/>
          <w:szCs w:val="22"/>
        </w:rPr>
        <w:t>Under this system, dislocated worker services will focus on industry-driven partnerships with the business community. Utilizing this renewed focus, employer partnerships create job opportunities for dislocated workers through work based learning, on-the-job training, and customized and occupational skills training. Some EARN Maryland Partnerships are leveraging JDNEG funding, but the WIOA partners will explore ways to more effectively take advantage of this opportunity.</w:t>
      </w:r>
    </w:p>
    <w:p w14:paraId="4778F685" w14:textId="77777777" w:rsidR="00AB5AEF" w:rsidRPr="004A0C12" w:rsidRDefault="00AB5AEF" w:rsidP="00AB5AEF">
      <w:pPr>
        <w:pStyle w:val="NormalWeb2"/>
        <w:shd w:val="clear" w:color="auto" w:fill="FFFFFF"/>
        <w:spacing w:before="0" w:after="0"/>
        <w:jc w:val="both"/>
        <w:rPr>
          <w:rFonts w:ascii="Garamond" w:hAnsi="Garamond"/>
          <w:color w:val="191919"/>
          <w:sz w:val="22"/>
          <w:szCs w:val="22"/>
        </w:rPr>
      </w:pPr>
      <w:r w:rsidRPr="004A0C12">
        <w:rPr>
          <w:rFonts w:ascii="Garamond" w:hAnsi="Garamond"/>
          <w:color w:val="191919"/>
          <w:sz w:val="22"/>
          <w:szCs w:val="22"/>
        </w:rPr>
        <w:t> </w:t>
      </w:r>
    </w:p>
    <w:p w14:paraId="069618F9" w14:textId="6C3652F8" w:rsidR="00AB5AEF" w:rsidRPr="004A0C12" w:rsidRDefault="00AB5AEF" w:rsidP="00AB5AEF">
      <w:pPr>
        <w:pStyle w:val="NormalWeb2"/>
        <w:shd w:val="clear" w:color="auto" w:fill="FFFFFF"/>
        <w:spacing w:before="0" w:after="0"/>
        <w:jc w:val="both"/>
        <w:rPr>
          <w:rFonts w:ascii="Garamond" w:hAnsi="Garamond"/>
          <w:color w:val="191919"/>
          <w:sz w:val="22"/>
          <w:szCs w:val="22"/>
        </w:rPr>
      </w:pPr>
      <w:r w:rsidRPr="004A0C12">
        <w:rPr>
          <w:rFonts w:ascii="Garamond" w:hAnsi="Garamond"/>
          <w:color w:val="191919"/>
          <w:sz w:val="22"/>
          <w:szCs w:val="22"/>
        </w:rPr>
        <w:t xml:space="preserve">Maryland will continue to utilize models like EARN Maryland and those established under the Job Driven National Emergency Grant </w:t>
      </w:r>
      <w:r w:rsidR="00FB0BD4" w:rsidRPr="004A0C12">
        <w:rPr>
          <w:rFonts w:ascii="Garamond" w:hAnsi="Garamond"/>
          <w:color w:val="191919"/>
          <w:sz w:val="22"/>
          <w:szCs w:val="22"/>
        </w:rPr>
        <w:t>p</w:t>
      </w:r>
      <w:r w:rsidRPr="004A0C12">
        <w:rPr>
          <w:rFonts w:ascii="Garamond" w:hAnsi="Garamond"/>
          <w:color w:val="191919"/>
          <w:sz w:val="22"/>
          <w:szCs w:val="22"/>
        </w:rPr>
        <w:t>rogram in advancing this business focused system. Under this system, dislocated worker services will focus on industry-driven partnerships with the business community. Utilizing this renewed focus, employer partnerships create job opportunities for dislocated workers through work based learning, on-the-job training, and customized and occupational skills training. </w:t>
      </w:r>
    </w:p>
    <w:p w14:paraId="1F354829" w14:textId="77777777" w:rsidR="00F55349" w:rsidRPr="004A0C12" w:rsidRDefault="00F55349" w:rsidP="00AB5AEF">
      <w:pPr>
        <w:pStyle w:val="NormalWeb2"/>
        <w:shd w:val="clear" w:color="auto" w:fill="FFFFFF"/>
        <w:spacing w:before="0" w:after="0"/>
        <w:jc w:val="both"/>
        <w:rPr>
          <w:rFonts w:ascii="Garamond" w:hAnsi="Garamond"/>
          <w:color w:val="191919"/>
          <w:sz w:val="22"/>
          <w:szCs w:val="22"/>
        </w:rPr>
      </w:pPr>
    </w:p>
    <w:p w14:paraId="2C86D1D5" w14:textId="74F535C7" w:rsidR="00167878" w:rsidRPr="004A0C12" w:rsidRDefault="00AB5AEF" w:rsidP="00167878">
      <w:pPr>
        <w:pStyle w:val="CommentText"/>
        <w:jc w:val="both"/>
        <w:rPr>
          <w:rFonts w:ascii="Garamond" w:hAnsi="Garamond"/>
          <w:sz w:val="22"/>
          <w:szCs w:val="22"/>
        </w:rPr>
      </w:pPr>
      <w:r w:rsidRPr="004A0C12">
        <w:rPr>
          <w:rFonts w:ascii="Garamond" w:hAnsi="Garamond"/>
          <w:color w:val="191919"/>
          <w:sz w:val="22"/>
          <w:szCs w:val="22"/>
        </w:rPr>
        <w:t xml:space="preserve">Whenever possible, the use of these strategies will be considered as leverage opportunities for future discretionary grant opportunities. Industry-based training will be the priority for any available competitively procured </w:t>
      </w:r>
      <w:r w:rsidR="00CB70A6" w:rsidRPr="004A0C12">
        <w:rPr>
          <w:rFonts w:ascii="Garamond" w:hAnsi="Garamond"/>
          <w:color w:val="191919"/>
          <w:sz w:val="22"/>
          <w:szCs w:val="22"/>
        </w:rPr>
        <w:t>and st</w:t>
      </w:r>
      <w:r w:rsidR="00FB0BD4" w:rsidRPr="004A0C12">
        <w:rPr>
          <w:rFonts w:ascii="Garamond" w:hAnsi="Garamond"/>
          <w:color w:val="191919"/>
          <w:sz w:val="22"/>
          <w:szCs w:val="22"/>
        </w:rPr>
        <w:t>ate discretionary funding. The S</w:t>
      </w:r>
      <w:r w:rsidR="00CB70A6" w:rsidRPr="004A0C12">
        <w:rPr>
          <w:rFonts w:ascii="Garamond" w:hAnsi="Garamond"/>
          <w:color w:val="191919"/>
          <w:sz w:val="22"/>
          <w:szCs w:val="22"/>
        </w:rPr>
        <w:t>tate’s industry cluster</w:t>
      </w:r>
      <w:r w:rsidRPr="004A0C12">
        <w:rPr>
          <w:rFonts w:ascii="Garamond" w:hAnsi="Garamond"/>
          <w:color w:val="191919"/>
          <w:sz w:val="22"/>
          <w:szCs w:val="22"/>
        </w:rPr>
        <w:t xml:space="preserve"> approach will be the focus of WIOA statewide activities. Individual Training Accounts will become increasingly more important in a business focused workforce development system. </w:t>
      </w:r>
      <w:r w:rsidR="00BB5F3C" w:rsidRPr="004A0C12">
        <w:rPr>
          <w:rFonts w:ascii="Garamond" w:hAnsi="Garamond"/>
          <w:sz w:val="22"/>
          <w:szCs w:val="22"/>
        </w:rPr>
        <w:t xml:space="preserve"> Local A</w:t>
      </w:r>
      <w:r w:rsidR="00167878" w:rsidRPr="004A0C12">
        <w:rPr>
          <w:rFonts w:ascii="Garamond" w:hAnsi="Garamond"/>
          <w:sz w:val="22"/>
          <w:szCs w:val="22"/>
        </w:rPr>
        <w:t>reas are encouraged to maintain a balance bet</w:t>
      </w:r>
      <w:r w:rsidR="00FB0BD4" w:rsidRPr="004A0C12">
        <w:rPr>
          <w:rFonts w:ascii="Garamond" w:hAnsi="Garamond"/>
          <w:sz w:val="22"/>
          <w:szCs w:val="22"/>
        </w:rPr>
        <w:t>ween cohort class-size training</w:t>
      </w:r>
      <w:r w:rsidR="00167878" w:rsidRPr="004A0C12">
        <w:rPr>
          <w:rFonts w:ascii="Garamond" w:hAnsi="Garamond"/>
          <w:sz w:val="22"/>
          <w:szCs w:val="22"/>
        </w:rPr>
        <w:t xml:space="preserve"> and I</w:t>
      </w:r>
      <w:r w:rsidR="00FB0BD4" w:rsidRPr="004A0C12">
        <w:rPr>
          <w:rFonts w:ascii="Garamond" w:hAnsi="Garamond"/>
          <w:sz w:val="22"/>
          <w:szCs w:val="22"/>
        </w:rPr>
        <w:t xml:space="preserve">ndividual </w:t>
      </w:r>
      <w:r w:rsidR="00167878" w:rsidRPr="004A0C12">
        <w:rPr>
          <w:rFonts w:ascii="Garamond" w:hAnsi="Garamond"/>
          <w:sz w:val="22"/>
          <w:szCs w:val="22"/>
        </w:rPr>
        <w:t>T</w:t>
      </w:r>
      <w:r w:rsidR="00FB0BD4" w:rsidRPr="004A0C12">
        <w:rPr>
          <w:rFonts w:ascii="Garamond" w:hAnsi="Garamond"/>
          <w:sz w:val="22"/>
          <w:szCs w:val="22"/>
        </w:rPr>
        <w:t xml:space="preserve">raining </w:t>
      </w:r>
      <w:r w:rsidR="00167878" w:rsidRPr="004A0C12">
        <w:rPr>
          <w:rFonts w:ascii="Garamond" w:hAnsi="Garamond"/>
          <w:sz w:val="22"/>
          <w:szCs w:val="22"/>
        </w:rPr>
        <w:t>A</w:t>
      </w:r>
      <w:r w:rsidR="00FB0BD4" w:rsidRPr="004A0C12">
        <w:rPr>
          <w:rFonts w:ascii="Garamond" w:hAnsi="Garamond"/>
          <w:sz w:val="22"/>
          <w:szCs w:val="22"/>
        </w:rPr>
        <w:t>ccount</w:t>
      </w:r>
      <w:r w:rsidR="00167878" w:rsidRPr="004A0C12">
        <w:rPr>
          <w:rFonts w:ascii="Garamond" w:hAnsi="Garamond"/>
          <w:sz w:val="22"/>
          <w:szCs w:val="22"/>
        </w:rPr>
        <w:t>s (for example, Industry Academies and career pathway systems) to ensure an effective business focused workforce system.</w:t>
      </w:r>
    </w:p>
    <w:p w14:paraId="015FE885" w14:textId="77777777" w:rsidR="001D4D0E" w:rsidRPr="004A0C12" w:rsidRDefault="001D4D0E" w:rsidP="00AB5AEF">
      <w:pPr>
        <w:pStyle w:val="NormalWeb2"/>
        <w:shd w:val="clear" w:color="auto" w:fill="FFFFFF"/>
        <w:spacing w:before="0" w:after="0"/>
        <w:jc w:val="both"/>
        <w:rPr>
          <w:rFonts w:ascii="Garamond" w:hAnsi="Garamond"/>
          <w:color w:val="191919"/>
          <w:sz w:val="22"/>
          <w:szCs w:val="22"/>
        </w:rPr>
      </w:pPr>
    </w:p>
    <w:p w14:paraId="74AF7C68" w14:textId="04567588" w:rsidR="00AB5AEF" w:rsidRPr="004A0C12" w:rsidRDefault="00AB5AEF" w:rsidP="00AB5AEF">
      <w:pPr>
        <w:pStyle w:val="NormalWeb2"/>
        <w:shd w:val="clear" w:color="auto" w:fill="FFFFFF"/>
        <w:spacing w:before="0" w:after="0"/>
        <w:jc w:val="both"/>
        <w:rPr>
          <w:rFonts w:ascii="Garamond" w:hAnsi="Garamond"/>
          <w:color w:val="191919"/>
          <w:sz w:val="22"/>
          <w:szCs w:val="22"/>
        </w:rPr>
      </w:pPr>
      <w:r w:rsidRPr="004A0C12">
        <w:rPr>
          <w:rFonts w:ascii="Garamond" w:hAnsi="Garamond"/>
          <w:color w:val="191919"/>
          <w:sz w:val="22"/>
          <w:szCs w:val="22"/>
        </w:rPr>
        <w:t>Local workforce partners also play a key role i</w:t>
      </w:r>
      <w:r w:rsidR="00FB0BD4" w:rsidRPr="004A0C12">
        <w:rPr>
          <w:rFonts w:ascii="Garamond" w:hAnsi="Garamond"/>
          <w:color w:val="191919"/>
          <w:sz w:val="22"/>
          <w:szCs w:val="22"/>
        </w:rPr>
        <w:t>n the development of a business-</w:t>
      </w:r>
      <w:r w:rsidRPr="004A0C12">
        <w:rPr>
          <w:rFonts w:ascii="Garamond" w:hAnsi="Garamond"/>
          <w:color w:val="191919"/>
          <w:sz w:val="22"/>
          <w:szCs w:val="22"/>
        </w:rPr>
        <w:t xml:space="preserve">focused workforce system.  State and local entities must work together to develop work-based training </w:t>
      </w:r>
      <w:r w:rsidR="00FB0BD4" w:rsidRPr="004A0C12">
        <w:rPr>
          <w:rFonts w:ascii="Garamond" w:hAnsi="Garamond"/>
          <w:color w:val="191919"/>
          <w:sz w:val="22"/>
          <w:szCs w:val="22"/>
        </w:rPr>
        <w:t>opportunities, including on-the-</w:t>
      </w:r>
      <w:r w:rsidRPr="004A0C12">
        <w:rPr>
          <w:rFonts w:ascii="Garamond" w:hAnsi="Garamond"/>
          <w:color w:val="191919"/>
          <w:sz w:val="22"/>
          <w:szCs w:val="22"/>
        </w:rPr>
        <w:t xml:space="preserve">job training, apprenticeship and internships for youth and adults. Utilizing limited funding sources for industry-lead partnerships is </w:t>
      </w:r>
      <w:proofErr w:type="gramStart"/>
      <w:r w:rsidRPr="004A0C12">
        <w:rPr>
          <w:rFonts w:ascii="Garamond" w:hAnsi="Garamond"/>
          <w:color w:val="191919"/>
          <w:sz w:val="22"/>
          <w:szCs w:val="22"/>
        </w:rPr>
        <w:t>key</w:t>
      </w:r>
      <w:proofErr w:type="gramEnd"/>
      <w:r w:rsidRPr="004A0C12">
        <w:rPr>
          <w:rFonts w:ascii="Garamond" w:hAnsi="Garamond"/>
          <w:color w:val="191919"/>
          <w:sz w:val="22"/>
          <w:szCs w:val="22"/>
        </w:rPr>
        <w:t>, particularly in light of the limited available support for the continued influx of participant training in degree or certificate programs. Therefore, local partners must develop a practice of issuing Individual Training Accounts based on high-demand, difficult to fill positions identified within local industry clusters.  Maryland will further ensure that at least 20 percent of youth formula funds at the local level are used on work-based training activities such as summer jobs, on-the-job training (OJT), and apprenticeship for in school and out of school youth.</w:t>
      </w:r>
    </w:p>
    <w:p w14:paraId="0B44A882" w14:textId="77777777" w:rsidR="00AB5AEF" w:rsidRPr="004A0C12" w:rsidRDefault="00AB5AEF" w:rsidP="00AB5AEF">
      <w:pPr>
        <w:pStyle w:val="NormalWeb2"/>
        <w:shd w:val="clear" w:color="auto" w:fill="FFFFFF"/>
        <w:spacing w:before="0" w:after="0"/>
        <w:jc w:val="both"/>
        <w:rPr>
          <w:rFonts w:ascii="Garamond" w:hAnsi="Garamond"/>
          <w:color w:val="191919"/>
          <w:sz w:val="22"/>
          <w:szCs w:val="22"/>
        </w:rPr>
      </w:pPr>
    </w:p>
    <w:p w14:paraId="06536055" w14:textId="47A33F45" w:rsidR="00EC6933" w:rsidRPr="004A0C12" w:rsidRDefault="00AB5AEF" w:rsidP="00EC6933">
      <w:pPr>
        <w:pStyle w:val="NormalWeb2"/>
        <w:shd w:val="clear" w:color="auto" w:fill="FFFFFF"/>
        <w:spacing w:before="0" w:after="0"/>
        <w:jc w:val="both"/>
        <w:rPr>
          <w:rFonts w:ascii="Garamond" w:hAnsi="Garamond"/>
          <w:color w:val="191919"/>
          <w:sz w:val="22"/>
          <w:szCs w:val="22"/>
        </w:rPr>
      </w:pPr>
      <w:r w:rsidRPr="004A0C12">
        <w:rPr>
          <w:rFonts w:ascii="Garamond" w:hAnsi="Garamond"/>
          <w:color w:val="191919"/>
          <w:sz w:val="22"/>
          <w:szCs w:val="22"/>
        </w:rPr>
        <w:t>Local Workforce Development Boards must further utilize WIOA funds in support of the business focused system. Locally defined priority industries must be identified by local Workforce Development Boards and appropriate services developed and provided based upon input received from employers and other key partners. Apprenticeships, on-the-job training, incumbent worker training, and individual training accounts can be used to pr</w:t>
      </w:r>
      <w:r w:rsidR="00EC6933" w:rsidRPr="004A0C12">
        <w:rPr>
          <w:rFonts w:ascii="Garamond" w:hAnsi="Garamond"/>
          <w:color w:val="191919"/>
          <w:sz w:val="22"/>
          <w:szCs w:val="22"/>
        </w:rPr>
        <w:t>ovide business-driven training.</w:t>
      </w:r>
    </w:p>
    <w:p w14:paraId="7159C821" w14:textId="77777777" w:rsidR="00084494" w:rsidRPr="004A0C12" w:rsidRDefault="00084494" w:rsidP="00EC6933">
      <w:pPr>
        <w:pStyle w:val="NormalWeb2"/>
        <w:shd w:val="clear" w:color="auto" w:fill="FFFFFF"/>
        <w:spacing w:before="0" w:after="0"/>
        <w:jc w:val="both"/>
        <w:rPr>
          <w:rFonts w:ascii="Garamond" w:hAnsi="Garamond"/>
          <w:color w:val="191919"/>
          <w:sz w:val="22"/>
          <w:szCs w:val="22"/>
        </w:rPr>
      </w:pPr>
    </w:p>
    <w:p w14:paraId="24D32B9E" w14:textId="77777777" w:rsidR="00277992" w:rsidRPr="00E64564" w:rsidRDefault="00277992" w:rsidP="00277992">
      <w:pPr>
        <w:pStyle w:val="Heading3"/>
        <w:rPr>
          <w:rFonts w:ascii="Garamond" w:hAnsi="Garamond"/>
          <w:sz w:val="24"/>
          <w:szCs w:val="24"/>
        </w:rPr>
      </w:pPr>
      <w:bookmarkStart w:id="130" w:name="_Toc447276174"/>
      <w:r w:rsidRPr="00E64564">
        <w:rPr>
          <w:rFonts w:ascii="Garamond" w:hAnsi="Garamond"/>
          <w:sz w:val="24"/>
          <w:szCs w:val="24"/>
        </w:rPr>
        <w:t>Apprenticeship in Maryland</w:t>
      </w:r>
      <w:bookmarkEnd w:id="130"/>
    </w:p>
    <w:p w14:paraId="002AE853" w14:textId="77777777" w:rsidR="00F2117A" w:rsidRPr="004A0C12" w:rsidRDefault="00F2117A" w:rsidP="00277992">
      <w:pPr>
        <w:pStyle w:val="ListParagraph"/>
        <w:ind w:left="0"/>
        <w:jc w:val="both"/>
        <w:rPr>
          <w:rFonts w:ascii="Garamond" w:hAnsi="Garamond"/>
          <w:szCs w:val="22"/>
        </w:rPr>
      </w:pPr>
    </w:p>
    <w:p w14:paraId="14DDD927" w14:textId="51CECA10" w:rsidR="00F2117A" w:rsidRPr="004A0C12" w:rsidRDefault="00876843" w:rsidP="00F2117A">
      <w:pPr>
        <w:spacing w:line="240" w:lineRule="auto"/>
        <w:jc w:val="both"/>
        <w:rPr>
          <w:rFonts w:ascii="Garamond" w:hAnsi="Garamond" w:cs="Times New Roman"/>
        </w:rPr>
      </w:pPr>
      <w:r w:rsidRPr="004A0C12">
        <w:rPr>
          <w:rFonts w:ascii="Garamond" w:hAnsi="Garamond" w:cs="Times New Roman"/>
        </w:rPr>
        <w:t xml:space="preserve">Apprenticeships combine supervised, structured, on-the-job training and related technical instruction to teach apprentices the skills necessary to succeed in a specific occupation. </w:t>
      </w:r>
      <w:r w:rsidR="00F2117A" w:rsidRPr="004A0C12">
        <w:rPr>
          <w:rFonts w:ascii="Garamond" w:hAnsi="Garamond" w:cs="Times New Roman"/>
        </w:rPr>
        <w:t xml:space="preserve">Registered apprenticeships are voluntary, industry-driven programs sponsored by employers, employer associations, and jointly by management and labor.  A program sponsor can be an individual employer, groups of employers, or combinations of employers and unions. Each sponsor develops an apprenticeship program based on the needs of their specific occupation. </w:t>
      </w:r>
    </w:p>
    <w:p w14:paraId="1DE06E8C" w14:textId="5FF7CF9C" w:rsidR="00F2117A" w:rsidRPr="004A0C12" w:rsidRDefault="00F2117A" w:rsidP="00F2117A">
      <w:pPr>
        <w:spacing w:line="240" w:lineRule="auto"/>
        <w:jc w:val="both"/>
        <w:rPr>
          <w:rFonts w:ascii="Garamond" w:hAnsi="Garamond" w:cs="Times New Roman"/>
        </w:rPr>
      </w:pPr>
      <w:r w:rsidRPr="004A0C12">
        <w:rPr>
          <w:rFonts w:ascii="Garamond" w:hAnsi="Garamond" w:cs="Times New Roman"/>
          <w:bCs/>
        </w:rPr>
        <w:t>Apprenticeships offer benefits to both the jobseeke</w:t>
      </w:r>
      <w:r w:rsidR="00876843" w:rsidRPr="004A0C12">
        <w:rPr>
          <w:rFonts w:ascii="Garamond" w:hAnsi="Garamond" w:cs="Times New Roman"/>
          <w:bCs/>
        </w:rPr>
        <w:t>r and the sponsor.  For the job</w:t>
      </w:r>
      <w:r w:rsidRPr="004A0C12">
        <w:rPr>
          <w:rFonts w:ascii="Garamond" w:hAnsi="Garamond" w:cs="Times New Roman"/>
          <w:bCs/>
        </w:rPr>
        <w:t>seeker, apprenticeships provide jobs where the apprentice receives one-on-one job training, as well as relate</w:t>
      </w:r>
      <w:r w:rsidR="00876843" w:rsidRPr="004A0C12">
        <w:rPr>
          <w:rFonts w:ascii="Garamond" w:hAnsi="Garamond" w:cs="Times New Roman"/>
          <w:bCs/>
        </w:rPr>
        <w:t xml:space="preserve">d classroom education, while he or </w:t>
      </w:r>
      <w:r w:rsidRPr="004A0C12">
        <w:rPr>
          <w:rFonts w:ascii="Garamond" w:hAnsi="Garamond" w:cs="Times New Roman"/>
          <w:bCs/>
        </w:rPr>
        <w:t xml:space="preserve">she learns the necessary skills to become fully integrated into the </w:t>
      </w:r>
      <w:r w:rsidR="00876843" w:rsidRPr="004A0C12">
        <w:rPr>
          <w:rFonts w:ascii="Garamond" w:hAnsi="Garamond" w:cs="Times New Roman"/>
          <w:bCs/>
        </w:rPr>
        <w:t>work</w:t>
      </w:r>
      <w:r w:rsidRPr="004A0C12">
        <w:rPr>
          <w:rFonts w:ascii="Garamond" w:hAnsi="Garamond" w:cs="Times New Roman"/>
          <w:bCs/>
        </w:rPr>
        <w:t>force.</w:t>
      </w:r>
      <w:r w:rsidRPr="004A0C12">
        <w:rPr>
          <w:rFonts w:ascii="Garamond" w:hAnsi="Garamond" w:cs="Times New Roman"/>
          <w:b/>
          <w:bCs/>
        </w:rPr>
        <w:t xml:space="preserve"> </w:t>
      </w:r>
      <w:r w:rsidR="00876843" w:rsidRPr="004A0C12">
        <w:rPr>
          <w:rFonts w:ascii="Garamond" w:hAnsi="Garamond" w:cs="Times New Roman"/>
          <w:bCs/>
        </w:rPr>
        <w:t xml:space="preserve">Apprenticeships provide </w:t>
      </w:r>
      <w:r w:rsidRPr="004A0C12">
        <w:rPr>
          <w:rFonts w:ascii="Garamond" w:hAnsi="Garamond" w:cs="Times New Roman"/>
        </w:rPr>
        <w:t xml:space="preserve">full-time positions that are in-depth and certified with the minimum length of an apprenticeship of one year with at least 2,000 hours of on-the-job training and 144 hours of related classroom instruction per year. Apprenticeship career pathways are </w:t>
      </w:r>
      <w:r w:rsidRPr="004A0C12">
        <w:rPr>
          <w:rFonts w:ascii="Garamond" w:hAnsi="Garamond" w:cs="Times New Roman"/>
          <w:bCs/>
        </w:rPr>
        <w:t>diverse</w:t>
      </w:r>
      <w:r w:rsidRPr="004A0C12">
        <w:rPr>
          <w:rFonts w:ascii="Garamond" w:hAnsi="Garamond" w:cs="Times New Roman"/>
          <w:b/>
          <w:bCs/>
        </w:rPr>
        <w:t>.</w:t>
      </w:r>
      <w:r w:rsidRPr="004A0C12">
        <w:rPr>
          <w:rFonts w:ascii="Garamond" w:hAnsi="Garamond" w:cs="Times New Roman"/>
        </w:rPr>
        <w:t> In Maryland</w:t>
      </w:r>
      <w:r w:rsidR="00876843" w:rsidRPr="004A0C12">
        <w:rPr>
          <w:rFonts w:ascii="Garamond" w:hAnsi="Garamond" w:cs="Times New Roman"/>
        </w:rPr>
        <w:t>,</w:t>
      </w:r>
      <w:r w:rsidRPr="004A0C12">
        <w:rPr>
          <w:rFonts w:ascii="Garamond" w:hAnsi="Garamond" w:cs="Times New Roman"/>
        </w:rPr>
        <w:t xml:space="preserve"> there are over 230 registered occupations and over 9,000 registered apprentices. Apprenticeships offer career progression and advancement with incremental salary increases throughout </w:t>
      </w:r>
      <w:r w:rsidR="00876843" w:rsidRPr="004A0C12">
        <w:rPr>
          <w:rFonts w:ascii="Garamond" w:hAnsi="Garamond" w:cs="Times New Roman"/>
        </w:rPr>
        <w:t xml:space="preserve">duration of the </w:t>
      </w:r>
      <w:r w:rsidRPr="004A0C12">
        <w:rPr>
          <w:rFonts w:ascii="Garamond" w:hAnsi="Garamond" w:cs="Times New Roman"/>
        </w:rPr>
        <w:t xml:space="preserve">apprenticeship. Additionally, apprenticeships offer healthcare, retirement and fringe </w:t>
      </w:r>
      <w:r w:rsidRPr="004A0C12">
        <w:rPr>
          <w:rFonts w:ascii="Garamond" w:hAnsi="Garamond" w:cs="Times New Roman"/>
        </w:rPr>
        <w:lastRenderedPageBreak/>
        <w:t xml:space="preserve">benefits.  After all program requirements are met, apprentices receive a certificate of completion and are nationally recognized journeypersons. </w:t>
      </w:r>
    </w:p>
    <w:p w14:paraId="45FDA3A0" w14:textId="3141874A" w:rsidR="00F2117A" w:rsidRPr="004A0C12" w:rsidRDefault="00F2117A" w:rsidP="00F2117A">
      <w:pPr>
        <w:spacing w:line="240" w:lineRule="auto"/>
        <w:jc w:val="both"/>
        <w:rPr>
          <w:rFonts w:ascii="Garamond" w:hAnsi="Garamond" w:cs="Times New Roman"/>
          <w:bCs/>
        </w:rPr>
      </w:pPr>
      <w:r w:rsidRPr="004A0C12">
        <w:rPr>
          <w:rFonts w:ascii="Garamond" w:hAnsi="Garamond" w:cs="Times New Roman"/>
        </w:rPr>
        <w:t xml:space="preserve">Jobseekers who wish to become an apprentice are encouraged to first research a trade to determine an occupation he/she would like to pursue. A complete list of all apprenticeship occupations can be found on the </w:t>
      </w:r>
      <w:r w:rsidRPr="004A0C12">
        <w:rPr>
          <w:rFonts w:ascii="Garamond" w:hAnsi="Garamond" w:cs="Times New Roman"/>
          <w:bCs/>
        </w:rPr>
        <w:t>Maryland Apprenticeship and Training Program page at the following link:</w:t>
      </w:r>
      <w:r w:rsidRPr="004A0C12">
        <w:rPr>
          <w:rFonts w:ascii="Garamond" w:hAnsi="Garamond" w:cs="Times New Roman"/>
          <w:b/>
          <w:bCs/>
        </w:rPr>
        <w:t xml:space="preserve">  </w:t>
      </w:r>
      <w:hyperlink r:id="rId92" w:history="1">
        <w:r w:rsidRPr="004A0C12">
          <w:rPr>
            <w:rStyle w:val="Hyperlink"/>
            <w:rFonts w:ascii="Garamond" w:hAnsi="Garamond" w:cs="Times New Roman"/>
            <w:bCs/>
          </w:rPr>
          <w:t>https://www.dllr.state.md.us/labor/appr/</w:t>
        </w:r>
      </w:hyperlink>
      <w:r w:rsidRPr="004A0C12">
        <w:rPr>
          <w:rFonts w:ascii="Garamond" w:hAnsi="Garamond" w:cs="Times New Roman"/>
          <w:b/>
          <w:bCs/>
        </w:rPr>
        <w:t xml:space="preserve">. </w:t>
      </w:r>
      <w:r w:rsidRPr="004A0C12">
        <w:rPr>
          <w:rFonts w:ascii="Garamond" w:hAnsi="Garamond" w:cs="Times New Roman"/>
          <w:bCs/>
        </w:rPr>
        <w:t xml:space="preserve">Once a potential apprentice has decided on a trade, he/she should contact program sponsors directly to inquire about their individual application requirements and hiring schedule.  Individuals should research the programs carefully as each sponsor has individual application requirements. Once the individual decides on the program, he/she submits an application to that program. Once the individual has been hired as an apprentice, an Apprentice Agreement will be completed by both the apprentice and the sponsor and filed with the Maryland Apprenticeship and Training Council. This Apprenticeship Agreement classifies the individual as a registered apprentice. </w:t>
      </w:r>
    </w:p>
    <w:p w14:paraId="2E7AFA25" w14:textId="0ADFBDFB" w:rsidR="00F2117A" w:rsidRPr="004A0C12" w:rsidRDefault="00F2117A" w:rsidP="00F2117A">
      <w:pPr>
        <w:spacing w:line="240" w:lineRule="auto"/>
        <w:jc w:val="both"/>
        <w:rPr>
          <w:rFonts w:ascii="Garamond" w:hAnsi="Garamond" w:cs="Times New Roman"/>
        </w:rPr>
      </w:pPr>
      <w:r w:rsidRPr="004A0C12">
        <w:rPr>
          <w:rFonts w:ascii="Garamond" w:hAnsi="Garamond" w:cs="Times New Roman"/>
        </w:rPr>
        <w:t>For sponsors, apprenticeships offer many benefits as well. Apprenticeships are designed to meet the workforce needs</w:t>
      </w:r>
      <w:r w:rsidR="00876843" w:rsidRPr="004A0C12">
        <w:rPr>
          <w:rFonts w:ascii="Garamond" w:hAnsi="Garamond" w:cs="Times New Roman"/>
        </w:rPr>
        <w:t>.</w:t>
      </w:r>
      <w:r w:rsidRPr="004A0C12">
        <w:rPr>
          <w:rFonts w:ascii="Garamond" w:hAnsi="Garamond" w:cs="Times New Roman"/>
        </w:rPr>
        <w:t xml:space="preserve"> </w:t>
      </w:r>
      <w:r w:rsidR="00876843" w:rsidRPr="004A0C12">
        <w:rPr>
          <w:rFonts w:ascii="Garamond" w:hAnsi="Garamond" w:cs="Times New Roman"/>
        </w:rPr>
        <w:t>Due to the</w:t>
      </w:r>
      <w:r w:rsidRPr="004A0C12">
        <w:rPr>
          <w:rFonts w:ascii="Garamond" w:hAnsi="Garamond" w:cs="Times New Roman"/>
        </w:rPr>
        <w:t xml:space="preserve"> need for highly skilled workers, many sponsors use apprenticeship as a method to train employees in the knowledge necessary to become a skilled worker. Apprenticeships reduce employee turnover and the structured training fosters quality output, increased productivity and teamwork. Apprentices are among the most technically up-to-date workers</w:t>
      </w:r>
      <w:r w:rsidR="00876843" w:rsidRPr="004A0C12">
        <w:rPr>
          <w:rFonts w:ascii="Garamond" w:hAnsi="Garamond" w:cs="Times New Roman"/>
        </w:rPr>
        <w:t>,</w:t>
      </w:r>
      <w:r w:rsidRPr="004A0C12">
        <w:rPr>
          <w:rFonts w:ascii="Garamond" w:hAnsi="Garamond" w:cs="Times New Roman"/>
        </w:rPr>
        <w:t xml:space="preserve"> as the training pr</w:t>
      </w:r>
      <w:r w:rsidR="00876843" w:rsidRPr="004A0C12">
        <w:rPr>
          <w:rFonts w:ascii="Garamond" w:hAnsi="Garamond" w:cs="Times New Roman"/>
        </w:rPr>
        <w:t>ograms produce a pool of highly-</w:t>
      </w:r>
      <w:r w:rsidRPr="004A0C12">
        <w:rPr>
          <w:rFonts w:ascii="Garamond" w:hAnsi="Garamond" w:cs="Times New Roman"/>
        </w:rPr>
        <w:t>skilled and motivated workers from which to select future managers. Apprenticeships can help to increase revenue</w:t>
      </w:r>
      <w:r w:rsidR="00876843" w:rsidRPr="004A0C12">
        <w:rPr>
          <w:rFonts w:ascii="Garamond" w:hAnsi="Garamond" w:cs="Times New Roman"/>
        </w:rPr>
        <w:t xml:space="preserve"> with</w:t>
      </w:r>
      <w:r w:rsidRPr="004A0C12">
        <w:rPr>
          <w:rFonts w:ascii="Garamond" w:hAnsi="Garamond" w:cs="Times New Roman"/>
        </w:rPr>
        <w:t xml:space="preserve"> no cost to begin the program.</w:t>
      </w:r>
    </w:p>
    <w:p w14:paraId="3EDB2479" w14:textId="77777777" w:rsidR="00F2117A" w:rsidRPr="004A0C12" w:rsidRDefault="00F2117A" w:rsidP="00F2117A">
      <w:pPr>
        <w:spacing w:line="240" w:lineRule="auto"/>
        <w:jc w:val="both"/>
        <w:rPr>
          <w:rFonts w:ascii="Garamond" w:hAnsi="Garamond" w:cs="Times New Roman"/>
        </w:rPr>
      </w:pPr>
      <w:r w:rsidRPr="004A0C12">
        <w:rPr>
          <w:rFonts w:ascii="Garamond" w:hAnsi="Garamond" w:cs="Times New Roman"/>
        </w:rPr>
        <w:t>Once a potential sponsor has developed an apprenticeship program and has applied for registration, the Maryland Apprenticeship and Training Council review the “Standards of Apprenticeship” which include:</w:t>
      </w:r>
    </w:p>
    <w:p w14:paraId="78131749" w14:textId="3393B825" w:rsidR="00F2117A" w:rsidRPr="004A0C12" w:rsidRDefault="00F2117A" w:rsidP="00232F09">
      <w:pPr>
        <w:pStyle w:val="ListParagraph"/>
        <w:numPr>
          <w:ilvl w:val="0"/>
          <w:numId w:val="293"/>
        </w:numPr>
        <w:spacing w:after="200"/>
        <w:contextualSpacing/>
        <w:jc w:val="both"/>
        <w:rPr>
          <w:rFonts w:ascii="Garamond" w:hAnsi="Garamond"/>
          <w:szCs w:val="22"/>
        </w:rPr>
      </w:pPr>
      <w:r w:rsidRPr="004A0C12">
        <w:rPr>
          <w:rFonts w:ascii="Garamond" w:hAnsi="Garamond"/>
          <w:szCs w:val="22"/>
        </w:rPr>
        <w:t>An organized</w:t>
      </w:r>
      <w:r w:rsidR="00876843" w:rsidRPr="004A0C12">
        <w:rPr>
          <w:rFonts w:ascii="Garamond" w:hAnsi="Garamond"/>
          <w:szCs w:val="22"/>
        </w:rPr>
        <w:t>, written training plan</w:t>
      </w:r>
    </w:p>
    <w:p w14:paraId="0F7149DA" w14:textId="00951079" w:rsidR="00F2117A" w:rsidRPr="004A0C12" w:rsidRDefault="00F2117A" w:rsidP="00232F09">
      <w:pPr>
        <w:pStyle w:val="ListParagraph"/>
        <w:numPr>
          <w:ilvl w:val="0"/>
          <w:numId w:val="293"/>
        </w:numPr>
        <w:spacing w:after="200"/>
        <w:contextualSpacing/>
        <w:jc w:val="both"/>
        <w:rPr>
          <w:rFonts w:ascii="Garamond" w:hAnsi="Garamond"/>
          <w:szCs w:val="22"/>
        </w:rPr>
      </w:pPr>
      <w:r w:rsidRPr="004A0C12">
        <w:rPr>
          <w:rFonts w:ascii="Garamond" w:hAnsi="Garamond"/>
          <w:szCs w:val="22"/>
        </w:rPr>
        <w:t>The ter</w:t>
      </w:r>
      <w:r w:rsidR="00876843" w:rsidRPr="004A0C12">
        <w:rPr>
          <w:rFonts w:ascii="Garamond" w:hAnsi="Garamond"/>
          <w:szCs w:val="22"/>
        </w:rPr>
        <w:t>ms and conditions of employment</w:t>
      </w:r>
    </w:p>
    <w:p w14:paraId="082AED1E" w14:textId="78CE7BC1" w:rsidR="00F2117A" w:rsidRPr="004A0C12" w:rsidRDefault="00F2117A" w:rsidP="00232F09">
      <w:pPr>
        <w:pStyle w:val="ListParagraph"/>
        <w:numPr>
          <w:ilvl w:val="0"/>
          <w:numId w:val="293"/>
        </w:numPr>
        <w:spacing w:after="200"/>
        <w:contextualSpacing/>
        <w:jc w:val="both"/>
        <w:rPr>
          <w:rFonts w:ascii="Garamond" w:hAnsi="Garamond"/>
          <w:szCs w:val="22"/>
        </w:rPr>
      </w:pPr>
      <w:r w:rsidRPr="004A0C12">
        <w:rPr>
          <w:rFonts w:ascii="Garamond" w:hAnsi="Garamond"/>
          <w:szCs w:val="22"/>
        </w:rPr>
        <w:t>At</w:t>
      </w:r>
      <w:r w:rsidR="00876843" w:rsidRPr="004A0C12">
        <w:rPr>
          <w:rFonts w:ascii="Garamond" w:hAnsi="Garamond"/>
          <w:szCs w:val="22"/>
        </w:rPr>
        <w:t>tendance at related instruction</w:t>
      </w:r>
    </w:p>
    <w:p w14:paraId="71D73EDC" w14:textId="415B55CA" w:rsidR="00F2117A" w:rsidRPr="004A0C12" w:rsidRDefault="00F2117A" w:rsidP="00232F09">
      <w:pPr>
        <w:pStyle w:val="ListParagraph"/>
        <w:numPr>
          <w:ilvl w:val="0"/>
          <w:numId w:val="293"/>
        </w:numPr>
        <w:spacing w:after="200"/>
        <w:contextualSpacing/>
        <w:jc w:val="both"/>
        <w:rPr>
          <w:rFonts w:ascii="Garamond" w:hAnsi="Garamond"/>
          <w:szCs w:val="22"/>
        </w:rPr>
      </w:pPr>
      <w:r w:rsidRPr="004A0C12">
        <w:rPr>
          <w:rFonts w:ascii="Garamond" w:hAnsi="Garamond"/>
          <w:szCs w:val="22"/>
        </w:rPr>
        <w:t>An equal emp</w:t>
      </w:r>
      <w:r w:rsidR="00876843" w:rsidRPr="004A0C12">
        <w:rPr>
          <w:rFonts w:ascii="Garamond" w:hAnsi="Garamond"/>
          <w:szCs w:val="22"/>
        </w:rPr>
        <w:t>loyment opportunity pledge</w:t>
      </w:r>
    </w:p>
    <w:p w14:paraId="69936924" w14:textId="0C34A0D6" w:rsidR="00F2117A" w:rsidRPr="004A0C12" w:rsidRDefault="00F2117A" w:rsidP="00232F09">
      <w:pPr>
        <w:pStyle w:val="ListParagraph"/>
        <w:numPr>
          <w:ilvl w:val="0"/>
          <w:numId w:val="293"/>
        </w:numPr>
        <w:spacing w:after="200"/>
        <w:contextualSpacing/>
        <w:jc w:val="both"/>
        <w:rPr>
          <w:rFonts w:ascii="Garamond" w:hAnsi="Garamond"/>
          <w:szCs w:val="22"/>
        </w:rPr>
      </w:pPr>
      <w:r w:rsidRPr="004A0C12">
        <w:rPr>
          <w:rFonts w:ascii="Garamond" w:hAnsi="Garamond"/>
          <w:szCs w:val="22"/>
        </w:rPr>
        <w:t>Proper s</w:t>
      </w:r>
      <w:r w:rsidR="00876843" w:rsidRPr="004A0C12">
        <w:rPr>
          <w:rFonts w:ascii="Garamond" w:hAnsi="Garamond"/>
          <w:szCs w:val="22"/>
        </w:rPr>
        <w:t>upervision of the apprentice(s)</w:t>
      </w:r>
    </w:p>
    <w:p w14:paraId="57358795" w14:textId="40912824" w:rsidR="00F2117A" w:rsidRPr="004A0C12" w:rsidRDefault="00F2117A" w:rsidP="00F2117A">
      <w:pPr>
        <w:spacing w:line="240" w:lineRule="auto"/>
        <w:jc w:val="both"/>
        <w:rPr>
          <w:rFonts w:ascii="Garamond" w:hAnsi="Garamond" w:cs="Times New Roman"/>
        </w:rPr>
      </w:pPr>
      <w:r w:rsidRPr="004A0C12">
        <w:rPr>
          <w:rFonts w:ascii="Garamond" w:hAnsi="Garamond" w:cs="Times New Roman"/>
        </w:rPr>
        <w:t>To educate, promote and facilitate the apprenticeship program, the Maryland Apprenticeship and Training Program utilizes “Apprentice Navigators</w:t>
      </w:r>
      <w:r w:rsidR="00B563A8" w:rsidRPr="004A0C12">
        <w:rPr>
          <w:rFonts w:ascii="Garamond" w:hAnsi="Garamond" w:cs="Times New Roman"/>
        </w:rPr>
        <w:t>.”</w:t>
      </w:r>
      <w:r w:rsidRPr="004A0C12">
        <w:rPr>
          <w:rFonts w:ascii="Garamond" w:hAnsi="Garamond" w:cs="Times New Roman"/>
        </w:rPr>
        <w:t xml:space="preserve"> The Apprentice Navigator participates in career and job fairs, public events, as well as, conducts public outreach efforts to promote the Maryland State Apprenticeship and Training Program.  The Apprenticeship Navigator also attends internal and external stakeholder meetings, including those with current and future sponsors and employers, to help develop and coordinate new apprenticeship programs. The Apprentice</w:t>
      </w:r>
      <w:r w:rsidR="00B563A8" w:rsidRPr="004A0C12">
        <w:rPr>
          <w:rFonts w:ascii="Garamond" w:hAnsi="Garamond" w:cs="Times New Roman"/>
        </w:rPr>
        <w:t xml:space="preserve"> Navigator helps both job</w:t>
      </w:r>
      <w:r w:rsidRPr="004A0C12">
        <w:rPr>
          <w:rFonts w:ascii="Garamond" w:hAnsi="Garamond" w:cs="Times New Roman"/>
        </w:rPr>
        <w:t xml:space="preserve">seekers and sponsors understand the program and the process to ensure successful apprenticeships. The Apprentice Navigator serves as a liaison between the sponsors and the State to ensure all requirements are met and any questions answered in a timely fashion.  </w:t>
      </w:r>
    </w:p>
    <w:p w14:paraId="543D1FF1" w14:textId="04B94C1C" w:rsidR="00277992" w:rsidRPr="004A0C12" w:rsidRDefault="00277992" w:rsidP="00F2117A">
      <w:pPr>
        <w:pStyle w:val="ListParagraph"/>
        <w:spacing w:after="200"/>
        <w:ind w:left="0"/>
        <w:jc w:val="both"/>
        <w:rPr>
          <w:rFonts w:ascii="Garamond" w:hAnsi="Garamond"/>
          <w:szCs w:val="22"/>
        </w:rPr>
      </w:pPr>
      <w:r w:rsidRPr="004A0C12">
        <w:rPr>
          <w:rFonts w:ascii="Garamond" w:hAnsi="Garamond"/>
          <w:szCs w:val="22"/>
        </w:rPr>
        <w:t xml:space="preserve">The Maryland Apprenticeship and Training Council </w:t>
      </w:r>
      <w:proofErr w:type="gramStart"/>
      <w:r w:rsidRPr="004A0C12">
        <w:rPr>
          <w:rFonts w:ascii="Garamond" w:hAnsi="Garamond"/>
          <w:szCs w:val="22"/>
        </w:rPr>
        <w:t>is</w:t>
      </w:r>
      <w:proofErr w:type="gramEnd"/>
      <w:r w:rsidRPr="004A0C12">
        <w:rPr>
          <w:rFonts w:ascii="Garamond" w:hAnsi="Garamond"/>
          <w:szCs w:val="22"/>
        </w:rPr>
        <w:t xml:space="preserve"> responsible for </w:t>
      </w:r>
      <w:r w:rsidR="00B563A8" w:rsidRPr="004A0C12">
        <w:rPr>
          <w:rFonts w:ascii="Garamond" w:hAnsi="Garamond"/>
          <w:szCs w:val="22"/>
        </w:rPr>
        <w:t>registering and regulating the S</w:t>
      </w:r>
      <w:r w:rsidRPr="004A0C12">
        <w:rPr>
          <w:rFonts w:ascii="Garamond" w:hAnsi="Garamond"/>
          <w:szCs w:val="22"/>
        </w:rPr>
        <w:t>tate approved apprenticeship programs in Maryland. In Maryland</w:t>
      </w:r>
      <w:r w:rsidR="00B563A8" w:rsidRPr="004A0C12">
        <w:rPr>
          <w:rFonts w:ascii="Garamond" w:hAnsi="Garamond"/>
          <w:szCs w:val="22"/>
        </w:rPr>
        <w:t>,</w:t>
      </w:r>
      <w:r w:rsidRPr="004A0C12">
        <w:rPr>
          <w:rFonts w:ascii="Garamond" w:hAnsi="Garamond"/>
          <w:szCs w:val="22"/>
        </w:rPr>
        <w:t xml:space="preserve"> there are over 230 registered occupations and over 9,000 registered apprentices. Most apprenticeships are within the building trades and construction industries.</w:t>
      </w:r>
    </w:p>
    <w:p w14:paraId="2F079EFC" w14:textId="338F28CB" w:rsidR="00F2117A" w:rsidRPr="004A0C12" w:rsidRDefault="00F2117A" w:rsidP="00F2117A">
      <w:pPr>
        <w:spacing w:line="240" w:lineRule="auto"/>
        <w:jc w:val="both"/>
        <w:rPr>
          <w:rFonts w:ascii="Garamond" w:hAnsi="Garamond" w:cs="Times New Roman"/>
        </w:rPr>
      </w:pPr>
      <w:r w:rsidRPr="004A0C12">
        <w:rPr>
          <w:rFonts w:ascii="Garamond" w:hAnsi="Garamond" w:cs="Times New Roman"/>
        </w:rPr>
        <w:t>The State of Maryland is committed to providing opportunities for individuals with disabilities, and the apprenticeship program is no exception. Apprenticeships offer young adults, including those with disabilities, a career pathway that provides employment as the individual learns on the job.  Focused attention will be given to developing relationships with apprenticeship employers to encourage increased participation of individuals with disabilities in apprenticeship programs.  Outreach efforts will be made to identify and educate individuals with disabilities on the value and opportunities in apprenticeship programs. These would include, but are not limited to, working with State vocational rehabilitation (VR) agencies, the Veterans’ Employment and Training Service (VETS), convening a roundtable of employers wh</w:t>
      </w:r>
      <w:r w:rsidR="00B563A8" w:rsidRPr="004A0C12">
        <w:rPr>
          <w:rFonts w:ascii="Garamond" w:hAnsi="Garamond" w:cs="Times New Roman"/>
        </w:rPr>
        <w:t xml:space="preserve">o hire people with disabilities to </w:t>
      </w:r>
      <w:r w:rsidRPr="004A0C12">
        <w:rPr>
          <w:rFonts w:ascii="Garamond" w:hAnsi="Garamond" w:cs="Times New Roman"/>
        </w:rPr>
        <w:t>introduce the c</w:t>
      </w:r>
      <w:r w:rsidR="00B563A8" w:rsidRPr="004A0C12">
        <w:rPr>
          <w:rFonts w:ascii="Garamond" w:hAnsi="Garamond" w:cs="Times New Roman"/>
        </w:rPr>
        <w:t>oncept of developing apprentice</w:t>
      </w:r>
      <w:r w:rsidRPr="004A0C12">
        <w:rPr>
          <w:rFonts w:ascii="Garamond" w:hAnsi="Garamond" w:cs="Times New Roman"/>
        </w:rPr>
        <w:t xml:space="preserve">able occupations, showcasing an apprenticeship model among disability-friendly businesses, </w:t>
      </w:r>
      <w:r w:rsidR="00B563A8" w:rsidRPr="004A0C12">
        <w:rPr>
          <w:rFonts w:ascii="Garamond" w:hAnsi="Garamond" w:cs="Times New Roman"/>
        </w:rPr>
        <w:t>and establishing</w:t>
      </w:r>
      <w:r w:rsidRPr="004A0C12">
        <w:rPr>
          <w:rFonts w:ascii="Garamond" w:hAnsi="Garamond" w:cs="Times New Roman"/>
        </w:rPr>
        <w:t xml:space="preserve"> public-private partnerships to develop outreach strategies for those indi</w:t>
      </w:r>
      <w:r w:rsidR="00B563A8" w:rsidRPr="004A0C12">
        <w:rPr>
          <w:rFonts w:ascii="Garamond" w:hAnsi="Garamond" w:cs="Times New Roman"/>
        </w:rPr>
        <w:t>viduals with disabilities</w:t>
      </w:r>
      <w:r w:rsidRPr="004A0C12">
        <w:rPr>
          <w:rFonts w:ascii="Garamond" w:hAnsi="Garamond" w:cs="Times New Roman"/>
        </w:rPr>
        <w:t xml:space="preserve">. </w:t>
      </w:r>
    </w:p>
    <w:p w14:paraId="287ADCF4" w14:textId="161CC306" w:rsidR="00277992" w:rsidRPr="004A0C12" w:rsidRDefault="00277992" w:rsidP="00F2117A">
      <w:pPr>
        <w:pStyle w:val="ListParagraph"/>
        <w:spacing w:after="200"/>
        <w:ind w:left="0"/>
        <w:jc w:val="both"/>
        <w:rPr>
          <w:rFonts w:ascii="Garamond" w:hAnsi="Garamond"/>
          <w:szCs w:val="22"/>
        </w:rPr>
      </w:pPr>
      <w:r w:rsidRPr="004A0C12">
        <w:rPr>
          <w:rFonts w:ascii="Garamond" w:hAnsi="Garamond"/>
          <w:szCs w:val="22"/>
        </w:rPr>
        <w:t xml:space="preserve">DLLR is dedicated to aligning apprenticeship opportunities with the workforce system. Aligning apprenticeships with workforce development resources will ensure that Maryland creates a pipeline of skilled and qualified labor for years to come.  In establishing a robust apprenticeship system, Maryland is dedicated to exploring new and innovative ways to create apprenticeship </w:t>
      </w:r>
      <w:r w:rsidRPr="004A0C12">
        <w:rPr>
          <w:rFonts w:ascii="Garamond" w:hAnsi="Garamond"/>
          <w:szCs w:val="22"/>
        </w:rPr>
        <w:lastRenderedPageBreak/>
        <w:t xml:space="preserve">opportunities within the workforce system.  One way Maryland has demonstrated this commitment is through the work of the Youth Apprenticeship Advisory Committee.  Created by a 2014 act of the Maryland General Assembly, the committee issued its first report to the Maryland General Assembly on December 1, 2015.  In it, the Committee outlined eight recommendations in furtherance of the creation of a robust apprenticeship system dedicated to serving the needs of Maryland’s youth.  Those recommendations are as follows: </w:t>
      </w:r>
    </w:p>
    <w:p w14:paraId="0C7B51C3" w14:textId="77777777" w:rsidR="00277992" w:rsidRPr="004A0C12" w:rsidRDefault="00277992" w:rsidP="00277992">
      <w:pPr>
        <w:pStyle w:val="ListParagraph"/>
        <w:ind w:left="0"/>
        <w:jc w:val="both"/>
        <w:rPr>
          <w:rFonts w:ascii="Garamond" w:hAnsi="Garamond"/>
          <w:szCs w:val="22"/>
        </w:rPr>
      </w:pPr>
    </w:p>
    <w:p w14:paraId="71FC6680" w14:textId="77777777" w:rsidR="00277992" w:rsidRPr="004A0C12" w:rsidRDefault="00277992" w:rsidP="00277992">
      <w:pPr>
        <w:spacing w:after="120"/>
        <w:jc w:val="both"/>
        <w:rPr>
          <w:rFonts w:ascii="Garamond" w:hAnsi="Garamond" w:cs="Times New Roman"/>
        </w:rPr>
      </w:pPr>
      <w:r w:rsidRPr="004A0C12">
        <w:rPr>
          <w:rFonts w:ascii="Garamond" w:hAnsi="Garamond" w:cs="Times New Roman"/>
          <w:i/>
        </w:rPr>
        <w:t>RECOMMENDATION 1:</w:t>
      </w:r>
      <w:r w:rsidRPr="004A0C12">
        <w:rPr>
          <w:rFonts w:ascii="Garamond" w:hAnsi="Garamond" w:cs="Times New Roman"/>
        </w:rPr>
        <w:t xml:space="preserve"> The Department of Labor, Licensing and Regulation, in consultation with the Department of Commerce, should identify and convene key industry partners to establish an employer engagement campaign for youth apprenticeship. </w:t>
      </w:r>
    </w:p>
    <w:p w14:paraId="7AF53355" w14:textId="77777777" w:rsidR="00277992" w:rsidRPr="004A0C12" w:rsidRDefault="00277992" w:rsidP="00277992">
      <w:pPr>
        <w:spacing w:after="120"/>
        <w:jc w:val="both"/>
        <w:rPr>
          <w:rFonts w:ascii="Garamond" w:hAnsi="Garamond" w:cs="Times New Roman"/>
        </w:rPr>
      </w:pPr>
      <w:bookmarkStart w:id="131" w:name="TOC433896328"/>
      <w:r w:rsidRPr="004A0C12">
        <w:rPr>
          <w:rFonts w:ascii="Garamond" w:hAnsi="Garamond" w:cs="Times New Roman"/>
          <w:i/>
        </w:rPr>
        <w:t>RECOMMENDATION 2:</w:t>
      </w:r>
      <w:bookmarkEnd w:id="131"/>
      <w:r w:rsidRPr="004A0C12">
        <w:rPr>
          <w:rFonts w:ascii="Garamond" w:hAnsi="Garamond" w:cs="Times New Roman"/>
        </w:rPr>
        <w:t xml:space="preserve"> The Committee should identify and evaluate current and needed resources for the State to establish the role of business intermediaries for youth apprenticeship. </w:t>
      </w:r>
    </w:p>
    <w:p w14:paraId="2BBF473B" w14:textId="77777777" w:rsidR="00277992" w:rsidRPr="004A0C12" w:rsidRDefault="00277992" w:rsidP="00277992">
      <w:pPr>
        <w:spacing w:after="120"/>
        <w:jc w:val="both"/>
        <w:rPr>
          <w:rFonts w:ascii="Garamond" w:hAnsi="Garamond" w:cs="Times New Roman"/>
        </w:rPr>
      </w:pPr>
      <w:bookmarkStart w:id="132" w:name="TOC433896329"/>
      <w:r w:rsidRPr="004A0C12">
        <w:rPr>
          <w:rFonts w:ascii="Garamond" w:hAnsi="Garamond" w:cs="Times New Roman"/>
          <w:i/>
        </w:rPr>
        <w:t>RECOMMENDATION 3:</w:t>
      </w:r>
      <w:bookmarkEnd w:id="132"/>
      <w:r w:rsidRPr="004A0C12">
        <w:rPr>
          <w:rFonts w:ascii="Garamond" w:hAnsi="Garamond" w:cs="Times New Roman"/>
        </w:rPr>
        <w:t xml:space="preserve"> The Committee should establish targets for implementing youth apprenticeships after reviewing and assessing available data. The Committee should also establish performance matrixes to gauge the success of youth apprenticeship programming.</w:t>
      </w:r>
    </w:p>
    <w:p w14:paraId="641C65F1" w14:textId="77777777" w:rsidR="00277992" w:rsidRPr="004A0C12" w:rsidRDefault="00277992" w:rsidP="00277992">
      <w:pPr>
        <w:spacing w:after="120"/>
        <w:jc w:val="both"/>
        <w:rPr>
          <w:rFonts w:ascii="Garamond" w:hAnsi="Garamond" w:cs="Times New Roman"/>
        </w:rPr>
      </w:pPr>
      <w:bookmarkStart w:id="133" w:name="TOC433896330"/>
      <w:r w:rsidRPr="004A0C12">
        <w:rPr>
          <w:rFonts w:ascii="Garamond" w:hAnsi="Garamond" w:cs="Times New Roman"/>
          <w:i/>
        </w:rPr>
        <w:t>RECOMMENDATION 4</w:t>
      </w:r>
      <w:bookmarkEnd w:id="133"/>
      <w:r w:rsidRPr="004A0C12">
        <w:rPr>
          <w:rFonts w:ascii="Garamond" w:hAnsi="Garamond" w:cs="Times New Roman"/>
          <w:i/>
        </w:rPr>
        <w:t>:</w:t>
      </w:r>
      <w:r w:rsidRPr="004A0C12">
        <w:rPr>
          <w:rFonts w:ascii="Garamond" w:hAnsi="Garamond" w:cs="Times New Roman"/>
        </w:rPr>
        <w:t xml:space="preserve"> The Committee should review and establish best practices for mentorship.</w:t>
      </w:r>
    </w:p>
    <w:p w14:paraId="307FC1A4" w14:textId="77777777" w:rsidR="00277992" w:rsidRPr="004A0C12" w:rsidRDefault="00277992" w:rsidP="00277992">
      <w:pPr>
        <w:spacing w:after="120"/>
        <w:jc w:val="both"/>
        <w:rPr>
          <w:rFonts w:ascii="Garamond" w:hAnsi="Garamond" w:cs="Times New Roman"/>
        </w:rPr>
      </w:pPr>
      <w:bookmarkStart w:id="134" w:name="TOC433896331"/>
      <w:r w:rsidRPr="004A0C12">
        <w:rPr>
          <w:rFonts w:ascii="Garamond" w:hAnsi="Garamond" w:cs="Times New Roman"/>
          <w:i/>
        </w:rPr>
        <w:t>RECOMMENDATION 5:</w:t>
      </w:r>
      <w:bookmarkEnd w:id="134"/>
      <w:r w:rsidRPr="004A0C12">
        <w:rPr>
          <w:rFonts w:ascii="Garamond" w:hAnsi="Garamond" w:cs="Times New Roman"/>
        </w:rPr>
        <w:t xml:space="preserve"> The Committee should identify policies and suggest changes to regulations that prohibit employers from establishing a youth apprenticeship program. </w:t>
      </w:r>
    </w:p>
    <w:p w14:paraId="30348A6B" w14:textId="77777777" w:rsidR="00277992" w:rsidRPr="004A0C12" w:rsidRDefault="00277992" w:rsidP="00277992">
      <w:pPr>
        <w:spacing w:after="120"/>
        <w:jc w:val="both"/>
        <w:rPr>
          <w:rFonts w:ascii="Garamond" w:hAnsi="Garamond" w:cs="Times New Roman"/>
        </w:rPr>
      </w:pPr>
      <w:bookmarkStart w:id="135" w:name="TOC433896332"/>
      <w:r w:rsidRPr="004A0C12">
        <w:rPr>
          <w:rFonts w:ascii="Garamond" w:hAnsi="Garamond" w:cs="Times New Roman"/>
          <w:i/>
        </w:rPr>
        <w:t>RECOMMENDATION 6:</w:t>
      </w:r>
      <w:bookmarkEnd w:id="135"/>
      <w:r w:rsidRPr="004A0C12">
        <w:rPr>
          <w:rStyle w:val="Heading3Char"/>
          <w:rFonts w:ascii="Garamond" w:hAnsi="Garamond" w:cs="Times New Roman"/>
          <w:b w:val="0"/>
        </w:rPr>
        <w:t xml:space="preserve"> </w:t>
      </w:r>
      <w:r w:rsidRPr="004A0C12">
        <w:rPr>
          <w:rFonts w:ascii="Garamond" w:hAnsi="Garamond" w:cs="Times New Roman"/>
        </w:rPr>
        <w:t xml:space="preserve">The Committee should identify and suggest solutions to additional barriers that would inhibit youth from participating in a youth apprenticeship program. These barriers include, but are not limited to, transportation needs. </w:t>
      </w:r>
    </w:p>
    <w:p w14:paraId="6AAEFC8A" w14:textId="0A5B6311" w:rsidR="00277992" w:rsidRPr="004A0C12" w:rsidRDefault="00277992" w:rsidP="00277992">
      <w:pPr>
        <w:spacing w:after="120"/>
        <w:jc w:val="both"/>
        <w:rPr>
          <w:rFonts w:ascii="Garamond" w:hAnsi="Garamond" w:cs="Times New Roman"/>
          <w:color w:val="131313"/>
        </w:rPr>
      </w:pPr>
      <w:bookmarkStart w:id="136" w:name="TOC433896333"/>
      <w:bookmarkEnd w:id="136"/>
      <w:r w:rsidRPr="004A0C12">
        <w:rPr>
          <w:rFonts w:ascii="Garamond" w:hAnsi="Garamond" w:cs="Times New Roman"/>
          <w:i/>
        </w:rPr>
        <w:t>RECOMMENDATION 7:</w:t>
      </w:r>
      <w:r w:rsidRPr="004A0C12">
        <w:rPr>
          <w:rFonts w:ascii="Garamond" w:hAnsi="Garamond" w:cs="Times New Roman"/>
        </w:rPr>
        <w:t xml:space="preserve"> </w:t>
      </w:r>
      <w:r w:rsidRPr="004A0C12">
        <w:rPr>
          <w:rFonts w:ascii="Garamond" w:hAnsi="Garamond" w:cs="Times New Roman"/>
          <w:color w:val="131313"/>
        </w:rPr>
        <w:t xml:space="preserve">In consultation with the </w:t>
      </w:r>
      <w:r w:rsidR="00B563A8" w:rsidRPr="004A0C12">
        <w:rPr>
          <w:rFonts w:ascii="Garamond" w:hAnsi="Garamond" w:cs="Times New Roman"/>
          <w:color w:val="131313"/>
        </w:rPr>
        <w:t>MSDE</w:t>
      </w:r>
      <w:r w:rsidRPr="004A0C12">
        <w:rPr>
          <w:rFonts w:ascii="Garamond" w:hAnsi="Garamond" w:cs="Times New Roman"/>
          <w:color w:val="131313"/>
        </w:rPr>
        <w:t xml:space="preserve"> and other stakeholders, the Committee should review Maryland’s existing models and recommend ways to integrate soft skills training into the training plans for the Youth Apprenticeship program.</w:t>
      </w:r>
    </w:p>
    <w:p w14:paraId="561B39E2" w14:textId="77777777" w:rsidR="00277992" w:rsidRPr="004A0C12" w:rsidRDefault="00277992" w:rsidP="00277992">
      <w:pPr>
        <w:spacing w:after="120"/>
        <w:jc w:val="both"/>
        <w:rPr>
          <w:rFonts w:ascii="Garamond" w:hAnsi="Garamond" w:cs="Times New Roman"/>
        </w:rPr>
      </w:pPr>
      <w:r w:rsidRPr="004A0C12">
        <w:rPr>
          <w:rFonts w:ascii="Garamond" w:hAnsi="Garamond" w:cs="Times New Roman"/>
          <w:i/>
        </w:rPr>
        <w:t>RECOMMENDATION 8:</w:t>
      </w:r>
      <w:r w:rsidRPr="004A0C12">
        <w:rPr>
          <w:rFonts w:ascii="Garamond" w:hAnsi="Garamond" w:cs="Times New Roman"/>
        </w:rPr>
        <w:t xml:space="preserve"> The Committee should convene a one-day conference with leading experts to discuss the necessary components of  high quality training plans to ensure strong mentorships and the integration of academic, technical, and the essential skills.</w:t>
      </w:r>
    </w:p>
    <w:p w14:paraId="6D8887B0" w14:textId="614CFB11" w:rsidR="00277992" w:rsidRPr="004A0C12" w:rsidRDefault="00277992" w:rsidP="00277992">
      <w:pPr>
        <w:pStyle w:val="ListParagraph"/>
        <w:ind w:left="0"/>
        <w:jc w:val="both"/>
        <w:rPr>
          <w:rFonts w:ascii="Garamond" w:hAnsi="Garamond"/>
          <w:szCs w:val="22"/>
        </w:rPr>
      </w:pPr>
      <w:r w:rsidRPr="004A0C12">
        <w:rPr>
          <w:rFonts w:ascii="Garamond" w:hAnsi="Garamond"/>
          <w:szCs w:val="22"/>
        </w:rPr>
        <w:t xml:space="preserve">In addition, the State’s first youth apprenticeship pilot program, Apprenticeship Maryland, awarded two grants to Frederick and Washington Counties in November 2015 to create opportunities for students to enter STEM (Science, Technology, Engineering, and Math) disciplines, or manufacturing industries.  The pilot program was the creation of a partnership between DLLR, the </w:t>
      </w:r>
      <w:r w:rsidR="00B563A8" w:rsidRPr="004A0C12">
        <w:rPr>
          <w:rFonts w:ascii="Garamond" w:hAnsi="Garamond"/>
          <w:szCs w:val="22"/>
        </w:rPr>
        <w:t>MSDE</w:t>
      </w:r>
      <w:r w:rsidRPr="004A0C12">
        <w:rPr>
          <w:rFonts w:ascii="Garamond" w:hAnsi="Garamond"/>
          <w:szCs w:val="22"/>
        </w:rPr>
        <w:t xml:space="preserve">, and Commerce. </w:t>
      </w:r>
    </w:p>
    <w:p w14:paraId="2A25552F" w14:textId="77777777" w:rsidR="00B93C94" w:rsidRPr="004A0C12" w:rsidRDefault="00B93C94" w:rsidP="00B93C94">
      <w:pPr>
        <w:spacing w:after="100" w:line="240" w:lineRule="auto"/>
        <w:rPr>
          <w:rFonts w:ascii="Garamond" w:eastAsia="Times New Roman" w:hAnsi="Garamond" w:cs="Times New Roman"/>
        </w:rPr>
      </w:pPr>
      <w:r w:rsidRPr="004A0C12">
        <w:rPr>
          <w:rFonts w:ascii="Garamond" w:eastAsia="Times New Roman" w:hAnsi="Garamond" w:cs="Times New Roman"/>
          <w:color w:val="000000"/>
        </w:rPr>
        <w:t>During the 2016 Legislative Session of the Maryland General Assembly, the Department sponsored legislation that transferred the responsibilities for the State’s apprenticeship programming to the Division of Workforce Development and Adult Learning. The bill was unanimously approved by both chambers and signed into law by Governor Hogan. The transfer of apprenticeship programming, which takes effect October 1, 2016, allows the State to align apprenticeships with workforce development programming.</w:t>
      </w:r>
    </w:p>
    <w:p w14:paraId="0E191AE9" w14:textId="77777777" w:rsidR="00B93C94" w:rsidRPr="004A0C12" w:rsidRDefault="00B93C94" w:rsidP="00B93C94">
      <w:pPr>
        <w:pStyle w:val="NormalWeb"/>
        <w:spacing w:before="0" w:beforeAutospacing="0" w:afterAutospacing="0"/>
        <w:rPr>
          <w:rFonts w:ascii="Garamond" w:hAnsi="Garamond"/>
          <w:sz w:val="22"/>
          <w:szCs w:val="22"/>
        </w:rPr>
      </w:pPr>
      <w:r w:rsidRPr="004A0C12">
        <w:rPr>
          <w:rFonts w:ascii="Garamond" w:hAnsi="Garamond"/>
          <w:color w:val="000000"/>
          <w:sz w:val="22"/>
          <w:szCs w:val="22"/>
        </w:rPr>
        <w:t>Since the passage of the legislation, the Department has been looking at opportunities to invest in the expansion of apprenticeships, both traditional and non-tradition, in Maryland. The Department has proposed updates of its regulations to USDOL. Those proposed regulations, which would allow for competency based apprenticeships in Maryland, will allow Maryland’s apprenticeship sponsors to create registered apprenticeship opportunities to meet their workforce needs. As the State’s apprenticeships are overwhelmingly trades based, the Department has received technical assistance from USDOL.</w:t>
      </w:r>
    </w:p>
    <w:p w14:paraId="742A1D9B" w14:textId="77777777" w:rsidR="00B93C94" w:rsidRPr="004A0C12" w:rsidRDefault="00B93C94" w:rsidP="00B93C94">
      <w:pPr>
        <w:spacing w:after="100" w:line="240" w:lineRule="auto"/>
        <w:rPr>
          <w:rFonts w:ascii="Garamond" w:eastAsia="Times New Roman" w:hAnsi="Garamond" w:cs="Times New Roman"/>
        </w:rPr>
      </w:pPr>
      <w:r w:rsidRPr="004A0C12">
        <w:rPr>
          <w:rFonts w:ascii="Garamond" w:eastAsia="Times New Roman" w:hAnsi="Garamond" w:cs="Times New Roman"/>
          <w:color w:val="000000"/>
        </w:rPr>
        <w:t>The State utilized this technical assistance opportunity to convene all of the business services professionals from the WIOA Partners and community colleges to understand Registered Apprenticeships and how to market them to businesses.</w:t>
      </w:r>
    </w:p>
    <w:p w14:paraId="0EBEAFA9" w14:textId="77777777" w:rsidR="00B93C94" w:rsidRPr="004A0C12" w:rsidRDefault="00B93C94" w:rsidP="00B93C94">
      <w:pPr>
        <w:spacing w:after="100" w:line="240" w:lineRule="auto"/>
        <w:rPr>
          <w:rFonts w:ascii="Garamond" w:eastAsia="Times New Roman" w:hAnsi="Garamond" w:cs="Times New Roman"/>
        </w:rPr>
      </w:pPr>
      <w:r w:rsidRPr="004A0C12">
        <w:rPr>
          <w:rFonts w:ascii="Garamond" w:eastAsia="Times New Roman" w:hAnsi="Garamond" w:cs="Times New Roman"/>
          <w:color w:val="000000"/>
        </w:rPr>
        <w:t xml:space="preserve">The Department also received $200,000 in funds to accelerate apprenticeships. These funds will allow for greater outreach efforts, to provide travel funds for USDOL sponsored convening, and to assist in branding apprenticeship opportunities in Maryland. </w:t>
      </w:r>
      <w:r w:rsidRPr="004A0C12">
        <w:rPr>
          <w:rFonts w:ascii="Garamond" w:eastAsia="Times New Roman" w:hAnsi="Garamond" w:cs="Times New Roman"/>
          <w:color w:val="000000"/>
        </w:rPr>
        <w:lastRenderedPageBreak/>
        <w:t>DLLR has also applied for $3.2 million in funding with USDOL for the ApprenticeshipUSA Expansion grant. Funds will allow the State to fund critical infrastructure needs, provide staffing, and invest in innovation. The State also applied for both cap breakers, in which the State proposes to pilot innovative apprenticeship opportunities for skilled immigrants in Maryland and to pilot apprenticeships in State government.</w:t>
      </w:r>
    </w:p>
    <w:p w14:paraId="7D106144" w14:textId="77777777" w:rsidR="00E64564" w:rsidRDefault="00E64564" w:rsidP="00277992">
      <w:pPr>
        <w:pStyle w:val="ListParagraph"/>
        <w:ind w:left="0"/>
        <w:jc w:val="both"/>
        <w:rPr>
          <w:rFonts w:ascii="Garamond" w:eastAsia="Times New Roman" w:hAnsi="Garamond"/>
          <w:color w:val="auto"/>
          <w:szCs w:val="22"/>
        </w:rPr>
      </w:pPr>
    </w:p>
    <w:p w14:paraId="5360AE23" w14:textId="12ACB5BE" w:rsidR="00277992" w:rsidRPr="004A0C12" w:rsidRDefault="00277992" w:rsidP="00277992">
      <w:pPr>
        <w:pStyle w:val="ListParagraph"/>
        <w:ind w:left="0"/>
        <w:jc w:val="both"/>
        <w:rPr>
          <w:rFonts w:ascii="Garamond" w:hAnsi="Garamond"/>
          <w:szCs w:val="22"/>
        </w:rPr>
      </w:pPr>
      <w:r w:rsidRPr="004A0C12">
        <w:rPr>
          <w:rFonts w:ascii="Garamond" w:hAnsi="Garamond"/>
          <w:szCs w:val="22"/>
        </w:rPr>
        <w:t>DLLR will continue to work with Registered Apprenticeship programs to encourage and assist with part</w:t>
      </w:r>
      <w:r w:rsidR="00B563A8" w:rsidRPr="004A0C12">
        <w:rPr>
          <w:rFonts w:ascii="Garamond" w:hAnsi="Garamond"/>
          <w:szCs w:val="22"/>
        </w:rPr>
        <w:t>icipation as a provider on the S</w:t>
      </w:r>
      <w:r w:rsidRPr="004A0C12">
        <w:rPr>
          <w:rFonts w:ascii="Garamond" w:hAnsi="Garamond"/>
          <w:szCs w:val="22"/>
        </w:rPr>
        <w:t>tate’s Eligible Training Provider List (ETPL) to access WIOA funding for training and create pipelines for apprenticeship programs acr</w:t>
      </w:r>
      <w:r w:rsidR="00B563A8" w:rsidRPr="004A0C12">
        <w:rPr>
          <w:rFonts w:ascii="Garamond" w:hAnsi="Garamond"/>
          <w:szCs w:val="22"/>
        </w:rPr>
        <w:t>oss Maryland. The WIOA P</w:t>
      </w:r>
      <w:r w:rsidRPr="004A0C12">
        <w:rPr>
          <w:rFonts w:ascii="Garamond" w:hAnsi="Garamond"/>
          <w:szCs w:val="22"/>
        </w:rPr>
        <w:t xml:space="preserve">artners will continue to explore opportunities to leverage existing and future discretionary grant opportunities to create and enhance pre-apprenticeship and apprenticeship programs across Maryland. Current models exist with partnerships formed under federal and state grants in which adult, dislocated workers, youth, veterans, ex-offenders and other at risk populations are targeted as a pipeline for pre-apprenticeship programs and connected to apprenticeship opportunities after successful completion. Business Service staff will also receive training on how apprenticeships can serve as a tool for businesses to develop a pipeline of talent. </w:t>
      </w:r>
    </w:p>
    <w:p w14:paraId="67EAE829" w14:textId="77777777" w:rsidR="00AB5AEF" w:rsidRPr="00E64564" w:rsidRDefault="00AB5AEF" w:rsidP="00CF4628">
      <w:pPr>
        <w:pStyle w:val="Heading3"/>
        <w:rPr>
          <w:rFonts w:ascii="Garamond" w:hAnsi="Garamond"/>
          <w:sz w:val="24"/>
          <w:szCs w:val="24"/>
        </w:rPr>
      </w:pPr>
      <w:bookmarkStart w:id="137" w:name="_Toc447276175"/>
      <w:r w:rsidRPr="00E64564">
        <w:rPr>
          <w:rFonts w:ascii="Garamond" w:hAnsi="Garamond"/>
          <w:sz w:val="24"/>
          <w:szCs w:val="24"/>
        </w:rPr>
        <w:t>MARYLAND’S ELIGIBLE TRAINING PROVIDER LIST</w:t>
      </w:r>
      <w:bookmarkEnd w:id="137"/>
      <w:r w:rsidRPr="00E64564">
        <w:rPr>
          <w:rFonts w:ascii="Garamond" w:hAnsi="Garamond"/>
          <w:sz w:val="24"/>
          <w:szCs w:val="24"/>
        </w:rPr>
        <w:t xml:space="preserve"> </w:t>
      </w:r>
    </w:p>
    <w:p w14:paraId="465B6163" w14:textId="77777777" w:rsidR="00B93C94" w:rsidRPr="004A0C12" w:rsidRDefault="00AB5AEF" w:rsidP="00B93C94">
      <w:pPr>
        <w:pStyle w:val="NormalWeb"/>
        <w:spacing w:before="0" w:beforeAutospacing="0" w:afterAutospacing="0"/>
        <w:rPr>
          <w:rFonts w:ascii="Garamond" w:hAnsi="Garamond"/>
          <w:sz w:val="22"/>
          <w:szCs w:val="22"/>
        </w:rPr>
      </w:pPr>
      <w:r w:rsidRPr="004A0C12">
        <w:rPr>
          <w:rFonts w:ascii="Garamond" w:hAnsi="Garamond"/>
          <w:sz w:val="22"/>
          <w:szCs w:val="22"/>
        </w:rPr>
        <w:t>In July 2015, Maryland identified processes for determining initial and continued eligibility for training providers. The following section details Maryland’s current process and it is worth noting tha</w:t>
      </w:r>
      <w:r w:rsidR="00B563A8" w:rsidRPr="004A0C12">
        <w:rPr>
          <w:rFonts w:ascii="Garamond" w:hAnsi="Garamond"/>
          <w:sz w:val="22"/>
          <w:szCs w:val="22"/>
        </w:rPr>
        <w:t>t Maryland has a dedicated work</w:t>
      </w:r>
      <w:r w:rsidRPr="004A0C12">
        <w:rPr>
          <w:rFonts w:ascii="Garamond" w:hAnsi="Garamond"/>
          <w:sz w:val="22"/>
          <w:szCs w:val="22"/>
        </w:rPr>
        <w:t xml:space="preserve">group </w:t>
      </w:r>
      <w:r w:rsidR="00B563A8" w:rsidRPr="004A0C12">
        <w:rPr>
          <w:rFonts w:ascii="Garamond" w:hAnsi="Garamond"/>
          <w:sz w:val="22"/>
          <w:szCs w:val="22"/>
        </w:rPr>
        <w:t>identifying</w:t>
      </w:r>
      <w:r w:rsidRPr="004A0C12">
        <w:rPr>
          <w:rFonts w:ascii="Garamond" w:hAnsi="Garamond"/>
          <w:sz w:val="22"/>
          <w:szCs w:val="22"/>
        </w:rPr>
        <w:t xml:space="preserve"> ways that the State could improve processes, applications, and p</w:t>
      </w:r>
      <w:r w:rsidR="00A40253" w:rsidRPr="004A0C12">
        <w:rPr>
          <w:rFonts w:ascii="Garamond" w:hAnsi="Garamond"/>
          <w:sz w:val="22"/>
          <w:szCs w:val="22"/>
        </w:rPr>
        <w:t xml:space="preserve">rocedures related to the ETPL. </w:t>
      </w:r>
      <w:r w:rsidR="00B93C94" w:rsidRPr="004A0C12">
        <w:rPr>
          <w:rFonts w:ascii="Garamond" w:hAnsi="Garamond"/>
          <w:color w:val="000000"/>
          <w:sz w:val="22"/>
          <w:szCs w:val="22"/>
        </w:rPr>
        <w:t>The State is currently convening a group of subject matter experts, which includes members representing community colleges, the EARN Program, the Maryland Higher Education Commission, and State and local entities, to identify and address specific areas in need of system improvement.</w:t>
      </w:r>
    </w:p>
    <w:p w14:paraId="3AB3E9A8" w14:textId="77777777" w:rsidR="00B93C94" w:rsidRPr="004A0C12" w:rsidRDefault="00B93C94" w:rsidP="00B93C94">
      <w:pPr>
        <w:spacing w:after="100" w:line="240" w:lineRule="auto"/>
        <w:rPr>
          <w:rFonts w:ascii="Garamond" w:eastAsia="Times New Roman" w:hAnsi="Garamond" w:cs="Times New Roman"/>
        </w:rPr>
      </w:pPr>
      <w:r w:rsidRPr="004A0C12">
        <w:rPr>
          <w:rFonts w:ascii="Garamond" w:eastAsia="Times New Roman" w:hAnsi="Garamond" w:cs="Times New Roman"/>
          <w:color w:val="000000"/>
        </w:rPr>
        <w:t>The State is relying on its process for policy development to strengthen the ETPL procedures, eligibility criteria, and information requirements for determining training provider initial and continued eligibility, including for Registered Apprenticeship. The State expects to conclude its collaborative work related to the operations and policies for ETPL in January 2016.</w:t>
      </w:r>
    </w:p>
    <w:p w14:paraId="2317B1F1" w14:textId="77777777" w:rsidR="00B93C94" w:rsidRPr="004A0C12" w:rsidRDefault="00B93C94" w:rsidP="00B93C94">
      <w:pPr>
        <w:spacing w:after="100" w:line="240" w:lineRule="auto"/>
        <w:rPr>
          <w:rFonts w:ascii="Garamond" w:eastAsia="Times New Roman" w:hAnsi="Garamond" w:cs="Times New Roman"/>
        </w:rPr>
      </w:pPr>
      <w:r w:rsidRPr="004A0C12">
        <w:rPr>
          <w:rFonts w:ascii="Garamond" w:eastAsia="Times New Roman" w:hAnsi="Garamond" w:cs="Times New Roman"/>
          <w:color w:val="000000"/>
        </w:rPr>
        <w:t>In the interim, Maryland relies on the following approach.</w:t>
      </w:r>
    </w:p>
    <w:p w14:paraId="39D94A2E" w14:textId="730F2749" w:rsidR="00AB5AEF" w:rsidRPr="004A0C12" w:rsidRDefault="00AB5AEF" w:rsidP="00AB5AEF">
      <w:pPr>
        <w:pStyle w:val="PlainText1"/>
        <w:jc w:val="both"/>
        <w:rPr>
          <w:rFonts w:ascii="Garamond" w:hAnsi="Garamond"/>
          <w:sz w:val="22"/>
          <w:szCs w:val="22"/>
        </w:rPr>
      </w:pPr>
    </w:p>
    <w:p w14:paraId="5FFFA605" w14:textId="77777777" w:rsidR="00AB5AEF" w:rsidRPr="00E64564" w:rsidRDefault="00AB5AEF" w:rsidP="00CF4628">
      <w:pPr>
        <w:pStyle w:val="Heading4"/>
        <w:rPr>
          <w:rFonts w:ascii="Garamond" w:hAnsi="Garamond"/>
          <w:sz w:val="24"/>
          <w:szCs w:val="24"/>
        </w:rPr>
      </w:pPr>
      <w:r w:rsidRPr="00E64564">
        <w:rPr>
          <w:rFonts w:ascii="Garamond" w:hAnsi="Garamond"/>
          <w:sz w:val="24"/>
          <w:szCs w:val="24"/>
        </w:rPr>
        <w:t>Initial Eligibility for In-State Providers</w:t>
      </w:r>
    </w:p>
    <w:p w14:paraId="6D90E974" w14:textId="77777777" w:rsidR="00AB5AEF" w:rsidRPr="004A0C12" w:rsidRDefault="00AB5AEF" w:rsidP="00AB5AEF">
      <w:pPr>
        <w:pStyle w:val="PlainText1"/>
        <w:jc w:val="both"/>
        <w:rPr>
          <w:rFonts w:ascii="Garamond" w:hAnsi="Garamond"/>
          <w:sz w:val="22"/>
          <w:szCs w:val="22"/>
        </w:rPr>
      </w:pPr>
      <w:r w:rsidRPr="004A0C12">
        <w:rPr>
          <w:rFonts w:ascii="Garamond" w:hAnsi="Garamond"/>
          <w:sz w:val="22"/>
          <w:szCs w:val="22"/>
        </w:rPr>
        <w:t xml:space="preserve">Effective July 22, 2015, under WIOA, training providers seeking initial ETP designation must submit certain information to be considered for initial eligibility. When granted, initial ETP designation shall remain in effect for one year. To remain on the ETPL after the first year, providers must apply </w:t>
      </w:r>
      <w:r w:rsidR="003111CC" w:rsidRPr="004A0C12">
        <w:rPr>
          <w:rFonts w:ascii="Garamond" w:hAnsi="Garamond"/>
          <w:sz w:val="22"/>
          <w:szCs w:val="22"/>
        </w:rPr>
        <w:t xml:space="preserve">annually </w:t>
      </w:r>
      <w:r w:rsidRPr="004A0C12">
        <w:rPr>
          <w:rFonts w:ascii="Garamond" w:hAnsi="Garamond"/>
          <w:sz w:val="22"/>
          <w:szCs w:val="22"/>
        </w:rPr>
        <w:t>for continued eligibility</w:t>
      </w:r>
      <w:r w:rsidR="003111CC" w:rsidRPr="004A0C12">
        <w:rPr>
          <w:rFonts w:ascii="Garamond" w:hAnsi="Garamond"/>
          <w:sz w:val="22"/>
          <w:szCs w:val="22"/>
        </w:rPr>
        <w:t xml:space="preserve"> via the submission of program performance data</w:t>
      </w:r>
      <w:r w:rsidRPr="004A0C12">
        <w:rPr>
          <w:rFonts w:ascii="Garamond" w:hAnsi="Garamond"/>
          <w:sz w:val="22"/>
          <w:szCs w:val="22"/>
        </w:rPr>
        <w:t>.</w:t>
      </w:r>
    </w:p>
    <w:p w14:paraId="6B58E699" w14:textId="77777777" w:rsidR="00AB5AEF" w:rsidRPr="004A0C12" w:rsidRDefault="00AB5AEF" w:rsidP="00AB5AEF">
      <w:pPr>
        <w:pStyle w:val="PlainText1"/>
        <w:jc w:val="both"/>
        <w:rPr>
          <w:rFonts w:ascii="Garamond" w:hAnsi="Garamond"/>
          <w:sz w:val="22"/>
          <w:szCs w:val="22"/>
        </w:rPr>
      </w:pPr>
    </w:p>
    <w:p w14:paraId="4C93654E" w14:textId="324AA503" w:rsidR="00AB5AEF" w:rsidRPr="004A0C12" w:rsidRDefault="00AB5AEF" w:rsidP="00AB5AEF">
      <w:pPr>
        <w:pStyle w:val="PlainText1"/>
        <w:jc w:val="both"/>
        <w:rPr>
          <w:rFonts w:ascii="Garamond" w:hAnsi="Garamond"/>
          <w:sz w:val="22"/>
          <w:szCs w:val="22"/>
        </w:rPr>
      </w:pPr>
      <w:r w:rsidRPr="004A0C12">
        <w:rPr>
          <w:rFonts w:ascii="Garamond" w:hAnsi="Garamond"/>
          <w:sz w:val="22"/>
          <w:szCs w:val="22"/>
        </w:rPr>
        <w:t>DLLR</w:t>
      </w:r>
      <w:r w:rsidR="00B563A8" w:rsidRPr="004A0C12">
        <w:rPr>
          <w:rFonts w:ascii="Garamond" w:hAnsi="Garamond"/>
          <w:sz w:val="22"/>
          <w:szCs w:val="22"/>
        </w:rPr>
        <w:t xml:space="preserve"> </w:t>
      </w:r>
      <w:r w:rsidRPr="004A0C12">
        <w:rPr>
          <w:rFonts w:ascii="Garamond" w:hAnsi="Garamond"/>
          <w:sz w:val="22"/>
          <w:szCs w:val="22"/>
        </w:rPr>
        <w:t xml:space="preserve">DWDAL, in partnership with the Local Boards, will work to identify programs for inclusion on the ETPL to ensure there are sufficient numbers and types of </w:t>
      </w:r>
      <w:r w:rsidR="003111CC" w:rsidRPr="004A0C12">
        <w:rPr>
          <w:rFonts w:ascii="Garamond" w:hAnsi="Garamond"/>
          <w:sz w:val="22"/>
          <w:szCs w:val="22"/>
        </w:rPr>
        <w:t xml:space="preserve">programs </w:t>
      </w:r>
      <w:r w:rsidRPr="004A0C12">
        <w:rPr>
          <w:rFonts w:ascii="Garamond" w:hAnsi="Garamond"/>
          <w:sz w:val="22"/>
          <w:szCs w:val="22"/>
        </w:rPr>
        <w:t>serving each local workforce area in a manner that m</w:t>
      </w:r>
      <w:r w:rsidR="00B563A8" w:rsidRPr="004A0C12">
        <w:rPr>
          <w:rFonts w:ascii="Garamond" w:hAnsi="Garamond"/>
          <w:sz w:val="22"/>
          <w:szCs w:val="22"/>
        </w:rPr>
        <w:t>aximizes customer choice.  DLLR D</w:t>
      </w:r>
      <w:r w:rsidRPr="004A0C12">
        <w:rPr>
          <w:rFonts w:ascii="Garamond" w:hAnsi="Garamond"/>
          <w:sz w:val="22"/>
          <w:szCs w:val="22"/>
        </w:rPr>
        <w:t xml:space="preserve">WDAL is dedicated to providing a robust list of eligible training providers that is both locally focused, and industry-driven.  </w:t>
      </w:r>
    </w:p>
    <w:p w14:paraId="4DA24690" w14:textId="77777777" w:rsidR="00AB5AEF" w:rsidRPr="004A0C12" w:rsidRDefault="00AB5AEF" w:rsidP="00AB5AEF">
      <w:pPr>
        <w:pStyle w:val="PlainText1"/>
        <w:jc w:val="both"/>
        <w:rPr>
          <w:rFonts w:ascii="Garamond" w:hAnsi="Garamond"/>
          <w:sz w:val="22"/>
          <w:szCs w:val="22"/>
        </w:rPr>
      </w:pPr>
    </w:p>
    <w:p w14:paraId="6579EB5C" w14:textId="601BD34C" w:rsidR="00AB5AEF" w:rsidRPr="004A0C12" w:rsidRDefault="00B563A8" w:rsidP="00AB5AEF">
      <w:pPr>
        <w:pStyle w:val="PlainText1"/>
        <w:jc w:val="both"/>
        <w:rPr>
          <w:rFonts w:ascii="Garamond" w:hAnsi="Garamond"/>
          <w:sz w:val="22"/>
          <w:szCs w:val="22"/>
        </w:rPr>
      </w:pPr>
      <w:r w:rsidRPr="004A0C12">
        <w:rPr>
          <w:rFonts w:ascii="Garamond" w:hAnsi="Garamond"/>
          <w:sz w:val="22"/>
          <w:szCs w:val="22"/>
        </w:rPr>
        <w:t>Registered Apprenticeship</w:t>
      </w:r>
      <w:r w:rsidR="00AB5AEF" w:rsidRPr="004A0C12">
        <w:rPr>
          <w:rFonts w:ascii="Garamond" w:hAnsi="Garamond"/>
          <w:sz w:val="22"/>
          <w:szCs w:val="22"/>
        </w:rPr>
        <w:t xml:space="preserve"> programs are not subject to the same eligibility procedures as other ETPL training providers, because they go through a detailed application and vetting procedure with the Maryland Apprenticeship </w:t>
      </w:r>
      <w:r w:rsidRPr="004A0C12">
        <w:rPr>
          <w:rFonts w:ascii="Garamond" w:hAnsi="Garamond"/>
          <w:sz w:val="22"/>
          <w:szCs w:val="22"/>
        </w:rPr>
        <w:t xml:space="preserve">and Training Council (MATC). </w:t>
      </w:r>
    </w:p>
    <w:p w14:paraId="11471B97" w14:textId="77777777" w:rsidR="00AB5AEF" w:rsidRPr="004A0C12" w:rsidRDefault="00AB5AEF" w:rsidP="00AB5AEF">
      <w:pPr>
        <w:pStyle w:val="PlainText1"/>
        <w:jc w:val="both"/>
        <w:rPr>
          <w:rFonts w:ascii="Garamond" w:hAnsi="Garamond"/>
          <w:sz w:val="22"/>
          <w:szCs w:val="22"/>
        </w:rPr>
      </w:pPr>
    </w:p>
    <w:p w14:paraId="6FFA2A4C" w14:textId="7D2BF852" w:rsidR="00AB5AEF" w:rsidRPr="004A0C12" w:rsidRDefault="00AB5AEF" w:rsidP="00AB5AEF">
      <w:pPr>
        <w:pStyle w:val="PlainText1"/>
        <w:jc w:val="both"/>
        <w:rPr>
          <w:rFonts w:ascii="Garamond" w:hAnsi="Garamond"/>
          <w:sz w:val="22"/>
          <w:szCs w:val="22"/>
        </w:rPr>
      </w:pPr>
      <w:r w:rsidRPr="004A0C12">
        <w:rPr>
          <w:rFonts w:ascii="Garamond" w:hAnsi="Garamond"/>
          <w:sz w:val="22"/>
          <w:szCs w:val="22"/>
        </w:rPr>
        <w:t xml:space="preserve">For inclusion on the ETPL, </w:t>
      </w:r>
      <w:r w:rsidR="00B563A8" w:rsidRPr="004A0C12">
        <w:rPr>
          <w:rFonts w:ascii="Garamond" w:hAnsi="Garamond"/>
          <w:sz w:val="22"/>
          <w:szCs w:val="22"/>
        </w:rPr>
        <w:t xml:space="preserve">Registered Apprenticeship </w:t>
      </w:r>
      <w:r w:rsidR="003111CC" w:rsidRPr="004A0C12">
        <w:rPr>
          <w:rFonts w:ascii="Garamond" w:hAnsi="Garamond"/>
          <w:sz w:val="22"/>
          <w:szCs w:val="22"/>
        </w:rPr>
        <w:t>p</w:t>
      </w:r>
      <w:r w:rsidRPr="004A0C12">
        <w:rPr>
          <w:rFonts w:ascii="Garamond" w:hAnsi="Garamond"/>
          <w:sz w:val="22"/>
          <w:szCs w:val="22"/>
        </w:rPr>
        <w:t>rogram sponsors must submit a completed Program Description and Nomination Form</w:t>
      </w:r>
      <w:r w:rsidR="003111CC" w:rsidRPr="004A0C12">
        <w:rPr>
          <w:rFonts w:ascii="Garamond" w:hAnsi="Garamond"/>
          <w:sz w:val="22"/>
          <w:szCs w:val="22"/>
        </w:rPr>
        <w:t xml:space="preserve"> </w:t>
      </w:r>
      <w:r w:rsidRPr="004A0C12">
        <w:rPr>
          <w:rFonts w:ascii="Garamond" w:hAnsi="Garamond"/>
          <w:sz w:val="22"/>
          <w:szCs w:val="22"/>
        </w:rPr>
        <w:t xml:space="preserve">to </w:t>
      </w:r>
      <w:r w:rsidR="003111CC" w:rsidRPr="004A0C12">
        <w:rPr>
          <w:rFonts w:ascii="Garamond" w:hAnsi="Garamond"/>
          <w:sz w:val="22"/>
          <w:szCs w:val="22"/>
        </w:rPr>
        <w:t>DLLR</w:t>
      </w:r>
      <w:r w:rsidRPr="004A0C12">
        <w:rPr>
          <w:rFonts w:ascii="Garamond" w:hAnsi="Garamond"/>
          <w:sz w:val="22"/>
          <w:szCs w:val="22"/>
        </w:rPr>
        <w:t xml:space="preserve">. </w:t>
      </w:r>
      <w:r w:rsidR="003111CC" w:rsidRPr="004A0C12">
        <w:rPr>
          <w:rFonts w:ascii="Garamond" w:hAnsi="Garamond"/>
          <w:sz w:val="22"/>
          <w:szCs w:val="22"/>
        </w:rPr>
        <w:t xml:space="preserve">DLLR </w:t>
      </w:r>
      <w:r w:rsidRPr="004A0C12">
        <w:rPr>
          <w:rFonts w:ascii="Garamond" w:hAnsi="Garamond"/>
          <w:sz w:val="22"/>
          <w:szCs w:val="22"/>
        </w:rPr>
        <w:t xml:space="preserve">shall include a verified </w:t>
      </w:r>
      <w:r w:rsidR="00B563A8" w:rsidRPr="004A0C12">
        <w:rPr>
          <w:rFonts w:ascii="Garamond" w:hAnsi="Garamond"/>
          <w:sz w:val="22"/>
          <w:szCs w:val="22"/>
        </w:rPr>
        <w:t>Registered Apprenticeship p</w:t>
      </w:r>
      <w:r w:rsidRPr="004A0C12">
        <w:rPr>
          <w:rFonts w:ascii="Garamond" w:hAnsi="Garamond"/>
          <w:sz w:val="22"/>
          <w:szCs w:val="22"/>
        </w:rPr>
        <w:t xml:space="preserve">rogram on the Maryland ETPL for as long as the program is registered, or until the </w:t>
      </w:r>
      <w:r w:rsidR="00B563A8" w:rsidRPr="004A0C12">
        <w:rPr>
          <w:rFonts w:ascii="Garamond" w:hAnsi="Garamond"/>
          <w:sz w:val="22"/>
          <w:szCs w:val="22"/>
        </w:rPr>
        <w:t>Registered Apprenticeship</w:t>
      </w:r>
      <w:r w:rsidRPr="004A0C12">
        <w:rPr>
          <w:rFonts w:ascii="Garamond" w:hAnsi="Garamond"/>
          <w:sz w:val="22"/>
          <w:szCs w:val="22"/>
        </w:rPr>
        <w:t xml:space="preserve"> program sponsor notifies </w:t>
      </w:r>
      <w:r w:rsidR="003111CC" w:rsidRPr="004A0C12">
        <w:rPr>
          <w:rFonts w:ascii="Garamond" w:hAnsi="Garamond"/>
          <w:sz w:val="22"/>
          <w:szCs w:val="22"/>
        </w:rPr>
        <w:t xml:space="preserve">DLLR </w:t>
      </w:r>
      <w:r w:rsidRPr="004A0C12">
        <w:rPr>
          <w:rFonts w:ascii="Garamond" w:hAnsi="Garamond"/>
          <w:sz w:val="22"/>
          <w:szCs w:val="22"/>
        </w:rPr>
        <w:t>in writing that it no longer wants to be included on the ETPL.</w:t>
      </w:r>
    </w:p>
    <w:p w14:paraId="6B359985" w14:textId="77777777" w:rsidR="00AB5AEF" w:rsidRPr="004A0C12" w:rsidRDefault="00AB5AEF" w:rsidP="00AB5AEF">
      <w:pPr>
        <w:pStyle w:val="PlainText1"/>
        <w:jc w:val="both"/>
        <w:rPr>
          <w:rFonts w:ascii="Garamond" w:hAnsi="Garamond"/>
          <w:sz w:val="22"/>
          <w:szCs w:val="22"/>
        </w:rPr>
      </w:pPr>
    </w:p>
    <w:p w14:paraId="024F8386" w14:textId="372F82FC" w:rsidR="00AB5AEF" w:rsidRPr="004A0C12" w:rsidRDefault="00AB5AEF" w:rsidP="00AB5AEF">
      <w:pPr>
        <w:pStyle w:val="PlainText1"/>
        <w:jc w:val="both"/>
        <w:rPr>
          <w:rFonts w:ascii="Garamond" w:hAnsi="Garamond"/>
          <w:sz w:val="22"/>
          <w:szCs w:val="22"/>
        </w:rPr>
      </w:pPr>
      <w:r w:rsidRPr="004A0C12">
        <w:rPr>
          <w:rFonts w:ascii="Garamond" w:hAnsi="Garamond"/>
          <w:sz w:val="22"/>
          <w:szCs w:val="22"/>
        </w:rPr>
        <w:t xml:space="preserve">As part of the annual application renewal process, </w:t>
      </w:r>
      <w:r w:rsidR="003111CC" w:rsidRPr="004A0C12">
        <w:rPr>
          <w:rFonts w:ascii="Garamond" w:hAnsi="Garamond"/>
          <w:sz w:val="22"/>
          <w:szCs w:val="22"/>
        </w:rPr>
        <w:t xml:space="preserve">DLLR </w:t>
      </w:r>
      <w:r w:rsidRPr="004A0C12">
        <w:rPr>
          <w:rFonts w:ascii="Garamond" w:hAnsi="Garamond"/>
          <w:sz w:val="22"/>
          <w:szCs w:val="22"/>
        </w:rPr>
        <w:t xml:space="preserve">shall verify </w:t>
      </w:r>
      <w:r w:rsidR="00B563A8" w:rsidRPr="004A0C12">
        <w:rPr>
          <w:rFonts w:ascii="Garamond" w:hAnsi="Garamond"/>
          <w:sz w:val="22"/>
          <w:szCs w:val="22"/>
        </w:rPr>
        <w:t xml:space="preserve">Registered Apprenticeship </w:t>
      </w:r>
      <w:r w:rsidR="003111CC" w:rsidRPr="004A0C12">
        <w:rPr>
          <w:rFonts w:ascii="Garamond" w:hAnsi="Garamond"/>
          <w:sz w:val="22"/>
          <w:szCs w:val="22"/>
        </w:rPr>
        <w:t>p</w:t>
      </w:r>
      <w:r w:rsidRPr="004A0C12">
        <w:rPr>
          <w:rFonts w:ascii="Garamond" w:hAnsi="Garamond"/>
          <w:sz w:val="22"/>
          <w:szCs w:val="22"/>
        </w:rPr>
        <w:t>rogram status</w:t>
      </w:r>
      <w:r w:rsidR="00B563A8" w:rsidRPr="004A0C12">
        <w:rPr>
          <w:rFonts w:ascii="Garamond" w:hAnsi="Garamond"/>
          <w:sz w:val="22"/>
          <w:szCs w:val="22"/>
        </w:rPr>
        <w:t xml:space="preserve">, in coordination with MATC. Registered Apprenticeship </w:t>
      </w:r>
      <w:r w:rsidRPr="004A0C12">
        <w:rPr>
          <w:rFonts w:ascii="Garamond" w:hAnsi="Garamond"/>
          <w:sz w:val="22"/>
          <w:szCs w:val="22"/>
        </w:rPr>
        <w:t>programs that are voluntarily or involuntarily de-registered shall be removed from the ETPL.</w:t>
      </w:r>
    </w:p>
    <w:p w14:paraId="58B53625" w14:textId="77777777" w:rsidR="00BB16E4" w:rsidRPr="004A0C12" w:rsidRDefault="00BB16E4" w:rsidP="00BB16E4">
      <w:pPr>
        <w:shd w:val="clear" w:color="auto" w:fill="FFFFFF"/>
        <w:spacing w:after="0" w:line="240" w:lineRule="auto"/>
        <w:rPr>
          <w:rFonts w:ascii="Garamond" w:eastAsia="Times New Roman" w:hAnsi="Garamond" w:cs="Times New Roman"/>
          <w:color w:val="222222"/>
        </w:rPr>
      </w:pPr>
    </w:p>
    <w:p w14:paraId="36D4A6DE" w14:textId="155C99C8" w:rsidR="00BB16E4" w:rsidRPr="004A0C12" w:rsidRDefault="00BB16E4" w:rsidP="00BB16E4">
      <w:pPr>
        <w:shd w:val="clear" w:color="auto" w:fill="FFFFFF"/>
        <w:spacing w:after="0" w:line="240" w:lineRule="auto"/>
        <w:jc w:val="both"/>
        <w:rPr>
          <w:rFonts w:ascii="Garamond" w:eastAsia="Times New Roman" w:hAnsi="Garamond" w:cs="Times New Roman"/>
        </w:rPr>
      </w:pPr>
      <w:r w:rsidRPr="004A0C12">
        <w:rPr>
          <w:rFonts w:ascii="Garamond" w:eastAsia="Times New Roman" w:hAnsi="Garamond" w:cs="Times New Roman"/>
        </w:rPr>
        <w:lastRenderedPageBreak/>
        <w:t>Consistent w</w:t>
      </w:r>
      <w:r w:rsidR="00111048" w:rsidRPr="004A0C12">
        <w:rPr>
          <w:rFonts w:ascii="Garamond" w:eastAsia="Times New Roman" w:hAnsi="Garamond" w:cs="Times New Roman"/>
        </w:rPr>
        <w:t>ith the State's policy under WIA</w:t>
      </w:r>
      <w:r w:rsidRPr="004A0C12">
        <w:rPr>
          <w:rFonts w:ascii="Garamond" w:eastAsia="Times New Roman" w:hAnsi="Garamond" w:cs="Times New Roman"/>
        </w:rPr>
        <w:t>, the State</w:t>
      </w:r>
      <w:r w:rsidR="00B563A8" w:rsidRPr="004A0C12">
        <w:rPr>
          <w:rFonts w:ascii="Garamond" w:eastAsia="Times New Roman" w:hAnsi="Garamond" w:cs="Times New Roman"/>
        </w:rPr>
        <w:t>’s</w:t>
      </w:r>
      <w:r w:rsidRPr="004A0C12">
        <w:rPr>
          <w:rFonts w:ascii="Garamond" w:eastAsia="Times New Roman" w:hAnsi="Garamond" w:cs="Times New Roman"/>
        </w:rPr>
        <w:t xml:space="preserve"> primary indicators of performance under WIOA,</w:t>
      </w:r>
      <w:r w:rsidR="00B563A8" w:rsidRPr="004A0C12">
        <w:rPr>
          <w:rFonts w:ascii="Garamond" w:eastAsia="Times New Roman" w:hAnsi="Garamond" w:cs="Times New Roman"/>
        </w:rPr>
        <w:t xml:space="preserve"> is </w:t>
      </w:r>
      <w:r w:rsidRPr="004A0C12">
        <w:rPr>
          <w:rFonts w:ascii="Garamond" w:eastAsia="Times New Roman" w:hAnsi="Garamond" w:cs="Times New Roman"/>
        </w:rPr>
        <w:t>at least 61 percent of 1) all students in a training program</w:t>
      </w:r>
      <w:r w:rsidR="00B563A8" w:rsidRPr="004A0C12">
        <w:rPr>
          <w:rFonts w:ascii="Garamond" w:eastAsia="Times New Roman" w:hAnsi="Garamond" w:cs="Times New Roman"/>
        </w:rPr>
        <w:t>,</w:t>
      </w:r>
      <w:r w:rsidRPr="004A0C12">
        <w:rPr>
          <w:rFonts w:ascii="Garamond" w:eastAsia="Times New Roman" w:hAnsi="Garamond" w:cs="Times New Roman"/>
        </w:rPr>
        <w:t xml:space="preserve"> and of 2) the subset of WIOA-funded students must be in unsubsidized employment during the second and fourth quarters after program exit or completion in order for initial and continued ETP eligibility.</w:t>
      </w:r>
    </w:p>
    <w:p w14:paraId="171250FE" w14:textId="77777777" w:rsidR="00BB16E4" w:rsidRPr="004A0C12" w:rsidRDefault="00BB16E4" w:rsidP="00BB16E4">
      <w:pPr>
        <w:shd w:val="clear" w:color="auto" w:fill="FFFFFF"/>
        <w:spacing w:after="0" w:line="240" w:lineRule="auto"/>
        <w:jc w:val="both"/>
        <w:rPr>
          <w:rFonts w:ascii="Garamond" w:eastAsia="Times New Roman" w:hAnsi="Garamond" w:cs="Times New Roman"/>
        </w:rPr>
      </w:pPr>
    </w:p>
    <w:p w14:paraId="5FD0D0DB" w14:textId="038CB539" w:rsidR="00BB16E4" w:rsidRPr="004A0C12" w:rsidRDefault="00BB16E4" w:rsidP="00B42B81">
      <w:pPr>
        <w:shd w:val="clear" w:color="auto" w:fill="FFFFFF"/>
        <w:spacing w:after="0" w:line="240" w:lineRule="auto"/>
        <w:jc w:val="both"/>
        <w:rPr>
          <w:rFonts w:ascii="Garamond" w:eastAsia="Times New Roman" w:hAnsi="Garamond" w:cs="Times New Roman"/>
        </w:rPr>
      </w:pPr>
      <w:r w:rsidRPr="004A0C12">
        <w:rPr>
          <w:rFonts w:ascii="Garamond" w:eastAsia="Times New Roman" w:hAnsi="Garamond" w:cs="Times New Roman"/>
        </w:rPr>
        <w:t>Maryland may enter into agreements, on a reciprocal basis, to permit eligible providers of training services to accept individual training accounts provided in another state. Such states must have verifiable initial and continuing performance standards that either me</w:t>
      </w:r>
      <w:r w:rsidR="00B42B81" w:rsidRPr="004A0C12">
        <w:rPr>
          <w:rFonts w:ascii="Garamond" w:eastAsia="Times New Roman" w:hAnsi="Garamond" w:cs="Times New Roman"/>
        </w:rPr>
        <w:t>et or exceed those of Maryland.</w:t>
      </w:r>
    </w:p>
    <w:p w14:paraId="32F7983F" w14:textId="5998D46F" w:rsidR="0097066F" w:rsidRPr="00E64564" w:rsidRDefault="0097066F" w:rsidP="00CF4628">
      <w:pPr>
        <w:pStyle w:val="Heading3"/>
        <w:rPr>
          <w:rFonts w:ascii="Garamond" w:hAnsi="Garamond"/>
          <w:sz w:val="24"/>
          <w:szCs w:val="24"/>
        </w:rPr>
      </w:pPr>
      <w:bookmarkStart w:id="138" w:name="_Toc447276176"/>
      <w:r w:rsidRPr="00E64564">
        <w:rPr>
          <w:rFonts w:ascii="Garamond" w:hAnsi="Garamond"/>
          <w:sz w:val="24"/>
          <w:szCs w:val="24"/>
        </w:rPr>
        <w:t>Transfer of Local Funds between Adult and Dislocated Worker Programs</w:t>
      </w:r>
      <w:bookmarkEnd w:id="138"/>
    </w:p>
    <w:p w14:paraId="7FE191DA" w14:textId="40995859" w:rsidR="0097066F" w:rsidRPr="004A0C12" w:rsidRDefault="0097066F" w:rsidP="0097066F">
      <w:pPr>
        <w:shd w:val="clear" w:color="auto" w:fill="FFFFFF"/>
        <w:spacing w:after="0" w:line="240" w:lineRule="auto"/>
        <w:jc w:val="both"/>
        <w:rPr>
          <w:rFonts w:ascii="Garamond" w:eastAsia="Times New Roman" w:hAnsi="Garamond" w:cs="Times New Roman"/>
        </w:rPr>
      </w:pPr>
      <w:r w:rsidRPr="004A0C12">
        <w:rPr>
          <w:rFonts w:ascii="Garamond" w:eastAsia="Times New Roman" w:hAnsi="Garamond" w:cs="Times New Roman"/>
        </w:rPr>
        <w:t>On behalf of the Governor, DLLR annually allocates funds for both the WIOA Title I Adult and Dislocated Worker programs. Allocations are made to Local Workforce Development Boards for Local Workforce Development Areas in consultation with the chief local elected officials. As explained in WIOA Section 133, when approved by DLLR, a Local Board may transfer up to and including 100 percent of a Program Year (PY) and Fiscal Year (FY) allocation for Adult employment and training activities, and up to and including 100 percent of a PY and FY allocation for Dislocated Worker employment and training activities between the two programs. Transfers may only occur between Adult and Dislocated Worker funds within the same funding phase. For example, PY 2016 expenditures cannot be transferred to PY 2015 funding. Local Boards may not transfer funds to or from the Youth program.</w:t>
      </w:r>
    </w:p>
    <w:p w14:paraId="0BA54632" w14:textId="77777777" w:rsidR="0097066F" w:rsidRPr="004A0C12" w:rsidRDefault="0097066F" w:rsidP="0097066F">
      <w:pPr>
        <w:shd w:val="clear" w:color="auto" w:fill="FFFFFF"/>
        <w:spacing w:after="0" w:line="240" w:lineRule="auto"/>
        <w:jc w:val="both"/>
        <w:rPr>
          <w:rFonts w:ascii="Garamond" w:eastAsia="Times New Roman" w:hAnsi="Garamond" w:cs="Times New Roman"/>
        </w:rPr>
      </w:pPr>
    </w:p>
    <w:p w14:paraId="5E829227" w14:textId="77777777" w:rsidR="0097066F" w:rsidRPr="004A0C12" w:rsidRDefault="0097066F" w:rsidP="0097066F">
      <w:pPr>
        <w:shd w:val="clear" w:color="auto" w:fill="FFFFFF"/>
        <w:spacing w:after="0" w:line="240" w:lineRule="auto"/>
        <w:jc w:val="both"/>
        <w:rPr>
          <w:rFonts w:ascii="Garamond" w:eastAsia="Times New Roman" w:hAnsi="Garamond" w:cs="Times New Roman"/>
        </w:rPr>
      </w:pPr>
      <w:r w:rsidRPr="004A0C12">
        <w:rPr>
          <w:rFonts w:ascii="Garamond" w:eastAsia="Times New Roman" w:hAnsi="Garamond" w:cs="Times New Roman"/>
        </w:rPr>
        <w:t>A Local Board may delegate its authority under WIOA Section 133 to the director of local workforce area or other designated signatory of the local workforce area. A delegation can only be accomplished through a resolution of the Local Board, or by a process that is identified in the area's approved Local Plan. When a Local Board elects to exercise its transfer authority, DLLR will require that State policy guidance on requesting a transfer, approving a transfer, and reporting a transfer is adhered to. DLLR has additionally established an appeal process for circumstances where a Local Board wishes to appeal a denial of its transfer request.  </w:t>
      </w:r>
    </w:p>
    <w:p w14:paraId="75C7C7BB" w14:textId="77777777" w:rsidR="00B93C94" w:rsidRPr="004A0C12" w:rsidRDefault="00B93C94" w:rsidP="00B93C94">
      <w:pPr>
        <w:spacing w:after="100" w:line="240" w:lineRule="auto"/>
        <w:rPr>
          <w:rFonts w:ascii="Garamond" w:eastAsia="Times New Roman" w:hAnsi="Garamond" w:cs="Times New Roman"/>
        </w:rPr>
      </w:pPr>
      <w:r w:rsidRPr="004A0C12">
        <w:rPr>
          <w:rFonts w:ascii="Garamond" w:eastAsia="Times New Roman" w:hAnsi="Garamond" w:cs="Times New Roman"/>
          <w:color w:val="000000"/>
        </w:rPr>
        <w:t>When approved by OFA, a Local Board may transfer up to and including 100 percent of a Program Year (PY) and Fiscal Year (FY) allocation for Adult employment and training activities, and up to and including 100 percent of a PY and FY allocation for Dislocated Worker employment and training activities between the two programs. Transfers may only occur between Adult and Dislocated Worker funds within the same funding phase. For example, PY 2015 expenditures cannot be transferred to PY 2014 funding. Local Boards may not transfer funds to or from the Youth program.</w:t>
      </w:r>
    </w:p>
    <w:p w14:paraId="7541C9CB" w14:textId="77777777" w:rsidR="00CF5313" w:rsidRPr="004A0C12" w:rsidRDefault="00CF5313" w:rsidP="00CF5313">
      <w:pPr>
        <w:spacing w:after="100" w:line="240" w:lineRule="auto"/>
        <w:rPr>
          <w:rFonts w:ascii="Garamond" w:eastAsia="Times New Roman" w:hAnsi="Garamond" w:cs="Times New Roman"/>
        </w:rPr>
      </w:pPr>
      <w:r w:rsidRPr="004A0C12">
        <w:rPr>
          <w:rFonts w:ascii="Garamond" w:eastAsia="Times New Roman" w:hAnsi="Garamond" w:cs="Times New Roman"/>
          <w:color w:val="000000"/>
        </w:rPr>
        <w:t>When a Local Board elects to exercise its transfer authority, it is important to adhere to the following policy guidelines.</w:t>
      </w:r>
    </w:p>
    <w:p w14:paraId="77E76EC6" w14:textId="77777777" w:rsidR="00CF5313" w:rsidRPr="004A0C12" w:rsidRDefault="00CF5313" w:rsidP="00CF5313">
      <w:pPr>
        <w:spacing w:after="100" w:line="240" w:lineRule="auto"/>
        <w:rPr>
          <w:rFonts w:ascii="Garamond" w:eastAsia="Times New Roman" w:hAnsi="Garamond" w:cs="Times New Roman"/>
        </w:rPr>
      </w:pPr>
      <w:r w:rsidRPr="004A0C12">
        <w:rPr>
          <w:rFonts w:ascii="Garamond" w:eastAsia="Times New Roman" w:hAnsi="Garamond" w:cs="Times New Roman"/>
          <w:color w:val="000000"/>
        </w:rPr>
        <w:t>Requesting a Transfer Before making a transfer, a Local Board must obtain OFA’s written approval. A Local Board shall request a transfer by completing the Funding Transfer Request form that includes the following information:• The number for the grant that expenditures would be transferred from; • The number for the grant that expenditures would be transferred to; • The amount of the transfer; • A justification for the transfer; • The requested effective date of the transfer; • An assurance that there are sufficient funds in the budget for required activities for the remainder of the PY and FY; and, • The Catalog of Federal Domestic Assistance (CFDA) number, which is assigned by the federal funding agency and is listed on the Notice of Obligation. Transfer requests must be received at least 45 calendar days prior to the end of the grant. If a Local Board has an unforeseen circumstance that may require an exception, the Local Board must contact OFA immediately for further discussion and direction. If the transfer exceeds 50 percent, the Local Board must provide justification for the transfer and assurance that services will be provided to the targeted population of the transferred funding source, with details on what funding sources will be used. The effective date cannot be retroactive past the current reporting period. In other words, the transfer would not change/affect the financial reports previously submitted. Local Boards must submit completed request forms, signed by the Local Board Chair (or the Director of the LWDA or other designated signatory of the LWDA, designated by resolution or identified in the Local Plan, as set forth above), by email to the DWDAL. In the event that the request is made by the LWDA Director, the Local Board Chair must timely affirm that he or she has been apprised of the requested transfer. No request will be reviewed by OFA until written affirmation is received. Written affirmation should be sent via email to Dorothee Schlotterbeck.</w:t>
      </w:r>
    </w:p>
    <w:p w14:paraId="04918FB4" w14:textId="77777777" w:rsidR="00CF5313" w:rsidRPr="004A0C12" w:rsidRDefault="00CF5313" w:rsidP="00CF5313">
      <w:pPr>
        <w:spacing w:after="100" w:line="240" w:lineRule="auto"/>
        <w:rPr>
          <w:rFonts w:ascii="Garamond" w:eastAsia="Times New Roman" w:hAnsi="Garamond" w:cs="Times New Roman"/>
        </w:rPr>
      </w:pPr>
      <w:r w:rsidRPr="004A0C12">
        <w:rPr>
          <w:rFonts w:ascii="Garamond" w:eastAsia="Times New Roman" w:hAnsi="Garamond" w:cs="Times New Roman"/>
          <w:color w:val="000000"/>
        </w:rPr>
        <w:t>Approving a Transfer When determining whether a transfer request is approved or denied, OFA must consult the DWDAL Director of the Office of Workforce Development and review the LWDA’s WIOA Adult and Dislocated Worker funding expenditures, obligations, and balances to ensure these are in support of the Local Board’s request. OFA should request additional information or clarification from the Local Board, as needed.</w:t>
      </w:r>
    </w:p>
    <w:p w14:paraId="5F42A3E9" w14:textId="77777777" w:rsidR="00CF5313" w:rsidRPr="004A0C12" w:rsidRDefault="00CF5313" w:rsidP="00CF5313">
      <w:pPr>
        <w:spacing w:after="100" w:line="240" w:lineRule="auto"/>
        <w:rPr>
          <w:rFonts w:ascii="Garamond" w:eastAsia="Times New Roman" w:hAnsi="Garamond" w:cs="Times New Roman"/>
        </w:rPr>
      </w:pPr>
      <w:r w:rsidRPr="004A0C12">
        <w:rPr>
          <w:rFonts w:ascii="Garamond" w:eastAsia="Times New Roman" w:hAnsi="Garamond" w:cs="Times New Roman"/>
          <w:color w:val="000000"/>
        </w:rPr>
        <w:lastRenderedPageBreak/>
        <w:t>As set forth in the State’s Policy on the authority to transfer between WIOA Title I funds, an LWDA must provide to DWDAL an assurance that there are sufficient funds in the budget for required activities for the remainder of the PY and FY. Also, should the transfer exceed 50%, the LWDA must provide justification for the transfer and assurance that services will be provided to the targeted population of the transferred funding source, with details on what funding sources will be used.</w:t>
      </w:r>
    </w:p>
    <w:p w14:paraId="1A971257" w14:textId="77777777" w:rsidR="00CF5313" w:rsidRPr="004A0C12" w:rsidRDefault="00CF5313" w:rsidP="00CF5313">
      <w:pPr>
        <w:spacing w:after="100" w:line="240" w:lineRule="auto"/>
        <w:rPr>
          <w:rFonts w:ascii="Garamond" w:eastAsia="Times New Roman" w:hAnsi="Garamond" w:cs="Times New Roman"/>
        </w:rPr>
      </w:pPr>
      <w:r w:rsidRPr="004A0C12">
        <w:rPr>
          <w:rFonts w:ascii="Garamond" w:eastAsia="Times New Roman" w:hAnsi="Garamond" w:cs="Times New Roman"/>
          <w:color w:val="000000"/>
        </w:rPr>
        <w:t>After reviewing the request, OFA shall email an official determination to the Local Board Chair, the LWDA Director and the LWDA Fiscal Manager, signed by the DWDAL Assistant Secretary, with the determination to approve or deny within 10 business days. OFA shall file documentation in the LWDA’s WIOA grant file and, when approved, the transfer amount shall be posted on the grant tracking worksheet/system. A Local Board may appeal a denial of its transfer request to the DWDAL Assistant Secretary within 10 calendar days from the received date of the denial notice. The appeal must be in writing and state the grounds for the appeal.</w:t>
      </w:r>
    </w:p>
    <w:p w14:paraId="0F5B5D3A" w14:textId="77777777" w:rsidR="00CF5313" w:rsidRPr="004A0C12" w:rsidRDefault="00CF5313" w:rsidP="00CF5313">
      <w:pPr>
        <w:pStyle w:val="NormalWeb"/>
        <w:spacing w:before="0" w:beforeAutospacing="0" w:afterAutospacing="0"/>
        <w:rPr>
          <w:rFonts w:ascii="Garamond" w:hAnsi="Garamond"/>
          <w:sz w:val="22"/>
          <w:szCs w:val="22"/>
        </w:rPr>
      </w:pPr>
      <w:r w:rsidRPr="004A0C12">
        <w:rPr>
          <w:rFonts w:ascii="Garamond" w:hAnsi="Garamond"/>
          <w:color w:val="000000"/>
          <w:sz w:val="22"/>
          <w:szCs w:val="22"/>
        </w:rPr>
        <w:t>Reporting a Transfer When approved, LWDAs shall report the transfer to OFA on the Adult and Dislocated Worker Quarterly Status Reports (QSRs). On the Adult QSR, LWDAs shall report the transfer as “the amount of Adult funds expended on the Dislocated Worker Program.” On the Dislocated Worker QSR, LWDAs shall report the transfer as “the amount of Dislocated Worker funds expended on the Adult Program. “In turn, OFA shall report the transfer to the U.S. Department of Labor (USDOL) on the Quarterly Financial Report for both “Local Adult” and “Local Dislocated Worker.”</w:t>
      </w:r>
    </w:p>
    <w:p w14:paraId="3F755710" w14:textId="77777777" w:rsidR="00AB5AEF" w:rsidRPr="00E64564" w:rsidRDefault="00AB5AEF" w:rsidP="00CF4628">
      <w:pPr>
        <w:pStyle w:val="Heading3"/>
        <w:rPr>
          <w:rFonts w:ascii="Garamond" w:hAnsi="Garamond"/>
          <w:sz w:val="24"/>
          <w:szCs w:val="24"/>
        </w:rPr>
      </w:pPr>
      <w:bookmarkStart w:id="139" w:name="_Toc447276177"/>
      <w:r w:rsidRPr="00E64564">
        <w:rPr>
          <w:rFonts w:ascii="Garamond" w:hAnsi="Garamond"/>
          <w:sz w:val="24"/>
          <w:szCs w:val="24"/>
        </w:rPr>
        <w:t>Maryland’s WIOA Title I Youth Program</w:t>
      </w:r>
      <w:bookmarkEnd w:id="139"/>
      <w:r w:rsidRPr="00E64564">
        <w:rPr>
          <w:rFonts w:ascii="Garamond" w:hAnsi="Garamond"/>
          <w:sz w:val="24"/>
          <w:szCs w:val="24"/>
        </w:rPr>
        <w:t xml:space="preserve"> </w:t>
      </w:r>
    </w:p>
    <w:p w14:paraId="1399E12D" w14:textId="77777777" w:rsidR="00986716" w:rsidRPr="004A0C12" w:rsidRDefault="00986716" w:rsidP="00986716">
      <w:pPr>
        <w:spacing w:after="0" w:line="240" w:lineRule="auto"/>
        <w:jc w:val="both"/>
        <w:rPr>
          <w:rFonts w:ascii="Garamond" w:hAnsi="Garamond" w:cs="Times New Roman"/>
        </w:rPr>
      </w:pPr>
      <w:r w:rsidRPr="004A0C12">
        <w:rPr>
          <w:rFonts w:ascii="Garamond" w:hAnsi="Garamond" w:cs="Times New Roman"/>
        </w:rPr>
        <w:t>WIOA</w:t>
      </w:r>
      <w:r w:rsidRPr="004A0C12">
        <w:rPr>
          <w:rFonts w:ascii="Garamond" w:hAnsi="Garamond"/>
        </w:rPr>
        <w:t xml:space="preserve"> </w:t>
      </w:r>
      <w:r w:rsidRPr="004A0C12">
        <w:rPr>
          <w:rFonts w:ascii="Garamond" w:hAnsi="Garamond" w:cs="Times New Roman"/>
        </w:rPr>
        <w:t xml:space="preserve">outlines a broader youth vision that is grounded in evidence-based strategies to support a service delivery system that is dedicated to achieving high-levels of performance, accountability and quality in preparing young people for the workforce. </w:t>
      </w:r>
    </w:p>
    <w:p w14:paraId="11603618" w14:textId="77777777" w:rsidR="00986716" w:rsidRPr="004A0C12" w:rsidRDefault="00986716" w:rsidP="00986716">
      <w:pPr>
        <w:spacing w:after="0" w:line="240" w:lineRule="auto"/>
        <w:jc w:val="both"/>
        <w:rPr>
          <w:rFonts w:ascii="Garamond" w:hAnsi="Garamond" w:cs="Times New Roman"/>
        </w:rPr>
      </w:pPr>
    </w:p>
    <w:p w14:paraId="3307F9C8" w14:textId="7747808D" w:rsidR="00986716" w:rsidRPr="004A0C12" w:rsidRDefault="00986716" w:rsidP="00986716">
      <w:pPr>
        <w:spacing w:after="0" w:line="240" w:lineRule="auto"/>
        <w:jc w:val="both"/>
        <w:rPr>
          <w:rFonts w:ascii="Garamond" w:hAnsi="Garamond" w:cs="Times New Roman"/>
        </w:rPr>
      </w:pPr>
      <w:r w:rsidRPr="004A0C12">
        <w:rPr>
          <w:rFonts w:ascii="Garamond" w:hAnsi="Garamond" w:cs="Times New Roman"/>
        </w:rPr>
        <w:t>Through the WIOA Title I Youth Program, WIOA places a greater emphasis on supporting the educational and career succes</w:t>
      </w:r>
      <w:r w:rsidR="00111048" w:rsidRPr="004A0C12">
        <w:rPr>
          <w:rFonts w:ascii="Garamond" w:hAnsi="Garamond" w:cs="Times New Roman"/>
        </w:rPr>
        <w:t>ses of out-of-school youth</w:t>
      </w:r>
      <w:r w:rsidRPr="004A0C12">
        <w:rPr>
          <w:rFonts w:ascii="Garamond" w:hAnsi="Garamond" w:cs="Times New Roman"/>
        </w:rPr>
        <w:t xml:space="preserve">. A minimum of 75 percent of WIOA Title I Youth Program funds is </w:t>
      </w:r>
      <w:r w:rsidR="00111048" w:rsidRPr="004A0C12">
        <w:rPr>
          <w:rFonts w:ascii="Garamond" w:hAnsi="Garamond" w:cs="Times New Roman"/>
        </w:rPr>
        <w:t>required to be spent on out-of-school</w:t>
      </w:r>
      <w:r w:rsidRPr="004A0C12">
        <w:rPr>
          <w:rFonts w:ascii="Garamond" w:hAnsi="Garamond" w:cs="Times New Roman"/>
        </w:rPr>
        <w:t>, which is an increase from the minimum of 30 percent under WIA. The law also expands the Youth Program’s key elements to include dropout recovery strategies and services, education offered concurrently with workforce activities and training, financial literacy education, entrepreneurship, post</w:t>
      </w:r>
      <w:r w:rsidR="00BB5F3C" w:rsidRPr="004A0C12">
        <w:rPr>
          <w:rFonts w:ascii="Garamond" w:hAnsi="Garamond" w:cs="Times New Roman"/>
        </w:rPr>
        <w:t>-</w:t>
      </w:r>
      <w:r w:rsidRPr="004A0C12">
        <w:rPr>
          <w:rFonts w:ascii="Garamond" w:hAnsi="Garamond" w:cs="Times New Roman"/>
        </w:rPr>
        <w:t xml:space="preserve">secondary transitional support, and labor market information. Local workforce areas now must spend at least 20 percent of WIOA Title I Youth Program funds on work experiences that incorporate academic and occupational education. </w:t>
      </w:r>
    </w:p>
    <w:p w14:paraId="540636EF" w14:textId="77777777" w:rsidR="00986716" w:rsidRPr="004A0C12" w:rsidRDefault="00986716" w:rsidP="00986716">
      <w:pPr>
        <w:spacing w:after="0" w:line="240" w:lineRule="auto"/>
        <w:jc w:val="both"/>
        <w:rPr>
          <w:rFonts w:ascii="Garamond" w:hAnsi="Garamond" w:cs="Times New Roman"/>
        </w:rPr>
      </w:pPr>
    </w:p>
    <w:p w14:paraId="0D766165" w14:textId="77777777" w:rsidR="00986716" w:rsidRPr="004A0C12" w:rsidRDefault="00986716" w:rsidP="00986716">
      <w:pPr>
        <w:spacing w:after="0" w:line="240" w:lineRule="auto"/>
        <w:jc w:val="both"/>
        <w:rPr>
          <w:rFonts w:ascii="Garamond" w:hAnsi="Garamond" w:cs="Times New Roman"/>
        </w:rPr>
      </w:pPr>
      <w:r w:rsidRPr="004A0C12">
        <w:rPr>
          <w:rFonts w:ascii="Garamond" w:hAnsi="Garamond" w:cs="Times New Roman"/>
        </w:rPr>
        <w:t>The WIOA Youth Program is designed to support eligible youth in reaching their educational and career goals. To meet this aim, local workforce areas and local provider that are awarded competitive contracts, must:</w:t>
      </w:r>
    </w:p>
    <w:p w14:paraId="118308C1" w14:textId="77777777" w:rsidR="008F28A1" w:rsidRPr="004A0C12" w:rsidRDefault="008F28A1" w:rsidP="00986716">
      <w:pPr>
        <w:spacing w:after="0" w:line="240" w:lineRule="auto"/>
        <w:jc w:val="both"/>
        <w:rPr>
          <w:rFonts w:ascii="Garamond" w:hAnsi="Garamond" w:cs="Times New Roman"/>
        </w:rPr>
      </w:pPr>
    </w:p>
    <w:p w14:paraId="6AF39C44" w14:textId="77777777" w:rsidR="008F28A1" w:rsidRPr="004A0C12" w:rsidRDefault="00986716" w:rsidP="00232F09">
      <w:pPr>
        <w:pStyle w:val="ListParagraph"/>
        <w:numPr>
          <w:ilvl w:val="0"/>
          <w:numId w:val="195"/>
        </w:numPr>
        <w:tabs>
          <w:tab w:val="clear" w:pos="0"/>
          <w:tab w:val="num" w:pos="720"/>
        </w:tabs>
        <w:ind w:left="720" w:hanging="360"/>
        <w:jc w:val="both"/>
        <w:rPr>
          <w:rFonts w:ascii="Garamond" w:hAnsi="Garamond"/>
          <w:szCs w:val="22"/>
        </w:rPr>
      </w:pPr>
      <w:r w:rsidRPr="004A0C12">
        <w:rPr>
          <w:rFonts w:ascii="Garamond" w:hAnsi="Garamond"/>
          <w:szCs w:val="22"/>
        </w:rPr>
        <w:t xml:space="preserve">Conduct an objective assessment of the participant’s skills; </w:t>
      </w:r>
    </w:p>
    <w:p w14:paraId="1EBED9D6" w14:textId="77777777" w:rsidR="008F28A1" w:rsidRPr="004A0C12" w:rsidRDefault="00986716" w:rsidP="00232F09">
      <w:pPr>
        <w:pStyle w:val="ListParagraph"/>
        <w:numPr>
          <w:ilvl w:val="0"/>
          <w:numId w:val="195"/>
        </w:numPr>
        <w:tabs>
          <w:tab w:val="clear" w:pos="0"/>
          <w:tab w:val="num" w:pos="720"/>
        </w:tabs>
        <w:ind w:left="720" w:hanging="360"/>
        <w:jc w:val="both"/>
        <w:rPr>
          <w:rFonts w:ascii="Garamond" w:hAnsi="Garamond"/>
          <w:szCs w:val="22"/>
        </w:rPr>
      </w:pPr>
      <w:r w:rsidRPr="004A0C12">
        <w:rPr>
          <w:rFonts w:ascii="Garamond" w:hAnsi="Garamond"/>
          <w:szCs w:val="22"/>
        </w:rPr>
        <w:t xml:space="preserve">Develop an Individual Service Strategy (ISS) with the participant; and, </w:t>
      </w:r>
    </w:p>
    <w:p w14:paraId="1AB7A768" w14:textId="77777777" w:rsidR="00986716" w:rsidRPr="004A0C12" w:rsidRDefault="00986716" w:rsidP="00232F09">
      <w:pPr>
        <w:pStyle w:val="ListParagraph"/>
        <w:numPr>
          <w:ilvl w:val="0"/>
          <w:numId w:val="195"/>
        </w:numPr>
        <w:tabs>
          <w:tab w:val="clear" w:pos="0"/>
          <w:tab w:val="num" w:pos="720"/>
        </w:tabs>
        <w:ind w:left="720" w:hanging="360"/>
        <w:jc w:val="both"/>
        <w:rPr>
          <w:rFonts w:ascii="Garamond" w:hAnsi="Garamond"/>
          <w:szCs w:val="22"/>
        </w:rPr>
      </w:pPr>
      <w:r w:rsidRPr="004A0C12">
        <w:rPr>
          <w:rFonts w:ascii="Garamond" w:hAnsi="Garamond"/>
          <w:szCs w:val="22"/>
        </w:rPr>
        <w:t>Utilize WIOA’s 14 Youth Program elements to support the participant in reaching his or her career and academic goals.</w:t>
      </w:r>
    </w:p>
    <w:p w14:paraId="129E1142" w14:textId="77777777" w:rsidR="00986716" w:rsidRPr="00E64564" w:rsidRDefault="00986716" w:rsidP="00986716">
      <w:pPr>
        <w:pStyle w:val="Heading4"/>
        <w:rPr>
          <w:rFonts w:ascii="Garamond" w:hAnsi="Garamond"/>
          <w:sz w:val="24"/>
          <w:szCs w:val="24"/>
        </w:rPr>
      </w:pPr>
      <w:r w:rsidRPr="00E64564">
        <w:rPr>
          <w:rFonts w:ascii="Garamond" w:hAnsi="Garamond"/>
          <w:sz w:val="24"/>
          <w:szCs w:val="24"/>
        </w:rPr>
        <w:t xml:space="preserve">Co-Enrollment </w:t>
      </w:r>
    </w:p>
    <w:p w14:paraId="5508C799" w14:textId="77777777" w:rsidR="00986716" w:rsidRPr="004A0C12" w:rsidRDefault="00986716" w:rsidP="00986716">
      <w:pPr>
        <w:spacing w:after="0" w:line="240" w:lineRule="auto"/>
        <w:ind w:left="720" w:hanging="720"/>
        <w:jc w:val="both"/>
        <w:rPr>
          <w:rFonts w:ascii="Garamond" w:hAnsi="Garamond" w:cs="Times New Roman"/>
        </w:rPr>
      </w:pPr>
      <w:r w:rsidRPr="004A0C12">
        <w:rPr>
          <w:rFonts w:ascii="Garamond" w:hAnsi="Garamond" w:cs="Times New Roman"/>
        </w:rPr>
        <w:t xml:space="preserve">Given WIOA’s focus on providing an integrated service delivery system that leverages resources across the State, </w:t>
      </w:r>
    </w:p>
    <w:p w14:paraId="4CDE2261" w14:textId="75F750AB" w:rsidR="00986716" w:rsidRPr="004A0C12" w:rsidRDefault="00BB5F3C" w:rsidP="00986716">
      <w:pPr>
        <w:spacing w:after="0" w:line="240" w:lineRule="auto"/>
        <w:ind w:left="720" w:hanging="720"/>
        <w:jc w:val="both"/>
        <w:rPr>
          <w:rFonts w:ascii="Garamond" w:hAnsi="Garamond" w:cs="Times New Roman"/>
        </w:rPr>
      </w:pPr>
      <w:r w:rsidRPr="004A0C12">
        <w:rPr>
          <w:rFonts w:ascii="Garamond" w:hAnsi="Garamond" w:cs="Times New Roman"/>
        </w:rPr>
        <w:t>DLLR encourages Local A</w:t>
      </w:r>
      <w:r w:rsidR="00111048" w:rsidRPr="004A0C12">
        <w:rPr>
          <w:rFonts w:ascii="Garamond" w:hAnsi="Garamond" w:cs="Times New Roman"/>
        </w:rPr>
        <w:t>rea</w:t>
      </w:r>
      <w:r w:rsidR="00986716" w:rsidRPr="004A0C12">
        <w:rPr>
          <w:rFonts w:ascii="Garamond" w:hAnsi="Garamond" w:cs="Times New Roman"/>
        </w:rPr>
        <w:t xml:space="preserve">s to co-enroll youth participants in both the WIOA Youth Program and other related </w:t>
      </w:r>
    </w:p>
    <w:p w14:paraId="00D9CF5D" w14:textId="77777777" w:rsidR="00986716" w:rsidRPr="004A0C12" w:rsidRDefault="00986716" w:rsidP="00986716">
      <w:pPr>
        <w:spacing w:after="0" w:line="240" w:lineRule="auto"/>
        <w:ind w:left="720" w:hanging="720"/>
        <w:jc w:val="both"/>
        <w:rPr>
          <w:rFonts w:ascii="Garamond" w:hAnsi="Garamond" w:cs="Times New Roman"/>
        </w:rPr>
      </w:pPr>
      <w:proofErr w:type="gramStart"/>
      <w:r w:rsidRPr="004A0C12">
        <w:rPr>
          <w:rFonts w:ascii="Garamond" w:hAnsi="Garamond" w:cs="Times New Roman"/>
        </w:rPr>
        <w:t>programs</w:t>
      </w:r>
      <w:proofErr w:type="gramEnd"/>
      <w:r w:rsidRPr="004A0C12">
        <w:rPr>
          <w:rFonts w:ascii="Garamond" w:hAnsi="Garamond" w:cs="Times New Roman"/>
        </w:rPr>
        <w:t xml:space="preserve"> when appropriate. The following list provides examples of programs where co-enrollment may make </w:t>
      </w:r>
    </w:p>
    <w:p w14:paraId="3EF4DA62" w14:textId="77777777" w:rsidR="00986716" w:rsidRPr="004A0C12" w:rsidRDefault="00986716" w:rsidP="00986716">
      <w:pPr>
        <w:spacing w:after="0" w:line="240" w:lineRule="auto"/>
        <w:ind w:left="720" w:hanging="720"/>
        <w:jc w:val="both"/>
        <w:rPr>
          <w:rFonts w:ascii="Garamond" w:hAnsi="Garamond" w:cs="Times New Roman"/>
        </w:rPr>
      </w:pPr>
      <w:proofErr w:type="gramStart"/>
      <w:r w:rsidRPr="004A0C12">
        <w:rPr>
          <w:rFonts w:ascii="Garamond" w:hAnsi="Garamond" w:cs="Times New Roman"/>
        </w:rPr>
        <w:t>sense</w:t>
      </w:r>
      <w:proofErr w:type="gramEnd"/>
      <w:r w:rsidRPr="004A0C12">
        <w:rPr>
          <w:rFonts w:ascii="Garamond" w:hAnsi="Garamond" w:cs="Times New Roman"/>
        </w:rPr>
        <w:t xml:space="preserve"> for the youth participant: </w:t>
      </w:r>
    </w:p>
    <w:p w14:paraId="526AB2E6" w14:textId="77777777" w:rsidR="00986716" w:rsidRPr="004A0C12" w:rsidRDefault="00986716" w:rsidP="00986716">
      <w:pPr>
        <w:spacing w:after="0" w:line="240" w:lineRule="auto"/>
        <w:ind w:left="720" w:hanging="720"/>
        <w:jc w:val="both"/>
        <w:rPr>
          <w:rFonts w:ascii="Garamond" w:hAnsi="Garamond" w:cs="Times New Roman"/>
        </w:rPr>
      </w:pPr>
    </w:p>
    <w:p w14:paraId="625E09EE" w14:textId="77777777" w:rsidR="00986716" w:rsidRPr="004A0C12" w:rsidRDefault="00986716" w:rsidP="00232F09">
      <w:pPr>
        <w:pStyle w:val="ListParagraph"/>
        <w:numPr>
          <w:ilvl w:val="0"/>
          <w:numId w:val="173"/>
        </w:numPr>
        <w:ind w:left="720"/>
        <w:jc w:val="both"/>
        <w:rPr>
          <w:rFonts w:ascii="Garamond" w:hAnsi="Garamond"/>
          <w:szCs w:val="22"/>
        </w:rPr>
      </w:pPr>
      <w:r w:rsidRPr="004A0C12">
        <w:rPr>
          <w:rFonts w:ascii="Garamond" w:hAnsi="Garamond"/>
          <w:szCs w:val="22"/>
        </w:rPr>
        <w:t>DLLR’s WIOA Title I Adult Program;</w:t>
      </w:r>
    </w:p>
    <w:p w14:paraId="4CAFCA46" w14:textId="2AE78975" w:rsidR="00986716" w:rsidRPr="004A0C12" w:rsidRDefault="00986716" w:rsidP="00232F09">
      <w:pPr>
        <w:pStyle w:val="ListParagraph"/>
        <w:numPr>
          <w:ilvl w:val="0"/>
          <w:numId w:val="173"/>
        </w:numPr>
        <w:ind w:left="720"/>
        <w:jc w:val="both"/>
        <w:rPr>
          <w:rFonts w:ascii="Garamond" w:hAnsi="Garamond"/>
          <w:szCs w:val="22"/>
        </w:rPr>
      </w:pPr>
      <w:r w:rsidRPr="004A0C12">
        <w:rPr>
          <w:rFonts w:ascii="Garamond" w:hAnsi="Garamond"/>
          <w:szCs w:val="22"/>
        </w:rPr>
        <w:t>DLLR’s WIOA Ti</w:t>
      </w:r>
      <w:r w:rsidR="00111048" w:rsidRPr="004A0C12">
        <w:rPr>
          <w:rFonts w:ascii="Garamond" w:hAnsi="Garamond"/>
          <w:szCs w:val="22"/>
        </w:rPr>
        <w:t>tle I Dislocated Worker Program</w:t>
      </w:r>
    </w:p>
    <w:p w14:paraId="0EEFBEF7" w14:textId="4AF0570F" w:rsidR="00986716" w:rsidRPr="004A0C12" w:rsidRDefault="00986716" w:rsidP="00232F09">
      <w:pPr>
        <w:pStyle w:val="ListParagraph"/>
        <w:numPr>
          <w:ilvl w:val="0"/>
          <w:numId w:val="173"/>
        </w:numPr>
        <w:ind w:left="720"/>
        <w:jc w:val="both"/>
        <w:rPr>
          <w:rFonts w:ascii="Garamond" w:hAnsi="Garamond"/>
          <w:szCs w:val="22"/>
        </w:rPr>
      </w:pPr>
      <w:r w:rsidRPr="004A0C12">
        <w:rPr>
          <w:rFonts w:ascii="Garamond" w:hAnsi="Garamond"/>
          <w:szCs w:val="22"/>
        </w:rPr>
        <w:t>DLLR’s WIOA T</w:t>
      </w:r>
      <w:r w:rsidR="00111048" w:rsidRPr="004A0C12">
        <w:rPr>
          <w:rFonts w:ascii="Garamond" w:hAnsi="Garamond"/>
          <w:szCs w:val="22"/>
        </w:rPr>
        <w:t>itle II Adult Education Program</w:t>
      </w:r>
    </w:p>
    <w:p w14:paraId="1E7DD3E9" w14:textId="5E80FDCF" w:rsidR="00986716" w:rsidRPr="004A0C12" w:rsidRDefault="00986716" w:rsidP="00232F09">
      <w:pPr>
        <w:pStyle w:val="ListParagraph"/>
        <w:numPr>
          <w:ilvl w:val="0"/>
          <w:numId w:val="173"/>
        </w:numPr>
        <w:ind w:left="720"/>
        <w:jc w:val="both"/>
        <w:rPr>
          <w:rFonts w:ascii="Garamond" w:hAnsi="Garamond"/>
          <w:szCs w:val="22"/>
        </w:rPr>
      </w:pPr>
      <w:r w:rsidRPr="004A0C12">
        <w:rPr>
          <w:rFonts w:ascii="Garamond" w:hAnsi="Garamond"/>
          <w:szCs w:val="22"/>
        </w:rPr>
        <w:t>DHR’s Temporary Assistance fo</w:t>
      </w:r>
      <w:r w:rsidR="00111048" w:rsidRPr="004A0C12">
        <w:rPr>
          <w:rFonts w:ascii="Garamond" w:hAnsi="Garamond"/>
          <w:szCs w:val="22"/>
        </w:rPr>
        <w:t>r Needy Families (TANF) Program</w:t>
      </w:r>
    </w:p>
    <w:p w14:paraId="5C3764BD" w14:textId="1595E484" w:rsidR="00986716" w:rsidRPr="004A0C12" w:rsidRDefault="00986716" w:rsidP="00232F09">
      <w:pPr>
        <w:pStyle w:val="ListParagraph"/>
        <w:numPr>
          <w:ilvl w:val="0"/>
          <w:numId w:val="173"/>
        </w:numPr>
        <w:ind w:left="720"/>
        <w:jc w:val="both"/>
        <w:rPr>
          <w:rFonts w:ascii="Garamond" w:hAnsi="Garamond"/>
          <w:szCs w:val="22"/>
        </w:rPr>
      </w:pPr>
      <w:r w:rsidRPr="004A0C12">
        <w:rPr>
          <w:rFonts w:ascii="Garamond" w:hAnsi="Garamond"/>
          <w:szCs w:val="22"/>
        </w:rPr>
        <w:t>DHR’s Supplemental Nutrition Assistance Program (SNAP)</w:t>
      </w:r>
    </w:p>
    <w:p w14:paraId="5420915B" w14:textId="48B4441B" w:rsidR="00986716" w:rsidRPr="004A0C12" w:rsidRDefault="00986716" w:rsidP="00232F09">
      <w:pPr>
        <w:pStyle w:val="ListParagraph"/>
        <w:numPr>
          <w:ilvl w:val="0"/>
          <w:numId w:val="173"/>
        </w:numPr>
        <w:ind w:left="720"/>
        <w:jc w:val="both"/>
        <w:rPr>
          <w:rFonts w:ascii="Garamond" w:hAnsi="Garamond"/>
          <w:szCs w:val="22"/>
        </w:rPr>
      </w:pPr>
      <w:r w:rsidRPr="004A0C12">
        <w:rPr>
          <w:rFonts w:ascii="Garamond" w:hAnsi="Garamond"/>
          <w:szCs w:val="22"/>
        </w:rPr>
        <w:t>Maryland State Department of Education (MSDE)’s Division of Rehabil</w:t>
      </w:r>
      <w:r w:rsidR="00111048" w:rsidRPr="004A0C12">
        <w:rPr>
          <w:rFonts w:ascii="Garamond" w:hAnsi="Garamond"/>
          <w:szCs w:val="22"/>
        </w:rPr>
        <w:t>itation Services (DORS) Program</w:t>
      </w:r>
    </w:p>
    <w:p w14:paraId="00754314" w14:textId="00D0F965" w:rsidR="00986716" w:rsidRPr="004A0C12" w:rsidRDefault="00986716" w:rsidP="00232F09">
      <w:pPr>
        <w:pStyle w:val="ListParagraph"/>
        <w:numPr>
          <w:ilvl w:val="0"/>
          <w:numId w:val="173"/>
        </w:numPr>
        <w:ind w:left="720"/>
        <w:jc w:val="both"/>
        <w:rPr>
          <w:rFonts w:ascii="Garamond" w:hAnsi="Garamond"/>
          <w:szCs w:val="22"/>
        </w:rPr>
      </w:pPr>
      <w:r w:rsidRPr="004A0C12">
        <w:rPr>
          <w:rFonts w:ascii="Garamond" w:hAnsi="Garamond"/>
          <w:szCs w:val="22"/>
        </w:rPr>
        <w:t>DLLR’s Jobs f</w:t>
      </w:r>
      <w:r w:rsidR="00111048" w:rsidRPr="004A0C12">
        <w:rPr>
          <w:rFonts w:ascii="Garamond" w:hAnsi="Garamond"/>
          <w:szCs w:val="22"/>
        </w:rPr>
        <w:t>or Veterans State Grant Program</w:t>
      </w:r>
    </w:p>
    <w:p w14:paraId="2D9B02C6" w14:textId="477F5C1C" w:rsidR="00986716" w:rsidRPr="004A0C12" w:rsidRDefault="00986716" w:rsidP="00232F09">
      <w:pPr>
        <w:pStyle w:val="ListParagraph"/>
        <w:numPr>
          <w:ilvl w:val="0"/>
          <w:numId w:val="173"/>
        </w:numPr>
        <w:ind w:left="720"/>
        <w:jc w:val="both"/>
        <w:rPr>
          <w:rFonts w:ascii="Garamond" w:hAnsi="Garamond"/>
          <w:szCs w:val="22"/>
        </w:rPr>
      </w:pPr>
      <w:r w:rsidRPr="004A0C12">
        <w:rPr>
          <w:rFonts w:ascii="Garamond" w:hAnsi="Garamond"/>
          <w:szCs w:val="22"/>
        </w:rPr>
        <w:t>DLLR’s Trade Adjus</w:t>
      </w:r>
      <w:r w:rsidR="00111048" w:rsidRPr="004A0C12">
        <w:rPr>
          <w:rFonts w:ascii="Garamond" w:hAnsi="Garamond"/>
          <w:szCs w:val="22"/>
        </w:rPr>
        <w:t>tment Assistance (TAA) Program</w:t>
      </w:r>
    </w:p>
    <w:p w14:paraId="2EC63BBA" w14:textId="77777777" w:rsidR="00986716" w:rsidRPr="004A0C12" w:rsidRDefault="00986716" w:rsidP="00232F09">
      <w:pPr>
        <w:pStyle w:val="ListParagraph"/>
        <w:numPr>
          <w:ilvl w:val="0"/>
          <w:numId w:val="173"/>
        </w:numPr>
        <w:ind w:left="720"/>
        <w:jc w:val="both"/>
        <w:rPr>
          <w:rFonts w:ascii="Garamond" w:hAnsi="Garamond"/>
          <w:szCs w:val="22"/>
        </w:rPr>
      </w:pPr>
      <w:r w:rsidRPr="004A0C12">
        <w:rPr>
          <w:rFonts w:ascii="Garamond" w:hAnsi="Garamond"/>
          <w:szCs w:val="22"/>
        </w:rPr>
        <w:lastRenderedPageBreak/>
        <w:t xml:space="preserve">DHR’s John H. Chafee Foster Care Independence Program. </w:t>
      </w:r>
    </w:p>
    <w:p w14:paraId="35AE2586" w14:textId="77777777" w:rsidR="00111048" w:rsidRPr="004A0C12" w:rsidRDefault="00111048" w:rsidP="00111048">
      <w:pPr>
        <w:pStyle w:val="ListParagraph"/>
        <w:jc w:val="both"/>
        <w:rPr>
          <w:rFonts w:ascii="Garamond" w:hAnsi="Garamond"/>
          <w:szCs w:val="22"/>
        </w:rPr>
      </w:pPr>
    </w:p>
    <w:p w14:paraId="3F142F92" w14:textId="77777777" w:rsidR="00CF5313" w:rsidRPr="004A0C12" w:rsidRDefault="00986716" w:rsidP="00531E51">
      <w:pPr>
        <w:spacing w:after="0" w:line="240" w:lineRule="auto"/>
        <w:jc w:val="both"/>
        <w:rPr>
          <w:rFonts w:ascii="Garamond" w:hAnsi="Garamond" w:cs="Times New Roman"/>
        </w:rPr>
      </w:pPr>
      <w:r w:rsidRPr="004A0C12">
        <w:rPr>
          <w:rFonts w:ascii="Garamond" w:hAnsi="Garamond" w:cs="Times New Roman"/>
        </w:rPr>
        <w:t>Youth participants must meet eligibility criteria for participation within each program before co-enrollment occurs.</w:t>
      </w:r>
    </w:p>
    <w:p w14:paraId="7BA1C616" w14:textId="77777777" w:rsidR="00CF5313" w:rsidRPr="004A0C12" w:rsidRDefault="00CF5313" w:rsidP="00CF5313">
      <w:pPr>
        <w:spacing w:after="100" w:line="240" w:lineRule="auto"/>
        <w:rPr>
          <w:rFonts w:ascii="Garamond" w:eastAsia="Times New Roman" w:hAnsi="Garamond" w:cs="Times New Roman"/>
        </w:rPr>
      </w:pPr>
      <w:r w:rsidRPr="004A0C12">
        <w:rPr>
          <w:rFonts w:ascii="Garamond" w:eastAsia="Times New Roman" w:hAnsi="Garamond" w:cs="Times New Roman"/>
          <w:color w:val="000000"/>
        </w:rPr>
        <w:t>Maryland recognizes that the WIOA system’s mark of success goes beyond the measures required by our federal partners. Utilizing the technical assistance provided to Maryland through its participation in the U.S. Department of Health &amp; Human Services’ Systems to Family Stability National Policy Academy, the WIOA Partners have worked collaboratively to determine how best to measure success.</w:t>
      </w:r>
    </w:p>
    <w:p w14:paraId="62EF9726" w14:textId="77777777" w:rsidR="00CF5313" w:rsidRPr="004A0C12" w:rsidRDefault="00CF5313" w:rsidP="00CF5313">
      <w:pPr>
        <w:pStyle w:val="NormalWeb"/>
        <w:spacing w:before="0" w:beforeAutospacing="0" w:afterAutospacing="0"/>
        <w:rPr>
          <w:rFonts w:ascii="Garamond" w:hAnsi="Garamond"/>
          <w:sz w:val="22"/>
          <w:szCs w:val="22"/>
        </w:rPr>
      </w:pPr>
      <w:r w:rsidRPr="004A0C12">
        <w:rPr>
          <w:rFonts w:ascii="Garamond" w:hAnsi="Garamond"/>
          <w:color w:val="000000"/>
          <w:sz w:val="22"/>
          <w:szCs w:val="22"/>
        </w:rPr>
        <w:t>As Maryland seeks to strengthen and enhance its workforce system through implementation of the State Plan, success requires a commitment to innovation, collaboration, and a true systems approach among the State’s many workforce partners. In order to guide the WIOA Partners in this work, the Benchmarks of Success for Maryland’s Workforce System will set forth a clear vision, goals, and measureable achievements that help define success and lay the core foundation of this new system. These goals and benchmarks are not mere measures, but rather provide a way of thinking systematically about how we deliver services. They reflect Maryland’s dedication to focusing its efforts on people who need the system’s assistance the most. To be clear, the intention of these benchmarks is not to be punitive; but rather, to be forward thinking about what success really means in Maryland.</w:t>
      </w:r>
    </w:p>
    <w:p w14:paraId="083922BF" w14:textId="6C41CC6B" w:rsidR="00CF5313" w:rsidRPr="004A0C12" w:rsidRDefault="00CF5313" w:rsidP="00CF5313">
      <w:pPr>
        <w:spacing w:after="100" w:line="240" w:lineRule="auto"/>
        <w:rPr>
          <w:rFonts w:ascii="Garamond" w:eastAsia="Times New Roman" w:hAnsi="Garamond" w:cs="Times New Roman"/>
        </w:rPr>
      </w:pPr>
      <w:r w:rsidRPr="004A0C12">
        <w:rPr>
          <w:rFonts w:ascii="Garamond" w:eastAsia="Times New Roman" w:hAnsi="Garamond" w:cs="Times New Roman"/>
          <w:color w:val="000000"/>
        </w:rPr>
        <w:t>Utilizing these benchmarks, Maryland will work to create greater opportunities for Maryland’s out-of- school youth through the alignment of the State’s core partner programs.</w:t>
      </w:r>
    </w:p>
    <w:p w14:paraId="186AF59B" w14:textId="0471C20B" w:rsidR="00986716" w:rsidRPr="004A0C12" w:rsidRDefault="00986716" w:rsidP="00531E51">
      <w:pPr>
        <w:spacing w:after="0" w:line="240" w:lineRule="auto"/>
        <w:jc w:val="both"/>
        <w:rPr>
          <w:rFonts w:ascii="Garamond" w:hAnsi="Garamond" w:cs="Times New Roman"/>
        </w:rPr>
      </w:pPr>
      <w:r w:rsidRPr="004A0C12">
        <w:rPr>
          <w:rFonts w:ascii="Garamond" w:hAnsi="Garamond" w:cs="Times New Roman"/>
        </w:rPr>
        <w:t xml:space="preserve"> </w:t>
      </w:r>
    </w:p>
    <w:p w14:paraId="5A5CF5B7" w14:textId="77777777" w:rsidR="00986716" w:rsidRPr="00E64564" w:rsidRDefault="00986716" w:rsidP="00986716">
      <w:pPr>
        <w:pStyle w:val="Heading4"/>
        <w:rPr>
          <w:rFonts w:ascii="Garamond" w:eastAsia="Times New Roman" w:hAnsi="Garamond"/>
          <w:sz w:val="24"/>
          <w:szCs w:val="24"/>
        </w:rPr>
      </w:pPr>
      <w:r w:rsidRPr="00E64564">
        <w:rPr>
          <w:rFonts w:ascii="Garamond" w:eastAsia="Times New Roman" w:hAnsi="Garamond"/>
          <w:sz w:val="24"/>
          <w:szCs w:val="24"/>
        </w:rPr>
        <w:t xml:space="preserve">SELECTING SERVICE PROVIDERS </w:t>
      </w:r>
    </w:p>
    <w:p w14:paraId="3B4B4ABB" w14:textId="77777777" w:rsidR="00986716" w:rsidRPr="004A0C12" w:rsidRDefault="00986716" w:rsidP="00986716">
      <w:pPr>
        <w:spacing w:after="0" w:line="240" w:lineRule="auto"/>
        <w:jc w:val="both"/>
        <w:rPr>
          <w:rFonts w:ascii="Garamond" w:hAnsi="Garamond" w:cs="Times New Roman"/>
        </w:rPr>
      </w:pPr>
      <w:r w:rsidRPr="004A0C12">
        <w:rPr>
          <w:rFonts w:ascii="Garamond" w:hAnsi="Garamond" w:cs="Times New Roman"/>
        </w:rPr>
        <w:t xml:space="preserve">DLLR encourages Local Boards to develop formal partnerships, through a competitive process, to select WIOA Youth Program service providers that will allow multiple agencies and organizations to fund different aspects of the WIOA Youth Program. Each local system of services can be coordinated through a combination of contracts and Memoranda of Understanding (MOUs) between the participating entities. As a result of this strategy, funds from federal agencies like the Department of Justice (under programs for incarcerated youth on probation) or the Department of Health and Human Services (under programs for homeless or foster youth), or other USDOL programs (WIOA Title II Adult Education programs) could be leveraged to provide certain services for WIOA Youth Program participants to help them reach their educational and career goals.  </w:t>
      </w:r>
    </w:p>
    <w:p w14:paraId="527EB09D" w14:textId="77777777" w:rsidR="00986716" w:rsidRPr="004A0C12" w:rsidRDefault="00986716" w:rsidP="00986716">
      <w:pPr>
        <w:spacing w:after="0" w:line="240" w:lineRule="auto"/>
        <w:jc w:val="both"/>
        <w:rPr>
          <w:rFonts w:ascii="Garamond" w:hAnsi="Garamond" w:cs="Times New Roman"/>
        </w:rPr>
      </w:pPr>
    </w:p>
    <w:p w14:paraId="614A5837" w14:textId="77777777" w:rsidR="00986716" w:rsidRPr="004A0C12" w:rsidRDefault="00986716" w:rsidP="00986716">
      <w:pPr>
        <w:spacing w:after="0" w:line="240" w:lineRule="auto"/>
        <w:jc w:val="both"/>
        <w:rPr>
          <w:rFonts w:ascii="Garamond" w:eastAsia="Times New Roman" w:hAnsi="Garamond" w:cs="Times New Roman"/>
          <w:color w:val="FF0000"/>
        </w:rPr>
      </w:pPr>
      <w:r w:rsidRPr="004A0C12">
        <w:rPr>
          <w:rFonts w:ascii="Garamond" w:hAnsi="Garamond" w:cs="Times New Roman"/>
        </w:rPr>
        <w:t xml:space="preserve">In granting or contracting WIOA Youth Program services, Local Boards must award grants or contracts on a competitive basis to providers of youth workforce investment activities identified based on the criteria identified in the State Plan and taking into consideration the ability of the providers to meet performance accountability measures. </w:t>
      </w:r>
      <w:r w:rsidRPr="004A0C12">
        <w:rPr>
          <w:rFonts w:ascii="Garamond" w:eastAsia="Times New Roman" w:hAnsi="Garamond" w:cs="Times New Roman"/>
        </w:rPr>
        <w:t>In an effort to foster WIOA partnerships, DLLR has a preference for the Title II Adult Education service providers for instruction to help youth participants prepare for the GED</w:t>
      </w:r>
      <w:r w:rsidRPr="004A0C12">
        <w:rPr>
          <w:rFonts w:ascii="Garamond" w:hAnsi="Garamond" w:cs="Times New Roman"/>
        </w:rPr>
        <w:t>®</w:t>
      </w:r>
      <w:r w:rsidRPr="004A0C12">
        <w:rPr>
          <w:rFonts w:ascii="Garamond" w:eastAsia="Times New Roman" w:hAnsi="Garamond" w:cs="Times New Roman"/>
        </w:rPr>
        <w:t xml:space="preserve"> and National External Diploma Program® (NEDP®) programs.</w:t>
      </w:r>
    </w:p>
    <w:p w14:paraId="7C27265F" w14:textId="77777777" w:rsidR="00986716" w:rsidRPr="004A0C12" w:rsidRDefault="00986716" w:rsidP="00986716">
      <w:pPr>
        <w:spacing w:after="0" w:line="240" w:lineRule="auto"/>
        <w:jc w:val="both"/>
        <w:rPr>
          <w:rFonts w:ascii="Garamond" w:hAnsi="Garamond" w:cs="Times New Roman"/>
        </w:rPr>
      </w:pPr>
    </w:p>
    <w:p w14:paraId="04F7F60A" w14:textId="3EB0BF10" w:rsidR="00986716" w:rsidRPr="004A0C12" w:rsidRDefault="00986716" w:rsidP="00986716">
      <w:pPr>
        <w:spacing w:after="0" w:line="240" w:lineRule="auto"/>
        <w:jc w:val="both"/>
        <w:rPr>
          <w:rFonts w:ascii="Garamond" w:hAnsi="Garamond" w:cs="Times New Roman"/>
        </w:rPr>
      </w:pPr>
      <w:r w:rsidRPr="004A0C12">
        <w:rPr>
          <w:rFonts w:ascii="Garamond" w:hAnsi="Garamond" w:cs="Times New Roman"/>
        </w:rPr>
        <w:t xml:space="preserve">A Local Board may award grants or contracts on a sole-source basis only if it determines there is an insufficient number of eligible providers of youth workforce </w:t>
      </w:r>
      <w:r w:rsidR="00111048" w:rsidRPr="004A0C12">
        <w:rPr>
          <w:rFonts w:ascii="Garamond" w:hAnsi="Garamond" w:cs="Times New Roman"/>
        </w:rPr>
        <w:t xml:space="preserve">investment activities in the Local </w:t>
      </w:r>
      <w:r w:rsidRPr="004A0C12">
        <w:rPr>
          <w:rFonts w:ascii="Garamond" w:hAnsi="Garamond" w:cs="Times New Roman"/>
        </w:rPr>
        <w:t>A</w:t>
      </w:r>
      <w:r w:rsidR="00111048" w:rsidRPr="004A0C12">
        <w:rPr>
          <w:rFonts w:ascii="Garamond" w:hAnsi="Garamond" w:cs="Times New Roman"/>
        </w:rPr>
        <w:t>rea</w:t>
      </w:r>
      <w:r w:rsidRPr="004A0C12">
        <w:rPr>
          <w:rFonts w:ascii="Garamond" w:hAnsi="Garamond" w:cs="Times New Roman"/>
        </w:rPr>
        <w:t xml:space="preserve"> (such as a rural area) for grants and contracts to be awarded on a competitive basis. </w:t>
      </w:r>
    </w:p>
    <w:p w14:paraId="37A683EC" w14:textId="77777777" w:rsidR="00986716" w:rsidRPr="004A0C12" w:rsidRDefault="00986716" w:rsidP="00986716">
      <w:pPr>
        <w:spacing w:after="0" w:line="240" w:lineRule="auto"/>
        <w:rPr>
          <w:rFonts w:ascii="Garamond" w:eastAsia="Times New Roman" w:hAnsi="Garamond" w:cs="Times New Roman"/>
        </w:rPr>
      </w:pPr>
    </w:p>
    <w:p w14:paraId="0A1FC79C" w14:textId="2CD0FA02"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It is important to incorporate the major changes in WIOA in</w:t>
      </w:r>
      <w:r w:rsidR="00111048" w:rsidRPr="004A0C12">
        <w:rPr>
          <w:rFonts w:ascii="Garamond" w:eastAsia="Times New Roman" w:hAnsi="Garamond" w:cs="Times New Roman"/>
        </w:rPr>
        <w:t>to Requests for Proposals</w:t>
      </w:r>
      <w:r w:rsidRPr="004A0C12">
        <w:rPr>
          <w:rFonts w:ascii="Garamond" w:eastAsia="Times New Roman" w:hAnsi="Garamond" w:cs="Times New Roman"/>
        </w:rPr>
        <w:t xml:space="preserve"> and youth provider contracts imm</w:t>
      </w:r>
      <w:r w:rsidR="00111048" w:rsidRPr="004A0C12">
        <w:rPr>
          <w:rFonts w:ascii="Garamond" w:eastAsia="Times New Roman" w:hAnsi="Garamond" w:cs="Times New Roman"/>
        </w:rPr>
        <w:t>ediately. For example, if a Local Area</w:t>
      </w:r>
      <w:r w:rsidRPr="004A0C12">
        <w:rPr>
          <w:rFonts w:ascii="Garamond" w:eastAsia="Times New Roman" w:hAnsi="Garamond" w:cs="Times New Roman"/>
        </w:rPr>
        <w:t xml:space="preserve"> issues separate </w:t>
      </w:r>
      <w:r w:rsidR="00111048" w:rsidRPr="004A0C12">
        <w:rPr>
          <w:rFonts w:ascii="Garamond" w:eastAsia="Times New Roman" w:hAnsi="Garamond" w:cs="Times New Roman"/>
        </w:rPr>
        <w:t>Requests for Proposals</w:t>
      </w:r>
      <w:r w:rsidRPr="004A0C12">
        <w:rPr>
          <w:rFonts w:ascii="Garamond" w:eastAsia="Times New Roman" w:hAnsi="Garamond" w:cs="Times New Roman"/>
        </w:rPr>
        <w:t xml:space="preserve"> for </w:t>
      </w:r>
      <w:r w:rsidR="00111048" w:rsidRPr="004A0C12">
        <w:rPr>
          <w:rFonts w:ascii="Garamond" w:eastAsia="Times New Roman" w:hAnsi="Garamond" w:cs="Times New Roman"/>
        </w:rPr>
        <w:t>in-school y</w:t>
      </w:r>
      <w:r w:rsidRPr="004A0C12">
        <w:rPr>
          <w:rFonts w:ascii="Garamond" w:eastAsia="Times New Roman" w:hAnsi="Garamond" w:cs="Times New Roman"/>
        </w:rPr>
        <w:t xml:space="preserve">outh and </w:t>
      </w:r>
      <w:r w:rsidR="00111048" w:rsidRPr="004A0C12">
        <w:rPr>
          <w:rFonts w:ascii="Garamond" w:eastAsia="Times New Roman" w:hAnsi="Garamond" w:cs="Times New Roman"/>
        </w:rPr>
        <w:t>out-of-school youth</w:t>
      </w:r>
      <w:r w:rsidRPr="004A0C12">
        <w:rPr>
          <w:rFonts w:ascii="Garamond" w:eastAsia="Times New Roman" w:hAnsi="Garamond" w:cs="Times New Roman"/>
        </w:rPr>
        <w:t>, they should be structured in a way to ensure LWDAs are moving toward implementation of the 75 per</w:t>
      </w:r>
      <w:r w:rsidR="00111048" w:rsidRPr="004A0C12">
        <w:rPr>
          <w:rFonts w:ascii="Garamond" w:eastAsia="Times New Roman" w:hAnsi="Garamond" w:cs="Times New Roman"/>
        </w:rPr>
        <w:t xml:space="preserve">cent OSY expenditure minimum. Local </w:t>
      </w:r>
      <w:r w:rsidRPr="004A0C12">
        <w:rPr>
          <w:rFonts w:ascii="Garamond" w:eastAsia="Times New Roman" w:hAnsi="Garamond" w:cs="Times New Roman"/>
        </w:rPr>
        <w:t>A</w:t>
      </w:r>
      <w:r w:rsidR="00111048" w:rsidRPr="004A0C12">
        <w:rPr>
          <w:rFonts w:ascii="Garamond" w:eastAsia="Times New Roman" w:hAnsi="Garamond" w:cs="Times New Roman"/>
        </w:rPr>
        <w:t>rea</w:t>
      </w:r>
      <w:r w:rsidRPr="004A0C12">
        <w:rPr>
          <w:rFonts w:ascii="Garamond" w:eastAsia="Times New Roman" w:hAnsi="Garamond" w:cs="Times New Roman"/>
        </w:rPr>
        <w:t xml:space="preserve">s should similarly incorporate the 20 percent work experience expenditure minimum into RFPs and new service provider contracts. </w:t>
      </w:r>
    </w:p>
    <w:p w14:paraId="00395B1B" w14:textId="77777777" w:rsidR="00986716" w:rsidRPr="004A0C12" w:rsidRDefault="00986716" w:rsidP="00986716">
      <w:pPr>
        <w:spacing w:after="0" w:line="240" w:lineRule="auto"/>
        <w:jc w:val="both"/>
        <w:rPr>
          <w:rFonts w:ascii="Garamond" w:eastAsia="Times New Roman" w:hAnsi="Garamond" w:cs="Times New Roman"/>
        </w:rPr>
      </w:pPr>
    </w:p>
    <w:p w14:paraId="3368CD76" w14:textId="1B758422"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For DLLR’s records, L</w:t>
      </w:r>
      <w:r w:rsidR="00111048" w:rsidRPr="004A0C12">
        <w:rPr>
          <w:rFonts w:ascii="Garamond" w:eastAsia="Times New Roman" w:hAnsi="Garamond" w:cs="Times New Roman"/>
        </w:rPr>
        <w:t xml:space="preserve">ocal </w:t>
      </w:r>
      <w:r w:rsidRPr="004A0C12">
        <w:rPr>
          <w:rFonts w:ascii="Garamond" w:eastAsia="Times New Roman" w:hAnsi="Garamond" w:cs="Times New Roman"/>
        </w:rPr>
        <w:t>A</w:t>
      </w:r>
      <w:r w:rsidR="00111048" w:rsidRPr="004A0C12">
        <w:rPr>
          <w:rFonts w:ascii="Garamond" w:eastAsia="Times New Roman" w:hAnsi="Garamond" w:cs="Times New Roman"/>
        </w:rPr>
        <w:t>rea</w:t>
      </w:r>
      <w:r w:rsidRPr="004A0C12">
        <w:rPr>
          <w:rFonts w:ascii="Garamond" w:eastAsia="Times New Roman" w:hAnsi="Garamond" w:cs="Times New Roman"/>
        </w:rPr>
        <w:t>s must provide DLLR with timely copies of the selected service providers’ contracts or grant</w:t>
      </w:r>
      <w:r w:rsidR="00111048" w:rsidRPr="004A0C12">
        <w:rPr>
          <w:rFonts w:ascii="Garamond" w:eastAsia="Times New Roman" w:hAnsi="Garamond" w:cs="Times New Roman"/>
        </w:rPr>
        <w:t xml:space="preserve"> agreements. DLLR encourages Local </w:t>
      </w:r>
      <w:r w:rsidRPr="004A0C12">
        <w:rPr>
          <w:rFonts w:ascii="Garamond" w:eastAsia="Times New Roman" w:hAnsi="Garamond" w:cs="Times New Roman"/>
        </w:rPr>
        <w:t>A</w:t>
      </w:r>
      <w:r w:rsidR="00111048" w:rsidRPr="004A0C12">
        <w:rPr>
          <w:rFonts w:ascii="Garamond" w:eastAsia="Times New Roman" w:hAnsi="Garamond" w:cs="Times New Roman"/>
        </w:rPr>
        <w:t>rea</w:t>
      </w:r>
      <w:r w:rsidRPr="004A0C12">
        <w:rPr>
          <w:rFonts w:ascii="Garamond" w:eastAsia="Times New Roman" w:hAnsi="Garamond" w:cs="Times New Roman"/>
        </w:rPr>
        <w:t>s that grant or contract out Youth Program services to include DLLR’s Youth &amp; D</w:t>
      </w:r>
      <w:r w:rsidR="00111048" w:rsidRPr="004A0C12">
        <w:rPr>
          <w:rFonts w:ascii="Garamond" w:eastAsia="Times New Roman" w:hAnsi="Garamond" w:cs="Times New Roman"/>
        </w:rPr>
        <w:t>isability Coordinator in the Requests for Proposal</w:t>
      </w:r>
      <w:r w:rsidRPr="004A0C12">
        <w:rPr>
          <w:rFonts w:ascii="Garamond" w:eastAsia="Times New Roman" w:hAnsi="Garamond" w:cs="Times New Roman"/>
        </w:rPr>
        <w:t xml:space="preserve"> evaluation and selection process. </w:t>
      </w:r>
    </w:p>
    <w:p w14:paraId="569EF99D" w14:textId="77777777" w:rsidR="00986716" w:rsidRPr="004A0C12" w:rsidRDefault="00986716" w:rsidP="00986716">
      <w:pPr>
        <w:pStyle w:val="Heading5"/>
        <w:rPr>
          <w:rFonts w:ascii="Garamond" w:eastAsia="Times New Roman" w:hAnsi="Garamond"/>
          <w:color w:val="000000"/>
        </w:rPr>
      </w:pPr>
      <w:r w:rsidRPr="004A0C12">
        <w:rPr>
          <w:rFonts w:ascii="Garamond" w:eastAsia="Times New Roman" w:hAnsi="Garamond"/>
        </w:rPr>
        <w:t>OPTION-YEAR CONTRACTS</w:t>
      </w:r>
    </w:p>
    <w:p w14:paraId="2BDAEAC8" w14:textId="6AFE22E5"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 xml:space="preserve">LWDAs must incorporate WIOA requirements by amending or modifying the option years of current contracts, provided that such changes are permissible under the contract (i.e., if the contract includes legislation, regulation, or requirements). In </w:t>
      </w:r>
      <w:r w:rsidRPr="004A0C12">
        <w:rPr>
          <w:rFonts w:ascii="Garamond" w:eastAsia="Times New Roman" w:hAnsi="Garamond" w:cs="Times New Roman"/>
        </w:rPr>
        <w:lastRenderedPageBreak/>
        <w:t>competing new contract</w:t>
      </w:r>
      <w:r w:rsidR="00111048" w:rsidRPr="004A0C12">
        <w:rPr>
          <w:rFonts w:ascii="Garamond" w:eastAsia="Times New Roman" w:hAnsi="Garamond" w:cs="Times New Roman"/>
        </w:rPr>
        <w:t>s, USDOL and DLLR encourage Local Area</w:t>
      </w:r>
      <w:r w:rsidRPr="004A0C12">
        <w:rPr>
          <w:rFonts w:ascii="Garamond" w:eastAsia="Times New Roman" w:hAnsi="Garamond" w:cs="Times New Roman"/>
        </w:rPr>
        <w:t xml:space="preserve">s to employ one-year contracts which may contain additional option years, rather than multi-year contracts, at the beginning of WIOA implementation. Given how resource-intensive the </w:t>
      </w:r>
      <w:r w:rsidR="00111048" w:rsidRPr="004A0C12">
        <w:rPr>
          <w:rFonts w:ascii="Garamond" w:eastAsia="Times New Roman" w:hAnsi="Garamond" w:cs="Times New Roman"/>
        </w:rPr>
        <w:t>Requests for Proposal</w:t>
      </w:r>
      <w:r w:rsidRPr="004A0C12">
        <w:rPr>
          <w:rFonts w:ascii="Garamond" w:eastAsia="Times New Roman" w:hAnsi="Garamond" w:cs="Times New Roman"/>
        </w:rPr>
        <w:t xml:space="preserve"> process may be, option year contracts are a strategy to ensure maximum flexibility while final regulations are published and program guidance is issued. They also prov</w:t>
      </w:r>
      <w:r w:rsidR="00111048" w:rsidRPr="004A0C12">
        <w:rPr>
          <w:rFonts w:ascii="Garamond" w:eastAsia="Times New Roman" w:hAnsi="Garamond" w:cs="Times New Roman"/>
        </w:rPr>
        <w:t>ide added flexibility to Local Area</w:t>
      </w:r>
      <w:r w:rsidRPr="004A0C12">
        <w:rPr>
          <w:rFonts w:ascii="Garamond" w:eastAsia="Times New Roman" w:hAnsi="Garamond" w:cs="Times New Roman"/>
        </w:rPr>
        <w:t xml:space="preserve">s during a time of transition when regulations and guidance will be issued that could provide information necessary for future service provider contracts. </w:t>
      </w:r>
    </w:p>
    <w:p w14:paraId="086DBFF8" w14:textId="77777777" w:rsidR="00986716" w:rsidRPr="00E64564" w:rsidRDefault="00986716" w:rsidP="00986716">
      <w:pPr>
        <w:pStyle w:val="Heading4"/>
        <w:rPr>
          <w:rFonts w:ascii="Garamond" w:eastAsia="Times New Roman" w:hAnsi="Garamond"/>
          <w:sz w:val="24"/>
          <w:szCs w:val="24"/>
        </w:rPr>
      </w:pPr>
      <w:r w:rsidRPr="00E64564">
        <w:rPr>
          <w:rFonts w:ascii="Garamond" w:eastAsia="Times New Roman" w:hAnsi="Garamond"/>
          <w:sz w:val="24"/>
          <w:szCs w:val="24"/>
        </w:rPr>
        <w:t xml:space="preserve">OBJECTIVE ASSESSMENT </w:t>
      </w:r>
    </w:p>
    <w:p w14:paraId="756A413E" w14:textId="2A91B545"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Once eligi</w:t>
      </w:r>
      <w:r w:rsidR="00111048" w:rsidRPr="004A0C12">
        <w:rPr>
          <w:rFonts w:ascii="Garamond" w:eastAsia="Times New Roman" w:hAnsi="Garamond" w:cs="Times New Roman"/>
        </w:rPr>
        <w:t>bility has been determined, Local Area</w:t>
      </w:r>
      <w:r w:rsidRPr="004A0C12">
        <w:rPr>
          <w:rFonts w:ascii="Garamond" w:eastAsia="Times New Roman" w:hAnsi="Garamond" w:cs="Times New Roman"/>
        </w:rPr>
        <w:t xml:space="preserve">s shall ensure that each WIOA Youth Program provider consistently conducts an objective assessment of each participant’s academic levels, skill levels, and service needs to properly identify the appropriate services and career pathways. </w:t>
      </w:r>
    </w:p>
    <w:p w14:paraId="0855D18D" w14:textId="77777777" w:rsidR="00986716" w:rsidRPr="004A0C12" w:rsidRDefault="00986716" w:rsidP="00986716">
      <w:pPr>
        <w:spacing w:after="0" w:line="240" w:lineRule="auto"/>
        <w:jc w:val="both"/>
        <w:rPr>
          <w:rFonts w:ascii="Garamond" w:eastAsia="Times New Roman" w:hAnsi="Garamond" w:cs="Times New Roman"/>
        </w:rPr>
      </w:pPr>
    </w:p>
    <w:p w14:paraId="5F54C299" w14:textId="77777777"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The assessment must include a review of:</w:t>
      </w:r>
    </w:p>
    <w:p w14:paraId="51BA4026" w14:textId="77777777" w:rsidR="00986716" w:rsidRPr="004A0C12" w:rsidRDefault="00986716" w:rsidP="00986716">
      <w:pPr>
        <w:spacing w:after="0" w:line="240" w:lineRule="auto"/>
        <w:jc w:val="both"/>
        <w:rPr>
          <w:rFonts w:ascii="Garamond" w:eastAsia="Times New Roman" w:hAnsi="Garamond" w:cs="Times New Roman"/>
        </w:rPr>
      </w:pPr>
    </w:p>
    <w:p w14:paraId="713BC01A" w14:textId="7D34D30B" w:rsidR="00986716" w:rsidRPr="004A0C12" w:rsidRDefault="00111048" w:rsidP="00232F09">
      <w:pPr>
        <w:numPr>
          <w:ilvl w:val="0"/>
          <w:numId w:val="174"/>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Basic skills</w:t>
      </w:r>
      <w:r w:rsidR="00986716" w:rsidRPr="004A0C12">
        <w:rPr>
          <w:rFonts w:ascii="Garamond" w:eastAsia="Times New Roman" w:hAnsi="Garamond" w:cs="Times New Roman"/>
        </w:rPr>
        <w:t xml:space="preserve"> </w:t>
      </w:r>
    </w:p>
    <w:p w14:paraId="1C459E88" w14:textId="0E2CA54E" w:rsidR="00986716" w:rsidRPr="004A0C12" w:rsidRDefault="00111048" w:rsidP="00232F09">
      <w:pPr>
        <w:numPr>
          <w:ilvl w:val="0"/>
          <w:numId w:val="174"/>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Occupational skills</w:t>
      </w:r>
    </w:p>
    <w:p w14:paraId="35DF8F43" w14:textId="443F39BC" w:rsidR="00986716" w:rsidRPr="004A0C12" w:rsidRDefault="00111048" w:rsidP="00232F09">
      <w:pPr>
        <w:numPr>
          <w:ilvl w:val="0"/>
          <w:numId w:val="174"/>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Prior work experience</w:t>
      </w:r>
    </w:p>
    <w:p w14:paraId="5C87DE98" w14:textId="58318F6C" w:rsidR="00986716" w:rsidRPr="004A0C12" w:rsidRDefault="00111048" w:rsidP="00232F09">
      <w:pPr>
        <w:numPr>
          <w:ilvl w:val="0"/>
          <w:numId w:val="174"/>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Employability</w:t>
      </w:r>
      <w:r w:rsidR="00986716" w:rsidRPr="004A0C12">
        <w:rPr>
          <w:rFonts w:ascii="Garamond" w:eastAsia="Times New Roman" w:hAnsi="Garamond" w:cs="Times New Roman"/>
          <w:vertAlign w:val="superscript"/>
        </w:rPr>
        <w:footnoteReference w:id="39"/>
      </w:r>
    </w:p>
    <w:p w14:paraId="63736494" w14:textId="4C346224" w:rsidR="00986716" w:rsidRPr="004A0C12" w:rsidRDefault="00111048" w:rsidP="00232F09">
      <w:pPr>
        <w:numPr>
          <w:ilvl w:val="0"/>
          <w:numId w:val="174"/>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Interests</w:t>
      </w:r>
    </w:p>
    <w:p w14:paraId="5CE6692A" w14:textId="10A5D985" w:rsidR="00986716" w:rsidRPr="004A0C12" w:rsidRDefault="00986716" w:rsidP="00232F09">
      <w:pPr>
        <w:numPr>
          <w:ilvl w:val="0"/>
          <w:numId w:val="174"/>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Aptitudes, including interests and aptitudes for nontraditional jobs</w:t>
      </w:r>
      <w:r w:rsidRPr="004A0C12">
        <w:rPr>
          <w:rFonts w:ascii="Garamond" w:eastAsia="Times New Roman" w:hAnsi="Garamond" w:cs="Times New Roman"/>
          <w:vertAlign w:val="superscript"/>
        </w:rPr>
        <w:footnoteReference w:id="40"/>
      </w:r>
    </w:p>
    <w:p w14:paraId="0E5D6393" w14:textId="7B7E22CE" w:rsidR="00986716" w:rsidRPr="004A0C12" w:rsidRDefault="00111048" w:rsidP="00232F09">
      <w:pPr>
        <w:numPr>
          <w:ilvl w:val="0"/>
          <w:numId w:val="174"/>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Supportive service needs</w:t>
      </w:r>
    </w:p>
    <w:p w14:paraId="2FC1C6C9" w14:textId="66CF5081" w:rsidR="00986716" w:rsidRPr="004A0C12" w:rsidRDefault="00111048" w:rsidP="00232F09">
      <w:pPr>
        <w:numPr>
          <w:ilvl w:val="0"/>
          <w:numId w:val="174"/>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Developmental needs</w:t>
      </w:r>
    </w:p>
    <w:p w14:paraId="37F3D254" w14:textId="77777777" w:rsidR="00986716" w:rsidRPr="004A0C12" w:rsidRDefault="00986716" w:rsidP="00986716">
      <w:pPr>
        <w:spacing w:after="0" w:line="240" w:lineRule="auto"/>
        <w:jc w:val="both"/>
        <w:rPr>
          <w:rFonts w:ascii="Garamond" w:eastAsia="Times New Roman" w:hAnsi="Garamond" w:cs="Times New Roman"/>
        </w:rPr>
      </w:pPr>
    </w:p>
    <w:p w14:paraId="1FD8BB08" w14:textId="77777777" w:rsidR="00986716" w:rsidRPr="004A0C12" w:rsidRDefault="00986716" w:rsidP="00986716">
      <w:pPr>
        <w:spacing w:after="0" w:line="240" w:lineRule="auto"/>
        <w:jc w:val="both"/>
        <w:rPr>
          <w:rFonts w:ascii="Garamond" w:eastAsia="Times New Roman" w:hAnsi="Garamond" w:cs="Times New Roman"/>
          <w:color w:val="FF0000"/>
        </w:rPr>
      </w:pPr>
      <w:r w:rsidRPr="004A0C12">
        <w:rPr>
          <w:rFonts w:ascii="Garamond" w:eastAsia="Times New Roman" w:hAnsi="Garamond" w:cs="Times New Roman"/>
        </w:rPr>
        <w:t>If the participant has been assessed by a provider to pursue another education or training program within the last year, the WIOA Youth Program provider may use that existing assessment to fulfill program requirements. When used, the provider must retain copies of previous assessment(s) and/or assessment result(s) in the participant’s case file.</w:t>
      </w:r>
    </w:p>
    <w:p w14:paraId="588BE591" w14:textId="7F5E55BD" w:rsidR="00986716" w:rsidRPr="00E64564" w:rsidRDefault="00986716" w:rsidP="00986716">
      <w:pPr>
        <w:pStyle w:val="Heading4"/>
        <w:rPr>
          <w:rFonts w:ascii="Garamond" w:eastAsia="Times New Roman" w:hAnsi="Garamond"/>
          <w:sz w:val="24"/>
          <w:szCs w:val="24"/>
        </w:rPr>
      </w:pPr>
      <w:r w:rsidRPr="00E64564">
        <w:rPr>
          <w:rFonts w:ascii="Garamond" w:eastAsia="Times New Roman" w:hAnsi="Garamond"/>
          <w:sz w:val="24"/>
          <w:szCs w:val="24"/>
        </w:rPr>
        <w:t>INDIVI</w:t>
      </w:r>
      <w:r w:rsidR="00111048" w:rsidRPr="00E64564">
        <w:rPr>
          <w:rFonts w:ascii="Garamond" w:eastAsia="Times New Roman" w:hAnsi="Garamond"/>
          <w:sz w:val="24"/>
          <w:szCs w:val="24"/>
        </w:rPr>
        <w:t xml:space="preserve">DUALIZED SERVICE STRATEGY </w:t>
      </w:r>
    </w:p>
    <w:p w14:paraId="09F2C658" w14:textId="6D97FFE8" w:rsidR="00986716" w:rsidRPr="004A0C12" w:rsidRDefault="00986716" w:rsidP="00986716">
      <w:pPr>
        <w:spacing w:line="240" w:lineRule="auto"/>
        <w:contextualSpacing/>
        <w:jc w:val="both"/>
        <w:rPr>
          <w:rFonts w:ascii="Garamond" w:eastAsia="Times New Roman" w:hAnsi="Garamond" w:cs="Times New Roman"/>
        </w:rPr>
      </w:pPr>
      <w:r w:rsidRPr="004A0C12">
        <w:rPr>
          <w:rFonts w:ascii="Garamond" w:eastAsia="Times New Roman" w:hAnsi="Garamond" w:cs="Times New Roman"/>
        </w:rPr>
        <w:t>The Indiv</w:t>
      </w:r>
      <w:r w:rsidR="00111048" w:rsidRPr="004A0C12">
        <w:rPr>
          <w:rFonts w:ascii="Garamond" w:eastAsia="Times New Roman" w:hAnsi="Garamond" w:cs="Times New Roman"/>
        </w:rPr>
        <w:t>idualized Service Strategy</w:t>
      </w:r>
      <w:r w:rsidRPr="004A0C12">
        <w:rPr>
          <w:rFonts w:ascii="Garamond" w:eastAsia="Times New Roman" w:hAnsi="Garamond" w:cs="Times New Roman"/>
        </w:rPr>
        <w:t xml:space="preserve"> serves as a guide for both the participant and staff by outlining the necessary and recommended next steps. Through the ISS, staff should aim to identify the appropriate combination and sequence of services to help the participant fulfill goals and program requirements. </w:t>
      </w:r>
      <w:r w:rsidR="00111048" w:rsidRPr="004A0C12">
        <w:rPr>
          <w:rFonts w:ascii="Garamond" w:eastAsia="Times New Roman" w:hAnsi="Garamond" w:cs="Times New Roman"/>
        </w:rPr>
        <w:t xml:space="preserve">It is vital that staff interpret assessment results and incorporate those results into service planning and activities. </w:t>
      </w:r>
      <w:r w:rsidRPr="004A0C12">
        <w:rPr>
          <w:rFonts w:ascii="Garamond" w:eastAsia="Times New Roman" w:hAnsi="Garamond" w:cs="Times New Roman"/>
        </w:rPr>
        <w:t xml:space="preserve">This will help to ensure that youth achieve established goals and obtain desired career and educational outcomes. Taking into account individual needs, abilities and goals, the </w:t>
      </w:r>
      <w:r w:rsidR="00111048" w:rsidRPr="004A0C12">
        <w:rPr>
          <w:rFonts w:ascii="Garamond" w:eastAsia="Times New Roman" w:hAnsi="Garamond" w:cs="Times New Roman"/>
        </w:rPr>
        <w:t>Individualized Service Strategy</w:t>
      </w:r>
      <w:r w:rsidRPr="004A0C12">
        <w:rPr>
          <w:rFonts w:ascii="Garamond" w:eastAsia="Times New Roman" w:hAnsi="Garamond" w:cs="Times New Roman"/>
        </w:rPr>
        <w:t xml:space="preserve"> must map out anticipated progress.                  </w:t>
      </w:r>
    </w:p>
    <w:p w14:paraId="41AFC934" w14:textId="77777777" w:rsidR="00986716" w:rsidRPr="004A0C12" w:rsidRDefault="00986716" w:rsidP="00986716">
      <w:pPr>
        <w:spacing w:line="240" w:lineRule="auto"/>
        <w:contextualSpacing/>
        <w:jc w:val="both"/>
        <w:rPr>
          <w:rFonts w:ascii="Garamond" w:eastAsia="Times New Roman" w:hAnsi="Garamond" w:cs="Times New Roman"/>
        </w:rPr>
      </w:pPr>
      <w:r w:rsidRPr="004A0C12">
        <w:rPr>
          <w:rFonts w:ascii="Garamond" w:eastAsia="Times New Roman" w:hAnsi="Garamond" w:cs="Times New Roman"/>
        </w:rPr>
        <w:t xml:space="preserve">                                                                                                                                                                                  </w:t>
      </w:r>
    </w:p>
    <w:p w14:paraId="47FC2A6C" w14:textId="77777777" w:rsidR="00CF5313" w:rsidRPr="004A0C12" w:rsidRDefault="00CF5313" w:rsidP="00CF5313">
      <w:pPr>
        <w:spacing w:after="100" w:line="240" w:lineRule="auto"/>
        <w:rPr>
          <w:rFonts w:ascii="Garamond" w:eastAsia="Times New Roman" w:hAnsi="Garamond" w:cs="Times New Roman"/>
        </w:rPr>
      </w:pPr>
      <w:r w:rsidRPr="004A0C12">
        <w:rPr>
          <w:rFonts w:ascii="Garamond" w:eastAsia="Times New Roman" w:hAnsi="Garamond" w:cs="Times New Roman"/>
          <w:color w:val="000000"/>
        </w:rPr>
        <w:t>Local Areas must ensure that each WIOA Youth Program provider consistently conducts an objective assessment of each participant’s academic levels, skill levels, and service needs to properly identify the appropriate services and career pathways. The assessment must include a review of: basic skills; occupational skills; prior work experience; employability; interests; aptitudes, including interests and aptitudes for nontraditional jobs; supportive service needs; and, developmental needs. If the participant has been assessed by a provider to pursue another education or training program within the last year, the WIOA Youth Program provider may use that existing assessment to fulfill program requirements. When used, the provider must retain copies of previous assessment(s) and/or assessment result(s) in the participant’s case file.</w:t>
      </w:r>
    </w:p>
    <w:p w14:paraId="7FEB9CDF" w14:textId="43FA427D" w:rsidR="00986716" w:rsidRPr="004A0C12" w:rsidRDefault="00CF5313" w:rsidP="00986716">
      <w:p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color w:val="000000"/>
        </w:rPr>
        <w:t xml:space="preserve">The Individualized Service Strategy (ISS) serves as a guide for both the participant and staff by outlining the necessary and recommended next steps. Through the ISS, staff should aim to identify the appropriate combination and sequence of services to help the participant fulfill goals and program requirements. It is vital that staff interpret assessment results and incorporate those results into service planning and activities. This will help to ensure that youth achieve established goals and obtain desired career and educational outcomes. Taking into account individual needs, abilities and goals, the Individualized Service Strategy must map out anticipated progress. Local Areas must ensure that each WIOA Youth Program provider develops an Individualized Service </w:t>
      </w:r>
      <w:r w:rsidRPr="004A0C12">
        <w:rPr>
          <w:rFonts w:ascii="Garamond" w:eastAsia="Times New Roman" w:hAnsi="Garamond" w:cs="Times New Roman"/>
          <w:color w:val="000000"/>
        </w:rPr>
        <w:lastRenderedPageBreak/>
        <w:t>Strategy with each youth participant after he or she has been objectively assessed. When developing the Individualized Service Strategy, the Youth Program career planner and participant must jointly take the objective assessment results into account. The career planner must also take the performance measures into account when developing goals for the Individualized Service Strategy. In the Individualized Service Strategy, career pathways must be identified and must, at a minimum, include an examination of short-term and long-term: education goals; employment goals; appropriate achievement objectives or benchmarks/milestones; and, appropriate services.</w:t>
      </w:r>
    </w:p>
    <w:p w14:paraId="0CEE162B" w14:textId="3D4DCA85" w:rsidR="00986716" w:rsidRPr="004A0C12" w:rsidRDefault="00111048" w:rsidP="00986716">
      <w:p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Once completed, Local Area</w:t>
      </w:r>
      <w:r w:rsidR="00986716" w:rsidRPr="004A0C12">
        <w:rPr>
          <w:rFonts w:ascii="Garamond" w:eastAsia="Times New Roman" w:hAnsi="Garamond" w:cs="Times New Roman"/>
        </w:rPr>
        <w:t>s must ensure that the ISS is signed by the Youth Program career planner and the partici</w:t>
      </w:r>
      <w:r w:rsidRPr="004A0C12">
        <w:rPr>
          <w:rFonts w:ascii="Garamond" w:eastAsia="Times New Roman" w:hAnsi="Garamond" w:cs="Times New Roman"/>
        </w:rPr>
        <w:t>pant. Local Area</w:t>
      </w:r>
      <w:r w:rsidR="00986716" w:rsidRPr="004A0C12">
        <w:rPr>
          <w:rFonts w:ascii="Garamond" w:eastAsia="Times New Roman" w:hAnsi="Garamond" w:cs="Times New Roman"/>
        </w:rPr>
        <w:t xml:space="preserve">s must ensure that each participant receives a signed copy of his or her </w:t>
      </w:r>
      <w:r w:rsidRPr="004A0C12">
        <w:rPr>
          <w:rFonts w:ascii="Garamond" w:eastAsia="Times New Roman" w:hAnsi="Garamond" w:cs="Times New Roman"/>
        </w:rPr>
        <w:t>Individualized Service Strategy</w:t>
      </w:r>
      <w:r w:rsidR="00986716" w:rsidRPr="004A0C12">
        <w:rPr>
          <w:rFonts w:ascii="Garamond" w:eastAsia="Times New Roman" w:hAnsi="Garamond" w:cs="Times New Roman"/>
        </w:rPr>
        <w:t xml:space="preserve"> as record.  </w:t>
      </w:r>
    </w:p>
    <w:p w14:paraId="24D52C8A" w14:textId="77777777" w:rsidR="00986716" w:rsidRPr="004A0C12" w:rsidRDefault="00986716" w:rsidP="00986716">
      <w:pPr>
        <w:spacing w:after="0" w:line="240" w:lineRule="auto"/>
        <w:contextualSpacing/>
        <w:jc w:val="both"/>
        <w:rPr>
          <w:rFonts w:ascii="Garamond" w:eastAsia="Times New Roman" w:hAnsi="Garamond" w:cs="Times New Roman"/>
        </w:rPr>
      </w:pPr>
    </w:p>
    <w:p w14:paraId="0F65AEBB" w14:textId="1B9F36D0" w:rsidR="00986716" w:rsidRPr="004A0C12" w:rsidRDefault="00986716" w:rsidP="00986716">
      <w:p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 xml:space="preserve">If an </w:t>
      </w:r>
      <w:r w:rsidR="00111048" w:rsidRPr="004A0C12">
        <w:rPr>
          <w:rFonts w:ascii="Garamond" w:eastAsia="Times New Roman" w:hAnsi="Garamond" w:cs="Times New Roman"/>
        </w:rPr>
        <w:t>Individualized Service Strategy</w:t>
      </w:r>
      <w:r w:rsidRPr="004A0C12">
        <w:rPr>
          <w:rFonts w:ascii="Garamond" w:eastAsia="Times New Roman" w:hAnsi="Garamond" w:cs="Times New Roman"/>
        </w:rPr>
        <w:t xml:space="preserve"> has been developed for a participant to pursue another education or training program within the last quarter, then the WIOA Youth Program provider may use the existing </w:t>
      </w:r>
      <w:r w:rsidR="00111048" w:rsidRPr="004A0C12">
        <w:rPr>
          <w:rFonts w:ascii="Garamond" w:eastAsia="Times New Roman" w:hAnsi="Garamond" w:cs="Times New Roman"/>
        </w:rPr>
        <w:t>Individualized Service Strategy</w:t>
      </w:r>
      <w:r w:rsidRPr="004A0C12">
        <w:rPr>
          <w:rFonts w:ascii="Garamond" w:eastAsia="Times New Roman" w:hAnsi="Garamond" w:cs="Times New Roman"/>
        </w:rPr>
        <w:t xml:space="preserve"> to fulfill program requirements.  </w:t>
      </w:r>
    </w:p>
    <w:p w14:paraId="6C5F279B" w14:textId="77777777" w:rsidR="00111048" w:rsidRPr="004A0C12" w:rsidRDefault="00111048" w:rsidP="00986716">
      <w:pPr>
        <w:spacing w:after="0" w:line="240" w:lineRule="auto"/>
        <w:contextualSpacing/>
        <w:jc w:val="both"/>
        <w:rPr>
          <w:rFonts w:ascii="Garamond" w:eastAsia="Times New Roman" w:hAnsi="Garamond" w:cs="Times New Roman"/>
        </w:rPr>
      </w:pPr>
    </w:p>
    <w:p w14:paraId="4AECECA3" w14:textId="637B3E34" w:rsidR="00986716" w:rsidRPr="004A0C12" w:rsidRDefault="00986716" w:rsidP="00986716">
      <w:p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 xml:space="preserve">The Youth Program career planner must review the </w:t>
      </w:r>
      <w:r w:rsidR="00111048" w:rsidRPr="004A0C12">
        <w:rPr>
          <w:rFonts w:ascii="Garamond" w:eastAsia="Times New Roman" w:hAnsi="Garamond" w:cs="Times New Roman"/>
        </w:rPr>
        <w:t xml:space="preserve">Individualized Service Strategy </w:t>
      </w:r>
      <w:r w:rsidRPr="004A0C12">
        <w:rPr>
          <w:rFonts w:ascii="Garamond" w:eastAsia="Times New Roman" w:hAnsi="Garamond" w:cs="Times New Roman"/>
        </w:rPr>
        <w:t xml:space="preserve">with each youth participant every 90 days, at a minimum, to review progress and make necessary adjustments. As the </w:t>
      </w:r>
      <w:r w:rsidR="00111048" w:rsidRPr="004A0C12">
        <w:rPr>
          <w:rFonts w:ascii="Garamond" w:eastAsia="Times New Roman" w:hAnsi="Garamond" w:cs="Times New Roman"/>
        </w:rPr>
        <w:t>Individualized Service Strategy</w:t>
      </w:r>
      <w:r w:rsidRPr="004A0C12">
        <w:rPr>
          <w:rFonts w:ascii="Garamond" w:eastAsia="Times New Roman" w:hAnsi="Garamond" w:cs="Times New Roman"/>
        </w:rPr>
        <w:t xml:space="preserve"> is a living document that should be adjusted as the participant and case manager deem necessary, Youth Program career planners should update the document to reflect changes. Examples of updates include, but are not limited to: participant progress; completed activities or bench</w:t>
      </w:r>
      <w:r w:rsidR="00111048" w:rsidRPr="004A0C12">
        <w:rPr>
          <w:rFonts w:ascii="Garamond" w:eastAsia="Times New Roman" w:hAnsi="Garamond" w:cs="Times New Roman"/>
        </w:rPr>
        <w:t>marks,</w:t>
      </w:r>
      <w:r w:rsidRPr="004A0C12">
        <w:rPr>
          <w:rFonts w:ascii="Garamond" w:eastAsia="Times New Roman" w:hAnsi="Garamond" w:cs="Times New Roman"/>
        </w:rPr>
        <w:t xml:space="preserve"> rewriting new goal</w:t>
      </w:r>
      <w:r w:rsidR="00111048" w:rsidRPr="004A0C12">
        <w:rPr>
          <w:rFonts w:ascii="Garamond" w:eastAsia="Times New Roman" w:hAnsi="Garamond" w:cs="Times New Roman"/>
        </w:rPr>
        <w:t>s once objectives have been met,</w:t>
      </w:r>
      <w:r w:rsidRPr="004A0C12">
        <w:rPr>
          <w:rFonts w:ascii="Garamond" w:eastAsia="Times New Roman" w:hAnsi="Garamond" w:cs="Times New Roman"/>
        </w:rPr>
        <w:t xml:space="preserve"> outlining a clear direction or car</w:t>
      </w:r>
      <w:r w:rsidR="00111048" w:rsidRPr="004A0C12">
        <w:rPr>
          <w:rFonts w:ascii="Garamond" w:eastAsia="Times New Roman" w:hAnsi="Garamond" w:cs="Times New Roman"/>
        </w:rPr>
        <w:t>eer pathway for the participant, changes to household status, legal name changes, address changes,</w:t>
      </w:r>
      <w:r w:rsidRPr="004A0C12">
        <w:rPr>
          <w:rFonts w:ascii="Garamond" w:eastAsia="Times New Roman" w:hAnsi="Garamond" w:cs="Times New Roman"/>
        </w:rPr>
        <w:t xml:space="preserve"> and, other updates to contact information. </w:t>
      </w:r>
    </w:p>
    <w:p w14:paraId="7E3F0599" w14:textId="77777777" w:rsidR="00986716" w:rsidRPr="00E64564" w:rsidRDefault="00986716" w:rsidP="00986716">
      <w:pPr>
        <w:pStyle w:val="Heading4"/>
        <w:rPr>
          <w:rFonts w:ascii="Garamond" w:eastAsia="Times New Roman" w:hAnsi="Garamond"/>
          <w:color w:val="1F497D"/>
          <w:sz w:val="24"/>
          <w:szCs w:val="24"/>
        </w:rPr>
      </w:pPr>
      <w:r w:rsidRPr="00E64564">
        <w:rPr>
          <w:rFonts w:ascii="Garamond" w:eastAsia="Times New Roman" w:hAnsi="Garamond"/>
          <w:sz w:val="24"/>
          <w:szCs w:val="24"/>
        </w:rPr>
        <w:t xml:space="preserve">YOUTH PROGRAM ELEMENTS </w:t>
      </w:r>
    </w:p>
    <w:p w14:paraId="52C6BD5C" w14:textId="1003645F"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 xml:space="preserve">Based on assessment results and the </w:t>
      </w:r>
      <w:r w:rsidR="00111048" w:rsidRPr="004A0C12">
        <w:rPr>
          <w:rFonts w:ascii="Garamond" w:eastAsia="Times New Roman" w:hAnsi="Garamond" w:cs="Times New Roman"/>
        </w:rPr>
        <w:t xml:space="preserve">Individualized Service Strategy, Local </w:t>
      </w:r>
      <w:r w:rsidRPr="004A0C12">
        <w:rPr>
          <w:rFonts w:ascii="Garamond" w:eastAsia="Times New Roman" w:hAnsi="Garamond" w:cs="Times New Roman"/>
        </w:rPr>
        <w:t>A</w:t>
      </w:r>
      <w:r w:rsidR="00111048" w:rsidRPr="004A0C12">
        <w:rPr>
          <w:rFonts w:ascii="Garamond" w:eastAsia="Times New Roman" w:hAnsi="Garamond" w:cs="Times New Roman"/>
        </w:rPr>
        <w:t>rea</w:t>
      </w:r>
      <w:r w:rsidRPr="004A0C12">
        <w:rPr>
          <w:rFonts w:ascii="Garamond" w:eastAsia="Times New Roman" w:hAnsi="Garamond" w:cs="Times New Roman"/>
        </w:rPr>
        <w:t>s must ensure that providers offer youth participants access to WIOA Youth Program elements that will support attainment of a secondary school diploma, entry into post</w:t>
      </w:r>
      <w:r w:rsidR="00111048" w:rsidRPr="004A0C12">
        <w:rPr>
          <w:rFonts w:ascii="Garamond" w:eastAsia="Times New Roman" w:hAnsi="Garamond" w:cs="Times New Roman"/>
        </w:rPr>
        <w:t>-</w:t>
      </w:r>
      <w:r w:rsidRPr="004A0C12">
        <w:rPr>
          <w:rFonts w:ascii="Garamond" w:eastAsia="Times New Roman" w:hAnsi="Garamond" w:cs="Times New Roman"/>
        </w:rPr>
        <w:t xml:space="preserve">secondary education, and career readiness. All activities must be documented within the Maryland Workforce Exchange. For additional information on performance requirements, refer to pages 20-21. </w:t>
      </w:r>
    </w:p>
    <w:p w14:paraId="2D5B5926" w14:textId="77777777" w:rsidR="00986716" w:rsidRPr="004A0C12" w:rsidRDefault="00986716" w:rsidP="00986716">
      <w:pPr>
        <w:spacing w:after="0" w:line="240" w:lineRule="auto"/>
        <w:jc w:val="both"/>
        <w:rPr>
          <w:rFonts w:ascii="Garamond" w:eastAsia="Times New Roman" w:hAnsi="Garamond" w:cs="Times New Roman"/>
        </w:rPr>
      </w:pPr>
    </w:p>
    <w:p w14:paraId="2477E1C5" w14:textId="77777777"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 xml:space="preserve">The WIOA Youth Program consists of 14 key program elements: </w:t>
      </w:r>
    </w:p>
    <w:p w14:paraId="261D09AD" w14:textId="77777777" w:rsidR="00986716" w:rsidRPr="004A0C12" w:rsidRDefault="00986716" w:rsidP="00986716">
      <w:pPr>
        <w:spacing w:after="0" w:line="240" w:lineRule="auto"/>
        <w:jc w:val="both"/>
        <w:rPr>
          <w:rFonts w:ascii="Garamond" w:eastAsia="Times New Roman" w:hAnsi="Garamond" w:cs="Times New Roman"/>
        </w:rPr>
      </w:pPr>
    </w:p>
    <w:p w14:paraId="4308F3C9"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 xml:space="preserve">Tutoring, skills training, and dropout prevention; </w:t>
      </w:r>
    </w:p>
    <w:p w14:paraId="497D39DD"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Alternative secondary school services;</w:t>
      </w:r>
    </w:p>
    <w:p w14:paraId="6421B6F0"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Paid and unpaid work experiences;</w:t>
      </w:r>
    </w:p>
    <w:p w14:paraId="7C74055A"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Occupational skills training;</w:t>
      </w:r>
    </w:p>
    <w:p w14:paraId="09FE4AAE"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Leadership development opportunities;</w:t>
      </w:r>
    </w:p>
    <w:p w14:paraId="7B83A7C9"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Supportive services;</w:t>
      </w:r>
    </w:p>
    <w:p w14:paraId="04C8BB2A"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Mentoring;</w:t>
      </w:r>
    </w:p>
    <w:p w14:paraId="23C0F886"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Follow-up services;</w:t>
      </w:r>
    </w:p>
    <w:p w14:paraId="3D0B0459"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Counseling;</w:t>
      </w:r>
    </w:p>
    <w:p w14:paraId="6AB291BD"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Concurrent education and workforce preparation activities;</w:t>
      </w:r>
    </w:p>
    <w:p w14:paraId="5F8DDD78"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Financial literacy education;</w:t>
      </w:r>
    </w:p>
    <w:p w14:paraId="60762E51"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Entrepreneurial skills training;</w:t>
      </w:r>
    </w:p>
    <w:p w14:paraId="30DBBE95"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Labor Market Information (LMI);</w:t>
      </w:r>
    </w:p>
    <w:p w14:paraId="792B15D8" w14:textId="77777777" w:rsidR="00986716" w:rsidRPr="004A0C12" w:rsidRDefault="00986716" w:rsidP="00232F09">
      <w:pPr>
        <w:numPr>
          <w:ilvl w:val="0"/>
          <w:numId w:val="175"/>
        </w:numPr>
        <w:spacing w:after="0" w:line="240" w:lineRule="auto"/>
        <w:contextualSpacing/>
        <w:jc w:val="both"/>
        <w:rPr>
          <w:rFonts w:ascii="Garamond" w:eastAsia="Times New Roman" w:hAnsi="Garamond" w:cs="Times New Roman"/>
        </w:rPr>
      </w:pPr>
      <w:r w:rsidRPr="004A0C12">
        <w:rPr>
          <w:rFonts w:ascii="Garamond" w:eastAsia="Times New Roman" w:hAnsi="Garamond" w:cs="Times New Roman"/>
        </w:rPr>
        <w:t xml:space="preserve">Preparing for Post-Secondary Education and training. </w:t>
      </w:r>
    </w:p>
    <w:p w14:paraId="04F1F6C2" w14:textId="77777777" w:rsidR="00986716" w:rsidRPr="004A0C12" w:rsidRDefault="00986716" w:rsidP="00986716">
      <w:pPr>
        <w:spacing w:after="0" w:line="240" w:lineRule="auto"/>
        <w:jc w:val="both"/>
        <w:rPr>
          <w:rFonts w:ascii="Garamond" w:eastAsia="Times New Roman" w:hAnsi="Garamond" w:cs="Times New Roman"/>
        </w:rPr>
      </w:pPr>
    </w:p>
    <w:p w14:paraId="51942A8C" w14:textId="7B39C62C"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 xml:space="preserve">Whereas program elements 1-9 were offered under </w:t>
      </w:r>
      <w:r w:rsidR="00111048" w:rsidRPr="004A0C12">
        <w:rPr>
          <w:rFonts w:ascii="Garamond" w:eastAsia="Times New Roman" w:hAnsi="Garamond" w:cs="Times New Roman"/>
        </w:rPr>
        <w:t>WIA</w:t>
      </w:r>
      <w:r w:rsidRPr="004A0C12">
        <w:rPr>
          <w:rFonts w:ascii="Garamond" w:eastAsia="Times New Roman" w:hAnsi="Garamond" w:cs="Times New Roman"/>
        </w:rPr>
        <w:t>, elements 10-14 are new with WIOA. The remainder of this policy section provides details on the 14 program elements. DLLR has provided policy guidance to local workforce areas on each program element and will con</w:t>
      </w:r>
      <w:r w:rsidR="00BB5F3C" w:rsidRPr="004A0C12">
        <w:rPr>
          <w:rFonts w:ascii="Garamond" w:eastAsia="Times New Roman" w:hAnsi="Garamond" w:cs="Times New Roman"/>
        </w:rPr>
        <w:t>tinue to offer support to help Local A</w:t>
      </w:r>
      <w:r w:rsidRPr="004A0C12">
        <w:rPr>
          <w:rFonts w:ascii="Garamond" w:eastAsia="Times New Roman" w:hAnsi="Garamond" w:cs="Times New Roman"/>
        </w:rPr>
        <w:t xml:space="preserve">reas achieve goals. </w:t>
      </w:r>
      <w:r w:rsidR="00B42262" w:rsidRPr="004A0C12">
        <w:rPr>
          <w:rFonts w:ascii="Garamond" w:hAnsi="Garamond"/>
          <w:color w:val="000000"/>
        </w:rPr>
        <w:t>DLLR’s policy on the WIOA Title I Youth Program clearly states that local workforce areas must ensure that providers offer youth participants access to each of the 14 key program elements. If the WIOA Title I Youth Program provider does not directly offer all program elements, it must ensure that strong partnerships and referral mechanisms are in place to provide access to each element, as necessary. Through ongoing monitoring and technical assistance, DLLR and the local workforce areas will ensure that access is effectively provided to youth participants.</w:t>
      </w:r>
    </w:p>
    <w:p w14:paraId="3C310DEF" w14:textId="77777777" w:rsidR="00986716" w:rsidRPr="00E64564" w:rsidRDefault="00986716" w:rsidP="00986716">
      <w:pPr>
        <w:pStyle w:val="Heading4"/>
        <w:rPr>
          <w:rFonts w:ascii="Garamond" w:eastAsia="Times New Roman" w:hAnsi="Garamond"/>
          <w:sz w:val="24"/>
          <w:szCs w:val="24"/>
        </w:rPr>
      </w:pPr>
      <w:r w:rsidRPr="00E64564">
        <w:rPr>
          <w:rFonts w:ascii="Garamond" w:eastAsia="Times New Roman" w:hAnsi="Garamond"/>
          <w:sz w:val="24"/>
          <w:szCs w:val="24"/>
        </w:rPr>
        <w:lastRenderedPageBreak/>
        <w:t xml:space="preserve">“REQUIRES ADDITIONAL ASSISTANCE TO COMPLETE AN EDUCATIONAL PROGRAM, OR TO SECURE AND HOLD EMPLOYMENT” </w:t>
      </w:r>
    </w:p>
    <w:p w14:paraId="40F051D5" w14:textId="36916E76"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WIOA sections 129(a</w:t>
      </w:r>
      <w:proofErr w:type="gramStart"/>
      <w:r w:rsidRPr="004A0C12">
        <w:rPr>
          <w:rFonts w:ascii="Garamond" w:eastAsia="Times New Roman" w:hAnsi="Garamond" w:cs="Times New Roman"/>
        </w:rPr>
        <w:t>)(</w:t>
      </w:r>
      <w:proofErr w:type="gramEnd"/>
      <w:r w:rsidRPr="004A0C12">
        <w:rPr>
          <w:rFonts w:ascii="Garamond" w:eastAsia="Times New Roman" w:hAnsi="Garamond" w:cs="Times New Roman"/>
        </w:rPr>
        <w:t>1)(B)(iii)(VIII) and 129(a)(1)(C)(iv)(VII) define eligibility criteria for the W</w:t>
      </w:r>
      <w:r w:rsidR="00111048" w:rsidRPr="004A0C12">
        <w:rPr>
          <w:rFonts w:ascii="Garamond" w:eastAsia="Times New Roman" w:hAnsi="Garamond" w:cs="Times New Roman"/>
        </w:rPr>
        <w:t>IOA Title I Youth Program. For in-s</w:t>
      </w:r>
      <w:r w:rsidRPr="004A0C12">
        <w:rPr>
          <w:rFonts w:ascii="Garamond" w:eastAsia="Times New Roman" w:hAnsi="Garamond" w:cs="Times New Roman"/>
        </w:rPr>
        <w:t>cho</w:t>
      </w:r>
      <w:r w:rsidR="00111048" w:rsidRPr="004A0C12">
        <w:rPr>
          <w:rFonts w:ascii="Garamond" w:eastAsia="Times New Roman" w:hAnsi="Garamond" w:cs="Times New Roman"/>
        </w:rPr>
        <w:t>ol youth and out-of-school y</w:t>
      </w:r>
      <w:r w:rsidRPr="004A0C12">
        <w:rPr>
          <w:rFonts w:ascii="Garamond" w:eastAsia="Times New Roman" w:hAnsi="Garamond" w:cs="Times New Roman"/>
        </w:rPr>
        <w:t>outh, one criterion is that an individual is low-income and requires additional assistance to enter or complete and educational program or to secure or hold employment. Maryland’s local workforce areas will be required to define what it means to “require additional assistance to enter or complete and educational program or to secure or hold employment.”</w:t>
      </w:r>
    </w:p>
    <w:p w14:paraId="5E802135" w14:textId="77777777" w:rsidR="00986716" w:rsidRPr="004A0C12" w:rsidRDefault="00986716" w:rsidP="00986716">
      <w:pPr>
        <w:pStyle w:val="Heading4"/>
        <w:rPr>
          <w:rFonts w:ascii="Garamond" w:eastAsia="Times New Roman" w:hAnsi="Garamond"/>
        </w:rPr>
      </w:pPr>
      <w:r w:rsidRPr="00E64564">
        <w:rPr>
          <w:rFonts w:ascii="Garamond" w:eastAsia="Times New Roman" w:hAnsi="Garamond"/>
          <w:sz w:val="24"/>
          <w:szCs w:val="24"/>
        </w:rPr>
        <w:t>ALTERNATIVE</w:t>
      </w:r>
      <w:r w:rsidRPr="004A0C12">
        <w:rPr>
          <w:rFonts w:ascii="Garamond" w:eastAsia="Times New Roman" w:hAnsi="Garamond"/>
        </w:rPr>
        <w:t xml:space="preserve"> EDUCATION</w:t>
      </w:r>
    </w:p>
    <w:p w14:paraId="7486DD5F" w14:textId="77777777"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 xml:space="preserve">At the federal level, an alternative school is defined as a public secondary school that addresses needs of students that typically cannot be met in a regular school, provides nontraditional education, serves as an adjunct to a regular school, or falls outside the categories of regular, special, or vocational education. </w:t>
      </w:r>
    </w:p>
    <w:p w14:paraId="74E76DA9" w14:textId="77777777" w:rsidR="00986716" w:rsidRPr="004A0C12" w:rsidRDefault="00986716" w:rsidP="00986716">
      <w:pPr>
        <w:spacing w:after="0" w:line="240" w:lineRule="auto"/>
        <w:jc w:val="both"/>
        <w:rPr>
          <w:rFonts w:ascii="Garamond" w:eastAsia="Times New Roman" w:hAnsi="Garamond" w:cs="Times New Roman"/>
        </w:rPr>
      </w:pPr>
    </w:p>
    <w:p w14:paraId="6D66D8D0" w14:textId="77777777"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 xml:space="preserve">As of September 2014, Maryland offers 89 alternative education programs in 22 of the State’s 24 local school systems. Of these programs, most target students with behavioral issues, students who were in contact with law enforcement, and/or students who were having academic difficulties, as evidenced by low grades or being behind grade level. Many also target students with attendance problems. Additional information on alternative education can be found in the following ICF International report dated September 2014: </w:t>
      </w:r>
    </w:p>
    <w:p w14:paraId="1D989D79" w14:textId="77777777" w:rsidR="00986716" w:rsidRPr="004A0C12" w:rsidRDefault="00943AA8" w:rsidP="00986716">
      <w:pPr>
        <w:spacing w:after="0" w:line="240" w:lineRule="auto"/>
        <w:jc w:val="both"/>
        <w:rPr>
          <w:rFonts w:ascii="Garamond" w:eastAsia="Times New Roman" w:hAnsi="Garamond" w:cs="Times New Roman"/>
        </w:rPr>
      </w:pPr>
      <w:hyperlink r:id="rId93" w:history="1">
        <w:r w:rsidR="00986716" w:rsidRPr="004A0C12">
          <w:rPr>
            <w:rStyle w:val="Hyperlink"/>
            <w:rFonts w:ascii="Garamond" w:eastAsia="Times New Roman" w:hAnsi="Garamond" w:cs="Times New Roman"/>
          </w:rPr>
          <w:t>http://ies.ed.gov/ncee/edlabs/regions/midatlantic/pdf/REL_2014038.pdf</w:t>
        </w:r>
      </w:hyperlink>
    </w:p>
    <w:p w14:paraId="02DDF2D1" w14:textId="77777777" w:rsidR="00986716" w:rsidRPr="00E64564" w:rsidRDefault="00986716" w:rsidP="00986716">
      <w:pPr>
        <w:pStyle w:val="Heading4"/>
        <w:rPr>
          <w:rFonts w:ascii="Garamond" w:eastAsia="Times New Roman" w:hAnsi="Garamond"/>
          <w:sz w:val="24"/>
          <w:szCs w:val="24"/>
        </w:rPr>
      </w:pPr>
      <w:r w:rsidRPr="004A0C12">
        <w:rPr>
          <w:rFonts w:ascii="Garamond" w:eastAsia="Times New Roman" w:hAnsi="Garamond"/>
        </w:rPr>
        <w:t xml:space="preserve"> </w:t>
      </w:r>
      <w:r w:rsidRPr="00E64564">
        <w:rPr>
          <w:rFonts w:ascii="Garamond" w:eastAsia="Times New Roman" w:hAnsi="Garamond"/>
          <w:sz w:val="24"/>
          <w:szCs w:val="24"/>
        </w:rPr>
        <w:t xml:space="preserve">ATTENDING SCHOOL &amp; NOT ATTENDING SCHOOL </w:t>
      </w:r>
    </w:p>
    <w:p w14:paraId="2DE1A74A" w14:textId="72108232" w:rsidR="00986716" w:rsidRPr="004A0C12" w:rsidRDefault="00986716" w:rsidP="00986716">
      <w:pPr>
        <w:spacing w:after="0" w:line="240" w:lineRule="auto"/>
        <w:jc w:val="both"/>
        <w:rPr>
          <w:rFonts w:ascii="Garamond" w:eastAsia="Times New Roman" w:hAnsi="Garamond" w:cs="Times New Roman"/>
        </w:rPr>
      </w:pPr>
      <w:r w:rsidRPr="004A0C12">
        <w:rPr>
          <w:rFonts w:ascii="Garamond" w:eastAsia="Times New Roman" w:hAnsi="Garamond" w:cs="Times New Roman"/>
        </w:rPr>
        <w:t>While Maryland law does not define “attending school” and “not attending school,” it does provide guidance on who is within the age of compulsory school attendance.  Effective July 1, 2015, each child who resides in Maryland and is 5 years old or older and under 17 shall attend a public school regularly during the entire school year, unless the child is otherwise exempted due to attainment of a high school diploma or GED</w:t>
      </w:r>
      <w:r w:rsidR="008E59E3" w:rsidRPr="004A0C12">
        <w:rPr>
          <w:rFonts w:ascii="Garamond" w:eastAsia="Times New Roman" w:hAnsi="Garamond" w:cs="Times New Roman"/>
        </w:rPr>
        <w:t>®</w:t>
      </w:r>
      <w:r w:rsidRPr="004A0C12">
        <w:rPr>
          <w:rFonts w:ascii="Garamond" w:eastAsia="Times New Roman" w:hAnsi="Garamond" w:cs="Times New Roman"/>
        </w:rPr>
        <w:t>;  is receiving regular, thorough instruction during the school year in the studies usually taught in the public schools to children of the same age or has completed such instruction; is married; is active military; attends an alternate education program; or is within any other exemptions listed in Education Article, §7-301, Annotated Code of Maryland. Effective July 1, 2017, the age for compulsory public school attendance will change to ages 5-18.</w:t>
      </w:r>
    </w:p>
    <w:p w14:paraId="44DB99EC" w14:textId="77777777" w:rsidR="00986716" w:rsidRPr="00E64564" w:rsidRDefault="00986716" w:rsidP="00986716">
      <w:pPr>
        <w:pStyle w:val="Heading4"/>
        <w:rPr>
          <w:rFonts w:ascii="Garamond" w:eastAsia="Times New Roman" w:hAnsi="Garamond"/>
          <w:sz w:val="24"/>
          <w:szCs w:val="24"/>
        </w:rPr>
      </w:pPr>
      <w:r w:rsidRPr="00E64564">
        <w:rPr>
          <w:rFonts w:ascii="Garamond" w:eastAsia="Times New Roman" w:hAnsi="Garamond"/>
          <w:sz w:val="24"/>
          <w:szCs w:val="24"/>
        </w:rPr>
        <w:t xml:space="preserve">BASIC SKILLS DEFICIENT  </w:t>
      </w:r>
    </w:p>
    <w:p w14:paraId="37ACDCFC" w14:textId="628372BB" w:rsidR="00986716" w:rsidRPr="004A0C12" w:rsidRDefault="00986716" w:rsidP="00531E51">
      <w:pPr>
        <w:spacing w:line="240" w:lineRule="auto"/>
        <w:contextualSpacing/>
        <w:jc w:val="both"/>
        <w:rPr>
          <w:rFonts w:ascii="Garamond" w:hAnsi="Garamond" w:cs="Times New Roman"/>
        </w:rPr>
      </w:pPr>
      <w:r w:rsidRPr="004A0C12">
        <w:rPr>
          <w:rFonts w:ascii="Garamond" w:hAnsi="Garamond" w:cs="Times New Roman"/>
        </w:rPr>
        <w:t xml:space="preserve">Scores below Low Adult Secondary </w:t>
      </w:r>
      <w:r w:rsidR="008449EC" w:rsidRPr="004A0C12">
        <w:rPr>
          <w:rFonts w:ascii="Garamond" w:hAnsi="Garamond" w:cs="Times New Roman"/>
        </w:rPr>
        <w:t>Education are considered to be basic skills d</w:t>
      </w:r>
      <w:r w:rsidRPr="004A0C12">
        <w:rPr>
          <w:rFonts w:ascii="Garamond" w:hAnsi="Garamond" w:cs="Times New Roman"/>
        </w:rPr>
        <w:t xml:space="preserve">eficient. Per WIOA Section 3(5), an individual is to be considered </w:t>
      </w:r>
      <w:r w:rsidR="008449EC" w:rsidRPr="004A0C12">
        <w:rPr>
          <w:rFonts w:ascii="Garamond" w:hAnsi="Garamond" w:cs="Times New Roman"/>
        </w:rPr>
        <w:t>“</w:t>
      </w:r>
      <w:r w:rsidRPr="004A0C12">
        <w:rPr>
          <w:rFonts w:ascii="Garamond" w:hAnsi="Garamond" w:cs="Times New Roman"/>
        </w:rPr>
        <w:t>basic skills deficient</w:t>
      </w:r>
      <w:r w:rsidR="008449EC" w:rsidRPr="004A0C12">
        <w:rPr>
          <w:rFonts w:ascii="Garamond" w:hAnsi="Garamond" w:cs="Times New Roman"/>
        </w:rPr>
        <w:t>”</w:t>
      </w:r>
      <w:r w:rsidRPr="004A0C12">
        <w:rPr>
          <w:rFonts w:ascii="Garamond" w:hAnsi="Garamond" w:cs="Times New Roman"/>
        </w:rPr>
        <w:t xml:space="preserve"> if he or she is an individual: (1) who is a youth, that has English reading, writing or computing skills at or below the 8th grade level on a generally ac</w:t>
      </w:r>
      <w:r w:rsidR="008449EC" w:rsidRPr="004A0C12">
        <w:rPr>
          <w:rFonts w:ascii="Garamond" w:hAnsi="Garamond" w:cs="Times New Roman"/>
        </w:rPr>
        <w:t>cepted standardized test; or, (2) w</w:t>
      </w:r>
      <w:r w:rsidRPr="004A0C12">
        <w:rPr>
          <w:rFonts w:ascii="Garamond" w:hAnsi="Garamond" w:cs="Times New Roman"/>
        </w:rPr>
        <w:t xml:space="preserve">ho is a youth or adult that  is unable to compute or solve problems, or read, write, or speak English, at a level necessary to function on the job, in the individual’s family, or in society. Like WIOA Title II adult education service providers, WIOA Title I Youth providers will be expected to follow all DLLR policy guidance on basic skills and English language assessments. </w:t>
      </w:r>
    </w:p>
    <w:p w14:paraId="7DA678C0" w14:textId="77777777" w:rsidR="00AB5AEF" w:rsidRPr="00E64564" w:rsidRDefault="00AB5AEF" w:rsidP="00CF4628">
      <w:pPr>
        <w:pStyle w:val="Heading3"/>
        <w:rPr>
          <w:rFonts w:ascii="Garamond" w:hAnsi="Garamond"/>
          <w:sz w:val="24"/>
          <w:szCs w:val="24"/>
        </w:rPr>
      </w:pPr>
      <w:bookmarkStart w:id="140" w:name="_Toc447276178"/>
      <w:r w:rsidRPr="00E64564">
        <w:rPr>
          <w:rFonts w:ascii="Garamond" w:hAnsi="Garamond"/>
          <w:sz w:val="24"/>
          <w:szCs w:val="24"/>
        </w:rPr>
        <w:t>Waivers</w:t>
      </w:r>
      <w:bookmarkEnd w:id="140"/>
    </w:p>
    <w:p w14:paraId="76734958" w14:textId="77777777" w:rsidR="00AB5AEF" w:rsidRPr="004A0C12" w:rsidRDefault="00AB5AEF" w:rsidP="00CF4628">
      <w:pPr>
        <w:pStyle w:val="PlainText1"/>
        <w:jc w:val="both"/>
        <w:rPr>
          <w:rFonts w:ascii="Garamond" w:hAnsi="Garamond"/>
          <w:sz w:val="22"/>
          <w:szCs w:val="22"/>
        </w:rPr>
      </w:pPr>
      <w:r w:rsidRPr="004A0C12">
        <w:rPr>
          <w:rFonts w:ascii="Garamond" w:hAnsi="Garamond"/>
          <w:sz w:val="22"/>
          <w:szCs w:val="22"/>
        </w:rPr>
        <w:t>T</w:t>
      </w:r>
      <w:r w:rsidR="00DD4BDA" w:rsidRPr="004A0C12">
        <w:rPr>
          <w:rFonts w:ascii="Garamond" w:hAnsi="Garamond"/>
          <w:sz w:val="22"/>
          <w:szCs w:val="22"/>
        </w:rPr>
        <w:t>raining and Employment Guidance Letter (T</w:t>
      </w:r>
      <w:r w:rsidRPr="004A0C12">
        <w:rPr>
          <w:rFonts w:ascii="Garamond" w:hAnsi="Garamond"/>
          <w:sz w:val="22"/>
          <w:szCs w:val="22"/>
        </w:rPr>
        <w:t>EGL</w:t>
      </w:r>
      <w:r w:rsidR="00DD4BDA" w:rsidRPr="004A0C12">
        <w:rPr>
          <w:rFonts w:ascii="Garamond" w:hAnsi="Garamond"/>
          <w:sz w:val="22"/>
          <w:szCs w:val="22"/>
        </w:rPr>
        <w:t>)</w:t>
      </w:r>
      <w:r w:rsidRPr="004A0C12">
        <w:rPr>
          <w:rFonts w:ascii="Garamond" w:hAnsi="Garamond"/>
          <w:sz w:val="22"/>
          <w:szCs w:val="22"/>
        </w:rPr>
        <w:t xml:space="preserve"> 01-15, issued by USDOL on or about July 1, 2015, advises that the United States Secretary of Labor's wavier authority under the Workforce Investment Act and waivers approved under WIA do not extend to WIOA, which has its own waiver authority.  The TEGL further stipulates that USDOL "does not envision a need for States to request waivers before the submission of the first WIOA State Plan in March of 2016." Rather, the Department, through TEGL 01-15, encouraged states to "work with, and test the flexibility of WIOA, particularly during PY 2015, the first year of implementation."</w:t>
      </w:r>
    </w:p>
    <w:p w14:paraId="3FD1AEE1" w14:textId="77777777" w:rsidR="00AB5AEF" w:rsidRPr="004A0C12" w:rsidRDefault="00AB5AEF" w:rsidP="00CF4628">
      <w:pPr>
        <w:pStyle w:val="PlainText1"/>
        <w:jc w:val="both"/>
        <w:rPr>
          <w:rFonts w:ascii="Garamond" w:hAnsi="Garamond"/>
          <w:sz w:val="22"/>
          <w:szCs w:val="22"/>
        </w:rPr>
      </w:pPr>
    </w:p>
    <w:p w14:paraId="6A2EB598" w14:textId="77777777" w:rsidR="00AB5AEF" w:rsidRPr="004A0C12" w:rsidRDefault="00AB5AEF" w:rsidP="00CF4628">
      <w:pPr>
        <w:pStyle w:val="PlainText1"/>
        <w:jc w:val="both"/>
        <w:rPr>
          <w:rFonts w:ascii="Garamond" w:hAnsi="Garamond"/>
          <w:sz w:val="22"/>
          <w:szCs w:val="22"/>
        </w:rPr>
      </w:pPr>
      <w:r w:rsidRPr="004A0C12">
        <w:rPr>
          <w:rFonts w:ascii="Garamond" w:hAnsi="Garamond"/>
          <w:sz w:val="22"/>
          <w:szCs w:val="22"/>
        </w:rPr>
        <w:t>While the TEGL does not deny, outright, a state's ability to apply for a waiver, USDOL advises that a state must "</w:t>
      </w:r>
      <w:proofErr w:type="gramStart"/>
      <w:r w:rsidRPr="004A0C12">
        <w:rPr>
          <w:rFonts w:ascii="Garamond" w:hAnsi="Garamond"/>
          <w:sz w:val="22"/>
          <w:szCs w:val="22"/>
        </w:rPr>
        <w:t>demonstrate[</w:t>
      </w:r>
      <w:proofErr w:type="gramEnd"/>
      <w:r w:rsidRPr="004A0C12">
        <w:rPr>
          <w:rFonts w:ascii="Garamond" w:hAnsi="Garamond"/>
          <w:sz w:val="22"/>
          <w:szCs w:val="22"/>
        </w:rPr>
        <w:t xml:space="preserve">] that a proposed waiver would lead to a true innovation or improve service delivery beyond the improvements provided for in WIOA."  At this time, Maryland does not wish to submit a waiver. However, the state reserves its right to request a waiver from USDOL as it fully implements the requirements of WIOA.   </w:t>
      </w:r>
    </w:p>
    <w:p w14:paraId="3B639EEC" w14:textId="77777777" w:rsidR="00531E51" w:rsidRDefault="00531E51" w:rsidP="00CF4628">
      <w:pPr>
        <w:pStyle w:val="PlainText1"/>
        <w:jc w:val="both"/>
        <w:rPr>
          <w:rFonts w:ascii="Garamond" w:hAnsi="Garamond"/>
          <w:sz w:val="22"/>
          <w:szCs w:val="22"/>
        </w:rPr>
      </w:pPr>
    </w:p>
    <w:p w14:paraId="2A8D4938" w14:textId="77777777" w:rsidR="00F6079B" w:rsidRPr="004A0C12" w:rsidRDefault="00F6079B" w:rsidP="00CF4628">
      <w:pPr>
        <w:pStyle w:val="PlainText1"/>
        <w:jc w:val="both"/>
        <w:rPr>
          <w:rFonts w:ascii="Garamond" w:hAnsi="Garamond"/>
          <w:sz w:val="22"/>
          <w:szCs w:val="22"/>
        </w:rPr>
      </w:pPr>
    </w:p>
    <w:p w14:paraId="27503E52" w14:textId="77777777" w:rsidR="00AB5AEF" w:rsidRPr="004A0C12" w:rsidRDefault="00AB5AEF" w:rsidP="00AB5AEF">
      <w:pPr>
        <w:pStyle w:val="PlainText1"/>
        <w:rPr>
          <w:rFonts w:ascii="Garamond" w:hAnsi="Garamond"/>
          <w:b/>
          <w:sz w:val="22"/>
          <w:szCs w:val="22"/>
        </w:rPr>
      </w:pPr>
      <w:r w:rsidRPr="004A0C12">
        <w:rPr>
          <w:rFonts w:ascii="Garamond" w:hAnsi="Garamond"/>
          <w:b/>
          <w:sz w:val="22"/>
          <w:szCs w:val="22"/>
        </w:rPr>
        <w:lastRenderedPageBreak/>
        <w:t>TITLE I-B ASSURANCES</w:t>
      </w:r>
    </w:p>
    <w:tbl>
      <w:tblPr>
        <w:tblW w:w="11236" w:type="dxa"/>
        <w:tblInd w:w="5" w:type="dxa"/>
        <w:tblLayout w:type="fixed"/>
        <w:tblLook w:val="0000" w:firstRow="0" w:lastRow="0" w:firstColumn="0" w:lastColumn="0" w:noHBand="0" w:noVBand="0"/>
      </w:tblPr>
      <w:tblGrid>
        <w:gridCol w:w="1081"/>
        <w:gridCol w:w="10155"/>
      </w:tblGrid>
      <w:tr w:rsidR="00AB5AEF" w:rsidRPr="004A0C12" w14:paraId="0887E1F8" w14:textId="77777777" w:rsidTr="00CF4628">
        <w:trPr>
          <w:cantSplit/>
          <w:trHeight w:val="149"/>
        </w:trPr>
        <w:tc>
          <w:tcPr>
            <w:tcW w:w="112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390D4" w14:textId="77777777" w:rsidR="00AB5AEF" w:rsidRPr="004A0C12" w:rsidRDefault="00AB5AEF" w:rsidP="007A1FDC">
            <w:pPr>
              <w:rPr>
                <w:rFonts w:ascii="Garamond" w:hAnsi="Garamond" w:cs="Times New Roman"/>
                <w:b/>
              </w:rPr>
            </w:pPr>
            <w:r w:rsidRPr="004A0C12">
              <w:rPr>
                <w:rFonts w:ascii="Garamond" w:hAnsi="Garamond" w:cs="Times New Roman"/>
                <w:b/>
              </w:rPr>
              <w:t>The State Plan must include assurances that:</w:t>
            </w:r>
          </w:p>
        </w:tc>
      </w:tr>
      <w:tr w:rsidR="00AB5AEF" w:rsidRPr="004A0C12" w14:paraId="1EAB1B01" w14:textId="77777777" w:rsidTr="00CF4628">
        <w:trPr>
          <w:cantSplit/>
          <w:trHeight w:val="338"/>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F4AF79" w14:textId="77777777" w:rsidR="00AB5AEF" w:rsidRPr="004A0C12" w:rsidRDefault="00AB5AEF" w:rsidP="007A1FDC">
            <w:pPr>
              <w:ind w:left="360"/>
              <w:rPr>
                <w:rFonts w:ascii="Garamond" w:hAnsi="Garamond" w:cs="Times New Roman"/>
              </w:rPr>
            </w:pPr>
            <w:r w:rsidRPr="004A0C12">
              <w:rPr>
                <w:rFonts w:ascii="Garamond" w:hAnsi="Garamond" w:cs="Times New Roman"/>
              </w:rPr>
              <w:t>1.</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FCA0A1" w14:textId="744539C2" w:rsidR="00AB5AEF" w:rsidRPr="004A0C12" w:rsidRDefault="008449EC" w:rsidP="007A1FDC">
            <w:pPr>
              <w:rPr>
                <w:rFonts w:ascii="Garamond" w:hAnsi="Garamond" w:cs="Times New Roman"/>
              </w:rPr>
            </w:pPr>
            <w:r w:rsidRPr="004A0C12">
              <w:rPr>
                <w:rFonts w:ascii="Garamond" w:hAnsi="Garamond" w:cs="Times New Roman"/>
              </w:rPr>
              <w:t>The State has implemented a policy to ensure Adult program funds provide a priority in the delivery of training services and individualized career services to individuals who are low income, public assistance recipients and basic skills deficient;</w:t>
            </w:r>
          </w:p>
        </w:tc>
      </w:tr>
      <w:tr w:rsidR="00AB5AEF" w:rsidRPr="004A0C12" w14:paraId="5D013110"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7B907" w14:textId="77777777" w:rsidR="00AB5AEF" w:rsidRPr="004A0C12" w:rsidRDefault="00AB5AEF" w:rsidP="007A1FDC">
            <w:pPr>
              <w:ind w:left="360"/>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1F5D7" w14:textId="77777777" w:rsidR="00AB5AEF" w:rsidRPr="004A0C12" w:rsidRDefault="00AB5AEF" w:rsidP="007A1FDC">
            <w:pPr>
              <w:rPr>
                <w:rFonts w:ascii="Garamond" w:hAnsi="Garamond" w:cs="Times New Roman"/>
              </w:rPr>
            </w:pPr>
          </w:p>
        </w:tc>
      </w:tr>
      <w:tr w:rsidR="00AB5AEF" w:rsidRPr="004A0C12" w14:paraId="214B9BD7" w14:textId="77777777" w:rsidTr="00CF4628">
        <w:trPr>
          <w:cantSplit/>
          <w:trHeight w:val="341"/>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42B9A" w14:textId="77777777" w:rsidR="00AB5AEF" w:rsidRPr="004A0C12" w:rsidRDefault="00AB5AEF" w:rsidP="007A1FDC">
            <w:pPr>
              <w:ind w:left="360"/>
              <w:rPr>
                <w:rFonts w:ascii="Garamond" w:hAnsi="Garamond" w:cs="Times New Roman"/>
              </w:rPr>
            </w:pPr>
            <w:r w:rsidRPr="004A0C12">
              <w:rPr>
                <w:rFonts w:ascii="Garamond" w:hAnsi="Garamond" w:cs="Times New Roman"/>
              </w:rPr>
              <w:t>2.</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95EEE" w14:textId="6CB2DF99" w:rsidR="00AB5AEF" w:rsidRPr="004A0C12" w:rsidRDefault="008449EC" w:rsidP="007A1FDC">
            <w:pPr>
              <w:rPr>
                <w:rFonts w:ascii="Garamond" w:hAnsi="Garamond" w:cs="Times New Roman"/>
              </w:rPr>
            </w:pPr>
            <w:r w:rsidRPr="004A0C12">
              <w:rPr>
                <w:rFonts w:ascii="Garamond" w:hAnsi="Garamond" w:cs="Times New Roman"/>
              </w:rPr>
              <w:t>The State has implemented a policy to ensure local areas have a process in place for referring veterans with significant barriers to employment to career services provided by the JVSG program’s Disabled Veterans’ Outreach Program (DVOP) specialist;</w:t>
            </w:r>
          </w:p>
        </w:tc>
      </w:tr>
      <w:tr w:rsidR="00AB5AEF" w:rsidRPr="004A0C12" w14:paraId="16A23FF9"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6569A" w14:textId="77777777" w:rsidR="00AB5AEF" w:rsidRPr="004A0C12" w:rsidRDefault="00AB5AEF" w:rsidP="007A1FDC">
            <w:pPr>
              <w:ind w:left="360"/>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55476F" w14:textId="77777777" w:rsidR="00AB5AEF" w:rsidRPr="004A0C12" w:rsidRDefault="00AB5AEF" w:rsidP="007A1FDC">
            <w:pPr>
              <w:rPr>
                <w:rFonts w:ascii="Garamond" w:hAnsi="Garamond" w:cs="Times New Roman"/>
              </w:rPr>
            </w:pPr>
          </w:p>
        </w:tc>
      </w:tr>
      <w:tr w:rsidR="00AB5AEF" w:rsidRPr="004A0C12" w14:paraId="71F15BF4" w14:textId="77777777" w:rsidTr="00CF4628">
        <w:trPr>
          <w:cantSplit/>
          <w:trHeight w:val="306"/>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7CF458" w14:textId="77777777" w:rsidR="00AB5AEF" w:rsidRPr="004A0C12" w:rsidRDefault="00AB5AEF" w:rsidP="007A1FDC">
            <w:pPr>
              <w:ind w:left="360"/>
              <w:rPr>
                <w:rFonts w:ascii="Garamond" w:hAnsi="Garamond" w:cs="Times New Roman"/>
              </w:rPr>
            </w:pPr>
            <w:r w:rsidRPr="004A0C12">
              <w:rPr>
                <w:rFonts w:ascii="Garamond" w:hAnsi="Garamond" w:cs="Times New Roman"/>
              </w:rPr>
              <w:t>3.</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B6B958" w14:textId="54597E1D" w:rsidR="00AB5AEF" w:rsidRPr="004A0C12" w:rsidRDefault="008449EC" w:rsidP="007A1FDC">
            <w:pPr>
              <w:rPr>
                <w:rFonts w:ascii="Garamond" w:hAnsi="Garamond" w:cs="Times New Roman"/>
              </w:rPr>
            </w:pPr>
            <w:r w:rsidRPr="004A0C12">
              <w:rPr>
                <w:rFonts w:ascii="Garamond" w:hAnsi="Garamond" w:cs="Times New Roman"/>
              </w:rPr>
              <w:t>The State has established a written policy and procedure that set forth criteria to be used by chief elected officials for the appointment of local workforce investment board members;</w:t>
            </w:r>
          </w:p>
        </w:tc>
      </w:tr>
      <w:tr w:rsidR="00AB5AEF" w:rsidRPr="004A0C12" w14:paraId="048AEC65"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618A90" w14:textId="77777777" w:rsidR="00AB5AEF" w:rsidRPr="004A0C12" w:rsidRDefault="00AB5AEF" w:rsidP="007A1FDC">
            <w:pPr>
              <w:ind w:left="360"/>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0D97F1" w14:textId="77777777" w:rsidR="00AB5AEF" w:rsidRPr="004A0C12" w:rsidRDefault="00AB5AEF" w:rsidP="007A1FDC">
            <w:pPr>
              <w:rPr>
                <w:rFonts w:ascii="Garamond" w:hAnsi="Garamond" w:cs="Times New Roman"/>
              </w:rPr>
            </w:pPr>
          </w:p>
        </w:tc>
      </w:tr>
      <w:tr w:rsidR="00AB5AEF" w:rsidRPr="004A0C12" w14:paraId="721E2DE9" w14:textId="77777777" w:rsidTr="00CF4628">
        <w:trPr>
          <w:cantSplit/>
          <w:trHeight w:val="306"/>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B8B1F" w14:textId="77777777" w:rsidR="00AB5AEF" w:rsidRPr="004A0C12" w:rsidRDefault="00AB5AEF" w:rsidP="007A1FDC">
            <w:pPr>
              <w:ind w:left="360"/>
              <w:rPr>
                <w:rFonts w:ascii="Garamond" w:hAnsi="Garamond" w:cs="Times New Roman"/>
              </w:rPr>
            </w:pPr>
            <w:r w:rsidRPr="004A0C12">
              <w:rPr>
                <w:rFonts w:ascii="Garamond" w:hAnsi="Garamond" w:cs="Times New Roman"/>
              </w:rPr>
              <w:t>4.</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51973" w14:textId="6C39940D" w:rsidR="00AB5AEF" w:rsidRPr="004A0C12" w:rsidRDefault="008449EC" w:rsidP="007A1FDC">
            <w:pPr>
              <w:rPr>
                <w:rFonts w:ascii="Garamond" w:hAnsi="Garamond" w:cs="Times New Roman"/>
              </w:rPr>
            </w:pPr>
            <w:r w:rsidRPr="004A0C12">
              <w:rPr>
                <w:rFonts w:ascii="Garamond" w:hAnsi="Garamond" w:cs="Times New Roman"/>
              </w:rPr>
              <w:t>The State established written policy and procedures to ensure local workforce investment boards are certified by the governor every two years in accordance with WIOA section 107(c)(2);</w:t>
            </w:r>
          </w:p>
        </w:tc>
      </w:tr>
      <w:tr w:rsidR="00AB5AEF" w:rsidRPr="004A0C12" w14:paraId="3B6D095A"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43B62" w14:textId="77777777" w:rsidR="00AB5AEF" w:rsidRPr="004A0C12" w:rsidRDefault="00AB5AEF" w:rsidP="007A1FDC">
            <w:pPr>
              <w:ind w:left="360"/>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6DC45" w14:textId="77777777" w:rsidR="00AB5AEF" w:rsidRPr="004A0C12" w:rsidRDefault="00AB5AEF" w:rsidP="007A1FDC">
            <w:pPr>
              <w:rPr>
                <w:rFonts w:ascii="Garamond" w:hAnsi="Garamond" w:cs="Times New Roman"/>
              </w:rPr>
            </w:pPr>
          </w:p>
        </w:tc>
      </w:tr>
      <w:tr w:rsidR="00AB5AEF" w:rsidRPr="004A0C12" w14:paraId="144E4736" w14:textId="77777777" w:rsidTr="00CF4628">
        <w:trPr>
          <w:cantSplit/>
          <w:trHeight w:val="376"/>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C83B5" w14:textId="77777777" w:rsidR="00AB5AEF" w:rsidRPr="004A0C12" w:rsidRDefault="00AB5AEF" w:rsidP="007A1FDC">
            <w:pPr>
              <w:ind w:left="360"/>
              <w:rPr>
                <w:rFonts w:ascii="Garamond" w:hAnsi="Garamond" w:cs="Times New Roman"/>
              </w:rPr>
            </w:pPr>
            <w:r w:rsidRPr="004A0C12">
              <w:rPr>
                <w:rFonts w:ascii="Garamond" w:hAnsi="Garamond" w:cs="Times New Roman"/>
              </w:rPr>
              <w:t>5.</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59191" w14:textId="0BC48138" w:rsidR="00AB5AEF" w:rsidRPr="004A0C12" w:rsidRDefault="008449EC" w:rsidP="007A1FDC">
            <w:pPr>
              <w:rPr>
                <w:rFonts w:ascii="Garamond" w:hAnsi="Garamond" w:cs="Times New Roman"/>
              </w:rPr>
            </w:pPr>
            <w:r w:rsidRPr="004A0C12">
              <w:rPr>
                <w:rFonts w:ascii="Garamond" w:hAnsi="Garamond" w:cs="Times New Roman"/>
              </w:rPr>
              <w:t>Where an alternative entity takes the place of a State Board, the State has written policy and procedures to ensure the alternative entity meets the definition under WIOA section 101(e) and the legal requirements for membership;</w:t>
            </w:r>
          </w:p>
        </w:tc>
      </w:tr>
      <w:tr w:rsidR="00AB5AEF" w:rsidRPr="004A0C12" w14:paraId="09577298"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0EACCD" w14:textId="77777777" w:rsidR="00AB5AEF" w:rsidRPr="004A0C12" w:rsidRDefault="00AB5AEF" w:rsidP="007A1FDC">
            <w:pPr>
              <w:ind w:left="360"/>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07E135" w14:textId="77777777" w:rsidR="00AB5AEF" w:rsidRPr="004A0C12" w:rsidRDefault="00AB5AEF" w:rsidP="007A1FDC">
            <w:pPr>
              <w:rPr>
                <w:rFonts w:ascii="Garamond" w:hAnsi="Garamond" w:cs="Times New Roman"/>
              </w:rPr>
            </w:pPr>
          </w:p>
        </w:tc>
      </w:tr>
      <w:tr w:rsidR="00AB5AEF" w:rsidRPr="004A0C12" w14:paraId="006FBA07" w14:textId="77777777" w:rsidTr="00CF4628">
        <w:trPr>
          <w:cantSplit/>
          <w:trHeight w:val="456"/>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D3D781" w14:textId="77777777" w:rsidR="00AB5AEF" w:rsidRPr="004A0C12" w:rsidRDefault="00AB5AEF" w:rsidP="007A1FDC">
            <w:pPr>
              <w:ind w:left="360"/>
              <w:rPr>
                <w:rFonts w:ascii="Garamond" w:hAnsi="Garamond" w:cs="Times New Roman"/>
              </w:rPr>
            </w:pPr>
            <w:r w:rsidRPr="004A0C12">
              <w:rPr>
                <w:rFonts w:ascii="Garamond" w:hAnsi="Garamond" w:cs="Times New Roman"/>
              </w:rPr>
              <w:t>6.</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F6919" w14:textId="52677BB5" w:rsidR="00AB5AEF" w:rsidRPr="004A0C12" w:rsidRDefault="008449EC" w:rsidP="007A1FDC">
            <w:pPr>
              <w:rPr>
                <w:rFonts w:ascii="Garamond" w:hAnsi="Garamond" w:cs="Times New Roman"/>
              </w:rPr>
            </w:pPr>
            <w:r w:rsidRPr="004A0C12">
              <w:rPr>
                <w:rFonts w:ascii="Garamond" w:hAnsi="Garamond" w:cs="Times New Roman"/>
              </w:rPr>
              <w:t>The State established a written policy and procedure for how the individuals and entities represented on the State Workforce Development Board help to determine the methods and factors of distribution, and how the State consults with chief elected officials in local areas throughout the State in determining the distributions;</w:t>
            </w:r>
          </w:p>
        </w:tc>
      </w:tr>
      <w:tr w:rsidR="00AB5AEF" w:rsidRPr="004A0C12" w14:paraId="12C01222"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405F21" w14:textId="77777777" w:rsidR="00AB5AEF" w:rsidRPr="004A0C12" w:rsidRDefault="00AB5AEF" w:rsidP="007A1FDC">
            <w:pPr>
              <w:ind w:left="360"/>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8E64DC" w14:textId="77777777" w:rsidR="00AB5AEF" w:rsidRPr="004A0C12" w:rsidRDefault="00AB5AEF" w:rsidP="007A1FDC">
            <w:pPr>
              <w:rPr>
                <w:rFonts w:ascii="Garamond" w:hAnsi="Garamond" w:cs="Times New Roman"/>
              </w:rPr>
            </w:pPr>
          </w:p>
        </w:tc>
      </w:tr>
      <w:tr w:rsidR="00AB5AEF" w:rsidRPr="004A0C12" w14:paraId="350D3B5C" w14:textId="77777777" w:rsidTr="00CF4628">
        <w:trPr>
          <w:cantSplit/>
          <w:trHeight w:val="265"/>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45D65" w14:textId="77777777" w:rsidR="00AB5AEF" w:rsidRPr="004A0C12" w:rsidRDefault="00AB5AEF" w:rsidP="007A1FDC">
            <w:pPr>
              <w:ind w:left="360"/>
              <w:rPr>
                <w:rFonts w:ascii="Garamond" w:hAnsi="Garamond" w:cs="Times New Roman"/>
              </w:rPr>
            </w:pPr>
            <w:r w:rsidRPr="004A0C12">
              <w:rPr>
                <w:rFonts w:ascii="Garamond" w:hAnsi="Garamond" w:cs="Times New Roman"/>
              </w:rPr>
              <w:t>7.</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FFCAA1" w14:textId="7A633290" w:rsidR="00AB5AEF" w:rsidRPr="004A0C12" w:rsidRDefault="008449EC" w:rsidP="007A1FDC">
            <w:pPr>
              <w:rPr>
                <w:rFonts w:ascii="Garamond" w:hAnsi="Garamond" w:cs="Times New Roman"/>
              </w:rPr>
            </w:pPr>
            <w:r w:rsidRPr="004A0C12">
              <w:rPr>
                <w:rFonts w:ascii="Garamond" w:hAnsi="Garamond" w:cs="Times New Roman"/>
              </w:rPr>
              <w:t>The State will not use funds received under WIOA Title I to assist, promote, or deter union organizing in accordance with WIOA section 181(b)(7);</w:t>
            </w:r>
          </w:p>
        </w:tc>
      </w:tr>
      <w:tr w:rsidR="00AB5AEF" w:rsidRPr="004A0C12" w14:paraId="2DA3D006"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B0D17" w14:textId="77777777" w:rsidR="00AB5AEF" w:rsidRPr="004A0C12" w:rsidRDefault="00AB5AEF" w:rsidP="007A1FDC">
            <w:pPr>
              <w:ind w:left="360"/>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20EEF" w14:textId="77777777" w:rsidR="00AB5AEF" w:rsidRPr="004A0C12" w:rsidRDefault="00AB5AEF" w:rsidP="007A1FDC">
            <w:pPr>
              <w:rPr>
                <w:rFonts w:ascii="Garamond" w:hAnsi="Garamond" w:cs="Times New Roman"/>
              </w:rPr>
            </w:pPr>
          </w:p>
        </w:tc>
      </w:tr>
      <w:tr w:rsidR="00AB5AEF" w:rsidRPr="004A0C12" w14:paraId="111F087E" w14:textId="77777777" w:rsidTr="00CF4628">
        <w:trPr>
          <w:cantSplit/>
          <w:trHeight w:val="376"/>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7050EC" w14:textId="77777777" w:rsidR="00AB5AEF" w:rsidRPr="004A0C12" w:rsidRDefault="00AB5AEF" w:rsidP="007A1FDC">
            <w:pPr>
              <w:ind w:left="360"/>
              <w:rPr>
                <w:rFonts w:ascii="Garamond" w:hAnsi="Garamond" w:cs="Times New Roman"/>
              </w:rPr>
            </w:pPr>
            <w:r w:rsidRPr="004A0C12">
              <w:rPr>
                <w:rFonts w:ascii="Garamond" w:hAnsi="Garamond" w:cs="Times New Roman"/>
              </w:rPr>
              <w:t>8.</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1FEF" w14:textId="13F40302" w:rsidR="00AB5AEF" w:rsidRPr="004A0C12" w:rsidRDefault="008449EC" w:rsidP="007A1FDC">
            <w:pPr>
              <w:rPr>
                <w:rFonts w:ascii="Garamond" w:hAnsi="Garamond" w:cs="Times New Roman"/>
              </w:rPr>
            </w:pPr>
            <w:r w:rsidRPr="004A0C12">
              <w:rPr>
                <w:rFonts w:ascii="Garamond" w:hAnsi="Garamond" w:cs="Times New Roman"/>
              </w:rPr>
              <w:t>The State distributes adult and youth funds received under WIOA equitably throughout the State, and no local area suffers significant shifts in funding from year-to-year during the period covered by this plan;</w:t>
            </w:r>
          </w:p>
        </w:tc>
      </w:tr>
      <w:tr w:rsidR="00AB5AEF" w:rsidRPr="004A0C12" w14:paraId="11ECF5B7"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581BE" w14:textId="77777777" w:rsidR="00AB5AEF" w:rsidRPr="004A0C12" w:rsidRDefault="00AB5AEF" w:rsidP="007A1FDC">
            <w:pPr>
              <w:ind w:left="360"/>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9F4A29" w14:textId="77777777" w:rsidR="00AB5AEF" w:rsidRPr="004A0C12" w:rsidRDefault="00AB5AEF" w:rsidP="007A1FDC">
            <w:pPr>
              <w:rPr>
                <w:rFonts w:ascii="Garamond" w:hAnsi="Garamond" w:cs="Times New Roman"/>
              </w:rPr>
            </w:pPr>
          </w:p>
        </w:tc>
      </w:tr>
      <w:tr w:rsidR="00AB5AEF" w:rsidRPr="004A0C12" w14:paraId="5412A1F0" w14:textId="77777777" w:rsidTr="00CF4628">
        <w:trPr>
          <w:cantSplit/>
          <w:trHeight w:val="460"/>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9B39D5" w14:textId="77777777" w:rsidR="00AB5AEF" w:rsidRPr="004A0C12" w:rsidRDefault="00AB5AEF" w:rsidP="007A1FDC">
            <w:pPr>
              <w:ind w:left="360"/>
              <w:rPr>
                <w:rFonts w:ascii="Garamond" w:hAnsi="Garamond" w:cs="Times New Roman"/>
              </w:rPr>
            </w:pPr>
            <w:r w:rsidRPr="004A0C12">
              <w:rPr>
                <w:rFonts w:ascii="Garamond" w:hAnsi="Garamond" w:cs="Times New Roman"/>
              </w:rPr>
              <w:t>9.</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067DBD" w14:textId="75960DD5" w:rsidR="00AB5AEF" w:rsidRPr="004A0C12" w:rsidRDefault="008449EC" w:rsidP="007A1FDC">
            <w:pPr>
              <w:rPr>
                <w:rFonts w:ascii="Garamond" w:hAnsi="Garamond" w:cs="Times New Roman"/>
              </w:rPr>
            </w:pPr>
            <w:r w:rsidRPr="004A0C12">
              <w:rPr>
                <w:rFonts w:ascii="Garamond" w:hAnsi="Garamond" w:cs="Times New Roman"/>
              </w:rPr>
              <w:t>If a State Workforce Development Board, department, or agency administers State laws for vocational rehabilitation of persons with disabilities, that board, department, or agency cooperates with the agency that administers Wagner-Peyser services, Adult and Dislocated Worker programs and Youth Programs under Title I;</w:t>
            </w:r>
          </w:p>
        </w:tc>
      </w:tr>
      <w:tr w:rsidR="00AB5AEF" w:rsidRPr="004A0C12" w14:paraId="5B5228C2"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B4BB4" w14:textId="77777777" w:rsidR="00AB5AEF" w:rsidRPr="004A0C12" w:rsidRDefault="00AB5AEF" w:rsidP="007A1FDC">
            <w:pPr>
              <w:ind w:left="360"/>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F4183A" w14:textId="77777777" w:rsidR="00AB5AEF" w:rsidRPr="004A0C12" w:rsidRDefault="00AB5AEF" w:rsidP="007A1FDC">
            <w:pPr>
              <w:rPr>
                <w:rFonts w:ascii="Garamond" w:hAnsi="Garamond" w:cs="Times New Roman"/>
              </w:rPr>
            </w:pPr>
          </w:p>
        </w:tc>
      </w:tr>
      <w:tr w:rsidR="00AB5AEF" w:rsidRPr="004A0C12" w14:paraId="76103B62" w14:textId="77777777" w:rsidTr="00CF4628">
        <w:trPr>
          <w:cantSplit/>
          <w:trHeight w:val="255"/>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8373" w14:textId="77777777" w:rsidR="00AB5AEF" w:rsidRPr="004A0C12" w:rsidRDefault="00AB5AEF" w:rsidP="007A1FDC">
            <w:pPr>
              <w:ind w:left="360"/>
              <w:rPr>
                <w:rFonts w:ascii="Garamond" w:hAnsi="Garamond" w:cs="Times New Roman"/>
              </w:rPr>
            </w:pPr>
            <w:r w:rsidRPr="004A0C12">
              <w:rPr>
                <w:rFonts w:ascii="Garamond" w:hAnsi="Garamond" w:cs="Times New Roman"/>
              </w:rPr>
              <w:t>10.</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A9BEF9" w14:textId="6CD67BB1" w:rsidR="00AB5AEF" w:rsidRPr="004A0C12" w:rsidRDefault="008449EC" w:rsidP="007A1FDC">
            <w:pPr>
              <w:rPr>
                <w:rFonts w:ascii="Garamond" w:hAnsi="Garamond" w:cs="Times New Roman"/>
              </w:rPr>
            </w:pPr>
            <w:r w:rsidRPr="004A0C12">
              <w:rPr>
                <w:rFonts w:ascii="Garamond" w:hAnsi="Garamond" w:cs="Times New Roman"/>
              </w:rPr>
              <w:t>The State agrees to report on the impact and outcomes of its approved waivers in its WIOA Annual Report.</w:t>
            </w:r>
          </w:p>
        </w:tc>
      </w:tr>
      <w:tr w:rsidR="00AB5AEF" w:rsidRPr="004A0C12" w14:paraId="1101AAD7" w14:textId="77777777" w:rsidTr="008449EC">
        <w:trPr>
          <w:cantSplit/>
          <w:trHeight w:val="296"/>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C31224" w14:textId="77777777" w:rsidR="00AB5AEF" w:rsidRPr="004A0C12" w:rsidRDefault="00AB5AEF" w:rsidP="007A1FDC">
            <w:pPr>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BCC84" w14:textId="77777777" w:rsidR="00AB5AEF" w:rsidRPr="004A0C12" w:rsidRDefault="00AB5AEF" w:rsidP="007A1FDC">
            <w:pPr>
              <w:rPr>
                <w:rFonts w:ascii="Garamond" w:hAnsi="Garamond" w:cs="Times New Roman"/>
              </w:rPr>
            </w:pPr>
          </w:p>
        </w:tc>
      </w:tr>
      <w:tr w:rsidR="00AB5AEF" w:rsidRPr="004A0C12" w14:paraId="37624544" w14:textId="77777777" w:rsidTr="00CF4628">
        <w:trPr>
          <w:cantSplit/>
          <w:trHeight w:val="255"/>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03A724" w14:textId="77777777" w:rsidR="00AB5AEF" w:rsidRPr="004A0C12" w:rsidRDefault="00AB5AEF" w:rsidP="007A1FDC">
            <w:pPr>
              <w:rPr>
                <w:rFonts w:ascii="Garamond" w:hAnsi="Garamond" w:cs="Times New Roman"/>
              </w:rPr>
            </w:pPr>
            <w:r w:rsidRPr="004A0C12">
              <w:rPr>
                <w:rFonts w:ascii="Garamond" w:hAnsi="Garamond" w:cs="Times New Roman"/>
              </w:rPr>
              <w:t xml:space="preserve">      11. </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FC9ED" w14:textId="5B9DE59A" w:rsidR="00AB5AEF" w:rsidRPr="004A0C12" w:rsidRDefault="008449EC" w:rsidP="007A1FDC">
            <w:pPr>
              <w:rPr>
                <w:rFonts w:ascii="Garamond" w:hAnsi="Garamond" w:cs="Times New Roman"/>
              </w:rPr>
            </w:pPr>
            <w:r w:rsidRPr="004A0C12">
              <w:rPr>
                <w:rFonts w:ascii="Garamond" w:hAnsi="Garamond" w:cs="Times New Roman"/>
              </w:rPr>
              <w:t>The State has taken appropriate action to secure compliance with the Uniform Guidance at 2 CFR 200 and 2 CFR 2900, including that the State will annually monitor local areas to ensure compliance and otherwise take appropriate action to secure compliance with the Uniform Guidance under section WIOA 184(a)(3);</w:t>
            </w:r>
          </w:p>
        </w:tc>
      </w:tr>
      <w:tr w:rsidR="00AB5AEF" w:rsidRPr="004A0C12" w14:paraId="7A2899FD" w14:textId="77777777" w:rsidTr="00CF4628">
        <w:trPr>
          <w:cantSplit/>
          <w:trHeight w:val="149"/>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81612" w14:textId="77777777" w:rsidR="00AB5AEF" w:rsidRPr="004A0C12" w:rsidRDefault="00AB5AEF" w:rsidP="007A1FDC">
            <w:pPr>
              <w:rPr>
                <w:rFonts w:ascii="Garamond" w:hAnsi="Garamond" w:cs="Times New Roman"/>
              </w:rPr>
            </w:pP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39E9B" w14:textId="77777777" w:rsidR="00AB5AEF" w:rsidRPr="004A0C12" w:rsidRDefault="00AB5AEF" w:rsidP="007A1FDC">
            <w:pPr>
              <w:rPr>
                <w:rFonts w:ascii="Garamond" w:hAnsi="Garamond" w:cs="Times New Roman"/>
              </w:rPr>
            </w:pPr>
          </w:p>
        </w:tc>
      </w:tr>
      <w:tr w:rsidR="00AB5AEF" w:rsidRPr="004A0C12" w14:paraId="476B5464" w14:textId="77777777" w:rsidTr="00CF4628">
        <w:trPr>
          <w:cantSplit/>
          <w:trHeight w:val="638"/>
        </w:trPr>
        <w:tc>
          <w:tcPr>
            <w:tcW w:w="10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A87E84" w14:textId="77777777" w:rsidR="00AB5AEF" w:rsidRPr="004A0C12" w:rsidRDefault="00AB5AEF" w:rsidP="007A1FDC">
            <w:pPr>
              <w:rPr>
                <w:rFonts w:ascii="Garamond" w:hAnsi="Garamond" w:cs="Times New Roman"/>
              </w:rPr>
            </w:pPr>
            <w:r w:rsidRPr="004A0C12">
              <w:rPr>
                <w:rFonts w:ascii="Garamond" w:hAnsi="Garamond" w:cs="Times New Roman"/>
              </w:rPr>
              <w:t xml:space="preserve">      12. </w:t>
            </w:r>
          </w:p>
        </w:tc>
        <w:tc>
          <w:tcPr>
            <w:tcW w:w="101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A4E52" w14:textId="77777777" w:rsidR="00AB5AEF" w:rsidRPr="004A0C12" w:rsidRDefault="00AB5AEF" w:rsidP="007A1FDC">
            <w:pPr>
              <w:rPr>
                <w:rStyle w:val="FootnoteReference1"/>
                <w:rFonts w:ascii="Garamond" w:hAnsi="Garamond" w:cs="Times New Roman"/>
                <w:sz w:val="22"/>
              </w:rPr>
            </w:pPr>
            <w:r w:rsidRPr="004A0C12">
              <w:rPr>
                <w:rFonts w:ascii="Garamond" w:hAnsi="Garamond" w:cs="Times New Roman"/>
              </w:rPr>
              <w:t>The State has taken  appropriate  action to secure compliance with the Uniform Guidance at 2 CFR 200 and 2 CFR 2900, including that the State will annually monitor local areas to ensure compliance and otherwise take appropriate action to secure compliance with the Uniform Guidance under section WIOA 184(a)(3);</w:t>
            </w:r>
            <w:r w:rsidRPr="004A0C12">
              <w:rPr>
                <w:rStyle w:val="FootnoteReference1"/>
                <w:rFonts w:ascii="Garamond" w:hAnsi="Garamond" w:cs="Times New Roman"/>
                <w:sz w:val="22"/>
              </w:rPr>
              <w:t xml:space="preserve"> </w:t>
            </w:r>
          </w:p>
        </w:tc>
      </w:tr>
    </w:tbl>
    <w:p w14:paraId="7B915E6F" w14:textId="77777777" w:rsidR="00AB5AEF" w:rsidRDefault="00AB5AEF" w:rsidP="00AB5AEF">
      <w:pPr>
        <w:rPr>
          <w:rFonts w:ascii="Garamond" w:hAnsi="Garamond"/>
        </w:rPr>
      </w:pPr>
    </w:p>
    <w:p w14:paraId="093EBE77" w14:textId="77777777" w:rsidR="00F6079B" w:rsidRDefault="00F6079B" w:rsidP="00AB5AEF">
      <w:pPr>
        <w:rPr>
          <w:rFonts w:ascii="Garamond" w:hAnsi="Garamond"/>
        </w:rPr>
      </w:pPr>
    </w:p>
    <w:p w14:paraId="471D9BE5" w14:textId="77777777" w:rsidR="00F6079B" w:rsidRDefault="00F6079B" w:rsidP="00AB5AEF">
      <w:pPr>
        <w:rPr>
          <w:rFonts w:ascii="Garamond" w:hAnsi="Garamond"/>
        </w:rPr>
      </w:pPr>
    </w:p>
    <w:p w14:paraId="55F270AA" w14:textId="77777777" w:rsidR="00F6079B" w:rsidRDefault="00F6079B" w:rsidP="00AB5AEF">
      <w:pPr>
        <w:rPr>
          <w:rFonts w:ascii="Garamond" w:hAnsi="Garamond"/>
        </w:rPr>
      </w:pPr>
    </w:p>
    <w:p w14:paraId="50D906BE" w14:textId="77777777" w:rsidR="00F6079B" w:rsidRDefault="00F6079B" w:rsidP="00AB5AEF">
      <w:pPr>
        <w:rPr>
          <w:rFonts w:ascii="Garamond" w:hAnsi="Garamond"/>
        </w:rPr>
      </w:pPr>
    </w:p>
    <w:p w14:paraId="30E490D3" w14:textId="77777777" w:rsidR="00F6079B" w:rsidRDefault="00F6079B" w:rsidP="00AB5AEF">
      <w:pPr>
        <w:rPr>
          <w:rFonts w:ascii="Garamond" w:hAnsi="Garamond"/>
        </w:rPr>
      </w:pPr>
    </w:p>
    <w:p w14:paraId="4B94B469" w14:textId="77777777" w:rsidR="00F6079B" w:rsidRDefault="00F6079B" w:rsidP="00AB5AEF">
      <w:pPr>
        <w:rPr>
          <w:rFonts w:ascii="Garamond" w:hAnsi="Garamond"/>
        </w:rPr>
      </w:pPr>
    </w:p>
    <w:p w14:paraId="22D9FE1B" w14:textId="77777777" w:rsidR="00F6079B" w:rsidRDefault="00F6079B" w:rsidP="00AB5AEF">
      <w:pPr>
        <w:rPr>
          <w:rFonts w:ascii="Garamond" w:hAnsi="Garamond"/>
        </w:rPr>
      </w:pPr>
    </w:p>
    <w:p w14:paraId="1FF6231C" w14:textId="77777777" w:rsidR="00F6079B" w:rsidRDefault="00F6079B" w:rsidP="00AB5AEF">
      <w:pPr>
        <w:rPr>
          <w:rFonts w:ascii="Garamond" w:hAnsi="Garamond"/>
        </w:rPr>
      </w:pPr>
    </w:p>
    <w:p w14:paraId="40AD9FB8" w14:textId="77777777" w:rsidR="00F6079B" w:rsidRDefault="00F6079B" w:rsidP="00AB5AEF">
      <w:pPr>
        <w:rPr>
          <w:rFonts w:ascii="Garamond" w:hAnsi="Garamond"/>
        </w:rPr>
      </w:pPr>
    </w:p>
    <w:p w14:paraId="5FD538AC" w14:textId="77777777" w:rsidR="00F6079B" w:rsidRDefault="00F6079B" w:rsidP="00AB5AEF">
      <w:pPr>
        <w:rPr>
          <w:rFonts w:ascii="Garamond" w:hAnsi="Garamond"/>
        </w:rPr>
      </w:pPr>
    </w:p>
    <w:p w14:paraId="11EC0EBB" w14:textId="77777777" w:rsidR="00F6079B" w:rsidRDefault="00F6079B" w:rsidP="00AB5AEF">
      <w:pPr>
        <w:rPr>
          <w:rFonts w:ascii="Garamond" w:hAnsi="Garamond"/>
        </w:rPr>
      </w:pPr>
    </w:p>
    <w:p w14:paraId="27FDD328" w14:textId="77777777" w:rsidR="00F6079B" w:rsidRDefault="00F6079B" w:rsidP="00AB5AEF">
      <w:pPr>
        <w:rPr>
          <w:rFonts w:ascii="Garamond" w:hAnsi="Garamond"/>
        </w:rPr>
      </w:pPr>
    </w:p>
    <w:p w14:paraId="4F9A7A59" w14:textId="77777777" w:rsidR="00F6079B" w:rsidRDefault="00F6079B" w:rsidP="00AB5AEF">
      <w:pPr>
        <w:rPr>
          <w:rFonts w:ascii="Garamond" w:hAnsi="Garamond"/>
        </w:rPr>
      </w:pPr>
    </w:p>
    <w:p w14:paraId="745499D8" w14:textId="77777777" w:rsidR="00F6079B" w:rsidRDefault="00F6079B" w:rsidP="00AB5AEF">
      <w:pPr>
        <w:rPr>
          <w:rFonts w:ascii="Garamond" w:hAnsi="Garamond"/>
        </w:rPr>
      </w:pPr>
    </w:p>
    <w:p w14:paraId="6C9EFAC9" w14:textId="77777777" w:rsidR="00F6079B" w:rsidRDefault="00F6079B" w:rsidP="00AB5AEF">
      <w:pPr>
        <w:rPr>
          <w:rFonts w:ascii="Garamond" w:hAnsi="Garamond"/>
        </w:rPr>
      </w:pPr>
    </w:p>
    <w:p w14:paraId="2A07F2DF" w14:textId="77777777" w:rsidR="00F6079B" w:rsidRPr="004A0C12" w:rsidRDefault="00F6079B" w:rsidP="00AB5AEF">
      <w:pPr>
        <w:rPr>
          <w:rFonts w:ascii="Garamond" w:hAnsi="Garamond"/>
        </w:rPr>
      </w:pPr>
    </w:p>
    <w:p w14:paraId="5A697805" w14:textId="77777777" w:rsidR="007A1FDC" w:rsidRPr="00F6079B" w:rsidRDefault="007A1FDC" w:rsidP="00F6079B">
      <w:pPr>
        <w:pStyle w:val="Heading1"/>
        <w:rPr>
          <w:rFonts w:ascii="Garamond" w:hAnsi="Garamond"/>
        </w:rPr>
      </w:pPr>
      <w:bookmarkStart w:id="141" w:name="_Toc447276179"/>
      <w:proofErr w:type="gramStart"/>
      <w:r w:rsidRPr="00F6079B">
        <w:rPr>
          <w:rFonts w:ascii="Garamond" w:hAnsi="Garamond"/>
        </w:rPr>
        <w:lastRenderedPageBreak/>
        <w:t>PART 5.</w:t>
      </w:r>
      <w:proofErr w:type="gramEnd"/>
      <w:r w:rsidRPr="00F6079B">
        <w:rPr>
          <w:rFonts w:ascii="Garamond" w:hAnsi="Garamond"/>
        </w:rPr>
        <w:t xml:space="preserve"> WAGNER-PEYSER ACT PROGRAM (Employment Services)</w:t>
      </w:r>
      <w:bookmarkEnd w:id="141"/>
      <w:r w:rsidRPr="00F6079B">
        <w:rPr>
          <w:rFonts w:ascii="Garamond" w:hAnsi="Garamond"/>
        </w:rPr>
        <w:t xml:space="preserve"> </w:t>
      </w:r>
    </w:p>
    <w:p w14:paraId="1B2E4F08" w14:textId="77777777" w:rsidR="007A1FDC" w:rsidRPr="004A0C12" w:rsidRDefault="007A1FDC" w:rsidP="007A1FDC">
      <w:pPr>
        <w:pStyle w:val="PlainText1"/>
        <w:rPr>
          <w:rFonts w:ascii="Garamond" w:hAnsi="Garamond"/>
          <w:sz w:val="22"/>
          <w:szCs w:val="22"/>
        </w:rPr>
      </w:pPr>
    </w:p>
    <w:p w14:paraId="5A9A9902" w14:textId="0308FE17" w:rsidR="007A1FDC" w:rsidRPr="004A0C12" w:rsidRDefault="008F28A1" w:rsidP="007A1FDC">
      <w:pPr>
        <w:pStyle w:val="ListParagraph"/>
        <w:ind w:left="0"/>
        <w:jc w:val="both"/>
        <w:rPr>
          <w:rFonts w:ascii="Garamond" w:hAnsi="Garamond"/>
          <w:szCs w:val="22"/>
        </w:rPr>
      </w:pPr>
      <w:r w:rsidRPr="004A0C12">
        <w:rPr>
          <w:rFonts w:ascii="Garamond" w:hAnsi="Garamond"/>
          <w:szCs w:val="22"/>
        </w:rPr>
        <w:t>The WIOA</w:t>
      </w:r>
      <w:r w:rsidR="007A1FDC" w:rsidRPr="004A0C12">
        <w:rPr>
          <w:rFonts w:ascii="Garamond" w:hAnsi="Garamond"/>
          <w:szCs w:val="22"/>
        </w:rPr>
        <w:t xml:space="preserve"> Staff Training Committee, comprised primarily of American Job Center field and supervisory staff</w:t>
      </w:r>
      <w:r w:rsidR="007D1705" w:rsidRPr="004A0C12">
        <w:rPr>
          <w:rFonts w:ascii="Garamond" w:hAnsi="Garamond"/>
          <w:szCs w:val="22"/>
        </w:rPr>
        <w:t xml:space="preserve"> along a cross-section of WIOA P</w:t>
      </w:r>
      <w:r w:rsidR="007A1FDC" w:rsidRPr="004A0C12">
        <w:rPr>
          <w:rFonts w:ascii="Garamond" w:hAnsi="Garamond"/>
          <w:szCs w:val="22"/>
        </w:rPr>
        <w:t>artners, surveyed all American Job Center staff to identify where staff felt the greatest need for training existed.</w:t>
      </w:r>
    </w:p>
    <w:p w14:paraId="77ECB6EB" w14:textId="77777777" w:rsidR="007A1FDC" w:rsidRPr="004A0C12" w:rsidRDefault="007A1FDC" w:rsidP="007A1FDC">
      <w:pPr>
        <w:spacing w:after="0" w:line="240" w:lineRule="auto"/>
        <w:jc w:val="both"/>
        <w:rPr>
          <w:rFonts w:ascii="Garamond" w:hAnsi="Garamond"/>
        </w:rPr>
      </w:pPr>
    </w:p>
    <w:p w14:paraId="4F32435D"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Based upon that survey and independent knowledge, the Staff Training Committee recommended seven areas upon which to focus training, utilizing existing staff expertise as much as possible to provide training to all partners.  In particular, the content of the first item below – customer service – was a common theme throughout the committees’ deliberations. </w:t>
      </w:r>
    </w:p>
    <w:p w14:paraId="564F3980" w14:textId="77777777" w:rsidR="008F28A1" w:rsidRPr="004A0C12" w:rsidRDefault="008F28A1" w:rsidP="007A1FDC">
      <w:pPr>
        <w:spacing w:after="0" w:line="240" w:lineRule="auto"/>
        <w:jc w:val="both"/>
        <w:rPr>
          <w:rFonts w:ascii="Garamond" w:hAnsi="Garamond"/>
        </w:rPr>
      </w:pPr>
    </w:p>
    <w:p w14:paraId="385DC0DD" w14:textId="77777777" w:rsidR="008F28A1" w:rsidRPr="004A0C12" w:rsidRDefault="008F28A1" w:rsidP="007A1FDC">
      <w:pPr>
        <w:spacing w:after="0" w:line="240" w:lineRule="auto"/>
        <w:jc w:val="both"/>
        <w:rPr>
          <w:rFonts w:ascii="Garamond" w:hAnsi="Garamond"/>
        </w:rPr>
      </w:pPr>
      <w:r w:rsidRPr="004A0C12">
        <w:rPr>
          <w:rFonts w:ascii="Garamond" w:hAnsi="Garamond"/>
        </w:rPr>
        <w:t xml:space="preserve">The WIOA Staff Training Committee offered the following recommendations: </w:t>
      </w:r>
    </w:p>
    <w:p w14:paraId="7FBC9E32" w14:textId="77777777" w:rsidR="007A1FDC" w:rsidRPr="004A0C12" w:rsidRDefault="007A1FDC" w:rsidP="007A1FDC">
      <w:pPr>
        <w:spacing w:after="0" w:line="240" w:lineRule="auto"/>
        <w:jc w:val="both"/>
        <w:rPr>
          <w:rFonts w:ascii="Garamond" w:hAnsi="Garamond"/>
        </w:rPr>
      </w:pPr>
    </w:p>
    <w:p w14:paraId="020DE20C" w14:textId="043FAF7E" w:rsidR="007A1FDC" w:rsidRPr="004A0C12" w:rsidRDefault="008F28A1" w:rsidP="00F733CF">
      <w:pPr>
        <w:numPr>
          <w:ilvl w:val="0"/>
          <w:numId w:val="106"/>
        </w:numPr>
        <w:tabs>
          <w:tab w:val="clear" w:pos="0"/>
          <w:tab w:val="num" w:pos="720"/>
        </w:tabs>
        <w:spacing w:after="0" w:line="240" w:lineRule="auto"/>
        <w:ind w:left="720" w:hanging="360"/>
        <w:jc w:val="both"/>
        <w:rPr>
          <w:rFonts w:ascii="Garamond" w:hAnsi="Garamond"/>
        </w:rPr>
      </w:pPr>
      <w:r w:rsidRPr="004A0C12">
        <w:rPr>
          <w:rFonts w:ascii="Garamond" w:hAnsi="Garamond"/>
        </w:rPr>
        <w:t>Provide c</w:t>
      </w:r>
      <w:r w:rsidR="007A1FDC" w:rsidRPr="004A0C12">
        <w:rPr>
          <w:rFonts w:ascii="Garamond" w:hAnsi="Garamond"/>
        </w:rPr>
        <w:t>ustomer service training (internal and external)</w:t>
      </w:r>
      <w:r w:rsidRPr="004A0C12">
        <w:rPr>
          <w:rFonts w:ascii="Garamond" w:hAnsi="Garamond"/>
        </w:rPr>
        <w:t>,</w:t>
      </w:r>
      <w:r w:rsidR="007A1FDC" w:rsidRPr="004A0C12">
        <w:rPr>
          <w:rFonts w:ascii="Garamond" w:hAnsi="Garamond"/>
        </w:rPr>
        <w:t xml:space="preserve"> including common intake, </w:t>
      </w:r>
      <w:r w:rsidR="008449EC" w:rsidRPr="004A0C12">
        <w:rPr>
          <w:rFonts w:ascii="Garamond" w:hAnsi="Garamond"/>
        </w:rPr>
        <w:t>utilizing</w:t>
      </w:r>
      <w:r w:rsidR="007A1FDC" w:rsidRPr="004A0C12">
        <w:rPr>
          <w:rFonts w:ascii="Garamond" w:hAnsi="Garamond"/>
        </w:rPr>
        <w:t xml:space="preserve"> creative</w:t>
      </w:r>
      <w:r w:rsidR="008449EC" w:rsidRPr="004A0C12">
        <w:rPr>
          <w:rFonts w:ascii="Garamond" w:hAnsi="Garamond"/>
        </w:rPr>
        <w:t xml:space="preserve"> methods on working with jobseekers</w:t>
      </w:r>
      <w:r w:rsidR="007A1FDC" w:rsidRPr="004A0C12">
        <w:rPr>
          <w:rFonts w:ascii="Garamond" w:hAnsi="Garamond"/>
        </w:rPr>
        <w:t>, removing barriers, reasonable accommodations, understanding generational differences, understanding commonalities in hard-to-serve populations, and diversity and sensitivity training to work w</w:t>
      </w:r>
      <w:r w:rsidR="008449EC" w:rsidRPr="004A0C12">
        <w:rPr>
          <w:rFonts w:ascii="Garamond" w:hAnsi="Garamond"/>
        </w:rPr>
        <w:t>ith the hard-to-serve customers</w:t>
      </w:r>
    </w:p>
    <w:p w14:paraId="69A59FD4" w14:textId="269D63F5" w:rsidR="007A1FDC" w:rsidRPr="004A0C12" w:rsidRDefault="008F28A1" w:rsidP="00F733CF">
      <w:pPr>
        <w:numPr>
          <w:ilvl w:val="0"/>
          <w:numId w:val="106"/>
        </w:numPr>
        <w:tabs>
          <w:tab w:val="clear" w:pos="0"/>
          <w:tab w:val="num" w:pos="720"/>
        </w:tabs>
        <w:spacing w:after="0" w:line="240" w:lineRule="auto"/>
        <w:ind w:left="720" w:hanging="360"/>
        <w:jc w:val="both"/>
        <w:rPr>
          <w:rFonts w:ascii="Garamond" w:hAnsi="Garamond"/>
        </w:rPr>
      </w:pPr>
      <w:r w:rsidRPr="004A0C12">
        <w:rPr>
          <w:rFonts w:ascii="Garamond" w:hAnsi="Garamond"/>
        </w:rPr>
        <w:t>Deliver training on e</w:t>
      </w:r>
      <w:r w:rsidR="007A1FDC" w:rsidRPr="004A0C12">
        <w:rPr>
          <w:rFonts w:ascii="Garamond" w:hAnsi="Garamond"/>
        </w:rPr>
        <w:t>ffective case</w:t>
      </w:r>
      <w:r w:rsidR="008449EC" w:rsidRPr="004A0C12">
        <w:rPr>
          <w:rFonts w:ascii="Garamond" w:hAnsi="Garamond"/>
        </w:rPr>
        <w:t xml:space="preserve"> management strategies</w:t>
      </w:r>
    </w:p>
    <w:p w14:paraId="11F16E13" w14:textId="34360950" w:rsidR="007A1FDC" w:rsidRPr="004A0C12" w:rsidRDefault="008F28A1" w:rsidP="00F733CF">
      <w:pPr>
        <w:numPr>
          <w:ilvl w:val="0"/>
          <w:numId w:val="106"/>
        </w:numPr>
        <w:tabs>
          <w:tab w:val="clear" w:pos="0"/>
          <w:tab w:val="num" w:pos="720"/>
        </w:tabs>
        <w:spacing w:after="0" w:line="240" w:lineRule="auto"/>
        <w:ind w:left="720" w:hanging="360"/>
        <w:jc w:val="both"/>
        <w:rPr>
          <w:rFonts w:ascii="Garamond" w:hAnsi="Garamond"/>
        </w:rPr>
      </w:pPr>
      <w:r w:rsidRPr="004A0C12">
        <w:rPr>
          <w:rFonts w:ascii="Garamond" w:hAnsi="Garamond"/>
        </w:rPr>
        <w:t>Provide i</w:t>
      </w:r>
      <w:r w:rsidR="007A1FDC" w:rsidRPr="004A0C12">
        <w:rPr>
          <w:rFonts w:ascii="Garamond" w:hAnsi="Garamond"/>
        </w:rPr>
        <w:t>ndustry and occupational demands train</w:t>
      </w:r>
      <w:r w:rsidRPr="004A0C12">
        <w:rPr>
          <w:rFonts w:ascii="Garamond" w:hAnsi="Garamond"/>
        </w:rPr>
        <w:t>ing – how to effectively use Labor Market Information</w:t>
      </w:r>
      <w:r w:rsidR="007A1FDC" w:rsidRPr="004A0C12">
        <w:rPr>
          <w:rFonts w:ascii="Garamond" w:hAnsi="Garamond"/>
        </w:rPr>
        <w:t xml:space="preserve"> to assist customers</w:t>
      </w:r>
    </w:p>
    <w:p w14:paraId="76188226" w14:textId="5A753133" w:rsidR="007A1FDC" w:rsidRPr="004A0C12" w:rsidRDefault="008F28A1" w:rsidP="00F733CF">
      <w:pPr>
        <w:numPr>
          <w:ilvl w:val="0"/>
          <w:numId w:val="106"/>
        </w:numPr>
        <w:tabs>
          <w:tab w:val="clear" w:pos="0"/>
          <w:tab w:val="num" w:pos="720"/>
        </w:tabs>
        <w:spacing w:after="0" w:line="240" w:lineRule="auto"/>
        <w:ind w:left="720" w:hanging="360"/>
        <w:jc w:val="both"/>
        <w:rPr>
          <w:rFonts w:ascii="Garamond" w:hAnsi="Garamond"/>
        </w:rPr>
      </w:pPr>
      <w:r w:rsidRPr="004A0C12">
        <w:rPr>
          <w:rFonts w:ascii="Garamond" w:hAnsi="Garamond"/>
        </w:rPr>
        <w:t>Strengthen understanding of p</w:t>
      </w:r>
      <w:r w:rsidR="007A1FDC" w:rsidRPr="004A0C12">
        <w:rPr>
          <w:rFonts w:ascii="Garamond" w:hAnsi="Garamond"/>
        </w:rPr>
        <w:t>rinciples of c</w:t>
      </w:r>
      <w:r w:rsidRPr="004A0C12">
        <w:rPr>
          <w:rFonts w:ascii="Garamond" w:hAnsi="Garamond"/>
        </w:rPr>
        <w:t>ontinuo</w:t>
      </w:r>
      <w:r w:rsidR="008449EC" w:rsidRPr="004A0C12">
        <w:rPr>
          <w:rFonts w:ascii="Garamond" w:hAnsi="Garamond"/>
        </w:rPr>
        <w:t>us improvement through training</w:t>
      </w:r>
    </w:p>
    <w:p w14:paraId="2545F54D" w14:textId="18B8AC92" w:rsidR="007A1FDC" w:rsidRPr="004A0C12" w:rsidRDefault="008F28A1" w:rsidP="00F733CF">
      <w:pPr>
        <w:numPr>
          <w:ilvl w:val="0"/>
          <w:numId w:val="106"/>
        </w:numPr>
        <w:tabs>
          <w:tab w:val="clear" w:pos="0"/>
          <w:tab w:val="num" w:pos="720"/>
        </w:tabs>
        <w:spacing w:after="0" w:line="240" w:lineRule="auto"/>
        <w:ind w:left="720" w:hanging="360"/>
        <w:jc w:val="both"/>
        <w:rPr>
          <w:rFonts w:ascii="Garamond" w:hAnsi="Garamond"/>
        </w:rPr>
      </w:pPr>
      <w:r w:rsidRPr="004A0C12">
        <w:rPr>
          <w:rFonts w:ascii="Garamond" w:hAnsi="Garamond"/>
        </w:rPr>
        <w:t>Offer o</w:t>
      </w:r>
      <w:r w:rsidR="007A1FDC" w:rsidRPr="004A0C12">
        <w:rPr>
          <w:rFonts w:ascii="Garamond" w:hAnsi="Garamond"/>
        </w:rPr>
        <w:t>ngoing, evolving staff development (online and classroom), including certification training for staff who have yet to attain credentials, co</w:t>
      </w:r>
      <w:r w:rsidRPr="004A0C12">
        <w:rPr>
          <w:rFonts w:ascii="Garamond" w:hAnsi="Garamond"/>
        </w:rPr>
        <w:t>mputer, and social media skil</w:t>
      </w:r>
      <w:r w:rsidR="008449EC" w:rsidRPr="004A0C12">
        <w:rPr>
          <w:rFonts w:ascii="Garamond" w:hAnsi="Garamond"/>
        </w:rPr>
        <w:t>ls</w:t>
      </w:r>
    </w:p>
    <w:p w14:paraId="07E04A71" w14:textId="5AE5171D" w:rsidR="008F28A1" w:rsidRPr="004A0C12" w:rsidRDefault="008F28A1" w:rsidP="00F733CF">
      <w:pPr>
        <w:numPr>
          <w:ilvl w:val="0"/>
          <w:numId w:val="106"/>
        </w:numPr>
        <w:tabs>
          <w:tab w:val="clear" w:pos="0"/>
          <w:tab w:val="num" w:pos="720"/>
        </w:tabs>
        <w:spacing w:after="0" w:line="240" w:lineRule="auto"/>
        <w:ind w:left="720" w:hanging="360"/>
        <w:jc w:val="both"/>
        <w:rPr>
          <w:rFonts w:ascii="Garamond" w:hAnsi="Garamond"/>
        </w:rPr>
      </w:pPr>
      <w:r w:rsidRPr="004A0C12">
        <w:rPr>
          <w:rFonts w:ascii="Garamond" w:hAnsi="Garamond"/>
        </w:rPr>
        <w:t>Provide ongoi</w:t>
      </w:r>
      <w:r w:rsidR="008449EC" w:rsidRPr="004A0C12">
        <w:rPr>
          <w:rFonts w:ascii="Garamond" w:hAnsi="Garamond"/>
        </w:rPr>
        <w:t>ng partner cross-training</w:t>
      </w:r>
    </w:p>
    <w:p w14:paraId="42947EC2" w14:textId="35F66538" w:rsidR="007A1FDC" w:rsidRPr="004A0C12" w:rsidRDefault="008F28A1" w:rsidP="00F733CF">
      <w:pPr>
        <w:numPr>
          <w:ilvl w:val="0"/>
          <w:numId w:val="106"/>
        </w:numPr>
        <w:tabs>
          <w:tab w:val="clear" w:pos="0"/>
          <w:tab w:val="num" w:pos="720"/>
        </w:tabs>
        <w:spacing w:after="0" w:line="240" w:lineRule="auto"/>
        <w:ind w:left="720" w:hanging="360"/>
        <w:jc w:val="both"/>
        <w:rPr>
          <w:rFonts w:ascii="Garamond" w:hAnsi="Garamond"/>
        </w:rPr>
      </w:pPr>
      <w:r w:rsidRPr="004A0C12">
        <w:rPr>
          <w:rFonts w:ascii="Garamond" w:hAnsi="Garamond"/>
        </w:rPr>
        <w:t>Deliver business services training</w:t>
      </w:r>
      <w:r w:rsidR="007A1FDC" w:rsidRPr="004A0C12">
        <w:rPr>
          <w:rFonts w:ascii="Garamond" w:hAnsi="Garamond"/>
        </w:rPr>
        <w:t xml:space="preserve"> to better educate staff </w:t>
      </w:r>
      <w:r w:rsidRPr="004A0C12">
        <w:rPr>
          <w:rFonts w:ascii="Garamond" w:hAnsi="Garamond"/>
        </w:rPr>
        <w:t>on competencies and skillsets desired by businesses</w:t>
      </w:r>
      <w:r w:rsidR="007A1FDC" w:rsidRPr="004A0C12">
        <w:rPr>
          <w:rFonts w:ascii="Garamond" w:hAnsi="Garamond"/>
        </w:rPr>
        <w:t>; in turn, staff will</w:t>
      </w:r>
      <w:r w:rsidRPr="004A0C12">
        <w:rPr>
          <w:rFonts w:ascii="Garamond" w:hAnsi="Garamond"/>
        </w:rPr>
        <w:t xml:space="preserve"> </w:t>
      </w:r>
      <w:r w:rsidR="00BB5F3C" w:rsidRPr="004A0C12">
        <w:rPr>
          <w:rFonts w:ascii="Garamond" w:hAnsi="Garamond"/>
        </w:rPr>
        <w:t>be able to educate job</w:t>
      </w:r>
      <w:r w:rsidR="008449EC" w:rsidRPr="004A0C12">
        <w:rPr>
          <w:rFonts w:ascii="Garamond" w:hAnsi="Garamond"/>
        </w:rPr>
        <w:t>seekers</w:t>
      </w:r>
    </w:p>
    <w:p w14:paraId="55CFAAAC" w14:textId="77777777" w:rsidR="007A1FDC" w:rsidRPr="004A0C12" w:rsidRDefault="007A1FDC" w:rsidP="007A1FDC">
      <w:pPr>
        <w:spacing w:after="0" w:line="240" w:lineRule="auto"/>
        <w:ind w:left="720"/>
        <w:jc w:val="both"/>
        <w:rPr>
          <w:rFonts w:ascii="Garamond" w:hAnsi="Garamond"/>
          <w:color w:val="3E0987"/>
        </w:rPr>
      </w:pPr>
    </w:p>
    <w:p w14:paraId="541A645F" w14:textId="77777777" w:rsidR="00654E06" w:rsidRPr="004A0C12" w:rsidRDefault="00654E06" w:rsidP="00654E06">
      <w:pPr>
        <w:spacing w:after="100" w:line="240" w:lineRule="auto"/>
        <w:rPr>
          <w:rFonts w:ascii="Garamond" w:eastAsia="Times New Roman" w:hAnsi="Garamond" w:cs="Times New Roman"/>
        </w:rPr>
      </w:pPr>
      <w:r w:rsidRPr="004A0C12">
        <w:rPr>
          <w:rFonts w:ascii="Garamond" w:eastAsia="Times New Roman" w:hAnsi="Garamond" w:cs="Times New Roman"/>
          <w:color w:val="000000"/>
        </w:rPr>
        <w:t>As the State is implementing WIOA, the focus of the State’s workgroups has changed. The State is creating a Professional Development workgroup to assist the WIOA Alignment Group (which is described in previous sections) in identifying the professional development needs of the workforce system. Maryland’s goal is to approach professional development systematically and not siloed by agency. For instance, through technical assistance provided by Maher and Maher in partnership with USDOL, the State convened all business services professionals from DLLR, DHR, Local Areas, DORS, and the community colleges. This day long training focused on building a common understanding of registered apprenticeships and how to market that workforce solution to Maryland’s businesses. The training was a success and the State is dedicated to identifying and utilizing this systems approach to professional development in the future.</w:t>
      </w:r>
    </w:p>
    <w:p w14:paraId="7BC2B4DD" w14:textId="77777777" w:rsidR="00654E06" w:rsidRPr="004A0C12" w:rsidRDefault="00654E06" w:rsidP="008F28A1">
      <w:pPr>
        <w:pStyle w:val="PlainText1"/>
        <w:jc w:val="both"/>
        <w:rPr>
          <w:rFonts w:ascii="Garamond" w:hAnsi="Garamond"/>
          <w:sz w:val="22"/>
          <w:szCs w:val="22"/>
        </w:rPr>
      </w:pPr>
    </w:p>
    <w:p w14:paraId="1AD36C4B" w14:textId="5F93F517" w:rsidR="007A1FDC" w:rsidRPr="004A0C12" w:rsidRDefault="008F28A1" w:rsidP="008F28A1">
      <w:pPr>
        <w:pStyle w:val="PlainText1"/>
        <w:jc w:val="both"/>
        <w:rPr>
          <w:rFonts w:ascii="Garamond" w:hAnsi="Garamond"/>
          <w:sz w:val="22"/>
          <w:szCs w:val="22"/>
        </w:rPr>
      </w:pPr>
      <w:r w:rsidRPr="004A0C12">
        <w:rPr>
          <w:rFonts w:ascii="Garamond" w:hAnsi="Garamond"/>
          <w:sz w:val="22"/>
          <w:szCs w:val="22"/>
        </w:rPr>
        <w:t>DLLR</w:t>
      </w:r>
      <w:r w:rsidR="007A1FDC" w:rsidRPr="004A0C12">
        <w:rPr>
          <w:rFonts w:ascii="Garamond" w:hAnsi="Garamond"/>
          <w:sz w:val="22"/>
          <w:szCs w:val="22"/>
        </w:rPr>
        <w:t xml:space="preserve"> is in the process of creating new job classifications for </w:t>
      </w:r>
      <w:r w:rsidRPr="004A0C12">
        <w:rPr>
          <w:rFonts w:ascii="Garamond" w:hAnsi="Garamond"/>
          <w:sz w:val="22"/>
          <w:szCs w:val="22"/>
        </w:rPr>
        <w:t>its State Merit S</w:t>
      </w:r>
      <w:r w:rsidR="007A1FDC" w:rsidRPr="004A0C12">
        <w:rPr>
          <w:rFonts w:ascii="Garamond" w:hAnsi="Garamond"/>
          <w:sz w:val="22"/>
          <w:szCs w:val="22"/>
        </w:rPr>
        <w:t>taff t</w:t>
      </w:r>
      <w:r w:rsidRPr="004A0C12">
        <w:rPr>
          <w:rFonts w:ascii="Garamond" w:hAnsi="Garamond"/>
          <w:sz w:val="22"/>
          <w:szCs w:val="22"/>
        </w:rPr>
        <w:t>o reflect</w:t>
      </w:r>
      <w:r w:rsidR="007A1FDC" w:rsidRPr="004A0C12">
        <w:rPr>
          <w:rFonts w:ascii="Garamond" w:hAnsi="Garamond"/>
          <w:sz w:val="22"/>
          <w:szCs w:val="22"/>
        </w:rPr>
        <w:t xml:space="preserve"> </w:t>
      </w:r>
      <w:r w:rsidRPr="004A0C12">
        <w:rPr>
          <w:rFonts w:ascii="Garamond" w:hAnsi="Garamond"/>
          <w:sz w:val="22"/>
          <w:szCs w:val="22"/>
        </w:rPr>
        <w:t>WIOA needs</w:t>
      </w:r>
      <w:r w:rsidR="007A1FDC" w:rsidRPr="004A0C12">
        <w:rPr>
          <w:rFonts w:ascii="Garamond" w:hAnsi="Garamond"/>
          <w:sz w:val="22"/>
          <w:szCs w:val="22"/>
        </w:rPr>
        <w:t xml:space="preserve">. The intent is to create a career pathway </w:t>
      </w:r>
      <w:r w:rsidR="008449EC" w:rsidRPr="004A0C12">
        <w:rPr>
          <w:rFonts w:ascii="Garamond" w:hAnsi="Garamond"/>
          <w:sz w:val="22"/>
          <w:szCs w:val="22"/>
        </w:rPr>
        <w:t>for Wagner-</w:t>
      </w:r>
      <w:r w:rsidRPr="004A0C12">
        <w:rPr>
          <w:rFonts w:ascii="Garamond" w:hAnsi="Garamond"/>
          <w:sz w:val="22"/>
          <w:szCs w:val="22"/>
        </w:rPr>
        <w:t xml:space="preserve">Peyser staff </w:t>
      </w:r>
      <w:r w:rsidR="007A1FDC" w:rsidRPr="004A0C12">
        <w:rPr>
          <w:rFonts w:ascii="Garamond" w:hAnsi="Garamond"/>
          <w:sz w:val="22"/>
          <w:szCs w:val="22"/>
        </w:rPr>
        <w:t>that pr</w:t>
      </w:r>
      <w:r w:rsidRPr="004A0C12">
        <w:rPr>
          <w:rFonts w:ascii="Garamond" w:hAnsi="Garamond"/>
          <w:sz w:val="22"/>
          <w:szCs w:val="22"/>
        </w:rPr>
        <w:t xml:space="preserve">omotes professional development, allows flexibility for staff, and offers promotional opportunities consistent with skills and abilities. </w:t>
      </w:r>
      <w:r w:rsidR="007A1FDC" w:rsidRPr="004A0C12">
        <w:rPr>
          <w:rFonts w:ascii="Garamond" w:hAnsi="Garamond"/>
          <w:sz w:val="22"/>
          <w:szCs w:val="22"/>
        </w:rPr>
        <w:t>Staff will operate in a number of disciplines and will be flexible to move between functions, locations, and funding streams to provide s</w:t>
      </w:r>
      <w:r w:rsidR="001636D2" w:rsidRPr="004A0C12">
        <w:rPr>
          <w:rFonts w:ascii="Garamond" w:hAnsi="Garamond"/>
          <w:sz w:val="22"/>
          <w:szCs w:val="22"/>
        </w:rPr>
        <w:t xml:space="preserve">eamless delivery of services. </w:t>
      </w:r>
      <w:r w:rsidR="007A1FDC" w:rsidRPr="004A0C12">
        <w:rPr>
          <w:rFonts w:ascii="Garamond" w:hAnsi="Garamond"/>
          <w:sz w:val="22"/>
          <w:szCs w:val="22"/>
        </w:rPr>
        <w:t>As part of each classification, certifications will be required to advance to each level. Staff will have access to professional development activities to support attainment of certifications as well as maintenance of certifications. In addition, we will work to identify staff needs throug</w:t>
      </w:r>
      <w:r w:rsidRPr="004A0C12">
        <w:rPr>
          <w:rFonts w:ascii="Garamond" w:hAnsi="Garamond"/>
          <w:sz w:val="22"/>
          <w:szCs w:val="22"/>
        </w:rPr>
        <w:t>h a training matrix we develop.</w:t>
      </w:r>
    </w:p>
    <w:p w14:paraId="3BEE2AA0" w14:textId="02C22387" w:rsidR="007A1FDC" w:rsidRPr="00562808" w:rsidRDefault="007A1FDC" w:rsidP="007A1FDC">
      <w:pPr>
        <w:pStyle w:val="Heading2"/>
        <w:rPr>
          <w:rFonts w:ascii="Garamond" w:hAnsi="Garamond"/>
          <w:sz w:val="24"/>
          <w:szCs w:val="24"/>
        </w:rPr>
      </w:pPr>
      <w:bookmarkStart w:id="142" w:name="_Toc447276180"/>
      <w:r w:rsidRPr="00562808">
        <w:rPr>
          <w:rFonts w:ascii="Garamond" w:hAnsi="Garamond"/>
          <w:sz w:val="24"/>
          <w:szCs w:val="24"/>
        </w:rPr>
        <w:t>W</w:t>
      </w:r>
      <w:r w:rsidR="008449EC" w:rsidRPr="00562808">
        <w:rPr>
          <w:rFonts w:ascii="Garamond" w:hAnsi="Garamond"/>
          <w:sz w:val="24"/>
          <w:szCs w:val="24"/>
        </w:rPr>
        <w:t>agner-</w:t>
      </w:r>
      <w:r w:rsidRPr="00562808">
        <w:rPr>
          <w:rFonts w:ascii="Garamond" w:hAnsi="Garamond"/>
          <w:sz w:val="24"/>
          <w:szCs w:val="24"/>
        </w:rPr>
        <w:t>Peys</w:t>
      </w:r>
      <w:r w:rsidR="00231879" w:rsidRPr="00562808">
        <w:rPr>
          <w:rFonts w:ascii="Garamond" w:hAnsi="Garamond"/>
          <w:sz w:val="24"/>
          <w:szCs w:val="24"/>
        </w:rPr>
        <w:t>er &amp; Unemployment Insurance</w:t>
      </w:r>
      <w:r w:rsidRPr="00562808">
        <w:rPr>
          <w:rFonts w:ascii="Garamond" w:hAnsi="Garamond"/>
          <w:sz w:val="24"/>
          <w:szCs w:val="24"/>
        </w:rPr>
        <w:t xml:space="preserve"> Partnership</w:t>
      </w:r>
      <w:bookmarkEnd w:id="142"/>
    </w:p>
    <w:p w14:paraId="3AE60A80"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The Division of Workforce </w:t>
      </w:r>
      <w:r w:rsidR="001636D2" w:rsidRPr="004A0C12">
        <w:rPr>
          <w:rFonts w:ascii="Garamond" w:hAnsi="Garamond"/>
        </w:rPr>
        <w:t xml:space="preserve">Development and Adult Learning </w:t>
      </w:r>
      <w:r w:rsidRPr="004A0C12">
        <w:rPr>
          <w:rFonts w:ascii="Garamond" w:hAnsi="Garamond"/>
        </w:rPr>
        <w:t>and the Division</w:t>
      </w:r>
      <w:r w:rsidR="001636D2" w:rsidRPr="004A0C12">
        <w:rPr>
          <w:rFonts w:ascii="Garamond" w:hAnsi="Garamond"/>
        </w:rPr>
        <w:t xml:space="preserve"> of Unemployment Insurance</w:t>
      </w:r>
      <w:r w:rsidRPr="004A0C12">
        <w:rPr>
          <w:rFonts w:ascii="Garamond" w:hAnsi="Garamond"/>
        </w:rPr>
        <w:t>, both located within DLLR, have entered into conversation and trainings to outline the ways in which American Job Center staff will be educated on the correct information and services they can provide to unemployment insurance claima</w:t>
      </w:r>
      <w:r w:rsidR="001636D2" w:rsidRPr="004A0C12">
        <w:rPr>
          <w:rFonts w:ascii="Garamond" w:hAnsi="Garamond"/>
        </w:rPr>
        <w:t>nts. An Unemployment Insurance L</w:t>
      </w:r>
      <w:r w:rsidRPr="004A0C12">
        <w:rPr>
          <w:rFonts w:ascii="Garamond" w:hAnsi="Garamond"/>
        </w:rPr>
        <w:t>iaison will attend joint meetings of American Job Center leadership to provide training. Ongoing information and tra</w:t>
      </w:r>
      <w:r w:rsidR="001636D2" w:rsidRPr="004A0C12">
        <w:rPr>
          <w:rFonts w:ascii="Garamond" w:hAnsi="Garamond"/>
        </w:rPr>
        <w:t xml:space="preserve">ining will also be provided to Wagner Peyser staff in the American Job Centers. </w:t>
      </w:r>
    </w:p>
    <w:p w14:paraId="262DAA31" w14:textId="77777777" w:rsidR="007A1FDC" w:rsidRPr="004A0C12" w:rsidRDefault="007A1FDC" w:rsidP="007A1FDC">
      <w:pPr>
        <w:spacing w:after="0" w:line="240" w:lineRule="auto"/>
        <w:jc w:val="both"/>
        <w:rPr>
          <w:rFonts w:ascii="Garamond" w:hAnsi="Garamond"/>
        </w:rPr>
      </w:pPr>
    </w:p>
    <w:p w14:paraId="40E6DD89" w14:textId="2A31120B" w:rsidR="007A1FDC" w:rsidRPr="004A0C12" w:rsidRDefault="007A1FDC" w:rsidP="007A1FDC">
      <w:pPr>
        <w:spacing w:after="0" w:line="240" w:lineRule="auto"/>
        <w:jc w:val="both"/>
        <w:rPr>
          <w:rFonts w:ascii="Garamond" w:hAnsi="Garamond"/>
        </w:rPr>
      </w:pPr>
      <w:r w:rsidRPr="004A0C12">
        <w:rPr>
          <w:rFonts w:ascii="Garamond" w:hAnsi="Garamond"/>
        </w:rPr>
        <w:lastRenderedPageBreak/>
        <w:t>Under Title III of WIOA, the Wagner Peyser Act, a greater emphasis is p</w:t>
      </w:r>
      <w:r w:rsidR="001636D2" w:rsidRPr="004A0C12">
        <w:rPr>
          <w:rFonts w:ascii="Garamond" w:hAnsi="Garamond"/>
        </w:rPr>
        <w:t>laced on providing services to unemployment i</w:t>
      </w:r>
      <w:r w:rsidRPr="004A0C12">
        <w:rPr>
          <w:rFonts w:ascii="Garamond" w:hAnsi="Garamond"/>
        </w:rPr>
        <w:t>nsurance claimants with referrals to addition</w:t>
      </w:r>
      <w:r w:rsidR="001636D2" w:rsidRPr="004A0C12">
        <w:rPr>
          <w:rFonts w:ascii="Garamond" w:hAnsi="Garamond"/>
        </w:rPr>
        <w:t>al American Job Center services. This is</w:t>
      </w:r>
      <w:r w:rsidRPr="004A0C12">
        <w:rPr>
          <w:rFonts w:ascii="Garamond" w:hAnsi="Garamond"/>
        </w:rPr>
        <w:t xml:space="preserve"> </w:t>
      </w:r>
      <w:r w:rsidR="001636D2" w:rsidRPr="004A0C12">
        <w:rPr>
          <w:rFonts w:ascii="Garamond" w:hAnsi="Garamond"/>
        </w:rPr>
        <w:t>in an effort to ensure claimants remain eligible</w:t>
      </w:r>
      <w:r w:rsidR="0007013A" w:rsidRPr="004A0C12">
        <w:rPr>
          <w:rFonts w:ascii="Garamond" w:hAnsi="Garamond"/>
        </w:rPr>
        <w:t xml:space="preserve"> for</w:t>
      </w:r>
      <w:r w:rsidR="001636D2" w:rsidRPr="004A0C12">
        <w:rPr>
          <w:rFonts w:ascii="Garamond" w:hAnsi="Garamond"/>
        </w:rPr>
        <w:t xml:space="preserve"> unemployment insurance </w:t>
      </w:r>
      <w:r w:rsidR="0007013A" w:rsidRPr="004A0C12">
        <w:rPr>
          <w:rFonts w:ascii="Garamond" w:hAnsi="Garamond"/>
        </w:rPr>
        <w:t xml:space="preserve">benefits and to </w:t>
      </w:r>
      <w:r w:rsidR="001636D2" w:rsidRPr="004A0C12">
        <w:rPr>
          <w:rFonts w:ascii="Garamond" w:hAnsi="Garamond"/>
        </w:rPr>
        <w:t>provide</w:t>
      </w:r>
      <w:r w:rsidR="0007013A" w:rsidRPr="004A0C12">
        <w:rPr>
          <w:rFonts w:ascii="Garamond" w:hAnsi="Garamond"/>
        </w:rPr>
        <w:t xml:space="preserve"> meaningful assistance in their efforts to regain employment</w:t>
      </w:r>
      <w:r w:rsidRPr="004A0C12">
        <w:rPr>
          <w:rFonts w:ascii="Garamond" w:hAnsi="Garamond"/>
        </w:rPr>
        <w:t>. Labor exchange services,</w:t>
      </w:r>
      <w:r w:rsidR="0007013A" w:rsidRPr="004A0C12">
        <w:rPr>
          <w:rFonts w:ascii="Garamond" w:hAnsi="Garamond"/>
        </w:rPr>
        <w:t xml:space="preserve"> which are the primary services</w:t>
      </w:r>
      <w:r w:rsidRPr="004A0C12">
        <w:rPr>
          <w:rFonts w:ascii="Garamond" w:hAnsi="Garamond"/>
        </w:rPr>
        <w:t xml:space="preserve"> provided under</w:t>
      </w:r>
      <w:r w:rsidR="008449EC" w:rsidRPr="004A0C12">
        <w:rPr>
          <w:rFonts w:ascii="Garamond" w:hAnsi="Garamond"/>
        </w:rPr>
        <w:t xml:space="preserve"> Wagner Peyser, fall under the </w:t>
      </w:r>
      <w:r w:rsidRPr="004A0C12">
        <w:rPr>
          <w:rFonts w:ascii="Garamond" w:hAnsi="Garamond"/>
        </w:rPr>
        <w:t>basic career services identified in WIOA. Wagner-Peyser staff must use funds a</w:t>
      </w:r>
      <w:r w:rsidR="0007013A" w:rsidRPr="004A0C12">
        <w:rPr>
          <w:rFonts w:ascii="Garamond" w:hAnsi="Garamond"/>
        </w:rPr>
        <w:t>uthorized by WIOA to provide</w:t>
      </w:r>
      <w:r w:rsidRPr="004A0C12">
        <w:rPr>
          <w:rFonts w:ascii="Garamond" w:hAnsi="Garamond"/>
        </w:rPr>
        <w:t xml:space="preserve"> basic career services. </w:t>
      </w:r>
    </w:p>
    <w:p w14:paraId="73CDB266" w14:textId="77777777" w:rsidR="007A1FDC" w:rsidRPr="004A0C12" w:rsidRDefault="007A1FDC" w:rsidP="007A1FDC">
      <w:pPr>
        <w:spacing w:after="0" w:line="240" w:lineRule="auto"/>
        <w:jc w:val="both"/>
        <w:rPr>
          <w:rFonts w:ascii="Garamond" w:hAnsi="Garamond"/>
        </w:rPr>
      </w:pPr>
    </w:p>
    <w:p w14:paraId="3541E6E5" w14:textId="3EFA0DAB" w:rsidR="007A1FDC" w:rsidRPr="004A0C12" w:rsidRDefault="007A1FDC" w:rsidP="007A1FDC">
      <w:pPr>
        <w:spacing w:after="0" w:line="240" w:lineRule="auto"/>
        <w:jc w:val="both"/>
        <w:rPr>
          <w:rFonts w:ascii="Garamond" w:hAnsi="Garamond"/>
        </w:rPr>
      </w:pPr>
      <w:r w:rsidRPr="004A0C12">
        <w:rPr>
          <w:rFonts w:ascii="Garamond" w:hAnsi="Garamond"/>
        </w:rPr>
        <w:t xml:space="preserve">Maryland is actively engaged in work with </w:t>
      </w:r>
      <w:r w:rsidR="001E70F2" w:rsidRPr="004A0C12">
        <w:rPr>
          <w:rFonts w:ascii="Garamond" w:hAnsi="Garamond"/>
        </w:rPr>
        <w:t xml:space="preserve">the Division of Unemployment Insurance and Office of Workforce Development </w:t>
      </w:r>
      <w:r w:rsidRPr="004A0C12">
        <w:rPr>
          <w:rFonts w:ascii="Garamond" w:hAnsi="Garamond"/>
        </w:rPr>
        <w:t xml:space="preserve">staff to develop and deliver training to American Job Center staff. </w:t>
      </w:r>
      <w:r w:rsidR="001E70F2" w:rsidRPr="004A0C12">
        <w:rPr>
          <w:rFonts w:ascii="Garamond" w:hAnsi="Garamond"/>
        </w:rPr>
        <w:t>The Division of Unemployment Insurance,</w:t>
      </w:r>
      <w:r w:rsidRPr="004A0C12">
        <w:rPr>
          <w:rFonts w:ascii="Garamond" w:hAnsi="Garamond"/>
        </w:rPr>
        <w:t xml:space="preserve"> in conjunction with state workforce development staff</w:t>
      </w:r>
      <w:r w:rsidR="001E70F2" w:rsidRPr="004A0C12">
        <w:rPr>
          <w:rFonts w:ascii="Garamond" w:hAnsi="Garamond"/>
        </w:rPr>
        <w:t>, has</w:t>
      </w:r>
      <w:r w:rsidRPr="004A0C12">
        <w:rPr>
          <w:rFonts w:ascii="Garamond" w:hAnsi="Garamond"/>
        </w:rPr>
        <w:t xml:space="preserve"> developed a </w:t>
      </w:r>
      <w:r w:rsidR="001E70F2" w:rsidRPr="004A0C12">
        <w:rPr>
          <w:rFonts w:ascii="Garamond" w:hAnsi="Garamond"/>
        </w:rPr>
        <w:t>“</w:t>
      </w:r>
      <w:r w:rsidRPr="004A0C12">
        <w:rPr>
          <w:rFonts w:ascii="Garamond" w:hAnsi="Garamond"/>
        </w:rPr>
        <w:t>train the trainer</w:t>
      </w:r>
      <w:r w:rsidR="001E70F2" w:rsidRPr="004A0C12">
        <w:rPr>
          <w:rFonts w:ascii="Garamond" w:hAnsi="Garamond"/>
        </w:rPr>
        <w:t>”</w:t>
      </w:r>
      <w:r w:rsidRPr="004A0C12">
        <w:rPr>
          <w:rFonts w:ascii="Garamond" w:hAnsi="Garamond"/>
        </w:rPr>
        <w:t xml:space="preserve"> method of delivery. State staff will be the primary p</w:t>
      </w:r>
      <w:r w:rsidR="001E70F2" w:rsidRPr="004A0C12">
        <w:rPr>
          <w:rFonts w:ascii="Garamond" w:hAnsi="Garamond"/>
        </w:rPr>
        <w:t>oint of contact for training. The Division of Unemployment Insurance</w:t>
      </w:r>
      <w:r w:rsidRPr="004A0C12">
        <w:rPr>
          <w:rFonts w:ascii="Garamond" w:hAnsi="Garamond"/>
        </w:rPr>
        <w:t xml:space="preserve"> has developed training for staff use on the provision of meaningful U</w:t>
      </w:r>
      <w:r w:rsidR="008449EC" w:rsidRPr="004A0C12">
        <w:rPr>
          <w:rFonts w:ascii="Garamond" w:hAnsi="Garamond"/>
        </w:rPr>
        <w:t xml:space="preserve">nemployment </w:t>
      </w:r>
      <w:r w:rsidRPr="004A0C12">
        <w:rPr>
          <w:rFonts w:ascii="Garamond" w:hAnsi="Garamond"/>
        </w:rPr>
        <w:t>I</w:t>
      </w:r>
      <w:r w:rsidR="008449EC" w:rsidRPr="004A0C12">
        <w:rPr>
          <w:rFonts w:ascii="Garamond" w:hAnsi="Garamond"/>
        </w:rPr>
        <w:t>nsurance</w:t>
      </w:r>
      <w:r w:rsidRPr="004A0C12">
        <w:rPr>
          <w:rFonts w:ascii="Garamond" w:hAnsi="Garamond"/>
        </w:rPr>
        <w:t xml:space="preserve"> information. </w:t>
      </w:r>
    </w:p>
    <w:p w14:paraId="3C43B223" w14:textId="77777777" w:rsidR="007A1FDC" w:rsidRPr="004A0C12" w:rsidRDefault="007A1FDC" w:rsidP="007A1FDC">
      <w:pPr>
        <w:spacing w:after="0" w:line="240" w:lineRule="auto"/>
        <w:jc w:val="both"/>
        <w:rPr>
          <w:rFonts w:ascii="Garamond" w:hAnsi="Garamond"/>
        </w:rPr>
      </w:pPr>
    </w:p>
    <w:p w14:paraId="0C15C57B" w14:textId="6764E39C" w:rsidR="007A1FDC" w:rsidRPr="004A0C12" w:rsidRDefault="007A1FDC" w:rsidP="007A1FDC">
      <w:pPr>
        <w:spacing w:after="0" w:line="240" w:lineRule="auto"/>
        <w:jc w:val="both"/>
        <w:rPr>
          <w:rFonts w:ascii="Garamond" w:hAnsi="Garamond"/>
        </w:rPr>
      </w:pPr>
      <w:r w:rsidRPr="004A0C12">
        <w:rPr>
          <w:rFonts w:ascii="Garamond" w:hAnsi="Garamond"/>
        </w:rPr>
        <w:t>In addition, staff working with profiled claimants will be provided additional training to address the identification and reporting of issues related to continued eligibility for unemployment benefits. Reemployment Services and Eligibility Assessment staff and Reemployment Opportunity Workshop staff will be provided specific training on providing an eligibi</w:t>
      </w:r>
      <w:r w:rsidR="008449EC" w:rsidRPr="004A0C12">
        <w:rPr>
          <w:rFonts w:ascii="Garamond" w:hAnsi="Garamond"/>
        </w:rPr>
        <w:t xml:space="preserve">lity review and identifying </w:t>
      </w:r>
      <w:r w:rsidRPr="004A0C12">
        <w:rPr>
          <w:rFonts w:ascii="Garamond" w:hAnsi="Garamond"/>
        </w:rPr>
        <w:t xml:space="preserve">available issues. </w:t>
      </w:r>
    </w:p>
    <w:p w14:paraId="3A45AE37" w14:textId="77777777" w:rsidR="007A1FDC" w:rsidRPr="004A0C12" w:rsidRDefault="007A1FDC" w:rsidP="007A1FDC">
      <w:pPr>
        <w:spacing w:after="0" w:line="240" w:lineRule="auto"/>
        <w:jc w:val="both"/>
        <w:rPr>
          <w:rFonts w:ascii="Garamond" w:hAnsi="Garamond"/>
        </w:rPr>
      </w:pPr>
    </w:p>
    <w:p w14:paraId="1E39461B" w14:textId="71EF91D0" w:rsidR="007A1FDC" w:rsidRPr="004A0C12" w:rsidRDefault="007A1FDC" w:rsidP="007A1FDC">
      <w:pPr>
        <w:spacing w:after="0" w:line="240" w:lineRule="auto"/>
        <w:jc w:val="both"/>
        <w:rPr>
          <w:rFonts w:ascii="Garamond" w:hAnsi="Garamond"/>
        </w:rPr>
      </w:pPr>
      <w:r w:rsidRPr="004A0C12">
        <w:rPr>
          <w:rFonts w:ascii="Garamond" w:hAnsi="Garamond"/>
        </w:rPr>
        <w:t xml:space="preserve">DLLR </w:t>
      </w:r>
      <w:proofErr w:type="gramStart"/>
      <w:r w:rsidRPr="004A0C12">
        <w:rPr>
          <w:rFonts w:ascii="Garamond" w:hAnsi="Garamond"/>
        </w:rPr>
        <w:t>staff in American Job Centers are</w:t>
      </w:r>
      <w:proofErr w:type="gramEnd"/>
      <w:r w:rsidRPr="004A0C12">
        <w:rPr>
          <w:rFonts w:ascii="Garamond" w:hAnsi="Garamond"/>
        </w:rPr>
        <w:t xml:space="preserve"> interacting with U</w:t>
      </w:r>
      <w:r w:rsidR="008449EC" w:rsidRPr="004A0C12">
        <w:rPr>
          <w:rFonts w:ascii="Garamond" w:hAnsi="Garamond"/>
        </w:rPr>
        <w:t xml:space="preserve">nemployment </w:t>
      </w:r>
      <w:r w:rsidRPr="004A0C12">
        <w:rPr>
          <w:rFonts w:ascii="Garamond" w:hAnsi="Garamond"/>
        </w:rPr>
        <w:t>I</w:t>
      </w:r>
      <w:r w:rsidR="008449EC" w:rsidRPr="004A0C12">
        <w:rPr>
          <w:rFonts w:ascii="Garamond" w:hAnsi="Garamond"/>
        </w:rPr>
        <w:t>nsurance</w:t>
      </w:r>
      <w:r w:rsidRPr="004A0C12">
        <w:rPr>
          <w:rFonts w:ascii="Garamond" w:hAnsi="Garamond"/>
        </w:rPr>
        <w:t xml:space="preserve"> claimants on a more direct level as Maryland complies with WIOA–prescribed personal interviews and development of individual plans for claimants attending Reemployment Services an</w:t>
      </w:r>
      <w:r w:rsidR="008449EC" w:rsidRPr="004A0C12">
        <w:rPr>
          <w:rFonts w:ascii="Garamond" w:hAnsi="Garamond"/>
        </w:rPr>
        <w:t>d Eligibility Assessment</w:t>
      </w:r>
      <w:r w:rsidRPr="004A0C12">
        <w:rPr>
          <w:rFonts w:ascii="Garamond" w:hAnsi="Garamond"/>
        </w:rPr>
        <w:t>. In collaboration with O</w:t>
      </w:r>
      <w:r w:rsidR="008449EC" w:rsidRPr="004A0C12">
        <w:rPr>
          <w:rFonts w:ascii="Garamond" w:hAnsi="Garamond"/>
        </w:rPr>
        <w:t xml:space="preserve">ffice of </w:t>
      </w:r>
      <w:r w:rsidRPr="004A0C12">
        <w:rPr>
          <w:rFonts w:ascii="Garamond" w:hAnsi="Garamond"/>
        </w:rPr>
        <w:t>W</w:t>
      </w:r>
      <w:r w:rsidR="008449EC" w:rsidRPr="004A0C12">
        <w:rPr>
          <w:rFonts w:ascii="Garamond" w:hAnsi="Garamond"/>
        </w:rPr>
        <w:t xml:space="preserve">orkforce </w:t>
      </w:r>
      <w:r w:rsidRPr="004A0C12">
        <w:rPr>
          <w:rFonts w:ascii="Garamond" w:hAnsi="Garamond"/>
        </w:rPr>
        <w:t>D</w:t>
      </w:r>
      <w:r w:rsidR="008449EC" w:rsidRPr="004A0C12">
        <w:rPr>
          <w:rFonts w:ascii="Garamond" w:hAnsi="Garamond"/>
        </w:rPr>
        <w:t>evelopment</w:t>
      </w:r>
      <w:r w:rsidRPr="004A0C12">
        <w:rPr>
          <w:rFonts w:ascii="Garamond" w:hAnsi="Garamond"/>
        </w:rPr>
        <w:t xml:space="preserve"> program managers, Unemployment Insurance staff will continue to provide training and technical assistance as needed. </w:t>
      </w:r>
    </w:p>
    <w:p w14:paraId="16433049" w14:textId="77777777" w:rsidR="007A1FDC" w:rsidRPr="004A0C12" w:rsidRDefault="007A1FDC" w:rsidP="007A1FDC">
      <w:pPr>
        <w:spacing w:after="0" w:line="240" w:lineRule="auto"/>
        <w:jc w:val="both"/>
        <w:rPr>
          <w:rFonts w:ascii="Garamond" w:hAnsi="Garamond"/>
        </w:rPr>
      </w:pPr>
    </w:p>
    <w:p w14:paraId="2AA01605" w14:textId="100F8540" w:rsidR="00DF4A3B" w:rsidRPr="004A0C12" w:rsidRDefault="007A1FDC" w:rsidP="007A1FDC">
      <w:pPr>
        <w:spacing w:after="0" w:line="240" w:lineRule="auto"/>
        <w:jc w:val="both"/>
        <w:rPr>
          <w:rFonts w:ascii="Garamond" w:hAnsi="Garamond"/>
        </w:rPr>
      </w:pPr>
      <w:r w:rsidRPr="004A0C12">
        <w:rPr>
          <w:rFonts w:ascii="Garamond" w:hAnsi="Garamond"/>
        </w:rPr>
        <w:t>American Job Center offices have access to fact sheets developed by UI available that provide basic instruction on how to apply online or via telephone for an initial claim. For customers that need additional intensive assistance, staff will be trained by unemployment insurance to assist with online application and telephone claims. UI staff will be available by phone and email to answer specific questions American Job Center staff may not be able to provide. Claimants will be able</w:t>
      </w:r>
      <w:r w:rsidR="00231879" w:rsidRPr="004A0C12">
        <w:rPr>
          <w:rFonts w:ascii="Garamond" w:hAnsi="Garamond"/>
        </w:rPr>
        <w:t xml:space="preserve"> to reach subject matter expert</w:t>
      </w:r>
      <w:r w:rsidRPr="004A0C12">
        <w:rPr>
          <w:rFonts w:ascii="Garamond" w:hAnsi="Garamond"/>
        </w:rPr>
        <w:t xml:space="preserve">s at </w:t>
      </w:r>
      <w:r w:rsidR="008839D9" w:rsidRPr="004A0C12">
        <w:rPr>
          <w:rFonts w:ascii="Garamond" w:hAnsi="Garamond"/>
        </w:rPr>
        <w:t>410-767-3246</w:t>
      </w:r>
      <w:r w:rsidRPr="004A0C12">
        <w:rPr>
          <w:rFonts w:ascii="Garamond" w:hAnsi="Garamond"/>
        </w:rPr>
        <w:t xml:space="preserve"> or </w:t>
      </w:r>
      <w:r w:rsidR="00DF4A3B" w:rsidRPr="004A0C12">
        <w:rPr>
          <w:rFonts w:ascii="Garamond" w:hAnsi="Garamond"/>
        </w:rPr>
        <w:t xml:space="preserve">wayne.cooper@maryland.gov. </w:t>
      </w:r>
      <w:r w:rsidR="008449EC" w:rsidRPr="004A0C12">
        <w:rPr>
          <w:rFonts w:ascii="Garamond" w:hAnsi="Garamond"/>
        </w:rPr>
        <w:t xml:space="preserve"> Wagner-Peyser, Reemployment Opportunity Workshop</w:t>
      </w:r>
      <w:r w:rsidRPr="004A0C12">
        <w:rPr>
          <w:rFonts w:ascii="Garamond" w:hAnsi="Garamond"/>
        </w:rPr>
        <w:t xml:space="preserve">, and </w:t>
      </w:r>
      <w:r w:rsidR="008449EC" w:rsidRPr="004A0C12">
        <w:rPr>
          <w:rFonts w:ascii="Garamond" w:hAnsi="Garamond"/>
        </w:rPr>
        <w:t>Reemployment Services and Eligibility Assessment</w:t>
      </w:r>
      <w:r w:rsidRPr="004A0C12">
        <w:rPr>
          <w:rFonts w:ascii="Garamond" w:hAnsi="Garamond"/>
        </w:rPr>
        <w:t xml:space="preserve"> staff have been provided training by unemployment insurance staff to answer most common questions posed. In addition a FAQ site will be available: </w:t>
      </w:r>
    </w:p>
    <w:p w14:paraId="5A798BD1" w14:textId="77777777" w:rsidR="007A1FDC" w:rsidRPr="004A0C12" w:rsidRDefault="00943AA8" w:rsidP="007A1FDC">
      <w:pPr>
        <w:spacing w:after="0" w:line="240" w:lineRule="auto"/>
        <w:jc w:val="both"/>
        <w:rPr>
          <w:rFonts w:ascii="Garamond" w:hAnsi="Garamond"/>
        </w:rPr>
      </w:pPr>
      <w:hyperlink r:id="rId94" w:history="1">
        <w:r w:rsidR="007A1FDC" w:rsidRPr="004A0C12">
          <w:rPr>
            <w:rStyle w:val="Hyperlink2"/>
            <w:rFonts w:ascii="Garamond" w:hAnsi="Garamond"/>
            <w:sz w:val="22"/>
          </w:rPr>
          <w:t>http://www.dllr.state.md.us/employment/unemployment.shtml</w:t>
        </w:r>
      </w:hyperlink>
    </w:p>
    <w:p w14:paraId="03F5AE24" w14:textId="77777777" w:rsidR="007A1FDC" w:rsidRPr="004A0C12" w:rsidRDefault="007A1FDC" w:rsidP="007A1FDC">
      <w:pPr>
        <w:spacing w:after="0" w:line="240" w:lineRule="auto"/>
        <w:jc w:val="both"/>
        <w:rPr>
          <w:rFonts w:ascii="Garamond" w:hAnsi="Garamond"/>
        </w:rPr>
      </w:pPr>
    </w:p>
    <w:p w14:paraId="03264D0F" w14:textId="72269B7C" w:rsidR="007A1FDC" w:rsidRPr="004A0C12" w:rsidRDefault="007A1FDC" w:rsidP="007A1FDC">
      <w:pPr>
        <w:spacing w:after="0" w:line="240" w:lineRule="auto"/>
        <w:jc w:val="both"/>
        <w:rPr>
          <w:rFonts w:ascii="Garamond" w:hAnsi="Garamond"/>
        </w:rPr>
      </w:pPr>
      <w:r w:rsidRPr="004A0C12">
        <w:rPr>
          <w:rFonts w:ascii="Garamond" w:hAnsi="Garamond"/>
        </w:rPr>
        <w:t xml:space="preserve">DWDAL and </w:t>
      </w:r>
      <w:r w:rsidR="00231879" w:rsidRPr="004A0C12">
        <w:rPr>
          <w:rFonts w:ascii="Garamond" w:hAnsi="Garamond"/>
        </w:rPr>
        <w:t xml:space="preserve">the </w:t>
      </w:r>
      <w:r w:rsidRPr="004A0C12">
        <w:rPr>
          <w:rFonts w:ascii="Garamond" w:hAnsi="Garamond"/>
        </w:rPr>
        <w:t>D</w:t>
      </w:r>
      <w:r w:rsidR="00231879" w:rsidRPr="004A0C12">
        <w:rPr>
          <w:rFonts w:ascii="Garamond" w:hAnsi="Garamond"/>
        </w:rPr>
        <w:t xml:space="preserve">ivision of </w:t>
      </w:r>
      <w:r w:rsidRPr="004A0C12">
        <w:rPr>
          <w:rFonts w:ascii="Garamond" w:hAnsi="Garamond"/>
        </w:rPr>
        <w:t>U</w:t>
      </w:r>
      <w:r w:rsidR="00231879" w:rsidRPr="004A0C12">
        <w:rPr>
          <w:rFonts w:ascii="Garamond" w:hAnsi="Garamond"/>
        </w:rPr>
        <w:t xml:space="preserve">nemployment </w:t>
      </w:r>
      <w:r w:rsidRPr="004A0C12">
        <w:rPr>
          <w:rFonts w:ascii="Garamond" w:hAnsi="Garamond"/>
        </w:rPr>
        <w:t>I</w:t>
      </w:r>
      <w:r w:rsidR="00231879" w:rsidRPr="004A0C12">
        <w:rPr>
          <w:rFonts w:ascii="Garamond" w:hAnsi="Garamond"/>
        </w:rPr>
        <w:t>nsurance</w:t>
      </w:r>
      <w:r w:rsidRPr="004A0C12">
        <w:rPr>
          <w:rFonts w:ascii="Garamond" w:hAnsi="Garamond"/>
        </w:rPr>
        <w:t xml:space="preserve"> work collaboratively to provide workforce development opportunities to all non-job attached claimants in Maryland. This will be accomplished utilizing a variety of strategies including initial mailers from U</w:t>
      </w:r>
      <w:r w:rsidR="00231879" w:rsidRPr="004A0C12">
        <w:rPr>
          <w:rFonts w:ascii="Garamond" w:hAnsi="Garamond"/>
        </w:rPr>
        <w:t xml:space="preserve">nemployment </w:t>
      </w:r>
      <w:r w:rsidRPr="004A0C12">
        <w:rPr>
          <w:rFonts w:ascii="Garamond" w:hAnsi="Garamond"/>
        </w:rPr>
        <w:t>I</w:t>
      </w:r>
      <w:r w:rsidR="00231879" w:rsidRPr="004A0C12">
        <w:rPr>
          <w:rFonts w:ascii="Garamond" w:hAnsi="Garamond"/>
        </w:rPr>
        <w:t>nsurance</w:t>
      </w:r>
      <w:r w:rsidRPr="004A0C12">
        <w:rPr>
          <w:rFonts w:ascii="Garamond" w:hAnsi="Garamond"/>
        </w:rPr>
        <w:t xml:space="preserve"> describing the requirement for enrollment and call in of claimants for Reemployment Services an</w:t>
      </w:r>
      <w:r w:rsidR="008449EC" w:rsidRPr="004A0C12">
        <w:rPr>
          <w:rFonts w:ascii="Garamond" w:hAnsi="Garamond"/>
        </w:rPr>
        <w:t>d Eligibility Assessment</w:t>
      </w:r>
      <w:r w:rsidRPr="004A0C12">
        <w:rPr>
          <w:rFonts w:ascii="Garamond" w:hAnsi="Garamond"/>
        </w:rPr>
        <w:t xml:space="preserve"> or Reemployment Opportunity Workshop for U</w:t>
      </w:r>
      <w:r w:rsidR="008449EC" w:rsidRPr="004A0C12">
        <w:rPr>
          <w:rFonts w:ascii="Garamond" w:hAnsi="Garamond"/>
        </w:rPr>
        <w:t xml:space="preserve">nemployment </w:t>
      </w:r>
      <w:r w:rsidRPr="004A0C12">
        <w:rPr>
          <w:rFonts w:ascii="Garamond" w:hAnsi="Garamond"/>
        </w:rPr>
        <w:t>I</w:t>
      </w:r>
      <w:r w:rsidR="008449EC" w:rsidRPr="004A0C12">
        <w:rPr>
          <w:rFonts w:ascii="Garamond" w:hAnsi="Garamond"/>
        </w:rPr>
        <w:t>nsurance c</w:t>
      </w:r>
      <w:r w:rsidRPr="004A0C12">
        <w:rPr>
          <w:rFonts w:ascii="Garamond" w:hAnsi="Garamond"/>
        </w:rPr>
        <w:t>laimants. Under the Maryland Unemployment Insurance law, cl</w:t>
      </w:r>
      <w:r w:rsidR="008449EC" w:rsidRPr="004A0C12">
        <w:rPr>
          <w:rFonts w:ascii="Garamond" w:hAnsi="Garamond"/>
        </w:rPr>
        <w:t>aimants must enroll in Maryland’</w:t>
      </w:r>
      <w:r w:rsidRPr="004A0C12">
        <w:rPr>
          <w:rFonts w:ascii="Garamond" w:hAnsi="Garamond"/>
        </w:rPr>
        <w:t xml:space="preserve">s </w:t>
      </w:r>
      <w:r w:rsidR="008449EC" w:rsidRPr="004A0C12">
        <w:rPr>
          <w:rFonts w:ascii="Garamond" w:hAnsi="Garamond"/>
        </w:rPr>
        <w:t>American Job Center</w:t>
      </w:r>
      <w:r w:rsidRPr="004A0C12">
        <w:rPr>
          <w:rFonts w:ascii="Garamond" w:hAnsi="Garamond"/>
        </w:rPr>
        <w:t xml:space="preserve"> system within four weeks of receiving the U</w:t>
      </w:r>
      <w:r w:rsidR="008449EC" w:rsidRPr="004A0C12">
        <w:rPr>
          <w:rFonts w:ascii="Garamond" w:hAnsi="Garamond"/>
        </w:rPr>
        <w:t xml:space="preserve">nemployment </w:t>
      </w:r>
      <w:r w:rsidRPr="004A0C12">
        <w:rPr>
          <w:rFonts w:ascii="Garamond" w:hAnsi="Garamond"/>
        </w:rPr>
        <w:t>I</w:t>
      </w:r>
      <w:r w:rsidR="008449EC" w:rsidRPr="004A0C12">
        <w:rPr>
          <w:rFonts w:ascii="Garamond" w:hAnsi="Garamond"/>
        </w:rPr>
        <w:t>nsurance</w:t>
      </w:r>
      <w:r w:rsidRPr="004A0C12">
        <w:rPr>
          <w:rFonts w:ascii="Garamond" w:hAnsi="Garamond"/>
        </w:rPr>
        <w:t xml:space="preserve"> pamphlet. Claimants must enroll either in person by visiting their nearest one-stop career center; or via the internet at </w:t>
      </w:r>
      <w:hyperlink r:id="rId95" w:history="1">
        <w:r w:rsidR="008449EC" w:rsidRPr="004A0C12">
          <w:rPr>
            <w:rStyle w:val="Hyperlink"/>
            <w:rFonts w:ascii="Garamond" w:hAnsi="Garamond"/>
          </w:rPr>
          <w:t>https://mwejobs.maryland.gov/vosnet/Default.aspx</w:t>
        </w:r>
      </w:hyperlink>
      <w:r w:rsidRPr="004A0C12">
        <w:rPr>
          <w:rFonts w:ascii="Garamond" w:hAnsi="Garamond"/>
        </w:rPr>
        <w:t>.</w:t>
      </w:r>
      <w:r w:rsidR="008449EC" w:rsidRPr="004A0C12">
        <w:rPr>
          <w:rFonts w:ascii="Garamond" w:hAnsi="Garamond"/>
        </w:rPr>
        <w:t xml:space="preserve"> A list Maryland’s American Job C</w:t>
      </w:r>
      <w:r w:rsidRPr="004A0C12">
        <w:rPr>
          <w:rFonts w:ascii="Garamond" w:hAnsi="Garamond"/>
        </w:rPr>
        <w:t xml:space="preserve">enters is included as part of the mailed pamphlet. </w:t>
      </w:r>
    </w:p>
    <w:p w14:paraId="6F66F1D7" w14:textId="77777777" w:rsidR="007A1FDC" w:rsidRPr="004A0C12" w:rsidRDefault="007A1FDC" w:rsidP="007A1FDC">
      <w:pPr>
        <w:spacing w:after="0" w:line="240" w:lineRule="auto"/>
        <w:jc w:val="both"/>
        <w:rPr>
          <w:rFonts w:ascii="Garamond" w:hAnsi="Garamond"/>
        </w:rPr>
      </w:pPr>
    </w:p>
    <w:p w14:paraId="5B58CA8E" w14:textId="1C2C3252" w:rsidR="007A1FDC" w:rsidRPr="004A0C12" w:rsidRDefault="007A1FDC" w:rsidP="007A1FDC">
      <w:pPr>
        <w:spacing w:after="0" w:line="240" w:lineRule="auto"/>
        <w:jc w:val="both"/>
        <w:rPr>
          <w:rFonts w:ascii="Garamond" w:hAnsi="Garamond"/>
        </w:rPr>
      </w:pPr>
      <w:r w:rsidRPr="004A0C12">
        <w:rPr>
          <w:rFonts w:ascii="Garamond" w:hAnsi="Garamond"/>
        </w:rPr>
        <w:t>WIOA increases connections between the job training and employment services and the U</w:t>
      </w:r>
      <w:r w:rsidR="008449EC" w:rsidRPr="004A0C12">
        <w:rPr>
          <w:rFonts w:ascii="Garamond" w:hAnsi="Garamond"/>
        </w:rPr>
        <w:t xml:space="preserve">nemployment </w:t>
      </w:r>
      <w:r w:rsidRPr="004A0C12">
        <w:rPr>
          <w:rFonts w:ascii="Garamond" w:hAnsi="Garamond"/>
        </w:rPr>
        <w:t>I</w:t>
      </w:r>
      <w:r w:rsidR="008449EC" w:rsidRPr="004A0C12">
        <w:rPr>
          <w:rFonts w:ascii="Garamond" w:hAnsi="Garamond"/>
        </w:rPr>
        <w:t>nsurance</w:t>
      </w:r>
      <w:r w:rsidRPr="004A0C12">
        <w:rPr>
          <w:rFonts w:ascii="Garamond" w:hAnsi="Garamond"/>
        </w:rPr>
        <w:t xml:space="preserve"> system. Maryland will offer its full array of American Job Center Services as options for reemployment services to unemployment insurance customers including basic and individual career services and training services under WIOA. U</w:t>
      </w:r>
      <w:r w:rsidR="008449EC" w:rsidRPr="004A0C12">
        <w:rPr>
          <w:rFonts w:ascii="Garamond" w:hAnsi="Garamond"/>
        </w:rPr>
        <w:t xml:space="preserve">nemployment </w:t>
      </w:r>
      <w:r w:rsidRPr="004A0C12">
        <w:rPr>
          <w:rFonts w:ascii="Garamond" w:hAnsi="Garamond"/>
        </w:rPr>
        <w:t>I</w:t>
      </w:r>
      <w:r w:rsidR="008449EC" w:rsidRPr="004A0C12">
        <w:rPr>
          <w:rFonts w:ascii="Garamond" w:hAnsi="Garamond"/>
        </w:rPr>
        <w:t>nsurance</w:t>
      </w:r>
      <w:r w:rsidRPr="004A0C12">
        <w:rPr>
          <w:rFonts w:ascii="Garamond" w:hAnsi="Garamond"/>
        </w:rPr>
        <w:t xml:space="preserve"> claimants will benefit from the enhanced services, including the labor exchange services and career guidance that are included as career services under Title I, and activities that assist workers in identifying and obtaining jobs in in-demand industries and occupations. </w:t>
      </w:r>
    </w:p>
    <w:p w14:paraId="785F8751" w14:textId="77777777" w:rsidR="007A1FDC" w:rsidRPr="004A0C12" w:rsidRDefault="007A1FDC" w:rsidP="007A1FDC">
      <w:pPr>
        <w:spacing w:after="0" w:line="240" w:lineRule="auto"/>
        <w:jc w:val="both"/>
        <w:rPr>
          <w:rFonts w:ascii="Garamond" w:hAnsi="Garamond"/>
        </w:rPr>
      </w:pPr>
    </w:p>
    <w:p w14:paraId="03D7378C" w14:textId="148BD70A" w:rsidR="007A1FDC" w:rsidRPr="004A0C12" w:rsidRDefault="007A1FDC" w:rsidP="007A1FDC">
      <w:pPr>
        <w:spacing w:after="0" w:line="240" w:lineRule="auto"/>
        <w:jc w:val="both"/>
        <w:rPr>
          <w:rFonts w:ascii="Garamond" w:hAnsi="Garamond"/>
        </w:rPr>
      </w:pPr>
      <w:r w:rsidRPr="004A0C12">
        <w:rPr>
          <w:rFonts w:ascii="Garamond" w:hAnsi="Garamond"/>
        </w:rPr>
        <w:t xml:space="preserve">Maryland utilizes permanent Wagner-Peyser staff to conduct </w:t>
      </w:r>
      <w:r w:rsidR="008449EC" w:rsidRPr="004A0C12">
        <w:rPr>
          <w:rFonts w:ascii="Garamond" w:hAnsi="Garamond"/>
        </w:rPr>
        <w:t>Reemployment Services and Eligibility Assessment</w:t>
      </w:r>
      <w:r w:rsidRPr="004A0C12">
        <w:rPr>
          <w:rFonts w:ascii="Garamond" w:hAnsi="Garamond"/>
        </w:rPr>
        <w:t xml:space="preserve"> activities under Title III WIOA changes. From the U</w:t>
      </w:r>
      <w:r w:rsidR="00231879" w:rsidRPr="004A0C12">
        <w:rPr>
          <w:rFonts w:ascii="Garamond" w:hAnsi="Garamond"/>
        </w:rPr>
        <w:t xml:space="preserve">nemployment </w:t>
      </w:r>
      <w:r w:rsidRPr="004A0C12">
        <w:rPr>
          <w:rFonts w:ascii="Garamond" w:hAnsi="Garamond"/>
        </w:rPr>
        <w:t>I</w:t>
      </w:r>
      <w:r w:rsidR="00231879" w:rsidRPr="004A0C12">
        <w:rPr>
          <w:rFonts w:ascii="Garamond" w:hAnsi="Garamond"/>
        </w:rPr>
        <w:t>nsurance</w:t>
      </w:r>
      <w:r w:rsidRPr="004A0C12">
        <w:rPr>
          <w:rFonts w:ascii="Garamond" w:hAnsi="Garamond"/>
        </w:rPr>
        <w:t xml:space="preserve"> first pay list, the worker profiling system will profile claimants weekly, with those profiled as most likely to exhaust assigned to the </w:t>
      </w:r>
      <w:r w:rsidR="00231879" w:rsidRPr="004A0C12">
        <w:rPr>
          <w:rFonts w:ascii="Garamond" w:hAnsi="Garamond"/>
        </w:rPr>
        <w:t>Reemployment Services and Eligibility Assessment</w:t>
      </w:r>
      <w:r w:rsidRPr="004A0C12">
        <w:rPr>
          <w:rFonts w:ascii="Garamond" w:hAnsi="Garamond"/>
        </w:rPr>
        <w:t xml:space="preserve"> program along with UCX claimants. The remaining claimants will be assigned to the Reemployment Opportunities Workshop. </w:t>
      </w:r>
      <w:r w:rsidR="008449EC" w:rsidRPr="004A0C12">
        <w:rPr>
          <w:rFonts w:ascii="Garamond" w:hAnsi="Garamond"/>
        </w:rPr>
        <w:t>Reemployment Services and Eligibility Assessment</w:t>
      </w:r>
      <w:r w:rsidRPr="004A0C12">
        <w:rPr>
          <w:rFonts w:ascii="Garamond" w:hAnsi="Garamond"/>
        </w:rPr>
        <w:t xml:space="preserve"> claimants may be referred to </w:t>
      </w:r>
      <w:r w:rsidR="00231879" w:rsidRPr="004A0C12">
        <w:rPr>
          <w:rFonts w:ascii="Garamond" w:hAnsi="Garamond"/>
        </w:rPr>
        <w:t>Reemployment Opportunities Workshop</w:t>
      </w:r>
      <w:r w:rsidRPr="004A0C12">
        <w:rPr>
          <w:rFonts w:ascii="Garamond" w:hAnsi="Garamond"/>
        </w:rPr>
        <w:t xml:space="preserve"> as a </w:t>
      </w:r>
      <w:r w:rsidRPr="004A0C12">
        <w:rPr>
          <w:rFonts w:ascii="Garamond" w:hAnsi="Garamond"/>
        </w:rPr>
        <w:lastRenderedPageBreak/>
        <w:t xml:space="preserve">result of the </w:t>
      </w:r>
      <w:r w:rsidR="008449EC" w:rsidRPr="004A0C12">
        <w:rPr>
          <w:rFonts w:ascii="Garamond" w:hAnsi="Garamond"/>
        </w:rPr>
        <w:t>Reemployment Services and Eligibility Assessment</w:t>
      </w:r>
      <w:r w:rsidRPr="004A0C12">
        <w:rPr>
          <w:rFonts w:ascii="Garamond" w:hAnsi="Garamond"/>
        </w:rPr>
        <w:t xml:space="preserve"> after the eligibility review and if determined it will assist in reducing the length of unemployment. Historically, Maryland‘s WPRS system profiles between 20,000-30,000 annually. </w:t>
      </w:r>
    </w:p>
    <w:p w14:paraId="6109C536" w14:textId="77777777" w:rsidR="00654E06" w:rsidRPr="004A0C12" w:rsidRDefault="00654E06" w:rsidP="00654E06">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The goal of reemployment in Maryland is to ensure claimants are engaged with their local job center beyond the initial mandatory contact for continued eligibility. Labor Exchange </w:t>
      </w:r>
      <w:proofErr w:type="gramStart"/>
      <w:r w:rsidRPr="004A0C12">
        <w:rPr>
          <w:rFonts w:ascii="Garamond" w:hAnsi="Garamond"/>
          <w:color w:val="000000"/>
          <w:sz w:val="22"/>
          <w:szCs w:val="22"/>
        </w:rPr>
        <w:t>staff are</w:t>
      </w:r>
      <w:proofErr w:type="gramEnd"/>
      <w:r w:rsidRPr="004A0C12">
        <w:rPr>
          <w:rFonts w:ascii="Garamond" w:hAnsi="Garamond"/>
          <w:color w:val="000000"/>
          <w:sz w:val="22"/>
          <w:szCs w:val="22"/>
        </w:rPr>
        <w:t xml:space="preserve"> an important part of the strategy to keep claimants engaged in the centers. As part of this strategy, Labor Exchange </w:t>
      </w:r>
      <w:proofErr w:type="gramStart"/>
      <w:r w:rsidRPr="004A0C12">
        <w:rPr>
          <w:rFonts w:ascii="Garamond" w:hAnsi="Garamond"/>
          <w:color w:val="000000"/>
          <w:sz w:val="22"/>
          <w:szCs w:val="22"/>
        </w:rPr>
        <w:t>staff provide</w:t>
      </w:r>
      <w:proofErr w:type="gramEnd"/>
      <w:r w:rsidRPr="004A0C12">
        <w:rPr>
          <w:rFonts w:ascii="Garamond" w:hAnsi="Garamond"/>
          <w:color w:val="000000"/>
          <w:sz w:val="22"/>
          <w:szCs w:val="22"/>
        </w:rPr>
        <w:t xml:space="preserve"> reemployment services to claimants during the one on one assessment interviews for RESEA. Staff will make appropriate referrals to programs based on assessment of need during the meeting.</w:t>
      </w:r>
    </w:p>
    <w:p w14:paraId="727AB8EB" w14:textId="77777777" w:rsidR="007A1FDC" w:rsidRPr="004A0C12" w:rsidRDefault="007A1FDC" w:rsidP="007A1FDC">
      <w:pPr>
        <w:spacing w:after="0" w:line="240" w:lineRule="auto"/>
        <w:jc w:val="both"/>
        <w:rPr>
          <w:rFonts w:ascii="Garamond" w:hAnsi="Garamond"/>
        </w:rPr>
      </w:pPr>
    </w:p>
    <w:p w14:paraId="6914FF03" w14:textId="470CDC1A" w:rsidR="007A1FDC" w:rsidRPr="004A0C12" w:rsidRDefault="007A1FDC" w:rsidP="007A1FDC">
      <w:pPr>
        <w:spacing w:after="0" w:line="240" w:lineRule="auto"/>
        <w:jc w:val="both"/>
        <w:rPr>
          <w:rFonts w:ascii="Garamond" w:hAnsi="Garamond"/>
        </w:rPr>
      </w:pPr>
      <w:r w:rsidRPr="004A0C12">
        <w:rPr>
          <w:rFonts w:ascii="Garamond" w:hAnsi="Garamond"/>
        </w:rPr>
        <w:t>The e</w:t>
      </w:r>
      <w:r w:rsidR="00C50A03" w:rsidRPr="004A0C12">
        <w:rPr>
          <w:rFonts w:ascii="Garamond" w:hAnsi="Garamond"/>
        </w:rPr>
        <w:t>lements which comprise Maryland’</w:t>
      </w:r>
      <w:r w:rsidRPr="004A0C12">
        <w:rPr>
          <w:rFonts w:ascii="Garamond" w:hAnsi="Garamond"/>
        </w:rPr>
        <w:t xml:space="preserve">s </w:t>
      </w:r>
      <w:r w:rsidR="00231879" w:rsidRPr="004A0C12">
        <w:rPr>
          <w:rFonts w:ascii="Garamond" w:hAnsi="Garamond"/>
        </w:rPr>
        <w:t>Reemployment Services and Eligibility Assessment</w:t>
      </w:r>
      <w:r w:rsidRPr="004A0C12">
        <w:rPr>
          <w:rFonts w:ascii="Garamond" w:hAnsi="Garamond"/>
        </w:rPr>
        <w:t xml:space="preserve"> are American Job Center Orientation, Labor Market Information Provision, </w:t>
      </w:r>
      <w:proofErr w:type="gramStart"/>
      <w:r w:rsidRPr="004A0C12">
        <w:rPr>
          <w:rFonts w:ascii="Garamond" w:hAnsi="Garamond"/>
        </w:rPr>
        <w:t>Individual</w:t>
      </w:r>
      <w:proofErr w:type="gramEnd"/>
      <w:r w:rsidRPr="004A0C12">
        <w:rPr>
          <w:rFonts w:ascii="Garamond" w:hAnsi="Garamond"/>
        </w:rPr>
        <w:t xml:space="preserve"> Employment Plan, Referral to Reemployment and Training Services, and Eligibility Review Interview. Claimants and trainers will mutually agree upon which of the array of American Job Center services are most beneficial to assist in a job search. Examples of American Job Center program referrals may include WIOA training, Professional</w:t>
      </w:r>
      <w:r w:rsidR="00231879" w:rsidRPr="004A0C12">
        <w:rPr>
          <w:rFonts w:ascii="Garamond" w:hAnsi="Garamond"/>
        </w:rPr>
        <w:t xml:space="preserve"> Outplacement Assistance Center</w:t>
      </w:r>
      <w:r w:rsidRPr="004A0C12">
        <w:rPr>
          <w:rFonts w:ascii="Garamond" w:hAnsi="Garamond"/>
        </w:rPr>
        <w:t>, and specific training for Ex-Offenders, GED</w:t>
      </w:r>
      <w:r w:rsidR="008E59E3" w:rsidRPr="004A0C12">
        <w:rPr>
          <w:rFonts w:ascii="Garamond" w:hAnsi="Garamond"/>
        </w:rPr>
        <w:t>®</w:t>
      </w:r>
      <w:r w:rsidRPr="004A0C12">
        <w:rPr>
          <w:rFonts w:ascii="Garamond" w:hAnsi="Garamond"/>
        </w:rPr>
        <w:t xml:space="preserve"> seekers, or seniors, and other targeted populations. The mutually agreed upon service is recorded in MWE, and on the claimant I</w:t>
      </w:r>
      <w:r w:rsidR="00231879" w:rsidRPr="004A0C12">
        <w:rPr>
          <w:rFonts w:ascii="Garamond" w:hAnsi="Garamond"/>
        </w:rPr>
        <w:t xml:space="preserve">ndividual </w:t>
      </w:r>
      <w:r w:rsidRPr="004A0C12">
        <w:rPr>
          <w:rFonts w:ascii="Garamond" w:hAnsi="Garamond"/>
        </w:rPr>
        <w:t>E</w:t>
      </w:r>
      <w:r w:rsidR="00231879" w:rsidRPr="004A0C12">
        <w:rPr>
          <w:rFonts w:ascii="Garamond" w:hAnsi="Garamond"/>
        </w:rPr>
        <w:t xml:space="preserve">mployment </w:t>
      </w:r>
      <w:r w:rsidRPr="004A0C12">
        <w:rPr>
          <w:rFonts w:ascii="Garamond" w:hAnsi="Garamond"/>
        </w:rPr>
        <w:t>P</w:t>
      </w:r>
      <w:r w:rsidR="00231879" w:rsidRPr="004A0C12">
        <w:rPr>
          <w:rFonts w:ascii="Garamond" w:hAnsi="Garamond"/>
        </w:rPr>
        <w:t>lan</w:t>
      </w:r>
      <w:r w:rsidRPr="004A0C12">
        <w:rPr>
          <w:rFonts w:ascii="Garamond" w:hAnsi="Garamond"/>
        </w:rPr>
        <w:t>, and is followed by the trainer to assure compliance with the agreement. If a claimant fails to follow through on agreed upon reemployment services within 30 days, they are referred to U</w:t>
      </w:r>
      <w:r w:rsidR="00231879" w:rsidRPr="004A0C12">
        <w:rPr>
          <w:rFonts w:ascii="Garamond" w:hAnsi="Garamond"/>
        </w:rPr>
        <w:t xml:space="preserve">nemployment </w:t>
      </w:r>
      <w:r w:rsidRPr="004A0C12">
        <w:rPr>
          <w:rFonts w:ascii="Garamond" w:hAnsi="Garamond"/>
        </w:rPr>
        <w:t>I</w:t>
      </w:r>
      <w:r w:rsidR="00231879" w:rsidRPr="004A0C12">
        <w:rPr>
          <w:rFonts w:ascii="Garamond" w:hAnsi="Garamond"/>
        </w:rPr>
        <w:t>nsurance</w:t>
      </w:r>
      <w:r w:rsidRPr="004A0C12">
        <w:rPr>
          <w:rFonts w:ascii="Garamond" w:hAnsi="Garamond"/>
        </w:rPr>
        <w:t xml:space="preserve"> for adjudication. </w:t>
      </w:r>
    </w:p>
    <w:p w14:paraId="13896DE0" w14:textId="77777777" w:rsidR="00654E06" w:rsidRPr="004A0C12" w:rsidRDefault="00654E06" w:rsidP="007A1FDC">
      <w:pPr>
        <w:spacing w:after="0" w:line="240" w:lineRule="auto"/>
        <w:jc w:val="both"/>
        <w:rPr>
          <w:rFonts w:ascii="Garamond" w:hAnsi="Garamond"/>
        </w:rPr>
      </w:pPr>
    </w:p>
    <w:p w14:paraId="658808CE" w14:textId="77777777" w:rsidR="007A1FDC" w:rsidRPr="004A0C12" w:rsidRDefault="007A1FDC" w:rsidP="007A1FDC">
      <w:pPr>
        <w:spacing w:after="0" w:line="240" w:lineRule="auto"/>
        <w:jc w:val="both"/>
        <w:rPr>
          <w:rFonts w:ascii="Garamond" w:hAnsi="Garamond"/>
        </w:rPr>
      </w:pPr>
    </w:p>
    <w:p w14:paraId="2EC6A433" w14:textId="0BC2FB0B" w:rsidR="007A1FDC" w:rsidRPr="004A0C12" w:rsidRDefault="007A1FDC" w:rsidP="007A1FDC">
      <w:pPr>
        <w:spacing w:after="0" w:line="240" w:lineRule="auto"/>
        <w:jc w:val="both"/>
        <w:rPr>
          <w:rFonts w:ascii="Garamond" w:hAnsi="Garamond"/>
        </w:rPr>
      </w:pPr>
      <w:r w:rsidRPr="004A0C12">
        <w:rPr>
          <w:rFonts w:ascii="Garamond" w:hAnsi="Garamond"/>
        </w:rPr>
        <w:t xml:space="preserve">The Reemployment Opportunity Workshop provides reemployment assistance to Unemployment Insurance Claimants not served by the </w:t>
      </w:r>
      <w:r w:rsidR="00231879" w:rsidRPr="004A0C12">
        <w:rPr>
          <w:rFonts w:ascii="Garamond" w:hAnsi="Garamond"/>
        </w:rPr>
        <w:t>Reemployment Services and Eligibility Assessment program. Reemployment Opportunity Workshop</w:t>
      </w:r>
      <w:r w:rsidRPr="004A0C12">
        <w:rPr>
          <w:rFonts w:ascii="Garamond" w:hAnsi="Garamond"/>
        </w:rPr>
        <w:t xml:space="preserve"> trainers provide services at American Job Centers. The goals of the program include shortening the duration of U</w:t>
      </w:r>
      <w:r w:rsidR="00231879" w:rsidRPr="004A0C12">
        <w:rPr>
          <w:rFonts w:ascii="Garamond" w:hAnsi="Garamond"/>
        </w:rPr>
        <w:t xml:space="preserve">nemployment </w:t>
      </w:r>
      <w:r w:rsidRPr="004A0C12">
        <w:rPr>
          <w:rFonts w:ascii="Garamond" w:hAnsi="Garamond"/>
        </w:rPr>
        <w:t>I</w:t>
      </w:r>
      <w:r w:rsidR="00231879" w:rsidRPr="004A0C12">
        <w:rPr>
          <w:rFonts w:ascii="Garamond" w:hAnsi="Garamond"/>
        </w:rPr>
        <w:t>nsurance</w:t>
      </w:r>
      <w:r w:rsidRPr="004A0C12">
        <w:rPr>
          <w:rFonts w:ascii="Garamond" w:hAnsi="Garamond"/>
        </w:rPr>
        <w:t xml:space="preserve"> and connecting U</w:t>
      </w:r>
      <w:r w:rsidR="00231879" w:rsidRPr="004A0C12">
        <w:rPr>
          <w:rFonts w:ascii="Garamond" w:hAnsi="Garamond"/>
        </w:rPr>
        <w:t xml:space="preserve">nemployment </w:t>
      </w:r>
      <w:r w:rsidRPr="004A0C12">
        <w:rPr>
          <w:rFonts w:ascii="Garamond" w:hAnsi="Garamond"/>
        </w:rPr>
        <w:t>I</w:t>
      </w:r>
      <w:r w:rsidR="00231879" w:rsidRPr="004A0C12">
        <w:rPr>
          <w:rFonts w:ascii="Garamond" w:hAnsi="Garamond"/>
        </w:rPr>
        <w:t>nsurance</w:t>
      </w:r>
      <w:r w:rsidRPr="004A0C12">
        <w:rPr>
          <w:rFonts w:ascii="Garamond" w:hAnsi="Garamond"/>
        </w:rPr>
        <w:t xml:space="preserve"> claimants to Employment Service programs. The delivery of reemployment services involves a coordinated approach, i</w:t>
      </w:r>
      <w:r w:rsidR="00231879" w:rsidRPr="004A0C12">
        <w:rPr>
          <w:rFonts w:ascii="Garamond" w:hAnsi="Garamond"/>
        </w:rPr>
        <w:t>nvolving Unemployment Insurance</w:t>
      </w:r>
      <w:r w:rsidRPr="004A0C12">
        <w:rPr>
          <w:rFonts w:ascii="Garamond" w:hAnsi="Garamond"/>
        </w:rPr>
        <w:t xml:space="preserve">, Wagner-Peyser, and </w:t>
      </w:r>
      <w:r w:rsidR="00231879" w:rsidRPr="004A0C12">
        <w:rPr>
          <w:rFonts w:ascii="Garamond" w:hAnsi="Garamond"/>
        </w:rPr>
        <w:t>WIOA</w:t>
      </w:r>
      <w:r w:rsidRPr="004A0C12">
        <w:rPr>
          <w:rFonts w:ascii="Garamond" w:hAnsi="Garamond"/>
        </w:rPr>
        <w:t xml:space="preserve"> funded staff. </w:t>
      </w:r>
      <w:r w:rsidR="00231879" w:rsidRPr="004A0C12">
        <w:rPr>
          <w:rFonts w:ascii="Garamond" w:hAnsi="Garamond"/>
        </w:rPr>
        <w:t>Reemployment Opportunity Workshop</w:t>
      </w:r>
      <w:r w:rsidRPr="004A0C12">
        <w:rPr>
          <w:rFonts w:ascii="Garamond" w:hAnsi="Garamond"/>
        </w:rPr>
        <w:t xml:space="preserve"> is open to all jobseekers whether a current unemployment insurance claimant or employed. </w:t>
      </w:r>
    </w:p>
    <w:p w14:paraId="1595F872" w14:textId="77777777" w:rsidR="007A1FDC" w:rsidRPr="004A0C12" w:rsidRDefault="007A1FDC" w:rsidP="007A1FDC">
      <w:pPr>
        <w:spacing w:after="0" w:line="240" w:lineRule="auto"/>
        <w:jc w:val="both"/>
        <w:rPr>
          <w:rFonts w:ascii="Garamond" w:hAnsi="Garamond"/>
        </w:rPr>
      </w:pPr>
    </w:p>
    <w:p w14:paraId="3568DE91" w14:textId="34D57213" w:rsidR="007A1FDC" w:rsidRPr="004A0C12" w:rsidRDefault="007A1FDC" w:rsidP="007A1FDC">
      <w:pPr>
        <w:spacing w:after="0" w:line="240" w:lineRule="auto"/>
        <w:jc w:val="both"/>
        <w:rPr>
          <w:rFonts w:ascii="Garamond" w:hAnsi="Garamond"/>
        </w:rPr>
      </w:pPr>
      <w:r w:rsidRPr="004A0C12">
        <w:rPr>
          <w:rFonts w:ascii="Garamond" w:hAnsi="Garamond"/>
        </w:rPr>
        <w:t>Each identified profiled candidate is contacted regarding participation in a job finding and career enhancing workshop for a 6 hour presentation that covers at a minimum the Job Acquisition Process –</w:t>
      </w:r>
      <w:r w:rsidR="005168FD" w:rsidRPr="004A0C12">
        <w:rPr>
          <w:rFonts w:ascii="Garamond" w:hAnsi="Garamond"/>
        </w:rPr>
        <w:t xml:space="preserve"> </w:t>
      </w:r>
      <w:r w:rsidRPr="004A0C12">
        <w:rPr>
          <w:rFonts w:ascii="Garamond" w:hAnsi="Garamond"/>
        </w:rPr>
        <w:t xml:space="preserve">Self-Assessment, Career Transition, Employment Related Correspondence, and Interviewing. Additional topics and local programs are encouraged to provide a well-rounded program s for customers and partners. </w:t>
      </w:r>
    </w:p>
    <w:p w14:paraId="132F4083" w14:textId="77777777" w:rsidR="007A1FDC" w:rsidRPr="004A0C12" w:rsidRDefault="007A1FDC" w:rsidP="007A1FDC">
      <w:pPr>
        <w:spacing w:after="0" w:line="240" w:lineRule="auto"/>
        <w:jc w:val="both"/>
        <w:rPr>
          <w:rFonts w:ascii="Garamond" w:hAnsi="Garamond"/>
        </w:rPr>
      </w:pPr>
    </w:p>
    <w:p w14:paraId="16CAA148" w14:textId="77777777" w:rsidR="007A1FDC" w:rsidRPr="004A0C12" w:rsidRDefault="007A1FDC" w:rsidP="007A1FDC">
      <w:pPr>
        <w:spacing w:after="0" w:line="240" w:lineRule="auto"/>
        <w:jc w:val="both"/>
        <w:rPr>
          <w:rFonts w:ascii="Garamond" w:hAnsi="Garamond"/>
        </w:rPr>
      </w:pPr>
      <w:r w:rsidRPr="004A0C12">
        <w:rPr>
          <w:rFonts w:ascii="Garamond" w:hAnsi="Garamond"/>
        </w:rPr>
        <w:t>Each workshop participant will know</w:t>
      </w:r>
      <w:proofErr w:type="gramStart"/>
      <w:r w:rsidRPr="004A0C12">
        <w:rPr>
          <w:rFonts w:ascii="Garamond" w:hAnsi="Garamond"/>
        </w:rPr>
        <w:t>,</w:t>
      </w:r>
      <w:proofErr w:type="gramEnd"/>
      <w:r w:rsidRPr="004A0C12">
        <w:rPr>
          <w:rFonts w:ascii="Garamond" w:hAnsi="Garamond"/>
        </w:rPr>
        <w:t xml:space="preserve"> at the end of the workshop, that successful employment is the ultimate goal, and that all American Job Center staffers are available to assist with their job search. Each workshop completer receives targeted and specific job search assistance, beginning in the workshop, with emphasis on appropriate and necessary labor market information. Self-assessment instruments, access to supportive services and partner agencies, and individual and group counseling (career guidance) are available. Referral to program staff to access training and additional services is made within the workshop along with the process to access the programs. In addition, local training staff can access lists of workshop completes to provide follow up inquiries to potential dislocated workers. </w:t>
      </w:r>
    </w:p>
    <w:p w14:paraId="769A09C4" w14:textId="77777777" w:rsidR="007A1FDC" w:rsidRPr="004A0C12" w:rsidRDefault="007A1FDC" w:rsidP="007A1FDC">
      <w:pPr>
        <w:spacing w:after="0" w:line="240" w:lineRule="auto"/>
        <w:jc w:val="both"/>
        <w:rPr>
          <w:rFonts w:ascii="Garamond" w:hAnsi="Garamond"/>
        </w:rPr>
      </w:pPr>
    </w:p>
    <w:p w14:paraId="0E759067" w14:textId="2A0E6F74" w:rsidR="007A1FDC" w:rsidRPr="004A0C12" w:rsidRDefault="007A1FDC" w:rsidP="007A1FDC">
      <w:pPr>
        <w:spacing w:after="0" w:line="240" w:lineRule="auto"/>
        <w:jc w:val="both"/>
        <w:rPr>
          <w:rFonts w:ascii="Garamond" w:hAnsi="Garamond"/>
        </w:rPr>
      </w:pPr>
      <w:r w:rsidRPr="004A0C12">
        <w:rPr>
          <w:rFonts w:ascii="Garamond" w:hAnsi="Garamond"/>
        </w:rPr>
        <w:t>Job matching services, one-on-one conferences</w:t>
      </w:r>
      <w:r w:rsidR="00C50A03" w:rsidRPr="004A0C12">
        <w:rPr>
          <w:rFonts w:ascii="Garamond" w:hAnsi="Garamond"/>
        </w:rPr>
        <w:t>,</w:t>
      </w:r>
      <w:r w:rsidRPr="004A0C12">
        <w:rPr>
          <w:rFonts w:ascii="Garamond" w:hAnsi="Garamond"/>
        </w:rPr>
        <w:t xml:space="preserve"> </w:t>
      </w:r>
      <w:r w:rsidR="00C50A03" w:rsidRPr="004A0C12">
        <w:rPr>
          <w:rFonts w:ascii="Garamond" w:hAnsi="Garamond"/>
        </w:rPr>
        <w:t>f</w:t>
      </w:r>
      <w:r w:rsidRPr="004A0C12">
        <w:rPr>
          <w:rFonts w:ascii="Garamond" w:hAnsi="Garamond"/>
        </w:rPr>
        <w:t>ollow-up activities, and meetings are used as tools to help customers obtain rapid reemployment. Each workshop participant is contacted for follow-up assistance and additional serv</w:t>
      </w:r>
      <w:r w:rsidR="00BB5F3C" w:rsidRPr="004A0C12">
        <w:rPr>
          <w:rFonts w:ascii="Garamond" w:hAnsi="Garamond"/>
        </w:rPr>
        <w:t>ices. To further support the re</w:t>
      </w:r>
      <w:r w:rsidRPr="004A0C12">
        <w:rPr>
          <w:rFonts w:ascii="Garamond" w:hAnsi="Garamond"/>
        </w:rPr>
        <w:t>employment strategy,</w:t>
      </w:r>
      <w:r w:rsidR="00C50A03" w:rsidRPr="004A0C12">
        <w:rPr>
          <w:rFonts w:ascii="Garamond" w:hAnsi="Garamond"/>
        </w:rPr>
        <w:t xml:space="preserve"> videos and concentrated ―mini </w:t>
      </w:r>
      <w:r w:rsidRPr="004A0C12">
        <w:rPr>
          <w:rFonts w:ascii="Garamond" w:hAnsi="Garamond"/>
        </w:rPr>
        <w:t xml:space="preserve">workshops are used to provide additional assistance in areas of identified need. Workshops are available that address interviewing skills, application preparation, résumé writing, and job searches on the Internet. Participants access services and attend workshops at the American Job Center. They also receive referrals to upcoming job fairs and employer recruitment events and link with other American Job Center partners. </w:t>
      </w:r>
    </w:p>
    <w:p w14:paraId="4F317DFC" w14:textId="77777777" w:rsidR="007A1FDC" w:rsidRPr="004A0C12" w:rsidRDefault="007A1FDC" w:rsidP="007A1FDC">
      <w:pPr>
        <w:spacing w:after="0" w:line="240" w:lineRule="auto"/>
        <w:jc w:val="both"/>
        <w:rPr>
          <w:rFonts w:ascii="Garamond" w:hAnsi="Garamond"/>
        </w:rPr>
      </w:pPr>
    </w:p>
    <w:p w14:paraId="38BAF9B9" w14:textId="28BBBAB9" w:rsidR="007A1FDC" w:rsidRPr="004A0C12" w:rsidRDefault="007A1FDC" w:rsidP="007A1FDC">
      <w:pPr>
        <w:spacing w:after="0" w:line="240" w:lineRule="auto"/>
        <w:jc w:val="both"/>
        <w:rPr>
          <w:rFonts w:ascii="Garamond" w:hAnsi="Garamond"/>
        </w:rPr>
      </w:pPr>
      <w:r w:rsidRPr="004A0C12">
        <w:rPr>
          <w:rFonts w:ascii="Garamond" w:hAnsi="Garamond"/>
        </w:rPr>
        <w:t>Partners participate in</w:t>
      </w:r>
      <w:r w:rsidR="00231879" w:rsidRPr="004A0C12">
        <w:rPr>
          <w:rFonts w:ascii="Garamond" w:hAnsi="Garamond"/>
        </w:rPr>
        <w:t xml:space="preserve"> the</w:t>
      </w:r>
      <w:r w:rsidRPr="004A0C12">
        <w:rPr>
          <w:rFonts w:ascii="Garamond" w:hAnsi="Garamond"/>
        </w:rPr>
        <w:t xml:space="preserve"> </w:t>
      </w:r>
      <w:r w:rsidR="00231879" w:rsidRPr="004A0C12">
        <w:rPr>
          <w:rFonts w:ascii="Garamond" w:hAnsi="Garamond"/>
        </w:rPr>
        <w:t xml:space="preserve">Reemployment Services and Eligibility Assessment program </w:t>
      </w:r>
      <w:r w:rsidRPr="004A0C12">
        <w:rPr>
          <w:rFonts w:ascii="Garamond" w:hAnsi="Garamond"/>
        </w:rPr>
        <w:t xml:space="preserve">and </w:t>
      </w:r>
      <w:r w:rsidR="00231879" w:rsidRPr="004A0C12">
        <w:rPr>
          <w:rFonts w:ascii="Garamond" w:hAnsi="Garamond"/>
        </w:rPr>
        <w:t>Reemployment Opportunity Workshops,</w:t>
      </w:r>
      <w:r w:rsidRPr="004A0C12">
        <w:rPr>
          <w:rFonts w:ascii="Garamond" w:hAnsi="Garamond"/>
        </w:rPr>
        <w:t xml:space="preserve"> or provide information on-site or through their websites. Participants who need additional training to obtain employment are assisted through WIOA programs. With increasi</w:t>
      </w:r>
      <w:r w:rsidR="00231879" w:rsidRPr="004A0C12">
        <w:rPr>
          <w:rFonts w:ascii="Garamond" w:hAnsi="Garamond"/>
        </w:rPr>
        <w:t>ng numbers of individuals with limited English p</w:t>
      </w:r>
      <w:r w:rsidRPr="004A0C12">
        <w:rPr>
          <w:rFonts w:ascii="Garamond" w:hAnsi="Garamond"/>
        </w:rPr>
        <w:t>roficiency filing UI claims, Maryland is responding to the need for Spanish-language workshops. Workshop materials have been translated into Spanish</w:t>
      </w:r>
      <w:r w:rsidR="00C50A03" w:rsidRPr="004A0C12">
        <w:rPr>
          <w:rFonts w:ascii="Garamond" w:hAnsi="Garamond"/>
        </w:rPr>
        <w:t>,</w:t>
      </w:r>
      <w:r w:rsidRPr="004A0C12">
        <w:rPr>
          <w:rFonts w:ascii="Garamond" w:hAnsi="Garamond"/>
        </w:rPr>
        <w:t xml:space="preserve"> and Spanish-speaking workshop facilitators provide Spanish-language workshops in the areas with the largest numbers of English Language Learners</w:t>
      </w:r>
      <w:r w:rsidR="00231879" w:rsidRPr="004A0C12">
        <w:rPr>
          <w:rFonts w:ascii="Garamond" w:hAnsi="Garamond"/>
        </w:rPr>
        <w:t xml:space="preserve"> </w:t>
      </w:r>
      <w:r w:rsidRPr="004A0C12">
        <w:rPr>
          <w:rFonts w:ascii="Garamond" w:hAnsi="Garamond"/>
        </w:rPr>
        <w:t>claimants. Spanish-language services are available in the rest of the State as well.</w:t>
      </w:r>
    </w:p>
    <w:p w14:paraId="780B0B7D" w14:textId="77777777" w:rsidR="007A1FDC" w:rsidRPr="004A0C12" w:rsidRDefault="007A1FDC" w:rsidP="007A1FDC">
      <w:pPr>
        <w:spacing w:after="0" w:line="240" w:lineRule="auto"/>
        <w:jc w:val="both"/>
        <w:rPr>
          <w:rFonts w:ascii="Garamond" w:hAnsi="Garamond"/>
        </w:rPr>
      </w:pPr>
    </w:p>
    <w:p w14:paraId="5AC4C015" w14:textId="0AA59E5D" w:rsidR="007A1FDC" w:rsidRPr="004A0C12" w:rsidRDefault="00231879" w:rsidP="00C93B8D">
      <w:pPr>
        <w:spacing w:after="0" w:line="240" w:lineRule="auto"/>
        <w:jc w:val="both"/>
        <w:rPr>
          <w:rFonts w:ascii="Garamond" w:hAnsi="Garamond"/>
        </w:rPr>
      </w:pPr>
      <w:r w:rsidRPr="004A0C12">
        <w:rPr>
          <w:rFonts w:ascii="Garamond" w:hAnsi="Garamond"/>
        </w:rPr>
        <w:t xml:space="preserve">DWDAL and the Division of </w:t>
      </w:r>
      <w:r w:rsidR="007A1FDC" w:rsidRPr="004A0C12">
        <w:rPr>
          <w:rFonts w:ascii="Garamond" w:hAnsi="Garamond"/>
        </w:rPr>
        <w:t>U</w:t>
      </w:r>
      <w:r w:rsidRPr="004A0C12">
        <w:rPr>
          <w:rFonts w:ascii="Garamond" w:hAnsi="Garamond"/>
        </w:rPr>
        <w:t xml:space="preserve">nemployment </w:t>
      </w:r>
      <w:r w:rsidR="007A1FDC" w:rsidRPr="004A0C12">
        <w:rPr>
          <w:rFonts w:ascii="Garamond" w:hAnsi="Garamond"/>
        </w:rPr>
        <w:t>I</w:t>
      </w:r>
      <w:r w:rsidRPr="004A0C12">
        <w:rPr>
          <w:rFonts w:ascii="Garamond" w:hAnsi="Garamond"/>
        </w:rPr>
        <w:t xml:space="preserve">nsurance </w:t>
      </w:r>
      <w:r w:rsidR="007A1FDC" w:rsidRPr="004A0C12">
        <w:rPr>
          <w:rFonts w:ascii="Garamond" w:hAnsi="Garamond"/>
        </w:rPr>
        <w:t>continue to work collaboratively to ensure that staff questions, concerns and challenges are quickly identified and addressed. There is great importance attribute</w:t>
      </w:r>
      <w:r w:rsidRPr="004A0C12">
        <w:rPr>
          <w:rFonts w:ascii="Garamond" w:hAnsi="Garamond"/>
        </w:rPr>
        <w:t xml:space="preserve">d to the fact that DWDAL and the Division of Unemployment Insurance’s </w:t>
      </w:r>
      <w:r w:rsidR="007A1FDC" w:rsidRPr="004A0C12">
        <w:rPr>
          <w:rFonts w:ascii="Garamond" w:hAnsi="Garamond"/>
        </w:rPr>
        <w:t xml:space="preserve">administration meet regularly, to orient themselves toward the highest standards for the </w:t>
      </w:r>
      <w:r w:rsidRPr="004A0C12">
        <w:rPr>
          <w:rFonts w:ascii="Garamond" w:hAnsi="Garamond"/>
        </w:rPr>
        <w:t>Reemployment Services and Eligibility Assessment</w:t>
      </w:r>
      <w:r w:rsidR="007A1FDC" w:rsidRPr="004A0C12">
        <w:rPr>
          <w:rFonts w:ascii="Garamond" w:hAnsi="Garamond"/>
        </w:rPr>
        <w:t xml:space="preserve"> program. Also, the </w:t>
      </w:r>
      <w:r w:rsidRPr="004A0C12">
        <w:rPr>
          <w:rFonts w:ascii="Garamond" w:hAnsi="Garamond"/>
        </w:rPr>
        <w:t>Reemployment Services and Eligibility Assessment</w:t>
      </w:r>
      <w:r w:rsidR="007A1FDC" w:rsidRPr="004A0C12">
        <w:rPr>
          <w:rFonts w:ascii="Garamond" w:hAnsi="Garamond"/>
        </w:rPr>
        <w:t xml:space="preserve"> Program Administrator and </w:t>
      </w:r>
      <w:r w:rsidRPr="004A0C12">
        <w:rPr>
          <w:rFonts w:ascii="Garamond" w:hAnsi="Garamond"/>
        </w:rPr>
        <w:t xml:space="preserve">the </w:t>
      </w:r>
      <w:r w:rsidR="007A1FDC" w:rsidRPr="004A0C12">
        <w:rPr>
          <w:rFonts w:ascii="Garamond" w:hAnsi="Garamond"/>
        </w:rPr>
        <w:t>U</w:t>
      </w:r>
      <w:r w:rsidRPr="004A0C12">
        <w:rPr>
          <w:rFonts w:ascii="Garamond" w:hAnsi="Garamond"/>
        </w:rPr>
        <w:t xml:space="preserve">nemployment </w:t>
      </w:r>
      <w:r w:rsidR="007A1FDC" w:rsidRPr="004A0C12">
        <w:rPr>
          <w:rFonts w:ascii="Garamond" w:hAnsi="Garamond"/>
        </w:rPr>
        <w:t>I</w:t>
      </w:r>
      <w:r w:rsidRPr="004A0C12">
        <w:rPr>
          <w:rFonts w:ascii="Garamond" w:hAnsi="Garamond"/>
        </w:rPr>
        <w:t>nsurance</w:t>
      </w:r>
      <w:r w:rsidR="007A1FDC" w:rsidRPr="004A0C12">
        <w:rPr>
          <w:rFonts w:ascii="Garamond" w:hAnsi="Garamond"/>
        </w:rPr>
        <w:t xml:space="preserve"> Administrator jointly host regular program staff meetings to allow for frequent training and technical assistance in such areas as U</w:t>
      </w:r>
      <w:r w:rsidRPr="004A0C12">
        <w:rPr>
          <w:rFonts w:ascii="Garamond" w:hAnsi="Garamond"/>
        </w:rPr>
        <w:t xml:space="preserve">nemployment </w:t>
      </w:r>
      <w:r w:rsidR="007A1FDC" w:rsidRPr="004A0C12">
        <w:rPr>
          <w:rFonts w:ascii="Garamond" w:hAnsi="Garamond"/>
        </w:rPr>
        <w:t>I</w:t>
      </w:r>
      <w:r w:rsidRPr="004A0C12">
        <w:rPr>
          <w:rFonts w:ascii="Garamond" w:hAnsi="Garamond"/>
        </w:rPr>
        <w:t>nsurance</w:t>
      </w:r>
      <w:r w:rsidR="007A1FDC" w:rsidRPr="004A0C12">
        <w:rPr>
          <w:rFonts w:ascii="Garamond" w:hAnsi="Garamond"/>
        </w:rPr>
        <w:t xml:space="preserve"> eligibility issues and fact finding processes, data system operations and reporting, site-specific issues from a more global perspective, and integration of the </w:t>
      </w:r>
      <w:r w:rsidRPr="004A0C12">
        <w:rPr>
          <w:rFonts w:ascii="Garamond" w:hAnsi="Garamond"/>
        </w:rPr>
        <w:t>Reemployment Services and Eligibility Assessment</w:t>
      </w:r>
      <w:r w:rsidR="007A1FDC" w:rsidRPr="004A0C12">
        <w:rPr>
          <w:rFonts w:ascii="Garamond" w:hAnsi="Garamond"/>
        </w:rPr>
        <w:t xml:space="preserve"> program into the American Job Center fabric. USDOL recently cited how impressed they were by the level of communication between D</w:t>
      </w:r>
      <w:r w:rsidRPr="004A0C12">
        <w:rPr>
          <w:rFonts w:ascii="Garamond" w:hAnsi="Garamond"/>
        </w:rPr>
        <w:t xml:space="preserve">ivision of </w:t>
      </w:r>
      <w:r w:rsidR="007A1FDC" w:rsidRPr="004A0C12">
        <w:rPr>
          <w:rFonts w:ascii="Garamond" w:hAnsi="Garamond"/>
        </w:rPr>
        <w:t>U</w:t>
      </w:r>
      <w:r w:rsidRPr="004A0C12">
        <w:rPr>
          <w:rFonts w:ascii="Garamond" w:hAnsi="Garamond"/>
        </w:rPr>
        <w:t xml:space="preserve">nemployment </w:t>
      </w:r>
      <w:r w:rsidR="007A1FDC" w:rsidRPr="004A0C12">
        <w:rPr>
          <w:rFonts w:ascii="Garamond" w:hAnsi="Garamond"/>
        </w:rPr>
        <w:t>I</w:t>
      </w:r>
      <w:r w:rsidRPr="004A0C12">
        <w:rPr>
          <w:rFonts w:ascii="Garamond" w:hAnsi="Garamond"/>
        </w:rPr>
        <w:t>nsurance</w:t>
      </w:r>
      <w:r w:rsidR="007A1FDC" w:rsidRPr="004A0C12">
        <w:rPr>
          <w:rFonts w:ascii="Garamond" w:hAnsi="Garamond"/>
        </w:rPr>
        <w:t xml:space="preserve"> and DWDAL as it relates to collaborative work with U</w:t>
      </w:r>
      <w:r w:rsidRPr="004A0C12">
        <w:rPr>
          <w:rFonts w:ascii="Garamond" w:hAnsi="Garamond"/>
        </w:rPr>
        <w:t xml:space="preserve">nemployment </w:t>
      </w:r>
      <w:r w:rsidR="007A1FDC" w:rsidRPr="004A0C12">
        <w:rPr>
          <w:rFonts w:ascii="Garamond" w:hAnsi="Garamond"/>
        </w:rPr>
        <w:t>I</w:t>
      </w:r>
      <w:r w:rsidRPr="004A0C12">
        <w:rPr>
          <w:rFonts w:ascii="Garamond" w:hAnsi="Garamond"/>
        </w:rPr>
        <w:t>nsurance</w:t>
      </w:r>
      <w:r w:rsidR="007A1FDC" w:rsidRPr="004A0C12">
        <w:rPr>
          <w:rFonts w:ascii="Garamond" w:hAnsi="Garamond"/>
        </w:rPr>
        <w:t xml:space="preserve"> c</w:t>
      </w:r>
      <w:r w:rsidR="00C93B8D" w:rsidRPr="004A0C12">
        <w:rPr>
          <w:rFonts w:ascii="Garamond" w:hAnsi="Garamond"/>
        </w:rPr>
        <w:t xml:space="preserve">laimants. </w:t>
      </w:r>
    </w:p>
    <w:p w14:paraId="08791F4F" w14:textId="77777777" w:rsidR="00F6079B" w:rsidRDefault="00F6079B" w:rsidP="00F6079B">
      <w:pPr>
        <w:pStyle w:val="NormalWeb"/>
        <w:spacing w:before="0" w:beforeAutospacing="0" w:afterAutospacing="0"/>
        <w:jc w:val="both"/>
        <w:rPr>
          <w:rFonts w:ascii="Garamond" w:hAnsi="Garamond"/>
          <w:color w:val="000000"/>
          <w:sz w:val="22"/>
          <w:szCs w:val="22"/>
        </w:rPr>
      </w:pPr>
    </w:p>
    <w:p w14:paraId="54676757" w14:textId="77777777" w:rsidR="00107BF7" w:rsidRPr="004A0C12" w:rsidRDefault="00107BF7"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Maryland profiles all non-job attached unemployment insurance claimants that file a clam certification for request for payment. This is a change from our previous method of calling in based on first payment of a claim. If a claimant does fails to report to a required job search activity a referral will be made to unemployment insurance for review. This allows labor exchange staff to have claimants engaged within 2 weeks of filing for unemployment insurance. Claimants that fail to report and register in the Maryland Workforce Exchange are referred to unemployment staff for fact-finding and adjudication for their continued eligibility for benefits.</w:t>
      </w:r>
    </w:p>
    <w:p w14:paraId="78F5A9B7" w14:textId="77777777" w:rsidR="00107BF7" w:rsidRPr="004A0C12" w:rsidRDefault="00107BF7" w:rsidP="00F6079B">
      <w:pPr>
        <w:spacing w:after="0" w:line="240" w:lineRule="auto"/>
        <w:jc w:val="both"/>
        <w:rPr>
          <w:rFonts w:ascii="Garamond" w:hAnsi="Garamond"/>
        </w:rPr>
      </w:pPr>
    </w:p>
    <w:p w14:paraId="5E7B917D" w14:textId="77777777" w:rsidR="00654E06" w:rsidRPr="004A0C12" w:rsidRDefault="00654E06"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DWDAL and the Division of Unemployment Insurance work collaboratively to provide workforce development opportunities to all non-job attached claimants in Maryland. This is accomplished via a variety of strategies, including initial mailers from Unemployment Insurance describing the requirement for enrollment and call in of claimants for Reemployment Services and Eligibility Assessment (RESEA) or Reemployment Opportunity Workshop (ROW) for Unemployment Insurance claimants. Under the Maryland Unemployment Insurance law, claimants must enroll in Maryland’s American Job Center system within four weeks of receiving the Unemployment Insurance pamphlet. They can enroll either in person or by visiting their nearest AJC; or via the Maryland Workforce Exchange Virtual One-Stop - https://mwejobs.maryland.gov/vosnet/Default.aspx. A list Maryland’s American Job Centers is included as part of the mailed pamphlet. Using the Worker Profiling Reemployment System, Maryland profiles all non-job attached claimants who have filed an initial claim for unemployment insurance (versus only profiling those who have received initial payment). This is a change from prior policy and broadens the support that the workforce system provides to UI claimants. It further ensures that claimants who are ineligible for UI benefits due to lack of earnings, etc. are aware of the safety net provided by the workforce system for all jobseekers, whether receiving UI benefits or not. By profiling all claimants, OWD/UI can</w:t>
      </w:r>
      <w:proofErr w:type="gramStart"/>
      <w:r w:rsidRPr="004A0C12">
        <w:rPr>
          <w:rFonts w:ascii="Garamond" w:hAnsi="Garamond"/>
          <w:color w:val="000000"/>
          <w:sz w:val="22"/>
          <w:szCs w:val="22"/>
        </w:rPr>
        <w:t>:1</w:t>
      </w:r>
      <w:proofErr w:type="gramEnd"/>
      <w:r w:rsidRPr="004A0C12">
        <w:rPr>
          <w:rFonts w:ascii="Garamond" w:hAnsi="Garamond"/>
          <w:color w:val="000000"/>
          <w:sz w:val="22"/>
          <w:szCs w:val="22"/>
        </w:rPr>
        <w:t>. Engage claimants sooner</w:t>
      </w:r>
      <w:proofErr w:type="gramStart"/>
      <w:r w:rsidRPr="004A0C12">
        <w:rPr>
          <w:rFonts w:ascii="Garamond" w:hAnsi="Garamond"/>
          <w:color w:val="000000"/>
          <w:sz w:val="22"/>
          <w:szCs w:val="22"/>
        </w:rPr>
        <w:t>;2</w:t>
      </w:r>
      <w:proofErr w:type="gramEnd"/>
      <w:r w:rsidRPr="004A0C12">
        <w:rPr>
          <w:rFonts w:ascii="Garamond" w:hAnsi="Garamond"/>
          <w:color w:val="000000"/>
          <w:sz w:val="22"/>
          <w:szCs w:val="22"/>
        </w:rPr>
        <w:t>. Provide reemployment services to more claimants faster</w:t>
      </w:r>
      <w:proofErr w:type="gramStart"/>
      <w:r w:rsidRPr="004A0C12">
        <w:rPr>
          <w:rFonts w:ascii="Garamond" w:hAnsi="Garamond"/>
          <w:color w:val="000000"/>
          <w:sz w:val="22"/>
          <w:szCs w:val="22"/>
        </w:rPr>
        <w:t>;3</w:t>
      </w:r>
      <w:proofErr w:type="gramEnd"/>
      <w:r w:rsidRPr="004A0C12">
        <w:rPr>
          <w:rFonts w:ascii="Garamond" w:hAnsi="Garamond"/>
          <w:color w:val="000000"/>
          <w:sz w:val="22"/>
          <w:szCs w:val="22"/>
        </w:rPr>
        <w:t>. Ensure claimants are fulfilling work search requirements</w:t>
      </w:r>
      <w:proofErr w:type="gramStart"/>
      <w:r w:rsidRPr="004A0C12">
        <w:rPr>
          <w:rFonts w:ascii="Garamond" w:hAnsi="Garamond"/>
          <w:color w:val="000000"/>
          <w:sz w:val="22"/>
          <w:szCs w:val="22"/>
        </w:rPr>
        <w:t>;4</w:t>
      </w:r>
      <w:proofErr w:type="gramEnd"/>
      <w:r w:rsidRPr="004A0C12">
        <w:rPr>
          <w:rFonts w:ascii="Garamond" w:hAnsi="Garamond"/>
          <w:color w:val="000000"/>
          <w:sz w:val="22"/>
          <w:szCs w:val="22"/>
        </w:rPr>
        <w:t>. Refer claimants who may be non-compliant with Maryland UI law for adjudication.</w:t>
      </w:r>
    </w:p>
    <w:p w14:paraId="3C543193" w14:textId="77777777" w:rsidR="00F6079B" w:rsidRDefault="00654E06" w:rsidP="00F6079B">
      <w:pPr>
        <w:pStyle w:val="NormalWeb"/>
        <w:spacing w:before="0" w:beforeAutospacing="0" w:afterAutospacing="0"/>
        <w:jc w:val="both"/>
        <w:rPr>
          <w:rFonts w:ascii="Garamond" w:hAnsi="Garamond"/>
          <w:color w:val="000000"/>
          <w:sz w:val="22"/>
          <w:szCs w:val="22"/>
        </w:rPr>
      </w:pPr>
      <w:r w:rsidRPr="004A0C12">
        <w:rPr>
          <w:rFonts w:ascii="Garamond" w:hAnsi="Garamond"/>
          <w:color w:val="000000"/>
          <w:sz w:val="22"/>
          <w:szCs w:val="22"/>
        </w:rPr>
        <w:t xml:space="preserve">Maryland is working with the U.S. Department of Labor to update its current profiling methodology. Once the methodology is fully updated, every two years it will be reviewed and adjusted to reflect current economic conditions. By having a current methodology, Maryland can provide a wide-reach of relevant reemployments services to meet customers’ needs. </w:t>
      </w:r>
    </w:p>
    <w:p w14:paraId="3A9764E0" w14:textId="77777777" w:rsidR="00F6079B" w:rsidRDefault="00654E06" w:rsidP="00F6079B">
      <w:pPr>
        <w:pStyle w:val="NormalWeb"/>
        <w:spacing w:before="0" w:beforeAutospacing="0" w:afterAutospacing="0"/>
        <w:jc w:val="both"/>
        <w:rPr>
          <w:rFonts w:ascii="Garamond" w:hAnsi="Garamond"/>
          <w:color w:val="000000"/>
          <w:sz w:val="22"/>
          <w:szCs w:val="22"/>
        </w:rPr>
      </w:pPr>
      <w:r w:rsidRPr="004A0C12">
        <w:rPr>
          <w:rFonts w:ascii="Garamond" w:hAnsi="Garamond"/>
          <w:color w:val="000000"/>
          <w:sz w:val="22"/>
          <w:szCs w:val="22"/>
        </w:rPr>
        <w:t xml:space="preserve">Maryland will offer its RESEA Program to claimants profiled as most likely to exhaust benefits. ROW will continue to be an available service for all other claimants as a path to reemployment. Soon after filing a claim, profiled claimants are sent a letter, which schedules them for one of the workshops immediately after selection. The letter will reinforce the requirement to register in the Maryland Workforce Exchange. Follow up emails will be utilized as reminders of required attendance. With all non-job attached claimants being profiled, DLLR can ensure claimants are fully engaged and registered within the workforce system. Trainers will verify that registration has been completed prior to the workshop. </w:t>
      </w:r>
    </w:p>
    <w:p w14:paraId="401557B2" w14:textId="77777777" w:rsidR="00F6079B" w:rsidRDefault="00654E06" w:rsidP="00F6079B">
      <w:pPr>
        <w:pStyle w:val="NormalWeb"/>
        <w:spacing w:before="0" w:beforeAutospacing="0" w:afterAutospacing="0"/>
        <w:jc w:val="both"/>
        <w:rPr>
          <w:rFonts w:ascii="Garamond" w:hAnsi="Garamond"/>
          <w:color w:val="000000"/>
          <w:sz w:val="22"/>
          <w:szCs w:val="22"/>
        </w:rPr>
      </w:pPr>
      <w:r w:rsidRPr="004A0C12">
        <w:rPr>
          <w:rFonts w:ascii="Garamond" w:hAnsi="Garamond"/>
          <w:color w:val="000000"/>
          <w:sz w:val="22"/>
          <w:szCs w:val="22"/>
        </w:rPr>
        <w:t xml:space="preserve">Claimants identified as failing to register will be directed to do so prior to completion of the workshop. Failure to register, prior to or on the day of the workshop, will result in a referral to the Division of Unemployment Insurance for adjudication. Claimants will be referred to UI for adjudication when identified that they failed to properly register. Upon receipt of a trainers’ notification, UI will establish issues, as necessary, and will conduct a fact-finding interview to review and verify whether registration has occurred. If the claims specialist determines during the adjudication that registration was incomplete with no good cause, UI will impose a sanction until the claimant comes into compliance. WIOA increases connections between the job training and employment services and the Unemployment Insurance system. Maryland will offer its full array of American Job Center Services </w:t>
      </w:r>
      <w:r w:rsidRPr="004A0C12">
        <w:rPr>
          <w:rFonts w:ascii="Garamond" w:hAnsi="Garamond"/>
          <w:color w:val="000000"/>
          <w:sz w:val="22"/>
          <w:szCs w:val="22"/>
        </w:rPr>
        <w:lastRenderedPageBreak/>
        <w:t xml:space="preserve">as options for reemployment services to unemployment insurance customers including basic and individual career services and training services under WIOA. Unemployment Insurance claimants will benefit from the enhanced services, including the labor exchange services and career guidance that are included as career services under Title I, and activities that assist workers in identifying and obtaining jobs in in-demand industries and occupations. </w:t>
      </w:r>
    </w:p>
    <w:p w14:paraId="5261B7C4" w14:textId="77777777" w:rsidR="00F6079B" w:rsidRDefault="00654E06" w:rsidP="00F6079B">
      <w:pPr>
        <w:pStyle w:val="NormalWeb"/>
        <w:spacing w:before="0" w:beforeAutospacing="0" w:afterAutospacing="0"/>
        <w:jc w:val="both"/>
        <w:rPr>
          <w:rFonts w:ascii="Garamond" w:hAnsi="Garamond"/>
          <w:color w:val="000000"/>
          <w:sz w:val="22"/>
          <w:szCs w:val="22"/>
        </w:rPr>
      </w:pPr>
      <w:r w:rsidRPr="004A0C12">
        <w:rPr>
          <w:rFonts w:ascii="Garamond" w:hAnsi="Garamond"/>
          <w:color w:val="000000"/>
          <w:sz w:val="22"/>
          <w:szCs w:val="22"/>
        </w:rPr>
        <w:t xml:space="preserve">Maryland utilizes permanent Wagner-Peyser staff to conduct RESEA activities under Title III WIOA changes. RESEA claimants may be referred to ROW as a result of the RESEA after the eligibility review, and if determined appropriate, it will assist in reducing the length of unemployment. Historically, Maryland‘s WPRS system profiles between 20,000-30,000 annually. The elements which comprise Maryland’s RESEA Program are: American Job Center orientation; Labor Market Information provision; development of an Individual Employment Plan; referral to reemployment and training services; and an Eligibility Review Interview. Claimants and trainers will mutually agree upon which of the array of American Job Center services are most beneficial to assist in the particular customer’s job search. Examples of American Job Center program referrals may include: WIOA training, Professional Outplacement Assistance Center, and specific training for Ex-Offenders, GED® seekers, or seniors, and other targeted populations. The mutually agreed upon service is recorded in MWE, and on the claimant Individual Employment Plan, and is followed by the trainer to assure compliance with the agreement. </w:t>
      </w:r>
    </w:p>
    <w:p w14:paraId="1AE82D93" w14:textId="77777777" w:rsidR="00F6079B" w:rsidRDefault="00654E06" w:rsidP="00F6079B">
      <w:pPr>
        <w:pStyle w:val="NormalWeb"/>
        <w:spacing w:before="0" w:beforeAutospacing="0" w:afterAutospacing="0"/>
        <w:jc w:val="both"/>
        <w:rPr>
          <w:rFonts w:ascii="Garamond" w:hAnsi="Garamond"/>
          <w:color w:val="000000"/>
          <w:sz w:val="22"/>
          <w:szCs w:val="22"/>
        </w:rPr>
      </w:pPr>
      <w:r w:rsidRPr="004A0C12">
        <w:rPr>
          <w:rFonts w:ascii="Garamond" w:hAnsi="Garamond"/>
          <w:color w:val="000000"/>
          <w:sz w:val="22"/>
          <w:szCs w:val="22"/>
        </w:rPr>
        <w:t xml:space="preserve">If a claimant fails to follow through on agreed upon reemployment services within 30 days, they are referred to Unemployment Insurance for adjudication. ROW provides reemployment assistance to Unemployment Insurance claimants who are not initially served by the RESEA program. ROW trainers provide services at American Job Centers. The goals of the program include: shortening the duration of Unemployment Insurance and connecting Unemployment Insurance claimants to Employment Service programs. The delivery of reemployment services is rooted in a coordinated approach and includes Unemployment Insurance, Wagner-Peyser, and WIOA Title I funded staff. ROW is open to all jobseekers, receiving UI benefits or employed. Each ROW participant is contacted regarding participation in a job finding and career enhancing workshop for a 6 hour presentation that covers at a minimum the Job Acquisition Process - Self-Assessment, Career Transition, Employment Related Correspondence, and Interviewing. Additional topics and local programs are encouraged to provide a well-rounded program for customers and partners. </w:t>
      </w:r>
    </w:p>
    <w:p w14:paraId="3C877DEB" w14:textId="77777777" w:rsidR="00F6079B" w:rsidRDefault="00654E06" w:rsidP="00F6079B">
      <w:pPr>
        <w:pStyle w:val="NormalWeb"/>
        <w:spacing w:before="0" w:beforeAutospacing="0" w:afterAutospacing="0"/>
        <w:jc w:val="both"/>
        <w:rPr>
          <w:rFonts w:ascii="Garamond" w:hAnsi="Garamond"/>
          <w:color w:val="000000"/>
          <w:sz w:val="22"/>
          <w:szCs w:val="22"/>
        </w:rPr>
      </w:pPr>
      <w:r w:rsidRPr="004A0C12">
        <w:rPr>
          <w:rFonts w:ascii="Garamond" w:hAnsi="Garamond"/>
          <w:color w:val="000000"/>
          <w:sz w:val="22"/>
          <w:szCs w:val="22"/>
        </w:rPr>
        <w:t xml:space="preserve">By the end of the workshop, each participant will know that successful employment is the ultimate goal, and that all American Job Center staffers are available to assist with their job search. Each workshop completer receives targeted and specific job search assistance, beginning in the workshop, with emphasis on appropriate and necessary labor market information. Self-assessment instruments, access to supportive services and partner agencies, and individual and group counseling (career guidance) are available. Referral to program staff to access training and additional services is made within the workshop along with the process to access the programs. In addition, local training staff can access lists of workshop completes to provide follow up inquiries to potential dislocated workers. Job matching services, one-on-one conferences, follow-up activities, and meetings are used as tools to help customers obtain rapid reemployment. Each workshop participant is contacted for follow-up assistance and additional services. </w:t>
      </w:r>
    </w:p>
    <w:p w14:paraId="6C9633FD" w14:textId="77777777" w:rsidR="00F6079B" w:rsidRDefault="00654E06" w:rsidP="00F6079B">
      <w:pPr>
        <w:pStyle w:val="NormalWeb"/>
        <w:spacing w:before="0" w:beforeAutospacing="0" w:afterAutospacing="0"/>
        <w:jc w:val="both"/>
        <w:rPr>
          <w:rFonts w:ascii="Garamond" w:hAnsi="Garamond"/>
          <w:color w:val="000000"/>
          <w:sz w:val="22"/>
          <w:szCs w:val="22"/>
        </w:rPr>
      </w:pPr>
      <w:r w:rsidRPr="004A0C12">
        <w:rPr>
          <w:rFonts w:ascii="Garamond" w:hAnsi="Garamond"/>
          <w:color w:val="000000"/>
          <w:sz w:val="22"/>
          <w:szCs w:val="22"/>
        </w:rPr>
        <w:t xml:space="preserve">To further support the reemployment strategy, videos and concentrated mini workshops are used to provide additional assistance in areas of identified need. Workshops are available to address interviewing skills, application preparation, résumé writing, and job searches on the Internet. Participants access services and attend workshops at the American Job Center. They also receive referrals to upcoming job fairs and employer recruitment events and link with other American Job Center partners. Partners participate in the Reemployment Services and Eligibility Assessment program and Reemployment Opportunity Workshops, or provide information on-site or through their websites. Participants who need additional training to obtain employment are assisted through WIOA programs. With increasing numbers of individuals with limited English proficiency filing UI claims, Maryland is responding to the need for Spanish-language workshops. Workshop materials have been translated into Spanish, and Spanish-speaking workshop facilitators provide Spanish-language workshops in the areas with the largest numbers of English Language Learners claimants. </w:t>
      </w:r>
    </w:p>
    <w:p w14:paraId="0F9335DB" w14:textId="59555E28" w:rsidR="00654E06" w:rsidRPr="004A0C12" w:rsidRDefault="00654E06"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 xml:space="preserve">Spanish-language services are available in the rest of the State as well. DWDAL and the Division of Unemployment Insurance continue to work collaboratively to ensure that staff questions, concerns and challenges are quickly identified and addressed. There is great importance attributed to the fact that DWDAL and the Division of Unemployment Insurance’s administration meet regularly, to orient themselves toward the highest standards for reemployment efforts Also, the Reemployment Services and Eligibility Assessment Program Administrator and the Unemployment Insurance Administrator jointly host regular program staff meetings to allow for frequent training and technical assistance in such areas as Unemployment Insurance eligibility issues and fact finding processes, data system operations and reporting, site-specific issues from a more global perspective, and integration of </w:t>
      </w:r>
      <w:r w:rsidRPr="004A0C12">
        <w:rPr>
          <w:rFonts w:ascii="Garamond" w:hAnsi="Garamond"/>
          <w:color w:val="000000"/>
          <w:sz w:val="22"/>
          <w:szCs w:val="22"/>
        </w:rPr>
        <w:lastRenderedPageBreak/>
        <w:t>the Reemployment Services and Eligibility Assessment program into the American Job Center fabric. USDOL recently cited how impressed they were by the level of communication between Division of Unemployment Insurance and DWDAL as it relates to collaborative work with Unemployment Insurance claimants.</w:t>
      </w:r>
    </w:p>
    <w:p w14:paraId="4909C144" w14:textId="77777777" w:rsidR="007A1FDC" w:rsidRPr="00535D82" w:rsidRDefault="007A1FDC" w:rsidP="007A1FDC">
      <w:pPr>
        <w:pStyle w:val="Heading2"/>
        <w:rPr>
          <w:rFonts w:ascii="Garamond" w:hAnsi="Garamond"/>
          <w:sz w:val="24"/>
          <w:szCs w:val="24"/>
        </w:rPr>
      </w:pPr>
      <w:bookmarkStart w:id="143" w:name="_Toc447276181"/>
      <w:r w:rsidRPr="00535D82">
        <w:rPr>
          <w:rFonts w:ascii="Garamond" w:hAnsi="Garamond"/>
          <w:sz w:val="24"/>
          <w:szCs w:val="24"/>
        </w:rPr>
        <w:t>AGRICULTURAL OUTREACH PLAN</w:t>
      </w:r>
      <w:bookmarkEnd w:id="143"/>
      <w:r w:rsidRPr="00535D82">
        <w:rPr>
          <w:rFonts w:ascii="Garamond" w:hAnsi="Garamond"/>
          <w:sz w:val="24"/>
          <w:szCs w:val="24"/>
        </w:rPr>
        <w:t xml:space="preserve"> </w:t>
      </w:r>
    </w:p>
    <w:p w14:paraId="60BEB090" w14:textId="41632007" w:rsidR="00F07997" w:rsidRPr="004A0C12" w:rsidRDefault="00C50A03" w:rsidP="00F07997">
      <w:pPr>
        <w:pStyle w:val="NoSpacing"/>
        <w:jc w:val="both"/>
        <w:rPr>
          <w:rFonts w:ascii="Garamond" w:hAnsi="Garamond" w:cs="Times New Roman"/>
        </w:rPr>
      </w:pPr>
      <w:r w:rsidRPr="004A0C12">
        <w:rPr>
          <w:rFonts w:ascii="Garamond" w:hAnsi="Garamond" w:cs="Times New Roman"/>
        </w:rPr>
        <w:t>DLLR’s Migrant and</w:t>
      </w:r>
      <w:r w:rsidR="00F07997" w:rsidRPr="004A0C12">
        <w:rPr>
          <w:rFonts w:ascii="Garamond" w:hAnsi="Garamond" w:cs="Times New Roman"/>
        </w:rPr>
        <w:t xml:space="preserve"> Seasonal Farm Worker Program ensures migrant and seasonal farm workers, who are a target population under WIOA, receive the same employment services</w:t>
      </w:r>
      <w:r w:rsidR="00B43D99" w:rsidRPr="004A0C12">
        <w:rPr>
          <w:rFonts w:ascii="Garamond" w:hAnsi="Garamond" w:cs="Times New Roman"/>
        </w:rPr>
        <w:t xml:space="preserve"> where they live and work</w:t>
      </w:r>
      <w:r w:rsidR="00F07997" w:rsidRPr="004A0C12">
        <w:rPr>
          <w:rFonts w:ascii="Garamond" w:hAnsi="Garamond" w:cs="Times New Roman"/>
        </w:rPr>
        <w:t xml:space="preserve"> that non-migrant seasonal farm workers receive at the State’s American Job Centers. </w:t>
      </w:r>
    </w:p>
    <w:p w14:paraId="749742A2" w14:textId="028E5682" w:rsidR="00F07997" w:rsidRPr="00535D82" w:rsidRDefault="007A1FDC" w:rsidP="00F07997">
      <w:pPr>
        <w:pStyle w:val="Heading3"/>
        <w:rPr>
          <w:rFonts w:ascii="Garamond" w:hAnsi="Garamond"/>
          <w:sz w:val="24"/>
          <w:szCs w:val="24"/>
        </w:rPr>
      </w:pPr>
      <w:bookmarkStart w:id="144" w:name="_Toc447276182"/>
      <w:r w:rsidRPr="00535D82">
        <w:rPr>
          <w:rFonts w:ascii="Garamond" w:hAnsi="Garamond"/>
          <w:sz w:val="24"/>
          <w:szCs w:val="24"/>
        </w:rPr>
        <w:t>ASSESSMENT OF NEED</w:t>
      </w:r>
      <w:bookmarkEnd w:id="144"/>
    </w:p>
    <w:p w14:paraId="70A9D568" w14:textId="6EF5B965"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Consistent with historical trends, agriculture in </w:t>
      </w:r>
      <w:r w:rsidR="00C50A03" w:rsidRPr="004A0C12">
        <w:rPr>
          <w:rFonts w:ascii="Garamond" w:hAnsi="Garamond" w:cs="Times New Roman"/>
        </w:rPr>
        <w:t>Maryland continues to be a</w:t>
      </w:r>
      <w:r w:rsidRPr="004A0C12">
        <w:rPr>
          <w:rFonts w:ascii="Garamond" w:hAnsi="Garamond" w:cs="Times New Roman"/>
        </w:rPr>
        <w:t xml:space="preserve"> nearly </w:t>
      </w:r>
      <w:r w:rsidR="00C50A03" w:rsidRPr="004A0C12">
        <w:rPr>
          <w:rFonts w:ascii="Garamond" w:hAnsi="Garamond" w:cs="Times New Roman"/>
        </w:rPr>
        <w:t>$</w:t>
      </w:r>
      <w:r w:rsidRPr="004A0C12">
        <w:rPr>
          <w:rFonts w:ascii="Garamond" w:hAnsi="Garamond" w:cs="Times New Roman"/>
        </w:rPr>
        <w:t xml:space="preserve">2.3 billion </w:t>
      </w:r>
      <w:r w:rsidR="00231879" w:rsidRPr="004A0C12">
        <w:rPr>
          <w:rFonts w:ascii="Garamond" w:hAnsi="Garamond" w:cs="Times New Roman"/>
        </w:rPr>
        <w:t>enterprise</w:t>
      </w:r>
      <w:r w:rsidRPr="004A0C12">
        <w:rPr>
          <w:rFonts w:ascii="Garamond" w:hAnsi="Garamond" w:cs="Times New Roman"/>
        </w:rPr>
        <w:t>.</w:t>
      </w:r>
      <w:r w:rsidR="00231879" w:rsidRPr="004A0C12">
        <w:rPr>
          <w:rStyle w:val="FootnoteReference"/>
          <w:rFonts w:ascii="Garamond" w:hAnsi="Garamond" w:cs="Times New Roman"/>
        </w:rPr>
        <w:footnoteReference w:id="41"/>
      </w:r>
      <w:r w:rsidRPr="004A0C12">
        <w:rPr>
          <w:rFonts w:ascii="Garamond" w:hAnsi="Garamond" w:cs="Times New Roman"/>
        </w:rPr>
        <w:t xml:space="preserve"> However, agricultural jobs do not rank within the top ten industries with advertised job openings in the Maryland Workforce Exchange (MWE). Although there are an estimated 12,300 farm operations in Ma</w:t>
      </w:r>
      <w:r w:rsidR="00231879" w:rsidRPr="004A0C12">
        <w:rPr>
          <w:rFonts w:ascii="Garamond" w:hAnsi="Garamond" w:cs="Times New Roman"/>
        </w:rPr>
        <w:t>ryland</w:t>
      </w:r>
      <w:r w:rsidRPr="004A0C12">
        <w:rPr>
          <w:rFonts w:ascii="Garamond" w:hAnsi="Garamond" w:cs="Times New Roman"/>
        </w:rPr>
        <w:t>,</w:t>
      </w:r>
      <w:r w:rsidR="00231879" w:rsidRPr="004A0C12">
        <w:rPr>
          <w:rStyle w:val="FootnoteReference"/>
          <w:rFonts w:ascii="Garamond" w:hAnsi="Garamond" w:cs="Times New Roman"/>
        </w:rPr>
        <w:footnoteReference w:id="42"/>
      </w:r>
      <w:r w:rsidRPr="004A0C12">
        <w:rPr>
          <w:rFonts w:ascii="Garamond" w:hAnsi="Garamond" w:cs="Times New Roman"/>
        </w:rPr>
        <w:t xml:space="preserve"> only 3,536 of far</w:t>
      </w:r>
      <w:r w:rsidR="00C50A03" w:rsidRPr="004A0C12">
        <w:rPr>
          <w:rFonts w:ascii="Garamond" w:hAnsi="Garamond" w:cs="Times New Roman"/>
        </w:rPr>
        <w:t>ms hired farm labor</w:t>
      </w:r>
      <w:r w:rsidRPr="004A0C12">
        <w:rPr>
          <w:rFonts w:ascii="Garamond" w:hAnsi="Garamond" w:cs="Times New Roman"/>
        </w:rPr>
        <w:t>.</w:t>
      </w:r>
      <w:r w:rsidR="00C50A03" w:rsidRPr="004A0C12">
        <w:rPr>
          <w:rStyle w:val="FootnoteReference"/>
          <w:rFonts w:ascii="Garamond" w:hAnsi="Garamond" w:cs="Times New Roman"/>
        </w:rPr>
        <w:footnoteReference w:id="43"/>
      </w:r>
      <w:r w:rsidRPr="004A0C12">
        <w:rPr>
          <w:rFonts w:ascii="Garamond" w:hAnsi="Garamond" w:cs="Times New Roman"/>
        </w:rPr>
        <w:t xml:space="preserve"> It is important to note that although this is an increase of nearly 500 farms from 2007, the number of laborers hired decreased by more than 200</w:t>
      </w:r>
      <w:r w:rsidR="00C50A03" w:rsidRPr="004A0C12">
        <w:rPr>
          <w:rFonts w:ascii="Garamond" w:hAnsi="Garamond" w:cs="Times New Roman"/>
        </w:rPr>
        <w:t>0</w:t>
      </w:r>
      <w:r w:rsidRPr="004A0C12">
        <w:rPr>
          <w:rFonts w:ascii="Garamond" w:hAnsi="Garamond" w:cs="Times New Roman"/>
        </w:rPr>
        <w:t>.</w:t>
      </w:r>
      <w:r w:rsidR="00C50A03" w:rsidRPr="004A0C12">
        <w:rPr>
          <w:rStyle w:val="FootnoteReference"/>
          <w:rFonts w:ascii="Garamond" w:hAnsi="Garamond" w:cs="Times New Roman"/>
        </w:rPr>
        <w:footnoteReference w:id="44"/>
      </w:r>
      <w:r w:rsidRPr="004A0C12">
        <w:rPr>
          <w:rFonts w:ascii="Garamond" w:hAnsi="Garamond" w:cs="Times New Roman"/>
        </w:rPr>
        <w:t xml:space="preserve"> It is estimated that more than 14,000 hired farm workers were employed in Maryland in 2012; however, only 133 farms hired migrant farm labor. This is a substantial decrease from the 236 farms that hired migrant </w:t>
      </w:r>
      <w:r w:rsidR="00C50A03" w:rsidRPr="004A0C12">
        <w:rPr>
          <w:rFonts w:ascii="Garamond" w:hAnsi="Garamond" w:cs="Times New Roman"/>
        </w:rPr>
        <w:t>farmers in Maryland during 2007</w:t>
      </w:r>
      <w:r w:rsidRPr="004A0C12">
        <w:rPr>
          <w:rFonts w:ascii="Garamond" w:hAnsi="Garamond" w:cs="Times New Roman"/>
        </w:rPr>
        <w:t>. A little over half of the hired farm workers, 7,891 workers, worked less than 150 days indicating the periodici</w:t>
      </w:r>
      <w:r w:rsidR="00C50A03" w:rsidRPr="004A0C12">
        <w:rPr>
          <w:rFonts w:ascii="Garamond" w:hAnsi="Garamond" w:cs="Times New Roman"/>
        </w:rPr>
        <w:t>ty of the farm work</w:t>
      </w:r>
      <w:r w:rsidRPr="004A0C12">
        <w:rPr>
          <w:rFonts w:ascii="Garamond" w:hAnsi="Garamond" w:cs="Times New Roman"/>
        </w:rPr>
        <w:t>.</w:t>
      </w:r>
      <w:r w:rsidR="00C50A03" w:rsidRPr="004A0C12">
        <w:rPr>
          <w:rStyle w:val="FootnoteReference"/>
          <w:rFonts w:ascii="Garamond" w:hAnsi="Garamond" w:cs="Times New Roman"/>
        </w:rPr>
        <w:footnoteReference w:id="45"/>
      </w:r>
      <w:r w:rsidRPr="004A0C12">
        <w:rPr>
          <w:rFonts w:ascii="Garamond" w:hAnsi="Garamond" w:cs="Times New Roman"/>
        </w:rPr>
        <w:t xml:space="preserve"> A contributing factor to the limited hiring is that the majority of farms in</w:t>
      </w:r>
      <w:r w:rsidR="00C50A03" w:rsidRPr="004A0C12">
        <w:rPr>
          <w:rFonts w:ascii="Garamond" w:hAnsi="Garamond" w:cs="Times New Roman"/>
        </w:rPr>
        <w:t xml:space="preserve"> Maryland are family operations</w:t>
      </w:r>
      <w:r w:rsidRPr="004A0C12">
        <w:rPr>
          <w:rFonts w:ascii="Garamond" w:hAnsi="Garamond" w:cs="Times New Roman"/>
        </w:rPr>
        <w:t>.</w:t>
      </w:r>
      <w:r w:rsidR="00C50A03" w:rsidRPr="004A0C12">
        <w:rPr>
          <w:rStyle w:val="FootnoteReference"/>
          <w:rFonts w:ascii="Garamond" w:hAnsi="Garamond" w:cs="Times New Roman"/>
        </w:rPr>
        <w:footnoteReference w:id="46"/>
      </w:r>
      <w:r w:rsidRPr="004A0C12">
        <w:rPr>
          <w:rFonts w:ascii="Garamond" w:hAnsi="Garamond" w:cs="Times New Roman"/>
        </w:rPr>
        <w:t xml:space="preserve"> Crop production is projected to increase in employment from 2012 to 2022 by nearly five percent, while animal production is projected to decline by mo</w:t>
      </w:r>
      <w:r w:rsidR="00C50A03" w:rsidRPr="004A0C12">
        <w:rPr>
          <w:rFonts w:ascii="Garamond" w:hAnsi="Garamond" w:cs="Times New Roman"/>
        </w:rPr>
        <w:t>re than two percent</w:t>
      </w:r>
      <w:r w:rsidRPr="004A0C12">
        <w:rPr>
          <w:rFonts w:ascii="Garamond" w:hAnsi="Garamond" w:cs="Times New Roman"/>
        </w:rPr>
        <w:t>.</w:t>
      </w:r>
      <w:r w:rsidR="00C50A03" w:rsidRPr="004A0C12">
        <w:rPr>
          <w:rStyle w:val="FootnoteReference"/>
          <w:rFonts w:ascii="Garamond" w:hAnsi="Garamond" w:cs="Times New Roman"/>
        </w:rPr>
        <w:footnoteReference w:id="47"/>
      </w:r>
    </w:p>
    <w:p w14:paraId="3E6CF376" w14:textId="77777777" w:rsidR="00F07997" w:rsidRPr="004A0C12" w:rsidRDefault="00F07997" w:rsidP="00F07997">
      <w:pPr>
        <w:pStyle w:val="NoSpacing"/>
        <w:jc w:val="both"/>
        <w:rPr>
          <w:rFonts w:ascii="Garamond" w:hAnsi="Garamond" w:cs="Times New Roman"/>
        </w:rPr>
      </w:pPr>
    </w:p>
    <w:p w14:paraId="74C4D94B" w14:textId="74BB5D24" w:rsidR="00F07997" w:rsidRPr="004A0C12" w:rsidRDefault="00F07997" w:rsidP="00F07997">
      <w:pPr>
        <w:pStyle w:val="NoSpacing"/>
        <w:jc w:val="both"/>
        <w:rPr>
          <w:rFonts w:ascii="Garamond" w:hAnsi="Garamond" w:cs="Times New Roman"/>
        </w:rPr>
      </w:pPr>
      <w:r w:rsidRPr="004A0C12">
        <w:rPr>
          <w:rFonts w:ascii="Garamond" w:hAnsi="Garamond" w:cs="Times New Roman"/>
        </w:rPr>
        <w:t>According to U</w:t>
      </w:r>
      <w:r w:rsidR="00C50A03" w:rsidRPr="004A0C12">
        <w:rPr>
          <w:rFonts w:ascii="Garamond" w:hAnsi="Garamond" w:cs="Times New Roman"/>
        </w:rPr>
        <w:t xml:space="preserve">nited </w:t>
      </w:r>
      <w:r w:rsidRPr="004A0C12">
        <w:rPr>
          <w:rFonts w:ascii="Garamond" w:hAnsi="Garamond" w:cs="Times New Roman"/>
        </w:rPr>
        <w:t>S</w:t>
      </w:r>
      <w:r w:rsidR="00C50A03" w:rsidRPr="004A0C12">
        <w:rPr>
          <w:rFonts w:ascii="Garamond" w:hAnsi="Garamond" w:cs="Times New Roman"/>
        </w:rPr>
        <w:t xml:space="preserve">tates </w:t>
      </w:r>
      <w:r w:rsidRPr="004A0C12">
        <w:rPr>
          <w:rFonts w:ascii="Garamond" w:hAnsi="Garamond" w:cs="Times New Roman"/>
        </w:rPr>
        <w:t>D</w:t>
      </w:r>
      <w:r w:rsidR="00C50A03" w:rsidRPr="004A0C12">
        <w:rPr>
          <w:rFonts w:ascii="Garamond" w:hAnsi="Garamond" w:cs="Times New Roman"/>
        </w:rPr>
        <w:t xml:space="preserve">epartment of </w:t>
      </w:r>
      <w:r w:rsidRPr="004A0C12">
        <w:rPr>
          <w:rFonts w:ascii="Garamond" w:hAnsi="Garamond" w:cs="Times New Roman"/>
        </w:rPr>
        <w:t>A</w:t>
      </w:r>
      <w:r w:rsidR="00C50A03" w:rsidRPr="004A0C12">
        <w:rPr>
          <w:rFonts w:ascii="Garamond" w:hAnsi="Garamond" w:cs="Times New Roman"/>
        </w:rPr>
        <w:t>griculture</w:t>
      </w:r>
      <w:r w:rsidRPr="004A0C12">
        <w:rPr>
          <w:rFonts w:ascii="Garamond" w:hAnsi="Garamond" w:cs="Times New Roman"/>
        </w:rPr>
        <w:t>, poultry and eggs are the top commodity in Maryland with a value in sales in 2012 of just shy o</w:t>
      </w:r>
      <w:r w:rsidR="00C50A03" w:rsidRPr="004A0C12">
        <w:rPr>
          <w:rFonts w:ascii="Garamond" w:hAnsi="Garamond" w:cs="Times New Roman"/>
        </w:rPr>
        <w:t xml:space="preserve">f </w:t>
      </w:r>
      <w:r w:rsidR="00C73130" w:rsidRPr="004A0C12">
        <w:rPr>
          <w:rFonts w:ascii="Garamond" w:hAnsi="Garamond" w:cs="Times New Roman"/>
        </w:rPr>
        <w:t>$1 billion</w:t>
      </w:r>
      <w:r w:rsidRPr="004A0C12">
        <w:rPr>
          <w:rFonts w:ascii="Garamond" w:hAnsi="Garamond" w:cs="Times New Roman"/>
        </w:rPr>
        <w:t>.</w:t>
      </w:r>
      <w:r w:rsidR="00C50A03" w:rsidRPr="004A0C12">
        <w:rPr>
          <w:rStyle w:val="FootnoteReference"/>
          <w:rFonts w:ascii="Garamond" w:hAnsi="Garamond" w:cs="Times New Roman"/>
        </w:rPr>
        <w:footnoteReference w:id="48"/>
      </w:r>
      <w:r w:rsidRPr="004A0C12">
        <w:rPr>
          <w:rFonts w:ascii="Garamond" w:hAnsi="Garamond" w:cs="Times New Roman"/>
        </w:rPr>
        <w:t xml:space="preserve"> Grains, oilseeds, dry beans, and dry peas were the second largest commodity in terms of value in sales with nearly three-quarters of a billion</w:t>
      </w:r>
      <w:r w:rsidR="00C73130" w:rsidRPr="004A0C12">
        <w:rPr>
          <w:rFonts w:ascii="Garamond" w:hAnsi="Garamond" w:cs="Times New Roman"/>
        </w:rPr>
        <w:t xml:space="preserve"> dollars</w:t>
      </w:r>
      <w:r w:rsidR="00C50A03" w:rsidRPr="004A0C12">
        <w:rPr>
          <w:rFonts w:ascii="Garamond" w:hAnsi="Garamond" w:cs="Times New Roman"/>
        </w:rPr>
        <w:t xml:space="preserve"> in sales in 2012</w:t>
      </w:r>
      <w:r w:rsidRPr="004A0C12">
        <w:rPr>
          <w:rFonts w:ascii="Garamond" w:hAnsi="Garamond" w:cs="Times New Roman"/>
        </w:rPr>
        <w:t>.</w:t>
      </w:r>
      <w:r w:rsidR="00C50A03" w:rsidRPr="004A0C12">
        <w:rPr>
          <w:rStyle w:val="FootnoteReference"/>
          <w:rFonts w:ascii="Garamond" w:hAnsi="Garamond" w:cs="Times New Roman"/>
        </w:rPr>
        <w:footnoteReference w:id="49"/>
      </w:r>
      <w:r w:rsidRPr="004A0C12">
        <w:rPr>
          <w:rFonts w:ascii="Garamond" w:hAnsi="Garamond" w:cs="Times New Roman"/>
        </w:rPr>
        <w:t xml:space="preserve"> Although these were the main crops in terms of sales in Maryland, the following information will focus on those commodities with high numbers of migrant and seasonal farm workers.</w:t>
      </w:r>
    </w:p>
    <w:p w14:paraId="3ED113DF" w14:textId="77777777" w:rsidR="00F07997" w:rsidRPr="004A0C12" w:rsidRDefault="00F07997" w:rsidP="00F07997">
      <w:pPr>
        <w:pStyle w:val="NoSpacing"/>
        <w:jc w:val="both"/>
        <w:rPr>
          <w:rFonts w:ascii="Garamond" w:hAnsi="Garamond" w:cs="Times New Roman"/>
        </w:rPr>
      </w:pPr>
    </w:p>
    <w:p w14:paraId="75F434FD" w14:textId="77777777"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As shown below, the top five major crop activities across Maryland continue to employ a declining number of migrant and seasonal farm workers. </w:t>
      </w:r>
    </w:p>
    <w:p w14:paraId="4E9BDDCF" w14:textId="77777777" w:rsidR="00F07997" w:rsidRPr="004A0C12" w:rsidRDefault="00F07997" w:rsidP="00F07997">
      <w:pPr>
        <w:pStyle w:val="NoSpacing"/>
        <w:jc w:val="both"/>
        <w:rPr>
          <w:rFonts w:ascii="Garamond" w:hAnsi="Garamond" w:cs="Times New Roman"/>
        </w:rPr>
      </w:pPr>
    </w:p>
    <w:p w14:paraId="34A1CC17" w14:textId="77777777" w:rsidR="00F07997" w:rsidRPr="004A0C12" w:rsidRDefault="00F07997" w:rsidP="00F07997">
      <w:pPr>
        <w:pStyle w:val="NoSpacing"/>
        <w:jc w:val="both"/>
        <w:rPr>
          <w:rFonts w:ascii="Garamond" w:hAnsi="Garamond" w:cs="Times New Roman"/>
        </w:rPr>
      </w:pPr>
    </w:p>
    <w:tbl>
      <w:tblPr>
        <w:tblStyle w:val="PlainTable11"/>
        <w:tblW w:w="0" w:type="auto"/>
        <w:jc w:val="center"/>
        <w:tblLook w:val="04A0" w:firstRow="1" w:lastRow="0" w:firstColumn="1" w:lastColumn="0" w:noHBand="0" w:noVBand="1"/>
        <w:tblCaption w:val="Top 5 Labor-Intensive Crops for Migrant &amp; Seasonal Farm Workers"/>
        <w:tblDescription w:val="This chart lists Mayrland's top 5 labor-intensive crops for migrant and seasonal farm workers and provides a description of each: 1. Nursery Stock - Employs workers across the state from March through November. Nursery stock growing actually has a bifurcated annual time span which peaks in the spring and in the fall. A cool spring and late frost in the most recent growing season affected nursery production slightly; 2. Diversified crops- Many vegetables are grown in the central, more cosmopolitan regions of the state. These crops are available in local farm stands and grocery stores throughout the summer months; 3. Tomatoes- Maryland’s largest single vegetable crop; tomatoes are picked and packed in places located on Maryland’s Eastern Shore during the months of July and August; 4. Cantaloupes &amp; Melons - Harvested predominantly on Maryland’s Eastern Shore during the months of July and August; and 5.  Fruit Orchards- Maryland’s fruit orchards typically include apples, peaches, and occasionally other fruit. These employ workers generally along Maryland’s northern and western borders (i.e. the Mason-Dixon Line) from July through October, depending on the varieties of fruits grown at the particular orchard."/>
      </w:tblPr>
      <w:tblGrid>
        <w:gridCol w:w="2268"/>
        <w:gridCol w:w="7308"/>
      </w:tblGrid>
      <w:tr w:rsidR="00231879" w:rsidRPr="004A0C12" w14:paraId="55409F98" w14:textId="77777777" w:rsidTr="008B1D9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9576" w:type="dxa"/>
            <w:gridSpan w:val="2"/>
          </w:tcPr>
          <w:p w14:paraId="3E1F63B3" w14:textId="568B62BD" w:rsidR="00F07997" w:rsidRPr="004A0C12" w:rsidRDefault="00F07997" w:rsidP="00F07997">
            <w:pPr>
              <w:pStyle w:val="NoSpacing"/>
              <w:jc w:val="center"/>
              <w:rPr>
                <w:rFonts w:ascii="Garamond" w:hAnsi="Garamond"/>
                <w:b w:val="0"/>
                <w:sz w:val="22"/>
                <w:szCs w:val="22"/>
              </w:rPr>
            </w:pPr>
            <w:r w:rsidRPr="004A0C12">
              <w:rPr>
                <w:rFonts w:ascii="Garamond" w:hAnsi="Garamond"/>
                <w:sz w:val="22"/>
                <w:szCs w:val="22"/>
              </w:rPr>
              <w:t xml:space="preserve">Top 5 Labor-Intensive Crops for Migrant &amp; </w:t>
            </w:r>
            <w:r w:rsidR="00C50A03" w:rsidRPr="004A0C12">
              <w:rPr>
                <w:rFonts w:ascii="Garamond" w:hAnsi="Garamond"/>
                <w:sz w:val="22"/>
                <w:szCs w:val="22"/>
              </w:rPr>
              <w:t>Seasonal</w:t>
            </w:r>
            <w:r w:rsidRPr="004A0C12">
              <w:rPr>
                <w:rFonts w:ascii="Garamond" w:hAnsi="Garamond"/>
                <w:sz w:val="22"/>
                <w:szCs w:val="22"/>
              </w:rPr>
              <w:t xml:space="preserve"> Farm Workers </w:t>
            </w:r>
          </w:p>
        </w:tc>
      </w:tr>
      <w:tr w:rsidR="00231879" w:rsidRPr="004A0C12" w14:paraId="3C720361" w14:textId="77777777" w:rsidTr="002318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tcPr>
          <w:p w14:paraId="2B3774B2" w14:textId="77777777" w:rsidR="00F07997" w:rsidRPr="004A0C12" w:rsidRDefault="00F07997" w:rsidP="00F07997">
            <w:pPr>
              <w:pStyle w:val="NoSpacing"/>
              <w:jc w:val="both"/>
              <w:rPr>
                <w:rFonts w:ascii="Garamond" w:hAnsi="Garamond"/>
                <w:b w:val="0"/>
                <w:sz w:val="22"/>
                <w:szCs w:val="22"/>
              </w:rPr>
            </w:pPr>
            <w:r w:rsidRPr="004A0C12">
              <w:rPr>
                <w:rFonts w:ascii="Garamond" w:hAnsi="Garamond"/>
                <w:b w:val="0"/>
                <w:sz w:val="22"/>
                <w:szCs w:val="22"/>
              </w:rPr>
              <w:t>Crop</w:t>
            </w:r>
          </w:p>
        </w:tc>
        <w:tc>
          <w:tcPr>
            <w:tcW w:w="7308" w:type="dxa"/>
          </w:tcPr>
          <w:p w14:paraId="0984886A" w14:textId="77777777" w:rsidR="00F07997" w:rsidRPr="004A0C12" w:rsidRDefault="00F07997" w:rsidP="00F07997">
            <w:pPr>
              <w:pStyle w:val="NoSpacing"/>
              <w:jc w:val="both"/>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Description</w:t>
            </w:r>
          </w:p>
        </w:tc>
      </w:tr>
      <w:tr w:rsidR="00231879" w:rsidRPr="004A0C12" w14:paraId="26FEA033" w14:textId="77777777" w:rsidTr="00231879">
        <w:trPr>
          <w:jc w:val="center"/>
        </w:trPr>
        <w:tc>
          <w:tcPr>
            <w:cnfStyle w:val="001000000000" w:firstRow="0" w:lastRow="0" w:firstColumn="1" w:lastColumn="0" w:oddVBand="0" w:evenVBand="0" w:oddHBand="0" w:evenHBand="0" w:firstRowFirstColumn="0" w:firstRowLastColumn="0" w:lastRowFirstColumn="0" w:lastRowLastColumn="0"/>
            <w:tcW w:w="2268" w:type="dxa"/>
          </w:tcPr>
          <w:p w14:paraId="7CF874E7" w14:textId="77777777" w:rsidR="00F07997" w:rsidRPr="004A0C12" w:rsidRDefault="00F07997" w:rsidP="00F07997">
            <w:pPr>
              <w:pStyle w:val="NoSpacing"/>
              <w:jc w:val="both"/>
              <w:rPr>
                <w:rFonts w:ascii="Garamond" w:hAnsi="Garamond"/>
                <w:sz w:val="22"/>
                <w:szCs w:val="22"/>
              </w:rPr>
            </w:pPr>
            <w:r w:rsidRPr="004A0C12">
              <w:rPr>
                <w:rFonts w:ascii="Garamond" w:hAnsi="Garamond"/>
                <w:sz w:val="22"/>
                <w:szCs w:val="22"/>
              </w:rPr>
              <w:t>Nursery Stock</w:t>
            </w:r>
          </w:p>
        </w:tc>
        <w:tc>
          <w:tcPr>
            <w:tcW w:w="7308" w:type="dxa"/>
          </w:tcPr>
          <w:p w14:paraId="62A9CBDC" w14:textId="77777777" w:rsidR="00F07997" w:rsidRPr="004A0C12" w:rsidRDefault="00F07997" w:rsidP="00F07997">
            <w:pPr>
              <w:pStyle w:val="NoSpacing"/>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Employs workers across the state from March through November. Nursery stock growing actually has a bifurcated annual time span which peaks in the spring and in the fall. A cool spring and late frost in the most recent growing season affected nursery production slightly.</w:t>
            </w:r>
          </w:p>
        </w:tc>
      </w:tr>
      <w:tr w:rsidR="00231879" w:rsidRPr="004A0C12" w14:paraId="165FF12E" w14:textId="77777777" w:rsidTr="002318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tcPr>
          <w:p w14:paraId="11547FE0" w14:textId="77777777" w:rsidR="00F07997" w:rsidRPr="004A0C12" w:rsidRDefault="00F07997" w:rsidP="00F07997">
            <w:pPr>
              <w:pStyle w:val="NoSpacing"/>
              <w:jc w:val="both"/>
              <w:rPr>
                <w:rFonts w:ascii="Garamond" w:hAnsi="Garamond"/>
                <w:sz w:val="22"/>
                <w:szCs w:val="22"/>
              </w:rPr>
            </w:pPr>
            <w:r w:rsidRPr="004A0C12">
              <w:rPr>
                <w:rFonts w:ascii="Garamond" w:hAnsi="Garamond"/>
                <w:sz w:val="22"/>
                <w:szCs w:val="22"/>
              </w:rPr>
              <w:t>Diversified crops</w:t>
            </w:r>
          </w:p>
        </w:tc>
        <w:tc>
          <w:tcPr>
            <w:tcW w:w="7308" w:type="dxa"/>
          </w:tcPr>
          <w:p w14:paraId="71BA6274" w14:textId="77777777" w:rsidR="00F07997" w:rsidRPr="004A0C12" w:rsidRDefault="00F07997" w:rsidP="00F07997">
            <w:pPr>
              <w:pStyle w:val="NoSpacing"/>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Many vegetables are grown in the central, more cosmopolitan regions of the state.  These crops are available in local farm stands and grocery stores throughout the summer months.</w:t>
            </w:r>
          </w:p>
        </w:tc>
      </w:tr>
      <w:tr w:rsidR="00231879" w:rsidRPr="004A0C12" w14:paraId="744F3B1B" w14:textId="77777777" w:rsidTr="00231879">
        <w:trPr>
          <w:jc w:val="center"/>
        </w:trPr>
        <w:tc>
          <w:tcPr>
            <w:cnfStyle w:val="001000000000" w:firstRow="0" w:lastRow="0" w:firstColumn="1" w:lastColumn="0" w:oddVBand="0" w:evenVBand="0" w:oddHBand="0" w:evenHBand="0" w:firstRowFirstColumn="0" w:firstRowLastColumn="0" w:lastRowFirstColumn="0" w:lastRowLastColumn="0"/>
            <w:tcW w:w="2268" w:type="dxa"/>
          </w:tcPr>
          <w:p w14:paraId="79B440E8" w14:textId="77777777" w:rsidR="00F07997" w:rsidRPr="004A0C12" w:rsidRDefault="00F07997" w:rsidP="00F07997">
            <w:pPr>
              <w:pStyle w:val="NoSpacing"/>
              <w:jc w:val="both"/>
              <w:rPr>
                <w:rFonts w:ascii="Garamond" w:hAnsi="Garamond"/>
                <w:sz w:val="22"/>
                <w:szCs w:val="22"/>
              </w:rPr>
            </w:pPr>
            <w:r w:rsidRPr="004A0C12">
              <w:rPr>
                <w:rFonts w:ascii="Garamond" w:hAnsi="Garamond"/>
                <w:sz w:val="22"/>
                <w:szCs w:val="22"/>
              </w:rPr>
              <w:t>Tomatoes</w:t>
            </w:r>
          </w:p>
        </w:tc>
        <w:tc>
          <w:tcPr>
            <w:tcW w:w="7308" w:type="dxa"/>
          </w:tcPr>
          <w:p w14:paraId="132B0443" w14:textId="77777777" w:rsidR="00F07997" w:rsidRPr="004A0C12" w:rsidRDefault="00F07997" w:rsidP="00F07997">
            <w:pPr>
              <w:pStyle w:val="NoSpacing"/>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Maryland’s largest single vegetable crop; tomatoes are picked and packed in places </w:t>
            </w:r>
            <w:r w:rsidRPr="004A0C12">
              <w:rPr>
                <w:rFonts w:ascii="Garamond" w:hAnsi="Garamond"/>
                <w:sz w:val="22"/>
                <w:szCs w:val="22"/>
              </w:rPr>
              <w:lastRenderedPageBreak/>
              <w:t xml:space="preserve">located on Maryland’s Eastern Shore during the months of July and August. </w:t>
            </w:r>
          </w:p>
        </w:tc>
      </w:tr>
      <w:tr w:rsidR="00231879" w:rsidRPr="004A0C12" w14:paraId="6EDE55D3" w14:textId="77777777" w:rsidTr="002318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tcPr>
          <w:p w14:paraId="1E9B6090" w14:textId="77777777" w:rsidR="00F07997" w:rsidRPr="004A0C12" w:rsidRDefault="00F07997" w:rsidP="00F07997">
            <w:pPr>
              <w:pStyle w:val="NoSpacing"/>
              <w:rPr>
                <w:rFonts w:ascii="Garamond" w:hAnsi="Garamond"/>
                <w:sz w:val="22"/>
                <w:szCs w:val="22"/>
              </w:rPr>
            </w:pPr>
            <w:r w:rsidRPr="004A0C12">
              <w:rPr>
                <w:rFonts w:ascii="Garamond" w:hAnsi="Garamond"/>
                <w:sz w:val="22"/>
                <w:szCs w:val="22"/>
              </w:rPr>
              <w:lastRenderedPageBreak/>
              <w:t>Cantaloupes &amp; Melons</w:t>
            </w:r>
          </w:p>
        </w:tc>
        <w:tc>
          <w:tcPr>
            <w:tcW w:w="7308" w:type="dxa"/>
          </w:tcPr>
          <w:p w14:paraId="49D4416A" w14:textId="77777777" w:rsidR="00F07997" w:rsidRPr="004A0C12" w:rsidRDefault="00F07997" w:rsidP="00F07997">
            <w:pPr>
              <w:pStyle w:val="NoSpacing"/>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Harvested predominantly on Maryland’s Eastern Shore during the months of July and August.</w:t>
            </w:r>
          </w:p>
        </w:tc>
      </w:tr>
      <w:tr w:rsidR="00231879" w:rsidRPr="004A0C12" w14:paraId="6BADA8AD" w14:textId="77777777" w:rsidTr="00231879">
        <w:trPr>
          <w:jc w:val="center"/>
        </w:trPr>
        <w:tc>
          <w:tcPr>
            <w:cnfStyle w:val="001000000000" w:firstRow="0" w:lastRow="0" w:firstColumn="1" w:lastColumn="0" w:oddVBand="0" w:evenVBand="0" w:oddHBand="0" w:evenHBand="0" w:firstRowFirstColumn="0" w:firstRowLastColumn="0" w:lastRowFirstColumn="0" w:lastRowLastColumn="0"/>
            <w:tcW w:w="2268" w:type="dxa"/>
          </w:tcPr>
          <w:p w14:paraId="628F6315" w14:textId="77777777" w:rsidR="00F07997" w:rsidRPr="004A0C12" w:rsidRDefault="00F07997" w:rsidP="00F07997">
            <w:pPr>
              <w:pStyle w:val="NoSpacing"/>
              <w:rPr>
                <w:rFonts w:ascii="Garamond" w:hAnsi="Garamond"/>
                <w:sz w:val="22"/>
                <w:szCs w:val="22"/>
              </w:rPr>
            </w:pPr>
            <w:r w:rsidRPr="004A0C12">
              <w:rPr>
                <w:rFonts w:ascii="Garamond" w:hAnsi="Garamond"/>
                <w:sz w:val="22"/>
                <w:szCs w:val="22"/>
              </w:rPr>
              <w:t xml:space="preserve">Fruit Orchards </w:t>
            </w:r>
          </w:p>
        </w:tc>
        <w:tc>
          <w:tcPr>
            <w:tcW w:w="7308" w:type="dxa"/>
          </w:tcPr>
          <w:p w14:paraId="31D8F7F8" w14:textId="77777777" w:rsidR="00F07997" w:rsidRPr="004A0C12" w:rsidRDefault="00F07997" w:rsidP="00F07997">
            <w:pPr>
              <w:pStyle w:val="NoSpacing"/>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Maryland’s fruit orchards typically include apples, peaches, and occasionally other fruit. These employ workers generally along Maryland’s northern and western borders (i.e. the Mason-Dixon Line) from July through October, depending on the varieties of fruits grown at the particular orchard.</w:t>
            </w:r>
          </w:p>
        </w:tc>
      </w:tr>
    </w:tbl>
    <w:p w14:paraId="002CEEE9" w14:textId="77777777" w:rsidR="00F07997" w:rsidRPr="004A0C12" w:rsidRDefault="00F07997" w:rsidP="00F07997">
      <w:pPr>
        <w:pStyle w:val="NoSpacing"/>
        <w:jc w:val="both"/>
        <w:rPr>
          <w:rFonts w:ascii="Garamond" w:hAnsi="Garamond" w:cs="Times New Roman"/>
          <w:i/>
        </w:rPr>
      </w:pPr>
    </w:p>
    <w:p w14:paraId="6D3381EB" w14:textId="6EB86B4C" w:rsidR="00F07997" w:rsidRPr="00535D82" w:rsidRDefault="00F07997" w:rsidP="00167878">
      <w:pPr>
        <w:pStyle w:val="Heading4"/>
        <w:rPr>
          <w:rFonts w:ascii="Garamond" w:hAnsi="Garamond"/>
          <w:sz w:val="24"/>
          <w:szCs w:val="24"/>
        </w:rPr>
      </w:pPr>
      <w:r w:rsidRPr="00535D82">
        <w:rPr>
          <w:rFonts w:ascii="Garamond" w:hAnsi="Garamond"/>
          <w:sz w:val="24"/>
          <w:szCs w:val="24"/>
        </w:rPr>
        <w:t>Employers’ Needs</w:t>
      </w:r>
    </w:p>
    <w:p w14:paraId="6C0BF480" w14:textId="77777777"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Anecdotal evidence suggests that Maryland’s agricultural employers are challenged by the scarcity of workers interested in the agricultural field. Historically, most Maryland farms were family owned and operated, and passed down through generations. Current trends suggest that younger generations tend to leave for other employment because they do not want to continue the family farm business. When this occurs, anecdotes collected from farmers suggest that farms either go out of business or resort to hiring via the H2A Program. </w:t>
      </w:r>
    </w:p>
    <w:p w14:paraId="21AFD481" w14:textId="77777777" w:rsidR="00F07997" w:rsidRPr="004A0C12" w:rsidRDefault="00F07997" w:rsidP="00F07997">
      <w:pPr>
        <w:pStyle w:val="NoSpacing"/>
        <w:jc w:val="both"/>
        <w:rPr>
          <w:rFonts w:ascii="Garamond" w:hAnsi="Garamond" w:cs="Times New Roman"/>
        </w:rPr>
      </w:pPr>
    </w:p>
    <w:p w14:paraId="71781208" w14:textId="07DFE50C" w:rsidR="00F07997" w:rsidRPr="004A0C12" w:rsidRDefault="00F07997" w:rsidP="00F07997">
      <w:pPr>
        <w:pStyle w:val="NoSpacing"/>
        <w:jc w:val="both"/>
        <w:rPr>
          <w:rFonts w:ascii="Garamond" w:hAnsi="Garamond" w:cs="Times New Roman"/>
        </w:rPr>
      </w:pPr>
      <w:r w:rsidRPr="004A0C12">
        <w:rPr>
          <w:rFonts w:ascii="Garamond" w:hAnsi="Garamond" w:cs="Times New Roman"/>
        </w:rPr>
        <w:t>According to online job postings, employers hiring in the Agriculture, Forestry, Fishing a</w:t>
      </w:r>
      <w:r w:rsidR="00C73130" w:rsidRPr="004A0C12">
        <w:rPr>
          <w:rFonts w:ascii="Garamond" w:hAnsi="Garamond" w:cs="Times New Roman"/>
        </w:rPr>
        <w:t>nd Hunting industry in Maryland</w:t>
      </w:r>
      <w:r w:rsidRPr="004A0C12">
        <w:rPr>
          <w:rFonts w:ascii="Garamond" w:hAnsi="Garamond" w:cs="Times New Roman"/>
        </w:rPr>
        <w:t xml:space="preserve"> need workers with landscaping, agricultural, and interpersonal skills (MWE, 2016). In terms of tools and technology, employers need employees skilled in the use of cell phones, forklifts, trucks, and fertilizer</w:t>
      </w:r>
      <w:r w:rsidR="00C50A03" w:rsidRPr="004A0C12">
        <w:rPr>
          <w:rFonts w:ascii="Garamond" w:hAnsi="Garamond" w:cs="Times New Roman"/>
        </w:rPr>
        <w:t xml:space="preserve"> spreading equipment</w:t>
      </w:r>
      <w:r w:rsidRPr="004A0C12">
        <w:rPr>
          <w:rFonts w:ascii="Garamond" w:hAnsi="Garamond" w:cs="Times New Roman"/>
        </w:rPr>
        <w:t>.</w:t>
      </w:r>
      <w:r w:rsidR="00C50A03" w:rsidRPr="004A0C12">
        <w:rPr>
          <w:rStyle w:val="FootnoteReference"/>
          <w:rFonts w:ascii="Garamond" w:hAnsi="Garamond" w:cs="Times New Roman"/>
        </w:rPr>
        <w:footnoteReference w:id="50"/>
      </w:r>
    </w:p>
    <w:p w14:paraId="118640B6" w14:textId="33F92584" w:rsidR="00F07997" w:rsidRPr="00535D82" w:rsidRDefault="00F07997" w:rsidP="00167878">
      <w:pPr>
        <w:pStyle w:val="Heading4"/>
        <w:rPr>
          <w:rFonts w:ascii="Garamond" w:hAnsi="Garamond"/>
          <w:sz w:val="24"/>
          <w:szCs w:val="24"/>
        </w:rPr>
      </w:pPr>
      <w:r w:rsidRPr="00535D82">
        <w:rPr>
          <w:rFonts w:ascii="Garamond" w:hAnsi="Garamond"/>
          <w:sz w:val="24"/>
          <w:szCs w:val="24"/>
        </w:rPr>
        <w:t>Other Factors Affecting Need</w:t>
      </w:r>
    </w:p>
    <w:p w14:paraId="666D52C4" w14:textId="489181EF" w:rsidR="00F07997" w:rsidRPr="004A0C12" w:rsidRDefault="00F07997" w:rsidP="00F07997">
      <w:pPr>
        <w:pStyle w:val="NoSpacing"/>
        <w:jc w:val="both"/>
        <w:rPr>
          <w:rFonts w:ascii="Garamond" w:hAnsi="Garamond" w:cs="Times New Roman"/>
        </w:rPr>
      </w:pPr>
      <w:r w:rsidRPr="004A0C12">
        <w:rPr>
          <w:rFonts w:ascii="Garamond" w:hAnsi="Garamond" w:cs="Times New Roman"/>
        </w:rPr>
        <w:t>From 2010 to 2014, Maryland has experienced an increase in populati</w:t>
      </w:r>
      <w:r w:rsidR="00C50A03" w:rsidRPr="004A0C12">
        <w:rPr>
          <w:rFonts w:ascii="Garamond" w:hAnsi="Garamond" w:cs="Times New Roman"/>
        </w:rPr>
        <w:t>on of 3.5 percent</w:t>
      </w:r>
      <w:r w:rsidRPr="004A0C12">
        <w:rPr>
          <w:rFonts w:ascii="Garamond" w:hAnsi="Garamond" w:cs="Times New Roman"/>
        </w:rPr>
        <w:t xml:space="preserve">. Maryland is very densely populated and is the sixth most densely populated state in the United States, which may be a contributing factor to the steady decline of crop </w:t>
      </w:r>
      <w:r w:rsidR="00C50A03" w:rsidRPr="004A0C12">
        <w:rPr>
          <w:rFonts w:ascii="Garamond" w:hAnsi="Garamond" w:cs="Times New Roman"/>
        </w:rPr>
        <w:t>farming across the State.</w:t>
      </w:r>
      <w:r w:rsidR="00C50A03" w:rsidRPr="004A0C12">
        <w:rPr>
          <w:rStyle w:val="FootnoteReference"/>
          <w:rFonts w:ascii="Garamond" w:hAnsi="Garamond" w:cs="Times New Roman"/>
        </w:rPr>
        <w:footnoteReference w:id="51"/>
      </w:r>
      <w:r w:rsidR="00C50A03" w:rsidRPr="004A0C12">
        <w:rPr>
          <w:rFonts w:ascii="Garamond" w:hAnsi="Garamond" w:cs="Times New Roman"/>
        </w:rPr>
        <w:t xml:space="preserve"> </w:t>
      </w:r>
    </w:p>
    <w:p w14:paraId="17BF5FB4" w14:textId="10E0B82E" w:rsidR="00F07997" w:rsidRPr="00535D82" w:rsidRDefault="00F07997" w:rsidP="00167878">
      <w:pPr>
        <w:pStyle w:val="Heading4"/>
        <w:rPr>
          <w:rFonts w:ascii="Garamond" w:hAnsi="Garamond"/>
          <w:sz w:val="24"/>
          <w:szCs w:val="24"/>
        </w:rPr>
      </w:pPr>
      <w:r w:rsidRPr="00535D82">
        <w:rPr>
          <w:rFonts w:ascii="Garamond" w:hAnsi="Garamond"/>
          <w:sz w:val="24"/>
          <w:szCs w:val="24"/>
        </w:rPr>
        <w:t xml:space="preserve">Migrant &amp; Seasonal Farmworker Characteristics </w:t>
      </w:r>
    </w:p>
    <w:p w14:paraId="23C727C7" w14:textId="77777777"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Maryland’s Migrant and Seasonal Farmworkers largely come from Florida and a few Southern states along the Eastern Seaboard. The population is almost exclusively Latino and Spanish speaking. The Migrant and Seasonal Farmworker population consists of either: (1) long-time migrants who have been picking crops for years; or, (2) persons of various backgrounds who are seeking to be part of an underground economy, which is difficult to trace for various legal reasons.  </w:t>
      </w:r>
    </w:p>
    <w:p w14:paraId="2A4DB74A" w14:textId="77777777" w:rsidR="00F07997" w:rsidRPr="004A0C12" w:rsidRDefault="00F07997" w:rsidP="00F07997">
      <w:pPr>
        <w:pStyle w:val="NoSpacing"/>
        <w:jc w:val="both"/>
        <w:rPr>
          <w:rFonts w:ascii="Garamond" w:hAnsi="Garamond" w:cs="Times New Roman"/>
        </w:rPr>
      </w:pPr>
    </w:p>
    <w:p w14:paraId="027D5BFE" w14:textId="57BEBCB7" w:rsidR="00F07997" w:rsidRPr="004A0C12" w:rsidRDefault="00F07997" w:rsidP="00F07997">
      <w:pPr>
        <w:pStyle w:val="NoSpacing"/>
        <w:jc w:val="both"/>
        <w:rPr>
          <w:rFonts w:ascii="Garamond" w:hAnsi="Garamond" w:cs="Times New Roman"/>
        </w:rPr>
      </w:pPr>
      <w:r w:rsidRPr="004A0C12">
        <w:rPr>
          <w:rFonts w:ascii="Garamond" w:hAnsi="Garamond" w:cs="Times New Roman"/>
        </w:rPr>
        <w:t>According to 2013 USDOL data, DLLR certified 640 H2A positions in Maryland, with the top work locations being:</w:t>
      </w:r>
    </w:p>
    <w:p w14:paraId="1E3EC50A" w14:textId="77777777" w:rsidR="00F07997" w:rsidRPr="004A0C12" w:rsidRDefault="00F07997" w:rsidP="00F07997">
      <w:pPr>
        <w:pStyle w:val="NoSpacing"/>
        <w:jc w:val="both"/>
        <w:rPr>
          <w:rFonts w:ascii="Garamond" w:hAnsi="Garamond" w:cs="Times New Roman"/>
        </w:rPr>
      </w:pPr>
    </w:p>
    <w:p w14:paraId="6919D917" w14:textId="39F8839B" w:rsidR="00F07997" w:rsidRPr="004A0C12" w:rsidRDefault="00F07997" w:rsidP="00232F09">
      <w:pPr>
        <w:pStyle w:val="NoSpacing"/>
        <w:numPr>
          <w:ilvl w:val="0"/>
          <w:numId w:val="275"/>
        </w:numPr>
        <w:jc w:val="both"/>
        <w:rPr>
          <w:rFonts w:ascii="Garamond" w:hAnsi="Garamond" w:cs="Times New Roman"/>
        </w:rPr>
      </w:pPr>
      <w:r w:rsidRPr="004A0C12">
        <w:rPr>
          <w:rFonts w:ascii="Garamond" w:hAnsi="Garamond" w:cs="Times New Roman"/>
        </w:rPr>
        <w:t xml:space="preserve">Kennedyville, </w:t>
      </w:r>
      <w:r w:rsidR="00C50A03" w:rsidRPr="004A0C12">
        <w:rPr>
          <w:rFonts w:ascii="Garamond" w:hAnsi="Garamond" w:cs="Times New Roman"/>
        </w:rPr>
        <w:t>Kent County</w:t>
      </w:r>
    </w:p>
    <w:p w14:paraId="1FAA2AA3" w14:textId="61BED1DD" w:rsidR="00F07997" w:rsidRPr="004A0C12" w:rsidRDefault="00F07997" w:rsidP="00232F09">
      <w:pPr>
        <w:pStyle w:val="NoSpacing"/>
        <w:numPr>
          <w:ilvl w:val="0"/>
          <w:numId w:val="275"/>
        </w:numPr>
        <w:jc w:val="both"/>
        <w:rPr>
          <w:rFonts w:ascii="Garamond" w:hAnsi="Garamond" w:cs="Times New Roman"/>
        </w:rPr>
      </w:pPr>
      <w:r w:rsidRPr="004A0C12">
        <w:rPr>
          <w:rFonts w:ascii="Garamond" w:hAnsi="Garamond" w:cs="Times New Roman"/>
        </w:rPr>
        <w:t xml:space="preserve">Westminster, </w:t>
      </w:r>
      <w:r w:rsidR="00C50A03" w:rsidRPr="004A0C12">
        <w:rPr>
          <w:rFonts w:ascii="Garamond" w:hAnsi="Garamond" w:cs="Times New Roman"/>
        </w:rPr>
        <w:t>Carroll County</w:t>
      </w:r>
    </w:p>
    <w:p w14:paraId="5E327C8A" w14:textId="5CD8A518" w:rsidR="00F07997" w:rsidRPr="004A0C12" w:rsidRDefault="00F07997" w:rsidP="00232F09">
      <w:pPr>
        <w:pStyle w:val="NoSpacing"/>
        <w:numPr>
          <w:ilvl w:val="0"/>
          <w:numId w:val="275"/>
        </w:numPr>
        <w:jc w:val="both"/>
        <w:rPr>
          <w:rFonts w:ascii="Garamond" w:hAnsi="Garamond" w:cs="Times New Roman"/>
        </w:rPr>
      </w:pPr>
      <w:r w:rsidRPr="004A0C12">
        <w:rPr>
          <w:rFonts w:ascii="Garamond" w:hAnsi="Garamond" w:cs="Times New Roman"/>
        </w:rPr>
        <w:t>Chesapeake C</w:t>
      </w:r>
      <w:r w:rsidR="00C50A03" w:rsidRPr="004A0C12">
        <w:rPr>
          <w:rFonts w:ascii="Garamond" w:hAnsi="Garamond" w:cs="Times New Roman"/>
        </w:rPr>
        <w:t>ity, Cecil County</w:t>
      </w:r>
    </w:p>
    <w:p w14:paraId="51E0A55B" w14:textId="77777777" w:rsidR="00F07997" w:rsidRPr="004A0C12" w:rsidRDefault="00F07997" w:rsidP="00F07997">
      <w:pPr>
        <w:pStyle w:val="NoSpacing"/>
        <w:rPr>
          <w:rFonts w:ascii="Garamond" w:hAnsi="Garamond" w:cs="Times New Roman"/>
        </w:rPr>
      </w:pPr>
    </w:p>
    <w:p w14:paraId="32346B20" w14:textId="6EBE718D" w:rsidR="00F07997" w:rsidRPr="004A0C12" w:rsidRDefault="00C73130" w:rsidP="00F07997">
      <w:pPr>
        <w:pStyle w:val="NoSpacing"/>
        <w:jc w:val="both"/>
        <w:rPr>
          <w:rFonts w:ascii="Garamond" w:hAnsi="Garamond" w:cs="Times New Roman"/>
        </w:rPr>
      </w:pPr>
      <w:r w:rsidRPr="004A0C12">
        <w:rPr>
          <w:rFonts w:ascii="Garamond" w:hAnsi="Garamond" w:cs="Times New Roman"/>
        </w:rPr>
        <w:t>In Maryland, the</w:t>
      </w:r>
      <w:r w:rsidR="00F07997" w:rsidRPr="004A0C12">
        <w:rPr>
          <w:rFonts w:ascii="Garamond" w:hAnsi="Garamond" w:cs="Times New Roman"/>
        </w:rPr>
        <w:t xml:space="preserve"> </w:t>
      </w:r>
      <w:r w:rsidRPr="004A0C12">
        <w:rPr>
          <w:rFonts w:ascii="Garamond" w:hAnsi="Garamond" w:cs="Times New Roman"/>
        </w:rPr>
        <w:t xml:space="preserve">migrant and seasonal farmworker </w:t>
      </w:r>
      <w:r w:rsidR="00F07997" w:rsidRPr="004A0C12">
        <w:rPr>
          <w:rFonts w:ascii="Garamond" w:hAnsi="Garamond" w:cs="Times New Roman"/>
        </w:rPr>
        <w:t>growing season begins in early to mid-March when nursery workers begin to arrive. Peak season is during July and August for harvesting vegetables including tomatoes, cantaloupes, and melons.  The harvest season is concluded with the fall apple harvests, mostly in the Cumberland Valley of Western Maryland.</w:t>
      </w:r>
    </w:p>
    <w:p w14:paraId="1B17127B" w14:textId="77777777" w:rsidR="00C73130" w:rsidRPr="004A0C12" w:rsidRDefault="00C73130" w:rsidP="00F07997">
      <w:pPr>
        <w:pStyle w:val="NoSpacing"/>
        <w:jc w:val="both"/>
        <w:rPr>
          <w:rFonts w:ascii="Garamond" w:hAnsi="Garamond" w:cs="Times New Roman"/>
        </w:rPr>
      </w:pPr>
    </w:p>
    <w:p w14:paraId="69E4269A" w14:textId="60527E28" w:rsidR="00F07997" w:rsidRPr="004A0C12" w:rsidRDefault="00F07997" w:rsidP="00F07997">
      <w:pPr>
        <w:pStyle w:val="NoSpacing"/>
        <w:jc w:val="both"/>
        <w:rPr>
          <w:rFonts w:ascii="Garamond" w:hAnsi="Garamond" w:cs="Times New Roman"/>
        </w:rPr>
      </w:pPr>
      <w:r w:rsidRPr="004A0C12">
        <w:rPr>
          <w:rFonts w:ascii="Garamond" w:hAnsi="Garamond" w:cs="Times New Roman"/>
        </w:rPr>
        <w:t>Despite a declining number of family farms overall, data from the Maryland Department of Agriculture suggest that the vast majority of Maryland farms continue to be family farms that do not employ outside labor. Maryland farms are mostly settled in pockets, maintained by Amish and Moravian families, who are known to rely only on the labor of family and friends. Both the number of farms employing Migrant and Seasonal Farmworkers and the number of Migrant and Seasonal Workers who are employed have annually decline</w:t>
      </w:r>
      <w:r w:rsidR="00B43D99" w:rsidRPr="004A0C12">
        <w:rPr>
          <w:rFonts w:ascii="Garamond" w:hAnsi="Garamond" w:cs="Times New Roman"/>
        </w:rPr>
        <w:t>d</w:t>
      </w:r>
      <w:r w:rsidRPr="004A0C12">
        <w:rPr>
          <w:rFonts w:ascii="Garamond" w:hAnsi="Garamond" w:cs="Times New Roman"/>
        </w:rPr>
        <w:t xml:space="preserve">. Maryland estimates that fewer than 1,000 Migrant and Seasonal Farmworkers are employed in </w:t>
      </w:r>
      <w:r w:rsidRPr="004A0C12">
        <w:rPr>
          <w:rFonts w:ascii="Garamond" w:hAnsi="Garamond" w:cs="Times New Roman"/>
        </w:rPr>
        <w:lastRenderedPageBreak/>
        <w:t xml:space="preserve">the State’s agricultural field during the growing season. During the winter months, from December through February, virtually no Migrant and Seasonal Farmworkers are employed in the State. </w:t>
      </w:r>
    </w:p>
    <w:p w14:paraId="69F54689" w14:textId="5049487D" w:rsidR="00F07997" w:rsidRPr="00535D82" w:rsidRDefault="007A1FDC" w:rsidP="00F07997">
      <w:pPr>
        <w:pStyle w:val="Heading3"/>
        <w:rPr>
          <w:rFonts w:ascii="Garamond" w:hAnsi="Garamond"/>
          <w:sz w:val="24"/>
          <w:szCs w:val="24"/>
        </w:rPr>
      </w:pPr>
      <w:bookmarkStart w:id="145" w:name="_Toc447276183"/>
      <w:r w:rsidRPr="00535D82">
        <w:rPr>
          <w:rFonts w:ascii="Garamond" w:hAnsi="Garamond"/>
          <w:sz w:val="24"/>
          <w:szCs w:val="24"/>
        </w:rPr>
        <w:t>OUTREACH ACTIVITIES</w:t>
      </w:r>
      <w:bookmarkEnd w:id="145"/>
    </w:p>
    <w:p w14:paraId="4B6E98AE" w14:textId="034A9BD0" w:rsidR="00F07997" w:rsidRPr="00535D82" w:rsidRDefault="00F07997" w:rsidP="00167878">
      <w:pPr>
        <w:pStyle w:val="Heading4"/>
        <w:rPr>
          <w:rFonts w:ascii="Garamond" w:hAnsi="Garamond"/>
          <w:sz w:val="24"/>
          <w:szCs w:val="24"/>
        </w:rPr>
      </w:pPr>
      <w:r w:rsidRPr="00535D82">
        <w:rPr>
          <w:rFonts w:ascii="Garamond" w:hAnsi="Garamond"/>
          <w:sz w:val="24"/>
          <w:szCs w:val="24"/>
        </w:rPr>
        <w:t>Contacting Maryland’s Farmworkers</w:t>
      </w:r>
    </w:p>
    <w:p w14:paraId="6CE436E1" w14:textId="6F7EEE0E" w:rsidR="00F07997" w:rsidRDefault="00F07997" w:rsidP="00F07997">
      <w:pPr>
        <w:pStyle w:val="NoSpacing"/>
        <w:jc w:val="both"/>
        <w:rPr>
          <w:rFonts w:ascii="Garamond" w:hAnsi="Garamond" w:cs="Times New Roman"/>
        </w:rPr>
      </w:pPr>
      <w:r w:rsidRPr="004A0C12">
        <w:rPr>
          <w:rFonts w:ascii="Garamond" w:hAnsi="Garamond" w:cs="Times New Roman"/>
        </w:rPr>
        <w:t xml:space="preserve">As DLLR’s outreach staff, Maryland’s Wagner-Peyser State Merit </w:t>
      </w:r>
      <w:proofErr w:type="gramStart"/>
      <w:r w:rsidRPr="004A0C12">
        <w:rPr>
          <w:rFonts w:ascii="Garamond" w:hAnsi="Garamond" w:cs="Times New Roman"/>
        </w:rPr>
        <w:t>staff have</w:t>
      </w:r>
      <w:proofErr w:type="gramEnd"/>
      <w:r w:rsidRPr="004A0C12">
        <w:rPr>
          <w:rFonts w:ascii="Garamond" w:hAnsi="Garamond" w:cs="Times New Roman"/>
        </w:rPr>
        <w:t xml:space="preserve"> consistently out-performed the annual goal of reaching over 50 percent</w:t>
      </w:r>
      <w:r w:rsidR="00C73130" w:rsidRPr="004A0C12">
        <w:rPr>
          <w:rFonts w:ascii="Garamond" w:hAnsi="Garamond" w:cs="Times New Roman"/>
        </w:rPr>
        <w:t xml:space="preserve"> (a historical average) of the Migrant and Seasonal Farmw</w:t>
      </w:r>
      <w:r w:rsidRPr="004A0C12">
        <w:rPr>
          <w:rFonts w:ascii="Garamond" w:hAnsi="Garamond" w:cs="Times New Roman"/>
        </w:rPr>
        <w:t xml:space="preserve">orkers who live and work in Maryland. Consistent with this performance and the resources available, staff and partners, such as Telamon Corporation, Legal Aid, and CATA Farmworkers Support Committee, </w:t>
      </w:r>
      <w:proofErr w:type="gramStart"/>
      <w:r w:rsidRPr="004A0C12">
        <w:rPr>
          <w:rFonts w:ascii="Garamond" w:hAnsi="Garamond" w:cs="Times New Roman"/>
        </w:rPr>
        <w:t>plan</w:t>
      </w:r>
      <w:proofErr w:type="gramEnd"/>
      <w:r w:rsidRPr="004A0C12">
        <w:rPr>
          <w:rFonts w:ascii="Garamond" w:hAnsi="Garamond" w:cs="Times New Roman"/>
        </w:rPr>
        <w:t xml:space="preserve"> to reach approximately 60 percent of the farm workers who are estimated to live or work in the State.  Annual goals are as follows: </w:t>
      </w:r>
    </w:p>
    <w:p w14:paraId="3701367A" w14:textId="77777777" w:rsidR="00535D82" w:rsidRPr="004A0C12" w:rsidRDefault="00535D82" w:rsidP="00F07997">
      <w:pPr>
        <w:pStyle w:val="NoSpacing"/>
        <w:jc w:val="both"/>
        <w:rPr>
          <w:rFonts w:ascii="Garamond" w:hAnsi="Garamond" w:cs="Times New Roman"/>
        </w:rPr>
      </w:pPr>
    </w:p>
    <w:p w14:paraId="0A1A569E" w14:textId="77777777" w:rsidR="00F07997" w:rsidRPr="004A0C12" w:rsidRDefault="00F07997" w:rsidP="00F07997">
      <w:pPr>
        <w:pStyle w:val="NoSpacing"/>
        <w:jc w:val="both"/>
        <w:rPr>
          <w:rFonts w:ascii="Garamond" w:hAnsi="Garamond" w:cs="Times New Roman"/>
        </w:rPr>
      </w:pPr>
    </w:p>
    <w:tbl>
      <w:tblPr>
        <w:tblStyle w:val="PlainTable11"/>
        <w:tblW w:w="0" w:type="auto"/>
        <w:jc w:val="center"/>
        <w:tblLayout w:type="fixed"/>
        <w:tblLook w:val="0000" w:firstRow="0" w:lastRow="0" w:firstColumn="0" w:lastColumn="0" w:noHBand="0" w:noVBand="0"/>
        <w:tblCaption w:val="Annual Goals"/>
        <w:tblDescription w:val="This chart shows annual goals by program year. PY 16 goal is to conduct outreach to 620 of the estimated population of 1050. PY 17 goal is to conduct outreach to 600 of the estimated population of 1000. PY 18 goal is to conduct outreach to 585 of the estimated population of 975. PY 19 goal is to conduct outreach to the 575 of the estimated population of 950."/>
      </w:tblPr>
      <w:tblGrid>
        <w:gridCol w:w="1080"/>
        <w:gridCol w:w="2250"/>
        <w:gridCol w:w="1800"/>
      </w:tblGrid>
      <w:tr w:rsidR="00F07997" w:rsidRPr="004A0C12" w14:paraId="02B001C7" w14:textId="77777777" w:rsidTr="008B1D9A">
        <w:trPr>
          <w:trHeight w:val="350"/>
          <w:tblHeader/>
          <w:jc w:val="center"/>
        </w:trPr>
        <w:tc>
          <w:tcPr>
            <w:cnfStyle w:val="000010000000" w:firstRow="0" w:lastRow="0" w:firstColumn="0" w:lastColumn="0" w:oddVBand="1" w:evenVBand="0" w:oddHBand="0" w:evenHBand="0" w:firstRowFirstColumn="0" w:firstRowLastColumn="0" w:lastRowFirstColumn="0" w:lastRowLastColumn="0"/>
            <w:tcW w:w="1080" w:type="dxa"/>
          </w:tcPr>
          <w:p w14:paraId="2F79AF0F" w14:textId="77777777" w:rsidR="00F07997" w:rsidRPr="004A0C12" w:rsidRDefault="00F07997" w:rsidP="00F07997">
            <w:pPr>
              <w:rPr>
                <w:rFonts w:ascii="Garamond" w:hAnsi="Garamond"/>
                <w:sz w:val="22"/>
                <w:szCs w:val="22"/>
              </w:rPr>
            </w:pPr>
            <w:r w:rsidRPr="004A0C12">
              <w:rPr>
                <w:rFonts w:ascii="Garamond" w:hAnsi="Garamond"/>
                <w:sz w:val="22"/>
                <w:szCs w:val="22"/>
              </w:rPr>
              <w:t>PY</w:t>
            </w:r>
          </w:p>
        </w:tc>
        <w:tc>
          <w:tcPr>
            <w:tcW w:w="2250" w:type="dxa"/>
          </w:tcPr>
          <w:p w14:paraId="6A3DAD1C" w14:textId="77777777" w:rsidR="00F07997" w:rsidRPr="004A0C12" w:rsidRDefault="00F07997" w:rsidP="00F07997">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Estimated Population</w:t>
            </w:r>
          </w:p>
        </w:tc>
        <w:tc>
          <w:tcPr>
            <w:cnfStyle w:val="000010000000" w:firstRow="0" w:lastRow="0" w:firstColumn="0" w:lastColumn="0" w:oddVBand="1" w:evenVBand="0" w:oddHBand="0" w:evenHBand="0" w:firstRowFirstColumn="0" w:firstRowLastColumn="0" w:lastRowFirstColumn="0" w:lastRowLastColumn="0"/>
            <w:tcW w:w="1800" w:type="dxa"/>
          </w:tcPr>
          <w:p w14:paraId="5B270321" w14:textId="77777777" w:rsidR="00F07997" w:rsidRPr="004A0C12" w:rsidRDefault="00F07997" w:rsidP="00F07997">
            <w:pPr>
              <w:rPr>
                <w:rFonts w:ascii="Garamond" w:hAnsi="Garamond"/>
                <w:sz w:val="22"/>
                <w:szCs w:val="22"/>
              </w:rPr>
            </w:pPr>
            <w:r w:rsidRPr="004A0C12">
              <w:rPr>
                <w:rFonts w:ascii="Garamond" w:hAnsi="Garamond"/>
                <w:sz w:val="22"/>
                <w:szCs w:val="22"/>
              </w:rPr>
              <w:t xml:space="preserve">  Total Outreach</w:t>
            </w:r>
          </w:p>
        </w:tc>
      </w:tr>
      <w:tr w:rsidR="00F07997" w:rsidRPr="004A0C12" w14:paraId="6F9DB577" w14:textId="77777777" w:rsidTr="00C73130">
        <w:trPr>
          <w:cnfStyle w:val="000000100000" w:firstRow="0" w:lastRow="0" w:firstColumn="0" w:lastColumn="0" w:oddVBand="0" w:evenVBand="0" w:oddHBand="1" w:evenHBand="0" w:firstRowFirstColumn="0" w:firstRowLastColumn="0" w:lastRowFirstColumn="0" w:lastRowLastColumn="0"/>
          <w:trHeight w:val="330"/>
          <w:jc w:val="center"/>
        </w:trPr>
        <w:tc>
          <w:tcPr>
            <w:cnfStyle w:val="000010000000" w:firstRow="0" w:lastRow="0" w:firstColumn="0" w:lastColumn="0" w:oddVBand="1" w:evenVBand="0" w:oddHBand="0" w:evenHBand="0" w:firstRowFirstColumn="0" w:firstRowLastColumn="0" w:lastRowFirstColumn="0" w:lastRowLastColumn="0"/>
            <w:tcW w:w="1080" w:type="dxa"/>
          </w:tcPr>
          <w:p w14:paraId="3540DB47" w14:textId="77777777" w:rsidR="00F07997" w:rsidRPr="004A0C12" w:rsidRDefault="00F07997" w:rsidP="00F07997">
            <w:pPr>
              <w:rPr>
                <w:rFonts w:ascii="Garamond" w:hAnsi="Garamond"/>
                <w:sz w:val="22"/>
                <w:szCs w:val="22"/>
              </w:rPr>
            </w:pPr>
            <w:r w:rsidRPr="004A0C12">
              <w:rPr>
                <w:rFonts w:ascii="Garamond" w:hAnsi="Garamond"/>
                <w:sz w:val="22"/>
                <w:szCs w:val="22"/>
              </w:rPr>
              <w:t>PY 16</w:t>
            </w:r>
          </w:p>
        </w:tc>
        <w:tc>
          <w:tcPr>
            <w:tcW w:w="2250" w:type="dxa"/>
          </w:tcPr>
          <w:p w14:paraId="1428FE2D" w14:textId="77777777" w:rsidR="00F07997" w:rsidRPr="004A0C12" w:rsidRDefault="00F07997" w:rsidP="00F07997">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1050</w:t>
            </w:r>
          </w:p>
        </w:tc>
        <w:tc>
          <w:tcPr>
            <w:cnfStyle w:val="000010000000" w:firstRow="0" w:lastRow="0" w:firstColumn="0" w:lastColumn="0" w:oddVBand="1" w:evenVBand="0" w:oddHBand="0" w:evenHBand="0" w:firstRowFirstColumn="0" w:firstRowLastColumn="0" w:lastRowFirstColumn="0" w:lastRowLastColumn="0"/>
            <w:tcW w:w="1800" w:type="dxa"/>
          </w:tcPr>
          <w:p w14:paraId="03ABC47E" w14:textId="77777777" w:rsidR="00F07997" w:rsidRPr="004A0C12" w:rsidRDefault="00F07997" w:rsidP="00F07997">
            <w:pPr>
              <w:rPr>
                <w:rFonts w:ascii="Garamond" w:hAnsi="Garamond"/>
                <w:sz w:val="22"/>
                <w:szCs w:val="22"/>
              </w:rPr>
            </w:pPr>
            <w:r w:rsidRPr="004A0C12">
              <w:rPr>
                <w:rFonts w:ascii="Garamond" w:hAnsi="Garamond"/>
                <w:sz w:val="22"/>
                <w:szCs w:val="22"/>
              </w:rPr>
              <w:t>620</w:t>
            </w:r>
          </w:p>
        </w:tc>
      </w:tr>
      <w:tr w:rsidR="00F07997" w:rsidRPr="004A0C12" w14:paraId="2E404289" w14:textId="77777777" w:rsidTr="00C73130">
        <w:trPr>
          <w:trHeight w:val="350"/>
          <w:jc w:val="center"/>
        </w:trPr>
        <w:tc>
          <w:tcPr>
            <w:cnfStyle w:val="000010000000" w:firstRow="0" w:lastRow="0" w:firstColumn="0" w:lastColumn="0" w:oddVBand="1" w:evenVBand="0" w:oddHBand="0" w:evenHBand="0" w:firstRowFirstColumn="0" w:firstRowLastColumn="0" w:lastRowFirstColumn="0" w:lastRowLastColumn="0"/>
            <w:tcW w:w="1080" w:type="dxa"/>
          </w:tcPr>
          <w:p w14:paraId="10479011" w14:textId="77777777" w:rsidR="00F07997" w:rsidRPr="004A0C12" w:rsidRDefault="00F07997" w:rsidP="00F07997">
            <w:pPr>
              <w:rPr>
                <w:rFonts w:ascii="Garamond" w:hAnsi="Garamond"/>
                <w:sz w:val="22"/>
                <w:szCs w:val="22"/>
              </w:rPr>
            </w:pPr>
            <w:r w:rsidRPr="004A0C12">
              <w:rPr>
                <w:rFonts w:ascii="Garamond" w:hAnsi="Garamond"/>
                <w:sz w:val="22"/>
                <w:szCs w:val="22"/>
              </w:rPr>
              <w:t>PY 17</w:t>
            </w:r>
          </w:p>
        </w:tc>
        <w:tc>
          <w:tcPr>
            <w:tcW w:w="2250" w:type="dxa"/>
          </w:tcPr>
          <w:p w14:paraId="246E9CFE" w14:textId="77777777" w:rsidR="00F07997" w:rsidRPr="004A0C12" w:rsidRDefault="00F07997" w:rsidP="00F07997">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1000</w:t>
            </w:r>
          </w:p>
        </w:tc>
        <w:tc>
          <w:tcPr>
            <w:cnfStyle w:val="000010000000" w:firstRow="0" w:lastRow="0" w:firstColumn="0" w:lastColumn="0" w:oddVBand="1" w:evenVBand="0" w:oddHBand="0" w:evenHBand="0" w:firstRowFirstColumn="0" w:firstRowLastColumn="0" w:lastRowFirstColumn="0" w:lastRowLastColumn="0"/>
            <w:tcW w:w="1800" w:type="dxa"/>
          </w:tcPr>
          <w:p w14:paraId="42897452" w14:textId="77777777" w:rsidR="00F07997" w:rsidRPr="004A0C12" w:rsidRDefault="00F07997" w:rsidP="00F07997">
            <w:pPr>
              <w:rPr>
                <w:rFonts w:ascii="Garamond" w:hAnsi="Garamond"/>
                <w:sz w:val="22"/>
                <w:szCs w:val="22"/>
              </w:rPr>
            </w:pPr>
            <w:r w:rsidRPr="004A0C12">
              <w:rPr>
                <w:rFonts w:ascii="Garamond" w:hAnsi="Garamond"/>
                <w:sz w:val="22"/>
                <w:szCs w:val="22"/>
              </w:rPr>
              <w:t>600</w:t>
            </w:r>
          </w:p>
        </w:tc>
      </w:tr>
      <w:tr w:rsidR="00F07997" w:rsidRPr="004A0C12" w14:paraId="598A3AEB" w14:textId="77777777" w:rsidTr="00C73130">
        <w:trPr>
          <w:cnfStyle w:val="000000100000" w:firstRow="0" w:lastRow="0" w:firstColumn="0" w:lastColumn="0" w:oddVBand="0" w:evenVBand="0" w:oddHBand="1" w:evenHBand="0" w:firstRowFirstColumn="0" w:firstRowLastColumn="0" w:lastRowFirstColumn="0" w:lastRowLastColumn="0"/>
          <w:trHeight w:val="330"/>
          <w:jc w:val="center"/>
        </w:trPr>
        <w:tc>
          <w:tcPr>
            <w:cnfStyle w:val="000010000000" w:firstRow="0" w:lastRow="0" w:firstColumn="0" w:lastColumn="0" w:oddVBand="1" w:evenVBand="0" w:oddHBand="0" w:evenHBand="0" w:firstRowFirstColumn="0" w:firstRowLastColumn="0" w:lastRowFirstColumn="0" w:lastRowLastColumn="0"/>
            <w:tcW w:w="1080" w:type="dxa"/>
          </w:tcPr>
          <w:p w14:paraId="724545F4" w14:textId="77777777" w:rsidR="00F07997" w:rsidRPr="004A0C12" w:rsidRDefault="00F07997" w:rsidP="00F07997">
            <w:pPr>
              <w:rPr>
                <w:rFonts w:ascii="Garamond" w:hAnsi="Garamond"/>
                <w:sz w:val="22"/>
                <w:szCs w:val="22"/>
              </w:rPr>
            </w:pPr>
            <w:r w:rsidRPr="004A0C12">
              <w:rPr>
                <w:rFonts w:ascii="Garamond" w:hAnsi="Garamond"/>
                <w:sz w:val="22"/>
                <w:szCs w:val="22"/>
              </w:rPr>
              <w:t>PY 18</w:t>
            </w:r>
          </w:p>
        </w:tc>
        <w:tc>
          <w:tcPr>
            <w:tcW w:w="2250" w:type="dxa"/>
          </w:tcPr>
          <w:p w14:paraId="669986B8" w14:textId="77777777" w:rsidR="00F07997" w:rsidRPr="004A0C12" w:rsidRDefault="00F07997" w:rsidP="00F07997">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975</w:t>
            </w:r>
          </w:p>
        </w:tc>
        <w:tc>
          <w:tcPr>
            <w:cnfStyle w:val="000010000000" w:firstRow="0" w:lastRow="0" w:firstColumn="0" w:lastColumn="0" w:oddVBand="1" w:evenVBand="0" w:oddHBand="0" w:evenHBand="0" w:firstRowFirstColumn="0" w:firstRowLastColumn="0" w:lastRowFirstColumn="0" w:lastRowLastColumn="0"/>
            <w:tcW w:w="1800" w:type="dxa"/>
          </w:tcPr>
          <w:p w14:paraId="2AD21C08" w14:textId="77777777" w:rsidR="00F07997" w:rsidRPr="004A0C12" w:rsidRDefault="00F07997" w:rsidP="00F07997">
            <w:pPr>
              <w:rPr>
                <w:rFonts w:ascii="Garamond" w:hAnsi="Garamond"/>
                <w:sz w:val="22"/>
                <w:szCs w:val="22"/>
              </w:rPr>
            </w:pPr>
            <w:r w:rsidRPr="004A0C12">
              <w:rPr>
                <w:rFonts w:ascii="Garamond" w:hAnsi="Garamond"/>
                <w:sz w:val="22"/>
                <w:szCs w:val="22"/>
              </w:rPr>
              <w:t>585</w:t>
            </w:r>
          </w:p>
        </w:tc>
      </w:tr>
      <w:tr w:rsidR="00F07997" w:rsidRPr="004A0C12" w14:paraId="7699E154" w14:textId="77777777" w:rsidTr="00C73130">
        <w:trPr>
          <w:trHeight w:val="350"/>
          <w:jc w:val="center"/>
        </w:trPr>
        <w:tc>
          <w:tcPr>
            <w:cnfStyle w:val="000010000000" w:firstRow="0" w:lastRow="0" w:firstColumn="0" w:lastColumn="0" w:oddVBand="1" w:evenVBand="0" w:oddHBand="0" w:evenHBand="0" w:firstRowFirstColumn="0" w:firstRowLastColumn="0" w:lastRowFirstColumn="0" w:lastRowLastColumn="0"/>
            <w:tcW w:w="1080" w:type="dxa"/>
          </w:tcPr>
          <w:p w14:paraId="2703254F" w14:textId="77777777" w:rsidR="00F07997" w:rsidRPr="004A0C12" w:rsidRDefault="00F07997" w:rsidP="00F07997">
            <w:pPr>
              <w:rPr>
                <w:rFonts w:ascii="Garamond" w:hAnsi="Garamond"/>
                <w:sz w:val="22"/>
                <w:szCs w:val="22"/>
              </w:rPr>
            </w:pPr>
            <w:r w:rsidRPr="004A0C12">
              <w:rPr>
                <w:rFonts w:ascii="Garamond" w:hAnsi="Garamond"/>
                <w:sz w:val="22"/>
                <w:szCs w:val="22"/>
              </w:rPr>
              <w:t>PY 19</w:t>
            </w:r>
          </w:p>
        </w:tc>
        <w:tc>
          <w:tcPr>
            <w:tcW w:w="2250" w:type="dxa"/>
          </w:tcPr>
          <w:p w14:paraId="3EBB1CAB" w14:textId="77777777" w:rsidR="00F07997" w:rsidRPr="004A0C12" w:rsidRDefault="00F07997" w:rsidP="00F07997">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950</w:t>
            </w:r>
          </w:p>
        </w:tc>
        <w:tc>
          <w:tcPr>
            <w:cnfStyle w:val="000010000000" w:firstRow="0" w:lastRow="0" w:firstColumn="0" w:lastColumn="0" w:oddVBand="1" w:evenVBand="0" w:oddHBand="0" w:evenHBand="0" w:firstRowFirstColumn="0" w:firstRowLastColumn="0" w:lastRowFirstColumn="0" w:lastRowLastColumn="0"/>
            <w:tcW w:w="1800" w:type="dxa"/>
          </w:tcPr>
          <w:p w14:paraId="2B47A536" w14:textId="77777777" w:rsidR="00F07997" w:rsidRPr="004A0C12" w:rsidRDefault="00F07997" w:rsidP="00F07997">
            <w:pPr>
              <w:rPr>
                <w:rFonts w:ascii="Garamond" w:hAnsi="Garamond"/>
                <w:sz w:val="22"/>
                <w:szCs w:val="22"/>
              </w:rPr>
            </w:pPr>
            <w:r w:rsidRPr="004A0C12">
              <w:rPr>
                <w:rFonts w:ascii="Garamond" w:hAnsi="Garamond"/>
                <w:sz w:val="22"/>
                <w:szCs w:val="22"/>
              </w:rPr>
              <w:t>575</w:t>
            </w:r>
          </w:p>
        </w:tc>
      </w:tr>
    </w:tbl>
    <w:p w14:paraId="0866561F" w14:textId="77777777" w:rsidR="00F07997" w:rsidRPr="004A0C12" w:rsidRDefault="00F07997" w:rsidP="00F07997">
      <w:pPr>
        <w:pStyle w:val="NoSpacing"/>
        <w:jc w:val="both"/>
        <w:rPr>
          <w:rFonts w:ascii="Garamond" w:hAnsi="Garamond" w:cs="Times New Roman"/>
        </w:rPr>
      </w:pPr>
    </w:p>
    <w:p w14:paraId="59028773" w14:textId="00627E46" w:rsidR="00F07997" w:rsidRPr="004A0C12" w:rsidRDefault="00C73130" w:rsidP="00F07997">
      <w:pPr>
        <w:spacing w:after="0" w:line="240" w:lineRule="auto"/>
        <w:jc w:val="both"/>
        <w:rPr>
          <w:rFonts w:ascii="Garamond" w:hAnsi="Garamond"/>
        </w:rPr>
      </w:pPr>
      <w:r w:rsidRPr="004A0C12">
        <w:rPr>
          <w:rFonts w:ascii="Garamond" w:hAnsi="Garamond"/>
        </w:rPr>
        <w:t>In addition to the Wagner-</w:t>
      </w:r>
      <w:r w:rsidR="00F07997" w:rsidRPr="004A0C12">
        <w:rPr>
          <w:rFonts w:ascii="Garamond" w:hAnsi="Garamond"/>
        </w:rPr>
        <w:t>Peyser State Merit staff, DLLR has 2.5 full-time staff dedicated to outreac</w:t>
      </w:r>
      <w:r w:rsidRPr="004A0C12">
        <w:rPr>
          <w:rFonts w:ascii="Garamond" w:hAnsi="Garamond"/>
        </w:rPr>
        <w:t>h to Migrant and Seasonal Farmw</w:t>
      </w:r>
      <w:r w:rsidR="00F07997" w:rsidRPr="004A0C12">
        <w:rPr>
          <w:rFonts w:ascii="Garamond" w:hAnsi="Garamond"/>
        </w:rPr>
        <w:t xml:space="preserve">orkers. </w:t>
      </w:r>
      <w:proofErr w:type="gramStart"/>
      <w:r w:rsidR="00F07997" w:rsidRPr="004A0C12">
        <w:rPr>
          <w:rFonts w:ascii="Garamond" w:hAnsi="Garamond"/>
        </w:rPr>
        <w:t>These staff include</w:t>
      </w:r>
      <w:proofErr w:type="gramEnd"/>
      <w:r w:rsidR="00F07997" w:rsidRPr="004A0C12">
        <w:rPr>
          <w:rFonts w:ascii="Garamond" w:hAnsi="Garamond"/>
        </w:rPr>
        <w:t xml:space="preserve"> the State Monitor Advocate, the State Rural Services Coordinator, and local office staff. Following a historical track, Maryland</w:t>
      </w:r>
      <w:r w:rsidR="001D2DF4" w:rsidRPr="004A0C12">
        <w:rPr>
          <w:rFonts w:ascii="Garamond" w:hAnsi="Garamond"/>
        </w:rPr>
        <w:t xml:space="preserve"> staff and cooperation agencies, such as Telamon Corporation</w:t>
      </w:r>
      <w:r w:rsidR="00F07997" w:rsidRPr="004A0C12">
        <w:rPr>
          <w:rFonts w:ascii="Garamond" w:hAnsi="Garamond"/>
        </w:rPr>
        <w:t xml:space="preserve">, dedicate their outreach efforts through three major service areas, as shown below: </w:t>
      </w:r>
    </w:p>
    <w:p w14:paraId="51133CB7" w14:textId="77777777" w:rsidR="00F07997" w:rsidRPr="004A0C12" w:rsidRDefault="00F07997" w:rsidP="00F07997">
      <w:pPr>
        <w:spacing w:after="0" w:line="240" w:lineRule="auto"/>
        <w:jc w:val="both"/>
        <w:rPr>
          <w:rFonts w:ascii="Garamond" w:hAnsi="Garamond"/>
        </w:rPr>
      </w:pPr>
    </w:p>
    <w:tbl>
      <w:tblPr>
        <w:tblStyle w:val="PlainTable11"/>
        <w:tblW w:w="0" w:type="auto"/>
        <w:jc w:val="center"/>
        <w:tblLayout w:type="fixed"/>
        <w:tblLook w:val="0000" w:firstRow="0" w:lastRow="0" w:firstColumn="0" w:lastColumn="0" w:noHBand="0" w:noVBand="0"/>
        <w:tblCaption w:val="Outreach Efforts by Major Service Areas"/>
        <w:tblDescription w:val="The State has 3 major service areas: Eastern Shore, Mason-Dixon Border, and the &quot;balance of the State.&quot; The Eastern Shore includes Kent, Queen Anne’s, Caroline, Dorchester, Somerset, Worcester. This includes an estimated 90 percent of Maryland's outreach area. The Mason-Dixon Border includes Garett, Washington, Allegany, Frederick, Carroll, Baltimore, Harford, Cecil. This includes an estimated 7 percent of Maryland's outreach area. The Balance of State includes Howard, Montgomery, Anne Arundel, Prince George’s, Calvert, Charles, St.Mary’s and includes an estimated 3 percent of the overall outreach area. &#10;"/>
      </w:tblPr>
      <w:tblGrid>
        <w:gridCol w:w="1998"/>
        <w:gridCol w:w="5220"/>
        <w:gridCol w:w="1175"/>
      </w:tblGrid>
      <w:tr w:rsidR="00F07997" w:rsidRPr="004A0C12" w14:paraId="6B6CFD10" w14:textId="77777777" w:rsidTr="008B1D9A">
        <w:trPr>
          <w:trHeight w:val="440"/>
          <w:tblHeader/>
          <w:jc w:val="center"/>
        </w:trPr>
        <w:tc>
          <w:tcPr>
            <w:cnfStyle w:val="000010000000" w:firstRow="0" w:lastRow="0" w:firstColumn="0" w:lastColumn="0" w:oddVBand="1" w:evenVBand="0" w:oddHBand="0" w:evenHBand="0" w:firstRowFirstColumn="0" w:firstRowLastColumn="0" w:lastRowFirstColumn="0" w:lastRowLastColumn="0"/>
            <w:tcW w:w="1998" w:type="dxa"/>
          </w:tcPr>
          <w:p w14:paraId="6A0D0E92" w14:textId="77777777" w:rsidR="00F07997" w:rsidRPr="004A0C12" w:rsidRDefault="00F07997" w:rsidP="00F07997">
            <w:pPr>
              <w:jc w:val="both"/>
              <w:rPr>
                <w:rFonts w:ascii="Garamond" w:hAnsi="Garamond"/>
                <w:sz w:val="22"/>
                <w:szCs w:val="22"/>
              </w:rPr>
            </w:pPr>
            <w:r w:rsidRPr="004A0C12">
              <w:rPr>
                <w:rFonts w:ascii="Garamond" w:hAnsi="Garamond"/>
                <w:sz w:val="22"/>
                <w:szCs w:val="22"/>
              </w:rPr>
              <w:t>Service Area</w:t>
            </w:r>
          </w:p>
        </w:tc>
        <w:tc>
          <w:tcPr>
            <w:tcW w:w="5220" w:type="dxa"/>
          </w:tcPr>
          <w:p w14:paraId="11F4EBEE" w14:textId="77777777" w:rsidR="00F07997" w:rsidRPr="004A0C12" w:rsidRDefault="00F07997" w:rsidP="00F07997">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Counties</w:t>
            </w:r>
          </w:p>
        </w:tc>
        <w:tc>
          <w:tcPr>
            <w:cnfStyle w:val="000010000000" w:firstRow="0" w:lastRow="0" w:firstColumn="0" w:lastColumn="0" w:oddVBand="1" w:evenVBand="0" w:oddHBand="0" w:evenHBand="0" w:firstRowFirstColumn="0" w:firstRowLastColumn="0" w:lastRowFirstColumn="0" w:lastRowLastColumn="0"/>
            <w:tcW w:w="1175" w:type="dxa"/>
          </w:tcPr>
          <w:p w14:paraId="7C0BCAB8" w14:textId="77777777" w:rsidR="00F07997" w:rsidRPr="004A0C12" w:rsidRDefault="00F07997" w:rsidP="00F07997">
            <w:pPr>
              <w:jc w:val="both"/>
              <w:rPr>
                <w:rFonts w:ascii="Garamond" w:hAnsi="Garamond"/>
                <w:sz w:val="22"/>
                <w:szCs w:val="22"/>
              </w:rPr>
            </w:pPr>
            <w:r w:rsidRPr="004A0C12">
              <w:rPr>
                <w:rFonts w:ascii="Garamond" w:hAnsi="Garamond"/>
                <w:sz w:val="22"/>
                <w:szCs w:val="22"/>
              </w:rPr>
              <w:t>Outreach Percent</w:t>
            </w:r>
          </w:p>
        </w:tc>
      </w:tr>
      <w:tr w:rsidR="00F07997" w:rsidRPr="004A0C12" w14:paraId="25E09FDF" w14:textId="77777777" w:rsidTr="00C73130">
        <w:trPr>
          <w:cnfStyle w:val="000000100000" w:firstRow="0" w:lastRow="0" w:firstColumn="0" w:lastColumn="0" w:oddVBand="0" w:evenVBand="0" w:oddHBand="1" w:evenHBand="0" w:firstRowFirstColumn="0" w:firstRowLastColumn="0" w:lastRowFirstColumn="0" w:lastRowLastColumn="0"/>
          <w:trHeight w:val="575"/>
          <w:jc w:val="center"/>
        </w:trPr>
        <w:tc>
          <w:tcPr>
            <w:cnfStyle w:val="000010000000" w:firstRow="0" w:lastRow="0" w:firstColumn="0" w:lastColumn="0" w:oddVBand="1" w:evenVBand="0" w:oddHBand="0" w:evenHBand="0" w:firstRowFirstColumn="0" w:firstRowLastColumn="0" w:lastRowFirstColumn="0" w:lastRowLastColumn="0"/>
            <w:tcW w:w="1998" w:type="dxa"/>
          </w:tcPr>
          <w:p w14:paraId="4F353131" w14:textId="77777777" w:rsidR="00F07997" w:rsidRPr="004A0C12" w:rsidRDefault="00F07997" w:rsidP="00F07997">
            <w:pPr>
              <w:jc w:val="both"/>
              <w:rPr>
                <w:rFonts w:ascii="Garamond" w:hAnsi="Garamond"/>
                <w:sz w:val="22"/>
                <w:szCs w:val="22"/>
              </w:rPr>
            </w:pPr>
            <w:r w:rsidRPr="004A0C12">
              <w:rPr>
                <w:rFonts w:ascii="Garamond" w:hAnsi="Garamond"/>
                <w:sz w:val="22"/>
                <w:szCs w:val="22"/>
              </w:rPr>
              <w:t>Eastern Shore</w:t>
            </w:r>
          </w:p>
        </w:tc>
        <w:tc>
          <w:tcPr>
            <w:tcW w:w="5220" w:type="dxa"/>
          </w:tcPr>
          <w:p w14:paraId="46AD11AC" w14:textId="438A62A4" w:rsidR="00F07997" w:rsidRPr="004A0C12" w:rsidRDefault="00F07997" w:rsidP="00F07997">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Kent, Queen Anne</w:t>
            </w:r>
            <w:r w:rsidR="00C73130" w:rsidRPr="004A0C12">
              <w:rPr>
                <w:rFonts w:ascii="Garamond" w:hAnsi="Garamond"/>
                <w:sz w:val="22"/>
                <w:szCs w:val="22"/>
              </w:rPr>
              <w:t>’s</w:t>
            </w:r>
            <w:r w:rsidRPr="004A0C12">
              <w:rPr>
                <w:rFonts w:ascii="Garamond" w:hAnsi="Garamond"/>
                <w:sz w:val="22"/>
                <w:szCs w:val="22"/>
              </w:rPr>
              <w:t>, Caroline, Dorchester, Somerset, Worcester</w:t>
            </w:r>
          </w:p>
        </w:tc>
        <w:tc>
          <w:tcPr>
            <w:cnfStyle w:val="000010000000" w:firstRow="0" w:lastRow="0" w:firstColumn="0" w:lastColumn="0" w:oddVBand="1" w:evenVBand="0" w:oddHBand="0" w:evenHBand="0" w:firstRowFirstColumn="0" w:firstRowLastColumn="0" w:lastRowFirstColumn="0" w:lastRowLastColumn="0"/>
            <w:tcW w:w="1175" w:type="dxa"/>
          </w:tcPr>
          <w:p w14:paraId="788BCA66" w14:textId="77777777" w:rsidR="00F07997" w:rsidRPr="004A0C12" w:rsidRDefault="00F07997" w:rsidP="00F07997">
            <w:pPr>
              <w:jc w:val="both"/>
              <w:rPr>
                <w:rFonts w:ascii="Garamond" w:hAnsi="Garamond"/>
                <w:sz w:val="22"/>
                <w:szCs w:val="22"/>
              </w:rPr>
            </w:pPr>
            <w:r w:rsidRPr="004A0C12">
              <w:rPr>
                <w:rFonts w:ascii="Garamond" w:hAnsi="Garamond"/>
                <w:sz w:val="22"/>
                <w:szCs w:val="22"/>
              </w:rPr>
              <w:t>90</w:t>
            </w:r>
          </w:p>
        </w:tc>
      </w:tr>
      <w:tr w:rsidR="00F07997" w:rsidRPr="004A0C12" w14:paraId="3EB41DB2" w14:textId="77777777" w:rsidTr="00C73130">
        <w:trPr>
          <w:trHeight w:val="620"/>
          <w:jc w:val="center"/>
        </w:trPr>
        <w:tc>
          <w:tcPr>
            <w:cnfStyle w:val="000010000000" w:firstRow="0" w:lastRow="0" w:firstColumn="0" w:lastColumn="0" w:oddVBand="1" w:evenVBand="0" w:oddHBand="0" w:evenHBand="0" w:firstRowFirstColumn="0" w:firstRowLastColumn="0" w:lastRowFirstColumn="0" w:lastRowLastColumn="0"/>
            <w:tcW w:w="1998" w:type="dxa"/>
          </w:tcPr>
          <w:p w14:paraId="3561E862" w14:textId="77777777" w:rsidR="00F07997" w:rsidRPr="004A0C12" w:rsidRDefault="00F07997" w:rsidP="00F07997">
            <w:pPr>
              <w:jc w:val="both"/>
              <w:rPr>
                <w:rFonts w:ascii="Garamond" w:hAnsi="Garamond"/>
                <w:sz w:val="22"/>
                <w:szCs w:val="22"/>
              </w:rPr>
            </w:pPr>
            <w:r w:rsidRPr="004A0C12">
              <w:rPr>
                <w:rFonts w:ascii="Garamond" w:hAnsi="Garamond"/>
                <w:sz w:val="22"/>
                <w:szCs w:val="22"/>
              </w:rPr>
              <w:t>Mason-Dixon Border</w:t>
            </w:r>
          </w:p>
        </w:tc>
        <w:tc>
          <w:tcPr>
            <w:tcW w:w="5220" w:type="dxa"/>
          </w:tcPr>
          <w:p w14:paraId="081CBE30" w14:textId="165514C5" w:rsidR="00F07997" w:rsidRPr="004A0C12" w:rsidRDefault="00C73130" w:rsidP="00F07997">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Garett, Washington, Alleg</w:t>
            </w:r>
            <w:r w:rsidR="00F07997" w:rsidRPr="004A0C12">
              <w:rPr>
                <w:rFonts w:ascii="Garamond" w:hAnsi="Garamond"/>
                <w:sz w:val="22"/>
                <w:szCs w:val="22"/>
              </w:rPr>
              <w:t>any, Frederick, Carroll, Baltimore, Harford, Cecil</w:t>
            </w:r>
          </w:p>
        </w:tc>
        <w:tc>
          <w:tcPr>
            <w:cnfStyle w:val="000010000000" w:firstRow="0" w:lastRow="0" w:firstColumn="0" w:lastColumn="0" w:oddVBand="1" w:evenVBand="0" w:oddHBand="0" w:evenHBand="0" w:firstRowFirstColumn="0" w:firstRowLastColumn="0" w:lastRowFirstColumn="0" w:lastRowLastColumn="0"/>
            <w:tcW w:w="1175" w:type="dxa"/>
          </w:tcPr>
          <w:p w14:paraId="51B8EEF5" w14:textId="77777777" w:rsidR="00F07997" w:rsidRPr="004A0C12" w:rsidRDefault="00F07997" w:rsidP="00F07997">
            <w:pPr>
              <w:jc w:val="both"/>
              <w:rPr>
                <w:rFonts w:ascii="Garamond" w:hAnsi="Garamond"/>
                <w:sz w:val="22"/>
                <w:szCs w:val="22"/>
              </w:rPr>
            </w:pPr>
            <w:r w:rsidRPr="004A0C12">
              <w:rPr>
                <w:rFonts w:ascii="Garamond" w:hAnsi="Garamond"/>
                <w:sz w:val="22"/>
                <w:szCs w:val="22"/>
              </w:rPr>
              <w:t>7</w:t>
            </w:r>
          </w:p>
        </w:tc>
      </w:tr>
      <w:tr w:rsidR="00F07997" w:rsidRPr="004A0C12" w14:paraId="2CAF6496" w14:textId="77777777" w:rsidTr="00C73130">
        <w:trPr>
          <w:cnfStyle w:val="000000100000" w:firstRow="0" w:lastRow="0" w:firstColumn="0" w:lastColumn="0" w:oddVBand="0" w:evenVBand="0" w:oddHBand="1" w:evenHBand="0" w:firstRowFirstColumn="0" w:firstRowLastColumn="0" w:lastRowFirstColumn="0" w:lastRowLastColumn="0"/>
          <w:trHeight w:val="860"/>
          <w:jc w:val="center"/>
        </w:trPr>
        <w:tc>
          <w:tcPr>
            <w:cnfStyle w:val="000010000000" w:firstRow="0" w:lastRow="0" w:firstColumn="0" w:lastColumn="0" w:oddVBand="1" w:evenVBand="0" w:oddHBand="0" w:evenHBand="0" w:firstRowFirstColumn="0" w:firstRowLastColumn="0" w:lastRowFirstColumn="0" w:lastRowLastColumn="0"/>
            <w:tcW w:w="1998" w:type="dxa"/>
          </w:tcPr>
          <w:p w14:paraId="1EE416B3" w14:textId="77777777" w:rsidR="00F07997" w:rsidRPr="004A0C12" w:rsidRDefault="00F07997" w:rsidP="00F07997">
            <w:pPr>
              <w:jc w:val="both"/>
              <w:rPr>
                <w:rFonts w:ascii="Garamond" w:hAnsi="Garamond"/>
                <w:sz w:val="22"/>
                <w:szCs w:val="22"/>
              </w:rPr>
            </w:pPr>
            <w:r w:rsidRPr="004A0C12">
              <w:rPr>
                <w:rFonts w:ascii="Garamond" w:hAnsi="Garamond"/>
                <w:sz w:val="22"/>
                <w:szCs w:val="22"/>
              </w:rPr>
              <w:t>Balance of State</w:t>
            </w:r>
          </w:p>
        </w:tc>
        <w:tc>
          <w:tcPr>
            <w:tcW w:w="5220" w:type="dxa"/>
          </w:tcPr>
          <w:p w14:paraId="2F478D1F" w14:textId="7BC592DA" w:rsidR="00F07997" w:rsidRPr="004A0C12" w:rsidRDefault="00F07997" w:rsidP="00F07997">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Howard, Montgomery, Anne Arundel, Prince George’s, Calvert, Charles, </w:t>
            </w:r>
            <w:r w:rsidR="00B157E4" w:rsidRPr="004A0C12">
              <w:rPr>
                <w:rFonts w:ascii="Garamond" w:hAnsi="Garamond"/>
                <w:sz w:val="22"/>
                <w:szCs w:val="22"/>
              </w:rPr>
              <w:t>St. Mary’s</w:t>
            </w:r>
          </w:p>
        </w:tc>
        <w:tc>
          <w:tcPr>
            <w:cnfStyle w:val="000010000000" w:firstRow="0" w:lastRow="0" w:firstColumn="0" w:lastColumn="0" w:oddVBand="1" w:evenVBand="0" w:oddHBand="0" w:evenHBand="0" w:firstRowFirstColumn="0" w:firstRowLastColumn="0" w:lastRowFirstColumn="0" w:lastRowLastColumn="0"/>
            <w:tcW w:w="1175" w:type="dxa"/>
          </w:tcPr>
          <w:p w14:paraId="66FDABA9" w14:textId="77777777" w:rsidR="00F07997" w:rsidRPr="004A0C12" w:rsidRDefault="00F07997" w:rsidP="00F07997">
            <w:pPr>
              <w:jc w:val="both"/>
              <w:rPr>
                <w:rFonts w:ascii="Garamond" w:hAnsi="Garamond"/>
                <w:sz w:val="22"/>
                <w:szCs w:val="22"/>
              </w:rPr>
            </w:pPr>
            <w:r w:rsidRPr="004A0C12">
              <w:rPr>
                <w:rFonts w:ascii="Garamond" w:hAnsi="Garamond"/>
                <w:sz w:val="22"/>
                <w:szCs w:val="22"/>
              </w:rPr>
              <w:t>3</w:t>
            </w:r>
          </w:p>
        </w:tc>
      </w:tr>
    </w:tbl>
    <w:p w14:paraId="6815B248" w14:textId="77777777" w:rsidR="00F07997" w:rsidRPr="004A0C12" w:rsidRDefault="00F07997" w:rsidP="00F07997">
      <w:pPr>
        <w:spacing w:after="0" w:line="240" w:lineRule="auto"/>
        <w:jc w:val="both"/>
        <w:rPr>
          <w:rFonts w:ascii="Garamond" w:hAnsi="Garamond"/>
        </w:rPr>
      </w:pPr>
    </w:p>
    <w:p w14:paraId="5FB2A170" w14:textId="77777777" w:rsidR="00F07997" w:rsidRPr="004A0C12" w:rsidRDefault="00F07997" w:rsidP="00F6079B">
      <w:pPr>
        <w:spacing w:after="0" w:line="240" w:lineRule="auto"/>
        <w:jc w:val="both"/>
        <w:rPr>
          <w:rFonts w:ascii="Garamond" w:hAnsi="Garamond"/>
        </w:rPr>
      </w:pPr>
      <w:r w:rsidRPr="004A0C12">
        <w:rPr>
          <w:rFonts w:ascii="Garamond" w:hAnsi="Garamond"/>
        </w:rPr>
        <w:t xml:space="preserve">Of the 2.5 full-time equivalent staff who do outreach across the state, the Eastern Shore demands the most staff hours. </w:t>
      </w:r>
    </w:p>
    <w:p w14:paraId="29B2D5DE" w14:textId="77777777" w:rsidR="00F6079B" w:rsidRDefault="00F6079B" w:rsidP="00F6079B">
      <w:pPr>
        <w:pStyle w:val="NormalWeb"/>
        <w:spacing w:before="0" w:beforeAutospacing="0" w:afterAutospacing="0"/>
        <w:jc w:val="both"/>
        <w:rPr>
          <w:rFonts w:ascii="Garamond" w:hAnsi="Garamond"/>
          <w:color w:val="000000"/>
          <w:sz w:val="22"/>
          <w:szCs w:val="22"/>
        </w:rPr>
      </w:pPr>
    </w:p>
    <w:p w14:paraId="0AB962AE" w14:textId="64E61D93" w:rsidR="00107BF7" w:rsidRPr="004A0C12" w:rsidRDefault="00107BF7"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To provide outreach services, DLLR and its partners rely on their experience to reach workers where they live and work, as well as on-going information exchange with partners. Outreach materials include brochures, complaint posters and information, Hot Jobs, and information on local resources which they carry and provide to the workers. Most information on the location of Migrant and Season Farmworkers (MSFWs) is shared between DLLR, Telamon, &amp; Legal Aid and various local organizations. Recent experience suggests that these outreach efforts are largely unfruitful. Zero Migrant and Seasonal Farmworkers have been recorded in the MWE since 2014, and therefore, Equity Ratios Indicators cannot be computed.</w:t>
      </w:r>
    </w:p>
    <w:p w14:paraId="62E82272" w14:textId="77777777" w:rsidR="00F07997" w:rsidRPr="004A0C12" w:rsidRDefault="00F07997" w:rsidP="00F07997">
      <w:pPr>
        <w:pStyle w:val="NoSpacing"/>
        <w:rPr>
          <w:rFonts w:ascii="Garamond" w:hAnsi="Garamond" w:cs="Times New Roman"/>
        </w:rPr>
      </w:pPr>
    </w:p>
    <w:p w14:paraId="7E7E6AAB" w14:textId="686D8718"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Despite continued efforts by DLLR and its partners to provide outreach services, recent experience suggests that outreach efforts are largely unfruitful. Zero Migrant and Seasonal Farmworkers have been recorded in the </w:t>
      </w:r>
      <w:r w:rsidR="00C73130" w:rsidRPr="004A0C12">
        <w:rPr>
          <w:rFonts w:ascii="Garamond" w:hAnsi="Garamond" w:cs="Times New Roman"/>
        </w:rPr>
        <w:t>MWE</w:t>
      </w:r>
      <w:r w:rsidRPr="004A0C12">
        <w:rPr>
          <w:rFonts w:ascii="Garamond" w:hAnsi="Garamond" w:cs="Times New Roman"/>
        </w:rPr>
        <w:t xml:space="preserve"> since 2014, and therefore, Equity Ratios Indicators cannot be computed. </w:t>
      </w:r>
    </w:p>
    <w:p w14:paraId="52CF1A9B" w14:textId="77777777" w:rsidR="00F07997" w:rsidRPr="004A0C12" w:rsidRDefault="00F07997" w:rsidP="00F07997">
      <w:pPr>
        <w:pStyle w:val="NoSpacing"/>
        <w:rPr>
          <w:rFonts w:ascii="Garamond" w:hAnsi="Garamond" w:cs="Times New Roman"/>
        </w:rPr>
      </w:pPr>
    </w:p>
    <w:p w14:paraId="6E3C8924" w14:textId="739B601C" w:rsidR="00F07997" w:rsidRPr="004A0C12" w:rsidRDefault="00C73130" w:rsidP="00F07997">
      <w:pPr>
        <w:pStyle w:val="NoSpacing"/>
        <w:jc w:val="both"/>
        <w:rPr>
          <w:rFonts w:ascii="Garamond" w:hAnsi="Garamond" w:cs="Times New Roman"/>
        </w:rPr>
      </w:pPr>
      <w:r w:rsidRPr="004A0C12">
        <w:rPr>
          <w:rFonts w:ascii="Garamond" w:hAnsi="Garamond" w:cs="Times New Roman"/>
        </w:rPr>
        <w:lastRenderedPageBreak/>
        <w:t>E</w:t>
      </w:r>
      <w:r w:rsidR="00F07997" w:rsidRPr="004A0C12">
        <w:rPr>
          <w:rFonts w:ascii="Garamond" w:hAnsi="Garamond" w:cs="Times New Roman"/>
        </w:rPr>
        <w:t xml:space="preserve">xperienced outreach staff and the State Monitor Advocate suggest that the reason for the non-participation of Migrant and Seasonal Farmworkers is two-fold: (1) the overwhelming majority of Migrant and Seasonal Farmworkers encountered in the places where they live or work voluntarily self-attest that they are undocumented and therefore ineligible for services; and (2) most Migrant and Seasonal Farmworkers express that they are only “passing through” the State, have established permanent residency elsewhere, and do not desire to participate in workforce services offered in Maryland. As appropriate, </w:t>
      </w:r>
      <w:proofErr w:type="gramStart"/>
      <w:r w:rsidR="00F07997" w:rsidRPr="004A0C12">
        <w:rPr>
          <w:rFonts w:ascii="Garamond" w:hAnsi="Garamond" w:cs="Times New Roman"/>
        </w:rPr>
        <w:t>staff review</w:t>
      </w:r>
      <w:proofErr w:type="gramEnd"/>
      <w:r w:rsidR="00F07997" w:rsidRPr="004A0C12">
        <w:rPr>
          <w:rFonts w:ascii="Garamond" w:hAnsi="Garamond" w:cs="Times New Roman"/>
        </w:rPr>
        <w:t xml:space="preserve"> data to validate the accuracy of identification and service provision for this population.</w:t>
      </w:r>
    </w:p>
    <w:p w14:paraId="3B09F7ED" w14:textId="77777777" w:rsidR="00F6079B" w:rsidRDefault="00F6079B" w:rsidP="00107BF7">
      <w:pPr>
        <w:pStyle w:val="NormalWeb"/>
        <w:spacing w:before="0" w:beforeAutospacing="0" w:afterAutospacing="0"/>
        <w:rPr>
          <w:rFonts w:ascii="Garamond" w:hAnsi="Garamond"/>
          <w:color w:val="000000"/>
          <w:sz w:val="22"/>
          <w:szCs w:val="22"/>
        </w:rPr>
      </w:pPr>
    </w:p>
    <w:p w14:paraId="48F27058" w14:textId="24968526" w:rsidR="00107BF7" w:rsidRPr="004A0C12" w:rsidRDefault="00107BF7" w:rsidP="00107BF7">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Further, DLLR is moving to regional business service model. Six regional representatives will be trained on all workforce programs and incentives. Each representative will be responsible </w:t>
      </w:r>
      <w:proofErr w:type="gramStart"/>
      <w:r w:rsidRPr="004A0C12">
        <w:rPr>
          <w:rFonts w:ascii="Garamond" w:hAnsi="Garamond"/>
          <w:color w:val="000000"/>
          <w:sz w:val="22"/>
          <w:szCs w:val="22"/>
        </w:rPr>
        <w:t>for an areas</w:t>
      </w:r>
      <w:proofErr w:type="gramEnd"/>
      <w:r w:rsidRPr="004A0C12">
        <w:rPr>
          <w:rFonts w:ascii="Garamond" w:hAnsi="Garamond"/>
          <w:color w:val="000000"/>
          <w:sz w:val="22"/>
          <w:szCs w:val="22"/>
        </w:rPr>
        <w:t xml:space="preserve"> of the state to supplement state, local and other partner staff outreach efforts. They will be specifically tasked with providing a higher level of services for multiple state funded workforce programs. As part of this effort, they are tasked with providing outreach to MSFW populations during the periods of the year of work. DLLR Central Office staff, including the State Monitor Advocate, will direct outreach efforts areas where eligible farm workers are located. In addition, DLLR will leverage information from Foreign Labor (FLC) outreach staff and relationships built to create new opportunities for outreach to farmworkers. Regional staff will also be encouraged to be part of local business service teams and outreach efforts. Also, FLC reports and wage survey data will be shared for additional outreach efforts.</w:t>
      </w:r>
    </w:p>
    <w:p w14:paraId="23681274" w14:textId="2F0E02C4" w:rsidR="00F07997" w:rsidRPr="00535D82" w:rsidRDefault="00F07997" w:rsidP="00167878">
      <w:pPr>
        <w:pStyle w:val="Heading4"/>
        <w:rPr>
          <w:rFonts w:ascii="Garamond" w:hAnsi="Garamond"/>
          <w:sz w:val="24"/>
          <w:szCs w:val="24"/>
        </w:rPr>
      </w:pPr>
      <w:r w:rsidRPr="00535D82">
        <w:rPr>
          <w:rFonts w:ascii="Garamond" w:hAnsi="Garamond"/>
          <w:sz w:val="24"/>
          <w:szCs w:val="24"/>
        </w:rPr>
        <w:t xml:space="preserve">Technical Assistance for Maryland’s </w:t>
      </w:r>
      <w:r w:rsidR="001D2DF4" w:rsidRPr="00535D82">
        <w:rPr>
          <w:rFonts w:ascii="Garamond" w:hAnsi="Garamond"/>
          <w:sz w:val="24"/>
          <w:szCs w:val="24"/>
        </w:rPr>
        <w:t>Outreach Workers</w:t>
      </w:r>
    </w:p>
    <w:p w14:paraId="6A98C47B" w14:textId="1B66BA1E" w:rsidR="00F07997" w:rsidRPr="004A0C12" w:rsidRDefault="00F07997" w:rsidP="00F07997">
      <w:pPr>
        <w:pStyle w:val="NoSpacing"/>
        <w:jc w:val="both"/>
        <w:rPr>
          <w:rFonts w:ascii="Garamond" w:hAnsi="Garamond" w:cs="Times New Roman"/>
        </w:rPr>
      </w:pPr>
      <w:r w:rsidRPr="004A0C12">
        <w:rPr>
          <w:rFonts w:ascii="Garamond" w:hAnsi="Garamond" w:cs="Times New Roman"/>
        </w:rPr>
        <w:t>Technical assistance is provided continuously to outreach workers, mainly by the State Monitor Advocate. Because the staff is small in size, the State Monitor Advocate is able to accompany local staff on outreach visits and review outreach topics, such as American Job Center services, career services, current available employment opportunities, the employment service complaint system, other organizations who serve Migrant and Seasonal Farmworkers and oth</w:t>
      </w:r>
      <w:r w:rsidR="00BB5F3C" w:rsidRPr="004A0C12">
        <w:rPr>
          <w:rFonts w:ascii="Garamond" w:hAnsi="Garamond" w:cs="Times New Roman"/>
        </w:rPr>
        <w:t>er specific populations in the L</w:t>
      </w:r>
      <w:r w:rsidRPr="004A0C12">
        <w:rPr>
          <w:rFonts w:ascii="Garamond" w:hAnsi="Garamond" w:cs="Times New Roman"/>
        </w:rPr>
        <w:t>oca</w:t>
      </w:r>
      <w:r w:rsidR="00BB5F3C" w:rsidRPr="004A0C12">
        <w:rPr>
          <w:rFonts w:ascii="Garamond" w:hAnsi="Garamond" w:cs="Times New Roman"/>
        </w:rPr>
        <w:t>l A</w:t>
      </w:r>
      <w:r w:rsidRPr="004A0C12">
        <w:rPr>
          <w:rFonts w:ascii="Garamond" w:hAnsi="Garamond" w:cs="Times New Roman"/>
        </w:rPr>
        <w:t xml:space="preserve">rea, and farmworker rights. Pre-season meetings are held annually with complaint system training to review program requirements. While DLLR has not increased its number of staff who </w:t>
      </w:r>
      <w:proofErr w:type="gramStart"/>
      <w:r w:rsidRPr="004A0C12">
        <w:rPr>
          <w:rFonts w:ascii="Garamond" w:hAnsi="Garamond" w:cs="Times New Roman"/>
        </w:rPr>
        <w:t>conduct</w:t>
      </w:r>
      <w:proofErr w:type="gramEnd"/>
      <w:r w:rsidRPr="004A0C12">
        <w:rPr>
          <w:rFonts w:ascii="Garamond" w:hAnsi="Garamond" w:cs="Times New Roman"/>
        </w:rPr>
        <w:t xml:space="preserve"> outreach, the program is reviewed annually </w:t>
      </w:r>
      <w:r w:rsidR="00C73130" w:rsidRPr="004A0C12">
        <w:rPr>
          <w:rFonts w:ascii="Garamond" w:hAnsi="Garamond" w:cs="Times New Roman"/>
        </w:rPr>
        <w:t>by</w:t>
      </w:r>
      <w:r w:rsidRPr="004A0C12">
        <w:rPr>
          <w:rFonts w:ascii="Garamond" w:hAnsi="Garamond" w:cs="Times New Roman"/>
        </w:rPr>
        <w:t xml:space="preserve"> appropriate staff and supervisors in the A</w:t>
      </w:r>
      <w:r w:rsidR="00C73130" w:rsidRPr="004A0C12">
        <w:rPr>
          <w:rFonts w:ascii="Garamond" w:hAnsi="Garamond" w:cs="Times New Roman"/>
        </w:rPr>
        <w:t xml:space="preserve">merican </w:t>
      </w:r>
      <w:r w:rsidRPr="004A0C12">
        <w:rPr>
          <w:rFonts w:ascii="Garamond" w:hAnsi="Garamond" w:cs="Times New Roman"/>
        </w:rPr>
        <w:t>J</w:t>
      </w:r>
      <w:r w:rsidR="00C73130" w:rsidRPr="004A0C12">
        <w:rPr>
          <w:rFonts w:ascii="Garamond" w:hAnsi="Garamond" w:cs="Times New Roman"/>
        </w:rPr>
        <w:t xml:space="preserve">ob </w:t>
      </w:r>
      <w:r w:rsidRPr="004A0C12">
        <w:rPr>
          <w:rFonts w:ascii="Garamond" w:hAnsi="Garamond" w:cs="Times New Roman"/>
        </w:rPr>
        <w:t>C</w:t>
      </w:r>
      <w:r w:rsidR="00C73130" w:rsidRPr="004A0C12">
        <w:rPr>
          <w:rFonts w:ascii="Garamond" w:hAnsi="Garamond" w:cs="Times New Roman"/>
        </w:rPr>
        <w:t>enter</w:t>
      </w:r>
      <w:r w:rsidRPr="004A0C12">
        <w:rPr>
          <w:rFonts w:ascii="Garamond" w:hAnsi="Garamond" w:cs="Times New Roman"/>
        </w:rPr>
        <w:t xml:space="preserve">s. Personal interaction between the State Monitor Advocate and local workforce staff helps to ensure that technical assistance is consistent and updated as appropriate. </w:t>
      </w:r>
    </w:p>
    <w:p w14:paraId="164881C4" w14:textId="77777777" w:rsidR="001D2DF4" w:rsidRPr="004A0C12" w:rsidRDefault="001D2DF4" w:rsidP="00F07997">
      <w:pPr>
        <w:pStyle w:val="NoSpacing"/>
        <w:jc w:val="both"/>
        <w:rPr>
          <w:rFonts w:ascii="Garamond" w:hAnsi="Garamond" w:cs="Times New Roman"/>
        </w:rPr>
      </w:pPr>
    </w:p>
    <w:p w14:paraId="01B68272" w14:textId="41EFE098"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Staff and the State Monitor Advocate review labor law posters annually and assure that they are posted in the places where Migrant and Seasonal Farmworkers live and work. This seems to be the most effective method for communicating rights regarding terms and conditions for employment. </w:t>
      </w:r>
      <w:proofErr w:type="gramStart"/>
      <w:r w:rsidRPr="004A0C12">
        <w:rPr>
          <w:rFonts w:ascii="Garamond" w:hAnsi="Garamond" w:cs="Times New Roman"/>
        </w:rPr>
        <w:t xml:space="preserve">Staff also </w:t>
      </w:r>
      <w:r w:rsidR="00C73130" w:rsidRPr="004A0C12">
        <w:rPr>
          <w:rFonts w:ascii="Garamond" w:hAnsi="Garamond" w:cs="Times New Roman"/>
        </w:rPr>
        <w:t>visit</w:t>
      </w:r>
      <w:proofErr w:type="gramEnd"/>
      <w:r w:rsidRPr="004A0C12">
        <w:rPr>
          <w:rFonts w:ascii="Garamond" w:hAnsi="Garamond" w:cs="Times New Roman"/>
        </w:rPr>
        <w:t xml:space="preserve"> places where H2A workers are employed, especially where field checks are conducted, to ensure that workers have been given and understand the provisions found in their terms and conditions for employment.</w:t>
      </w:r>
    </w:p>
    <w:p w14:paraId="5F05313D" w14:textId="00B27071" w:rsidR="00F07997" w:rsidRPr="00535D82" w:rsidRDefault="00F07997" w:rsidP="00167878">
      <w:pPr>
        <w:pStyle w:val="Heading4"/>
        <w:rPr>
          <w:rFonts w:ascii="Garamond" w:hAnsi="Garamond"/>
          <w:sz w:val="24"/>
          <w:szCs w:val="24"/>
        </w:rPr>
      </w:pPr>
      <w:r w:rsidRPr="00535D82">
        <w:rPr>
          <w:rFonts w:ascii="Garamond" w:hAnsi="Garamond"/>
          <w:sz w:val="24"/>
          <w:szCs w:val="24"/>
        </w:rPr>
        <w:t>Outr</w:t>
      </w:r>
      <w:r w:rsidR="001D2DF4" w:rsidRPr="00535D82">
        <w:rPr>
          <w:rFonts w:ascii="Garamond" w:hAnsi="Garamond"/>
          <w:sz w:val="24"/>
          <w:szCs w:val="24"/>
        </w:rPr>
        <w:t>each Workers &amp; the WIOA System</w:t>
      </w:r>
    </w:p>
    <w:p w14:paraId="653ED08B" w14:textId="6C7C877D" w:rsidR="00F07997" w:rsidRPr="004A0C12" w:rsidRDefault="00C73130" w:rsidP="00F07997">
      <w:pPr>
        <w:pStyle w:val="NoSpacing"/>
        <w:contextualSpacing/>
        <w:jc w:val="both"/>
        <w:rPr>
          <w:rFonts w:ascii="Garamond" w:hAnsi="Garamond" w:cs="Times New Roman"/>
        </w:rPr>
      </w:pPr>
      <w:r w:rsidRPr="004A0C12">
        <w:rPr>
          <w:rFonts w:ascii="Garamond" w:hAnsi="Garamond" w:cs="Times New Roman"/>
        </w:rPr>
        <w:t>In addition to the technical assistance described above, o</w:t>
      </w:r>
      <w:r w:rsidR="00F07997" w:rsidRPr="004A0C12">
        <w:rPr>
          <w:rFonts w:ascii="Garamond" w:hAnsi="Garamond" w:cs="Times New Roman"/>
        </w:rPr>
        <w:t xml:space="preserve">utreach workers have the opportunity to participate in the same training as all DLLR staff. Labor Exchange Administrators, who oversee operations in American Job Centers, hold regular staff meetings which increase awareness and understanding across the WIOA core programs and the Unemployment Insurance program. </w:t>
      </w:r>
    </w:p>
    <w:p w14:paraId="35D3471A" w14:textId="77777777" w:rsidR="00F07997" w:rsidRPr="004A0C12" w:rsidRDefault="00F07997" w:rsidP="00F07997">
      <w:pPr>
        <w:pStyle w:val="NoSpacing"/>
        <w:contextualSpacing/>
        <w:jc w:val="both"/>
        <w:rPr>
          <w:rFonts w:ascii="Garamond" w:hAnsi="Garamond" w:cs="Times New Roman"/>
        </w:rPr>
      </w:pPr>
    </w:p>
    <w:p w14:paraId="055B8BC9" w14:textId="77777777" w:rsidR="00F07997" w:rsidRPr="004A0C12" w:rsidRDefault="00F07997" w:rsidP="00F07997">
      <w:pPr>
        <w:pStyle w:val="NoSpacing"/>
        <w:contextualSpacing/>
        <w:jc w:val="both"/>
        <w:rPr>
          <w:rFonts w:ascii="Garamond" w:hAnsi="Garamond" w:cs="Times New Roman"/>
        </w:rPr>
      </w:pPr>
      <w:r w:rsidRPr="004A0C12">
        <w:rPr>
          <w:rFonts w:ascii="Garamond" w:hAnsi="Garamond" w:cs="Times New Roman"/>
        </w:rPr>
        <w:t xml:space="preserve">DLLR’s Office of Workforce Development is actively engaged in work with DLLR’s Division of Unemployment Insurance to develop and deliver effective training to American Job Center staff. The Division of Unemployment Insurance, in conjunction with state workforce development staff, </w:t>
      </w:r>
      <w:proofErr w:type="gramStart"/>
      <w:r w:rsidRPr="004A0C12">
        <w:rPr>
          <w:rFonts w:ascii="Garamond" w:hAnsi="Garamond" w:cs="Times New Roman"/>
        </w:rPr>
        <w:t>have</w:t>
      </w:r>
      <w:proofErr w:type="gramEnd"/>
      <w:r w:rsidRPr="004A0C12">
        <w:rPr>
          <w:rFonts w:ascii="Garamond" w:hAnsi="Garamond" w:cs="Times New Roman"/>
        </w:rPr>
        <w:t xml:space="preserve"> developed a “train the trainer” method of delivery. While the Division of Unemployment Insurance has developed training to ensure workforce staff are appropriately trained on the provisions of unemployment insurance, leadership within the Office of Workforce Development staff are the primary point of contact. Office of Workforce Development staff who work closely with unemployment insurance claimants are provided additional, intensive training to address the identification and reporting of issues related to continued eligibility for unemployment benefits. For example, Reemployment Services and Eligibility Assessment (RESEA) staff and Reemployment Opportunity Workshop (ROW) staff are provided specific training on conducting an eligibility review and identifying and referring “able and available” issues. </w:t>
      </w:r>
    </w:p>
    <w:p w14:paraId="240E619B" w14:textId="77777777" w:rsidR="00F07997" w:rsidRPr="004A0C12" w:rsidRDefault="00F07997" w:rsidP="00F07997">
      <w:pPr>
        <w:pStyle w:val="NoSpacing"/>
        <w:contextualSpacing/>
        <w:jc w:val="both"/>
        <w:rPr>
          <w:rFonts w:ascii="Garamond" w:hAnsi="Garamond" w:cs="Times New Roman"/>
        </w:rPr>
      </w:pPr>
    </w:p>
    <w:p w14:paraId="56C34B01" w14:textId="77777777" w:rsidR="00F07997" w:rsidRPr="004A0C12" w:rsidRDefault="00F07997" w:rsidP="00F07997">
      <w:pPr>
        <w:pStyle w:val="NoSpacing"/>
        <w:contextualSpacing/>
        <w:jc w:val="both"/>
        <w:rPr>
          <w:rFonts w:ascii="Garamond" w:hAnsi="Garamond" w:cs="Times New Roman"/>
        </w:rPr>
      </w:pPr>
      <w:r w:rsidRPr="004A0C12">
        <w:rPr>
          <w:rFonts w:ascii="Garamond" w:hAnsi="Garamond" w:cs="Times New Roman"/>
        </w:rPr>
        <w:t xml:space="preserve">In line with WIOA, DLLR American Job Center </w:t>
      </w:r>
      <w:proofErr w:type="gramStart"/>
      <w:r w:rsidRPr="004A0C12">
        <w:rPr>
          <w:rFonts w:ascii="Garamond" w:hAnsi="Garamond" w:cs="Times New Roman"/>
        </w:rPr>
        <w:t>staff assist</w:t>
      </w:r>
      <w:proofErr w:type="gramEnd"/>
      <w:r w:rsidRPr="004A0C12">
        <w:rPr>
          <w:rFonts w:ascii="Garamond" w:hAnsi="Garamond" w:cs="Times New Roman"/>
        </w:rPr>
        <w:t xml:space="preserve"> unemployment insurance claimants on a more direct level than local workforce staff, through prescribed personal interviews and development of individual plans for claimants attending mandatory </w:t>
      </w:r>
      <w:r w:rsidRPr="004A0C12">
        <w:rPr>
          <w:rFonts w:ascii="Garamond" w:hAnsi="Garamond" w:cs="Times New Roman"/>
        </w:rPr>
        <w:lastRenderedPageBreak/>
        <w:t xml:space="preserve">workshops, like RESEA and ROW. In collaboration with Office of Workforce Development program managers, Unemployment Insurance staff will continue to provide training and technical assistance as needed. </w:t>
      </w:r>
    </w:p>
    <w:p w14:paraId="1D213B15" w14:textId="77777777" w:rsidR="00F07997" w:rsidRPr="004A0C12" w:rsidRDefault="00F07997" w:rsidP="00F07997">
      <w:pPr>
        <w:pStyle w:val="NoSpacing"/>
        <w:contextualSpacing/>
        <w:jc w:val="both"/>
        <w:rPr>
          <w:rFonts w:ascii="Garamond" w:hAnsi="Garamond" w:cs="Times New Roman"/>
        </w:rPr>
      </w:pPr>
    </w:p>
    <w:p w14:paraId="1EE466AD" w14:textId="77777777" w:rsidR="00F07997" w:rsidRPr="004A0C12" w:rsidRDefault="00F07997" w:rsidP="00F07997">
      <w:pPr>
        <w:pStyle w:val="NoSpacing"/>
        <w:contextualSpacing/>
        <w:jc w:val="both"/>
        <w:rPr>
          <w:rFonts w:ascii="Garamond" w:hAnsi="Garamond" w:cs="Times New Roman"/>
        </w:rPr>
      </w:pPr>
      <w:r w:rsidRPr="004A0C12">
        <w:rPr>
          <w:rFonts w:ascii="Garamond" w:hAnsi="Garamond" w:cs="Times New Roman"/>
        </w:rPr>
        <w:t>Labor Exchange Administrators in Maryland’s American Job Centers have been provided resources to train all American Job Center staff on how to access unemployment insurance programs and staff. This allows for seamless communication across the WIOA system and creates a true one stop experience for customers.</w:t>
      </w:r>
    </w:p>
    <w:p w14:paraId="3CD88EDB" w14:textId="24B2DFFD" w:rsidR="00F07997" w:rsidRPr="00535D82" w:rsidRDefault="00F07997" w:rsidP="00167878">
      <w:pPr>
        <w:pStyle w:val="Heading4"/>
        <w:rPr>
          <w:rFonts w:ascii="Garamond" w:hAnsi="Garamond"/>
          <w:sz w:val="24"/>
          <w:szCs w:val="24"/>
        </w:rPr>
      </w:pPr>
      <w:r w:rsidRPr="00535D82">
        <w:rPr>
          <w:rFonts w:ascii="Garamond" w:hAnsi="Garamond"/>
          <w:sz w:val="24"/>
          <w:szCs w:val="24"/>
        </w:rPr>
        <w:t>Outreach Workers &amp; Professional Dev</w:t>
      </w:r>
      <w:r w:rsidR="001D2DF4" w:rsidRPr="00535D82">
        <w:rPr>
          <w:rFonts w:ascii="Garamond" w:hAnsi="Garamond"/>
          <w:sz w:val="24"/>
          <w:szCs w:val="24"/>
        </w:rPr>
        <w:t xml:space="preserve">elopment </w:t>
      </w:r>
    </w:p>
    <w:p w14:paraId="5AED484A" w14:textId="77777777" w:rsidR="00F07997" w:rsidRPr="004A0C12" w:rsidRDefault="00F07997" w:rsidP="00F07997">
      <w:pPr>
        <w:pStyle w:val="NoSpacing"/>
        <w:jc w:val="both"/>
        <w:rPr>
          <w:rFonts w:ascii="Garamond" w:hAnsi="Garamond" w:cs="Times New Roman"/>
        </w:rPr>
      </w:pPr>
      <w:r w:rsidRPr="004A0C12">
        <w:rPr>
          <w:rFonts w:ascii="Garamond" w:hAnsi="Garamond" w:cs="Times New Roman"/>
        </w:rPr>
        <w:t>To ensure high quality services to both jobseekers and business, professional development opportunities are currently available and advertised through regular communications from Central Office administration. Under WIOA, through leveraging partnerships, new professional development and training opportunities on topics relevant to all WIOA Partners will be available to staff. To ensure a positive customer experience, when Migrant and Seasonal Farmworkers are actively working in the State, DLLR’s outreach workers provide monthly reports to the State Monitor Advocate that assist in identifying professional development needs. Maryland’s State Monitor advocate is responsible for continuously reviewing state-wide agricultural activities and the provision of labor exchange and training services to employers and employees within agricultural communities.</w:t>
      </w:r>
    </w:p>
    <w:p w14:paraId="5666053F" w14:textId="09DE8B83" w:rsidR="00F07997" w:rsidRPr="00535D82" w:rsidRDefault="00F07997" w:rsidP="00167878">
      <w:pPr>
        <w:pStyle w:val="Heading4"/>
        <w:rPr>
          <w:rFonts w:ascii="Garamond" w:hAnsi="Garamond"/>
          <w:sz w:val="24"/>
          <w:szCs w:val="24"/>
        </w:rPr>
      </w:pPr>
      <w:r w:rsidRPr="00535D82">
        <w:rPr>
          <w:rFonts w:ascii="Garamond" w:hAnsi="Garamond"/>
          <w:sz w:val="24"/>
          <w:szCs w:val="24"/>
        </w:rPr>
        <w:t>Coordinating with the National Farm Workers Jobs Program &amp; Community Service Agencies</w:t>
      </w:r>
    </w:p>
    <w:p w14:paraId="22E422EC" w14:textId="77777777" w:rsidR="00F07997" w:rsidRPr="004A0C12" w:rsidRDefault="00F07997" w:rsidP="00F07997">
      <w:pPr>
        <w:pStyle w:val="NoSpacing"/>
        <w:jc w:val="both"/>
        <w:rPr>
          <w:rFonts w:ascii="Garamond" w:hAnsi="Garamond" w:cs="Times New Roman"/>
        </w:rPr>
      </w:pPr>
      <w:r w:rsidRPr="004A0C12">
        <w:rPr>
          <w:rFonts w:ascii="Garamond" w:hAnsi="Garamond" w:cs="Times New Roman"/>
        </w:rPr>
        <w:t>Telamon Corporation, Maryland’s WIOA Title I Section 167 National Farm Workers Job Program grantee, is co-located with multiple WIOA agencies in the Salisbury American Job Center. The Job Center and Telamon Corporation formalize their relationship via a Memoranda of Understanding and Resource Sharing Agreement, which ensures Migrant and Seasonal Farmworkers receive the appropriate level of assistance and identifies how resources will be shared and contributions will be made.</w:t>
      </w:r>
    </w:p>
    <w:p w14:paraId="251C73D4" w14:textId="77777777" w:rsidR="00F07997" w:rsidRPr="004A0C12" w:rsidRDefault="00F07997" w:rsidP="00F07997">
      <w:pPr>
        <w:pStyle w:val="NoSpacing"/>
        <w:jc w:val="both"/>
        <w:rPr>
          <w:rFonts w:ascii="Garamond" w:hAnsi="Garamond" w:cs="Times New Roman"/>
        </w:rPr>
      </w:pPr>
    </w:p>
    <w:p w14:paraId="4F94596A" w14:textId="77777777"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Each spring, DLLR and Telamon Corporation jointly host a pre-season meeting with public and private community service agencies and Migrant and Seasonal Farmworker groups. This meeting allows for the State team to appropriately plan outreach efforts and pathways for communication. It also ensures maximum cooperation and information sharing across agencies that interact with Maryland’s farm worker and agricultural employers. </w:t>
      </w:r>
    </w:p>
    <w:p w14:paraId="093729B4" w14:textId="77777777" w:rsidR="00F07997" w:rsidRPr="004A0C12" w:rsidRDefault="00F07997" w:rsidP="00F07997">
      <w:pPr>
        <w:pStyle w:val="NoSpacing"/>
        <w:jc w:val="both"/>
        <w:rPr>
          <w:rFonts w:ascii="Garamond" w:hAnsi="Garamond" w:cs="Times New Roman"/>
        </w:rPr>
      </w:pPr>
    </w:p>
    <w:p w14:paraId="5E71A6E0" w14:textId="3B4FA520" w:rsidR="00F07997" w:rsidRDefault="00F07997" w:rsidP="00F07997">
      <w:pPr>
        <w:pStyle w:val="NoSpacing"/>
        <w:jc w:val="both"/>
        <w:rPr>
          <w:rFonts w:ascii="Garamond" w:hAnsi="Garamond" w:cs="Times New Roman"/>
        </w:rPr>
      </w:pPr>
      <w:r w:rsidRPr="004A0C12">
        <w:rPr>
          <w:rFonts w:ascii="Garamond" w:hAnsi="Garamond" w:cs="Times New Roman"/>
        </w:rPr>
        <w:t>The State Monitor Advocate also seeks coordination with agencies and organizations on the federal, state and local levels that might be able to assist with regular concerns expressed by Maryland’s agricultural communities. These include attending meetings with the new D</w:t>
      </w:r>
      <w:r w:rsidR="00C73130" w:rsidRPr="004A0C12">
        <w:rPr>
          <w:rFonts w:ascii="Garamond" w:hAnsi="Garamond" w:cs="Times New Roman"/>
        </w:rPr>
        <w:t>irector of United States</w:t>
      </w:r>
      <w:r w:rsidRPr="004A0C12">
        <w:rPr>
          <w:rFonts w:ascii="Garamond" w:hAnsi="Garamond" w:cs="Times New Roman"/>
        </w:rPr>
        <w:t xml:space="preserve"> Citizenship and Immigration Services, Bienvenidos meetings at Salisbury University, and the International Populations Network at Prince George’s Community College. DLLR maintains a relationship with the Maryland Farm Bureau, which serves as a voice for Maryland’s farm community. Such contacts have assisted the State Monitor Advocate to obtain valuable information about new programs that may result in savings for farmers. One such program that was considered was an energy savings program in cooperation with local electricity providers. This program allows farmers to work with Pepco, Delmarva Maryland, and BGE utility account holders to have contractors audit their energy use, at no charge, and advise them of their options for matching funds to have their equipment </w:t>
      </w:r>
      <w:proofErr w:type="gramStart"/>
      <w:r w:rsidRPr="004A0C12">
        <w:rPr>
          <w:rFonts w:ascii="Garamond" w:hAnsi="Garamond" w:cs="Times New Roman"/>
        </w:rPr>
        <w:t>replaced,</w:t>
      </w:r>
      <w:proofErr w:type="gramEnd"/>
      <w:r w:rsidRPr="004A0C12">
        <w:rPr>
          <w:rFonts w:ascii="Garamond" w:hAnsi="Garamond" w:cs="Times New Roman"/>
        </w:rPr>
        <w:t xml:space="preserve"> or retro-fitted with energy saving options.</w:t>
      </w:r>
    </w:p>
    <w:p w14:paraId="4CC37A04" w14:textId="77777777" w:rsidR="00F6079B" w:rsidRPr="004A0C12" w:rsidRDefault="00F6079B" w:rsidP="00F07997">
      <w:pPr>
        <w:pStyle w:val="NoSpacing"/>
        <w:jc w:val="both"/>
        <w:rPr>
          <w:rFonts w:ascii="Garamond" w:hAnsi="Garamond" w:cs="Times New Roman"/>
        </w:rPr>
      </w:pPr>
    </w:p>
    <w:p w14:paraId="5E4ABCD1" w14:textId="77777777" w:rsidR="004665D0" w:rsidRPr="004A0C12" w:rsidRDefault="004665D0"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 xml:space="preserve">In a team approach, Telamon and DLLR also visit the agricultural employers and migrant and seasonal workers. Telamon provides translation services to allow DLLR to communicate with the MSFWs. DLLR offers job seeker services and referrals to supportive services. Telamon offers food bank access, clothing, heat stress and pesticide training, ESOL training, and referrals to housing. The Lower Shore Workforce Area provides the mobile one-stop to allow the MSFW’s to access job </w:t>
      </w:r>
      <w:proofErr w:type="gramStart"/>
      <w:r w:rsidRPr="004A0C12">
        <w:rPr>
          <w:rFonts w:ascii="Garamond" w:hAnsi="Garamond"/>
          <w:color w:val="000000"/>
          <w:sz w:val="22"/>
          <w:szCs w:val="22"/>
        </w:rPr>
        <w:t>opportunities,</w:t>
      </w:r>
      <w:proofErr w:type="gramEnd"/>
      <w:r w:rsidRPr="004A0C12">
        <w:rPr>
          <w:rFonts w:ascii="Garamond" w:hAnsi="Garamond"/>
          <w:color w:val="000000"/>
          <w:sz w:val="22"/>
          <w:szCs w:val="22"/>
        </w:rPr>
        <w:t xml:space="preserve"> and other resources available through MWE. Usually when the mobile is used, Telamon, DLLR and Lower Shore staff the mobile and use the mobile for the basis of operation in the field. The other workforce partners provide literature about their services to the outreach team for distribution to the MSFWs, and are available for referrals.</w:t>
      </w:r>
    </w:p>
    <w:p w14:paraId="743A8CF7" w14:textId="77777777" w:rsidR="004665D0" w:rsidRPr="004A0C12" w:rsidRDefault="004665D0"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Finally, as part of our local business service teams, DLLR will seek connections with organization that work with MSFW populations and invite these organization to partner on outreach efforts. In addition, organizations will be invited and encouraged to be part of AJC activities and training to ensure all partners have an awareness of programs available to assist MSFW populations.</w:t>
      </w:r>
    </w:p>
    <w:p w14:paraId="7E6C0EA1" w14:textId="77777777" w:rsidR="004665D0" w:rsidRPr="004A0C12" w:rsidRDefault="004665D0" w:rsidP="00F07997">
      <w:pPr>
        <w:pStyle w:val="NoSpacing"/>
        <w:jc w:val="both"/>
        <w:rPr>
          <w:rFonts w:ascii="Garamond" w:hAnsi="Garamond" w:cs="Times New Roman"/>
        </w:rPr>
      </w:pPr>
    </w:p>
    <w:p w14:paraId="61956CDB" w14:textId="7DE135D2" w:rsidR="007A1FDC" w:rsidRPr="00535D82" w:rsidRDefault="007A1FDC" w:rsidP="00531E51">
      <w:pPr>
        <w:pStyle w:val="Heading3"/>
        <w:rPr>
          <w:rFonts w:ascii="Garamond" w:hAnsi="Garamond"/>
          <w:sz w:val="24"/>
          <w:szCs w:val="24"/>
        </w:rPr>
      </w:pPr>
      <w:bookmarkStart w:id="146" w:name="_Toc447276184"/>
      <w:r w:rsidRPr="00535D82">
        <w:rPr>
          <w:rFonts w:ascii="Garamond" w:hAnsi="Garamond"/>
          <w:sz w:val="24"/>
          <w:szCs w:val="24"/>
        </w:rPr>
        <w:lastRenderedPageBreak/>
        <w:t xml:space="preserve">SERVICE PROVIDED TO AGRICULTURAL </w:t>
      </w:r>
      <w:r w:rsidR="00531E51" w:rsidRPr="00535D82">
        <w:rPr>
          <w:rFonts w:ascii="Garamond" w:hAnsi="Garamond"/>
          <w:sz w:val="24"/>
          <w:szCs w:val="24"/>
        </w:rPr>
        <w:t xml:space="preserve">JOBSEEKERS &amp; </w:t>
      </w:r>
      <w:r w:rsidRPr="00535D82">
        <w:rPr>
          <w:rFonts w:ascii="Garamond" w:hAnsi="Garamond"/>
          <w:sz w:val="24"/>
          <w:szCs w:val="24"/>
        </w:rPr>
        <w:t>EMPLOYERS THROUGH THE WIOA SYSTEM</w:t>
      </w:r>
      <w:bookmarkEnd w:id="146"/>
    </w:p>
    <w:p w14:paraId="50D232BC" w14:textId="67497131" w:rsidR="00F07997" w:rsidRPr="00535D82" w:rsidRDefault="00FA2284" w:rsidP="00167878">
      <w:pPr>
        <w:pStyle w:val="Heading4"/>
        <w:rPr>
          <w:rFonts w:ascii="Garamond" w:hAnsi="Garamond"/>
          <w:sz w:val="24"/>
          <w:szCs w:val="24"/>
        </w:rPr>
      </w:pPr>
      <w:r w:rsidRPr="00535D82">
        <w:rPr>
          <w:rFonts w:ascii="Garamond" w:hAnsi="Garamond"/>
          <w:sz w:val="24"/>
          <w:szCs w:val="24"/>
        </w:rPr>
        <w:t>Serving Agricultural Jobseekers &amp; Businesses</w:t>
      </w:r>
      <w:r w:rsidR="00F07997" w:rsidRPr="00535D82">
        <w:rPr>
          <w:rFonts w:ascii="Garamond" w:hAnsi="Garamond"/>
          <w:sz w:val="24"/>
          <w:szCs w:val="24"/>
        </w:rPr>
        <w:t xml:space="preserve"> under WIOA </w:t>
      </w:r>
    </w:p>
    <w:p w14:paraId="2AF1299E" w14:textId="1A612DCA"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Both workers and employers in the agricultural field are able to access the same services that are freely available to the public. Each of the State’s American Job Centers is equipped with staff </w:t>
      </w:r>
      <w:proofErr w:type="gramStart"/>
      <w:r w:rsidRPr="004A0C12">
        <w:rPr>
          <w:rFonts w:ascii="Garamond" w:hAnsi="Garamond" w:cs="Times New Roman"/>
        </w:rPr>
        <w:t>who</w:t>
      </w:r>
      <w:proofErr w:type="gramEnd"/>
      <w:r w:rsidRPr="004A0C12">
        <w:rPr>
          <w:rFonts w:ascii="Garamond" w:hAnsi="Garamond" w:cs="Times New Roman"/>
        </w:rPr>
        <w:t xml:space="preserve"> provide a variety of services </w:t>
      </w:r>
      <w:r w:rsidR="00C73130" w:rsidRPr="004A0C12">
        <w:rPr>
          <w:rFonts w:ascii="Garamond" w:hAnsi="Garamond" w:cs="Times New Roman"/>
        </w:rPr>
        <w:t>for both job</w:t>
      </w:r>
      <w:r w:rsidRPr="004A0C12">
        <w:rPr>
          <w:rFonts w:ascii="Garamond" w:hAnsi="Garamond" w:cs="Times New Roman"/>
        </w:rPr>
        <w:t xml:space="preserve">seekers and employers. </w:t>
      </w:r>
      <w:proofErr w:type="gramStart"/>
      <w:r w:rsidRPr="004A0C12">
        <w:rPr>
          <w:rFonts w:ascii="Garamond" w:hAnsi="Garamond" w:cs="Times New Roman"/>
        </w:rPr>
        <w:t>Staff are</w:t>
      </w:r>
      <w:proofErr w:type="gramEnd"/>
      <w:r w:rsidRPr="004A0C12">
        <w:rPr>
          <w:rFonts w:ascii="Garamond" w:hAnsi="Garamond" w:cs="Times New Roman"/>
        </w:rPr>
        <w:t xml:space="preserve"> kept current on available programs and resources mostly through staff meetings, trainings, and continuous information sharing.  The full range of services to the agricultural community is provided through Maryland’s American Job Center network. The centers and staff provide servi</w:t>
      </w:r>
      <w:r w:rsidR="00C73130" w:rsidRPr="004A0C12">
        <w:rPr>
          <w:rFonts w:ascii="Garamond" w:hAnsi="Garamond" w:cs="Times New Roman"/>
        </w:rPr>
        <w:t>ces to job</w:t>
      </w:r>
      <w:r w:rsidRPr="004A0C12">
        <w:rPr>
          <w:rFonts w:ascii="Garamond" w:hAnsi="Garamond" w:cs="Times New Roman"/>
        </w:rPr>
        <w:t>seekers such as:</w:t>
      </w:r>
    </w:p>
    <w:p w14:paraId="00D66BA4" w14:textId="77777777" w:rsidR="00F07997" w:rsidRPr="004A0C12" w:rsidRDefault="00F07997" w:rsidP="00F07997">
      <w:pPr>
        <w:pStyle w:val="NoSpacing"/>
        <w:jc w:val="both"/>
        <w:rPr>
          <w:rFonts w:ascii="Garamond" w:hAnsi="Garamond" w:cs="Times New Roman"/>
        </w:rPr>
      </w:pPr>
    </w:p>
    <w:p w14:paraId="3CEC32DE" w14:textId="64C59812" w:rsidR="00F07997" w:rsidRPr="004A0C12" w:rsidRDefault="00F07997" w:rsidP="00232F09">
      <w:pPr>
        <w:pStyle w:val="NoSpacing"/>
        <w:numPr>
          <w:ilvl w:val="0"/>
          <w:numId w:val="274"/>
        </w:numPr>
        <w:jc w:val="both"/>
        <w:rPr>
          <w:rFonts w:ascii="Garamond" w:hAnsi="Garamond" w:cs="Times New Roman"/>
        </w:rPr>
      </w:pPr>
      <w:r w:rsidRPr="004A0C12">
        <w:rPr>
          <w:rFonts w:ascii="Garamond" w:hAnsi="Garamond" w:cs="Times New Roman"/>
        </w:rPr>
        <w:t>Job search workshops and res</w:t>
      </w:r>
      <w:r w:rsidR="00C73130" w:rsidRPr="004A0C12">
        <w:rPr>
          <w:rFonts w:ascii="Garamond" w:hAnsi="Garamond" w:cs="Times New Roman"/>
        </w:rPr>
        <w:t>ources including internet access</w:t>
      </w:r>
    </w:p>
    <w:p w14:paraId="4C6842A5" w14:textId="1D26638B" w:rsidR="00F07997" w:rsidRPr="004A0C12" w:rsidRDefault="00F07997" w:rsidP="00232F09">
      <w:pPr>
        <w:pStyle w:val="NoSpacing"/>
        <w:numPr>
          <w:ilvl w:val="0"/>
          <w:numId w:val="274"/>
        </w:numPr>
        <w:jc w:val="both"/>
        <w:rPr>
          <w:rFonts w:ascii="Garamond" w:hAnsi="Garamond" w:cs="Times New Roman"/>
        </w:rPr>
      </w:pPr>
      <w:r w:rsidRPr="004A0C12">
        <w:rPr>
          <w:rFonts w:ascii="Garamond" w:hAnsi="Garamond" w:cs="Times New Roman"/>
        </w:rPr>
        <w:t>Reemployment services</w:t>
      </w:r>
    </w:p>
    <w:p w14:paraId="56D18AA2" w14:textId="3D533264" w:rsidR="00F07997" w:rsidRPr="004A0C12" w:rsidRDefault="00F07997" w:rsidP="00232F09">
      <w:pPr>
        <w:pStyle w:val="NoSpacing"/>
        <w:numPr>
          <w:ilvl w:val="0"/>
          <w:numId w:val="274"/>
        </w:numPr>
        <w:jc w:val="both"/>
        <w:rPr>
          <w:rFonts w:ascii="Garamond" w:hAnsi="Garamond" w:cs="Times New Roman"/>
        </w:rPr>
      </w:pPr>
      <w:r w:rsidRPr="004A0C12">
        <w:rPr>
          <w:rFonts w:ascii="Garamond" w:hAnsi="Garamond" w:cs="Times New Roman"/>
        </w:rPr>
        <w:t>Veterans services</w:t>
      </w:r>
    </w:p>
    <w:p w14:paraId="3FC048C3" w14:textId="3BC0FB99" w:rsidR="00F07997" w:rsidRPr="004A0C12" w:rsidRDefault="00F07997" w:rsidP="00232F09">
      <w:pPr>
        <w:pStyle w:val="NoSpacing"/>
        <w:numPr>
          <w:ilvl w:val="0"/>
          <w:numId w:val="274"/>
        </w:numPr>
        <w:jc w:val="both"/>
        <w:rPr>
          <w:rFonts w:ascii="Garamond" w:hAnsi="Garamond" w:cs="Times New Roman"/>
        </w:rPr>
      </w:pPr>
      <w:r w:rsidRPr="004A0C12">
        <w:rPr>
          <w:rFonts w:ascii="Garamond" w:hAnsi="Garamond" w:cs="Times New Roman"/>
        </w:rPr>
        <w:t>Distribution of federal, State &amp; local government information</w:t>
      </w:r>
    </w:p>
    <w:p w14:paraId="4EB4277F" w14:textId="7580EB2E" w:rsidR="00F07997" w:rsidRPr="004A0C12" w:rsidRDefault="00F07997" w:rsidP="00232F09">
      <w:pPr>
        <w:pStyle w:val="NoSpacing"/>
        <w:numPr>
          <w:ilvl w:val="0"/>
          <w:numId w:val="274"/>
        </w:numPr>
        <w:jc w:val="both"/>
        <w:rPr>
          <w:rFonts w:ascii="Garamond" w:hAnsi="Garamond" w:cs="Times New Roman"/>
        </w:rPr>
      </w:pPr>
      <w:r w:rsidRPr="004A0C12">
        <w:rPr>
          <w:rFonts w:ascii="Garamond" w:hAnsi="Garamond" w:cs="Times New Roman"/>
        </w:rPr>
        <w:t>Career planning and training programs</w:t>
      </w:r>
    </w:p>
    <w:p w14:paraId="705C17FD" w14:textId="2A7F91D2" w:rsidR="00F07997" w:rsidRPr="004A0C12" w:rsidRDefault="00C73130" w:rsidP="00232F09">
      <w:pPr>
        <w:pStyle w:val="NoSpacing"/>
        <w:numPr>
          <w:ilvl w:val="0"/>
          <w:numId w:val="274"/>
        </w:numPr>
        <w:jc w:val="both"/>
        <w:rPr>
          <w:rFonts w:ascii="Garamond" w:hAnsi="Garamond" w:cs="Times New Roman"/>
        </w:rPr>
      </w:pPr>
      <w:r w:rsidRPr="004A0C12">
        <w:rPr>
          <w:rFonts w:ascii="Garamond" w:hAnsi="Garamond" w:cs="Times New Roman"/>
        </w:rPr>
        <w:t>Access to labor m</w:t>
      </w:r>
      <w:r w:rsidR="00F07997" w:rsidRPr="004A0C12">
        <w:rPr>
          <w:rFonts w:ascii="Garamond" w:hAnsi="Garamond" w:cs="Times New Roman"/>
        </w:rPr>
        <w:t>ark</w:t>
      </w:r>
      <w:r w:rsidRPr="004A0C12">
        <w:rPr>
          <w:rFonts w:ascii="Garamond" w:hAnsi="Garamond" w:cs="Times New Roman"/>
        </w:rPr>
        <w:t>et i</w:t>
      </w:r>
      <w:r w:rsidR="00F07997" w:rsidRPr="004A0C12">
        <w:rPr>
          <w:rFonts w:ascii="Garamond" w:hAnsi="Garamond" w:cs="Times New Roman"/>
        </w:rPr>
        <w:t>nformation</w:t>
      </w:r>
    </w:p>
    <w:p w14:paraId="1811317C" w14:textId="6BF39671" w:rsidR="00F07997" w:rsidRPr="004A0C12" w:rsidRDefault="00F07997" w:rsidP="00232F09">
      <w:pPr>
        <w:pStyle w:val="NoSpacing"/>
        <w:numPr>
          <w:ilvl w:val="0"/>
          <w:numId w:val="274"/>
        </w:numPr>
        <w:jc w:val="both"/>
        <w:rPr>
          <w:rFonts w:ascii="Garamond" w:hAnsi="Garamond" w:cs="Times New Roman"/>
        </w:rPr>
      </w:pPr>
      <w:r w:rsidRPr="004A0C12">
        <w:rPr>
          <w:rFonts w:ascii="Garamond" w:hAnsi="Garamond" w:cs="Times New Roman"/>
        </w:rPr>
        <w:t>Bilingual assistance</w:t>
      </w:r>
    </w:p>
    <w:p w14:paraId="66A41D2A" w14:textId="5AE70367" w:rsidR="00F07997" w:rsidRPr="004A0C12" w:rsidRDefault="00F07997" w:rsidP="00232F09">
      <w:pPr>
        <w:pStyle w:val="NoSpacing"/>
        <w:numPr>
          <w:ilvl w:val="0"/>
          <w:numId w:val="274"/>
        </w:numPr>
        <w:jc w:val="both"/>
        <w:rPr>
          <w:rFonts w:ascii="Garamond" w:hAnsi="Garamond" w:cs="Times New Roman"/>
        </w:rPr>
      </w:pPr>
      <w:r w:rsidRPr="004A0C12">
        <w:rPr>
          <w:rFonts w:ascii="Garamond" w:hAnsi="Garamond" w:cs="Times New Roman"/>
        </w:rPr>
        <w:t>Complaint handling</w:t>
      </w:r>
    </w:p>
    <w:p w14:paraId="40FFBA29" w14:textId="77777777" w:rsidR="00F07997" w:rsidRPr="004A0C12" w:rsidRDefault="00F07997" w:rsidP="00F07997">
      <w:pPr>
        <w:pStyle w:val="NoSpacing"/>
        <w:jc w:val="both"/>
        <w:rPr>
          <w:rFonts w:ascii="Garamond" w:hAnsi="Garamond" w:cs="Times New Roman"/>
        </w:rPr>
      </w:pPr>
    </w:p>
    <w:p w14:paraId="2D9591EF" w14:textId="77777777" w:rsidR="00F07997" w:rsidRPr="004A0C12" w:rsidRDefault="00F07997" w:rsidP="00FA2284">
      <w:pPr>
        <w:pStyle w:val="NoSpacing"/>
        <w:jc w:val="both"/>
        <w:rPr>
          <w:rFonts w:ascii="Garamond" w:hAnsi="Garamond" w:cs="Times New Roman"/>
        </w:rPr>
      </w:pPr>
      <w:r w:rsidRPr="004A0C12">
        <w:rPr>
          <w:rFonts w:ascii="Garamond" w:hAnsi="Garamond" w:cs="Times New Roman"/>
        </w:rPr>
        <w:t xml:space="preserve">DLLR raises awareness of available services within the Migrant and Seasonal Farmworker community through oral communication and distributing bilingual brochures specifically designed for this community. Recognizing that many Migrant and Seasonal Farmworkers may require English Language Acquisition, brochures provide pictorial representations to ensure the message is effectively received. </w:t>
      </w:r>
    </w:p>
    <w:p w14:paraId="5E0C4BE6" w14:textId="77777777" w:rsidR="00F07997" w:rsidRPr="004A0C12" w:rsidRDefault="00F07997" w:rsidP="00FA2284">
      <w:pPr>
        <w:pStyle w:val="NoSpacing"/>
        <w:jc w:val="both"/>
        <w:rPr>
          <w:rFonts w:ascii="Garamond" w:hAnsi="Garamond" w:cs="Times New Roman"/>
        </w:rPr>
      </w:pPr>
    </w:p>
    <w:p w14:paraId="10A4EB46" w14:textId="77777777" w:rsidR="00FA2284" w:rsidRPr="004A0C12" w:rsidRDefault="00FA2284" w:rsidP="00FA2284">
      <w:pPr>
        <w:pStyle w:val="NoSpacing"/>
        <w:jc w:val="both"/>
        <w:rPr>
          <w:rFonts w:ascii="Garamond" w:hAnsi="Garamond" w:cs="Times New Roman"/>
        </w:rPr>
      </w:pPr>
      <w:r w:rsidRPr="004A0C12">
        <w:rPr>
          <w:rFonts w:ascii="Garamond" w:hAnsi="Garamond" w:cs="Times New Roman"/>
        </w:rPr>
        <w:t xml:space="preserve">Outreach to agricultural employers will be addressed using a number of strategies. The most effective strategy has been through use of the Rural Services Coordinator who provides guidance and technical assistance to local staff and works closely with individual agricultural employers across the state.  The Rural Services Coordinator’s long-standing relationship with agricultural employers assists the state agency to provide a conduit to additional business services. Maryland has recently hired an additional staff person as a business service staff person. The staff person works closely with Rural Service Coordinator to identify and assist new agricultural employers in the state. </w:t>
      </w:r>
    </w:p>
    <w:p w14:paraId="21E2A33D" w14:textId="77777777" w:rsidR="00FA2284" w:rsidRPr="004A0C12" w:rsidRDefault="00FA2284" w:rsidP="00FA2284">
      <w:pPr>
        <w:pStyle w:val="NoSpacing"/>
        <w:jc w:val="both"/>
        <w:rPr>
          <w:rFonts w:ascii="Garamond" w:hAnsi="Garamond" w:cs="Times New Roman"/>
        </w:rPr>
      </w:pPr>
    </w:p>
    <w:p w14:paraId="0E9D2797" w14:textId="514B304E" w:rsidR="00FA2284" w:rsidRPr="004A0C12" w:rsidRDefault="00FA2284" w:rsidP="00FA2284">
      <w:pPr>
        <w:pStyle w:val="NoSpacing"/>
        <w:jc w:val="both"/>
        <w:rPr>
          <w:rFonts w:ascii="Garamond" w:hAnsi="Garamond" w:cs="Times New Roman"/>
        </w:rPr>
      </w:pPr>
      <w:r w:rsidRPr="004A0C12">
        <w:rPr>
          <w:rFonts w:ascii="Garamond" w:hAnsi="Garamond" w:cs="Times New Roman"/>
        </w:rPr>
        <w:t xml:space="preserve">Another current strategy in place is use of Foreign Labor staff form the American Job Centers. Currently, business service staff is assigned the function of collecting wage survey data. This allows business service staff the opportunity to ask additional questions concerning their business needs. The result of the discussion will be used to determine how the American Job Center can provide assistance. </w:t>
      </w:r>
    </w:p>
    <w:p w14:paraId="3E0489D2" w14:textId="77777777" w:rsidR="00FA2284" w:rsidRPr="004A0C12" w:rsidRDefault="00FA2284" w:rsidP="00FA2284">
      <w:pPr>
        <w:pStyle w:val="NoSpacing"/>
        <w:jc w:val="both"/>
        <w:rPr>
          <w:rFonts w:ascii="Garamond" w:hAnsi="Garamond" w:cs="Times New Roman"/>
        </w:rPr>
      </w:pPr>
    </w:p>
    <w:p w14:paraId="62E4F284" w14:textId="7D86EEB6" w:rsidR="00F07997" w:rsidRPr="004A0C12" w:rsidRDefault="00FA2284" w:rsidP="00FA2284">
      <w:pPr>
        <w:pStyle w:val="NoSpacing"/>
        <w:jc w:val="both"/>
        <w:rPr>
          <w:rFonts w:ascii="Garamond" w:hAnsi="Garamond" w:cs="Times New Roman"/>
        </w:rPr>
      </w:pPr>
      <w:r w:rsidRPr="004A0C12">
        <w:rPr>
          <w:rFonts w:ascii="Garamond" w:hAnsi="Garamond" w:cs="Times New Roman"/>
        </w:rPr>
        <w:t>Lastly, Maryland is moving toward a regional business service approach. This strategy creates a team of business professionals that are trained, flexible and articulate concerning all American Job Center programs. The result is a decrease in employee fatigue and a complete resource to our employers. Regional business service staff will also be aware of the supply side of their region in working with agricultural employers as well as the resources available within their region.</w:t>
      </w:r>
    </w:p>
    <w:p w14:paraId="1031BF6E" w14:textId="77777777" w:rsidR="00FA2284" w:rsidRPr="004A0C12" w:rsidRDefault="00FA2284" w:rsidP="00F07997">
      <w:pPr>
        <w:pStyle w:val="NoSpacing"/>
        <w:rPr>
          <w:rFonts w:ascii="Garamond" w:hAnsi="Garamond" w:cs="Times New Roman"/>
        </w:rPr>
      </w:pPr>
    </w:p>
    <w:p w14:paraId="3E513DC1" w14:textId="77777777" w:rsidR="00FA2284" w:rsidRPr="00535D82" w:rsidRDefault="00F07997" w:rsidP="00167878">
      <w:pPr>
        <w:pStyle w:val="Heading4"/>
        <w:rPr>
          <w:rFonts w:ascii="Garamond" w:hAnsi="Garamond"/>
          <w:sz w:val="24"/>
          <w:szCs w:val="24"/>
        </w:rPr>
      </w:pPr>
      <w:r w:rsidRPr="00535D82">
        <w:rPr>
          <w:rFonts w:ascii="Garamond" w:hAnsi="Garamond"/>
          <w:sz w:val="24"/>
          <w:szCs w:val="24"/>
        </w:rPr>
        <w:t xml:space="preserve">Raising Awareness of DLLR’s Complaint System </w:t>
      </w:r>
    </w:p>
    <w:p w14:paraId="2234751B" w14:textId="77777777" w:rsidR="004665D0" w:rsidRPr="004A0C12" w:rsidRDefault="004665D0" w:rsidP="004665D0">
      <w:pPr>
        <w:pStyle w:val="NormalWeb"/>
        <w:spacing w:before="0" w:beforeAutospacing="0" w:afterAutospacing="0"/>
        <w:rPr>
          <w:rFonts w:ascii="Garamond" w:hAnsi="Garamond"/>
          <w:sz w:val="22"/>
          <w:szCs w:val="22"/>
        </w:rPr>
      </w:pPr>
      <w:r w:rsidRPr="004A0C12">
        <w:rPr>
          <w:rFonts w:ascii="Garamond" w:hAnsi="Garamond"/>
          <w:color w:val="000000"/>
          <w:sz w:val="22"/>
          <w:szCs w:val="22"/>
        </w:rPr>
        <w:t>All services provided by the American Job Centers are available to all customers who utilize the American Job Center sites and the Maryland Workforce Exchange system. There is additional service to Migrant and Seasonal Farmworkers as the information is provided them at their places of employment and residences.</w:t>
      </w:r>
    </w:p>
    <w:p w14:paraId="517D412F" w14:textId="30C98FE9" w:rsidR="004665D0" w:rsidRPr="004A0C12" w:rsidRDefault="004665D0"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 xml:space="preserve">Agricultural Employers may utilize the Maryland Workforce Exchange system to advertise their available employment, allowing more prospective employees to apply for agricultural jobs. Raising Awareness of DLLR’s Complaint System Biannually, the State Monitor Advocate trains American Job Center staff on the Employment Service Complaint System who, in turn, ensure jobseekers are appropriately aware of the System. The System is available through legal advocacy groups and other farm worker </w:t>
      </w:r>
      <w:r w:rsidRPr="004A0C12">
        <w:rPr>
          <w:rFonts w:ascii="Garamond" w:hAnsi="Garamond"/>
          <w:color w:val="000000"/>
          <w:sz w:val="22"/>
          <w:szCs w:val="22"/>
        </w:rPr>
        <w:lastRenderedPageBreak/>
        <w:t>advocacy organizations. Upon request, the State Monitor Advocate speaks at advocacy meetings to highlight the System. Migrant and Seasonal Farmworkers are advised of their right to file complaints during outreach visits. There are also posters providing information about specific contacts with whom to file complaints at American Job Centers. Additionally, the outreach workers, as well as the State Monitor Advocate provide information on filing complaints and all are made aware that they do not have to go to an American Job Center to do so. Maryland does not have day-haul facilities. Advocacy groups are made aware of the complaint system at joint meetings.</w:t>
      </w:r>
    </w:p>
    <w:p w14:paraId="1CE66815" w14:textId="02508EE4" w:rsidR="00F07997" w:rsidRPr="00535D82" w:rsidRDefault="00F07997" w:rsidP="00167878">
      <w:pPr>
        <w:pStyle w:val="Heading4"/>
        <w:rPr>
          <w:rFonts w:ascii="Garamond" w:hAnsi="Garamond"/>
          <w:sz w:val="24"/>
          <w:szCs w:val="24"/>
        </w:rPr>
      </w:pPr>
      <w:r w:rsidRPr="00535D82">
        <w:rPr>
          <w:rFonts w:ascii="Garamond" w:hAnsi="Garamond"/>
          <w:sz w:val="24"/>
          <w:szCs w:val="24"/>
        </w:rPr>
        <w:t xml:space="preserve">Marketing the Agricultural Recruitment System </w:t>
      </w:r>
    </w:p>
    <w:p w14:paraId="129E6887" w14:textId="3EE7869D" w:rsidR="00F07997" w:rsidRPr="004A0C12" w:rsidRDefault="00F07997" w:rsidP="00F6079B">
      <w:pPr>
        <w:pStyle w:val="NoSpacing"/>
        <w:spacing w:after="100"/>
        <w:jc w:val="both"/>
        <w:rPr>
          <w:rFonts w:ascii="Garamond" w:hAnsi="Garamond" w:cs="Times New Roman"/>
        </w:rPr>
      </w:pPr>
      <w:r w:rsidRPr="004A0C12">
        <w:rPr>
          <w:rFonts w:ascii="Garamond" w:hAnsi="Garamond" w:cs="Times New Roman"/>
        </w:rPr>
        <w:t xml:space="preserve">DLLR markets the Agricultural Recruitment System to agricultural employers to ensure Maryland meets the regulatory requirements associated with Foreign Labor Certification applications. However, the majority of marketing for American Job Center services is accomplished through personal contact and relationship building with the agricultural community. Additionally, DLLR employs a full-time Rural Services Coordinator who provides guidance and technical assistance to local staff and works closely with individual agricultural employers across the State. </w:t>
      </w:r>
    </w:p>
    <w:p w14:paraId="11A41B7F" w14:textId="77777777" w:rsidR="004665D0" w:rsidRPr="004A0C12" w:rsidRDefault="004665D0" w:rsidP="00F6079B">
      <w:pPr>
        <w:pStyle w:val="NormalWeb"/>
        <w:spacing w:before="0" w:beforeAutospacing="0" w:afterAutospacing="0"/>
        <w:rPr>
          <w:rFonts w:ascii="Garamond" w:hAnsi="Garamond"/>
          <w:sz w:val="22"/>
          <w:szCs w:val="22"/>
        </w:rPr>
      </w:pPr>
      <w:r w:rsidRPr="004A0C12">
        <w:rPr>
          <w:rFonts w:ascii="Garamond" w:hAnsi="Garamond"/>
          <w:color w:val="000000"/>
          <w:sz w:val="22"/>
          <w:szCs w:val="22"/>
        </w:rPr>
        <w:t>Outreach personnel and business representatives continually look for new opportunities to market the Agricultural Recruitment System. The majority of marketing for American Job Center services is accomplished through personal contact and relationship building with the agricultural community. Marketing the Agricultural Recruitment System: Local agricultural establishments do not use the ARS, because Maryland farmers have found that employees are not seeking agricultural employment.</w:t>
      </w:r>
    </w:p>
    <w:p w14:paraId="5FBFA283" w14:textId="77777777" w:rsidR="004665D0" w:rsidRPr="004A0C12" w:rsidRDefault="004665D0"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Moving forward, DLLR will employ regional business services representatives to assist in outreach to Maryland’s agricultural community. DLLR is dedicated to this regional business services approach, and will have representatives in place on or before March 2017. Once on board, this team, in concert with field staff already dedicated to this program, will develop an analysis of current practices in outreaching to Maryland’s agricultural community and will develop a plan to engage the agricultural community by providing educational opportunities regarding the Agricultural Recruitment System. This plan will be done in concert with already established groups such as the Maryland Farm Bureau or Maryland Department of Agriculture. Such a plan will be completed by December 2017 and will be reviewed annually.</w:t>
      </w:r>
    </w:p>
    <w:p w14:paraId="3FA2A607" w14:textId="77777777" w:rsidR="004665D0" w:rsidRPr="004A0C12" w:rsidRDefault="004665D0" w:rsidP="00F07997">
      <w:pPr>
        <w:pStyle w:val="NoSpacing"/>
        <w:jc w:val="both"/>
        <w:rPr>
          <w:rFonts w:ascii="Garamond" w:hAnsi="Garamond" w:cs="Times New Roman"/>
        </w:rPr>
      </w:pPr>
    </w:p>
    <w:p w14:paraId="6786737A" w14:textId="33033888" w:rsidR="001D2DF4" w:rsidRPr="00535D82" w:rsidRDefault="007A1FDC" w:rsidP="00531E51">
      <w:pPr>
        <w:pStyle w:val="Heading3"/>
        <w:rPr>
          <w:rFonts w:ascii="Garamond" w:hAnsi="Garamond"/>
          <w:sz w:val="24"/>
          <w:szCs w:val="24"/>
        </w:rPr>
      </w:pPr>
      <w:bookmarkStart w:id="147" w:name="_Toc447276185"/>
      <w:r w:rsidRPr="00535D82">
        <w:rPr>
          <w:rFonts w:ascii="Garamond" w:hAnsi="Garamond"/>
          <w:sz w:val="24"/>
          <w:szCs w:val="24"/>
        </w:rPr>
        <w:t>OTHER REQUIREMENTS</w:t>
      </w:r>
      <w:bookmarkEnd w:id="147"/>
    </w:p>
    <w:p w14:paraId="7273811E" w14:textId="2C09076F" w:rsidR="00F07997" w:rsidRPr="00535D82" w:rsidRDefault="00F07997" w:rsidP="00167878">
      <w:pPr>
        <w:pStyle w:val="Heading4"/>
        <w:rPr>
          <w:rFonts w:ascii="Garamond" w:hAnsi="Garamond"/>
          <w:sz w:val="24"/>
          <w:szCs w:val="24"/>
        </w:rPr>
      </w:pPr>
      <w:r w:rsidRPr="00535D82">
        <w:rPr>
          <w:rFonts w:ascii="Garamond" w:hAnsi="Garamond"/>
          <w:sz w:val="24"/>
          <w:szCs w:val="24"/>
        </w:rPr>
        <w:t>Collaborating with Partners</w:t>
      </w:r>
    </w:p>
    <w:p w14:paraId="542D4373" w14:textId="2D080A5E"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The Salisbury Job Market, Tri-county Council, and Telamon Corporation have a formally executed Memorandum of Understanding which codifies the participation for provision of services to the </w:t>
      </w:r>
      <w:r w:rsidR="00BB5F3C" w:rsidRPr="004A0C12">
        <w:rPr>
          <w:rFonts w:ascii="Garamond" w:hAnsi="Garamond" w:cs="Times New Roman"/>
        </w:rPr>
        <w:t>Agricultural Community in that Local A</w:t>
      </w:r>
      <w:r w:rsidRPr="004A0C12">
        <w:rPr>
          <w:rFonts w:ascii="Garamond" w:hAnsi="Garamond" w:cs="Times New Roman"/>
        </w:rPr>
        <w:t xml:space="preserve">rea. Telamon has annually renewed its partnership with the Job Corps program which provides the majority of pesticide training </w:t>
      </w:r>
      <w:r w:rsidR="00C73130" w:rsidRPr="004A0C12">
        <w:rPr>
          <w:rFonts w:ascii="Garamond" w:hAnsi="Garamond" w:cs="Times New Roman"/>
        </w:rPr>
        <w:t xml:space="preserve">where needed across the state. </w:t>
      </w:r>
      <w:r w:rsidRPr="004A0C12">
        <w:rPr>
          <w:rFonts w:ascii="Garamond" w:hAnsi="Garamond" w:cs="Times New Roman"/>
        </w:rPr>
        <w:t xml:space="preserve">The State Monitor Advocate and local staff attend periodic meetings of agencies and partner organizations which are known to provide services to Maryland’s agricultural community.  It is intended that attendance and participation at such meetings will build upon long-standing relationships and provide opportunities to forge new partnerships to improve service delivery and communicate resources throughout agricultural communities. </w:t>
      </w:r>
    </w:p>
    <w:p w14:paraId="4F5F4566" w14:textId="716EFE52" w:rsidR="00F07997" w:rsidRPr="00535D82" w:rsidRDefault="00F07997" w:rsidP="00167878">
      <w:pPr>
        <w:pStyle w:val="Heading4"/>
        <w:rPr>
          <w:rFonts w:ascii="Garamond" w:hAnsi="Garamond"/>
          <w:sz w:val="24"/>
          <w:szCs w:val="24"/>
        </w:rPr>
      </w:pPr>
      <w:r w:rsidRPr="00535D82">
        <w:rPr>
          <w:rFonts w:ascii="Garamond" w:hAnsi="Garamond"/>
          <w:sz w:val="24"/>
          <w:szCs w:val="24"/>
        </w:rPr>
        <w:t xml:space="preserve">Review &amp; Public Comment </w:t>
      </w:r>
    </w:p>
    <w:p w14:paraId="14F62D9A" w14:textId="77777777" w:rsidR="00F07997" w:rsidRPr="004A0C12" w:rsidRDefault="00F07997" w:rsidP="00F07997">
      <w:pPr>
        <w:pStyle w:val="NoSpacing"/>
        <w:jc w:val="both"/>
        <w:rPr>
          <w:rFonts w:ascii="Garamond" w:hAnsi="Garamond" w:cs="Times New Roman"/>
        </w:rPr>
      </w:pPr>
      <w:r w:rsidRPr="004A0C12">
        <w:rPr>
          <w:rFonts w:ascii="Garamond" w:hAnsi="Garamond" w:cs="Times New Roman"/>
        </w:rPr>
        <w:t xml:space="preserve">Maryland posted the draft Agricultural Outreach Plan on its website for public review and comment. DLLR also provided a copy of the draft Agricultural Outreach Plan to Telamon Corporation, Maryland’s National Farm Worker Jobs Program grantee, and other community partners. DLLR received no comments. </w:t>
      </w:r>
    </w:p>
    <w:p w14:paraId="043BD60B" w14:textId="4A1F7731" w:rsidR="00F07997" w:rsidRPr="00535D82" w:rsidRDefault="00F07997" w:rsidP="00167878">
      <w:pPr>
        <w:pStyle w:val="Heading4"/>
        <w:rPr>
          <w:rFonts w:ascii="Garamond" w:hAnsi="Garamond"/>
          <w:sz w:val="24"/>
          <w:szCs w:val="24"/>
        </w:rPr>
      </w:pPr>
      <w:r w:rsidRPr="00535D82">
        <w:rPr>
          <w:rFonts w:ascii="Garamond" w:hAnsi="Garamond"/>
          <w:sz w:val="24"/>
          <w:szCs w:val="24"/>
        </w:rPr>
        <w:t xml:space="preserve">Data Assessment </w:t>
      </w:r>
    </w:p>
    <w:p w14:paraId="068F24AA" w14:textId="4C7859B3" w:rsidR="00F07997" w:rsidRPr="004A0C12" w:rsidRDefault="00F07997" w:rsidP="00F07997">
      <w:pPr>
        <w:pStyle w:val="NoSpacing"/>
        <w:jc w:val="both"/>
        <w:rPr>
          <w:rFonts w:ascii="Garamond" w:hAnsi="Garamond" w:cs="Times New Roman"/>
        </w:rPr>
      </w:pPr>
      <w:r w:rsidRPr="004A0C12">
        <w:rPr>
          <w:rFonts w:ascii="Garamond" w:hAnsi="Garamond" w:cs="Times New Roman"/>
        </w:rPr>
        <w:t>Data assessment in Maryland continues to be challenging as the state continu</w:t>
      </w:r>
      <w:r w:rsidR="00C73130" w:rsidRPr="004A0C12">
        <w:rPr>
          <w:rFonts w:ascii="Garamond" w:hAnsi="Garamond" w:cs="Times New Roman"/>
        </w:rPr>
        <w:t>ously reports zero MSFWs in the MWE</w:t>
      </w:r>
      <w:r w:rsidRPr="004A0C12">
        <w:rPr>
          <w:rFonts w:ascii="Garamond" w:hAnsi="Garamond" w:cs="Times New Roman"/>
        </w:rPr>
        <w:t>, which makes related quotients and ratios void of meaning. DLLR avows that it is providing Migrant and Seasonal Farmworkers quantitatively proportionate and qualitatively equivalent services to the targeted population.</w:t>
      </w:r>
      <w:r w:rsidR="004665D0" w:rsidRPr="004A0C12">
        <w:rPr>
          <w:rFonts w:ascii="Garamond" w:hAnsi="Garamond" w:cs="Times New Roman"/>
        </w:rPr>
        <w:t xml:space="preserve"> </w:t>
      </w:r>
      <w:r w:rsidR="004665D0" w:rsidRPr="004A0C12">
        <w:rPr>
          <w:rFonts w:ascii="Garamond" w:hAnsi="Garamond"/>
          <w:color w:val="000000"/>
        </w:rPr>
        <w:t>To increase the number of customers accessing AJC services, the State is committed to increasing outreach efforts and partnerships developed, especially within areas that MSFWs may live and work. By engaging partners on a more regular basis to develop relationships with businesses and workers, DLLR can increase awareness of programs and services available. Creating partnerships with community based organizations to create a bridge to MSFWs will assist in developing trust among the population.</w:t>
      </w:r>
      <w:r w:rsidRPr="004A0C12">
        <w:rPr>
          <w:rFonts w:ascii="Garamond" w:hAnsi="Garamond" w:cs="Times New Roman"/>
        </w:rPr>
        <w:t xml:space="preserve"> </w:t>
      </w:r>
    </w:p>
    <w:p w14:paraId="0A815CA7" w14:textId="342C5FC1" w:rsidR="00F07997" w:rsidRPr="00535D82" w:rsidRDefault="00F07997" w:rsidP="00167878">
      <w:pPr>
        <w:pStyle w:val="Heading4"/>
        <w:rPr>
          <w:rFonts w:ascii="Garamond" w:hAnsi="Garamond"/>
          <w:sz w:val="24"/>
          <w:szCs w:val="24"/>
        </w:rPr>
      </w:pPr>
      <w:r w:rsidRPr="00535D82">
        <w:rPr>
          <w:rFonts w:ascii="Garamond" w:hAnsi="Garamond"/>
          <w:sz w:val="24"/>
          <w:szCs w:val="24"/>
        </w:rPr>
        <w:lastRenderedPageBreak/>
        <w:t xml:space="preserve">Assessment in Progress </w:t>
      </w:r>
    </w:p>
    <w:p w14:paraId="1FCC386E" w14:textId="74DA12D4" w:rsidR="00F07997" w:rsidRPr="004A0C12" w:rsidRDefault="00F07997" w:rsidP="00F07997">
      <w:pPr>
        <w:pStyle w:val="NoSpacing"/>
        <w:jc w:val="both"/>
        <w:rPr>
          <w:rFonts w:ascii="Garamond" w:hAnsi="Garamond" w:cs="Times New Roman"/>
        </w:rPr>
      </w:pPr>
      <w:r w:rsidRPr="004A0C12">
        <w:rPr>
          <w:rFonts w:ascii="Garamond" w:hAnsi="Garamond" w:cs="Times New Roman"/>
        </w:rPr>
        <w:t>The goals of Maryland’s PY2014 Agricultural Outreach Plan were achieved as they were enumerated. Maryland continues to be challenged by the decline in agriculture and Migrant and Seasonal Farmworkers</w:t>
      </w:r>
      <w:r w:rsidR="00C73130" w:rsidRPr="004A0C12">
        <w:rPr>
          <w:rFonts w:ascii="Garamond" w:hAnsi="Garamond" w:cs="Times New Roman"/>
        </w:rPr>
        <w:t xml:space="preserve"> across the S</w:t>
      </w:r>
      <w:r w:rsidRPr="004A0C12">
        <w:rPr>
          <w:rFonts w:ascii="Garamond" w:hAnsi="Garamond" w:cs="Times New Roman"/>
        </w:rPr>
        <w:t>tate. As stated earlier, while agriculture remains a multi-bill</w:t>
      </w:r>
      <w:r w:rsidR="00C73130" w:rsidRPr="004A0C12">
        <w:rPr>
          <w:rFonts w:ascii="Garamond" w:hAnsi="Garamond" w:cs="Times New Roman"/>
        </w:rPr>
        <w:t>ion dollar industry within the S</w:t>
      </w:r>
      <w:r w:rsidRPr="004A0C12">
        <w:rPr>
          <w:rFonts w:ascii="Garamond" w:hAnsi="Garamond" w:cs="Times New Roman"/>
        </w:rPr>
        <w:t>tate, the economic opportunity for the agricultural community continues to decline. This decline requires constant re-evaluation of the resources that can be dedicated to services to the agricultural community. Another concern is the aging population of farmers, farm workers, and staff in Maryland. In spite of these challenges, Maryland believes that it continues to provide exemplary services to its agricultural community.</w:t>
      </w:r>
    </w:p>
    <w:p w14:paraId="789D8B8E" w14:textId="77777777" w:rsidR="00F07997" w:rsidRPr="004A0C12" w:rsidRDefault="00F07997" w:rsidP="00F07997">
      <w:pPr>
        <w:pStyle w:val="NoSpacing"/>
        <w:jc w:val="both"/>
        <w:rPr>
          <w:rFonts w:ascii="Garamond" w:hAnsi="Garamond" w:cs="Times New Roman"/>
          <w:i/>
        </w:rPr>
      </w:pPr>
    </w:p>
    <w:p w14:paraId="443253DF" w14:textId="2562377F" w:rsidR="00F07997" w:rsidRPr="00535D82" w:rsidRDefault="00F07997" w:rsidP="00167878">
      <w:pPr>
        <w:pStyle w:val="Heading4"/>
        <w:rPr>
          <w:rFonts w:ascii="Garamond" w:hAnsi="Garamond"/>
          <w:sz w:val="24"/>
          <w:szCs w:val="24"/>
        </w:rPr>
      </w:pPr>
      <w:r w:rsidRPr="00535D82">
        <w:rPr>
          <w:rFonts w:ascii="Garamond" w:hAnsi="Garamond"/>
          <w:sz w:val="24"/>
          <w:szCs w:val="24"/>
        </w:rPr>
        <w:t xml:space="preserve">State Monitor Advocate &amp; </w:t>
      </w:r>
      <w:proofErr w:type="gramStart"/>
      <w:r w:rsidRPr="00535D82">
        <w:rPr>
          <w:rFonts w:ascii="Garamond" w:hAnsi="Garamond"/>
          <w:sz w:val="24"/>
          <w:szCs w:val="24"/>
        </w:rPr>
        <w:t>The</w:t>
      </w:r>
      <w:proofErr w:type="gramEnd"/>
      <w:r w:rsidRPr="00535D82">
        <w:rPr>
          <w:rFonts w:ascii="Garamond" w:hAnsi="Garamond"/>
          <w:sz w:val="24"/>
          <w:szCs w:val="24"/>
        </w:rPr>
        <w:t xml:space="preserve"> Agricultural Outreach Plan</w:t>
      </w:r>
    </w:p>
    <w:p w14:paraId="7B42A051" w14:textId="178EA5B3" w:rsidR="00F07997" w:rsidRPr="004A0C12" w:rsidRDefault="00F07997" w:rsidP="00531E51">
      <w:pPr>
        <w:pStyle w:val="NoSpacing"/>
        <w:jc w:val="both"/>
        <w:rPr>
          <w:rFonts w:ascii="Garamond" w:hAnsi="Garamond"/>
        </w:rPr>
      </w:pPr>
      <w:r w:rsidRPr="004A0C12">
        <w:rPr>
          <w:rFonts w:ascii="Garamond" w:hAnsi="Garamond" w:cs="Times New Roman"/>
        </w:rPr>
        <w:t>The State Monitor Advocate has had the opportunity to review this plan and was instrumental in its data</w:t>
      </w:r>
      <w:r w:rsidRPr="004A0C12">
        <w:rPr>
          <w:rFonts w:ascii="Garamond" w:hAnsi="Garamond"/>
        </w:rPr>
        <w:t xml:space="preserve"> </w:t>
      </w:r>
      <w:r w:rsidRPr="004A0C12">
        <w:rPr>
          <w:rFonts w:ascii="Garamond" w:hAnsi="Garamond" w:cs="Times New Roman"/>
        </w:rPr>
        <w:t>collection and composition.  The State Mon</w:t>
      </w:r>
      <w:r w:rsidR="00C73130" w:rsidRPr="004A0C12">
        <w:rPr>
          <w:rFonts w:ascii="Garamond" w:hAnsi="Garamond" w:cs="Times New Roman"/>
        </w:rPr>
        <w:t>itor Advocate has approved the P</w:t>
      </w:r>
      <w:r w:rsidRPr="004A0C12">
        <w:rPr>
          <w:rFonts w:ascii="Garamond" w:hAnsi="Garamond" w:cs="Times New Roman"/>
        </w:rPr>
        <w:t>lan.</w:t>
      </w:r>
      <w:r w:rsidR="00531E51" w:rsidRPr="004A0C12">
        <w:rPr>
          <w:rFonts w:ascii="Garamond" w:hAnsi="Garamond"/>
        </w:rPr>
        <w:t xml:space="preserve"> </w:t>
      </w:r>
    </w:p>
    <w:p w14:paraId="659C84DB" w14:textId="77777777" w:rsidR="00531E51" w:rsidRPr="004A0C12" w:rsidRDefault="00531E51" w:rsidP="00531E51">
      <w:pPr>
        <w:pStyle w:val="NoSpacing"/>
        <w:jc w:val="both"/>
        <w:rPr>
          <w:rFonts w:ascii="Garamond" w:hAnsi="Garamond"/>
        </w:rPr>
      </w:pPr>
    </w:p>
    <w:p w14:paraId="174A4535" w14:textId="77777777" w:rsidR="00F07997" w:rsidRPr="004A0C12" w:rsidRDefault="00F07997" w:rsidP="007A1FDC">
      <w:pPr>
        <w:pStyle w:val="PlainText1"/>
        <w:rPr>
          <w:rFonts w:ascii="Garamond" w:hAnsi="Garamond"/>
          <w:sz w:val="22"/>
          <w:szCs w:val="22"/>
        </w:rPr>
      </w:pPr>
    </w:p>
    <w:p w14:paraId="282721B7" w14:textId="77777777" w:rsidR="00F07997" w:rsidRPr="004A0C12" w:rsidRDefault="00F07997" w:rsidP="007A1FDC">
      <w:pPr>
        <w:pStyle w:val="PlainText1"/>
        <w:rPr>
          <w:rFonts w:ascii="Garamond" w:hAnsi="Garamond"/>
          <w:sz w:val="22"/>
          <w:szCs w:val="22"/>
        </w:rPr>
      </w:pPr>
    </w:p>
    <w:p w14:paraId="0A61F66E" w14:textId="77777777" w:rsidR="007A1FDC" w:rsidRPr="004A0C12" w:rsidRDefault="007A1FDC" w:rsidP="007A1FDC">
      <w:pPr>
        <w:pStyle w:val="PlainText1"/>
        <w:rPr>
          <w:rFonts w:ascii="Garamond" w:hAnsi="Garamond"/>
          <w:b/>
          <w:sz w:val="22"/>
          <w:szCs w:val="22"/>
        </w:rPr>
      </w:pPr>
      <w:r w:rsidRPr="004A0C12">
        <w:rPr>
          <w:rFonts w:ascii="Garamond" w:hAnsi="Garamond"/>
          <w:b/>
          <w:sz w:val="22"/>
          <w:szCs w:val="22"/>
        </w:rPr>
        <w:t>WAGNER-PEYSER ASSURANCES</w:t>
      </w:r>
    </w:p>
    <w:p w14:paraId="6B379EAB" w14:textId="77777777" w:rsidR="007A1FDC" w:rsidRPr="004A0C12" w:rsidRDefault="007A1FDC" w:rsidP="007A1FDC">
      <w:pPr>
        <w:pStyle w:val="PlainText1"/>
        <w:rPr>
          <w:rFonts w:ascii="Garamond" w:hAnsi="Garamond"/>
          <w:sz w:val="22"/>
          <w:szCs w:val="22"/>
        </w:rPr>
      </w:pPr>
    </w:p>
    <w:tbl>
      <w:tblPr>
        <w:tblW w:w="11286" w:type="dxa"/>
        <w:tblInd w:w="5" w:type="dxa"/>
        <w:tblLayout w:type="fixed"/>
        <w:tblLook w:val="0000" w:firstRow="0" w:lastRow="0" w:firstColumn="0" w:lastColumn="0" w:noHBand="0" w:noVBand="0"/>
      </w:tblPr>
      <w:tblGrid>
        <w:gridCol w:w="1230"/>
        <w:gridCol w:w="10056"/>
      </w:tblGrid>
      <w:tr w:rsidR="007A1FDC" w:rsidRPr="004A0C12" w14:paraId="51B16CAA" w14:textId="77777777" w:rsidTr="007A1FDC">
        <w:trPr>
          <w:cantSplit/>
          <w:trHeight w:val="351"/>
        </w:trPr>
        <w:tc>
          <w:tcPr>
            <w:tcW w:w="112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F59D" w14:textId="77777777" w:rsidR="007A1FDC" w:rsidRPr="004A0C12" w:rsidRDefault="007A1FDC" w:rsidP="007A1FDC">
            <w:pPr>
              <w:spacing w:after="0" w:line="240" w:lineRule="auto"/>
              <w:rPr>
                <w:rFonts w:ascii="Garamond" w:hAnsi="Garamond" w:cs="Times New Roman"/>
                <w:b/>
              </w:rPr>
            </w:pPr>
            <w:r w:rsidRPr="004A0C12">
              <w:rPr>
                <w:rFonts w:ascii="Garamond" w:hAnsi="Garamond" w:cs="Times New Roman"/>
                <w:b/>
              </w:rPr>
              <w:t xml:space="preserve">The State Plan must include assurances that: </w:t>
            </w:r>
          </w:p>
        </w:tc>
      </w:tr>
      <w:tr w:rsidR="007A1FDC" w:rsidRPr="004A0C12" w14:paraId="09A8422D" w14:textId="77777777" w:rsidTr="007A1FDC">
        <w:trPr>
          <w:cantSplit/>
          <w:trHeight w:val="903"/>
        </w:trPr>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A28D6D" w14:textId="77777777" w:rsidR="007A1FDC" w:rsidRPr="004A0C12" w:rsidRDefault="007A1FDC" w:rsidP="007A1FDC">
            <w:pPr>
              <w:spacing w:after="0" w:line="240" w:lineRule="auto"/>
              <w:ind w:left="360"/>
              <w:rPr>
                <w:rFonts w:ascii="Garamond" w:hAnsi="Garamond" w:cs="Times New Roman"/>
              </w:rPr>
            </w:pPr>
            <w:r w:rsidRPr="004A0C12">
              <w:rPr>
                <w:rFonts w:ascii="Garamond" w:hAnsi="Garamond" w:cs="Times New Roman"/>
              </w:rPr>
              <w:t>1.</w:t>
            </w:r>
          </w:p>
        </w:tc>
        <w:tc>
          <w:tcPr>
            <w:tcW w:w="100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185601" w14:textId="72C85897" w:rsidR="007A1FDC" w:rsidRPr="004A0C12" w:rsidRDefault="00C73130" w:rsidP="007A1FDC">
            <w:pPr>
              <w:spacing w:after="0" w:line="240" w:lineRule="auto"/>
              <w:rPr>
                <w:rFonts w:ascii="Garamond" w:hAnsi="Garamond" w:cs="Times New Roman"/>
              </w:rPr>
            </w:pPr>
            <w:r w:rsidRPr="004A0C12">
              <w:rPr>
                <w:rFonts w:ascii="Garamond" w:hAnsi="Garamond" w:cs="Times New Roman"/>
              </w:rPr>
              <w:t>The Wagner-Peyser Employment Service is co-located with one-stop centers or a plan and timeline has been developed to comply with this requirement within a reasonable amount of time. (sec 121(e)(3));</w:t>
            </w:r>
          </w:p>
        </w:tc>
      </w:tr>
      <w:tr w:rsidR="007A1FDC" w:rsidRPr="004A0C12" w14:paraId="5AB7AD5C" w14:textId="77777777" w:rsidTr="007A1FDC">
        <w:trPr>
          <w:cantSplit/>
          <w:trHeight w:val="351"/>
        </w:trPr>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FF7BB6" w14:textId="77777777" w:rsidR="007A1FDC" w:rsidRPr="004A0C12" w:rsidRDefault="007A1FDC" w:rsidP="007A1FDC">
            <w:pPr>
              <w:spacing w:after="0" w:line="240" w:lineRule="auto"/>
              <w:ind w:left="360"/>
              <w:rPr>
                <w:rFonts w:ascii="Garamond" w:hAnsi="Garamond" w:cs="Times New Roman"/>
              </w:rPr>
            </w:pPr>
          </w:p>
        </w:tc>
        <w:tc>
          <w:tcPr>
            <w:tcW w:w="100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9B3E8" w14:textId="77777777" w:rsidR="007A1FDC" w:rsidRPr="004A0C12" w:rsidRDefault="007A1FDC" w:rsidP="007A1FDC">
            <w:pPr>
              <w:spacing w:after="0" w:line="240" w:lineRule="auto"/>
              <w:rPr>
                <w:rFonts w:ascii="Garamond" w:hAnsi="Garamond" w:cs="Times New Roman"/>
              </w:rPr>
            </w:pPr>
          </w:p>
        </w:tc>
      </w:tr>
      <w:tr w:rsidR="007A1FDC" w:rsidRPr="004A0C12" w14:paraId="0C1B2383" w14:textId="77777777" w:rsidTr="007A1FDC">
        <w:trPr>
          <w:cantSplit/>
          <w:trHeight w:val="903"/>
        </w:trPr>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8299B5" w14:textId="77777777" w:rsidR="007A1FDC" w:rsidRPr="004A0C12" w:rsidRDefault="007A1FDC" w:rsidP="007A1FDC">
            <w:pPr>
              <w:spacing w:after="0" w:line="240" w:lineRule="auto"/>
              <w:ind w:left="360"/>
              <w:rPr>
                <w:rFonts w:ascii="Garamond" w:hAnsi="Garamond" w:cs="Times New Roman"/>
              </w:rPr>
            </w:pPr>
            <w:r w:rsidRPr="004A0C12">
              <w:rPr>
                <w:rFonts w:ascii="Garamond" w:hAnsi="Garamond" w:cs="Times New Roman"/>
              </w:rPr>
              <w:t>2.</w:t>
            </w:r>
          </w:p>
        </w:tc>
        <w:tc>
          <w:tcPr>
            <w:tcW w:w="100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F9530" w14:textId="662536A2" w:rsidR="007A1FDC" w:rsidRPr="004A0C12" w:rsidRDefault="00C73130" w:rsidP="007A1FDC">
            <w:pPr>
              <w:spacing w:after="0" w:line="240" w:lineRule="auto"/>
              <w:rPr>
                <w:rFonts w:ascii="Garamond" w:hAnsi="Garamond" w:cs="Times New Roman"/>
              </w:rPr>
            </w:pPr>
            <w:r w:rsidRPr="004A0C12">
              <w:rPr>
                <w:rFonts w:ascii="Garamond" w:hAnsi="Garamond" w:cs="Times New Roman"/>
              </w:rPr>
              <w:t>The State agency is complying with the requirements under 20 CFR 653.111 (State agency staffing requirements) if the State has significant MSFW one-stop centers;</w:t>
            </w:r>
          </w:p>
        </w:tc>
      </w:tr>
      <w:tr w:rsidR="007A1FDC" w:rsidRPr="004A0C12" w14:paraId="1DF0E944" w14:textId="77777777" w:rsidTr="007A1FDC">
        <w:trPr>
          <w:cantSplit/>
          <w:trHeight w:val="351"/>
        </w:trPr>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2E209A" w14:textId="77777777" w:rsidR="007A1FDC" w:rsidRPr="004A0C12" w:rsidRDefault="007A1FDC" w:rsidP="007A1FDC">
            <w:pPr>
              <w:spacing w:after="0" w:line="240" w:lineRule="auto"/>
              <w:ind w:left="360"/>
              <w:rPr>
                <w:rFonts w:ascii="Garamond" w:hAnsi="Garamond" w:cs="Times New Roman"/>
              </w:rPr>
            </w:pPr>
          </w:p>
        </w:tc>
        <w:tc>
          <w:tcPr>
            <w:tcW w:w="100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5669" w14:textId="77777777" w:rsidR="007A1FDC" w:rsidRPr="004A0C12" w:rsidRDefault="007A1FDC" w:rsidP="007A1FDC">
            <w:pPr>
              <w:spacing w:after="0" w:line="240" w:lineRule="auto"/>
              <w:rPr>
                <w:rFonts w:ascii="Garamond" w:hAnsi="Garamond" w:cs="Times New Roman"/>
              </w:rPr>
            </w:pPr>
          </w:p>
        </w:tc>
      </w:tr>
      <w:tr w:rsidR="007A1FDC" w:rsidRPr="004A0C12" w14:paraId="3121A300" w14:textId="77777777" w:rsidTr="007A1FDC">
        <w:trPr>
          <w:cantSplit/>
          <w:trHeight w:val="1504"/>
        </w:trPr>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19791" w14:textId="77777777" w:rsidR="007A1FDC" w:rsidRPr="004A0C12" w:rsidRDefault="007A1FDC" w:rsidP="007A1FDC">
            <w:pPr>
              <w:spacing w:after="0" w:line="240" w:lineRule="auto"/>
              <w:ind w:left="360"/>
              <w:rPr>
                <w:rFonts w:ascii="Garamond" w:hAnsi="Garamond" w:cs="Times New Roman"/>
              </w:rPr>
            </w:pPr>
            <w:r w:rsidRPr="004A0C12">
              <w:rPr>
                <w:rFonts w:ascii="Garamond" w:hAnsi="Garamond" w:cs="Times New Roman"/>
              </w:rPr>
              <w:t>3.</w:t>
            </w:r>
          </w:p>
        </w:tc>
        <w:tc>
          <w:tcPr>
            <w:tcW w:w="100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90628E" w14:textId="659FB40C" w:rsidR="007A1FDC" w:rsidRPr="004A0C12" w:rsidRDefault="00C73130" w:rsidP="007A1FDC">
            <w:pPr>
              <w:spacing w:after="0" w:line="240" w:lineRule="auto"/>
              <w:rPr>
                <w:rFonts w:ascii="Garamond" w:hAnsi="Garamond" w:cs="Times New Roman"/>
              </w:rPr>
            </w:pPr>
            <w:r w:rsidRPr="004A0C12">
              <w:rPr>
                <w:rFonts w:ascii="Garamond" w:hAnsi="Garamond" w:cs="Times New Roman"/>
              </w:rPr>
              <w:t>If a State Workforce Development Board, department, or agency administers State laws for vocational rehabilitation of persons with disabilities, that board, department, or agency cooperates with the agency that administers Wagner</w:t>
            </w:r>
            <w:r w:rsidR="00B157E4">
              <w:rPr>
                <w:rFonts w:ascii="Garamond" w:hAnsi="Garamond" w:cs="Times New Roman"/>
              </w:rPr>
              <w:t>-</w:t>
            </w:r>
            <w:r w:rsidRPr="004A0C12">
              <w:rPr>
                <w:rFonts w:ascii="Garamond" w:hAnsi="Garamond" w:cs="Times New Roman"/>
              </w:rPr>
              <w:t>Peyser services, Adult and Dislocated Worker programs and Youth Programs under Title I; and</w:t>
            </w:r>
          </w:p>
        </w:tc>
      </w:tr>
      <w:tr w:rsidR="007A1FDC" w:rsidRPr="004A0C12" w14:paraId="09EBEAB5" w14:textId="77777777" w:rsidTr="007A1FDC">
        <w:trPr>
          <w:cantSplit/>
          <w:trHeight w:val="351"/>
        </w:trPr>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7006D" w14:textId="77777777" w:rsidR="007A1FDC" w:rsidRPr="004A0C12" w:rsidRDefault="007A1FDC" w:rsidP="007A1FDC">
            <w:pPr>
              <w:spacing w:after="0" w:line="240" w:lineRule="auto"/>
              <w:ind w:left="360"/>
              <w:rPr>
                <w:rFonts w:ascii="Garamond" w:hAnsi="Garamond" w:cs="Times New Roman"/>
              </w:rPr>
            </w:pPr>
          </w:p>
        </w:tc>
        <w:tc>
          <w:tcPr>
            <w:tcW w:w="100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85619" w14:textId="77777777" w:rsidR="007A1FDC" w:rsidRPr="004A0C12" w:rsidRDefault="007A1FDC" w:rsidP="007A1FDC">
            <w:pPr>
              <w:spacing w:after="0" w:line="240" w:lineRule="auto"/>
              <w:rPr>
                <w:rFonts w:ascii="Garamond" w:hAnsi="Garamond" w:cs="Times New Roman"/>
              </w:rPr>
            </w:pPr>
          </w:p>
        </w:tc>
      </w:tr>
      <w:tr w:rsidR="007A1FDC" w:rsidRPr="004A0C12" w14:paraId="62E783BD" w14:textId="77777777" w:rsidTr="007A1FDC">
        <w:trPr>
          <w:cantSplit/>
          <w:trHeight w:val="903"/>
        </w:trPr>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7CB44" w14:textId="77777777" w:rsidR="007A1FDC" w:rsidRPr="004A0C12" w:rsidRDefault="007A1FDC" w:rsidP="007A1FDC">
            <w:pPr>
              <w:spacing w:after="0" w:line="240" w:lineRule="auto"/>
              <w:ind w:left="360"/>
              <w:rPr>
                <w:rFonts w:ascii="Garamond" w:hAnsi="Garamond" w:cs="Times New Roman"/>
              </w:rPr>
            </w:pPr>
            <w:r w:rsidRPr="004A0C12">
              <w:rPr>
                <w:rFonts w:ascii="Garamond" w:hAnsi="Garamond" w:cs="Times New Roman"/>
              </w:rPr>
              <w:t>4.</w:t>
            </w:r>
          </w:p>
        </w:tc>
        <w:tc>
          <w:tcPr>
            <w:tcW w:w="100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DBB4E" w14:textId="7EABFD32" w:rsidR="007A1FDC" w:rsidRPr="004A0C12" w:rsidRDefault="00C73130" w:rsidP="007A1FDC">
            <w:pPr>
              <w:spacing w:after="0" w:line="240" w:lineRule="auto"/>
              <w:rPr>
                <w:rFonts w:ascii="Garamond" w:hAnsi="Garamond" w:cs="Times New Roman"/>
              </w:rPr>
            </w:pPr>
            <w:r w:rsidRPr="004A0C12">
              <w:rPr>
                <w:rFonts w:ascii="Garamond" w:hAnsi="Garamond" w:cs="Times New Roman"/>
              </w:rPr>
              <w:t>State agency merit-based public employees provide Wagner-Peyser Act-funded labor exchange activities in accordance with Department of Labor regulations.</w:t>
            </w:r>
          </w:p>
        </w:tc>
      </w:tr>
    </w:tbl>
    <w:p w14:paraId="0BC778CB" w14:textId="77777777" w:rsidR="00C73130" w:rsidRDefault="00C73130" w:rsidP="007A1FDC">
      <w:pPr>
        <w:pStyle w:val="ListParagraph"/>
        <w:ind w:left="2880"/>
        <w:rPr>
          <w:rFonts w:ascii="Garamond" w:hAnsi="Garamond"/>
          <w:szCs w:val="22"/>
        </w:rPr>
      </w:pPr>
    </w:p>
    <w:p w14:paraId="7772538E" w14:textId="77777777" w:rsidR="00F6079B" w:rsidRDefault="00F6079B" w:rsidP="007A1FDC">
      <w:pPr>
        <w:pStyle w:val="ListParagraph"/>
        <w:ind w:left="2880"/>
        <w:rPr>
          <w:rFonts w:ascii="Garamond" w:hAnsi="Garamond"/>
          <w:szCs w:val="22"/>
        </w:rPr>
      </w:pPr>
    </w:p>
    <w:p w14:paraId="77FC735B" w14:textId="77777777" w:rsidR="00F6079B" w:rsidRDefault="00F6079B" w:rsidP="007A1FDC">
      <w:pPr>
        <w:pStyle w:val="ListParagraph"/>
        <w:ind w:left="2880"/>
        <w:rPr>
          <w:rFonts w:ascii="Garamond" w:hAnsi="Garamond"/>
          <w:szCs w:val="22"/>
        </w:rPr>
      </w:pPr>
    </w:p>
    <w:p w14:paraId="2AE2652B" w14:textId="77777777" w:rsidR="00F6079B" w:rsidRDefault="00F6079B" w:rsidP="007A1FDC">
      <w:pPr>
        <w:pStyle w:val="ListParagraph"/>
        <w:ind w:left="2880"/>
        <w:rPr>
          <w:rFonts w:ascii="Garamond" w:hAnsi="Garamond"/>
          <w:szCs w:val="22"/>
        </w:rPr>
      </w:pPr>
    </w:p>
    <w:p w14:paraId="4A4FE6E1" w14:textId="77777777" w:rsidR="00F6079B" w:rsidRDefault="00F6079B" w:rsidP="007A1FDC">
      <w:pPr>
        <w:pStyle w:val="ListParagraph"/>
        <w:ind w:left="2880"/>
        <w:rPr>
          <w:rFonts w:ascii="Garamond" w:hAnsi="Garamond"/>
          <w:szCs w:val="22"/>
        </w:rPr>
      </w:pPr>
    </w:p>
    <w:p w14:paraId="765931C8" w14:textId="77777777" w:rsidR="00F6079B" w:rsidRPr="004A0C12" w:rsidRDefault="00F6079B" w:rsidP="007A1FDC">
      <w:pPr>
        <w:pStyle w:val="ListParagraph"/>
        <w:ind w:left="2880"/>
        <w:rPr>
          <w:rFonts w:ascii="Garamond" w:hAnsi="Garamond"/>
          <w:szCs w:val="22"/>
        </w:rPr>
      </w:pPr>
    </w:p>
    <w:p w14:paraId="5FF57C6E" w14:textId="77777777" w:rsidR="007A1FDC" w:rsidRPr="00535D82" w:rsidRDefault="007A1FDC" w:rsidP="007A1FDC">
      <w:pPr>
        <w:pStyle w:val="Heading1"/>
        <w:rPr>
          <w:rFonts w:ascii="Garamond" w:hAnsi="Garamond"/>
        </w:rPr>
      </w:pPr>
      <w:bookmarkStart w:id="148" w:name="_Toc447276186"/>
      <w:proofErr w:type="gramStart"/>
      <w:r w:rsidRPr="00535D82">
        <w:rPr>
          <w:rFonts w:ascii="Garamond" w:hAnsi="Garamond"/>
        </w:rPr>
        <w:lastRenderedPageBreak/>
        <w:t>PART 6.</w:t>
      </w:r>
      <w:proofErr w:type="gramEnd"/>
      <w:r w:rsidRPr="00535D82">
        <w:rPr>
          <w:rFonts w:ascii="Garamond" w:hAnsi="Garamond"/>
        </w:rPr>
        <w:t xml:space="preserve"> ADULT EDUCATION AND LITERACY PROGRAMS</w:t>
      </w:r>
      <w:bookmarkEnd w:id="148"/>
      <w:r w:rsidRPr="00535D82">
        <w:rPr>
          <w:rFonts w:ascii="Garamond" w:hAnsi="Garamond"/>
        </w:rPr>
        <w:t xml:space="preserve"> </w:t>
      </w:r>
    </w:p>
    <w:p w14:paraId="67B37A13" w14:textId="77777777" w:rsidR="007A1FDC" w:rsidRPr="00535D82" w:rsidRDefault="007A1FDC" w:rsidP="007A1FDC">
      <w:pPr>
        <w:pStyle w:val="Heading2"/>
        <w:rPr>
          <w:rFonts w:ascii="Garamond" w:hAnsi="Garamond"/>
          <w:sz w:val="24"/>
          <w:szCs w:val="24"/>
        </w:rPr>
      </w:pPr>
      <w:bookmarkStart w:id="149" w:name="_Toc447276187"/>
      <w:r w:rsidRPr="00535D82">
        <w:rPr>
          <w:rFonts w:ascii="Garamond" w:hAnsi="Garamond"/>
          <w:sz w:val="24"/>
          <w:szCs w:val="24"/>
        </w:rPr>
        <w:t>ALIGNING OF CONTENT STANDARDS</w:t>
      </w:r>
      <w:bookmarkEnd w:id="149"/>
    </w:p>
    <w:p w14:paraId="6B5F1D3E" w14:textId="0D1B9E5B" w:rsidR="007A1FDC" w:rsidRPr="004A0C12" w:rsidRDefault="007A1FDC" w:rsidP="007A1FDC">
      <w:pPr>
        <w:spacing w:after="0" w:line="240" w:lineRule="auto"/>
        <w:jc w:val="both"/>
        <w:rPr>
          <w:rFonts w:ascii="Garamond" w:hAnsi="Garamond"/>
        </w:rPr>
      </w:pPr>
      <w:r w:rsidRPr="004A0C12">
        <w:rPr>
          <w:rFonts w:ascii="Garamond" w:hAnsi="Garamond"/>
        </w:rPr>
        <w:t xml:space="preserve">The Maryland Department of Labor, Licensing and Regulation (DLLR) </w:t>
      </w:r>
      <w:proofErr w:type="gramStart"/>
      <w:r w:rsidRPr="004A0C12">
        <w:rPr>
          <w:rFonts w:ascii="Garamond" w:hAnsi="Garamond"/>
        </w:rPr>
        <w:t>has</w:t>
      </w:r>
      <w:proofErr w:type="gramEnd"/>
      <w:r w:rsidR="00662D8A" w:rsidRPr="004A0C12">
        <w:rPr>
          <w:rFonts w:ascii="Garamond" w:hAnsi="Garamond"/>
        </w:rPr>
        <w:t xml:space="preserve"> adopted the College and Career Readiness</w:t>
      </w:r>
      <w:r w:rsidRPr="004A0C12">
        <w:rPr>
          <w:rFonts w:ascii="Garamond" w:hAnsi="Garamond"/>
        </w:rPr>
        <w:t xml:space="preserve"> Standards (CCRS) Standards for Adults to align with the State K-12 College and Career Readiness Standards.  The standards provide a rigorous education based on shared goals and expectations of what all Maryland high school graduates should know and be able to do in order to succeed in post</w:t>
      </w:r>
      <w:r w:rsidR="00BB5F3C" w:rsidRPr="004A0C12">
        <w:rPr>
          <w:rFonts w:ascii="Garamond" w:hAnsi="Garamond"/>
        </w:rPr>
        <w:t>-</w:t>
      </w:r>
      <w:r w:rsidRPr="004A0C12">
        <w:rPr>
          <w:rFonts w:ascii="Garamond" w:hAnsi="Garamond"/>
        </w:rPr>
        <w:t xml:space="preserve">secondary education and careers.  To ensure alignment, DLLR will:  </w:t>
      </w:r>
    </w:p>
    <w:p w14:paraId="3AF1B468" w14:textId="77777777" w:rsidR="007A1FDC" w:rsidRPr="004A0C12" w:rsidRDefault="007A1FDC" w:rsidP="007A1FDC">
      <w:pPr>
        <w:spacing w:after="0" w:line="240" w:lineRule="auto"/>
        <w:jc w:val="both"/>
        <w:rPr>
          <w:rFonts w:ascii="Garamond" w:hAnsi="Garamond"/>
        </w:rPr>
      </w:pPr>
    </w:p>
    <w:p w14:paraId="65A2CE60" w14:textId="26D42106" w:rsidR="007A1FDC" w:rsidRPr="004A0C12" w:rsidRDefault="007A1FDC" w:rsidP="00F733CF">
      <w:pPr>
        <w:numPr>
          <w:ilvl w:val="0"/>
          <w:numId w:val="107"/>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Conduct </w:t>
      </w:r>
      <w:r w:rsidR="00AA3F72" w:rsidRPr="004A0C12">
        <w:rPr>
          <w:rFonts w:ascii="Garamond" w:hAnsi="Garamond"/>
        </w:rPr>
        <w:t>an assessment</w:t>
      </w:r>
      <w:r w:rsidRPr="004A0C12">
        <w:rPr>
          <w:rFonts w:ascii="Garamond" w:hAnsi="Garamond"/>
        </w:rPr>
        <w:t xml:space="preserve"> to </w:t>
      </w:r>
      <w:r w:rsidR="00AA3F72" w:rsidRPr="004A0C12">
        <w:rPr>
          <w:rFonts w:ascii="Garamond" w:hAnsi="Garamond"/>
        </w:rPr>
        <w:t>determine local</w:t>
      </w:r>
      <w:r w:rsidRPr="004A0C12">
        <w:rPr>
          <w:rFonts w:ascii="Garamond" w:hAnsi="Garamond"/>
        </w:rPr>
        <w:t xml:space="preserve"> adult education program needs for full integration of CCRS into their practice.</w:t>
      </w:r>
    </w:p>
    <w:p w14:paraId="31D4157D" w14:textId="77777777" w:rsidR="007A1FDC" w:rsidRPr="004A0C12" w:rsidRDefault="007A1FDC" w:rsidP="00F733CF">
      <w:pPr>
        <w:numPr>
          <w:ilvl w:val="0"/>
          <w:numId w:val="107"/>
        </w:numPr>
        <w:tabs>
          <w:tab w:val="clear" w:pos="360"/>
          <w:tab w:val="num" w:pos="720"/>
        </w:tabs>
        <w:spacing w:after="0" w:line="240" w:lineRule="auto"/>
        <w:ind w:left="720" w:hanging="360"/>
        <w:jc w:val="both"/>
        <w:rPr>
          <w:rFonts w:ascii="Garamond" w:hAnsi="Garamond"/>
        </w:rPr>
      </w:pPr>
      <w:r w:rsidRPr="004A0C12">
        <w:rPr>
          <w:rFonts w:ascii="Garamond" w:hAnsi="Garamond"/>
        </w:rPr>
        <w:t>Gather data on effective models of statewide implementation.</w:t>
      </w:r>
    </w:p>
    <w:p w14:paraId="3049235E" w14:textId="77777777" w:rsidR="007A1FDC" w:rsidRPr="004A0C12" w:rsidRDefault="007A1FDC" w:rsidP="00F733CF">
      <w:pPr>
        <w:numPr>
          <w:ilvl w:val="0"/>
          <w:numId w:val="107"/>
        </w:numPr>
        <w:tabs>
          <w:tab w:val="clear" w:pos="360"/>
          <w:tab w:val="num" w:pos="720"/>
        </w:tabs>
        <w:spacing w:after="0" w:line="240" w:lineRule="auto"/>
        <w:ind w:left="720" w:hanging="360"/>
        <w:jc w:val="both"/>
        <w:rPr>
          <w:rFonts w:ascii="Garamond" w:hAnsi="Garamond"/>
        </w:rPr>
      </w:pPr>
      <w:r w:rsidRPr="004A0C12">
        <w:rPr>
          <w:rFonts w:ascii="Garamond" w:hAnsi="Garamond"/>
        </w:rPr>
        <w:t>Educate local adult education program leadership and instructional staff on the components of CCRS.</w:t>
      </w:r>
    </w:p>
    <w:p w14:paraId="00DEA784" w14:textId="77777777" w:rsidR="007A1FDC" w:rsidRPr="004A0C12" w:rsidRDefault="007A1FDC" w:rsidP="00F733CF">
      <w:pPr>
        <w:numPr>
          <w:ilvl w:val="0"/>
          <w:numId w:val="107"/>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Create and deliver professional development and disseminate best practices for implementation in local programs. </w:t>
      </w:r>
    </w:p>
    <w:p w14:paraId="78CD28AC" w14:textId="77777777" w:rsidR="007A1FDC" w:rsidRPr="004A0C12" w:rsidRDefault="007A1FDC" w:rsidP="00F733CF">
      <w:pPr>
        <w:numPr>
          <w:ilvl w:val="0"/>
          <w:numId w:val="107"/>
        </w:numPr>
        <w:tabs>
          <w:tab w:val="clear" w:pos="360"/>
          <w:tab w:val="num" w:pos="720"/>
        </w:tabs>
        <w:spacing w:after="0" w:line="240" w:lineRule="auto"/>
        <w:ind w:left="720" w:hanging="360"/>
        <w:jc w:val="both"/>
        <w:rPr>
          <w:rFonts w:ascii="Garamond" w:hAnsi="Garamond"/>
        </w:rPr>
      </w:pPr>
      <w:r w:rsidRPr="004A0C12">
        <w:rPr>
          <w:rFonts w:ascii="Garamond" w:hAnsi="Garamond"/>
        </w:rPr>
        <w:t>Provide technical assistance to local adult education programs to determine critical shifts in instruction necessary to align with the CCRS and current high school equivalency assessments.</w:t>
      </w:r>
    </w:p>
    <w:p w14:paraId="719E57C0" w14:textId="77777777" w:rsidR="007A1FDC" w:rsidRPr="00535D82" w:rsidRDefault="007A1FDC" w:rsidP="007A1FDC">
      <w:pPr>
        <w:pStyle w:val="Heading2"/>
        <w:rPr>
          <w:rFonts w:ascii="Garamond" w:hAnsi="Garamond"/>
          <w:sz w:val="24"/>
          <w:szCs w:val="24"/>
        </w:rPr>
      </w:pPr>
      <w:bookmarkStart w:id="150" w:name="_Toc447276188"/>
      <w:r w:rsidRPr="00535D82">
        <w:rPr>
          <w:rFonts w:ascii="Garamond" w:hAnsi="Garamond"/>
          <w:sz w:val="24"/>
          <w:szCs w:val="24"/>
        </w:rPr>
        <w:t>LOCAL ACTIVITIES</w:t>
      </w:r>
      <w:bookmarkEnd w:id="150"/>
      <w:r w:rsidRPr="00535D82">
        <w:rPr>
          <w:rFonts w:ascii="Garamond" w:hAnsi="Garamond"/>
          <w:sz w:val="24"/>
          <w:szCs w:val="24"/>
        </w:rPr>
        <w:t xml:space="preserve"> </w:t>
      </w:r>
    </w:p>
    <w:p w14:paraId="62996380" w14:textId="79256848" w:rsidR="007A1FDC" w:rsidRPr="004A0C12" w:rsidRDefault="007A1FDC" w:rsidP="007A1FDC">
      <w:pPr>
        <w:spacing w:after="0" w:line="240" w:lineRule="auto"/>
        <w:jc w:val="both"/>
        <w:rPr>
          <w:rFonts w:ascii="Garamond" w:hAnsi="Garamond"/>
        </w:rPr>
      </w:pPr>
      <w:r w:rsidRPr="004A0C12">
        <w:rPr>
          <w:rFonts w:ascii="Garamond" w:hAnsi="Garamond"/>
        </w:rPr>
        <w:t>Maryland will award grants to eligible providers through a competitive application process to establish or operate programs that provide adult education and literacy activities.  The application process will be open to eligible providers for seamless delivery of services, ensuring that services are available in every jurisdiction based on level of need.  The services provided will focus on the adult educatio</w:t>
      </w:r>
      <w:r w:rsidR="00662D8A" w:rsidRPr="004A0C12">
        <w:rPr>
          <w:rFonts w:ascii="Garamond" w:hAnsi="Garamond"/>
        </w:rPr>
        <w:t>n purposes described in</w:t>
      </w:r>
      <w:r w:rsidRPr="004A0C12">
        <w:rPr>
          <w:rFonts w:ascii="Garamond" w:hAnsi="Garamond"/>
        </w:rPr>
        <w:t xml:space="preserve"> the Adult Ed</w:t>
      </w:r>
      <w:r w:rsidR="00662D8A" w:rsidRPr="004A0C12">
        <w:rPr>
          <w:rFonts w:ascii="Garamond" w:hAnsi="Garamond"/>
        </w:rPr>
        <w:t>ucation and Family Literacy Act, otherwise referred to as Title II</w:t>
      </w:r>
      <w:r w:rsidRPr="004A0C12">
        <w:rPr>
          <w:rFonts w:ascii="Garamond" w:hAnsi="Garamond"/>
        </w:rPr>
        <w:t xml:space="preserve"> of WIOA, including helping adults to become literate and obtain the knowledge and skills necessary for employment and self-sufficiency, assisting with their children’s educational development, attaining a secondary school diploma and entering post-secondary education or training.</w:t>
      </w:r>
      <w:r w:rsidR="00662D8A" w:rsidRPr="004A0C12">
        <w:rPr>
          <w:rFonts w:ascii="Garamond" w:hAnsi="Garamond"/>
        </w:rPr>
        <w:t xml:space="preserve"> </w:t>
      </w:r>
    </w:p>
    <w:p w14:paraId="318AFDFE" w14:textId="77777777" w:rsidR="007A1FDC" w:rsidRPr="004A0C12" w:rsidRDefault="007A1FDC" w:rsidP="007A1FDC">
      <w:pPr>
        <w:spacing w:after="0" w:line="240" w:lineRule="auto"/>
        <w:jc w:val="both"/>
        <w:rPr>
          <w:rFonts w:ascii="Garamond" w:hAnsi="Garamond"/>
        </w:rPr>
      </w:pPr>
    </w:p>
    <w:p w14:paraId="2B1E8E2A" w14:textId="4E40AC69" w:rsidR="00662D8A" w:rsidRPr="004A0C12" w:rsidRDefault="00662D8A" w:rsidP="007A1FDC">
      <w:pPr>
        <w:spacing w:after="0" w:line="240" w:lineRule="auto"/>
        <w:jc w:val="both"/>
        <w:rPr>
          <w:rFonts w:ascii="Garamond" w:hAnsi="Garamond"/>
        </w:rPr>
      </w:pPr>
      <w:r w:rsidRPr="004A0C12">
        <w:rPr>
          <w:rFonts w:ascii="Garamond" w:hAnsi="Garamond"/>
        </w:rPr>
        <w:t xml:space="preserve">To that end, the State will ensure that: </w:t>
      </w:r>
    </w:p>
    <w:p w14:paraId="3C3EC09B" w14:textId="77777777" w:rsidR="007A1FDC" w:rsidRPr="004A0C12" w:rsidRDefault="007A1FDC" w:rsidP="00F733CF">
      <w:pPr>
        <w:numPr>
          <w:ilvl w:val="0"/>
          <w:numId w:val="108"/>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Adult basic education classes will provide instruction for adults with low basic skills, low educational attainment, and help the most vulnerable adults to gain access to services that they need. </w:t>
      </w:r>
    </w:p>
    <w:p w14:paraId="4E6FD126" w14:textId="4BA0C6E6" w:rsidR="007A1FDC" w:rsidRPr="004A0C12" w:rsidRDefault="007A1FDC" w:rsidP="00F733CF">
      <w:pPr>
        <w:numPr>
          <w:ilvl w:val="0"/>
          <w:numId w:val="108"/>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Adult secondary education instruction will </w:t>
      </w:r>
      <w:r w:rsidR="00662D8A" w:rsidRPr="004A0C12">
        <w:rPr>
          <w:rFonts w:ascii="Garamond" w:hAnsi="Garamond"/>
        </w:rPr>
        <w:t xml:space="preserve">provide </w:t>
      </w:r>
      <w:r w:rsidRPr="004A0C12">
        <w:rPr>
          <w:rFonts w:ascii="Garamond" w:hAnsi="Garamond"/>
        </w:rPr>
        <w:t>students functioning at the adult secondary education level in preparation for a high school diploma through the GED® or the National External Diploma Program (NEDP) and transition to post</w:t>
      </w:r>
      <w:r w:rsidR="00662D8A" w:rsidRPr="004A0C12">
        <w:rPr>
          <w:rFonts w:ascii="Garamond" w:hAnsi="Garamond"/>
        </w:rPr>
        <w:t>-</w:t>
      </w:r>
      <w:r w:rsidRPr="004A0C12">
        <w:rPr>
          <w:rFonts w:ascii="Garamond" w:hAnsi="Garamond"/>
        </w:rPr>
        <w:t>secondary education and employment.</w:t>
      </w:r>
    </w:p>
    <w:p w14:paraId="32B78CA7" w14:textId="0F8A6712" w:rsidR="007A1FDC" w:rsidRPr="004A0C12" w:rsidRDefault="007A1FDC" w:rsidP="00F733CF">
      <w:pPr>
        <w:numPr>
          <w:ilvl w:val="0"/>
          <w:numId w:val="108"/>
        </w:numPr>
        <w:tabs>
          <w:tab w:val="clear" w:pos="360"/>
          <w:tab w:val="num" w:pos="720"/>
        </w:tabs>
        <w:spacing w:after="0" w:line="240" w:lineRule="auto"/>
        <w:ind w:left="720" w:hanging="360"/>
        <w:jc w:val="both"/>
        <w:rPr>
          <w:rFonts w:ascii="Garamond" w:hAnsi="Garamond"/>
        </w:rPr>
      </w:pPr>
      <w:r w:rsidRPr="004A0C12">
        <w:rPr>
          <w:rFonts w:ascii="Garamond" w:hAnsi="Garamond"/>
        </w:rPr>
        <w:t>English language acquisition will assist eligible learners to achieve the competence in reading, writing, speaking and comprehension of the English language and math skills needed to attain a high school credential and transition to post</w:t>
      </w:r>
      <w:r w:rsidR="00662D8A" w:rsidRPr="004A0C12">
        <w:rPr>
          <w:rFonts w:ascii="Garamond" w:hAnsi="Garamond"/>
        </w:rPr>
        <w:t>-</w:t>
      </w:r>
      <w:r w:rsidRPr="004A0C12">
        <w:rPr>
          <w:rFonts w:ascii="Garamond" w:hAnsi="Garamond"/>
        </w:rPr>
        <w:t>secondary education and employment</w:t>
      </w:r>
    </w:p>
    <w:p w14:paraId="469BA115" w14:textId="77777777" w:rsidR="007A1FDC" w:rsidRPr="004A0C12" w:rsidRDefault="007A1FDC" w:rsidP="00F733CF">
      <w:pPr>
        <w:numPr>
          <w:ilvl w:val="0"/>
          <w:numId w:val="108"/>
        </w:numPr>
        <w:tabs>
          <w:tab w:val="clear" w:pos="360"/>
          <w:tab w:val="num" w:pos="720"/>
        </w:tabs>
        <w:spacing w:after="0" w:line="240" w:lineRule="auto"/>
        <w:ind w:left="720" w:hanging="360"/>
        <w:jc w:val="both"/>
        <w:rPr>
          <w:rFonts w:ascii="Garamond" w:hAnsi="Garamond"/>
        </w:rPr>
      </w:pPr>
      <w:r w:rsidRPr="004A0C12">
        <w:rPr>
          <w:rFonts w:ascii="Garamond" w:hAnsi="Garamond"/>
        </w:rPr>
        <w:t>All education will incorporate evidence-based practices, including the essential components of reading instruction to ensure that participants achieve learning gains and contextualized content including workforce preparation skills and integrated education and workforce training.</w:t>
      </w:r>
    </w:p>
    <w:p w14:paraId="5B7F883B" w14:textId="441F52F8" w:rsidR="007A1FDC" w:rsidRPr="00535D82" w:rsidRDefault="00662D8A" w:rsidP="007A1FDC">
      <w:pPr>
        <w:pStyle w:val="Heading2"/>
        <w:rPr>
          <w:rFonts w:ascii="Garamond" w:hAnsi="Garamond"/>
          <w:sz w:val="24"/>
          <w:szCs w:val="24"/>
        </w:rPr>
      </w:pPr>
      <w:bookmarkStart w:id="151" w:name="_Toc447276189"/>
      <w:r w:rsidRPr="00535D82">
        <w:rPr>
          <w:rFonts w:ascii="Garamond" w:hAnsi="Garamond"/>
          <w:sz w:val="24"/>
          <w:szCs w:val="24"/>
        </w:rPr>
        <w:t>Workplace Adult Education and L</w:t>
      </w:r>
      <w:r w:rsidR="007A1FDC" w:rsidRPr="00535D82">
        <w:rPr>
          <w:rFonts w:ascii="Garamond" w:hAnsi="Garamond"/>
          <w:sz w:val="24"/>
          <w:szCs w:val="24"/>
        </w:rPr>
        <w:t xml:space="preserve">iteracy </w:t>
      </w:r>
      <w:r w:rsidRPr="00535D82">
        <w:rPr>
          <w:rFonts w:ascii="Garamond" w:hAnsi="Garamond"/>
          <w:sz w:val="24"/>
          <w:szCs w:val="24"/>
        </w:rPr>
        <w:t>A</w:t>
      </w:r>
      <w:r w:rsidR="007A1FDC" w:rsidRPr="00535D82">
        <w:rPr>
          <w:rFonts w:ascii="Garamond" w:hAnsi="Garamond"/>
          <w:sz w:val="24"/>
          <w:szCs w:val="24"/>
        </w:rPr>
        <w:t>ctivities</w:t>
      </w:r>
      <w:bookmarkEnd w:id="151"/>
    </w:p>
    <w:p w14:paraId="469A24F6" w14:textId="622F0086" w:rsidR="007A1FDC" w:rsidRPr="004A0C12" w:rsidRDefault="007A1FDC" w:rsidP="007A1FDC">
      <w:pPr>
        <w:spacing w:after="0" w:line="240" w:lineRule="auto"/>
        <w:jc w:val="both"/>
        <w:rPr>
          <w:rFonts w:ascii="Garamond" w:hAnsi="Garamond"/>
        </w:rPr>
      </w:pPr>
      <w:r w:rsidRPr="004A0C12">
        <w:rPr>
          <w:rFonts w:ascii="Garamond" w:hAnsi="Garamond"/>
        </w:rPr>
        <w:t>Workplace adult education and literacy activities will be offered by eligible providers in collaboration with an employer or employee organization at a workplace or an off-site location. These programs will be designed to improve the productivity of the workforce:</w:t>
      </w:r>
    </w:p>
    <w:p w14:paraId="2288CFEE" w14:textId="77777777" w:rsidR="007A1FDC" w:rsidRPr="004A0C12" w:rsidRDefault="007A1FDC" w:rsidP="007A1FDC">
      <w:pPr>
        <w:spacing w:after="0" w:line="240" w:lineRule="auto"/>
        <w:jc w:val="both"/>
        <w:rPr>
          <w:rFonts w:ascii="Garamond" w:hAnsi="Garamond"/>
        </w:rPr>
      </w:pPr>
    </w:p>
    <w:p w14:paraId="29ADD926" w14:textId="4FC126A4" w:rsidR="00AA3F72" w:rsidRPr="004A0C12" w:rsidRDefault="007A1FDC" w:rsidP="00232F09">
      <w:pPr>
        <w:pStyle w:val="ListParagraph"/>
        <w:numPr>
          <w:ilvl w:val="0"/>
          <w:numId w:val="204"/>
        </w:numPr>
        <w:jc w:val="both"/>
        <w:rPr>
          <w:rFonts w:ascii="Garamond" w:hAnsi="Garamond"/>
          <w:szCs w:val="22"/>
        </w:rPr>
      </w:pPr>
      <w:r w:rsidRPr="004A0C12">
        <w:rPr>
          <w:rFonts w:ascii="Garamond" w:hAnsi="Garamond"/>
          <w:szCs w:val="22"/>
        </w:rPr>
        <w:t>Adult education programs will offer workplace literacy instruction in basic skills, GED</w:t>
      </w:r>
      <w:r w:rsidR="008E59E3" w:rsidRPr="004A0C12">
        <w:rPr>
          <w:rFonts w:ascii="Garamond" w:hAnsi="Garamond"/>
          <w:szCs w:val="22"/>
        </w:rPr>
        <w:t>®</w:t>
      </w:r>
      <w:r w:rsidRPr="004A0C12">
        <w:rPr>
          <w:rFonts w:ascii="Garamond" w:hAnsi="Garamond"/>
          <w:szCs w:val="22"/>
        </w:rPr>
        <w:t xml:space="preserve"> preparation, English language skills and Integrated E</w:t>
      </w:r>
      <w:r w:rsidR="00662D8A" w:rsidRPr="004A0C12">
        <w:rPr>
          <w:rFonts w:ascii="Garamond" w:hAnsi="Garamond"/>
          <w:szCs w:val="22"/>
        </w:rPr>
        <w:t xml:space="preserve">nglish </w:t>
      </w:r>
      <w:r w:rsidR="00493F1A" w:rsidRPr="004A0C12">
        <w:rPr>
          <w:rFonts w:ascii="Garamond" w:hAnsi="Garamond"/>
          <w:szCs w:val="22"/>
        </w:rPr>
        <w:t>Literacy</w:t>
      </w:r>
      <w:r w:rsidRPr="004A0C12">
        <w:rPr>
          <w:rFonts w:ascii="Garamond" w:hAnsi="Garamond"/>
          <w:szCs w:val="22"/>
        </w:rPr>
        <w:t>/Civics in partnership with businesses, to improve the skills and productivity of workers.</w:t>
      </w:r>
    </w:p>
    <w:p w14:paraId="3A214999" w14:textId="0761FF4D" w:rsidR="007A1FDC" w:rsidRPr="004A0C12" w:rsidRDefault="007A1FDC" w:rsidP="00F733CF">
      <w:pPr>
        <w:numPr>
          <w:ilvl w:val="0"/>
          <w:numId w:val="109"/>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Programs will collaborate with local Workforce Investment Boards, American Job Centers and other workforce partners to market workplace literacy to businesses, including through the </w:t>
      </w:r>
      <w:r w:rsidR="00662D8A" w:rsidRPr="004A0C12">
        <w:rPr>
          <w:rFonts w:ascii="Garamond" w:hAnsi="Garamond"/>
        </w:rPr>
        <w:t>MWE</w:t>
      </w:r>
      <w:r w:rsidRPr="004A0C12">
        <w:rPr>
          <w:rFonts w:ascii="Garamond" w:hAnsi="Garamond"/>
        </w:rPr>
        <w:t xml:space="preserve">. </w:t>
      </w:r>
    </w:p>
    <w:p w14:paraId="2A115869" w14:textId="77777777" w:rsidR="007A1FDC" w:rsidRPr="004A0C12" w:rsidRDefault="007A1FDC" w:rsidP="00F733CF">
      <w:pPr>
        <w:numPr>
          <w:ilvl w:val="0"/>
          <w:numId w:val="109"/>
        </w:numPr>
        <w:tabs>
          <w:tab w:val="clear" w:pos="360"/>
          <w:tab w:val="num" w:pos="720"/>
        </w:tabs>
        <w:spacing w:after="0" w:line="240" w:lineRule="auto"/>
        <w:ind w:left="720" w:hanging="360"/>
        <w:jc w:val="both"/>
        <w:rPr>
          <w:rFonts w:ascii="Garamond" w:hAnsi="Garamond"/>
        </w:rPr>
      </w:pPr>
      <w:r w:rsidRPr="004A0C12">
        <w:rPr>
          <w:rFonts w:ascii="Garamond" w:hAnsi="Garamond"/>
        </w:rPr>
        <w:t>Programs may be approved to use a portion of instructional funding for workplace literacy instruction and negotiate payment or in-kind services from the business partner.  Workplace education activities are also an allowable activity for Title I incumbent worker training</w:t>
      </w:r>
    </w:p>
    <w:p w14:paraId="76798836" w14:textId="77777777" w:rsidR="007A1FDC" w:rsidRPr="004A0C12" w:rsidRDefault="007A1FDC" w:rsidP="00F733CF">
      <w:pPr>
        <w:numPr>
          <w:ilvl w:val="0"/>
          <w:numId w:val="109"/>
        </w:numPr>
        <w:tabs>
          <w:tab w:val="clear" w:pos="360"/>
          <w:tab w:val="num" w:pos="720"/>
        </w:tabs>
        <w:spacing w:after="0" w:line="240" w:lineRule="auto"/>
        <w:ind w:left="720" w:hanging="360"/>
        <w:jc w:val="both"/>
        <w:rPr>
          <w:rFonts w:ascii="Garamond" w:hAnsi="Garamond"/>
        </w:rPr>
      </w:pPr>
      <w:r w:rsidRPr="004A0C12">
        <w:rPr>
          <w:rFonts w:ascii="Garamond" w:hAnsi="Garamond"/>
        </w:rPr>
        <w:lastRenderedPageBreak/>
        <w:t xml:space="preserve">The state will provide professional development/technical assistance in workplace literacy for local adult education programs. </w:t>
      </w:r>
    </w:p>
    <w:p w14:paraId="2F6B782E" w14:textId="7B67F1F7" w:rsidR="007A1FDC" w:rsidRPr="00535D82" w:rsidRDefault="00662D8A" w:rsidP="007A1FDC">
      <w:pPr>
        <w:pStyle w:val="Heading2"/>
        <w:rPr>
          <w:rFonts w:ascii="Garamond" w:hAnsi="Garamond"/>
          <w:sz w:val="24"/>
          <w:szCs w:val="24"/>
        </w:rPr>
      </w:pPr>
      <w:bookmarkStart w:id="152" w:name="_Toc447276190"/>
      <w:r w:rsidRPr="00535D82">
        <w:rPr>
          <w:rFonts w:ascii="Garamond" w:hAnsi="Garamond"/>
          <w:sz w:val="24"/>
          <w:szCs w:val="24"/>
        </w:rPr>
        <w:t>Family Literacy A</w:t>
      </w:r>
      <w:r w:rsidR="007A1FDC" w:rsidRPr="00535D82">
        <w:rPr>
          <w:rFonts w:ascii="Garamond" w:hAnsi="Garamond"/>
          <w:sz w:val="24"/>
          <w:szCs w:val="24"/>
        </w:rPr>
        <w:t>ctivities</w:t>
      </w:r>
      <w:bookmarkEnd w:id="152"/>
    </w:p>
    <w:p w14:paraId="48EE3A3A" w14:textId="039C851C" w:rsidR="007A1FDC" w:rsidRPr="004A0C12" w:rsidRDefault="007A1FDC" w:rsidP="007A1FDC">
      <w:pPr>
        <w:spacing w:after="0" w:line="240" w:lineRule="auto"/>
        <w:jc w:val="both"/>
        <w:rPr>
          <w:rFonts w:ascii="Garamond" w:hAnsi="Garamond"/>
        </w:rPr>
      </w:pPr>
      <w:r w:rsidRPr="004A0C12">
        <w:rPr>
          <w:rFonts w:ascii="Garamond" w:hAnsi="Garamond"/>
        </w:rPr>
        <w:t>Family literacy services will assist adult</w:t>
      </w:r>
      <w:r w:rsidR="00AA3F72" w:rsidRPr="004A0C12">
        <w:rPr>
          <w:rFonts w:ascii="Garamond" w:hAnsi="Garamond"/>
        </w:rPr>
        <w:t>s</w:t>
      </w:r>
      <w:r w:rsidRPr="004A0C12">
        <w:rPr>
          <w:rFonts w:ascii="Garamond" w:hAnsi="Garamond"/>
        </w:rPr>
        <w:t xml:space="preserve"> who are parents and family members to acquire the education and skills needed to become full partners in the education of their children</w:t>
      </w:r>
      <w:r w:rsidR="00662D8A" w:rsidRPr="004A0C12">
        <w:rPr>
          <w:rFonts w:ascii="Garamond" w:hAnsi="Garamond"/>
        </w:rPr>
        <w:t>. These services will also ensure that these customers</w:t>
      </w:r>
      <w:r w:rsidRPr="004A0C12">
        <w:rPr>
          <w:rFonts w:ascii="Garamond" w:hAnsi="Garamond"/>
        </w:rPr>
        <w:t xml:space="preserve"> attain the educational credentials needed to attain employment and increased economic opportunities for their family.</w:t>
      </w:r>
    </w:p>
    <w:p w14:paraId="763CA1C7" w14:textId="77777777" w:rsidR="007A1FDC" w:rsidRPr="004A0C12" w:rsidRDefault="007A1FDC" w:rsidP="007A1FDC">
      <w:pPr>
        <w:spacing w:after="0" w:line="240" w:lineRule="auto"/>
        <w:jc w:val="both"/>
        <w:rPr>
          <w:rFonts w:ascii="Garamond" w:hAnsi="Garamond"/>
        </w:rPr>
      </w:pPr>
    </w:p>
    <w:p w14:paraId="0F173FEA" w14:textId="4515F11E" w:rsidR="007A1FDC" w:rsidRPr="004A0C12" w:rsidRDefault="007A1FDC" w:rsidP="007A1FDC">
      <w:pPr>
        <w:spacing w:after="0" w:line="240" w:lineRule="auto"/>
        <w:jc w:val="both"/>
        <w:rPr>
          <w:rFonts w:ascii="Garamond" w:hAnsi="Garamond"/>
        </w:rPr>
      </w:pPr>
      <w:r w:rsidRPr="004A0C12">
        <w:rPr>
          <w:rFonts w:ascii="Garamond" w:hAnsi="Garamond"/>
        </w:rPr>
        <w:t>Family literacy services require instruction in collaboration with an approved family literacy partner program. Services must be provided to families with at least one eligible parent of a child aged birth through 16.  This model will continue to address the basic fou</w:t>
      </w:r>
      <w:r w:rsidR="00662D8A" w:rsidRPr="004A0C12">
        <w:rPr>
          <w:rFonts w:ascii="Garamond" w:hAnsi="Garamond"/>
        </w:rPr>
        <w:t>r components of family literacy;</w:t>
      </w:r>
      <w:r w:rsidRPr="004A0C12">
        <w:rPr>
          <w:rFonts w:ascii="Garamond" w:hAnsi="Garamond"/>
        </w:rPr>
        <w:t xml:space="preserve"> however, there will be an emphasis on developing an educated, literate and well-trained workforce.  Funds are expected to be used to improve econom</w:t>
      </w:r>
      <w:r w:rsidR="00662D8A" w:rsidRPr="004A0C12">
        <w:rPr>
          <w:rFonts w:ascii="Garamond" w:hAnsi="Garamond"/>
        </w:rPr>
        <w:t xml:space="preserve">ic opportunities for the </w:t>
      </w:r>
      <w:r w:rsidRPr="004A0C12">
        <w:rPr>
          <w:rFonts w:ascii="Garamond" w:hAnsi="Garamond"/>
        </w:rPr>
        <w:t>family</w:t>
      </w:r>
      <w:r w:rsidR="00662D8A" w:rsidRPr="004A0C12">
        <w:rPr>
          <w:rFonts w:ascii="Garamond" w:hAnsi="Garamond"/>
        </w:rPr>
        <w:t xml:space="preserve"> as a whole</w:t>
      </w:r>
      <w:r w:rsidRPr="004A0C12">
        <w:rPr>
          <w:rFonts w:ascii="Garamond" w:hAnsi="Garamond"/>
        </w:rPr>
        <w:t>.</w:t>
      </w:r>
    </w:p>
    <w:p w14:paraId="09FBA7C9" w14:textId="77777777" w:rsidR="007A1FDC" w:rsidRPr="004A0C12" w:rsidRDefault="007A1FDC" w:rsidP="007A1FDC">
      <w:pPr>
        <w:spacing w:after="0" w:line="240" w:lineRule="auto"/>
        <w:jc w:val="both"/>
        <w:rPr>
          <w:rFonts w:ascii="Garamond" w:hAnsi="Garamond"/>
        </w:rPr>
      </w:pPr>
    </w:p>
    <w:p w14:paraId="16609134" w14:textId="312CFD54" w:rsidR="007A1FDC" w:rsidRPr="004A0C12" w:rsidRDefault="007A1FDC" w:rsidP="00C93B8D">
      <w:pPr>
        <w:spacing w:after="0" w:line="240" w:lineRule="auto"/>
        <w:jc w:val="both"/>
        <w:rPr>
          <w:rFonts w:ascii="Garamond" w:hAnsi="Garamond"/>
        </w:rPr>
      </w:pPr>
      <w:r w:rsidRPr="004A0C12">
        <w:rPr>
          <w:rFonts w:ascii="Garamond" w:hAnsi="Garamond"/>
        </w:rPr>
        <w:t>The expectation of local providers will be to move participants closer to achieving the goal of economic self- sufficiency through participation in activities designed to improve academic, critical thinking and dig</w:t>
      </w:r>
      <w:r w:rsidR="00662D8A" w:rsidRPr="004A0C12">
        <w:rPr>
          <w:rFonts w:ascii="Garamond" w:hAnsi="Garamond"/>
        </w:rPr>
        <w:t>ital literacy skills</w:t>
      </w:r>
      <w:r w:rsidRPr="004A0C12">
        <w:rPr>
          <w:rFonts w:ascii="Garamond" w:hAnsi="Garamond"/>
        </w:rPr>
        <w:t>.  Additionally, children’s activities must be designed, delivered and sup</w:t>
      </w:r>
      <w:r w:rsidR="00C93B8D" w:rsidRPr="004A0C12">
        <w:rPr>
          <w:rFonts w:ascii="Garamond" w:hAnsi="Garamond"/>
        </w:rPr>
        <w:t>ported by an approved provider.</w:t>
      </w:r>
    </w:p>
    <w:p w14:paraId="11AF40CD" w14:textId="77777777" w:rsidR="007A1FDC" w:rsidRPr="00535D82" w:rsidRDefault="007A1FDC" w:rsidP="007A1FDC">
      <w:pPr>
        <w:pStyle w:val="Heading2"/>
        <w:rPr>
          <w:rFonts w:ascii="Garamond" w:hAnsi="Garamond"/>
          <w:sz w:val="24"/>
          <w:szCs w:val="24"/>
        </w:rPr>
      </w:pPr>
      <w:bookmarkStart w:id="153" w:name="_Toc447276191"/>
      <w:r w:rsidRPr="00535D82">
        <w:rPr>
          <w:rFonts w:ascii="Garamond" w:hAnsi="Garamond"/>
          <w:sz w:val="24"/>
          <w:szCs w:val="24"/>
        </w:rPr>
        <w:t>English Language Acquisition Activities</w:t>
      </w:r>
      <w:bookmarkEnd w:id="153"/>
    </w:p>
    <w:p w14:paraId="0B55A1D6" w14:textId="77777777" w:rsidR="007A1FDC" w:rsidRPr="004A0C12" w:rsidRDefault="007A1FDC" w:rsidP="007A1FDC">
      <w:pPr>
        <w:spacing w:after="0" w:line="240" w:lineRule="auto"/>
        <w:jc w:val="both"/>
        <w:rPr>
          <w:rFonts w:ascii="Garamond" w:hAnsi="Garamond"/>
        </w:rPr>
      </w:pPr>
      <w:r w:rsidRPr="004A0C12">
        <w:rPr>
          <w:rFonts w:ascii="Garamond" w:hAnsi="Garamond"/>
        </w:rPr>
        <w:t>Maryland will award grants to eligible providers for the delivery of English Language instruction which assists adult immigrants and other English language learners to improve reading, writing, speaking and understanding English.  Curriculum will be expanded to include basic numeracy and mathematics vocabulary, and to provide transitions to</w:t>
      </w:r>
      <w:r w:rsidR="00C93B8D" w:rsidRPr="004A0C12">
        <w:rPr>
          <w:rFonts w:ascii="Garamond" w:hAnsi="Garamond"/>
        </w:rPr>
        <w:t xml:space="preserve"> Adult Basic Education classes.</w:t>
      </w:r>
    </w:p>
    <w:p w14:paraId="6F2E4C68" w14:textId="731ADFC9" w:rsidR="007A1FDC" w:rsidRPr="00535D82" w:rsidRDefault="007A1FDC" w:rsidP="007A1FDC">
      <w:pPr>
        <w:pStyle w:val="Heading2"/>
        <w:rPr>
          <w:rFonts w:ascii="Garamond" w:hAnsi="Garamond"/>
          <w:sz w:val="24"/>
          <w:szCs w:val="24"/>
        </w:rPr>
      </w:pPr>
      <w:bookmarkStart w:id="154" w:name="_Toc447276192"/>
      <w:r w:rsidRPr="00535D82">
        <w:rPr>
          <w:rFonts w:ascii="Garamond" w:hAnsi="Garamond"/>
          <w:sz w:val="24"/>
          <w:szCs w:val="24"/>
        </w:rPr>
        <w:t>Integrated English Literacy and Civics</w:t>
      </w:r>
      <w:r w:rsidR="00F96F1A" w:rsidRPr="00535D82">
        <w:rPr>
          <w:rFonts w:ascii="Garamond" w:hAnsi="Garamond"/>
          <w:sz w:val="24"/>
          <w:szCs w:val="24"/>
        </w:rPr>
        <w:t xml:space="preserve"> Education</w:t>
      </w:r>
      <w:bookmarkEnd w:id="154"/>
    </w:p>
    <w:p w14:paraId="7FAE80C5"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Through the competitive application process, Maryland will award section 243 funding grants to eligible providers to carry out Integrated English Literacy and Civics (IELC) instruction. Maryland’s adult education population has seen a growth in foreign born students in recent years and a demand for English language instruction that also addresses employment needs. Grants will be available to eligible providers in areas of high immigrant residence to provide specialized curriculum in which English language skills are aligned with Maryland’s ESL Content Standards and taught concurrently with instruction on the rights and responsibilities of citizenship and civic participation, understanding American systems of government, education, healthcare etc. and participation in the workforce. Previous experiences with integrated education and training models demonstrated the importance of workforce preparation for immigrant populations. Integrated instruction that provides a cultural emphasis with focus on understanding the American workplace has assisted students to make a smoother transition to employment. IELC will be offered concurrently with occupational training in a high demand industry leading to potential advancement along a career pathway. Adult education funding will be used to provide the EL/Civics and workforce preparation components. Occupational training will be funded through a partner.</w:t>
      </w:r>
    </w:p>
    <w:p w14:paraId="5D3A241F" w14:textId="607D7B92" w:rsidR="007A1FDC" w:rsidRPr="00535D82" w:rsidRDefault="00662D8A" w:rsidP="007A1FDC">
      <w:pPr>
        <w:pStyle w:val="Heading2"/>
        <w:rPr>
          <w:rFonts w:ascii="Garamond" w:hAnsi="Garamond"/>
          <w:sz w:val="24"/>
          <w:szCs w:val="24"/>
        </w:rPr>
      </w:pPr>
      <w:bookmarkStart w:id="155" w:name="_Toc447276193"/>
      <w:r w:rsidRPr="00535D82">
        <w:rPr>
          <w:rFonts w:ascii="Garamond" w:hAnsi="Garamond"/>
          <w:sz w:val="24"/>
          <w:szCs w:val="24"/>
        </w:rPr>
        <w:t>Workforce Preparation A</w:t>
      </w:r>
      <w:r w:rsidR="007A1FDC" w:rsidRPr="00535D82">
        <w:rPr>
          <w:rFonts w:ascii="Garamond" w:hAnsi="Garamond"/>
          <w:sz w:val="24"/>
          <w:szCs w:val="24"/>
        </w:rPr>
        <w:t>ctivities</w:t>
      </w:r>
      <w:bookmarkEnd w:id="155"/>
    </w:p>
    <w:p w14:paraId="7ACC8E87" w14:textId="39867209" w:rsidR="007A1FDC" w:rsidRPr="004A0C12" w:rsidRDefault="00506DBD" w:rsidP="00F733CF">
      <w:pPr>
        <w:numPr>
          <w:ilvl w:val="0"/>
          <w:numId w:val="110"/>
        </w:numPr>
        <w:tabs>
          <w:tab w:val="clear" w:pos="360"/>
          <w:tab w:val="num" w:pos="720"/>
        </w:tabs>
        <w:spacing w:after="0" w:line="240" w:lineRule="auto"/>
        <w:ind w:left="720" w:hanging="360"/>
        <w:jc w:val="both"/>
        <w:rPr>
          <w:rFonts w:ascii="Garamond" w:hAnsi="Garamond"/>
        </w:rPr>
      </w:pPr>
      <w:r w:rsidRPr="004A0C12">
        <w:rPr>
          <w:rFonts w:ascii="Garamond" w:hAnsi="Garamond"/>
          <w:color w:val="000000"/>
        </w:rPr>
        <w:t>Maryland will focus resources toward improving the rate at which students’ transition from adult education programs to postsecondary education or training and employment. All academic instruction funded through AEFLA will be delivered concurrently with Workforce Preparation activities. State initiatives including implementation of the Integrating Career Awareness curriculum and integrated education and training (IET) pilots demonstrated that students need to master preliminary skills in order to succeed in academic and career training. Contextualized instruction incorporating the concurrently delivery of basic academic skills, critical thinking, and digital literacy and self-management skills in all levels of instruction will assist students to prepare for the rigor of a college curriculum and transition to a work environment. This further develops the career pathways model.</w:t>
      </w:r>
      <w:r w:rsidR="00535D82">
        <w:rPr>
          <w:rFonts w:ascii="Garamond" w:hAnsi="Garamond"/>
          <w:color w:val="000000"/>
        </w:rPr>
        <w:t xml:space="preserve"> </w:t>
      </w:r>
      <w:r w:rsidR="00535D82">
        <w:rPr>
          <w:rFonts w:ascii="Garamond" w:hAnsi="Garamond"/>
        </w:rPr>
        <w:t>By</w:t>
      </w:r>
      <w:r w:rsidR="00662D8A" w:rsidRPr="004A0C12">
        <w:rPr>
          <w:rFonts w:ascii="Garamond" w:hAnsi="Garamond"/>
        </w:rPr>
        <w:t xml:space="preserve"> bridging programming for integrated basic education and training and college transition programming and incorporating workforce preparation components, students will be better prepared for the rigor of a college curriculum and the transition to a work environment. By default, this further develops the career pathways model.  </w:t>
      </w:r>
    </w:p>
    <w:p w14:paraId="1484C376" w14:textId="77777777" w:rsidR="007A1FDC" w:rsidRPr="004A0C12" w:rsidRDefault="007A1FDC" w:rsidP="00F733CF">
      <w:pPr>
        <w:numPr>
          <w:ilvl w:val="0"/>
          <w:numId w:val="110"/>
        </w:numPr>
        <w:tabs>
          <w:tab w:val="clear" w:pos="360"/>
          <w:tab w:val="num" w:pos="720"/>
        </w:tabs>
        <w:spacing w:after="0" w:line="240" w:lineRule="auto"/>
        <w:ind w:left="720" w:hanging="360"/>
        <w:jc w:val="both"/>
        <w:rPr>
          <w:rFonts w:ascii="Garamond" w:hAnsi="Garamond"/>
        </w:rPr>
      </w:pPr>
      <w:r w:rsidRPr="004A0C12">
        <w:rPr>
          <w:rFonts w:ascii="Garamond" w:hAnsi="Garamond"/>
        </w:rPr>
        <w:t>Local programs will receive professional development and technical assistance to ensure that contextualized workforce preparation activities are included and effectively implemented in curriculum offerings.</w:t>
      </w:r>
    </w:p>
    <w:p w14:paraId="444B476E" w14:textId="2C77DAC5" w:rsidR="007A1FDC" w:rsidRPr="00535D82" w:rsidRDefault="00C93B8D" w:rsidP="007A1FDC">
      <w:pPr>
        <w:pStyle w:val="Heading2"/>
        <w:rPr>
          <w:rFonts w:ascii="Garamond" w:hAnsi="Garamond"/>
          <w:b w:val="0"/>
          <w:sz w:val="24"/>
          <w:szCs w:val="24"/>
        </w:rPr>
      </w:pPr>
      <w:bookmarkStart w:id="156" w:name="_Toc447276194"/>
      <w:r w:rsidRPr="00535D82">
        <w:rPr>
          <w:rFonts w:ascii="Garamond" w:hAnsi="Garamond"/>
          <w:sz w:val="24"/>
          <w:szCs w:val="24"/>
        </w:rPr>
        <w:lastRenderedPageBreak/>
        <w:t xml:space="preserve">Integrated </w:t>
      </w:r>
      <w:r w:rsidR="00662D8A" w:rsidRPr="00535D82">
        <w:rPr>
          <w:rFonts w:ascii="Garamond" w:hAnsi="Garamond"/>
          <w:sz w:val="24"/>
          <w:szCs w:val="24"/>
        </w:rPr>
        <w:t>E</w:t>
      </w:r>
      <w:r w:rsidRPr="00535D82">
        <w:rPr>
          <w:rFonts w:ascii="Garamond" w:hAnsi="Garamond"/>
          <w:sz w:val="24"/>
          <w:szCs w:val="24"/>
        </w:rPr>
        <w:t>ducati</w:t>
      </w:r>
      <w:r w:rsidR="00662D8A" w:rsidRPr="00535D82">
        <w:rPr>
          <w:rFonts w:ascii="Garamond" w:hAnsi="Garamond"/>
          <w:sz w:val="24"/>
          <w:szCs w:val="24"/>
        </w:rPr>
        <w:t>on and T</w:t>
      </w:r>
      <w:r w:rsidR="007A1FDC" w:rsidRPr="00535D82">
        <w:rPr>
          <w:rFonts w:ascii="Garamond" w:hAnsi="Garamond"/>
          <w:sz w:val="24"/>
          <w:szCs w:val="24"/>
        </w:rPr>
        <w:t>raining</w:t>
      </w:r>
      <w:bookmarkEnd w:id="156"/>
      <w:r w:rsidR="007A1FDC" w:rsidRPr="00535D82">
        <w:rPr>
          <w:rFonts w:ascii="Garamond" w:hAnsi="Garamond"/>
          <w:b w:val="0"/>
          <w:sz w:val="24"/>
          <w:szCs w:val="24"/>
        </w:rPr>
        <w:t xml:space="preserve">    </w:t>
      </w:r>
    </w:p>
    <w:p w14:paraId="17001E55" w14:textId="5C473766" w:rsidR="007A1FDC" w:rsidRPr="004A0C12" w:rsidRDefault="00506DBD" w:rsidP="007A1FDC">
      <w:pPr>
        <w:spacing w:after="0" w:line="240" w:lineRule="auto"/>
        <w:jc w:val="both"/>
        <w:rPr>
          <w:rFonts w:ascii="Garamond" w:hAnsi="Garamond"/>
        </w:rPr>
      </w:pPr>
      <w:r w:rsidRPr="004A0C12">
        <w:rPr>
          <w:rFonts w:ascii="Garamond" w:hAnsi="Garamond"/>
          <w:color w:val="000000"/>
        </w:rPr>
        <w:t xml:space="preserve">The Adult Education will continue to support the instructional model that team teaches academic learning concurrently with specific occupational training. This model will be delivered in partnership with organizations that will provide concurrent occupational training in a high-demand industry sector. Early pilot programs demonstrated this model’s effectiveness in increasing student retention, and accelerating progress through training. Participants in concurrent training are supported in their first step along a career pathway. </w:t>
      </w:r>
      <w:r w:rsidR="007A1FDC" w:rsidRPr="004A0C12">
        <w:rPr>
          <w:rFonts w:ascii="Garamond" w:hAnsi="Garamond"/>
        </w:rPr>
        <w:t>Maryland will offer a service approach that provides adult education and literacy activities concurrently and contextually with workforce preparation activities and workforce training for a specific occupation or occupational cluster for the purpose of educational and career advancement.</w:t>
      </w:r>
    </w:p>
    <w:p w14:paraId="2109E32A" w14:textId="77777777" w:rsidR="00AA3F72" w:rsidRPr="004A0C12" w:rsidRDefault="00AA3F72" w:rsidP="007A1FDC">
      <w:pPr>
        <w:spacing w:after="0" w:line="240" w:lineRule="auto"/>
        <w:jc w:val="both"/>
        <w:rPr>
          <w:rFonts w:ascii="Garamond" w:hAnsi="Garamond"/>
        </w:rPr>
      </w:pPr>
    </w:p>
    <w:p w14:paraId="7A984E69" w14:textId="2CF7FD45" w:rsidR="007A1FDC" w:rsidRPr="004A0C12" w:rsidRDefault="007A1FDC" w:rsidP="00F733CF">
      <w:pPr>
        <w:numPr>
          <w:ilvl w:val="0"/>
          <w:numId w:val="111"/>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Maryland’s Integrated Basic Education and </w:t>
      </w:r>
      <w:r w:rsidR="00AA3F72" w:rsidRPr="004A0C12">
        <w:rPr>
          <w:rFonts w:ascii="Garamond" w:hAnsi="Garamond"/>
        </w:rPr>
        <w:t xml:space="preserve">Skills </w:t>
      </w:r>
      <w:r w:rsidRPr="004A0C12">
        <w:rPr>
          <w:rFonts w:ascii="Garamond" w:hAnsi="Garamond"/>
        </w:rPr>
        <w:t>Training (MI-BEST) initiative is based on the renowned Washington State I-BEST model which provides  adult literacy and occupational skills instruction concurrently with wrap-around support</w:t>
      </w:r>
      <w:r w:rsidR="00662D8A" w:rsidRPr="004A0C12">
        <w:rPr>
          <w:rFonts w:ascii="Garamond" w:hAnsi="Garamond"/>
        </w:rPr>
        <w:t>ive</w:t>
      </w:r>
      <w:r w:rsidRPr="004A0C12">
        <w:rPr>
          <w:rFonts w:ascii="Garamond" w:hAnsi="Garamond"/>
        </w:rPr>
        <w:t xml:space="preserve"> services.  The Adult Education program will continue to support this instructional model in partnership with organizations that provide funding for occupational training in a high</w:t>
      </w:r>
      <w:r w:rsidR="00662D8A" w:rsidRPr="004A0C12">
        <w:rPr>
          <w:rFonts w:ascii="Garamond" w:hAnsi="Garamond"/>
        </w:rPr>
        <w:t>-</w:t>
      </w:r>
      <w:r w:rsidRPr="004A0C12">
        <w:rPr>
          <w:rFonts w:ascii="Garamond" w:hAnsi="Garamond"/>
        </w:rPr>
        <w:t xml:space="preserve">demand industry sector. The MI-BEST instructional model supports adult students in their first step along a career pathway.  </w:t>
      </w:r>
    </w:p>
    <w:p w14:paraId="40050070" w14:textId="0D919165" w:rsidR="007A1FDC" w:rsidRPr="004A0C12" w:rsidRDefault="007A1FDC" w:rsidP="00F733CF">
      <w:pPr>
        <w:numPr>
          <w:ilvl w:val="0"/>
          <w:numId w:val="111"/>
        </w:numPr>
        <w:tabs>
          <w:tab w:val="clear" w:pos="360"/>
          <w:tab w:val="num" w:pos="720"/>
        </w:tabs>
        <w:spacing w:after="0" w:line="240" w:lineRule="auto"/>
        <w:ind w:left="720" w:hanging="360"/>
        <w:jc w:val="both"/>
        <w:rPr>
          <w:rFonts w:ascii="Garamond" w:hAnsi="Garamond"/>
        </w:rPr>
      </w:pPr>
      <w:r w:rsidRPr="004A0C12">
        <w:rPr>
          <w:rFonts w:ascii="Garamond" w:hAnsi="Garamond"/>
        </w:rPr>
        <w:t>Adult Education will connect with GWIB, the Office of Workforce Development, workforce  development boards, American Job Centers, state agencies, foundations and educational organizations to explore funding options to expand the MI-BEST model.  The Maryland Adult Learning Advisory Council (MALAC) and the Adult Edu</w:t>
      </w:r>
      <w:r w:rsidR="00662D8A" w:rsidRPr="004A0C12">
        <w:rPr>
          <w:rFonts w:ascii="Garamond" w:hAnsi="Garamond"/>
        </w:rPr>
        <w:t>cation and Career Pathways Workg</w:t>
      </w:r>
      <w:r w:rsidRPr="004A0C12">
        <w:rPr>
          <w:rFonts w:ascii="Garamond" w:hAnsi="Garamond"/>
        </w:rPr>
        <w:t>roup will serve in an advisory capacity to guide the program in expanding this model to all jurisdictions.</w:t>
      </w:r>
    </w:p>
    <w:p w14:paraId="1AEEB0EA" w14:textId="77777777" w:rsidR="007A1FDC" w:rsidRPr="004A0C12" w:rsidRDefault="007A1FDC" w:rsidP="00F733CF">
      <w:pPr>
        <w:numPr>
          <w:ilvl w:val="0"/>
          <w:numId w:val="111"/>
        </w:numPr>
        <w:tabs>
          <w:tab w:val="clear" w:pos="360"/>
          <w:tab w:val="num" w:pos="720"/>
        </w:tabs>
        <w:spacing w:after="0" w:line="240" w:lineRule="auto"/>
        <w:ind w:left="720" w:hanging="360"/>
        <w:jc w:val="both"/>
        <w:rPr>
          <w:rFonts w:ascii="Garamond" w:hAnsi="Garamond"/>
        </w:rPr>
      </w:pPr>
      <w:r w:rsidRPr="004A0C12">
        <w:rPr>
          <w:rFonts w:ascii="Garamond" w:hAnsi="Garamond"/>
        </w:rPr>
        <w:t>Professional development and ongoing technical assistance will be provided to local program administrators, teachers and partners on best practices incorporating the experience of the MI-BEST and ACE programs including recruitment, training selection, team teaching, support services, employer participation, outcomes, and data collection.</w:t>
      </w:r>
    </w:p>
    <w:p w14:paraId="5205CDE2" w14:textId="77777777" w:rsidR="007A1FDC" w:rsidRPr="00535D82" w:rsidRDefault="00C93B8D" w:rsidP="007A1FDC">
      <w:pPr>
        <w:pStyle w:val="Heading2"/>
        <w:rPr>
          <w:rFonts w:ascii="Garamond" w:hAnsi="Garamond"/>
          <w:b w:val="0"/>
          <w:sz w:val="24"/>
          <w:szCs w:val="24"/>
        </w:rPr>
      </w:pPr>
      <w:bookmarkStart w:id="157" w:name="_Toc447276195"/>
      <w:r w:rsidRPr="00535D82">
        <w:rPr>
          <w:rFonts w:ascii="Garamond" w:hAnsi="Garamond"/>
          <w:sz w:val="24"/>
          <w:szCs w:val="24"/>
        </w:rPr>
        <w:t>Special</w:t>
      </w:r>
      <w:r w:rsidR="007A1FDC" w:rsidRPr="00535D82">
        <w:rPr>
          <w:rFonts w:ascii="Garamond" w:hAnsi="Garamond"/>
          <w:sz w:val="24"/>
          <w:szCs w:val="24"/>
        </w:rPr>
        <w:t xml:space="preserve"> Rule</w:t>
      </w:r>
      <w:bookmarkEnd w:id="157"/>
    </w:p>
    <w:p w14:paraId="43B83EE1" w14:textId="55839EE3" w:rsidR="007A1FDC" w:rsidRPr="004A0C12" w:rsidRDefault="007A1FDC" w:rsidP="007A1FDC">
      <w:pPr>
        <w:spacing w:after="0" w:line="240" w:lineRule="auto"/>
        <w:jc w:val="both"/>
        <w:rPr>
          <w:rFonts w:ascii="Garamond" w:hAnsi="Garamond"/>
        </w:rPr>
      </w:pPr>
      <w:r w:rsidRPr="004A0C12">
        <w:rPr>
          <w:rFonts w:ascii="Garamond" w:hAnsi="Garamond"/>
        </w:rPr>
        <w:t>Each eligible agency awarding a grant or contract shall not use any funds made available under this title for adult education and literacy activities for the purpose of supporting or providing programs, services, or activities for individuals who are under the age of 16 and are enrolled or required to be enrolled in secondary school under State law</w:t>
      </w:r>
      <w:r w:rsidR="00662D8A" w:rsidRPr="004A0C12">
        <w:rPr>
          <w:rFonts w:ascii="Garamond" w:hAnsi="Garamond"/>
        </w:rPr>
        <w:t xml:space="preserve">. </w:t>
      </w:r>
      <w:r w:rsidRPr="004A0C12">
        <w:rPr>
          <w:rFonts w:ascii="Garamond" w:hAnsi="Garamond"/>
        </w:rPr>
        <w:t xml:space="preserve">In providing family literacy activities </w:t>
      </w:r>
      <w:r w:rsidR="00662D8A" w:rsidRPr="004A0C12">
        <w:rPr>
          <w:rFonts w:ascii="Garamond" w:hAnsi="Garamond"/>
        </w:rPr>
        <w:t>under Title II of WIOA</w:t>
      </w:r>
      <w:r w:rsidRPr="004A0C12">
        <w:rPr>
          <w:rFonts w:ascii="Garamond" w:hAnsi="Garamond"/>
        </w:rPr>
        <w:t>, an eligible provider shall attempt to coordinate with programs and services that are not assisted under this title prior to using funds for adult education and literacy activities under this title for activities other than activ</w:t>
      </w:r>
      <w:r w:rsidR="00C93B8D" w:rsidRPr="004A0C12">
        <w:rPr>
          <w:rFonts w:ascii="Garamond" w:hAnsi="Garamond"/>
        </w:rPr>
        <w:t>ities for eligible individuals.</w:t>
      </w:r>
    </w:p>
    <w:p w14:paraId="0E51072C" w14:textId="77777777" w:rsidR="007A1FDC" w:rsidRPr="00535D82" w:rsidRDefault="007A1FDC" w:rsidP="007A1FDC">
      <w:pPr>
        <w:pStyle w:val="Heading2"/>
        <w:rPr>
          <w:rFonts w:ascii="Garamond" w:hAnsi="Garamond"/>
          <w:sz w:val="24"/>
          <w:szCs w:val="24"/>
        </w:rPr>
      </w:pPr>
      <w:bookmarkStart w:id="158" w:name="_Toc447276196"/>
      <w:r w:rsidRPr="00535D82">
        <w:rPr>
          <w:rFonts w:ascii="Garamond" w:hAnsi="Garamond"/>
          <w:sz w:val="24"/>
          <w:szCs w:val="24"/>
        </w:rPr>
        <w:t>CORRECTIONAL EDUCATION</w:t>
      </w:r>
      <w:bookmarkEnd w:id="158"/>
      <w:r w:rsidRPr="00535D82">
        <w:rPr>
          <w:rFonts w:ascii="Garamond" w:hAnsi="Garamond"/>
          <w:sz w:val="24"/>
          <w:szCs w:val="24"/>
        </w:rPr>
        <w:t xml:space="preserve"> </w:t>
      </w:r>
    </w:p>
    <w:p w14:paraId="558CD6C2" w14:textId="218EDBD4" w:rsidR="007A1FDC" w:rsidRPr="004A0C12" w:rsidRDefault="007A1FDC" w:rsidP="007A1FDC">
      <w:pPr>
        <w:spacing w:after="0" w:line="240" w:lineRule="auto"/>
        <w:jc w:val="both"/>
        <w:rPr>
          <w:rFonts w:ascii="Garamond" w:hAnsi="Garamond"/>
        </w:rPr>
      </w:pPr>
      <w:r w:rsidRPr="004A0C12">
        <w:rPr>
          <w:rFonts w:ascii="Garamond" w:hAnsi="Garamond"/>
        </w:rPr>
        <w:t>Instruction is delivered in 22 state prisons and pre-release centers through the Maryland Correctional Education Program</w:t>
      </w:r>
      <w:r w:rsidR="00662D8A" w:rsidRPr="004A0C12">
        <w:rPr>
          <w:rFonts w:ascii="Garamond" w:hAnsi="Garamond"/>
        </w:rPr>
        <w:t>,</w:t>
      </w:r>
      <w:r w:rsidRPr="004A0C12">
        <w:rPr>
          <w:rFonts w:ascii="Garamond" w:hAnsi="Garamond"/>
        </w:rPr>
        <w:t xml:space="preserve"> in partnership with the Maryland Department of Public Safety and Correctional Services</w:t>
      </w:r>
      <w:r w:rsidR="00662D8A" w:rsidRPr="004A0C12">
        <w:rPr>
          <w:rFonts w:ascii="Garamond" w:hAnsi="Garamond"/>
        </w:rPr>
        <w:t>,</w:t>
      </w:r>
      <w:r w:rsidRPr="004A0C12">
        <w:rPr>
          <w:rFonts w:ascii="Garamond" w:hAnsi="Garamond"/>
        </w:rPr>
        <w:t xml:space="preserve"> and in local detention centers through local adult education grantee programs. Funded programs will deliver academic instruction in adult basic education, adult secondary education and English language acquisition for incarcerated individuals to provide the resources and tools needed for transition to post-secondary education and training opportunities and unsubsidized employment. </w:t>
      </w:r>
    </w:p>
    <w:p w14:paraId="1717BE06" w14:textId="77777777" w:rsidR="007A1FDC" w:rsidRPr="004A0C12" w:rsidRDefault="007A1FDC" w:rsidP="007A1FDC">
      <w:pPr>
        <w:spacing w:after="0" w:line="240" w:lineRule="auto"/>
        <w:jc w:val="both"/>
        <w:rPr>
          <w:rFonts w:ascii="Garamond" w:hAnsi="Garamond"/>
        </w:rPr>
      </w:pPr>
    </w:p>
    <w:p w14:paraId="04E1B517" w14:textId="136F8539" w:rsidR="007A1FDC" w:rsidRPr="004A0C12" w:rsidRDefault="007A1FDC" w:rsidP="007A1FDC">
      <w:pPr>
        <w:spacing w:after="0" w:line="240" w:lineRule="auto"/>
        <w:jc w:val="both"/>
        <w:rPr>
          <w:rFonts w:ascii="Garamond" w:hAnsi="Garamond"/>
        </w:rPr>
      </w:pPr>
      <w:r w:rsidRPr="004A0C12">
        <w:rPr>
          <w:rFonts w:ascii="Garamond" w:hAnsi="Garamond"/>
        </w:rPr>
        <w:t>Within local detention centers, instruction is focused on improving basic academic skills and preparing for high school equivalency testing</w:t>
      </w:r>
      <w:r w:rsidR="00662D8A" w:rsidRPr="004A0C12">
        <w:rPr>
          <w:rFonts w:ascii="Garamond" w:hAnsi="Garamond"/>
        </w:rPr>
        <w:t xml:space="preserve"> and providing </w:t>
      </w:r>
      <w:r w:rsidRPr="004A0C12">
        <w:rPr>
          <w:rFonts w:ascii="Garamond" w:hAnsi="Garamond"/>
        </w:rPr>
        <w:t>the necessary credential for enrolling in post-secondary education or training or entering employment.</w:t>
      </w:r>
    </w:p>
    <w:p w14:paraId="61ECDCB7" w14:textId="77777777" w:rsidR="007A1FDC" w:rsidRPr="004A0C12" w:rsidRDefault="007A1FDC" w:rsidP="007A1FDC">
      <w:pPr>
        <w:spacing w:after="0" w:line="240" w:lineRule="auto"/>
        <w:jc w:val="both"/>
        <w:rPr>
          <w:rFonts w:ascii="Garamond" w:hAnsi="Garamond"/>
        </w:rPr>
      </w:pPr>
    </w:p>
    <w:p w14:paraId="56DC3C82" w14:textId="613D0FC2" w:rsidR="007A1FDC" w:rsidRPr="004A0C12" w:rsidRDefault="00662D8A" w:rsidP="007A1FDC">
      <w:pPr>
        <w:spacing w:after="0" w:line="240" w:lineRule="auto"/>
        <w:jc w:val="both"/>
        <w:rPr>
          <w:rFonts w:ascii="Garamond" w:hAnsi="Garamond"/>
        </w:rPr>
      </w:pPr>
      <w:r w:rsidRPr="004A0C12">
        <w:rPr>
          <w:rFonts w:ascii="Garamond" w:hAnsi="Garamond"/>
        </w:rPr>
        <w:t>Within the S</w:t>
      </w:r>
      <w:r w:rsidR="007A1FDC" w:rsidRPr="004A0C12">
        <w:rPr>
          <w:rFonts w:ascii="Garamond" w:hAnsi="Garamond"/>
        </w:rPr>
        <w:t xml:space="preserve">tate Correctional facilities, inmates with </w:t>
      </w:r>
      <w:r w:rsidR="003111CC" w:rsidRPr="004A0C12">
        <w:rPr>
          <w:rFonts w:ascii="Garamond" w:hAnsi="Garamond"/>
        </w:rPr>
        <w:t>more than</w:t>
      </w:r>
      <w:r w:rsidR="007A1FDC" w:rsidRPr="004A0C12">
        <w:rPr>
          <w:rFonts w:ascii="Garamond" w:hAnsi="Garamond"/>
        </w:rPr>
        <w:t xml:space="preserve"> 18 months </w:t>
      </w:r>
      <w:r w:rsidR="003111CC" w:rsidRPr="004A0C12">
        <w:rPr>
          <w:rFonts w:ascii="Garamond" w:hAnsi="Garamond"/>
        </w:rPr>
        <w:t xml:space="preserve">to serve </w:t>
      </w:r>
      <w:r w:rsidR="007A1FDC" w:rsidRPr="004A0C12">
        <w:rPr>
          <w:rFonts w:ascii="Garamond" w:hAnsi="Garamond"/>
        </w:rPr>
        <w:t xml:space="preserve">on their sentence are required to take adult education classes if they do not have a high school diploma, unless they are exempt due to a medical, developmental or learning disability.  Special education is available for eligible students under the age of 21, supported by an inter-agency partnership. </w:t>
      </w:r>
    </w:p>
    <w:p w14:paraId="5A0A33DF" w14:textId="77777777" w:rsidR="007A1FDC" w:rsidRPr="004A0C12" w:rsidRDefault="007A1FDC" w:rsidP="007A1FDC">
      <w:pPr>
        <w:spacing w:after="0" w:line="240" w:lineRule="auto"/>
        <w:jc w:val="both"/>
        <w:rPr>
          <w:rFonts w:ascii="Garamond" w:hAnsi="Garamond"/>
        </w:rPr>
      </w:pPr>
    </w:p>
    <w:p w14:paraId="5474DA63" w14:textId="4F21E010" w:rsidR="007A1FDC" w:rsidRPr="004A0C12" w:rsidRDefault="007A1FDC" w:rsidP="007A1FDC">
      <w:pPr>
        <w:spacing w:after="0" w:line="240" w:lineRule="auto"/>
        <w:jc w:val="both"/>
        <w:rPr>
          <w:rFonts w:ascii="Garamond" w:hAnsi="Garamond"/>
        </w:rPr>
      </w:pPr>
      <w:r w:rsidRPr="004A0C12">
        <w:rPr>
          <w:rFonts w:ascii="Garamond" w:hAnsi="Garamond"/>
        </w:rPr>
        <w:t xml:space="preserve">After earning a high school diploma, a number of transition offerings are available through the support of partner agencies and programs. Offenders are eligible for </w:t>
      </w:r>
      <w:r w:rsidR="003111CC" w:rsidRPr="004A0C12">
        <w:rPr>
          <w:rFonts w:ascii="Garamond" w:hAnsi="Garamond"/>
        </w:rPr>
        <w:t xml:space="preserve">Correctional Education </w:t>
      </w:r>
      <w:r w:rsidRPr="004A0C12">
        <w:rPr>
          <w:rFonts w:ascii="Garamond" w:hAnsi="Garamond"/>
        </w:rPr>
        <w:t xml:space="preserve">occupational programs or advanced education through </w:t>
      </w:r>
      <w:r w:rsidR="003111CC" w:rsidRPr="004A0C12">
        <w:rPr>
          <w:rFonts w:ascii="Garamond" w:hAnsi="Garamond"/>
        </w:rPr>
        <w:t xml:space="preserve">a </w:t>
      </w:r>
      <w:r w:rsidRPr="004A0C12">
        <w:rPr>
          <w:rFonts w:ascii="Garamond" w:hAnsi="Garamond"/>
        </w:rPr>
        <w:t xml:space="preserve">local partnering </w:t>
      </w:r>
      <w:r w:rsidR="003111CC" w:rsidRPr="004A0C12">
        <w:rPr>
          <w:rFonts w:ascii="Garamond" w:hAnsi="Garamond"/>
        </w:rPr>
        <w:t xml:space="preserve">college or </w:t>
      </w:r>
      <w:r w:rsidRPr="004A0C12">
        <w:rPr>
          <w:rFonts w:ascii="Garamond" w:hAnsi="Garamond"/>
        </w:rPr>
        <w:t xml:space="preserve">community college.    </w:t>
      </w:r>
    </w:p>
    <w:p w14:paraId="21EAE2C8" w14:textId="77777777" w:rsidR="007A1FDC" w:rsidRPr="004A0C12" w:rsidRDefault="007A1FDC" w:rsidP="007A1FDC">
      <w:pPr>
        <w:spacing w:after="0" w:line="240" w:lineRule="auto"/>
        <w:jc w:val="both"/>
        <w:rPr>
          <w:rFonts w:ascii="Garamond" w:hAnsi="Garamond"/>
        </w:rPr>
      </w:pPr>
    </w:p>
    <w:p w14:paraId="4B0ACBD4" w14:textId="7E9269CD" w:rsidR="007A1FDC" w:rsidRPr="004A0C12" w:rsidRDefault="007A1FDC" w:rsidP="007A1FDC">
      <w:pPr>
        <w:spacing w:after="0" w:line="240" w:lineRule="auto"/>
        <w:jc w:val="both"/>
        <w:rPr>
          <w:rFonts w:ascii="Garamond" w:hAnsi="Garamond"/>
        </w:rPr>
      </w:pPr>
      <w:r w:rsidRPr="004A0C12">
        <w:rPr>
          <w:rFonts w:ascii="Garamond" w:hAnsi="Garamond"/>
        </w:rPr>
        <w:t>Programs are designed to reduce recidivism by supporting incarcerated and formerly incarcerated individuals’ access to career pathways opportunities through innovative approaches that support academic achievement and transition to post</w:t>
      </w:r>
      <w:r w:rsidR="00662D8A" w:rsidRPr="004A0C12">
        <w:rPr>
          <w:rFonts w:ascii="Garamond" w:hAnsi="Garamond"/>
        </w:rPr>
        <w:t>-</w:t>
      </w:r>
      <w:r w:rsidRPr="004A0C12">
        <w:rPr>
          <w:rFonts w:ascii="Garamond" w:hAnsi="Garamond"/>
        </w:rPr>
        <w:t xml:space="preserve">secondary </w:t>
      </w:r>
      <w:r w:rsidRPr="004A0C12">
        <w:rPr>
          <w:rFonts w:ascii="Garamond" w:hAnsi="Garamond"/>
        </w:rPr>
        <w:lastRenderedPageBreak/>
        <w:t>training.</w:t>
      </w:r>
      <w:r w:rsidR="0048355B" w:rsidRPr="004A0C12">
        <w:rPr>
          <w:rFonts w:ascii="Garamond" w:hAnsi="Garamond"/>
        </w:rPr>
        <w:t xml:space="preserve"> </w:t>
      </w:r>
      <w:r w:rsidRPr="004A0C12">
        <w:rPr>
          <w:rFonts w:ascii="Garamond" w:hAnsi="Garamond"/>
        </w:rPr>
        <w:t xml:space="preserve">Students who have a high school credential may earn college credit at </w:t>
      </w:r>
      <w:r w:rsidR="0048355B" w:rsidRPr="004A0C12">
        <w:rPr>
          <w:rFonts w:ascii="Garamond" w:hAnsi="Garamond"/>
        </w:rPr>
        <w:t xml:space="preserve">a four year Liberal Arts college or </w:t>
      </w:r>
      <w:r w:rsidRPr="004A0C12">
        <w:rPr>
          <w:rFonts w:ascii="Garamond" w:hAnsi="Garamond"/>
        </w:rPr>
        <w:t xml:space="preserve">one of three community colleges.  Certificates are available in occupations (Desk Top User Specialist, Office Administration and Business Management) aligned with in-demand industry requirements and may be applied toward an Associate’s Degree upon release.  Correctional Education supports a number of competency-based occupational training programs which award a state or nationally recognized certificate upon completion. </w:t>
      </w:r>
    </w:p>
    <w:p w14:paraId="783A4E31" w14:textId="77777777" w:rsidR="007A1FDC" w:rsidRPr="004A0C12" w:rsidRDefault="007A1FDC" w:rsidP="007A1FDC">
      <w:pPr>
        <w:spacing w:after="0" w:line="240" w:lineRule="auto"/>
        <w:jc w:val="both"/>
        <w:rPr>
          <w:rFonts w:ascii="Garamond" w:hAnsi="Garamond"/>
        </w:rPr>
      </w:pPr>
    </w:p>
    <w:p w14:paraId="6FD6A742" w14:textId="77777777" w:rsidR="007A1FDC" w:rsidRPr="004A0C12" w:rsidRDefault="007A1FDC" w:rsidP="00C93B8D">
      <w:pPr>
        <w:tabs>
          <w:tab w:val="left" w:pos="6120"/>
        </w:tabs>
        <w:spacing w:after="0" w:line="240" w:lineRule="auto"/>
        <w:jc w:val="both"/>
        <w:rPr>
          <w:rFonts w:ascii="Garamond" w:hAnsi="Garamond"/>
        </w:rPr>
      </w:pPr>
      <w:r w:rsidRPr="004A0C12">
        <w:rPr>
          <w:rFonts w:ascii="Garamond" w:hAnsi="Garamond"/>
        </w:rPr>
        <w:t>Incarcerated individuals may also participate in internships, pre-apprenticeships and nationally recognized non-union apprenticeships. Maryland’s intensive pre-release transition program prepares individuals for life outside of the institution and provides job readiness in collaboration with workforce partners.  Representatives from state workforce programs visit exiting ex-offenders and provide services post release to support their transition to employment. The state supports two state of the art American Job Centers that provide specializ</w:t>
      </w:r>
      <w:r w:rsidR="00C93B8D" w:rsidRPr="004A0C12">
        <w:rPr>
          <w:rFonts w:ascii="Garamond" w:hAnsi="Garamond"/>
        </w:rPr>
        <w:t>ed services to this population.</w:t>
      </w:r>
    </w:p>
    <w:p w14:paraId="33252DB4" w14:textId="7DA3B2D5" w:rsidR="00506DBD" w:rsidRPr="004A0C12" w:rsidRDefault="00506DBD" w:rsidP="00C93B8D">
      <w:pPr>
        <w:tabs>
          <w:tab w:val="left" w:pos="6120"/>
        </w:tabs>
        <w:spacing w:after="0" w:line="240" w:lineRule="auto"/>
        <w:jc w:val="both"/>
        <w:rPr>
          <w:rFonts w:ascii="Garamond" w:hAnsi="Garamond"/>
        </w:rPr>
      </w:pPr>
      <w:r w:rsidRPr="004A0C12">
        <w:rPr>
          <w:rFonts w:ascii="Garamond" w:hAnsi="Garamond"/>
          <w:color w:val="000000"/>
        </w:rPr>
        <w:t>All applicants for sections 225, 231 and 243 funds compete for funds through the same competitive grant process. Applicants have direct and equitable access to apply for grants and funding opportunities are announced in local newspapers and on the DLLR website. Each eligible provider desiring a grant shall submit an application containing information and assurances as described and required in the Request for Proposals (RFP), including a description of how funds awarded will be spent and a description of any cooperative arrangements the eligible provider has with other agencies, institutions, or organizations for the delivery of adult education and literacy activities. Applications are reviewed by a review panel established by DLLR. The panel is composed of individuals with expertise in adult education and literacy representatives from external organizations and DLLR personnel. The written grant proposals are evaluated using the same scoring criteria, and rated and assigned numerical scores. Grants are awarded to eligible providers who are able to demonstrate effectiveness in providing adult education and literacy services and satisfy the 13 considerations detailed in Subtitle C Section 231 (e) and described in their grant proposal. Each of the considerations receives a weighted value in the scoring rubric. All prospective grantees have equal access to grant processes including announcement, technical assistance meeting, application and submission criteria and review process.</w:t>
      </w:r>
    </w:p>
    <w:p w14:paraId="18DB79C1" w14:textId="77777777" w:rsidR="007A1FDC" w:rsidRPr="00535D82" w:rsidRDefault="007A1FDC" w:rsidP="007A1FDC">
      <w:pPr>
        <w:pStyle w:val="Heading2"/>
        <w:rPr>
          <w:rFonts w:ascii="Garamond" w:hAnsi="Garamond"/>
          <w:sz w:val="24"/>
          <w:szCs w:val="24"/>
        </w:rPr>
      </w:pPr>
      <w:bookmarkStart w:id="159" w:name="_Toc447276197"/>
      <w:r w:rsidRPr="00535D82">
        <w:rPr>
          <w:rFonts w:ascii="Garamond" w:hAnsi="Garamond"/>
          <w:sz w:val="24"/>
          <w:szCs w:val="24"/>
        </w:rPr>
        <w:t>Integrated English Literacy and Civics Education Program</w:t>
      </w:r>
      <w:bookmarkEnd w:id="159"/>
      <w:r w:rsidRPr="00535D82">
        <w:rPr>
          <w:rFonts w:ascii="Garamond" w:hAnsi="Garamond"/>
          <w:sz w:val="24"/>
          <w:szCs w:val="24"/>
        </w:rPr>
        <w:t xml:space="preserve"> </w:t>
      </w:r>
    </w:p>
    <w:p w14:paraId="36DA8E72" w14:textId="67F00C42" w:rsidR="007A1FDC" w:rsidRPr="004A0C12" w:rsidRDefault="007A1FDC" w:rsidP="007A1FDC">
      <w:pPr>
        <w:spacing w:after="0" w:line="240" w:lineRule="auto"/>
        <w:jc w:val="both"/>
        <w:rPr>
          <w:rFonts w:ascii="Garamond" w:hAnsi="Garamond"/>
        </w:rPr>
      </w:pPr>
      <w:r w:rsidRPr="004A0C12">
        <w:rPr>
          <w:rFonts w:ascii="Garamond" w:hAnsi="Garamond"/>
        </w:rPr>
        <w:t xml:space="preserve">Through a competitive application process, Maryland will award grants to eligible providers to carry out a program of integrated English </w:t>
      </w:r>
      <w:r w:rsidR="00507520" w:rsidRPr="004A0C12">
        <w:rPr>
          <w:rFonts w:ascii="Garamond" w:hAnsi="Garamond"/>
        </w:rPr>
        <w:t>L</w:t>
      </w:r>
      <w:r w:rsidRPr="004A0C12">
        <w:rPr>
          <w:rFonts w:ascii="Garamond" w:hAnsi="Garamond"/>
        </w:rPr>
        <w:t>iteracy/</w:t>
      </w:r>
      <w:r w:rsidR="00507520" w:rsidRPr="004A0C12">
        <w:rPr>
          <w:rFonts w:ascii="Garamond" w:hAnsi="Garamond"/>
        </w:rPr>
        <w:t>C</w:t>
      </w:r>
      <w:r w:rsidRPr="004A0C12">
        <w:rPr>
          <w:rFonts w:ascii="Garamond" w:hAnsi="Garamond"/>
        </w:rPr>
        <w:t xml:space="preserve">ivics instruction. Applicants for funds are required to apply for funding in a competitive process and to meet the </w:t>
      </w:r>
      <w:r w:rsidR="00FF44FF" w:rsidRPr="004A0C12">
        <w:rPr>
          <w:rFonts w:ascii="Garamond" w:hAnsi="Garamond"/>
        </w:rPr>
        <w:t xml:space="preserve">same requirements as other </w:t>
      </w:r>
      <w:r w:rsidR="00662D8A" w:rsidRPr="004A0C12">
        <w:rPr>
          <w:rFonts w:ascii="Garamond" w:hAnsi="Garamond"/>
        </w:rPr>
        <w:t>WIOA</w:t>
      </w:r>
      <w:r w:rsidR="00FF44FF" w:rsidRPr="004A0C12">
        <w:rPr>
          <w:rFonts w:ascii="Garamond" w:hAnsi="Garamond"/>
        </w:rPr>
        <w:t xml:space="preserve"> </w:t>
      </w:r>
      <w:r w:rsidRPr="004A0C12">
        <w:rPr>
          <w:rFonts w:ascii="Garamond" w:hAnsi="Garamond"/>
        </w:rPr>
        <w:t xml:space="preserve">Title II applicants. </w:t>
      </w:r>
    </w:p>
    <w:p w14:paraId="79978121" w14:textId="77777777" w:rsidR="007A1FDC" w:rsidRPr="004A0C12" w:rsidRDefault="007A1FDC" w:rsidP="007A1FDC">
      <w:pPr>
        <w:spacing w:after="0" w:line="240" w:lineRule="auto"/>
        <w:jc w:val="both"/>
        <w:rPr>
          <w:rFonts w:ascii="Garamond" w:hAnsi="Garamond"/>
        </w:rPr>
      </w:pPr>
    </w:p>
    <w:p w14:paraId="4441C766" w14:textId="77777777" w:rsidR="007A1FDC" w:rsidRPr="004A0C12" w:rsidRDefault="007A1FDC" w:rsidP="007A1FDC">
      <w:pPr>
        <w:spacing w:after="0" w:line="240" w:lineRule="auto"/>
        <w:jc w:val="both"/>
        <w:rPr>
          <w:rFonts w:ascii="Garamond" w:hAnsi="Garamond"/>
        </w:rPr>
      </w:pPr>
      <w:r w:rsidRPr="004A0C12">
        <w:rPr>
          <w:rFonts w:ascii="Garamond" w:hAnsi="Garamond"/>
        </w:rPr>
        <w:t>Grants will be awarded on a competitive basis to those applicants that best address the following priority areas:</w:t>
      </w:r>
    </w:p>
    <w:p w14:paraId="2A8B6A00" w14:textId="77777777" w:rsidR="007A1FDC" w:rsidRPr="004A0C12" w:rsidRDefault="007A1FDC" w:rsidP="007A1FDC">
      <w:pPr>
        <w:spacing w:after="0" w:line="240" w:lineRule="auto"/>
        <w:jc w:val="both"/>
        <w:rPr>
          <w:rFonts w:ascii="Garamond" w:hAnsi="Garamond"/>
        </w:rPr>
      </w:pPr>
    </w:p>
    <w:p w14:paraId="416E4297" w14:textId="7F2BD923" w:rsidR="007A1FDC" w:rsidRPr="004A0C12" w:rsidRDefault="00662D8A" w:rsidP="00F733CF">
      <w:pPr>
        <w:numPr>
          <w:ilvl w:val="0"/>
          <w:numId w:val="112"/>
        </w:numPr>
        <w:tabs>
          <w:tab w:val="clear" w:pos="360"/>
          <w:tab w:val="num" w:pos="720"/>
        </w:tabs>
        <w:spacing w:after="0" w:line="240" w:lineRule="auto"/>
        <w:ind w:left="720" w:hanging="360"/>
        <w:jc w:val="both"/>
        <w:rPr>
          <w:rFonts w:ascii="Garamond" w:hAnsi="Garamond"/>
        </w:rPr>
      </w:pPr>
      <w:r w:rsidRPr="004A0C12">
        <w:rPr>
          <w:rFonts w:ascii="Garamond" w:hAnsi="Garamond"/>
        </w:rPr>
        <w:t>Workforce participation</w:t>
      </w:r>
      <w:r w:rsidR="007A1FDC" w:rsidRPr="004A0C12">
        <w:rPr>
          <w:rFonts w:ascii="Garamond" w:hAnsi="Garamond"/>
        </w:rPr>
        <w:t xml:space="preserve"> </w:t>
      </w:r>
    </w:p>
    <w:p w14:paraId="3DFD645C" w14:textId="45EECCCF" w:rsidR="007A1FDC" w:rsidRPr="004A0C12" w:rsidRDefault="007A1FDC" w:rsidP="00F733CF">
      <w:pPr>
        <w:numPr>
          <w:ilvl w:val="0"/>
          <w:numId w:val="112"/>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The rights and </w:t>
      </w:r>
      <w:r w:rsidR="00662D8A" w:rsidRPr="004A0C12">
        <w:rPr>
          <w:rFonts w:ascii="Garamond" w:hAnsi="Garamond"/>
        </w:rPr>
        <w:t>responsibilities of citizenship</w:t>
      </w:r>
    </w:p>
    <w:p w14:paraId="3CFFFE88" w14:textId="1D589EB1" w:rsidR="007A1FDC" w:rsidRPr="004A0C12" w:rsidRDefault="00662D8A" w:rsidP="00F733CF">
      <w:pPr>
        <w:numPr>
          <w:ilvl w:val="0"/>
          <w:numId w:val="112"/>
        </w:numPr>
        <w:tabs>
          <w:tab w:val="clear" w:pos="360"/>
          <w:tab w:val="num" w:pos="720"/>
        </w:tabs>
        <w:spacing w:after="0" w:line="240" w:lineRule="auto"/>
        <w:ind w:left="720" w:hanging="360"/>
        <w:jc w:val="both"/>
        <w:rPr>
          <w:rFonts w:ascii="Garamond" w:hAnsi="Garamond"/>
        </w:rPr>
      </w:pPr>
      <w:r w:rsidRPr="004A0C12">
        <w:rPr>
          <w:rFonts w:ascii="Garamond" w:hAnsi="Garamond"/>
        </w:rPr>
        <w:t>Naturalization procedures</w:t>
      </w:r>
    </w:p>
    <w:p w14:paraId="43D46A78" w14:textId="00314723" w:rsidR="007A1FDC" w:rsidRPr="004A0C12" w:rsidRDefault="00662D8A" w:rsidP="00F733CF">
      <w:pPr>
        <w:numPr>
          <w:ilvl w:val="0"/>
          <w:numId w:val="112"/>
        </w:numPr>
        <w:tabs>
          <w:tab w:val="clear" w:pos="360"/>
          <w:tab w:val="num" w:pos="720"/>
        </w:tabs>
        <w:spacing w:after="0" w:line="240" w:lineRule="auto"/>
        <w:ind w:left="720" w:hanging="360"/>
        <w:jc w:val="both"/>
        <w:rPr>
          <w:rFonts w:ascii="Garamond" w:hAnsi="Garamond"/>
        </w:rPr>
      </w:pPr>
      <w:r w:rsidRPr="004A0C12">
        <w:rPr>
          <w:rFonts w:ascii="Garamond" w:hAnsi="Garamond"/>
        </w:rPr>
        <w:t>Civic participation</w:t>
      </w:r>
      <w:r w:rsidR="007A1FDC" w:rsidRPr="004A0C12">
        <w:rPr>
          <w:rFonts w:ascii="Garamond" w:hAnsi="Garamond"/>
        </w:rPr>
        <w:t xml:space="preserve"> </w:t>
      </w:r>
    </w:p>
    <w:p w14:paraId="470546E0" w14:textId="52FF3C92" w:rsidR="007A1FDC" w:rsidRPr="004A0C12" w:rsidRDefault="00662D8A" w:rsidP="00F733CF">
      <w:pPr>
        <w:numPr>
          <w:ilvl w:val="0"/>
          <w:numId w:val="112"/>
        </w:numPr>
        <w:tabs>
          <w:tab w:val="clear" w:pos="360"/>
          <w:tab w:val="num" w:pos="720"/>
        </w:tabs>
        <w:spacing w:after="0" w:line="240" w:lineRule="auto"/>
        <w:ind w:left="720" w:hanging="360"/>
        <w:jc w:val="both"/>
        <w:rPr>
          <w:rFonts w:ascii="Garamond" w:hAnsi="Garamond"/>
        </w:rPr>
      </w:pPr>
      <w:r w:rsidRPr="004A0C12">
        <w:rPr>
          <w:rFonts w:ascii="Garamond" w:hAnsi="Garamond"/>
        </w:rPr>
        <w:t>American government</w:t>
      </w:r>
    </w:p>
    <w:p w14:paraId="51F1E5FE" w14:textId="77777777" w:rsidR="00662D8A" w:rsidRPr="004A0C12" w:rsidRDefault="00662D8A" w:rsidP="00662D8A">
      <w:pPr>
        <w:spacing w:after="0" w:line="240" w:lineRule="auto"/>
        <w:ind w:left="720"/>
        <w:jc w:val="both"/>
        <w:rPr>
          <w:rFonts w:ascii="Garamond" w:hAnsi="Garamond"/>
        </w:rPr>
      </w:pPr>
    </w:p>
    <w:p w14:paraId="3E9ABC31" w14:textId="77777777" w:rsidR="007A1FDC" w:rsidRPr="004A0C12" w:rsidRDefault="007A1FDC" w:rsidP="007A1FDC">
      <w:pPr>
        <w:spacing w:after="0" w:line="240" w:lineRule="auto"/>
        <w:jc w:val="both"/>
        <w:rPr>
          <w:rFonts w:ascii="Garamond" w:hAnsi="Garamond"/>
        </w:rPr>
      </w:pPr>
      <w:r w:rsidRPr="004A0C12">
        <w:rPr>
          <w:rFonts w:ascii="Garamond" w:hAnsi="Garamond"/>
        </w:rPr>
        <w:t>Maryland will award funding for Integrated English Literacy and Civics Education through the competitive grant process to providers that propose to serve a significant number of English language learners.</w:t>
      </w:r>
    </w:p>
    <w:p w14:paraId="51326BF5" w14:textId="77777777" w:rsidR="007A1FDC" w:rsidRPr="004A0C12" w:rsidRDefault="007A1FDC" w:rsidP="007A1FDC">
      <w:pPr>
        <w:spacing w:after="0" w:line="240" w:lineRule="auto"/>
        <w:ind w:left="720"/>
        <w:jc w:val="both"/>
        <w:rPr>
          <w:rFonts w:ascii="Garamond" w:hAnsi="Garamond"/>
        </w:rPr>
      </w:pPr>
    </w:p>
    <w:p w14:paraId="1223DFF4" w14:textId="01AE17F3" w:rsidR="007A1FDC" w:rsidRPr="004A0C12" w:rsidRDefault="007A1FDC" w:rsidP="007A1FDC">
      <w:pPr>
        <w:spacing w:after="0" w:line="240" w:lineRule="auto"/>
        <w:jc w:val="both"/>
        <w:rPr>
          <w:rFonts w:ascii="Garamond" w:hAnsi="Garamond"/>
        </w:rPr>
      </w:pPr>
      <w:r w:rsidRPr="004A0C12">
        <w:rPr>
          <w:rFonts w:ascii="Garamond" w:hAnsi="Garamond"/>
        </w:rPr>
        <w:t>Funds allocated will be specifically used to provide integrated instruction to adult English language learners, including those who may have professional degrees or certifications in their native countries, that will enable them to develop proficiency in the English language and in the skills needed to become effective parents, workers and citizens in the United States.</w:t>
      </w:r>
      <w:r w:rsidR="00662D8A" w:rsidRPr="004A0C12">
        <w:rPr>
          <w:rFonts w:ascii="Garamond" w:hAnsi="Garamond"/>
        </w:rPr>
        <w:t xml:space="preserve"> </w:t>
      </w:r>
      <w:r w:rsidRPr="004A0C12">
        <w:rPr>
          <w:rFonts w:ascii="Garamond" w:hAnsi="Garamond"/>
        </w:rPr>
        <w:t>Instruction will include evidence based practices that honor cultural diversity and prepare adults for unsubsidized employment in high demand industries and occupations that lead to economic self-sufficiency.</w:t>
      </w:r>
    </w:p>
    <w:p w14:paraId="05535282" w14:textId="77777777" w:rsidR="007A1FDC" w:rsidRPr="004A0C12" w:rsidRDefault="007A1FDC" w:rsidP="007A1FDC">
      <w:pPr>
        <w:spacing w:after="0" w:line="240" w:lineRule="auto"/>
        <w:ind w:left="360"/>
        <w:rPr>
          <w:rFonts w:ascii="Garamond" w:hAnsi="Garamond"/>
        </w:rPr>
      </w:pPr>
    </w:p>
    <w:p w14:paraId="7B66AE01" w14:textId="1A0DF2C0" w:rsidR="007A1FDC" w:rsidRPr="004A0C12" w:rsidRDefault="007A1FDC" w:rsidP="007A1FDC">
      <w:pPr>
        <w:spacing w:after="0" w:line="240" w:lineRule="auto"/>
        <w:jc w:val="both"/>
        <w:rPr>
          <w:rFonts w:ascii="Garamond" w:hAnsi="Garamond"/>
        </w:rPr>
      </w:pPr>
      <w:r w:rsidRPr="004A0C12">
        <w:rPr>
          <w:rFonts w:ascii="Garamond" w:hAnsi="Garamond"/>
        </w:rPr>
        <w:t>English language learners will develop the language and academic proficiency to prepare them to access post</w:t>
      </w:r>
      <w:r w:rsidR="00493F1A" w:rsidRPr="004A0C12">
        <w:rPr>
          <w:rFonts w:ascii="Garamond" w:hAnsi="Garamond"/>
        </w:rPr>
        <w:t>-</w:t>
      </w:r>
      <w:r w:rsidRPr="004A0C12">
        <w:rPr>
          <w:rFonts w:ascii="Garamond" w:hAnsi="Garamond"/>
        </w:rPr>
        <w:t>secondary education.  Selected providers will be funded to support the English language and civics portion of an integrated education and training program in partnership with an organization that will fund the occupational training.</w:t>
      </w:r>
      <w:r w:rsidR="00493F1A" w:rsidRPr="004A0C12">
        <w:rPr>
          <w:rFonts w:ascii="Garamond" w:hAnsi="Garamond"/>
        </w:rPr>
        <w:t xml:space="preserve"> </w:t>
      </w:r>
      <w:r w:rsidRPr="004A0C12">
        <w:rPr>
          <w:rFonts w:ascii="Garamond" w:hAnsi="Garamond"/>
        </w:rPr>
        <w:t xml:space="preserve">Integrated EL/Civics instruction </w:t>
      </w:r>
      <w:r w:rsidR="00507520" w:rsidRPr="004A0C12">
        <w:rPr>
          <w:rFonts w:ascii="Garamond" w:hAnsi="Garamond"/>
        </w:rPr>
        <w:t>may</w:t>
      </w:r>
      <w:r w:rsidRPr="004A0C12">
        <w:rPr>
          <w:rFonts w:ascii="Garamond" w:hAnsi="Garamond"/>
        </w:rPr>
        <w:t xml:space="preserve"> also be used to provide funding for workplace education programs in partnership with business.</w:t>
      </w:r>
    </w:p>
    <w:p w14:paraId="2D2E5047" w14:textId="77777777" w:rsidR="007A1FDC" w:rsidRPr="004A0C12" w:rsidRDefault="007A1FDC" w:rsidP="007A1FDC">
      <w:pPr>
        <w:spacing w:after="0" w:line="240" w:lineRule="auto"/>
        <w:rPr>
          <w:rFonts w:ascii="Garamond" w:hAnsi="Garamond"/>
        </w:rPr>
      </w:pPr>
    </w:p>
    <w:p w14:paraId="64CA8DA1" w14:textId="0C31795E" w:rsidR="007A1FDC" w:rsidRPr="004A0C12" w:rsidRDefault="007A1FDC" w:rsidP="007A1FDC">
      <w:pPr>
        <w:spacing w:after="0" w:line="240" w:lineRule="auto"/>
        <w:jc w:val="both"/>
        <w:rPr>
          <w:rFonts w:ascii="Garamond" w:hAnsi="Garamond"/>
        </w:rPr>
      </w:pPr>
      <w:r w:rsidRPr="004A0C12">
        <w:rPr>
          <w:rFonts w:ascii="Garamond" w:hAnsi="Garamond"/>
        </w:rPr>
        <w:lastRenderedPageBreak/>
        <w:t>Integrated EL/Civics instruction will be contextualized to include academic and workplace preparation skills that provide English language learners with the skills needed to succeed in post-secondary education and develop an understanding of the American workplace, regional in-demand industries and occupations that lead to economic self</w:t>
      </w:r>
      <w:r w:rsidR="00507520" w:rsidRPr="004A0C12">
        <w:rPr>
          <w:rFonts w:ascii="Garamond" w:hAnsi="Garamond"/>
        </w:rPr>
        <w:t>-</w:t>
      </w:r>
      <w:r w:rsidRPr="004A0C12">
        <w:rPr>
          <w:rFonts w:ascii="Garamond" w:hAnsi="Garamond"/>
        </w:rPr>
        <w:t xml:space="preserve"> sufficiency.  </w:t>
      </w:r>
    </w:p>
    <w:p w14:paraId="49A85186" w14:textId="77777777" w:rsidR="007A1FDC" w:rsidRPr="004A0C12" w:rsidRDefault="007A1FDC" w:rsidP="007A1FDC">
      <w:pPr>
        <w:spacing w:after="0" w:line="240" w:lineRule="auto"/>
        <w:jc w:val="both"/>
        <w:rPr>
          <w:rFonts w:ascii="Garamond" w:hAnsi="Garamond"/>
        </w:rPr>
      </w:pPr>
    </w:p>
    <w:p w14:paraId="594C5B11" w14:textId="4144FC90" w:rsidR="007A1FDC" w:rsidRPr="004A0C12" w:rsidRDefault="007A1FDC" w:rsidP="007A1FDC">
      <w:pPr>
        <w:spacing w:after="0" w:line="240" w:lineRule="auto"/>
        <w:jc w:val="both"/>
        <w:rPr>
          <w:rFonts w:ascii="Garamond" w:hAnsi="Garamond"/>
        </w:rPr>
      </w:pPr>
      <w:r w:rsidRPr="004A0C12">
        <w:rPr>
          <w:rFonts w:ascii="Garamond" w:hAnsi="Garamond"/>
        </w:rPr>
        <w:t>Maryland was recently awarded a L</w:t>
      </w:r>
      <w:r w:rsidR="00493F1A" w:rsidRPr="004A0C12">
        <w:rPr>
          <w:rFonts w:ascii="Garamond" w:hAnsi="Garamond"/>
        </w:rPr>
        <w:t xml:space="preserve">iteracy </w:t>
      </w:r>
      <w:r w:rsidRPr="004A0C12">
        <w:rPr>
          <w:rFonts w:ascii="Garamond" w:hAnsi="Garamond"/>
        </w:rPr>
        <w:t>I</w:t>
      </w:r>
      <w:r w:rsidR="00493F1A" w:rsidRPr="004A0C12">
        <w:rPr>
          <w:rFonts w:ascii="Garamond" w:hAnsi="Garamond"/>
        </w:rPr>
        <w:t xml:space="preserve">nformation and Communication </w:t>
      </w:r>
      <w:r w:rsidRPr="004A0C12">
        <w:rPr>
          <w:rFonts w:ascii="Garamond" w:hAnsi="Garamond"/>
        </w:rPr>
        <w:t>S</w:t>
      </w:r>
      <w:r w:rsidR="00493F1A" w:rsidRPr="004A0C12">
        <w:rPr>
          <w:rFonts w:ascii="Garamond" w:hAnsi="Garamond"/>
        </w:rPr>
        <w:t>ystems</w:t>
      </w:r>
      <w:r w:rsidRPr="004A0C12">
        <w:rPr>
          <w:rFonts w:ascii="Garamond" w:hAnsi="Garamond"/>
        </w:rPr>
        <w:t xml:space="preserve"> E</w:t>
      </w:r>
      <w:r w:rsidR="00493F1A" w:rsidRPr="004A0C12">
        <w:rPr>
          <w:rFonts w:ascii="Garamond" w:hAnsi="Garamond"/>
        </w:rPr>
        <w:t xml:space="preserve">nglish as a </w:t>
      </w:r>
      <w:r w:rsidRPr="004A0C12">
        <w:rPr>
          <w:rFonts w:ascii="Garamond" w:hAnsi="Garamond"/>
        </w:rPr>
        <w:t>S</w:t>
      </w:r>
      <w:r w:rsidR="00493F1A" w:rsidRPr="004A0C12">
        <w:rPr>
          <w:rFonts w:ascii="Garamond" w:hAnsi="Garamond"/>
        </w:rPr>
        <w:t xml:space="preserve">econd </w:t>
      </w:r>
      <w:r w:rsidRPr="004A0C12">
        <w:rPr>
          <w:rFonts w:ascii="Garamond" w:hAnsi="Garamond"/>
        </w:rPr>
        <w:t>L</w:t>
      </w:r>
      <w:r w:rsidR="00493F1A" w:rsidRPr="004A0C12">
        <w:rPr>
          <w:rFonts w:ascii="Garamond" w:hAnsi="Garamond"/>
        </w:rPr>
        <w:t>anguage</w:t>
      </w:r>
      <w:r w:rsidRPr="004A0C12">
        <w:rPr>
          <w:rFonts w:ascii="Garamond" w:hAnsi="Garamond"/>
        </w:rPr>
        <w:t xml:space="preserve"> Pro Technical Assistance grant and will use the opportunity to develop instructional practices that enhance the ability of local jurisdictions to effectively prepare English language learners for careers.  The best practices developed in this initiative will be shared with all </w:t>
      </w:r>
      <w:r w:rsidR="00507520" w:rsidRPr="004A0C12">
        <w:rPr>
          <w:rFonts w:ascii="Garamond" w:hAnsi="Garamond"/>
        </w:rPr>
        <w:t>local providers</w:t>
      </w:r>
      <w:r w:rsidRPr="004A0C12">
        <w:rPr>
          <w:rFonts w:ascii="Garamond" w:hAnsi="Garamond"/>
        </w:rPr>
        <w:t xml:space="preserve">.  </w:t>
      </w:r>
    </w:p>
    <w:p w14:paraId="614E8FC3" w14:textId="77777777" w:rsidR="007A1FDC" w:rsidRPr="004A0C12" w:rsidRDefault="007A1FDC" w:rsidP="007A1FDC">
      <w:pPr>
        <w:spacing w:after="0" w:line="240" w:lineRule="auto"/>
        <w:jc w:val="both"/>
        <w:rPr>
          <w:rFonts w:ascii="Garamond" w:hAnsi="Garamond"/>
        </w:rPr>
      </w:pPr>
    </w:p>
    <w:p w14:paraId="1DEE1DF5" w14:textId="4244312E" w:rsidR="007A1FDC" w:rsidRPr="004A0C12" w:rsidRDefault="007A1FDC" w:rsidP="007A1FDC">
      <w:pPr>
        <w:spacing w:after="0" w:line="240" w:lineRule="auto"/>
        <w:jc w:val="both"/>
        <w:rPr>
          <w:rFonts w:ascii="Garamond" w:hAnsi="Garamond"/>
        </w:rPr>
      </w:pPr>
      <w:r w:rsidRPr="004A0C12">
        <w:rPr>
          <w:rFonts w:ascii="Garamond" w:hAnsi="Garamond"/>
        </w:rPr>
        <w:t>Ongoing professional development in Integrated E</w:t>
      </w:r>
      <w:r w:rsidR="00493F1A" w:rsidRPr="004A0C12">
        <w:rPr>
          <w:rFonts w:ascii="Garamond" w:hAnsi="Garamond"/>
        </w:rPr>
        <w:t xml:space="preserve">nglish </w:t>
      </w:r>
      <w:r w:rsidRPr="004A0C12">
        <w:rPr>
          <w:rFonts w:ascii="Garamond" w:hAnsi="Garamond"/>
        </w:rPr>
        <w:t>L</w:t>
      </w:r>
      <w:r w:rsidR="00493F1A" w:rsidRPr="004A0C12">
        <w:rPr>
          <w:rFonts w:ascii="Garamond" w:hAnsi="Garamond"/>
        </w:rPr>
        <w:t>iteracy</w:t>
      </w:r>
      <w:r w:rsidRPr="004A0C12">
        <w:rPr>
          <w:rFonts w:ascii="Garamond" w:hAnsi="Garamond"/>
        </w:rPr>
        <w:t>/Civics and focused technical assistance will be provided to local programs to ensure that effective practices in place that will support the goals of adult English language learners.</w:t>
      </w:r>
    </w:p>
    <w:p w14:paraId="53000BFB" w14:textId="77777777" w:rsidR="007A1FDC" w:rsidRPr="004A0C12" w:rsidRDefault="007A1FDC" w:rsidP="007A1FDC">
      <w:pPr>
        <w:spacing w:after="0" w:line="240" w:lineRule="auto"/>
        <w:jc w:val="both"/>
        <w:rPr>
          <w:rFonts w:ascii="Garamond" w:hAnsi="Garamond"/>
        </w:rPr>
      </w:pPr>
    </w:p>
    <w:p w14:paraId="43D87D11" w14:textId="341CFD19" w:rsidR="007A1FDC" w:rsidRPr="004A0C12" w:rsidRDefault="007A1FDC" w:rsidP="007A1FDC">
      <w:pPr>
        <w:spacing w:after="0" w:line="240" w:lineRule="auto"/>
        <w:jc w:val="both"/>
        <w:rPr>
          <w:rFonts w:ascii="Garamond" w:hAnsi="Garamond"/>
        </w:rPr>
      </w:pPr>
      <w:r w:rsidRPr="004A0C12">
        <w:rPr>
          <w:rFonts w:ascii="Garamond" w:hAnsi="Garamond"/>
        </w:rPr>
        <w:t>Local providers of Integrated English Literacy and Civics Education will be required to include in their applications a plan for the integration of activities and services with workforce developme</w:t>
      </w:r>
      <w:r w:rsidR="00BB5F3C" w:rsidRPr="004A0C12">
        <w:rPr>
          <w:rFonts w:ascii="Garamond" w:hAnsi="Garamond"/>
        </w:rPr>
        <w:t>nt activities delivered in the Local A</w:t>
      </w:r>
      <w:r w:rsidRPr="004A0C12">
        <w:rPr>
          <w:rFonts w:ascii="Garamond" w:hAnsi="Garamond"/>
        </w:rPr>
        <w:t xml:space="preserve">rea.  Maryland will </w:t>
      </w:r>
      <w:r w:rsidR="00493F1A" w:rsidRPr="004A0C12">
        <w:rPr>
          <w:rFonts w:ascii="Garamond" w:hAnsi="Garamond"/>
        </w:rPr>
        <w:t>uphold</w:t>
      </w:r>
      <w:r w:rsidRPr="004A0C12">
        <w:rPr>
          <w:rFonts w:ascii="Garamond" w:hAnsi="Garamond"/>
        </w:rPr>
        <w:t xml:space="preserve"> the expectation that alignment of activities is achieved through a planning process prior to submission of applications.</w:t>
      </w:r>
      <w:r w:rsidR="00C93B8D" w:rsidRPr="004A0C12">
        <w:rPr>
          <w:rFonts w:ascii="Garamond" w:hAnsi="Garamond"/>
        </w:rPr>
        <w:t xml:space="preserve">  </w:t>
      </w:r>
    </w:p>
    <w:p w14:paraId="6342C9B1" w14:textId="77777777" w:rsidR="001E63B9" w:rsidRPr="00535D82" w:rsidRDefault="007A1FDC" w:rsidP="00C93B8D">
      <w:pPr>
        <w:pStyle w:val="Heading2"/>
        <w:rPr>
          <w:rFonts w:ascii="Garamond" w:hAnsi="Garamond"/>
          <w:sz w:val="24"/>
          <w:szCs w:val="24"/>
        </w:rPr>
      </w:pPr>
      <w:bookmarkStart w:id="160" w:name="_Toc447276198"/>
      <w:r w:rsidRPr="00535D82">
        <w:rPr>
          <w:rFonts w:ascii="Garamond" w:hAnsi="Garamond"/>
          <w:sz w:val="24"/>
          <w:szCs w:val="24"/>
        </w:rPr>
        <w:t>FUNDING REQUIRED STATE LEADERSHIP ACTIVITIES</w:t>
      </w:r>
      <w:bookmarkEnd w:id="160"/>
      <w:r w:rsidRPr="00535D82">
        <w:rPr>
          <w:rFonts w:ascii="Garamond" w:hAnsi="Garamond"/>
          <w:sz w:val="24"/>
          <w:szCs w:val="24"/>
        </w:rPr>
        <w:t xml:space="preserve"> </w:t>
      </w:r>
    </w:p>
    <w:p w14:paraId="1440874F" w14:textId="77777777" w:rsidR="001E63B9" w:rsidRPr="004A0C12" w:rsidRDefault="001E63B9" w:rsidP="00C93B8D">
      <w:pPr>
        <w:spacing w:after="0" w:line="240" w:lineRule="auto"/>
        <w:jc w:val="both"/>
        <w:rPr>
          <w:rFonts w:ascii="Garamond" w:hAnsi="Garamond" w:cs="Times New Roman"/>
        </w:rPr>
      </w:pPr>
      <w:r w:rsidRPr="004A0C12">
        <w:rPr>
          <w:rFonts w:ascii="Garamond" w:hAnsi="Garamond" w:cs="Times New Roman"/>
        </w:rPr>
        <w:t>In an effort to align adult education and literacy activities with other core programs and Maryland’s American Job Center Partners, c</w:t>
      </w:r>
      <w:r w:rsidR="007A1FDC" w:rsidRPr="004A0C12">
        <w:rPr>
          <w:rFonts w:ascii="Garamond" w:hAnsi="Garamond" w:cs="Times New Roman"/>
        </w:rPr>
        <w:t>ore program representatives will be appointed to the Maryland Adult Advisory Council (MALAC) and the Adult Education and Career Pathways Work Group to build interest, consensus and support for the Adult Education program, provide input on policy development and to create and implement a statewide career pathways system to support the progress of adult learners through an education and employment continuum leadin</w:t>
      </w:r>
      <w:r w:rsidR="002D271E" w:rsidRPr="004A0C12">
        <w:rPr>
          <w:rFonts w:ascii="Garamond" w:hAnsi="Garamond" w:cs="Times New Roman"/>
        </w:rPr>
        <w:t xml:space="preserve">g to economic self–sufficiency. </w:t>
      </w:r>
      <w:r w:rsidRPr="004A0C12">
        <w:rPr>
          <w:rFonts w:ascii="Garamond" w:hAnsi="Garamond" w:cs="Times New Roman"/>
        </w:rPr>
        <w:t>S</w:t>
      </w:r>
      <w:r w:rsidR="007A1FDC" w:rsidRPr="004A0C12">
        <w:rPr>
          <w:rFonts w:ascii="Garamond" w:hAnsi="Garamond" w:cs="Times New Roman"/>
        </w:rPr>
        <w:t>ector partners, including the EARN grantees will update partners on labor market and training needs and guide the development of programs that will prepare worke</w:t>
      </w:r>
      <w:r w:rsidRPr="004A0C12">
        <w:rPr>
          <w:rFonts w:ascii="Garamond" w:hAnsi="Garamond" w:cs="Times New Roman"/>
        </w:rPr>
        <w:t>rs to fill industry skills gaps. A</w:t>
      </w:r>
      <w:r w:rsidR="007A1FDC" w:rsidRPr="004A0C12">
        <w:rPr>
          <w:rFonts w:ascii="Garamond" w:hAnsi="Garamond" w:cs="Times New Roman"/>
        </w:rPr>
        <w:t>dult education and workforce programs will coordinate initial assessments of literacy, numeracy and English language skills and selection of testing instruments to facilitate co-enrollment</w:t>
      </w:r>
      <w:r w:rsidRPr="004A0C12">
        <w:rPr>
          <w:rFonts w:ascii="Garamond" w:hAnsi="Garamond" w:cs="Times New Roman"/>
        </w:rPr>
        <w:t xml:space="preserve"> and referrals between programs. Finally, the S</w:t>
      </w:r>
      <w:r w:rsidR="007A1FDC" w:rsidRPr="004A0C12">
        <w:rPr>
          <w:rFonts w:ascii="Garamond" w:hAnsi="Garamond" w:cs="Times New Roman"/>
        </w:rPr>
        <w:t xml:space="preserve">tate and local workforce areas will identify professional development that can be delivered to core partners to promote the development of a statewide career pathways system and build exceptional service </w:t>
      </w:r>
      <w:r w:rsidR="00C93B8D" w:rsidRPr="004A0C12">
        <w:rPr>
          <w:rFonts w:ascii="Garamond" w:hAnsi="Garamond" w:cs="Times New Roman"/>
        </w:rPr>
        <w:t>delivery systems for customers.</w:t>
      </w:r>
    </w:p>
    <w:p w14:paraId="0A93ACC8" w14:textId="77777777" w:rsidR="001E63B9" w:rsidRPr="00535D82" w:rsidRDefault="001E63B9" w:rsidP="001E63B9">
      <w:pPr>
        <w:pStyle w:val="Heading4"/>
        <w:rPr>
          <w:rFonts w:ascii="Garamond" w:hAnsi="Garamond"/>
          <w:sz w:val="24"/>
          <w:szCs w:val="24"/>
        </w:rPr>
      </w:pPr>
      <w:r w:rsidRPr="00535D82">
        <w:rPr>
          <w:rFonts w:ascii="Garamond" w:hAnsi="Garamond"/>
          <w:sz w:val="24"/>
          <w:szCs w:val="24"/>
        </w:rPr>
        <w:t xml:space="preserve">Professional Development </w:t>
      </w:r>
    </w:p>
    <w:p w14:paraId="48CFCC7B" w14:textId="116688F4" w:rsidR="00A514D5" w:rsidRPr="004A0C12" w:rsidRDefault="001E63B9" w:rsidP="007A1FDC">
      <w:pPr>
        <w:pStyle w:val="ListParagraph"/>
        <w:ind w:left="0"/>
        <w:jc w:val="both"/>
        <w:rPr>
          <w:rFonts w:ascii="Garamond" w:hAnsi="Garamond"/>
          <w:szCs w:val="22"/>
        </w:rPr>
      </w:pPr>
      <w:r w:rsidRPr="004A0C12">
        <w:rPr>
          <w:rFonts w:ascii="Garamond" w:hAnsi="Garamond"/>
          <w:szCs w:val="22"/>
        </w:rPr>
        <w:t>H</w:t>
      </w:r>
      <w:r w:rsidR="007A1FDC" w:rsidRPr="004A0C12">
        <w:rPr>
          <w:rFonts w:ascii="Garamond" w:hAnsi="Garamond"/>
          <w:szCs w:val="22"/>
        </w:rPr>
        <w:t>igh quality professional development programs</w:t>
      </w:r>
      <w:r w:rsidR="00493F1A" w:rsidRPr="004A0C12">
        <w:rPr>
          <w:rFonts w:ascii="Garamond" w:hAnsi="Garamond"/>
          <w:szCs w:val="22"/>
        </w:rPr>
        <w:t xml:space="preserve"> are</w:t>
      </w:r>
      <w:r w:rsidRPr="004A0C12">
        <w:rPr>
          <w:rFonts w:ascii="Garamond" w:hAnsi="Garamond"/>
          <w:szCs w:val="22"/>
        </w:rPr>
        <w:t xml:space="preserve"> vital to ensuring that Maryland’s adult learners obtain the best instruction possible. </w:t>
      </w:r>
    </w:p>
    <w:p w14:paraId="0139BE42" w14:textId="77777777" w:rsidR="00A514D5" w:rsidRPr="004A0C12" w:rsidRDefault="00A514D5" w:rsidP="007A1FDC">
      <w:pPr>
        <w:pStyle w:val="ListParagraph"/>
        <w:ind w:left="0"/>
        <w:jc w:val="both"/>
        <w:rPr>
          <w:rFonts w:ascii="Garamond" w:hAnsi="Garamond"/>
          <w:szCs w:val="22"/>
        </w:rPr>
      </w:pPr>
    </w:p>
    <w:p w14:paraId="5E582848" w14:textId="094C1855" w:rsidR="007A1FDC" w:rsidRPr="004A0C12" w:rsidRDefault="001E63B9" w:rsidP="007A1FDC">
      <w:pPr>
        <w:pStyle w:val="ListParagraph"/>
        <w:ind w:left="0"/>
        <w:jc w:val="both"/>
        <w:rPr>
          <w:rFonts w:ascii="Garamond" w:hAnsi="Garamond"/>
          <w:szCs w:val="22"/>
        </w:rPr>
      </w:pPr>
      <w:r w:rsidRPr="004A0C12">
        <w:rPr>
          <w:rFonts w:ascii="Garamond" w:hAnsi="Garamond"/>
          <w:szCs w:val="22"/>
        </w:rPr>
        <w:t>T</w:t>
      </w:r>
      <w:r w:rsidR="007A1FDC" w:rsidRPr="004A0C12">
        <w:rPr>
          <w:rFonts w:ascii="Garamond" w:hAnsi="Garamond"/>
          <w:szCs w:val="22"/>
        </w:rPr>
        <w:t>o improve the instruction provided pursuant to l</w:t>
      </w:r>
      <w:r w:rsidRPr="004A0C12">
        <w:rPr>
          <w:rFonts w:ascii="Garamond" w:hAnsi="Garamond"/>
          <w:szCs w:val="22"/>
        </w:rPr>
        <w:t>ocal activities required under S</w:t>
      </w:r>
      <w:r w:rsidR="007A1FDC" w:rsidRPr="004A0C12">
        <w:rPr>
          <w:rFonts w:ascii="Garamond" w:hAnsi="Garamond"/>
          <w:szCs w:val="22"/>
        </w:rPr>
        <w:t>ection 231(b)</w:t>
      </w:r>
      <w:r w:rsidRPr="004A0C12">
        <w:rPr>
          <w:rFonts w:ascii="Garamond" w:hAnsi="Garamond"/>
          <w:szCs w:val="22"/>
        </w:rPr>
        <w:t xml:space="preserve"> of WIOA</w:t>
      </w:r>
      <w:r w:rsidR="007A1FDC" w:rsidRPr="004A0C12">
        <w:rPr>
          <w:rFonts w:ascii="Garamond" w:hAnsi="Garamond"/>
          <w:szCs w:val="22"/>
        </w:rPr>
        <w:t>, including instruction incorporating the essential components of reading instruction as such components relate to adults, instruction related to the specific needs of adult learners</w:t>
      </w:r>
      <w:r w:rsidR="00A514D5" w:rsidRPr="004A0C12">
        <w:rPr>
          <w:rFonts w:ascii="Garamond" w:hAnsi="Garamond"/>
          <w:szCs w:val="22"/>
        </w:rPr>
        <w:t xml:space="preserve"> and dissemination of information about models and promising practices related to such programs, Maryland’s</w:t>
      </w:r>
      <w:r w:rsidRPr="004A0C12">
        <w:rPr>
          <w:rFonts w:ascii="Garamond" w:hAnsi="Garamond"/>
          <w:szCs w:val="22"/>
        </w:rPr>
        <w:t xml:space="preserve"> Adult Education programming will: </w:t>
      </w:r>
    </w:p>
    <w:p w14:paraId="770E31C3" w14:textId="77777777" w:rsidR="007A1FDC" w:rsidRPr="004A0C12" w:rsidRDefault="007A1FDC" w:rsidP="007A1FDC">
      <w:pPr>
        <w:pStyle w:val="ListParagraph"/>
        <w:ind w:left="0"/>
        <w:jc w:val="both"/>
        <w:rPr>
          <w:rFonts w:ascii="Garamond" w:hAnsi="Garamond"/>
          <w:szCs w:val="22"/>
        </w:rPr>
      </w:pPr>
    </w:p>
    <w:p w14:paraId="7697FD59" w14:textId="7E3375A1" w:rsidR="007A1FDC" w:rsidRPr="004A0C12" w:rsidRDefault="001E63B9" w:rsidP="00F733CF">
      <w:pPr>
        <w:pStyle w:val="ListParagraph"/>
        <w:numPr>
          <w:ilvl w:val="0"/>
          <w:numId w:val="113"/>
        </w:numPr>
        <w:tabs>
          <w:tab w:val="clear" w:pos="360"/>
          <w:tab w:val="num" w:pos="720"/>
        </w:tabs>
        <w:ind w:left="720" w:hanging="360"/>
        <w:jc w:val="both"/>
        <w:rPr>
          <w:rFonts w:ascii="Garamond" w:hAnsi="Garamond"/>
          <w:szCs w:val="22"/>
        </w:rPr>
      </w:pPr>
      <w:r w:rsidRPr="004A0C12">
        <w:rPr>
          <w:rFonts w:ascii="Garamond" w:hAnsi="Garamond"/>
          <w:szCs w:val="22"/>
        </w:rPr>
        <w:t>Allocate r</w:t>
      </w:r>
      <w:r w:rsidR="007A1FDC" w:rsidRPr="004A0C12">
        <w:rPr>
          <w:rFonts w:ascii="Garamond" w:hAnsi="Garamond"/>
          <w:szCs w:val="22"/>
        </w:rPr>
        <w:t>esources to promote the development and implementation of statewide, regional and local training activities for adult education practitioners to improve academic instruction, digital literacy and transitions to post</w:t>
      </w:r>
      <w:r w:rsidR="00BB5F3C" w:rsidRPr="004A0C12">
        <w:rPr>
          <w:rFonts w:ascii="Garamond" w:hAnsi="Garamond"/>
          <w:szCs w:val="22"/>
        </w:rPr>
        <w:t>-</w:t>
      </w:r>
      <w:r w:rsidR="007A1FDC" w:rsidRPr="004A0C12">
        <w:rPr>
          <w:rFonts w:ascii="Garamond" w:hAnsi="Garamond"/>
          <w:szCs w:val="22"/>
        </w:rPr>
        <w:t>seco</w:t>
      </w:r>
      <w:r w:rsidR="00493F1A" w:rsidRPr="004A0C12">
        <w:rPr>
          <w:rFonts w:ascii="Garamond" w:hAnsi="Garamond"/>
          <w:szCs w:val="22"/>
        </w:rPr>
        <w:t>ndary education and employment</w:t>
      </w:r>
    </w:p>
    <w:p w14:paraId="3FDF34BF" w14:textId="62E9AB27" w:rsidR="007A1FDC" w:rsidRPr="004A0C12" w:rsidRDefault="001E63B9" w:rsidP="00F733CF">
      <w:pPr>
        <w:pStyle w:val="ListParagraph"/>
        <w:numPr>
          <w:ilvl w:val="0"/>
          <w:numId w:val="113"/>
        </w:numPr>
        <w:tabs>
          <w:tab w:val="clear" w:pos="360"/>
          <w:tab w:val="num" w:pos="720"/>
        </w:tabs>
        <w:ind w:left="720" w:hanging="360"/>
        <w:jc w:val="both"/>
        <w:rPr>
          <w:rFonts w:ascii="Garamond" w:hAnsi="Garamond"/>
          <w:szCs w:val="22"/>
        </w:rPr>
      </w:pPr>
      <w:r w:rsidRPr="004A0C12">
        <w:rPr>
          <w:rFonts w:ascii="Garamond" w:hAnsi="Garamond"/>
          <w:szCs w:val="22"/>
        </w:rPr>
        <w:t xml:space="preserve">Conduct an annual </w:t>
      </w:r>
      <w:r w:rsidR="007A1FDC" w:rsidRPr="004A0C12">
        <w:rPr>
          <w:rFonts w:ascii="Garamond" w:hAnsi="Garamond"/>
          <w:szCs w:val="22"/>
        </w:rPr>
        <w:t xml:space="preserve">statewide needs assessment </w:t>
      </w:r>
      <w:r w:rsidRPr="004A0C12">
        <w:rPr>
          <w:rFonts w:ascii="Garamond" w:hAnsi="Garamond"/>
          <w:szCs w:val="22"/>
        </w:rPr>
        <w:t>to provide the S</w:t>
      </w:r>
      <w:r w:rsidR="007A1FDC" w:rsidRPr="004A0C12">
        <w:rPr>
          <w:rFonts w:ascii="Garamond" w:hAnsi="Garamond"/>
          <w:szCs w:val="22"/>
        </w:rPr>
        <w:t>tate agency with input from the provider networ</w:t>
      </w:r>
      <w:r w:rsidR="00493F1A" w:rsidRPr="004A0C12">
        <w:rPr>
          <w:rFonts w:ascii="Garamond" w:hAnsi="Garamond"/>
          <w:szCs w:val="22"/>
        </w:rPr>
        <w:t>k as well as other stakeholders</w:t>
      </w:r>
    </w:p>
    <w:p w14:paraId="70F74F23" w14:textId="75C22816" w:rsidR="007A1FDC" w:rsidRPr="004A0C12" w:rsidRDefault="001E63B9" w:rsidP="00F733CF">
      <w:pPr>
        <w:pStyle w:val="ListParagraph"/>
        <w:numPr>
          <w:ilvl w:val="0"/>
          <w:numId w:val="113"/>
        </w:numPr>
        <w:tabs>
          <w:tab w:val="clear" w:pos="360"/>
          <w:tab w:val="num" w:pos="720"/>
        </w:tabs>
        <w:ind w:left="720" w:hanging="360"/>
        <w:jc w:val="both"/>
        <w:rPr>
          <w:rFonts w:ascii="Garamond" w:hAnsi="Garamond"/>
          <w:szCs w:val="22"/>
        </w:rPr>
      </w:pPr>
      <w:r w:rsidRPr="004A0C12">
        <w:rPr>
          <w:rFonts w:ascii="Garamond" w:hAnsi="Garamond"/>
          <w:szCs w:val="22"/>
        </w:rPr>
        <w:t>Require a</w:t>
      </w:r>
      <w:r w:rsidR="007A1FDC" w:rsidRPr="004A0C12">
        <w:rPr>
          <w:rFonts w:ascii="Garamond" w:hAnsi="Garamond"/>
          <w:szCs w:val="22"/>
        </w:rPr>
        <w:t xml:space="preserve">dult education teachers </w:t>
      </w:r>
      <w:r w:rsidRPr="004A0C12">
        <w:rPr>
          <w:rFonts w:ascii="Garamond" w:hAnsi="Garamond"/>
          <w:szCs w:val="22"/>
        </w:rPr>
        <w:t xml:space="preserve">to </w:t>
      </w:r>
      <w:r w:rsidR="007A1FDC" w:rsidRPr="004A0C12">
        <w:rPr>
          <w:rFonts w:ascii="Garamond" w:hAnsi="Garamond"/>
          <w:szCs w:val="22"/>
        </w:rPr>
        <w:t>receive professional development that will provide them with the tools to meet the new challenges in daily practice including college and career readiness standards for adult education and opportunities to learn more about the careers for which they are prepar</w:t>
      </w:r>
      <w:r w:rsidR="00493F1A" w:rsidRPr="004A0C12">
        <w:rPr>
          <w:rFonts w:ascii="Garamond" w:hAnsi="Garamond"/>
          <w:szCs w:val="22"/>
        </w:rPr>
        <w:t>ing their students</w:t>
      </w:r>
    </w:p>
    <w:p w14:paraId="5AA3E40E" w14:textId="77777777" w:rsidR="007A1FDC" w:rsidRPr="004A0C12" w:rsidRDefault="001E63B9" w:rsidP="00F733CF">
      <w:pPr>
        <w:pStyle w:val="ListParagraph"/>
        <w:numPr>
          <w:ilvl w:val="0"/>
          <w:numId w:val="113"/>
        </w:numPr>
        <w:tabs>
          <w:tab w:val="clear" w:pos="360"/>
          <w:tab w:val="num" w:pos="720"/>
        </w:tabs>
        <w:ind w:left="720" w:hanging="360"/>
        <w:jc w:val="both"/>
        <w:rPr>
          <w:rFonts w:ascii="Garamond" w:hAnsi="Garamond"/>
          <w:szCs w:val="22"/>
        </w:rPr>
      </w:pPr>
      <w:r w:rsidRPr="004A0C12">
        <w:rPr>
          <w:rFonts w:ascii="Garamond" w:hAnsi="Garamond"/>
          <w:szCs w:val="22"/>
        </w:rPr>
        <w:t>Require a</w:t>
      </w:r>
      <w:r w:rsidR="007A1FDC" w:rsidRPr="004A0C12">
        <w:rPr>
          <w:rFonts w:ascii="Garamond" w:hAnsi="Garamond"/>
          <w:szCs w:val="22"/>
        </w:rPr>
        <w:t>dministrators of local provider programs receive professional development on the best practices for management and collaboration.</w:t>
      </w:r>
    </w:p>
    <w:p w14:paraId="5C70CE1E" w14:textId="77777777" w:rsidR="001E63B9" w:rsidRPr="00535D82" w:rsidRDefault="001E63B9" w:rsidP="001E63B9">
      <w:pPr>
        <w:pStyle w:val="Heading4"/>
        <w:rPr>
          <w:rFonts w:ascii="Garamond" w:hAnsi="Garamond"/>
          <w:sz w:val="24"/>
          <w:szCs w:val="24"/>
        </w:rPr>
      </w:pPr>
      <w:r w:rsidRPr="00535D82">
        <w:rPr>
          <w:rFonts w:ascii="Garamond" w:hAnsi="Garamond"/>
          <w:sz w:val="24"/>
          <w:szCs w:val="24"/>
        </w:rPr>
        <w:t xml:space="preserve">Technical Assistance </w:t>
      </w:r>
    </w:p>
    <w:p w14:paraId="6EA0375A" w14:textId="665FC11C" w:rsidR="007A1FDC" w:rsidRPr="004A0C12" w:rsidRDefault="007A1FDC" w:rsidP="001E63B9">
      <w:pPr>
        <w:spacing w:after="0" w:line="240" w:lineRule="auto"/>
        <w:jc w:val="both"/>
        <w:rPr>
          <w:rFonts w:ascii="Garamond" w:hAnsi="Garamond"/>
        </w:rPr>
      </w:pPr>
      <w:r w:rsidRPr="004A0C12">
        <w:rPr>
          <w:rFonts w:ascii="Garamond" w:hAnsi="Garamond"/>
        </w:rPr>
        <w:t xml:space="preserve">The provision of technical assistance to eligible providers of adult education and literacy activities receiving funds under </w:t>
      </w:r>
      <w:r w:rsidR="00493F1A" w:rsidRPr="004A0C12">
        <w:rPr>
          <w:rFonts w:ascii="Garamond" w:hAnsi="Garamond"/>
        </w:rPr>
        <w:t>Title II</w:t>
      </w:r>
      <w:r w:rsidRPr="004A0C12">
        <w:rPr>
          <w:rFonts w:ascii="Garamond" w:hAnsi="Garamond"/>
        </w:rPr>
        <w:t xml:space="preserve">, including—the development and dissemination of instructional and programmatic practices based on the most rigorous or </w:t>
      </w:r>
      <w:r w:rsidRPr="004A0C12">
        <w:rPr>
          <w:rFonts w:ascii="Garamond" w:hAnsi="Garamond"/>
        </w:rPr>
        <w:lastRenderedPageBreak/>
        <w:t>scientifically valid research available and appropriate, in reading, writing, speaking, mathematics, English language acquisition programs, distance edu</w:t>
      </w:r>
      <w:r w:rsidR="00493F1A" w:rsidRPr="004A0C12">
        <w:rPr>
          <w:rFonts w:ascii="Garamond" w:hAnsi="Garamond"/>
        </w:rPr>
        <w:t>cation, and staff training;</w:t>
      </w:r>
      <w:r w:rsidRPr="004A0C12">
        <w:rPr>
          <w:rFonts w:ascii="Garamond" w:hAnsi="Garamond"/>
        </w:rPr>
        <w:t xml:space="preserve"> the role of </w:t>
      </w:r>
      <w:r w:rsidR="00493F1A" w:rsidRPr="004A0C12">
        <w:rPr>
          <w:rFonts w:ascii="Garamond" w:hAnsi="Garamond"/>
        </w:rPr>
        <w:t>eligible providers as an American Job Center p</w:t>
      </w:r>
      <w:r w:rsidRPr="004A0C12">
        <w:rPr>
          <w:rFonts w:ascii="Garamond" w:hAnsi="Garamond"/>
        </w:rPr>
        <w:t xml:space="preserve">artner to provide access to employment, education, and training </w:t>
      </w:r>
      <w:r w:rsidR="001E63B9" w:rsidRPr="004A0C12">
        <w:rPr>
          <w:rFonts w:ascii="Garamond" w:hAnsi="Garamond"/>
        </w:rPr>
        <w:t>services</w:t>
      </w:r>
      <w:r w:rsidR="00493F1A" w:rsidRPr="004A0C12">
        <w:rPr>
          <w:rFonts w:ascii="Garamond" w:hAnsi="Garamond"/>
        </w:rPr>
        <w:t>; and</w:t>
      </w:r>
      <w:r w:rsidRPr="004A0C12">
        <w:rPr>
          <w:rFonts w:ascii="Garamond" w:hAnsi="Garamond"/>
        </w:rPr>
        <w:t xml:space="preserve"> assistance in the use of technology, including for staff training, to eligible providers, especially the use of technology to improve system efficiencies.</w:t>
      </w:r>
    </w:p>
    <w:p w14:paraId="13786B76" w14:textId="77777777" w:rsidR="007A1FDC" w:rsidRPr="004A0C12" w:rsidRDefault="007A1FDC" w:rsidP="007A1FDC">
      <w:pPr>
        <w:spacing w:after="0" w:line="240" w:lineRule="auto"/>
        <w:jc w:val="both"/>
        <w:rPr>
          <w:rFonts w:ascii="Garamond" w:hAnsi="Garamond"/>
        </w:rPr>
      </w:pPr>
    </w:p>
    <w:p w14:paraId="0DBF59C6" w14:textId="2A31CCA9" w:rsidR="007A1FDC" w:rsidRPr="004A0C12" w:rsidRDefault="007A1FDC" w:rsidP="007A1FDC">
      <w:pPr>
        <w:spacing w:after="0" w:line="240" w:lineRule="auto"/>
        <w:jc w:val="both"/>
        <w:rPr>
          <w:rFonts w:ascii="Garamond" w:hAnsi="Garamond"/>
        </w:rPr>
      </w:pPr>
      <w:r w:rsidRPr="004A0C12">
        <w:rPr>
          <w:rFonts w:ascii="Garamond" w:hAnsi="Garamond"/>
        </w:rPr>
        <w:t>The adult education program will develop and maintain repository of information on research-based and best practices for adult literacy instruction and disseminate findings to local programs.</w:t>
      </w:r>
      <w:r w:rsidR="00493F1A" w:rsidRPr="004A0C12">
        <w:rPr>
          <w:rFonts w:ascii="Garamond" w:hAnsi="Garamond"/>
        </w:rPr>
        <w:t xml:space="preserve"> It will also: </w:t>
      </w:r>
    </w:p>
    <w:p w14:paraId="00E3B47C" w14:textId="77777777" w:rsidR="007A1FDC" w:rsidRPr="004A0C12" w:rsidRDefault="007A1FDC" w:rsidP="007A1FDC">
      <w:pPr>
        <w:spacing w:after="0" w:line="240" w:lineRule="auto"/>
        <w:jc w:val="both"/>
        <w:rPr>
          <w:rFonts w:ascii="Garamond" w:hAnsi="Garamond"/>
        </w:rPr>
      </w:pPr>
    </w:p>
    <w:p w14:paraId="3A8FAB53" w14:textId="3B90D1E2" w:rsidR="007A1FDC" w:rsidRPr="004A0C12" w:rsidRDefault="007A1FDC" w:rsidP="00F733CF">
      <w:pPr>
        <w:numPr>
          <w:ilvl w:val="0"/>
          <w:numId w:val="114"/>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Maintain a </w:t>
      </w:r>
      <w:r w:rsidR="00493F1A" w:rsidRPr="004A0C12">
        <w:rPr>
          <w:rFonts w:ascii="Garamond" w:hAnsi="Garamond"/>
        </w:rPr>
        <w:t>l</w:t>
      </w:r>
      <w:r w:rsidR="00507520" w:rsidRPr="004A0C12">
        <w:rPr>
          <w:rFonts w:ascii="Garamond" w:hAnsi="Garamond"/>
        </w:rPr>
        <w:t xml:space="preserve">istserv </w:t>
      </w:r>
      <w:r w:rsidRPr="004A0C12">
        <w:rPr>
          <w:rFonts w:ascii="Garamond" w:hAnsi="Garamond"/>
        </w:rPr>
        <w:t>of adult education providers for disseminating inf</w:t>
      </w:r>
      <w:r w:rsidR="00493F1A" w:rsidRPr="004A0C12">
        <w:rPr>
          <w:rFonts w:ascii="Garamond" w:hAnsi="Garamond"/>
        </w:rPr>
        <w:t>ormation about adult education</w:t>
      </w:r>
    </w:p>
    <w:p w14:paraId="34AC646C" w14:textId="3DD09ECC" w:rsidR="007A1FDC" w:rsidRPr="004A0C12" w:rsidRDefault="007A1FDC" w:rsidP="00F733CF">
      <w:pPr>
        <w:numPr>
          <w:ilvl w:val="0"/>
          <w:numId w:val="114"/>
        </w:numPr>
        <w:tabs>
          <w:tab w:val="clear" w:pos="360"/>
          <w:tab w:val="num" w:pos="720"/>
        </w:tabs>
        <w:spacing w:after="0" w:line="240" w:lineRule="auto"/>
        <w:ind w:left="720" w:hanging="360"/>
        <w:jc w:val="both"/>
        <w:rPr>
          <w:rFonts w:ascii="Garamond" w:hAnsi="Garamond"/>
        </w:rPr>
      </w:pPr>
      <w:r w:rsidRPr="004A0C12">
        <w:rPr>
          <w:rFonts w:ascii="Garamond" w:hAnsi="Garamond"/>
        </w:rPr>
        <w:t>Communicate regularly t</w:t>
      </w:r>
      <w:r w:rsidR="00493F1A" w:rsidRPr="004A0C12">
        <w:rPr>
          <w:rFonts w:ascii="Garamond" w:hAnsi="Garamond"/>
        </w:rPr>
        <w:t>hrough a monthly conference call</w:t>
      </w:r>
    </w:p>
    <w:p w14:paraId="54955D4C" w14:textId="79862476" w:rsidR="007A1FDC" w:rsidRPr="004A0C12" w:rsidRDefault="007A1FDC" w:rsidP="00F733CF">
      <w:pPr>
        <w:numPr>
          <w:ilvl w:val="0"/>
          <w:numId w:val="114"/>
        </w:numPr>
        <w:tabs>
          <w:tab w:val="clear" w:pos="360"/>
          <w:tab w:val="num" w:pos="720"/>
        </w:tabs>
        <w:spacing w:after="0" w:line="240" w:lineRule="auto"/>
        <w:ind w:left="720" w:hanging="360"/>
        <w:jc w:val="both"/>
        <w:rPr>
          <w:rFonts w:ascii="Garamond" w:hAnsi="Garamond"/>
        </w:rPr>
      </w:pPr>
      <w:r w:rsidRPr="004A0C12">
        <w:rPr>
          <w:rFonts w:ascii="Garamond" w:hAnsi="Garamond"/>
        </w:rPr>
        <w:t>Develop a plan for disseminating information using an online platform of communication and staff development t</w:t>
      </w:r>
      <w:r w:rsidR="00493F1A" w:rsidRPr="004A0C12">
        <w:rPr>
          <w:rFonts w:ascii="Garamond" w:hAnsi="Garamond"/>
        </w:rPr>
        <w:t>o improve system efficiencies</w:t>
      </w:r>
    </w:p>
    <w:p w14:paraId="01291331" w14:textId="77777777" w:rsidR="001E63B9" w:rsidRPr="00535D82" w:rsidRDefault="001E63B9" w:rsidP="001E63B9">
      <w:pPr>
        <w:pStyle w:val="Heading4"/>
        <w:rPr>
          <w:rFonts w:ascii="Garamond" w:hAnsi="Garamond"/>
          <w:sz w:val="24"/>
          <w:szCs w:val="24"/>
        </w:rPr>
      </w:pPr>
      <w:r w:rsidRPr="00535D82">
        <w:rPr>
          <w:rFonts w:ascii="Garamond" w:hAnsi="Garamond"/>
          <w:sz w:val="24"/>
          <w:szCs w:val="24"/>
        </w:rPr>
        <w:t>Monitoring and Evaluation</w:t>
      </w:r>
    </w:p>
    <w:p w14:paraId="1FD1E577" w14:textId="77777777" w:rsidR="007A1FDC" w:rsidRPr="004A0C12" w:rsidRDefault="00E67C5F" w:rsidP="007A1FDC">
      <w:pPr>
        <w:spacing w:after="0" w:line="240" w:lineRule="auto"/>
        <w:jc w:val="both"/>
        <w:rPr>
          <w:rFonts w:ascii="Garamond" w:hAnsi="Garamond"/>
        </w:rPr>
      </w:pPr>
      <w:r w:rsidRPr="004A0C12">
        <w:rPr>
          <w:rFonts w:ascii="Garamond" w:hAnsi="Garamond"/>
        </w:rPr>
        <w:t>M</w:t>
      </w:r>
      <w:r w:rsidR="007A1FDC" w:rsidRPr="004A0C12">
        <w:rPr>
          <w:rFonts w:ascii="Garamond" w:hAnsi="Garamond"/>
        </w:rPr>
        <w:t xml:space="preserve">onitoring and evaluation </w:t>
      </w:r>
      <w:r w:rsidRPr="004A0C12">
        <w:rPr>
          <w:rFonts w:ascii="Garamond" w:hAnsi="Garamond"/>
        </w:rPr>
        <w:t xml:space="preserve">is important to ensure the </w:t>
      </w:r>
      <w:r w:rsidR="007A1FDC" w:rsidRPr="004A0C12">
        <w:rPr>
          <w:rFonts w:ascii="Garamond" w:hAnsi="Garamond"/>
        </w:rPr>
        <w:t xml:space="preserve">quality of, and the improvement in, adult education and literacy activities and the dissemination of information about models and proven or promising practices within the State. </w:t>
      </w:r>
      <w:r w:rsidRPr="004A0C12">
        <w:rPr>
          <w:rFonts w:ascii="Garamond" w:hAnsi="Garamond"/>
        </w:rPr>
        <w:t xml:space="preserve">Maryland </w:t>
      </w:r>
      <w:r w:rsidR="007A1FDC" w:rsidRPr="004A0C12">
        <w:rPr>
          <w:rFonts w:ascii="Garamond" w:hAnsi="Garamond"/>
        </w:rPr>
        <w:t>will ensure the collection and reporting of valid and reliable data consistent with the current state and federal data collection guidelines and requirements</w:t>
      </w:r>
      <w:r w:rsidRPr="004A0C12">
        <w:rPr>
          <w:rFonts w:ascii="Garamond" w:hAnsi="Garamond"/>
        </w:rPr>
        <w:t xml:space="preserve"> through</w:t>
      </w:r>
      <w:r w:rsidR="007A1FDC" w:rsidRPr="004A0C12">
        <w:rPr>
          <w:rFonts w:ascii="Garamond" w:hAnsi="Garamond"/>
        </w:rPr>
        <w:t>:</w:t>
      </w:r>
    </w:p>
    <w:p w14:paraId="58F22642" w14:textId="77777777" w:rsidR="00507520" w:rsidRPr="004A0C12" w:rsidRDefault="00507520" w:rsidP="007A1FDC">
      <w:pPr>
        <w:spacing w:after="0" w:line="240" w:lineRule="auto"/>
        <w:jc w:val="both"/>
        <w:rPr>
          <w:rFonts w:ascii="Garamond" w:hAnsi="Garamond"/>
        </w:rPr>
      </w:pPr>
    </w:p>
    <w:p w14:paraId="525CD594" w14:textId="0A6D015C" w:rsidR="007A1FDC" w:rsidRPr="004A0C12" w:rsidRDefault="00E67C5F" w:rsidP="00F733CF">
      <w:pPr>
        <w:numPr>
          <w:ilvl w:val="0"/>
          <w:numId w:val="11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Maintaining </w:t>
      </w:r>
      <w:r w:rsidR="007A1FDC" w:rsidRPr="004A0C12">
        <w:rPr>
          <w:rFonts w:ascii="Garamond" w:hAnsi="Garamond"/>
        </w:rPr>
        <w:t>the use of the LACES Managem</w:t>
      </w:r>
      <w:r w:rsidR="00493F1A" w:rsidRPr="004A0C12">
        <w:rPr>
          <w:rFonts w:ascii="Garamond" w:hAnsi="Garamond"/>
        </w:rPr>
        <w:t>ent Information System database</w:t>
      </w:r>
    </w:p>
    <w:p w14:paraId="4E7A81D1" w14:textId="10421C40" w:rsidR="007A1FDC" w:rsidRPr="004A0C12" w:rsidRDefault="00493F1A" w:rsidP="00F733CF">
      <w:pPr>
        <w:numPr>
          <w:ilvl w:val="0"/>
          <w:numId w:val="11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Providing </w:t>
      </w:r>
      <w:r w:rsidR="007A1FDC" w:rsidRPr="004A0C12">
        <w:rPr>
          <w:rFonts w:ascii="Garamond" w:hAnsi="Garamond"/>
        </w:rPr>
        <w:t>training and technical assistance to</w:t>
      </w:r>
      <w:r w:rsidRPr="004A0C12">
        <w:rPr>
          <w:rFonts w:ascii="Garamond" w:hAnsi="Garamond"/>
        </w:rPr>
        <w:t xml:space="preserve"> all agencies using the system</w:t>
      </w:r>
    </w:p>
    <w:p w14:paraId="4CD3186D" w14:textId="448B91C9" w:rsidR="007A1FDC" w:rsidRPr="004A0C12" w:rsidRDefault="00E67C5F" w:rsidP="00F733CF">
      <w:pPr>
        <w:numPr>
          <w:ilvl w:val="0"/>
          <w:numId w:val="115"/>
        </w:numPr>
        <w:tabs>
          <w:tab w:val="clear" w:pos="360"/>
          <w:tab w:val="num" w:pos="720"/>
        </w:tabs>
        <w:spacing w:after="0" w:line="240" w:lineRule="auto"/>
        <w:ind w:left="720" w:hanging="360"/>
        <w:jc w:val="both"/>
        <w:rPr>
          <w:rFonts w:ascii="Garamond" w:hAnsi="Garamond"/>
        </w:rPr>
      </w:pPr>
      <w:r w:rsidRPr="004A0C12">
        <w:rPr>
          <w:rFonts w:ascii="Garamond" w:hAnsi="Garamond"/>
        </w:rPr>
        <w:t>Conducting</w:t>
      </w:r>
      <w:r w:rsidR="007A1FDC" w:rsidRPr="004A0C12">
        <w:rPr>
          <w:rFonts w:ascii="Garamond" w:hAnsi="Garamond"/>
        </w:rPr>
        <w:t xml:space="preserve"> </w:t>
      </w:r>
      <w:r w:rsidR="00A514D5" w:rsidRPr="004A0C12">
        <w:rPr>
          <w:rFonts w:ascii="Garamond" w:hAnsi="Garamond"/>
        </w:rPr>
        <w:t xml:space="preserve">annual </w:t>
      </w:r>
      <w:r w:rsidR="007A1FDC" w:rsidRPr="004A0C12">
        <w:rPr>
          <w:rFonts w:ascii="Garamond" w:hAnsi="Garamond"/>
        </w:rPr>
        <w:t>on-site monitoring of funded adul</w:t>
      </w:r>
      <w:r w:rsidR="00493F1A" w:rsidRPr="004A0C12">
        <w:rPr>
          <w:rFonts w:ascii="Garamond" w:hAnsi="Garamond"/>
        </w:rPr>
        <w:t>t education program providers</w:t>
      </w:r>
    </w:p>
    <w:p w14:paraId="79A38D0F" w14:textId="1F077333" w:rsidR="00493F1A" w:rsidRPr="004A0C12" w:rsidRDefault="00E67C5F" w:rsidP="00F733CF">
      <w:pPr>
        <w:numPr>
          <w:ilvl w:val="0"/>
          <w:numId w:val="115"/>
        </w:numPr>
        <w:tabs>
          <w:tab w:val="clear" w:pos="360"/>
          <w:tab w:val="num" w:pos="720"/>
        </w:tabs>
        <w:spacing w:after="0" w:line="240" w:lineRule="auto"/>
        <w:ind w:left="720" w:hanging="360"/>
        <w:jc w:val="both"/>
        <w:rPr>
          <w:rFonts w:ascii="Garamond" w:hAnsi="Garamond"/>
        </w:rPr>
      </w:pPr>
      <w:r w:rsidRPr="004A0C12">
        <w:rPr>
          <w:rFonts w:ascii="Garamond" w:hAnsi="Garamond"/>
        </w:rPr>
        <w:t>Providing</w:t>
      </w:r>
      <w:r w:rsidR="007A1FDC" w:rsidRPr="004A0C12">
        <w:rPr>
          <w:rFonts w:ascii="Garamond" w:hAnsi="Garamond"/>
        </w:rPr>
        <w:t xml:space="preserve"> feedback and information on </w:t>
      </w:r>
      <w:r w:rsidR="00493F1A" w:rsidRPr="004A0C12">
        <w:rPr>
          <w:rFonts w:ascii="Garamond" w:hAnsi="Garamond"/>
        </w:rPr>
        <w:t>improvement strategies/models</w:t>
      </w:r>
    </w:p>
    <w:p w14:paraId="595CDDD8" w14:textId="22FBBB9C" w:rsidR="007A1FDC" w:rsidRPr="004A0C12" w:rsidRDefault="00493F1A" w:rsidP="00F733CF">
      <w:pPr>
        <w:numPr>
          <w:ilvl w:val="0"/>
          <w:numId w:val="115"/>
        </w:numPr>
        <w:tabs>
          <w:tab w:val="clear" w:pos="360"/>
          <w:tab w:val="num" w:pos="720"/>
        </w:tabs>
        <w:spacing w:after="0" w:line="240" w:lineRule="auto"/>
        <w:ind w:left="720" w:hanging="360"/>
        <w:jc w:val="both"/>
        <w:rPr>
          <w:rFonts w:ascii="Garamond" w:hAnsi="Garamond"/>
        </w:rPr>
      </w:pPr>
      <w:r w:rsidRPr="004A0C12">
        <w:rPr>
          <w:rFonts w:ascii="Garamond" w:hAnsi="Garamond"/>
        </w:rPr>
        <w:t>C</w:t>
      </w:r>
      <w:r w:rsidR="007A1FDC" w:rsidRPr="004A0C12">
        <w:rPr>
          <w:rFonts w:ascii="Garamond" w:hAnsi="Garamond"/>
        </w:rPr>
        <w:t xml:space="preserve">onducting other activities necessary to ensure compliance with federal and state requirements and to determine the effectiveness of the program. </w:t>
      </w:r>
    </w:p>
    <w:p w14:paraId="5AB795E9" w14:textId="77777777" w:rsidR="007A1FDC" w:rsidRPr="00535D82" w:rsidRDefault="007A1FDC" w:rsidP="00E67C5F">
      <w:pPr>
        <w:pStyle w:val="Heading4"/>
        <w:rPr>
          <w:rFonts w:ascii="Garamond" w:hAnsi="Garamond"/>
          <w:sz w:val="24"/>
          <w:szCs w:val="24"/>
        </w:rPr>
      </w:pPr>
      <w:r w:rsidRPr="00535D82">
        <w:rPr>
          <w:rFonts w:ascii="Garamond" w:hAnsi="Garamond"/>
          <w:sz w:val="24"/>
          <w:szCs w:val="24"/>
        </w:rPr>
        <w:t xml:space="preserve">FUNDING PERMISSABLE STATE LEADERSHIP ACTIVITIES </w:t>
      </w:r>
    </w:p>
    <w:p w14:paraId="4FFF01CE" w14:textId="77777777" w:rsidR="007A1FDC" w:rsidRPr="004A0C12" w:rsidRDefault="00E67C5F" w:rsidP="00493F1A">
      <w:pPr>
        <w:spacing w:after="0" w:line="240" w:lineRule="auto"/>
        <w:jc w:val="both"/>
        <w:rPr>
          <w:rFonts w:ascii="Garamond" w:hAnsi="Garamond"/>
        </w:rPr>
      </w:pPr>
      <w:r w:rsidRPr="004A0C12">
        <w:rPr>
          <w:rFonts w:ascii="Garamond" w:hAnsi="Garamond"/>
        </w:rPr>
        <w:t xml:space="preserve">Maryland will seek to </w:t>
      </w:r>
      <w:r w:rsidR="007A1FDC" w:rsidRPr="004A0C12">
        <w:rPr>
          <w:rFonts w:ascii="Garamond" w:hAnsi="Garamond"/>
        </w:rPr>
        <w:t xml:space="preserve">develop and implement </w:t>
      </w:r>
      <w:r w:rsidRPr="004A0C12">
        <w:rPr>
          <w:rFonts w:ascii="Garamond" w:hAnsi="Garamond"/>
        </w:rPr>
        <w:t>the use of t</w:t>
      </w:r>
      <w:r w:rsidR="007A1FDC" w:rsidRPr="004A0C12">
        <w:rPr>
          <w:rFonts w:ascii="Garamond" w:hAnsi="Garamond"/>
        </w:rPr>
        <w:t>echnology applications, translation technology, or distance education, including professional development to support the use of instructional technology.</w:t>
      </w:r>
      <w:r w:rsidRPr="004A0C12">
        <w:rPr>
          <w:rFonts w:ascii="Garamond" w:hAnsi="Garamond"/>
        </w:rPr>
        <w:t xml:space="preserve"> This will be accomplished through: </w:t>
      </w:r>
    </w:p>
    <w:p w14:paraId="04F526D6" w14:textId="77777777" w:rsidR="007A1FDC" w:rsidRPr="004A0C12" w:rsidRDefault="007A1FDC" w:rsidP="00493F1A">
      <w:pPr>
        <w:spacing w:after="0" w:line="240" w:lineRule="auto"/>
        <w:jc w:val="both"/>
        <w:rPr>
          <w:rFonts w:ascii="Garamond" w:hAnsi="Garamond"/>
          <w:color w:val="0042B1"/>
        </w:rPr>
      </w:pPr>
    </w:p>
    <w:p w14:paraId="4BDFA1E7" w14:textId="77777777" w:rsidR="007A1FDC" w:rsidRPr="004A0C12" w:rsidRDefault="00E67C5F" w:rsidP="00F733CF">
      <w:pPr>
        <w:numPr>
          <w:ilvl w:val="0"/>
          <w:numId w:val="116"/>
        </w:numPr>
        <w:tabs>
          <w:tab w:val="clear" w:pos="360"/>
          <w:tab w:val="num" w:pos="720"/>
        </w:tabs>
        <w:spacing w:after="0" w:line="240" w:lineRule="auto"/>
        <w:ind w:left="720" w:hanging="360"/>
        <w:jc w:val="both"/>
        <w:rPr>
          <w:rFonts w:ascii="Garamond" w:hAnsi="Garamond"/>
        </w:rPr>
      </w:pPr>
      <w:r w:rsidRPr="004A0C12">
        <w:rPr>
          <w:rFonts w:ascii="Garamond" w:hAnsi="Garamond"/>
        </w:rPr>
        <w:t>Utilizing</w:t>
      </w:r>
      <w:r w:rsidR="007A1FDC" w:rsidRPr="004A0C12">
        <w:rPr>
          <w:rFonts w:ascii="Garamond" w:hAnsi="Garamond"/>
        </w:rPr>
        <w:t xml:space="preserve"> the distance learning program, Maryland i-Pathways, to prepare students to pass the GED® tests.</w:t>
      </w:r>
    </w:p>
    <w:p w14:paraId="5D5303AB" w14:textId="77777777" w:rsidR="007A1FDC" w:rsidRPr="004A0C12" w:rsidRDefault="00E67C5F" w:rsidP="00F733CF">
      <w:pPr>
        <w:numPr>
          <w:ilvl w:val="0"/>
          <w:numId w:val="116"/>
        </w:numPr>
        <w:tabs>
          <w:tab w:val="clear" w:pos="360"/>
          <w:tab w:val="num" w:pos="720"/>
        </w:tabs>
        <w:spacing w:after="0" w:line="240" w:lineRule="auto"/>
        <w:ind w:left="720" w:hanging="360"/>
        <w:jc w:val="both"/>
        <w:rPr>
          <w:rFonts w:ascii="Garamond" w:hAnsi="Garamond"/>
        </w:rPr>
      </w:pPr>
      <w:r w:rsidRPr="004A0C12">
        <w:rPr>
          <w:rFonts w:ascii="Garamond" w:hAnsi="Garamond"/>
        </w:rPr>
        <w:t>Ensuring</w:t>
      </w:r>
      <w:r w:rsidR="007A1FDC" w:rsidRPr="004A0C12">
        <w:rPr>
          <w:rFonts w:ascii="Garamond" w:hAnsi="Garamond"/>
        </w:rPr>
        <w:t xml:space="preserve"> that all providers integrate Maryland’s Adult Education Technology Standards in their practices. </w:t>
      </w:r>
    </w:p>
    <w:p w14:paraId="54C08E69" w14:textId="1617DA90" w:rsidR="007A1FDC" w:rsidRPr="004A0C12" w:rsidRDefault="007A1FDC" w:rsidP="00F733CF">
      <w:pPr>
        <w:numPr>
          <w:ilvl w:val="0"/>
          <w:numId w:val="116"/>
        </w:numPr>
        <w:tabs>
          <w:tab w:val="clear" w:pos="360"/>
          <w:tab w:val="num" w:pos="720"/>
        </w:tabs>
        <w:spacing w:after="0" w:line="240" w:lineRule="auto"/>
        <w:ind w:left="720" w:hanging="360"/>
        <w:jc w:val="both"/>
        <w:rPr>
          <w:rFonts w:ascii="Garamond" w:hAnsi="Garamond"/>
        </w:rPr>
      </w:pPr>
      <w:r w:rsidRPr="004A0C12">
        <w:rPr>
          <w:rFonts w:ascii="Garamond" w:hAnsi="Garamond"/>
        </w:rPr>
        <w:t>Assess</w:t>
      </w:r>
      <w:r w:rsidR="00E67C5F" w:rsidRPr="004A0C12">
        <w:rPr>
          <w:rFonts w:ascii="Garamond" w:hAnsi="Garamond"/>
        </w:rPr>
        <w:t>ing</w:t>
      </w:r>
      <w:r w:rsidRPr="004A0C12">
        <w:rPr>
          <w:rFonts w:ascii="Garamond" w:hAnsi="Garamond"/>
        </w:rPr>
        <w:t xml:space="preserve"> and address</w:t>
      </w:r>
      <w:r w:rsidR="00493F1A" w:rsidRPr="004A0C12">
        <w:rPr>
          <w:rFonts w:ascii="Garamond" w:hAnsi="Garamond"/>
        </w:rPr>
        <w:t>ing</w:t>
      </w:r>
      <w:r w:rsidRPr="004A0C12">
        <w:rPr>
          <w:rFonts w:ascii="Garamond" w:hAnsi="Garamond"/>
        </w:rPr>
        <w:t xml:space="preserve"> the need </w:t>
      </w:r>
      <w:r w:rsidR="00493F1A" w:rsidRPr="004A0C12">
        <w:rPr>
          <w:rFonts w:ascii="Garamond" w:hAnsi="Garamond"/>
        </w:rPr>
        <w:t>for professional development surrounding the</w:t>
      </w:r>
      <w:r w:rsidRPr="004A0C12">
        <w:rPr>
          <w:rFonts w:ascii="Garamond" w:hAnsi="Garamond"/>
        </w:rPr>
        <w:t xml:space="preserve"> utilization of technology in delivering instruction and teacher training.  </w:t>
      </w:r>
    </w:p>
    <w:p w14:paraId="7A24436F" w14:textId="77777777" w:rsidR="007A1FDC" w:rsidRPr="004A0C12" w:rsidRDefault="007A1FDC" w:rsidP="00493F1A">
      <w:pPr>
        <w:spacing w:after="0" w:line="240" w:lineRule="auto"/>
        <w:jc w:val="both"/>
        <w:rPr>
          <w:rFonts w:ascii="Garamond" w:hAnsi="Garamond"/>
        </w:rPr>
      </w:pPr>
    </w:p>
    <w:p w14:paraId="5C3BEBBD" w14:textId="127FEDF3" w:rsidR="007A1FDC" w:rsidRPr="004A0C12" w:rsidRDefault="007A1FDC" w:rsidP="00493F1A">
      <w:pPr>
        <w:spacing w:after="0" w:line="240" w:lineRule="auto"/>
        <w:jc w:val="both"/>
        <w:rPr>
          <w:rFonts w:ascii="Garamond" w:hAnsi="Garamond"/>
        </w:rPr>
      </w:pPr>
      <w:r w:rsidRPr="004A0C12">
        <w:rPr>
          <w:rFonts w:ascii="Garamond" w:hAnsi="Garamond"/>
        </w:rPr>
        <w:t>Developing content and models for integrated education and training and career pathways</w:t>
      </w:r>
      <w:r w:rsidR="00E67C5F" w:rsidRPr="004A0C12">
        <w:rPr>
          <w:rFonts w:ascii="Garamond" w:hAnsi="Garamond"/>
        </w:rPr>
        <w:t xml:space="preserve"> is also a priority</w:t>
      </w:r>
      <w:r w:rsidRPr="004A0C12">
        <w:rPr>
          <w:rFonts w:ascii="Garamond" w:hAnsi="Garamond"/>
        </w:rPr>
        <w:t>.</w:t>
      </w:r>
      <w:r w:rsidR="00E67C5F" w:rsidRPr="004A0C12">
        <w:rPr>
          <w:rFonts w:ascii="Garamond" w:hAnsi="Garamond"/>
        </w:rPr>
        <w:t xml:space="preserve"> In establishing career pathways, Maryland is dedicated to: </w:t>
      </w:r>
    </w:p>
    <w:p w14:paraId="01CF9997" w14:textId="77777777" w:rsidR="007A1FDC" w:rsidRPr="004A0C12" w:rsidRDefault="007A1FDC" w:rsidP="00493F1A">
      <w:pPr>
        <w:spacing w:after="0" w:line="240" w:lineRule="auto"/>
        <w:jc w:val="both"/>
        <w:rPr>
          <w:rFonts w:ascii="Garamond" w:hAnsi="Garamond"/>
        </w:rPr>
      </w:pPr>
    </w:p>
    <w:p w14:paraId="1443E6DD" w14:textId="5A4B06D7" w:rsidR="007A1FDC" w:rsidRPr="004A0C12" w:rsidRDefault="007A1FDC" w:rsidP="00F733CF">
      <w:pPr>
        <w:pStyle w:val="ListParagraph"/>
        <w:numPr>
          <w:ilvl w:val="0"/>
          <w:numId w:val="117"/>
        </w:numPr>
        <w:tabs>
          <w:tab w:val="clear" w:pos="360"/>
          <w:tab w:val="num" w:pos="720"/>
        </w:tabs>
        <w:ind w:left="720" w:hanging="360"/>
        <w:jc w:val="both"/>
        <w:rPr>
          <w:rFonts w:ascii="Garamond" w:hAnsi="Garamond"/>
          <w:szCs w:val="22"/>
        </w:rPr>
      </w:pPr>
      <w:r w:rsidRPr="004A0C12">
        <w:rPr>
          <w:rFonts w:ascii="Garamond" w:hAnsi="Garamond"/>
          <w:szCs w:val="22"/>
        </w:rPr>
        <w:t>Conduct</w:t>
      </w:r>
      <w:r w:rsidR="00E67C5F" w:rsidRPr="004A0C12">
        <w:rPr>
          <w:rFonts w:ascii="Garamond" w:hAnsi="Garamond"/>
          <w:szCs w:val="22"/>
        </w:rPr>
        <w:t>ing</w:t>
      </w:r>
      <w:r w:rsidRPr="004A0C12">
        <w:rPr>
          <w:rFonts w:ascii="Garamond" w:hAnsi="Garamond"/>
          <w:szCs w:val="22"/>
        </w:rPr>
        <w:t xml:space="preserve"> a pilot progra</w:t>
      </w:r>
      <w:r w:rsidR="00493F1A" w:rsidRPr="004A0C12">
        <w:rPr>
          <w:rFonts w:ascii="Garamond" w:hAnsi="Garamond"/>
          <w:szCs w:val="22"/>
        </w:rPr>
        <w:t>m through LINCS for English language learners</w:t>
      </w:r>
      <w:r w:rsidRPr="004A0C12">
        <w:rPr>
          <w:rFonts w:ascii="Garamond" w:hAnsi="Garamond"/>
          <w:szCs w:val="22"/>
        </w:rPr>
        <w:t xml:space="preserve"> to develop teaching strategies for integrating education and training using contextualization concepts in teaching.</w:t>
      </w:r>
    </w:p>
    <w:p w14:paraId="0BFC57D3" w14:textId="77777777" w:rsidR="007A1FDC" w:rsidRPr="004A0C12" w:rsidRDefault="00E67C5F" w:rsidP="00F733CF">
      <w:pPr>
        <w:pStyle w:val="ListParagraph"/>
        <w:numPr>
          <w:ilvl w:val="0"/>
          <w:numId w:val="117"/>
        </w:numPr>
        <w:tabs>
          <w:tab w:val="clear" w:pos="360"/>
          <w:tab w:val="num" w:pos="720"/>
        </w:tabs>
        <w:ind w:left="720" w:hanging="360"/>
        <w:jc w:val="both"/>
        <w:rPr>
          <w:rFonts w:ascii="Garamond" w:hAnsi="Garamond"/>
          <w:szCs w:val="22"/>
        </w:rPr>
      </w:pPr>
      <w:r w:rsidRPr="004A0C12">
        <w:rPr>
          <w:rFonts w:ascii="Garamond" w:hAnsi="Garamond"/>
          <w:szCs w:val="22"/>
        </w:rPr>
        <w:t>Identifying and disseminating a model of best practices for career pathways design and implementation through t</w:t>
      </w:r>
      <w:r w:rsidR="007A1FDC" w:rsidRPr="004A0C12">
        <w:rPr>
          <w:rFonts w:ascii="Garamond" w:hAnsi="Garamond"/>
          <w:szCs w:val="22"/>
        </w:rPr>
        <w:t>he Adult Education</w:t>
      </w:r>
      <w:r w:rsidRPr="004A0C12">
        <w:rPr>
          <w:rFonts w:ascii="Garamond" w:hAnsi="Garamond"/>
          <w:szCs w:val="22"/>
        </w:rPr>
        <w:t xml:space="preserve"> and Career Pathways Work Group. </w:t>
      </w:r>
    </w:p>
    <w:p w14:paraId="6AC1F239" w14:textId="77777777" w:rsidR="00E67C5F" w:rsidRPr="004A0C12" w:rsidRDefault="00E67C5F" w:rsidP="00493F1A">
      <w:pPr>
        <w:spacing w:after="0" w:line="240" w:lineRule="auto"/>
        <w:jc w:val="both"/>
        <w:rPr>
          <w:rFonts w:ascii="Garamond" w:eastAsia="ヒラギノ角ゴ Pro W3" w:hAnsi="Garamond" w:cs="Times New Roman"/>
          <w:color w:val="000000"/>
        </w:rPr>
      </w:pPr>
    </w:p>
    <w:p w14:paraId="2F7C395A" w14:textId="78ECA98D" w:rsidR="00E67C5F" w:rsidRPr="004A0C12" w:rsidRDefault="00E67C5F" w:rsidP="00493F1A">
      <w:pPr>
        <w:spacing w:after="0" w:line="240" w:lineRule="auto"/>
        <w:jc w:val="both"/>
        <w:rPr>
          <w:rFonts w:ascii="Garamond" w:hAnsi="Garamond"/>
        </w:rPr>
      </w:pPr>
      <w:r w:rsidRPr="004A0C12">
        <w:rPr>
          <w:rFonts w:ascii="Garamond" w:hAnsi="Garamond"/>
        </w:rPr>
        <w:t xml:space="preserve">Maryland will also work to </w:t>
      </w:r>
      <w:r w:rsidR="00507520" w:rsidRPr="004A0C12">
        <w:rPr>
          <w:rFonts w:ascii="Garamond" w:hAnsi="Garamond"/>
        </w:rPr>
        <w:t>provide assistance</w:t>
      </w:r>
      <w:r w:rsidR="007A1FDC" w:rsidRPr="004A0C12">
        <w:rPr>
          <w:rFonts w:ascii="Garamond" w:hAnsi="Garamond"/>
        </w:rPr>
        <w:t xml:space="preserve"> to eligible providers in developing and implementing programs that </w:t>
      </w:r>
      <w:r w:rsidRPr="004A0C12">
        <w:rPr>
          <w:rFonts w:ascii="Garamond" w:hAnsi="Garamond"/>
        </w:rPr>
        <w:t xml:space="preserve">achieve the objectives of Title II of WIOA </w:t>
      </w:r>
      <w:r w:rsidR="007A1FDC" w:rsidRPr="004A0C12">
        <w:rPr>
          <w:rFonts w:ascii="Garamond" w:hAnsi="Garamond"/>
        </w:rPr>
        <w:t>and in measuring the progress of those program</w:t>
      </w:r>
      <w:r w:rsidRPr="004A0C12">
        <w:rPr>
          <w:rFonts w:ascii="Garamond" w:hAnsi="Garamond"/>
        </w:rPr>
        <w:t>s</w:t>
      </w:r>
      <w:r w:rsidR="00DB01ED" w:rsidRPr="004A0C12">
        <w:rPr>
          <w:rFonts w:ascii="Garamond" w:hAnsi="Garamond"/>
        </w:rPr>
        <w:t xml:space="preserve"> in achieving such objectives. </w:t>
      </w:r>
    </w:p>
    <w:p w14:paraId="5E6862BB" w14:textId="77777777" w:rsidR="007A1FDC" w:rsidRPr="004A0C12" w:rsidRDefault="007A1FDC" w:rsidP="00493F1A">
      <w:pPr>
        <w:spacing w:after="0" w:line="240" w:lineRule="auto"/>
        <w:jc w:val="both"/>
        <w:rPr>
          <w:rFonts w:ascii="Garamond" w:hAnsi="Garamond"/>
          <w:color w:val="0042B1"/>
        </w:rPr>
      </w:pPr>
    </w:p>
    <w:p w14:paraId="65A07E31" w14:textId="5DF0332E" w:rsidR="007A1FDC" w:rsidRPr="004A0C12" w:rsidRDefault="00E67C5F" w:rsidP="00493F1A">
      <w:pPr>
        <w:spacing w:after="0" w:line="240" w:lineRule="auto"/>
        <w:jc w:val="both"/>
        <w:rPr>
          <w:rFonts w:ascii="Garamond" w:hAnsi="Garamond"/>
        </w:rPr>
      </w:pPr>
      <w:r w:rsidRPr="004A0C12">
        <w:rPr>
          <w:rFonts w:ascii="Garamond" w:hAnsi="Garamond"/>
        </w:rPr>
        <w:t xml:space="preserve">The State is also </w:t>
      </w:r>
      <w:r w:rsidR="00A514D5" w:rsidRPr="004A0C12">
        <w:rPr>
          <w:rFonts w:ascii="Garamond" w:hAnsi="Garamond"/>
        </w:rPr>
        <w:t>planning for</w:t>
      </w:r>
      <w:r w:rsidRPr="004A0C12">
        <w:rPr>
          <w:rFonts w:ascii="Garamond" w:hAnsi="Garamond"/>
        </w:rPr>
        <w:t xml:space="preserve"> i</w:t>
      </w:r>
      <w:r w:rsidR="007A1FDC" w:rsidRPr="004A0C12">
        <w:rPr>
          <w:rFonts w:ascii="Garamond" w:hAnsi="Garamond"/>
        </w:rPr>
        <w:t>ntegrati</w:t>
      </w:r>
      <w:r w:rsidRPr="004A0C12">
        <w:rPr>
          <w:rFonts w:ascii="Garamond" w:hAnsi="Garamond"/>
        </w:rPr>
        <w:t xml:space="preserve">ng </w:t>
      </w:r>
      <w:r w:rsidR="007A1FDC" w:rsidRPr="004A0C12">
        <w:rPr>
          <w:rFonts w:ascii="Garamond" w:hAnsi="Garamond"/>
        </w:rPr>
        <w:t>literacy and English language instruction with occupational skill training, including promoting linkages with employers.</w:t>
      </w:r>
      <w:r w:rsidRPr="004A0C12">
        <w:rPr>
          <w:rFonts w:ascii="Garamond" w:hAnsi="Garamond"/>
        </w:rPr>
        <w:t xml:space="preserve">  This can be accomplished through providing</w:t>
      </w:r>
      <w:r w:rsidR="007A1FDC" w:rsidRPr="004A0C12">
        <w:rPr>
          <w:rFonts w:ascii="Garamond" w:hAnsi="Garamond"/>
        </w:rPr>
        <w:t xml:space="preserve"> funding for basic skills and GED</w:t>
      </w:r>
      <w:r w:rsidR="008E59E3" w:rsidRPr="004A0C12">
        <w:rPr>
          <w:rFonts w:ascii="Garamond" w:hAnsi="Garamond"/>
        </w:rPr>
        <w:t>®</w:t>
      </w:r>
      <w:r w:rsidR="007A1FDC" w:rsidRPr="004A0C12">
        <w:rPr>
          <w:rFonts w:ascii="Garamond" w:hAnsi="Garamond"/>
        </w:rPr>
        <w:t xml:space="preserve"> preparation and partner</w:t>
      </w:r>
      <w:r w:rsidR="002D271E" w:rsidRPr="004A0C12">
        <w:rPr>
          <w:rFonts w:ascii="Garamond" w:hAnsi="Garamond"/>
        </w:rPr>
        <w:t>ing</w:t>
      </w:r>
      <w:r w:rsidR="007A1FDC" w:rsidRPr="004A0C12">
        <w:rPr>
          <w:rFonts w:ascii="Garamond" w:hAnsi="Garamond"/>
        </w:rPr>
        <w:t xml:space="preserve"> with local workforce programs to conduct MI-BEST programming. </w:t>
      </w:r>
    </w:p>
    <w:p w14:paraId="59160AF8" w14:textId="77777777" w:rsidR="007A1FDC" w:rsidRPr="004A0C12" w:rsidRDefault="007A1FDC" w:rsidP="00493F1A">
      <w:pPr>
        <w:spacing w:after="0" w:line="240" w:lineRule="auto"/>
        <w:jc w:val="both"/>
        <w:rPr>
          <w:rFonts w:ascii="Garamond" w:hAnsi="Garamond"/>
        </w:rPr>
      </w:pPr>
    </w:p>
    <w:p w14:paraId="3DAFBEE2" w14:textId="77777777" w:rsidR="007A1FDC" w:rsidRPr="004A0C12" w:rsidRDefault="0096326A" w:rsidP="00493F1A">
      <w:pPr>
        <w:spacing w:after="0" w:line="240" w:lineRule="auto"/>
        <w:jc w:val="both"/>
        <w:rPr>
          <w:rFonts w:ascii="Garamond" w:hAnsi="Garamond"/>
        </w:rPr>
      </w:pPr>
      <w:r w:rsidRPr="004A0C12">
        <w:rPr>
          <w:rFonts w:ascii="Garamond" w:hAnsi="Garamond"/>
        </w:rPr>
        <w:lastRenderedPageBreak/>
        <w:t>In i</w:t>
      </w:r>
      <w:r w:rsidR="007A1FDC" w:rsidRPr="004A0C12">
        <w:rPr>
          <w:rFonts w:ascii="Garamond" w:hAnsi="Garamond"/>
        </w:rPr>
        <w:t>dentifying curriculum frameworks and aligning rigorous content standards</w:t>
      </w:r>
      <w:r w:rsidRPr="004A0C12">
        <w:rPr>
          <w:rFonts w:ascii="Garamond" w:hAnsi="Garamond"/>
        </w:rPr>
        <w:t xml:space="preserve"> that </w:t>
      </w:r>
      <w:r w:rsidR="007A1FDC" w:rsidRPr="004A0C12">
        <w:rPr>
          <w:rFonts w:ascii="Garamond" w:hAnsi="Garamond"/>
        </w:rPr>
        <w:t>specify what adult learners should know and be able to do in the areas of reading and language arts, mathematics, and E</w:t>
      </w:r>
      <w:r w:rsidRPr="004A0C12">
        <w:rPr>
          <w:rFonts w:ascii="Garamond" w:hAnsi="Garamond"/>
        </w:rPr>
        <w:t>nglish language acquisition; and</w:t>
      </w:r>
      <w:r w:rsidR="007A1FDC" w:rsidRPr="004A0C12">
        <w:rPr>
          <w:rFonts w:ascii="Garamond" w:hAnsi="Garamond"/>
        </w:rPr>
        <w:t xml:space="preserve"> take into consideration the following:</w:t>
      </w:r>
    </w:p>
    <w:p w14:paraId="1A3AC86F" w14:textId="77777777" w:rsidR="002D271E" w:rsidRPr="004A0C12" w:rsidRDefault="002D271E" w:rsidP="00493F1A">
      <w:pPr>
        <w:spacing w:after="0" w:line="240" w:lineRule="auto"/>
        <w:jc w:val="both"/>
        <w:rPr>
          <w:rFonts w:ascii="Garamond" w:hAnsi="Garamond"/>
        </w:rPr>
      </w:pPr>
    </w:p>
    <w:p w14:paraId="5C28061E" w14:textId="6E51EE3D" w:rsidR="002D271E" w:rsidRPr="004A0C12" w:rsidRDefault="007A1FDC" w:rsidP="00232F09">
      <w:pPr>
        <w:pStyle w:val="ListParagraph"/>
        <w:numPr>
          <w:ilvl w:val="0"/>
          <w:numId w:val="197"/>
        </w:numPr>
        <w:jc w:val="both"/>
        <w:rPr>
          <w:rFonts w:ascii="Garamond" w:hAnsi="Garamond"/>
          <w:szCs w:val="22"/>
        </w:rPr>
      </w:pPr>
      <w:r w:rsidRPr="004A0C12">
        <w:rPr>
          <w:rFonts w:ascii="Garamond" w:hAnsi="Garamond"/>
          <w:szCs w:val="22"/>
        </w:rPr>
        <w:t>S</w:t>
      </w:r>
      <w:r w:rsidR="00493F1A" w:rsidRPr="004A0C12">
        <w:rPr>
          <w:rFonts w:ascii="Garamond" w:hAnsi="Garamond"/>
          <w:szCs w:val="22"/>
        </w:rPr>
        <w:t>tate adopted academic standards</w:t>
      </w:r>
    </w:p>
    <w:p w14:paraId="067F84CB" w14:textId="25524371" w:rsidR="002D271E" w:rsidRPr="004A0C12" w:rsidRDefault="007A1FDC" w:rsidP="00232F09">
      <w:pPr>
        <w:pStyle w:val="ListParagraph"/>
        <w:numPr>
          <w:ilvl w:val="0"/>
          <w:numId w:val="197"/>
        </w:numPr>
        <w:jc w:val="both"/>
        <w:rPr>
          <w:rFonts w:ascii="Garamond" w:hAnsi="Garamond"/>
          <w:szCs w:val="22"/>
        </w:rPr>
      </w:pPr>
      <w:r w:rsidRPr="004A0C12">
        <w:rPr>
          <w:rFonts w:ascii="Garamond" w:hAnsi="Garamond"/>
          <w:szCs w:val="22"/>
        </w:rPr>
        <w:t>The current adult skills and literac</w:t>
      </w:r>
      <w:r w:rsidR="00493F1A" w:rsidRPr="004A0C12">
        <w:rPr>
          <w:rFonts w:ascii="Garamond" w:hAnsi="Garamond"/>
          <w:szCs w:val="22"/>
        </w:rPr>
        <w:t>y assessments used in the State</w:t>
      </w:r>
    </w:p>
    <w:p w14:paraId="651615B1" w14:textId="61493E5A" w:rsidR="002D271E" w:rsidRPr="004A0C12" w:rsidRDefault="007A1FDC" w:rsidP="00232F09">
      <w:pPr>
        <w:pStyle w:val="ListParagraph"/>
        <w:numPr>
          <w:ilvl w:val="0"/>
          <w:numId w:val="197"/>
        </w:numPr>
        <w:jc w:val="both"/>
        <w:rPr>
          <w:rFonts w:ascii="Garamond" w:hAnsi="Garamond"/>
          <w:szCs w:val="22"/>
        </w:rPr>
      </w:pPr>
      <w:r w:rsidRPr="004A0C12">
        <w:rPr>
          <w:rFonts w:ascii="Garamond" w:hAnsi="Garamond"/>
          <w:szCs w:val="22"/>
        </w:rPr>
        <w:t>The primary indicators of perfo</w:t>
      </w:r>
      <w:r w:rsidR="00493F1A" w:rsidRPr="004A0C12">
        <w:rPr>
          <w:rFonts w:ascii="Garamond" w:hAnsi="Garamond"/>
          <w:szCs w:val="22"/>
        </w:rPr>
        <w:t>rmance described in section 116</w:t>
      </w:r>
    </w:p>
    <w:p w14:paraId="2BF56005" w14:textId="1DBDCA90" w:rsidR="002D271E" w:rsidRPr="004A0C12" w:rsidRDefault="007A1FDC" w:rsidP="00232F09">
      <w:pPr>
        <w:pStyle w:val="ListParagraph"/>
        <w:numPr>
          <w:ilvl w:val="0"/>
          <w:numId w:val="197"/>
        </w:numPr>
        <w:jc w:val="both"/>
        <w:rPr>
          <w:rFonts w:ascii="Garamond" w:hAnsi="Garamond"/>
          <w:szCs w:val="22"/>
        </w:rPr>
      </w:pPr>
      <w:r w:rsidRPr="004A0C12">
        <w:rPr>
          <w:rFonts w:ascii="Garamond" w:hAnsi="Garamond"/>
          <w:szCs w:val="22"/>
        </w:rPr>
        <w:t>Standards and academic requirements for enrollment in non</w:t>
      </w:r>
      <w:r w:rsidR="00DB01ED" w:rsidRPr="004A0C12">
        <w:rPr>
          <w:rFonts w:ascii="Garamond" w:hAnsi="Garamond"/>
          <w:szCs w:val="22"/>
        </w:rPr>
        <w:t>-</w:t>
      </w:r>
      <w:r w:rsidRPr="004A0C12">
        <w:rPr>
          <w:rFonts w:ascii="Garamond" w:hAnsi="Garamond"/>
          <w:szCs w:val="22"/>
        </w:rPr>
        <w:t>remedial, for-credit courses in post</w:t>
      </w:r>
      <w:r w:rsidR="00493F1A" w:rsidRPr="004A0C12">
        <w:rPr>
          <w:rFonts w:ascii="Garamond" w:hAnsi="Garamond"/>
          <w:szCs w:val="22"/>
        </w:rPr>
        <w:t>-</w:t>
      </w:r>
      <w:r w:rsidRPr="004A0C12">
        <w:rPr>
          <w:rFonts w:ascii="Garamond" w:hAnsi="Garamond"/>
          <w:szCs w:val="22"/>
        </w:rPr>
        <w:t>secondary educational institutions or institutio</w:t>
      </w:r>
      <w:r w:rsidR="00493F1A" w:rsidRPr="004A0C12">
        <w:rPr>
          <w:rFonts w:ascii="Garamond" w:hAnsi="Garamond"/>
          <w:szCs w:val="22"/>
        </w:rPr>
        <w:t xml:space="preserve">ns of higher education are supported </w:t>
      </w:r>
      <w:r w:rsidR="002D271E" w:rsidRPr="004A0C12">
        <w:rPr>
          <w:rFonts w:ascii="Garamond" w:hAnsi="Garamond"/>
          <w:szCs w:val="22"/>
        </w:rPr>
        <w:t xml:space="preserve"> </w:t>
      </w:r>
    </w:p>
    <w:p w14:paraId="7F717A67" w14:textId="22109548" w:rsidR="0096326A" w:rsidRPr="004A0C12" w:rsidRDefault="007A1FDC" w:rsidP="00232F09">
      <w:pPr>
        <w:pStyle w:val="ListParagraph"/>
        <w:numPr>
          <w:ilvl w:val="0"/>
          <w:numId w:val="197"/>
        </w:numPr>
        <w:jc w:val="both"/>
        <w:rPr>
          <w:rFonts w:ascii="Garamond" w:hAnsi="Garamond"/>
          <w:szCs w:val="22"/>
        </w:rPr>
      </w:pPr>
      <w:r w:rsidRPr="004A0C12">
        <w:rPr>
          <w:rFonts w:ascii="Garamond" w:hAnsi="Garamond"/>
          <w:szCs w:val="22"/>
        </w:rPr>
        <w:t>Where appropriate, the content of occupational and industry skill standards widely used</w:t>
      </w:r>
      <w:r w:rsidR="002D271E" w:rsidRPr="004A0C12">
        <w:rPr>
          <w:rFonts w:ascii="Garamond" w:hAnsi="Garamond"/>
          <w:szCs w:val="22"/>
        </w:rPr>
        <w:t xml:space="preserve"> </w:t>
      </w:r>
      <w:r w:rsidRPr="004A0C12">
        <w:rPr>
          <w:rFonts w:ascii="Garamond" w:hAnsi="Garamond"/>
          <w:szCs w:val="22"/>
        </w:rPr>
        <w:t>by business and industry in the State.</w:t>
      </w:r>
    </w:p>
    <w:p w14:paraId="3F71B269" w14:textId="77777777" w:rsidR="002D271E" w:rsidRPr="004A0C12" w:rsidRDefault="002D271E" w:rsidP="00493F1A">
      <w:pPr>
        <w:pStyle w:val="ListParagraph"/>
        <w:ind w:left="1440"/>
        <w:jc w:val="both"/>
        <w:rPr>
          <w:rFonts w:ascii="Garamond" w:hAnsi="Garamond"/>
          <w:szCs w:val="22"/>
        </w:rPr>
      </w:pPr>
    </w:p>
    <w:p w14:paraId="5F33A28B" w14:textId="54C112AB" w:rsidR="007A1FDC" w:rsidRPr="004A0C12" w:rsidRDefault="0096326A" w:rsidP="00493F1A">
      <w:pPr>
        <w:spacing w:after="0" w:line="240" w:lineRule="auto"/>
        <w:jc w:val="both"/>
        <w:rPr>
          <w:rFonts w:ascii="Garamond" w:hAnsi="Garamond"/>
        </w:rPr>
      </w:pPr>
      <w:r w:rsidRPr="004A0C12">
        <w:rPr>
          <w:rFonts w:ascii="Garamond" w:hAnsi="Garamond"/>
        </w:rPr>
        <w:t>Maryland intends to accomplish this provision of WIOA by restructuring</w:t>
      </w:r>
      <w:r w:rsidR="007A1FDC" w:rsidRPr="004A0C12">
        <w:rPr>
          <w:rFonts w:ascii="Garamond" w:hAnsi="Garamond"/>
        </w:rPr>
        <w:t xml:space="preserve"> E</w:t>
      </w:r>
      <w:r w:rsidRPr="004A0C12">
        <w:rPr>
          <w:rFonts w:ascii="Garamond" w:hAnsi="Garamond"/>
        </w:rPr>
        <w:t>nglish Language Acquisition</w:t>
      </w:r>
      <w:r w:rsidR="007A1FDC" w:rsidRPr="004A0C12">
        <w:rPr>
          <w:rFonts w:ascii="Garamond" w:hAnsi="Garamond"/>
        </w:rPr>
        <w:t xml:space="preserve"> </w:t>
      </w:r>
      <w:r w:rsidRPr="004A0C12">
        <w:rPr>
          <w:rFonts w:ascii="Garamond" w:hAnsi="Garamond"/>
        </w:rPr>
        <w:t>C</w:t>
      </w:r>
      <w:r w:rsidR="007A1FDC" w:rsidRPr="004A0C12">
        <w:rPr>
          <w:rFonts w:ascii="Garamond" w:hAnsi="Garamond"/>
        </w:rPr>
        <w:t>ontent Standards to include integration of language acquisition and with workforce preparedness training.</w:t>
      </w:r>
      <w:r w:rsidRPr="004A0C12">
        <w:rPr>
          <w:rFonts w:ascii="Garamond" w:hAnsi="Garamond"/>
        </w:rPr>
        <w:t xml:space="preserve"> Further,</w:t>
      </w:r>
      <w:r w:rsidR="007A1FDC" w:rsidRPr="004A0C12">
        <w:rPr>
          <w:rFonts w:ascii="Garamond" w:hAnsi="Garamond"/>
        </w:rPr>
        <w:t xml:space="preserve"> professional development on integration of</w:t>
      </w:r>
      <w:bookmarkStart w:id="161" w:name="GoBack"/>
      <w:bookmarkEnd w:id="161"/>
      <w:r w:rsidR="007A1FDC" w:rsidRPr="004A0C12">
        <w:rPr>
          <w:rFonts w:ascii="Garamond" w:hAnsi="Garamond"/>
        </w:rPr>
        <w:t xml:space="preserve"> the College and Career Readiness Standards for adults with instruction for all students</w:t>
      </w:r>
      <w:r w:rsidRPr="004A0C12">
        <w:rPr>
          <w:rFonts w:ascii="Garamond" w:hAnsi="Garamond"/>
        </w:rPr>
        <w:t xml:space="preserve"> should be utilized</w:t>
      </w:r>
      <w:r w:rsidR="00DB01ED" w:rsidRPr="004A0C12">
        <w:rPr>
          <w:rFonts w:ascii="Garamond" w:hAnsi="Garamond"/>
        </w:rPr>
        <w:t>.</w:t>
      </w:r>
    </w:p>
    <w:p w14:paraId="5AEF9299" w14:textId="2084052F" w:rsidR="007A1FDC" w:rsidRPr="004A0C12" w:rsidRDefault="00631552" w:rsidP="00493F1A">
      <w:pPr>
        <w:spacing w:after="0" w:line="240" w:lineRule="auto"/>
        <w:rPr>
          <w:rFonts w:ascii="Garamond" w:hAnsi="Garamond"/>
        </w:rPr>
      </w:pPr>
      <w:r w:rsidRPr="004A0C12">
        <w:rPr>
          <w:rFonts w:ascii="Garamond" w:hAnsi="Garamond"/>
        </w:rPr>
        <w:t>Through participation of the state interagency plan</w:t>
      </w:r>
      <w:r w:rsidR="007D1705" w:rsidRPr="004A0C12">
        <w:rPr>
          <w:rFonts w:ascii="Garamond" w:hAnsi="Garamond"/>
        </w:rPr>
        <w:t>ning initiatives with the WIOA P</w:t>
      </w:r>
      <w:r w:rsidRPr="004A0C12">
        <w:rPr>
          <w:rFonts w:ascii="Garamond" w:hAnsi="Garamond"/>
        </w:rPr>
        <w:t xml:space="preserve">artners, </w:t>
      </w:r>
      <w:r w:rsidR="0096326A" w:rsidRPr="004A0C12">
        <w:rPr>
          <w:rFonts w:ascii="Garamond" w:hAnsi="Garamond"/>
        </w:rPr>
        <w:t xml:space="preserve">Maryland’s adult education providers will collaborate </w:t>
      </w:r>
      <w:r w:rsidR="007A1FDC" w:rsidRPr="004A0C12">
        <w:rPr>
          <w:rFonts w:ascii="Garamond" w:hAnsi="Garamond"/>
        </w:rPr>
        <w:t>where possible, and avoid duplicating efforts, in order to maximize the impact of the activit</w:t>
      </w:r>
      <w:r w:rsidR="0096326A" w:rsidRPr="004A0C12">
        <w:rPr>
          <w:rFonts w:ascii="Garamond" w:hAnsi="Garamond"/>
        </w:rPr>
        <w:t>ies described above</w:t>
      </w:r>
      <w:r w:rsidRPr="004A0C12">
        <w:rPr>
          <w:rFonts w:ascii="Garamond" w:hAnsi="Garamond"/>
        </w:rPr>
        <w:t>.</w:t>
      </w:r>
    </w:p>
    <w:p w14:paraId="0F90788A" w14:textId="77777777" w:rsidR="007A1FDC" w:rsidRPr="00535D82" w:rsidRDefault="007A1FDC" w:rsidP="0096326A">
      <w:pPr>
        <w:pStyle w:val="Heading4"/>
        <w:rPr>
          <w:rFonts w:ascii="Garamond" w:hAnsi="Garamond"/>
          <w:sz w:val="24"/>
          <w:szCs w:val="24"/>
        </w:rPr>
      </w:pPr>
      <w:r w:rsidRPr="00535D82">
        <w:rPr>
          <w:rFonts w:ascii="Garamond" w:hAnsi="Garamond"/>
          <w:sz w:val="24"/>
          <w:szCs w:val="24"/>
        </w:rPr>
        <w:t xml:space="preserve">ASSESSING QUALITY </w:t>
      </w:r>
    </w:p>
    <w:p w14:paraId="346D02AD" w14:textId="77777777" w:rsidR="007A1FDC" w:rsidRPr="004A0C12" w:rsidRDefault="007A1FDC" w:rsidP="00F6079B">
      <w:pPr>
        <w:spacing w:after="100" w:line="240" w:lineRule="auto"/>
        <w:jc w:val="both"/>
        <w:rPr>
          <w:rFonts w:ascii="Garamond" w:hAnsi="Garamond"/>
        </w:rPr>
      </w:pPr>
      <w:r w:rsidRPr="004A0C12">
        <w:rPr>
          <w:rFonts w:ascii="Garamond" w:hAnsi="Garamond"/>
        </w:rPr>
        <w:t xml:space="preserve">Maryland will assess the quality of adult education providers using a combined desk and onsite monitoring approach.  </w:t>
      </w:r>
    </w:p>
    <w:p w14:paraId="79B3ECF1"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Maryland uses a combined approach of onsite and desk monitoring to assess quality in adult education programming. Each grantee is assigned to an Adult Education Program Specialist whose role is to provide monitoring and technical assistance to the grantees. Grantees analyze their program progress on a quarterly basis and submit quarterly data review reports to the Specialist. The reports include an analysis of data on enrollment, contact hours, student retention, and progress toward meeting performance goals. Specialists review the reports and provide follow up to the grantees. Technical assistance is offered as needed and professional development is recommended where indicated.</w:t>
      </w:r>
    </w:p>
    <w:p w14:paraId="0695D03E"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All AEFLA funded programs are required to review performance annually, identify any challenged that prevented meeting performance targets, and propose strategies to address these challenges. Proposals are reviewed by State Staff who provide technical assistance and make recommendations for additional strategies and professional development. Low performing programs may be assigned to a mentor from a high performing program.</w:t>
      </w:r>
    </w:p>
    <w:p w14:paraId="3C628336"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A Performance Based Funding formula provides a system to incentivize high quality programming using available instructional funding.</w:t>
      </w:r>
    </w:p>
    <w:p w14:paraId="2A507A4C"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 xml:space="preserve">The LACES data system captures student </w:t>
      </w:r>
      <w:proofErr w:type="gramStart"/>
      <w:r w:rsidRPr="004A0C12">
        <w:rPr>
          <w:rFonts w:ascii="Garamond" w:hAnsi="Garamond"/>
          <w:color w:val="000000"/>
          <w:sz w:val="22"/>
          <w:szCs w:val="22"/>
        </w:rPr>
        <w:t>demographics,</w:t>
      </w:r>
      <w:proofErr w:type="gramEnd"/>
      <w:r w:rsidRPr="004A0C12">
        <w:rPr>
          <w:rFonts w:ascii="Garamond" w:hAnsi="Garamond"/>
          <w:color w:val="000000"/>
          <w:sz w:val="22"/>
          <w:szCs w:val="22"/>
        </w:rPr>
        <w:t xml:space="preserve"> enrollment and student progress and meets the requirements of the National Reporting System. Annual sampling of data from LACES is verified in onsite student records to ensure the validity of data entered at the program level. In the event that errors or inconsistencies are found, programs submit a Corrective Action Plan. Subsequent monitoring and technical assistance from state staff is provided to ensure that the required changes are implemented. Program leadership members work as a team to ensure compliance with the Data Quality Checklist, and meet with staff to review new procedures.</w:t>
      </w:r>
    </w:p>
    <w:p w14:paraId="6C707A9E"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A fiscal monitoring is conducted for all grantees using a risk analysis model. All programs are monitored over a three year cycle; however, those with risk factors are prioritized for immediate review.</w:t>
      </w:r>
    </w:p>
    <w:p w14:paraId="321CE467"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 xml:space="preserve">State </w:t>
      </w:r>
      <w:proofErr w:type="gramStart"/>
      <w:r w:rsidRPr="004A0C12">
        <w:rPr>
          <w:rFonts w:ascii="Garamond" w:hAnsi="Garamond"/>
          <w:color w:val="000000"/>
          <w:sz w:val="22"/>
          <w:szCs w:val="22"/>
        </w:rPr>
        <w:t>staff regularly meet</w:t>
      </w:r>
      <w:proofErr w:type="gramEnd"/>
      <w:r w:rsidRPr="004A0C12">
        <w:rPr>
          <w:rFonts w:ascii="Garamond" w:hAnsi="Garamond"/>
          <w:color w:val="000000"/>
          <w:sz w:val="22"/>
          <w:szCs w:val="22"/>
        </w:rPr>
        <w:t xml:space="preserve"> onsite with key local staff, provide timely technical assistance and ensure that state and federal regulations are adhered to in program practice.</w:t>
      </w:r>
    </w:p>
    <w:p w14:paraId="343BE5C7"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 xml:space="preserve">Assessing the quality of professional learning at both the state and local level supports high quality instruction and is essential to the operation of high professional development programs. The AELS office is responsible for implementing, and maintaining standards for professional learning and using standards to assess and evaluate state funded professional development for adult education. The tools that the AELS staff employ to ensure that professional development programing is addressing the targets for improving instruction in the local activities {required under section 231(b)} are based on Guskey’s model for Five Critical Levels of Professional Development Evaluation, that include but are not limited to the following: annual needs assessment, state and </w:t>
      </w:r>
      <w:r w:rsidRPr="004A0C12">
        <w:rPr>
          <w:rFonts w:ascii="Garamond" w:hAnsi="Garamond"/>
          <w:color w:val="000000"/>
          <w:sz w:val="22"/>
          <w:szCs w:val="22"/>
        </w:rPr>
        <w:lastRenderedPageBreak/>
        <w:t>local evaluation of materials, presentation and objective completion, workgroups for feedback and information in the field, state and local observation (program operation and instruction) and program outcome data. Local programs submit a plan for professional development with their grant application detailing selection criteria, delivery method, target audience and method for evaluation. Documentation of local professional development is submitted and maintained on the state online file sharing system and reviewed by state staff. Documentation for all professional learning activities at the state and local level is maintained to ensure that programs are in compliance with all state required professional development. The State also serves as a resource for information on best practices, program models and uses a variety of methods to disseminate information. Aside from tradition email distribution, AELS has a centralize online repository for programs to access resources and information, as well as a monthly conference call or Webinar to communicate promising practices, activities and initiatives. In evaluating the quality of professional development programs it is important to collect data using a variety of tools both quantitative and qualitative. Feedback from the State delivered foundation trainings and State facilitated sharing sessions for local programs’ leadership team members provide data for evaluating the effectiveness of professional development activities.</w:t>
      </w:r>
    </w:p>
    <w:p w14:paraId="78EAE2F9"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(1) An emphasis on professional learning will be placed on local adult education providers incorporating the research-based components of phonemic awareness, system phonics, fluency, and reading comprehension. Reading test scores will be analyzed and evaluated at the state and local level to determine the impact, quality and need for changes in professional learning and adjustments will be made according to the results.</w:t>
      </w:r>
    </w:p>
    <w:p w14:paraId="661268EF"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(2) Adult learning theory and the needs of adult learners will be the foundation of local adult education instruction. Professional learning activities will be planned and implemented to assist local programs in designing instruction with a basis in Knowles principles of andragogy, the learning needs specific to adult learners: need to be involved in planning and evaluation of instruction, experience as the basis for learning activities, immediate relevance and impact on work and life and problem-centered. Adult learner goal attainment and student education gain will be used to measure if students’ involvement in planning and evaluation has been incorporated in the classroom. Additionally those measures will also be used to address the instructor’s practice of designing instruction that is relevant to the student’s life and work and based on students life experiences. Classroom observation can also demonstrate whether instructors using student experience as the basis for learning activities and is putting problem-centered instruction into practice. Data collected from observation, student goal attainment and educational gain will be used to analyze need and make changes and improvements future professional learning activities.</w:t>
      </w:r>
    </w:p>
    <w:p w14:paraId="6B508A0A" w14:textId="77777777"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(3) Personnel both paid and volunteers will be afforded foundation professional learning activities in accordance with state required topics/subject areas. These activities include but are not limited to, assessment, College and Career Readiness standards, ESL content standards, essential components of reading, and numeracy. Instructors will be prepared in these core areas in order to implement instruction to support student educational gain and goal attainment. Programs and the state will review program data to evaluate the pre/post-test match, as well as student test score gains in reading, math, English language skills to evaluate the quality of the activities, this data will be used for continuous improvement for the foundation professional learning activities.</w:t>
      </w:r>
    </w:p>
    <w:p w14:paraId="19731791" w14:textId="0BCC8D15" w:rsidR="00506DBD" w:rsidRPr="004A0C12" w:rsidRDefault="00506DBD" w:rsidP="00F6079B">
      <w:pPr>
        <w:pStyle w:val="NormalWeb"/>
        <w:spacing w:before="0" w:beforeAutospacing="0" w:afterAutospacing="0"/>
        <w:jc w:val="both"/>
        <w:rPr>
          <w:rFonts w:ascii="Garamond" w:hAnsi="Garamond"/>
          <w:color w:val="000000"/>
          <w:sz w:val="22"/>
          <w:szCs w:val="22"/>
        </w:rPr>
      </w:pPr>
      <w:r w:rsidRPr="004A0C12">
        <w:rPr>
          <w:rFonts w:ascii="Garamond" w:hAnsi="Garamond"/>
          <w:color w:val="000000"/>
          <w:sz w:val="22"/>
          <w:szCs w:val="22"/>
        </w:rPr>
        <w:t xml:space="preserve">(4) AELS will disseminate information on promising practices and instructional models to local programs and stakeholders in adult education using a variety of methods. Professional learning sharing sessions, leadership team workgroups, meetings, </w:t>
      </w:r>
      <w:proofErr w:type="gramStart"/>
      <w:r w:rsidRPr="004A0C12">
        <w:rPr>
          <w:rFonts w:ascii="Garamond" w:hAnsi="Garamond"/>
          <w:color w:val="000000"/>
          <w:sz w:val="22"/>
          <w:szCs w:val="22"/>
        </w:rPr>
        <w:t>email ,</w:t>
      </w:r>
      <w:proofErr w:type="gramEnd"/>
      <w:r w:rsidRPr="004A0C12">
        <w:rPr>
          <w:rFonts w:ascii="Garamond" w:hAnsi="Garamond"/>
          <w:color w:val="000000"/>
          <w:sz w:val="22"/>
          <w:szCs w:val="22"/>
        </w:rPr>
        <w:t xml:space="preserve"> as well as centralized online repository will help programs access current adult education programing and instruction information.</w:t>
      </w:r>
    </w:p>
    <w:p w14:paraId="414D243D" w14:textId="532A7603" w:rsidR="00506DBD" w:rsidRPr="004A0C12" w:rsidRDefault="00506DBD" w:rsidP="00F6079B">
      <w:pPr>
        <w:pStyle w:val="NormalWeb"/>
        <w:spacing w:before="0" w:beforeAutospacing="0" w:afterAutospacing="0"/>
        <w:jc w:val="both"/>
        <w:rPr>
          <w:rFonts w:ascii="Garamond" w:hAnsi="Garamond"/>
          <w:sz w:val="22"/>
          <w:szCs w:val="22"/>
        </w:rPr>
      </w:pPr>
      <w:r w:rsidRPr="004A0C12">
        <w:rPr>
          <w:rFonts w:ascii="Garamond" w:hAnsi="Garamond"/>
          <w:color w:val="000000"/>
          <w:sz w:val="22"/>
          <w:szCs w:val="22"/>
        </w:rPr>
        <w:t>All meetings and sharing sessions will be evaluated not only by participant evaluation but also feedback and observation on models or practices that have been implemented as a result of the receiving the information. The results of the evaluation and observations will determine the effectiveness of the dissemination processes, adjustments will be made as necessary to ensure that all relevant information is being distributed efficiently and effectively.</w:t>
      </w:r>
    </w:p>
    <w:p w14:paraId="4C6E4EDB" w14:textId="77777777" w:rsidR="00506DBD" w:rsidRPr="004A0C12" w:rsidRDefault="00506DBD" w:rsidP="007A1FDC">
      <w:pPr>
        <w:spacing w:after="0" w:line="240" w:lineRule="auto"/>
        <w:rPr>
          <w:rFonts w:ascii="Garamond" w:hAnsi="Garamond" w:cs="Times New Roman"/>
          <w:b/>
        </w:rPr>
      </w:pPr>
    </w:p>
    <w:p w14:paraId="10515CC1" w14:textId="77777777" w:rsidR="007A1FDC" w:rsidRPr="004A0C12" w:rsidRDefault="007A1FDC" w:rsidP="007A1FDC">
      <w:pPr>
        <w:spacing w:after="0" w:line="240" w:lineRule="auto"/>
        <w:rPr>
          <w:rFonts w:ascii="Garamond" w:hAnsi="Garamond" w:cs="Times New Roman"/>
          <w:b/>
        </w:rPr>
      </w:pPr>
      <w:r w:rsidRPr="004A0C12">
        <w:rPr>
          <w:rFonts w:ascii="Garamond" w:hAnsi="Garamond" w:cs="Times New Roman"/>
          <w:b/>
        </w:rPr>
        <w:t>ADULT BASIC EDUCATION AND LITERACY PROGRAMS CERTIFICATIONS AND ASSURANCES</w:t>
      </w:r>
    </w:p>
    <w:tbl>
      <w:tblPr>
        <w:tblW w:w="11115" w:type="dxa"/>
        <w:tblInd w:w="5" w:type="dxa"/>
        <w:tblLayout w:type="fixed"/>
        <w:tblLook w:val="0000" w:firstRow="0" w:lastRow="0" w:firstColumn="0" w:lastColumn="0" w:noHBand="0" w:noVBand="0"/>
      </w:tblPr>
      <w:tblGrid>
        <w:gridCol w:w="543"/>
        <w:gridCol w:w="10572"/>
      </w:tblGrid>
      <w:tr w:rsidR="007A1FDC" w:rsidRPr="004A0C12" w14:paraId="2B22579B" w14:textId="77777777" w:rsidTr="0096326A">
        <w:trPr>
          <w:cantSplit/>
          <w:trHeight w:val="322"/>
        </w:trPr>
        <w:tc>
          <w:tcPr>
            <w:tcW w:w="11115" w:type="dxa"/>
            <w:gridSpan w:val="2"/>
            <w:tcBorders>
              <w:top w:val="single" w:sz="8"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1C600812" w14:textId="77777777" w:rsidR="007A1FDC" w:rsidRPr="004A0C12" w:rsidRDefault="007A1FDC" w:rsidP="007A1FDC">
            <w:pPr>
              <w:spacing w:after="0" w:line="240" w:lineRule="auto"/>
              <w:rPr>
                <w:rFonts w:ascii="Garamond" w:hAnsi="Garamond" w:cs="Times New Roman"/>
                <w:b/>
              </w:rPr>
            </w:pPr>
            <w:r w:rsidRPr="004A0C12">
              <w:rPr>
                <w:rFonts w:ascii="Garamond" w:hAnsi="Garamond" w:cs="Times New Roman"/>
                <w:b/>
              </w:rPr>
              <w:t>States must provide written and signed certifications that:</w:t>
            </w:r>
          </w:p>
        </w:tc>
      </w:tr>
      <w:tr w:rsidR="007A1FDC" w:rsidRPr="004A0C12" w14:paraId="1E3FFBA2"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5F87B092"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1.</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738DB404"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The plan is submitted by the State agency that is eligible to submit the plan;</w:t>
            </w:r>
          </w:p>
        </w:tc>
      </w:tr>
      <w:tr w:rsidR="007A1FDC" w:rsidRPr="004A0C12" w14:paraId="0403FA69"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17A54B33"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3B4292BC" w14:textId="77777777" w:rsidR="007A1FDC" w:rsidRPr="004A0C12" w:rsidRDefault="007A1FDC" w:rsidP="007A1FDC">
            <w:pPr>
              <w:spacing w:after="0" w:line="240" w:lineRule="auto"/>
              <w:rPr>
                <w:rFonts w:ascii="Garamond" w:hAnsi="Garamond" w:cs="Times New Roman"/>
              </w:rPr>
            </w:pPr>
          </w:p>
        </w:tc>
      </w:tr>
      <w:tr w:rsidR="007A1FDC" w:rsidRPr="004A0C12" w14:paraId="4B43097B" w14:textId="77777777" w:rsidTr="0096326A">
        <w:trPr>
          <w:cantSplit/>
          <w:trHeight w:val="523"/>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27AA45E5"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2.</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4A481B10"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The State agency has authority under State law to perform the functions of the State under the program;</w:t>
            </w:r>
          </w:p>
        </w:tc>
      </w:tr>
      <w:tr w:rsidR="007A1FDC" w:rsidRPr="004A0C12" w14:paraId="36025EDF"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65CF9743"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67EACE89" w14:textId="77777777" w:rsidR="007A1FDC" w:rsidRPr="004A0C12" w:rsidRDefault="007A1FDC" w:rsidP="007A1FDC">
            <w:pPr>
              <w:spacing w:after="0" w:line="240" w:lineRule="auto"/>
              <w:rPr>
                <w:rFonts w:ascii="Garamond" w:hAnsi="Garamond" w:cs="Times New Roman"/>
              </w:rPr>
            </w:pPr>
          </w:p>
        </w:tc>
      </w:tr>
      <w:tr w:rsidR="007A1FDC" w:rsidRPr="004A0C12" w14:paraId="05725BE7"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13FE6994"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lastRenderedPageBreak/>
              <w:t>3.</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22252111"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The State legally may carry out each provision of the plan;</w:t>
            </w:r>
          </w:p>
        </w:tc>
      </w:tr>
      <w:tr w:rsidR="007A1FDC" w:rsidRPr="004A0C12" w14:paraId="61BE876A" w14:textId="77777777" w:rsidTr="0096326A">
        <w:trPr>
          <w:cantSplit/>
          <w:trHeight w:val="361"/>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0F3C4E6A"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1798F367" w14:textId="77777777" w:rsidR="007A1FDC" w:rsidRPr="004A0C12" w:rsidRDefault="007A1FDC" w:rsidP="007A1FDC">
            <w:pPr>
              <w:spacing w:after="0" w:line="240" w:lineRule="auto"/>
              <w:rPr>
                <w:rFonts w:ascii="Garamond" w:hAnsi="Garamond" w:cs="Times New Roman"/>
              </w:rPr>
            </w:pPr>
          </w:p>
        </w:tc>
      </w:tr>
      <w:tr w:rsidR="007A1FDC" w:rsidRPr="004A0C12" w14:paraId="18D2A4F7" w14:textId="77777777" w:rsidTr="0096326A">
        <w:trPr>
          <w:cantSplit/>
          <w:trHeight w:val="361"/>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655DD4E8"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4.</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5BBDBB98"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All provisions of the plan are consistent with State law;</w:t>
            </w:r>
          </w:p>
        </w:tc>
      </w:tr>
      <w:tr w:rsidR="007A1FDC" w:rsidRPr="004A0C12" w14:paraId="5B5E2C77"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640F5D0A"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3C712326" w14:textId="77777777" w:rsidR="007A1FDC" w:rsidRPr="004A0C12" w:rsidRDefault="007A1FDC" w:rsidP="007A1FDC">
            <w:pPr>
              <w:spacing w:after="0" w:line="240" w:lineRule="auto"/>
              <w:rPr>
                <w:rFonts w:ascii="Garamond" w:hAnsi="Garamond" w:cs="Times New Roman"/>
              </w:rPr>
            </w:pPr>
          </w:p>
        </w:tc>
      </w:tr>
      <w:tr w:rsidR="007A1FDC" w:rsidRPr="004A0C12" w14:paraId="1CD7B4CE" w14:textId="77777777" w:rsidTr="0096326A">
        <w:trPr>
          <w:cantSplit/>
          <w:trHeight w:val="523"/>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46DCABE5"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5.</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1ABB41CA"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A State officer, specified by title in the certification, has authority under State law to receive, hold, and disburse Federal funds made available under the plan;</w:t>
            </w:r>
          </w:p>
        </w:tc>
      </w:tr>
      <w:tr w:rsidR="007A1FDC" w:rsidRPr="004A0C12" w14:paraId="79E86CA3"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1A40152F"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27797774" w14:textId="77777777" w:rsidR="007A1FDC" w:rsidRPr="004A0C12" w:rsidRDefault="007A1FDC" w:rsidP="007A1FDC">
            <w:pPr>
              <w:spacing w:after="0" w:line="240" w:lineRule="auto"/>
              <w:rPr>
                <w:rFonts w:ascii="Garamond" w:hAnsi="Garamond" w:cs="Times New Roman"/>
              </w:rPr>
            </w:pPr>
          </w:p>
        </w:tc>
      </w:tr>
      <w:tr w:rsidR="007A1FDC" w:rsidRPr="004A0C12" w14:paraId="62696A85" w14:textId="77777777" w:rsidTr="0096326A">
        <w:trPr>
          <w:cantSplit/>
          <w:trHeight w:val="523"/>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649C9EB3"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6.</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67813209"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The State officer who is submitting the plan, specified by the title in the certification, has authority to submit the plan;</w:t>
            </w:r>
          </w:p>
        </w:tc>
      </w:tr>
      <w:tr w:rsidR="007A1FDC" w:rsidRPr="004A0C12" w14:paraId="6F6A0171"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012855B3"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036C5E4A" w14:textId="77777777" w:rsidR="007A1FDC" w:rsidRPr="004A0C12" w:rsidRDefault="007A1FDC" w:rsidP="007A1FDC">
            <w:pPr>
              <w:spacing w:after="0" w:line="240" w:lineRule="auto"/>
              <w:rPr>
                <w:rFonts w:ascii="Garamond" w:hAnsi="Garamond" w:cs="Times New Roman"/>
              </w:rPr>
            </w:pPr>
          </w:p>
        </w:tc>
      </w:tr>
      <w:tr w:rsidR="007A1FDC" w:rsidRPr="004A0C12" w14:paraId="3B273930" w14:textId="77777777" w:rsidTr="0096326A">
        <w:trPr>
          <w:cantSplit/>
          <w:trHeight w:val="523"/>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50C6391B"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7.</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5F898E5C"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The agency that is submitting the plan has adopted or otherwise formally approved the plan; and</w:t>
            </w:r>
          </w:p>
        </w:tc>
      </w:tr>
      <w:tr w:rsidR="007A1FDC" w:rsidRPr="004A0C12" w14:paraId="759A61B4"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6AC9B124"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569D8F96" w14:textId="77777777" w:rsidR="007A1FDC" w:rsidRPr="004A0C12" w:rsidRDefault="007A1FDC" w:rsidP="007A1FDC">
            <w:pPr>
              <w:spacing w:after="0" w:line="240" w:lineRule="auto"/>
              <w:rPr>
                <w:rFonts w:ascii="Garamond" w:hAnsi="Garamond" w:cs="Times New Roman"/>
              </w:rPr>
            </w:pPr>
          </w:p>
        </w:tc>
      </w:tr>
      <w:tr w:rsidR="007A1FDC" w:rsidRPr="004A0C12" w14:paraId="16CED487" w14:textId="77777777" w:rsidTr="0096326A">
        <w:trPr>
          <w:cantSplit/>
          <w:trHeight w:val="1047"/>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3EA32C07"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8.</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14DCE947"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The plan is the basis for State operation and administration of the program;</w:t>
            </w:r>
          </w:p>
          <w:p w14:paraId="79EE0F5F" w14:textId="77777777" w:rsidR="007A1FDC" w:rsidRPr="004A0C12" w:rsidRDefault="007A1FDC" w:rsidP="007A1FDC">
            <w:pPr>
              <w:spacing w:after="0" w:line="240" w:lineRule="auto"/>
              <w:rPr>
                <w:rFonts w:ascii="Garamond" w:hAnsi="Garamond" w:cs="Times New Roman"/>
              </w:rPr>
            </w:pPr>
          </w:p>
          <w:p w14:paraId="3CD0B3C3" w14:textId="77777777" w:rsidR="007A1FDC" w:rsidRPr="004A0C12" w:rsidRDefault="007A1FDC" w:rsidP="007A1FDC">
            <w:pPr>
              <w:spacing w:after="0" w:line="240" w:lineRule="auto"/>
              <w:rPr>
                <w:rFonts w:ascii="Garamond" w:hAnsi="Garamond" w:cs="Times New Roman"/>
              </w:rPr>
            </w:pPr>
          </w:p>
          <w:p w14:paraId="2D8D0A3F" w14:textId="77777777" w:rsidR="007A1FDC" w:rsidRPr="004A0C12" w:rsidRDefault="007A1FDC" w:rsidP="007A1FDC">
            <w:pPr>
              <w:spacing w:after="0" w:line="240" w:lineRule="auto"/>
              <w:rPr>
                <w:rFonts w:ascii="Garamond" w:hAnsi="Garamond" w:cs="Times New Roman"/>
              </w:rPr>
            </w:pPr>
          </w:p>
        </w:tc>
      </w:tr>
      <w:tr w:rsidR="007A1FDC" w:rsidRPr="004A0C12" w14:paraId="2100223B" w14:textId="77777777" w:rsidTr="0096326A">
        <w:trPr>
          <w:cantSplit/>
          <w:trHeight w:val="332"/>
        </w:trPr>
        <w:tc>
          <w:tcPr>
            <w:tcW w:w="11115" w:type="dxa"/>
            <w:gridSpan w:val="2"/>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17BBF704" w14:textId="77777777" w:rsidR="007A1FDC" w:rsidRPr="004A0C12" w:rsidRDefault="007A1FDC" w:rsidP="007A1FDC">
            <w:pPr>
              <w:spacing w:after="0" w:line="240" w:lineRule="auto"/>
              <w:rPr>
                <w:rFonts w:ascii="Garamond" w:hAnsi="Garamond" w:cs="Times New Roman"/>
                <w:b/>
              </w:rPr>
            </w:pPr>
            <w:r w:rsidRPr="004A0C12">
              <w:rPr>
                <w:rFonts w:ascii="Garamond" w:hAnsi="Garamond" w:cs="Times New Roman"/>
                <w:b/>
              </w:rPr>
              <w:t>The State Plan must include assurances that:</w:t>
            </w:r>
          </w:p>
        </w:tc>
      </w:tr>
      <w:tr w:rsidR="007A1FDC" w:rsidRPr="004A0C12" w14:paraId="382B4A6C" w14:textId="77777777" w:rsidTr="0096326A">
        <w:trPr>
          <w:cantSplit/>
          <w:trHeight w:val="1047"/>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1D2DF9BE"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1.</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07D2AC5E"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The</w:t>
            </w:r>
            <w:r w:rsidRPr="004A0C12">
              <w:rPr>
                <w:rFonts w:ascii="Garamond" w:hAnsi="Garamond" w:cs="Times New Roman"/>
                <w:b/>
              </w:rPr>
              <w:t xml:space="preserve"> </w:t>
            </w:r>
            <w:r w:rsidRPr="004A0C12">
              <w:rPr>
                <w:rFonts w:ascii="Garamond" w:hAnsi="Garamond" w:cs="Times New Roman"/>
              </w:rPr>
              <w:t>eligible agency will expend funds appropriated to carry out title II of the Workforce Innovation and Opportunity Act (WIOA) only in a manner consistent with fiscal requirements under section 241(a) of WIOA (regarding supplement and not supplant provisions);</w:t>
            </w:r>
          </w:p>
        </w:tc>
      </w:tr>
      <w:tr w:rsidR="007A1FDC" w:rsidRPr="004A0C12" w14:paraId="735EA4C6"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6FD2D484"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062FD081" w14:textId="77777777" w:rsidR="007A1FDC" w:rsidRPr="004A0C12" w:rsidRDefault="007A1FDC" w:rsidP="007A1FDC">
            <w:pPr>
              <w:spacing w:after="0" w:line="240" w:lineRule="auto"/>
              <w:rPr>
                <w:rFonts w:ascii="Garamond" w:hAnsi="Garamond" w:cs="Times New Roman"/>
              </w:rPr>
            </w:pPr>
          </w:p>
        </w:tc>
      </w:tr>
      <w:tr w:rsidR="007A1FDC" w:rsidRPr="004A0C12" w14:paraId="453B2EF5" w14:textId="77777777" w:rsidTr="0096326A">
        <w:trPr>
          <w:cantSplit/>
          <w:trHeight w:val="523"/>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10E43DD0"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2.</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1F240E09"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The eligible agency will ensure that there is at least one eligible provider serving each local area, as defined in section 3(32) of WIOA;</w:t>
            </w:r>
          </w:p>
        </w:tc>
      </w:tr>
      <w:tr w:rsidR="007A1FDC" w:rsidRPr="004A0C12" w14:paraId="147E3262"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0A8555FB"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38404404" w14:textId="77777777" w:rsidR="007A1FDC" w:rsidRPr="004A0C12" w:rsidRDefault="007A1FDC" w:rsidP="007A1FDC">
            <w:pPr>
              <w:spacing w:after="0" w:line="240" w:lineRule="auto"/>
              <w:rPr>
                <w:rFonts w:ascii="Garamond" w:hAnsi="Garamond" w:cs="Times New Roman"/>
              </w:rPr>
            </w:pPr>
          </w:p>
        </w:tc>
      </w:tr>
      <w:tr w:rsidR="007A1FDC" w:rsidRPr="004A0C12" w14:paraId="1A45F614" w14:textId="77777777" w:rsidTr="0096326A">
        <w:trPr>
          <w:cantSplit/>
          <w:trHeight w:val="1308"/>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485FA6C7"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3.</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188DFD95" w14:textId="6CEE63E0" w:rsidR="007A1FDC" w:rsidRPr="004A0C12" w:rsidRDefault="007A1FDC" w:rsidP="007A1FDC">
            <w:pPr>
              <w:spacing w:after="0" w:line="240" w:lineRule="auto"/>
              <w:rPr>
                <w:rFonts w:ascii="Garamond" w:hAnsi="Garamond" w:cs="Times New Roman"/>
              </w:rPr>
            </w:pPr>
            <w:r w:rsidRPr="004A0C12">
              <w:rPr>
                <w:rFonts w:ascii="Garamond" w:hAnsi="Garamond" w:cs="Times New Roman"/>
              </w:rPr>
              <w:t>The eligible agency will not use any funds made available under title II of WIOA for the purpose of supporting or providing programs, services, or activities for individuals who are not “eligible individuals” within the meaning of section 203(4) of WIOA, unless it is providing programs, services or activities related to family literacy activities, as define</w:t>
            </w:r>
            <w:r w:rsidR="00493F1A" w:rsidRPr="004A0C12">
              <w:rPr>
                <w:rFonts w:ascii="Garamond" w:hAnsi="Garamond" w:cs="Times New Roman"/>
              </w:rPr>
              <w:t xml:space="preserve">d in section 203(9) of WIOA; </w:t>
            </w:r>
          </w:p>
        </w:tc>
      </w:tr>
      <w:tr w:rsidR="007A1FDC" w:rsidRPr="004A0C12" w14:paraId="0207E56F" w14:textId="77777777" w:rsidTr="0096326A">
        <w:trPr>
          <w:cantSplit/>
          <w:trHeight w:val="33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08FE128B" w14:textId="77777777" w:rsidR="007A1FDC" w:rsidRPr="004A0C12" w:rsidRDefault="007A1FDC"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161A1798" w14:textId="77777777" w:rsidR="007A1FDC" w:rsidRPr="004A0C12" w:rsidRDefault="007A1FDC" w:rsidP="007A1FDC">
            <w:pPr>
              <w:spacing w:after="0" w:line="240" w:lineRule="auto"/>
              <w:rPr>
                <w:rFonts w:ascii="Garamond" w:hAnsi="Garamond" w:cs="Times New Roman"/>
              </w:rPr>
            </w:pPr>
          </w:p>
        </w:tc>
      </w:tr>
      <w:tr w:rsidR="007A1FDC" w:rsidRPr="004A0C12" w14:paraId="2D9759A7" w14:textId="77777777" w:rsidTr="00493F1A">
        <w:trPr>
          <w:cantSplit/>
          <w:trHeight w:val="105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03F9842E" w14:textId="77777777" w:rsidR="007A1FDC" w:rsidRPr="004A0C12" w:rsidRDefault="007A1FDC" w:rsidP="007A1FDC">
            <w:pPr>
              <w:spacing w:after="0" w:line="240" w:lineRule="auto"/>
              <w:rPr>
                <w:rFonts w:ascii="Garamond" w:hAnsi="Garamond" w:cs="Times New Roman"/>
              </w:rPr>
            </w:pPr>
            <w:r w:rsidRPr="004A0C12">
              <w:rPr>
                <w:rFonts w:ascii="Garamond" w:hAnsi="Garamond" w:cs="Times New Roman"/>
              </w:rPr>
              <w:t>4.</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16509CAD" w14:textId="55203682" w:rsidR="007A1FDC" w:rsidRPr="004A0C12" w:rsidRDefault="00493F1A" w:rsidP="007A1FDC">
            <w:pPr>
              <w:spacing w:after="0" w:line="240" w:lineRule="auto"/>
              <w:rPr>
                <w:rFonts w:ascii="Garamond" w:hAnsi="Garamond" w:cs="Times New Roman"/>
              </w:rPr>
            </w:pPr>
            <w:r w:rsidRPr="004A0C12">
              <w:rPr>
                <w:rFonts w:ascii="Garamond" w:hAnsi="Garamond" w:cs="Times New Roman"/>
              </w:rPr>
              <w:t>The Integrated English Literacy and Civics Education program under section 243(a) of WIOA will be delivered in combination with integrated education and training activities;</w:t>
            </w:r>
          </w:p>
        </w:tc>
      </w:tr>
      <w:tr w:rsidR="00493F1A" w:rsidRPr="004A0C12" w14:paraId="487F515B" w14:textId="77777777" w:rsidTr="00493F1A">
        <w:trPr>
          <w:cantSplit/>
          <w:trHeight w:val="269"/>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7264323B" w14:textId="77777777" w:rsidR="00493F1A" w:rsidRPr="004A0C12" w:rsidRDefault="00493F1A"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08E807C9" w14:textId="77777777" w:rsidR="00493F1A" w:rsidRPr="004A0C12" w:rsidRDefault="00493F1A" w:rsidP="007A1FDC">
            <w:pPr>
              <w:spacing w:after="0" w:line="240" w:lineRule="auto"/>
              <w:rPr>
                <w:rFonts w:ascii="Garamond" w:hAnsi="Garamond" w:cs="Times New Roman"/>
              </w:rPr>
            </w:pPr>
          </w:p>
        </w:tc>
      </w:tr>
      <w:tr w:rsidR="00493F1A" w:rsidRPr="004A0C12" w14:paraId="7E8A70BB" w14:textId="77777777" w:rsidTr="00493F1A">
        <w:trPr>
          <w:cantSplit/>
          <w:trHeight w:val="1052"/>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2F17863C" w14:textId="6FC7086C" w:rsidR="00493F1A" w:rsidRPr="004A0C12" w:rsidRDefault="00493F1A" w:rsidP="007A1FDC">
            <w:pPr>
              <w:spacing w:after="0" w:line="240" w:lineRule="auto"/>
              <w:rPr>
                <w:rFonts w:ascii="Garamond" w:hAnsi="Garamond" w:cs="Times New Roman"/>
              </w:rPr>
            </w:pPr>
            <w:r w:rsidRPr="004A0C12">
              <w:rPr>
                <w:rFonts w:ascii="Garamond" w:hAnsi="Garamond" w:cs="Times New Roman"/>
              </w:rPr>
              <w:t>5.</w:t>
            </w: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3485729B" w14:textId="48368CDE" w:rsidR="00493F1A" w:rsidRPr="004A0C12" w:rsidRDefault="00493F1A" w:rsidP="007A1FDC">
            <w:pPr>
              <w:spacing w:after="0" w:line="240" w:lineRule="auto"/>
              <w:rPr>
                <w:rFonts w:ascii="Garamond" w:hAnsi="Garamond" w:cs="Times New Roman"/>
              </w:rPr>
            </w:pPr>
            <w:r w:rsidRPr="004A0C12">
              <w:rPr>
                <w:rFonts w:ascii="Garamond" w:hAnsi="Garamond" w:cs="Times New Roman"/>
              </w:rPr>
              <w:t>The Integrated English Literacy and Civics Education program under section 243(a) of WIOA will be designed to (1) prepare adults who are English language learners for, and place such adults in, unsubsidized employment in in-demand industries and occupations that lead to economic self-sufficiency and (2) integrate with the local workforce development system and its functions to carry out the activities of the program; and</w:t>
            </w:r>
          </w:p>
        </w:tc>
      </w:tr>
      <w:tr w:rsidR="00493F1A" w:rsidRPr="004A0C12" w14:paraId="10C84354" w14:textId="77777777" w:rsidTr="00493F1A">
        <w:trPr>
          <w:cantSplit/>
          <w:trHeight w:val="341"/>
        </w:trPr>
        <w:tc>
          <w:tcPr>
            <w:tcW w:w="543"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2F3B0DC2" w14:textId="77777777" w:rsidR="00493F1A" w:rsidRPr="004A0C12" w:rsidRDefault="00493F1A" w:rsidP="007A1FDC">
            <w:pPr>
              <w:spacing w:after="0" w:line="240" w:lineRule="auto"/>
              <w:rPr>
                <w:rFonts w:ascii="Garamond" w:hAnsi="Garamond" w:cs="Times New Roman"/>
              </w:rPr>
            </w:pPr>
          </w:p>
        </w:tc>
        <w:tc>
          <w:tcPr>
            <w:tcW w:w="1057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tcPr>
          <w:p w14:paraId="078B9463" w14:textId="77777777" w:rsidR="00493F1A" w:rsidRPr="004A0C12" w:rsidRDefault="00493F1A" w:rsidP="007A1FDC">
            <w:pPr>
              <w:spacing w:after="0" w:line="240" w:lineRule="auto"/>
              <w:rPr>
                <w:rFonts w:ascii="Garamond" w:hAnsi="Garamond" w:cs="Times New Roman"/>
              </w:rPr>
            </w:pPr>
          </w:p>
        </w:tc>
      </w:tr>
      <w:tr w:rsidR="00493F1A" w:rsidRPr="004A0C12" w14:paraId="258B5A40" w14:textId="77777777" w:rsidTr="0096326A">
        <w:trPr>
          <w:cantSplit/>
          <w:trHeight w:val="1052"/>
        </w:trPr>
        <w:tc>
          <w:tcPr>
            <w:tcW w:w="543"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tcPr>
          <w:p w14:paraId="097BBB70" w14:textId="0496F31E" w:rsidR="00493F1A" w:rsidRPr="004A0C12" w:rsidRDefault="00493F1A" w:rsidP="007A1FDC">
            <w:pPr>
              <w:spacing w:after="0" w:line="240" w:lineRule="auto"/>
              <w:rPr>
                <w:rFonts w:ascii="Garamond" w:hAnsi="Garamond" w:cs="Times New Roman"/>
              </w:rPr>
            </w:pPr>
            <w:r w:rsidRPr="004A0C12">
              <w:rPr>
                <w:rFonts w:ascii="Garamond" w:hAnsi="Garamond" w:cs="Times New Roman"/>
              </w:rPr>
              <w:lastRenderedPageBreak/>
              <w:t>6.</w:t>
            </w:r>
          </w:p>
        </w:tc>
        <w:tc>
          <w:tcPr>
            <w:tcW w:w="10572"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AD26C23" w14:textId="2DF97661" w:rsidR="00493F1A" w:rsidRPr="004A0C12" w:rsidRDefault="00493F1A" w:rsidP="007A1FDC">
            <w:pPr>
              <w:spacing w:after="0" w:line="240" w:lineRule="auto"/>
              <w:rPr>
                <w:rFonts w:ascii="Garamond" w:hAnsi="Garamond" w:cs="Times New Roman"/>
              </w:rPr>
            </w:pPr>
            <w:r w:rsidRPr="004A0C12">
              <w:rPr>
                <w:rFonts w:ascii="Garamond" w:hAnsi="Garamond" w:cs="Times New Roman"/>
              </w:rPr>
              <w:t xml:space="preserve">Using funds made available under title II of WIOA to carry out a program for criminal offenders within a correctional institution, the eligible agency will give priority to serving individuals who are likely to leave the correctional institution within five years of participation in the program. </w:t>
            </w:r>
          </w:p>
          <w:p w14:paraId="2DED0BAD" w14:textId="79E5B8DF" w:rsidR="00493F1A" w:rsidRPr="004A0C12" w:rsidRDefault="00493F1A" w:rsidP="00493F1A">
            <w:pPr>
              <w:tabs>
                <w:tab w:val="left" w:pos="3495"/>
              </w:tabs>
              <w:rPr>
                <w:rFonts w:ascii="Garamond" w:hAnsi="Garamond" w:cs="Times New Roman"/>
              </w:rPr>
            </w:pPr>
            <w:r w:rsidRPr="004A0C12">
              <w:rPr>
                <w:rFonts w:ascii="Garamond" w:hAnsi="Garamond" w:cs="Times New Roman"/>
              </w:rPr>
              <w:tab/>
            </w:r>
          </w:p>
        </w:tc>
      </w:tr>
    </w:tbl>
    <w:p w14:paraId="22572AD5" w14:textId="77777777" w:rsidR="007A1FDC" w:rsidRPr="004A0C12" w:rsidRDefault="007A1FDC" w:rsidP="007A1FDC">
      <w:pPr>
        <w:pStyle w:val="FreeForm"/>
        <w:ind w:left="5"/>
        <w:rPr>
          <w:rFonts w:ascii="Garamond" w:hAnsi="Garamond"/>
          <w:sz w:val="22"/>
          <w:szCs w:val="22"/>
        </w:rPr>
      </w:pPr>
    </w:p>
    <w:p w14:paraId="0512F055" w14:textId="77777777" w:rsidR="007A1FDC" w:rsidRPr="004A0C12" w:rsidRDefault="007A1FDC" w:rsidP="007A1FDC">
      <w:pPr>
        <w:tabs>
          <w:tab w:val="left" w:pos="5880"/>
        </w:tabs>
        <w:spacing w:after="0" w:line="240" w:lineRule="auto"/>
        <w:rPr>
          <w:rFonts w:ascii="Garamond" w:hAnsi="Garamond"/>
        </w:rPr>
      </w:pPr>
    </w:p>
    <w:p w14:paraId="429A9886" w14:textId="77777777" w:rsidR="007A1FDC" w:rsidRPr="004A0C12" w:rsidRDefault="00943AA8" w:rsidP="00232F09">
      <w:pPr>
        <w:pStyle w:val="ListParagraph"/>
        <w:numPr>
          <w:ilvl w:val="6"/>
          <w:numId w:val="118"/>
        </w:numPr>
        <w:tabs>
          <w:tab w:val="clear" w:pos="540"/>
          <w:tab w:val="num" w:pos="720"/>
        </w:tabs>
        <w:ind w:left="720" w:hanging="540"/>
        <w:rPr>
          <w:rFonts w:ascii="Garamond" w:hAnsi="Garamond"/>
          <w:color w:val="0042B1"/>
          <w:szCs w:val="22"/>
        </w:rPr>
      </w:pPr>
      <w:hyperlink r:id="rId96" w:history="1">
        <w:r w:rsidR="007A1FDC" w:rsidRPr="004A0C12">
          <w:rPr>
            <w:rFonts w:ascii="Garamond" w:hAnsi="Garamond"/>
            <w:color w:val="0042B1"/>
            <w:szCs w:val="22"/>
            <w:u w:val="single"/>
          </w:rPr>
          <w:t>SF424B - Assurances – Non-Construction Programs</w:t>
        </w:r>
      </w:hyperlink>
      <w:r w:rsidR="007A1FDC" w:rsidRPr="004A0C12">
        <w:rPr>
          <w:rFonts w:ascii="Garamond" w:hAnsi="Garamond"/>
          <w:color w:val="0042B1"/>
          <w:szCs w:val="22"/>
          <w:u w:val="single"/>
        </w:rPr>
        <w:t xml:space="preserve"> (http://www2.ed.gov/fund/grant/apply/appforms/appforms.html)</w:t>
      </w:r>
    </w:p>
    <w:p w14:paraId="3FDA323F" w14:textId="77777777" w:rsidR="007A1FDC" w:rsidRPr="004A0C12" w:rsidRDefault="00943AA8" w:rsidP="00232F09">
      <w:pPr>
        <w:pStyle w:val="ListParagraph"/>
        <w:numPr>
          <w:ilvl w:val="6"/>
          <w:numId w:val="118"/>
        </w:numPr>
        <w:tabs>
          <w:tab w:val="clear" w:pos="540"/>
          <w:tab w:val="num" w:pos="720"/>
        </w:tabs>
        <w:ind w:left="720" w:hanging="540"/>
        <w:rPr>
          <w:rFonts w:ascii="Garamond" w:hAnsi="Garamond"/>
          <w:color w:val="0042B1"/>
          <w:szCs w:val="22"/>
        </w:rPr>
      </w:pPr>
      <w:hyperlink r:id="rId97" w:history="1">
        <w:r w:rsidR="007A1FDC" w:rsidRPr="004A0C12">
          <w:rPr>
            <w:rFonts w:ascii="Garamond" w:hAnsi="Garamond"/>
            <w:color w:val="0042B1"/>
            <w:szCs w:val="22"/>
            <w:u w:val="single"/>
          </w:rPr>
          <w:t>Grants.gov - Certification Regarding Lobbying</w:t>
        </w:r>
      </w:hyperlink>
      <w:r w:rsidR="007A1FDC" w:rsidRPr="004A0C12">
        <w:rPr>
          <w:rFonts w:ascii="Garamond" w:hAnsi="Garamond"/>
          <w:color w:val="0042B1"/>
          <w:szCs w:val="22"/>
          <w:u w:val="single"/>
        </w:rPr>
        <w:t xml:space="preserve"> (http://www2.ed.gov/fund/grant/apply/appforms/appforms.html)</w:t>
      </w:r>
    </w:p>
    <w:p w14:paraId="30C669B6" w14:textId="77777777" w:rsidR="007A1FDC" w:rsidRPr="004A0C12" w:rsidRDefault="00943AA8" w:rsidP="00232F09">
      <w:pPr>
        <w:pStyle w:val="ListParagraph"/>
        <w:numPr>
          <w:ilvl w:val="6"/>
          <w:numId w:val="118"/>
        </w:numPr>
        <w:tabs>
          <w:tab w:val="clear" w:pos="540"/>
          <w:tab w:val="num" w:pos="720"/>
        </w:tabs>
        <w:ind w:left="720" w:hanging="540"/>
        <w:rPr>
          <w:rFonts w:ascii="Garamond" w:hAnsi="Garamond"/>
          <w:color w:val="0042B1"/>
          <w:szCs w:val="22"/>
          <w:u w:val="single"/>
        </w:rPr>
      </w:pPr>
      <w:hyperlink r:id="rId98" w:history="1">
        <w:r w:rsidR="007A1FDC" w:rsidRPr="004A0C12">
          <w:rPr>
            <w:rFonts w:ascii="Garamond" w:hAnsi="Garamond"/>
            <w:color w:val="0042B1"/>
            <w:szCs w:val="22"/>
            <w:u w:val="single"/>
          </w:rPr>
          <w:t>SF LLL Form – Disclosure of Lobbying Activities (required, only if applicable)</w:t>
        </w:r>
      </w:hyperlink>
      <w:r w:rsidR="007A1FDC" w:rsidRPr="004A0C12">
        <w:rPr>
          <w:rFonts w:ascii="Garamond" w:hAnsi="Garamond"/>
          <w:color w:val="0042B1"/>
          <w:szCs w:val="22"/>
          <w:u w:val="single"/>
        </w:rPr>
        <w:t xml:space="preserve"> (</w:t>
      </w:r>
      <w:hyperlink r:id="rId99" w:history="1">
        <w:r w:rsidR="007A1FDC" w:rsidRPr="004A0C12">
          <w:rPr>
            <w:rStyle w:val="Hyperlink1"/>
            <w:rFonts w:ascii="Garamond" w:hAnsi="Garamond"/>
            <w:sz w:val="22"/>
            <w:szCs w:val="22"/>
          </w:rPr>
          <w:t>http://www2.ed.gov/fund/grant/apply/appforms/appforms.html</w:t>
        </w:r>
      </w:hyperlink>
      <w:r w:rsidR="007A1FDC" w:rsidRPr="004A0C12">
        <w:rPr>
          <w:rFonts w:ascii="Garamond" w:hAnsi="Garamond"/>
          <w:color w:val="0042B1"/>
          <w:szCs w:val="22"/>
          <w:u w:val="single"/>
        </w:rPr>
        <w:t>)</w:t>
      </w:r>
    </w:p>
    <w:p w14:paraId="408231F4" w14:textId="77777777" w:rsidR="0096326A" w:rsidRPr="004A0C12" w:rsidRDefault="0096326A" w:rsidP="007A1FDC">
      <w:pPr>
        <w:spacing w:after="0" w:line="240" w:lineRule="auto"/>
        <w:rPr>
          <w:rFonts w:ascii="Garamond" w:hAnsi="Garamond"/>
          <w:b/>
        </w:rPr>
      </w:pPr>
    </w:p>
    <w:p w14:paraId="67263258" w14:textId="77777777" w:rsidR="00431254" w:rsidRDefault="00431254" w:rsidP="007A1FDC">
      <w:pPr>
        <w:spacing w:after="0" w:line="240" w:lineRule="auto"/>
        <w:rPr>
          <w:rFonts w:ascii="Garamond" w:hAnsi="Garamond"/>
          <w:b/>
        </w:rPr>
      </w:pPr>
    </w:p>
    <w:p w14:paraId="1645D7C5" w14:textId="77777777" w:rsidR="00F6079B" w:rsidRDefault="00F6079B" w:rsidP="007A1FDC">
      <w:pPr>
        <w:spacing w:after="0" w:line="240" w:lineRule="auto"/>
        <w:rPr>
          <w:rFonts w:ascii="Garamond" w:hAnsi="Garamond"/>
          <w:b/>
        </w:rPr>
      </w:pPr>
    </w:p>
    <w:p w14:paraId="10736188" w14:textId="77777777" w:rsidR="00F6079B" w:rsidRDefault="00F6079B" w:rsidP="007A1FDC">
      <w:pPr>
        <w:spacing w:after="0" w:line="240" w:lineRule="auto"/>
        <w:rPr>
          <w:rFonts w:ascii="Garamond" w:hAnsi="Garamond"/>
          <w:b/>
        </w:rPr>
      </w:pPr>
    </w:p>
    <w:p w14:paraId="35716464" w14:textId="77777777" w:rsidR="00F6079B" w:rsidRDefault="00F6079B" w:rsidP="007A1FDC">
      <w:pPr>
        <w:spacing w:after="0" w:line="240" w:lineRule="auto"/>
        <w:rPr>
          <w:rFonts w:ascii="Garamond" w:hAnsi="Garamond"/>
          <w:b/>
        </w:rPr>
      </w:pPr>
    </w:p>
    <w:p w14:paraId="5A251CD4" w14:textId="77777777" w:rsidR="00F6079B" w:rsidRDefault="00F6079B" w:rsidP="007A1FDC">
      <w:pPr>
        <w:spacing w:after="0" w:line="240" w:lineRule="auto"/>
        <w:rPr>
          <w:rFonts w:ascii="Garamond" w:hAnsi="Garamond"/>
          <w:b/>
        </w:rPr>
      </w:pPr>
    </w:p>
    <w:p w14:paraId="5CCFDC50" w14:textId="77777777" w:rsidR="00F6079B" w:rsidRDefault="00F6079B" w:rsidP="007A1FDC">
      <w:pPr>
        <w:spacing w:after="0" w:line="240" w:lineRule="auto"/>
        <w:rPr>
          <w:rFonts w:ascii="Garamond" w:hAnsi="Garamond"/>
          <w:b/>
        </w:rPr>
      </w:pPr>
    </w:p>
    <w:p w14:paraId="2D43C719" w14:textId="77777777" w:rsidR="00F6079B" w:rsidRDefault="00F6079B" w:rsidP="007A1FDC">
      <w:pPr>
        <w:spacing w:after="0" w:line="240" w:lineRule="auto"/>
        <w:rPr>
          <w:rFonts w:ascii="Garamond" w:hAnsi="Garamond"/>
          <w:b/>
        </w:rPr>
      </w:pPr>
    </w:p>
    <w:p w14:paraId="1C39E25A" w14:textId="77777777" w:rsidR="00F6079B" w:rsidRDefault="00F6079B" w:rsidP="007A1FDC">
      <w:pPr>
        <w:spacing w:after="0" w:line="240" w:lineRule="auto"/>
        <w:rPr>
          <w:rFonts w:ascii="Garamond" w:hAnsi="Garamond"/>
          <w:b/>
        </w:rPr>
      </w:pPr>
    </w:p>
    <w:p w14:paraId="73AD491F" w14:textId="77777777" w:rsidR="00F6079B" w:rsidRDefault="00F6079B" w:rsidP="007A1FDC">
      <w:pPr>
        <w:spacing w:after="0" w:line="240" w:lineRule="auto"/>
        <w:rPr>
          <w:rFonts w:ascii="Garamond" w:hAnsi="Garamond"/>
          <w:b/>
        </w:rPr>
      </w:pPr>
    </w:p>
    <w:p w14:paraId="59DB0D77" w14:textId="77777777" w:rsidR="00F6079B" w:rsidRDefault="00F6079B" w:rsidP="007A1FDC">
      <w:pPr>
        <w:spacing w:after="0" w:line="240" w:lineRule="auto"/>
        <w:rPr>
          <w:rFonts w:ascii="Garamond" w:hAnsi="Garamond"/>
          <w:b/>
        </w:rPr>
      </w:pPr>
    </w:p>
    <w:p w14:paraId="43A07AF4" w14:textId="77777777" w:rsidR="00F6079B" w:rsidRDefault="00F6079B" w:rsidP="007A1FDC">
      <w:pPr>
        <w:spacing w:after="0" w:line="240" w:lineRule="auto"/>
        <w:rPr>
          <w:rFonts w:ascii="Garamond" w:hAnsi="Garamond"/>
          <w:b/>
        </w:rPr>
      </w:pPr>
    </w:p>
    <w:p w14:paraId="7E99AB9E" w14:textId="77777777" w:rsidR="00F6079B" w:rsidRDefault="00F6079B" w:rsidP="007A1FDC">
      <w:pPr>
        <w:spacing w:after="0" w:line="240" w:lineRule="auto"/>
        <w:rPr>
          <w:rFonts w:ascii="Garamond" w:hAnsi="Garamond"/>
          <w:b/>
        </w:rPr>
      </w:pPr>
    </w:p>
    <w:p w14:paraId="6859C974" w14:textId="77777777" w:rsidR="00F6079B" w:rsidRDefault="00F6079B" w:rsidP="007A1FDC">
      <w:pPr>
        <w:spacing w:after="0" w:line="240" w:lineRule="auto"/>
        <w:rPr>
          <w:rFonts w:ascii="Garamond" w:hAnsi="Garamond"/>
          <w:b/>
        </w:rPr>
      </w:pPr>
    </w:p>
    <w:p w14:paraId="5792471F" w14:textId="77777777" w:rsidR="00F6079B" w:rsidRDefault="00F6079B" w:rsidP="007A1FDC">
      <w:pPr>
        <w:spacing w:after="0" w:line="240" w:lineRule="auto"/>
        <w:rPr>
          <w:rFonts w:ascii="Garamond" w:hAnsi="Garamond"/>
          <w:b/>
        </w:rPr>
      </w:pPr>
    </w:p>
    <w:p w14:paraId="21BF6441" w14:textId="77777777" w:rsidR="00F6079B" w:rsidRDefault="00F6079B" w:rsidP="007A1FDC">
      <w:pPr>
        <w:spacing w:after="0" w:line="240" w:lineRule="auto"/>
        <w:rPr>
          <w:rFonts w:ascii="Garamond" w:hAnsi="Garamond"/>
          <w:b/>
        </w:rPr>
      </w:pPr>
    </w:p>
    <w:p w14:paraId="4675CBFB" w14:textId="77777777" w:rsidR="00F6079B" w:rsidRDefault="00F6079B" w:rsidP="007A1FDC">
      <w:pPr>
        <w:spacing w:after="0" w:line="240" w:lineRule="auto"/>
        <w:rPr>
          <w:rFonts w:ascii="Garamond" w:hAnsi="Garamond"/>
          <w:b/>
        </w:rPr>
      </w:pPr>
    </w:p>
    <w:p w14:paraId="301F4921" w14:textId="77777777" w:rsidR="00F6079B" w:rsidRDefault="00F6079B" w:rsidP="007A1FDC">
      <w:pPr>
        <w:spacing w:after="0" w:line="240" w:lineRule="auto"/>
        <w:rPr>
          <w:rFonts w:ascii="Garamond" w:hAnsi="Garamond"/>
          <w:b/>
        </w:rPr>
      </w:pPr>
    </w:p>
    <w:p w14:paraId="3B4554E0" w14:textId="77777777" w:rsidR="00F6079B" w:rsidRDefault="00F6079B" w:rsidP="007A1FDC">
      <w:pPr>
        <w:spacing w:after="0" w:line="240" w:lineRule="auto"/>
        <w:rPr>
          <w:rFonts w:ascii="Garamond" w:hAnsi="Garamond"/>
          <w:b/>
        </w:rPr>
      </w:pPr>
    </w:p>
    <w:p w14:paraId="6DD5DFB4" w14:textId="77777777" w:rsidR="00F6079B" w:rsidRDefault="00F6079B" w:rsidP="007A1FDC">
      <w:pPr>
        <w:spacing w:after="0" w:line="240" w:lineRule="auto"/>
        <w:rPr>
          <w:rFonts w:ascii="Garamond" w:hAnsi="Garamond"/>
          <w:b/>
        </w:rPr>
      </w:pPr>
    </w:p>
    <w:p w14:paraId="40F3DD6C" w14:textId="77777777" w:rsidR="00F6079B" w:rsidRDefault="00F6079B" w:rsidP="007A1FDC">
      <w:pPr>
        <w:spacing w:after="0" w:line="240" w:lineRule="auto"/>
        <w:rPr>
          <w:rFonts w:ascii="Garamond" w:hAnsi="Garamond"/>
          <w:b/>
        </w:rPr>
      </w:pPr>
    </w:p>
    <w:p w14:paraId="66825AC3" w14:textId="77777777" w:rsidR="00F6079B" w:rsidRDefault="00F6079B" w:rsidP="007A1FDC">
      <w:pPr>
        <w:spacing w:after="0" w:line="240" w:lineRule="auto"/>
        <w:rPr>
          <w:rFonts w:ascii="Garamond" w:hAnsi="Garamond"/>
          <w:b/>
        </w:rPr>
      </w:pPr>
    </w:p>
    <w:p w14:paraId="31E0E593" w14:textId="77777777" w:rsidR="00F6079B" w:rsidRDefault="00F6079B" w:rsidP="007A1FDC">
      <w:pPr>
        <w:spacing w:after="0" w:line="240" w:lineRule="auto"/>
        <w:rPr>
          <w:rFonts w:ascii="Garamond" w:hAnsi="Garamond"/>
          <w:b/>
        </w:rPr>
      </w:pPr>
    </w:p>
    <w:p w14:paraId="1BD4001C" w14:textId="77777777" w:rsidR="00F6079B" w:rsidRDefault="00F6079B" w:rsidP="007A1FDC">
      <w:pPr>
        <w:spacing w:after="0" w:line="240" w:lineRule="auto"/>
        <w:rPr>
          <w:rFonts w:ascii="Garamond" w:hAnsi="Garamond"/>
          <w:b/>
        </w:rPr>
      </w:pPr>
    </w:p>
    <w:p w14:paraId="2F15057E" w14:textId="77777777" w:rsidR="00F6079B" w:rsidRPr="004A0C12" w:rsidRDefault="00F6079B" w:rsidP="007A1FDC">
      <w:pPr>
        <w:spacing w:after="0" w:line="240" w:lineRule="auto"/>
        <w:rPr>
          <w:rFonts w:ascii="Garamond" w:hAnsi="Garamond"/>
          <w:b/>
        </w:rPr>
      </w:pPr>
    </w:p>
    <w:p w14:paraId="4033F45D" w14:textId="24326BE7" w:rsidR="005168FD" w:rsidRPr="00535D82" w:rsidRDefault="007A1FDC" w:rsidP="005168FD">
      <w:pPr>
        <w:pStyle w:val="Heading1"/>
        <w:rPr>
          <w:rFonts w:ascii="Garamond" w:hAnsi="Garamond"/>
        </w:rPr>
      </w:pPr>
      <w:bookmarkStart w:id="162" w:name="_Toc447276199"/>
      <w:proofErr w:type="gramStart"/>
      <w:r w:rsidRPr="00535D82">
        <w:rPr>
          <w:rFonts w:ascii="Garamond" w:hAnsi="Garamond"/>
        </w:rPr>
        <w:lastRenderedPageBreak/>
        <w:t>PART 7.</w:t>
      </w:r>
      <w:proofErr w:type="gramEnd"/>
      <w:r w:rsidRPr="00535D82">
        <w:rPr>
          <w:rFonts w:ascii="Garamond" w:hAnsi="Garamond"/>
        </w:rPr>
        <w:t xml:space="preserve"> VOCATIONAL REHABILITATION</w:t>
      </w:r>
      <w:bookmarkEnd w:id="162"/>
      <w:r w:rsidRPr="00535D82">
        <w:rPr>
          <w:rFonts w:ascii="Garamond" w:hAnsi="Garamond"/>
        </w:rPr>
        <w:t xml:space="preserve"> </w:t>
      </w:r>
    </w:p>
    <w:p w14:paraId="3BC413FF" w14:textId="77777777" w:rsidR="00E92E6C" w:rsidRPr="004A0C12" w:rsidRDefault="00E92E6C" w:rsidP="00E92E6C">
      <w:pPr>
        <w:pStyle w:val="Heading2"/>
        <w:spacing w:line="240" w:lineRule="auto"/>
        <w:contextualSpacing/>
        <w:jc w:val="both"/>
        <w:rPr>
          <w:rFonts w:ascii="Garamond" w:hAnsi="Garamond" w:cs="Times New Roman"/>
          <w:b w:val="0"/>
          <w:color w:val="auto"/>
          <w:sz w:val="22"/>
          <w:szCs w:val="22"/>
        </w:rPr>
      </w:pPr>
      <w:bookmarkStart w:id="163" w:name="_Toc445839648"/>
      <w:bookmarkStart w:id="164" w:name="_Toc447216056"/>
      <w:bookmarkStart w:id="165" w:name="_Toc447276200"/>
      <w:r w:rsidRPr="004A0C12">
        <w:rPr>
          <w:rFonts w:ascii="Garamond" w:hAnsi="Garamond" w:cs="Times New Roman"/>
          <w:b w:val="0"/>
          <w:color w:val="auto"/>
          <w:sz w:val="22"/>
          <w:szCs w:val="22"/>
        </w:rPr>
        <w:t>The Maryland State Department of Education’s Division of Rehabilitation Services (DORS) is a key component of Maryland’s WIOA system. DORS offers programs and services that help students, youth, and adults with significant disabilities achieve their goals of post-secondary education, training, and careers. DORS administers the public Vocational Rehabilitation program through the following branches:</w:t>
      </w:r>
      <w:bookmarkEnd w:id="163"/>
      <w:bookmarkEnd w:id="164"/>
      <w:bookmarkEnd w:id="165"/>
    </w:p>
    <w:p w14:paraId="0E47C619" w14:textId="77777777" w:rsidR="00E92E6C" w:rsidRPr="004A0C12" w:rsidRDefault="00E92E6C" w:rsidP="00232F09">
      <w:pPr>
        <w:pStyle w:val="Heading2"/>
        <w:numPr>
          <w:ilvl w:val="0"/>
          <w:numId w:val="197"/>
        </w:numPr>
        <w:spacing w:line="240" w:lineRule="auto"/>
        <w:contextualSpacing/>
        <w:jc w:val="both"/>
        <w:rPr>
          <w:rFonts w:ascii="Garamond" w:hAnsi="Garamond" w:cs="Times New Roman"/>
          <w:b w:val="0"/>
          <w:color w:val="auto"/>
          <w:sz w:val="22"/>
          <w:szCs w:val="22"/>
        </w:rPr>
      </w:pPr>
      <w:bookmarkStart w:id="166" w:name="_Toc445839649"/>
      <w:bookmarkStart w:id="167" w:name="_Toc447216057"/>
      <w:bookmarkStart w:id="168" w:name="_Toc447276201"/>
      <w:r w:rsidRPr="004A0C12">
        <w:rPr>
          <w:rFonts w:ascii="Garamond" w:hAnsi="Garamond" w:cs="Times New Roman"/>
          <w:color w:val="auto"/>
          <w:sz w:val="22"/>
          <w:szCs w:val="22"/>
        </w:rPr>
        <w:t xml:space="preserve">The Office of Field Services </w:t>
      </w:r>
      <w:r w:rsidRPr="004A0C12">
        <w:rPr>
          <w:rFonts w:ascii="Garamond" w:hAnsi="Garamond" w:cs="Times New Roman"/>
          <w:b w:val="0"/>
          <w:color w:val="auto"/>
          <w:sz w:val="22"/>
          <w:szCs w:val="22"/>
        </w:rPr>
        <w:t>prepares people with disabilities to become employed or assists them in maintaining their employment. Vocational rehabilitation counselors located in offices throughout Maryland provide or arrange for services that may include career counseling, assistive technology, vocational training, and/or job placement assistance. The Office of Field Services also provides Pre-Employment Transition Services to high school students with significant disabilities, to assist them in preparing for a seamless transition from high school to post-secondary education, vocational training, and employment.</w:t>
      </w:r>
      <w:bookmarkEnd w:id="166"/>
      <w:bookmarkEnd w:id="167"/>
      <w:bookmarkEnd w:id="168"/>
    </w:p>
    <w:p w14:paraId="1274ED8D" w14:textId="77777777" w:rsidR="00E92E6C" w:rsidRPr="004A0C12" w:rsidRDefault="00E92E6C" w:rsidP="00232F09">
      <w:pPr>
        <w:pStyle w:val="Heading2"/>
        <w:numPr>
          <w:ilvl w:val="0"/>
          <w:numId w:val="197"/>
        </w:numPr>
        <w:spacing w:line="240" w:lineRule="auto"/>
        <w:contextualSpacing/>
        <w:jc w:val="both"/>
        <w:rPr>
          <w:rFonts w:ascii="Garamond" w:hAnsi="Garamond" w:cs="Times New Roman"/>
          <w:b w:val="0"/>
          <w:color w:val="auto"/>
          <w:sz w:val="22"/>
          <w:szCs w:val="22"/>
        </w:rPr>
      </w:pPr>
      <w:bookmarkStart w:id="169" w:name="_Toc445839650"/>
      <w:bookmarkStart w:id="170" w:name="_Toc447216058"/>
      <w:bookmarkStart w:id="171" w:name="_Toc447276202"/>
      <w:r w:rsidRPr="004A0C12">
        <w:rPr>
          <w:rFonts w:ascii="Garamond" w:hAnsi="Garamond" w:cs="Times New Roman"/>
          <w:color w:val="auto"/>
          <w:sz w:val="22"/>
          <w:szCs w:val="22"/>
        </w:rPr>
        <w:t>The Office for Blindness &amp; Vision Services</w:t>
      </w:r>
      <w:r w:rsidRPr="004A0C12">
        <w:rPr>
          <w:rFonts w:ascii="Garamond" w:hAnsi="Garamond" w:cs="Times New Roman"/>
          <w:b w:val="0"/>
          <w:color w:val="auto"/>
          <w:sz w:val="22"/>
          <w:szCs w:val="22"/>
        </w:rPr>
        <w:t xml:space="preserve"> specializes in helping people whose primary disability is blindness or vision loss go to work and remain independent in their homes and communities. The Office for Blindness and Vision Services also provides Pre-Employment Transition Services to high school students with significant visual disabilities. Finally, the office oversees the Maryland Business Enterprise Program for the Blind. This program prepares individuals who are legally blind to operate vending, gift, or food service businesses in public facilities.</w:t>
      </w:r>
      <w:bookmarkEnd w:id="169"/>
      <w:bookmarkEnd w:id="170"/>
      <w:bookmarkEnd w:id="171"/>
    </w:p>
    <w:p w14:paraId="5B50CD75" w14:textId="1779D290" w:rsidR="00E92E6C" w:rsidRPr="004A0C12" w:rsidRDefault="00E92E6C" w:rsidP="00232F09">
      <w:pPr>
        <w:pStyle w:val="Heading2"/>
        <w:numPr>
          <w:ilvl w:val="0"/>
          <w:numId w:val="197"/>
        </w:numPr>
        <w:spacing w:line="240" w:lineRule="auto"/>
        <w:contextualSpacing/>
        <w:jc w:val="both"/>
        <w:rPr>
          <w:rFonts w:ascii="Garamond" w:hAnsi="Garamond" w:cs="Times New Roman"/>
          <w:b w:val="0"/>
          <w:color w:val="auto"/>
          <w:sz w:val="22"/>
          <w:szCs w:val="22"/>
        </w:rPr>
      </w:pPr>
      <w:bookmarkStart w:id="172" w:name="_Toc445839651"/>
      <w:bookmarkStart w:id="173" w:name="_Toc447216059"/>
      <w:bookmarkStart w:id="174" w:name="_Toc447276203"/>
      <w:r w:rsidRPr="004A0C12">
        <w:rPr>
          <w:rFonts w:ascii="Garamond" w:hAnsi="Garamond" w:cs="Times New Roman"/>
          <w:color w:val="auto"/>
          <w:sz w:val="22"/>
          <w:szCs w:val="22"/>
        </w:rPr>
        <w:t>The Workforce &amp; Technology Center</w:t>
      </w:r>
      <w:r w:rsidRPr="004A0C12">
        <w:rPr>
          <w:rFonts w:ascii="Garamond" w:hAnsi="Garamond" w:cs="Times New Roman"/>
          <w:b w:val="0"/>
          <w:color w:val="auto"/>
          <w:sz w:val="22"/>
          <w:szCs w:val="22"/>
        </w:rPr>
        <w:t xml:space="preserve"> is a comprehensive rehabilitation facility that offers career assessment services, career and skills training, job placement assistance, assistive technology services, Pre-Employment Transition Services, and other medical and support services to consumers who are referred from the Office of Field Services and the Office for Blindness and Vision Services.</w:t>
      </w:r>
      <w:bookmarkEnd w:id="172"/>
      <w:bookmarkEnd w:id="173"/>
      <w:bookmarkEnd w:id="174"/>
    </w:p>
    <w:p w14:paraId="54929C2C" w14:textId="77777777" w:rsidR="007A1FDC" w:rsidRPr="00535D82" w:rsidRDefault="007A1FDC" w:rsidP="0096326A">
      <w:pPr>
        <w:pStyle w:val="Heading2"/>
        <w:rPr>
          <w:rFonts w:ascii="Garamond" w:hAnsi="Garamond"/>
          <w:color w:val="365F91" w:themeColor="accent1" w:themeShade="BF"/>
          <w:sz w:val="24"/>
          <w:szCs w:val="24"/>
        </w:rPr>
      </w:pPr>
      <w:bookmarkStart w:id="175" w:name="_Toc447276204"/>
      <w:r w:rsidRPr="00535D82">
        <w:rPr>
          <w:rFonts w:ascii="Garamond" w:hAnsi="Garamond"/>
          <w:sz w:val="24"/>
          <w:szCs w:val="24"/>
        </w:rPr>
        <w:t>Input and recommendations by the State Rehabilitation Council</w:t>
      </w:r>
      <w:bookmarkEnd w:id="175"/>
    </w:p>
    <w:p w14:paraId="525F90B3" w14:textId="54EF85B4" w:rsidR="006923E3" w:rsidRPr="004A0C12" w:rsidRDefault="007A1FDC" w:rsidP="007A1FDC">
      <w:pPr>
        <w:widowControl w:val="0"/>
        <w:spacing w:after="0" w:line="240" w:lineRule="auto"/>
        <w:jc w:val="both"/>
        <w:rPr>
          <w:rFonts w:ascii="Garamond" w:hAnsi="Garamond"/>
        </w:rPr>
      </w:pPr>
      <w:r w:rsidRPr="004A0C12">
        <w:rPr>
          <w:rFonts w:ascii="Garamond" w:hAnsi="Garamond"/>
        </w:rPr>
        <w:t xml:space="preserve">The Maryland State Rehabilitation Council (MSRC) was established under the 1992 Amendments to the Rehabilitation Act. </w:t>
      </w:r>
      <w:r w:rsidR="006923E3" w:rsidRPr="004A0C12">
        <w:rPr>
          <w:rFonts w:ascii="Garamond" w:hAnsi="Garamond"/>
        </w:rPr>
        <w:t xml:space="preserve">The Council is made up of individuals who are interested in the success of public Vocational Rehabilitation programs. Maryland State Rehabilitation Council members are appointed by the Governor and include representatives from education, rehabilitation, employment, industry and consumer advocacy groups. </w:t>
      </w:r>
    </w:p>
    <w:p w14:paraId="0851ECFC" w14:textId="77777777" w:rsidR="006923E3" w:rsidRPr="004A0C12" w:rsidRDefault="006923E3" w:rsidP="007A1FDC">
      <w:pPr>
        <w:widowControl w:val="0"/>
        <w:spacing w:after="0" w:line="240" w:lineRule="auto"/>
        <w:jc w:val="both"/>
        <w:rPr>
          <w:rFonts w:ascii="Garamond" w:hAnsi="Garamond"/>
        </w:rPr>
      </w:pPr>
    </w:p>
    <w:p w14:paraId="029E9614" w14:textId="5E17132C" w:rsidR="007A1FDC" w:rsidRPr="004A0C12" w:rsidRDefault="007A1FDC" w:rsidP="007A1FDC">
      <w:pPr>
        <w:widowControl w:val="0"/>
        <w:spacing w:after="0" w:line="240" w:lineRule="auto"/>
        <w:jc w:val="both"/>
        <w:rPr>
          <w:rFonts w:ascii="Garamond" w:hAnsi="Garamond"/>
        </w:rPr>
      </w:pPr>
      <w:r w:rsidRPr="004A0C12">
        <w:rPr>
          <w:rFonts w:ascii="Garamond" w:hAnsi="Garamond"/>
        </w:rPr>
        <w:t>The Council reviews</w:t>
      </w:r>
      <w:r w:rsidR="00667332" w:rsidRPr="004A0C12">
        <w:rPr>
          <w:rFonts w:ascii="Garamond" w:hAnsi="Garamond"/>
        </w:rPr>
        <w:t>, analyzes</w:t>
      </w:r>
      <w:r w:rsidR="006923E3" w:rsidRPr="004A0C12">
        <w:rPr>
          <w:rFonts w:ascii="Garamond" w:hAnsi="Garamond"/>
        </w:rPr>
        <w:t>,</w:t>
      </w:r>
      <w:r w:rsidR="00667332" w:rsidRPr="004A0C12">
        <w:rPr>
          <w:rFonts w:ascii="Garamond" w:hAnsi="Garamond"/>
        </w:rPr>
        <w:t xml:space="preserve"> and adv</w:t>
      </w:r>
      <w:r w:rsidR="006923E3" w:rsidRPr="004A0C12">
        <w:rPr>
          <w:rFonts w:ascii="Garamond" w:hAnsi="Garamond"/>
        </w:rPr>
        <w:t>ises</w:t>
      </w:r>
      <w:r w:rsidR="00667332" w:rsidRPr="004A0C12">
        <w:rPr>
          <w:rFonts w:ascii="Garamond" w:hAnsi="Garamond"/>
        </w:rPr>
        <w:t xml:space="preserve"> DORS</w:t>
      </w:r>
      <w:r w:rsidRPr="004A0C12">
        <w:rPr>
          <w:rFonts w:ascii="Garamond" w:hAnsi="Garamond"/>
        </w:rPr>
        <w:t xml:space="preserve"> about issues</w:t>
      </w:r>
      <w:r w:rsidR="006923E3" w:rsidRPr="004A0C12">
        <w:rPr>
          <w:rFonts w:ascii="Garamond" w:hAnsi="Garamond"/>
        </w:rPr>
        <w:t>,</w:t>
      </w:r>
      <w:r w:rsidRPr="004A0C12">
        <w:rPr>
          <w:rFonts w:ascii="Garamond" w:hAnsi="Garamond"/>
        </w:rPr>
        <w:t xml:space="preserve"> such as</w:t>
      </w:r>
      <w:r w:rsidR="006923E3" w:rsidRPr="004A0C12">
        <w:rPr>
          <w:rFonts w:ascii="Garamond" w:hAnsi="Garamond"/>
        </w:rPr>
        <w:t xml:space="preserve"> </w:t>
      </w:r>
      <w:r w:rsidRPr="004A0C12">
        <w:rPr>
          <w:rFonts w:ascii="Garamond" w:hAnsi="Garamond"/>
        </w:rPr>
        <w:t>service provision, eligibility, strategic planning, and consumer satisfaction. MSRC members meet quarterly, perform extensive committee work</w:t>
      </w:r>
      <w:r w:rsidR="00667332" w:rsidRPr="004A0C12">
        <w:rPr>
          <w:rFonts w:ascii="Garamond" w:hAnsi="Garamond"/>
        </w:rPr>
        <w:t>,</w:t>
      </w:r>
      <w:r w:rsidRPr="004A0C12">
        <w:rPr>
          <w:rFonts w:ascii="Garamond" w:hAnsi="Garamond"/>
        </w:rPr>
        <w:t xml:space="preserve"> and he</w:t>
      </w:r>
      <w:r w:rsidR="006923E3" w:rsidRPr="004A0C12">
        <w:rPr>
          <w:rFonts w:ascii="Garamond" w:hAnsi="Garamond"/>
        </w:rPr>
        <w:t xml:space="preserve">lp with informal consultation. </w:t>
      </w:r>
      <w:r w:rsidRPr="004A0C12">
        <w:rPr>
          <w:rFonts w:ascii="Garamond" w:hAnsi="Garamond"/>
        </w:rPr>
        <w:t>The MSRC provides year-round formal and informal consultation to DORS, particularly at scheduled quarterly full Council meetings, at committee meetings</w:t>
      </w:r>
      <w:r w:rsidR="006923E3" w:rsidRPr="004A0C12">
        <w:rPr>
          <w:rFonts w:ascii="Garamond" w:hAnsi="Garamond"/>
        </w:rPr>
        <w:t>,</w:t>
      </w:r>
      <w:r w:rsidRPr="004A0C12">
        <w:rPr>
          <w:rFonts w:ascii="Garamond" w:hAnsi="Garamond"/>
        </w:rPr>
        <w:t xml:space="preserve"> and during an annual DORS/MSRC executive planning meeting. Meeting minutes document dis</w:t>
      </w:r>
      <w:r w:rsidR="006923E3" w:rsidRPr="004A0C12">
        <w:rPr>
          <w:rFonts w:ascii="Garamond" w:hAnsi="Garamond"/>
        </w:rPr>
        <w:t xml:space="preserve">cussions and recommendations.   </w:t>
      </w:r>
      <w:r w:rsidRPr="004A0C12">
        <w:rPr>
          <w:rFonts w:ascii="Garamond" w:hAnsi="Garamond"/>
        </w:rPr>
        <w:t>Additionall</w:t>
      </w:r>
      <w:r w:rsidR="006923E3" w:rsidRPr="004A0C12">
        <w:rPr>
          <w:rFonts w:ascii="Garamond" w:hAnsi="Garamond"/>
        </w:rPr>
        <w:t xml:space="preserve">y, DORS provided members of the MSRC </w:t>
      </w:r>
      <w:r w:rsidRPr="004A0C12">
        <w:rPr>
          <w:rFonts w:ascii="Garamond" w:hAnsi="Garamond"/>
        </w:rPr>
        <w:t>Policy and Planning Committee with the following documents</w:t>
      </w:r>
      <w:r w:rsidR="006923E3" w:rsidRPr="004A0C12">
        <w:rPr>
          <w:rFonts w:ascii="Garamond" w:hAnsi="Garamond"/>
        </w:rPr>
        <w:t>,</w:t>
      </w:r>
      <w:r w:rsidRPr="004A0C12">
        <w:rPr>
          <w:rFonts w:ascii="Garamond" w:hAnsi="Garamond"/>
        </w:rPr>
        <w:t xml:space="preserve"> so that the committee could offer formal recommendations for the agency’s strategic planning needs:</w:t>
      </w:r>
    </w:p>
    <w:p w14:paraId="18F03311" w14:textId="77777777" w:rsidR="007A1FDC" w:rsidRPr="004A0C12" w:rsidRDefault="007A1FDC" w:rsidP="007A1FDC">
      <w:pPr>
        <w:widowControl w:val="0"/>
        <w:spacing w:after="0" w:line="240" w:lineRule="auto"/>
        <w:jc w:val="both"/>
        <w:rPr>
          <w:rFonts w:ascii="Garamond" w:hAnsi="Garamond"/>
        </w:rPr>
      </w:pPr>
    </w:p>
    <w:p w14:paraId="51E3D6B0" w14:textId="0EEF568B" w:rsidR="007A1FDC" w:rsidRPr="004A0C12" w:rsidRDefault="007A1FDC" w:rsidP="00232F09">
      <w:pPr>
        <w:widowControl w:val="0"/>
        <w:numPr>
          <w:ilvl w:val="0"/>
          <w:numId w:val="119"/>
        </w:numPr>
        <w:tabs>
          <w:tab w:val="clear" w:pos="360"/>
          <w:tab w:val="num" w:pos="720"/>
        </w:tabs>
        <w:spacing w:after="0" w:line="240" w:lineRule="auto"/>
        <w:ind w:left="720" w:hanging="360"/>
        <w:jc w:val="both"/>
        <w:rPr>
          <w:rFonts w:ascii="Garamond" w:hAnsi="Garamond"/>
        </w:rPr>
      </w:pPr>
      <w:r w:rsidRPr="004A0C12">
        <w:rPr>
          <w:rFonts w:ascii="Garamond" w:hAnsi="Garamond"/>
        </w:rPr>
        <w:t>MSRC FY 2015 Annual Report</w:t>
      </w:r>
    </w:p>
    <w:p w14:paraId="2CB001AB" w14:textId="0ED7D4F6" w:rsidR="007A1FDC" w:rsidRPr="004A0C12" w:rsidRDefault="007A1FDC" w:rsidP="00232F09">
      <w:pPr>
        <w:widowControl w:val="0"/>
        <w:numPr>
          <w:ilvl w:val="0"/>
          <w:numId w:val="119"/>
        </w:numPr>
        <w:tabs>
          <w:tab w:val="clear" w:pos="360"/>
          <w:tab w:val="num" w:pos="720"/>
        </w:tabs>
        <w:spacing w:after="0" w:line="240" w:lineRule="auto"/>
        <w:ind w:left="720" w:hanging="360"/>
        <w:jc w:val="both"/>
        <w:rPr>
          <w:rFonts w:ascii="Garamond" w:hAnsi="Garamond"/>
        </w:rPr>
      </w:pPr>
      <w:r w:rsidRPr="004A0C12">
        <w:rPr>
          <w:rFonts w:ascii="Garamond" w:hAnsi="Garamond"/>
        </w:rPr>
        <w:t>DORS FY 2015 Outcomes</w:t>
      </w:r>
    </w:p>
    <w:p w14:paraId="773CCDE4" w14:textId="0911A4C5" w:rsidR="007A1FDC" w:rsidRPr="004A0C12" w:rsidRDefault="007A1FDC" w:rsidP="00232F09">
      <w:pPr>
        <w:widowControl w:val="0"/>
        <w:numPr>
          <w:ilvl w:val="0"/>
          <w:numId w:val="119"/>
        </w:numPr>
        <w:tabs>
          <w:tab w:val="clear" w:pos="360"/>
          <w:tab w:val="num" w:pos="720"/>
        </w:tabs>
        <w:spacing w:after="0" w:line="240" w:lineRule="auto"/>
        <w:ind w:left="720" w:hanging="360"/>
        <w:jc w:val="both"/>
        <w:rPr>
          <w:rFonts w:ascii="Garamond" w:hAnsi="Garamond"/>
        </w:rPr>
      </w:pPr>
      <w:r w:rsidRPr="004A0C12">
        <w:rPr>
          <w:rFonts w:ascii="Garamond" w:hAnsi="Garamond"/>
        </w:rPr>
        <w:t>FY 2015 Standards &amp; Indicators</w:t>
      </w:r>
    </w:p>
    <w:p w14:paraId="72B39CAF" w14:textId="584D3A06" w:rsidR="007A1FDC" w:rsidRPr="004A0C12" w:rsidRDefault="007A1FDC" w:rsidP="00232F09">
      <w:pPr>
        <w:widowControl w:val="0"/>
        <w:numPr>
          <w:ilvl w:val="0"/>
          <w:numId w:val="119"/>
        </w:numPr>
        <w:tabs>
          <w:tab w:val="clear" w:pos="360"/>
          <w:tab w:val="num" w:pos="720"/>
        </w:tabs>
        <w:spacing w:after="0" w:line="240" w:lineRule="auto"/>
        <w:ind w:left="720" w:hanging="360"/>
        <w:jc w:val="both"/>
        <w:rPr>
          <w:rFonts w:ascii="Garamond" w:hAnsi="Garamond"/>
        </w:rPr>
      </w:pPr>
      <w:r w:rsidRPr="004A0C12">
        <w:rPr>
          <w:rFonts w:ascii="Garamond" w:hAnsi="Garamond"/>
        </w:rPr>
        <w:t>Consumer satisfaction survey results from the Office of Field Services and the Office for Blindness &amp; Vision Services</w:t>
      </w:r>
    </w:p>
    <w:p w14:paraId="6F8EE553" w14:textId="015AAEC4" w:rsidR="007A1FDC" w:rsidRPr="004A0C12" w:rsidRDefault="007A1FDC" w:rsidP="00232F09">
      <w:pPr>
        <w:widowControl w:val="0"/>
        <w:numPr>
          <w:ilvl w:val="0"/>
          <w:numId w:val="119"/>
        </w:numPr>
        <w:tabs>
          <w:tab w:val="clear" w:pos="360"/>
          <w:tab w:val="num" w:pos="720"/>
        </w:tabs>
        <w:spacing w:after="0" w:line="240" w:lineRule="auto"/>
        <w:ind w:left="720" w:hanging="360"/>
        <w:jc w:val="both"/>
        <w:rPr>
          <w:rFonts w:ascii="Garamond" w:hAnsi="Garamond"/>
        </w:rPr>
      </w:pPr>
      <w:r w:rsidRPr="004A0C12">
        <w:rPr>
          <w:rFonts w:ascii="Garamond" w:hAnsi="Garamond"/>
        </w:rPr>
        <w:t>DORS/MSRC 2015 Public Meeti</w:t>
      </w:r>
      <w:r w:rsidR="00FF755D" w:rsidRPr="004A0C12">
        <w:rPr>
          <w:rFonts w:ascii="Garamond" w:hAnsi="Garamond"/>
        </w:rPr>
        <w:t>ngs R</w:t>
      </w:r>
      <w:r w:rsidRPr="004A0C12">
        <w:rPr>
          <w:rFonts w:ascii="Garamond" w:hAnsi="Garamond"/>
        </w:rPr>
        <w:t>eport</w:t>
      </w:r>
    </w:p>
    <w:p w14:paraId="580095D1" w14:textId="77777777" w:rsidR="007A1FDC" w:rsidRPr="004A0C12" w:rsidRDefault="007A1FDC" w:rsidP="007A1FDC">
      <w:pPr>
        <w:widowControl w:val="0"/>
        <w:spacing w:after="0" w:line="240" w:lineRule="auto"/>
        <w:jc w:val="both"/>
        <w:rPr>
          <w:rFonts w:ascii="Garamond" w:hAnsi="Garamond"/>
        </w:rPr>
      </w:pPr>
    </w:p>
    <w:p w14:paraId="38FF9908" w14:textId="0C85D723" w:rsidR="007A1FDC" w:rsidRPr="004A0C12" w:rsidRDefault="007A1FDC" w:rsidP="007A1FDC">
      <w:pPr>
        <w:widowControl w:val="0"/>
        <w:spacing w:after="0" w:line="240" w:lineRule="auto"/>
        <w:jc w:val="both"/>
        <w:rPr>
          <w:rFonts w:ascii="Garamond" w:hAnsi="Garamond"/>
        </w:rPr>
      </w:pPr>
      <w:r w:rsidRPr="004A0C12">
        <w:rPr>
          <w:rFonts w:ascii="Garamond" w:hAnsi="Garamond"/>
        </w:rPr>
        <w:t>During FY2015, MSRC played an active role in many activities with and in support of DORS. These included the following:</w:t>
      </w:r>
    </w:p>
    <w:p w14:paraId="6D1E592B" w14:textId="77777777" w:rsidR="00FF44FF" w:rsidRPr="004A0C12" w:rsidRDefault="00FF44FF" w:rsidP="007A1FDC">
      <w:pPr>
        <w:widowControl w:val="0"/>
        <w:spacing w:after="0" w:line="240" w:lineRule="auto"/>
        <w:jc w:val="both"/>
        <w:rPr>
          <w:rFonts w:ascii="Garamond" w:hAnsi="Garamond"/>
        </w:rPr>
      </w:pPr>
    </w:p>
    <w:p w14:paraId="409EA50B" w14:textId="1B0BD872" w:rsidR="007A1FDC" w:rsidRPr="004A0C12" w:rsidRDefault="007A1FDC" w:rsidP="00232F09">
      <w:pPr>
        <w:widowControl w:val="0"/>
        <w:numPr>
          <w:ilvl w:val="0"/>
          <w:numId w:val="120"/>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Advocating for increased awareness of public vocational </w:t>
      </w:r>
      <w:r w:rsidR="0096326A" w:rsidRPr="004A0C12">
        <w:rPr>
          <w:rFonts w:ascii="Garamond" w:hAnsi="Garamond"/>
        </w:rPr>
        <w:t>rehabilitation programs and the Vocational R</w:t>
      </w:r>
      <w:r w:rsidRPr="004A0C12">
        <w:rPr>
          <w:rFonts w:ascii="Garamond" w:hAnsi="Garamond"/>
        </w:rPr>
        <w:t xml:space="preserve">ehabilitation services portion of the </w:t>
      </w:r>
      <w:r w:rsidR="006923E3" w:rsidRPr="004A0C12">
        <w:rPr>
          <w:rFonts w:ascii="Garamond" w:hAnsi="Garamond"/>
        </w:rPr>
        <w:t xml:space="preserve">WIOA System outlined in the </w:t>
      </w:r>
      <w:r w:rsidRPr="004A0C12">
        <w:rPr>
          <w:rFonts w:ascii="Garamond" w:hAnsi="Garamond"/>
        </w:rPr>
        <w:t xml:space="preserve">Maryland Combined State Plan, including educating stakeholders about the impact of </w:t>
      </w:r>
      <w:r w:rsidR="006923E3" w:rsidRPr="004A0C12">
        <w:rPr>
          <w:rFonts w:ascii="Garamond" w:hAnsi="Garamond"/>
        </w:rPr>
        <w:t xml:space="preserve">the </w:t>
      </w:r>
      <w:r w:rsidRPr="004A0C12">
        <w:rPr>
          <w:rFonts w:ascii="Garamond" w:hAnsi="Garamond"/>
        </w:rPr>
        <w:t>DORS waiting list on people with significant disabilities, pre-employment transition services to students with disabilities, and enhancing collaboration with workforce partners to promote the competitive integrated employment of individuals</w:t>
      </w:r>
      <w:r w:rsidR="00FF755D" w:rsidRPr="004A0C12">
        <w:rPr>
          <w:rFonts w:ascii="Garamond" w:hAnsi="Garamond"/>
        </w:rPr>
        <w:t xml:space="preserve"> with significant disabilities</w:t>
      </w:r>
    </w:p>
    <w:p w14:paraId="212E685F" w14:textId="02C024A7" w:rsidR="007A1FDC" w:rsidRPr="004A0C12" w:rsidRDefault="007A1FDC" w:rsidP="00232F09">
      <w:pPr>
        <w:widowControl w:val="0"/>
        <w:numPr>
          <w:ilvl w:val="0"/>
          <w:numId w:val="120"/>
        </w:numPr>
        <w:tabs>
          <w:tab w:val="clear" w:pos="360"/>
          <w:tab w:val="num" w:pos="720"/>
        </w:tabs>
        <w:spacing w:after="0" w:line="240" w:lineRule="auto"/>
        <w:ind w:left="720" w:hanging="360"/>
        <w:jc w:val="both"/>
        <w:rPr>
          <w:rFonts w:ascii="Garamond" w:hAnsi="Garamond"/>
        </w:rPr>
      </w:pPr>
      <w:r w:rsidRPr="004A0C12">
        <w:rPr>
          <w:rFonts w:ascii="Garamond" w:hAnsi="Garamond"/>
        </w:rPr>
        <w:t>Facilita</w:t>
      </w:r>
      <w:r w:rsidR="00FF755D" w:rsidRPr="004A0C12">
        <w:rPr>
          <w:rFonts w:ascii="Garamond" w:hAnsi="Garamond"/>
        </w:rPr>
        <w:t>ting statewide public meetings</w:t>
      </w:r>
    </w:p>
    <w:p w14:paraId="0C66C208" w14:textId="6F6BE347" w:rsidR="007A1FDC" w:rsidRPr="004A0C12" w:rsidRDefault="007A1FDC" w:rsidP="00232F09">
      <w:pPr>
        <w:widowControl w:val="0"/>
        <w:numPr>
          <w:ilvl w:val="0"/>
          <w:numId w:val="120"/>
        </w:numPr>
        <w:tabs>
          <w:tab w:val="clear" w:pos="360"/>
          <w:tab w:val="num" w:pos="720"/>
        </w:tabs>
        <w:spacing w:after="0" w:line="240" w:lineRule="auto"/>
        <w:ind w:left="720" w:hanging="360"/>
        <w:jc w:val="both"/>
        <w:rPr>
          <w:rFonts w:ascii="Garamond" w:hAnsi="Garamond"/>
        </w:rPr>
      </w:pPr>
      <w:r w:rsidRPr="004A0C12">
        <w:rPr>
          <w:rFonts w:ascii="Garamond" w:hAnsi="Garamond"/>
        </w:rPr>
        <w:t>Providing consultation and review fo</w:t>
      </w:r>
      <w:r w:rsidR="00FF755D" w:rsidRPr="004A0C12">
        <w:rPr>
          <w:rFonts w:ascii="Garamond" w:hAnsi="Garamond"/>
        </w:rPr>
        <w:t>r consumer satisfaction surveys</w:t>
      </w:r>
    </w:p>
    <w:p w14:paraId="5D2E6540" w14:textId="745E7959" w:rsidR="007A1FDC" w:rsidRPr="004A0C12" w:rsidRDefault="007A1FDC" w:rsidP="00232F09">
      <w:pPr>
        <w:widowControl w:val="0"/>
        <w:numPr>
          <w:ilvl w:val="0"/>
          <w:numId w:val="120"/>
        </w:numPr>
        <w:tabs>
          <w:tab w:val="clear" w:pos="360"/>
          <w:tab w:val="num" w:pos="720"/>
        </w:tabs>
        <w:spacing w:after="0" w:line="240" w:lineRule="auto"/>
        <w:ind w:left="720" w:hanging="360"/>
        <w:jc w:val="both"/>
        <w:rPr>
          <w:rFonts w:ascii="Garamond" w:hAnsi="Garamond"/>
        </w:rPr>
      </w:pPr>
      <w:r w:rsidRPr="004A0C12">
        <w:rPr>
          <w:rFonts w:ascii="Garamond" w:hAnsi="Garamond"/>
        </w:rPr>
        <w:lastRenderedPageBreak/>
        <w:t>Providing review and analysis of Client Assista</w:t>
      </w:r>
      <w:r w:rsidR="00FF755D" w:rsidRPr="004A0C12">
        <w:rPr>
          <w:rFonts w:ascii="Garamond" w:hAnsi="Garamond"/>
        </w:rPr>
        <w:t>nce Program outcomes and issues</w:t>
      </w:r>
    </w:p>
    <w:p w14:paraId="57EF38DE" w14:textId="3D01E618" w:rsidR="007A1FDC" w:rsidRPr="004A0C12" w:rsidRDefault="007A1FDC" w:rsidP="00232F09">
      <w:pPr>
        <w:widowControl w:val="0"/>
        <w:numPr>
          <w:ilvl w:val="0"/>
          <w:numId w:val="120"/>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Reviewing and analyzing </w:t>
      </w:r>
      <w:r w:rsidR="006923E3" w:rsidRPr="004A0C12">
        <w:rPr>
          <w:rFonts w:ascii="Garamond" w:hAnsi="Garamond"/>
        </w:rPr>
        <w:t xml:space="preserve">a </w:t>
      </w:r>
      <w:r w:rsidRPr="004A0C12">
        <w:rPr>
          <w:rFonts w:ascii="Garamond" w:hAnsi="Garamond"/>
        </w:rPr>
        <w:t xml:space="preserve">DORS </w:t>
      </w:r>
      <w:r w:rsidR="00FF755D" w:rsidRPr="004A0C12">
        <w:rPr>
          <w:rFonts w:ascii="Garamond" w:hAnsi="Garamond"/>
        </w:rPr>
        <w:t>employment and retention study</w:t>
      </w:r>
    </w:p>
    <w:p w14:paraId="0F6576B7" w14:textId="47CC25B3" w:rsidR="007A1FDC" w:rsidRPr="004A0C12" w:rsidRDefault="007A1FDC" w:rsidP="00232F09">
      <w:pPr>
        <w:widowControl w:val="0"/>
        <w:numPr>
          <w:ilvl w:val="0"/>
          <w:numId w:val="120"/>
        </w:numPr>
        <w:tabs>
          <w:tab w:val="clear" w:pos="360"/>
          <w:tab w:val="num" w:pos="720"/>
        </w:tabs>
        <w:spacing w:after="0" w:line="240" w:lineRule="auto"/>
        <w:ind w:left="720" w:hanging="360"/>
        <w:jc w:val="both"/>
        <w:rPr>
          <w:rFonts w:ascii="Garamond" w:hAnsi="Garamond"/>
        </w:rPr>
      </w:pPr>
      <w:r w:rsidRPr="004A0C12">
        <w:rPr>
          <w:rFonts w:ascii="Garamond" w:hAnsi="Garamond"/>
        </w:rPr>
        <w:t>Contacting members of Maryland’s General Assembly regarding the need to maintain state funding to address the needs of underserved populations and DORS staff vacancy rates, and to thank them for their continuing support of the public vo</w:t>
      </w:r>
      <w:r w:rsidR="00FF755D" w:rsidRPr="004A0C12">
        <w:rPr>
          <w:rFonts w:ascii="Garamond" w:hAnsi="Garamond"/>
        </w:rPr>
        <w:t>cational rehabilitation program</w:t>
      </w:r>
    </w:p>
    <w:p w14:paraId="42880AB2" w14:textId="0DF03CDE" w:rsidR="007A1FDC" w:rsidRPr="004A0C12" w:rsidRDefault="007A1FDC" w:rsidP="00232F09">
      <w:pPr>
        <w:widowControl w:val="0"/>
        <w:numPr>
          <w:ilvl w:val="0"/>
          <w:numId w:val="120"/>
        </w:numPr>
        <w:tabs>
          <w:tab w:val="clear" w:pos="360"/>
          <w:tab w:val="num" w:pos="720"/>
        </w:tabs>
        <w:spacing w:after="0" w:line="240" w:lineRule="auto"/>
        <w:ind w:left="720" w:hanging="360"/>
        <w:jc w:val="both"/>
        <w:rPr>
          <w:rFonts w:ascii="Garamond" w:hAnsi="Garamond"/>
        </w:rPr>
      </w:pPr>
      <w:r w:rsidRPr="004A0C12">
        <w:rPr>
          <w:rFonts w:ascii="Garamond" w:hAnsi="Garamond"/>
        </w:rPr>
        <w:t>Actively participating in DORS strategic and a</w:t>
      </w:r>
      <w:r w:rsidR="00FF755D" w:rsidRPr="004A0C12">
        <w:rPr>
          <w:rFonts w:ascii="Garamond" w:hAnsi="Garamond"/>
        </w:rPr>
        <w:t>nnual planning process meetings</w:t>
      </w:r>
    </w:p>
    <w:p w14:paraId="780F1BB0" w14:textId="630E2B4F" w:rsidR="007A1FDC" w:rsidRPr="004A0C12" w:rsidRDefault="007A1FDC" w:rsidP="00232F09">
      <w:pPr>
        <w:widowControl w:val="0"/>
        <w:numPr>
          <w:ilvl w:val="0"/>
          <w:numId w:val="120"/>
        </w:numPr>
        <w:tabs>
          <w:tab w:val="clear" w:pos="360"/>
          <w:tab w:val="num" w:pos="720"/>
        </w:tabs>
        <w:spacing w:after="0" w:line="240" w:lineRule="auto"/>
        <w:ind w:left="720" w:hanging="360"/>
        <w:jc w:val="both"/>
        <w:rPr>
          <w:rFonts w:ascii="Garamond" w:hAnsi="Garamond"/>
        </w:rPr>
      </w:pPr>
      <w:r w:rsidRPr="004A0C12">
        <w:rPr>
          <w:rFonts w:ascii="Garamond" w:hAnsi="Garamond"/>
        </w:rPr>
        <w:t>Expressed continued concern in the MSRC Annual Report regarding the lengthy waiting list of DORS consumers with significant disabilities o</w:t>
      </w:r>
      <w:r w:rsidR="00FF755D" w:rsidRPr="004A0C12">
        <w:rPr>
          <w:rFonts w:ascii="Garamond" w:hAnsi="Garamond"/>
        </w:rPr>
        <w:t>n the waiting list for services</w:t>
      </w:r>
    </w:p>
    <w:p w14:paraId="2779B4AE" w14:textId="353333CC" w:rsidR="007A1FDC" w:rsidRPr="004A0C12" w:rsidRDefault="006923E3" w:rsidP="00232F09">
      <w:pPr>
        <w:widowControl w:val="0"/>
        <w:numPr>
          <w:ilvl w:val="0"/>
          <w:numId w:val="120"/>
        </w:numPr>
        <w:tabs>
          <w:tab w:val="clear" w:pos="360"/>
          <w:tab w:val="num" w:pos="720"/>
        </w:tabs>
        <w:spacing w:after="0" w:line="240" w:lineRule="auto"/>
        <w:ind w:left="720" w:hanging="360"/>
        <w:jc w:val="both"/>
        <w:rPr>
          <w:rFonts w:ascii="Garamond" w:hAnsi="Garamond"/>
        </w:rPr>
      </w:pPr>
      <w:r w:rsidRPr="004A0C12">
        <w:rPr>
          <w:rFonts w:ascii="Garamond" w:hAnsi="Garamond"/>
        </w:rPr>
        <w:t>Participated in the Region 3 State Rehabilitation Councils’</w:t>
      </w:r>
      <w:r w:rsidR="007A1FDC" w:rsidRPr="004A0C12">
        <w:rPr>
          <w:rFonts w:ascii="Garamond" w:hAnsi="Garamond"/>
        </w:rPr>
        <w:t xml:space="preserve"> Community of Practice, the Council of State Administrators of V</w:t>
      </w:r>
      <w:r w:rsidRPr="004A0C12">
        <w:rPr>
          <w:rFonts w:ascii="Garamond" w:hAnsi="Garamond"/>
        </w:rPr>
        <w:t>ocational Rehabilitation</w:t>
      </w:r>
      <w:r w:rsidR="007A1FDC" w:rsidRPr="004A0C12">
        <w:rPr>
          <w:rFonts w:ascii="Garamond" w:hAnsi="Garamond"/>
        </w:rPr>
        <w:t>, the National Council of Stat</w:t>
      </w:r>
      <w:r w:rsidRPr="004A0C12">
        <w:rPr>
          <w:rFonts w:ascii="Garamond" w:hAnsi="Garamond"/>
        </w:rPr>
        <w:t>e Agencies for the Blind</w:t>
      </w:r>
      <w:r w:rsidR="007A1FDC" w:rsidRPr="004A0C12">
        <w:rPr>
          <w:rFonts w:ascii="Garamond" w:hAnsi="Garamond"/>
        </w:rPr>
        <w:t>, and the National Coalition of</w:t>
      </w:r>
      <w:r w:rsidR="00FF755D" w:rsidRPr="004A0C12">
        <w:rPr>
          <w:rFonts w:ascii="Garamond" w:hAnsi="Garamond"/>
        </w:rPr>
        <w:t xml:space="preserve"> State Rehabilitation Councils</w:t>
      </w:r>
    </w:p>
    <w:p w14:paraId="03153987" w14:textId="77777777" w:rsidR="007A1FDC" w:rsidRPr="00193E8E" w:rsidRDefault="007A1FDC" w:rsidP="0096326A">
      <w:pPr>
        <w:pStyle w:val="Heading2"/>
        <w:rPr>
          <w:rFonts w:ascii="Garamond" w:hAnsi="Garamond"/>
          <w:sz w:val="24"/>
          <w:szCs w:val="24"/>
        </w:rPr>
      </w:pPr>
      <w:bookmarkStart w:id="176" w:name="_Toc447276205"/>
      <w:r w:rsidRPr="00193E8E">
        <w:rPr>
          <w:rFonts w:ascii="Garamond" w:hAnsi="Garamond"/>
          <w:sz w:val="24"/>
          <w:szCs w:val="24"/>
        </w:rPr>
        <w:t>Recommendations from the Maryland State Rehabilitation Council</w:t>
      </w:r>
      <w:bookmarkEnd w:id="176"/>
      <w:r w:rsidRPr="00193E8E">
        <w:rPr>
          <w:rFonts w:ascii="Garamond" w:hAnsi="Garamond"/>
          <w:sz w:val="24"/>
          <w:szCs w:val="24"/>
        </w:rPr>
        <w:t xml:space="preserve"> </w:t>
      </w:r>
    </w:p>
    <w:p w14:paraId="2A5A25EC" w14:textId="77777777" w:rsidR="00E92E6C" w:rsidRPr="004A0C12" w:rsidRDefault="00E92E6C" w:rsidP="008C4670">
      <w:pPr>
        <w:widowControl w:val="0"/>
        <w:spacing w:after="0" w:line="240" w:lineRule="auto"/>
        <w:contextualSpacing/>
        <w:jc w:val="both"/>
        <w:rPr>
          <w:rFonts w:ascii="Garamond" w:hAnsi="Garamond"/>
        </w:rPr>
      </w:pPr>
    </w:p>
    <w:p w14:paraId="523DD6F6" w14:textId="1AD8DB63" w:rsidR="00E92E6C" w:rsidRPr="004A0C12" w:rsidRDefault="00E92E6C" w:rsidP="008C4670">
      <w:pPr>
        <w:widowControl w:val="0"/>
        <w:spacing w:after="0" w:line="240" w:lineRule="auto"/>
        <w:contextualSpacing/>
        <w:jc w:val="both"/>
        <w:rPr>
          <w:rFonts w:ascii="Garamond" w:hAnsi="Garamond"/>
        </w:rPr>
      </w:pPr>
      <w:r w:rsidRPr="004A0C12">
        <w:rPr>
          <w:rFonts w:ascii="Garamond" w:hAnsi="Garamond"/>
        </w:rPr>
        <w:t>The Maryland State Rehabilitation Council takes an active and visible role in how Maryland's public Vocational Rehabilitation program is administered through a variety of activities</w:t>
      </w:r>
      <w:r w:rsidR="008C4670" w:rsidRPr="004A0C12">
        <w:rPr>
          <w:rFonts w:ascii="Garamond" w:hAnsi="Garamond"/>
        </w:rPr>
        <w:t>, including</w:t>
      </w:r>
      <w:r w:rsidRPr="004A0C12">
        <w:rPr>
          <w:rFonts w:ascii="Garamond" w:hAnsi="Garamond"/>
        </w:rPr>
        <w:t>:</w:t>
      </w:r>
    </w:p>
    <w:p w14:paraId="7A89FDC1" w14:textId="77777777" w:rsidR="008C4670" w:rsidRPr="004A0C12" w:rsidRDefault="008C4670" w:rsidP="008C4670">
      <w:pPr>
        <w:widowControl w:val="0"/>
        <w:spacing w:after="0" w:line="240" w:lineRule="auto"/>
        <w:contextualSpacing/>
        <w:jc w:val="both"/>
        <w:rPr>
          <w:rFonts w:ascii="Garamond" w:hAnsi="Garamond"/>
        </w:rPr>
      </w:pPr>
    </w:p>
    <w:p w14:paraId="279F2CAF" w14:textId="07B6885B" w:rsidR="00E92E6C" w:rsidRPr="004A0C12" w:rsidRDefault="008C4670" w:rsidP="00232F09">
      <w:pPr>
        <w:pStyle w:val="ListParagraph"/>
        <w:widowControl w:val="0"/>
        <w:numPr>
          <w:ilvl w:val="0"/>
          <w:numId w:val="209"/>
        </w:numPr>
        <w:contextualSpacing/>
        <w:jc w:val="both"/>
        <w:rPr>
          <w:rFonts w:ascii="Garamond" w:hAnsi="Garamond"/>
          <w:szCs w:val="22"/>
        </w:rPr>
      </w:pPr>
      <w:r w:rsidRPr="004A0C12">
        <w:rPr>
          <w:rFonts w:ascii="Garamond" w:hAnsi="Garamond"/>
          <w:szCs w:val="22"/>
        </w:rPr>
        <w:t>Reviewing, analyzing, and advising</w:t>
      </w:r>
      <w:r w:rsidR="00E92E6C" w:rsidRPr="004A0C12">
        <w:rPr>
          <w:rFonts w:ascii="Garamond" w:hAnsi="Garamond"/>
          <w:szCs w:val="22"/>
        </w:rPr>
        <w:t xml:space="preserve"> DORS regarding performance of its responsibilities and</w:t>
      </w:r>
      <w:r w:rsidR="00FF755D" w:rsidRPr="004A0C12">
        <w:rPr>
          <w:rFonts w:ascii="Garamond" w:hAnsi="Garamond"/>
          <w:szCs w:val="22"/>
        </w:rPr>
        <w:t xml:space="preserve"> quality of its services</w:t>
      </w:r>
    </w:p>
    <w:p w14:paraId="0C87856F" w14:textId="22AB7C6A" w:rsidR="00E92E6C" w:rsidRPr="004A0C12" w:rsidRDefault="008C4670" w:rsidP="00232F09">
      <w:pPr>
        <w:pStyle w:val="ListParagraph"/>
        <w:widowControl w:val="0"/>
        <w:numPr>
          <w:ilvl w:val="0"/>
          <w:numId w:val="209"/>
        </w:numPr>
        <w:contextualSpacing/>
        <w:jc w:val="both"/>
        <w:rPr>
          <w:rFonts w:ascii="Garamond" w:hAnsi="Garamond"/>
          <w:szCs w:val="22"/>
        </w:rPr>
      </w:pPr>
      <w:r w:rsidRPr="004A0C12">
        <w:rPr>
          <w:rFonts w:ascii="Garamond" w:hAnsi="Garamond"/>
          <w:szCs w:val="22"/>
        </w:rPr>
        <w:t xml:space="preserve">Ensuring </w:t>
      </w:r>
      <w:r w:rsidR="00E92E6C" w:rsidRPr="004A0C12">
        <w:rPr>
          <w:rFonts w:ascii="Garamond" w:hAnsi="Garamond"/>
          <w:szCs w:val="22"/>
        </w:rPr>
        <w:t>that the needs of individuals with disabilities are identified and addressed by state and federal legislators, service provide</w:t>
      </w:r>
      <w:r w:rsidR="00FF755D" w:rsidRPr="004A0C12">
        <w:rPr>
          <w:rFonts w:ascii="Garamond" w:hAnsi="Garamond"/>
          <w:szCs w:val="22"/>
        </w:rPr>
        <w:t>rs, employers and the community</w:t>
      </w:r>
    </w:p>
    <w:p w14:paraId="19F621D3" w14:textId="7D599378" w:rsidR="00E92E6C" w:rsidRPr="004A0C12" w:rsidRDefault="00E92E6C" w:rsidP="00232F09">
      <w:pPr>
        <w:pStyle w:val="ListParagraph"/>
        <w:widowControl w:val="0"/>
        <w:numPr>
          <w:ilvl w:val="0"/>
          <w:numId w:val="209"/>
        </w:numPr>
        <w:contextualSpacing/>
        <w:jc w:val="both"/>
        <w:rPr>
          <w:rFonts w:ascii="Garamond" w:hAnsi="Garamond"/>
          <w:szCs w:val="22"/>
        </w:rPr>
      </w:pPr>
      <w:r w:rsidRPr="004A0C12">
        <w:rPr>
          <w:rFonts w:ascii="Garamond" w:hAnsi="Garamond"/>
          <w:szCs w:val="22"/>
        </w:rPr>
        <w:t>Collab</w:t>
      </w:r>
      <w:r w:rsidR="008C4670" w:rsidRPr="004A0C12">
        <w:rPr>
          <w:rFonts w:ascii="Garamond" w:hAnsi="Garamond"/>
          <w:szCs w:val="22"/>
        </w:rPr>
        <w:t>orating</w:t>
      </w:r>
      <w:r w:rsidRPr="004A0C12">
        <w:rPr>
          <w:rFonts w:ascii="Garamond" w:hAnsi="Garamond"/>
          <w:szCs w:val="22"/>
        </w:rPr>
        <w:t xml:space="preserve"> with organizations and other state councils to promote services to underserved and un</w:t>
      </w:r>
      <w:r w:rsidR="00FF755D" w:rsidRPr="004A0C12">
        <w:rPr>
          <w:rFonts w:ascii="Garamond" w:hAnsi="Garamond"/>
          <w:szCs w:val="22"/>
        </w:rPr>
        <w:t>served populations</w:t>
      </w:r>
    </w:p>
    <w:p w14:paraId="527D79CB" w14:textId="5961975A" w:rsidR="00E92E6C" w:rsidRPr="004A0C12" w:rsidRDefault="008C4670" w:rsidP="00232F09">
      <w:pPr>
        <w:pStyle w:val="ListParagraph"/>
        <w:widowControl w:val="0"/>
        <w:numPr>
          <w:ilvl w:val="0"/>
          <w:numId w:val="209"/>
        </w:numPr>
        <w:contextualSpacing/>
        <w:jc w:val="both"/>
        <w:rPr>
          <w:rFonts w:ascii="Garamond" w:hAnsi="Garamond"/>
          <w:szCs w:val="22"/>
        </w:rPr>
      </w:pPr>
      <w:r w:rsidRPr="004A0C12">
        <w:rPr>
          <w:rFonts w:ascii="Garamond" w:hAnsi="Garamond"/>
          <w:szCs w:val="22"/>
        </w:rPr>
        <w:t>Developing and reviewing</w:t>
      </w:r>
      <w:r w:rsidR="00E92E6C" w:rsidRPr="004A0C12">
        <w:rPr>
          <w:rFonts w:ascii="Garamond" w:hAnsi="Garamond"/>
          <w:szCs w:val="22"/>
        </w:rPr>
        <w:t xml:space="preserve"> State g</w:t>
      </w:r>
      <w:r w:rsidR="00FF755D" w:rsidRPr="004A0C12">
        <w:rPr>
          <w:rFonts w:ascii="Garamond" w:hAnsi="Garamond"/>
          <w:szCs w:val="22"/>
        </w:rPr>
        <w:t>oals and priorities, and assisting</w:t>
      </w:r>
      <w:r w:rsidR="00E92E6C" w:rsidRPr="004A0C12">
        <w:rPr>
          <w:rFonts w:ascii="Garamond" w:hAnsi="Garamond"/>
          <w:szCs w:val="22"/>
        </w:rPr>
        <w:t xml:space="preserve"> in the preparation of Maryland's annual State Plan for Vocational Rehabilitation.</w:t>
      </w:r>
    </w:p>
    <w:p w14:paraId="45A6DA27" w14:textId="77777777" w:rsidR="00E92E6C" w:rsidRPr="004A0C12" w:rsidRDefault="00E92E6C" w:rsidP="00E92E6C">
      <w:pPr>
        <w:widowControl w:val="0"/>
        <w:contextualSpacing/>
        <w:rPr>
          <w:rFonts w:ascii="Garamond" w:hAnsi="Garamond"/>
        </w:rPr>
      </w:pPr>
    </w:p>
    <w:p w14:paraId="32B64FCA" w14:textId="7AE2A13B" w:rsidR="00E92E6C" w:rsidRPr="004A0C12" w:rsidRDefault="00334FCE" w:rsidP="00E92E6C">
      <w:pPr>
        <w:widowControl w:val="0"/>
        <w:contextualSpacing/>
        <w:rPr>
          <w:rFonts w:ascii="Garamond" w:hAnsi="Garamond"/>
        </w:rPr>
      </w:pPr>
      <w:r w:rsidRPr="004A0C12">
        <w:rPr>
          <w:rFonts w:ascii="Garamond" w:hAnsi="Garamond"/>
        </w:rPr>
        <w:t>T</w:t>
      </w:r>
      <w:r w:rsidR="005A7C8D" w:rsidRPr="004A0C12">
        <w:rPr>
          <w:rFonts w:ascii="Garamond" w:hAnsi="Garamond"/>
        </w:rPr>
        <w:t xml:space="preserve">he </w:t>
      </w:r>
      <w:r w:rsidR="008C4670" w:rsidRPr="004A0C12">
        <w:rPr>
          <w:rFonts w:ascii="Garamond" w:hAnsi="Garamond"/>
        </w:rPr>
        <w:t xml:space="preserve">Council </w:t>
      </w:r>
      <w:r w:rsidR="005A7C8D" w:rsidRPr="004A0C12">
        <w:rPr>
          <w:rFonts w:ascii="Garamond" w:hAnsi="Garamond"/>
        </w:rPr>
        <w:t>presented the</w:t>
      </w:r>
      <w:r w:rsidR="008C4670" w:rsidRPr="004A0C12">
        <w:rPr>
          <w:rFonts w:ascii="Garamond" w:hAnsi="Garamond"/>
        </w:rPr>
        <w:t xml:space="preserve"> following </w:t>
      </w:r>
      <w:r w:rsidR="00E92E6C" w:rsidRPr="004A0C12">
        <w:rPr>
          <w:rFonts w:ascii="Garamond" w:hAnsi="Garamond"/>
        </w:rPr>
        <w:t>recommendations</w:t>
      </w:r>
      <w:r w:rsidRPr="004A0C12">
        <w:rPr>
          <w:rFonts w:ascii="Garamond" w:hAnsi="Garamond"/>
        </w:rPr>
        <w:t xml:space="preserve"> to DORS following the comprehensive 2013 Statewide Needs Assessment: </w:t>
      </w:r>
    </w:p>
    <w:p w14:paraId="171FD991" w14:textId="77777777" w:rsidR="00E92E6C" w:rsidRPr="004A0C12" w:rsidRDefault="00E92E6C" w:rsidP="007A1FDC">
      <w:pPr>
        <w:widowControl w:val="0"/>
        <w:spacing w:after="0" w:line="240" w:lineRule="auto"/>
        <w:rPr>
          <w:rFonts w:ascii="Garamond" w:hAnsi="Garamond"/>
        </w:rPr>
      </w:pPr>
    </w:p>
    <w:p w14:paraId="75BCE769" w14:textId="02551705" w:rsidR="007A1FDC" w:rsidRPr="004A0C12" w:rsidRDefault="007A1FDC"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The Council commends DORS for the progress made in developing a comprehensive QA case review process to be implemented no later than July 1, 2014. The Council looks forward to hearing results of the initial “beta” year of implementation. The Council recommends that the agency address the methodology of consumer satisfaction surveys and explore web-based surveys. Consider strategies to expand sample size, reach underrepresented groups, an</w:t>
      </w:r>
      <w:r w:rsidR="00FF755D" w:rsidRPr="004A0C12">
        <w:rPr>
          <w:rFonts w:ascii="Garamond" w:hAnsi="Garamond"/>
        </w:rPr>
        <w:t>d preserve anonymity.  Explore w</w:t>
      </w:r>
      <w:r w:rsidRPr="004A0C12">
        <w:rPr>
          <w:rFonts w:ascii="Garamond" w:hAnsi="Garamond"/>
        </w:rPr>
        <w:t>eb-based surveys, follow-up phone calls, and other response methods.</w:t>
      </w:r>
    </w:p>
    <w:p w14:paraId="2A495389" w14:textId="77777777" w:rsidR="006923E3" w:rsidRPr="004A0C12" w:rsidRDefault="006923E3" w:rsidP="006923E3">
      <w:pPr>
        <w:widowControl w:val="0"/>
        <w:spacing w:after="0" w:line="240" w:lineRule="auto"/>
        <w:ind w:left="840"/>
        <w:jc w:val="both"/>
        <w:rPr>
          <w:rFonts w:ascii="Garamond" w:hAnsi="Garamond"/>
        </w:rPr>
      </w:pPr>
    </w:p>
    <w:p w14:paraId="6B06B030" w14:textId="77777777" w:rsidR="007A1FDC" w:rsidRPr="004A0C12" w:rsidRDefault="007A1FDC"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The Council recommends that DORS develop training for staff to expand knowledge and understanding of disabilities and functional capacities, means to mitigate limitations, such as assistive technology, and impact on employment, as a basis for providing effective career counseling.</w:t>
      </w:r>
    </w:p>
    <w:p w14:paraId="7AA203D1" w14:textId="77777777" w:rsidR="007A1FDC" w:rsidRPr="004A0C12" w:rsidRDefault="007A1FDC" w:rsidP="007A1FDC">
      <w:pPr>
        <w:widowControl w:val="0"/>
        <w:spacing w:after="0" w:line="240" w:lineRule="auto"/>
        <w:ind w:left="840"/>
        <w:jc w:val="both"/>
        <w:rPr>
          <w:rFonts w:ascii="Garamond" w:hAnsi="Garamond"/>
        </w:rPr>
      </w:pPr>
    </w:p>
    <w:p w14:paraId="347955CC" w14:textId="77777777" w:rsidR="0096326A" w:rsidRPr="004A0C12" w:rsidRDefault="007A1FDC"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 xml:space="preserve">The Council recommends that DORS continue collaboration with local providers, the Maryland Department of Disabilities, and the Developmental Disabilities Administration at the State and local levels, as related to the </w:t>
      </w:r>
      <w:r w:rsidRPr="004A0C12">
        <w:rPr>
          <w:rFonts w:ascii="Garamond" w:hAnsi="Garamond"/>
          <w:i/>
        </w:rPr>
        <w:t>Employment First</w:t>
      </w:r>
      <w:r w:rsidRPr="004A0C12">
        <w:rPr>
          <w:rFonts w:ascii="Garamond" w:hAnsi="Garamond"/>
        </w:rPr>
        <w:t xml:space="preserve"> initiative. This should include an exploration of programmatic barriers to success and cross-agency training needs. </w:t>
      </w:r>
    </w:p>
    <w:p w14:paraId="2DDD4A1A" w14:textId="77777777" w:rsidR="0096326A" w:rsidRPr="004A0C12" w:rsidRDefault="0096326A" w:rsidP="0096326A">
      <w:pPr>
        <w:pStyle w:val="ListParagraph"/>
        <w:rPr>
          <w:rFonts w:ascii="Garamond" w:hAnsi="Garamond"/>
          <w:szCs w:val="22"/>
        </w:rPr>
      </w:pPr>
    </w:p>
    <w:p w14:paraId="1D709CDE" w14:textId="7F107882" w:rsidR="007A1FDC" w:rsidRPr="004A0C12" w:rsidRDefault="00961036"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The Council recognizes the c</w:t>
      </w:r>
      <w:r w:rsidR="007A1FDC" w:rsidRPr="004A0C12">
        <w:rPr>
          <w:rFonts w:ascii="Garamond" w:hAnsi="Garamond"/>
        </w:rPr>
        <w:t xml:space="preserve">ontinuing barrier that lack of transportation causes for individuals with disabilities seeking employment statewide. The Council will work with DORS staff to determine the status of federal and state transportation efforts that may improve transportation resources for individuals with disabilities. </w:t>
      </w:r>
    </w:p>
    <w:p w14:paraId="043EA6D3" w14:textId="77777777" w:rsidR="007A1FDC" w:rsidRPr="004A0C12" w:rsidRDefault="007A1FDC" w:rsidP="007A1FDC">
      <w:pPr>
        <w:widowControl w:val="0"/>
        <w:spacing w:after="0" w:line="240" w:lineRule="auto"/>
        <w:ind w:left="840"/>
        <w:jc w:val="both"/>
        <w:rPr>
          <w:rFonts w:ascii="Garamond" w:hAnsi="Garamond"/>
        </w:rPr>
      </w:pPr>
    </w:p>
    <w:p w14:paraId="7292ACA3" w14:textId="77777777" w:rsidR="007A1FDC" w:rsidRPr="004A0C12" w:rsidRDefault="007A1FDC"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 xml:space="preserve">The Council recommends that DORS continue to explore, identify, and implement innovative practices in job development and placement, including evaluating the effectiveness of the new Business Services Branch. </w:t>
      </w:r>
    </w:p>
    <w:p w14:paraId="7FF5EE0F" w14:textId="77777777" w:rsidR="007A1FDC" w:rsidRPr="004A0C12" w:rsidRDefault="007A1FDC" w:rsidP="007A1FDC">
      <w:pPr>
        <w:widowControl w:val="0"/>
        <w:spacing w:after="0" w:line="240" w:lineRule="auto"/>
        <w:ind w:left="840"/>
        <w:jc w:val="both"/>
        <w:rPr>
          <w:rFonts w:ascii="Garamond" w:hAnsi="Garamond"/>
        </w:rPr>
      </w:pPr>
    </w:p>
    <w:p w14:paraId="18BAB79A" w14:textId="6B525550" w:rsidR="007A1FDC" w:rsidRPr="004A0C12" w:rsidRDefault="007A1FDC"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 xml:space="preserve">The Council is interested in following the benefits realized through the expansion of services at the Workforce &amp; Technology Center for consumers who are deaf/hard-of-hearing, blind, visually impaired, deaf-blind, and on the Autism </w:t>
      </w:r>
      <w:r w:rsidRPr="004A0C12">
        <w:rPr>
          <w:rFonts w:ascii="Garamond" w:hAnsi="Garamond"/>
        </w:rPr>
        <w:lastRenderedPageBreak/>
        <w:t>sp</w:t>
      </w:r>
      <w:r w:rsidR="005A7C8D" w:rsidRPr="004A0C12">
        <w:rPr>
          <w:rFonts w:ascii="Garamond" w:hAnsi="Garamond"/>
        </w:rPr>
        <w:t>ectrum; and recommends that the Workforce &amp; Technology Center/</w:t>
      </w:r>
      <w:r w:rsidRPr="004A0C12">
        <w:rPr>
          <w:rFonts w:ascii="Garamond" w:hAnsi="Garamond"/>
        </w:rPr>
        <w:t>DORS provide periodic updates to the Council on the effectiveness and utilization of these expanded services.</w:t>
      </w:r>
      <w:r w:rsidRPr="004A0C12">
        <w:rPr>
          <w:rFonts w:ascii="Garamond" w:hAnsi="Garamond"/>
        </w:rPr>
        <w:cr/>
      </w:r>
    </w:p>
    <w:p w14:paraId="4E22560D" w14:textId="77777777" w:rsidR="007A1FDC" w:rsidRPr="004A0C12" w:rsidRDefault="007A1FDC"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 xml:space="preserve">The Council recommends that DORS continue efforts to improve the effectiveness of the Agency’s website and social media in providing consumer information, public education, outreach, and as a means of allowing stakeholders to provide feedback to the Agency. </w:t>
      </w:r>
    </w:p>
    <w:p w14:paraId="164C1907" w14:textId="77777777" w:rsidR="007A1FDC" w:rsidRPr="004A0C12" w:rsidRDefault="007A1FDC" w:rsidP="007A1FDC">
      <w:pPr>
        <w:widowControl w:val="0"/>
        <w:spacing w:after="0" w:line="240" w:lineRule="auto"/>
        <w:ind w:left="840"/>
        <w:jc w:val="both"/>
        <w:rPr>
          <w:rFonts w:ascii="Garamond" w:hAnsi="Garamond"/>
        </w:rPr>
      </w:pPr>
    </w:p>
    <w:p w14:paraId="0068CF07" w14:textId="77777777" w:rsidR="007A1FDC" w:rsidRPr="004A0C12" w:rsidRDefault="007A1FDC"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The Council is supportive of the Agency’s three-year strategic plan and annual planning activities.</w:t>
      </w:r>
    </w:p>
    <w:p w14:paraId="4FDAFCD5" w14:textId="77777777" w:rsidR="007A1FDC" w:rsidRPr="004A0C12" w:rsidRDefault="007A1FDC" w:rsidP="007A1FDC">
      <w:pPr>
        <w:widowControl w:val="0"/>
        <w:spacing w:after="0" w:line="240" w:lineRule="auto"/>
        <w:ind w:left="840"/>
        <w:jc w:val="both"/>
        <w:rPr>
          <w:rFonts w:ascii="Garamond" w:hAnsi="Garamond"/>
        </w:rPr>
      </w:pPr>
    </w:p>
    <w:p w14:paraId="1F22678D" w14:textId="77777777" w:rsidR="0096326A" w:rsidRPr="004A0C12" w:rsidRDefault="007A1FDC"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The Council recommends that DORS evaluate the characteristics, including receipt of public benefits, of individuals on the waiting list and determine, within the capacity of the agency and case management system, their outcomes in terms of employment. This is to have a better understanding of the true cost of individuals being on the DORS waiting list.</w:t>
      </w:r>
    </w:p>
    <w:p w14:paraId="05EB4ADE" w14:textId="77777777" w:rsidR="0096326A" w:rsidRPr="004A0C12" w:rsidRDefault="0096326A" w:rsidP="0096326A">
      <w:pPr>
        <w:pStyle w:val="ListParagraph"/>
        <w:rPr>
          <w:rFonts w:ascii="Garamond" w:hAnsi="Garamond"/>
          <w:szCs w:val="22"/>
        </w:rPr>
      </w:pPr>
    </w:p>
    <w:p w14:paraId="2EA3D46E" w14:textId="6F853486" w:rsidR="007A1FDC" w:rsidRPr="004A0C12" w:rsidRDefault="005A7C8D" w:rsidP="00232F09">
      <w:pPr>
        <w:widowControl w:val="0"/>
        <w:numPr>
          <w:ilvl w:val="0"/>
          <w:numId w:val="121"/>
        </w:numPr>
        <w:tabs>
          <w:tab w:val="clear" w:pos="360"/>
          <w:tab w:val="num" w:pos="840"/>
        </w:tabs>
        <w:spacing w:after="0" w:line="240" w:lineRule="auto"/>
        <w:ind w:left="840" w:hanging="360"/>
        <w:jc w:val="both"/>
        <w:rPr>
          <w:rFonts w:ascii="Garamond" w:hAnsi="Garamond"/>
        </w:rPr>
      </w:pPr>
      <w:r w:rsidRPr="004A0C12">
        <w:rPr>
          <w:rFonts w:ascii="Garamond" w:hAnsi="Garamond"/>
        </w:rPr>
        <w:t>The C</w:t>
      </w:r>
      <w:r w:rsidR="007A1FDC" w:rsidRPr="004A0C12">
        <w:rPr>
          <w:rFonts w:ascii="Garamond" w:hAnsi="Garamond"/>
        </w:rPr>
        <w:t xml:space="preserve">ouncil discussed the issue of DORS serving eligible individuals who require specific services </w:t>
      </w:r>
      <w:r w:rsidR="006923E3" w:rsidRPr="004A0C12">
        <w:rPr>
          <w:rFonts w:ascii="Garamond" w:hAnsi="Garamond"/>
        </w:rPr>
        <w:t>or equipment</w:t>
      </w:r>
      <w:r w:rsidR="007A1FDC" w:rsidRPr="004A0C12">
        <w:rPr>
          <w:rFonts w:ascii="Garamond" w:hAnsi="Garamond"/>
        </w:rPr>
        <w:t xml:space="preserve"> to maintain employment, regardless of DORS’ established order of selection and wait list of individuals with disabilities seeking DORS’ services. The council discusses the impact of the decision, weighing both the costs and the benefits. The council recommends maintaining current policies until additional information is available regarding the potential costs to the program.</w:t>
      </w:r>
    </w:p>
    <w:p w14:paraId="5E195920" w14:textId="77777777" w:rsidR="0096326A" w:rsidRPr="004A0C12" w:rsidRDefault="0096326A" w:rsidP="0096326A">
      <w:pPr>
        <w:widowControl w:val="0"/>
        <w:spacing w:after="0" w:line="240" w:lineRule="auto"/>
        <w:jc w:val="both"/>
        <w:rPr>
          <w:rFonts w:ascii="Garamond" w:hAnsi="Garamond"/>
        </w:rPr>
      </w:pPr>
    </w:p>
    <w:p w14:paraId="0D7D0050"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DORS supports these recommendations and continues to be very appreciative of the expertise of the individuals who comprise the Maryland State Rehabilitation Council. Their passion for and commitment to supporting individuals with disabilities is without equal. DORS values their contr</w:t>
      </w:r>
      <w:r w:rsidR="00431254" w:rsidRPr="004A0C12">
        <w:rPr>
          <w:rFonts w:ascii="Garamond" w:hAnsi="Garamond"/>
        </w:rPr>
        <w:t>ibutions of time and knowledge.</w:t>
      </w:r>
    </w:p>
    <w:p w14:paraId="0F81AED1" w14:textId="0A54C10C" w:rsidR="007A1FDC" w:rsidRPr="00193E8E" w:rsidRDefault="007A1FDC" w:rsidP="0096326A">
      <w:pPr>
        <w:pStyle w:val="Heading2"/>
        <w:rPr>
          <w:rFonts w:ascii="Garamond" w:hAnsi="Garamond"/>
          <w:sz w:val="24"/>
          <w:szCs w:val="24"/>
        </w:rPr>
      </w:pPr>
      <w:r w:rsidRPr="00193E8E">
        <w:rPr>
          <w:rFonts w:ascii="Garamond" w:hAnsi="Garamond"/>
          <w:sz w:val="24"/>
          <w:szCs w:val="24"/>
        </w:rPr>
        <w:t xml:space="preserve"> </w:t>
      </w:r>
      <w:bookmarkStart w:id="177" w:name="_Toc447276206"/>
      <w:r w:rsidRPr="00193E8E">
        <w:rPr>
          <w:rFonts w:ascii="Garamond" w:hAnsi="Garamond"/>
          <w:sz w:val="24"/>
          <w:szCs w:val="24"/>
        </w:rPr>
        <w:t>D</w:t>
      </w:r>
      <w:r w:rsidR="00FF755D" w:rsidRPr="00193E8E">
        <w:rPr>
          <w:rFonts w:ascii="Garamond" w:hAnsi="Garamond"/>
          <w:sz w:val="24"/>
          <w:szCs w:val="24"/>
        </w:rPr>
        <w:t>ORS Responses to the Council’s Input and R</w:t>
      </w:r>
      <w:r w:rsidRPr="00193E8E">
        <w:rPr>
          <w:rFonts w:ascii="Garamond" w:hAnsi="Garamond"/>
          <w:sz w:val="24"/>
          <w:szCs w:val="24"/>
        </w:rPr>
        <w:t>ecommendations</w:t>
      </w:r>
      <w:bookmarkEnd w:id="177"/>
    </w:p>
    <w:p w14:paraId="7D1C52C7" w14:textId="77777777"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DORS looks forward to implementation of the QA case reviews over the next year and will keep the Council apprised of findings and effectiveness of the process and methodology. Additional efforts will be made by DORS in collaboration with the MSRC in addressing the consumer satisfaction survey methodology and tool.</w:t>
      </w:r>
    </w:p>
    <w:p w14:paraId="42A087BE" w14:textId="77777777" w:rsidR="007A1FDC" w:rsidRPr="004A0C12" w:rsidRDefault="007A1FDC" w:rsidP="007A1FDC">
      <w:pPr>
        <w:widowControl w:val="0"/>
        <w:spacing w:after="0" w:line="240" w:lineRule="auto"/>
        <w:ind w:left="840"/>
        <w:jc w:val="both"/>
        <w:rPr>
          <w:rFonts w:ascii="Garamond" w:hAnsi="Garamond"/>
        </w:rPr>
      </w:pPr>
    </w:p>
    <w:p w14:paraId="238449C9" w14:textId="77777777" w:rsidR="007A1FDC" w:rsidRPr="004A0C12" w:rsidRDefault="007A1FDC" w:rsidP="007A1FDC">
      <w:pPr>
        <w:widowControl w:val="0"/>
        <w:spacing w:after="0" w:line="240" w:lineRule="auto"/>
        <w:ind w:left="840"/>
        <w:jc w:val="both"/>
        <w:rPr>
          <w:rFonts w:ascii="Garamond" w:hAnsi="Garamond"/>
        </w:rPr>
      </w:pPr>
      <w:r w:rsidRPr="004A0C12">
        <w:rPr>
          <w:rFonts w:ascii="Garamond" w:hAnsi="Garamond"/>
        </w:rPr>
        <w:t>Update 11/24/15- DORS’ comprehensive QA case review process was implemented July 1, 2014, and expanded from a 12-month beta period to an 18-month review period. The final district review was completed on November 17, 2015. Data analysis is underway, and a final report will be present in early 2016.</w:t>
      </w:r>
    </w:p>
    <w:p w14:paraId="250F5B9E" w14:textId="77777777" w:rsidR="007A1FDC" w:rsidRPr="004A0C12" w:rsidRDefault="007A1FDC" w:rsidP="007A1FDC">
      <w:pPr>
        <w:widowControl w:val="0"/>
        <w:spacing w:after="0" w:line="240" w:lineRule="auto"/>
        <w:ind w:left="840"/>
        <w:jc w:val="both"/>
        <w:rPr>
          <w:rFonts w:ascii="Garamond" w:hAnsi="Garamond"/>
        </w:rPr>
      </w:pPr>
    </w:p>
    <w:p w14:paraId="593A8DB2" w14:textId="6E946F0A"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DORS agrees that having a clear understanding of the disability, its impact on employment, and ways to lessen the impact of functional limitations is needed in order to provide effective career counseling</w:t>
      </w:r>
      <w:r w:rsidR="005A7C8D" w:rsidRPr="004A0C12">
        <w:rPr>
          <w:rFonts w:ascii="Garamond" w:hAnsi="Garamond"/>
          <w:szCs w:val="22"/>
        </w:rPr>
        <w:t>,</w:t>
      </w:r>
      <w:r w:rsidRPr="004A0C12">
        <w:rPr>
          <w:rFonts w:ascii="Garamond" w:hAnsi="Garamond"/>
          <w:szCs w:val="22"/>
        </w:rPr>
        <w:t xml:space="preserve"> and </w:t>
      </w:r>
      <w:r w:rsidR="005A7C8D" w:rsidRPr="004A0C12">
        <w:rPr>
          <w:rFonts w:ascii="Garamond" w:hAnsi="Garamond"/>
          <w:szCs w:val="22"/>
        </w:rPr>
        <w:t xml:space="preserve">to </w:t>
      </w:r>
      <w:r w:rsidRPr="004A0C12">
        <w:rPr>
          <w:rFonts w:ascii="Garamond" w:hAnsi="Garamond"/>
          <w:szCs w:val="22"/>
        </w:rPr>
        <w:t>help consumers select appropriate employment goals. DORS will develop a training series to address specific disabiliti</w:t>
      </w:r>
      <w:r w:rsidR="00DB1D90" w:rsidRPr="004A0C12">
        <w:rPr>
          <w:rFonts w:ascii="Garamond" w:hAnsi="Garamond"/>
          <w:szCs w:val="22"/>
        </w:rPr>
        <w:t>es and will work with its WIOA Partners to train staff throughout the workforce system</w:t>
      </w:r>
      <w:r w:rsidR="008706B8" w:rsidRPr="004A0C12">
        <w:rPr>
          <w:rFonts w:ascii="Garamond" w:hAnsi="Garamond"/>
          <w:szCs w:val="22"/>
        </w:rPr>
        <w:t xml:space="preserve"> through the Maryland WIOA Convening, the WIOA Workgroups and more</w:t>
      </w:r>
      <w:r w:rsidR="00DB1D90" w:rsidRPr="004A0C12">
        <w:rPr>
          <w:rFonts w:ascii="Garamond" w:hAnsi="Garamond"/>
          <w:szCs w:val="22"/>
        </w:rPr>
        <w:t>.</w:t>
      </w:r>
    </w:p>
    <w:p w14:paraId="365AC293" w14:textId="77777777" w:rsidR="007A1FDC" w:rsidRPr="004A0C12" w:rsidRDefault="007A1FDC" w:rsidP="007A1FDC">
      <w:pPr>
        <w:pStyle w:val="ListParagraph"/>
        <w:widowControl w:val="0"/>
        <w:jc w:val="both"/>
        <w:rPr>
          <w:rFonts w:ascii="Garamond" w:hAnsi="Garamond"/>
          <w:szCs w:val="22"/>
        </w:rPr>
      </w:pPr>
    </w:p>
    <w:p w14:paraId="52E7643B" w14:textId="778AD67C"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DORS looks forward to continuing to collaborate with other agencies</w:t>
      </w:r>
      <w:r w:rsidR="00FE5ADB" w:rsidRPr="004A0C12">
        <w:rPr>
          <w:rFonts w:ascii="Garamond" w:hAnsi="Garamond"/>
          <w:szCs w:val="22"/>
        </w:rPr>
        <w:t>, including the WIOA Partners,</w:t>
      </w:r>
      <w:r w:rsidRPr="004A0C12">
        <w:rPr>
          <w:rFonts w:ascii="Garamond" w:hAnsi="Garamond"/>
          <w:szCs w:val="22"/>
        </w:rPr>
        <w:t xml:space="preserve"> </w:t>
      </w:r>
      <w:r w:rsidR="00FE5ADB" w:rsidRPr="004A0C12">
        <w:rPr>
          <w:rFonts w:ascii="Garamond" w:hAnsi="Garamond"/>
          <w:szCs w:val="22"/>
        </w:rPr>
        <w:t xml:space="preserve">regarding </w:t>
      </w:r>
      <w:r w:rsidR="00FE5ADB" w:rsidRPr="004A0C12">
        <w:rPr>
          <w:rFonts w:ascii="Garamond" w:hAnsi="Garamond"/>
          <w:i/>
          <w:szCs w:val="22"/>
        </w:rPr>
        <w:t>Employment First</w:t>
      </w:r>
      <w:r w:rsidR="00FE5ADB" w:rsidRPr="004A0C12">
        <w:rPr>
          <w:rFonts w:ascii="Garamond" w:hAnsi="Garamond"/>
          <w:szCs w:val="22"/>
        </w:rPr>
        <w:t xml:space="preserve">. </w:t>
      </w:r>
      <w:r w:rsidR="00FE5ADB" w:rsidRPr="004A0C12">
        <w:rPr>
          <w:rFonts w:ascii="Garamond" w:hAnsi="Garamond"/>
          <w:i/>
          <w:szCs w:val="22"/>
        </w:rPr>
        <w:t>Employment First</w:t>
      </w:r>
      <w:r w:rsidR="00FE5ADB" w:rsidRPr="004A0C12">
        <w:rPr>
          <w:rFonts w:ascii="Garamond" w:hAnsi="Garamond"/>
          <w:szCs w:val="22"/>
        </w:rPr>
        <w:t xml:space="preserve"> is </w:t>
      </w:r>
      <w:r w:rsidRPr="004A0C12">
        <w:rPr>
          <w:rFonts w:ascii="Garamond" w:hAnsi="Garamond"/>
          <w:szCs w:val="22"/>
        </w:rPr>
        <w:t>an initiative that assures that employment is considered first for individuals with development</w:t>
      </w:r>
      <w:r w:rsidR="00FE5ADB" w:rsidRPr="004A0C12">
        <w:rPr>
          <w:rFonts w:ascii="Garamond" w:hAnsi="Garamond"/>
          <w:szCs w:val="22"/>
        </w:rPr>
        <w:t>al/intellectual disabilities. DORS</w:t>
      </w:r>
      <w:r w:rsidRPr="004A0C12">
        <w:rPr>
          <w:rFonts w:ascii="Garamond" w:hAnsi="Garamond"/>
          <w:szCs w:val="22"/>
        </w:rPr>
        <w:t xml:space="preserve"> expect</w:t>
      </w:r>
      <w:r w:rsidR="00FE5ADB" w:rsidRPr="004A0C12">
        <w:rPr>
          <w:rFonts w:ascii="Garamond" w:hAnsi="Garamond"/>
          <w:szCs w:val="22"/>
        </w:rPr>
        <w:t>s</w:t>
      </w:r>
      <w:r w:rsidRPr="004A0C12">
        <w:rPr>
          <w:rFonts w:ascii="Garamond" w:hAnsi="Garamond"/>
          <w:szCs w:val="22"/>
        </w:rPr>
        <w:t xml:space="preserve"> that there will be more progress toward </w:t>
      </w:r>
      <w:r w:rsidRPr="004A0C12">
        <w:rPr>
          <w:rFonts w:ascii="Garamond" w:hAnsi="Garamond"/>
          <w:i/>
          <w:szCs w:val="22"/>
        </w:rPr>
        <w:t>Employment First</w:t>
      </w:r>
      <w:r w:rsidRPr="004A0C12">
        <w:rPr>
          <w:rFonts w:ascii="Garamond" w:hAnsi="Garamond"/>
          <w:szCs w:val="22"/>
        </w:rPr>
        <w:t xml:space="preserve"> in Maryland this coming year with new leadership in place at </w:t>
      </w:r>
      <w:r w:rsidR="00FE5ADB" w:rsidRPr="004A0C12">
        <w:rPr>
          <w:rFonts w:ascii="Garamond" w:hAnsi="Garamond"/>
          <w:szCs w:val="22"/>
        </w:rPr>
        <w:t xml:space="preserve">the Maryland Developmental Disabilities Administration. </w:t>
      </w:r>
    </w:p>
    <w:p w14:paraId="11FD1BAE" w14:textId="77777777" w:rsidR="007A1FDC" w:rsidRPr="004A0C12" w:rsidRDefault="007A1FDC" w:rsidP="007A1FDC">
      <w:pPr>
        <w:pStyle w:val="ListParagraph"/>
        <w:rPr>
          <w:rFonts w:ascii="Garamond" w:hAnsi="Garamond"/>
          <w:szCs w:val="22"/>
        </w:rPr>
      </w:pPr>
    </w:p>
    <w:p w14:paraId="361B996F" w14:textId="08A26394"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 xml:space="preserve">DORS looks forward to working with the Council </w:t>
      </w:r>
      <w:r w:rsidR="00FE5ADB" w:rsidRPr="004A0C12">
        <w:rPr>
          <w:rFonts w:ascii="Garamond" w:hAnsi="Garamond"/>
          <w:szCs w:val="22"/>
        </w:rPr>
        <w:t xml:space="preserve">and its WIOA Partners </w:t>
      </w:r>
      <w:r w:rsidRPr="004A0C12">
        <w:rPr>
          <w:rFonts w:ascii="Garamond" w:hAnsi="Garamond"/>
          <w:szCs w:val="22"/>
        </w:rPr>
        <w:t xml:space="preserve">to determine the current status of transportation initiatives, and will continue </w:t>
      </w:r>
      <w:r w:rsidR="00FE5ADB" w:rsidRPr="004A0C12">
        <w:rPr>
          <w:rFonts w:ascii="Garamond" w:hAnsi="Garamond"/>
          <w:szCs w:val="22"/>
        </w:rPr>
        <w:t xml:space="preserve">its </w:t>
      </w:r>
      <w:r w:rsidRPr="004A0C12">
        <w:rPr>
          <w:rFonts w:ascii="Garamond" w:hAnsi="Garamond"/>
          <w:szCs w:val="22"/>
        </w:rPr>
        <w:t xml:space="preserve">efforts to work with other entities on transportation </w:t>
      </w:r>
      <w:r w:rsidR="00FE5ADB" w:rsidRPr="004A0C12">
        <w:rPr>
          <w:rFonts w:ascii="Garamond" w:hAnsi="Garamond"/>
          <w:szCs w:val="22"/>
        </w:rPr>
        <w:t>barriers, and</w:t>
      </w:r>
      <w:r w:rsidRPr="004A0C12">
        <w:rPr>
          <w:rFonts w:ascii="Garamond" w:hAnsi="Garamond"/>
          <w:szCs w:val="22"/>
        </w:rPr>
        <w:t xml:space="preserve"> to share information with all staff about transportation resources.</w:t>
      </w:r>
      <w:r w:rsidR="00FE5ADB" w:rsidRPr="004A0C12">
        <w:rPr>
          <w:rFonts w:ascii="Garamond" w:hAnsi="Garamond"/>
          <w:szCs w:val="22"/>
        </w:rPr>
        <w:t xml:space="preserve"> DORS recognizes new opportunities may exist to leverage WIOA Partners’ ability to provide supportive services to shared customers, and DORS commits to explore these opportunities.</w:t>
      </w:r>
    </w:p>
    <w:p w14:paraId="5BDA0C24" w14:textId="77777777" w:rsidR="007A1FDC" w:rsidRPr="004A0C12" w:rsidRDefault="007A1FDC" w:rsidP="007A1FDC">
      <w:pPr>
        <w:pStyle w:val="ListParagraph"/>
        <w:rPr>
          <w:rFonts w:ascii="Garamond" w:hAnsi="Garamond"/>
          <w:szCs w:val="22"/>
        </w:rPr>
      </w:pPr>
    </w:p>
    <w:p w14:paraId="5710B298" w14:textId="26282619"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 xml:space="preserve">DORS has created a new Business Services Branch, including Regional Business Services Representatives. We are eager </w:t>
      </w:r>
      <w:r w:rsidR="00FE5ADB" w:rsidRPr="004A0C12">
        <w:rPr>
          <w:rFonts w:ascii="Garamond" w:hAnsi="Garamond"/>
          <w:szCs w:val="22"/>
        </w:rPr>
        <w:t xml:space="preserve">to </w:t>
      </w:r>
      <w:r w:rsidRPr="004A0C12">
        <w:rPr>
          <w:rFonts w:ascii="Garamond" w:hAnsi="Garamond"/>
          <w:szCs w:val="22"/>
        </w:rPr>
        <w:t>determine the effectiveness of the new organizational structure and will advise the Council of their role and progress in helping individuals with significant disabilities in achieving competitive integrated employment.</w:t>
      </w:r>
      <w:r w:rsidR="00FE5ADB" w:rsidRPr="004A0C12">
        <w:rPr>
          <w:rFonts w:ascii="Garamond" w:hAnsi="Garamond"/>
          <w:szCs w:val="22"/>
        </w:rPr>
        <w:t xml:space="preserve"> DORS will also ensure its </w:t>
      </w:r>
      <w:r w:rsidR="00FE5ADB" w:rsidRPr="004A0C12">
        <w:rPr>
          <w:rFonts w:ascii="Garamond" w:hAnsi="Garamond"/>
          <w:szCs w:val="22"/>
        </w:rPr>
        <w:lastRenderedPageBreak/>
        <w:t xml:space="preserve">Business Services Branch works </w:t>
      </w:r>
      <w:r w:rsidR="00DB1D90" w:rsidRPr="004A0C12">
        <w:rPr>
          <w:rFonts w:ascii="Garamond" w:hAnsi="Garamond"/>
          <w:szCs w:val="22"/>
        </w:rPr>
        <w:t xml:space="preserve">collaboratively </w:t>
      </w:r>
      <w:r w:rsidR="00FE5ADB" w:rsidRPr="004A0C12">
        <w:rPr>
          <w:rFonts w:ascii="Garamond" w:hAnsi="Garamond"/>
          <w:szCs w:val="22"/>
        </w:rPr>
        <w:t xml:space="preserve">with </w:t>
      </w:r>
      <w:r w:rsidR="00DB1D90" w:rsidRPr="004A0C12">
        <w:rPr>
          <w:rFonts w:ascii="Garamond" w:hAnsi="Garamond"/>
          <w:szCs w:val="22"/>
        </w:rPr>
        <w:t>its</w:t>
      </w:r>
      <w:r w:rsidR="00FE5ADB" w:rsidRPr="004A0C12">
        <w:rPr>
          <w:rFonts w:ascii="Garamond" w:hAnsi="Garamond"/>
          <w:szCs w:val="22"/>
        </w:rPr>
        <w:t xml:space="preserve"> WIOA Partners </w:t>
      </w:r>
      <w:r w:rsidR="00DB1D90" w:rsidRPr="004A0C12">
        <w:rPr>
          <w:rFonts w:ascii="Garamond" w:hAnsi="Garamond"/>
          <w:szCs w:val="22"/>
        </w:rPr>
        <w:t xml:space="preserve">on the WIOA Business Service Team through communicating often and actively participating in the WIOA Workgroups.   </w:t>
      </w:r>
    </w:p>
    <w:p w14:paraId="36A0522D" w14:textId="77777777" w:rsidR="007A1FDC" w:rsidRPr="004A0C12" w:rsidRDefault="007A1FDC" w:rsidP="007A1FDC">
      <w:pPr>
        <w:pStyle w:val="ListParagraph"/>
        <w:rPr>
          <w:rFonts w:ascii="Garamond" w:hAnsi="Garamond"/>
          <w:szCs w:val="22"/>
        </w:rPr>
      </w:pPr>
    </w:p>
    <w:p w14:paraId="3F7D63D6" w14:textId="56870981"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D</w:t>
      </w:r>
      <w:r w:rsidR="00FE5ADB" w:rsidRPr="004A0C12">
        <w:rPr>
          <w:rFonts w:ascii="Garamond" w:hAnsi="Garamond"/>
          <w:szCs w:val="22"/>
        </w:rPr>
        <w:t>ORS will continue to include Workforce and Technology Center</w:t>
      </w:r>
      <w:r w:rsidRPr="004A0C12">
        <w:rPr>
          <w:rFonts w:ascii="Garamond" w:hAnsi="Garamond"/>
          <w:szCs w:val="22"/>
        </w:rPr>
        <w:t xml:space="preserve"> staff on the agenda of MSRC committee and full council meetings to update the membership on these innovative and effective practices.</w:t>
      </w:r>
      <w:r w:rsidR="00DB1D90" w:rsidRPr="004A0C12">
        <w:rPr>
          <w:rFonts w:ascii="Garamond" w:hAnsi="Garamond"/>
          <w:szCs w:val="22"/>
        </w:rPr>
        <w:t xml:space="preserve"> </w:t>
      </w:r>
    </w:p>
    <w:p w14:paraId="486BDA44" w14:textId="77777777" w:rsidR="007A1FDC" w:rsidRPr="004A0C12" w:rsidRDefault="007A1FDC" w:rsidP="007A1FDC">
      <w:pPr>
        <w:pStyle w:val="ListParagraph"/>
        <w:rPr>
          <w:rFonts w:ascii="Garamond" w:hAnsi="Garamond"/>
          <w:szCs w:val="22"/>
        </w:rPr>
      </w:pPr>
    </w:p>
    <w:p w14:paraId="6CA12E27" w14:textId="4F74CC3E"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DORS has developed new MSRC and agency websites</w:t>
      </w:r>
      <w:r w:rsidR="00FE5ADB" w:rsidRPr="004A0C12">
        <w:rPr>
          <w:rFonts w:ascii="Garamond" w:hAnsi="Garamond"/>
          <w:szCs w:val="22"/>
        </w:rPr>
        <w:t xml:space="preserve"> and will continue to update its</w:t>
      </w:r>
      <w:r w:rsidRPr="004A0C12">
        <w:rPr>
          <w:rFonts w:ascii="Garamond" w:hAnsi="Garamond"/>
          <w:szCs w:val="22"/>
        </w:rPr>
        <w:t xml:space="preserve"> website and effectively use social media. </w:t>
      </w:r>
      <w:r w:rsidR="00FE5ADB" w:rsidRPr="004A0C12">
        <w:rPr>
          <w:rFonts w:ascii="Garamond" w:hAnsi="Garamond"/>
          <w:szCs w:val="22"/>
        </w:rPr>
        <w:t>DORS will look for opportunities to highlight individuals with disabilities in social media and website</w:t>
      </w:r>
      <w:r w:rsidR="00DB1D90" w:rsidRPr="004A0C12">
        <w:rPr>
          <w:rFonts w:ascii="Garamond" w:hAnsi="Garamond"/>
          <w:szCs w:val="22"/>
        </w:rPr>
        <w:t>s</w:t>
      </w:r>
      <w:r w:rsidR="00FE5ADB" w:rsidRPr="004A0C12">
        <w:rPr>
          <w:rFonts w:ascii="Garamond" w:hAnsi="Garamond"/>
          <w:szCs w:val="22"/>
        </w:rPr>
        <w:t xml:space="preserve"> of</w:t>
      </w:r>
      <w:r w:rsidR="008706B8" w:rsidRPr="004A0C12">
        <w:rPr>
          <w:rFonts w:ascii="Garamond" w:hAnsi="Garamond"/>
          <w:szCs w:val="22"/>
        </w:rPr>
        <w:t xml:space="preserve"> its</w:t>
      </w:r>
      <w:r w:rsidR="00FE5ADB" w:rsidRPr="004A0C12">
        <w:rPr>
          <w:rFonts w:ascii="Garamond" w:hAnsi="Garamond"/>
          <w:szCs w:val="22"/>
        </w:rPr>
        <w:t xml:space="preserve"> WIOA Partners. </w:t>
      </w:r>
    </w:p>
    <w:p w14:paraId="7E748AFF" w14:textId="77777777" w:rsidR="007A1FDC" w:rsidRPr="004A0C12" w:rsidRDefault="007A1FDC" w:rsidP="007A1FDC">
      <w:pPr>
        <w:pStyle w:val="ListParagraph"/>
        <w:rPr>
          <w:rFonts w:ascii="Garamond" w:hAnsi="Garamond"/>
          <w:szCs w:val="22"/>
        </w:rPr>
      </w:pPr>
    </w:p>
    <w:p w14:paraId="58054A27" w14:textId="114AD125"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 xml:space="preserve">DORS developed a Strategic Plan for 2014-2017, with input of the MSRC. </w:t>
      </w:r>
      <w:r w:rsidR="00FE5ADB" w:rsidRPr="004A0C12">
        <w:rPr>
          <w:rFonts w:ascii="Garamond" w:hAnsi="Garamond"/>
          <w:szCs w:val="22"/>
        </w:rPr>
        <w:t xml:space="preserve">As DORS continues to work closely with </w:t>
      </w:r>
      <w:r w:rsidR="008706B8" w:rsidRPr="004A0C12">
        <w:rPr>
          <w:rFonts w:ascii="Garamond" w:hAnsi="Garamond"/>
          <w:szCs w:val="22"/>
        </w:rPr>
        <w:t xml:space="preserve">its </w:t>
      </w:r>
      <w:r w:rsidR="00FE5ADB" w:rsidRPr="004A0C12">
        <w:rPr>
          <w:rFonts w:ascii="Garamond" w:hAnsi="Garamond"/>
          <w:szCs w:val="22"/>
        </w:rPr>
        <w:t xml:space="preserve">WIOA Partners </w:t>
      </w:r>
      <w:r w:rsidR="008706B8" w:rsidRPr="004A0C12">
        <w:rPr>
          <w:rFonts w:ascii="Garamond" w:hAnsi="Garamond"/>
          <w:szCs w:val="22"/>
        </w:rPr>
        <w:t>on implementation through the WIOA Alignment Group and participation on the State’s WIOA Work Groups</w:t>
      </w:r>
      <w:r w:rsidR="00FE5ADB" w:rsidRPr="004A0C12">
        <w:rPr>
          <w:rFonts w:ascii="Garamond" w:hAnsi="Garamond"/>
          <w:szCs w:val="22"/>
        </w:rPr>
        <w:t xml:space="preserve">, </w:t>
      </w:r>
      <w:r w:rsidRPr="004A0C12">
        <w:rPr>
          <w:rFonts w:ascii="Garamond" w:hAnsi="Garamond"/>
          <w:szCs w:val="22"/>
        </w:rPr>
        <w:t xml:space="preserve">DORS looks forward to reviewing the Strategic </w:t>
      </w:r>
      <w:r w:rsidR="00FE5ADB" w:rsidRPr="004A0C12">
        <w:rPr>
          <w:rFonts w:ascii="Garamond" w:hAnsi="Garamond"/>
          <w:szCs w:val="22"/>
        </w:rPr>
        <w:t xml:space="preserve">Plan and monitoring outcomes </w:t>
      </w:r>
      <w:r w:rsidRPr="004A0C12">
        <w:rPr>
          <w:rFonts w:ascii="Garamond" w:hAnsi="Garamond"/>
          <w:szCs w:val="22"/>
        </w:rPr>
        <w:t>with continued input from the MSRC.</w:t>
      </w:r>
    </w:p>
    <w:p w14:paraId="5DFA9B33" w14:textId="77777777" w:rsidR="007A1FDC" w:rsidRPr="004A0C12" w:rsidRDefault="007A1FDC" w:rsidP="007A1FDC">
      <w:pPr>
        <w:pStyle w:val="ListParagraph"/>
        <w:rPr>
          <w:rFonts w:ascii="Garamond" w:hAnsi="Garamond"/>
          <w:szCs w:val="22"/>
        </w:rPr>
      </w:pPr>
    </w:p>
    <w:p w14:paraId="7220D5FB" w14:textId="0A2FD98C"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DORS will determine what information may be gleaned from the case management system related to waiting list and benefits status, and advise the Council.</w:t>
      </w:r>
      <w:r w:rsidR="00FE5ADB" w:rsidRPr="004A0C12">
        <w:rPr>
          <w:rFonts w:ascii="Garamond" w:hAnsi="Garamond"/>
          <w:szCs w:val="22"/>
        </w:rPr>
        <w:t xml:space="preserve"> </w:t>
      </w:r>
      <w:r w:rsidR="008706B8" w:rsidRPr="004A0C12">
        <w:rPr>
          <w:rFonts w:ascii="Garamond" w:hAnsi="Garamond"/>
          <w:szCs w:val="22"/>
        </w:rPr>
        <w:t xml:space="preserve">Through its active participation in the WIOA Alignment Group, the WIOA Jobseeker Advisory Focus Groups (to be planned), and the WIOA Workgroups, </w:t>
      </w:r>
      <w:r w:rsidR="00FE5ADB" w:rsidRPr="004A0C12">
        <w:rPr>
          <w:rFonts w:ascii="Garamond" w:hAnsi="Garamond"/>
          <w:szCs w:val="22"/>
        </w:rPr>
        <w:t xml:space="preserve">DORS will </w:t>
      </w:r>
      <w:r w:rsidR="008706B8" w:rsidRPr="004A0C12">
        <w:rPr>
          <w:rFonts w:ascii="Garamond" w:hAnsi="Garamond"/>
          <w:szCs w:val="22"/>
        </w:rPr>
        <w:t>explore</w:t>
      </w:r>
      <w:r w:rsidR="00FE5ADB" w:rsidRPr="004A0C12">
        <w:rPr>
          <w:rFonts w:ascii="Garamond" w:hAnsi="Garamond"/>
          <w:szCs w:val="22"/>
        </w:rPr>
        <w:t xml:space="preserve"> ways to </w:t>
      </w:r>
      <w:r w:rsidR="008706B8" w:rsidRPr="004A0C12">
        <w:rPr>
          <w:rFonts w:ascii="Garamond" w:hAnsi="Garamond"/>
          <w:szCs w:val="22"/>
        </w:rPr>
        <w:t xml:space="preserve">better </w:t>
      </w:r>
      <w:r w:rsidR="00FE5ADB" w:rsidRPr="004A0C12">
        <w:rPr>
          <w:rFonts w:ascii="Garamond" w:hAnsi="Garamond"/>
          <w:szCs w:val="22"/>
        </w:rPr>
        <w:t xml:space="preserve">assist </w:t>
      </w:r>
      <w:r w:rsidR="008706B8" w:rsidRPr="004A0C12">
        <w:rPr>
          <w:rFonts w:ascii="Garamond" w:hAnsi="Garamond"/>
          <w:szCs w:val="22"/>
        </w:rPr>
        <w:t xml:space="preserve">individuals with disabilities </w:t>
      </w:r>
      <w:r w:rsidR="00FE5ADB" w:rsidRPr="004A0C12">
        <w:rPr>
          <w:rFonts w:ascii="Garamond" w:hAnsi="Garamond"/>
          <w:szCs w:val="22"/>
        </w:rPr>
        <w:t>through the</w:t>
      </w:r>
      <w:r w:rsidR="008706B8" w:rsidRPr="004A0C12">
        <w:rPr>
          <w:rFonts w:ascii="Garamond" w:hAnsi="Garamond"/>
          <w:szCs w:val="22"/>
        </w:rPr>
        <w:t xml:space="preserve"> entire</w:t>
      </w:r>
      <w:r w:rsidR="00FE5ADB" w:rsidRPr="004A0C12">
        <w:rPr>
          <w:rFonts w:ascii="Garamond" w:hAnsi="Garamond"/>
          <w:szCs w:val="22"/>
        </w:rPr>
        <w:t xml:space="preserve"> workforce system.</w:t>
      </w:r>
    </w:p>
    <w:p w14:paraId="70BDF1F2" w14:textId="77777777" w:rsidR="007A1FDC" w:rsidRPr="004A0C12" w:rsidRDefault="007A1FDC" w:rsidP="007A1FDC">
      <w:pPr>
        <w:pStyle w:val="ListParagraph"/>
        <w:rPr>
          <w:rFonts w:ascii="Garamond" w:hAnsi="Garamond"/>
          <w:szCs w:val="22"/>
        </w:rPr>
      </w:pPr>
    </w:p>
    <w:p w14:paraId="41F7C32E" w14:textId="15FE3CD6" w:rsidR="007A1FDC" w:rsidRPr="004A0C12" w:rsidRDefault="007A1FDC" w:rsidP="00232F09">
      <w:pPr>
        <w:pStyle w:val="ListParagraph"/>
        <w:widowControl w:val="0"/>
        <w:numPr>
          <w:ilvl w:val="0"/>
          <w:numId w:val="122"/>
        </w:numPr>
        <w:tabs>
          <w:tab w:val="clear" w:pos="360"/>
          <w:tab w:val="num" w:pos="720"/>
        </w:tabs>
        <w:ind w:left="720" w:hanging="360"/>
        <w:jc w:val="both"/>
        <w:rPr>
          <w:rFonts w:ascii="Garamond" w:hAnsi="Garamond"/>
          <w:szCs w:val="22"/>
        </w:rPr>
      </w:pPr>
      <w:r w:rsidRPr="004A0C12">
        <w:rPr>
          <w:rFonts w:ascii="Garamond" w:hAnsi="Garamond"/>
          <w:szCs w:val="22"/>
        </w:rPr>
        <w:t>DORS will elect not to serve eligible individuals, regardless of the established order of selection, who require specific services or equipment to maintain employment. The issue will be reviewed regularly</w:t>
      </w:r>
      <w:r w:rsidR="00DB1D90" w:rsidRPr="004A0C12">
        <w:rPr>
          <w:rFonts w:ascii="Garamond" w:hAnsi="Garamond"/>
          <w:szCs w:val="22"/>
        </w:rPr>
        <w:t xml:space="preserve">, with WIOA </w:t>
      </w:r>
      <w:r w:rsidR="00B157E4" w:rsidRPr="004A0C12">
        <w:rPr>
          <w:rFonts w:ascii="Garamond" w:hAnsi="Garamond"/>
          <w:szCs w:val="22"/>
        </w:rPr>
        <w:t>Partners</w:t>
      </w:r>
      <w:r w:rsidR="00DB1D90" w:rsidRPr="004A0C12">
        <w:rPr>
          <w:rFonts w:ascii="Garamond" w:hAnsi="Garamond"/>
          <w:szCs w:val="22"/>
        </w:rPr>
        <w:t xml:space="preserve"> and the MSRC,</w:t>
      </w:r>
      <w:r w:rsidRPr="004A0C12">
        <w:rPr>
          <w:rFonts w:ascii="Garamond" w:hAnsi="Garamond"/>
          <w:szCs w:val="22"/>
        </w:rPr>
        <w:t xml:space="preserve"> to determine the need to revise this position.  </w:t>
      </w:r>
    </w:p>
    <w:p w14:paraId="1306D3A4" w14:textId="404FC49D" w:rsidR="007A1FDC" w:rsidRPr="00193E8E" w:rsidRDefault="007A1FDC" w:rsidP="00FF44FF">
      <w:pPr>
        <w:pStyle w:val="Heading2"/>
        <w:rPr>
          <w:rFonts w:ascii="Garamond" w:hAnsi="Garamond"/>
          <w:sz w:val="24"/>
          <w:szCs w:val="24"/>
        </w:rPr>
      </w:pPr>
      <w:bookmarkStart w:id="178" w:name="_Toc447276207"/>
      <w:r w:rsidRPr="00193E8E">
        <w:rPr>
          <w:rFonts w:ascii="Garamond" w:hAnsi="Garamond"/>
          <w:sz w:val="24"/>
          <w:szCs w:val="24"/>
        </w:rPr>
        <w:t>Explanations for rejecting any MSRC recommendations</w:t>
      </w:r>
      <w:bookmarkEnd w:id="178"/>
    </w:p>
    <w:p w14:paraId="65F8EFC2" w14:textId="73CA7770" w:rsidR="007A1FDC" w:rsidRPr="004A0C12" w:rsidRDefault="007A1FDC" w:rsidP="00D556DC">
      <w:pPr>
        <w:widowControl w:val="0"/>
        <w:spacing w:after="0" w:line="240" w:lineRule="auto"/>
        <w:rPr>
          <w:rFonts w:ascii="Garamond" w:hAnsi="Garamond"/>
        </w:rPr>
      </w:pPr>
      <w:r w:rsidRPr="004A0C12">
        <w:rPr>
          <w:rFonts w:ascii="Garamond" w:hAnsi="Garamond"/>
        </w:rPr>
        <w:t>The agency does not rej</w:t>
      </w:r>
      <w:r w:rsidR="00D556DC" w:rsidRPr="004A0C12">
        <w:rPr>
          <w:rFonts w:ascii="Garamond" w:hAnsi="Garamond"/>
        </w:rPr>
        <w:t>ect any of the recommendations.</w:t>
      </w:r>
    </w:p>
    <w:p w14:paraId="5ED77A5A" w14:textId="5C31EF7C" w:rsidR="007A1FDC" w:rsidRPr="00193E8E" w:rsidRDefault="007A1FDC" w:rsidP="00FF44FF">
      <w:pPr>
        <w:pStyle w:val="Heading2"/>
        <w:rPr>
          <w:rFonts w:ascii="Garamond" w:hAnsi="Garamond"/>
          <w:sz w:val="24"/>
          <w:szCs w:val="24"/>
        </w:rPr>
      </w:pPr>
      <w:bookmarkStart w:id="179" w:name="_Toc447276208"/>
      <w:r w:rsidRPr="00193E8E">
        <w:rPr>
          <w:rFonts w:ascii="Garamond" w:hAnsi="Garamond"/>
          <w:sz w:val="24"/>
          <w:szCs w:val="24"/>
        </w:rPr>
        <w:t xml:space="preserve">Request for Waiver of </w:t>
      </w:r>
      <w:r w:rsidR="00B157E4" w:rsidRPr="00193E8E">
        <w:rPr>
          <w:rFonts w:ascii="Garamond" w:hAnsi="Garamond"/>
          <w:sz w:val="24"/>
          <w:szCs w:val="24"/>
        </w:rPr>
        <w:t>Statewide</w:t>
      </w:r>
      <w:r w:rsidR="00B157E4">
        <w:rPr>
          <w:rFonts w:ascii="Garamond" w:hAnsi="Garamond"/>
          <w:sz w:val="24"/>
          <w:szCs w:val="24"/>
        </w:rPr>
        <w:t>-</w:t>
      </w:r>
      <w:r w:rsidR="00B157E4" w:rsidRPr="00193E8E">
        <w:rPr>
          <w:rFonts w:ascii="Garamond" w:hAnsi="Garamond"/>
          <w:sz w:val="24"/>
          <w:szCs w:val="24"/>
        </w:rPr>
        <w:t>ness</w:t>
      </w:r>
      <w:bookmarkEnd w:id="179"/>
    </w:p>
    <w:p w14:paraId="70554ED1" w14:textId="35FF2050" w:rsidR="007A1FDC" w:rsidRPr="004A0C12" w:rsidRDefault="007A1FDC" w:rsidP="007A1FDC">
      <w:pPr>
        <w:pStyle w:val="PlainText1"/>
        <w:jc w:val="both"/>
        <w:rPr>
          <w:rFonts w:ascii="Garamond" w:hAnsi="Garamond"/>
          <w:sz w:val="22"/>
          <w:szCs w:val="22"/>
        </w:rPr>
      </w:pPr>
      <w:r w:rsidRPr="004A0C12">
        <w:rPr>
          <w:rFonts w:ascii="Garamond" w:hAnsi="Garamond"/>
          <w:color w:val="111111"/>
          <w:sz w:val="22"/>
          <w:szCs w:val="22"/>
        </w:rPr>
        <w:t xml:space="preserve">The Maryland Division of Rehabilitation Services has not requested a waiver of </w:t>
      </w:r>
      <w:r w:rsidR="00B157E4" w:rsidRPr="004A0C12">
        <w:rPr>
          <w:rFonts w:ascii="Garamond" w:hAnsi="Garamond"/>
          <w:color w:val="111111"/>
          <w:sz w:val="22"/>
          <w:szCs w:val="22"/>
        </w:rPr>
        <w:t>statewide</w:t>
      </w:r>
      <w:r w:rsidR="00B157E4">
        <w:rPr>
          <w:rFonts w:ascii="Garamond" w:hAnsi="Garamond"/>
          <w:color w:val="111111"/>
          <w:sz w:val="22"/>
          <w:szCs w:val="22"/>
        </w:rPr>
        <w:t>-</w:t>
      </w:r>
      <w:r w:rsidR="00B157E4" w:rsidRPr="004A0C12">
        <w:rPr>
          <w:rFonts w:ascii="Garamond" w:hAnsi="Garamond"/>
          <w:color w:val="111111"/>
          <w:sz w:val="22"/>
          <w:szCs w:val="22"/>
        </w:rPr>
        <w:t>ness</w:t>
      </w:r>
      <w:r w:rsidRPr="004A0C12">
        <w:rPr>
          <w:rFonts w:ascii="Garamond" w:hAnsi="Garamond"/>
          <w:color w:val="111111"/>
          <w:sz w:val="22"/>
          <w:szCs w:val="22"/>
        </w:rPr>
        <w:t>.</w:t>
      </w:r>
    </w:p>
    <w:p w14:paraId="13BD95B3" w14:textId="77777777" w:rsidR="007A1FDC" w:rsidRPr="00193E8E" w:rsidRDefault="007A1FDC" w:rsidP="00431254">
      <w:pPr>
        <w:pStyle w:val="Heading2"/>
        <w:rPr>
          <w:rFonts w:ascii="Garamond" w:hAnsi="Garamond"/>
          <w:sz w:val="24"/>
          <w:szCs w:val="24"/>
        </w:rPr>
      </w:pPr>
      <w:bookmarkStart w:id="180" w:name="_Toc447276209"/>
      <w:r w:rsidRPr="00193E8E">
        <w:rPr>
          <w:rFonts w:ascii="Garamond" w:hAnsi="Garamond"/>
          <w:sz w:val="24"/>
          <w:szCs w:val="24"/>
        </w:rPr>
        <w:t>COOPERATIVE AGREEMENTS WITH AGENCIES NOT CARRYING OUT ACTIVITIES UNDER THE STATEWIDE WORKFORCE DEVELOPMENT SYSTEM</w:t>
      </w:r>
      <w:bookmarkEnd w:id="180"/>
    </w:p>
    <w:p w14:paraId="6840D09D" w14:textId="44D1ECAF" w:rsidR="00204FA0" w:rsidRPr="00193E8E" w:rsidRDefault="007A1FDC" w:rsidP="00FF44FF">
      <w:pPr>
        <w:pStyle w:val="Heading3"/>
        <w:rPr>
          <w:rFonts w:ascii="Garamond" w:hAnsi="Garamond"/>
          <w:sz w:val="24"/>
          <w:szCs w:val="24"/>
        </w:rPr>
      </w:pPr>
      <w:bookmarkStart w:id="181" w:name="_Toc447276210"/>
      <w:r w:rsidRPr="00193E8E">
        <w:rPr>
          <w:rFonts w:ascii="Garamond" w:hAnsi="Garamond"/>
          <w:sz w:val="24"/>
          <w:szCs w:val="24"/>
        </w:rPr>
        <w:t>Cooperation &amp; Federal, State and local agencies and programs</w:t>
      </w:r>
      <w:bookmarkEnd w:id="181"/>
      <w:r w:rsidR="00FF44FF" w:rsidRPr="00193E8E">
        <w:rPr>
          <w:rFonts w:ascii="Garamond" w:hAnsi="Garamond"/>
          <w:sz w:val="24"/>
          <w:szCs w:val="24"/>
        </w:rPr>
        <w:t xml:space="preserve"> </w:t>
      </w:r>
    </w:p>
    <w:p w14:paraId="465FA441" w14:textId="03AA7450" w:rsidR="007A1FDC" w:rsidRPr="004A0C12" w:rsidRDefault="00204FA0" w:rsidP="007A1FDC">
      <w:pPr>
        <w:widowControl w:val="0"/>
        <w:spacing w:after="0" w:line="240" w:lineRule="auto"/>
        <w:jc w:val="both"/>
        <w:rPr>
          <w:rFonts w:ascii="Garamond" w:hAnsi="Garamond"/>
        </w:rPr>
      </w:pPr>
      <w:r w:rsidRPr="004A0C12">
        <w:rPr>
          <w:rFonts w:ascii="Garamond" w:hAnsi="Garamond"/>
        </w:rPr>
        <w:t xml:space="preserve">While DORS is committed to working collaboratively with its WIOA Partners, it recognizes the importance of maintaining other strong partnerships to provide exceptional customer service to businesses and individuals with disabilities. </w:t>
      </w:r>
      <w:r w:rsidR="007A1FDC" w:rsidRPr="004A0C12">
        <w:rPr>
          <w:rFonts w:ascii="Garamond" w:hAnsi="Garamond"/>
        </w:rPr>
        <w:t>Cooperation with private and non-profit service agencies, related government agencies</w:t>
      </w:r>
      <w:r w:rsidRPr="004A0C12">
        <w:rPr>
          <w:rFonts w:ascii="Garamond" w:hAnsi="Garamond"/>
        </w:rPr>
        <w:t>,</w:t>
      </w:r>
      <w:r w:rsidR="007A1FDC" w:rsidRPr="004A0C12">
        <w:rPr>
          <w:rFonts w:ascii="Garamond" w:hAnsi="Garamond"/>
        </w:rPr>
        <w:t xml:space="preserve"> and other professional organizations has long been a cornerstone of public vocational rehabilitation in Maryland. Such collaborations help to overcome the complex and multiple barriers that confront people with disabilities who want to work or stay ind</w:t>
      </w:r>
      <w:r w:rsidR="00D556DC" w:rsidRPr="004A0C12">
        <w:rPr>
          <w:rFonts w:ascii="Garamond" w:hAnsi="Garamond"/>
        </w:rPr>
        <w:t xml:space="preserve">ependent in their communities. </w:t>
      </w:r>
    </w:p>
    <w:p w14:paraId="5E2D3424" w14:textId="77777777" w:rsidR="007A1FDC" w:rsidRPr="004A0C12" w:rsidRDefault="007A1FDC" w:rsidP="007A1FDC">
      <w:pPr>
        <w:widowControl w:val="0"/>
        <w:spacing w:after="0" w:line="240" w:lineRule="auto"/>
        <w:jc w:val="both"/>
        <w:rPr>
          <w:rFonts w:ascii="Garamond" w:hAnsi="Garamond"/>
        </w:rPr>
      </w:pPr>
    </w:p>
    <w:p w14:paraId="073643D1" w14:textId="70ECF181" w:rsidR="007A1FDC" w:rsidRPr="004A0C12" w:rsidRDefault="007A1FDC" w:rsidP="00431254">
      <w:pPr>
        <w:widowControl w:val="0"/>
        <w:spacing w:after="0" w:line="240" w:lineRule="auto"/>
        <w:jc w:val="both"/>
        <w:rPr>
          <w:rFonts w:ascii="Garamond" w:hAnsi="Garamond"/>
        </w:rPr>
      </w:pPr>
      <w:r w:rsidRPr="004A0C12">
        <w:rPr>
          <w:rFonts w:ascii="Garamond" w:hAnsi="Garamond"/>
        </w:rPr>
        <w:t>The Division maintains cooperative agreements, memoranda of understanding and membership on Interagency Councils and Local Committees and other collaborative initiatives and projects with agencies and organizations outside t</w:t>
      </w:r>
      <w:r w:rsidR="00431254" w:rsidRPr="004A0C12">
        <w:rPr>
          <w:rFonts w:ascii="Garamond" w:hAnsi="Garamond"/>
        </w:rPr>
        <w:t xml:space="preserve">he workforce </w:t>
      </w:r>
      <w:r w:rsidR="00D556DC" w:rsidRPr="004A0C12">
        <w:rPr>
          <w:rFonts w:ascii="Garamond" w:hAnsi="Garamond"/>
        </w:rPr>
        <w:t xml:space="preserve">development </w:t>
      </w:r>
      <w:r w:rsidR="00431254" w:rsidRPr="004A0C12">
        <w:rPr>
          <w:rFonts w:ascii="Garamond" w:hAnsi="Garamond"/>
        </w:rPr>
        <w:t>system.</w:t>
      </w:r>
    </w:p>
    <w:p w14:paraId="36320C63" w14:textId="4471DCC0" w:rsidR="007A1FDC" w:rsidRPr="00193E8E" w:rsidRDefault="00FF44FF" w:rsidP="00FF44FF">
      <w:pPr>
        <w:pStyle w:val="Heading4"/>
        <w:rPr>
          <w:rFonts w:ascii="Garamond" w:hAnsi="Garamond"/>
          <w:sz w:val="24"/>
          <w:szCs w:val="24"/>
        </w:rPr>
      </w:pPr>
      <w:r w:rsidRPr="004A0C12">
        <w:rPr>
          <w:rFonts w:ascii="Garamond" w:hAnsi="Garamond"/>
        </w:rPr>
        <w:t xml:space="preserve"> </w:t>
      </w:r>
      <w:r w:rsidRPr="00193E8E">
        <w:rPr>
          <w:rFonts w:ascii="Garamond" w:hAnsi="Garamond"/>
          <w:sz w:val="24"/>
          <w:szCs w:val="24"/>
        </w:rPr>
        <w:t>(1) Cooperative Agreements</w:t>
      </w:r>
    </w:p>
    <w:p w14:paraId="39120B35" w14:textId="77777777" w:rsidR="007A1FDC" w:rsidRPr="004A0C12" w:rsidRDefault="007A1FDC" w:rsidP="00232F09">
      <w:pPr>
        <w:widowControl w:val="0"/>
        <w:numPr>
          <w:ilvl w:val="0"/>
          <w:numId w:val="123"/>
        </w:numPr>
        <w:tabs>
          <w:tab w:val="clear" w:pos="360"/>
          <w:tab w:val="num" w:pos="540"/>
        </w:tabs>
        <w:spacing w:after="0" w:line="240" w:lineRule="auto"/>
        <w:ind w:left="540" w:hanging="360"/>
        <w:jc w:val="both"/>
        <w:rPr>
          <w:rFonts w:ascii="Garamond" w:hAnsi="Garamond"/>
        </w:rPr>
      </w:pPr>
      <w:r w:rsidRPr="004A0C12">
        <w:rPr>
          <w:rFonts w:ascii="Garamond" w:hAnsi="Garamond"/>
        </w:rPr>
        <w:t>Departme</w:t>
      </w:r>
      <w:r w:rsidR="0096326A" w:rsidRPr="004A0C12">
        <w:rPr>
          <w:rFonts w:ascii="Garamond" w:hAnsi="Garamond"/>
        </w:rPr>
        <w:t>nt of Health and Mental Hygiene</w:t>
      </w:r>
      <w:r w:rsidRPr="004A0C12">
        <w:rPr>
          <w:rFonts w:ascii="Garamond" w:hAnsi="Garamond"/>
        </w:rPr>
        <w:t xml:space="preserve">:  </w:t>
      </w:r>
    </w:p>
    <w:p w14:paraId="0444B08C" w14:textId="707EAED1" w:rsidR="007A1FDC" w:rsidRPr="004A0C12" w:rsidRDefault="007A1FDC" w:rsidP="007A1FDC">
      <w:pPr>
        <w:widowControl w:val="0"/>
        <w:spacing w:after="0" w:line="240" w:lineRule="auto"/>
        <w:ind w:left="1440"/>
        <w:jc w:val="both"/>
        <w:rPr>
          <w:rFonts w:ascii="Garamond" w:hAnsi="Garamond"/>
        </w:rPr>
      </w:pPr>
      <w:r w:rsidRPr="004A0C12">
        <w:rPr>
          <w:rFonts w:ascii="Garamond" w:hAnsi="Garamond"/>
          <w:u w:val="single"/>
        </w:rPr>
        <w:t>Behavioral Health Administration</w:t>
      </w:r>
      <w:r w:rsidR="00FF755D" w:rsidRPr="004A0C12">
        <w:rPr>
          <w:rFonts w:ascii="Garamond" w:hAnsi="Garamond"/>
          <w:u w:val="single"/>
        </w:rPr>
        <w:t xml:space="preserve"> </w:t>
      </w:r>
      <w:r w:rsidRPr="004A0C12">
        <w:rPr>
          <w:rFonts w:ascii="Garamond" w:hAnsi="Garamond"/>
        </w:rPr>
        <w:t xml:space="preserve">– This cooperative agreement, most recently updated effective December 2011, addresses referrals between agencies and specifies shared responsibilities for funding of supported employment, as well as cross-training for staff. </w:t>
      </w:r>
    </w:p>
    <w:p w14:paraId="5A35987D" w14:textId="77777777" w:rsidR="007A1FDC" w:rsidRPr="004A0C12" w:rsidRDefault="007A1FDC" w:rsidP="007A1FDC">
      <w:pPr>
        <w:widowControl w:val="0"/>
        <w:spacing w:after="0" w:line="240" w:lineRule="auto"/>
        <w:ind w:left="360"/>
        <w:jc w:val="both"/>
        <w:rPr>
          <w:rFonts w:ascii="Garamond" w:hAnsi="Garamond"/>
        </w:rPr>
      </w:pPr>
    </w:p>
    <w:p w14:paraId="5527E500" w14:textId="77777777" w:rsidR="007A1FDC" w:rsidRPr="004A0C12" w:rsidRDefault="007A1FDC" w:rsidP="007A1FDC">
      <w:pPr>
        <w:widowControl w:val="0"/>
        <w:spacing w:after="0" w:line="240" w:lineRule="auto"/>
        <w:ind w:left="1440"/>
        <w:jc w:val="both"/>
        <w:rPr>
          <w:rFonts w:ascii="Garamond" w:hAnsi="Garamond"/>
        </w:rPr>
      </w:pPr>
      <w:r w:rsidRPr="004A0C12">
        <w:rPr>
          <w:rFonts w:ascii="Garamond" w:hAnsi="Garamond"/>
          <w:u w:val="single"/>
        </w:rPr>
        <w:t xml:space="preserve">Developmental Disabilities Administration </w:t>
      </w:r>
      <w:r w:rsidRPr="004A0C12">
        <w:rPr>
          <w:rFonts w:ascii="Garamond" w:hAnsi="Garamond"/>
        </w:rPr>
        <w:t xml:space="preserve">– Maryland State Department of Education, DORS, and the </w:t>
      </w:r>
      <w:r w:rsidRPr="004A0C12">
        <w:rPr>
          <w:rFonts w:ascii="Garamond" w:hAnsi="Garamond"/>
        </w:rPr>
        <w:lastRenderedPageBreak/>
        <w:t xml:space="preserve">Maryland Department of Health and Mental Hygiene, Developmental Disabilities Administration updated and approved the Cooperative Agreement, Employment Services in October 2013. It focuses on implementation of </w:t>
      </w:r>
      <w:r w:rsidRPr="004A0C12">
        <w:rPr>
          <w:rFonts w:ascii="Garamond" w:hAnsi="Garamond"/>
          <w:i/>
        </w:rPr>
        <w:t>Employment First</w:t>
      </w:r>
      <w:r w:rsidRPr="004A0C12">
        <w:rPr>
          <w:rFonts w:ascii="Garamond" w:hAnsi="Garamond"/>
        </w:rPr>
        <w:t xml:space="preserve"> in Maryland and addresses referral between agencies and specifies shared responsibilities for funding of supported employment. It also describes cross-training activities. </w:t>
      </w:r>
    </w:p>
    <w:p w14:paraId="768918EC" w14:textId="77777777" w:rsidR="007A1FDC" w:rsidRPr="004A0C12" w:rsidRDefault="007A1FDC" w:rsidP="007A1FDC">
      <w:pPr>
        <w:widowControl w:val="0"/>
        <w:spacing w:after="0" w:line="240" w:lineRule="auto"/>
        <w:ind w:left="360"/>
        <w:jc w:val="both"/>
        <w:rPr>
          <w:rFonts w:ascii="Garamond" w:hAnsi="Garamond"/>
        </w:rPr>
      </w:pPr>
    </w:p>
    <w:p w14:paraId="048E1378" w14:textId="77777777" w:rsidR="007A1FDC" w:rsidRPr="004A0C12" w:rsidRDefault="007A1FDC" w:rsidP="00232F09">
      <w:pPr>
        <w:widowControl w:val="0"/>
        <w:numPr>
          <w:ilvl w:val="0"/>
          <w:numId w:val="123"/>
        </w:numPr>
        <w:tabs>
          <w:tab w:val="clear" w:pos="360"/>
          <w:tab w:val="num" w:pos="540"/>
        </w:tabs>
        <w:spacing w:after="0" w:line="240" w:lineRule="auto"/>
        <w:ind w:left="540" w:hanging="360"/>
        <w:jc w:val="both"/>
        <w:rPr>
          <w:rFonts w:ascii="Garamond" w:hAnsi="Garamond"/>
        </w:rPr>
      </w:pPr>
      <w:r w:rsidRPr="004A0C12">
        <w:rPr>
          <w:rFonts w:ascii="Garamond" w:hAnsi="Garamond"/>
        </w:rPr>
        <w:t>Maryland Association of Student and Financial Aid Administrators - This cooperative agreement specifies the process for defining unmet financial need for higher education and the requirements for PELL Grant and scholarship applications. It also outlines the process for sharing information to determine the amount of assistance DORS can provide to a student for tuition and other educational costs.</w:t>
      </w:r>
    </w:p>
    <w:p w14:paraId="598D8E47" w14:textId="77777777" w:rsidR="007A1FDC" w:rsidRPr="004A0C12" w:rsidRDefault="007A1FDC" w:rsidP="00232F09">
      <w:pPr>
        <w:widowControl w:val="0"/>
        <w:numPr>
          <w:ilvl w:val="0"/>
          <w:numId w:val="123"/>
        </w:numPr>
        <w:tabs>
          <w:tab w:val="clear" w:pos="360"/>
          <w:tab w:val="num" w:pos="540"/>
        </w:tabs>
        <w:spacing w:after="0" w:line="240" w:lineRule="auto"/>
        <w:ind w:left="540" w:hanging="360"/>
        <w:jc w:val="both"/>
        <w:rPr>
          <w:rFonts w:ascii="Garamond" w:hAnsi="Garamond"/>
        </w:rPr>
      </w:pPr>
      <w:r w:rsidRPr="004A0C12">
        <w:rPr>
          <w:rFonts w:ascii="Garamond" w:hAnsi="Garamond"/>
        </w:rPr>
        <w:t>Workers’ Compensation Commission– This agreement describes the referral process and the procedure for submitting rehabilitation plans to the Commission to determine if costs will be covered by an insurer.</w:t>
      </w:r>
      <w:r w:rsidRPr="004A0C12">
        <w:rPr>
          <w:rFonts w:ascii="Garamond" w:hAnsi="Garamond"/>
        </w:rPr>
        <w:tab/>
      </w:r>
    </w:p>
    <w:p w14:paraId="26980FAA" w14:textId="77777777" w:rsidR="007A1FDC" w:rsidRPr="004A0C12" w:rsidRDefault="007A1FDC" w:rsidP="00232F09">
      <w:pPr>
        <w:widowControl w:val="0"/>
        <w:numPr>
          <w:ilvl w:val="0"/>
          <w:numId w:val="123"/>
        </w:numPr>
        <w:tabs>
          <w:tab w:val="clear" w:pos="360"/>
          <w:tab w:val="num" w:pos="540"/>
        </w:tabs>
        <w:spacing w:after="0" w:line="240" w:lineRule="auto"/>
        <w:ind w:left="540" w:hanging="360"/>
        <w:jc w:val="both"/>
        <w:rPr>
          <w:rFonts w:ascii="Garamond" w:hAnsi="Garamond"/>
        </w:rPr>
      </w:pPr>
      <w:r w:rsidRPr="004A0C12">
        <w:rPr>
          <w:rFonts w:ascii="Garamond" w:hAnsi="Garamond"/>
        </w:rPr>
        <w:t xml:space="preserve">Maryland State Department of Education– The Intra-agency Cooperative Agreement on Transitioning specifies areas of cooperation among the Divisions of Student, Family and School Support Services; Special Education/ Early Intervention Services; Career and College Readiness, and Rehabilitation Services specific to transitioning students and youth with disabilities. </w:t>
      </w:r>
    </w:p>
    <w:p w14:paraId="329DA661" w14:textId="00783FBB" w:rsidR="007A1FDC" w:rsidRPr="004A0C12" w:rsidRDefault="007A1FDC" w:rsidP="00431254">
      <w:pPr>
        <w:pStyle w:val="Heading5"/>
        <w:rPr>
          <w:rFonts w:ascii="Garamond" w:hAnsi="Garamond"/>
        </w:rPr>
      </w:pPr>
      <w:r w:rsidRPr="004A0C12">
        <w:rPr>
          <w:rFonts w:ascii="Garamond" w:hAnsi="Garamond"/>
        </w:rPr>
        <w:t>M</w:t>
      </w:r>
      <w:r w:rsidR="00B20E8D" w:rsidRPr="004A0C12">
        <w:rPr>
          <w:rFonts w:ascii="Garamond" w:hAnsi="Garamond"/>
        </w:rPr>
        <w:t>emorandum</w:t>
      </w:r>
      <w:r w:rsidRPr="004A0C12">
        <w:rPr>
          <w:rFonts w:ascii="Garamond" w:hAnsi="Garamond"/>
        </w:rPr>
        <w:t xml:space="preserve"> of Understanding (MOUs)</w:t>
      </w:r>
    </w:p>
    <w:p w14:paraId="6504A4DD" w14:textId="092C8ABD" w:rsidR="007A1FDC" w:rsidRPr="004A0C12" w:rsidRDefault="00B20E8D" w:rsidP="00232F09">
      <w:pPr>
        <w:widowControl w:val="0"/>
        <w:numPr>
          <w:ilvl w:val="0"/>
          <w:numId w:val="124"/>
        </w:numPr>
        <w:tabs>
          <w:tab w:val="clear" w:pos="360"/>
          <w:tab w:val="num" w:pos="540"/>
        </w:tabs>
        <w:spacing w:after="0" w:line="240" w:lineRule="auto"/>
        <w:ind w:left="540" w:hanging="360"/>
        <w:jc w:val="both"/>
        <w:rPr>
          <w:rFonts w:ascii="Garamond" w:hAnsi="Garamond"/>
        </w:rPr>
      </w:pPr>
      <w:r w:rsidRPr="004A0C12">
        <w:rPr>
          <w:rFonts w:ascii="Garamond" w:hAnsi="Garamond"/>
        </w:rPr>
        <w:t>An MOU exists between DORS, the Department of Health and Mental Hygiene’s Behavioral Health Administration, and the Developmental Disabilities Administration that</w:t>
      </w:r>
      <w:r w:rsidR="007A1FDC" w:rsidRPr="004A0C12">
        <w:rPr>
          <w:rFonts w:ascii="Garamond" w:hAnsi="Garamond"/>
        </w:rPr>
        <w:t xml:space="preserve"> authorize</w:t>
      </w:r>
      <w:r w:rsidRPr="004A0C12">
        <w:rPr>
          <w:rFonts w:ascii="Garamond" w:hAnsi="Garamond"/>
        </w:rPr>
        <w:t>s</w:t>
      </w:r>
      <w:r w:rsidR="007A1FDC" w:rsidRPr="004A0C12">
        <w:rPr>
          <w:rFonts w:ascii="Garamond" w:hAnsi="Garamond"/>
        </w:rPr>
        <w:t xml:space="preserve"> </w:t>
      </w:r>
      <w:r w:rsidRPr="004A0C12">
        <w:rPr>
          <w:rFonts w:ascii="Garamond" w:hAnsi="Garamond"/>
        </w:rPr>
        <w:t>the issuance of</w:t>
      </w:r>
      <w:r w:rsidR="007A1FDC" w:rsidRPr="004A0C12">
        <w:rPr>
          <w:rFonts w:ascii="Garamond" w:hAnsi="Garamond"/>
        </w:rPr>
        <w:t xml:space="preserve"> vouchers for the Maryland Disability Employment Tax Credit</w:t>
      </w:r>
      <w:r w:rsidRPr="004A0C12">
        <w:rPr>
          <w:rFonts w:ascii="Garamond" w:hAnsi="Garamond"/>
        </w:rPr>
        <w:t xml:space="preserve">. </w:t>
      </w:r>
      <w:bookmarkStart w:id="182" w:name="OLE_LINK1"/>
      <w:bookmarkEnd w:id="182"/>
      <w:r w:rsidRPr="004A0C12">
        <w:rPr>
          <w:rFonts w:ascii="Garamond" w:hAnsi="Garamond"/>
        </w:rPr>
        <w:t xml:space="preserve">This MOU remains in effect and will be reviewed later this year. </w:t>
      </w:r>
    </w:p>
    <w:p w14:paraId="50848A9F" w14:textId="77777777" w:rsidR="007A1FDC" w:rsidRPr="004A0C12" w:rsidRDefault="007A1FDC" w:rsidP="00431254">
      <w:pPr>
        <w:pStyle w:val="Heading5"/>
        <w:rPr>
          <w:rFonts w:ascii="Garamond" w:hAnsi="Garamond"/>
        </w:rPr>
      </w:pPr>
      <w:r w:rsidRPr="004A0C12">
        <w:rPr>
          <w:rFonts w:ascii="Garamond" w:hAnsi="Garamond"/>
        </w:rPr>
        <w:t xml:space="preserve">Interagency Councils and Local Committees </w:t>
      </w:r>
    </w:p>
    <w:p w14:paraId="2F941B1A" w14:textId="1608B891" w:rsidR="00204FA0" w:rsidRPr="004A0C12" w:rsidRDefault="007A1FDC" w:rsidP="00B20E8D">
      <w:pPr>
        <w:widowControl w:val="0"/>
        <w:tabs>
          <w:tab w:val="left" w:pos="360"/>
        </w:tabs>
        <w:spacing w:after="0" w:line="240" w:lineRule="auto"/>
        <w:contextualSpacing/>
        <w:jc w:val="both"/>
        <w:rPr>
          <w:rFonts w:ascii="Garamond" w:hAnsi="Garamond"/>
        </w:rPr>
      </w:pPr>
      <w:r w:rsidRPr="004A0C12">
        <w:rPr>
          <w:rFonts w:ascii="Garamond" w:hAnsi="Garamond"/>
        </w:rPr>
        <w:t>DORS maintains an active presence on numerous statewide interage</w:t>
      </w:r>
      <w:r w:rsidR="00204FA0" w:rsidRPr="004A0C12">
        <w:rPr>
          <w:rFonts w:ascii="Garamond" w:hAnsi="Garamond"/>
        </w:rPr>
        <w:t xml:space="preserve">ncy councils within and beyond the WIOA workforce </w:t>
      </w:r>
      <w:r w:rsidR="00B20E8D" w:rsidRPr="004A0C12">
        <w:rPr>
          <w:rFonts w:ascii="Garamond" w:hAnsi="Garamond"/>
        </w:rPr>
        <w:t>s</w:t>
      </w:r>
      <w:r w:rsidR="00204FA0" w:rsidRPr="004A0C12">
        <w:rPr>
          <w:rFonts w:ascii="Garamond" w:hAnsi="Garamond"/>
        </w:rPr>
        <w:t xml:space="preserve">ystem. </w:t>
      </w:r>
    </w:p>
    <w:p w14:paraId="404E7B57" w14:textId="77777777" w:rsidR="00204FA0" w:rsidRPr="004A0C12" w:rsidRDefault="00204FA0" w:rsidP="00B20E8D">
      <w:pPr>
        <w:widowControl w:val="0"/>
        <w:tabs>
          <w:tab w:val="left" w:pos="360"/>
        </w:tabs>
        <w:spacing w:after="0" w:line="240" w:lineRule="auto"/>
        <w:contextualSpacing/>
        <w:jc w:val="both"/>
        <w:rPr>
          <w:rFonts w:ascii="Garamond" w:hAnsi="Garamond"/>
        </w:rPr>
      </w:pPr>
    </w:p>
    <w:p w14:paraId="36B4F4A8" w14:textId="571AAC71" w:rsidR="00FF755D" w:rsidRPr="004A0C12" w:rsidRDefault="00204FA0" w:rsidP="00B20E8D">
      <w:pPr>
        <w:widowControl w:val="0"/>
        <w:tabs>
          <w:tab w:val="left" w:pos="360"/>
        </w:tabs>
        <w:spacing w:after="0" w:line="240" w:lineRule="auto"/>
        <w:contextualSpacing/>
        <w:jc w:val="both"/>
        <w:rPr>
          <w:rFonts w:ascii="Garamond" w:hAnsi="Garamond"/>
        </w:rPr>
      </w:pPr>
      <w:r w:rsidRPr="004A0C12">
        <w:rPr>
          <w:rFonts w:ascii="Garamond" w:hAnsi="Garamond"/>
        </w:rPr>
        <w:t xml:space="preserve">Within the WIOA System, </w:t>
      </w:r>
      <w:r w:rsidR="00724DEB" w:rsidRPr="004A0C12">
        <w:rPr>
          <w:rFonts w:ascii="Garamond" w:hAnsi="Garamond"/>
        </w:rPr>
        <w:t xml:space="preserve">DORS actively participates on the following committees and groups: </w:t>
      </w:r>
    </w:p>
    <w:p w14:paraId="742F1DFD" w14:textId="77777777" w:rsidR="00724DEB" w:rsidRPr="004A0C12" w:rsidRDefault="00724DEB" w:rsidP="00232F09">
      <w:pPr>
        <w:pStyle w:val="ListParagraph"/>
        <w:widowControl w:val="0"/>
        <w:numPr>
          <w:ilvl w:val="0"/>
          <w:numId w:val="211"/>
        </w:numPr>
        <w:tabs>
          <w:tab w:val="left" w:pos="360"/>
        </w:tabs>
        <w:contextualSpacing/>
        <w:jc w:val="both"/>
        <w:rPr>
          <w:rFonts w:ascii="Garamond" w:hAnsi="Garamond"/>
          <w:szCs w:val="22"/>
        </w:rPr>
      </w:pPr>
      <w:r w:rsidRPr="004A0C12">
        <w:rPr>
          <w:rFonts w:ascii="Garamond" w:hAnsi="Garamond"/>
          <w:szCs w:val="22"/>
        </w:rPr>
        <w:t xml:space="preserve">Governor’s Workforce Investment Board Interagency Committee; </w:t>
      </w:r>
    </w:p>
    <w:p w14:paraId="135BF910" w14:textId="2185964D" w:rsidR="00724DEB" w:rsidRPr="004A0C12" w:rsidRDefault="00724DEB" w:rsidP="00232F09">
      <w:pPr>
        <w:pStyle w:val="ListParagraph"/>
        <w:widowControl w:val="0"/>
        <w:numPr>
          <w:ilvl w:val="0"/>
          <w:numId w:val="211"/>
        </w:numPr>
        <w:tabs>
          <w:tab w:val="left" w:pos="360"/>
        </w:tabs>
        <w:contextualSpacing/>
        <w:jc w:val="both"/>
        <w:rPr>
          <w:rFonts w:ascii="Garamond" w:hAnsi="Garamond"/>
          <w:szCs w:val="22"/>
        </w:rPr>
      </w:pPr>
      <w:r w:rsidRPr="004A0C12">
        <w:rPr>
          <w:rFonts w:ascii="Garamond" w:hAnsi="Garamond"/>
          <w:szCs w:val="22"/>
        </w:rPr>
        <w:t>Maryland Adult Learning Advisory Council;</w:t>
      </w:r>
    </w:p>
    <w:p w14:paraId="6C9E6111" w14:textId="4E9E5A63" w:rsidR="00724DEB" w:rsidRPr="004A0C12" w:rsidRDefault="00724DEB" w:rsidP="00232F09">
      <w:pPr>
        <w:pStyle w:val="ListParagraph"/>
        <w:widowControl w:val="0"/>
        <w:numPr>
          <w:ilvl w:val="0"/>
          <w:numId w:val="211"/>
        </w:numPr>
        <w:tabs>
          <w:tab w:val="left" w:pos="360"/>
        </w:tabs>
        <w:contextualSpacing/>
        <w:jc w:val="both"/>
        <w:rPr>
          <w:rFonts w:ascii="Garamond" w:hAnsi="Garamond"/>
          <w:szCs w:val="22"/>
        </w:rPr>
      </w:pPr>
      <w:r w:rsidRPr="004A0C12">
        <w:rPr>
          <w:rFonts w:ascii="Garamond" w:hAnsi="Garamond"/>
          <w:szCs w:val="22"/>
        </w:rPr>
        <w:t xml:space="preserve">All of the State’s 9 WIOA Work Groups; and, </w:t>
      </w:r>
    </w:p>
    <w:p w14:paraId="17F53F75" w14:textId="520FB435" w:rsidR="00724DEB" w:rsidRPr="004A0C12" w:rsidRDefault="00724DEB" w:rsidP="00232F09">
      <w:pPr>
        <w:pStyle w:val="ListParagraph"/>
        <w:widowControl w:val="0"/>
        <w:numPr>
          <w:ilvl w:val="0"/>
          <w:numId w:val="211"/>
        </w:numPr>
        <w:tabs>
          <w:tab w:val="left" w:pos="360"/>
        </w:tabs>
        <w:contextualSpacing/>
        <w:jc w:val="both"/>
        <w:rPr>
          <w:rFonts w:ascii="Garamond" w:hAnsi="Garamond"/>
          <w:szCs w:val="22"/>
        </w:rPr>
      </w:pPr>
      <w:r w:rsidRPr="004A0C12">
        <w:rPr>
          <w:rFonts w:ascii="Garamond" w:hAnsi="Garamond"/>
          <w:szCs w:val="22"/>
        </w:rPr>
        <w:t>The WIOA Alignment Group;</w:t>
      </w:r>
    </w:p>
    <w:p w14:paraId="0D953161" w14:textId="77777777" w:rsidR="00204FA0" w:rsidRPr="004A0C12" w:rsidRDefault="00204FA0" w:rsidP="00B20E8D">
      <w:pPr>
        <w:widowControl w:val="0"/>
        <w:tabs>
          <w:tab w:val="left" w:pos="360"/>
        </w:tabs>
        <w:spacing w:after="0" w:line="240" w:lineRule="auto"/>
        <w:contextualSpacing/>
        <w:jc w:val="both"/>
        <w:rPr>
          <w:rFonts w:ascii="Garamond" w:hAnsi="Garamond"/>
        </w:rPr>
      </w:pPr>
    </w:p>
    <w:p w14:paraId="70EEDA6D" w14:textId="005987AC" w:rsidR="007A1FDC" w:rsidRPr="004A0C12" w:rsidRDefault="00724DEB" w:rsidP="00B20E8D">
      <w:pPr>
        <w:widowControl w:val="0"/>
        <w:tabs>
          <w:tab w:val="left" w:pos="360"/>
        </w:tabs>
        <w:spacing w:after="0" w:line="240" w:lineRule="auto"/>
        <w:contextualSpacing/>
        <w:jc w:val="both"/>
        <w:rPr>
          <w:rFonts w:ascii="Garamond" w:hAnsi="Garamond"/>
        </w:rPr>
      </w:pPr>
      <w:r w:rsidRPr="004A0C12">
        <w:rPr>
          <w:rFonts w:ascii="Garamond" w:hAnsi="Garamond"/>
        </w:rPr>
        <w:t xml:space="preserve">Beyond the WIOA System, </w:t>
      </w:r>
      <w:r w:rsidR="00D556DC" w:rsidRPr="004A0C12">
        <w:rPr>
          <w:rFonts w:ascii="Garamond" w:hAnsi="Garamond"/>
        </w:rPr>
        <w:t xml:space="preserve">DORS </w:t>
      </w:r>
      <w:r w:rsidR="007A1FDC" w:rsidRPr="004A0C12">
        <w:rPr>
          <w:rFonts w:ascii="Garamond" w:hAnsi="Garamond"/>
        </w:rPr>
        <w:t>regional and field offices, the Workforce &amp; Technology Center</w:t>
      </w:r>
      <w:r w:rsidR="00D556DC" w:rsidRPr="004A0C12">
        <w:rPr>
          <w:rFonts w:ascii="Garamond" w:hAnsi="Garamond"/>
        </w:rPr>
        <w:t>,</w:t>
      </w:r>
      <w:r w:rsidR="007A1FDC" w:rsidRPr="004A0C12">
        <w:rPr>
          <w:rFonts w:ascii="Garamond" w:hAnsi="Garamond"/>
        </w:rPr>
        <w:t xml:space="preserve"> and the Office for Blindness and Vision Services also maintain active working relationships with many loc</w:t>
      </w:r>
      <w:r w:rsidR="00C128AD" w:rsidRPr="004A0C12">
        <w:rPr>
          <w:rFonts w:ascii="Garamond" w:hAnsi="Garamond"/>
        </w:rPr>
        <w:t xml:space="preserve">al committees and initiatives. </w:t>
      </w:r>
    </w:p>
    <w:p w14:paraId="163E7452" w14:textId="77777777" w:rsidR="007A1FDC" w:rsidRPr="004A0C12" w:rsidRDefault="007A1FDC" w:rsidP="00431254">
      <w:pPr>
        <w:pStyle w:val="Heading5"/>
        <w:rPr>
          <w:rFonts w:ascii="Garamond" w:hAnsi="Garamond"/>
        </w:rPr>
      </w:pPr>
      <w:r w:rsidRPr="004A0C12">
        <w:rPr>
          <w:rFonts w:ascii="Garamond" w:hAnsi="Garamond"/>
        </w:rPr>
        <w:t xml:space="preserve">Statewide:  </w:t>
      </w:r>
    </w:p>
    <w:p w14:paraId="750136D7" w14:textId="77777777" w:rsidR="0096326A"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strike/>
        </w:rPr>
      </w:pPr>
      <w:r w:rsidRPr="004A0C12">
        <w:rPr>
          <w:rFonts w:ascii="Garamond" w:hAnsi="Garamond"/>
        </w:rPr>
        <w:t xml:space="preserve">Maryland Statewide Independent Living Council </w:t>
      </w:r>
    </w:p>
    <w:p w14:paraId="4AA1DA21" w14:textId="77777777" w:rsidR="0096326A"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Maryland Developmental Disabilities Council </w:t>
      </w:r>
    </w:p>
    <w:p w14:paraId="3E39FFED" w14:textId="77777777" w:rsidR="0096326A"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Maryland Mental Health Advisory Board </w:t>
      </w:r>
    </w:p>
    <w:p w14:paraId="521BFC11" w14:textId="77777777" w:rsidR="007A1FDC"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rPr>
      </w:pPr>
      <w:r w:rsidRPr="004A0C12">
        <w:rPr>
          <w:rFonts w:ascii="Garamond" w:hAnsi="Garamond"/>
        </w:rPr>
        <w:t>Local Coordinating Councils</w:t>
      </w:r>
    </w:p>
    <w:p w14:paraId="16A1F145" w14:textId="77777777" w:rsidR="007A1FDC"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rPr>
      </w:pPr>
      <w:r w:rsidRPr="004A0C12">
        <w:rPr>
          <w:rFonts w:ascii="Garamond" w:hAnsi="Garamond"/>
        </w:rPr>
        <w:t>Department of Health and Mental Hygiene, Traumatic Brain Injury Advisory Committee</w:t>
      </w:r>
    </w:p>
    <w:p w14:paraId="5DB1966B" w14:textId="77777777" w:rsidR="007A1FDC"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rPr>
      </w:pPr>
      <w:r w:rsidRPr="004A0C12">
        <w:rPr>
          <w:rFonts w:ascii="Garamond" w:hAnsi="Garamond"/>
        </w:rPr>
        <w:t>Interagency Transition Council for Youth with Disabilities Under Executive Order 01.01.2007.13 (Interagency State Plan for Transitioning Students with Disabilities)</w:t>
      </w:r>
    </w:p>
    <w:p w14:paraId="00E4631D" w14:textId="77777777" w:rsidR="0096326A"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rPr>
      </w:pPr>
      <w:r w:rsidRPr="004A0C12">
        <w:rPr>
          <w:rFonts w:ascii="Garamond" w:hAnsi="Garamond"/>
        </w:rPr>
        <w:t>The Maryland Coordinating Committee for Human Services Transportation</w:t>
      </w:r>
    </w:p>
    <w:p w14:paraId="54BAF3A6" w14:textId="35565BF8" w:rsidR="007A1FDC"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Department of Health and Mental Hygiene/Developmental Disabilities Administration, Maryland Department of Disabilities </w:t>
      </w:r>
      <w:r w:rsidRPr="004A0C12">
        <w:rPr>
          <w:rFonts w:ascii="Garamond" w:hAnsi="Garamond"/>
          <w:i/>
        </w:rPr>
        <w:t>Employment First</w:t>
      </w:r>
    </w:p>
    <w:p w14:paraId="23221647" w14:textId="77777777" w:rsidR="007A1FDC"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rPr>
      </w:pPr>
      <w:r w:rsidRPr="004A0C12">
        <w:rPr>
          <w:rFonts w:ascii="Garamond" w:hAnsi="Garamond"/>
        </w:rPr>
        <w:t>The Maryland Library for the Blind &amp; Physically Handicapped Advisory Board</w:t>
      </w:r>
    </w:p>
    <w:p w14:paraId="4E60CBC6" w14:textId="66DACAA7" w:rsidR="007A1FDC" w:rsidRPr="004A0C12" w:rsidRDefault="007A1FDC" w:rsidP="00232F09">
      <w:pPr>
        <w:widowControl w:val="0"/>
        <w:numPr>
          <w:ilvl w:val="0"/>
          <w:numId w:val="125"/>
        </w:numPr>
        <w:tabs>
          <w:tab w:val="clear" w:pos="360"/>
          <w:tab w:val="num" w:pos="720"/>
        </w:tabs>
        <w:spacing w:after="0" w:line="240" w:lineRule="auto"/>
        <w:ind w:left="720" w:hanging="360"/>
        <w:jc w:val="both"/>
        <w:rPr>
          <w:rFonts w:ascii="Garamond" w:hAnsi="Garamond"/>
        </w:rPr>
      </w:pPr>
      <w:r w:rsidRPr="004A0C12">
        <w:rPr>
          <w:rFonts w:ascii="Garamond" w:hAnsi="Garamond"/>
        </w:rPr>
        <w:t>Maryland Special Education State Advisor</w:t>
      </w:r>
      <w:r w:rsidR="0096326A" w:rsidRPr="004A0C12">
        <w:rPr>
          <w:rFonts w:ascii="Garamond" w:hAnsi="Garamond"/>
        </w:rPr>
        <w:t>y Committee</w:t>
      </w:r>
    </w:p>
    <w:p w14:paraId="72764DFB" w14:textId="77777777" w:rsidR="007A1FDC" w:rsidRPr="004A0C12" w:rsidRDefault="007A1FDC" w:rsidP="00431254">
      <w:pPr>
        <w:pStyle w:val="Heading5"/>
        <w:rPr>
          <w:rFonts w:ascii="Garamond" w:hAnsi="Garamond"/>
        </w:rPr>
      </w:pPr>
      <w:r w:rsidRPr="004A0C12">
        <w:rPr>
          <w:rFonts w:ascii="Garamond" w:hAnsi="Garamond"/>
        </w:rPr>
        <w:t>Other Collaborative Initiatives and Projects</w:t>
      </w:r>
    </w:p>
    <w:p w14:paraId="3F9A9B55"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DORS collaborates with the Department of Disabilities, a cabinet level agency, and is represented on the following </w:t>
      </w:r>
      <w:r w:rsidRPr="004A0C12">
        <w:rPr>
          <w:rFonts w:ascii="Garamond" w:hAnsi="Garamond"/>
        </w:rPr>
        <w:lastRenderedPageBreak/>
        <w:t>committees/workgroups:</w:t>
      </w:r>
    </w:p>
    <w:p w14:paraId="2945DD2E" w14:textId="77777777" w:rsidR="007A1FDC" w:rsidRPr="004A0C12" w:rsidRDefault="007A1FDC" w:rsidP="007A1FDC">
      <w:pPr>
        <w:widowControl w:val="0"/>
        <w:spacing w:after="0" w:line="240" w:lineRule="auto"/>
        <w:jc w:val="both"/>
        <w:rPr>
          <w:rFonts w:ascii="Garamond" w:hAnsi="Garamond"/>
        </w:rPr>
      </w:pPr>
    </w:p>
    <w:p w14:paraId="7842E441" w14:textId="6C31E017" w:rsidR="007A1FDC" w:rsidRPr="004A0C12" w:rsidRDefault="007A1FDC" w:rsidP="00232F09">
      <w:pPr>
        <w:widowControl w:val="0"/>
        <w:numPr>
          <w:ilvl w:val="0"/>
          <w:numId w:val="126"/>
        </w:numPr>
        <w:tabs>
          <w:tab w:val="clear" w:pos="360"/>
          <w:tab w:val="num" w:pos="720"/>
        </w:tabs>
        <w:spacing w:after="0" w:line="240" w:lineRule="auto"/>
        <w:ind w:left="720" w:hanging="360"/>
        <w:jc w:val="both"/>
        <w:rPr>
          <w:rFonts w:ascii="Garamond" w:hAnsi="Garamond"/>
        </w:rPr>
      </w:pPr>
      <w:r w:rsidRPr="004A0C12">
        <w:rPr>
          <w:rFonts w:ascii="Garamond" w:hAnsi="Garamond"/>
        </w:rPr>
        <w:t>SUCCESS - post-secondary education for individuals</w:t>
      </w:r>
      <w:r w:rsidR="00530FA0" w:rsidRPr="004A0C12">
        <w:rPr>
          <w:rFonts w:ascii="Garamond" w:hAnsi="Garamond"/>
        </w:rPr>
        <w:t xml:space="preserve"> with intellectual disabilities</w:t>
      </w:r>
    </w:p>
    <w:p w14:paraId="393B9ACF" w14:textId="73B02CAF" w:rsidR="007A1FDC" w:rsidRPr="004A0C12" w:rsidRDefault="007A1FDC" w:rsidP="00232F09">
      <w:pPr>
        <w:widowControl w:val="0"/>
        <w:numPr>
          <w:ilvl w:val="0"/>
          <w:numId w:val="126"/>
        </w:numPr>
        <w:tabs>
          <w:tab w:val="clear" w:pos="360"/>
          <w:tab w:val="num" w:pos="720"/>
        </w:tabs>
        <w:spacing w:after="0" w:line="240" w:lineRule="auto"/>
        <w:ind w:left="720" w:hanging="360"/>
        <w:jc w:val="both"/>
        <w:rPr>
          <w:rFonts w:ascii="Garamond" w:hAnsi="Garamond"/>
        </w:rPr>
      </w:pPr>
      <w:r w:rsidRPr="004A0C12">
        <w:rPr>
          <w:rFonts w:ascii="Garamond" w:hAnsi="Garamond"/>
        </w:rPr>
        <w:t>The annual</w:t>
      </w:r>
      <w:r w:rsidR="0096326A" w:rsidRPr="004A0C12">
        <w:rPr>
          <w:rFonts w:ascii="Garamond" w:hAnsi="Garamond"/>
        </w:rPr>
        <w:t xml:space="preserve"> </w:t>
      </w:r>
      <w:r w:rsidRPr="004A0C12">
        <w:rPr>
          <w:rFonts w:ascii="Garamond" w:hAnsi="Garamond"/>
        </w:rPr>
        <w:t>Americans with Disabili</w:t>
      </w:r>
      <w:r w:rsidR="00530FA0" w:rsidRPr="004A0C12">
        <w:rPr>
          <w:rFonts w:ascii="Garamond" w:hAnsi="Garamond"/>
        </w:rPr>
        <w:t>ties Act Celebration committee</w:t>
      </w:r>
    </w:p>
    <w:p w14:paraId="3EAEC127" w14:textId="62EA8B96" w:rsidR="007A1FDC" w:rsidRPr="004A0C12" w:rsidRDefault="007A1FDC" w:rsidP="00232F09">
      <w:pPr>
        <w:widowControl w:val="0"/>
        <w:numPr>
          <w:ilvl w:val="0"/>
          <w:numId w:val="126"/>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Quarterly meetings between </w:t>
      </w:r>
      <w:r w:rsidR="00530FA0" w:rsidRPr="004A0C12">
        <w:rPr>
          <w:rFonts w:ascii="Garamond" w:hAnsi="Garamond"/>
        </w:rPr>
        <w:t xml:space="preserve">the </w:t>
      </w:r>
      <w:r w:rsidR="0096326A" w:rsidRPr="004A0C12">
        <w:rPr>
          <w:rFonts w:ascii="Garamond" w:hAnsi="Garamond"/>
        </w:rPr>
        <w:t>Ma</w:t>
      </w:r>
      <w:r w:rsidRPr="004A0C12">
        <w:rPr>
          <w:rFonts w:ascii="Garamond" w:hAnsi="Garamond"/>
        </w:rPr>
        <w:t>ryland Department of Disabilities Secretary and DORS Director to discuss state and national disability to</w:t>
      </w:r>
      <w:r w:rsidR="00530FA0" w:rsidRPr="004A0C12">
        <w:rPr>
          <w:rFonts w:ascii="Garamond" w:hAnsi="Garamond"/>
        </w:rPr>
        <w:t>pics, project updates, etc.</w:t>
      </w:r>
    </w:p>
    <w:p w14:paraId="5134D9B9" w14:textId="77777777" w:rsidR="007A1FDC" w:rsidRPr="004A0C12" w:rsidRDefault="007A1FDC" w:rsidP="00232F09">
      <w:pPr>
        <w:widowControl w:val="0"/>
        <w:numPr>
          <w:ilvl w:val="0"/>
          <w:numId w:val="126"/>
        </w:numPr>
        <w:tabs>
          <w:tab w:val="clear" w:pos="360"/>
          <w:tab w:val="num" w:pos="720"/>
        </w:tabs>
        <w:spacing w:after="0" w:line="240" w:lineRule="auto"/>
        <w:ind w:left="720" w:hanging="360"/>
        <w:jc w:val="both"/>
        <w:rPr>
          <w:rFonts w:ascii="Garamond" w:hAnsi="Garamond"/>
        </w:rPr>
      </w:pPr>
      <w:r w:rsidRPr="004A0C12">
        <w:rPr>
          <w:rFonts w:ascii="Garamond" w:hAnsi="Garamond"/>
        </w:rPr>
        <w:t>DORS supports/collaborates with</w:t>
      </w:r>
      <w:r w:rsidR="0096326A" w:rsidRPr="004A0C12">
        <w:rPr>
          <w:rFonts w:ascii="Garamond" w:hAnsi="Garamond"/>
        </w:rPr>
        <w:t xml:space="preserve"> </w:t>
      </w:r>
      <w:r w:rsidRPr="004A0C12">
        <w:rPr>
          <w:rFonts w:ascii="Garamond" w:hAnsi="Garamond"/>
        </w:rPr>
        <w:t>Maryland Department of Disabilities during legislative session on issues of importance to the disability community.</w:t>
      </w:r>
    </w:p>
    <w:p w14:paraId="73915EE7" w14:textId="77777777" w:rsidR="007A1FDC" w:rsidRPr="004A0C12" w:rsidRDefault="007A1FDC" w:rsidP="007A1FDC">
      <w:pPr>
        <w:widowControl w:val="0"/>
        <w:spacing w:after="0" w:line="240" w:lineRule="auto"/>
        <w:jc w:val="both"/>
        <w:rPr>
          <w:rFonts w:ascii="Garamond" w:hAnsi="Garamond"/>
        </w:rPr>
      </w:pPr>
    </w:p>
    <w:p w14:paraId="2AF2B5D0"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All committees bring together a variety of Maryland agencies that supply programs and services to individuals with disabilities. </w:t>
      </w:r>
    </w:p>
    <w:p w14:paraId="3C35A3A3" w14:textId="77777777" w:rsidR="007A1FDC" w:rsidRPr="004A0C12" w:rsidRDefault="007A1FDC" w:rsidP="007A1FDC">
      <w:pPr>
        <w:widowControl w:val="0"/>
        <w:spacing w:after="0" w:line="240" w:lineRule="auto"/>
        <w:ind w:left="720"/>
        <w:jc w:val="both"/>
        <w:rPr>
          <w:rFonts w:ascii="Garamond" w:hAnsi="Garamond"/>
        </w:rPr>
      </w:pPr>
    </w:p>
    <w:p w14:paraId="79C07179" w14:textId="1909E480" w:rsidR="007A1FDC" w:rsidRPr="004A0C12" w:rsidRDefault="007A1FDC" w:rsidP="007A1FDC">
      <w:pPr>
        <w:widowControl w:val="0"/>
        <w:spacing w:after="0" w:line="240" w:lineRule="auto"/>
        <w:jc w:val="both"/>
        <w:rPr>
          <w:rFonts w:ascii="Garamond" w:hAnsi="Garamond"/>
        </w:rPr>
      </w:pPr>
      <w:r w:rsidRPr="004A0C12">
        <w:rPr>
          <w:rFonts w:ascii="Garamond" w:hAnsi="Garamond"/>
        </w:rPr>
        <w:t>There are also agreements with th</w:t>
      </w:r>
      <w:r w:rsidR="0096326A" w:rsidRPr="004A0C12">
        <w:rPr>
          <w:rFonts w:ascii="Garamond" w:hAnsi="Garamond"/>
        </w:rPr>
        <w:t>e Maryland School for the Blind a</w:t>
      </w:r>
      <w:r w:rsidRPr="004A0C12">
        <w:rPr>
          <w:rFonts w:ascii="Garamond" w:hAnsi="Garamond"/>
        </w:rPr>
        <w:t>nd the Maryland School for the Deaf covering referral procedures, evaluation, individualized planning and follow-up.  The Office for Blindness &amp; Vision Services (OBVS</w:t>
      </w:r>
      <w:r w:rsidR="0096326A" w:rsidRPr="004A0C12">
        <w:rPr>
          <w:rFonts w:ascii="Garamond" w:hAnsi="Garamond"/>
        </w:rPr>
        <w:t>) sponsors summer programs with</w:t>
      </w:r>
      <w:r w:rsidRPr="004A0C12">
        <w:rPr>
          <w:rFonts w:ascii="Garamond" w:hAnsi="Garamond"/>
        </w:rPr>
        <w:t xml:space="preserve"> the Maryland School for the Blind at the </w:t>
      </w:r>
      <w:r w:rsidR="00C128AD" w:rsidRPr="004A0C12">
        <w:rPr>
          <w:rFonts w:ascii="Garamond" w:hAnsi="Garamond"/>
        </w:rPr>
        <w:t xml:space="preserve">Workforce &amp; Technology Center. </w:t>
      </w:r>
    </w:p>
    <w:p w14:paraId="66CE359A" w14:textId="77777777" w:rsidR="007A1FDC" w:rsidRPr="004A0C12" w:rsidRDefault="007A1FDC" w:rsidP="00431254">
      <w:pPr>
        <w:pStyle w:val="Heading5"/>
        <w:rPr>
          <w:rFonts w:ascii="Garamond" w:hAnsi="Garamond"/>
        </w:rPr>
      </w:pPr>
      <w:r w:rsidRPr="004A0C12">
        <w:rPr>
          <w:rFonts w:ascii="Garamond" w:hAnsi="Garamond"/>
        </w:rPr>
        <w:t xml:space="preserve">Other collaborations: </w:t>
      </w:r>
    </w:p>
    <w:p w14:paraId="0FEB3E86" w14:textId="77777777" w:rsidR="007A1FDC" w:rsidRPr="004A0C12" w:rsidRDefault="007A1FDC" w:rsidP="00232F09">
      <w:pPr>
        <w:widowControl w:val="0"/>
        <w:numPr>
          <w:ilvl w:val="0"/>
          <w:numId w:val="127"/>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Supported Business Enterprise-- DORS works with the Developmental Disabilities Administration and the Behavioral Health Administration </w:t>
      </w:r>
      <w:r w:rsidR="0096326A" w:rsidRPr="004A0C12">
        <w:rPr>
          <w:rFonts w:ascii="Garamond" w:hAnsi="Garamond"/>
        </w:rPr>
        <w:t>t</w:t>
      </w:r>
      <w:r w:rsidRPr="004A0C12">
        <w:rPr>
          <w:rFonts w:ascii="Garamond" w:hAnsi="Garamond"/>
        </w:rPr>
        <w:t xml:space="preserve">o assure that self-employment is a viable career option for individuals with cognitive and psychiatric disabilities. Supported Business Enterprise is a form of self-employment for individuals who, because of their disability, require supports to operate their business. While the consumer must perform a core function of the business, extended service providers support certain activities and related functions to assure successful operation. All businesses operate within an integrated employment setting. </w:t>
      </w:r>
    </w:p>
    <w:p w14:paraId="4ECA4B88" w14:textId="77777777" w:rsidR="007A1FDC" w:rsidRPr="004A0C12" w:rsidRDefault="007A1FDC" w:rsidP="00232F09">
      <w:pPr>
        <w:widowControl w:val="0"/>
        <w:numPr>
          <w:ilvl w:val="0"/>
          <w:numId w:val="127"/>
        </w:numPr>
        <w:tabs>
          <w:tab w:val="clear" w:pos="360"/>
          <w:tab w:val="num" w:pos="720"/>
        </w:tabs>
        <w:spacing w:after="0" w:line="240" w:lineRule="auto"/>
        <w:ind w:left="720" w:hanging="360"/>
        <w:jc w:val="both"/>
        <w:rPr>
          <w:rFonts w:ascii="Garamond" w:hAnsi="Garamond"/>
        </w:rPr>
      </w:pPr>
      <w:r w:rsidRPr="004A0C12">
        <w:rPr>
          <w:rFonts w:ascii="Garamond" w:hAnsi="Garamond"/>
        </w:rPr>
        <w:t>Blind I</w:t>
      </w:r>
      <w:r w:rsidR="0096326A" w:rsidRPr="004A0C12">
        <w:rPr>
          <w:rFonts w:ascii="Garamond" w:hAnsi="Garamond"/>
        </w:rPr>
        <w:t>ndustries &amp; Services of Maryland --D</w:t>
      </w:r>
      <w:r w:rsidRPr="004A0C12">
        <w:rPr>
          <w:rFonts w:ascii="Garamond" w:hAnsi="Garamond"/>
        </w:rPr>
        <w:t xml:space="preserve">ORS provides state-aided grants support services to individuals with vision loss, including rehabilitation teachers, aids and devices, and Braille production.  </w:t>
      </w:r>
    </w:p>
    <w:p w14:paraId="41C08ABB" w14:textId="77777777" w:rsidR="007A1FDC" w:rsidRPr="004A0C12" w:rsidRDefault="007A1FDC" w:rsidP="00232F09">
      <w:pPr>
        <w:widowControl w:val="0"/>
        <w:numPr>
          <w:ilvl w:val="0"/>
          <w:numId w:val="127"/>
        </w:numPr>
        <w:tabs>
          <w:tab w:val="clear" w:pos="360"/>
          <w:tab w:val="num" w:pos="720"/>
        </w:tabs>
        <w:spacing w:after="0" w:line="240" w:lineRule="auto"/>
        <w:ind w:left="720" w:hanging="360"/>
        <w:jc w:val="both"/>
        <w:rPr>
          <w:rFonts w:ascii="Garamond" w:hAnsi="Garamond"/>
        </w:rPr>
      </w:pPr>
      <w:r w:rsidRPr="004A0C12">
        <w:rPr>
          <w:rFonts w:ascii="Garamond" w:hAnsi="Garamond"/>
        </w:rPr>
        <w:t>Community Colleges—Autism Supports - DORS has agreements with certain Maryland Community Colleges for designated Workforce &amp; Technology Center staff to work collaboratively on their campuses with the college Disability Support Services staff to provide supports required by students with Autism spectrum disabilities. DORS has expanded the Pathways program to include Montgomery College, Howard Community Colle, and the three campus sites of Community College of Baltimore County. With the expansion of this program, a new position will be added to the staff at WTC, which will offer the opportunity for expansion to other Maryland colleges.</w:t>
      </w:r>
    </w:p>
    <w:p w14:paraId="02A13C87" w14:textId="77777777" w:rsidR="00EC6933" w:rsidRPr="004A0C12" w:rsidRDefault="007A1FDC" w:rsidP="00232F09">
      <w:pPr>
        <w:widowControl w:val="0"/>
        <w:numPr>
          <w:ilvl w:val="0"/>
          <w:numId w:val="127"/>
        </w:numPr>
        <w:tabs>
          <w:tab w:val="clear" w:pos="360"/>
          <w:tab w:val="num" w:pos="720"/>
        </w:tabs>
        <w:spacing w:after="0" w:line="240" w:lineRule="auto"/>
        <w:ind w:left="720" w:hanging="360"/>
        <w:jc w:val="both"/>
        <w:rPr>
          <w:rFonts w:ascii="Garamond" w:hAnsi="Garamond"/>
        </w:rPr>
      </w:pPr>
      <w:r w:rsidRPr="004A0C12">
        <w:rPr>
          <w:rFonts w:ascii="Garamond" w:hAnsi="Garamond"/>
        </w:rPr>
        <w:t>PROMISE Initiative – Maryland was one of six sites selected in September 2013 to participate in the U.S. Department of Education’s PROMISE initiative. The goal of the initiative is to improve education and career opportunities for young people receiving Supplemental Security Income through the Social Security administration. It is a partnership of State agencies, including DORS, and private sector disability organizations. Led by the Maryland Department of Disabilities, the initiative involves research to determine the most effective methods to assist young people and their families to become more self-sufficient.</w:t>
      </w:r>
      <w:r w:rsidRPr="004A0C12">
        <w:rPr>
          <w:rFonts w:ascii="Garamond" w:hAnsi="Garamond"/>
          <w:color w:val="680000"/>
        </w:rPr>
        <w:t> </w:t>
      </w:r>
    </w:p>
    <w:p w14:paraId="5349C26E" w14:textId="35574CA5" w:rsidR="00EC6933" w:rsidRPr="004A0C12" w:rsidRDefault="00EC6933" w:rsidP="00232F09">
      <w:pPr>
        <w:widowControl w:val="0"/>
        <w:numPr>
          <w:ilvl w:val="0"/>
          <w:numId w:val="127"/>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Reaching Independence through Self-Employment (RISE) Program – the RISE Program has been a program of DORS since 1997; with program training, guidance, and support services provided by a Community Rehabilitation Program. Its mission is to present self-employment as a realistic and viable vocational option to individuals with significant disabilities who are eligible for DORS services. </w:t>
      </w:r>
      <w:proofErr w:type="gramStart"/>
      <w:r w:rsidRPr="004A0C12">
        <w:rPr>
          <w:rFonts w:ascii="Garamond" w:hAnsi="Garamond"/>
        </w:rPr>
        <w:t>RISE</w:t>
      </w:r>
      <w:proofErr w:type="gramEnd"/>
      <w:r w:rsidRPr="004A0C12">
        <w:rPr>
          <w:rFonts w:ascii="Garamond" w:hAnsi="Garamond"/>
        </w:rPr>
        <w:t xml:space="preserve"> Program staff work with individuals and their families, rehabilitation professionals, and the business community to facilitate and encourage the successful launch and operation of consumer-owned businesses.</w:t>
      </w:r>
    </w:p>
    <w:p w14:paraId="6F0F0D63" w14:textId="5F2E9028" w:rsidR="00EC6933" w:rsidRPr="00C0180F" w:rsidRDefault="007A1FDC" w:rsidP="00FF44FF">
      <w:pPr>
        <w:pStyle w:val="Heading4"/>
        <w:rPr>
          <w:rFonts w:ascii="Garamond" w:hAnsi="Garamond"/>
          <w:sz w:val="24"/>
          <w:szCs w:val="24"/>
        </w:rPr>
      </w:pPr>
      <w:r w:rsidRPr="004A0C12">
        <w:rPr>
          <w:rFonts w:ascii="Garamond" w:hAnsi="Garamond"/>
        </w:rPr>
        <w:t xml:space="preserve"> </w:t>
      </w:r>
      <w:r w:rsidRPr="00C0180F">
        <w:rPr>
          <w:rFonts w:ascii="Garamond" w:hAnsi="Garamond"/>
          <w:sz w:val="24"/>
          <w:szCs w:val="24"/>
        </w:rPr>
        <w:t>(2) State programs carried out under the Assistive Technology Act of 1998</w:t>
      </w:r>
    </w:p>
    <w:p w14:paraId="578396E9" w14:textId="7ED84D27" w:rsidR="00EC6933" w:rsidRPr="004A0C12" w:rsidRDefault="00EC6933" w:rsidP="00232F09">
      <w:pPr>
        <w:pStyle w:val="ListParagraph"/>
        <w:numPr>
          <w:ilvl w:val="0"/>
          <w:numId w:val="210"/>
        </w:numPr>
        <w:jc w:val="both"/>
        <w:rPr>
          <w:rFonts w:ascii="Garamond" w:hAnsi="Garamond"/>
          <w:szCs w:val="22"/>
        </w:rPr>
      </w:pPr>
      <w:r w:rsidRPr="004A0C12">
        <w:rPr>
          <w:rFonts w:ascii="Garamond" w:hAnsi="Garamond"/>
          <w:szCs w:val="22"/>
        </w:rPr>
        <w:t xml:space="preserve">The Maryland Technology Assistance Program (TAP) is a program of the Maryland Department of Disabilities. The mission of the program is to enhance the lives of Marylanders with disabilities and their families by </w:t>
      </w:r>
      <w:r w:rsidR="00D556DC" w:rsidRPr="004A0C12">
        <w:rPr>
          <w:rFonts w:ascii="Garamond" w:hAnsi="Garamond"/>
          <w:szCs w:val="22"/>
        </w:rPr>
        <w:t>helping</w:t>
      </w:r>
      <w:r w:rsidRPr="004A0C12">
        <w:rPr>
          <w:rFonts w:ascii="Garamond" w:hAnsi="Garamond"/>
          <w:szCs w:val="22"/>
        </w:rPr>
        <w:t xml:space="preserve"> support access to assistive technology (AT) devices and services. The program assists people with disabilities </w:t>
      </w:r>
      <w:r w:rsidR="00D556DC" w:rsidRPr="004A0C12">
        <w:rPr>
          <w:rFonts w:ascii="Garamond" w:hAnsi="Garamond"/>
          <w:szCs w:val="22"/>
        </w:rPr>
        <w:t xml:space="preserve">in </w:t>
      </w:r>
      <w:r w:rsidRPr="004A0C12">
        <w:rPr>
          <w:rFonts w:ascii="Garamond" w:hAnsi="Garamond"/>
          <w:szCs w:val="22"/>
        </w:rPr>
        <w:t>obtain</w:t>
      </w:r>
      <w:r w:rsidR="00D556DC" w:rsidRPr="004A0C12">
        <w:rPr>
          <w:rFonts w:ascii="Garamond" w:hAnsi="Garamond"/>
          <w:szCs w:val="22"/>
        </w:rPr>
        <w:t>ing</w:t>
      </w:r>
      <w:r w:rsidRPr="004A0C12">
        <w:rPr>
          <w:rFonts w:ascii="Garamond" w:hAnsi="Garamond"/>
          <w:szCs w:val="22"/>
        </w:rPr>
        <w:t xml:space="preserve"> assistive devices and remain</w:t>
      </w:r>
      <w:r w:rsidR="00D556DC" w:rsidRPr="004A0C12">
        <w:rPr>
          <w:rFonts w:ascii="Garamond" w:hAnsi="Garamond"/>
          <w:szCs w:val="22"/>
        </w:rPr>
        <w:t>ing</w:t>
      </w:r>
      <w:r w:rsidRPr="004A0C12">
        <w:rPr>
          <w:rFonts w:ascii="Garamond" w:hAnsi="Garamond"/>
          <w:szCs w:val="22"/>
        </w:rPr>
        <w:t xml:space="preserve"> independent in their communities by providing services</w:t>
      </w:r>
      <w:r w:rsidR="00D556DC" w:rsidRPr="004A0C12">
        <w:rPr>
          <w:rFonts w:ascii="Garamond" w:hAnsi="Garamond"/>
          <w:szCs w:val="22"/>
        </w:rPr>
        <w:t>,</w:t>
      </w:r>
      <w:r w:rsidRPr="004A0C12">
        <w:rPr>
          <w:rFonts w:ascii="Garamond" w:hAnsi="Garamond"/>
          <w:szCs w:val="22"/>
        </w:rPr>
        <w:t xml:space="preserve"> such as information and referral, assistive technology demonstrations, option to borrow assistive technologies for a limited time, assistive technology re-use program, and low interest rate loans for purchase of assistive technology devices. </w:t>
      </w:r>
    </w:p>
    <w:p w14:paraId="41408A50" w14:textId="6BCEA549" w:rsidR="007A1FDC" w:rsidRPr="004A0C12" w:rsidRDefault="007A1FDC" w:rsidP="00232F09">
      <w:pPr>
        <w:widowControl w:val="0"/>
        <w:numPr>
          <w:ilvl w:val="0"/>
          <w:numId w:val="128"/>
        </w:numPr>
        <w:tabs>
          <w:tab w:val="clear" w:pos="360"/>
          <w:tab w:val="num" w:pos="720"/>
        </w:tabs>
        <w:spacing w:after="0" w:line="240" w:lineRule="auto"/>
        <w:ind w:left="720" w:hanging="360"/>
        <w:jc w:val="both"/>
        <w:rPr>
          <w:rFonts w:ascii="Garamond" w:hAnsi="Garamond"/>
        </w:rPr>
      </w:pPr>
      <w:r w:rsidRPr="004A0C12">
        <w:rPr>
          <w:rFonts w:ascii="Garamond" w:hAnsi="Garamond"/>
        </w:rPr>
        <w:lastRenderedPageBreak/>
        <w:t xml:space="preserve">The Maryland </w:t>
      </w:r>
      <w:r w:rsidR="00EC6933" w:rsidRPr="004A0C12">
        <w:rPr>
          <w:rFonts w:ascii="Garamond" w:hAnsi="Garamond"/>
        </w:rPr>
        <w:t>Technology Assistance Program</w:t>
      </w:r>
      <w:r w:rsidRPr="004A0C12">
        <w:rPr>
          <w:rFonts w:ascii="Garamond" w:hAnsi="Garamond"/>
        </w:rPr>
        <w:t xml:space="preserve"> and DORS partner in demonstrating assistive technology devices.</w:t>
      </w:r>
    </w:p>
    <w:p w14:paraId="77FFE863" w14:textId="07FF1024" w:rsidR="00EC6933" w:rsidRPr="004A0C12" w:rsidRDefault="007A1FDC" w:rsidP="00232F09">
      <w:pPr>
        <w:widowControl w:val="0"/>
        <w:numPr>
          <w:ilvl w:val="0"/>
          <w:numId w:val="128"/>
        </w:numPr>
        <w:tabs>
          <w:tab w:val="clear" w:pos="360"/>
          <w:tab w:val="num" w:pos="720"/>
        </w:tabs>
        <w:spacing w:after="0" w:line="240" w:lineRule="auto"/>
        <w:ind w:left="720" w:hanging="360"/>
        <w:jc w:val="both"/>
        <w:rPr>
          <w:rFonts w:ascii="Garamond" w:hAnsi="Garamond"/>
        </w:rPr>
      </w:pPr>
      <w:r w:rsidRPr="004A0C12">
        <w:rPr>
          <w:rFonts w:ascii="Garamond" w:hAnsi="Garamond"/>
        </w:rPr>
        <w:t>DORS serves as a member of the Maryland TAP Advisory Committee.</w:t>
      </w:r>
    </w:p>
    <w:p w14:paraId="77824A60" w14:textId="77777777" w:rsidR="007A1FDC" w:rsidRPr="004A0C12" w:rsidRDefault="007A1FDC" w:rsidP="00232F09">
      <w:pPr>
        <w:widowControl w:val="0"/>
        <w:numPr>
          <w:ilvl w:val="0"/>
          <w:numId w:val="128"/>
        </w:numPr>
        <w:tabs>
          <w:tab w:val="clear" w:pos="360"/>
          <w:tab w:val="num" w:pos="720"/>
        </w:tabs>
        <w:spacing w:after="0" w:line="240" w:lineRule="auto"/>
        <w:ind w:left="720" w:hanging="360"/>
        <w:jc w:val="both"/>
        <w:rPr>
          <w:rFonts w:ascii="Garamond" w:hAnsi="Garamond"/>
        </w:rPr>
      </w:pPr>
      <w:r w:rsidRPr="004A0C12">
        <w:rPr>
          <w:rFonts w:ascii="Garamond" w:hAnsi="Garamond"/>
        </w:rPr>
        <w:t>Maryland TAP and DORS are members of the Governor’s Interagency Transition Council for Youth with Disabilities.</w:t>
      </w:r>
    </w:p>
    <w:p w14:paraId="3FF94991" w14:textId="73F8CFA2" w:rsidR="007A1FDC" w:rsidRPr="004A0C12" w:rsidRDefault="007A1FDC" w:rsidP="00232F09">
      <w:pPr>
        <w:widowControl w:val="0"/>
        <w:numPr>
          <w:ilvl w:val="0"/>
          <w:numId w:val="128"/>
        </w:numPr>
        <w:tabs>
          <w:tab w:val="clear" w:pos="360"/>
          <w:tab w:val="num" w:pos="720"/>
        </w:tabs>
        <w:spacing w:after="0" w:line="240" w:lineRule="auto"/>
        <w:ind w:left="720" w:hanging="360"/>
        <w:jc w:val="both"/>
        <w:rPr>
          <w:rFonts w:ascii="Garamond" w:hAnsi="Garamond"/>
        </w:rPr>
      </w:pPr>
      <w:r w:rsidRPr="004A0C12">
        <w:rPr>
          <w:rFonts w:ascii="Garamond" w:hAnsi="Garamond"/>
        </w:rPr>
        <w:t>DORS partners with Maryland TAP to coordinate and provide Assistive Technology training to DORS staff.</w:t>
      </w:r>
    </w:p>
    <w:p w14:paraId="59882607" w14:textId="77777777" w:rsidR="007A1FDC" w:rsidRPr="00C0180F" w:rsidRDefault="007A1FDC" w:rsidP="00431254">
      <w:pPr>
        <w:pStyle w:val="Heading4"/>
        <w:rPr>
          <w:rFonts w:ascii="Garamond" w:hAnsi="Garamond"/>
          <w:sz w:val="24"/>
          <w:szCs w:val="24"/>
        </w:rPr>
      </w:pPr>
      <w:r w:rsidRPr="00C0180F">
        <w:rPr>
          <w:rFonts w:ascii="Garamond" w:hAnsi="Garamond"/>
          <w:sz w:val="24"/>
          <w:szCs w:val="24"/>
        </w:rPr>
        <w:t>(3) Programs carried out for Rural Development of the Department of Agriculture</w:t>
      </w:r>
    </w:p>
    <w:p w14:paraId="29F21D42" w14:textId="2DDBB915" w:rsidR="007A1FDC" w:rsidRPr="004A0C12" w:rsidRDefault="007A1FDC" w:rsidP="007A1FDC">
      <w:pPr>
        <w:widowControl w:val="0"/>
        <w:spacing w:after="0" w:line="240" w:lineRule="auto"/>
        <w:jc w:val="both"/>
        <w:rPr>
          <w:rFonts w:ascii="Garamond" w:hAnsi="Garamond"/>
        </w:rPr>
      </w:pPr>
      <w:r w:rsidRPr="004A0C12">
        <w:rPr>
          <w:rFonts w:ascii="Garamond" w:hAnsi="Garamond"/>
        </w:rPr>
        <w:t>The Maryland Division of Rehabilitation Services does not carry out any programs for Rural Development of</w:t>
      </w:r>
      <w:r w:rsidR="00C128AD" w:rsidRPr="004A0C12">
        <w:rPr>
          <w:rFonts w:ascii="Garamond" w:hAnsi="Garamond"/>
        </w:rPr>
        <w:t xml:space="preserve"> the Department of Agriculture.</w:t>
      </w:r>
    </w:p>
    <w:p w14:paraId="48592D0A" w14:textId="77777777" w:rsidR="007A1FDC" w:rsidRPr="00C0180F" w:rsidRDefault="007A1FDC" w:rsidP="00431254">
      <w:pPr>
        <w:pStyle w:val="Heading4"/>
        <w:rPr>
          <w:rFonts w:ascii="Garamond" w:hAnsi="Garamond"/>
          <w:sz w:val="24"/>
          <w:szCs w:val="24"/>
        </w:rPr>
      </w:pPr>
      <w:r w:rsidRPr="00C0180F">
        <w:rPr>
          <w:rFonts w:ascii="Garamond" w:hAnsi="Garamond"/>
          <w:sz w:val="24"/>
          <w:szCs w:val="24"/>
        </w:rPr>
        <w:t>(4) Non-educational agencies serving out-of-school youth</w:t>
      </w:r>
    </w:p>
    <w:p w14:paraId="49862995" w14:textId="25A6DB71"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DORS provides vocational services to out-of-school youth in collaboration with Community Rehabilitation Programs licensed through the Maryland Department of Health and Mental Hygiene for either Developmental Disabilities Administration and/or the Behavioral Health Administration </w:t>
      </w:r>
      <w:r w:rsidR="00D556DC" w:rsidRPr="004A0C12">
        <w:rPr>
          <w:rFonts w:ascii="Garamond" w:hAnsi="Garamond"/>
        </w:rPr>
        <w:t>employment services, as well as</w:t>
      </w:r>
      <w:r w:rsidRPr="004A0C12">
        <w:rPr>
          <w:rFonts w:ascii="Garamond" w:hAnsi="Garamond"/>
        </w:rPr>
        <w:t xml:space="preserve"> Community Rehabilitation Pro</w:t>
      </w:r>
      <w:r w:rsidR="00C128AD" w:rsidRPr="004A0C12">
        <w:rPr>
          <w:rFonts w:ascii="Garamond" w:hAnsi="Garamond"/>
        </w:rPr>
        <w:t>grams that are DORS accredited.</w:t>
      </w:r>
      <w:r w:rsidRPr="004A0C12">
        <w:rPr>
          <w:rFonts w:ascii="Garamond" w:hAnsi="Garamond"/>
        </w:rPr>
        <w:tab/>
      </w:r>
    </w:p>
    <w:p w14:paraId="3AF61FEE" w14:textId="77777777" w:rsidR="007A1FDC" w:rsidRPr="00C0180F" w:rsidRDefault="007A1FDC" w:rsidP="00431254">
      <w:pPr>
        <w:pStyle w:val="Heading4"/>
        <w:rPr>
          <w:rFonts w:ascii="Garamond" w:hAnsi="Garamond"/>
          <w:sz w:val="24"/>
          <w:szCs w:val="24"/>
        </w:rPr>
      </w:pPr>
      <w:r w:rsidRPr="004A0C12">
        <w:rPr>
          <w:rFonts w:ascii="Garamond" w:hAnsi="Garamond"/>
        </w:rPr>
        <w:t>(</w:t>
      </w:r>
      <w:r w:rsidRPr="00C0180F">
        <w:rPr>
          <w:rFonts w:ascii="Garamond" w:hAnsi="Garamond"/>
          <w:sz w:val="24"/>
          <w:szCs w:val="24"/>
        </w:rPr>
        <w:t>5) State use contracting program</w:t>
      </w:r>
      <w:r w:rsidR="00431254" w:rsidRPr="00C0180F">
        <w:rPr>
          <w:rFonts w:ascii="Garamond" w:hAnsi="Garamond"/>
          <w:sz w:val="24"/>
          <w:szCs w:val="24"/>
        </w:rPr>
        <w:t>s</w:t>
      </w:r>
    </w:p>
    <w:p w14:paraId="51A818AD" w14:textId="4F91FF74" w:rsidR="007A1FDC" w:rsidRPr="004A0C12" w:rsidRDefault="007A1FDC" w:rsidP="007A1FDC">
      <w:pPr>
        <w:widowControl w:val="0"/>
        <w:spacing w:after="0" w:line="240" w:lineRule="auto"/>
        <w:jc w:val="both"/>
        <w:rPr>
          <w:rFonts w:ascii="Garamond" w:hAnsi="Garamond"/>
        </w:rPr>
      </w:pPr>
      <w:r w:rsidRPr="004A0C12">
        <w:rPr>
          <w:rFonts w:ascii="Garamond" w:hAnsi="Garamond"/>
        </w:rPr>
        <w:t>DORS does not carry out any programs for State use contracting programs.</w:t>
      </w:r>
      <w:r w:rsidRPr="004A0C12">
        <w:rPr>
          <w:rFonts w:ascii="Garamond" w:hAnsi="Garamond"/>
        </w:rPr>
        <w:tab/>
      </w:r>
    </w:p>
    <w:p w14:paraId="38C78D86" w14:textId="77777777" w:rsidR="007A1FDC" w:rsidRPr="00C0180F" w:rsidRDefault="007A1FDC" w:rsidP="00431254">
      <w:pPr>
        <w:pStyle w:val="Heading2"/>
        <w:rPr>
          <w:rFonts w:ascii="Garamond" w:hAnsi="Garamond"/>
          <w:sz w:val="24"/>
          <w:szCs w:val="24"/>
        </w:rPr>
      </w:pPr>
      <w:bookmarkStart w:id="183" w:name="_Toc447276211"/>
      <w:r w:rsidRPr="00C0180F">
        <w:rPr>
          <w:rFonts w:ascii="Garamond" w:hAnsi="Garamond"/>
          <w:sz w:val="24"/>
          <w:szCs w:val="24"/>
        </w:rPr>
        <w:t>COORDINATION WITH EDUCATION OFFICIALS</w:t>
      </w:r>
      <w:bookmarkEnd w:id="183"/>
    </w:p>
    <w:p w14:paraId="5A8D1E00" w14:textId="77777777" w:rsidR="007A1FDC" w:rsidRPr="00C0180F" w:rsidRDefault="007A1FDC" w:rsidP="0096326A">
      <w:pPr>
        <w:pStyle w:val="Heading3"/>
        <w:rPr>
          <w:rFonts w:ascii="Garamond" w:hAnsi="Garamond"/>
          <w:sz w:val="24"/>
          <w:szCs w:val="24"/>
        </w:rPr>
      </w:pPr>
      <w:bookmarkStart w:id="184" w:name="_Toc447276212"/>
      <w:r w:rsidRPr="00C0180F">
        <w:rPr>
          <w:rFonts w:ascii="Garamond" w:hAnsi="Garamond"/>
          <w:sz w:val="24"/>
          <w:szCs w:val="24"/>
        </w:rPr>
        <w:t>(1) Plans, Policies and Coordination with Educational Officials</w:t>
      </w:r>
      <w:bookmarkEnd w:id="184"/>
      <w:r w:rsidRPr="00C0180F">
        <w:rPr>
          <w:rFonts w:ascii="Garamond" w:hAnsi="Garamond"/>
          <w:sz w:val="24"/>
          <w:szCs w:val="24"/>
        </w:rPr>
        <w:t> </w:t>
      </w:r>
    </w:p>
    <w:p w14:paraId="72C4DB69" w14:textId="29ACB00D" w:rsidR="007A1FDC" w:rsidRPr="004A0C12" w:rsidRDefault="007A1FDC" w:rsidP="007A1FDC">
      <w:pPr>
        <w:spacing w:after="0" w:line="240" w:lineRule="auto"/>
        <w:jc w:val="both"/>
        <w:rPr>
          <w:rFonts w:ascii="Garamond" w:hAnsi="Garamond"/>
        </w:rPr>
      </w:pPr>
      <w:r w:rsidRPr="004A0C12">
        <w:rPr>
          <w:rFonts w:ascii="Garamond" w:hAnsi="Garamond"/>
        </w:rPr>
        <w:t xml:space="preserve">The Division of Rehabilitation Services (DORS) considers service provision to high school students with disabilities and their families a high priority. The agency coordinates services with local educational agencies in order to identify diploma and certificate students with disabilities and </w:t>
      </w:r>
      <w:r w:rsidR="00730B6F" w:rsidRPr="004A0C12">
        <w:rPr>
          <w:rFonts w:ascii="Garamond" w:hAnsi="Garamond"/>
        </w:rPr>
        <w:t xml:space="preserve">to </w:t>
      </w:r>
      <w:r w:rsidRPr="004A0C12">
        <w:rPr>
          <w:rFonts w:ascii="Garamond" w:hAnsi="Garamond"/>
        </w:rPr>
        <w:t>provide services designed to help them prepare for and achieve employment and self-sufficiency. Vocational Rehabilitation services and Pre-Employment Transition services are coordinated both at the statewide level</w:t>
      </w:r>
      <w:r w:rsidR="00730B6F" w:rsidRPr="004A0C12">
        <w:rPr>
          <w:rFonts w:ascii="Garamond" w:hAnsi="Garamond"/>
        </w:rPr>
        <w:t>,</w:t>
      </w:r>
      <w:r w:rsidRPr="004A0C12">
        <w:rPr>
          <w:rFonts w:ascii="Garamond" w:hAnsi="Garamond"/>
        </w:rPr>
        <w:t xml:space="preserve"> as well by regional directors an</w:t>
      </w:r>
      <w:r w:rsidR="00431254" w:rsidRPr="004A0C12">
        <w:rPr>
          <w:rFonts w:ascii="Garamond" w:hAnsi="Garamond"/>
        </w:rPr>
        <w:t>d supervisors on a local level.</w:t>
      </w:r>
    </w:p>
    <w:p w14:paraId="05223D30" w14:textId="77777777" w:rsidR="007A1FDC" w:rsidRPr="00C0180F" w:rsidRDefault="007A1FDC" w:rsidP="0096326A">
      <w:pPr>
        <w:pStyle w:val="Heading3"/>
        <w:rPr>
          <w:rFonts w:ascii="Garamond" w:hAnsi="Garamond"/>
          <w:sz w:val="24"/>
          <w:szCs w:val="24"/>
        </w:rPr>
      </w:pPr>
      <w:bookmarkStart w:id="185" w:name="_Toc447276213"/>
      <w:r w:rsidRPr="00C0180F">
        <w:rPr>
          <w:rFonts w:ascii="Garamond" w:hAnsi="Garamond"/>
          <w:sz w:val="24"/>
          <w:szCs w:val="24"/>
        </w:rPr>
        <w:t>(2) Information on the formal interagency agreement with the State educational agency</w:t>
      </w:r>
      <w:bookmarkEnd w:id="185"/>
    </w:p>
    <w:p w14:paraId="0D921F9A" w14:textId="73F8D9AF" w:rsidR="007A1FDC" w:rsidRPr="004A0C12" w:rsidRDefault="007A1FDC" w:rsidP="00730B6F">
      <w:pPr>
        <w:spacing w:after="0" w:line="240" w:lineRule="auto"/>
        <w:contextualSpacing/>
        <w:jc w:val="both"/>
        <w:rPr>
          <w:rFonts w:ascii="Garamond" w:hAnsi="Garamond"/>
          <w:i/>
        </w:rPr>
      </w:pPr>
      <w:r w:rsidRPr="004A0C12">
        <w:rPr>
          <w:rFonts w:ascii="Garamond" w:hAnsi="Garamond"/>
        </w:rPr>
        <w:t>DORS is an organizational unit of the Maryland State Department of Education (MSDE). DORS, therefore, is a signatory and partner in implementation of the Maryland Intra-agency Cooperative Planning Agreement for Secondary Students with Disabilities. This is an agreement with three other cooperating Divisions within MSDE: the Division of Special Education/Early Intervention Services; the Division of Career Technology; and the Division of Student, Family, and School Services. The agreement identifies the roles and responsibilities of the cooperating Divisions at the state and local level, including the process for technical assistance and training to schools; assurances for the development and completion of the Individualized Education Program that is coordinated with the development of the Individualized Plan for Employment within 90 days of an Eligibility determination or off-delayed date; financial responsibilities and methods to resolve disputes; and referrals, including those students with disabilities at risk of dropping out, having been suspended</w:t>
      </w:r>
      <w:r w:rsidR="00730B6F" w:rsidRPr="004A0C12">
        <w:rPr>
          <w:rFonts w:ascii="Garamond" w:hAnsi="Garamond"/>
        </w:rPr>
        <w:t xml:space="preserve"> or expelled.</w:t>
      </w:r>
      <w:r w:rsidRPr="004A0C12">
        <w:rPr>
          <w:rFonts w:ascii="Garamond" w:hAnsi="Garamond"/>
        </w:rPr>
        <w:t xml:space="preserve"> High School students with disabilities are referred for Vocational Rehabilitation Services during the fall of their next to last year in secondary school. Schools also provide information to families and high school students who are at least 14 years old but less than 22 regarding Pre-Employment Transition Services available through DORS. The Intra-agency Cooperative Planning Agreement for Secondary Students with Disabilities is in the process of being updated to incorporate changes as a result of the Workforce Innovation and Opportunity Act of 2014.</w:t>
      </w:r>
    </w:p>
    <w:p w14:paraId="39D2FD29" w14:textId="77777777" w:rsidR="007A1FDC" w:rsidRPr="00C0180F" w:rsidRDefault="007A1FDC" w:rsidP="0096326A">
      <w:pPr>
        <w:pStyle w:val="Heading4"/>
        <w:rPr>
          <w:rFonts w:ascii="Garamond" w:hAnsi="Garamond"/>
          <w:sz w:val="24"/>
          <w:szCs w:val="24"/>
        </w:rPr>
      </w:pPr>
      <w:r w:rsidRPr="00C0180F">
        <w:rPr>
          <w:rFonts w:ascii="Garamond" w:hAnsi="Garamond"/>
          <w:sz w:val="24"/>
          <w:szCs w:val="24"/>
        </w:rPr>
        <w:t>Local Agreements</w:t>
      </w:r>
    </w:p>
    <w:p w14:paraId="6E46D9CB" w14:textId="761EF4FE" w:rsidR="007A1FDC" w:rsidRPr="004A0C12" w:rsidRDefault="007A1FDC" w:rsidP="007A1FDC">
      <w:pPr>
        <w:spacing w:after="0" w:line="240" w:lineRule="auto"/>
        <w:jc w:val="both"/>
        <w:rPr>
          <w:rFonts w:ascii="Garamond" w:hAnsi="Garamond"/>
        </w:rPr>
      </w:pPr>
      <w:r w:rsidRPr="004A0C12">
        <w:rPr>
          <w:rFonts w:ascii="Garamond" w:hAnsi="Garamond"/>
        </w:rPr>
        <w:t xml:space="preserve">Upon finalization of the updated Maryland Intra-agency Cooperative Planning Agreement for Secondary Students with Disabilities, DORS and local education agencies will update local cooperative agreements to clarify roles and responsibilities at </w:t>
      </w:r>
      <w:r w:rsidR="00730B6F" w:rsidRPr="004A0C12">
        <w:rPr>
          <w:rFonts w:ascii="Garamond" w:hAnsi="Garamond"/>
        </w:rPr>
        <w:t>the local level as appropriate.</w:t>
      </w:r>
      <w:r w:rsidRPr="004A0C12">
        <w:rPr>
          <w:rFonts w:ascii="Garamond" w:hAnsi="Garamond"/>
        </w:rPr>
        <w:t xml:space="preserve"> DORS also maintains local cooperative agreements with the Maryland School for the Blind and the Maryland School for the Deaf regarding appropriate transition services for these under-served student populations.</w:t>
      </w:r>
      <w:r w:rsidR="00431254" w:rsidRPr="004A0C12">
        <w:rPr>
          <w:rFonts w:ascii="Garamond" w:hAnsi="Garamond"/>
        </w:rPr>
        <w:t xml:space="preserve">  </w:t>
      </w:r>
    </w:p>
    <w:p w14:paraId="2F1E4106" w14:textId="77777777" w:rsidR="007A1FDC" w:rsidRPr="00C0180F" w:rsidRDefault="007A1FDC" w:rsidP="00431254">
      <w:pPr>
        <w:pStyle w:val="Heading3"/>
        <w:rPr>
          <w:rFonts w:ascii="Garamond" w:hAnsi="Garamond"/>
          <w:sz w:val="24"/>
          <w:szCs w:val="24"/>
        </w:rPr>
      </w:pPr>
      <w:bookmarkStart w:id="186" w:name="_Toc447276214"/>
      <w:r w:rsidRPr="00C0180F">
        <w:rPr>
          <w:rFonts w:ascii="Garamond" w:hAnsi="Garamond"/>
          <w:sz w:val="24"/>
          <w:szCs w:val="24"/>
        </w:rPr>
        <w:lastRenderedPageBreak/>
        <w:t>State Law – Counselor Assignment to Secondary Schools; Completion of the Individualized Plan for Employment</w:t>
      </w:r>
      <w:bookmarkEnd w:id="186"/>
    </w:p>
    <w:p w14:paraId="4D1C5C8F" w14:textId="1CA99EF9" w:rsidR="007A1FDC" w:rsidRPr="004A0C12" w:rsidRDefault="007A1FDC" w:rsidP="007A1FDC">
      <w:pPr>
        <w:spacing w:after="0" w:line="240" w:lineRule="auto"/>
        <w:jc w:val="both"/>
        <w:rPr>
          <w:rFonts w:ascii="Garamond" w:hAnsi="Garamond"/>
        </w:rPr>
      </w:pPr>
      <w:r w:rsidRPr="004A0C12">
        <w:rPr>
          <w:rFonts w:ascii="Garamond" w:hAnsi="Garamond"/>
        </w:rPr>
        <w:t>Maryland State Law requires that DORS assign a counselor to each public secondary school in the state to promote effective transition. It also requires that DORS complete the Individualized Plan for Employment for eligible students with disabilities within 90 days of an Eligibility determination or off-delayed date.</w:t>
      </w:r>
    </w:p>
    <w:p w14:paraId="5417A88C" w14:textId="77777777" w:rsidR="007A1FDC" w:rsidRPr="00C0180F" w:rsidRDefault="007A1FDC" w:rsidP="00431254">
      <w:pPr>
        <w:pStyle w:val="Heading3"/>
        <w:rPr>
          <w:rFonts w:ascii="Garamond" w:hAnsi="Garamond"/>
          <w:sz w:val="24"/>
          <w:szCs w:val="24"/>
        </w:rPr>
      </w:pPr>
      <w:bookmarkStart w:id="187" w:name="_Toc447276215"/>
      <w:r w:rsidRPr="00C0180F">
        <w:rPr>
          <w:rFonts w:ascii="Garamond" w:hAnsi="Garamond"/>
          <w:sz w:val="24"/>
          <w:szCs w:val="24"/>
        </w:rPr>
        <w:t>The Governor’s Interagency Transition Council for Youth with Disabilities</w:t>
      </w:r>
      <w:bookmarkEnd w:id="187"/>
    </w:p>
    <w:p w14:paraId="2AA9F175" w14:textId="3253F110" w:rsidR="007A1FDC" w:rsidRPr="004A0C12" w:rsidRDefault="007A1FDC" w:rsidP="007A1FDC">
      <w:pPr>
        <w:spacing w:after="0" w:line="240" w:lineRule="auto"/>
        <w:jc w:val="both"/>
        <w:rPr>
          <w:rFonts w:ascii="Garamond" w:hAnsi="Garamond"/>
        </w:rPr>
      </w:pPr>
      <w:r w:rsidRPr="004A0C12">
        <w:rPr>
          <w:rFonts w:ascii="Garamond" w:hAnsi="Garamond"/>
        </w:rPr>
        <w:t xml:space="preserve">By state law, DORS is a permanent member of the Governor’s Interagency Transition Council for Youth with Disabilities, reissued as </w:t>
      </w:r>
      <w:r w:rsidR="00730B6F" w:rsidRPr="004A0C12">
        <w:rPr>
          <w:rFonts w:ascii="Garamond" w:hAnsi="Garamond"/>
        </w:rPr>
        <w:t>Executive Order 01.01.2007.13. </w:t>
      </w:r>
      <w:r w:rsidRPr="004A0C12">
        <w:rPr>
          <w:rFonts w:ascii="Garamond" w:hAnsi="Garamond"/>
        </w:rPr>
        <w:t xml:space="preserve">DORS collaborates with 26 other Council members, including </w:t>
      </w:r>
      <w:r w:rsidR="00730B6F" w:rsidRPr="004A0C12">
        <w:rPr>
          <w:rFonts w:ascii="Garamond" w:hAnsi="Garamond"/>
        </w:rPr>
        <w:t xml:space="preserve">WIOA </w:t>
      </w:r>
      <w:r w:rsidR="00724DEB" w:rsidRPr="004A0C12">
        <w:rPr>
          <w:rFonts w:ascii="Garamond" w:hAnsi="Garamond"/>
        </w:rPr>
        <w:t>Partners (</w:t>
      </w:r>
      <w:r w:rsidR="00730B6F" w:rsidRPr="004A0C12">
        <w:rPr>
          <w:rFonts w:ascii="Garamond" w:hAnsi="Garamond"/>
        </w:rPr>
        <w:t>Department of Labor, Licensing and Regulation</w:t>
      </w:r>
      <w:r w:rsidR="00724DEB" w:rsidRPr="004A0C12">
        <w:rPr>
          <w:rFonts w:ascii="Garamond" w:hAnsi="Garamond"/>
        </w:rPr>
        <w:t xml:space="preserve">, Department of Human Resources, and the Governor’s Workforce Investment Board), other State agencies (Department of Health and Mental Hygiene, Maryland Technology Assistance Program, Maryland Higher Education Commission, and the Maryland Department of Juvenile Services), </w:t>
      </w:r>
      <w:r w:rsidRPr="004A0C12">
        <w:rPr>
          <w:rFonts w:ascii="Garamond" w:hAnsi="Garamond"/>
        </w:rPr>
        <w:t>representatives of schools, disability advocacy groups, and individuals with disabilities and their families. The purpose of the Council is to promote effective transition services for students with disabilities throughout Maryland. This includes outreach to students and referral to DORS and other agen</w:t>
      </w:r>
      <w:r w:rsidR="00431254" w:rsidRPr="004A0C12">
        <w:rPr>
          <w:rFonts w:ascii="Garamond" w:hAnsi="Garamond"/>
        </w:rPr>
        <w:t>cies that can be of assistance.</w:t>
      </w:r>
    </w:p>
    <w:p w14:paraId="54A0CCE0" w14:textId="77777777" w:rsidR="007A1FDC" w:rsidRPr="00C0180F" w:rsidRDefault="007A1FDC" w:rsidP="00431254">
      <w:pPr>
        <w:pStyle w:val="Heading3"/>
        <w:rPr>
          <w:rFonts w:ascii="Garamond" w:hAnsi="Garamond"/>
          <w:sz w:val="24"/>
          <w:szCs w:val="24"/>
        </w:rPr>
      </w:pPr>
      <w:bookmarkStart w:id="188" w:name="_Toc447276216"/>
      <w:r w:rsidRPr="00C0180F">
        <w:rPr>
          <w:rFonts w:ascii="Garamond" w:hAnsi="Garamond"/>
          <w:sz w:val="24"/>
          <w:szCs w:val="24"/>
        </w:rPr>
        <w:t>Transit</w:t>
      </w:r>
      <w:r w:rsidR="0096326A" w:rsidRPr="00C0180F">
        <w:rPr>
          <w:rFonts w:ascii="Garamond" w:hAnsi="Garamond"/>
          <w:sz w:val="24"/>
          <w:szCs w:val="24"/>
        </w:rPr>
        <w:t>ion Planning by Personnel of the</w:t>
      </w:r>
      <w:r w:rsidRPr="00C0180F">
        <w:rPr>
          <w:rFonts w:ascii="Garamond" w:hAnsi="Garamond"/>
          <w:sz w:val="24"/>
          <w:szCs w:val="24"/>
        </w:rPr>
        <w:t xml:space="preserve"> Designated State Agency and Educational Agency</w:t>
      </w:r>
      <w:bookmarkEnd w:id="188"/>
    </w:p>
    <w:p w14:paraId="18A0DD82" w14:textId="4B172EB8" w:rsidR="00227090" w:rsidRPr="004A0C12" w:rsidRDefault="007A1FDC" w:rsidP="007A1FDC">
      <w:pPr>
        <w:spacing w:after="0" w:line="240" w:lineRule="auto"/>
        <w:jc w:val="both"/>
        <w:rPr>
          <w:rFonts w:ascii="Garamond" w:hAnsi="Garamond"/>
        </w:rPr>
      </w:pPr>
      <w:r w:rsidRPr="004A0C12">
        <w:rPr>
          <w:rFonts w:ascii="Garamond" w:hAnsi="Garamond"/>
        </w:rPr>
        <w:t>DORS maintains a Staff Specialist for Transition position to</w:t>
      </w:r>
      <w:r w:rsidR="00FF755D" w:rsidRPr="004A0C12">
        <w:rPr>
          <w:rFonts w:ascii="Garamond" w:hAnsi="Garamond"/>
        </w:rPr>
        <w:t xml:space="preserve"> lead the following activities:</w:t>
      </w:r>
    </w:p>
    <w:p w14:paraId="3D062B43" w14:textId="5676DB55" w:rsidR="007A1FDC" w:rsidRPr="004A0C12" w:rsidRDefault="007A1FDC" w:rsidP="00232F09">
      <w:pPr>
        <w:numPr>
          <w:ilvl w:val="0"/>
          <w:numId w:val="129"/>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Coordinate all VR and Pre-Employment Transition Service activities and projects with other </w:t>
      </w:r>
      <w:r w:rsidR="00C128AD" w:rsidRPr="004A0C12">
        <w:rPr>
          <w:rFonts w:ascii="Garamond" w:hAnsi="Garamond"/>
        </w:rPr>
        <w:t xml:space="preserve">WIOA Partners to facilitate access to WIOA Programs, </w:t>
      </w:r>
      <w:r w:rsidR="00FF755D" w:rsidRPr="004A0C12">
        <w:rPr>
          <w:rFonts w:ascii="Garamond" w:hAnsi="Garamond"/>
        </w:rPr>
        <w:t>such as the Youth Program, the career p</w:t>
      </w:r>
      <w:r w:rsidR="00C128AD" w:rsidRPr="004A0C12">
        <w:rPr>
          <w:rFonts w:ascii="Garamond" w:hAnsi="Garamond"/>
        </w:rPr>
        <w:t>athw</w:t>
      </w:r>
      <w:r w:rsidR="00FF755D" w:rsidRPr="004A0C12">
        <w:rPr>
          <w:rFonts w:ascii="Garamond" w:hAnsi="Garamond"/>
        </w:rPr>
        <w:t>ays system, and apprenticeship p</w:t>
      </w:r>
      <w:r w:rsidR="00C128AD" w:rsidRPr="004A0C12">
        <w:rPr>
          <w:rFonts w:ascii="Garamond" w:hAnsi="Garamond"/>
        </w:rPr>
        <w:t>rograms. Also coordinate with other state agencies</w:t>
      </w:r>
      <w:r w:rsidRPr="004A0C12">
        <w:rPr>
          <w:rFonts w:ascii="Garamond" w:hAnsi="Garamond"/>
        </w:rPr>
        <w:t>, community organizations, public and private facilities, local DORS field offices, and employers.</w:t>
      </w:r>
    </w:p>
    <w:p w14:paraId="30B68B0C" w14:textId="4DB4BB7D" w:rsidR="007A1FDC" w:rsidRPr="004A0C12" w:rsidRDefault="007A1FDC" w:rsidP="00232F09">
      <w:pPr>
        <w:numPr>
          <w:ilvl w:val="0"/>
          <w:numId w:val="129"/>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Collaborate with the DORS Grants Administrator </w:t>
      </w:r>
      <w:r w:rsidR="00C128AD" w:rsidRPr="004A0C12">
        <w:rPr>
          <w:rFonts w:ascii="Garamond" w:hAnsi="Garamond"/>
        </w:rPr>
        <w:t xml:space="preserve">and WIOA Partners </w:t>
      </w:r>
      <w:r w:rsidRPr="004A0C12">
        <w:rPr>
          <w:rFonts w:ascii="Garamond" w:hAnsi="Garamond"/>
        </w:rPr>
        <w:t>in responding to federal and state transition requests for proposals and in implementing cooperative agreements.</w:t>
      </w:r>
    </w:p>
    <w:p w14:paraId="66011FCD" w14:textId="53992CEA" w:rsidR="007A1FDC" w:rsidRPr="004A0C12" w:rsidRDefault="007A1FDC" w:rsidP="00232F09">
      <w:pPr>
        <w:numPr>
          <w:ilvl w:val="0"/>
          <w:numId w:val="129"/>
        </w:numPr>
        <w:tabs>
          <w:tab w:val="clear" w:pos="360"/>
          <w:tab w:val="num" w:pos="720"/>
        </w:tabs>
        <w:spacing w:after="0" w:line="240" w:lineRule="auto"/>
        <w:ind w:left="720" w:hanging="360"/>
        <w:jc w:val="both"/>
        <w:rPr>
          <w:rFonts w:ascii="Garamond" w:hAnsi="Garamond"/>
        </w:rPr>
      </w:pPr>
      <w:r w:rsidRPr="004A0C12">
        <w:rPr>
          <w:rFonts w:ascii="Garamond" w:hAnsi="Garamond"/>
        </w:rPr>
        <w:t>Develop, update and</w:t>
      </w:r>
      <w:r w:rsidR="00C128AD" w:rsidRPr="004A0C12">
        <w:rPr>
          <w:rFonts w:ascii="Garamond" w:hAnsi="Garamond"/>
        </w:rPr>
        <w:t xml:space="preserve"> monitor transition documents in collaboration with WIOA Partners in responding to federal and state transition requests for proposals and in implementing cooperative agreements. </w:t>
      </w:r>
    </w:p>
    <w:p w14:paraId="542DF082" w14:textId="77777777" w:rsidR="007A1FDC" w:rsidRPr="004A0C12" w:rsidRDefault="007A1FDC" w:rsidP="00232F09">
      <w:pPr>
        <w:numPr>
          <w:ilvl w:val="0"/>
          <w:numId w:val="129"/>
        </w:numPr>
        <w:tabs>
          <w:tab w:val="clear" w:pos="360"/>
          <w:tab w:val="num" w:pos="720"/>
        </w:tabs>
        <w:spacing w:after="0" w:line="240" w:lineRule="auto"/>
        <w:ind w:left="720" w:hanging="360"/>
        <w:jc w:val="both"/>
        <w:rPr>
          <w:rFonts w:ascii="Garamond" w:hAnsi="Garamond"/>
        </w:rPr>
      </w:pPr>
      <w:r w:rsidRPr="004A0C12">
        <w:rPr>
          <w:rFonts w:ascii="Garamond" w:hAnsi="Garamond"/>
        </w:rPr>
        <w:t>Provide program information to state level transition personnel and to the local education agencies through in-service training and publications.</w:t>
      </w:r>
    </w:p>
    <w:p w14:paraId="0170A0CB" w14:textId="77777777" w:rsidR="007A1FDC" w:rsidRPr="004A0C12" w:rsidRDefault="007A1FDC" w:rsidP="00232F09">
      <w:pPr>
        <w:numPr>
          <w:ilvl w:val="0"/>
          <w:numId w:val="129"/>
        </w:numPr>
        <w:tabs>
          <w:tab w:val="clear" w:pos="360"/>
          <w:tab w:val="num" w:pos="720"/>
        </w:tabs>
        <w:spacing w:after="0" w:line="240" w:lineRule="auto"/>
        <w:ind w:left="720" w:hanging="360"/>
        <w:jc w:val="both"/>
        <w:rPr>
          <w:rFonts w:ascii="Garamond" w:hAnsi="Garamond"/>
        </w:rPr>
      </w:pPr>
      <w:r w:rsidRPr="004A0C12">
        <w:rPr>
          <w:rFonts w:ascii="Garamond" w:hAnsi="Garamond"/>
        </w:rPr>
        <w:t>Serve as consultative staff for the Governor’s Interagency Transition Council for Youth with Disabilities.</w:t>
      </w:r>
    </w:p>
    <w:p w14:paraId="58D53EFF" w14:textId="77777777" w:rsidR="007A1FDC" w:rsidRPr="004A0C12" w:rsidRDefault="007A1FDC" w:rsidP="00232F09">
      <w:pPr>
        <w:numPr>
          <w:ilvl w:val="0"/>
          <w:numId w:val="129"/>
        </w:numPr>
        <w:tabs>
          <w:tab w:val="clear" w:pos="360"/>
          <w:tab w:val="num" w:pos="720"/>
        </w:tabs>
        <w:spacing w:after="0" w:line="240" w:lineRule="auto"/>
        <w:ind w:left="720" w:hanging="360"/>
        <w:jc w:val="both"/>
        <w:rPr>
          <w:rFonts w:ascii="Garamond" w:hAnsi="Garamond"/>
        </w:rPr>
      </w:pPr>
      <w:r w:rsidRPr="004A0C12">
        <w:rPr>
          <w:rFonts w:ascii="Garamond" w:hAnsi="Garamond"/>
        </w:rPr>
        <w:t>Facilitate an intra-agency transition group for counselors who provide transitioning services for the purpose of information sharing and ongoing training.</w:t>
      </w:r>
    </w:p>
    <w:p w14:paraId="1E828E05" w14:textId="77777777" w:rsidR="00F6079B" w:rsidRDefault="00F6079B" w:rsidP="00F6079B">
      <w:pPr>
        <w:pStyle w:val="NormalWeb"/>
        <w:spacing w:before="0" w:beforeAutospacing="0" w:afterAutospacing="0"/>
        <w:rPr>
          <w:rFonts w:ascii="Garamond" w:hAnsi="Garamond"/>
          <w:color w:val="000000"/>
          <w:sz w:val="22"/>
          <w:szCs w:val="22"/>
        </w:rPr>
      </w:pPr>
      <w:bookmarkStart w:id="189" w:name="_Toc447276217"/>
    </w:p>
    <w:p w14:paraId="7CEE1E2E" w14:textId="77777777" w:rsidR="00FC2BC0" w:rsidRPr="004A0C12" w:rsidRDefault="00FC2BC0" w:rsidP="00F6079B">
      <w:pPr>
        <w:pStyle w:val="NormalWeb"/>
        <w:spacing w:before="0" w:beforeAutospacing="0" w:afterAutospacing="0"/>
        <w:rPr>
          <w:rFonts w:ascii="Garamond" w:hAnsi="Garamond"/>
          <w:sz w:val="22"/>
          <w:szCs w:val="22"/>
        </w:rPr>
      </w:pPr>
      <w:r w:rsidRPr="004A0C12">
        <w:rPr>
          <w:rFonts w:ascii="Garamond" w:hAnsi="Garamond"/>
          <w:color w:val="000000"/>
          <w:sz w:val="22"/>
          <w:szCs w:val="22"/>
        </w:rPr>
        <w:t>DORS and the other Divisions of MSDE that are partners in the interagency agreement share lead responsibility for the activities under the agreement:</w:t>
      </w:r>
    </w:p>
    <w:p w14:paraId="5608C8AA" w14:textId="46B6C142" w:rsidR="00FC2BC0" w:rsidRPr="004A0C12" w:rsidRDefault="00FC2BC0" w:rsidP="00F6079B">
      <w:pPr>
        <w:pStyle w:val="NormalWeb"/>
        <w:numPr>
          <w:ilvl w:val="0"/>
          <w:numId w:val="210"/>
        </w:numPr>
        <w:spacing w:before="0" w:beforeAutospacing="0" w:afterAutospacing="0"/>
        <w:rPr>
          <w:rFonts w:ascii="Garamond" w:hAnsi="Garamond"/>
          <w:sz w:val="22"/>
          <w:szCs w:val="22"/>
        </w:rPr>
      </w:pPr>
      <w:r w:rsidRPr="004A0C12">
        <w:rPr>
          <w:rFonts w:ascii="Garamond" w:hAnsi="Garamond"/>
          <w:color w:val="000000"/>
          <w:sz w:val="22"/>
          <w:szCs w:val="22"/>
        </w:rPr>
        <w:t>DORS has the responsibility for the provision of vocational rehabilitation services that support the Individualized Plan for Employment and for Pre-Employment Transition Services for eligible students with disabilities.</w:t>
      </w:r>
    </w:p>
    <w:p w14:paraId="2A0708A3" w14:textId="316FB1E3" w:rsidR="00FC2BC0" w:rsidRPr="004A0C12" w:rsidRDefault="00FC2BC0" w:rsidP="00F6079B">
      <w:pPr>
        <w:pStyle w:val="NormalWeb"/>
        <w:numPr>
          <w:ilvl w:val="0"/>
          <w:numId w:val="210"/>
        </w:numPr>
        <w:spacing w:before="0" w:beforeAutospacing="0" w:afterAutospacing="0"/>
        <w:jc w:val="both"/>
        <w:rPr>
          <w:rFonts w:ascii="Garamond" w:hAnsi="Garamond"/>
          <w:sz w:val="22"/>
          <w:szCs w:val="22"/>
        </w:rPr>
      </w:pPr>
      <w:r w:rsidRPr="004A0C12">
        <w:rPr>
          <w:rFonts w:ascii="Garamond" w:hAnsi="Garamond"/>
          <w:color w:val="000000"/>
          <w:sz w:val="22"/>
          <w:szCs w:val="22"/>
        </w:rPr>
        <w:t>The Division of Special Education/Early Intervention Services has the responsibility for the provision of a free and appropriate public education for students with disabilities under the Individuals with Disabilities Education Act, 2004.</w:t>
      </w:r>
    </w:p>
    <w:p w14:paraId="3B79B931" w14:textId="77777777" w:rsidR="00FC2BC0" w:rsidRPr="004A0C12" w:rsidRDefault="00FC2BC0" w:rsidP="00F6079B">
      <w:pPr>
        <w:pStyle w:val="NormalWeb"/>
        <w:numPr>
          <w:ilvl w:val="0"/>
          <w:numId w:val="210"/>
        </w:numPr>
        <w:spacing w:before="0" w:beforeAutospacing="0" w:afterAutospacing="0"/>
        <w:rPr>
          <w:rFonts w:ascii="Garamond" w:hAnsi="Garamond"/>
          <w:sz w:val="22"/>
          <w:szCs w:val="22"/>
        </w:rPr>
      </w:pPr>
      <w:r w:rsidRPr="004A0C12">
        <w:rPr>
          <w:rFonts w:ascii="Garamond" w:hAnsi="Garamond"/>
          <w:color w:val="000000"/>
          <w:sz w:val="22"/>
          <w:szCs w:val="22"/>
        </w:rPr>
        <w:t xml:space="preserve">The Division of Career Technology and Adult Learning </w:t>
      </w:r>
      <w:proofErr w:type="gramStart"/>
      <w:r w:rsidRPr="004A0C12">
        <w:rPr>
          <w:rFonts w:ascii="Garamond" w:hAnsi="Garamond"/>
          <w:color w:val="000000"/>
          <w:sz w:val="22"/>
          <w:szCs w:val="22"/>
        </w:rPr>
        <w:t>provides</w:t>
      </w:r>
      <w:proofErr w:type="gramEnd"/>
      <w:r w:rsidRPr="004A0C12">
        <w:rPr>
          <w:rFonts w:ascii="Garamond" w:hAnsi="Garamond"/>
          <w:color w:val="000000"/>
          <w:sz w:val="22"/>
          <w:szCs w:val="22"/>
        </w:rPr>
        <w:t xml:space="preserve"> leadership for Career and Technology Education. The Division of Student and School Services has responsibility for administering and supervising federal and State programs to improve the teaching and learning of students who are at risk of academic failure and to help facilitate the emotional, mental, and physical health needs of all students.</w:t>
      </w:r>
    </w:p>
    <w:p w14:paraId="251305FB" w14:textId="47C2673D" w:rsidR="00FC2BC0" w:rsidRPr="004A0C12" w:rsidRDefault="00FC2BC0" w:rsidP="00F6079B">
      <w:pPr>
        <w:pStyle w:val="NormalWeb"/>
        <w:spacing w:before="0" w:beforeAutospacing="0" w:afterAutospacing="0"/>
        <w:rPr>
          <w:rFonts w:ascii="Garamond" w:hAnsi="Garamond"/>
          <w:sz w:val="22"/>
          <w:szCs w:val="22"/>
        </w:rPr>
      </w:pPr>
      <w:r w:rsidRPr="004A0C12">
        <w:rPr>
          <w:rFonts w:ascii="Garamond" w:hAnsi="Garamond"/>
          <w:color w:val="000000"/>
          <w:sz w:val="22"/>
          <w:szCs w:val="22"/>
        </w:rPr>
        <w:t>At the State level, all collaborating partners jointly share the financial responsibilities of the agreement. For example, partner Divisions provide personnel resources for developing, planning coordinating, and implementing transition services. Additionally, all Divisions fiscally support the Statewide Annual Transition Conference. At the local level, local school systems provide education services at no cost to the students and his/her family. DORS’ role in paying for rehabilitation services is determined on an individual basis.</w:t>
      </w:r>
    </w:p>
    <w:p w14:paraId="07DE9FC6" w14:textId="4A4D0CD4" w:rsidR="007A1FDC" w:rsidRPr="00C0180F" w:rsidRDefault="007A1FDC" w:rsidP="00431254">
      <w:pPr>
        <w:pStyle w:val="Heading3"/>
        <w:rPr>
          <w:rFonts w:ascii="Garamond" w:hAnsi="Garamond"/>
          <w:sz w:val="24"/>
          <w:szCs w:val="24"/>
        </w:rPr>
      </w:pPr>
      <w:r w:rsidRPr="00C0180F">
        <w:rPr>
          <w:rFonts w:ascii="Garamond" w:hAnsi="Garamond"/>
          <w:sz w:val="24"/>
          <w:szCs w:val="24"/>
        </w:rPr>
        <w:lastRenderedPageBreak/>
        <w:t>Outreach to and Identification of Students with Di</w:t>
      </w:r>
      <w:r w:rsidR="00FF755D" w:rsidRPr="00C0180F">
        <w:rPr>
          <w:rFonts w:ascii="Garamond" w:hAnsi="Garamond"/>
          <w:sz w:val="24"/>
          <w:szCs w:val="24"/>
        </w:rPr>
        <w:t>sabilities Who Need Transition S</w:t>
      </w:r>
      <w:r w:rsidRPr="00C0180F">
        <w:rPr>
          <w:rFonts w:ascii="Garamond" w:hAnsi="Garamond"/>
          <w:sz w:val="24"/>
          <w:szCs w:val="24"/>
        </w:rPr>
        <w:t>ervices</w:t>
      </w:r>
      <w:bookmarkEnd w:id="189"/>
    </w:p>
    <w:p w14:paraId="02A4136D" w14:textId="635DB925" w:rsidR="007A1FDC" w:rsidRPr="004A0C12" w:rsidRDefault="007A1FDC" w:rsidP="00232F09">
      <w:pPr>
        <w:numPr>
          <w:ilvl w:val="0"/>
          <w:numId w:val="130"/>
        </w:numPr>
        <w:tabs>
          <w:tab w:val="clear" w:pos="360"/>
          <w:tab w:val="num" w:pos="720"/>
        </w:tabs>
        <w:spacing w:after="0" w:line="240" w:lineRule="auto"/>
        <w:ind w:left="720" w:hanging="360"/>
        <w:jc w:val="both"/>
        <w:rPr>
          <w:rFonts w:ascii="Garamond" w:hAnsi="Garamond"/>
        </w:rPr>
      </w:pPr>
      <w:r w:rsidRPr="004A0C12">
        <w:rPr>
          <w:rFonts w:ascii="Garamond" w:hAnsi="Garamond"/>
        </w:rPr>
        <w:t>DORS will facil</w:t>
      </w:r>
      <w:r w:rsidR="00FF755D" w:rsidRPr="004A0C12">
        <w:rPr>
          <w:rFonts w:ascii="Garamond" w:hAnsi="Garamond"/>
        </w:rPr>
        <w:t xml:space="preserve">itate activities to bring state of the </w:t>
      </w:r>
      <w:r w:rsidRPr="004A0C12">
        <w:rPr>
          <w:rFonts w:ascii="Garamond" w:hAnsi="Garamond"/>
        </w:rPr>
        <w:t xml:space="preserve">art transitioning services to Maryland’s students and families, including the following Pre-Employment Transition Services as outlined in the Workforce Innovation and Opportunity Act:  job exploration counseling, work-based learning experiences, counseling on opportunities for enrollment in comprehensive transition or post-secondary educational programs, workplace readiness training to develop social skills and independent living, and instruction in self-advocacy. </w:t>
      </w:r>
    </w:p>
    <w:p w14:paraId="6B89DB51" w14:textId="79154DDE" w:rsidR="007A1FDC" w:rsidRPr="004A0C12" w:rsidRDefault="007A1FDC" w:rsidP="00232F09">
      <w:pPr>
        <w:numPr>
          <w:ilvl w:val="0"/>
          <w:numId w:val="130"/>
        </w:numPr>
        <w:tabs>
          <w:tab w:val="clear" w:pos="360"/>
          <w:tab w:val="num" w:pos="720"/>
        </w:tabs>
        <w:spacing w:after="0" w:line="240" w:lineRule="auto"/>
        <w:ind w:left="720" w:hanging="360"/>
        <w:jc w:val="both"/>
        <w:rPr>
          <w:rFonts w:ascii="Garamond" w:hAnsi="Garamond"/>
        </w:rPr>
      </w:pPr>
      <w:r w:rsidRPr="004A0C12">
        <w:rPr>
          <w:rFonts w:ascii="Garamond" w:hAnsi="Garamond"/>
        </w:rPr>
        <w:t>DORS will continue to explore, develop</w:t>
      </w:r>
      <w:r w:rsidR="00B20E8D" w:rsidRPr="004A0C12">
        <w:rPr>
          <w:rFonts w:ascii="Garamond" w:hAnsi="Garamond"/>
        </w:rPr>
        <w:t>,</w:t>
      </w:r>
      <w:r w:rsidRPr="004A0C12">
        <w:rPr>
          <w:rFonts w:ascii="Garamond" w:hAnsi="Garamond"/>
        </w:rPr>
        <w:t xml:space="preserve"> and expand new initiatives and methodologies that promote the provision of Pre-Employment Transition Services and successful post-school outcomes, including the following: employment, post-secondary education and training, community participation, independent living, and healthy lifestyles. The initiatives will be accomplished through a variety of cooperative agreements, cooperative funding agreements, special grants, or other innovative means. </w:t>
      </w:r>
    </w:p>
    <w:p w14:paraId="22AF9E67" w14:textId="77777777" w:rsidR="007A1FDC" w:rsidRPr="004A0C12" w:rsidRDefault="007A1FDC" w:rsidP="00232F09">
      <w:pPr>
        <w:numPr>
          <w:ilvl w:val="0"/>
          <w:numId w:val="130"/>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DORS will work with local businesses and agencies as needed to expand opportunities for internships, mentoring, and summer employment experiences as a way to prepare students for viable careers. </w:t>
      </w:r>
    </w:p>
    <w:p w14:paraId="465C9615" w14:textId="77777777" w:rsidR="007A1FDC" w:rsidRPr="004A0C12" w:rsidRDefault="007A1FDC" w:rsidP="00232F09">
      <w:pPr>
        <w:numPr>
          <w:ilvl w:val="0"/>
          <w:numId w:val="130"/>
        </w:numPr>
        <w:tabs>
          <w:tab w:val="clear" w:pos="360"/>
          <w:tab w:val="num" w:pos="720"/>
        </w:tabs>
        <w:spacing w:after="0" w:line="240" w:lineRule="auto"/>
        <w:ind w:left="720" w:hanging="360"/>
        <w:jc w:val="both"/>
        <w:rPr>
          <w:rFonts w:ascii="Garamond" w:hAnsi="Garamond"/>
        </w:rPr>
      </w:pPr>
      <w:r w:rsidRPr="004A0C12">
        <w:rPr>
          <w:rFonts w:ascii="Garamond" w:hAnsi="Garamond"/>
        </w:rPr>
        <w:t>DORS will identify opportunities to provide information and outreach materials for transitioning students and their families.</w:t>
      </w:r>
    </w:p>
    <w:p w14:paraId="396C8E3B" w14:textId="77777777" w:rsidR="00530FA0" w:rsidRPr="004A0C12" w:rsidRDefault="00530FA0" w:rsidP="002B59C9">
      <w:pPr>
        <w:spacing w:after="0" w:line="240" w:lineRule="auto"/>
        <w:ind w:left="720"/>
        <w:jc w:val="both"/>
        <w:rPr>
          <w:rFonts w:ascii="Garamond" w:hAnsi="Garamond"/>
        </w:rPr>
      </w:pPr>
    </w:p>
    <w:p w14:paraId="2AC5D86E" w14:textId="77777777" w:rsidR="00FC2BC0" w:rsidRPr="004A0C12" w:rsidRDefault="00FC2BC0" w:rsidP="00FC2BC0">
      <w:pPr>
        <w:pStyle w:val="NormalWeb"/>
        <w:spacing w:before="0" w:beforeAutospacing="0" w:afterAutospacing="0"/>
        <w:rPr>
          <w:rFonts w:ascii="Garamond" w:hAnsi="Garamond"/>
          <w:sz w:val="22"/>
          <w:szCs w:val="22"/>
        </w:rPr>
      </w:pPr>
      <w:bookmarkStart w:id="190" w:name="_Toc447276218"/>
      <w:r w:rsidRPr="004A0C12">
        <w:rPr>
          <w:rFonts w:ascii="Garamond" w:hAnsi="Garamond"/>
          <w:color w:val="000000"/>
          <w:sz w:val="22"/>
          <w:szCs w:val="22"/>
        </w:rPr>
        <w:t>DORS managers and counselors develop cooperative working relationships with local education staff. DORS local offices designate and ensure transition counselor liaisons to secondary schools and State operated programs. The DORS manager and counselor will collaborate with the local education staff as follows:</w:t>
      </w:r>
    </w:p>
    <w:p w14:paraId="38055DA8" w14:textId="77777777" w:rsidR="00FC2BC0" w:rsidRPr="004A0C12" w:rsidRDefault="00FC2BC0" w:rsidP="00F6079B">
      <w:pPr>
        <w:pStyle w:val="NormalWeb"/>
        <w:numPr>
          <w:ilvl w:val="0"/>
          <w:numId w:val="313"/>
        </w:numPr>
        <w:spacing w:before="0" w:beforeAutospacing="0" w:afterAutospacing="0"/>
        <w:rPr>
          <w:rFonts w:ascii="Garamond" w:hAnsi="Garamond"/>
          <w:sz w:val="22"/>
          <w:szCs w:val="22"/>
        </w:rPr>
      </w:pPr>
      <w:r w:rsidRPr="004A0C12">
        <w:rPr>
          <w:rFonts w:ascii="Garamond" w:hAnsi="Garamond"/>
          <w:color w:val="000000"/>
          <w:sz w:val="22"/>
          <w:szCs w:val="22"/>
        </w:rPr>
        <w:t>Establish linkages within each school system with the chairperson of special education, school principle, transition coordinator/teacher guidance counselor, school health personnel, pupil personnel workers, and other school-based personnel</w:t>
      </w:r>
    </w:p>
    <w:p w14:paraId="50D2D4EC" w14:textId="77777777" w:rsidR="00FC2BC0" w:rsidRPr="004A0C12" w:rsidRDefault="00FC2BC0" w:rsidP="00F6079B">
      <w:pPr>
        <w:pStyle w:val="NormalWeb"/>
        <w:numPr>
          <w:ilvl w:val="0"/>
          <w:numId w:val="313"/>
        </w:numPr>
        <w:spacing w:before="0" w:beforeAutospacing="0" w:afterAutospacing="0"/>
        <w:rPr>
          <w:rFonts w:ascii="Garamond" w:hAnsi="Garamond"/>
          <w:sz w:val="22"/>
          <w:szCs w:val="22"/>
        </w:rPr>
      </w:pPr>
      <w:r w:rsidRPr="004A0C12">
        <w:rPr>
          <w:rFonts w:ascii="Garamond" w:hAnsi="Garamond"/>
          <w:color w:val="000000"/>
          <w:sz w:val="22"/>
          <w:szCs w:val="22"/>
        </w:rPr>
        <w:t>Provide information sharing activities and cross-training with local school staff, parent information training centers, local workforce investment boards, and other parent groups and student advocacy groups</w:t>
      </w:r>
    </w:p>
    <w:p w14:paraId="437027ED" w14:textId="77777777" w:rsidR="00FC2BC0" w:rsidRPr="004A0C12" w:rsidRDefault="00FC2BC0" w:rsidP="00F6079B">
      <w:pPr>
        <w:pStyle w:val="NormalWeb"/>
        <w:numPr>
          <w:ilvl w:val="0"/>
          <w:numId w:val="313"/>
        </w:numPr>
        <w:spacing w:before="0" w:beforeAutospacing="0" w:afterAutospacing="0"/>
        <w:rPr>
          <w:rFonts w:ascii="Garamond" w:hAnsi="Garamond"/>
          <w:sz w:val="22"/>
          <w:szCs w:val="22"/>
        </w:rPr>
      </w:pPr>
      <w:r w:rsidRPr="004A0C12">
        <w:rPr>
          <w:rFonts w:ascii="Garamond" w:hAnsi="Garamond"/>
          <w:color w:val="000000"/>
          <w:sz w:val="22"/>
          <w:szCs w:val="22"/>
        </w:rPr>
        <w:t>Inform students and parents of the aspects of the vocational rehabilitation program and Pre- Employment Transition Services</w:t>
      </w:r>
    </w:p>
    <w:p w14:paraId="2E00D09F" w14:textId="77777777" w:rsidR="00FC2BC0" w:rsidRPr="004A0C12" w:rsidRDefault="00FC2BC0" w:rsidP="00F6079B">
      <w:pPr>
        <w:pStyle w:val="NormalWeb"/>
        <w:numPr>
          <w:ilvl w:val="0"/>
          <w:numId w:val="313"/>
        </w:numPr>
        <w:spacing w:before="0" w:beforeAutospacing="0" w:afterAutospacing="0"/>
        <w:rPr>
          <w:rFonts w:ascii="Garamond" w:hAnsi="Garamond"/>
          <w:sz w:val="22"/>
          <w:szCs w:val="22"/>
        </w:rPr>
      </w:pPr>
      <w:r w:rsidRPr="004A0C12">
        <w:rPr>
          <w:rFonts w:ascii="Garamond" w:hAnsi="Garamond"/>
          <w:color w:val="000000"/>
          <w:sz w:val="22"/>
          <w:szCs w:val="22"/>
        </w:rPr>
        <w:t>Serve in an advisory capacity to facilitate development of appropriate referrals to DORS and provide consultation to local education staff regarding particularly challenging or complex situations prior to and after referral</w:t>
      </w:r>
    </w:p>
    <w:p w14:paraId="0D387686" w14:textId="70502A57" w:rsidR="00FC2BC0" w:rsidRPr="004A0C12" w:rsidRDefault="00FC2BC0" w:rsidP="00F6079B">
      <w:pPr>
        <w:pStyle w:val="NormalWeb"/>
        <w:numPr>
          <w:ilvl w:val="0"/>
          <w:numId w:val="313"/>
        </w:numPr>
        <w:spacing w:before="0" w:beforeAutospacing="0" w:afterAutospacing="0"/>
        <w:rPr>
          <w:rFonts w:ascii="Garamond" w:hAnsi="Garamond"/>
          <w:sz w:val="22"/>
          <w:szCs w:val="22"/>
        </w:rPr>
      </w:pPr>
      <w:r w:rsidRPr="004A0C12">
        <w:rPr>
          <w:rFonts w:ascii="Garamond" w:hAnsi="Garamond"/>
          <w:color w:val="000000"/>
          <w:sz w:val="22"/>
          <w:szCs w:val="22"/>
        </w:rPr>
        <w:t>Provide feedback and data to schools/referral source, as appropriate, on jointly served students participate on Local Coordinating Councils to help facilitate to and provision of appropriate adult services for students returning from out-of-state placements.</w:t>
      </w:r>
    </w:p>
    <w:p w14:paraId="07FF7238" w14:textId="77777777" w:rsidR="00FC2BC0" w:rsidRPr="00C0180F" w:rsidRDefault="00FC2BC0" w:rsidP="00530FA0">
      <w:pPr>
        <w:pStyle w:val="Heading2"/>
        <w:spacing w:before="0" w:line="240" w:lineRule="auto"/>
        <w:contextualSpacing/>
        <w:rPr>
          <w:rFonts w:ascii="Garamond" w:hAnsi="Garamond"/>
          <w:sz w:val="24"/>
          <w:szCs w:val="24"/>
        </w:rPr>
      </w:pPr>
    </w:p>
    <w:p w14:paraId="68F6741A" w14:textId="77777777" w:rsidR="007A1FDC" w:rsidRPr="00C0180F" w:rsidRDefault="007A1FDC" w:rsidP="00530FA0">
      <w:pPr>
        <w:pStyle w:val="Heading2"/>
        <w:spacing w:before="0" w:line="240" w:lineRule="auto"/>
        <w:contextualSpacing/>
        <w:rPr>
          <w:rFonts w:ascii="Garamond" w:hAnsi="Garamond"/>
          <w:sz w:val="24"/>
          <w:szCs w:val="24"/>
        </w:rPr>
      </w:pPr>
      <w:r w:rsidRPr="00C0180F">
        <w:rPr>
          <w:rFonts w:ascii="Garamond" w:hAnsi="Garamond"/>
          <w:sz w:val="24"/>
          <w:szCs w:val="24"/>
        </w:rPr>
        <w:t>Cooperative Agreements with Private Nonprofit Organizations</w:t>
      </w:r>
      <w:bookmarkEnd w:id="190"/>
    </w:p>
    <w:p w14:paraId="51D0E66E" w14:textId="45627E8B" w:rsidR="007A1FDC" w:rsidRPr="004A0C12" w:rsidRDefault="007A1FDC" w:rsidP="00530FA0">
      <w:pPr>
        <w:spacing w:after="0" w:line="240" w:lineRule="auto"/>
        <w:contextualSpacing/>
        <w:jc w:val="both"/>
        <w:rPr>
          <w:rFonts w:ascii="Garamond" w:hAnsi="Garamond"/>
        </w:rPr>
      </w:pPr>
      <w:r w:rsidRPr="004A0C12">
        <w:rPr>
          <w:rFonts w:ascii="Garamond" w:hAnsi="Garamond"/>
        </w:rPr>
        <w:t>Cooperative Agreements are developed between DORS and approved Community Rehabilitation Programs in order to assure a mutual understanding of the services to be provided to DORS consumers, referral procedures, expectations</w:t>
      </w:r>
      <w:r w:rsidR="00B20E8D" w:rsidRPr="004A0C12">
        <w:rPr>
          <w:rFonts w:ascii="Garamond" w:hAnsi="Garamond"/>
        </w:rPr>
        <w:t>,</w:t>
      </w:r>
      <w:r w:rsidRPr="004A0C12">
        <w:rPr>
          <w:rFonts w:ascii="Garamond" w:hAnsi="Garamond"/>
        </w:rPr>
        <w:t xml:space="preserve"> and responsibilities of all parties. The Division utilizes</w:t>
      </w:r>
      <w:r w:rsidR="00B709F8" w:rsidRPr="004A0C12">
        <w:rPr>
          <w:rFonts w:ascii="Garamond" w:hAnsi="Garamond"/>
        </w:rPr>
        <w:t xml:space="preserve"> Community Rehabilitation Programs t</w:t>
      </w:r>
      <w:r w:rsidRPr="004A0C12">
        <w:rPr>
          <w:rFonts w:ascii="Garamond" w:hAnsi="Garamond"/>
        </w:rPr>
        <w:t xml:space="preserve">o the maximum extent feasible to provide a wide range of highly skilled vocational rehabilitation services to individuals with disabilities around the </w:t>
      </w:r>
      <w:r w:rsidR="00FF755D" w:rsidRPr="004A0C12">
        <w:rPr>
          <w:rFonts w:ascii="Garamond" w:hAnsi="Garamond"/>
        </w:rPr>
        <w:t>S</w:t>
      </w:r>
      <w:r w:rsidRPr="004A0C12">
        <w:rPr>
          <w:rFonts w:ascii="Garamond" w:hAnsi="Garamond"/>
        </w:rPr>
        <w:t>tate. DORS continually assesses the needs of individuals with disabilities and recruits new organizations and expands services with existing ones in order to meet those needs. </w:t>
      </w:r>
    </w:p>
    <w:p w14:paraId="5624F3C2" w14:textId="77777777" w:rsidR="007A1FDC" w:rsidRPr="00C0180F" w:rsidRDefault="007A1FDC" w:rsidP="00B709F8">
      <w:pPr>
        <w:pStyle w:val="Heading2"/>
        <w:rPr>
          <w:rFonts w:ascii="Garamond" w:hAnsi="Garamond"/>
          <w:sz w:val="24"/>
          <w:szCs w:val="24"/>
        </w:rPr>
      </w:pPr>
      <w:bookmarkStart w:id="191" w:name="_Toc447276219"/>
      <w:r w:rsidRPr="00C0180F">
        <w:rPr>
          <w:rFonts w:ascii="Garamond" w:hAnsi="Garamond"/>
          <w:sz w:val="24"/>
          <w:szCs w:val="24"/>
        </w:rPr>
        <w:t>DORS Accreditations</w:t>
      </w:r>
      <w:bookmarkEnd w:id="191"/>
    </w:p>
    <w:p w14:paraId="62A84599" w14:textId="7D7B79B2" w:rsidR="007A1FDC" w:rsidRPr="004A0C12" w:rsidRDefault="00B20E8D" w:rsidP="00B20E8D">
      <w:pPr>
        <w:spacing w:after="0" w:line="240" w:lineRule="auto"/>
        <w:contextualSpacing/>
        <w:jc w:val="both"/>
        <w:rPr>
          <w:rFonts w:ascii="Garamond" w:hAnsi="Garamond"/>
        </w:rPr>
      </w:pPr>
      <w:r w:rsidRPr="004A0C12">
        <w:rPr>
          <w:rFonts w:ascii="Garamond" w:hAnsi="Garamond"/>
        </w:rPr>
        <w:t>Accreditation of Community Rehabilitation Programs</w:t>
      </w:r>
      <w:r w:rsidR="007A1FDC" w:rsidRPr="004A0C12">
        <w:rPr>
          <w:rFonts w:ascii="Garamond" w:hAnsi="Garamond"/>
        </w:rPr>
        <w:t xml:space="preserve"> is an important factor in the operation of the state vocational reha</w:t>
      </w:r>
      <w:r w:rsidRPr="004A0C12">
        <w:rPr>
          <w:rFonts w:ascii="Garamond" w:hAnsi="Garamond"/>
        </w:rPr>
        <w:t>bilitation program in Maryland.</w:t>
      </w:r>
      <w:r w:rsidR="007A1FDC" w:rsidRPr="004A0C12">
        <w:rPr>
          <w:rFonts w:ascii="Garamond" w:hAnsi="Garamond"/>
        </w:rPr>
        <w:t xml:space="preserve"> The purpose of these reviews and accreditations is</w:t>
      </w:r>
      <w:r w:rsidRPr="004A0C12">
        <w:rPr>
          <w:rFonts w:ascii="Garamond" w:hAnsi="Garamond"/>
        </w:rPr>
        <w:t>,</w:t>
      </w:r>
      <w:r w:rsidR="007A1FDC" w:rsidRPr="004A0C12">
        <w:rPr>
          <w:rFonts w:ascii="Garamond" w:hAnsi="Garamond"/>
        </w:rPr>
        <w:t xml:space="preserve"> as follows:</w:t>
      </w:r>
    </w:p>
    <w:p w14:paraId="04F89C8D" w14:textId="77777777" w:rsidR="00B20E8D" w:rsidRPr="004A0C12" w:rsidRDefault="00B20E8D" w:rsidP="00B20E8D">
      <w:pPr>
        <w:spacing w:after="0" w:line="240" w:lineRule="auto"/>
        <w:contextualSpacing/>
        <w:jc w:val="both"/>
        <w:rPr>
          <w:rFonts w:ascii="Garamond" w:hAnsi="Garamond"/>
        </w:rPr>
      </w:pPr>
    </w:p>
    <w:p w14:paraId="6C82DC8A" w14:textId="509A7C80" w:rsidR="007A1FDC" w:rsidRPr="004A0C12" w:rsidRDefault="007A1FDC" w:rsidP="00232F09">
      <w:pPr>
        <w:pStyle w:val="ListParagraph"/>
        <w:numPr>
          <w:ilvl w:val="0"/>
          <w:numId w:val="131"/>
        </w:numPr>
        <w:tabs>
          <w:tab w:val="clear" w:pos="360"/>
          <w:tab w:val="num" w:pos="720"/>
        </w:tabs>
        <w:ind w:left="720" w:hanging="360"/>
        <w:contextualSpacing/>
        <w:jc w:val="both"/>
        <w:rPr>
          <w:rFonts w:ascii="Garamond" w:hAnsi="Garamond"/>
          <w:color w:val="auto"/>
          <w:szCs w:val="22"/>
        </w:rPr>
      </w:pPr>
      <w:r w:rsidRPr="004A0C12">
        <w:rPr>
          <w:rFonts w:ascii="Garamond" w:hAnsi="Garamond"/>
          <w:color w:val="auto"/>
          <w:szCs w:val="22"/>
        </w:rPr>
        <w:t>To improve the quality of services delivered to individuals with disabilities</w:t>
      </w:r>
      <w:r w:rsidR="00B20E8D" w:rsidRPr="004A0C12">
        <w:rPr>
          <w:rFonts w:ascii="Garamond" w:hAnsi="Garamond"/>
          <w:color w:val="auto"/>
          <w:szCs w:val="22"/>
        </w:rPr>
        <w:t>;</w:t>
      </w:r>
    </w:p>
    <w:p w14:paraId="735391CA" w14:textId="68A49BB0" w:rsidR="007A1FDC" w:rsidRPr="004A0C12" w:rsidRDefault="007A1FDC" w:rsidP="00232F09">
      <w:pPr>
        <w:pStyle w:val="ListParagraph"/>
        <w:numPr>
          <w:ilvl w:val="0"/>
          <w:numId w:val="131"/>
        </w:numPr>
        <w:tabs>
          <w:tab w:val="clear" w:pos="360"/>
          <w:tab w:val="num" w:pos="720"/>
        </w:tabs>
        <w:ind w:left="720" w:hanging="360"/>
        <w:contextualSpacing/>
        <w:jc w:val="both"/>
        <w:rPr>
          <w:rFonts w:ascii="Garamond" w:hAnsi="Garamond"/>
          <w:color w:val="auto"/>
          <w:szCs w:val="22"/>
        </w:rPr>
      </w:pPr>
      <w:r w:rsidRPr="004A0C12">
        <w:rPr>
          <w:rFonts w:ascii="Garamond" w:hAnsi="Garamond"/>
          <w:color w:val="auto"/>
          <w:szCs w:val="22"/>
        </w:rPr>
        <w:t>To ass</w:t>
      </w:r>
      <w:r w:rsidR="00FF755D" w:rsidRPr="004A0C12">
        <w:rPr>
          <w:rFonts w:ascii="Garamond" w:hAnsi="Garamond"/>
          <w:color w:val="auto"/>
          <w:szCs w:val="22"/>
        </w:rPr>
        <w:t>ist the governing board of the Community Rehabilitation P</w:t>
      </w:r>
      <w:r w:rsidRPr="004A0C12">
        <w:rPr>
          <w:rFonts w:ascii="Garamond" w:hAnsi="Garamond"/>
          <w:color w:val="auto"/>
          <w:szCs w:val="22"/>
        </w:rPr>
        <w:t>rogram and other interested groups in the community to better understand what is required for a sound program</w:t>
      </w:r>
      <w:r w:rsidR="00B20E8D" w:rsidRPr="004A0C12">
        <w:rPr>
          <w:rFonts w:ascii="Garamond" w:hAnsi="Garamond"/>
          <w:color w:val="auto"/>
          <w:szCs w:val="22"/>
        </w:rPr>
        <w:t xml:space="preserve">; and, </w:t>
      </w:r>
    </w:p>
    <w:p w14:paraId="680CF5BB" w14:textId="154D968B" w:rsidR="007A1FDC" w:rsidRPr="004A0C12" w:rsidRDefault="007A1FDC" w:rsidP="00232F09">
      <w:pPr>
        <w:pStyle w:val="ListParagraph"/>
        <w:numPr>
          <w:ilvl w:val="0"/>
          <w:numId w:val="131"/>
        </w:numPr>
        <w:tabs>
          <w:tab w:val="clear" w:pos="360"/>
          <w:tab w:val="num" w:pos="720"/>
        </w:tabs>
        <w:ind w:left="720" w:hanging="360"/>
        <w:contextualSpacing/>
        <w:jc w:val="both"/>
        <w:rPr>
          <w:rFonts w:ascii="Garamond" w:hAnsi="Garamond"/>
          <w:color w:val="auto"/>
          <w:szCs w:val="22"/>
        </w:rPr>
      </w:pPr>
      <w:r w:rsidRPr="004A0C12">
        <w:rPr>
          <w:rFonts w:ascii="Garamond" w:hAnsi="Garamond"/>
          <w:color w:val="auto"/>
          <w:szCs w:val="22"/>
        </w:rPr>
        <w:lastRenderedPageBreak/>
        <w:t>To serve as a means for self-evaluation by the board, administrator</w:t>
      </w:r>
      <w:r w:rsidR="00B20E8D" w:rsidRPr="004A0C12">
        <w:rPr>
          <w:rFonts w:ascii="Garamond" w:hAnsi="Garamond"/>
          <w:color w:val="auto"/>
          <w:szCs w:val="22"/>
        </w:rPr>
        <w:t>,</w:t>
      </w:r>
      <w:r w:rsidRPr="004A0C12">
        <w:rPr>
          <w:rFonts w:ascii="Garamond" w:hAnsi="Garamond"/>
          <w:color w:val="auto"/>
          <w:szCs w:val="22"/>
        </w:rPr>
        <w:t xml:space="preserve"> and staff.</w:t>
      </w:r>
    </w:p>
    <w:p w14:paraId="543BF0CE" w14:textId="77777777" w:rsidR="007A1FDC" w:rsidRPr="00C0180F" w:rsidRDefault="007A1FDC" w:rsidP="00B709F8">
      <w:pPr>
        <w:pStyle w:val="Heading2"/>
        <w:rPr>
          <w:rFonts w:ascii="Garamond" w:hAnsi="Garamond"/>
          <w:sz w:val="24"/>
          <w:szCs w:val="24"/>
        </w:rPr>
      </w:pPr>
      <w:bookmarkStart w:id="192" w:name="_Toc447276220"/>
      <w:r w:rsidRPr="00C0180F">
        <w:rPr>
          <w:rFonts w:ascii="Garamond" w:hAnsi="Garamond"/>
          <w:sz w:val="24"/>
          <w:szCs w:val="24"/>
        </w:rPr>
        <w:t>The Accreditation Process</w:t>
      </w:r>
      <w:bookmarkEnd w:id="192"/>
    </w:p>
    <w:p w14:paraId="1A9201EE"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DORS purchases services from </w:t>
      </w:r>
      <w:r w:rsidR="00B709F8" w:rsidRPr="004A0C12">
        <w:rPr>
          <w:rFonts w:ascii="Garamond" w:hAnsi="Garamond"/>
        </w:rPr>
        <w:t xml:space="preserve">Community Rehabilitation Programs </w:t>
      </w:r>
      <w:r w:rsidRPr="004A0C12">
        <w:rPr>
          <w:rFonts w:ascii="Garamond" w:hAnsi="Garamond"/>
        </w:rPr>
        <w:t>that are accredited and operate in compliance with federal regulations and operate in compliance with the regulations for Title I, Vocational Rehabilitation Services Program implementing the Rehabilitation Act Amendments of 1992, Section 361.51.</w:t>
      </w:r>
    </w:p>
    <w:p w14:paraId="6E60BAEF" w14:textId="77777777" w:rsidR="007A1FDC" w:rsidRPr="004A0C12" w:rsidRDefault="007A1FDC" w:rsidP="007A1FDC">
      <w:pPr>
        <w:spacing w:after="0" w:line="240" w:lineRule="auto"/>
        <w:jc w:val="both"/>
        <w:rPr>
          <w:rFonts w:ascii="Garamond" w:hAnsi="Garamond"/>
        </w:rPr>
      </w:pPr>
    </w:p>
    <w:p w14:paraId="0FF05ADD" w14:textId="0A64FA20" w:rsidR="007A1FDC" w:rsidRPr="004A0C12" w:rsidRDefault="00B20E8D" w:rsidP="007A1FDC">
      <w:pPr>
        <w:spacing w:after="0" w:line="240" w:lineRule="auto"/>
        <w:jc w:val="both"/>
        <w:rPr>
          <w:rFonts w:ascii="Garamond" w:hAnsi="Garamond"/>
        </w:rPr>
      </w:pPr>
      <w:r w:rsidRPr="004A0C12">
        <w:rPr>
          <w:rFonts w:ascii="Garamond" w:hAnsi="Garamond"/>
        </w:rPr>
        <w:t>These Community Rehabilitation Programs</w:t>
      </w:r>
      <w:r w:rsidR="007A1FDC" w:rsidRPr="004A0C12">
        <w:rPr>
          <w:rFonts w:ascii="Garamond" w:hAnsi="Garamond"/>
        </w:rPr>
        <w:t xml:space="preserve"> must hold accreditations from a national organization such as</w:t>
      </w:r>
      <w:r w:rsidRPr="004A0C12">
        <w:rPr>
          <w:rFonts w:ascii="Garamond" w:hAnsi="Garamond"/>
        </w:rPr>
        <w:t xml:space="preserve"> the</w:t>
      </w:r>
      <w:r w:rsidR="007A1FDC" w:rsidRPr="004A0C12">
        <w:rPr>
          <w:rFonts w:ascii="Garamond" w:hAnsi="Garamond"/>
        </w:rPr>
        <w:t xml:space="preserve"> Commission on Accreditation of Reha</w:t>
      </w:r>
      <w:r w:rsidRPr="004A0C12">
        <w:rPr>
          <w:rFonts w:ascii="Garamond" w:hAnsi="Garamond"/>
        </w:rPr>
        <w:t xml:space="preserve">bilitation Facilities (CARF), </w:t>
      </w:r>
      <w:r w:rsidR="007A1FDC" w:rsidRPr="004A0C12">
        <w:rPr>
          <w:rFonts w:ascii="Garamond" w:hAnsi="Garamond"/>
        </w:rPr>
        <w:t>or may also be in “deemed” status, having been accredited by other Maryland government agencies</w:t>
      </w:r>
      <w:r w:rsidRPr="004A0C12">
        <w:rPr>
          <w:rFonts w:ascii="Garamond" w:hAnsi="Garamond"/>
        </w:rPr>
        <w:t>,</w:t>
      </w:r>
      <w:r w:rsidR="007A1FDC" w:rsidRPr="004A0C12">
        <w:rPr>
          <w:rFonts w:ascii="Garamond" w:hAnsi="Garamond"/>
        </w:rPr>
        <w:t xml:space="preserve"> such as the Department of Health &amp; Mental Hygiene. Otherwise, the DORS staff specialist for community rehabilitation programs will perform onsite accreditations every three years. The specialist, along with a local DORS staff person, advises the </w:t>
      </w:r>
      <w:r w:rsidR="00B709F8" w:rsidRPr="004A0C12">
        <w:rPr>
          <w:rFonts w:ascii="Garamond" w:hAnsi="Garamond"/>
        </w:rPr>
        <w:t>Community Rehabilitation Programs</w:t>
      </w:r>
      <w:r w:rsidRPr="004A0C12">
        <w:rPr>
          <w:rFonts w:ascii="Garamond" w:hAnsi="Garamond"/>
        </w:rPr>
        <w:t xml:space="preserve"> on</w:t>
      </w:r>
      <w:r w:rsidR="00B709F8" w:rsidRPr="004A0C12">
        <w:rPr>
          <w:rFonts w:ascii="Garamond" w:hAnsi="Garamond"/>
        </w:rPr>
        <w:t xml:space="preserve"> </w:t>
      </w:r>
      <w:r w:rsidR="007A1FDC" w:rsidRPr="004A0C12">
        <w:rPr>
          <w:rFonts w:ascii="Garamond" w:hAnsi="Garamond"/>
        </w:rPr>
        <w:t>what is required and then conducts an onsite review to examine all resource documents, consumer files</w:t>
      </w:r>
      <w:r w:rsidRPr="004A0C12">
        <w:rPr>
          <w:rFonts w:ascii="Garamond" w:hAnsi="Garamond"/>
        </w:rPr>
        <w:t>,</w:t>
      </w:r>
      <w:r w:rsidR="007A1FDC" w:rsidRPr="004A0C12">
        <w:rPr>
          <w:rFonts w:ascii="Garamond" w:hAnsi="Garamond"/>
        </w:rPr>
        <w:t xml:space="preserve"> and details about programs. As appropriate, </w:t>
      </w:r>
      <w:r w:rsidR="00B709F8" w:rsidRPr="004A0C12">
        <w:rPr>
          <w:rFonts w:ascii="Garamond" w:hAnsi="Garamond"/>
        </w:rPr>
        <w:t>Community Rehabilitation Programs</w:t>
      </w:r>
      <w:r w:rsidR="007A1FDC" w:rsidRPr="004A0C12">
        <w:rPr>
          <w:rFonts w:ascii="Garamond" w:hAnsi="Garamond"/>
        </w:rPr>
        <w:t xml:space="preserve"> staff may attend the overview and exit conferences.</w:t>
      </w:r>
    </w:p>
    <w:p w14:paraId="12DA8377" w14:textId="77777777" w:rsidR="007A1FDC" w:rsidRPr="004A0C12" w:rsidRDefault="007A1FDC" w:rsidP="007A1FDC">
      <w:pPr>
        <w:spacing w:after="0" w:line="240" w:lineRule="auto"/>
        <w:jc w:val="both"/>
        <w:rPr>
          <w:rFonts w:ascii="Garamond" w:hAnsi="Garamond"/>
        </w:rPr>
      </w:pPr>
    </w:p>
    <w:p w14:paraId="63F22207" w14:textId="77777777" w:rsidR="007A1FDC" w:rsidRPr="004A0C12" w:rsidRDefault="007A1FDC" w:rsidP="007A1FDC">
      <w:pPr>
        <w:spacing w:after="0" w:line="240" w:lineRule="auto"/>
        <w:jc w:val="both"/>
        <w:rPr>
          <w:rFonts w:ascii="Garamond" w:hAnsi="Garamond"/>
        </w:rPr>
      </w:pPr>
      <w:r w:rsidRPr="004A0C12">
        <w:rPr>
          <w:rFonts w:ascii="Garamond" w:hAnsi="Garamond"/>
        </w:rPr>
        <w:t>If the program demonstrates its ability to serve DORS consumers, a cooperative agreement is drafted for approval and signature. The agreement outlines roles, responsibilities and fees.</w:t>
      </w:r>
    </w:p>
    <w:p w14:paraId="1BE9E59A" w14:textId="77777777" w:rsidR="007A1FDC" w:rsidRPr="00C0180F" w:rsidRDefault="00431254" w:rsidP="00322B60">
      <w:pPr>
        <w:pStyle w:val="Heading4"/>
        <w:rPr>
          <w:rFonts w:ascii="Garamond" w:hAnsi="Garamond"/>
          <w:sz w:val="24"/>
          <w:szCs w:val="24"/>
        </w:rPr>
      </w:pPr>
      <w:r w:rsidRPr="00C0180F">
        <w:rPr>
          <w:rFonts w:ascii="Garamond" w:hAnsi="Garamond"/>
          <w:sz w:val="24"/>
          <w:szCs w:val="24"/>
        </w:rPr>
        <w:t>Services Purchased by DORS</w:t>
      </w:r>
    </w:p>
    <w:p w14:paraId="7719F86B"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DORS purchases a wide variety of services that assist people with disabilities to reach independence and employment. These may include pre-employment transition services, assistive technology services, employee development services, non-supported employment job coaching, skills training and specialized services such as those for individuals with acquired brain injury. </w:t>
      </w:r>
    </w:p>
    <w:p w14:paraId="3A5C18E8" w14:textId="77777777" w:rsidR="007A1FDC" w:rsidRPr="004A0C12" w:rsidRDefault="007A1FDC" w:rsidP="007A1FDC">
      <w:pPr>
        <w:spacing w:after="0" w:line="240" w:lineRule="auto"/>
        <w:jc w:val="both"/>
        <w:rPr>
          <w:rFonts w:ascii="Garamond" w:hAnsi="Garamond"/>
        </w:rPr>
      </w:pPr>
    </w:p>
    <w:p w14:paraId="7A3455D1" w14:textId="77777777" w:rsidR="007A1FDC" w:rsidRPr="004A0C12" w:rsidRDefault="007A1FDC" w:rsidP="007A1FDC">
      <w:pPr>
        <w:spacing w:after="0" w:line="240" w:lineRule="auto"/>
        <w:jc w:val="both"/>
        <w:rPr>
          <w:rFonts w:ascii="Garamond" w:hAnsi="Garamond"/>
        </w:rPr>
      </w:pPr>
      <w:r w:rsidRPr="004A0C12">
        <w:rPr>
          <w:rFonts w:ascii="Garamond" w:hAnsi="Garamond"/>
        </w:rPr>
        <w:t>DORS may also purchase job-coaching services from CRPs that have supported employment programs approved by the Behavioral Health Administration and the Developmen</w:t>
      </w:r>
      <w:r w:rsidR="00B709F8" w:rsidRPr="004A0C12">
        <w:rPr>
          <w:rFonts w:ascii="Garamond" w:hAnsi="Garamond"/>
        </w:rPr>
        <w:t>tal Disabilities Administration.</w:t>
      </w:r>
    </w:p>
    <w:p w14:paraId="44CD3573" w14:textId="77777777" w:rsidR="007A1FDC" w:rsidRPr="004A0C12" w:rsidRDefault="007A1FDC" w:rsidP="007A1FDC">
      <w:pPr>
        <w:spacing w:after="0" w:line="240" w:lineRule="auto"/>
        <w:jc w:val="both"/>
        <w:rPr>
          <w:rFonts w:ascii="Garamond" w:hAnsi="Garamond"/>
        </w:rPr>
      </w:pPr>
    </w:p>
    <w:p w14:paraId="0F8866CE" w14:textId="77777777" w:rsidR="007A1FDC" w:rsidRPr="004A0C12" w:rsidRDefault="007A1FDC" w:rsidP="00431254">
      <w:pPr>
        <w:spacing w:after="0" w:line="240" w:lineRule="auto"/>
        <w:jc w:val="both"/>
        <w:rPr>
          <w:rFonts w:ascii="Garamond" w:hAnsi="Garamond"/>
        </w:rPr>
      </w:pPr>
      <w:r w:rsidRPr="004A0C12">
        <w:rPr>
          <w:rFonts w:ascii="Garamond" w:hAnsi="Garamond"/>
        </w:rPr>
        <w:t>DORS will also purchase career assessment services which include community based assessment provided by private vendors who are Certified Vocational Evaluators or Pro</w:t>
      </w:r>
      <w:r w:rsidR="00B709F8" w:rsidRPr="004A0C12">
        <w:rPr>
          <w:rFonts w:ascii="Garamond" w:hAnsi="Garamond"/>
        </w:rPr>
        <w:t>fessional Vocational Evaluators.</w:t>
      </w:r>
    </w:p>
    <w:p w14:paraId="7EDCA122" w14:textId="1F61A652" w:rsidR="007A1FDC" w:rsidRPr="00C0180F" w:rsidRDefault="007A1FDC" w:rsidP="00431254">
      <w:pPr>
        <w:pStyle w:val="Heading2"/>
        <w:rPr>
          <w:rFonts w:ascii="Garamond" w:hAnsi="Garamond"/>
          <w:sz w:val="24"/>
          <w:szCs w:val="24"/>
        </w:rPr>
      </w:pPr>
      <w:bookmarkStart w:id="193" w:name="_Toc447276221"/>
      <w:r w:rsidRPr="00C0180F">
        <w:rPr>
          <w:rFonts w:ascii="Garamond" w:hAnsi="Garamond"/>
          <w:sz w:val="24"/>
          <w:szCs w:val="24"/>
        </w:rPr>
        <w:t>Cooperative Ag</w:t>
      </w:r>
      <w:r w:rsidR="00FF44FF" w:rsidRPr="00C0180F">
        <w:rPr>
          <w:rFonts w:ascii="Garamond" w:hAnsi="Garamond"/>
          <w:sz w:val="24"/>
          <w:szCs w:val="24"/>
        </w:rPr>
        <w:t xml:space="preserve">reements &amp; Arrangements for </w:t>
      </w:r>
      <w:r w:rsidRPr="00C0180F">
        <w:rPr>
          <w:rFonts w:ascii="Garamond" w:hAnsi="Garamond"/>
          <w:sz w:val="24"/>
          <w:szCs w:val="24"/>
        </w:rPr>
        <w:t>Provision of Supported Employment Services</w:t>
      </w:r>
      <w:bookmarkEnd w:id="193"/>
      <w:r w:rsidRPr="00C0180F">
        <w:rPr>
          <w:rFonts w:ascii="Garamond" w:hAnsi="Garamond"/>
          <w:sz w:val="24"/>
          <w:szCs w:val="24"/>
        </w:rPr>
        <w:t xml:space="preserve"> </w:t>
      </w:r>
    </w:p>
    <w:p w14:paraId="711E8D4F" w14:textId="56548B6D" w:rsidR="007A1FDC" w:rsidRPr="004A0C12" w:rsidRDefault="007A1FDC" w:rsidP="00795424">
      <w:pPr>
        <w:pStyle w:val="NormalWeb2"/>
        <w:spacing w:before="0" w:after="0"/>
        <w:jc w:val="both"/>
        <w:rPr>
          <w:rFonts w:ascii="Garamond" w:hAnsi="Garamond"/>
          <w:sz w:val="22"/>
          <w:szCs w:val="22"/>
        </w:rPr>
      </w:pPr>
      <w:r w:rsidRPr="004A0C12">
        <w:rPr>
          <w:rFonts w:ascii="Garamond" w:hAnsi="Garamond"/>
          <w:sz w:val="22"/>
          <w:szCs w:val="22"/>
        </w:rPr>
        <w:t xml:space="preserve">The Division enters into cooperative agreements with the Developmental Disabilities Administration and the Behavioral Health Administration in order to provide for increased interagency cooperation, </w:t>
      </w:r>
      <w:r w:rsidR="00227090" w:rsidRPr="004A0C12">
        <w:rPr>
          <w:rFonts w:ascii="Garamond" w:hAnsi="Garamond"/>
          <w:sz w:val="22"/>
          <w:szCs w:val="22"/>
        </w:rPr>
        <w:t xml:space="preserve">to </w:t>
      </w:r>
      <w:r w:rsidRPr="004A0C12">
        <w:rPr>
          <w:rFonts w:ascii="Garamond" w:hAnsi="Garamond"/>
          <w:sz w:val="22"/>
          <w:szCs w:val="22"/>
        </w:rPr>
        <w:t>ensure the maximum utilization of appropriate programs and resources in the provision of services to individuals with disabilities,</w:t>
      </w:r>
      <w:r w:rsidR="00227090" w:rsidRPr="004A0C12">
        <w:rPr>
          <w:rFonts w:ascii="Garamond" w:hAnsi="Garamond"/>
          <w:sz w:val="22"/>
          <w:szCs w:val="22"/>
        </w:rPr>
        <w:t xml:space="preserve"> to</w:t>
      </w:r>
      <w:r w:rsidRPr="004A0C12">
        <w:rPr>
          <w:rFonts w:ascii="Garamond" w:hAnsi="Garamond"/>
          <w:sz w:val="22"/>
          <w:szCs w:val="22"/>
        </w:rPr>
        <w:t xml:space="preserve"> expand and improve services to individuals with significant disabilities, and</w:t>
      </w:r>
      <w:r w:rsidR="00227090" w:rsidRPr="004A0C12">
        <w:rPr>
          <w:rFonts w:ascii="Garamond" w:hAnsi="Garamond"/>
          <w:sz w:val="22"/>
          <w:szCs w:val="22"/>
        </w:rPr>
        <w:t xml:space="preserve"> to</w:t>
      </w:r>
      <w:r w:rsidRPr="004A0C12">
        <w:rPr>
          <w:rFonts w:ascii="Garamond" w:hAnsi="Garamond"/>
          <w:sz w:val="22"/>
          <w:szCs w:val="22"/>
        </w:rPr>
        <w:t xml:space="preserve"> maximize the use of comparable benefits.  </w:t>
      </w:r>
    </w:p>
    <w:p w14:paraId="3C20088F" w14:textId="77777777" w:rsidR="007A1FDC" w:rsidRPr="004A0C12" w:rsidRDefault="007A1FDC" w:rsidP="007A1FDC">
      <w:pPr>
        <w:pStyle w:val="NormalWeb2"/>
        <w:spacing w:before="0" w:after="0"/>
        <w:jc w:val="both"/>
        <w:rPr>
          <w:rFonts w:ascii="Garamond" w:hAnsi="Garamond"/>
          <w:sz w:val="22"/>
          <w:szCs w:val="22"/>
        </w:rPr>
      </w:pPr>
      <w:bookmarkStart w:id="194" w:name="bookmark"/>
      <w:bookmarkEnd w:id="194"/>
    </w:p>
    <w:p w14:paraId="33F52F57" w14:textId="77777777" w:rsidR="007A1FDC" w:rsidRPr="004A0C12" w:rsidRDefault="007A1FDC" w:rsidP="00431254">
      <w:pPr>
        <w:pStyle w:val="NormalWeb2"/>
        <w:spacing w:before="0" w:after="0"/>
        <w:jc w:val="both"/>
        <w:rPr>
          <w:rFonts w:ascii="Garamond" w:hAnsi="Garamond"/>
          <w:sz w:val="22"/>
          <w:szCs w:val="22"/>
        </w:rPr>
      </w:pPr>
      <w:r w:rsidRPr="004A0C12">
        <w:rPr>
          <w:rFonts w:ascii="Garamond" w:hAnsi="Garamond"/>
          <w:sz w:val="22"/>
          <w:szCs w:val="22"/>
        </w:rPr>
        <w:t>Formal written agreements set forth terms and conditions under which the Division and another agency or organization will cooperate in the provision of services. These formal interagency cooperative agreements will: Identify policies, practices, and procedures that can be coordinated among the agencies (particularly definitions, standards for eligibility, the joint sharing and use of evaluations and assessments, and procedures for making referrals), identify available resources and define the financial responsibility of each agency for paying for necessary services (consistent with State law) and procedures for resolving disputes between agencies, and include all additional components necessary to ensure meaningful</w:t>
      </w:r>
      <w:r w:rsidR="00431254" w:rsidRPr="004A0C12">
        <w:rPr>
          <w:rFonts w:ascii="Garamond" w:hAnsi="Garamond"/>
          <w:sz w:val="22"/>
          <w:szCs w:val="22"/>
        </w:rPr>
        <w:t xml:space="preserve"> cooperation and coordination. </w:t>
      </w:r>
    </w:p>
    <w:p w14:paraId="6025EAD4" w14:textId="77777777" w:rsidR="007A1FDC" w:rsidRPr="00C0180F" w:rsidRDefault="007A1FDC" w:rsidP="00431254">
      <w:pPr>
        <w:pStyle w:val="Heading3"/>
        <w:rPr>
          <w:rFonts w:ascii="Garamond" w:hAnsi="Garamond"/>
          <w:sz w:val="24"/>
          <w:szCs w:val="24"/>
        </w:rPr>
      </w:pPr>
      <w:bookmarkStart w:id="195" w:name="_Toc447276222"/>
      <w:r w:rsidRPr="00C0180F">
        <w:rPr>
          <w:rFonts w:ascii="Garamond" w:hAnsi="Garamond"/>
          <w:sz w:val="24"/>
          <w:szCs w:val="24"/>
        </w:rPr>
        <w:t>Evidenced Based Supported Employment</w:t>
      </w:r>
      <w:bookmarkEnd w:id="195"/>
    </w:p>
    <w:p w14:paraId="2F011955" w14:textId="2F73AC75" w:rsidR="007A1FDC" w:rsidRPr="004A0C12" w:rsidRDefault="007A1FDC" w:rsidP="007A1FDC">
      <w:pPr>
        <w:shd w:val="clear" w:color="auto" w:fill="FFFFFF"/>
        <w:spacing w:after="0" w:line="240" w:lineRule="auto"/>
        <w:jc w:val="both"/>
        <w:rPr>
          <w:rFonts w:ascii="Garamond" w:hAnsi="Garamond"/>
        </w:rPr>
      </w:pPr>
      <w:r w:rsidRPr="004A0C12">
        <w:rPr>
          <w:rFonts w:ascii="Garamond" w:hAnsi="Garamond"/>
        </w:rPr>
        <w:t>DORS has implemented a Milestone Payment system for psychiatric rehabilitation programs offering Evidence-Based Supported Employment services. The Milestone Payment system significantly streamlines provision of services for DORS and provider staff by substantially reducing preparation of authorizations and invoices, tracking of hours of services, and simplifying reporting.</w:t>
      </w:r>
    </w:p>
    <w:p w14:paraId="58358C66" w14:textId="5E35DB9D" w:rsidR="007A1FDC" w:rsidRPr="00C0180F" w:rsidRDefault="007A1FDC" w:rsidP="00431254">
      <w:pPr>
        <w:pStyle w:val="Heading3"/>
        <w:rPr>
          <w:rFonts w:ascii="Garamond" w:hAnsi="Garamond"/>
          <w:i/>
          <w:sz w:val="24"/>
          <w:szCs w:val="24"/>
        </w:rPr>
      </w:pPr>
      <w:bookmarkStart w:id="196" w:name="_Toc447276223"/>
      <w:r w:rsidRPr="00C0180F">
        <w:rPr>
          <w:rFonts w:ascii="Garamond" w:hAnsi="Garamond"/>
          <w:i/>
          <w:sz w:val="24"/>
          <w:szCs w:val="24"/>
        </w:rPr>
        <w:t>Employment First</w:t>
      </w:r>
      <w:bookmarkEnd w:id="196"/>
    </w:p>
    <w:p w14:paraId="1957F994" w14:textId="6DED7F49" w:rsidR="007A1FDC" w:rsidRPr="004A0C12" w:rsidRDefault="007A1FDC" w:rsidP="007A1FDC">
      <w:pPr>
        <w:shd w:val="clear" w:color="auto" w:fill="FFFFFF"/>
        <w:spacing w:after="0" w:line="240" w:lineRule="auto"/>
        <w:jc w:val="both"/>
        <w:rPr>
          <w:rFonts w:ascii="Garamond" w:hAnsi="Garamond"/>
        </w:rPr>
      </w:pPr>
      <w:r w:rsidRPr="004A0C12">
        <w:rPr>
          <w:rFonts w:ascii="Garamond" w:hAnsi="Garamond"/>
        </w:rPr>
        <w:t>DORS is a partner with other State agencies</w:t>
      </w:r>
      <w:r w:rsidR="00795424" w:rsidRPr="004A0C12">
        <w:rPr>
          <w:rFonts w:ascii="Garamond" w:hAnsi="Garamond"/>
        </w:rPr>
        <w:t xml:space="preserve"> (including WIOA Partner, DLLR)</w:t>
      </w:r>
      <w:r w:rsidR="00FF755D" w:rsidRPr="004A0C12">
        <w:rPr>
          <w:rFonts w:ascii="Garamond" w:hAnsi="Garamond"/>
        </w:rPr>
        <w:t xml:space="preserve"> and Community R</w:t>
      </w:r>
      <w:r w:rsidRPr="004A0C12">
        <w:rPr>
          <w:rFonts w:ascii="Garamond" w:hAnsi="Garamond"/>
        </w:rPr>
        <w:t>ehabi</w:t>
      </w:r>
      <w:r w:rsidR="00FF755D" w:rsidRPr="004A0C12">
        <w:rPr>
          <w:rFonts w:ascii="Garamond" w:hAnsi="Garamond"/>
        </w:rPr>
        <w:t>litation P</w:t>
      </w:r>
      <w:r w:rsidRPr="004A0C12">
        <w:rPr>
          <w:rFonts w:ascii="Garamond" w:hAnsi="Garamond"/>
        </w:rPr>
        <w:t xml:space="preserve">rograms in implementing </w:t>
      </w:r>
      <w:r w:rsidRPr="004A0C12">
        <w:rPr>
          <w:rFonts w:ascii="Garamond" w:hAnsi="Garamond"/>
          <w:i/>
        </w:rPr>
        <w:t>Employment First</w:t>
      </w:r>
      <w:r w:rsidRPr="004A0C12">
        <w:rPr>
          <w:rFonts w:ascii="Garamond" w:hAnsi="Garamond"/>
        </w:rPr>
        <w:t>, a national effort to assure that all individuals, including those with significant disabilities, consider employment on a preferred basis in planning for their lives. </w:t>
      </w:r>
      <w:r w:rsidRPr="004A0C12">
        <w:rPr>
          <w:rFonts w:ascii="Garamond" w:hAnsi="Garamond"/>
          <w:i/>
        </w:rPr>
        <w:t>Employment First</w:t>
      </w:r>
      <w:r w:rsidRPr="004A0C12">
        <w:rPr>
          <w:rFonts w:ascii="Garamond" w:hAnsi="Garamond"/>
        </w:rPr>
        <w:t xml:space="preserve">, is consistent with DORS’ belief that individuals with </w:t>
      </w:r>
      <w:r w:rsidRPr="004A0C12">
        <w:rPr>
          <w:rFonts w:ascii="Garamond" w:hAnsi="Garamond"/>
        </w:rPr>
        <w:lastRenderedPageBreak/>
        <w:t xml:space="preserve">disabilities, even the most significant disabilities, can work in meaningful positions in integrated settings when provided with adequate, appropriate supports. Supported employment is appropriate for individuals in </w:t>
      </w:r>
      <w:r w:rsidRPr="004A0C12">
        <w:rPr>
          <w:rFonts w:ascii="Garamond" w:hAnsi="Garamond"/>
          <w:i/>
        </w:rPr>
        <w:t>Employment First</w:t>
      </w:r>
      <w:r w:rsidRPr="004A0C12">
        <w:rPr>
          <w:rFonts w:ascii="Garamond" w:hAnsi="Garamond"/>
        </w:rPr>
        <w:t xml:space="preserve"> and is the means to assure the best cha</w:t>
      </w:r>
      <w:r w:rsidR="00795424" w:rsidRPr="004A0C12">
        <w:rPr>
          <w:rFonts w:ascii="Garamond" w:hAnsi="Garamond"/>
        </w:rPr>
        <w:t xml:space="preserve">nce for success in employment. Benefits </w:t>
      </w:r>
      <w:r w:rsidRPr="004A0C12">
        <w:rPr>
          <w:rFonts w:ascii="Garamond" w:hAnsi="Garamond"/>
        </w:rPr>
        <w:t>planning is an important part of services for individuals s</w:t>
      </w:r>
      <w:r w:rsidR="00431254" w:rsidRPr="004A0C12">
        <w:rPr>
          <w:rFonts w:ascii="Garamond" w:hAnsi="Garamond"/>
        </w:rPr>
        <w:t xml:space="preserve">erved through </w:t>
      </w:r>
      <w:r w:rsidR="00431254" w:rsidRPr="004A0C12">
        <w:rPr>
          <w:rFonts w:ascii="Garamond" w:hAnsi="Garamond"/>
          <w:i/>
        </w:rPr>
        <w:t>Employment First</w:t>
      </w:r>
      <w:r w:rsidR="00431254" w:rsidRPr="004A0C12">
        <w:rPr>
          <w:rFonts w:ascii="Garamond" w:hAnsi="Garamond"/>
        </w:rPr>
        <w:t>.</w:t>
      </w:r>
    </w:p>
    <w:p w14:paraId="5F0E520B" w14:textId="77777777" w:rsidR="007A1FDC" w:rsidRPr="00C0180F" w:rsidRDefault="007A1FDC" w:rsidP="00431254">
      <w:pPr>
        <w:pStyle w:val="Heading3"/>
        <w:rPr>
          <w:rFonts w:ascii="Garamond" w:hAnsi="Garamond"/>
          <w:sz w:val="24"/>
          <w:szCs w:val="24"/>
        </w:rPr>
      </w:pPr>
      <w:bookmarkStart w:id="197" w:name="_Toc447276224"/>
      <w:r w:rsidRPr="00C0180F">
        <w:rPr>
          <w:rFonts w:ascii="Garamond" w:hAnsi="Garamond"/>
          <w:sz w:val="24"/>
          <w:szCs w:val="24"/>
        </w:rPr>
        <w:t>Governor’s Employment Program for Persons with Acquired Brain Injury</w:t>
      </w:r>
      <w:bookmarkEnd w:id="197"/>
      <w:r w:rsidRPr="00C0180F">
        <w:rPr>
          <w:rFonts w:ascii="Garamond" w:hAnsi="Garamond"/>
          <w:sz w:val="24"/>
          <w:szCs w:val="24"/>
        </w:rPr>
        <w:t xml:space="preserve"> </w:t>
      </w:r>
    </w:p>
    <w:p w14:paraId="436E6170" w14:textId="0B4CB3C6" w:rsidR="007A1FDC" w:rsidRPr="004A0C12" w:rsidRDefault="007A1FDC" w:rsidP="007A1FDC">
      <w:pPr>
        <w:shd w:val="clear" w:color="auto" w:fill="FFFFFF"/>
        <w:spacing w:after="0" w:line="240" w:lineRule="auto"/>
        <w:jc w:val="both"/>
        <w:rPr>
          <w:rFonts w:ascii="Garamond" w:hAnsi="Garamond"/>
        </w:rPr>
      </w:pPr>
      <w:r w:rsidRPr="004A0C12">
        <w:rPr>
          <w:rFonts w:ascii="Garamond" w:hAnsi="Garamond"/>
        </w:rPr>
        <w:t>The Governor’s Employment Program for Persons with Acquired Brain Injury (ABI Project) provides intensive vocational rehabilitation and long-term supports to individuals with acquired brain injuries. This often includes needed neuropsychological and other assessments, training and supported employment services</w:t>
      </w:r>
      <w:r w:rsidR="00795424" w:rsidRPr="004A0C12">
        <w:rPr>
          <w:rFonts w:ascii="Garamond" w:hAnsi="Garamond"/>
        </w:rPr>
        <w:t>,</w:t>
      </w:r>
      <w:r w:rsidRPr="004A0C12">
        <w:rPr>
          <w:rFonts w:ascii="Garamond" w:hAnsi="Garamond"/>
        </w:rPr>
        <w:t xml:space="preserve"> and long-term job coaching.</w:t>
      </w:r>
    </w:p>
    <w:p w14:paraId="7C9CDFAC" w14:textId="77777777" w:rsidR="007A1FDC" w:rsidRPr="004A0C12" w:rsidRDefault="007A1FDC" w:rsidP="007A1FDC">
      <w:pPr>
        <w:shd w:val="clear" w:color="auto" w:fill="FFFFFF"/>
        <w:spacing w:after="0" w:line="240" w:lineRule="auto"/>
        <w:jc w:val="both"/>
        <w:rPr>
          <w:rFonts w:ascii="Garamond" w:hAnsi="Garamond"/>
        </w:rPr>
      </w:pPr>
    </w:p>
    <w:p w14:paraId="293DCF75" w14:textId="77777777" w:rsidR="007A1FDC" w:rsidRPr="004A0C12" w:rsidRDefault="00B709F8" w:rsidP="007A1FDC">
      <w:pPr>
        <w:shd w:val="clear" w:color="auto" w:fill="FFFFFF"/>
        <w:spacing w:after="0" w:line="240" w:lineRule="auto"/>
        <w:jc w:val="both"/>
        <w:rPr>
          <w:rFonts w:ascii="Garamond" w:hAnsi="Garamond"/>
        </w:rPr>
      </w:pPr>
      <w:r w:rsidRPr="004A0C12">
        <w:rPr>
          <w:rFonts w:ascii="Garamond" w:hAnsi="Garamond"/>
        </w:rPr>
        <w:t>Individuals with</w:t>
      </w:r>
      <w:r w:rsidR="007A1FDC" w:rsidRPr="004A0C12">
        <w:rPr>
          <w:rFonts w:ascii="Garamond" w:hAnsi="Garamond"/>
        </w:rPr>
        <w:t xml:space="preserve"> acquired brain injuries often do not qualify for long-term supports offered through the B</w:t>
      </w:r>
      <w:r w:rsidRPr="004A0C12">
        <w:rPr>
          <w:rFonts w:ascii="Garamond" w:hAnsi="Garamond"/>
        </w:rPr>
        <w:t>ehavioral Health Administration</w:t>
      </w:r>
      <w:r w:rsidR="007A1FDC" w:rsidRPr="004A0C12">
        <w:rPr>
          <w:rFonts w:ascii="Garamond" w:hAnsi="Garamond"/>
        </w:rPr>
        <w:t> for people with chronic mental illness or the Developmental Disabilities Adminis</w:t>
      </w:r>
      <w:r w:rsidRPr="004A0C12">
        <w:rPr>
          <w:rFonts w:ascii="Garamond" w:hAnsi="Garamond"/>
        </w:rPr>
        <w:t>tration</w:t>
      </w:r>
      <w:r w:rsidR="007A1FDC" w:rsidRPr="004A0C12">
        <w:rPr>
          <w:rFonts w:ascii="Garamond" w:hAnsi="Garamond"/>
        </w:rPr>
        <w:t xml:space="preserve"> for individuals with developmental disabilities. This program includes periodic meetings of DORS staff assigned ABI Project cases, DORS managers and staff of CRPs serving individuals with acquired brain injuries and includes a training component.</w:t>
      </w:r>
    </w:p>
    <w:p w14:paraId="434C8CA7" w14:textId="77777777" w:rsidR="007A1FDC" w:rsidRPr="004A0C12" w:rsidRDefault="007A1FDC" w:rsidP="007A1FDC">
      <w:pPr>
        <w:shd w:val="clear" w:color="auto" w:fill="FFFFFF"/>
        <w:spacing w:after="0" w:line="240" w:lineRule="auto"/>
        <w:jc w:val="both"/>
        <w:rPr>
          <w:rFonts w:ascii="Garamond" w:hAnsi="Garamond"/>
        </w:rPr>
      </w:pPr>
    </w:p>
    <w:p w14:paraId="6ABCB1A4" w14:textId="2D489783" w:rsidR="00B709F8" w:rsidRPr="004A0C12" w:rsidRDefault="007A1FDC" w:rsidP="00431254">
      <w:pPr>
        <w:shd w:val="clear" w:color="auto" w:fill="FFFFFF"/>
        <w:spacing w:after="0" w:line="240" w:lineRule="auto"/>
        <w:jc w:val="both"/>
        <w:rPr>
          <w:rFonts w:ascii="Garamond" w:hAnsi="Garamond"/>
        </w:rPr>
      </w:pPr>
      <w:r w:rsidRPr="004A0C12">
        <w:rPr>
          <w:rFonts w:ascii="Garamond" w:hAnsi="Garamond"/>
        </w:rPr>
        <w:t>The ABI Program allows DORS to identify and serve 50 individuals annually with traumatic brain injuries with intensive and continuous service delivery with community part</w:t>
      </w:r>
      <w:r w:rsidR="00FF755D" w:rsidRPr="004A0C12">
        <w:rPr>
          <w:rFonts w:ascii="Garamond" w:hAnsi="Garamond"/>
        </w:rPr>
        <w:t>nerships. DORS is working with Community Rehabilitation P</w:t>
      </w:r>
      <w:r w:rsidRPr="004A0C12">
        <w:rPr>
          <w:rFonts w:ascii="Garamond" w:hAnsi="Garamond"/>
        </w:rPr>
        <w:t>rograms and other organizations to provide the necessary services, including job coaching, to eligible individuals. A unique aspect of this program is that DORS provides the funding for the long-term job co</w:t>
      </w:r>
      <w:r w:rsidR="00795424" w:rsidRPr="004A0C12">
        <w:rPr>
          <w:rFonts w:ascii="Garamond" w:hAnsi="Garamond"/>
        </w:rPr>
        <w:t>aching support as part of post-</w:t>
      </w:r>
      <w:r w:rsidRPr="004A0C12">
        <w:rPr>
          <w:rFonts w:ascii="Garamond" w:hAnsi="Garamond"/>
        </w:rPr>
        <w:t>employment services for individuals.</w:t>
      </w:r>
    </w:p>
    <w:p w14:paraId="63F7CBA6" w14:textId="168B4700" w:rsidR="007A1FDC" w:rsidRPr="00C0180F" w:rsidRDefault="00431254" w:rsidP="00431254">
      <w:pPr>
        <w:pStyle w:val="Heading2"/>
        <w:rPr>
          <w:rFonts w:ascii="Garamond" w:hAnsi="Garamond"/>
          <w:sz w:val="24"/>
          <w:szCs w:val="24"/>
        </w:rPr>
      </w:pPr>
      <w:bookmarkStart w:id="198" w:name="_Toc447276225"/>
      <w:r w:rsidRPr="00C0180F">
        <w:rPr>
          <w:rFonts w:ascii="Garamond" w:hAnsi="Garamond"/>
          <w:sz w:val="24"/>
          <w:szCs w:val="24"/>
        </w:rPr>
        <w:t>C</w:t>
      </w:r>
      <w:r w:rsidR="007A1FDC" w:rsidRPr="00C0180F">
        <w:rPr>
          <w:rFonts w:ascii="Garamond" w:hAnsi="Garamond"/>
          <w:sz w:val="24"/>
          <w:szCs w:val="24"/>
        </w:rPr>
        <w:t xml:space="preserve">OORDINATION WITH </w:t>
      </w:r>
      <w:r w:rsidR="003B2AF0" w:rsidRPr="00C0180F">
        <w:rPr>
          <w:rFonts w:ascii="Garamond" w:hAnsi="Garamond"/>
          <w:sz w:val="24"/>
          <w:szCs w:val="24"/>
        </w:rPr>
        <w:t>BUSINESS</w:t>
      </w:r>
      <w:bookmarkEnd w:id="198"/>
      <w:r w:rsidR="007A1FDC" w:rsidRPr="00C0180F">
        <w:rPr>
          <w:rFonts w:ascii="Garamond" w:hAnsi="Garamond"/>
          <w:sz w:val="24"/>
          <w:szCs w:val="24"/>
        </w:rPr>
        <w:t xml:space="preserve"> </w:t>
      </w:r>
    </w:p>
    <w:p w14:paraId="344C8ECD" w14:textId="23FF8726" w:rsidR="007A1FDC" w:rsidRPr="004A0C12" w:rsidRDefault="003B2AF0" w:rsidP="007A1FDC">
      <w:pPr>
        <w:tabs>
          <w:tab w:val="left" w:pos="360"/>
        </w:tabs>
        <w:spacing w:after="0" w:line="240" w:lineRule="auto"/>
        <w:jc w:val="both"/>
        <w:rPr>
          <w:rFonts w:ascii="Garamond" w:hAnsi="Garamond"/>
        </w:rPr>
      </w:pPr>
      <w:r w:rsidRPr="004A0C12">
        <w:rPr>
          <w:rFonts w:ascii="Garamond" w:hAnsi="Garamond"/>
        </w:rPr>
        <w:t xml:space="preserve">Businesses must play a central role in the workforce system and, in coordination with its WIOA Partners, </w:t>
      </w:r>
      <w:r w:rsidR="00795424" w:rsidRPr="004A0C12">
        <w:rPr>
          <w:rFonts w:ascii="Garamond" w:hAnsi="Garamond"/>
        </w:rPr>
        <w:t>DORS</w:t>
      </w:r>
      <w:r w:rsidR="007A1FDC" w:rsidRPr="004A0C12">
        <w:rPr>
          <w:rFonts w:ascii="Garamond" w:hAnsi="Garamond"/>
        </w:rPr>
        <w:t xml:space="preserve"> is well-positioned to expand engagement with </w:t>
      </w:r>
      <w:r w:rsidRPr="004A0C12">
        <w:rPr>
          <w:rFonts w:ascii="Garamond" w:hAnsi="Garamond"/>
        </w:rPr>
        <w:t>businesses</w:t>
      </w:r>
      <w:r w:rsidR="007A1FDC" w:rsidRPr="004A0C12">
        <w:rPr>
          <w:rFonts w:ascii="Garamond" w:hAnsi="Garamond"/>
        </w:rPr>
        <w:t xml:space="preserve"> </w:t>
      </w:r>
      <w:r w:rsidRPr="004A0C12">
        <w:rPr>
          <w:rFonts w:ascii="Garamond" w:hAnsi="Garamond"/>
        </w:rPr>
        <w:t xml:space="preserve">to provide for </w:t>
      </w:r>
      <w:r w:rsidR="007A1FDC" w:rsidRPr="004A0C12">
        <w:rPr>
          <w:rFonts w:ascii="Garamond" w:hAnsi="Garamond"/>
        </w:rPr>
        <w:t>quality vocational rehabilitation ser</w:t>
      </w:r>
      <w:r w:rsidR="00795424" w:rsidRPr="004A0C12">
        <w:rPr>
          <w:rFonts w:ascii="Garamond" w:hAnsi="Garamond"/>
        </w:rPr>
        <w:t xml:space="preserve">vices and employment outcomes. </w:t>
      </w:r>
      <w:r w:rsidRPr="004A0C12">
        <w:rPr>
          <w:rFonts w:ascii="Garamond" w:hAnsi="Garamond"/>
        </w:rPr>
        <w:t xml:space="preserve">Like its WIOA Partners, </w:t>
      </w:r>
      <w:r w:rsidR="007A1FDC" w:rsidRPr="004A0C12">
        <w:rPr>
          <w:rFonts w:ascii="Garamond" w:hAnsi="Garamond"/>
        </w:rPr>
        <w:t>DORS has embraced the dual-customer model and has been building capacities over the last several years for dedicated positions tasked with employer outreach and engagement, as well as technical assistance to vocational rehabilita</w:t>
      </w:r>
      <w:r w:rsidRPr="004A0C12">
        <w:rPr>
          <w:rFonts w:ascii="Garamond" w:hAnsi="Garamond"/>
        </w:rPr>
        <w:t xml:space="preserve">tion counselors and consumers. </w:t>
      </w:r>
    </w:p>
    <w:p w14:paraId="780F0CBC" w14:textId="77777777" w:rsidR="007A1FDC" w:rsidRPr="004A0C12" w:rsidRDefault="007A1FDC" w:rsidP="007A1FDC">
      <w:pPr>
        <w:tabs>
          <w:tab w:val="left" w:pos="360"/>
        </w:tabs>
        <w:spacing w:after="0" w:line="240" w:lineRule="auto"/>
        <w:jc w:val="both"/>
        <w:rPr>
          <w:rFonts w:ascii="Garamond" w:hAnsi="Garamond"/>
        </w:rPr>
      </w:pPr>
    </w:p>
    <w:p w14:paraId="74688653" w14:textId="1CE039AE" w:rsidR="007A1FDC" w:rsidRPr="004A0C12" w:rsidRDefault="007A1FDC" w:rsidP="007A1FDC">
      <w:pPr>
        <w:tabs>
          <w:tab w:val="left" w:pos="360"/>
        </w:tabs>
        <w:spacing w:after="0" w:line="240" w:lineRule="auto"/>
        <w:jc w:val="both"/>
        <w:rPr>
          <w:rFonts w:ascii="Garamond" w:hAnsi="Garamond"/>
        </w:rPr>
      </w:pPr>
      <w:r w:rsidRPr="004A0C12">
        <w:rPr>
          <w:rFonts w:ascii="Garamond" w:hAnsi="Garamond"/>
        </w:rPr>
        <w:t>DORS has created a Business Relations Branch that includes a Program Manager and seven regional Bus</w:t>
      </w:r>
      <w:r w:rsidR="00795424" w:rsidRPr="004A0C12">
        <w:rPr>
          <w:rFonts w:ascii="Garamond" w:hAnsi="Garamond"/>
        </w:rPr>
        <w:t xml:space="preserve">iness Services Representatives. </w:t>
      </w:r>
      <w:r w:rsidRPr="004A0C12">
        <w:rPr>
          <w:rFonts w:ascii="Garamond" w:hAnsi="Garamond"/>
        </w:rPr>
        <w:t>This organizational structure ensures statewide oversight, information sharing and collaboration, and a team approach to employer engagement.  The Business Relations Branch works closely with the agency’s Workfo</w:t>
      </w:r>
      <w:r w:rsidR="003B2AF0" w:rsidRPr="004A0C12">
        <w:rPr>
          <w:rFonts w:ascii="Garamond" w:hAnsi="Garamond"/>
        </w:rPr>
        <w:t xml:space="preserve">rce and Technology Center </w:t>
      </w:r>
      <w:r w:rsidRPr="004A0C12">
        <w:rPr>
          <w:rFonts w:ascii="Garamond" w:hAnsi="Garamond"/>
        </w:rPr>
        <w:t>Employment Services to coordinate services to employers that enhance services and employ</w:t>
      </w:r>
      <w:r w:rsidR="003B2AF0" w:rsidRPr="004A0C12">
        <w:rPr>
          <w:rFonts w:ascii="Garamond" w:hAnsi="Garamond"/>
        </w:rPr>
        <w:t>ment outcomes for consumers. Workforce and Technology Center</w:t>
      </w:r>
      <w:r w:rsidRPr="004A0C12">
        <w:rPr>
          <w:rFonts w:ascii="Garamond" w:hAnsi="Garamond"/>
        </w:rPr>
        <w:t xml:space="preserve">’s training advisory committees engage employers in specific industries to ensure training programs are in line with industry </w:t>
      </w:r>
      <w:r w:rsidR="003B2AF0" w:rsidRPr="004A0C12">
        <w:rPr>
          <w:rFonts w:ascii="Garamond" w:hAnsi="Garamond"/>
        </w:rPr>
        <w:t>needs and standards, and the Workforce and Technology Center’s</w:t>
      </w:r>
      <w:r w:rsidRPr="004A0C12">
        <w:rPr>
          <w:rFonts w:ascii="Garamond" w:hAnsi="Garamond"/>
        </w:rPr>
        <w:t xml:space="preserve"> Work Readiness Programs work with community employers to develop worksites for</w:t>
      </w:r>
      <w:r w:rsidR="003B2AF0" w:rsidRPr="004A0C12">
        <w:rPr>
          <w:rFonts w:ascii="Garamond" w:hAnsi="Garamond"/>
        </w:rPr>
        <w:t xml:space="preserve"> students. Additionally, the Workforce and Technology Center</w:t>
      </w:r>
      <w:r w:rsidRPr="004A0C12">
        <w:rPr>
          <w:rFonts w:ascii="Garamond" w:hAnsi="Garamond"/>
        </w:rPr>
        <w:t>’s Rehabilitation Technology Services is a key component to serving employers through its worksite services.</w:t>
      </w:r>
    </w:p>
    <w:p w14:paraId="68F60C12" w14:textId="77777777" w:rsidR="007A1FDC" w:rsidRPr="004A0C12" w:rsidRDefault="007A1FDC" w:rsidP="007A1FDC">
      <w:pPr>
        <w:tabs>
          <w:tab w:val="left" w:pos="360"/>
        </w:tabs>
        <w:spacing w:after="0" w:line="240" w:lineRule="auto"/>
        <w:jc w:val="both"/>
        <w:rPr>
          <w:rFonts w:ascii="Garamond" w:hAnsi="Garamond"/>
        </w:rPr>
      </w:pPr>
    </w:p>
    <w:p w14:paraId="4239FA5C" w14:textId="62551C9F" w:rsidR="007A1FDC" w:rsidRPr="004A0C12" w:rsidRDefault="003B2AF0" w:rsidP="007A1FDC">
      <w:pPr>
        <w:tabs>
          <w:tab w:val="left" w:pos="360"/>
        </w:tabs>
        <w:spacing w:after="0" w:line="240" w:lineRule="auto"/>
        <w:jc w:val="both"/>
        <w:rPr>
          <w:rFonts w:ascii="Garamond" w:hAnsi="Garamond"/>
        </w:rPr>
      </w:pPr>
      <w:r w:rsidRPr="004A0C12">
        <w:rPr>
          <w:rFonts w:ascii="Garamond" w:hAnsi="Garamond"/>
        </w:rPr>
        <w:t xml:space="preserve">Currently, </w:t>
      </w:r>
      <w:r w:rsidR="007A1FDC" w:rsidRPr="004A0C12">
        <w:rPr>
          <w:rFonts w:ascii="Garamond" w:hAnsi="Garamond"/>
        </w:rPr>
        <w:t xml:space="preserve">DORS Business Services Representatives participate </w:t>
      </w:r>
      <w:r w:rsidRPr="004A0C12">
        <w:rPr>
          <w:rFonts w:ascii="Garamond" w:hAnsi="Garamond"/>
        </w:rPr>
        <w:t>alongside</w:t>
      </w:r>
      <w:r w:rsidR="007A1FDC" w:rsidRPr="004A0C12">
        <w:rPr>
          <w:rFonts w:ascii="Garamond" w:hAnsi="Garamond"/>
        </w:rPr>
        <w:t xml:space="preserve"> </w:t>
      </w:r>
      <w:r w:rsidRPr="004A0C12">
        <w:rPr>
          <w:rFonts w:ascii="Garamond" w:hAnsi="Garamond"/>
        </w:rPr>
        <w:t xml:space="preserve">DLLR State and local workforce </w:t>
      </w:r>
      <w:r w:rsidR="007A1FDC" w:rsidRPr="004A0C12">
        <w:rPr>
          <w:rFonts w:ascii="Garamond" w:hAnsi="Garamond"/>
        </w:rPr>
        <w:t xml:space="preserve">business services </w:t>
      </w:r>
      <w:r w:rsidRPr="004A0C12">
        <w:rPr>
          <w:rFonts w:ascii="Garamond" w:hAnsi="Garamond"/>
        </w:rPr>
        <w:t xml:space="preserve">representatives </w:t>
      </w:r>
      <w:r w:rsidR="007A1FDC" w:rsidRPr="004A0C12">
        <w:rPr>
          <w:rFonts w:ascii="Garamond" w:hAnsi="Garamond"/>
        </w:rPr>
        <w:t>in quarterly statewide training that includes effective skills, strategies and collaboration for business outreach and quality services, business and industry-specific information, and real-time and projected labor market and economic development information.</w:t>
      </w:r>
      <w:r w:rsidRPr="004A0C12">
        <w:rPr>
          <w:rFonts w:ascii="Garamond" w:hAnsi="Garamond"/>
        </w:rPr>
        <w:t xml:space="preserve"> The WIOA Partners and their Business Services Team agree to work together to ensure quality customer service to businesses. In frequent communication, the WIOA Business Services Team will develop a deeper understanding of the services each partner offers, and, after understanding a business’s needs, will be able to refer the businesses to the services of fellow team members.  </w:t>
      </w:r>
    </w:p>
    <w:p w14:paraId="454683DF" w14:textId="590592AD" w:rsidR="007A1FDC" w:rsidRPr="004A0C12" w:rsidRDefault="007A1FDC" w:rsidP="007A1FDC">
      <w:pPr>
        <w:tabs>
          <w:tab w:val="left" w:pos="360"/>
        </w:tabs>
        <w:spacing w:after="0" w:line="240" w:lineRule="auto"/>
        <w:jc w:val="both"/>
        <w:rPr>
          <w:rFonts w:ascii="Garamond" w:hAnsi="Garamond"/>
        </w:rPr>
      </w:pPr>
      <w:r w:rsidRPr="004A0C12">
        <w:rPr>
          <w:rFonts w:ascii="Garamond" w:hAnsi="Garamond"/>
        </w:rPr>
        <w:t>The DORS Business Relations Branch an</w:t>
      </w:r>
      <w:r w:rsidR="003B2AF0" w:rsidRPr="004A0C12">
        <w:rPr>
          <w:rFonts w:ascii="Garamond" w:hAnsi="Garamond"/>
        </w:rPr>
        <w:t>d Employment Services at the Workforce and Technology Center</w:t>
      </w:r>
      <w:r w:rsidRPr="004A0C12">
        <w:rPr>
          <w:rFonts w:ascii="Garamond" w:hAnsi="Garamond"/>
        </w:rPr>
        <w:t xml:space="preserve"> meet and participate in quarterly training to enhance team capacities in working with employers to expand employment and work-based learning experiences.  </w:t>
      </w:r>
    </w:p>
    <w:p w14:paraId="3AA5D7A7" w14:textId="77777777" w:rsidR="00961036" w:rsidRPr="004A0C12" w:rsidRDefault="00961036" w:rsidP="007A1FDC">
      <w:pPr>
        <w:tabs>
          <w:tab w:val="left" w:pos="360"/>
        </w:tabs>
        <w:spacing w:after="0" w:line="240" w:lineRule="auto"/>
        <w:jc w:val="both"/>
        <w:rPr>
          <w:rFonts w:ascii="Garamond" w:hAnsi="Garamond"/>
        </w:rPr>
      </w:pPr>
    </w:p>
    <w:p w14:paraId="3D3DE3CB" w14:textId="551B2E4C" w:rsidR="007A1FDC" w:rsidRPr="004A0C12" w:rsidRDefault="007A1FDC" w:rsidP="007A1FDC">
      <w:pPr>
        <w:tabs>
          <w:tab w:val="left" w:pos="360"/>
        </w:tabs>
        <w:spacing w:after="0" w:line="240" w:lineRule="auto"/>
        <w:jc w:val="both"/>
        <w:rPr>
          <w:rFonts w:ascii="Garamond" w:hAnsi="Garamond"/>
        </w:rPr>
      </w:pPr>
      <w:r w:rsidRPr="004A0C12">
        <w:rPr>
          <w:rFonts w:ascii="Garamond" w:hAnsi="Garamond"/>
        </w:rPr>
        <w:t xml:space="preserve">These structures and </w:t>
      </w:r>
      <w:r w:rsidR="00583040" w:rsidRPr="004A0C12">
        <w:rPr>
          <w:rFonts w:ascii="Garamond" w:hAnsi="Garamond"/>
        </w:rPr>
        <w:t xml:space="preserve">collaborative </w:t>
      </w:r>
      <w:r w:rsidRPr="004A0C12">
        <w:rPr>
          <w:rFonts w:ascii="Garamond" w:hAnsi="Garamond"/>
        </w:rPr>
        <w:t>activities ensure that DORS is prepared and able to effectively engage with businesses to meet their workforce needs. The activities also provide the best information on careers, business needs, labor market inf</w:t>
      </w:r>
      <w:r w:rsidR="00583040" w:rsidRPr="004A0C12">
        <w:rPr>
          <w:rFonts w:ascii="Garamond" w:hAnsi="Garamond"/>
        </w:rPr>
        <w:t>ormation, and opportunities to jobseekers</w:t>
      </w:r>
      <w:r w:rsidRPr="004A0C12">
        <w:rPr>
          <w:rFonts w:ascii="Garamond" w:hAnsi="Garamond"/>
        </w:rPr>
        <w:t xml:space="preserve"> so that they can make informed choices on their employment goals and access programs and services that lead to successful outcomes.        </w:t>
      </w:r>
    </w:p>
    <w:p w14:paraId="0A58BE2A" w14:textId="77777777" w:rsidR="007A1FDC" w:rsidRPr="004A0C12" w:rsidRDefault="007A1FDC" w:rsidP="007A1FDC">
      <w:pPr>
        <w:tabs>
          <w:tab w:val="left" w:pos="360"/>
        </w:tabs>
        <w:spacing w:after="0" w:line="240" w:lineRule="auto"/>
        <w:jc w:val="both"/>
        <w:rPr>
          <w:rFonts w:ascii="Garamond" w:hAnsi="Garamond"/>
        </w:rPr>
      </w:pPr>
      <w:r w:rsidRPr="004A0C12">
        <w:rPr>
          <w:rFonts w:ascii="Garamond" w:hAnsi="Garamond"/>
        </w:rPr>
        <w:t xml:space="preserve">           </w:t>
      </w:r>
    </w:p>
    <w:p w14:paraId="0983F574" w14:textId="2755CD3D" w:rsidR="007A1FDC" w:rsidRPr="004A0C12" w:rsidRDefault="007A1FDC" w:rsidP="00232F09">
      <w:pPr>
        <w:pStyle w:val="ListParagraph"/>
        <w:numPr>
          <w:ilvl w:val="0"/>
          <w:numId w:val="132"/>
        </w:numPr>
        <w:ind w:hanging="360"/>
        <w:jc w:val="both"/>
        <w:rPr>
          <w:rFonts w:ascii="Garamond" w:hAnsi="Garamond"/>
          <w:szCs w:val="22"/>
        </w:rPr>
      </w:pPr>
      <w:r w:rsidRPr="004A0C12">
        <w:rPr>
          <w:rFonts w:ascii="Garamond" w:hAnsi="Garamond"/>
          <w:szCs w:val="22"/>
        </w:rPr>
        <w:lastRenderedPageBreak/>
        <w:t>DORS will bu</w:t>
      </w:r>
      <w:r w:rsidR="00613A95" w:rsidRPr="004A0C12">
        <w:rPr>
          <w:rFonts w:ascii="Garamond" w:hAnsi="Garamond"/>
          <w:szCs w:val="22"/>
        </w:rPr>
        <w:t>ild relationships with businesses</w:t>
      </w:r>
      <w:r w:rsidRPr="004A0C12">
        <w:rPr>
          <w:rFonts w:ascii="Garamond" w:hAnsi="Garamond"/>
          <w:szCs w:val="22"/>
        </w:rPr>
        <w:t xml:space="preserve"> that result in improved career development and competitive-integrated employment outcomes for consumers through the following activities:</w:t>
      </w:r>
    </w:p>
    <w:p w14:paraId="266C0C5A" w14:textId="77777777" w:rsidR="007A1FDC" w:rsidRPr="004A0C12" w:rsidRDefault="007A1FDC" w:rsidP="007A1FDC">
      <w:pPr>
        <w:pStyle w:val="ListParagraph"/>
        <w:tabs>
          <w:tab w:val="left" w:pos="360"/>
        </w:tabs>
        <w:ind w:left="360"/>
        <w:jc w:val="both"/>
        <w:rPr>
          <w:rFonts w:ascii="Garamond" w:hAnsi="Garamond"/>
          <w:szCs w:val="22"/>
        </w:rPr>
      </w:pPr>
    </w:p>
    <w:p w14:paraId="1A22AECA" w14:textId="15C1AB20"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 xml:space="preserve">Promoting and marketing the employment of persons with disabilities by networking and developing active partnerships with businesses and business-related organizations, such as Chambers of Commerce, Society of Human Resource Managers, Business Leadership Networks, </w:t>
      </w:r>
      <w:r w:rsidR="00613A95" w:rsidRPr="004A0C12">
        <w:rPr>
          <w:rFonts w:ascii="Garamond" w:hAnsi="Garamond"/>
          <w:szCs w:val="22"/>
        </w:rPr>
        <w:t xml:space="preserve">WIOA Partners in the State’s </w:t>
      </w:r>
      <w:r w:rsidRPr="004A0C12">
        <w:rPr>
          <w:rFonts w:ascii="Garamond" w:hAnsi="Garamond"/>
          <w:szCs w:val="22"/>
        </w:rPr>
        <w:t xml:space="preserve">American Job Centers, DLLR, </w:t>
      </w:r>
      <w:r w:rsidR="00613A95" w:rsidRPr="004A0C12">
        <w:rPr>
          <w:rFonts w:ascii="Garamond" w:hAnsi="Garamond"/>
          <w:szCs w:val="22"/>
        </w:rPr>
        <w:t>State and local workforce development b</w:t>
      </w:r>
      <w:r w:rsidRPr="004A0C12">
        <w:rPr>
          <w:rFonts w:ascii="Garamond" w:hAnsi="Garamond"/>
          <w:szCs w:val="22"/>
        </w:rPr>
        <w:t>oards, and statewide and loca</w:t>
      </w:r>
      <w:r w:rsidR="00613A95" w:rsidRPr="004A0C12">
        <w:rPr>
          <w:rFonts w:ascii="Garamond" w:hAnsi="Garamond"/>
          <w:szCs w:val="22"/>
        </w:rPr>
        <w:t>l economic development offices.</w:t>
      </w:r>
      <w:r w:rsidRPr="004A0C12">
        <w:rPr>
          <w:rFonts w:ascii="Garamond" w:hAnsi="Garamond"/>
          <w:szCs w:val="22"/>
        </w:rPr>
        <w:t xml:space="preserve"> Regional Business Services Representatives will be visible and available to area businesses and will serve as a single-point-of-contact, leading to improve</w:t>
      </w:r>
      <w:r w:rsidR="00530FA0" w:rsidRPr="004A0C12">
        <w:rPr>
          <w:rFonts w:ascii="Garamond" w:hAnsi="Garamond"/>
          <w:szCs w:val="22"/>
        </w:rPr>
        <w:t>d business relations and access</w:t>
      </w:r>
    </w:p>
    <w:p w14:paraId="3F9849E8" w14:textId="30AAC510"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 xml:space="preserve">Training and technical assistance to employers </w:t>
      </w:r>
      <w:r w:rsidR="00953725" w:rsidRPr="004A0C12">
        <w:rPr>
          <w:rFonts w:ascii="Garamond" w:hAnsi="Garamond"/>
          <w:szCs w:val="22"/>
        </w:rPr>
        <w:t>and WIOA Partners to</w:t>
      </w:r>
      <w:r w:rsidRPr="004A0C12">
        <w:rPr>
          <w:rFonts w:ascii="Garamond" w:hAnsi="Garamond"/>
          <w:szCs w:val="22"/>
        </w:rPr>
        <w:t xml:space="preserve"> promote the awareness of the skills and benefits that people with disabilities can bring to their workforce. Types of training include</w:t>
      </w:r>
      <w:r w:rsidR="00613A95" w:rsidRPr="004A0C12">
        <w:rPr>
          <w:rFonts w:ascii="Garamond" w:hAnsi="Garamond"/>
          <w:szCs w:val="22"/>
        </w:rPr>
        <w:t>:</w:t>
      </w:r>
      <w:r w:rsidRPr="004A0C12">
        <w:rPr>
          <w:rFonts w:ascii="Garamond" w:hAnsi="Garamond"/>
          <w:szCs w:val="22"/>
        </w:rPr>
        <w:t xml:space="preserve"> information on DORS services and training programs, disability awareness, requirements of the Americans with Disabilities Act, and federal contracto</w:t>
      </w:r>
      <w:r w:rsidR="00953725" w:rsidRPr="004A0C12">
        <w:rPr>
          <w:rFonts w:ascii="Garamond" w:hAnsi="Garamond"/>
          <w:szCs w:val="22"/>
        </w:rPr>
        <w:t xml:space="preserve">r compliance with Section 503. </w:t>
      </w:r>
      <w:r w:rsidRPr="004A0C12">
        <w:rPr>
          <w:rFonts w:ascii="Garamond" w:hAnsi="Garamond"/>
          <w:szCs w:val="22"/>
        </w:rPr>
        <w:t xml:space="preserve">Group training opportunities for businesses will be offered, as well as individual consultation and need-driven </w:t>
      </w:r>
      <w:r w:rsidR="00530FA0" w:rsidRPr="004A0C12">
        <w:rPr>
          <w:rFonts w:ascii="Garamond" w:hAnsi="Garamond"/>
          <w:szCs w:val="22"/>
        </w:rPr>
        <w:t>training for specific employers</w:t>
      </w:r>
    </w:p>
    <w:p w14:paraId="505830E8" w14:textId="779AE7D2" w:rsidR="007A1FDC" w:rsidRPr="004A0C12" w:rsidRDefault="007A1FDC" w:rsidP="00232F09">
      <w:pPr>
        <w:pStyle w:val="ListParagraph"/>
        <w:numPr>
          <w:ilvl w:val="0"/>
          <w:numId w:val="133"/>
        </w:numPr>
        <w:tabs>
          <w:tab w:val="clear" w:pos="360"/>
          <w:tab w:val="num" w:pos="1080"/>
        </w:tabs>
        <w:ind w:left="1080" w:hanging="360"/>
        <w:jc w:val="both"/>
        <w:rPr>
          <w:rFonts w:ascii="Garamond" w:hAnsi="Garamond"/>
          <w:szCs w:val="22"/>
        </w:rPr>
      </w:pPr>
      <w:r w:rsidRPr="004A0C12">
        <w:rPr>
          <w:rFonts w:ascii="Garamond" w:hAnsi="Garamond"/>
          <w:szCs w:val="22"/>
        </w:rPr>
        <w:t>Providing consultati</w:t>
      </w:r>
      <w:r w:rsidR="00953725" w:rsidRPr="004A0C12">
        <w:rPr>
          <w:rFonts w:ascii="Garamond" w:hAnsi="Garamond"/>
          <w:szCs w:val="22"/>
        </w:rPr>
        <w:t>on on and support to remove</w:t>
      </w:r>
      <w:r w:rsidRPr="004A0C12">
        <w:rPr>
          <w:rFonts w:ascii="Garamond" w:hAnsi="Garamond"/>
          <w:szCs w:val="22"/>
        </w:rPr>
        <w:t xml:space="preserve"> disability-related obstacles to employment and the provision of reasonable accommodations for recruitment, work-based learning activities, and on-boarding and retention of employees, including assistive technology and worksite assessments.  Business Services Representatives will serve as points of contact for businesses needing guidance, and </w:t>
      </w:r>
      <w:r w:rsidR="00953725" w:rsidRPr="004A0C12">
        <w:rPr>
          <w:rFonts w:ascii="Garamond" w:hAnsi="Garamond"/>
          <w:szCs w:val="22"/>
        </w:rPr>
        <w:t>the Workforce and Technology Center</w:t>
      </w:r>
      <w:r w:rsidRPr="004A0C12">
        <w:rPr>
          <w:rFonts w:ascii="Garamond" w:hAnsi="Garamond"/>
          <w:szCs w:val="22"/>
        </w:rPr>
        <w:t xml:space="preserve"> Rehabilitation Technology Services unit will provide specific and applicable worksite service</w:t>
      </w:r>
      <w:r w:rsidR="00530FA0" w:rsidRPr="004A0C12">
        <w:rPr>
          <w:rFonts w:ascii="Garamond" w:hAnsi="Garamond"/>
          <w:szCs w:val="22"/>
        </w:rPr>
        <w:t>s for consumers and employers</w:t>
      </w:r>
    </w:p>
    <w:p w14:paraId="62591623" w14:textId="2FB807C0" w:rsidR="007A1FDC" w:rsidRPr="004A0C12" w:rsidRDefault="007A1FDC" w:rsidP="00232F09">
      <w:pPr>
        <w:pStyle w:val="ListParagraph"/>
        <w:numPr>
          <w:ilvl w:val="0"/>
          <w:numId w:val="133"/>
        </w:numPr>
        <w:tabs>
          <w:tab w:val="clear" w:pos="360"/>
          <w:tab w:val="num" w:pos="1080"/>
        </w:tabs>
        <w:ind w:left="1080" w:hanging="360"/>
        <w:jc w:val="both"/>
        <w:rPr>
          <w:rFonts w:ascii="Garamond" w:hAnsi="Garamond"/>
          <w:szCs w:val="22"/>
        </w:rPr>
      </w:pPr>
      <w:r w:rsidRPr="004A0C12">
        <w:rPr>
          <w:rFonts w:ascii="Garamond" w:hAnsi="Garamond"/>
          <w:szCs w:val="22"/>
        </w:rPr>
        <w:t>Providing information and resources on hiring incentives, including tax credits and on-the-job</w:t>
      </w:r>
      <w:r w:rsidR="00953725" w:rsidRPr="004A0C12">
        <w:rPr>
          <w:rFonts w:ascii="Garamond" w:hAnsi="Garamond"/>
          <w:szCs w:val="22"/>
        </w:rPr>
        <w:t xml:space="preserve"> training wage reimbursements. Business</w:t>
      </w:r>
      <w:r w:rsidRPr="004A0C12">
        <w:rPr>
          <w:rFonts w:ascii="Garamond" w:hAnsi="Garamond"/>
          <w:szCs w:val="22"/>
        </w:rPr>
        <w:t xml:space="preserve"> Services Representatives will provide technical assistance to businesses in completing any required forms to access incentive</w:t>
      </w:r>
      <w:r w:rsidR="00530FA0" w:rsidRPr="004A0C12">
        <w:rPr>
          <w:rFonts w:ascii="Garamond" w:hAnsi="Garamond"/>
          <w:szCs w:val="22"/>
        </w:rPr>
        <w:t>s</w:t>
      </w:r>
    </w:p>
    <w:p w14:paraId="0EB31F19" w14:textId="31573921"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Facilitating and coordinating recruitment activities for business partners who are interested in hiring DORS consumers, including advertisement, pre-screening</w:t>
      </w:r>
      <w:r w:rsidR="00953725" w:rsidRPr="004A0C12">
        <w:rPr>
          <w:rFonts w:ascii="Garamond" w:hAnsi="Garamond"/>
          <w:szCs w:val="22"/>
        </w:rPr>
        <w:t>,</w:t>
      </w:r>
      <w:r w:rsidRPr="004A0C12">
        <w:rPr>
          <w:rFonts w:ascii="Garamond" w:hAnsi="Garamond"/>
          <w:szCs w:val="22"/>
        </w:rPr>
        <w:t xml:space="preserve"> and interview preparation of consumer applicants, providing interview venues, referral and follow-up.  Job openings and recruitment activities will be shared via email w</w:t>
      </w:r>
      <w:r w:rsidR="00FF755D" w:rsidRPr="004A0C12">
        <w:rPr>
          <w:rFonts w:ascii="Garamond" w:hAnsi="Garamond"/>
          <w:szCs w:val="22"/>
        </w:rPr>
        <w:t>ith counselors, consumers, and Community Rehabilitation P</w:t>
      </w:r>
      <w:r w:rsidRPr="004A0C12">
        <w:rPr>
          <w:rFonts w:ascii="Garamond" w:hAnsi="Garamond"/>
          <w:szCs w:val="22"/>
        </w:rPr>
        <w:t>rograms, and jobs will be posted and track</w:t>
      </w:r>
      <w:r w:rsidR="00530FA0" w:rsidRPr="004A0C12">
        <w:rPr>
          <w:rFonts w:ascii="Garamond" w:hAnsi="Garamond"/>
          <w:szCs w:val="22"/>
        </w:rPr>
        <w:t>ed in the AWARE Employer module</w:t>
      </w:r>
    </w:p>
    <w:p w14:paraId="08BCC885" w14:textId="192BBA28"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 xml:space="preserve">Collaborating with </w:t>
      </w:r>
      <w:r w:rsidR="00953725" w:rsidRPr="004A0C12">
        <w:rPr>
          <w:rFonts w:ascii="Garamond" w:hAnsi="Garamond"/>
          <w:szCs w:val="22"/>
        </w:rPr>
        <w:t xml:space="preserve">WIOA Partners, including </w:t>
      </w:r>
      <w:r w:rsidRPr="004A0C12">
        <w:rPr>
          <w:rFonts w:ascii="Garamond" w:hAnsi="Garamond"/>
          <w:szCs w:val="22"/>
        </w:rPr>
        <w:t>DLLR business services representatives</w:t>
      </w:r>
      <w:r w:rsidR="00953725" w:rsidRPr="004A0C12">
        <w:rPr>
          <w:rFonts w:ascii="Garamond" w:hAnsi="Garamond"/>
          <w:szCs w:val="22"/>
        </w:rPr>
        <w:t>,</w:t>
      </w:r>
      <w:r w:rsidRPr="004A0C12">
        <w:rPr>
          <w:rFonts w:ascii="Garamond" w:hAnsi="Garamond"/>
          <w:szCs w:val="22"/>
        </w:rPr>
        <w:t xml:space="preserve"> and economic development partners to leverage business contacts, share resources and expertise, and coordinate services that are beneficial to businesses and promote the employment o</w:t>
      </w:r>
      <w:r w:rsidR="00953725" w:rsidRPr="004A0C12">
        <w:rPr>
          <w:rFonts w:ascii="Garamond" w:hAnsi="Garamond"/>
          <w:szCs w:val="22"/>
        </w:rPr>
        <w:t>f individuals with disabilities;</w:t>
      </w:r>
    </w:p>
    <w:p w14:paraId="4D653FE7" w14:textId="3AD25F2B" w:rsidR="007A1FDC" w:rsidRPr="004A0C12" w:rsidRDefault="00953725"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 xml:space="preserve">Coordinating with the WIOA </w:t>
      </w:r>
      <w:r w:rsidR="007A1FDC" w:rsidRPr="004A0C12">
        <w:rPr>
          <w:rFonts w:ascii="Garamond" w:hAnsi="Garamond"/>
          <w:szCs w:val="22"/>
        </w:rPr>
        <w:t>Business Services Team and American Job Centers in recruitment events and job fairs, including recruiting businesses and facilitating the inclusion of DO</w:t>
      </w:r>
      <w:r w:rsidR="00530FA0" w:rsidRPr="004A0C12">
        <w:rPr>
          <w:rFonts w:ascii="Garamond" w:hAnsi="Garamond"/>
          <w:szCs w:val="22"/>
        </w:rPr>
        <w:t>RS consumers in the talent pool</w:t>
      </w:r>
    </w:p>
    <w:p w14:paraId="4051537D" w14:textId="2C593026"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Engaging with businesses interested in hiring people with disabilities through VR National Employment Team (NE</w:t>
      </w:r>
      <w:r w:rsidR="00953725" w:rsidRPr="004A0C12">
        <w:rPr>
          <w:rFonts w:ascii="Garamond" w:hAnsi="Garamond"/>
          <w:szCs w:val="22"/>
        </w:rPr>
        <w:t xml:space="preserve">T) connections and activities. </w:t>
      </w:r>
      <w:r w:rsidRPr="004A0C12">
        <w:rPr>
          <w:rFonts w:ascii="Garamond" w:hAnsi="Garamond"/>
          <w:szCs w:val="22"/>
        </w:rPr>
        <w:t>This includes NET conference calls, webinars and events with business partners and facilitating the inclusion of Maryland consumers in the national</w:t>
      </w:r>
      <w:r w:rsidR="00530FA0" w:rsidRPr="004A0C12">
        <w:rPr>
          <w:rFonts w:ascii="Garamond" w:hAnsi="Garamond"/>
          <w:szCs w:val="22"/>
        </w:rPr>
        <w:t xml:space="preserve"> Talent Acquisition Portal</w:t>
      </w:r>
    </w:p>
    <w:p w14:paraId="0AFCC2B2" w14:textId="27B66BC2" w:rsidR="007A1FDC" w:rsidRPr="004A0C12" w:rsidRDefault="00FF755D"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Partnering with Community Rehabilitation P</w:t>
      </w:r>
      <w:r w:rsidR="007A1FDC" w:rsidRPr="004A0C12">
        <w:rPr>
          <w:rFonts w:ascii="Garamond" w:hAnsi="Garamond"/>
          <w:szCs w:val="22"/>
        </w:rPr>
        <w:t>rograms to facilitate communication and collaboration among business services representatives and employment specialists in sharing business contacts, job openings</w:t>
      </w:r>
      <w:r w:rsidR="00953725" w:rsidRPr="004A0C12">
        <w:rPr>
          <w:rFonts w:ascii="Garamond" w:hAnsi="Garamond"/>
          <w:szCs w:val="22"/>
        </w:rPr>
        <w:t>,</w:t>
      </w:r>
      <w:r w:rsidR="007A1FDC" w:rsidRPr="004A0C12">
        <w:rPr>
          <w:rFonts w:ascii="Garamond" w:hAnsi="Garamond"/>
          <w:szCs w:val="22"/>
        </w:rPr>
        <w:t xml:space="preserve"> and strategies on job placement for consumers; this includes expansion of </w:t>
      </w:r>
      <w:r w:rsidR="00530FA0" w:rsidRPr="004A0C12">
        <w:rPr>
          <w:rFonts w:ascii="Garamond" w:hAnsi="Garamond"/>
          <w:szCs w:val="22"/>
        </w:rPr>
        <w:t>regional Job Placement Networks</w:t>
      </w:r>
    </w:p>
    <w:p w14:paraId="1DC5E9CD" w14:textId="7AD85FD8"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 xml:space="preserve">Providing business and industry-specific career information and </w:t>
      </w:r>
      <w:r w:rsidR="00953725" w:rsidRPr="004A0C12">
        <w:rPr>
          <w:rFonts w:ascii="Garamond" w:hAnsi="Garamond"/>
          <w:szCs w:val="22"/>
        </w:rPr>
        <w:t>training sessions for consumers;</w:t>
      </w:r>
    </w:p>
    <w:p w14:paraId="4CA72DB8" w14:textId="617B00C5"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Developing and monitoring of work-based learning and resume-building opportunities</w:t>
      </w:r>
      <w:r w:rsidR="00953725" w:rsidRPr="004A0C12">
        <w:rPr>
          <w:rFonts w:ascii="Garamond" w:hAnsi="Garamond"/>
          <w:szCs w:val="22"/>
        </w:rPr>
        <w:t>,</w:t>
      </w:r>
      <w:r w:rsidRPr="004A0C12">
        <w:rPr>
          <w:rFonts w:ascii="Garamond" w:hAnsi="Garamond"/>
          <w:szCs w:val="22"/>
        </w:rPr>
        <w:t xml:space="preserve"> such as internships, job shadowing, disability employment awareness month activities, volunteering and on-the-job training, including expanding programs already in place, such as the Governor’s QUEST Internship Program</w:t>
      </w:r>
      <w:r w:rsidR="00953725" w:rsidRPr="004A0C12">
        <w:rPr>
          <w:rFonts w:ascii="Garamond" w:hAnsi="Garamond"/>
          <w:szCs w:val="22"/>
        </w:rPr>
        <w:t>,</w:t>
      </w:r>
      <w:r w:rsidRPr="004A0C12">
        <w:rPr>
          <w:rFonts w:ascii="Garamond" w:hAnsi="Garamond"/>
          <w:szCs w:val="22"/>
        </w:rPr>
        <w:t xml:space="preserve"> and </w:t>
      </w:r>
      <w:r w:rsidR="00953725" w:rsidRPr="004A0C12">
        <w:rPr>
          <w:rFonts w:ascii="Garamond" w:hAnsi="Garamond"/>
          <w:szCs w:val="22"/>
        </w:rPr>
        <w:t xml:space="preserve">the </w:t>
      </w:r>
      <w:r w:rsidRPr="004A0C12">
        <w:rPr>
          <w:rFonts w:ascii="Garamond" w:hAnsi="Garamond"/>
          <w:szCs w:val="22"/>
        </w:rPr>
        <w:t>federal agency vocational rehabilitation internship progra</w:t>
      </w:r>
      <w:r w:rsidR="00530FA0" w:rsidRPr="004A0C12">
        <w:rPr>
          <w:rFonts w:ascii="Garamond" w:hAnsi="Garamond"/>
          <w:szCs w:val="22"/>
        </w:rPr>
        <w:t>ms</w:t>
      </w:r>
    </w:p>
    <w:p w14:paraId="4491DA4A" w14:textId="1F24C850"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Promoting the federal Workforce Recruitment Prog</w:t>
      </w:r>
      <w:r w:rsidR="00530FA0" w:rsidRPr="004A0C12">
        <w:rPr>
          <w:rFonts w:ascii="Garamond" w:hAnsi="Garamond"/>
          <w:szCs w:val="22"/>
        </w:rPr>
        <w:t>ram to businesses and consumers</w:t>
      </w:r>
    </w:p>
    <w:p w14:paraId="2A7018AF" w14:textId="240C2405"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 xml:space="preserve">Engaging businesses in Training Program </w:t>
      </w:r>
      <w:r w:rsidR="00953725" w:rsidRPr="004A0C12">
        <w:rPr>
          <w:rFonts w:ascii="Garamond" w:hAnsi="Garamond"/>
          <w:szCs w:val="22"/>
        </w:rPr>
        <w:t>Advisory Committees at DORS’ Workforce and Technology Center</w:t>
      </w:r>
      <w:r w:rsidRPr="004A0C12">
        <w:rPr>
          <w:rFonts w:ascii="Garamond" w:hAnsi="Garamond"/>
          <w:szCs w:val="22"/>
        </w:rPr>
        <w:t xml:space="preserve"> to ensure training programs meet business and industry needs and standards and to facilitate work-based learning</w:t>
      </w:r>
      <w:r w:rsidR="00530FA0" w:rsidRPr="004A0C12">
        <w:rPr>
          <w:rFonts w:ascii="Garamond" w:hAnsi="Garamond"/>
          <w:szCs w:val="22"/>
        </w:rPr>
        <w:t xml:space="preserve"> and employment opportunities</w:t>
      </w:r>
    </w:p>
    <w:p w14:paraId="296FB636" w14:textId="1302E20D"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Coordinating with businesses to develop communi</w:t>
      </w:r>
      <w:r w:rsidR="00953725" w:rsidRPr="004A0C12">
        <w:rPr>
          <w:rFonts w:ascii="Garamond" w:hAnsi="Garamond"/>
          <w:szCs w:val="22"/>
        </w:rPr>
        <w:t>ty worksites for students in Workforce and Technology Center</w:t>
      </w:r>
      <w:r w:rsidRPr="004A0C12">
        <w:rPr>
          <w:rFonts w:ascii="Garamond" w:hAnsi="Garamond"/>
          <w:szCs w:val="22"/>
        </w:rPr>
        <w:t>’s Work Readiness 2 Program.  Students spend a portion of their day during the six-week program at a business worksite learning</w:t>
      </w:r>
      <w:r w:rsidR="00530FA0" w:rsidRPr="004A0C12">
        <w:rPr>
          <w:rFonts w:ascii="Garamond" w:hAnsi="Garamond"/>
          <w:szCs w:val="22"/>
        </w:rPr>
        <w:t xml:space="preserve"> and performing job tasks</w:t>
      </w:r>
    </w:p>
    <w:p w14:paraId="3DADF7C8" w14:textId="4B80DB29"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lastRenderedPageBreak/>
        <w:t>Developing customized training programs for DORS consumers based on bu</w:t>
      </w:r>
      <w:r w:rsidR="00530FA0" w:rsidRPr="004A0C12">
        <w:rPr>
          <w:rFonts w:ascii="Garamond" w:hAnsi="Garamond"/>
          <w:szCs w:val="22"/>
        </w:rPr>
        <w:t>siness-specific workforce needs</w:t>
      </w:r>
    </w:p>
    <w:p w14:paraId="5607760B" w14:textId="13AF1F2D"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 xml:space="preserve">Collaborating with strategic partners, such as the Maryland Department of Disabilities, colleges and universities, and federal, state and local governments to </w:t>
      </w:r>
      <w:r w:rsidR="00530FA0" w:rsidRPr="004A0C12">
        <w:rPr>
          <w:rFonts w:ascii="Garamond" w:hAnsi="Garamond"/>
          <w:szCs w:val="22"/>
        </w:rPr>
        <w:t>connect employers and consumers</w:t>
      </w:r>
    </w:p>
    <w:p w14:paraId="77485B49" w14:textId="0E0D23C1" w:rsidR="007A1FDC"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Supporting and promoting state industry-led workforce training initiatives</w:t>
      </w:r>
      <w:r w:rsidR="00953725" w:rsidRPr="004A0C12">
        <w:rPr>
          <w:rFonts w:ascii="Garamond" w:hAnsi="Garamond"/>
          <w:szCs w:val="22"/>
        </w:rPr>
        <w:t xml:space="preserve"> of the WIOA system</w:t>
      </w:r>
      <w:r w:rsidRPr="004A0C12">
        <w:rPr>
          <w:rFonts w:ascii="Garamond" w:hAnsi="Garamond"/>
          <w:szCs w:val="22"/>
        </w:rPr>
        <w:t xml:space="preserve">, such as apprenticeship programs and Maryland’s </w:t>
      </w:r>
      <w:r w:rsidR="00953725" w:rsidRPr="004A0C12">
        <w:rPr>
          <w:rFonts w:ascii="Garamond" w:hAnsi="Garamond"/>
          <w:szCs w:val="22"/>
        </w:rPr>
        <w:t xml:space="preserve">EARN </w:t>
      </w:r>
      <w:r w:rsidR="00530FA0" w:rsidRPr="004A0C12">
        <w:rPr>
          <w:rFonts w:ascii="Garamond" w:hAnsi="Garamond"/>
          <w:szCs w:val="22"/>
        </w:rPr>
        <w:t>program to DORS consumers</w:t>
      </w:r>
    </w:p>
    <w:p w14:paraId="0B2AF35A" w14:textId="4FD7C1FF" w:rsidR="00953725" w:rsidRPr="004A0C12" w:rsidRDefault="007A1FDC" w:rsidP="00232F09">
      <w:pPr>
        <w:pStyle w:val="ListParagraph"/>
        <w:numPr>
          <w:ilvl w:val="0"/>
          <w:numId w:val="133"/>
        </w:numPr>
        <w:tabs>
          <w:tab w:val="left" w:pos="360"/>
          <w:tab w:val="num" w:pos="1080"/>
        </w:tabs>
        <w:ind w:left="1080" w:hanging="360"/>
        <w:jc w:val="both"/>
        <w:rPr>
          <w:rFonts w:ascii="Garamond" w:hAnsi="Garamond"/>
          <w:szCs w:val="22"/>
        </w:rPr>
      </w:pPr>
      <w:r w:rsidRPr="004A0C12">
        <w:rPr>
          <w:rFonts w:ascii="Garamond" w:hAnsi="Garamond"/>
          <w:szCs w:val="22"/>
        </w:rPr>
        <w:t>Connecting DORS consumers with businesses and employment opportunities through the Maryland Workforce Exchange</w:t>
      </w:r>
      <w:r w:rsidR="00953725" w:rsidRPr="004A0C12">
        <w:rPr>
          <w:rFonts w:ascii="Garamond" w:hAnsi="Garamond"/>
          <w:szCs w:val="22"/>
        </w:rPr>
        <w:t>.</w:t>
      </w:r>
    </w:p>
    <w:p w14:paraId="2DE2F0D0" w14:textId="7BBF204B" w:rsidR="007A1FDC" w:rsidRPr="004A0C12" w:rsidRDefault="007A1FDC" w:rsidP="00953725">
      <w:pPr>
        <w:pStyle w:val="ListParagraph"/>
        <w:ind w:left="1080"/>
        <w:jc w:val="both"/>
        <w:rPr>
          <w:rFonts w:ascii="Garamond" w:hAnsi="Garamond"/>
          <w:szCs w:val="22"/>
        </w:rPr>
      </w:pPr>
    </w:p>
    <w:p w14:paraId="763D279D" w14:textId="01CDBE01" w:rsidR="007A1FDC" w:rsidRPr="004A0C12" w:rsidRDefault="00953725" w:rsidP="007A1FDC">
      <w:pPr>
        <w:tabs>
          <w:tab w:val="left" w:pos="360"/>
        </w:tabs>
        <w:spacing w:after="0" w:line="240" w:lineRule="auto"/>
        <w:jc w:val="both"/>
        <w:rPr>
          <w:rFonts w:ascii="Garamond" w:hAnsi="Garamond"/>
        </w:rPr>
      </w:pPr>
      <w:r w:rsidRPr="004A0C12">
        <w:rPr>
          <w:rFonts w:ascii="Garamond" w:hAnsi="Garamond"/>
        </w:rPr>
        <w:t xml:space="preserve">DORS </w:t>
      </w:r>
      <w:r w:rsidR="007A1FDC" w:rsidRPr="004A0C12">
        <w:rPr>
          <w:rFonts w:ascii="Garamond" w:hAnsi="Garamond"/>
        </w:rPr>
        <w:t>Business Services Representatives will provide technical assistance to both counselors and consumers related to job readiness, career information, labor market analysis, and real-time and projected employment opportunities gleaned through active engagement with businesses, business-related organizations</w:t>
      </w:r>
      <w:r w:rsidRPr="004A0C12">
        <w:rPr>
          <w:rFonts w:ascii="Garamond" w:hAnsi="Garamond"/>
        </w:rPr>
        <w:t>,</w:t>
      </w:r>
      <w:r w:rsidR="007A1FDC" w:rsidRPr="004A0C12">
        <w:rPr>
          <w:rFonts w:ascii="Garamond" w:hAnsi="Garamond"/>
        </w:rPr>
        <w:t xml:space="preserve"> and </w:t>
      </w:r>
      <w:r w:rsidRPr="004A0C12">
        <w:rPr>
          <w:rFonts w:ascii="Garamond" w:hAnsi="Garamond"/>
        </w:rPr>
        <w:t>WIOA Partners</w:t>
      </w:r>
      <w:r w:rsidR="007A1FDC" w:rsidRPr="004A0C12">
        <w:rPr>
          <w:rFonts w:ascii="Garamond" w:hAnsi="Garamond"/>
        </w:rPr>
        <w:t>.</w:t>
      </w:r>
    </w:p>
    <w:p w14:paraId="77F13E78" w14:textId="77777777" w:rsidR="00FF44FF" w:rsidRPr="004A0C12" w:rsidRDefault="00FF44FF" w:rsidP="007A1FDC">
      <w:pPr>
        <w:tabs>
          <w:tab w:val="left" w:pos="360"/>
        </w:tabs>
        <w:spacing w:after="0" w:line="240" w:lineRule="auto"/>
        <w:jc w:val="both"/>
        <w:rPr>
          <w:rFonts w:ascii="Garamond" w:hAnsi="Garamond"/>
        </w:rPr>
      </w:pPr>
    </w:p>
    <w:p w14:paraId="748D6A03" w14:textId="77777777" w:rsidR="007A1FDC" w:rsidRPr="004A0C12" w:rsidRDefault="007A1FDC" w:rsidP="00232F09">
      <w:pPr>
        <w:pStyle w:val="ListParagraph"/>
        <w:numPr>
          <w:ilvl w:val="0"/>
          <w:numId w:val="132"/>
        </w:numPr>
        <w:ind w:hanging="360"/>
        <w:jc w:val="both"/>
        <w:rPr>
          <w:rFonts w:ascii="Garamond" w:hAnsi="Garamond"/>
          <w:szCs w:val="22"/>
        </w:rPr>
      </w:pPr>
      <w:r w:rsidRPr="004A0C12">
        <w:rPr>
          <w:rFonts w:ascii="Garamond" w:hAnsi="Garamond"/>
          <w:szCs w:val="22"/>
        </w:rPr>
        <w:t>DORS will work with employers to develop and expand work-based learning for students and youth with disabilities through the following activities:</w:t>
      </w:r>
    </w:p>
    <w:p w14:paraId="7028D90B" w14:textId="77777777" w:rsidR="007A1FDC" w:rsidRPr="004A0C12" w:rsidRDefault="007A1FDC" w:rsidP="007A1FDC">
      <w:pPr>
        <w:pStyle w:val="ListParagraph"/>
        <w:jc w:val="both"/>
        <w:rPr>
          <w:rFonts w:ascii="Garamond" w:hAnsi="Garamond"/>
          <w:szCs w:val="22"/>
        </w:rPr>
      </w:pPr>
    </w:p>
    <w:p w14:paraId="6A1B60D2" w14:textId="78287E85" w:rsidR="007A1FDC" w:rsidRPr="004A0C12" w:rsidRDefault="007A1FDC" w:rsidP="00232F09">
      <w:pPr>
        <w:pStyle w:val="ListParagraph"/>
        <w:numPr>
          <w:ilvl w:val="0"/>
          <w:numId w:val="134"/>
        </w:numPr>
        <w:tabs>
          <w:tab w:val="clear" w:pos="360"/>
          <w:tab w:val="num" w:pos="1080"/>
        </w:tabs>
        <w:ind w:left="1080" w:hanging="360"/>
        <w:jc w:val="both"/>
        <w:rPr>
          <w:rFonts w:ascii="Garamond" w:hAnsi="Garamond"/>
          <w:szCs w:val="22"/>
        </w:rPr>
      </w:pPr>
      <w:r w:rsidRPr="004A0C12">
        <w:rPr>
          <w:rFonts w:ascii="Garamond" w:hAnsi="Garamond"/>
          <w:szCs w:val="22"/>
        </w:rPr>
        <w:t>Awareness opportunities on careers, industries, labor market information</w:t>
      </w:r>
      <w:r w:rsidR="00A84124" w:rsidRPr="004A0C12">
        <w:rPr>
          <w:rFonts w:ascii="Garamond" w:hAnsi="Garamond"/>
          <w:szCs w:val="22"/>
        </w:rPr>
        <w:t>,</w:t>
      </w:r>
      <w:r w:rsidRPr="004A0C12">
        <w:rPr>
          <w:rFonts w:ascii="Garamond" w:hAnsi="Garamond"/>
          <w:szCs w:val="22"/>
        </w:rPr>
        <w:t xml:space="preserve"> and workforce needs, including workshops or other training that includes employer speakers and presentations, career fairs, and workplac</w:t>
      </w:r>
      <w:r w:rsidR="00A84124" w:rsidRPr="004A0C12">
        <w:rPr>
          <w:rFonts w:ascii="Garamond" w:hAnsi="Garamond"/>
          <w:szCs w:val="22"/>
        </w:rPr>
        <w:t>e tours;</w:t>
      </w:r>
    </w:p>
    <w:p w14:paraId="375E52CC" w14:textId="6E492C4F" w:rsidR="007A1FDC" w:rsidRPr="004A0C12" w:rsidRDefault="007A1FDC" w:rsidP="00232F09">
      <w:pPr>
        <w:pStyle w:val="ListParagraph"/>
        <w:numPr>
          <w:ilvl w:val="0"/>
          <w:numId w:val="135"/>
        </w:numPr>
        <w:tabs>
          <w:tab w:val="clear" w:pos="360"/>
          <w:tab w:val="num" w:pos="1080"/>
        </w:tabs>
        <w:ind w:left="1080" w:hanging="360"/>
        <w:jc w:val="both"/>
        <w:rPr>
          <w:rFonts w:ascii="Garamond" w:hAnsi="Garamond"/>
          <w:szCs w:val="22"/>
        </w:rPr>
      </w:pPr>
      <w:r w:rsidRPr="004A0C12">
        <w:rPr>
          <w:rFonts w:ascii="Garamond" w:hAnsi="Garamond"/>
          <w:szCs w:val="22"/>
        </w:rPr>
        <w:t>Preparation activities that teach workplace skills, job readiness, interview skills and practice, and self-advocacy in appli</w:t>
      </w:r>
      <w:r w:rsidR="00A84124" w:rsidRPr="004A0C12">
        <w:rPr>
          <w:rFonts w:ascii="Garamond" w:hAnsi="Garamond"/>
          <w:szCs w:val="22"/>
        </w:rPr>
        <w:t>cation and employment processes;</w:t>
      </w:r>
    </w:p>
    <w:p w14:paraId="389B3546" w14:textId="6AD84576" w:rsidR="007A1FDC" w:rsidRPr="004A0C12" w:rsidRDefault="007A1FDC" w:rsidP="00232F09">
      <w:pPr>
        <w:pStyle w:val="ListParagraph"/>
        <w:numPr>
          <w:ilvl w:val="0"/>
          <w:numId w:val="135"/>
        </w:numPr>
        <w:tabs>
          <w:tab w:val="clear" w:pos="360"/>
          <w:tab w:val="num" w:pos="1080"/>
        </w:tabs>
        <w:ind w:left="1080" w:hanging="360"/>
        <w:jc w:val="both"/>
        <w:rPr>
          <w:rFonts w:ascii="Garamond" w:hAnsi="Garamond"/>
          <w:szCs w:val="22"/>
        </w:rPr>
      </w:pPr>
      <w:r w:rsidRPr="004A0C12">
        <w:rPr>
          <w:rFonts w:ascii="Garamond" w:hAnsi="Garamond"/>
          <w:szCs w:val="22"/>
        </w:rPr>
        <w:t>Exploration and skill-building opportunities to include job shadowing and mentoring, volunteering, internships, on-the-job training</w:t>
      </w:r>
      <w:r w:rsidR="00A84124" w:rsidRPr="004A0C12">
        <w:rPr>
          <w:rFonts w:ascii="Garamond" w:hAnsi="Garamond"/>
          <w:szCs w:val="22"/>
        </w:rPr>
        <w:t>, and employment;</w:t>
      </w:r>
    </w:p>
    <w:p w14:paraId="35579E1D" w14:textId="1F01DA91" w:rsidR="007A1FDC" w:rsidRPr="004A0C12" w:rsidRDefault="007A1FDC" w:rsidP="00232F09">
      <w:pPr>
        <w:pStyle w:val="ListParagraph"/>
        <w:numPr>
          <w:ilvl w:val="0"/>
          <w:numId w:val="135"/>
        </w:numPr>
        <w:tabs>
          <w:tab w:val="clear" w:pos="360"/>
          <w:tab w:val="num" w:pos="1080"/>
        </w:tabs>
        <w:ind w:left="1080" w:hanging="360"/>
        <w:jc w:val="both"/>
        <w:rPr>
          <w:rFonts w:ascii="Garamond" w:hAnsi="Garamond"/>
          <w:szCs w:val="22"/>
        </w:rPr>
      </w:pPr>
      <w:r w:rsidRPr="004A0C12">
        <w:rPr>
          <w:rFonts w:ascii="Garamond" w:hAnsi="Garamond"/>
          <w:szCs w:val="22"/>
        </w:rPr>
        <w:t>Development and coordination of pre-employment transitioning programs throug</w:t>
      </w:r>
      <w:r w:rsidR="00FF755D" w:rsidRPr="004A0C12">
        <w:rPr>
          <w:rFonts w:ascii="Garamond" w:hAnsi="Garamond"/>
          <w:szCs w:val="22"/>
        </w:rPr>
        <w:t>h community colleges, schools, Community Rehabilitation P</w:t>
      </w:r>
      <w:r w:rsidRPr="004A0C12">
        <w:rPr>
          <w:rFonts w:ascii="Garamond" w:hAnsi="Garamond"/>
          <w:szCs w:val="22"/>
        </w:rPr>
        <w:t>ro</w:t>
      </w:r>
      <w:r w:rsidR="00A84124" w:rsidRPr="004A0C12">
        <w:rPr>
          <w:rFonts w:ascii="Garamond" w:hAnsi="Garamond"/>
          <w:szCs w:val="22"/>
        </w:rPr>
        <w:t xml:space="preserve">grams, and American Job Centers; </w:t>
      </w:r>
    </w:p>
    <w:p w14:paraId="7D5996A6" w14:textId="5BBF4A3A" w:rsidR="007A1FDC" w:rsidRPr="004A0C12" w:rsidRDefault="007A1FDC" w:rsidP="00232F09">
      <w:pPr>
        <w:pStyle w:val="ListParagraph"/>
        <w:numPr>
          <w:ilvl w:val="0"/>
          <w:numId w:val="135"/>
        </w:numPr>
        <w:tabs>
          <w:tab w:val="clear" w:pos="360"/>
          <w:tab w:val="num" w:pos="1080"/>
        </w:tabs>
        <w:ind w:left="1080" w:hanging="360"/>
        <w:jc w:val="both"/>
        <w:rPr>
          <w:rFonts w:ascii="Garamond" w:hAnsi="Garamond"/>
          <w:szCs w:val="22"/>
        </w:rPr>
      </w:pPr>
      <w:r w:rsidRPr="004A0C12">
        <w:rPr>
          <w:rFonts w:ascii="Garamond" w:hAnsi="Garamond"/>
          <w:szCs w:val="22"/>
        </w:rPr>
        <w:t>Expansion of current internship programs, such as QUEST, to include s</w:t>
      </w:r>
      <w:r w:rsidR="00A84124" w:rsidRPr="004A0C12">
        <w:rPr>
          <w:rFonts w:ascii="Garamond" w:hAnsi="Garamond"/>
          <w:szCs w:val="22"/>
        </w:rPr>
        <w:t xml:space="preserve">tudents and transitioning youth; and, </w:t>
      </w:r>
    </w:p>
    <w:p w14:paraId="70F54F85" w14:textId="77777777" w:rsidR="007A1FDC" w:rsidRPr="004A0C12" w:rsidRDefault="007A1FDC" w:rsidP="00232F09">
      <w:pPr>
        <w:pStyle w:val="ListParagraph"/>
        <w:numPr>
          <w:ilvl w:val="0"/>
          <w:numId w:val="135"/>
        </w:numPr>
        <w:tabs>
          <w:tab w:val="clear" w:pos="360"/>
          <w:tab w:val="num" w:pos="1080"/>
        </w:tabs>
        <w:ind w:left="1080" w:hanging="360"/>
        <w:jc w:val="both"/>
        <w:rPr>
          <w:rFonts w:ascii="Garamond" w:hAnsi="Garamond"/>
          <w:szCs w:val="22"/>
        </w:rPr>
      </w:pPr>
      <w:r w:rsidRPr="004A0C12">
        <w:rPr>
          <w:rFonts w:ascii="Garamond" w:hAnsi="Garamond"/>
          <w:szCs w:val="22"/>
        </w:rPr>
        <w:t>Promotion of summer youth employment programs to businesses and students.</w:t>
      </w:r>
    </w:p>
    <w:p w14:paraId="0DF88CD8" w14:textId="77777777" w:rsidR="007A1FDC" w:rsidRPr="00C0180F" w:rsidRDefault="007A1FDC" w:rsidP="00B709F8">
      <w:pPr>
        <w:pStyle w:val="Heading2"/>
        <w:rPr>
          <w:rFonts w:ascii="Garamond" w:hAnsi="Garamond"/>
          <w:sz w:val="24"/>
          <w:szCs w:val="24"/>
        </w:rPr>
      </w:pPr>
      <w:bookmarkStart w:id="199" w:name="_Toc447276226"/>
      <w:r w:rsidRPr="00C0180F">
        <w:rPr>
          <w:rFonts w:ascii="Garamond" w:hAnsi="Garamond"/>
          <w:sz w:val="24"/>
          <w:szCs w:val="24"/>
        </w:rPr>
        <w:t>INTERAGENCY COOPERATION</w:t>
      </w:r>
      <w:bookmarkEnd w:id="199"/>
      <w:r w:rsidRPr="00C0180F">
        <w:rPr>
          <w:rFonts w:ascii="Garamond" w:hAnsi="Garamond"/>
          <w:sz w:val="24"/>
          <w:szCs w:val="24"/>
        </w:rPr>
        <w:t xml:space="preserve"> </w:t>
      </w:r>
    </w:p>
    <w:p w14:paraId="133FE0C3" w14:textId="77777777" w:rsidR="007A1FDC" w:rsidRPr="00C0180F" w:rsidRDefault="007A1FDC" w:rsidP="00B709F8">
      <w:pPr>
        <w:pStyle w:val="Heading3"/>
        <w:rPr>
          <w:rFonts w:ascii="Garamond" w:hAnsi="Garamond"/>
          <w:sz w:val="24"/>
          <w:szCs w:val="24"/>
        </w:rPr>
      </w:pPr>
      <w:bookmarkStart w:id="200" w:name="_Toc447276227"/>
      <w:r w:rsidRPr="00C0180F">
        <w:rPr>
          <w:rFonts w:ascii="Garamond" w:hAnsi="Garamond"/>
          <w:sz w:val="24"/>
          <w:szCs w:val="24"/>
        </w:rPr>
        <w:t>State Medicaid Agency</w:t>
      </w:r>
      <w:bookmarkEnd w:id="200"/>
    </w:p>
    <w:p w14:paraId="149E455A" w14:textId="1F2C6DEB" w:rsidR="007A1FDC" w:rsidRPr="004A0C12" w:rsidRDefault="00CC3095" w:rsidP="007A1FDC">
      <w:pPr>
        <w:widowControl w:val="0"/>
        <w:spacing w:after="0" w:line="240" w:lineRule="auto"/>
        <w:jc w:val="both"/>
        <w:rPr>
          <w:rFonts w:ascii="Garamond" w:hAnsi="Garamond"/>
        </w:rPr>
      </w:pPr>
      <w:r w:rsidRPr="004A0C12">
        <w:rPr>
          <w:rFonts w:ascii="Garamond" w:hAnsi="Garamond"/>
        </w:rPr>
        <w:t>DORS</w:t>
      </w:r>
      <w:r w:rsidR="007A1FDC" w:rsidRPr="004A0C12">
        <w:rPr>
          <w:rFonts w:ascii="Garamond" w:hAnsi="Garamond"/>
        </w:rPr>
        <w:t xml:space="preserve"> will work with the Maryland Medicaid agency toward establishing a cooperative agreement</w:t>
      </w:r>
      <w:r w:rsidRPr="004A0C12">
        <w:rPr>
          <w:rFonts w:ascii="Garamond" w:hAnsi="Garamond"/>
        </w:rPr>
        <w:t>,</w:t>
      </w:r>
      <w:r w:rsidR="007A1FDC" w:rsidRPr="004A0C12">
        <w:rPr>
          <w:rFonts w:ascii="Garamond" w:hAnsi="Garamond"/>
        </w:rPr>
        <w:t xml:space="preserve"> as outlined in the Workforce Innovation and Opportunity Act. DORS and the State Medicaid agency will collaborate in developing strategies to maximize resources and develop opportunities for competitive integrated employment for </w:t>
      </w:r>
      <w:r w:rsidR="00431254" w:rsidRPr="004A0C12">
        <w:rPr>
          <w:rFonts w:ascii="Garamond" w:hAnsi="Garamond"/>
        </w:rPr>
        <w:t xml:space="preserve">individuals with disabilities. </w:t>
      </w:r>
    </w:p>
    <w:p w14:paraId="16D73D21" w14:textId="77777777" w:rsidR="007A1FDC" w:rsidRPr="00C0180F" w:rsidRDefault="007A1FDC" w:rsidP="00B709F8">
      <w:pPr>
        <w:pStyle w:val="Heading3"/>
        <w:rPr>
          <w:rFonts w:ascii="Garamond" w:hAnsi="Garamond"/>
          <w:sz w:val="24"/>
          <w:szCs w:val="24"/>
        </w:rPr>
      </w:pPr>
      <w:bookmarkStart w:id="201" w:name="_Toc447276228"/>
      <w:r w:rsidRPr="00C0180F">
        <w:rPr>
          <w:rFonts w:ascii="Garamond" w:hAnsi="Garamond"/>
          <w:sz w:val="24"/>
          <w:szCs w:val="24"/>
        </w:rPr>
        <w:t>Developmental Disabilities Administration</w:t>
      </w:r>
      <w:bookmarkEnd w:id="201"/>
    </w:p>
    <w:p w14:paraId="5A50CDA3" w14:textId="7CFD291D" w:rsidR="007A1FDC" w:rsidRPr="004A0C12" w:rsidRDefault="007A1FDC" w:rsidP="007A1FDC">
      <w:pPr>
        <w:spacing w:after="0" w:line="240" w:lineRule="auto"/>
        <w:jc w:val="both"/>
        <w:rPr>
          <w:rFonts w:ascii="Garamond" w:hAnsi="Garamond"/>
        </w:rPr>
      </w:pPr>
      <w:r w:rsidRPr="004A0C12">
        <w:rPr>
          <w:rFonts w:ascii="Garamond" w:hAnsi="Garamond"/>
        </w:rPr>
        <w:t xml:space="preserve">DORS has entered into a cooperative agreement with the Maryland Department of Health and Mental Hygiene, Developmental Disabilities Administration (DDA), to provide for increased interagency cooperation, </w:t>
      </w:r>
      <w:r w:rsidR="00CC3095" w:rsidRPr="004A0C12">
        <w:rPr>
          <w:rFonts w:ascii="Garamond" w:hAnsi="Garamond"/>
        </w:rPr>
        <w:t xml:space="preserve">to </w:t>
      </w:r>
      <w:r w:rsidRPr="004A0C12">
        <w:rPr>
          <w:rFonts w:ascii="Garamond" w:hAnsi="Garamond"/>
        </w:rPr>
        <w:t xml:space="preserve">ensure the maximum utilization of appropriate programs and resources in the provision of services to individuals with disabilities, </w:t>
      </w:r>
      <w:r w:rsidR="00CC3095" w:rsidRPr="004A0C12">
        <w:rPr>
          <w:rFonts w:ascii="Garamond" w:hAnsi="Garamond"/>
        </w:rPr>
        <w:t xml:space="preserve">to </w:t>
      </w:r>
      <w:r w:rsidRPr="004A0C12">
        <w:rPr>
          <w:rFonts w:ascii="Garamond" w:hAnsi="Garamond"/>
        </w:rPr>
        <w:t xml:space="preserve">expand and improve services to individuals with significant disabilities, and </w:t>
      </w:r>
      <w:r w:rsidR="00CC3095" w:rsidRPr="004A0C12">
        <w:rPr>
          <w:rFonts w:ascii="Garamond" w:hAnsi="Garamond"/>
        </w:rPr>
        <w:t xml:space="preserve">to </w:t>
      </w:r>
      <w:r w:rsidRPr="004A0C12">
        <w:rPr>
          <w:rFonts w:ascii="Garamond" w:hAnsi="Garamond"/>
        </w:rPr>
        <w:t xml:space="preserve">maximize the use of comparable benefits. The agreement sets forth terms and conditions under which </w:t>
      </w:r>
      <w:r w:rsidR="00CC3095" w:rsidRPr="004A0C12">
        <w:rPr>
          <w:rFonts w:ascii="Garamond" w:hAnsi="Garamond"/>
        </w:rPr>
        <w:t>DORS</w:t>
      </w:r>
      <w:r w:rsidRPr="004A0C12">
        <w:rPr>
          <w:rFonts w:ascii="Garamond" w:hAnsi="Garamond"/>
        </w:rPr>
        <w:t xml:space="preserve"> and DDA will cooperat</w:t>
      </w:r>
      <w:r w:rsidR="00CC3095" w:rsidRPr="004A0C12">
        <w:rPr>
          <w:rFonts w:ascii="Garamond" w:hAnsi="Garamond"/>
        </w:rPr>
        <w:t xml:space="preserve">e in the provision of services. </w:t>
      </w:r>
      <w:r w:rsidRPr="004A0C12">
        <w:rPr>
          <w:rFonts w:ascii="Garamond" w:hAnsi="Garamond"/>
        </w:rPr>
        <w:t>The formal interagency cooperative agreement identifies policies, practices, and procedures that are coordinated between DORS and DDA (particularly definitions, standards for eligibility, the joint sharing and use of evaluations and assessments, and pr</w:t>
      </w:r>
      <w:r w:rsidR="00CC3095" w:rsidRPr="004A0C12">
        <w:rPr>
          <w:rFonts w:ascii="Garamond" w:hAnsi="Garamond"/>
        </w:rPr>
        <w:t xml:space="preserve">ocedures for making referrals). It also </w:t>
      </w:r>
      <w:r w:rsidRPr="004A0C12">
        <w:rPr>
          <w:rFonts w:ascii="Garamond" w:hAnsi="Garamond"/>
        </w:rPr>
        <w:t>identifies available resources and defines the financial responsibility of each agency for paying for necessary services, consistent with State law and procedures for reso</w:t>
      </w:r>
      <w:r w:rsidR="00CC3095" w:rsidRPr="004A0C12">
        <w:rPr>
          <w:rFonts w:ascii="Garamond" w:hAnsi="Garamond"/>
        </w:rPr>
        <w:t>lving disputes between agencies,</w:t>
      </w:r>
      <w:r w:rsidRPr="004A0C12">
        <w:rPr>
          <w:rFonts w:ascii="Garamond" w:hAnsi="Garamond"/>
        </w:rPr>
        <w:t xml:space="preserve"> and includes all additional components necessary to ensure meaningful cooperation and coordination. </w:t>
      </w:r>
    </w:p>
    <w:p w14:paraId="68EDDE53" w14:textId="77777777" w:rsidR="007A1FDC" w:rsidRPr="004A0C12" w:rsidRDefault="007A1FDC" w:rsidP="007A1FDC">
      <w:pPr>
        <w:spacing w:after="0" w:line="240" w:lineRule="auto"/>
        <w:jc w:val="both"/>
        <w:rPr>
          <w:rFonts w:ascii="Garamond" w:hAnsi="Garamond"/>
        </w:rPr>
      </w:pPr>
    </w:p>
    <w:p w14:paraId="0876F684"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DORS and DDA updated and approved the Cooperative Agreement, Employment Services, in October 2013. The agreement focuses on the implementation of </w:t>
      </w:r>
      <w:r w:rsidRPr="004A0C12">
        <w:rPr>
          <w:rFonts w:ascii="Garamond" w:hAnsi="Garamond"/>
          <w:i/>
        </w:rPr>
        <w:t>Employment First</w:t>
      </w:r>
      <w:r w:rsidRPr="004A0C12">
        <w:rPr>
          <w:rFonts w:ascii="Garamond" w:hAnsi="Garamond"/>
        </w:rPr>
        <w:t xml:space="preserve"> in Maryland. It addresses referral between agencies, specifies shared responsibilities for funding of supported employment, and describes cross-training activities. </w:t>
      </w:r>
    </w:p>
    <w:p w14:paraId="56DBC9B1" w14:textId="77777777" w:rsidR="007A1FDC" w:rsidRPr="00C0180F" w:rsidRDefault="007A1FDC" w:rsidP="00B709F8">
      <w:pPr>
        <w:pStyle w:val="Heading3"/>
        <w:rPr>
          <w:rFonts w:ascii="Garamond" w:hAnsi="Garamond"/>
          <w:sz w:val="24"/>
          <w:szCs w:val="24"/>
        </w:rPr>
      </w:pPr>
      <w:bookmarkStart w:id="202" w:name="_Toc447276229"/>
      <w:r w:rsidRPr="00C0180F">
        <w:rPr>
          <w:rFonts w:ascii="Garamond" w:hAnsi="Garamond"/>
          <w:sz w:val="24"/>
          <w:szCs w:val="24"/>
        </w:rPr>
        <w:lastRenderedPageBreak/>
        <w:t>Behavioral Health Administration</w:t>
      </w:r>
      <w:bookmarkEnd w:id="202"/>
    </w:p>
    <w:p w14:paraId="48D57DCA" w14:textId="77777777" w:rsidR="007A1FDC" w:rsidRPr="004A0C12" w:rsidRDefault="007A1FDC" w:rsidP="00431254">
      <w:pPr>
        <w:widowControl w:val="0"/>
        <w:spacing w:after="0" w:line="240" w:lineRule="auto"/>
        <w:jc w:val="both"/>
        <w:rPr>
          <w:rFonts w:ascii="Garamond" w:hAnsi="Garamond"/>
        </w:rPr>
      </w:pPr>
      <w:r w:rsidRPr="004A0C12">
        <w:rPr>
          <w:rFonts w:ascii="Garamond" w:hAnsi="Garamond"/>
        </w:rPr>
        <w:t>DORS has also entered into a cooperative agreement with the Department of Health and Mental Hygiene, B</w:t>
      </w:r>
      <w:r w:rsidR="00B709F8" w:rsidRPr="004A0C12">
        <w:rPr>
          <w:rFonts w:ascii="Garamond" w:hAnsi="Garamond"/>
        </w:rPr>
        <w:t>ehavioral Health Administration</w:t>
      </w:r>
      <w:r w:rsidRPr="004A0C12">
        <w:rPr>
          <w:rFonts w:ascii="Garamond" w:hAnsi="Garamond"/>
        </w:rPr>
        <w:t>. The cooperative agreement, most recently updated effective December 2011, addresses referrals between agencies and specifies shared responsibilities for funding of supported employment, as wel</w:t>
      </w:r>
      <w:r w:rsidR="00431254" w:rsidRPr="004A0C12">
        <w:rPr>
          <w:rFonts w:ascii="Garamond" w:hAnsi="Garamond"/>
        </w:rPr>
        <w:t xml:space="preserve">l as cross-training for staff. </w:t>
      </w:r>
    </w:p>
    <w:p w14:paraId="41479D34" w14:textId="7CF68A09" w:rsidR="007A1FDC" w:rsidRPr="00C0180F" w:rsidRDefault="007A1FDC" w:rsidP="00B709F8">
      <w:pPr>
        <w:pStyle w:val="Heading2"/>
        <w:rPr>
          <w:rFonts w:ascii="Garamond" w:hAnsi="Garamond"/>
          <w:sz w:val="24"/>
          <w:szCs w:val="24"/>
        </w:rPr>
      </w:pPr>
      <w:bookmarkStart w:id="203" w:name="_Toc447276230"/>
      <w:r w:rsidRPr="00C0180F">
        <w:rPr>
          <w:rFonts w:ascii="Garamond" w:hAnsi="Garamond"/>
          <w:sz w:val="24"/>
          <w:szCs w:val="24"/>
        </w:rPr>
        <w:t>Comprehensive</w:t>
      </w:r>
      <w:r w:rsidRPr="00C0180F">
        <w:rPr>
          <w:rFonts w:ascii="Garamond" w:hAnsi="Garamond"/>
          <w:spacing w:val="1"/>
          <w:sz w:val="24"/>
          <w:szCs w:val="24"/>
        </w:rPr>
        <w:t xml:space="preserve"> </w:t>
      </w:r>
      <w:r w:rsidRPr="00C0180F">
        <w:rPr>
          <w:rFonts w:ascii="Garamond" w:hAnsi="Garamond"/>
          <w:sz w:val="24"/>
          <w:szCs w:val="24"/>
        </w:rPr>
        <w:t>System</w:t>
      </w:r>
      <w:r w:rsidRPr="00C0180F">
        <w:rPr>
          <w:rFonts w:ascii="Garamond" w:hAnsi="Garamond"/>
          <w:spacing w:val="-7"/>
          <w:sz w:val="24"/>
          <w:szCs w:val="24"/>
        </w:rPr>
        <w:t xml:space="preserve"> </w:t>
      </w:r>
      <w:r w:rsidRPr="00C0180F">
        <w:rPr>
          <w:rFonts w:ascii="Garamond" w:hAnsi="Garamond"/>
          <w:sz w:val="24"/>
          <w:szCs w:val="24"/>
        </w:rPr>
        <w:t>of</w:t>
      </w:r>
      <w:r w:rsidRPr="00C0180F">
        <w:rPr>
          <w:rFonts w:ascii="Garamond" w:hAnsi="Garamond"/>
          <w:spacing w:val="-2"/>
          <w:sz w:val="24"/>
          <w:szCs w:val="24"/>
        </w:rPr>
        <w:t xml:space="preserve"> </w:t>
      </w:r>
      <w:r w:rsidRPr="00C0180F">
        <w:rPr>
          <w:rFonts w:ascii="Garamond" w:hAnsi="Garamond"/>
          <w:sz w:val="24"/>
          <w:szCs w:val="24"/>
        </w:rPr>
        <w:t>Personnel Development:</w:t>
      </w:r>
      <w:r w:rsidRPr="00C0180F">
        <w:rPr>
          <w:rFonts w:ascii="Garamond" w:hAnsi="Garamond"/>
          <w:spacing w:val="6"/>
          <w:sz w:val="24"/>
          <w:szCs w:val="24"/>
        </w:rPr>
        <w:t xml:space="preserve"> </w:t>
      </w:r>
      <w:r w:rsidRPr="00C0180F">
        <w:rPr>
          <w:rFonts w:ascii="Garamond" w:hAnsi="Garamond"/>
          <w:sz w:val="24"/>
          <w:szCs w:val="24"/>
        </w:rPr>
        <w:t>Data</w:t>
      </w:r>
      <w:r w:rsidRPr="00C0180F">
        <w:rPr>
          <w:rFonts w:ascii="Garamond" w:hAnsi="Garamond"/>
          <w:spacing w:val="-7"/>
          <w:sz w:val="24"/>
          <w:szCs w:val="24"/>
        </w:rPr>
        <w:t xml:space="preserve"> </w:t>
      </w:r>
      <w:r w:rsidRPr="00C0180F">
        <w:rPr>
          <w:rFonts w:ascii="Garamond" w:hAnsi="Garamond"/>
          <w:sz w:val="24"/>
          <w:szCs w:val="24"/>
        </w:rPr>
        <w:t>System</w:t>
      </w:r>
      <w:r w:rsidRPr="00C0180F">
        <w:rPr>
          <w:rFonts w:ascii="Garamond" w:hAnsi="Garamond"/>
          <w:spacing w:val="-7"/>
          <w:sz w:val="24"/>
          <w:szCs w:val="24"/>
        </w:rPr>
        <w:t xml:space="preserve"> </w:t>
      </w:r>
      <w:r w:rsidR="00041F40" w:rsidRPr="00C0180F">
        <w:rPr>
          <w:rFonts w:ascii="Garamond" w:hAnsi="Garamond"/>
          <w:sz w:val="24"/>
          <w:szCs w:val="24"/>
        </w:rPr>
        <w:t>&amp;</w:t>
      </w:r>
      <w:r w:rsidRPr="00C0180F">
        <w:rPr>
          <w:rFonts w:ascii="Garamond" w:hAnsi="Garamond"/>
          <w:spacing w:val="4"/>
          <w:sz w:val="24"/>
          <w:szCs w:val="24"/>
        </w:rPr>
        <w:t xml:space="preserve"> </w:t>
      </w:r>
      <w:r w:rsidRPr="00C0180F">
        <w:rPr>
          <w:rFonts w:ascii="Garamond" w:hAnsi="Garamond"/>
          <w:sz w:val="24"/>
          <w:szCs w:val="24"/>
        </w:rPr>
        <w:t>Personnel Development</w:t>
      </w:r>
      <w:bookmarkEnd w:id="203"/>
    </w:p>
    <w:p w14:paraId="7366A02A" w14:textId="1A25E579" w:rsidR="007A1FDC" w:rsidRPr="004A0C12" w:rsidRDefault="00041F40" w:rsidP="007A1FDC">
      <w:pPr>
        <w:widowControl w:val="0"/>
        <w:spacing w:after="0" w:line="240" w:lineRule="auto"/>
        <w:jc w:val="both"/>
        <w:rPr>
          <w:rFonts w:ascii="Garamond" w:hAnsi="Garamond"/>
        </w:rPr>
      </w:pPr>
      <w:r w:rsidRPr="004A0C12">
        <w:rPr>
          <w:rFonts w:ascii="Garamond" w:hAnsi="Garamond"/>
        </w:rPr>
        <w:t>DORS</w:t>
      </w:r>
      <w:r w:rsidR="007A1FDC" w:rsidRPr="004A0C12">
        <w:rPr>
          <w:rFonts w:ascii="Garamond" w:hAnsi="Garamond"/>
        </w:rPr>
        <w:t xml:space="preserve"> has established policies and procedures for a Comprehensive System</w:t>
      </w:r>
      <w:r w:rsidRPr="004A0C12">
        <w:rPr>
          <w:rFonts w:ascii="Garamond" w:hAnsi="Garamond"/>
        </w:rPr>
        <w:t xml:space="preserve"> of Personnel Development,</w:t>
      </w:r>
      <w:r w:rsidR="007A1FDC" w:rsidRPr="004A0C12">
        <w:rPr>
          <w:rFonts w:ascii="Garamond" w:hAnsi="Garamond"/>
        </w:rPr>
        <w:t xml:space="preserve"> which ensures that all personnel:</w:t>
      </w:r>
    </w:p>
    <w:p w14:paraId="3AE11498" w14:textId="77777777" w:rsidR="00041F40" w:rsidRPr="004A0C12" w:rsidRDefault="00041F40" w:rsidP="007A1FDC">
      <w:pPr>
        <w:widowControl w:val="0"/>
        <w:spacing w:after="0" w:line="240" w:lineRule="auto"/>
        <w:jc w:val="both"/>
        <w:rPr>
          <w:rFonts w:ascii="Garamond" w:hAnsi="Garamond"/>
        </w:rPr>
      </w:pPr>
    </w:p>
    <w:p w14:paraId="431B6803" w14:textId="292148BB" w:rsidR="007A1FDC" w:rsidRPr="004A0C12" w:rsidRDefault="00041F40" w:rsidP="00232F09">
      <w:pPr>
        <w:widowControl w:val="0"/>
        <w:numPr>
          <w:ilvl w:val="0"/>
          <w:numId w:val="136"/>
        </w:numPr>
        <w:tabs>
          <w:tab w:val="clear" w:pos="360"/>
          <w:tab w:val="num" w:pos="720"/>
        </w:tabs>
        <w:spacing w:after="0" w:line="240" w:lineRule="auto"/>
        <w:ind w:left="720" w:hanging="360"/>
        <w:jc w:val="both"/>
        <w:rPr>
          <w:rFonts w:ascii="Garamond" w:hAnsi="Garamond"/>
        </w:rPr>
      </w:pPr>
      <w:r w:rsidRPr="004A0C12">
        <w:rPr>
          <w:rFonts w:ascii="Garamond" w:hAnsi="Garamond"/>
        </w:rPr>
        <w:t>A</w:t>
      </w:r>
      <w:r w:rsidR="007A1FDC" w:rsidRPr="004A0C12">
        <w:rPr>
          <w:rFonts w:ascii="Garamond" w:hAnsi="Garamond"/>
        </w:rPr>
        <w:t>re well qualified</w:t>
      </w:r>
    </w:p>
    <w:p w14:paraId="0D722591" w14:textId="7CEFE873" w:rsidR="007A1FDC" w:rsidRPr="004A0C12" w:rsidRDefault="00041F40" w:rsidP="00232F09">
      <w:pPr>
        <w:widowControl w:val="0"/>
        <w:numPr>
          <w:ilvl w:val="0"/>
          <w:numId w:val="136"/>
        </w:numPr>
        <w:tabs>
          <w:tab w:val="clear" w:pos="360"/>
          <w:tab w:val="num" w:pos="720"/>
        </w:tabs>
        <w:spacing w:after="0" w:line="240" w:lineRule="auto"/>
        <w:ind w:left="720" w:hanging="360"/>
        <w:jc w:val="both"/>
        <w:rPr>
          <w:rFonts w:ascii="Garamond" w:hAnsi="Garamond"/>
        </w:rPr>
      </w:pPr>
      <w:r w:rsidRPr="004A0C12">
        <w:rPr>
          <w:rFonts w:ascii="Garamond" w:hAnsi="Garamond"/>
        </w:rPr>
        <w:t>R</w:t>
      </w:r>
      <w:r w:rsidR="007A1FDC" w:rsidRPr="004A0C12">
        <w:rPr>
          <w:rFonts w:ascii="Garamond" w:hAnsi="Garamond"/>
        </w:rPr>
        <w:t>egularly take part in staff development</w:t>
      </w:r>
    </w:p>
    <w:p w14:paraId="6F17E36B" w14:textId="499FE541" w:rsidR="007A1FDC" w:rsidRPr="004A0C12" w:rsidRDefault="00041F40" w:rsidP="00232F09">
      <w:pPr>
        <w:widowControl w:val="0"/>
        <w:numPr>
          <w:ilvl w:val="0"/>
          <w:numId w:val="136"/>
        </w:numPr>
        <w:tabs>
          <w:tab w:val="clear" w:pos="360"/>
          <w:tab w:val="num" w:pos="720"/>
        </w:tabs>
        <w:spacing w:after="0" w:line="240" w:lineRule="auto"/>
        <w:ind w:left="720" w:hanging="360"/>
        <w:jc w:val="both"/>
        <w:rPr>
          <w:rFonts w:ascii="Garamond" w:hAnsi="Garamond"/>
        </w:rPr>
      </w:pPr>
      <w:r w:rsidRPr="004A0C12">
        <w:rPr>
          <w:rFonts w:ascii="Garamond" w:hAnsi="Garamond"/>
        </w:rPr>
        <w:t>P</w:t>
      </w:r>
      <w:r w:rsidR="007A1FDC" w:rsidRPr="004A0C12">
        <w:rPr>
          <w:rFonts w:ascii="Garamond" w:hAnsi="Garamond"/>
        </w:rPr>
        <w:t>articipate in performance-based evaluation systems</w:t>
      </w:r>
    </w:p>
    <w:p w14:paraId="027C8579" w14:textId="162AD857" w:rsidR="007A1FDC" w:rsidRPr="004A0C12" w:rsidRDefault="00041F40" w:rsidP="00232F09">
      <w:pPr>
        <w:widowControl w:val="0"/>
        <w:numPr>
          <w:ilvl w:val="0"/>
          <w:numId w:val="136"/>
        </w:numPr>
        <w:tabs>
          <w:tab w:val="clear" w:pos="360"/>
          <w:tab w:val="num" w:pos="720"/>
        </w:tabs>
        <w:spacing w:after="0" w:line="240" w:lineRule="auto"/>
        <w:ind w:left="720" w:hanging="360"/>
        <w:jc w:val="both"/>
        <w:rPr>
          <w:rFonts w:ascii="Garamond" w:hAnsi="Garamond"/>
        </w:rPr>
      </w:pPr>
      <w:r w:rsidRPr="004A0C12">
        <w:rPr>
          <w:rFonts w:ascii="Garamond" w:hAnsi="Garamond"/>
        </w:rPr>
        <w:t>M</w:t>
      </w:r>
      <w:r w:rsidR="007A1FDC" w:rsidRPr="004A0C12">
        <w:rPr>
          <w:rFonts w:ascii="Garamond" w:hAnsi="Garamond"/>
        </w:rPr>
        <w:t>eet required licensing/certification standards</w:t>
      </w:r>
    </w:p>
    <w:p w14:paraId="7E192156" w14:textId="77777777" w:rsidR="007A1FDC" w:rsidRPr="004A0C12" w:rsidRDefault="007A1FDC" w:rsidP="007A1FDC">
      <w:pPr>
        <w:widowControl w:val="0"/>
        <w:spacing w:after="0" w:line="240" w:lineRule="auto"/>
        <w:jc w:val="both"/>
        <w:rPr>
          <w:rFonts w:ascii="Garamond" w:hAnsi="Garamond"/>
        </w:rPr>
      </w:pPr>
    </w:p>
    <w:p w14:paraId="2520CACB" w14:textId="5298C014" w:rsidR="007A1FDC" w:rsidRPr="004A0C12" w:rsidRDefault="007A1FDC" w:rsidP="007A1FDC">
      <w:pPr>
        <w:widowControl w:val="0"/>
        <w:spacing w:after="0" w:line="240" w:lineRule="auto"/>
        <w:jc w:val="both"/>
        <w:rPr>
          <w:rFonts w:ascii="Garamond" w:hAnsi="Garamond"/>
        </w:rPr>
      </w:pPr>
      <w:r w:rsidRPr="004A0C12">
        <w:rPr>
          <w:rFonts w:ascii="Garamond" w:hAnsi="Garamond"/>
        </w:rPr>
        <w:t>Training, education</w:t>
      </w:r>
      <w:r w:rsidR="00041F40" w:rsidRPr="004A0C12">
        <w:rPr>
          <w:rFonts w:ascii="Garamond" w:hAnsi="Garamond"/>
        </w:rPr>
        <w:t>,</w:t>
      </w:r>
      <w:r w:rsidRPr="004A0C12">
        <w:rPr>
          <w:rFonts w:ascii="Garamond" w:hAnsi="Garamond"/>
        </w:rPr>
        <w:t xml:space="preserve"> and developmental activities ensure appropriately skilled staff, with special emphasis given to rehabilitation technology, employer services, transitioning and disability-spec</w:t>
      </w:r>
      <w:r w:rsidR="00041F40" w:rsidRPr="004A0C12">
        <w:rPr>
          <w:rFonts w:ascii="Garamond" w:hAnsi="Garamond"/>
        </w:rPr>
        <w:t xml:space="preserve">ific (e.g., blindness) skills. </w:t>
      </w:r>
      <w:r w:rsidRPr="004A0C12">
        <w:rPr>
          <w:rFonts w:ascii="Garamond" w:hAnsi="Garamond"/>
        </w:rPr>
        <w:t xml:space="preserve">This system strives to fill vacancies with well-qualified and culturally diverse applicants.   </w:t>
      </w:r>
    </w:p>
    <w:p w14:paraId="7610A389" w14:textId="77777777" w:rsidR="007A1FDC" w:rsidRPr="004A0C12" w:rsidRDefault="007A1FDC" w:rsidP="007A1FDC">
      <w:pPr>
        <w:widowControl w:val="0"/>
        <w:spacing w:after="0" w:line="240" w:lineRule="auto"/>
        <w:jc w:val="both"/>
        <w:rPr>
          <w:rFonts w:ascii="Garamond" w:hAnsi="Garamond"/>
        </w:rPr>
      </w:pPr>
    </w:p>
    <w:p w14:paraId="775EBE25"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As part of the Maryland State Department of Education, DORS is required to adhere to personnel development policies and procedures contained in 34 CFR 300.15, 34 CFR 300-383, 20.  U.S.C.  1413 (A) (3) and in the Code of Maryland Regulations 13 A., 05.01.03G.</w:t>
      </w:r>
    </w:p>
    <w:p w14:paraId="08B1898E" w14:textId="77777777" w:rsidR="007A1FDC" w:rsidRPr="004A0C12" w:rsidRDefault="007A1FDC" w:rsidP="007A1FDC">
      <w:pPr>
        <w:widowControl w:val="0"/>
        <w:spacing w:after="0" w:line="240" w:lineRule="auto"/>
        <w:jc w:val="both"/>
        <w:rPr>
          <w:rFonts w:ascii="Garamond" w:hAnsi="Garamond"/>
        </w:rPr>
      </w:pPr>
    </w:p>
    <w:p w14:paraId="1DF6C6A8"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(1) Data System on Personnel and Personnel Development. </w:t>
      </w:r>
    </w:p>
    <w:p w14:paraId="1F2FEC1B"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(A) Qualified Personnel Needs. </w:t>
      </w:r>
    </w:p>
    <w:p w14:paraId="0C818FD1" w14:textId="77777777" w:rsidR="007A1FDC" w:rsidRPr="004A0C12" w:rsidRDefault="007A1FDC" w:rsidP="007A1FDC">
      <w:pPr>
        <w:widowControl w:val="0"/>
        <w:spacing w:after="0" w:line="240" w:lineRule="auto"/>
        <w:jc w:val="both"/>
        <w:rPr>
          <w:rFonts w:ascii="Garamond" w:hAnsi="Garamond"/>
        </w:rPr>
      </w:pPr>
    </w:p>
    <w:p w14:paraId="61770DC1"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DORS has a data system to annually obtain information on personnel and personnel development, as follows:</w:t>
      </w:r>
    </w:p>
    <w:p w14:paraId="4DDE8395" w14:textId="25F65A92" w:rsidR="007A1FDC" w:rsidRPr="004A0C12" w:rsidRDefault="007A1FDC" w:rsidP="00232F09">
      <w:pPr>
        <w:pStyle w:val="ListParagraph"/>
        <w:widowControl w:val="0"/>
        <w:numPr>
          <w:ilvl w:val="0"/>
          <w:numId w:val="210"/>
        </w:numPr>
        <w:jc w:val="both"/>
        <w:rPr>
          <w:rFonts w:ascii="Garamond" w:hAnsi="Garamond"/>
          <w:szCs w:val="22"/>
        </w:rPr>
      </w:pPr>
      <w:r w:rsidRPr="004A0C12">
        <w:rPr>
          <w:rFonts w:ascii="Garamond" w:hAnsi="Garamond"/>
          <w:szCs w:val="22"/>
        </w:rPr>
        <w:t xml:space="preserve">The number of personnel who are employed by the state agency in the provision </w:t>
      </w:r>
      <w:r w:rsidR="00041F40" w:rsidRPr="004A0C12">
        <w:rPr>
          <w:rFonts w:ascii="Garamond" w:hAnsi="Garamond"/>
          <w:szCs w:val="22"/>
        </w:rPr>
        <w:t xml:space="preserve"> </w:t>
      </w:r>
      <w:r w:rsidRPr="004A0C12">
        <w:rPr>
          <w:rFonts w:ascii="Garamond" w:hAnsi="Garamond"/>
          <w:szCs w:val="22"/>
        </w:rPr>
        <w:t>of VR services in relation to the number of individuals served, broken down by personnel category.</w:t>
      </w:r>
      <w:r w:rsidRPr="004A0C12">
        <w:rPr>
          <w:rFonts w:ascii="Garamond" w:hAnsi="Garamond"/>
          <w:szCs w:val="22"/>
        </w:rPr>
        <w:cr/>
      </w:r>
      <w:r w:rsidRPr="004A0C12">
        <w:rPr>
          <w:rFonts w:ascii="Garamond" w:hAnsi="Garamond"/>
          <w:szCs w:val="22"/>
        </w:rPr>
        <w:cr/>
        <w:t>By December 31 of each year DORS will:</w:t>
      </w:r>
    </w:p>
    <w:p w14:paraId="6C6AD766" w14:textId="763809E0" w:rsidR="007A1FDC" w:rsidRPr="004A0C12" w:rsidRDefault="007A1FDC" w:rsidP="00232F09">
      <w:pPr>
        <w:widowControl w:val="0"/>
        <w:numPr>
          <w:ilvl w:val="0"/>
          <w:numId w:val="137"/>
        </w:numPr>
        <w:tabs>
          <w:tab w:val="clear" w:pos="360"/>
          <w:tab w:val="num" w:pos="2520"/>
        </w:tabs>
        <w:spacing w:after="0" w:line="240" w:lineRule="auto"/>
        <w:ind w:left="2520" w:hanging="360"/>
        <w:jc w:val="both"/>
        <w:rPr>
          <w:rFonts w:ascii="Garamond" w:hAnsi="Garamond"/>
        </w:rPr>
      </w:pPr>
      <w:r w:rsidRPr="004A0C12">
        <w:rPr>
          <w:rFonts w:ascii="Garamond" w:hAnsi="Garamond"/>
        </w:rPr>
        <w:t>Use the RSA A2 Report of September 30 to determine the number of DORS positions in provision of VR services (total number of DORS pos</w:t>
      </w:r>
      <w:r w:rsidR="00CF391B" w:rsidRPr="004A0C12">
        <w:rPr>
          <w:rFonts w:ascii="Garamond" w:hAnsi="Garamond"/>
        </w:rPr>
        <w:t>itions minus total number of Disability Determination Services</w:t>
      </w:r>
      <w:r w:rsidRPr="004A0C12">
        <w:rPr>
          <w:rFonts w:ascii="Garamond" w:hAnsi="Garamond"/>
        </w:rPr>
        <w:t xml:space="preserve"> positions).</w:t>
      </w:r>
    </w:p>
    <w:p w14:paraId="59D64FF3" w14:textId="77777777" w:rsidR="007A1FDC" w:rsidRPr="004A0C12" w:rsidRDefault="007A1FDC" w:rsidP="00232F09">
      <w:pPr>
        <w:widowControl w:val="0"/>
        <w:numPr>
          <w:ilvl w:val="0"/>
          <w:numId w:val="137"/>
        </w:numPr>
        <w:tabs>
          <w:tab w:val="clear" w:pos="360"/>
          <w:tab w:val="num" w:pos="2520"/>
        </w:tabs>
        <w:spacing w:after="0" w:line="240" w:lineRule="auto"/>
        <w:ind w:left="2520" w:hanging="360"/>
        <w:jc w:val="both"/>
        <w:rPr>
          <w:rFonts w:ascii="Garamond" w:hAnsi="Garamond"/>
        </w:rPr>
      </w:pPr>
      <w:r w:rsidRPr="004A0C12">
        <w:rPr>
          <w:rFonts w:ascii="Garamond" w:hAnsi="Garamond"/>
        </w:rPr>
        <w:t>Determine the number of positions in the following categories:</w:t>
      </w:r>
    </w:p>
    <w:p w14:paraId="0DC60CB3" w14:textId="450F1A3C" w:rsidR="007A1FDC" w:rsidRPr="004A0C12" w:rsidRDefault="007A1FDC" w:rsidP="00232F09">
      <w:pPr>
        <w:widowControl w:val="0"/>
        <w:numPr>
          <w:ilvl w:val="1"/>
          <w:numId w:val="137"/>
        </w:numPr>
        <w:tabs>
          <w:tab w:val="clear" w:pos="360"/>
          <w:tab w:val="num" w:pos="3240"/>
        </w:tabs>
        <w:spacing w:after="0" w:line="240" w:lineRule="auto"/>
        <w:ind w:left="3240" w:hanging="360"/>
        <w:jc w:val="both"/>
        <w:rPr>
          <w:rFonts w:ascii="Garamond" w:hAnsi="Garamond"/>
        </w:rPr>
      </w:pPr>
      <w:r w:rsidRPr="004A0C12">
        <w:rPr>
          <w:rFonts w:ascii="Garamond" w:hAnsi="Garamond"/>
        </w:rPr>
        <w:t>Rehabilitation Counselors</w:t>
      </w:r>
      <w:r w:rsidR="00041F40" w:rsidRPr="004A0C12">
        <w:rPr>
          <w:rFonts w:ascii="Garamond" w:hAnsi="Garamond"/>
        </w:rPr>
        <w:t>;</w:t>
      </w:r>
    </w:p>
    <w:p w14:paraId="01E1E654" w14:textId="6F6E486F" w:rsidR="007A1FDC" w:rsidRPr="004A0C12" w:rsidRDefault="007A1FDC" w:rsidP="00232F09">
      <w:pPr>
        <w:widowControl w:val="0"/>
        <w:numPr>
          <w:ilvl w:val="1"/>
          <w:numId w:val="137"/>
        </w:numPr>
        <w:tabs>
          <w:tab w:val="clear" w:pos="360"/>
          <w:tab w:val="num" w:pos="3240"/>
        </w:tabs>
        <w:spacing w:after="0" w:line="240" w:lineRule="auto"/>
        <w:ind w:left="3240" w:hanging="360"/>
        <w:jc w:val="both"/>
        <w:rPr>
          <w:rFonts w:ascii="Garamond" w:hAnsi="Garamond"/>
        </w:rPr>
      </w:pPr>
      <w:r w:rsidRPr="004A0C12">
        <w:rPr>
          <w:rFonts w:ascii="Garamond" w:hAnsi="Garamond"/>
        </w:rPr>
        <w:t>Administrative Staff</w:t>
      </w:r>
      <w:r w:rsidR="00041F40" w:rsidRPr="004A0C12">
        <w:rPr>
          <w:rFonts w:ascii="Garamond" w:hAnsi="Garamond"/>
        </w:rPr>
        <w:t>;</w:t>
      </w:r>
    </w:p>
    <w:p w14:paraId="524DD9F0" w14:textId="74DDC5F4" w:rsidR="007A1FDC" w:rsidRPr="004A0C12" w:rsidRDefault="007A1FDC" w:rsidP="00232F09">
      <w:pPr>
        <w:widowControl w:val="0"/>
        <w:numPr>
          <w:ilvl w:val="1"/>
          <w:numId w:val="137"/>
        </w:numPr>
        <w:tabs>
          <w:tab w:val="clear" w:pos="360"/>
          <w:tab w:val="num" w:pos="3240"/>
        </w:tabs>
        <w:spacing w:after="0" w:line="240" w:lineRule="auto"/>
        <w:ind w:left="3240" w:hanging="360"/>
        <w:jc w:val="both"/>
        <w:rPr>
          <w:rFonts w:ascii="Garamond" w:hAnsi="Garamond"/>
        </w:rPr>
      </w:pPr>
      <w:r w:rsidRPr="004A0C12">
        <w:rPr>
          <w:rFonts w:ascii="Garamond" w:hAnsi="Garamond"/>
        </w:rPr>
        <w:t>Staff Supporting Counselor Activities</w:t>
      </w:r>
      <w:r w:rsidR="00041F40" w:rsidRPr="004A0C12">
        <w:rPr>
          <w:rFonts w:ascii="Garamond" w:hAnsi="Garamond"/>
        </w:rPr>
        <w:t xml:space="preserve">; and, </w:t>
      </w:r>
    </w:p>
    <w:p w14:paraId="0FAEB997" w14:textId="7B00169A" w:rsidR="007A1FDC" w:rsidRPr="004A0C12" w:rsidRDefault="007A1FDC" w:rsidP="00232F09">
      <w:pPr>
        <w:widowControl w:val="0"/>
        <w:numPr>
          <w:ilvl w:val="1"/>
          <w:numId w:val="137"/>
        </w:numPr>
        <w:tabs>
          <w:tab w:val="clear" w:pos="360"/>
          <w:tab w:val="num" w:pos="3240"/>
        </w:tabs>
        <w:spacing w:after="0" w:line="240" w:lineRule="auto"/>
        <w:ind w:left="3240" w:hanging="360"/>
        <w:jc w:val="both"/>
        <w:rPr>
          <w:rFonts w:ascii="Garamond" w:hAnsi="Garamond"/>
        </w:rPr>
      </w:pPr>
      <w:r w:rsidRPr="004A0C12">
        <w:rPr>
          <w:rFonts w:ascii="Garamond" w:hAnsi="Garamond"/>
        </w:rPr>
        <w:t>Other</w:t>
      </w:r>
      <w:r w:rsidR="00041F40" w:rsidRPr="004A0C12">
        <w:rPr>
          <w:rFonts w:ascii="Garamond" w:hAnsi="Garamond"/>
        </w:rPr>
        <w:t>.</w:t>
      </w:r>
    </w:p>
    <w:p w14:paraId="3D128177" w14:textId="77777777" w:rsidR="007A1FDC" w:rsidRPr="004A0C12" w:rsidRDefault="007A1FDC" w:rsidP="00232F09">
      <w:pPr>
        <w:widowControl w:val="0"/>
        <w:numPr>
          <w:ilvl w:val="0"/>
          <w:numId w:val="137"/>
        </w:numPr>
        <w:tabs>
          <w:tab w:val="clear" w:pos="360"/>
          <w:tab w:val="num" w:pos="2520"/>
        </w:tabs>
        <w:spacing w:after="0" w:line="240" w:lineRule="auto"/>
        <w:ind w:left="2520" w:hanging="360"/>
        <w:jc w:val="both"/>
        <w:rPr>
          <w:rFonts w:ascii="Garamond" w:hAnsi="Garamond"/>
        </w:rPr>
      </w:pPr>
      <w:r w:rsidRPr="004A0C12">
        <w:rPr>
          <w:rFonts w:ascii="Garamond" w:hAnsi="Garamond"/>
        </w:rPr>
        <w:t>Determine the number of individuals served effective September 30 from the AWARE case management system.</w:t>
      </w:r>
    </w:p>
    <w:p w14:paraId="09FD8122" w14:textId="77777777" w:rsidR="007A1FDC" w:rsidRPr="004A0C12" w:rsidRDefault="007A1FDC" w:rsidP="007A1FDC">
      <w:pPr>
        <w:widowControl w:val="0"/>
        <w:spacing w:after="0" w:line="240" w:lineRule="auto"/>
        <w:jc w:val="both"/>
        <w:rPr>
          <w:rFonts w:ascii="Garamond" w:hAnsi="Garamond"/>
        </w:rPr>
      </w:pPr>
    </w:p>
    <w:p w14:paraId="5D4FB317" w14:textId="38E3C6E6" w:rsidR="007A1FDC" w:rsidRPr="004A0C12" w:rsidRDefault="007A1FDC" w:rsidP="00232F09">
      <w:pPr>
        <w:pStyle w:val="ListParagraph"/>
        <w:numPr>
          <w:ilvl w:val="0"/>
          <w:numId w:val="210"/>
        </w:numPr>
        <w:tabs>
          <w:tab w:val="left" w:pos="720"/>
        </w:tabs>
        <w:jc w:val="both"/>
        <w:rPr>
          <w:rFonts w:ascii="Garamond" w:hAnsi="Garamond"/>
          <w:szCs w:val="22"/>
        </w:rPr>
      </w:pPr>
      <w:r w:rsidRPr="004A0C12">
        <w:rPr>
          <w:rFonts w:ascii="Garamond" w:hAnsi="Garamond"/>
          <w:szCs w:val="22"/>
        </w:rPr>
        <w:t xml:space="preserve">The number of personnel currently needed by the state agency to provide </w:t>
      </w:r>
      <w:r w:rsidR="00B709F8" w:rsidRPr="004A0C12">
        <w:rPr>
          <w:rFonts w:ascii="Garamond" w:hAnsi="Garamond"/>
          <w:szCs w:val="22"/>
        </w:rPr>
        <w:t>Vocational R</w:t>
      </w:r>
      <w:r w:rsidR="00041F40" w:rsidRPr="004A0C12">
        <w:rPr>
          <w:rFonts w:ascii="Garamond" w:hAnsi="Garamond"/>
          <w:szCs w:val="22"/>
        </w:rPr>
        <w:t xml:space="preserve">ehabilitation </w:t>
      </w:r>
      <w:r w:rsidRPr="004A0C12">
        <w:rPr>
          <w:rFonts w:ascii="Garamond" w:hAnsi="Garamond"/>
          <w:szCs w:val="22"/>
        </w:rPr>
        <w:t>services, br</w:t>
      </w:r>
      <w:r w:rsidR="00041F40" w:rsidRPr="004A0C12">
        <w:rPr>
          <w:rFonts w:ascii="Garamond" w:hAnsi="Garamond"/>
          <w:szCs w:val="22"/>
        </w:rPr>
        <w:t>oken down by personnel category;</w:t>
      </w:r>
    </w:p>
    <w:p w14:paraId="55966CF8" w14:textId="2C5C6BF6" w:rsidR="007A1FDC" w:rsidRPr="004A0C12" w:rsidRDefault="007A1FDC" w:rsidP="00041F40">
      <w:pPr>
        <w:widowControl w:val="0"/>
        <w:spacing w:after="0" w:line="240" w:lineRule="auto"/>
        <w:ind w:left="720"/>
        <w:jc w:val="both"/>
        <w:rPr>
          <w:rFonts w:ascii="Garamond" w:hAnsi="Garamond"/>
        </w:rPr>
      </w:pPr>
      <w:r w:rsidRPr="004A0C12">
        <w:rPr>
          <w:rFonts w:ascii="Garamond" w:hAnsi="Garamond"/>
        </w:rPr>
        <w:cr/>
        <w:t xml:space="preserve">Using the MSDE Personnel Report of September 30, DORS </w:t>
      </w:r>
      <w:r w:rsidR="00041F40" w:rsidRPr="004A0C12">
        <w:rPr>
          <w:rFonts w:ascii="Garamond" w:hAnsi="Garamond"/>
        </w:rPr>
        <w:t xml:space="preserve">will analyze </w:t>
      </w:r>
      <w:r w:rsidRPr="004A0C12">
        <w:rPr>
          <w:rFonts w:ascii="Garamond" w:hAnsi="Garamond"/>
        </w:rPr>
        <w:t>vacancy rate and vacanci</w:t>
      </w:r>
      <w:r w:rsidR="00041F40" w:rsidRPr="004A0C12">
        <w:rPr>
          <w:rFonts w:ascii="Garamond" w:hAnsi="Garamond"/>
        </w:rPr>
        <w:t>es in the specific categories. DORS will also</w:t>
      </w:r>
      <w:r w:rsidRPr="004A0C12">
        <w:rPr>
          <w:rFonts w:ascii="Garamond" w:hAnsi="Garamond"/>
        </w:rPr>
        <w:t xml:space="preserve"> consider total number of staff needed based on waiting list and other factors.</w:t>
      </w:r>
    </w:p>
    <w:p w14:paraId="06DF4A5A" w14:textId="77777777" w:rsidR="007A1FDC" w:rsidRPr="004A0C12" w:rsidRDefault="007A1FDC" w:rsidP="007A1FDC">
      <w:pPr>
        <w:widowControl w:val="0"/>
        <w:spacing w:after="0" w:line="240" w:lineRule="auto"/>
        <w:jc w:val="both"/>
        <w:rPr>
          <w:rFonts w:ascii="Garamond" w:hAnsi="Garamond"/>
        </w:rPr>
      </w:pPr>
    </w:p>
    <w:p w14:paraId="4BDDB154" w14:textId="55B2C68D" w:rsidR="007A1FDC" w:rsidRPr="004A0C12" w:rsidRDefault="007A1FDC" w:rsidP="00232F09">
      <w:pPr>
        <w:pStyle w:val="ListParagraph"/>
        <w:widowControl w:val="0"/>
        <w:numPr>
          <w:ilvl w:val="0"/>
          <w:numId w:val="210"/>
        </w:numPr>
        <w:jc w:val="both"/>
        <w:rPr>
          <w:rFonts w:ascii="Garamond" w:hAnsi="Garamond"/>
          <w:szCs w:val="22"/>
        </w:rPr>
      </w:pPr>
      <w:r w:rsidRPr="004A0C12">
        <w:rPr>
          <w:rFonts w:ascii="Garamond" w:hAnsi="Garamond"/>
          <w:szCs w:val="22"/>
        </w:rPr>
        <w:t>Projections of vacancies in personnel, broken down by personnel category, needed by the state agency to provide</w:t>
      </w:r>
      <w:r w:rsidR="00B709F8" w:rsidRPr="004A0C12">
        <w:rPr>
          <w:rFonts w:ascii="Garamond" w:hAnsi="Garamond"/>
          <w:szCs w:val="22"/>
        </w:rPr>
        <w:t xml:space="preserve"> V</w:t>
      </w:r>
      <w:r w:rsidRPr="004A0C12">
        <w:rPr>
          <w:rFonts w:ascii="Garamond" w:hAnsi="Garamond"/>
          <w:szCs w:val="22"/>
        </w:rPr>
        <w:t>o</w:t>
      </w:r>
      <w:r w:rsidR="00B709F8" w:rsidRPr="004A0C12">
        <w:rPr>
          <w:rFonts w:ascii="Garamond" w:hAnsi="Garamond"/>
          <w:szCs w:val="22"/>
        </w:rPr>
        <w:t>cational R</w:t>
      </w:r>
      <w:r w:rsidRPr="004A0C12">
        <w:rPr>
          <w:rFonts w:ascii="Garamond" w:hAnsi="Garamond"/>
          <w:szCs w:val="22"/>
        </w:rPr>
        <w:t>ehabilitation services in the state in 5 years based on projections of the number of individuals to be serv</w:t>
      </w:r>
      <w:r w:rsidR="00041F40" w:rsidRPr="004A0C12">
        <w:rPr>
          <w:rFonts w:ascii="Garamond" w:hAnsi="Garamond"/>
          <w:szCs w:val="22"/>
        </w:rPr>
        <w:t>ed, including individuals with</w:t>
      </w:r>
      <w:r w:rsidRPr="004A0C12">
        <w:rPr>
          <w:rFonts w:ascii="Garamond" w:hAnsi="Garamond"/>
          <w:szCs w:val="22"/>
        </w:rPr>
        <w:t xml:space="preserve"> significant disabilities, the number of personnel expected to retire or leave the field</w:t>
      </w:r>
      <w:r w:rsidR="00041F40" w:rsidRPr="004A0C12">
        <w:rPr>
          <w:rFonts w:ascii="Garamond" w:hAnsi="Garamond"/>
          <w:szCs w:val="22"/>
        </w:rPr>
        <w:t>,</w:t>
      </w:r>
      <w:r w:rsidRPr="004A0C12">
        <w:rPr>
          <w:rFonts w:ascii="Garamond" w:hAnsi="Garamond"/>
          <w:szCs w:val="22"/>
        </w:rPr>
        <w:t xml:space="preserve"> and other relevant factors.</w:t>
      </w:r>
    </w:p>
    <w:p w14:paraId="12E8BF75" w14:textId="6C250180" w:rsidR="007A1FDC" w:rsidRDefault="007A1FDC" w:rsidP="00232F09">
      <w:pPr>
        <w:pStyle w:val="ListParagraph"/>
        <w:widowControl w:val="0"/>
        <w:numPr>
          <w:ilvl w:val="0"/>
          <w:numId w:val="138"/>
        </w:numPr>
        <w:ind w:firstLine="1800"/>
        <w:jc w:val="both"/>
        <w:rPr>
          <w:rFonts w:ascii="Garamond" w:hAnsi="Garamond"/>
        </w:rPr>
      </w:pPr>
      <w:r w:rsidRPr="00FA5C06">
        <w:rPr>
          <w:rFonts w:ascii="Garamond" w:hAnsi="Garamond"/>
        </w:rPr>
        <w:lastRenderedPageBreak/>
        <w:t xml:space="preserve">Ascertain turnover rate for </w:t>
      </w:r>
      <w:r w:rsidR="00041F40" w:rsidRPr="00FA5C06">
        <w:rPr>
          <w:rFonts w:ascii="Garamond" w:hAnsi="Garamond"/>
        </w:rPr>
        <w:t xml:space="preserve">most </w:t>
      </w:r>
      <w:r w:rsidR="00FA5C06">
        <w:rPr>
          <w:rFonts w:ascii="Garamond" w:hAnsi="Garamond"/>
        </w:rPr>
        <w:t>recent federal fiscal year; and</w:t>
      </w:r>
    </w:p>
    <w:p w14:paraId="1C507C63" w14:textId="2CF109CD" w:rsidR="00002A9C" w:rsidRDefault="007A1FDC" w:rsidP="00232F09">
      <w:pPr>
        <w:widowControl w:val="0"/>
        <w:numPr>
          <w:ilvl w:val="0"/>
          <w:numId w:val="138"/>
        </w:numPr>
        <w:tabs>
          <w:tab w:val="clear" w:pos="360"/>
        </w:tabs>
        <w:spacing w:after="0" w:line="240" w:lineRule="auto"/>
        <w:ind w:left="2880" w:hanging="720"/>
        <w:rPr>
          <w:rFonts w:ascii="Garamond" w:hAnsi="Garamond"/>
        </w:rPr>
      </w:pPr>
      <w:r w:rsidRPr="00FA5C06">
        <w:rPr>
          <w:rFonts w:ascii="Garamond" w:hAnsi="Garamond"/>
        </w:rPr>
        <w:t xml:space="preserve">Project vacancies over the next five years in light of current staffing and </w:t>
      </w:r>
      <w:r w:rsidR="00FA5C06" w:rsidRPr="00FA5C06">
        <w:rPr>
          <w:rFonts w:ascii="Garamond" w:hAnsi="Garamond"/>
        </w:rPr>
        <w:t xml:space="preserve">turnover rate and other relevant </w:t>
      </w:r>
      <w:r w:rsidRPr="00FA5C06">
        <w:rPr>
          <w:rFonts w:ascii="Garamond" w:hAnsi="Garamond"/>
        </w:rPr>
        <w:t>factors.</w:t>
      </w:r>
    </w:p>
    <w:p w14:paraId="32E53344" w14:textId="77777777" w:rsidR="00FA5C06" w:rsidRPr="00FA5C06" w:rsidRDefault="00FA5C06" w:rsidP="00FA5C06">
      <w:pPr>
        <w:widowControl w:val="0"/>
        <w:spacing w:after="0" w:line="240" w:lineRule="auto"/>
        <w:ind w:left="2160"/>
        <w:rPr>
          <w:rFonts w:ascii="Garamond" w:hAnsi="Garamond"/>
        </w:rPr>
      </w:pPr>
    </w:p>
    <w:p w14:paraId="4DF97850" w14:textId="77777777" w:rsidR="00002A9C" w:rsidRPr="004A0C12" w:rsidRDefault="00002A9C" w:rsidP="00002A9C">
      <w:pPr>
        <w:pStyle w:val="NormalWeb"/>
        <w:spacing w:before="0" w:beforeAutospacing="0" w:afterAutospacing="0"/>
        <w:rPr>
          <w:rFonts w:ascii="Garamond" w:hAnsi="Garamond"/>
          <w:sz w:val="22"/>
          <w:szCs w:val="22"/>
        </w:rPr>
      </w:pPr>
      <w:r w:rsidRPr="004A0C12">
        <w:rPr>
          <w:rFonts w:ascii="Garamond" w:hAnsi="Garamond"/>
          <w:color w:val="000000"/>
          <w:sz w:val="22"/>
          <w:szCs w:val="22"/>
        </w:rPr>
        <w:t>The chart below shows the number of personnel who were employed by DORS in the provision of VR services in relation to the number of individuals to be served, which is expect to exceed 25,000 in FFY 2017.</w:t>
      </w:r>
    </w:p>
    <w:p w14:paraId="1FF5FD44" w14:textId="61D3FF51" w:rsidR="007A1FDC" w:rsidRPr="004A0C12" w:rsidRDefault="007A1FDC" w:rsidP="00AD2026">
      <w:pPr>
        <w:spacing w:after="0" w:line="240" w:lineRule="auto"/>
        <w:rPr>
          <w:rFonts w:ascii="Garamond" w:hAnsi="Garamond"/>
        </w:rPr>
      </w:pPr>
    </w:p>
    <w:tbl>
      <w:tblPr>
        <w:tblStyle w:val="PlainTable11"/>
        <w:tblW w:w="0" w:type="auto"/>
        <w:jc w:val="center"/>
        <w:tblLayout w:type="fixed"/>
        <w:tblLook w:val="0000" w:firstRow="0" w:lastRow="0" w:firstColumn="0" w:lastColumn="0" w:noHBand="0" w:noVBand="0"/>
        <w:tblCaption w:val="DORS Positions, Vacancies and Projected Vacancies by Job Title"/>
        <w:tblDescription w:val="For Rehabilitation Counselors, DORS has 174 filled positions, 15 current vacancies, and 75 projected vacancies over the next 5 years. For Administrative Staff, DORS has 64 filled positions, 2 current vacancies, and 10 projected vacancies over the next 5 years. For Staff Supporting Counselor Activities, DORS has 143 filled positions, 16 current vacancies, and 80 projected vacancies over the next 5 years. For &quot;Other,&quot; DORS has 9 filled positions, 1 current vacancy, and 5 projected vacancies over the next 5 years.  "/>
      </w:tblPr>
      <w:tblGrid>
        <w:gridCol w:w="2574"/>
        <w:gridCol w:w="1821"/>
        <w:gridCol w:w="1832"/>
        <w:gridCol w:w="2070"/>
      </w:tblGrid>
      <w:tr w:rsidR="007A1FDC" w:rsidRPr="004A0C12" w14:paraId="2FADB4B8" w14:textId="77777777" w:rsidTr="008B1D9A">
        <w:trPr>
          <w:trHeight w:val="440"/>
          <w:tblHeader/>
          <w:jc w:val="center"/>
        </w:trPr>
        <w:tc>
          <w:tcPr>
            <w:cnfStyle w:val="000010000000" w:firstRow="0" w:lastRow="0" w:firstColumn="0" w:lastColumn="0" w:oddVBand="1" w:evenVBand="0" w:oddHBand="0" w:evenHBand="0" w:firstRowFirstColumn="0" w:firstRowLastColumn="0" w:lastRowFirstColumn="0" w:lastRowLastColumn="0"/>
            <w:tcW w:w="2574" w:type="dxa"/>
          </w:tcPr>
          <w:p w14:paraId="3B01CC0E" w14:textId="77777777" w:rsidR="007A1FDC" w:rsidRPr="004A0C12" w:rsidRDefault="007A1FDC" w:rsidP="007A1FDC">
            <w:pPr>
              <w:widowControl w:val="0"/>
              <w:jc w:val="both"/>
              <w:rPr>
                <w:rFonts w:ascii="Garamond" w:hAnsi="Garamond"/>
                <w:color w:val="FEFFFE"/>
                <w:sz w:val="22"/>
                <w:szCs w:val="22"/>
              </w:rPr>
            </w:pPr>
            <w:r w:rsidRPr="004A0C12">
              <w:rPr>
                <w:rFonts w:ascii="Garamond" w:hAnsi="Garamond"/>
                <w:sz w:val="22"/>
                <w:szCs w:val="22"/>
              </w:rPr>
              <w:t>Job Title</w:t>
            </w:r>
          </w:p>
        </w:tc>
        <w:tc>
          <w:tcPr>
            <w:tcW w:w="1821" w:type="dxa"/>
          </w:tcPr>
          <w:p w14:paraId="4EFE1152" w14:textId="77777777" w:rsidR="007A1FDC" w:rsidRPr="004A0C12" w:rsidRDefault="007A1FDC" w:rsidP="007A1FDC">
            <w:pPr>
              <w:widowControl w:val="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Current positions</w:t>
            </w:r>
          </w:p>
        </w:tc>
        <w:tc>
          <w:tcPr>
            <w:cnfStyle w:val="000010000000" w:firstRow="0" w:lastRow="0" w:firstColumn="0" w:lastColumn="0" w:oddVBand="1" w:evenVBand="0" w:oddHBand="0" w:evenHBand="0" w:firstRowFirstColumn="0" w:firstRowLastColumn="0" w:lastRowFirstColumn="0" w:lastRowLastColumn="0"/>
            <w:tcW w:w="1832" w:type="dxa"/>
          </w:tcPr>
          <w:p w14:paraId="03EB67A3"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Current vacancies</w:t>
            </w:r>
          </w:p>
        </w:tc>
        <w:tc>
          <w:tcPr>
            <w:tcW w:w="2070" w:type="dxa"/>
          </w:tcPr>
          <w:p w14:paraId="78F37A74" w14:textId="77777777" w:rsidR="007A1FDC" w:rsidRPr="004A0C12" w:rsidRDefault="007A1FDC" w:rsidP="007A1FDC">
            <w:pPr>
              <w:widowControl w:val="0"/>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Projected Vacancies over next 5 years</w:t>
            </w:r>
          </w:p>
        </w:tc>
      </w:tr>
      <w:tr w:rsidR="007A1FDC" w:rsidRPr="004A0C12" w14:paraId="676EB8E0" w14:textId="77777777" w:rsidTr="00530FA0">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2574" w:type="dxa"/>
          </w:tcPr>
          <w:p w14:paraId="35FAC4FF"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Rehabilitation Counselors</w:t>
            </w:r>
          </w:p>
        </w:tc>
        <w:tc>
          <w:tcPr>
            <w:tcW w:w="1821" w:type="dxa"/>
          </w:tcPr>
          <w:p w14:paraId="70642F6B"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174</w:t>
            </w:r>
          </w:p>
        </w:tc>
        <w:tc>
          <w:tcPr>
            <w:cnfStyle w:val="000010000000" w:firstRow="0" w:lastRow="0" w:firstColumn="0" w:lastColumn="0" w:oddVBand="1" w:evenVBand="0" w:oddHBand="0" w:evenHBand="0" w:firstRowFirstColumn="0" w:firstRowLastColumn="0" w:lastRowFirstColumn="0" w:lastRowLastColumn="0"/>
            <w:tcW w:w="1832" w:type="dxa"/>
          </w:tcPr>
          <w:p w14:paraId="4E7C1255"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15</w:t>
            </w:r>
          </w:p>
        </w:tc>
        <w:tc>
          <w:tcPr>
            <w:tcW w:w="2070" w:type="dxa"/>
          </w:tcPr>
          <w:p w14:paraId="08D82777"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75</w:t>
            </w:r>
          </w:p>
        </w:tc>
      </w:tr>
      <w:tr w:rsidR="007A1FDC" w:rsidRPr="004A0C12" w14:paraId="0867481F" w14:textId="77777777" w:rsidTr="00530FA0">
        <w:trPr>
          <w:trHeight w:val="300"/>
          <w:jc w:val="center"/>
        </w:trPr>
        <w:tc>
          <w:tcPr>
            <w:cnfStyle w:val="000010000000" w:firstRow="0" w:lastRow="0" w:firstColumn="0" w:lastColumn="0" w:oddVBand="1" w:evenVBand="0" w:oddHBand="0" w:evenHBand="0" w:firstRowFirstColumn="0" w:firstRowLastColumn="0" w:lastRowFirstColumn="0" w:lastRowLastColumn="0"/>
            <w:tcW w:w="2574" w:type="dxa"/>
          </w:tcPr>
          <w:p w14:paraId="1DB74F81"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Administrative Staff</w:t>
            </w:r>
          </w:p>
        </w:tc>
        <w:tc>
          <w:tcPr>
            <w:tcW w:w="1821" w:type="dxa"/>
          </w:tcPr>
          <w:p w14:paraId="1C71D172" w14:textId="77777777" w:rsidR="007A1FDC" w:rsidRPr="004A0C12" w:rsidRDefault="007A1FDC" w:rsidP="007A1FDC">
            <w:pPr>
              <w:widowControl w:val="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64</w:t>
            </w:r>
          </w:p>
        </w:tc>
        <w:tc>
          <w:tcPr>
            <w:cnfStyle w:val="000010000000" w:firstRow="0" w:lastRow="0" w:firstColumn="0" w:lastColumn="0" w:oddVBand="1" w:evenVBand="0" w:oddHBand="0" w:evenHBand="0" w:firstRowFirstColumn="0" w:firstRowLastColumn="0" w:lastRowFirstColumn="0" w:lastRowLastColumn="0"/>
            <w:tcW w:w="1832" w:type="dxa"/>
          </w:tcPr>
          <w:p w14:paraId="557CC420"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2</w:t>
            </w:r>
          </w:p>
        </w:tc>
        <w:tc>
          <w:tcPr>
            <w:tcW w:w="2070" w:type="dxa"/>
          </w:tcPr>
          <w:p w14:paraId="2E7CE4EE" w14:textId="77777777" w:rsidR="007A1FDC" w:rsidRPr="004A0C12" w:rsidRDefault="007A1FDC" w:rsidP="007A1FDC">
            <w:pPr>
              <w:widowControl w:val="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w:t>
            </w:r>
          </w:p>
        </w:tc>
      </w:tr>
      <w:tr w:rsidR="007A1FDC" w:rsidRPr="004A0C12" w14:paraId="73353663" w14:textId="77777777" w:rsidTr="00530FA0">
        <w:trPr>
          <w:cnfStyle w:val="000000100000" w:firstRow="0" w:lastRow="0" w:firstColumn="0" w:lastColumn="0" w:oddVBand="0" w:evenVBand="0" w:oddHBand="1" w:evenHBand="0" w:firstRowFirstColumn="0" w:firstRowLastColumn="0" w:lastRowFirstColumn="0" w:lastRowLastColumn="0"/>
          <w:trHeight w:val="440"/>
          <w:jc w:val="center"/>
        </w:trPr>
        <w:tc>
          <w:tcPr>
            <w:cnfStyle w:val="000010000000" w:firstRow="0" w:lastRow="0" w:firstColumn="0" w:lastColumn="0" w:oddVBand="1" w:evenVBand="0" w:oddHBand="0" w:evenHBand="0" w:firstRowFirstColumn="0" w:firstRowLastColumn="0" w:lastRowFirstColumn="0" w:lastRowLastColumn="0"/>
            <w:tcW w:w="2574" w:type="dxa"/>
          </w:tcPr>
          <w:p w14:paraId="7D466F93"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Staff Supporting Counselor Activities</w:t>
            </w:r>
          </w:p>
        </w:tc>
        <w:tc>
          <w:tcPr>
            <w:tcW w:w="1821" w:type="dxa"/>
          </w:tcPr>
          <w:p w14:paraId="123361F3"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143</w:t>
            </w:r>
          </w:p>
        </w:tc>
        <w:tc>
          <w:tcPr>
            <w:cnfStyle w:val="000010000000" w:firstRow="0" w:lastRow="0" w:firstColumn="0" w:lastColumn="0" w:oddVBand="1" w:evenVBand="0" w:oddHBand="0" w:evenHBand="0" w:firstRowFirstColumn="0" w:firstRowLastColumn="0" w:lastRowFirstColumn="0" w:lastRowLastColumn="0"/>
            <w:tcW w:w="1832" w:type="dxa"/>
          </w:tcPr>
          <w:p w14:paraId="58417161"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16</w:t>
            </w:r>
          </w:p>
        </w:tc>
        <w:tc>
          <w:tcPr>
            <w:tcW w:w="2070" w:type="dxa"/>
          </w:tcPr>
          <w:p w14:paraId="61A788BA"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80</w:t>
            </w:r>
          </w:p>
        </w:tc>
      </w:tr>
      <w:tr w:rsidR="007A1FDC" w:rsidRPr="004A0C12" w14:paraId="1EE4CD6C" w14:textId="77777777" w:rsidTr="00530FA0">
        <w:trPr>
          <w:trHeight w:val="300"/>
          <w:jc w:val="center"/>
        </w:trPr>
        <w:tc>
          <w:tcPr>
            <w:cnfStyle w:val="000010000000" w:firstRow="0" w:lastRow="0" w:firstColumn="0" w:lastColumn="0" w:oddVBand="1" w:evenVBand="0" w:oddHBand="0" w:evenHBand="0" w:firstRowFirstColumn="0" w:firstRowLastColumn="0" w:lastRowFirstColumn="0" w:lastRowLastColumn="0"/>
            <w:tcW w:w="2574" w:type="dxa"/>
          </w:tcPr>
          <w:p w14:paraId="5B74669B"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Other</w:t>
            </w:r>
          </w:p>
        </w:tc>
        <w:tc>
          <w:tcPr>
            <w:tcW w:w="1821" w:type="dxa"/>
          </w:tcPr>
          <w:p w14:paraId="1B911EDA" w14:textId="77777777" w:rsidR="007A1FDC" w:rsidRPr="004A0C12" w:rsidRDefault="007A1FDC" w:rsidP="007A1FDC">
            <w:pPr>
              <w:widowControl w:val="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w:t>
            </w:r>
          </w:p>
        </w:tc>
        <w:tc>
          <w:tcPr>
            <w:cnfStyle w:val="000010000000" w:firstRow="0" w:lastRow="0" w:firstColumn="0" w:lastColumn="0" w:oddVBand="1" w:evenVBand="0" w:oddHBand="0" w:evenHBand="0" w:firstRowFirstColumn="0" w:firstRowLastColumn="0" w:lastRowFirstColumn="0" w:lastRowLastColumn="0"/>
            <w:tcW w:w="1832" w:type="dxa"/>
          </w:tcPr>
          <w:p w14:paraId="2959632B"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1</w:t>
            </w:r>
          </w:p>
        </w:tc>
        <w:tc>
          <w:tcPr>
            <w:tcW w:w="2070" w:type="dxa"/>
          </w:tcPr>
          <w:p w14:paraId="653E3785" w14:textId="77777777" w:rsidR="007A1FDC" w:rsidRPr="004A0C12" w:rsidRDefault="007A1FDC" w:rsidP="007A1FDC">
            <w:pPr>
              <w:widowControl w:val="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5</w:t>
            </w:r>
          </w:p>
        </w:tc>
      </w:tr>
    </w:tbl>
    <w:p w14:paraId="4AA9757C" w14:textId="77777777" w:rsidR="007A1FDC" w:rsidRPr="004A0C12" w:rsidRDefault="007A1FDC" w:rsidP="007A1FDC">
      <w:pPr>
        <w:widowControl w:val="0"/>
        <w:spacing w:after="0" w:line="240" w:lineRule="auto"/>
        <w:jc w:val="both"/>
        <w:rPr>
          <w:rFonts w:ascii="Garamond" w:hAnsi="Garamond"/>
        </w:rPr>
      </w:pPr>
    </w:p>
    <w:p w14:paraId="620CFA4D"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(B) Personnel Development. </w:t>
      </w:r>
    </w:p>
    <w:p w14:paraId="26EB372A" w14:textId="2A4C226F" w:rsidR="007A1FDC" w:rsidRPr="004A0C12" w:rsidRDefault="007A1FDC" w:rsidP="007A1FDC">
      <w:pPr>
        <w:widowControl w:val="0"/>
        <w:spacing w:after="0" w:line="240" w:lineRule="auto"/>
        <w:jc w:val="both"/>
        <w:rPr>
          <w:rFonts w:ascii="Garamond" w:hAnsi="Garamond"/>
        </w:rPr>
      </w:pPr>
      <w:r w:rsidRPr="004A0C12">
        <w:rPr>
          <w:rFonts w:ascii="Garamond" w:hAnsi="Garamond"/>
        </w:rPr>
        <w:t>Following is a description of DORS</w:t>
      </w:r>
      <w:r w:rsidR="000F6FC9" w:rsidRPr="004A0C12">
        <w:rPr>
          <w:rFonts w:ascii="Garamond" w:hAnsi="Garamond"/>
        </w:rPr>
        <w:t>’</w:t>
      </w:r>
      <w:r w:rsidRPr="004A0C12">
        <w:rPr>
          <w:rFonts w:ascii="Garamond" w:hAnsi="Garamond"/>
        </w:rPr>
        <w:t xml:space="preserve"> system for collecting and analyzing data on personnel development on an annual basis:</w:t>
      </w:r>
    </w:p>
    <w:p w14:paraId="28AFFBE9" w14:textId="77777777" w:rsidR="007A1FDC" w:rsidRPr="004A0C12" w:rsidRDefault="007A1FDC" w:rsidP="007A1FDC">
      <w:pPr>
        <w:widowControl w:val="0"/>
        <w:spacing w:after="0" w:line="240" w:lineRule="auto"/>
        <w:jc w:val="both"/>
        <w:rPr>
          <w:rFonts w:ascii="Garamond" w:hAnsi="Garamond"/>
        </w:rPr>
      </w:pPr>
    </w:p>
    <w:p w14:paraId="025FCF39" w14:textId="47A28353" w:rsidR="007A1FDC" w:rsidRPr="004A0C12" w:rsidRDefault="007A1FDC" w:rsidP="00232F09">
      <w:pPr>
        <w:widowControl w:val="0"/>
        <w:numPr>
          <w:ilvl w:val="0"/>
          <w:numId w:val="139"/>
        </w:numPr>
        <w:tabs>
          <w:tab w:val="clear" w:pos="360"/>
          <w:tab w:val="num" w:pos="1440"/>
        </w:tabs>
        <w:spacing w:after="0" w:line="240" w:lineRule="auto"/>
        <w:ind w:left="1440" w:hanging="360"/>
        <w:jc w:val="both"/>
        <w:rPr>
          <w:rFonts w:ascii="Garamond" w:hAnsi="Garamond"/>
        </w:rPr>
      </w:pPr>
      <w:r w:rsidRPr="004A0C12">
        <w:rPr>
          <w:rFonts w:ascii="Garamond" w:hAnsi="Garamond"/>
        </w:rPr>
        <w:t xml:space="preserve">Compile a list of the institutions of higher education in the state that are preparing </w:t>
      </w:r>
      <w:r w:rsidR="00B709F8" w:rsidRPr="004A0C12">
        <w:rPr>
          <w:rFonts w:ascii="Garamond" w:hAnsi="Garamond"/>
        </w:rPr>
        <w:t>Vocational R</w:t>
      </w:r>
      <w:r w:rsidRPr="004A0C12">
        <w:rPr>
          <w:rFonts w:ascii="Garamond" w:hAnsi="Garamond"/>
        </w:rPr>
        <w:t>ehabilitation pro</w:t>
      </w:r>
      <w:r w:rsidR="00530FA0" w:rsidRPr="004A0C12">
        <w:rPr>
          <w:rFonts w:ascii="Garamond" w:hAnsi="Garamond"/>
        </w:rPr>
        <w:t>fessionals, by type of program</w:t>
      </w:r>
    </w:p>
    <w:p w14:paraId="309D6C50" w14:textId="29B38B84" w:rsidR="007A1FDC" w:rsidRPr="004A0C12" w:rsidRDefault="007A1FDC" w:rsidP="00232F09">
      <w:pPr>
        <w:widowControl w:val="0"/>
        <w:numPr>
          <w:ilvl w:val="0"/>
          <w:numId w:val="140"/>
        </w:numPr>
        <w:tabs>
          <w:tab w:val="clear" w:pos="360"/>
          <w:tab w:val="num" w:pos="1440"/>
        </w:tabs>
        <w:spacing w:after="0" w:line="240" w:lineRule="auto"/>
        <w:ind w:left="1440" w:hanging="360"/>
        <w:jc w:val="both"/>
        <w:rPr>
          <w:rFonts w:ascii="Garamond" w:hAnsi="Garamond"/>
        </w:rPr>
      </w:pPr>
      <w:r w:rsidRPr="004A0C12">
        <w:rPr>
          <w:rFonts w:ascii="Garamond" w:hAnsi="Garamond"/>
        </w:rPr>
        <w:t xml:space="preserve">Compile a list of programs in Maryland preparing </w:t>
      </w:r>
      <w:r w:rsidR="00B709F8" w:rsidRPr="004A0C12">
        <w:rPr>
          <w:rFonts w:ascii="Garamond" w:hAnsi="Garamond"/>
        </w:rPr>
        <w:t xml:space="preserve">Vocational Rehabilitation </w:t>
      </w:r>
      <w:r w:rsidRPr="004A0C12">
        <w:rPr>
          <w:rFonts w:ascii="Garamond" w:hAnsi="Garamond"/>
        </w:rPr>
        <w:t xml:space="preserve">staff at the bachelor’s, </w:t>
      </w:r>
      <w:r w:rsidR="00530FA0" w:rsidRPr="004A0C12">
        <w:rPr>
          <w:rFonts w:ascii="Garamond" w:hAnsi="Garamond"/>
        </w:rPr>
        <w:t>master’s, and certificate level</w:t>
      </w:r>
    </w:p>
    <w:p w14:paraId="22511228" w14:textId="4E26E18E" w:rsidR="007A1FDC" w:rsidRPr="004A0C12" w:rsidRDefault="007A1FDC" w:rsidP="00232F09">
      <w:pPr>
        <w:widowControl w:val="0"/>
        <w:numPr>
          <w:ilvl w:val="0"/>
          <w:numId w:val="140"/>
        </w:numPr>
        <w:tabs>
          <w:tab w:val="clear" w:pos="360"/>
          <w:tab w:val="num" w:pos="1440"/>
        </w:tabs>
        <w:spacing w:after="0" w:line="240" w:lineRule="auto"/>
        <w:ind w:left="1440" w:hanging="360"/>
        <w:jc w:val="both"/>
        <w:rPr>
          <w:rFonts w:ascii="Garamond" w:hAnsi="Garamond"/>
        </w:rPr>
      </w:pPr>
      <w:r w:rsidRPr="004A0C12">
        <w:rPr>
          <w:rFonts w:ascii="Garamond" w:hAnsi="Garamond"/>
        </w:rPr>
        <w:t>Determine the number of students enrolled at each of those institutions,</w:t>
      </w:r>
      <w:r w:rsidR="00530FA0" w:rsidRPr="004A0C12">
        <w:rPr>
          <w:rFonts w:ascii="Garamond" w:hAnsi="Garamond"/>
        </w:rPr>
        <w:t xml:space="preserve"> broken down by type of program</w:t>
      </w:r>
    </w:p>
    <w:p w14:paraId="1B3251E3" w14:textId="797F7113" w:rsidR="007A1FDC" w:rsidRPr="004A0C12" w:rsidRDefault="007A1FDC" w:rsidP="00232F09">
      <w:pPr>
        <w:widowControl w:val="0"/>
        <w:numPr>
          <w:ilvl w:val="0"/>
          <w:numId w:val="140"/>
        </w:numPr>
        <w:tabs>
          <w:tab w:val="clear" w:pos="360"/>
          <w:tab w:val="num" w:pos="1440"/>
        </w:tabs>
        <w:spacing w:after="0" w:line="240" w:lineRule="auto"/>
        <w:ind w:left="1440" w:hanging="360"/>
        <w:jc w:val="both"/>
        <w:rPr>
          <w:rFonts w:ascii="Garamond" w:hAnsi="Garamond"/>
        </w:rPr>
      </w:pPr>
      <w:r w:rsidRPr="004A0C12">
        <w:rPr>
          <w:rFonts w:ascii="Garamond" w:hAnsi="Garamond"/>
        </w:rPr>
        <w:t>Determine the number of students who graduated during the prior year from each institution with certification or licensure, or with the credentials for certification or licensure, broken down by the personnel category for which they have received, or have the credentials to rece</w:t>
      </w:r>
      <w:r w:rsidR="00530FA0" w:rsidRPr="004A0C12">
        <w:rPr>
          <w:rFonts w:ascii="Garamond" w:hAnsi="Garamond"/>
        </w:rPr>
        <w:t>ive, certification or licensure</w:t>
      </w:r>
    </w:p>
    <w:p w14:paraId="747C44A2" w14:textId="77777777" w:rsidR="007A1FDC" w:rsidRPr="004A0C12" w:rsidRDefault="007A1FDC" w:rsidP="007A1FDC">
      <w:pPr>
        <w:widowControl w:val="0"/>
        <w:spacing w:after="0" w:line="240" w:lineRule="auto"/>
        <w:jc w:val="both"/>
        <w:rPr>
          <w:rFonts w:ascii="Garamond" w:hAnsi="Garamond"/>
        </w:rPr>
      </w:pPr>
    </w:p>
    <w:p w14:paraId="5E61EC84"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At the conclusion of each academic year, DORS will contact coordinators of programs at Maryland institutions of higher education to obtain information about the following:</w:t>
      </w:r>
    </w:p>
    <w:p w14:paraId="6DBB72EB" w14:textId="77777777" w:rsidR="007A1FDC" w:rsidRPr="004A0C12" w:rsidRDefault="007A1FDC" w:rsidP="007A1FDC">
      <w:pPr>
        <w:widowControl w:val="0"/>
        <w:spacing w:after="0" w:line="240" w:lineRule="auto"/>
        <w:jc w:val="both"/>
        <w:rPr>
          <w:rFonts w:ascii="Garamond" w:hAnsi="Garamond"/>
        </w:rPr>
      </w:pPr>
    </w:p>
    <w:p w14:paraId="4B34A1F3" w14:textId="2921D59F" w:rsidR="007A1FDC" w:rsidRPr="004A0C12" w:rsidRDefault="007A1FDC" w:rsidP="00232F09">
      <w:pPr>
        <w:widowControl w:val="0"/>
        <w:numPr>
          <w:ilvl w:val="0"/>
          <w:numId w:val="141"/>
        </w:numPr>
        <w:tabs>
          <w:tab w:val="clear" w:pos="360"/>
          <w:tab w:val="num" w:pos="1440"/>
        </w:tabs>
        <w:spacing w:after="0" w:line="240" w:lineRule="auto"/>
        <w:ind w:left="1440" w:hanging="360"/>
        <w:jc w:val="both"/>
        <w:rPr>
          <w:rFonts w:ascii="Garamond" w:hAnsi="Garamond"/>
        </w:rPr>
      </w:pPr>
      <w:r w:rsidRPr="004A0C12">
        <w:rPr>
          <w:rFonts w:ascii="Garamond" w:hAnsi="Garamond"/>
        </w:rPr>
        <w:t>The number of students enrolled in each type of program</w:t>
      </w:r>
    </w:p>
    <w:p w14:paraId="3D35B56E" w14:textId="120D0803" w:rsidR="007A1FDC" w:rsidRPr="004A0C12" w:rsidRDefault="007A1FDC" w:rsidP="00232F09">
      <w:pPr>
        <w:widowControl w:val="0"/>
        <w:numPr>
          <w:ilvl w:val="0"/>
          <w:numId w:val="142"/>
        </w:numPr>
        <w:tabs>
          <w:tab w:val="clear" w:pos="360"/>
          <w:tab w:val="num" w:pos="1440"/>
        </w:tabs>
        <w:spacing w:after="0" w:line="240" w:lineRule="auto"/>
        <w:ind w:left="1440" w:hanging="360"/>
        <w:jc w:val="both"/>
        <w:rPr>
          <w:rFonts w:ascii="Garamond" w:hAnsi="Garamond"/>
        </w:rPr>
      </w:pPr>
      <w:r w:rsidRPr="004A0C12">
        <w:rPr>
          <w:rFonts w:ascii="Garamond" w:hAnsi="Garamond"/>
        </w:rPr>
        <w:t>The number of employees sponsored by DORS or the US Department of Education, Rehabilitation Services Administration</w:t>
      </w:r>
    </w:p>
    <w:p w14:paraId="507E01BF" w14:textId="18F90700" w:rsidR="007A1FDC" w:rsidRPr="004A0C12" w:rsidRDefault="007A1FDC" w:rsidP="00232F09">
      <w:pPr>
        <w:widowControl w:val="0"/>
        <w:numPr>
          <w:ilvl w:val="0"/>
          <w:numId w:val="142"/>
        </w:numPr>
        <w:tabs>
          <w:tab w:val="clear" w:pos="360"/>
          <w:tab w:val="num" w:pos="1440"/>
        </w:tabs>
        <w:spacing w:after="0" w:line="240" w:lineRule="auto"/>
        <w:ind w:left="1440" w:hanging="360"/>
        <w:jc w:val="both"/>
        <w:rPr>
          <w:rFonts w:ascii="Garamond" w:hAnsi="Garamond"/>
        </w:rPr>
      </w:pPr>
      <w:r w:rsidRPr="004A0C12">
        <w:rPr>
          <w:rFonts w:ascii="Garamond" w:hAnsi="Garamond"/>
        </w:rPr>
        <w:t>The number of employees sponsored by DORS or the Rehabilitation Services Administration who have graduated</w:t>
      </w:r>
    </w:p>
    <w:p w14:paraId="0D15CC7D" w14:textId="3BF6CA60" w:rsidR="007A1FDC" w:rsidRPr="004A0C12" w:rsidRDefault="007A1FDC" w:rsidP="00232F09">
      <w:pPr>
        <w:widowControl w:val="0"/>
        <w:numPr>
          <w:ilvl w:val="0"/>
          <w:numId w:val="142"/>
        </w:numPr>
        <w:tabs>
          <w:tab w:val="clear" w:pos="360"/>
          <w:tab w:val="num" w:pos="1440"/>
        </w:tabs>
        <w:spacing w:after="0" w:line="240" w:lineRule="auto"/>
        <w:ind w:left="1440" w:hanging="360"/>
        <w:jc w:val="both"/>
        <w:rPr>
          <w:rFonts w:ascii="Garamond" w:hAnsi="Garamond"/>
        </w:rPr>
      </w:pPr>
      <w:r w:rsidRPr="004A0C12">
        <w:rPr>
          <w:rFonts w:ascii="Garamond" w:hAnsi="Garamond"/>
        </w:rPr>
        <w:t>The number who have graduated</w:t>
      </w:r>
    </w:p>
    <w:p w14:paraId="1852918F" w14:textId="77777777" w:rsidR="007A1FDC" w:rsidRPr="004A0C12" w:rsidRDefault="007A1FDC" w:rsidP="00232F09">
      <w:pPr>
        <w:widowControl w:val="0"/>
        <w:numPr>
          <w:ilvl w:val="0"/>
          <w:numId w:val="142"/>
        </w:numPr>
        <w:tabs>
          <w:tab w:val="clear" w:pos="360"/>
          <w:tab w:val="num" w:pos="1440"/>
        </w:tabs>
        <w:spacing w:after="0" w:line="240" w:lineRule="auto"/>
        <w:ind w:left="1440" w:hanging="360"/>
        <w:jc w:val="both"/>
        <w:rPr>
          <w:rFonts w:ascii="Garamond" w:hAnsi="Garamond"/>
        </w:rPr>
      </w:pPr>
      <w:r w:rsidRPr="004A0C12">
        <w:rPr>
          <w:rFonts w:ascii="Garamond" w:hAnsi="Garamond"/>
        </w:rPr>
        <w:t>The number who have graduated with certification or licensure or credentials required to achieve certification/licensure.</w:t>
      </w:r>
    </w:p>
    <w:p w14:paraId="32A6CCA1" w14:textId="756FAA9C" w:rsidR="007A1FDC" w:rsidRPr="004A0C12" w:rsidRDefault="007A1FDC" w:rsidP="007A1FDC">
      <w:pPr>
        <w:widowControl w:val="0"/>
        <w:spacing w:after="0" w:line="240" w:lineRule="auto"/>
        <w:jc w:val="both"/>
        <w:rPr>
          <w:rFonts w:ascii="Garamond" w:hAnsi="Garamond"/>
        </w:rPr>
      </w:pPr>
    </w:p>
    <w:p w14:paraId="624EB016" w14:textId="77777777" w:rsidR="00002A9C" w:rsidRPr="004A0C12" w:rsidRDefault="00002A9C" w:rsidP="007A1FDC">
      <w:pPr>
        <w:widowControl w:val="0"/>
        <w:spacing w:after="0" w:line="240" w:lineRule="auto"/>
        <w:jc w:val="both"/>
        <w:rPr>
          <w:rFonts w:ascii="Garamond" w:hAnsi="Garamond"/>
        </w:rPr>
      </w:pPr>
    </w:p>
    <w:p w14:paraId="44050060" w14:textId="45B8DFC0" w:rsidR="007A1FDC" w:rsidRPr="004A0C12" w:rsidRDefault="007A1FDC" w:rsidP="007A1FDC">
      <w:pPr>
        <w:widowControl w:val="0"/>
        <w:spacing w:after="0" w:line="240" w:lineRule="auto"/>
        <w:jc w:val="both"/>
        <w:rPr>
          <w:rFonts w:ascii="Garamond" w:hAnsi="Garamond"/>
        </w:rPr>
      </w:pPr>
      <w:r w:rsidRPr="004A0C12">
        <w:rPr>
          <w:rFonts w:ascii="Garamond" w:hAnsi="Garamond"/>
        </w:rPr>
        <w:t>DORS staff will then determine personnel category of graduates who have certification, licensure</w:t>
      </w:r>
      <w:r w:rsidR="000F6FC9" w:rsidRPr="004A0C12">
        <w:rPr>
          <w:rFonts w:ascii="Garamond" w:hAnsi="Garamond"/>
        </w:rPr>
        <w:t>,</w:t>
      </w:r>
      <w:r w:rsidRPr="004A0C12">
        <w:rPr>
          <w:rFonts w:ascii="Garamond" w:hAnsi="Garamond"/>
        </w:rPr>
        <w:t xml:space="preserve"> or credentials to a</w:t>
      </w:r>
      <w:r w:rsidR="00431254" w:rsidRPr="004A0C12">
        <w:rPr>
          <w:rFonts w:ascii="Garamond" w:hAnsi="Garamond"/>
        </w:rPr>
        <w:t>chieve certification/licensure.</w:t>
      </w:r>
    </w:p>
    <w:p w14:paraId="0EEC2C15" w14:textId="77777777" w:rsidR="007A1FDC" w:rsidRPr="00C0180F" w:rsidRDefault="007A1FDC" w:rsidP="00B709F8">
      <w:pPr>
        <w:pStyle w:val="Heading2"/>
        <w:rPr>
          <w:rFonts w:ascii="Garamond" w:hAnsi="Garamond"/>
          <w:sz w:val="24"/>
          <w:szCs w:val="24"/>
        </w:rPr>
      </w:pPr>
      <w:bookmarkStart w:id="204" w:name="_Toc447276231"/>
      <w:r w:rsidRPr="00C0180F">
        <w:rPr>
          <w:rFonts w:ascii="Garamond" w:hAnsi="Garamond"/>
          <w:sz w:val="24"/>
          <w:szCs w:val="24"/>
        </w:rPr>
        <w:t>ANNUAL ANALYSIS/REPORT</w:t>
      </w:r>
      <w:bookmarkEnd w:id="204"/>
    </w:p>
    <w:p w14:paraId="1563E6DE" w14:textId="55094551" w:rsidR="007A1FDC" w:rsidRPr="004A0C12" w:rsidRDefault="007A1FDC" w:rsidP="00232F09">
      <w:pPr>
        <w:widowControl w:val="0"/>
        <w:numPr>
          <w:ilvl w:val="0"/>
          <w:numId w:val="143"/>
        </w:numPr>
        <w:tabs>
          <w:tab w:val="clear" w:pos="360"/>
          <w:tab w:val="num" w:pos="1080"/>
        </w:tabs>
        <w:spacing w:after="0" w:line="240" w:lineRule="auto"/>
        <w:ind w:left="1080" w:hanging="360"/>
        <w:jc w:val="both"/>
        <w:rPr>
          <w:rFonts w:ascii="Garamond" w:hAnsi="Garamond"/>
        </w:rPr>
      </w:pPr>
      <w:r w:rsidRPr="004A0C12">
        <w:rPr>
          <w:rFonts w:ascii="Garamond" w:hAnsi="Garamond"/>
        </w:rPr>
        <w:t xml:space="preserve">Compile </w:t>
      </w:r>
      <w:r w:rsidR="000F6FC9" w:rsidRPr="004A0C12">
        <w:rPr>
          <w:rFonts w:ascii="Garamond" w:hAnsi="Garamond"/>
        </w:rPr>
        <w:t>data;</w:t>
      </w:r>
    </w:p>
    <w:p w14:paraId="349C7FD5" w14:textId="7BF06929" w:rsidR="007A1FDC" w:rsidRPr="004A0C12" w:rsidRDefault="007A1FDC" w:rsidP="00232F09">
      <w:pPr>
        <w:widowControl w:val="0"/>
        <w:numPr>
          <w:ilvl w:val="0"/>
          <w:numId w:val="143"/>
        </w:numPr>
        <w:tabs>
          <w:tab w:val="clear" w:pos="360"/>
          <w:tab w:val="num" w:pos="1080"/>
        </w:tabs>
        <w:spacing w:after="0" w:line="240" w:lineRule="auto"/>
        <w:ind w:left="1080" w:hanging="360"/>
        <w:jc w:val="both"/>
        <w:rPr>
          <w:rFonts w:ascii="Garamond" w:hAnsi="Garamond"/>
        </w:rPr>
      </w:pPr>
      <w:r w:rsidRPr="004A0C12">
        <w:rPr>
          <w:rFonts w:ascii="Garamond" w:hAnsi="Garamond"/>
        </w:rPr>
        <w:t>Analyze information compared to p</w:t>
      </w:r>
      <w:r w:rsidR="000F6FC9" w:rsidRPr="004A0C12">
        <w:rPr>
          <w:rFonts w:ascii="Garamond" w:hAnsi="Garamond"/>
        </w:rPr>
        <w:t>revious years and determine trends;</w:t>
      </w:r>
    </w:p>
    <w:p w14:paraId="72E0D628" w14:textId="6CB09D57" w:rsidR="007A1FDC" w:rsidRPr="004A0C12" w:rsidRDefault="007A1FDC" w:rsidP="00232F09">
      <w:pPr>
        <w:widowControl w:val="0"/>
        <w:numPr>
          <w:ilvl w:val="0"/>
          <w:numId w:val="143"/>
        </w:numPr>
        <w:tabs>
          <w:tab w:val="clear" w:pos="360"/>
          <w:tab w:val="num" w:pos="1080"/>
        </w:tabs>
        <w:spacing w:after="0" w:line="240" w:lineRule="auto"/>
        <w:ind w:left="1080" w:hanging="360"/>
        <w:jc w:val="both"/>
        <w:rPr>
          <w:rFonts w:ascii="Garamond" w:hAnsi="Garamond"/>
        </w:rPr>
      </w:pPr>
      <w:r w:rsidRPr="004A0C12">
        <w:rPr>
          <w:rFonts w:ascii="Garamond" w:hAnsi="Garamond"/>
        </w:rPr>
        <w:t>Based on data and trends, determine implications for rehabilitation services for individual</w:t>
      </w:r>
      <w:r w:rsidR="000F6FC9" w:rsidRPr="004A0C12">
        <w:rPr>
          <w:rFonts w:ascii="Garamond" w:hAnsi="Garamond"/>
        </w:rPr>
        <w:t xml:space="preserve">s with disabilities in Maryland; and, </w:t>
      </w:r>
    </w:p>
    <w:p w14:paraId="3684BD2F" w14:textId="798EED12" w:rsidR="007A1FDC" w:rsidRPr="004A0C12" w:rsidRDefault="007A1FDC" w:rsidP="00232F09">
      <w:pPr>
        <w:widowControl w:val="0"/>
        <w:numPr>
          <w:ilvl w:val="0"/>
          <w:numId w:val="143"/>
        </w:numPr>
        <w:tabs>
          <w:tab w:val="clear" w:pos="360"/>
          <w:tab w:val="num" w:pos="1080"/>
        </w:tabs>
        <w:spacing w:after="0" w:line="240" w:lineRule="auto"/>
        <w:ind w:left="1080" w:hanging="360"/>
        <w:jc w:val="both"/>
        <w:rPr>
          <w:rFonts w:ascii="Garamond" w:hAnsi="Garamond"/>
        </w:rPr>
      </w:pPr>
      <w:r w:rsidRPr="004A0C12">
        <w:rPr>
          <w:rFonts w:ascii="Garamond" w:hAnsi="Garamond"/>
        </w:rPr>
        <w:t>No later than December 3</w:t>
      </w:r>
      <w:r w:rsidR="000F6FC9" w:rsidRPr="004A0C12">
        <w:rPr>
          <w:rFonts w:ascii="Garamond" w:hAnsi="Garamond"/>
        </w:rPr>
        <w:t>1, prepare a report of findings to</w:t>
      </w:r>
      <w:r w:rsidRPr="004A0C12">
        <w:rPr>
          <w:rFonts w:ascii="Garamond" w:hAnsi="Garamond"/>
        </w:rPr>
        <w:t xml:space="preserve"> include recommendations in Division planning and other </w:t>
      </w:r>
      <w:r w:rsidRPr="004A0C12">
        <w:rPr>
          <w:rFonts w:ascii="Garamond" w:hAnsi="Garamond"/>
        </w:rPr>
        <w:lastRenderedPageBreak/>
        <w:t>activities, as appropriate.</w:t>
      </w:r>
    </w:p>
    <w:p w14:paraId="24F8D2B9" w14:textId="49CCBA2B" w:rsidR="00002A9C" w:rsidRPr="004A0C12" w:rsidRDefault="00002A9C" w:rsidP="00AD2026">
      <w:pPr>
        <w:pStyle w:val="NormalWeb"/>
        <w:spacing w:before="0" w:beforeAutospacing="0" w:afterAutospacing="0"/>
        <w:rPr>
          <w:rFonts w:ascii="Garamond" w:hAnsi="Garamond"/>
          <w:sz w:val="22"/>
          <w:szCs w:val="22"/>
        </w:rPr>
      </w:pPr>
      <w:r w:rsidRPr="004A0C12">
        <w:rPr>
          <w:rFonts w:ascii="Garamond" w:hAnsi="Garamond"/>
          <w:color w:val="000000"/>
          <w:sz w:val="22"/>
          <w:szCs w:val="22"/>
        </w:rPr>
        <w:t>The chart in the previous section provides Maryland university data as of august 2015. Enrollment and graduation data for all DORS employees relates to Rehabilitation Counselors.</w:t>
      </w:r>
    </w:p>
    <w:p w14:paraId="1D5A8945" w14:textId="77777777" w:rsidR="007A1FDC" w:rsidRPr="004A0C12" w:rsidRDefault="007A1FDC" w:rsidP="007A1FDC">
      <w:pPr>
        <w:widowControl w:val="0"/>
        <w:spacing w:after="0" w:line="240" w:lineRule="auto"/>
        <w:jc w:val="both"/>
        <w:rPr>
          <w:rFonts w:ascii="Garamond" w:hAnsi="Garamond"/>
        </w:rPr>
      </w:pPr>
    </w:p>
    <w:tbl>
      <w:tblPr>
        <w:tblStyle w:val="PlainTable11"/>
        <w:tblW w:w="0" w:type="auto"/>
        <w:jc w:val="center"/>
        <w:tblLayout w:type="fixed"/>
        <w:tblLook w:val="0000" w:firstRow="0" w:lastRow="0" w:firstColumn="0" w:lastColumn="0" w:noHBand="0" w:noVBand="0"/>
        <w:tblCaption w:val="Data on Institutions, Students Enrolled, Employees sponsored by DORS and/or RSA, Graduates Sponsored by DORS and/or RSA, and Graduated from the previous year"/>
        <w:tblDescription w:val="The following is based on 2014 data and DORS is working with the schools to update. Coppin State University has 127 students enrolled, 2 employees sponsored by the agency and/or RSA, 0 graduates sponsored by the agency and/or RSA, and 35 graduates from the previous year. George Washington University has 81 students enrolled, 10 employees sponsored by the agency and/or RSA, 2 graduates sponsored by the agency and/or RSA, and 78 graduates from the previous year. University of the District of Columbia has 15 students enrolled, 0 employees sponsored by the agency and/or RSA, 0 graduates sponsored by the agency and/or RSA, and 2 graduates from the previous year. University of Maryland CP has no VR Programs. University of Maryland ES has 284 students enrolled, 0 employees sponsored by the agency and/or RSA, 0 graduates sponsored by the agency and/or RSA, and 20 graduates from the previous year."/>
      </w:tblPr>
      <w:tblGrid>
        <w:gridCol w:w="2579"/>
        <w:gridCol w:w="1709"/>
        <w:gridCol w:w="2430"/>
        <w:gridCol w:w="2278"/>
        <w:gridCol w:w="1870"/>
      </w:tblGrid>
      <w:tr w:rsidR="007A1FDC" w:rsidRPr="004A0C12" w14:paraId="5D114E4D" w14:textId="77777777" w:rsidTr="008B1D9A">
        <w:trPr>
          <w:trHeight w:val="440"/>
          <w:tblHeader/>
          <w:jc w:val="center"/>
        </w:trPr>
        <w:tc>
          <w:tcPr>
            <w:cnfStyle w:val="000010000000" w:firstRow="0" w:lastRow="0" w:firstColumn="0" w:lastColumn="0" w:oddVBand="1" w:evenVBand="0" w:oddHBand="0" w:evenHBand="0" w:firstRowFirstColumn="0" w:firstRowLastColumn="0" w:lastRowFirstColumn="0" w:lastRowLastColumn="0"/>
            <w:tcW w:w="2579" w:type="dxa"/>
          </w:tcPr>
          <w:p w14:paraId="3550E3B3" w14:textId="77777777" w:rsidR="007A1FDC" w:rsidRPr="004A0C12" w:rsidRDefault="007A1FDC" w:rsidP="007A1FDC">
            <w:pPr>
              <w:widowControl w:val="0"/>
              <w:jc w:val="center"/>
              <w:rPr>
                <w:rFonts w:ascii="Garamond" w:hAnsi="Garamond"/>
                <w:sz w:val="22"/>
                <w:szCs w:val="22"/>
              </w:rPr>
            </w:pPr>
            <w:r w:rsidRPr="004A0C12">
              <w:rPr>
                <w:rFonts w:ascii="Garamond" w:hAnsi="Garamond"/>
                <w:sz w:val="22"/>
                <w:szCs w:val="22"/>
              </w:rPr>
              <w:t>Institution</w:t>
            </w:r>
          </w:p>
        </w:tc>
        <w:tc>
          <w:tcPr>
            <w:tcW w:w="1709" w:type="dxa"/>
          </w:tcPr>
          <w:p w14:paraId="7B3C1660" w14:textId="77777777" w:rsidR="007A1FDC" w:rsidRPr="004A0C12" w:rsidRDefault="007A1FDC" w:rsidP="007A1FDC">
            <w:pPr>
              <w:widowControl w:val="0"/>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Students Enrolled</w:t>
            </w:r>
          </w:p>
        </w:tc>
        <w:tc>
          <w:tcPr>
            <w:cnfStyle w:val="000010000000" w:firstRow="0" w:lastRow="0" w:firstColumn="0" w:lastColumn="0" w:oddVBand="1" w:evenVBand="0" w:oddHBand="0" w:evenHBand="0" w:firstRowFirstColumn="0" w:firstRowLastColumn="0" w:lastRowFirstColumn="0" w:lastRowLastColumn="0"/>
            <w:tcW w:w="2430" w:type="dxa"/>
          </w:tcPr>
          <w:p w14:paraId="4B336499" w14:textId="77777777" w:rsidR="007A1FDC" w:rsidRPr="004A0C12" w:rsidRDefault="007A1FDC" w:rsidP="007A1FDC">
            <w:pPr>
              <w:widowControl w:val="0"/>
              <w:jc w:val="center"/>
              <w:rPr>
                <w:rFonts w:ascii="Garamond" w:hAnsi="Garamond"/>
                <w:sz w:val="22"/>
                <w:szCs w:val="22"/>
              </w:rPr>
            </w:pPr>
            <w:r w:rsidRPr="004A0C12">
              <w:rPr>
                <w:rFonts w:ascii="Garamond" w:hAnsi="Garamond"/>
                <w:sz w:val="22"/>
                <w:szCs w:val="22"/>
              </w:rPr>
              <w:t>Employees sponsored by agency and/or RSA</w:t>
            </w:r>
          </w:p>
        </w:tc>
        <w:tc>
          <w:tcPr>
            <w:tcW w:w="2278" w:type="dxa"/>
          </w:tcPr>
          <w:p w14:paraId="0DA72803" w14:textId="77777777" w:rsidR="007A1FDC" w:rsidRPr="004A0C12" w:rsidRDefault="007A1FDC" w:rsidP="007A1FDC">
            <w:pPr>
              <w:widowControl w:val="0"/>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Graduates sponsored by agency and/or RSA</w:t>
            </w:r>
          </w:p>
        </w:tc>
        <w:tc>
          <w:tcPr>
            <w:cnfStyle w:val="000010000000" w:firstRow="0" w:lastRow="0" w:firstColumn="0" w:lastColumn="0" w:oddVBand="1" w:evenVBand="0" w:oddHBand="0" w:evenHBand="0" w:firstRowFirstColumn="0" w:firstRowLastColumn="0" w:lastRowFirstColumn="0" w:lastRowLastColumn="0"/>
            <w:tcW w:w="1870" w:type="dxa"/>
          </w:tcPr>
          <w:p w14:paraId="60B6BA2E" w14:textId="77777777" w:rsidR="007A1FDC" w:rsidRPr="004A0C12" w:rsidRDefault="007A1FDC" w:rsidP="007A1FDC">
            <w:pPr>
              <w:widowControl w:val="0"/>
              <w:jc w:val="center"/>
              <w:rPr>
                <w:rFonts w:ascii="Garamond" w:hAnsi="Garamond"/>
                <w:sz w:val="22"/>
                <w:szCs w:val="22"/>
              </w:rPr>
            </w:pPr>
            <w:r w:rsidRPr="004A0C12">
              <w:rPr>
                <w:rFonts w:ascii="Garamond" w:hAnsi="Garamond"/>
                <w:sz w:val="22"/>
                <w:szCs w:val="22"/>
              </w:rPr>
              <w:t>Graduates from the previous year</w:t>
            </w:r>
          </w:p>
        </w:tc>
      </w:tr>
      <w:tr w:rsidR="007A1FDC" w:rsidRPr="004A0C12" w14:paraId="20154196" w14:textId="77777777" w:rsidTr="00530FA0">
        <w:trPr>
          <w:cnfStyle w:val="000000100000" w:firstRow="0" w:lastRow="0" w:firstColumn="0" w:lastColumn="0" w:oddVBand="0" w:evenVBand="0" w:oddHBand="1" w:evenHBand="0" w:firstRowFirstColumn="0" w:firstRowLastColumn="0" w:lastRowFirstColumn="0" w:lastRowLastColumn="0"/>
          <w:trHeight w:val="300"/>
          <w:jc w:val="center"/>
        </w:trPr>
        <w:tc>
          <w:tcPr>
            <w:cnfStyle w:val="000010000000" w:firstRow="0" w:lastRow="0" w:firstColumn="0" w:lastColumn="0" w:oddVBand="1" w:evenVBand="0" w:oddHBand="0" w:evenHBand="0" w:firstRowFirstColumn="0" w:firstRowLastColumn="0" w:lastRowFirstColumn="0" w:lastRowLastColumn="0"/>
            <w:tcW w:w="2579" w:type="dxa"/>
          </w:tcPr>
          <w:p w14:paraId="7BF5C6C5" w14:textId="77777777" w:rsidR="007A1FDC" w:rsidRPr="004A0C12" w:rsidRDefault="007A1FDC" w:rsidP="007A1FDC">
            <w:pPr>
              <w:widowControl w:val="0"/>
              <w:rPr>
                <w:rFonts w:ascii="Garamond" w:hAnsi="Garamond"/>
                <w:sz w:val="22"/>
                <w:szCs w:val="22"/>
              </w:rPr>
            </w:pPr>
            <w:r w:rsidRPr="004A0C12">
              <w:rPr>
                <w:rFonts w:ascii="Garamond" w:hAnsi="Garamond"/>
                <w:sz w:val="22"/>
                <w:szCs w:val="22"/>
              </w:rPr>
              <w:t>Coppin State University</w:t>
            </w:r>
          </w:p>
        </w:tc>
        <w:tc>
          <w:tcPr>
            <w:tcW w:w="1709" w:type="dxa"/>
          </w:tcPr>
          <w:p w14:paraId="1ED77BDD"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127*</w:t>
            </w:r>
          </w:p>
        </w:tc>
        <w:tc>
          <w:tcPr>
            <w:cnfStyle w:val="000010000000" w:firstRow="0" w:lastRow="0" w:firstColumn="0" w:lastColumn="0" w:oddVBand="1" w:evenVBand="0" w:oddHBand="0" w:evenHBand="0" w:firstRowFirstColumn="0" w:firstRowLastColumn="0" w:lastRowFirstColumn="0" w:lastRowLastColumn="0"/>
            <w:tcW w:w="2430" w:type="dxa"/>
          </w:tcPr>
          <w:p w14:paraId="4BB79058"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02*</w:t>
            </w:r>
          </w:p>
        </w:tc>
        <w:tc>
          <w:tcPr>
            <w:tcW w:w="2278" w:type="dxa"/>
          </w:tcPr>
          <w:p w14:paraId="5C296F9C"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00*</w:t>
            </w:r>
          </w:p>
        </w:tc>
        <w:tc>
          <w:tcPr>
            <w:cnfStyle w:val="000010000000" w:firstRow="0" w:lastRow="0" w:firstColumn="0" w:lastColumn="0" w:oddVBand="1" w:evenVBand="0" w:oddHBand="0" w:evenHBand="0" w:firstRowFirstColumn="0" w:firstRowLastColumn="0" w:lastRowFirstColumn="0" w:lastRowLastColumn="0"/>
            <w:tcW w:w="1870" w:type="dxa"/>
          </w:tcPr>
          <w:p w14:paraId="3CABA63D"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35*</w:t>
            </w:r>
          </w:p>
        </w:tc>
      </w:tr>
      <w:tr w:rsidR="007A1FDC" w:rsidRPr="004A0C12" w14:paraId="43631EC7" w14:textId="77777777" w:rsidTr="00530FA0">
        <w:trPr>
          <w:trHeight w:val="440"/>
          <w:jc w:val="center"/>
        </w:trPr>
        <w:tc>
          <w:tcPr>
            <w:cnfStyle w:val="000010000000" w:firstRow="0" w:lastRow="0" w:firstColumn="0" w:lastColumn="0" w:oddVBand="1" w:evenVBand="0" w:oddHBand="0" w:evenHBand="0" w:firstRowFirstColumn="0" w:firstRowLastColumn="0" w:lastRowFirstColumn="0" w:lastRowLastColumn="0"/>
            <w:tcW w:w="2579" w:type="dxa"/>
          </w:tcPr>
          <w:p w14:paraId="6A81DFA5" w14:textId="77777777" w:rsidR="007A1FDC" w:rsidRPr="004A0C12" w:rsidRDefault="007A1FDC" w:rsidP="007A1FDC">
            <w:pPr>
              <w:widowControl w:val="0"/>
              <w:rPr>
                <w:rFonts w:ascii="Garamond" w:hAnsi="Garamond"/>
                <w:sz w:val="22"/>
                <w:szCs w:val="22"/>
              </w:rPr>
            </w:pPr>
            <w:r w:rsidRPr="004A0C12">
              <w:rPr>
                <w:rFonts w:ascii="Garamond" w:hAnsi="Garamond"/>
                <w:sz w:val="22"/>
                <w:szCs w:val="22"/>
              </w:rPr>
              <w:t>George Washington University</w:t>
            </w:r>
          </w:p>
        </w:tc>
        <w:tc>
          <w:tcPr>
            <w:tcW w:w="1709" w:type="dxa"/>
          </w:tcPr>
          <w:p w14:paraId="136DBA13" w14:textId="77777777" w:rsidR="007A1FDC" w:rsidRPr="004A0C12" w:rsidRDefault="007A1FDC" w:rsidP="007A1FDC">
            <w:pPr>
              <w:widowControl w:val="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81*</w:t>
            </w:r>
          </w:p>
        </w:tc>
        <w:tc>
          <w:tcPr>
            <w:cnfStyle w:val="000010000000" w:firstRow="0" w:lastRow="0" w:firstColumn="0" w:lastColumn="0" w:oddVBand="1" w:evenVBand="0" w:oddHBand="0" w:evenHBand="0" w:firstRowFirstColumn="0" w:firstRowLastColumn="0" w:lastRowFirstColumn="0" w:lastRowLastColumn="0"/>
            <w:tcW w:w="2430" w:type="dxa"/>
          </w:tcPr>
          <w:p w14:paraId="73882B6A"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10*</w:t>
            </w:r>
          </w:p>
        </w:tc>
        <w:tc>
          <w:tcPr>
            <w:tcW w:w="2278" w:type="dxa"/>
          </w:tcPr>
          <w:p w14:paraId="49F66A68" w14:textId="77777777" w:rsidR="007A1FDC" w:rsidRPr="004A0C12" w:rsidRDefault="007A1FDC" w:rsidP="007A1FDC">
            <w:pPr>
              <w:widowControl w:val="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02*</w:t>
            </w:r>
          </w:p>
        </w:tc>
        <w:tc>
          <w:tcPr>
            <w:cnfStyle w:val="000010000000" w:firstRow="0" w:lastRow="0" w:firstColumn="0" w:lastColumn="0" w:oddVBand="1" w:evenVBand="0" w:oddHBand="0" w:evenHBand="0" w:firstRowFirstColumn="0" w:firstRowLastColumn="0" w:lastRowFirstColumn="0" w:lastRowLastColumn="0"/>
            <w:tcW w:w="1870" w:type="dxa"/>
          </w:tcPr>
          <w:p w14:paraId="0D5CFD03"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78</w:t>
            </w:r>
          </w:p>
        </w:tc>
      </w:tr>
      <w:tr w:rsidR="007A1FDC" w:rsidRPr="004A0C12" w14:paraId="78EEBCC2" w14:textId="77777777" w:rsidTr="00530FA0">
        <w:trPr>
          <w:cnfStyle w:val="000000100000" w:firstRow="0" w:lastRow="0" w:firstColumn="0" w:lastColumn="0" w:oddVBand="0" w:evenVBand="0" w:oddHBand="1" w:evenHBand="0" w:firstRowFirstColumn="0" w:firstRowLastColumn="0" w:lastRowFirstColumn="0" w:lastRowLastColumn="0"/>
          <w:trHeight w:val="440"/>
          <w:jc w:val="center"/>
        </w:trPr>
        <w:tc>
          <w:tcPr>
            <w:cnfStyle w:val="000010000000" w:firstRow="0" w:lastRow="0" w:firstColumn="0" w:lastColumn="0" w:oddVBand="1" w:evenVBand="0" w:oddHBand="0" w:evenHBand="0" w:firstRowFirstColumn="0" w:firstRowLastColumn="0" w:lastRowFirstColumn="0" w:lastRowLastColumn="0"/>
            <w:tcW w:w="2579" w:type="dxa"/>
          </w:tcPr>
          <w:p w14:paraId="4CA08518" w14:textId="77777777" w:rsidR="007A1FDC" w:rsidRPr="004A0C12" w:rsidRDefault="007A1FDC" w:rsidP="007A1FDC">
            <w:pPr>
              <w:widowControl w:val="0"/>
              <w:rPr>
                <w:rFonts w:ascii="Garamond" w:hAnsi="Garamond"/>
                <w:sz w:val="22"/>
                <w:szCs w:val="22"/>
              </w:rPr>
            </w:pPr>
            <w:r w:rsidRPr="004A0C12">
              <w:rPr>
                <w:rFonts w:ascii="Garamond" w:hAnsi="Garamond"/>
                <w:sz w:val="22"/>
                <w:szCs w:val="22"/>
              </w:rPr>
              <w:t>University of the District of Columbia</w:t>
            </w:r>
          </w:p>
        </w:tc>
        <w:tc>
          <w:tcPr>
            <w:tcW w:w="1709" w:type="dxa"/>
          </w:tcPr>
          <w:p w14:paraId="451ECA87"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w:t>
            </w:r>
          </w:p>
        </w:tc>
        <w:tc>
          <w:tcPr>
            <w:cnfStyle w:val="000010000000" w:firstRow="0" w:lastRow="0" w:firstColumn="0" w:lastColumn="0" w:oddVBand="1" w:evenVBand="0" w:oddHBand="0" w:evenHBand="0" w:firstRowFirstColumn="0" w:firstRowLastColumn="0" w:lastRowFirstColumn="0" w:lastRowLastColumn="0"/>
            <w:tcW w:w="2430" w:type="dxa"/>
          </w:tcPr>
          <w:p w14:paraId="494C6A98"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0*</w:t>
            </w:r>
          </w:p>
        </w:tc>
        <w:tc>
          <w:tcPr>
            <w:tcW w:w="2278" w:type="dxa"/>
          </w:tcPr>
          <w:p w14:paraId="13A222FC"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0*</w:t>
            </w:r>
          </w:p>
        </w:tc>
        <w:tc>
          <w:tcPr>
            <w:cnfStyle w:val="000010000000" w:firstRow="0" w:lastRow="0" w:firstColumn="0" w:lastColumn="0" w:oddVBand="1" w:evenVBand="0" w:oddHBand="0" w:evenHBand="0" w:firstRowFirstColumn="0" w:firstRowLastColumn="0" w:lastRowFirstColumn="0" w:lastRowLastColumn="0"/>
            <w:tcW w:w="1870" w:type="dxa"/>
          </w:tcPr>
          <w:p w14:paraId="4E24E840"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02*</w:t>
            </w:r>
          </w:p>
        </w:tc>
      </w:tr>
      <w:tr w:rsidR="007A1FDC" w:rsidRPr="004A0C12" w14:paraId="07647A74" w14:textId="77777777" w:rsidTr="00530FA0">
        <w:trPr>
          <w:trHeight w:val="440"/>
          <w:jc w:val="center"/>
        </w:trPr>
        <w:tc>
          <w:tcPr>
            <w:cnfStyle w:val="000010000000" w:firstRow="0" w:lastRow="0" w:firstColumn="0" w:lastColumn="0" w:oddVBand="1" w:evenVBand="0" w:oddHBand="0" w:evenHBand="0" w:firstRowFirstColumn="0" w:firstRowLastColumn="0" w:lastRowFirstColumn="0" w:lastRowLastColumn="0"/>
            <w:tcW w:w="2579" w:type="dxa"/>
          </w:tcPr>
          <w:p w14:paraId="79CC52B0" w14:textId="77777777" w:rsidR="007A1FDC" w:rsidRPr="004A0C12" w:rsidRDefault="007A1FDC" w:rsidP="007A1FDC">
            <w:pPr>
              <w:widowControl w:val="0"/>
              <w:rPr>
                <w:rFonts w:ascii="Garamond" w:hAnsi="Garamond"/>
                <w:sz w:val="22"/>
                <w:szCs w:val="22"/>
              </w:rPr>
            </w:pPr>
            <w:r w:rsidRPr="004A0C12">
              <w:rPr>
                <w:rFonts w:ascii="Garamond" w:hAnsi="Garamond"/>
                <w:sz w:val="22"/>
                <w:szCs w:val="22"/>
              </w:rPr>
              <w:t>University of Maryland: CP</w:t>
            </w:r>
          </w:p>
        </w:tc>
        <w:tc>
          <w:tcPr>
            <w:tcW w:w="1709" w:type="dxa"/>
          </w:tcPr>
          <w:p w14:paraId="2E8D1FA7" w14:textId="77777777" w:rsidR="007A1FDC" w:rsidRPr="004A0C12" w:rsidRDefault="007A1FDC" w:rsidP="007A1FDC">
            <w:pPr>
              <w:widowControl w:val="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No VR programs</w:t>
            </w:r>
          </w:p>
        </w:tc>
        <w:tc>
          <w:tcPr>
            <w:cnfStyle w:val="000010000000" w:firstRow="0" w:lastRow="0" w:firstColumn="0" w:lastColumn="0" w:oddVBand="1" w:evenVBand="0" w:oddHBand="0" w:evenHBand="0" w:firstRowFirstColumn="0" w:firstRowLastColumn="0" w:lastRowFirstColumn="0" w:lastRowLastColumn="0"/>
            <w:tcW w:w="2430" w:type="dxa"/>
          </w:tcPr>
          <w:p w14:paraId="77040AED" w14:textId="77777777" w:rsidR="007A1FDC" w:rsidRPr="004A0C12" w:rsidRDefault="007A1FDC" w:rsidP="007A1FDC">
            <w:pPr>
              <w:widowControl w:val="0"/>
              <w:jc w:val="both"/>
              <w:rPr>
                <w:rFonts w:ascii="Garamond" w:hAnsi="Garamond"/>
                <w:sz w:val="22"/>
                <w:szCs w:val="22"/>
              </w:rPr>
            </w:pPr>
          </w:p>
        </w:tc>
        <w:tc>
          <w:tcPr>
            <w:tcW w:w="2278" w:type="dxa"/>
          </w:tcPr>
          <w:p w14:paraId="71242E51" w14:textId="77777777" w:rsidR="007A1FDC" w:rsidRPr="004A0C12" w:rsidRDefault="007A1FDC" w:rsidP="007A1FDC">
            <w:pPr>
              <w:widowControl w:val="0"/>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p>
        </w:tc>
        <w:tc>
          <w:tcPr>
            <w:cnfStyle w:val="000010000000" w:firstRow="0" w:lastRow="0" w:firstColumn="0" w:lastColumn="0" w:oddVBand="1" w:evenVBand="0" w:oddHBand="0" w:evenHBand="0" w:firstRowFirstColumn="0" w:firstRowLastColumn="0" w:lastRowFirstColumn="0" w:lastRowLastColumn="0"/>
            <w:tcW w:w="1870" w:type="dxa"/>
          </w:tcPr>
          <w:p w14:paraId="1411BBF6" w14:textId="77777777" w:rsidR="007A1FDC" w:rsidRPr="004A0C12" w:rsidRDefault="007A1FDC" w:rsidP="007A1FDC">
            <w:pPr>
              <w:widowControl w:val="0"/>
              <w:jc w:val="both"/>
              <w:rPr>
                <w:rFonts w:ascii="Garamond" w:hAnsi="Garamond"/>
                <w:sz w:val="22"/>
                <w:szCs w:val="22"/>
              </w:rPr>
            </w:pPr>
          </w:p>
        </w:tc>
      </w:tr>
      <w:tr w:rsidR="007A1FDC" w:rsidRPr="004A0C12" w14:paraId="79E4F937" w14:textId="77777777" w:rsidTr="00530FA0">
        <w:trPr>
          <w:cnfStyle w:val="000000100000" w:firstRow="0" w:lastRow="0" w:firstColumn="0" w:lastColumn="0" w:oddVBand="0" w:evenVBand="0" w:oddHBand="1" w:evenHBand="0" w:firstRowFirstColumn="0" w:firstRowLastColumn="0" w:lastRowFirstColumn="0" w:lastRowLastColumn="0"/>
          <w:trHeight w:val="440"/>
          <w:jc w:val="center"/>
        </w:trPr>
        <w:tc>
          <w:tcPr>
            <w:cnfStyle w:val="000010000000" w:firstRow="0" w:lastRow="0" w:firstColumn="0" w:lastColumn="0" w:oddVBand="1" w:evenVBand="0" w:oddHBand="0" w:evenHBand="0" w:firstRowFirstColumn="0" w:firstRowLastColumn="0" w:lastRowFirstColumn="0" w:lastRowLastColumn="0"/>
            <w:tcW w:w="2579" w:type="dxa"/>
          </w:tcPr>
          <w:p w14:paraId="34BA5C74" w14:textId="77777777" w:rsidR="007A1FDC" w:rsidRPr="004A0C12" w:rsidRDefault="007A1FDC" w:rsidP="007A1FDC">
            <w:pPr>
              <w:widowControl w:val="0"/>
              <w:rPr>
                <w:rFonts w:ascii="Garamond" w:hAnsi="Garamond"/>
                <w:sz w:val="22"/>
                <w:szCs w:val="22"/>
              </w:rPr>
            </w:pPr>
            <w:r w:rsidRPr="004A0C12">
              <w:rPr>
                <w:rFonts w:ascii="Garamond" w:hAnsi="Garamond"/>
                <w:sz w:val="22"/>
                <w:szCs w:val="22"/>
              </w:rPr>
              <w:t>University of Maryland: ES</w:t>
            </w:r>
          </w:p>
        </w:tc>
        <w:tc>
          <w:tcPr>
            <w:tcW w:w="1709" w:type="dxa"/>
          </w:tcPr>
          <w:p w14:paraId="6C799D56"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284*</w:t>
            </w:r>
          </w:p>
        </w:tc>
        <w:tc>
          <w:tcPr>
            <w:cnfStyle w:val="000010000000" w:firstRow="0" w:lastRow="0" w:firstColumn="0" w:lastColumn="0" w:oddVBand="1" w:evenVBand="0" w:oddHBand="0" w:evenHBand="0" w:firstRowFirstColumn="0" w:firstRowLastColumn="0" w:lastRowFirstColumn="0" w:lastRowLastColumn="0"/>
            <w:tcW w:w="2430" w:type="dxa"/>
          </w:tcPr>
          <w:p w14:paraId="1095EC39"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0*</w:t>
            </w:r>
          </w:p>
        </w:tc>
        <w:tc>
          <w:tcPr>
            <w:tcW w:w="2278" w:type="dxa"/>
          </w:tcPr>
          <w:p w14:paraId="62940379" w14:textId="77777777" w:rsidR="007A1FDC" w:rsidRPr="004A0C12" w:rsidRDefault="007A1FDC" w:rsidP="007A1FDC">
            <w:pPr>
              <w:widowControl w:val="0"/>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0*</w:t>
            </w:r>
          </w:p>
        </w:tc>
        <w:tc>
          <w:tcPr>
            <w:cnfStyle w:val="000010000000" w:firstRow="0" w:lastRow="0" w:firstColumn="0" w:lastColumn="0" w:oddVBand="1" w:evenVBand="0" w:oddHBand="0" w:evenHBand="0" w:firstRowFirstColumn="0" w:firstRowLastColumn="0" w:lastRowFirstColumn="0" w:lastRowLastColumn="0"/>
            <w:tcW w:w="1870" w:type="dxa"/>
          </w:tcPr>
          <w:p w14:paraId="63561EB5" w14:textId="77777777" w:rsidR="007A1FDC" w:rsidRPr="004A0C12" w:rsidRDefault="007A1FDC" w:rsidP="007A1FDC">
            <w:pPr>
              <w:widowControl w:val="0"/>
              <w:jc w:val="both"/>
              <w:rPr>
                <w:rFonts w:ascii="Garamond" w:hAnsi="Garamond"/>
                <w:sz w:val="22"/>
                <w:szCs w:val="22"/>
              </w:rPr>
            </w:pPr>
            <w:r w:rsidRPr="004A0C12">
              <w:rPr>
                <w:rFonts w:ascii="Garamond" w:hAnsi="Garamond"/>
                <w:sz w:val="22"/>
                <w:szCs w:val="22"/>
              </w:rPr>
              <w:t>20*</w:t>
            </w:r>
          </w:p>
        </w:tc>
      </w:tr>
    </w:tbl>
    <w:p w14:paraId="6039AFA9" w14:textId="77777777" w:rsidR="007A1FDC" w:rsidRPr="004A0C12" w:rsidRDefault="007A1FDC" w:rsidP="005C4041">
      <w:pPr>
        <w:pStyle w:val="FreeForm"/>
        <w:rPr>
          <w:rFonts w:ascii="Garamond" w:hAnsi="Garamond"/>
          <w:sz w:val="22"/>
          <w:szCs w:val="22"/>
        </w:rPr>
      </w:pPr>
    </w:p>
    <w:p w14:paraId="2014C9D4" w14:textId="77777777" w:rsidR="007A1FDC" w:rsidRPr="004A0C12" w:rsidRDefault="007A1FDC" w:rsidP="007A1FDC">
      <w:pPr>
        <w:widowControl w:val="0"/>
        <w:spacing w:after="0" w:line="240" w:lineRule="auto"/>
        <w:jc w:val="both"/>
        <w:rPr>
          <w:rFonts w:ascii="Garamond" w:hAnsi="Garamond"/>
        </w:rPr>
      </w:pPr>
      <w:r w:rsidRPr="004A0C12">
        <w:rPr>
          <w:rFonts w:ascii="Garamond" w:hAnsi="Garamond"/>
        </w:rPr>
        <w:t>* 2014 data. Working wi</w:t>
      </w:r>
      <w:r w:rsidR="00431254" w:rsidRPr="004A0C12">
        <w:rPr>
          <w:rFonts w:ascii="Garamond" w:hAnsi="Garamond"/>
        </w:rPr>
        <w:t>th universities to update data.</w:t>
      </w:r>
    </w:p>
    <w:p w14:paraId="1404B9FE" w14:textId="6DB94916" w:rsidR="007A1FDC" w:rsidRPr="00C0180F" w:rsidRDefault="007A1FDC" w:rsidP="005C4041">
      <w:pPr>
        <w:pStyle w:val="Heading3"/>
        <w:rPr>
          <w:rFonts w:ascii="Garamond" w:hAnsi="Garamond"/>
          <w:sz w:val="24"/>
          <w:szCs w:val="24"/>
        </w:rPr>
      </w:pPr>
      <w:bookmarkStart w:id="205" w:name="_Toc447276232"/>
      <w:r w:rsidRPr="00C0180F">
        <w:rPr>
          <w:rFonts w:ascii="Garamond" w:hAnsi="Garamond"/>
          <w:sz w:val="24"/>
          <w:szCs w:val="24"/>
        </w:rPr>
        <w:t>Plan for Recruitment, Preparation and Retention of Qualified Personnel</w:t>
      </w:r>
      <w:bookmarkEnd w:id="205"/>
    </w:p>
    <w:p w14:paraId="0D8BE508" w14:textId="77777777" w:rsidR="000F6FC9" w:rsidRPr="004A0C12" w:rsidRDefault="007A1FDC" w:rsidP="00232F09">
      <w:pPr>
        <w:pStyle w:val="ListParagraph"/>
        <w:widowControl w:val="0"/>
        <w:numPr>
          <w:ilvl w:val="0"/>
          <w:numId w:val="210"/>
        </w:numPr>
        <w:jc w:val="both"/>
        <w:rPr>
          <w:rFonts w:ascii="Garamond" w:hAnsi="Garamond"/>
          <w:szCs w:val="22"/>
        </w:rPr>
      </w:pPr>
      <w:r w:rsidRPr="004A0C12">
        <w:rPr>
          <w:rFonts w:ascii="Garamond" w:hAnsi="Garamond"/>
          <w:szCs w:val="22"/>
        </w:rPr>
        <w:t>Annually take the information and recommendations from the Data System described above regarding current an</w:t>
      </w:r>
      <w:r w:rsidR="000F6FC9" w:rsidRPr="004A0C12">
        <w:rPr>
          <w:rFonts w:ascii="Garamond" w:hAnsi="Garamond"/>
          <w:szCs w:val="22"/>
        </w:rPr>
        <w:t>d projected needs for personnel;</w:t>
      </w:r>
    </w:p>
    <w:p w14:paraId="5CCFFC82" w14:textId="77777777" w:rsidR="000F6FC9" w:rsidRPr="004A0C12" w:rsidRDefault="007A1FDC" w:rsidP="00232F09">
      <w:pPr>
        <w:pStyle w:val="ListParagraph"/>
        <w:widowControl w:val="0"/>
        <w:numPr>
          <w:ilvl w:val="0"/>
          <w:numId w:val="210"/>
        </w:numPr>
        <w:jc w:val="both"/>
        <w:rPr>
          <w:rFonts w:ascii="Garamond" w:hAnsi="Garamond"/>
          <w:szCs w:val="22"/>
        </w:rPr>
      </w:pPr>
      <w:r w:rsidRPr="004A0C12">
        <w:rPr>
          <w:rFonts w:ascii="Garamond" w:hAnsi="Garamond"/>
          <w:szCs w:val="22"/>
        </w:rPr>
        <w:t>Based on findings, design a recruitment plan for the upcoming year in collaboration with colleges and universities, and the Mary</w:t>
      </w:r>
      <w:r w:rsidR="000F6FC9" w:rsidRPr="004A0C12">
        <w:rPr>
          <w:rFonts w:ascii="Garamond" w:hAnsi="Garamond"/>
          <w:szCs w:val="22"/>
        </w:rPr>
        <w:t xml:space="preserve">land Rehabilitation Association; and, </w:t>
      </w:r>
    </w:p>
    <w:p w14:paraId="65A77093" w14:textId="3216FFCA" w:rsidR="007A1FDC" w:rsidRPr="004A0C12" w:rsidRDefault="007A1FDC" w:rsidP="00232F09">
      <w:pPr>
        <w:pStyle w:val="ListParagraph"/>
        <w:widowControl w:val="0"/>
        <w:numPr>
          <w:ilvl w:val="0"/>
          <w:numId w:val="210"/>
        </w:numPr>
        <w:jc w:val="both"/>
        <w:rPr>
          <w:rFonts w:ascii="Garamond" w:hAnsi="Garamond"/>
          <w:szCs w:val="22"/>
        </w:rPr>
      </w:pPr>
      <w:r w:rsidRPr="004A0C12">
        <w:rPr>
          <w:rFonts w:ascii="Garamond" w:hAnsi="Garamond"/>
          <w:szCs w:val="22"/>
        </w:rPr>
        <w:t>Update the Plan on an annual basis, as needed.</w:t>
      </w:r>
    </w:p>
    <w:p w14:paraId="6396A1E0" w14:textId="77777777" w:rsidR="007A1FDC" w:rsidRPr="004A0C12" w:rsidRDefault="007A1FDC" w:rsidP="007A1FDC">
      <w:pPr>
        <w:spacing w:after="0" w:line="240" w:lineRule="auto"/>
        <w:jc w:val="both"/>
        <w:rPr>
          <w:rFonts w:ascii="Garamond" w:hAnsi="Garamond"/>
        </w:rPr>
      </w:pPr>
    </w:p>
    <w:p w14:paraId="375FA5D3" w14:textId="6D6F9BCF" w:rsidR="000F6FC9" w:rsidRPr="004A0C12" w:rsidRDefault="007A1FDC" w:rsidP="007A1FDC">
      <w:pPr>
        <w:spacing w:after="0" w:line="240" w:lineRule="auto"/>
        <w:jc w:val="both"/>
        <w:rPr>
          <w:rFonts w:ascii="Garamond" w:hAnsi="Garamond"/>
        </w:rPr>
      </w:pPr>
      <w:r w:rsidRPr="004A0C12">
        <w:rPr>
          <w:rFonts w:ascii="Garamond" w:hAnsi="Garamond"/>
        </w:rPr>
        <w:t>Colleges/Universities in Maryland with Rehabilitat</w:t>
      </w:r>
      <w:r w:rsidR="005C4041" w:rsidRPr="004A0C12">
        <w:rPr>
          <w:rFonts w:ascii="Garamond" w:hAnsi="Garamond"/>
        </w:rPr>
        <w:t>ion Counseling Programs:</w:t>
      </w:r>
    </w:p>
    <w:tbl>
      <w:tblPr>
        <w:tblStyle w:val="PlainTable11"/>
        <w:tblW w:w="0" w:type="auto"/>
        <w:tblLook w:val="04A0" w:firstRow="1" w:lastRow="0" w:firstColumn="1" w:lastColumn="0" w:noHBand="0" w:noVBand="1"/>
        <w:tblCaption w:val="Colleges/Universities in Maryland with Rehabilitation Counseling Programs"/>
        <w:tblDescription w:val="Coppin State University (Historically Black Institution) located in Baltimore, Maryland offers • Undergraduate degree in Rehabilitation Counseling;  • Master’s degree in Rehabilitation Counseling; • Certificate Program in Assistive Technology; • Post-Master Certificate Program in Professional Counselor Licensure. The George Washington University located in Washington, DC offers • Masters degree in Rehabilitation Counseling (online &amp; on-site); • Master’s degree in Vocational Evaluation; • Master’s degree in Secondary Special Education and Transition Services; • Certificate program in Job Development/Placement; • Certificate program in Transition Special Education. The University of the District of Columbia located in Washington, DC offers • Master’s degree in Rehabilitation Counseling (new program). The  University of Maryland College Park located in College Park, Maryland no longer offers any VR related programs. The University of Maryland Eastern Shore located in Princess Anne, Maryland offers • Undergraduate degree in Rehabilitation Counseling; • Master’s degree in Rehabilitation Counseling.&#10;"/>
      </w:tblPr>
      <w:tblGrid>
        <w:gridCol w:w="3629"/>
        <w:gridCol w:w="1875"/>
        <w:gridCol w:w="5800"/>
      </w:tblGrid>
      <w:tr w:rsidR="000F6FC9" w:rsidRPr="004A0C12" w14:paraId="697E72D5" w14:textId="77777777" w:rsidTr="008B1D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90" w:type="dxa"/>
          </w:tcPr>
          <w:p w14:paraId="06BE820B" w14:textId="10BC5464" w:rsidR="000F6FC9" w:rsidRPr="004A0C12" w:rsidRDefault="000F6FC9" w:rsidP="000F6FC9">
            <w:pPr>
              <w:jc w:val="center"/>
              <w:rPr>
                <w:rFonts w:ascii="Garamond" w:hAnsi="Garamond"/>
                <w:sz w:val="22"/>
                <w:szCs w:val="22"/>
              </w:rPr>
            </w:pPr>
            <w:r w:rsidRPr="004A0C12">
              <w:rPr>
                <w:rFonts w:ascii="Garamond" w:hAnsi="Garamond"/>
                <w:sz w:val="22"/>
                <w:szCs w:val="22"/>
              </w:rPr>
              <w:t>Institution</w:t>
            </w:r>
          </w:p>
        </w:tc>
        <w:tc>
          <w:tcPr>
            <w:tcW w:w="1890" w:type="dxa"/>
          </w:tcPr>
          <w:p w14:paraId="558F9B0A" w14:textId="7E83952E" w:rsidR="000F6FC9" w:rsidRPr="004A0C12" w:rsidRDefault="000F6FC9" w:rsidP="000F6FC9">
            <w:pPr>
              <w:jc w:val="center"/>
              <w:cnfStyle w:val="100000000000" w:firstRow="1"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Location</w:t>
            </w:r>
          </w:p>
        </w:tc>
        <w:tc>
          <w:tcPr>
            <w:tcW w:w="5886" w:type="dxa"/>
          </w:tcPr>
          <w:p w14:paraId="013BAD92" w14:textId="18FF144D" w:rsidR="000F6FC9" w:rsidRPr="004A0C12" w:rsidRDefault="000F6FC9" w:rsidP="000F6FC9">
            <w:pPr>
              <w:jc w:val="center"/>
              <w:cnfStyle w:val="100000000000" w:firstRow="1"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Programs</w:t>
            </w:r>
          </w:p>
        </w:tc>
      </w:tr>
      <w:tr w:rsidR="000F6FC9" w:rsidRPr="004A0C12" w14:paraId="2FCCD7EF"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23FE293E" w14:textId="77777777" w:rsidR="000F6FC9" w:rsidRPr="004A0C12" w:rsidRDefault="000F6FC9" w:rsidP="000F6FC9">
            <w:pPr>
              <w:rPr>
                <w:rFonts w:ascii="Garamond" w:hAnsi="Garamond"/>
                <w:b w:val="0"/>
                <w:sz w:val="22"/>
                <w:szCs w:val="22"/>
              </w:rPr>
            </w:pPr>
            <w:r w:rsidRPr="004A0C12">
              <w:rPr>
                <w:rFonts w:ascii="Garamond" w:hAnsi="Garamond"/>
                <w:b w:val="0"/>
                <w:sz w:val="22"/>
                <w:szCs w:val="22"/>
              </w:rPr>
              <w:t xml:space="preserve">Coppin State University </w:t>
            </w:r>
          </w:p>
          <w:p w14:paraId="33084972" w14:textId="6880E9BE" w:rsidR="000F6FC9" w:rsidRPr="004A0C12" w:rsidRDefault="000F6FC9" w:rsidP="000F6FC9">
            <w:pPr>
              <w:rPr>
                <w:rFonts w:ascii="Garamond" w:hAnsi="Garamond"/>
                <w:b w:val="0"/>
                <w:sz w:val="22"/>
                <w:szCs w:val="22"/>
              </w:rPr>
            </w:pPr>
            <w:r w:rsidRPr="004A0C12">
              <w:rPr>
                <w:rFonts w:ascii="Garamond" w:hAnsi="Garamond"/>
                <w:b w:val="0"/>
                <w:sz w:val="22"/>
                <w:szCs w:val="22"/>
              </w:rPr>
              <w:t>(Historically Black Institution)</w:t>
            </w:r>
          </w:p>
        </w:tc>
        <w:tc>
          <w:tcPr>
            <w:tcW w:w="1890" w:type="dxa"/>
          </w:tcPr>
          <w:p w14:paraId="5FF66737" w14:textId="7F4C3203" w:rsidR="000F6FC9" w:rsidRPr="004A0C12" w:rsidRDefault="000F6FC9" w:rsidP="000F6FC9">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Baltimore, Maryland</w:t>
            </w:r>
          </w:p>
        </w:tc>
        <w:tc>
          <w:tcPr>
            <w:tcW w:w="5886" w:type="dxa"/>
          </w:tcPr>
          <w:p w14:paraId="53FB0006" w14:textId="3F5CC972" w:rsidR="000F6FC9" w:rsidRPr="004A0C12" w:rsidRDefault="000F6FC9" w:rsidP="00232F09">
            <w:pPr>
              <w:pStyle w:val="ListParagraph"/>
              <w:widowControl w:val="0"/>
              <w:numPr>
                <w:ilvl w:val="0"/>
                <w:numId w:val="212"/>
              </w:numPr>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Undergraduate degree in Rehabilitation Counseling; </w:t>
            </w:r>
          </w:p>
          <w:p w14:paraId="65A8EFAE" w14:textId="45D68D41" w:rsidR="000F6FC9" w:rsidRPr="004A0C12" w:rsidRDefault="000F6FC9" w:rsidP="00232F09">
            <w:pPr>
              <w:pStyle w:val="ListParagraph"/>
              <w:widowControl w:val="0"/>
              <w:numPr>
                <w:ilvl w:val="0"/>
                <w:numId w:val="212"/>
              </w:numPr>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Master’s degree in Rehabilitation Counseling;</w:t>
            </w:r>
          </w:p>
          <w:p w14:paraId="51AA580D" w14:textId="77777777" w:rsidR="000F6FC9" w:rsidRPr="004A0C12" w:rsidRDefault="000F6FC9" w:rsidP="00232F09">
            <w:pPr>
              <w:pStyle w:val="ListParagraph"/>
              <w:widowControl w:val="0"/>
              <w:numPr>
                <w:ilvl w:val="0"/>
                <w:numId w:val="212"/>
              </w:numPr>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Certificate Program in Assistive Technology; </w:t>
            </w:r>
          </w:p>
          <w:p w14:paraId="0AE289CB" w14:textId="0F00CBE8" w:rsidR="000F6FC9" w:rsidRPr="004A0C12" w:rsidRDefault="000F6FC9" w:rsidP="00232F09">
            <w:pPr>
              <w:pStyle w:val="ListParagraph"/>
              <w:widowControl w:val="0"/>
              <w:numPr>
                <w:ilvl w:val="0"/>
                <w:numId w:val="212"/>
              </w:numPr>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Post-Master Certificate Program in Professional Counselor Licensure.</w:t>
            </w:r>
          </w:p>
        </w:tc>
      </w:tr>
      <w:tr w:rsidR="000F6FC9" w:rsidRPr="004A0C12" w14:paraId="530397B8" w14:textId="77777777" w:rsidTr="00530FA0">
        <w:tc>
          <w:tcPr>
            <w:cnfStyle w:val="001000000000" w:firstRow="0" w:lastRow="0" w:firstColumn="1" w:lastColumn="0" w:oddVBand="0" w:evenVBand="0" w:oddHBand="0" w:evenHBand="0" w:firstRowFirstColumn="0" w:firstRowLastColumn="0" w:lastRowFirstColumn="0" w:lastRowLastColumn="0"/>
            <w:tcW w:w="3690" w:type="dxa"/>
          </w:tcPr>
          <w:p w14:paraId="6084C596" w14:textId="2DE9BC13" w:rsidR="000F6FC9" w:rsidRPr="004A0C12" w:rsidRDefault="000F6FC9" w:rsidP="000F6FC9">
            <w:pPr>
              <w:rPr>
                <w:rFonts w:ascii="Garamond" w:hAnsi="Garamond"/>
                <w:b w:val="0"/>
                <w:sz w:val="22"/>
                <w:szCs w:val="22"/>
              </w:rPr>
            </w:pPr>
            <w:r w:rsidRPr="004A0C12">
              <w:rPr>
                <w:rFonts w:ascii="Garamond" w:hAnsi="Garamond"/>
                <w:b w:val="0"/>
                <w:sz w:val="22"/>
                <w:szCs w:val="22"/>
              </w:rPr>
              <w:t>The George Washington University</w:t>
            </w:r>
          </w:p>
        </w:tc>
        <w:tc>
          <w:tcPr>
            <w:tcW w:w="1890" w:type="dxa"/>
          </w:tcPr>
          <w:p w14:paraId="609CFC8F" w14:textId="104C2D35" w:rsidR="000F6FC9" w:rsidRPr="004A0C12" w:rsidRDefault="000F6FC9" w:rsidP="000F6FC9">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Washington, DC</w:t>
            </w:r>
          </w:p>
        </w:tc>
        <w:tc>
          <w:tcPr>
            <w:tcW w:w="5886" w:type="dxa"/>
          </w:tcPr>
          <w:p w14:paraId="5801EA43" w14:textId="074D15DF" w:rsidR="000F6FC9" w:rsidRPr="004A0C12" w:rsidRDefault="000F6FC9" w:rsidP="00232F09">
            <w:pPr>
              <w:pStyle w:val="ListParagraph"/>
              <w:numPr>
                <w:ilvl w:val="0"/>
                <w:numId w:val="213"/>
              </w:numPr>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Masters degree i</w:t>
            </w:r>
            <w:r w:rsidR="00E103E2" w:rsidRPr="004A0C12">
              <w:rPr>
                <w:rFonts w:ascii="Garamond" w:eastAsia="Times New Roman" w:hAnsi="Garamond"/>
                <w:sz w:val="22"/>
                <w:szCs w:val="22"/>
              </w:rPr>
              <w:t>n Rehabilitation Counseling (on</w:t>
            </w:r>
            <w:r w:rsidRPr="004A0C12">
              <w:rPr>
                <w:rFonts w:ascii="Garamond" w:eastAsia="Times New Roman" w:hAnsi="Garamond"/>
                <w:sz w:val="22"/>
                <w:szCs w:val="22"/>
              </w:rPr>
              <w:t>line &amp; on-site);</w:t>
            </w:r>
          </w:p>
          <w:p w14:paraId="7372F985" w14:textId="77777777" w:rsidR="00AC7F51" w:rsidRPr="004A0C12" w:rsidRDefault="000F6FC9" w:rsidP="00232F09">
            <w:pPr>
              <w:pStyle w:val="ListParagraph"/>
              <w:numPr>
                <w:ilvl w:val="0"/>
                <w:numId w:val="213"/>
              </w:numPr>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Master’s degree in </w:t>
            </w:r>
            <w:r w:rsidR="00AC7F51" w:rsidRPr="004A0C12">
              <w:rPr>
                <w:rFonts w:ascii="Garamond" w:eastAsia="Times New Roman" w:hAnsi="Garamond"/>
                <w:sz w:val="22"/>
                <w:szCs w:val="22"/>
              </w:rPr>
              <w:t>Vocational Evaluation;</w:t>
            </w:r>
          </w:p>
          <w:p w14:paraId="4C1FF6F7" w14:textId="77777777" w:rsidR="00AC7F51" w:rsidRPr="004A0C12" w:rsidRDefault="00AC7F51" w:rsidP="00232F09">
            <w:pPr>
              <w:pStyle w:val="ListParagraph"/>
              <w:numPr>
                <w:ilvl w:val="0"/>
                <w:numId w:val="213"/>
              </w:numPr>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Master’s degree in </w:t>
            </w:r>
            <w:r w:rsidR="000F6FC9" w:rsidRPr="004A0C12">
              <w:rPr>
                <w:rFonts w:ascii="Garamond" w:eastAsia="Times New Roman" w:hAnsi="Garamond"/>
                <w:sz w:val="22"/>
                <w:szCs w:val="22"/>
              </w:rPr>
              <w:t>Secondary Special Edu</w:t>
            </w:r>
            <w:r w:rsidRPr="004A0C12">
              <w:rPr>
                <w:rFonts w:ascii="Garamond" w:eastAsia="Times New Roman" w:hAnsi="Garamond"/>
                <w:sz w:val="22"/>
                <w:szCs w:val="22"/>
              </w:rPr>
              <w:t>cation and Transition Services;</w:t>
            </w:r>
          </w:p>
          <w:p w14:paraId="3193282D" w14:textId="3E354EEB" w:rsidR="00AC7F51" w:rsidRPr="004A0C12" w:rsidRDefault="000F6FC9" w:rsidP="00232F09">
            <w:pPr>
              <w:pStyle w:val="ListParagraph"/>
              <w:numPr>
                <w:ilvl w:val="0"/>
                <w:numId w:val="213"/>
              </w:numPr>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Certificate progra</w:t>
            </w:r>
            <w:r w:rsidR="00AC7F51" w:rsidRPr="004A0C12">
              <w:rPr>
                <w:rFonts w:ascii="Garamond" w:eastAsia="Times New Roman" w:hAnsi="Garamond"/>
                <w:sz w:val="22"/>
                <w:szCs w:val="22"/>
              </w:rPr>
              <w:t>m in Job Development/Placement;</w:t>
            </w:r>
          </w:p>
          <w:p w14:paraId="0191D777" w14:textId="1A49F5AD" w:rsidR="000F6FC9" w:rsidRPr="004A0C12" w:rsidRDefault="00AC7F51" w:rsidP="00232F09">
            <w:pPr>
              <w:pStyle w:val="ListParagraph"/>
              <w:numPr>
                <w:ilvl w:val="0"/>
                <w:numId w:val="213"/>
              </w:numPr>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Certificate program in</w:t>
            </w:r>
            <w:r w:rsidR="000F6FC9" w:rsidRPr="004A0C12">
              <w:rPr>
                <w:rFonts w:ascii="Garamond" w:eastAsia="Times New Roman" w:hAnsi="Garamond"/>
                <w:sz w:val="22"/>
                <w:szCs w:val="22"/>
              </w:rPr>
              <w:t xml:space="preserve"> Transition Special Education.</w:t>
            </w:r>
          </w:p>
        </w:tc>
      </w:tr>
      <w:tr w:rsidR="000F6FC9" w:rsidRPr="004A0C12" w14:paraId="69D976C6"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4BE03D1E" w14:textId="757924FB" w:rsidR="000F6FC9" w:rsidRPr="004A0C12" w:rsidRDefault="000F6FC9" w:rsidP="000F6FC9">
            <w:pPr>
              <w:rPr>
                <w:rFonts w:ascii="Garamond" w:hAnsi="Garamond"/>
                <w:b w:val="0"/>
                <w:sz w:val="22"/>
                <w:szCs w:val="22"/>
              </w:rPr>
            </w:pPr>
            <w:r w:rsidRPr="004A0C12">
              <w:rPr>
                <w:rFonts w:ascii="Garamond" w:hAnsi="Garamond"/>
                <w:b w:val="0"/>
                <w:sz w:val="22"/>
                <w:szCs w:val="22"/>
              </w:rPr>
              <w:t>The University of the District of Columbia</w:t>
            </w:r>
          </w:p>
        </w:tc>
        <w:tc>
          <w:tcPr>
            <w:tcW w:w="1890" w:type="dxa"/>
          </w:tcPr>
          <w:p w14:paraId="749593F1" w14:textId="63B40F29" w:rsidR="000F6FC9" w:rsidRPr="004A0C12" w:rsidRDefault="000F6FC9" w:rsidP="000F6FC9">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Washington, DC</w:t>
            </w:r>
          </w:p>
        </w:tc>
        <w:tc>
          <w:tcPr>
            <w:tcW w:w="5886" w:type="dxa"/>
          </w:tcPr>
          <w:p w14:paraId="295981E8" w14:textId="5490248C" w:rsidR="000F6FC9" w:rsidRPr="004A0C12" w:rsidRDefault="000F6FC9" w:rsidP="00232F09">
            <w:pPr>
              <w:pStyle w:val="ListParagraph"/>
              <w:numPr>
                <w:ilvl w:val="0"/>
                <w:numId w:val="214"/>
              </w:numPr>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Master’s degree in Rehabilitation Counseling (new program)</w:t>
            </w:r>
          </w:p>
        </w:tc>
      </w:tr>
      <w:tr w:rsidR="000F6FC9" w:rsidRPr="004A0C12" w14:paraId="66F7CCB6" w14:textId="77777777" w:rsidTr="00530FA0">
        <w:tc>
          <w:tcPr>
            <w:cnfStyle w:val="001000000000" w:firstRow="0" w:lastRow="0" w:firstColumn="1" w:lastColumn="0" w:oddVBand="0" w:evenVBand="0" w:oddHBand="0" w:evenHBand="0" w:firstRowFirstColumn="0" w:firstRowLastColumn="0" w:lastRowFirstColumn="0" w:lastRowLastColumn="0"/>
            <w:tcW w:w="3690" w:type="dxa"/>
          </w:tcPr>
          <w:p w14:paraId="2F9D70FF" w14:textId="15E6364E" w:rsidR="000F6FC9" w:rsidRPr="004A0C12" w:rsidRDefault="000F6FC9" w:rsidP="000F6FC9">
            <w:pPr>
              <w:rPr>
                <w:rFonts w:ascii="Garamond" w:hAnsi="Garamond"/>
                <w:b w:val="0"/>
                <w:sz w:val="22"/>
                <w:szCs w:val="22"/>
              </w:rPr>
            </w:pPr>
            <w:r w:rsidRPr="004A0C12">
              <w:rPr>
                <w:rFonts w:ascii="Garamond" w:hAnsi="Garamond"/>
                <w:b w:val="0"/>
                <w:sz w:val="22"/>
                <w:szCs w:val="22"/>
              </w:rPr>
              <w:t>University of Maryland College Park</w:t>
            </w:r>
          </w:p>
        </w:tc>
        <w:tc>
          <w:tcPr>
            <w:tcW w:w="1890" w:type="dxa"/>
          </w:tcPr>
          <w:p w14:paraId="4604A667" w14:textId="7A57A32A" w:rsidR="000F6FC9" w:rsidRPr="004A0C12" w:rsidRDefault="000F6FC9" w:rsidP="000F6FC9">
            <w:pP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College Park, Maryland</w:t>
            </w:r>
          </w:p>
        </w:tc>
        <w:tc>
          <w:tcPr>
            <w:tcW w:w="5886" w:type="dxa"/>
          </w:tcPr>
          <w:p w14:paraId="3B708700" w14:textId="5A9509E5" w:rsidR="000F6FC9" w:rsidRPr="004A0C12" w:rsidRDefault="000F6FC9" w:rsidP="00232F09">
            <w:pPr>
              <w:pStyle w:val="ListParagraph"/>
              <w:numPr>
                <w:ilvl w:val="0"/>
                <w:numId w:val="214"/>
              </w:numPr>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No longer offers any VR related programs.</w:t>
            </w:r>
          </w:p>
        </w:tc>
      </w:tr>
      <w:tr w:rsidR="000F6FC9" w:rsidRPr="004A0C12" w14:paraId="2DEB0E33"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53236148" w14:textId="1AF12351" w:rsidR="000F6FC9" w:rsidRPr="004A0C12" w:rsidRDefault="000F6FC9" w:rsidP="000F6FC9">
            <w:pPr>
              <w:rPr>
                <w:rFonts w:ascii="Garamond" w:hAnsi="Garamond"/>
                <w:b w:val="0"/>
                <w:sz w:val="22"/>
                <w:szCs w:val="22"/>
              </w:rPr>
            </w:pPr>
            <w:r w:rsidRPr="004A0C12">
              <w:rPr>
                <w:rFonts w:ascii="Garamond" w:hAnsi="Garamond"/>
                <w:b w:val="0"/>
                <w:sz w:val="22"/>
                <w:szCs w:val="22"/>
              </w:rPr>
              <w:t>University of Maryland Eastern Shore</w:t>
            </w:r>
          </w:p>
        </w:tc>
        <w:tc>
          <w:tcPr>
            <w:tcW w:w="1890" w:type="dxa"/>
          </w:tcPr>
          <w:p w14:paraId="0F57E0EC" w14:textId="5C3CEA7E" w:rsidR="000F6FC9" w:rsidRPr="004A0C12" w:rsidRDefault="000F6FC9" w:rsidP="000F6FC9">
            <w:pP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Princess Anne, Maryland</w:t>
            </w:r>
          </w:p>
        </w:tc>
        <w:tc>
          <w:tcPr>
            <w:tcW w:w="5886" w:type="dxa"/>
          </w:tcPr>
          <w:p w14:paraId="4EF0FD86" w14:textId="77777777" w:rsidR="00210136" w:rsidRPr="004A0C12" w:rsidRDefault="00210136" w:rsidP="00232F09">
            <w:pPr>
              <w:pStyle w:val="ListParagraph"/>
              <w:numPr>
                <w:ilvl w:val="0"/>
                <w:numId w:val="214"/>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Undergraduate degree in Rehabilitation Counseling;</w:t>
            </w:r>
          </w:p>
          <w:p w14:paraId="395C8870" w14:textId="6DFF04AA" w:rsidR="00210136" w:rsidRPr="004A0C12" w:rsidRDefault="00210136" w:rsidP="00232F09">
            <w:pPr>
              <w:pStyle w:val="ListParagraph"/>
              <w:numPr>
                <w:ilvl w:val="0"/>
                <w:numId w:val="214"/>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Master’s degree in Rehabilitation Counseling</w:t>
            </w:r>
          </w:p>
        </w:tc>
      </w:tr>
    </w:tbl>
    <w:p w14:paraId="52C55BEE" w14:textId="77777777" w:rsidR="00902C29" w:rsidRPr="004A0C12" w:rsidRDefault="00902C29" w:rsidP="00CF391B">
      <w:pPr>
        <w:spacing w:after="0" w:line="240" w:lineRule="auto"/>
        <w:contextualSpacing/>
        <w:jc w:val="both"/>
        <w:rPr>
          <w:rFonts w:ascii="Garamond" w:hAnsi="Garamond"/>
        </w:rPr>
      </w:pPr>
    </w:p>
    <w:p w14:paraId="7EB2473A" w14:textId="5189061C" w:rsidR="007A1FDC" w:rsidRPr="004A0C12" w:rsidRDefault="007A1FDC" w:rsidP="00CF391B">
      <w:pPr>
        <w:spacing w:after="0" w:line="240" w:lineRule="auto"/>
        <w:contextualSpacing/>
        <w:jc w:val="both"/>
        <w:rPr>
          <w:rFonts w:ascii="Garamond" w:hAnsi="Garamond"/>
        </w:rPr>
      </w:pPr>
      <w:r w:rsidRPr="004A0C12">
        <w:rPr>
          <w:rFonts w:ascii="Garamond" w:hAnsi="Garamond"/>
        </w:rPr>
        <w:t>The plan may include the following:</w:t>
      </w:r>
    </w:p>
    <w:p w14:paraId="18636CD7" w14:textId="77777777" w:rsidR="007A1FDC" w:rsidRPr="004A0C12" w:rsidRDefault="007A1FDC" w:rsidP="00CF391B">
      <w:pPr>
        <w:spacing w:after="0" w:line="240" w:lineRule="auto"/>
        <w:contextualSpacing/>
        <w:jc w:val="both"/>
        <w:rPr>
          <w:rFonts w:ascii="Garamond" w:hAnsi="Garamond"/>
        </w:rPr>
      </w:pPr>
    </w:p>
    <w:p w14:paraId="395335D1" w14:textId="40205971" w:rsidR="007A1FDC" w:rsidRPr="004A0C12" w:rsidRDefault="007A1FDC" w:rsidP="00232F09">
      <w:pPr>
        <w:widowControl w:val="0"/>
        <w:numPr>
          <w:ilvl w:val="0"/>
          <w:numId w:val="144"/>
        </w:numPr>
        <w:tabs>
          <w:tab w:val="clear" w:pos="360"/>
          <w:tab w:val="num" w:pos="1080"/>
        </w:tabs>
        <w:spacing w:after="0" w:line="240" w:lineRule="auto"/>
        <w:ind w:left="1080" w:hanging="360"/>
        <w:contextualSpacing/>
        <w:jc w:val="both"/>
        <w:rPr>
          <w:rFonts w:ascii="Garamond" w:hAnsi="Garamond"/>
        </w:rPr>
      </w:pPr>
      <w:r w:rsidRPr="004A0C12">
        <w:rPr>
          <w:rFonts w:ascii="Garamond" w:hAnsi="Garamond"/>
        </w:rPr>
        <w:t>Active membership on advisory boards of colleges/universities with programs in Rehabilitation Counseling</w:t>
      </w:r>
    </w:p>
    <w:p w14:paraId="4844783B" w14:textId="34140A1C" w:rsidR="007A1FDC" w:rsidRPr="004A0C12" w:rsidRDefault="007A1FDC" w:rsidP="00232F09">
      <w:pPr>
        <w:widowControl w:val="0"/>
        <w:numPr>
          <w:ilvl w:val="0"/>
          <w:numId w:val="144"/>
        </w:numPr>
        <w:tabs>
          <w:tab w:val="clear" w:pos="360"/>
          <w:tab w:val="num" w:pos="1080"/>
        </w:tabs>
        <w:spacing w:after="0" w:line="240" w:lineRule="auto"/>
        <w:ind w:left="1080" w:hanging="360"/>
        <w:contextualSpacing/>
        <w:jc w:val="both"/>
        <w:rPr>
          <w:rFonts w:ascii="Garamond" w:hAnsi="Garamond"/>
        </w:rPr>
      </w:pPr>
      <w:r w:rsidRPr="004A0C12">
        <w:rPr>
          <w:rFonts w:ascii="Garamond" w:hAnsi="Garamond"/>
        </w:rPr>
        <w:lastRenderedPageBreak/>
        <w:t>Provision of job shadowing opportunities for Masters level students in their first year</w:t>
      </w:r>
    </w:p>
    <w:p w14:paraId="05C53918" w14:textId="4D610169" w:rsidR="007A1FDC" w:rsidRPr="004A0C12" w:rsidRDefault="007A1FDC" w:rsidP="00232F09">
      <w:pPr>
        <w:widowControl w:val="0"/>
        <w:numPr>
          <w:ilvl w:val="0"/>
          <w:numId w:val="144"/>
        </w:numPr>
        <w:tabs>
          <w:tab w:val="clear" w:pos="360"/>
          <w:tab w:val="num" w:pos="1080"/>
        </w:tabs>
        <w:spacing w:after="0" w:line="240" w:lineRule="auto"/>
        <w:ind w:left="1080" w:hanging="360"/>
        <w:contextualSpacing/>
        <w:jc w:val="both"/>
        <w:rPr>
          <w:rFonts w:ascii="Garamond" w:hAnsi="Garamond"/>
        </w:rPr>
      </w:pPr>
      <w:r w:rsidRPr="004A0C12">
        <w:rPr>
          <w:rFonts w:ascii="Garamond" w:hAnsi="Garamond"/>
        </w:rPr>
        <w:t>Provision of internship opportunities in the comprehensive rehabilitation facility and field offices</w:t>
      </w:r>
      <w:r w:rsidR="00D37A1D" w:rsidRPr="004A0C12">
        <w:rPr>
          <w:rFonts w:ascii="Garamond" w:hAnsi="Garamond"/>
        </w:rPr>
        <w:t>;</w:t>
      </w:r>
    </w:p>
    <w:p w14:paraId="7A2BF008" w14:textId="7FD4A7A3" w:rsidR="007A1FDC" w:rsidRPr="004A0C12" w:rsidRDefault="007A1FDC" w:rsidP="00232F09">
      <w:pPr>
        <w:widowControl w:val="0"/>
        <w:numPr>
          <w:ilvl w:val="0"/>
          <w:numId w:val="144"/>
        </w:numPr>
        <w:tabs>
          <w:tab w:val="clear" w:pos="360"/>
          <w:tab w:val="num" w:pos="1080"/>
        </w:tabs>
        <w:spacing w:after="0" w:line="240" w:lineRule="auto"/>
        <w:ind w:left="1080" w:hanging="360"/>
        <w:contextualSpacing/>
        <w:jc w:val="both"/>
        <w:rPr>
          <w:rFonts w:ascii="Garamond" w:hAnsi="Garamond"/>
        </w:rPr>
      </w:pPr>
      <w:r w:rsidRPr="004A0C12">
        <w:rPr>
          <w:rFonts w:ascii="Garamond" w:hAnsi="Garamond"/>
        </w:rPr>
        <w:t>Staff presentations to students and classes about the public rehabilitation program</w:t>
      </w:r>
    </w:p>
    <w:p w14:paraId="02A46A75" w14:textId="1C3025C2" w:rsidR="007A1FDC" w:rsidRPr="004A0C12" w:rsidRDefault="007A1FDC" w:rsidP="00232F09">
      <w:pPr>
        <w:widowControl w:val="0"/>
        <w:numPr>
          <w:ilvl w:val="0"/>
          <w:numId w:val="144"/>
        </w:numPr>
        <w:tabs>
          <w:tab w:val="clear" w:pos="360"/>
          <w:tab w:val="num" w:pos="1080"/>
        </w:tabs>
        <w:spacing w:after="0" w:line="240" w:lineRule="auto"/>
        <w:ind w:left="1080" w:hanging="360"/>
        <w:contextualSpacing/>
        <w:jc w:val="both"/>
        <w:rPr>
          <w:rFonts w:ascii="Garamond" w:hAnsi="Garamond"/>
        </w:rPr>
      </w:pPr>
      <w:r w:rsidRPr="004A0C12">
        <w:rPr>
          <w:rFonts w:ascii="Garamond" w:hAnsi="Garamond"/>
        </w:rPr>
        <w:t>Collaboration with the Maryland Rehabilitation Association training committee to provide on-going in-service training opportunities to current and prospective staff</w:t>
      </w:r>
    </w:p>
    <w:p w14:paraId="7894AE3E" w14:textId="3FA23C21" w:rsidR="007A1FDC" w:rsidRPr="004A0C12" w:rsidRDefault="007A1FDC" w:rsidP="00232F09">
      <w:pPr>
        <w:widowControl w:val="0"/>
        <w:numPr>
          <w:ilvl w:val="0"/>
          <w:numId w:val="144"/>
        </w:numPr>
        <w:tabs>
          <w:tab w:val="clear" w:pos="360"/>
          <w:tab w:val="num" w:pos="1080"/>
        </w:tabs>
        <w:spacing w:after="0" w:line="240" w:lineRule="auto"/>
        <w:ind w:left="1080" w:hanging="360"/>
        <w:contextualSpacing/>
        <w:jc w:val="both"/>
        <w:rPr>
          <w:rFonts w:ascii="Garamond" w:hAnsi="Garamond"/>
        </w:rPr>
      </w:pPr>
      <w:r w:rsidRPr="004A0C12">
        <w:rPr>
          <w:rFonts w:ascii="Garamond" w:hAnsi="Garamond"/>
        </w:rPr>
        <w:t>Maintain effective partnership with historically black institutions to assure sufficient number of applicants for state agency job vacancies</w:t>
      </w:r>
      <w:r w:rsidR="00D37A1D" w:rsidRPr="004A0C12">
        <w:rPr>
          <w:rFonts w:ascii="Garamond" w:hAnsi="Garamond"/>
        </w:rPr>
        <w:t>,</w:t>
      </w:r>
      <w:r w:rsidRPr="004A0C12">
        <w:rPr>
          <w:rFonts w:ascii="Garamond" w:hAnsi="Garamond"/>
        </w:rPr>
        <w:t xml:space="preserve"> so that the workforce reflects the composit</w:t>
      </w:r>
      <w:r w:rsidR="00D37A1D" w:rsidRPr="004A0C12">
        <w:rPr>
          <w:rFonts w:ascii="Garamond" w:hAnsi="Garamond"/>
        </w:rPr>
        <w:t>ion of the S</w:t>
      </w:r>
      <w:r w:rsidRPr="004A0C12">
        <w:rPr>
          <w:rFonts w:ascii="Garamond" w:hAnsi="Garamond"/>
        </w:rPr>
        <w:t>tate</w:t>
      </w:r>
    </w:p>
    <w:p w14:paraId="7AED7303" w14:textId="628189FD" w:rsidR="007A1FDC" w:rsidRPr="004A0C12" w:rsidRDefault="007A1FDC" w:rsidP="00232F09">
      <w:pPr>
        <w:widowControl w:val="0"/>
        <w:numPr>
          <w:ilvl w:val="0"/>
          <w:numId w:val="144"/>
        </w:numPr>
        <w:tabs>
          <w:tab w:val="clear" w:pos="360"/>
          <w:tab w:val="num" w:pos="1080"/>
        </w:tabs>
        <w:spacing w:after="0" w:line="240" w:lineRule="auto"/>
        <w:ind w:left="1080" w:hanging="360"/>
        <w:contextualSpacing/>
        <w:jc w:val="both"/>
        <w:rPr>
          <w:rFonts w:ascii="Garamond" w:hAnsi="Garamond"/>
        </w:rPr>
      </w:pPr>
      <w:r w:rsidRPr="004A0C12">
        <w:rPr>
          <w:rFonts w:ascii="Garamond" w:hAnsi="Garamond"/>
        </w:rPr>
        <w:t>To support retention of staff and succession planning, collaborate with university, professional association and the National Rehabilitation Leadership Institute partners to provide on-going mentoring and leadership activities</w:t>
      </w:r>
      <w:r w:rsidR="00D37A1D" w:rsidRPr="004A0C12">
        <w:rPr>
          <w:rFonts w:ascii="Garamond" w:hAnsi="Garamond"/>
        </w:rPr>
        <w:t>.</w:t>
      </w:r>
      <w:r w:rsidRPr="004A0C12">
        <w:rPr>
          <w:rFonts w:ascii="Garamond" w:hAnsi="Garamond"/>
        </w:rPr>
        <w:t xml:space="preserve"> </w:t>
      </w:r>
    </w:p>
    <w:p w14:paraId="02623FFE" w14:textId="77777777" w:rsidR="007A1FDC" w:rsidRPr="00C0180F" w:rsidRDefault="007A1FDC" w:rsidP="00431254">
      <w:pPr>
        <w:pStyle w:val="Heading3"/>
        <w:rPr>
          <w:rFonts w:ascii="Garamond" w:hAnsi="Garamond"/>
          <w:sz w:val="24"/>
          <w:szCs w:val="24"/>
        </w:rPr>
      </w:pPr>
      <w:bookmarkStart w:id="206" w:name="_Toc447276233"/>
      <w:r w:rsidRPr="00C0180F">
        <w:rPr>
          <w:rFonts w:ascii="Garamond" w:hAnsi="Garamond"/>
          <w:sz w:val="24"/>
          <w:szCs w:val="24"/>
        </w:rPr>
        <w:t>Personnel Standards</w:t>
      </w:r>
      <w:bookmarkEnd w:id="206"/>
      <w:r w:rsidRPr="00C0180F">
        <w:rPr>
          <w:rFonts w:ascii="Garamond" w:hAnsi="Garamond"/>
          <w:sz w:val="24"/>
          <w:szCs w:val="24"/>
        </w:rPr>
        <w:t xml:space="preserve"> </w:t>
      </w:r>
    </w:p>
    <w:p w14:paraId="68F8D5F6" w14:textId="5E0392AF" w:rsidR="00AE1868" w:rsidRPr="004A0C12" w:rsidRDefault="007A1FDC" w:rsidP="005C4041">
      <w:pPr>
        <w:widowControl w:val="0"/>
        <w:spacing w:after="0" w:line="240" w:lineRule="auto"/>
        <w:contextualSpacing/>
        <w:jc w:val="both"/>
        <w:rPr>
          <w:rFonts w:ascii="Garamond" w:hAnsi="Garamond"/>
        </w:rPr>
      </w:pPr>
      <w:r w:rsidRPr="004A0C12">
        <w:rPr>
          <w:rFonts w:ascii="Garamond" w:hAnsi="Garamond"/>
        </w:rPr>
        <w:t xml:space="preserve">DORS has policies and procedures in place related to personnel standards to ensure that designated state unit professional and paraprofessional personnel are adequately trained and prepared, </w:t>
      </w:r>
      <w:r w:rsidR="00002A9C" w:rsidRPr="004A0C12">
        <w:rPr>
          <w:rFonts w:ascii="Garamond" w:hAnsi="Garamond"/>
          <w:color w:val="000000"/>
        </w:rPr>
        <w:t xml:space="preserve">and that they have an understanding of the labor force and the needs of individuals with disabilities, </w:t>
      </w:r>
      <w:r w:rsidRPr="004A0C12">
        <w:rPr>
          <w:rFonts w:ascii="Garamond" w:hAnsi="Garamond"/>
        </w:rPr>
        <w:t xml:space="preserve">including: </w:t>
      </w:r>
    </w:p>
    <w:p w14:paraId="30A69AFF" w14:textId="77777777" w:rsidR="005C4041" w:rsidRPr="004A0C12" w:rsidRDefault="005C4041" w:rsidP="005C4041">
      <w:pPr>
        <w:widowControl w:val="0"/>
        <w:spacing w:after="0" w:line="240" w:lineRule="auto"/>
        <w:contextualSpacing/>
        <w:jc w:val="both"/>
        <w:rPr>
          <w:rFonts w:ascii="Garamond" w:hAnsi="Garamond"/>
        </w:rPr>
      </w:pPr>
    </w:p>
    <w:p w14:paraId="2CA46FCC" w14:textId="77777777" w:rsidR="00C76447" w:rsidRPr="004A0C12" w:rsidRDefault="007A1FDC" w:rsidP="00232F09">
      <w:pPr>
        <w:pStyle w:val="ListParagraph"/>
        <w:widowControl w:val="0"/>
        <w:numPr>
          <w:ilvl w:val="0"/>
          <w:numId w:val="215"/>
        </w:numPr>
        <w:contextualSpacing/>
        <w:jc w:val="both"/>
        <w:rPr>
          <w:rFonts w:ascii="Garamond" w:hAnsi="Garamond"/>
          <w:szCs w:val="22"/>
        </w:rPr>
      </w:pPr>
      <w:r w:rsidRPr="004A0C12">
        <w:rPr>
          <w:rFonts w:ascii="Garamond" w:hAnsi="Garamond"/>
          <w:szCs w:val="22"/>
        </w:rPr>
        <w:t>Standards for hiring vocational rehabilitation specialists/rehabilitation counselors are consistent with standards in Maryland law, Labor and Employment Article which specify that rehabilitation counselors “have a bachelor’s degree from an accredited institution in rehabilitation counseling, human services, psychology, or a related field with at least 1 year of work experience in a human s</w:t>
      </w:r>
      <w:r w:rsidR="00AE1868" w:rsidRPr="004A0C12">
        <w:rPr>
          <w:rFonts w:ascii="Garamond" w:hAnsi="Garamond"/>
          <w:szCs w:val="22"/>
        </w:rPr>
        <w:t xml:space="preserve">ervices occupation.” §9-6A-09. </w:t>
      </w:r>
      <w:r w:rsidRPr="004A0C12">
        <w:rPr>
          <w:rFonts w:ascii="Garamond" w:hAnsi="Garamond"/>
          <w:szCs w:val="22"/>
        </w:rPr>
        <w:t>DORS considers related fields to include rehabilitation – career assessment, rehabilitation – employer services, education, deaf education, social work, psychology, human services, blind and vision services, employment/career counseli</w:t>
      </w:r>
      <w:r w:rsidR="00C76447" w:rsidRPr="004A0C12">
        <w:rPr>
          <w:rFonts w:ascii="Garamond" w:hAnsi="Garamond"/>
          <w:szCs w:val="22"/>
        </w:rPr>
        <w:t xml:space="preserve">ng, and community counseling. </w:t>
      </w:r>
    </w:p>
    <w:p w14:paraId="13EEF4BA" w14:textId="297D6E16" w:rsidR="00C76447" w:rsidRPr="004A0C12" w:rsidRDefault="007A1FDC" w:rsidP="00232F09">
      <w:pPr>
        <w:pStyle w:val="ListParagraph"/>
        <w:widowControl w:val="0"/>
        <w:numPr>
          <w:ilvl w:val="0"/>
          <w:numId w:val="215"/>
        </w:numPr>
        <w:contextualSpacing/>
        <w:jc w:val="both"/>
        <w:rPr>
          <w:rFonts w:ascii="Garamond" w:hAnsi="Garamond"/>
          <w:szCs w:val="22"/>
        </w:rPr>
      </w:pPr>
      <w:r w:rsidRPr="004A0C12">
        <w:rPr>
          <w:rFonts w:ascii="Garamond" w:hAnsi="Garamond"/>
          <w:szCs w:val="22"/>
        </w:rPr>
        <w:t>Specific time period by which all state unit personne</w:t>
      </w:r>
      <w:r w:rsidR="00AE1868" w:rsidRPr="004A0C12">
        <w:rPr>
          <w:rFonts w:ascii="Garamond" w:hAnsi="Garamond"/>
          <w:szCs w:val="22"/>
        </w:rPr>
        <w:t>l will meet t</w:t>
      </w:r>
      <w:r w:rsidR="00C76447" w:rsidRPr="004A0C12">
        <w:rPr>
          <w:rFonts w:ascii="Garamond" w:hAnsi="Garamond"/>
          <w:szCs w:val="22"/>
        </w:rPr>
        <w:t>he</w:t>
      </w:r>
      <w:r w:rsidR="00AE1868" w:rsidRPr="004A0C12">
        <w:rPr>
          <w:rFonts w:ascii="Garamond" w:hAnsi="Garamond"/>
          <w:szCs w:val="22"/>
        </w:rPr>
        <w:t xml:space="preserve"> </w:t>
      </w:r>
      <w:r w:rsidR="00C76447" w:rsidRPr="004A0C12">
        <w:rPr>
          <w:rFonts w:ascii="Garamond" w:hAnsi="Garamond"/>
          <w:szCs w:val="22"/>
        </w:rPr>
        <w:t>Comprehensive System of Personnel Development standard:</w:t>
      </w:r>
      <w:r w:rsidR="00DE2F04" w:rsidRPr="004A0C12">
        <w:rPr>
          <w:rFonts w:ascii="Garamond" w:hAnsi="Garamond"/>
          <w:szCs w:val="22"/>
        </w:rPr>
        <w:t xml:space="preserve"> </w:t>
      </w:r>
      <w:r w:rsidR="00C76447" w:rsidRPr="004A0C12">
        <w:rPr>
          <w:rFonts w:ascii="Garamond" w:hAnsi="Garamond"/>
          <w:szCs w:val="22"/>
        </w:rPr>
        <w:t>For 2014, 100 percent</w:t>
      </w:r>
      <w:r w:rsidRPr="004A0C12">
        <w:rPr>
          <w:rFonts w:ascii="Garamond" w:hAnsi="Garamond"/>
          <w:szCs w:val="22"/>
        </w:rPr>
        <w:t xml:space="preserve"> of DORS VR specialists/rehabi</w:t>
      </w:r>
      <w:r w:rsidR="00C76447" w:rsidRPr="004A0C12">
        <w:rPr>
          <w:rFonts w:ascii="Garamond" w:hAnsi="Garamond"/>
          <w:szCs w:val="22"/>
        </w:rPr>
        <w:t>litation counselors met the Comprehensive System of Personnel Development</w:t>
      </w:r>
      <w:r w:rsidRPr="004A0C12">
        <w:rPr>
          <w:rFonts w:ascii="Garamond" w:hAnsi="Garamond"/>
          <w:szCs w:val="22"/>
        </w:rPr>
        <w:t xml:space="preserve"> standard of a bachelor’s degree and a year of experience. No one is hired for such positions with less than a bachelor’s degree.</w:t>
      </w:r>
      <w:r w:rsidR="00C76447" w:rsidRPr="004A0C12">
        <w:rPr>
          <w:rFonts w:ascii="Garamond" w:hAnsi="Garamond"/>
          <w:szCs w:val="22"/>
        </w:rPr>
        <w:t xml:space="preserve"> </w:t>
      </w:r>
    </w:p>
    <w:p w14:paraId="43016B98" w14:textId="77777777" w:rsidR="00DE2F04" w:rsidRPr="004A0C12" w:rsidRDefault="007A1FDC" w:rsidP="00232F09">
      <w:pPr>
        <w:pStyle w:val="ListParagraph"/>
        <w:widowControl w:val="0"/>
        <w:numPr>
          <w:ilvl w:val="0"/>
          <w:numId w:val="215"/>
        </w:numPr>
        <w:contextualSpacing/>
        <w:jc w:val="both"/>
        <w:rPr>
          <w:rFonts w:ascii="Garamond" w:hAnsi="Garamond"/>
          <w:szCs w:val="22"/>
        </w:rPr>
      </w:pPr>
      <w:r w:rsidRPr="004A0C12">
        <w:rPr>
          <w:rFonts w:ascii="Garamond" w:hAnsi="Garamond"/>
          <w:szCs w:val="22"/>
        </w:rPr>
        <w:t>Standards for achievement of journeyman counselor status include a master’s</w:t>
      </w:r>
      <w:r w:rsidR="00C76447" w:rsidRPr="004A0C12">
        <w:rPr>
          <w:rFonts w:ascii="Garamond" w:hAnsi="Garamond"/>
          <w:szCs w:val="22"/>
        </w:rPr>
        <w:t xml:space="preserve"> degree. </w:t>
      </w:r>
      <w:r w:rsidRPr="004A0C12">
        <w:rPr>
          <w:rFonts w:ascii="Garamond" w:hAnsi="Garamond"/>
          <w:szCs w:val="22"/>
        </w:rPr>
        <w:t xml:space="preserve">DORS requires that vocational rehabilitation specialists considered for promotion to rehabilitation technical specialist (the highest level of rehabilitation counseling) have a master’s degree in rehabilitation counseling or a closely related field, which may include rehabilitation – career assessment, rehabilitation – employer services, education, deaf education, social work, psychology, human services, blind and vision services, employment/career counseling, and community counseling.  DORS provides technical assistance in career development for staff, and facilitates staff application for Rehabilitation Services Administration scholarships and also provides tuition reimbursement to support staff in achieving required credentials. These education and experience requirements ensure that personnel have current understanding of the labor force and the needs of </w:t>
      </w:r>
      <w:r w:rsidR="00DE2F04" w:rsidRPr="004A0C12">
        <w:rPr>
          <w:rFonts w:ascii="Garamond" w:hAnsi="Garamond"/>
          <w:szCs w:val="22"/>
        </w:rPr>
        <w:t>individuals with disabilities.</w:t>
      </w:r>
    </w:p>
    <w:p w14:paraId="310B6EAC" w14:textId="77777777" w:rsidR="00DE2F04" w:rsidRPr="004A0C12" w:rsidRDefault="007A1FDC" w:rsidP="00232F09">
      <w:pPr>
        <w:pStyle w:val="ListParagraph"/>
        <w:widowControl w:val="0"/>
        <w:numPr>
          <w:ilvl w:val="0"/>
          <w:numId w:val="215"/>
        </w:numPr>
        <w:contextualSpacing/>
        <w:jc w:val="both"/>
        <w:rPr>
          <w:rFonts w:ascii="Garamond" w:hAnsi="Garamond"/>
          <w:szCs w:val="22"/>
        </w:rPr>
      </w:pPr>
      <w:r w:rsidRPr="004A0C12">
        <w:rPr>
          <w:rFonts w:ascii="Garamond" w:hAnsi="Garamond"/>
          <w:szCs w:val="22"/>
        </w:rPr>
        <w:t>DORS encourages and supports through reimbursement of initial certification fees, achievement of Certified Rehabilitation Counselor certific</w:t>
      </w:r>
      <w:r w:rsidR="00DE2F04" w:rsidRPr="004A0C12">
        <w:rPr>
          <w:rFonts w:ascii="Garamond" w:hAnsi="Garamond"/>
          <w:szCs w:val="22"/>
        </w:rPr>
        <w:t>ation, but does not require it.</w:t>
      </w:r>
    </w:p>
    <w:p w14:paraId="0D58CB7A" w14:textId="0E89EB74" w:rsidR="007A1FDC" w:rsidRPr="004A0C12" w:rsidRDefault="007A1FDC" w:rsidP="00232F09">
      <w:pPr>
        <w:pStyle w:val="ListParagraph"/>
        <w:widowControl w:val="0"/>
        <w:numPr>
          <w:ilvl w:val="0"/>
          <w:numId w:val="215"/>
        </w:numPr>
        <w:contextualSpacing/>
        <w:jc w:val="both"/>
        <w:rPr>
          <w:rFonts w:ascii="Garamond" w:hAnsi="Garamond"/>
          <w:szCs w:val="22"/>
        </w:rPr>
      </w:pPr>
      <w:r w:rsidRPr="004A0C12">
        <w:rPr>
          <w:rFonts w:ascii="Garamond" w:hAnsi="Garamond"/>
          <w:szCs w:val="22"/>
        </w:rPr>
        <w:t xml:space="preserve">Paraprofessional personnel must meet standards of their specific position in the classified service according to position descriptions developed and updated by the Maryland State Department of Education Personnel Office and the Maryland Department of Personnel.  </w:t>
      </w:r>
    </w:p>
    <w:p w14:paraId="1491B090" w14:textId="5B7F9F3C" w:rsidR="00FF44FF" w:rsidRPr="00C0180F" w:rsidRDefault="007A1FDC" w:rsidP="00FF44FF">
      <w:pPr>
        <w:pStyle w:val="Heading3"/>
        <w:rPr>
          <w:rFonts w:ascii="Garamond" w:hAnsi="Garamond"/>
          <w:sz w:val="24"/>
          <w:szCs w:val="24"/>
        </w:rPr>
      </w:pPr>
      <w:bookmarkStart w:id="207" w:name="_Toc447276234"/>
      <w:r w:rsidRPr="00C0180F">
        <w:rPr>
          <w:rFonts w:ascii="Garamond" w:hAnsi="Garamond"/>
          <w:sz w:val="24"/>
          <w:szCs w:val="24"/>
        </w:rPr>
        <w:t>Staff Development</w:t>
      </w:r>
      <w:bookmarkEnd w:id="207"/>
    </w:p>
    <w:p w14:paraId="3B1A7727" w14:textId="426E17BE" w:rsidR="007A1FDC" w:rsidRPr="004A0C12" w:rsidRDefault="007A1FDC" w:rsidP="007A1FDC">
      <w:pPr>
        <w:spacing w:after="0" w:line="240" w:lineRule="auto"/>
        <w:jc w:val="both"/>
        <w:rPr>
          <w:rFonts w:ascii="Garamond" w:hAnsi="Garamond"/>
        </w:rPr>
      </w:pPr>
      <w:r w:rsidRPr="004A0C12">
        <w:rPr>
          <w:rFonts w:ascii="Garamond" w:hAnsi="Garamond"/>
        </w:rPr>
        <w:t>D</w:t>
      </w:r>
      <w:r w:rsidR="00FF44FF" w:rsidRPr="004A0C12">
        <w:rPr>
          <w:rFonts w:ascii="Garamond" w:hAnsi="Garamond"/>
        </w:rPr>
        <w:t>ORS System of Staff Development</w:t>
      </w:r>
    </w:p>
    <w:p w14:paraId="0159D76F" w14:textId="77777777" w:rsidR="007A1FDC" w:rsidRPr="004A0C12" w:rsidRDefault="007A1FDC" w:rsidP="007A1FDC">
      <w:pPr>
        <w:spacing w:after="0" w:line="240" w:lineRule="auto"/>
        <w:jc w:val="both"/>
        <w:rPr>
          <w:rFonts w:ascii="Garamond" w:hAnsi="Garamond"/>
        </w:rPr>
      </w:pPr>
      <w:r w:rsidRPr="004A0C12">
        <w:rPr>
          <w:rFonts w:ascii="Garamond" w:hAnsi="Garamond"/>
        </w:rPr>
        <w:t>The Division maintains a system of staff development for staff professionals and paraprofessionals that includes the identification of training needs, developing policies and procedures, and conducting training activities.</w:t>
      </w:r>
      <w:r w:rsidRPr="004A0C12">
        <w:rPr>
          <w:rFonts w:ascii="Garamond" w:hAnsi="Garamond"/>
        </w:rPr>
        <w:cr/>
      </w:r>
    </w:p>
    <w:p w14:paraId="6EAA5CA4" w14:textId="708CE0C8" w:rsidR="007A1FDC" w:rsidRPr="004A0C12" w:rsidRDefault="007A1FDC" w:rsidP="007A1FDC">
      <w:pPr>
        <w:spacing w:after="0" w:line="240" w:lineRule="auto"/>
        <w:jc w:val="both"/>
        <w:rPr>
          <w:rFonts w:ascii="Garamond" w:hAnsi="Garamond"/>
        </w:rPr>
      </w:pPr>
      <w:r w:rsidRPr="004A0C12">
        <w:rPr>
          <w:rFonts w:ascii="Garamond" w:hAnsi="Garamond"/>
        </w:rPr>
        <w:t>Training needs are identified based upon results of a variety of assessment instruments and methods which include: (1) the organizational Planning Process in which training areas are determined by the initiatives identified in the Divisio</w:t>
      </w:r>
      <w:r w:rsidR="00B27F1C" w:rsidRPr="004A0C12">
        <w:rPr>
          <w:rFonts w:ascii="Garamond" w:hAnsi="Garamond"/>
        </w:rPr>
        <w:t xml:space="preserve">n’s five year Strategic Plan, the </w:t>
      </w:r>
      <w:r w:rsidRPr="004A0C12">
        <w:rPr>
          <w:rFonts w:ascii="Garamond" w:hAnsi="Garamond"/>
        </w:rPr>
        <w:t>Annual Program Plan</w:t>
      </w:r>
      <w:r w:rsidR="00B27F1C" w:rsidRPr="004A0C12">
        <w:rPr>
          <w:rFonts w:ascii="Garamond" w:hAnsi="Garamond"/>
        </w:rPr>
        <w:t>, and the Maryland WIOA State Plan</w:t>
      </w:r>
      <w:r w:rsidRPr="004A0C12">
        <w:rPr>
          <w:rFonts w:ascii="Garamond" w:hAnsi="Garamond"/>
        </w:rPr>
        <w:t>; (2) DORS Performance Appraisal</w:t>
      </w:r>
      <w:r w:rsidR="00DE2F04" w:rsidRPr="004A0C12">
        <w:rPr>
          <w:rFonts w:ascii="Garamond" w:hAnsi="Garamond"/>
        </w:rPr>
        <w:t>,</w:t>
      </w:r>
      <w:r w:rsidRPr="004A0C12">
        <w:rPr>
          <w:rFonts w:ascii="Garamond" w:hAnsi="Garamond"/>
        </w:rPr>
        <w:t xml:space="preserve"> which allows each professional employee and the employee’s supervisor to identify on a semi-annual basis training needs and </w:t>
      </w:r>
      <w:r w:rsidR="00DE2F04" w:rsidRPr="004A0C12">
        <w:rPr>
          <w:rFonts w:ascii="Garamond" w:hAnsi="Garamond"/>
        </w:rPr>
        <w:t xml:space="preserve">to </w:t>
      </w:r>
      <w:r w:rsidRPr="004A0C12">
        <w:rPr>
          <w:rFonts w:ascii="Garamond" w:hAnsi="Garamond"/>
        </w:rPr>
        <w:t xml:space="preserve">develop a plan to assist the employee to meet the essential functions of their position as reflected </w:t>
      </w:r>
      <w:r w:rsidR="00DE2F04" w:rsidRPr="004A0C12">
        <w:rPr>
          <w:rFonts w:ascii="Garamond" w:hAnsi="Garamond"/>
        </w:rPr>
        <w:t xml:space="preserve">in their position description. </w:t>
      </w:r>
      <w:r w:rsidRPr="004A0C12">
        <w:rPr>
          <w:rFonts w:ascii="Garamond" w:hAnsi="Garamond"/>
        </w:rPr>
        <w:t xml:space="preserve">These needs are </w:t>
      </w:r>
      <w:r w:rsidRPr="004A0C12">
        <w:rPr>
          <w:rFonts w:ascii="Garamond" w:hAnsi="Garamond"/>
        </w:rPr>
        <w:lastRenderedPageBreak/>
        <w:t>shared with the Staff Development Specialist and training needs are prioritized, developed, implemented</w:t>
      </w:r>
      <w:r w:rsidR="00DE2F04" w:rsidRPr="004A0C12">
        <w:rPr>
          <w:rFonts w:ascii="Garamond" w:hAnsi="Garamond"/>
        </w:rPr>
        <w:t>,</w:t>
      </w:r>
      <w:r w:rsidRPr="004A0C12">
        <w:rPr>
          <w:rFonts w:ascii="Garamond" w:hAnsi="Garamond"/>
        </w:rPr>
        <w:t xml:space="preserve"> and/or coordinated based on the results of the information; (3) Program Evaluation:  Areas of need are identified by the DORS program evaluator, through the case review p</w:t>
      </w:r>
      <w:r w:rsidR="00DE2F04" w:rsidRPr="004A0C12">
        <w:rPr>
          <w:rFonts w:ascii="Garamond" w:hAnsi="Garamond"/>
        </w:rPr>
        <w:t xml:space="preserve">rocess and the RSA 107 review; </w:t>
      </w:r>
      <w:r w:rsidRPr="004A0C12">
        <w:rPr>
          <w:rFonts w:ascii="Garamond" w:hAnsi="Garamond"/>
        </w:rPr>
        <w:t xml:space="preserve">(4) The triennial comprehensive assessment of the needs of individuals with disabilities, included as Attachment 4.11 (a); (5) Division’s Policy Review Committee, the State Rehabilitation Council (SRC), and annual public meetings provide feedback and a continuous evaluation component identifying needs which can be addressed and/or alleviated by training which are submitted to the Staff Development </w:t>
      </w:r>
      <w:r w:rsidR="00DE2F04" w:rsidRPr="004A0C12">
        <w:rPr>
          <w:rFonts w:ascii="Garamond" w:hAnsi="Garamond"/>
        </w:rPr>
        <w:t xml:space="preserve">Office for appropriate action; </w:t>
      </w:r>
      <w:r w:rsidRPr="004A0C12">
        <w:rPr>
          <w:rFonts w:ascii="Garamond" w:hAnsi="Garamond"/>
        </w:rPr>
        <w:t>(6) Individu</w:t>
      </w:r>
      <w:r w:rsidR="00DE2F04" w:rsidRPr="004A0C12">
        <w:rPr>
          <w:rFonts w:ascii="Garamond" w:hAnsi="Garamond"/>
        </w:rPr>
        <w:t>al Staff Training Needs Survey:</w:t>
      </w:r>
      <w:r w:rsidRPr="004A0C12">
        <w:rPr>
          <w:rFonts w:ascii="Garamond" w:hAnsi="Garamond"/>
        </w:rPr>
        <w:t xml:space="preserve"> A training needs assessment questionnaire is distri</w:t>
      </w:r>
      <w:r w:rsidR="00DE2F04" w:rsidRPr="004A0C12">
        <w:rPr>
          <w:rFonts w:ascii="Garamond" w:hAnsi="Garamond"/>
        </w:rPr>
        <w:t>buted to all staff annually.</w:t>
      </w:r>
      <w:r w:rsidRPr="004A0C12">
        <w:rPr>
          <w:rFonts w:ascii="Garamond" w:hAnsi="Garamond"/>
        </w:rPr>
        <w:t xml:space="preserve"> The results are tabulated and categorized to prepare for individual and/or group training programs. </w:t>
      </w:r>
      <w:r w:rsidRPr="004A0C12">
        <w:rPr>
          <w:rFonts w:ascii="Garamond" w:hAnsi="Garamond"/>
        </w:rPr>
        <w:cr/>
      </w:r>
    </w:p>
    <w:p w14:paraId="18B0FCF0" w14:textId="767EF844" w:rsidR="007A1FDC" w:rsidRPr="004A0C12" w:rsidRDefault="007A1FDC" w:rsidP="007A1FDC">
      <w:pPr>
        <w:spacing w:after="0" w:line="240" w:lineRule="auto"/>
        <w:jc w:val="both"/>
        <w:rPr>
          <w:rFonts w:ascii="Garamond" w:hAnsi="Garamond"/>
        </w:rPr>
      </w:pPr>
      <w:r w:rsidRPr="004A0C12">
        <w:rPr>
          <w:rFonts w:ascii="Garamond" w:hAnsi="Garamond"/>
        </w:rPr>
        <w:t>Policies and Procedures for staff development activities are maintained in the Division</w:t>
      </w:r>
      <w:r w:rsidR="00DE2F04" w:rsidRPr="004A0C12">
        <w:rPr>
          <w:rFonts w:ascii="Garamond" w:hAnsi="Garamond"/>
        </w:rPr>
        <w:t>’</w:t>
      </w:r>
      <w:r w:rsidRPr="004A0C12">
        <w:rPr>
          <w:rFonts w:ascii="Garamond" w:hAnsi="Garamond"/>
        </w:rPr>
        <w:t>s Rehabilitation Services Manual I, Administrative Manual, section 700, as well as the Staff Development Site on InDORS, the Division’s intranet which allows staff to access information on policies and procedures for in-service training opportunities, tuition reimbursement, reimbursement for fees related to achievement and maintenance of CRC credentials, mentoring and leadership activities, and provides a training calendar with links to brochures and registration information.</w:t>
      </w:r>
      <w:r w:rsidR="00431254" w:rsidRPr="004A0C12">
        <w:rPr>
          <w:rFonts w:ascii="Garamond" w:hAnsi="Garamond"/>
        </w:rPr>
        <w:t xml:space="preserve">  </w:t>
      </w:r>
    </w:p>
    <w:p w14:paraId="58E43DDB" w14:textId="77777777" w:rsidR="007A1FDC" w:rsidRPr="00C0180F" w:rsidRDefault="007A1FDC" w:rsidP="00431254">
      <w:pPr>
        <w:pStyle w:val="Heading3"/>
        <w:rPr>
          <w:rFonts w:ascii="Garamond" w:hAnsi="Garamond"/>
          <w:sz w:val="24"/>
          <w:szCs w:val="24"/>
        </w:rPr>
      </w:pPr>
      <w:bookmarkStart w:id="208" w:name="_Toc447276235"/>
      <w:r w:rsidRPr="00C0180F">
        <w:rPr>
          <w:rFonts w:ascii="Garamond" w:hAnsi="Garamond"/>
          <w:sz w:val="24"/>
          <w:szCs w:val="24"/>
        </w:rPr>
        <w:t>Training Activities</w:t>
      </w:r>
      <w:bookmarkEnd w:id="208"/>
    </w:p>
    <w:p w14:paraId="10EF91D3" w14:textId="77777777" w:rsidR="00DE2F04" w:rsidRPr="004A0C12" w:rsidRDefault="007A1FDC" w:rsidP="007A1FDC">
      <w:pPr>
        <w:widowControl w:val="0"/>
        <w:spacing w:after="0" w:line="240" w:lineRule="auto"/>
        <w:jc w:val="both"/>
        <w:rPr>
          <w:rFonts w:ascii="Garamond" w:hAnsi="Garamond"/>
        </w:rPr>
      </w:pPr>
      <w:r w:rsidRPr="004A0C12">
        <w:rPr>
          <w:rFonts w:ascii="Garamond" w:hAnsi="Garamond"/>
        </w:rPr>
        <w:t xml:space="preserve">The Staff Development program identifies training needs from </w:t>
      </w:r>
      <w:r w:rsidR="00DE2F04" w:rsidRPr="004A0C12">
        <w:rPr>
          <w:rFonts w:ascii="Garamond" w:hAnsi="Garamond"/>
        </w:rPr>
        <w:t xml:space="preserve">surveys and sources noted above, and it </w:t>
      </w:r>
      <w:r w:rsidRPr="004A0C12">
        <w:rPr>
          <w:rFonts w:ascii="Garamond" w:hAnsi="Garamond"/>
        </w:rPr>
        <w:t>develops and provides training to professional and paraprofessional staff through quarterly, annual, and customized training activities</w:t>
      </w:r>
      <w:r w:rsidR="00DE2F04" w:rsidRPr="004A0C12">
        <w:rPr>
          <w:rFonts w:ascii="Garamond" w:hAnsi="Garamond"/>
        </w:rPr>
        <w:t xml:space="preserve">, which include the following:  </w:t>
      </w:r>
    </w:p>
    <w:p w14:paraId="3528080D" w14:textId="77777777" w:rsidR="00DE2F04" w:rsidRPr="004A0C12" w:rsidRDefault="007A1FDC" w:rsidP="00232F09">
      <w:pPr>
        <w:pStyle w:val="ListParagraph"/>
        <w:widowControl w:val="0"/>
        <w:numPr>
          <w:ilvl w:val="0"/>
          <w:numId w:val="216"/>
        </w:numPr>
        <w:jc w:val="both"/>
        <w:rPr>
          <w:rFonts w:ascii="Garamond" w:hAnsi="Garamond"/>
          <w:szCs w:val="22"/>
        </w:rPr>
      </w:pPr>
      <w:r w:rsidRPr="004A0C12">
        <w:rPr>
          <w:rFonts w:ascii="Garamond" w:hAnsi="Garamond"/>
          <w:szCs w:val="22"/>
        </w:rPr>
        <w:t>Orientation and training on fundamental rehabilitation process and procedures is provided to all new staff through Getting Connected, the Supervisor’s Guide to training new staff through the Divisions, and the Quality Rehabilitation Training pr</w:t>
      </w:r>
      <w:r w:rsidR="00DE2F04" w:rsidRPr="004A0C12">
        <w:rPr>
          <w:rFonts w:ascii="Garamond" w:hAnsi="Garamond"/>
          <w:szCs w:val="22"/>
        </w:rPr>
        <w:t>ogram provided to all new staff;</w:t>
      </w:r>
    </w:p>
    <w:p w14:paraId="333C4A7E" w14:textId="23258759" w:rsidR="00DE2F04" w:rsidRPr="004A0C12" w:rsidRDefault="007A1FDC" w:rsidP="00232F09">
      <w:pPr>
        <w:pStyle w:val="ListParagraph"/>
        <w:widowControl w:val="0"/>
        <w:numPr>
          <w:ilvl w:val="0"/>
          <w:numId w:val="216"/>
        </w:numPr>
        <w:jc w:val="both"/>
        <w:rPr>
          <w:rFonts w:ascii="Garamond" w:hAnsi="Garamond"/>
          <w:szCs w:val="22"/>
        </w:rPr>
      </w:pPr>
      <w:r w:rsidRPr="004A0C12">
        <w:rPr>
          <w:rFonts w:ascii="Garamond" w:hAnsi="Garamond"/>
          <w:szCs w:val="22"/>
        </w:rPr>
        <w:t>Training for special populations is provided including: blindness and vision services, deaf and hard of hearing services, services for individuals with acquired brain injury, individuals on the autism spectrum, transitioning youth, and psychiatric rehabilitation t</w:t>
      </w:r>
      <w:r w:rsidR="00DE2F04" w:rsidRPr="004A0C12">
        <w:rPr>
          <w:rFonts w:ascii="Garamond" w:hAnsi="Garamond"/>
          <w:szCs w:val="22"/>
        </w:rPr>
        <w:t>hroughout the year;</w:t>
      </w:r>
    </w:p>
    <w:p w14:paraId="00D30A89" w14:textId="495348F2" w:rsidR="00DE2F04" w:rsidRPr="004A0C12" w:rsidRDefault="007A1FDC" w:rsidP="00232F09">
      <w:pPr>
        <w:pStyle w:val="ListParagraph"/>
        <w:widowControl w:val="0"/>
        <w:numPr>
          <w:ilvl w:val="0"/>
          <w:numId w:val="216"/>
        </w:numPr>
        <w:jc w:val="both"/>
        <w:rPr>
          <w:rFonts w:ascii="Garamond" w:hAnsi="Garamond"/>
          <w:szCs w:val="22"/>
        </w:rPr>
      </w:pPr>
      <w:r w:rsidRPr="004A0C12">
        <w:rPr>
          <w:rFonts w:ascii="Garamond" w:hAnsi="Garamond"/>
          <w:szCs w:val="22"/>
        </w:rPr>
        <w:t>Training in career assessment se</w:t>
      </w:r>
      <w:r w:rsidR="00DE2F04" w:rsidRPr="004A0C12">
        <w:rPr>
          <w:rFonts w:ascii="Garamond" w:hAnsi="Garamond"/>
          <w:szCs w:val="22"/>
        </w:rPr>
        <w:t>rvices is offered semi-annually;</w:t>
      </w:r>
    </w:p>
    <w:p w14:paraId="265FBAF2" w14:textId="5790E3CF" w:rsidR="00DE2F04" w:rsidRPr="004A0C12" w:rsidRDefault="007A1FDC" w:rsidP="00232F09">
      <w:pPr>
        <w:pStyle w:val="ListParagraph"/>
        <w:widowControl w:val="0"/>
        <w:numPr>
          <w:ilvl w:val="0"/>
          <w:numId w:val="216"/>
        </w:numPr>
        <w:jc w:val="both"/>
        <w:rPr>
          <w:rFonts w:ascii="Garamond" w:hAnsi="Garamond"/>
          <w:szCs w:val="22"/>
        </w:rPr>
      </w:pPr>
      <w:r w:rsidRPr="004A0C12">
        <w:rPr>
          <w:rFonts w:ascii="Garamond" w:hAnsi="Garamond"/>
          <w:szCs w:val="22"/>
        </w:rPr>
        <w:t>Rehabilitation technology training is offered throughout the year on a variety of assistive technology and worksite accommodation issues. When possible, these Assistive Technology trainings are coordinated with the M</w:t>
      </w:r>
      <w:r w:rsidR="00DE2F04" w:rsidRPr="004A0C12">
        <w:rPr>
          <w:rFonts w:ascii="Garamond" w:hAnsi="Garamond"/>
          <w:szCs w:val="22"/>
        </w:rPr>
        <w:t xml:space="preserve">D Technology Assistance program; </w:t>
      </w:r>
    </w:p>
    <w:p w14:paraId="2D6530EF" w14:textId="77777777" w:rsidR="00DE2F04" w:rsidRPr="004A0C12" w:rsidRDefault="007A1FDC" w:rsidP="00232F09">
      <w:pPr>
        <w:pStyle w:val="ListParagraph"/>
        <w:widowControl w:val="0"/>
        <w:numPr>
          <w:ilvl w:val="0"/>
          <w:numId w:val="216"/>
        </w:numPr>
        <w:jc w:val="both"/>
        <w:rPr>
          <w:rFonts w:ascii="Garamond" w:hAnsi="Garamond"/>
          <w:szCs w:val="22"/>
        </w:rPr>
      </w:pPr>
      <w:r w:rsidRPr="004A0C12">
        <w:rPr>
          <w:rFonts w:ascii="Garamond" w:hAnsi="Garamond"/>
          <w:szCs w:val="22"/>
        </w:rPr>
        <w:t>Statewide prescriptive training on a variety of topics is delivered to all counselors, including career counseling, employer services, ethics, job placement, case note/case documentation training, Americans with Disabilities Act trai</w:t>
      </w:r>
      <w:r w:rsidR="00DE2F04" w:rsidRPr="004A0C12">
        <w:rPr>
          <w:rFonts w:ascii="Garamond" w:hAnsi="Garamond"/>
          <w:szCs w:val="22"/>
        </w:rPr>
        <w:t>ning, autism spectrum disorders;</w:t>
      </w:r>
    </w:p>
    <w:p w14:paraId="24196C5D" w14:textId="17805540" w:rsidR="00DE2F04" w:rsidRPr="004A0C12" w:rsidRDefault="007A1FDC" w:rsidP="00232F09">
      <w:pPr>
        <w:pStyle w:val="ListParagraph"/>
        <w:widowControl w:val="0"/>
        <w:numPr>
          <w:ilvl w:val="0"/>
          <w:numId w:val="216"/>
        </w:numPr>
        <w:jc w:val="both"/>
        <w:rPr>
          <w:rFonts w:ascii="Garamond" w:hAnsi="Garamond"/>
          <w:szCs w:val="22"/>
        </w:rPr>
      </w:pPr>
      <w:r w:rsidRPr="004A0C12">
        <w:rPr>
          <w:rFonts w:ascii="Garamond" w:hAnsi="Garamond"/>
          <w:szCs w:val="22"/>
        </w:rPr>
        <w:t xml:space="preserve">Staff participate in the annual statewide training conference sponsored by the DORS and the Maryland </w:t>
      </w:r>
      <w:r w:rsidR="00DE2F04" w:rsidRPr="004A0C12">
        <w:rPr>
          <w:rFonts w:ascii="Garamond" w:hAnsi="Garamond"/>
          <w:szCs w:val="22"/>
        </w:rPr>
        <w:t>Rehabilitation Association;</w:t>
      </w:r>
    </w:p>
    <w:p w14:paraId="43C6502E" w14:textId="77777777" w:rsidR="00DE2F04" w:rsidRPr="004A0C12" w:rsidRDefault="007A1FDC" w:rsidP="00232F09">
      <w:pPr>
        <w:pStyle w:val="ListParagraph"/>
        <w:widowControl w:val="0"/>
        <w:numPr>
          <w:ilvl w:val="0"/>
          <w:numId w:val="216"/>
        </w:numPr>
        <w:jc w:val="both"/>
        <w:rPr>
          <w:rFonts w:ascii="Garamond" w:hAnsi="Garamond"/>
          <w:szCs w:val="22"/>
        </w:rPr>
      </w:pPr>
      <w:r w:rsidRPr="004A0C12">
        <w:rPr>
          <w:rFonts w:ascii="Garamond" w:hAnsi="Garamond"/>
          <w:szCs w:val="22"/>
        </w:rPr>
        <w:t>New supervisors training and ongoing training activities for supervisors and Division administrators are provided during semi-annual s</w:t>
      </w:r>
      <w:r w:rsidR="00DE2F04" w:rsidRPr="004A0C12">
        <w:rPr>
          <w:rFonts w:ascii="Garamond" w:hAnsi="Garamond"/>
          <w:szCs w:val="22"/>
        </w:rPr>
        <w:t xml:space="preserve">tatewide supervisors meetings. </w:t>
      </w:r>
      <w:r w:rsidRPr="004A0C12">
        <w:rPr>
          <w:rFonts w:ascii="Garamond" w:hAnsi="Garamond"/>
          <w:szCs w:val="22"/>
        </w:rPr>
        <w:t>Staff managers participate in management and lead</w:t>
      </w:r>
      <w:r w:rsidR="00DE2F04" w:rsidRPr="004A0C12">
        <w:rPr>
          <w:rFonts w:ascii="Garamond" w:hAnsi="Garamond"/>
          <w:szCs w:val="22"/>
        </w:rPr>
        <w:t>ership training through vendors;</w:t>
      </w:r>
    </w:p>
    <w:p w14:paraId="4A900082" w14:textId="77777777" w:rsidR="00DE2F04" w:rsidRPr="004A0C12" w:rsidRDefault="007A1FDC" w:rsidP="00232F09">
      <w:pPr>
        <w:pStyle w:val="ListParagraph"/>
        <w:widowControl w:val="0"/>
        <w:numPr>
          <w:ilvl w:val="0"/>
          <w:numId w:val="216"/>
        </w:numPr>
        <w:jc w:val="both"/>
        <w:rPr>
          <w:rFonts w:ascii="Garamond" w:hAnsi="Garamond"/>
          <w:szCs w:val="22"/>
        </w:rPr>
      </w:pPr>
      <w:r w:rsidRPr="004A0C12">
        <w:rPr>
          <w:rFonts w:ascii="Garamond" w:hAnsi="Garamond"/>
          <w:szCs w:val="22"/>
        </w:rPr>
        <w:t>Training is provided on topics speci</w:t>
      </w:r>
      <w:r w:rsidR="00DE2F04" w:rsidRPr="004A0C12">
        <w:rPr>
          <w:rFonts w:ascii="Garamond" w:hAnsi="Garamond"/>
          <w:szCs w:val="22"/>
        </w:rPr>
        <w:t>fic to the implementation of WIOA</w:t>
      </w:r>
      <w:r w:rsidR="00B709F8" w:rsidRPr="004A0C12">
        <w:rPr>
          <w:rFonts w:ascii="Garamond" w:hAnsi="Garamond"/>
          <w:szCs w:val="22"/>
        </w:rPr>
        <w:t xml:space="preserve">, </w:t>
      </w:r>
      <w:r w:rsidRPr="004A0C12">
        <w:rPr>
          <w:rFonts w:ascii="Garamond" w:hAnsi="Garamond"/>
          <w:szCs w:val="22"/>
        </w:rPr>
        <w:t>such as Pre-Employment Transition Services an</w:t>
      </w:r>
      <w:r w:rsidR="00DE2F04" w:rsidRPr="004A0C12">
        <w:rPr>
          <w:rFonts w:ascii="Garamond" w:hAnsi="Garamond"/>
          <w:szCs w:val="22"/>
        </w:rPr>
        <w:t xml:space="preserve">d Sub-Minimum Wage requirements; and, </w:t>
      </w:r>
    </w:p>
    <w:p w14:paraId="20527528" w14:textId="1B3D58B7" w:rsidR="007A1FDC" w:rsidRPr="004A0C12" w:rsidRDefault="007A1FDC" w:rsidP="00232F09">
      <w:pPr>
        <w:pStyle w:val="ListParagraph"/>
        <w:widowControl w:val="0"/>
        <w:numPr>
          <w:ilvl w:val="0"/>
          <w:numId w:val="216"/>
        </w:numPr>
        <w:jc w:val="both"/>
        <w:rPr>
          <w:rFonts w:ascii="Garamond" w:hAnsi="Garamond"/>
          <w:szCs w:val="22"/>
        </w:rPr>
      </w:pPr>
      <w:r w:rsidRPr="004A0C12">
        <w:rPr>
          <w:rFonts w:ascii="Garamond" w:hAnsi="Garamond"/>
          <w:szCs w:val="22"/>
        </w:rPr>
        <w:t>Paraprofessionals participate in statewide prescriptive training throughout the year with their units, as well as an annual training activity customized to meet the needs of staff and</w:t>
      </w:r>
      <w:r w:rsidR="00DE2F04" w:rsidRPr="004A0C12">
        <w:rPr>
          <w:rFonts w:ascii="Garamond" w:hAnsi="Garamond"/>
          <w:szCs w:val="22"/>
        </w:rPr>
        <w:t xml:space="preserve"> to</w:t>
      </w:r>
      <w:r w:rsidRPr="004A0C12">
        <w:rPr>
          <w:rFonts w:ascii="Garamond" w:hAnsi="Garamond"/>
          <w:szCs w:val="22"/>
        </w:rPr>
        <w:t xml:space="preserve"> address agency priorities.</w:t>
      </w:r>
    </w:p>
    <w:p w14:paraId="16653662" w14:textId="1B812A17" w:rsidR="007A1FDC" w:rsidRPr="004A0C12" w:rsidRDefault="007A1FDC" w:rsidP="007A1FDC">
      <w:pPr>
        <w:widowControl w:val="0"/>
        <w:spacing w:after="0" w:line="240" w:lineRule="auto"/>
        <w:jc w:val="both"/>
        <w:rPr>
          <w:rFonts w:ascii="Garamond" w:hAnsi="Garamond"/>
        </w:rPr>
      </w:pPr>
      <w:r w:rsidRPr="004A0C12">
        <w:rPr>
          <w:rFonts w:ascii="Garamond" w:hAnsi="Garamond"/>
        </w:rPr>
        <w:cr/>
        <w:t>The Staff Development office maintains a data base of all training activities attended by Division professional and paraprofessional staff, according to the individual staff member, unit</w:t>
      </w:r>
      <w:r w:rsidR="00DE2F04" w:rsidRPr="004A0C12">
        <w:rPr>
          <w:rFonts w:ascii="Garamond" w:hAnsi="Garamond"/>
        </w:rPr>
        <w:t>,</w:t>
      </w:r>
      <w:r w:rsidRPr="004A0C12">
        <w:rPr>
          <w:rFonts w:ascii="Garamond" w:hAnsi="Garamond"/>
        </w:rPr>
        <w:t xml:space="preserve"> and Office.  </w:t>
      </w:r>
      <w:r w:rsidRPr="004A0C12">
        <w:rPr>
          <w:rFonts w:ascii="Garamond" w:hAnsi="Garamond"/>
        </w:rPr>
        <w:cr/>
      </w:r>
    </w:p>
    <w:p w14:paraId="43E3FF94" w14:textId="1E3D36E6" w:rsidR="007A1FDC" w:rsidRPr="004A0C12" w:rsidRDefault="007A1FDC" w:rsidP="007A1FDC">
      <w:pPr>
        <w:spacing w:after="0" w:line="240" w:lineRule="auto"/>
        <w:jc w:val="both"/>
        <w:rPr>
          <w:rFonts w:ascii="Garamond" w:hAnsi="Garamond"/>
        </w:rPr>
      </w:pPr>
      <w:r w:rsidRPr="004A0C12">
        <w:rPr>
          <w:rFonts w:ascii="Garamond" w:hAnsi="Garamond"/>
        </w:rPr>
        <w:t>Acquisition and Dissemination of Knowledge</w:t>
      </w:r>
    </w:p>
    <w:p w14:paraId="2DCA310F" w14:textId="3C34BE1D" w:rsidR="00DE2F04" w:rsidRPr="004A0C12" w:rsidRDefault="007A1FDC" w:rsidP="00DE2F04">
      <w:pPr>
        <w:spacing w:after="0" w:line="240" w:lineRule="auto"/>
        <w:jc w:val="both"/>
        <w:rPr>
          <w:rFonts w:ascii="Garamond" w:hAnsi="Garamond"/>
        </w:rPr>
      </w:pPr>
      <w:r w:rsidRPr="004A0C12">
        <w:rPr>
          <w:rFonts w:ascii="Garamond" w:hAnsi="Garamond"/>
        </w:rPr>
        <w:t>The Division ensures that professional and paraprofessional staff receive significant knowledge from research and other sources by keeping abreast of the latest information on disability issues, legislation, and current topics an</w:t>
      </w:r>
      <w:r w:rsidR="00DE2F04" w:rsidRPr="004A0C12">
        <w:rPr>
          <w:rFonts w:ascii="Garamond" w:hAnsi="Garamond"/>
        </w:rPr>
        <w:t>d training on rehabilitation. I</w:t>
      </w:r>
      <w:r w:rsidRPr="004A0C12">
        <w:rPr>
          <w:rFonts w:ascii="Garamond" w:hAnsi="Garamond"/>
        </w:rPr>
        <w:t>nformation</w:t>
      </w:r>
      <w:r w:rsidR="00DE2F04" w:rsidRPr="004A0C12">
        <w:rPr>
          <w:rFonts w:ascii="Garamond" w:hAnsi="Garamond"/>
        </w:rPr>
        <w:t>, including WIOA implementation policy and procedures,</w:t>
      </w:r>
      <w:r w:rsidRPr="004A0C12">
        <w:rPr>
          <w:rFonts w:ascii="Garamond" w:hAnsi="Garamond"/>
        </w:rPr>
        <w:t xml:space="preserve"> </w:t>
      </w:r>
      <w:r w:rsidR="00DE2F04" w:rsidRPr="004A0C12">
        <w:rPr>
          <w:rFonts w:ascii="Garamond" w:hAnsi="Garamond"/>
        </w:rPr>
        <w:t>will continue to be</w:t>
      </w:r>
      <w:r w:rsidRPr="004A0C12">
        <w:rPr>
          <w:rFonts w:ascii="Garamond" w:hAnsi="Garamond"/>
        </w:rPr>
        <w:t xml:space="preserve"> disseminated to staff in a variety of</w:t>
      </w:r>
      <w:r w:rsidR="00DE2F04" w:rsidRPr="004A0C12">
        <w:rPr>
          <w:rFonts w:ascii="Garamond" w:hAnsi="Garamond"/>
        </w:rPr>
        <w:t xml:space="preserve"> ways including the following: </w:t>
      </w:r>
    </w:p>
    <w:p w14:paraId="4E6E2664" w14:textId="77777777" w:rsidR="00DE2F04" w:rsidRPr="004A0C12" w:rsidRDefault="00DE2F04" w:rsidP="00DE2F04">
      <w:pPr>
        <w:spacing w:after="0" w:line="240" w:lineRule="auto"/>
        <w:jc w:val="both"/>
        <w:rPr>
          <w:rFonts w:ascii="Garamond" w:hAnsi="Garamond"/>
        </w:rPr>
      </w:pPr>
    </w:p>
    <w:p w14:paraId="220819CB" w14:textId="4DE993EE" w:rsidR="00DE2F04" w:rsidRPr="004A0C12" w:rsidRDefault="007A1FDC" w:rsidP="00232F09">
      <w:pPr>
        <w:pStyle w:val="ListParagraph"/>
        <w:numPr>
          <w:ilvl w:val="0"/>
          <w:numId w:val="217"/>
        </w:numPr>
        <w:rPr>
          <w:rFonts w:ascii="Garamond" w:hAnsi="Garamond"/>
          <w:szCs w:val="22"/>
        </w:rPr>
      </w:pPr>
      <w:r w:rsidRPr="004A0C12">
        <w:rPr>
          <w:rFonts w:ascii="Garamond" w:hAnsi="Garamond"/>
          <w:szCs w:val="22"/>
        </w:rPr>
        <w:lastRenderedPageBreak/>
        <w:t>Posting information to staff on the Division’s InD</w:t>
      </w:r>
      <w:r w:rsidR="00DE2F04" w:rsidRPr="004A0C12">
        <w:rPr>
          <w:rFonts w:ascii="Garamond" w:hAnsi="Garamond"/>
          <w:szCs w:val="22"/>
        </w:rPr>
        <w:t xml:space="preserve">ORS intranet and public website: </w:t>
      </w:r>
      <w:hyperlink r:id="rId100" w:history="1">
        <w:r w:rsidRPr="004A0C12">
          <w:rPr>
            <w:rFonts w:ascii="Garamond" w:hAnsi="Garamond"/>
            <w:color w:val="0000FF"/>
            <w:szCs w:val="22"/>
            <w:u w:val="single"/>
          </w:rPr>
          <w:t>www.dors.maryland.gov</w:t>
        </w:r>
      </w:hyperlink>
    </w:p>
    <w:p w14:paraId="0536DF12" w14:textId="77777777" w:rsidR="00DE2F04" w:rsidRPr="004A0C12" w:rsidRDefault="007A1FDC" w:rsidP="00232F09">
      <w:pPr>
        <w:pStyle w:val="ListParagraph"/>
        <w:numPr>
          <w:ilvl w:val="0"/>
          <w:numId w:val="217"/>
        </w:numPr>
        <w:jc w:val="both"/>
        <w:rPr>
          <w:rFonts w:ascii="Garamond" w:hAnsi="Garamond"/>
          <w:szCs w:val="22"/>
        </w:rPr>
      </w:pPr>
      <w:r w:rsidRPr="004A0C12">
        <w:rPr>
          <w:rFonts w:ascii="Garamond" w:hAnsi="Garamond"/>
          <w:szCs w:val="22"/>
        </w:rPr>
        <w:t>Disseminating email and agency program directives, administrative instructions, and information bulletins</w:t>
      </w:r>
      <w:r w:rsidR="00DE2F04" w:rsidRPr="004A0C12">
        <w:rPr>
          <w:rFonts w:ascii="Garamond" w:hAnsi="Garamond"/>
          <w:szCs w:val="22"/>
        </w:rPr>
        <w:t>;</w:t>
      </w:r>
    </w:p>
    <w:p w14:paraId="53F17BCF" w14:textId="77777777" w:rsidR="00DE2F04" w:rsidRPr="004A0C12" w:rsidRDefault="007A1FDC" w:rsidP="00232F09">
      <w:pPr>
        <w:pStyle w:val="ListParagraph"/>
        <w:numPr>
          <w:ilvl w:val="0"/>
          <w:numId w:val="217"/>
        </w:numPr>
        <w:jc w:val="both"/>
        <w:rPr>
          <w:rFonts w:ascii="Garamond" w:hAnsi="Garamond"/>
          <w:szCs w:val="22"/>
        </w:rPr>
      </w:pPr>
      <w:r w:rsidRPr="004A0C12">
        <w:rPr>
          <w:rFonts w:ascii="Garamond" w:hAnsi="Garamond"/>
          <w:szCs w:val="22"/>
        </w:rPr>
        <w:t>Developing agency policy and procedures based on federal and state law and regulation, as needed</w:t>
      </w:r>
      <w:r w:rsidR="00DE2F04" w:rsidRPr="004A0C12">
        <w:rPr>
          <w:rFonts w:ascii="Garamond" w:hAnsi="Garamond"/>
          <w:szCs w:val="22"/>
        </w:rPr>
        <w:t>;</w:t>
      </w:r>
    </w:p>
    <w:p w14:paraId="53FC6F08" w14:textId="7C32C402" w:rsidR="00DE2F04" w:rsidRPr="004A0C12" w:rsidRDefault="007A1FDC" w:rsidP="00232F09">
      <w:pPr>
        <w:pStyle w:val="ListParagraph"/>
        <w:numPr>
          <w:ilvl w:val="0"/>
          <w:numId w:val="217"/>
        </w:numPr>
        <w:jc w:val="both"/>
        <w:rPr>
          <w:rFonts w:ascii="Garamond" w:hAnsi="Garamond"/>
          <w:szCs w:val="22"/>
        </w:rPr>
      </w:pPr>
      <w:r w:rsidRPr="004A0C12">
        <w:rPr>
          <w:rFonts w:ascii="Garamond" w:hAnsi="Garamond"/>
          <w:szCs w:val="22"/>
        </w:rPr>
        <w:t>Revising agency policy an</w:t>
      </w:r>
      <w:r w:rsidR="00530FA0" w:rsidRPr="004A0C12">
        <w:rPr>
          <w:rFonts w:ascii="Garamond" w:hAnsi="Garamond"/>
          <w:szCs w:val="22"/>
        </w:rPr>
        <w:t>d procedures manuals, as needed</w:t>
      </w:r>
    </w:p>
    <w:p w14:paraId="04BB6EB0" w14:textId="42968832" w:rsidR="00DE2F04" w:rsidRPr="004A0C12" w:rsidRDefault="007A1FDC" w:rsidP="00232F09">
      <w:pPr>
        <w:pStyle w:val="ListParagraph"/>
        <w:numPr>
          <w:ilvl w:val="0"/>
          <w:numId w:val="217"/>
        </w:numPr>
        <w:jc w:val="both"/>
        <w:rPr>
          <w:rFonts w:ascii="Garamond" w:hAnsi="Garamond"/>
          <w:szCs w:val="22"/>
        </w:rPr>
      </w:pPr>
      <w:r w:rsidRPr="004A0C12">
        <w:rPr>
          <w:rFonts w:ascii="Garamond" w:hAnsi="Garamond"/>
          <w:szCs w:val="22"/>
        </w:rPr>
        <w:t>Providing staff training on new policy and policy and procedural updates</w:t>
      </w:r>
    </w:p>
    <w:p w14:paraId="5676F94C" w14:textId="23F3CF97" w:rsidR="00DE2F04" w:rsidRPr="004A0C12" w:rsidRDefault="001B3964" w:rsidP="00232F09">
      <w:pPr>
        <w:pStyle w:val="ListParagraph"/>
        <w:numPr>
          <w:ilvl w:val="0"/>
          <w:numId w:val="217"/>
        </w:numPr>
        <w:jc w:val="both"/>
        <w:rPr>
          <w:rFonts w:ascii="Garamond" w:hAnsi="Garamond"/>
          <w:szCs w:val="22"/>
        </w:rPr>
      </w:pPr>
      <w:r w:rsidRPr="004A0C12">
        <w:rPr>
          <w:rFonts w:ascii="Garamond" w:hAnsi="Garamond"/>
          <w:szCs w:val="22"/>
        </w:rPr>
        <w:t xml:space="preserve">Providing staff training, by DORS and WIOA Partners, </w:t>
      </w:r>
      <w:r w:rsidR="007A1FDC" w:rsidRPr="004A0C12">
        <w:rPr>
          <w:rFonts w:ascii="Garamond" w:hAnsi="Garamond"/>
          <w:szCs w:val="22"/>
        </w:rPr>
        <w:t xml:space="preserve">on a variety of current </w:t>
      </w:r>
      <w:r w:rsidR="00DE2F04" w:rsidRPr="004A0C12">
        <w:rPr>
          <w:rFonts w:ascii="Garamond" w:hAnsi="Garamond"/>
          <w:szCs w:val="22"/>
        </w:rPr>
        <w:t>topic</w:t>
      </w:r>
      <w:r w:rsidRPr="004A0C12">
        <w:rPr>
          <w:rFonts w:ascii="Garamond" w:hAnsi="Garamond"/>
          <w:szCs w:val="22"/>
        </w:rPr>
        <w:t>s</w:t>
      </w:r>
    </w:p>
    <w:p w14:paraId="25E7DB44" w14:textId="3093ECEE" w:rsidR="00DE2F04" w:rsidRPr="004A0C12" w:rsidRDefault="007A1FDC" w:rsidP="00232F09">
      <w:pPr>
        <w:pStyle w:val="ListParagraph"/>
        <w:numPr>
          <w:ilvl w:val="0"/>
          <w:numId w:val="217"/>
        </w:numPr>
        <w:jc w:val="both"/>
        <w:rPr>
          <w:rFonts w:ascii="Garamond" w:hAnsi="Garamond"/>
          <w:szCs w:val="22"/>
        </w:rPr>
      </w:pPr>
      <w:r w:rsidRPr="004A0C12">
        <w:rPr>
          <w:rFonts w:ascii="Garamond" w:hAnsi="Garamond"/>
          <w:szCs w:val="22"/>
        </w:rPr>
        <w:t>Attending meeti</w:t>
      </w:r>
      <w:r w:rsidR="00DE2F04" w:rsidRPr="004A0C12">
        <w:rPr>
          <w:rFonts w:ascii="Garamond" w:hAnsi="Garamond"/>
          <w:szCs w:val="22"/>
        </w:rPr>
        <w:t>ngs, conferences, and workshops</w:t>
      </w:r>
      <w:r w:rsidR="001B3964" w:rsidRPr="004A0C12">
        <w:rPr>
          <w:rFonts w:ascii="Garamond" w:hAnsi="Garamond"/>
          <w:szCs w:val="22"/>
        </w:rPr>
        <w:t>, including the Maryland WIOA Convening, Maryland WIOA Work Group meeting, and WIOA Partner training</w:t>
      </w:r>
    </w:p>
    <w:p w14:paraId="660A5E0B" w14:textId="4AD388D5" w:rsidR="007A1FDC" w:rsidRPr="004A0C12" w:rsidRDefault="007A1FDC" w:rsidP="00232F09">
      <w:pPr>
        <w:pStyle w:val="ListParagraph"/>
        <w:numPr>
          <w:ilvl w:val="0"/>
          <w:numId w:val="217"/>
        </w:numPr>
        <w:jc w:val="both"/>
        <w:rPr>
          <w:rFonts w:ascii="Garamond" w:hAnsi="Garamond"/>
          <w:szCs w:val="22"/>
        </w:rPr>
      </w:pPr>
      <w:r w:rsidRPr="004A0C12">
        <w:rPr>
          <w:rFonts w:ascii="Garamond" w:hAnsi="Garamond"/>
          <w:szCs w:val="22"/>
        </w:rPr>
        <w:t>Posting training resources and archive presentations on the DORS website and intranet.</w:t>
      </w:r>
    </w:p>
    <w:p w14:paraId="020AC3EC" w14:textId="2B8D59A4" w:rsidR="007A1FDC" w:rsidRPr="00C0180F" w:rsidRDefault="007A1FDC" w:rsidP="00815374">
      <w:pPr>
        <w:pStyle w:val="Heading3"/>
        <w:rPr>
          <w:rFonts w:ascii="Garamond" w:hAnsi="Garamond"/>
          <w:sz w:val="24"/>
          <w:szCs w:val="24"/>
        </w:rPr>
      </w:pPr>
      <w:bookmarkStart w:id="209" w:name="_Toc447276236"/>
      <w:r w:rsidRPr="00C0180F">
        <w:rPr>
          <w:rFonts w:ascii="Garamond" w:hAnsi="Garamond"/>
          <w:sz w:val="24"/>
          <w:szCs w:val="24"/>
        </w:rPr>
        <w:t>Personnel to address individual communication needs.</w:t>
      </w:r>
      <w:bookmarkEnd w:id="209"/>
      <w:r w:rsidRPr="00C0180F">
        <w:rPr>
          <w:rFonts w:ascii="Garamond" w:hAnsi="Garamond"/>
          <w:sz w:val="24"/>
          <w:szCs w:val="24"/>
        </w:rPr>
        <w:t xml:space="preserve"> </w:t>
      </w:r>
    </w:p>
    <w:p w14:paraId="25C924D2" w14:textId="1FD48A28"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Meeting the needs of individuals who are deaf, hard </w:t>
      </w:r>
      <w:r w:rsidR="001B3964" w:rsidRPr="004A0C12">
        <w:rPr>
          <w:rFonts w:ascii="Garamond" w:hAnsi="Garamond"/>
        </w:rPr>
        <w:t>of hearing or deaf/blind</w:t>
      </w:r>
    </w:p>
    <w:p w14:paraId="13BF1E56" w14:textId="192AD2AE"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DORS has personnel skilled in sign language who are assigned to provide services to consumers who are deaf and hard of hearing and deaf/blind </w:t>
      </w:r>
      <w:r w:rsidR="001B3964" w:rsidRPr="004A0C12">
        <w:rPr>
          <w:rFonts w:ascii="Garamond" w:hAnsi="Garamond"/>
        </w:rPr>
        <w:t>who require such communication.</w:t>
      </w:r>
      <w:r w:rsidRPr="004A0C12">
        <w:rPr>
          <w:rFonts w:ascii="Garamond" w:hAnsi="Garamond"/>
        </w:rPr>
        <w:t xml:space="preserve"> DORS has TTYs in offices and has installed video phones within the office locations of our rehabilitation c</w:t>
      </w:r>
      <w:r w:rsidR="001B3964" w:rsidRPr="004A0C12">
        <w:rPr>
          <w:rFonts w:ascii="Garamond" w:hAnsi="Garamond"/>
        </w:rPr>
        <w:t xml:space="preserve">ounselors for the deaf (RCDs). </w:t>
      </w:r>
      <w:r w:rsidRPr="004A0C12">
        <w:rPr>
          <w:rFonts w:ascii="Garamond" w:hAnsi="Garamond"/>
        </w:rPr>
        <w:t>DORS hires approved interpreters</w:t>
      </w:r>
      <w:r w:rsidR="001B3964" w:rsidRPr="004A0C12">
        <w:rPr>
          <w:rFonts w:ascii="Garamond" w:hAnsi="Garamond"/>
        </w:rPr>
        <w:t>,</w:t>
      </w:r>
      <w:r w:rsidRPr="004A0C12">
        <w:rPr>
          <w:rFonts w:ascii="Garamond" w:hAnsi="Garamond"/>
        </w:rPr>
        <w:t xml:space="preserve"> as needed</w:t>
      </w:r>
      <w:r w:rsidR="001B3964" w:rsidRPr="004A0C12">
        <w:rPr>
          <w:rFonts w:ascii="Garamond" w:hAnsi="Garamond"/>
        </w:rPr>
        <w:t>,</w:t>
      </w:r>
      <w:r w:rsidRPr="004A0C12">
        <w:rPr>
          <w:rFonts w:ascii="Garamond" w:hAnsi="Garamond"/>
        </w:rPr>
        <w:t xml:space="preserve"> to assure that consumers have access to the full range of rehabili</w:t>
      </w:r>
      <w:r w:rsidR="001B3964" w:rsidRPr="004A0C12">
        <w:rPr>
          <w:rFonts w:ascii="Garamond" w:hAnsi="Garamond"/>
        </w:rPr>
        <w:t xml:space="preserve">tation services they may need. </w:t>
      </w:r>
      <w:r w:rsidRPr="004A0C12">
        <w:rPr>
          <w:rFonts w:ascii="Garamond" w:hAnsi="Garamond"/>
        </w:rPr>
        <w:t>DORS supports attendance of consumers at institutions specializing in services for the deaf, as appropriate.</w:t>
      </w:r>
      <w:r w:rsidRPr="004A0C12">
        <w:rPr>
          <w:rFonts w:ascii="Garamond" w:hAnsi="Garamond"/>
        </w:rPr>
        <w:cr/>
      </w:r>
      <w:r w:rsidRPr="004A0C12">
        <w:rPr>
          <w:rFonts w:ascii="Garamond" w:hAnsi="Garamond"/>
        </w:rPr>
        <w:cr/>
        <w:t>Meeting the needs of individuals who are blind or vision impaired</w:t>
      </w:r>
      <w:r w:rsidR="001B3964" w:rsidRPr="004A0C12">
        <w:rPr>
          <w:rFonts w:ascii="Garamond" w:hAnsi="Garamond"/>
        </w:rPr>
        <w:t xml:space="preserve"> </w:t>
      </w:r>
    </w:p>
    <w:p w14:paraId="25FB9080" w14:textId="531F7A66" w:rsidR="007A1FDC" w:rsidRPr="004A0C12" w:rsidRDefault="007A1FDC" w:rsidP="007A1FDC">
      <w:pPr>
        <w:widowControl w:val="0"/>
        <w:spacing w:after="0" w:line="240" w:lineRule="auto"/>
        <w:jc w:val="both"/>
        <w:rPr>
          <w:rFonts w:ascii="Garamond" w:hAnsi="Garamond"/>
        </w:rPr>
      </w:pPr>
      <w:r w:rsidRPr="004A0C12">
        <w:rPr>
          <w:rFonts w:ascii="Garamond" w:hAnsi="Garamond"/>
        </w:rPr>
        <w:t>DORS has a dedicated office, the Office for Blindness &amp; Vision Services, which has counselors who have specialized caseloads working with individuals who are blind, vi</w:t>
      </w:r>
      <w:r w:rsidR="001B3964" w:rsidRPr="004A0C12">
        <w:rPr>
          <w:rFonts w:ascii="Garamond" w:hAnsi="Garamond"/>
        </w:rPr>
        <w:t>sually impaired, or deaf blind. These</w:t>
      </w:r>
      <w:r w:rsidRPr="004A0C12">
        <w:rPr>
          <w:rFonts w:ascii="Garamond" w:hAnsi="Garamond"/>
        </w:rPr>
        <w:t xml:space="preserve"> staff participate in at least quarterly training on topics specific to blindness and vision services, assistive technology, job development, career counseling, and participate in other Division spo</w:t>
      </w:r>
      <w:r w:rsidR="001B3964" w:rsidRPr="004A0C12">
        <w:rPr>
          <w:rFonts w:ascii="Garamond" w:hAnsi="Garamond"/>
        </w:rPr>
        <w:t>nsored training with all staff.</w:t>
      </w:r>
      <w:r w:rsidRPr="004A0C12">
        <w:rPr>
          <w:rFonts w:ascii="Garamond" w:hAnsi="Garamond"/>
        </w:rPr>
        <w:t xml:space="preserve"> DORS collaborates with its partners in the provision of training including the National Federation of the Blind (NFB), the American Foundation for the Blind (AFB), Association for Education and Rehabilitation of the Blind and Visually Impaired (AER), and Helen</w:t>
      </w:r>
      <w:r w:rsidR="001B3964" w:rsidRPr="004A0C12">
        <w:rPr>
          <w:rFonts w:ascii="Garamond" w:hAnsi="Garamond"/>
        </w:rPr>
        <w:t xml:space="preserve"> Keller National Center (HKNC).</w:t>
      </w:r>
      <w:r w:rsidRPr="004A0C12">
        <w:rPr>
          <w:rFonts w:ascii="Garamond" w:hAnsi="Garamond"/>
        </w:rPr>
        <w:t xml:space="preserve"> DORS provides assistive technology, as appropriate and required, for individuals who</w:t>
      </w:r>
      <w:r w:rsidR="001B3964" w:rsidRPr="004A0C12">
        <w:rPr>
          <w:rFonts w:ascii="Garamond" w:hAnsi="Garamond"/>
        </w:rPr>
        <w:t xml:space="preserve"> are blind or vision impaired. </w:t>
      </w:r>
      <w:r w:rsidRPr="004A0C12">
        <w:rPr>
          <w:rFonts w:ascii="Garamond" w:hAnsi="Garamond"/>
        </w:rPr>
        <w:t>DORS provides all information for consumers in the requested alter</w:t>
      </w:r>
      <w:r w:rsidR="001B3964" w:rsidRPr="004A0C12">
        <w:rPr>
          <w:rFonts w:ascii="Garamond" w:hAnsi="Garamond"/>
        </w:rPr>
        <w:t xml:space="preserve">nate format of the individual. </w:t>
      </w:r>
      <w:r w:rsidRPr="004A0C12">
        <w:rPr>
          <w:rFonts w:ascii="Garamond" w:hAnsi="Garamond"/>
        </w:rPr>
        <w:t>DORS website and intranet are fully accessible to users of screen readers.</w:t>
      </w:r>
      <w:r w:rsidRPr="004A0C12">
        <w:rPr>
          <w:rFonts w:ascii="Garamond" w:hAnsi="Garamond"/>
        </w:rPr>
        <w:cr/>
      </w:r>
    </w:p>
    <w:p w14:paraId="3142847B" w14:textId="2A80ECBE" w:rsidR="007A1FDC" w:rsidRPr="004A0C12" w:rsidRDefault="007A1FDC" w:rsidP="007A1FDC">
      <w:pPr>
        <w:widowControl w:val="0"/>
        <w:spacing w:after="0" w:line="240" w:lineRule="auto"/>
        <w:jc w:val="both"/>
        <w:rPr>
          <w:rFonts w:ascii="Garamond" w:hAnsi="Garamond"/>
        </w:rPr>
      </w:pPr>
      <w:r w:rsidRPr="004A0C12">
        <w:rPr>
          <w:rFonts w:ascii="Garamond" w:hAnsi="Garamond"/>
        </w:rPr>
        <w:t xml:space="preserve">Meeting the needs of </w:t>
      </w:r>
      <w:r w:rsidR="001B3964" w:rsidRPr="004A0C12">
        <w:rPr>
          <w:rFonts w:ascii="Garamond" w:hAnsi="Garamond"/>
        </w:rPr>
        <w:t>individual with limited English</w:t>
      </w:r>
    </w:p>
    <w:p w14:paraId="5AB14255" w14:textId="768B3775" w:rsidR="007A1FDC" w:rsidRPr="004A0C12" w:rsidRDefault="007A1FDC" w:rsidP="007A1FDC">
      <w:pPr>
        <w:widowControl w:val="0"/>
        <w:spacing w:after="0" w:line="240" w:lineRule="auto"/>
        <w:jc w:val="both"/>
        <w:rPr>
          <w:rFonts w:ascii="Garamond" w:hAnsi="Garamond"/>
        </w:rPr>
      </w:pPr>
      <w:r w:rsidRPr="004A0C12">
        <w:rPr>
          <w:rFonts w:ascii="Garamond" w:hAnsi="Garamond"/>
        </w:rPr>
        <w:t>DORS provides interpreter and translation services to consumers through the state contract for such services and through staff with skills i</w:t>
      </w:r>
      <w:r w:rsidR="001B3964" w:rsidRPr="004A0C12">
        <w:rPr>
          <w:rFonts w:ascii="Garamond" w:hAnsi="Garamond"/>
        </w:rPr>
        <w:t>n languages other than English.</w:t>
      </w:r>
      <w:r w:rsidRPr="004A0C12">
        <w:rPr>
          <w:rFonts w:ascii="Garamond" w:hAnsi="Garamond"/>
        </w:rPr>
        <w:t xml:space="preserve"> A DORS workgroup addresses a multicultural initiative</w:t>
      </w:r>
      <w:r w:rsidR="001B3964" w:rsidRPr="004A0C12">
        <w:rPr>
          <w:rFonts w:ascii="Garamond" w:hAnsi="Garamond"/>
        </w:rPr>
        <w:t>,</w:t>
      </w:r>
      <w:r w:rsidRPr="004A0C12">
        <w:rPr>
          <w:rFonts w:ascii="Garamond" w:hAnsi="Garamond"/>
        </w:rPr>
        <w:t xml:space="preserve"> which includes identification of staff with language skills in addition to English, enhancing cultural competencies of staff, identification of community resources, and provision of public information and agenc</w:t>
      </w:r>
      <w:r w:rsidR="001B3964" w:rsidRPr="004A0C12">
        <w:rPr>
          <w:rFonts w:ascii="Garamond" w:hAnsi="Garamond"/>
        </w:rPr>
        <w:t>y forms in alternate languages.</w:t>
      </w:r>
      <w:r w:rsidRPr="004A0C12">
        <w:rPr>
          <w:rFonts w:ascii="Garamond" w:hAnsi="Garamond"/>
        </w:rPr>
        <w:t xml:space="preserve"> The Division includes periodic in-service training opportu</w:t>
      </w:r>
      <w:r w:rsidR="00815374" w:rsidRPr="004A0C12">
        <w:rPr>
          <w:rFonts w:ascii="Garamond" w:hAnsi="Garamond"/>
        </w:rPr>
        <w:t>nities on cultural proficiency.</w:t>
      </w:r>
    </w:p>
    <w:p w14:paraId="5D4A8AA6" w14:textId="4C5A4BF7" w:rsidR="007A1FDC" w:rsidRPr="00C0180F" w:rsidRDefault="007A1FDC" w:rsidP="00431254">
      <w:pPr>
        <w:pStyle w:val="Heading3"/>
        <w:rPr>
          <w:rFonts w:ascii="Garamond" w:hAnsi="Garamond"/>
          <w:sz w:val="24"/>
          <w:szCs w:val="24"/>
        </w:rPr>
      </w:pPr>
      <w:bookmarkStart w:id="210" w:name="_Toc447276237"/>
      <w:r w:rsidRPr="00C0180F">
        <w:rPr>
          <w:rFonts w:ascii="Garamond" w:hAnsi="Garamond"/>
          <w:sz w:val="24"/>
          <w:szCs w:val="24"/>
        </w:rPr>
        <w:t xml:space="preserve">Coordination of Personnel Development </w:t>
      </w:r>
      <w:r w:rsidR="00881DB5" w:rsidRPr="00C0180F">
        <w:rPr>
          <w:rFonts w:ascii="Garamond" w:hAnsi="Garamond"/>
          <w:sz w:val="24"/>
          <w:szCs w:val="24"/>
        </w:rPr>
        <w:t>under</w:t>
      </w:r>
      <w:r w:rsidRPr="00C0180F">
        <w:rPr>
          <w:rFonts w:ascii="Garamond" w:hAnsi="Garamond"/>
          <w:sz w:val="24"/>
          <w:szCs w:val="24"/>
        </w:rPr>
        <w:t xml:space="preserve"> the Individuals with Disabilities Education Act</w:t>
      </w:r>
      <w:bookmarkEnd w:id="210"/>
      <w:r w:rsidRPr="00C0180F">
        <w:rPr>
          <w:rFonts w:ascii="Garamond" w:hAnsi="Garamond"/>
          <w:sz w:val="24"/>
          <w:szCs w:val="24"/>
        </w:rPr>
        <w:t xml:space="preserve">  </w:t>
      </w:r>
    </w:p>
    <w:p w14:paraId="648A5807" w14:textId="6A272BC7" w:rsidR="00431254" w:rsidRPr="004A0C12" w:rsidRDefault="007A1FDC" w:rsidP="007A1FDC">
      <w:pPr>
        <w:widowControl w:val="0"/>
        <w:spacing w:after="0" w:line="240" w:lineRule="auto"/>
        <w:jc w:val="both"/>
        <w:rPr>
          <w:rFonts w:ascii="Garamond" w:hAnsi="Garamond"/>
        </w:rPr>
      </w:pPr>
      <w:r w:rsidRPr="004A0C12">
        <w:rPr>
          <w:rFonts w:ascii="Garamond" w:hAnsi="Garamond"/>
        </w:rPr>
        <w:t>The Division has personnel who have specialized caseloads serving transitioning youth.  These staff participate in quarterly training activities on current transition topics. Staff are also encouraged to participate in ongoing professional development through participation in a variety of workshops, conferences, and in service training opportunities that are disseminated via email to all staff and posted on the Divisions InDO</w:t>
      </w:r>
      <w:r w:rsidR="00815374" w:rsidRPr="004A0C12">
        <w:rPr>
          <w:rFonts w:ascii="Garamond" w:hAnsi="Garamond"/>
        </w:rPr>
        <w:t xml:space="preserve">RS intranet. </w:t>
      </w:r>
      <w:r w:rsidRPr="004A0C12">
        <w:rPr>
          <w:rFonts w:ascii="Garamond" w:hAnsi="Garamond"/>
        </w:rPr>
        <w:t>The Division also co- sponsors and coordinates an annual transition conference that is attended by over 500 staff, education partners, stakeh</w:t>
      </w:r>
      <w:r w:rsidR="00815374" w:rsidRPr="004A0C12">
        <w:rPr>
          <w:rFonts w:ascii="Garamond" w:hAnsi="Garamond"/>
        </w:rPr>
        <w:t>olders, parents, and consumers.</w:t>
      </w:r>
      <w:r w:rsidRPr="004A0C12">
        <w:rPr>
          <w:rFonts w:ascii="Garamond" w:hAnsi="Garamond"/>
        </w:rPr>
        <w:t xml:space="preserve"> Staff are also encouraged to participate </w:t>
      </w:r>
      <w:r w:rsidR="00423ED6" w:rsidRPr="004A0C12">
        <w:rPr>
          <w:rFonts w:ascii="Garamond" w:hAnsi="Garamond"/>
        </w:rPr>
        <w:t xml:space="preserve">on </w:t>
      </w:r>
      <w:r w:rsidR="00815374" w:rsidRPr="004A0C12">
        <w:rPr>
          <w:rFonts w:ascii="Garamond" w:hAnsi="Garamond"/>
        </w:rPr>
        <w:t xml:space="preserve">WIOA Partner trainings and in other activities, </w:t>
      </w:r>
      <w:r w:rsidRPr="004A0C12">
        <w:rPr>
          <w:rFonts w:ascii="Garamond" w:hAnsi="Garamond"/>
        </w:rPr>
        <w:t>such as the George Washington University’s Master’s level 12 credit online tra</w:t>
      </w:r>
      <w:r w:rsidR="00423ED6" w:rsidRPr="004A0C12">
        <w:rPr>
          <w:rFonts w:ascii="Garamond" w:hAnsi="Garamond"/>
        </w:rPr>
        <w:t xml:space="preserve">nsition certificate program. </w:t>
      </w:r>
      <w:r w:rsidRPr="004A0C12">
        <w:rPr>
          <w:rFonts w:ascii="Garamond" w:hAnsi="Garamond"/>
        </w:rPr>
        <w:t>Examples of cross-training with secondary school p</w:t>
      </w:r>
      <w:r w:rsidR="00815374" w:rsidRPr="004A0C12">
        <w:rPr>
          <w:rFonts w:ascii="Garamond" w:hAnsi="Garamond"/>
        </w:rPr>
        <w:t>ersonnel include the following:</w:t>
      </w:r>
    </w:p>
    <w:p w14:paraId="2A5FE3EE" w14:textId="77777777" w:rsidR="007A1FDC" w:rsidRPr="004A0C12" w:rsidRDefault="007A1FDC" w:rsidP="007A1FDC">
      <w:pPr>
        <w:widowControl w:val="0"/>
        <w:spacing w:after="0" w:line="240" w:lineRule="auto"/>
        <w:jc w:val="both"/>
        <w:rPr>
          <w:rFonts w:ascii="Garamond" w:hAnsi="Garamond"/>
          <w:strike/>
        </w:rPr>
      </w:pPr>
    </w:p>
    <w:p w14:paraId="3BB7DDB4" w14:textId="1BD3459B" w:rsidR="007A1FDC" w:rsidRPr="004A0C12" w:rsidRDefault="007A1FDC" w:rsidP="00232F09">
      <w:pPr>
        <w:widowControl w:val="0"/>
        <w:numPr>
          <w:ilvl w:val="0"/>
          <w:numId w:val="14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Training in evidence-based transition practices for </w:t>
      </w:r>
      <w:r w:rsidR="00AB163A" w:rsidRPr="004A0C12">
        <w:rPr>
          <w:rFonts w:ascii="Garamond" w:hAnsi="Garamond"/>
        </w:rPr>
        <w:t xml:space="preserve">Local Education Agency </w:t>
      </w:r>
      <w:r w:rsidRPr="004A0C12">
        <w:rPr>
          <w:rFonts w:ascii="Garamond" w:hAnsi="Garamond"/>
        </w:rPr>
        <w:t>staff a</w:t>
      </w:r>
      <w:r w:rsidR="00C90261" w:rsidRPr="004A0C12">
        <w:rPr>
          <w:rFonts w:ascii="Garamond" w:hAnsi="Garamond"/>
        </w:rPr>
        <w:t>nd DORS staff provided by TransC</w:t>
      </w:r>
      <w:r w:rsidRPr="004A0C12">
        <w:rPr>
          <w:rFonts w:ascii="Garamond" w:hAnsi="Garamond"/>
        </w:rPr>
        <w:t>en, Inc., as part of the Maryland Se</w:t>
      </w:r>
      <w:r w:rsidR="00530FA0" w:rsidRPr="004A0C12">
        <w:rPr>
          <w:rFonts w:ascii="Garamond" w:hAnsi="Garamond"/>
        </w:rPr>
        <w:t>amless Transition Collaborative</w:t>
      </w:r>
    </w:p>
    <w:p w14:paraId="17C11DBB" w14:textId="6734E87E" w:rsidR="007A1FDC" w:rsidRPr="004A0C12" w:rsidRDefault="007A1FDC" w:rsidP="00232F09">
      <w:pPr>
        <w:widowControl w:val="0"/>
        <w:numPr>
          <w:ilvl w:val="0"/>
          <w:numId w:val="145"/>
        </w:numPr>
        <w:tabs>
          <w:tab w:val="clear" w:pos="360"/>
          <w:tab w:val="num" w:pos="720"/>
          <w:tab w:val="left" w:pos="990"/>
          <w:tab w:val="left" w:pos="1620"/>
        </w:tabs>
        <w:spacing w:after="0" w:line="240" w:lineRule="auto"/>
        <w:ind w:left="720" w:hanging="360"/>
        <w:jc w:val="both"/>
        <w:rPr>
          <w:rFonts w:ascii="Garamond" w:hAnsi="Garamond"/>
        </w:rPr>
      </w:pPr>
      <w:r w:rsidRPr="004A0C12">
        <w:rPr>
          <w:rFonts w:ascii="Garamond" w:hAnsi="Garamond"/>
        </w:rPr>
        <w:t>Training on Autism Spectrum disorders provided by DORS in partnership with Pathfinders for Autism and the Maryland Rehabilitation Association. The Work</w:t>
      </w:r>
      <w:r w:rsidR="00815374" w:rsidRPr="004A0C12">
        <w:rPr>
          <w:rFonts w:ascii="Garamond" w:hAnsi="Garamond"/>
        </w:rPr>
        <w:t xml:space="preserve">force &amp; Technology Center </w:t>
      </w:r>
      <w:r w:rsidRPr="004A0C12">
        <w:rPr>
          <w:rFonts w:ascii="Garamond" w:hAnsi="Garamond"/>
        </w:rPr>
        <w:t xml:space="preserve">supervisor of Autism Services is a certified Autism Specialist </w:t>
      </w:r>
      <w:r w:rsidR="00815374" w:rsidRPr="004A0C12">
        <w:rPr>
          <w:rFonts w:ascii="Garamond" w:hAnsi="Garamond"/>
        </w:rPr>
        <w:t>and has provided training to Workforce &amp; Technology Center</w:t>
      </w:r>
      <w:r w:rsidRPr="004A0C12">
        <w:rPr>
          <w:rFonts w:ascii="Garamond" w:hAnsi="Garamond"/>
        </w:rPr>
        <w:t xml:space="preserve"> staff, to offices with the Office of Field Services, and at the Maryland Rehabilitation Association/D</w:t>
      </w:r>
      <w:r w:rsidR="00530FA0" w:rsidRPr="004A0C12">
        <w:rPr>
          <w:rFonts w:ascii="Garamond" w:hAnsi="Garamond"/>
        </w:rPr>
        <w:t>ORS Annual Training Conference</w:t>
      </w:r>
    </w:p>
    <w:p w14:paraId="62D08C02" w14:textId="255D0E7F" w:rsidR="007A1FDC" w:rsidRPr="004A0C12" w:rsidRDefault="007A1FDC" w:rsidP="00232F09">
      <w:pPr>
        <w:widowControl w:val="0"/>
        <w:numPr>
          <w:ilvl w:val="0"/>
          <w:numId w:val="145"/>
        </w:numPr>
        <w:tabs>
          <w:tab w:val="clear" w:pos="360"/>
          <w:tab w:val="num" w:pos="720"/>
          <w:tab w:val="left" w:pos="990"/>
          <w:tab w:val="left" w:pos="1620"/>
        </w:tabs>
        <w:spacing w:after="0" w:line="240" w:lineRule="auto"/>
        <w:ind w:left="720" w:hanging="360"/>
        <w:jc w:val="both"/>
        <w:rPr>
          <w:rFonts w:ascii="Garamond" w:hAnsi="Garamond"/>
        </w:rPr>
      </w:pPr>
      <w:r w:rsidRPr="004A0C12">
        <w:rPr>
          <w:rFonts w:ascii="Garamond" w:hAnsi="Garamond"/>
        </w:rPr>
        <w:lastRenderedPageBreak/>
        <w:t>Training and presentations on blindn</w:t>
      </w:r>
      <w:r w:rsidR="00815374" w:rsidRPr="004A0C12">
        <w:rPr>
          <w:rFonts w:ascii="Garamond" w:hAnsi="Garamond"/>
        </w:rPr>
        <w:t>ess and vision services with the Local Education Agency</w:t>
      </w:r>
      <w:r w:rsidRPr="004A0C12">
        <w:rPr>
          <w:rFonts w:ascii="Garamond" w:hAnsi="Garamond"/>
        </w:rPr>
        <w:t xml:space="preserve"> and itinerate teachers and DORS st</w:t>
      </w:r>
      <w:r w:rsidR="00530FA0" w:rsidRPr="004A0C12">
        <w:rPr>
          <w:rFonts w:ascii="Garamond" w:hAnsi="Garamond"/>
        </w:rPr>
        <w:t>aff are held on a regular basis</w:t>
      </w:r>
    </w:p>
    <w:p w14:paraId="68C8EB3E" w14:textId="7E01D189" w:rsidR="007A1FDC" w:rsidRPr="00C0180F" w:rsidRDefault="007A1FDC" w:rsidP="00815374">
      <w:pPr>
        <w:pStyle w:val="Heading2"/>
        <w:rPr>
          <w:rFonts w:ascii="Garamond" w:hAnsi="Garamond"/>
          <w:sz w:val="24"/>
          <w:szCs w:val="24"/>
        </w:rPr>
      </w:pPr>
      <w:bookmarkStart w:id="211" w:name="_Toc447276238"/>
      <w:r w:rsidRPr="00C0180F">
        <w:rPr>
          <w:rFonts w:ascii="Garamond" w:hAnsi="Garamond"/>
          <w:sz w:val="24"/>
          <w:szCs w:val="24"/>
        </w:rPr>
        <w:t>STATEWIDE ASSESSMENT</w:t>
      </w:r>
      <w:r w:rsidR="00B709F8" w:rsidRPr="00C0180F">
        <w:rPr>
          <w:rFonts w:ascii="Garamond" w:hAnsi="Garamond"/>
          <w:sz w:val="24"/>
          <w:szCs w:val="24"/>
        </w:rPr>
        <w:t xml:space="preserve"> -- </w:t>
      </w:r>
      <w:r w:rsidRPr="00C0180F">
        <w:rPr>
          <w:rFonts w:ascii="Garamond" w:hAnsi="Garamond"/>
          <w:sz w:val="24"/>
          <w:szCs w:val="24"/>
        </w:rPr>
        <w:t>2013 COMPREHENSIVE STATEWIDE ASSESSMENT of the REHABILITATION and CAREER NEEDS of INDIVIDUALS with DISABILITIES</w:t>
      </w:r>
      <w:bookmarkEnd w:id="211"/>
    </w:p>
    <w:p w14:paraId="7EF5A5D3" w14:textId="321F0641" w:rsidR="007A1FDC" w:rsidRPr="00C0180F" w:rsidRDefault="00815374" w:rsidP="00431254">
      <w:pPr>
        <w:pStyle w:val="Heading3"/>
        <w:rPr>
          <w:rFonts w:ascii="Garamond" w:hAnsi="Garamond"/>
          <w:sz w:val="24"/>
          <w:szCs w:val="24"/>
        </w:rPr>
      </w:pPr>
      <w:bookmarkStart w:id="212" w:name="_Toc447276239"/>
      <w:r w:rsidRPr="00C0180F">
        <w:rPr>
          <w:rFonts w:ascii="Garamond" w:hAnsi="Garamond"/>
          <w:sz w:val="24"/>
          <w:szCs w:val="24"/>
        </w:rPr>
        <w:t xml:space="preserve">DORS </w:t>
      </w:r>
      <w:r w:rsidR="00B709F8" w:rsidRPr="00C0180F">
        <w:rPr>
          <w:rFonts w:ascii="Garamond" w:hAnsi="Garamond"/>
          <w:sz w:val="24"/>
          <w:szCs w:val="24"/>
        </w:rPr>
        <w:t xml:space="preserve">and </w:t>
      </w:r>
      <w:r w:rsidR="007A1FDC" w:rsidRPr="00C0180F">
        <w:rPr>
          <w:rFonts w:ascii="Garamond" w:hAnsi="Garamond"/>
          <w:sz w:val="24"/>
          <w:szCs w:val="24"/>
        </w:rPr>
        <w:t>Maryla</w:t>
      </w:r>
      <w:r w:rsidR="00B709F8" w:rsidRPr="00C0180F">
        <w:rPr>
          <w:rFonts w:ascii="Garamond" w:hAnsi="Garamond"/>
          <w:sz w:val="24"/>
          <w:szCs w:val="24"/>
        </w:rPr>
        <w:t xml:space="preserve">nd State Rehabilitation Council -- </w:t>
      </w:r>
      <w:r w:rsidR="007A1FDC" w:rsidRPr="00C0180F">
        <w:rPr>
          <w:rFonts w:ascii="Garamond" w:hAnsi="Garamond"/>
          <w:sz w:val="24"/>
          <w:szCs w:val="24"/>
        </w:rPr>
        <w:t>Impact of Federal funding and staff capacity</w:t>
      </w:r>
      <w:bookmarkEnd w:id="212"/>
    </w:p>
    <w:p w14:paraId="264F5018" w14:textId="77777777" w:rsidR="00C91445" w:rsidRPr="004A0C12" w:rsidRDefault="00C91445" w:rsidP="00C91445">
      <w:pPr>
        <w:pStyle w:val="NormalWeb"/>
        <w:spacing w:before="0" w:beforeAutospacing="0" w:afterAutospacing="0"/>
        <w:rPr>
          <w:rFonts w:ascii="Garamond" w:hAnsi="Garamond"/>
          <w:sz w:val="22"/>
          <w:szCs w:val="22"/>
        </w:rPr>
      </w:pPr>
      <w:r w:rsidRPr="004A0C12">
        <w:rPr>
          <w:rFonts w:ascii="Garamond" w:hAnsi="Garamond"/>
          <w:color w:val="000000"/>
          <w:sz w:val="22"/>
          <w:szCs w:val="22"/>
        </w:rPr>
        <w:t>The last Statewide Needs Assessment was conducted in 2013 and is the basis for the following assessment of the rehabilitation needs of individuals with disabilities in Maryland. Updates have been provided as appropriate. The 2016 Statewide Needs Assessment is currently being conducted, and the results will be reported at a later time.</w:t>
      </w:r>
    </w:p>
    <w:p w14:paraId="4BC07106" w14:textId="77777777" w:rsidR="00C91445" w:rsidRPr="004A0C12" w:rsidRDefault="00C91445" w:rsidP="00C91445">
      <w:pPr>
        <w:pStyle w:val="NormalWeb"/>
        <w:spacing w:before="0" w:beforeAutospacing="0" w:afterAutospacing="0"/>
        <w:rPr>
          <w:rFonts w:ascii="Garamond" w:hAnsi="Garamond"/>
          <w:sz w:val="22"/>
          <w:szCs w:val="22"/>
        </w:rPr>
      </w:pPr>
      <w:r w:rsidRPr="004A0C12">
        <w:rPr>
          <w:rFonts w:ascii="Garamond" w:hAnsi="Garamond"/>
          <w:color w:val="000000"/>
          <w:sz w:val="22"/>
          <w:szCs w:val="22"/>
        </w:rPr>
        <w:t>In Maryland, the prevalence of disability in 2013 was 10.6%; and the percentage actively looking for work among people with disabilities who were not working was 12.2%. In 2013, the prevalence of six disability types was as follows: 1.9% reported a Visual Disability, 2.8% reported a Hearing Disability, 6.0% reported an Ambulatory Disability, 4.1% reported a Cognitive Disability, 2.1% reported a Self- Care Disability, and 4.6% reported an Independent Living Disability. (2013 Disability Status Report, Maryland, Employment and Disability Institute at the Cornell University ILR School)</w:t>
      </w:r>
    </w:p>
    <w:p w14:paraId="60F5A4F8" w14:textId="77777777" w:rsidR="00C91445" w:rsidRPr="004A0C12" w:rsidRDefault="00C91445" w:rsidP="007A1FDC">
      <w:pPr>
        <w:spacing w:after="0" w:line="240" w:lineRule="auto"/>
        <w:jc w:val="both"/>
        <w:rPr>
          <w:rFonts w:ascii="Garamond" w:hAnsi="Garamond"/>
        </w:rPr>
      </w:pPr>
    </w:p>
    <w:p w14:paraId="30E79CF8" w14:textId="55224465" w:rsidR="007A1FDC" w:rsidRPr="004A0C12" w:rsidRDefault="007A1FDC" w:rsidP="007A1FDC">
      <w:pPr>
        <w:spacing w:after="0" w:line="240" w:lineRule="auto"/>
        <w:jc w:val="both"/>
        <w:rPr>
          <w:rFonts w:ascii="Garamond" w:hAnsi="Garamond"/>
        </w:rPr>
      </w:pPr>
      <w:r w:rsidRPr="004A0C12">
        <w:rPr>
          <w:rFonts w:ascii="Garamond" w:hAnsi="Garamond"/>
        </w:rPr>
        <w:t xml:space="preserve">Emphasized in the previous two Needs Assessments, </w:t>
      </w:r>
      <w:r w:rsidR="00815374" w:rsidRPr="004A0C12">
        <w:rPr>
          <w:rFonts w:ascii="Garamond" w:hAnsi="Garamond"/>
        </w:rPr>
        <w:t xml:space="preserve">the </w:t>
      </w:r>
      <w:r w:rsidRPr="004A0C12">
        <w:rPr>
          <w:rFonts w:ascii="Garamond" w:hAnsi="Garamond"/>
        </w:rPr>
        <w:t>DORS waiting list and delays in service provision remain a prominent concern and constitute the most significant need for individuals with significant disabilities in Maryland. As of the completion of this Needs Assessment, over 3</w:t>
      </w:r>
      <w:r w:rsidR="00815374" w:rsidRPr="004A0C12">
        <w:rPr>
          <w:rFonts w:ascii="Garamond" w:hAnsi="Garamond"/>
        </w:rPr>
        <w:t>,</w:t>
      </w:r>
      <w:r w:rsidRPr="004A0C12">
        <w:rPr>
          <w:rFonts w:ascii="Garamond" w:hAnsi="Garamond"/>
        </w:rPr>
        <w:t>000 eligible individuals with significant disabilities are placed on a waiting list for vocational rehabilitation services lasting up to 18 months. Clearly, individuals on the waiting list are the most serio</w:t>
      </w:r>
      <w:r w:rsidR="00815374" w:rsidRPr="004A0C12">
        <w:rPr>
          <w:rFonts w:ascii="Garamond" w:hAnsi="Garamond"/>
        </w:rPr>
        <w:t xml:space="preserve">usly un-served of populations. </w:t>
      </w:r>
      <w:r w:rsidRPr="004A0C12">
        <w:rPr>
          <w:rFonts w:ascii="Garamond" w:hAnsi="Garamond"/>
        </w:rPr>
        <w:t xml:space="preserve">These are </w:t>
      </w:r>
      <w:r w:rsidR="00815374" w:rsidRPr="004A0C12">
        <w:rPr>
          <w:rFonts w:ascii="Garamond" w:hAnsi="Garamond"/>
        </w:rPr>
        <w:t>individuals who have come to</w:t>
      </w:r>
      <w:r w:rsidRPr="004A0C12">
        <w:rPr>
          <w:rFonts w:ascii="Garamond" w:hAnsi="Garamond"/>
        </w:rPr>
        <w:t xml:space="preserve"> </w:t>
      </w:r>
      <w:r w:rsidR="00815374" w:rsidRPr="004A0C12">
        <w:rPr>
          <w:rFonts w:ascii="Garamond" w:hAnsi="Garamond"/>
        </w:rPr>
        <w:t xml:space="preserve">DORS requesting services to become and/or </w:t>
      </w:r>
      <w:r w:rsidRPr="004A0C12">
        <w:rPr>
          <w:rFonts w:ascii="Garamond" w:hAnsi="Garamond"/>
        </w:rPr>
        <w:t>remain employed and have been determined eligible for such services</w:t>
      </w:r>
      <w:r w:rsidR="00815374" w:rsidRPr="004A0C12">
        <w:rPr>
          <w:rFonts w:ascii="Garamond" w:hAnsi="Garamond"/>
        </w:rPr>
        <w:t>,</w:t>
      </w:r>
      <w:r w:rsidRPr="004A0C12">
        <w:rPr>
          <w:rFonts w:ascii="Garamond" w:hAnsi="Garamond"/>
        </w:rPr>
        <w:t xml:space="preserve"> but cannot be served. In September 2009, the Government Accountability Office (GAO) released a report to Congress (GAO-09-798) that makes clear that Maryland has the third most poorly-funded state VR program due to inherent inequities in the formula used to allocate </w:t>
      </w:r>
      <w:r w:rsidR="00815374" w:rsidRPr="004A0C12">
        <w:rPr>
          <w:rFonts w:ascii="Garamond" w:hAnsi="Garamond"/>
        </w:rPr>
        <w:t>federal dollars between states.</w:t>
      </w:r>
      <w:r w:rsidRPr="004A0C12">
        <w:rPr>
          <w:rFonts w:ascii="Garamond" w:hAnsi="Garamond"/>
        </w:rPr>
        <w:t xml:space="preserve"> Without an act of Congress to change the formula, Maryland’s federal funding may not be sufficient to prevent a substantial increase in the waiting list over time.  </w:t>
      </w:r>
    </w:p>
    <w:p w14:paraId="407D9FC0" w14:textId="77777777" w:rsidR="007A1FDC" w:rsidRPr="004A0C12" w:rsidRDefault="007A1FDC" w:rsidP="007A1FDC">
      <w:pPr>
        <w:spacing w:after="0" w:line="240" w:lineRule="auto"/>
        <w:jc w:val="both"/>
        <w:rPr>
          <w:rFonts w:ascii="Garamond" w:hAnsi="Garamond"/>
        </w:rPr>
      </w:pPr>
    </w:p>
    <w:p w14:paraId="2E66516F" w14:textId="2FF2D7C0" w:rsidR="007A1FDC" w:rsidRPr="004A0C12" w:rsidRDefault="007A1FDC" w:rsidP="007A1FDC">
      <w:pPr>
        <w:spacing w:after="0" w:line="240" w:lineRule="auto"/>
        <w:jc w:val="both"/>
        <w:rPr>
          <w:rFonts w:ascii="Garamond" w:hAnsi="Garamond"/>
        </w:rPr>
      </w:pPr>
      <w:r w:rsidRPr="004A0C12">
        <w:rPr>
          <w:rFonts w:ascii="Garamond" w:hAnsi="Garamond"/>
        </w:rPr>
        <w:t>In addition to federal funding inequities, the recession over the last years and its impact on state governments</w:t>
      </w:r>
      <w:r w:rsidR="00815374" w:rsidRPr="004A0C12">
        <w:rPr>
          <w:rFonts w:ascii="Garamond" w:hAnsi="Garamond"/>
        </w:rPr>
        <w:t>,</w:t>
      </w:r>
      <w:r w:rsidRPr="004A0C12">
        <w:rPr>
          <w:rFonts w:ascii="Garamond" w:hAnsi="Garamond"/>
        </w:rPr>
        <w:t xml:space="preserve"> has resulted in a hiring freeze affecting vocational rehabilitation specialists/counselors</w:t>
      </w:r>
      <w:r w:rsidR="00815374" w:rsidRPr="004A0C12">
        <w:rPr>
          <w:rFonts w:ascii="Garamond" w:hAnsi="Garamond"/>
        </w:rPr>
        <w:t>,</w:t>
      </w:r>
      <w:r w:rsidRPr="004A0C12">
        <w:rPr>
          <w:rFonts w:ascii="Garamond" w:hAnsi="Garamond"/>
        </w:rPr>
        <w:t xml:space="preserve"> as well as most other agency staff, with extended periods of vacancies for staff who have left DORS. This has become another significant factor in the agency’s ability to shorten the waiting list and provide services to individuals with significant disabilities on a more timely basis. During fiscal year 2012 DORS has received approval for six additional contractual positions from the state which are expected to somewhat reduce the waiting list. </w:t>
      </w:r>
    </w:p>
    <w:p w14:paraId="264ECA25" w14:textId="77777777" w:rsidR="007A1FDC" w:rsidRPr="00C0180F" w:rsidRDefault="007A1FDC" w:rsidP="00431254">
      <w:pPr>
        <w:pStyle w:val="Heading3"/>
        <w:rPr>
          <w:rFonts w:ascii="Garamond" w:hAnsi="Garamond"/>
          <w:sz w:val="24"/>
          <w:szCs w:val="24"/>
        </w:rPr>
      </w:pPr>
      <w:bookmarkStart w:id="213" w:name="_Toc447276240"/>
      <w:r w:rsidRPr="00C0180F">
        <w:rPr>
          <w:rFonts w:ascii="Garamond" w:hAnsi="Garamond"/>
          <w:sz w:val="24"/>
          <w:szCs w:val="24"/>
        </w:rPr>
        <w:t>Recommendation related to Federal funding and staff capacity</w:t>
      </w:r>
      <w:bookmarkEnd w:id="213"/>
    </w:p>
    <w:p w14:paraId="37ADB779" w14:textId="7C36DC10" w:rsidR="007A1FDC" w:rsidRPr="004A0C12" w:rsidRDefault="007A1FDC" w:rsidP="007A1FDC">
      <w:pPr>
        <w:spacing w:after="0" w:line="240" w:lineRule="auto"/>
        <w:jc w:val="both"/>
        <w:rPr>
          <w:rFonts w:ascii="Garamond" w:hAnsi="Garamond"/>
        </w:rPr>
      </w:pPr>
      <w:r w:rsidRPr="004A0C12">
        <w:rPr>
          <w:rFonts w:ascii="Garamond" w:hAnsi="Garamond"/>
        </w:rPr>
        <w:t>The overriding vocational rehabilitation services need of individuals with disabilities residing in Maryland is equitable distribution of federal VR funds, and timely filling of counselor positions. While other recommendations in this attachment address ways to incrementally improve VR services to individuals with disabilities, continuation of historical underfunding of Maryland VR in relation to other states and continuation of extended periods of vacancy for front line staff will make it very difficult to implement changes that could result in many more individuals with disa</w:t>
      </w:r>
      <w:r w:rsidR="00973A20" w:rsidRPr="004A0C12">
        <w:rPr>
          <w:rFonts w:ascii="Garamond" w:hAnsi="Garamond"/>
        </w:rPr>
        <w:t xml:space="preserve">bilities achieving employment. </w:t>
      </w:r>
    </w:p>
    <w:p w14:paraId="1E64621E" w14:textId="0177E366" w:rsidR="007A1FDC" w:rsidRPr="00C0180F" w:rsidRDefault="007A1FDC" w:rsidP="00B709F8">
      <w:pPr>
        <w:pStyle w:val="Heading3"/>
        <w:rPr>
          <w:rFonts w:ascii="Garamond" w:hAnsi="Garamond"/>
          <w:sz w:val="24"/>
          <w:szCs w:val="24"/>
        </w:rPr>
      </w:pPr>
      <w:bookmarkStart w:id="214" w:name="_Toc447276241"/>
      <w:r w:rsidRPr="00C0180F">
        <w:rPr>
          <w:rFonts w:ascii="Garamond" w:hAnsi="Garamond"/>
          <w:sz w:val="24"/>
          <w:szCs w:val="24"/>
        </w:rPr>
        <w:t>(1) Assessment of Rehabilitation Needs of Individuals with Disabil</w:t>
      </w:r>
      <w:r w:rsidR="00973A20" w:rsidRPr="00C0180F">
        <w:rPr>
          <w:rFonts w:ascii="Garamond" w:hAnsi="Garamond"/>
          <w:sz w:val="24"/>
          <w:szCs w:val="24"/>
        </w:rPr>
        <w:t>ities Residing in the State:</w:t>
      </w:r>
      <w:r w:rsidRPr="00C0180F">
        <w:rPr>
          <w:rFonts w:ascii="Garamond" w:hAnsi="Garamond"/>
          <w:sz w:val="24"/>
          <w:szCs w:val="24"/>
        </w:rPr>
        <w:t xml:space="preserve"> Individuals with the most significant disabilities</w:t>
      </w:r>
      <w:bookmarkEnd w:id="214"/>
    </w:p>
    <w:p w14:paraId="0C14E57B" w14:textId="77777777" w:rsidR="007A1FDC" w:rsidRPr="004A0C12" w:rsidRDefault="007A1FDC" w:rsidP="007A1FDC">
      <w:pPr>
        <w:spacing w:after="0" w:line="240" w:lineRule="auto"/>
        <w:jc w:val="both"/>
        <w:rPr>
          <w:rFonts w:ascii="Garamond" w:hAnsi="Garamond"/>
          <w:caps/>
        </w:rPr>
      </w:pPr>
    </w:p>
    <w:p w14:paraId="18B4453A" w14:textId="5446EB2B" w:rsidR="007A1FDC" w:rsidRPr="004A0C12" w:rsidRDefault="007A1FDC" w:rsidP="007A1FDC">
      <w:pPr>
        <w:spacing w:after="0" w:line="240" w:lineRule="auto"/>
        <w:jc w:val="both"/>
        <w:rPr>
          <w:rFonts w:ascii="Garamond" w:hAnsi="Garamond"/>
          <w:u w:val="single"/>
        </w:rPr>
      </w:pPr>
      <w:r w:rsidRPr="004A0C12">
        <w:rPr>
          <w:rFonts w:ascii="Garamond" w:hAnsi="Garamond"/>
          <w:u w:val="single"/>
        </w:rPr>
        <w:t xml:space="preserve">Blind/Vision Impaired and Deaf-Blind </w:t>
      </w:r>
    </w:p>
    <w:p w14:paraId="56D0759F" w14:textId="0861076F" w:rsidR="007A1FDC" w:rsidRPr="004A0C12" w:rsidRDefault="007A1FDC" w:rsidP="007A1FDC">
      <w:pPr>
        <w:spacing w:after="0" w:line="240" w:lineRule="auto"/>
        <w:jc w:val="both"/>
        <w:rPr>
          <w:rFonts w:ascii="Garamond" w:hAnsi="Garamond"/>
        </w:rPr>
      </w:pPr>
      <w:r w:rsidRPr="004A0C12">
        <w:rPr>
          <w:rFonts w:ascii="Garamond" w:hAnsi="Garamond"/>
        </w:rPr>
        <w:t xml:space="preserve">As discussed in the 2010 State Plan Needs Assessment attachment, the Maryland </w:t>
      </w:r>
      <w:r w:rsidR="00973A20" w:rsidRPr="004A0C12">
        <w:rPr>
          <w:rFonts w:ascii="Garamond" w:hAnsi="Garamond"/>
        </w:rPr>
        <w:t>DORS</w:t>
      </w:r>
      <w:r w:rsidRPr="004A0C12">
        <w:rPr>
          <w:rFonts w:ascii="Garamond" w:hAnsi="Garamond"/>
        </w:rPr>
        <w:t xml:space="preserve"> operates the Office for Blindness &amp; Vision Services (OBVS) to assure provision of specialized, quality services to individuals who are blind, vision impaired and deaf-blind. The Blindness &amp; Vision Services committee of the State Rehabilitation Council plays a critical role in establishment and operation of OBVS. The Office for Blindness </w:t>
      </w:r>
      <w:r w:rsidR="00973A20" w:rsidRPr="004A0C12">
        <w:rPr>
          <w:rFonts w:ascii="Garamond" w:hAnsi="Garamond"/>
        </w:rPr>
        <w:t xml:space="preserve">and Vision Services </w:t>
      </w:r>
      <w:r w:rsidRPr="004A0C12">
        <w:rPr>
          <w:rFonts w:ascii="Garamond" w:hAnsi="Garamond"/>
        </w:rPr>
        <w:t>includes the following DORS programs and services:</w:t>
      </w:r>
    </w:p>
    <w:p w14:paraId="163D2D68" w14:textId="77777777" w:rsidR="007A1FDC" w:rsidRPr="004A0C12" w:rsidRDefault="007A1FDC" w:rsidP="007A1FDC">
      <w:pPr>
        <w:spacing w:after="0" w:line="240" w:lineRule="auto"/>
        <w:jc w:val="both"/>
        <w:rPr>
          <w:rFonts w:ascii="Garamond" w:hAnsi="Garamond"/>
        </w:rPr>
      </w:pPr>
    </w:p>
    <w:p w14:paraId="44039DB0" w14:textId="0B4930A8" w:rsidR="007A1FDC" w:rsidRPr="004A0C12" w:rsidRDefault="007A1FDC" w:rsidP="00232F09">
      <w:pPr>
        <w:numPr>
          <w:ilvl w:val="0"/>
          <w:numId w:val="146"/>
        </w:numPr>
        <w:tabs>
          <w:tab w:val="clear" w:pos="360"/>
          <w:tab w:val="num" w:pos="720"/>
        </w:tabs>
        <w:spacing w:after="0" w:line="240" w:lineRule="auto"/>
        <w:ind w:left="720" w:hanging="360"/>
        <w:jc w:val="both"/>
        <w:rPr>
          <w:rFonts w:ascii="Garamond" w:hAnsi="Garamond"/>
        </w:rPr>
      </w:pPr>
      <w:r w:rsidRPr="004A0C12">
        <w:rPr>
          <w:rFonts w:ascii="Garamond" w:hAnsi="Garamond"/>
        </w:rPr>
        <w:lastRenderedPageBreak/>
        <w:t>Rehabilitation counselors in DORS field offices throughout Maryland who are specialists in employment and independent living is</w:t>
      </w:r>
      <w:r w:rsidR="00973A20" w:rsidRPr="004A0C12">
        <w:rPr>
          <w:rFonts w:ascii="Garamond" w:hAnsi="Garamond"/>
        </w:rPr>
        <w:t xml:space="preserve">sues for people who are blind. </w:t>
      </w:r>
      <w:r w:rsidRPr="004A0C12">
        <w:rPr>
          <w:rFonts w:ascii="Garamond" w:hAnsi="Garamond"/>
        </w:rPr>
        <w:t>They provide technical support to counselors for the deaf who work with deaf-blind individuals whose primary communication is American Sign La</w:t>
      </w:r>
      <w:r w:rsidR="00973A20" w:rsidRPr="004A0C12">
        <w:rPr>
          <w:rFonts w:ascii="Garamond" w:hAnsi="Garamond"/>
        </w:rPr>
        <w:t>nguage (ASL) or Tactical sign;</w:t>
      </w:r>
    </w:p>
    <w:p w14:paraId="59C53789" w14:textId="60F52264" w:rsidR="007A1FDC" w:rsidRPr="004A0C12" w:rsidRDefault="007A1FDC" w:rsidP="00232F09">
      <w:pPr>
        <w:numPr>
          <w:ilvl w:val="0"/>
          <w:numId w:val="146"/>
        </w:numPr>
        <w:tabs>
          <w:tab w:val="clear" w:pos="360"/>
          <w:tab w:val="num" w:pos="720"/>
        </w:tabs>
        <w:spacing w:after="0" w:line="240" w:lineRule="auto"/>
        <w:ind w:left="720" w:hanging="360"/>
        <w:jc w:val="both"/>
        <w:rPr>
          <w:rFonts w:ascii="Garamond" w:hAnsi="Garamond"/>
        </w:rPr>
      </w:pPr>
      <w:r w:rsidRPr="004A0C12">
        <w:rPr>
          <w:rFonts w:ascii="Garamond" w:hAnsi="Garamond"/>
        </w:rPr>
        <w:t>Rehabilitation teachers across the state who deliver community-based services</w:t>
      </w:r>
      <w:r w:rsidR="00973A20" w:rsidRPr="004A0C12">
        <w:rPr>
          <w:rFonts w:ascii="Garamond" w:hAnsi="Garamond"/>
        </w:rPr>
        <w:t>,</w:t>
      </w:r>
      <w:r w:rsidRPr="004A0C12">
        <w:rPr>
          <w:rFonts w:ascii="Garamond" w:hAnsi="Garamond"/>
        </w:rPr>
        <w:t xml:space="preserve"> such as mobility training, household management skills and</w:t>
      </w:r>
      <w:r w:rsidR="00973A20" w:rsidRPr="004A0C12">
        <w:rPr>
          <w:rFonts w:ascii="Garamond" w:hAnsi="Garamond"/>
        </w:rPr>
        <w:t xml:space="preserve"> communication device training.</w:t>
      </w:r>
      <w:r w:rsidRPr="004A0C12">
        <w:rPr>
          <w:rFonts w:ascii="Garamond" w:hAnsi="Garamond"/>
        </w:rPr>
        <w:t xml:space="preserve"> These teachers also provide independent living training to individuals who have vision impairment, are age 55 and over</w:t>
      </w:r>
      <w:r w:rsidR="00973A20" w:rsidRPr="004A0C12">
        <w:rPr>
          <w:rFonts w:ascii="Garamond" w:hAnsi="Garamond"/>
        </w:rPr>
        <w:t>,</w:t>
      </w:r>
      <w:r w:rsidRPr="004A0C12">
        <w:rPr>
          <w:rFonts w:ascii="Garamond" w:hAnsi="Garamond"/>
        </w:rPr>
        <w:t xml:space="preserve"> and</w:t>
      </w:r>
      <w:r w:rsidR="00973A20" w:rsidRPr="004A0C12">
        <w:rPr>
          <w:rFonts w:ascii="Garamond" w:hAnsi="Garamond"/>
        </w:rPr>
        <w:t xml:space="preserve"> are not seeking employment;</w:t>
      </w:r>
    </w:p>
    <w:p w14:paraId="7DF0715C" w14:textId="6B141728" w:rsidR="007A1FDC" w:rsidRPr="004A0C12" w:rsidRDefault="007A1FDC" w:rsidP="00232F09">
      <w:pPr>
        <w:numPr>
          <w:ilvl w:val="0"/>
          <w:numId w:val="146"/>
        </w:numPr>
        <w:tabs>
          <w:tab w:val="clear" w:pos="360"/>
          <w:tab w:val="num" w:pos="720"/>
        </w:tabs>
        <w:spacing w:after="0" w:line="240" w:lineRule="auto"/>
        <w:ind w:left="720" w:hanging="360"/>
        <w:jc w:val="both"/>
        <w:rPr>
          <w:rFonts w:ascii="Garamond" w:hAnsi="Garamond"/>
        </w:rPr>
      </w:pPr>
      <w:r w:rsidRPr="004A0C12">
        <w:rPr>
          <w:rFonts w:ascii="Garamond" w:hAnsi="Garamond"/>
        </w:rPr>
        <w:t>The Maryland Business Enterprise Progra</w:t>
      </w:r>
      <w:r w:rsidR="00973A20" w:rsidRPr="004A0C12">
        <w:rPr>
          <w:rFonts w:ascii="Garamond" w:hAnsi="Garamond"/>
        </w:rPr>
        <w:t>m for the Blind</w:t>
      </w:r>
      <w:r w:rsidRPr="004A0C12">
        <w:rPr>
          <w:rFonts w:ascii="Garamond" w:hAnsi="Garamond"/>
        </w:rPr>
        <w:t>, which provides opportunities for individuals who are legally blind to operate vending, gift or food service businesses i</w:t>
      </w:r>
      <w:r w:rsidR="00973A20" w:rsidRPr="004A0C12">
        <w:rPr>
          <w:rFonts w:ascii="Garamond" w:hAnsi="Garamond"/>
        </w:rPr>
        <w:t>n public and private facilities;</w:t>
      </w:r>
    </w:p>
    <w:p w14:paraId="0F4C8038" w14:textId="77777777" w:rsidR="00075BBD" w:rsidRPr="004A0C12" w:rsidRDefault="007A1FDC" w:rsidP="00232F09">
      <w:pPr>
        <w:numPr>
          <w:ilvl w:val="0"/>
          <w:numId w:val="146"/>
        </w:numPr>
        <w:tabs>
          <w:tab w:val="clear" w:pos="360"/>
          <w:tab w:val="num" w:pos="720"/>
        </w:tabs>
        <w:spacing w:after="0" w:line="240" w:lineRule="auto"/>
        <w:ind w:left="720" w:hanging="360"/>
        <w:jc w:val="both"/>
        <w:rPr>
          <w:rFonts w:ascii="Garamond" w:hAnsi="Garamond"/>
        </w:rPr>
      </w:pPr>
      <w:r w:rsidRPr="004A0C12">
        <w:rPr>
          <w:rFonts w:ascii="Garamond" w:hAnsi="Garamond"/>
        </w:rPr>
        <w:t>Programs for individuals who are blind located at the Division’s Workforce and</w:t>
      </w:r>
      <w:r w:rsidR="00973A20" w:rsidRPr="004A0C12">
        <w:rPr>
          <w:rFonts w:ascii="Garamond" w:hAnsi="Garamond"/>
        </w:rPr>
        <w:t xml:space="preserve"> Technology Center.</w:t>
      </w:r>
      <w:r w:rsidRPr="004A0C12">
        <w:rPr>
          <w:rFonts w:ascii="Garamond" w:hAnsi="Garamond"/>
        </w:rPr>
        <w:t xml:space="preserve"> These programs include assessme</w:t>
      </w:r>
      <w:r w:rsidR="00973A20" w:rsidRPr="004A0C12">
        <w:rPr>
          <w:rFonts w:ascii="Garamond" w:hAnsi="Garamond"/>
        </w:rPr>
        <w:t>nt, training and support groups;</w:t>
      </w:r>
    </w:p>
    <w:p w14:paraId="0D6D4717" w14:textId="04DFABC1" w:rsidR="00973A20" w:rsidRPr="004A0C12" w:rsidRDefault="007A1FDC" w:rsidP="00232F09">
      <w:pPr>
        <w:numPr>
          <w:ilvl w:val="0"/>
          <w:numId w:val="146"/>
        </w:numPr>
        <w:tabs>
          <w:tab w:val="clear" w:pos="360"/>
          <w:tab w:val="num" w:pos="720"/>
        </w:tabs>
        <w:spacing w:after="0" w:line="240" w:lineRule="auto"/>
        <w:ind w:left="720" w:hanging="360"/>
        <w:jc w:val="both"/>
        <w:rPr>
          <w:rFonts w:ascii="Garamond" w:hAnsi="Garamond"/>
        </w:rPr>
      </w:pPr>
      <w:r w:rsidRPr="004A0C12">
        <w:rPr>
          <w:rFonts w:ascii="Garamond" w:hAnsi="Garamond"/>
        </w:rPr>
        <w:t>The newly hired Deaf-Blind Specialist will provide technical assistance and support to all staff on issue</w:t>
      </w:r>
      <w:r w:rsidR="00973A20" w:rsidRPr="004A0C12">
        <w:rPr>
          <w:rFonts w:ascii="Garamond" w:hAnsi="Garamond"/>
        </w:rPr>
        <w:t>s pertaining to Deaf-Blindness.</w:t>
      </w:r>
      <w:r w:rsidRPr="004A0C12">
        <w:rPr>
          <w:rFonts w:ascii="Garamond" w:hAnsi="Garamond"/>
        </w:rPr>
        <w:t xml:space="preserve"> One of the major goals of this position</w:t>
      </w:r>
      <w:r w:rsidR="00075BBD" w:rsidRPr="004A0C12">
        <w:rPr>
          <w:rFonts w:ascii="Garamond" w:hAnsi="Garamond"/>
        </w:rPr>
        <w:t xml:space="preserve"> is to develop and implement Support Service Provider</w:t>
      </w:r>
      <w:r w:rsidR="00973A20" w:rsidRPr="004A0C12">
        <w:rPr>
          <w:rFonts w:ascii="Garamond" w:hAnsi="Garamond"/>
        </w:rPr>
        <w:t xml:space="preserve"> services for the Division. </w:t>
      </w:r>
    </w:p>
    <w:p w14:paraId="0D66E9F2" w14:textId="77777777" w:rsidR="00973A20" w:rsidRPr="004A0C12" w:rsidRDefault="00973A20" w:rsidP="00973A20">
      <w:pPr>
        <w:spacing w:after="0" w:line="240" w:lineRule="auto"/>
        <w:ind w:left="720"/>
        <w:jc w:val="both"/>
        <w:rPr>
          <w:rFonts w:ascii="Garamond" w:hAnsi="Garamond"/>
        </w:rPr>
      </w:pPr>
    </w:p>
    <w:p w14:paraId="2E83781A" w14:textId="77777777" w:rsidR="00C91445" w:rsidRPr="004A0C12" w:rsidRDefault="00C91445" w:rsidP="00C91445">
      <w:pPr>
        <w:pStyle w:val="NormalWeb"/>
        <w:spacing w:before="0" w:beforeAutospacing="0" w:afterAutospacing="0"/>
        <w:rPr>
          <w:rFonts w:ascii="Garamond" w:hAnsi="Garamond"/>
          <w:sz w:val="22"/>
          <w:szCs w:val="22"/>
        </w:rPr>
      </w:pPr>
      <w:r w:rsidRPr="004A0C12">
        <w:rPr>
          <w:rFonts w:ascii="Garamond" w:hAnsi="Garamond"/>
          <w:color w:val="000000"/>
          <w:sz w:val="22"/>
          <w:szCs w:val="22"/>
        </w:rPr>
        <w:t>The 2013 Needs Assessment identified new ideas and trends. For example, although Deaf- Blindness is considered a low incidence disability, the cost of services, technical skills and specific knowledge required to impact change are significant.</w:t>
      </w:r>
    </w:p>
    <w:p w14:paraId="60DEF6B6" w14:textId="77777777" w:rsidR="007A1FDC" w:rsidRPr="004A0C12" w:rsidRDefault="007A1FDC" w:rsidP="007A1FDC">
      <w:pPr>
        <w:spacing w:after="0" w:line="240" w:lineRule="auto"/>
        <w:jc w:val="both"/>
        <w:rPr>
          <w:rFonts w:ascii="Garamond" w:hAnsi="Garamond"/>
        </w:rPr>
      </w:pPr>
    </w:p>
    <w:p w14:paraId="5E2E08AF" w14:textId="681CCF01" w:rsidR="007A1FDC" w:rsidRPr="004A0C12" w:rsidRDefault="00973A20" w:rsidP="007A1FDC">
      <w:pPr>
        <w:spacing w:after="0" w:line="240" w:lineRule="auto"/>
        <w:jc w:val="both"/>
        <w:rPr>
          <w:rFonts w:ascii="Garamond" w:hAnsi="Garamond"/>
        </w:rPr>
      </w:pPr>
      <w:r w:rsidRPr="004A0C12">
        <w:rPr>
          <w:rFonts w:ascii="Garamond" w:hAnsi="Garamond"/>
        </w:rPr>
        <w:t xml:space="preserve">Prevalence: </w:t>
      </w:r>
      <w:r w:rsidR="007A1FDC" w:rsidRPr="004A0C12">
        <w:rPr>
          <w:rFonts w:ascii="Garamond" w:hAnsi="Garamond"/>
        </w:rPr>
        <w:t>According to the National Center for Health Statistics</w:t>
      </w:r>
      <w:r w:rsidRPr="004A0C12">
        <w:rPr>
          <w:rFonts w:ascii="Garamond" w:hAnsi="Garamond"/>
        </w:rPr>
        <w:t>, as of March 2013, it was</w:t>
      </w:r>
      <w:r w:rsidR="007A1FDC" w:rsidRPr="004A0C12">
        <w:rPr>
          <w:rFonts w:ascii="Garamond" w:hAnsi="Garamond"/>
        </w:rPr>
        <w:t xml:space="preserve"> estimated that as many as 10 million Americans are blind or visually impaired, and each year 75,000 more people in the U</w:t>
      </w:r>
      <w:r w:rsidRPr="004A0C12">
        <w:rPr>
          <w:rFonts w:ascii="Garamond" w:hAnsi="Garamond"/>
        </w:rPr>
        <w:t>.</w:t>
      </w:r>
      <w:r w:rsidR="007A1FDC" w:rsidRPr="004A0C12">
        <w:rPr>
          <w:rFonts w:ascii="Garamond" w:hAnsi="Garamond"/>
        </w:rPr>
        <w:t>S</w:t>
      </w:r>
      <w:r w:rsidRPr="004A0C12">
        <w:rPr>
          <w:rFonts w:ascii="Garamond" w:hAnsi="Garamond"/>
        </w:rPr>
        <w:t>.</w:t>
      </w:r>
      <w:r w:rsidR="007A1FDC" w:rsidRPr="004A0C12">
        <w:rPr>
          <w:rFonts w:ascii="Garamond" w:hAnsi="Garamond"/>
        </w:rPr>
        <w:t xml:space="preserve"> will beco</w:t>
      </w:r>
      <w:r w:rsidRPr="004A0C12">
        <w:rPr>
          <w:rFonts w:ascii="Garamond" w:hAnsi="Garamond"/>
        </w:rPr>
        <w:t xml:space="preserve">me blind or visually impaired. </w:t>
      </w:r>
      <w:r w:rsidR="007A1FDC" w:rsidRPr="004A0C12">
        <w:rPr>
          <w:rFonts w:ascii="Garamond" w:hAnsi="Garamond"/>
        </w:rPr>
        <w:t>The National Association of Regulat</w:t>
      </w:r>
      <w:r w:rsidRPr="004A0C12">
        <w:rPr>
          <w:rFonts w:ascii="Garamond" w:hAnsi="Garamond"/>
        </w:rPr>
        <w:t xml:space="preserve">ory Utility Commissions </w:t>
      </w:r>
      <w:r w:rsidR="007A1FDC" w:rsidRPr="004A0C12">
        <w:rPr>
          <w:rFonts w:ascii="Garamond" w:hAnsi="Garamond"/>
        </w:rPr>
        <w:t>estimates that 70,000 – 100,000 people l</w:t>
      </w:r>
      <w:r w:rsidRPr="004A0C12">
        <w:rPr>
          <w:rFonts w:ascii="Garamond" w:hAnsi="Garamond"/>
        </w:rPr>
        <w:t>iving in the US are deaf-blind.</w:t>
      </w:r>
      <w:r w:rsidR="007A1FDC" w:rsidRPr="004A0C12">
        <w:rPr>
          <w:rFonts w:ascii="Garamond" w:hAnsi="Garamond"/>
        </w:rPr>
        <w:t xml:space="preserve"> This means that the individuals identified have some significant level of </w:t>
      </w:r>
      <w:r w:rsidRPr="004A0C12">
        <w:rPr>
          <w:rFonts w:ascii="Garamond" w:hAnsi="Garamond"/>
        </w:rPr>
        <w:t xml:space="preserve">both vision and hearing loss. </w:t>
      </w:r>
      <w:r w:rsidR="007A1FDC" w:rsidRPr="004A0C12">
        <w:rPr>
          <w:rFonts w:ascii="Garamond" w:hAnsi="Garamond"/>
        </w:rPr>
        <w:t xml:space="preserve">Based on the reported statistics, it is critical that rehabilitation agencies maintain quality services to assist these individuals with their independent living and employment needs.   </w:t>
      </w:r>
    </w:p>
    <w:p w14:paraId="27101976" w14:textId="77777777" w:rsidR="007A1FDC" w:rsidRPr="004A0C12" w:rsidRDefault="007A1FDC" w:rsidP="007A1FDC">
      <w:pPr>
        <w:spacing w:after="0" w:line="240" w:lineRule="auto"/>
        <w:jc w:val="both"/>
        <w:rPr>
          <w:rFonts w:ascii="Garamond" w:hAnsi="Garamond"/>
        </w:rPr>
      </w:pPr>
    </w:p>
    <w:p w14:paraId="66B99134" w14:textId="3F212D47" w:rsidR="007A1FDC" w:rsidRPr="004A0C12" w:rsidRDefault="00973A20" w:rsidP="007A1FDC">
      <w:pPr>
        <w:spacing w:after="0" w:line="240" w:lineRule="auto"/>
        <w:jc w:val="both"/>
        <w:rPr>
          <w:rFonts w:ascii="Garamond" w:hAnsi="Garamond"/>
        </w:rPr>
      </w:pPr>
      <w:r w:rsidRPr="004A0C12">
        <w:rPr>
          <w:rFonts w:ascii="Garamond" w:hAnsi="Garamond"/>
        </w:rPr>
        <w:t xml:space="preserve">Methodology: </w:t>
      </w:r>
      <w:r w:rsidR="007A1FDC" w:rsidRPr="004A0C12">
        <w:rPr>
          <w:rFonts w:ascii="Garamond" w:hAnsi="Garamond"/>
        </w:rPr>
        <w:t>To ascertain the needs of individuals who are blind, visually impaired and deaf-blind, DORS requested and received feedback from consumers, stakeholders, and staff through</w:t>
      </w:r>
      <w:r w:rsidRPr="004A0C12">
        <w:rPr>
          <w:rFonts w:ascii="Garamond" w:hAnsi="Garamond"/>
        </w:rPr>
        <w:t>:</w:t>
      </w:r>
      <w:r w:rsidR="007A1FDC" w:rsidRPr="004A0C12">
        <w:rPr>
          <w:rFonts w:ascii="Garamond" w:hAnsi="Garamond"/>
        </w:rPr>
        <w:t xml:space="preserve"> (1) stakeh</w:t>
      </w:r>
      <w:r w:rsidRPr="004A0C12">
        <w:rPr>
          <w:rFonts w:ascii="Garamond" w:hAnsi="Garamond"/>
        </w:rPr>
        <w:t xml:space="preserve">older focus groups (blindness); and, </w:t>
      </w:r>
      <w:r w:rsidR="007A1FDC" w:rsidRPr="004A0C12">
        <w:rPr>
          <w:rFonts w:ascii="Garamond" w:hAnsi="Garamond"/>
        </w:rPr>
        <w:t>(2) an o</w:t>
      </w:r>
      <w:r w:rsidRPr="004A0C12">
        <w:rPr>
          <w:rFonts w:ascii="Garamond" w:hAnsi="Garamond"/>
        </w:rPr>
        <w:t xml:space="preserve">nline survey (deaf-blindness). </w:t>
      </w:r>
      <w:r w:rsidR="007A1FDC" w:rsidRPr="004A0C12">
        <w:rPr>
          <w:rFonts w:ascii="Garamond" w:hAnsi="Garamond"/>
        </w:rPr>
        <w:t xml:space="preserve">Similar methodologies were used in the 2010 Needs Assessment and some comments were similar, but new issues were introduced. The valuable feedback received from the focus groups has already prompted some change in our policies and procedures as it relates to funding college books and supplies. </w:t>
      </w:r>
    </w:p>
    <w:p w14:paraId="78045B9E" w14:textId="77777777" w:rsidR="007A1FDC" w:rsidRPr="004A0C12" w:rsidRDefault="007A1FDC" w:rsidP="007A1FDC">
      <w:pPr>
        <w:spacing w:after="0" w:line="240" w:lineRule="auto"/>
        <w:jc w:val="both"/>
        <w:rPr>
          <w:rFonts w:ascii="Garamond" w:hAnsi="Garamond"/>
        </w:rPr>
      </w:pPr>
    </w:p>
    <w:p w14:paraId="629D06C2" w14:textId="5A33F877" w:rsidR="007A1FDC" w:rsidRPr="004A0C12" w:rsidRDefault="00973A20" w:rsidP="007A1FDC">
      <w:pPr>
        <w:spacing w:after="0" w:line="240" w:lineRule="auto"/>
        <w:jc w:val="both"/>
        <w:rPr>
          <w:rFonts w:ascii="Garamond" w:hAnsi="Garamond"/>
        </w:rPr>
      </w:pPr>
      <w:r w:rsidRPr="004A0C12">
        <w:rPr>
          <w:rFonts w:ascii="Garamond" w:hAnsi="Garamond"/>
        </w:rPr>
        <w:t>Focus Groups</w:t>
      </w:r>
      <w:r w:rsidR="006A4185" w:rsidRPr="004A0C12">
        <w:rPr>
          <w:rFonts w:ascii="Garamond" w:hAnsi="Garamond"/>
        </w:rPr>
        <w:t>’ Needs/Concerns</w:t>
      </w:r>
      <w:r w:rsidRPr="004A0C12">
        <w:rPr>
          <w:rFonts w:ascii="Garamond" w:hAnsi="Garamond"/>
        </w:rPr>
        <w:t xml:space="preserve">: </w:t>
      </w:r>
      <w:r w:rsidR="007A1FDC" w:rsidRPr="004A0C12">
        <w:rPr>
          <w:rFonts w:ascii="Garamond" w:hAnsi="Garamond"/>
        </w:rPr>
        <w:t>In November 2012, separate focus groups at the National Federation of the Blind and the American Council</w:t>
      </w:r>
      <w:r w:rsidRPr="004A0C12">
        <w:rPr>
          <w:rFonts w:ascii="Garamond" w:hAnsi="Garamond"/>
        </w:rPr>
        <w:t xml:space="preserve"> of the Blind state conventions</w:t>
      </w:r>
      <w:r w:rsidR="007A1FDC" w:rsidRPr="004A0C12">
        <w:rPr>
          <w:rFonts w:ascii="Garamond" w:hAnsi="Garamond"/>
        </w:rPr>
        <w:t xml:space="preserve"> were convened to </w:t>
      </w:r>
      <w:r w:rsidRPr="004A0C12">
        <w:rPr>
          <w:rFonts w:ascii="Garamond" w:hAnsi="Garamond"/>
        </w:rPr>
        <w:t>solicit</w:t>
      </w:r>
      <w:r w:rsidR="007A1FDC" w:rsidRPr="004A0C12">
        <w:rPr>
          <w:rFonts w:ascii="Garamond" w:hAnsi="Garamond"/>
        </w:rPr>
        <w:t xml:space="preserve"> feedback from attendees about the unmet needs and </w:t>
      </w:r>
      <w:r w:rsidR="006A4185" w:rsidRPr="004A0C12">
        <w:rPr>
          <w:rFonts w:ascii="Garamond" w:hAnsi="Garamond"/>
        </w:rPr>
        <w:t xml:space="preserve">to gather </w:t>
      </w:r>
      <w:r w:rsidR="007A1FDC" w:rsidRPr="004A0C12">
        <w:rPr>
          <w:rFonts w:ascii="Garamond" w:hAnsi="Garamond"/>
        </w:rPr>
        <w:t xml:space="preserve">recommendations to address those unmet needs. Approximately 10 individuals from each convention participated and the responses are summarized </w:t>
      </w:r>
      <w:r w:rsidR="006A4185" w:rsidRPr="004A0C12">
        <w:rPr>
          <w:rFonts w:ascii="Garamond" w:hAnsi="Garamond"/>
        </w:rPr>
        <w:t xml:space="preserve">as follows: </w:t>
      </w:r>
    </w:p>
    <w:p w14:paraId="16CFD35D" w14:textId="77777777" w:rsidR="006A4185" w:rsidRPr="004A0C12" w:rsidRDefault="006A4185" w:rsidP="006A4185">
      <w:pPr>
        <w:spacing w:after="0" w:line="240" w:lineRule="auto"/>
        <w:ind w:left="720"/>
        <w:jc w:val="both"/>
        <w:rPr>
          <w:rFonts w:ascii="Garamond" w:hAnsi="Garamond"/>
        </w:rPr>
      </w:pPr>
    </w:p>
    <w:p w14:paraId="1CE54669" w14:textId="5CEC2D65" w:rsidR="007A1FDC" w:rsidRPr="004A0C12" w:rsidRDefault="007A1FDC" w:rsidP="00232F09">
      <w:pPr>
        <w:numPr>
          <w:ilvl w:val="0"/>
          <w:numId w:val="147"/>
        </w:numPr>
        <w:tabs>
          <w:tab w:val="clear" w:pos="360"/>
          <w:tab w:val="num" w:pos="720"/>
        </w:tabs>
        <w:spacing w:after="0" w:line="240" w:lineRule="auto"/>
        <w:ind w:left="720" w:hanging="360"/>
        <w:jc w:val="both"/>
        <w:rPr>
          <w:rFonts w:ascii="Garamond" w:hAnsi="Garamond"/>
        </w:rPr>
      </w:pPr>
      <w:r w:rsidRPr="004A0C12">
        <w:rPr>
          <w:rFonts w:ascii="Garamond" w:hAnsi="Garamond"/>
        </w:rPr>
        <w:t>Enhance job placement methods to ensure individuals, especially those who complete training, receive continuous assistance and have access to job</w:t>
      </w:r>
      <w:r w:rsidR="00530FA0" w:rsidRPr="004A0C12">
        <w:rPr>
          <w:rFonts w:ascii="Garamond" w:hAnsi="Garamond"/>
        </w:rPr>
        <w:t xml:space="preserve"> leads through various mediums</w:t>
      </w:r>
    </w:p>
    <w:p w14:paraId="22CAF0A7" w14:textId="23DFA054" w:rsidR="007A1FDC" w:rsidRPr="004A0C12" w:rsidRDefault="007A1FDC" w:rsidP="00232F09">
      <w:pPr>
        <w:numPr>
          <w:ilvl w:val="0"/>
          <w:numId w:val="147"/>
        </w:numPr>
        <w:tabs>
          <w:tab w:val="clear" w:pos="360"/>
          <w:tab w:val="num" w:pos="720"/>
        </w:tabs>
        <w:spacing w:after="0" w:line="240" w:lineRule="auto"/>
        <w:ind w:left="720" w:hanging="360"/>
        <w:jc w:val="both"/>
        <w:rPr>
          <w:rFonts w:ascii="Garamond" w:hAnsi="Garamond"/>
        </w:rPr>
      </w:pPr>
      <w:r w:rsidRPr="004A0C12">
        <w:rPr>
          <w:rFonts w:ascii="Garamond" w:hAnsi="Garamond"/>
        </w:rPr>
        <w:t>Review and update</w:t>
      </w:r>
      <w:r w:rsidR="006A4185" w:rsidRPr="004A0C12">
        <w:rPr>
          <w:rFonts w:ascii="Garamond" w:hAnsi="Garamond"/>
        </w:rPr>
        <w:t>,</w:t>
      </w:r>
      <w:r w:rsidRPr="004A0C12">
        <w:rPr>
          <w:rFonts w:ascii="Garamond" w:hAnsi="Garamond"/>
        </w:rPr>
        <w:t xml:space="preserve"> on an annual basis</w:t>
      </w:r>
      <w:r w:rsidR="006A4185" w:rsidRPr="004A0C12">
        <w:rPr>
          <w:rFonts w:ascii="Garamond" w:hAnsi="Garamond"/>
        </w:rPr>
        <w:t>,</w:t>
      </w:r>
      <w:r w:rsidRPr="004A0C12">
        <w:rPr>
          <w:rFonts w:ascii="Garamond" w:hAnsi="Garamond"/>
        </w:rPr>
        <w:t xml:space="preserve"> agencies policies and procedures as they relate to procurement of goo</w:t>
      </w:r>
      <w:r w:rsidR="00530FA0" w:rsidRPr="004A0C12">
        <w:rPr>
          <w:rFonts w:ascii="Garamond" w:hAnsi="Garamond"/>
        </w:rPr>
        <w:t>ds and services for consumers</w:t>
      </w:r>
    </w:p>
    <w:p w14:paraId="5E7F0D95" w14:textId="026D27CC" w:rsidR="007A1FDC" w:rsidRPr="004A0C12" w:rsidRDefault="007A1FDC" w:rsidP="00232F09">
      <w:pPr>
        <w:numPr>
          <w:ilvl w:val="0"/>
          <w:numId w:val="147"/>
        </w:numPr>
        <w:tabs>
          <w:tab w:val="clear" w:pos="360"/>
          <w:tab w:val="num" w:pos="720"/>
        </w:tabs>
        <w:spacing w:after="0" w:line="240" w:lineRule="auto"/>
        <w:ind w:left="720" w:hanging="360"/>
        <w:jc w:val="both"/>
        <w:rPr>
          <w:rFonts w:ascii="Garamond" w:hAnsi="Garamond"/>
        </w:rPr>
      </w:pPr>
      <w:r w:rsidRPr="004A0C12">
        <w:rPr>
          <w:rFonts w:ascii="Garamond" w:hAnsi="Garamond"/>
        </w:rPr>
        <w:t>Increase outreach to prospective consumers using marketing strategies to target more businesses, community organizations (e.g., American Diabetes Association, Department of Veterans Affairs), doctors, churches, neighborhood associations, etc. to increas</w:t>
      </w:r>
      <w:r w:rsidR="006A4185" w:rsidRPr="004A0C12">
        <w:rPr>
          <w:rFonts w:ascii="Garamond" w:hAnsi="Garamond"/>
        </w:rPr>
        <w:t>e the visibility of the agency.</w:t>
      </w:r>
      <w:r w:rsidRPr="004A0C12">
        <w:rPr>
          <w:rFonts w:ascii="Garamond" w:hAnsi="Garamond"/>
        </w:rPr>
        <w:t xml:space="preserve"> This could include billboards, large signage in high t</w:t>
      </w:r>
      <w:r w:rsidR="006A4185" w:rsidRPr="004A0C12">
        <w:rPr>
          <w:rFonts w:ascii="Garamond" w:hAnsi="Garamond"/>
        </w:rPr>
        <w:t>raffic area (i.e. Inner Harbor), and mailing DORS</w:t>
      </w:r>
      <w:r w:rsidRPr="004A0C12">
        <w:rPr>
          <w:rFonts w:ascii="Garamond" w:hAnsi="Garamond"/>
        </w:rPr>
        <w:t xml:space="preserve"> li</w:t>
      </w:r>
      <w:r w:rsidR="006A4185" w:rsidRPr="004A0C12">
        <w:rPr>
          <w:rFonts w:ascii="Garamond" w:hAnsi="Garamond"/>
        </w:rPr>
        <w:t xml:space="preserve">terature out to the community in an effort </w:t>
      </w:r>
      <w:r w:rsidRPr="004A0C12">
        <w:rPr>
          <w:rFonts w:ascii="Garamond" w:hAnsi="Garamond"/>
        </w:rPr>
        <w:t xml:space="preserve">to reach individuals before they are in “disaster mode” when they </w:t>
      </w:r>
      <w:r w:rsidR="00530FA0" w:rsidRPr="004A0C12">
        <w:rPr>
          <w:rFonts w:ascii="Garamond" w:hAnsi="Garamond"/>
        </w:rPr>
        <w:t>are losing their homes and jobs</w:t>
      </w:r>
    </w:p>
    <w:p w14:paraId="4B3901F1" w14:textId="7B5BCA64" w:rsidR="007A1FDC" w:rsidRPr="004A0C12" w:rsidRDefault="006A4185" w:rsidP="00232F09">
      <w:pPr>
        <w:numPr>
          <w:ilvl w:val="0"/>
          <w:numId w:val="147"/>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Enhance and emphasize counselor’s </w:t>
      </w:r>
      <w:r w:rsidR="007A1FDC" w:rsidRPr="004A0C12">
        <w:rPr>
          <w:rFonts w:ascii="Garamond" w:hAnsi="Garamond"/>
        </w:rPr>
        <w:t>role in</w:t>
      </w:r>
      <w:r w:rsidRPr="004A0C12">
        <w:rPr>
          <w:rFonts w:ascii="Garamond" w:hAnsi="Garamond"/>
        </w:rPr>
        <w:t>:</w:t>
      </w:r>
      <w:r w:rsidR="007A1FDC" w:rsidRPr="004A0C12">
        <w:rPr>
          <w:rFonts w:ascii="Garamond" w:hAnsi="Garamond"/>
        </w:rPr>
        <w:t xml:space="preserve"> (1) advising consumers about the full scope of services, the </w:t>
      </w:r>
      <w:r w:rsidRPr="004A0C12">
        <w:rPr>
          <w:rFonts w:ascii="Garamond" w:hAnsi="Garamond"/>
        </w:rPr>
        <w:t>rehabilitation team and process;</w:t>
      </w:r>
      <w:r w:rsidR="007A1FDC" w:rsidRPr="004A0C12">
        <w:rPr>
          <w:rFonts w:ascii="Garamond" w:hAnsi="Garamond"/>
        </w:rPr>
        <w:t xml:space="preserve"> (2) focusing on capabilities and individua</w:t>
      </w:r>
      <w:r w:rsidRPr="004A0C12">
        <w:rPr>
          <w:rFonts w:ascii="Garamond" w:hAnsi="Garamond"/>
        </w:rPr>
        <w:t>lized needs and learning styles;</w:t>
      </w:r>
      <w:r w:rsidR="007A1FDC" w:rsidRPr="004A0C12">
        <w:rPr>
          <w:rFonts w:ascii="Garamond" w:hAnsi="Garamond"/>
        </w:rPr>
        <w:t xml:space="preserve"> (3) facilitating access to assistive technology</w:t>
      </w:r>
      <w:r w:rsidRPr="004A0C12">
        <w:rPr>
          <w:rFonts w:ascii="Garamond" w:hAnsi="Garamond"/>
        </w:rPr>
        <w:t>;</w:t>
      </w:r>
      <w:r w:rsidR="007A1FDC" w:rsidRPr="004A0C12">
        <w:rPr>
          <w:rFonts w:ascii="Garamond" w:hAnsi="Garamond"/>
        </w:rPr>
        <w:t xml:space="preserve"> (4) minimizing gaps in the provision of services</w:t>
      </w:r>
      <w:r w:rsidRPr="004A0C12">
        <w:rPr>
          <w:rFonts w:ascii="Garamond" w:hAnsi="Garamond"/>
        </w:rPr>
        <w:t>;</w:t>
      </w:r>
      <w:r w:rsidR="007A1FDC" w:rsidRPr="004A0C12">
        <w:rPr>
          <w:rFonts w:ascii="Garamond" w:hAnsi="Garamond"/>
        </w:rPr>
        <w:t xml:space="preserve"> and</w:t>
      </w:r>
      <w:r w:rsidRPr="004A0C12">
        <w:rPr>
          <w:rFonts w:ascii="Garamond" w:hAnsi="Garamond"/>
        </w:rPr>
        <w:t>,</w:t>
      </w:r>
      <w:r w:rsidR="007A1FDC" w:rsidRPr="004A0C12">
        <w:rPr>
          <w:rFonts w:ascii="Garamond" w:hAnsi="Garamond"/>
        </w:rPr>
        <w:t xml:space="preserve"> (5) increasing timel</w:t>
      </w:r>
      <w:r w:rsidR="00530FA0" w:rsidRPr="004A0C12">
        <w:rPr>
          <w:rFonts w:ascii="Garamond" w:hAnsi="Garamond"/>
        </w:rPr>
        <w:t>iness of the services provided</w:t>
      </w:r>
    </w:p>
    <w:p w14:paraId="650C5B35" w14:textId="0069A273" w:rsidR="007A1FDC" w:rsidRPr="004A0C12" w:rsidRDefault="007A1FDC" w:rsidP="00232F09">
      <w:pPr>
        <w:numPr>
          <w:ilvl w:val="0"/>
          <w:numId w:val="147"/>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Address concerns related to technology, including initial access and follow-up training, lack of usage after provision, role of consumer in identifying needed technology, response to technical concerns, </w:t>
      </w:r>
      <w:r w:rsidR="006A4185" w:rsidRPr="004A0C12">
        <w:rPr>
          <w:rFonts w:ascii="Garamond" w:hAnsi="Garamond"/>
        </w:rPr>
        <w:t xml:space="preserve">and </w:t>
      </w:r>
      <w:r w:rsidRPr="004A0C12">
        <w:rPr>
          <w:rFonts w:ascii="Garamond" w:hAnsi="Garamond"/>
        </w:rPr>
        <w:t>a</w:t>
      </w:r>
      <w:r w:rsidR="00530FA0" w:rsidRPr="004A0C12">
        <w:rPr>
          <w:rFonts w:ascii="Garamond" w:hAnsi="Garamond"/>
        </w:rPr>
        <w:t>ccess to accessible textbooks</w:t>
      </w:r>
    </w:p>
    <w:p w14:paraId="6F89D46A" w14:textId="77777777" w:rsidR="00530FA0" w:rsidRPr="004A0C12" w:rsidRDefault="00530FA0" w:rsidP="00530FA0">
      <w:pPr>
        <w:spacing w:after="0" w:line="240" w:lineRule="auto"/>
        <w:ind w:left="720"/>
        <w:jc w:val="both"/>
        <w:rPr>
          <w:rFonts w:ascii="Garamond" w:hAnsi="Garamond"/>
        </w:rPr>
      </w:pPr>
    </w:p>
    <w:p w14:paraId="478DB98C" w14:textId="62A71023" w:rsidR="007A1FDC" w:rsidRPr="004A0C12" w:rsidRDefault="00075BBD" w:rsidP="007A1FDC">
      <w:pPr>
        <w:spacing w:after="0" w:line="240" w:lineRule="auto"/>
        <w:jc w:val="both"/>
        <w:rPr>
          <w:rFonts w:ascii="Garamond" w:hAnsi="Garamond"/>
        </w:rPr>
      </w:pPr>
      <w:r w:rsidRPr="004A0C12">
        <w:rPr>
          <w:rFonts w:ascii="Garamond" w:hAnsi="Garamond"/>
        </w:rPr>
        <w:t xml:space="preserve">Survey on </w:t>
      </w:r>
      <w:r w:rsidR="006A4185" w:rsidRPr="004A0C12">
        <w:rPr>
          <w:rFonts w:ascii="Garamond" w:hAnsi="Garamond"/>
        </w:rPr>
        <w:t>Deaf-blind Services</w:t>
      </w:r>
      <w:r w:rsidRPr="004A0C12">
        <w:rPr>
          <w:rFonts w:ascii="Garamond" w:hAnsi="Garamond"/>
        </w:rPr>
        <w:t xml:space="preserve"> &amp; Needs/Concerns</w:t>
      </w:r>
      <w:r w:rsidR="006A4185" w:rsidRPr="004A0C12">
        <w:rPr>
          <w:rFonts w:ascii="Garamond" w:hAnsi="Garamond"/>
        </w:rPr>
        <w:t xml:space="preserve">: </w:t>
      </w:r>
      <w:r w:rsidR="007A1FDC" w:rsidRPr="004A0C12">
        <w:rPr>
          <w:rFonts w:ascii="Garamond" w:hAnsi="Garamond"/>
        </w:rPr>
        <w:t>A s</w:t>
      </w:r>
      <w:r w:rsidRPr="004A0C12">
        <w:rPr>
          <w:rFonts w:ascii="Garamond" w:hAnsi="Garamond"/>
        </w:rPr>
        <w:t xml:space="preserve">urvey regarding Deaf-Blind </w:t>
      </w:r>
      <w:r w:rsidR="007A1FDC" w:rsidRPr="004A0C12">
        <w:rPr>
          <w:rFonts w:ascii="Garamond" w:hAnsi="Garamond"/>
        </w:rPr>
        <w:t>services was emailed to stakeholders, consumers, community partners, caregivers</w:t>
      </w:r>
      <w:r w:rsidRPr="004A0C12">
        <w:rPr>
          <w:rFonts w:ascii="Garamond" w:hAnsi="Garamond"/>
        </w:rPr>
        <w:t>,</w:t>
      </w:r>
      <w:r w:rsidR="007A1FDC" w:rsidRPr="004A0C12">
        <w:rPr>
          <w:rFonts w:ascii="Garamond" w:hAnsi="Garamond"/>
        </w:rPr>
        <w:t xml:space="preserve"> and DORS staff to solicit feedback about the unmet needs of </w:t>
      </w:r>
      <w:r w:rsidRPr="004A0C12">
        <w:rPr>
          <w:rFonts w:ascii="Garamond" w:hAnsi="Garamond"/>
        </w:rPr>
        <w:t xml:space="preserve">individuals who are deaf-blind. DORS </w:t>
      </w:r>
      <w:r w:rsidR="007A1FDC" w:rsidRPr="004A0C12">
        <w:rPr>
          <w:rFonts w:ascii="Garamond" w:hAnsi="Garamond"/>
        </w:rPr>
        <w:t>received 22 returned surveys via mail, email</w:t>
      </w:r>
      <w:r w:rsidRPr="004A0C12">
        <w:rPr>
          <w:rFonts w:ascii="Garamond" w:hAnsi="Garamond"/>
        </w:rPr>
        <w:t>, and fax.</w:t>
      </w:r>
      <w:r w:rsidR="007A1FDC" w:rsidRPr="004A0C12">
        <w:rPr>
          <w:rFonts w:ascii="Garamond" w:hAnsi="Garamond"/>
        </w:rPr>
        <w:t xml:space="preserve"> Although deaf-blindness is considered a low incidence disability, it is noted that providing services to deaf-blind individuals is particularly challenging because of the complex needs</w:t>
      </w:r>
      <w:r w:rsidRPr="004A0C12">
        <w:rPr>
          <w:rFonts w:ascii="Garamond" w:hAnsi="Garamond"/>
        </w:rPr>
        <w:t xml:space="preserve"> and cost of ongoing supports. </w:t>
      </w:r>
      <w:r w:rsidR="007A1FDC" w:rsidRPr="004A0C12">
        <w:rPr>
          <w:rFonts w:ascii="Garamond" w:hAnsi="Garamond"/>
        </w:rPr>
        <w:t xml:space="preserve">As in the previous Needs Assessment survey, there were universal themes of transportation, communication, and support services as major unmet needs of individuals who are Deaf-blind. </w:t>
      </w:r>
      <w:r w:rsidRPr="004A0C12">
        <w:rPr>
          <w:rFonts w:ascii="Garamond" w:hAnsi="Garamond"/>
        </w:rPr>
        <w:t>The responses can be summarized as follows:</w:t>
      </w:r>
      <w:r w:rsidR="00973A20" w:rsidRPr="004A0C12">
        <w:rPr>
          <w:rFonts w:ascii="Garamond" w:hAnsi="Garamond"/>
        </w:rPr>
        <w:t xml:space="preserve">   </w:t>
      </w:r>
    </w:p>
    <w:p w14:paraId="3E22F3CB" w14:textId="77777777" w:rsidR="00075BBD" w:rsidRPr="004A0C12" w:rsidRDefault="00075BBD" w:rsidP="003474C4">
      <w:pPr>
        <w:spacing w:after="0" w:line="240" w:lineRule="auto"/>
        <w:contextualSpacing/>
        <w:jc w:val="both"/>
        <w:rPr>
          <w:rFonts w:ascii="Garamond" w:hAnsi="Garamond"/>
        </w:rPr>
      </w:pPr>
    </w:p>
    <w:p w14:paraId="2314001C" w14:textId="3E133DEE" w:rsidR="007A1FDC" w:rsidRPr="004A0C12" w:rsidRDefault="007A1FDC" w:rsidP="00232F09">
      <w:pPr>
        <w:numPr>
          <w:ilvl w:val="0"/>
          <w:numId w:val="148"/>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 xml:space="preserve">Increase flexibility and consider supporting and funding “unconventional” VR services that may be exclusive to this disability, in light of their </w:t>
      </w:r>
      <w:r w:rsidR="00530FA0" w:rsidRPr="004A0C12">
        <w:rPr>
          <w:rFonts w:ascii="Garamond" w:hAnsi="Garamond"/>
        </w:rPr>
        <w:t>unique needs and complexities</w:t>
      </w:r>
    </w:p>
    <w:p w14:paraId="5154FA41" w14:textId="3459C9F9" w:rsidR="007A1FDC" w:rsidRPr="004A0C12" w:rsidRDefault="007A1FDC" w:rsidP="00232F09">
      <w:pPr>
        <w:numPr>
          <w:ilvl w:val="0"/>
          <w:numId w:val="148"/>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Enhance career service</w:t>
      </w:r>
      <w:r w:rsidR="00075BBD" w:rsidRPr="004A0C12">
        <w:rPr>
          <w:rFonts w:ascii="Garamond" w:hAnsi="Garamond"/>
        </w:rPr>
        <w:t>s for the Deaf-Blind consumers.</w:t>
      </w:r>
      <w:r w:rsidRPr="004A0C12">
        <w:rPr>
          <w:rFonts w:ascii="Garamond" w:hAnsi="Garamond"/>
        </w:rPr>
        <w:t xml:space="preserve"> Employ the assistance of experts to assist with navigating the complexities associated with job developmen</w:t>
      </w:r>
      <w:r w:rsidR="00075BBD" w:rsidRPr="004A0C12">
        <w:rPr>
          <w:rFonts w:ascii="Garamond" w:hAnsi="Garamond"/>
        </w:rPr>
        <w:t>t and placement.</w:t>
      </w:r>
      <w:r w:rsidRPr="004A0C12">
        <w:rPr>
          <w:rFonts w:ascii="Garamond" w:hAnsi="Garamond"/>
        </w:rPr>
        <w:t xml:space="preserve"> This includes services such as Orientation and Mobility, Rehabilitation Teac</w:t>
      </w:r>
      <w:r w:rsidR="00530FA0" w:rsidRPr="004A0C12">
        <w:rPr>
          <w:rFonts w:ascii="Garamond" w:hAnsi="Garamond"/>
        </w:rPr>
        <w:t>hing, and Assistive Technology</w:t>
      </w:r>
    </w:p>
    <w:p w14:paraId="44115F69" w14:textId="46B6C7B5" w:rsidR="007A1FDC" w:rsidRPr="004A0C12" w:rsidRDefault="007A1FDC" w:rsidP="00232F09">
      <w:pPr>
        <w:numPr>
          <w:ilvl w:val="0"/>
          <w:numId w:val="148"/>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Expand staff and advocate for community resources to provide a full range of independent living and employment services to deaf-blind, including older deaf-blind, within DORS and community programs/providers (qualified interpreters, technologists, teachers, counselors, therapists, psychologists, psychia</w:t>
      </w:r>
      <w:r w:rsidR="00530FA0" w:rsidRPr="004A0C12">
        <w:rPr>
          <w:rFonts w:ascii="Garamond" w:hAnsi="Garamond"/>
        </w:rPr>
        <w:t>trists and other professionals)</w:t>
      </w:r>
    </w:p>
    <w:p w14:paraId="69862A24" w14:textId="579646AF" w:rsidR="007A1FDC" w:rsidRPr="004A0C12" w:rsidRDefault="007A1FDC" w:rsidP="00232F09">
      <w:pPr>
        <w:numPr>
          <w:ilvl w:val="0"/>
          <w:numId w:val="148"/>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Explore means of increasing access to transport</w:t>
      </w:r>
      <w:r w:rsidR="00075BBD" w:rsidRPr="004A0C12">
        <w:rPr>
          <w:rFonts w:ascii="Garamond" w:hAnsi="Garamond"/>
        </w:rPr>
        <w:t>ation (</w:t>
      </w:r>
      <w:r w:rsidRPr="004A0C12">
        <w:rPr>
          <w:rFonts w:ascii="Garamond" w:hAnsi="Garamond"/>
        </w:rPr>
        <w:t>limitations are primarily d</w:t>
      </w:r>
      <w:r w:rsidR="00075BBD" w:rsidRPr="004A0C12">
        <w:rPr>
          <w:rFonts w:ascii="Garamond" w:hAnsi="Garamond"/>
        </w:rPr>
        <w:t>u</w:t>
      </w:r>
      <w:r w:rsidR="00530FA0" w:rsidRPr="004A0C12">
        <w:rPr>
          <w:rFonts w:ascii="Garamond" w:hAnsi="Garamond"/>
        </w:rPr>
        <w:t>e to the communication barrier)</w:t>
      </w:r>
    </w:p>
    <w:p w14:paraId="5B0B8F9A" w14:textId="01092243" w:rsidR="007A1FDC" w:rsidRPr="004A0C12" w:rsidRDefault="007A1FDC" w:rsidP="00232F09">
      <w:pPr>
        <w:numPr>
          <w:ilvl w:val="0"/>
          <w:numId w:val="148"/>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Continue to work closely with grassroots organizations, community partners, advocacy groups</w:t>
      </w:r>
      <w:r w:rsidR="00075BBD" w:rsidRPr="004A0C12">
        <w:rPr>
          <w:rFonts w:ascii="Garamond" w:hAnsi="Garamond"/>
        </w:rPr>
        <w:t>,</w:t>
      </w:r>
      <w:r w:rsidR="00BB4004" w:rsidRPr="004A0C12">
        <w:rPr>
          <w:rFonts w:ascii="Garamond" w:hAnsi="Garamond"/>
        </w:rPr>
        <w:t xml:space="preserve"> and the Helen Keller National Center</w:t>
      </w:r>
      <w:r w:rsidRPr="004A0C12">
        <w:rPr>
          <w:rFonts w:ascii="Garamond" w:hAnsi="Garamond"/>
        </w:rPr>
        <w:t xml:space="preserve"> to ensure that Deaf-Blindness rema</w:t>
      </w:r>
      <w:r w:rsidR="00530FA0" w:rsidRPr="004A0C12">
        <w:rPr>
          <w:rFonts w:ascii="Garamond" w:hAnsi="Garamond"/>
        </w:rPr>
        <w:t>ins a priority for the agency</w:t>
      </w:r>
    </w:p>
    <w:p w14:paraId="6590EFB1" w14:textId="0CABE676" w:rsidR="007A1FDC" w:rsidRPr="004A0C12" w:rsidRDefault="007A1FDC" w:rsidP="00232F09">
      <w:pPr>
        <w:numPr>
          <w:ilvl w:val="0"/>
          <w:numId w:val="148"/>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Develop an agency-funded Support Service Provider program to provide necessary support services and visual information to deaf-blind for daily living and employment skill development.</w:t>
      </w:r>
    </w:p>
    <w:p w14:paraId="044856F6" w14:textId="77777777" w:rsidR="007A1FDC" w:rsidRPr="004A0C12" w:rsidRDefault="007A1FDC" w:rsidP="007A1FDC">
      <w:pPr>
        <w:spacing w:after="0" w:line="240" w:lineRule="auto"/>
        <w:jc w:val="both"/>
        <w:rPr>
          <w:rFonts w:ascii="Garamond" w:hAnsi="Garamond"/>
        </w:rPr>
      </w:pPr>
    </w:p>
    <w:p w14:paraId="439BFFE0" w14:textId="3055F28D" w:rsidR="007A1FDC" w:rsidRPr="004A0C12" w:rsidRDefault="007A1FDC" w:rsidP="007A1FDC">
      <w:pPr>
        <w:spacing w:after="0" w:line="240" w:lineRule="auto"/>
        <w:jc w:val="both"/>
        <w:rPr>
          <w:rFonts w:ascii="Garamond" w:hAnsi="Garamond"/>
          <w:u w:val="single"/>
        </w:rPr>
      </w:pPr>
      <w:r w:rsidRPr="004A0C12">
        <w:rPr>
          <w:rFonts w:ascii="Garamond" w:hAnsi="Garamond"/>
          <w:u w:val="single"/>
        </w:rPr>
        <w:t>Deaf, Ha</w:t>
      </w:r>
      <w:r w:rsidR="00D3217A" w:rsidRPr="004A0C12">
        <w:rPr>
          <w:rFonts w:ascii="Garamond" w:hAnsi="Garamond"/>
          <w:u w:val="single"/>
        </w:rPr>
        <w:t>rd of Hearing and Late Deafened</w:t>
      </w:r>
    </w:p>
    <w:p w14:paraId="52B41C3A" w14:textId="27AF0677" w:rsidR="007A1FDC" w:rsidRPr="004A0C12" w:rsidRDefault="007A1FDC" w:rsidP="007A1FDC">
      <w:pPr>
        <w:spacing w:after="0" w:line="240" w:lineRule="auto"/>
        <w:jc w:val="both"/>
        <w:rPr>
          <w:rFonts w:ascii="Garamond" w:hAnsi="Garamond"/>
        </w:rPr>
      </w:pPr>
      <w:r w:rsidRPr="004A0C12">
        <w:rPr>
          <w:rFonts w:ascii="Garamond" w:hAnsi="Garamond"/>
        </w:rPr>
        <w:t>As discussed in the 2010 Comprehensive Statewide Needs Assessment, DORS had established a workgroup to assess VR services to persons who are deaf, hard of hearing, or late deafened. The group included representatives from the Maryland State Rehabilitation Council, the Assistant Superintendent from the Maryland School for the Deaf, lead Transition Services staff from Maryland Public Schools, Maryland Department of Disabilities staff, Communi</w:t>
      </w:r>
      <w:r w:rsidR="00075BBD" w:rsidRPr="004A0C12">
        <w:rPr>
          <w:rFonts w:ascii="Garamond" w:hAnsi="Garamond"/>
        </w:rPr>
        <w:t xml:space="preserve">ty Rehabilitation Program </w:t>
      </w:r>
      <w:r w:rsidRPr="004A0C12">
        <w:rPr>
          <w:rFonts w:ascii="Garamond" w:hAnsi="Garamond"/>
        </w:rPr>
        <w:t>staff, as well as a variety of Division staff from the Office of Field Services and the Workf</w:t>
      </w:r>
      <w:r w:rsidR="00075BBD" w:rsidRPr="004A0C12">
        <w:rPr>
          <w:rFonts w:ascii="Garamond" w:hAnsi="Garamond"/>
        </w:rPr>
        <w:t>orce and Technology Center</w:t>
      </w:r>
      <w:r w:rsidRPr="004A0C12">
        <w:rPr>
          <w:rFonts w:ascii="Garamond" w:hAnsi="Garamond"/>
        </w:rPr>
        <w:t>. Using the “Model State Plan for Vocational Rehabilitation Services to Persons who are Deaf, Deaf-Blind, Hard of Hearing and Late Deafened”- University of Arkansas RRTC 2008 as a guide, the workgroup reviewed current services and statewide challenges, and developed collective plans and goals to enhance services in Maryland.</w:t>
      </w:r>
    </w:p>
    <w:p w14:paraId="62ABAD77" w14:textId="77777777" w:rsidR="007A1FDC" w:rsidRPr="004A0C12" w:rsidRDefault="007A1FDC" w:rsidP="007A1FDC">
      <w:pPr>
        <w:spacing w:after="0" w:line="240" w:lineRule="auto"/>
        <w:jc w:val="both"/>
        <w:rPr>
          <w:rFonts w:ascii="Garamond" w:hAnsi="Garamond"/>
        </w:rPr>
      </w:pPr>
    </w:p>
    <w:p w14:paraId="6F2AAA9C" w14:textId="6E91F839" w:rsidR="007A1FDC" w:rsidRPr="004A0C12" w:rsidRDefault="007A1FDC" w:rsidP="007A1FDC">
      <w:pPr>
        <w:spacing w:after="0" w:line="240" w:lineRule="auto"/>
        <w:jc w:val="both"/>
        <w:rPr>
          <w:rFonts w:ascii="Garamond" w:hAnsi="Garamond"/>
        </w:rPr>
      </w:pPr>
      <w:r w:rsidRPr="004A0C12">
        <w:rPr>
          <w:rFonts w:ascii="Garamond" w:hAnsi="Garamond"/>
        </w:rPr>
        <w:t>As a result of this work, progress was made in many aspects of service delivery and program growth. Plans for improved recruitment and on-going support of the most qualified Rehabilitation</w:t>
      </w:r>
      <w:r w:rsidR="00D3217A" w:rsidRPr="004A0C12">
        <w:rPr>
          <w:rFonts w:ascii="Garamond" w:hAnsi="Garamond"/>
        </w:rPr>
        <w:t xml:space="preserve"> Counselors for the Deaf throughout</w:t>
      </w:r>
      <w:r w:rsidRPr="004A0C12">
        <w:rPr>
          <w:rFonts w:ascii="Garamond" w:hAnsi="Garamond"/>
        </w:rPr>
        <w:t xml:space="preserve"> the state were developed. Plans also focused on th</w:t>
      </w:r>
      <w:r w:rsidR="00D3217A" w:rsidRPr="004A0C12">
        <w:rPr>
          <w:rFonts w:ascii="Garamond" w:hAnsi="Garamond"/>
        </w:rPr>
        <w:t xml:space="preserve">e need to: develop additional Community Rehabilitation Program services; </w:t>
      </w:r>
      <w:r w:rsidRPr="004A0C12">
        <w:rPr>
          <w:rFonts w:ascii="Garamond" w:hAnsi="Garamond"/>
        </w:rPr>
        <w:t>implement a plan to provide support for consumers starting new employment; improve transitioning youth services, especially for non-college bound students; and improve the transition process for mainstreamed students to DORS services. DORS staff began developing new partnerships and began serving on several committees to help accomplish these goals. In addition, the id</w:t>
      </w:r>
      <w:r w:rsidR="00D3217A" w:rsidRPr="004A0C12">
        <w:rPr>
          <w:rFonts w:ascii="Garamond" w:hAnsi="Garamond"/>
        </w:rPr>
        <w:t>eas for enhanced services at Workforce and Technology Center</w:t>
      </w:r>
      <w:r w:rsidRPr="004A0C12">
        <w:rPr>
          <w:rFonts w:ascii="Garamond" w:hAnsi="Garamond"/>
        </w:rPr>
        <w:t>, especially in the areas of training, job placement</w:t>
      </w:r>
      <w:r w:rsidR="00D3217A" w:rsidRPr="004A0C12">
        <w:rPr>
          <w:rFonts w:ascii="Garamond" w:hAnsi="Garamond"/>
        </w:rPr>
        <w:t>,</w:t>
      </w:r>
      <w:r w:rsidRPr="004A0C12">
        <w:rPr>
          <w:rFonts w:ascii="Garamond" w:hAnsi="Garamond"/>
        </w:rPr>
        <w:t xml:space="preserve"> and technology were implemented.</w:t>
      </w:r>
    </w:p>
    <w:p w14:paraId="52E01097" w14:textId="77777777" w:rsidR="007A1FDC" w:rsidRPr="004A0C12" w:rsidRDefault="007A1FDC" w:rsidP="007A1FDC">
      <w:pPr>
        <w:spacing w:after="0" w:line="240" w:lineRule="auto"/>
        <w:jc w:val="both"/>
        <w:rPr>
          <w:rFonts w:ascii="Garamond" w:hAnsi="Garamond"/>
        </w:rPr>
      </w:pPr>
    </w:p>
    <w:p w14:paraId="17F6E28B" w14:textId="7E9B6BEB" w:rsidR="007A1FDC" w:rsidRPr="004A0C12" w:rsidRDefault="00D3217A" w:rsidP="007A1FDC">
      <w:pPr>
        <w:spacing w:after="0" w:line="240" w:lineRule="auto"/>
        <w:jc w:val="both"/>
        <w:rPr>
          <w:rFonts w:ascii="Garamond" w:hAnsi="Garamond"/>
        </w:rPr>
      </w:pPr>
      <w:r w:rsidRPr="004A0C12">
        <w:rPr>
          <w:rFonts w:ascii="Garamond" w:hAnsi="Garamond"/>
        </w:rPr>
        <w:t xml:space="preserve">Prevalence: </w:t>
      </w:r>
      <w:r w:rsidR="007A1FDC" w:rsidRPr="004A0C12">
        <w:rPr>
          <w:rFonts w:ascii="Garamond" w:hAnsi="Garamond"/>
        </w:rPr>
        <w:t>According to the National Institute on Deafness and Other Communication Disorder</w:t>
      </w:r>
      <w:r w:rsidRPr="004A0C12">
        <w:rPr>
          <w:rFonts w:ascii="Garamond" w:hAnsi="Garamond"/>
        </w:rPr>
        <w:t>s</w:t>
      </w:r>
      <w:r w:rsidR="00205BDE" w:rsidRPr="004A0C12">
        <w:rPr>
          <w:rFonts w:ascii="Garamond" w:hAnsi="Garamond"/>
        </w:rPr>
        <w:t xml:space="preserve"> (NIDCD)</w:t>
      </w:r>
      <w:r w:rsidR="007A1FDC" w:rsidRPr="004A0C12">
        <w:rPr>
          <w:rFonts w:ascii="Garamond" w:hAnsi="Garamond"/>
        </w:rPr>
        <w:t>, approximately 17 percent (36 million) of American adults report some degree of hearing loss; and about 3 out of every 1,000 children in the United States are born deaf or hard of hearing. Estimates from the Hearin</w:t>
      </w:r>
      <w:r w:rsidRPr="004A0C12">
        <w:rPr>
          <w:rFonts w:ascii="Garamond" w:hAnsi="Garamond"/>
        </w:rPr>
        <w:t>g Health Foundation are that 20 percent</w:t>
      </w:r>
      <w:r w:rsidR="007A1FDC" w:rsidRPr="004A0C12">
        <w:rPr>
          <w:rFonts w:ascii="Garamond" w:hAnsi="Garamond"/>
        </w:rPr>
        <w:t xml:space="preserve"> of the U.S. population aged 12 years and older has hearing difficulties severe enough to impact communication. In terms of late deafened individuals, NIDCD reports approximately 4,000 new cases of sudden deafness occur each year in the U.S. The Hearing Health Foundation reports that about 26 million Americans between the ages of 20 and 69 have high frequency hearing loss due to exposure to loud noises at work or in leisure ac</w:t>
      </w:r>
      <w:r w:rsidR="00205BDE" w:rsidRPr="004A0C12">
        <w:rPr>
          <w:rFonts w:ascii="Garamond" w:hAnsi="Garamond"/>
        </w:rPr>
        <w:t>tivities. In addition, about 60 percent</w:t>
      </w:r>
      <w:r w:rsidR="007A1FDC" w:rsidRPr="004A0C12">
        <w:rPr>
          <w:rFonts w:ascii="Garamond" w:hAnsi="Garamond"/>
        </w:rPr>
        <w:t xml:space="preserve"> of deployed military service men and women have noise induced hearing loss, tinnitus (ringing in the ear), or other hearing injuries. Impairment of auditory acuity and tinnitus are more likely to occur in Iraq and Afghanistan war veterans than post-traumatic stress syndrome. Lastly, the American Speech-Language-</w:t>
      </w:r>
      <w:r w:rsidR="007A1FDC" w:rsidRPr="004A0C12">
        <w:rPr>
          <w:rFonts w:ascii="Garamond" w:hAnsi="Garamond"/>
        </w:rPr>
        <w:lastRenderedPageBreak/>
        <w:t>Hearing Association reports that based on data gleaned from Federal surveys, the number of Americans with a hearing loss has essentially doubled during the past 30 years.</w:t>
      </w:r>
    </w:p>
    <w:p w14:paraId="755DB17B" w14:textId="77777777" w:rsidR="007A1FDC" w:rsidRPr="004A0C12" w:rsidRDefault="007A1FDC" w:rsidP="007A1FDC">
      <w:pPr>
        <w:spacing w:after="0" w:line="240" w:lineRule="auto"/>
        <w:jc w:val="both"/>
        <w:rPr>
          <w:rFonts w:ascii="Garamond" w:hAnsi="Garamond"/>
        </w:rPr>
      </w:pPr>
    </w:p>
    <w:p w14:paraId="26382E5D" w14:textId="5B9BA1A6" w:rsidR="007A1FDC" w:rsidRPr="004A0C12" w:rsidRDefault="007A1FDC" w:rsidP="000E0FC6">
      <w:pPr>
        <w:spacing w:after="0" w:line="240" w:lineRule="auto"/>
        <w:jc w:val="both"/>
        <w:rPr>
          <w:rFonts w:ascii="Garamond" w:hAnsi="Garamond"/>
        </w:rPr>
      </w:pPr>
      <w:r w:rsidRPr="004A0C12">
        <w:rPr>
          <w:rFonts w:ascii="Garamond" w:hAnsi="Garamond"/>
        </w:rPr>
        <w:t xml:space="preserve">Methodology </w:t>
      </w:r>
      <w:r w:rsidR="000E0FC6" w:rsidRPr="004A0C12">
        <w:rPr>
          <w:rFonts w:ascii="Garamond" w:hAnsi="Garamond"/>
        </w:rPr>
        <w:t xml:space="preserve">&amp; Data Review: </w:t>
      </w:r>
      <w:r w:rsidRPr="004A0C12">
        <w:rPr>
          <w:rFonts w:ascii="Garamond" w:hAnsi="Garamond"/>
        </w:rPr>
        <w:t>Data and statistics were reviewed regarding census and location of this disability population statewide; overall numbers of consumers served; average caseload size; distribution of consumers served by county; numbers of consumers served in this population, grouped by type/degree of hearing loss; employment/other outcome data for the last three years; number and location of staff compared to distribution and number of consumers served by county/region; and numb</w:t>
      </w:r>
      <w:r w:rsidR="000E0FC6" w:rsidRPr="004A0C12">
        <w:rPr>
          <w:rFonts w:ascii="Garamond" w:hAnsi="Garamond"/>
        </w:rPr>
        <w:t>er, location and capacity of Community Rehabilitation Program</w:t>
      </w:r>
      <w:r w:rsidRPr="004A0C12">
        <w:rPr>
          <w:rFonts w:ascii="Garamond" w:hAnsi="Garamond"/>
        </w:rPr>
        <w:t>s serving this population compared to number and distribution of staff and consumers utilizing these services.</w:t>
      </w:r>
    </w:p>
    <w:p w14:paraId="3FB6D39B" w14:textId="77777777" w:rsidR="00530FA0" w:rsidRPr="004A0C12" w:rsidRDefault="00530FA0" w:rsidP="007A1FDC">
      <w:pPr>
        <w:spacing w:after="0" w:line="240" w:lineRule="auto"/>
        <w:ind w:left="720"/>
        <w:jc w:val="both"/>
        <w:rPr>
          <w:rFonts w:ascii="Garamond" w:hAnsi="Garamond"/>
        </w:rPr>
      </w:pPr>
    </w:p>
    <w:p w14:paraId="37332390" w14:textId="77777777" w:rsidR="007A1FDC" w:rsidRPr="004A0C12" w:rsidRDefault="007A1FDC" w:rsidP="000E0FC6">
      <w:pPr>
        <w:spacing w:after="0" w:line="240" w:lineRule="auto"/>
        <w:jc w:val="both"/>
        <w:rPr>
          <w:rFonts w:ascii="Garamond" w:hAnsi="Garamond"/>
        </w:rPr>
      </w:pPr>
      <w:r w:rsidRPr="004A0C12">
        <w:rPr>
          <w:rFonts w:ascii="Garamond" w:hAnsi="Garamond"/>
        </w:rPr>
        <w:t xml:space="preserve">Needs/concerns: </w:t>
      </w:r>
    </w:p>
    <w:p w14:paraId="74AE1762" w14:textId="5A17F7DB" w:rsidR="000E0FC6" w:rsidRPr="004A0C12" w:rsidRDefault="000E0FC6" w:rsidP="00232F09">
      <w:pPr>
        <w:pStyle w:val="ListParagraph"/>
        <w:numPr>
          <w:ilvl w:val="0"/>
          <w:numId w:val="218"/>
        </w:numPr>
        <w:tabs>
          <w:tab w:val="num" w:pos="2160"/>
        </w:tabs>
        <w:jc w:val="both"/>
        <w:rPr>
          <w:rFonts w:ascii="Garamond" w:hAnsi="Garamond"/>
          <w:szCs w:val="22"/>
        </w:rPr>
      </w:pPr>
      <w:r w:rsidRPr="004A0C12">
        <w:rPr>
          <w:rFonts w:ascii="Garamond" w:hAnsi="Garamond"/>
          <w:szCs w:val="22"/>
        </w:rPr>
        <w:t>T</w:t>
      </w:r>
      <w:r w:rsidR="007A1FDC" w:rsidRPr="004A0C12">
        <w:rPr>
          <w:rFonts w:ascii="Garamond" w:hAnsi="Garamond"/>
          <w:szCs w:val="22"/>
        </w:rPr>
        <w:t>here is a steady increase in the number of consumers being served and a limited and/or de</w:t>
      </w:r>
      <w:r w:rsidRPr="004A0C12">
        <w:rPr>
          <w:rFonts w:ascii="Garamond" w:hAnsi="Garamond"/>
          <w:szCs w:val="22"/>
        </w:rPr>
        <w:t>creased number of staff and Community Rehabilitation Programs</w:t>
      </w:r>
      <w:r w:rsidR="007A1FDC" w:rsidRPr="004A0C12">
        <w:rPr>
          <w:rFonts w:ascii="Garamond" w:hAnsi="Garamond"/>
          <w:szCs w:val="22"/>
        </w:rPr>
        <w:t xml:space="preserve"> directly se</w:t>
      </w:r>
      <w:r w:rsidRPr="004A0C12">
        <w:rPr>
          <w:rFonts w:ascii="Garamond" w:hAnsi="Garamond"/>
          <w:szCs w:val="22"/>
        </w:rPr>
        <w:t>rving this population statewide;</w:t>
      </w:r>
    </w:p>
    <w:p w14:paraId="5997583E" w14:textId="71064C8E" w:rsidR="000E0FC6" w:rsidRPr="004A0C12" w:rsidRDefault="007A1FDC" w:rsidP="00232F09">
      <w:pPr>
        <w:pStyle w:val="ListParagraph"/>
        <w:numPr>
          <w:ilvl w:val="0"/>
          <w:numId w:val="218"/>
        </w:numPr>
        <w:tabs>
          <w:tab w:val="num" w:pos="2160"/>
        </w:tabs>
        <w:jc w:val="both"/>
        <w:rPr>
          <w:rFonts w:ascii="Garamond" w:hAnsi="Garamond"/>
          <w:szCs w:val="22"/>
        </w:rPr>
      </w:pPr>
      <w:r w:rsidRPr="004A0C12">
        <w:rPr>
          <w:rFonts w:ascii="Garamond" w:hAnsi="Garamond"/>
          <w:szCs w:val="22"/>
        </w:rPr>
        <w:t xml:space="preserve">There are a large number of individuals who fall under Category II of the DORS Order of Selection who are placed on the waiting list and who are in need </w:t>
      </w:r>
      <w:r w:rsidR="000E0FC6" w:rsidRPr="004A0C12">
        <w:rPr>
          <w:rFonts w:ascii="Garamond" w:hAnsi="Garamond"/>
          <w:szCs w:val="22"/>
        </w:rPr>
        <w:t xml:space="preserve">of assistance for job retention; and, </w:t>
      </w:r>
    </w:p>
    <w:p w14:paraId="63C5A1C5" w14:textId="7FF24CE0" w:rsidR="007A1FDC" w:rsidRPr="004A0C12" w:rsidRDefault="000E0FC6" w:rsidP="00232F09">
      <w:pPr>
        <w:pStyle w:val="ListParagraph"/>
        <w:numPr>
          <w:ilvl w:val="0"/>
          <w:numId w:val="218"/>
        </w:numPr>
        <w:tabs>
          <w:tab w:val="num" w:pos="2160"/>
        </w:tabs>
        <w:jc w:val="both"/>
        <w:rPr>
          <w:rFonts w:ascii="Garamond" w:hAnsi="Garamond"/>
          <w:szCs w:val="22"/>
        </w:rPr>
      </w:pPr>
      <w:r w:rsidRPr="004A0C12">
        <w:rPr>
          <w:rFonts w:ascii="Garamond" w:hAnsi="Garamond"/>
          <w:szCs w:val="22"/>
        </w:rPr>
        <w:t>There remains a need to</w:t>
      </w:r>
      <w:r w:rsidR="007A1FDC" w:rsidRPr="004A0C12">
        <w:rPr>
          <w:rFonts w:ascii="Garamond" w:hAnsi="Garamond"/>
          <w:szCs w:val="22"/>
        </w:rPr>
        <w:t xml:space="preserve"> further analyze the distribution of cons</w:t>
      </w:r>
      <w:r w:rsidRPr="004A0C12">
        <w:rPr>
          <w:rFonts w:ascii="Garamond" w:hAnsi="Garamond"/>
          <w:szCs w:val="22"/>
        </w:rPr>
        <w:t>umers to staff by county/region, with consideration for</w:t>
      </w:r>
      <w:r w:rsidR="007A1FDC" w:rsidRPr="004A0C12">
        <w:rPr>
          <w:rFonts w:ascii="Garamond" w:hAnsi="Garamond"/>
          <w:szCs w:val="22"/>
        </w:rPr>
        <w:t xml:space="preserve"> the need to add an addition</w:t>
      </w:r>
      <w:r w:rsidR="00BB4004" w:rsidRPr="004A0C12">
        <w:rPr>
          <w:rFonts w:ascii="Garamond" w:hAnsi="Garamond"/>
          <w:szCs w:val="22"/>
        </w:rPr>
        <w:t>al Rehabilitation Counselor for the Deaf</w:t>
      </w:r>
      <w:r w:rsidR="007A1FDC" w:rsidRPr="004A0C12">
        <w:rPr>
          <w:rFonts w:ascii="Garamond" w:hAnsi="Garamond"/>
          <w:szCs w:val="22"/>
        </w:rPr>
        <w:t xml:space="preserve"> position to balance some caseloads and reduce overall caseload size; analyze the employment outcomes compared to proximity of</w:t>
      </w:r>
      <w:r w:rsidRPr="004A0C12">
        <w:rPr>
          <w:rFonts w:ascii="Garamond" w:hAnsi="Garamond"/>
          <w:szCs w:val="22"/>
        </w:rPr>
        <w:t xml:space="preserve"> staff/consumers to existing Community Rehabilitation Programs and the Workforce &amp; Technology Center</w:t>
      </w:r>
      <w:r w:rsidR="007A1FDC" w:rsidRPr="004A0C12">
        <w:rPr>
          <w:rFonts w:ascii="Garamond" w:hAnsi="Garamond"/>
          <w:szCs w:val="22"/>
        </w:rPr>
        <w:t>, to assist in planning for program development.</w:t>
      </w:r>
    </w:p>
    <w:p w14:paraId="2FDBFA4E" w14:textId="77777777" w:rsidR="007A1FDC" w:rsidRPr="004A0C12" w:rsidRDefault="007A1FDC" w:rsidP="007A1FDC">
      <w:pPr>
        <w:spacing w:after="0" w:line="240" w:lineRule="auto"/>
        <w:ind w:left="2160"/>
        <w:jc w:val="both"/>
        <w:rPr>
          <w:rFonts w:ascii="Garamond" w:hAnsi="Garamond"/>
        </w:rPr>
      </w:pPr>
    </w:p>
    <w:p w14:paraId="67E1515F" w14:textId="77777777" w:rsidR="000E0FC6" w:rsidRPr="004A0C12" w:rsidRDefault="007A1FDC" w:rsidP="000E0FC6">
      <w:pPr>
        <w:spacing w:after="0" w:line="240" w:lineRule="auto"/>
        <w:jc w:val="both"/>
        <w:rPr>
          <w:rFonts w:ascii="Garamond" w:hAnsi="Garamond"/>
        </w:rPr>
      </w:pPr>
      <w:r w:rsidRPr="004A0C12">
        <w:rPr>
          <w:rFonts w:ascii="Garamond" w:hAnsi="Garamond"/>
        </w:rPr>
        <w:t>Focus Gr</w:t>
      </w:r>
      <w:r w:rsidR="000E0FC6" w:rsidRPr="004A0C12">
        <w:rPr>
          <w:rFonts w:ascii="Garamond" w:hAnsi="Garamond"/>
        </w:rPr>
        <w:t xml:space="preserve">oups: </w:t>
      </w:r>
      <w:r w:rsidRPr="004A0C12">
        <w:rPr>
          <w:rFonts w:ascii="Garamond" w:hAnsi="Garamond"/>
        </w:rPr>
        <w:t>Starting in January 2013, information was gathered from staff groups and consumer groups to discuss the quality and effectiveness of ser</w:t>
      </w:r>
      <w:r w:rsidR="000E0FC6" w:rsidRPr="004A0C12">
        <w:rPr>
          <w:rFonts w:ascii="Garamond" w:hAnsi="Garamond"/>
        </w:rPr>
        <w:t xml:space="preserve">vices currently being provided, </w:t>
      </w:r>
      <w:r w:rsidRPr="004A0C12">
        <w:rPr>
          <w:rFonts w:ascii="Garamond" w:hAnsi="Garamond"/>
        </w:rPr>
        <w:t>and to solicit feedback from attendees about any unmet needs. Responses and recommendations for improvements were compiled and s</w:t>
      </w:r>
      <w:r w:rsidR="000E0FC6" w:rsidRPr="004A0C12">
        <w:rPr>
          <w:rFonts w:ascii="Garamond" w:hAnsi="Garamond"/>
        </w:rPr>
        <w:t xml:space="preserve">hared with appropriate DORS </w:t>
      </w:r>
      <w:r w:rsidRPr="004A0C12">
        <w:rPr>
          <w:rFonts w:ascii="Garamond" w:hAnsi="Garamond"/>
        </w:rPr>
        <w:t>staff for further consideration. Additional areas of concern and u</w:t>
      </w:r>
      <w:r w:rsidR="000E0FC6" w:rsidRPr="004A0C12">
        <w:rPr>
          <w:rFonts w:ascii="Garamond" w:hAnsi="Garamond"/>
        </w:rPr>
        <w:t xml:space="preserve">nmet needs are summarized as follows: </w:t>
      </w:r>
    </w:p>
    <w:p w14:paraId="60EBAF97" w14:textId="77777777" w:rsidR="00C90261" w:rsidRPr="004A0C12" w:rsidRDefault="00C90261" w:rsidP="000E0FC6">
      <w:pPr>
        <w:spacing w:after="0" w:line="240" w:lineRule="auto"/>
        <w:jc w:val="both"/>
        <w:rPr>
          <w:rFonts w:ascii="Garamond" w:hAnsi="Garamond"/>
        </w:rPr>
      </w:pPr>
    </w:p>
    <w:p w14:paraId="7B031D4F" w14:textId="5BCA4CF3" w:rsidR="000E0FC6" w:rsidRPr="004A0C12" w:rsidRDefault="007A1FDC" w:rsidP="00232F09">
      <w:pPr>
        <w:pStyle w:val="ListParagraph"/>
        <w:numPr>
          <w:ilvl w:val="0"/>
          <w:numId w:val="219"/>
        </w:numPr>
        <w:jc w:val="both"/>
        <w:rPr>
          <w:rFonts w:ascii="Garamond" w:hAnsi="Garamond"/>
          <w:szCs w:val="22"/>
        </w:rPr>
      </w:pPr>
      <w:r w:rsidRPr="004A0C12">
        <w:rPr>
          <w:rFonts w:ascii="Garamond" w:hAnsi="Garamond"/>
          <w:szCs w:val="22"/>
        </w:rPr>
        <w:t>Transitioning students need to have more opportunities for basic work experiences and exposure to role models to develop an understanding of employer expectations and to develop a strong work ethic rather than being satisfied with rem</w:t>
      </w:r>
      <w:r w:rsidR="00530FA0" w:rsidRPr="004A0C12">
        <w:rPr>
          <w:rFonts w:ascii="Garamond" w:hAnsi="Garamond"/>
          <w:szCs w:val="22"/>
        </w:rPr>
        <w:t>aining on government assistance</w:t>
      </w:r>
    </w:p>
    <w:p w14:paraId="687DCBF8" w14:textId="69EDC3AA" w:rsidR="000E0FC6" w:rsidRPr="004A0C12" w:rsidRDefault="000E0FC6" w:rsidP="00232F09">
      <w:pPr>
        <w:pStyle w:val="ListParagraph"/>
        <w:numPr>
          <w:ilvl w:val="0"/>
          <w:numId w:val="219"/>
        </w:numPr>
        <w:jc w:val="both"/>
        <w:rPr>
          <w:rFonts w:ascii="Garamond" w:hAnsi="Garamond"/>
          <w:szCs w:val="22"/>
        </w:rPr>
      </w:pPr>
      <w:r w:rsidRPr="004A0C12">
        <w:rPr>
          <w:rFonts w:ascii="Garamond" w:hAnsi="Garamond"/>
          <w:szCs w:val="22"/>
        </w:rPr>
        <w:t>American Job Centers</w:t>
      </w:r>
      <w:r w:rsidR="007A1FDC" w:rsidRPr="004A0C12">
        <w:rPr>
          <w:rFonts w:ascii="Garamond" w:hAnsi="Garamond"/>
          <w:szCs w:val="22"/>
        </w:rPr>
        <w:t xml:space="preserve"> are not adequately serving deaf and hard of hearing individuals who are not DORS consumers. In general, there seems to be a lack of any training or specialized staff there; and many referrals made to D</w:t>
      </w:r>
      <w:r w:rsidR="00530FA0" w:rsidRPr="004A0C12">
        <w:rPr>
          <w:rFonts w:ascii="Garamond" w:hAnsi="Garamond"/>
          <w:szCs w:val="22"/>
        </w:rPr>
        <w:t>ORS do not qualify for services</w:t>
      </w:r>
    </w:p>
    <w:p w14:paraId="6A6FCC18" w14:textId="6B1B94A4" w:rsidR="000E0FC6" w:rsidRPr="004A0C12" w:rsidRDefault="007A1FDC" w:rsidP="00232F09">
      <w:pPr>
        <w:pStyle w:val="ListParagraph"/>
        <w:numPr>
          <w:ilvl w:val="0"/>
          <w:numId w:val="219"/>
        </w:numPr>
        <w:jc w:val="both"/>
        <w:rPr>
          <w:rFonts w:ascii="Garamond" w:hAnsi="Garamond"/>
          <w:szCs w:val="22"/>
        </w:rPr>
      </w:pPr>
      <w:r w:rsidRPr="004A0C12">
        <w:rPr>
          <w:rFonts w:ascii="Garamond" w:hAnsi="Garamond"/>
          <w:szCs w:val="22"/>
        </w:rPr>
        <w:t>There has been a significant increase in foreign born deaf consumers. They often have extensive needs and are not successful a</w:t>
      </w:r>
      <w:r w:rsidR="00C90261" w:rsidRPr="004A0C12">
        <w:rPr>
          <w:rFonts w:ascii="Garamond" w:hAnsi="Garamond"/>
          <w:szCs w:val="22"/>
        </w:rPr>
        <w:t>t receiving services such as Adult Basic Education</w:t>
      </w:r>
      <w:r w:rsidRPr="004A0C12">
        <w:rPr>
          <w:rFonts w:ascii="Garamond" w:hAnsi="Garamond"/>
          <w:szCs w:val="22"/>
        </w:rPr>
        <w:t>, GED</w:t>
      </w:r>
      <w:r w:rsidR="008E59E3" w:rsidRPr="004A0C12">
        <w:rPr>
          <w:rFonts w:ascii="Garamond" w:hAnsi="Garamond"/>
          <w:szCs w:val="22"/>
        </w:rPr>
        <w:t>®</w:t>
      </w:r>
      <w:r w:rsidR="00C90261" w:rsidRPr="004A0C12">
        <w:rPr>
          <w:rFonts w:ascii="Garamond" w:hAnsi="Garamond"/>
          <w:szCs w:val="22"/>
        </w:rPr>
        <w:t>,</w:t>
      </w:r>
      <w:r w:rsidRPr="004A0C12">
        <w:rPr>
          <w:rFonts w:ascii="Garamond" w:hAnsi="Garamond"/>
          <w:szCs w:val="22"/>
        </w:rPr>
        <w:t xml:space="preserve"> or oth</w:t>
      </w:r>
      <w:r w:rsidR="00530FA0" w:rsidRPr="004A0C12">
        <w:rPr>
          <w:rFonts w:ascii="Garamond" w:hAnsi="Garamond"/>
          <w:szCs w:val="22"/>
        </w:rPr>
        <w:t>er training from other agencies</w:t>
      </w:r>
    </w:p>
    <w:p w14:paraId="104A6826" w14:textId="020FF62F" w:rsidR="000E0FC6" w:rsidRPr="004A0C12" w:rsidRDefault="007A1FDC" w:rsidP="00232F09">
      <w:pPr>
        <w:pStyle w:val="ListParagraph"/>
        <w:numPr>
          <w:ilvl w:val="0"/>
          <w:numId w:val="219"/>
        </w:numPr>
        <w:jc w:val="both"/>
        <w:rPr>
          <w:rFonts w:ascii="Garamond" w:hAnsi="Garamond"/>
          <w:szCs w:val="22"/>
        </w:rPr>
      </w:pPr>
      <w:r w:rsidRPr="004A0C12">
        <w:rPr>
          <w:rFonts w:ascii="Garamond" w:hAnsi="Garamond"/>
          <w:szCs w:val="22"/>
        </w:rPr>
        <w:t>Veterans returning from service with hearing loss often receive limited assistance from other agencies and are facing great difficult</w:t>
      </w:r>
      <w:r w:rsidR="00C90261" w:rsidRPr="004A0C12">
        <w:rPr>
          <w:rFonts w:ascii="Garamond" w:hAnsi="Garamond"/>
          <w:szCs w:val="22"/>
        </w:rPr>
        <w:t>y adju</w:t>
      </w:r>
      <w:r w:rsidR="00530FA0" w:rsidRPr="004A0C12">
        <w:rPr>
          <w:rFonts w:ascii="Garamond" w:hAnsi="Garamond"/>
          <w:szCs w:val="22"/>
        </w:rPr>
        <w:t>sting to their disability</w:t>
      </w:r>
    </w:p>
    <w:p w14:paraId="222910EC" w14:textId="118A232B" w:rsidR="007A1FDC" w:rsidRPr="004A0C12" w:rsidRDefault="007A1FDC" w:rsidP="00232F09">
      <w:pPr>
        <w:pStyle w:val="ListParagraph"/>
        <w:numPr>
          <w:ilvl w:val="0"/>
          <w:numId w:val="219"/>
        </w:numPr>
        <w:jc w:val="both"/>
        <w:rPr>
          <w:rFonts w:ascii="Garamond" w:hAnsi="Garamond"/>
          <w:szCs w:val="22"/>
        </w:rPr>
      </w:pPr>
      <w:r w:rsidRPr="004A0C12">
        <w:rPr>
          <w:rFonts w:ascii="Garamond" w:hAnsi="Garamond"/>
          <w:szCs w:val="22"/>
        </w:rPr>
        <w:t>Many employers still seem reluctant to hire deaf and hard of hearing individuals due to concerns over paying for interpreting services or other accommodations.</w:t>
      </w:r>
    </w:p>
    <w:p w14:paraId="57A2132A" w14:textId="77777777" w:rsidR="00530FA0" w:rsidRPr="004A0C12" w:rsidRDefault="00530FA0" w:rsidP="00C90261">
      <w:pPr>
        <w:spacing w:after="0" w:line="240" w:lineRule="auto"/>
        <w:jc w:val="both"/>
        <w:rPr>
          <w:rFonts w:ascii="Garamond" w:hAnsi="Garamond"/>
        </w:rPr>
      </w:pPr>
    </w:p>
    <w:p w14:paraId="6DE66DF2" w14:textId="0CFFF4B1" w:rsidR="007A1FDC" w:rsidRPr="004A0C12" w:rsidRDefault="00C90261" w:rsidP="00C90261">
      <w:pPr>
        <w:spacing w:after="0" w:line="240" w:lineRule="auto"/>
        <w:jc w:val="both"/>
        <w:rPr>
          <w:rFonts w:ascii="Garamond" w:hAnsi="Garamond"/>
        </w:rPr>
      </w:pPr>
      <w:r w:rsidRPr="004A0C12">
        <w:rPr>
          <w:rFonts w:ascii="Garamond" w:hAnsi="Garamond"/>
        </w:rPr>
        <w:t xml:space="preserve">Key Informant Interviews: </w:t>
      </w:r>
      <w:r w:rsidR="007A1FDC" w:rsidRPr="004A0C12">
        <w:rPr>
          <w:rFonts w:ascii="Garamond" w:hAnsi="Garamond"/>
        </w:rPr>
        <w:t>Interviews were conducted with key informants to gather information and input based on their role in the Division, and it also included information from their committee work and other networking activities. An interview was conducted with Hank Passi, DORS Staff Specialist III for the Deaf and Hard of Hearing, who serves as the Stat</w:t>
      </w:r>
      <w:r w:rsidRPr="004A0C12">
        <w:rPr>
          <w:rFonts w:ascii="Garamond" w:hAnsi="Garamond"/>
        </w:rPr>
        <w:t>e Coordinator for the Deaf</w:t>
      </w:r>
      <w:r w:rsidR="007A1FDC" w:rsidRPr="004A0C12">
        <w:rPr>
          <w:rFonts w:ascii="Garamond" w:hAnsi="Garamond"/>
        </w:rPr>
        <w:t xml:space="preserve"> in Maryland. Mr. Passi serves as a committee member for the </w:t>
      </w:r>
      <w:r w:rsidRPr="004A0C12">
        <w:rPr>
          <w:rFonts w:ascii="Garamond" w:hAnsi="Garamond"/>
        </w:rPr>
        <w:t xml:space="preserve">State Coordinator for the Deaf National Training Forum, </w:t>
      </w:r>
      <w:r w:rsidR="007A1FDC" w:rsidRPr="004A0C12">
        <w:rPr>
          <w:rFonts w:ascii="Garamond" w:hAnsi="Garamond"/>
        </w:rPr>
        <w:t>he is a representative to the Nat</w:t>
      </w:r>
      <w:r w:rsidRPr="004A0C12">
        <w:rPr>
          <w:rFonts w:ascii="Garamond" w:hAnsi="Garamond"/>
        </w:rPr>
        <w:t xml:space="preserve">ional Summit on Deaf Education, </w:t>
      </w:r>
      <w:r w:rsidR="007A1FDC" w:rsidRPr="004A0C12">
        <w:rPr>
          <w:rFonts w:ascii="Garamond" w:hAnsi="Garamond"/>
        </w:rPr>
        <w:t>and also served on MSDE’s focus group for Deaf and Hard of Hearing services. An interview was also conducted with Mr</w:t>
      </w:r>
      <w:r w:rsidRPr="004A0C12">
        <w:rPr>
          <w:rFonts w:ascii="Garamond" w:hAnsi="Garamond"/>
        </w:rPr>
        <w:t>s. Kathy Schwabeland, former Workforce &amp; Technology Center</w:t>
      </w:r>
      <w:r w:rsidR="007A1FDC" w:rsidRPr="004A0C12">
        <w:rPr>
          <w:rFonts w:ascii="Garamond" w:hAnsi="Garamond"/>
        </w:rPr>
        <w:t xml:space="preserve"> Staff Specialist III for the Deaf and Hard of Hearing. Interview </w:t>
      </w:r>
      <w:r w:rsidRPr="004A0C12">
        <w:rPr>
          <w:rFonts w:ascii="Garamond" w:hAnsi="Garamond"/>
        </w:rPr>
        <w:t xml:space="preserve">information is summarized as follows: </w:t>
      </w:r>
    </w:p>
    <w:p w14:paraId="3C14DC38" w14:textId="77777777" w:rsidR="007A1FDC" w:rsidRPr="004A0C12" w:rsidRDefault="007A1FDC" w:rsidP="007A1FDC">
      <w:pPr>
        <w:spacing w:after="0" w:line="240" w:lineRule="auto"/>
        <w:jc w:val="both"/>
        <w:rPr>
          <w:rFonts w:ascii="Garamond" w:hAnsi="Garamond"/>
        </w:rPr>
      </w:pPr>
    </w:p>
    <w:p w14:paraId="5328FE00" w14:textId="4E18BC62" w:rsidR="00C90261" w:rsidRPr="004A0C12" w:rsidRDefault="007A1FDC" w:rsidP="00232F09">
      <w:pPr>
        <w:pStyle w:val="ListParagraph"/>
        <w:numPr>
          <w:ilvl w:val="0"/>
          <w:numId w:val="220"/>
        </w:numPr>
        <w:tabs>
          <w:tab w:val="num" w:pos="1800"/>
        </w:tabs>
        <w:jc w:val="both"/>
        <w:rPr>
          <w:rFonts w:ascii="Garamond" w:hAnsi="Garamond"/>
          <w:szCs w:val="22"/>
        </w:rPr>
      </w:pPr>
      <w:r w:rsidRPr="004A0C12">
        <w:rPr>
          <w:rFonts w:ascii="Garamond" w:hAnsi="Garamond"/>
          <w:szCs w:val="22"/>
        </w:rPr>
        <w:t>Additional focus is needed on outreach to transition coordinators and students who graduate or leave from regular public schools and who are not referred to DORS in advance of graduation or not referred at all. This may include st</w:t>
      </w:r>
      <w:r w:rsidR="00530FA0" w:rsidRPr="004A0C12">
        <w:rPr>
          <w:rFonts w:ascii="Garamond" w:hAnsi="Garamond"/>
          <w:szCs w:val="22"/>
        </w:rPr>
        <w:t>udents with an IEP or 504 plans</w:t>
      </w:r>
    </w:p>
    <w:p w14:paraId="6ACFA133" w14:textId="6321FC6B" w:rsidR="00C90261" w:rsidRPr="004A0C12" w:rsidRDefault="007A1FDC" w:rsidP="00232F09">
      <w:pPr>
        <w:pStyle w:val="ListParagraph"/>
        <w:numPr>
          <w:ilvl w:val="0"/>
          <w:numId w:val="220"/>
        </w:numPr>
        <w:tabs>
          <w:tab w:val="num" w:pos="1800"/>
        </w:tabs>
        <w:jc w:val="both"/>
        <w:rPr>
          <w:rFonts w:ascii="Garamond" w:hAnsi="Garamond"/>
          <w:szCs w:val="22"/>
        </w:rPr>
      </w:pPr>
      <w:r w:rsidRPr="004A0C12">
        <w:rPr>
          <w:rFonts w:ascii="Garamond" w:hAnsi="Garamond"/>
          <w:szCs w:val="22"/>
        </w:rPr>
        <w:t>DORS may be able to collaborate with community colleges statewide to encourage and support degree and certificate programs that are more accessible a</w:t>
      </w:r>
      <w:r w:rsidR="00C90261" w:rsidRPr="004A0C12">
        <w:rPr>
          <w:rFonts w:ascii="Garamond" w:hAnsi="Garamond"/>
          <w:szCs w:val="22"/>
        </w:rPr>
        <w:t>nd “deaf</w:t>
      </w:r>
      <w:r w:rsidR="00530FA0" w:rsidRPr="004A0C12">
        <w:rPr>
          <w:rFonts w:ascii="Garamond" w:hAnsi="Garamond"/>
          <w:szCs w:val="22"/>
        </w:rPr>
        <w:t xml:space="preserve"> friendly” for students</w:t>
      </w:r>
    </w:p>
    <w:p w14:paraId="543F0270" w14:textId="3248871F" w:rsidR="00C90261" w:rsidRPr="004A0C12" w:rsidRDefault="007A1FDC" w:rsidP="00232F09">
      <w:pPr>
        <w:pStyle w:val="ListParagraph"/>
        <w:numPr>
          <w:ilvl w:val="0"/>
          <w:numId w:val="220"/>
        </w:numPr>
        <w:tabs>
          <w:tab w:val="num" w:pos="1800"/>
        </w:tabs>
        <w:jc w:val="both"/>
        <w:rPr>
          <w:rFonts w:ascii="Garamond" w:hAnsi="Garamond"/>
          <w:szCs w:val="22"/>
        </w:rPr>
      </w:pPr>
      <w:r w:rsidRPr="004A0C12">
        <w:rPr>
          <w:rFonts w:ascii="Garamond" w:hAnsi="Garamond"/>
          <w:szCs w:val="22"/>
        </w:rPr>
        <w:lastRenderedPageBreak/>
        <w:t>Concerns exist regarding the impact of the upcoming change in procurement practices</w:t>
      </w:r>
      <w:r w:rsidR="00530FA0" w:rsidRPr="004A0C12">
        <w:rPr>
          <w:rFonts w:ascii="Garamond" w:hAnsi="Garamond"/>
          <w:szCs w:val="22"/>
        </w:rPr>
        <w:t xml:space="preserve"> for sign language interpreting</w:t>
      </w:r>
    </w:p>
    <w:p w14:paraId="35467F21" w14:textId="482241C8" w:rsidR="00C90261" w:rsidRPr="004A0C12" w:rsidRDefault="007A1FDC" w:rsidP="00232F09">
      <w:pPr>
        <w:pStyle w:val="ListParagraph"/>
        <w:numPr>
          <w:ilvl w:val="0"/>
          <w:numId w:val="220"/>
        </w:numPr>
        <w:tabs>
          <w:tab w:val="num" w:pos="1800"/>
        </w:tabs>
        <w:jc w:val="both"/>
        <w:rPr>
          <w:rFonts w:ascii="Garamond" w:hAnsi="Garamond"/>
          <w:szCs w:val="22"/>
        </w:rPr>
      </w:pPr>
      <w:r w:rsidRPr="004A0C12">
        <w:rPr>
          <w:rFonts w:ascii="Garamond" w:hAnsi="Garamond"/>
          <w:szCs w:val="22"/>
        </w:rPr>
        <w:t>An increasing number of students are being identified as non-college bound and are not earning diplomas. Many are deaf plus they have additional disabilities. They may also lack hands-on work experiences. The need for additional focus</w:t>
      </w:r>
      <w:r w:rsidR="00530FA0" w:rsidRPr="004A0C12">
        <w:rPr>
          <w:rFonts w:ascii="Garamond" w:hAnsi="Garamond"/>
          <w:szCs w:val="22"/>
        </w:rPr>
        <w:t xml:space="preserve"> on this population is critical</w:t>
      </w:r>
    </w:p>
    <w:p w14:paraId="36B7F1EE" w14:textId="41CD4086" w:rsidR="00C90261" w:rsidRPr="004A0C12" w:rsidRDefault="007A1FDC" w:rsidP="00232F09">
      <w:pPr>
        <w:pStyle w:val="ListParagraph"/>
        <w:numPr>
          <w:ilvl w:val="0"/>
          <w:numId w:val="220"/>
        </w:numPr>
        <w:tabs>
          <w:tab w:val="num" w:pos="1800"/>
        </w:tabs>
        <w:jc w:val="both"/>
        <w:rPr>
          <w:rFonts w:ascii="Garamond" w:hAnsi="Garamond"/>
          <w:szCs w:val="22"/>
        </w:rPr>
      </w:pPr>
      <w:r w:rsidRPr="004A0C12">
        <w:rPr>
          <w:rFonts w:ascii="Garamond" w:hAnsi="Garamond"/>
          <w:szCs w:val="22"/>
        </w:rPr>
        <w:t>The need for specialized training programs and employment opportunities for the deaf is an issu</w:t>
      </w:r>
      <w:r w:rsidR="00C90261" w:rsidRPr="004A0C12">
        <w:rPr>
          <w:rFonts w:ascii="Garamond" w:hAnsi="Garamond"/>
          <w:szCs w:val="22"/>
        </w:rPr>
        <w:t>e. Consideration by DORS and its Workforce &amp; Technology Center on</w:t>
      </w:r>
      <w:r w:rsidRPr="004A0C12">
        <w:rPr>
          <w:rFonts w:ascii="Garamond" w:hAnsi="Garamond"/>
          <w:szCs w:val="22"/>
        </w:rPr>
        <w:t xml:space="preserve"> focusing efforts on the development of programs in cooperation with local community colleges, technical trade schools, or apprenticeship programs in the building </w:t>
      </w:r>
      <w:r w:rsidR="00530FA0" w:rsidRPr="004A0C12">
        <w:rPr>
          <w:rFonts w:ascii="Garamond" w:hAnsi="Garamond"/>
          <w:szCs w:val="22"/>
        </w:rPr>
        <w:t>trades would be very beneficial</w:t>
      </w:r>
    </w:p>
    <w:p w14:paraId="4FB564C4" w14:textId="6C8AC08E" w:rsidR="00C90261" w:rsidRPr="004A0C12" w:rsidRDefault="007A1FDC" w:rsidP="00232F09">
      <w:pPr>
        <w:pStyle w:val="ListParagraph"/>
        <w:numPr>
          <w:ilvl w:val="0"/>
          <w:numId w:val="220"/>
        </w:numPr>
        <w:tabs>
          <w:tab w:val="num" w:pos="1800"/>
        </w:tabs>
        <w:contextualSpacing/>
        <w:jc w:val="both"/>
        <w:rPr>
          <w:rFonts w:ascii="Garamond" w:hAnsi="Garamond"/>
          <w:szCs w:val="22"/>
        </w:rPr>
      </w:pPr>
      <w:r w:rsidRPr="004A0C12">
        <w:rPr>
          <w:rFonts w:ascii="Garamond" w:hAnsi="Garamond"/>
          <w:szCs w:val="22"/>
        </w:rPr>
        <w:t>Expanding the use of On-The-Job Training to customize employment opportunities with Maryland businesses would help increase employment outcomes. This approach h</w:t>
      </w:r>
      <w:r w:rsidR="00C90261" w:rsidRPr="004A0C12">
        <w:rPr>
          <w:rFonts w:ascii="Garamond" w:hAnsi="Garamond"/>
          <w:szCs w:val="22"/>
        </w:rPr>
        <w:t>as been successfully used by Workforce &amp; Technology Center</w:t>
      </w:r>
      <w:r w:rsidRPr="004A0C12">
        <w:rPr>
          <w:rFonts w:ascii="Garamond" w:hAnsi="Garamond"/>
          <w:szCs w:val="22"/>
        </w:rPr>
        <w:t xml:space="preserve"> and other </w:t>
      </w:r>
      <w:r w:rsidR="00C90261" w:rsidRPr="004A0C12">
        <w:rPr>
          <w:rFonts w:ascii="Garamond" w:hAnsi="Garamond"/>
          <w:szCs w:val="22"/>
        </w:rPr>
        <w:t>DORS</w:t>
      </w:r>
      <w:r w:rsidRPr="004A0C12">
        <w:rPr>
          <w:rFonts w:ascii="Garamond" w:hAnsi="Garamond"/>
          <w:szCs w:val="22"/>
        </w:rPr>
        <w:t xml:space="preserve"> staff.</w:t>
      </w:r>
    </w:p>
    <w:p w14:paraId="3EDFBC47" w14:textId="77777777" w:rsidR="00C90261" w:rsidRPr="004A0C12" w:rsidRDefault="00C90261" w:rsidP="00C90261">
      <w:pPr>
        <w:tabs>
          <w:tab w:val="num" w:pos="1800"/>
        </w:tabs>
        <w:spacing w:line="240" w:lineRule="auto"/>
        <w:contextualSpacing/>
        <w:jc w:val="both"/>
        <w:rPr>
          <w:rFonts w:ascii="Garamond" w:hAnsi="Garamond"/>
        </w:rPr>
      </w:pPr>
    </w:p>
    <w:p w14:paraId="63F8612A" w14:textId="61A88845" w:rsidR="00C90261" w:rsidRPr="004A0C12" w:rsidRDefault="00C90261" w:rsidP="00C90261">
      <w:pPr>
        <w:tabs>
          <w:tab w:val="num" w:pos="1800"/>
        </w:tabs>
        <w:spacing w:line="240" w:lineRule="auto"/>
        <w:contextualSpacing/>
        <w:jc w:val="both"/>
        <w:rPr>
          <w:rFonts w:ascii="Garamond" w:hAnsi="Garamond"/>
        </w:rPr>
      </w:pPr>
      <w:r w:rsidRPr="004A0C12">
        <w:rPr>
          <w:rFonts w:ascii="Garamond" w:hAnsi="Garamond"/>
        </w:rPr>
        <w:t>Additional strategies for deaf, hard of hearing, and late deafe</w:t>
      </w:r>
      <w:r w:rsidR="0084345E" w:rsidRPr="004A0C12">
        <w:rPr>
          <w:rFonts w:ascii="Garamond" w:hAnsi="Garamond"/>
        </w:rPr>
        <w:t>n</w:t>
      </w:r>
      <w:r w:rsidRPr="004A0C12">
        <w:rPr>
          <w:rFonts w:ascii="Garamond" w:hAnsi="Garamond"/>
        </w:rPr>
        <w:t xml:space="preserve">ed individuals could include the following: </w:t>
      </w:r>
    </w:p>
    <w:p w14:paraId="6CC58BC1" w14:textId="77777777" w:rsidR="007A1FDC" w:rsidRPr="004A0C12" w:rsidRDefault="007A1FDC" w:rsidP="00C90261">
      <w:pPr>
        <w:spacing w:after="0" w:line="240" w:lineRule="auto"/>
        <w:contextualSpacing/>
        <w:jc w:val="both"/>
        <w:rPr>
          <w:rFonts w:ascii="Garamond" w:hAnsi="Garamond"/>
        </w:rPr>
      </w:pPr>
    </w:p>
    <w:p w14:paraId="6AEE7026" w14:textId="4A936458" w:rsidR="00C90261" w:rsidRPr="004A0C12" w:rsidRDefault="007A1FDC" w:rsidP="00232F09">
      <w:pPr>
        <w:numPr>
          <w:ilvl w:val="0"/>
          <w:numId w:val="149"/>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Establish a workgroup to develop a stra</w:t>
      </w:r>
      <w:r w:rsidR="00C90261" w:rsidRPr="004A0C12">
        <w:rPr>
          <w:rFonts w:ascii="Garamond" w:hAnsi="Garamond"/>
        </w:rPr>
        <w:t>tegic plan for working with Community Rehabilitation Programs</w:t>
      </w:r>
      <w:r w:rsidRPr="004A0C12">
        <w:rPr>
          <w:rFonts w:ascii="Garamond" w:hAnsi="Garamond"/>
        </w:rPr>
        <w:t xml:space="preserve"> to expa</w:t>
      </w:r>
      <w:r w:rsidR="00530FA0" w:rsidRPr="004A0C12">
        <w:rPr>
          <w:rFonts w:ascii="Garamond" w:hAnsi="Garamond"/>
        </w:rPr>
        <w:t>nd services for this population</w:t>
      </w:r>
    </w:p>
    <w:p w14:paraId="23B92F55" w14:textId="77FE2959" w:rsidR="007A1FDC" w:rsidRPr="004A0C12" w:rsidRDefault="007A1FDC" w:rsidP="00232F09">
      <w:pPr>
        <w:numPr>
          <w:ilvl w:val="0"/>
          <w:numId w:val="149"/>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Further analyze staffing needs and resources based on caseload size, distribution of consumers by</w:t>
      </w:r>
      <w:r w:rsidR="00C90261" w:rsidRPr="004A0C12">
        <w:rPr>
          <w:rFonts w:ascii="Garamond" w:hAnsi="Garamond"/>
        </w:rPr>
        <w:t xml:space="preserve"> region, and availability of Community Rehabilitation Programs and Workforce &amp; Technology Center services;</w:t>
      </w:r>
    </w:p>
    <w:p w14:paraId="12599F62" w14:textId="4B062590" w:rsidR="007A1FDC" w:rsidRPr="004A0C12" w:rsidRDefault="007A1FDC" w:rsidP="00232F09">
      <w:pPr>
        <w:numPr>
          <w:ilvl w:val="0"/>
          <w:numId w:val="149"/>
        </w:numPr>
        <w:tabs>
          <w:tab w:val="clear" w:pos="360"/>
          <w:tab w:val="num" w:pos="720"/>
        </w:tabs>
        <w:spacing w:after="0" w:line="240" w:lineRule="auto"/>
        <w:ind w:left="720" w:hanging="360"/>
        <w:jc w:val="both"/>
        <w:rPr>
          <w:rFonts w:ascii="Garamond" w:hAnsi="Garamond"/>
        </w:rPr>
      </w:pPr>
      <w:r w:rsidRPr="004A0C12">
        <w:rPr>
          <w:rFonts w:ascii="Garamond" w:hAnsi="Garamond"/>
        </w:rPr>
        <w:t>Form a committee to develop plans related to full implementation of the Rehabilitatio</w:t>
      </w:r>
      <w:r w:rsidR="00C90261" w:rsidRPr="004A0C12">
        <w:rPr>
          <w:rFonts w:ascii="Garamond" w:hAnsi="Garamond"/>
        </w:rPr>
        <w:t>n Communication Specialist model, and how Rehabilitation Counselors for the Deaf and Rehabilitation Communication Specialists</w:t>
      </w:r>
      <w:r w:rsidRPr="004A0C12">
        <w:rPr>
          <w:rFonts w:ascii="Garamond" w:hAnsi="Garamond"/>
        </w:rPr>
        <w:t xml:space="preserve"> can work in cooperation with the new Business Services Representatives in each region to increase On-The-Jo</w:t>
      </w:r>
      <w:r w:rsidR="00C90261" w:rsidRPr="004A0C12">
        <w:rPr>
          <w:rFonts w:ascii="Garamond" w:hAnsi="Garamond"/>
        </w:rPr>
        <w:t>b Trainings f</w:t>
      </w:r>
      <w:r w:rsidR="00530FA0" w:rsidRPr="004A0C12">
        <w:rPr>
          <w:rFonts w:ascii="Garamond" w:hAnsi="Garamond"/>
        </w:rPr>
        <w:t>or this population</w:t>
      </w:r>
    </w:p>
    <w:p w14:paraId="13441B5E" w14:textId="1D68FFB9" w:rsidR="007A1FDC" w:rsidRPr="004A0C12" w:rsidRDefault="00C90261" w:rsidP="00232F09">
      <w:pPr>
        <w:numPr>
          <w:ilvl w:val="0"/>
          <w:numId w:val="149"/>
        </w:numPr>
        <w:tabs>
          <w:tab w:val="clear" w:pos="360"/>
          <w:tab w:val="num" w:pos="720"/>
        </w:tabs>
        <w:spacing w:after="0" w:line="240" w:lineRule="auto"/>
        <w:ind w:left="720" w:hanging="360"/>
        <w:jc w:val="both"/>
        <w:rPr>
          <w:rFonts w:ascii="Garamond" w:hAnsi="Garamond"/>
        </w:rPr>
      </w:pPr>
      <w:r w:rsidRPr="004A0C12">
        <w:rPr>
          <w:rFonts w:ascii="Garamond" w:hAnsi="Garamond"/>
        </w:rPr>
        <w:t>Convene a workgroup of DORS, Workforce &amp; Technology Center</w:t>
      </w:r>
      <w:r w:rsidR="007A1FDC" w:rsidRPr="004A0C12">
        <w:rPr>
          <w:rFonts w:ascii="Garamond" w:hAnsi="Garamond"/>
        </w:rPr>
        <w:t>, college and t</w:t>
      </w:r>
      <w:r w:rsidR="00627D7C" w:rsidRPr="004A0C12">
        <w:rPr>
          <w:rFonts w:ascii="Garamond" w:hAnsi="Garamond"/>
        </w:rPr>
        <w:t xml:space="preserve">rade school representatives, WIOA Partners, and </w:t>
      </w:r>
      <w:r w:rsidR="007A1FDC" w:rsidRPr="004A0C12">
        <w:rPr>
          <w:rFonts w:ascii="Garamond" w:hAnsi="Garamond"/>
        </w:rPr>
        <w:t>other community partners to work on development of specialized training programs for full access to a broader range of employment options. Create a model that can be duplicated</w:t>
      </w:r>
      <w:r w:rsidR="00530FA0" w:rsidRPr="004A0C12">
        <w:rPr>
          <w:rFonts w:ascii="Garamond" w:hAnsi="Garamond"/>
        </w:rPr>
        <w:t xml:space="preserve"> for other targeted populations</w:t>
      </w:r>
    </w:p>
    <w:p w14:paraId="36DA916F" w14:textId="596E51C2" w:rsidR="007A1FDC" w:rsidRPr="004A0C12" w:rsidRDefault="007A1FDC" w:rsidP="00232F09">
      <w:pPr>
        <w:numPr>
          <w:ilvl w:val="0"/>
          <w:numId w:val="149"/>
        </w:numPr>
        <w:tabs>
          <w:tab w:val="clear" w:pos="360"/>
          <w:tab w:val="num" w:pos="720"/>
        </w:tabs>
        <w:spacing w:after="0" w:line="240" w:lineRule="auto"/>
        <w:ind w:left="720" w:hanging="360"/>
        <w:jc w:val="both"/>
        <w:rPr>
          <w:rFonts w:ascii="Garamond" w:hAnsi="Garamond"/>
        </w:rPr>
      </w:pPr>
      <w:r w:rsidRPr="004A0C12">
        <w:rPr>
          <w:rFonts w:ascii="Garamond" w:hAnsi="Garamond"/>
        </w:rPr>
        <w:t>Create a resource guide for staff working with special populations including foreign born deaf individuals, transitioning youth</w:t>
      </w:r>
      <w:r w:rsidR="00627D7C" w:rsidRPr="004A0C12">
        <w:rPr>
          <w:rFonts w:ascii="Garamond" w:hAnsi="Garamond"/>
        </w:rPr>
        <w:t>,</w:t>
      </w:r>
      <w:r w:rsidRPr="004A0C12">
        <w:rPr>
          <w:rFonts w:ascii="Garamond" w:hAnsi="Garamond"/>
        </w:rPr>
        <w:t xml:space="preserve"> and people who ar</w:t>
      </w:r>
      <w:r w:rsidR="00627D7C" w:rsidRPr="004A0C12">
        <w:rPr>
          <w:rFonts w:ascii="Garamond" w:hAnsi="Garamond"/>
        </w:rPr>
        <w:t>e hard of hearin</w:t>
      </w:r>
      <w:r w:rsidR="00530FA0" w:rsidRPr="004A0C12">
        <w:rPr>
          <w:rFonts w:ascii="Garamond" w:hAnsi="Garamond"/>
        </w:rPr>
        <w:t>g/late deafened</w:t>
      </w:r>
    </w:p>
    <w:p w14:paraId="7A0A1035" w14:textId="473C0DCF" w:rsidR="007A1FDC" w:rsidRPr="004A0C12" w:rsidRDefault="007A1FDC" w:rsidP="00232F09">
      <w:pPr>
        <w:numPr>
          <w:ilvl w:val="0"/>
          <w:numId w:val="149"/>
        </w:numPr>
        <w:tabs>
          <w:tab w:val="clear" w:pos="360"/>
          <w:tab w:val="num" w:pos="720"/>
        </w:tabs>
        <w:spacing w:after="0" w:line="240" w:lineRule="auto"/>
        <w:ind w:left="720" w:hanging="360"/>
        <w:jc w:val="both"/>
        <w:rPr>
          <w:rFonts w:ascii="Garamond" w:hAnsi="Garamond"/>
        </w:rPr>
      </w:pPr>
      <w:r w:rsidRPr="004A0C12">
        <w:rPr>
          <w:rFonts w:ascii="Garamond" w:hAnsi="Garamond"/>
        </w:rPr>
        <w:t>Need to establish, develop, or improve community rehabilitation programs within the State</w:t>
      </w:r>
      <w:r w:rsidR="00627D7C" w:rsidRPr="004A0C12">
        <w:rPr>
          <w:rFonts w:ascii="Garamond" w:hAnsi="Garamond"/>
        </w:rPr>
        <w:t xml:space="preserve">; and/or, </w:t>
      </w:r>
    </w:p>
    <w:p w14:paraId="3EF12356" w14:textId="1ACF7F27" w:rsidR="007A1FDC" w:rsidRPr="004A0C12" w:rsidRDefault="00627D7C" w:rsidP="00232F09">
      <w:pPr>
        <w:numPr>
          <w:ilvl w:val="0"/>
          <w:numId w:val="149"/>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Assess </w:t>
      </w:r>
      <w:r w:rsidR="007A1FDC" w:rsidRPr="004A0C12">
        <w:rPr>
          <w:rFonts w:ascii="Garamond" w:hAnsi="Garamond"/>
        </w:rPr>
        <w:t>the needs of individuals with disabilities for transition career services and pre-employment transition services</w:t>
      </w:r>
      <w:r w:rsidRPr="004A0C12">
        <w:rPr>
          <w:rFonts w:ascii="Garamond" w:hAnsi="Garamond"/>
        </w:rPr>
        <w:t>.</w:t>
      </w:r>
    </w:p>
    <w:p w14:paraId="78435AA9" w14:textId="77777777" w:rsidR="00530FA0" w:rsidRPr="004A0C12" w:rsidRDefault="00530FA0" w:rsidP="00530FA0">
      <w:pPr>
        <w:spacing w:after="0" w:line="240" w:lineRule="auto"/>
        <w:ind w:left="720"/>
        <w:jc w:val="both"/>
        <w:rPr>
          <w:rFonts w:ascii="Garamond" w:hAnsi="Garamond"/>
        </w:rPr>
      </w:pPr>
    </w:p>
    <w:p w14:paraId="1014011E" w14:textId="77777777" w:rsidR="00C91445" w:rsidRPr="004A0C12" w:rsidRDefault="00C91445" w:rsidP="00C91445">
      <w:pPr>
        <w:pStyle w:val="NormalWeb"/>
        <w:spacing w:before="0" w:beforeAutospacing="0" w:afterAutospacing="0"/>
        <w:rPr>
          <w:rFonts w:ascii="Garamond" w:hAnsi="Garamond"/>
          <w:sz w:val="22"/>
          <w:szCs w:val="22"/>
        </w:rPr>
      </w:pPr>
      <w:bookmarkStart w:id="215" w:name="_Toc447276242"/>
      <w:r w:rsidRPr="004A0C12">
        <w:rPr>
          <w:rFonts w:ascii="Garamond" w:hAnsi="Garamond"/>
          <w:color w:val="000000"/>
          <w:sz w:val="22"/>
          <w:szCs w:val="22"/>
        </w:rPr>
        <w:t>Supported employment needs of individuals with most significant disabilities residing in Maryland: Between FY 2013 and FY 2015 (see *note below), the overall number of initial plans developed during the year, which included supported employment services, decreased 3% from 1,556 in FY 2013 to 1,501 in FY 2015. This is largely due to the 6% decrease in initial plans, which included supported employment, developed for youth with disabilities age 24 or less at application during this same period, when initial plans were more frequently being prepared for students in high school before long-term funding for supported employment could be verified. However, during this same period, the percentage of initial plans developed for individuals referred by community rehabilitation programs and including supported employment services increased from 77% in FY 2013 to 84% in FY 2015.</w:t>
      </w:r>
    </w:p>
    <w:p w14:paraId="6A7B9E82" w14:textId="77777777" w:rsidR="00C91445" w:rsidRPr="004A0C12" w:rsidRDefault="00C91445" w:rsidP="00C91445">
      <w:pPr>
        <w:pStyle w:val="NormalWeb"/>
        <w:spacing w:before="0" w:beforeAutospacing="0" w:afterAutospacing="0"/>
        <w:rPr>
          <w:rFonts w:ascii="Garamond" w:hAnsi="Garamond"/>
          <w:sz w:val="22"/>
          <w:szCs w:val="22"/>
        </w:rPr>
      </w:pPr>
      <w:r w:rsidRPr="004A0C12">
        <w:rPr>
          <w:rFonts w:ascii="Garamond" w:hAnsi="Garamond"/>
          <w:color w:val="000000"/>
          <w:sz w:val="22"/>
          <w:szCs w:val="22"/>
        </w:rPr>
        <w:t>*Note:</w:t>
      </w:r>
    </w:p>
    <w:p w14:paraId="237CCD6D" w14:textId="01B002C0" w:rsidR="00C91445" w:rsidRPr="004A0C12" w:rsidRDefault="00C91445" w:rsidP="00232F09">
      <w:pPr>
        <w:pStyle w:val="NormalWeb"/>
        <w:numPr>
          <w:ilvl w:val="0"/>
          <w:numId w:val="311"/>
        </w:numPr>
        <w:spacing w:before="0" w:beforeAutospacing="0" w:afterAutospacing="0"/>
        <w:rPr>
          <w:rFonts w:ascii="Garamond" w:hAnsi="Garamond"/>
          <w:sz w:val="22"/>
          <w:szCs w:val="22"/>
        </w:rPr>
      </w:pPr>
      <w:r w:rsidRPr="004A0C12">
        <w:rPr>
          <w:rFonts w:ascii="Garamond" w:hAnsi="Garamond"/>
          <w:color w:val="000000"/>
          <w:sz w:val="22"/>
          <w:szCs w:val="22"/>
        </w:rPr>
        <w:t>In FY 2013, of the 5,178 plans initiated, 1,556 (30%) were supported employment plans. Out of 1,556 supported employment plans, 455 (29%) were developed for youth with significant disabilities age 24 and younger.</w:t>
      </w:r>
    </w:p>
    <w:p w14:paraId="05E18D2B" w14:textId="01ED8B76" w:rsidR="00C91445" w:rsidRPr="004A0C12" w:rsidRDefault="00C91445" w:rsidP="00232F09">
      <w:pPr>
        <w:pStyle w:val="NormalWeb"/>
        <w:numPr>
          <w:ilvl w:val="0"/>
          <w:numId w:val="311"/>
        </w:numPr>
        <w:spacing w:before="0" w:beforeAutospacing="0" w:afterAutospacing="0"/>
        <w:rPr>
          <w:rFonts w:ascii="Garamond" w:hAnsi="Garamond"/>
          <w:sz w:val="22"/>
          <w:szCs w:val="22"/>
        </w:rPr>
      </w:pPr>
      <w:r w:rsidRPr="004A0C12">
        <w:rPr>
          <w:rFonts w:ascii="Garamond" w:hAnsi="Garamond"/>
          <w:color w:val="000000"/>
          <w:sz w:val="22"/>
          <w:szCs w:val="22"/>
        </w:rPr>
        <w:t>In FY 2014, of the 5,274 plans initiated, 1,626 (31%) were supported employment plans. Out of the 1,626 supported employment plans, 419 (26%) were developed for youth with significant disabilities age 24 and younger.</w:t>
      </w:r>
    </w:p>
    <w:p w14:paraId="38F1516F" w14:textId="256B214F" w:rsidR="00C91445" w:rsidRPr="004A0C12" w:rsidRDefault="00C91445" w:rsidP="00232F09">
      <w:pPr>
        <w:pStyle w:val="NormalWeb"/>
        <w:numPr>
          <w:ilvl w:val="0"/>
          <w:numId w:val="311"/>
        </w:numPr>
        <w:spacing w:before="0" w:beforeAutospacing="0" w:afterAutospacing="0"/>
        <w:rPr>
          <w:rFonts w:ascii="Garamond" w:hAnsi="Garamond"/>
          <w:sz w:val="22"/>
          <w:szCs w:val="22"/>
        </w:rPr>
      </w:pPr>
      <w:r w:rsidRPr="004A0C12">
        <w:rPr>
          <w:rFonts w:ascii="Garamond" w:hAnsi="Garamond"/>
          <w:color w:val="000000"/>
          <w:sz w:val="22"/>
          <w:szCs w:val="22"/>
        </w:rPr>
        <w:t>In FY 2015, of the 5,276 plans initiated, 1,501 (28%) were supported employment plans. Out of the 1,501 supported employment plans, 340 (23%) were developed for youth with significant disabilities age 24 and younger.</w:t>
      </w:r>
    </w:p>
    <w:p w14:paraId="2C8909E8" w14:textId="13300321" w:rsidR="00C91445" w:rsidRPr="004A0C12" w:rsidRDefault="00C91445" w:rsidP="00C91445">
      <w:pPr>
        <w:pStyle w:val="NormalWeb"/>
        <w:spacing w:before="0" w:beforeAutospacing="0" w:afterAutospacing="0"/>
        <w:rPr>
          <w:rFonts w:ascii="Garamond" w:hAnsi="Garamond"/>
          <w:sz w:val="22"/>
          <w:szCs w:val="22"/>
        </w:rPr>
      </w:pPr>
      <w:r w:rsidRPr="004A0C12">
        <w:rPr>
          <w:rFonts w:ascii="Garamond" w:hAnsi="Garamond"/>
          <w:color w:val="000000"/>
          <w:sz w:val="22"/>
          <w:szCs w:val="22"/>
        </w:rPr>
        <w:t xml:space="preserve">As of January 2016, there are 2,671 individuals in Maryland earning subminimum wages under a 41c certificate. Section 511 of WIOA states that the DSU must provide youth with disabilities documentation that the youth have completed certain activities, such as receipt of transition services and Pre-Employment Transition services, under the VR program prior to the youth engaging in subminimum wage employment. Additionally, in Maryland SB 417/HB 420: Individuals </w:t>
      </w:r>
      <w:r w:rsidR="00881DB5" w:rsidRPr="004A0C12">
        <w:rPr>
          <w:rFonts w:ascii="Garamond" w:hAnsi="Garamond"/>
          <w:color w:val="000000"/>
          <w:sz w:val="22"/>
          <w:szCs w:val="22"/>
        </w:rPr>
        <w:t>with</w:t>
      </w:r>
      <w:r w:rsidRPr="004A0C12">
        <w:rPr>
          <w:rFonts w:ascii="Garamond" w:hAnsi="Garamond"/>
          <w:color w:val="000000"/>
          <w:sz w:val="22"/>
          <w:szCs w:val="22"/>
        </w:rPr>
        <w:t xml:space="preserve"> Disabilities: Minimum Wage and </w:t>
      </w:r>
      <w:r w:rsidRPr="004A0C12">
        <w:rPr>
          <w:rFonts w:ascii="Garamond" w:hAnsi="Garamond"/>
          <w:color w:val="000000"/>
          <w:sz w:val="22"/>
          <w:szCs w:val="22"/>
        </w:rPr>
        <w:lastRenderedPageBreak/>
        <w:t>Community Integration (Ken Capone Equal Employment Act) was passed during the 2016 Maryland Legislative Session. The bill phases out the authority for the Commissioner of Labor and Industry to authorize a work activities center or other sheltered workshop to pay a subminimum wage to an employee with a disability. It also restricts the authority of a work activities center or other sheltered workshop to pay a subminimum wage and/or a sub- prevailing wage to an employee with a disability. Beginning October 1, 2020, the Developmental Disabilities Administration (DDA) may not fund providers that pay individuals less than the minimum wage under a specified federal certificate. For both these reasons, there will be an increased need for supported employment services.</w:t>
      </w:r>
    </w:p>
    <w:p w14:paraId="2723B634" w14:textId="77777777" w:rsidR="00CD00E3" w:rsidRDefault="007A1FDC" w:rsidP="00CD00E3">
      <w:pPr>
        <w:pStyle w:val="NormalWeb"/>
        <w:rPr>
          <w:rFonts w:ascii="Garamond" w:hAnsi="Garamond"/>
          <w:sz w:val="22"/>
          <w:szCs w:val="22"/>
        </w:rPr>
      </w:pPr>
      <w:r w:rsidRPr="00C0180F">
        <w:rPr>
          <w:rStyle w:val="Heading3Char"/>
          <w:rFonts w:ascii="Garamond" w:hAnsi="Garamond"/>
        </w:rPr>
        <w:t>(B) Individuals with disabilities who are minorities</w:t>
      </w:r>
      <w:bookmarkEnd w:id="215"/>
      <w:r w:rsidRPr="00C0180F">
        <w:rPr>
          <w:rStyle w:val="Heading3Char"/>
          <w:rFonts w:ascii="Garamond" w:hAnsi="Garamond"/>
        </w:rPr>
        <w:cr/>
      </w:r>
      <w:r w:rsidRPr="004A0C12">
        <w:rPr>
          <w:rFonts w:ascii="Garamond" w:hAnsi="Garamond"/>
          <w:sz w:val="22"/>
          <w:szCs w:val="22"/>
        </w:rPr>
        <w:t>The Maryland 201</w:t>
      </w:r>
      <w:r w:rsidR="00C91445" w:rsidRPr="004A0C12">
        <w:rPr>
          <w:rFonts w:ascii="Garamond" w:hAnsi="Garamond"/>
          <w:sz w:val="22"/>
          <w:szCs w:val="22"/>
        </w:rPr>
        <w:t>3</w:t>
      </w:r>
      <w:r w:rsidRPr="004A0C12">
        <w:rPr>
          <w:rFonts w:ascii="Garamond" w:hAnsi="Garamond"/>
          <w:sz w:val="22"/>
          <w:szCs w:val="22"/>
        </w:rPr>
        <w:t xml:space="preserve"> Comprehensive Assessment of the Needs of Individuals with Disabilities identified a need for DORS to enhance services to minority individuals with disabilities, focusing on those from the Hispanic </w:t>
      </w:r>
      <w:r w:rsidR="00C91445" w:rsidRPr="004A0C12">
        <w:rPr>
          <w:rFonts w:ascii="Garamond" w:hAnsi="Garamond"/>
          <w:sz w:val="22"/>
          <w:szCs w:val="22"/>
        </w:rPr>
        <w:t xml:space="preserve">and Asian </w:t>
      </w:r>
      <w:r w:rsidRPr="004A0C12">
        <w:rPr>
          <w:rFonts w:ascii="Garamond" w:hAnsi="Garamond"/>
          <w:sz w:val="22"/>
          <w:szCs w:val="22"/>
        </w:rPr>
        <w:t xml:space="preserve">community. </w:t>
      </w:r>
      <w:r w:rsidRPr="004A0C12">
        <w:rPr>
          <w:rFonts w:ascii="Garamond" w:hAnsi="Garamond"/>
          <w:sz w:val="22"/>
          <w:szCs w:val="22"/>
        </w:rPr>
        <w:cr/>
      </w:r>
    </w:p>
    <w:p w14:paraId="3C13B7E1" w14:textId="09000314" w:rsidR="00E14327" w:rsidRPr="004A0C12" w:rsidRDefault="00E14327" w:rsidP="00CD00E3">
      <w:pPr>
        <w:pStyle w:val="NormalWeb"/>
        <w:rPr>
          <w:rFonts w:ascii="Garamond" w:hAnsi="Garamond"/>
          <w:sz w:val="22"/>
          <w:szCs w:val="22"/>
        </w:rPr>
      </w:pPr>
      <w:r w:rsidRPr="004A0C12">
        <w:rPr>
          <w:rFonts w:ascii="Garamond" w:hAnsi="Garamond"/>
          <w:color w:val="000000"/>
          <w:sz w:val="22"/>
          <w:szCs w:val="22"/>
        </w:rPr>
        <w:t>In Maryland in 2013, the overall percentage of disability among people of Hispanic/Latino origin betwee</w:t>
      </w:r>
      <w:r w:rsidR="00881DB5">
        <w:rPr>
          <w:rFonts w:ascii="Garamond" w:hAnsi="Garamond"/>
          <w:color w:val="000000"/>
          <w:sz w:val="22"/>
          <w:szCs w:val="22"/>
        </w:rPr>
        <w:t>n the ages of 21 and 64 was 5.4 percent and 5.0 percent</w:t>
      </w:r>
      <w:r w:rsidRPr="004A0C12">
        <w:rPr>
          <w:rFonts w:ascii="Garamond" w:hAnsi="Garamond"/>
          <w:color w:val="000000"/>
          <w:sz w:val="22"/>
          <w:szCs w:val="22"/>
        </w:rPr>
        <w:t xml:space="preserve"> of persons in Maryland in the same age group in Maryland. As indicated below, DORS has seen little change in the number of individuals served from Hispanic background and a modest increase in individuals served from Asian background in the past 3 years:</w:t>
      </w:r>
    </w:p>
    <w:p w14:paraId="5B82115F" w14:textId="79BAB8DB" w:rsidR="00E14327" w:rsidRPr="003D14AC" w:rsidRDefault="00E14327" w:rsidP="00E14327">
      <w:pPr>
        <w:pStyle w:val="NormalWeb"/>
        <w:spacing w:before="0" w:beforeAutospacing="0" w:afterAutospacing="0"/>
        <w:rPr>
          <w:rFonts w:ascii="Garamond" w:hAnsi="Garamond"/>
          <w:sz w:val="22"/>
          <w:szCs w:val="22"/>
        </w:rPr>
      </w:pPr>
      <w:r w:rsidRPr="003D14AC">
        <w:rPr>
          <w:rFonts w:ascii="Garamond" w:hAnsi="Garamond"/>
          <w:color w:val="000000"/>
          <w:sz w:val="22"/>
          <w:szCs w:val="22"/>
        </w:rPr>
        <w:t>Hispanic</w:t>
      </w:r>
    </w:p>
    <w:p w14:paraId="017A2797" w14:textId="42B15FC2" w:rsidR="003D14AC" w:rsidRPr="003D14AC" w:rsidRDefault="00E14327" w:rsidP="00E14327">
      <w:pPr>
        <w:pStyle w:val="NormalWeb"/>
        <w:spacing w:before="0" w:beforeAutospacing="0" w:afterAutospacing="0"/>
        <w:jc w:val="both"/>
        <w:rPr>
          <w:rFonts w:ascii="Garamond" w:hAnsi="Garamond"/>
          <w:color w:val="000000"/>
          <w:sz w:val="22"/>
          <w:szCs w:val="22"/>
        </w:rPr>
      </w:pPr>
      <w:r w:rsidRPr="003D14AC">
        <w:rPr>
          <w:rFonts w:ascii="Garamond" w:hAnsi="Garamond"/>
          <w:color w:val="000000"/>
          <w:sz w:val="22"/>
          <w:szCs w:val="22"/>
        </w:rPr>
        <w:t>Fiscal Year Number</w:t>
      </w:r>
      <w:r w:rsidR="003D14AC" w:rsidRPr="003D14AC">
        <w:rPr>
          <w:rFonts w:ascii="Garamond" w:hAnsi="Garamond"/>
          <w:color w:val="000000"/>
          <w:sz w:val="22"/>
          <w:szCs w:val="22"/>
        </w:rPr>
        <w:t xml:space="preserve"> /</w:t>
      </w:r>
      <w:r w:rsidRPr="003D14AC">
        <w:rPr>
          <w:rFonts w:ascii="Garamond" w:hAnsi="Garamond"/>
          <w:color w:val="000000"/>
          <w:sz w:val="22"/>
          <w:szCs w:val="22"/>
        </w:rPr>
        <w:t xml:space="preserve"> Served </w:t>
      </w:r>
    </w:p>
    <w:p w14:paraId="284298B9" w14:textId="77777777" w:rsidR="003D14AC" w:rsidRPr="003D14AC" w:rsidRDefault="00E14327" w:rsidP="00E14327">
      <w:pPr>
        <w:pStyle w:val="NormalWeb"/>
        <w:spacing w:before="0" w:beforeAutospacing="0" w:afterAutospacing="0"/>
        <w:jc w:val="both"/>
        <w:rPr>
          <w:rFonts w:ascii="Garamond" w:hAnsi="Garamond"/>
          <w:color w:val="000000"/>
          <w:sz w:val="22"/>
          <w:szCs w:val="22"/>
        </w:rPr>
      </w:pPr>
      <w:r w:rsidRPr="003D14AC">
        <w:rPr>
          <w:rFonts w:ascii="Garamond" w:hAnsi="Garamond"/>
          <w:color w:val="000000"/>
          <w:sz w:val="22"/>
          <w:szCs w:val="22"/>
        </w:rPr>
        <w:t xml:space="preserve">FY 2013 721 </w:t>
      </w:r>
    </w:p>
    <w:p w14:paraId="2B2E1368" w14:textId="77777777" w:rsidR="003D14AC" w:rsidRPr="003D14AC" w:rsidRDefault="00E14327" w:rsidP="00E14327">
      <w:pPr>
        <w:pStyle w:val="NormalWeb"/>
        <w:spacing w:before="0" w:beforeAutospacing="0" w:afterAutospacing="0"/>
        <w:jc w:val="both"/>
        <w:rPr>
          <w:rFonts w:ascii="Garamond" w:hAnsi="Garamond"/>
          <w:color w:val="000000"/>
          <w:sz w:val="22"/>
          <w:szCs w:val="22"/>
        </w:rPr>
      </w:pPr>
      <w:r w:rsidRPr="003D14AC">
        <w:rPr>
          <w:rFonts w:ascii="Garamond" w:hAnsi="Garamond"/>
          <w:color w:val="000000"/>
          <w:sz w:val="22"/>
          <w:szCs w:val="22"/>
        </w:rPr>
        <w:t xml:space="preserve">FY 2014 722 </w:t>
      </w:r>
    </w:p>
    <w:p w14:paraId="27E1532A" w14:textId="21AB4637" w:rsidR="00E14327" w:rsidRPr="003D14AC" w:rsidRDefault="00E14327" w:rsidP="00E14327">
      <w:pPr>
        <w:pStyle w:val="NormalWeb"/>
        <w:spacing w:before="0" w:beforeAutospacing="0" w:afterAutospacing="0"/>
        <w:jc w:val="both"/>
        <w:rPr>
          <w:rFonts w:ascii="Garamond" w:hAnsi="Garamond"/>
          <w:sz w:val="22"/>
          <w:szCs w:val="22"/>
        </w:rPr>
      </w:pPr>
      <w:r w:rsidRPr="003D14AC">
        <w:rPr>
          <w:rFonts w:ascii="Garamond" w:hAnsi="Garamond"/>
          <w:color w:val="000000"/>
          <w:sz w:val="22"/>
          <w:szCs w:val="22"/>
        </w:rPr>
        <w:t>FY 2015 725</w:t>
      </w:r>
    </w:p>
    <w:p w14:paraId="0A402A15" w14:textId="77777777" w:rsidR="00E14327" w:rsidRPr="003D14AC" w:rsidRDefault="00E14327" w:rsidP="00E14327">
      <w:pPr>
        <w:pStyle w:val="NormalWeb"/>
        <w:spacing w:before="0" w:beforeAutospacing="0" w:afterAutospacing="0"/>
        <w:rPr>
          <w:rFonts w:ascii="Garamond" w:hAnsi="Garamond"/>
          <w:sz w:val="22"/>
          <w:szCs w:val="22"/>
        </w:rPr>
      </w:pPr>
      <w:r w:rsidRPr="003D14AC">
        <w:rPr>
          <w:rFonts w:ascii="Garamond" w:hAnsi="Garamond"/>
          <w:color w:val="000000"/>
          <w:sz w:val="22"/>
          <w:szCs w:val="22"/>
        </w:rPr>
        <w:t>Asian</w:t>
      </w:r>
    </w:p>
    <w:p w14:paraId="60F6884C" w14:textId="77777777" w:rsidR="003D14AC" w:rsidRPr="003D14AC" w:rsidRDefault="00E14327" w:rsidP="00E14327">
      <w:pPr>
        <w:pStyle w:val="NormalWeb"/>
        <w:spacing w:before="0" w:beforeAutospacing="0" w:afterAutospacing="0"/>
        <w:jc w:val="both"/>
        <w:rPr>
          <w:rFonts w:ascii="Garamond" w:hAnsi="Garamond"/>
          <w:color w:val="000000"/>
          <w:sz w:val="22"/>
          <w:szCs w:val="22"/>
        </w:rPr>
      </w:pPr>
      <w:r w:rsidRPr="003D14AC">
        <w:rPr>
          <w:rFonts w:ascii="Garamond" w:hAnsi="Garamond"/>
          <w:color w:val="000000"/>
          <w:sz w:val="22"/>
          <w:szCs w:val="22"/>
        </w:rPr>
        <w:t>Fiscal Year Number</w:t>
      </w:r>
      <w:r w:rsidR="003D14AC" w:rsidRPr="003D14AC">
        <w:rPr>
          <w:rFonts w:ascii="Garamond" w:hAnsi="Garamond"/>
          <w:color w:val="000000"/>
          <w:sz w:val="22"/>
          <w:szCs w:val="22"/>
        </w:rPr>
        <w:t xml:space="preserve"> /</w:t>
      </w:r>
      <w:r w:rsidRPr="003D14AC">
        <w:rPr>
          <w:rFonts w:ascii="Garamond" w:hAnsi="Garamond"/>
          <w:color w:val="000000"/>
          <w:sz w:val="22"/>
          <w:szCs w:val="22"/>
        </w:rPr>
        <w:t xml:space="preserve"> Served </w:t>
      </w:r>
    </w:p>
    <w:p w14:paraId="2C2EADB2" w14:textId="77777777" w:rsidR="003D14AC" w:rsidRPr="003D14AC" w:rsidRDefault="00E14327" w:rsidP="00E14327">
      <w:pPr>
        <w:pStyle w:val="NormalWeb"/>
        <w:spacing w:before="0" w:beforeAutospacing="0" w:afterAutospacing="0"/>
        <w:jc w:val="both"/>
        <w:rPr>
          <w:rFonts w:ascii="Garamond" w:hAnsi="Garamond"/>
          <w:color w:val="000000"/>
          <w:sz w:val="22"/>
          <w:szCs w:val="22"/>
        </w:rPr>
      </w:pPr>
      <w:r w:rsidRPr="003D14AC">
        <w:rPr>
          <w:rFonts w:ascii="Garamond" w:hAnsi="Garamond"/>
          <w:color w:val="000000"/>
          <w:sz w:val="22"/>
          <w:szCs w:val="22"/>
        </w:rPr>
        <w:t xml:space="preserve">FY 2013 588 </w:t>
      </w:r>
    </w:p>
    <w:p w14:paraId="0CD34B2A" w14:textId="77777777" w:rsidR="003D14AC" w:rsidRPr="003D14AC" w:rsidRDefault="00E14327" w:rsidP="00E14327">
      <w:pPr>
        <w:pStyle w:val="NormalWeb"/>
        <w:spacing w:before="0" w:beforeAutospacing="0" w:afterAutospacing="0"/>
        <w:jc w:val="both"/>
        <w:rPr>
          <w:rFonts w:ascii="Garamond" w:hAnsi="Garamond"/>
          <w:color w:val="000000"/>
          <w:sz w:val="22"/>
          <w:szCs w:val="22"/>
        </w:rPr>
      </w:pPr>
      <w:r w:rsidRPr="003D14AC">
        <w:rPr>
          <w:rFonts w:ascii="Garamond" w:hAnsi="Garamond"/>
          <w:color w:val="000000"/>
          <w:sz w:val="22"/>
          <w:szCs w:val="22"/>
        </w:rPr>
        <w:t>FY 2014 607</w:t>
      </w:r>
    </w:p>
    <w:p w14:paraId="5A9B2777" w14:textId="478F6C66" w:rsidR="00E14327" w:rsidRPr="004A0C12" w:rsidRDefault="00E14327" w:rsidP="00E14327">
      <w:pPr>
        <w:pStyle w:val="NormalWeb"/>
        <w:spacing w:before="0" w:beforeAutospacing="0" w:afterAutospacing="0"/>
        <w:jc w:val="both"/>
        <w:rPr>
          <w:rFonts w:ascii="Garamond" w:hAnsi="Garamond"/>
          <w:sz w:val="22"/>
          <w:szCs w:val="22"/>
        </w:rPr>
      </w:pPr>
      <w:r w:rsidRPr="003D14AC">
        <w:rPr>
          <w:rFonts w:ascii="Garamond" w:hAnsi="Garamond"/>
          <w:color w:val="000000"/>
          <w:sz w:val="22"/>
          <w:szCs w:val="22"/>
        </w:rPr>
        <w:t>FY 2015 650</w:t>
      </w:r>
    </w:p>
    <w:p w14:paraId="0D45F725" w14:textId="29C12117" w:rsidR="00E14327" w:rsidRPr="004A0C12" w:rsidRDefault="00E14327" w:rsidP="00E14327">
      <w:pPr>
        <w:pStyle w:val="NormalWeb"/>
        <w:spacing w:before="0" w:beforeAutospacing="0" w:afterAutospacing="0"/>
        <w:rPr>
          <w:rFonts w:ascii="Garamond" w:hAnsi="Garamond"/>
          <w:sz w:val="22"/>
          <w:szCs w:val="22"/>
        </w:rPr>
      </w:pPr>
      <w:r w:rsidRPr="004A0C12">
        <w:rPr>
          <w:rFonts w:ascii="Garamond" w:hAnsi="Garamond"/>
          <w:color w:val="000000"/>
          <w:sz w:val="22"/>
          <w:szCs w:val="22"/>
        </w:rPr>
        <w:t>Needs/concerns</w:t>
      </w:r>
      <w:r w:rsidR="00881DB5" w:rsidRPr="004A0C12">
        <w:rPr>
          <w:rFonts w:ascii="Garamond" w:hAnsi="Garamond"/>
          <w:color w:val="000000"/>
          <w:sz w:val="22"/>
          <w:szCs w:val="22"/>
        </w:rPr>
        <w:t>:</w:t>
      </w:r>
      <w:r w:rsidRPr="004A0C12">
        <w:rPr>
          <w:rFonts w:ascii="Garamond" w:hAnsi="Garamond"/>
          <w:color w:val="000000"/>
          <w:sz w:val="22"/>
          <w:szCs w:val="22"/>
        </w:rPr>
        <w:t xml:space="preserve"> During FY 2013 through FY 2015, the percentage of individuals served who were Asian was consistently 2% of the whole, and the percentage of individuals served who were Hispanic was consistently 3% of the whole. Similar percentages appear when examining specific services provided by DORS to Asian and Hispanic individuals. For instance, 4% of DORS-sponsored training in colleges or universities was for Asian individuals and 3% for Hispanic individuals, and 2% of DORS-sponsored transportation services were for Asian individuals and 3% for Hispanic individuals, during each of the last three years,</w:t>
      </w:r>
    </w:p>
    <w:p w14:paraId="50270408" w14:textId="77777777" w:rsidR="00E14327" w:rsidRPr="004A0C12" w:rsidRDefault="00E14327" w:rsidP="00E14327">
      <w:pPr>
        <w:pStyle w:val="NormalWeb"/>
        <w:spacing w:before="0" w:beforeAutospacing="0" w:afterAutospacing="0"/>
        <w:rPr>
          <w:rFonts w:ascii="Garamond" w:hAnsi="Garamond"/>
          <w:sz w:val="22"/>
          <w:szCs w:val="22"/>
        </w:rPr>
      </w:pPr>
      <w:r w:rsidRPr="004A0C12">
        <w:rPr>
          <w:rFonts w:ascii="Garamond" w:hAnsi="Garamond"/>
          <w:color w:val="000000"/>
          <w:sz w:val="22"/>
          <w:szCs w:val="22"/>
        </w:rPr>
        <w:t>English has been the predominant language of 95% of DORS consumers. However, the number of consumers whose primary language is a foreign language has increased 21% between FY 2013 (189) and FY 2015 (230).</w:t>
      </w:r>
    </w:p>
    <w:p w14:paraId="3F681CA0" w14:textId="7A79C06E" w:rsidR="00E14327" w:rsidRPr="00241A11" w:rsidRDefault="00E14327" w:rsidP="00E14327">
      <w:pPr>
        <w:pStyle w:val="NormalWeb"/>
        <w:spacing w:before="0" w:beforeAutospacing="0" w:afterAutospacing="0"/>
        <w:rPr>
          <w:rFonts w:ascii="Garamond" w:hAnsi="Garamond"/>
          <w:sz w:val="22"/>
          <w:szCs w:val="22"/>
          <w:highlight w:val="yellow"/>
        </w:rPr>
      </w:pPr>
      <w:r w:rsidRPr="004A0C12">
        <w:rPr>
          <w:rFonts w:ascii="Garamond" w:hAnsi="Garamond"/>
          <w:color w:val="000000"/>
          <w:sz w:val="22"/>
          <w:szCs w:val="22"/>
        </w:rPr>
        <w:t xml:space="preserve">The table below shows that Spanish is the language most frequently spoken by those who report a primary language other than English. The DORS Application for Rehabilitation Services is available in Spanish, as well as Korean and Vietnamese languages. </w:t>
      </w:r>
      <w:r w:rsidRPr="00967764">
        <w:rPr>
          <w:rFonts w:ascii="Garamond" w:hAnsi="Garamond"/>
          <w:color w:val="000000"/>
          <w:sz w:val="22"/>
          <w:szCs w:val="22"/>
        </w:rPr>
        <w:t>The DORS Multi-Cultural Committee will</w:t>
      </w:r>
      <w:r w:rsidR="00881DB5" w:rsidRPr="00967764">
        <w:rPr>
          <w:rFonts w:ascii="Garamond" w:hAnsi="Garamond"/>
          <w:sz w:val="22"/>
          <w:szCs w:val="22"/>
        </w:rPr>
        <w:t xml:space="preserve"> </w:t>
      </w:r>
      <w:r w:rsidRPr="00967764">
        <w:rPr>
          <w:rFonts w:ascii="Garamond" w:hAnsi="Garamond"/>
          <w:color w:val="000000"/>
          <w:sz w:val="22"/>
          <w:szCs w:val="22"/>
        </w:rPr>
        <w:t>continue to recommend strategies for serving consumers from various racial and ethnic cultures, including those who primarily use foreign languages.</w:t>
      </w:r>
      <w:r w:rsidR="00241A11" w:rsidRPr="00241A11">
        <w:rPr>
          <w:rFonts w:ascii="Garamond" w:hAnsi="Garamond"/>
          <w:noProof/>
          <w:color w:val="000000"/>
          <w:sz w:val="22"/>
          <w:szCs w:val="22"/>
        </w:rPr>
        <w:t xml:space="preserve"> </w:t>
      </w:r>
    </w:p>
    <w:p w14:paraId="141C2E48" w14:textId="77777777" w:rsidR="00967764" w:rsidRDefault="00967764" w:rsidP="00E14327">
      <w:pPr>
        <w:pStyle w:val="NormalWeb"/>
        <w:spacing w:before="0" w:beforeAutospacing="0" w:afterAutospacing="0"/>
        <w:jc w:val="both"/>
        <w:rPr>
          <w:rFonts w:ascii="Garamond" w:hAnsi="Garamond"/>
          <w:color w:val="000000"/>
          <w:sz w:val="22"/>
          <w:szCs w:val="22"/>
        </w:rPr>
      </w:pPr>
    </w:p>
    <w:p w14:paraId="18283582" w14:textId="77777777" w:rsidR="00967764" w:rsidRDefault="00967764" w:rsidP="00E14327">
      <w:pPr>
        <w:pStyle w:val="NormalWeb"/>
        <w:spacing w:before="0" w:beforeAutospacing="0" w:afterAutospacing="0"/>
        <w:jc w:val="both"/>
        <w:rPr>
          <w:rFonts w:ascii="Garamond" w:hAnsi="Garamond"/>
          <w:color w:val="000000"/>
          <w:sz w:val="22"/>
          <w:szCs w:val="22"/>
        </w:rPr>
      </w:pPr>
    </w:p>
    <w:p w14:paraId="59997C4A" w14:textId="77777777" w:rsidR="00967764" w:rsidRDefault="00967764" w:rsidP="00E14327">
      <w:pPr>
        <w:pStyle w:val="NormalWeb"/>
        <w:spacing w:before="0" w:beforeAutospacing="0" w:afterAutospacing="0"/>
        <w:jc w:val="both"/>
        <w:rPr>
          <w:rFonts w:ascii="Garamond" w:hAnsi="Garamond"/>
          <w:color w:val="000000"/>
          <w:sz w:val="22"/>
          <w:szCs w:val="22"/>
        </w:rPr>
      </w:pPr>
    </w:p>
    <w:p w14:paraId="70420855" w14:textId="77777777" w:rsidR="00967764" w:rsidRDefault="00967764" w:rsidP="00E14327">
      <w:pPr>
        <w:pStyle w:val="NormalWeb"/>
        <w:spacing w:before="0" w:beforeAutospacing="0" w:afterAutospacing="0"/>
        <w:jc w:val="both"/>
        <w:rPr>
          <w:rFonts w:ascii="Garamond" w:hAnsi="Garamond"/>
          <w:color w:val="000000"/>
          <w:sz w:val="22"/>
          <w:szCs w:val="22"/>
        </w:rPr>
      </w:pPr>
    </w:p>
    <w:p w14:paraId="3046A2D6" w14:textId="77777777" w:rsidR="00967764" w:rsidRDefault="00967764" w:rsidP="00E14327">
      <w:pPr>
        <w:pStyle w:val="NormalWeb"/>
        <w:spacing w:before="0" w:beforeAutospacing="0" w:afterAutospacing="0"/>
        <w:jc w:val="both"/>
        <w:rPr>
          <w:rFonts w:ascii="Garamond" w:hAnsi="Garamond"/>
          <w:color w:val="000000"/>
          <w:sz w:val="22"/>
          <w:szCs w:val="22"/>
        </w:rPr>
      </w:pPr>
    </w:p>
    <w:p w14:paraId="03B2E310" w14:textId="77777777" w:rsidR="00967764" w:rsidRPr="00967764" w:rsidRDefault="00E14327"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lastRenderedPageBreak/>
        <w:t xml:space="preserve">Primary Language: </w:t>
      </w:r>
    </w:p>
    <w:tbl>
      <w:tblPr>
        <w:tblStyle w:val="TableGrid"/>
        <w:tblW w:w="0" w:type="auto"/>
        <w:tblLook w:val="04A0" w:firstRow="1" w:lastRow="0" w:firstColumn="1" w:lastColumn="0" w:noHBand="0" w:noVBand="1"/>
      </w:tblPr>
      <w:tblGrid>
        <w:gridCol w:w="1188"/>
        <w:gridCol w:w="1440"/>
        <w:gridCol w:w="1122"/>
        <w:gridCol w:w="858"/>
        <w:gridCol w:w="900"/>
        <w:gridCol w:w="1134"/>
        <w:gridCol w:w="1206"/>
        <w:gridCol w:w="1710"/>
        <w:gridCol w:w="1746"/>
      </w:tblGrid>
      <w:tr w:rsidR="00967764" w:rsidRPr="00967764" w14:paraId="5454016E" w14:textId="61F8355C" w:rsidTr="00967764">
        <w:tc>
          <w:tcPr>
            <w:tcW w:w="1188" w:type="dxa"/>
          </w:tcPr>
          <w:p w14:paraId="062C3C36" w14:textId="284F17CA" w:rsidR="00967764" w:rsidRPr="00967764" w:rsidRDefault="00967764" w:rsidP="00E14327">
            <w:pPr>
              <w:pStyle w:val="NormalWeb"/>
              <w:spacing w:before="0" w:beforeAutospacing="0" w:afterAutospacing="0"/>
              <w:jc w:val="both"/>
              <w:rPr>
                <w:rFonts w:ascii="Garamond" w:hAnsi="Garamond"/>
                <w:color w:val="000000"/>
                <w:sz w:val="22"/>
                <w:szCs w:val="22"/>
              </w:rPr>
            </w:pPr>
          </w:p>
        </w:tc>
        <w:tc>
          <w:tcPr>
            <w:tcW w:w="1440" w:type="dxa"/>
          </w:tcPr>
          <w:p w14:paraId="0FA2A20A" w14:textId="60B30A6B"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Foreign Sign Language</w:t>
            </w:r>
          </w:p>
        </w:tc>
        <w:tc>
          <w:tcPr>
            <w:tcW w:w="1122" w:type="dxa"/>
          </w:tcPr>
          <w:p w14:paraId="6A0EA70D" w14:textId="12137600"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Chinese</w:t>
            </w:r>
          </w:p>
        </w:tc>
        <w:tc>
          <w:tcPr>
            <w:tcW w:w="858" w:type="dxa"/>
          </w:tcPr>
          <w:p w14:paraId="4F2B89D8" w14:textId="2D4498AF"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Korean</w:t>
            </w:r>
          </w:p>
        </w:tc>
        <w:tc>
          <w:tcPr>
            <w:tcW w:w="900" w:type="dxa"/>
          </w:tcPr>
          <w:p w14:paraId="19C33EC1" w14:textId="37088F4E"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Russian</w:t>
            </w:r>
          </w:p>
        </w:tc>
        <w:tc>
          <w:tcPr>
            <w:tcW w:w="1134" w:type="dxa"/>
          </w:tcPr>
          <w:p w14:paraId="13283310" w14:textId="5E6E66FF"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Spanish</w:t>
            </w:r>
          </w:p>
        </w:tc>
        <w:tc>
          <w:tcPr>
            <w:tcW w:w="1206" w:type="dxa"/>
          </w:tcPr>
          <w:p w14:paraId="1039032F" w14:textId="4C721F4D"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Vietnamese</w:t>
            </w:r>
          </w:p>
        </w:tc>
        <w:tc>
          <w:tcPr>
            <w:tcW w:w="1710" w:type="dxa"/>
          </w:tcPr>
          <w:p w14:paraId="214AAD9F" w14:textId="1D24B6BD"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 xml:space="preserve">Other Language </w:t>
            </w:r>
          </w:p>
        </w:tc>
        <w:tc>
          <w:tcPr>
            <w:tcW w:w="1746" w:type="dxa"/>
          </w:tcPr>
          <w:p w14:paraId="0A24005D" w14:textId="16153245"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 xml:space="preserve">Total </w:t>
            </w:r>
          </w:p>
        </w:tc>
      </w:tr>
      <w:tr w:rsidR="00967764" w:rsidRPr="00967764" w14:paraId="69BF2A7D" w14:textId="222E9F84" w:rsidTr="00967764">
        <w:tc>
          <w:tcPr>
            <w:tcW w:w="1188" w:type="dxa"/>
          </w:tcPr>
          <w:p w14:paraId="35C7AA42" w14:textId="7D5069BC"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FY 2013</w:t>
            </w:r>
          </w:p>
        </w:tc>
        <w:tc>
          <w:tcPr>
            <w:tcW w:w="1440" w:type="dxa"/>
          </w:tcPr>
          <w:p w14:paraId="40AF4180" w14:textId="6689B05F"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13</w:t>
            </w:r>
          </w:p>
        </w:tc>
        <w:tc>
          <w:tcPr>
            <w:tcW w:w="1122" w:type="dxa"/>
          </w:tcPr>
          <w:p w14:paraId="47DB82E3" w14:textId="4C51243E"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8</w:t>
            </w:r>
          </w:p>
        </w:tc>
        <w:tc>
          <w:tcPr>
            <w:tcW w:w="858" w:type="dxa"/>
          </w:tcPr>
          <w:p w14:paraId="4B39214B" w14:textId="416C255F"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8</w:t>
            </w:r>
          </w:p>
        </w:tc>
        <w:tc>
          <w:tcPr>
            <w:tcW w:w="900" w:type="dxa"/>
          </w:tcPr>
          <w:p w14:paraId="476109DD" w14:textId="671369BB"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7</w:t>
            </w:r>
          </w:p>
        </w:tc>
        <w:tc>
          <w:tcPr>
            <w:tcW w:w="1134" w:type="dxa"/>
          </w:tcPr>
          <w:p w14:paraId="71505643" w14:textId="045A4F50"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70</w:t>
            </w:r>
          </w:p>
        </w:tc>
        <w:tc>
          <w:tcPr>
            <w:tcW w:w="1206" w:type="dxa"/>
          </w:tcPr>
          <w:p w14:paraId="6F9C1DFB" w14:textId="3C54D415"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4</w:t>
            </w:r>
          </w:p>
        </w:tc>
        <w:tc>
          <w:tcPr>
            <w:tcW w:w="1710" w:type="dxa"/>
          </w:tcPr>
          <w:p w14:paraId="3FDBE680" w14:textId="439830AD"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79</w:t>
            </w:r>
          </w:p>
        </w:tc>
        <w:tc>
          <w:tcPr>
            <w:tcW w:w="1746" w:type="dxa"/>
          </w:tcPr>
          <w:p w14:paraId="71AA597A" w14:textId="1B3324E9"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189</w:t>
            </w:r>
          </w:p>
        </w:tc>
      </w:tr>
      <w:tr w:rsidR="00967764" w:rsidRPr="00967764" w14:paraId="320419FD" w14:textId="2F3784F3" w:rsidTr="00967764">
        <w:tc>
          <w:tcPr>
            <w:tcW w:w="1188" w:type="dxa"/>
          </w:tcPr>
          <w:p w14:paraId="65CDDAFE" w14:textId="5B2F0376"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FY 2014</w:t>
            </w:r>
          </w:p>
        </w:tc>
        <w:tc>
          <w:tcPr>
            <w:tcW w:w="1440" w:type="dxa"/>
          </w:tcPr>
          <w:p w14:paraId="61AF15D8" w14:textId="4B400CB8"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19</w:t>
            </w:r>
          </w:p>
        </w:tc>
        <w:tc>
          <w:tcPr>
            <w:tcW w:w="1122" w:type="dxa"/>
          </w:tcPr>
          <w:p w14:paraId="25573D75" w14:textId="5FE84C97"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10</w:t>
            </w:r>
          </w:p>
        </w:tc>
        <w:tc>
          <w:tcPr>
            <w:tcW w:w="858" w:type="dxa"/>
          </w:tcPr>
          <w:p w14:paraId="1EDD7CA9" w14:textId="6CE2943C"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6</w:t>
            </w:r>
          </w:p>
        </w:tc>
        <w:tc>
          <w:tcPr>
            <w:tcW w:w="900" w:type="dxa"/>
          </w:tcPr>
          <w:p w14:paraId="34DF757C" w14:textId="6ECC133B"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9</w:t>
            </w:r>
          </w:p>
        </w:tc>
        <w:tc>
          <w:tcPr>
            <w:tcW w:w="1134" w:type="dxa"/>
          </w:tcPr>
          <w:p w14:paraId="4BF5F7A0" w14:textId="17A15A7A"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73</w:t>
            </w:r>
          </w:p>
        </w:tc>
        <w:tc>
          <w:tcPr>
            <w:tcW w:w="1206" w:type="dxa"/>
          </w:tcPr>
          <w:p w14:paraId="02251F9E" w14:textId="1D590E09"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5</w:t>
            </w:r>
          </w:p>
        </w:tc>
        <w:tc>
          <w:tcPr>
            <w:tcW w:w="1710" w:type="dxa"/>
          </w:tcPr>
          <w:p w14:paraId="4B7F6F01" w14:textId="40903989"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85</w:t>
            </w:r>
          </w:p>
        </w:tc>
        <w:tc>
          <w:tcPr>
            <w:tcW w:w="1746" w:type="dxa"/>
          </w:tcPr>
          <w:p w14:paraId="7FF419D7" w14:textId="141BB4D2"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207</w:t>
            </w:r>
          </w:p>
        </w:tc>
      </w:tr>
      <w:tr w:rsidR="00967764" w:rsidRPr="00967764" w14:paraId="54563722" w14:textId="52905CD1" w:rsidTr="00967764">
        <w:tc>
          <w:tcPr>
            <w:tcW w:w="1188" w:type="dxa"/>
          </w:tcPr>
          <w:p w14:paraId="3AB606AC" w14:textId="639E871C"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FY 2015</w:t>
            </w:r>
          </w:p>
        </w:tc>
        <w:tc>
          <w:tcPr>
            <w:tcW w:w="1440" w:type="dxa"/>
          </w:tcPr>
          <w:p w14:paraId="56323F4B" w14:textId="7334D15F"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19</w:t>
            </w:r>
          </w:p>
        </w:tc>
        <w:tc>
          <w:tcPr>
            <w:tcW w:w="1122" w:type="dxa"/>
          </w:tcPr>
          <w:p w14:paraId="742AC8C7" w14:textId="6DCF3689"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9</w:t>
            </w:r>
          </w:p>
        </w:tc>
        <w:tc>
          <w:tcPr>
            <w:tcW w:w="858" w:type="dxa"/>
          </w:tcPr>
          <w:p w14:paraId="28656165" w14:textId="4B5DC31F"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6</w:t>
            </w:r>
          </w:p>
        </w:tc>
        <w:tc>
          <w:tcPr>
            <w:tcW w:w="900" w:type="dxa"/>
          </w:tcPr>
          <w:p w14:paraId="67E42795" w14:textId="260AB8A5"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8</w:t>
            </w:r>
          </w:p>
        </w:tc>
        <w:tc>
          <w:tcPr>
            <w:tcW w:w="1134" w:type="dxa"/>
          </w:tcPr>
          <w:p w14:paraId="76806751" w14:textId="5E5D4CB6"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93</w:t>
            </w:r>
          </w:p>
        </w:tc>
        <w:tc>
          <w:tcPr>
            <w:tcW w:w="1206" w:type="dxa"/>
          </w:tcPr>
          <w:p w14:paraId="15883BBC" w14:textId="7C7C3207"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3</w:t>
            </w:r>
          </w:p>
        </w:tc>
        <w:tc>
          <w:tcPr>
            <w:tcW w:w="1710" w:type="dxa"/>
          </w:tcPr>
          <w:p w14:paraId="0A02813D" w14:textId="77FC0AB1"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92</w:t>
            </w:r>
          </w:p>
        </w:tc>
        <w:tc>
          <w:tcPr>
            <w:tcW w:w="1746" w:type="dxa"/>
          </w:tcPr>
          <w:p w14:paraId="0745A69B" w14:textId="05F49C48" w:rsidR="00967764" w:rsidRPr="00967764" w:rsidRDefault="00967764" w:rsidP="00E14327">
            <w:pPr>
              <w:pStyle w:val="NormalWeb"/>
              <w:spacing w:before="0" w:beforeAutospacing="0" w:afterAutospacing="0"/>
              <w:jc w:val="both"/>
              <w:rPr>
                <w:rFonts w:ascii="Garamond" w:hAnsi="Garamond"/>
                <w:color w:val="000000"/>
                <w:sz w:val="22"/>
                <w:szCs w:val="22"/>
              </w:rPr>
            </w:pPr>
            <w:r w:rsidRPr="00967764">
              <w:rPr>
                <w:rFonts w:ascii="Garamond" w:hAnsi="Garamond"/>
                <w:color w:val="000000"/>
                <w:sz w:val="22"/>
                <w:szCs w:val="22"/>
              </w:rPr>
              <w:t>230</w:t>
            </w:r>
          </w:p>
        </w:tc>
      </w:tr>
    </w:tbl>
    <w:p w14:paraId="01838D82" w14:textId="77777777" w:rsidR="00967764" w:rsidRPr="00967764" w:rsidRDefault="00967764" w:rsidP="00E14327">
      <w:pPr>
        <w:pStyle w:val="NormalWeb"/>
        <w:spacing w:before="0" w:beforeAutospacing="0" w:afterAutospacing="0"/>
        <w:jc w:val="both"/>
        <w:rPr>
          <w:rFonts w:ascii="Garamond" w:hAnsi="Garamond"/>
          <w:color w:val="000000"/>
          <w:sz w:val="22"/>
          <w:szCs w:val="22"/>
        </w:rPr>
      </w:pPr>
    </w:p>
    <w:p w14:paraId="7865775D" w14:textId="77777777" w:rsidR="00E14327" w:rsidRPr="004A0C12" w:rsidRDefault="00E14327" w:rsidP="00E14327">
      <w:pPr>
        <w:pStyle w:val="NormalWeb"/>
        <w:spacing w:before="0" w:beforeAutospacing="0" w:afterAutospacing="0"/>
        <w:rPr>
          <w:rFonts w:ascii="Garamond" w:hAnsi="Garamond"/>
          <w:sz w:val="22"/>
          <w:szCs w:val="22"/>
        </w:rPr>
      </w:pPr>
      <w:r w:rsidRPr="004A0C12">
        <w:rPr>
          <w:rFonts w:ascii="Garamond" w:hAnsi="Garamond"/>
          <w:color w:val="000000"/>
          <w:sz w:val="22"/>
          <w:szCs w:val="22"/>
        </w:rPr>
        <w:t>The 2016 Statewide Needs Assessment will further analyze the service needs of these populations and others in developing short-term and strategic goals and objectives. Additionally, DORS Multi- Cultural Workgroup will continue to develop and publicize specialized resources for minority groups identified in the Needs Assessment.</w:t>
      </w:r>
    </w:p>
    <w:p w14:paraId="76FE6F1A" w14:textId="0F4D07C3" w:rsidR="007A1FDC" w:rsidRPr="00594970" w:rsidRDefault="00E14327" w:rsidP="0056248A">
      <w:pPr>
        <w:pStyle w:val="Heading3"/>
        <w:rPr>
          <w:rFonts w:ascii="Garamond" w:hAnsi="Garamond"/>
          <w:sz w:val="24"/>
          <w:szCs w:val="24"/>
        </w:rPr>
      </w:pPr>
      <w:r w:rsidRPr="00594970" w:rsidDel="00E14327">
        <w:rPr>
          <w:rFonts w:ascii="Garamond" w:hAnsi="Garamond"/>
          <w:sz w:val="24"/>
          <w:szCs w:val="24"/>
        </w:rPr>
        <w:t xml:space="preserve"> </w:t>
      </w:r>
      <w:bookmarkStart w:id="216" w:name="_Toc447276243"/>
      <w:r w:rsidR="007A1FDC" w:rsidRPr="00594970">
        <w:rPr>
          <w:rFonts w:ascii="Garamond" w:hAnsi="Garamond"/>
          <w:sz w:val="24"/>
          <w:szCs w:val="24"/>
        </w:rPr>
        <w:t xml:space="preserve">(C) Individuals with </w:t>
      </w:r>
      <w:r w:rsidR="00530FA0" w:rsidRPr="00594970">
        <w:rPr>
          <w:rFonts w:ascii="Garamond" w:hAnsi="Garamond"/>
          <w:sz w:val="24"/>
          <w:szCs w:val="24"/>
        </w:rPr>
        <w:t>Disabilities Who Have B</w:t>
      </w:r>
      <w:r w:rsidR="007A1FDC" w:rsidRPr="00594970">
        <w:rPr>
          <w:rFonts w:ascii="Garamond" w:hAnsi="Garamond"/>
          <w:sz w:val="24"/>
          <w:szCs w:val="24"/>
        </w:rPr>
        <w:t>e</w:t>
      </w:r>
      <w:r w:rsidR="00530FA0" w:rsidRPr="00594970">
        <w:rPr>
          <w:rFonts w:ascii="Garamond" w:hAnsi="Garamond"/>
          <w:sz w:val="24"/>
          <w:szCs w:val="24"/>
        </w:rPr>
        <w:t>en Unserved or Underserved by the VR P</w:t>
      </w:r>
      <w:r w:rsidR="007A1FDC" w:rsidRPr="00594970">
        <w:rPr>
          <w:rFonts w:ascii="Garamond" w:hAnsi="Garamond"/>
          <w:sz w:val="24"/>
          <w:szCs w:val="24"/>
        </w:rPr>
        <w:t>rogram</w:t>
      </w:r>
      <w:bookmarkEnd w:id="216"/>
    </w:p>
    <w:p w14:paraId="19F93248"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Autism Spectrum Disorders (ASD).  </w:t>
      </w:r>
    </w:p>
    <w:p w14:paraId="080AB51F" w14:textId="5E72C436" w:rsidR="007A1FDC" w:rsidRPr="004A0C12" w:rsidRDefault="007A1FDC" w:rsidP="007A1FDC">
      <w:pPr>
        <w:spacing w:after="0" w:line="240" w:lineRule="auto"/>
        <w:jc w:val="both"/>
        <w:rPr>
          <w:rFonts w:ascii="Garamond" w:hAnsi="Garamond"/>
        </w:rPr>
      </w:pPr>
      <w:r w:rsidRPr="004A0C12">
        <w:rPr>
          <w:rFonts w:ascii="Garamond" w:hAnsi="Garamond"/>
        </w:rPr>
        <w:t>To analyze needs of individuals with autism spectrum disorders, members of the needs assessment committee reviewed available data regarding the incidence of autism, and then supplemented this information with an online survey, interviews of key</w:t>
      </w:r>
      <w:r w:rsidR="00E66F74" w:rsidRPr="004A0C12">
        <w:rPr>
          <w:rFonts w:ascii="Garamond" w:hAnsi="Garamond"/>
        </w:rPr>
        <w:t xml:space="preserve"> informants, and a focus group.</w:t>
      </w:r>
      <w:r w:rsidRPr="004A0C12">
        <w:rPr>
          <w:rFonts w:ascii="Garamond" w:hAnsi="Garamond"/>
        </w:rPr>
        <w:t xml:space="preserve"> In review of the 2010 DORS Comprehensive Statewide Assessment of the Rehabilitation Career Needs of Individuals with Disabilities, specifically those individuals with autism spectrum disorders (ASD), data continues to reveal an increase in the prevalence of ASD in the United States.  </w:t>
      </w:r>
    </w:p>
    <w:p w14:paraId="53E941EC" w14:textId="77777777" w:rsidR="00E66F74" w:rsidRPr="004A0C12" w:rsidRDefault="00E66F74" w:rsidP="007A1FDC">
      <w:pPr>
        <w:spacing w:after="0" w:line="240" w:lineRule="auto"/>
        <w:jc w:val="both"/>
        <w:rPr>
          <w:rFonts w:ascii="Garamond" w:hAnsi="Garamond"/>
        </w:rPr>
      </w:pPr>
    </w:p>
    <w:p w14:paraId="3EA4311E" w14:textId="77777777" w:rsidR="00E14327" w:rsidRPr="004A0C12" w:rsidRDefault="00E66F74" w:rsidP="00E14327">
      <w:pPr>
        <w:pStyle w:val="NormalWeb"/>
        <w:spacing w:before="0" w:beforeAutospacing="0" w:afterAutospacing="0"/>
        <w:rPr>
          <w:rFonts w:ascii="Garamond" w:hAnsi="Garamond"/>
          <w:sz w:val="22"/>
          <w:szCs w:val="22"/>
        </w:rPr>
      </w:pPr>
      <w:r w:rsidRPr="004A0C12">
        <w:rPr>
          <w:rFonts w:ascii="Garamond" w:hAnsi="Garamond"/>
          <w:sz w:val="22"/>
          <w:szCs w:val="22"/>
        </w:rPr>
        <w:t>Prevalence:</w:t>
      </w:r>
      <w:r w:rsidR="007A1FDC" w:rsidRPr="004A0C12">
        <w:rPr>
          <w:rFonts w:ascii="Garamond" w:hAnsi="Garamond"/>
          <w:sz w:val="22"/>
          <w:szCs w:val="22"/>
        </w:rPr>
        <w:t xml:space="preserve"> Based on the Maryland Commission on Autism report dated September 2012, it was noted that nationally, the prevalence of ASD among children increased </w:t>
      </w:r>
      <w:r w:rsidRPr="004A0C12">
        <w:rPr>
          <w:rFonts w:ascii="Garamond" w:hAnsi="Garamond"/>
          <w:sz w:val="22"/>
          <w:szCs w:val="22"/>
        </w:rPr>
        <w:t>by 78 percent</w:t>
      </w:r>
      <w:r w:rsidR="007A1FDC" w:rsidRPr="004A0C12">
        <w:rPr>
          <w:rFonts w:ascii="Garamond" w:hAnsi="Garamond"/>
          <w:sz w:val="22"/>
          <w:szCs w:val="22"/>
        </w:rPr>
        <w:t xml:space="preserve"> from 6.6 per 1000 children in 2002 to 11.3 per 1000 children in 2008 </w:t>
      </w:r>
      <w:r w:rsidRPr="004A0C12">
        <w:rPr>
          <w:rFonts w:ascii="Garamond" w:hAnsi="Garamond"/>
          <w:sz w:val="22"/>
          <w:szCs w:val="22"/>
        </w:rPr>
        <w:t>(</w:t>
      </w:r>
      <w:r w:rsidR="007A1FDC" w:rsidRPr="004A0C12">
        <w:rPr>
          <w:rFonts w:ascii="Garamond" w:hAnsi="Garamond"/>
          <w:sz w:val="22"/>
          <w:szCs w:val="22"/>
        </w:rPr>
        <w:t>or one in eighty-eight</w:t>
      </w:r>
      <w:r w:rsidRPr="004A0C12">
        <w:rPr>
          <w:rFonts w:ascii="Garamond" w:hAnsi="Garamond"/>
          <w:sz w:val="22"/>
          <w:szCs w:val="22"/>
        </w:rPr>
        <w:t xml:space="preserve">). </w:t>
      </w:r>
      <w:r w:rsidR="007A1FDC" w:rsidRPr="004A0C12">
        <w:rPr>
          <w:rFonts w:ascii="Garamond" w:hAnsi="Garamond"/>
          <w:sz w:val="22"/>
          <w:szCs w:val="22"/>
        </w:rPr>
        <w:t>In Maryland, according to the Maryland Autism and Developmental Disabilit</w:t>
      </w:r>
      <w:r w:rsidRPr="004A0C12">
        <w:rPr>
          <w:rFonts w:ascii="Garamond" w:hAnsi="Garamond"/>
          <w:sz w:val="22"/>
          <w:szCs w:val="22"/>
        </w:rPr>
        <w:t>ies Monitoring Project,</w:t>
      </w:r>
      <w:r w:rsidR="007A1FDC" w:rsidRPr="004A0C12">
        <w:rPr>
          <w:rFonts w:ascii="Garamond" w:hAnsi="Garamond"/>
          <w:sz w:val="22"/>
          <w:szCs w:val="22"/>
        </w:rPr>
        <w:t xml:space="preserve"> the total prevalence of ASD is 12.4 per 1000 or one in eighty.</w:t>
      </w:r>
      <w:r w:rsidR="00E14327" w:rsidRPr="004A0C12">
        <w:rPr>
          <w:rFonts w:ascii="Garamond" w:hAnsi="Garamond"/>
          <w:sz w:val="22"/>
          <w:szCs w:val="22"/>
        </w:rPr>
        <w:t xml:space="preserve"> </w:t>
      </w:r>
      <w:r w:rsidR="00E14327" w:rsidRPr="004A0C12">
        <w:rPr>
          <w:rFonts w:ascii="Garamond" w:hAnsi="Garamond"/>
          <w:color w:val="000000"/>
          <w:sz w:val="22"/>
          <w:szCs w:val="22"/>
        </w:rPr>
        <w:t>In Maryland, 1 in 55 children meet the criteria for Autism Spectrum Disorder data, compared to 1 in 65 in the United States (“U.S. Autism Rate Unchanged in New CDC Report,” Autism and Developmental Disabilities Monitoring Network (ADDM), John Hopkins Bloomberg School of Public Health, March 31, 2016)</w:t>
      </w:r>
    </w:p>
    <w:p w14:paraId="1DD32C3F" w14:textId="2209432D" w:rsidR="007A1FDC" w:rsidRPr="004A0C12" w:rsidRDefault="007A1FDC" w:rsidP="007A1FDC">
      <w:pPr>
        <w:spacing w:after="0" w:line="240" w:lineRule="auto"/>
        <w:jc w:val="both"/>
        <w:rPr>
          <w:rFonts w:ascii="Garamond" w:hAnsi="Garamond"/>
        </w:rPr>
      </w:pPr>
    </w:p>
    <w:p w14:paraId="49553963" w14:textId="77777777" w:rsidR="007A1FDC" w:rsidRPr="004A0C12" w:rsidRDefault="007A1FDC" w:rsidP="007A1FDC">
      <w:pPr>
        <w:spacing w:after="0" w:line="240" w:lineRule="auto"/>
        <w:jc w:val="both"/>
        <w:rPr>
          <w:rFonts w:ascii="Garamond" w:hAnsi="Garamond"/>
        </w:rPr>
      </w:pPr>
    </w:p>
    <w:p w14:paraId="65877643" w14:textId="1D951AC3" w:rsidR="007A1FDC" w:rsidRPr="004A0C12" w:rsidRDefault="00E66F74" w:rsidP="007A1FDC">
      <w:pPr>
        <w:spacing w:after="0" w:line="240" w:lineRule="auto"/>
        <w:jc w:val="both"/>
        <w:rPr>
          <w:rFonts w:ascii="Garamond" w:hAnsi="Garamond"/>
        </w:rPr>
      </w:pPr>
      <w:r w:rsidRPr="004A0C12">
        <w:rPr>
          <w:rFonts w:ascii="Garamond" w:hAnsi="Garamond"/>
        </w:rPr>
        <w:t xml:space="preserve">Method/Discussion: </w:t>
      </w:r>
      <w:r w:rsidR="007A1FDC" w:rsidRPr="004A0C12">
        <w:rPr>
          <w:rFonts w:ascii="Garamond" w:hAnsi="Garamond"/>
        </w:rPr>
        <w:t>To analyze the needs of individuals with ASD, members of the needs assessment committee reviewed data regarding the number of individuals being served by DORS with ASD listed as a cause of disability and the Regions in wh</w:t>
      </w:r>
      <w:r w:rsidRPr="004A0C12">
        <w:rPr>
          <w:rFonts w:ascii="Garamond" w:hAnsi="Garamond"/>
        </w:rPr>
        <w:t xml:space="preserve">ich they are being served. </w:t>
      </w:r>
      <w:r w:rsidR="007A1FDC" w:rsidRPr="004A0C12">
        <w:rPr>
          <w:rFonts w:ascii="Garamond" w:hAnsi="Garamond"/>
        </w:rPr>
        <w:t>When reviewing the data regarding numbers of individuals served within DORS by Region, the data revealed an increase in numbers served when comparing FY 2010, FY 2011, and FY 2012.</w:t>
      </w:r>
    </w:p>
    <w:p w14:paraId="7C305DCA" w14:textId="77777777" w:rsidR="00E66F74" w:rsidRPr="004A0C12" w:rsidRDefault="00E66F74" w:rsidP="007A1FDC">
      <w:pPr>
        <w:spacing w:after="0" w:line="240" w:lineRule="auto"/>
        <w:ind w:left="360"/>
        <w:jc w:val="both"/>
        <w:rPr>
          <w:rFonts w:ascii="Garamond" w:hAnsi="Garamond"/>
        </w:rPr>
      </w:pPr>
    </w:p>
    <w:p w14:paraId="654DB84E" w14:textId="77777777" w:rsidR="00E14327" w:rsidRPr="004A0C12" w:rsidRDefault="00E14327" w:rsidP="00E14327">
      <w:pPr>
        <w:pStyle w:val="NormalWeb"/>
        <w:spacing w:before="0" w:beforeAutospacing="0" w:afterAutospacing="0"/>
        <w:rPr>
          <w:rFonts w:ascii="Garamond" w:hAnsi="Garamond"/>
          <w:sz w:val="22"/>
          <w:szCs w:val="22"/>
        </w:rPr>
      </w:pPr>
      <w:r w:rsidRPr="004A0C12">
        <w:rPr>
          <w:rFonts w:ascii="Garamond" w:hAnsi="Garamond"/>
          <w:color w:val="000000"/>
          <w:sz w:val="22"/>
          <w:szCs w:val="22"/>
        </w:rPr>
        <w:t>Total number of Individuals Served by DORS during the past 3 years is shown below:</w:t>
      </w:r>
    </w:p>
    <w:p w14:paraId="71A47FEB" w14:textId="2BD82F47" w:rsidR="00E14327" w:rsidRPr="00241A11" w:rsidRDefault="00241A11" w:rsidP="00E14327">
      <w:pPr>
        <w:pStyle w:val="NormalWeb"/>
        <w:spacing w:before="0" w:beforeAutospacing="0" w:afterAutospacing="0"/>
        <w:ind w:firstLine="4056"/>
        <w:jc w:val="both"/>
        <w:rPr>
          <w:rFonts w:ascii="Garamond" w:hAnsi="Garamond"/>
          <w:sz w:val="22"/>
          <w:szCs w:val="22"/>
          <w:highlight w:val="yellow"/>
        </w:rPr>
      </w:pPr>
      <w:r>
        <w:rPr>
          <w:rFonts w:ascii="Garamond" w:hAnsi="Garamond"/>
          <w:noProof/>
          <w:color w:val="000000"/>
          <w:sz w:val="22"/>
          <w:szCs w:val="22"/>
        </w:rPr>
        <mc:AlternateContent>
          <mc:Choice Requires="wps">
            <w:drawing>
              <wp:anchor distT="0" distB="0" distL="114300" distR="114300" simplePos="0" relativeHeight="251714560" behindDoc="0" locked="0" layoutInCell="1" allowOverlap="1" wp14:anchorId="01FEB019" wp14:editId="05108688">
                <wp:simplePos x="0" y="0"/>
                <wp:positionH relativeFrom="column">
                  <wp:posOffset>5372100</wp:posOffset>
                </wp:positionH>
                <wp:positionV relativeFrom="paragraph">
                  <wp:posOffset>256540</wp:posOffset>
                </wp:positionV>
                <wp:extent cx="1615440" cy="487680"/>
                <wp:effectExtent l="0" t="0" r="9525" b="7620"/>
                <wp:wrapNone/>
                <wp:docPr id="14" name="Text Box 14"/>
                <wp:cNvGraphicFramePr/>
                <a:graphic xmlns:a="http://schemas.openxmlformats.org/drawingml/2006/main">
                  <a:graphicData uri="http://schemas.microsoft.com/office/word/2010/wordprocessingShape">
                    <wps:wsp>
                      <wps:cNvSpPr txBox="1"/>
                      <wps:spPr>
                        <a:xfrm>
                          <a:off x="0" y="0"/>
                          <a:ext cx="1615440" cy="487680"/>
                        </a:xfrm>
                        <a:prstGeom prst="rect">
                          <a:avLst/>
                        </a:prstGeom>
                        <a:solidFill>
                          <a:sysClr val="window" lastClr="FFFFFF"/>
                        </a:solidFill>
                        <a:ln w="6350">
                          <a:noFill/>
                        </a:ln>
                        <a:effectLst/>
                      </wps:spPr>
                      <wps:txbx>
                        <w:txbxContent>
                          <w:p w14:paraId="372BF39D" w14:textId="77777777" w:rsidR="003D14AC" w:rsidRPr="00232F09" w:rsidRDefault="003D14AC" w:rsidP="00241A11">
                            <w:pPr>
                              <w:rPr>
                                <w:i/>
                                <w:color w:val="C00000"/>
                                <w:sz w:val="28"/>
                                <w:szCs w:val="28"/>
                              </w:rPr>
                            </w:pPr>
                            <w:r w:rsidRPr="00232F09">
                              <w:rPr>
                                <w:i/>
                                <w:color w:val="C00000"/>
                                <w:sz w:val="28"/>
                                <w:szCs w:val="28"/>
                                <w:highlight w:val="yellow"/>
                              </w:rPr>
                              <w:t>Should be in chart form?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50" type="#_x0000_t202" style="position:absolute;left:0;text-align:left;margin-left:423pt;margin-top:20.2pt;width:127.2pt;height:38.4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" fillcolor="window" stroked="f" strokeweight=".5pt">
                <v:textbox>
                  <w:txbxContent>
                    <w:p w14:paraId="372BF39D" w14:textId="77777777" w:rsidR="003D14AC" w:rsidRPr="00232F09" w:rsidRDefault="003D14AC" w:rsidP="00241A11">
                      <w:pPr>
                        <w:rPr>
                          <w:i/>
                          <w:color w:val="C00000"/>
                          <w:sz w:val="28"/>
                          <w:szCs w:val="28"/>
                        </w:rPr>
                      </w:pPr>
                      <w:r w:rsidRPr="00232F09">
                        <w:rPr>
                          <w:i/>
                          <w:color w:val="C00000"/>
                          <w:sz w:val="28"/>
                          <w:szCs w:val="28"/>
                          <w:highlight w:val="yellow"/>
                        </w:rPr>
                        <w:t>Should be in chart form?</w:t>
                      </w:r>
                    </w:p>
                  </w:txbxContent>
                </v:textbox>
              </v:shape>
            </w:pict>
          </mc:Fallback>
        </mc:AlternateContent>
      </w:r>
      <w:r w:rsidR="00E14327" w:rsidRPr="00241A11">
        <w:rPr>
          <w:rFonts w:ascii="Garamond" w:hAnsi="Garamond"/>
          <w:color w:val="000000"/>
          <w:sz w:val="22"/>
          <w:szCs w:val="22"/>
          <w:highlight w:val="yellow"/>
        </w:rPr>
        <w:t>FY 2013 FY 2014 FY 2015 OBVS 6 10 13 Region I 289 320 351 Region II 404 433 483 Region III 86 113 152 Region V 445 542 572 Region VI 474 532 579</w:t>
      </w:r>
    </w:p>
    <w:p w14:paraId="4ECC56AD" w14:textId="2B31871F" w:rsidR="00E14327" w:rsidRPr="004A0C12" w:rsidRDefault="00E14327" w:rsidP="00E14327">
      <w:pPr>
        <w:pStyle w:val="NormalWeb"/>
        <w:spacing w:before="0" w:beforeAutospacing="0" w:afterAutospacing="0"/>
        <w:ind w:firstLine="4056"/>
        <w:rPr>
          <w:rFonts w:ascii="Garamond" w:hAnsi="Garamond"/>
          <w:sz w:val="22"/>
          <w:szCs w:val="22"/>
        </w:rPr>
      </w:pPr>
      <w:r w:rsidRPr="00241A11">
        <w:rPr>
          <w:rFonts w:ascii="Garamond" w:hAnsi="Garamond"/>
          <w:color w:val="000000"/>
          <w:sz w:val="22"/>
          <w:szCs w:val="22"/>
          <w:highlight w:val="yellow"/>
        </w:rPr>
        <w:t>FY 2013 FY 2014 FY 2015 Total 1,704 1,950 2,150</w:t>
      </w:r>
    </w:p>
    <w:p w14:paraId="6EB50032" w14:textId="77777777" w:rsidR="00E66F74" w:rsidRPr="004A0C12" w:rsidRDefault="00E66F74" w:rsidP="00E66F74">
      <w:pPr>
        <w:spacing w:after="0" w:line="240" w:lineRule="auto"/>
        <w:jc w:val="both"/>
        <w:rPr>
          <w:rFonts w:ascii="Garamond" w:hAnsi="Garamond"/>
        </w:rPr>
      </w:pPr>
    </w:p>
    <w:p w14:paraId="69BFF43C" w14:textId="490B57F6" w:rsidR="007A1FDC" w:rsidRPr="004A0C12" w:rsidRDefault="00E66F74" w:rsidP="00E66F74">
      <w:pPr>
        <w:spacing w:after="0" w:line="240" w:lineRule="auto"/>
        <w:jc w:val="both"/>
        <w:rPr>
          <w:rFonts w:ascii="Garamond" w:hAnsi="Garamond"/>
        </w:rPr>
      </w:pPr>
      <w:r w:rsidRPr="004A0C12">
        <w:rPr>
          <w:rFonts w:ascii="Garamond" w:hAnsi="Garamond"/>
        </w:rPr>
        <w:t xml:space="preserve">Method/Discussion: </w:t>
      </w:r>
      <w:r w:rsidR="007A1FDC" w:rsidRPr="004A0C12">
        <w:rPr>
          <w:rFonts w:ascii="Garamond" w:hAnsi="Garamond"/>
        </w:rPr>
        <w:t>The committee also conduct</w:t>
      </w:r>
      <w:r w:rsidRPr="004A0C12">
        <w:rPr>
          <w:rFonts w:ascii="Garamond" w:hAnsi="Garamond"/>
        </w:rPr>
        <w:t>ed an on</w:t>
      </w:r>
      <w:r w:rsidR="00FF755D" w:rsidRPr="004A0C12">
        <w:rPr>
          <w:rFonts w:ascii="Garamond" w:hAnsi="Garamond"/>
        </w:rPr>
        <w:t>line survey of DORS approved Community R</w:t>
      </w:r>
      <w:r w:rsidR="007A1FDC" w:rsidRPr="004A0C12">
        <w:rPr>
          <w:rFonts w:ascii="Garamond" w:hAnsi="Garamond"/>
        </w:rPr>
        <w:t xml:space="preserve">ehabilitation </w:t>
      </w:r>
      <w:r w:rsidR="00FF755D" w:rsidRPr="004A0C12">
        <w:rPr>
          <w:rFonts w:ascii="Garamond" w:hAnsi="Garamond"/>
        </w:rPr>
        <w:t>P</w:t>
      </w:r>
      <w:r w:rsidR="00AB163A" w:rsidRPr="004A0C12">
        <w:rPr>
          <w:rFonts w:ascii="Garamond" w:hAnsi="Garamond"/>
        </w:rPr>
        <w:t xml:space="preserve">rograms </w:t>
      </w:r>
      <w:r w:rsidR="007A1FDC" w:rsidRPr="004A0C12">
        <w:rPr>
          <w:rFonts w:ascii="Garamond" w:hAnsi="Garamond"/>
        </w:rPr>
        <w:t xml:space="preserve">to determine the availability of services within the Regions that serve the highest </w:t>
      </w:r>
      <w:r w:rsidRPr="004A0C12">
        <w:rPr>
          <w:rFonts w:ascii="Garamond" w:hAnsi="Garamond"/>
        </w:rPr>
        <w:t>number of individuals with ASD.</w:t>
      </w:r>
      <w:r w:rsidR="007A1FDC" w:rsidRPr="004A0C12">
        <w:rPr>
          <w:rFonts w:ascii="Garamond" w:hAnsi="Garamond"/>
        </w:rPr>
        <w:t xml:space="preserve"> Of the 233 surveys sent</w:t>
      </w:r>
      <w:r w:rsidR="003B40F5" w:rsidRPr="004A0C12">
        <w:rPr>
          <w:rFonts w:ascii="Garamond" w:hAnsi="Garamond"/>
        </w:rPr>
        <w:t xml:space="preserve"> to individuals employed in DORS-</w:t>
      </w:r>
      <w:r w:rsidR="00FF755D" w:rsidRPr="004A0C12">
        <w:rPr>
          <w:rFonts w:ascii="Garamond" w:hAnsi="Garamond"/>
        </w:rPr>
        <w:t>approved Community Rehabilitation P</w:t>
      </w:r>
      <w:r w:rsidR="007A1FDC" w:rsidRPr="004A0C12">
        <w:rPr>
          <w:rFonts w:ascii="Garamond" w:hAnsi="Garamond"/>
        </w:rPr>
        <w:t>rograms, 63 individuals responded f</w:t>
      </w:r>
      <w:r w:rsidR="003B40F5" w:rsidRPr="004A0C12">
        <w:rPr>
          <w:rFonts w:ascii="Garamond" w:hAnsi="Garamond"/>
        </w:rPr>
        <w:t xml:space="preserve">rom 51 of different providers. </w:t>
      </w:r>
      <w:r w:rsidR="007A1FDC" w:rsidRPr="004A0C12">
        <w:rPr>
          <w:rFonts w:ascii="Garamond" w:hAnsi="Garamond"/>
        </w:rPr>
        <w:t>Of the 51 providers, 30 providers indicated that they provide serv</w:t>
      </w:r>
      <w:r w:rsidR="003B40F5" w:rsidRPr="004A0C12">
        <w:rPr>
          <w:rFonts w:ascii="Garamond" w:hAnsi="Garamond"/>
        </w:rPr>
        <w:t>ices to individuals with ASD. The data also revealed</w:t>
      </w:r>
      <w:r w:rsidR="007A1FDC" w:rsidRPr="004A0C12">
        <w:rPr>
          <w:rFonts w:ascii="Garamond" w:hAnsi="Garamond"/>
        </w:rPr>
        <w:t xml:space="preserve"> that there are certain providers who indicate</w:t>
      </w:r>
      <w:r w:rsidR="003B40F5" w:rsidRPr="004A0C12">
        <w:rPr>
          <w:rFonts w:ascii="Garamond" w:hAnsi="Garamond"/>
        </w:rPr>
        <w:t xml:space="preserve">d they serve multiple Regions. </w:t>
      </w:r>
      <w:r w:rsidR="007A1FDC" w:rsidRPr="004A0C12">
        <w:rPr>
          <w:rFonts w:ascii="Garamond" w:hAnsi="Garamond"/>
        </w:rPr>
        <w:t>Further analysis by</w:t>
      </w:r>
      <w:r w:rsidR="00431254" w:rsidRPr="004A0C12">
        <w:rPr>
          <w:rFonts w:ascii="Garamond" w:hAnsi="Garamond"/>
        </w:rPr>
        <w:t xml:space="preserve"> Region revealed the following:</w:t>
      </w:r>
    </w:p>
    <w:p w14:paraId="04099591" w14:textId="77777777" w:rsidR="007A1FDC" w:rsidRPr="004A0C12" w:rsidRDefault="007A1FDC" w:rsidP="007A1FDC">
      <w:pPr>
        <w:spacing w:after="0" w:line="240" w:lineRule="auto"/>
        <w:ind w:left="360"/>
        <w:jc w:val="both"/>
        <w:rPr>
          <w:rFonts w:ascii="Garamond" w:hAnsi="Garamond"/>
        </w:rPr>
      </w:pPr>
    </w:p>
    <w:p w14:paraId="7A561505" w14:textId="63C6F0B2" w:rsidR="007A1FDC" w:rsidRPr="004A0C12" w:rsidRDefault="007A1FDC" w:rsidP="003B40F5">
      <w:pPr>
        <w:spacing w:after="0" w:line="240" w:lineRule="auto"/>
        <w:jc w:val="both"/>
        <w:rPr>
          <w:rFonts w:ascii="Garamond" w:hAnsi="Garamond"/>
        </w:rPr>
      </w:pPr>
      <w:r w:rsidRPr="004A0C12">
        <w:rPr>
          <w:rFonts w:ascii="Garamond" w:hAnsi="Garamond"/>
        </w:rPr>
        <w:t>The number of providers per Region who reported they provide s</w:t>
      </w:r>
      <w:r w:rsidR="003B40F5" w:rsidRPr="004A0C12">
        <w:rPr>
          <w:rFonts w:ascii="Garamond" w:hAnsi="Garamond"/>
        </w:rPr>
        <w:t>ervices to individuals with ASD</w:t>
      </w:r>
    </w:p>
    <w:p w14:paraId="53716404" w14:textId="77777777" w:rsidR="007A1FDC" w:rsidRPr="004A0C12" w:rsidRDefault="007A1FDC" w:rsidP="00232F09">
      <w:pPr>
        <w:numPr>
          <w:ilvl w:val="0"/>
          <w:numId w:val="150"/>
        </w:numPr>
        <w:tabs>
          <w:tab w:val="clear" w:pos="360"/>
          <w:tab w:val="num" w:pos="720"/>
        </w:tabs>
        <w:spacing w:after="0" w:line="240" w:lineRule="auto"/>
        <w:ind w:left="720" w:hanging="360"/>
        <w:jc w:val="both"/>
        <w:rPr>
          <w:rFonts w:ascii="Garamond" w:hAnsi="Garamond"/>
        </w:rPr>
      </w:pPr>
      <w:r w:rsidRPr="004A0C12">
        <w:rPr>
          <w:rFonts w:ascii="Garamond" w:hAnsi="Garamond"/>
        </w:rPr>
        <w:t>Region I – 11</w:t>
      </w:r>
    </w:p>
    <w:p w14:paraId="4016C964" w14:textId="77777777" w:rsidR="007A1FDC" w:rsidRPr="004A0C12" w:rsidRDefault="007A1FDC" w:rsidP="00232F09">
      <w:pPr>
        <w:numPr>
          <w:ilvl w:val="0"/>
          <w:numId w:val="150"/>
        </w:numPr>
        <w:tabs>
          <w:tab w:val="clear" w:pos="360"/>
          <w:tab w:val="num" w:pos="720"/>
        </w:tabs>
        <w:spacing w:after="0" w:line="240" w:lineRule="auto"/>
        <w:ind w:left="720" w:hanging="360"/>
        <w:jc w:val="both"/>
        <w:rPr>
          <w:rFonts w:ascii="Garamond" w:hAnsi="Garamond"/>
        </w:rPr>
      </w:pPr>
      <w:r w:rsidRPr="004A0C12">
        <w:rPr>
          <w:rFonts w:ascii="Garamond" w:hAnsi="Garamond"/>
        </w:rPr>
        <w:t>Region II – 9</w:t>
      </w:r>
    </w:p>
    <w:p w14:paraId="4538D64C" w14:textId="77777777" w:rsidR="007A1FDC" w:rsidRPr="004A0C12" w:rsidRDefault="007A1FDC" w:rsidP="00232F09">
      <w:pPr>
        <w:numPr>
          <w:ilvl w:val="0"/>
          <w:numId w:val="150"/>
        </w:numPr>
        <w:tabs>
          <w:tab w:val="clear" w:pos="360"/>
          <w:tab w:val="num" w:pos="720"/>
        </w:tabs>
        <w:spacing w:after="0" w:line="240" w:lineRule="auto"/>
        <w:ind w:left="720" w:hanging="360"/>
        <w:jc w:val="both"/>
        <w:rPr>
          <w:rFonts w:ascii="Garamond" w:hAnsi="Garamond"/>
        </w:rPr>
      </w:pPr>
      <w:r w:rsidRPr="004A0C12">
        <w:rPr>
          <w:rFonts w:ascii="Garamond" w:hAnsi="Garamond"/>
        </w:rPr>
        <w:lastRenderedPageBreak/>
        <w:t>Region III – 11</w:t>
      </w:r>
    </w:p>
    <w:p w14:paraId="3081FAB3" w14:textId="77777777" w:rsidR="007A1FDC" w:rsidRPr="004A0C12" w:rsidRDefault="007A1FDC" w:rsidP="00232F09">
      <w:pPr>
        <w:numPr>
          <w:ilvl w:val="0"/>
          <w:numId w:val="150"/>
        </w:numPr>
        <w:tabs>
          <w:tab w:val="clear" w:pos="360"/>
          <w:tab w:val="num" w:pos="720"/>
        </w:tabs>
        <w:spacing w:after="0" w:line="240" w:lineRule="auto"/>
        <w:ind w:left="720" w:hanging="360"/>
        <w:jc w:val="both"/>
        <w:rPr>
          <w:rFonts w:ascii="Garamond" w:hAnsi="Garamond"/>
        </w:rPr>
      </w:pPr>
      <w:r w:rsidRPr="004A0C12">
        <w:rPr>
          <w:rFonts w:ascii="Garamond" w:hAnsi="Garamond"/>
        </w:rPr>
        <w:t>Region IV – 9</w:t>
      </w:r>
    </w:p>
    <w:p w14:paraId="057B7DBF" w14:textId="77777777" w:rsidR="007A1FDC" w:rsidRPr="004A0C12" w:rsidRDefault="007A1FDC" w:rsidP="00232F09">
      <w:pPr>
        <w:numPr>
          <w:ilvl w:val="0"/>
          <w:numId w:val="150"/>
        </w:numPr>
        <w:tabs>
          <w:tab w:val="clear" w:pos="360"/>
          <w:tab w:val="num" w:pos="720"/>
        </w:tabs>
        <w:spacing w:after="0" w:line="240" w:lineRule="auto"/>
        <w:ind w:left="720" w:hanging="360"/>
        <w:jc w:val="both"/>
        <w:rPr>
          <w:rFonts w:ascii="Garamond" w:hAnsi="Garamond"/>
        </w:rPr>
      </w:pPr>
      <w:r w:rsidRPr="004A0C12">
        <w:rPr>
          <w:rFonts w:ascii="Garamond" w:hAnsi="Garamond"/>
        </w:rPr>
        <w:t>Region V – 13</w:t>
      </w:r>
    </w:p>
    <w:p w14:paraId="6D93BE42" w14:textId="77777777" w:rsidR="007A1FDC" w:rsidRPr="004A0C12" w:rsidRDefault="007A1FDC" w:rsidP="00232F09">
      <w:pPr>
        <w:numPr>
          <w:ilvl w:val="0"/>
          <w:numId w:val="150"/>
        </w:numPr>
        <w:tabs>
          <w:tab w:val="clear" w:pos="360"/>
          <w:tab w:val="num" w:pos="720"/>
        </w:tabs>
        <w:spacing w:after="0" w:line="240" w:lineRule="auto"/>
        <w:ind w:left="720" w:hanging="360"/>
        <w:jc w:val="both"/>
        <w:rPr>
          <w:rFonts w:ascii="Garamond" w:hAnsi="Garamond"/>
        </w:rPr>
      </w:pPr>
      <w:r w:rsidRPr="004A0C12">
        <w:rPr>
          <w:rFonts w:ascii="Garamond" w:hAnsi="Garamond"/>
        </w:rPr>
        <w:t>Region VI – 6</w:t>
      </w:r>
    </w:p>
    <w:p w14:paraId="70413120" w14:textId="77777777" w:rsidR="00205651" w:rsidRPr="004A0C12" w:rsidRDefault="00205651" w:rsidP="00205651">
      <w:pPr>
        <w:spacing w:after="0" w:line="240" w:lineRule="auto"/>
        <w:contextualSpacing/>
        <w:jc w:val="both"/>
        <w:rPr>
          <w:rFonts w:ascii="Garamond" w:hAnsi="Garamond"/>
        </w:rPr>
      </w:pPr>
    </w:p>
    <w:p w14:paraId="201A7D81" w14:textId="77777777" w:rsidR="00205651" w:rsidRPr="004A0C12" w:rsidRDefault="003B40F5" w:rsidP="00205651">
      <w:pPr>
        <w:spacing w:after="0" w:line="240" w:lineRule="auto"/>
        <w:contextualSpacing/>
        <w:jc w:val="both"/>
        <w:rPr>
          <w:rFonts w:ascii="Garamond" w:hAnsi="Garamond"/>
        </w:rPr>
      </w:pPr>
      <w:r w:rsidRPr="004A0C12">
        <w:rPr>
          <w:rFonts w:ascii="Garamond" w:hAnsi="Garamond"/>
        </w:rPr>
        <w:t xml:space="preserve">Needs/concerns:  </w:t>
      </w:r>
    </w:p>
    <w:p w14:paraId="0A416842" w14:textId="77777777" w:rsidR="00241A11" w:rsidRDefault="007A1FDC" w:rsidP="00241A11">
      <w:pPr>
        <w:pStyle w:val="ListParagraph"/>
        <w:numPr>
          <w:ilvl w:val="0"/>
          <w:numId w:val="273"/>
        </w:numPr>
        <w:contextualSpacing/>
        <w:jc w:val="both"/>
        <w:rPr>
          <w:rFonts w:ascii="Garamond" w:hAnsi="Garamond"/>
          <w:szCs w:val="22"/>
        </w:rPr>
      </w:pPr>
      <w:r w:rsidRPr="004A0C12">
        <w:rPr>
          <w:rFonts w:ascii="Garamond" w:hAnsi="Garamond"/>
          <w:szCs w:val="22"/>
        </w:rPr>
        <w:t>While the number of individuals with ASD accessing DORS servic</w:t>
      </w:r>
      <w:r w:rsidR="003B40F5" w:rsidRPr="004A0C12">
        <w:rPr>
          <w:rFonts w:ascii="Garamond" w:hAnsi="Garamond"/>
          <w:szCs w:val="22"/>
        </w:rPr>
        <w:t>es has increased over the past three</w:t>
      </w:r>
      <w:r w:rsidRPr="004A0C12">
        <w:rPr>
          <w:rFonts w:ascii="Garamond" w:hAnsi="Garamond"/>
          <w:szCs w:val="22"/>
        </w:rPr>
        <w:t xml:space="preserve"> fiscal years, it does not appear that the number of DORS approved providers is sufficient to me</w:t>
      </w:r>
      <w:r w:rsidR="003B40F5" w:rsidRPr="004A0C12">
        <w:rPr>
          <w:rFonts w:ascii="Garamond" w:hAnsi="Garamond"/>
          <w:szCs w:val="22"/>
        </w:rPr>
        <w:t>et the needs of these consumers;</w:t>
      </w:r>
    </w:p>
    <w:p w14:paraId="2EAB7AB8" w14:textId="77777777" w:rsidR="00241A11" w:rsidRDefault="007A1FDC" w:rsidP="00241A11">
      <w:pPr>
        <w:pStyle w:val="ListParagraph"/>
        <w:numPr>
          <w:ilvl w:val="0"/>
          <w:numId w:val="273"/>
        </w:numPr>
        <w:contextualSpacing/>
        <w:jc w:val="both"/>
        <w:rPr>
          <w:rFonts w:ascii="Garamond" w:hAnsi="Garamond"/>
          <w:szCs w:val="22"/>
        </w:rPr>
      </w:pPr>
      <w:r w:rsidRPr="00241A11">
        <w:rPr>
          <w:rFonts w:ascii="Garamond" w:hAnsi="Garamond"/>
          <w:szCs w:val="22"/>
        </w:rPr>
        <w:t>In comparing the data across regions and providers, Region VI has the second highest prevalence of ASD consumers with the least number of providers who indicate th</w:t>
      </w:r>
      <w:r w:rsidR="003B40F5" w:rsidRPr="00241A11">
        <w:rPr>
          <w:rFonts w:ascii="Garamond" w:hAnsi="Garamond"/>
          <w:szCs w:val="22"/>
        </w:rPr>
        <w:t>ey work with consumers with ASD;</w:t>
      </w:r>
    </w:p>
    <w:p w14:paraId="1E14C057" w14:textId="77777777" w:rsidR="00241A11" w:rsidRDefault="007A1FDC" w:rsidP="00241A11">
      <w:pPr>
        <w:pStyle w:val="ListParagraph"/>
        <w:numPr>
          <w:ilvl w:val="0"/>
          <w:numId w:val="273"/>
        </w:numPr>
        <w:contextualSpacing/>
        <w:jc w:val="both"/>
        <w:rPr>
          <w:rFonts w:ascii="Garamond" w:hAnsi="Garamond"/>
          <w:szCs w:val="22"/>
        </w:rPr>
      </w:pPr>
      <w:r w:rsidRPr="00241A11">
        <w:rPr>
          <w:rFonts w:ascii="Garamond" w:hAnsi="Garamond"/>
          <w:szCs w:val="22"/>
        </w:rPr>
        <w:t xml:space="preserve">Further training of adult service providers related to programming and services for individuals with ASD should be considered to increase the availability </w:t>
      </w:r>
      <w:r w:rsidR="003B40F5" w:rsidRPr="00241A11">
        <w:rPr>
          <w:rFonts w:ascii="Garamond" w:hAnsi="Garamond"/>
          <w:szCs w:val="22"/>
        </w:rPr>
        <w:t>of services for this population;</w:t>
      </w:r>
    </w:p>
    <w:p w14:paraId="3223B249" w14:textId="1D239CB4" w:rsidR="00E14327" w:rsidRPr="00241A11" w:rsidRDefault="00E14327" w:rsidP="00241A11">
      <w:pPr>
        <w:pStyle w:val="ListParagraph"/>
        <w:numPr>
          <w:ilvl w:val="0"/>
          <w:numId w:val="273"/>
        </w:numPr>
        <w:contextualSpacing/>
        <w:jc w:val="both"/>
        <w:rPr>
          <w:rFonts w:ascii="Garamond" w:hAnsi="Garamond"/>
          <w:szCs w:val="22"/>
        </w:rPr>
      </w:pPr>
      <w:r w:rsidRPr="00241A11">
        <w:rPr>
          <w:rFonts w:ascii="Garamond" w:hAnsi="Garamond"/>
          <w:szCs w:val="22"/>
        </w:rPr>
        <w:t>The DORS Pathways Program has expanded beyond the Community Colleges of Baltimore County to now include Prince George’s and Montgomery Counties.</w:t>
      </w:r>
    </w:p>
    <w:p w14:paraId="7B26E585" w14:textId="77777777" w:rsidR="007A1FDC" w:rsidRPr="004A0C12" w:rsidRDefault="007A1FDC" w:rsidP="007A1FDC">
      <w:pPr>
        <w:spacing w:after="0" w:line="240" w:lineRule="auto"/>
        <w:ind w:left="360"/>
        <w:jc w:val="both"/>
        <w:rPr>
          <w:rFonts w:ascii="Garamond" w:hAnsi="Garamond"/>
        </w:rPr>
      </w:pPr>
    </w:p>
    <w:p w14:paraId="545AEF73" w14:textId="7265E5D4" w:rsidR="007A1FDC" w:rsidRPr="004A0C12" w:rsidRDefault="007A1FDC" w:rsidP="003B40F5">
      <w:pPr>
        <w:spacing w:after="0" w:line="240" w:lineRule="auto"/>
        <w:jc w:val="both"/>
        <w:rPr>
          <w:rFonts w:ascii="Garamond" w:hAnsi="Garamond"/>
        </w:rPr>
      </w:pPr>
      <w:r w:rsidRPr="004A0C12">
        <w:rPr>
          <w:rFonts w:ascii="Garamond" w:hAnsi="Garamond"/>
        </w:rPr>
        <w:t>Transitioning Youth with developmental/intellect</w:t>
      </w:r>
      <w:r w:rsidR="003B40F5" w:rsidRPr="004A0C12">
        <w:rPr>
          <w:rFonts w:ascii="Garamond" w:hAnsi="Garamond"/>
        </w:rPr>
        <w:t xml:space="preserve">ual disabilities   </w:t>
      </w:r>
      <w:r w:rsidR="003B40F5" w:rsidRPr="004A0C12">
        <w:rPr>
          <w:rFonts w:ascii="Garamond" w:hAnsi="Garamond"/>
        </w:rPr>
        <w:cr/>
      </w:r>
      <w:r w:rsidR="003B40F5" w:rsidRPr="004A0C12">
        <w:rPr>
          <w:rFonts w:ascii="Garamond" w:hAnsi="Garamond"/>
        </w:rPr>
        <w:cr/>
        <w:t xml:space="preserve">Background: </w:t>
      </w:r>
      <w:r w:rsidRPr="004A0C12">
        <w:rPr>
          <w:rFonts w:ascii="Garamond" w:hAnsi="Garamond"/>
        </w:rPr>
        <w:t xml:space="preserve">The seamless transition from the school system into adult employment services is a major component in the successful rehabilitation process for transitioning youth with developmental/intellectual disabilities.  </w:t>
      </w:r>
      <w:r w:rsidRPr="004A0C12">
        <w:rPr>
          <w:rFonts w:ascii="Garamond" w:hAnsi="Garamond"/>
        </w:rPr>
        <w:cr/>
      </w:r>
      <w:r w:rsidR="00530FA0" w:rsidRPr="004A0C12">
        <w:rPr>
          <w:rFonts w:ascii="Garamond" w:hAnsi="Garamond"/>
        </w:rPr>
        <w:t>G</w:t>
      </w:r>
      <w:r w:rsidRPr="004A0C12">
        <w:rPr>
          <w:rFonts w:ascii="Garamond" w:hAnsi="Garamond"/>
        </w:rPr>
        <w:t>overnor’s</w:t>
      </w:r>
      <w:r w:rsidR="003B40F5" w:rsidRPr="004A0C12">
        <w:rPr>
          <w:rFonts w:ascii="Garamond" w:hAnsi="Garamond"/>
        </w:rPr>
        <w:t xml:space="preserve"> Transitioning Youth Initiative: </w:t>
      </w:r>
      <w:r w:rsidRPr="004A0C12">
        <w:rPr>
          <w:rFonts w:ascii="Garamond" w:hAnsi="Garamond"/>
        </w:rPr>
        <w:t>Established in 1989, the Governor’s Trans</w:t>
      </w:r>
      <w:r w:rsidR="003B40F5" w:rsidRPr="004A0C12">
        <w:rPr>
          <w:rFonts w:ascii="Garamond" w:hAnsi="Garamond"/>
        </w:rPr>
        <w:t>itioning Youth Initiative</w:t>
      </w:r>
      <w:r w:rsidRPr="004A0C12">
        <w:rPr>
          <w:rFonts w:ascii="Garamond" w:hAnsi="Garamond"/>
        </w:rPr>
        <w:t xml:space="preserve"> is</w:t>
      </w:r>
      <w:r w:rsidR="003B40F5" w:rsidRPr="004A0C12">
        <w:rPr>
          <w:rFonts w:ascii="Garamond" w:hAnsi="Garamond"/>
        </w:rPr>
        <w:t xml:space="preserve"> a partnership between the DORS</w:t>
      </w:r>
      <w:r w:rsidRPr="004A0C12">
        <w:rPr>
          <w:rFonts w:ascii="Garamond" w:hAnsi="Garamond"/>
        </w:rPr>
        <w:t xml:space="preserve"> and the Maryland Developmental D</w:t>
      </w:r>
      <w:r w:rsidR="003B40F5" w:rsidRPr="004A0C12">
        <w:rPr>
          <w:rFonts w:ascii="Garamond" w:hAnsi="Garamond"/>
        </w:rPr>
        <w:t>isabilities Administration</w:t>
      </w:r>
      <w:r w:rsidRPr="004A0C12">
        <w:rPr>
          <w:rFonts w:ascii="Garamond" w:hAnsi="Garamond"/>
        </w:rPr>
        <w:t xml:space="preserve"> consistent with the belief that all students with disabilities can work and contribute to Maryland’</w:t>
      </w:r>
      <w:r w:rsidR="003B40F5" w:rsidRPr="004A0C12">
        <w:rPr>
          <w:rFonts w:ascii="Garamond" w:hAnsi="Garamond"/>
        </w:rPr>
        <w:t xml:space="preserve">s future after leaving school. </w:t>
      </w:r>
      <w:r w:rsidRPr="004A0C12">
        <w:rPr>
          <w:rFonts w:ascii="Garamond" w:hAnsi="Garamond"/>
        </w:rPr>
        <w:t>This partnership was designed to ensure a smooth transition from school-based employment/training to short-term services funded by DORS</w:t>
      </w:r>
      <w:r w:rsidR="003B40F5" w:rsidRPr="004A0C12">
        <w:rPr>
          <w:rFonts w:ascii="Garamond" w:hAnsi="Garamond"/>
        </w:rPr>
        <w:t>,</w:t>
      </w:r>
      <w:r w:rsidRPr="004A0C12">
        <w:rPr>
          <w:rFonts w:ascii="Garamond" w:hAnsi="Garamond"/>
        </w:rPr>
        <w:t xml:space="preserve"> and then to </w:t>
      </w:r>
      <w:r w:rsidR="003B40F5" w:rsidRPr="004A0C12">
        <w:rPr>
          <w:rFonts w:ascii="Garamond" w:hAnsi="Garamond"/>
        </w:rPr>
        <w:t>long-term services funded by the Developmental Disabilities Administration.</w:t>
      </w:r>
      <w:r w:rsidRPr="004A0C12">
        <w:rPr>
          <w:rFonts w:ascii="Garamond" w:hAnsi="Garamond"/>
        </w:rPr>
        <w:t xml:space="preserve"> It enables students with disabilities to achieve employment toward the end of secondary school and then retain and maintain employment following their exit from school. </w:t>
      </w:r>
      <w:r w:rsidRPr="004A0C12">
        <w:rPr>
          <w:rFonts w:ascii="Garamond" w:hAnsi="Garamond"/>
        </w:rPr>
        <w:cr/>
      </w:r>
      <w:r w:rsidRPr="004A0C12">
        <w:rPr>
          <w:rFonts w:ascii="Garamond" w:hAnsi="Garamond"/>
        </w:rPr>
        <w:cr/>
        <w:t>Decrease in number of transitioning youth with developmental/intellectual disabilities serve</w:t>
      </w:r>
      <w:r w:rsidR="003B40F5" w:rsidRPr="004A0C12">
        <w:rPr>
          <w:rFonts w:ascii="Garamond" w:hAnsi="Garamond"/>
        </w:rPr>
        <w:t xml:space="preserve">d by DORS: </w:t>
      </w:r>
      <w:r w:rsidRPr="004A0C12">
        <w:rPr>
          <w:rFonts w:ascii="Garamond" w:hAnsi="Garamond"/>
        </w:rPr>
        <w:t>While historically DORS served many transitioning youth with developmental/intellectual disabilities, over the years there has been a significant reduction in the numbers served by DORS and in collaborative relationships with providers</w:t>
      </w:r>
      <w:r w:rsidR="00C1173C" w:rsidRPr="004A0C12">
        <w:rPr>
          <w:rFonts w:ascii="Garamond" w:hAnsi="Garamond"/>
        </w:rPr>
        <w:t xml:space="preserve"> approved by the Developmental Disabilities Administration</w:t>
      </w:r>
      <w:r w:rsidRPr="004A0C12">
        <w:rPr>
          <w:rFonts w:ascii="Garamond" w:hAnsi="Garamond"/>
        </w:rPr>
        <w:t>. This has been attributed to</w:t>
      </w:r>
      <w:r w:rsidR="00C1173C" w:rsidRPr="004A0C12">
        <w:rPr>
          <w:rFonts w:ascii="Garamond" w:hAnsi="Garamond"/>
        </w:rPr>
        <w:t>:</w:t>
      </w:r>
      <w:r w:rsidRPr="004A0C12">
        <w:rPr>
          <w:rFonts w:ascii="Garamond" w:hAnsi="Garamond"/>
        </w:rPr>
        <w:t xml:space="preserve"> (1) DORS paying less </w:t>
      </w:r>
      <w:r w:rsidR="00C1173C" w:rsidRPr="004A0C12">
        <w:rPr>
          <w:rFonts w:ascii="Garamond" w:hAnsi="Garamond"/>
        </w:rPr>
        <w:t>for employment services than the Developmental Disabilities Administration;</w:t>
      </w:r>
      <w:r w:rsidRPr="004A0C12">
        <w:rPr>
          <w:rFonts w:ascii="Garamond" w:hAnsi="Garamond"/>
        </w:rPr>
        <w:t xml:space="preserve"> (2) DORS requiring month</w:t>
      </w:r>
      <w:r w:rsidR="00C1173C" w:rsidRPr="004A0C12">
        <w:rPr>
          <w:rFonts w:ascii="Garamond" w:hAnsi="Garamond"/>
        </w:rPr>
        <w:t>ly reporting of services and Developmental Disabilities Administration</w:t>
      </w:r>
      <w:r w:rsidRPr="004A0C12">
        <w:rPr>
          <w:rFonts w:ascii="Garamond" w:hAnsi="Garamond"/>
        </w:rPr>
        <w:t xml:space="preserve"> not having this requirement</w:t>
      </w:r>
      <w:r w:rsidR="00C1173C" w:rsidRPr="004A0C12">
        <w:rPr>
          <w:rFonts w:ascii="Garamond" w:hAnsi="Garamond"/>
        </w:rPr>
        <w:t>;</w:t>
      </w:r>
      <w:r w:rsidRPr="004A0C12">
        <w:rPr>
          <w:rFonts w:ascii="Garamond" w:hAnsi="Garamond"/>
        </w:rPr>
        <w:t xml:space="preserve"> and</w:t>
      </w:r>
      <w:r w:rsidR="00C1173C" w:rsidRPr="004A0C12">
        <w:rPr>
          <w:rFonts w:ascii="Garamond" w:hAnsi="Garamond"/>
        </w:rPr>
        <w:t>,</w:t>
      </w:r>
      <w:r w:rsidRPr="004A0C12">
        <w:rPr>
          <w:rFonts w:ascii="Garamond" w:hAnsi="Garamond"/>
        </w:rPr>
        <w:t xml:space="preserve"> (3) experiences in the past with providers being cited for “double-dipping” for accepting payment for DORS employment services at the same time as DDA employment services. </w:t>
      </w:r>
    </w:p>
    <w:p w14:paraId="0B6778D5" w14:textId="77777777" w:rsidR="003B40F5" w:rsidRPr="004A0C12" w:rsidRDefault="003B40F5" w:rsidP="003B40F5">
      <w:pPr>
        <w:spacing w:after="0" w:line="240" w:lineRule="auto"/>
        <w:jc w:val="both"/>
        <w:rPr>
          <w:rFonts w:ascii="Garamond" w:hAnsi="Garamond"/>
        </w:rPr>
      </w:pPr>
    </w:p>
    <w:p w14:paraId="01B02F5F" w14:textId="29A8EB4B" w:rsidR="007A1FDC" w:rsidRPr="004A0C12" w:rsidRDefault="00C1173C" w:rsidP="00C1173C">
      <w:pPr>
        <w:spacing w:after="0" w:line="240" w:lineRule="auto"/>
        <w:jc w:val="both"/>
        <w:rPr>
          <w:rFonts w:ascii="Garamond" w:hAnsi="Garamond"/>
          <w:i/>
        </w:rPr>
      </w:pPr>
      <w:r w:rsidRPr="004A0C12">
        <w:rPr>
          <w:rFonts w:ascii="Garamond" w:hAnsi="Garamond"/>
          <w:i/>
        </w:rPr>
        <w:t xml:space="preserve">Employment First: </w:t>
      </w:r>
      <w:r w:rsidR="007A1FDC" w:rsidRPr="004A0C12">
        <w:rPr>
          <w:rFonts w:ascii="Garamond" w:hAnsi="Garamond"/>
        </w:rPr>
        <w:t xml:space="preserve">Over the last several years, Maryland has embraced the concept of </w:t>
      </w:r>
      <w:r w:rsidR="007A1FDC" w:rsidRPr="004A0C12">
        <w:rPr>
          <w:rFonts w:ascii="Garamond" w:hAnsi="Garamond"/>
          <w:i/>
        </w:rPr>
        <w:t>Employment First</w:t>
      </w:r>
      <w:r w:rsidR="007A1FDC" w:rsidRPr="004A0C12">
        <w:rPr>
          <w:rFonts w:ascii="Garamond" w:hAnsi="Garamond"/>
        </w:rPr>
        <w:t>, which assures that employment is considered by individuals with developmental/intellectual disabilities and their families</w:t>
      </w:r>
      <w:r w:rsidRPr="004A0C12">
        <w:rPr>
          <w:rFonts w:ascii="Garamond" w:hAnsi="Garamond"/>
        </w:rPr>
        <w:t>,</w:t>
      </w:r>
      <w:r w:rsidR="007A1FDC" w:rsidRPr="004A0C12">
        <w:rPr>
          <w:rFonts w:ascii="Garamond" w:hAnsi="Garamond"/>
        </w:rPr>
        <w:t xml:space="preserve"> rather than assuming that non-integrated day services are the best or only option. While </w:t>
      </w:r>
      <w:r w:rsidRPr="004A0C12">
        <w:rPr>
          <w:rFonts w:ascii="Garamond" w:hAnsi="Garamond"/>
        </w:rPr>
        <w:t>DORS</w:t>
      </w:r>
      <w:r w:rsidR="007A1FDC" w:rsidRPr="004A0C12">
        <w:rPr>
          <w:rFonts w:ascii="Garamond" w:hAnsi="Garamond"/>
        </w:rPr>
        <w:t>, the Maryland Developmental Disabilities Administration</w:t>
      </w:r>
      <w:r w:rsidRPr="004A0C12">
        <w:rPr>
          <w:rFonts w:ascii="Garamond" w:hAnsi="Garamond"/>
        </w:rPr>
        <w:t xml:space="preserve">, </w:t>
      </w:r>
      <w:r w:rsidR="007A1FDC" w:rsidRPr="004A0C12">
        <w:rPr>
          <w:rFonts w:ascii="Garamond" w:hAnsi="Garamond"/>
        </w:rPr>
        <w:t xml:space="preserve">the Maryland Department of Disabilities all have declared support for </w:t>
      </w:r>
      <w:r w:rsidR="007A1FDC" w:rsidRPr="004A0C12">
        <w:rPr>
          <w:rFonts w:ascii="Garamond" w:hAnsi="Garamond"/>
          <w:i/>
        </w:rPr>
        <w:t>Employment First</w:t>
      </w:r>
      <w:r w:rsidR="007A1FDC" w:rsidRPr="004A0C12">
        <w:rPr>
          <w:rFonts w:ascii="Garamond" w:hAnsi="Garamond"/>
        </w:rPr>
        <w:t>, actual implementation</w:t>
      </w:r>
      <w:r w:rsidRPr="004A0C12">
        <w:rPr>
          <w:rFonts w:ascii="Garamond" w:hAnsi="Garamond"/>
        </w:rPr>
        <w:t xml:space="preserve"> has been limited to several Developmental Disabilities Administration</w:t>
      </w:r>
      <w:r w:rsidR="007A1FDC" w:rsidRPr="004A0C12">
        <w:rPr>
          <w:rFonts w:ascii="Garamond" w:hAnsi="Garamond"/>
        </w:rPr>
        <w:t xml:space="preserve"> providers with support of the Maryland Developmental Disabilities Council. While these providers have demonstrated the success of the </w:t>
      </w:r>
      <w:r w:rsidR="007A1FDC" w:rsidRPr="004A0C12">
        <w:rPr>
          <w:rFonts w:ascii="Garamond" w:hAnsi="Garamond"/>
          <w:i/>
        </w:rPr>
        <w:t>Employment First</w:t>
      </w:r>
      <w:r w:rsidR="007A1FDC" w:rsidRPr="004A0C12">
        <w:rPr>
          <w:rFonts w:ascii="Garamond" w:hAnsi="Garamond"/>
        </w:rPr>
        <w:t xml:space="preserve"> approach, they have been focused on individuals currently in day programs who are interested in employment services, rather than on transitioning students.</w:t>
      </w:r>
    </w:p>
    <w:p w14:paraId="5F15F5E0" w14:textId="77777777" w:rsidR="007A1FDC" w:rsidRPr="004A0C12" w:rsidRDefault="007A1FDC" w:rsidP="007A1FDC">
      <w:pPr>
        <w:spacing w:after="0" w:line="240" w:lineRule="auto"/>
        <w:ind w:left="360"/>
        <w:jc w:val="both"/>
        <w:rPr>
          <w:rFonts w:ascii="Garamond" w:hAnsi="Garamond"/>
        </w:rPr>
      </w:pPr>
    </w:p>
    <w:p w14:paraId="78BF975A" w14:textId="21247A16" w:rsidR="007A1FDC" w:rsidRPr="004A0C12" w:rsidRDefault="007A1FDC" w:rsidP="00541123">
      <w:pPr>
        <w:spacing w:after="0" w:line="240" w:lineRule="auto"/>
        <w:contextualSpacing/>
        <w:jc w:val="both"/>
        <w:rPr>
          <w:rFonts w:ascii="Garamond" w:hAnsi="Garamond"/>
        </w:rPr>
      </w:pPr>
      <w:r w:rsidRPr="004A0C12">
        <w:rPr>
          <w:rFonts w:ascii="Garamond" w:hAnsi="Garamond"/>
        </w:rPr>
        <w:t>DORS and DDA Cooperative Agreement</w:t>
      </w:r>
      <w:r w:rsidR="00C1173C" w:rsidRPr="004A0C12">
        <w:rPr>
          <w:rFonts w:ascii="Garamond" w:hAnsi="Garamond"/>
        </w:rPr>
        <w:t>:</w:t>
      </w:r>
      <w:r w:rsidR="009D3E23" w:rsidRPr="004A0C12">
        <w:rPr>
          <w:rFonts w:ascii="Garamond" w:hAnsi="Garamond"/>
        </w:rPr>
        <w:t xml:space="preserve"> DORS and the Developmental Disabilities Administration</w:t>
      </w:r>
      <w:r w:rsidRPr="004A0C12">
        <w:rPr>
          <w:rFonts w:ascii="Garamond" w:hAnsi="Garamond"/>
        </w:rPr>
        <w:t xml:space="preserve"> have a cooperative agreement for employment services dated </w:t>
      </w:r>
      <w:r w:rsidR="009D3E23" w:rsidRPr="004A0C12">
        <w:rPr>
          <w:rFonts w:ascii="Garamond" w:hAnsi="Garamond"/>
        </w:rPr>
        <w:t xml:space="preserve">in </w:t>
      </w:r>
      <w:r w:rsidRPr="004A0C12">
        <w:rPr>
          <w:rFonts w:ascii="Garamond" w:hAnsi="Garamond"/>
        </w:rPr>
        <w:t>2006. Over the last year both agencies, along with the Maryland Department of Disabilities, have been working on updating the agreement, hoping to address the issues that have impeded the full implementati</w:t>
      </w:r>
      <w:r w:rsidR="009D3E23" w:rsidRPr="004A0C12">
        <w:rPr>
          <w:rFonts w:ascii="Garamond" w:hAnsi="Garamond"/>
        </w:rPr>
        <w:t>on of the Governor’s Transitioning Youth Initiative</w:t>
      </w:r>
      <w:r w:rsidRPr="004A0C12">
        <w:rPr>
          <w:rFonts w:ascii="Garamond" w:hAnsi="Garamond"/>
        </w:rPr>
        <w:t>, including addressing the long-term issue of double dipping. Along with devel</w:t>
      </w:r>
      <w:r w:rsidR="009D3E23" w:rsidRPr="004A0C12">
        <w:rPr>
          <w:rFonts w:ascii="Garamond" w:hAnsi="Garamond"/>
        </w:rPr>
        <w:t>oping the updated Agreement, the Developmental Disabilities Administration is revising S</w:t>
      </w:r>
      <w:r w:rsidRPr="004A0C12">
        <w:rPr>
          <w:rFonts w:ascii="Garamond" w:hAnsi="Garamond"/>
        </w:rPr>
        <w:t>tate regulations which should also cl</w:t>
      </w:r>
      <w:r w:rsidR="009D3E23" w:rsidRPr="004A0C12">
        <w:rPr>
          <w:rFonts w:ascii="Garamond" w:hAnsi="Garamond"/>
        </w:rPr>
        <w:t>arify the ways that DORS and the Developmental Disabilities Administration</w:t>
      </w:r>
      <w:r w:rsidRPr="004A0C12">
        <w:rPr>
          <w:rFonts w:ascii="Garamond" w:hAnsi="Garamond"/>
        </w:rPr>
        <w:t xml:space="preserve"> providers work collaboratively, with braided funding to assure that transitioning students with disabilities have every opportunity to pursue employment, consistent with the concepts of </w:t>
      </w:r>
      <w:r w:rsidRPr="004A0C12">
        <w:rPr>
          <w:rFonts w:ascii="Garamond" w:hAnsi="Garamond"/>
          <w:i/>
        </w:rPr>
        <w:t>Employment First</w:t>
      </w:r>
      <w:r w:rsidRPr="004A0C12">
        <w:rPr>
          <w:rFonts w:ascii="Garamond" w:hAnsi="Garamond"/>
        </w:rPr>
        <w:t>.</w:t>
      </w:r>
      <w:r w:rsidRPr="004A0C12">
        <w:rPr>
          <w:rFonts w:ascii="Garamond" w:hAnsi="Garamond"/>
        </w:rPr>
        <w:cr/>
      </w:r>
    </w:p>
    <w:p w14:paraId="63369ACC" w14:textId="77777777" w:rsidR="009D3E23" w:rsidRPr="004A0C12" w:rsidRDefault="009D3E23" w:rsidP="00541123">
      <w:pPr>
        <w:spacing w:after="0" w:line="240" w:lineRule="auto"/>
        <w:contextualSpacing/>
        <w:jc w:val="both"/>
        <w:rPr>
          <w:rFonts w:ascii="Garamond" w:hAnsi="Garamond"/>
        </w:rPr>
      </w:pPr>
      <w:r w:rsidRPr="004A0C12">
        <w:rPr>
          <w:rFonts w:ascii="Garamond" w:hAnsi="Garamond"/>
        </w:rPr>
        <w:lastRenderedPageBreak/>
        <w:t>Method/Discussion: Data were</w:t>
      </w:r>
      <w:r w:rsidR="007A1FDC" w:rsidRPr="004A0C12">
        <w:rPr>
          <w:rFonts w:ascii="Garamond" w:hAnsi="Garamond"/>
        </w:rPr>
        <w:t xml:space="preserve"> collected from the AWARE case management system utilized by DORS, and reviewed to de</w:t>
      </w:r>
      <w:r w:rsidRPr="004A0C12">
        <w:rPr>
          <w:rFonts w:ascii="Garamond" w:hAnsi="Garamond"/>
        </w:rPr>
        <w:t>termine the total number of Governor’s Transitioning Youth Initiative</w:t>
      </w:r>
      <w:r w:rsidR="007A1FDC" w:rsidRPr="004A0C12">
        <w:rPr>
          <w:rFonts w:ascii="Garamond" w:hAnsi="Garamond"/>
        </w:rPr>
        <w:t xml:space="preserve"> consumers served by DORS during fiscal years 2010, 2011, and 2012 in </w:t>
      </w:r>
      <w:r w:rsidRPr="004A0C12">
        <w:rPr>
          <w:rFonts w:ascii="Garamond" w:hAnsi="Garamond"/>
        </w:rPr>
        <w:t>comparison to the number of Governor’s Transitioning Youth Initiative</w:t>
      </w:r>
      <w:r w:rsidR="007A1FDC" w:rsidRPr="004A0C12">
        <w:rPr>
          <w:rFonts w:ascii="Garamond" w:hAnsi="Garamond"/>
        </w:rPr>
        <w:t xml:space="preserve"> consumers who achieved successful emplo</w:t>
      </w:r>
      <w:r w:rsidRPr="004A0C12">
        <w:rPr>
          <w:rFonts w:ascii="Garamond" w:hAnsi="Garamond"/>
        </w:rPr>
        <w:t xml:space="preserve">yment during the same 3 years. </w:t>
      </w:r>
      <w:r w:rsidR="007A1FDC" w:rsidRPr="004A0C12">
        <w:rPr>
          <w:rFonts w:ascii="Garamond" w:hAnsi="Garamond"/>
        </w:rPr>
        <w:t>The data collected confirmed that there has been a decrease over the las</w:t>
      </w:r>
      <w:r w:rsidRPr="004A0C12">
        <w:rPr>
          <w:rFonts w:ascii="Garamond" w:hAnsi="Garamond"/>
        </w:rPr>
        <w:t xml:space="preserve">t 3 years in the number of Governor’s Transitioning Youth Initiative </w:t>
      </w:r>
      <w:r w:rsidR="007A1FDC" w:rsidRPr="004A0C12">
        <w:rPr>
          <w:rFonts w:ascii="Garamond" w:hAnsi="Garamond"/>
        </w:rPr>
        <w:t>consumers ac</w:t>
      </w:r>
      <w:r w:rsidRPr="004A0C12">
        <w:rPr>
          <w:rFonts w:ascii="Garamond" w:hAnsi="Garamond"/>
        </w:rPr>
        <w:t>hieving successful employment:</w:t>
      </w:r>
    </w:p>
    <w:p w14:paraId="7A83FB1F" w14:textId="77777777" w:rsidR="009D3E23" w:rsidRPr="004A0C12" w:rsidRDefault="009D3E23" w:rsidP="00541123">
      <w:pPr>
        <w:spacing w:after="0" w:line="240" w:lineRule="auto"/>
        <w:contextualSpacing/>
        <w:jc w:val="both"/>
        <w:rPr>
          <w:rFonts w:ascii="Garamond" w:hAnsi="Garamond"/>
        </w:rPr>
      </w:pPr>
    </w:p>
    <w:p w14:paraId="1C0A980E" w14:textId="77777777" w:rsidR="00253341" w:rsidRPr="004A0C12" w:rsidRDefault="00253341" w:rsidP="00232F09">
      <w:pPr>
        <w:pStyle w:val="NormalWeb"/>
        <w:numPr>
          <w:ilvl w:val="0"/>
          <w:numId w:val="222"/>
        </w:numPr>
        <w:spacing w:before="0" w:beforeAutospacing="0" w:afterAutospacing="0"/>
        <w:rPr>
          <w:rFonts w:ascii="Garamond" w:hAnsi="Garamond"/>
          <w:sz w:val="22"/>
          <w:szCs w:val="22"/>
        </w:rPr>
      </w:pPr>
      <w:r w:rsidRPr="004A0C12">
        <w:rPr>
          <w:rFonts w:ascii="Garamond" w:hAnsi="Garamond"/>
          <w:color w:val="000000"/>
          <w:sz w:val="22"/>
          <w:szCs w:val="22"/>
        </w:rPr>
        <w:t>• In FY 2013, 137 consumers achieved successful employment; • In FY 2014, 120 consumers achieved successful employment; and, • In FY 2015, 98 consumers achieved successful employment.</w:t>
      </w:r>
    </w:p>
    <w:p w14:paraId="686F71C6" w14:textId="77777777" w:rsidR="00431254" w:rsidRPr="004A0C12" w:rsidRDefault="00431254" w:rsidP="00541123">
      <w:pPr>
        <w:spacing w:after="0" w:line="240" w:lineRule="auto"/>
        <w:contextualSpacing/>
        <w:jc w:val="both"/>
        <w:rPr>
          <w:rFonts w:ascii="Garamond" w:hAnsi="Garamond"/>
        </w:rPr>
      </w:pPr>
    </w:p>
    <w:p w14:paraId="1254F001" w14:textId="7EBDEC96" w:rsidR="007A1FDC" w:rsidRPr="004A0C12" w:rsidRDefault="009D3E23" w:rsidP="00541123">
      <w:pPr>
        <w:spacing w:after="0" w:line="240" w:lineRule="auto"/>
        <w:contextualSpacing/>
        <w:jc w:val="both"/>
        <w:rPr>
          <w:rFonts w:ascii="Garamond" w:hAnsi="Garamond"/>
        </w:rPr>
      </w:pPr>
      <w:r w:rsidRPr="004A0C12">
        <w:rPr>
          <w:rFonts w:ascii="Garamond" w:hAnsi="Garamond"/>
        </w:rPr>
        <w:t xml:space="preserve">Method/Discussion: </w:t>
      </w:r>
      <w:r w:rsidR="007A1FDC" w:rsidRPr="004A0C12">
        <w:rPr>
          <w:rFonts w:ascii="Garamond" w:hAnsi="Garamond"/>
        </w:rPr>
        <w:t>To further explore the decrease in the number of DORS successful outcomes for transitioning youth with developmental/intellectual disabilities, 48 DORS transition counselors and super</w:t>
      </w:r>
      <w:r w:rsidR="006F0D6D" w:rsidRPr="004A0C12">
        <w:rPr>
          <w:rFonts w:ascii="Garamond" w:hAnsi="Garamond"/>
        </w:rPr>
        <w:t xml:space="preserve">visors were surveyed. </w:t>
      </w:r>
      <w:r w:rsidR="007A1FDC" w:rsidRPr="004A0C12">
        <w:rPr>
          <w:rFonts w:ascii="Garamond" w:hAnsi="Garamond"/>
        </w:rPr>
        <w:t>Of the 18 responses received, the following possible reasons for this decrease were expressed by both DORS transition counselors and supervisors:</w:t>
      </w:r>
    </w:p>
    <w:p w14:paraId="5F880185" w14:textId="77777777" w:rsidR="007A1FDC" w:rsidRPr="004A0C12" w:rsidRDefault="007A1FDC" w:rsidP="00541123">
      <w:pPr>
        <w:spacing w:after="0" w:line="240" w:lineRule="auto"/>
        <w:contextualSpacing/>
        <w:jc w:val="both"/>
        <w:rPr>
          <w:rFonts w:ascii="Garamond" w:hAnsi="Garamond"/>
        </w:rPr>
      </w:pPr>
    </w:p>
    <w:p w14:paraId="7FAF3D21" w14:textId="3D10BBE9" w:rsidR="007A1FDC" w:rsidRPr="004A0C12" w:rsidRDefault="007A1FDC" w:rsidP="00232F09">
      <w:pPr>
        <w:numPr>
          <w:ilvl w:val="0"/>
          <w:numId w:val="151"/>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As noted in several responses, some providers do not appear to have a strong vocational component, including sufficient job coaches, that would enable consumers to achieve competitive outcomes</w:t>
      </w:r>
      <w:r w:rsidR="0029367D" w:rsidRPr="004A0C12">
        <w:rPr>
          <w:rFonts w:ascii="Garamond" w:hAnsi="Garamond"/>
        </w:rPr>
        <w:t xml:space="preserve"> but rather focus on </w:t>
      </w:r>
      <w:r w:rsidRPr="004A0C12">
        <w:rPr>
          <w:rFonts w:ascii="Garamond" w:hAnsi="Garamond"/>
        </w:rPr>
        <w:t>Day Habilitation Services</w:t>
      </w:r>
      <w:r w:rsidR="0029367D" w:rsidRPr="004A0C12">
        <w:rPr>
          <w:rFonts w:ascii="Garamond" w:hAnsi="Garamond"/>
        </w:rPr>
        <w:t xml:space="preserve"> funded by the Developmental Disabilities Administration;</w:t>
      </w:r>
    </w:p>
    <w:p w14:paraId="00C917D3" w14:textId="1542C830" w:rsidR="007A1FDC" w:rsidRPr="004A0C12" w:rsidRDefault="007A1FDC" w:rsidP="00232F09">
      <w:pPr>
        <w:numPr>
          <w:ilvl w:val="0"/>
          <w:numId w:val="151"/>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It appears that some providers may have a lack of understanding as to the role of DORS in provi</w:t>
      </w:r>
      <w:r w:rsidR="0029367D" w:rsidRPr="004A0C12">
        <w:rPr>
          <w:rFonts w:ascii="Garamond" w:hAnsi="Garamond"/>
        </w:rPr>
        <w:t>ding short-term funding for the Governor’s Transitioning Youth Initiative</w:t>
      </w:r>
      <w:r w:rsidRPr="004A0C12">
        <w:rPr>
          <w:rFonts w:ascii="Garamond" w:hAnsi="Garamond"/>
        </w:rPr>
        <w:t xml:space="preserve"> focusing on employment</w:t>
      </w:r>
      <w:r w:rsidR="0029367D" w:rsidRPr="004A0C12">
        <w:rPr>
          <w:rFonts w:ascii="Garamond" w:hAnsi="Garamond"/>
        </w:rPr>
        <w:t>, and instead, utilize Developmental Disabilities Administration funds, bypassing DORS;</w:t>
      </w:r>
    </w:p>
    <w:p w14:paraId="3DA39E71" w14:textId="3C0B6170" w:rsidR="007A1FDC" w:rsidRPr="004A0C12" w:rsidRDefault="007A1FDC" w:rsidP="00232F09">
      <w:pPr>
        <w:numPr>
          <w:ilvl w:val="0"/>
          <w:numId w:val="151"/>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Several respondents noted that providers c</w:t>
      </w:r>
      <w:r w:rsidR="0029367D" w:rsidRPr="004A0C12">
        <w:rPr>
          <w:rFonts w:ascii="Garamond" w:hAnsi="Garamond"/>
        </w:rPr>
        <w:t>hoose to receive monies from the Developmental Disabilities Administration,</w:t>
      </w:r>
      <w:r w:rsidRPr="004A0C12">
        <w:rPr>
          <w:rFonts w:ascii="Garamond" w:hAnsi="Garamond"/>
        </w:rPr>
        <w:t xml:space="preserve"> rather than access</w:t>
      </w:r>
      <w:r w:rsidR="0029367D" w:rsidRPr="004A0C12">
        <w:rPr>
          <w:rFonts w:ascii="Garamond" w:hAnsi="Garamond"/>
        </w:rPr>
        <w:t>ing</w:t>
      </w:r>
      <w:r w:rsidRPr="004A0C12">
        <w:rPr>
          <w:rFonts w:ascii="Garamond" w:hAnsi="Garamond"/>
        </w:rPr>
        <w:t xml:space="preserve"> DORS funding</w:t>
      </w:r>
      <w:r w:rsidR="0029367D" w:rsidRPr="004A0C12">
        <w:rPr>
          <w:rFonts w:ascii="Garamond" w:hAnsi="Garamond"/>
        </w:rPr>
        <w:t>,</w:t>
      </w:r>
      <w:r w:rsidRPr="004A0C12">
        <w:rPr>
          <w:rFonts w:ascii="Garamond" w:hAnsi="Garamond"/>
        </w:rPr>
        <w:t xml:space="preserve"> as the DORS fees paid for employment serv</w:t>
      </w:r>
      <w:r w:rsidR="0029367D" w:rsidRPr="004A0C12">
        <w:rPr>
          <w:rFonts w:ascii="Garamond" w:hAnsi="Garamond"/>
        </w:rPr>
        <w:t>ices are less than those of Developmental Disabilities Administration’s;</w:t>
      </w:r>
    </w:p>
    <w:p w14:paraId="49023602" w14:textId="3890DBC7" w:rsidR="007A1FDC" w:rsidRPr="004A0C12" w:rsidRDefault="007A1FDC" w:rsidP="00232F09">
      <w:pPr>
        <w:numPr>
          <w:ilvl w:val="0"/>
          <w:numId w:val="151"/>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Communication between providers and DORS appears t</w:t>
      </w:r>
      <w:r w:rsidR="0029367D" w:rsidRPr="004A0C12">
        <w:rPr>
          <w:rFonts w:ascii="Garamond" w:hAnsi="Garamond"/>
        </w:rPr>
        <w:t>o be an issue in some instances;</w:t>
      </w:r>
    </w:p>
    <w:p w14:paraId="74DED1AD" w14:textId="28960DFA" w:rsidR="007A1FDC" w:rsidRPr="004A0C12" w:rsidRDefault="007A1FDC" w:rsidP="00232F09">
      <w:pPr>
        <w:numPr>
          <w:ilvl w:val="0"/>
          <w:numId w:val="151"/>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Families are sometimes delaying their selection of long-term adult service providers</w:t>
      </w:r>
      <w:r w:rsidR="0029367D" w:rsidRPr="004A0C12">
        <w:rPr>
          <w:rFonts w:ascii="Garamond" w:hAnsi="Garamond"/>
        </w:rPr>
        <w:t>,</w:t>
      </w:r>
      <w:r w:rsidRPr="004A0C12">
        <w:rPr>
          <w:rFonts w:ascii="Garamond" w:hAnsi="Garamond"/>
        </w:rPr>
        <w:t xml:space="preserve"> which affects how quickly a provider can begin working </w:t>
      </w:r>
      <w:r w:rsidR="0029367D" w:rsidRPr="004A0C12">
        <w:rPr>
          <w:rFonts w:ascii="Garamond" w:hAnsi="Garamond"/>
        </w:rPr>
        <w:t xml:space="preserve">with an individual; and, </w:t>
      </w:r>
    </w:p>
    <w:p w14:paraId="231EC9B8" w14:textId="16295024" w:rsidR="007A1FDC" w:rsidRPr="004A0C12" w:rsidRDefault="007A1FDC" w:rsidP="00232F09">
      <w:pPr>
        <w:numPr>
          <w:ilvl w:val="0"/>
          <w:numId w:val="151"/>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It is perceived that agencies fear the appearance of double-dipping, receiving funding for the same</w:t>
      </w:r>
      <w:r w:rsidR="0029367D" w:rsidRPr="004A0C12">
        <w:rPr>
          <w:rFonts w:ascii="Garamond" w:hAnsi="Garamond"/>
        </w:rPr>
        <w:t xml:space="preserve"> services from both DORS and the Developmental Disabilities Administration</w:t>
      </w:r>
      <w:r w:rsidRPr="004A0C12">
        <w:rPr>
          <w:rFonts w:ascii="Garamond" w:hAnsi="Garamond"/>
        </w:rPr>
        <w:t>.</w:t>
      </w:r>
    </w:p>
    <w:p w14:paraId="6F2D52A9" w14:textId="77777777" w:rsidR="007A1FDC" w:rsidRPr="004A0C12" w:rsidRDefault="007A1FDC" w:rsidP="00541123">
      <w:pPr>
        <w:spacing w:after="0" w:line="240" w:lineRule="auto"/>
        <w:contextualSpacing/>
        <w:jc w:val="both"/>
        <w:rPr>
          <w:rFonts w:ascii="Garamond" w:hAnsi="Garamond"/>
        </w:rPr>
      </w:pPr>
    </w:p>
    <w:p w14:paraId="1422C38B" w14:textId="49F42AF4" w:rsidR="007A1FDC" w:rsidRPr="004A0C12" w:rsidRDefault="0029367D" w:rsidP="00541123">
      <w:pPr>
        <w:spacing w:after="0" w:line="240" w:lineRule="auto"/>
        <w:contextualSpacing/>
        <w:jc w:val="both"/>
        <w:rPr>
          <w:rFonts w:ascii="Garamond" w:hAnsi="Garamond"/>
        </w:rPr>
      </w:pPr>
      <w:r w:rsidRPr="004A0C12">
        <w:rPr>
          <w:rFonts w:ascii="Garamond" w:hAnsi="Garamond"/>
        </w:rPr>
        <w:t xml:space="preserve">Needs/concerns:  </w:t>
      </w:r>
    </w:p>
    <w:p w14:paraId="14B47813" w14:textId="15D2AF23" w:rsidR="007A1FDC" w:rsidRPr="004A0C12" w:rsidRDefault="007A1FDC" w:rsidP="00232F09">
      <w:pPr>
        <w:numPr>
          <w:ilvl w:val="0"/>
          <w:numId w:val="152"/>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Continue eff</w:t>
      </w:r>
      <w:r w:rsidR="0029367D" w:rsidRPr="004A0C12">
        <w:rPr>
          <w:rFonts w:ascii="Garamond" w:hAnsi="Garamond"/>
        </w:rPr>
        <w:t>orts at updating of the</w:t>
      </w:r>
      <w:r w:rsidRPr="004A0C12">
        <w:rPr>
          <w:rFonts w:ascii="Garamond" w:hAnsi="Garamond"/>
        </w:rPr>
        <w:t xml:space="preserve"> Cooperative Agreement</w:t>
      </w:r>
      <w:r w:rsidR="0029367D" w:rsidRPr="004A0C12">
        <w:rPr>
          <w:rFonts w:ascii="Garamond" w:hAnsi="Garamond"/>
        </w:rPr>
        <w:t xml:space="preserve"> between DORS and the Developmental Disabilities Administration</w:t>
      </w:r>
      <w:r w:rsidRPr="004A0C12">
        <w:rPr>
          <w:rFonts w:ascii="Garamond" w:hAnsi="Garamond"/>
        </w:rPr>
        <w:t xml:space="preserve">, focusing on clarifying the role of </w:t>
      </w:r>
      <w:r w:rsidRPr="004A0C12">
        <w:rPr>
          <w:rFonts w:ascii="Garamond" w:hAnsi="Garamond"/>
          <w:i/>
        </w:rPr>
        <w:t>Employment First</w:t>
      </w:r>
      <w:r w:rsidRPr="004A0C12">
        <w:rPr>
          <w:rFonts w:ascii="Garamond" w:hAnsi="Garamond"/>
        </w:rPr>
        <w:t xml:space="preserve"> for transitioning students with developmental/intellectual disabilities, </w:t>
      </w:r>
      <w:r w:rsidR="0029367D" w:rsidRPr="004A0C12">
        <w:rPr>
          <w:rFonts w:ascii="Garamond" w:hAnsi="Garamond"/>
        </w:rPr>
        <w:t>discussing the ways DORS and the Developmental Disabilities Administration</w:t>
      </w:r>
      <w:r w:rsidRPr="004A0C12">
        <w:rPr>
          <w:rFonts w:ascii="Garamond" w:hAnsi="Garamond"/>
        </w:rPr>
        <w:t xml:space="preserve"> can work effectively using braided funding, and spelling out procedures for providers to access DORS short-term f</w:t>
      </w:r>
      <w:r w:rsidR="0029367D" w:rsidRPr="004A0C12">
        <w:rPr>
          <w:rFonts w:ascii="Garamond" w:hAnsi="Garamond"/>
        </w:rPr>
        <w:t>unding and Developmental Disabilities Administrations</w:t>
      </w:r>
      <w:r w:rsidRPr="004A0C12">
        <w:rPr>
          <w:rFonts w:ascii="Garamond" w:hAnsi="Garamond"/>
        </w:rPr>
        <w:t xml:space="preserve"> long-term funding without the perception of double dipping.</w:t>
      </w:r>
    </w:p>
    <w:p w14:paraId="6A6F3CCD" w14:textId="03EA0A6F" w:rsidR="007A1FDC" w:rsidRPr="004A0C12" w:rsidRDefault="007A1FDC" w:rsidP="00232F09">
      <w:pPr>
        <w:numPr>
          <w:ilvl w:val="0"/>
          <w:numId w:val="152"/>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Once the Cooperative Agreement is completed, training should be provided to provider staff on the Agreement and ways to ef</w:t>
      </w:r>
      <w:r w:rsidR="0029367D" w:rsidRPr="004A0C12">
        <w:rPr>
          <w:rFonts w:ascii="Garamond" w:hAnsi="Garamond"/>
        </w:rPr>
        <w:t>fectively implement it locally;</w:t>
      </w:r>
    </w:p>
    <w:p w14:paraId="67978104" w14:textId="77777777" w:rsidR="0029367D" w:rsidRPr="004A0C12" w:rsidRDefault="007A1FDC" w:rsidP="00232F09">
      <w:pPr>
        <w:numPr>
          <w:ilvl w:val="0"/>
          <w:numId w:val="152"/>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Enhance lines of communicati</w:t>
      </w:r>
      <w:r w:rsidR="0029367D" w:rsidRPr="004A0C12">
        <w:rPr>
          <w:rFonts w:ascii="Garamond" w:hAnsi="Garamond"/>
        </w:rPr>
        <w:t>on between DORS and approved Developmental Disabilities Administration</w:t>
      </w:r>
      <w:r w:rsidRPr="004A0C12">
        <w:rPr>
          <w:rFonts w:ascii="Garamond" w:hAnsi="Garamond"/>
        </w:rPr>
        <w:t xml:space="preserve"> providers and emphasize the importance of communication to better coordinate the short-term services and achievement of employment by the transitioning youth; </w:t>
      </w:r>
    </w:p>
    <w:p w14:paraId="487C84C0" w14:textId="43FE85EC" w:rsidR="007A1FDC" w:rsidRPr="004A0C12" w:rsidRDefault="0029367D" w:rsidP="00232F09">
      <w:pPr>
        <w:numPr>
          <w:ilvl w:val="0"/>
          <w:numId w:val="152"/>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P</w:t>
      </w:r>
      <w:r w:rsidR="007A1FDC" w:rsidRPr="004A0C12">
        <w:rPr>
          <w:rFonts w:ascii="Garamond" w:hAnsi="Garamond"/>
        </w:rPr>
        <w:t>rovi</w:t>
      </w:r>
      <w:r w:rsidRPr="004A0C12">
        <w:rPr>
          <w:rFonts w:ascii="Garamond" w:hAnsi="Garamond"/>
        </w:rPr>
        <w:t xml:space="preserve">de cross-training opportunities; and, </w:t>
      </w:r>
    </w:p>
    <w:p w14:paraId="79E5DB98" w14:textId="0263F775" w:rsidR="007A1FDC" w:rsidRPr="004A0C12" w:rsidRDefault="007A1FDC" w:rsidP="00232F09">
      <w:pPr>
        <w:numPr>
          <w:ilvl w:val="0"/>
          <w:numId w:val="152"/>
        </w:numPr>
        <w:tabs>
          <w:tab w:val="clear" w:pos="360"/>
          <w:tab w:val="num" w:pos="720"/>
        </w:tabs>
        <w:spacing w:after="0" w:line="240" w:lineRule="auto"/>
        <w:ind w:left="720" w:hanging="360"/>
        <w:contextualSpacing/>
        <w:jc w:val="both"/>
        <w:rPr>
          <w:rFonts w:ascii="Garamond" w:hAnsi="Garamond"/>
        </w:rPr>
      </w:pPr>
      <w:r w:rsidRPr="004A0C12">
        <w:rPr>
          <w:rFonts w:ascii="Garamond" w:hAnsi="Garamond"/>
        </w:rPr>
        <w:t>Ut</w:t>
      </w:r>
      <w:r w:rsidR="0029367D" w:rsidRPr="004A0C12">
        <w:rPr>
          <w:rFonts w:ascii="Garamond" w:hAnsi="Garamond"/>
        </w:rPr>
        <w:t>ilize DORS and Developmental Disabilities Administration</w:t>
      </w:r>
      <w:r w:rsidRPr="004A0C12">
        <w:rPr>
          <w:rFonts w:ascii="Garamond" w:hAnsi="Garamond"/>
        </w:rPr>
        <w:t xml:space="preserve"> data collection systems to track anticipated increases in transit</w:t>
      </w:r>
      <w:r w:rsidR="0029367D" w:rsidRPr="004A0C12">
        <w:rPr>
          <w:rFonts w:ascii="Garamond" w:hAnsi="Garamond"/>
        </w:rPr>
        <w:t>ioning youth served through the Governor’s Transitioning Youth Initiative</w:t>
      </w:r>
      <w:r w:rsidRPr="004A0C12">
        <w:rPr>
          <w:rFonts w:ascii="Garamond" w:hAnsi="Garamond"/>
        </w:rPr>
        <w:t xml:space="preserve"> and their outcomes.</w:t>
      </w:r>
    </w:p>
    <w:p w14:paraId="1224D220" w14:textId="0C02629D" w:rsidR="007A1FDC" w:rsidRPr="00594970" w:rsidRDefault="007A1FDC" w:rsidP="00541123">
      <w:pPr>
        <w:pStyle w:val="Heading3"/>
        <w:spacing w:line="240" w:lineRule="auto"/>
        <w:contextualSpacing/>
        <w:rPr>
          <w:rFonts w:ascii="Garamond" w:hAnsi="Garamond"/>
          <w:sz w:val="24"/>
          <w:szCs w:val="24"/>
        </w:rPr>
      </w:pPr>
      <w:bookmarkStart w:id="217" w:name="_Toc447276244"/>
      <w:r w:rsidRPr="00594970">
        <w:rPr>
          <w:rFonts w:ascii="Garamond" w:hAnsi="Garamond"/>
          <w:sz w:val="24"/>
          <w:szCs w:val="24"/>
        </w:rPr>
        <w:t>Distribution of Agency Staff Resources</w:t>
      </w:r>
      <w:bookmarkEnd w:id="217"/>
    </w:p>
    <w:p w14:paraId="23A896C3" w14:textId="048F3C12" w:rsidR="007A1FDC" w:rsidRPr="004A0C12" w:rsidRDefault="0029367D" w:rsidP="00541123">
      <w:pPr>
        <w:spacing w:after="0" w:line="240" w:lineRule="auto"/>
        <w:contextualSpacing/>
        <w:jc w:val="both"/>
        <w:rPr>
          <w:rFonts w:ascii="Garamond" w:hAnsi="Garamond"/>
        </w:rPr>
      </w:pPr>
      <w:r w:rsidRPr="004A0C12">
        <w:rPr>
          <w:rFonts w:ascii="Garamond" w:hAnsi="Garamond"/>
        </w:rPr>
        <w:t xml:space="preserve">Background: </w:t>
      </w:r>
      <w:r w:rsidR="007A1FDC" w:rsidRPr="004A0C12">
        <w:rPr>
          <w:rFonts w:ascii="Garamond" w:hAnsi="Garamond"/>
        </w:rPr>
        <w:t xml:space="preserve">DORS sought to ascertain if individuals with disabilities in certain areas of Maryland were underserved due to having relatively fewer DORS rehabilitation counselors available to provide services as compared to other areas of Maryland.  </w:t>
      </w:r>
    </w:p>
    <w:p w14:paraId="15AC6CA4" w14:textId="77777777" w:rsidR="007A1FDC" w:rsidRPr="004A0C12" w:rsidRDefault="007A1FDC" w:rsidP="00541123">
      <w:pPr>
        <w:spacing w:after="0" w:line="240" w:lineRule="auto"/>
        <w:contextualSpacing/>
        <w:jc w:val="both"/>
        <w:rPr>
          <w:rFonts w:ascii="Garamond" w:hAnsi="Garamond"/>
        </w:rPr>
      </w:pPr>
    </w:p>
    <w:p w14:paraId="74F7B6AA" w14:textId="77777777" w:rsidR="000A183C" w:rsidRPr="004A0C12" w:rsidRDefault="0029367D" w:rsidP="00541123">
      <w:pPr>
        <w:spacing w:after="0" w:line="240" w:lineRule="auto"/>
        <w:contextualSpacing/>
        <w:jc w:val="both"/>
        <w:rPr>
          <w:rFonts w:ascii="Garamond" w:hAnsi="Garamond"/>
        </w:rPr>
      </w:pPr>
      <w:r w:rsidRPr="004A0C12">
        <w:rPr>
          <w:rFonts w:ascii="Garamond" w:hAnsi="Garamond"/>
        </w:rPr>
        <w:t xml:space="preserve">Methodology: </w:t>
      </w:r>
      <w:r w:rsidR="007A1FDC" w:rsidRPr="004A0C12">
        <w:rPr>
          <w:rFonts w:ascii="Garamond" w:hAnsi="Garamond"/>
        </w:rPr>
        <w:t xml:space="preserve">The number of DORS Office of Field Services counselors was determined, along with the percentage assigned to each region. Comparisons were made by region with three sources of data: </w:t>
      </w:r>
    </w:p>
    <w:p w14:paraId="7FBD657D" w14:textId="77777777" w:rsidR="000A183C" w:rsidRPr="004A0C12" w:rsidRDefault="000A183C" w:rsidP="00541123">
      <w:pPr>
        <w:spacing w:after="0" w:line="240" w:lineRule="auto"/>
        <w:contextualSpacing/>
        <w:jc w:val="both"/>
        <w:rPr>
          <w:rFonts w:ascii="Garamond" w:hAnsi="Garamond"/>
        </w:rPr>
      </w:pPr>
    </w:p>
    <w:p w14:paraId="433ACF50" w14:textId="2CA08A16" w:rsidR="000A183C" w:rsidRPr="004A0C12" w:rsidRDefault="007A1FDC" w:rsidP="00232F09">
      <w:pPr>
        <w:pStyle w:val="ListParagraph"/>
        <w:numPr>
          <w:ilvl w:val="0"/>
          <w:numId w:val="223"/>
        </w:numPr>
        <w:contextualSpacing/>
        <w:jc w:val="both"/>
        <w:rPr>
          <w:rFonts w:ascii="Garamond" w:hAnsi="Garamond"/>
          <w:szCs w:val="22"/>
        </w:rPr>
      </w:pPr>
      <w:r w:rsidRPr="004A0C12">
        <w:rPr>
          <w:rFonts w:ascii="Garamond" w:hAnsi="Garamond"/>
          <w:szCs w:val="22"/>
        </w:rPr>
        <w:lastRenderedPageBreak/>
        <w:t>U</w:t>
      </w:r>
      <w:r w:rsidR="00541123" w:rsidRPr="004A0C12">
        <w:rPr>
          <w:rFonts w:ascii="Garamond" w:hAnsi="Garamond"/>
          <w:szCs w:val="22"/>
        </w:rPr>
        <w:t>.</w:t>
      </w:r>
      <w:r w:rsidRPr="004A0C12">
        <w:rPr>
          <w:rFonts w:ascii="Garamond" w:hAnsi="Garamond"/>
          <w:szCs w:val="22"/>
        </w:rPr>
        <w:t>S</w:t>
      </w:r>
      <w:r w:rsidR="00541123" w:rsidRPr="004A0C12">
        <w:rPr>
          <w:rFonts w:ascii="Garamond" w:hAnsi="Garamond"/>
          <w:szCs w:val="22"/>
        </w:rPr>
        <w:t>.</w:t>
      </w:r>
      <w:r w:rsidRPr="004A0C12">
        <w:rPr>
          <w:rFonts w:ascii="Garamond" w:hAnsi="Garamond"/>
          <w:szCs w:val="22"/>
        </w:rPr>
        <w:t xml:space="preserve"> Census; </w:t>
      </w:r>
    </w:p>
    <w:p w14:paraId="11A17DAB" w14:textId="239DCD0C" w:rsidR="000A183C" w:rsidRPr="004A0C12" w:rsidRDefault="007A1FDC" w:rsidP="00232F09">
      <w:pPr>
        <w:pStyle w:val="ListParagraph"/>
        <w:numPr>
          <w:ilvl w:val="0"/>
          <w:numId w:val="223"/>
        </w:numPr>
        <w:contextualSpacing/>
        <w:jc w:val="both"/>
        <w:rPr>
          <w:rFonts w:ascii="Garamond" w:hAnsi="Garamond"/>
          <w:szCs w:val="22"/>
        </w:rPr>
      </w:pPr>
      <w:r w:rsidRPr="004A0C12">
        <w:rPr>
          <w:rFonts w:ascii="Garamond" w:hAnsi="Garamond"/>
          <w:szCs w:val="22"/>
        </w:rPr>
        <w:t>Recipients of Social Security Disability Insurance</w:t>
      </w:r>
      <w:r w:rsidR="00541123" w:rsidRPr="004A0C12">
        <w:rPr>
          <w:rFonts w:ascii="Garamond" w:hAnsi="Garamond"/>
          <w:szCs w:val="22"/>
        </w:rPr>
        <w:t xml:space="preserve"> (SSDI)</w:t>
      </w:r>
      <w:r w:rsidRPr="004A0C12">
        <w:rPr>
          <w:rFonts w:ascii="Garamond" w:hAnsi="Garamond"/>
          <w:szCs w:val="22"/>
        </w:rPr>
        <w:t xml:space="preserve"> and Supplemental Security Income</w:t>
      </w:r>
      <w:r w:rsidR="00541123" w:rsidRPr="004A0C12">
        <w:rPr>
          <w:rFonts w:ascii="Garamond" w:hAnsi="Garamond"/>
          <w:szCs w:val="22"/>
        </w:rPr>
        <w:t xml:space="preserve"> (SSI); </w:t>
      </w:r>
    </w:p>
    <w:p w14:paraId="6BEF9ACA" w14:textId="4427D7FA" w:rsidR="000A183C" w:rsidRPr="004A0C12" w:rsidRDefault="000A183C" w:rsidP="00232F09">
      <w:pPr>
        <w:pStyle w:val="ListParagraph"/>
        <w:numPr>
          <w:ilvl w:val="0"/>
          <w:numId w:val="223"/>
        </w:numPr>
        <w:contextualSpacing/>
        <w:jc w:val="both"/>
        <w:rPr>
          <w:rFonts w:ascii="Garamond" w:hAnsi="Garamond"/>
          <w:szCs w:val="22"/>
        </w:rPr>
      </w:pPr>
      <w:r w:rsidRPr="004A0C12">
        <w:rPr>
          <w:rFonts w:ascii="Garamond" w:hAnsi="Garamond"/>
          <w:szCs w:val="22"/>
        </w:rPr>
        <w:t xml:space="preserve">Special Education Students. </w:t>
      </w:r>
    </w:p>
    <w:p w14:paraId="489B4D78" w14:textId="7226F75D" w:rsidR="007A1FDC" w:rsidRPr="004A0C12" w:rsidRDefault="007A1FDC" w:rsidP="00541123">
      <w:pPr>
        <w:contextualSpacing/>
        <w:jc w:val="both"/>
        <w:rPr>
          <w:rFonts w:ascii="Garamond" w:hAnsi="Garamond"/>
        </w:rPr>
      </w:pPr>
    </w:p>
    <w:tbl>
      <w:tblPr>
        <w:tblStyle w:val="PlainTable11"/>
        <w:tblW w:w="11358" w:type="dxa"/>
        <w:tblLook w:val="04A0" w:firstRow="1" w:lastRow="0" w:firstColumn="1" w:lastColumn="0" w:noHBand="0" w:noVBand="1"/>
        <w:tblCaption w:val="Distribution of Agency Staff Resources using Census Data"/>
        <w:tblDescription w:val="The data provided in the table comes from the U.S. Census: Population and Housing Narrative Profile: 2011 American Community Survey 1-Year Estimates. For Region 1, the number of individuals with disabilities was 80,080, the percent of State total of individuals with disabilities was 13.18% and the percentage of DORS Office of Field Services counselors assigned to the Region was 18%.  For Region 2, the number of individuals with disabilities was 78,670, the percent of State total of individuals with disabilities was 12.95% and the percentage of DORS Office of Field Services counselors assigned to the Region was 14%.  For Region 3, the number of individuals with disabilities was 99,040, the percent of State total of individuals with disabilities was 16.30% and the percentage of DORS Office of Field Services counselors assigned to the Region was 18%.  For Region 4, the number of individuals with disabilities was 58,740, the percent of State total of individuals with disabilities was 9.67% and the percentage of DORS Office of Field Services counselors assigned to the Region was 9%.  For Region 5, the number of individuals with disabilities was 142,310, the percent of State total of individuals with disabilities was 23.42% and the percentage of DORS Office of Field Services counselors assigned to the Region was 20%.  For Region 6, the number of individuals with disabilities was 148,880, the percent of State total of individuals with disabilities was 24.50% and the percentage of DORS Office of Field Services counselors assigned to the Region was 22%. "/>
      </w:tblPr>
      <w:tblGrid>
        <w:gridCol w:w="1188"/>
        <w:gridCol w:w="1980"/>
        <w:gridCol w:w="1980"/>
        <w:gridCol w:w="2700"/>
        <w:gridCol w:w="3510"/>
      </w:tblGrid>
      <w:tr w:rsidR="00541123" w:rsidRPr="004A0C12" w14:paraId="56D52339" w14:textId="77777777" w:rsidTr="008B1D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58" w:type="dxa"/>
            <w:gridSpan w:val="5"/>
          </w:tcPr>
          <w:p w14:paraId="59F55961" w14:textId="3472C6C4" w:rsidR="00541123" w:rsidRPr="004A0C12" w:rsidRDefault="00541123" w:rsidP="000A183C">
            <w:pPr>
              <w:jc w:val="center"/>
              <w:rPr>
                <w:rFonts w:ascii="Garamond" w:hAnsi="Garamond"/>
                <w:sz w:val="22"/>
                <w:szCs w:val="22"/>
              </w:rPr>
            </w:pPr>
            <w:r w:rsidRPr="004A0C12">
              <w:rPr>
                <w:rFonts w:ascii="Garamond" w:hAnsi="Garamond"/>
                <w:sz w:val="22"/>
                <w:szCs w:val="22"/>
              </w:rPr>
              <w:t>Distribution of Agency Staff Resources using Census Data</w:t>
            </w:r>
          </w:p>
          <w:p w14:paraId="036F1068" w14:textId="32400F97" w:rsidR="00541123" w:rsidRPr="004A0C12" w:rsidRDefault="00541123" w:rsidP="000A183C">
            <w:pPr>
              <w:jc w:val="center"/>
              <w:rPr>
                <w:rFonts w:ascii="Garamond" w:hAnsi="Garamond"/>
                <w:i/>
                <w:sz w:val="22"/>
                <w:szCs w:val="22"/>
              </w:rPr>
            </w:pPr>
            <w:r w:rsidRPr="004A0C12">
              <w:rPr>
                <w:rFonts w:ascii="Garamond" w:hAnsi="Garamond"/>
                <w:i/>
                <w:sz w:val="22"/>
                <w:szCs w:val="22"/>
              </w:rPr>
              <w:t>Source: U.S. Census: Population and Housing Narrative Profile: 2011 American Community Survey 1-Year Estimates</w:t>
            </w:r>
          </w:p>
        </w:tc>
      </w:tr>
      <w:tr w:rsidR="00541123" w:rsidRPr="004A0C12" w14:paraId="6E021E9C"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0C01AB10" w14:textId="7119EA4F" w:rsidR="00541123" w:rsidRPr="004A0C12" w:rsidRDefault="00541123" w:rsidP="000A183C">
            <w:pPr>
              <w:jc w:val="center"/>
              <w:rPr>
                <w:rFonts w:ascii="Garamond" w:hAnsi="Garamond"/>
                <w:sz w:val="22"/>
                <w:szCs w:val="22"/>
              </w:rPr>
            </w:pPr>
            <w:r w:rsidRPr="004A0C12">
              <w:rPr>
                <w:rFonts w:ascii="Garamond" w:hAnsi="Garamond"/>
                <w:sz w:val="22"/>
                <w:szCs w:val="22"/>
              </w:rPr>
              <w:t>Region</w:t>
            </w:r>
          </w:p>
        </w:tc>
        <w:tc>
          <w:tcPr>
            <w:tcW w:w="1980" w:type="dxa"/>
          </w:tcPr>
          <w:p w14:paraId="370C4D7E" w14:textId="0A3EC98B" w:rsidR="00541123" w:rsidRPr="004A0C12" w:rsidRDefault="00541123" w:rsidP="000A183C">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Counties</w:t>
            </w:r>
          </w:p>
        </w:tc>
        <w:tc>
          <w:tcPr>
            <w:tcW w:w="1980" w:type="dxa"/>
          </w:tcPr>
          <w:p w14:paraId="6E05BBF4" w14:textId="25C6A21B" w:rsidR="00541123" w:rsidRPr="004A0C12" w:rsidRDefault="00541123" w:rsidP="000A183C">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Individuals with Disabilities</w:t>
            </w:r>
          </w:p>
        </w:tc>
        <w:tc>
          <w:tcPr>
            <w:tcW w:w="2700" w:type="dxa"/>
          </w:tcPr>
          <w:p w14:paraId="6D087008" w14:textId="504599A9" w:rsidR="00541123" w:rsidRPr="004A0C12" w:rsidRDefault="00541123" w:rsidP="000A183C">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State total of individuals with disabilities</w:t>
            </w:r>
          </w:p>
        </w:tc>
        <w:tc>
          <w:tcPr>
            <w:tcW w:w="3510" w:type="dxa"/>
          </w:tcPr>
          <w:p w14:paraId="77BECE6D" w14:textId="1924B68C" w:rsidR="00541123" w:rsidRPr="004A0C12" w:rsidRDefault="00541123" w:rsidP="000A183C">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DORS Office of Field Services counselors assigned to Region</w:t>
            </w:r>
          </w:p>
        </w:tc>
      </w:tr>
      <w:tr w:rsidR="00541123" w:rsidRPr="004A0C12" w14:paraId="7439F43B" w14:textId="77777777" w:rsidTr="00530FA0">
        <w:tc>
          <w:tcPr>
            <w:cnfStyle w:val="001000000000" w:firstRow="0" w:lastRow="0" w:firstColumn="1" w:lastColumn="0" w:oddVBand="0" w:evenVBand="0" w:oddHBand="0" w:evenHBand="0" w:firstRowFirstColumn="0" w:firstRowLastColumn="0" w:lastRowFirstColumn="0" w:lastRowLastColumn="0"/>
            <w:tcW w:w="1188" w:type="dxa"/>
          </w:tcPr>
          <w:p w14:paraId="49B51973" w14:textId="5E119C16" w:rsidR="00541123" w:rsidRPr="004A0C12" w:rsidRDefault="00541123" w:rsidP="000A183C">
            <w:pPr>
              <w:jc w:val="both"/>
              <w:rPr>
                <w:rFonts w:ascii="Garamond" w:hAnsi="Garamond"/>
                <w:sz w:val="22"/>
                <w:szCs w:val="22"/>
              </w:rPr>
            </w:pPr>
            <w:r w:rsidRPr="004A0C12">
              <w:rPr>
                <w:rFonts w:ascii="Garamond" w:hAnsi="Garamond"/>
                <w:sz w:val="22"/>
                <w:szCs w:val="22"/>
              </w:rPr>
              <w:t>Region 1</w:t>
            </w:r>
          </w:p>
        </w:tc>
        <w:tc>
          <w:tcPr>
            <w:tcW w:w="1980" w:type="dxa"/>
          </w:tcPr>
          <w:p w14:paraId="65D10527" w14:textId="30B5B876"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Allegany</w:t>
            </w:r>
          </w:p>
          <w:p w14:paraId="343153FA" w14:textId="28EFBFBA"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Carroll</w:t>
            </w:r>
          </w:p>
          <w:p w14:paraId="4531CCDF" w14:textId="266D5E8C"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Frederick</w:t>
            </w:r>
          </w:p>
          <w:p w14:paraId="229E95D4" w14:textId="0548D812"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Garrett</w:t>
            </w:r>
          </w:p>
          <w:p w14:paraId="439E1F27" w14:textId="05BFF8BA"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Washington</w:t>
            </w:r>
          </w:p>
        </w:tc>
        <w:tc>
          <w:tcPr>
            <w:tcW w:w="1980" w:type="dxa"/>
          </w:tcPr>
          <w:p w14:paraId="241DF4DC" w14:textId="0BF302B4" w:rsidR="00541123" w:rsidRPr="004A0C12" w:rsidRDefault="00541123" w:rsidP="000A183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80,080</w:t>
            </w:r>
          </w:p>
        </w:tc>
        <w:tc>
          <w:tcPr>
            <w:tcW w:w="2700" w:type="dxa"/>
          </w:tcPr>
          <w:p w14:paraId="2C475FA9" w14:textId="04BB72EF" w:rsidR="00541123" w:rsidRPr="004A0C12" w:rsidRDefault="00541123" w:rsidP="000A183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13.18%</w:t>
            </w:r>
          </w:p>
        </w:tc>
        <w:tc>
          <w:tcPr>
            <w:tcW w:w="3510" w:type="dxa"/>
          </w:tcPr>
          <w:p w14:paraId="492D91AA" w14:textId="2634EF80" w:rsidR="00541123" w:rsidRPr="004A0C12" w:rsidRDefault="00541123" w:rsidP="000A183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r>
      <w:tr w:rsidR="00541123" w:rsidRPr="004A0C12" w14:paraId="1703B547"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6E5B7497" w14:textId="57D4CF93" w:rsidR="00541123" w:rsidRPr="004A0C12" w:rsidRDefault="00541123" w:rsidP="000A183C">
            <w:pPr>
              <w:jc w:val="both"/>
              <w:rPr>
                <w:rFonts w:ascii="Garamond" w:hAnsi="Garamond"/>
                <w:sz w:val="22"/>
                <w:szCs w:val="22"/>
              </w:rPr>
            </w:pPr>
            <w:r w:rsidRPr="004A0C12">
              <w:rPr>
                <w:rFonts w:ascii="Garamond" w:hAnsi="Garamond"/>
                <w:sz w:val="22"/>
                <w:szCs w:val="22"/>
              </w:rPr>
              <w:t xml:space="preserve">Region 2 </w:t>
            </w:r>
          </w:p>
        </w:tc>
        <w:tc>
          <w:tcPr>
            <w:tcW w:w="1980" w:type="dxa"/>
          </w:tcPr>
          <w:p w14:paraId="3F95AA72" w14:textId="77777777" w:rsidR="00541123" w:rsidRPr="004A0C12" w:rsidRDefault="0054112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Anne Arundel</w:t>
            </w:r>
          </w:p>
          <w:p w14:paraId="2943A777" w14:textId="77777777" w:rsidR="00541123" w:rsidRPr="004A0C12" w:rsidRDefault="0054112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Calvert</w:t>
            </w:r>
          </w:p>
          <w:p w14:paraId="72D7CA62" w14:textId="77777777" w:rsidR="00541123" w:rsidRPr="004A0C12" w:rsidRDefault="0054112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Charles</w:t>
            </w:r>
          </w:p>
          <w:p w14:paraId="4594BA1E" w14:textId="5227AC1C" w:rsidR="00541123" w:rsidRPr="004A0C12" w:rsidRDefault="0054112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St. Mary’s </w:t>
            </w:r>
          </w:p>
        </w:tc>
        <w:tc>
          <w:tcPr>
            <w:tcW w:w="1980" w:type="dxa"/>
          </w:tcPr>
          <w:p w14:paraId="75B4F513" w14:textId="5702963F" w:rsidR="00541123" w:rsidRPr="004A0C12" w:rsidRDefault="00541123" w:rsidP="000A183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78,670</w:t>
            </w:r>
          </w:p>
        </w:tc>
        <w:tc>
          <w:tcPr>
            <w:tcW w:w="2700" w:type="dxa"/>
          </w:tcPr>
          <w:p w14:paraId="3A2AD47C" w14:textId="194AD431" w:rsidR="00541123" w:rsidRPr="004A0C12" w:rsidRDefault="00541123" w:rsidP="000A183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12.95% </w:t>
            </w:r>
          </w:p>
        </w:tc>
        <w:tc>
          <w:tcPr>
            <w:tcW w:w="3510" w:type="dxa"/>
          </w:tcPr>
          <w:p w14:paraId="1826792F" w14:textId="66BB2574" w:rsidR="00541123" w:rsidRPr="004A0C12" w:rsidRDefault="00541123" w:rsidP="000A183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14% </w:t>
            </w:r>
          </w:p>
        </w:tc>
      </w:tr>
      <w:tr w:rsidR="00541123" w:rsidRPr="004A0C12" w14:paraId="203064A5" w14:textId="77777777" w:rsidTr="00530FA0">
        <w:tc>
          <w:tcPr>
            <w:cnfStyle w:val="001000000000" w:firstRow="0" w:lastRow="0" w:firstColumn="1" w:lastColumn="0" w:oddVBand="0" w:evenVBand="0" w:oddHBand="0" w:evenHBand="0" w:firstRowFirstColumn="0" w:firstRowLastColumn="0" w:lastRowFirstColumn="0" w:lastRowLastColumn="0"/>
            <w:tcW w:w="1188" w:type="dxa"/>
          </w:tcPr>
          <w:p w14:paraId="044E16ED" w14:textId="3498C22F" w:rsidR="00541123" w:rsidRPr="004A0C12" w:rsidRDefault="00541123" w:rsidP="000A183C">
            <w:pPr>
              <w:jc w:val="both"/>
              <w:rPr>
                <w:rFonts w:ascii="Garamond" w:hAnsi="Garamond"/>
                <w:sz w:val="22"/>
                <w:szCs w:val="22"/>
              </w:rPr>
            </w:pPr>
            <w:r w:rsidRPr="004A0C12">
              <w:rPr>
                <w:rFonts w:ascii="Garamond" w:hAnsi="Garamond"/>
                <w:sz w:val="22"/>
                <w:szCs w:val="22"/>
              </w:rPr>
              <w:t>Region 3</w:t>
            </w:r>
          </w:p>
        </w:tc>
        <w:tc>
          <w:tcPr>
            <w:tcW w:w="1980" w:type="dxa"/>
          </w:tcPr>
          <w:p w14:paraId="42D22311" w14:textId="59E39AC3" w:rsidR="00541123" w:rsidRPr="004A0C12" w:rsidRDefault="0054112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Baltimore City</w:t>
            </w:r>
          </w:p>
        </w:tc>
        <w:tc>
          <w:tcPr>
            <w:tcW w:w="1980" w:type="dxa"/>
          </w:tcPr>
          <w:p w14:paraId="12981A05" w14:textId="0BB51637" w:rsidR="00541123" w:rsidRPr="004A0C12" w:rsidRDefault="00541123" w:rsidP="000A183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99,040</w:t>
            </w:r>
          </w:p>
        </w:tc>
        <w:tc>
          <w:tcPr>
            <w:tcW w:w="2700" w:type="dxa"/>
          </w:tcPr>
          <w:p w14:paraId="702AF94C" w14:textId="3D21FA9F" w:rsidR="00541123" w:rsidRPr="004A0C12" w:rsidRDefault="00541123" w:rsidP="000A183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16.30%</w:t>
            </w:r>
          </w:p>
        </w:tc>
        <w:tc>
          <w:tcPr>
            <w:tcW w:w="3510" w:type="dxa"/>
          </w:tcPr>
          <w:p w14:paraId="3BAABD63" w14:textId="5B9879E8" w:rsidR="00541123" w:rsidRPr="004A0C12" w:rsidRDefault="00541123" w:rsidP="000A183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r>
      <w:tr w:rsidR="00541123" w:rsidRPr="004A0C12" w14:paraId="5DD3FCF8"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7B91D412" w14:textId="03899273" w:rsidR="00541123" w:rsidRPr="004A0C12" w:rsidRDefault="00541123" w:rsidP="000A183C">
            <w:pPr>
              <w:jc w:val="both"/>
              <w:rPr>
                <w:rFonts w:ascii="Garamond" w:hAnsi="Garamond"/>
                <w:sz w:val="22"/>
                <w:szCs w:val="22"/>
              </w:rPr>
            </w:pPr>
            <w:r w:rsidRPr="004A0C12">
              <w:rPr>
                <w:rFonts w:ascii="Garamond" w:hAnsi="Garamond"/>
                <w:sz w:val="22"/>
                <w:szCs w:val="22"/>
              </w:rPr>
              <w:t>Region 4</w:t>
            </w:r>
          </w:p>
        </w:tc>
        <w:tc>
          <w:tcPr>
            <w:tcW w:w="1980" w:type="dxa"/>
          </w:tcPr>
          <w:p w14:paraId="357EA881"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Caroline </w:t>
            </w:r>
          </w:p>
          <w:p w14:paraId="133E1612"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Cecil</w:t>
            </w:r>
          </w:p>
          <w:p w14:paraId="16E8E68E"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Dorchester</w:t>
            </w:r>
          </w:p>
          <w:p w14:paraId="0DA6D635"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Kent</w:t>
            </w:r>
          </w:p>
          <w:p w14:paraId="2D849887"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Queen Anne’s</w:t>
            </w:r>
          </w:p>
          <w:p w14:paraId="68812BA4"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Somerset</w:t>
            </w:r>
          </w:p>
          <w:p w14:paraId="0A1D9C38"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Talbot</w:t>
            </w:r>
          </w:p>
          <w:p w14:paraId="47C75D23"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Wicomico</w:t>
            </w:r>
          </w:p>
          <w:p w14:paraId="2481B758" w14:textId="0FCBE6DF"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Worcester</w:t>
            </w:r>
          </w:p>
        </w:tc>
        <w:tc>
          <w:tcPr>
            <w:tcW w:w="1980" w:type="dxa"/>
          </w:tcPr>
          <w:p w14:paraId="1F6367BD" w14:textId="1C64B45C" w:rsidR="00541123" w:rsidRPr="004A0C12" w:rsidRDefault="00541123" w:rsidP="000A183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58,740</w:t>
            </w:r>
          </w:p>
        </w:tc>
        <w:tc>
          <w:tcPr>
            <w:tcW w:w="2700" w:type="dxa"/>
          </w:tcPr>
          <w:p w14:paraId="438F7D0D" w14:textId="5E67DB80" w:rsidR="00541123" w:rsidRPr="004A0C12" w:rsidRDefault="00541123" w:rsidP="000A183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9.67%</w:t>
            </w:r>
          </w:p>
        </w:tc>
        <w:tc>
          <w:tcPr>
            <w:tcW w:w="3510" w:type="dxa"/>
          </w:tcPr>
          <w:p w14:paraId="72BD28D2" w14:textId="515CB28A" w:rsidR="00541123" w:rsidRPr="004A0C12" w:rsidRDefault="00541123" w:rsidP="000A183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9% </w:t>
            </w:r>
          </w:p>
        </w:tc>
      </w:tr>
      <w:tr w:rsidR="00541123" w:rsidRPr="004A0C12" w14:paraId="32B40900" w14:textId="77777777" w:rsidTr="00530FA0">
        <w:tc>
          <w:tcPr>
            <w:cnfStyle w:val="001000000000" w:firstRow="0" w:lastRow="0" w:firstColumn="1" w:lastColumn="0" w:oddVBand="0" w:evenVBand="0" w:oddHBand="0" w:evenHBand="0" w:firstRowFirstColumn="0" w:firstRowLastColumn="0" w:lastRowFirstColumn="0" w:lastRowLastColumn="0"/>
            <w:tcW w:w="1188" w:type="dxa"/>
          </w:tcPr>
          <w:p w14:paraId="5373F7E2" w14:textId="3FCA1C71" w:rsidR="00541123" w:rsidRPr="004A0C12" w:rsidRDefault="00541123" w:rsidP="000A183C">
            <w:pPr>
              <w:jc w:val="both"/>
              <w:rPr>
                <w:rFonts w:ascii="Garamond" w:hAnsi="Garamond"/>
                <w:sz w:val="22"/>
                <w:szCs w:val="22"/>
              </w:rPr>
            </w:pPr>
            <w:r w:rsidRPr="004A0C12">
              <w:rPr>
                <w:rFonts w:ascii="Garamond" w:hAnsi="Garamond"/>
                <w:sz w:val="22"/>
                <w:szCs w:val="22"/>
              </w:rPr>
              <w:t>Region 5</w:t>
            </w:r>
          </w:p>
        </w:tc>
        <w:tc>
          <w:tcPr>
            <w:tcW w:w="1980" w:type="dxa"/>
          </w:tcPr>
          <w:p w14:paraId="47B1F3EA" w14:textId="77777777" w:rsidR="00541123" w:rsidRPr="004A0C12" w:rsidRDefault="0054112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Baltimore Co.</w:t>
            </w:r>
          </w:p>
          <w:p w14:paraId="12E2C750" w14:textId="77777777" w:rsidR="00541123" w:rsidRPr="004A0C12" w:rsidRDefault="0054112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Harford</w:t>
            </w:r>
          </w:p>
          <w:p w14:paraId="22F98380" w14:textId="5A7A090A" w:rsidR="00541123" w:rsidRPr="004A0C12" w:rsidRDefault="0054112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Howard</w:t>
            </w:r>
          </w:p>
        </w:tc>
        <w:tc>
          <w:tcPr>
            <w:tcW w:w="1980" w:type="dxa"/>
          </w:tcPr>
          <w:p w14:paraId="59369CA4" w14:textId="16B9B64D" w:rsidR="00541123" w:rsidRPr="004A0C12" w:rsidRDefault="00541123" w:rsidP="000A183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142,310</w:t>
            </w:r>
          </w:p>
        </w:tc>
        <w:tc>
          <w:tcPr>
            <w:tcW w:w="2700" w:type="dxa"/>
          </w:tcPr>
          <w:p w14:paraId="1F2422EF" w14:textId="6D937080" w:rsidR="00541123" w:rsidRPr="004A0C12" w:rsidRDefault="00541123" w:rsidP="000A183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23.42%</w:t>
            </w:r>
          </w:p>
        </w:tc>
        <w:tc>
          <w:tcPr>
            <w:tcW w:w="3510" w:type="dxa"/>
          </w:tcPr>
          <w:p w14:paraId="485CFF1E" w14:textId="4C4FD81C" w:rsidR="00541123" w:rsidRPr="004A0C12" w:rsidRDefault="00541123" w:rsidP="000A183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w:t>
            </w:r>
          </w:p>
        </w:tc>
      </w:tr>
      <w:tr w:rsidR="00541123" w:rsidRPr="004A0C12" w14:paraId="269438C2"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289C9986" w14:textId="2E227C85" w:rsidR="00541123" w:rsidRPr="004A0C12" w:rsidRDefault="00541123" w:rsidP="000A183C">
            <w:pPr>
              <w:jc w:val="both"/>
              <w:rPr>
                <w:rFonts w:ascii="Garamond" w:hAnsi="Garamond"/>
                <w:sz w:val="22"/>
                <w:szCs w:val="22"/>
              </w:rPr>
            </w:pPr>
            <w:r w:rsidRPr="004A0C12">
              <w:rPr>
                <w:rFonts w:ascii="Garamond" w:hAnsi="Garamond"/>
                <w:sz w:val="22"/>
                <w:szCs w:val="22"/>
              </w:rPr>
              <w:t>Region 6</w:t>
            </w:r>
          </w:p>
        </w:tc>
        <w:tc>
          <w:tcPr>
            <w:tcW w:w="1980" w:type="dxa"/>
          </w:tcPr>
          <w:p w14:paraId="0DE33161" w14:textId="77777777" w:rsidR="00541123" w:rsidRPr="004A0C12" w:rsidRDefault="00541123" w:rsidP="00232F09">
            <w:pPr>
              <w:pStyle w:val="ListParagraph"/>
              <w:numPr>
                <w:ilvl w:val="0"/>
                <w:numId w:val="227"/>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Montgomery </w:t>
            </w:r>
          </w:p>
          <w:p w14:paraId="1ABA84F2" w14:textId="7B55811D" w:rsidR="00541123" w:rsidRPr="004A0C12" w:rsidRDefault="00541123" w:rsidP="00232F09">
            <w:pPr>
              <w:pStyle w:val="ListParagraph"/>
              <w:numPr>
                <w:ilvl w:val="0"/>
                <w:numId w:val="227"/>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Prince George’s  </w:t>
            </w:r>
          </w:p>
        </w:tc>
        <w:tc>
          <w:tcPr>
            <w:tcW w:w="1980" w:type="dxa"/>
          </w:tcPr>
          <w:p w14:paraId="008AF489" w14:textId="1A473A03" w:rsidR="00541123" w:rsidRPr="004A0C12" w:rsidRDefault="00541123" w:rsidP="000A183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148,880</w:t>
            </w:r>
          </w:p>
        </w:tc>
        <w:tc>
          <w:tcPr>
            <w:tcW w:w="2700" w:type="dxa"/>
          </w:tcPr>
          <w:p w14:paraId="6DD3DD38" w14:textId="39893DF6" w:rsidR="00541123" w:rsidRPr="004A0C12" w:rsidRDefault="00541123" w:rsidP="000A183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24.50%</w:t>
            </w:r>
          </w:p>
        </w:tc>
        <w:tc>
          <w:tcPr>
            <w:tcW w:w="3510" w:type="dxa"/>
          </w:tcPr>
          <w:p w14:paraId="73DAA90C" w14:textId="611ADB09" w:rsidR="00541123" w:rsidRPr="004A0C12" w:rsidRDefault="00541123" w:rsidP="000A183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22% </w:t>
            </w:r>
          </w:p>
        </w:tc>
      </w:tr>
    </w:tbl>
    <w:p w14:paraId="09CA9F48" w14:textId="77777777" w:rsidR="00594970" w:rsidRDefault="00594970" w:rsidP="007A1FDC">
      <w:pPr>
        <w:spacing w:after="0" w:line="240" w:lineRule="auto"/>
        <w:jc w:val="both"/>
        <w:rPr>
          <w:rFonts w:ascii="Garamond" w:hAnsi="Garamond"/>
        </w:rPr>
      </w:pPr>
    </w:p>
    <w:p w14:paraId="561EF90E" w14:textId="19FC4602" w:rsidR="007A1FDC" w:rsidRPr="004A0C12" w:rsidRDefault="00541123" w:rsidP="007A1FDC">
      <w:pPr>
        <w:spacing w:after="0" w:line="240" w:lineRule="auto"/>
        <w:jc w:val="both"/>
        <w:rPr>
          <w:rFonts w:ascii="Garamond" w:hAnsi="Garamond"/>
        </w:rPr>
      </w:pPr>
      <w:r w:rsidRPr="004A0C12">
        <w:rPr>
          <w:rFonts w:ascii="Garamond" w:hAnsi="Garamond"/>
        </w:rPr>
        <w:t>Discussion: Assignment of DORS Office of Field Services c</w:t>
      </w:r>
      <w:r w:rsidR="007A1FDC" w:rsidRPr="004A0C12">
        <w:rPr>
          <w:rFonts w:ascii="Garamond" w:hAnsi="Garamond"/>
        </w:rPr>
        <w:t>ounselors by region is fairly consistent with the percentage of individuals with disabilities in each region per census data.</w:t>
      </w:r>
    </w:p>
    <w:p w14:paraId="7D456DC4" w14:textId="77777777" w:rsidR="007A1FDC" w:rsidRPr="004A0C12" w:rsidRDefault="007A1FDC" w:rsidP="007A1FDC">
      <w:pPr>
        <w:spacing w:after="0" w:line="240" w:lineRule="auto"/>
        <w:jc w:val="both"/>
        <w:rPr>
          <w:rFonts w:ascii="Garamond" w:hAnsi="Garamond"/>
        </w:rPr>
      </w:pPr>
    </w:p>
    <w:tbl>
      <w:tblPr>
        <w:tblStyle w:val="PlainTable11"/>
        <w:tblW w:w="8658" w:type="dxa"/>
        <w:jc w:val="center"/>
        <w:tblLook w:val="04A0" w:firstRow="1" w:lastRow="0" w:firstColumn="1" w:lastColumn="0" w:noHBand="0" w:noVBand="1"/>
        <w:tblCaption w:val="Distribution of Agency Staff Resources using Numbers of Recipients of SSDI and/or SSI"/>
        <w:tblDescription w:val="The figures provided in this chart come from 2011 SSI/SSDI recipients, ages 18-65 data. Region 1 houses 11.9% of the State total of SSI/DI Recipients ages 18-65 and 18% of the DORS Office of Field Services counselors. Region 2 houses 12.8% of the State total of SSI/DI Recipients ages 18-65 and 14% of the DORS Office of Field Services counselors. Region 3 houses 24.4% of the State total of SSI/DI Recipients ages 18-65 and 18% of the DORS Office of Field Services counselors. Region 4  houses 8% of the State total of SSI/DI Recipients ages 18-65 and 9% of the DORS Office of Field Services counselors. Region 5 houses 23.6% of the State total of SSI/DI Recipients ages 18-65 and 20% of the DORS Office of Field Services counselors. Region 6 houses 19.3% of the State total of SSI/DI Recipients ages 18-65 and 22% of the DORS Office of Field Services counselors. "/>
      </w:tblPr>
      <w:tblGrid>
        <w:gridCol w:w="1188"/>
        <w:gridCol w:w="1980"/>
        <w:gridCol w:w="1980"/>
        <w:gridCol w:w="3510"/>
      </w:tblGrid>
      <w:tr w:rsidR="00541123" w:rsidRPr="004A0C12" w14:paraId="4278FE45" w14:textId="77777777" w:rsidTr="008B1D9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8658" w:type="dxa"/>
            <w:gridSpan w:val="4"/>
          </w:tcPr>
          <w:p w14:paraId="6A2E448C" w14:textId="3B6645C6" w:rsidR="00541123" w:rsidRPr="004A0C12" w:rsidRDefault="00541123" w:rsidP="00987BA0">
            <w:pPr>
              <w:jc w:val="center"/>
              <w:rPr>
                <w:rFonts w:ascii="Garamond" w:hAnsi="Garamond"/>
                <w:sz w:val="22"/>
                <w:szCs w:val="22"/>
              </w:rPr>
            </w:pPr>
            <w:r w:rsidRPr="004A0C12">
              <w:rPr>
                <w:rFonts w:ascii="Garamond" w:hAnsi="Garamond"/>
                <w:sz w:val="22"/>
                <w:szCs w:val="22"/>
              </w:rPr>
              <w:t xml:space="preserve">Distribution of Agency Staff Resources using Numbers of Recipients of SSDI and/or SSI </w:t>
            </w:r>
          </w:p>
          <w:p w14:paraId="0C08A39A" w14:textId="4415914F" w:rsidR="00541123" w:rsidRPr="004A0C12" w:rsidRDefault="00541123" w:rsidP="00541123">
            <w:pPr>
              <w:jc w:val="center"/>
              <w:rPr>
                <w:rFonts w:ascii="Garamond" w:hAnsi="Garamond"/>
                <w:i/>
                <w:sz w:val="22"/>
                <w:szCs w:val="22"/>
              </w:rPr>
            </w:pPr>
            <w:r w:rsidRPr="004A0C12">
              <w:rPr>
                <w:rFonts w:ascii="Garamond" w:hAnsi="Garamond"/>
                <w:i/>
                <w:sz w:val="22"/>
                <w:szCs w:val="22"/>
              </w:rPr>
              <w:t>Source: 2011 SSI/SSDI Recipients, ages 18-65</w:t>
            </w:r>
          </w:p>
        </w:tc>
      </w:tr>
      <w:tr w:rsidR="00541123" w:rsidRPr="004A0C12" w14:paraId="404E207C" w14:textId="77777777" w:rsidTr="00530F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8" w:type="dxa"/>
          </w:tcPr>
          <w:p w14:paraId="36BF872A" w14:textId="77777777" w:rsidR="00541123" w:rsidRPr="004A0C12" w:rsidRDefault="00541123" w:rsidP="00987BA0">
            <w:pPr>
              <w:jc w:val="center"/>
              <w:rPr>
                <w:rFonts w:ascii="Garamond" w:hAnsi="Garamond"/>
                <w:sz w:val="22"/>
                <w:szCs w:val="22"/>
              </w:rPr>
            </w:pPr>
            <w:r w:rsidRPr="004A0C12">
              <w:rPr>
                <w:rFonts w:ascii="Garamond" w:hAnsi="Garamond"/>
                <w:sz w:val="22"/>
                <w:szCs w:val="22"/>
              </w:rPr>
              <w:t>Region</w:t>
            </w:r>
          </w:p>
        </w:tc>
        <w:tc>
          <w:tcPr>
            <w:tcW w:w="1980" w:type="dxa"/>
          </w:tcPr>
          <w:p w14:paraId="6CB137E3" w14:textId="77777777" w:rsidR="00541123" w:rsidRPr="004A0C12" w:rsidRDefault="00541123" w:rsidP="00987BA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Counties</w:t>
            </w:r>
          </w:p>
        </w:tc>
        <w:tc>
          <w:tcPr>
            <w:tcW w:w="1980" w:type="dxa"/>
          </w:tcPr>
          <w:p w14:paraId="65B9F34D" w14:textId="1CDECDBC" w:rsidR="00541123" w:rsidRPr="004A0C12" w:rsidRDefault="00541123" w:rsidP="00541123">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State total of SSI/DI Recipients Ages 18-65</w:t>
            </w:r>
          </w:p>
        </w:tc>
        <w:tc>
          <w:tcPr>
            <w:tcW w:w="3510" w:type="dxa"/>
          </w:tcPr>
          <w:p w14:paraId="0AD2492E" w14:textId="77777777" w:rsidR="00541123" w:rsidRPr="004A0C12" w:rsidRDefault="00541123" w:rsidP="00987BA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DORS Office of Field Services counselors assigned to Region</w:t>
            </w:r>
          </w:p>
        </w:tc>
      </w:tr>
      <w:tr w:rsidR="00541123" w:rsidRPr="004A0C12" w14:paraId="12BC3A13" w14:textId="77777777" w:rsidTr="00530FA0">
        <w:trPr>
          <w:jc w:val="center"/>
        </w:trPr>
        <w:tc>
          <w:tcPr>
            <w:cnfStyle w:val="001000000000" w:firstRow="0" w:lastRow="0" w:firstColumn="1" w:lastColumn="0" w:oddVBand="0" w:evenVBand="0" w:oddHBand="0" w:evenHBand="0" w:firstRowFirstColumn="0" w:firstRowLastColumn="0" w:lastRowFirstColumn="0" w:lastRowLastColumn="0"/>
            <w:tcW w:w="1188" w:type="dxa"/>
          </w:tcPr>
          <w:p w14:paraId="1041066C" w14:textId="77777777" w:rsidR="00541123" w:rsidRPr="004A0C12" w:rsidRDefault="00541123" w:rsidP="00987BA0">
            <w:pPr>
              <w:jc w:val="both"/>
              <w:rPr>
                <w:rFonts w:ascii="Garamond" w:hAnsi="Garamond"/>
                <w:sz w:val="22"/>
                <w:szCs w:val="22"/>
              </w:rPr>
            </w:pPr>
            <w:r w:rsidRPr="004A0C12">
              <w:rPr>
                <w:rFonts w:ascii="Garamond" w:hAnsi="Garamond"/>
                <w:sz w:val="22"/>
                <w:szCs w:val="22"/>
              </w:rPr>
              <w:t>Region 1</w:t>
            </w:r>
          </w:p>
        </w:tc>
        <w:tc>
          <w:tcPr>
            <w:tcW w:w="1980" w:type="dxa"/>
          </w:tcPr>
          <w:p w14:paraId="29A01AC1" w14:textId="77777777"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Allegany</w:t>
            </w:r>
          </w:p>
          <w:p w14:paraId="7E2F1675" w14:textId="77777777"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Carroll</w:t>
            </w:r>
          </w:p>
          <w:p w14:paraId="6F7D771E" w14:textId="77777777"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Frederick</w:t>
            </w:r>
          </w:p>
          <w:p w14:paraId="3B4FBA67" w14:textId="77777777"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Garrett</w:t>
            </w:r>
          </w:p>
          <w:p w14:paraId="7CAEC8AC" w14:textId="77777777" w:rsidR="00541123" w:rsidRPr="004A0C12" w:rsidRDefault="0054112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Washington</w:t>
            </w:r>
          </w:p>
        </w:tc>
        <w:tc>
          <w:tcPr>
            <w:tcW w:w="1980" w:type="dxa"/>
          </w:tcPr>
          <w:p w14:paraId="585564B8" w14:textId="107FDBFE" w:rsidR="00541123" w:rsidRPr="004A0C12" w:rsidRDefault="0054112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11.9% </w:t>
            </w:r>
          </w:p>
        </w:tc>
        <w:tc>
          <w:tcPr>
            <w:tcW w:w="3510" w:type="dxa"/>
          </w:tcPr>
          <w:p w14:paraId="7E5B619A" w14:textId="77777777" w:rsidR="00541123" w:rsidRPr="004A0C12" w:rsidRDefault="0054112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r>
      <w:tr w:rsidR="00541123" w:rsidRPr="004A0C12" w14:paraId="25BE640A" w14:textId="77777777" w:rsidTr="00530F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8" w:type="dxa"/>
          </w:tcPr>
          <w:p w14:paraId="5A0C9862" w14:textId="77777777" w:rsidR="00541123" w:rsidRPr="004A0C12" w:rsidRDefault="00541123" w:rsidP="00987BA0">
            <w:pPr>
              <w:jc w:val="both"/>
              <w:rPr>
                <w:rFonts w:ascii="Garamond" w:hAnsi="Garamond"/>
                <w:sz w:val="22"/>
                <w:szCs w:val="22"/>
              </w:rPr>
            </w:pPr>
            <w:r w:rsidRPr="004A0C12">
              <w:rPr>
                <w:rFonts w:ascii="Garamond" w:hAnsi="Garamond"/>
                <w:sz w:val="22"/>
                <w:szCs w:val="22"/>
              </w:rPr>
              <w:t xml:space="preserve">Region 2 </w:t>
            </w:r>
          </w:p>
        </w:tc>
        <w:tc>
          <w:tcPr>
            <w:tcW w:w="1980" w:type="dxa"/>
          </w:tcPr>
          <w:p w14:paraId="303ECB42" w14:textId="77777777" w:rsidR="00541123" w:rsidRPr="004A0C12" w:rsidRDefault="0054112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Anne Arundel</w:t>
            </w:r>
          </w:p>
          <w:p w14:paraId="74086CC7" w14:textId="77777777" w:rsidR="00541123" w:rsidRPr="004A0C12" w:rsidRDefault="0054112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lastRenderedPageBreak/>
              <w:t>Calvert</w:t>
            </w:r>
          </w:p>
          <w:p w14:paraId="02420B47" w14:textId="77777777" w:rsidR="00541123" w:rsidRPr="004A0C12" w:rsidRDefault="0054112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Charles</w:t>
            </w:r>
          </w:p>
          <w:p w14:paraId="3AB7555F" w14:textId="77777777" w:rsidR="00541123" w:rsidRPr="004A0C12" w:rsidRDefault="0054112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St. Mary’s </w:t>
            </w:r>
          </w:p>
        </w:tc>
        <w:tc>
          <w:tcPr>
            <w:tcW w:w="1980" w:type="dxa"/>
          </w:tcPr>
          <w:p w14:paraId="2652E84B" w14:textId="14275E71" w:rsidR="00541123" w:rsidRPr="004A0C12" w:rsidRDefault="0054112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lastRenderedPageBreak/>
              <w:t>12.8%</w:t>
            </w:r>
          </w:p>
        </w:tc>
        <w:tc>
          <w:tcPr>
            <w:tcW w:w="3510" w:type="dxa"/>
          </w:tcPr>
          <w:p w14:paraId="69E588CF" w14:textId="77777777" w:rsidR="00541123" w:rsidRPr="004A0C12" w:rsidRDefault="0054112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14% </w:t>
            </w:r>
          </w:p>
        </w:tc>
      </w:tr>
      <w:tr w:rsidR="00541123" w:rsidRPr="004A0C12" w14:paraId="65B093FF" w14:textId="77777777" w:rsidTr="00530FA0">
        <w:trPr>
          <w:jc w:val="center"/>
        </w:trPr>
        <w:tc>
          <w:tcPr>
            <w:cnfStyle w:val="001000000000" w:firstRow="0" w:lastRow="0" w:firstColumn="1" w:lastColumn="0" w:oddVBand="0" w:evenVBand="0" w:oddHBand="0" w:evenHBand="0" w:firstRowFirstColumn="0" w:firstRowLastColumn="0" w:lastRowFirstColumn="0" w:lastRowLastColumn="0"/>
            <w:tcW w:w="1188" w:type="dxa"/>
          </w:tcPr>
          <w:p w14:paraId="14108A42" w14:textId="77777777" w:rsidR="00541123" w:rsidRPr="004A0C12" w:rsidRDefault="00541123" w:rsidP="00987BA0">
            <w:pPr>
              <w:jc w:val="both"/>
              <w:rPr>
                <w:rFonts w:ascii="Garamond" w:hAnsi="Garamond"/>
                <w:sz w:val="22"/>
                <w:szCs w:val="22"/>
              </w:rPr>
            </w:pPr>
            <w:r w:rsidRPr="004A0C12">
              <w:rPr>
                <w:rFonts w:ascii="Garamond" w:hAnsi="Garamond"/>
                <w:sz w:val="22"/>
                <w:szCs w:val="22"/>
              </w:rPr>
              <w:lastRenderedPageBreak/>
              <w:t>Region 3</w:t>
            </w:r>
          </w:p>
        </w:tc>
        <w:tc>
          <w:tcPr>
            <w:tcW w:w="1980" w:type="dxa"/>
          </w:tcPr>
          <w:p w14:paraId="5994C969" w14:textId="77777777" w:rsidR="00541123" w:rsidRPr="004A0C12" w:rsidRDefault="0054112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Baltimore City</w:t>
            </w:r>
          </w:p>
        </w:tc>
        <w:tc>
          <w:tcPr>
            <w:tcW w:w="1980" w:type="dxa"/>
          </w:tcPr>
          <w:p w14:paraId="3BFFAD44" w14:textId="2A876AD5" w:rsidR="00541123" w:rsidRPr="004A0C12" w:rsidRDefault="0054112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24.4%</w:t>
            </w:r>
          </w:p>
        </w:tc>
        <w:tc>
          <w:tcPr>
            <w:tcW w:w="3510" w:type="dxa"/>
          </w:tcPr>
          <w:p w14:paraId="5012360E" w14:textId="77777777" w:rsidR="00541123" w:rsidRPr="004A0C12" w:rsidRDefault="0054112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r>
      <w:tr w:rsidR="00541123" w:rsidRPr="004A0C12" w14:paraId="0F3178A2" w14:textId="77777777" w:rsidTr="00530F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8" w:type="dxa"/>
          </w:tcPr>
          <w:p w14:paraId="422A8078" w14:textId="77777777" w:rsidR="00541123" w:rsidRPr="004A0C12" w:rsidRDefault="00541123" w:rsidP="00987BA0">
            <w:pPr>
              <w:jc w:val="both"/>
              <w:rPr>
                <w:rFonts w:ascii="Garamond" w:hAnsi="Garamond"/>
                <w:sz w:val="22"/>
                <w:szCs w:val="22"/>
              </w:rPr>
            </w:pPr>
            <w:r w:rsidRPr="004A0C12">
              <w:rPr>
                <w:rFonts w:ascii="Garamond" w:hAnsi="Garamond"/>
                <w:sz w:val="22"/>
                <w:szCs w:val="22"/>
              </w:rPr>
              <w:t>Region 4</w:t>
            </w:r>
          </w:p>
        </w:tc>
        <w:tc>
          <w:tcPr>
            <w:tcW w:w="1980" w:type="dxa"/>
          </w:tcPr>
          <w:p w14:paraId="738F4578"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Caroline </w:t>
            </w:r>
          </w:p>
          <w:p w14:paraId="5A69108B"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Cecil</w:t>
            </w:r>
          </w:p>
          <w:p w14:paraId="0BAC7965"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Dorchester</w:t>
            </w:r>
          </w:p>
          <w:p w14:paraId="72B9C372"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Kent</w:t>
            </w:r>
          </w:p>
          <w:p w14:paraId="5B8BEF9D"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Queen Anne’s</w:t>
            </w:r>
          </w:p>
          <w:p w14:paraId="227435F9"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Somerset</w:t>
            </w:r>
          </w:p>
          <w:p w14:paraId="5F47666D"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Talbot</w:t>
            </w:r>
          </w:p>
          <w:p w14:paraId="51313CB0"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Wicomico</w:t>
            </w:r>
          </w:p>
          <w:p w14:paraId="68F204A7" w14:textId="77777777" w:rsidR="00541123" w:rsidRPr="004A0C12" w:rsidRDefault="0054112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Worcester</w:t>
            </w:r>
          </w:p>
        </w:tc>
        <w:tc>
          <w:tcPr>
            <w:tcW w:w="1980" w:type="dxa"/>
          </w:tcPr>
          <w:p w14:paraId="27A956E8" w14:textId="17B378AF" w:rsidR="00541123" w:rsidRPr="004A0C12" w:rsidRDefault="00D466F8"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8%</w:t>
            </w:r>
          </w:p>
        </w:tc>
        <w:tc>
          <w:tcPr>
            <w:tcW w:w="3510" w:type="dxa"/>
          </w:tcPr>
          <w:p w14:paraId="5CF71D72" w14:textId="77777777" w:rsidR="00541123" w:rsidRPr="004A0C12" w:rsidRDefault="0054112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9% </w:t>
            </w:r>
          </w:p>
        </w:tc>
      </w:tr>
      <w:tr w:rsidR="00541123" w:rsidRPr="004A0C12" w14:paraId="26198E2C" w14:textId="77777777" w:rsidTr="00530FA0">
        <w:trPr>
          <w:jc w:val="center"/>
        </w:trPr>
        <w:tc>
          <w:tcPr>
            <w:cnfStyle w:val="001000000000" w:firstRow="0" w:lastRow="0" w:firstColumn="1" w:lastColumn="0" w:oddVBand="0" w:evenVBand="0" w:oddHBand="0" w:evenHBand="0" w:firstRowFirstColumn="0" w:firstRowLastColumn="0" w:lastRowFirstColumn="0" w:lastRowLastColumn="0"/>
            <w:tcW w:w="1188" w:type="dxa"/>
          </w:tcPr>
          <w:p w14:paraId="77ED86A3" w14:textId="77777777" w:rsidR="00541123" w:rsidRPr="004A0C12" w:rsidRDefault="00541123" w:rsidP="00987BA0">
            <w:pPr>
              <w:jc w:val="both"/>
              <w:rPr>
                <w:rFonts w:ascii="Garamond" w:hAnsi="Garamond"/>
                <w:sz w:val="22"/>
                <w:szCs w:val="22"/>
              </w:rPr>
            </w:pPr>
            <w:r w:rsidRPr="004A0C12">
              <w:rPr>
                <w:rFonts w:ascii="Garamond" w:hAnsi="Garamond"/>
                <w:sz w:val="22"/>
                <w:szCs w:val="22"/>
              </w:rPr>
              <w:t>Region 5</w:t>
            </w:r>
          </w:p>
        </w:tc>
        <w:tc>
          <w:tcPr>
            <w:tcW w:w="1980" w:type="dxa"/>
          </w:tcPr>
          <w:p w14:paraId="6E53065C" w14:textId="77777777" w:rsidR="00541123" w:rsidRPr="004A0C12" w:rsidRDefault="0054112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Baltimore Co.</w:t>
            </w:r>
          </w:p>
          <w:p w14:paraId="0227EDE3" w14:textId="77777777" w:rsidR="00541123" w:rsidRPr="004A0C12" w:rsidRDefault="0054112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Harford</w:t>
            </w:r>
          </w:p>
          <w:p w14:paraId="50DDD7AF" w14:textId="77777777" w:rsidR="00541123" w:rsidRPr="004A0C12" w:rsidRDefault="0054112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Howard</w:t>
            </w:r>
          </w:p>
        </w:tc>
        <w:tc>
          <w:tcPr>
            <w:tcW w:w="1980" w:type="dxa"/>
          </w:tcPr>
          <w:p w14:paraId="69A83395" w14:textId="5B2994DC" w:rsidR="00541123" w:rsidRPr="004A0C12" w:rsidRDefault="00D466F8"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23.6%</w:t>
            </w:r>
          </w:p>
        </w:tc>
        <w:tc>
          <w:tcPr>
            <w:tcW w:w="3510" w:type="dxa"/>
          </w:tcPr>
          <w:p w14:paraId="64A842DA" w14:textId="77777777" w:rsidR="00541123" w:rsidRPr="004A0C12" w:rsidRDefault="0054112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w:t>
            </w:r>
          </w:p>
        </w:tc>
      </w:tr>
      <w:tr w:rsidR="00541123" w:rsidRPr="004A0C12" w14:paraId="0819D29D" w14:textId="77777777" w:rsidTr="00530F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8" w:type="dxa"/>
          </w:tcPr>
          <w:p w14:paraId="3D6FF3D1" w14:textId="77777777" w:rsidR="00541123" w:rsidRPr="004A0C12" w:rsidRDefault="00541123" w:rsidP="00987BA0">
            <w:pPr>
              <w:jc w:val="both"/>
              <w:rPr>
                <w:rFonts w:ascii="Garamond" w:hAnsi="Garamond"/>
                <w:sz w:val="22"/>
                <w:szCs w:val="22"/>
              </w:rPr>
            </w:pPr>
            <w:r w:rsidRPr="004A0C12">
              <w:rPr>
                <w:rFonts w:ascii="Garamond" w:hAnsi="Garamond"/>
                <w:sz w:val="22"/>
                <w:szCs w:val="22"/>
              </w:rPr>
              <w:t>Region 6</w:t>
            </w:r>
          </w:p>
        </w:tc>
        <w:tc>
          <w:tcPr>
            <w:tcW w:w="1980" w:type="dxa"/>
          </w:tcPr>
          <w:p w14:paraId="0AE97DDC" w14:textId="77777777" w:rsidR="00541123" w:rsidRPr="004A0C12" w:rsidRDefault="00541123" w:rsidP="00232F09">
            <w:pPr>
              <w:pStyle w:val="ListParagraph"/>
              <w:numPr>
                <w:ilvl w:val="0"/>
                <w:numId w:val="227"/>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Montgomery </w:t>
            </w:r>
          </w:p>
          <w:p w14:paraId="3A8E07BC" w14:textId="77777777" w:rsidR="00541123" w:rsidRPr="004A0C12" w:rsidRDefault="00541123" w:rsidP="00232F09">
            <w:pPr>
              <w:pStyle w:val="ListParagraph"/>
              <w:numPr>
                <w:ilvl w:val="0"/>
                <w:numId w:val="227"/>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Prince George’s  </w:t>
            </w:r>
          </w:p>
        </w:tc>
        <w:tc>
          <w:tcPr>
            <w:tcW w:w="1980" w:type="dxa"/>
          </w:tcPr>
          <w:p w14:paraId="75CB9494" w14:textId="65409A1B" w:rsidR="00541123" w:rsidRPr="004A0C12" w:rsidRDefault="00D466F8"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19.3%</w:t>
            </w:r>
          </w:p>
        </w:tc>
        <w:tc>
          <w:tcPr>
            <w:tcW w:w="3510" w:type="dxa"/>
          </w:tcPr>
          <w:p w14:paraId="65945F53" w14:textId="77777777" w:rsidR="00541123" w:rsidRPr="004A0C12" w:rsidRDefault="0054112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22% </w:t>
            </w:r>
          </w:p>
        </w:tc>
      </w:tr>
    </w:tbl>
    <w:p w14:paraId="24B2D8A3" w14:textId="77777777" w:rsidR="007A1FDC" w:rsidRPr="004A0C12" w:rsidRDefault="007A1FDC" w:rsidP="007A1FDC">
      <w:pPr>
        <w:spacing w:after="0" w:line="240" w:lineRule="auto"/>
        <w:jc w:val="both"/>
        <w:rPr>
          <w:rFonts w:ascii="Garamond" w:hAnsi="Garamond"/>
        </w:rPr>
      </w:pPr>
    </w:p>
    <w:p w14:paraId="7C2DAD71" w14:textId="347B556A" w:rsidR="007A1FDC" w:rsidRPr="004A0C12" w:rsidRDefault="007A1FDC" w:rsidP="007A1FDC">
      <w:pPr>
        <w:spacing w:after="0" w:line="240" w:lineRule="auto"/>
        <w:jc w:val="both"/>
        <w:rPr>
          <w:rFonts w:ascii="Garamond" w:hAnsi="Garamond"/>
        </w:rPr>
      </w:pPr>
      <w:r w:rsidRPr="004A0C12">
        <w:rPr>
          <w:rFonts w:ascii="Garamond" w:hAnsi="Garamond"/>
        </w:rPr>
        <w:t>Discussion: This data suggests that Western Maryla</w:t>
      </w:r>
      <w:r w:rsidR="00D466F8" w:rsidRPr="004A0C12">
        <w:rPr>
          <w:rFonts w:ascii="Garamond" w:hAnsi="Garamond"/>
        </w:rPr>
        <w:t>nd (Region 1) may have an oversupply of Office of Field Services counselors compar</w:t>
      </w:r>
      <w:r w:rsidRPr="004A0C12">
        <w:rPr>
          <w:rFonts w:ascii="Garamond" w:hAnsi="Garamond"/>
        </w:rPr>
        <w:t>ed to Baltimore City and Central Maryland.</w:t>
      </w:r>
    </w:p>
    <w:p w14:paraId="22EC4E28" w14:textId="77777777" w:rsidR="00920FE3" w:rsidRPr="004A0C12" w:rsidRDefault="00920FE3" w:rsidP="007A1FDC">
      <w:pPr>
        <w:spacing w:after="0" w:line="240" w:lineRule="auto"/>
        <w:jc w:val="both"/>
        <w:rPr>
          <w:rFonts w:ascii="Garamond" w:hAnsi="Garamond"/>
        </w:rPr>
      </w:pPr>
    </w:p>
    <w:tbl>
      <w:tblPr>
        <w:tblStyle w:val="PlainTable11"/>
        <w:tblW w:w="10818" w:type="dxa"/>
        <w:tblLayout w:type="fixed"/>
        <w:tblLook w:val="04A0" w:firstRow="1" w:lastRow="0" w:firstColumn="1" w:lastColumn="0" w:noHBand="0" w:noVBand="1"/>
        <w:tblCaption w:val="Distribution of Agency Staff Resources using Data on Students in Special Education "/>
        <w:tblDescription w:val="The data provided in this chart comes from the Maryland State Department of Education 2011 Student Census, Grades 7-12. Region 1 has 865 students enrolled in special education, 11.3% of the State total of Special Education Students and 18% of DORS Office of Field Services counselors. Region 2 has 1,031 students enrolled in special education, 13.4% of the State total of Special Education Students and 14% of DORS Office of Field Services counselors. Region 3 has 1,042 students enrolled in special education, 13.6% of the State total of Special Education Students and 18% of DORS Office of Field Services counselors. Region 4 has 588 students enrolled in special education, 7.7% of the State total of Special Education Students and 9% of DORS Office of Field Services counselors. Region 5 has 1,721 students enrolled in special education, 22.4% of the State total of Special Education Students and 20% of DORS Office of Field Services counselors. Region 6 has 2,375 students enrolled in special education, 31% of the State total of Special Education Students and 22% of DORS Office of Field Services counselors. "/>
      </w:tblPr>
      <w:tblGrid>
        <w:gridCol w:w="1188"/>
        <w:gridCol w:w="1980"/>
        <w:gridCol w:w="1800"/>
        <w:gridCol w:w="2610"/>
        <w:gridCol w:w="3240"/>
      </w:tblGrid>
      <w:tr w:rsidR="00920FE3" w:rsidRPr="004A0C12" w14:paraId="40EA3FE9" w14:textId="77777777" w:rsidTr="008B1D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818" w:type="dxa"/>
            <w:gridSpan w:val="5"/>
          </w:tcPr>
          <w:p w14:paraId="4B8D8075" w14:textId="41900566" w:rsidR="00920FE3" w:rsidRPr="004A0C12" w:rsidRDefault="00920FE3" w:rsidP="00987BA0">
            <w:pPr>
              <w:jc w:val="center"/>
              <w:rPr>
                <w:rFonts w:ascii="Garamond" w:hAnsi="Garamond"/>
                <w:sz w:val="22"/>
                <w:szCs w:val="22"/>
              </w:rPr>
            </w:pPr>
            <w:r w:rsidRPr="004A0C12">
              <w:rPr>
                <w:rFonts w:ascii="Garamond" w:hAnsi="Garamond"/>
                <w:sz w:val="22"/>
                <w:szCs w:val="22"/>
              </w:rPr>
              <w:t>Distribution of Agency Staff Resources using Data on Students in Special Education</w:t>
            </w:r>
          </w:p>
          <w:p w14:paraId="5CC872F4" w14:textId="77777777" w:rsidR="00920FE3" w:rsidRPr="004A0C12" w:rsidRDefault="00920FE3" w:rsidP="00987BA0">
            <w:pPr>
              <w:jc w:val="center"/>
              <w:rPr>
                <w:rFonts w:ascii="Garamond" w:hAnsi="Garamond"/>
                <w:sz w:val="22"/>
                <w:szCs w:val="22"/>
              </w:rPr>
            </w:pPr>
          </w:p>
          <w:p w14:paraId="0E85DFE0" w14:textId="18A3BE4E" w:rsidR="00920FE3" w:rsidRPr="004A0C12" w:rsidRDefault="00920FE3" w:rsidP="00920FE3">
            <w:pPr>
              <w:jc w:val="center"/>
              <w:rPr>
                <w:rFonts w:ascii="Garamond" w:hAnsi="Garamond"/>
                <w:i/>
                <w:sz w:val="22"/>
                <w:szCs w:val="22"/>
              </w:rPr>
            </w:pPr>
            <w:r w:rsidRPr="004A0C12">
              <w:rPr>
                <w:rFonts w:ascii="Garamond" w:hAnsi="Garamond"/>
                <w:i/>
                <w:sz w:val="22"/>
                <w:szCs w:val="22"/>
              </w:rPr>
              <w:t>Source: Maryland State Department of Education 2011 Student Census, Grades 7-12 http://mdideareport.org/SupportingDocuments/MDSpecialEducationEarlyInterventionCensusDataRelatedTables.pdf</w:t>
            </w:r>
          </w:p>
        </w:tc>
      </w:tr>
      <w:tr w:rsidR="00920FE3" w:rsidRPr="004A0C12" w14:paraId="64525641"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75A29593" w14:textId="77777777" w:rsidR="00920FE3" w:rsidRPr="004A0C12" w:rsidRDefault="00920FE3" w:rsidP="00987BA0">
            <w:pPr>
              <w:jc w:val="center"/>
              <w:rPr>
                <w:rFonts w:ascii="Garamond" w:hAnsi="Garamond"/>
                <w:sz w:val="22"/>
                <w:szCs w:val="22"/>
              </w:rPr>
            </w:pPr>
            <w:r w:rsidRPr="004A0C12">
              <w:rPr>
                <w:rFonts w:ascii="Garamond" w:hAnsi="Garamond"/>
                <w:sz w:val="22"/>
                <w:szCs w:val="22"/>
              </w:rPr>
              <w:t>Region</w:t>
            </w:r>
          </w:p>
        </w:tc>
        <w:tc>
          <w:tcPr>
            <w:tcW w:w="1980" w:type="dxa"/>
          </w:tcPr>
          <w:p w14:paraId="795110A0" w14:textId="77777777" w:rsidR="00920FE3" w:rsidRPr="004A0C12" w:rsidRDefault="00920FE3" w:rsidP="00987BA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Counties</w:t>
            </w:r>
          </w:p>
        </w:tc>
        <w:tc>
          <w:tcPr>
            <w:tcW w:w="1800" w:type="dxa"/>
          </w:tcPr>
          <w:p w14:paraId="3DAEC1FF" w14:textId="77777777" w:rsidR="00920FE3" w:rsidRPr="004A0C12" w:rsidRDefault="00920FE3" w:rsidP="00920FE3">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 of Students in </w:t>
            </w:r>
          </w:p>
          <w:p w14:paraId="35F7BD71" w14:textId="745530C5" w:rsidR="00920FE3" w:rsidRPr="004A0C12" w:rsidRDefault="00920FE3" w:rsidP="00920FE3">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Special Education </w:t>
            </w:r>
          </w:p>
        </w:tc>
        <w:tc>
          <w:tcPr>
            <w:tcW w:w="2610" w:type="dxa"/>
          </w:tcPr>
          <w:p w14:paraId="7C2B6081" w14:textId="033CED4E" w:rsidR="00920FE3" w:rsidRPr="004A0C12" w:rsidRDefault="00920FE3" w:rsidP="00987BA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State total of Special Education Students</w:t>
            </w:r>
          </w:p>
        </w:tc>
        <w:tc>
          <w:tcPr>
            <w:tcW w:w="3240" w:type="dxa"/>
          </w:tcPr>
          <w:p w14:paraId="27222781" w14:textId="77777777" w:rsidR="00920FE3" w:rsidRPr="004A0C12" w:rsidRDefault="00920FE3" w:rsidP="00987BA0">
            <w:pPr>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of DORS Office of Field Services counselors assigned to Region</w:t>
            </w:r>
          </w:p>
        </w:tc>
      </w:tr>
      <w:tr w:rsidR="00920FE3" w:rsidRPr="004A0C12" w14:paraId="1135F363" w14:textId="77777777" w:rsidTr="00530FA0">
        <w:tc>
          <w:tcPr>
            <w:cnfStyle w:val="001000000000" w:firstRow="0" w:lastRow="0" w:firstColumn="1" w:lastColumn="0" w:oddVBand="0" w:evenVBand="0" w:oddHBand="0" w:evenHBand="0" w:firstRowFirstColumn="0" w:firstRowLastColumn="0" w:lastRowFirstColumn="0" w:lastRowLastColumn="0"/>
            <w:tcW w:w="1188" w:type="dxa"/>
          </w:tcPr>
          <w:p w14:paraId="45C3E603" w14:textId="1A1F55B4" w:rsidR="00920FE3" w:rsidRPr="004A0C12" w:rsidRDefault="00920FE3" w:rsidP="00987BA0">
            <w:pPr>
              <w:jc w:val="both"/>
              <w:rPr>
                <w:rFonts w:ascii="Garamond" w:hAnsi="Garamond"/>
                <w:sz w:val="22"/>
                <w:szCs w:val="22"/>
              </w:rPr>
            </w:pPr>
            <w:r w:rsidRPr="004A0C12">
              <w:rPr>
                <w:rFonts w:ascii="Garamond" w:hAnsi="Garamond"/>
                <w:sz w:val="22"/>
                <w:szCs w:val="22"/>
              </w:rPr>
              <w:t>Region 1:</w:t>
            </w:r>
          </w:p>
        </w:tc>
        <w:tc>
          <w:tcPr>
            <w:tcW w:w="1980" w:type="dxa"/>
          </w:tcPr>
          <w:p w14:paraId="075BD83C" w14:textId="77777777" w:rsidR="00920FE3" w:rsidRPr="004A0C12" w:rsidRDefault="00920FE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Allegany</w:t>
            </w:r>
          </w:p>
          <w:p w14:paraId="698332C9" w14:textId="77777777" w:rsidR="00920FE3" w:rsidRPr="004A0C12" w:rsidRDefault="00920FE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Carroll</w:t>
            </w:r>
          </w:p>
          <w:p w14:paraId="694043AD" w14:textId="77777777" w:rsidR="00920FE3" w:rsidRPr="004A0C12" w:rsidRDefault="00920FE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Frederick</w:t>
            </w:r>
          </w:p>
          <w:p w14:paraId="61712AF3" w14:textId="77777777" w:rsidR="00920FE3" w:rsidRPr="004A0C12" w:rsidRDefault="00920FE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Garrett</w:t>
            </w:r>
          </w:p>
          <w:p w14:paraId="4D8983B8" w14:textId="77777777" w:rsidR="00920FE3" w:rsidRPr="004A0C12" w:rsidRDefault="00920FE3" w:rsidP="00232F09">
            <w:pPr>
              <w:pStyle w:val="ListParagraph"/>
              <w:numPr>
                <w:ilvl w:val="0"/>
                <w:numId w:val="224"/>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Washington</w:t>
            </w:r>
          </w:p>
        </w:tc>
        <w:tc>
          <w:tcPr>
            <w:tcW w:w="1800" w:type="dxa"/>
          </w:tcPr>
          <w:p w14:paraId="2F8F02B6" w14:textId="25C789A8" w:rsidR="00920FE3" w:rsidRPr="004A0C12" w:rsidRDefault="00920FE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865</w:t>
            </w:r>
          </w:p>
        </w:tc>
        <w:tc>
          <w:tcPr>
            <w:tcW w:w="2610" w:type="dxa"/>
          </w:tcPr>
          <w:p w14:paraId="1C67C3EE" w14:textId="72F8C25A" w:rsidR="00920FE3" w:rsidRPr="004A0C12" w:rsidRDefault="00920FE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11.3%</w:t>
            </w:r>
          </w:p>
        </w:tc>
        <w:tc>
          <w:tcPr>
            <w:tcW w:w="3240" w:type="dxa"/>
          </w:tcPr>
          <w:p w14:paraId="53D443B2" w14:textId="77777777" w:rsidR="00920FE3" w:rsidRPr="004A0C12" w:rsidRDefault="00920FE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r>
      <w:tr w:rsidR="00920FE3" w:rsidRPr="004A0C12" w14:paraId="55F04F7C"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5DC6C9C5" w14:textId="77777777" w:rsidR="00920FE3" w:rsidRPr="004A0C12" w:rsidRDefault="00920FE3" w:rsidP="00987BA0">
            <w:pPr>
              <w:jc w:val="both"/>
              <w:rPr>
                <w:rFonts w:ascii="Garamond" w:hAnsi="Garamond"/>
                <w:sz w:val="22"/>
                <w:szCs w:val="22"/>
              </w:rPr>
            </w:pPr>
            <w:r w:rsidRPr="004A0C12">
              <w:rPr>
                <w:rFonts w:ascii="Garamond" w:hAnsi="Garamond"/>
                <w:sz w:val="22"/>
                <w:szCs w:val="22"/>
              </w:rPr>
              <w:t xml:space="preserve">Region 2 </w:t>
            </w:r>
          </w:p>
        </w:tc>
        <w:tc>
          <w:tcPr>
            <w:tcW w:w="1980" w:type="dxa"/>
          </w:tcPr>
          <w:p w14:paraId="2E377C3C" w14:textId="77777777" w:rsidR="00920FE3" w:rsidRPr="004A0C12" w:rsidRDefault="00920FE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Anne Arundel</w:t>
            </w:r>
          </w:p>
          <w:p w14:paraId="21A5D254" w14:textId="77777777" w:rsidR="00920FE3" w:rsidRPr="004A0C12" w:rsidRDefault="00920FE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Calvert</w:t>
            </w:r>
          </w:p>
          <w:p w14:paraId="7182B3C2" w14:textId="77777777" w:rsidR="00920FE3" w:rsidRPr="004A0C12" w:rsidRDefault="00920FE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Charles</w:t>
            </w:r>
          </w:p>
          <w:p w14:paraId="3E37121D" w14:textId="77777777" w:rsidR="00920FE3" w:rsidRPr="004A0C12" w:rsidRDefault="00920FE3" w:rsidP="00232F09">
            <w:pPr>
              <w:pStyle w:val="ListParagraph"/>
              <w:numPr>
                <w:ilvl w:val="0"/>
                <w:numId w:val="225"/>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St. Mary’s </w:t>
            </w:r>
          </w:p>
        </w:tc>
        <w:tc>
          <w:tcPr>
            <w:tcW w:w="1800" w:type="dxa"/>
          </w:tcPr>
          <w:p w14:paraId="61BEA6F1" w14:textId="4C44EC1C" w:rsidR="00920FE3" w:rsidRPr="004A0C12" w:rsidRDefault="00920FE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1,031</w:t>
            </w:r>
          </w:p>
        </w:tc>
        <w:tc>
          <w:tcPr>
            <w:tcW w:w="2610" w:type="dxa"/>
          </w:tcPr>
          <w:p w14:paraId="6A176588" w14:textId="0B22B9EE" w:rsidR="00920FE3" w:rsidRPr="004A0C12" w:rsidRDefault="00920FE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13.4%</w:t>
            </w:r>
          </w:p>
        </w:tc>
        <w:tc>
          <w:tcPr>
            <w:tcW w:w="3240" w:type="dxa"/>
          </w:tcPr>
          <w:p w14:paraId="1E9F0786" w14:textId="77777777" w:rsidR="00920FE3" w:rsidRPr="004A0C12" w:rsidRDefault="00920FE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14% </w:t>
            </w:r>
          </w:p>
        </w:tc>
      </w:tr>
      <w:tr w:rsidR="00920FE3" w:rsidRPr="004A0C12" w14:paraId="46F14979" w14:textId="77777777" w:rsidTr="00530FA0">
        <w:tc>
          <w:tcPr>
            <w:cnfStyle w:val="001000000000" w:firstRow="0" w:lastRow="0" w:firstColumn="1" w:lastColumn="0" w:oddVBand="0" w:evenVBand="0" w:oddHBand="0" w:evenHBand="0" w:firstRowFirstColumn="0" w:firstRowLastColumn="0" w:lastRowFirstColumn="0" w:lastRowLastColumn="0"/>
            <w:tcW w:w="1188" w:type="dxa"/>
          </w:tcPr>
          <w:p w14:paraId="7F261D89" w14:textId="77777777" w:rsidR="00920FE3" w:rsidRPr="004A0C12" w:rsidRDefault="00920FE3" w:rsidP="00987BA0">
            <w:pPr>
              <w:jc w:val="both"/>
              <w:rPr>
                <w:rFonts w:ascii="Garamond" w:hAnsi="Garamond"/>
                <w:sz w:val="22"/>
                <w:szCs w:val="22"/>
              </w:rPr>
            </w:pPr>
            <w:r w:rsidRPr="004A0C12">
              <w:rPr>
                <w:rFonts w:ascii="Garamond" w:hAnsi="Garamond"/>
                <w:sz w:val="22"/>
                <w:szCs w:val="22"/>
              </w:rPr>
              <w:t>Region 3</w:t>
            </w:r>
          </w:p>
        </w:tc>
        <w:tc>
          <w:tcPr>
            <w:tcW w:w="1980" w:type="dxa"/>
          </w:tcPr>
          <w:p w14:paraId="74481AA2" w14:textId="77777777" w:rsidR="00920FE3" w:rsidRPr="004A0C12" w:rsidRDefault="00920FE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Baltimore City</w:t>
            </w:r>
          </w:p>
        </w:tc>
        <w:tc>
          <w:tcPr>
            <w:tcW w:w="1800" w:type="dxa"/>
          </w:tcPr>
          <w:p w14:paraId="0D32C173" w14:textId="4E438513" w:rsidR="00920FE3" w:rsidRPr="004A0C12" w:rsidRDefault="00920FE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1,042</w:t>
            </w:r>
          </w:p>
        </w:tc>
        <w:tc>
          <w:tcPr>
            <w:tcW w:w="2610" w:type="dxa"/>
          </w:tcPr>
          <w:p w14:paraId="6F341158" w14:textId="0F550ACA" w:rsidR="00920FE3" w:rsidRPr="004A0C12" w:rsidRDefault="00920FE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13.6%</w:t>
            </w:r>
          </w:p>
        </w:tc>
        <w:tc>
          <w:tcPr>
            <w:tcW w:w="3240" w:type="dxa"/>
          </w:tcPr>
          <w:p w14:paraId="3B8A627E" w14:textId="77777777" w:rsidR="00920FE3" w:rsidRPr="004A0C12" w:rsidRDefault="00920FE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r>
      <w:tr w:rsidR="00920FE3" w:rsidRPr="004A0C12" w14:paraId="4580333B"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319C8EA9" w14:textId="77777777" w:rsidR="00920FE3" w:rsidRPr="004A0C12" w:rsidRDefault="00920FE3" w:rsidP="00987BA0">
            <w:pPr>
              <w:jc w:val="both"/>
              <w:rPr>
                <w:rFonts w:ascii="Garamond" w:hAnsi="Garamond"/>
                <w:sz w:val="22"/>
                <w:szCs w:val="22"/>
              </w:rPr>
            </w:pPr>
            <w:r w:rsidRPr="004A0C12">
              <w:rPr>
                <w:rFonts w:ascii="Garamond" w:hAnsi="Garamond"/>
                <w:sz w:val="22"/>
                <w:szCs w:val="22"/>
              </w:rPr>
              <w:t>Region 4</w:t>
            </w:r>
          </w:p>
        </w:tc>
        <w:tc>
          <w:tcPr>
            <w:tcW w:w="1980" w:type="dxa"/>
          </w:tcPr>
          <w:p w14:paraId="5E19ABDB" w14:textId="77777777" w:rsidR="00920FE3" w:rsidRPr="004A0C12" w:rsidRDefault="00920FE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Caroline </w:t>
            </w:r>
          </w:p>
          <w:p w14:paraId="19E2CED2" w14:textId="77777777" w:rsidR="00920FE3" w:rsidRPr="004A0C12" w:rsidRDefault="00920FE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Cecil</w:t>
            </w:r>
          </w:p>
          <w:p w14:paraId="2D251519" w14:textId="77777777" w:rsidR="00920FE3" w:rsidRPr="004A0C12" w:rsidRDefault="00920FE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Dorchester</w:t>
            </w:r>
          </w:p>
          <w:p w14:paraId="02A72C83" w14:textId="77777777" w:rsidR="00920FE3" w:rsidRPr="004A0C12" w:rsidRDefault="00920FE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Kent</w:t>
            </w:r>
          </w:p>
          <w:p w14:paraId="62635B8E" w14:textId="77777777" w:rsidR="00920FE3" w:rsidRPr="004A0C12" w:rsidRDefault="00920FE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Queen Anne’s</w:t>
            </w:r>
          </w:p>
          <w:p w14:paraId="18BC38BF" w14:textId="77777777" w:rsidR="00920FE3" w:rsidRPr="004A0C12" w:rsidRDefault="00920FE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lastRenderedPageBreak/>
              <w:t>Somerset</w:t>
            </w:r>
          </w:p>
          <w:p w14:paraId="07D9BFEC" w14:textId="77777777" w:rsidR="00920FE3" w:rsidRPr="004A0C12" w:rsidRDefault="00920FE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Talbot</w:t>
            </w:r>
          </w:p>
          <w:p w14:paraId="47A46D9E" w14:textId="77777777" w:rsidR="00920FE3" w:rsidRPr="004A0C12" w:rsidRDefault="00920FE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Wicomico</w:t>
            </w:r>
          </w:p>
          <w:p w14:paraId="0A0E18AC" w14:textId="77777777" w:rsidR="00920FE3" w:rsidRPr="004A0C12" w:rsidRDefault="00920FE3" w:rsidP="00232F09">
            <w:pPr>
              <w:pStyle w:val="ListParagraph"/>
              <w:numPr>
                <w:ilvl w:val="0"/>
                <w:numId w:val="226"/>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Worcester</w:t>
            </w:r>
          </w:p>
        </w:tc>
        <w:tc>
          <w:tcPr>
            <w:tcW w:w="1800" w:type="dxa"/>
          </w:tcPr>
          <w:p w14:paraId="59D542E5" w14:textId="4C8B958A" w:rsidR="00920FE3" w:rsidRPr="004A0C12" w:rsidRDefault="00920FE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lastRenderedPageBreak/>
              <w:t>588</w:t>
            </w:r>
          </w:p>
        </w:tc>
        <w:tc>
          <w:tcPr>
            <w:tcW w:w="2610" w:type="dxa"/>
          </w:tcPr>
          <w:p w14:paraId="65741ECF" w14:textId="21F4A4C7" w:rsidR="00920FE3" w:rsidRPr="004A0C12" w:rsidRDefault="00920FE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7.7%</w:t>
            </w:r>
          </w:p>
        </w:tc>
        <w:tc>
          <w:tcPr>
            <w:tcW w:w="3240" w:type="dxa"/>
          </w:tcPr>
          <w:p w14:paraId="32CEE050" w14:textId="77777777" w:rsidR="00920FE3" w:rsidRPr="004A0C12" w:rsidRDefault="00920FE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9% </w:t>
            </w:r>
          </w:p>
        </w:tc>
      </w:tr>
      <w:tr w:rsidR="00920FE3" w:rsidRPr="004A0C12" w14:paraId="3E2AEED9" w14:textId="77777777" w:rsidTr="00530FA0">
        <w:tc>
          <w:tcPr>
            <w:cnfStyle w:val="001000000000" w:firstRow="0" w:lastRow="0" w:firstColumn="1" w:lastColumn="0" w:oddVBand="0" w:evenVBand="0" w:oddHBand="0" w:evenHBand="0" w:firstRowFirstColumn="0" w:firstRowLastColumn="0" w:lastRowFirstColumn="0" w:lastRowLastColumn="0"/>
            <w:tcW w:w="1188" w:type="dxa"/>
          </w:tcPr>
          <w:p w14:paraId="623A33ED" w14:textId="77777777" w:rsidR="00920FE3" w:rsidRPr="004A0C12" w:rsidRDefault="00920FE3" w:rsidP="00987BA0">
            <w:pPr>
              <w:jc w:val="both"/>
              <w:rPr>
                <w:rFonts w:ascii="Garamond" w:hAnsi="Garamond"/>
                <w:sz w:val="22"/>
                <w:szCs w:val="22"/>
              </w:rPr>
            </w:pPr>
            <w:r w:rsidRPr="004A0C12">
              <w:rPr>
                <w:rFonts w:ascii="Garamond" w:hAnsi="Garamond"/>
                <w:sz w:val="22"/>
                <w:szCs w:val="22"/>
              </w:rPr>
              <w:lastRenderedPageBreak/>
              <w:t>Region 5</w:t>
            </w:r>
          </w:p>
        </w:tc>
        <w:tc>
          <w:tcPr>
            <w:tcW w:w="1980" w:type="dxa"/>
          </w:tcPr>
          <w:p w14:paraId="6DE6EE9A" w14:textId="77777777" w:rsidR="00920FE3" w:rsidRPr="004A0C12" w:rsidRDefault="00920FE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Baltimore Co.</w:t>
            </w:r>
          </w:p>
          <w:p w14:paraId="4F5C6C2D" w14:textId="77777777" w:rsidR="00920FE3" w:rsidRPr="004A0C12" w:rsidRDefault="00920FE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Harford</w:t>
            </w:r>
          </w:p>
          <w:p w14:paraId="27AED949" w14:textId="77777777" w:rsidR="00920FE3" w:rsidRPr="004A0C12" w:rsidRDefault="00920FE3" w:rsidP="00232F09">
            <w:pPr>
              <w:pStyle w:val="ListParagraph"/>
              <w:numPr>
                <w:ilvl w:val="0"/>
                <w:numId w:val="226"/>
              </w:numPr>
              <w:jc w:val="both"/>
              <w:cnfStyle w:val="000000000000" w:firstRow="0" w:lastRow="0" w:firstColumn="0" w:lastColumn="0" w:oddVBand="0" w:evenVBand="0" w:oddHBand="0"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Howard</w:t>
            </w:r>
          </w:p>
        </w:tc>
        <w:tc>
          <w:tcPr>
            <w:tcW w:w="1800" w:type="dxa"/>
          </w:tcPr>
          <w:p w14:paraId="79D27E50" w14:textId="4162315F" w:rsidR="00920FE3" w:rsidRPr="004A0C12" w:rsidRDefault="00920FE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1,721</w:t>
            </w:r>
          </w:p>
        </w:tc>
        <w:tc>
          <w:tcPr>
            <w:tcW w:w="2610" w:type="dxa"/>
          </w:tcPr>
          <w:p w14:paraId="1B44B721" w14:textId="6F0CE380" w:rsidR="00920FE3" w:rsidRPr="004A0C12" w:rsidRDefault="00920FE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22.4%</w:t>
            </w:r>
          </w:p>
        </w:tc>
        <w:tc>
          <w:tcPr>
            <w:tcW w:w="3240" w:type="dxa"/>
          </w:tcPr>
          <w:p w14:paraId="36322E67" w14:textId="77777777" w:rsidR="00920FE3" w:rsidRPr="004A0C12" w:rsidRDefault="00920FE3" w:rsidP="00987BA0">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20%</w:t>
            </w:r>
          </w:p>
        </w:tc>
      </w:tr>
      <w:tr w:rsidR="00920FE3" w:rsidRPr="004A0C12" w14:paraId="34D38DA9"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1019D4F9" w14:textId="77777777" w:rsidR="00920FE3" w:rsidRPr="004A0C12" w:rsidRDefault="00920FE3" w:rsidP="00987BA0">
            <w:pPr>
              <w:jc w:val="both"/>
              <w:rPr>
                <w:rFonts w:ascii="Garamond" w:hAnsi="Garamond"/>
                <w:sz w:val="22"/>
                <w:szCs w:val="22"/>
              </w:rPr>
            </w:pPr>
            <w:r w:rsidRPr="004A0C12">
              <w:rPr>
                <w:rFonts w:ascii="Garamond" w:hAnsi="Garamond"/>
                <w:sz w:val="22"/>
                <w:szCs w:val="22"/>
              </w:rPr>
              <w:t>Region 6</w:t>
            </w:r>
          </w:p>
        </w:tc>
        <w:tc>
          <w:tcPr>
            <w:tcW w:w="1980" w:type="dxa"/>
          </w:tcPr>
          <w:p w14:paraId="4A0C1BA3" w14:textId="77777777" w:rsidR="00920FE3" w:rsidRPr="004A0C12" w:rsidRDefault="00920FE3" w:rsidP="00232F09">
            <w:pPr>
              <w:pStyle w:val="ListParagraph"/>
              <w:numPr>
                <w:ilvl w:val="0"/>
                <w:numId w:val="227"/>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Montgomery </w:t>
            </w:r>
          </w:p>
          <w:p w14:paraId="4D8D2B7C" w14:textId="77777777" w:rsidR="00920FE3" w:rsidRPr="004A0C12" w:rsidRDefault="00920FE3" w:rsidP="00232F09">
            <w:pPr>
              <w:pStyle w:val="ListParagraph"/>
              <w:numPr>
                <w:ilvl w:val="0"/>
                <w:numId w:val="227"/>
              </w:numPr>
              <w:jc w:val="both"/>
              <w:cnfStyle w:val="000000100000" w:firstRow="0" w:lastRow="0" w:firstColumn="0" w:lastColumn="0" w:oddVBand="0" w:evenVBand="0" w:oddHBand="1" w:evenHBand="0" w:firstRowFirstColumn="0" w:firstRowLastColumn="0" w:lastRowFirstColumn="0" w:lastRowLastColumn="0"/>
              <w:rPr>
                <w:rFonts w:ascii="Garamond" w:eastAsia="Times New Roman" w:hAnsi="Garamond"/>
                <w:sz w:val="22"/>
                <w:szCs w:val="22"/>
              </w:rPr>
            </w:pPr>
            <w:r w:rsidRPr="004A0C12">
              <w:rPr>
                <w:rFonts w:ascii="Garamond" w:eastAsia="Times New Roman" w:hAnsi="Garamond"/>
                <w:sz w:val="22"/>
                <w:szCs w:val="22"/>
              </w:rPr>
              <w:t xml:space="preserve">Prince George’s  </w:t>
            </w:r>
          </w:p>
        </w:tc>
        <w:tc>
          <w:tcPr>
            <w:tcW w:w="1800" w:type="dxa"/>
          </w:tcPr>
          <w:p w14:paraId="3BCA03C5" w14:textId="34D29CC4" w:rsidR="00920FE3" w:rsidRPr="004A0C12" w:rsidRDefault="00920FE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2,375</w:t>
            </w:r>
          </w:p>
        </w:tc>
        <w:tc>
          <w:tcPr>
            <w:tcW w:w="2610" w:type="dxa"/>
          </w:tcPr>
          <w:p w14:paraId="4FFF8098" w14:textId="0ED4CFEA" w:rsidR="00920FE3" w:rsidRPr="004A0C12" w:rsidRDefault="00920FE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31%</w:t>
            </w:r>
          </w:p>
        </w:tc>
        <w:tc>
          <w:tcPr>
            <w:tcW w:w="3240" w:type="dxa"/>
          </w:tcPr>
          <w:p w14:paraId="17F533DE" w14:textId="77777777" w:rsidR="00920FE3" w:rsidRPr="004A0C12" w:rsidRDefault="00920FE3" w:rsidP="00987BA0">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 xml:space="preserve">22% </w:t>
            </w:r>
          </w:p>
        </w:tc>
      </w:tr>
    </w:tbl>
    <w:p w14:paraId="76AAF811" w14:textId="77777777" w:rsidR="007A1FDC" w:rsidRPr="004A0C12" w:rsidRDefault="007A1FDC" w:rsidP="007A1FDC">
      <w:pPr>
        <w:spacing w:after="0" w:line="240" w:lineRule="auto"/>
        <w:jc w:val="both"/>
        <w:rPr>
          <w:rFonts w:ascii="Garamond" w:hAnsi="Garamond"/>
        </w:rPr>
      </w:pPr>
    </w:p>
    <w:p w14:paraId="17FBA73A" w14:textId="257F279C" w:rsidR="007A1FDC" w:rsidRPr="004A0C12" w:rsidRDefault="007A1FDC" w:rsidP="007A1FDC">
      <w:pPr>
        <w:spacing w:after="0" w:line="240" w:lineRule="auto"/>
        <w:jc w:val="both"/>
        <w:rPr>
          <w:rFonts w:ascii="Garamond" w:hAnsi="Garamond"/>
        </w:rPr>
      </w:pPr>
      <w:r w:rsidRPr="004A0C12">
        <w:rPr>
          <w:rFonts w:ascii="Garamond" w:hAnsi="Garamond"/>
        </w:rPr>
        <w:t>Discussion:</w:t>
      </w:r>
      <w:r w:rsidR="00920FE3" w:rsidRPr="004A0C12">
        <w:rPr>
          <w:rFonts w:ascii="Garamond" w:hAnsi="Garamond"/>
        </w:rPr>
        <w:t xml:space="preserve"> These</w:t>
      </w:r>
      <w:r w:rsidRPr="004A0C12">
        <w:rPr>
          <w:rFonts w:ascii="Garamond" w:hAnsi="Garamond"/>
        </w:rPr>
        <w:t xml:space="preserve"> data suggest that Western Maryland </w:t>
      </w:r>
      <w:r w:rsidR="00920FE3" w:rsidRPr="004A0C12">
        <w:rPr>
          <w:rFonts w:ascii="Garamond" w:hAnsi="Garamond"/>
        </w:rPr>
        <w:t xml:space="preserve">(Region 1) </w:t>
      </w:r>
      <w:r w:rsidRPr="004A0C12">
        <w:rPr>
          <w:rFonts w:ascii="Garamond" w:hAnsi="Garamond"/>
        </w:rPr>
        <w:t xml:space="preserve">may have </w:t>
      </w:r>
      <w:r w:rsidR="00920FE3" w:rsidRPr="004A0C12">
        <w:rPr>
          <w:rFonts w:ascii="Garamond" w:hAnsi="Garamond"/>
        </w:rPr>
        <w:t>somewhat of an oversupply of Office of Field Services</w:t>
      </w:r>
      <w:r w:rsidRPr="004A0C12">
        <w:rPr>
          <w:rFonts w:ascii="Garamond" w:hAnsi="Garamond"/>
        </w:rPr>
        <w:t xml:space="preserve"> counselors compared to Central Maryland </w:t>
      </w:r>
      <w:r w:rsidR="00920FE3" w:rsidRPr="004A0C12">
        <w:rPr>
          <w:rFonts w:ascii="Garamond" w:hAnsi="Garamond"/>
        </w:rPr>
        <w:t xml:space="preserve">(Region 5) </w:t>
      </w:r>
      <w:r w:rsidRPr="004A0C12">
        <w:rPr>
          <w:rFonts w:ascii="Garamond" w:hAnsi="Garamond"/>
        </w:rPr>
        <w:t>and the DC suburbs</w:t>
      </w:r>
      <w:r w:rsidR="00920FE3" w:rsidRPr="004A0C12">
        <w:rPr>
          <w:rFonts w:ascii="Garamond" w:hAnsi="Garamond"/>
        </w:rPr>
        <w:t xml:space="preserve"> (Region 6)</w:t>
      </w:r>
      <w:r w:rsidRPr="004A0C12">
        <w:rPr>
          <w:rFonts w:ascii="Garamond" w:hAnsi="Garamond"/>
        </w:rPr>
        <w:t xml:space="preserve">. </w:t>
      </w:r>
    </w:p>
    <w:p w14:paraId="2C4B2A12" w14:textId="77777777" w:rsidR="007A1FDC" w:rsidRPr="004A0C12" w:rsidRDefault="007A1FDC" w:rsidP="007A1FDC">
      <w:pPr>
        <w:spacing w:after="0" w:line="240" w:lineRule="auto"/>
        <w:jc w:val="both"/>
        <w:rPr>
          <w:rFonts w:ascii="Garamond" w:hAnsi="Garamond"/>
        </w:rPr>
      </w:pPr>
    </w:p>
    <w:tbl>
      <w:tblPr>
        <w:tblStyle w:val="PlainTable11"/>
        <w:tblW w:w="0" w:type="auto"/>
        <w:jc w:val="center"/>
        <w:tblLayout w:type="fixed"/>
        <w:tblLook w:val="0000" w:firstRow="0" w:lastRow="0" w:firstColumn="0" w:lastColumn="0" w:noHBand="0" w:noVBand="0"/>
        <w:tblCaption w:val="DORS Regions by % of OFS Counselors, % of people with disabilities per US Census, % of SSDI recipients ages 18-65, and % of Special Education Students"/>
        <w:tblDescription w:val="This chart summarizes the previous 3 charts. Region 1 has 18% of the State's OFS Counselors, 13.18% of the State's people with disabiltiies, 11.9% of SSIDI recipients ages 18-65, and 11.3% of the State's Special Education students. Region 2 has 14% of the State's OFS Counselors, 12.95% of the State's people with disabiltiies, 12.8% of SSIDI recipients ages 18-65, and 13.4% of the State's Special Education students. Region 3 has 18% of the State's OFS Counselors, 16.3% of the State's people with disabiltiies, 24.4% of SSIDI recipients ages 18-65, and 13.6% of the State's Special Education students. Region 4 has 9% of the State's OFS Counselors, 9.67% of the State's people with disabiltiies, 8% of SSIDI recipients ages 18-65, and 7.7% of the State's Special Education students. Region 5 has 20% of the State's OFS Counselors, 23.42% of the State's people with disabiltiies, 23.6% of SSIDI recipients ages 18-65, and 22.4% of the State's Special Education students. Region 6 has 22% of the State's OFS Counselors, 24.5% of the State's people with disabiltiies, 19.3% of SSIDI recipients ages 18-65, and 31% of the State's Special Education students. "/>
      </w:tblPr>
      <w:tblGrid>
        <w:gridCol w:w="2178"/>
        <w:gridCol w:w="1652"/>
        <w:gridCol w:w="1915"/>
        <w:gridCol w:w="1915"/>
        <w:gridCol w:w="1915"/>
      </w:tblGrid>
      <w:tr w:rsidR="007A1FDC" w:rsidRPr="004A0C12" w14:paraId="52370398" w14:textId="77777777" w:rsidTr="008B1D9A">
        <w:trPr>
          <w:trHeight w:val="880"/>
          <w:tblHeader/>
          <w:jc w:val="center"/>
        </w:trPr>
        <w:tc>
          <w:tcPr>
            <w:cnfStyle w:val="000010000000" w:firstRow="0" w:lastRow="0" w:firstColumn="0" w:lastColumn="0" w:oddVBand="1" w:evenVBand="0" w:oddHBand="0" w:evenHBand="0" w:firstRowFirstColumn="0" w:firstRowLastColumn="0" w:lastRowFirstColumn="0" w:lastRowLastColumn="0"/>
            <w:tcW w:w="2178" w:type="dxa"/>
          </w:tcPr>
          <w:p w14:paraId="5A99D1C0" w14:textId="77777777" w:rsidR="007A1FDC" w:rsidRPr="004A0C12" w:rsidRDefault="007A1FDC" w:rsidP="007A1FDC">
            <w:pPr>
              <w:jc w:val="center"/>
              <w:rPr>
                <w:rFonts w:ascii="Garamond" w:hAnsi="Garamond"/>
                <w:sz w:val="22"/>
                <w:szCs w:val="22"/>
              </w:rPr>
            </w:pPr>
            <w:r w:rsidRPr="004A0C12">
              <w:rPr>
                <w:rFonts w:ascii="Garamond" w:hAnsi="Garamond"/>
                <w:sz w:val="22"/>
                <w:szCs w:val="22"/>
              </w:rPr>
              <w:t>Region</w:t>
            </w:r>
          </w:p>
        </w:tc>
        <w:tc>
          <w:tcPr>
            <w:tcW w:w="1652" w:type="dxa"/>
          </w:tcPr>
          <w:p w14:paraId="5A108B17" w14:textId="77777777" w:rsidR="007A1FDC" w:rsidRPr="004A0C12" w:rsidRDefault="007A1FDC" w:rsidP="007A1FDC">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of OFS Counselors</w:t>
            </w:r>
          </w:p>
        </w:tc>
        <w:tc>
          <w:tcPr>
            <w:cnfStyle w:val="000010000000" w:firstRow="0" w:lastRow="0" w:firstColumn="0" w:lastColumn="0" w:oddVBand="1" w:evenVBand="0" w:oddHBand="0" w:evenHBand="0" w:firstRowFirstColumn="0" w:firstRowLastColumn="0" w:lastRowFirstColumn="0" w:lastRowLastColumn="0"/>
            <w:tcW w:w="1915" w:type="dxa"/>
          </w:tcPr>
          <w:p w14:paraId="47B4D11D" w14:textId="77777777" w:rsidR="007A1FDC" w:rsidRPr="004A0C12" w:rsidRDefault="007A1FDC" w:rsidP="007A1FDC">
            <w:pPr>
              <w:jc w:val="center"/>
              <w:rPr>
                <w:rFonts w:ascii="Garamond" w:hAnsi="Garamond"/>
                <w:sz w:val="22"/>
                <w:szCs w:val="22"/>
              </w:rPr>
            </w:pPr>
            <w:r w:rsidRPr="004A0C12">
              <w:rPr>
                <w:rFonts w:ascii="Garamond" w:hAnsi="Garamond"/>
                <w:sz w:val="22"/>
                <w:szCs w:val="22"/>
              </w:rPr>
              <w:t>% of people with disabilities, per US Census</w:t>
            </w:r>
          </w:p>
        </w:tc>
        <w:tc>
          <w:tcPr>
            <w:tcW w:w="1915" w:type="dxa"/>
          </w:tcPr>
          <w:p w14:paraId="7EC7249E" w14:textId="77777777" w:rsidR="007A1FDC" w:rsidRPr="004A0C12" w:rsidRDefault="007A1FDC" w:rsidP="007A1FDC">
            <w:pPr>
              <w:jc w:val="center"/>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 of SSIDI recipients, age 18-65</w:t>
            </w:r>
          </w:p>
        </w:tc>
        <w:tc>
          <w:tcPr>
            <w:cnfStyle w:val="000010000000" w:firstRow="0" w:lastRow="0" w:firstColumn="0" w:lastColumn="0" w:oddVBand="1" w:evenVBand="0" w:oddHBand="0" w:evenHBand="0" w:firstRowFirstColumn="0" w:firstRowLastColumn="0" w:lastRowFirstColumn="0" w:lastRowLastColumn="0"/>
            <w:tcW w:w="1915" w:type="dxa"/>
          </w:tcPr>
          <w:p w14:paraId="38D4AE7F" w14:textId="77777777" w:rsidR="007A1FDC" w:rsidRPr="004A0C12" w:rsidRDefault="007A1FDC" w:rsidP="007A1FDC">
            <w:pPr>
              <w:jc w:val="center"/>
              <w:rPr>
                <w:rFonts w:ascii="Garamond" w:hAnsi="Garamond"/>
                <w:sz w:val="22"/>
                <w:szCs w:val="22"/>
              </w:rPr>
            </w:pPr>
            <w:r w:rsidRPr="004A0C12">
              <w:rPr>
                <w:rFonts w:ascii="Garamond" w:hAnsi="Garamond"/>
                <w:sz w:val="22"/>
                <w:szCs w:val="22"/>
              </w:rPr>
              <w:t>% of Special Education students</w:t>
            </w:r>
          </w:p>
        </w:tc>
      </w:tr>
      <w:tr w:rsidR="007A1FDC" w:rsidRPr="004A0C12" w14:paraId="5D883584" w14:textId="77777777" w:rsidTr="00530FA0">
        <w:trPr>
          <w:cnfStyle w:val="000000100000" w:firstRow="0" w:lastRow="0" w:firstColumn="0" w:lastColumn="0" w:oddVBand="0" w:evenVBand="0" w:oddHBand="1" w:evenHBand="0" w:firstRowFirstColumn="0" w:firstRowLastColumn="0" w:lastRowFirstColumn="0" w:lastRowLastColumn="0"/>
          <w:trHeight w:val="340"/>
          <w:jc w:val="center"/>
        </w:trPr>
        <w:tc>
          <w:tcPr>
            <w:cnfStyle w:val="000010000000" w:firstRow="0" w:lastRow="0" w:firstColumn="0" w:lastColumn="0" w:oddVBand="1" w:evenVBand="0" w:oddHBand="0" w:evenHBand="0" w:firstRowFirstColumn="0" w:firstRowLastColumn="0" w:lastRowFirstColumn="0" w:lastRowLastColumn="0"/>
            <w:tcW w:w="2178" w:type="dxa"/>
          </w:tcPr>
          <w:p w14:paraId="2391C6AC" w14:textId="77777777" w:rsidR="007A1FDC" w:rsidRPr="004A0C12" w:rsidRDefault="007A1FDC" w:rsidP="007A1FDC">
            <w:pPr>
              <w:rPr>
                <w:rFonts w:ascii="Garamond" w:hAnsi="Garamond"/>
                <w:sz w:val="22"/>
                <w:szCs w:val="22"/>
              </w:rPr>
            </w:pPr>
            <w:r w:rsidRPr="004A0C12">
              <w:rPr>
                <w:rFonts w:ascii="Garamond" w:hAnsi="Garamond"/>
                <w:sz w:val="22"/>
                <w:szCs w:val="22"/>
              </w:rPr>
              <w:t>1. Western MD</w:t>
            </w:r>
          </w:p>
        </w:tc>
        <w:tc>
          <w:tcPr>
            <w:tcW w:w="1652" w:type="dxa"/>
          </w:tcPr>
          <w:p w14:paraId="2A7F6FE7" w14:textId="77777777" w:rsidR="007A1FDC" w:rsidRPr="004A0C12" w:rsidRDefault="007A1FDC" w:rsidP="007A1FD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c>
          <w:tcPr>
            <w:cnfStyle w:val="000010000000" w:firstRow="0" w:lastRow="0" w:firstColumn="0" w:lastColumn="0" w:oddVBand="1" w:evenVBand="0" w:oddHBand="0" w:evenHBand="0" w:firstRowFirstColumn="0" w:firstRowLastColumn="0" w:lastRowFirstColumn="0" w:lastRowLastColumn="0"/>
            <w:tcW w:w="1915" w:type="dxa"/>
          </w:tcPr>
          <w:p w14:paraId="75F4CC54" w14:textId="77777777" w:rsidR="007A1FDC" w:rsidRPr="004A0C12" w:rsidRDefault="007A1FDC" w:rsidP="007A1FDC">
            <w:pPr>
              <w:jc w:val="both"/>
              <w:rPr>
                <w:rFonts w:ascii="Garamond" w:hAnsi="Garamond"/>
                <w:sz w:val="22"/>
                <w:szCs w:val="22"/>
              </w:rPr>
            </w:pPr>
            <w:r w:rsidRPr="004A0C12">
              <w:rPr>
                <w:rFonts w:ascii="Garamond" w:hAnsi="Garamond"/>
                <w:sz w:val="22"/>
                <w:szCs w:val="22"/>
              </w:rPr>
              <w:t>13.18</w:t>
            </w:r>
          </w:p>
        </w:tc>
        <w:tc>
          <w:tcPr>
            <w:tcW w:w="1915" w:type="dxa"/>
          </w:tcPr>
          <w:p w14:paraId="4B4FA36F" w14:textId="77777777" w:rsidR="007A1FDC" w:rsidRPr="004A0C12" w:rsidRDefault="007A1FDC" w:rsidP="007A1FD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11.9</w:t>
            </w:r>
          </w:p>
        </w:tc>
        <w:tc>
          <w:tcPr>
            <w:cnfStyle w:val="000010000000" w:firstRow="0" w:lastRow="0" w:firstColumn="0" w:lastColumn="0" w:oddVBand="1" w:evenVBand="0" w:oddHBand="0" w:evenHBand="0" w:firstRowFirstColumn="0" w:firstRowLastColumn="0" w:lastRowFirstColumn="0" w:lastRowLastColumn="0"/>
            <w:tcW w:w="1915" w:type="dxa"/>
          </w:tcPr>
          <w:p w14:paraId="493DA8F9" w14:textId="77777777" w:rsidR="007A1FDC" w:rsidRPr="004A0C12" w:rsidRDefault="007A1FDC" w:rsidP="007A1FDC">
            <w:pPr>
              <w:jc w:val="both"/>
              <w:rPr>
                <w:rFonts w:ascii="Garamond" w:hAnsi="Garamond"/>
                <w:sz w:val="22"/>
                <w:szCs w:val="22"/>
              </w:rPr>
            </w:pPr>
            <w:r w:rsidRPr="004A0C12">
              <w:rPr>
                <w:rFonts w:ascii="Garamond" w:hAnsi="Garamond"/>
                <w:sz w:val="22"/>
                <w:szCs w:val="22"/>
              </w:rPr>
              <w:t>11.3</w:t>
            </w:r>
          </w:p>
        </w:tc>
      </w:tr>
      <w:tr w:rsidR="007A1FDC" w:rsidRPr="004A0C12" w14:paraId="54F5F862" w14:textId="77777777" w:rsidTr="00530FA0">
        <w:trPr>
          <w:trHeight w:val="340"/>
          <w:jc w:val="center"/>
        </w:trPr>
        <w:tc>
          <w:tcPr>
            <w:cnfStyle w:val="000010000000" w:firstRow="0" w:lastRow="0" w:firstColumn="0" w:lastColumn="0" w:oddVBand="1" w:evenVBand="0" w:oddHBand="0" w:evenHBand="0" w:firstRowFirstColumn="0" w:firstRowLastColumn="0" w:lastRowFirstColumn="0" w:lastRowLastColumn="0"/>
            <w:tcW w:w="2178" w:type="dxa"/>
          </w:tcPr>
          <w:p w14:paraId="4D79F9B8" w14:textId="77777777" w:rsidR="007A1FDC" w:rsidRPr="004A0C12" w:rsidRDefault="007A1FDC" w:rsidP="007A1FDC">
            <w:pPr>
              <w:rPr>
                <w:rFonts w:ascii="Garamond" w:hAnsi="Garamond"/>
                <w:sz w:val="22"/>
                <w:szCs w:val="22"/>
              </w:rPr>
            </w:pPr>
            <w:r w:rsidRPr="004A0C12">
              <w:rPr>
                <w:rFonts w:ascii="Garamond" w:hAnsi="Garamond"/>
                <w:sz w:val="22"/>
                <w:szCs w:val="22"/>
              </w:rPr>
              <w:t>2. So. MD</w:t>
            </w:r>
          </w:p>
        </w:tc>
        <w:tc>
          <w:tcPr>
            <w:tcW w:w="1652" w:type="dxa"/>
          </w:tcPr>
          <w:p w14:paraId="5B6DEFD8" w14:textId="77777777" w:rsidR="007A1FDC" w:rsidRPr="004A0C12" w:rsidRDefault="007A1FDC" w:rsidP="007A1FD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14</w:t>
            </w:r>
          </w:p>
        </w:tc>
        <w:tc>
          <w:tcPr>
            <w:cnfStyle w:val="000010000000" w:firstRow="0" w:lastRow="0" w:firstColumn="0" w:lastColumn="0" w:oddVBand="1" w:evenVBand="0" w:oddHBand="0" w:evenHBand="0" w:firstRowFirstColumn="0" w:firstRowLastColumn="0" w:lastRowFirstColumn="0" w:lastRowLastColumn="0"/>
            <w:tcW w:w="1915" w:type="dxa"/>
          </w:tcPr>
          <w:p w14:paraId="23970FCE" w14:textId="77777777" w:rsidR="007A1FDC" w:rsidRPr="004A0C12" w:rsidRDefault="007A1FDC" w:rsidP="007A1FDC">
            <w:pPr>
              <w:jc w:val="both"/>
              <w:rPr>
                <w:rFonts w:ascii="Garamond" w:hAnsi="Garamond"/>
                <w:sz w:val="22"/>
                <w:szCs w:val="22"/>
              </w:rPr>
            </w:pPr>
            <w:r w:rsidRPr="004A0C12">
              <w:rPr>
                <w:rFonts w:ascii="Garamond" w:hAnsi="Garamond"/>
                <w:sz w:val="22"/>
                <w:szCs w:val="22"/>
              </w:rPr>
              <w:t>12.95</w:t>
            </w:r>
          </w:p>
        </w:tc>
        <w:tc>
          <w:tcPr>
            <w:tcW w:w="1915" w:type="dxa"/>
          </w:tcPr>
          <w:p w14:paraId="75461F9C" w14:textId="77777777" w:rsidR="007A1FDC" w:rsidRPr="004A0C12" w:rsidRDefault="007A1FDC" w:rsidP="007A1FD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12.8</w:t>
            </w:r>
          </w:p>
        </w:tc>
        <w:tc>
          <w:tcPr>
            <w:cnfStyle w:val="000010000000" w:firstRow="0" w:lastRow="0" w:firstColumn="0" w:lastColumn="0" w:oddVBand="1" w:evenVBand="0" w:oddHBand="0" w:evenHBand="0" w:firstRowFirstColumn="0" w:firstRowLastColumn="0" w:lastRowFirstColumn="0" w:lastRowLastColumn="0"/>
            <w:tcW w:w="1915" w:type="dxa"/>
          </w:tcPr>
          <w:p w14:paraId="1E379258" w14:textId="77777777" w:rsidR="007A1FDC" w:rsidRPr="004A0C12" w:rsidRDefault="007A1FDC" w:rsidP="007A1FDC">
            <w:pPr>
              <w:jc w:val="both"/>
              <w:rPr>
                <w:rFonts w:ascii="Garamond" w:hAnsi="Garamond"/>
                <w:sz w:val="22"/>
                <w:szCs w:val="22"/>
              </w:rPr>
            </w:pPr>
            <w:r w:rsidRPr="004A0C12">
              <w:rPr>
                <w:rFonts w:ascii="Garamond" w:hAnsi="Garamond"/>
                <w:sz w:val="22"/>
                <w:szCs w:val="22"/>
              </w:rPr>
              <w:t>13.4</w:t>
            </w:r>
          </w:p>
        </w:tc>
      </w:tr>
      <w:tr w:rsidR="007A1FDC" w:rsidRPr="004A0C12" w14:paraId="321FBF22" w14:textId="77777777" w:rsidTr="00530FA0">
        <w:trPr>
          <w:cnfStyle w:val="000000100000" w:firstRow="0" w:lastRow="0" w:firstColumn="0" w:lastColumn="0" w:oddVBand="0" w:evenVBand="0" w:oddHBand="1" w:evenHBand="0" w:firstRowFirstColumn="0" w:firstRowLastColumn="0" w:lastRowFirstColumn="0" w:lastRowLastColumn="0"/>
          <w:trHeight w:val="340"/>
          <w:jc w:val="center"/>
        </w:trPr>
        <w:tc>
          <w:tcPr>
            <w:cnfStyle w:val="000010000000" w:firstRow="0" w:lastRow="0" w:firstColumn="0" w:lastColumn="0" w:oddVBand="1" w:evenVBand="0" w:oddHBand="0" w:evenHBand="0" w:firstRowFirstColumn="0" w:firstRowLastColumn="0" w:lastRowFirstColumn="0" w:lastRowLastColumn="0"/>
            <w:tcW w:w="2178" w:type="dxa"/>
          </w:tcPr>
          <w:p w14:paraId="7B46AD33" w14:textId="77777777" w:rsidR="007A1FDC" w:rsidRPr="004A0C12" w:rsidRDefault="007A1FDC" w:rsidP="007A1FDC">
            <w:pPr>
              <w:rPr>
                <w:rFonts w:ascii="Garamond" w:hAnsi="Garamond"/>
                <w:sz w:val="22"/>
                <w:szCs w:val="22"/>
              </w:rPr>
            </w:pPr>
            <w:r w:rsidRPr="004A0C12">
              <w:rPr>
                <w:rFonts w:ascii="Garamond" w:hAnsi="Garamond"/>
                <w:sz w:val="22"/>
                <w:szCs w:val="22"/>
              </w:rPr>
              <w:t>3. Balto. City</w:t>
            </w:r>
          </w:p>
        </w:tc>
        <w:tc>
          <w:tcPr>
            <w:tcW w:w="1652" w:type="dxa"/>
          </w:tcPr>
          <w:p w14:paraId="616F896B" w14:textId="77777777" w:rsidR="007A1FDC" w:rsidRPr="004A0C12" w:rsidRDefault="007A1FDC" w:rsidP="007A1FD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18</w:t>
            </w:r>
          </w:p>
        </w:tc>
        <w:tc>
          <w:tcPr>
            <w:cnfStyle w:val="000010000000" w:firstRow="0" w:lastRow="0" w:firstColumn="0" w:lastColumn="0" w:oddVBand="1" w:evenVBand="0" w:oddHBand="0" w:evenHBand="0" w:firstRowFirstColumn="0" w:firstRowLastColumn="0" w:lastRowFirstColumn="0" w:lastRowLastColumn="0"/>
            <w:tcW w:w="1915" w:type="dxa"/>
          </w:tcPr>
          <w:p w14:paraId="0EF7AC82" w14:textId="77777777" w:rsidR="007A1FDC" w:rsidRPr="004A0C12" w:rsidRDefault="007A1FDC" w:rsidP="007A1FDC">
            <w:pPr>
              <w:jc w:val="both"/>
              <w:rPr>
                <w:rFonts w:ascii="Garamond" w:hAnsi="Garamond"/>
                <w:sz w:val="22"/>
                <w:szCs w:val="22"/>
              </w:rPr>
            </w:pPr>
            <w:r w:rsidRPr="004A0C12">
              <w:rPr>
                <w:rFonts w:ascii="Garamond" w:hAnsi="Garamond"/>
                <w:sz w:val="22"/>
                <w:szCs w:val="22"/>
              </w:rPr>
              <w:t>16.3</w:t>
            </w:r>
          </w:p>
        </w:tc>
        <w:tc>
          <w:tcPr>
            <w:tcW w:w="1915" w:type="dxa"/>
          </w:tcPr>
          <w:p w14:paraId="4EA1BA83" w14:textId="77777777" w:rsidR="007A1FDC" w:rsidRPr="004A0C12" w:rsidRDefault="007A1FDC" w:rsidP="007A1FD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24.4</w:t>
            </w:r>
          </w:p>
        </w:tc>
        <w:tc>
          <w:tcPr>
            <w:cnfStyle w:val="000010000000" w:firstRow="0" w:lastRow="0" w:firstColumn="0" w:lastColumn="0" w:oddVBand="1" w:evenVBand="0" w:oddHBand="0" w:evenHBand="0" w:firstRowFirstColumn="0" w:firstRowLastColumn="0" w:lastRowFirstColumn="0" w:lastRowLastColumn="0"/>
            <w:tcW w:w="1915" w:type="dxa"/>
          </w:tcPr>
          <w:p w14:paraId="2D7D11C7" w14:textId="77777777" w:rsidR="007A1FDC" w:rsidRPr="004A0C12" w:rsidRDefault="007A1FDC" w:rsidP="007A1FDC">
            <w:pPr>
              <w:jc w:val="both"/>
              <w:rPr>
                <w:rFonts w:ascii="Garamond" w:hAnsi="Garamond"/>
                <w:sz w:val="22"/>
                <w:szCs w:val="22"/>
              </w:rPr>
            </w:pPr>
            <w:r w:rsidRPr="004A0C12">
              <w:rPr>
                <w:rFonts w:ascii="Garamond" w:hAnsi="Garamond"/>
                <w:sz w:val="22"/>
                <w:szCs w:val="22"/>
              </w:rPr>
              <w:t>13.6</w:t>
            </w:r>
          </w:p>
        </w:tc>
      </w:tr>
      <w:tr w:rsidR="007A1FDC" w:rsidRPr="004A0C12" w14:paraId="02E466F9" w14:textId="77777777" w:rsidTr="00530FA0">
        <w:trPr>
          <w:trHeight w:val="340"/>
          <w:jc w:val="center"/>
        </w:trPr>
        <w:tc>
          <w:tcPr>
            <w:cnfStyle w:val="000010000000" w:firstRow="0" w:lastRow="0" w:firstColumn="0" w:lastColumn="0" w:oddVBand="1" w:evenVBand="0" w:oddHBand="0" w:evenHBand="0" w:firstRowFirstColumn="0" w:firstRowLastColumn="0" w:lastRowFirstColumn="0" w:lastRowLastColumn="0"/>
            <w:tcW w:w="2178" w:type="dxa"/>
          </w:tcPr>
          <w:p w14:paraId="06F44BE7" w14:textId="77777777" w:rsidR="007A1FDC" w:rsidRPr="004A0C12" w:rsidRDefault="007A1FDC" w:rsidP="007A1FDC">
            <w:pPr>
              <w:rPr>
                <w:rFonts w:ascii="Garamond" w:hAnsi="Garamond"/>
                <w:sz w:val="22"/>
                <w:szCs w:val="22"/>
              </w:rPr>
            </w:pPr>
            <w:r w:rsidRPr="004A0C12">
              <w:rPr>
                <w:rFonts w:ascii="Garamond" w:hAnsi="Garamond"/>
                <w:sz w:val="22"/>
                <w:szCs w:val="22"/>
              </w:rPr>
              <w:t>4. Eastern Shore</w:t>
            </w:r>
          </w:p>
        </w:tc>
        <w:tc>
          <w:tcPr>
            <w:tcW w:w="1652" w:type="dxa"/>
          </w:tcPr>
          <w:p w14:paraId="65109A82" w14:textId="77777777" w:rsidR="007A1FDC" w:rsidRPr="004A0C12" w:rsidRDefault="007A1FDC" w:rsidP="007A1FD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9</w:t>
            </w:r>
          </w:p>
        </w:tc>
        <w:tc>
          <w:tcPr>
            <w:cnfStyle w:val="000010000000" w:firstRow="0" w:lastRow="0" w:firstColumn="0" w:lastColumn="0" w:oddVBand="1" w:evenVBand="0" w:oddHBand="0" w:evenHBand="0" w:firstRowFirstColumn="0" w:firstRowLastColumn="0" w:lastRowFirstColumn="0" w:lastRowLastColumn="0"/>
            <w:tcW w:w="1915" w:type="dxa"/>
          </w:tcPr>
          <w:p w14:paraId="490452E7" w14:textId="77777777" w:rsidR="007A1FDC" w:rsidRPr="004A0C12" w:rsidRDefault="007A1FDC" w:rsidP="007A1FDC">
            <w:pPr>
              <w:jc w:val="both"/>
              <w:rPr>
                <w:rFonts w:ascii="Garamond" w:hAnsi="Garamond"/>
                <w:sz w:val="22"/>
                <w:szCs w:val="22"/>
              </w:rPr>
            </w:pPr>
            <w:r w:rsidRPr="004A0C12">
              <w:rPr>
                <w:rFonts w:ascii="Garamond" w:hAnsi="Garamond"/>
                <w:sz w:val="22"/>
                <w:szCs w:val="22"/>
              </w:rPr>
              <w:t>9.67</w:t>
            </w:r>
          </w:p>
        </w:tc>
        <w:tc>
          <w:tcPr>
            <w:tcW w:w="1915" w:type="dxa"/>
          </w:tcPr>
          <w:p w14:paraId="45ED546A" w14:textId="77777777" w:rsidR="007A1FDC" w:rsidRPr="004A0C12" w:rsidRDefault="007A1FDC" w:rsidP="007A1FD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8</w:t>
            </w:r>
          </w:p>
        </w:tc>
        <w:tc>
          <w:tcPr>
            <w:cnfStyle w:val="000010000000" w:firstRow="0" w:lastRow="0" w:firstColumn="0" w:lastColumn="0" w:oddVBand="1" w:evenVBand="0" w:oddHBand="0" w:evenHBand="0" w:firstRowFirstColumn="0" w:firstRowLastColumn="0" w:lastRowFirstColumn="0" w:lastRowLastColumn="0"/>
            <w:tcW w:w="1915" w:type="dxa"/>
          </w:tcPr>
          <w:p w14:paraId="3CCC40F2" w14:textId="77777777" w:rsidR="007A1FDC" w:rsidRPr="004A0C12" w:rsidRDefault="007A1FDC" w:rsidP="007A1FDC">
            <w:pPr>
              <w:jc w:val="both"/>
              <w:rPr>
                <w:rFonts w:ascii="Garamond" w:hAnsi="Garamond"/>
                <w:sz w:val="22"/>
                <w:szCs w:val="22"/>
              </w:rPr>
            </w:pPr>
            <w:r w:rsidRPr="004A0C12">
              <w:rPr>
                <w:rFonts w:ascii="Garamond" w:hAnsi="Garamond"/>
                <w:sz w:val="22"/>
                <w:szCs w:val="22"/>
              </w:rPr>
              <w:t>7.7</w:t>
            </w:r>
          </w:p>
        </w:tc>
      </w:tr>
      <w:tr w:rsidR="007A1FDC" w:rsidRPr="004A0C12" w14:paraId="190E8158" w14:textId="77777777" w:rsidTr="00530FA0">
        <w:trPr>
          <w:cnfStyle w:val="000000100000" w:firstRow="0" w:lastRow="0" w:firstColumn="0" w:lastColumn="0" w:oddVBand="0" w:evenVBand="0" w:oddHBand="1" w:evenHBand="0" w:firstRowFirstColumn="0" w:firstRowLastColumn="0" w:lastRowFirstColumn="0" w:lastRowLastColumn="0"/>
          <w:trHeight w:val="340"/>
          <w:jc w:val="center"/>
        </w:trPr>
        <w:tc>
          <w:tcPr>
            <w:cnfStyle w:val="000010000000" w:firstRow="0" w:lastRow="0" w:firstColumn="0" w:lastColumn="0" w:oddVBand="1" w:evenVBand="0" w:oddHBand="0" w:evenHBand="0" w:firstRowFirstColumn="0" w:firstRowLastColumn="0" w:lastRowFirstColumn="0" w:lastRowLastColumn="0"/>
            <w:tcW w:w="2178" w:type="dxa"/>
          </w:tcPr>
          <w:p w14:paraId="0F4F16E2" w14:textId="77777777" w:rsidR="007A1FDC" w:rsidRPr="004A0C12" w:rsidRDefault="007A1FDC" w:rsidP="007A1FDC">
            <w:pPr>
              <w:rPr>
                <w:rFonts w:ascii="Garamond" w:hAnsi="Garamond"/>
                <w:sz w:val="22"/>
                <w:szCs w:val="22"/>
              </w:rPr>
            </w:pPr>
            <w:r w:rsidRPr="004A0C12">
              <w:rPr>
                <w:rFonts w:ascii="Garamond" w:hAnsi="Garamond"/>
                <w:sz w:val="22"/>
                <w:szCs w:val="22"/>
              </w:rPr>
              <w:t>5. Central MD</w:t>
            </w:r>
          </w:p>
        </w:tc>
        <w:tc>
          <w:tcPr>
            <w:tcW w:w="1652" w:type="dxa"/>
          </w:tcPr>
          <w:p w14:paraId="682D86F6" w14:textId="77777777" w:rsidR="007A1FDC" w:rsidRPr="004A0C12" w:rsidRDefault="007A1FDC" w:rsidP="007A1FD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w:t>
            </w:r>
          </w:p>
        </w:tc>
        <w:tc>
          <w:tcPr>
            <w:cnfStyle w:val="000010000000" w:firstRow="0" w:lastRow="0" w:firstColumn="0" w:lastColumn="0" w:oddVBand="1" w:evenVBand="0" w:oddHBand="0" w:evenHBand="0" w:firstRowFirstColumn="0" w:firstRowLastColumn="0" w:lastRowFirstColumn="0" w:lastRowLastColumn="0"/>
            <w:tcW w:w="1915" w:type="dxa"/>
          </w:tcPr>
          <w:p w14:paraId="359F7850" w14:textId="77777777" w:rsidR="007A1FDC" w:rsidRPr="004A0C12" w:rsidRDefault="007A1FDC" w:rsidP="007A1FDC">
            <w:pPr>
              <w:jc w:val="both"/>
              <w:rPr>
                <w:rFonts w:ascii="Garamond" w:hAnsi="Garamond"/>
                <w:sz w:val="22"/>
                <w:szCs w:val="22"/>
              </w:rPr>
            </w:pPr>
            <w:r w:rsidRPr="004A0C12">
              <w:rPr>
                <w:rFonts w:ascii="Garamond" w:hAnsi="Garamond"/>
                <w:sz w:val="22"/>
                <w:szCs w:val="22"/>
              </w:rPr>
              <w:t>23.42</w:t>
            </w:r>
          </w:p>
        </w:tc>
        <w:tc>
          <w:tcPr>
            <w:tcW w:w="1915" w:type="dxa"/>
          </w:tcPr>
          <w:p w14:paraId="41D772F3" w14:textId="77777777" w:rsidR="007A1FDC" w:rsidRPr="004A0C12" w:rsidRDefault="007A1FDC" w:rsidP="007A1FDC">
            <w:pPr>
              <w:jc w:val="both"/>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23.6</w:t>
            </w:r>
          </w:p>
        </w:tc>
        <w:tc>
          <w:tcPr>
            <w:cnfStyle w:val="000010000000" w:firstRow="0" w:lastRow="0" w:firstColumn="0" w:lastColumn="0" w:oddVBand="1" w:evenVBand="0" w:oddHBand="0" w:evenHBand="0" w:firstRowFirstColumn="0" w:firstRowLastColumn="0" w:lastRowFirstColumn="0" w:lastRowLastColumn="0"/>
            <w:tcW w:w="1915" w:type="dxa"/>
          </w:tcPr>
          <w:p w14:paraId="01619E9C" w14:textId="77777777" w:rsidR="007A1FDC" w:rsidRPr="004A0C12" w:rsidRDefault="007A1FDC" w:rsidP="007A1FDC">
            <w:pPr>
              <w:jc w:val="both"/>
              <w:rPr>
                <w:rFonts w:ascii="Garamond" w:hAnsi="Garamond"/>
                <w:sz w:val="22"/>
                <w:szCs w:val="22"/>
              </w:rPr>
            </w:pPr>
            <w:r w:rsidRPr="004A0C12">
              <w:rPr>
                <w:rFonts w:ascii="Garamond" w:hAnsi="Garamond"/>
                <w:sz w:val="22"/>
                <w:szCs w:val="22"/>
              </w:rPr>
              <w:t>22.4</w:t>
            </w:r>
          </w:p>
        </w:tc>
      </w:tr>
      <w:tr w:rsidR="007A1FDC" w:rsidRPr="004A0C12" w14:paraId="0219302E" w14:textId="77777777" w:rsidTr="00530FA0">
        <w:trPr>
          <w:trHeight w:val="340"/>
          <w:jc w:val="center"/>
        </w:trPr>
        <w:tc>
          <w:tcPr>
            <w:cnfStyle w:val="000010000000" w:firstRow="0" w:lastRow="0" w:firstColumn="0" w:lastColumn="0" w:oddVBand="1" w:evenVBand="0" w:oddHBand="0" w:evenHBand="0" w:firstRowFirstColumn="0" w:firstRowLastColumn="0" w:lastRowFirstColumn="0" w:lastRowLastColumn="0"/>
            <w:tcW w:w="2178" w:type="dxa"/>
          </w:tcPr>
          <w:p w14:paraId="5C84C910" w14:textId="77777777" w:rsidR="007A1FDC" w:rsidRPr="004A0C12" w:rsidRDefault="007A1FDC" w:rsidP="007A1FDC">
            <w:pPr>
              <w:rPr>
                <w:rFonts w:ascii="Garamond" w:hAnsi="Garamond"/>
                <w:sz w:val="22"/>
                <w:szCs w:val="22"/>
              </w:rPr>
            </w:pPr>
            <w:r w:rsidRPr="004A0C12">
              <w:rPr>
                <w:rFonts w:ascii="Garamond" w:hAnsi="Garamond"/>
                <w:sz w:val="22"/>
                <w:szCs w:val="22"/>
              </w:rPr>
              <w:t>6. DC Suburbs</w:t>
            </w:r>
          </w:p>
        </w:tc>
        <w:tc>
          <w:tcPr>
            <w:tcW w:w="1652" w:type="dxa"/>
          </w:tcPr>
          <w:p w14:paraId="6D2243B6" w14:textId="77777777" w:rsidR="007A1FDC" w:rsidRPr="004A0C12" w:rsidRDefault="007A1FDC" w:rsidP="007A1FD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22</w:t>
            </w:r>
          </w:p>
        </w:tc>
        <w:tc>
          <w:tcPr>
            <w:cnfStyle w:val="000010000000" w:firstRow="0" w:lastRow="0" w:firstColumn="0" w:lastColumn="0" w:oddVBand="1" w:evenVBand="0" w:oddHBand="0" w:evenHBand="0" w:firstRowFirstColumn="0" w:firstRowLastColumn="0" w:lastRowFirstColumn="0" w:lastRowLastColumn="0"/>
            <w:tcW w:w="1915" w:type="dxa"/>
          </w:tcPr>
          <w:p w14:paraId="568C9DFE" w14:textId="77777777" w:rsidR="007A1FDC" w:rsidRPr="004A0C12" w:rsidRDefault="007A1FDC" w:rsidP="007A1FDC">
            <w:pPr>
              <w:jc w:val="both"/>
              <w:rPr>
                <w:rFonts w:ascii="Garamond" w:hAnsi="Garamond"/>
                <w:sz w:val="22"/>
                <w:szCs w:val="22"/>
              </w:rPr>
            </w:pPr>
            <w:r w:rsidRPr="004A0C12">
              <w:rPr>
                <w:rFonts w:ascii="Garamond" w:hAnsi="Garamond"/>
                <w:sz w:val="22"/>
                <w:szCs w:val="22"/>
              </w:rPr>
              <w:t>24.5</w:t>
            </w:r>
          </w:p>
        </w:tc>
        <w:tc>
          <w:tcPr>
            <w:tcW w:w="1915" w:type="dxa"/>
          </w:tcPr>
          <w:p w14:paraId="6B96034B" w14:textId="77777777" w:rsidR="007A1FDC" w:rsidRPr="004A0C12" w:rsidRDefault="007A1FDC" w:rsidP="007A1FDC">
            <w:pPr>
              <w:jc w:val="both"/>
              <w:cnfStyle w:val="000000000000" w:firstRow="0"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19.3</w:t>
            </w:r>
          </w:p>
        </w:tc>
        <w:tc>
          <w:tcPr>
            <w:cnfStyle w:val="000010000000" w:firstRow="0" w:lastRow="0" w:firstColumn="0" w:lastColumn="0" w:oddVBand="1" w:evenVBand="0" w:oddHBand="0" w:evenHBand="0" w:firstRowFirstColumn="0" w:firstRowLastColumn="0" w:lastRowFirstColumn="0" w:lastRowLastColumn="0"/>
            <w:tcW w:w="1915" w:type="dxa"/>
          </w:tcPr>
          <w:p w14:paraId="75095545" w14:textId="77777777" w:rsidR="007A1FDC" w:rsidRPr="004A0C12" w:rsidRDefault="007A1FDC" w:rsidP="007A1FDC">
            <w:pPr>
              <w:jc w:val="both"/>
              <w:rPr>
                <w:rFonts w:ascii="Garamond" w:hAnsi="Garamond"/>
                <w:sz w:val="22"/>
                <w:szCs w:val="22"/>
              </w:rPr>
            </w:pPr>
            <w:r w:rsidRPr="004A0C12">
              <w:rPr>
                <w:rFonts w:ascii="Garamond" w:hAnsi="Garamond"/>
                <w:sz w:val="22"/>
                <w:szCs w:val="22"/>
              </w:rPr>
              <w:t>31</w:t>
            </w:r>
          </w:p>
        </w:tc>
      </w:tr>
    </w:tbl>
    <w:p w14:paraId="1B5A0EC8" w14:textId="77777777" w:rsidR="007A1FDC" w:rsidRPr="004A0C12" w:rsidRDefault="007A1FDC" w:rsidP="007A1FDC">
      <w:pPr>
        <w:spacing w:after="0" w:line="240" w:lineRule="auto"/>
        <w:jc w:val="both"/>
        <w:rPr>
          <w:rFonts w:ascii="Garamond" w:hAnsi="Garamond"/>
        </w:rPr>
      </w:pPr>
    </w:p>
    <w:p w14:paraId="5A92EEAD" w14:textId="6C875E3C" w:rsidR="007A1FDC" w:rsidRPr="004A0C12" w:rsidRDefault="00FE394B" w:rsidP="007A1FDC">
      <w:pPr>
        <w:spacing w:after="0" w:line="240" w:lineRule="auto"/>
        <w:jc w:val="both"/>
        <w:rPr>
          <w:rFonts w:ascii="Garamond" w:hAnsi="Garamond"/>
        </w:rPr>
      </w:pPr>
      <w:r w:rsidRPr="004A0C12">
        <w:rPr>
          <w:rFonts w:ascii="Garamond" w:hAnsi="Garamond"/>
        </w:rPr>
        <w:t xml:space="preserve">Needs Concerns: </w:t>
      </w:r>
      <w:r w:rsidR="007A1FDC" w:rsidRPr="004A0C12">
        <w:rPr>
          <w:rFonts w:ascii="Garamond" w:hAnsi="Garamond"/>
        </w:rPr>
        <w:t>At least annually, and when vacancies in rehabilitation counselors occur, consider redeployment to assure that there are sufficient numbers of counselors to meet the needs of individuals with disabilities in each region, consistent with the proportion of individuals with disabili</w:t>
      </w:r>
      <w:r w:rsidR="00190708" w:rsidRPr="004A0C12">
        <w:rPr>
          <w:rFonts w:ascii="Garamond" w:hAnsi="Garamond"/>
        </w:rPr>
        <w:t xml:space="preserve">ties, SSI/SSDI disability recipients, </w:t>
      </w:r>
      <w:r w:rsidR="007A1FDC" w:rsidRPr="004A0C12">
        <w:rPr>
          <w:rFonts w:ascii="Garamond" w:hAnsi="Garamond"/>
        </w:rPr>
        <w:t>and special education students, by region. Current da</w:t>
      </w:r>
      <w:r w:rsidR="00190708" w:rsidRPr="004A0C12">
        <w:rPr>
          <w:rFonts w:ascii="Garamond" w:hAnsi="Garamond"/>
        </w:rPr>
        <w:t>ta suggest that consideration should be given to reassigning</w:t>
      </w:r>
      <w:r w:rsidR="007A1FDC" w:rsidRPr="004A0C12">
        <w:rPr>
          <w:rFonts w:ascii="Garamond" w:hAnsi="Garamond"/>
        </w:rPr>
        <w:t xml:space="preserve"> Western Maryland</w:t>
      </w:r>
      <w:r w:rsidR="00190708" w:rsidRPr="004A0C12">
        <w:rPr>
          <w:rFonts w:ascii="Garamond" w:hAnsi="Garamond"/>
        </w:rPr>
        <w:t xml:space="preserve"> vacancies</w:t>
      </w:r>
      <w:r w:rsidR="007A1FDC" w:rsidRPr="004A0C12">
        <w:rPr>
          <w:rFonts w:ascii="Garamond" w:hAnsi="Garamond"/>
        </w:rPr>
        <w:t xml:space="preserve"> to Central Marylan</w:t>
      </w:r>
      <w:r w:rsidR="00190708" w:rsidRPr="004A0C12">
        <w:rPr>
          <w:rFonts w:ascii="Garamond" w:hAnsi="Garamond"/>
        </w:rPr>
        <w:t>d or the Washington DC Suburbs (</w:t>
      </w:r>
      <w:r w:rsidR="007A1FDC" w:rsidRPr="004A0C12">
        <w:rPr>
          <w:rFonts w:ascii="Garamond" w:hAnsi="Garamond"/>
        </w:rPr>
        <w:t>Prince Georges and Montgomery Counties</w:t>
      </w:r>
      <w:r w:rsidR="00190708" w:rsidRPr="004A0C12">
        <w:rPr>
          <w:rFonts w:ascii="Garamond" w:hAnsi="Garamond"/>
        </w:rPr>
        <w:t xml:space="preserve">). </w:t>
      </w:r>
      <w:r w:rsidR="007A1FDC" w:rsidRPr="004A0C12">
        <w:rPr>
          <w:rFonts w:ascii="Garamond" w:hAnsi="Garamond"/>
        </w:rPr>
        <w:t>This distribution should also be taken into</w:t>
      </w:r>
      <w:r w:rsidR="00190708" w:rsidRPr="004A0C12">
        <w:rPr>
          <w:rFonts w:ascii="Garamond" w:hAnsi="Garamond"/>
        </w:rPr>
        <w:t xml:space="preserve"> account in program development</w:t>
      </w:r>
      <w:r w:rsidR="007A1FDC" w:rsidRPr="004A0C12">
        <w:rPr>
          <w:rFonts w:ascii="Garamond" w:hAnsi="Garamond"/>
        </w:rPr>
        <w:t xml:space="preserve"> </w:t>
      </w:r>
      <w:r w:rsidR="00190708" w:rsidRPr="004A0C12">
        <w:rPr>
          <w:rFonts w:ascii="Garamond" w:hAnsi="Garamond"/>
        </w:rPr>
        <w:t>(</w:t>
      </w:r>
      <w:r w:rsidR="007A1FDC" w:rsidRPr="004A0C12">
        <w:rPr>
          <w:rFonts w:ascii="Garamond" w:hAnsi="Garamond"/>
        </w:rPr>
        <w:t>e.g., in implementing transitioning progra</w:t>
      </w:r>
      <w:r w:rsidR="00431254" w:rsidRPr="004A0C12">
        <w:rPr>
          <w:rFonts w:ascii="Garamond" w:hAnsi="Garamond"/>
        </w:rPr>
        <w:t>ms in areas with greatest need</w:t>
      </w:r>
      <w:r w:rsidR="00190708" w:rsidRPr="004A0C12">
        <w:rPr>
          <w:rFonts w:ascii="Garamond" w:hAnsi="Garamond"/>
        </w:rPr>
        <w:t>)</w:t>
      </w:r>
      <w:r w:rsidR="00431254" w:rsidRPr="004A0C12">
        <w:rPr>
          <w:rFonts w:ascii="Garamond" w:hAnsi="Garamond"/>
        </w:rPr>
        <w:t>.</w:t>
      </w:r>
    </w:p>
    <w:p w14:paraId="51DB52CA" w14:textId="74CA73A2" w:rsidR="007A1FDC" w:rsidRPr="00594970" w:rsidRDefault="007A1FDC" w:rsidP="00431254">
      <w:pPr>
        <w:pStyle w:val="Heading3"/>
        <w:rPr>
          <w:rFonts w:ascii="Garamond" w:hAnsi="Garamond"/>
          <w:sz w:val="24"/>
          <w:szCs w:val="24"/>
        </w:rPr>
      </w:pPr>
      <w:bookmarkStart w:id="218" w:name="_Toc447276245"/>
      <w:r w:rsidRPr="00594970">
        <w:rPr>
          <w:rFonts w:ascii="Garamond" w:hAnsi="Garamond"/>
          <w:sz w:val="24"/>
          <w:szCs w:val="24"/>
        </w:rPr>
        <w:t>Utilization of Mental Health Supported Employment Services Background</w:t>
      </w:r>
      <w:bookmarkEnd w:id="218"/>
    </w:p>
    <w:p w14:paraId="6603F775" w14:textId="2D6646F2" w:rsidR="007A1FDC" w:rsidRPr="004A0C12" w:rsidRDefault="007A1FDC" w:rsidP="007A1FDC">
      <w:pPr>
        <w:spacing w:after="0" w:line="240" w:lineRule="auto"/>
        <w:jc w:val="both"/>
        <w:rPr>
          <w:rFonts w:ascii="Garamond" w:hAnsi="Garamond"/>
        </w:rPr>
      </w:pPr>
      <w:r w:rsidRPr="004A0C12">
        <w:rPr>
          <w:rFonts w:ascii="Garamond" w:hAnsi="Garamond"/>
        </w:rPr>
        <w:t>DORS sought to ascertain the current utilization of mental health supported employment programs</w:t>
      </w:r>
      <w:r w:rsidR="00987BA0" w:rsidRPr="004A0C12">
        <w:rPr>
          <w:rFonts w:ascii="Garamond" w:hAnsi="Garamond"/>
        </w:rPr>
        <w:t>,</w:t>
      </w:r>
      <w:r w:rsidRPr="004A0C12">
        <w:rPr>
          <w:rFonts w:ascii="Garamond" w:hAnsi="Garamond"/>
        </w:rPr>
        <w:t xml:space="preserve"> by county</w:t>
      </w:r>
      <w:r w:rsidR="00987BA0" w:rsidRPr="004A0C12">
        <w:rPr>
          <w:rFonts w:ascii="Garamond" w:hAnsi="Garamond"/>
        </w:rPr>
        <w:t>,</w:t>
      </w:r>
      <w:r w:rsidRPr="004A0C12">
        <w:rPr>
          <w:rFonts w:ascii="Garamond" w:hAnsi="Garamond"/>
        </w:rPr>
        <w:t xml:space="preserve"> to examine the need for further program development, and sta</w:t>
      </w:r>
      <w:r w:rsidR="00987BA0" w:rsidRPr="004A0C12">
        <w:rPr>
          <w:rFonts w:ascii="Garamond" w:hAnsi="Garamond"/>
        </w:rPr>
        <w:t xml:space="preserve">ff and provider training needs. </w:t>
      </w:r>
      <w:r w:rsidRPr="004A0C12">
        <w:rPr>
          <w:rFonts w:ascii="Garamond" w:hAnsi="Garamond"/>
        </w:rPr>
        <w:t xml:space="preserve">Individuals </w:t>
      </w:r>
      <w:r w:rsidR="00987BA0" w:rsidRPr="004A0C12">
        <w:rPr>
          <w:rFonts w:ascii="Garamond" w:hAnsi="Garamond"/>
        </w:rPr>
        <w:t>with psychiatric disabilities are</w:t>
      </w:r>
      <w:r w:rsidRPr="004A0C12">
        <w:rPr>
          <w:rFonts w:ascii="Garamond" w:hAnsi="Garamond"/>
        </w:rPr>
        <w:t xml:space="preserve"> the largest disability population served by DORS, and access to supported employment services is important for success. </w:t>
      </w:r>
    </w:p>
    <w:p w14:paraId="413928CF" w14:textId="77777777" w:rsidR="007A1FDC" w:rsidRPr="004A0C12" w:rsidRDefault="007A1FDC" w:rsidP="007A1FDC">
      <w:pPr>
        <w:spacing w:after="0" w:line="240" w:lineRule="auto"/>
        <w:jc w:val="both"/>
        <w:rPr>
          <w:rFonts w:ascii="Garamond" w:hAnsi="Garamond"/>
        </w:rPr>
      </w:pPr>
    </w:p>
    <w:p w14:paraId="035B7D59" w14:textId="1B18499B" w:rsidR="007A1FDC" w:rsidRPr="004A0C12" w:rsidRDefault="00987BA0" w:rsidP="007A1FDC">
      <w:pPr>
        <w:spacing w:after="0" w:line="240" w:lineRule="auto"/>
        <w:jc w:val="both"/>
        <w:rPr>
          <w:rFonts w:ascii="Garamond" w:hAnsi="Garamond"/>
        </w:rPr>
      </w:pPr>
      <w:r w:rsidRPr="004A0C12">
        <w:rPr>
          <w:rFonts w:ascii="Garamond" w:hAnsi="Garamond"/>
        </w:rPr>
        <w:t xml:space="preserve">Methodology: </w:t>
      </w:r>
      <w:r w:rsidR="007E0EDC" w:rsidRPr="004A0C12">
        <w:rPr>
          <w:rFonts w:ascii="Garamond" w:hAnsi="Garamond"/>
        </w:rPr>
        <w:t>DORS</w:t>
      </w:r>
      <w:r w:rsidR="007A1FDC" w:rsidRPr="004A0C12">
        <w:rPr>
          <w:rFonts w:ascii="Garamond" w:hAnsi="Garamond"/>
        </w:rPr>
        <w:t xml:space="preserve"> obtained</w:t>
      </w:r>
      <w:r w:rsidR="007E0EDC" w:rsidRPr="004A0C12">
        <w:rPr>
          <w:rFonts w:ascii="Garamond" w:hAnsi="Garamond"/>
        </w:rPr>
        <w:t xml:space="preserve"> data</w:t>
      </w:r>
      <w:r w:rsidR="007A1FDC" w:rsidRPr="004A0C12">
        <w:rPr>
          <w:rFonts w:ascii="Garamond" w:hAnsi="Garamond"/>
        </w:rPr>
        <w:t xml:space="preserve"> from the Department of </w:t>
      </w:r>
      <w:r w:rsidRPr="004A0C12">
        <w:rPr>
          <w:rFonts w:ascii="Garamond" w:hAnsi="Garamond"/>
        </w:rPr>
        <w:t>Health and Mental Hygiene</w:t>
      </w:r>
      <w:r w:rsidR="007A1FDC" w:rsidRPr="004A0C12">
        <w:rPr>
          <w:rFonts w:ascii="Garamond" w:hAnsi="Garamond"/>
        </w:rPr>
        <w:t xml:space="preserve"> regarding the number of individuals served in mental health supported employment programs in Maryland</w:t>
      </w:r>
      <w:r w:rsidR="007E0EDC" w:rsidRPr="004A0C12">
        <w:rPr>
          <w:rFonts w:ascii="Garamond" w:hAnsi="Garamond"/>
        </w:rPr>
        <w:t>,</w:t>
      </w:r>
      <w:r w:rsidR="007A1FDC" w:rsidRPr="004A0C12">
        <w:rPr>
          <w:rFonts w:ascii="Garamond" w:hAnsi="Garamond"/>
        </w:rPr>
        <w:t xml:space="preserve"> by county</w:t>
      </w:r>
      <w:r w:rsidR="007E0EDC" w:rsidRPr="004A0C12">
        <w:rPr>
          <w:rFonts w:ascii="Garamond" w:hAnsi="Garamond"/>
        </w:rPr>
        <w:t>,</w:t>
      </w:r>
      <w:r w:rsidR="007A1FDC" w:rsidRPr="004A0C12">
        <w:rPr>
          <w:rFonts w:ascii="Garamond" w:hAnsi="Garamond"/>
        </w:rPr>
        <w:t xml:space="preserve"> and compared that to the number of individuals served overall</w:t>
      </w:r>
      <w:r w:rsidR="00961036" w:rsidRPr="004A0C12">
        <w:rPr>
          <w:rFonts w:ascii="Garamond" w:hAnsi="Garamond"/>
        </w:rPr>
        <w:t xml:space="preserve"> by</w:t>
      </w:r>
      <w:r w:rsidR="007A1FDC" w:rsidRPr="004A0C12">
        <w:rPr>
          <w:rFonts w:ascii="Garamond" w:hAnsi="Garamond"/>
        </w:rPr>
        <w:t xml:space="preserve"> psychiatric rehabilitation services for FY 2012. The following results were obtained regarding the percentage of individuals enrolled in psychiatric rehabilitation services utilizing supported employment serv</w:t>
      </w:r>
      <w:r w:rsidR="007E0EDC" w:rsidRPr="004A0C12">
        <w:rPr>
          <w:rFonts w:ascii="Garamond" w:hAnsi="Garamond"/>
        </w:rPr>
        <w:t>ices, by county, during FY 2012:</w:t>
      </w:r>
    </w:p>
    <w:tbl>
      <w:tblPr>
        <w:tblStyle w:val="PlainTable11"/>
        <w:tblpPr w:leftFromText="180" w:rightFromText="180" w:vertAnchor="text" w:horzAnchor="page" w:tblpX="2785" w:tblpY="136"/>
        <w:tblW w:w="0" w:type="auto"/>
        <w:tblLook w:val="04A0" w:firstRow="1" w:lastRow="0" w:firstColumn="1" w:lastColumn="0" w:noHBand="0" w:noVBand="1"/>
        <w:tblCaption w:val="Percentage of Individuals Enrolled in Psychiatric Rehabilitation Services Using Supported Employment Services by County"/>
        <w:tblDescription w:val="Allegany 6.9%; Anne Arundel 34%; Baltimore City 11%;  Baltimore County 15%; Calvert 57%; Caroline 15%; Carroll 75%; Cecil 32%; Charles  67%; Dorchester 19%; Frederick 56%; Garrett 22%;  Harford 11%; Howard 71%; Kent 39%; Montgomery 59%; Prince George’s 14%; Queen Anne’s 48%; Somerset 7%; St. Mary’s 100%; Talbot 26% Washington 51%; Wicomico 14%; Worcester 6%; STATEWIDE 25%; and Out-of-State 33%. &#10;"/>
      </w:tblPr>
      <w:tblGrid>
        <w:gridCol w:w="2178"/>
        <w:gridCol w:w="3724"/>
      </w:tblGrid>
      <w:tr w:rsidR="007E0EDC" w:rsidRPr="004A0C12" w14:paraId="4A6A131E" w14:textId="77777777" w:rsidTr="008B1D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78" w:type="dxa"/>
          </w:tcPr>
          <w:p w14:paraId="1F2A385B" w14:textId="77777777" w:rsidR="007E0EDC" w:rsidRPr="004A0C12" w:rsidRDefault="007E0EDC" w:rsidP="007E0EDC">
            <w:pPr>
              <w:jc w:val="center"/>
              <w:rPr>
                <w:rFonts w:ascii="Garamond" w:hAnsi="Garamond"/>
                <w:sz w:val="22"/>
                <w:szCs w:val="22"/>
              </w:rPr>
            </w:pPr>
            <w:r w:rsidRPr="004A0C12">
              <w:rPr>
                <w:rFonts w:ascii="Garamond" w:hAnsi="Garamond"/>
                <w:sz w:val="22"/>
                <w:szCs w:val="22"/>
              </w:rPr>
              <w:lastRenderedPageBreak/>
              <w:t>County</w:t>
            </w:r>
          </w:p>
        </w:tc>
        <w:tc>
          <w:tcPr>
            <w:tcW w:w="3724" w:type="dxa"/>
          </w:tcPr>
          <w:p w14:paraId="31C0BEF2" w14:textId="77777777" w:rsidR="007E0EDC" w:rsidRPr="004A0C12" w:rsidRDefault="007E0EDC" w:rsidP="007E0EDC">
            <w:pPr>
              <w:jc w:val="center"/>
              <w:cnfStyle w:val="100000000000" w:firstRow="1" w:lastRow="0" w:firstColumn="0" w:lastColumn="0" w:oddVBand="0" w:evenVBand="0" w:oddHBand="0" w:evenHBand="0" w:firstRowFirstColumn="0" w:firstRowLastColumn="0" w:lastRowFirstColumn="0" w:lastRowLastColumn="0"/>
              <w:rPr>
                <w:rFonts w:ascii="Garamond" w:hAnsi="Garamond"/>
                <w:sz w:val="22"/>
                <w:szCs w:val="22"/>
              </w:rPr>
            </w:pPr>
            <w:r w:rsidRPr="004A0C12">
              <w:rPr>
                <w:rFonts w:ascii="Garamond" w:hAnsi="Garamond"/>
                <w:sz w:val="22"/>
                <w:szCs w:val="22"/>
              </w:rPr>
              <w:t>Percentage of Individuals Enrolled in Psychiatric Rehabilitation Services Using Supported Employment Services</w:t>
            </w:r>
          </w:p>
        </w:tc>
      </w:tr>
      <w:tr w:rsidR="007E0EDC" w:rsidRPr="004A0C12" w14:paraId="5E14295B"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626C517E" w14:textId="77777777" w:rsidR="007E0EDC" w:rsidRPr="004A0C12" w:rsidRDefault="007E0EDC" w:rsidP="007E0EDC">
            <w:pPr>
              <w:rPr>
                <w:rFonts w:ascii="Garamond" w:hAnsi="Garamond"/>
                <w:sz w:val="22"/>
                <w:szCs w:val="22"/>
              </w:rPr>
            </w:pPr>
            <w:r w:rsidRPr="004A0C12">
              <w:rPr>
                <w:rFonts w:ascii="Garamond" w:hAnsi="Garamond"/>
                <w:sz w:val="22"/>
                <w:szCs w:val="22"/>
              </w:rPr>
              <w:t>Allegany</w:t>
            </w:r>
          </w:p>
        </w:tc>
        <w:tc>
          <w:tcPr>
            <w:tcW w:w="3724" w:type="dxa"/>
          </w:tcPr>
          <w:p w14:paraId="707F48AE"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6.9%</w:t>
            </w:r>
          </w:p>
        </w:tc>
      </w:tr>
      <w:tr w:rsidR="007E0EDC" w:rsidRPr="004A0C12" w14:paraId="5083B3CE"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46836259" w14:textId="77777777" w:rsidR="007E0EDC" w:rsidRPr="004A0C12" w:rsidRDefault="007E0EDC" w:rsidP="007E0EDC">
            <w:pPr>
              <w:rPr>
                <w:rFonts w:ascii="Garamond" w:hAnsi="Garamond"/>
                <w:sz w:val="22"/>
                <w:szCs w:val="22"/>
              </w:rPr>
            </w:pPr>
            <w:r w:rsidRPr="004A0C12">
              <w:rPr>
                <w:rFonts w:ascii="Garamond" w:hAnsi="Garamond"/>
                <w:sz w:val="22"/>
                <w:szCs w:val="22"/>
              </w:rPr>
              <w:t>Anne Arundel</w:t>
            </w:r>
          </w:p>
        </w:tc>
        <w:tc>
          <w:tcPr>
            <w:tcW w:w="3724" w:type="dxa"/>
          </w:tcPr>
          <w:p w14:paraId="3960C574"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34%</w:t>
            </w:r>
          </w:p>
        </w:tc>
      </w:tr>
      <w:tr w:rsidR="007E0EDC" w:rsidRPr="004A0C12" w14:paraId="439C1060"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6795B64F" w14:textId="77777777" w:rsidR="007E0EDC" w:rsidRPr="004A0C12" w:rsidRDefault="007E0EDC" w:rsidP="007E0EDC">
            <w:pPr>
              <w:rPr>
                <w:rFonts w:ascii="Garamond" w:hAnsi="Garamond"/>
                <w:sz w:val="22"/>
                <w:szCs w:val="22"/>
              </w:rPr>
            </w:pPr>
            <w:r w:rsidRPr="004A0C12">
              <w:rPr>
                <w:rFonts w:ascii="Garamond" w:hAnsi="Garamond"/>
                <w:sz w:val="22"/>
                <w:szCs w:val="22"/>
              </w:rPr>
              <w:t>Baltimore City</w:t>
            </w:r>
          </w:p>
        </w:tc>
        <w:tc>
          <w:tcPr>
            <w:tcW w:w="3724" w:type="dxa"/>
          </w:tcPr>
          <w:p w14:paraId="757FD1AF"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11%</w:t>
            </w:r>
          </w:p>
        </w:tc>
      </w:tr>
      <w:tr w:rsidR="007E0EDC" w:rsidRPr="004A0C12" w14:paraId="1668C8DD"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552CF8A2" w14:textId="77777777" w:rsidR="007E0EDC" w:rsidRPr="004A0C12" w:rsidRDefault="007E0EDC" w:rsidP="007E0EDC">
            <w:pPr>
              <w:rPr>
                <w:rFonts w:ascii="Garamond" w:hAnsi="Garamond"/>
                <w:sz w:val="22"/>
                <w:szCs w:val="22"/>
              </w:rPr>
            </w:pPr>
            <w:r w:rsidRPr="004A0C12">
              <w:rPr>
                <w:rFonts w:ascii="Garamond" w:hAnsi="Garamond"/>
                <w:sz w:val="22"/>
                <w:szCs w:val="22"/>
              </w:rPr>
              <w:t>Baltimore County</w:t>
            </w:r>
          </w:p>
        </w:tc>
        <w:tc>
          <w:tcPr>
            <w:tcW w:w="3724" w:type="dxa"/>
          </w:tcPr>
          <w:p w14:paraId="394B3CD0"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15%</w:t>
            </w:r>
          </w:p>
        </w:tc>
      </w:tr>
      <w:tr w:rsidR="007E0EDC" w:rsidRPr="004A0C12" w14:paraId="1DBB1380"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4CEE7CD5" w14:textId="77777777" w:rsidR="007E0EDC" w:rsidRPr="004A0C12" w:rsidRDefault="007E0EDC" w:rsidP="007E0EDC">
            <w:pPr>
              <w:rPr>
                <w:rFonts w:ascii="Garamond" w:hAnsi="Garamond"/>
                <w:sz w:val="22"/>
                <w:szCs w:val="22"/>
              </w:rPr>
            </w:pPr>
            <w:r w:rsidRPr="004A0C12">
              <w:rPr>
                <w:rFonts w:ascii="Garamond" w:hAnsi="Garamond"/>
                <w:sz w:val="22"/>
                <w:szCs w:val="22"/>
              </w:rPr>
              <w:t>Calvert</w:t>
            </w:r>
          </w:p>
        </w:tc>
        <w:tc>
          <w:tcPr>
            <w:tcW w:w="3724" w:type="dxa"/>
          </w:tcPr>
          <w:p w14:paraId="7437DA35"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57%</w:t>
            </w:r>
          </w:p>
        </w:tc>
      </w:tr>
      <w:tr w:rsidR="007E0EDC" w:rsidRPr="004A0C12" w14:paraId="157899B3"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2CE7CCB9" w14:textId="77777777" w:rsidR="007E0EDC" w:rsidRPr="004A0C12" w:rsidRDefault="007E0EDC" w:rsidP="007E0EDC">
            <w:pPr>
              <w:rPr>
                <w:rFonts w:ascii="Garamond" w:hAnsi="Garamond"/>
                <w:sz w:val="22"/>
                <w:szCs w:val="22"/>
              </w:rPr>
            </w:pPr>
            <w:r w:rsidRPr="004A0C12">
              <w:rPr>
                <w:rFonts w:ascii="Garamond" w:hAnsi="Garamond"/>
                <w:sz w:val="22"/>
                <w:szCs w:val="22"/>
              </w:rPr>
              <w:t>Caroline</w:t>
            </w:r>
          </w:p>
        </w:tc>
        <w:tc>
          <w:tcPr>
            <w:tcW w:w="3724" w:type="dxa"/>
          </w:tcPr>
          <w:p w14:paraId="53A5AA06"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15%</w:t>
            </w:r>
          </w:p>
        </w:tc>
      </w:tr>
      <w:tr w:rsidR="007E0EDC" w:rsidRPr="004A0C12" w14:paraId="5F6DADC5"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4EAD229F" w14:textId="77777777" w:rsidR="007E0EDC" w:rsidRPr="004A0C12" w:rsidRDefault="007E0EDC" w:rsidP="007E0EDC">
            <w:pPr>
              <w:rPr>
                <w:rFonts w:ascii="Garamond" w:hAnsi="Garamond"/>
                <w:sz w:val="22"/>
                <w:szCs w:val="22"/>
              </w:rPr>
            </w:pPr>
            <w:r w:rsidRPr="004A0C12">
              <w:rPr>
                <w:rFonts w:ascii="Garamond" w:hAnsi="Garamond"/>
                <w:sz w:val="22"/>
                <w:szCs w:val="22"/>
              </w:rPr>
              <w:t>Carroll</w:t>
            </w:r>
          </w:p>
        </w:tc>
        <w:tc>
          <w:tcPr>
            <w:tcW w:w="3724" w:type="dxa"/>
          </w:tcPr>
          <w:p w14:paraId="6316093F"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75%</w:t>
            </w:r>
          </w:p>
        </w:tc>
      </w:tr>
      <w:tr w:rsidR="007E0EDC" w:rsidRPr="004A0C12" w14:paraId="2471FB8B"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0DB05063" w14:textId="77777777" w:rsidR="007E0EDC" w:rsidRPr="004A0C12" w:rsidRDefault="007E0EDC" w:rsidP="007E0EDC">
            <w:pPr>
              <w:rPr>
                <w:rFonts w:ascii="Garamond" w:hAnsi="Garamond"/>
                <w:sz w:val="22"/>
                <w:szCs w:val="22"/>
              </w:rPr>
            </w:pPr>
            <w:r w:rsidRPr="004A0C12">
              <w:rPr>
                <w:rFonts w:ascii="Garamond" w:hAnsi="Garamond"/>
                <w:sz w:val="22"/>
                <w:szCs w:val="22"/>
              </w:rPr>
              <w:t>Cecil</w:t>
            </w:r>
          </w:p>
        </w:tc>
        <w:tc>
          <w:tcPr>
            <w:tcW w:w="3724" w:type="dxa"/>
          </w:tcPr>
          <w:p w14:paraId="40089612"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32%</w:t>
            </w:r>
          </w:p>
        </w:tc>
      </w:tr>
      <w:tr w:rsidR="007E0EDC" w:rsidRPr="004A0C12" w14:paraId="31702F59"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43CBD684" w14:textId="77777777" w:rsidR="007E0EDC" w:rsidRPr="004A0C12" w:rsidRDefault="007E0EDC" w:rsidP="007E0EDC">
            <w:pPr>
              <w:rPr>
                <w:rFonts w:ascii="Garamond" w:hAnsi="Garamond"/>
                <w:sz w:val="22"/>
                <w:szCs w:val="22"/>
              </w:rPr>
            </w:pPr>
            <w:r w:rsidRPr="004A0C12">
              <w:rPr>
                <w:rFonts w:ascii="Garamond" w:hAnsi="Garamond"/>
                <w:sz w:val="22"/>
                <w:szCs w:val="22"/>
              </w:rPr>
              <w:t>Charles</w:t>
            </w:r>
          </w:p>
        </w:tc>
        <w:tc>
          <w:tcPr>
            <w:tcW w:w="3724" w:type="dxa"/>
          </w:tcPr>
          <w:p w14:paraId="7DF169AE"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67%</w:t>
            </w:r>
          </w:p>
        </w:tc>
      </w:tr>
      <w:tr w:rsidR="007E0EDC" w:rsidRPr="004A0C12" w14:paraId="61BD3D22"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37D53BD4" w14:textId="77777777" w:rsidR="007E0EDC" w:rsidRPr="004A0C12" w:rsidRDefault="007E0EDC" w:rsidP="007E0EDC">
            <w:pPr>
              <w:rPr>
                <w:rFonts w:ascii="Garamond" w:hAnsi="Garamond"/>
                <w:sz w:val="22"/>
                <w:szCs w:val="22"/>
              </w:rPr>
            </w:pPr>
            <w:r w:rsidRPr="004A0C12">
              <w:rPr>
                <w:rFonts w:ascii="Garamond" w:hAnsi="Garamond"/>
                <w:sz w:val="22"/>
                <w:szCs w:val="22"/>
              </w:rPr>
              <w:t>Dorchester</w:t>
            </w:r>
          </w:p>
        </w:tc>
        <w:tc>
          <w:tcPr>
            <w:tcW w:w="3724" w:type="dxa"/>
          </w:tcPr>
          <w:p w14:paraId="0A650D55"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19%</w:t>
            </w:r>
          </w:p>
        </w:tc>
      </w:tr>
      <w:tr w:rsidR="007E0EDC" w:rsidRPr="004A0C12" w14:paraId="47E1D7E8"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33DF3797" w14:textId="77777777" w:rsidR="007E0EDC" w:rsidRPr="004A0C12" w:rsidRDefault="007E0EDC" w:rsidP="007E0EDC">
            <w:pPr>
              <w:rPr>
                <w:rFonts w:ascii="Garamond" w:hAnsi="Garamond"/>
                <w:sz w:val="22"/>
                <w:szCs w:val="22"/>
              </w:rPr>
            </w:pPr>
            <w:r w:rsidRPr="004A0C12">
              <w:rPr>
                <w:rFonts w:ascii="Garamond" w:hAnsi="Garamond"/>
                <w:sz w:val="22"/>
                <w:szCs w:val="22"/>
              </w:rPr>
              <w:t>Frederick</w:t>
            </w:r>
          </w:p>
        </w:tc>
        <w:tc>
          <w:tcPr>
            <w:tcW w:w="3724" w:type="dxa"/>
          </w:tcPr>
          <w:p w14:paraId="15646776"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56%</w:t>
            </w:r>
          </w:p>
        </w:tc>
      </w:tr>
      <w:tr w:rsidR="007E0EDC" w:rsidRPr="004A0C12" w14:paraId="56932AE8"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3E24C868" w14:textId="77777777" w:rsidR="007E0EDC" w:rsidRPr="004A0C12" w:rsidRDefault="007E0EDC" w:rsidP="007E0EDC">
            <w:pPr>
              <w:rPr>
                <w:rFonts w:ascii="Garamond" w:hAnsi="Garamond"/>
                <w:sz w:val="22"/>
                <w:szCs w:val="22"/>
              </w:rPr>
            </w:pPr>
            <w:r w:rsidRPr="004A0C12">
              <w:rPr>
                <w:rFonts w:ascii="Garamond" w:hAnsi="Garamond"/>
                <w:sz w:val="22"/>
                <w:szCs w:val="22"/>
              </w:rPr>
              <w:t>Garrett</w:t>
            </w:r>
          </w:p>
        </w:tc>
        <w:tc>
          <w:tcPr>
            <w:tcW w:w="3724" w:type="dxa"/>
          </w:tcPr>
          <w:p w14:paraId="2429118E"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22%</w:t>
            </w:r>
          </w:p>
        </w:tc>
      </w:tr>
      <w:tr w:rsidR="007E0EDC" w:rsidRPr="004A0C12" w14:paraId="40DD6B9E"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66E1FA91" w14:textId="77777777" w:rsidR="007E0EDC" w:rsidRPr="004A0C12" w:rsidRDefault="007E0EDC" w:rsidP="007E0EDC">
            <w:pPr>
              <w:rPr>
                <w:rFonts w:ascii="Garamond" w:hAnsi="Garamond"/>
                <w:sz w:val="22"/>
                <w:szCs w:val="22"/>
              </w:rPr>
            </w:pPr>
            <w:r w:rsidRPr="004A0C12">
              <w:rPr>
                <w:rFonts w:ascii="Garamond" w:hAnsi="Garamond"/>
                <w:sz w:val="22"/>
                <w:szCs w:val="22"/>
              </w:rPr>
              <w:t>Harford</w:t>
            </w:r>
          </w:p>
        </w:tc>
        <w:tc>
          <w:tcPr>
            <w:tcW w:w="3724" w:type="dxa"/>
          </w:tcPr>
          <w:p w14:paraId="06568949"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11%</w:t>
            </w:r>
          </w:p>
        </w:tc>
      </w:tr>
      <w:tr w:rsidR="007E0EDC" w:rsidRPr="004A0C12" w14:paraId="062377AE"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09766BC9" w14:textId="77777777" w:rsidR="007E0EDC" w:rsidRPr="004A0C12" w:rsidRDefault="007E0EDC" w:rsidP="007E0EDC">
            <w:pPr>
              <w:rPr>
                <w:rFonts w:ascii="Garamond" w:hAnsi="Garamond"/>
                <w:sz w:val="22"/>
                <w:szCs w:val="22"/>
              </w:rPr>
            </w:pPr>
            <w:r w:rsidRPr="004A0C12">
              <w:rPr>
                <w:rFonts w:ascii="Garamond" w:hAnsi="Garamond"/>
                <w:sz w:val="22"/>
                <w:szCs w:val="22"/>
              </w:rPr>
              <w:t>Howard</w:t>
            </w:r>
          </w:p>
        </w:tc>
        <w:tc>
          <w:tcPr>
            <w:tcW w:w="3724" w:type="dxa"/>
          </w:tcPr>
          <w:p w14:paraId="1F11BA44"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71%</w:t>
            </w:r>
          </w:p>
        </w:tc>
      </w:tr>
      <w:tr w:rsidR="007E0EDC" w:rsidRPr="004A0C12" w14:paraId="7B12BE8D"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19B311CD" w14:textId="77777777" w:rsidR="007E0EDC" w:rsidRPr="004A0C12" w:rsidRDefault="007E0EDC" w:rsidP="007E0EDC">
            <w:pPr>
              <w:rPr>
                <w:rFonts w:ascii="Garamond" w:hAnsi="Garamond"/>
                <w:sz w:val="22"/>
                <w:szCs w:val="22"/>
              </w:rPr>
            </w:pPr>
            <w:r w:rsidRPr="004A0C12">
              <w:rPr>
                <w:rFonts w:ascii="Garamond" w:hAnsi="Garamond"/>
                <w:sz w:val="22"/>
                <w:szCs w:val="22"/>
              </w:rPr>
              <w:t>Kent</w:t>
            </w:r>
          </w:p>
        </w:tc>
        <w:tc>
          <w:tcPr>
            <w:tcW w:w="3724" w:type="dxa"/>
          </w:tcPr>
          <w:p w14:paraId="05BE92CF"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39%</w:t>
            </w:r>
          </w:p>
        </w:tc>
      </w:tr>
      <w:tr w:rsidR="007E0EDC" w:rsidRPr="004A0C12" w14:paraId="40D6D5B3"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19251FA3" w14:textId="77777777" w:rsidR="007E0EDC" w:rsidRPr="004A0C12" w:rsidRDefault="007E0EDC" w:rsidP="007E0EDC">
            <w:pPr>
              <w:rPr>
                <w:rFonts w:ascii="Garamond" w:hAnsi="Garamond"/>
                <w:sz w:val="22"/>
                <w:szCs w:val="22"/>
              </w:rPr>
            </w:pPr>
            <w:r w:rsidRPr="004A0C12">
              <w:rPr>
                <w:rFonts w:ascii="Garamond" w:hAnsi="Garamond"/>
                <w:sz w:val="22"/>
                <w:szCs w:val="22"/>
              </w:rPr>
              <w:t xml:space="preserve">Montgomery </w:t>
            </w:r>
          </w:p>
        </w:tc>
        <w:tc>
          <w:tcPr>
            <w:tcW w:w="3724" w:type="dxa"/>
          </w:tcPr>
          <w:p w14:paraId="403B5FCB"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59%</w:t>
            </w:r>
          </w:p>
        </w:tc>
      </w:tr>
      <w:tr w:rsidR="007E0EDC" w:rsidRPr="004A0C12" w14:paraId="03E12A05"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0CD0FD89" w14:textId="77777777" w:rsidR="007E0EDC" w:rsidRPr="004A0C12" w:rsidRDefault="007E0EDC" w:rsidP="007E0EDC">
            <w:pPr>
              <w:rPr>
                <w:rFonts w:ascii="Garamond" w:hAnsi="Garamond"/>
                <w:sz w:val="22"/>
                <w:szCs w:val="22"/>
              </w:rPr>
            </w:pPr>
            <w:r w:rsidRPr="004A0C12">
              <w:rPr>
                <w:rFonts w:ascii="Garamond" w:hAnsi="Garamond"/>
                <w:sz w:val="22"/>
                <w:szCs w:val="22"/>
              </w:rPr>
              <w:t>Prince George’s</w:t>
            </w:r>
          </w:p>
        </w:tc>
        <w:tc>
          <w:tcPr>
            <w:tcW w:w="3724" w:type="dxa"/>
          </w:tcPr>
          <w:p w14:paraId="489B2B83"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14%</w:t>
            </w:r>
          </w:p>
        </w:tc>
      </w:tr>
      <w:tr w:rsidR="007E0EDC" w:rsidRPr="004A0C12" w14:paraId="64E3D9FF"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7015A4BB" w14:textId="77777777" w:rsidR="007E0EDC" w:rsidRPr="004A0C12" w:rsidRDefault="007E0EDC" w:rsidP="007E0EDC">
            <w:pPr>
              <w:rPr>
                <w:rFonts w:ascii="Garamond" w:hAnsi="Garamond"/>
                <w:sz w:val="22"/>
                <w:szCs w:val="22"/>
              </w:rPr>
            </w:pPr>
            <w:r w:rsidRPr="004A0C12">
              <w:rPr>
                <w:rFonts w:ascii="Garamond" w:hAnsi="Garamond"/>
                <w:sz w:val="22"/>
                <w:szCs w:val="22"/>
              </w:rPr>
              <w:t>Queen Anne’s</w:t>
            </w:r>
          </w:p>
        </w:tc>
        <w:tc>
          <w:tcPr>
            <w:tcW w:w="3724" w:type="dxa"/>
          </w:tcPr>
          <w:p w14:paraId="095D8C81"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48%</w:t>
            </w:r>
          </w:p>
        </w:tc>
      </w:tr>
      <w:tr w:rsidR="007E0EDC" w:rsidRPr="004A0C12" w14:paraId="59966D51"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142F0121" w14:textId="77777777" w:rsidR="007E0EDC" w:rsidRPr="004A0C12" w:rsidRDefault="007E0EDC" w:rsidP="007E0EDC">
            <w:pPr>
              <w:rPr>
                <w:rFonts w:ascii="Garamond" w:hAnsi="Garamond"/>
                <w:sz w:val="22"/>
                <w:szCs w:val="22"/>
              </w:rPr>
            </w:pPr>
            <w:r w:rsidRPr="004A0C12">
              <w:rPr>
                <w:rFonts w:ascii="Garamond" w:hAnsi="Garamond"/>
                <w:sz w:val="22"/>
                <w:szCs w:val="22"/>
              </w:rPr>
              <w:t>Somerset</w:t>
            </w:r>
          </w:p>
        </w:tc>
        <w:tc>
          <w:tcPr>
            <w:tcW w:w="3724" w:type="dxa"/>
          </w:tcPr>
          <w:p w14:paraId="6A4AFB45"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7%</w:t>
            </w:r>
          </w:p>
        </w:tc>
      </w:tr>
      <w:tr w:rsidR="007E0EDC" w:rsidRPr="004A0C12" w14:paraId="4B9E6F6D"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7AECA1CD" w14:textId="77777777" w:rsidR="007E0EDC" w:rsidRPr="004A0C12" w:rsidRDefault="007E0EDC" w:rsidP="007E0EDC">
            <w:pPr>
              <w:rPr>
                <w:rFonts w:ascii="Garamond" w:hAnsi="Garamond"/>
                <w:sz w:val="22"/>
                <w:szCs w:val="22"/>
              </w:rPr>
            </w:pPr>
            <w:r w:rsidRPr="004A0C12">
              <w:rPr>
                <w:rFonts w:ascii="Garamond" w:hAnsi="Garamond"/>
                <w:sz w:val="22"/>
                <w:szCs w:val="22"/>
              </w:rPr>
              <w:t>St. Mary’s</w:t>
            </w:r>
          </w:p>
        </w:tc>
        <w:tc>
          <w:tcPr>
            <w:tcW w:w="3724" w:type="dxa"/>
          </w:tcPr>
          <w:p w14:paraId="63082C75"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100%</w:t>
            </w:r>
          </w:p>
        </w:tc>
      </w:tr>
      <w:tr w:rsidR="007E0EDC" w:rsidRPr="004A0C12" w14:paraId="5C79418C"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18258A28" w14:textId="77777777" w:rsidR="007E0EDC" w:rsidRPr="004A0C12" w:rsidRDefault="007E0EDC" w:rsidP="007E0EDC">
            <w:pPr>
              <w:rPr>
                <w:rFonts w:ascii="Garamond" w:hAnsi="Garamond"/>
                <w:sz w:val="22"/>
                <w:szCs w:val="22"/>
              </w:rPr>
            </w:pPr>
            <w:r w:rsidRPr="004A0C12">
              <w:rPr>
                <w:rFonts w:ascii="Garamond" w:hAnsi="Garamond"/>
                <w:sz w:val="22"/>
                <w:szCs w:val="22"/>
              </w:rPr>
              <w:t>Talbot</w:t>
            </w:r>
          </w:p>
        </w:tc>
        <w:tc>
          <w:tcPr>
            <w:tcW w:w="3724" w:type="dxa"/>
          </w:tcPr>
          <w:p w14:paraId="7331E709"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26%</w:t>
            </w:r>
          </w:p>
        </w:tc>
      </w:tr>
      <w:tr w:rsidR="007E0EDC" w:rsidRPr="004A0C12" w14:paraId="7D24E20D"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32D48CAC" w14:textId="77777777" w:rsidR="007E0EDC" w:rsidRPr="004A0C12" w:rsidRDefault="007E0EDC" w:rsidP="007E0EDC">
            <w:pPr>
              <w:rPr>
                <w:rFonts w:ascii="Garamond" w:hAnsi="Garamond"/>
                <w:sz w:val="22"/>
                <w:szCs w:val="22"/>
              </w:rPr>
            </w:pPr>
            <w:r w:rsidRPr="004A0C12">
              <w:rPr>
                <w:rFonts w:ascii="Garamond" w:hAnsi="Garamond"/>
                <w:sz w:val="22"/>
                <w:szCs w:val="22"/>
              </w:rPr>
              <w:t>Washington</w:t>
            </w:r>
          </w:p>
        </w:tc>
        <w:tc>
          <w:tcPr>
            <w:tcW w:w="3724" w:type="dxa"/>
          </w:tcPr>
          <w:p w14:paraId="1F258325"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51%</w:t>
            </w:r>
          </w:p>
        </w:tc>
      </w:tr>
      <w:tr w:rsidR="007E0EDC" w:rsidRPr="004A0C12" w14:paraId="7A00C209"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0B011518" w14:textId="77777777" w:rsidR="007E0EDC" w:rsidRPr="004A0C12" w:rsidRDefault="007E0EDC" w:rsidP="007E0EDC">
            <w:pPr>
              <w:rPr>
                <w:rFonts w:ascii="Garamond" w:hAnsi="Garamond"/>
                <w:sz w:val="22"/>
                <w:szCs w:val="22"/>
              </w:rPr>
            </w:pPr>
            <w:r w:rsidRPr="004A0C12">
              <w:rPr>
                <w:rFonts w:ascii="Garamond" w:hAnsi="Garamond"/>
                <w:sz w:val="22"/>
                <w:szCs w:val="22"/>
              </w:rPr>
              <w:t>Wicomico</w:t>
            </w:r>
          </w:p>
        </w:tc>
        <w:tc>
          <w:tcPr>
            <w:tcW w:w="3724" w:type="dxa"/>
          </w:tcPr>
          <w:p w14:paraId="439303AC"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14%</w:t>
            </w:r>
          </w:p>
        </w:tc>
      </w:tr>
      <w:tr w:rsidR="007E0EDC" w:rsidRPr="004A0C12" w14:paraId="1C765517"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0A20CA56" w14:textId="77777777" w:rsidR="007E0EDC" w:rsidRPr="004A0C12" w:rsidRDefault="007E0EDC" w:rsidP="007E0EDC">
            <w:pPr>
              <w:rPr>
                <w:rFonts w:ascii="Garamond" w:hAnsi="Garamond"/>
                <w:sz w:val="22"/>
                <w:szCs w:val="22"/>
              </w:rPr>
            </w:pPr>
            <w:r w:rsidRPr="004A0C12">
              <w:rPr>
                <w:rFonts w:ascii="Garamond" w:hAnsi="Garamond"/>
                <w:sz w:val="22"/>
                <w:szCs w:val="22"/>
              </w:rPr>
              <w:t>Worcester</w:t>
            </w:r>
          </w:p>
        </w:tc>
        <w:tc>
          <w:tcPr>
            <w:tcW w:w="3724" w:type="dxa"/>
          </w:tcPr>
          <w:p w14:paraId="26FEEA7C"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6%</w:t>
            </w:r>
          </w:p>
        </w:tc>
      </w:tr>
      <w:tr w:rsidR="007E0EDC" w:rsidRPr="004A0C12" w14:paraId="542F8CCF" w14:textId="77777777" w:rsidTr="00530F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02AB161F" w14:textId="77777777" w:rsidR="007E0EDC" w:rsidRPr="004A0C12" w:rsidRDefault="007E0EDC" w:rsidP="007E0EDC">
            <w:pPr>
              <w:rPr>
                <w:rFonts w:ascii="Garamond" w:hAnsi="Garamond"/>
                <w:sz w:val="22"/>
                <w:szCs w:val="22"/>
              </w:rPr>
            </w:pPr>
            <w:r w:rsidRPr="004A0C12">
              <w:rPr>
                <w:rFonts w:ascii="Garamond" w:hAnsi="Garamond"/>
                <w:sz w:val="22"/>
                <w:szCs w:val="22"/>
              </w:rPr>
              <w:t>STATEWIDE</w:t>
            </w:r>
          </w:p>
        </w:tc>
        <w:tc>
          <w:tcPr>
            <w:tcW w:w="3724" w:type="dxa"/>
          </w:tcPr>
          <w:p w14:paraId="787C50AA" w14:textId="77777777" w:rsidR="007E0EDC" w:rsidRPr="004A0C12" w:rsidRDefault="007E0EDC" w:rsidP="007E0EDC">
            <w:pPr>
              <w:jc w:val="center"/>
              <w:cnfStyle w:val="000000100000" w:firstRow="0" w:lastRow="0" w:firstColumn="0" w:lastColumn="0" w:oddVBand="0" w:evenVBand="0" w:oddHBand="1" w:evenHBand="0" w:firstRowFirstColumn="0" w:firstRowLastColumn="0" w:lastRowFirstColumn="0" w:lastRowLastColumn="0"/>
              <w:rPr>
                <w:rFonts w:ascii="Garamond" w:hAnsi="Garamond"/>
                <w:b/>
                <w:sz w:val="22"/>
                <w:szCs w:val="22"/>
              </w:rPr>
            </w:pPr>
            <w:r w:rsidRPr="004A0C12">
              <w:rPr>
                <w:rFonts w:ascii="Garamond" w:hAnsi="Garamond"/>
                <w:b/>
                <w:sz w:val="22"/>
                <w:szCs w:val="22"/>
              </w:rPr>
              <w:t>25%</w:t>
            </w:r>
          </w:p>
        </w:tc>
      </w:tr>
      <w:tr w:rsidR="007E0EDC" w:rsidRPr="004A0C12" w14:paraId="186A018C" w14:textId="77777777" w:rsidTr="00530FA0">
        <w:tc>
          <w:tcPr>
            <w:cnfStyle w:val="001000000000" w:firstRow="0" w:lastRow="0" w:firstColumn="1" w:lastColumn="0" w:oddVBand="0" w:evenVBand="0" w:oddHBand="0" w:evenHBand="0" w:firstRowFirstColumn="0" w:firstRowLastColumn="0" w:lastRowFirstColumn="0" w:lastRowLastColumn="0"/>
            <w:tcW w:w="2178" w:type="dxa"/>
          </w:tcPr>
          <w:p w14:paraId="3F39C621" w14:textId="77777777" w:rsidR="007E0EDC" w:rsidRPr="004A0C12" w:rsidRDefault="007E0EDC" w:rsidP="007E0EDC">
            <w:pPr>
              <w:rPr>
                <w:rFonts w:ascii="Garamond" w:hAnsi="Garamond"/>
                <w:sz w:val="22"/>
                <w:szCs w:val="22"/>
              </w:rPr>
            </w:pPr>
            <w:r w:rsidRPr="004A0C12">
              <w:rPr>
                <w:rFonts w:ascii="Garamond" w:hAnsi="Garamond"/>
                <w:sz w:val="22"/>
                <w:szCs w:val="22"/>
              </w:rPr>
              <w:t>Out-of-State</w:t>
            </w:r>
          </w:p>
        </w:tc>
        <w:tc>
          <w:tcPr>
            <w:tcW w:w="3724" w:type="dxa"/>
          </w:tcPr>
          <w:p w14:paraId="2672AD2B" w14:textId="77777777" w:rsidR="007E0EDC" w:rsidRPr="004A0C12" w:rsidRDefault="007E0EDC" w:rsidP="007E0EDC">
            <w:pPr>
              <w:jc w:val="center"/>
              <w:cnfStyle w:val="000000000000" w:firstRow="0" w:lastRow="0" w:firstColumn="0" w:lastColumn="0" w:oddVBand="0" w:evenVBand="0" w:oddHBand="0" w:evenHBand="0" w:firstRowFirstColumn="0" w:firstRowLastColumn="0" w:lastRowFirstColumn="0" w:lastRowLastColumn="0"/>
              <w:rPr>
                <w:rFonts w:ascii="Garamond" w:hAnsi="Garamond"/>
                <w:b/>
                <w:sz w:val="22"/>
                <w:szCs w:val="22"/>
              </w:rPr>
            </w:pPr>
            <w:r w:rsidRPr="004A0C12">
              <w:rPr>
                <w:rFonts w:ascii="Garamond" w:hAnsi="Garamond"/>
                <w:b/>
                <w:sz w:val="22"/>
                <w:szCs w:val="22"/>
              </w:rPr>
              <w:t>33%</w:t>
            </w:r>
          </w:p>
        </w:tc>
      </w:tr>
    </w:tbl>
    <w:p w14:paraId="4184B4C9" w14:textId="77777777" w:rsidR="007E0EDC" w:rsidRPr="004A0C12" w:rsidRDefault="007E0EDC" w:rsidP="007A1FDC">
      <w:pPr>
        <w:spacing w:after="0" w:line="240" w:lineRule="auto"/>
        <w:jc w:val="both"/>
        <w:rPr>
          <w:rFonts w:ascii="Garamond" w:hAnsi="Garamond"/>
        </w:rPr>
      </w:pPr>
    </w:p>
    <w:p w14:paraId="76CFFB35" w14:textId="35CA10CE" w:rsidR="007A1FDC" w:rsidRPr="004A0C12" w:rsidRDefault="007E0EDC" w:rsidP="007E0EDC">
      <w:pPr>
        <w:spacing w:after="0" w:line="240" w:lineRule="auto"/>
        <w:jc w:val="center"/>
        <w:rPr>
          <w:rFonts w:ascii="Garamond" w:hAnsi="Garamond"/>
        </w:rPr>
      </w:pPr>
      <w:r w:rsidRPr="004A0C12">
        <w:rPr>
          <w:rFonts w:ascii="Garamond" w:hAnsi="Garamond"/>
        </w:rPr>
        <w:br w:type="textWrapping" w:clear="all"/>
      </w:r>
    </w:p>
    <w:p w14:paraId="35BCD6D8" w14:textId="5114236A" w:rsidR="007A1FDC" w:rsidRPr="004A0C12" w:rsidRDefault="007E0EDC" w:rsidP="007A1FDC">
      <w:pPr>
        <w:spacing w:after="0" w:line="240" w:lineRule="auto"/>
        <w:jc w:val="both"/>
        <w:rPr>
          <w:rFonts w:ascii="Garamond" w:hAnsi="Garamond"/>
        </w:rPr>
      </w:pPr>
      <w:r w:rsidRPr="004A0C12">
        <w:rPr>
          <w:rFonts w:ascii="Garamond" w:hAnsi="Garamond"/>
        </w:rPr>
        <w:t xml:space="preserve">Discussion: </w:t>
      </w:r>
      <w:r w:rsidR="007A1FDC" w:rsidRPr="004A0C12">
        <w:rPr>
          <w:rFonts w:ascii="Garamond" w:hAnsi="Garamond"/>
        </w:rPr>
        <w:t>Utilization of mental health supported employment services varies significantly by county.</w:t>
      </w:r>
    </w:p>
    <w:p w14:paraId="288AD9B0" w14:textId="77777777" w:rsidR="007A1FDC" w:rsidRPr="004A0C12" w:rsidRDefault="007A1FDC" w:rsidP="007A1FDC">
      <w:pPr>
        <w:spacing w:after="0" w:line="240" w:lineRule="auto"/>
        <w:jc w:val="both"/>
        <w:rPr>
          <w:rFonts w:ascii="Garamond" w:hAnsi="Garamond"/>
        </w:rPr>
      </w:pPr>
      <w:r w:rsidRPr="004A0C12">
        <w:rPr>
          <w:rFonts w:ascii="Garamond" w:hAnsi="Garamond"/>
        </w:rPr>
        <w:t>Needs/Concerns: DORS should examine longitudinal data trends of this same nature, and use this information to inform program development, and staff and provider training needs.</w:t>
      </w:r>
    </w:p>
    <w:p w14:paraId="05A741AC" w14:textId="795284DD" w:rsidR="007A1FDC" w:rsidRPr="00594970" w:rsidRDefault="00785437" w:rsidP="00322B60">
      <w:pPr>
        <w:pStyle w:val="Heading1"/>
        <w:rPr>
          <w:rFonts w:ascii="Garamond" w:hAnsi="Garamond"/>
          <w:sz w:val="24"/>
          <w:szCs w:val="24"/>
        </w:rPr>
      </w:pPr>
      <w:bookmarkStart w:id="219" w:name="_Toc447276246"/>
      <w:r w:rsidRPr="00594970">
        <w:rPr>
          <w:rFonts w:ascii="Garamond" w:hAnsi="Garamond"/>
          <w:sz w:val="24"/>
          <w:szCs w:val="24"/>
        </w:rPr>
        <w:t>Individuals with Disabilities Served through Other C</w:t>
      </w:r>
      <w:r w:rsidR="007A1FDC" w:rsidRPr="00594970">
        <w:rPr>
          <w:rFonts w:ascii="Garamond" w:hAnsi="Garamond"/>
          <w:sz w:val="24"/>
          <w:szCs w:val="24"/>
        </w:rPr>
        <w:t xml:space="preserve">omponents of the </w:t>
      </w:r>
      <w:r w:rsidRPr="00594970">
        <w:rPr>
          <w:rFonts w:ascii="Garamond" w:hAnsi="Garamond"/>
          <w:sz w:val="24"/>
          <w:szCs w:val="24"/>
        </w:rPr>
        <w:t>State W</w:t>
      </w:r>
      <w:r w:rsidR="007E0EDC" w:rsidRPr="00594970">
        <w:rPr>
          <w:rFonts w:ascii="Garamond" w:hAnsi="Garamond"/>
          <w:sz w:val="24"/>
          <w:szCs w:val="24"/>
        </w:rPr>
        <w:t xml:space="preserve">orkforce </w:t>
      </w:r>
      <w:r w:rsidRPr="00594970">
        <w:rPr>
          <w:rFonts w:ascii="Garamond" w:hAnsi="Garamond"/>
          <w:sz w:val="24"/>
          <w:szCs w:val="24"/>
        </w:rPr>
        <w:t>S</w:t>
      </w:r>
      <w:r w:rsidR="007E0EDC" w:rsidRPr="00594970">
        <w:rPr>
          <w:rFonts w:ascii="Garamond" w:hAnsi="Garamond"/>
          <w:sz w:val="24"/>
          <w:szCs w:val="24"/>
        </w:rPr>
        <w:t>ystem</w:t>
      </w:r>
      <w:bookmarkEnd w:id="219"/>
      <w:r w:rsidR="007E0EDC" w:rsidRPr="00594970">
        <w:rPr>
          <w:rFonts w:ascii="Garamond" w:hAnsi="Garamond"/>
          <w:sz w:val="24"/>
          <w:szCs w:val="24"/>
        </w:rPr>
        <w:t xml:space="preserve"> </w:t>
      </w:r>
    </w:p>
    <w:p w14:paraId="33C63331" w14:textId="77777777" w:rsidR="00322B60" w:rsidRPr="004A0C12" w:rsidRDefault="00322B60" w:rsidP="00785437">
      <w:pPr>
        <w:spacing w:after="0" w:line="240" w:lineRule="auto"/>
        <w:contextualSpacing/>
        <w:jc w:val="both"/>
        <w:rPr>
          <w:rFonts w:ascii="Garamond" w:hAnsi="Garamond"/>
        </w:rPr>
      </w:pPr>
    </w:p>
    <w:p w14:paraId="7C8F15C2" w14:textId="2828D644" w:rsidR="007A1FDC" w:rsidRPr="004A0C12" w:rsidRDefault="007A1FDC" w:rsidP="00785437">
      <w:pPr>
        <w:spacing w:after="0" w:line="240" w:lineRule="auto"/>
        <w:contextualSpacing/>
        <w:jc w:val="both"/>
        <w:rPr>
          <w:rFonts w:ascii="Garamond" w:hAnsi="Garamond"/>
        </w:rPr>
      </w:pPr>
      <w:r w:rsidRPr="004A0C12">
        <w:rPr>
          <w:rFonts w:ascii="Garamond" w:hAnsi="Garamond"/>
        </w:rPr>
        <w:t xml:space="preserve">The </w:t>
      </w:r>
      <w:r w:rsidR="00785437" w:rsidRPr="004A0C12">
        <w:rPr>
          <w:rFonts w:ascii="Garamond" w:hAnsi="Garamond"/>
        </w:rPr>
        <w:t>DORS</w:t>
      </w:r>
      <w:r w:rsidRPr="004A0C12">
        <w:rPr>
          <w:rFonts w:ascii="Garamond" w:hAnsi="Garamond"/>
        </w:rPr>
        <w:t xml:space="preserve"> Comprehensive Needs Assessment committee, including members of the Maryland State Rehabilitation Council, identified community colleges and American Job Centers as focus areas because of their importance as resources for individuals with significant disabilities seeking employment.</w:t>
      </w:r>
      <w:r w:rsidRPr="004A0C12">
        <w:rPr>
          <w:rFonts w:ascii="Garamond" w:hAnsi="Garamond"/>
        </w:rPr>
        <w:cr/>
      </w:r>
    </w:p>
    <w:p w14:paraId="1842AF1C" w14:textId="09F3AEC7" w:rsidR="007A1FDC" w:rsidRPr="004A0C12" w:rsidRDefault="00785437" w:rsidP="007A1FDC">
      <w:pPr>
        <w:spacing w:after="0" w:line="240" w:lineRule="auto"/>
        <w:rPr>
          <w:rFonts w:ascii="Garamond" w:hAnsi="Garamond"/>
          <w:u w:val="single"/>
        </w:rPr>
      </w:pPr>
      <w:r w:rsidRPr="004A0C12">
        <w:rPr>
          <w:rFonts w:ascii="Garamond" w:hAnsi="Garamond"/>
          <w:u w:val="single"/>
        </w:rPr>
        <w:t>Community Colleges</w:t>
      </w:r>
    </w:p>
    <w:p w14:paraId="541950A6" w14:textId="11B8541C" w:rsidR="00431254" w:rsidRPr="004A0C12" w:rsidRDefault="007A1FDC" w:rsidP="007A1FDC">
      <w:pPr>
        <w:spacing w:after="0" w:line="240" w:lineRule="auto"/>
        <w:jc w:val="both"/>
        <w:rPr>
          <w:rFonts w:ascii="Garamond" w:hAnsi="Garamond"/>
        </w:rPr>
      </w:pPr>
      <w:r w:rsidRPr="004A0C12">
        <w:rPr>
          <w:rFonts w:ascii="Garamond" w:hAnsi="Garamond"/>
        </w:rPr>
        <w:t xml:space="preserve">Community colleges remain a major component of Maryland’s </w:t>
      </w:r>
      <w:r w:rsidR="00785437" w:rsidRPr="004A0C12">
        <w:rPr>
          <w:rFonts w:ascii="Garamond" w:hAnsi="Garamond"/>
        </w:rPr>
        <w:t xml:space="preserve">workforce system and are </w:t>
      </w:r>
      <w:r w:rsidRPr="004A0C12">
        <w:rPr>
          <w:rFonts w:ascii="Garamond" w:hAnsi="Garamond"/>
        </w:rPr>
        <w:t>a primary training provider to DORS consumers for both credit and noncredit w</w:t>
      </w:r>
      <w:r w:rsidR="00785437" w:rsidRPr="004A0C12">
        <w:rPr>
          <w:rFonts w:ascii="Garamond" w:hAnsi="Garamond"/>
        </w:rPr>
        <w:t xml:space="preserve">orkforce certificate training. </w:t>
      </w:r>
      <w:r w:rsidRPr="004A0C12">
        <w:rPr>
          <w:rFonts w:ascii="Garamond" w:hAnsi="Garamond"/>
        </w:rPr>
        <w:t>According to the 2012 Data Book of the Maryland Association of Community Colleges, a total of 6,492 individuals with disabilities were attending the 16 Maryla</w:t>
      </w:r>
      <w:r w:rsidR="007621DD" w:rsidRPr="004A0C12">
        <w:rPr>
          <w:rFonts w:ascii="Garamond" w:hAnsi="Garamond"/>
        </w:rPr>
        <w:t xml:space="preserve">nd community colleges in 2011. </w:t>
      </w:r>
      <w:r w:rsidRPr="004A0C12">
        <w:rPr>
          <w:rFonts w:ascii="Garamond" w:hAnsi="Garamond"/>
        </w:rPr>
        <w:t>The reported enrollment of students with disabilities attending these colleges has increased every year since 2005</w:t>
      </w:r>
      <w:r w:rsidR="007621DD" w:rsidRPr="004A0C12">
        <w:rPr>
          <w:rFonts w:ascii="Garamond" w:hAnsi="Garamond"/>
        </w:rPr>
        <w:t>,</w:t>
      </w:r>
      <w:r w:rsidRPr="004A0C12">
        <w:rPr>
          <w:rFonts w:ascii="Garamond" w:hAnsi="Garamond"/>
        </w:rPr>
        <w:t xml:space="preserve"> which had a reported enrollment of 3,</w:t>
      </w:r>
      <w:r w:rsidR="00961036" w:rsidRPr="004A0C12">
        <w:rPr>
          <w:rFonts w:ascii="Garamond" w:hAnsi="Garamond"/>
        </w:rPr>
        <w:t>530 students with disabilities.</w:t>
      </w:r>
    </w:p>
    <w:p w14:paraId="6A37D289" w14:textId="77777777" w:rsidR="00431254" w:rsidRPr="004A0C12" w:rsidRDefault="00431254" w:rsidP="007A1FDC">
      <w:pPr>
        <w:spacing w:after="0" w:line="240" w:lineRule="auto"/>
        <w:jc w:val="both"/>
        <w:rPr>
          <w:rFonts w:ascii="Garamond" w:hAnsi="Garamond"/>
        </w:rPr>
      </w:pPr>
    </w:p>
    <w:p w14:paraId="49132D1B" w14:textId="1E2A354C" w:rsidR="007A1FDC" w:rsidRPr="004A0C12" w:rsidRDefault="007A1FDC" w:rsidP="007A1FDC">
      <w:pPr>
        <w:spacing w:after="0" w:line="240" w:lineRule="auto"/>
        <w:jc w:val="both"/>
        <w:rPr>
          <w:rFonts w:ascii="Garamond" w:hAnsi="Garamond"/>
        </w:rPr>
      </w:pPr>
      <w:r w:rsidRPr="004A0C12">
        <w:rPr>
          <w:rFonts w:ascii="Garamond" w:hAnsi="Garamond"/>
        </w:rPr>
        <w:lastRenderedPageBreak/>
        <w:t>Methodo</w:t>
      </w:r>
      <w:r w:rsidR="00431254" w:rsidRPr="004A0C12">
        <w:rPr>
          <w:rFonts w:ascii="Garamond" w:hAnsi="Garamond"/>
        </w:rPr>
        <w:t>logy</w:t>
      </w:r>
      <w:r w:rsidR="007621DD" w:rsidRPr="004A0C12">
        <w:rPr>
          <w:rFonts w:ascii="Garamond" w:hAnsi="Garamond"/>
        </w:rPr>
        <w:t xml:space="preserve">: </w:t>
      </w:r>
      <w:r w:rsidRPr="004A0C12">
        <w:rPr>
          <w:rFonts w:ascii="Garamond" w:hAnsi="Garamond"/>
        </w:rPr>
        <w:t xml:space="preserve">A student survey and survey of disability support services professionals were developed to assess the unmet needs of students with disabilities.  </w:t>
      </w:r>
    </w:p>
    <w:p w14:paraId="7FB65319" w14:textId="77777777" w:rsidR="007A1FDC" w:rsidRPr="004A0C12" w:rsidRDefault="007A1FDC" w:rsidP="007A1FDC">
      <w:pPr>
        <w:spacing w:after="0" w:line="240" w:lineRule="auto"/>
        <w:jc w:val="both"/>
        <w:rPr>
          <w:rFonts w:ascii="Garamond" w:hAnsi="Garamond"/>
        </w:rPr>
      </w:pPr>
    </w:p>
    <w:p w14:paraId="24E48C12" w14:textId="47A191CC" w:rsidR="007A1FDC" w:rsidRPr="004A0C12" w:rsidRDefault="007A1FDC" w:rsidP="007A1FDC">
      <w:pPr>
        <w:spacing w:after="0" w:line="240" w:lineRule="auto"/>
        <w:jc w:val="both"/>
        <w:rPr>
          <w:rFonts w:ascii="Garamond" w:hAnsi="Garamond"/>
        </w:rPr>
      </w:pPr>
      <w:r w:rsidRPr="004A0C12">
        <w:rPr>
          <w:rFonts w:ascii="Garamond" w:hAnsi="Garamond"/>
        </w:rPr>
        <w:t>St</w:t>
      </w:r>
      <w:r w:rsidR="007621DD" w:rsidRPr="004A0C12">
        <w:rPr>
          <w:rFonts w:ascii="Garamond" w:hAnsi="Garamond"/>
        </w:rPr>
        <w:t xml:space="preserve">udents with Disabilities Survey: </w:t>
      </w:r>
      <w:r w:rsidRPr="004A0C12">
        <w:rPr>
          <w:rFonts w:ascii="Garamond" w:hAnsi="Garamond"/>
        </w:rPr>
        <w:t>Surveys were sent to 357 consumers that had been identified as receiving some level of financial support to attend a community college d</w:t>
      </w:r>
      <w:r w:rsidR="00343B2F" w:rsidRPr="004A0C12">
        <w:rPr>
          <w:rFonts w:ascii="Garamond" w:hAnsi="Garamond"/>
        </w:rPr>
        <w:t xml:space="preserve">uring the 2012 calendar year. </w:t>
      </w:r>
      <w:r w:rsidRPr="004A0C12">
        <w:rPr>
          <w:rFonts w:ascii="Garamond" w:hAnsi="Garamond"/>
        </w:rPr>
        <w:t>An online survey using S</w:t>
      </w:r>
      <w:r w:rsidR="00343B2F" w:rsidRPr="004A0C12">
        <w:rPr>
          <w:rFonts w:ascii="Garamond" w:hAnsi="Garamond"/>
        </w:rPr>
        <w:t>urvey Gizmo was used for the 55 percent</w:t>
      </w:r>
      <w:r w:rsidRPr="004A0C12">
        <w:rPr>
          <w:rFonts w:ascii="Garamond" w:hAnsi="Garamond"/>
        </w:rPr>
        <w:t xml:space="preserve"> (197) of the consumers who had an email on file</w:t>
      </w:r>
      <w:r w:rsidR="00343B2F" w:rsidRPr="004A0C12">
        <w:rPr>
          <w:rFonts w:ascii="Garamond" w:hAnsi="Garamond"/>
        </w:rPr>
        <w:t>, and the U.S Postal S</w:t>
      </w:r>
      <w:r w:rsidRPr="004A0C12">
        <w:rPr>
          <w:rFonts w:ascii="Garamond" w:hAnsi="Garamond"/>
        </w:rPr>
        <w:t>ervice was used to distribute paper surveys (with return p</w:t>
      </w:r>
      <w:r w:rsidR="00343B2F" w:rsidRPr="004A0C12">
        <w:rPr>
          <w:rFonts w:ascii="Garamond" w:hAnsi="Garamond"/>
        </w:rPr>
        <w:t>ostage paid envelops) to the 45 percent</w:t>
      </w:r>
      <w:r w:rsidRPr="004A0C12">
        <w:rPr>
          <w:rFonts w:ascii="Garamond" w:hAnsi="Garamond"/>
        </w:rPr>
        <w:t xml:space="preserve"> (160) who</w:t>
      </w:r>
      <w:r w:rsidR="00343B2F" w:rsidRPr="004A0C12">
        <w:rPr>
          <w:rFonts w:ascii="Garamond" w:hAnsi="Garamond"/>
        </w:rPr>
        <w:t xml:space="preserve"> did not have an email address on file. Eleven emails and eight</w:t>
      </w:r>
      <w:r w:rsidRPr="004A0C12">
        <w:rPr>
          <w:rFonts w:ascii="Garamond" w:hAnsi="Garamond"/>
        </w:rPr>
        <w:t xml:space="preserve"> mailed surveys were returned as non-deliverable. </w:t>
      </w:r>
    </w:p>
    <w:p w14:paraId="6EDE53D8" w14:textId="77777777" w:rsidR="007A1FDC" w:rsidRPr="004A0C12" w:rsidRDefault="007A1FDC" w:rsidP="007A1FDC">
      <w:pPr>
        <w:spacing w:after="0" w:line="240" w:lineRule="auto"/>
        <w:jc w:val="both"/>
        <w:rPr>
          <w:rFonts w:ascii="Garamond" w:hAnsi="Garamond"/>
        </w:rPr>
      </w:pPr>
    </w:p>
    <w:p w14:paraId="62438658" w14:textId="1307691C" w:rsidR="007A1FDC" w:rsidRPr="004A0C12" w:rsidRDefault="007A1FDC" w:rsidP="007A1FDC">
      <w:pPr>
        <w:spacing w:after="0" w:line="240" w:lineRule="auto"/>
        <w:jc w:val="both"/>
        <w:rPr>
          <w:rFonts w:ascii="Garamond" w:hAnsi="Garamond"/>
        </w:rPr>
      </w:pPr>
      <w:r w:rsidRPr="004A0C12">
        <w:rPr>
          <w:rFonts w:ascii="Garamond" w:hAnsi="Garamond"/>
        </w:rPr>
        <w:t xml:space="preserve">DORS received 58 survey </w:t>
      </w:r>
      <w:r w:rsidR="00343B2F" w:rsidRPr="004A0C12">
        <w:rPr>
          <w:rFonts w:ascii="Garamond" w:hAnsi="Garamond"/>
        </w:rPr>
        <w:t>responses (24 percent</w:t>
      </w:r>
      <w:r w:rsidRPr="004A0C12">
        <w:rPr>
          <w:rFonts w:ascii="Garamond" w:hAnsi="Garamond"/>
        </w:rPr>
        <w:t xml:space="preserve"> return rate) from consumers living in 16 of Maryland’s </w:t>
      </w:r>
      <w:r w:rsidR="00343B2F" w:rsidRPr="004A0C12">
        <w:rPr>
          <w:rFonts w:ascii="Garamond" w:hAnsi="Garamond"/>
        </w:rPr>
        <w:t>24 counties and Baltimore City.</w:t>
      </w:r>
      <w:r w:rsidRPr="004A0C12">
        <w:rPr>
          <w:rFonts w:ascii="Garamond" w:hAnsi="Garamond"/>
        </w:rPr>
        <w:t xml:space="preserve"> Twenty-six perce</w:t>
      </w:r>
      <w:r w:rsidR="00343B2F" w:rsidRPr="004A0C12">
        <w:rPr>
          <w:rFonts w:ascii="Garamond" w:hAnsi="Garamond"/>
        </w:rPr>
        <w:t xml:space="preserve">nt of the respondents identified as </w:t>
      </w:r>
      <w:r w:rsidRPr="004A0C12">
        <w:rPr>
          <w:rFonts w:ascii="Garamond" w:hAnsi="Garamond"/>
        </w:rPr>
        <w:t>being part o</w:t>
      </w:r>
      <w:r w:rsidR="00343B2F" w:rsidRPr="004A0C12">
        <w:rPr>
          <w:rFonts w:ascii="Garamond" w:hAnsi="Garamond"/>
        </w:rPr>
        <w:t xml:space="preserve">f a racial or ethnic minority. </w:t>
      </w:r>
      <w:r w:rsidRPr="004A0C12">
        <w:rPr>
          <w:rFonts w:ascii="Garamond" w:hAnsi="Garamond"/>
        </w:rPr>
        <w:t>Fifty-five percent of the respondents indicated they lived in</w:t>
      </w:r>
      <w:r w:rsidR="00343B2F" w:rsidRPr="004A0C12">
        <w:rPr>
          <w:rFonts w:ascii="Garamond" w:hAnsi="Garamond"/>
        </w:rPr>
        <w:t xml:space="preserve"> the suburbs, 24 percent</w:t>
      </w:r>
      <w:r w:rsidRPr="004A0C12">
        <w:rPr>
          <w:rFonts w:ascii="Garamond" w:hAnsi="Garamond"/>
        </w:rPr>
        <w:t xml:space="preserve"> indicated they lived in an urban area</w:t>
      </w:r>
      <w:r w:rsidR="00343B2F" w:rsidRPr="004A0C12">
        <w:rPr>
          <w:rFonts w:ascii="Garamond" w:hAnsi="Garamond"/>
        </w:rPr>
        <w:t>, and 21 percent</w:t>
      </w:r>
      <w:r w:rsidRPr="004A0C12">
        <w:rPr>
          <w:rFonts w:ascii="Garamond" w:hAnsi="Garamond"/>
        </w:rPr>
        <w:t xml:space="preserve"> indicate</w:t>
      </w:r>
      <w:r w:rsidR="00343B2F" w:rsidRPr="004A0C12">
        <w:rPr>
          <w:rFonts w:ascii="Garamond" w:hAnsi="Garamond"/>
        </w:rPr>
        <w:t>d they lived in a rural locale.</w:t>
      </w:r>
      <w:r w:rsidRPr="004A0C12">
        <w:rPr>
          <w:rFonts w:ascii="Garamond" w:hAnsi="Garamond"/>
        </w:rPr>
        <w:t xml:space="preserve"> Based on the reported demographics, the sample is a g</w:t>
      </w:r>
      <w:r w:rsidR="00343B2F" w:rsidRPr="004A0C12">
        <w:rPr>
          <w:rFonts w:ascii="Garamond" w:hAnsi="Garamond"/>
        </w:rPr>
        <w:t xml:space="preserve">ood statewide representation. </w:t>
      </w:r>
      <w:r w:rsidRPr="004A0C12">
        <w:rPr>
          <w:rFonts w:ascii="Garamond" w:hAnsi="Garamond"/>
        </w:rPr>
        <w:t>In addition, the reported county demographic indicates that respondents likely attended all of the community colleges with the exception of one (Harford Community</w:t>
      </w:r>
      <w:r w:rsidR="00343B2F" w:rsidRPr="004A0C12">
        <w:rPr>
          <w:rFonts w:ascii="Garamond" w:hAnsi="Garamond"/>
        </w:rPr>
        <w:t xml:space="preserve"> College</w:t>
      </w:r>
      <w:r w:rsidRPr="004A0C12">
        <w:rPr>
          <w:rFonts w:ascii="Garamond" w:hAnsi="Garamond"/>
        </w:rPr>
        <w:t>).</w:t>
      </w:r>
    </w:p>
    <w:p w14:paraId="5385C7FE" w14:textId="77777777" w:rsidR="007A1FDC" w:rsidRPr="004A0C12" w:rsidRDefault="007A1FDC" w:rsidP="007A1FDC">
      <w:pPr>
        <w:spacing w:after="0" w:line="240" w:lineRule="auto"/>
        <w:jc w:val="both"/>
        <w:rPr>
          <w:rFonts w:ascii="Garamond" w:hAnsi="Garamond"/>
        </w:rPr>
      </w:pPr>
    </w:p>
    <w:p w14:paraId="50F0D562" w14:textId="48E25ED3" w:rsidR="00343B2F" w:rsidRPr="004A0C12" w:rsidRDefault="007A1FDC" w:rsidP="007A1FDC">
      <w:pPr>
        <w:spacing w:after="0" w:line="240" w:lineRule="auto"/>
        <w:jc w:val="both"/>
        <w:rPr>
          <w:rFonts w:ascii="Garamond" w:hAnsi="Garamond"/>
        </w:rPr>
      </w:pPr>
      <w:r w:rsidRPr="004A0C12">
        <w:rPr>
          <w:rFonts w:ascii="Garamond" w:hAnsi="Garamond"/>
        </w:rPr>
        <w:t>The following general disability categories were sel</w:t>
      </w:r>
      <w:r w:rsidR="00343B2F" w:rsidRPr="004A0C12">
        <w:rPr>
          <w:rFonts w:ascii="Garamond" w:hAnsi="Garamond"/>
        </w:rPr>
        <w:t>f-reported by the 58 respondents:</w:t>
      </w:r>
    </w:p>
    <w:p w14:paraId="4E224B6A" w14:textId="77777777" w:rsidR="00343B2F" w:rsidRPr="004A0C12" w:rsidRDefault="00343B2F" w:rsidP="00232F09">
      <w:pPr>
        <w:pStyle w:val="ListParagraph"/>
        <w:numPr>
          <w:ilvl w:val="0"/>
          <w:numId w:val="228"/>
        </w:numPr>
        <w:jc w:val="both"/>
        <w:rPr>
          <w:rFonts w:ascii="Garamond" w:hAnsi="Garamond"/>
          <w:szCs w:val="22"/>
        </w:rPr>
      </w:pPr>
      <w:r w:rsidRPr="004A0C12">
        <w:rPr>
          <w:rFonts w:ascii="Garamond" w:hAnsi="Garamond"/>
          <w:szCs w:val="22"/>
        </w:rPr>
        <w:t>29% p</w:t>
      </w:r>
      <w:r w:rsidR="007A1FDC" w:rsidRPr="004A0C12">
        <w:rPr>
          <w:rFonts w:ascii="Garamond" w:hAnsi="Garamond"/>
          <w:szCs w:val="22"/>
        </w:rPr>
        <w:t>sychosocial (bi-polar, depress</w:t>
      </w:r>
      <w:r w:rsidRPr="004A0C12">
        <w:rPr>
          <w:rFonts w:ascii="Garamond" w:hAnsi="Garamond"/>
          <w:szCs w:val="22"/>
        </w:rPr>
        <w:t>ion, anxiety, schizophrenia)</w:t>
      </w:r>
      <w:r w:rsidR="007A1FDC" w:rsidRPr="004A0C12">
        <w:rPr>
          <w:rFonts w:ascii="Garamond" w:hAnsi="Garamond"/>
          <w:szCs w:val="22"/>
        </w:rPr>
        <w:t xml:space="preserve">; </w:t>
      </w:r>
    </w:p>
    <w:p w14:paraId="0931887D" w14:textId="77777777" w:rsidR="00343B2F" w:rsidRPr="004A0C12" w:rsidRDefault="00343B2F" w:rsidP="00232F09">
      <w:pPr>
        <w:pStyle w:val="ListParagraph"/>
        <w:numPr>
          <w:ilvl w:val="0"/>
          <w:numId w:val="228"/>
        </w:numPr>
        <w:jc w:val="both"/>
        <w:rPr>
          <w:rFonts w:ascii="Garamond" w:hAnsi="Garamond"/>
          <w:szCs w:val="22"/>
        </w:rPr>
      </w:pPr>
      <w:r w:rsidRPr="004A0C12">
        <w:rPr>
          <w:rFonts w:ascii="Garamond" w:hAnsi="Garamond"/>
          <w:szCs w:val="22"/>
        </w:rPr>
        <w:t xml:space="preserve">22% </w:t>
      </w:r>
      <w:r w:rsidR="007A1FDC" w:rsidRPr="004A0C12">
        <w:rPr>
          <w:rFonts w:ascii="Garamond" w:hAnsi="Garamond"/>
          <w:szCs w:val="22"/>
        </w:rPr>
        <w:t>cognitive</w:t>
      </w:r>
      <w:r w:rsidRPr="004A0C12">
        <w:rPr>
          <w:rFonts w:ascii="Garamond" w:hAnsi="Garamond"/>
          <w:szCs w:val="22"/>
        </w:rPr>
        <w:t xml:space="preserve"> (learning disability, ADHD)</w:t>
      </w:r>
      <w:r w:rsidR="007A1FDC" w:rsidRPr="004A0C12">
        <w:rPr>
          <w:rFonts w:ascii="Garamond" w:hAnsi="Garamond"/>
          <w:szCs w:val="22"/>
        </w:rPr>
        <w:t xml:space="preserve">; </w:t>
      </w:r>
    </w:p>
    <w:p w14:paraId="617AFCD0" w14:textId="77777777" w:rsidR="00343B2F" w:rsidRPr="004A0C12" w:rsidRDefault="00343B2F" w:rsidP="00232F09">
      <w:pPr>
        <w:pStyle w:val="ListParagraph"/>
        <w:numPr>
          <w:ilvl w:val="0"/>
          <w:numId w:val="228"/>
        </w:numPr>
        <w:jc w:val="both"/>
        <w:rPr>
          <w:rFonts w:ascii="Garamond" w:hAnsi="Garamond"/>
          <w:szCs w:val="22"/>
        </w:rPr>
      </w:pPr>
      <w:r w:rsidRPr="004A0C12">
        <w:rPr>
          <w:rFonts w:ascii="Garamond" w:hAnsi="Garamond"/>
          <w:szCs w:val="22"/>
        </w:rPr>
        <w:t xml:space="preserve">15% </w:t>
      </w:r>
      <w:r w:rsidR="007A1FDC" w:rsidRPr="004A0C12">
        <w:rPr>
          <w:rFonts w:ascii="Garamond" w:hAnsi="Garamond"/>
          <w:szCs w:val="22"/>
        </w:rPr>
        <w:t>blind</w:t>
      </w:r>
      <w:r w:rsidRPr="004A0C12">
        <w:rPr>
          <w:rFonts w:ascii="Garamond" w:hAnsi="Garamond"/>
          <w:szCs w:val="22"/>
        </w:rPr>
        <w:t>ness/other visual impairment</w:t>
      </w:r>
      <w:r w:rsidR="007A1FDC" w:rsidRPr="004A0C12">
        <w:rPr>
          <w:rFonts w:ascii="Garamond" w:hAnsi="Garamond"/>
          <w:szCs w:val="22"/>
        </w:rPr>
        <w:t xml:space="preserve">; </w:t>
      </w:r>
    </w:p>
    <w:p w14:paraId="62399783" w14:textId="77777777" w:rsidR="00343B2F" w:rsidRPr="004A0C12" w:rsidRDefault="00343B2F" w:rsidP="00232F09">
      <w:pPr>
        <w:pStyle w:val="ListParagraph"/>
        <w:numPr>
          <w:ilvl w:val="0"/>
          <w:numId w:val="228"/>
        </w:numPr>
        <w:jc w:val="both"/>
        <w:rPr>
          <w:rFonts w:ascii="Garamond" w:hAnsi="Garamond"/>
          <w:szCs w:val="22"/>
        </w:rPr>
      </w:pPr>
      <w:r w:rsidRPr="004A0C12">
        <w:rPr>
          <w:rFonts w:ascii="Garamond" w:hAnsi="Garamond"/>
          <w:szCs w:val="22"/>
        </w:rPr>
        <w:t xml:space="preserve">14% </w:t>
      </w:r>
      <w:r w:rsidR="007A1FDC" w:rsidRPr="004A0C12">
        <w:rPr>
          <w:rFonts w:ascii="Garamond" w:hAnsi="Garamond"/>
          <w:szCs w:val="22"/>
        </w:rPr>
        <w:t>mobility (multiple sclerosi</w:t>
      </w:r>
      <w:r w:rsidRPr="004A0C12">
        <w:rPr>
          <w:rFonts w:ascii="Garamond" w:hAnsi="Garamond"/>
          <w:szCs w:val="22"/>
        </w:rPr>
        <w:t>s, paraplegia, brain injury)</w:t>
      </w:r>
      <w:r w:rsidR="007A1FDC" w:rsidRPr="004A0C12">
        <w:rPr>
          <w:rFonts w:ascii="Garamond" w:hAnsi="Garamond"/>
          <w:szCs w:val="22"/>
        </w:rPr>
        <w:t xml:space="preserve">; </w:t>
      </w:r>
    </w:p>
    <w:p w14:paraId="609F1E29" w14:textId="77777777" w:rsidR="00343B2F" w:rsidRPr="004A0C12" w:rsidRDefault="00343B2F" w:rsidP="00232F09">
      <w:pPr>
        <w:pStyle w:val="ListParagraph"/>
        <w:numPr>
          <w:ilvl w:val="0"/>
          <w:numId w:val="228"/>
        </w:numPr>
        <w:jc w:val="both"/>
        <w:rPr>
          <w:rFonts w:ascii="Garamond" w:hAnsi="Garamond"/>
          <w:szCs w:val="22"/>
        </w:rPr>
      </w:pPr>
      <w:r w:rsidRPr="004A0C12">
        <w:rPr>
          <w:rFonts w:ascii="Garamond" w:hAnsi="Garamond"/>
          <w:szCs w:val="22"/>
        </w:rPr>
        <w:t xml:space="preserve">10% </w:t>
      </w:r>
      <w:r w:rsidR="007A1FDC" w:rsidRPr="004A0C12">
        <w:rPr>
          <w:rFonts w:ascii="Garamond" w:hAnsi="Garamond"/>
          <w:szCs w:val="22"/>
        </w:rPr>
        <w:t>general physical (kidney transplant, bone marrow</w:t>
      </w:r>
      <w:r w:rsidRPr="004A0C12">
        <w:rPr>
          <w:rFonts w:ascii="Garamond" w:hAnsi="Garamond"/>
          <w:szCs w:val="22"/>
        </w:rPr>
        <w:t xml:space="preserve"> disorder, back/neck injury)</w:t>
      </w:r>
      <w:r w:rsidR="007A1FDC" w:rsidRPr="004A0C12">
        <w:rPr>
          <w:rFonts w:ascii="Garamond" w:hAnsi="Garamond"/>
          <w:szCs w:val="22"/>
        </w:rPr>
        <w:t xml:space="preserve">; </w:t>
      </w:r>
    </w:p>
    <w:p w14:paraId="25BE7077" w14:textId="77777777" w:rsidR="00343B2F" w:rsidRPr="004A0C12" w:rsidRDefault="00343B2F" w:rsidP="00232F09">
      <w:pPr>
        <w:pStyle w:val="ListParagraph"/>
        <w:numPr>
          <w:ilvl w:val="0"/>
          <w:numId w:val="228"/>
        </w:numPr>
        <w:jc w:val="both"/>
        <w:rPr>
          <w:rFonts w:ascii="Garamond" w:hAnsi="Garamond"/>
          <w:szCs w:val="22"/>
        </w:rPr>
      </w:pPr>
      <w:r w:rsidRPr="004A0C12">
        <w:rPr>
          <w:rFonts w:ascii="Garamond" w:hAnsi="Garamond"/>
          <w:szCs w:val="22"/>
        </w:rPr>
        <w:t>10% deaf/hard of hearing</w:t>
      </w:r>
      <w:r w:rsidR="007A1FDC" w:rsidRPr="004A0C12">
        <w:rPr>
          <w:rFonts w:ascii="Garamond" w:hAnsi="Garamond"/>
          <w:szCs w:val="22"/>
        </w:rPr>
        <w:t>;</w:t>
      </w:r>
      <w:r w:rsidRPr="004A0C12">
        <w:rPr>
          <w:rFonts w:ascii="Garamond" w:hAnsi="Garamond"/>
          <w:szCs w:val="22"/>
        </w:rPr>
        <w:t xml:space="preserve"> and,</w:t>
      </w:r>
    </w:p>
    <w:p w14:paraId="4E5635F0" w14:textId="1B62F332" w:rsidR="007A1FDC" w:rsidRPr="004A0C12" w:rsidRDefault="00343B2F" w:rsidP="00232F09">
      <w:pPr>
        <w:pStyle w:val="ListParagraph"/>
        <w:numPr>
          <w:ilvl w:val="0"/>
          <w:numId w:val="228"/>
        </w:numPr>
        <w:jc w:val="both"/>
        <w:rPr>
          <w:rFonts w:ascii="Garamond" w:hAnsi="Garamond"/>
          <w:szCs w:val="22"/>
        </w:rPr>
      </w:pPr>
      <w:r w:rsidRPr="004A0C12">
        <w:rPr>
          <w:rFonts w:ascii="Garamond" w:hAnsi="Garamond"/>
          <w:szCs w:val="22"/>
        </w:rPr>
        <w:t>1% deaf-blind</w:t>
      </w:r>
      <w:r w:rsidR="007A1FDC" w:rsidRPr="004A0C12">
        <w:rPr>
          <w:rFonts w:ascii="Garamond" w:hAnsi="Garamond"/>
          <w:szCs w:val="22"/>
        </w:rPr>
        <w:t xml:space="preserve">. </w:t>
      </w:r>
    </w:p>
    <w:p w14:paraId="5C6009C8" w14:textId="77777777" w:rsidR="007A1FDC" w:rsidRPr="004A0C12" w:rsidRDefault="007A1FDC" w:rsidP="007A1FDC">
      <w:pPr>
        <w:spacing w:after="0" w:line="240" w:lineRule="auto"/>
        <w:jc w:val="both"/>
        <w:rPr>
          <w:rFonts w:ascii="Garamond" w:hAnsi="Garamond"/>
        </w:rPr>
      </w:pPr>
    </w:p>
    <w:p w14:paraId="7E895F65" w14:textId="0E14616D" w:rsidR="007A1FDC" w:rsidRPr="004A0C12" w:rsidRDefault="00697430" w:rsidP="007A1FDC">
      <w:pPr>
        <w:spacing w:after="0" w:line="240" w:lineRule="auto"/>
        <w:jc w:val="both"/>
        <w:rPr>
          <w:rFonts w:ascii="Garamond" w:hAnsi="Garamond"/>
        </w:rPr>
      </w:pPr>
      <w:r w:rsidRPr="004A0C12">
        <w:rPr>
          <w:rFonts w:ascii="Garamond" w:hAnsi="Garamond"/>
        </w:rPr>
        <w:t xml:space="preserve">Needs/Concerns: </w:t>
      </w:r>
      <w:r w:rsidR="007A1FDC" w:rsidRPr="004A0C12">
        <w:rPr>
          <w:rFonts w:ascii="Garamond" w:hAnsi="Garamond"/>
        </w:rPr>
        <w:t>When as</w:t>
      </w:r>
      <w:r w:rsidRPr="004A0C12">
        <w:rPr>
          <w:rFonts w:ascii="Garamond" w:hAnsi="Garamond"/>
        </w:rPr>
        <w:t>ked to identify unmet needs, 67 percent</w:t>
      </w:r>
      <w:r w:rsidR="007A1FDC" w:rsidRPr="004A0C12">
        <w:rPr>
          <w:rFonts w:ascii="Garamond" w:hAnsi="Garamond"/>
        </w:rPr>
        <w:t xml:space="preserve"> of the respondents indicated they had no unmet needs or that their</w:t>
      </w:r>
      <w:r w:rsidRPr="004A0C12">
        <w:rPr>
          <w:rFonts w:ascii="Garamond" w:hAnsi="Garamond"/>
        </w:rPr>
        <w:t xml:space="preserve"> accommodation needs were met. </w:t>
      </w:r>
      <w:r w:rsidR="007A1FDC" w:rsidRPr="004A0C12">
        <w:rPr>
          <w:rFonts w:ascii="Garamond" w:hAnsi="Garamond"/>
        </w:rPr>
        <w:t>The following issues represent needs that students identified as unresolved issues:</w:t>
      </w:r>
    </w:p>
    <w:p w14:paraId="6448582E" w14:textId="77777777" w:rsidR="00530FA0" w:rsidRPr="004A0C12" w:rsidRDefault="00530FA0" w:rsidP="007A1FDC">
      <w:pPr>
        <w:spacing w:after="0" w:line="240" w:lineRule="auto"/>
        <w:jc w:val="both"/>
        <w:rPr>
          <w:rFonts w:ascii="Garamond" w:hAnsi="Garamond"/>
        </w:rPr>
      </w:pPr>
    </w:p>
    <w:p w14:paraId="454A2CC5" w14:textId="3A81103E" w:rsidR="007A1FDC" w:rsidRPr="004A0C12" w:rsidRDefault="007A1FDC" w:rsidP="00232F09">
      <w:pPr>
        <w:numPr>
          <w:ilvl w:val="0"/>
          <w:numId w:val="153"/>
        </w:numPr>
        <w:tabs>
          <w:tab w:val="clear" w:pos="360"/>
          <w:tab w:val="num" w:pos="720"/>
        </w:tabs>
        <w:spacing w:after="0" w:line="240" w:lineRule="auto"/>
        <w:ind w:left="720" w:hanging="360"/>
        <w:jc w:val="both"/>
        <w:rPr>
          <w:rFonts w:ascii="Garamond" w:hAnsi="Garamond"/>
        </w:rPr>
      </w:pPr>
      <w:r w:rsidRPr="004A0C12">
        <w:rPr>
          <w:rFonts w:ascii="Garamond" w:hAnsi="Garamond"/>
        </w:rPr>
        <w:t>Better note takers</w:t>
      </w:r>
      <w:r w:rsidR="00697430" w:rsidRPr="004A0C12">
        <w:rPr>
          <w:rFonts w:ascii="Garamond" w:hAnsi="Garamond"/>
        </w:rPr>
        <w:t>;</w:t>
      </w:r>
    </w:p>
    <w:p w14:paraId="49A4539D" w14:textId="0458E6CE" w:rsidR="007A1FDC" w:rsidRPr="004A0C12" w:rsidRDefault="007A1FDC" w:rsidP="00232F09">
      <w:pPr>
        <w:numPr>
          <w:ilvl w:val="0"/>
          <w:numId w:val="153"/>
        </w:numPr>
        <w:tabs>
          <w:tab w:val="clear" w:pos="360"/>
          <w:tab w:val="num" w:pos="720"/>
        </w:tabs>
        <w:spacing w:after="0" w:line="240" w:lineRule="auto"/>
        <w:ind w:left="720" w:hanging="360"/>
        <w:jc w:val="both"/>
        <w:rPr>
          <w:rFonts w:ascii="Garamond" w:hAnsi="Garamond"/>
        </w:rPr>
      </w:pPr>
      <w:r w:rsidRPr="004A0C12">
        <w:rPr>
          <w:rFonts w:ascii="Garamond" w:hAnsi="Garamond"/>
        </w:rPr>
        <w:t>Better tutors</w:t>
      </w:r>
      <w:r w:rsidR="00697430" w:rsidRPr="004A0C12">
        <w:rPr>
          <w:rFonts w:ascii="Garamond" w:hAnsi="Garamond"/>
        </w:rPr>
        <w:t>;</w:t>
      </w:r>
    </w:p>
    <w:p w14:paraId="402883E7" w14:textId="619B1CDD" w:rsidR="007A1FDC" w:rsidRPr="004A0C12" w:rsidRDefault="007A1FDC" w:rsidP="00232F09">
      <w:pPr>
        <w:numPr>
          <w:ilvl w:val="0"/>
          <w:numId w:val="153"/>
        </w:numPr>
        <w:tabs>
          <w:tab w:val="clear" w:pos="360"/>
          <w:tab w:val="num" w:pos="720"/>
        </w:tabs>
        <w:spacing w:after="0" w:line="240" w:lineRule="auto"/>
        <w:ind w:left="720" w:hanging="360"/>
        <w:jc w:val="both"/>
        <w:rPr>
          <w:rFonts w:ascii="Garamond" w:hAnsi="Garamond"/>
        </w:rPr>
      </w:pPr>
      <w:r w:rsidRPr="004A0C12">
        <w:rPr>
          <w:rFonts w:ascii="Garamond" w:hAnsi="Garamond"/>
        </w:rPr>
        <w:t>Better Case Management and Access (DORS and Disability Services)</w:t>
      </w:r>
      <w:r w:rsidR="00697430" w:rsidRPr="004A0C12">
        <w:rPr>
          <w:rFonts w:ascii="Garamond" w:hAnsi="Garamond"/>
        </w:rPr>
        <w:t>; and,</w:t>
      </w:r>
    </w:p>
    <w:p w14:paraId="6D5914E6" w14:textId="39ACF3D6" w:rsidR="007A1FDC" w:rsidRPr="004A0C12" w:rsidRDefault="007A1FDC" w:rsidP="00232F09">
      <w:pPr>
        <w:numPr>
          <w:ilvl w:val="0"/>
          <w:numId w:val="153"/>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Improve </w:t>
      </w:r>
      <w:r w:rsidR="00697430" w:rsidRPr="004A0C12">
        <w:rPr>
          <w:rFonts w:ascii="Garamond" w:hAnsi="Garamond"/>
        </w:rPr>
        <w:t xml:space="preserve">Instructor Disability Awareness. </w:t>
      </w:r>
    </w:p>
    <w:p w14:paraId="0D83AF8C" w14:textId="77777777" w:rsidR="007A1FDC" w:rsidRPr="004A0C12" w:rsidRDefault="007A1FDC" w:rsidP="007A1FDC">
      <w:pPr>
        <w:spacing w:after="0" w:line="240" w:lineRule="auto"/>
        <w:jc w:val="both"/>
        <w:rPr>
          <w:rFonts w:ascii="Garamond" w:hAnsi="Garamond"/>
        </w:rPr>
      </w:pPr>
    </w:p>
    <w:p w14:paraId="0FF2483B" w14:textId="32D10F35" w:rsidR="007A1FDC" w:rsidRPr="004A0C12" w:rsidRDefault="007A1FDC" w:rsidP="007A1FDC">
      <w:pPr>
        <w:spacing w:after="0" w:line="240" w:lineRule="auto"/>
        <w:jc w:val="both"/>
        <w:rPr>
          <w:rFonts w:ascii="Garamond" w:hAnsi="Garamond"/>
        </w:rPr>
      </w:pPr>
      <w:r w:rsidRPr="004A0C12">
        <w:rPr>
          <w:rFonts w:ascii="Garamond" w:hAnsi="Garamond"/>
        </w:rPr>
        <w:t>Disability Suppor</w:t>
      </w:r>
      <w:r w:rsidR="00697430" w:rsidRPr="004A0C12">
        <w:rPr>
          <w:rFonts w:ascii="Garamond" w:hAnsi="Garamond"/>
        </w:rPr>
        <w:t xml:space="preserve">t Services Professionals Survey: </w:t>
      </w:r>
      <w:r w:rsidRPr="004A0C12">
        <w:rPr>
          <w:rFonts w:ascii="Garamond" w:hAnsi="Garamond"/>
        </w:rPr>
        <w:t>An online survey using Survey Gizmo was sent to the 16 Maryland community colle</w:t>
      </w:r>
      <w:r w:rsidR="009307AF" w:rsidRPr="004A0C12">
        <w:rPr>
          <w:rFonts w:ascii="Garamond" w:hAnsi="Garamond"/>
        </w:rPr>
        <w:t>ge disability support offices. Three responses (19 percent</w:t>
      </w:r>
      <w:r w:rsidRPr="004A0C12">
        <w:rPr>
          <w:rFonts w:ascii="Garamond" w:hAnsi="Garamond"/>
        </w:rPr>
        <w:t xml:space="preserve">) </w:t>
      </w:r>
      <w:r w:rsidR="009307AF" w:rsidRPr="004A0C12">
        <w:rPr>
          <w:rFonts w:ascii="Garamond" w:hAnsi="Garamond"/>
        </w:rPr>
        <w:t>were received.</w:t>
      </w:r>
      <w:r w:rsidRPr="004A0C12">
        <w:rPr>
          <w:rFonts w:ascii="Garamond" w:hAnsi="Garamond"/>
        </w:rPr>
        <w:t xml:space="preserve"> In addition, a telephone interview was conducted with a disability support services professional to gain insights not sought in the online survey.</w:t>
      </w:r>
    </w:p>
    <w:p w14:paraId="5CC9C604" w14:textId="77777777" w:rsidR="007A1FDC" w:rsidRPr="004A0C12" w:rsidRDefault="007A1FDC" w:rsidP="007A1FDC">
      <w:pPr>
        <w:spacing w:after="0" w:line="240" w:lineRule="auto"/>
        <w:jc w:val="both"/>
        <w:rPr>
          <w:rFonts w:ascii="Garamond" w:hAnsi="Garamond"/>
        </w:rPr>
      </w:pPr>
    </w:p>
    <w:p w14:paraId="43BE6557" w14:textId="4EDEC20A" w:rsidR="007A1FDC" w:rsidRPr="004A0C12" w:rsidRDefault="007A1FDC" w:rsidP="007A1FDC">
      <w:pPr>
        <w:spacing w:after="0" w:line="240" w:lineRule="auto"/>
        <w:jc w:val="both"/>
        <w:rPr>
          <w:rFonts w:ascii="Garamond" w:hAnsi="Garamond"/>
        </w:rPr>
      </w:pPr>
      <w:r w:rsidRPr="004A0C12">
        <w:rPr>
          <w:rFonts w:ascii="Garamond" w:hAnsi="Garamond"/>
        </w:rPr>
        <w:t>Needs/Concerns: When asked about the unmet needs of community college s</w:t>
      </w:r>
      <w:r w:rsidR="0065501B" w:rsidRPr="004A0C12">
        <w:rPr>
          <w:rFonts w:ascii="Garamond" w:hAnsi="Garamond"/>
        </w:rPr>
        <w:t>tudents with disabilities, the three</w:t>
      </w:r>
      <w:r w:rsidRPr="004A0C12">
        <w:rPr>
          <w:rFonts w:ascii="Garamond" w:hAnsi="Garamond"/>
        </w:rPr>
        <w:t xml:space="preserve"> respondents provided the following responses:</w:t>
      </w:r>
    </w:p>
    <w:p w14:paraId="574BB071" w14:textId="77777777" w:rsidR="00961036" w:rsidRPr="004A0C12" w:rsidRDefault="00961036" w:rsidP="007A1FDC">
      <w:pPr>
        <w:spacing w:after="0" w:line="240" w:lineRule="auto"/>
        <w:jc w:val="both"/>
        <w:rPr>
          <w:rFonts w:ascii="Garamond" w:hAnsi="Garamond"/>
        </w:rPr>
      </w:pPr>
    </w:p>
    <w:p w14:paraId="7A4284EE" w14:textId="52C6E71A" w:rsidR="007A1FDC" w:rsidRPr="004A0C12" w:rsidRDefault="007A1FDC"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Lack of mental health care for students who do not have insurance</w:t>
      </w:r>
      <w:r w:rsidR="0065501B" w:rsidRPr="004A0C12">
        <w:rPr>
          <w:rFonts w:ascii="Garamond" w:hAnsi="Garamond"/>
        </w:rPr>
        <w:t>;</w:t>
      </w:r>
    </w:p>
    <w:p w14:paraId="64F2A5DB" w14:textId="0E29A788" w:rsidR="007A1FDC" w:rsidRPr="004A0C12" w:rsidRDefault="0065501B"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“Specialized” tutoring (</w:t>
      </w:r>
      <w:r w:rsidR="007A1FDC" w:rsidRPr="004A0C12">
        <w:rPr>
          <w:rFonts w:ascii="Garamond" w:hAnsi="Garamond"/>
        </w:rPr>
        <w:t>e.g. beyond what the college provides for all students – this could be one-on-one tutoring by staff with specific expertise in working with students with learning disabilities</w:t>
      </w:r>
      <w:r w:rsidRPr="004A0C12">
        <w:rPr>
          <w:rFonts w:ascii="Garamond" w:hAnsi="Garamond"/>
        </w:rPr>
        <w:t>);</w:t>
      </w:r>
    </w:p>
    <w:p w14:paraId="4BD1A517" w14:textId="6F0CD72F" w:rsidR="007A1FDC" w:rsidRPr="004A0C12" w:rsidRDefault="007A1FDC"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Develop more viable employment options for individuals with borderline intellectual disabilities and provide training for transition from high school to college</w:t>
      </w:r>
      <w:r w:rsidR="0065501B" w:rsidRPr="004A0C12">
        <w:rPr>
          <w:rFonts w:ascii="Garamond" w:hAnsi="Garamond"/>
        </w:rPr>
        <w:t>;</w:t>
      </w:r>
    </w:p>
    <w:p w14:paraId="44B737BA" w14:textId="7BA9B363" w:rsidR="007A1FDC" w:rsidRPr="004A0C12" w:rsidRDefault="007A1FDC"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Other one-on-one personal services</w:t>
      </w:r>
      <w:r w:rsidR="0065501B" w:rsidRPr="004A0C12">
        <w:rPr>
          <w:rFonts w:ascii="Garamond" w:hAnsi="Garamond"/>
        </w:rPr>
        <w:t>,</w:t>
      </w:r>
      <w:r w:rsidRPr="004A0C12">
        <w:rPr>
          <w:rFonts w:ascii="Garamond" w:hAnsi="Garamond"/>
        </w:rPr>
        <w:t xml:space="preserve"> such as those required by students with autism spectrum disorders who could benefit from in-class assistance to maintain focus and attention or be reminded of classroom behaviors</w:t>
      </w:r>
      <w:r w:rsidR="0065501B" w:rsidRPr="004A0C12">
        <w:rPr>
          <w:rFonts w:ascii="Garamond" w:hAnsi="Garamond"/>
        </w:rPr>
        <w:t>;</w:t>
      </w:r>
    </w:p>
    <w:p w14:paraId="43E1A247" w14:textId="67B2E655" w:rsidR="007A1FDC" w:rsidRPr="004A0C12" w:rsidRDefault="007A1FDC"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Collaboration with Communit</w:t>
      </w:r>
      <w:r w:rsidR="0065501B" w:rsidRPr="004A0C12">
        <w:rPr>
          <w:rFonts w:ascii="Garamond" w:hAnsi="Garamond"/>
        </w:rPr>
        <w:t>y and Continuing Education</w:t>
      </w:r>
      <w:r w:rsidRPr="004A0C12">
        <w:rPr>
          <w:rFonts w:ascii="Garamond" w:hAnsi="Garamond"/>
        </w:rPr>
        <w:t xml:space="preserve"> to develop training and skills to facilitate employability</w:t>
      </w:r>
      <w:r w:rsidR="0065501B" w:rsidRPr="004A0C12">
        <w:rPr>
          <w:rFonts w:ascii="Garamond" w:hAnsi="Garamond"/>
        </w:rPr>
        <w:t>;</w:t>
      </w:r>
    </w:p>
    <w:p w14:paraId="421B511D" w14:textId="553B4C5B" w:rsidR="007A1FDC" w:rsidRPr="004A0C12" w:rsidRDefault="007A1FDC"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Continue to support students when they enroll part-time – it’s often the best way for them to manage their college classes</w:t>
      </w:r>
      <w:r w:rsidR="0065501B" w:rsidRPr="004A0C12">
        <w:rPr>
          <w:rFonts w:ascii="Garamond" w:hAnsi="Garamond"/>
        </w:rPr>
        <w:t>;</w:t>
      </w:r>
    </w:p>
    <w:p w14:paraId="2D039EC7" w14:textId="5EED141A" w:rsidR="007A1FDC" w:rsidRPr="004A0C12" w:rsidRDefault="007A1FDC"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lastRenderedPageBreak/>
        <w:t>Provide funds for tutoring resources for individuals taking credit courses</w:t>
      </w:r>
      <w:r w:rsidR="0065501B" w:rsidRPr="004A0C12">
        <w:rPr>
          <w:rFonts w:ascii="Garamond" w:hAnsi="Garamond"/>
        </w:rPr>
        <w:t>;</w:t>
      </w:r>
    </w:p>
    <w:p w14:paraId="7EEEF894" w14:textId="48290981" w:rsidR="007A1FDC" w:rsidRPr="004A0C12" w:rsidRDefault="007A1FDC"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Provide assistive technology and training prior to attending college</w:t>
      </w:r>
      <w:r w:rsidR="0065501B" w:rsidRPr="004A0C12">
        <w:rPr>
          <w:rFonts w:ascii="Garamond" w:hAnsi="Garamond"/>
        </w:rPr>
        <w:t>;</w:t>
      </w:r>
    </w:p>
    <w:p w14:paraId="30C34020" w14:textId="5326F732" w:rsidR="007A1FDC" w:rsidRPr="004A0C12" w:rsidRDefault="0065501B"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Funding for Community and Continuing Education</w:t>
      </w:r>
      <w:r w:rsidR="007A1FDC" w:rsidRPr="004A0C12">
        <w:rPr>
          <w:rFonts w:ascii="Garamond" w:hAnsi="Garamond"/>
        </w:rPr>
        <w:t xml:space="preserve"> courses leading to obtaining job skills</w:t>
      </w:r>
      <w:r w:rsidRPr="004A0C12">
        <w:rPr>
          <w:rFonts w:ascii="Garamond" w:hAnsi="Garamond"/>
        </w:rPr>
        <w:t>;</w:t>
      </w:r>
    </w:p>
    <w:p w14:paraId="4D7FD6ED" w14:textId="18E60A04" w:rsidR="007A1FDC" w:rsidRPr="004A0C12" w:rsidRDefault="007A1FDC"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Expand the Pathways program to other community colleges</w:t>
      </w:r>
      <w:r w:rsidR="0065501B" w:rsidRPr="004A0C12">
        <w:rPr>
          <w:rFonts w:ascii="Garamond" w:hAnsi="Garamond"/>
        </w:rPr>
        <w:t xml:space="preserve">; and, </w:t>
      </w:r>
    </w:p>
    <w:p w14:paraId="3C6530FE" w14:textId="77777777" w:rsidR="007A1FDC" w:rsidRPr="004A0C12" w:rsidRDefault="007A1FDC" w:rsidP="00232F09">
      <w:pPr>
        <w:numPr>
          <w:ilvl w:val="0"/>
          <w:numId w:val="154"/>
        </w:numPr>
        <w:tabs>
          <w:tab w:val="clear" w:pos="360"/>
          <w:tab w:val="num" w:pos="720"/>
        </w:tabs>
        <w:spacing w:after="0" w:line="240" w:lineRule="auto"/>
        <w:ind w:left="720" w:hanging="360"/>
        <w:jc w:val="both"/>
        <w:rPr>
          <w:rFonts w:ascii="Garamond" w:hAnsi="Garamond"/>
        </w:rPr>
      </w:pPr>
      <w:r w:rsidRPr="004A0C12">
        <w:rPr>
          <w:rFonts w:ascii="Garamond" w:hAnsi="Garamond"/>
        </w:rPr>
        <w:t>Role of parents</w:t>
      </w:r>
    </w:p>
    <w:p w14:paraId="11155386" w14:textId="77777777" w:rsidR="007A1FDC" w:rsidRPr="004A0C12" w:rsidRDefault="007A1FDC" w:rsidP="007A1FDC">
      <w:pPr>
        <w:spacing w:after="0" w:line="240" w:lineRule="auto"/>
        <w:jc w:val="both"/>
        <w:rPr>
          <w:rFonts w:ascii="Garamond" w:hAnsi="Garamond"/>
        </w:rPr>
      </w:pPr>
    </w:p>
    <w:p w14:paraId="7A31E796" w14:textId="16915083" w:rsidR="007A1FDC" w:rsidRPr="004A0C12" w:rsidRDefault="007A1FDC" w:rsidP="007A1FDC">
      <w:pPr>
        <w:spacing w:after="0" w:line="240" w:lineRule="auto"/>
        <w:jc w:val="both"/>
        <w:rPr>
          <w:rFonts w:ascii="Garamond" w:hAnsi="Garamond"/>
        </w:rPr>
      </w:pPr>
      <w:r w:rsidRPr="004A0C12">
        <w:rPr>
          <w:rFonts w:ascii="Garamond" w:hAnsi="Garamond"/>
        </w:rPr>
        <w:t>Discussi</w:t>
      </w:r>
      <w:r w:rsidR="0065501B" w:rsidRPr="004A0C12">
        <w:rPr>
          <w:rFonts w:ascii="Garamond" w:hAnsi="Garamond"/>
        </w:rPr>
        <w:t>on:</w:t>
      </w:r>
      <w:r w:rsidRPr="004A0C12">
        <w:rPr>
          <w:rFonts w:ascii="Garamond" w:hAnsi="Garamond"/>
        </w:rPr>
        <w:t xml:space="preserve"> Twenty-nine of the 58 student respondents indicated they applied for services through the disa</w:t>
      </w:r>
      <w:r w:rsidR="0065501B" w:rsidRPr="004A0C12">
        <w:rPr>
          <w:rFonts w:ascii="Garamond" w:hAnsi="Garamond"/>
        </w:rPr>
        <w:t>bility support services office. Of the 29 who applied, 24 (83 percent</w:t>
      </w:r>
      <w:r w:rsidRPr="004A0C12">
        <w:rPr>
          <w:rFonts w:ascii="Garamond" w:hAnsi="Garamond"/>
        </w:rPr>
        <w:t>) reported the accommodations requested allowed them to successfully complete their course work</w:t>
      </w:r>
      <w:r w:rsidR="0065501B" w:rsidRPr="004A0C12">
        <w:rPr>
          <w:rFonts w:ascii="Garamond" w:hAnsi="Garamond"/>
        </w:rPr>
        <w:t xml:space="preserve">. </w:t>
      </w:r>
      <w:r w:rsidRPr="004A0C12">
        <w:rPr>
          <w:rFonts w:ascii="Garamond" w:hAnsi="Garamond"/>
        </w:rPr>
        <w:t>The 5 individuals who reported that their accommodations were not successful indicated that better note takers, professional tutoring, instructors with better disability awareness, and better DORS support would have been helpful.</w:t>
      </w:r>
    </w:p>
    <w:p w14:paraId="678E5043" w14:textId="77777777" w:rsidR="007A1FDC" w:rsidRPr="004A0C12" w:rsidRDefault="007A1FDC" w:rsidP="007A1FDC">
      <w:pPr>
        <w:spacing w:after="0" w:line="240" w:lineRule="auto"/>
        <w:jc w:val="both"/>
        <w:rPr>
          <w:rFonts w:ascii="Garamond" w:hAnsi="Garamond"/>
        </w:rPr>
      </w:pPr>
    </w:p>
    <w:p w14:paraId="59AA1466" w14:textId="6415163E" w:rsidR="007A1FDC" w:rsidRPr="004A0C12" w:rsidRDefault="0065501B" w:rsidP="007A1FDC">
      <w:pPr>
        <w:spacing w:after="0" w:line="240" w:lineRule="auto"/>
        <w:jc w:val="both"/>
        <w:rPr>
          <w:rFonts w:ascii="Garamond" w:hAnsi="Garamond"/>
        </w:rPr>
      </w:pPr>
      <w:r w:rsidRPr="004A0C12">
        <w:rPr>
          <w:rFonts w:ascii="Garamond" w:hAnsi="Garamond"/>
        </w:rPr>
        <w:t>Fifteen (52 percent</w:t>
      </w:r>
      <w:r w:rsidR="007A1FDC" w:rsidRPr="004A0C12">
        <w:rPr>
          <w:rFonts w:ascii="Garamond" w:hAnsi="Garamond"/>
        </w:rPr>
        <w:t>) of the 29 students who did not apply for accommodations indicated they did not need them.  Four of the students who didn’t apply cited an i</w:t>
      </w:r>
      <w:r w:rsidRPr="004A0C12">
        <w:rPr>
          <w:rFonts w:ascii="Garamond" w:hAnsi="Garamond"/>
        </w:rPr>
        <w:t xml:space="preserve">nterest in non-disclosure and seven </w:t>
      </w:r>
      <w:r w:rsidR="007A1FDC" w:rsidRPr="004A0C12">
        <w:rPr>
          <w:rFonts w:ascii="Garamond" w:hAnsi="Garamond"/>
        </w:rPr>
        <w:t>of the students lacked knowledge about the disabi</w:t>
      </w:r>
      <w:r w:rsidRPr="004A0C12">
        <w:rPr>
          <w:rFonts w:ascii="Garamond" w:hAnsi="Garamond"/>
        </w:rPr>
        <w:t xml:space="preserve">lity support services program. </w:t>
      </w:r>
      <w:r w:rsidR="007A1FDC" w:rsidRPr="004A0C12">
        <w:rPr>
          <w:rFonts w:ascii="Garamond" w:hAnsi="Garamond"/>
        </w:rPr>
        <w:t>Other reasons for not applying included the amount of time to apply for services and the belief that there were no accommodations for their particular needs.</w:t>
      </w:r>
    </w:p>
    <w:p w14:paraId="6CDD62C5" w14:textId="77777777" w:rsidR="007A1FDC" w:rsidRPr="004A0C12" w:rsidRDefault="007A1FDC" w:rsidP="007A1FDC">
      <w:pPr>
        <w:spacing w:after="0" w:line="240" w:lineRule="auto"/>
        <w:jc w:val="both"/>
        <w:rPr>
          <w:rFonts w:ascii="Garamond" w:hAnsi="Garamond"/>
        </w:rPr>
      </w:pPr>
    </w:p>
    <w:p w14:paraId="042317FB" w14:textId="6F3D7980" w:rsidR="007A1FDC" w:rsidRPr="004A0C12" w:rsidRDefault="007A1FDC" w:rsidP="007A1FDC">
      <w:pPr>
        <w:spacing w:after="0" w:line="240" w:lineRule="auto"/>
        <w:jc w:val="both"/>
        <w:rPr>
          <w:rFonts w:ascii="Garamond" w:hAnsi="Garamond"/>
        </w:rPr>
      </w:pPr>
      <w:r w:rsidRPr="004A0C12">
        <w:rPr>
          <w:rFonts w:ascii="Garamond" w:hAnsi="Garamond"/>
        </w:rPr>
        <w:t>Based on the student survey results, it appears that a large percentage of students’ accommodation needs were</w:t>
      </w:r>
      <w:r w:rsidR="0065501B" w:rsidRPr="004A0C12">
        <w:rPr>
          <w:rFonts w:ascii="Garamond" w:hAnsi="Garamond"/>
        </w:rPr>
        <w:t xml:space="preserve"> successfully met.</w:t>
      </w:r>
      <w:r w:rsidRPr="004A0C12">
        <w:rPr>
          <w:rFonts w:ascii="Garamond" w:hAnsi="Garamond"/>
        </w:rPr>
        <w:t xml:space="preserve"> The “unmet” needs identified in the student survey are mostly related to service coordination rather than an actual unmet accommodation need</w:t>
      </w:r>
      <w:r w:rsidR="0065501B" w:rsidRPr="004A0C12">
        <w:rPr>
          <w:rFonts w:ascii="Garamond" w:hAnsi="Garamond"/>
        </w:rPr>
        <w:t>s</w:t>
      </w:r>
      <w:r w:rsidRPr="004A0C12">
        <w:rPr>
          <w:rFonts w:ascii="Garamond" w:hAnsi="Garamond"/>
        </w:rPr>
        <w:t xml:space="preserve"> required for suc</w:t>
      </w:r>
      <w:r w:rsidR="0065501B" w:rsidRPr="004A0C12">
        <w:rPr>
          <w:rFonts w:ascii="Garamond" w:hAnsi="Garamond"/>
        </w:rPr>
        <w:t xml:space="preserve">cessful college participation. </w:t>
      </w:r>
      <w:r w:rsidRPr="004A0C12">
        <w:rPr>
          <w:rFonts w:ascii="Garamond" w:hAnsi="Garamond"/>
        </w:rPr>
        <w:t>Such issues as transportation, payment timeliness, career guidance, medical services</w:t>
      </w:r>
      <w:r w:rsidR="0065501B" w:rsidRPr="004A0C12">
        <w:rPr>
          <w:rFonts w:ascii="Garamond" w:hAnsi="Garamond"/>
        </w:rPr>
        <w:t>,</w:t>
      </w:r>
      <w:r w:rsidRPr="004A0C12">
        <w:rPr>
          <w:rFonts w:ascii="Garamond" w:hAnsi="Garamond"/>
        </w:rPr>
        <w:t xml:space="preserve"> and tuition funding are services provided by DORS and not considered accommodations.</w:t>
      </w:r>
    </w:p>
    <w:p w14:paraId="515BA7C3" w14:textId="77777777" w:rsidR="007A1FDC" w:rsidRPr="004A0C12" w:rsidRDefault="007A1FDC" w:rsidP="007A1FDC">
      <w:pPr>
        <w:spacing w:after="0" w:line="240" w:lineRule="auto"/>
        <w:jc w:val="both"/>
        <w:rPr>
          <w:rFonts w:ascii="Garamond" w:hAnsi="Garamond"/>
        </w:rPr>
      </w:pPr>
    </w:p>
    <w:p w14:paraId="443FCACB" w14:textId="3D320FA3" w:rsidR="007A1FDC" w:rsidRPr="004A0C12" w:rsidRDefault="007A1FDC" w:rsidP="007A1FDC">
      <w:pPr>
        <w:spacing w:after="0" w:line="240" w:lineRule="auto"/>
        <w:jc w:val="both"/>
        <w:rPr>
          <w:rFonts w:ascii="Garamond" w:hAnsi="Garamond"/>
        </w:rPr>
      </w:pPr>
      <w:r w:rsidRPr="004A0C12">
        <w:rPr>
          <w:rFonts w:ascii="Garamond" w:hAnsi="Garamond"/>
        </w:rPr>
        <w:t>The disability support services survey identified the need for mental health services for those students without insurance and tutoring by staff with specific expertise in working wi</w:t>
      </w:r>
      <w:r w:rsidR="0065501B" w:rsidRPr="004A0C12">
        <w:rPr>
          <w:rFonts w:ascii="Garamond" w:hAnsi="Garamond"/>
        </w:rPr>
        <w:t xml:space="preserve">th students with disabilities. </w:t>
      </w:r>
      <w:r w:rsidRPr="004A0C12">
        <w:rPr>
          <w:rFonts w:ascii="Garamond" w:hAnsi="Garamond"/>
        </w:rPr>
        <w:t>These needs seem to be c</w:t>
      </w:r>
      <w:r w:rsidR="0065501B" w:rsidRPr="004A0C12">
        <w:rPr>
          <w:rFonts w:ascii="Garamond" w:hAnsi="Garamond"/>
        </w:rPr>
        <w:t>onsistent with the fact that 32 percent</w:t>
      </w:r>
      <w:r w:rsidRPr="004A0C12">
        <w:rPr>
          <w:rFonts w:ascii="Garamond" w:hAnsi="Garamond"/>
        </w:rPr>
        <w:t xml:space="preserve"> of the student respondents identified a mental health disability and that another unmet need identified by the students was for more experienced tutors. Other recommendations include supporting students enrolled part-time and to provide assistive technology and train</w:t>
      </w:r>
      <w:r w:rsidR="0065501B" w:rsidRPr="004A0C12">
        <w:rPr>
          <w:rFonts w:ascii="Garamond" w:hAnsi="Garamond"/>
        </w:rPr>
        <w:t xml:space="preserve">ing prior to attending college. </w:t>
      </w:r>
      <w:r w:rsidRPr="004A0C12">
        <w:rPr>
          <w:rFonts w:ascii="Garamond" w:hAnsi="Garamond"/>
        </w:rPr>
        <w:t>There are policy provisions for part-time enrollment and efforts continue to streamline assistive technology services to insure timely provision of technology and traini</w:t>
      </w:r>
      <w:r w:rsidR="0065501B" w:rsidRPr="004A0C12">
        <w:rPr>
          <w:rFonts w:ascii="Garamond" w:hAnsi="Garamond"/>
        </w:rPr>
        <w:t xml:space="preserve">ng prior to college admission. </w:t>
      </w:r>
      <w:r w:rsidRPr="004A0C12">
        <w:rPr>
          <w:rFonts w:ascii="Garamond" w:hAnsi="Garamond"/>
        </w:rPr>
        <w:t>The final recommendation by two disability support services surveys was related to serving those students who are on the autism spectrum. It was recommended that DORS expand their Pathways project to other community colleges beyond the Baltimore C</w:t>
      </w:r>
      <w:r w:rsidR="0065501B" w:rsidRPr="004A0C12">
        <w:rPr>
          <w:rFonts w:ascii="Garamond" w:hAnsi="Garamond"/>
        </w:rPr>
        <w:t>ounty Community College campus.</w:t>
      </w:r>
      <w:r w:rsidRPr="004A0C12">
        <w:rPr>
          <w:rFonts w:ascii="Garamond" w:hAnsi="Garamond"/>
        </w:rPr>
        <w:t xml:space="preserve"> The enhanced case management of this program, including in-class personal assistance, was viewed as a good accommodation for the autism spectrum population.  The Pathways program has proven to be successful and efforts to serve individuals through the Baltimore County campus continues to be the most cost effective means to serve this college bound population.</w:t>
      </w:r>
    </w:p>
    <w:p w14:paraId="5E539740" w14:textId="77777777" w:rsidR="007A1FDC" w:rsidRPr="004A0C12" w:rsidRDefault="007A1FDC" w:rsidP="007A1FDC">
      <w:pPr>
        <w:spacing w:after="0" w:line="240" w:lineRule="auto"/>
        <w:jc w:val="both"/>
        <w:rPr>
          <w:rFonts w:ascii="Garamond" w:hAnsi="Garamond"/>
        </w:rPr>
      </w:pPr>
    </w:p>
    <w:p w14:paraId="47DE535B" w14:textId="04F16DEB" w:rsidR="007A1FDC" w:rsidRPr="004A0C12" w:rsidRDefault="007A1FDC" w:rsidP="007A1FDC">
      <w:pPr>
        <w:spacing w:after="0" w:line="240" w:lineRule="auto"/>
        <w:jc w:val="both"/>
        <w:rPr>
          <w:rFonts w:ascii="Garamond" w:hAnsi="Garamond"/>
        </w:rPr>
      </w:pPr>
      <w:r w:rsidRPr="004A0C12">
        <w:rPr>
          <w:rFonts w:ascii="Garamond" w:hAnsi="Garamond"/>
        </w:rPr>
        <w:t>It is noteworthy that none of the survey respondents reported an unmet need for the provision of assistive technology or</w:t>
      </w:r>
      <w:r w:rsidR="009E4244" w:rsidRPr="004A0C12">
        <w:rPr>
          <w:rFonts w:ascii="Garamond" w:hAnsi="Garamond"/>
        </w:rPr>
        <w:t xml:space="preserve"> computer provision in general.</w:t>
      </w:r>
      <w:r w:rsidRPr="004A0C12">
        <w:rPr>
          <w:rFonts w:ascii="Garamond" w:hAnsi="Garamond"/>
        </w:rPr>
        <w:t xml:space="preserve"> One possible reason for this </w:t>
      </w:r>
      <w:r w:rsidR="009E4244" w:rsidRPr="004A0C12">
        <w:rPr>
          <w:rFonts w:ascii="Garamond" w:hAnsi="Garamond"/>
        </w:rPr>
        <w:t>could be that the</w:t>
      </w:r>
      <w:r w:rsidRPr="004A0C12">
        <w:rPr>
          <w:rFonts w:ascii="Garamond" w:hAnsi="Garamond"/>
        </w:rPr>
        <w:t xml:space="preserve"> agency response to a recommendation in the last statewide needs assessment </w:t>
      </w:r>
      <w:r w:rsidR="009E4244" w:rsidRPr="004A0C12">
        <w:rPr>
          <w:rFonts w:ascii="Garamond" w:hAnsi="Garamond"/>
        </w:rPr>
        <w:t xml:space="preserve">was </w:t>
      </w:r>
      <w:r w:rsidRPr="004A0C12">
        <w:rPr>
          <w:rFonts w:ascii="Garamond" w:hAnsi="Garamond"/>
        </w:rPr>
        <w:t>to explore a policy change regarding the provision of c</w:t>
      </w:r>
      <w:r w:rsidR="009E4244" w:rsidRPr="004A0C12">
        <w:rPr>
          <w:rFonts w:ascii="Garamond" w:hAnsi="Garamond"/>
        </w:rPr>
        <w:t xml:space="preserve">omputers for college students. </w:t>
      </w:r>
      <w:r w:rsidRPr="004A0C12">
        <w:rPr>
          <w:rFonts w:ascii="Garamond" w:hAnsi="Garamond"/>
        </w:rPr>
        <w:t xml:space="preserve">A policy change has made it easier to purchase a non-adaptive </w:t>
      </w:r>
      <w:r w:rsidR="009E4244" w:rsidRPr="004A0C12">
        <w:rPr>
          <w:rFonts w:ascii="Garamond" w:hAnsi="Garamond"/>
        </w:rPr>
        <w:t xml:space="preserve">computer for college students. </w:t>
      </w:r>
      <w:r w:rsidRPr="004A0C12">
        <w:rPr>
          <w:rFonts w:ascii="Garamond" w:hAnsi="Garamond"/>
        </w:rPr>
        <w:t>In addition, resources have been developed to purchase refurbished computers.</w:t>
      </w:r>
    </w:p>
    <w:p w14:paraId="3D1283B3" w14:textId="77777777" w:rsidR="009E4244" w:rsidRPr="004A0C12" w:rsidRDefault="009E4244" w:rsidP="007A1FDC">
      <w:pPr>
        <w:spacing w:after="0" w:line="240" w:lineRule="auto"/>
        <w:jc w:val="both"/>
        <w:rPr>
          <w:rFonts w:ascii="Garamond" w:hAnsi="Garamond"/>
        </w:rPr>
      </w:pPr>
    </w:p>
    <w:p w14:paraId="21DC931F" w14:textId="77777777" w:rsidR="009E4244" w:rsidRPr="004A0C12" w:rsidRDefault="009E4244" w:rsidP="009E4244">
      <w:pPr>
        <w:spacing w:after="0" w:line="240" w:lineRule="auto"/>
        <w:jc w:val="both"/>
        <w:rPr>
          <w:rFonts w:ascii="Garamond" w:hAnsi="Garamond"/>
        </w:rPr>
      </w:pPr>
      <w:r w:rsidRPr="004A0C12">
        <w:rPr>
          <w:rFonts w:ascii="Garamond" w:hAnsi="Garamond"/>
        </w:rPr>
        <w:t xml:space="preserve">DORS suggests the following additional strategies: </w:t>
      </w:r>
    </w:p>
    <w:p w14:paraId="6EF270B3" w14:textId="77777777" w:rsidR="009E4244" w:rsidRPr="004A0C12" w:rsidRDefault="009E4244" w:rsidP="009E4244">
      <w:pPr>
        <w:spacing w:after="0" w:line="240" w:lineRule="auto"/>
        <w:jc w:val="both"/>
        <w:rPr>
          <w:rFonts w:ascii="Garamond" w:hAnsi="Garamond"/>
        </w:rPr>
      </w:pPr>
    </w:p>
    <w:p w14:paraId="59B69772" w14:textId="77777777" w:rsidR="009E4244" w:rsidRPr="004A0C12" w:rsidRDefault="007A1FDC" w:rsidP="00232F09">
      <w:pPr>
        <w:pStyle w:val="ListParagraph"/>
        <w:numPr>
          <w:ilvl w:val="0"/>
          <w:numId w:val="229"/>
        </w:numPr>
        <w:jc w:val="both"/>
        <w:rPr>
          <w:rFonts w:ascii="Garamond" w:hAnsi="Garamond"/>
          <w:szCs w:val="22"/>
        </w:rPr>
      </w:pPr>
      <w:r w:rsidRPr="004A0C12">
        <w:rPr>
          <w:rFonts w:ascii="Garamond" w:hAnsi="Garamond"/>
          <w:szCs w:val="22"/>
        </w:rPr>
        <w:t>Continue to strengthen the relationship between DORS and the college disability support services offices.</w:t>
      </w:r>
      <w:r w:rsidR="009E4244" w:rsidRPr="004A0C12">
        <w:rPr>
          <w:rFonts w:ascii="Garamond" w:hAnsi="Garamond"/>
          <w:szCs w:val="22"/>
        </w:rPr>
        <w:t xml:space="preserve"> </w:t>
      </w:r>
      <w:r w:rsidRPr="004A0C12">
        <w:rPr>
          <w:rFonts w:ascii="Garamond" w:hAnsi="Garamond"/>
          <w:szCs w:val="22"/>
        </w:rPr>
        <w:t>This could be accomplished by increasing the coordination between DORS counselors and disability support service professionals when coordinating individualized accommodations and support planning for students with disabilities as they plan for transitioning into college. This would also likely help address the lack of awareness of disability support services noted b</w:t>
      </w:r>
      <w:r w:rsidR="009E4244" w:rsidRPr="004A0C12">
        <w:rPr>
          <w:rFonts w:ascii="Garamond" w:hAnsi="Garamond"/>
          <w:szCs w:val="22"/>
        </w:rPr>
        <w:t xml:space="preserve">y several student respondents. </w:t>
      </w:r>
      <w:r w:rsidRPr="004A0C12">
        <w:rPr>
          <w:rFonts w:ascii="Garamond" w:hAnsi="Garamond"/>
          <w:szCs w:val="22"/>
        </w:rPr>
        <w:t>The need to enhance this relationship was also a recommendation in the previous statewide needs assessment.</w:t>
      </w:r>
    </w:p>
    <w:p w14:paraId="55A08C56" w14:textId="77777777" w:rsidR="009E4244" w:rsidRPr="004A0C12" w:rsidRDefault="007A1FDC" w:rsidP="00232F09">
      <w:pPr>
        <w:pStyle w:val="ListParagraph"/>
        <w:numPr>
          <w:ilvl w:val="0"/>
          <w:numId w:val="229"/>
        </w:numPr>
        <w:jc w:val="both"/>
        <w:rPr>
          <w:rFonts w:ascii="Garamond" w:hAnsi="Garamond"/>
          <w:szCs w:val="22"/>
        </w:rPr>
      </w:pPr>
      <w:r w:rsidRPr="004A0C12">
        <w:rPr>
          <w:rFonts w:ascii="Garamond" w:hAnsi="Garamond"/>
          <w:szCs w:val="22"/>
        </w:rPr>
        <w:t>DORS counselors should insure the readiness of students for the demands associated with college and make sure appropriate supports are in place. A number of student survey respondents had issues associated with what they perceived as unrealistic instructor expectations and some expressed their frustration with the administrative</w:t>
      </w:r>
      <w:r w:rsidR="009E4244" w:rsidRPr="004A0C12">
        <w:rPr>
          <w:rFonts w:ascii="Garamond" w:hAnsi="Garamond"/>
          <w:szCs w:val="22"/>
        </w:rPr>
        <w:t xml:space="preserve"> demands of </w:t>
      </w:r>
      <w:r w:rsidR="009E4244" w:rsidRPr="004A0C12">
        <w:rPr>
          <w:rFonts w:ascii="Garamond" w:hAnsi="Garamond"/>
          <w:szCs w:val="22"/>
        </w:rPr>
        <w:lastRenderedPageBreak/>
        <w:t xml:space="preserve">attending college. </w:t>
      </w:r>
      <w:r w:rsidRPr="004A0C12">
        <w:rPr>
          <w:rFonts w:ascii="Garamond" w:hAnsi="Garamond"/>
          <w:szCs w:val="22"/>
        </w:rPr>
        <w:t>Parental involvement should be a significant consideration during the college transitioning planning for high school students.</w:t>
      </w:r>
    </w:p>
    <w:p w14:paraId="1784832C" w14:textId="592E2107" w:rsidR="007A1FDC" w:rsidRPr="004A0C12" w:rsidRDefault="007A1FDC" w:rsidP="00232F09">
      <w:pPr>
        <w:pStyle w:val="ListParagraph"/>
        <w:numPr>
          <w:ilvl w:val="0"/>
          <w:numId w:val="229"/>
        </w:numPr>
        <w:jc w:val="both"/>
        <w:rPr>
          <w:rFonts w:ascii="Garamond" w:hAnsi="Garamond"/>
          <w:szCs w:val="22"/>
        </w:rPr>
      </w:pPr>
      <w:r w:rsidRPr="004A0C12">
        <w:rPr>
          <w:rFonts w:ascii="Garamond" w:hAnsi="Garamond"/>
          <w:szCs w:val="22"/>
        </w:rPr>
        <w:t>Assess the utilization and effectiveness of DORS funded tutoring for community college students.  Both the student survey and the disability support services survey results indicate the need for specialized tutoring beyond what is</w:t>
      </w:r>
      <w:r w:rsidR="009E4244" w:rsidRPr="004A0C12">
        <w:rPr>
          <w:rFonts w:ascii="Garamond" w:hAnsi="Garamond"/>
          <w:szCs w:val="22"/>
        </w:rPr>
        <w:t xml:space="preserve"> normally provided by colleges.</w:t>
      </w:r>
      <w:r w:rsidRPr="004A0C12">
        <w:rPr>
          <w:rFonts w:ascii="Garamond" w:hAnsi="Garamond"/>
          <w:szCs w:val="22"/>
        </w:rPr>
        <w:t xml:space="preserve"> DORS policy allows for tutoring in specific situations, however, additional resource development is likely needed in rural areas to insure successful tutoring outcomes.</w:t>
      </w:r>
    </w:p>
    <w:p w14:paraId="51A8EE39" w14:textId="7B936B3B" w:rsidR="007A1FDC" w:rsidRPr="004A0C12" w:rsidRDefault="007A1FDC" w:rsidP="007A1FDC">
      <w:pPr>
        <w:spacing w:before="100" w:after="0" w:line="240" w:lineRule="auto"/>
        <w:jc w:val="both"/>
        <w:rPr>
          <w:rFonts w:ascii="Garamond" w:hAnsi="Garamond"/>
          <w:u w:val="single"/>
        </w:rPr>
      </w:pPr>
      <w:r w:rsidRPr="004A0C12">
        <w:rPr>
          <w:rFonts w:ascii="Garamond" w:hAnsi="Garamond"/>
          <w:shd w:val="clear" w:color="auto" w:fill="FFFF00"/>
        </w:rPr>
        <w:cr/>
      </w:r>
      <w:r w:rsidR="00475BE9" w:rsidRPr="004A0C12">
        <w:rPr>
          <w:rFonts w:ascii="Garamond" w:hAnsi="Garamond"/>
          <w:u w:val="single"/>
        </w:rPr>
        <w:t xml:space="preserve">American Job Centers </w:t>
      </w:r>
    </w:p>
    <w:p w14:paraId="07D86A5C" w14:textId="3898CBAE" w:rsidR="007A1FDC" w:rsidRPr="004A0C12" w:rsidRDefault="00C73720" w:rsidP="007A1FDC">
      <w:pPr>
        <w:spacing w:after="0" w:line="240" w:lineRule="auto"/>
        <w:jc w:val="both"/>
        <w:rPr>
          <w:rFonts w:ascii="Garamond" w:hAnsi="Garamond"/>
        </w:rPr>
      </w:pPr>
      <w:r w:rsidRPr="004A0C12">
        <w:rPr>
          <w:rFonts w:ascii="Garamond" w:hAnsi="Garamond"/>
        </w:rPr>
        <w:t xml:space="preserve">While most of the WIOA Partners have worked closely together for a number of years, </w:t>
      </w:r>
      <w:r w:rsidR="00475BE9" w:rsidRPr="004A0C12">
        <w:rPr>
          <w:rFonts w:ascii="Garamond" w:hAnsi="Garamond"/>
        </w:rPr>
        <w:t xml:space="preserve">WIOA </w:t>
      </w:r>
      <w:r w:rsidRPr="004A0C12">
        <w:rPr>
          <w:rFonts w:ascii="Garamond" w:hAnsi="Garamond"/>
        </w:rPr>
        <w:t>provides an opportunity for</w:t>
      </w:r>
      <w:r w:rsidR="007A1FDC" w:rsidRPr="004A0C12">
        <w:rPr>
          <w:rFonts w:ascii="Garamond" w:hAnsi="Garamond"/>
        </w:rPr>
        <w:t xml:space="preserve"> </w:t>
      </w:r>
      <w:r w:rsidRPr="004A0C12">
        <w:rPr>
          <w:rFonts w:ascii="Garamond" w:hAnsi="Garamond"/>
        </w:rPr>
        <w:t>workforce</w:t>
      </w:r>
      <w:r w:rsidR="007A1FDC" w:rsidRPr="004A0C12">
        <w:rPr>
          <w:rFonts w:ascii="Garamond" w:hAnsi="Garamond"/>
        </w:rPr>
        <w:t xml:space="preserve"> programs </w:t>
      </w:r>
      <w:r w:rsidRPr="004A0C12">
        <w:rPr>
          <w:rFonts w:ascii="Garamond" w:hAnsi="Garamond"/>
        </w:rPr>
        <w:t xml:space="preserve">to work more closely </w:t>
      </w:r>
      <w:r w:rsidR="007A1FDC" w:rsidRPr="004A0C12">
        <w:rPr>
          <w:rFonts w:ascii="Garamond" w:hAnsi="Garamond"/>
        </w:rPr>
        <w:t>together, to create one comprehensive</w:t>
      </w:r>
      <w:r w:rsidRPr="004A0C12">
        <w:rPr>
          <w:rFonts w:ascii="Garamond" w:hAnsi="Garamond"/>
        </w:rPr>
        <w:t xml:space="preserve"> WIOA</w:t>
      </w:r>
      <w:r w:rsidR="00BB5F3C" w:rsidRPr="004A0C12">
        <w:rPr>
          <w:rFonts w:ascii="Garamond" w:hAnsi="Garamond"/>
        </w:rPr>
        <w:t xml:space="preserve"> service system. Job</w:t>
      </w:r>
      <w:r w:rsidR="007A1FDC" w:rsidRPr="004A0C12">
        <w:rPr>
          <w:rFonts w:ascii="Garamond" w:hAnsi="Garamond"/>
        </w:rPr>
        <w:t>seekers, including individuals with disabilities</w:t>
      </w:r>
      <w:r w:rsidR="00475BE9" w:rsidRPr="004A0C12">
        <w:rPr>
          <w:rFonts w:ascii="Garamond" w:hAnsi="Garamond"/>
        </w:rPr>
        <w:t>,</w:t>
      </w:r>
      <w:r w:rsidR="007A1FDC" w:rsidRPr="004A0C12">
        <w:rPr>
          <w:rFonts w:ascii="Garamond" w:hAnsi="Garamond"/>
        </w:rPr>
        <w:t xml:space="preserve"> can access this system through a network of </w:t>
      </w:r>
      <w:r w:rsidR="00475BE9" w:rsidRPr="004A0C12">
        <w:rPr>
          <w:rFonts w:ascii="Garamond" w:hAnsi="Garamond"/>
        </w:rPr>
        <w:t xml:space="preserve">American Job Centers. </w:t>
      </w:r>
      <w:r w:rsidR="007A1FDC" w:rsidRPr="004A0C12">
        <w:rPr>
          <w:rFonts w:ascii="Garamond" w:hAnsi="Garamond"/>
        </w:rPr>
        <w:t xml:space="preserve">Services are developed and implemented by a number of </w:t>
      </w:r>
      <w:r w:rsidR="00475BE9" w:rsidRPr="004A0C12">
        <w:rPr>
          <w:rFonts w:ascii="Garamond" w:hAnsi="Garamond"/>
        </w:rPr>
        <w:t>WIOA Partners, as outlined within this Plan. While some of the Maryland WIOA Partners have been determined by Governor Hogan, others—like Vocational Rehabilitation</w:t>
      </w:r>
      <w:r w:rsidRPr="004A0C12">
        <w:rPr>
          <w:rFonts w:ascii="Garamond" w:hAnsi="Garamond"/>
        </w:rPr>
        <w:t>, administered</w:t>
      </w:r>
      <w:r w:rsidR="00475BE9" w:rsidRPr="004A0C12">
        <w:rPr>
          <w:rFonts w:ascii="Garamond" w:hAnsi="Garamond"/>
        </w:rPr>
        <w:t xml:space="preserve"> by DORS—is mandated as a partner by law. Of the WIOA Partners, Maryland’s Vocational Rehabilitation program is the only one that focuses solely on individuals with disabilities. </w:t>
      </w:r>
    </w:p>
    <w:p w14:paraId="147507BE" w14:textId="77777777" w:rsidR="007A1FDC" w:rsidRPr="004A0C12" w:rsidRDefault="007A1FDC" w:rsidP="007A1FDC">
      <w:pPr>
        <w:spacing w:after="0" w:line="240" w:lineRule="auto"/>
        <w:jc w:val="both"/>
        <w:rPr>
          <w:rFonts w:ascii="Garamond" w:hAnsi="Garamond"/>
        </w:rPr>
      </w:pPr>
    </w:p>
    <w:p w14:paraId="03383351" w14:textId="51B910EF" w:rsidR="00C73720" w:rsidRPr="004A0C12" w:rsidRDefault="00C73720" w:rsidP="007A1FDC">
      <w:pPr>
        <w:spacing w:after="0" w:line="240" w:lineRule="auto"/>
        <w:jc w:val="both"/>
        <w:rPr>
          <w:rFonts w:ascii="Garamond" w:hAnsi="Garamond"/>
        </w:rPr>
      </w:pPr>
      <w:r w:rsidRPr="004A0C12">
        <w:rPr>
          <w:rFonts w:ascii="Garamond" w:hAnsi="Garamond"/>
        </w:rPr>
        <w:t xml:space="preserve">While DLLR has hired a Youth &amp; Disabilities Service Coordinator since the 2007 Needs Assessment, due to budget constraints, it no longer employs Disability Navigators within the State’s AJCs. For this reason, it is more important than ever for DORS and AJC staff to work collaboratively, as WIOA Partners, so that individuals with disabilities can benefit from all of the opportunities and resources the State’s variety of WIOA Programs offers. </w:t>
      </w:r>
    </w:p>
    <w:p w14:paraId="39A97DCC" w14:textId="77777777" w:rsidR="00C73720" w:rsidRPr="004A0C12" w:rsidRDefault="00C73720" w:rsidP="007A1FDC">
      <w:pPr>
        <w:spacing w:after="0" w:line="240" w:lineRule="auto"/>
        <w:jc w:val="both"/>
        <w:rPr>
          <w:rFonts w:ascii="Garamond" w:hAnsi="Garamond"/>
        </w:rPr>
      </w:pPr>
    </w:p>
    <w:p w14:paraId="45EF4C8F" w14:textId="18B319FC" w:rsidR="007A1FDC" w:rsidRPr="004A0C12" w:rsidRDefault="00C73720" w:rsidP="007A1FDC">
      <w:pPr>
        <w:spacing w:after="0" w:line="240" w:lineRule="auto"/>
        <w:jc w:val="both"/>
        <w:rPr>
          <w:rFonts w:ascii="Garamond" w:hAnsi="Garamond"/>
        </w:rPr>
      </w:pPr>
      <w:r w:rsidRPr="004A0C12">
        <w:rPr>
          <w:rFonts w:ascii="Garamond" w:hAnsi="Garamond"/>
        </w:rPr>
        <w:t xml:space="preserve">DORS used three methods to assess the needs of individuals with disabilities served within Maryland’s AJC system within the review period: (1) a survey of AJC staff; and, (2) a survey of DORS’ business </w:t>
      </w:r>
      <w:r w:rsidR="00CF391B" w:rsidRPr="004A0C12">
        <w:rPr>
          <w:rFonts w:ascii="Garamond" w:hAnsi="Garamond"/>
        </w:rPr>
        <w:t xml:space="preserve">liaisons; and (3) </w:t>
      </w:r>
      <w:r w:rsidRPr="004A0C12">
        <w:rPr>
          <w:rFonts w:ascii="Garamond" w:hAnsi="Garamond"/>
        </w:rPr>
        <w:t>information</w:t>
      </w:r>
      <w:r w:rsidR="007A1FDC" w:rsidRPr="004A0C12">
        <w:rPr>
          <w:rFonts w:ascii="Garamond" w:hAnsi="Garamond"/>
        </w:rPr>
        <w:t xml:space="preserve"> from </w:t>
      </w:r>
      <w:r w:rsidRPr="004A0C12">
        <w:rPr>
          <w:rFonts w:ascii="Garamond" w:hAnsi="Garamond"/>
        </w:rPr>
        <w:t xml:space="preserve">two key informant interviews. </w:t>
      </w:r>
      <w:r w:rsidR="007A1FDC" w:rsidRPr="004A0C12">
        <w:rPr>
          <w:rFonts w:ascii="Garamond" w:hAnsi="Garamond"/>
        </w:rPr>
        <w:t>Four surveys were returned from each group.</w:t>
      </w:r>
    </w:p>
    <w:p w14:paraId="3E53AEE5" w14:textId="77777777" w:rsidR="00431254" w:rsidRPr="004A0C12" w:rsidRDefault="00431254" w:rsidP="007A1FDC">
      <w:pPr>
        <w:spacing w:after="0" w:line="240" w:lineRule="auto"/>
        <w:jc w:val="both"/>
        <w:rPr>
          <w:rFonts w:ascii="Garamond" w:hAnsi="Garamond"/>
        </w:rPr>
      </w:pPr>
    </w:p>
    <w:p w14:paraId="2B695EEF" w14:textId="7D1051B9" w:rsidR="007A1FDC" w:rsidRPr="004A0C12" w:rsidRDefault="007A1FDC" w:rsidP="007A1FDC">
      <w:pPr>
        <w:spacing w:after="0" w:line="240" w:lineRule="auto"/>
        <w:jc w:val="both"/>
        <w:rPr>
          <w:rFonts w:ascii="Garamond" w:hAnsi="Garamond"/>
        </w:rPr>
      </w:pPr>
      <w:r w:rsidRPr="004A0C12">
        <w:rPr>
          <w:rFonts w:ascii="Garamond" w:hAnsi="Garamond"/>
        </w:rPr>
        <w:t xml:space="preserve">Discussion: </w:t>
      </w:r>
      <w:r w:rsidR="0061607B" w:rsidRPr="004A0C12">
        <w:rPr>
          <w:rFonts w:ascii="Garamond" w:hAnsi="Garamond"/>
        </w:rPr>
        <w:t>AJC</w:t>
      </w:r>
      <w:r w:rsidRPr="004A0C12">
        <w:rPr>
          <w:rFonts w:ascii="Garamond" w:hAnsi="Garamond"/>
        </w:rPr>
        <w:t xml:space="preserve"> Staff Survey Results</w:t>
      </w:r>
    </w:p>
    <w:p w14:paraId="77722697" w14:textId="176EEA45" w:rsidR="0061607B" w:rsidRPr="004A0C12" w:rsidRDefault="007A1FDC" w:rsidP="00232F09">
      <w:pPr>
        <w:pStyle w:val="ListParagraph"/>
        <w:numPr>
          <w:ilvl w:val="0"/>
          <w:numId w:val="230"/>
        </w:numPr>
        <w:jc w:val="both"/>
        <w:rPr>
          <w:rFonts w:ascii="Garamond" w:hAnsi="Garamond"/>
          <w:szCs w:val="22"/>
        </w:rPr>
      </w:pPr>
      <w:r w:rsidRPr="004A0C12">
        <w:rPr>
          <w:rFonts w:ascii="Garamond" w:hAnsi="Garamond"/>
          <w:szCs w:val="22"/>
        </w:rPr>
        <w:t>Staff indicated that</w:t>
      </w:r>
      <w:r w:rsidR="0061607B" w:rsidRPr="004A0C12">
        <w:rPr>
          <w:rFonts w:ascii="Garamond" w:hAnsi="Garamond"/>
          <w:szCs w:val="22"/>
        </w:rPr>
        <w:t xml:space="preserve"> the available access to assistive technology is</w:t>
      </w:r>
      <w:r w:rsidRPr="004A0C12">
        <w:rPr>
          <w:rFonts w:ascii="Garamond" w:hAnsi="Garamond"/>
          <w:szCs w:val="22"/>
        </w:rPr>
        <w:t xml:space="preserve"> the most beneficial service provided to </w:t>
      </w:r>
      <w:r w:rsidR="0061607B" w:rsidRPr="004A0C12">
        <w:rPr>
          <w:rFonts w:ascii="Garamond" w:hAnsi="Garamond"/>
          <w:szCs w:val="22"/>
        </w:rPr>
        <w:t>individuals with disabilities within</w:t>
      </w:r>
      <w:r w:rsidRPr="004A0C12">
        <w:rPr>
          <w:rFonts w:ascii="Garamond" w:hAnsi="Garamond"/>
          <w:szCs w:val="22"/>
        </w:rPr>
        <w:t xml:space="preserve"> the </w:t>
      </w:r>
      <w:r w:rsidR="00530FA0" w:rsidRPr="004A0C12">
        <w:rPr>
          <w:rFonts w:ascii="Garamond" w:hAnsi="Garamond"/>
          <w:szCs w:val="22"/>
        </w:rPr>
        <w:t>AJCs</w:t>
      </w:r>
    </w:p>
    <w:p w14:paraId="35790F38" w14:textId="3EB6EC71" w:rsidR="007A1FDC" w:rsidRPr="004A0C12" w:rsidRDefault="007A1FDC" w:rsidP="00232F09">
      <w:pPr>
        <w:pStyle w:val="ListParagraph"/>
        <w:numPr>
          <w:ilvl w:val="0"/>
          <w:numId w:val="230"/>
        </w:numPr>
        <w:jc w:val="both"/>
        <w:rPr>
          <w:rFonts w:ascii="Garamond" w:hAnsi="Garamond"/>
          <w:szCs w:val="22"/>
        </w:rPr>
      </w:pPr>
      <w:r w:rsidRPr="004A0C12">
        <w:rPr>
          <w:rFonts w:ascii="Garamond" w:hAnsi="Garamond"/>
          <w:szCs w:val="22"/>
        </w:rPr>
        <w:t xml:space="preserve">Staff reported that it is very helpful when DORS counselors share career assessments, as available, with </w:t>
      </w:r>
      <w:r w:rsidR="0088162C" w:rsidRPr="004A0C12">
        <w:rPr>
          <w:rFonts w:ascii="Garamond" w:hAnsi="Garamond"/>
          <w:szCs w:val="22"/>
        </w:rPr>
        <w:t>AJC</w:t>
      </w:r>
      <w:r w:rsidRPr="004A0C12">
        <w:rPr>
          <w:rFonts w:ascii="Garamond" w:hAnsi="Garamond"/>
          <w:szCs w:val="22"/>
        </w:rPr>
        <w:t xml:space="preserve"> staff assistin</w:t>
      </w:r>
      <w:r w:rsidR="0088162C" w:rsidRPr="004A0C12">
        <w:rPr>
          <w:rFonts w:ascii="Garamond" w:hAnsi="Garamond"/>
          <w:szCs w:val="22"/>
        </w:rPr>
        <w:t>g individuals with</w:t>
      </w:r>
      <w:r w:rsidR="00530FA0" w:rsidRPr="004A0C12">
        <w:rPr>
          <w:rFonts w:ascii="Garamond" w:hAnsi="Garamond"/>
          <w:szCs w:val="22"/>
        </w:rPr>
        <w:t xml:space="preserve"> disabilities</w:t>
      </w:r>
    </w:p>
    <w:p w14:paraId="00499B15" w14:textId="3E35B461" w:rsidR="007A1FDC" w:rsidRPr="004A0C12" w:rsidRDefault="007A1FDC" w:rsidP="00232F09">
      <w:pPr>
        <w:numPr>
          <w:ilvl w:val="0"/>
          <w:numId w:val="15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Staff find that those individuals with disabilities who are not adequately prepared for work have unrealistic expectations as to the services the </w:t>
      </w:r>
      <w:r w:rsidR="00530FA0" w:rsidRPr="004A0C12">
        <w:rPr>
          <w:rFonts w:ascii="Garamond" w:hAnsi="Garamond"/>
        </w:rPr>
        <w:t>AJC staff can provide</w:t>
      </w:r>
    </w:p>
    <w:p w14:paraId="22CF2FE6" w14:textId="4FF98DF8" w:rsidR="007A1FDC" w:rsidRPr="004A0C12" w:rsidRDefault="007A1FDC" w:rsidP="00232F09">
      <w:pPr>
        <w:numPr>
          <w:ilvl w:val="0"/>
          <w:numId w:val="15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Staff are frustrated when they refer individuals to DORS for formal assessments (which the </w:t>
      </w:r>
      <w:r w:rsidR="0088162C" w:rsidRPr="004A0C12">
        <w:rPr>
          <w:rFonts w:ascii="Garamond" w:hAnsi="Garamond"/>
        </w:rPr>
        <w:t>AJC</w:t>
      </w:r>
      <w:r w:rsidRPr="004A0C12">
        <w:rPr>
          <w:rFonts w:ascii="Garamond" w:hAnsi="Garamond"/>
        </w:rPr>
        <w:t xml:space="preserve"> is not able to provide), and the individu</w:t>
      </w:r>
      <w:r w:rsidR="0088162C" w:rsidRPr="004A0C12">
        <w:rPr>
          <w:rFonts w:ascii="Garamond" w:hAnsi="Garamond"/>
        </w:rPr>
        <w:t>als are placed on the DORS waitlist or determined ine</w:t>
      </w:r>
      <w:r w:rsidRPr="004A0C12">
        <w:rPr>
          <w:rFonts w:ascii="Garamond" w:hAnsi="Garamond"/>
        </w:rPr>
        <w:t>ligible for voc</w:t>
      </w:r>
      <w:r w:rsidR="00530FA0" w:rsidRPr="004A0C12">
        <w:rPr>
          <w:rFonts w:ascii="Garamond" w:hAnsi="Garamond"/>
        </w:rPr>
        <w:t>ational rehabilitation services</w:t>
      </w:r>
    </w:p>
    <w:p w14:paraId="016D5809" w14:textId="260F94E4" w:rsidR="007A1FDC" w:rsidRPr="004A0C12" w:rsidRDefault="007A1FDC" w:rsidP="00232F09">
      <w:pPr>
        <w:numPr>
          <w:ilvl w:val="0"/>
          <w:numId w:val="15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Staff are concerned that neither the </w:t>
      </w:r>
      <w:r w:rsidR="0088162C" w:rsidRPr="004A0C12">
        <w:rPr>
          <w:rFonts w:ascii="Garamond" w:hAnsi="Garamond"/>
        </w:rPr>
        <w:t>AJCs</w:t>
      </w:r>
      <w:r w:rsidRPr="004A0C12">
        <w:rPr>
          <w:rFonts w:ascii="Garamond" w:hAnsi="Garamond"/>
        </w:rPr>
        <w:t xml:space="preserve"> nor DORS have enough staff and resources to effectively assis</w:t>
      </w:r>
      <w:r w:rsidR="00530FA0" w:rsidRPr="004A0C12">
        <w:rPr>
          <w:rFonts w:ascii="Garamond" w:hAnsi="Garamond"/>
        </w:rPr>
        <w:t>t individuals with disabilities</w:t>
      </w:r>
    </w:p>
    <w:p w14:paraId="5AD70C16" w14:textId="3DD8F55D" w:rsidR="007A1FDC" w:rsidRPr="004A0C12" w:rsidRDefault="0088162C" w:rsidP="00232F09">
      <w:pPr>
        <w:numPr>
          <w:ilvl w:val="0"/>
          <w:numId w:val="155"/>
        </w:numPr>
        <w:tabs>
          <w:tab w:val="clear" w:pos="360"/>
          <w:tab w:val="num" w:pos="720"/>
        </w:tabs>
        <w:spacing w:after="0" w:line="240" w:lineRule="auto"/>
        <w:ind w:left="720" w:hanging="360"/>
        <w:jc w:val="both"/>
        <w:rPr>
          <w:rFonts w:ascii="Garamond" w:hAnsi="Garamond"/>
        </w:rPr>
      </w:pPr>
      <w:r w:rsidRPr="004A0C12">
        <w:rPr>
          <w:rFonts w:ascii="Garamond" w:hAnsi="Garamond"/>
        </w:rPr>
        <w:t>AJC</w:t>
      </w:r>
      <w:r w:rsidR="007A1FDC" w:rsidRPr="004A0C12">
        <w:rPr>
          <w:rFonts w:ascii="Garamond" w:hAnsi="Garamond"/>
        </w:rPr>
        <w:t xml:space="preserve"> staff would like to receive additional training in the following areas:</w:t>
      </w:r>
    </w:p>
    <w:p w14:paraId="06F79864" w14:textId="77777777" w:rsidR="007A1FDC" w:rsidRPr="004A0C12" w:rsidRDefault="007A1FDC" w:rsidP="00232F09">
      <w:pPr>
        <w:numPr>
          <w:ilvl w:val="1"/>
          <w:numId w:val="155"/>
        </w:numPr>
        <w:tabs>
          <w:tab w:val="clear" w:pos="360"/>
          <w:tab w:val="num" w:pos="1440"/>
        </w:tabs>
        <w:spacing w:after="0" w:line="240" w:lineRule="auto"/>
        <w:ind w:left="1440" w:hanging="360"/>
        <w:jc w:val="both"/>
        <w:rPr>
          <w:rFonts w:ascii="Garamond" w:hAnsi="Garamond"/>
        </w:rPr>
      </w:pPr>
      <w:r w:rsidRPr="004A0C12">
        <w:rPr>
          <w:rFonts w:ascii="Garamond" w:hAnsi="Garamond"/>
        </w:rPr>
        <w:t>Reasonable Accommodations;</w:t>
      </w:r>
    </w:p>
    <w:p w14:paraId="639DDE96" w14:textId="77777777" w:rsidR="007A1FDC" w:rsidRPr="004A0C12" w:rsidRDefault="007A1FDC" w:rsidP="00232F09">
      <w:pPr>
        <w:numPr>
          <w:ilvl w:val="1"/>
          <w:numId w:val="155"/>
        </w:numPr>
        <w:tabs>
          <w:tab w:val="clear" w:pos="360"/>
          <w:tab w:val="num" w:pos="1440"/>
        </w:tabs>
        <w:spacing w:after="0" w:line="240" w:lineRule="auto"/>
        <w:ind w:left="1440" w:hanging="360"/>
        <w:jc w:val="both"/>
        <w:rPr>
          <w:rFonts w:ascii="Garamond" w:hAnsi="Garamond"/>
        </w:rPr>
      </w:pPr>
      <w:r w:rsidRPr="004A0C12">
        <w:rPr>
          <w:rFonts w:ascii="Garamond" w:hAnsi="Garamond"/>
        </w:rPr>
        <w:t>Functional limitations and their impact on employment;</w:t>
      </w:r>
    </w:p>
    <w:p w14:paraId="3A710B6A" w14:textId="77777777" w:rsidR="007A1FDC" w:rsidRPr="004A0C12" w:rsidRDefault="007A1FDC" w:rsidP="00232F09">
      <w:pPr>
        <w:numPr>
          <w:ilvl w:val="1"/>
          <w:numId w:val="155"/>
        </w:numPr>
        <w:tabs>
          <w:tab w:val="clear" w:pos="360"/>
          <w:tab w:val="num" w:pos="1440"/>
        </w:tabs>
        <w:spacing w:after="0" w:line="240" w:lineRule="auto"/>
        <w:ind w:left="1440" w:hanging="360"/>
        <w:jc w:val="both"/>
        <w:rPr>
          <w:rFonts w:ascii="Garamond" w:hAnsi="Garamond"/>
        </w:rPr>
      </w:pPr>
      <w:r w:rsidRPr="004A0C12">
        <w:rPr>
          <w:rFonts w:ascii="Garamond" w:hAnsi="Garamond"/>
        </w:rPr>
        <w:t>Disability-specific information;</w:t>
      </w:r>
    </w:p>
    <w:p w14:paraId="1DCFC311" w14:textId="715FF6CA" w:rsidR="007A1FDC" w:rsidRPr="004A0C12" w:rsidRDefault="007A1FDC" w:rsidP="00232F09">
      <w:pPr>
        <w:numPr>
          <w:ilvl w:val="1"/>
          <w:numId w:val="155"/>
        </w:numPr>
        <w:tabs>
          <w:tab w:val="clear" w:pos="360"/>
          <w:tab w:val="num" w:pos="1440"/>
        </w:tabs>
        <w:spacing w:after="0" w:line="240" w:lineRule="auto"/>
        <w:ind w:left="1440" w:hanging="360"/>
        <w:jc w:val="both"/>
        <w:rPr>
          <w:rFonts w:ascii="Garamond" w:hAnsi="Garamond"/>
        </w:rPr>
      </w:pPr>
      <w:r w:rsidRPr="004A0C12">
        <w:rPr>
          <w:rFonts w:ascii="Garamond" w:hAnsi="Garamond"/>
        </w:rPr>
        <w:t>Assistive Technology;</w:t>
      </w:r>
      <w:r w:rsidR="0088162C" w:rsidRPr="004A0C12">
        <w:rPr>
          <w:rFonts w:ascii="Garamond" w:hAnsi="Garamond"/>
        </w:rPr>
        <w:t xml:space="preserve"> and, </w:t>
      </w:r>
    </w:p>
    <w:p w14:paraId="467B29AF" w14:textId="4749B2DF" w:rsidR="007A1FDC" w:rsidRPr="004A0C12" w:rsidRDefault="007A1FDC" w:rsidP="00232F09">
      <w:pPr>
        <w:numPr>
          <w:ilvl w:val="1"/>
          <w:numId w:val="155"/>
        </w:numPr>
        <w:tabs>
          <w:tab w:val="clear" w:pos="360"/>
          <w:tab w:val="num" w:pos="1440"/>
        </w:tabs>
        <w:spacing w:after="0" w:line="240" w:lineRule="auto"/>
        <w:ind w:left="1440" w:hanging="360"/>
        <w:jc w:val="both"/>
        <w:rPr>
          <w:rFonts w:ascii="Garamond" w:hAnsi="Garamond"/>
        </w:rPr>
      </w:pPr>
      <w:r w:rsidRPr="004A0C12">
        <w:rPr>
          <w:rFonts w:ascii="Garamond" w:hAnsi="Garamond"/>
        </w:rPr>
        <w:t>Available funding options</w:t>
      </w:r>
      <w:r w:rsidR="0088162C" w:rsidRPr="004A0C12">
        <w:rPr>
          <w:rFonts w:ascii="Garamond" w:hAnsi="Garamond"/>
        </w:rPr>
        <w:t xml:space="preserve"> for</w:t>
      </w:r>
      <w:r w:rsidRPr="004A0C12">
        <w:rPr>
          <w:rFonts w:ascii="Garamond" w:hAnsi="Garamond"/>
        </w:rPr>
        <w:t xml:space="preserve"> individuals with disabilities beyond SSI and SSDI.</w:t>
      </w:r>
    </w:p>
    <w:p w14:paraId="7DFAF57D" w14:textId="733273E2" w:rsidR="007A1FDC" w:rsidRPr="004A0C12" w:rsidRDefault="007A1FDC" w:rsidP="007A1FDC">
      <w:pPr>
        <w:spacing w:after="0" w:line="240" w:lineRule="auto"/>
        <w:jc w:val="both"/>
        <w:rPr>
          <w:rFonts w:ascii="Garamond" w:hAnsi="Garamond"/>
        </w:rPr>
      </w:pPr>
      <w:r w:rsidRPr="004A0C12">
        <w:rPr>
          <w:rFonts w:ascii="Garamond" w:hAnsi="Garamond"/>
        </w:rPr>
        <w:cr/>
        <w:t xml:space="preserve">Discussion: </w:t>
      </w:r>
      <w:r w:rsidR="00DA14CD" w:rsidRPr="004A0C12">
        <w:rPr>
          <w:rFonts w:ascii="Garamond" w:hAnsi="Garamond"/>
        </w:rPr>
        <w:t>DORS Business Liaisons</w:t>
      </w:r>
      <w:r w:rsidRPr="004A0C12">
        <w:rPr>
          <w:rFonts w:ascii="Garamond" w:hAnsi="Garamond"/>
        </w:rPr>
        <w:t xml:space="preserve"> Survey Results</w:t>
      </w:r>
    </w:p>
    <w:p w14:paraId="1FA8B13A" w14:textId="42B42C6B" w:rsidR="007A1FDC" w:rsidRPr="004A0C12" w:rsidRDefault="007A1FDC" w:rsidP="00232F09">
      <w:pPr>
        <w:numPr>
          <w:ilvl w:val="0"/>
          <w:numId w:val="156"/>
        </w:numPr>
        <w:tabs>
          <w:tab w:val="clear" w:pos="360"/>
          <w:tab w:val="num" w:pos="720"/>
        </w:tabs>
        <w:spacing w:after="0" w:line="240" w:lineRule="auto"/>
        <w:ind w:left="720" w:hanging="360"/>
        <w:jc w:val="both"/>
        <w:rPr>
          <w:rFonts w:ascii="Garamond" w:hAnsi="Garamond"/>
        </w:rPr>
      </w:pPr>
      <w:r w:rsidRPr="004A0C12">
        <w:rPr>
          <w:rFonts w:ascii="Garamond" w:hAnsi="Garamond"/>
        </w:rPr>
        <w:t>Not all DORS Business Liaisons collaborate wi</w:t>
      </w:r>
      <w:r w:rsidR="00DA14CD" w:rsidRPr="004A0C12">
        <w:rPr>
          <w:rFonts w:ascii="Garamond" w:hAnsi="Garamond"/>
        </w:rPr>
        <w:t>th AJCs and</w:t>
      </w:r>
      <w:r w:rsidRPr="004A0C12">
        <w:rPr>
          <w:rFonts w:ascii="Garamond" w:hAnsi="Garamond"/>
        </w:rPr>
        <w:t xml:space="preserve"> those that do collaborate are either co-located or</w:t>
      </w:r>
      <w:r w:rsidR="00DA14CD" w:rsidRPr="004A0C12">
        <w:rPr>
          <w:rFonts w:ascii="Garamond" w:hAnsi="Garamond"/>
        </w:rPr>
        <w:t xml:space="preserve"> are loca</w:t>
      </w:r>
      <w:r w:rsidR="00530FA0" w:rsidRPr="004A0C12">
        <w:rPr>
          <w:rFonts w:ascii="Garamond" w:hAnsi="Garamond"/>
        </w:rPr>
        <w:t>ted in close proximity</w:t>
      </w:r>
    </w:p>
    <w:p w14:paraId="25A3B871" w14:textId="7305A1BD" w:rsidR="007A1FDC" w:rsidRPr="004A0C12" w:rsidRDefault="007A1FDC" w:rsidP="00232F09">
      <w:pPr>
        <w:numPr>
          <w:ilvl w:val="0"/>
          <w:numId w:val="156"/>
        </w:numPr>
        <w:tabs>
          <w:tab w:val="clear" w:pos="360"/>
          <w:tab w:val="num" w:pos="720"/>
        </w:tabs>
        <w:spacing w:after="0" w:line="240" w:lineRule="auto"/>
        <w:ind w:left="720" w:hanging="360"/>
        <w:jc w:val="both"/>
        <w:rPr>
          <w:rFonts w:ascii="Garamond" w:hAnsi="Garamond"/>
        </w:rPr>
      </w:pPr>
      <w:r w:rsidRPr="004A0C12">
        <w:rPr>
          <w:rFonts w:ascii="Garamond" w:hAnsi="Garamond"/>
        </w:rPr>
        <w:t>Monthly meetings are held to discuss various concerns, such as:  barriers to employment, how to prepare a consumer for an interview, and how to approach businesses regar</w:t>
      </w:r>
      <w:r w:rsidR="00530FA0" w:rsidRPr="004A0C12">
        <w:rPr>
          <w:rFonts w:ascii="Garamond" w:hAnsi="Garamond"/>
        </w:rPr>
        <w:t>ding an individual’s disability</w:t>
      </w:r>
    </w:p>
    <w:p w14:paraId="14E78DA3" w14:textId="30CAACDD" w:rsidR="007A1FDC" w:rsidRPr="004A0C12" w:rsidRDefault="007A1FDC" w:rsidP="00232F09">
      <w:pPr>
        <w:numPr>
          <w:ilvl w:val="0"/>
          <w:numId w:val="156"/>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DORS and </w:t>
      </w:r>
      <w:r w:rsidR="00DA14CD" w:rsidRPr="004A0C12">
        <w:rPr>
          <w:rFonts w:ascii="Garamond" w:hAnsi="Garamond"/>
        </w:rPr>
        <w:t xml:space="preserve">AJC staff partner on </w:t>
      </w:r>
      <w:r w:rsidRPr="004A0C12">
        <w:rPr>
          <w:rFonts w:ascii="Garamond" w:hAnsi="Garamond"/>
        </w:rPr>
        <w:t>programs</w:t>
      </w:r>
      <w:r w:rsidR="00DA14CD" w:rsidRPr="004A0C12">
        <w:rPr>
          <w:rFonts w:ascii="Garamond" w:hAnsi="Garamond"/>
        </w:rPr>
        <w:t>, such</w:t>
      </w:r>
      <w:r w:rsidRPr="004A0C12">
        <w:rPr>
          <w:rFonts w:ascii="Garamond" w:hAnsi="Garamond"/>
        </w:rPr>
        <w:t xml:space="preserve"> as Summer Youth Employment and proje</w:t>
      </w:r>
      <w:r w:rsidR="00530FA0" w:rsidRPr="004A0C12">
        <w:rPr>
          <w:rFonts w:ascii="Garamond" w:hAnsi="Garamond"/>
        </w:rPr>
        <w:t>cts such as Mock Interview Days</w:t>
      </w:r>
    </w:p>
    <w:p w14:paraId="12315DBD" w14:textId="0DDD8D66" w:rsidR="007A1FDC" w:rsidRPr="004A0C12" w:rsidRDefault="007A1FDC" w:rsidP="00232F09">
      <w:pPr>
        <w:numPr>
          <w:ilvl w:val="0"/>
          <w:numId w:val="156"/>
        </w:numPr>
        <w:tabs>
          <w:tab w:val="clear" w:pos="360"/>
          <w:tab w:val="num" w:pos="720"/>
        </w:tabs>
        <w:spacing w:after="0" w:line="240" w:lineRule="auto"/>
        <w:ind w:left="720" w:hanging="360"/>
        <w:jc w:val="both"/>
        <w:rPr>
          <w:rFonts w:ascii="Garamond" w:hAnsi="Garamond"/>
        </w:rPr>
      </w:pPr>
      <w:r w:rsidRPr="004A0C12">
        <w:rPr>
          <w:rFonts w:ascii="Garamond" w:hAnsi="Garamond"/>
        </w:rPr>
        <w:lastRenderedPageBreak/>
        <w:t>Efforts have been made to partner and share business contacts; however, a method to maximize and effectively share existing r</w:t>
      </w:r>
      <w:r w:rsidR="00DA14CD" w:rsidRPr="004A0C12">
        <w:rPr>
          <w:rFonts w:ascii="Garamond" w:hAnsi="Garamond"/>
        </w:rPr>
        <w:t>elationships with businesses had not yet been d</w:t>
      </w:r>
      <w:r w:rsidR="00530FA0" w:rsidRPr="004A0C12">
        <w:rPr>
          <w:rFonts w:ascii="Garamond" w:hAnsi="Garamond"/>
        </w:rPr>
        <w:t>eveloped</w:t>
      </w:r>
    </w:p>
    <w:p w14:paraId="30B4FBF2" w14:textId="464FAB15" w:rsidR="007A1FDC" w:rsidRPr="004A0C12" w:rsidRDefault="007A1FDC" w:rsidP="00232F09">
      <w:pPr>
        <w:numPr>
          <w:ilvl w:val="0"/>
          <w:numId w:val="156"/>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DORS counselors often refer consumers to </w:t>
      </w:r>
      <w:r w:rsidR="00DA14CD" w:rsidRPr="004A0C12">
        <w:rPr>
          <w:rFonts w:ascii="Garamond" w:hAnsi="Garamond"/>
        </w:rPr>
        <w:t>AJCs</w:t>
      </w:r>
      <w:r w:rsidRPr="004A0C12">
        <w:rPr>
          <w:rFonts w:ascii="Garamond" w:hAnsi="Garamond"/>
        </w:rPr>
        <w:t xml:space="preserve"> for a variety of services, especially while on the DORS wait list; however, the consumers often need more individualized supports and training than the One-Stop is able to offer due to limited human a</w:t>
      </w:r>
      <w:r w:rsidR="00530FA0" w:rsidRPr="004A0C12">
        <w:rPr>
          <w:rFonts w:ascii="Garamond" w:hAnsi="Garamond"/>
        </w:rPr>
        <w:t>nd financial resources</w:t>
      </w:r>
    </w:p>
    <w:p w14:paraId="79631BFE" w14:textId="77777777" w:rsidR="00530FA0" w:rsidRPr="004A0C12" w:rsidRDefault="00530FA0" w:rsidP="00530FA0">
      <w:pPr>
        <w:spacing w:after="0" w:line="240" w:lineRule="auto"/>
        <w:ind w:left="720"/>
        <w:jc w:val="both"/>
        <w:rPr>
          <w:rFonts w:ascii="Garamond" w:hAnsi="Garamond"/>
        </w:rPr>
      </w:pPr>
    </w:p>
    <w:p w14:paraId="62422D20" w14:textId="6A35D788" w:rsidR="007A1FDC" w:rsidRPr="004A0C12" w:rsidRDefault="007A1FDC" w:rsidP="007A1FDC">
      <w:pPr>
        <w:spacing w:after="0" w:line="240" w:lineRule="auto"/>
        <w:jc w:val="both"/>
        <w:rPr>
          <w:rFonts w:ascii="Garamond" w:hAnsi="Garamond"/>
        </w:rPr>
      </w:pPr>
      <w:r w:rsidRPr="004A0C12">
        <w:rPr>
          <w:rFonts w:ascii="Garamond" w:hAnsi="Garamond"/>
        </w:rPr>
        <w:t xml:space="preserve">Needs/concerns: Identify means to enhance collaboration between DORS Business Liaisons and </w:t>
      </w:r>
      <w:r w:rsidR="00DA14CD" w:rsidRPr="004A0C12">
        <w:rPr>
          <w:rFonts w:ascii="Garamond" w:hAnsi="Garamond"/>
        </w:rPr>
        <w:t>AJC</w:t>
      </w:r>
      <w:r w:rsidRPr="004A0C12">
        <w:rPr>
          <w:rFonts w:ascii="Garamond" w:hAnsi="Garamond"/>
        </w:rPr>
        <w:t xml:space="preserve"> staff, including cross training regarding roles of each agency. This would promote realistic expectations of consumers and</w:t>
      </w:r>
      <w:r w:rsidR="00DA14CD" w:rsidRPr="004A0C12">
        <w:rPr>
          <w:rFonts w:ascii="Garamond" w:hAnsi="Garamond"/>
        </w:rPr>
        <w:t xml:space="preserve"> WIOA</w:t>
      </w:r>
      <w:r w:rsidRPr="004A0C12">
        <w:rPr>
          <w:rFonts w:ascii="Garamond" w:hAnsi="Garamond"/>
        </w:rPr>
        <w:t xml:space="preserve"> staff, and would ensure that individuals with disabilities can be provided effective employment services. </w:t>
      </w:r>
    </w:p>
    <w:p w14:paraId="2C91742F" w14:textId="77777777" w:rsidR="00530FA0" w:rsidRPr="004A0C12" w:rsidRDefault="00530FA0" w:rsidP="007A1FDC">
      <w:pPr>
        <w:spacing w:after="0" w:line="240" w:lineRule="auto"/>
        <w:jc w:val="both"/>
        <w:rPr>
          <w:rFonts w:ascii="Garamond" w:hAnsi="Garamond"/>
        </w:rPr>
      </w:pPr>
    </w:p>
    <w:p w14:paraId="1FCA16D1" w14:textId="05C48084" w:rsidR="007A1FDC" w:rsidRPr="00594970" w:rsidRDefault="00DA14CD" w:rsidP="00530FA0">
      <w:pPr>
        <w:pStyle w:val="Heading2"/>
        <w:spacing w:before="0" w:line="240" w:lineRule="auto"/>
        <w:rPr>
          <w:rFonts w:ascii="Garamond" w:hAnsi="Garamond"/>
          <w:sz w:val="24"/>
          <w:szCs w:val="24"/>
        </w:rPr>
      </w:pPr>
      <w:bookmarkStart w:id="220" w:name="_Toc447276247"/>
      <w:r w:rsidRPr="00594970">
        <w:rPr>
          <w:rFonts w:ascii="Garamond" w:hAnsi="Garamond"/>
          <w:sz w:val="24"/>
          <w:szCs w:val="24"/>
        </w:rPr>
        <w:t>Youth with Disabilities and Students with D</w:t>
      </w:r>
      <w:r w:rsidR="007A1FDC" w:rsidRPr="00594970">
        <w:rPr>
          <w:rFonts w:ascii="Garamond" w:hAnsi="Garamond"/>
          <w:sz w:val="24"/>
          <w:szCs w:val="24"/>
        </w:rPr>
        <w:t>isa</w:t>
      </w:r>
      <w:r w:rsidRPr="00594970">
        <w:rPr>
          <w:rFonts w:ascii="Garamond" w:hAnsi="Garamond"/>
          <w:sz w:val="24"/>
          <w:szCs w:val="24"/>
        </w:rPr>
        <w:t>bilities &amp; Their Need for Pre-Employment Transition Services or Other Transition Services</w:t>
      </w:r>
      <w:bookmarkEnd w:id="220"/>
    </w:p>
    <w:p w14:paraId="26DA22E0" w14:textId="77777777" w:rsidR="007A1FDC" w:rsidRPr="004A0C12" w:rsidRDefault="007A1FDC" w:rsidP="00530FA0">
      <w:pPr>
        <w:spacing w:after="0" w:line="240" w:lineRule="auto"/>
        <w:jc w:val="both"/>
        <w:rPr>
          <w:rFonts w:ascii="Garamond" w:hAnsi="Garamond"/>
        </w:rPr>
      </w:pPr>
    </w:p>
    <w:p w14:paraId="1978A1C7" w14:textId="11BD32F0" w:rsidR="007A1FDC" w:rsidRPr="004A0C12" w:rsidRDefault="001D6FEA" w:rsidP="00530FA0">
      <w:pPr>
        <w:spacing w:after="0" w:line="240" w:lineRule="auto"/>
        <w:jc w:val="both"/>
        <w:rPr>
          <w:rFonts w:ascii="Garamond" w:hAnsi="Garamond"/>
          <w:color w:val="F50000"/>
        </w:rPr>
      </w:pPr>
      <w:r w:rsidRPr="004A0C12">
        <w:rPr>
          <w:rFonts w:ascii="Garamond" w:hAnsi="Garamond"/>
        </w:rPr>
        <w:t>DORS</w:t>
      </w:r>
      <w:r w:rsidR="007A1FDC" w:rsidRPr="004A0C12">
        <w:rPr>
          <w:rFonts w:ascii="Garamond" w:hAnsi="Garamond"/>
        </w:rPr>
        <w:t xml:space="preserve">, in partnership with the Maryland State Rehabilitation Council, will assess the vocational rehabilitation and pre-employment transition service needs of youth and students with disabilities as part of the 2016 Comprehensive Statewide Needs Assessment. </w:t>
      </w:r>
    </w:p>
    <w:p w14:paraId="43E2FDD3" w14:textId="77777777" w:rsidR="007A1FDC" w:rsidRPr="004A0C12" w:rsidRDefault="007A1FDC" w:rsidP="00530FA0">
      <w:pPr>
        <w:spacing w:after="0" w:line="240" w:lineRule="auto"/>
        <w:jc w:val="both"/>
        <w:rPr>
          <w:rFonts w:ascii="Garamond" w:hAnsi="Garamond"/>
        </w:rPr>
      </w:pPr>
    </w:p>
    <w:p w14:paraId="763059C5" w14:textId="2257DB69" w:rsidR="007A1FDC" w:rsidRPr="00594970" w:rsidRDefault="007A1FDC" w:rsidP="00530FA0">
      <w:pPr>
        <w:pStyle w:val="Heading2"/>
        <w:spacing w:before="0" w:line="240" w:lineRule="auto"/>
        <w:rPr>
          <w:rFonts w:ascii="Garamond" w:hAnsi="Garamond"/>
          <w:sz w:val="24"/>
          <w:szCs w:val="24"/>
        </w:rPr>
      </w:pPr>
      <w:bookmarkStart w:id="221" w:name="_Toc447276248"/>
      <w:r w:rsidRPr="00594970">
        <w:rPr>
          <w:rFonts w:ascii="Garamond" w:hAnsi="Garamond"/>
          <w:sz w:val="24"/>
          <w:szCs w:val="24"/>
        </w:rPr>
        <w:t>Assessment of the Need to Establish, Develop or Improve Community Rehabilitation Programs within the State</w:t>
      </w:r>
      <w:bookmarkEnd w:id="221"/>
    </w:p>
    <w:p w14:paraId="37F0DDC4" w14:textId="77777777" w:rsidR="007A1FDC" w:rsidRPr="004A0C12" w:rsidRDefault="007A1FDC" w:rsidP="007A1FDC">
      <w:pPr>
        <w:spacing w:after="0" w:line="240" w:lineRule="auto"/>
        <w:jc w:val="both"/>
        <w:rPr>
          <w:rFonts w:ascii="Garamond" w:hAnsi="Garamond"/>
        </w:rPr>
      </w:pPr>
    </w:p>
    <w:p w14:paraId="2E788424" w14:textId="56A9484E" w:rsidR="007A1FDC" w:rsidRPr="004A0C12" w:rsidRDefault="007A1FDC" w:rsidP="007A1FDC">
      <w:pPr>
        <w:spacing w:after="0" w:line="240" w:lineRule="auto"/>
        <w:jc w:val="both"/>
        <w:rPr>
          <w:rFonts w:ascii="Garamond" w:hAnsi="Garamond"/>
        </w:rPr>
      </w:pPr>
      <w:r w:rsidRPr="004A0C12">
        <w:rPr>
          <w:rFonts w:ascii="Garamond" w:hAnsi="Garamond"/>
        </w:rPr>
        <w:t>The success of DORS consumers is due in many instances and respects to the partnerships DORS has established with Community Rehabilitation Programs</w:t>
      </w:r>
      <w:r w:rsidR="001D6FEA" w:rsidRPr="004A0C12">
        <w:rPr>
          <w:rFonts w:ascii="Garamond" w:hAnsi="Garamond"/>
        </w:rPr>
        <w:t xml:space="preserve">, </w:t>
      </w:r>
      <w:r w:rsidRPr="004A0C12">
        <w:rPr>
          <w:rFonts w:ascii="Garamond" w:hAnsi="Garamond"/>
        </w:rPr>
        <w:t>which provide a number of direct services throughout the state. To assess the need to establish, develop</w:t>
      </w:r>
      <w:r w:rsidR="007C4A56" w:rsidRPr="004A0C12">
        <w:rPr>
          <w:rFonts w:ascii="Garamond" w:hAnsi="Garamond"/>
        </w:rPr>
        <w:t>,</w:t>
      </w:r>
      <w:r w:rsidR="00FF755D" w:rsidRPr="004A0C12">
        <w:rPr>
          <w:rFonts w:ascii="Garamond" w:hAnsi="Garamond"/>
        </w:rPr>
        <w:t xml:space="preserve"> or improve Community Rehabilitation P</w:t>
      </w:r>
      <w:r w:rsidRPr="004A0C12">
        <w:rPr>
          <w:rFonts w:ascii="Garamond" w:hAnsi="Garamond"/>
        </w:rPr>
        <w:t>rograms within the State, DORS conducted</w:t>
      </w:r>
      <w:r w:rsidR="007C4A56" w:rsidRPr="004A0C12">
        <w:rPr>
          <w:rFonts w:ascii="Garamond" w:hAnsi="Garamond"/>
        </w:rPr>
        <w:t>: (1) a survey of Community Rehabilitation Program</w:t>
      </w:r>
      <w:r w:rsidRPr="004A0C12">
        <w:rPr>
          <w:rFonts w:ascii="Garamond" w:hAnsi="Garamond"/>
        </w:rPr>
        <w:t xml:space="preserve"> Executive Directors and Vocational Staff; (2) a survey of DORS staff</w:t>
      </w:r>
      <w:r w:rsidR="007C4A56" w:rsidRPr="004A0C12">
        <w:rPr>
          <w:rFonts w:ascii="Garamond" w:hAnsi="Garamond"/>
        </w:rPr>
        <w:t>;</w:t>
      </w:r>
      <w:r w:rsidRPr="004A0C12">
        <w:rPr>
          <w:rFonts w:ascii="Garamond" w:hAnsi="Garamond"/>
        </w:rPr>
        <w:t xml:space="preserve"> and</w:t>
      </w:r>
      <w:r w:rsidR="007C4A56" w:rsidRPr="004A0C12">
        <w:rPr>
          <w:rFonts w:ascii="Garamond" w:hAnsi="Garamond"/>
        </w:rPr>
        <w:t>,</w:t>
      </w:r>
      <w:r w:rsidRPr="004A0C12">
        <w:rPr>
          <w:rFonts w:ascii="Garamond" w:hAnsi="Garamond"/>
        </w:rPr>
        <w:t xml:space="preserve"> (3) several small focus groups of DORS consu</w:t>
      </w:r>
      <w:r w:rsidR="007C4A56" w:rsidRPr="004A0C12">
        <w:rPr>
          <w:rFonts w:ascii="Garamond" w:hAnsi="Garamond"/>
        </w:rPr>
        <w:t>mers who had been served by Community Rehabilitation Programs</w:t>
      </w:r>
      <w:r w:rsidRPr="004A0C12">
        <w:rPr>
          <w:rFonts w:ascii="Garamond" w:hAnsi="Garamond"/>
        </w:rPr>
        <w:t>. Results suggest needs, particularly for dev</w:t>
      </w:r>
      <w:r w:rsidR="007C4A56" w:rsidRPr="004A0C12">
        <w:rPr>
          <w:rFonts w:ascii="Garamond" w:hAnsi="Garamond"/>
        </w:rPr>
        <w:t>elopment and improvement of Community Rehabilitation Programs and enhancement of</w:t>
      </w:r>
      <w:r w:rsidRPr="004A0C12">
        <w:rPr>
          <w:rFonts w:ascii="Garamond" w:hAnsi="Garamond"/>
        </w:rPr>
        <w:t xml:space="preserve"> working relationships</w:t>
      </w:r>
      <w:r w:rsidR="007C4A56" w:rsidRPr="004A0C12">
        <w:rPr>
          <w:rFonts w:ascii="Garamond" w:hAnsi="Garamond"/>
        </w:rPr>
        <w:t xml:space="preserve"> between DORS and Community Rehabilitation Programs</w:t>
      </w:r>
      <w:r w:rsidRPr="004A0C12">
        <w:rPr>
          <w:rFonts w:ascii="Garamond" w:hAnsi="Garamond"/>
        </w:rPr>
        <w:t>.</w:t>
      </w:r>
    </w:p>
    <w:p w14:paraId="60722E0C" w14:textId="77777777" w:rsidR="007A1FDC" w:rsidRPr="004A0C12" w:rsidRDefault="007A1FDC" w:rsidP="007A1FDC">
      <w:pPr>
        <w:spacing w:after="0" w:line="240" w:lineRule="auto"/>
        <w:jc w:val="both"/>
        <w:rPr>
          <w:rFonts w:ascii="Garamond" w:hAnsi="Garamond"/>
        </w:rPr>
      </w:pPr>
    </w:p>
    <w:p w14:paraId="15807503" w14:textId="29057998" w:rsidR="007A1FDC" w:rsidRPr="004A0C12" w:rsidRDefault="007C4A56" w:rsidP="007A1FDC">
      <w:pPr>
        <w:spacing w:after="0" w:line="240" w:lineRule="auto"/>
        <w:jc w:val="both"/>
        <w:rPr>
          <w:rFonts w:ascii="Garamond" w:hAnsi="Garamond"/>
        </w:rPr>
      </w:pPr>
      <w:r w:rsidRPr="004A0C12">
        <w:rPr>
          <w:rFonts w:ascii="Garamond" w:hAnsi="Garamond"/>
        </w:rPr>
        <w:t xml:space="preserve">Survey of Community Rehabilitation Programs: </w:t>
      </w:r>
      <w:r w:rsidR="00253341" w:rsidRPr="004A0C12">
        <w:rPr>
          <w:rFonts w:ascii="Garamond" w:hAnsi="Garamond"/>
          <w:color w:val="000000"/>
        </w:rPr>
        <w:t xml:space="preserve">During the 2013 Statewide Needs Assessment, </w:t>
      </w:r>
      <w:r w:rsidR="007A1FDC" w:rsidRPr="004A0C12">
        <w:rPr>
          <w:rFonts w:ascii="Garamond" w:hAnsi="Garamond"/>
        </w:rPr>
        <w:t xml:space="preserve">115 surveys </w:t>
      </w:r>
      <w:r w:rsidRPr="004A0C12">
        <w:rPr>
          <w:rFonts w:ascii="Garamond" w:hAnsi="Garamond"/>
        </w:rPr>
        <w:t xml:space="preserve">were sent electronically to Community Rehabilitation Program </w:t>
      </w:r>
      <w:r w:rsidR="007A1FDC" w:rsidRPr="004A0C12">
        <w:rPr>
          <w:rFonts w:ascii="Garamond" w:hAnsi="Garamond"/>
        </w:rPr>
        <w:t xml:space="preserve">Executive Directors and 118 surveys were sent to vocational staff within each of the agencies; 63 responses were returned. Respondents identified their particular agencies </w:t>
      </w:r>
      <w:r w:rsidRPr="004A0C12">
        <w:rPr>
          <w:rFonts w:ascii="Garamond" w:hAnsi="Garamond"/>
        </w:rPr>
        <w:t xml:space="preserve">and indicated whether their Community Rehabilitation Program </w:t>
      </w:r>
      <w:r w:rsidR="007A1FDC" w:rsidRPr="004A0C12">
        <w:rPr>
          <w:rFonts w:ascii="Garamond" w:hAnsi="Garamond"/>
        </w:rPr>
        <w:t xml:space="preserve">was in an urban, </w:t>
      </w:r>
      <w:r w:rsidRPr="004A0C12">
        <w:rPr>
          <w:rFonts w:ascii="Garamond" w:hAnsi="Garamond"/>
        </w:rPr>
        <w:t xml:space="preserve">a </w:t>
      </w:r>
      <w:r w:rsidR="007A1FDC" w:rsidRPr="004A0C12">
        <w:rPr>
          <w:rFonts w:ascii="Garamond" w:hAnsi="Garamond"/>
        </w:rPr>
        <w:t xml:space="preserve">rural and/or </w:t>
      </w:r>
      <w:r w:rsidRPr="004A0C12">
        <w:rPr>
          <w:rFonts w:ascii="Garamond" w:hAnsi="Garamond"/>
        </w:rPr>
        <w:t xml:space="preserve">a </w:t>
      </w:r>
      <w:r w:rsidR="007A1FDC" w:rsidRPr="004A0C12">
        <w:rPr>
          <w:rFonts w:ascii="Garamond" w:hAnsi="Garamond"/>
        </w:rPr>
        <w:t>suburban area. Twenty-three (23) re</w:t>
      </w:r>
      <w:r w:rsidRPr="004A0C12">
        <w:rPr>
          <w:rFonts w:ascii="Garamond" w:hAnsi="Garamond"/>
        </w:rPr>
        <w:t>spondents indicated that the Community Rehabilitation Programs primarily serve</w:t>
      </w:r>
      <w:r w:rsidR="007A1FDC" w:rsidRPr="004A0C12">
        <w:rPr>
          <w:rFonts w:ascii="Garamond" w:hAnsi="Garamond"/>
        </w:rPr>
        <w:t xml:space="preserve"> the developmentally disabled population; thirty (30) serve the mental health population; one (1) primarily serves individuals on the autism spectrum; one (1) primarily serves individuals with brain injury; zero (0) serve individuals who are deaf and hard of hearing; four (4) primarily serve individuals who are blind/vision impaired, and four (4) primarily serve individuals they felt did not fall into the categories outlined above and described their population as “all disabilities served.” When asked what it would take to consider expanding services to include additional populations, severa</w:t>
      </w:r>
      <w:r w:rsidRPr="004A0C12">
        <w:rPr>
          <w:rFonts w:ascii="Garamond" w:hAnsi="Garamond"/>
        </w:rPr>
        <w:t xml:space="preserve">l indicated intensive education and </w:t>
      </w:r>
      <w:r w:rsidR="007A1FDC" w:rsidRPr="004A0C12">
        <w:rPr>
          <w:rFonts w:ascii="Garamond" w:hAnsi="Garamond"/>
        </w:rPr>
        <w:t>training for existing staff, funding for additional staff with specific skills sets, and technical assistance.</w:t>
      </w:r>
    </w:p>
    <w:p w14:paraId="7C15BEA4" w14:textId="77777777" w:rsidR="007A1FDC" w:rsidRPr="004A0C12" w:rsidRDefault="007A1FDC" w:rsidP="007A1FDC">
      <w:pPr>
        <w:spacing w:after="0" w:line="240" w:lineRule="auto"/>
        <w:jc w:val="both"/>
        <w:rPr>
          <w:rFonts w:ascii="Garamond" w:hAnsi="Garamond"/>
        </w:rPr>
      </w:pPr>
    </w:p>
    <w:p w14:paraId="693F8F83" w14:textId="67D31A1C" w:rsidR="007A1FDC" w:rsidRPr="004A0C12" w:rsidRDefault="007A1FDC" w:rsidP="007A1FDC">
      <w:pPr>
        <w:spacing w:after="0" w:line="240" w:lineRule="auto"/>
        <w:jc w:val="both"/>
        <w:rPr>
          <w:rFonts w:ascii="Garamond" w:hAnsi="Garamond"/>
        </w:rPr>
      </w:pPr>
      <w:r w:rsidRPr="004A0C12">
        <w:rPr>
          <w:rFonts w:ascii="Garamond" w:hAnsi="Garamond"/>
        </w:rPr>
        <w:t xml:space="preserve">When asked about populations served, irrespective of primary population, </w:t>
      </w:r>
      <w:r w:rsidR="00FE75A9" w:rsidRPr="004A0C12">
        <w:rPr>
          <w:rFonts w:ascii="Garamond" w:hAnsi="Garamond"/>
        </w:rPr>
        <w:t xml:space="preserve">77 percent </w:t>
      </w:r>
      <w:r w:rsidRPr="004A0C12">
        <w:rPr>
          <w:rFonts w:ascii="Garamond" w:hAnsi="Garamond"/>
        </w:rPr>
        <w:t xml:space="preserve">indicated that they serve the mental health population; </w:t>
      </w:r>
      <w:r w:rsidR="00FE75A9" w:rsidRPr="004A0C12">
        <w:rPr>
          <w:rFonts w:ascii="Garamond" w:hAnsi="Garamond"/>
        </w:rPr>
        <w:t xml:space="preserve">61 percent </w:t>
      </w:r>
      <w:r w:rsidRPr="004A0C12">
        <w:rPr>
          <w:rFonts w:ascii="Garamond" w:hAnsi="Garamond"/>
        </w:rPr>
        <w:t xml:space="preserve">serve the developmentally disabled population; </w:t>
      </w:r>
      <w:r w:rsidR="00FE75A9" w:rsidRPr="004A0C12">
        <w:rPr>
          <w:rFonts w:ascii="Garamond" w:hAnsi="Garamond"/>
        </w:rPr>
        <w:t>52 percent</w:t>
      </w:r>
      <w:r w:rsidRPr="004A0C12">
        <w:rPr>
          <w:rFonts w:ascii="Garamond" w:hAnsi="Garamond"/>
        </w:rPr>
        <w:t xml:space="preserve"> serve individuals on the autism spectrum; </w:t>
      </w:r>
      <w:r w:rsidR="00FE75A9" w:rsidRPr="004A0C12">
        <w:rPr>
          <w:rFonts w:ascii="Garamond" w:hAnsi="Garamond"/>
        </w:rPr>
        <w:t>52 percent</w:t>
      </w:r>
      <w:r w:rsidRPr="004A0C12">
        <w:rPr>
          <w:rFonts w:ascii="Garamond" w:hAnsi="Garamond"/>
        </w:rPr>
        <w:t xml:space="preserve"> serve individuals with brain injury; </w:t>
      </w:r>
      <w:r w:rsidR="00FE75A9" w:rsidRPr="004A0C12">
        <w:rPr>
          <w:rFonts w:ascii="Garamond" w:hAnsi="Garamond"/>
        </w:rPr>
        <w:t>44 percent</w:t>
      </w:r>
      <w:r w:rsidRPr="004A0C12">
        <w:rPr>
          <w:rFonts w:ascii="Garamond" w:hAnsi="Garamond"/>
        </w:rPr>
        <w:t xml:space="preserve"> serve individuals who are deaf and hard of hearing; </w:t>
      </w:r>
      <w:r w:rsidR="00FE75A9" w:rsidRPr="004A0C12">
        <w:rPr>
          <w:rFonts w:ascii="Garamond" w:hAnsi="Garamond"/>
        </w:rPr>
        <w:t xml:space="preserve">44 percent </w:t>
      </w:r>
      <w:r w:rsidRPr="004A0C12">
        <w:rPr>
          <w:rFonts w:ascii="Garamond" w:hAnsi="Garamond"/>
        </w:rPr>
        <w:t xml:space="preserve">serve individuals </w:t>
      </w:r>
      <w:r w:rsidR="00FE75A9" w:rsidRPr="004A0C12">
        <w:rPr>
          <w:rFonts w:ascii="Garamond" w:hAnsi="Garamond"/>
        </w:rPr>
        <w:t>who are blind/vision impaired; 50 percent</w:t>
      </w:r>
      <w:r w:rsidRPr="004A0C12">
        <w:rPr>
          <w:rFonts w:ascii="Garamond" w:hAnsi="Garamond"/>
        </w:rPr>
        <w:t xml:space="preserve"> serve ex-offenders; </w:t>
      </w:r>
      <w:r w:rsidR="00FE75A9" w:rsidRPr="004A0C12">
        <w:rPr>
          <w:rFonts w:ascii="Garamond" w:hAnsi="Garamond"/>
        </w:rPr>
        <w:t>31 percent</w:t>
      </w:r>
      <w:r w:rsidRPr="004A0C12">
        <w:rPr>
          <w:rFonts w:ascii="Garamond" w:hAnsi="Garamond"/>
        </w:rPr>
        <w:t xml:space="preserve"> serve veterans, and </w:t>
      </w:r>
      <w:r w:rsidR="00FE75A9" w:rsidRPr="004A0C12">
        <w:rPr>
          <w:rFonts w:ascii="Garamond" w:hAnsi="Garamond"/>
        </w:rPr>
        <w:t>14 percent</w:t>
      </w:r>
      <w:r w:rsidRPr="004A0C12">
        <w:rPr>
          <w:rFonts w:ascii="Garamond" w:hAnsi="Garamond"/>
        </w:rPr>
        <w:t xml:space="preserve"> serve individuals defined as “oth</w:t>
      </w:r>
      <w:r w:rsidR="00FE75A9" w:rsidRPr="004A0C12">
        <w:rPr>
          <w:rFonts w:ascii="Garamond" w:hAnsi="Garamond"/>
        </w:rPr>
        <w:t xml:space="preserve">er.” Those responses included: </w:t>
      </w:r>
      <w:r w:rsidRPr="004A0C12">
        <w:rPr>
          <w:rFonts w:ascii="Garamond" w:hAnsi="Garamond"/>
        </w:rPr>
        <w:t>the homeless, the learning disabled, individuals with physical disabilities, individuals with substance abuse, transitioning students, and all disabilities.</w:t>
      </w:r>
    </w:p>
    <w:p w14:paraId="46719132" w14:textId="77777777" w:rsidR="007A1FDC" w:rsidRPr="004A0C12" w:rsidRDefault="007A1FDC" w:rsidP="007A1FDC">
      <w:pPr>
        <w:spacing w:after="0" w:line="240" w:lineRule="auto"/>
        <w:jc w:val="both"/>
        <w:rPr>
          <w:rFonts w:ascii="Garamond" w:hAnsi="Garamond"/>
        </w:rPr>
      </w:pPr>
    </w:p>
    <w:p w14:paraId="0DDC07A1" w14:textId="22AFF365" w:rsidR="007A1FDC" w:rsidRPr="004A0C12" w:rsidRDefault="00FE75A9" w:rsidP="007A1FDC">
      <w:pPr>
        <w:spacing w:after="0" w:line="240" w:lineRule="auto"/>
        <w:jc w:val="both"/>
        <w:rPr>
          <w:rFonts w:ascii="Garamond" w:hAnsi="Garamond"/>
        </w:rPr>
      </w:pPr>
      <w:r w:rsidRPr="004A0C12">
        <w:rPr>
          <w:rFonts w:ascii="Garamond" w:hAnsi="Garamond"/>
        </w:rPr>
        <w:t>Needs/concerns identified by Community Rehabilitation Program</w:t>
      </w:r>
      <w:r w:rsidR="007A1FDC" w:rsidRPr="004A0C12">
        <w:rPr>
          <w:rFonts w:ascii="Garamond" w:hAnsi="Garamond"/>
        </w:rPr>
        <w:t>s:  In analyzing findings, the t</w:t>
      </w:r>
      <w:r w:rsidRPr="004A0C12">
        <w:rPr>
          <w:rFonts w:ascii="Garamond" w:hAnsi="Garamond"/>
        </w:rPr>
        <w:t xml:space="preserve">ypes of needs expressed by Community Rehabilitation Programs </w:t>
      </w:r>
      <w:r w:rsidR="007A1FDC" w:rsidRPr="004A0C12">
        <w:rPr>
          <w:rFonts w:ascii="Garamond" w:hAnsi="Garamond"/>
        </w:rPr>
        <w:t>included the following:</w:t>
      </w:r>
    </w:p>
    <w:p w14:paraId="6C14CFF1" w14:textId="77777777" w:rsidR="00FE75A9" w:rsidRPr="004A0C12" w:rsidRDefault="00FE75A9" w:rsidP="007A1FDC">
      <w:pPr>
        <w:spacing w:after="0" w:line="240" w:lineRule="auto"/>
        <w:jc w:val="both"/>
        <w:rPr>
          <w:rFonts w:ascii="Garamond" w:hAnsi="Garamond"/>
        </w:rPr>
      </w:pPr>
    </w:p>
    <w:p w14:paraId="33DA148C" w14:textId="77777777" w:rsidR="00FE75A9" w:rsidRPr="004A0C12" w:rsidRDefault="007A1FDC" w:rsidP="00232F09">
      <w:pPr>
        <w:pStyle w:val="ListParagraph"/>
        <w:numPr>
          <w:ilvl w:val="0"/>
          <w:numId w:val="231"/>
        </w:numPr>
        <w:jc w:val="both"/>
        <w:rPr>
          <w:rFonts w:ascii="Garamond" w:hAnsi="Garamond"/>
          <w:szCs w:val="22"/>
        </w:rPr>
      </w:pPr>
      <w:r w:rsidRPr="004A0C12">
        <w:rPr>
          <w:rFonts w:ascii="Garamond" w:hAnsi="Garamond"/>
          <w:szCs w:val="22"/>
        </w:rPr>
        <w:t>Additional trainings regarding job carving, customized employment,</w:t>
      </w:r>
      <w:r w:rsidR="00FE75A9" w:rsidRPr="004A0C12">
        <w:rPr>
          <w:rFonts w:ascii="Garamond" w:hAnsi="Garamond"/>
          <w:szCs w:val="22"/>
        </w:rPr>
        <w:t xml:space="preserve"> and job development in general;</w:t>
      </w:r>
    </w:p>
    <w:p w14:paraId="1A0979F7" w14:textId="4F7C08D0" w:rsidR="00FE75A9" w:rsidRPr="004A0C12" w:rsidRDefault="007A1FDC" w:rsidP="00232F09">
      <w:pPr>
        <w:pStyle w:val="ListParagraph"/>
        <w:numPr>
          <w:ilvl w:val="0"/>
          <w:numId w:val="231"/>
        </w:numPr>
        <w:jc w:val="both"/>
        <w:rPr>
          <w:rFonts w:ascii="Garamond" w:hAnsi="Garamond"/>
          <w:szCs w:val="22"/>
        </w:rPr>
      </w:pPr>
      <w:r w:rsidRPr="004A0C12">
        <w:rPr>
          <w:rFonts w:ascii="Garamond" w:hAnsi="Garamond"/>
          <w:szCs w:val="22"/>
        </w:rPr>
        <w:lastRenderedPageBreak/>
        <w:t>Increased assistance to help the consumers with their transportation needs including: comprehensive travel training and reduced delays in trans</w:t>
      </w:r>
      <w:r w:rsidR="00530FA0" w:rsidRPr="004A0C12">
        <w:rPr>
          <w:rFonts w:ascii="Garamond" w:hAnsi="Garamond"/>
          <w:szCs w:val="22"/>
        </w:rPr>
        <w:t>portation funding for consumers</w:t>
      </w:r>
    </w:p>
    <w:p w14:paraId="5425F943" w14:textId="37FC4488" w:rsidR="00FE75A9" w:rsidRPr="004A0C12" w:rsidRDefault="007A1FDC" w:rsidP="00232F09">
      <w:pPr>
        <w:pStyle w:val="ListParagraph"/>
        <w:numPr>
          <w:ilvl w:val="0"/>
          <w:numId w:val="231"/>
        </w:numPr>
        <w:jc w:val="both"/>
        <w:rPr>
          <w:rFonts w:ascii="Garamond" w:hAnsi="Garamond"/>
          <w:szCs w:val="22"/>
        </w:rPr>
      </w:pPr>
      <w:r w:rsidRPr="004A0C12">
        <w:rPr>
          <w:rFonts w:ascii="Garamond" w:hAnsi="Garamond"/>
          <w:szCs w:val="22"/>
        </w:rPr>
        <w:t>Opportunities to interface with DORS staff and expand collaborative efforts in job development to include employment specialists and local businesses, opportunities for brainstorming client cases, and for employment specialists across agencies to</w:t>
      </w:r>
      <w:r w:rsidR="00FE75A9" w:rsidRPr="004A0C12">
        <w:rPr>
          <w:rFonts w:ascii="Garamond" w:hAnsi="Garamond"/>
          <w:szCs w:val="22"/>
        </w:rPr>
        <w:t xml:space="preserve"> share</w:t>
      </w:r>
      <w:r w:rsidR="00530FA0" w:rsidRPr="004A0C12">
        <w:rPr>
          <w:rFonts w:ascii="Garamond" w:hAnsi="Garamond"/>
          <w:szCs w:val="22"/>
        </w:rPr>
        <w:t xml:space="preserve"> strategies and job leads</w:t>
      </w:r>
    </w:p>
    <w:p w14:paraId="17953D82" w14:textId="53FC57E3" w:rsidR="007A1FDC" w:rsidRPr="004A0C12" w:rsidRDefault="007A1FDC" w:rsidP="00232F09">
      <w:pPr>
        <w:pStyle w:val="ListParagraph"/>
        <w:numPr>
          <w:ilvl w:val="0"/>
          <w:numId w:val="231"/>
        </w:numPr>
        <w:jc w:val="both"/>
        <w:rPr>
          <w:rFonts w:ascii="Garamond" w:hAnsi="Garamond"/>
          <w:szCs w:val="22"/>
        </w:rPr>
      </w:pPr>
      <w:r w:rsidRPr="004A0C12">
        <w:rPr>
          <w:rFonts w:ascii="Garamond" w:hAnsi="Garamond"/>
          <w:szCs w:val="22"/>
        </w:rPr>
        <w:t>The hourly rates for services h</w:t>
      </w:r>
      <w:r w:rsidR="00FE75A9" w:rsidRPr="004A0C12">
        <w:rPr>
          <w:rFonts w:ascii="Garamond" w:hAnsi="Garamond"/>
          <w:szCs w:val="22"/>
        </w:rPr>
        <w:t xml:space="preserve">ave not been increased in over five years. </w:t>
      </w:r>
      <w:r w:rsidRPr="004A0C12">
        <w:rPr>
          <w:rFonts w:ascii="Garamond" w:hAnsi="Garamond"/>
          <w:szCs w:val="22"/>
        </w:rPr>
        <w:t xml:space="preserve">The low </w:t>
      </w:r>
      <w:r w:rsidR="00FE75A9" w:rsidRPr="004A0C12">
        <w:rPr>
          <w:rFonts w:ascii="Garamond" w:hAnsi="Garamond"/>
          <w:szCs w:val="22"/>
        </w:rPr>
        <w:t>rates make it difficult for Community Rehabilitation Programs</w:t>
      </w:r>
      <w:r w:rsidRPr="004A0C12">
        <w:rPr>
          <w:rFonts w:ascii="Garamond" w:hAnsi="Garamond"/>
          <w:szCs w:val="22"/>
        </w:rPr>
        <w:t xml:space="preserve"> t</w:t>
      </w:r>
      <w:r w:rsidR="00530FA0" w:rsidRPr="004A0C12">
        <w:rPr>
          <w:rFonts w:ascii="Garamond" w:hAnsi="Garamond"/>
          <w:szCs w:val="22"/>
        </w:rPr>
        <w:t>o hire effective job developers</w:t>
      </w:r>
    </w:p>
    <w:p w14:paraId="53655887" w14:textId="77777777" w:rsidR="007A1FDC" w:rsidRPr="004A0C12" w:rsidRDefault="007A1FDC" w:rsidP="007A1FDC">
      <w:pPr>
        <w:spacing w:after="0" w:line="240" w:lineRule="auto"/>
        <w:jc w:val="both"/>
        <w:rPr>
          <w:rFonts w:ascii="Garamond" w:hAnsi="Garamond"/>
        </w:rPr>
      </w:pPr>
    </w:p>
    <w:p w14:paraId="720204A3" w14:textId="4C518F4E" w:rsidR="007A1FDC" w:rsidRPr="004A0C12" w:rsidRDefault="00FE75A9" w:rsidP="007A1FDC">
      <w:pPr>
        <w:spacing w:after="0" w:line="240" w:lineRule="auto"/>
        <w:jc w:val="both"/>
        <w:rPr>
          <w:rFonts w:ascii="Garamond" w:hAnsi="Garamond"/>
        </w:rPr>
      </w:pPr>
      <w:r w:rsidRPr="004A0C12">
        <w:rPr>
          <w:rFonts w:ascii="Garamond" w:hAnsi="Garamond"/>
        </w:rPr>
        <w:t xml:space="preserve">Survey of DORS staff: </w:t>
      </w:r>
      <w:r w:rsidR="00253341" w:rsidRPr="004A0C12">
        <w:rPr>
          <w:rFonts w:ascii="Garamond" w:hAnsi="Garamond"/>
          <w:color w:val="000000"/>
        </w:rPr>
        <w:t xml:space="preserve">During the 2013 Statewide Needs Assessment, </w:t>
      </w:r>
      <w:r w:rsidR="00253341" w:rsidRPr="004A0C12">
        <w:rPr>
          <w:rFonts w:ascii="Garamond" w:hAnsi="Garamond"/>
        </w:rPr>
        <w:t>a</w:t>
      </w:r>
      <w:r w:rsidR="007A1FDC" w:rsidRPr="004A0C12">
        <w:rPr>
          <w:rFonts w:ascii="Garamond" w:hAnsi="Garamond"/>
        </w:rPr>
        <w:t>pproximately 181 surveys were forwarded to DORS fiel</w:t>
      </w:r>
      <w:r w:rsidR="00170873" w:rsidRPr="004A0C12">
        <w:rPr>
          <w:rFonts w:ascii="Garamond" w:hAnsi="Garamond"/>
        </w:rPr>
        <w:t>d counselors and supervisors. Seventy-five</w:t>
      </w:r>
      <w:r w:rsidR="007A1FDC" w:rsidRPr="004A0C12">
        <w:rPr>
          <w:rFonts w:ascii="Garamond" w:hAnsi="Garamond"/>
        </w:rPr>
        <w:t xml:space="preserve"> were returned. Staff were asked </w:t>
      </w:r>
      <w:r w:rsidR="00170873" w:rsidRPr="004A0C12">
        <w:rPr>
          <w:rFonts w:ascii="Garamond" w:hAnsi="Garamond"/>
        </w:rPr>
        <w:t xml:space="preserve">about </w:t>
      </w:r>
      <w:r w:rsidR="007A1FDC" w:rsidRPr="004A0C12">
        <w:rPr>
          <w:rFonts w:ascii="Garamond" w:hAnsi="Garamond"/>
        </w:rPr>
        <w:t>what services</w:t>
      </w:r>
      <w:r w:rsidR="00170873" w:rsidRPr="004A0C12">
        <w:rPr>
          <w:rFonts w:ascii="Garamond" w:hAnsi="Garamond"/>
        </w:rPr>
        <w:t xml:space="preserve"> they most often request from Community Rehabilitation Programs</w:t>
      </w:r>
      <w:r w:rsidR="007A1FDC" w:rsidRPr="004A0C12">
        <w:rPr>
          <w:rFonts w:ascii="Garamond" w:hAnsi="Garamond"/>
        </w:rPr>
        <w:t>, quality and timeliness of services,</w:t>
      </w:r>
      <w:r w:rsidR="00170873" w:rsidRPr="004A0C12">
        <w:rPr>
          <w:rFonts w:ascii="Garamond" w:hAnsi="Garamond"/>
        </w:rPr>
        <w:t xml:space="preserve"> and</w:t>
      </w:r>
      <w:r w:rsidR="007A1FDC" w:rsidRPr="004A0C12">
        <w:rPr>
          <w:rFonts w:ascii="Garamond" w:hAnsi="Garamond"/>
        </w:rPr>
        <w:t xml:space="preserve"> specific populations served. This year, staff were asked to identify and rate each provider identified as one from which services were p</w:t>
      </w:r>
      <w:r w:rsidR="00170873" w:rsidRPr="004A0C12">
        <w:rPr>
          <w:rFonts w:ascii="Garamond" w:hAnsi="Garamond"/>
        </w:rPr>
        <w:t xml:space="preserve">urchased. Eighty-four percent </w:t>
      </w:r>
      <w:r w:rsidR="007A1FDC" w:rsidRPr="004A0C12">
        <w:rPr>
          <w:rFonts w:ascii="Garamond" w:hAnsi="Garamond"/>
        </w:rPr>
        <w:t>identified non-supported job coaching for job development as being the most fre</w:t>
      </w:r>
      <w:r w:rsidR="00170873" w:rsidRPr="004A0C12">
        <w:rPr>
          <w:rFonts w:ascii="Garamond" w:hAnsi="Garamond"/>
        </w:rPr>
        <w:t xml:space="preserve">quently purchased service; 60 percent </w:t>
      </w:r>
      <w:r w:rsidR="007A1FDC" w:rsidRPr="004A0C12">
        <w:rPr>
          <w:rFonts w:ascii="Garamond" w:hAnsi="Garamond"/>
        </w:rPr>
        <w:t xml:space="preserve">identified benefits counseling; </w:t>
      </w:r>
      <w:r w:rsidR="00170873" w:rsidRPr="004A0C12">
        <w:rPr>
          <w:rFonts w:ascii="Garamond" w:hAnsi="Garamond"/>
        </w:rPr>
        <w:t xml:space="preserve">53 percent </w:t>
      </w:r>
      <w:r w:rsidR="007A1FDC" w:rsidRPr="004A0C12">
        <w:rPr>
          <w:rFonts w:ascii="Garamond" w:hAnsi="Garamond"/>
        </w:rPr>
        <w:t xml:space="preserve">supported employment job coaching for job development; </w:t>
      </w:r>
      <w:r w:rsidR="00170873" w:rsidRPr="004A0C12">
        <w:rPr>
          <w:rFonts w:ascii="Garamond" w:hAnsi="Garamond"/>
        </w:rPr>
        <w:t>48 percent identified</w:t>
      </w:r>
      <w:r w:rsidR="007A1FDC" w:rsidRPr="004A0C12">
        <w:rPr>
          <w:rFonts w:ascii="Garamond" w:hAnsi="Garamond"/>
        </w:rPr>
        <w:t xml:space="preserve"> non-supported job coaching for maintaining employment; </w:t>
      </w:r>
      <w:r w:rsidR="00170873" w:rsidRPr="004A0C12">
        <w:rPr>
          <w:rFonts w:ascii="Garamond" w:hAnsi="Garamond"/>
        </w:rPr>
        <w:t xml:space="preserve">45 percent identified </w:t>
      </w:r>
      <w:r w:rsidR="007A1FDC" w:rsidRPr="004A0C12">
        <w:rPr>
          <w:rFonts w:ascii="Garamond" w:hAnsi="Garamond"/>
        </w:rPr>
        <w:t xml:space="preserve">career assessment services; </w:t>
      </w:r>
      <w:r w:rsidR="00170873" w:rsidRPr="004A0C12">
        <w:rPr>
          <w:rFonts w:ascii="Garamond" w:hAnsi="Garamond"/>
        </w:rPr>
        <w:t>44 percent identified</w:t>
      </w:r>
      <w:r w:rsidR="007A1FDC" w:rsidRPr="004A0C12">
        <w:rPr>
          <w:rFonts w:ascii="Garamond" w:hAnsi="Garamond"/>
        </w:rPr>
        <w:t xml:space="preserve"> </w:t>
      </w:r>
      <w:r w:rsidR="00AB163A" w:rsidRPr="004A0C12">
        <w:rPr>
          <w:rFonts w:ascii="Garamond" w:hAnsi="Garamond"/>
        </w:rPr>
        <w:t>work adjustment training/employment development services</w:t>
      </w:r>
      <w:r w:rsidR="007A1FDC" w:rsidRPr="004A0C12">
        <w:rPr>
          <w:rFonts w:ascii="Garamond" w:hAnsi="Garamond"/>
        </w:rPr>
        <w:t xml:space="preserve">; </w:t>
      </w:r>
      <w:r w:rsidR="00170873" w:rsidRPr="004A0C12">
        <w:rPr>
          <w:rFonts w:ascii="Garamond" w:hAnsi="Garamond"/>
        </w:rPr>
        <w:t>38 percent identified</w:t>
      </w:r>
      <w:r w:rsidR="007A1FDC" w:rsidRPr="004A0C12">
        <w:rPr>
          <w:rFonts w:ascii="Garamond" w:hAnsi="Garamond"/>
        </w:rPr>
        <w:t xml:space="preserve"> supported employment job coaching for maintaining employment, and </w:t>
      </w:r>
      <w:r w:rsidR="00170873" w:rsidRPr="004A0C12">
        <w:rPr>
          <w:rFonts w:ascii="Garamond" w:hAnsi="Garamond"/>
        </w:rPr>
        <w:t xml:space="preserve">20 percent identified </w:t>
      </w:r>
      <w:r w:rsidR="007A1FDC" w:rsidRPr="004A0C12">
        <w:rPr>
          <w:rFonts w:ascii="Garamond" w:hAnsi="Garamond"/>
        </w:rPr>
        <w:t xml:space="preserve">job skills training.  </w:t>
      </w:r>
    </w:p>
    <w:p w14:paraId="5278DA00" w14:textId="77777777" w:rsidR="007A1FDC" w:rsidRPr="004A0C12" w:rsidRDefault="007A1FDC" w:rsidP="007A1FDC">
      <w:pPr>
        <w:spacing w:after="0" w:line="240" w:lineRule="auto"/>
        <w:jc w:val="both"/>
        <w:rPr>
          <w:rFonts w:ascii="Garamond" w:hAnsi="Garamond"/>
        </w:rPr>
      </w:pPr>
    </w:p>
    <w:p w14:paraId="0150045A"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Needs/concerns related to CRP Service Needs identified by DORS Staff:  </w:t>
      </w:r>
    </w:p>
    <w:p w14:paraId="56E4458A" w14:textId="12C4764F" w:rsidR="00170873" w:rsidRPr="004A0C12" w:rsidRDefault="007A1FDC" w:rsidP="00232F09">
      <w:pPr>
        <w:pStyle w:val="ListParagraph"/>
        <w:numPr>
          <w:ilvl w:val="0"/>
          <w:numId w:val="232"/>
        </w:numPr>
        <w:jc w:val="both"/>
        <w:rPr>
          <w:rFonts w:ascii="Garamond" w:hAnsi="Garamond"/>
          <w:szCs w:val="22"/>
        </w:rPr>
      </w:pPr>
      <w:r w:rsidRPr="004A0C12">
        <w:rPr>
          <w:rFonts w:ascii="Garamond" w:hAnsi="Garamond"/>
          <w:szCs w:val="22"/>
        </w:rPr>
        <w:t>Expand capacity for employment services for special populations (blind/vision impaired; deaf/hard of hearing; ABI; Autism spectrum)</w:t>
      </w:r>
    </w:p>
    <w:p w14:paraId="6B53369D" w14:textId="6BD7D57D" w:rsidR="007A1FDC" w:rsidRPr="004A0C12" w:rsidRDefault="007A1FDC" w:rsidP="00232F09">
      <w:pPr>
        <w:pStyle w:val="ListParagraph"/>
        <w:numPr>
          <w:ilvl w:val="0"/>
          <w:numId w:val="232"/>
        </w:numPr>
        <w:jc w:val="both"/>
        <w:rPr>
          <w:rFonts w:ascii="Garamond" w:hAnsi="Garamond"/>
          <w:szCs w:val="22"/>
        </w:rPr>
      </w:pPr>
      <w:r w:rsidRPr="004A0C12">
        <w:rPr>
          <w:rFonts w:ascii="Garamond" w:hAnsi="Garamond"/>
          <w:szCs w:val="22"/>
        </w:rPr>
        <w:t xml:space="preserve">Expand </w:t>
      </w:r>
      <w:r w:rsidR="00170873" w:rsidRPr="004A0C12">
        <w:rPr>
          <w:rFonts w:ascii="Garamond" w:hAnsi="Garamond"/>
          <w:szCs w:val="22"/>
        </w:rPr>
        <w:t>the number of Community Rehabilitation Programs</w:t>
      </w:r>
      <w:r w:rsidRPr="004A0C12">
        <w:rPr>
          <w:rFonts w:ascii="Garamond" w:hAnsi="Garamond"/>
          <w:szCs w:val="22"/>
        </w:rPr>
        <w:t xml:space="preserve"> that will provide servic</w:t>
      </w:r>
      <w:r w:rsidR="00170873" w:rsidRPr="004A0C12">
        <w:rPr>
          <w:rFonts w:ascii="Garamond" w:hAnsi="Garamond"/>
          <w:szCs w:val="22"/>
        </w:rPr>
        <w:t>es to ex-offenders including wo</w:t>
      </w:r>
      <w:r w:rsidR="00530FA0" w:rsidRPr="004A0C12">
        <w:rPr>
          <w:rFonts w:ascii="Garamond" w:hAnsi="Garamond"/>
          <w:szCs w:val="22"/>
        </w:rPr>
        <w:t>rk adjustment training services</w:t>
      </w:r>
    </w:p>
    <w:p w14:paraId="72632622" w14:textId="263897A2" w:rsidR="007A1FDC" w:rsidRPr="004A0C12" w:rsidRDefault="00170873" w:rsidP="00232F09">
      <w:pPr>
        <w:numPr>
          <w:ilvl w:val="0"/>
          <w:numId w:val="157"/>
        </w:numPr>
        <w:tabs>
          <w:tab w:val="clear" w:pos="360"/>
          <w:tab w:val="num" w:pos="720"/>
        </w:tabs>
        <w:spacing w:after="0" w:line="240" w:lineRule="auto"/>
        <w:ind w:left="720" w:hanging="360"/>
        <w:jc w:val="both"/>
        <w:rPr>
          <w:rFonts w:ascii="Garamond" w:hAnsi="Garamond"/>
        </w:rPr>
      </w:pPr>
      <w:r w:rsidRPr="004A0C12">
        <w:rPr>
          <w:rFonts w:ascii="Garamond" w:hAnsi="Garamond"/>
        </w:rPr>
        <w:t>Increase the number of Community Rehabilitation Programs</w:t>
      </w:r>
      <w:r w:rsidR="007A1FDC" w:rsidRPr="004A0C12">
        <w:rPr>
          <w:rFonts w:ascii="Garamond" w:hAnsi="Garamond"/>
        </w:rPr>
        <w:t xml:space="preserve"> that provide employment skills tr</w:t>
      </w:r>
      <w:r w:rsidRPr="004A0C12">
        <w:rPr>
          <w:rFonts w:ascii="Garamond" w:hAnsi="Garamond"/>
        </w:rPr>
        <w:t>aining</w:t>
      </w:r>
      <w:r w:rsidR="00530FA0" w:rsidRPr="004A0C12">
        <w:rPr>
          <w:rFonts w:ascii="Garamond" w:hAnsi="Garamond"/>
        </w:rPr>
        <w:t>, especially trade skills</w:t>
      </w:r>
    </w:p>
    <w:p w14:paraId="60BAE55A" w14:textId="77777777" w:rsidR="007A1FDC" w:rsidRPr="004A0C12" w:rsidRDefault="007A1FDC" w:rsidP="00232F09">
      <w:pPr>
        <w:numPr>
          <w:ilvl w:val="0"/>
          <w:numId w:val="157"/>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Expand the type of services available to individuals with autism (therapy, social support group, social skills training, and ADHD organizational training) and increase the job development skills for providers who currently work with individuals with autism.  </w:t>
      </w:r>
    </w:p>
    <w:p w14:paraId="7CFDA966" w14:textId="77777777" w:rsidR="007A1FDC" w:rsidRPr="004A0C12" w:rsidRDefault="007A1FDC" w:rsidP="007A1FDC">
      <w:pPr>
        <w:spacing w:after="0" w:line="240" w:lineRule="auto"/>
        <w:jc w:val="both"/>
        <w:rPr>
          <w:rFonts w:ascii="Garamond" w:hAnsi="Garamond"/>
        </w:rPr>
      </w:pPr>
    </w:p>
    <w:p w14:paraId="2A58A9FD" w14:textId="0452623C" w:rsidR="007A1FDC" w:rsidRPr="004A0C12" w:rsidRDefault="007A1FDC" w:rsidP="007A1FDC">
      <w:pPr>
        <w:spacing w:after="0" w:line="240" w:lineRule="auto"/>
        <w:jc w:val="both"/>
        <w:rPr>
          <w:rFonts w:ascii="Garamond" w:hAnsi="Garamond"/>
        </w:rPr>
      </w:pPr>
      <w:r w:rsidRPr="004A0C12">
        <w:rPr>
          <w:rFonts w:ascii="Garamond" w:hAnsi="Garamond"/>
        </w:rPr>
        <w:t>Focus Groups – Cons</w:t>
      </w:r>
      <w:r w:rsidR="00D73CEA" w:rsidRPr="004A0C12">
        <w:rPr>
          <w:rFonts w:ascii="Garamond" w:hAnsi="Garamond"/>
        </w:rPr>
        <w:t xml:space="preserve">umers previously served by Community Rehabilitation Services: </w:t>
      </w:r>
      <w:r w:rsidRPr="004A0C12">
        <w:rPr>
          <w:rFonts w:ascii="Garamond" w:hAnsi="Garamond"/>
        </w:rPr>
        <w:t>DORS held several focus groups for cons</w:t>
      </w:r>
      <w:r w:rsidR="00D73CEA" w:rsidRPr="004A0C12">
        <w:rPr>
          <w:rFonts w:ascii="Garamond" w:hAnsi="Garamond"/>
        </w:rPr>
        <w:t>umers who had been served by Community Rehabilitation Service</w:t>
      </w:r>
      <w:r w:rsidRPr="004A0C12">
        <w:rPr>
          <w:rFonts w:ascii="Garamond" w:hAnsi="Garamond"/>
        </w:rPr>
        <w:t xml:space="preserve">s to </w:t>
      </w:r>
      <w:r w:rsidR="00D73CEA" w:rsidRPr="004A0C12">
        <w:rPr>
          <w:rFonts w:ascii="Garamond" w:hAnsi="Garamond"/>
        </w:rPr>
        <w:t>solicit</w:t>
      </w:r>
      <w:r w:rsidRPr="004A0C12">
        <w:rPr>
          <w:rFonts w:ascii="Garamond" w:hAnsi="Garamond"/>
        </w:rPr>
        <w:t xml:space="preserve"> their perspective on services. Three g</w:t>
      </w:r>
      <w:r w:rsidR="00D73CEA" w:rsidRPr="004A0C12">
        <w:rPr>
          <w:rFonts w:ascii="Garamond" w:hAnsi="Garamond"/>
        </w:rPr>
        <w:t>roups were held throughout the S</w:t>
      </w:r>
      <w:r w:rsidRPr="004A0C12">
        <w:rPr>
          <w:rFonts w:ascii="Garamond" w:hAnsi="Garamond"/>
        </w:rPr>
        <w:t>tate. Participants were asked what services they had received, why they chose the provider, would they recommend similar services to a friend, was their DORS counselor involved, did they get a job as a result of the services, and what would</w:t>
      </w:r>
      <w:r w:rsidR="00D73CEA" w:rsidRPr="004A0C12">
        <w:rPr>
          <w:rFonts w:ascii="Garamond" w:hAnsi="Garamond"/>
        </w:rPr>
        <w:t xml:space="preserve"> improve the services at the Community Rehabilitation Program</w:t>
      </w:r>
      <w:r w:rsidRPr="004A0C12">
        <w:rPr>
          <w:rFonts w:ascii="Garamond" w:hAnsi="Garamond"/>
        </w:rPr>
        <w:t xml:space="preserve">. While not a large sampling, there was some commonality among </w:t>
      </w:r>
      <w:r w:rsidR="00D73CEA" w:rsidRPr="004A0C12">
        <w:rPr>
          <w:rFonts w:ascii="Garamond" w:hAnsi="Garamond"/>
        </w:rPr>
        <w:t xml:space="preserve">their responses and reactions. </w:t>
      </w:r>
      <w:r w:rsidRPr="004A0C12">
        <w:rPr>
          <w:rFonts w:ascii="Garamond" w:hAnsi="Garamond"/>
        </w:rPr>
        <w:t xml:space="preserve">The majority of comments were positive about their </w:t>
      </w:r>
      <w:r w:rsidR="00D73CEA" w:rsidRPr="004A0C12">
        <w:rPr>
          <w:rFonts w:ascii="Garamond" w:hAnsi="Garamond"/>
        </w:rPr>
        <w:t>experience with DORS and the Community Rehabilitation Programs</w:t>
      </w:r>
      <w:r w:rsidRPr="004A0C12">
        <w:rPr>
          <w:rFonts w:ascii="Garamond" w:hAnsi="Garamond"/>
        </w:rPr>
        <w:t>.</w:t>
      </w:r>
    </w:p>
    <w:p w14:paraId="267E132C" w14:textId="77777777" w:rsidR="007A1FDC" w:rsidRPr="004A0C12" w:rsidRDefault="007A1FDC" w:rsidP="007A1FDC">
      <w:pPr>
        <w:spacing w:after="0" w:line="240" w:lineRule="auto"/>
        <w:jc w:val="both"/>
        <w:rPr>
          <w:rFonts w:ascii="Garamond" w:hAnsi="Garamond"/>
        </w:rPr>
      </w:pPr>
    </w:p>
    <w:p w14:paraId="4DB244AB" w14:textId="6F268012" w:rsidR="007A1FDC" w:rsidRPr="004A0C12" w:rsidRDefault="00D73CEA" w:rsidP="007A1FDC">
      <w:pPr>
        <w:spacing w:after="0" w:line="240" w:lineRule="auto"/>
        <w:jc w:val="both"/>
        <w:rPr>
          <w:rFonts w:ascii="Garamond" w:hAnsi="Garamond"/>
        </w:rPr>
      </w:pPr>
      <w:r w:rsidRPr="004A0C12">
        <w:rPr>
          <w:rFonts w:ascii="Garamond" w:hAnsi="Garamond"/>
        </w:rPr>
        <w:t>Needs/concerns related to Community Rehabilitation Program</w:t>
      </w:r>
      <w:r w:rsidR="007A1FDC" w:rsidRPr="004A0C12">
        <w:rPr>
          <w:rFonts w:ascii="Garamond" w:hAnsi="Garamond"/>
        </w:rPr>
        <w:t xml:space="preserve"> Service Needs expressed by Focus Group participants:  </w:t>
      </w:r>
    </w:p>
    <w:p w14:paraId="09B9166A" w14:textId="69C12FD6" w:rsidR="00D73CEA" w:rsidRPr="004A0C12" w:rsidRDefault="007A1FDC" w:rsidP="00232F09">
      <w:pPr>
        <w:pStyle w:val="ListParagraph"/>
        <w:numPr>
          <w:ilvl w:val="0"/>
          <w:numId w:val="233"/>
        </w:numPr>
        <w:jc w:val="both"/>
        <w:rPr>
          <w:rFonts w:ascii="Garamond" w:hAnsi="Garamond"/>
          <w:szCs w:val="22"/>
        </w:rPr>
      </w:pPr>
      <w:r w:rsidRPr="004A0C12">
        <w:rPr>
          <w:rFonts w:ascii="Garamond" w:hAnsi="Garamond"/>
          <w:szCs w:val="22"/>
        </w:rPr>
        <w:t>Increase information provided to consumer</w:t>
      </w:r>
      <w:r w:rsidR="00D73CEA" w:rsidRPr="004A0C12">
        <w:rPr>
          <w:rFonts w:ascii="Garamond" w:hAnsi="Garamond"/>
          <w:szCs w:val="22"/>
        </w:rPr>
        <w:t>s</w:t>
      </w:r>
      <w:r w:rsidRPr="004A0C12">
        <w:rPr>
          <w:rFonts w:ascii="Garamond" w:hAnsi="Garamond"/>
          <w:szCs w:val="22"/>
        </w:rPr>
        <w:t xml:space="preserve"> about provider cho</w:t>
      </w:r>
      <w:r w:rsidR="00530FA0" w:rsidRPr="004A0C12">
        <w:rPr>
          <w:rFonts w:ascii="Garamond" w:hAnsi="Garamond"/>
          <w:szCs w:val="22"/>
        </w:rPr>
        <w:t>ices when discussing services</w:t>
      </w:r>
    </w:p>
    <w:p w14:paraId="3FFA6635" w14:textId="64156DFB" w:rsidR="00D73CEA" w:rsidRPr="004A0C12" w:rsidRDefault="007A1FDC" w:rsidP="00232F09">
      <w:pPr>
        <w:pStyle w:val="ListParagraph"/>
        <w:numPr>
          <w:ilvl w:val="0"/>
          <w:numId w:val="233"/>
        </w:numPr>
        <w:jc w:val="both"/>
        <w:rPr>
          <w:rFonts w:ascii="Garamond" w:hAnsi="Garamond"/>
          <w:szCs w:val="22"/>
        </w:rPr>
      </w:pPr>
      <w:r w:rsidRPr="004A0C12">
        <w:rPr>
          <w:rFonts w:ascii="Garamond" w:hAnsi="Garamond"/>
          <w:szCs w:val="22"/>
        </w:rPr>
        <w:t>C</w:t>
      </w:r>
      <w:r w:rsidR="00D73CEA" w:rsidRPr="004A0C12">
        <w:rPr>
          <w:rFonts w:ascii="Garamond" w:hAnsi="Garamond"/>
          <w:szCs w:val="22"/>
        </w:rPr>
        <w:t xml:space="preserve">onsumers want </w:t>
      </w:r>
      <w:r w:rsidRPr="004A0C12">
        <w:rPr>
          <w:rFonts w:ascii="Garamond" w:hAnsi="Garamond"/>
          <w:szCs w:val="22"/>
        </w:rPr>
        <w:t>DORS counselors t</w:t>
      </w:r>
      <w:r w:rsidR="00D73CEA" w:rsidRPr="004A0C12">
        <w:rPr>
          <w:rFonts w:ascii="Garamond" w:hAnsi="Garamond"/>
          <w:szCs w:val="22"/>
        </w:rPr>
        <w:t xml:space="preserve">o return their calls promptly. </w:t>
      </w:r>
      <w:r w:rsidRPr="004A0C12">
        <w:rPr>
          <w:rFonts w:ascii="Garamond" w:hAnsi="Garamond"/>
          <w:szCs w:val="22"/>
        </w:rPr>
        <w:t>Sometimes the consumers need advocacy from their counselo</w:t>
      </w:r>
      <w:r w:rsidR="00530FA0" w:rsidRPr="004A0C12">
        <w:rPr>
          <w:rFonts w:ascii="Garamond" w:hAnsi="Garamond"/>
          <w:szCs w:val="22"/>
        </w:rPr>
        <w:t>r when working with providers</w:t>
      </w:r>
    </w:p>
    <w:p w14:paraId="52E3DA47" w14:textId="2068B84B" w:rsidR="00D73CEA" w:rsidRPr="004A0C12" w:rsidRDefault="007A1FDC" w:rsidP="00232F09">
      <w:pPr>
        <w:pStyle w:val="ListParagraph"/>
        <w:numPr>
          <w:ilvl w:val="0"/>
          <w:numId w:val="233"/>
        </w:numPr>
        <w:jc w:val="both"/>
        <w:rPr>
          <w:rFonts w:ascii="Garamond" w:hAnsi="Garamond"/>
          <w:szCs w:val="22"/>
        </w:rPr>
      </w:pPr>
      <w:r w:rsidRPr="004A0C12">
        <w:rPr>
          <w:rFonts w:ascii="Garamond" w:hAnsi="Garamond"/>
          <w:szCs w:val="22"/>
        </w:rPr>
        <w:t>Improve access to transportation for employment</w:t>
      </w:r>
    </w:p>
    <w:p w14:paraId="258969B4" w14:textId="343712BF" w:rsidR="007A1FDC" w:rsidRPr="004A0C12" w:rsidRDefault="00D73CEA" w:rsidP="00232F09">
      <w:pPr>
        <w:pStyle w:val="ListParagraph"/>
        <w:numPr>
          <w:ilvl w:val="0"/>
          <w:numId w:val="233"/>
        </w:numPr>
        <w:jc w:val="both"/>
        <w:rPr>
          <w:rFonts w:ascii="Garamond" w:hAnsi="Garamond"/>
          <w:szCs w:val="22"/>
        </w:rPr>
      </w:pPr>
      <w:r w:rsidRPr="004A0C12">
        <w:rPr>
          <w:rFonts w:ascii="Garamond" w:hAnsi="Garamond"/>
          <w:szCs w:val="22"/>
        </w:rPr>
        <w:t xml:space="preserve">Keep the momentum going. </w:t>
      </w:r>
      <w:r w:rsidR="007A1FDC" w:rsidRPr="004A0C12">
        <w:rPr>
          <w:rFonts w:ascii="Garamond" w:hAnsi="Garamond"/>
          <w:szCs w:val="22"/>
        </w:rPr>
        <w:t xml:space="preserve">When training is completed (or job readiness), consumers want to move quickly </w:t>
      </w:r>
      <w:r w:rsidRPr="004A0C12">
        <w:rPr>
          <w:rFonts w:ascii="Garamond" w:hAnsi="Garamond"/>
          <w:szCs w:val="22"/>
        </w:rPr>
        <w:t>into job development. They do not</w:t>
      </w:r>
      <w:r w:rsidR="007A1FDC" w:rsidRPr="004A0C12">
        <w:rPr>
          <w:rFonts w:ascii="Garamond" w:hAnsi="Garamond"/>
          <w:szCs w:val="22"/>
        </w:rPr>
        <w:t xml:space="preserve"> want one service to end and have a prolonged wait to continue services.  </w:t>
      </w:r>
    </w:p>
    <w:p w14:paraId="23F52849" w14:textId="77777777" w:rsidR="00594970" w:rsidRDefault="00594970" w:rsidP="00530FA0">
      <w:pPr>
        <w:pStyle w:val="Heading2"/>
        <w:spacing w:before="0" w:line="240" w:lineRule="auto"/>
        <w:rPr>
          <w:rFonts w:ascii="Garamond" w:hAnsi="Garamond"/>
          <w:sz w:val="24"/>
          <w:szCs w:val="24"/>
        </w:rPr>
      </w:pPr>
      <w:bookmarkStart w:id="222" w:name="_Toc447276249"/>
    </w:p>
    <w:p w14:paraId="7A4202D3" w14:textId="51734962" w:rsidR="00530FA0" w:rsidRDefault="0034126C" w:rsidP="00530FA0">
      <w:pPr>
        <w:pStyle w:val="Heading2"/>
        <w:spacing w:before="0" w:line="240" w:lineRule="auto"/>
        <w:rPr>
          <w:rFonts w:ascii="Garamond" w:hAnsi="Garamond"/>
          <w:sz w:val="24"/>
          <w:szCs w:val="24"/>
        </w:rPr>
      </w:pPr>
      <w:r w:rsidRPr="00594970">
        <w:rPr>
          <w:rFonts w:ascii="Garamond" w:hAnsi="Garamond"/>
          <w:sz w:val="24"/>
          <w:szCs w:val="24"/>
        </w:rPr>
        <w:t>Assessment of the Needs of Individuals with Disabilities for Transition Career S</w:t>
      </w:r>
      <w:r w:rsidR="007A1FDC" w:rsidRPr="00594970">
        <w:rPr>
          <w:rFonts w:ascii="Garamond" w:hAnsi="Garamond"/>
          <w:sz w:val="24"/>
          <w:szCs w:val="24"/>
        </w:rPr>
        <w:t xml:space="preserve">ervices and </w:t>
      </w:r>
      <w:r w:rsidRPr="00594970">
        <w:rPr>
          <w:rFonts w:ascii="Garamond" w:hAnsi="Garamond"/>
          <w:sz w:val="24"/>
          <w:szCs w:val="24"/>
        </w:rPr>
        <w:t>Pre-Employment Transition S</w:t>
      </w:r>
      <w:r w:rsidR="007A1FDC" w:rsidRPr="00594970">
        <w:rPr>
          <w:rFonts w:ascii="Garamond" w:hAnsi="Garamond"/>
          <w:sz w:val="24"/>
          <w:szCs w:val="24"/>
        </w:rPr>
        <w:t>ervices</w:t>
      </w:r>
      <w:bookmarkEnd w:id="222"/>
    </w:p>
    <w:p w14:paraId="0F172EB2" w14:textId="77777777" w:rsidR="00594970" w:rsidRDefault="00594970" w:rsidP="00253341">
      <w:pPr>
        <w:pStyle w:val="NormalWeb"/>
        <w:spacing w:before="0" w:beforeAutospacing="0" w:afterAutospacing="0"/>
        <w:rPr>
          <w:rFonts w:asciiTheme="minorHAnsi" w:eastAsiaTheme="minorHAnsi" w:hAnsiTheme="minorHAnsi" w:cstheme="minorBidi"/>
          <w:sz w:val="22"/>
          <w:szCs w:val="22"/>
        </w:rPr>
      </w:pPr>
    </w:p>
    <w:p w14:paraId="434C25F3" w14:textId="5B58AEE5" w:rsidR="00253341" w:rsidRPr="004A0C12" w:rsidRDefault="007A1FDC" w:rsidP="00253341">
      <w:pPr>
        <w:pStyle w:val="NormalWeb"/>
        <w:spacing w:before="0" w:beforeAutospacing="0" w:afterAutospacing="0"/>
        <w:rPr>
          <w:rFonts w:ascii="Garamond" w:hAnsi="Garamond"/>
          <w:sz w:val="22"/>
          <w:szCs w:val="22"/>
        </w:rPr>
      </w:pPr>
      <w:r w:rsidRPr="004A0C12">
        <w:rPr>
          <w:rFonts w:ascii="Garamond" w:hAnsi="Garamond"/>
          <w:sz w:val="22"/>
          <w:szCs w:val="22"/>
        </w:rPr>
        <w:t>DORS and the Maryland State Rehabilitation Council will assess the needs of individuals with disabilities for transition career services and pre-employment services through the 2016 Comprehensive Statewide Needs Assessment</w:t>
      </w:r>
      <w:r w:rsidR="00253341" w:rsidRPr="004A0C12">
        <w:rPr>
          <w:rFonts w:ascii="Garamond" w:hAnsi="Garamond"/>
          <w:sz w:val="22"/>
          <w:szCs w:val="22"/>
        </w:rPr>
        <w:t xml:space="preserve"> </w:t>
      </w:r>
      <w:r w:rsidR="00253341" w:rsidRPr="004A0C12">
        <w:rPr>
          <w:rFonts w:ascii="Garamond" w:hAnsi="Garamond"/>
          <w:color w:val="000000"/>
          <w:sz w:val="22"/>
          <w:szCs w:val="22"/>
        </w:rPr>
        <w:t xml:space="preserve">that is currently in process. </w:t>
      </w:r>
      <w:r w:rsidR="00253341" w:rsidRPr="004A0C12">
        <w:rPr>
          <w:rFonts w:ascii="Garamond" w:hAnsi="Garamond"/>
          <w:color w:val="000000"/>
          <w:sz w:val="22"/>
          <w:szCs w:val="22"/>
        </w:rPr>
        <w:lastRenderedPageBreak/>
        <w:t>DORS pre-employment transition services, as required through WIOA, will be provided in coordination with school-based transition services as required through IDEA and will be used to enhance rather that supplant such services. An Intra-Agency Cooperative Agreement will be developed to assist with identifying roles and responsibilities as well as promoting the coordination of timely and appropriate services to students with disabilities.</w:t>
      </w:r>
    </w:p>
    <w:p w14:paraId="4ED305E6" w14:textId="4887C762" w:rsidR="00530FA0" w:rsidRPr="00BF652B" w:rsidRDefault="00BF652B" w:rsidP="00530FA0">
      <w:pPr>
        <w:spacing w:after="0" w:line="240" w:lineRule="auto"/>
        <w:jc w:val="both"/>
        <w:rPr>
          <w:rFonts w:ascii="Garamond" w:hAnsi="Garamond"/>
        </w:rPr>
      </w:pPr>
      <w:r>
        <w:rPr>
          <w:rFonts w:ascii="Garamond" w:hAnsi="Garamond"/>
        </w:rPr>
        <w:t xml:space="preserve"> </w:t>
      </w:r>
    </w:p>
    <w:p w14:paraId="666D7BBA" w14:textId="4F820044" w:rsidR="007A1FDC" w:rsidRPr="00594970" w:rsidRDefault="007A1FDC" w:rsidP="00530FA0">
      <w:pPr>
        <w:pStyle w:val="Heading3"/>
        <w:spacing w:before="0" w:line="240" w:lineRule="auto"/>
        <w:rPr>
          <w:rFonts w:ascii="Garamond" w:hAnsi="Garamond"/>
          <w:sz w:val="24"/>
          <w:szCs w:val="24"/>
        </w:rPr>
      </w:pPr>
      <w:bookmarkStart w:id="223" w:name="_Toc447276250"/>
      <w:r w:rsidRPr="00594970">
        <w:rPr>
          <w:rFonts w:ascii="Garamond" w:hAnsi="Garamond"/>
          <w:sz w:val="24"/>
          <w:szCs w:val="24"/>
        </w:rPr>
        <w:t xml:space="preserve">Overall </w:t>
      </w:r>
      <w:r w:rsidR="00BB4611" w:rsidRPr="00594970">
        <w:rPr>
          <w:rFonts w:ascii="Garamond" w:hAnsi="Garamond"/>
          <w:sz w:val="24"/>
          <w:szCs w:val="24"/>
        </w:rPr>
        <w:t xml:space="preserve">2013 </w:t>
      </w:r>
      <w:r w:rsidRPr="00594970">
        <w:rPr>
          <w:rFonts w:ascii="Garamond" w:hAnsi="Garamond"/>
          <w:sz w:val="24"/>
          <w:szCs w:val="24"/>
        </w:rPr>
        <w:t>Needs Assessment Recommendations</w:t>
      </w:r>
      <w:bookmarkEnd w:id="223"/>
    </w:p>
    <w:p w14:paraId="11307081" w14:textId="581C8470" w:rsidR="007A1FDC" w:rsidRPr="004A0C12" w:rsidRDefault="007A1FDC" w:rsidP="007A1FDC">
      <w:pPr>
        <w:spacing w:after="0" w:line="240" w:lineRule="auto"/>
        <w:jc w:val="both"/>
        <w:rPr>
          <w:rFonts w:ascii="Garamond" w:hAnsi="Garamond"/>
        </w:rPr>
      </w:pPr>
      <w:r w:rsidRPr="004A0C12">
        <w:rPr>
          <w:rFonts w:ascii="Garamond" w:hAnsi="Garamond"/>
        </w:rPr>
        <w:t>Recommendation related to Federal funding and staff capacity: The overriding vocational rehabilitation services need of individuals with disabilities residing in Maryland is equitable distribution of federal VR funds, and timely filling of counselor positions. Whil</w:t>
      </w:r>
      <w:r w:rsidR="0034126C" w:rsidRPr="004A0C12">
        <w:rPr>
          <w:rFonts w:ascii="Garamond" w:hAnsi="Garamond"/>
        </w:rPr>
        <w:t xml:space="preserve">e other recommendations </w:t>
      </w:r>
      <w:r w:rsidRPr="004A0C12">
        <w:rPr>
          <w:rFonts w:ascii="Garamond" w:hAnsi="Garamond"/>
        </w:rPr>
        <w:t>address ways to incrementally improve VR services to individuals with disabilities, continuation of historical underfun</w:t>
      </w:r>
      <w:r w:rsidR="0034126C" w:rsidRPr="004A0C12">
        <w:rPr>
          <w:rFonts w:ascii="Garamond" w:hAnsi="Garamond"/>
        </w:rPr>
        <w:t>ding of Maryland VR in relation</w:t>
      </w:r>
      <w:r w:rsidRPr="004A0C12">
        <w:rPr>
          <w:rFonts w:ascii="Garamond" w:hAnsi="Garamond"/>
        </w:rPr>
        <w:t xml:space="preserve"> to other states</w:t>
      </w:r>
      <w:r w:rsidR="0034126C" w:rsidRPr="004A0C12">
        <w:rPr>
          <w:rFonts w:ascii="Garamond" w:hAnsi="Garamond"/>
        </w:rPr>
        <w:t>,</w:t>
      </w:r>
      <w:r w:rsidRPr="004A0C12">
        <w:rPr>
          <w:rFonts w:ascii="Garamond" w:hAnsi="Garamond"/>
        </w:rPr>
        <w:t xml:space="preserve"> and continuation of extended periods of vacancy for front line staff</w:t>
      </w:r>
      <w:r w:rsidR="0034126C" w:rsidRPr="004A0C12">
        <w:rPr>
          <w:rFonts w:ascii="Garamond" w:hAnsi="Garamond"/>
        </w:rPr>
        <w:t>,</w:t>
      </w:r>
      <w:r w:rsidRPr="004A0C12">
        <w:rPr>
          <w:rFonts w:ascii="Garamond" w:hAnsi="Garamond"/>
        </w:rPr>
        <w:t xml:space="preserve"> will make it very difficult to implement changes that could result in many more individuals with disabilities achieving employment. </w:t>
      </w:r>
      <w:r w:rsidRPr="004A0C12">
        <w:rPr>
          <w:rFonts w:ascii="Garamond" w:hAnsi="Garamond"/>
        </w:rPr>
        <w:cr/>
      </w:r>
    </w:p>
    <w:p w14:paraId="5ADC1D1C" w14:textId="77777777" w:rsidR="00F60766" w:rsidRPr="004A0C12" w:rsidRDefault="007A1FDC" w:rsidP="00F60766">
      <w:pPr>
        <w:spacing w:after="0" w:line="240" w:lineRule="auto"/>
        <w:jc w:val="both"/>
        <w:rPr>
          <w:rFonts w:ascii="Garamond" w:hAnsi="Garamond"/>
        </w:rPr>
      </w:pPr>
      <w:r w:rsidRPr="004A0C12">
        <w:rPr>
          <w:rFonts w:ascii="Garamond" w:hAnsi="Garamond"/>
        </w:rPr>
        <w:t>Recommendations from the focus areas of the Needs Assessment addressing the re</w:t>
      </w:r>
      <w:r w:rsidR="00F60766" w:rsidRPr="004A0C12">
        <w:rPr>
          <w:rFonts w:ascii="Garamond" w:hAnsi="Garamond"/>
        </w:rPr>
        <w:t>quired elements are as follows:</w:t>
      </w:r>
    </w:p>
    <w:p w14:paraId="565D370C" w14:textId="77777777" w:rsidR="00F60766" w:rsidRPr="004A0C12" w:rsidRDefault="00F60766" w:rsidP="00F60766">
      <w:pPr>
        <w:spacing w:after="0" w:line="240" w:lineRule="auto"/>
        <w:jc w:val="both"/>
        <w:rPr>
          <w:rFonts w:ascii="Garamond" w:hAnsi="Garamond"/>
        </w:rPr>
      </w:pPr>
    </w:p>
    <w:p w14:paraId="47DD63BE" w14:textId="0F79A23D" w:rsidR="00F60766" w:rsidRPr="004A0C12" w:rsidRDefault="007A1FDC" w:rsidP="00232F09">
      <w:pPr>
        <w:pStyle w:val="ListParagraph"/>
        <w:numPr>
          <w:ilvl w:val="0"/>
          <w:numId w:val="234"/>
        </w:numPr>
        <w:jc w:val="both"/>
        <w:rPr>
          <w:rFonts w:ascii="Garamond" w:hAnsi="Garamond"/>
          <w:szCs w:val="22"/>
        </w:rPr>
      </w:pPr>
      <w:r w:rsidRPr="004A0C12">
        <w:rPr>
          <w:rFonts w:ascii="Garamond" w:hAnsi="Garamond"/>
          <w:szCs w:val="22"/>
        </w:rPr>
        <w:t>Promote and facilitate staf</w:t>
      </w:r>
      <w:r w:rsidR="00F60766" w:rsidRPr="004A0C12">
        <w:rPr>
          <w:rFonts w:ascii="Garamond" w:hAnsi="Garamond"/>
          <w:szCs w:val="22"/>
        </w:rPr>
        <w:t>f development for DORS staff, WIOA Partner staff, and</w:t>
      </w:r>
      <w:r w:rsidRPr="004A0C12">
        <w:rPr>
          <w:rFonts w:ascii="Garamond" w:hAnsi="Garamond"/>
          <w:szCs w:val="22"/>
        </w:rPr>
        <w:t xml:space="preserve"> community partners</w:t>
      </w:r>
      <w:r w:rsidR="00F60766" w:rsidRPr="004A0C12">
        <w:rPr>
          <w:rFonts w:ascii="Garamond" w:hAnsi="Garamond"/>
          <w:szCs w:val="22"/>
        </w:rPr>
        <w:t xml:space="preserve"> through:</w:t>
      </w:r>
    </w:p>
    <w:p w14:paraId="469B8035" w14:textId="456EA85B" w:rsidR="00F60766" w:rsidRPr="004A0C12" w:rsidRDefault="007A1FDC" w:rsidP="00232F09">
      <w:pPr>
        <w:pStyle w:val="ListParagraph"/>
        <w:numPr>
          <w:ilvl w:val="1"/>
          <w:numId w:val="234"/>
        </w:numPr>
        <w:jc w:val="both"/>
        <w:rPr>
          <w:rFonts w:ascii="Garamond" w:hAnsi="Garamond"/>
          <w:szCs w:val="22"/>
        </w:rPr>
      </w:pPr>
      <w:r w:rsidRPr="004A0C12">
        <w:rPr>
          <w:rFonts w:ascii="Garamond" w:hAnsi="Garamond"/>
          <w:szCs w:val="22"/>
        </w:rPr>
        <w:t>Employment services</w:t>
      </w:r>
      <w:r w:rsidR="00F60766" w:rsidRPr="004A0C12">
        <w:rPr>
          <w:rFonts w:ascii="Garamond" w:hAnsi="Garamond"/>
          <w:szCs w:val="22"/>
        </w:rPr>
        <w:t>;</w:t>
      </w:r>
    </w:p>
    <w:p w14:paraId="6BDEA1E9" w14:textId="77777777" w:rsidR="00F60766" w:rsidRPr="004A0C12" w:rsidRDefault="007A1FDC" w:rsidP="00232F09">
      <w:pPr>
        <w:pStyle w:val="ListParagraph"/>
        <w:numPr>
          <w:ilvl w:val="1"/>
          <w:numId w:val="234"/>
        </w:numPr>
        <w:jc w:val="both"/>
        <w:rPr>
          <w:rFonts w:ascii="Garamond" w:hAnsi="Garamond"/>
          <w:szCs w:val="22"/>
        </w:rPr>
      </w:pPr>
      <w:r w:rsidRPr="004A0C12">
        <w:rPr>
          <w:rFonts w:ascii="Garamond" w:hAnsi="Garamond"/>
          <w:szCs w:val="22"/>
        </w:rPr>
        <w:t>Needs of and resources for special populations</w:t>
      </w:r>
      <w:r w:rsidR="00F60766" w:rsidRPr="004A0C12">
        <w:rPr>
          <w:rFonts w:ascii="Garamond" w:hAnsi="Garamond"/>
          <w:szCs w:val="22"/>
        </w:rPr>
        <w:t>;</w:t>
      </w:r>
    </w:p>
    <w:p w14:paraId="7F5BF41B" w14:textId="43E6F96E" w:rsidR="007A1FDC" w:rsidRPr="004A0C12" w:rsidRDefault="007A1FDC" w:rsidP="00232F09">
      <w:pPr>
        <w:pStyle w:val="ListParagraph"/>
        <w:numPr>
          <w:ilvl w:val="1"/>
          <w:numId w:val="234"/>
        </w:numPr>
        <w:jc w:val="both"/>
        <w:rPr>
          <w:rFonts w:ascii="Garamond" w:hAnsi="Garamond"/>
          <w:szCs w:val="22"/>
        </w:rPr>
      </w:pPr>
      <w:r w:rsidRPr="004A0C12">
        <w:rPr>
          <w:rFonts w:ascii="Garamond" w:hAnsi="Garamond"/>
          <w:szCs w:val="22"/>
        </w:rPr>
        <w:t>Career counseling/counselor role</w:t>
      </w:r>
      <w:r w:rsidR="00F60766" w:rsidRPr="004A0C12">
        <w:rPr>
          <w:rFonts w:ascii="Garamond" w:hAnsi="Garamond"/>
          <w:szCs w:val="22"/>
        </w:rPr>
        <w:t>:</w:t>
      </w:r>
    </w:p>
    <w:p w14:paraId="05B09B2F" w14:textId="77777777" w:rsidR="007A1FDC" w:rsidRPr="004A0C12" w:rsidRDefault="007A1FDC" w:rsidP="00232F09">
      <w:pPr>
        <w:numPr>
          <w:ilvl w:val="2"/>
          <w:numId w:val="158"/>
        </w:numPr>
        <w:tabs>
          <w:tab w:val="clear" w:pos="360"/>
          <w:tab w:val="num" w:pos="2160"/>
        </w:tabs>
        <w:spacing w:after="0" w:line="240" w:lineRule="auto"/>
        <w:ind w:left="2160" w:hanging="360"/>
        <w:jc w:val="both"/>
        <w:rPr>
          <w:rFonts w:ascii="Garamond" w:hAnsi="Garamond"/>
        </w:rPr>
      </w:pPr>
      <w:r w:rsidRPr="004A0C12">
        <w:rPr>
          <w:rFonts w:ascii="Garamond" w:hAnsi="Garamond"/>
        </w:rPr>
        <w:t>Focus on consumer capabilities and interests</w:t>
      </w:r>
    </w:p>
    <w:p w14:paraId="633E18CA" w14:textId="77777777" w:rsidR="007A1FDC" w:rsidRPr="004A0C12" w:rsidRDefault="007A1FDC" w:rsidP="00232F09">
      <w:pPr>
        <w:numPr>
          <w:ilvl w:val="2"/>
          <w:numId w:val="158"/>
        </w:numPr>
        <w:tabs>
          <w:tab w:val="clear" w:pos="360"/>
          <w:tab w:val="num" w:pos="2160"/>
        </w:tabs>
        <w:spacing w:after="0" w:line="240" w:lineRule="auto"/>
        <w:ind w:left="2160" w:hanging="360"/>
        <w:jc w:val="both"/>
        <w:rPr>
          <w:rFonts w:ascii="Garamond" w:hAnsi="Garamond"/>
        </w:rPr>
      </w:pPr>
      <w:r w:rsidRPr="004A0C12">
        <w:rPr>
          <w:rFonts w:ascii="Garamond" w:hAnsi="Garamond"/>
        </w:rPr>
        <w:t>Address adjustment to disability issues</w:t>
      </w:r>
    </w:p>
    <w:p w14:paraId="6049D87E" w14:textId="77777777" w:rsidR="007A1FDC" w:rsidRPr="004A0C12" w:rsidRDefault="007A1FDC" w:rsidP="00232F09">
      <w:pPr>
        <w:numPr>
          <w:ilvl w:val="2"/>
          <w:numId w:val="158"/>
        </w:numPr>
        <w:tabs>
          <w:tab w:val="clear" w:pos="360"/>
          <w:tab w:val="num" w:pos="2160"/>
        </w:tabs>
        <w:spacing w:after="0" w:line="240" w:lineRule="auto"/>
        <w:ind w:left="2160" w:hanging="360"/>
        <w:jc w:val="both"/>
        <w:rPr>
          <w:rFonts w:ascii="Garamond" w:hAnsi="Garamond"/>
        </w:rPr>
      </w:pPr>
      <w:r w:rsidRPr="004A0C12">
        <w:rPr>
          <w:rFonts w:ascii="Garamond" w:hAnsi="Garamond"/>
        </w:rPr>
        <w:t>Take into account learning styles</w:t>
      </w:r>
    </w:p>
    <w:p w14:paraId="0C03552F" w14:textId="77777777" w:rsidR="007A1FDC" w:rsidRPr="004A0C12" w:rsidRDefault="007A1FDC" w:rsidP="00232F09">
      <w:pPr>
        <w:numPr>
          <w:ilvl w:val="2"/>
          <w:numId w:val="158"/>
        </w:numPr>
        <w:tabs>
          <w:tab w:val="clear" w:pos="360"/>
          <w:tab w:val="num" w:pos="2160"/>
        </w:tabs>
        <w:spacing w:after="0" w:line="240" w:lineRule="auto"/>
        <w:ind w:left="2160" w:hanging="360"/>
        <w:jc w:val="both"/>
        <w:rPr>
          <w:rFonts w:ascii="Garamond" w:hAnsi="Garamond"/>
        </w:rPr>
      </w:pPr>
      <w:r w:rsidRPr="004A0C12">
        <w:rPr>
          <w:rFonts w:ascii="Garamond" w:hAnsi="Garamond"/>
        </w:rPr>
        <w:t>Minimize gaps in the rehabilitation process; maintain momentum</w:t>
      </w:r>
    </w:p>
    <w:p w14:paraId="76E7A5C4" w14:textId="77777777" w:rsidR="007A1FDC" w:rsidRPr="004A0C12" w:rsidRDefault="007A1FDC" w:rsidP="00232F09">
      <w:pPr>
        <w:numPr>
          <w:ilvl w:val="2"/>
          <w:numId w:val="158"/>
        </w:numPr>
        <w:tabs>
          <w:tab w:val="clear" w:pos="360"/>
          <w:tab w:val="num" w:pos="2160"/>
        </w:tabs>
        <w:spacing w:after="0" w:line="240" w:lineRule="auto"/>
        <w:ind w:left="2160" w:hanging="360"/>
        <w:jc w:val="both"/>
        <w:rPr>
          <w:rFonts w:ascii="Garamond" w:hAnsi="Garamond"/>
        </w:rPr>
      </w:pPr>
      <w:r w:rsidRPr="004A0C12">
        <w:rPr>
          <w:rFonts w:ascii="Garamond" w:hAnsi="Garamond"/>
        </w:rPr>
        <w:t xml:space="preserve">Provision of appropriate support services </w:t>
      </w:r>
    </w:p>
    <w:p w14:paraId="4CF01B4C" w14:textId="77777777" w:rsidR="00F60766" w:rsidRPr="004A0C12" w:rsidRDefault="007A1FDC" w:rsidP="00232F09">
      <w:pPr>
        <w:numPr>
          <w:ilvl w:val="2"/>
          <w:numId w:val="158"/>
        </w:numPr>
        <w:tabs>
          <w:tab w:val="clear" w:pos="360"/>
          <w:tab w:val="num" w:pos="2160"/>
        </w:tabs>
        <w:spacing w:after="0" w:line="240" w:lineRule="auto"/>
        <w:ind w:left="2160" w:hanging="360"/>
        <w:jc w:val="both"/>
        <w:rPr>
          <w:rFonts w:ascii="Garamond" w:hAnsi="Garamond"/>
        </w:rPr>
      </w:pPr>
      <w:r w:rsidRPr="004A0C12">
        <w:rPr>
          <w:rFonts w:ascii="Garamond" w:hAnsi="Garamond"/>
        </w:rPr>
        <w:t>Supporting consumers with employment goals beyond entry level</w:t>
      </w:r>
      <w:r w:rsidRPr="004A0C12">
        <w:rPr>
          <w:rFonts w:ascii="Garamond" w:hAnsi="Garamond"/>
        </w:rPr>
        <w:cr/>
      </w:r>
    </w:p>
    <w:p w14:paraId="3E834095" w14:textId="796B77EE" w:rsidR="007A1FDC" w:rsidRPr="004A0C12" w:rsidRDefault="007A1FDC" w:rsidP="00232F09">
      <w:pPr>
        <w:pStyle w:val="ListParagraph"/>
        <w:numPr>
          <w:ilvl w:val="0"/>
          <w:numId w:val="234"/>
        </w:numPr>
        <w:jc w:val="both"/>
        <w:rPr>
          <w:rFonts w:ascii="Garamond" w:hAnsi="Garamond"/>
          <w:szCs w:val="22"/>
        </w:rPr>
      </w:pPr>
      <w:r w:rsidRPr="004A0C12">
        <w:rPr>
          <w:rFonts w:ascii="Garamond" w:hAnsi="Garamond"/>
          <w:szCs w:val="22"/>
        </w:rPr>
        <w:t>Enhance relationships with community partners</w:t>
      </w:r>
      <w:r w:rsidR="00F60766" w:rsidRPr="004A0C12">
        <w:rPr>
          <w:rFonts w:ascii="Garamond" w:hAnsi="Garamond"/>
          <w:szCs w:val="22"/>
        </w:rPr>
        <w:t xml:space="preserve">, including WIOA Partners – </w:t>
      </w:r>
      <w:r w:rsidR="00756920" w:rsidRPr="004A0C12">
        <w:rPr>
          <w:rFonts w:ascii="Garamond" w:hAnsi="Garamond"/>
          <w:szCs w:val="22"/>
        </w:rPr>
        <w:t>Bolster relationships with Community Rehabilitation Programs, AJCs, community college Disability Support Services staff, and local education agencies to effectively</w:t>
      </w:r>
      <w:r w:rsidR="00F60766" w:rsidRPr="004A0C12">
        <w:rPr>
          <w:rFonts w:ascii="Garamond" w:hAnsi="Garamond"/>
          <w:szCs w:val="22"/>
        </w:rPr>
        <w:t xml:space="preserve"> </w:t>
      </w:r>
      <w:r w:rsidR="00756920" w:rsidRPr="004A0C12">
        <w:rPr>
          <w:rFonts w:ascii="Garamond" w:hAnsi="Garamond"/>
          <w:szCs w:val="22"/>
        </w:rPr>
        <w:t>provide</w:t>
      </w:r>
      <w:r w:rsidR="00F60766" w:rsidRPr="004A0C12">
        <w:rPr>
          <w:rFonts w:ascii="Garamond" w:hAnsi="Garamond"/>
          <w:szCs w:val="22"/>
        </w:rPr>
        <w:t xml:space="preserve"> targeted employment services and addressing transportation needs of individuals with disabili</w:t>
      </w:r>
      <w:r w:rsidR="00756920" w:rsidRPr="004A0C12">
        <w:rPr>
          <w:rFonts w:ascii="Garamond" w:hAnsi="Garamond"/>
          <w:szCs w:val="22"/>
        </w:rPr>
        <w:t>ties.</w:t>
      </w:r>
    </w:p>
    <w:p w14:paraId="32F41CF1" w14:textId="77777777" w:rsidR="00756920" w:rsidRPr="004A0C12" w:rsidRDefault="00756920" w:rsidP="00756920">
      <w:pPr>
        <w:pStyle w:val="ListParagraph"/>
        <w:jc w:val="both"/>
        <w:rPr>
          <w:rFonts w:ascii="Garamond" w:hAnsi="Garamond"/>
          <w:szCs w:val="22"/>
        </w:rPr>
      </w:pPr>
    </w:p>
    <w:p w14:paraId="4C51620E" w14:textId="55E38EEF" w:rsidR="007A1FDC" w:rsidRPr="004A0C12" w:rsidRDefault="00F60766" w:rsidP="0031549E">
      <w:pPr>
        <w:numPr>
          <w:ilvl w:val="0"/>
          <w:numId w:val="314"/>
        </w:numPr>
        <w:spacing w:after="0" w:line="240" w:lineRule="auto"/>
        <w:jc w:val="both"/>
        <w:rPr>
          <w:rFonts w:ascii="Garamond" w:hAnsi="Garamond"/>
        </w:rPr>
      </w:pPr>
      <w:r w:rsidRPr="004A0C12">
        <w:rPr>
          <w:rFonts w:ascii="Garamond" w:hAnsi="Garamond"/>
        </w:rPr>
        <w:t>Finalize the DORS-Developmental Disabilities Administration</w:t>
      </w:r>
      <w:r w:rsidR="007A1FDC" w:rsidRPr="004A0C12">
        <w:rPr>
          <w:rFonts w:ascii="Garamond" w:hAnsi="Garamond"/>
        </w:rPr>
        <w:t xml:space="preserve"> Cooperative Agreement in keeping with </w:t>
      </w:r>
      <w:r w:rsidR="007A1FDC" w:rsidRPr="004A0C12">
        <w:rPr>
          <w:rFonts w:ascii="Garamond" w:hAnsi="Garamond"/>
          <w:i/>
        </w:rPr>
        <w:t>Employment First</w:t>
      </w:r>
      <w:r w:rsidR="007A1FDC" w:rsidRPr="004A0C12">
        <w:rPr>
          <w:rFonts w:ascii="Garamond" w:hAnsi="Garamond"/>
        </w:rPr>
        <w:t xml:space="preserve">; </w:t>
      </w:r>
      <w:r w:rsidR="0031549E">
        <w:rPr>
          <w:rFonts w:ascii="Garamond" w:hAnsi="Garamond"/>
        </w:rPr>
        <w:tab/>
      </w:r>
      <w:r w:rsidRPr="004A0C12">
        <w:rPr>
          <w:rFonts w:ascii="Garamond" w:hAnsi="Garamond"/>
        </w:rPr>
        <w:t>provide training to both agencies’</w:t>
      </w:r>
      <w:r w:rsidR="007A1FDC" w:rsidRPr="004A0C12">
        <w:rPr>
          <w:rFonts w:ascii="Garamond" w:hAnsi="Garamond"/>
        </w:rPr>
        <w:t xml:space="preserve"> staff.</w:t>
      </w:r>
    </w:p>
    <w:p w14:paraId="692B8954" w14:textId="77777777" w:rsidR="007A1FDC" w:rsidRPr="004A0C12" w:rsidRDefault="007A1FDC" w:rsidP="007A1FDC">
      <w:pPr>
        <w:spacing w:after="0" w:line="240" w:lineRule="auto"/>
        <w:ind w:left="720"/>
        <w:jc w:val="both"/>
        <w:rPr>
          <w:rFonts w:ascii="Garamond" w:hAnsi="Garamond"/>
        </w:rPr>
      </w:pPr>
    </w:p>
    <w:p w14:paraId="28B05135" w14:textId="6EFA31AA" w:rsidR="007A1FDC" w:rsidRPr="004A0C12" w:rsidRDefault="007A1FDC" w:rsidP="0031549E">
      <w:pPr>
        <w:numPr>
          <w:ilvl w:val="0"/>
          <w:numId w:val="314"/>
        </w:numPr>
        <w:spacing w:after="0" w:line="240" w:lineRule="auto"/>
        <w:ind w:left="720" w:hanging="360"/>
        <w:jc w:val="both"/>
        <w:rPr>
          <w:rFonts w:ascii="Garamond" w:hAnsi="Garamond"/>
        </w:rPr>
      </w:pPr>
      <w:r w:rsidRPr="004A0C12">
        <w:rPr>
          <w:rFonts w:ascii="Garamond" w:hAnsi="Garamond"/>
        </w:rPr>
        <w:t xml:space="preserve">Promote expansion of quality services for individuals with Autism </w:t>
      </w:r>
      <w:r w:rsidR="00F60766" w:rsidRPr="004A0C12">
        <w:rPr>
          <w:rFonts w:ascii="Garamond" w:hAnsi="Garamond"/>
          <w:b/>
        </w:rPr>
        <w:t>Spectrum Disorders</w:t>
      </w:r>
      <w:r w:rsidR="00F60766" w:rsidRPr="004A0C12">
        <w:rPr>
          <w:rFonts w:ascii="Garamond" w:hAnsi="Garamond"/>
        </w:rPr>
        <w:t xml:space="preserve"> through Community Rehabilitation Programs and the Workforce &amp; Technology Center’s</w:t>
      </w:r>
      <w:r w:rsidRPr="004A0C12">
        <w:rPr>
          <w:rFonts w:ascii="Garamond" w:hAnsi="Garamond"/>
        </w:rPr>
        <w:t xml:space="preserve"> Pathways Program</w:t>
      </w:r>
      <w:r w:rsidR="00F60766" w:rsidRPr="004A0C12">
        <w:rPr>
          <w:rFonts w:ascii="Garamond" w:hAnsi="Garamond"/>
        </w:rPr>
        <w:t>.</w:t>
      </w:r>
    </w:p>
    <w:p w14:paraId="0F281A80" w14:textId="77777777" w:rsidR="007A1FDC" w:rsidRPr="004A0C12" w:rsidRDefault="007A1FDC" w:rsidP="0031549E">
      <w:pPr>
        <w:numPr>
          <w:ilvl w:val="0"/>
          <w:numId w:val="314"/>
        </w:numPr>
        <w:spacing w:after="0" w:line="240" w:lineRule="auto"/>
        <w:ind w:left="720" w:hanging="360"/>
        <w:jc w:val="both"/>
        <w:rPr>
          <w:rFonts w:ascii="Garamond" w:hAnsi="Garamond"/>
        </w:rPr>
      </w:pPr>
      <w:r w:rsidRPr="004A0C12">
        <w:rPr>
          <w:rFonts w:ascii="Garamond" w:hAnsi="Garamond"/>
        </w:rPr>
        <w:t>Continue outreach to minorities, especially those of Hispanic and Asian background.</w:t>
      </w:r>
    </w:p>
    <w:p w14:paraId="108D557A" w14:textId="77777777" w:rsidR="007A1FDC" w:rsidRPr="004A0C12" w:rsidRDefault="007A1FDC" w:rsidP="007A1FDC">
      <w:pPr>
        <w:spacing w:after="0" w:line="240" w:lineRule="auto"/>
        <w:ind w:left="720"/>
        <w:jc w:val="both"/>
        <w:rPr>
          <w:rFonts w:ascii="Garamond" w:hAnsi="Garamond"/>
        </w:rPr>
      </w:pPr>
    </w:p>
    <w:p w14:paraId="1914ECE9" w14:textId="6FC49192" w:rsidR="007A1FDC" w:rsidRPr="004A0C12" w:rsidRDefault="007A1FDC" w:rsidP="0031549E">
      <w:pPr>
        <w:numPr>
          <w:ilvl w:val="0"/>
          <w:numId w:val="314"/>
        </w:numPr>
        <w:spacing w:after="0" w:line="240" w:lineRule="auto"/>
        <w:ind w:left="720" w:hanging="360"/>
        <w:jc w:val="both"/>
        <w:rPr>
          <w:rFonts w:ascii="Garamond" w:hAnsi="Garamond"/>
        </w:rPr>
      </w:pPr>
      <w:r w:rsidRPr="004A0C12">
        <w:rPr>
          <w:rFonts w:ascii="Garamond" w:hAnsi="Garamond"/>
        </w:rPr>
        <w:t>Enhance resources for deaf/hard of hearing consumers –consider (1) development of training programs for deaf/har</w:t>
      </w:r>
      <w:r w:rsidR="00FF755D" w:rsidRPr="004A0C12">
        <w:rPr>
          <w:rFonts w:ascii="Garamond" w:hAnsi="Garamond"/>
        </w:rPr>
        <w:t>d of hearing, (2) promotion of Community R</w:t>
      </w:r>
      <w:r w:rsidRPr="004A0C12">
        <w:rPr>
          <w:rFonts w:ascii="Garamond" w:hAnsi="Garamond"/>
        </w:rPr>
        <w:t>ehabilitati</w:t>
      </w:r>
      <w:r w:rsidR="00FF755D" w:rsidRPr="004A0C12">
        <w:rPr>
          <w:rFonts w:ascii="Garamond" w:hAnsi="Garamond"/>
        </w:rPr>
        <w:t>on P</w:t>
      </w:r>
      <w:r w:rsidRPr="004A0C12">
        <w:rPr>
          <w:rFonts w:ascii="Garamond" w:hAnsi="Garamond"/>
        </w:rPr>
        <w:t>rograms working with deaf/hard of hearing, and (3) exploration of Rehabilitation Communication Specialist service model.</w:t>
      </w:r>
    </w:p>
    <w:p w14:paraId="52D153FA" w14:textId="77777777" w:rsidR="007A1FDC" w:rsidRPr="004A0C12" w:rsidRDefault="007A1FDC" w:rsidP="007A1FDC">
      <w:pPr>
        <w:spacing w:after="0" w:line="240" w:lineRule="auto"/>
        <w:ind w:left="720"/>
        <w:jc w:val="both"/>
        <w:rPr>
          <w:rFonts w:ascii="Garamond" w:hAnsi="Garamond"/>
        </w:rPr>
      </w:pPr>
    </w:p>
    <w:p w14:paraId="438F738A" w14:textId="77777777" w:rsidR="007A1FDC" w:rsidRPr="004A0C12" w:rsidRDefault="007A1FDC" w:rsidP="0031549E">
      <w:pPr>
        <w:numPr>
          <w:ilvl w:val="0"/>
          <w:numId w:val="314"/>
        </w:numPr>
        <w:spacing w:after="0" w:line="240" w:lineRule="auto"/>
        <w:ind w:left="720" w:hanging="360"/>
        <w:jc w:val="both"/>
        <w:rPr>
          <w:rFonts w:ascii="Garamond" w:hAnsi="Garamond"/>
        </w:rPr>
      </w:pPr>
      <w:r w:rsidRPr="004A0C12">
        <w:rPr>
          <w:rFonts w:ascii="Garamond" w:hAnsi="Garamond"/>
        </w:rPr>
        <w:t>Provide targeted outreach to individuals with blindness/vision impairments and deaf/blindness.</w:t>
      </w:r>
    </w:p>
    <w:p w14:paraId="7150472D" w14:textId="77777777" w:rsidR="007A1FDC" w:rsidRPr="004A0C12" w:rsidRDefault="007A1FDC" w:rsidP="007A1FDC">
      <w:pPr>
        <w:spacing w:after="0" w:line="240" w:lineRule="auto"/>
        <w:ind w:left="720"/>
        <w:jc w:val="both"/>
        <w:rPr>
          <w:rFonts w:ascii="Garamond" w:hAnsi="Garamond"/>
        </w:rPr>
      </w:pPr>
    </w:p>
    <w:p w14:paraId="2FC78595" w14:textId="0F504371" w:rsidR="007A1FDC" w:rsidRPr="004A0C12" w:rsidRDefault="007A1FDC" w:rsidP="0031549E">
      <w:pPr>
        <w:numPr>
          <w:ilvl w:val="0"/>
          <w:numId w:val="314"/>
        </w:numPr>
        <w:spacing w:after="0" w:line="240" w:lineRule="auto"/>
        <w:ind w:left="720" w:hanging="360"/>
        <w:jc w:val="both"/>
        <w:rPr>
          <w:rFonts w:ascii="Garamond" w:hAnsi="Garamond"/>
        </w:rPr>
      </w:pPr>
      <w:r w:rsidRPr="004A0C12">
        <w:rPr>
          <w:rFonts w:ascii="Garamond" w:hAnsi="Garamond"/>
        </w:rPr>
        <w:t>At least annually, review distribution of DORS staff assigned statewide, compared to the numbers of individuals with disabilities, the number of SSI/</w:t>
      </w:r>
      <w:r w:rsidR="00756920" w:rsidRPr="004A0C12">
        <w:rPr>
          <w:rFonts w:ascii="Garamond" w:hAnsi="Garamond"/>
        </w:rPr>
        <w:t>SS</w:t>
      </w:r>
      <w:r w:rsidRPr="004A0C12">
        <w:rPr>
          <w:rFonts w:ascii="Garamond" w:hAnsi="Garamond"/>
        </w:rPr>
        <w:t xml:space="preserve">DI beneficiaries, the number of students in Special Education, and other relevant factors, to include distribution of disability groups. Adjust deployment of staff and programming consistent with findings. </w:t>
      </w:r>
    </w:p>
    <w:p w14:paraId="145C5EE7" w14:textId="77777777" w:rsidR="007A1FDC" w:rsidRPr="004A0C12" w:rsidRDefault="007A1FDC" w:rsidP="007A1FDC">
      <w:pPr>
        <w:spacing w:after="0" w:line="240" w:lineRule="auto"/>
        <w:ind w:left="720"/>
        <w:jc w:val="both"/>
        <w:rPr>
          <w:rFonts w:ascii="Garamond" w:hAnsi="Garamond"/>
        </w:rPr>
      </w:pPr>
    </w:p>
    <w:p w14:paraId="36B1791E" w14:textId="77777777" w:rsidR="007A1FDC" w:rsidRPr="004A0C12" w:rsidRDefault="007A1FDC" w:rsidP="0031549E">
      <w:pPr>
        <w:numPr>
          <w:ilvl w:val="0"/>
          <w:numId w:val="314"/>
        </w:numPr>
        <w:spacing w:after="0" w:line="240" w:lineRule="auto"/>
        <w:ind w:left="720" w:hanging="360"/>
        <w:jc w:val="both"/>
        <w:rPr>
          <w:rFonts w:ascii="Garamond" w:hAnsi="Garamond"/>
        </w:rPr>
      </w:pPr>
      <w:r w:rsidRPr="004A0C12">
        <w:rPr>
          <w:rFonts w:ascii="Garamond" w:hAnsi="Garamond"/>
        </w:rPr>
        <w:t>DORS should examine longitudinal data trends related to utilization of services, especially for high incidence populations such as Supported Employment for individuals with mental health disabilities, and use this information to inform program development, and staff and provider training needs.</w:t>
      </w:r>
    </w:p>
    <w:p w14:paraId="51804C63" w14:textId="77777777" w:rsidR="007A1FDC" w:rsidRPr="004A0C12" w:rsidRDefault="007A1FDC" w:rsidP="007A1FDC">
      <w:pPr>
        <w:spacing w:after="0" w:line="240" w:lineRule="auto"/>
        <w:ind w:left="720"/>
        <w:jc w:val="both"/>
        <w:rPr>
          <w:rFonts w:ascii="Garamond" w:hAnsi="Garamond"/>
        </w:rPr>
      </w:pPr>
    </w:p>
    <w:p w14:paraId="4685C467" w14:textId="31508F03" w:rsidR="00431254" w:rsidRPr="004A0C12" w:rsidRDefault="007A1FDC" w:rsidP="0031549E">
      <w:pPr>
        <w:numPr>
          <w:ilvl w:val="0"/>
          <w:numId w:val="314"/>
        </w:numPr>
        <w:spacing w:after="0" w:line="240" w:lineRule="auto"/>
        <w:ind w:left="720" w:hanging="360"/>
        <w:jc w:val="both"/>
        <w:rPr>
          <w:rFonts w:ascii="Garamond" w:hAnsi="Garamond"/>
        </w:rPr>
      </w:pPr>
      <w:r w:rsidRPr="004A0C12">
        <w:rPr>
          <w:rFonts w:ascii="Garamond" w:hAnsi="Garamond"/>
        </w:rPr>
        <w:t>Maintain DORS support of the Governor’s statewide initiative Skills2Compete.</w:t>
      </w:r>
    </w:p>
    <w:p w14:paraId="047258B4" w14:textId="77777777" w:rsidR="007A1FDC" w:rsidRPr="00594970" w:rsidRDefault="007A1FDC" w:rsidP="00322B60">
      <w:pPr>
        <w:pStyle w:val="Heading1"/>
        <w:rPr>
          <w:rFonts w:ascii="Garamond" w:hAnsi="Garamond"/>
          <w:sz w:val="24"/>
          <w:szCs w:val="24"/>
        </w:rPr>
      </w:pPr>
      <w:bookmarkStart w:id="224" w:name="_Toc447276251"/>
      <w:r w:rsidRPr="00594970">
        <w:rPr>
          <w:rFonts w:ascii="Garamond" w:hAnsi="Garamond"/>
          <w:sz w:val="24"/>
          <w:szCs w:val="24"/>
        </w:rPr>
        <w:t>ANNUAL ESTIMATES</w:t>
      </w:r>
      <w:bookmarkEnd w:id="224"/>
      <w:r w:rsidRPr="00594970">
        <w:rPr>
          <w:rFonts w:ascii="Garamond" w:hAnsi="Garamond"/>
          <w:sz w:val="24"/>
          <w:szCs w:val="24"/>
        </w:rPr>
        <w:t xml:space="preserve"> </w:t>
      </w:r>
    </w:p>
    <w:p w14:paraId="3639537D" w14:textId="77777777" w:rsidR="00756920" w:rsidRPr="004A0C12" w:rsidRDefault="00756920" w:rsidP="00756920">
      <w:pPr>
        <w:widowControl w:val="0"/>
        <w:spacing w:line="240" w:lineRule="auto"/>
        <w:contextualSpacing/>
        <w:rPr>
          <w:rFonts w:ascii="Garamond" w:hAnsi="Garamond"/>
        </w:rPr>
      </w:pPr>
      <w:r w:rsidRPr="004A0C12">
        <w:rPr>
          <w:rFonts w:ascii="Garamond" w:hAnsi="Garamond"/>
        </w:rPr>
        <w:t xml:space="preserve">DORS estimates that 25,000 individuals are </w:t>
      </w:r>
      <w:r w:rsidR="007A1FDC" w:rsidRPr="004A0C12">
        <w:rPr>
          <w:rFonts w:ascii="Garamond" w:hAnsi="Garamond"/>
        </w:rPr>
        <w:t>eligible for services under</w:t>
      </w:r>
      <w:r w:rsidRPr="004A0C12">
        <w:rPr>
          <w:rFonts w:ascii="Garamond" w:hAnsi="Garamond"/>
        </w:rPr>
        <w:t xml:space="preserve"> Title I of the Rehabilitation Act. </w:t>
      </w:r>
    </w:p>
    <w:p w14:paraId="37FEE10D" w14:textId="77777777" w:rsidR="00BB4611" w:rsidRPr="004A0C12" w:rsidRDefault="00BB4611" w:rsidP="00BB4611">
      <w:pPr>
        <w:pStyle w:val="NormalWeb"/>
        <w:spacing w:before="0" w:beforeAutospacing="0" w:afterAutospacing="0"/>
        <w:rPr>
          <w:rFonts w:ascii="Garamond" w:hAnsi="Garamond"/>
          <w:sz w:val="22"/>
          <w:szCs w:val="22"/>
        </w:rPr>
      </w:pPr>
      <w:r w:rsidRPr="004A0C12">
        <w:rPr>
          <w:rFonts w:ascii="Garamond" w:hAnsi="Garamond"/>
          <w:color w:val="000000"/>
          <w:sz w:val="22"/>
          <w:szCs w:val="22"/>
        </w:rPr>
        <w:t>Based on historical data, economic trends, and other factors, the estimated number of individuals who will receive services under the VR program is 18,800. The chart in Section C provides details.</w:t>
      </w:r>
    </w:p>
    <w:p w14:paraId="0741DBB9" w14:textId="77777777" w:rsidR="00BB4611" w:rsidRPr="004A0C12" w:rsidRDefault="00BB4611" w:rsidP="00BB4611">
      <w:pPr>
        <w:pStyle w:val="NormalWeb"/>
        <w:spacing w:before="0" w:beforeAutospacing="0" w:afterAutospacing="0"/>
        <w:rPr>
          <w:rFonts w:ascii="Garamond" w:hAnsi="Garamond"/>
          <w:sz w:val="22"/>
          <w:szCs w:val="22"/>
        </w:rPr>
      </w:pPr>
      <w:r w:rsidRPr="004A0C12">
        <w:rPr>
          <w:rFonts w:ascii="Garamond" w:hAnsi="Garamond"/>
          <w:color w:val="000000"/>
          <w:sz w:val="22"/>
          <w:szCs w:val="22"/>
        </w:rPr>
        <w:t>Based on historical data, employment trends, and other factors, the estimated number of individuals who will receive services under the Supported Employment Program is 300. Chart in next section provides details.</w:t>
      </w:r>
    </w:p>
    <w:p w14:paraId="5474F9AC" w14:textId="77777777" w:rsidR="00BB4611" w:rsidRPr="004A0C12" w:rsidRDefault="00BB4611" w:rsidP="00756920">
      <w:pPr>
        <w:widowControl w:val="0"/>
        <w:spacing w:line="240" w:lineRule="auto"/>
        <w:contextualSpacing/>
        <w:rPr>
          <w:rFonts w:ascii="Garamond" w:hAnsi="Garamond"/>
        </w:rPr>
      </w:pPr>
    </w:p>
    <w:p w14:paraId="6D23A737" w14:textId="61C01298" w:rsidR="007A1FDC" w:rsidRPr="004A0C12" w:rsidRDefault="007A1FDC" w:rsidP="00756920">
      <w:pPr>
        <w:widowControl w:val="0"/>
        <w:spacing w:line="240" w:lineRule="auto"/>
        <w:contextualSpacing/>
        <w:rPr>
          <w:rFonts w:ascii="Garamond" w:hAnsi="Garamond"/>
        </w:rPr>
      </w:pPr>
    </w:p>
    <w:p w14:paraId="1BAC4472" w14:textId="77777777" w:rsidR="00756920" w:rsidRPr="004A0C12" w:rsidRDefault="00756920" w:rsidP="00756920">
      <w:pPr>
        <w:widowControl w:val="0"/>
        <w:spacing w:line="240" w:lineRule="auto"/>
        <w:contextualSpacing/>
        <w:rPr>
          <w:rFonts w:ascii="Garamond" w:hAnsi="Garamond"/>
        </w:rPr>
      </w:pPr>
      <w:r w:rsidRPr="004A0C12">
        <w:rPr>
          <w:rFonts w:ascii="Garamond" w:hAnsi="Garamond"/>
        </w:rPr>
        <w:t xml:space="preserve">The following breakdown provides data on the number of individuals receiving services under an Individualized Plan for Employment: </w:t>
      </w:r>
    </w:p>
    <w:p w14:paraId="332716F5" w14:textId="77777777" w:rsidR="00756920" w:rsidRPr="004A0C12" w:rsidRDefault="00756920" w:rsidP="00232F09">
      <w:pPr>
        <w:pStyle w:val="ListParagraph"/>
        <w:widowControl w:val="0"/>
        <w:numPr>
          <w:ilvl w:val="0"/>
          <w:numId w:val="235"/>
        </w:numPr>
        <w:contextualSpacing/>
        <w:rPr>
          <w:rFonts w:ascii="Garamond" w:hAnsi="Garamond"/>
          <w:szCs w:val="22"/>
        </w:rPr>
      </w:pPr>
      <w:r w:rsidRPr="004A0C12">
        <w:rPr>
          <w:rFonts w:ascii="Garamond" w:hAnsi="Garamond"/>
          <w:szCs w:val="22"/>
        </w:rPr>
        <w:t xml:space="preserve">Title I - 17,900; </w:t>
      </w:r>
    </w:p>
    <w:p w14:paraId="3F2880FF" w14:textId="77777777" w:rsidR="00756920" w:rsidRPr="004A0C12" w:rsidRDefault="00756920" w:rsidP="00232F09">
      <w:pPr>
        <w:pStyle w:val="ListParagraph"/>
        <w:widowControl w:val="0"/>
        <w:numPr>
          <w:ilvl w:val="0"/>
          <w:numId w:val="235"/>
        </w:numPr>
        <w:contextualSpacing/>
        <w:rPr>
          <w:rFonts w:ascii="Garamond" w:hAnsi="Garamond"/>
          <w:szCs w:val="22"/>
        </w:rPr>
      </w:pPr>
      <w:r w:rsidRPr="004A0C12">
        <w:rPr>
          <w:rFonts w:ascii="Garamond" w:hAnsi="Garamond"/>
          <w:szCs w:val="22"/>
        </w:rPr>
        <w:t>Title VI</w:t>
      </w:r>
      <w:r w:rsidR="007A1FDC" w:rsidRPr="004A0C12">
        <w:rPr>
          <w:rFonts w:ascii="Garamond" w:hAnsi="Garamond"/>
          <w:szCs w:val="22"/>
        </w:rPr>
        <w:t xml:space="preserve"> </w:t>
      </w:r>
      <w:r w:rsidRPr="004A0C12">
        <w:rPr>
          <w:rFonts w:ascii="Garamond" w:hAnsi="Garamond"/>
          <w:szCs w:val="22"/>
        </w:rPr>
        <w:t>–</w:t>
      </w:r>
      <w:r w:rsidR="007A1FDC" w:rsidRPr="004A0C12">
        <w:rPr>
          <w:rFonts w:ascii="Garamond" w:hAnsi="Garamond"/>
          <w:szCs w:val="22"/>
        </w:rPr>
        <w:t xml:space="preserve"> 300</w:t>
      </w:r>
      <w:r w:rsidRPr="004A0C12">
        <w:rPr>
          <w:rFonts w:ascii="Garamond" w:hAnsi="Garamond"/>
          <w:szCs w:val="22"/>
        </w:rPr>
        <w:t>;</w:t>
      </w:r>
    </w:p>
    <w:p w14:paraId="1F174FE1" w14:textId="77777777" w:rsidR="00756920" w:rsidRPr="004A0C12" w:rsidRDefault="007A1FDC" w:rsidP="00232F09">
      <w:pPr>
        <w:pStyle w:val="ListParagraph"/>
        <w:widowControl w:val="0"/>
        <w:numPr>
          <w:ilvl w:val="0"/>
          <w:numId w:val="235"/>
        </w:numPr>
        <w:contextualSpacing/>
        <w:rPr>
          <w:rFonts w:ascii="Garamond" w:hAnsi="Garamond"/>
          <w:szCs w:val="22"/>
        </w:rPr>
      </w:pPr>
      <w:r w:rsidRPr="004A0C12">
        <w:rPr>
          <w:rFonts w:ascii="Garamond" w:hAnsi="Garamond"/>
          <w:szCs w:val="22"/>
        </w:rPr>
        <w:t>Category 1, Most Significant: 14,000</w:t>
      </w:r>
    </w:p>
    <w:p w14:paraId="753598ED" w14:textId="77777777" w:rsidR="00756920" w:rsidRPr="004A0C12" w:rsidRDefault="007A1FDC" w:rsidP="00232F09">
      <w:pPr>
        <w:pStyle w:val="ListParagraph"/>
        <w:widowControl w:val="0"/>
        <w:numPr>
          <w:ilvl w:val="0"/>
          <w:numId w:val="235"/>
        </w:numPr>
        <w:contextualSpacing/>
        <w:rPr>
          <w:rFonts w:ascii="Garamond" w:hAnsi="Garamond"/>
          <w:szCs w:val="22"/>
        </w:rPr>
      </w:pPr>
      <w:r w:rsidRPr="004A0C12">
        <w:rPr>
          <w:rFonts w:ascii="Garamond" w:hAnsi="Garamond"/>
          <w:szCs w:val="22"/>
        </w:rPr>
        <w:t>Category 2, Significant: 4,800</w:t>
      </w:r>
      <w:r w:rsidR="00756920" w:rsidRPr="004A0C12">
        <w:rPr>
          <w:rFonts w:ascii="Garamond" w:hAnsi="Garamond"/>
          <w:szCs w:val="22"/>
        </w:rPr>
        <w:t xml:space="preserve">; and, </w:t>
      </w:r>
    </w:p>
    <w:p w14:paraId="3DCC4324" w14:textId="29C20244" w:rsidR="007A1FDC" w:rsidRPr="004A0C12" w:rsidRDefault="007A1FDC" w:rsidP="00232F09">
      <w:pPr>
        <w:pStyle w:val="ListParagraph"/>
        <w:widowControl w:val="0"/>
        <w:numPr>
          <w:ilvl w:val="0"/>
          <w:numId w:val="235"/>
        </w:numPr>
        <w:contextualSpacing/>
        <w:rPr>
          <w:rFonts w:ascii="Garamond" w:hAnsi="Garamond"/>
          <w:szCs w:val="22"/>
        </w:rPr>
      </w:pPr>
      <w:r w:rsidRPr="004A0C12">
        <w:rPr>
          <w:rFonts w:ascii="Garamond" w:hAnsi="Garamond"/>
          <w:szCs w:val="22"/>
        </w:rPr>
        <w:t>Category 3, Non-Severe: 0</w:t>
      </w:r>
      <w:r w:rsidR="00756920" w:rsidRPr="004A0C12">
        <w:rPr>
          <w:rFonts w:ascii="Garamond" w:hAnsi="Garamond"/>
          <w:szCs w:val="22"/>
        </w:rPr>
        <w:t xml:space="preserve">. </w:t>
      </w:r>
    </w:p>
    <w:p w14:paraId="4806212B" w14:textId="77777777" w:rsidR="00BB4611" w:rsidRPr="004A0C12" w:rsidRDefault="00BB4611" w:rsidP="00AD2026">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The table below provides information on the number of individuals to be served under the VR Program and the Supported Employment Program, by priority category, and the cost of services.</w:t>
      </w:r>
    </w:p>
    <w:p w14:paraId="30042311" w14:textId="77777777" w:rsidR="00756920" w:rsidRPr="004A0C12" w:rsidRDefault="00756920" w:rsidP="00756920">
      <w:pPr>
        <w:pStyle w:val="ListParagraph"/>
        <w:widowControl w:val="0"/>
        <w:contextualSpacing/>
        <w:rPr>
          <w:rFonts w:ascii="Garamond" w:hAnsi="Garamond"/>
          <w:szCs w:val="22"/>
        </w:rPr>
      </w:pPr>
    </w:p>
    <w:tbl>
      <w:tblPr>
        <w:tblStyle w:val="PlainTable11"/>
        <w:tblW w:w="0" w:type="auto"/>
        <w:jc w:val="center"/>
        <w:tblLayout w:type="fixed"/>
        <w:tblLook w:val="0000" w:firstRow="0" w:lastRow="0" w:firstColumn="0" w:lastColumn="0" w:noHBand="0" w:noVBand="0"/>
        <w:tblCaption w:val="Data by Category of Disability"/>
        <w:tblDescription w:val="The &quot;Most Significant&quot; Category Title 1's estimated funds are $30,774,341, it's estimated number to be served is 14,000, and its average cost of services is $2,198. The &quot;Most Significant&quot; Category Title VI's estimated funds are $480,000, its estimated number to be served is 300, and its average cost of services is $1,600. The &quot;Significant&quot; Category Title I's estimated fundes are $13,189,003, its estimated number to be served is 4800 and its average cost of services is $2,748."/>
      </w:tblPr>
      <w:tblGrid>
        <w:gridCol w:w="1830"/>
        <w:gridCol w:w="1950"/>
        <w:gridCol w:w="1950"/>
        <w:gridCol w:w="1950"/>
        <w:gridCol w:w="1830"/>
      </w:tblGrid>
      <w:tr w:rsidR="007A1FDC" w:rsidRPr="004A0C12" w14:paraId="5ADEAC21" w14:textId="77777777" w:rsidTr="008B1D9A">
        <w:trPr>
          <w:trHeight w:val="791"/>
          <w:tblHeader/>
          <w:jc w:val="center"/>
        </w:trPr>
        <w:tc>
          <w:tcPr>
            <w:cnfStyle w:val="000010000000" w:firstRow="0" w:lastRow="0" w:firstColumn="0" w:lastColumn="0" w:oddVBand="1" w:evenVBand="0" w:oddHBand="0" w:evenHBand="0" w:firstRowFirstColumn="0" w:firstRowLastColumn="0" w:lastRowFirstColumn="0" w:lastRowLastColumn="0"/>
            <w:tcW w:w="1830" w:type="dxa"/>
          </w:tcPr>
          <w:p w14:paraId="6038922B" w14:textId="77777777" w:rsidR="007A1FDC" w:rsidRPr="004A0C12" w:rsidRDefault="007A1FDC" w:rsidP="007A1FDC">
            <w:pPr>
              <w:spacing w:before="240"/>
              <w:jc w:val="center"/>
              <w:rPr>
                <w:rFonts w:ascii="Garamond" w:hAnsi="Garamond"/>
                <w:color w:val="262626"/>
                <w:sz w:val="22"/>
                <w:szCs w:val="22"/>
              </w:rPr>
            </w:pPr>
            <w:r w:rsidRPr="004A0C12">
              <w:rPr>
                <w:rFonts w:ascii="Garamond" w:hAnsi="Garamond"/>
                <w:color w:val="262626"/>
                <w:sz w:val="22"/>
                <w:szCs w:val="22"/>
              </w:rPr>
              <w:t>Category</w:t>
            </w:r>
          </w:p>
        </w:tc>
        <w:tc>
          <w:tcPr>
            <w:tcW w:w="1950" w:type="dxa"/>
          </w:tcPr>
          <w:p w14:paraId="754C7082" w14:textId="77777777" w:rsidR="007A1FDC" w:rsidRPr="004A0C12" w:rsidRDefault="007A1FDC" w:rsidP="007A1FDC">
            <w:pPr>
              <w:spacing w:before="240"/>
              <w:jc w:val="center"/>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Title I or Title VI</w:t>
            </w:r>
          </w:p>
        </w:tc>
        <w:tc>
          <w:tcPr>
            <w:cnfStyle w:val="000010000000" w:firstRow="0" w:lastRow="0" w:firstColumn="0" w:lastColumn="0" w:oddVBand="1" w:evenVBand="0" w:oddHBand="0" w:evenHBand="0" w:firstRowFirstColumn="0" w:firstRowLastColumn="0" w:lastRowFirstColumn="0" w:lastRowLastColumn="0"/>
            <w:tcW w:w="1950" w:type="dxa"/>
          </w:tcPr>
          <w:p w14:paraId="108512DB" w14:textId="77777777" w:rsidR="007A1FDC" w:rsidRPr="004A0C12" w:rsidRDefault="007A1FDC" w:rsidP="007A1FDC">
            <w:pPr>
              <w:spacing w:before="240"/>
              <w:jc w:val="center"/>
              <w:rPr>
                <w:rFonts w:ascii="Garamond" w:hAnsi="Garamond"/>
                <w:color w:val="262626"/>
                <w:sz w:val="22"/>
                <w:szCs w:val="22"/>
              </w:rPr>
            </w:pPr>
            <w:r w:rsidRPr="004A0C12">
              <w:rPr>
                <w:rFonts w:ascii="Garamond" w:hAnsi="Garamond"/>
                <w:color w:val="262626"/>
                <w:sz w:val="22"/>
                <w:szCs w:val="22"/>
              </w:rPr>
              <w:t>Estimated Funds</w:t>
            </w:r>
          </w:p>
        </w:tc>
        <w:tc>
          <w:tcPr>
            <w:tcW w:w="1950" w:type="dxa"/>
          </w:tcPr>
          <w:p w14:paraId="5C311720" w14:textId="77777777" w:rsidR="007A1FDC" w:rsidRPr="004A0C12" w:rsidRDefault="007A1FDC" w:rsidP="007A1FDC">
            <w:pPr>
              <w:spacing w:before="240"/>
              <w:jc w:val="center"/>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Estimated Number to be Served</w:t>
            </w:r>
          </w:p>
        </w:tc>
        <w:tc>
          <w:tcPr>
            <w:cnfStyle w:val="000010000000" w:firstRow="0" w:lastRow="0" w:firstColumn="0" w:lastColumn="0" w:oddVBand="1" w:evenVBand="0" w:oddHBand="0" w:evenHBand="0" w:firstRowFirstColumn="0" w:firstRowLastColumn="0" w:lastRowFirstColumn="0" w:lastRowLastColumn="0"/>
            <w:tcW w:w="1830" w:type="dxa"/>
          </w:tcPr>
          <w:p w14:paraId="62510FF9" w14:textId="77777777" w:rsidR="007A1FDC" w:rsidRPr="004A0C12" w:rsidRDefault="007A1FDC" w:rsidP="007A1FDC">
            <w:pPr>
              <w:spacing w:before="240"/>
              <w:jc w:val="center"/>
              <w:rPr>
                <w:rFonts w:ascii="Garamond" w:hAnsi="Garamond"/>
                <w:color w:val="262626"/>
                <w:sz w:val="22"/>
                <w:szCs w:val="22"/>
              </w:rPr>
            </w:pPr>
            <w:r w:rsidRPr="004A0C12">
              <w:rPr>
                <w:rFonts w:ascii="Garamond" w:hAnsi="Garamond"/>
                <w:color w:val="262626"/>
                <w:sz w:val="22"/>
                <w:szCs w:val="22"/>
              </w:rPr>
              <w:t>Average Cost of Services</w:t>
            </w:r>
          </w:p>
        </w:tc>
      </w:tr>
      <w:tr w:rsidR="007A1FDC" w:rsidRPr="004A0C12" w14:paraId="65E6C33F" w14:textId="77777777" w:rsidTr="00530FA0">
        <w:trPr>
          <w:cnfStyle w:val="000000100000" w:firstRow="0" w:lastRow="0" w:firstColumn="0" w:lastColumn="0" w:oddVBand="0" w:evenVBand="0" w:oddHBand="1" w:evenHBand="0" w:firstRowFirstColumn="0" w:firstRowLastColumn="0" w:lastRowFirstColumn="0" w:lastRowLastColumn="0"/>
          <w:trHeight w:val="320"/>
          <w:jc w:val="center"/>
        </w:trPr>
        <w:tc>
          <w:tcPr>
            <w:cnfStyle w:val="000010000000" w:firstRow="0" w:lastRow="0" w:firstColumn="0" w:lastColumn="0" w:oddVBand="1" w:evenVBand="0" w:oddHBand="0" w:evenHBand="0" w:firstRowFirstColumn="0" w:firstRowLastColumn="0" w:lastRowFirstColumn="0" w:lastRowLastColumn="0"/>
            <w:tcW w:w="1830" w:type="dxa"/>
          </w:tcPr>
          <w:p w14:paraId="2B7E64AD" w14:textId="77777777" w:rsidR="007A1FDC" w:rsidRPr="004A0C12" w:rsidRDefault="007A1FDC" w:rsidP="007A1FDC">
            <w:pPr>
              <w:spacing w:before="240"/>
              <w:rPr>
                <w:rFonts w:ascii="Garamond" w:hAnsi="Garamond"/>
                <w:color w:val="262626"/>
                <w:sz w:val="22"/>
                <w:szCs w:val="22"/>
              </w:rPr>
            </w:pPr>
            <w:r w:rsidRPr="004A0C12">
              <w:rPr>
                <w:rFonts w:ascii="Garamond" w:hAnsi="Garamond"/>
                <w:color w:val="262626"/>
                <w:sz w:val="22"/>
                <w:szCs w:val="22"/>
              </w:rPr>
              <w:t>Most Significant</w:t>
            </w:r>
          </w:p>
        </w:tc>
        <w:tc>
          <w:tcPr>
            <w:tcW w:w="1950" w:type="dxa"/>
          </w:tcPr>
          <w:p w14:paraId="2AE90FE6" w14:textId="77777777" w:rsidR="007A1FDC" w:rsidRPr="004A0C12" w:rsidRDefault="007A1FDC" w:rsidP="007A1FDC">
            <w:pPr>
              <w:spacing w:before="240"/>
              <w:jc w:val="center"/>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Title I</w:t>
            </w:r>
          </w:p>
        </w:tc>
        <w:tc>
          <w:tcPr>
            <w:cnfStyle w:val="000010000000" w:firstRow="0" w:lastRow="0" w:firstColumn="0" w:lastColumn="0" w:oddVBand="1" w:evenVBand="0" w:oddHBand="0" w:evenHBand="0" w:firstRowFirstColumn="0" w:firstRowLastColumn="0" w:lastRowFirstColumn="0" w:lastRowLastColumn="0"/>
            <w:tcW w:w="1950" w:type="dxa"/>
          </w:tcPr>
          <w:p w14:paraId="4A13B63B" w14:textId="77777777" w:rsidR="007A1FDC" w:rsidRPr="004A0C12" w:rsidRDefault="007A1FDC" w:rsidP="007A1FDC">
            <w:pPr>
              <w:spacing w:before="240"/>
              <w:jc w:val="right"/>
              <w:rPr>
                <w:rFonts w:ascii="Garamond" w:hAnsi="Garamond"/>
                <w:color w:val="262626"/>
                <w:sz w:val="22"/>
                <w:szCs w:val="22"/>
              </w:rPr>
            </w:pPr>
            <w:r w:rsidRPr="004A0C12">
              <w:rPr>
                <w:rFonts w:ascii="Garamond" w:hAnsi="Garamond"/>
                <w:color w:val="262626"/>
                <w:sz w:val="22"/>
                <w:szCs w:val="22"/>
              </w:rPr>
              <w:t>$30,774,341</w:t>
            </w:r>
          </w:p>
        </w:tc>
        <w:tc>
          <w:tcPr>
            <w:tcW w:w="1950" w:type="dxa"/>
          </w:tcPr>
          <w:p w14:paraId="7142E0CE" w14:textId="77777777" w:rsidR="007A1FDC" w:rsidRPr="004A0C12" w:rsidRDefault="007A1FDC" w:rsidP="007A1FDC">
            <w:pPr>
              <w:spacing w:before="240"/>
              <w:jc w:val="right"/>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14,000</w:t>
            </w:r>
          </w:p>
        </w:tc>
        <w:tc>
          <w:tcPr>
            <w:cnfStyle w:val="000010000000" w:firstRow="0" w:lastRow="0" w:firstColumn="0" w:lastColumn="0" w:oddVBand="1" w:evenVBand="0" w:oddHBand="0" w:evenHBand="0" w:firstRowFirstColumn="0" w:firstRowLastColumn="0" w:lastRowFirstColumn="0" w:lastRowLastColumn="0"/>
            <w:tcW w:w="1830" w:type="dxa"/>
          </w:tcPr>
          <w:p w14:paraId="2DB723D7" w14:textId="77777777" w:rsidR="007A1FDC" w:rsidRPr="004A0C12" w:rsidRDefault="007A1FDC" w:rsidP="007A1FDC">
            <w:pPr>
              <w:spacing w:before="240"/>
              <w:jc w:val="right"/>
              <w:rPr>
                <w:rFonts w:ascii="Garamond" w:hAnsi="Garamond"/>
                <w:color w:val="262626"/>
                <w:sz w:val="22"/>
                <w:szCs w:val="22"/>
              </w:rPr>
            </w:pPr>
            <w:r w:rsidRPr="004A0C12">
              <w:rPr>
                <w:rFonts w:ascii="Garamond" w:hAnsi="Garamond"/>
                <w:color w:val="262626"/>
                <w:sz w:val="22"/>
                <w:szCs w:val="22"/>
              </w:rPr>
              <w:t>$2,198</w:t>
            </w:r>
          </w:p>
        </w:tc>
      </w:tr>
      <w:tr w:rsidR="007A1FDC" w:rsidRPr="004A0C12" w14:paraId="56323C4A" w14:textId="77777777" w:rsidTr="00530FA0">
        <w:trPr>
          <w:trHeight w:val="320"/>
          <w:jc w:val="center"/>
        </w:trPr>
        <w:tc>
          <w:tcPr>
            <w:cnfStyle w:val="000010000000" w:firstRow="0" w:lastRow="0" w:firstColumn="0" w:lastColumn="0" w:oddVBand="1" w:evenVBand="0" w:oddHBand="0" w:evenHBand="0" w:firstRowFirstColumn="0" w:firstRowLastColumn="0" w:lastRowFirstColumn="0" w:lastRowLastColumn="0"/>
            <w:tcW w:w="1830" w:type="dxa"/>
          </w:tcPr>
          <w:p w14:paraId="60DD476A" w14:textId="77777777" w:rsidR="007A1FDC" w:rsidRPr="004A0C12" w:rsidRDefault="007A1FDC" w:rsidP="007A1FDC">
            <w:pPr>
              <w:spacing w:before="240"/>
              <w:rPr>
                <w:rFonts w:ascii="Garamond" w:hAnsi="Garamond"/>
                <w:color w:val="262626"/>
                <w:sz w:val="22"/>
                <w:szCs w:val="22"/>
              </w:rPr>
            </w:pPr>
            <w:r w:rsidRPr="004A0C12">
              <w:rPr>
                <w:rFonts w:ascii="Garamond" w:hAnsi="Garamond"/>
                <w:color w:val="262626"/>
                <w:sz w:val="22"/>
                <w:szCs w:val="22"/>
              </w:rPr>
              <w:t>Most Significant</w:t>
            </w:r>
          </w:p>
        </w:tc>
        <w:tc>
          <w:tcPr>
            <w:tcW w:w="1950" w:type="dxa"/>
          </w:tcPr>
          <w:p w14:paraId="24098D31" w14:textId="77777777" w:rsidR="007A1FDC" w:rsidRPr="004A0C12" w:rsidRDefault="007A1FDC" w:rsidP="007A1FDC">
            <w:pPr>
              <w:spacing w:before="240"/>
              <w:jc w:val="center"/>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Title VI</w:t>
            </w:r>
          </w:p>
        </w:tc>
        <w:tc>
          <w:tcPr>
            <w:cnfStyle w:val="000010000000" w:firstRow="0" w:lastRow="0" w:firstColumn="0" w:lastColumn="0" w:oddVBand="1" w:evenVBand="0" w:oddHBand="0" w:evenHBand="0" w:firstRowFirstColumn="0" w:firstRowLastColumn="0" w:lastRowFirstColumn="0" w:lastRowLastColumn="0"/>
            <w:tcW w:w="1950" w:type="dxa"/>
          </w:tcPr>
          <w:p w14:paraId="1D7A68EB" w14:textId="77777777" w:rsidR="007A1FDC" w:rsidRPr="004A0C12" w:rsidRDefault="007A1FDC" w:rsidP="007A1FDC">
            <w:pPr>
              <w:spacing w:before="240"/>
              <w:jc w:val="right"/>
              <w:rPr>
                <w:rFonts w:ascii="Garamond" w:hAnsi="Garamond"/>
                <w:color w:val="262626"/>
                <w:sz w:val="22"/>
                <w:szCs w:val="22"/>
              </w:rPr>
            </w:pPr>
            <w:r w:rsidRPr="004A0C12">
              <w:rPr>
                <w:rFonts w:ascii="Garamond" w:hAnsi="Garamond"/>
                <w:color w:val="262626"/>
                <w:sz w:val="22"/>
                <w:szCs w:val="22"/>
              </w:rPr>
              <w:t>$480,000</w:t>
            </w:r>
          </w:p>
        </w:tc>
        <w:tc>
          <w:tcPr>
            <w:tcW w:w="1950" w:type="dxa"/>
          </w:tcPr>
          <w:p w14:paraId="7C17CA39" w14:textId="77777777" w:rsidR="007A1FDC" w:rsidRPr="004A0C12" w:rsidRDefault="007A1FDC" w:rsidP="007A1FDC">
            <w:pPr>
              <w:spacing w:before="240"/>
              <w:jc w:val="right"/>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300</w:t>
            </w:r>
          </w:p>
        </w:tc>
        <w:tc>
          <w:tcPr>
            <w:cnfStyle w:val="000010000000" w:firstRow="0" w:lastRow="0" w:firstColumn="0" w:lastColumn="0" w:oddVBand="1" w:evenVBand="0" w:oddHBand="0" w:evenHBand="0" w:firstRowFirstColumn="0" w:firstRowLastColumn="0" w:lastRowFirstColumn="0" w:lastRowLastColumn="0"/>
            <w:tcW w:w="1830" w:type="dxa"/>
          </w:tcPr>
          <w:p w14:paraId="37B5D828" w14:textId="77777777" w:rsidR="007A1FDC" w:rsidRPr="004A0C12" w:rsidRDefault="007A1FDC" w:rsidP="007A1FDC">
            <w:pPr>
              <w:spacing w:before="240"/>
              <w:jc w:val="right"/>
              <w:rPr>
                <w:rFonts w:ascii="Garamond" w:hAnsi="Garamond"/>
                <w:color w:val="262626"/>
                <w:sz w:val="22"/>
                <w:szCs w:val="22"/>
              </w:rPr>
            </w:pPr>
            <w:r w:rsidRPr="004A0C12">
              <w:rPr>
                <w:rFonts w:ascii="Garamond" w:hAnsi="Garamond"/>
                <w:color w:val="262626"/>
                <w:sz w:val="22"/>
                <w:szCs w:val="22"/>
              </w:rPr>
              <w:t>$1,600</w:t>
            </w:r>
          </w:p>
        </w:tc>
      </w:tr>
      <w:tr w:rsidR="007A1FDC" w:rsidRPr="004A0C12" w14:paraId="13ABE848" w14:textId="77777777" w:rsidTr="00530FA0">
        <w:trPr>
          <w:cnfStyle w:val="000000100000" w:firstRow="0" w:lastRow="0" w:firstColumn="0" w:lastColumn="0" w:oddVBand="0" w:evenVBand="0" w:oddHBand="1" w:evenHBand="0" w:firstRowFirstColumn="0" w:firstRowLastColumn="0" w:lastRowFirstColumn="0" w:lastRowLastColumn="0"/>
          <w:trHeight w:val="320"/>
          <w:jc w:val="center"/>
        </w:trPr>
        <w:tc>
          <w:tcPr>
            <w:cnfStyle w:val="000010000000" w:firstRow="0" w:lastRow="0" w:firstColumn="0" w:lastColumn="0" w:oddVBand="1" w:evenVBand="0" w:oddHBand="0" w:evenHBand="0" w:firstRowFirstColumn="0" w:firstRowLastColumn="0" w:lastRowFirstColumn="0" w:lastRowLastColumn="0"/>
            <w:tcW w:w="1830" w:type="dxa"/>
          </w:tcPr>
          <w:p w14:paraId="603FC0D7" w14:textId="77777777" w:rsidR="007A1FDC" w:rsidRPr="004A0C12" w:rsidRDefault="007A1FDC" w:rsidP="007A1FDC">
            <w:pPr>
              <w:spacing w:before="240"/>
              <w:rPr>
                <w:rFonts w:ascii="Garamond" w:hAnsi="Garamond"/>
                <w:color w:val="262626"/>
                <w:sz w:val="22"/>
                <w:szCs w:val="22"/>
              </w:rPr>
            </w:pPr>
            <w:r w:rsidRPr="004A0C12">
              <w:rPr>
                <w:rFonts w:ascii="Garamond" w:hAnsi="Garamond"/>
                <w:color w:val="262626"/>
                <w:sz w:val="22"/>
                <w:szCs w:val="22"/>
              </w:rPr>
              <w:t xml:space="preserve">Significant </w:t>
            </w:r>
          </w:p>
        </w:tc>
        <w:tc>
          <w:tcPr>
            <w:tcW w:w="1950" w:type="dxa"/>
          </w:tcPr>
          <w:p w14:paraId="08D5EFC5" w14:textId="77777777" w:rsidR="007A1FDC" w:rsidRPr="004A0C12" w:rsidRDefault="007A1FDC" w:rsidP="007A1FDC">
            <w:pPr>
              <w:spacing w:before="240"/>
              <w:jc w:val="center"/>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Title I</w:t>
            </w:r>
          </w:p>
        </w:tc>
        <w:tc>
          <w:tcPr>
            <w:cnfStyle w:val="000010000000" w:firstRow="0" w:lastRow="0" w:firstColumn="0" w:lastColumn="0" w:oddVBand="1" w:evenVBand="0" w:oddHBand="0" w:evenHBand="0" w:firstRowFirstColumn="0" w:firstRowLastColumn="0" w:lastRowFirstColumn="0" w:lastRowLastColumn="0"/>
            <w:tcW w:w="1950" w:type="dxa"/>
          </w:tcPr>
          <w:p w14:paraId="125C0F1E" w14:textId="77777777" w:rsidR="007A1FDC" w:rsidRPr="004A0C12" w:rsidRDefault="007A1FDC" w:rsidP="007A1FDC">
            <w:pPr>
              <w:spacing w:before="240"/>
              <w:jc w:val="right"/>
              <w:rPr>
                <w:rFonts w:ascii="Garamond" w:hAnsi="Garamond"/>
                <w:color w:val="262626"/>
                <w:sz w:val="22"/>
                <w:szCs w:val="22"/>
              </w:rPr>
            </w:pPr>
            <w:r w:rsidRPr="004A0C12">
              <w:rPr>
                <w:rFonts w:ascii="Garamond" w:hAnsi="Garamond"/>
                <w:color w:val="262626"/>
                <w:sz w:val="22"/>
                <w:szCs w:val="22"/>
              </w:rPr>
              <w:t>$13,189,003</w:t>
            </w:r>
          </w:p>
        </w:tc>
        <w:tc>
          <w:tcPr>
            <w:tcW w:w="1950" w:type="dxa"/>
          </w:tcPr>
          <w:p w14:paraId="70BCAE5D" w14:textId="77777777" w:rsidR="007A1FDC" w:rsidRPr="004A0C12" w:rsidRDefault="007A1FDC" w:rsidP="007A1FDC">
            <w:pPr>
              <w:spacing w:before="240"/>
              <w:jc w:val="right"/>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4800</w:t>
            </w:r>
          </w:p>
        </w:tc>
        <w:tc>
          <w:tcPr>
            <w:cnfStyle w:val="000010000000" w:firstRow="0" w:lastRow="0" w:firstColumn="0" w:lastColumn="0" w:oddVBand="1" w:evenVBand="0" w:oddHBand="0" w:evenHBand="0" w:firstRowFirstColumn="0" w:firstRowLastColumn="0" w:lastRowFirstColumn="0" w:lastRowLastColumn="0"/>
            <w:tcW w:w="1830" w:type="dxa"/>
          </w:tcPr>
          <w:p w14:paraId="117A1608" w14:textId="77777777" w:rsidR="007A1FDC" w:rsidRPr="004A0C12" w:rsidRDefault="007A1FDC" w:rsidP="007A1FDC">
            <w:pPr>
              <w:spacing w:before="240"/>
              <w:jc w:val="right"/>
              <w:rPr>
                <w:rFonts w:ascii="Garamond" w:hAnsi="Garamond"/>
                <w:color w:val="262626"/>
                <w:sz w:val="22"/>
                <w:szCs w:val="22"/>
              </w:rPr>
            </w:pPr>
            <w:r w:rsidRPr="004A0C12">
              <w:rPr>
                <w:rFonts w:ascii="Garamond" w:hAnsi="Garamond"/>
                <w:color w:val="262626"/>
                <w:sz w:val="22"/>
                <w:szCs w:val="22"/>
              </w:rPr>
              <w:t>$2,748</w:t>
            </w:r>
          </w:p>
        </w:tc>
      </w:tr>
    </w:tbl>
    <w:p w14:paraId="44FACE8C" w14:textId="77777777" w:rsidR="007A1FDC" w:rsidRPr="004A0C12" w:rsidRDefault="007A1FDC" w:rsidP="007A1FDC">
      <w:pPr>
        <w:pStyle w:val="FreeForm"/>
        <w:jc w:val="center"/>
        <w:rPr>
          <w:rFonts w:ascii="Garamond" w:hAnsi="Garamond"/>
          <w:sz w:val="22"/>
          <w:szCs w:val="22"/>
        </w:rPr>
      </w:pPr>
    </w:p>
    <w:p w14:paraId="206AC62B" w14:textId="77777777" w:rsidR="00BB4611" w:rsidRPr="004A0C12" w:rsidRDefault="00BB4611" w:rsidP="00BB4611">
      <w:pPr>
        <w:pStyle w:val="NormalWeb"/>
        <w:spacing w:before="0" w:beforeAutospacing="0" w:afterAutospacing="0"/>
        <w:rPr>
          <w:rFonts w:ascii="Garamond" w:hAnsi="Garamond"/>
          <w:sz w:val="22"/>
          <w:szCs w:val="22"/>
        </w:rPr>
      </w:pPr>
      <w:r w:rsidRPr="004A0C12">
        <w:rPr>
          <w:rFonts w:ascii="Garamond" w:hAnsi="Garamond"/>
          <w:color w:val="000000"/>
          <w:sz w:val="22"/>
          <w:szCs w:val="22"/>
        </w:rPr>
        <w:t>The number of individuals determined eligible for VR services, but not receiving services due to an order of selection is 3,400. Individuals on the wait list are those determined to be Category 2, Significant Disability.</w:t>
      </w:r>
    </w:p>
    <w:p w14:paraId="64D2BA22" w14:textId="77777777" w:rsidR="007A1FDC" w:rsidRPr="004A0C12" w:rsidRDefault="007A1FDC" w:rsidP="007A1FDC">
      <w:pPr>
        <w:widowControl w:val="0"/>
        <w:spacing w:after="0" w:line="240" w:lineRule="auto"/>
        <w:rPr>
          <w:rFonts w:ascii="Garamond" w:hAnsi="Garamond"/>
        </w:rPr>
      </w:pPr>
    </w:p>
    <w:p w14:paraId="033B8C10" w14:textId="77777777" w:rsidR="007A1FDC" w:rsidRPr="00594970" w:rsidRDefault="007A1FDC" w:rsidP="00431254">
      <w:pPr>
        <w:pStyle w:val="Heading2"/>
        <w:rPr>
          <w:rFonts w:ascii="Garamond" w:hAnsi="Garamond"/>
          <w:sz w:val="24"/>
          <w:szCs w:val="24"/>
        </w:rPr>
      </w:pPr>
      <w:r w:rsidRPr="004A0C12">
        <w:rPr>
          <w:rFonts w:ascii="Garamond" w:hAnsi="Garamond"/>
          <w:sz w:val="22"/>
          <w:szCs w:val="22"/>
        </w:rPr>
        <w:t xml:space="preserve"> </w:t>
      </w:r>
      <w:bookmarkStart w:id="225" w:name="_Toc447276252"/>
      <w:r w:rsidRPr="00594970">
        <w:rPr>
          <w:rFonts w:ascii="Garamond" w:hAnsi="Garamond"/>
          <w:sz w:val="24"/>
          <w:szCs w:val="24"/>
        </w:rPr>
        <w:t>DORS’ Goals &amp; Objectives</w:t>
      </w:r>
      <w:bookmarkEnd w:id="225"/>
      <w:r w:rsidRPr="00594970">
        <w:rPr>
          <w:rFonts w:ascii="Garamond" w:hAnsi="Garamond"/>
          <w:sz w:val="24"/>
          <w:szCs w:val="24"/>
        </w:rPr>
        <w:t xml:space="preserve"> </w:t>
      </w:r>
    </w:p>
    <w:p w14:paraId="75D6D33C" w14:textId="4D72A1C7" w:rsidR="00D340DD" w:rsidRPr="004A0C12" w:rsidRDefault="00D340DD" w:rsidP="00D340DD">
      <w:pPr>
        <w:spacing w:after="0" w:line="240" w:lineRule="auto"/>
        <w:rPr>
          <w:rFonts w:ascii="Garamond" w:hAnsi="Garamond" w:cs="Times New Roman"/>
        </w:rPr>
      </w:pPr>
      <w:r w:rsidRPr="004A0C12">
        <w:rPr>
          <w:rFonts w:ascii="Garamond" w:hAnsi="Garamond" w:cs="Times New Roman"/>
        </w:rPr>
        <w:t xml:space="preserve">The goals and priorities provided below were jointly developed and agreed to by DORS and the Maryland State Rehabilitation Council. These two entities have also agreed to the revisions of the same. </w:t>
      </w:r>
    </w:p>
    <w:p w14:paraId="3E7D7907" w14:textId="77777777" w:rsidR="00D340DD" w:rsidRPr="004A0C12" w:rsidRDefault="00D340DD" w:rsidP="00D340DD">
      <w:pPr>
        <w:spacing w:after="0" w:line="240" w:lineRule="auto"/>
        <w:rPr>
          <w:rFonts w:ascii="Garamond" w:hAnsi="Garamond"/>
        </w:rPr>
      </w:pPr>
    </w:p>
    <w:p w14:paraId="1E78EFE5" w14:textId="77777777" w:rsidR="007A1FDC" w:rsidRPr="004A0C12" w:rsidRDefault="007A1FDC" w:rsidP="007A1FDC">
      <w:pPr>
        <w:keepNext/>
        <w:spacing w:after="0" w:line="240" w:lineRule="auto"/>
        <w:jc w:val="both"/>
        <w:rPr>
          <w:rFonts w:ascii="Garamond" w:hAnsi="Garamond"/>
        </w:rPr>
      </w:pPr>
      <w:r w:rsidRPr="004A0C12">
        <w:rPr>
          <w:rFonts w:ascii="Garamond" w:hAnsi="Garamond"/>
        </w:rPr>
        <w:t>Goal 1: Assure high-quality employment outcomes for individuals with significant and most significant disabilities in Maryland through the vocational rehabilitation program.</w:t>
      </w:r>
    </w:p>
    <w:p w14:paraId="2097F2DF" w14:textId="77777777" w:rsidR="007A1FDC" w:rsidRPr="004A0C12" w:rsidRDefault="007A1FDC" w:rsidP="007A1FDC">
      <w:pPr>
        <w:keepNext/>
        <w:spacing w:after="0" w:line="240" w:lineRule="auto"/>
        <w:jc w:val="both"/>
        <w:rPr>
          <w:rFonts w:ascii="Garamond" w:hAnsi="Garamond"/>
        </w:rPr>
      </w:pPr>
    </w:p>
    <w:p w14:paraId="004D14DB" w14:textId="0305F09E" w:rsidR="007A1FDC" w:rsidRPr="004A0C12" w:rsidRDefault="004D36DC" w:rsidP="007A1FDC">
      <w:pPr>
        <w:keepNext/>
        <w:spacing w:after="0" w:line="240" w:lineRule="auto"/>
        <w:jc w:val="both"/>
        <w:rPr>
          <w:rFonts w:ascii="Garamond" w:hAnsi="Garamond"/>
        </w:rPr>
      </w:pPr>
      <w:r w:rsidRPr="004A0C12">
        <w:rPr>
          <w:rFonts w:ascii="Garamond" w:hAnsi="Garamond"/>
        </w:rPr>
        <w:t xml:space="preserve">Objective 1.1 </w:t>
      </w:r>
      <w:r w:rsidR="00FF44FF" w:rsidRPr="004A0C12">
        <w:rPr>
          <w:rFonts w:ascii="Garamond" w:hAnsi="Garamond"/>
        </w:rPr>
        <w:t xml:space="preserve">- </w:t>
      </w:r>
      <w:r w:rsidR="007A1FDC" w:rsidRPr="004A0C12">
        <w:rPr>
          <w:rFonts w:ascii="Garamond" w:hAnsi="Garamond"/>
        </w:rPr>
        <w:t>Provide rehabilitation services and pre-employment transition services in partnership with local education agencies that lead to successful outcomes in post-secondary education and employment for students with disabilities.</w:t>
      </w:r>
    </w:p>
    <w:p w14:paraId="2825BFBF" w14:textId="77777777" w:rsidR="007A1FDC" w:rsidRPr="004A0C12" w:rsidRDefault="007A1FDC" w:rsidP="007A1FDC">
      <w:pPr>
        <w:tabs>
          <w:tab w:val="left" w:pos="360"/>
        </w:tabs>
        <w:spacing w:after="0" w:line="240" w:lineRule="auto"/>
        <w:jc w:val="both"/>
        <w:rPr>
          <w:rFonts w:ascii="Garamond" w:hAnsi="Garamond"/>
        </w:rPr>
      </w:pPr>
    </w:p>
    <w:p w14:paraId="4B39BFFB" w14:textId="77777777" w:rsidR="007A1FDC" w:rsidRPr="004A0C12" w:rsidRDefault="007A1FDC" w:rsidP="007A1FDC">
      <w:pPr>
        <w:tabs>
          <w:tab w:val="left" w:pos="360"/>
        </w:tabs>
        <w:spacing w:after="0" w:line="240" w:lineRule="auto"/>
        <w:jc w:val="both"/>
        <w:rPr>
          <w:rFonts w:ascii="Garamond" w:hAnsi="Garamond"/>
        </w:rPr>
      </w:pPr>
      <w:r w:rsidRPr="004A0C12">
        <w:rPr>
          <w:rFonts w:ascii="Garamond" w:hAnsi="Garamond"/>
        </w:rPr>
        <w:t xml:space="preserve">Strategies: </w:t>
      </w:r>
    </w:p>
    <w:p w14:paraId="0186CDE3" w14:textId="3BF6CBC9" w:rsidR="007A1FDC" w:rsidRPr="004A0C12" w:rsidRDefault="007A1FDC" w:rsidP="007A1FDC">
      <w:pPr>
        <w:tabs>
          <w:tab w:val="left" w:pos="360"/>
        </w:tabs>
        <w:spacing w:after="0" w:line="240" w:lineRule="auto"/>
        <w:jc w:val="both"/>
        <w:rPr>
          <w:rFonts w:ascii="Garamond" w:hAnsi="Garamond"/>
        </w:rPr>
      </w:pPr>
      <w:r w:rsidRPr="004A0C12">
        <w:rPr>
          <w:rFonts w:ascii="Garamond" w:hAnsi="Garamond"/>
        </w:rPr>
        <w:lastRenderedPageBreak/>
        <w:t>Ensure that VR counselors and staff work with high school students (including those in special education, with 504 plans, with severe medical conditions, and those who have a disability for purposes of section 504), families, school personnel</w:t>
      </w:r>
      <w:r w:rsidR="004D36DC" w:rsidRPr="004A0C12">
        <w:rPr>
          <w:rFonts w:ascii="Garamond" w:hAnsi="Garamond"/>
        </w:rPr>
        <w:t>, WIOA Partners,</w:t>
      </w:r>
      <w:r w:rsidRPr="004A0C12">
        <w:rPr>
          <w:rFonts w:ascii="Garamond" w:hAnsi="Garamond"/>
        </w:rPr>
        <w:t xml:space="preserve"> and community partners to help students prepare for and achieve employment and self-sufficiency. </w:t>
      </w:r>
      <w:r w:rsidRPr="004A0C12">
        <w:rPr>
          <w:rFonts w:ascii="Garamond" w:hAnsi="Garamond"/>
        </w:rPr>
        <w:cr/>
      </w:r>
    </w:p>
    <w:p w14:paraId="2B953ECE" w14:textId="05F4AFD8" w:rsidR="007A1FDC" w:rsidRPr="004A0C12" w:rsidRDefault="007A1FDC" w:rsidP="007A1FDC">
      <w:pPr>
        <w:tabs>
          <w:tab w:val="left" w:pos="360"/>
        </w:tabs>
        <w:spacing w:after="0" w:line="240" w:lineRule="auto"/>
        <w:jc w:val="both"/>
        <w:rPr>
          <w:rFonts w:ascii="Garamond" w:hAnsi="Garamond"/>
        </w:rPr>
      </w:pPr>
      <w:r w:rsidRPr="004A0C12">
        <w:rPr>
          <w:rFonts w:ascii="Garamond" w:hAnsi="Garamond"/>
        </w:rPr>
        <w:t>Continue to emphasize and implement evidence-based transition practices, including work-based experiences</w:t>
      </w:r>
      <w:r w:rsidR="004D36DC" w:rsidRPr="004A0C12">
        <w:rPr>
          <w:rFonts w:ascii="Garamond" w:hAnsi="Garamond"/>
        </w:rPr>
        <w:t>,</w:t>
      </w:r>
      <w:r w:rsidRPr="004A0C12">
        <w:rPr>
          <w:rFonts w:ascii="Garamond" w:hAnsi="Garamond"/>
        </w:rPr>
        <w:t xml:space="preserve"> such as Project Search, internships, and summer employment to promote long-term career success and leadership, including expanding transitioning services at the Workforce &amp; Technology Center (especially for consumers not planning to attend college).  </w:t>
      </w:r>
    </w:p>
    <w:p w14:paraId="1797274D" w14:textId="77777777" w:rsidR="007A1FDC" w:rsidRPr="004A0C12" w:rsidRDefault="007A1FDC" w:rsidP="007A1FDC">
      <w:pPr>
        <w:spacing w:after="0" w:line="240" w:lineRule="auto"/>
        <w:ind w:left="360"/>
        <w:jc w:val="both"/>
        <w:rPr>
          <w:rFonts w:ascii="Garamond" w:hAnsi="Garamond"/>
        </w:rPr>
      </w:pPr>
    </w:p>
    <w:p w14:paraId="1CCB7860" w14:textId="1D072D34" w:rsidR="007A1FDC" w:rsidRPr="004A0C12" w:rsidRDefault="007A1FDC" w:rsidP="00232F09">
      <w:pPr>
        <w:numPr>
          <w:ilvl w:val="0"/>
          <w:numId w:val="159"/>
        </w:numPr>
        <w:spacing w:after="0" w:line="240" w:lineRule="auto"/>
        <w:ind w:hanging="360"/>
        <w:jc w:val="both"/>
        <w:rPr>
          <w:rFonts w:ascii="Garamond" w:hAnsi="Garamond"/>
        </w:rPr>
      </w:pPr>
      <w:r w:rsidRPr="004A0C12">
        <w:rPr>
          <w:rFonts w:ascii="Garamond" w:hAnsi="Garamond"/>
        </w:rPr>
        <w:t xml:space="preserve">Implement the provision of Pre-Employment Transition Services as outlined in </w:t>
      </w:r>
      <w:r w:rsidR="004D36DC" w:rsidRPr="004A0C12">
        <w:rPr>
          <w:rFonts w:ascii="Garamond" w:hAnsi="Garamond"/>
        </w:rPr>
        <w:t>WIOA</w:t>
      </w:r>
      <w:r w:rsidRPr="004A0C12">
        <w:rPr>
          <w:rFonts w:ascii="Garamond" w:hAnsi="Garamond"/>
        </w:rPr>
        <w:t xml:space="preserve"> including the following services: Job Exploration Counseling, Work-based learning experiences, Counseling on opportunities for enrollment in comprehensive transition or post-secondary educational programs, Workplace readiness training, and Instruction on Self-Advocacy for high school students with disabilities who are 14-21 years old.</w:t>
      </w:r>
    </w:p>
    <w:p w14:paraId="44D5A9F8" w14:textId="70CCFC97" w:rsidR="007A1FDC" w:rsidRPr="004A0C12" w:rsidRDefault="007A1FDC" w:rsidP="00232F09">
      <w:pPr>
        <w:numPr>
          <w:ilvl w:val="0"/>
          <w:numId w:val="159"/>
        </w:numPr>
        <w:spacing w:after="0" w:line="240" w:lineRule="auto"/>
        <w:ind w:hanging="360"/>
        <w:jc w:val="both"/>
        <w:rPr>
          <w:rFonts w:ascii="Garamond" w:hAnsi="Garamond"/>
        </w:rPr>
      </w:pPr>
      <w:r w:rsidRPr="004A0C12">
        <w:rPr>
          <w:rFonts w:ascii="Garamond" w:hAnsi="Garamond"/>
        </w:rPr>
        <w:t>Provide training and support to DORS transition counselors through the Transition Specialists Group and other meetings, the Transition Conference and training programs. Training shall help counselors identify and develop tools and resources related to post-secondary education, and best practices in working with famili</w:t>
      </w:r>
      <w:r w:rsidR="004D36DC" w:rsidRPr="004A0C12">
        <w:rPr>
          <w:rFonts w:ascii="Garamond" w:hAnsi="Garamond"/>
        </w:rPr>
        <w:t>es and transitioning students. Collaborate with the Developmental Disabilities Administration</w:t>
      </w:r>
      <w:r w:rsidRPr="004A0C12">
        <w:rPr>
          <w:rFonts w:ascii="Garamond" w:hAnsi="Garamond"/>
        </w:rPr>
        <w:t xml:space="preserve"> and clarify procedures to ensure seamless transiti</w:t>
      </w:r>
      <w:r w:rsidR="004D36DC" w:rsidRPr="004A0C12">
        <w:rPr>
          <w:rFonts w:ascii="Garamond" w:hAnsi="Garamond"/>
        </w:rPr>
        <w:t>on for individuals receiving Developmental Disabilities Administration</w:t>
      </w:r>
      <w:r w:rsidRPr="004A0C12">
        <w:rPr>
          <w:rFonts w:ascii="Garamond" w:hAnsi="Garamond"/>
        </w:rPr>
        <w:t xml:space="preserve"> assistance.</w:t>
      </w:r>
    </w:p>
    <w:p w14:paraId="11DC6FE1" w14:textId="77777777" w:rsidR="00BB4611" w:rsidRPr="004A0C12" w:rsidRDefault="00BB4611" w:rsidP="00232F09">
      <w:pPr>
        <w:pStyle w:val="NormalWeb"/>
        <w:numPr>
          <w:ilvl w:val="0"/>
          <w:numId w:val="159"/>
        </w:numPr>
        <w:spacing w:before="0" w:beforeAutospacing="0" w:afterAutospacing="0"/>
        <w:rPr>
          <w:rFonts w:ascii="Garamond" w:hAnsi="Garamond"/>
          <w:sz w:val="22"/>
          <w:szCs w:val="22"/>
        </w:rPr>
      </w:pPr>
      <w:r w:rsidRPr="004A0C12">
        <w:rPr>
          <w:rFonts w:ascii="Garamond" w:hAnsi="Garamond"/>
          <w:color w:val="000000"/>
          <w:sz w:val="22"/>
          <w:szCs w:val="22"/>
        </w:rPr>
        <w:t>Establish effective levels of staffing to ensure that pre-employment transition services are available to all individuals who are referred for pre-employment transition services and are eligible to receive the services.</w:t>
      </w:r>
    </w:p>
    <w:p w14:paraId="2E334DC8" w14:textId="77777777" w:rsidR="00BB4611" w:rsidRPr="004A0C12" w:rsidRDefault="00BB4611" w:rsidP="00232F09">
      <w:pPr>
        <w:numPr>
          <w:ilvl w:val="0"/>
          <w:numId w:val="159"/>
        </w:numPr>
        <w:spacing w:after="0" w:line="240" w:lineRule="auto"/>
        <w:ind w:hanging="360"/>
        <w:jc w:val="both"/>
        <w:rPr>
          <w:rFonts w:ascii="Garamond" w:hAnsi="Garamond"/>
        </w:rPr>
      </w:pPr>
    </w:p>
    <w:p w14:paraId="53E65BEF" w14:textId="77777777" w:rsidR="007A1FDC" w:rsidRPr="004A0C12" w:rsidRDefault="007A1FDC" w:rsidP="007A1FDC">
      <w:pPr>
        <w:spacing w:after="0" w:line="240" w:lineRule="auto"/>
        <w:ind w:left="360"/>
        <w:jc w:val="both"/>
        <w:rPr>
          <w:rFonts w:ascii="Garamond" w:hAnsi="Garamond"/>
        </w:rPr>
      </w:pPr>
    </w:p>
    <w:p w14:paraId="4761B0E6" w14:textId="77777777" w:rsidR="007A1FDC" w:rsidRPr="004A0C12" w:rsidRDefault="007A1FDC" w:rsidP="007A1FDC">
      <w:pPr>
        <w:spacing w:after="0" w:line="240" w:lineRule="auto"/>
        <w:jc w:val="both"/>
        <w:rPr>
          <w:rFonts w:ascii="Garamond" w:hAnsi="Garamond"/>
        </w:rPr>
      </w:pPr>
      <w:r w:rsidRPr="004A0C12">
        <w:rPr>
          <w:rFonts w:ascii="Garamond" w:hAnsi="Garamond"/>
        </w:rPr>
        <w:t>Performance Measures by September 30, 2016:</w:t>
      </w:r>
    </w:p>
    <w:p w14:paraId="45605EE5" w14:textId="17A58F8C" w:rsidR="004D36DC" w:rsidRPr="004A0C12" w:rsidRDefault="007A1FDC" w:rsidP="00232F09">
      <w:pPr>
        <w:pStyle w:val="ListParagraph"/>
        <w:numPr>
          <w:ilvl w:val="0"/>
          <w:numId w:val="236"/>
        </w:numPr>
        <w:tabs>
          <w:tab w:val="left" w:pos="1080"/>
        </w:tabs>
        <w:jc w:val="both"/>
        <w:rPr>
          <w:rFonts w:ascii="Garamond" w:hAnsi="Garamond"/>
          <w:szCs w:val="22"/>
        </w:rPr>
      </w:pPr>
      <w:r w:rsidRPr="004A0C12">
        <w:rPr>
          <w:rFonts w:ascii="Garamond" w:hAnsi="Garamond"/>
          <w:szCs w:val="22"/>
        </w:rPr>
        <w:t xml:space="preserve">The number of transitioning individuals served will match or exceed those served in the previous year, including an increase in the number of students with 504 plans </w:t>
      </w:r>
      <w:r w:rsidR="00530FA0" w:rsidRPr="004A0C12">
        <w:rPr>
          <w:rFonts w:ascii="Garamond" w:hAnsi="Garamond"/>
          <w:szCs w:val="22"/>
        </w:rPr>
        <w:t>compared with the previous year</w:t>
      </w:r>
    </w:p>
    <w:p w14:paraId="47ABA349" w14:textId="6D4E3528" w:rsidR="00BF21A5" w:rsidRPr="004A0C12" w:rsidRDefault="00BF21A5" w:rsidP="00232F09">
      <w:pPr>
        <w:pStyle w:val="NormalWeb"/>
        <w:numPr>
          <w:ilvl w:val="0"/>
          <w:numId w:val="236"/>
        </w:numPr>
        <w:spacing w:before="0" w:beforeAutospacing="0" w:afterAutospacing="0"/>
        <w:rPr>
          <w:rFonts w:ascii="Garamond" w:hAnsi="Garamond"/>
          <w:sz w:val="22"/>
          <w:szCs w:val="22"/>
        </w:rPr>
      </w:pPr>
      <w:r w:rsidRPr="004A0C12">
        <w:rPr>
          <w:rFonts w:ascii="Garamond" w:hAnsi="Garamond"/>
          <w:color w:val="000000"/>
          <w:sz w:val="22"/>
          <w:szCs w:val="22"/>
        </w:rPr>
        <w:t>9,049 transition youth were provided VR services, including 181 students with 504 plans (FY 14: 134). Compared to FY 14, during which 9,303 transition youth were served, this is an overall decrease of 3%, reflecting the 14.5% increase in transition youth on the waiting list for VR services from 611 in FY 14 to 700 in FY 15. In addition, the Division began using a new case type in AWARE to provide pre-employment transition services to students who were either potentially eligible or who had been found eligible and were on the waiting list for VR services. By the end of FY 15, the Division had opened 14 cases for these students and implemented pre-employment transition services plans for five of them. The Division continues its on-going commitment to transition youth in Maryland by planning to hire 6 additional counselors in FY 16, who will be dedicated to providing pre-employment transition services.</w:t>
      </w:r>
    </w:p>
    <w:p w14:paraId="5F45AE25" w14:textId="732D2CBD" w:rsidR="004D36DC" w:rsidRPr="004A0C12" w:rsidRDefault="007A1FDC" w:rsidP="00232F09">
      <w:pPr>
        <w:pStyle w:val="ListParagraph"/>
        <w:numPr>
          <w:ilvl w:val="0"/>
          <w:numId w:val="236"/>
        </w:numPr>
        <w:tabs>
          <w:tab w:val="left" w:pos="1080"/>
        </w:tabs>
        <w:jc w:val="both"/>
        <w:rPr>
          <w:rFonts w:ascii="Garamond" w:hAnsi="Garamond"/>
          <w:szCs w:val="22"/>
        </w:rPr>
      </w:pPr>
      <w:r w:rsidRPr="004A0C12">
        <w:rPr>
          <w:rFonts w:ascii="Garamond" w:hAnsi="Garamond"/>
          <w:szCs w:val="22"/>
        </w:rPr>
        <w:t xml:space="preserve">There will be an increase in transitioning students who achieve employment </w:t>
      </w:r>
      <w:r w:rsidR="00530FA0" w:rsidRPr="004A0C12">
        <w:rPr>
          <w:rFonts w:ascii="Garamond" w:hAnsi="Garamond"/>
          <w:szCs w:val="22"/>
        </w:rPr>
        <w:t>compared with the previous year</w:t>
      </w:r>
    </w:p>
    <w:p w14:paraId="6C5A29DA" w14:textId="62E6CA65" w:rsidR="00BF21A5" w:rsidRPr="004A0C12" w:rsidRDefault="00BF21A5" w:rsidP="00232F09">
      <w:pPr>
        <w:pStyle w:val="NormalWeb"/>
        <w:numPr>
          <w:ilvl w:val="0"/>
          <w:numId w:val="236"/>
        </w:numPr>
        <w:spacing w:before="0" w:beforeAutospacing="0" w:afterAutospacing="0"/>
        <w:rPr>
          <w:rFonts w:ascii="Garamond" w:hAnsi="Garamond"/>
          <w:sz w:val="22"/>
          <w:szCs w:val="22"/>
        </w:rPr>
      </w:pPr>
      <w:r w:rsidRPr="004A0C12">
        <w:rPr>
          <w:rFonts w:ascii="Garamond" w:hAnsi="Garamond"/>
          <w:color w:val="000000"/>
          <w:sz w:val="22"/>
          <w:szCs w:val="22"/>
        </w:rPr>
        <w:t>831 transitioning students achieved employment; up 2% from FY 14 during which 815 transitioning students achieved employment.</w:t>
      </w:r>
    </w:p>
    <w:p w14:paraId="5A098CC0" w14:textId="358A1A77" w:rsidR="004D36DC" w:rsidRPr="004A0C12" w:rsidRDefault="007A1FDC" w:rsidP="00232F09">
      <w:pPr>
        <w:pStyle w:val="ListParagraph"/>
        <w:numPr>
          <w:ilvl w:val="0"/>
          <w:numId w:val="236"/>
        </w:numPr>
        <w:tabs>
          <w:tab w:val="left" w:pos="1080"/>
        </w:tabs>
        <w:jc w:val="both"/>
        <w:rPr>
          <w:rFonts w:ascii="Garamond" w:hAnsi="Garamond"/>
          <w:szCs w:val="22"/>
        </w:rPr>
      </w:pPr>
      <w:r w:rsidRPr="004A0C12">
        <w:rPr>
          <w:rFonts w:ascii="Garamond" w:hAnsi="Garamond"/>
          <w:szCs w:val="22"/>
        </w:rPr>
        <w:t>Grants and funding will be provided to support leadership progra</w:t>
      </w:r>
      <w:r w:rsidR="00530FA0" w:rsidRPr="004A0C12">
        <w:rPr>
          <w:rFonts w:ascii="Garamond" w:hAnsi="Garamond"/>
          <w:szCs w:val="22"/>
        </w:rPr>
        <w:t>ms for youth with disabilities</w:t>
      </w:r>
    </w:p>
    <w:p w14:paraId="4AEF73A9" w14:textId="0B856F16" w:rsidR="00BF21A5" w:rsidRPr="004A0C12" w:rsidRDefault="00BF21A5" w:rsidP="00232F09">
      <w:pPr>
        <w:pStyle w:val="ListParagraph"/>
        <w:numPr>
          <w:ilvl w:val="0"/>
          <w:numId w:val="236"/>
        </w:numPr>
        <w:tabs>
          <w:tab w:val="left" w:pos="1080"/>
        </w:tabs>
        <w:jc w:val="both"/>
        <w:rPr>
          <w:rFonts w:ascii="Garamond" w:hAnsi="Garamond"/>
          <w:szCs w:val="22"/>
        </w:rPr>
      </w:pPr>
      <w:r w:rsidRPr="004A0C12">
        <w:rPr>
          <w:rFonts w:ascii="Garamond" w:hAnsi="Garamond"/>
          <w:szCs w:val="22"/>
        </w:rPr>
        <w:t>Per agreement with Independence Now, Inc., DORS contributed $9,730 in financial support for the Maryland Youth Leadership Forum in which 7 DORS students participated.</w:t>
      </w:r>
    </w:p>
    <w:p w14:paraId="637EB034" w14:textId="190362E1" w:rsidR="004D36DC" w:rsidRPr="004A0C12" w:rsidRDefault="007A1FDC" w:rsidP="00232F09">
      <w:pPr>
        <w:pStyle w:val="ListParagraph"/>
        <w:numPr>
          <w:ilvl w:val="0"/>
          <w:numId w:val="236"/>
        </w:numPr>
        <w:tabs>
          <w:tab w:val="left" w:pos="1080"/>
        </w:tabs>
        <w:jc w:val="both"/>
        <w:rPr>
          <w:rFonts w:ascii="Garamond" w:hAnsi="Garamond"/>
          <w:szCs w:val="22"/>
        </w:rPr>
      </w:pPr>
      <w:r w:rsidRPr="004A0C12">
        <w:rPr>
          <w:rFonts w:ascii="Garamond" w:hAnsi="Garamond"/>
          <w:szCs w:val="22"/>
        </w:rPr>
        <w:t>The DORS Transition Specialists Group will meet at least semiannually and include staff training on pertinent topics (e.g. pre-employment transition services), and will identify, develop and disseminate tools and resources for transitioning students rela</w:t>
      </w:r>
      <w:r w:rsidR="004D36DC" w:rsidRPr="004A0C12">
        <w:rPr>
          <w:rFonts w:ascii="Garamond" w:hAnsi="Garamond"/>
          <w:szCs w:val="22"/>
        </w:rPr>
        <w:t>ted to</w:t>
      </w:r>
      <w:r w:rsidR="00530FA0" w:rsidRPr="004A0C12">
        <w:rPr>
          <w:rFonts w:ascii="Garamond" w:hAnsi="Garamond"/>
          <w:szCs w:val="22"/>
        </w:rPr>
        <w:t xml:space="preserve"> post-secondary education</w:t>
      </w:r>
      <w:r w:rsidR="00BF21A5" w:rsidRPr="004A0C12">
        <w:rPr>
          <w:rFonts w:ascii="Garamond" w:hAnsi="Garamond"/>
          <w:szCs w:val="22"/>
        </w:rPr>
        <w:t xml:space="preserve"> and Skills2Complete</w:t>
      </w:r>
    </w:p>
    <w:p w14:paraId="31F51AF2" w14:textId="01E7779F" w:rsidR="00BF21A5" w:rsidRPr="004A0C12" w:rsidRDefault="00BF21A5" w:rsidP="00232F09">
      <w:pPr>
        <w:pStyle w:val="ListParagraph"/>
        <w:numPr>
          <w:ilvl w:val="0"/>
          <w:numId w:val="236"/>
        </w:numPr>
        <w:tabs>
          <w:tab w:val="left" w:pos="1080"/>
        </w:tabs>
        <w:jc w:val="both"/>
        <w:rPr>
          <w:rFonts w:ascii="Garamond" w:hAnsi="Garamond"/>
          <w:szCs w:val="22"/>
        </w:rPr>
      </w:pPr>
      <w:r w:rsidRPr="004A0C12">
        <w:rPr>
          <w:rFonts w:ascii="Garamond" w:hAnsi="Garamond"/>
          <w:szCs w:val="22"/>
        </w:rPr>
        <w:t xml:space="preserve">During FY 15, the Transition Specialist Group met for training on October 1, 2014, February 25, 2015, and July 30, 2015. In October, training topics included presentations by the Development Disabilities Administration and Resource Coordination on Medicaid waiver eligibility and services as well as targeted case management; the Department of Labor, Licensing, and Regulation on transition initiatives as a result of WIOA; and opportunities available as part of the Maryland Apprenticeship &amp; Training Program. In February, the Department of Health and Mental Hygiene provided training on suicide prevention, signs and symptoms to recognize, and resources available; the DORS Program Income Unit discussed Social Security benefits and pertinent info related to transitioning youth; and a representative from the Job Corp presented on training programs available through that program. The July meeting was devoted to new procedures related to DORS Pre- Employment Transition Services, and this training was immediately followed by an Administrative </w:t>
      </w:r>
      <w:r w:rsidRPr="004A0C12">
        <w:rPr>
          <w:rFonts w:ascii="Garamond" w:hAnsi="Garamond"/>
          <w:szCs w:val="22"/>
        </w:rPr>
        <w:lastRenderedPageBreak/>
        <w:t>Instruction and a Program Directive released in August on this topic. Finally, in September 2015, the Pre-Employment Transition Services Fact Sheet was disseminated to DORS staff as a tool to explain these services to students and families</w:t>
      </w:r>
    </w:p>
    <w:p w14:paraId="7BFFFB34" w14:textId="35ACD2C1" w:rsidR="007A1FDC" w:rsidRPr="004A0C12" w:rsidRDefault="007A1FDC" w:rsidP="00232F09">
      <w:pPr>
        <w:pStyle w:val="ListParagraph"/>
        <w:numPr>
          <w:ilvl w:val="0"/>
          <w:numId w:val="236"/>
        </w:numPr>
        <w:tabs>
          <w:tab w:val="left" w:pos="1080"/>
        </w:tabs>
        <w:jc w:val="both"/>
        <w:rPr>
          <w:rFonts w:ascii="Garamond" w:hAnsi="Garamond"/>
          <w:szCs w:val="22"/>
        </w:rPr>
      </w:pPr>
      <w:r w:rsidRPr="004A0C12">
        <w:rPr>
          <w:rFonts w:ascii="Garamond" w:hAnsi="Garamond"/>
          <w:szCs w:val="22"/>
        </w:rPr>
        <w:t xml:space="preserve">Establish both a baseline and programmatic structure for the implementation of Pre-Employment Transition Services as outlined in </w:t>
      </w:r>
      <w:r w:rsidR="004D36DC" w:rsidRPr="004A0C12">
        <w:rPr>
          <w:rFonts w:ascii="Garamond" w:hAnsi="Garamond"/>
          <w:szCs w:val="22"/>
        </w:rPr>
        <w:t>WIOA.</w:t>
      </w:r>
    </w:p>
    <w:p w14:paraId="2654E1AB" w14:textId="77777777" w:rsidR="007A1FDC" w:rsidRPr="004A0C12" w:rsidRDefault="007A1FDC" w:rsidP="007A1FDC">
      <w:pPr>
        <w:spacing w:after="0" w:line="240" w:lineRule="auto"/>
        <w:jc w:val="both"/>
        <w:rPr>
          <w:rFonts w:ascii="Garamond" w:hAnsi="Garamond"/>
        </w:rPr>
      </w:pPr>
    </w:p>
    <w:p w14:paraId="15EC8DE1" w14:textId="27E4C563" w:rsidR="00FF44FF" w:rsidRPr="004A0C12" w:rsidRDefault="00FF44FF" w:rsidP="007A1FDC">
      <w:pPr>
        <w:spacing w:after="0" w:line="240" w:lineRule="auto"/>
        <w:jc w:val="both"/>
        <w:rPr>
          <w:rFonts w:ascii="Garamond" w:hAnsi="Garamond"/>
        </w:rPr>
      </w:pPr>
      <w:r w:rsidRPr="004A0C12">
        <w:rPr>
          <w:rFonts w:ascii="Garamond" w:hAnsi="Garamond"/>
        </w:rPr>
        <w:t xml:space="preserve">Objective 1.2 - </w:t>
      </w:r>
      <w:r w:rsidR="007A1FDC" w:rsidRPr="004A0C12">
        <w:rPr>
          <w:rFonts w:ascii="Garamond" w:hAnsi="Garamond"/>
        </w:rPr>
        <w:t>DORS will provide high quality services and outcomes for individuals with disabilities served by th</w:t>
      </w:r>
      <w:r w:rsidR="004D36DC" w:rsidRPr="004A0C12">
        <w:rPr>
          <w:rFonts w:ascii="Garamond" w:hAnsi="Garamond"/>
        </w:rPr>
        <w:t>e Office of Field Services</w:t>
      </w:r>
      <w:r w:rsidR="00BF21A5" w:rsidRPr="004A0C12">
        <w:rPr>
          <w:rFonts w:ascii="Garamond" w:hAnsi="Garamond"/>
        </w:rPr>
        <w:t xml:space="preserve"> (OFS)</w:t>
      </w:r>
    </w:p>
    <w:p w14:paraId="2F0BB839" w14:textId="77777777" w:rsidR="00FF44FF" w:rsidRPr="004A0C12" w:rsidRDefault="00FF44FF" w:rsidP="007A1FDC">
      <w:pPr>
        <w:spacing w:after="0" w:line="240" w:lineRule="auto"/>
        <w:jc w:val="both"/>
        <w:rPr>
          <w:rFonts w:ascii="Garamond" w:hAnsi="Garamond"/>
        </w:rPr>
      </w:pPr>
    </w:p>
    <w:p w14:paraId="27939212" w14:textId="6DCAB9D9" w:rsidR="004D36DC" w:rsidRPr="004A0C12" w:rsidRDefault="007A1FDC" w:rsidP="007A1FDC">
      <w:pPr>
        <w:spacing w:after="0" w:line="240" w:lineRule="auto"/>
        <w:jc w:val="both"/>
        <w:rPr>
          <w:rFonts w:ascii="Garamond" w:hAnsi="Garamond"/>
        </w:rPr>
      </w:pPr>
      <w:r w:rsidRPr="004A0C12">
        <w:rPr>
          <w:rFonts w:ascii="Garamond" w:hAnsi="Garamond"/>
        </w:rPr>
        <w:t xml:space="preserve">Strategies: DORS </w:t>
      </w:r>
      <w:r w:rsidR="004D36DC" w:rsidRPr="004A0C12">
        <w:rPr>
          <w:rFonts w:ascii="Garamond" w:hAnsi="Garamond"/>
        </w:rPr>
        <w:t>will</w:t>
      </w:r>
    </w:p>
    <w:p w14:paraId="652D3A3D" w14:textId="77777777" w:rsidR="00881DB5" w:rsidRDefault="007A1FDC" w:rsidP="00232F09">
      <w:pPr>
        <w:pStyle w:val="ListParagraph"/>
        <w:numPr>
          <w:ilvl w:val="0"/>
          <w:numId w:val="237"/>
        </w:numPr>
        <w:jc w:val="both"/>
        <w:rPr>
          <w:rFonts w:ascii="Garamond" w:hAnsi="Garamond"/>
          <w:szCs w:val="22"/>
        </w:rPr>
      </w:pPr>
      <w:r w:rsidRPr="004A0C12">
        <w:rPr>
          <w:rFonts w:ascii="Garamond" w:hAnsi="Garamond"/>
          <w:szCs w:val="22"/>
        </w:rPr>
        <w:t>Provide high quality comprehensive services to eligible individuals with significant disabilities in keeping with the Rehabilitation Act and Federal Regulations, the Code of Maryl</w:t>
      </w:r>
      <w:r w:rsidR="00881DB5">
        <w:rPr>
          <w:rFonts w:ascii="Garamond" w:hAnsi="Garamond"/>
          <w:szCs w:val="22"/>
        </w:rPr>
        <w:t>and regulation, and DORS Policy.</w:t>
      </w:r>
    </w:p>
    <w:p w14:paraId="24FAE9EF" w14:textId="13201386" w:rsidR="009D14C7" w:rsidRPr="004A0C12" w:rsidRDefault="00BF21A5" w:rsidP="00232F09">
      <w:pPr>
        <w:pStyle w:val="ListParagraph"/>
        <w:numPr>
          <w:ilvl w:val="0"/>
          <w:numId w:val="237"/>
        </w:numPr>
        <w:jc w:val="both"/>
        <w:rPr>
          <w:rFonts w:ascii="Garamond" w:hAnsi="Garamond"/>
          <w:szCs w:val="22"/>
        </w:rPr>
      </w:pPr>
      <w:r w:rsidRPr="004A0C12">
        <w:rPr>
          <w:rFonts w:ascii="Garamond" w:hAnsi="Garamond"/>
          <w:szCs w:val="22"/>
        </w:rPr>
        <w:t>The newly hired Business Services Representatives in each region will assist with identifying and implementing strategies to assist consumers in achieving middle-skill (Skills2Compete) as well as professional, managerial and technical positions and higher earnings (Needs Assessment Rec. 1 and 10).</w:t>
      </w:r>
    </w:p>
    <w:p w14:paraId="299A626E" w14:textId="51321991" w:rsidR="004D36DC" w:rsidRPr="004A0C12" w:rsidRDefault="00BF21A5" w:rsidP="00232F09">
      <w:pPr>
        <w:pStyle w:val="ListParagraph"/>
        <w:numPr>
          <w:ilvl w:val="0"/>
          <w:numId w:val="237"/>
        </w:numPr>
        <w:jc w:val="both"/>
        <w:rPr>
          <w:rFonts w:ascii="Garamond" w:hAnsi="Garamond"/>
          <w:szCs w:val="22"/>
        </w:rPr>
      </w:pPr>
      <w:r w:rsidRPr="004A0C12">
        <w:rPr>
          <w:rFonts w:ascii="Garamond" w:hAnsi="Garamond"/>
          <w:szCs w:val="22"/>
        </w:rPr>
        <w:t>The newly hired Business Services Representatives in each region will assist with enhancing linkages with businesses and employers to include customized training, use of OJT and internships, education and disability awareness.</w:t>
      </w:r>
    </w:p>
    <w:p w14:paraId="5DC17861" w14:textId="3F459D56" w:rsidR="007A1FDC" w:rsidRPr="004A0C12" w:rsidRDefault="007A1FDC" w:rsidP="00232F09">
      <w:pPr>
        <w:pStyle w:val="ListParagraph"/>
        <w:numPr>
          <w:ilvl w:val="0"/>
          <w:numId w:val="237"/>
        </w:numPr>
        <w:jc w:val="both"/>
        <w:rPr>
          <w:rFonts w:ascii="Garamond" w:hAnsi="Garamond"/>
          <w:szCs w:val="22"/>
        </w:rPr>
      </w:pPr>
      <w:r w:rsidRPr="004A0C12">
        <w:rPr>
          <w:rFonts w:ascii="Garamond" w:hAnsi="Garamond"/>
          <w:szCs w:val="22"/>
        </w:rPr>
        <w:t>Continue</w:t>
      </w:r>
      <w:r w:rsidR="004D36DC" w:rsidRPr="004A0C12">
        <w:rPr>
          <w:rFonts w:ascii="Garamond" w:hAnsi="Garamond"/>
          <w:szCs w:val="22"/>
        </w:rPr>
        <w:t xml:space="preserve"> to enhance relationships with Community Rehabilitation P</w:t>
      </w:r>
      <w:r w:rsidRPr="004A0C12">
        <w:rPr>
          <w:rFonts w:ascii="Garamond" w:hAnsi="Garamond"/>
          <w:szCs w:val="22"/>
        </w:rPr>
        <w:t xml:space="preserve">rograms through </w:t>
      </w:r>
      <w:r w:rsidR="004D36DC" w:rsidRPr="004A0C12">
        <w:rPr>
          <w:rFonts w:ascii="Garamond" w:hAnsi="Garamond"/>
          <w:szCs w:val="22"/>
        </w:rPr>
        <w:t>increased participation from the Office of Field Services</w:t>
      </w:r>
      <w:r w:rsidRPr="004A0C12">
        <w:rPr>
          <w:rFonts w:ascii="Garamond" w:hAnsi="Garamond"/>
          <w:szCs w:val="22"/>
        </w:rPr>
        <w:t xml:space="preserve"> management in conjunction with the Staff Specialist</w:t>
      </w:r>
      <w:r w:rsidR="004D36DC" w:rsidRPr="004A0C12">
        <w:rPr>
          <w:rFonts w:ascii="Garamond" w:hAnsi="Garamond"/>
          <w:szCs w:val="22"/>
        </w:rPr>
        <w:t>s</w:t>
      </w:r>
      <w:r w:rsidRPr="004A0C12">
        <w:rPr>
          <w:rFonts w:ascii="Garamond" w:hAnsi="Garamond"/>
          <w:szCs w:val="22"/>
        </w:rPr>
        <w:t xml:space="preserve"> for Community Rehabilitation Programs (Needs Assessment Recommendation 2).</w:t>
      </w:r>
      <w:r w:rsidRPr="004A0C12">
        <w:rPr>
          <w:rFonts w:ascii="Garamond" w:hAnsi="Garamond"/>
          <w:szCs w:val="22"/>
        </w:rPr>
        <w:cr/>
      </w:r>
    </w:p>
    <w:p w14:paraId="6233F8C1" w14:textId="0A0BB6EE" w:rsidR="007A1FDC" w:rsidRPr="00967764" w:rsidRDefault="007A1FDC" w:rsidP="007A1FDC">
      <w:pPr>
        <w:spacing w:after="0" w:line="240" w:lineRule="auto"/>
        <w:jc w:val="both"/>
        <w:rPr>
          <w:rFonts w:ascii="Garamond" w:hAnsi="Garamond"/>
        </w:rPr>
      </w:pPr>
      <w:r w:rsidRPr="00967764">
        <w:rPr>
          <w:rFonts w:ascii="Garamond" w:hAnsi="Garamond"/>
        </w:rPr>
        <w:t>Performance Measures by September 30, 201</w:t>
      </w:r>
      <w:r w:rsidR="009D14C7" w:rsidRPr="00967764">
        <w:rPr>
          <w:rFonts w:ascii="Garamond" w:hAnsi="Garamond"/>
        </w:rPr>
        <w:t>5</w:t>
      </w:r>
      <w:r w:rsidRPr="00967764">
        <w:rPr>
          <w:rFonts w:ascii="Garamond" w:hAnsi="Garamond"/>
        </w:rPr>
        <w:t>:</w:t>
      </w:r>
    </w:p>
    <w:p w14:paraId="1D4C003F" w14:textId="453C0D9F"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Meet or exceed federal performance indicators for VR services. End-Year:</w:t>
      </w:r>
    </w:p>
    <w:p w14:paraId="07B240FD"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Standard 1.1: Number of closed cases with an employment outcome</w:t>
      </w:r>
    </w:p>
    <w:p w14:paraId="5C73E40E"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Current Year 2015: 2,559</w:t>
      </w:r>
    </w:p>
    <w:p w14:paraId="6500C520"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Previous Year 2014: 2,545</w:t>
      </w:r>
    </w:p>
    <w:p w14:paraId="699746DF"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2015 DORS Objective: 2,560</w:t>
      </w:r>
    </w:p>
    <w:p w14:paraId="6B86C894"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Standard 1.2: Of closed cases that received services, percentage with an employment outcome.</w:t>
      </w:r>
    </w:p>
    <w:p w14:paraId="2CC9C15D"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Current Year 2015: 59.65%</w:t>
      </w:r>
    </w:p>
    <w:p w14:paraId="530BE054"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Previous Year 2014: 59.09%</w:t>
      </w:r>
    </w:p>
    <w:p w14:paraId="09A9E4AA"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2015 Objective: 55.8%</w:t>
      </w:r>
    </w:p>
    <w:p w14:paraId="55B601AF"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Standard 1.3: Of closed cases with an employment outcome, percentage that have a wage greater than or equal to the minimum wage.</w:t>
      </w:r>
    </w:p>
    <w:p w14:paraId="426B6BB1"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Current Year 2015: 95.38%</w:t>
      </w:r>
    </w:p>
    <w:p w14:paraId="2E0F4C54"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Previous Year 2014: 95.09%</w:t>
      </w:r>
    </w:p>
    <w:p w14:paraId="1BF002FE"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2015 Objective: 72.6%</w:t>
      </w:r>
    </w:p>
    <w:p w14:paraId="61AF80E5"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Standard 1.4: Of closed cases with an employment outcome that have a wage greater than or equal to minimum wage, percentage that have significant disabilities.</w:t>
      </w:r>
    </w:p>
    <w:p w14:paraId="24F0BAFE"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Current Year 2015: 100%</w:t>
      </w:r>
    </w:p>
    <w:p w14:paraId="42426808"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Previous Year 2014: 100%</w:t>
      </w:r>
    </w:p>
    <w:p w14:paraId="089DD8DF"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2015 Objective: 62.4%</w:t>
      </w:r>
    </w:p>
    <w:p w14:paraId="2A958DF3"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Standard 1.5: Ratio of average state wage to the average wage of closed cases with employment outcome that have wages greater than or equal to minimum wage.</w:t>
      </w:r>
    </w:p>
    <w:p w14:paraId="467359D3"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Current Year 2015: .44</w:t>
      </w:r>
    </w:p>
    <w:p w14:paraId="5249D67B" w14:textId="00417BD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Previous Year 2014: .42</w:t>
      </w:r>
    </w:p>
    <w:p w14:paraId="75B61CEC"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lastRenderedPageBreak/>
        <w:t>2015 Objective: .52</w:t>
      </w:r>
    </w:p>
    <w:p w14:paraId="66808DAE"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Standard 1.6: Difference between the percentage of closed cases with employment outcomes that have wage greater than or equal to minimum wage that are self-support at application and the percent of closed cases with employment outcomes that have a wage greater than or equal to the minimum wage that are self-support at closure.</w:t>
      </w:r>
    </w:p>
    <w:p w14:paraId="6CC84777"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Current Year 2015: 68.60%</w:t>
      </w:r>
    </w:p>
    <w:p w14:paraId="5A6A98B7"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Previous Year 2014: 67.69%</w:t>
      </w:r>
    </w:p>
    <w:p w14:paraId="46718151"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2015 Objective: 53.0%</w:t>
      </w:r>
    </w:p>
    <w:p w14:paraId="0B7ADC4B"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Standard 2.1: Ratio of minority service rate to non-minority service rate.</w:t>
      </w:r>
    </w:p>
    <w:p w14:paraId="0361D0E3"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Current Year 2015: .894</w:t>
      </w:r>
    </w:p>
    <w:p w14:paraId="5A974B50"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Previous Year 2014: .842</w:t>
      </w:r>
    </w:p>
    <w:p w14:paraId="79311466"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2015 Objective: .80</w:t>
      </w:r>
    </w:p>
    <w:p w14:paraId="6AE8932D"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DORS met five of the six primary standards and indicators, and achieved 99.96% of its aspirational rehabilitation goal (2,560). DORS has a pattern of not achieving Standard 1.5, due to the state’s high per capita income.</w:t>
      </w:r>
    </w:p>
    <w:p w14:paraId="7763046E"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a. OFS will achieve at least 85% consumer satisfaction.</w:t>
      </w:r>
    </w:p>
    <w:p w14:paraId="2CADDD22"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83% customer satisfaction achieved. Goal unmet due to dip in overall customer satisfaction with timeliness of services (FY 14: 86% to FY 15: 75%)</w:t>
      </w:r>
    </w:p>
    <w:p w14:paraId="25092DDB"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OFS will achieve 2360 employment outcomes.2,386 employment outcomes achieved (FY 13: 2,377).</w:t>
      </w:r>
    </w:p>
    <w:p w14:paraId="6C30EF7E"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b. Achieve at least 90% in presumption of eligibility in SSI and SSDI cases.</w:t>
      </w:r>
    </w:p>
    <w:p w14:paraId="2C6092CF"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88.94% presumption of eligibility timeliness achieved. Eligibility timeliness dipped below 90% during this timeframe in part due to numerous vacancies experienced statewide. Strategies to increase management oversight in FY 16 are being considered.</w:t>
      </w:r>
    </w:p>
    <w:p w14:paraId="0FECE78B"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c. Consumers will achieve an increase in average hourly earnings from the previous year.</w:t>
      </w:r>
    </w:p>
    <w:p w14:paraId="0E7B78E5"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$10.84 (FY 14: $10.50)</w:t>
      </w:r>
    </w:p>
    <w:p w14:paraId="31D9A1EA"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d. More consumers will achieve professional, technical and managerial positions than in the previous year.</w:t>
      </w:r>
    </w:p>
    <w:p w14:paraId="052554BE"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280 (FY 14: 259)</w:t>
      </w:r>
    </w:p>
    <w:p w14:paraId="0430C27C" w14:textId="77777777" w:rsidR="009D14C7" w:rsidRPr="00967764" w:rsidRDefault="009D14C7" w:rsidP="009D14C7">
      <w:pPr>
        <w:pStyle w:val="NormalWeb"/>
        <w:spacing w:before="0" w:beforeAutospacing="0" w:afterAutospacing="0"/>
        <w:rPr>
          <w:rFonts w:ascii="Garamond" w:hAnsi="Garamond"/>
          <w:sz w:val="22"/>
          <w:szCs w:val="22"/>
        </w:rPr>
      </w:pPr>
      <w:r w:rsidRPr="00967764">
        <w:rPr>
          <w:rFonts w:ascii="Garamond" w:hAnsi="Garamond"/>
          <w:color w:val="000000"/>
          <w:sz w:val="22"/>
          <w:szCs w:val="22"/>
        </w:rPr>
        <w:t>e. Will continue to report middle-skill career achievement related to Skills2Compete required by the governor’s office.</w:t>
      </w:r>
    </w:p>
    <w:p w14:paraId="60153E28" w14:textId="5099BB98" w:rsidR="007A1FDC" w:rsidRPr="00967764" w:rsidRDefault="009D14C7" w:rsidP="007A1FDC">
      <w:pPr>
        <w:pStyle w:val="Heading4A"/>
        <w:spacing w:after="0"/>
        <w:jc w:val="both"/>
        <w:rPr>
          <w:rFonts w:ascii="Garamond" w:hAnsi="Garamond"/>
          <w:b w:val="0"/>
          <w:sz w:val="22"/>
          <w:szCs w:val="22"/>
        </w:rPr>
      </w:pPr>
      <w:r w:rsidRPr="00967764">
        <w:rPr>
          <w:rFonts w:ascii="Garamond" w:hAnsi="Garamond"/>
          <w:sz w:val="22"/>
          <w:szCs w:val="22"/>
        </w:rPr>
        <w:t>S2C Metric Numbers for State Year 2014 reported on October 15, 2014 at the request of the Governor’s Workforce Investment Board.</w:t>
      </w:r>
      <w:r w:rsidR="00881DB5" w:rsidRPr="00967764">
        <w:rPr>
          <w:rFonts w:ascii="Garamond" w:hAnsi="Garamond"/>
          <w:sz w:val="22"/>
          <w:szCs w:val="22"/>
        </w:rPr>
        <w:t xml:space="preserve"> </w:t>
      </w:r>
      <w:r w:rsidR="00FF44FF" w:rsidRPr="00967764">
        <w:rPr>
          <w:rFonts w:ascii="Garamond" w:hAnsi="Garamond"/>
          <w:b w:val="0"/>
          <w:sz w:val="22"/>
          <w:szCs w:val="22"/>
        </w:rPr>
        <w:t xml:space="preserve">Objective 1.3 - </w:t>
      </w:r>
      <w:r w:rsidR="007A1FDC" w:rsidRPr="00967764">
        <w:rPr>
          <w:rFonts w:ascii="Garamond" w:hAnsi="Garamond"/>
          <w:b w:val="0"/>
          <w:sz w:val="22"/>
          <w:szCs w:val="22"/>
        </w:rPr>
        <w:t>DORS will provide high-quality services and outcomes for individuals who are blind,</w:t>
      </w:r>
      <w:r w:rsidR="00817884" w:rsidRPr="00967764">
        <w:rPr>
          <w:rFonts w:ascii="Garamond" w:hAnsi="Garamond"/>
          <w:b w:val="0"/>
          <w:sz w:val="22"/>
          <w:szCs w:val="22"/>
        </w:rPr>
        <w:t xml:space="preserve"> vision impaired and Deaf-Blind</w:t>
      </w:r>
      <w:r w:rsidRPr="00967764">
        <w:rPr>
          <w:rFonts w:ascii="Garamond" w:hAnsi="Garamond"/>
          <w:b w:val="0"/>
          <w:sz w:val="22"/>
          <w:szCs w:val="22"/>
        </w:rPr>
        <w:t xml:space="preserve"> (B/VI)</w:t>
      </w:r>
      <w:r w:rsidR="00817884" w:rsidRPr="00967764">
        <w:rPr>
          <w:rFonts w:ascii="Garamond" w:hAnsi="Garamond"/>
          <w:b w:val="0"/>
          <w:sz w:val="22"/>
          <w:szCs w:val="22"/>
        </w:rPr>
        <w:t>.</w:t>
      </w:r>
    </w:p>
    <w:p w14:paraId="619DEDD0" w14:textId="77777777" w:rsidR="00BF652B" w:rsidRPr="00967764" w:rsidRDefault="00BF652B" w:rsidP="007A1FDC">
      <w:pPr>
        <w:spacing w:after="0" w:line="240" w:lineRule="auto"/>
        <w:jc w:val="both"/>
        <w:rPr>
          <w:rFonts w:ascii="Garamond" w:hAnsi="Garamond"/>
        </w:rPr>
      </w:pPr>
    </w:p>
    <w:p w14:paraId="02B9406C" w14:textId="77777777" w:rsidR="00BF652B" w:rsidRPr="00967764" w:rsidRDefault="00BF652B" w:rsidP="007A1FDC">
      <w:pPr>
        <w:spacing w:after="0" w:line="240" w:lineRule="auto"/>
        <w:jc w:val="both"/>
        <w:rPr>
          <w:rFonts w:ascii="Garamond" w:hAnsi="Garamond"/>
        </w:rPr>
      </w:pPr>
    </w:p>
    <w:p w14:paraId="20573E97" w14:textId="060FDEC5" w:rsidR="007A1FDC" w:rsidRPr="00967764" w:rsidRDefault="007A1FDC" w:rsidP="007A1FDC">
      <w:pPr>
        <w:pStyle w:val="BodyText21"/>
        <w:spacing w:after="0" w:line="240" w:lineRule="auto"/>
        <w:jc w:val="both"/>
        <w:rPr>
          <w:rFonts w:ascii="Garamond" w:hAnsi="Garamond"/>
          <w:szCs w:val="22"/>
        </w:rPr>
      </w:pPr>
      <w:r w:rsidRPr="00967764">
        <w:rPr>
          <w:rFonts w:ascii="Garamond" w:hAnsi="Garamond"/>
          <w:szCs w:val="22"/>
        </w:rPr>
        <w:t>Strategies:</w:t>
      </w:r>
      <w:r w:rsidR="009D14C7" w:rsidRPr="00967764">
        <w:rPr>
          <w:rFonts w:ascii="Garamond" w:hAnsi="Garamond"/>
          <w:szCs w:val="22"/>
        </w:rPr>
        <w:t xml:space="preserve"> DORS will</w:t>
      </w:r>
    </w:p>
    <w:p w14:paraId="17E92C61" w14:textId="77777777" w:rsidR="00BF652B" w:rsidRPr="00967764" w:rsidRDefault="00BF652B" w:rsidP="007A1FDC">
      <w:pPr>
        <w:pStyle w:val="BodyText21"/>
        <w:spacing w:after="0" w:line="240" w:lineRule="auto"/>
        <w:jc w:val="both"/>
        <w:rPr>
          <w:rFonts w:ascii="Garamond" w:hAnsi="Garamond"/>
          <w:szCs w:val="22"/>
        </w:rPr>
      </w:pPr>
    </w:p>
    <w:p w14:paraId="4E08DC34" w14:textId="77777777" w:rsidR="007A1FDC" w:rsidRPr="00967764" w:rsidRDefault="007A1FDC" w:rsidP="007A1FDC">
      <w:pPr>
        <w:pStyle w:val="BodyText21"/>
        <w:spacing w:after="0" w:line="240" w:lineRule="auto"/>
        <w:jc w:val="both"/>
        <w:rPr>
          <w:rFonts w:ascii="Garamond" w:hAnsi="Garamond"/>
          <w:szCs w:val="22"/>
        </w:rPr>
      </w:pPr>
      <w:r w:rsidRPr="00967764">
        <w:rPr>
          <w:rFonts w:ascii="Garamond" w:hAnsi="Garamond"/>
          <w:szCs w:val="22"/>
        </w:rPr>
        <w:t>Provide high quality comprehensive services to eligible individuals who are blind, vision impaired and Deaf-Blind in keeping with the Rehabilitation Act and Federal Regulations, the Code of Maryland regulation, the Randolph Shepard Act and DORS Policy.</w:t>
      </w:r>
    </w:p>
    <w:p w14:paraId="44F49D51" w14:textId="77777777" w:rsidR="007A1FDC" w:rsidRPr="00967764" w:rsidRDefault="007A1FDC" w:rsidP="007A1FDC">
      <w:pPr>
        <w:spacing w:after="0" w:line="240" w:lineRule="auto"/>
        <w:jc w:val="both"/>
        <w:rPr>
          <w:rFonts w:ascii="Garamond" w:hAnsi="Garamond"/>
        </w:rPr>
      </w:pPr>
    </w:p>
    <w:p w14:paraId="29E1CFC2" w14:textId="56EC150D" w:rsidR="009D14C7" w:rsidRPr="00967764" w:rsidRDefault="009D14C7" w:rsidP="00232F09">
      <w:pPr>
        <w:pStyle w:val="ListParagraph"/>
        <w:numPr>
          <w:ilvl w:val="0"/>
          <w:numId w:val="238"/>
        </w:numPr>
        <w:jc w:val="both"/>
        <w:rPr>
          <w:rFonts w:ascii="Garamond" w:hAnsi="Garamond"/>
          <w:szCs w:val="22"/>
        </w:rPr>
      </w:pPr>
      <w:r w:rsidRPr="00967764">
        <w:rPr>
          <w:rFonts w:ascii="Garamond" w:hAnsi="Garamond"/>
          <w:szCs w:val="22"/>
        </w:rPr>
        <w:t>Provide high quality comprehensive services to eligible individuals who are blind and vision impaired in keeping with the Rehabilitation Act and Federal Regulations, the Code of Maryland regulation, the Randolph Shepard Act and DORS policy.</w:t>
      </w:r>
    </w:p>
    <w:p w14:paraId="0E53661C" w14:textId="496251CB" w:rsidR="00817884" w:rsidRPr="00967764" w:rsidRDefault="007A1FDC" w:rsidP="00232F09">
      <w:pPr>
        <w:pStyle w:val="ListParagraph"/>
        <w:numPr>
          <w:ilvl w:val="0"/>
          <w:numId w:val="238"/>
        </w:numPr>
        <w:jc w:val="both"/>
        <w:rPr>
          <w:rFonts w:ascii="Garamond" w:hAnsi="Garamond"/>
          <w:szCs w:val="22"/>
        </w:rPr>
      </w:pPr>
      <w:r w:rsidRPr="00967764">
        <w:rPr>
          <w:rFonts w:ascii="Garamond" w:hAnsi="Garamond"/>
          <w:szCs w:val="22"/>
        </w:rPr>
        <w:t>Provide independent living services to older individuals who are blind through</w:t>
      </w:r>
      <w:r w:rsidR="00817884" w:rsidRPr="00967764">
        <w:rPr>
          <w:rFonts w:ascii="Garamond" w:hAnsi="Garamond"/>
          <w:szCs w:val="22"/>
        </w:rPr>
        <w:t>:</w:t>
      </w:r>
      <w:r w:rsidRPr="00967764">
        <w:rPr>
          <w:rFonts w:ascii="Garamond" w:hAnsi="Garamond"/>
          <w:szCs w:val="22"/>
        </w:rPr>
        <w:t xml:space="preserve"> (1) direct services of DORS rehabilitation teachers</w:t>
      </w:r>
      <w:r w:rsidR="00817884" w:rsidRPr="00967764">
        <w:rPr>
          <w:rFonts w:ascii="Garamond" w:hAnsi="Garamond"/>
          <w:szCs w:val="22"/>
        </w:rPr>
        <w:t>;</w:t>
      </w:r>
      <w:r w:rsidRPr="00967764">
        <w:rPr>
          <w:rFonts w:ascii="Garamond" w:hAnsi="Garamond"/>
          <w:szCs w:val="22"/>
        </w:rPr>
        <w:t xml:space="preserve"> and</w:t>
      </w:r>
      <w:r w:rsidR="00817884" w:rsidRPr="00967764">
        <w:rPr>
          <w:rFonts w:ascii="Garamond" w:hAnsi="Garamond"/>
          <w:szCs w:val="22"/>
        </w:rPr>
        <w:t>,</w:t>
      </w:r>
      <w:r w:rsidRPr="00967764">
        <w:rPr>
          <w:rFonts w:ascii="Garamond" w:hAnsi="Garamond"/>
          <w:szCs w:val="22"/>
        </w:rPr>
        <w:t xml:space="preserve"> (2) grants to c</w:t>
      </w:r>
      <w:r w:rsidR="00530FA0" w:rsidRPr="00967764">
        <w:rPr>
          <w:rFonts w:ascii="Garamond" w:hAnsi="Garamond"/>
          <w:szCs w:val="22"/>
        </w:rPr>
        <w:t>ommunity organizations</w:t>
      </w:r>
    </w:p>
    <w:p w14:paraId="30F4433F" w14:textId="06D91008" w:rsidR="00817884" w:rsidRPr="00967764" w:rsidRDefault="00817884" w:rsidP="00232F09">
      <w:pPr>
        <w:pStyle w:val="ListParagraph"/>
        <w:numPr>
          <w:ilvl w:val="0"/>
          <w:numId w:val="238"/>
        </w:numPr>
        <w:jc w:val="both"/>
        <w:rPr>
          <w:rFonts w:ascii="Garamond" w:hAnsi="Garamond"/>
          <w:szCs w:val="22"/>
        </w:rPr>
      </w:pPr>
      <w:r w:rsidRPr="00967764">
        <w:rPr>
          <w:rFonts w:ascii="Garamond" w:hAnsi="Garamond"/>
          <w:szCs w:val="22"/>
        </w:rPr>
        <w:t>Collaborate with the Workforce &amp; Technology Center</w:t>
      </w:r>
      <w:r w:rsidR="007A1FDC" w:rsidRPr="00967764">
        <w:rPr>
          <w:rFonts w:ascii="Garamond" w:hAnsi="Garamond"/>
          <w:szCs w:val="22"/>
        </w:rPr>
        <w:t xml:space="preserve"> in assuring that Blind, Visually Impaired</w:t>
      </w:r>
      <w:r w:rsidRPr="00967764">
        <w:rPr>
          <w:rFonts w:ascii="Garamond" w:hAnsi="Garamond"/>
          <w:szCs w:val="22"/>
        </w:rPr>
        <w:t>,</w:t>
      </w:r>
      <w:r w:rsidR="007A1FDC" w:rsidRPr="00967764">
        <w:rPr>
          <w:rFonts w:ascii="Garamond" w:hAnsi="Garamond"/>
          <w:szCs w:val="22"/>
        </w:rPr>
        <w:t xml:space="preserve"> and Deaf-Blind consumers have equal access </w:t>
      </w:r>
      <w:r w:rsidRPr="00967764">
        <w:rPr>
          <w:rFonts w:ascii="Garamond" w:hAnsi="Garamond"/>
          <w:szCs w:val="22"/>
        </w:rPr>
        <w:t>to all programs available at the Workforce &amp; Technology Cente</w:t>
      </w:r>
      <w:r w:rsidR="00530FA0" w:rsidRPr="00967764">
        <w:rPr>
          <w:rFonts w:ascii="Garamond" w:hAnsi="Garamond"/>
          <w:szCs w:val="22"/>
        </w:rPr>
        <w:t>r</w:t>
      </w:r>
    </w:p>
    <w:p w14:paraId="31743A63" w14:textId="138B6322" w:rsidR="00817884" w:rsidRPr="00967764" w:rsidRDefault="007A1FDC" w:rsidP="00232F09">
      <w:pPr>
        <w:pStyle w:val="ListParagraph"/>
        <w:numPr>
          <w:ilvl w:val="0"/>
          <w:numId w:val="238"/>
        </w:numPr>
        <w:jc w:val="both"/>
        <w:rPr>
          <w:rFonts w:ascii="Garamond" w:hAnsi="Garamond"/>
          <w:szCs w:val="22"/>
        </w:rPr>
      </w:pPr>
      <w:r w:rsidRPr="00967764">
        <w:rPr>
          <w:rFonts w:ascii="Garamond" w:hAnsi="Garamond"/>
          <w:szCs w:val="22"/>
        </w:rPr>
        <w:lastRenderedPageBreak/>
        <w:t>Enhance linkages with businesses and employers to include customized training, education and disability awareness, wor</w:t>
      </w:r>
      <w:r w:rsidR="00CF391B" w:rsidRPr="00967764">
        <w:rPr>
          <w:rFonts w:ascii="Garamond" w:hAnsi="Garamond"/>
          <w:szCs w:val="22"/>
        </w:rPr>
        <w:t>k site Assistive Technology</w:t>
      </w:r>
      <w:r w:rsidRPr="00967764">
        <w:rPr>
          <w:rFonts w:ascii="Garamond" w:hAnsi="Garamond"/>
          <w:szCs w:val="22"/>
        </w:rPr>
        <w:t xml:space="preserve"> services and mentoring/internship activities, raising awareness and expectations for competitive employment for consumers who are blind/v</w:t>
      </w:r>
      <w:r w:rsidR="00530FA0" w:rsidRPr="00967764">
        <w:rPr>
          <w:rFonts w:ascii="Garamond" w:hAnsi="Garamond"/>
          <w:szCs w:val="22"/>
        </w:rPr>
        <w:t>isually impaired and Deaf-Blind</w:t>
      </w:r>
    </w:p>
    <w:p w14:paraId="3DD920CB" w14:textId="1A1FB977" w:rsidR="00817884" w:rsidRPr="00967764" w:rsidRDefault="009D14C7" w:rsidP="00232F09">
      <w:pPr>
        <w:pStyle w:val="ListParagraph"/>
        <w:numPr>
          <w:ilvl w:val="0"/>
          <w:numId w:val="238"/>
        </w:numPr>
        <w:jc w:val="both"/>
        <w:rPr>
          <w:rFonts w:ascii="Garamond" w:hAnsi="Garamond"/>
          <w:szCs w:val="22"/>
        </w:rPr>
      </w:pPr>
      <w:r w:rsidRPr="00967764">
        <w:rPr>
          <w:rFonts w:ascii="Garamond" w:hAnsi="Garamond"/>
          <w:szCs w:val="22"/>
        </w:rPr>
        <w:t>Increase</w:t>
      </w:r>
      <w:r w:rsidR="007A1FDC" w:rsidRPr="00967764">
        <w:rPr>
          <w:rFonts w:ascii="Garamond" w:hAnsi="Garamond"/>
          <w:szCs w:val="22"/>
        </w:rPr>
        <w:t xml:space="preserve"> services and outreach to individuals who are deaf-blind and provide technical assistance to staff serving this population (Nee</w:t>
      </w:r>
      <w:r w:rsidR="00817884" w:rsidRPr="00967764">
        <w:rPr>
          <w:rFonts w:ascii="Garamond" w:hAnsi="Garamond"/>
          <w:szCs w:val="22"/>
        </w:rPr>
        <w:t>ds Ass</w:t>
      </w:r>
      <w:r w:rsidR="00530FA0" w:rsidRPr="00967764">
        <w:rPr>
          <w:rFonts w:ascii="Garamond" w:hAnsi="Garamond"/>
          <w:szCs w:val="22"/>
        </w:rPr>
        <w:t>essment Recommendation 7)</w:t>
      </w:r>
    </w:p>
    <w:p w14:paraId="198B984D" w14:textId="6BD9880A" w:rsidR="007A1FDC" w:rsidRPr="00967764" w:rsidRDefault="007A1FDC" w:rsidP="00232F09">
      <w:pPr>
        <w:pStyle w:val="ListParagraph"/>
        <w:numPr>
          <w:ilvl w:val="0"/>
          <w:numId w:val="238"/>
        </w:numPr>
        <w:jc w:val="both"/>
        <w:rPr>
          <w:rFonts w:ascii="Garamond" w:hAnsi="Garamond"/>
          <w:szCs w:val="22"/>
        </w:rPr>
      </w:pPr>
      <w:r w:rsidRPr="00967764">
        <w:rPr>
          <w:rFonts w:ascii="Garamond" w:hAnsi="Garamond"/>
          <w:szCs w:val="22"/>
        </w:rPr>
        <w:t xml:space="preserve">Recruit and train </w:t>
      </w:r>
      <w:r w:rsidRPr="00967764">
        <w:rPr>
          <w:rStyle w:val="s"/>
          <w:rFonts w:ascii="Garamond" w:hAnsi="Garamond"/>
          <w:sz w:val="22"/>
          <w:szCs w:val="22"/>
        </w:rPr>
        <w:t>Maryland Business Enterpris</w:t>
      </w:r>
      <w:r w:rsidR="00530FA0" w:rsidRPr="00967764">
        <w:rPr>
          <w:rStyle w:val="s"/>
          <w:rFonts w:ascii="Garamond" w:hAnsi="Garamond"/>
          <w:sz w:val="22"/>
          <w:szCs w:val="22"/>
        </w:rPr>
        <w:t>e Program for the Blind vendors</w:t>
      </w:r>
    </w:p>
    <w:p w14:paraId="1B5E84A9" w14:textId="77777777" w:rsidR="007A1FDC" w:rsidRPr="00967764" w:rsidRDefault="007A1FDC" w:rsidP="00431254">
      <w:pPr>
        <w:spacing w:after="0" w:line="240" w:lineRule="auto"/>
        <w:jc w:val="both"/>
        <w:rPr>
          <w:rFonts w:ascii="Garamond" w:hAnsi="Garamond"/>
        </w:rPr>
      </w:pPr>
    </w:p>
    <w:p w14:paraId="44613F08" w14:textId="77777777" w:rsidR="00902C29" w:rsidRPr="00967764" w:rsidRDefault="00902C29" w:rsidP="00431254">
      <w:pPr>
        <w:spacing w:after="0" w:line="240" w:lineRule="auto"/>
        <w:jc w:val="both"/>
        <w:rPr>
          <w:rFonts w:ascii="Garamond" w:hAnsi="Garamond"/>
        </w:rPr>
      </w:pPr>
    </w:p>
    <w:p w14:paraId="6157A2F8" w14:textId="4E1AC8F2" w:rsidR="007A1FDC" w:rsidRPr="00967764" w:rsidRDefault="007A1FDC" w:rsidP="007A1FDC">
      <w:pPr>
        <w:spacing w:after="0" w:line="240" w:lineRule="auto"/>
        <w:jc w:val="both"/>
        <w:rPr>
          <w:rFonts w:ascii="Garamond" w:hAnsi="Garamond"/>
        </w:rPr>
      </w:pPr>
      <w:r w:rsidRPr="00967764">
        <w:rPr>
          <w:rFonts w:ascii="Garamond" w:hAnsi="Garamond"/>
        </w:rPr>
        <w:t xml:space="preserve">Performance </w:t>
      </w:r>
      <w:r w:rsidR="00817884" w:rsidRPr="00967764">
        <w:rPr>
          <w:rFonts w:ascii="Garamond" w:hAnsi="Garamond"/>
        </w:rPr>
        <w:t>Measures by September 30, 201</w:t>
      </w:r>
      <w:r w:rsidR="009D14C7" w:rsidRPr="00967764">
        <w:rPr>
          <w:rFonts w:ascii="Garamond" w:hAnsi="Garamond"/>
        </w:rPr>
        <w:t>5</w:t>
      </w:r>
      <w:r w:rsidR="00817884" w:rsidRPr="00967764">
        <w:rPr>
          <w:rFonts w:ascii="Garamond" w:hAnsi="Garamond"/>
        </w:rPr>
        <w:t>:</w:t>
      </w:r>
    </w:p>
    <w:p w14:paraId="57D0B30D"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a. Meet or exceed federal performance indicators for services for blind/vision impaired.</w:t>
      </w:r>
    </w:p>
    <w:p w14:paraId="7C71D19C"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End-Year:</w:t>
      </w:r>
    </w:p>
    <w:p w14:paraId="35835059"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Standard 1.1: Number of closed cases with an employment outcome</w:t>
      </w:r>
    </w:p>
    <w:p w14:paraId="09AE37C8"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Current Year 2015: 173</w:t>
      </w:r>
    </w:p>
    <w:p w14:paraId="7B9EB823"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Previous Year 2014: 166</w:t>
      </w:r>
    </w:p>
    <w:p w14:paraId="130B17AB"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(2015 DORS Objective: 180)</w:t>
      </w:r>
    </w:p>
    <w:p w14:paraId="2B97C5D4"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Standard 1.2: Of closed cases that received services, percentage with an employment outcome.</w:t>
      </w:r>
    </w:p>
    <w:p w14:paraId="788D0D29"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Current Year 2015: 73.62%</w:t>
      </w:r>
    </w:p>
    <w:p w14:paraId="563ED21B"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Previous Year 2014: 69.42%</w:t>
      </w:r>
    </w:p>
    <w:p w14:paraId="430F4B85"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2015 Objective: 55.8%</w:t>
      </w:r>
    </w:p>
    <w:p w14:paraId="3CD114DE"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Standard 1.3: Of closed cases with an employment outcome, percentage that have a wage greater than or equal to the minimum wage.</w:t>
      </w:r>
    </w:p>
    <w:p w14:paraId="3C1A6389"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Current Year 2015: 58.38%</w:t>
      </w:r>
    </w:p>
    <w:p w14:paraId="5B696545"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Previous Year 2014: 63.10%</w:t>
      </w:r>
    </w:p>
    <w:p w14:paraId="755EF47C"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2015 Objective: 72.6%</w:t>
      </w:r>
    </w:p>
    <w:p w14:paraId="56D632E1"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Standard 1.4: Of closed cases with an employment outcome that have a wage greater than or equal to minimum wage, percentage that have significant disabilities.</w:t>
      </w:r>
    </w:p>
    <w:p w14:paraId="726AC8E9"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Current Year 2015: 100%</w:t>
      </w:r>
    </w:p>
    <w:p w14:paraId="05AA976C"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Previous Year 2014: 100%</w:t>
      </w:r>
    </w:p>
    <w:p w14:paraId="7C7FB89D"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2015 Objective: 62.4%</w:t>
      </w:r>
    </w:p>
    <w:p w14:paraId="4ADA4995"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Standard 1.5: Ratio of average state wage to the average wage of closed cases with employment outcome that have wages greater than or equal to minimum wage.</w:t>
      </w:r>
    </w:p>
    <w:p w14:paraId="3345BE35"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Current Year 2015: .67</w:t>
      </w:r>
    </w:p>
    <w:p w14:paraId="159ED25F"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Previous Year 2014: .72</w:t>
      </w:r>
    </w:p>
    <w:p w14:paraId="08F93532"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2015 Objective: .52</w:t>
      </w:r>
    </w:p>
    <w:p w14:paraId="5B7A78DC"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Standard 1.6: Difference between the percentage of closed cases with employment outcomes that have wage greater than or equal to minimum wage that are self-support at application and the percent of closed cases with employment outcomes that have a wage greater than or equal to the minimum wage that are self-support at closure.</w:t>
      </w:r>
    </w:p>
    <w:p w14:paraId="047B6485"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Current Year 2015: 54.455%</w:t>
      </w:r>
    </w:p>
    <w:p w14:paraId="0CCBF891"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Previous Year 2014: 56.604%</w:t>
      </w:r>
    </w:p>
    <w:p w14:paraId="080B99A3" w14:textId="2BE35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lastRenderedPageBreak/>
        <w:t>2015 Objective: 53.000%</w:t>
      </w:r>
    </w:p>
    <w:p w14:paraId="4011B637"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Standard 2.1: Ratio of minority service rate to non-minority service rate.</w:t>
      </w:r>
    </w:p>
    <w:p w14:paraId="02883812"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Current Year 2015: 1.045</w:t>
      </w:r>
    </w:p>
    <w:p w14:paraId="3EDBC715"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Previous Year 2014: .933</w:t>
      </w:r>
    </w:p>
    <w:p w14:paraId="1071417B"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2015 Objective: .800</w:t>
      </w:r>
    </w:p>
    <w:p w14:paraId="63E9D5C9"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Standards achieved for 5 of the 6 indicators, and 96% of aspirational goal (180) achieved. Standard 1.3 missed this year due to an 11% increase in the number of homemaker outcomes between FY 14 and FY 15.</w:t>
      </w:r>
    </w:p>
    <w:p w14:paraId="1CBB7283"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b. OBVS will achieve 180 employment outcomes.</w:t>
      </w:r>
    </w:p>
    <w:p w14:paraId="5E24D40B"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173 outcomes achieved, despite numerous vacancies throughout the year.</w:t>
      </w:r>
    </w:p>
    <w:p w14:paraId="45E79CA3"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c. The Business Enterprise Program will recruit/train/license three new managers and establish new vending sites where available.</w:t>
      </w:r>
    </w:p>
    <w:p w14:paraId="6170EF9B"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BEP trained and licensed 4 vendors in FY 2015, including 1 new facility located at the National Cancer Institute (NCI).</w:t>
      </w:r>
    </w:p>
    <w:p w14:paraId="44A4F7B5"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d. Establish a baseline of ILOB outcomes in light of programmatic/service modifications and anticipated funding reductions.</w:t>
      </w:r>
    </w:p>
    <w:p w14:paraId="07BFB1E6"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In FY2015, 846 consumers were served under the ILOB program.</w:t>
      </w:r>
    </w:p>
    <w:p w14:paraId="6018818B"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e. An increased number of consumers who are blind/vision impaired or deaf-blind will be referred to the WTC compared with the previous year.</w:t>
      </w:r>
    </w:p>
    <w:p w14:paraId="272EAC28"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?349 (312 blind/vision impaired and 37 deaf/blind) consumers served; down 3.5% from the previous year (362). Incorrect coding of the consumers’ Deaf/Blind disability may have contributed to this decline. Efforts are underway to ensure that Deaf/Blind consumers are properly coded. A turnover in WTC staff also affected the number of consumers served. ?</w:t>
      </w:r>
    </w:p>
    <w:p w14:paraId="448F3B45"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f. Achieve a consumer satisfaction rate of 85%.</w:t>
      </w:r>
    </w:p>
    <w:p w14:paraId="45E19D82" w14:textId="77777777" w:rsidR="005C6A72" w:rsidRPr="00967764" w:rsidRDefault="005C6A72" w:rsidP="00232F09">
      <w:pPr>
        <w:pStyle w:val="NormalWeb"/>
        <w:numPr>
          <w:ilvl w:val="0"/>
          <w:numId w:val="239"/>
        </w:numPr>
        <w:spacing w:before="0" w:beforeAutospacing="0" w:afterAutospacing="0"/>
        <w:rPr>
          <w:rFonts w:ascii="Garamond" w:hAnsi="Garamond"/>
          <w:sz w:val="22"/>
          <w:szCs w:val="22"/>
        </w:rPr>
      </w:pPr>
      <w:r w:rsidRPr="00967764">
        <w:rPr>
          <w:rFonts w:ascii="Garamond" w:hAnsi="Garamond"/>
          <w:color w:val="000000"/>
          <w:sz w:val="22"/>
          <w:szCs w:val="22"/>
        </w:rPr>
        <w:t>85% customer satisfaction achieved for SY15, ending June 30, 2015.</w:t>
      </w:r>
    </w:p>
    <w:p w14:paraId="1CBB8DDF" w14:textId="560DE8E8" w:rsidR="007A1FDC" w:rsidRPr="004A0C12" w:rsidRDefault="00FF44FF" w:rsidP="007A1FDC">
      <w:pPr>
        <w:pStyle w:val="Heading4A"/>
        <w:spacing w:after="0"/>
        <w:jc w:val="both"/>
        <w:rPr>
          <w:rFonts w:ascii="Garamond" w:hAnsi="Garamond"/>
          <w:b w:val="0"/>
          <w:sz w:val="22"/>
          <w:szCs w:val="22"/>
        </w:rPr>
      </w:pPr>
      <w:r w:rsidRPr="00967764">
        <w:rPr>
          <w:rFonts w:ascii="Garamond" w:hAnsi="Garamond"/>
          <w:b w:val="0"/>
          <w:sz w:val="22"/>
          <w:szCs w:val="22"/>
        </w:rPr>
        <w:t xml:space="preserve">Objective 1.4 - </w:t>
      </w:r>
      <w:r w:rsidR="007A1FDC" w:rsidRPr="00967764">
        <w:rPr>
          <w:rFonts w:ascii="Garamond" w:hAnsi="Garamond"/>
          <w:b w:val="0"/>
          <w:sz w:val="22"/>
          <w:szCs w:val="22"/>
        </w:rPr>
        <w:t>Provide effective pre-employment transition services and employment services at the Workforce &amp; Technology Center using state-of-the-art interdisciplinary strategies.</w:t>
      </w:r>
    </w:p>
    <w:p w14:paraId="623E52D7" w14:textId="77777777" w:rsidR="007A1FDC" w:rsidRPr="004A0C12" w:rsidRDefault="007A1FDC" w:rsidP="007A1FDC">
      <w:pPr>
        <w:spacing w:after="0" w:line="240" w:lineRule="auto"/>
        <w:jc w:val="both"/>
        <w:rPr>
          <w:rFonts w:ascii="Garamond" w:hAnsi="Garamond"/>
        </w:rPr>
      </w:pPr>
    </w:p>
    <w:p w14:paraId="0BFCF01B"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75AB4284" w14:textId="63EF1F01" w:rsidR="00F575A7" w:rsidRPr="004A0C12" w:rsidRDefault="007A1FDC" w:rsidP="00232F09">
      <w:pPr>
        <w:pStyle w:val="ListParagraph"/>
        <w:numPr>
          <w:ilvl w:val="0"/>
          <w:numId w:val="240"/>
        </w:numPr>
        <w:tabs>
          <w:tab w:val="left" w:pos="720"/>
        </w:tabs>
        <w:jc w:val="both"/>
        <w:rPr>
          <w:rFonts w:ascii="Garamond" w:hAnsi="Garamond"/>
          <w:szCs w:val="22"/>
        </w:rPr>
      </w:pPr>
      <w:r w:rsidRPr="004A0C12">
        <w:rPr>
          <w:rFonts w:ascii="Garamond" w:hAnsi="Garamond"/>
          <w:szCs w:val="22"/>
        </w:rPr>
        <w:t>Provide high quality comprehensive services to individuals with significant disabilities to facilitate</w:t>
      </w:r>
      <w:r w:rsidR="00530FA0" w:rsidRPr="004A0C12">
        <w:rPr>
          <w:rFonts w:ascii="Garamond" w:hAnsi="Garamond"/>
          <w:szCs w:val="22"/>
        </w:rPr>
        <w:t xml:space="preserve"> successful employment outcomes</w:t>
      </w:r>
    </w:p>
    <w:p w14:paraId="7BCB0C7C" w14:textId="7F530958" w:rsidR="007A3A8D" w:rsidRPr="004A0C12" w:rsidRDefault="007A1FDC" w:rsidP="00232F09">
      <w:pPr>
        <w:pStyle w:val="ListParagraph"/>
        <w:numPr>
          <w:ilvl w:val="0"/>
          <w:numId w:val="240"/>
        </w:numPr>
        <w:tabs>
          <w:tab w:val="left" w:pos="720"/>
        </w:tabs>
        <w:jc w:val="both"/>
        <w:rPr>
          <w:rFonts w:ascii="Garamond" w:hAnsi="Garamond"/>
          <w:szCs w:val="22"/>
        </w:rPr>
      </w:pPr>
      <w:r w:rsidRPr="004A0C12">
        <w:rPr>
          <w:rFonts w:ascii="Garamond" w:hAnsi="Garamond"/>
          <w:szCs w:val="22"/>
        </w:rPr>
        <w:t>Develop relationships with employers utilizing agency staff who specialize in underserved popula</w:t>
      </w:r>
      <w:r w:rsidR="007A3A8D" w:rsidRPr="004A0C12">
        <w:rPr>
          <w:rFonts w:ascii="Garamond" w:hAnsi="Garamond"/>
          <w:szCs w:val="22"/>
        </w:rPr>
        <w:t xml:space="preserve">tions to address service needs, </w:t>
      </w:r>
      <w:r w:rsidRPr="004A0C12">
        <w:rPr>
          <w:rFonts w:ascii="Garamond" w:hAnsi="Garamond"/>
          <w:szCs w:val="22"/>
        </w:rPr>
        <w:t>as well as, issues and trends related to the employment of und</w:t>
      </w:r>
      <w:r w:rsidR="00530FA0" w:rsidRPr="004A0C12">
        <w:rPr>
          <w:rFonts w:ascii="Garamond" w:hAnsi="Garamond"/>
          <w:szCs w:val="22"/>
        </w:rPr>
        <w:t>erserved disability populations</w:t>
      </w:r>
    </w:p>
    <w:p w14:paraId="56D8F9E0" w14:textId="252C5C01" w:rsidR="007A3A8D" w:rsidRPr="004A0C12" w:rsidRDefault="007A1FDC" w:rsidP="00232F09">
      <w:pPr>
        <w:pStyle w:val="ListParagraph"/>
        <w:numPr>
          <w:ilvl w:val="0"/>
          <w:numId w:val="240"/>
        </w:numPr>
        <w:tabs>
          <w:tab w:val="left" w:pos="720"/>
        </w:tabs>
        <w:jc w:val="both"/>
        <w:rPr>
          <w:rFonts w:ascii="Garamond" w:hAnsi="Garamond"/>
          <w:szCs w:val="22"/>
        </w:rPr>
      </w:pPr>
      <w:r w:rsidRPr="004A0C12">
        <w:rPr>
          <w:rFonts w:ascii="Garamond" w:hAnsi="Garamond"/>
          <w:szCs w:val="22"/>
        </w:rPr>
        <w:t xml:space="preserve">Enhance linkages between employers, the business community, DORS Business Services staff, </w:t>
      </w:r>
      <w:r w:rsidR="007A3A8D" w:rsidRPr="004A0C12">
        <w:rPr>
          <w:rFonts w:ascii="Garamond" w:hAnsi="Garamond"/>
          <w:szCs w:val="22"/>
        </w:rPr>
        <w:t>WIOA Partner</w:t>
      </w:r>
      <w:r w:rsidR="00530FA0" w:rsidRPr="004A0C12">
        <w:rPr>
          <w:rFonts w:ascii="Garamond" w:hAnsi="Garamond"/>
          <w:szCs w:val="22"/>
        </w:rPr>
        <w:t>s, and community partners</w:t>
      </w:r>
    </w:p>
    <w:p w14:paraId="2DA2D5FD" w14:textId="6F61E59F" w:rsidR="007A1FDC" w:rsidRPr="004A0C12" w:rsidRDefault="007A3A8D" w:rsidP="00232F09">
      <w:pPr>
        <w:pStyle w:val="ListParagraph"/>
        <w:numPr>
          <w:ilvl w:val="0"/>
          <w:numId w:val="240"/>
        </w:numPr>
        <w:tabs>
          <w:tab w:val="left" w:pos="720"/>
        </w:tabs>
        <w:jc w:val="both"/>
        <w:rPr>
          <w:rFonts w:ascii="Garamond" w:hAnsi="Garamond"/>
          <w:szCs w:val="22"/>
        </w:rPr>
      </w:pPr>
      <w:r w:rsidRPr="004A0C12">
        <w:rPr>
          <w:rFonts w:ascii="Garamond" w:hAnsi="Garamond"/>
          <w:szCs w:val="22"/>
        </w:rPr>
        <w:t xml:space="preserve"> Explore strategies for Workforce &amp; Technology Center</w:t>
      </w:r>
      <w:r w:rsidR="007A1FDC" w:rsidRPr="004A0C12">
        <w:rPr>
          <w:rFonts w:ascii="Garamond" w:hAnsi="Garamond"/>
          <w:szCs w:val="22"/>
        </w:rPr>
        <w:t xml:space="preserve"> staff to collaborate with O</w:t>
      </w:r>
      <w:r w:rsidRPr="004A0C12">
        <w:rPr>
          <w:rFonts w:ascii="Garamond" w:hAnsi="Garamond"/>
          <w:szCs w:val="22"/>
        </w:rPr>
        <w:t>ffice of Field Services</w:t>
      </w:r>
      <w:r w:rsidR="00205651" w:rsidRPr="004A0C12">
        <w:rPr>
          <w:rFonts w:ascii="Garamond" w:hAnsi="Garamond"/>
          <w:szCs w:val="22"/>
        </w:rPr>
        <w:t xml:space="preserve"> and Office of Blindness and Vision Services</w:t>
      </w:r>
      <w:r w:rsidR="007A1FDC" w:rsidRPr="004A0C12">
        <w:rPr>
          <w:rFonts w:ascii="Garamond" w:hAnsi="Garamond"/>
          <w:szCs w:val="22"/>
        </w:rPr>
        <w:t xml:space="preserve"> to enhance consumer ser</w:t>
      </w:r>
      <w:r w:rsidRPr="004A0C12">
        <w:rPr>
          <w:rFonts w:ascii="Garamond" w:hAnsi="Garamond"/>
          <w:szCs w:val="22"/>
        </w:rPr>
        <w:t>vices, increase referrals to the Workforce &amp; Technology Center</w:t>
      </w:r>
      <w:r w:rsidR="007A1FDC" w:rsidRPr="004A0C12">
        <w:rPr>
          <w:rFonts w:ascii="Garamond" w:hAnsi="Garamond"/>
          <w:szCs w:val="22"/>
        </w:rPr>
        <w:t>, develop pre-employment transition services, and contribute to successful employment outcomes.</w:t>
      </w:r>
    </w:p>
    <w:p w14:paraId="5AF81AB5" w14:textId="77777777" w:rsidR="007A1FDC" w:rsidRPr="004A0C12" w:rsidRDefault="007A1FDC" w:rsidP="007A1FDC">
      <w:pPr>
        <w:spacing w:after="0" w:line="240" w:lineRule="auto"/>
        <w:jc w:val="both"/>
        <w:rPr>
          <w:rFonts w:ascii="Garamond" w:hAnsi="Garamond"/>
        </w:rPr>
      </w:pPr>
    </w:p>
    <w:p w14:paraId="7B257CC0" w14:textId="17B0B231"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w:t>
      </w:r>
      <w:r w:rsidR="005C6A72" w:rsidRPr="004A0C12">
        <w:rPr>
          <w:rFonts w:ascii="Garamond" w:hAnsi="Garamond"/>
        </w:rPr>
        <w:t>30, 2015</w:t>
      </w:r>
      <w:r w:rsidRPr="004A0C12">
        <w:rPr>
          <w:rFonts w:ascii="Garamond" w:hAnsi="Garamond"/>
        </w:rPr>
        <w:t>:</w:t>
      </w:r>
    </w:p>
    <w:p w14:paraId="4F0ECC6A" w14:textId="6EEFEB2F" w:rsidR="007A3A8D" w:rsidRPr="004A0C12" w:rsidRDefault="007A1FDC" w:rsidP="00232F09">
      <w:pPr>
        <w:pStyle w:val="ListParagraph"/>
        <w:numPr>
          <w:ilvl w:val="0"/>
          <w:numId w:val="241"/>
        </w:numPr>
        <w:jc w:val="both"/>
        <w:rPr>
          <w:rFonts w:ascii="Garamond" w:hAnsi="Garamond"/>
          <w:szCs w:val="22"/>
        </w:rPr>
      </w:pPr>
      <w:r w:rsidRPr="004A0C12">
        <w:rPr>
          <w:rFonts w:ascii="Garamond" w:hAnsi="Garamond"/>
          <w:szCs w:val="22"/>
        </w:rPr>
        <w:t>Increase the number of consumers achieving employment outcomes</w:t>
      </w:r>
      <w:r w:rsidR="00530FA0" w:rsidRPr="004A0C12">
        <w:rPr>
          <w:rFonts w:ascii="Garamond" w:hAnsi="Garamond"/>
          <w:szCs w:val="22"/>
        </w:rPr>
        <w:t xml:space="preserve"> compared to the previous year</w:t>
      </w:r>
    </w:p>
    <w:p w14:paraId="5D72DA9A" w14:textId="47ED1C5A" w:rsidR="005C6A72" w:rsidRPr="004A0C12" w:rsidRDefault="005C6A72" w:rsidP="00232F09">
      <w:pPr>
        <w:pStyle w:val="NormalWeb"/>
        <w:numPr>
          <w:ilvl w:val="0"/>
          <w:numId w:val="241"/>
        </w:numPr>
        <w:spacing w:before="0" w:beforeAutospacing="0" w:afterAutospacing="0"/>
        <w:rPr>
          <w:rFonts w:ascii="Garamond" w:hAnsi="Garamond"/>
          <w:sz w:val="22"/>
          <w:szCs w:val="22"/>
        </w:rPr>
      </w:pPr>
      <w:r w:rsidRPr="004A0C12">
        <w:rPr>
          <w:rFonts w:ascii="Garamond" w:hAnsi="Garamond"/>
          <w:color w:val="000000"/>
          <w:sz w:val="22"/>
          <w:szCs w:val="22"/>
        </w:rPr>
        <w:t>556 consumers achieved employment outcomes; previous year 572.? This is a 3% decline. A decrease in referrals to training programs contributed to the decline.</w:t>
      </w:r>
    </w:p>
    <w:p w14:paraId="2F179FD7" w14:textId="7D588B2D" w:rsidR="007A3A8D" w:rsidRPr="004A0C12" w:rsidRDefault="007A1FDC" w:rsidP="00232F09">
      <w:pPr>
        <w:pStyle w:val="ListParagraph"/>
        <w:numPr>
          <w:ilvl w:val="0"/>
          <w:numId w:val="241"/>
        </w:numPr>
        <w:jc w:val="both"/>
        <w:rPr>
          <w:rFonts w:ascii="Garamond" w:hAnsi="Garamond"/>
          <w:szCs w:val="22"/>
        </w:rPr>
      </w:pPr>
      <w:r w:rsidRPr="004A0C12">
        <w:rPr>
          <w:rFonts w:ascii="Garamond" w:hAnsi="Garamond"/>
          <w:szCs w:val="22"/>
        </w:rPr>
        <w:lastRenderedPageBreak/>
        <w:t>Increase the number of consumers in special populations (blind, deaf, deaf-blind, Autism) who will receive services</w:t>
      </w:r>
      <w:r w:rsidR="00530FA0" w:rsidRPr="004A0C12">
        <w:rPr>
          <w:rFonts w:ascii="Garamond" w:hAnsi="Garamond"/>
          <w:szCs w:val="22"/>
        </w:rPr>
        <w:t xml:space="preserve"> compared to the previous year</w:t>
      </w:r>
    </w:p>
    <w:p w14:paraId="6E658E98" w14:textId="1C60F16C" w:rsidR="00D06B8E" w:rsidRPr="004A0C12" w:rsidRDefault="00D06B8E" w:rsidP="00232F09">
      <w:pPr>
        <w:pStyle w:val="NormalWeb"/>
        <w:numPr>
          <w:ilvl w:val="0"/>
          <w:numId w:val="241"/>
        </w:numPr>
        <w:spacing w:before="0" w:beforeAutospacing="0" w:afterAutospacing="0"/>
        <w:rPr>
          <w:rFonts w:ascii="Garamond" w:hAnsi="Garamond"/>
          <w:sz w:val="22"/>
          <w:szCs w:val="22"/>
        </w:rPr>
      </w:pPr>
      <w:r w:rsidRPr="004A0C12">
        <w:rPr>
          <w:rFonts w:ascii="Garamond" w:hAnsi="Garamond" w:cs="Helvetica"/>
          <w:color w:val="000000"/>
          <w:sz w:val="22"/>
          <w:szCs w:val="22"/>
        </w:rPr>
        <w:t>?172 consumers in special populations achieved employment after receiving WTC services in FY2015 or in previous years; down .58% from FY2014 (173). In FY2015, 753 consumers in special populations were served.</w:t>
      </w:r>
    </w:p>
    <w:p w14:paraId="2C1ACAE4" w14:textId="48E04318" w:rsidR="007A3A8D" w:rsidRPr="004A0C12" w:rsidRDefault="007A1FDC" w:rsidP="00232F09">
      <w:pPr>
        <w:pStyle w:val="ListParagraph"/>
        <w:numPr>
          <w:ilvl w:val="0"/>
          <w:numId w:val="241"/>
        </w:numPr>
        <w:jc w:val="both"/>
        <w:rPr>
          <w:rFonts w:ascii="Garamond" w:hAnsi="Garamond"/>
          <w:szCs w:val="22"/>
        </w:rPr>
      </w:pPr>
      <w:r w:rsidRPr="004A0C12">
        <w:rPr>
          <w:rFonts w:ascii="Garamond" w:hAnsi="Garamond"/>
          <w:szCs w:val="22"/>
        </w:rPr>
        <w:t>Increase the number of customized and/or partnership t</w:t>
      </w:r>
      <w:r w:rsidR="00530FA0" w:rsidRPr="004A0C12">
        <w:rPr>
          <w:rFonts w:ascii="Garamond" w:hAnsi="Garamond"/>
          <w:szCs w:val="22"/>
        </w:rPr>
        <w:t>rainings from the previous year</w:t>
      </w:r>
    </w:p>
    <w:p w14:paraId="4E1A7D1F" w14:textId="683C2CAA" w:rsidR="00D06B8E" w:rsidRPr="004A0C12" w:rsidRDefault="00D06B8E" w:rsidP="00232F09">
      <w:pPr>
        <w:pStyle w:val="ListParagraph"/>
        <w:numPr>
          <w:ilvl w:val="0"/>
          <w:numId w:val="241"/>
        </w:numPr>
        <w:jc w:val="both"/>
        <w:rPr>
          <w:rFonts w:ascii="Garamond" w:hAnsi="Garamond"/>
          <w:szCs w:val="22"/>
        </w:rPr>
      </w:pPr>
      <w:r w:rsidRPr="004A0C12">
        <w:rPr>
          <w:rFonts w:ascii="Garamond" w:hAnsi="Garamond" w:cs="Helvetica"/>
          <w:szCs w:val="22"/>
        </w:rPr>
        <w:t>In FY 15, WTC provided ?10 customized and partnership trainings, compared to 8 customized and partnership trainings provided in FY 14.. FY 15 trainings included ?Art’s Automotive, ATR Kennels, CCBC Auto Detailing 1 &amp; 2, CCBC Childcare, CCBC PAWS, CCBC Refinishing, CCBC Security Guard, CCBC Warehouse x2, &amp; Morgan State University Environmental Services.</w:t>
      </w:r>
    </w:p>
    <w:p w14:paraId="6B3286BF" w14:textId="77777777" w:rsidR="00D06B8E" w:rsidRPr="004A0C12" w:rsidRDefault="00D06B8E" w:rsidP="00232F09">
      <w:pPr>
        <w:pStyle w:val="NormalWeb"/>
        <w:numPr>
          <w:ilvl w:val="0"/>
          <w:numId w:val="241"/>
        </w:numPr>
        <w:spacing w:before="0" w:beforeAutospacing="0" w:afterAutospacing="0"/>
        <w:rPr>
          <w:rFonts w:ascii="Garamond" w:hAnsi="Garamond"/>
          <w:sz w:val="22"/>
          <w:szCs w:val="22"/>
        </w:rPr>
      </w:pPr>
      <w:r w:rsidRPr="004A0C12">
        <w:rPr>
          <w:rFonts w:ascii="Garamond" w:hAnsi="Garamond" w:cs="Helvetica"/>
          <w:color w:val="000000"/>
          <w:sz w:val="22"/>
          <w:szCs w:val="22"/>
        </w:rPr>
        <w:t>d. Establish a division-wide work group which will develop a collaborative plan between OFS and WTC to enhance the Agency’s delivery of effective and efficient consumer services.</w:t>
      </w:r>
    </w:p>
    <w:p w14:paraId="0C684E57" w14:textId="77777777" w:rsidR="00D06B8E" w:rsidRPr="004A0C12" w:rsidRDefault="00D06B8E" w:rsidP="00232F09">
      <w:pPr>
        <w:pStyle w:val="NormalWeb"/>
        <w:numPr>
          <w:ilvl w:val="0"/>
          <w:numId w:val="241"/>
        </w:numPr>
        <w:spacing w:before="0" w:beforeAutospacing="0" w:afterAutospacing="0"/>
        <w:rPr>
          <w:rFonts w:ascii="Garamond" w:hAnsi="Garamond"/>
          <w:sz w:val="22"/>
          <w:szCs w:val="22"/>
        </w:rPr>
      </w:pPr>
      <w:r w:rsidRPr="004A0C12">
        <w:rPr>
          <w:rFonts w:ascii="Garamond" w:hAnsi="Garamond" w:cs="Helvetica"/>
          <w:color w:val="000000"/>
          <w:sz w:val="22"/>
          <w:szCs w:val="22"/>
        </w:rPr>
        <w:t>?After collaboration with Field staff, it was decided that the WTC would assist Field Services by identifying and implementing various strategies which allows the WTC to assume responsibility for routine procedures. WTC has streamlined the required referral documentation for training programs. WTC now completes vendor authorizations for vendor services provided at WTC. WTC completes the entire process for ordering uniforms for training programs. WTC also completes the entire process for On-The-Job Training for WTC training graduates. Finally, WTC orders assistive technology equipment as needed to expedite the ordering and receipt of equipment and software applications.</w:t>
      </w:r>
    </w:p>
    <w:p w14:paraId="394CEB83" w14:textId="77777777" w:rsidR="007A1FDC" w:rsidRPr="004A0C12" w:rsidRDefault="007A1FDC" w:rsidP="007A1FDC">
      <w:pPr>
        <w:spacing w:after="0" w:line="240" w:lineRule="auto"/>
        <w:jc w:val="both"/>
        <w:rPr>
          <w:rFonts w:ascii="Garamond" w:hAnsi="Garamond"/>
        </w:rPr>
      </w:pPr>
    </w:p>
    <w:p w14:paraId="56F3C5F9" w14:textId="546077CF" w:rsidR="007A1FDC" w:rsidRPr="004A0C12" w:rsidRDefault="007A1FDC" w:rsidP="007A1FDC">
      <w:pPr>
        <w:spacing w:after="0" w:line="240" w:lineRule="auto"/>
        <w:jc w:val="both"/>
        <w:rPr>
          <w:rFonts w:ascii="Garamond" w:hAnsi="Garamond"/>
        </w:rPr>
      </w:pPr>
      <w:r w:rsidRPr="00BF652B">
        <w:rPr>
          <w:rFonts w:ascii="Garamond" w:hAnsi="Garamond"/>
          <w:b/>
          <w:sz w:val="24"/>
          <w:szCs w:val="24"/>
        </w:rPr>
        <w:t>Goal 2:</w:t>
      </w:r>
      <w:r w:rsidRPr="00BF652B">
        <w:rPr>
          <w:rFonts w:ascii="Garamond" w:hAnsi="Garamond"/>
          <w:sz w:val="24"/>
          <w:szCs w:val="24"/>
        </w:rPr>
        <w:t xml:space="preserve"> </w:t>
      </w:r>
      <w:r w:rsidRPr="004A0C12">
        <w:rPr>
          <w:rFonts w:ascii="Garamond" w:hAnsi="Garamond"/>
        </w:rPr>
        <w:t>This goal focuses on a non-Vocational Rehabilitation</w:t>
      </w:r>
      <w:r w:rsidR="005543FB" w:rsidRPr="004A0C12">
        <w:rPr>
          <w:rFonts w:ascii="Garamond" w:hAnsi="Garamond"/>
        </w:rPr>
        <w:t xml:space="preserve"> program that is outside of WIOA and not applicable to the </w:t>
      </w:r>
      <w:r w:rsidR="007A3A8D" w:rsidRPr="004A0C12">
        <w:rPr>
          <w:rFonts w:ascii="Garamond" w:hAnsi="Garamond"/>
        </w:rPr>
        <w:t xml:space="preserve">WIOA </w:t>
      </w:r>
      <w:r w:rsidR="005543FB" w:rsidRPr="004A0C12">
        <w:rPr>
          <w:rFonts w:ascii="Garamond" w:hAnsi="Garamond"/>
        </w:rPr>
        <w:t>State Plan (Disability Determination Services).</w:t>
      </w:r>
      <w:r w:rsidRPr="004A0C12">
        <w:rPr>
          <w:rFonts w:ascii="Garamond" w:hAnsi="Garamond"/>
        </w:rPr>
        <w:t xml:space="preserve"> </w:t>
      </w:r>
    </w:p>
    <w:p w14:paraId="60FEC2F0" w14:textId="77777777" w:rsidR="007A1FDC" w:rsidRPr="004A0C12" w:rsidRDefault="007A1FDC" w:rsidP="007A1FDC">
      <w:pPr>
        <w:spacing w:after="0" w:line="240" w:lineRule="auto"/>
        <w:jc w:val="both"/>
        <w:rPr>
          <w:rFonts w:ascii="Garamond" w:hAnsi="Garamond"/>
        </w:rPr>
      </w:pPr>
    </w:p>
    <w:p w14:paraId="14135007" w14:textId="32697796" w:rsidR="00BB4611" w:rsidRPr="004A0C12" w:rsidRDefault="007A1FDC" w:rsidP="00AD2026">
      <w:pPr>
        <w:pStyle w:val="NormalWeb"/>
        <w:rPr>
          <w:rFonts w:ascii="Garamond" w:hAnsi="Garamond"/>
          <w:color w:val="000000"/>
          <w:sz w:val="22"/>
          <w:szCs w:val="22"/>
        </w:rPr>
      </w:pPr>
      <w:bookmarkStart w:id="226" w:name="_Toc447276253"/>
      <w:r w:rsidRPr="00BF652B">
        <w:rPr>
          <w:rFonts w:ascii="Garamond" w:hAnsi="Garamond"/>
          <w:b/>
        </w:rPr>
        <w:t>Goal 3:</w:t>
      </w:r>
      <w:r w:rsidRPr="004A0C12">
        <w:rPr>
          <w:rFonts w:ascii="Garamond" w:hAnsi="Garamond"/>
          <w:sz w:val="22"/>
          <w:szCs w:val="22"/>
        </w:rPr>
        <w:t xml:space="preserve"> Partner and collaborate with </w:t>
      </w:r>
      <w:r w:rsidR="00BB4611" w:rsidRPr="004A0C12">
        <w:rPr>
          <w:rFonts w:ascii="Garamond" w:hAnsi="Garamond"/>
          <w:color w:val="000000"/>
          <w:sz w:val="22"/>
          <w:szCs w:val="22"/>
        </w:rPr>
        <w:t>WIOA partners, public agencies, private organizations, employers, community groups, and individuals to enhance the integration of vocational rehabilitation and supported employment services to individuals with disabilities leading to competitive integrated employment and independence. Increase the number of individuals with most significant disabilities who receive supported employment services.</w:t>
      </w:r>
    </w:p>
    <w:bookmarkEnd w:id="226"/>
    <w:p w14:paraId="37DEE865" w14:textId="53891C63" w:rsidR="007A1FDC" w:rsidRPr="004A0C12" w:rsidRDefault="00FF44FF" w:rsidP="00BB4611">
      <w:pPr>
        <w:pStyle w:val="Heading3A"/>
        <w:spacing w:after="0"/>
        <w:jc w:val="both"/>
        <w:rPr>
          <w:rFonts w:ascii="Garamond" w:hAnsi="Garamond"/>
          <w:b/>
          <w:sz w:val="22"/>
          <w:szCs w:val="22"/>
        </w:rPr>
      </w:pPr>
      <w:r w:rsidRPr="004A0C12">
        <w:rPr>
          <w:rFonts w:ascii="Garamond" w:hAnsi="Garamond"/>
          <w:b/>
          <w:sz w:val="22"/>
          <w:szCs w:val="22"/>
        </w:rPr>
        <w:t xml:space="preserve">Objective 3.1 - </w:t>
      </w:r>
      <w:r w:rsidR="007A1FDC" w:rsidRPr="004A0C12">
        <w:rPr>
          <w:rFonts w:ascii="Garamond" w:hAnsi="Garamond"/>
          <w:b/>
          <w:sz w:val="22"/>
          <w:szCs w:val="22"/>
        </w:rPr>
        <w:t xml:space="preserve">Enhance/expand services provided to individuals in </w:t>
      </w:r>
      <w:r w:rsidR="004B7BA6" w:rsidRPr="004A0C12">
        <w:rPr>
          <w:rFonts w:ascii="Garamond" w:hAnsi="Garamond"/>
          <w:b/>
          <w:sz w:val="22"/>
          <w:szCs w:val="22"/>
        </w:rPr>
        <w:t xml:space="preserve">priority </w:t>
      </w:r>
      <w:r w:rsidR="007A1FDC" w:rsidRPr="004A0C12">
        <w:rPr>
          <w:rFonts w:ascii="Garamond" w:hAnsi="Garamond"/>
          <w:b/>
          <w:sz w:val="22"/>
          <w:szCs w:val="22"/>
        </w:rPr>
        <w:t>populations, within the capacities of the agency.</w:t>
      </w:r>
    </w:p>
    <w:p w14:paraId="7D8638C3" w14:textId="77777777" w:rsidR="007A1FDC" w:rsidRPr="004A0C12" w:rsidRDefault="007A1FDC" w:rsidP="007A1FDC">
      <w:pPr>
        <w:spacing w:after="0" w:line="240" w:lineRule="auto"/>
        <w:jc w:val="both"/>
        <w:rPr>
          <w:rFonts w:ascii="Garamond" w:hAnsi="Garamond"/>
        </w:rPr>
      </w:pPr>
    </w:p>
    <w:p w14:paraId="213C9B62"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4CCEB41C"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Continue collaboration between Maryland DORS and the Maryland Department of Health and Mental Hygiene’s Behavioral Health Administration in the implementation of a braided funding model that enhances and expands the ability of both DORS and BHA to fund services and increase capacity in the number of individuals eligible for mental health supported employment, </w:t>
      </w:r>
    </w:p>
    <w:p w14:paraId="4C79ABE1"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Continue to provide staff resources and staff training to support Evidence-Based Practice Supported Employment and consumers who receive Assertive Community Treatment services (Needs Assessment Recommendation 1), </w:t>
      </w:r>
    </w:p>
    <w:p w14:paraId="36DE9451"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Continue strategic activities that will enhance DORS capacity to meet the unique needs of individuals with autism spectrum disorders preparing for employment (Needs Assessment Recommendation 4), </w:t>
      </w:r>
    </w:p>
    <w:p w14:paraId="7AADEB4B"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Enhance utilization of the Acquired Brain Injury program and continue regularly scheduled meetings with Acquired Brain Injury VR Specialists, to include Transitioning Youth VR Specialists, as appropriate, </w:t>
      </w:r>
    </w:p>
    <w:p w14:paraId="584DB982"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Continue collaboration with the Developmental Disabilities Administration to implement Employment First, ensuring that individuals with intellectual/developmental disabilities consider employment on a preferred basis in planning for their lives, </w:t>
      </w:r>
    </w:p>
    <w:p w14:paraId="5CB56C81"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The DORS multi-cultural workgroup will continue to develop and publicize specialized resources for minority groups, focusing on Hispanic and Asian consumers (Needs Assessment Recommendation 5,) </w:t>
      </w:r>
    </w:p>
    <w:p w14:paraId="121C8406"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lastRenderedPageBreak/>
        <w:t xml:space="preserve">DORS will assure that liaison relationships are in place with Community Rehabilitation Programs, Community Colleges, Local Education Agencies, Maryland Association of Nonpublic Special Education Facilities Schools, and other organizations to enhance effectiveness and establish promising practices and procedures (Needs Assessment Recommendation 2), </w:t>
      </w:r>
    </w:p>
    <w:p w14:paraId="613FDA57"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Pilot the Rehabilitation Communication Specialists for the Deaf and Hard of Hearing in at least one region (Needs Assessment Recommendation 6)., </w:t>
      </w:r>
    </w:p>
    <w:p w14:paraId="50BA27FC"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Update the MOU with the Department of Health and Mental Hygiene’s Developmental Disabilities Administration that defines the roles of each agency in establishing a collaborative process toward the provision of customized employment and supported employment services in support of individuals moving from sheltered work to competitive integrated employment, </w:t>
      </w:r>
    </w:p>
    <w:p w14:paraId="34A08159"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Align services, rates, and reporting requirements in support of pre-employment transition services and supported employment job placement/support services, </w:t>
      </w:r>
    </w:p>
    <w:p w14:paraId="56B08D8D" w14:textId="77777777"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 xml:space="preserve">Identify, develop, and implement a more seamless services delivery system among workforce partners in Maryland </w:t>
      </w:r>
    </w:p>
    <w:p w14:paraId="334954F9" w14:textId="4E335089" w:rsidR="004B7BA6" w:rsidRPr="004A0C12" w:rsidRDefault="004B7BA6" w:rsidP="00232F09">
      <w:pPr>
        <w:pStyle w:val="NormalWeb"/>
        <w:numPr>
          <w:ilvl w:val="0"/>
          <w:numId w:val="242"/>
        </w:numPr>
        <w:spacing w:before="0" w:beforeAutospacing="0" w:afterAutospacing="0"/>
        <w:rPr>
          <w:rFonts w:ascii="Garamond" w:hAnsi="Garamond"/>
          <w:sz w:val="22"/>
          <w:szCs w:val="22"/>
        </w:rPr>
      </w:pPr>
      <w:r w:rsidRPr="004A0C12">
        <w:rPr>
          <w:rFonts w:ascii="Garamond" w:hAnsi="Garamond"/>
          <w:color w:val="000000"/>
          <w:sz w:val="22"/>
          <w:szCs w:val="22"/>
        </w:rPr>
        <w:t>Continue collaboration between Maryland DORS and the Maryland Department of Health and Mental Hygiene’s Behavioral Health Administration in the implementation of a braided funding model that enhances and expands the ability of both DORS and BHA to fund services and increase capacity in the number of individuals eligible for mental health supported employment.</w:t>
      </w:r>
    </w:p>
    <w:p w14:paraId="4261CE9A"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30, 2016: </w:t>
      </w:r>
    </w:p>
    <w:p w14:paraId="21A56A58" w14:textId="0D504522" w:rsidR="004B7BA6" w:rsidRPr="004A0C12" w:rsidRDefault="004B7BA6" w:rsidP="00232F09">
      <w:pPr>
        <w:pStyle w:val="ListParagraph"/>
        <w:numPr>
          <w:ilvl w:val="0"/>
          <w:numId w:val="243"/>
        </w:numPr>
        <w:jc w:val="both"/>
        <w:rPr>
          <w:rFonts w:ascii="Garamond" w:hAnsi="Garamond"/>
          <w:szCs w:val="22"/>
        </w:rPr>
      </w:pPr>
      <w:r w:rsidRPr="004A0C12">
        <w:rPr>
          <w:rFonts w:ascii="Garamond" w:hAnsi="Garamond"/>
          <w:szCs w:val="22"/>
        </w:rPr>
        <w:t xml:space="preserve">An increased number of consumers with most significant </w:t>
      </w:r>
      <w:r w:rsidR="00881DB5" w:rsidRPr="004A0C12">
        <w:rPr>
          <w:rFonts w:ascii="Garamond" w:hAnsi="Garamond"/>
          <w:szCs w:val="22"/>
        </w:rPr>
        <w:t>disabilities</w:t>
      </w:r>
      <w:r w:rsidRPr="004A0C12">
        <w:rPr>
          <w:rFonts w:ascii="Garamond" w:hAnsi="Garamond"/>
          <w:szCs w:val="22"/>
        </w:rPr>
        <w:t xml:space="preserve"> will receive supported employment services</w:t>
      </w:r>
    </w:p>
    <w:p w14:paraId="1442C98F" w14:textId="6CE62D3A" w:rsidR="001F0CD3" w:rsidRPr="004A0C12" w:rsidRDefault="007A1FDC" w:rsidP="00232F09">
      <w:pPr>
        <w:pStyle w:val="ListParagraph"/>
        <w:numPr>
          <w:ilvl w:val="0"/>
          <w:numId w:val="243"/>
        </w:numPr>
        <w:jc w:val="both"/>
        <w:rPr>
          <w:rFonts w:ascii="Garamond" w:hAnsi="Garamond"/>
          <w:szCs w:val="22"/>
        </w:rPr>
      </w:pPr>
      <w:r w:rsidRPr="004A0C12">
        <w:rPr>
          <w:rFonts w:ascii="Garamond" w:hAnsi="Garamond"/>
          <w:szCs w:val="22"/>
        </w:rPr>
        <w:t>An increased number of consum</w:t>
      </w:r>
      <w:r w:rsidR="00205651" w:rsidRPr="004A0C12">
        <w:rPr>
          <w:rFonts w:ascii="Garamond" w:hAnsi="Garamond"/>
          <w:szCs w:val="22"/>
        </w:rPr>
        <w:t>ers will be served through Evidence-Based Practice for Supported Employment</w:t>
      </w:r>
      <w:r w:rsidR="001F0CD3" w:rsidRPr="004A0C12">
        <w:rPr>
          <w:rFonts w:ascii="Garamond" w:hAnsi="Garamond"/>
          <w:szCs w:val="22"/>
        </w:rPr>
        <w:t xml:space="preserve"> and Assertive Community Treatment</w:t>
      </w:r>
      <w:r w:rsidRPr="004A0C12">
        <w:rPr>
          <w:rFonts w:ascii="Garamond" w:hAnsi="Garamond"/>
          <w:szCs w:val="22"/>
        </w:rPr>
        <w:t xml:space="preserve"> sites compared with the previous year</w:t>
      </w:r>
    </w:p>
    <w:p w14:paraId="0771BBE3" w14:textId="29821B99" w:rsidR="001F0CD3" w:rsidRPr="004A0C12" w:rsidRDefault="007A1FDC" w:rsidP="00232F09">
      <w:pPr>
        <w:pStyle w:val="ListParagraph"/>
        <w:numPr>
          <w:ilvl w:val="0"/>
          <w:numId w:val="243"/>
        </w:numPr>
        <w:jc w:val="both"/>
        <w:rPr>
          <w:rFonts w:ascii="Garamond" w:hAnsi="Garamond"/>
          <w:szCs w:val="22"/>
        </w:rPr>
      </w:pPr>
      <w:r w:rsidRPr="004A0C12">
        <w:rPr>
          <w:rFonts w:ascii="Garamond" w:hAnsi="Garamond"/>
          <w:szCs w:val="22"/>
        </w:rPr>
        <w:t xml:space="preserve">An increased number of consumers will be served in the Governor’s Transition Youth Initiative </w:t>
      </w:r>
      <w:r w:rsidR="00530FA0" w:rsidRPr="004A0C12">
        <w:rPr>
          <w:rFonts w:ascii="Garamond" w:hAnsi="Garamond"/>
          <w:szCs w:val="22"/>
        </w:rPr>
        <w:t>compared with the previous year</w:t>
      </w:r>
    </w:p>
    <w:p w14:paraId="4733DC67" w14:textId="0D4FC65B" w:rsidR="001F0CD3" w:rsidRPr="004A0C12" w:rsidRDefault="007A1FDC" w:rsidP="00232F09">
      <w:pPr>
        <w:pStyle w:val="ListParagraph"/>
        <w:numPr>
          <w:ilvl w:val="0"/>
          <w:numId w:val="243"/>
        </w:numPr>
        <w:jc w:val="both"/>
        <w:rPr>
          <w:rFonts w:ascii="Garamond" w:hAnsi="Garamond"/>
          <w:szCs w:val="22"/>
        </w:rPr>
      </w:pPr>
      <w:r w:rsidRPr="004A0C12">
        <w:rPr>
          <w:rFonts w:ascii="Garamond" w:hAnsi="Garamond"/>
          <w:szCs w:val="22"/>
        </w:rPr>
        <w:t xml:space="preserve">Increase the number of Asian and Hispanic consumers served by DORS, </w:t>
      </w:r>
      <w:r w:rsidR="00530FA0" w:rsidRPr="004A0C12">
        <w:rPr>
          <w:rFonts w:ascii="Garamond" w:hAnsi="Garamond"/>
          <w:szCs w:val="22"/>
        </w:rPr>
        <w:t>compared with the previous year</w:t>
      </w:r>
    </w:p>
    <w:p w14:paraId="39F2958D" w14:textId="6DDCDDBC" w:rsidR="001F0CD3" w:rsidRPr="004A0C12" w:rsidRDefault="001F0CD3" w:rsidP="00232F09">
      <w:pPr>
        <w:pStyle w:val="ListParagraph"/>
        <w:numPr>
          <w:ilvl w:val="0"/>
          <w:numId w:val="243"/>
        </w:numPr>
        <w:jc w:val="both"/>
        <w:rPr>
          <w:rFonts w:ascii="Garamond" w:hAnsi="Garamond"/>
          <w:szCs w:val="22"/>
        </w:rPr>
      </w:pPr>
      <w:r w:rsidRPr="004A0C12">
        <w:rPr>
          <w:rFonts w:ascii="Garamond" w:hAnsi="Garamond"/>
          <w:szCs w:val="22"/>
        </w:rPr>
        <w:t>Increase the number of Acquired Brain Injury</w:t>
      </w:r>
      <w:r w:rsidR="007A1FDC" w:rsidRPr="004A0C12">
        <w:rPr>
          <w:rFonts w:ascii="Garamond" w:hAnsi="Garamond"/>
          <w:szCs w:val="22"/>
        </w:rPr>
        <w:t xml:space="preserve"> consumers achieving employment </w:t>
      </w:r>
      <w:r w:rsidR="00530FA0" w:rsidRPr="004A0C12">
        <w:rPr>
          <w:rFonts w:ascii="Garamond" w:hAnsi="Garamond"/>
          <w:szCs w:val="22"/>
        </w:rPr>
        <w:t>compared with the previous year</w:t>
      </w:r>
    </w:p>
    <w:p w14:paraId="54832931" w14:textId="4D336337" w:rsidR="007A1FDC" w:rsidRPr="004A0C12" w:rsidRDefault="007A1FDC" w:rsidP="00232F09">
      <w:pPr>
        <w:pStyle w:val="ListParagraph"/>
        <w:numPr>
          <w:ilvl w:val="0"/>
          <w:numId w:val="243"/>
        </w:numPr>
        <w:jc w:val="both"/>
        <w:rPr>
          <w:rFonts w:ascii="Garamond" w:hAnsi="Garamond"/>
          <w:szCs w:val="22"/>
        </w:rPr>
      </w:pPr>
      <w:r w:rsidRPr="004A0C12">
        <w:rPr>
          <w:rFonts w:ascii="Garamond" w:hAnsi="Garamond"/>
          <w:szCs w:val="22"/>
        </w:rPr>
        <w:t>Increase the number of consumers with Autism served by DORS compared with the previous year</w:t>
      </w:r>
    </w:p>
    <w:p w14:paraId="20341282" w14:textId="006140ED" w:rsidR="001F0CD3" w:rsidRPr="004A0C12" w:rsidRDefault="007A1FDC" w:rsidP="00232F09">
      <w:pPr>
        <w:pStyle w:val="ListParagraph"/>
        <w:numPr>
          <w:ilvl w:val="0"/>
          <w:numId w:val="243"/>
        </w:numPr>
        <w:jc w:val="both"/>
        <w:rPr>
          <w:rFonts w:ascii="Garamond" w:hAnsi="Garamond"/>
          <w:szCs w:val="22"/>
        </w:rPr>
      </w:pPr>
      <w:r w:rsidRPr="004A0C12">
        <w:rPr>
          <w:rFonts w:ascii="Garamond" w:hAnsi="Garamond"/>
          <w:szCs w:val="22"/>
        </w:rPr>
        <w:t>Assign a DORS staff person to contact and meet</w:t>
      </w:r>
      <w:r w:rsidR="00205651" w:rsidRPr="004A0C12">
        <w:rPr>
          <w:rFonts w:ascii="Garamond" w:hAnsi="Garamond"/>
          <w:szCs w:val="22"/>
        </w:rPr>
        <w:t xml:space="preserve"> with each community college Disability Determination Services</w:t>
      </w:r>
      <w:r w:rsidRPr="004A0C12">
        <w:rPr>
          <w:rFonts w:ascii="Garamond" w:hAnsi="Garamond"/>
          <w:szCs w:val="22"/>
        </w:rPr>
        <w:t xml:space="preserve"> of</w:t>
      </w:r>
      <w:r w:rsidR="001F0CD3" w:rsidRPr="004A0C12">
        <w:rPr>
          <w:rFonts w:ascii="Garamond" w:hAnsi="Garamond"/>
          <w:szCs w:val="22"/>
        </w:rPr>
        <w:t>fice at least o</w:t>
      </w:r>
      <w:r w:rsidR="00530FA0" w:rsidRPr="004A0C12">
        <w:rPr>
          <w:rFonts w:ascii="Garamond" w:hAnsi="Garamond"/>
          <w:szCs w:val="22"/>
        </w:rPr>
        <w:t>nce per semester</w:t>
      </w:r>
    </w:p>
    <w:p w14:paraId="10750EF3" w14:textId="77777777" w:rsidR="001F0CD3" w:rsidRPr="004A0C12" w:rsidRDefault="001F0CD3" w:rsidP="00232F09">
      <w:pPr>
        <w:pStyle w:val="ListParagraph"/>
        <w:numPr>
          <w:ilvl w:val="0"/>
          <w:numId w:val="243"/>
        </w:numPr>
        <w:jc w:val="both"/>
        <w:rPr>
          <w:rFonts w:ascii="Garamond" w:hAnsi="Garamond"/>
          <w:szCs w:val="22"/>
        </w:rPr>
      </w:pPr>
      <w:r w:rsidRPr="004A0C12">
        <w:rPr>
          <w:rFonts w:ascii="Garamond" w:hAnsi="Garamond"/>
          <w:szCs w:val="22"/>
        </w:rPr>
        <w:t xml:space="preserve">Track and assess Rehabilitation Communication Specialist pilot outcomes; and, </w:t>
      </w:r>
    </w:p>
    <w:p w14:paraId="7154DE5A" w14:textId="75CB3E5A" w:rsidR="007A1FDC" w:rsidRPr="004A0C12" w:rsidRDefault="007A1FDC" w:rsidP="00232F09">
      <w:pPr>
        <w:pStyle w:val="ListParagraph"/>
        <w:numPr>
          <w:ilvl w:val="0"/>
          <w:numId w:val="243"/>
        </w:numPr>
        <w:jc w:val="both"/>
        <w:rPr>
          <w:rFonts w:ascii="Garamond" w:hAnsi="Garamond"/>
          <w:szCs w:val="22"/>
        </w:rPr>
      </w:pPr>
      <w:r w:rsidRPr="004A0C12">
        <w:rPr>
          <w:rFonts w:ascii="Garamond" w:hAnsi="Garamond"/>
          <w:szCs w:val="22"/>
        </w:rPr>
        <w:t>Dev</w:t>
      </w:r>
      <w:r w:rsidR="001F0CD3" w:rsidRPr="004A0C12">
        <w:rPr>
          <w:rFonts w:ascii="Garamond" w:hAnsi="Garamond"/>
          <w:szCs w:val="22"/>
        </w:rPr>
        <w:t>elop/Update Memoranda of Understanding with Medicaid.</w:t>
      </w:r>
    </w:p>
    <w:p w14:paraId="56905121" w14:textId="77777777" w:rsidR="001F0CD3" w:rsidRPr="004A0C12" w:rsidRDefault="001F0CD3" w:rsidP="001F0CD3">
      <w:pPr>
        <w:spacing w:after="0" w:line="240" w:lineRule="auto"/>
        <w:ind w:left="720"/>
        <w:jc w:val="both"/>
        <w:rPr>
          <w:rFonts w:ascii="Garamond" w:hAnsi="Garamond"/>
        </w:rPr>
      </w:pPr>
    </w:p>
    <w:p w14:paraId="5FE318EE" w14:textId="7E93D86A" w:rsidR="007A1FDC" w:rsidRPr="004A0C12" w:rsidRDefault="00FF44FF" w:rsidP="007A1FDC">
      <w:pPr>
        <w:spacing w:after="0" w:line="240" w:lineRule="auto"/>
        <w:jc w:val="both"/>
        <w:rPr>
          <w:rFonts w:ascii="Garamond" w:hAnsi="Garamond"/>
        </w:rPr>
      </w:pPr>
      <w:r w:rsidRPr="004A0C12">
        <w:rPr>
          <w:rFonts w:ascii="Garamond" w:hAnsi="Garamond"/>
        </w:rPr>
        <w:t xml:space="preserve">Objective 3.2- </w:t>
      </w:r>
      <w:r w:rsidR="007A1FDC" w:rsidRPr="004A0C12">
        <w:rPr>
          <w:rFonts w:ascii="Garamond" w:hAnsi="Garamond"/>
        </w:rPr>
        <w:t>DORS will provide support to the St</w:t>
      </w:r>
      <w:r w:rsidR="001F0CD3" w:rsidRPr="004A0C12">
        <w:rPr>
          <w:rFonts w:ascii="Garamond" w:hAnsi="Garamond"/>
        </w:rPr>
        <w:t>ate Rehabilitation Council</w:t>
      </w:r>
      <w:r w:rsidR="007A1FDC" w:rsidRPr="004A0C12">
        <w:rPr>
          <w:rFonts w:ascii="Garamond" w:hAnsi="Garamond"/>
        </w:rPr>
        <w:t xml:space="preserve"> to maintain and enhance its leadership role in the oversight of vocational rehabilitation service delivery in Maryland.</w:t>
      </w:r>
    </w:p>
    <w:p w14:paraId="26405494" w14:textId="77777777" w:rsidR="007A1FDC" w:rsidRPr="004A0C12" w:rsidRDefault="007A1FDC" w:rsidP="007A1FDC">
      <w:pPr>
        <w:spacing w:after="0" w:line="240" w:lineRule="auto"/>
        <w:jc w:val="both"/>
        <w:rPr>
          <w:rFonts w:ascii="Garamond" w:hAnsi="Garamond"/>
        </w:rPr>
      </w:pPr>
    </w:p>
    <w:p w14:paraId="5A59C2E8" w14:textId="77777777" w:rsidR="007A1FDC" w:rsidRPr="004A0C12" w:rsidRDefault="007A1FDC" w:rsidP="001F0CD3">
      <w:pPr>
        <w:pStyle w:val="BodyText1"/>
        <w:ind w:left="0"/>
        <w:jc w:val="both"/>
        <w:rPr>
          <w:rFonts w:ascii="Garamond" w:hAnsi="Garamond"/>
          <w:sz w:val="22"/>
          <w:szCs w:val="22"/>
        </w:rPr>
      </w:pPr>
      <w:r w:rsidRPr="004A0C12">
        <w:rPr>
          <w:rFonts w:ascii="Garamond" w:hAnsi="Garamond"/>
          <w:sz w:val="22"/>
          <w:szCs w:val="22"/>
        </w:rPr>
        <w:t>Strategies:</w:t>
      </w:r>
    </w:p>
    <w:p w14:paraId="6E6F5F3C" w14:textId="7D9CC65D" w:rsidR="001F0CD3" w:rsidRPr="004A0C12" w:rsidRDefault="007A1FDC" w:rsidP="00232F09">
      <w:pPr>
        <w:pStyle w:val="BodyText1"/>
        <w:widowControl/>
        <w:numPr>
          <w:ilvl w:val="0"/>
          <w:numId w:val="244"/>
        </w:numPr>
        <w:jc w:val="both"/>
        <w:rPr>
          <w:rFonts w:ascii="Garamond" w:hAnsi="Garamond"/>
          <w:sz w:val="22"/>
          <w:szCs w:val="22"/>
        </w:rPr>
      </w:pPr>
      <w:r w:rsidRPr="004A0C12">
        <w:rPr>
          <w:rFonts w:ascii="Garamond" w:hAnsi="Garamond"/>
          <w:sz w:val="22"/>
          <w:szCs w:val="22"/>
        </w:rPr>
        <w:t>DORS will ensure that it works with the St</w:t>
      </w:r>
      <w:r w:rsidR="001F0CD3" w:rsidRPr="004A0C12">
        <w:rPr>
          <w:rFonts w:ascii="Garamond" w:hAnsi="Garamond"/>
          <w:sz w:val="22"/>
          <w:szCs w:val="22"/>
        </w:rPr>
        <w:t>ate Rehabilitation Council</w:t>
      </w:r>
      <w:r w:rsidRPr="004A0C12">
        <w:rPr>
          <w:rFonts w:ascii="Garamond" w:hAnsi="Garamond"/>
          <w:sz w:val="22"/>
          <w:szCs w:val="22"/>
        </w:rPr>
        <w:t xml:space="preserve"> in</w:t>
      </w:r>
      <w:r w:rsidR="001F0CD3" w:rsidRPr="004A0C12">
        <w:rPr>
          <w:rFonts w:ascii="Garamond" w:hAnsi="Garamond"/>
          <w:sz w:val="22"/>
          <w:szCs w:val="22"/>
        </w:rPr>
        <w:t xml:space="preserve"> accordance with federal law,</w:t>
      </w:r>
      <w:r w:rsidRPr="004A0C12">
        <w:rPr>
          <w:rFonts w:ascii="Garamond" w:hAnsi="Garamond"/>
          <w:sz w:val="22"/>
          <w:szCs w:val="22"/>
        </w:rPr>
        <w:t xml:space="preserve"> regulations</w:t>
      </w:r>
      <w:r w:rsidR="001F0CD3" w:rsidRPr="004A0C12">
        <w:rPr>
          <w:rFonts w:ascii="Garamond" w:hAnsi="Garamond"/>
          <w:sz w:val="22"/>
          <w:szCs w:val="22"/>
        </w:rPr>
        <w:t>,</w:t>
      </w:r>
      <w:r w:rsidRPr="004A0C12">
        <w:rPr>
          <w:rFonts w:ascii="Garamond" w:hAnsi="Garamond"/>
          <w:sz w:val="22"/>
          <w:szCs w:val="22"/>
        </w:rPr>
        <w:t xml:space="preserve"> and </w:t>
      </w:r>
      <w:r w:rsidR="00530FA0" w:rsidRPr="004A0C12">
        <w:rPr>
          <w:rFonts w:ascii="Garamond" w:hAnsi="Garamond"/>
          <w:sz w:val="22"/>
          <w:szCs w:val="22"/>
        </w:rPr>
        <w:t>Council By-Laws</w:t>
      </w:r>
    </w:p>
    <w:p w14:paraId="2F393E94" w14:textId="0B988636" w:rsidR="001F0CD3" w:rsidRPr="004A0C12" w:rsidRDefault="007A1FDC" w:rsidP="00232F09">
      <w:pPr>
        <w:pStyle w:val="BodyText1"/>
        <w:widowControl/>
        <w:numPr>
          <w:ilvl w:val="0"/>
          <w:numId w:val="244"/>
        </w:numPr>
        <w:jc w:val="both"/>
        <w:rPr>
          <w:rFonts w:ascii="Garamond" w:hAnsi="Garamond"/>
          <w:sz w:val="22"/>
          <w:szCs w:val="22"/>
        </w:rPr>
      </w:pPr>
      <w:r w:rsidRPr="004A0C12">
        <w:rPr>
          <w:rFonts w:ascii="Garamond" w:hAnsi="Garamond"/>
          <w:sz w:val="22"/>
          <w:szCs w:val="22"/>
        </w:rPr>
        <w:t xml:space="preserve">Council members will review and comment on </w:t>
      </w:r>
      <w:r w:rsidR="001F0CD3" w:rsidRPr="004A0C12">
        <w:rPr>
          <w:rFonts w:ascii="Garamond" w:hAnsi="Garamond"/>
          <w:sz w:val="22"/>
          <w:szCs w:val="22"/>
        </w:rPr>
        <w:t xml:space="preserve">the annual agency program plan to monitor </w:t>
      </w:r>
      <w:r w:rsidRPr="004A0C12">
        <w:rPr>
          <w:rFonts w:ascii="Garamond" w:hAnsi="Garamond"/>
          <w:sz w:val="22"/>
          <w:szCs w:val="22"/>
        </w:rPr>
        <w:t>DORS progress i</w:t>
      </w:r>
      <w:r w:rsidR="001F0CD3" w:rsidRPr="004A0C12">
        <w:rPr>
          <w:rFonts w:ascii="Garamond" w:hAnsi="Garamond"/>
          <w:sz w:val="22"/>
          <w:szCs w:val="22"/>
        </w:rPr>
        <w:t>n meeting its performance goals</w:t>
      </w:r>
      <w:r w:rsidRPr="004A0C12">
        <w:rPr>
          <w:rFonts w:ascii="Garamond" w:hAnsi="Garamond"/>
          <w:sz w:val="22"/>
          <w:szCs w:val="22"/>
        </w:rPr>
        <w:t xml:space="preserve"> an</w:t>
      </w:r>
      <w:r w:rsidR="001F0CD3" w:rsidRPr="004A0C12">
        <w:rPr>
          <w:rFonts w:ascii="Garamond" w:hAnsi="Garamond"/>
          <w:sz w:val="22"/>
          <w:szCs w:val="22"/>
        </w:rPr>
        <w:t>d to highlig</w:t>
      </w:r>
      <w:r w:rsidR="00530FA0" w:rsidRPr="004A0C12">
        <w:rPr>
          <w:rFonts w:ascii="Garamond" w:hAnsi="Garamond"/>
          <w:sz w:val="22"/>
          <w:szCs w:val="22"/>
        </w:rPr>
        <w:t>ht DORS program accomplishments</w:t>
      </w:r>
    </w:p>
    <w:p w14:paraId="402121B1" w14:textId="77777777" w:rsidR="001F0CD3" w:rsidRPr="004A0C12" w:rsidRDefault="001F0CD3" w:rsidP="001F0CD3">
      <w:pPr>
        <w:pStyle w:val="BodyText1"/>
        <w:widowControl/>
        <w:ind w:left="0"/>
        <w:jc w:val="both"/>
        <w:rPr>
          <w:rFonts w:ascii="Garamond" w:hAnsi="Garamond"/>
          <w:sz w:val="22"/>
          <w:szCs w:val="22"/>
        </w:rPr>
      </w:pPr>
    </w:p>
    <w:p w14:paraId="1DDF01FB" w14:textId="42227CF9" w:rsidR="007A1FDC" w:rsidRPr="004A0C12" w:rsidRDefault="007A1FDC" w:rsidP="001F0CD3">
      <w:pPr>
        <w:pStyle w:val="BodyText1"/>
        <w:widowControl/>
        <w:ind w:left="0"/>
        <w:jc w:val="both"/>
        <w:rPr>
          <w:rFonts w:ascii="Garamond" w:hAnsi="Garamond"/>
          <w:sz w:val="22"/>
          <w:szCs w:val="22"/>
        </w:rPr>
      </w:pPr>
      <w:r w:rsidRPr="004A0C12">
        <w:rPr>
          <w:rFonts w:ascii="Garamond" w:hAnsi="Garamond"/>
          <w:sz w:val="22"/>
          <w:szCs w:val="22"/>
        </w:rPr>
        <w:t xml:space="preserve">Performance Measures by September 30, 2016: </w:t>
      </w:r>
    </w:p>
    <w:p w14:paraId="2ADE3C33" w14:textId="3A12F7FE" w:rsidR="001F0CD3" w:rsidRPr="004A0C12" w:rsidRDefault="001F0CD3" w:rsidP="00232F09">
      <w:pPr>
        <w:pStyle w:val="BodyText1"/>
        <w:widowControl/>
        <w:numPr>
          <w:ilvl w:val="0"/>
          <w:numId w:val="245"/>
        </w:numPr>
        <w:jc w:val="both"/>
        <w:rPr>
          <w:rFonts w:ascii="Garamond" w:hAnsi="Garamond"/>
          <w:sz w:val="22"/>
          <w:szCs w:val="22"/>
        </w:rPr>
      </w:pPr>
      <w:r w:rsidRPr="004A0C12">
        <w:rPr>
          <w:rFonts w:ascii="Garamond" w:hAnsi="Garamond"/>
          <w:sz w:val="22"/>
          <w:szCs w:val="22"/>
        </w:rPr>
        <w:t>The Maryland State Rehabilitation Council</w:t>
      </w:r>
      <w:r w:rsidR="007A1FDC" w:rsidRPr="004A0C12">
        <w:rPr>
          <w:rFonts w:ascii="Garamond" w:hAnsi="Garamond"/>
          <w:sz w:val="22"/>
          <w:szCs w:val="22"/>
        </w:rPr>
        <w:t xml:space="preserve"> will conduct four quarterly meetings</w:t>
      </w:r>
      <w:r w:rsidRPr="004A0C12">
        <w:rPr>
          <w:rFonts w:ascii="Garamond" w:hAnsi="Garamond"/>
          <w:sz w:val="22"/>
          <w:szCs w:val="22"/>
        </w:rPr>
        <w:t>,</w:t>
      </w:r>
      <w:r w:rsidR="007A1FDC" w:rsidRPr="004A0C12">
        <w:rPr>
          <w:rFonts w:ascii="Garamond" w:hAnsi="Garamond"/>
          <w:sz w:val="22"/>
          <w:szCs w:val="22"/>
        </w:rPr>
        <w:t xml:space="preserve"> including a meeting during the l</w:t>
      </w:r>
      <w:r w:rsidR="00530FA0" w:rsidRPr="004A0C12">
        <w:rPr>
          <w:rFonts w:ascii="Garamond" w:hAnsi="Garamond"/>
          <w:sz w:val="22"/>
          <w:szCs w:val="22"/>
        </w:rPr>
        <w:t>egislative session in Annapolis</w:t>
      </w:r>
    </w:p>
    <w:p w14:paraId="725D3FEE" w14:textId="04C0A950" w:rsidR="001F0CD3" w:rsidRPr="004A0C12" w:rsidRDefault="001F0CD3" w:rsidP="00232F09">
      <w:pPr>
        <w:pStyle w:val="BodyText1"/>
        <w:widowControl/>
        <w:numPr>
          <w:ilvl w:val="0"/>
          <w:numId w:val="245"/>
        </w:numPr>
        <w:jc w:val="both"/>
        <w:rPr>
          <w:rFonts w:ascii="Garamond" w:hAnsi="Garamond"/>
          <w:sz w:val="22"/>
          <w:szCs w:val="22"/>
        </w:rPr>
      </w:pPr>
      <w:r w:rsidRPr="004A0C12">
        <w:rPr>
          <w:rFonts w:ascii="Garamond" w:hAnsi="Garamond"/>
          <w:sz w:val="22"/>
          <w:szCs w:val="22"/>
        </w:rPr>
        <w:t>The Maryland State Rehabilitation Council</w:t>
      </w:r>
      <w:r w:rsidR="007A1FDC" w:rsidRPr="004A0C12">
        <w:rPr>
          <w:rFonts w:ascii="Garamond" w:hAnsi="Garamond"/>
          <w:sz w:val="22"/>
          <w:szCs w:val="22"/>
        </w:rPr>
        <w:t xml:space="preserve"> and DORS will conduct annual public meetings in preparation f</w:t>
      </w:r>
      <w:r w:rsidRPr="004A0C12">
        <w:rPr>
          <w:rFonts w:ascii="Garamond" w:hAnsi="Garamond"/>
          <w:sz w:val="22"/>
          <w:szCs w:val="22"/>
        </w:rPr>
        <w:t>or developing the VR portion of the WIOA State Plan</w:t>
      </w:r>
    </w:p>
    <w:p w14:paraId="120EFFEC" w14:textId="35E49243" w:rsidR="001F0CD3" w:rsidRPr="004A0C12" w:rsidRDefault="001F0CD3" w:rsidP="00232F09">
      <w:pPr>
        <w:pStyle w:val="BodyText1"/>
        <w:widowControl/>
        <w:numPr>
          <w:ilvl w:val="0"/>
          <w:numId w:val="245"/>
        </w:numPr>
        <w:jc w:val="both"/>
        <w:rPr>
          <w:rFonts w:ascii="Garamond" w:hAnsi="Garamond"/>
          <w:sz w:val="22"/>
          <w:szCs w:val="22"/>
        </w:rPr>
      </w:pPr>
      <w:r w:rsidRPr="004A0C12">
        <w:rPr>
          <w:rFonts w:ascii="Garamond" w:hAnsi="Garamond"/>
          <w:sz w:val="22"/>
          <w:szCs w:val="22"/>
        </w:rPr>
        <w:t>The Maryland State Rehabilitation Council</w:t>
      </w:r>
      <w:r w:rsidR="007A1FDC" w:rsidRPr="004A0C12">
        <w:rPr>
          <w:rFonts w:ascii="Garamond" w:hAnsi="Garamond"/>
          <w:sz w:val="22"/>
          <w:szCs w:val="22"/>
        </w:rPr>
        <w:t xml:space="preserve"> will submit its annua</w:t>
      </w:r>
      <w:r w:rsidR="00205651" w:rsidRPr="004A0C12">
        <w:rPr>
          <w:rFonts w:ascii="Garamond" w:hAnsi="Garamond"/>
          <w:sz w:val="22"/>
          <w:szCs w:val="22"/>
        </w:rPr>
        <w:t>l report to the Governor and the U.S. Department of Education’s Rehabilitation Services Administration</w:t>
      </w:r>
      <w:r w:rsidR="00530FA0" w:rsidRPr="004A0C12">
        <w:rPr>
          <w:rFonts w:ascii="Garamond" w:hAnsi="Garamond"/>
          <w:sz w:val="22"/>
          <w:szCs w:val="22"/>
        </w:rPr>
        <w:t>, as required by law</w:t>
      </w:r>
    </w:p>
    <w:p w14:paraId="5E1FE8B6" w14:textId="647CB136" w:rsidR="007A1FDC" w:rsidRPr="004A0C12" w:rsidRDefault="007A1FDC" w:rsidP="00232F09">
      <w:pPr>
        <w:pStyle w:val="BodyText1"/>
        <w:widowControl/>
        <w:numPr>
          <w:ilvl w:val="0"/>
          <w:numId w:val="245"/>
        </w:numPr>
        <w:jc w:val="both"/>
        <w:rPr>
          <w:rFonts w:ascii="Garamond" w:hAnsi="Garamond"/>
          <w:sz w:val="22"/>
          <w:szCs w:val="22"/>
        </w:rPr>
      </w:pPr>
      <w:r w:rsidRPr="004A0C12">
        <w:rPr>
          <w:rFonts w:ascii="Garamond" w:hAnsi="Garamond"/>
          <w:sz w:val="22"/>
          <w:szCs w:val="22"/>
        </w:rPr>
        <w:t>The tri-annual statewide Needs Assessment will be completed.</w:t>
      </w:r>
    </w:p>
    <w:p w14:paraId="092F7226" w14:textId="77777777" w:rsidR="007A1FDC" w:rsidRPr="004A0C12" w:rsidRDefault="007A1FDC" w:rsidP="007A1FDC">
      <w:pPr>
        <w:pStyle w:val="ListParagraph"/>
        <w:jc w:val="both"/>
        <w:rPr>
          <w:rFonts w:ascii="Garamond" w:hAnsi="Garamond"/>
          <w:szCs w:val="22"/>
        </w:rPr>
      </w:pPr>
    </w:p>
    <w:p w14:paraId="7A004E5D" w14:textId="6CB3A166" w:rsidR="007A1FDC" w:rsidRPr="004A0C12" w:rsidRDefault="00FF44FF" w:rsidP="001F0CD3">
      <w:pPr>
        <w:pStyle w:val="BodyText1"/>
        <w:ind w:left="0"/>
        <w:jc w:val="both"/>
        <w:rPr>
          <w:rFonts w:ascii="Garamond" w:hAnsi="Garamond"/>
          <w:sz w:val="22"/>
          <w:szCs w:val="22"/>
        </w:rPr>
      </w:pPr>
      <w:r w:rsidRPr="004A0C12">
        <w:rPr>
          <w:rFonts w:ascii="Garamond" w:hAnsi="Garamond"/>
          <w:sz w:val="22"/>
          <w:szCs w:val="22"/>
        </w:rPr>
        <w:t xml:space="preserve">Objective 3.3 - </w:t>
      </w:r>
      <w:r w:rsidR="007A1FDC" w:rsidRPr="004A0C12">
        <w:rPr>
          <w:rFonts w:ascii="Garamond" w:hAnsi="Garamond"/>
          <w:sz w:val="22"/>
          <w:szCs w:val="22"/>
        </w:rPr>
        <w:t>Promote and enhance quality independent living outcomes for individuals with disabilities in Maryland through independent living programs.</w:t>
      </w:r>
    </w:p>
    <w:p w14:paraId="78CB4709" w14:textId="77777777" w:rsidR="007A1FDC" w:rsidRPr="004A0C12" w:rsidRDefault="007A1FDC" w:rsidP="007A1FDC">
      <w:pPr>
        <w:spacing w:after="0" w:line="240" w:lineRule="auto"/>
        <w:jc w:val="both"/>
        <w:rPr>
          <w:rFonts w:ascii="Garamond" w:hAnsi="Garamond"/>
        </w:rPr>
      </w:pPr>
    </w:p>
    <w:p w14:paraId="29710AD9"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6260EBD8" w14:textId="77777777" w:rsidR="001F0CD3" w:rsidRPr="004A0C12" w:rsidRDefault="007A1FDC" w:rsidP="00232F09">
      <w:pPr>
        <w:pStyle w:val="ListParagraph"/>
        <w:numPr>
          <w:ilvl w:val="0"/>
          <w:numId w:val="246"/>
        </w:numPr>
        <w:jc w:val="both"/>
        <w:rPr>
          <w:rFonts w:ascii="Garamond" w:hAnsi="Garamond"/>
          <w:szCs w:val="22"/>
        </w:rPr>
      </w:pPr>
      <w:r w:rsidRPr="004A0C12">
        <w:rPr>
          <w:rFonts w:ascii="Garamond" w:hAnsi="Garamond"/>
          <w:szCs w:val="22"/>
        </w:rPr>
        <w:t>Provide grant support, technical assistance and monitoring to the Statewide I</w:t>
      </w:r>
      <w:r w:rsidR="001F0CD3" w:rsidRPr="004A0C12">
        <w:rPr>
          <w:rFonts w:ascii="Garamond" w:hAnsi="Garamond"/>
          <w:szCs w:val="22"/>
        </w:rPr>
        <w:t>ndependent Living Council;</w:t>
      </w:r>
      <w:r w:rsidRPr="004A0C12">
        <w:rPr>
          <w:rFonts w:ascii="Garamond" w:hAnsi="Garamond"/>
          <w:szCs w:val="22"/>
        </w:rPr>
        <w:t xml:space="preserve"> </w:t>
      </w:r>
    </w:p>
    <w:p w14:paraId="1A3EC631" w14:textId="2C3FA692" w:rsidR="001F0CD3" w:rsidRPr="004A0C12" w:rsidRDefault="007A1FDC" w:rsidP="00232F09">
      <w:pPr>
        <w:pStyle w:val="ListParagraph"/>
        <w:numPr>
          <w:ilvl w:val="0"/>
          <w:numId w:val="246"/>
        </w:numPr>
        <w:jc w:val="both"/>
        <w:rPr>
          <w:rFonts w:ascii="Garamond" w:hAnsi="Garamond"/>
          <w:szCs w:val="22"/>
        </w:rPr>
      </w:pPr>
      <w:r w:rsidRPr="004A0C12">
        <w:rPr>
          <w:rFonts w:ascii="Garamond" w:hAnsi="Garamond"/>
          <w:szCs w:val="22"/>
        </w:rPr>
        <w:t>Manage DORS grants to Cente</w:t>
      </w:r>
      <w:r w:rsidR="001F0CD3" w:rsidRPr="004A0C12">
        <w:rPr>
          <w:rFonts w:ascii="Garamond" w:hAnsi="Garamond"/>
          <w:szCs w:val="22"/>
        </w:rPr>
        <w:t>rs for Independent Living</w:t>
      </w:r>
      <w:r w:rsidRPr="004A0C12">
        <w:rPr>
          <w:rFonts w:ascii="Garamond" w:hAnsi="Garamond"/>
          <w:szCs w:val="22"/>
        </w:rPr>
        <w:t xml:space="preserve">, including providing technical assistance and monitoring regarding the </w:t>
      </w:r>
      <w:r w:rsidR="001F0CD3" w:rsidRPr="004A0C12">
        <w:rPr>
          <w:rFonts w:ascii="Garamond" w:hAnsi="Garamond"/>
          <w:szCs w:val="22"/>
        </w:rPr>
        <w:t>Independent Living</w:t>
      </w:r>
      <w:r w:rsidR="00205651" w:rsidRPr="004A0C12">
        <w:rPr>
          <w:rFonts w:ascii="Garamond" w:hAnsi="Garamond"/>
          <w:szCs w:val="22"/>
        </w:rPr>
        <w:t xml:space="preserve"> program, the Independent Living, Assistive Technology</w:t>
      </w:r>
      <w:r w:rsidRPr="004A0C12">
        <w:rPr>
          <w:rFonts w:ascii="Garamond" w:hAnsi="Garamond"/>
          <w:szCs w:val="22"/>
        </w:rPr>
        <w:t xml:space="preserve"> progr</w:t>
      </w:r>
      <w:r w:rsidR="001F0CD3" w:rsidRPr="004A0C12">
        <w:rPr>
          <w:rFonts w:ascii="Garamond" w:hAnsi="Garamond"/>
          <w:szCs w:val="22"/>
        </w:rPr>
        <w:t>am, and fiscal responsibilities;</w:t>
      </w:r>
    </w:p>
    <w:p w14:paraId="6FDA426F" w14:textId="0E959262" w:rsidR="001F0CD3" w:rsidRPr="004A0C12" w:rsidRDefault="001F0CD3" w:rsidP="00232F09">
      <w:pPr>
        <w:pStyle w:val="ListParagraph"/>
        <w:numPr>
          <w:ilvl w:val="0"/>
          <w:numId w:val="246"/>
        </w:numPr>
        <w:jc w:val="both"/>
        <w:rPr>
          <w:rFonts w:ascii="Garamond" w:hAnsi="Garamond"/>
          <w:szCs w:val="22"/>
        </w:rPr>
      </w:pPr>
      <w:r w:rsidRPr="004A0C12">
        <w:rPr>
          <w:rFonts w:ascii="Garamond" w:hAnsi="Garamond"/>
          <w:szCs w:val="22"/>
        </w:rPr>
        <w:t xml:space="preserve">Participate as an Independent Living </w:t>
      </w:r>
      <w:r w:rsidR="007A1FDC" w:rsidRPr="004A0C12">
        <w:rPr>
          <w:rFonts w:ascii="Garamond" w:hAnsi="Garamond"/>
          <w:szCs w:val="22"/>
        </w:rPr>
        <w:t>Partner in implementation of the 2014-2016 St</w:t>
      </w:r>
      <w:r w:rsidRPr="004A0C12">
        <w:rPr>
          <w:rFonts w:ascii="Garamond" w:hAnsi="Garamond"/>
          <w:szCs w:val="22"/>
        </w:rPr>
        <w:t>ate Plan for Independent Living; and,</w:t>
      </w:r>
    </w:p>
    <w:p w14:paraId="476C5C7D" w14:textId="4BAD382D" w:rsidR="007A1FDC" w:rsidRPr="004A0C12" w:rsidRDefault="00205651" w:rsidP="00232F09">
      <w:pPr>
        <w:pStyle w:val="ListParagraph"/>
        <w:numPr>
          <w:ilvl w:val="0"/>
          <w:numId w:val="246"/>
        </w:numPr>
        <w:jc w:val="both"/>
        <w:rPr>
          <w:rFonts w:ascii="Garamond" w:hAnsi="Garamond"/>
          <w:szCs w:val="22"/>
        </w:rPr>
      </w:pPr>
      <w:r w:rsidRPr="004A0C12">
        <w:rPr>
          <w:rFonts w:ascii="Garamond" w:hAnsi="Garamond"/>
          <w:szCs w:val="22"/>
        </w:rPr>
        <w:t>Regional Directors and Office of Blindness and Vision Services</w:t>
      </w:r>
      <w:r w:rsidR="007A1FDC" w:rsidRPr="004A0C12">
        <w:rPr>
          <w:rFonts w:ascii="Garamond" w:hAnsi="Garamond"/>
          <w:szCs w:val="22"/>
        </w:rPr>
        <w:t xml:space="preserve"> Supervisors will conduct an annual meeting with Executive Directors of CILs within their areas to discuss issues of mutual interest.</w:t>
      </w:r>
    </w:p>
    <w:p w14:paraId="23250A64" w14:textId="77777777" w:rsidR="007A1FDC" w:rsidRPr="004A0C12" w:rsidRDefault="007A1FDC" w:rsidP="007A1FDC">
      <w:pPr>
        <w:spacing w:after="0" w:line="240" w:lineRule="auto"/>
        <w:jc w:val="both"/>
        <w:rPr>
          <w:rFonts w:ascii="Garamond" w:hAnsi="Garamond"/>
        </w:rPr>
      </w:pPr>
    </w:p>
    <w:p w14:paraId="4243BB8B" w14:textId="77777777" w:rsidR="00FF44FF" w:rsidRPr="004A0C12" w:rsidRDefault="00FF44FF" w:rsidP="007A1FDC">
      <w:pPr>
        <w:spacing w:after="0" w:line="240" w:lineRule="auto"/>
        <w:jc w:val="both"/>
        <w:rPr>
          <w:rFonts w:ascii="Garamond" w:hAnsi="Garamond"/>
        </w:rPr>
      </w:pPr>
    </w:p>
    <w:p w14:paraId="5F0C7624" w14:textId="77777777" w:rsidR="007A1FDC" w:rsidRPr="004A0C12" w:rsidRDefault="007A1FDC" w:rsidP="001F0CD3">
      <w:pPr>
        <w:pStyle w:val="BodyText1"/>
        <w:ind w:left="0"/>
        <w:jc w:val="both"/>
        <w:rPr>
          <w:rFonts w:ascii="Garamond" w:hAnsi="Garamond"/>
          <w:sz w:val="22"/>
          <w:szCs w:val="22"/>
        </w:rPr>
      </w:pPr>
      <w:r w:rsidRPr="004A0C12">
        <w:rPr>
          <w:rFonts w:ascii="Garamond" w:hAnsi="Garamond"/>
          <w:sz w:val="22"/>
          <w:szCs w:val="22"/>
        </w:rPr>
        <w:t xml:space="preserve">Performance Measures by September 30, 2016: </w:t>
      </w:r>
    </w:p>
    <w:p w14:paraId="2D13B0BE" w14:textId="77777777" w:rsidR="001F0CD3" w:rsidRPr="004A0C12" w:rsidRDefault="007A1FDC" w:rsidP="00232F09">
      <w:pPr>
        <w:pStyle w:val="BodyText1"/>
        <w:widowControl/>
        <w:numPr>
          <w:ilvl w:val="0"/>
          <w:numId w:val="247"/>
        </w:numPr>
        <w:jc w:val="both"/>
        <w:rPr>
          <w:rFonts w:ascii="Garamond" w:hAnsi="Garamond"/>
          <w:sz w:val="22"/>
          <w:szCs w:val="22"/>
        </w:rPr>
      </w:pPr>
      <w:r w:rsidRPr="004A0C12">
        <w:rPr>
          <w:rFonts w:ascii="Garamond" w:hAnsi="Garamond"/>
          <w:sz w:val="22"/>
          <w:szCs w:val="22"/>
        </w:rPr>
        <w:t>Annual reviews of grant performanc</w:t>
      </w:r>
      <w:r w:rsidR="001F0CD3" w:rsidRPr="004A0C12">
        <w:rPr>
          <w:rFonts w:ascii="Garamond" w:hAnsi="Garamond"/>
          <w:sz w:val="22"/>
          <w:szCs w:val="22"/>
        </w:rPr>
        <w:t>e will be conducted for each Center for Independent Living</w:t>
      </w:r>
      <w:r w:rsidRPr="004A0C12">
        <w:rPr>
          <w:rFonts w:ascii="Garamond" w:hAnsi="Garamond"/>
          <w:sz w:val="22"/>
          <w:szCs w:val="22"/>
        </w:rPr>
        <w:t xml:space="preserve"> with which DORS has a grant, and the State</w:t>
      </w:r>
      <w:r w:rsidR="001F0CD3" w:rsidRPr="004A0C12">
        <w:rPr>
          <w:rFonts w:ascii="Garamond" w:hAnsi="Garamond"/>
          <w:sz w:val="22"/>
          <w:szCs w:val="22"/>
        </w:rPr>
        <w:t>wide Independent Living Council;</w:t>
      </w:r>
    </w:p>
    <w:p w14:paraId="6E47E3CB" w14:textId="77777777" w:rsidR="001F0CD3" w:rsidRPr="004A0C12" w:rsidRDefault="007A1FDC" w:rsidP="00232F09">
      <w:pPr>
        <w:pStyle w:val="BodyText1"/>
        <w:widowControl/>
        <w:numPr>
          <w:ilvl w:val="0"/>
          <w:numId w:val="247"/>
        </w:numPr>
        <w:jc w:val="both"/>
        <w:rPr>
          <w:rFonts w:ascii="Garamond" w:hAnsi="Garamond"/>
          <w:sz w:val="22"/>
          <w:szCs w:val="22"/>
        </w:rPr>
      </w:pPr>
      <w:r w:rsidRPr="004A0C12">
        <w:rPr>
          <w:rFonts w:ascii="Garamond" w:hAnsi="Garamond"/>
          <w:sz w:val="22"/>
          <w:szCs w:val="22"/>
        </w:rPr>
        <w:t>Meeting minutes will confirm DORS staff attendance and participation in quarterly meetings of Maryl</w:t>
      </w:r>
      <w:r w:rsidR="001F0CD3" w:rsidRPr="004A0C12">
        <w:rPr>
          <w:rFonts w:ascii="Garamond" w:hAnsi="Garamond"/>
          <w:sz w:val="22"/>
          <w:szCs w:val="22"/>
        </w:rPr>
        <w:t xml:space="preserve">and Independent Living Partners; and, </w:t>
      </w:r>
    </w:p>
    <w:p w14:paraId="2DCABF95" w14:textId="65C3F7BF" w:rsidR="007A1FDC" w:rsidRPr="004A0C12" w:rsidRDefault="007A1FDC" w:rsidP="00232F09">
      <w:pPr>
        <w:pStyle w:val="BodyText1"/>
        <w:widowControl/>
        <w:numPr>
          <w:ilvl w:val="0"/>
          <w:numId w:val="247"/>
        </w:numPr>
        <w:jc w:val="both"/>
        <w:rPr>
          <w:rFonts w:ascii="Garamond" w:hAnsi="Garamond"/>
          <w:sz w:val="22"/>
          <w:szCs w:val="22"/>
        </w:rPr>
      </w:pPr>
      <w:r w:rsidRPr="004A0C12">
        <w:rPr>
          <w:rFonts w:ascii="Garamond" w:hAnsi="Garamond"/>
          <w:sz w:val="22"/>
          <w:szCs w:val="22"/>
        </w:rPr>
        <w:t>DORS Regional/Program directors will confirm at least ann</w:t>
      </w:r>
      <w:r w:rsidR="001F0CD3" w:rsidRPr="004A0C12">
        <w:rPr>
          <w:rFonts w:ascii="Garamond" w:hAnsi="Garamond"/>
          <w:sz w:val="22"/>
          <w:szCs w:val="22"/>
        </w:rPr>
        <w:t xml:space="preserve">ual meetings with Center for Independent Living Executive </w:t>
      </w:r>
      <w:r w:rsidRPr="004A0C12">
        <w:rPr>
          <w:rFonts w:ascii="Garamond" w:hAnsi="Garamond"/>
          <w:sz w:val="22"/>
          <w:szCs w:val="22"/>
        </w:rPr>
        <w:t>Directors.</w:t>
      </w:r>
    </w:p>
    <w:p w14:paraId="56248E1F" w14:textId="77777777" w:rsidR="007A1FDC" w:rsidRPr="004A0C12" w:rsidRDefault="007A1FDC" w:rsidP="007A1FDC">
      <w:pPr>
        <w:pStyle w:val="BodyText1"/>
        <w:jc w:val="both"/>
        <w:rPr>
          <w:rFonts w:ascii="Garamond" w:hAnsi="Garamond"/>
          <w:sz w:val="22"/>
          <w:szCs w:val="22"/>
        </w:rPr>
      </w:pPr>
    </w:p>
    <w:p w14:paraId="536D10AE" w14:textId="77777777" w:rsidR="007A1FDC" w:rsidRPr="004A0C12" w:rsidRDefault="007A1FDC" w:rsidP="007A1FDC">
      <w:pPr>
        <w:spacing w:after="0" w:line="240" w:lineRule="auto"/>
        <w:jc w:val="both"/>
        <w:rPr>
          <w:rFonts w:ascii="Garamond" w:hAnsi="Garamond"/>
        </w:rPr>
      </w:pPr>
      <w:r w:rsidRPr="00BF652B">
        <w:rPr>
          <w:rFonts w:ascii="Garamond" w:hAnsi="Garamond"/>
          <w:b/>
          <w:sz w:val="24"/>
          <w:szCs w:val="24"/>
        </w:rPr>
        <w:t>Goal 4:</w:t>
      </w:r>
      <w:r w:rsidRPr="004A0C12">
        <w:rPr>
          <w:rFonts w:ascii="Garamond" w:hAnsi="Garamond"/>
        </w:rPr>
        <w:t xml:space="preserve"> Provide Infrastructure to promote and support the accomplishment of the DORS mission.</w:t>
      </w:r>
    </w:p>
    <w:p w14:paraId="1A25BFC0" w14:textId="77777777" w:rsidR="007A1FDC" w:rsidRPr="004A0C12" w:rsidRDefault="007A1FDC" w:rsidP="007A1FDC">
      <w:pPr>
        <w:spacing w:after="0" w:line="240" w:lineRule="auto"/>
        <w:jc w:val="both"/>
        <w:rPr>
          <w:rFonts w:ascii="Garamond" w:hAnsi="Garamond"/>
        </w:rPr>
      </w:pPr>
    </w:p>
    <w:p w14:paraId="3539E8BD" w14:textId="3D28DDE5" w:rsidR="007A1FDC" w:rsidRPr="004A0C12" w:rsidRDefault="00FF44FF" w:rsidP="007A1FDC">
      <w:pPr>
        <w:spacing w:after="0" w:line="240" w:lineRule="auto"/>
        <w:jc w:val="both"/>
        <w:rPr>
          <w:rFonts w:ascii="Garamond" w:hAnsi="Garamond"/>
        </w:rPr>
      </w:pPr>
      <w:r w:rsidRPr="004A0C12">
        <w:rPr>
          <w:rFonts w:ascii="Garamond" w:hAnsi="Garamond"/>
        </w:rPr>
        <w:t xml:space="preserve">Objective 4.1- </w:t>
      </w:r>
      <w:r w:rsidR="007A1FDC" w:rsidRPr="004A0C12">
        <w:rPr>
          <w:rFonts w:ascii="Garamond" w:hAnsi="Garamond"/>
        </w:rPr>
        <w:t>Complete year 2 activities that support the goals and objectives of the DORS 2015-2018 Strategic Plan, in the areas of organizational structure, information technology, succession planning, and community partners.</w:t>
      </w:r>
    </w:p>
    <w:p w14:paraId="09A27926" w14:textId="77777777" w:rsidR="007A1FDC" w:rsidRPr="004A0C12" w:rsidRDefault="007A1FDC" w:rsidP="007A1FDC">
      <w:pPr>
        <w:spacing w:after="0" w:line="240" w:lineRule="auto"/>
        <w:jc w:val="both"/>
        <w:rPr>
          <w:rFonts w:ascii="Garamond" w:hAnsi="Garamond"/>
        </w:rPr>
      </w:pPr>
    </w:p>
    <w:p w14:paraId="390E5C28" w14:textId="77777777" w:rsidR="007A1FDC" w:rsidRPr="004A0C12" w:rsidRDefault="007A1FDC" w:rsidP="007A1FDC">
      <w:pPr>
        <w:spacing w:after="0" w:line="240" w:lineRule="auto"/>
        <w:jc w:val="both"/>
        <w:rPr>
          <w:rFonts w:ascii="Garamond" w:hAnsi="Garamond"/>
        </w:rPr>
      </w:pPr>
      <w:r w:rsidRPr="004A0C12">
        <w:rPr>
          <w:rFonts w:ascii="Garamond" w:hAnsi="Garamond"/>
        </w:rPr>
        <w:t>Strategies:  DORS will</w:t>
      </w:r>
    </w:p>
    <w:p w14:paraId="272A2992" w14:textId="77777777" w:rsidR="001F0CD3" w:rsidRPr="004A0C12" w:rsidRDefault="007A1FDC" w:rsidP="00232F09">
      <w:pPr>
        <w:pStyle w:val="ListParagraph"/>
        <w:numPr>
          <w:ilvl w:val="0"/>
          <w:numId w:val="248"/>
        </w:numPr>
        <w:jc w:val="both"/>
        <w:rPr>
          <w:rFonts w:ascii="Garamond" w:hAnsi="Garamond"/>
          <w:szCs w:val="22"/>
        </w:rPr>
      </w:pPr>
      <w:r w:rsidRPr="004A0C12">
        <w:rPr>
          <w:rFonts w:ascii="Garamond" w:hAnsi="Garamond"/>
          <w:szCs w:val="22"/>
        </w:rPr>
        <w:t>Assign appropriate staff to work groups</w:t>
      </w:r>
      <w:r w:rsidR="001F0CD3" w:rsidRPr="004A0C12">
        <w:rPr>
          <w:rFonts w:ascii="Garamond" w:hAnsi="Garamond"/>
          <w:szCs w:val="22"/>
        </w:rPr>
        <w:t>, including WIOA Work Groups,</w:t>
      </w:r>
      <w:r w:rsidRPr="004A0C12">
        <w:rPr>
          <w:rFonts w:ascii="Garamond" w:hAnsi="Garamond"/>
          <w:szCs w:val="22"/>
        </w:rPr>
        <w:t xml:space="preserve"> to see that strategic plan</w:t>
      </w:r>
      <w:r w:rsidR="001F0CD3" w:rsidRPr="004A0C12">
        <w:rPr>
          <w:rFonts w:ascii="Garamond" w:hAnsi="Garamond"/>
          <w:szCs w:val="22"/>
        </w:rPr>
        <w:t>ning activities are carried out;</w:t>
      </w:r>
    </w:p>
    <w:p w14:paraId="501EBD9B" w14:textId="77777777" w:rsidR="001F0CD3" w:rsidRPr="004A0C12" w:rsidRDefault="007A1FDC" w:rsidP="00232F09">
      <w:pPr>
        <w:pStyle w:val="ListParagraph"/>
        <w:numPr>
          <w:ilvl w:val="0"/>
          <w:numId w:val="248"/>
        </w:numPr>
        <w:jc w:val="both"/>
        <w:rPr>
          <w:rFonts w:ascii="Garamond" w:hAnsi="Garamond"/>
          <w:szCs w:val="22"/>
        </w:rPr>
      </w:pPr>
      <w:r w:rsidRPr="004A0C12">
        <w:rPr>
          <w:rFonts w:ascii="Garamond" w:hAnsi="Garamond"/>
          <w:szCs w:val="22"/>
        </w:rPr>
        <w:t>Review strategic plan for p</w:t>
      </w:r>
      <w:r w:rsidR="001F0CD3" w:rsidRPr="004A0C12">
        <w:rPr>
          <w:rFonts w:ascii="Garamond" w:hAnsi="Garamond"/>
          <w:szCs w:val="22"/>
        </w:rPr>
        <w:t xml:space="preserve">ossible revisions, as necessary; and, </w:t>
      </w:r>
    </w:p>
    <w:p w14:paraId="45C9143A" w14:textId="465CB20F" w:rsidR="007A1FDC" w:rsidRPr="004A0C12" w:rsidRDefault="007A1FDC" w:rsidP="00232F09">
      <w:pPr>
        <w:pStyle w:val="ListParagraph"/>
        <w:numPr>
          <w:ilvl w:val="0"/>
          <w:numId w:val="248"/>
        </w:numPr>
        <w:jc w:val="both"/>
        <w:rPr>
          <w:rFonts w:ascii="Garamond" w:hAnsi="Garamond"/>
          <w:szCs w:val="22"/>
        </w:rPr>
      </w:pPr>
      <w:r w:rsidRPr="004A0C12">
        <w:rPr>
          <w:rFonts w:ascii="Garamond" w:hAnsi="Garamond"/>
          <w:szCs w:val="22"/>
        </w:rPr>
        <w:t>Assure that progress is made through presentations to the Executive Staff.</w:t>
      </w:r>
    </w:p>
    <w:p w14:paraId="4E19C372" w14:textId="77777777" w:rsidR="007A1FDC" w:rsidRPr="004A0C12" w:rsidRDefault="007A1FDC" w:rsidP="007A1FDC">
      <w:pPr>
        <w:spacing w:after="0" w:line="240" w:lineRule="auto"/>
        <w:ind w:left="720"/>
        <w:jc w:val="both"/>
        <w:rPr>
          <w:rFonts w:ascii="Garamond" w:hAnsi="Garamond"/>
        </w:rPr>
      </w:pPr>
    </w:p>
    <w:p w14:paraId="3A9BBD8B" w14:textId="0D6FAF7E" w:rsidR="007A1FDC" w:rsidRPr="004A0C12" w:rsidRDefault="00FF44FF" w:rsidP="007A1FDC">
      <w:pPr>
        <w:spacing w:after="0" w:line="240" w:lineRule="auto"/>
        <w:jc w:val="both"/>
        <w:rPr>
          <w:rFonts w:ascii="Garamond" w:hAnsi="Garamond"/>
        </w:rPr>
      </w:pPr>
      <w:r w:rsidRPr="004A0C12">
        <w:rPr>
          <w:rFonts w:ascii="Garamond" w:hAnsi="Garamond"/>
        </w:rPr>
        <w:t xml:space="preserve">Objective 4.2 - </w:t>
      </w:r>
      <w:r w:rsidR="007A1FDC" w:rsidRPr="004A0C12">
        <w:rPr>
          <w:rFonts w:ascii="Garamond" w:hAnsi="Garamond"/>
        </w:rPr>
        <w:t>Staff training will be provided to assure that staff maintains current competencies in rehabilitation practice, special populations, and administrative issues; Leadership development programs will be offere</w:t>
      </w:r>
      <w:r w:rsidR="00D5223A" w:rsidRPr="004A0C12">
        <w:rPr>
          <w:rFonts w:ascii="Garamond" w:hAnsi="Garamond"/>
        </w:rPr>
        <w:t>d (Needs Assessment Recommendation</w:t>
      </w:r>
      <w:r w:rsidR="007A1FDC" w:rsidRPr="004A0C12">
        <w:rPr>
          <w:rFonts w:ascii="Garamond" w:hAnsi="Garamond"/>
        </w:rPr>
        <w:t xml:space="preserve"> 1).</w:t>
      </w:r>
    </w:p>
    <w:p w14:paraId="03C35F22" w14:textId="77777777" w:rsidR="007A1FDC" w:rsidRPr="004A0C12" w:rsidRDefault="007A1FDC" w:rsidP="007A1FDC">
      <w:pPr>
        <w:spacing w:after="0" w:line="240" w:lineRule="auto"/>
        <w:jc w:val="both"/>
        <w:rPr>
          <w:rFonts w:ascii="Garamond" w:hAnsi="Garamond"/>
        </w:rPr>
      </w:pPr>
    </w:p>
    <w:p w14:paraId="79254276"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2573A207" w14:textId="2086C47D" w:rsidR="007A1FDC" w:rsidRPr="004A0C12" w:rsidRDefault="007A1FDC" w:rsidP="00232F09">
      <w:pPr>
        <w:numPr>
          <w:ilvl w:val="0"/>
          <w:numId w:val="162"/>
        </w:numPr>
        <w:tabs>
          <w:tab w:val="clear" w:pos="360"/>
          <w:tab w:val="num" w:pos="720"/>
        </w:tabs>
        <w:spacing w:after="0" w:line="240" w:lineRule="auto"/>
        <w:ind w:left="720" w:hanging="360"/>
        <w:jc w:val="both"/>
        <w:rPr>
          <w:rFonts w:ascii="Garamond" w:hAnsi="Garamond"/>
        </w:rPr>
      </w:pPr>
      <w:r w:rsidRPr="004A0C12">
        <w:rPr>
          <w:rFonts w:ascii="Garamond" w:hAnsi="Garamond"/>
        </w:rPr>
        <w:t>Provide effective Vocational Rehabilitation training for all staff, to include but not limited to employment services, needs of and resources for targeted populations, and the role of the Counselor. (Needs Assessme</w:t>
      </w:r>
      <w:r w:rsidR="00D5223A" w:rsidRPr="004A0C12">
        <w:rPr>
          <w:rFonts w:ascii="Garamond" w:hAnsi="Garamond"/>
        </w:rPr>
        <w:t>nt Recommendation 1);</w:t>
      </w:r>
    </w:p>
    <w:p w14:paraId="601BB571" w14:textId="5A5F5A70" w:rsidR="007A1FDC" w:rsidRPr="004A0C12" w:rsidRDefault="007A1FDC" w:rsidP="00232F09">
      <w:pPr>
        <w:numPr>
          <w:ilvl w:val="0"/>
          <w:numId w:val="162"/>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Include </w:t>
      </w:r>
      <w:r w:rsidR="00D5223A" w:rsidRPr="004A0C12">
        <w:rPr>
          <w:rFonts w:ascii="Garamond" w:hAnsi="Garamond"/>
        </w:rPr>
        <w:t>WIOA Partners and community partners</w:t>
      </w:r>
      <w:r w:rsidRPr="004A0C12">
        <w:rPr>
          <w:rFonts w:ascii="Garamond" w:hAnsi="Garamond"/>
        </w:rPr>
        <w:t xml:space="preserve"> in DORS training and meetings as appropriate. (Nee</w:t>
      </w:r>
      <w:r w:rsidR="00D5223A" w:rsidRPr="004A0C12">
        <w:rPr>
          <w:rFonts w:ascii="Garamond" w:hAnsi="Garamond"/>
        </w:rPr>
        <w:t>ds Assessment Recommendation 1);</w:t>
      </w:r>
    </w:p>
    <w:p w14:paraId="220C9428" w14:textId="4E2A85D5" w:rsidR="007A1FDC" w:rsidRPr="004A0C12" w:rsidRDefault="00821946" w:rsidP="00232F09">
      <w:pPr>
        <w:numPr>
          <w:ilvl w:val="0"/>
          <w:numId w:val="162"/>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Continue to expand online and </w:t>
      </w:r>
      <w:r w:rsidR="007A1FDC" w:rsidRPr="004A0C12">
        <w:rPr>
          <w:rFonts w:ascii="Garamond" w:hAnsi="Garamond"/>
        </w:rPr>
        <w:t>web-based trainin</w:t>
      </w:r>
      <w:r w:rsidRPr="004A0C12">
        <w:rPr>
          <w:rFonts w:ascii="Garamond" w:hAnsi="Garamond"/>
        </w:rPr>
        <w:t>g modalities for training staff;</w:t>
      </w:r>
    </w:p>
    <w:p w14:paraId="579C8FC8" w14:textId="633E53C7" w:rsidR="007A1FDC" w:rsidRPr="004A0C12" w:rsidRDefault="007A1FDC" w:rsidP="00232F09">
      <w:pPr>
        <w:numPr>
          <w:ilvl w:val="0"/>
          <w:numId w:val="162"/>
        </w:numPr>
        <w:tabs>
          <w:tab w:val="clear" w:pos="360"/>
          <w:tab w:val="num" w:pos="720"/>
        </w:tabs>
        <w:spacing w:after="0" w:line="240" w:lineRule="auto"/>
        <w:ind w:left="720" w:hanging="360"/>
        <w:jc w:val="both"/>
        <w:rPr>
          <w:rFonts w:ascii="Garamond" w:hAnsi="Garamond"/>
        </w:rPr>
      </w:pPr>
      <w:r w:rsidRPr="004A0C12">
        <w:rPr>
          <w:rFonts w:ascii="Garamond" w:hAnsi="Garamond"/>
        </w:rPr>
        <w:t>Plan and implement a Supervisor training serie</w:t>
      </w:r>
      <w:r w:rsidR="00821946" w:rsidRPr="004A0C12">
        <w:rPr>
          <w:rFonts w:ascii="Garamond" w:hAnsi="Garamond"/>
        </w:rPr>
        <w:t>s in coordination with the WIOA Partners;</w:t>
      </w:r>
    </w:p>
    <w:p w14:paraId="2C44CFE9" w14:textId="236EECC2" w:rsidR="007A1FDC" w:rsidRPr="004A0C12" w:rsidRDefault="007A1FDC" w:rsidP="00232F09">
      <w:pPr>
        <w:numPr>
          <w:ilvl w:val="0"/>
          <w:numId w:val="162"/>
        </w:numPr>
        <w:tabs>
          <w:tab w:val="clear" w:pos="360"/>
          <w:tab w:val="num" w:pos="720"/>
        </w:tabs>
        <w:spacing w:after="0" w:line="240" w:lineRule="auto"/>
        <w:ind w:left="720" w:hanging="360"/>
        <w:jc w:val="both"/>
        <w:rPr>
          <w:rFonts w:ascii="Garamond" w:hAnsi="Garamond"/>
        </w:rPr>
      </w:pPr>
      <w:r w:rsidRPr="004A0C12">
        <w:rPr>
          <w:rFonts w:ascii="Garamond" w:hAnsi="Garamond"/>
        </w:rPr>
        <w:t>Provide leadership activities for staff and suc</w:t>
      </w:r>
      <w:r w:rsidR="00821946" w:rsidRPr="004A0C12">
        <w:rPr>
          <w:rFonts w:ascii="Garamond" w:hAnsi="Garamond"/>
        </w:rPr>
        <w:t>cession planning for the agency;</w:t>
      </w:r>
    </w:p>
    <w:p w14:paraId="66E8F8D5" w14:textId="1E10DA05" w:rsidR="007A1FDC" w:rsidRPr="004A0C12" w:rsidRDefault="007A1FDC" w:rsidP="00232F09">
      <w:pPr>
        <w:numPr>
          <w:ilvl w:val="0"/>
          <w:numId w:val="162"/>
        </w:numPr>
        <w:tabs>
          <w:tab w:val="clear" w:pos="360"/>
          <w:tab w:val="num" w:pos="720"/>
        </w:tabs>
        <w:spacing w:after="0" w:line="240" w:lineRule="auto"/>
        <w:ind w:left="720" w:hanging="360"/>
        <w:jc w:val="both"/>
        <w:rPr>
          <w:rFonts w:ascii="Garamond" w:hAnsi="Garamond"/>
        </w:rPr>
      </w:pPr>
      <w:r w:rsidRPr="004A0C12">
        <w:rPr>
          <w:rFonts w:ascii="Garamond" w:hAnsi="Garamond"/>
        </w:rPr>
        <w:t>Provide t</w:t>
      </w:r>
      <w:r w:rsidR="00821946" w:rsidRPr="004A0C12">
        <w:rPr>
          <w:rFonts w:ascii="Garamond" w:hAnsi="Garamond"/>
        </w:rPr>
        <w:t xml:space="preserve">raining in current technologies; and, </w:t>
      </w:r>
    </w:p>
    <w:p w14:paraId="129EDF65" w14:textId="77777777" w:rsidR="007A1FDC" w:rsidRPr="004A0C12" w:rsidRDefault="007A1FDC" w:rsidP="00232F09">
      <w:pPr>
        <w:numPr>
          <w:ilvl w:val="0"/>
          <w:numId w:val="162"/>
        </w:numPr>
        <w:tabs>
          <w:tab w:val="clear" w:pos="360"/>
          <w:tab w:val="num" w:pos="720"/>
        </w:tabs>
        <w:spacing w:after="0" w:line="240" w:lineRule="auto"/>
        <w:ind w:left="720" w:hanging="360"/>
        <w:jc w:val="both"/>
        <w:rPr>
          <w:rFonts w:ascii="Garamond" w:hAnsi="Garamond"/>
        </w:rPr>
      </w:pPr>
      <w:r w:rsidRPr="004A0C12">
        <w:rPr>
          <w:rFonts w:ascii="Garamond" w:hAnsi="Garamond"/>
        </w:rPr>
        <w:t>Provide training to staff on changes to federal reporting requirements resulting from WIOA.</w:t>
      </w:r>
      <w:r w:rsidRPr="004A0C12">
        <w:rPr>
          <w:rFonts w:ascii="Garamond" w:hAnsi="Garamond"/>
        </w:rPr>
        <w:cr/>
      </w:r>
    </w:p>
    <w:p w14:paraId="73ECDB43"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30, 2016: </w:t>
      </w:r>
    </w:p>
    <w:p w14:paraId="4E35D51D" w14:textId="77777777" w:rsidR="00821946" w:rsidRPr="004A0C12" w:rsidRDefault="007A1FDC" w:rsidP="00232F09">
      <w:pPr>
        <w:pStyle w:val="ListParagraph"/>
        <w:numPr>
          <w:ilvl w:val="0"/>
          <w:numId w:val="249"/>
        </w:numPr>
        <w:jc w:val="both"/>
        <w:rPr>
          <w:rFonts w:ascii="Garamond" w:hAnsi="Garamond"/>
          <w:szCs w:val="22"/>
        </w:rPr>
      </w:pPr>
      <w:r w:rsidRPr="004A0C12">
        <w:rPr>
          <w:rFonts w:ascii="Garamond" w:hAnsi="Garamond"/>
          <w:szCs w:val="22"/>
        </w:rPr>
        <w:t xml:space="preserve">Staff training in rehabilitation topics, including special populations, will be available at least bi-monthly, to include </w:t>
      </w:r>
      <w:r w:rsidR="00821946" w:rsidRPr="004A0C12">
        <w:rPr>
          <w:rFonts w:ascii="Garamond" w:hAnsi="Garamond"/>
          <w:szCs w:val="22"/>
        </w:rPr>
        <w:t xml:space="preserve">WIOA Partners and </w:t>
      </w:r>
      <w:r w:rsidRPr="004A0C12">
        <w:rPr>
          <w:rFonts w:ascii="Garamond" w:hAnsi="Garamond"/>
          <w:szCs w:val="22"/>
        </w:rPr>
        <w:t>co</w:t>
      </w:r>
      <w:r w:rsidR="00821946" w:rsidRPr="004A0C12">
        <w:rPr>
          <w:rFonts w:ascii="Garamond" w:hAnsi="Garamond"/>
          <w:szCs w:val="22"/>
        </w:rPr>
        <w:t>mmunity partners as appropriate;</w:t>
      </w:r>
    </w:p>
    <w:p w14:paraId="493DA362" w14:textId="77777777" w:rsidR="00821946" w:rsidRPr="004A0C12" w:rsidRDefault="00821946" w:rsidP="00232F09">
      <w:pPr>
        <w:pStyle w:val="ListParagraph"/>
        <w:numPr>
          <w:ilvl w:val="0"/>
          <w:numId w:val="249"/>
        </w:numPr>
        <w:jc w:val="both"/>
        <w:rPr>
          <w:rFonts w:ascii="Garamond" w:hAnsi="Garamond"/>
          <w:szCs w:val="22"/>
        </w:rPr>
      </w:pPr>
      <w:r w:rsidRPr="004A0C12">
        <w:rPr>
          <w:rFonts w:ascii="Garamond" w:hAnsi="Garamond"/>
          <w:szCs w:val="22"/>
          <w:shd w:val="clear" w:color="auto" w:fill="FFFFFF"/>
        </w:rPr>
        <w:lastRenderedPageBreak/>
        <w:t>There will be a minimum of four</w:t>
      </w:r>
      <w:r w:rsidR="007A1FDC" w:rsidRPr="004A0C12">
        <w:rPr>
          <w:rFonts w:ascii="Garamond" w:hAnsi="Garamond"/>
          <w:szCs w:val="22"/>
          <w:shd w:val="clear" w:color="auto" w:fill="FFFFFF"/>
        </w:rPr>
        <w:t xml:space="preserve"> trainings /meeting sp</w:t>
      </w:r>
      <w:r w:rsidRPr="004A0C12">
        <w:rPr>
          <w:rFonts w:ascii="Garamond" w:hAnsi="Garamond"/>
          <w:szCs w:val="22"/>
          <w:shd w:val="clear" w:color="auto" w:fill="FFFFFF"/>
        </w:rPr>
        <w:t>ecifically for DORS Supervisors;</w:t>
      </w:r>
    </w:p>
    <w:p w14:paraId="17DA1409" w14:textId="77777777" w:rsidR="00821946" w:rsidRPr="004A0C12" w:rsidRDefault="007A1FDC" w:rsidP="00232F09">
      <w:pPr>
        <w:pStyle w:val="ListParagraph"/>
        <w:numPr>
          <w:ilvl w:val="0"/>
          <w:numId w:val="249"/>
        </w:numPr>
        <w:jc w:val="both"/>
        <w:rPr>
          <w:rFonts w:ascii="Garamond" w:hAnsi="Garamond"/>
          <w:szCs w:val="22"/>
        </w:rPr>
      </w:pPr>
      <w:r w:rsidRPr="004A0C12">
        <w:rPr>
          <w:rFonts w:ascii="Garamond" w:hAnsi="Garamond"/>
          <w:szCs w:val="22"/>
        </w:rPr>
        <w:t>Staff will be trained on the new federal reporting requirements resulting from WIOA</w:t>
      </w:r>
      <w:r w:rsidR="00821946" w:rsidRPr="004A0C12">
        <w:rPr>
          <w:rFonts w:ascii="Garamond" w:hAnsi="Garamond"/>
          <w:szCs w:val="22"/>
        </w:rPr>
        <w:t>, in coordination with WIOA Partners</w:t>
      </w:r>
      <w:r w:rsidRPr="004A0C12">
        <w:rPr>
          <w:rFonts w:ascii="Garamond" w:hAnsi="Garamond"/>
          <w:szCs w:val="22"/>
        </w:rPr>
        <w:t>.</w:t>
      </w:r>
    </w:p>
    <w:p w14:paraId="2B82BA2F" w14:textId="77777777" w:rsidR="00821946" w:rsidRPr="004A0C12" w:rsidRDefault="00821946" w:rsidP="00232F09">
      <w:pPr>
        <w:pStyle w:val="ListParagraph"/>
        <w:numPr>
          <w:ilvl w:val="0"/>
          <w:numId w:val="249"/>
        </w:numPr>
        <w:jc w:val="both"/>
        <w:rPr>
          <w:rFonts w:ascii="Garamond" w:hAnsi="Garamond"/>
          <w:szCs w:val="22"/>
        </w:rPr>
      </w:pPr>
      <w:r w:rsidRPr="004A0C12">
        <w:rPr>
          <w:rFonts w:ascii="Garamond" w:hAnsi="Garamond"/>
          <w:szCs w:val="22"/>
        </w:rPr>
        <w:t>A</w:t>
      </w:r>
      <w:r w:rsidR="007A1FDC" w:rsidRPr="004A0C12">
        <w:rPr>
          <w:rFonts w:ascii="Garamond" w:hAnsi="Garamond"/>
          <w:szCs w:val="22"/>
        </w:rPr>
        <w:t>n increase in the provision of distance learning training opportunities for staff</w:t>
      </w:r>
      <w:r w:rsidRPr="004A0C12">
        <w:rPr>
          <w:rFonts w:ascii="Garamond" w:hAnsi="Garamond"/>
          <w:szCs w:val="22"/>
        </w:rPr>
        <w:t>, WIOA Partners,</w:t>
      </w:r>
      <w:r w:rsidR="007A1FDC" w:rsidRPr="004A0C12">
        <w:rPr>
          <w:rFonts w:ascii="Garamond" w:hAnsi="Garamond"/>
          <w:szCs w:val="22"/>
        </w:rPr>
        <w:t xml:space="preserve"> and community partners, as ap</w:t>
      </w:r>
      <w:r w:rsidRPr="004A0C12">
        <w:rPr>
          <w:rFonts w:ascii="Garamond" w:hAnsi="Garamond"/>
          <w:szCs w:val="22"/>
        </w:rPr>
        <w:t xml:space="preserve">propriate, will be demonstrated; and, </w:t>
      </w:r>
    </w:p>
    <w:p w14:paraId="171E879B" w14:textId="512D6980" w:rsidR="007A1FDC" w:rsidRPr="004A0C12" w:rsidRDefault="007A1FDC" w:rsidP="00232F09">
      <w:pPr>
        <w:pStyle w:val="ListParagraph"/>
        <w:numPr>
          <w:ilvl w:val="0"/>
          <w:numId w:val="249"/>
        </w:numPr>
        <w:jc w:val="both"/>
        <w:rPr>
          <w:rFonts w:ascii="Garamond" w:hAnsi="Garamond"/>
          <w:szCs w:val="22"/>
        </w:rPr>
      </w:pPr>
      <w:r w:rsidRPr="004A0C12">
        <w:rPr>
          <w:rFonts w:ascii="Garamond" w:hAnsi="Garamond"/>
          <w:szCs w:val="22"/>
        </w:rPr>
        <w:t>At least one multi-session leadership program will be offered annually.</w:t>
      </w:r>
    </w:p>
    <w:p w14:paraId="0944F784" w14:textId="77777777" w:rsidR="007A1FDC" w:rsidRPr="004A0C12" w:rsidRDefault="007A1FDC" w:rsidP="007A1FDC">
      <w:pPr>
        <w:spacing w:after="0" w:line="240" w:lineRule="auto"/>
        <w:jc w:val="both"/>
        <w:rPr>
          <w:rFonts w:ascii="Garamond" w:hAnsi="Garamond"/>
        </w:rPr>
      </w:pPr>
    </w:p>
    <w:p w14:paraId="40F23F8D" w14:textId="375D3340" w:rsidR="007A1FDC" w:rsidRPr="004A0C12" w:rsidRDefault="00FF44FF" w:rsidP="007A1FDC">
      <w:pPr>
        <w:spacing w:after="0" w:line="240" w:lineRule="auto"/>
        <w:jc w:val="both"/>
        <w:rPr>
          <w:rFonts w:ascii="Garamond" w:hAnsi="Garamond"/>
        </w:rPr>
      </w:pPr>
      <w:r w:rsidRPr="004A0C12">
        <w:rPr>
          <w:rFonts w:ascii="Garamond" w:hAnsi="Garamond"/>
        </w:rPr>
        <w:t xml:space="preserve">Objective 4.3 - </w:t>
      </w:r>
      <w:r w:rsidR="007A1FDC" w:rsidRPr="004A0C12">
        <w:rPr>
          <w:rFonts w:ascii="Garamond" w:hAnsi="Garamond"/>
        </w:rPr>
        <w:t xml:space="preserve">Enhance Quality Assurance </w:t>
      </w:r>
    </w:p>
    <w:p w14:paraId="287CCC15" w14:textId="77777777" w:rsidR="007A1FDC" w:rsidRPr="004A0C12" w:rsidRDefault="007A1FDC" w:rsidP="007A1FDC">
      <w:pPr>
        <w:spacing w:after="0" w:line="240" w:lineRule="auto"/>
        <w:jc w:val="both"/>
        <w:rPr>
          <w:rFonts w:ascii="Garamond" w:hAnsi="Garamond"/>
        </w:rPr>
      </w:pPr>
    </w:p>
    <w:p w14:paraId="56ADFC86"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6BBD71AD" w14:textId="3F3C0540" w:rsidR="007A1FDC" w:rsidRPr="004A0C12" w:rsidRDefault="00821946" w:rsidP="00232F09">
      <w:pPr>
        <w:numPr>
          <w:ilvl w:val="0"/>
          <w:numId w:val="163"/>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Refine Quality Assurance </w:t>
      </w:r>
      <w:r w:rsidR="007A1FDC" w:rsidRPr="004A0C12">
        <w:rPr>
          <w:rFonts w:ascii="Garamond" w:hAnsi="Garamond"/>
        </w:rPr>
        <w:t xml:space="preserve">Program for VR, as needed, per analysis of beta test results. </w:t>
      </w:r>
    </w:p>
    <w:p w14:paraId="5DBEE13F" w14:textId="77777777" w:rsidR="007A1FDC" w:rsidRPr="004A0C12" w:rsidRDefault="007A1FDC" w:rsidP="007A1FDC">
      <w:pPr>
        <w:spacing w:after="0" w:line="240" w:lineRule="auto"/>
        <w:ind w:left="720"/>
        <w:jc w:val="both"/>
        <w:rPr>
          <w:rFonts w:ascii="Garamond" w:hAnsi="Garamond"/>
        </w:rPr>
      </w:pPr>
    </w:p>
    <w:p w14:paraId="7ED42133"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30, 2016: </w:t>
      </w:r>
    </w:p>
    <w:p w14:paraId="5AB6C3F9" w14:textId="77777777" w:rsidR="00821946" w:rsidRPr="004A0C12" w:rsidRDefault="00821946" w:rsidP="00232F09">
      <w:pPr>
        <w:pStyle w:val="ListParagraph"/>
        <w:numPr>
          <w:ilvl w:val="0"/>
          <w:numId w:val="250"/>
        </w:numPr>
        <w:jc w:val="both"/>
        <w:rPr>
          <w:rFonts w:ascii="Garamond" w:hAnsi="Garamond"/>
          <w:szCs w:val="22"/>
        </w:rPr>
      </w:pPr>
      <w:r w:rsidRPr="004A0C12">
        <w:rPr>
          <w:rFonts w:ascii="Garamond" w:hAnsi="Garamond"/>
          <w:szCs w:val="22"/>
        </w:rPr>
        <w:t>Analysis of Quality Assurance</w:t>
      </w:r>
      <w:r w:rsidR="007A1FDC" w:rsidRPr="004A0C12">
        <w:rPr>
          <w:rFonts w:ascii="Garamond" w:hAnsi="Garamond"/>
          <w:szCs w:val="22"/>
        </w:rPr>
        <w:t xml:space="preserve"> beta testing will be complet</w:t>
      </w:r>
      <w:r w:rsidRPr="004A0C12">
        <w:rPr>
          <w:rFonts w:ascii="Garamond" w:hAnsi="Garamond"/>
          <w:szCs w:val="22"/>
        </w:rPr>
        <w:t xml:space="preserve">ed; and, </w:t>
      </w:r>
    </w:p>
    <w:p w14:paraId="4F4D92E3" w14:textId="167BCA53" w:rsidR="007A1FDC" w:rsidRPr="004A0C12" w:rsidRDefault="007A1FDC" w:rsidP="00232F09">
      <w:pPr>
        <w:pStyle w:val="ListParagraph"/>
        <w:numPr>
          <w:ilvl w:val="0"/>
          <w:numId w:val="250"/>
        </w:numPr>
        <w:jc w:val="both"/>
        <w:rPr>
          <w:rFonts w:ascii="Garamond" w:hAnsi="Garamond"/>
          <w:szCs w:val="22"/>
        </w:rPr>
      </w:pPr>
      <w:r w:rsidRPr="004A0C12">
        <w:rPr>
          <w:rFonts w:ascii="Garamond" w:hAnsi="Garamond"/>
          <w:szCs w:val="22"/>
        </w:rPr>
        <w:t>Findings and recommendations will be provided to Executive Staff</w:t>
      </w:r>
      <w:r w:rsidR="00821946" w:rsidRPr="004A0C12">
        <w:rPr>
          <w:rFonts w:ascii="Garamond" w:hAnsi="Garamond"/>
          <w:szCs w:val="22"/>
        </w:rPr>
        <w:t xml:space="preserve"> in addition to appropriate WIOA Partners</w:t>
      </w:r>
      <w:r w:rsidRPr="004A0C12">
        <w:rPr>
          <w:rFonts w:ascii="Garamond" w:hAnsi="Garamond"/>
          <w:szCs w:val="22"/>
        </w:rPr>
        <w:t>.</w:t>
      </w:r>
    </w:p>
    <w:p w14:paraId="6E08F6EA" w14:textId="77777777" w:rsidR="007A1FDC" w:rsidRPr="004A0C12" w:rsidRDefault="007A1FDC" w:rsidP="007A1FDC">
      <w:pPr>
        <w:spacing w:after="0" w:line="240" w:lineRule="auto"/>
        <w:jc w:val="both"/>
        <w:rPr>
          <w:rFonts w:ascii="Garamond" w:hAnsi="Garamond"/>
        </w:rPr>
      </w:pPr>
    </w:p>
    <w:p w14:paraId="262930DF" w14:textId="1A5E6134" w:rsidR="007A1FDC" w:rsidRPr="004A0C12" w:rsidRDefault="00FF44FF" w:rsidP="007A1FDC">
      <w:pPr>
        <w:spacing w:after="0" w:line="240" w:lineRule="auto"/>
        <w:jc w:val="both"/>
        <w:rPr>
          <w:rFonts w:ascii="Garamond" w:hAnsi="Garamond"/>
        </w:rPr>
      </w:pPr>
      <w:r w:rsidRPr="004A0C12">
        <w:rPr>
          <w:rFonts w:ascii="Garamond" w:hAnsi="Garamond"/>
        </w:rPr>
        <w:t xml:space="preserve">Objective 4.4 - </w:t>
      </w:r>
      <w:r w:rsidR="007A1FDC" w:rsidRPr="004A0C12">
        <w:rPr>
          <w:rFonts w:ascii="Garamond" w:hAnsi="Garamond"/>
        </w:rPr>
        <w:t xml:space="preserve">Implement changes required by the Workforce Innovation and Opportunity Act, including Title IV, Amendments to the Rehabilitation Act or 1973, in consultation with the Rehabilitation Services Administration, the Maryland State Rehabilitation Council, other programs identified in the Maryland </w:t>
      </w:r>
      <w:r w:rsidR="00821946" w:rsidRPr="004A0C12">
        <w:rPr>
          <w:rFonts w:ascii="Garamond" w:hAnsi="Garamond"/>
        </w:rPr>
        <w:t>WIOA</w:t>
      </w:r>
      <w:r w:rsidR="007A1FDC" w:rsidRPr="004A0C12">
        <w:rPr>
          <w:rFonts w:ascii="Garamond" w:hAnsi="Garamond"/>
        </w:rPr>
        <w:t xml:space="preserve"> State Plan, and the Technical Assistance Centers.</w:t>
      </w:r>
    </w:p>
    <w:p w14:paraId="1544AC89" w14:textId="77777777" w:rsidR="007A1FDC" w:rsidRPr="004A0C12" w:rsidRDefault="007A1FDC" w:rsidP="007A1FDC">
      <w:pPr>
        <w:spacing w:after="0" w:line="240" w:lineRule="auto"/>
        <w:jc w:val="both"/>
        <w:rPr>
          <w:rFonts w:ascii="Garamond" w:hAnsi="Garamond"/>
        </w:rPr>
      </w:pPr>
    </w:p>
    <w:p w14:paraId="069BCF3A"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2269942D" w14:textId="0725945E" w:rsidR="007A1FDC" w:rsidRPr="004A0C12" w:rsidRDefault="00821946" w:rsidP="00232F09">
      <w:pPr>
        <w:numPr>
          <w:ilvl w:val="0"/>
          <w:numId w:val="164"/>
        </w:numPr>
        <w:tabs>
          <w:tab w:val="clear" w:pos="360"/>
          <w:tab w:val="num" w:pos="720"/>
        </w:tabs>
        <w:spacing w:after="0" w:line="240" w:lineRule="auto"/>
        <w:ind w:left="720" w:hanging="360"/>
        <w:jc w:val="both"/>
        <w:rPr>
          <w:rFonts w:ascii="Garamond" w:hAnsi="Garamond"/>
        </w:rPr>
      </w:pPr>
      <w:r w:rsidRPr="004A0C12">
        <w:rPr>
          <w:rFonts w:ascii="Garamond" w:hAnsi="Garamond"/>
        </w:rPr>
        <w:t>Participate in the WIOA Workgroups, the WIOA Alignment Group, the Maryland WIOA Convening to</w:t>
      </w:r>
      <w:r w:rsidR="007A1FDC" w:rsidRPr="004A0C12">
        <w:rPr>
          <w:rFonts w:ascii="Garamond" w:hAnsi="Garamond"/>
        </w:rPr>
        <w:t xml:space="preserve"> review the final regulation</w:t>
      </w:r>
      <w:r w:rsidRPr="004A0C12">
        <w:rPr>
          <w:rFonts w:ascii="Garamond" w:hAnsi="Garamond"/>
        </w:rPr>
        <w:t>s</w:t>
      </w:r>
      <w:r w:rsidR="007A1FDC" w:rsidRPr="004A0C12">
        <w:rPr>
          <w:rFonts w:ascii="Garamond" w:hAnsi="Garamond"/>
        </w:rPr>
        <w:t xml:space="preserve"> and recommend changes in </w:t>
      </w:r>
      <w:r w:rsidRPr="004A0C12">
        <w:rPr>
          <w:rFonts w:ascii="Garamond" w:hAnsi="Garamond"/>
        </w:rPr>
        <w:t>policy and practice accordingly and in collaboration with WIOA Partners;</w:t>
      </w:r>
    </w:p>
    <w:p w14:paraId="47B984DC" w14:textId="6A3B082D" w:rsidR="00821946" w:rsidRPr="004A0C12" w:rsidRDefault="00821946" w:rsidP="00232F09">
      <w:pPr>
        <w:numPr>
          <w:ilvl w:val="0"/>
          <w:numId w:val="164"/>
        </w:numPr>
        <w:tabs>
          <w:tab w:val="clear" w:pos="360"/>
          <w:tab w:val="num" w:pos="720"/>
        </w:tabs>
        <w:spacing w:after="0" w:line="240" w:lineRule="auto"/>
        <w:ind w:left="720" w:hanging="360"/>
        <w:jc w:val="both"/>
        <w:rPr>
          <w:rFonts w:ascii="Garamond" w:hAnsi="Garamond"/>
        </w:rPr>
      </w:pPr>
      <w:r w:rsidRPr="004A0C12">
        <w:rPr>
          <w:rFonts w:ascii="Garamond" w:hAnsi="Garamond"/>
        </w:rPr>
        <w:t>Participate in the establishment and implementation of the WIOA Jobseeker Advisory Groups to inform Maryland’s customer-centered design;</w:t>
      </w:r>
    </w:p>
    <w:p w14:paraId="47664D5A" w14:textId="55F63E70" w:rsidR="007A1FDC" w:rsidRPr="004A0C12" w:rsidRDefault="007A1FDC" w:rsidP="00232F09">
      <w:pPr>
        <w:numPr>
          <w:ilvl w:val="0"/>
          <w:numId w:val="164"/>
        </w:numPr>
        <w:tabs>
          <w:tab w:val="clear" w:pos="360"/>
          <w:tab w:val="num" w:pos="720"/>
        </w:tabs>
        <w:spacing w:after="0" w:line="240" w:lineRule="auto"/>
        <w:ind w:left="720" w:hanging="360"/>
        <w:jc w:val="both"/>
        <w:rPr>
          <w:rFonts w:ascii="Garamond" w:hAnsi="Garamond"/>
        </w:rPr>
      </w:pPr>
      <w:r w:rsidRPr="004A0C12">
        <w:rPr>
          <w:rFonts w:ascii="Garamond" w:hAnsi="Garamond"/>
        </w:rPr>
        <w:t>Provide training to staff on changes in the Rehabilitation Act and implications</w:t>
      </w:r>
      <w:r w:rsidR="00821946" w:rsidRPr="004A0C12">
        <w:rPr>
          <w:rFonts w:ascii="Garamond" w:hAnsi="Garamond"/>
        </w:rPr>
        <w:t xml:space="preserve"> for DORS policy and procedures;</w:t>
      </w:r>
    </w:p>
    <w:p w14:paraId="3AB248B7" w14:textId="50F4A5B5" w:rsidR="007A1FDC" w:rsidRPr="004A0C12" w:rsidRDefault="007A1FDC" w:rsidP="00232F09">
      <w:pPr>
        <w:numPr>
          <w:ilvl w:val="0"/>
          <w:numId w:val="164"/>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Develop data sharing agreement with </w:t>
      </w:r>
      <w:r w:rsidR="00821946" w:rsidRPr="004A0C12">
        <w:rPr>
          <w:rFonts w:ascii="Garamond" w:hAnsi="Garamond"/>
        </w:rPr>
        <w:t xml:space="preserve">WIOA Partners </w:t>
      </w:r>
      <w:r w:rsidRPr="004A0C12">
        <w:rPr>
          <w:rFonts w:ascii="Garamond" w:hAnsi="Garamond"/>
        </w:rPr>
        <w:t>required for DORS to fulfill new federal reporting requirements.</w:t>
      </w:r>
    </w:p>
    <w:p w14:paraId="649C7835" w14:textId="77777777" w:rsidR="007A1FDC" w:rsidRPr="004A0C12" w:rsidRDefault="007A1FDC" w:rsidP="007A1FDC">
      <w:pPr>
        <w:spacing w:after="0" w:line="240" w:lineRule="auto"/>
        <w:ind w:left="720"/>
        <w:jc w:val="both"/>
        <w:rPr>
          <w:rFonts w:ascii="Garamond" w:hAnsi="Garamond"/>
        </w:rPr>
      </w:pPr>
    </w:p>
    <w:p w14:paraId="61BC8063"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30, 2016: </w:t>
      </w:r>
    </w:p>
    <w:p w14:paraId="39C14E32" w14:textId="77777777" w:rsidR="00821946" w:rsidRPr="004A0C12" w:rsidRDefault="007A1FDC" w:rsidP="00232F09">
      <w:pPr>
        <w:pStyle w:val="ListParagraph"/>
        <w:numPr>
          <w:ilvl w:val="0"/>
          <w:numId w:val="251"/>
        </w:numPr>
        <w:jc w:val="both"/>
        <w:rPr>
          <w:rFonts w:ascii="Garamond" w:hAnsi="Garamond"/>
          <w:szCs w:val="22"/>
        </w:rPr>
      </w:pPr>
      <w:r w:rsidRPr="004A0C12">
        <w:rPr>
          <w:rFonts w:ascii="Garamond" w:hAnsi="Garamond"/>
          <w:szCs w:val="22"/>
        </w:rPr>
        <w:t>DORS Rehabilitation Services Manuals will be updated consistent with changes in the Rehabil</w:t>
      </w:r>
      <w:r w:rsidR="00821946" w:rsidRPr="004A0C12">
        <w:rPr>
          <w:rFonts w:ascii="Garamond" w:hAnsi="Garamond"/>
          <w:szCs w:val="22"/>
        </w:rPr>
        <w:t>itation Act, as amended by WIOA, and in consultation with WIOA Partners;</w:t>
      </w:r>
    </w:p>
    <w:p w14:paraId="7C5ACDF7" w14:textId="070846A3" w:rsidR="007A1FDC" w:rsidRPr="004A0C12" w:rsidRDefault="007A1FDC" w:rsidP="00232F09">
      <w:pPr>
        <w:pStyle w:val="ListParagraph"/>
        <w:numPr>
          <w:ilvl w:val="0"/>
          <w:numId w:val="251"/>
        </w:numPr>
        <w:jc w:val="both"/>
        <w:rPr>
          <w:rFonts w:ascii="Garamond" w:hAnsi="Garamond"/>
          <w:szCs w:val="22"/>
        </w:rPr>
      </w:pPr>
      <w:r w:rsidRPr="004A0C12">
        <w:rPr>
          <w:rFonts w:ascii="Garamond" w:hAnsi="Garamond"/>
          <w:szCs w:val="22"/>
        </w:rPr>
        <w:t>Training will be provided to DORS staff on changes resulting from the reauthorization of the Rehabilitation Act (e.g. pre-employment transition services, customized employment, limitations on use of subminimum wage, “competitive integrated employment” crite</w:t>
      </w:r>
      <w:r w:rsidR="00821946" w:rsidRPr="004A0C12">
        <w:rPr>
          <w:rFonts w:ascii="Garamond" w:hAnsi="Garamond"/>
          <w:szCs w:val="22"/>
        </w:rPr>
        <w:t>ria, and services to employers) in coordination with WIOA Partners;</w:t>
      </w:r>
    </w:p>
    <w:p w14:paraId="429C6A5A" w14:textId="4AB5F908" w:rsidR="007A1FDC" w:rsidRPr="004A0C12" w:rsidRDefault="007A1FDC" w:rsidP="00232F09">
      <w:pPr>
        <w:numPr>
          <w:ilvl w:val="0"/>
          <w:numId w:val="165"/>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DORS will continue to collaborate with </w:t>
      </w:r>
      <w:r w:rsidR="00821946" w:rsidRPr="004A0C12">
        <w:rPr>
          <w:rFonts w:ascii="Garamond" w:hAnsi="Garamond"/>
        </w:rPr>
        <w:t>WIOA Partners</w:t>
      </w:r>
      <w:r w:rsidRPr="004A0C12">
        <w:rPr>
          <w:rFonts w:ascii="Garamond" w:hAnsi="Garamond"/>
        </w:rPr>
        <w:t xml:space="preserve"> in the development and implementation of the </w:t>
      </w:r>
      <w:r w:rsidR="00821946" w:rsidRPr="004A0C12">
        <w:rPr>
          <w:rFonts w:ascii="Garamond" w:hAnsi="Garamond"/>
        </w:rPr>
        <w:t>Maryland WIOA State Plan</w:t>
      </w:r>
      <w:r w:rsidRPr="004A0C12">
        <w:rPr>
          <w:rFonts w:ascii="Garamond" w:hAnsi="Garamond"/>
        </w:rPr>
        <w:t>.</w:t>
      </w:r>
    </w:p>
    <w:p w14:paraId="0CE7B7C2" w14:textId="77777777" w:rsidR="00D340DD" w:rsidRPr="004A0C12" w:rsidRDefault="00D340DD" w:rsidP="00D340DD">
      <w:pPr>
        <w:spacing w:after="0" w:line="240" w:lineRule="auto"/>
        <w:jc w:val="both"/>
        <w:rPr>
          <w:rFonts w:ascii="Garamond" w:hAnsi="Garamond"/>
        </w:rPr>
      </w:pPr>
    </w:p>
    <w:p w14:paraId="3DE40CEF" w14:textId="77777777" w:rsidR="00D340DD" w:rsidRPr="004A0C12" w:rsidRDefault="00D340DD" w:rsidP="00D340DD">
      <w:pPr>
        <w:shd w:val="clear" w:color="auto" w:fill="FFFFFF"/>
        <w:spacing w:after="0" w:line="240" w:lineRule="auto"/>
        <w:rPr>
          <w:rFonts w:ascii="Garamond" w:eastAsia="Times New Roman" w:hAnsi="Garamond" w:cs="Times New Roman"/>
          <w:color w:val="222222"/>
        </w:rPr>
      </w:pPr>
      <w:r w:rsidRPr="004A0C12">
        <w:rPr>
          <w:rFonts w:ascii="Garamond" w:eastAsia="Times New Roman" w:hAnsi="Garamond" w:cs="Times New Roman"/>
          <w:color w:val="222222"/>
        </w:rPr>
        <w:t>The state goals and priorities are based on the analysis of the 2013 comprehensive needs assessment and updates, the State's performance under performance accountability measures, input from the Maryland State Rehabilitation Council, and recommendations from monitoring activities.</w:t>
      </w:r>
    </w:p>
    <w:p w14:paraId="05A8CEA6" w14:textId="422475E1" w:rsidR="007A1FDC" w:rsidRPr="00594970" w:rsidRDefault="007A1FDC" w:rsidP="00431254">
      <w:pPr>
        <w:pStyle w:val="Heading2"/>
        <w:rPr>
          <w:rFonts w:ascii="Garamond" w:hAnsi="Garamond"/>
          <w:sz w:val="24"/>
          <w:szCs w:val="24"/>
        </w:rPr>
      </w:pPr>
      <w:bookmarkStart w:id="227" w:name="_Toc447276254"/>
      <w:r w:rsidRPr="00594970">
        <w:rPr>
          <w:rFonts w:ascii="Garamond" w:hAnsi="Garamond"/>
          <w:sz w:val="24"/>
          <w:szCs w:val="24"/>
        </w:rPr>
        <w:t>Order of Selection</w:t>
      </w:r>
      <w:bookmarkEnd w:id="227"/>
    </w:p>
    <w:p w14:paraId="380C6283" w14:textId="51F2EFD1" w:rsidR="007A1FDC" w:rsidRPr="004A0C12" w:rsidRDefault="007A1FDC" w:rsidP="007A1FDC">
      <w:pPr>
        <w:spacing w:after="0" w:line="240" w:lineRule="auto"/>
        <w:jc w:val="both"/>
        <w:rPr>
          <w:rFonts w:ascii="Garamond" w:hAnsi="Garamond"/>
        </w:rPr>
      </w:pPr>
      <w:r w:rsidRPr="004A0C12">
        <w:rPr>
          <w:rFonts w:ascii="Garamond" w:hAnsi="Garamond"/>
        </w:rPr>
        <w:t xml:space="preserve">Individuals shall be placed in priority categories at the time of eligibility determination. Depending upon DORS’ resources, the categories shall be closed for services in ascending order beginning with Category III and proceeding to Categories II and I. Services shall be provided only to those individuals in an open category. However, </w:t>
      </w:r>
      <w:r w:rsidR="00821946" w:rsidRPr="004A0C12">
        <w:rPr>
          <w:rFonts w:ascii="Garamond" w:hAnsi="Garamond"/>
        </w:rPr>
        <w:t xml:space="preserve">DORS </w:t>
      </w:r>
      <w:r w:rsidRPr="004A0C12">
        <w:rPr>
          <w:rFonts w:ascii="Garamond" w:hAnsi="Garamond"/>
        </w:rPr>
        <w:t>shall continue to plan for and provide services to any individual determined eligible prior to the date on which the Order of Selection category to which the individual has been assigned has been closed, irrespective of the severity of the individual’s disability.</w:t>
      </w:r>
    </w:p>
    <w:p w14:paraId="4E2C1BDF" w14:textId="77777777" w:rsidR="007A1FDC" w:rsidRPr="004A0C12" w:rsidRDefault="007A1FDC" w:rsidP="007A1FDC">
      <w:pPr>
        <w:spacing w:after="0" w:line="240" w:lineRule="auto"/>
        <w:jc w:val="both"/>
        <w:rPr>
          <w:rFonts w:ascii="Garamond" w:hAnsi="Garamond"/>
        </w:rPr>
      </w:pPr>
    </w:p>
    <w:p w14:paraId="3B148830" w14:textId="31C3C64F" w:rsidR="007A1FDC" w:rsidRPr="004A0C12" w:rsidRDefault="007A1FDC" w:rsidP="007A1FDC">
      <w:pPr>
        <w:spacing w:after="0" w:line="240" w:lineRule="auto"/>
        <w:jc w:val="both"/>
        <w:rPr>
          <w:rFonts w:ascii="Garamond" w:hAnsi="Garamond"/>
        </w:rPr>
      </w:pPr>
      <w:r w:rsidRPr="004A0C12">
        <w:rPr>
          <w:rFonts w:ascii="Garamond" w:hAnsi="Garamond"/>
        </w:rPr>
        <w:t>DORS staff will be advised via formal issuance when cat</w:t>
      </w:r>
      <w:r w:rsidR="00C91769" w:rsidRPr="004A0C12">
        <w:rPr>
          <w:rFonts w:ascii="Garamond" w:hAnsi="Garamond"/>
        </w:rPr>
        <w:t xml:space="preserve">egories are closed or reopened. </w:t>
      </w:r>
      <w:r w:rsidRPr="004A0C12">
        <w:rPr>
          <w:rFonts w:ascii="Garamond" w:hAnsi="Garamond"/>
        </w:rPr>
        <w:t>Consumers shall be taken off the waiting list when resources are available to provide services, based on their application date.</w:t>
      </w:r>
    </w:p>
    <w:p w14:paraId="1DB96963" w14:textId="77777777" w:rsidR="007A1FDC" w:rsidRPr="004A0C12" w:rsidRDefault="007A1FDC" w:rsidP="007A1FDC">
      <w:pPr>
        <w:spacing w:after="0" w:line="240" w:lineRule="auto"/>
        <w:jc w:val="both"/>
        <w:rPr>
          <w:rFonts w:ascii="Garamond" w:hAnsi="Garamond"/>
        </w:rPr>
      </w:pPr>
      <w:r w:rsidRPr="004A0C12">
        <w:rPr>
          <w:rFonts w:ascii="Garamond" w:hAnsi="Garamond"/>
        </w:rPr>
        <w:t>The Order of Selection categories are as follows:</w:t>
      </w:r>
    </w:p>
    <w:p w14:paraId="6D0CCD89" w14:textId="77777777" w:rsidR="007A1FDC" w:rsidRPr="004A0C12" w:rsidRDefault="007A1FDC" w:rsidP="007A1FDC">
      <w:pPr>
        <w:spacing w:after="0" w:line="240" w:lineRule="auto"/>
        <w:jc w:val="both"/>
        <w:rPr>
          <w:rFonts w:ascii="Garamond" w:hAnsi="Garamond"/>
        </w:rPr>
      </w:pPr>
    </w:p>
    <w:p w14:paraId="65A89BE7" w14:textId="77777777" w:rsidR="00C91769" w:rsidRPr="004A0C12" w:rsidRDefault="00C91769" w:rsidP="00232F09">
      <w:pPr>
        <w:pStyle w:val="ListParagraph"/>
        <w:numPr>
          <w:ilvl w:val="0"/>
          <w:numId w:val="252"/>
        </w:numPr>
        <w:jc w:val="both"/>
        <w:rPr>
          <w:rFonts w:ascii="Garamond" w:hAnsi="Garamond"/>
          <w:szCs w:val="22"/>
        </w:rPr>
      </w:pPr>
      <w:r w:rsidRPr="004A0C12">
        <w:rPr>
          <w:rFonts w:ascii="Garamond" w:hAnsi="Garamond"/>
          <w:szCs w:val="22"/>
        </w:rPr>
        <w:t xml:space="preserve">I. </w:t>
      </w:r>
      <w:r w:rsidR="007A1FDC" w:rsidRPr="004A0C12">
        <w:rPr>
          <w:rFonts w:ascii="Garamond" w:hAnsi="Garamond"/>
          <w:szCs w:val="22"/>
        </w:rPr>
        <w:t xml:space="preserve">Individuals with Most Significant Disabilities. </w:t>
      </w:r>
    </w:p>
    <w:p w14:paraId="7294B9D1" w14:textId="77777777" w:rsidR="00C91769" w:rsidRPr="004A0C12" w:rsidRDefault="007A1FDC" w:rsidP="00232F09">
      <w:pPr>
        <w:pStyle w:val="ListParagraph"/>
        <w:numPr>
          <w:ilvl w:val="0"/>
          <w:numId w:val="252"/>
        </w:numPr>
        <w:jc w:val="both"/>
        <w:rPr>
          <w:rFonts w:ascii="Garamond" w:hAnsi="Garamond"/>
          <w:szCs w:val="22"/>
        </w:rPr>
      </w:pPr>
      <w:r w:rsidRPr="004A0C12">
        <w:rPr>
          <w:rFonts w:ascii="Garamond" w:hAnsi="Garamond"/>
          <w:szCs w:val="22"/>
        </w:rPr>
        <w:t>II. Individuals with Significant Disabilities.</w:t>
      </w:r>
    </w:p>
    <w:p w14:paraId="4B90CFD3" w14:textId="4EA974B2" w:rsidR="007A1FDC" w:rsidRPr="004A0C12" w:rsidRDefault="007A1FDC" w:rsidP="00232F09">
      <w:pPr>
        <w:pStyle w:val="ListParagraph"/>
        <w:numPr>
          <w:ilvl w:val="0"/>
          <w:numId w:val="252"/>
        </w:numPr>
        <w:jc w:val="both"/>
        <w:rPr>
          <w:rFonts w:ascii="Garamond" w:hAnsi="Garamond"/>
          <w:szCs w:val="22"/>
        </w:rPr>
      </w:pPr>
      <w:r w:rsidRPr="004A0C12">
        <w:rPr>
          <w:rFonts w:ascii="Garamond" w:hAnsi="Garamond"/>
          <w:szCs w:val="22"/>
        </w:rPr>
        <w:t>III. Individuals with Non-Severe Disabilities.</w:t>
      </w:r>
    </w:p>
    <w:p w14:paraId="0D81BBFB" w14:textId="77777777" w:rsidR="007A1FDC" w:rsidRPr="004A0C12" w:rsidRDefault="007A1FDC" w:rsidP="007A1FDC">
      <w:pPr>
        <w:spacing w:after="0" w:line="240" w:lineRule="auto"/>
        <w:jc w:val="both"/>
        <w:rPr>
          <w:rFonts w:ascii="Garamond" w:hAnsi="Garamond"/>
        </w:rPr>
      </w:pPr>
    </w:p>
    <w:p w14:paraId="451535FE" w14:textId="46512BE1" w:rsidR="007A1FDC" w:rsidRPr="004A0C12" w:rsidRDefault="007A1FDC" w:rsidP="007A1FDC">
      <w:pPr>
        <w:spacing w:after="0" w:line="240" w:lineRule="auto"/>
        <w:jc w:val="both"/>
        <w:rPr>
          <w:rFonts w:ascii="Garamond" w:hAnsi="Garamond"/>
        </w:rPr>
      </w:pPr>
      <w:r w:rsidRPr="004A0C12">
        <w:rPr>
          <w:rFonts w:ascii="Garamond" w:hAnsi="Garamond"/>
        </w:rPr>
        <w:t xml:space="preserve">Under </w:t>
      </w:r>
      <w:r w:rsidR="00C91769" w:rsidRPr="004A0C12">
        <w:rPr>
          <w:rFonts w:ascii="Garamond" w:hAnsi="Garamond"/>
        </w:rPr>
        <w:t>the order of selection</w:t>
      </w:r>
      <w:r w:rsidRPr="004A0C12">
        <w:rPr>
          <w:rFonts w:ascii="Garamond" w:hAnsi="Garamond"/>
        </w:rPr>
        <w:t xml:space="preserve">, </w:t>
      </w:r>
      <w:r w:rsidR="00C91769" w:rsidRPr="004A0C12">
        <w:rPr>
          <w:rFonts w:ascii="Garamond" w:hAnsi="Garamond"/>
        </w:rPr>
        <w:t>DORS</w:t>
      </w:r>
      <w:r w:rsidRPr="004A0C12">
        <w:rPr>
          <w:rFonts w:ascii="Garamond" w:hAnsi="Garamond"/>
        </w:rPr>
        <w:t xml:space="preserve"> will continue to emphasize and enhance services to students with disabilities transitioning from school to work.</w:t>
      </w:r>
    </w:p>
    <w:p w14:paraId="59C538C0" w14:textId="77777777" w:rsidR="007A1FDC" w:rsidRPr="004A0C12" w:rsidRDefault="007A1FDC" w:rsidP="007A1FDC">
      <w:pPr>
        <w:spacing w:after="0" w:line="240" w:lineRule="auto"/>
        <w:jc w:val="both"/>
        <w:rPr>
          <w:rFonts w:ascii="Garamond" w:hAnsi="Garamond"/>
        </w:rPr>
      </w:pPr>
      <w:r w:rsidRPr="004A0C12">
        <w:rPr>
          <w:rFonts w:ascii="Garamond" w:hAnsi="Garamond"/>
        </w:rPr>
        <w:t> </w:t>
      </w:r>
    </w:p>
    <w:p w14:paraId="042A17BF" w14:textId="11D02E9D" w:rsidR="007A1FDC" w:rsidRPr="004A0C12" w:rsidRDefault="007A1FDC" w:rsidP="007A1FDC">
      <w:pPr>
        <w:spacing w:after="0" w:line="240" w:lineRule="auto"/>
        <w:jc w:val="both"/>
        <w:rPr>
          <w:rFonts w:ascii="Garamond" w:hAnsi="Garamond"/>
        </w:rPr>
      </w:pPr>
      <w:r w:rsidRPr="004A0C12">
        <w:rPr>
          <w:rFonts w:ascii="Garamond" w:hAnsi="Garamond"/>
        </w:rPr>
        <w:t>Des</w:t>
      </w:r>
      <w:r w:rsidR="00C91769" w:rsidRPr="004A0C12">
        <w:rPr>
          <w:rFonts w:ascii="Garamond" w:hAnsi="Garamond"/>
        </w:rPr>
        <w:t>cription of Priority Categories</w:t>
      </w:r>
    </w:p>
    <w:p w14:paraId="5DDDC025" w14:textId="0D3D1FF0" w:rsidR="007A1FDC" w:rsidRPr="004A0C12" w:rsidRDefault="007A1FDC" w:rsidP="00C91769">
      <w:pPr>
        <w:spacing w:after="0" w:line="240" w:lineRule="auto"/>
        <w:contextualSpacing/>
        <w:jc w:val="both"/>
        <w:rPr>
          <w:rFonts w:ascii="Garamond" w:hAnsi="Garamond"/>
        </w:rPr>
      </w:pPr>
      <w:r w:rsidRPr="004A0C12">
        <w:rPr>
          <w:rFonts w:ascii="Garamond" w:hAnsi="Garamond"/>
        </w:rPr>
        <w:t>An individual with a most significant disability</w:t>
      </w:r>
      <w:r w:rsidR="00677516" w:rsidRPr="004A0C12">
        <w:rPr>
          <w:rFonts w:ascii="Garamond" w:hAnsi="Garamond"/>
        </w:rPr>
        <w:t xml:space="preserve"> (Category I)</w:t>
      </w:r>
      <w:r w:rsidRPr="004A0C12">
        <w:rPr>
          <w:rFonts w:ascii="Garamond" w:hAnsi="Garamond"/>
        </w:rPr>
        <w:t xml:space="preserve"> is an eligible individual:</w:t>
      </w:r>
    </w:p>
    <w:p w14:paraId="1F212967" w14:textId="77777777" w:rsidR="007A1FDC" w:rsidRPr="004A0C12" w:rsidRDefault="007A1FDC" w:rsidP="00C91769">
      <w:pPr>
        <w:spacing w:after="0" w:line="240" w:lineRule="auto"/>
        <w:contextualSpacing/>
        <w:jc w:val="both"/>
        <w:rPr>
          <w:rFonts w:ascii="Garamond" w:hAnsi="Garamond"/>
        </w:rPr>
      </w:pPr>
    </w:p>
    <w:p w14:paraId="01480ED9" w14:textId="77777777" w:rsidR="00C91769" w:rsidRPr="004A0C12" w:rsidRDefault="007A1FDC" w:rsidP="00232F09">
      <w:pPr>
        <w:pStyle w:val="ListParagraph"/>
        <w:numPr>
          <w:ilvl w:val="0"/>
          <w:numId w:val="253"/>
        </w:numPr>
        <w:contextualSpacing/>
        <w:jc w:val="both"/>
        <w:rPr>
          <w:rFonts w:ascii="Garamond" w:hAnsi="Garamond"/>
          <w:szCs w:val="22"/>
        </w:rPr>
      </w:pPr>
      <w:r w:rsidRPr="004A0C12">
        <w:rPr>
          <w:rFonts w:ascii="Garamond" w:hAnsi="Garamond"/>
          <w:szCs w:val="22"/>
        </w:rPr>
        <w:t xml:space="preserve">Who has a severe physical or mental impairment which seriously limits three or more functional capacities such as mobility, communication, self-care, self-direction, interpersonal skills, work tolerance, or work skills, in </w:t>
      </w:r>
      <w:r w:rsidR="00C91769" w:rsidRPr="004A0C12">
        <w:rPr>
          <w:rFonts w:ascii="Garamond" w:hAnsi="Garamond"/>
          <w:szCs w:val="22"/>
        </w:rPr>
        <w:t>terms of an employment outcome;</w:t>
      </w:r>
    </w:p>
    <w:p w14:paraId="3C4B56BB" w14:textId="77777777" w:rsidR="00C91769" w:rsidRPr="004A0C12" w:rsidRDefault="007A1FDC" w:rsidP="00232F09">
      <w:pPr>
        <w:pStyle w:val="ListParagraph"/>
        <w:numPr>
          <w:ilvl w:val="0"/>
          <w:numId w:val="253"/>
        </w:numPr>
        <w:contextualSpacing/>
        <w:jc w:val="both"/>
        <w:rPr>
          <w:rFonts w:ascii="Garamond" w:hAnsi="Garamond"/>
          <w:szCs w:val="22"/>
        </w:rPr>
      </w:pPr>
      <w:r w:rsidRPr="004A0C12">
        <w:rPr>
          <w:rFonts w:ascii="Garamond" w:hAnsi="Garamond"/>
          <w:szCs w:val="22"/>
        </w:rPr>
        <w:t>Whose vocational rehabilitation can be expected to require multiple vocational rehabilitation services: at least two from the main services of guidance and counseling, medical rehabilitation services including technology services, job placeme</w:t>
      </w:r>
      <w:r w:rsidR="00C91769" w:rsidRPr="004A0C12">
        <w:rPr>
          <w:rFonts w:ascii="Garamond" w:hAnsi="Garamond"/>
          <w:szCs w:val="22"/>
        </w:rPr>
        <w:t>nt and vocational training; and,</w:t>
      </w:r>
    </w:p>
    <w:p w14:paraId="26B07129" w14:textId="314B17A1" w:rsidR="007A1FDC" w:rsidRPr="004A0C12" w:rsidRDefault="007A1FDC" w:rsidP="00232F09">
      <w:pPr>
        <w:pStyle w:val="ListParagraph"/>
        <w:numPr>
          <w:ilvl w:val="0"/>
          <w:numId w:val="253"/>
        </w:numPr>
        <w:contextualSpacing/>
        <w:jc w:val="both"/>
        <w:rPr>
          <w:rFonts w:ascii="Garamond" w:hAnsi="Garamond"/>
          <w:szCs w:val="22"/>
        </w:rPr>
      </w:pPr>
      <w:r w:rsidRPr="004A0C12">
        <w:rPr>
          <w:rFonts w:ascii="Garamond" w:hAnsi="Garamond"/>
          <w:szCs w:val="22"/>
        </w:rPr>
        <w:t>Whose vocational rehabilitation is projected to require an extended period of time of at least 6 months.</w:t>
      </w:r>
    </w:p>
    <w:p w14:paraId="28D65135" w14:textId="77777777" w:rsidR="00C91769" w:rsidRPr="004A0C12" w:rsidRDefault="00C91769" w:rsidP="00C91769">
      <w:pPr>
        <w:contextualSpacing/>
        <w:jc w:val="both"/>
        <w:rPr>
          <w:rFonts w:ascii="Garamond" w:hAnsi="Garamond"/>
        </w:rPr>
      </w:pPr>
    </w:p>
    <w:p w14:paraId="59F1FBC6" w14:textId="7CFEF873" w:rsidR="007A1FDC" w:rsidRPr="004A0C12" w:rsidRDefault="007A1FDC" w:rsidP="00C91769">
      <w:pPr>
        <w:spacing w:after="0" w:line="240" w:lineRule="auto"/>
        <w:contextualSpacing/>
        <w:jc w:val="both"/>
        <w:rPr>
          <w:rFonts w:ascii="Garamond" w:hAnsi="Garamond"/>
        </w:rPr>
      </w:pPr>
      <w:r w:rsidRPr="004A0C12">
        <w:rPr>
          <w:rFonts w:ascii="Garamond" w:hAnsi="Garamond"/>
        </w:rPr>
        <w:t>An individual with a significant disability</w:t>
      </w:r>
      <w:r w:rsidR="00677516" w:rsidRPr="004A0C12">
        <w:rPr>
          <w:rFonts w:ascii="Garamond" w:hAnsi="Garamond"/>
        </w:rPr>
        <w:t xml:space="preserve"> (Category II)</w:t>
      </w:r>
      <w:r w:rsidRPr="004A0C12">
        <w:rPr>
          <w:rFonts w:ascii="Garamond" w:hAnsi="Garamond"/>
        </w:rPr>
        <w:t xml:space="preserve"> is an eligible individual whose severe physical or mental impairment seriously limits one or two functional capacities, and also meets requirements in b and c above. </w:t>
      </w:r>
    </w:p>
    <w:p w14:paraId="3354B884" w14:textId="77777777" w:rsidR="007A1FDC" w:rsidRPr="004A0C12" w:rsidRDefault="007A1FDC" w:rsidP="00C91769">
      <w:pPr>
        <w:spacing w:after="0" w:line="240" w:lineRule="auto"/>
        <w:contextualSpacing/>
        <w:jc w:val="both"/>
        <w:rPr>
          <w:rFonts w:ascii="Garamond" w:hAnsi="Garamond"/>
        </w:rPr>
      </w:pPr>
    </w:p>
    <w:p w14:paraId="543774C5" w14:textId="5C8E51CE" w:rsidR="007A1FDC" w:rsidRPr="004A0C12" w:rsidRDefault="007A1FDC" w:rsidP="00C91769">
      <w:pPr>
        <w:spacing w:after="0" w:line="240" w:lineRule="auto"/>
        <w:contextualSpacing/>
        <w:jc w:val="both"/>
        <w:rPr>
          <w:rFonts w:ascii="Garamond" w:hAnsi="Garamond"/>
        </w:rPr>
      </w:pPr>
      <w:r w:rsidRPr="004A0C12">
        <w:rPr>
          <w:rFonts w:ascii="Garamond" w:hAnsi="Garamond"/>
        </w:rPr>
        <w:t>An individual with a non-severe disability</w:t>
      </w:r>
      <w:r w:rsidR="00677516" w:rsidRPr="004A0C12">
        <w:rPr>
          <w:rFonts w:ascii="Garamond" w:hAnsi="Garamond"/>
        </w:rPr>
        <w:t xml:space="preserve"> (Category III)</w:t>
      </w:r>
      <w:r w:rsidRPr="004A0C12">
        <w:rPr>
          <w:rFonts w:ascii="Garamond" w:hAnsi="Garamond"/>
        </w:rPr>
        <w:t xml:space="preserve"> is an eligible individual who does not meet the definition of significant or most significant disability.</w:t>
      </w:r>
    </w:p>
    <w:p w14:paraId="6E879B15" w14:textId="77777777" w:rsidR="007A1FDC" w:rsidRPr="004A0C12" w:rsidRDefault="007A1FDC" w:rsidP="007A1FDC">
      <w:pPr>
        <w:spacing w:after="0" w:line="240" w:lineRule="auto"/>
        <w:jc w:val="both"/>
        <w:rPr>
          <w:rFonts w:ascii="Garamond" w:hAnsi="Garamond"/>
        </w:rPr>
      </w:pPr>
    </w:p>
    <w:p w14:paraId="5BC13721" w14:textId="2942EAF9" w:rsidR="007A1FDC" w:rsidRPr="004A0C12" w:rsidRDefault="007A1FDC" w:rsidP="007A1FDC">
      <w:pPr>
        <w:spacing w:after="0" w:line="240" w:lineRule="auto"/>
        <w:jc w:val="both"/>
        <w:rPr>
          <w:rFonts w:ascii="Garamond" w:hAnsi="Garamond"/>
        </w:rPr>
      </w:pPr>
      <w:r w:rsidRPr="004A0C12">
        <w:rPr>
          <w:rFonts w:ascii="Garamond" w:hAnsi="Garamond"/>
        </w:rPr>
        <w:t>Justi</w:t>
      </w:r>
      <w:r w:rsidR="00C91769" w:rsidRPr="004A0C12">
        <w:rPr>
          <w:rFonts w:ascii="Garamond" w:hAnsi="Garamond"/>
        </w:rPr>
        <w:t>fication for Order of Selection</w:t>
      </w:r>
    </w:p>
    <w:p w14:paraId="1E6CCC73" w14:textId="77777777" w:rsidR="007A1FDC" w:rsidRPr="004A0C12" w:rsidRDefault="007A1FDC" w:rsidP="007A1FDC">
      <w:pPr>
        <w:spacing w:after="0" w:line="240" w:lineRule="auto"/>
        <w:jc w:val="both"/>
        <w:rPr>
          <w:rFonts w:ascii="Garamond" w:hAnsi="Garamond"/>
        </w:rPr>
      </w:pPr>
      <w:r w:rsidRPr="004A0C12">
        <w:rPr>
          <w:rFonts w:ascii="Garamond" w:hAnsi="Garamond"/>
        </w:rPr>
        <w:t>An order of selection is required under section 101 (a)(5) of the Rehabilitation Act if a rehabilitation agency determines that it is unable to provide services to all eligible individuals who apply for services. With an order of selection, services must first be provided to individuals with the most significant disabilities before they are provided to other eligible individuals.</w:t>
      </w:r>
    </w:p>
    <w:p w14:paraId="4EEC1AFD" w14:textId="77777777" w:rsidR="007A1FDC" w:rsidRPr="004A0C12" w:rsidRDefault="007A1FDC" w:rsidP="007A1FDC">
      <w:pPr>
        <w:spacing w:after="0" w:line="240" w:lineRule="auto"/>
        <w:jc w:val="both"/>
        <w:rPr>
          <w:rFonts w:ascii="Garamond" w:hAnsi="Garamond"/>
        </w:rPr>
      </w:pPr>
    </w:p>
    <w:p w14:paraId="52D43320" w14:textId="77777777" w:rsidR="007A1FDC" w:rsidRPr="004A0C12" w:rsidRDefault="007A1FDC" w:rsidP="007A1FDC">
      <w:pPr>
        <w:spacing w:after="0" w:line="240" w:lineRule="auto"/>
        <w:jc w:val="both"/>
        <w:rPr>
          <w:rFonts w:ascii="Garamond" w:hAnsi="Garamond"/>
        </w:rPr>
      </w:pPr>
      <w:r w:rsidRPr="004A0C12">
        <w:rPr>
          <w:rFonts w:ascii="Garamond" w:hAnsi="Garamond"/>
        </w:rPr>
        <w:t>Due to limited personnel and financial resources, DORS has been unable to provide services to all eligible individuals. Based on projected fiscal and personnel resources, an order of selection will remain in effect. The Division’s order of selection ensures that eligible individuals with the most significant disabilities receive priority.</w:t>
      </w:r>
    </w:p>
    <w:p w14:paraId="31BA3CF3" w14:textId="77777777" w:rsidR="007A1FDC" w:rsidRPr="004A0C12" w:rsidRDefault="007A1FDC" w:rsidP="007A1FDC">
      <w:pPr>
        <w:spacing w:after="0" w:line="240" w:lineRule="auto"/>
        <w:jc w:val="both"/>
        <w:rPr>
          <w:rFonts w:ascii="Garamond" w:hAnsi="Garamond"/>
        </w:rPr>
      </w:pPr>
      <w:r w:rsidRPr="004A0C12">
        <w:rPr>
          <w:rFonts w:ascii="Garamond" w:hAnsi="Garamond"/>
        </w:rPr>
        <w:t> </w:t>
      </w:r>
    </w:p>
    <w:p w14:paraId="50C10673" w14:textId="2B7CFBB7" w:rsidR="007A1FDC" w:rsidRPr="004A0C12" w:rsidRDefault="00C91769" w:rsidP="007A1FDC">
      <w:pPr>
        <w:spacing w:after="0" w:line="240" w:lineRule="auto"/>
        <w:jc w:val="both"/>
        <w:rPr>
          <w:rFonts w:ascii="Garamond" w:hAnsi="Garamond"/>
        </w:rPr>
      </w:pPr>
      <w:r w:rsidRPr="004A0C12">
        <w:rPr>
          <w:rFonts w:ascii="Garamond" w:hAnsi="Garamond"/>
        </w:rPr>
        <w:t>Service and Outcome Goals and the Time Within Which the Goals Will be A</w:t>
      </w:r>
      <w:r w:rsidR="007A1FDC" w:rsidRPr="004A0C12">
        <w:rPr>
          <w:rFonts w:ascii="Garamond" w:hAnsi="Garamond"/>
        </w:rPr>
        <w:t>chieved</w:t>
      </w:r>
    </w:p>
    <w:p w14:paraId="7161120A" w14:textId="61BBFCC8" w:rsidR="00FF44FF" w:rsidRPr="004A0C12" w:rsidRDefault="007A1FDC" w:rsidP="007A1FDC">
      <w:pPr>
        <w:spacing w:after="0" w:line="240" w:lineRule="auto"/>
        <w:jc w:val="both"/>
        <w:rPr>
          <w:rFonts w:ascii="Garamond" w:hAnsi="Garamond"/>
        </w:rPr>
      </w:pPr>
      <w:r w:rsidRPr="004A0C12">
        <w:rPr>
          <w:rFonts w:ascii="Garamond" w:hAnsi="Garamond"/>
        </w:rPr>
        <w:t>The Division’s case management system is designed to assure that individuals with the most significant disabilities are selected for services before all others.</w:t>
      </w:r>
    </w:p>
    <w:p w14:paraId="33FDEC50" w14:textId="77777777" w:rsidR="00FF44FF" w:rsidRPr="004A0C12" w:rsidRDefault="00FF44FF" w:rsidP="007A1FDC">
      <w:pPr>
        <w:spacing w:after="0" w:line="240" w:lineRule="auto"/>
        <w:jc w:val="both"/>
        <w:rPr>
          <w:rFonts w:ascii="Garamond" w:hAnsi="Garamond"/>
        </w:rPr>
      </w:pPr>
    </w:p>
    <w:tbl>
      <w:tblPr>
        <w:tblStyle w:val="PlainTable11"/>
        <w:tblW w:w="0" w:type="auto"/>
        <w:tblLayout w:type="fixed"/>
        <w:tblLook w:val="0000" w:firstRow="0" w:lastRow="0" w:firstColumn="0" w:lastColumn="0" w:noHBand="0" w:noVBand="0"/>
        <w:tblCaption w:val="Data on Priority Categories"/>
        <w:tblDescription w:val="Priority Category I's number of individuals to be served is 14,000; its estimated number of individuals who will exit with employment after receiving services is 2027; its estimated number of individuals who will exit without employment after receiving services is 1640; its time within which goals are to be achieved is 27 months; and its cost of services is $30,774,341. Priority Category II's number of individuals to be served is 4800; its estimated number of individuals who will exit with employment after receiving services is 507; its estimated number of individuals who will exit without employment after receiving services is 410; its time within which goals are to be achieved is 27 months; and its cost of services is $13,189,003. Priority Category III's number of individuals to be served is 0; its estimated number of individuals who will exit with employment after receiving services is 0; its estimated number of individuals who will exit without employment after receiving services is 0; its time within which goals are to be achieved is 0; and its cost of services is $0. "/>
      </w:tblPr>
      <w:tblGrid>
        <w:gridCol w:w="1145"/>
        <w:gridCol w:w="1592"/>
        <w:gridCol w:w="2670"/>
        <w:gridCol w:w="2733"/>
        <w:gridCol w:w="1591"/>
        <w:gridCol w:w="1261"/>
      </w:tblGrid>
      <w:tr w:rsidR="007A1FDC" w:rsidRPr="004A0C12" w14:paraId="21FCFA00" w14:textId="77777777" w:rsidTr="008B1D9A">
        <w:trPr>
          <w:trHeight w:val="880"/>
          <w:tblHeader/>
        </w:trPr>
        <w:tc>
          <w:tcPr>
            <w:cnfStyle w:val="000010000000" w:firstRow="0" w:lastRow="0" w:firstColumn="0" w:lastColumn="0" w:oddVBand="1" w:evenVBand="0" w:oddHBand="0" w:evenHBand="0" w:firstRowFirstColumn="0" w:firstRowLastColumn="0" w:lastRowFirstColumn="0" w:lastRowLastColumn="0"/>
            <w:tcW w:w="1145" w:type="dxa"/>
          </w:tcPr>
          <w:p w14:paraId="45CF9207" w14:textId="77777777" w:rsidR="007A1FDC" w:rsidRPr="004A0C12" w:rsidRDefault="007A1FDC" w:rsidP="007A1FDC">
            <w:pPr>
              <w:spacing w:before="240"/>
              <w:jc w:val="center"/>
              <w:rPr>
                <w:rFonts w:ascii="Garamond" w:hAnsi="Garamond"/>
                <w:color w:val="262626"/>
                <w:sz w:val="22"/>
                <w:szCs w:val="22"/>
              </w:rPr>
            </w:pPr>
            <w:r w:rsidRPr="004A0C12">
              <w:rPr>
                <w:rFonts w:ascii="Garamond" w:hAnsi="Garamond"/>
                <w:color w:val="262626"/>
                <w:sz w:val="22"/>
                <w:szCs w:val="22"/>
              </w:rPr>
              <w:t>Priority Category</w:t>
            </w:r>
          </w:p>
        </w:tc>
        <w:tc>
          <w:tcPr>
            <w:tcW w:w="1592" w:type="dxa"/>
          </w:tcPr>
          <w:p w14:paraId="47220297" w14:textId="77777777" w:rsidR="007A1FDC" w:rsidRPr="004A0C12" w:rsidRDefault="007A1FDC" w:rsidP="007A1FDC">
            <w:pPr>
              <w:spacing w:before="240"/>
              <w:jc w:val="center"/>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Number of individuals to be served</w:t>
            </w:r>
          </w:p>
        </w:tc>
        <w:tc>
          <w:tcPr>
            <w:cnfStyle w:val="000010000000" w:firstRow="0" w:lastRow="0" w:firstColumn="0" w:lastColumn="0" w:oddVBand="1" w:evenVBand="0" w:oddHBand="0" w:evenHBand="0" w:firstRowFirstColumn="0" w:firstRowLastColumn="0" w:lastRowFirstColumn="0" w:lastRowLastColumn="0"/>
            <w:tcW w:w="2670" w:type="dxa"/>
          </w:tcPr>
          <w:p w14:paraId="7ECA31D8" w14:textId="77777777" w:rsidR="007A1FDC" w:rsidRPr="004A0C12" w:rsidRDefault="007A1FDC" w:rsidP="007A1FDC">
            <w:pPr>
              <w:spacing w:before="240"/>
              <w:jc w:val="center"/>
              <w:rPr>
                <w:rFonts w:ascii="Garamond" w:hAnsi="Garamond"/>
                <w:color w:val="262626"/>
                <w:sz w:val="22"/>
                <w:szCs w:val="22"/>
              </w:rPr>
            </w:pPr>
            <w:r w:rsidRPr="004A0C12">
              <w:rPr>
                <w:rFonts w:ascii="Garamond" w:hAnsi="Garamond"/>
                <w:color w:val="262626"/>
                <w:sz w:val="22"/>
                <w:szCs w:val="22"/>
              </w:rPr>
              <w:t>Estimated number of individuals who will exit with employment after receiving services</w:t>
            </w:r>
          </w:p>
        </w:tc>
        <w:tc>
          <w:tcPr>
            <w:tcW w:w="2733" w:type="dxa"/>
          </w:tcPr>
          <w:p w14:paraId="2DE72740" w14:textId="77777777" w:rsidR="007A1FDC" w:rsidRPr="004A0C12" w:rsidRDefault="007A1FDC" w:rsidP="007A1FDC">
            <w:pPr>
              <w:spacing w:before="240"/>
              <w:jc w:val="center"/>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Estimated number of individuals who will exit without employment after receiving services</w:t>
            </w:r>
          </w:p>
        </w:tc>
        <w:tc>
          <w:tcPr>
            <w:cnfStyle w:val="000010000000" w:firstRow="0" w:lastRow="0" w:firstColumn="0" w:lastColumn="0" w:oddVBand="1" w:evenVBand="0" w:oddHBand="0" w:evenHBand="0" w:firstRowFirstColumn="0" w:firstRowLastColumn="0" w:lastRowFirstColumn="0" w:lastRowLastColumn="0"/>
            <w:tcW w:w="1591" w:type="dxa"/>
          </w:tcPr>
          <w:p w14:paraId="17D99ECA" w14:textId="77777777" w:rsidR="007A1FDC" w:rsidRPr="004A0C12" w:rsidRDefault="007A1FDC" w:rsidP="007A1FDC">
            <w:pPr>
              <w:spacing w:before="240"/>
              <w:jc w:val="center"/>
              <w:rPr>
                <w:rFonts w:ascii="Garamond" w:hAnsi="Garamond"/>
                <w:color w:val="262626"/>
                <w:sz w:val="22"/>
                <w:szCs w:val="22"/>
              </w:rPr>
            </w:pPr>
            <w:r w:rsidRPr="004A0C12">
              <w:rPr>
                <w:rFonts w:ascii="Garamond" w:hAnsi="Garamond"/>
                <w:color w:val="262626"/>
                <w:sz w:val="22"/>
                <w:szCs w:val="22"/>
              </w:rPr>
              <w:t>Time within which goals are to be achieved</w:t>
            </w:r>
          </w:p>
        </w:tc>
        <w:tc>
          <w:tcPr>
            <w:tcW w:w="1261" w:type="dxa"/>
          </w:tcPr>
          <w:p w14:paraId="12AD6B60" w14:textId="77777777" w:rsidR="007A1FDC" w:rsidRPr="004A0C12" w:rsidRDefault="007A1FDC" w:rsidP="007A1FDC">
            <w:pPr>
              <w:spacing w:before="240"/>
              <w:jc w:val="center"/>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Cost of services</w:t>
            </w:r>
          </w:p>
        </w:tc>
      </w:tr>
      <w:tr w:rsidR="007A1FDC" w:rsidRPr="004A0C12" w14:paraId="70CEE40B" w14:textId="77777777" w:rsidTr="00A2533C">
        <w:trPr>
          <w:cnfStyle w:val="000000100000" w:firstRow="0" w:lastRow="0" w:firstColumn="0" w:lastColumn="0" w:oddVBand="0" w:evenVBand="0" w:oddHBand="1" w:evenHBand="0" w:firstRowFirstColumn="0" w:firstRowLastColumn="0" w:lastRowFirstColumn="0" w:lastRowLastColumn="0"/>
          <w:trHeight w:val="587"/>
        </w:trPr>
        <w:tc>
          <w:tcPr>
            <w:cnfStyle w:val="000010000000" w:firstRow="0" w:lastRow="0" w:firstColumn="0" w:lastColumn="0" w:oddVBand="1" w:evenVBand="0" w:oddHBand="0" w:evenHBand="0" w:firstRowFirstColumn="0" w:firstRowLastColumn="0" w:lastRowFirstColumn="0" w:lastRowLastColumn="0"/>
            <w:tcW w:w="1145" w:type="dxa"/>
          </w:tcPr>
          <w:p w14:paraId="010F875A" w14:textId="77777777" w:rsidR="007A1FDC" w:rsidRPr="004A0C12" w:rsidRDefault="007A1FDC" w:rsidP="00C91769">
            <w:pPr>
              <w:spacing w:before="240"/>
              <w:jc w:val="center"/>
              <w:rPr>
                <w:rFonts w:ascii="Garamond" w:hAnsi="Garamond"/>
                <w:color w:val="262626"/>
                <w:sz w:val="22"/>
                <w:szCs w:val="22"/>
              </w:rPr>
            </w:pPr>
            <w:r w:rsidRPr="004A0C12">
              <w:rPr>
                <w:rFonts w:ascii="Garamond" w:hAnsi="Garamond"/>
                <w:color w:val="262626"/>
                <w:sz w:val="22"/>
                <w:szCs w:val="22"/>
              </w:rPr>
              <w:t>I</w:t>
            </w:r>
          </w:p>
        </w:tc>
        <w:tc>
          <w:tcPr>
            <w:tcW w:w="1592" w:type="dxa"/>
          </w:tcPr>
          <w:p w14:paraId="4BC847C2" w14:textId="77777777" w:rsidR="007A1FDC" w:rsidRPr="004A0C12" w:rsidRDefault="007A1FDC" w:rsidP="00C91769">
            <w:pPr>
              <w:spacing w:before="240"/>
              <w:jc w:val="center"/>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14,000</w:t>
            </w:r>
          </w:p>
        </w:tc>
        <w:tc>
          <w:tcPr>
            <w:cnfStyle w:val="000010000000" w:firstRow="0" w:lastRow="0" w:firstColumn="0" w:lastColumn="0" w:oddVBand="1" w:evenVBand="0" w:oddHBand="0" w:evenHBand="0" w:firstRowFirstColumn="0" w:firstRowLastColumn="0" w:lastRowFirstColumn="0" w:lastRowLastColumn="0"/>
            <w:tcW w:w="2670" w:type="dxa"/>
          </w:tcPr>
          <w:p w14:paraId="5D75C2EE" w14:textId="576ACD56" w:rsidR="007A1FDC" w:rsidRPr="004A0C12" w:rsidRDefault="007A1FDC" w:rsidP="00C91769">
            <w:pPr>
              <w:spacing w:before="240"/>
              <w:jc w:val="center"/>
              <w:rPr>
                <w:rFonts w:ascii="Garamond" w:hAnsi="Garamond"/>
                <w:color w:val="262626"/>
                <w:sz w:val="22"/>
                <w:szCs w:val="22"/>
              </w:rPr>
            </w:pPr>
            <w:r w:rsidRPr="004A0C12">
              <w:rPr>
                <w:rFonts w:ascii="Garamond" w:hAnsi="Garamond"/>
                <w:color w:val="262626"/>
                <w:sz w:val="22"/>
                <w:szCs w:val="22"/>
              </w:rPr>
              <w:t>2027</w:t>
            </w:r>
          </w:p>
        </w:tc>
        <w:tc>
          <w:tcPr>
            <w:tcW w:w="2733" w:type="dxa"/>
          </w:tcPr>
          <w:p w14:paraId="09C40785" w14:textId="77777777" w:rsidR="007A1FDC" w:rsidRPr="004A0C12" w:rsidRDefault="007A1FDC" w:rsidP="00C91769">
            <w:pPr>
              <w:spacing w:before="240"/>
              <w:jc w:val="center"/>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1640</w:t>
            </w:r>
          </w:p>
        </w:tc>
        <w:tc>
          <w:tcPr>
            <w:cnfStyle w:val="000010000000" w:firstRow="0" w:lastRow="0" w:firstColumn="0" w:lastColumn="0" w:oddVBand="1" w:evenVBand="0" w:oddHBand="0" w:evenHBand="0" w:firstRowFirstColumn="0" w:firstRowLastColumn="0" w:lastRowFirstColumn="0" w:lastRowLastColumn="0"/>
            <w:tcW w:w="1591" w:type="dxa"/>
          </w:tcPr>
          <w:p w14:paraId="406131BD" w14:textId="77777777" w:rsidR="007A1FDC" w:rsidRPr="004A0C12" w:rsidRDefault="007A1FDC" w:rsidP="00C91769">
            <w:pPr>
              <w:spacing w:before="240"/>
              <w:jc w:val="center"/>
              <w:rPr>
                <w:rFonts w:ascii="Garamond" w:hAnsi="Garamond"/>
                <w:color w:val="262626"/>
                <w:sz w:val="22"/>
                <w:szCs w:val="22"/>
              </w:rPr>
            </w:pPr>
            <w:r w:rsidRPr="004A0C12">
              <w:rPr>
                <w:rFonts w:ascii="Garamond" w:hAnsi="Garamond"/>
                <w:color w:val="262626"/>
                <w:sz w:val="22"/>
                <w:szCs w:val="22"/>
              </w:rPr>
              <w:t>27 months</w:t>
            </w:r>
          </w:p>
        </w:tc>
        <w:tc>
          <w:tcPr>
            <w:tcW w:w="1261" w:type="dxa"/>
          </w:tcPr>
          <w:p w14:paraId="6BBDF0E1" w14:textId="77777777" w:rsidR="007A1FDC" w:rsidRPr="004A0C12" w:rsidRDefault="007A1FDC" w:rsidP="00C91769">
            <w:pPr>
              <w:spacing w:before="240"/>
              <w:jc w:val="center"/>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$30,774,341</w:t>
            </w:r>
          </w:p>
        </w:tc>
      </w:tr>
      <w:tr w:rsidR="007A1FDC" w:rsidRPr="004A0C12" w14:paraId="0A487650" w14:textId="77777777" w:rsidTr="00A2533C">
        <w:trPr>
          <w:trHeight w:val="300"/>
        </w:trPr>
        <w:tc>
          <w:tcPr>
            <w:cnfStyle w:val="000010000000" w:firstRow="0" w:lastRow="0" w:firstColumn="0" w:lastColumn="0" w:oddVBand="1" w:evenVBand="0" w:oddHBand="0" w:evenHBand="0" w:firstRowFirstColumn="0" w:firstRowLastColumn="0" w:lastRowFirstColumn="0" w:lastRowLastColumn="0"/>
            <w:tcW w:w="1145" w:type="dxa"/>
          </w:tcPr>
          <w:p w14:paraId="4C0F6106" w14:textId="77777777" w:rsidR="007A1FDC" w:rsidRPr="004A0C12" w:rsidRDefault="007A1FDC" w:rsidP="00C91769">
            <w:pPr>
              <w:spacing w:before="240"/>
              <w:jc w:val="center"/>
              <w:rPr>
                <w:rFonts w:ascii="Garamond" w:hAnsi="Garamond"/>
                <w:color w:val="262626"/>
                <w:sz w:val="22"/>
                <w:szCs w:val="22"/>
              </w:rPr>
            </w:pPr>
            <w:r w:rsidRPr="004A0C12">
              <w:rPr>
                <w:rFonts w:ascii="Garamond" w:hAnsi="Garamond"/>
                <w:color w:val="262626"/>
                <w:sz w:val="22"/>
                <w:szCs w:val="22"/>
              </w:rPr>
              <w:t>II</w:t>
            </w:r>
          </w:p>
        </w:tc>
        <w:tc>
          <w:tcPr>
            <w:tcW w:w="1592" w:type="dxa"/>
          </w:tcPr>
          <w:p w14:paraId="0509F3BB" w14:textId="3754496A" w:rsidR="007A1FDC" w:rsidRPr="004A0C12" w:rsidRDefault="007A1FDC" w:rsidP="00C91769">
            <w:pPr>
              <w:spacing w:before="240"/>
              <w:jc w:val="center"/>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4800</w:t>
            </w:r>
          </w:p>
        </w:tc>
        <w:tc>
          <w:tcPr>
            <w:cnfStyle w:val="000010000000" w:firstRow="0" w:lastRow="0" w:firstColumn="0" w:lastColumn="0" w:oddVBand="1" w:evenVBand="0" w:oddHBand="0" w:evenHBand="0" w:firstRowFirstColumn="0" w:firstRowLastColumn="0" w:lastRowFirstColumn="0" w:lastRowLastColumn="0"/>
            <w:tcW w:w="2670" w:type="dxa"/>
          </w:tcPr>
          <w:p w14:paraId="69D80A86" w14:textId="77777777" w:rsidR="007A1FDC" w:rsidRPr="004A0C12" w:rsidRDefault="007A1FDC" w:rsidP="00C91769">
            <w:pPr>
              <w:spacing w:before="240"/>
              <w:jc w:val="center"/>
              <w:rPr>
                <w:rFonts w:ascii="Garamond" w:hAnsi="Garamond"/>
                <w:color w:val="262626"/>
                <w:sz w:val="22"/>
                <w:szCs w:val="22"/>
              </w:rPr>
            </w:pPr>
            <w:r w:rsidRPr="004A0C12">
              <w:rPr>
                <w:rFonts w:ascii="Garamond" w:hAnsi="Garamond"/>
                <w:color w:val="262626"/>
                <w:sz w:val="22"/>
                <w:szCs w:val="22"/>
              </w:rPr>
              <w:t>507</w:t>
            </w:r>
          </w:p>
        </w:tc>
        <w:tc>
          <w:tcPr>
            <w:tcW w:w="2733" w:type="dxa"/>
          </w:tcPr>
          <w:p w14:paraId="20189C5C" w14:textId="77777777" w:rsidR="007A1FDC" w:rsidRPr="004A0C12" w:rsidRDefault="007A1FDC" w:rsidP="00C91769">
            <w:pPr>
              <w:spacing w:before="240"/>
              <w:jc w:val="center"/>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410</w:t>
            </w:r>
          </w:p>
        </w:tc>
        <w:tc>
          <w:tcPr>
            <w:cnfStyle w:val="000010000000" w:firstRow="0" w:lastRow="0" w:firstColumn="0" w:lastColumn="0" w:oddVBand="1" w:evenVBand="0" w:oddHBand="0" w:evenHBand="0" w:firstRowFirstColumn="0" w:firstRowLastColumn="0" w:lastRowFirstColumn="0" w:lastRowLastColumn="0"/>
            <w:tcW w:w="1591" w:type="dxa"/>
          </w:tcPr>
          <w:p w14:paraId="6B333B8D" w14:textId="77777777" w:rsidR="007A1FDC" w:rsidRPr="004A0C12" w:rsidRDefault="007A1FDC" w:rsidP="00C91769">
            <w:pPr>
              <w:spacing w:before="240"/>
              <w:jc w:val="center"/>
              <w:rPr>
                <w:rFonts w:ascii="Garamond" w:hAnsi="Garamond"/>
                <w:color w:val="262626"/>
                <w:sz w:val="22"/>
                <w:szCs w:val="22"/>
              </w:rPr>
            </w:pPr>
            <w:r w:rsidRPr="004A0C12">
              <w:rPr>
                <w:rFonts w:ascii="Garamond" w:hAnsi="Garamond"/>
                <w:color w:val="262626"/>
                <w:sz w:val="22"/>
                <w:szCs w:val="22"/>
              </w:rPr>
              <w:t>27 months</w:t>
            </w:r>
          </w:p>
        </w:tc>
        <w:tc>
          <w:tcPr>
            <w:tcW w:w="1261" w:type="dxa"/>
          </w:tcPr>
          <w:p w14:paraId="27809107" w14:textId="77777777" w:rsidR="007A1FDC" w:rsidRPr="004A0C12" w:rsidRDefault="007A1FDC" w:rsidP="00C91769">
            <w:pPr>
              <w:spacing w:before="240"/>
              <w:jc w:val="center"/>
              <w:cnfStyle w:val="000000000000" w:firstRow="0" w:lastRow="0" w:firstColumn="0" w:lastColumn="0" w:oddVBand="0" w:evenVBand="0" w:oddHBand="0"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$13,189,003</w:t>
            </w:r>
          </w:p>
        </w:tc>
      </w:tr>
      <w:tr w:rsidR="007A1FDC" w:rsidRPr="004A0C12" w14:paraId="36A32C06" w14:textId="77777777" w:rsidTr="00A2533C">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145" w:type="dxa"/>
          </w:tcPr>
          <w:p w14:paraId="18EF9A74" w14:textId="77777777" w:rsidR="007A1FDC" w:rsidRPr="004A0C12" w:rsidRDefault="007A1FDC" w:rsidP="00C91769">
            <w:pPr>
              <w:spacing w:before="240"/>
              <w:jc w:val="center"/>
              <w:rPr>
                <w:rFonts w:ascii="Garamond" w:hAnsi="Garamond"/>
                <w:color w:val="262626"/>
                <w:sz w:val="22"/>
                <w:szCs w:val="22"/>
              </w:rPr>
            </w:pPr>
            <w:r w:rsidRPr="004A0C12">
              <w:rPr>
                <w:rFonts w:ascii="Garamond" w:hAnsi="Garamond"/>
                <w:color w:val="262626"/>
                <w:sz w:val="22"/>
                <w:szCs w:val="22"/>
              </w:rPr>
              <w:t>III</w:t>
            </w:r>
          </w:p>
        </w:tc>
        <w:tc>
          <w:tcPr>
            <w:tcW w:w="1592" w:type="dxa"/>
          </w:tcPr>
          <w:p w14:paraId="3B05213E" w14:textId="379133EF" w:rsidR="007A1FDC" w:rsidRPr="004A0C12" w:rsidRDefault="007A1FDC" w:rsidP="00C91769">
            <w:pPr>
              <w:spacing w:before="240"/>
              <w:jc w:val="center"/>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0</w:t>
            </w:r>
          </w:p>
        </w:tc>
        <w:tc>
          <w:tcPr>
            <w:cnfStyle w:val="000010000000" w:firstRow="0" w:lastRow="0" w:firstColumn="0" w:lastColumn="0" w:oddVBand="1" w:evenVBand="0" w:oddHBand="0" w:evenHBand="0" w:firstRowFirstColumn="0" w:firstRowLastColumn="0" w:lastRowFirstColumn="0" w:lastRowLastColumn="0"/>
            <w:tcW w:w="2670" w:type="dxa"/>
          </w:tcPr>
          <w:p w14:paraId="4ED91DD7" w14:textId="58823C27" w:rsidR="007A1FDC" w:rsidRPr="004A0C12" w:rsidRDefault="007A1FDC" w:rsidP="00C91769">
            <w:pPr>
              <w:spacing w:before="240"/>
              <w:jc w:val="center"/>
              <w:rPr>
                <w:rFonts w:ascii="Garamond" w:hAnsi="Garamond"/>
                <w:color w:val="262626"/>
                <w:sz w:val="22"/>
                <w:szCs w:val="22"/>
              </w:rPr>
            </w:pPr>
            <w:r w:rsidRPr="004A0C12">
              <w:rPr>
                <w:rFonts w:ascii="Garamond" w:hAnsi="Garamond"/>
                <w:color w:val="262626"/>
                <w:sz w:val="22"/>
                <w:szCs w:val="22"/>
              </w:rPr>
              <w:t>0</w:t>
            </w:r>
          </w:p>
        </w:tc>
        <w:tc>
          <w:tcPr>
            <w:tcW w:w="2733" w:type="dxa"/>
          </w:tcPr>
          <w:p w14:paraId="7A5AA488" w14:textId="174A8654" w:rsidR="007A1FDC" w:rsidRPr="004A0C12" w:rsidRDefault="007A1FDC" w:rsidP="00C91769">
            <w:pPr>
              <w:spacing w:before="240"/>
              <w:jc w:val="center"/>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0</w:t>
            </w:r>
          </w:p>
        </w:tc>
        <w:tc>
          <w:tcPr>
            <w:cnfStyle w:val="000010000000" w:firstRow="0" w:lastRow="0" w:firstColumn="0" w:lastColumn="0" w:oddVBand="1" w:evenVBand="0" w:oddHBand="0" w:evenHBand="0" w:firstRowFirstColumn="0" w:firstRowLastColumn="0" w:lastRowFirstColumn="0" w:lastRowLastColumn="0"/>
            <w:tcW w:w="1591" w:type="dxa"/>
          </w:tcPr>
          <w:p w14:paraId="0266F709" w14:textId="210FF60C" w:rsidR="007A1FDC" w:rsidRPr="004A0C12" w:rsidRDefault="007A1FDC" w:rsidP="00C91769">
            <w:pPr>
              <w:spacing w:before="240"/>
              <w:jc w:val="center"/>
              <w:rPr>
                <w:rFonts w:ascii="Garamond" w:hAnsi="Garamond"/>
                <w:color w:val="262626"/>
                <w:sz w:val="22"/>
                <w:szCs w:val="22"/>
              </w:rPr>
            </w:pPr>
            <w:r w:rsidRPr="004A0C12">
              <w:rPr>
                <w:rFonts w:ascii="Garamond" w:hAnsi="Garamond"/>
                <w:color w:val="262626"/>
                <w:sz w:val="22"/>
                <w:szCs w:val="22"/>
              </w:rPr>
              <w:t>0</w:t>
            </w:r>
          </w:p>
        </w:tc>
        <w:tc>
          <w:tcPr>
            <w:tcW w:w="1261" w:type="dxa"/>
          </w:tcPr>
          <w:p w14:paraId="431FD109" w14:textId="77777777" w:rsidR="007A1FDC" w:rsidRPr="004A0C12" w:rsidRDefault="007A1FDC" w:rsidP="00C91769">
            <w:pPr>
              <w:spacing w:before="240"/>
              <w:jc w:val="center"/>
              <w:cnfStyle w:val="000000100000" w:firstRow="0" w:lastRow="0" w:firstColumn="0" w:lastColumn="0" w:oddVBand="0" w:evenVBand="0" w:oddHBand="1" w:evenHBand="0" w:firstRowFirstColumn="0" w:firstRowLastColumn="0" w:lastRowFirstColumn="0" w:lastRowLastColumn="0"/>
              <w:rPr>
                <w:rFonts w:ascii="Garamond" w:hAnsi="Garamond"/>
                <w:color w:val="262626"/>
                <w:sz w:val="22"/>
                <w:szCs w:val="22"/>
              </w:rPr>
            </w:pPr>
            <w:r w:rsidRPr="004A0C12">
              <w:rPr>
                <w:rFonts w:ascii="Garamond" w:hAnsi="Garamond"/>
                <w:color w:val="262626"/>
                <w:sz w:val="22"/>
                <w:szCs w:val="22"/>
              </w:rPr>
              <w:t>$0</w:t>
            </w:r>
          </w:p>
        </w:tc>
      </w:tr>
    </w:tbl>
    <w:p w14:paraId="2CDCC649" w14:textId="77777777" w:rsidR="007A1FDC" w:rsidRPr="004A0C12" w:rsidRDefault="007A1FDC" w:rsidP="007A1FDC">
      <w:pPr>
        <w:spacing w:after="0" w:line="240" w:lineRule="auto"/>
        <w:jc w:val="both"/>
        <w:rPr>
          <w:rFonts w:ascii="Garamond" w:hAnsi="Garamond"/>
        </w:rPr>
      </w:pPr>
    </w:p>
    <w:p w14:paraId="0F265525" w14:textId="77777777" w:rsidR="00677516" w:rsidRPr="004A0C12" w:rsidRDefault="00677516" w:rsidP="00677516">
      <w:pPr>
        <w:spacing w:after="100" w:line="240" w:lineRule="auto"/>
        <w:rPr>
          <w:rFonts w:ascii="Garamond" w:eastAsia="Times New Roman" w:hAnsi="Garamond" w:cs="Times New Roman"/>
        </w:rPr>
      </w:pPr>
      <w:r w:rsidRPr="004A0C12">
        <w:rPr>
          <w:rFonts w:ascii="Garamond" w:eastAsia="Times New Roman" w:hAnsi="Garamond" w:cs="Times New Roman"/>
          <w:color w:val="000000"/>
        </w:rPr>
        <w:lastRenderedPageBreak/>
        <w:t>Under an order of selection, DORS selects individuals with the most significant disabilities first for the provision of vocational rehabilitation services. (Section 101(a)(5)(C) of the Act and 34 CFR 361.36(a)(3)(iv)(A).</w:t>
      </w:r>
    </w:p>
    <w:p w14:paraId="5AE5399B" w14:textId="4C9D3472" w:rsidR="00677516" w:rsidRPr="004A0C12" w:rsidRDefault="00677516" w:rsidP="00677516">
      <w:pPr>
        <w:spacing w:after="0" w:line="240" w:lineRule="auto"/>
        <w:jc w:val="both"/>
        <w:rPr>
          <w:rFonts w:ascii="Garamond" w:hAnsi="Garamond"/>
        </w:rPr>
      </w:pPr>
      <w:r w:rsidRPr="004A0C12">
        <w:rPr>
          <w:rFonts w:ascii="Garamond" w:eastAsia="Times New Roman" w:hAnsi="Garamond" w:cs="Times New Roman"/>
          <w:color w:val="000000"/>
        </w:rPr>
        <w:t>Individuals who are eligible for VR services and who cannot presently be served under the order of selection are advised that their record will be placed on a waiting list. Eligible individuals are removed from the wait list based on their application date, once resources are available to serve them.</w:t>
      </w:r>
    </w:p>
    <w:p w14:paraId="6A5D88D1" w14:textId="24CBAC59" w:rsidR="007A1FDC" w:rsidRPr="004A0C12" w:rsidRDefault="00C91769" w:rsidP="007A1FDC">
      <w:pPr>
        <w:spacing w:after="0" w:line="240" w:lineRule="auto"/>
        <w:jc w:val="both"/>
        <w:rPr>
          <w:rFonts w:ascii="Garamond" w:hAnsi="Garamond"/>
        </w:rPr>
      </w:pPr>
      <w:r w:rsidRPr="004A0C12">
        <w:rPr>
          <w:rFonts w:ascii="Garamond" w:hAnsi="Garamond"/>
        </w:rPr>
        <w:t>Serving Eligible Individuals, Regardless of the Order of Selection, Who Require Specific Services or E</w:t>
      </w:r>
      <w:r w:rsidR="007A1FDC" w:rsidRPr="004A0C12">
        <w:rPr>
          <w:rFonts w:ascii="Garamond" w:hAnsi="Garamond"/>
        </w:rPr>
        <w:t>q</w:t>
      </w:r>
      <w:r w:rsidRPr="004A0C12">
        <w:rPr>
          <w:rFonts w:ascii="Garamond" w:hAnsi="Garamond"/>
        </w:rPr>
        <w:t>uipment to Maintain Employment</w:t>
      </w:r>
    </w:p>
    <w:p w14:paraId="2156BB7B" w14:textId="77777777" w:rsidR="007A1FDC" w:rsidRPr="004A0C12" w:rsidRDefault="007A1FDC" w:rsidP="007A1FDC">
      <w:pPr>
        <w:spacing w:after="0" w:line="240" w:lineRule="auto"/>
        <w:jc w:val="both"/>
        <w:rPr>
          <w:rFonts w:ascii="Garamond" w:hAnsi="Garamond"/>
        </w:rPr>
      </w:pPr>
      <w:r w:rsidRPr="004A0C12">
        <w:rPr>
          <w:rFonts w:ascii="Garamond" w:hAnsi="Garamond"/>
        </w:rPr>
        <w:t xml:space="preserve">DORS has elected not to serve eligible individuals who require specific services or equipment to maintain employment, regardless of the </w:t>
      </w:r>
      <w:r w:rsidR="00431254" w:rsidRPr="004A0C12">
        <w:rPr>
          <w:rFonts w:ascii="Garamond" w:hAnsi="Garamond"/>
        </w:rPr>
        <w:t>established order of selection.</w:t>
      </w:r>
    </w:p>
    <w:p w14:paraId="17631356" w14:textId="77777777" w:rsidR="007A1FDC" w:rsidRPr="00594970" w:rsidRDefault="007A1FDC" w:rsidP="00E15ED8">
      <w:pPr>
        <w:pStyle w:val="Heading2"/>
        <w:rPr>
          <w:rFonts w:ascii="Garamond" w:hAnsi="Garamond"/>
          <w:sz w:val="24"/>
          <w:szCs w:val="24"/>
        </w:rPr>
      </w:pPr>
      <w:bookmarkStart w:id="228" w:name="_Toc447276255"/>
      <w:r w:rsidRPr="00594970">
        <w:rPr>
          <w:rFonts w:ascii="Garamond" w:hAnsi="Garamond"/>
          <w:sz w:val="24"/>
          <w:szCs w:val="24"/>
        </w:rPr>
        <w:t>Goals and Plans for Distribution of Title VI, Part B Funds</w:t>
      </w:r>
      <w:bookmarkEnd w:id="228"/>
    </w:p>
    <w:p w14:paraId="6ED949E4" w14:textId="4EDBC768" w:rsidR="007A1FDC" w:rsidRPr="004A0C12" w:rsidRDefault="00C91769" w:rsidP="007A1FDC">
      <w:pPr>
        <w:spacing w:after="0" w:line="240" w:lineRule="auto"/>
        <w:jc w:val="both"/>
        <w:rPr>
          <w:rFonts w:ascii="Garamond" w:hAnsi="Garamond"/>
        </w:rPr>
      </w:pPr>
      <w:r w:rsidRPr="004A0C12">
        <w:rPr>
          <w:rFonts w:ascii="Garamond" w:hAnsi="Garamond"/>
        </w:rPr>
        <w:t>Goals and Priorities for the Provision of Supported Employment Services</w:t>
      </w:r>
    </w:p>
    <w:p w14:paraId="20F4AF49" w14:textId="607DD1D9" w:rsidR="007A1FDC" w:rsidRPr="004A0C12" w:rsidRDefault="007A1FDC" w:rsidP="007A1FDC">
      <w:pPr>
        <w:spacing w:after="0" w:line="240" w:lineRule="auto"/>
        <w:jc w:val="both"/>
        <w:rPr>
          <w:rFonts w:ascii="Garamond" w:hAnsi="Garamond"/>
        </w:rPr>
      </w:pPr>
      <w:r w:rsidRPr="004A0C12">
        <w:rPr>
          <w:rFonts w:ascii="Garamond" w:hAnsi="Garamond"/>
        </w:rPr>
        <w:t>Supported employment services are provided on a statewide basis through the Title VI, Part B, and also Title I funds. Supported employment is competitive employment or employment in integrated work settings in which individuals are working toward competitive work, with ongoing support services for individuals with the most significant disabilities for whom competitive employment has not traditionally occurred</w:t>
      </w:r>
      <w:r w:rsidR="00C91769" w:rsidRPr="004A0C12">
        <w:rPr>
          <w:rFonts w:ascii="Garamond" w:hAnsi="Garamond"/>
        </w:rPr>
        <w:t>,</w:t>
      </w:r>
      <w:r w:rsidRPr="004A0C12">
        <w:rPr>
          <w:rFonts w:ascii="Garamond" w:hAnsi="Garamond"/>
        </w:rPr>
        <w:t xml:space="preserve"> or for whom competitive employment has been interrupted or intermittent as a result of a significant disability. Fund allocation on a statewide basis ensures an equitable statewide service delivery. </w:t>
      </w:r>
    </w:p>
    <w:p w14:paraId="65F535F2" w14:textId="77777777" w:rsidR="007A1FDC" w:rsidRPr="004A0C12" w:rsidRDefault="007A1FDC" w:rsidP="007A1FDC">
      <w:pPr>
        <w:spacing w:after="0" w:line="240" w:lineRule="auto"/>
        <w:jc w:val="both"/>
        <w:rPr>
          <w:rFonts w:ascii="Garamond" w:hAnsi="Garamond"/>
        </w:rPr>
      </w:pPr>
    </w:p>
    <w:p w14:paraId="0B23681F" w14:textId="35E43790" w:rsidR="007A1FDC" w:rsidRPr="004A0C12" w:rsidRDefault="00C91769" w:rsidP="007A1FDC">
      <w:pPr>
        <w:spacing w:after="0" w:line="240" w:lineRule="auto"/>
        <w:jc w:val="both"/>
        <w:rPr>
          <w:rFonts w:ascii="Garamond" w:hAnsi="Garamond"/>
        </w:rPr>
      </w:pPr>
      <w:r w:rsidRPr="004A0C12">
        <w:rPr>
          <w:rFonts w:ascii="Garamond" w:hAnsi="Garamond"/>
        </w:rPr>
        <w:t>DORS</w:t>
      </w:r>
      <w:r w:rsidR="007A1FDC" w:rsidRPr="004A0C12">
        <w:rPr>
          <w:rFonts w:ascii="Garamond" w:hAnsi="Garamond"/>
        </w:rPr>
        <w:t xml:space="preserve"> will continue to encumber Title VI, Part B funds on a fee-for-service basis. When supported employment services exhaust Title VI, Part B funds, DORS counselors shall be instructed to encumber Title I funds. In that way, individuals in need of supported employment services will continue to be served, even when Title VI, Part B funds are exhausted. DORS counselors will expend Title VI, Part B funds after receipt of documentation confirming the provision of extended services. In compliance with the Rehabilitation Act, as amended, DORS will expend Title I dollars until an extended source of funding has been obtained. The goal of the State’s supported employment program is to maintain a system whereby individuals with the most significant disabilities are afforded the opportunity to participate in integrated competitive employment. It is estimated that 4,000 individuals with the most significant disabilities will be served in FY17 in supported employment. </w:t>
      </w:r>
    </w:p>
    <w:p w14:paraId="427DCDEA" w14:textId="77777777" w:rsidR="00677516" w:rsidRPr="004A0C12" w:rsidRDefault="00677516" w:rsidP="00677516">
      <w:pPr>
        <w:pStyle w:val="NormalWeb"/>
        <w:spacing w:before="0" w:beforeAutospacing="0" w:afterAutospacing="0"/>
        <w:rPr>
          <w:rFonts w:ascii="Garamond" w:hAnsi="Garamond"/>
          <w:sz w:val="22"/>
          <w:szCs w:val="22"/>
        </w:rPr>
      </w:pPr>
      <w:r w:rsidRPr="004A0C12">
        <w:rPr>
          <w:rFonts w:ascii="Garamond" w:hAnsi="Garamond"/>
          <w:color w:val="000000"/>
          <w:sz w:val="22"/>
          <w:szCs w:val="22"/>
        </w:rPr>
        <w:t>The MOU with the Department of Health and Mental Hygiene’s Developmental Disabilities Administration will outline services and timelines for extended supported employment services, for a period of up to 4 years, through vocational rehabilitation for youth with the most significant disabilities.</w:t>
      </w:r>
    </w:p>
    <w:p w14:paraId="45F1E89C" w14:textId="77777777" w:rsidR="00677516" w:rsidRPr="004A0C12" w:rsidRDefault="00677516" w:rsidP="007A1FDC">
      <w:pPr>
        <w:spacing w:after="0" w:line="240" w:lineRule="auto"/>
        <w:jc w:val="both"/>
        <w:rPr>
          <w:rFonts w:ascii="Garamond" w:hAnsi="Garamond"/>
        </w:rPr>
      </w:pPr>
    </w:p>
    <w:p w14:paraId="685E339E" w14:textId="77777777" w:rsidR="007A1FDC" w:rsidRPr="004A0C12" w:rsidRDefault="007A1FDC" w:rsidP="007A1FDC">
      <w:pPr>
        <w:spacing w:after="0" w:line="240" w:lineRule="auto"/>
        <w:jc w:val="both"/>
        <w:rPr>
          <w:rFonts w:ascii="Garamond" w:hAnsi="Garamond"/>
        </w:rPr>
      </w:pPr>
    </w:p>
    <w:p w14:paraId="713B06B6" w14:textId="40414898" w:rsidR="007A1FDC" w:rsidRPr="004A0C12" w:rsidRDefault="005920A5" w:rsidP="007A1FDC">
      <w:pPr>
        <w:spacing w:after="0" w:line="240" w:lineRule="auto"/>
        <w:jc w:val="both"/>
        <w:rPr>
          <w:rFonts w:ascii="Garamond" w:hAnsi="Garamond"/>
        </w:rPr>
      </w:pPr>
      <w:r w:rsidRPr="004A0C12">
        <w:rPr>
          <w:rFonts w:ascii="Garamond" w:hAnsi="Garamond"/>
        </w:rPr>
        <w:t>Activities to be Conducted for Y</w:t>
      </w:r>
      <w:r w:rsidR="007A1FDC" w:rsidRPr="004A0C12">
        <w:rPr>
          <w:rFonts w:ascii="Garamond" w:hAnsi="Garamond"/>
        </w:rPr>
        <w:t>outh with th</w:t>
      </w:r>
      <w:r w:rsidRPr="004A0C12">
        <w:rPr>
          <w:rFonts w:ascii="Garamond" w:hAnsi="Garamond"/>
        </w:rPr>
        <w:t>e Most Significant Disabilities</w:t>
      </w:r>
    </w:p>
    <w:p w14:paraId="007D7A65" w14:textId="4404F2AF" w:rsidR="007A1FDC" w:rsidRPr="004A0C12" w:rsidRDefault="007A1FDC" w:rsidP="007A1FDC">
      <w:pPr>
        <w:spacing w:after="0" w:line="240" w:lineRule="auto"/>
        <w:jc w:val="both"/>
        <w:rPr>
          <w:rFonts w:ascii="Garamond" w:hAnsi="Garamond"/>
        </w:rPr>
      </w:pPr>
      <w:r w:rsidRPr="004A0C12">
        <w:rPr>
          <w:rFonts w:ascii="Garamond" w:hAnsi="Garamond"/>
        </w:rPr>
        <w:t>It is estimated that 1</w:t>
      </w:r>
      <w:r w:rsidR="005920A5" w:rsidRPr="004A0C12">
        <w:rPr>
          <w:rFonts w:ascii="Garamond" w:hAnsi="Garamond"/>
        </w:rPr>
        <w:t>,</w:t>
      </w:r>
      <w:r w:rsidRPr="004A0C12">
        <w:rPr>
          <w:rFonts w:ascii="Garamond" w:hAnsi="Garamond"/>
        </w:rPr>
        <w:t>250 transitioning students will be served in supported employment. In accordance with WIOA requirements</w:t>
      </w:r>
      <w:r w:rsidR="005920A5" w:rsidRPr="004A0C12">
        <w:rPr>
          <w:rFonts w:ascii="Garamond" w:hAnsi="Garamond"/>
        </w:rPr>
        <w:t>, DORS will be setting aside 50 percent</w:t>
      </w:r>
      <w:r w:rsidRPr="004A0C12">
        <w:rPr>
          <w:rFonts w:ascii="Garamond" w:hAnsi="Garamond"/>
        </w:rPr>
        <w:t xml:space="preserve"> of its Supported Emplo</w:t>
      </w:r>
      <w:r w:rsidR="005920A5" w:rsidRPr="004A0C12">
        <w:rPr>
          <w:rFonts w:ascii="Garamond" w:hAnsi="Garamond"/>
        </w:rPr>
        <w:t>yment allotment as well as a 10 percent</w:t>
      </w:r>
      <w:r w:rsidRPr="004A0C12">
        <w:rPr>
          <w:rFonts w:ascii="Garamond" w:hAnsi="Garamond"/>
        </w:rPr>
        <w:t xml:space="preserve"> match to provide servic</w:t>
      </w:r>
      <w:r w:rsidR="005920A5" w:rsidRPr="004A0C12">
        <w:rPr>
          <w:rFonts w:ascii="Garamond" w:hAnsi="Garamond"/>
        </w:rPr>
        <w:t xml:space="preserve">es to youth with disabilities. </w:t>
      </w:r>
      <w:r w:rsidRPr="004A0C12">
        <w:rPr>
          <w:rFonts w:ascii="Garamond" w:hAnsi="Garamond"/>
        </w:rPr>
        <w:t xml:space="preserve">In addition, DORS will be using state funds through the Governor’s Transitioning Youth Initiative. There has been a steady growth in the numbers of individuals with serious and persistent mental illness being served in supported employment. </w:t>
      </w:r>
    </w:p>
    <w:p w14:paraId="68CD2086" w14:textId="77777777" w:rsidR="007A1FDC" w:rsidRPr="004A0C12" w:rsidRDefault="007A1FDC" w:rsidP="007A1FDC">
      <w:pPr>
        <w:spacing w:after="0" w:line="240" w:lineRule="auto"/>
        <w:jc w:val="both"/>
        <w:rPr>
          <w:rFonts w:ascii="Garamond" w:hAnsi="Garamond"/>
        </w:rPr>
      </w:pPr>
    </w:p>
    <w:p w14:paraId="3D783A6B" w14:textId="77777777" w:rsidR="00677516" w:rsidRPr="004A0C12" w:rsidRDefault="00677516" w:rsidP="00677516">
      <w:pPr>
        <w:pStyle w:val="NormalWeb"/>
        <w:spacing w:before="0" w:beforeAutospacing="0" w:afterAutospacing="0"/>
        <w:rPr>
          <w:rFonts w:ascii="Garamond" w:hAnsi="Garamond"/>
          <w:sz w:val="22"/>
          <w:szCs w:val="22"/>
        </w:rPr>
      </w:pPr>
      <w:r w:rsidRPr="004A0C12">
        <w:rPr>
          <w:rFonts w:ascii="Garamond" w:hAnsi="Garamond"/>
          <w:color w:val="000000"/>
          <w:sz w:val="22"/>
          <w:szCs w:val="22"/>
        </w:rPr>
        <w:t>DORS will continue to collaborate with the State educational system to ensure that appropriate services are provided to students with disabilities under IDEA and the vocational rehabilitation and supported employment, including extended services. Further partnership and collaboration with the State educational system will assist in assisting youth with the most significant disabilities achieve an outcome of supported employment in competitive integrated employment.</w:t>
      </w:r>
    </w:p>
    <w:p w14:paraId="6F517454" w14:textId="77777777" w:rsidR="00677516" w:rsidRPr="004A0C12" w:rsidRDefault="00677516" w:rsidP="007A1FDC">
      <w:pPr>
        <w:spacing w:after="0" w:line="240" w:lineRule="auto"/>
        <w:jc w:val="both"/>
        <w:rPr>
          <w:rFonts w:ascii="Garamond" w:hAnsi="Garamond"/>
        </w:rPr>
      </w:pPr>
    </w:p>
    <w:p w14:paraId="2065987D" w14:textId="0BCB4048" w:rsidR="007A1FDC" w:rsidRPr="004A0C12" w:rsidRDefault="007A1FDC" w:rsidP="0039281D">
      <w:pPr>
        <w:spacing w:after="0" w:line="240" w:lineRule="auto"/>
        <w:contextualSpacing/>
        <w:jc w:val="both"/>
        <w:rPr>
          <w:rFonts w:ascii="Garamond" w:hAnsi="Garamond"/>
        </w:rPr>
      </w:pPr>
      <w:r w:rsidRPr="004A0C12">
        <w:rPr>
          <w:rFonts w:ascii="Garamond" w:hAnsi="Garamond"/>
        </w:rPr>
        <w:t>DORS and the Maryland Behavio</w:t>
      </w:r>
      <w:r w:rsidR="005920A5" w:rsidRPr="004A0C12">
        <w:rPr>
          <w:rFonts w:ascii="Garamond" w:hAnsi="Garamond"/>
        </w:rPr>
        <w:t xml:space="preserve">ral Health Administration </w:t>
      </w:r>
      <w:r w:rsidRPr="004A0C12">
        <w:rPr>
          <w:rFonts w:ascii="Garamond" w:hAnsi="Garamond"/>
        </w:rPr>
        <w:t>collaborate in provision of supported employment services to youth and adults with persistent mental illness at approximately 29 com</w:t>
      </w:r>
      <w:r w:rsidR="005920A5" w:rsidRPr="004A0C12">
        <w:rPr>
          <w:rFonts w:ascii="Garamond" w:hAnsi="Garamond"/>
        </w:rPr>
        <w:t>munity programs throughout the State. Further, DORS and the Maryland Behavioral Health Administration</w:t>
      </w:r>
      <w:r w:rsidRPr="004A0C12">
        <w:rPr>
          <w:rFonts w:ascii="Garamond" w:hAnsi="Garamond"/>
        </w:rPr>
        <w:t xml:space="preserve"> work with the Evidence-Based Practice Center at the University of Maryland to promote the Evidence-Based Supported Employment initiative. The initiative now includes 13 of the community programs statewide that meet Evidence-based Supported Employment fidelity. </w:t>
      </w:r>
    </w:p>
    <w:p w14:paraId="7E050DC4" w14:textId="77777777" w:rsidR="0039281D" w:rsidRPr="004A0C12" w:rsidRDefault="0039281D" w:rsidP="0039281D">
      <w:pPr>
        <w:spacing w:after="0" w:line="240" w:lineRule="auto"/>
        <w:contextualSpacing/>
        <w:jc w:val="both"/>
        <w:rPr>
          <w:rFonts w:ascii="Garamond" w:hAnsi="Garamond"/>
        </w:rPr>
      </w:pPr>
    </w:p>
    <w:p w14:paraId="7497B040" w14:textId="040B7048" w:rsidR="007A1FDC" w:rsidRPr="004A0C12" w:rsidRDefault="0039281D" w:rsidP="0039281D">
      <w:pPr>
        <w:spacing w:before="100" w:after="0" w:line="240" w:lineRule="auto"/>
        <w:contextualSpacing/>
        <w:jc w:val="both"/>
        <w:rPr>
          <w:rFonts w:ascii="Garamond" w:hAnsi="Garamond"/>
        </w:rPr>
      </w:pPr>
      <w:r w:rsidRPr="004A0C12">
        <w:rPr>
          <w:rFonts w:ascii="Garamond" w:hAnsi="Garamond"/>
        </w:rPr>
        <w:lastRenderedPageBreak/>
        <w:t>DORS</w:t>
      </w:r>
      <w:r w:rsidR="007A1FDC" w:rsidRPr="004A0C12">
        <w:rPr>
          <w:rFonts w:ascii="Garamond" w:hAnsi="Garamond"/>
        </w:rPr>
        <w:t xml:space="preserve"> supports the use of supported employment models that maximize integration of youth and adults with the most significant disabilities in real work sites, doing meaningful work. The Division encourages expansion of models beyond enclaves and does not support the use of bench work models. DORS policy includes a strong preference for individual placement models.</w:t>
      </w:r>
    </w:p>
    <w:p w14:paraId="22EE08E6" w14:textId="77777777" w:rsidR="0039281D" w:rsidRPr="004A0C12" w:rsidRDefault="0039281D" w:rsidP="0039281D">
      <w:pPr>
        <w:spacing w:before="100" w:after="0" w:line="240" w:lineRule="auto"/>
        <w:contextualSpacing/>
        <w:jc w:val="both"/>
        <w:rPr>
          <w:rFonts w:ascii="Garamond" w:hAnsi="Garamond"/>
        </w:rPr>
      </w:pPr>
    </w:p>
    <w:p w14:paraId="7A5173F8" w14:textId="77777777" w:rsidR="00E15ED8" w:rsidRPr="004A0C12" w:rsidRDefault="007A1FDC" w:rsidP="0039281D">
      <w:pPr>
        <w:spacing w:before="100" w:after="0" w:line="240" w:lineRule="auto"/>
        <w:contextualSpacing/>
        <w:jc w:val="both"/>
        <w:rPr>
          <w:rFonts w:ascii="Garamond" w:hAnsi="Garamond"/>
        </w:rPr>
      </w:pPr>
      <w:r w:rsidRPr="004A0C12">
        <w:rPr>
          <w:rFonts w:ascii="Garamond" w:hAnsi="Garamond"/>
        </w:rPr>
        <w:t>The estimated number of individuals with significant disabilities who will achieve a supported employment outcome during FY 2017 is 775 individuals.</w:t>
      </w:r>
    </w:p>
    <w:p w14:paraId="4865F04A" w14:textId="77777777" w:rsidR="00677516" w:rsidRPr="004A0C12" w:rsidRDefault="00677516" w:rsidP="0039281D">
      <w:pPr>
        <w:spacing w:before="100" w:after="0" w:line="240" w:lineRule="auto"/>
        <w:contextualSpacing/>
        <w:jc w:val="both"/>
        <w:rPr>
          <w:rFonts w:ascii="Garamond" w:hAnsi="Garamond"/>
        </w:rPr>
      </w:pPr>
    </w:p>
    <w:p w14:paraId="5FDCC17E" w14:textId="77777777" w:rsidR="00677516" w:rsidRPr="004A0C12" w:rsidRDefault="00677516" w:rsidP="00677516">
      <w:pPr>
        <w:spacing w:after="100" w:line="240" w:lineRule="auto"/>
        <w:rPr>
          <w:rFonts w:ascii="Garamond" w:eastAsia="Times New Roman" w:hAnsi="Garamond" w:cs="Times New Roman"/>
        </w:rPr>
      </w:pPr>
      <w:r w:rsidRPr="004A0C12">
        <w:rPr>
          <w:rFonts w:ascii="Garamond" w:eastAsia="Times New Roman" w:hAnsi="Garamond" w:cs="Times New Roman"/>
          <w:color w:val="000000"/>
        </w:rPr>
        <w:t>DORS will access community rehabilitation programs, public resources, and private resources that have received funding from private grants, not funded by VR, so that youth with the most significant disabilities may participate.</w:t>
      </w:r>
    </w:p>
    <w:p w14:paraId="32F7E833" w14:textId="77777777" w:rsidR="00677516" w:rsidRPr="004A0C12" w:rsidRDefault="00677516" w:rsidP="00677516">
      <w:pPr>
        <w:spacing w:after="100" w:line="240" w:lineRule="auto"/>
        <w:rPr>
          <w:rFonts w:ascii="Garamond" w:eastAsia="Times New Roman" w:hAnsi="Garamond" w:cs="Times New Roman"/>
        </w:rPr>
      </w:pPr>
      <w:r w:rsidRPr="004A0C12">
        <w:rPr>
          <w:rFonts w:ascii="Garamond" w:eastAsia="Times New Roman" w:hAnsi="Garamond" w:cs="Times New Roman"/>
          <w:color w:val="000000"/>
        </w:rPr>
        <w:t>DORS will collaborate with the Department of Health and Mental Hygiene’s (DHMH) Behavioral Health Administration in the provision of pre-employment transition services and VR transition services to youth experiencing first episode psychosis. DORS will determine the feasibility of implementing the braided funding model currently used in providing traditional and evidence-based mental health supported employment.</w:t>
      </w:r>
    </w:p>
    <w:p w14:paraId="09C0236C" w14:textId="6B93B5CE" w:rsidR="00677516" w:rsidRPr="004A0C12" w:rsidRDefault="00677516" w:rsidP="00677516">
      <w:pPr>
        <w:spacing w:before="100" w:after="0" w:line="240" w:lineRule="auto"/>
        <w:contextualSpacing/>
        <w:jc w:val="both"/>
        <w:rPr>
          <w:rFonts w:ascii="Garamond" w:hAnsi="Garamond"/>
        </w:rPr>
      </w:pPr>
      <w:r w:rsidRPr="004A0C12">
        <w:rPr>
          <w:rFonts w:ascii="Garamond" w:eastAsia="Times New Roman" w:hAnsi="Garamond" w:cs="Times New Roman"/>
          <w:color w:val="000000"/>
        </w:rPr>
        <w:t>DORS will develop Evidence-Based Practices with DHMH, Behavioral Health Administration in providing employment supports to youth with psychiatric disabilities and determine the feasibility using the braided funding model currently used in providing traditional and evidence-based mental health supported employment.</w:t>
      </w:r>
    </w:p>
    <w:p w14:paraId="64E3DF53" w14:textId="1579EE3A" w:rsidR="007A1FDC" w:rsidRPr="00594970" w:rsidRDefault="007A1FDC" w:rsidP="0039281D">
      <w:pPr>
        <w:pStyle w:val="Heading2"/>
        <w:rPr>
          <w:rFonts w:ascii="Garamond" w:hAnsi="Garamond"/>
          <w:sz w:val="24"/>
          <w:szCs w:val="24"/>
        </w:rPr>
      </w:pPr>
      <w:bookmarkStart w:id="229" w:name="_Toc447276256"/>
      <w:r w:rsidRPr="00594970">
        <w:rPr>
          <w:rFonts w:ascii="Garamond" w:hAnsi="Garamond"/>
          <w:sz w:val="24"/>
          <w:szCs w:val="24"/>
        </w:rPr>
        <w:t>MARYLAND’S STRATEGIES</w:t>
      </w:r>
      <w:bookmarkEnd w:id="229"/>
      <w:r w:rsidR="0039281D" w:rsidRPr="00594970">
        <w:rPr>
          <w:rFonts w:ascii="Garamond" w:hAnsi="Garamond"/>
          <w:sz w:val="24"/>
          <w:szCs w:val="24"/>
        </w:rPr>
        <w:t xml:space="preserve"> </w:t>
      </w:r>
    </w:p>
    <w:p w14:paraId="091B8E8F" w14:textId="4320D980" w:rsidR="007A1FDC" w:rsidRPr="004A0C12" w:rsidRDefault="0039281D" w:rsidP="007A1FDC">
      <w:pPr>
        <w:pStyle w:val="ListParagraph"/>
        <w:ind w:left="0"/>
        <w:jc w:val="both"/>
        <w:rPr>
          <w:rFonts w:ascii="Garamond" w:hAnsi="Garamond"/>
          <w:szCs w:val="22"/>
        </w:rPr>
      </w:pPr>
      <w:r w:rsidRPr="004A0C12">
        <w:rPr>
          <w:rFonts w:ascii="Garamond" w:hAnsi="Garamond"/>
          <w:szCs w:val="22"/>
        </w:rPr>
        <w:t>Expanding &amp; Improving S</w:t>
      </w:r>
      <w:r w:rsidR="007A1FDC" w:rsidRPr="004A0C12">
        <w:rPr>
          <w:rFonts w:ascii="Garamond" w:hAnsi="Garamond"/>
          <w:szCs w:val="22"/>
        </w:rPr>
        <w:t>ervices to</w:t>
      </w:r>
      <w:r w:rsidRPr="004A0C12">
        <w:rPr>
          <w:rFonts w:ascii="Garamond" w:hAnsi="Garamond"/>
          <w:szCs w:val="22"/>
        </w:rPr>
        <w:t xml:space="preserve"> Individuals with Disabilities</w:t>
      </w:r>
    </w:p>
    <w:p w14:paraId="220587B3" w14:textId="77777777" w:rsidR="0039281D" w:rsidRPr="004A0C12" w:rsidRDefault="007A1FDC" w:rsidP="00232F09">
      <w:pPr>
        <w:pStyle w:val="ListParagraph"/>
        <w:numPr>
          <w:ilvl w:val="0"/>
          <w:numId w:val="254"/>
        </w:numPr>
        <w:jc w:val="both"/>
        <w:rPr>
          <w:rFonts w:ascii="Garamond" w:hAnsi="Garamond"/>
          <w:szCs w:val="22"/>
        </w:rPr>
      </w:pPr>
      <w:r w:rsidRPr="004A0C12">
        <w:rPr>
          <w:rFonts w:ascii="Garamond" w:hAnsi="Garamond"/>
          <w:szCs w:val="22"/>
        </w:rPr>
        <w:t>DORS will continually analyze office locations, staff deployment, staff positions and responsibilities, in accordance with DORS mission to more effectively serve studen</w:t>
      </w:r>
      <w:r w:rsidR="0039281D" w:rsidRPr="004A0C12">
        <w:rPr>
          <w:rFonts w:ascii="Garamond" w:hAnsi="Garamond"/>
          <w:szCs w:val="22"/>
        </w:rPr>
        <w:t>ts and adults with disabilities, and in collaboration with the WIOA Partners;</w:t>
      </w:r>
    </w:p>
    <w:p w14:paraId="46E8D59D" w14:textId="77777777" w:rsidR="0039281D" w:rsidRPr="004A0C12" w:rsidRDefault="007A1FDC" w:rsidP="00232F09">
      <w:pPr>
        <w:pStyle w:val="ListParagraph"/>
        <w:numPr>
          <w:ilvl w:val="0"/>
          <w:numId w:val="254"/>
        </w:numPr>
        <w:jc w:val="both"/>
        <w:rPr>
          <w:rFonts w:ascii="Garamond" w:hAnsi="Garamond"/>
          <w:szCs w:val="22"/>
        </w:rPr>
      </w:pPr>
      <w:r w:rsidRPr="004A0C12">
        <w:rPr>
          <w:rFonts w:ascii="Garamond" w:hAnsi="Garamond"/>
          <w:szCs w:val="22"/>
        </w:rPr>
        <w:t>The 2016 Comprehensive Statewide Needs Assessment will include an assessment and recommendations for expanding and improving services to studen</w:t>
      </w:r>
      <w:r w:rsidR="0039281D" w:rsidRPr="004A0C12">
        <w:rPr>
          <w:rFonts w:ascii="Garamond" w:hAnsi="Garamond"/>
          <w:szCs w:val="22"/>
        </w:rPr>
        <w:t>ts and adults with disabilities;</w:t>
      </w:r>
    </w:p>
    <w:p w14:paraId="40E7A292" w14:textId="77777777" w:rsidR="0039281D" w:rsidRPr="004A0C12" w:rsidRDefault="007A1FDC" w:rsidP="00232F09">
      <w:pPr>
        <w:pStyle w:val="ListParagraph"/>
        <w:numPr>
          <w:ilvl w:val="0"/>
          <w:numId w:val="254"/>
        </w:numPr>
        <w:jc w:val="both"/>
        <w:rPr>
          <w:rFonts w:ascii="Garamond" w:hAnsi="Garamond"/>
          <w:szCs w:val="22"/>
        </w:rPr>
      </w:pPr>
      <w:r w:rsidRPr="004A0C12">
        <w:rPr>
          <w:rFonts w:ascii="Garamond" w:hAnsi="Garamond"/>
          <w:szCs w:val="22"/>
        </w:rPr>
        <w:t xml:space="preserve">In collaboration with </w:t>
      </w:r>
      <w:r w:rsidR="0039281D" w:rsidRPr="004A0C12">
        <w:rPr>
          <w:rFonts w:ascii="Garamond" w:hAnsi="Garamond"/>
          <w:szCs w:val="22"/>
        </w:rPr>
        <w:t>the WIOA Partners</w:t>
      </w:r>
      <w:r w:rsidRPr="004A0C12">
        <w:rPr>
          <w:rFonts w:ascii="Garamond" w:hAnsi="Garamond"/>
          <w:szCs w:val="22"/>
        </w:rPr>
        <w:t xml:space="preserve">, DORS will establish linkages with businesses and employers to include training, customized employment, education and disability awareness, on-site worksite assistive technology services, and </w:t>
      </w:r>
      <w:r w:rsidR="0039281D" w:rsidRPr="004A0C12">
        <w:rPr>
          <w:rFonts w:ascii="Garamond" w:hAnsi="Garamond"/>
          <w:szCs w:val="22"/>
        </w:rPr>
        <w:t>mentoring/internship activities;</w:t>
      </w:r>
    </w:p>
    <w:p w14:paraId="3AE65BEB" w14:textId="77777777" w:rsidR="0039281D" w:rsidRPr="004A0C12" w:rsidRDefault="007A1FDC" w:rsidP="00232F09">
      <w:pPr>
        <w:pStyle w:val="ListParagraph"/>
        <w:numPr>
          <w:ilvl w:val="0"/>
          <w:numId w:val="254"/>
        </w:numPr>
        <w:jc w:val="both"/>
        <w:rPr>
          <w:rFonts w:ascii="Garamond" w:hAnsi="Garamond"/>
          <w:szCs w:val="22"/>
        </w:rPr>
      </w:pPr>
      <w:r w:rsidRPr="004A0C12">
        <w:rPr>
          <w:rFonts w:ascii="Garamond" w:hAnsi="Garamond"/>
          <w:szCs w:val="22"/>
        </w:rPr>
        <w:t>DORS will continue to enhance relationships with Community Rehabilitation Progra</w:t>
      </w:r>
      <w:r w:rsidR="0039281D" w:rsidRPr="004A0C12">
        <w:rPr>
          <w:rFonts w:ascii="Garamond" w:hAnsi="Garamond"/>
          <w:szCs w:val="22"/>
        </w:rPr>
        <w:t>ms to ensure availability of Community Rehabilitation Program services statewide;</w:t>
      </w:r>
    </w:p>
    <w:p w14:paraId="1788922E" w14:textId="77777777" w:rsidR="0039281D" w:rsidRPr="004A0C12" w:rsidRDefault="007A1FDC" w:rsidP="00232F09">
      <w:pPr>
        <w:pStyle w:val="ListParagraph"/>
        <w:numPr>
          <w:ilvl w:val="0"/>
          <w:numId w:val="254"/>
        </w:numPr>
        <w:jc w:val="both"/>
        <w:rPr>
          <w:rFonts w:ascii="Garamond" w:hAnsi="Garamond"/>
          <w:szCs w:val="22"/>
        </w:rPr>
      </w:pPr>
      <w:r w:rsidRPr="004A0C12">
        <w:rPr>
          <w:rFonts w:ascii="Garamond" w:hAnsi="Garamond"/>
          <w:szCs w:val="22"/>
        </w:rPr>
        <w:t xml:space="preserve">DORS will continue to expand services and outreach to individuals who are deaf-blind and provide technical assistance to staff and </w:t>
      </w:r>
      <w:r w:rsidR="0039281D" w:rsidRPr="004A0C12">
        <w:rPr>
          <w:rFonts w:ascii="Garamond" w:hAnsi="Garamond"/>
          <w:szCs w:val="22"/>
        </w:rPr>
        <w:t>WIOA Partners serving this population;</w:t>
      </w:r>
    </w:p>
    <w:p w14:paraId="06F4F542" w14:textId="4B3D2EE8" w:rsidR="007A1FDC" w:rsidRPr="004A0C12" w:rsidRDefault="007A1FDC" w:rsidP="00232F09">
      <w:pPr>
        <w:pStyle w:val="ListParagraph"/>
        <w:numPr>
          <w:ilvl w:val="0"/>
          <w:numId w:val="254"/>
        </w:numPr>
        <w:jc w:val="both"/>
        <w:rPr>
          <w:rFonts w:ascii="Garamond" w:hAnsi="Garamond"/>
          <w:szCs w:val="22"/>
        </w:rPr>
      </w:pPr>
      <w:r w:rsidRPr="004A0C12">
        <w:rPr>
          <w:rFonts w:ascii="Garamond" w:hAnsi="Garamond"/>
          <w:szCs w:val="22"/>
        </w:rPr>
        <w:t xml:space="preserve">In collaboration with </w:t>
      </w:r>
      <w:r w:rsidR="0039281D" w:rsidRPr="004A0C12">
        <w:rPr>
          <w:rFonts w:ascii="Garamond" w:hAnsi="Garamond"/>
          <w:szCs w:val="22"/>
        </w:rPr>
        <w:t>WIOA Partners</w:t>
      </w:r>
      <w:r w:rsidRPr="004A0C12">
        <w:rPr>
          <w:rFonts w:ascii="Garamond" w:hAnsi="Garamond"/>
          <w:szCs w:val="22"/>
        </w:rPr>
        <w:t>, DORS will develop relationships with employers and analyze labor trends, to increase opportunities for employment of populations that are unserved or underserved.</w:t>
      </w:r>
    </w:p>
    <w:p w14:paraId="7E719155" w14:textId="77777777" w:rsidR="007A1FDC" w:rsidRPr="004A0C12" w:rsidRDefault="007A1FDC" w:rsidP="007A1FDC">
      <w:pPr>
        <w:pStyle w:val="ListParagraph"/>
        <w:ind w:left="1800"/>
        <w:jc w:val="both"/>
        <w:rPr>
          <w:rFonts w:ascii="Garamond" w:hAnsi="Garamond"/>
          <w:szCs w:val="22"/>
        </w:rPr>
      </w:pPr>
    </w:p>
    <w:p w14:paraId="3573758B" w14:textId="5C2C931A" w:rsidR="0039281D" w:rsidRPr="004A0C12" w:rsidRDefault="007A1FDC" w:rsidP="0039281D">
      <w:pPr>
        <w:spacing w:line="240" w:lineRule="auto"/>
        <w:contextualSpacing/>
        <w:jc w:val="both"/>
        <w:rPr>
          <w:rFonts w:ascii="Garamond" w:hAnsi="Garamond"/>
        </w:rPr>
      </w:pPr>
      <w:r w:rsidRPr="004A0C12">
        <w:rPr>
          <w:rFonts w:ascii="Garamond" w:hAnsi="Garamond"/>
        </w:rPr>
        <w:t>Providing</w:t>
      </w:r>
      <w:r w:rsidR="00E15ED8" w:rsidRPr="004A0C12">
        <w:rPr>
          <w:rFonts w:ascii="Garamond" w:hAnsi="Garamond"/>
        </w:rPr>
        <w:t xml:space="preserve"> </w:t>
      </w:r>
      <w:r w:rsidR="0039281D" w:rsidRPr="004A0C12">
        <w:rPr>
          <w:rFonts w:ascii="Garamond" w:hAnsi="Garamond"/>
        </w:rPr>
        <w:t>Assistive Technology Services &amp; D</w:t>
      </w:r>
      <w:r w:rsidRPr="004A0C12">
        <w:rPr>
          <w:rFonts w:ascii="Garamond" w:hAnsi="Garamond"/>
        </w:rPr>
        <w:t xml:space="preserve">evices </w:t>
      </w:r>
    </w:p>
    <w:p w14:paraId="511A57FA" w14:textId="1CB29267" w:rsidR="0039281D" w:rsidRPr="004A0C12" w:rsidRDefault="007A1FDC" w:rsidP="0039281D">
      <w:pPr>
        <w:spacing w:line="240" w:lineRule="auto"/>
        <w:contextualSpacing/>
        <w:jc w:val="both"/>
        <w:rPr>
          <w:rFonts w:ascii="Garamond" w:hAnsi="Garamond"/>
        </w:rPr>
      </w:pPr>
      <w:r w:rsidRPr="004A0C12">
        <w:rPr>
          <w:rFonts w:ascii="Garamond" w:hAnsi="Garamond"/>
        </w:rPr>
        <w:t xml:space="preserve">The Division of Rehabilitation Services, Workforce &amp; Technology Center’s Rehabilitation Technology Services </w:t>
      </w:r>
      <w:r w:rsidR="00677516" w:rsidRPr="004A0C12">
        <w:rPr>
          <w:rFonts w:ascii="Garamond" w:hAnsi="Garamond"/>
        </w:rPr>
        <w:t xml:space="preserve">(RTS) </w:t>
      </w:r>
      <w:r w:rsidRPr="004A0C12">
        <w:rPr>
          <w:rFonts w:ascii="Garamond" w:hAnsi="Garamond"/>
        </w:rPr>
        <w:t xml:space="preserve">program is a national leader in providing worksite evaluation and assistive technology services that help people with disabilities get and maintain employment. Through the effective </w:t>
      </w:r>
      <w:r w:rsidR="0039281D" w:rsidRPr="004A0C12">
        <w:rPr>
          <w:rFonts w:ascii="Garamond" w:hAnsi="Garamond"/>
        </w:rPr>
        <w:t>use of assistive technology, Rehabilitation Technology Services</w:t>
      </w:r>
      <w:r w:rsidRPr="004A0C12">
        <w:rPr>
          <w:rFonts w:ascii="Garamond" w:hAnsi="Garamond"/>
        </w:rPr>
        <w:t xml:space="preserve"> staff solve problems for people who have limitations in communication, mobility, vision and thinking.</w:t>
      </w:r>
    </w:p>
    <w:p w14:paraId="7FEB80C9" w14:textId="53A38EE4" w:rsidR="0039281D" w:rsidRPr="004A0C12" w:rsidRDefault="0039281D" w:rsidP="00232F09">
      <w:pPr>
        <w:pStyle w:val="ListParagraph"/>
        <w:numPr>
          <w:ilvl w:val="0"/>
          <w:numId w:val="255"/>
        </w:numPr>
        <w:contextualSpacing/>
        <w:jc w:val="both"/>
        <w:rPr>
          <w:rFonts w:ascii="Garamond" w:hAnsi="Garamond"/>
          <w:szCs w:val="22"/>
        </w:rPr>
      </w:pPr>
      <w:r w:rsidRPr="004A0C12">
        <w:rPr>
          <w:rFonts w:ascii="Garamond" w:hAnsi="Garamond"/>
          <w:szCs w:val="22"/>
        </w:rPr>
        <w:t>Rehabilitation Technology Services</w:t>
      </w:r>
      <w:r w:rsidR="007A1FDC" w:rsidRPr="004A0C12">
        <w:rPr>
          <w:rFonts w:ascii="Garamond" w:hAnsi="Garamond"/>
          <w:szCs w:val="22"/>
        </w:rPr>
        <w:t xml:space="preserve"> provides services to DORS consumers and employers in the areas of worksite job accommodations, adaptive driving, assistive technology assessment and training, and residential modificat</w:t>
      </w:r>
      <w:r w:rsidRPr="004A0C12">
        <w:rPr>
          <w:rFonts w:ascii="Garamond" w:hAnsi="Garamond"/>
          <w:szCs w:val="22"/>
        </w:rPr>
        <w:t>ion consultation. Examples of assistive technology</w:t>
      </w:r>
      <w:r w:rsidR="007A1FDC" w:rsidRPr="004A0C12">
        <w:rPr>
          <w:rFonts w:ascii="Garamond" w:hAnsi="Garamond"/>
          <w:szCs w:val="22"/>
        </w:rPr>
        <w:t xml:space="preserve"> provided included hand controls for cars, ramps and stair glides for the home, alternative keyboards and mice or screen magnification and screen readers for computers, and specialized computer-based writing tools. </w:t>
      </w:r>
      <w:r w:rsidRPr="004A0C12">
        <w:rPr>
          <w:rFonts w:ascii="Garamond" w:hAnsi="Garamond"/>
          <w:szCs w:val="22"/>
        </w:rPr>
        <w:t>Rehabilitation</w:t>
      </w:r>
      <w:r w:rsidR="00881DB5">
        <w:rPr>
          <w:rFonts w:ascii="Garamond" w:hAnsi="Garamond"/>
          <w:szCs w:val="22"/>
        </w:rPr>
        <w:t xml:space="preserve"> Technology Services include assistive technology</w:t>
      </w:r>
      <w:r w:rsidR="007A1FDC" w:rsidRPr="004A0C12">
        <w:rPr>
          <w:rFonts w:ascii="Garamond" w:hAnsi="Garamond"/>
          <w:szCs w:val="22"/>
        </w:rPr>
        <w:t>, d</w:t>
      </w:r>
      <w:hyperlink r:id="rId101" w:history="1">
        <w:r w:rsidR="007A1FDC" w:rsidRPr="004A0C12">
          <w:rPr>
            <w:rFonts w:ascii="Garamond" w:hAnsi="Garamond"/>
            <w:szCs w:val="22"/>
          </w:rPr>
          <w:t>river and vehicle services</w:t>
        </w:r>
      </w:hyperlink>
      <w:r w:rsidR="007A1FDC" w:rsidRPr="004A0C12">
        <w:rPr>
          <w:rFonts w:ascii="Garamond" w:hAnsi="Garamond"/>
          <w:szCs w:val="22"/>
        </w:rPr>
        <w:t>, r</w:t>
      </w:r>
      <w:hyperlink r:id="rId102" w:history="1">
        <w:r w:rsidR="007A1FDC" w:rsidRPr="004A0C12">
          <w:rPr>
            <w:rFonts w:ascii="Garamond" w:hAnsi="Garamond"/>
            <w:szCs w:val="22"/>
          </w:rPr>
          <w:t>esidential modifications</w:t>
        </w:r>
      </w:hyperlink>
      <w:r w:rsidR="007A1FDC" w:rsidRPr="004A0C12">
        <w:rPr>
          <w:rFonts w:ascii="Garamond" w:hAnsi="Garamond"/>
          <w:szCs w:val="22"/>
        </w:rPr>
        <w:t>, and worksite evaluations.</w:t>
      </w:r>
    </w:p>
    <w:p w14:paraId="3950AD97" w14:textId="6DD6B5CF" w:rsidR="0039281D" w:rsidRPr="004A0C12" w:rsidRDefault="007A1FDC" w:rsidP="00232F09">
      <w:pPr>
        <w:pStyle w:val="ListParagraph"/>
        <w:numPr>
          <w:ilvl w:val="0"/>
          <w:numId w:val="255"/>
        </w:numPr>
        <w:contextualSpacing/>
        <w:jc w:val="both"/>
        <w:rPr>
          <w:rFonts w:ascii="Garamond" w:hAnsi="Garamond"/>
          <w:szCs w:val="22"/>
        </w:rPr>
      </w:pPr>
      <w:r w:rsidRPr="004A0C12">
        <w:rPr>
          <w:rFonts w:ascii="Garamond" w:hAnsi="Garamond"/>
          <w:szCs w:val="22"/>
        </w:rPr>
        <w:t>DORS policies and procedures will continue to support statewide assistive technology services and devices for consumers at each stage of the rehabilitation process.</w:t>
      </w:r>
    </w:p>
    <w:p w14:paraId="6109BBD6" w14:textId="77777777" w:rsidR="00205651" w:rsidRPr="004A0C12" w:rsidRDefault="00205651" w:rsidP="00205651">
      <w:pPr>
        <w:pStyle w:val="ListParagraph"/>
        <w:contextualSpacing/>
        <w:jc w:val="both"/>
        <w:rPr>
          <w:rFonts w:ascii="Garamond" w:hAnsi="Garamond"/>
          <w:szCs w:val="22"/>
        </w:rPr>
      </w:pPr>
    </w:p>
    <w:p w14:paraId="74361022" w14:textId="77777777" w:rsidR="00677516" w:rsidRPr="004A0C12" w:rsidRDefault="00677516" w:rsidP="00677516">
      <w:pPr>
        <w:pStyle w:val="NormalWeb"/>
        <w:spacing w:before="0" w:beforeAutospacing="0" w:afterAutospacing="0"/>
        <w:rPr>
          <w:rFonts w:ascii="Garamond" w:hAnsi="Garamond"/>
          <w:sz w:val="22"/>
          <w:szCs w:val="22"/>
        </w:rPr>
      </w:pPr>
      <w:r w:rsidRPr="004A0C12">
        <w:rPr>
          <w:rFonts w:ascii="Garamond" w:hAnsi="Garamond"/>
          <w:color w:val="000000"/>
          <w:sz w:val="22"/>
          <w:szCs w:val="22"/>
        </w:rPr>
        <w:lastRenderedPageBreak/>
        <w:t>Consumers in need of assistive technology are referred to RTS from the VR Field Counselors at any stage of the of the rehabilitation process. Customized assistive technology assessments are conducted to determine the appropriate assistive technology that will assist consumers with their employment goals. Assistive technology assessments and services are provided either at the Workforce Technology Center, or RTS staff travel statewide to make the services available to consumers in their communities. Additionally, RTS worksite services, such as assistive technology assessments and assistive technology training, are available to consumers in the work setting to help individuals with disabilities remain employed. Worksite services staff work with the individual and their employer to determine the accommodation(s) needed for the employee’s job.</w:t>
      </w:r>
    </w:p>
    <w:p w14:paraId="09A748EC" w14:textId="33137D80" w:rsidR="00677516" w:rsidRPr="004A0C12" w:rsidRDefault="00677516" w:rsidP="0039281D">
      <w:pPr>
        <w:spacing w:line="240" w:lineRule="auto"/>
        <w:contextualSpacing/>
        <w:jc w:val="both"/>
        <w:rPr>
          <w:rFonts w:ascii="Garamond" w:hAnsi="Garamond"/>
        </w:rPr>
      </w:pPr>
    </w:p>
    <w:p w14:paraId="20AF0B59" w14:textId="77777777" w:rsidR="0039281D" w:rsidRPr="004A0C12" w:rsidRDefault="0039281D" w:rsidP="0039281D">
      <w:pPr>
        <w:spacing w:line="240" w:lineRule="auto"/>
        <w:contextualSpacing/>
        <w:jc w:val="both"/>
        <w:rPr>
          <w:rFonts w:ascii="Garamond" w:hAnsi="Garamond"/>
        </w:rPr>
      </w:pPr>
      <w:r w:rsidRPr="004A0C12">
        <w:rPr>
          <w:rFonts w:ascii="Garamond" w:hAnsi="Garamond"/>
        </w:rPr>
        <w:t>Conducting Outreach to Individuals with Disabilities Who are Minorities, Those with the Most Significant Disabilities, &amp; Those Who Have Been Unserved or Underserved by the VR P</w:t>
      </w:r>
      <w:r w:rsidR="007A1FDC" w:rsidRPr="004A0C12">
        <w:rPr>
          <w:rFonts w:ascii="Garamond" w:hAnsi="Garamond"/>
        </w:rPr>
        <w:t>rogram</w:t>
      </w:r>
    </w:p>
    <w:p w14:paraId="476B7147" w14:textId="77777777" w:rsidR="0039281D" w:rsidRPr="004A0C12" w:rsidRDefault="007A1FDC" w:rsidP="00232F09">
      <w:pPr>
        <w:pStyle w:val="ListParagraph"/>
        <w:numPr>
          <w:ilvl w:val="0"/>
          <w:numId w:val="256"/>
        </w:numPr>
        <w:contextualSpacing/>
        <w:jc w:val="both"/>
        <w:rPr>
          <w:rFonts w:ascii="Garamond" w:hAnsi="Garamond"/>
          <w:szCs w:val="22"/>
        </w:rPr>
      </w:pPr>
      <w:r w:rsidRPr="004A0C12">
        <w:rPr>
          <w:rFonts w:ascii="Garamond" w:hAnsi="Garamond"/>
          <w:szCs w:val="22"/>
        </w:rPr>
        <w:t>DORS will continue to provide staff resources and staff training to support Evidence-Based Practice Supported Employment and consumers who receive Asserti</w:t>
      </w:r>
      <w:r w:rsidR="0039281D" w:rsidRPr="004A0C12">
        <w:rPr>
          <w:rFonts w:ascii="Garamond" w:hAnsi="Garamond"/>
          <w:szCs w:val="22"/>
        </w:rPr>
        <w:t>ve Community Treatment services;</w:t>
      </w:r>
    </w:p>
    <w:p w14:paraId="300C93CC" w14:textId="77777777" w:rsidR="0039281D" w:rsidRPr="004A0C12" w:rsidRDefault="007A1FDC" w:rsidP="00232F09">
      <w:pPr>
        <w:pStyle w:val="ListParagraph"/>
        <w:numPr>
          <w:ilvl w:val="0"/>
          <w:numId w:val="256"/>
        </w:numPr>
        <w:contextualSpacing/>
        <w:jc w:val="both"/>
        <w:rPr>
          <w:rFonts w:ascii="Garamond" w:hAnsi="Garamond"/>
          <w:szCs w:val="22"/>
        </w:rPr>
      </w:pPr>
      <w:r w:rsidRPr="004A0C12">
        <w:rPr>
          <w:rFonts w:ascii="Garamond" w:hAnsi="Garamond"/>
          <w:szCs w:val="22"/>
        </w:rPr>
        <w:t xml:space="preserve">The DORS multi-cultural workgroup will continue to develop and publicize specialized resources for minority groups, focusing </w:t>
      </w:r>
      <w:r w:rsidR="0039281D" w:rsidRPr="004A0C12">
        <w:rPr>
          <w:rFonts w:ascii="Garamond" w:hAnsi="Garamond"/>
          <w:szCs w:val="22"/>
        </w:rPr>
        <w:t>on Hispanic and Asian consumers;</w:t>
      </w:r>
    </w:p>
    <w:p w14:paraId="6BCFB357" w14:textId="77777777" w:rsidR="0039281D" w:rsidRPr="004A0C12" w:rsidRDefault="007A1FDC" w:rsidP="00232F09">
      <w:pPr>
        <w:pStyle w:val="ListParagraph"/>
        <w:numPr>
          <w:ilvl w:val="0"/>
          <w:numId w:val="256"/>
        </w:numPr>
        <w:contextualSpacing/>
        <w:jc w:val="both"/>
        <w:rPr>
          <w:rFonts w:ascii="Garamond" w:hAnsi="Garamond"/>
          <w:szCs w:val="22"/>
        </w:rPr>
      </w:pPr>
      <w:r w:rsidRPr="004A0C12">
        <w:rPr>
          <w:rFonts w:ascii="Garamond" w:hAnsi="Garamond"/>
          <w:szCs w:val="22"/>
        </w:rPr>
        <w:t>DORS will continue strategic activities to enhance the agency’s capacity to meet the unique needs of students and adults with autism spectrum disorders w</w:t>
      </w:r>
      <w:r w:rsidR="0039281D" w:rsidRPr="004A0C12">
        <w:rPr>
          <w:rFonts w:ascii="Garamond" w:hAnsi="Garamond"/>
          <w:szCs w:val="22"/>
        </w:rPr>
        <w:t>ho are preparing for employment;</w:t>
      </w:r>
    </w:p>
    <w:p w14:paraId="7709742B" w14:textId="1F6D169B" w:rsidR="0039281D" w:rsidRPr="004A0C12" w:rsidRDefault="007A1FDC" w:rsidP="00232F09">
      <w:pPr>
        <w:pStyle w:val="ListParagraph"/>
        <w:numPr>
          <w:ilvl w:val="0"/>
          <w:numId w:val="256"/>
        </w:numPr>
        <w:contextualSpacing/>
        <w:jc w:val="both"/>
        <w:rPr>
          <w:rFonts w:ascii="Garamond" w:hAnsi="Garamond"/>
          <w:szCs w:val="22"/>
        </w:rPr>
      </w:pPr>
      <w:r w:rsidRPr="004A0C12">
        <w:rPr>
          <w:rFonts w:ascii="Garamond" w:hAnsi="Garamond"/>
          <w:szCs w:val="22"/>
        </w:rPr>
        <w:t>DORS will enhance utilization of the Acquired Brain Injury program</w:t>
      </w:r>
      <w:r w:rsidR="0039281D" w:rsidRPr="004A0C12">
        <w:rPr>
          <w:rFonts w:ascii="Garamond" w:hAnsi="Garamond"/>
          <w:szCs w:val="22"/>
        </w:rPr>
        <w:t xml:space="preserve"> and continue meetings with Acquired Brain Industry </w:t>
      </w:r>
      <w:r w:rsidRPr="004A0C12">
        <w:rPr>
          <w:rFonts w:ascii="Garamond" w:hAnsi="Garamond"/>
          <w:szCs w:val="22"/>
        </w:rPr>
        <w:t xml:space="preserve">VR Specialists, to include </w:t>
      </w:r>
      <w:r w:rsidR="0039281D" w:rsidRPr="004A0C12">
        <w:rPr>
          <w:rFonts w:ascii="Garamond" w:hAnsi="Garamond"/>
          <w:szCs w:val="22"/>
        </w:rPr>
        <w:t>Transitioning Youth Specialists;</w:t>
      </w:r>
    </w:p>
    <w:p w14:paraId="556AC5B1" w14:textId="77777777" w:rsidR="0039281D" w:rsidRPr="004A0C12" w:rsidRDefault="007A1FDC" w:rsidP="00232F09">
      <w:pPr>
        <w:pStyle w:val="ListParagraph"/>
        <w:numPr>
          <w:ilvl w:val="0"/>
          <w:numId w:val="256"/>
        </w:numPr>
        <w:contextualSpacing/>
        <w:jc w:val="both"/>
        <w:rPr>
          <w:rFonts w:ascii="Garamond" w:hAnsi="Garamond"/>
          <w:szCs w:val="22"/>
        </w:rPr>
      </w:pPr>
      <w:r w:rsidRPr="004A0C12">
        <w:rPr>
          <w:rFonts w:ascii="Garamond" w:hAnsi="Garamond"/>
          <w:szCs w:val="22"/>
        </w:rPr>
        <w:t>DORS will pilot the Rehabilitation Communication Specialists f</w:t>
      </w:r>
      <w:r w:rsidR="0039281D" w:rsidRPr="004A0C12">
        <w:rPr>
          <w:rFonts w:ascii="Garamond" w:hAnsi="Garamond"/>
          <w:szCs w:val="22"/>
        </w:rPr>
        <w:t xml:space="preserve">or the Deaf and Hard of Hearing; and, </w:t>
      </w:r>
    </w:p>
    <w:p w14:paraId="6A7BCC24" w14:textId="77777777" w:rsidR="0039281D" w:rsidRPr="004A0C12" w:rsidRDefault="0039281D" w:rsidP="00232F09">
      <w:pPr>
        <w:pStyle w:val="ListParagraph"/>
        <w:numPr>
          <w:ilvl w:val="0"/>
          <w:numId w:val="256"/>
        </w:numPr>
        <w:contextualSpacing/>
        <w:jc w:val="both"/>
        <w:rPr>
          <w:rFonts w:ascii="Garamond" w:hAnsi="Garamond"/>
          <w:szCs w:val="22"/>
        </w:rPr>
      </w:pPr>
      <w:r w:rsidRPr="004A0C12">
        <w:rPr>
          <w:rFonts w:ascii="Garamond" w:hAnsi="Garamond"/>
          <w:szCs w:val="22"/>
        </w:rPr>
        <w:t xml:space="preserve">Through the WIOA Jobseeker Advisory Focus Groups and additional means, </w:t>
      </w:r>
      <w:r w:rsidR="007A1FDC" w:rsidRPr="004A0C12">
        <w:rPr>
          <w:rFonts w:ascii="Garamond" w:hAnsi="Garamond"/>
          <w:szCs w:val="22"/>
        </w:rPr>
        <w:t>DORS will seek input of minorities, those with the most significant disabilities, and those who have been unserved or underserved at statewide public meetings and at quarterly State Rehabilitation Council meetings.</w:t>
      </w:r>
    </w:p>
    <w:p w14:paraId="2C9D6C73" w14:textId="77777777" w:rsidR="0039281D" w:rsidRPr="004A0C12" w:rsidRDefault="0039281D" w:rsidP="0039281D">
      <w:pPr>
        <w:contextualSpacing/>
        <w:jc w:val="both"/>
        <w:rPr>
          <w:rFonts w:ascii="Garamond" w:hAnsi="Garamond"/>
        </w:rPr>
      </w:pPr>
    </w:p>
    <w:p w14:paraId="5D9B36A9" w14:textId="36AB230D" w:rsidR="0039281D" w:rsidRPr="004A0C12" w:rsidRDefault="0039281D" w:rsidP="0039281D">
      <w:pPr>
        <w:spacing w:line="240" w:lineRule="auto"/>
        <w:contextualSpacing/>
        <w:jc w:val="both"/>
        <w:rPr>
          <w:rFonts w:ascii="Garamond" w:hAnsi="Garamond"/>
        </w:rPr>
      </w:pPr>
      <w:r w:rsidRPr="004A0C12">
        <w:rPr>
          <w:rFonts w:ascii="Garamond" w:hAnsi="Garamond"/>
        </w:rPr>
        <w:t>Improving &amp; Expanding VR Services for S</w:t>
      </w:r>
      <w:r w:rsidR="007A1FDC" w:rsidRPr="004A0C12">
        <w:rPr>
          <w:rFonts w:ascii="Garamond" w:hAnsi="Garamond"/>
        </w:rPr>
        <w:t xml:space="preserve">tudents with </w:t>
      </w:r>
      <w:r w:rsidRPr="004A0C12">
        <w:rPr>
          <w:rFonts w:ascii="Garamond" w:hAnsi="Garamond"/>
        </w:rPr>
        <w:t>D</w:t>
      </w:r>
      <w:r w:rsidR="007A1FDC" w:rsidRPr="004A0C12">
        <w:rPr>
          <w:rFonts w:ascii="Garamond" w:hAnsi="Garamond"/>
        </w:rPr>
        <w:t>isabilities</w:t>
      </w:r>
    </w:p>
    <w:p w14:paraId="41F02891" w14:textId="77777777" w:rsidR="0039281D" w:rsidRPr="004A0C12" w:rsidRDefault="007A1FDC" w:rsidP="0039281D">
      <w:pPr>
        <w:spacing w:line="240" w:lineRule="auto"/>
        <w:contextualSpacing/>
        <w:jc w:val="both"/>
        <w:rPr>
          <w:rFonts w:ascii="Garamond" w:hAnsi="Garamond"/>
        </w:rPr>
      </w:pPr>
      <w:r w:rsidRPr="004A0C12">
        <w:rPr>
          <w:rFonts w:ascii="Garamond" w:hAnsi="Garamond"/>
        </w:rPr>
        <w:t>DORS provides VR services and pre-employment transition services in partnership with local education agencies, workforce partners, and businesses that lead to successful outcomes in post-secondary education and employment for students with disabilities.</w:t>
      </w:r>
    </w:p>
    <w:p w14:paraId="0B4F1542" w14:textId="77777777" w:rsidR="0039281D" w:rsidRPr="004A0C12" w:rsidRDefault="007A1FDC" w:rsidP="00232F09">
      <w:pPr>
        <w:pStyle w:val="ListParagraph"/>
        <w:numPr>
          <w:ilvl w:val="0"/>
          <w:numId w:val="257"/>
        </w:numPr>
        <w:contextualSpacing/>
        <w:jc w:val="both"/>
        <w:rPr>
          <w:rFonts w:ascii="Garamond" w:hAnsi="Garamond"/>
          <w:szCs w:val="22"/>
        </w:rPr>
      </w:pPr>
      <w:r w:rsidRPr="004A0C12">
        <w:rPr>
          <w:rFonts w:ascii="Garamond" w:hAnsi="Garamond"/>
          <w:szCs w:val="22"/>
        </w:rPr>
        <w:t>DORS will ensure that VR counselors and staff work with high school students (including those in special education, with 504 plans, with severe medical conditions, and those who have a disability for purposes of section 504), families, school personnel and community partners to help students prepare for and achieve e</w:t>
      </w:r>
      <w:r w:rsidR="0039281D" w:rsidRPr="004A0C12">
        <w:rPr>
          <w:rFonts w:ascii="Garamond" w:hAnsi="Garamond"/>
          <w:szCs w:val="22"/>
        </w:rPr>
        <w:t>mployment and self-sufficiency;</w:t>
      </w:r>
    </w:p>
    <w:p w14:paraId="061ACC4E" w14:textId="77777777" w:rsidR="0039281D" w:rsidRPr="004A0C12" w:rsidRDefault="007A1FDC" w:rsidP="00232F09">
      <w:pPr>
        <w:pStyle w:val="ListParagraph"/>
        <w:numPr>
          <w:ilvl w:val="0"/>
          <w:numId w:val="257"/>
        </w:numPr>
        <w:contextualSpacing/>
        <w:jc w:val="both"/>
        <w:rPr>
          <w:rFonts w:ascii="Garamond" w:hAnsi="Garamond"/>
          <w:szCs w:val="22"/>
        </w:rPr>
      </w:pPr>
      <w:r w:rsidRPr="004A0C12">
        <w:rPr>
          <w:rFonts w:ascii="Garamond" w:hAnsi="Garamond"/>
          <w:szCs w:val="22"/>
        </w:rPr>
        <w:t>DORS will continue to emphasize and implement evidence-based transition practices, including work-based experiences such as Project Search, internships, and summer employment to promote long-term career success and leadership, including expanding transitioning services at the Workforce &amp; Technology Center (especially for consumers no</w:t>
      </w:r>
      <w:r w:rsidR="0039281D" w:rsidRPr="004A0C12">
        <w:rPr>
          <w:rFonts w:ascii="Garamond" w:hAnsi="Garamond"/>
          <w:szCs w:val="22"/>
        </w:rPr>
        <w:t>t planning to attend college);</w:t>
      </w:r>
    </w:p>
    <w:p w14:paraId="08F9982B" w14:textId="77777777" w:rsidR="0039281D" w:rsidRPr="004A0C12" w:rsidRDefault="007A1FDC" w:rsidP="00232F09">
      <w:pPr>
        <w:pStyle w:val="ListParagraph"/>
        <w:numPr>
          <w:ilvl w:val="0"/>
          <w:numId w:val="257"/>
        </w:numPr>
        <w:contextualSpacing/>
        <w:jc w:val="both"/>
        <w:rPr>
          <w:rFonts w:ascii="Garamond" w:hAnsi="Garamond"/>
          <w:szCs w:val="22"/>
        </w:rPr>
      </w:pPr>
      <w:r w:rsidRPr="004A0C12">
        <w:rPr>
          <w:rFonts w:ascii="Garamond" w:hAnsi="Garamond"/>
          <w:szCs w:val="22"/>
        </w:rPr>
        <w:t>DORS will implement the provision of Pre-Employment Transition Services as outlined in the Workforce Investment and Opportunity Act, including the following services: Job Exploration Counseling, Work-based learning experiences, Counseling on opportunities for enrollment in comprehensive transition or post-secondary educational programs, Workplace readiness training, and Instruction on Self-Advocacy for high school students with disab</w:t>
      </w:r>
      <w:r w:rsidR="0039281D" w:rsidRPr="004A0C12">
        <w:rPr>
          <w:rFonts w:ascii="Garamond" w:hAnsi="Garamond"/>
          <w:szCs w:val="22"/>
        </w:rPr>
        <w:t>ilities who are 14-21 years old;</w:t>
      </w:r>
    </w:p>
    <w:p w14:paraId="0D0E2966" w14:textId="6EF4D5F0" w:rsidR="007A1FDC" w:rsidRPr="004A0C12" w:rsidRDefault="007A1FDC" w:rsidP="00232F09">
      <w:pPr>
        <w:pStyle w:val="ListParagraph"/>
        <w:numPr>
          <w:ilvl w:val="0"/>
          <w:numId w:val="257"/>
        </w:numPr>
        <w:contextualSpacing/>
        <w:jc w:val="both"/>
        <w:rPr>
          <w:rFonts w:ascii="Garamond" w:hAnsi="Garamond"/>
          <w:szCs w:val="22"/>
        </w:rPr>
      </w:pPr>
      <w:r w:rsidRPr="004A0C12">
        <w:rPr>
          <w:rFonts w:ascii="Garamond" w:hAnsi="Garamond"/>
          <w:szCs w:val="22"/>
        </w:rPr>
        <w:t>The Division will continue to provide training and support to transition counselors through the Transition Specialists Group and other meetings, the Transition Conference, and training programs. Training shall help counselors identify and develop tools and resources related to post-secondary education, and best practices in working with famili</w:t>
      </w:r>
      <w:r w:rsidR="0039281D" w:rsidRPr="004A0C12">
        <w:rPr>
          <w:rFonts w:ascii="Garamond" w:hAnsi="Garamond"/>
          <w:szCs w:val="22"/>
        </w:rPr>
        <w:t xml:space="preserve">es and transitioning students. </w:t>
      </w:r>
      <w:r w:rsidRPr="004A0C12">
        <w:rPr>
          <w:rFonts w:ascii="Garamond" w:hAnsi="Garamond"/>
          <w:szCs w:val="22"/>
        </w:rPr>
        <w:t>The agenc</w:t>
      </w:r>
      <w:r w:rsidR="0039281D" w:rsidRPr="004A0C12">
        <w:rPr>
          <w:rFonts w:ascii="Garamond" w:hAnsi="Garamond"/>
          <w:szCs w:val="22"/>
        </w:rPr>
        <w:t>y will also collaborate with Developmental Disabilities Administration</w:t>
      </w:r>
      <w:r w:rsidRPr="004A0C12">
        <w:rPr>
          <w:rFonts w:ascii="Garamond" w:hAnsi="Garamond"/>
          <w:szCs w:val="22"/>
        </w:rPr>
        <w:t xml:space="preserve"> and clarify procedures to ensure seamless transition for individuals receiving </w:t>
      </w:r>
      <w:r w:rsidR="0039281D" w:rsidRPr="004A0C12">
        <w:rPr>
          <w:rFonts w:ascii="Garamond" w:hAnsi="Garamond"/>
          <w:szCs w:val="22"/>
        </w:rPr>
        <w:t>Developmental Disabilities Administration</w:t>
      </w:r>
      <w:r w:rsidRPr="004A0C12">
        <w:rPr>
          <w:rFonts w:ascii="Garamond" w:hAnsi="Garamond"/>
          <w:szCs w:val="22"/>
        </w:rPr>
        <w:t xml:space="preserve"> assistance.</w:t>
      </w:r>
    </w:p>
    <w:p w14:paraId="4F5CA870" w14:textId="77777777" w:rsidR="0039281D" w:rsidRPr="004A0C12" w:rsidRDefault="0039281D" w:rsidP="0039281D">
      <w:pPr>
        <w:contextualSpacing/>
        <w:jc w:val="both"/>
        <w:rPr>
          <w:rFonts w:ascii="Garamond" w:eastAsia="ヒラギノ角ゴ Pro W3" w:hAnsi="Garamond" w:cs="Times New Roman"/>
          <w:color w:val="000000"/>
        </w:rPr>
      </w:pPr>
    </w:p>
    <w:p w14:paraId="66E61246" w14:textId="7DC6EE77" w:rsidR="007A1FDC" w:rsidRPr="004A0C12" w:rsidRDefault="0039281D" w:rsidP="0039281D">
      <w:pPr>
        <w:spacing w:line="240" w:lineRule="auto"/>
        <w:contextualSpacing/>
        <w:jc w:val="both"/>
        <w:rPr>
          <w:rFonts w:ascii="Garamond" w:hAnsi="Garamond"/>
        </w:rPr>
      </w:pPr>
      <w:r w:rsidRPr="004A0C12">
        <w:rPr>
          <w:rFonts w:ascii="Garamond" w:hAnsi="Garamond"/>
        </w:rPr>
        <w:t>Establishing, Developing, or Improving Community Rehabilitation Programs</w:t>
      </w:r>
    </w:p>
    <w:p w14:paraId="56624080" w14:textId="77777777" w:rsidR="0039281D" w:rsidRPr="004A0C12" w:rsidRDefault="007A1FDC" w:rsidP="00232F09">
      <w:pPr>
        <w:pStyle w:val="ListParagraph"/>
        <w:numPr>
          <w:ilvl w:val="0"/>
          <w:numId w:val="258"/>
        </w:numPr>
        <w:contextualSpacing/>
        <w:jc w:val="both"/>
        <w:rPr>
          <w:rFonts w:ascii="Garamond" w:hAnsi="Garamond"/>
          <w:szCs w:val="22"/>
        </w:rPr>
      </w:pPr>
      <w:r w:rsidRPr="004A0C12">
        <w:rPr>
          <w:rFonts w:ascii="Garamond" w:hAnsi="Garamond"/>
          <w:szCs w:val="22"/>
        </w:rPr>
        <w:lastRenderedPageBreak/>
        <w:t>DORS is e</w:t>
      </w:r>
      <w:r w:rsidR="0039281D" w:rsidRPr="004A0C12">
        <w:rPr>
          <w:rFonts w:ascii="Garamond" w:hAnsi="Garamond"/>
          <w:szCs w:val="22"/>
        </w:rPr>
        <w:t>xploring means of monitoring Community Rehabilitation Programs</w:t>
      </w:r>
      <w:r w:rsidRPr="004A0C12">
        <w:rPr>
          <w:rFonts w:ascii="Garamond" w:hAnsi="Garamond"/>
          <w:szCs w:val="22"/>
        </w:rPr>
        <w:t xml:space="preserve"> to assure account</w:t>
      </w:r>
      <w:r w:rsidR="0039281D" w:rsidRPr="004A0C12">
        <w:rPr>
          <w:rFonts w:ascii="Garamond" w:hAnsi="Garamond"/>
          <w:szCs w:val="22"/>
        </w:rPr>
        <w:t>ability and quality of services;</w:t>
      </w:r>
    </w:p>
    <w:p w14:paraId="7EE30F74" w14:textId="77777777" w:rsidR="0039281D" w:rsidRPr="004A0C12" w:rsidRDefault="007A1FDC" w:rsidP="00232F09">
      <w:pPr>
        <w:pStyle w:val="ListParagraph"/>
        <w:numPr>
          <w:ilvl w:val="0"/>
          <w:numId w:val="258"/>
        </w:numPr>
        <w:contextualSpacing/>
        <w:jc w:val="both"/>
        <w:rPr>
          <w:rFonts w:ascii="Garamond" w:hAnsi="Garamond"/>
          <w:szCs w:val="22"/>
        </w:rPr>
      </w:pPr>
      <w:r w:rsidRPr="004A0C12">
        <w:rPr>
          <w:rFonts w:ascii="Garamond" w:hAnsi="Garamond"/>
          <w:szCs w:val="22"/>
        </w:rPr>
        <w:t>DORS is also exploring payment rates and systems of payment which incentivize out</w:t>
      </w:r>
      <w:r w:rsidR="0039281D" w:rsidRPr="004A0C12">
        <w:rPr>
          <w:rFonts w:ascii="Garamond" w:hAnsi="Garamond"/>
          <w:szCs w:val="22"/>
        </w:rPr>
        <w:t xml:space="preserve">comes and are fair to providers; and, </w:t>
      </w:r>
    </w:p>
    <w:p w14:paraId="795C7EB4" w14:textId="7157E00C" w:rsidR="007A1FDC" w:rsidRPr="004A0C12" w:rsidRDefault="007A1FDC" w:rsidP="00232F09">
      <w:pPr>
        <w:pStyle w:val="ListParagraph"/>
        <w:numPr>
          <w:ilvl w:val="0"/>
          <w:numId w:val="258"/>
        </w:numPr>
        <w:contextualSpacing/>
        <w:jc w:val="both"/>
        <w:rPr>
          <w:rFonts w:ascii="Garamond" w:hAnsi="Garamond"/>
          <w:szCs w:val="22"/>
        </w:rPr>
      </w:pPr>
      <w:r w:rsidRPr="004A0C12">
        <w:rPr>
          <w:rFonts w:ascii="Garamond" w:hAnsi="Garamond"/>
          <w:szCs w:val="22"/>
        </w:rPr>
        <w:t>DORS pr</w:t>
      </w:r>
      <w:r w:rsidR="0039281D" w:rsidRPr="004A0C12">
        <w:rPr>
          <w:rFonts w:ascii="Garamond" w:hAnsi="Garamond"/>
          <w:szCs w:val="22"/>
        </w:rPr>
        <w:t xml:space="preserve">omotes the availability of Community Rehabilitation Programs </w:t>
      </w:r>
      <w:r w:rsidRPr="004A0C12">
        <w:rPr>
          <w:rFonts w:ascii="Garamond" w:hAnsi="Garamond"/>
          <w:szCs w:val="22"/>
        </w:rPr>
        <w:t>that serve unserved and underserved populations.</w:t>
      </w:r>
    </w:p>
    <w:p w14:paraId="6C75BA58" w14:textId="77777777" w:rsidR="007A1FDC" w:rsidRPr="004A0C12" w:rsidRDefault="007A1FDC" w:rsidP="0039281D">
      <w:pPr>
        <w:pStyle w:val="ListParagraph"/>
        <w:ind w:left="1440"/>
        <w:contextualSpacing/>
        <w:jc w:val="both"/>
        <w:rPr>
          <w:rFonts w:ascii="Garamond" w:hAnsi="Garamond"/>
          <w:szCs w:val="22"/>
        </w:rPr>
      </w:pPr>
    </w:p>
    <w:p w14:paraId="7B7AC504" w14:textId="4190777C" w:rsidR="007A1FDC" w:rsidRPr="004A0C12" w:rsidRDefault="007A1FDC" w:rsidP="00FF44FF">
      <w:pPr>
        <w:spacing w:line="240" w:lineRule="auto"/>
        <w:contextualSpacing/>
        <w:jc w:val="both"/>
        <w:rPr>
          <w:rFonts w:ascii="Garamond" w:hAnsi="Garamond"/>
        </w:rPr>
      </w:pPr>
      <w:r w:rsidRPr="004A0C12">
        <w:rPr>
          <w:rFonts w:ascii="Garamond" w:hAnsi="Garamond"/>
        </w:rPr>
        <w:t>I</w:t>
      </w:r>
      <w:r w:rsidR="0039281D" w:rsidRPr="004A0C12">
        <w:rPr>
          <w:rFonts w:ascii="Garamond" w:hAnsi="Garamond"/>
        </w:rPr>
        <w:t>mproving Performance of the State with Respect to Performance Accountability M</w:t>
      </w:r>
      <w:r w:rsidRPr="004A0C12">
        <w:rPr>
          <w:rFonts w:ascii="Garamond" w:hAnsi="Garamond"/>
        </w:rPr>
        <w:t>easures</w:t>
      </w:r>
    </w:p>
    <w:p w14:paraId="365AFDE4" w14:textId="68AA7851" w:rsidR="00027B56" w:rsidRPr="004A0C12" w:rsidRDefault="007A1FDC" w:rsidP="00232F09">
      <w:pPr>
        <w:pStyle w:val="ListParagraph"/>
        <w:numPr>
          <w:ilvl w:val="0"/>
          <w:numId w:val="259"/>
        </w:numPr>
        <w:contextualSpacing/>
        <w:jc w:val="both"/>
        <w:rPr>
          <w:rFonts w:ascii="Garamond" w:hAnsi="Garamond"/>
          <w:szCs w:val="22"/>
        </w:rPr>
      </w:pPr>
      <w:r w:rsidRPr="004A0C12">
        <w:rPr>
          <w:rFonts w:ascii="Garamond" w:hAnsi="Garamond"/>
          <w:szCs w:val="22"/>
        </w:rPr>
        <w:t>DORS w</w:t>
      </w:r>
      <w:r w:rsidR="0039281D" w:rsidRPr="004A0C12">
        <w:rPr>
          <w:rFonts w:ascii="Garamond" w:hAnsi="Garamond"/>
          <w:szCs w:val="22"/>
        </w:rPr>
        <w:t xml:space="preserve">ill continue to actively participate with the WIOA Partners on the </w:t>
      </w:r>
      <w:r w:rsidRPr="004A0C12">
        <w:rPr>
          <w:rFonts w:ascii="Garamond" w:hAnsi="Garamond"/>
          <w:szCs w:val="22"/>
        </w:rPr>
        <w:t xml:space="preserve">Performance Accountability </w:t>
      </w:r>
      <w:r w:rsidR="0039281D" w:rsidRPr="004A0C12">
        <w:rPr>
          <w:rFonts w:ascii="Garamond" w:hAnsi="Garamond"/>
          <w:szCs w:val="22"/>
        </w:rPr>
        <w:t xml:space="preserve">WIOA Workgroup. </w:t>
      </w:r>
      <w:r w:rsidRPr="004A0C12">
        <w:rPr>
          <w:rFonts w:ascii="Garamond" w:hAnsi="Garamond"/>
          <w:szCs w:val="22"/>
        </w:rPr>
        <w:t>The collaboration will ensure effective and efficient implementation of new common performance accountability measures in Maryland, identification of best presentation o</w:t>
      </w:r>
      <w:r w:rsidR="0039281D" w:rsidRPr="004A0C12">
        <w:rPr>
          <w:rFonts w:ascii="Garamond" w:hAnsi="Garamond"/>
          <w:szCs w:val="22"/>
        </w:rPr>
        <w:t>f WIOA performance reports for S</w:t>
      </w:r>
      <w:r w:rsidR="00BB5F3C" w:rsidRPr="004A0C12">
        <w:rPr>
          <w:rFonts w:ascii="Garamond" w:hAnsi="Garamond"/>
          <w:szCs w:val="22"/>
        </w:rPr>
        <w:t>tate and Local A</w:t>
      </w:r>
      <w:r w:rsidRPr="004A0C12">
        <w:rPr>
          <w:rFonts w:ascii="Garamond" w:hAnsi="Garamond"/>
          <w:szCs w:val="22"/>
        </w:rPr>
        <w:t>reas, development of recommendations for additional measures, and negotiation of levels of</w:t>
      </w:r>
      <w:r w:rsidR="0039281D" w:rsidRPr="004A0C12">
        <w:rPr>
          <w:rFonts w:ascii="Garamond" w:hAnsi="Garamond"/>
          <w:szCs w:val="22"/>
        </w:rPr>
        <w:t xml:space="preserve"> performance/adjustment factors;</w:t>
      </w:r>
    </w:p>
    <w:p w14:paraId="0DBC850B" w14:textId="77777777" w:rsidR="00027B56" w:rsidRPr="004A0C12" w:rsidRDefault="007A1FDC" w:rsidP="00232F09">
      <w:pPr>
        <w:pStyle w:val="ListParagraph"/>
        <w:numPr>
          <w:ilvl w:val="0"/>
          <w:numId w:val="259"/>
        </w:numPr>
        <w:contextualSpacing/>
        <w:jc w:val="both"/>
        <w:rPr>
          <w:rFonts w:ascii="Garamond" w:hAnsi="Garamond"/>
          <w:szCs w:val="22"/>
        </w:rPr>
      </w:pPr>
      <w:r w:rsidRPr="004A0C12">
        <w:rPr>
          <w:rFonts w:ascii="Garamond" w:hAnsi="Garamond"/>
          <w:szCs w:val="22"/>
        </w:rPr>
        <w:t xml:space="preserve">DORS and the other WIOA Core Programs will establish base-line or benchmarking data in the first year of data collection for the </w:t>
      </w:r>
      <w:r w:rsidR="00027B56" w:rsidRPr="004A0C12">
        <w:rPr>
          <w:rFonts w:ascii="Garamond" w:hAnsi="Garamond"/>
          <w:szCs w:val="22"/>
        </w:rPr>
        <w:t>new Common Performance measures;</w:t>
      </w:r>
    </w:p>
    <w:p w14:paraId="27C2B888" w14:textId="20AF1130" w:rsidR="00027B56" w:rsidRPr="004A0C12" w:rsidRDefault="007A1FDC" w:rsidP="00232F09">
      <w:pPr>
        <w:pStyle w:val="ListParagraph"/>
        <w:numPr>
          <w:ilvl w:val="0"/>
          <w:numId w:val="259"/>
        </w:numPr>
        <w:contextualSpacing/>
        <w:jc w:val="both"/>
        <w:rPr>
          <w:rFonts w:ascii="Garamond" w:hAnsi="Garamond"/>
          <w:szCs w:val="22"/>
        </w:rPr>
      </w:pPr>
      <w:r w:rsidRPr="004A0C12">
        <w:rPr>
          <w:rFonts w:ascii="Garamond" w:hAnsi="Garamond"/>
          <w:szCs w:val="22"/>
        </w:rPr>
        <w:t>In order to secure wage data for DORS consumers workin</w:t>
      </w:r>
      <w:r w:rsidR="00CD112D" w:rsidRPr="004A0C12">
        <w:rPr>
          <w:rFonts w:ascii="Garamond" w:hAnsi="Garamond"/>
          <w:szCs w:val="22"/>
        </w:rPr>
        <w:t xml:space="preserve">g in other States, DORS </w:t>
      </w:r>
      <w:r w:rsidRPr="004A0C12">
        <w:rPr>
          <w:rFonts w:ascii="Garamond" w:hAnsi="Garamond"/>
          <w:szCs w:val="22"/>
        </w:rPr>
        <w:t>will explore strategies</w:t>
      </w:r>
      <w:r w:rsidR="00CD112D" w:rsidRPr="004A0C12">
        <w:rPr>
          <w:rFonts w:ascii="Garamond" w:hAnsi="Garamond"/>
          <w:szCs w:val="22"/>
        </w:rPr>
        <w:t xml:space="preserve"> with DLLR to access </w:t>
      </w:r>
      <w:r w:rsidRPr="004A0C12">
        <w:rPr>
          <w:rFonts w:ascii="Garamond" w:hAnsi="Garamond"/>
          <w:szCs w:val="22"/>
        </w:rPr>
        <w:t>Wage Record Interchan</w:t>
      </w:r>
      <w:r w:rsidR="00027B56" w:rsidRPr="004A0C12">
        <w:rPr>
          <w:rFonts w:ascii="Garamond" w:hAnsi="Garamond"/>
          <w:szCs w:val="22"/>
        </w:rPr>
        <w:t xml:space="preserve">ge System wage reporting system; </w:t>
      </w:r>
    </w:p>
    <w:p w14:paraId="081C1A82" w14:textId="2EAC6789" w:rsidR="00027B56" w:rsidRPr="004A0C12" w:rsidRDefault="007A1FDC" w:rsidP="00232F09">
      <w:pPr>
        <w:pStyle w:val="ListParagraph"/>
        <w:numPr>
          <w:ilvl w:val="0"/>
          <w:numId w:val="259"/>
        </w:numPr>
        <w:contextualSpacing/>
        <w:jc w:val="both"/>
        <w:rPr>
          <w:rFonts w:ascii="Garamond" w:hAnsi="Garamond"/>
          <w:szCs w:val="22"/>
        </w:rPr>
      </w:pPr>
      <w:r w:rsidRPr="004A0C12">
        <w:rPr>
          <w:rFonts w:ascii="Garamond" w:hAnsi="Garamond"/>
          <w:szCs w:val="22"/>
        </w:rPr>
        <w:t xml:space="preserve">DORS will review data sharing agreement with the </w:t>
      </w:r>
      <w:r w:rsidR="00027B56" w:rsidRPr="004A0C12">
        <w:rPr>
          <w:rFonts w:ascii="Garamond" w:hAnsi="Garamond"/>
          <w:szCs w:val="22"/>
        </w:rPr>
        <w:t xml:space="preserve">WIOA Partners as described within this plan </w:t>
      </w:r>
      <w:r w:rsidRPr="004A0C12">
        <w:rPr>
          <w:rFonts w:ascii="Garamond" w:hAnsi="Garamond"/>
          <w:szCs w:val="22"/>
        </w:rPr>
        <w:t>for possible revisions to h</w:t>
      </w:r>
      <w:r w:rsidR="00027B56" w:rsidRPr="004A0C12">
        <w:rPr>
          <w:rFonts w:ascii="Garamond" w:hAnsi="Garamond"/>
          <w:szCs w:val="22"/>
        </w:rPr>
        <w:t xml:space="preserve">ave better access to wage data; and, </w:t>
      </w:r>
    </w:p>
    <w:p w14:paraId="7D8B5EAF" w14:textId="0BF69B7B" w:rsidR="007A1FDC" w:rsidRPr="004A0C12" w:rsidRDefault="007A1FDC" w:rsidP="00232F09">
      <w:pPr>
        <w:pStyle w:val="ListParagraph"/>
        <w:numPr>
          <w:ilvl w:val="0"/>
          <w:numId w:val="259"/>
        </w:numPr>
        <w:contextualSpacing/>
        <w:jc w:val="both"/>
        <w:rPr>
          <w:rFonts w:ascii="Garamond" w:hAnsi="Garamond"/>
          <w:szCs w:val="22"/>
        </w:rPr>
      </w:pPr>
      <w:r w:rsidRPr="004A0C12">
        <w:rPr>
          <w:rFonts w:ascii="Garamond" w:hAnsi="Garamond"/>
          <w:szCs w:val="22"/>
        </w:rPr>
        <w:t xml:space="preserve">Federal employment data is available through FEDES, which is operated by the University of Baltimore, Jacob France Institute under contract with DLLR and </w:t>
      </w:r>
      <w:r w:rsidR="00027B56" w:rsidRPr="004A0C12">
        <w:rPr>
          <w:rFonts w:ascii="Garamond" w:hAnsi="Garamond"/>
          <w:szCs w:val="22"/>
        </w:rPr>
        <w:t>the U.S. Department of Labor</w:t>
      </w:r>
      <w:r w:rsidRPr="004A0C12">
        <w:rPr>
          <w:rFonts w:ascii="Garamond" w:hAnsi="Garamond"/>
          <w:szCs w:val="22"/>
        </w:rPr>
        <w:t xml:space="preserve">. DORS will </w:t>
      </w:r>
      <w:r w:rsidR="00027B56" w:rsidRPr="004A0C12">
        <w:rPr>
          <w:rFonts w:ascii="Garamond" w:hAnsi="Garamond"/>
          <w:szCs w:val="22"/>
        </w:rPr>
        <w:t>work with WIOA Partners to review existing agreement and take appropriate actions to ensure</w:t>
      </w:r>
      <w:r w:rsidRPr="004A0C12">
        <w:rPr>
          <w:rFonts w:ascii="Garamond" w:hAnsi="Garamond"/>
          <w:szCs w:val="22"/>
        </w:rPr>
        <w:t xml:space="preserve"> access </w:t>
      </w:r>
      <w:r w:rsidR="00027B56" w:rsidRPr="004A0C12">
        <w:rPr>
          <w:rFonts w:ascii="Garamond" w:hAnsi="Garamond"/>
          <w:szCs w:val="22"/>
        </w:rPr>
        <w:t xml:space="preserve">to </w:t>
      </w:r>
      <w:r w:rsidRPr="004A0C12">
        <w:rPr>
          <w:rFonts w:ascii="Garamond" w:hAnsi="Garamond"/>
          <w:szCs w:val="22"/>
        </w:rPr>
        <w:t>federal wage records.</w:t>
      </w:r>
    </w:p>
    <w:p w14:paraId="66BC5D27" w14:textId="77777777" w:rsidR="007A1FDC" w:rsidRPr="004A0C12" w:rsidRDefault="007A1FDC" w:rsidP="0039281D">
      <w:pPr>
        <w:pStyle w:val="ListParagraph"/>
        <w:ind w:left="1800"/>
        <w:contextualSpacing/>
        <w:jc w:val="both"/>
        <w:rPr>
          <w:rFonts w:ascii="Garamond" w:hAnsi="Garamond"/>
          <w:szCs w:val="22"/>
        </w:rPr>
      </w:pPr>
    </w:p>
    <w:p w14:paraId="634E8B7D" w14:textId="20730B84" w:rsidR="007A1FDC" w:rsidRPr="004A0C12" w:rsidRDefault="00027B56" w:rsidP="00027B56">
      <w:pPr>
        <w:contextualSpacing/>
        <w:jc w:val="both"/>
        <w:rPr>
          <w:rFonts w:ascii="Garamond" w:hAnsi="Garamond"/>
        </w:rPr>
      </w:pPr>
      <w:r w:rsidRPr="004A0C12">
        <w:rPr>
          <w:rFonts w:ascii="Garamond" w:hAnsi="Garamond"/>
        </w:rPr>
        <w:t>Assisting Other Components of the Statewide W</w:t>
      </w:r>
      <w:r w:rsidR="007A1FDC" w:rsidRPr="004A0C12">
        <w:rPr>
          <w:rFonts w:ascii="Garamond" w:hAnsi="Garamond"/>
        </w:rPr>
        <w:t>o</w:t>
      </w:r>
      <w:r w:rsidRPr="004A0C12">
        <w:rPr>
          <w:rFonts w:ascii="Garamond" w:hAnsi="Garamond"/>
        </w:rPr>
        <w:t>rkforce Development System in Assisting Individuals with D</w:t>
      </w:r>
      <w:r w:rsidR="007A1FDC" w:rsidRPr="004A0C12">
        <w:rPr>
          <w:rFonts w:ascii="Garamond" w:hAnsi="Garamond"/>
        </w:rPr>
        <w:t>isabilities</w:t>
      </w:r>
    </w:p>
    <w:p w14:paraId="67A093A0" w14:textId="77777777" w:rsidR="00027B56" w:rsidRPr="004A0C12" w:rsidRDefault="007A1FDC" w:rsidP="00232F09">
      <w:pPr>
        <w:pStyle w:val="ListParagraph"/>
        <w:numPr>
          <w:ilvl w:val="0"/>
          <w:numId w:val="260"/>
        </w:numPr>
        <w:contextualSpacing/>
        <w:jc w:val="both"/>
        <w:rPr>
          <w:rFonts w:ascii="Garamond" w:hAnsi="Garamond"/>
          <w:szCs w:val="22"/>
        </w:rPr>
      </w:pPr>
      <w:r w:rsidRPr="004A0C12">
        <w:rPr>
          <w:rFonts w:ascii="Garamond" w:hAnsi="Garamond"/>
          <w:szCs w:val="22"/>
        </w:rPr>
        <w:t xml:space="preserve">DORS is collaborating with </w:t>
      </w:r>
      <w:r w:rsidR="00027B56" w:rsidRPr="004A0C12">
        <w:rPr>
          <w:rFonts w:ascii="Garamond" w:hAnsi="Garamond"/>
          <w:szCs w:val="22"/>
        </w:rPr>
        <w:t xml:space="preserve">its WIOA Partners, including those within the </w:t>
      </w:r>
      <w:r w:rsidRPr="004A0C12">
        <w:rPr>
          <w:rFonts w:ascii="Garamond" w:hAnsi="Garamond"/>
          <w:szCs w:val="22"/>
        </w:rPr>
        <w:t>American Job Centers throughout the State</w:t>
      </w:r>
      <w:r w:rsidR="00027B56" w:rsidRPr="004A0C12">
        <w:rPr>
          <w:rFonts w:ascii="Garamond" w:hAnsi="Garamond"/>
          <w:szCs w:val="22"/>
        </w:rPr>
        <w:t>,</w:t>
      </w:r>
      <w:r w:rsidRPr="004A0C12">
        <w:rPr>
          <w:rFonts w:ascii="Garamond" w:hAnsi="Garamond"/>
          <w:szCs w:val="22"/>
        </w:rPr>
        <w:t xml:space="preserve"> on of</w:t>
      </w:r>
      <w:r w:rsidR="00027B56" w:rsidRPr="004A0C12">
        <w:rPr>
          <w:rFonts w:ascii="Garamond" w:hAnsi="Garamond"/>
          <w:szCs w:val="22"/>
        </w:rPr>
        <w:t>fice space. As leases expire, DORS will</w:t>
      </w:r>
      <w:r w:rsidRPr="004A0C12">
        <w:rPr>
          <w:rFonts w:ascii="Garamond" w:hAnsi="Garamond"/>
          <w:szCs w:val="22"/>
        </w:rPr>
        <w:t xml:space="preserve"> </w:t>
      </w:r>
      <w:r w:rsidR="00027B56" w:rsidRPr="004A0C12">
        <w:rPr>
          <w:rFonts w:ascii="Garamond" w:hAnsi="Garamond"/>
          <w:szCs w:val="22"/>
        </w:rPr>
        <w:t xml:space="preserve">look </w:t>
      </w:r>
      <w:r w:rsidRPr="004A0C12">
        <w:rPr>
          <w:rFonts w:ascii="Garamond" w:hAnsi="Garamond"/>
          <w:szCs w:val="22"/>
        </w:rPr>
        <w:t xml:space="preserve">for opportunities to expand the co-location of DORS and other </w:t>
      </w:r>
      <w:r w:rsidR="00027B56" w:rsidRPr="004A0C12">
        <w:rPr>
          <w:rFonts w:ascii="Garamond" w:hAnsi="Garamond"/>
          <w:szCs w:val="22"/>
        </w:rPr>
        <w:t>WIOA Partners</w:t>
      </w:r>
      <w:r w:rsidRPr="004A0C12">
        <w:rPr>
          <w:rFonts w:ascii="Garamond" w:hAnsi="Garamond"/>
          <w:szCs w:val="22"/>
        </w:rPr>
        <w:t>, in an effort to assist in better servin</w:t>
      </w:r>
      <w:r w:rsidR="00027B56" w:rsidRPr="004A0C12">
        <w:rPr>
          <w:rFonts w:ascii="Garamond" w:hAnsi="Garamond"/>
          <w:szCs w:val="22"/>
        </w:rPr>
        <w:t>g individuals with disabilities;</w:t>
      </w:r>
    </w:p>
    <w:p w14:paraId="179A8BF2" w14:textId="77777777" w:rsidR="00027B56" w:rsidRPr="004A0C12" w:rsidRDefault="007A1FDC" w:rsidP="00232F09">
      <w:pPr>
        <w:pStyle w:val="ListParagraph"/>
        <w:numPr>
          <w:ilvl w:val="0"/>
          <w:numId w:val="260"/>
        </w:numPr>
        <w:contextualSpacing/>
        <w:jc w:val="both"/>
        <w:rPr>
          <w:rFonts w:ascii="Garamond" w:hAnsi="Garamond"/>
          <w:szCs w:val="22"/>
        </w:rPr>
      </w:pPr>
      <w:r w:rsidRPr="004A0C12">
        <w:rPr>
          <w:rFonts w:ascii="Garamond" w:hAnsi="Garamond"/>
          <w:szCs w:val="22"/>
        </w:rPr>
        <w:t xml:space="preserve">DORS will collaborate with </w:t>
      </w:r>
      <w:r w:rsidR="00027B56" w:rsidRPr="004A0C12">
        <w:rPr>
          <w:rFonts w:ascii="Garamond" w:hAnsi="Garamond"/>
          <w:szCs w:val="22"/>
        </w:rPr>
        <w:t>WIOA Partners</w:t>
      </w:r>
      <w:r w:rsidRPr="004A0C12">
        <w:rPr>
          <w:rFonts w:ascii="Garamond" w:hAnsi="Garamond"/>
          <w:szCs w:val="22"/>
        </w:rPr>
        <w:t xml:space="preserve"> to offer cross-training on disability awareness, customized employment, assistive technology, and other disability-specifi</w:t>
      </w:r>
      <w:r w:rsidR="00027B56" w:rsidRPr="004A0C12">
        <w:rPr>
          <w:rFonts w:ascii="Garamond" w:hAnsi="Garamond"/>
          <w:szCs w:val="22"/>
        </w:rPr>
        <w:t>c topics;</w:t>
      </w:r>
    </w:p>
    <w:p w14:paraId="63FDCEDC" w14:textId="77777777" w:rsidR="00027B56" w:rsidRPr="004A0C12" w:rsidRDefault="00027B56" w:rsidP="00232F09">
      <w:pPr>
        <w:pStyle w:val="ListParagraph"/>
        <w:numPr>
          <w:ilvl w:val="0"/>
          <w:numId w:val="260"/>
        </w:numPr>
        <w:contextualSpacing/>
        <w:jc w:val="both"/>
        <w:rPr>
          <w:rFonts w:ascii="Garamond" w:hAnsi="Garamond"/>
          <w:szCs w:val="22"/>
        </w:rPr>
      </w:pPr>
      <w:r w:rsidRPr="004A0C12">
        <w:rPr>
          <w:rFonts w:ascii="Garamond" w:hAnsi="Garamond"/>
          <w:szCs w:val="22"/>
        </w:rPr>
        <w:t>DORS Business Service members will collaborate with</w:t>
      </w:r>
      <w:r w:rsidR="007A1FDC" w:rsidRPr="004A0C12">
        <w:rPr>
          <w:rFonts w:ascii="Garamond" w:hAnsi="Garamond"/>
          <w:szCs w:val="22"/>
        </w:rPr>
        <w:t xml:space="preserve"> </w:t>
      </w:r>
      <w:r w:rsidRPr="004A0C12">
        <w:rPr>
          <w:rFonts w:ascii="Garamond" w:hAnsi="Garamond"/>
          <w:szCs w:val="22"/>
        </w:rPr>
        <w:t>WIOA Partner Business Service teams</w:t>
      </w:r>
      <w:r w:rsidR="007A1FDC" w:rsidRPr="004A0C12">
        <w:rPr>
          <w:rFonts w:ascii="Garamond" w:hAnsi="Garamond"/>
          <w:szCs w:val="22"/>
        </w:rPr>
        <w:t xml:space="preserve"> to leverage business contacts, share resources and expertise, and coordinate services that are beneficial to businesses and promote the employment of</w:t>
      </w:r>
      <w:r w:rsidRPr="004A0C12">
        <w:rPr>
          <w:rFonts w:ascii="Garamond" w:hAnsi="Garamond"/>
          <w:szCs w:val="22"/>
        </w:rPr>
        <w:t xml:space="preserve"> individuals with disabilities; and, </w:t>
      </w:r>
    </w:p>
    <w:p w14:paraId="4496CD46" w14:textId="0B81C80B" w:rsidR="007A1FDC" w:rsidRPr="004A0C12" w:rsidRDefault="007A1FDC" w:rsidP="00232F09">
      <w:pPr>
        <w:pStyle w:val="ListParagraph"/>
        <w:numPr>
          <w:ilvl w:val="0"/>
          <w:numId w:val="260"/>
        </w:numPr>
        <w:contextualSpacing/>
        <w:jc w:val="both"/>
        <w:rPr>
          <w:rFonts w:ascii="Garamond" w:hAnsi="Garamond"/>
          <w:szCs w:val="22"/>
        </w:rPr>
      </w:pPr>
      <w:r w:rsidRPr="004A0C12">
        <w:rPr>
          <w:rFonts w:ascii="Garamond" w:hAnsi="Garamond"/>
          <w:szCs w:val="22"/>
        </w:rPr>
        <w:t xml:space="preserve">DORS will coordinate with </w:t>
      </w:r>
      <w:r w:rsidR="00027B56" w:rsidRPr="004A0C12">
        <w:rPr>
          <w:rFonts w:ascii="Garamond" w:hAnsi="Garamond"/>
          <w:szCs w:val="22"/>
        </w:rPr>
        <w:t xml:space="preserve">WIOA Partners, including WIOA </w:t>
      </w:r>
      <w:r w:rsidRPr="004A0C12">
        <w:rPr>
          <w:rFonts w:ascii="Garamond" w:hAnsi="Garamond"/>
          <w:szCs w:val="22"/>
        </w:rPr>
        <w:t xml:space="preserve">Business Services Team and American Job Centers in recruitment events and job fairs. </w:t>
      </w:r>
    </w:p>
    <w:p w14:paraId="684DCD6B" w14:textId="77777777" w:rsidR="007A1FDC" w:rsidRPr="004A0C12" w:rsidRDefault="007A1FDC" w:rsidP="0039281D">
      <w:pPr>
        <w:pStyle w:val="ListParagraph"/>
        <w:ind w:left="1800"/>
        <w:contextualSpacing/>
        <w:jc w:val="both"/>
        <w:rPr>
          <w:rFonts w:ascii="Garamond" w:hAnsi="Garamond"/>
          <w:szCs w:val="22"/>
        </w:rPr>
      </w:pPr>
    </w:p>
    <w:p w14:paraId="4B8E92C8" w14:textId="6B6A29B0" w:rsidR="00181029" w:rsidRPr="004A0C12" w:rsidRDefault="00181029" w:rsidP="00181029">
      <w:pPr>
        <w:spacing w:line="240" w:lineRule="auto"/>
        <w:contextualSpacing/>
        <w:jc w:val="both"/>
        <w:rPr>
          <w:rFonts w:ascii="Garamond" w:hAnsi="Garamond"/>
        </w:rPr>
      </w:pPr>
      <w:r w:rsidRPr="004A0C12">
        <w:rPr>
          <w:rFonts w:ascii="Garamond" w:hAnsi="Garamond"/>
        </w:rPr>
        <w:t>Achieving Goals &amp; Priorities, Supporting Innovation and Expansion Activities &amp; Overcoming B</w:t>
      </w:r>
      <w:r w:rsidR="007A1FDC" w:rsidRPr="004A0C12">
        <w:rPr>
          <w:rFonts w:ascii="Garamond" w:hAnsi="Garamond"/>
        </w:rPr>
        <w:t xml:space="preserve">arriers </w:t>
      </w:r>
      <w:r w:rsidRPr="004A0C12">
        <w:rPr>
          <w:rFonts w:ascii="Garamond" w:hAnsi="Garamond"/>
        </w:rPr>
        <w:t>Relating to Equitable Access to &amp; Participation in the State VR &amp;</w:t>
      </w:r>
      <w:r w:rsidR="007A1FDC" w:rsidRPr="004A0C12">
        <w:rPr>
          <w:rFonts w:ascii="Garamond" w:hAnsi="Garamond"/>
        </w:rPr>
        <w:t xml:space="preserve"> Supported Employment Services Programs</w:t>
      </w:r>
    </w:p>
    <w:p w14:paraId="0BB74C35" w14:textId="2931CA5D" w:rsidR="007A1FDC" w:rsidRPr="004A0C12" w:rsidRDefault="00181029" w:rsidP="00181029">
      <w:pPr>
        <w:spacing w:line="240" w:lineRule="auto"/>
        <w:contextualSpacing/>
        <w:jc w:val="both"/>
        <w:rPr>
          <w:rFonts w:ascii="Garamond" w:hAnsi="Garamond"/>
        </w:rPr>
      </w:pPr>
      <w:r w:rsidRPr="004A0C12">
        <w:rPr>
          <w:rFonts w:ascii="Garamond" w:hAnsi="Garamond"/>
        </w:rPr>
        <w:t>DORS</w:t>
      </w:r>
      <w:r w:rsidR="007A1FDC" w:rsidRPr="004A0C12">
        <w:rPr>
          <w:rFonts w:ascii="Garamond" w:hAnsi="Garamond"/>
        </w:rPr>
        <w:t xml:space="preserve"> has developed </w:t>
      </w:r>
      <w:r w:rsidRPr="004A0C12">
        <w:rPr>
          <w:rFonts w:ascii="Garamond" w:hAnsi="Garamond"/>
        </w:rPr>
        <w:t>a Strategic Plan for 2014-2017.</w:t>
      </w:r>
      <w:r w:rsidR="007A1FDC" w:rsidRPr="004A0C12">
        <w:rPr>
          <w:rFonts w:ascii="Garamond" w:hAnsi="Garamond"/>
        </w:rPr>
        <w:t xml:space="preserve"> In order to achieve the best employment outcomes for students and adults with significant disabilities, DORS is committed to assuring a responsive, accountable agency structured to meet consumer needs, to support staff, to develop leadership, to enhance partnerships, and to take full advantage of the technology and resources of today and tomorrow. Strategic goals of the plan include the following:</w:t>
      </w:r>
    </w:p>
    <w:p w14:paraId="0F403A58" w14:textId="77777777" w:rsidR="00181029" w:rsidRPr="004A0C12" w:rsidRDefault="007A1FDC" w:rsidP="00232F09">
      <w:pPr>
        <w:pStyle w:val="ListParagraph"/>
        <w:numPr>
          <w:ilvl w:val="0"/>
          <w:numId w:val="261"/>
        </w:numPr>
        <w:contextualSpacing/>
        <w:jc w:val="both"/>
        <w:rPr>
          <w:rFonts w:ascii="Garamond" w:hAnsi="Garamond"/>
          <w:szCs w:val="22"/>
        </w:rPr>
      </w:pPr>
      <w:r w:rsidRPr="004A0C12">
        <w:rPr>
          <w:rFonts w:ascii="Garamond" w:hAnsi="Garamond"/>
          <w:szCs w:val="22"/>
        </w:rPr>
        <w:t>Goal 1. Organization structure evolves in supporting the success of consumers in a manner that reflects statutory and regulatory requirements, respect for consumer, and equitab</w:t>
      </w:r>
      <w:r w:rsidR="00181029" w:rsidRPr="004A0C12">
        <w:rPr>
          <w:rFonts w:ascii="Garamond" w:hAnsi="Garamond"/>
          <w:szCs w:val="22"/>
        </w:rPr>
        <w:t>le working conditions for staff;</w:t>
      </w:r>
    </w:p>
    <w:p w14:paraId="6FF13370" w14:textId="77777777" w:rsidR="00623552" w:rsidRPr="004A0C12" w:rsidRDefault="007A1FDC" w:rsidP="00232F09">
      <w:pPr>
        <w:pStyle w:val="ListParagraph"/>
        <w:numPr>
          <w:ilvl w:val="0"/>
          <w:numId w:val="261"/>
        </w:numPr>
        <w:contextualSpacing/>
        <w:jc w:val="both"/>
        <w:rPr>
          <w:rFonts w:ascii="Garamond" w:hAnsi="Garamond"/>
          <w:szCs w:val="22"/>
        </w:rPr>
      </w:pPr>
      <w:r w:rsidRPr="004A0C12">
        <w:rPr>
          <w:rFonts w:ascii="Garamond" w:hAnsi="Garamond"/>
          <w:szCs w:val="22"/>
        </w:rPr>
        <w:t>Goal 2. Information technology further enhances administration of the Vocational Rehabilitation and Supported Employment programs, provisions of services, and achievement of employment for students and adults with sign</w:t>
      </w:r>
      <w:r w:rsidR="00181029" w:rsidRPr="004A0C12">
        <w:rPr>
          <w:rFonts w:ascii="Garamond" w:hAnsi="Garamond"/>
          <w:szCs w:val="22"/>
        </w:rPr>
        <w:t>ificant disabilities;</w:t>
      </w:r>
    </w:p>
    <w:p w14:paraId="0C12562F" w14:textId="77777777" w:rsidR="00623552" w:rsidRPr="004A0C12" w:rsidRDefault="007A1FDC" w:rsidP="00232F09">
      <w:pPr>
        <w:pStyle w:val="ListParagraph"/>
        <w:numPr>
          <w:ilvl w:val="0"/>
          <w:numId w:val="261"/>
        </w:numPr>
        <w:contextualSpacing/>
        <w:jc w:val="both"/>
        <w:rPr>
          <w:rFonts w:ascii="Garamond" w:hAnsi="Garamond"/>
          <w:szCs w:val="22"/>
        </w:rPr>
      </w:pPr>
      <w:r w:rsidRPr="004A0C12">
        <w:rPr>
          <w:rFonts w:ascii="Garamond" w:hAnsi="Garamond"/>
          <w:szCs w:val="22"/>
        </w:rPr>
        <w:t>Goal 3. Partnerships with Community Rehabilitation Providers are improved through enhanced monitoring practice</w:t>
      </w:r>
      <w:r w:rsidR="00623552" w:rsidRPr="004A0C12">
        <w:rPr>
          <w:rFonts w:ascii="Garamond" w:hAnsi="Garamond"/>
          <w:szCs w:val="22"/>
        </w:rPr>
        <w:t xml:space="preserve">s and payment systems and rates; and, </w:t>
      </w:r>
    </w:p>
    <w:p w14:paraId="7F68E91C" w14:textId="3680F283" w:rsidR="007A1FDC" w:rsidRPr="004A0C12" w:rsidRDefault="007A1FDC" w:rsidP="00232F09">
      <w:pPr>
        <w:pStyle w:val="ListParagraph"/>
        <w:numPr>
          <w:ilvl w:val="0"/>
          <w:numId w:val="261"/>
        </w:numPr>
        <w:contextualSpacing/>
        <w:jc w:val="both"/>
        <w:rPr>
          <w:rFonts w:ascii="Garamond" w:hAnsi="Garamond"/>
          <w:szCs w:val="22"/>
        </w:rPr>
      </w:pPr>
      <w:r w:rsidRPr="004A0C12">
        <w:rPr>
          <w:rFonts w:ascii="Garamond" w:hAnsi="Garamond"/>
          <w:szCs w:val="22"/>
        </w:rPr>
        <w:lastRenderedPageBreak/>
        <w:t>Goal 4. Future agency leaders are recognized and developed.</w:t>
      </w:r>
    </w:p>
    <w:p w14:paraId="3C6226C2" w14:textId="77777777" w:rsidR="008E5B5A" w:rsidRPr="004A0C12" w:rsidRDefault="008E5B5A" w:rsidP="00AD2026">
      <w:pPr>
        <w:pStyle w:val="NormalWeb"/>
        <w:spacing w:before="0" w:beforeAutospacing="0" w:afterAutospacing="0"/>
        <w:ind w:left="720"/>
        <w:rPr>
          <w:rFonts w:ascii="Garamond" w:hAnsi="Garamond"/>
          <w:color w:val="000000"/>
          <w:sz w:val="22"/>
          <w:szCs w:val="22"/>
        </w:rPr>
      </w:pPr>
      <w:bookmarkStart w:id="230" w:name="_Toc447276257"/>
    </w:p>
    <w:p w14:paraId="19370E6E" w14:textId="77777777" w:rsidR="008E5B5A" w:rsidRPr="004A0C12" w:rsidRDefault="008E5B5A" w:rsidP="00AD2026">
      <w:pPr>
        <w:pStyle w:val="NormalWeb"/>
        <w:spacing w:before="0" w:beforeAutospacing="0" w:afterAutospacing="0"/>
        <w:rPr>
          <w:rFonts w:ascii="Garamond" w:hAnsi="Garamond"/>
          <w:sz w:val="22"/>
          <w:szCs w:val="22"/>
        </w:rPr>
      </w:pPr>
      <w:r w:rsidRPr="004A0C12">
        <w:rPr>
          <w:rFonts w:ascii="Garamond" w:hAnsi="Garamond"/>
          <w:color w:val="000000"/>
          <w:sz w:val="22"/>
          <w:szCs w:val="22"/>
        </w:rPr>
        <w:t>Strategies will be used to support innovation and expansion activities as follows:</w:t>
      </w:r>
    </w:p>
    <w:p w14:paraId="703148BB" w14:textId="1C75A8A3" w:rsidR="008E5B5A" w:rsidRPr="004A0C12" w:rsidRDefault="008E5B5A" w:rsidP="00232F09">
      <w:pPr>
        <w:pStyle w:val="NormalWeb"/>
        <w:numPr>
          <w:ilvl w:val="0"/>
          <w:numId w:val="261"/>
        </w:numPr>
        <w:spacing w:before="0" w:beforeAutospacing="0" w:afterAutospacing="0"/>
        <w:rPr>
          <w:rFonts w:ascii="Garamond" w:hAnsi="Garamond"/>
          <w:sz w:val="22"/>
          <w:szCs w:val="22"/>
        </w:rPr>
      </w:pPr>
      <w:r w:rsidRPr="004A0C12">
        <w:rPr>
          <w:rFonts w:ascii="Garamond" w:hAnsi="Garamond"/>
          <w:color w:val="000000"/>
          <w:sz w:val="22"/>
          <w:szCs w:val="22"/>
        </w:rPr>
        <w:t>Expanding pre-employment transition services to students with disabilities by providing financial support for the development of pre-employment transition services in the community, in partnership with local school systems and community rehabilitation programs.</w:t>
      </w:r>
    </w:p>
    <w:p w14:paraId="2DC025AC" w14:textId="68D3259E" w:rsidR="008E5B5A" w:rsidRPr="004A0C12" w:rsidRDefault="008E5B5A" w:rsidP="00232F09">
      <w:pPr>
        <w:pStyle w:val="NormalWeb"/>
        <w:numPr>
          <w:ilvl w:val="0"/>
          <w:numId w:val="261"/>
        </w:numPr>
        <w:spacing w:before="0" w:beforeAutospacing="0" w:afterAutospacing="0"/>
        <w:rPr>
          <w:rFonts w:ascii="Garamond" w:hAnsi="Garamond"/>
          <w:sz w:val="22"/>
          <w:szCs w:val="22"/>
        </w:rPr>
      </w:pPr>
      <w:r w:rsidRPr="004A0C12">
        <w:rPr>
          <w:rFonts w:ascii="Garamond" w:hAnsi="Garamond"/>
          <w:color w:val="000000"/>
          <w:sz w:val="22"/>
          <w:szCs w:val="22"/>
        </w:rPr>
        <w:t>Supporting the funding of the Maryland State Rehabilitation Council activities to enhance services to students, youth, and adults in Maryland with significant disabilities.</w:t>
      </w:r>
    </w:p>
    <w:p w14:paraId="3F71F500" w14:textId="07570547" w:rsidR="008E5B5A" w:rsidRPr="004A0C12" w:rsidRDefault="008E5B5A" w:rsidP="00232F09">
      <w:pPr>
        <w:pStyle w:val="NormalWeb"/>
        <w:numPr>
          <w:ilvl w:val="0"/>
          <w:numId w:val="261"/>
        </w:numPr>
        <w:spacing w:before="0" w:beforeAutospacing="0" w:afterAutospacing="0"/>
        <w:rPr>
          <w:rFonts w:ascii="Garamond" w:hAnsi="Garamond"/>
          <w:sz w:val="22"/>
          <w:szCs w:val="22"/>
        </w:rPr>
      </w:pPr>
      <w:r w:rsidRPr="004A0C12">
        <w:rPr>
          <w:rFonts w:ascii="Garamond" w:hAnsi="Garamond"/>
          <w:color w:val="000000"/>
          <w:sz w:val="22"/>
          <w:szCs w:val="22"/>
        </w:rPr>
        <w:t>Creating new Project SEARCH sites in diverse locations throughout the state. New sites will focus strictly on students with disabilities who are transitioning from high school.</w:t>
      </w:r>
    </w:p>
    <w:p w14:paraId="11D0DFB6" w14:textId="30723755" w:rsidR="008E5B5A" w:rsidRPr="004A0C12" w:rsidRDefault="008E5B5A" w:rsidP="00232F09">
      <w:pPr>
        <w:pStyle w:val="NormalWeb"/>
        <w:numPr>
          <w:ilvl w:val="0"/>
          <w:numId w:val="261"/>
        </w:numPr>
        <w:spacing w:before="0" w:beforeAutospacing="0" w:afterAutospacing="0"/>
        <w:rPr>
          <w:rFonts w:ascii="Garamond" w:hAnsi="Garamond"/>
          <w:sz w:val="22"/>
          <w:szCs w:val="22"/>
        </w:rPr>
      </w:pPr>
      <w:r w:rsidRPr="004A0C12">
        <w:rPr>
          <w:rFonts w:ascii="Garamond" w:hAnsi="Garamond"/>
          <w:color w:val="000000"/>
          <w:sz w:val="22"/>
          <w:szCs w:val="22"/>
        </w:rPr>
        <w:t>Expanding Autism services at the Workforce and Technology Center (WTC) for consumers diagnosed with Autism Spectrum Disorder and who are referred to WTC from local field offices.</w:t>
      </w:r>
    </w:p>
    <w:p w14:paraId="15231360" w14:textId="28C176BF" w:rsidR="008E5B5A" w:rsidRPr="004A0C12" w:rsidRDefault="008E5B5A" w:rsidP="00232F09">
      <w:pPr>
        <w:pStyle w:val="NormalWeb"/>
        <w:numPr>
          <w:ilvl w:val="0"/>
          <w:numId w:val="261"/>
        </w:numPr>
        <w:spacing w:before="0" w:beforeAutospacing="0" w:afterAutospacing="0"/>
        <w:rPr>
          <w:rFonts w:ascii="Garamond" w:hAnsi="Garamond"/>
          <w:sz w:val="22"/>
          <w:szCs w:val="22"/>
        </w:rPr>
      </w:pPr>
      <w:r w:rsidRPr="004A0C12">
        <w:rPr>
          <w:rFonts w:ascii="Garamond" w:hAnsi="Garamond"/>
          <w:color w:val="000000"/>
          <w:sz w:val="22"/>
          <w:szCs w:val="22"/>
        </w:rPr>
        <w:t>Providing grant support, technical assistance, and monitoring to the Statewide Independent Living Council.</w:t>
      </w:r>
    </w:p>
    <w:p w14:paraId="7DAAFD92" w14:textId="20F54013" w:rsidR="008E5B5A" w:rsidRPr="004A0C12" w:rsidRDefault="008E5B5A" w:rsidP="00232F09">
      <w:pPr>
        <w:pStyle w:val="NormalWeb"/>
        <w:numPr>
          <w:ilvl w:val="0"/>
          <w:numId w:val="261"/>
        </w:numPr>
        <w:spacing w:before="0" w:beforeAutospacing="0" w:afterAutospacing="0"/>
        <w:jc w:val="both"/>
        <w:rPr>
          <w:rFonts w:ascii="Garamond" w:hAnsi="Garamond"/>
          <w:sz w:val="22"/>
          <w:szCs w:val="22"/>
        </w:rPr>
      </w:pPr>
      <w:r w:rsidRPr="004A0C12">
        <w:rPr>
          <w:rFonts w:ascii="Garamond" w:hAnsi="Garamond"/>
          <w:color w:val="000000"/>
          <w:sz w:val="22"/>
          <w:szCs w:val="22"/>
        </w:rPr>
        <w:t>Expanding and developing innovative pre-employment transition services to students with disabilities by creating personnel positions dedicated solely to providing PETS to students with disabilities while they are enrolled in high school.</w:t>
      </w:r>
    </w:p>
    <w:p w14:paraId="23CED6FB" w14:textId="7BA7E5B3" w:rsidR="008E5B5A" w:rsidRPr="004A0C12" w:rsidRDefault="008E5B5A" w:rsidP="00232F09">
      <w:pPr>
        <w:pStyle w:val="NormalWeb"/>
        <w:numPr>
          <w:ilvl w:val="0"/>
          <w:numId w:val="261"/>
        </w:numPr>
        <w:spacing w:before="0" w:beforeAutospacing="0" w:afterAutospacing="0"/>
        <w:rPr>
          <w:rFonts w:ascii="Garamond" w:hAnsi="Garamond"/>
          <w:sz w:val="22"/>
          <w:szCs w:val="22"/>
        </w:rPr>
      </w:pPr>
      <w:r w:rsidRPr="004A0C12">
        <w:rPr>
          <w:rFonts w:ascii="Garamond" w:hAnsi="Garamond"/>
          <w:color w:val="000000"/>
          <w:sz w:val="22"/>
          <w:szCs w:val="22"/>
        </w:rPr>
        <w:t>Developing innovative pre-employment transition services at the Workforce and Technology Center.</w:t>
      </w:r>
    </w:p>
    <w:p w14:paraId="511A2849" w14:textId="73240B32" w:rsidR="008E5B5A" w:rsidRPr="004A0C12" w:rsidRDefault="008E5B5A" w:rsidP="00232F09">
      <w:pPr>
        <w:pStyle w:val="NormalWeb"/>
        <w:numPr>
          <w:ilvl w:val="0"/>
          <w:numId w:val="261"/>
        </w:numPr>
        <w:spacing w:before="0" w:beforeAutospacing="0" w:afterAutospacing="0"/>
        <w:rPr>
          <w:rFonts w:ascii="Garamond" w:hAnsi="Garamond"/>
          <w:sz w:val="22"/>
          <w:szCs w:val="22"/>
        </w:rPr>
      </w:pPr>
      <w:r w:rsidRPr="004A0C12">
        <w:rPr>
          <w:rFonts w:ascii="Garamond" w:hAnsi="Garamond"/>
          <w:color w:val="000000"/>
          <w:sz w:val="22"/>
          <w:szCs w:val="22"/>
        </w:rPr>
        <w:t>Expanding the Workforce and Technology Center’s Rehabilitation Technology Services to provide more assistive technology to transitioning students, youth, and adults with significant disabilities, enhancing their education, training, and employment experiences.</w:t>
      </w:r>
    </w:p>
    <w:p w14:paraId="49866DFB" w14:textId="77777777" w:rsidR="008E5B5A" w:rsidRPr="004A0C12" w:rsidRDefault="008E5B5A" w:rsidP="00902C29">
      <w:pPr>
        <w:pStyle w:val="Heading2"/>
        <w:rPr>
          <w:rFonts w:ascii="Garamond" w:hAnsi="Garamond"/>
          <w:sz w:val="22"/>
          <w:szCs w:val="22"/>
        </w:rPr>
      </w:pPr>
    </w:p>
    <w:p w14:paraId="2D9A70E2"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The following strategies will be used to overcome barriers relating to equitable access to and participation of individuals in the State VR Services Program and the State Supported Employment Services Program:</w:t>
      </w:r>
    </w:p>
    <w:p w14:paraId="75C59ED7" w14:textId="77777777" w:rsidR="008E5B5A" w:rsidRPr="004A0C12" w:rsidRDefault="008E5B5A" w:rsidP="00232F09">
      <w:pPr>
        <w:pStyle w:val="NormalWeb"/>
        <w:numPr>
          <w:ilvl w:val="0"/>
          <w:numId w:val="312"/>
        </w:numPr>
        <w:spacing w:before="0" w:beforeAutospacing="0" w:afterAutospacing="0"/>
        <w:rPr>
          <w:rFonts w:ascii="Garamond" w:hAnsi="Garamond"/>
          <w:sz w:val="22"/>
          <w:szCs w:val="22"/>
        </w:rPr>
      </w:pPr>
      <w:r w:rsidRPr="004A0C12">
        <w:rPr>
          <w:rFonts w:ascii="Garamond" w:hAnsi="Garamond"/>
          <w:color w:val="000000"/>
          <w:sz w:val="22"/>
          <w:szCs w:val="22"/>
        </w:rPr>
        <w:t>Interpreter services at the Workforce Technology Center (WTC) are expanding to better meet the needs of consumers who are deaf, hard of hearing, or deaf-blind and who have been referred from local VR field counselors for assessment, training, educational supports, and assistive technology services at WTC.</w:t>
      </w:r>
    </w:p>
    <w:p w14:paraId="28919BA2" w14:textId="77777777" w:rsidR="008E5B5A" w:rsidRPr="004A0C12" w:rsidRDefault="008E5B5A" w:rsidP="00232F09">
      <w:pPr>
        <w:pStyle w:val="NormalWeb"/>
        <w:numPr>
          <w:ilvl w:val="0"/>
          <w:numId w:val="312"/>
        </w:numPr>
        <w:spacing w:before="0" w:beforeAutospacing="0" w:afterAutospacing="0"/>
        <w:rPr>
          <w:rFonts w:ascii="Garamond" w:hAnsi="Garamond"/>
          <w:sz w:val="22"/>
          <w:szCs w:val="22"/>
        </w:rPr>
      </w:pPr>
      <w:r w:rsidRPr="004A0C12">
        <w:rPr>
          <w:rFonts w:ascii="Garamond" w:hAnsi="Garamond"/>
          <w:color w:val="000000"/>
          <w:sz w:val="22"/>
          <w:szCs w:val="22"/>
        </w:rPr>
        <w:t>DORS is piloting a Rehabilitation Communication Specialist service model to enhance communication and services to individuals who are deaf and hard of hearing.</w:t>
      </w:r>
    </w:p>
    <w:p w14:paraId="48394233" w14:textId="77777777" w:rsidR="008E5B5A" w:rsidRPr="004A0C12" w:rsidRDefault="008E5B5A" w:rsidP="00232F09">
      <w:pPr>
        <w:pStyle w:val="NormalWeb"/>
        <w:numPr>
          <w:ilvl w:val="0"/>
          <w:numId w:val="312"/>
        </w:numPr>
        <w:spacing w:before="0" w:beforeAutospacing="0" w:afterAutospacing="0"/>
        <w:rPr>
          <w:rFonts w:ascii="Garamond" w:hAnsi="Garamond"/>
          <w:sz w:val="22"/>
          <w:szCs w:val="22"/>
        </w:rPr>
      </w:pPr>
      <w:r w:rsidRPr="004A0C12">
        <w:rPr>
          <w:rFonts w:ascii="Garamond" w:hAnsi="Garamond"/>
          <w:color w:val="000000"/>
          <w:sz w:val="22"/>
          <w:szCs w:val="22"/>
        </w:rPr>
        <w:t>DORS has a stronger presence at American Job Centers throughout the State. The agency is collaborating with local Workforce Investment Boards to expand opportunities for workforce partners to co-locate for the purpose of providing superior customer service to job seekers, including those with significant disabilities. Accessibility of all American Job Center facilities and programs is a priority of the State.</w:t>
      </w:r>
    </w:p>
    <w:p w14:paraId="7CCD4CFD" w14:textId="77777777" w:rsidR="008E5B5A" w:rsidRPr="004A0C12" w:rsidRDefault="008E5B5A" w:rsidP="00232F09">
      <w:pPr>
        <w:pStyle w:val="NormalWeb"/>
        <w:numPr>
          <w:ilvl w:val="0"/>
          <w:numId w:val="312"/>
        </w:numPr>
        <w:spacing w:before="0" w:beforeAutospacing="0" w:afterAutospacing="0"/>
        <w:rPr>
          <w:rFonts w:ascii="Garamond" w:hAnsi="Garamond"/>
          <w:sz w:val="22"/>
          <w:szCs w:val="22"/>
        </w:rPr>
      </w:pPr>
      <w:r w:rsidRPr="004A0C12">
        <w:rPr>
          <w:rFonts w:ascii="Garamond" w:hAnsi="Garamond"/>
          <w:color w:val="000000"/>
          <w:sz w:val="22"/>
          <w:szCs w:val="22"/>
        </w:rPr>
        <w:t>The agency’s Multi-Cultural Committee has been reinstituted to provide education and support to staff on cultural issues. The committee will explore methods of reaching out to unserved and underserved individuals with disabilities from various ethnic backgrounds.</w:t>
      </w:r>
    </w:p>
    <w:p w14:paraId="76AC19D3" w14:textId="77777777" w:rsidR="008E5B5A" w:rsidRPr="004A0C12" w:rsidRDefault="008E5B5A" w:rsidP="00232F09">
      <w:pPr>
        <w:pStyle w:val="NormalWeb"/>
        <w:numPr>
          <w:ilvl w:val="0"/>
          <w:numId w:val="312"/>
        </w:numPr>
        <w:spacing w:before="0" w:beforeAutospacing="0" w:afterAutospacing="0"/>
        <w:rPr>
          <w:rFonts w:ascii="Garamond" w:hAnsi="Garamond"/>
          <w:sz w:val="22"/>
          <w:szCs w:val="22"/>
        </w:rPr>
      </w:pPr>
      <w:r w:rsidRPr="004A0C12">
        <w:rPr>
          <w:rFonts w:ascii="Garamond" w:hAnsi="Garamond"/>
          <w:color w:val="000000"/>
          <w:sz w:val="22"/>
          <w:szCs w:val="22"/>
        </w:rPr>
        <w:t>The 2016 Statewide Needs Assessment will identify areas of need related to unserved or underserved populations and to the availability of vocational rehabilitation services statewide.</w:t>
      </w:r>
    </w:p>
    <w:p w14:paraId="367111C4" w14:textId="4367A88A" w:rsidR="008E5B5A" w:rsidRPr="004A0C12" w:rsidRDefault="008E5B5A" w:rsidP="00232F09">
      <w:pPr>
        <w:pStyle w:val="NormalWeb"/>
        <w:numPr>
          <w:ilvl w:val="0"/>
          <w:numId w:val="312"/>
        </w:numPr>
        <w:spacing w:before="0" w:beforeAutospacing="0" w:afterAutospacing="0"/>
        <w:rPr>
          <w:rFonts w:ascii="Garamond" w:hAnsi="Garamond"/>
          <w:sz w:val="22"/>
          <w:szCs w:val="22"/>
        </w:rPr>
      </w:pPr>
      <w:r w:rsidRPr="004A0C12">
        <w:rPr>
          <w:rFonts w:ascii="Garamond" w:hAnsi="Garamond"/>
          <w:color w:val="000000"/>
          <w:sz w:val="22"/>
          <w:szCs w:val="22"/>
        </w:rPr>
        <w:t>DORS will collaborate with other WIOA partners to provide seamless services to individuals with disabilities receiving assistance from the State’s Department of Labor, Licensing, and Regulation, Division of Workforce Development and Adult Learning; Temporary Aid for Needy Families (TANF); ex-offenders re-entering the workforce; and veterans.</w:t>
      </w:r>
    </w:p>
    <w:p w14:paraId="23DF91D5" w14:textId="74F85B14" w:rsidR="008E5B5A" w:rsidRPr="004A0C12" w:rsidRDefault="008E5B5A" w:rsidP="00232F09">
      <w:pPr>
        <w:pStyle w:val="NormalWeb"/>
        <w:numPr>
          <w:ilvl w:val="0"/>
          <w:numId w:val="312"/>
        </w:numPr>
        <w:spacing w:before="0" w:beforeAutospacing="0" w:afterAutospacing="0"/>
        <w:rPr>
          <w:rFonts w:ascii="Garamond" w:hAnsi="Garamond"/>
          <w:sz w:val="22"/>
          <w:szCs w:val="22"/>
        </w:rPr>
      </w:pPr>
      <w:r w:rsidRPr="004A0C12">
        <w:rPr>
          <w:rFonts w:ascii="Garamond" w:hAnsi="Garamond"/>
          <w:color w:val="000000"/>
          <w:sz w:val="22"/>
          <w:szCs w:val="22"/>
        </w:rPr>
        <w:lastRenderedPageBreak/>
        <w:t>DORS is collaborating with the State’s Behavioral Health Administration to develop evidence based practice in providing employment services to youth with psychiatric disabilities and to develop pre-employment transition services and VR services to youth experiencing first episode psychosis.</w:t>
      </w:r>
    </w:p>
    <w:p w14:paraId="48CE7114" w14:textId="5FF6FE28" w:rsidR="008E5B5A" w:rsidRPr="00BF652B" w:rsidRDefault="00BF652B" w:rsidP="00902C29">
      <w:pPr>
        <w:pStyle w:val="Heading2"/>
        <w:rPr>
          <w:rFonts w:ascii="Garamond" w:hAnsi="Garamond"/>
          <w:color w:val="C00000"/>
          <w:sz w:val="28"/>
          <w:szCs w:val="28"/>
        </w:rPr>
      </w:pPr>
      <w:r w:rsidRPr="00BF652B">
        <w:rPr>
          <w:rFonts w:ascii="Garamond" w:hAnsi="Garamond"/>
          <w:color w:val="C00000"/>
          <w:sz w:val="28"/>
          <w:szCs w:val="28"/>
          <w:highlight w:val="yellow"/>
        </w:rPr>
        <w:t>WAIT…I think we have the goals listed twice????</w:t>
      </w:r>
      <w:r>
        <w:rPr>
          <w:rFonts w:ascii="Garamond" w:hAnsi="Garamond"/>
          <w:color w:val="C00000"/>
          <w:sz w:val="28"/>
          <w:szCs w:val="28"/>
        </w:rPr>
        <w:t xml:space="preserve">  </w:t>
      </w:r>
    </w:p>
    <w:p w14:paraId="0B0C0C2A" w14:textId="03DD6D8F" w:rsidR="00205651" w:rsidRPr="00594970" w:rsidRDefault="007A1FDC" w:rsidP="00902C29">
      <w:pPr>
        <w:pStyle w:val="Heading2"/>
        <w:rPr>
          <w:rFonts w:ascii="Garamond" w:hAnsi="Garamond"/>
          <w:sz w:val="24"/>
          <w:szCs w:val="24"/>
        </w:rPr>
      </w:pPr>
      <w:r w:rsidRPr="00594970">
        <w:rPr>
          <w:rFonts w:ascii="Garamond" w:hAnsi="Garamond"/>
          <w:sz w:val="24"/>
          <w:szCs w:val="24"/>
        </w:rPr>
        <w:t>Evaluation</w:t>
      </w:r>
      <w:r w:rsidRPr="00594970">
        <w:rPr>
          <w:rFonts w:ascii="Garamond" w:hAnsi="Garamond"/>
          <w:spacing w:val="42"/>
          <w:sz w:val="24"/>
          <w:szCs w:val="24"/>
        </w:rPr>
        <w:t xml:space="preserve"> </w:t>
      </w:r>
      <w:r w:rsidRPr="00594970">
        <w:rPr>
          <w:rFonts w:ascii="Garamond" w:hAnsi="Garamond"/>
          <w:sz w:val="24"/>
          <w:szCs w:val="24"/>
        </w:rPr>
        <w:t>and</w:t>
      </w:r>
      <w:r w:rsidRPr="00594970">
        <w:rPr>
          <w:rFonts w:ascii="Garamond" w:hAnsi="Garamond"/>
          <w:spacing w:val="45"/>
          <w:sz w:val="24"/>
          <w:szCs w:val="24"/>
        </w:rPr>
        <w:t xml:space="preserve"> </w:t>
      </w:r>
      <w:r w:rsidRPr="00594970">
        <w:rPr>
          <w:rFonts w:ascii="Garamond" w:hAnsi="Garamond"/>
          <w:sz w:val="24"/>
          <w:szCs w:val="24"/>
        </w:rPr>
        <w:t>Reports</w:t>
      </w:r>
      <w:r w:rsidRPr="00594970">
        <w:rPr>
          <w:rFonts w:ascii="Garamond" w:hAnsi="Garamond"/>
          <w:spacing w:val="12"/>
          <w:sz w:val="24"/>
          <w:szCs w:val="24"/>
        </w:rPr>
        <w:t xml:space="preserve"> </w:t>
      </w:r>
      <w:r w:rsidRPr="00594970">
        <w:rPr>
          <w:rFonts w:ascii="Garamond" w:hAnsi="Garamond"/>
          <w:sz w:val="24"/>
          <w:szCs w:val="24"/>
        </w:rPr>
        <w:t>of</w:t>
      </w:r>
      <w:r w:rsidRPr="00594970">
        <w:rPr>
          <w:rFonts w:ascii="Garamond" w:hAnsi="Garamond"/>
          <w:spacing w:val="24"/>
          <w:sz w:val="24"/>
          <w:szCs w:val="24"/>
        </w:rPr>
        <w:t xml:space="preserve"> </w:t>
      </w:r>
      <w:r w:rsidRPr="00594970">
        <w:rPr>
          <w:rFonts w:ascii="Garamond" w:hAnsi="Garamond"/>
          <w:sz w:val="24"/>
          <w:szCs w:val="24"/>
        </w:rPr>
        <w:t>Progress:</w:t>
      </w:r>
      <w:r w:rsidRPr="00594970">
        <w:rPr>
          <w:rFonts w:ascii="Garamond" w:hAnsi="Garamond"/>
          <w:spacing w:val="16"/>
          <w:sz w:val="24"/>
          <w:szCs w:val="24"/>
        </w:rPr>
        <w:t xml:space="preserve"> </w:t>
      </w:r>
      <w:r w:rsidRPr="00594970">
        <w:rPr>
          <w:rFonts w:ascii="Garamond" w:hAnsi="Garamond"/>
          <w:sz w:val="24"/>
          <w:szCs w:val="24"/>
        </w:rPr>
        <w:t>VR</w:t>
      </w:r>
      <w:r w:rsidRPr="00594970">
        <w:rPr>
          <w:rFonts w:ascii="Garamond" w:hAnsi="Garamond"/>
          <w:spacing w:val="21"/>
          <w:sz w:val="24"/>
          <w:szCs w:val="24"/>
        </w:rPr>
        <w:t xml:space="preserve"> </w:t>
      </w:r>
      <w:r w:rsidRPr="00594970">
        <w:rPr>
          <w:rFonts w:ascii="Garamond" w:hAnsi="Garamond"/>
          <w:sz w:val="24"/>
          <w:szCs w:val="24"/>
        </w:rPr>
        <w:t>and</w:t>
      </w:r>
      <w:r w:rsidRPr="00594970">
        <w:rPr>
          <w:rFonts w:ascii="Garamond" w:hAnsi="Garamond"/>
          <w:spacing w:val="20"/>
          <w:sz w:val="24"/>
          <w:szCs w:val="24"/>
        </w:rPr>
        <w:t xml:space="preserve"> </w:t>
      </w:r>
      <w:r w:rsidRPr="00594970">
        <w:rPr>
          <w:rFonts w:ascii="Garamond" w:hAnsi="Garamond"/>
          <w:sz w:val="24"/>
          <w:szCs w:val="24"/>
        </w:rPr>
        <w:t>Supported</w:t>
      </w:r>
      <w:r w:rsidRPr="00594970">
        <w:rPr>
          <w:rFonts w:ascii="Garamond" w:hAnsi="Garamond"/>
          <w:spacing w:val="37"/>
          <w:sz w:val="24"/>
          <w:szCs w:val="24"/>
        </w:rPr>
        <w:t xml:space="preserve"> </w:t>
      </w:r>
      <w:r w:rsidRPr="00594970">
        <w:rPr>
          <w:rFonts w:ascii="Garamond" w:hAnsi="Garamond"/>
          <w:sz w:val="24"/>
          <w:szCs w:val="24"/>
        </w:rPr>
        <w:t>Employment</w:t>
      </w:r>
      <w:r w:rsidRPr="00594970">
        <w:rPr>
          <w:rFonts w:ascii="Garamond" w:hAnsi="Garamond"/>
          <w:spacing w:val="33"/>
          <w:sz w:val="24"/>
          <w:szCs w:val="24"/>
        </w:rPr>
        <w:t xml:space="preserve"> </w:t>
      </w:r>
      <w:r w:rsidRPr="00594970">
        <w:rPr>
          <w:rFonts w:ascii="Garamond" w:hAnsi="Garamond"/>
          <w:sz w:val="24"/>
          <w:szCs w:val="24"/>
        </w:rPr>
        <w:t>Goals</w:t>
      </w:r>
      <w:bookmarkEnd w:id="230"/>
    </w:p>
    <w:p w14:paraId="00E2641F" w14:textId="77777777" w:rsidR="007A1FDC" w:rsidRPr="004A0C12" w:rsidRDefault="007A1FDC" w:rsidP="007A1FDC">
      <w:pPr>
        <w:keepNext/>
        <w:spacing w:after="0" w:line="240" w:lineRule="auto"/>
        <w:jc w:val="both"/>
        <w:rPr>
          <w:rFonts w:ascii="Garamond" w:hAnsi="Garamond"/>
        </w:rPr>
      </w:pPr>
      <w:r w:rsidRPr="008D5533">
        <w:rPr>
          <w:rFonts w:ascii="Garamond" w:hAnsi="Garamond"/>
          <w:b/>
          <w:sz w:val="24"/>
          <w:szCs w:val="24"/>
        </w:rPr>
        <w:t>Goal 1:</w:t>
      </w:r>
      <w:r w:rsidRPr="004A0C12">
        <w:rPr>
          <w:rFonts w:ascii="Garamond" w:hAnsi="Garamond"/>
        </w:rPr>
        <w:t xml:space="preserve"> Assure high-quality employment outcomes for individuals with significant and most significant disabilities in Maryland through the vocational rehabilitation program.</w:t>
      </w:r>
    </w:p>
    <w:p w14:paraId="0827B38F" w14:textId="77777777" w:rsidR="007A1FDC" w:rsidRPr="004A0C12" w:rsidRDefault="007A1FDC" w:rsidP="007A1FDC">
      <w:pPr>
        <w:spacing w:after="0" w:line="240" w:lineRule="auto"/>
        <w:jc w:val="both"/>
        <w:rPr>
          <w:rFonts w:ascii="Garamond" w:hAnsi="Garamond"/>
        </w:rPr>
      </w:pPr>
    </w:p>
    <w:p w14:paraId="76203490" w14:textId="46BC4633" w:rsidR="007A1FDC" w:rsidRPr="004A0C12" w:rsidRDefault="006949CD" w:rsidP="007A1FDC">
      <w:pPr>
        <w:keepNext/>
        <w:spacing w:after="0" w:line="240" w:lineRule="auto"/>
        <w:jc w:val="both"/>
        <w:rPr>
          <w:rFonts w:ascii="Garamond" w:hAnsi="Garamond"/>
        </w:rPr>
      </w:pPr>
      <w:r w:rsidRPr="004A0C12">
        <w:rPr>
          <w:rFonts w:ascii="Garamond" w:hAnsi="Garamond"/>
        </w:rPr>
        <w:t xml:space="preserve">Objective 1.1- </w:t>
      </w:r>
      <w:r w:rsidR="007A1FDC" w:rsidRPr="004A0C12">
        <w:rPr>
          <w:rFonts w:ascii="Garamond" w:hAnsi="Garamond"/>
        </w:rPr>
        <w:t>Provide rehabilitation services in partnership with local education agencies that lead to successful outcomes in post-secondary education and employment for students with disabilities.</w:t>
      </w:r>
    </w:p>
    <w:p w14:paraId="4C8D65D2" w14:textId="77777777" w:rsidR="007A1FDC" w:rsidRPr="004A0C12" w:rsidRDefault="007A1FDC" w:rsidP="007A1FDC">
      <w:pPr>
        <w:spacing w:after="0" w:line="240" w:lineRule="auto"/>
        <w:jc w:val="both"/>
        <w:rPr>
          <w:rFonts w:ascii="Garamond" w:hAnsi="Garamond"/>
        </w:rPr>
      </w:pPr>
    </w:p>
    <w:p w14:paraId="678801ED" w14:textId="745C5C41" w:rsidR="007A1FDC" w:rsidRPr="004A0C12" w:rsidRDefault="007A1FDC" w:rsidP="007A1FDC">
      <w:pPr>
        <w:spacing w:after="0" w:line="240" w:lineRule="auto"/>
        <w:jc w:val="both"/>
        <w:rPr>
          <w:rFonts w:ascii="Garamond" w:hAnsi="Garamond"/>
        </w:rPr>
      </w:pPr>
      <w:r w:rsidRPr="004A0C12">
        <w:rPr>
          <w:rFonts w:ascii="Garamond" w:hAnsi="Garamond"/>
        </w:rPr>
        <w:t xml:space="preserve">Strategies: </w:t>
      </w:r>
      <w:r w:rsidR="008E5B5A" w:rsidRPr="004A0C12">
        <w:rPr>
          <w:rFonts w:ascii="Garamond" w:hAnsi="Garamond"/>
        </w:rPr>
        <w:t>DORS will</w:t>
      </w:r>
    </w:p>
    <w:p w14:paraId="24978286" w14:textId="77777777" w:rsidR="00F95598" w:rsidRPr="004A0C12" w:rsidRDefault="007A1FDC" w:rsidP="00232F09">
      <w:pPr>
        <w:pStyle w:val="ListParagraph"/>
        <w:numPr>
          <w:ilvl w:val="0"/>
          <w:numId w:val="262"/>
        </w:numPr>
        <w:jc w:val="both"/>
        <w:rPr>
          <w:rFonts w:ascii="Garamond" w:hAnsi="Garamond"/>
          <w:szCs w:val="22"/>
        </w:rPr>
      </w:pPr>
      <w:r w:rsidRPr="004A0C12">
        <w:rPr>
          <w:rFonts w:ascii="Garamond" w:hAnsi="Garamond"/>
          <w:szCs w:val="22"/>
        </w:rPr>
        <w:t>Ensure that VR counselors and staff work with student (including those in special education, or with 504 plans or severe medical conditions), families, school personnel and community partners to help students achieve e</w:t>
      </w:r>
      <w:r w:rsidR="00F95598" w:rsidRPr="004A0C12">
        <w:rPr>
          <w:rFonts w:ascii="Garamond" w:hAnsi="Garamond"/>
          <w:szCs w:val="22"/>
        </w:rPr>
        <w:t>mployment and self-sufficiency;</w:t>
      </w:r>
    </w:p>
    <w:p w14:paraId="07C745F8" w14:textId="3861BCF5" w:rsidR="00F95598" w:rsidRPr="004A0C12" w:rsidRDefault="007A1FDC" w:rsidP="00232F09">
      <w:pPr>
        <w:pStyle w:val="ListParagraph"/>
        <w:numPr>
          <w:ilvl w:val="0"/>
          <w:numId w:val="262"/>
        </w:numPr>
        <w:jc w:val="both"/>
        <w:rPr>
          <w:rFonts w:ascii="Garamond" w:hAnsi="Garamond"/>
          <w:szCs w:val="22"/>
        </w:rPr>
      </w:pPr>
      <w:r w:rsidRPr="004A0C12">
        <w:rPr>
          <w:rFonts w:ascii="Garamond" w:hAnsi="Garamond"/>
          <w:szCs w:val="22"/>
        </w:rPr>
        <w:t>Continue to emphasize and implement evidence-based transition practices, including work-based experiences such as Disability Mentoring Day, internships and summer employment to promote long-term career success and leadership, including expanding transitioning services at the Workforce &amp; Technology Center (especially for consumers not plannin</w:t>
      </w:r>
      <w:r w:rsidR="00F95598" w:rsidRPr="004A0C12">
        <w:rPr>
          <w:rFonts w:ascii="Garamond" w:hAnsi="Garamond"/>
          <w:szCs w:val="22"/>
        </w:rPr>
        <w:t>g to attend college); and,</w:t>
      </w:r>
    </w:p>
    <w:p w14:paraId="09B51001" w14:textId="53472177" w:rsidR="007A1FDC" w:rsidRPr="004A0C12" w:rsidRDefault="007A1FDC" w:rsidP="00232F09">
      <w:pPr>
        <w:pStyle w:val="ListParagraph"/>
        <w:numPr>
          <w:ilvl w:val="0"/>
          <w:numId w:val="262"/>
        </w:numPr>
        <w:jc w:val="both"/>
        <w:rPr>
          <w:rFonts w:ascii="Garamond" w:hAnsi="Garamond"/>
          <w:szCs w:val="22"/>
        </w:rPr>
      </w:pPr>
      <w:r w:rsidRPr="004A0C12">
        <w:rPr>
          <w:rFonts w:ascii="Garamond" w:hAnsi="Garamond"/>
          <w:szCs w:val="22"/>
        </w:rPr>
        <w:t>Provide training and support to DORS transition counselors through the Transition Specialists Group and other meetings, the Transition Conference and training programs. Training shall help counselors identify and develop tools and resources related to post-secondary education, and best practices in working with families and transitioning students</w:t>
      </w:r>
      <w:r w:rsidR="00F95598" w:rsidRPr="004A0C12">
        <w:rPr>
          <w:rFonts w:ascii="Garamond" w:hAnsi="Garamond"/>
          <w:szCs w:val="22"/>
        </w:rPr>
        <w:t xml:space="preserve">. </w:t>
      </w:r>
      <w:r w:rsidR="008E5B5A" w:rsidRPr="004A0C12">
        <w:rPr>
          <w:rFonts w:ascii="Garamond" w:hAnsi="Garamond"/>
          <w:szCs w:val="22"/>
        </w:rPr>
        <w:t xml:space="preserve">Collaborate with DDA and </w:t>
      </w:r>
      <w:r w:rsidR="00881DB5" w:rsidRPr="004A0C12">
        <w:rPr>
          <w:rFonts w:ascii="Garamond" w:hAnsi="Garamond"/>
          <w:szCs w:val="22"/>
        </w:rPr>
        <w:t>clarify</w:t>
      </w:r>
      <w:r w:rsidR="008E5B5A" w:rsidRPr="004A0C12">
        <w:rPr>
          <w:rFonts w:ascii="Garamond" w:hAnsi="Garamond"/>
          <w:szCs w:val="22"/>
        </w:rPr>
        <w:t xml:space="preserve"> procedures to ensure seamless transition for individuals receiving DDA assistance.</w:t>
      </w:r>
    </w:p>
    <w:p w14:paraId="139CE80E" w14:textId="6BB50D4B"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w:t>
      </w:r>
      <w:r w:rsidR="00F95598" w:rsidRPr="004A0C12">
        <w:rPr>
          <w:rFonts w:ascii="Garamond" w:hAnsi="Garamond"/>
        </w:rPr>
        <w:t xml:space="preserve">September </w:t>
      </w:r>
      <w:r w:rsidR="008E5B5A" w:rsidRPr="004A0C12">
        <w:rPr>
          <w:rFonts w:ascii="Garamond" w:hAnsi="Garamond"/>
        </w:rPr>
        <w:t>30, 2015</w:t>
      </w:r>
      <w:r w:rsidR="00F95598" w:rsidRPr="004A0C12">
        <w:rPr>
          <w:rFonts w:ascii="Garamond" w:hAnsi="Garamond"/>
        </w:rPr>
        <w:t>:</w:t>
      </w:r>
    </w:p>
    <w:p w14:paraId="057F2401" w14:textId="1BCBF94C" w:rsidR="007A1FDC" w:rsidRPr="004A0C12" w:rsidRDefault="007A1FDC" w:rsidP="00232F09">
      <w:pPr>
        <w:pStyle w:val="ListParagraph"/>
        <w:numPr>
          <w:ilvl w:val="0"/>
          <w:numId w:val="263"/>
        </w:numPr>
        <w:tabs>
          <w:tab w:val="left" w:pos="720"/>
        </w:tabs>
        <w:jc w:val="both"/>
        <w:rPr>
          <w:rFonts w:ascii="Garamond" w:hAnsi="Garamond"/>
          <w:szCs w:val="22"/>
        </w:rPr>
      </w:pPr>
      <w:r w:rsidRPr="004A0C12">
        <w:rPr>
          <w:rFonts w:ascii="Garamond" w:hAnsi="Garamond"/>
          <w:szCs w:val="22"/>
        </w:rPr>
        <w:t xml:space="preserve">The number of transitioning individuals served will match or exceed those served in </w:t>
      </w:r>
      <w:r w:rsidR="008E5B5A" w:rsidRPr="004A0C12">
        <w:rPr>
          <w:rFonts w:ascii="Garamond" w:hAnsi="Garamond"/>
          <w:szCs w:val="22"/>
        </w:rPr>
        <w:t>the previous year</w:t>
      </w:r>
      <w:r w:rsidRPr="004A0C12">
        <w:rPr>
          <w:rFonts w:ascii="Garamond" w:hAnsi="Garamond"/>
          <w:szCs w:val="22"/>
        </w:rPr>
        <w:t>, including an increase in the number of students with 504 plans compared with the previous year.</w:t>
      </w:r>
    </w:p>
    <w:p w14:paraId="341CCDE2" w14:textId="0C226576" w:rsidR="00F95598" w:rsidRPr="004A0C12" w:rsidRDefault="00F95598" w:rsidP="00F95598">
      <w:pPr>
        <w:tabs>
          <w:tab w:val="left" w:pos="720"/>
        </w:tabs>
        <w:spacing w:after="0" w:line="240" w:lineRule="auto"/>
        <w:ind w:left="720"/>
        <w:jc w:val="both"/>
        <w:rPr>
          <w:rFonts w:ascii="Garamond" w:hAnsi="Garamond"/>
        </w:rPr>
      </w:pPr>
    </w:p>
    <w:p w14:paraId="68803911"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9,049 transition youth were provided VR services, including 181 students with 504 plans (FY 14: 134). Compared to FY 14, during which 9,303 transition youth were served, this is an overall decrease of 3%, reflecting the 14.5% increase in transition youth on the waiting list for VR services from 611 in FY 14 to 700 in FY 15. In addition, the Division began using a new case type in AWARE</w:t>
      </w:r>
    </w:p>
    <w:p w14:paraId="1A1A2522"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to provide pre-employment transition services to students who were either potentially eligible or who had been found eligible and were on the waiting list for VR services. By the end of FY 15, the Division had opened 14 cases for these students and implemented pre-employment transition services plans for five of them. The Division continues its on-going commitment to transition youth in Maryland by planning to hire 6 additional counselors in FY 16, who will be dedicated to providing pre-employment transition services.</w:t>
      </w:r>
    </w:p>
    <w:p w14:paraId="780F48AA"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b. There will be an increase in transitioning students who achieve employment compared with the previous year.</w:t>
      </w:r>
    </w:p>
    <w:p w14:paraId="7D638E40"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831 transitioning students achieved employment; up 2% from FY 14 during which 815 transitioning students achieved employment.</w:t>
      </w:r>
    </w:p>
    <w:p w14:paraId="6F552E0D"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c. Grants and funding will be provided to support leadership programs for youth with disabilities.</w:t>
      </w:r>
    </w:p>
    <w:p w14:paraId="31D48BDB"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Per agreement with Independence Now, Inc., DORS contributed $9,730 in financial support for the Maryland Youth Leadership Forum in which 7 DORS students participated.</w:t>
      </w:r>
    </w:p>
    <w:p w14:paraId="42061006"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d. The DORS Transition Specialists Group will meet at least semiannually and include staff training on pertinent topics, and will identify, develop and disseminate tools and resources for transitioning students related to post-secondary education and Skills2Compete.</w:t>
      </w:r>
    </w:p>
    <w:p w14:paraId="7DA18A3F"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lastRenderedPageBreak/>
        <w:t>During FY 15, the Transition Specialist Group met for training on October 1, 2014, February 25, 2015, and July 30, 2015. In October, training topics included presentations by the Development Disabilities Administration and Resource Coordination on Medicaid waiver eligibility and services as well as targeted case management; the Department of Labor, Licensing, and Regulation on transition initiatives as a result of WIOA; and opportunities available as part of the Maryland Apprenticeship &amp; Training Program. In February, the Department of Health and Mental Hygiene provided training on suicide prevention, signs and symptoms to recognize, and resources available; the DORS Program Income Unit discussed Social Security benefits and pertinent info related to transitioning youth; and a representative from the Job Corp presented on training programs available through that program. The July meeting was devoted to new procedures related to DORS Pre- Employment Transition Services, and this training was immediately followed by an Administrative Instruction and a Program Directive released in August on this topic. Finally, in September 2015, the Pre-Employment Transition Services Fact Sheet was disseminated to DORS staff as a tool to explain these services to students and families</w:t>
      </w:r>
    </w:p>
    <w:p w14:paraId="61CEF400" w14:textId="77777777" w:rsidR="007A1FDC" w:rsidRPr="004A0C12" w:rsidRDefault="007A1FDC" w:rsidP="007A1FDC">
      <w:pPr>
        <w:keepNext/>
        <w:spacing w:after="0" w:line="240" w:lineRule="auto"/>
        <w:jc w:val="both"/>
        <w:rPr>
          <w:rFonts w:ascii="Garamond" w:hAnsi="Garamond"/>
        </w:rPr>
      </w:pPr>
    </w:p>
    <w:p w14:paraId="5B738DA6" w14:textId="47C1FD06" w:rsidR="007A1FDC" w:rsidRPr="004A0C12" w:rsidRDefault="006949CD" w:rsidP="007A1FDC">
      <w:pPr>
        <w:keepNext/>
        <w:spacing w:after="0" w:line="240" w:lineRule="auto"/>
        <w:jc w:val="both"/>
        <w:rPr>
          <w:rFonts w:ascii="Garamond" w:hAnsi="Garamond"/>
        </w:rPr>
      </w:pPr>
      <w:r w:rsidRPr="004A0C12">
        <w:rPr>
          <w:rFonts w:ascii="Garamond" w:hAnsi="Garamond"/>
        </w:rPr>
        <w:t xml:space="preserve">Objective 1.2- </w:t>
      </w:r>
      <w:r w:rsidR="007A1FDC" w:rsidRPr="004A0C12">
        <w:rPr>
          <w:rFonts w:ascii="Garamond" w:hAnsi="Garamond"/>
        </w:rPr>
        <w:t>DORS will provide high quality services and outcomes for individuals with disabilities served by th</w:t>
      </w:r>
      <w:r w:rsidR="00F95598" w:rsidRPr="004A0C12">
        <w:rPr>
          <w:rFonts w:ascii="Garamond" w:hAnsi="Garamond"/>
        </w:rPr>
        <w:t>e Office of Field Services</w:t>
      </w:r>
    </w:p>
    <w:p w14:paraId="7B0DF77C" w14:textId="77777777" w:rsidR="007A1FDC" w:rsidRPr="004A0C12" w:rsidRDefault="007A1FDC" w:rsidP="007A1FDC">
      <w:pPr>
        <w:spacing w:after="0" w:line="240" w:lineRule="auto"/>
        <w:jc w:val="both"/>
        <w:rPr>
          <w:rFonts w:ascii="Garamond" w:hAnsi="Garamond"/>
        </w:rPr>
      </w:pPr>
    </w:p>
    <w:p w14:paraId="61DC5C9C" w14:textId="39418B72" w:rsidR="007A1FDC" w:rsidRPr="004A0C12" w:rsidRDefault="00F95598" w:rsidP="007A1FDC">
      <w:pPr>
        <w:spacing w:after="0" w:line="240" w:lineRule="auto"/>
        <w:jc w:val="both"/>
        <w:rPr>
          <w:rFonts w:ascii="Garamond" w:hAnsi="Garamond"/>
        </w:rPr>
      </w:pPr>
      <w:r w:rsidRPr="004A0C12">
        <w:rPr>
          <w:rFonts w:ascii="Garamond" w:hAnsi="Garamond"/>
        </w:rPr>
        <w:t>Strategies:</w:t>
      </w:r>
      <w:r w:rsidR="008E5B5A" w:rsidRPr="004A0C12">
        <w:rPr>
          <w:rFonts w:ascii="Garamond" w:hAnsi="Garamond"/>
        </w:rPr>
        <w:t xml:space="preserve"> DORS will</w:t>
      </w:r>
    </w:p>
    <w:p w14:paraId="5DD9C395" w14:textId="40A063A4" w:rsidR="007A1FDC" w:rsidRPr="004A0C12" w:rsidRDefault="007A1FDC" w:rsidP="00232F09">
      <w:pPr>
        <w:pStyle w:val="ListParagraph"/>
        <w:numPr>
          <w:ilvl w:val="0"/>
          <w:numId w:val="264"/>
        </w:numPr>
        <w:jc w:val="both"/>
        <w:rPr>
          <w:rFonts w:ascii="Garamond" w:hAnsi="Garamond"/>
          <w:szCs w:val="22"/>
        </w:rPr>
      </w:pPr>
      <w:r w:rsidRPr="004A0C12">
        <w:rPr>
          <w:rFonts w:ascii="Garamond" w:hAnsi="Garamond"/>
          <w:szCs w:val="22"/>
        </w:rPr>
        <w:t>Provide high quality comprehensive services to eligible individuals with significant disabilities in keeping with the Rehabilitation Act and Federal Regulations, the Code of Maryl</w:t>
      </w:r>
      <w:r w:rsidR="00F95598" w:rsidRPr="004A0C12">
        <w:rPr>
          <w:rFonts w:ascii="Garamond" w:hAnsi="Garamond"/>
          <w:szCs w:val="22"/>
        </w:rPr>
        <w:t>and regulation, and DORS Policy;</w:t>
      </w:r>
    </w:p>
    <w:p w14:paraId="1D4D89E2" w14:textId="77777777" w:rsidR="00F95598" w:rsidRPr="004A0C12" w:rsidRDefault="007A1FDC" w:rsidP="00232F09">
      <w:pPr>
        <w:pStyle w:val="ListParagraph"/>
        <w:numPr>
          <w:ilvl w:val="0"/>
          <w:numId w:val="264"/>
        </w:numPr>
        <w:jc w:val="both"/>
        <w:rPr>
          <w:rFonts w:ascii="Garamond" w:hAnsi="Garamond"/>
          <w:szCs w:val="22"/>
        </w:rPr>
      </w:pPr>
      <w:r w:rsidRPr="004A0C12">
        <w:rPr>
          <w:rFonts w:ascii="Garamond" w:hAnsi="Garamond"/>
          <w:szCs w:val="22"/>
        </w:rPr>
        <w:t>The newly hired Business Services Representatives in each region will assist with identifying and implementing strategies to assist consumers in achieving middle-skill (Skills2Compete) as well as professional, managerial and technical positions and higher earnings (Needs Assessment Recommendati</w:t>
      </w:r>
      <w:r w:rsidR="00F95598" w:rsidRPr="004A0C12">
        <w:rPr>
          <w:rFonts w:ascii="Garamond" w:hAnsi="Garamond"/>
          <w:szCs w:val="22"/>
        </w:rPr>
        <w:t>ons 1 and 10);</w:t>
      </w:r>
    </w:p>
    <w:p w14:paraId="0A58FA6B" w14:textId="77777777" w:rsidR="00F95598" w:rsidRPr="004A0C12" w:rsidRDefault="007A1FDC" w:rsidP="00232F09">
      <w:pPr>
        <w:pStyle w:val="ListParagraph"/>
        <w:numPr>
          <w:ilvl w:val="0"/>
          <w:numId w:val="264"/>
        </w:numPr>
        <w:jc w:val="both"/>
        <w:rPr>
          <w:rFonts w:ascii="Garamond" w:hAnsi="Garamond"/>
          <w:szCs w:val="22"/>
        </w:rPr>
      </w:pPr>
      <w:r w:rsidRPr="004A0C12">
        <w:rPr>
          <w:rFonts w:ascii="Garamond" w:hAnsi="Garamond"/>
          <w:szCs w:val="22"/>
        </w:rPr>
        <w:t>The newly hired Business Services Representatives in each region will assist with enhanci</w:t>
      </w:r>
      <w:r w:rsidR="00F95598" w:rsidRPr="004A0C12">
        <w:rPr>
          <w:rFonts w:ascii="Garamond" w:hAnsi="Garamond"/>
          <w:szCs w:val="22"/>
        </w:rPr>
        <w:t xml:space="preserve">ng linkages with businesses, employers, and WIOA Partners </w:t>
      </w:r>
      <w:r w:rsidRPr="004A0C12">
        <w:rPr>
          <w:rFonts w:ascii="Garamond" w:hAnsi="Garamond"/>
          <w:szCs w:val="22"/>
        </w:rPr>
        <w:t>to include</w:t>
      </w:r>
      <w:r w:rsidR="00F95598" w:rsidRPr="004A0C12">
        <w:rPr>
          <w:rFonts w:ascii="Garamond" w:hAnsi="Garamond"/>
          <w:szCs w:val="22"/>
        </w:rPr>
        <w:t xml:space="preserve"> customized training, use of on-the-job training</w:t>
      </w:r>
      <w:r w:rsidRPr="004A0C12">
        <w:rPr>
          <w:rFonts w:ascii="Garamond" w:hAnsi="Garamond"/>
          <w:szCs w:val="22"/>
        </w:rPr>
        <w:t xml:space="preserve"> and internships, edu</w:t>
      </w:r>
      <w:r w:rsidR="00F95598" w:rsidRPr="004A0C12">
        <w:rPr>
          <w:rFonts w:ascii="Garamond" w:hAnsi="Garamond"/>
          <w:szCs w:val="22"/>
        </w:rPr>
        <w:t xml:space="preserve">cation and disability awareness; and, </w:t>
      </w:r>
    </w:p>
    <w:p w14:paraId="172662D6" w14:textId="12907171" w:rsidR="007A1FDC" w:rsidRPr="004A0C12" w:rsidRDefault="00FF755D" w:rsidP="00232F09">
      <w:pPr>
        <w:pStyle w:val="ListParagraph"/>
        <w:numPr>
          <w:ilvl w:val="0"/>
          <w:numId w:val="264"/>
        </w:numPr>
        <w:jc w:val="both"/>
        <w:rPr>
          <w:rFonts w:ascii="Garamond" w:hAnsi="Garamond"/>
          <w:szCs w:val="22"/>
        </w:rPr>
      </w:pPr>
      <w:r w:rsidRPr="004A0C12">
        <w:rPr>
          <w:rFonts w:ascii="Garamond" w:hAnsi="Garamond"/>
          <w:szCs w:val="22"/>
        </w:rPr>
        <w:t>Enhance relationship with Community Rehabilitation P</w:t>
      </w:r>
      <w:r w:rsidR="007A1FDC" w:rsidRPr="004A0C12">
        <w:rPr>
          <w:rFonts w:ascii="Garamond" w:hAnsi="Garamond"/>
          <w:szCs w:val="22"/>
        </w:rPr>
        <w:t>rograms throu</w:t>
      </w:r>
      <w:r w:rsidR="00F95598" w:rsidRPr="004A0C12">
        <w:rPr>
          <w:rFonts w:ascii="Garamond" w:hAnsi="Garamond"/>
          <w:szCs w:val="22"/>
        </w:rPr>
        <w:t>gh increased participation from Office of Field Services</w:t>
      </w:r>
      <w:r w:rsidR="007A1FDC" w:rsidRPr="004A0C12">
        <w:rPr>
          <w:rFonts w:ascii="Garamond" w:hAnsi="Garamond"/>
          <w:szCs w:val="22"/>
        </w:rPr>
        <w:t xml:space="preserve"> management in conjunction with the Staff Specialist for Community Rehabilitation Programs (Needs Assessment Recommendation 2).</w:t>
      </w:r>
      <w:r w:rsidR="007A1FDC" w:rsidRPr="004A0C12">
        <w:rPr>
          <w:rFonts w:ascii="Garamond" w:hAnsi="Garamond"/>
          <w:szCs w:val="22"/>
        </w:rPr>
        <w:cr/>
      </w:r>
    </w:p>
    <w:p w14:paraId="412AB7FB" w14:textId="35981BEF"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w:t>
      </w:r>
      <w:r w:rsidR="008E5B5A" w:rsidRPr="004A0C12">
        <w:rPr>
          <w:rFonts w:ascii="Garamond" w:hAnsi="Garamond"/>
        </w:rPr>
        <w:t>30, 2015</w:t>
      </w:r>
      <w:r w:rsidR="00F95598" w:rsidRPr="004A0C12">
        <w:rPr>
          <w:rFonts w:ascii="Garamond" w:hAnsi="Garamond"/>
        </w:rPr>
        <w:t>:</w:t>
      </w:r>
    </w:p>
    <w:p w14:paraId="1EE0F6F8" w14:textId="77777777" w:rsidR="007A1FDC" w:rsidRPr="004A0C12" w:rsidRDefault="007A1FDC" w:rsidP="00232F09">
      <w:pPr>
        <w:pStyle w:val="ListParagraph"/>
        <w:numPr>
          <w:ilvl w:val="0"/>
          <w:numId w:val="263"/>
        </w:numPr>
        <w:jc w:val="both"/>
        <w:rPr>
          <w:rFonts w:ascii="Garamond" w:hAnsi="Garamond"/>
          <w:szCs w:val="22"/>
        </w:rPr>
      </w:pPr>
      <w:r w:rsidRPr="004A0C12">
        <w:rPr>
          <w:rFonts w:ascii="Garamond" w:hAnsi="Garamond"/>
          <w:szCs w:val="22"/>
        </w:rPr>
        <w:t>Meet or exceed federal performance indicators for VR services.</w:t>
      </w:r>
    </w:p>
    <w:p w14:paraId="3AC77409" w14:textId="77777777" w:rsidR="00F95598" w:rsidRPr="004A0C12" w:rsidRDefault="00F95598" w:rsidP="007A1FDC">
      <w:pPr>
        <w:tabs>
          <w:tab w:val="left" w:pos="720"/>
        </w:tabs>
        <w:spacing w:after="0" w:line="240" w:lineRule="auto"/>
        <w:ind w:left="1080"/>
        <w:jc w:val="both"/>
        <w:rPr>
          <w:rFonts w:ascii="Garamond" w:hAnsi="Garamond"/>
        </w:rPr>
      </w:pPr>
    </w:p>
    <w:p w14:paraId="376F5951" w14:textId="77777777" w:rsidR="007A1FDC" w:rsidRPr="004A0C12" w:rsidRDefault="007A1FDC" w:rsidP="007A1FDC">
      <w:pPr>
        <w:tabs>
          <w:tab w:val="left" w:pos="720"/>
        </w:tabs>
        <w:spacing w:after="0" w:line="240" w:lineRule="auto"/>
        <w:ind w:left="1080"/>
        <w:jc w:val="both"/>
        <w:rPr>
          <w:rFonts w:ascii="Garamond" w:hAnsi="Garamond"/>
        </w:rPr>
      </w:pPr>
      <w:r w:rsidRPr="004A0C12">
        <w:rPr>
          <w:rFonts w:ascii="Garamond" w:hAnsi="Garamond"/>
        </w:rPr>
        <w:t xml:space="preserve">End-Year: </w:t>
      </w:r>
      <w:r w:rsidRPr="004A0C12">
        <w:rPr>
          <w:rFonts w:ascii="Garamond" w:hAnsi="Garamond"/>
        </w:rPr>
        <w:cr/>
      </w:r>
    </w:p>
    <w:p w14:paraId="45C24E5E" w14:textId="77777777" w:rsidR="007A1FDC" w:rsidRPr="004A0C12" w:rsidRDefault="007A1FDC" w:rsidP="007A1FDC">
      <w:pPr>
        <w:tabs>
          <w:tab w:val="left" w:pos="720"/>
        </w:tabs>
        <w:spacing w:after="0" w:line="240" w:lineRule="auto"/>
        <w:ind w:left="1080"/>
        <w:jc w:val="both"/>
        <w:rPr>
          <w:rFonts w:ascii="Garamond" w:hAnsi="Garamond"/>
        </w:rPr>
      </w:pPr>
      <w:r w:rsidRPr="004A0C12">
        <w:rPr>
          <w:rFonts w:ascii="Garamond" w:hAnsi="Garamond"/>
        </w:rPr>
        <w:t>Standard 1.1:  Number of closed cases with an employment outcome</w:t>
      </w:r>
    </w:p>
    <w:p w14:paraId="3BDC2E37"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2,559</w:t>
      </w:r>
    </w:p>
    <w:p w14:paraId="08E5D297"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2,545</w:t>
      </w:r>
    </w:p>
    <w:p w14:paraId="73CCA6B8"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2015 DORS Objective: 2,560</w:t>
      </w:r>
    </w:p>
    <w:p w14:paraId="0D24E612"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1.2: Of closed cases that received services, percentage with an employment outcome.</w:t>
      </w:r>
    </w:p>
    <w:p w14:paraId="5B9AF25D"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59.65%</w:t>
      </w:r>
    </w:p>
    <w:p w14:paraId="6250D1F8"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59.09%</w:t>
      </w:r>
    </w:p>
    <w:p w14:paraId="5193FE6B"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55.8%</w:t>
      </w:r>
    </w:p>
    <w:p w14:paraId="35943B38"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1.3: Of closed cases with an employment outcome, percentage that have a wage greater than or equal to the minimum wage.</w:t>
      </w:r>
    </w:p>
    <w:p w14:paraId="12B09FD9"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95.38%</w:t>
      </w:r>
    </w:p>
    <w:p w14:paraId="1CF10CC5"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95.09%</w:t>
      </w:r>
    </w:p>
    <w:p w14:paraId="6683993C"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72.6%</w:t>
      </w:r>
    </w:p>
    <w:p w14:paraId="619A916D"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lastRenderedPageBreak/>
        <w:t>Standard 1.4: Of closed cases with an employment outcome that have a wage greater than or equal to minimum wage, percentage that have significant disabilities.</w:t>
      </w:r>
    </w:p>
    <w:p w14:paraId="01C9DB64"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100%</w:t>
      </w:r>
    </w:p>
    <w:p w14:paraId="37F2482C"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100%</w:t>
      </w:r>
    </w:p>
    <w:p w14:paraId="64C78658"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62.4%</w:t>
      </w:r>
    </w:p>
    <w:p w14:paraId="5579BDF3"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1.5: Ratio of average state wage to the average wage of closed cases with employment outcome that have wages greater than or equal to minimum wage.</w:t>
      </w:r>
    </w:p>
    <w:p w14:paraId="3A790744"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.44</w:t>
      </w:r>
    </w:p>
    <w:p w14:paraId="50189C6F"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.42</w:t>
      </w:r>
    </w:p>
    <w:p w14:paraId="5B363B45"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.52</w:t>
      </w:r>
    </w:p>
    <w:p w14:paraId="4A8CA3F4"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1.6: Difference between the percentage of closed cases with employment outcomes that have wage greater than or equal to minimum wage that are self-support at application and the percent of closed cases with employment outcomes that have a wage greater than or equal to the minimum wage that are self-support at closure.</w:t>
      </w:r>
    </w:p>
    <w:p w14:paraId="107A91F9"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68.60%</w:t>
      </w:r>
    </w:p>
    <w:p w14:paraId="493EB820"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67.69%</w:t>
      </w:r>
    </w:p>
    <w:p w14:paraId="062A8616"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53.0%</w:t>
      </w:r>
    </w:p>
    <w:p w14:paraId="2866A108"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2.1: Ratio of minority service rate to non-minority service rate.</w:t>
      </w:r>
    </w:p>
    <w:p w14:paraId="043C7BBD"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.894</w:t>
      </w:r>
    </w:p>
    <w:p w14:paraId="1F63AE3F"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.842</w:t>
      </w:r>
    </w:p>
    <w:p w14:paraId="4E205D49"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.80</w:t>
      </w:r>
    </w:p>
    <w:p w14:paraId="4AA78E6A"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DORS met five of the six primary standards and indicators, and achieved 99.96% of its aspirational rehabilitation goal (2,560). DORS has a pattern of not achieving Standard 1.5, due to the state’s high per capita income.</w:t>
      </w:r>
    </w:p>
    <w:p w14:paraId="190F4AA2"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a. OFS will achieve at least 85% consumer satisfaction.</w:t>
      </w:r>
    </w:p>
    <w:p w14:paraId="7AAEDF52"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83% customer satisfaction achieved. Goal unmet due to dip in overall customer satisfaction with timeliness of services (FY 14: 86% to FY 15: 75%)</w:t>
      </w:r>
    </w:p>
    <w:p w14:paraId="21BA4F04"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OFS will achieve 2360 employment outcomes.2,386 employment outcomes achieved (FY 13: 2,377).</w:t>
      </w:r>
    </w:p>
    <w:p w14:paraId="03761A75"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b. Achieve at least 90% in presumption of eligibility in SSI and SSDI cases.</w:t>
      </w:r>
    </w:p>
    <w:p w14:paraId="64E1B159"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88.94% presumption of eligibility timeliness achieved. Eligibility timeliness dipped below 90% during this timeframe in part due to numerous vacancies experienced statewide. Strategies to increase management oversight in FY 16 are being considered.</w:t>
      </w:r>
    </w:p>
    <w:p w14:paraId="415DA209"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c. Consumers will achieve an increase in average hourly earnings from the previous year.</w:t>
      </w:r>
    </w:p>
    <w:p w14:paraId="401E1307"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$10.84 (FY 14: $10.50)</w:t>
      </w:r>
    </w:p>
    <w:p w14:paraId="5CCCD2A0"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d. More consumers will achieve professional, technical and managerial positions than in the previous year.</w:t>
      </w:r>
    </w:p>
    <w:p w14:paraId="38B93139"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280 (FY 14: 259)</w:t>
      </w:r>
    </w:p>
    <w:p w14:paraId="33A21D2B"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e. Will continue to report middle-skill career achievement related to Skills2Compete required by the governor’s office.</w:t>
      </w:r>
    </w:p>
    <w:p w14:paraId="6D45BCB5" w14:textId="77777777" w:rsidR="008E5B5A" w:rsidRPr="004A0C12" w:rsidRDefault="008E5B5A" w:rsidP="008E5B5A">
      <w:pPr>
        <w:pStyle w:val="NormalWeb"/>
        <w:spacing w:before="0" w:beforeAutospacing="0" w:afterAutospacing="0"/>
        <w:rPr>
          <w:rFonts w:ascii="Garamond" w:hAnsi="Garamond"/>
          <w:sz w:val="22"/>
          <w:szCs w:val="22"/>
        </w:rPr>
      </w:pPr>
      <w:r w:rsidRPr="004A0C12">
        <w:rPr>
          <w:rFonts w:ascii="Garamond" w:hAnsi="Garamond"/>
          <w:color w:val="000000"/>
          <w:sz w:val="22"/>
          <w:szCs w:val="22"/>
        </w:rPr>
        <w:t>S2C Metric Numbers for State Year 2014 reported on October 15, 2014 at the request of the Governor’s Workforce Investment Board.</w:t>
      </w:r>
    </w:p>
    <w:p w14:paraId="733FD82E" w14:textId="77777777" w:rsidR="007A1FDC" w:rsidRPr="004A0C12" w:rsidRDefault="007A1FDC" w:rsidP="007A1FDC">
      <w:pPr>
        <w:spacing w:after="0" w:line="240" w:lineRule="auto"/>
        <w:jc w:val="both"/>
        <w:rPr>
          <w:rFonts w:ascii="Garamond" w:hAnsi="Garamond"/>
        </w:rPr>
      </w:pPr>
    </w:p>
    <w:p w14:paraId="2D44A9E5" w14:textId="4AF2BE82" w:rsidR="007A1FDC" w:rsidRPr="004A0C12" w:rsidRDefault="006949CD" w:rsidP="007A1FDC">
      <w:pPr>
        <w:keepNext/>
        <w:spacing w:after="0" w:line="240" w:lineRule="auto"/>
        <w:jc w:val="both"/>
        <w:rPr>
          <w:rFonts w:ascii="Garamond" w:hAnsi="Garamond"/>
        </w:rPr>
      </w:pPr>
      <w:r w:rsidRPr="004A0C12">
        <w:rPr>
          <w:rFonts w:ascii="Garamond" w:hAnsi="Garamond"/>
        </w:rPr>
        <w:t xml:space="preserve">Objective 1.3 - </w:t>
      </w:r>
      <w:r w:rsidR="007A1FDC" w:rsidRPr="004A0C12">
        <w:rPr>
          <w:rFonts w:ascii="Garamond" w:hAnsi="Garamond"/>
        </w:rPr>
        <w:t xml:space="preserve">DORS will provide high-quality services and outcomes for individuals who are </w:t>
      </w:r>
      <w:r w:rsidR="00B22D03" w:rsidRPr="004A0C12">
        <w:rPr>
          <w:rFonts w:ascii="Garamond" w:hAnsi="Garamond"/>
        </w:rPr>
        <w:t>blind and vision impaired</w:t>
      </w:r>
      <w:r w:rsidR="007A1FDC" w:rsidRPr="004A0C12">
        <w:rPr>
          <w:rFonts w:ascii="Garamond" w:hAnsi="Garamond"/>
        </w:rPr>
        <w:t>.</w:t>
      </w:r>
    </w:p>
    <w:p w14:paraId="3E3690A1" w14:textId="77777777" w:rsidR="007A1FDC" w:rsidRPr="004A0C12" w:rsidRDefault="007A1FDC" w:rsidP="007A1FDC">
      <w:pPr>
        <w:spacing w:after="0" w:line="240" w:lineRule="auto"/>
        <w:jc w:val="both"/>
        <w:rPr>
          <w:rFonts w:ascii="Garamond" w:hAnsi="Garamond"/>
        </w:rPr>
      </w:pPr>
    </w:p>
    <w:p w14:paraId="4E57538B" w14:textId="27654D8A" w:rsidR="007A1FDC" w:rsidRPr="004A0C12" w:rsidRDefault="007A1FDC" w:rsidP="007A1FDC">
      <w:pPr>
        <w:spacing w:after="0" w:line="240" w:lineRule="auto"/>
        <w:jc w:val="both"/>
        <w:rPr>
          <w:rFonts w:ascii="Garamond" w:hAnsi="Garamond"/>
        </w:rPr>
      </w:pPr>
      <w:r w:rsidRPr="004A0C12">
        <w:rPr>
          <w:rFonts w:ascii="Garamond" w:hAnsi="Garamond"/>
        </w:rPr>
        <w:t>Strategies:</w:t>
      </w:r>
      <w:r w:rsidR="008E5B5A" w:rsidRPr="004A0C12">
        <w:rPr>
          <w:rFonts w:ascii="Garamond" w:hAnsi="Garamond"/>
        </w:rPr>
        <w:t xml:space="preserve"> DORS will</w:t>
      </w:r>
    </w:p>
    <w:p w14:paraId="14F1D21B" w14:textId="77777777" w:rsidR="00CE0E45" w:rsidRPr="004A0C12" w:rsidRDefault="007A1FDC" w:rsidP="00232F09">
      <w:pPr>
        <w:pStyle w:val="ListParagraph"/>
        <w:numPr>
          <w:ilvl w:val="0"/>
          <w:numId w:val="265"/>
        </w:numPr>
        <w:tabs>
          <w:tab w:val="left" w:pos="1080"/>
        </w:tabs>
        <w:jc w:val="both"/>
        <w:rPr>
          <w:rFonts w:ascii="Garamond" w:hAnsi="Garamond"/>
          <w:szCs w:val="22"/>
        </w:rPr>
      </w:pPr>
      <w:r w:rsidRPr="004A0C12">
        <w:rPr>
          <w:rFonts w:ascii="Garamond" w:hAnsi="Garamond"/>
          <w:szCs w:val="22"/>
        </w:rPr>
        <w:lastRenderedPageBreak/>
        <w:t>Provide high quality comprehensive services to eligible individuals who are blind and vision impaired in keeping with the Rehabilitation Act and Federal Regulations, the Code of Maryland regulation, the Rando</w:t>
      </w:r>
      <w:r w:rsidR="00CE0E45" w:rsidRPr="004A0C12">
        <w:rPr>
          <w:rFonts w:ascii="Garamond" w:hAnsi="Garamond"/>
          <w:szCs w:val="22"/>
        </w:rPr>
        <w:t>lph Shepard Act and DORS Policy;</w:t>
      </w:r>
    </w:p>
    <w:p w14:paraId="0271FD77" w14:textId="77777777" w:rsidR="00CE0E45" w:rsidRPr="004A0C12" w:rsidRDefault="007A1FDC" w:rsidP="00232F09">
      <w:pPr>
        <w:pStyle w:val="ListParagraph"/>
        <w:numPr>
          <w:ilvl w:val="0"/>
          <w:numId w:val="265"/>
        </w:numPr>
        <w:tabs>
          <w:tab w:val="left" w:pos="1080"/>
        </w:tabs>
        <w:jc w:val="both"/>
        <w:rPr>
          <w:rFonts w:ascii="Garamond" w:hAnsi="Garamond"/>
          <w:szCs w:val="22"/>
        </w:rPr>
      </w:pPr>
      <w:r w:rsidRPr="004A0C12">
        <w:rPr>
          <w:rFonts w:ascii="Garamond" w:hAnsi="Garamond"/>
          <w:szCs w:val="22"/>
        </w:rPr>
        <w:t>Provide independent living services to older individuals who are blind through</w:t>
      </w:r>
      <w:r w:rsidR="00CE0E45" w:rsidRPr="004A0C12">
        <w:rPr>
          <w:rFonts w:ascii="Garamond" w:hAnsi="Garamond"/>
          <w:szCs w:val="22"/>
        </w:rPr>
        <w:t>:</w:t>
      </w:r>
      <w:r w:rsidRPr="004A0C12">
        <w:rPr>
          <w:rFonts w:ascii="Garamond" w:hAnsi="Garamond"/>
          <w:szCs w:val="22"/>
        </w:rPr>
        <w:t xml:space="preserve"> (1) direct services of DORS rehabilitation teachers</w:t>
      </w:r>
      <w:r w:rsidR="00CE0E45" w:rsidRPr="004A0C12">
        <w:rPr>
          <w:rFonts w:ascii="Garamond" w:hAnsi="Garamond"/>
          <w:szCs w:val="22"/>
        </w:rPr>
        <w:t>;</w:t>
      </w:r>
      <w:r w:rsidRPr="004A0C12">
        <w:rPr>
          <w:rFonts w:ascii="Garamond" w:hAnsi="Garamond"/>
          <w:szCs w:val="22"/>
        </w:rPr>
        <w:t xml:space="preserve"> and</w:t>
      </w:r>
      <w:r w:rsidR="00CE0E45" w:rsidRPr="004A0C12">
        <w:rPr>
          <w:rFonts w:ascii="Garamond" w:hAnsi="Garamond"/>
          <w:szCs w:val="22"/>
        </w:rPr>
        <w:t>,</w:t>
      </w:r>
      <w:r w:rsidRPr="004A0C12">
        <w:rPr>
          <w:rFonts w:ascii="Garamond" w:hAnsi="Garamond"/>
          <w:szCs w:val="22"/>
        </w:rPr>
        <w:t xml:space="preserve"> (2) gr</w:t>
      </w:r>
      <w:r w:rsidR="00CE0E45" w:rsidRPr="004A0C12">
        <w:rPr>
          <w:rFonts w:ascii="Garamond" w:hAnsi="Garamond"/>
          <w:szCs w:val="22"/>
        </w:rPr>
        <w:t>ants to community organizations;</w:t>
      </w:r>
    </w:p>
    <w:p w14:paraId="26324D92" w14:textId="1272A660" w:rsidR="00CE0E45" w:rsidRPr="004A0C12" w:rsidRDefault="007A1FDC" w:rsidP="00232F09">
      <w:pPr>
        <w:pStyle w:val="ListParagraph"/>
        <w:numPr>
          <w:ilvl w:val="0"/>
          <w:numId w:val="265"/>
        </w:numPr>
        <w:tabs>
          <w:tab w:val="left" w:pos="1080"/>
        </w:tabs>
        <w:jc w:val="both"/>
        <w:rPr>
          <w:rFonts w:ascii="Garamond" w:hAnsi="Garamond"/>
          <w:szCs w:val="22"/>
        </w:rPr>
      </w:pPr>
      <w:r w:rsidRPr="004A0C12">
        <w:rPr>
          <w:rFonts w:ascii="Garamond" w:hAnsi="Garamond"/>
          <w:szCs w:val="22"/>
        </w:rPr>
        <w:t>Collabo</w:t>
      </w:r>
      <w:r w:rsidR="00CE0E45" w:rsidRPr="004A0C12">
        <w:rPr>
          <w:rFonts w:ascii="Garamond" w:hAnsi="Garamond"/>
          <w:szCs w:val="22"/>
        </w:rPr>
        <w:t>rate with the Workforce &amp; Technology Center</w:t>
      </w:r>
      <w:r w:rsidRPr="004A0C12">
        <w:rPr>
          <w:rFonts w:ascii="Garamond" w:hAnsi="Garamond"/>
          <w:szCs w:val="22"/>
        </w:rPr>
        <w:t xml:space="preserve"> in </w:t>
      </w:r>
      <w:r w:rsidR="008E5B5A" w:rsidRPr="004A0C12">
        <w:rPr>
          <w:rFonts w:ascii="Garamond" w:hAnsi="Garamond"/>
          <w:szCs w:val="22"/>
        </w:rPr>
        <w:t>assuring that Blind and Visually Impaired consumers have equal access to all programs available at WTC;</w:t>
      </w:r>
    </w:p>
    <w:p w14:paraId="4A97AA03" w14:textId="786F484C" w:rsidR="00B71C40" w:rsidRPr="004A0C12" w:rsidRDefault="00B71C40" w:rsidP="00232F09">
      <w:pPr>
        <w:pStyle w:val="NormalWeb"/>
        <w:numPr>
          <w:ilvl w:val="0"/>
          <w:numId w:val="265"/>
        </w:numPr>
        <w:spacing w:before="0" w:beforeAutospacing="0" w:afterAutospacing="0"/>
        <w:rPr>
          <w:rFonts w:ascii="Garamond" w:hAnsi="Garamond"/>
          <w:sz w:val="22"/>
          <w:szCs w:val="22"/>
        </w:rPr>
      </w:pPr>
      <w:r w:rsidRPr="004A0C12">
        <w:rPr>
          <w:rFonts w:ascii="Garamond" w:hAnsi="Garamond"/>
          <w:color w:val="000000"/>
          <w:sz w:val="22"/>
          <w:szCs w:val="22"/>
        </w:rPr>
        <w:t>Enhance linkages with businesses and employers to include customized training, education and disability awareness, work site AT services and mentoring/internship activities, raising awareness and expectations for competitive employment for consumers who are blind/visually impaired.</w:t>
      </w:r>
    </w:p>
    <w:p w14:paraId="37621885" w14:textId="44502571" w:rsidR="00B71C40" w:rsidRPr="004A0C12" w:rsidRDefault="00B71C40" w:rsidP="00232F09">
      <w:pPr>
        <w:pStyle w:val="NormalWeb"/>
        <w:numPr>
          <w:ilvl w:val="0"/>
          <w:numId w:val="265"/>
        </w:numPr>
        <w:spacing w:before="0" w:beforeAutospacing="0" w:afterAutospacing="0"/>
        <w:rPr>
          <w:rFonts w:ascii="Garamond" w:hAnsi="Garamond"/>
          <w:sz w:val="22"/>
          <w:szCs w:val="22"/>
        </w:rPr>
      </w:pPr>
      <w:r w:rsidRPr="004A0C12">
        <w:rPr>
          <w:rFonts w:ascii="Garamond" w:hAnsi="Garamond"/>
          <w:color w:val="000000"/>
          <w:sz w:val="22"/>
          <w:szCs w:val="22"/>
        </w:rPr>
        <w:t>Increase services and outreach to individuals who are deaf-blind and provide technical assistance to staff serving this population (Needs Assessment Rec. 7).</w:t>
      </w:r>
    </w:p>
    <w:p w14:paraId="49538194" w14:textId="51B945BA" w:rsidR="00B71C40" w:rsidRPr="004A0C12" w:rsidRDefault="00B71C40" w:rsidP="00232F09">
      <w:pPr>
        <w:pStyle w:val="NormalWeb"/>
        <w:numPr>
          <w:ilvl w:val="0"/>
          <w:numId w:val="265"/>
        </w:numPr>
        <w:spacing w:before="0" w:beforeAutospacing="0" w:afterAutospacing="0"/>
        <w:rPr>
          <w:rFonts w:ascii="Garamond" w:hAnsi="Garamond"/>
          <w:sz w:val="22"/>
          <w:szCs w:val="22"/>
        </w:rPr>
      </w:pPr>
      <w:r w:rsidRPr="004A0C12">
        <w:rPr>
          <w:rFonts w:ascii="Garamond" w:hAnsi="Garamond"/>
          <w:color w:val="000000"/>
          <w:sz w:val="22"/>
          <w:szCs w:val="22"/>
        </w:rPr>
        <w:t>Recruit and train Maryland Business Enterprise Program for the Blind vendors.</w:t>
      </w:r>
    </w:p>
    <w:p w14:paraId="117DCC77" w14:textId="77777777" w:rsidR="007A1FDC" w:rsidRPr="004A0C12" w:rsidRDefault="007A1FDC" w:rsidP="007A1FDC">
      <w:pPr>
        <w:spacing w:after="0" w:line="240" w:lineRule="auto"/>
        <w:jc w:val="both"/>
        <w:rPr>
          <w:rFonts w:ascii="Garamond" w:hAnsi="Garamond"/>
        </w:rPr>
      </w:pPr>
    </w:p>
    <w:p w14:paraId="22199E0A" w14:textId="44B6A99F"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w:t>
      </w:r>
      <w:r w:rsidR="00B71C40" w:rsidRPr="004A0C12">
        <w:rPr>
          <w:rFonts w:ascii="Garamond" w:hAnsi="Garamond"/>
        </w:rPr>
        <w:t>30, 2015</w:t>
      </w:r>
      <w:r w:rsidRPr="004A0C12">
        <w:rPr>
          <w:rFonts w:ascii="Garamond" w:hAnsi="Garamond"/>
        </w:rPr>
        <w:t>:</w:t>
      </w:r>
    </w:p>
    <w:p w14:paraId="4BD0B0EF" w14:textId="77777777" w:rsidR="007A1FDC" w:rsidRPr="004A0C12" w:rsidRDefault="007A1FDC" w:rsidP="00232F09">
      <w:pPr>
        <w:pStyle w:val="ListParagraph"/>
        <w:numPr>
          <w:ilvl w:val="0"/>
          <w:numId w:val="263"/>
        </w:numPr>
        <w:jc w:val="both"/>
        <w:rPr>
          <w:rFonts w:ascii="Garamond" w:hAnsi="Garamond"/>
          <w:szCs w:val="22"/>
        </w:rPr>
      </w:pPr>
      <w:r w:rsidRPr="004A0C12">
        <w:rPr>
          <w:rFonts w:ascii="Garamond" w:hAnsi="Garamond"/>
          <w:szCs w:val="22"/>
        </w:rPr>
        <w:t>Meet or exceed federal performance indicators for services for blind/vision impaired.</w:t>
      </w:r>
    </w:p>
    <w:p w14:paraId="2020AFB8" w14:textId="77777777" w:rsidR="007A1FDC" w:rsidRPr="004A0C12" w:rsidRDefault="007A1FDC" w:rsidP="007A1FDC">
      <w:pPr>
        <w:spacing w:after="0" w:line="240" w:lineRule="auto"/>
        <w:ind w:left="1080"/>
        <w:jc w:val="both"/>
        <w:rPr>
          <w:rFonts w:ascii="Garamond" w:hAnsi="Garamond"/>
        </w:rPr>
      </w:pPr>
    </w:p>
    <w:p w14:paraId="2101F917" w14:textId="3AE9BE37" w:rsidR="007A1FDC" w:rsidRPr="004A0C12" w:rsidRDefault="001256D9" w:rsidP="001256D9">
      <w:pPr>
        <w:tabs>
          <w:tab w:val="left" w:pos="720"/>
        </w:tabs>
        <w:spacing w:after="0" w:line="240" w:lineRule="auto"/>
        <w:jc w:val="both"/>
        <w:rPr>
          <w:rFonts w:ascii="Garamond" w:hAnsi="Garamond"/>
        </w:rPr>
      </w:pPr>
      <w:r w:rsidRPr="004A0C12">
        <w:rPr>
          <w:rFonts w:ascii="Garamond" w:hAnsi="Garamond"/>
        </w:rPr>
        <w:tab/>
      </w:r>
      <w:r w:rsidR="007A1FDC" w:rsidRPr="004A0C12">
        <w:rPr>
          <w:rFonts w:ascii="Garamond" w:hAnsi="Garamond"/>
        </w:rPr>
        <w:t xml:space="preserve">End-Year: </w:t>
      </w:r>
      <w:r w:rsidR="007A1FDC" w:rsidRPr="004A0C12">
        <w:rPr>
          <w:rFonts w:ascii="Garamond" w:hAnsi="Garamond"/>
        </w:rPr>
        <w:cr/>
      </w:r>
    </w:p>
    <w:p w14:paraId="63BDB9A0" w14:textId="34330E89" w:rsidR="007A1FDC" w:rsidRPr="004A0C12" w:rsidRDefault="001256D9" w:rsidP="001256D9">
      <w:pPr>
        <w:tabs>
          <w:tab w:val="left" w:pos="720"/>
        </w:tabs>
        <w:spacing w:after="0" w:line="240" w:lineRule="auto"/>
        <w:jc w:val="both"/>
        <w:rPr>
          <w:rFonts w:ascii="Garamond" w:hAnsi="Garamond"/>
        </w:rPr>
      </w:pPr>
      <w:r w:rsidRPr="004A0C12">
        <w:rPr>
          <w:rFonts w:ascii="Garamond" w:hAnsi="Garamond"/>
        </w:rPr>
        <w:tab/>
      </w:r>
      <w:r w:rsidR="007A1FDC" w:rsidRPr="004A0C12">
        <w:rPr>
          <w:rFonts w:ascii="Garamond" w:hAnsi="Garamond"/>
        </w:rPr>
        <w:t>Standard 1.1:  Number of closed cases with an employment outcome</w:t>
      </w:r>
    </w:p>
    <w:p w14:paraId="79CEF885"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173</w:t>
      </w:r>
    </w:p>
    <w:p w14:paraId="1420F91C"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166</w:t>
      </w:r>
    </w:p>
    <w:p w14:paraId="50016523"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(2015 DORS Objective: 180)</w:t>
      </w:r>
    </w:p>
    <w:p w14:paraId="6091D1DF"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1.2: Of closed cases that received services, percentage with an employment outcome.</w:t>
      </w:r>
    </w:p>
    <w:p w14:paraId="552D2FE7"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73.62%</w:t>
      </w:r>
    </w:p>
    <w:p w14:paraId="41938D3B"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69.42%</w:t>
      </w:r>
    </w:p>
    <w:p w14:paraId="549DE1E1"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55.8%</w:t>
      </w:r>
    </w:p>
    <w:p w14:paraId="47EF5F96"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1.3: Of closed cases with an employment outcome, percentage that have a wage greater than or equal to the minimum wage.</w:t>
      </w:r>
    </w:p>
    <w:p w14:paraId="4532D815"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58.38%</w:t>
      </w:r>
    </w:p>
    <w:p w14:paraId="4A986842"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63.10%</w:t>
      </w:r>
    </w:p>
    <w:p w14:paraId="53E48285"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72.6%</w:t>
      </w:r>
    </w:p>
    <w:p w14:paraId="006FFA4B"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1.4: Of closed cases with an employment outcome that have a wage greater than or equal to minimum wage, percentage that have significant disabilities.</w:t>
      </w:r>
    </w:p>
    <w:p w14:paraId="62E1B7C8"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100%</w:t>
      </w:r>
    </w:p>
    <w:p w14:paraId="085457C4"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100%</w:t>
      </w:r>
    </w:p>
    <w:p w14:paraId="26B7AC8F"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62.4%</w:t>
      </w:r>
    </w:p>
    <w:p w14:paraId="6F639FD2"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1.5: Ratio of average state wage to the average wage of closed cases with employment outcome that have wages greater than or equal to minimum wage.</w:t>
      </w:r>
    </w:p>
    <w:p w14:paraId="5BF72C21"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.67</w:t>
      </w:r>
    </w:p>
    <w:p w14:paraId="3464DCF5"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.72</w:t>
      </w:r>
    </w:p>
    <w:p w14:paraId="1C7D7D38"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.52</w:t>
      </w:r>
    </w:p>
    <w:p w14:paraId="15399B7F"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lastRenderedPageBreak/>
        <w:t>Standard 1.6: Difference between the percentage of closed cases with employment outcomes that have wage greater than or equal to minimum wage that are self-support at application and the percent of closed cases with employment outcomes that have a wage greater than or equal to the minimum wage that are self-support at closure.</w:t>
      </w:r>
    </w:p>
    <w:p w14:paraId="5E0F1BEB"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54.455%</w:t>
      </w:r>
    </w:p>
    <w:p w14:paraId="04AEFCD6"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56.604%</w:t>
      </w:r>
    </w:p>
    <w:p w14:paraId="482657E3"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53.000%</w:t>
      </w:r>
    </w:p>
    <w:p w14:paraId="02067782"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 2.1: Ratio of minority service rate to non-minority service rate.</w:t>
      </w:r>
    </w:p>
    <w:p w14:paraId="4D237A1C"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Current Year 2015: 1.045</w:t>
      </w:r>
    </w:p>
    <w:p w14:paraId="651073BE"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Previous Year 2014: .933</w:t>
      </w:r>
    </w:p>
    <w:p w14:paraId="43351C43"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2015 Objective: .800</w:t>
      </w:r>
    </w:p>
    <w:p w14:paraId="678A00D1"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Standards achieved for 5 of the 6 indicators, and 96% of aspirational goal (180) achieved. Standard 1.3 missed this year due to an 11% increase in the number of homemaker outcomes between FY 14 and FY 15.</w:t>
      </w:r>
    </w:p>
    <w:p w14:paraId="344E40E5"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b. OBVS will achieve 180 employment outcomes.</w:t>
      </w:r>
    </w:p>
    <w:p w14:paraId="391C6B68"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173 outcomes achieved, despite numerous vacancies throughout the year.</w:t>
      </w:r>
    </w:p>
    <w:p w14:paraId="125142EF"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c. The Business Enterprise Program will recruit/train/license three new managers and establish new vending sites where available.</w:t>
      </w:r>
    </w:p>
    <w:p w14:paraId="52818F9C"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BEP trained and licensed 4 vendors in FY 2015, including 1 new facility located at the National Cancer Institute (NCI).</w:t>
      </w:r>
    </w:p>
    <w:p w14:paraId="4F6F23C5"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d. Establish a baseline of ILOB outcomes in light of programmatic/service modifications and anticipated funding reductions.</w:t>
      </w:r>
    </w:p>
    <w:p w14:paraId="75BC1D12"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In FY2015, 846 consumers were served under the ILOB program.</w:t>
      </w:r>
    </w:p>
    <w:p w14:paraId="4CB439F1"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e. An increased number of consumers who are blind/vision impaired or deaf-blind will be referred to the WTC compared with the previous year.</w:t>
      </w:r>
    </w:p>
    <w:p w14:paraId="391FBCE0"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?349 (312 blind/vision impaired and 37 deaf/blind) consumers served; down 3.5% from the previous year (362). Incorrect coding of the consumers’ Deaf/Blind disability may have contributed to this decline. Efforts are underway to ensure that Deaf/Blind consumers are properly coded. A turnover in WTC staff also affected the number of consumers served. ?</w:t>
      </w:r>
    </w:p>
    <w:p w14:paraId="119DAD8D"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f. Achieve a consumer satisfaction rate of 85%.</w:t>
      </w:r>
    </w:p>
    <w:p w14:paraId="6917BB55" w14:textId="77777777" w:rsidR="00B71C40" w:rsidRPr="004A0C12" w:rsidRDefault="00B71C40" w:rsidP="00B71C40">
      <w:pPr>
        <w:pStyle w:val="NormalWeb"/>
        <w:spacing w:before="0" w:beforeAutospacing="0" w:afterAutospacing="0"/>
        <w:rPr>
          <w:rFonts w:ascii="Garamond" w:hAnsi="Garamond"/>
          <w:sz w:val="22"/>
          <w:szCs w:val="22"/>
        </w:rPr>
      </w:pPr>
      <w:r w:rsidRPr="004A0C12">
        <w:rPr>
          <w:rFonts w:ascii="Garamond" w:hAnsi="Garamond"/>
          <w:color w:val="000000"/>
          <w:sz w:val="22"/>
          <w:szCs w:val="22"/>
        </w:rPr>
        <w:t>85% customer satisfaction achieved for SY15, ending June 30, 2015.</w:t>
      </w:r>
    </w:p>
    <w:p w14:paraId="6549E37C" w14:textId="66067005" w:rsidR="007A1FDC" w:rsidRPr="004A0C12" w:rsidRDefault="007A1FDC" w:rsidP="001256D9">
      <w:pPr>
        <w:spacing w:after="0" w:line="240" w:lineRule="auto"/>
        <w:ind w:firstLine="720"/>
        <w:jc w:val="both"/>
        <w:rPr>
          <w:rFonts w:ascii="Garamond" w:hAnsi="Garamond"/>
        </w:rPr>
      </w:pPr>
    </w:p>
    <w:p w14:paraId="14D4F59C" w14:textId="11440421" w:rsidR="007A1FDC" w:rsidRPr="004A0C12" w:rsidRDefault="006949CD" w:rsidP="007A1FDC">
      <w:pPr>
        <w:keepNext/>
        <w:spacing w:after="0" w:line="240" w:lineRule="auto"/>
        <w:jc w:val="both"/>
        <w:rPr>
          <w:rFonts w:ascii="Garamond" w:hAnsi="Garamond"/>
        </w:rPr>
      </w:pPr>
      <w:r w:rsidRPr="004A0C12">
        <w:rPr>
          <w:rFonts w:ascii="Garamond" w:hAnsi="Garamond"/>
        </w:rPr>
        <w:t xml:space="preserve">Objective 1.4 - </w:t>
      </w:r>
      <w:r w:rsidR="007A1FDC" w:rsidRPr="004A0C12">
        <w:rPr>
          <w:rFonts w:ascii="Garamond" w:hAnsi="Garamond"/>
        </w:rPr>
        <w:t>Provide effective employment services at the Workforce &amp; Technology Center using state-of-the-art interdisciplinary strategies.</w:t>
      </w:r>
    </w:p>
    <w:p w14:paraId="48DF0F3A" w14:textId="77777777" w:rsidR="007A1FDC" w:rsidRPr="004A0C12" w:rsidRDefault="007A1FDC" w:rsidP="007A1FDC">
      <w:pPr>
        <w:spacing w:after="0" w:line="240" w:lineRule="auto"/>
        <w:jc w:val="both"/>
        <w:rPr>
          <w:rFonts w:ascii="Garamond" w:hAnsi="Garamond"/>
        </w:rPr>
      </w:pPr>
    </w:p>
    <w:p w14:paraId="30580EB2"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3E3BC11F" w14:textId="47E45D84" w:rsidR="00B71C40" w:rsidRPr="004A0C12" w:rsidRDefault="00B71C40" w:rsidP="00232F09">
      <w:pPr>
        <w:pStyle w:val="NormalWeb"/>
        <w:numPr>
          <w:ilvl w:val="0"/>
          <w:numId w:val="266"/>
        </w:numPr>
        <w:spacing w:before="0" w:beforeAutospacing="0" w:afterAutospacing="0"/>
        <w:rPr>
          <w:rFonts w:ascii="Garamond" w:hAnsi="Garamond"/>
          <w:sz w:val="22"/>
          <w:szCs w:val="22"/>
        </w:rPr>
      </w:pPr>
      <w:r w:rsidRPr="004A0C12">
        <w:rPr>
          <w:rFonts w:ascii="Garamond" w:hAnsi="Garamond"/>
          <w:color w:val="000000"/>
          <w:sz w:val="22"/>
          <w:szCs w:val="22"/>
        </w:rPr>
        <w:t>Provide high quality comprehensive services to individuals with significant disabilities to</w:t>
      </w:r>
      <w:r w:rsidRPr="004A0C12">
        <w:rPr>
          <w:rFonts w:ascii="Garamond" w:hAnsi="Garamond"/>
          <w:sz w:val="22"/>
          <w:szCs w:val="22"/>
        </w:rPr>
        <w:t xml:space="preserve"> </w:t>
      </w:r>
      <w:r w:rsidRPr="004A0C12">
        <w:rPr>
          <w:rFonts w:ascii="Garamond" w:hAnsi="Garamond"/>
          <w:color w:val="000000"/>
          <w:sz w:val="22"/>
          <w:szCs w:val="22"/>
        </w:rPr>
        <w:t>facilitate successful employment outcomes.</w:t>
      </w:r>
    </w:p>
    <w:p w14:paraId="6CA3CE46" w14:textId="77777777" w:rsidR="00B71C40" w:rsidRPr="004A0C12" w:rsidRDefault="00B71C40" w:rsidP="00232F09">
      <w:pPr>
        <w:pStyle w:val="NormalWeb"/>
        <w:numPr>
          <w:ilvl w:val="0"/>
          <w:numId w:val="266"/>
        </w:numPr>
        <w:spacing w:before="0" w:beforeAutospacing="0" w:afterAutospacing="0"/>
        <w:rPr>
          <w:rFonts w:ascii="Garamond" w:hAnsi="Garamond"/>
          <w:sz w:val="22"/>
          <w:szCs w:val="22"/>
        </w:rPr>
      </w:pPr>
      <w:r w:rsidRPr="004A0C12">
        <w:rPr>
          <w:rFonts w:ascii="Garamond" w:hAnsi="Garamond"/>
          <w:color w:val="000000"/>
          <w:sz w:val="22"/>
          <w:szCs w:val="22"/>
        </w:rPr>
        <w:t>2. Develop relationships with employers utilizing agency staff who specialize in underserved</w:t>
      </w:r>
      <w:r w:rsidRPr="004A0C12">
        <w:rPr>
          <w:rFonts w:ascii="Garamond" w:hAnsi="Garamond"/>
          <w:sz w:val="22"/>
          <w:szCs w:val="22"/>
        </w:rPr>
        <w:t xml:space="preserve"> </w:t>
      </w:r>
      <w:r w:rsidRPr="004A0C12">
        <w:rPr>
          <w:rFonts w:ascii="Garamond" w:hAnsi="Garamond"/>
          <w:color w:val="000000"/>
          <w:sz w:val="22"/>
          <w:szCs w:val="22"/>
        </w:rPr>
        <w:t xml:space="preserve">populations to address service needs; as well as, issues and trends related to the employment of underserved disability populations. </w:t>
      </w:r>
    </w:p>
    <w:p w14:paraId="555EFE53" w14:textId="77777777" w:rsidR="00B71C40" w:rsidRPr="004A0C12" w:rsidRDefault="00B71C40" w:rsidP="00232F09">
      <w:pPr>
        <w:pStyle w:val="NormalWeb"/>
        <w:numPr>
          <w:ilvl w:val="0"/>
          <w:numId w:val="266"/>
        </w:numPr>
        <w:spacing w:before="0" w:beforeAutospacing="0" w:afterAutospacing="0"/>
        <w:rPr>
          <w:rFonts w:ascii="Garamond" w:hAnsi="Garamond"/>
          <w:sz w:val="22"/>
          <w:szCs w:val="22"/>
        </w:rPr>
      </w:pPr>
      <w:r w:rsidRPr="004A0C12">
        <w:rPr>
          <w:rFonts w:ascii="Garamond" w:hAnsi="Garamond"/>
          <w:color w:val="000000"/>
          <w:sz w:val="22"/>
          <w:szCs w:val="22"/>
        </w:rPr>
        <w:t>Enhance linkages between employers, the business community, DORS Business Services</w:t>
      </w:r>
      <w:r w:rsidRPr="004A0C12">
        <w:rPr>
          <w:rFonts w:ascii="Garamond" w:hAnsi="Garamond"/>
          <w:sz w:val="22"/>
          <w:szCs w:val="22"/>
        </w:rPr>
        <w:t xml:space="preserve"> </w:t>
      </w:r>
      <w:r w:rsidRPr="004A0C12">
        <w:rPr>
          <w:rFonts w:ascii="Garamond" w:hAnsi="Garamond"/>
          <w:color w:val="000000"/>
          <w:sz w:val="22"/>
          <w:szCs w:val="22"/>
        </w:rPr>
        <w:t xml:space="preserve">staff, and community partners. </w:t>
      </w:r>
    </w:p>
    <w:p w14:paraId="1CDE4991" w14:textId="0124F9B5" w:rsidR="00B71C40" w:rsidRPr="004A0C12" w:rsidRDefault="00B71C40" w:rsidP="00232F09">
      <w:pPr>
        <w:pStyle w:val="NormalWeb"/>
        <w:numPr>
          <w:ilvl w:val="0"/>
          <w:numId w:val="266"/>
        </w:numPr>
        <w:spacing w:before="0" w:beforeAutospacing="0" w:afterAutospacing="0"/>
        <w:rPr>
          <w:rFonts w:ascii="Garamond" w:hAnsi="Garamond"/>
          <w:sz w:val="22"/>
          <w:szCs w:val="22"/>
        </w:rPr>
      </w:pPr>
      <w:r w:rsidRPr="004A0C12">
        <w:rPr>
          <w:rFonts w:ascii="Garamond" w:hAnsi="Garamond"/>
          <w:color w:val="000000"/>
          <w:sz w:val="22"/>
          <w:szCs w:val="22"/>
        </w:rPr>
        <w:t>Explore strategies for WTC staff to collaborate with OFS to assist with workload issues,</w:t>
      </w:r>
      <w:r w:rsidRPr="004A0C12">
        <w:rPr>
          <w:rFonts w:ascii="Garamond" w:hAnsi="Garamond"/>
          <w:sz w:val="22"/>
          <w:szCs w:val="22"/>
        </w:rPr>
        <w:t xml:space="preserve"> </w:t>
      </w:r>
      <w:r w:rsidRPr="004A0C12">
        <w:rPr>
          <w:rFonts w:ascii="Garamond" w:hAnsi="Garamond"/>
          <w:color w:val="000000"/>
          <w:sz w:val="22"/>
          <w:szCs w:val="22"/>
        </w:rPr>
        <w:t>enhance consumer services, increase referrals to WTC, and contribute to successful employment outcomes.</w:t>
      </w:r>
    </w:p>
    <w:p w14:paraId="5421ACC1" w14:textId="1955EBD0" w:rsidR="007A1FDC" w:rsidRPr="004A0C12" w:rsidRDefault="007A1FDC" w:rsidP="007A1FDC">
      <w:pPr>
        <w:spacing w:after="0" w:line="240" w:lineRule="auto"/>
        <w:jc w:val="both"/>
        <w:rPr>
          <w:rFonts w:ascii="Garamond" w:hAnsi="Garamond"/>
        </w:rPr>
      </w:pPr>
      <w:r w:rsidRPr="004A0C12">
        <w:rPr>
          <w:rFonts w:ascii="Garamond" w:hAnsi="Garamond"/>
        </w:rPr>
        <w:cr/>
        <w:t xml:space="preserve">Performance Measures by September </w:t>
      </w:r>
      <w:r w:rsidR="00B71C40" w:rsidRPr="004A0C12">
        <w:rPr>
          <w:rFonts w:ascii="Garamond" w:hAnsi="Garamond"/>
        </w:rPr>
        <w:t>30, 2015</w:t>
      </w:r>
      <w:r w:rsidRPr="004A0C12">
        <w:rPr>
          <w:rFonts w:ascii="Garamond" w:hAnsi="Garamond"/>
        </w:rPr>
        <w:t>:</w:t>
      </w:r>
    </w:p>
    <w:p w14:paraId="1CB09F36" w14:textId="77777777" w:rsidR="00B71C40" w:rsidRPr="004A0C12" w:rsidRDefault="00B71C40" w:rsidP="008D5533">
      <w:pPr>
        <w:pStyle w:val="NormalWeb"/>
        <w:tabs>
          <w:tab w:val="left" w:pos="630"/>
        </w:tabs>
        <w:spacing w:before="0" w:beforeAutospacing="0" w:afterAutospacing="0"/>
        <w:ind w:left="720" w:hanging="360"/>
        <w:rPr>
          <w:rFonts w:ascii="Garamond" w:hAnsi="Garamond"/>
          <w:sz w:val="22"/>
          <w:szCs w:val="22"/>
        </w:rPr>
      </w:pPr>
      <w:r w:rsidRPr="004A0C12">
        <w:rPr>
          <w:rFonts w:ascii="Garamond" w:hAnsi="Garamond"/>
          <w:color w:val="000000"/>
          <w:sz w:val="22"/>
          <w:szCs w:val="22"/>
        </w:rPr>
        <w:t>a. Increase the number of consumers achieving employment outcomes compared to the previous year.</w:t>
      </w:r>
    </w:p>
    <w:p w14:paraId="3ED8A698" w14:textId="77777777" w:rsidR="00B71C40" w:rsidRPr="004A0C12" w:rsidRDefault="00B71C40" w:rsidP="008D5533">
      <w:pPr>
        <w:pStyle w:val="NormalWeb"/>
        <w:tabs>
          <w:tab w:val="left" w:pos="630"/>
        </w:tabs>
        <w:spacing w:before="0" w:beforeAutospacing="0" w:afterAutospacing="0"/>
        <w:ind w:left="720" w:hanging="360"/>
        <w:rPr>
          <w:rFonts w:ascii="Garamond" w:hAnsi="Garamond"/>
          <w:sz w:val="22"/>
          <w:szCs w:val="22"/>
        </w:rPr>
      </w:pPr>
      <w:r w:rsidRPr="004A0C12">
        <w:rPr>
          <w:rFonts w:ascii="Garamond" w:hAnsi="Garamond"/>
          <w:color w:val="000000"/>
          <w:sz w:val="22"/>
          <w:szCs w:val="22"/>
        </w:rPr>
        <w:t>556 consumers achieved employment outcomes; previous year 572.? This is a 3% decline. A decrease in referrals to training programs contributed to the decline.</w:t>
      </w:r>
    </w:p>
    <w:p w14:paraId="187BF61B" w14:textId="77777777" w:rsidR="00B71C40" w:rsidRPr="004A0C12" w:rsidRDefault="00B71C40" w:rsidP="008D5533">
      <w:pPr>
        <w:pStyle w:val="NormalWeb"/>
        <w:tabs>
          <w:tab w:val="left" w:pos="630"/>
        </w:tabs>
        <w:spacing w:before="0" w:beforeAutospacing="0" w:afterAutospacing="0"/>
        <w:ind w:left="720" w:hanging="360"/>
        <w:rPr>
          <w:rFonts w:ascii="Garamond" w:hAnsi="Garamond"/>
          <w:sz w:val="22"/>
          <w:szCs w:val="22"/>
        </w:rPr>
      </w:pPr>
      <w:r w:rsidRPr="004A0C12">
        <w:rPr>
          <w:rFonts w:ascii="Garamond" w:hAnsi="Garamond"/>
          <w:color w:val="000000"/>
          <w:sz w:val="22"/>
          <w:szCs w:val="22"/>
        </w:rPr>
        <w:lastRenderedPageBreak/>
        <w:t>b. Increase the number of consumers in special populations (blind, deaf, deaf-blind, Autism) who will receive services compared to the previous year.</w:t>
      </w:r>
    </w:p>
    <w:p w14:paraId="669D17F6" w14:textId="77777777" w:rsidR="00B71C40" w:rsidRPr="004A0C12" w:rsidRDefault="00B71C40" w:rsidP="008D5533">
      <w:pPr>
        <w:pStyle w:val="NormalWeb"/>
        <w:tabs>
          <w:tab w:val="left" w:pos="630"/>
        </w:tabs>
        <w:spacing w:before="0" w:beforeAutospacing="0" w:afterAutospacing="0"/>
        <w:ind w:left="720" w:hanging="360"/>
        <w:rPr>
          <w:rFonts w:ascii="Garamond" w:hAnsi="Garamond"/>
          <w:sz w:val="22"/>
          <w:szCs w:val="22"/>
        </w:rPr>
      </w:pPr>
      <w:r w:rsidRPr="004A0C12">
        <w:rPr>
          <w:rFonts w:ascii="Garamond" w:hAnsi="Garamond"/>
          <w:color w:val="000000"/>
          <w:sz w:val="22"/>
          <w:szCs w:val="22"/>
        </w:rPr>
        <w:t>?172 consumers in special populations achieved employment after receiving WTC services in FY2015 or in previous years; down .58% from FY2014 (173). In FY2015, 753 consumers in special populations were served.</w:t>
      </w:r>
    </w:p>
    <w:p w14:paraId="33AD3460" w14:textId="77777777" w:rsidR="00B71C40" w:rsidRPr="004A0C12" w:rsidRDefault="00B71C40" w:rsidP="008D5533">
      <w:pPr>
        <w:pStyle w:val="NormalWeb"/>
        <w:tabs>
          <w:tab w:val="left" w:pos="630"/>
        </w:tabs>
        <w:spacing w:before="0" w:beforeAutospacing="0" w:afterAutospacing="0"/>
        <w:ind w:left="720" w:hanging="360"/>
        <w:rPr>
          <w:rFonts w:ascii="Garamond" w:hAnsi="Garamond"/>
          <w:sz w:val="22"/>
          <w:szCs w:val="22"/>
        </w:rPr>
      </w:pPr>
      <w:r w:rsidRPr="004A0C12">
        <w:rPr>
          <w:rFonts w:ascii="Garamond" w:hAnsi="Garamond"/>
          <w:color w:val="000000"/>
          <w:sz w:val="22"/>
          <w:szCs w:val="22"/>
        </w:rPr>
        <w:t>c. Increase the number of customized and/or partnership trainings from the previous year.</w:t>
      </w:r>
    </w:p>
    <w:p w14:paraId="16BF11F5" w14:textId="77777777" w:rsidR="00B71C40" w:rsidRPr="004A0C12" w:rsidRDefault="00B71C40" w:rsidP="008D5533">
      <w:pPr>
        <w:pStyle w:val="NormalWeb"/>
        <w:tabs>
          <w:tab w:val="left" w:pos="630"/>
        </w:tabs>
        <w:spacing w:before="0" w:beforeAutospacing="0" w:afterAutospacing="0"/>
        <w:ind w:left="720" w:hanging="360"/>
        <w:rPr>
          <w:rFonts w:ascii="Garamond" w:hAnsi="Garamond"/>
          <w:sz w:val="22"/>
          <w:szCs w:val="22"/>
        </w:rPr>
      </w:pPr>
      <w:r w:rsidRPr="004A0C12">
        <w:rPr>
          <w:rFonts w:ascii="Garamond" w:hAnsi="Garamond"/>
          <w:color w:val="000000"/>
          <w:sz w:val="22"/>
          <w:szCs w:val="22"/>
        </w:rPr>
        <w:t>In FY 15, WTC provided ?10 customized and partnership trainings, compared to 8 customized and partnership trainings provided in FY 14.. FY 15 trainings included ?Art’s Automotive, ATR Kennels, CCBC Auto Detailing 1 &amp; 2, CCBC Childcare, CCBC PAWS, CCBC Refinishing, CCBC Security Guard, CCBC Warehouse x2, &amp; Morgan State University Environmental Services.</w:t>
      </w:r>
    </w:p>
    <w:p w14:paraId="3B2097A1" w14:textId="77777777" w:rsidR="00B71C40" w:rsidRPr="004A0C12" w:rsidRDefault="00B71C40" w:rsidP="008D5533">
      <w:pPr>
        <w:pStyle w:val="NormalWeb"/>
        <w:tabs>
          <w:tab w:val="left" w:pos="630"/>
        </w:tabs>
        <w:spacing w:before="0" w:beforeAutospacing="0" w:afterAutospacing="0"/>
        <w:ind w:left="720" w:hanging="360"/>
        <w:rPr>
          <w:rFonts w:ascii="Garamond" w:hAnsi="Garamond"/>
          <w:sz w:val="22"/>
          <w:szCs w:val="22"/>
        </w:rPr>
      </w:pPr>
      <w:r w:rsidRPr="004A0C12">
        <w:rPr>
          <w:rFonts w:ascii="Garamond" w:hAnsi="Garamond"/>
          <w:color w:val="000000"/>
          <w:sz w:val="22"/>
          <w:szCs w:val="22"/>
        </w:rPr>
        <w:t>d. Establish a division-wide work group which will develop a collaborative plan between OFS and WTC to enhance the Agency’s delivery of effective and efficient consumer services.</w:t>
      </w:r>
    </w:p>
    <w:p w14:paraId="6C65DB18" w14:textId="77777777" w:rsidR="00B71C40" w:rsidRPr="004A0C12" w:rsidRDefault="00B71C40" w:rsidP="008D5533">
      <w:pPr>
        <w:pStyle w:val="NormalWeb"/>
        <w:spacing w:before="0" w:beforeAutospacing="0" w:afterAutospacing="0"/>
        <w:ind w:left="540" w:hanging="180"/>
        <w:rPr>
          <w:rFonts w:ascii="Garamond" w:hAnsi="Garamond"/>
          <w:sz w:val="22"/>
          <w:szCs w:val="22"/>
        </w:rPr>
      </w:pPr>
      <w:r w:rsidRPr="004A0C12">
        <w:rPr>
          <w:rFonts w:ascii="Garamond" w:hAnsi="Garamond"/>
          <w:color w:val="000000"/>
          <w:sz w:val="22"/>
          <w:szCs w:val="22"/>
        </w:rPr>
        <w:t>?After collaboration with Field staff, it was decided that the WTC would assist Field Services by identifying and implementing various strategies which allows the WTC to assume responsibility for routine procedures. WTC has streamlined the required referral documentation for training programs. WTC now completes vendor authorizations for vendor services provided at WTC. WTC completes the entire process for ordering uniforms for training programs. WTC also completes the entire process for On-The-Job Training for WTC training graduates. Finally, WTC orders assistive technology equipment as needed to expedite the ordering and receipt of equipment and software applications.</w:t>
      </w:r>
    </w:p>
    <w:p w14:paraId="4E2268D6" w14:textId="77777777" w:rsidR="007A1FDC" w:rsidRPr="004A0C12" w:rsidRDefault="007A1FDC" w:rsidP="007A1FDC">
      <w:pPr>
        <w:spacing w:after="0" w:line="240" w:lineRule="auto"/>
        <w:jc w:val="both"/>
        <w:rPr>
          <w:rFonts w:ascii="Garamond" w:hAnsi="Garamond"/>
        </w:rPr>
      </w:pPr>
    </w:p>
    <w:p w14:paraId="191CC3D8" w14:textId="3D31E890" w:rsidR="007A1FDC" w:rsidRPr="004A0C12" w:rsidRDefault="007A1FDC" w:rsidP="007A1FDC">
      <w:pPr>
        <w:spacing w:after="0" w:line="240" w:lineRule="auto"/>
        <w:jc w:val="both"/>
        <w:rPr>
          <w:rFonts w:ascii="Garamond" w:hAnsi="Garamond"/>
        </w:rPr>
      </w:pPr>
      <w:r w:rsidRPr="008D5533">
        <w:rPr>
          <w:rFonts w:ascii="Garamond" w:hAnsi="Garamond"/>
          <w:b/>
          <w:sz w:val="24"/>
          <w:szCs w:val="24"/>
        </w:rPr>
        <w:t>Goal 2:</w:t>
      </w:r>
      <w:r w:rsidRPr="004A0C12">
        <w:rPr>
          <w:rFonts w:ascii="Garamond" w:hAnsi="Garamond"/>
        </w:rPr>
        <w:t xml:space="preserve"> T</w:t>
      </w:r>
      <w:r w:rsidR="00AF5B63" w:rsidRPr="004A0C12">
        <w:rPr>
          <w:rFonts w:ascii="Garamond" w:hAnsi="Garamond"/>
        </w:rPr>
        <w:t>his goal focuses on a non-Vocational Rehabilitation program that is outside of WIOA and not applicable to the WIOA State Plan (Disability Determination Services).</w:t>
      </w:r>
    </w:p>
    <w:p w14:paraId="7F91F0BC" w14:textId="77777777" w:rsidR="007A1FDC" w:rsidRPr="004A0C12" w:rsidRDefault="007A1FDC" w:rsidP="007A1FDC">
      <w:pPr>
        <w:keepNext/>
        <w:spacing w:after="0" w:line="240" w:lineRule="auto"/>
        <w:jc w:val="both"/>
        <w:rPr>
          <w:rFonts w:ascii="Garamond" w:hAnsi="Garamond"/>
        </w:rPr>
      </w:pPr>
    </w:p>
    <w:p w14:paraId="1CCD5023" w14:textId="77777777" w:rsidR="007A1FDC" w:rsidRPr="004A0C12" w:rsidRDefault="007A1FDC" w:rsidP="007A1FDC">
      <w:pPr>
        <w:keepNext/>
        <w:spacing w:after="0" w:line="240" w:lineRule="auto"/>
        <w:jc w:val="both"/>
        <w:rPr>
          <w:rFonts w:ascii="Garamond" w:hAnsi="Garamond"/>
        </w:rPr>
      </w:pPr>
      <w:r w:rsidRPr="008D5533">
        <w:rPr>
          <w:rFonts w:ascii="Garamond" w:hAnsi="Garamond"/>
          <w:b/>
          <w:sz w:val="24"/>
          <w:szCs w:val="24"/>
        </w:rPr>
        <w:t>Goal 3:</w:t>
      </w:r>
      <w:r w:rsidRPr="004A0C12">
        <w:rPr>
          <w:rFonts w:ascii="Garamond" w:hAnsi="Garamond"/>
        </w:rPr>
        <w:t xml:space="preserve"> Partner and collaborate with public agencies, private organizations, employers, community groups and individuals to advance the employment and independence of individuals with disabilities.</w:t>
      </w:r>
    </w:p>
    <w:p w14:paraId="0B8821AA" w14:textId="77777777" w:rsidR="007A1FDC" w:rsidRPr="004A0C12" w:rsidRDefault="007A1FDC" w:rsidP="007A1FDC">
      <w:pPr>
        <w:spacing w:after="0" w:line="240" w:lineRule="auto"/>
        <w:jc w:val="both"/>
        <w:rPr>
          <w:rFonts w:ascii="Garamond" w:hAnsi="Garamond"/>
        </w:rPr>
      </w:pPr>
    </w:p>
    <w:p w14:paraId="00802D29" w14:textId="2BBE1029" w:rsidR="007A1FDC" w:rsidRPr="004A0C12" w:rsidRDefault="006949CD" w:rsidP="007A1FDC">
      <w:pPr>
        <w:keepNext/>
        <w:spacing w:after="0" w:line="240" w:lineRule="auto"/>
        <w:rPr>
          <w:rFonts w:ascii="Garamond" w:hAnsi="Garamond"/>
        </w:rPr>
      </w:pPr>
      <w:r w:rsidRPr="004A0C12">
        <w:rPr>
          <w:rFonts w:ascii="Garamond" w:hAnsi="Garamond"/>
        </w:rPr>
        <w:t xml:space="preserve">Objective 3.1 - </w:t>
      </w:r>
      <w:r w:rsidR="007A1FDC" w:rsidRPr="004A0C12">
        <w:rPr>
          <w:rFonts w:ascii="Garamond" w:hAnsi="Garamond"/>
        </w:rPr>
        <w:t>Enhance/expand services provided to individuals in special populations, within the capacities of the agency.</w:t>
      </w:r>
    </w:p>
    <w:p w14:paraId="50512C6D" w14:textId="77777777" w:rsidR="007A1FDC" w:rsidRPr="004A0C12" w:rsidRDefault="007A1FDC" w:rsidP="007A1FDC">
      <w:pPr>
        <w:spacing w:after="0" w:line="240" w:lineRule="auto"/>
        <w:jc w:val="both"/>
        <w:rPr>
          <w:rFonts w:ascii="Garamond" w:hAnsi="Garamond"/>
        </w:rPr>
      </w:pPr>
    </w:p>
    <w:p w14:paraId="4460C364" w14:textId="05F81A3E" w:rsidR="00FB0E44" w:rsidRPr="004A0C12" w:rsidRDefault="007A1FDC" w:rsidP="00FB0E44">
      <w:pPr>
        <w:contextualSpacing/>
        <w:jc w:val="both"/>
        <w:rPr>
          <w:rFonts w:ascii="Garamond" w:hAnsi="Garamond"/>
        </w:rPr>
      </w:pPr>
      <w:r w:rsidRPr="004A0C12">
        <w:rPr>
          <w:rFonts w:ascii="Garamond" w:hAnsi="Garamond"/>
        </w:rPr>
        <w:t>Strategies:</w:t>
      </w:r>
    </w:p>
    <w:p w14:paraId="280FE5D4" w14:textId="1D7293C5" w:rsidR="00FB0E44" w:rsidRPr="004A0C12" w:rsidRDefault="007A1FDC" w:rsidP="00232F09">
      <w:pPr>
        <w:pStyle w:val="ListParagraph"/>
        <w:numPr>
          <w:ilvl w:val="0"/>
          <w:numId w:val="267"/>
        </w:numPr>
        <w:contextualSpacing/>
        <w:jc w:val="both"/>
        <w:rPr>
          <w:rFonts w:ascii="Garamond" w:hAnsi="Garamond"/>
          <w:szCs w:val="22"/>
        </w:rPr>
      </w:pPr>
      <w:r w:rsidRPr="004A0C12">
        <w:rPr>
          <w:rFonts w:ascii="Garamond" w:hAnsi="Garamond"/>
          <w:szCs w:val="22"/>
        </w:rPr>
        <w:t>Continue to provide staff resources and staff training to support Evidence-Based Practi</w:t>
      </w:r>
      <w:r w:rsidR="00FB0E44" w:rsidRPr="004A0C12">
        <w:rPr>
          <w:rFonts w:ascii="Garamond" w:hAnsi="Garamond"/>
          <w:szCs w:val="22"/>
        </w:rPr>
        <w:t>ce Supported Employment</w:t>
      </w:r>
      <w:r w:rsidR="00B71C40" w:rsidRPr="004A0C12">
        <w:rPr>
          <w:rFonts w:ascii="Garamond" w:hAnsi="Garamond"/>
          <w:szCs w:val="22"/>
        </w:rPr>
        <w:t xml:space="preserve"> (EBPSE)</w:t>
      </w:r>
      <w:r w:rsidR="00FB0E44" w:rsidRPr="004A0C12">
        <w:rPr>
          <w:rFonts w:ascii="Garamond" w:hAnsi="Garamond"/>
          <w:szCs w:val="22"/>
        </w:rPr>
        <w:t xml:space="preserve"> </w:t>
      </w:r>
      <w:r w:rsidRPr="004A0C12">
        <w:rPr>
          <w:rFonts w:ascii="Garamond" w:hAnsi="Garamond"/>
          <w:szCs w:val="22"/>
        </w:rPr>
        <w:t>and consumers who receive Assertive Com</w:t>
      </w:r>
      <w:r w:rsidR="00FB0E44" w:rsidRPr="004A0C12">
        <w:rPr>
          <w:rFonts w:ascii="Garamond" w:hAnsi="Garamond"/>
          <w:szCs w:val="22"/>
        </w:rPr>
        <w:t xml:space="preserve">munity Treatment </w:t>
      </w:r>
      <w:r w:rsidR="00B71C40" w:rsidRPr="004A0C12">
        <w:rPr>
          <w:rFonts w:ascii="Garamond" w:hAnsi="Garamond"/>
          <w:szCs w:val="22"/>
        </w:rPr>
        <w:t xml:space="preserve">(ACT) </w:t>
      </w:r>
      <w:r w:rsidRPr="004A0C12">
        <w:rPr>
          <w:rFonts w:ascii="Garamond" w:hAnsi="Garamond"/>
          <w:szCs w:val="22"/>
        </w:rPr>
        <w:t>ser</w:t>
      </w:r>
      <w:r w:rsidR="00FB0E44" w:rsidRPr="004A0C12">
        <w:rPr>
          <w:rFonts w:ascii="Garamond" w:hAnsi="Garamond"/>
          <w:szCs w:val="22"/>
        </w:rPr>
        <w:t>vices (Needs Assessment Rec. 1);</w:t>
      </w:r>
    </w:p>
    <w:p w14:paraId="4AC5AB7C" w14:textId="3764DEA8" w:rsidR="00FB0E44" w:rsidRPr="004A0C12" w:rsidRDefault="007A1FDC" w:rsidP="00232F09">
      <w:pPr>
        <w:pStyle w:val="ListParagraph"/>
        <w:numPr>
          <w:ilvl w:val="0"/>
          <w:numId w:val="267"/>
        </w:numPr>
        <w:contextualSpacing/>
        <w:jc w:val="both"/>
        <w:rPr>
          <w:rFonts w:ascii="Garamond" w:hAnsi="Garamond"/>
          <w:szCs w:val="22"/>
        </w:rPr>
      </w:pPr>
      <w:r w:rsidRPr="004A0C12">
        <w:rPr>
          <w:rFonts w:ascii="Garamond" w:hAnsi="Garamond"/>
          <w:szCs w:val="22"/>
        </w:rPr>
        <w:t>Continue strategic activities that will enhance DORS capacity to meet the unique needs of individuals with autism spectrum disorders preparing for emplo</w:t>
      </w:r>
      <w:r w:rsidR="00FB0E44" w:rsidRPr="004A0C12">
        <w:rPr>
          <w:rFonts w:ascii="Garamond" w:hAnsi="Garamond"/>
          <w:szCs w:val="22"/>
        </w:rPr>
        <w:t>yment (Needs Assessment Rec. 4);</w:t>
      </w:r>
    </w:p>
    <w:p w14:paraId="2AB1A524" w14:textId="67BCC110" w:rsidR="00FB0E44" w:rsidRPr="004A0C12" w:rsidRDefault="007A1FDC" w:rsidP="00232F09">
      <w:pPr>
        <w:pStyle w:val="ListParagraph"/>
        <w:numPr>
          <w:ilvl w:val="0"/>
          <w:numId w:val="267"/>
        </w:numPr>
        <w:contextualSpacing/>
        <w:jc w:val="both"/>
        <w:rPr>
          <w:rFonts w:ascii="Garamond" w:hAnsi="Garamond"/>
          <w:szCs w:val="22"/>
        </w:rPr>
      </w:pPr>
      <w:r w:rsidRPr="004A0C12">
        <w:rPr>
          <w:rFonts w:ascii="Garamond" w:hAnsi="Garamond"/>
          <w:szCs w:val="22"/>
        </w:rPr>
        <w:t xml:space="preserve">Enhance utilization of </w:t>
      </w:r>
      <w:r w:rsidR="00FB0E44" w:rsidRPr="004A0C12">
        <w:rPr>
          <w:rFonts w:ascii="Garamond" w:hAnsi="Garamond"/>
          <w:szCs w:val="22"/>
        </w:rPr>
        <w:t xml:space="preserve">the Acquired Brain Injury </w:t>
      </w:r>
      <w:r w:rsidRPr="004A0C12">
        <w:rPr>
          <w:rFonts w:ascii="Garamond" w:hAnsi="Garamond"/>
          <w:szCs w:val="22"/>
        </w:rPr>
        <w:t>program and continue regul</w:t>
      </w:r>
      <w:r w:rsidR="00FB0E44" w:rsidRPr="004A0C12">
        <w:rPr>
          <w:rFonts w:ascii="Garamond" w:hAnsi="Garamond"/>
          <w:szCs w:val="22"/>
        </w:rPr>
        <w:t>arly scheduled meetings with Acquired Brain Injury</w:t>
      </w:r>
      <w:r w:rsidRPr="004A0C12">
        <w:rPr>
          <w:rFonts w:ascii="Garamond" w:hAnsi="Garamond"/>
          <w:szCs w:val="22"/>
        </w:rPr>
        <w:t xml:space="preserve"> VR Specialists, to include Transitioning Youth</w:t>
      </w:r>
      <w:r w:rsidR="00FB0E44" w:rsidRPr="004A0C12">
        <w:rPr>
          <w:rFonts w:ascii="Garamond" w:hAnsi="Garamond"/>
          <w:szCs w:val="22"/>
        </w:rPr>
        <w:t xml:space="preserve"> VR Specialists, as appropriate;</w:t>
      </w:r>
    </w:p>
    <w:p w14:paraId="26EACB81" w14:textId="7951AE15" w:rsidR="00FB0E44" w:rsidRPr="004A0C12" w:rsidRDefault="00FB0E44" w:rsidP="00232F09">
      <w:pPr>
        <w:pStyle w:val="ListParagraph"/>
        <w:numPr>
          <w:ilvl w:val="0"/>
          <w:numId w:val="267"/>
        </w:numPr>
        <w:contextualSpacing/>
        <w:jc w:val="both"/>
        <w:rPr>
          <w:rFonts w:ascii="Garamond" w:hAnsi="Garamond"/>
          <w:szCs w:val="22"/>
        </w:rPr>
      </w:pPr>
      <w:r w:rsidRPr="004A0C12">
        <w:rPr>
          <w:rFonts w:ascii="Garamond" w:hAnsi="Garamond"/>
          <w:szCs w:val="22"/>
        </w:rPr>
        <w:t>Continue collaboration with Developmental Disabilities Administration</w:t>
      </w:r>
      <w:r w:rsidR="007A1FDC" w:rsidRPr="004A0C12">
        <w:rPr>
          <w:rFonts w:ascii="Garamond" w:hAnsi="Garamond"/>
          <w:szCs w:val="22"/>
        </w:rPr>
        <w:t xml:space="preserve"> to implement Employment First</w:t>
      </w:r>
      <w:r w:rsidRPr="004A0C12">
        <w:rPr>
          <w:rFonts w:ascii="Garamond" w:hAnsi="Garamond"/>
          <w:szCs w:val="22"/>
        </w:rPr>
        <w:t>;</w:t>
      </w:r>
    </w:p>
    <w:p w14:paraId="12907BBB" w14:textId="77777777" w:rsidR="00FB0E44" w:rsidRPr="004A0C12" w:rsidRDefault="007A1FDC" w:rsidP="00232F09">
      <w:pPr>
        <w:pStyle w:val="ListParagraph"/>
        <w:numPr>
          <w:ilvl w:val="0"/>
          <w:numId w:val="267"/>
        </w:numPr>
        <w:contextualSpacing/>
        <w:jc w:val="both"/>
        <w:rPr>
          <w:rFonts w:ascii="Garamond" w:hAnsi="Garamond"/>
          <w:szCs w:val="22"/>
        </w:rPr>
      </w:pPr>
      <w:r w:rsidRPr="004A0C12">
        <w:rPr>
          <w:rFonts w:ascii="Garamond" w:hAnsi="Garamond"/>
          <w:szCs w:val="22"/>
        </w:rPr>
        <w:t>The DORS multi-cultural workgroup will continue to develop and publicize specialized resources for minority groups, focusing on Hispanic and Asian consu</w:t>
      </w:r>
      <w:r w:rsidR="00FB0E44" w:rsidRPr="004A0C12">
        <w:rPr>
          <w:rFonts w:ascii="Garamond" w:hAnsi="Garamond"/>
          <w:szCs w:val="22"/>
        </w:rPr>
        <w:t>mers (Needs Assessment Rec. 5);</w:t>
      </w:r>
    </w:p>
    <w:p w14:paraId="5C9830D9" w14:textId="77777777" w:rsidR="00FB0E44" w:rsidRPr="004A0C12" w:rsidRDefault="007A1FDC" w:rsidP="00232F09">
      <w:pPr>
        <w:pStyle w:val="ListParagraph"/>
        <w:numPr>
          <w:ilvl w:val="0"/>
          <w:numId w:val="267"/>
        </w:numPr>
        <w:contextualSpacing/>
        <w:jc w:val="both"/>
        <w:rPr>
          <w:rFonts w:ascii="Garamond" w:hAnsi="Garamond"/>
          <w:szCs w:val="22"/>
        </w:rPr>
      </w:pPr>
      <w:r w:rsidRPr="004A0C12">
        <w:rPr>
          <w:rFonts w:ascii="Garamond" w:hAnsi="Garamond"/>
          <w:szCs w:val="22"/>
        </w:rPr>
        <w:t xml:space="preserve">DORS will assure that liaison relationships are in place with Community Rehabilitation Programs, Community Colleges, </w:t>
      </w:r>
      <w:r w:rsidR="00FB0E44" w:rsidRPr="004A0C12">
        <w:rPr>
          <w:rFonts w:ascii="Garamond" w:hAnsi="Garamond"/>
          <w:szCs w:val="22"/>
        </w:rPr>
        <w:t>Local Education Agencies, Maryland Association of Nonpublic Special Education Facilities</w:t>
      </w:r>
      <w:r w:rsidRPr="004A0C12">
        <w:rPr>
          <w:rFonts w:ascii="Garamond" w:hAnsi="Garamond"/>
          <w:szCs w:val="22"/>
        </w:rPr>
        <w:t xml:space="preserve"> Schools, and other organizations to enhance effectiveness and establish promising practices and procedures (Needs Assessment Rec. 2).</w:t>
      </w:r>
    </w:p>
    <w:p w14:paraId="088896E1" w14:textId="5675FA5D" w:rsidR="007A1FDC" w:rsidRPr="004A0C12" w:rsidRDefault="007A1FDC" w:rsidP="00232F09">
      <w:pPr>
        <w:pStyle w:val="ListParagraph"/>
        <w:numPr>
          <w:ilvl w:val="0"/>
          <w:numId w:val="267"/>
        </w:numPr>
        <w:contextualSpacing/>
        <w:jc w:val="both"/>
        <w:rPr>
          <w:rFonts w:ascii="Garamond" w:hAnsi="Garamond"/>
          <w:szCs w:val="22"/>
        </w:rPr>
      </w:pPr>
      <w:r w:rsidRPr="004A0C12">
        <w:rPr>
          <w:rFonts w:ascii="Garamond" w:hAnsi="Garamond"/>
          <w:szCs w:val="22"/>
        </w:rPr>
        <w:t>Pilot the Rehabilitation</w:t>
      </w:r>
      <w:r w:rsidR="00FB0E44" w:rsidRPr="004A0C12">
        <w:rPr>
          <w:rFonts w:ascii="Garamond" w:hAnsi="Garamond"/>
          <w:szCs w:val="22"/>
        </w:rPr>
        <w:t xml:space="preserve"> Communication Specialists </w:t>
      </w:r>
      <w:r w:rsidRPr="004A0C12">
        <w:rPr>
          <w:rFonts w:ascii="Garamond" w:hAnsi="Garamond"/>
          <w:szCs w:val="22"/>
        </w:rPr>
        <w:t>for the Deaf and Hard of Hearing in at least one region (Needs Assessment Rec. 6).</w:t>
      </w:r>
    </w:p>
    <w:p w14:paraId="7B10F75F" w14:textId="77777777" w:rsidR="007A1FDC" w:rsidRPr="004A0C12" w:rsidRDefault="007A1FDC" w:rsidP="007A1FDC">
      <w:pPr>
        <w:spacing w:after="0" w:line="240" w:lineRule="auto"/>
        <w:jc w:val="both"/>
        <w:rPr>
          <w:rFonts w:ascii="Garamond" w:hAnsi="Garamond"/>
        </w:rPr>
      </w:pPr>
    </w:p>
    <w:p w14:paraId="0D2E6864" w14:textId="334A5304" w:rsidR="00FB0E44" w:rsidRPr="004A0C12" w:rsidRDefault="007A1FDC" w:rsidP="00FB0E44">
      <w:pPr>
        <w:spacing w:line="240" w:lineRule="auto"/>
        <w:contextualSpacing/>
        <w:jc w:val="both"/>
        <w:rPr>
          <w:rFonts w:ascii="Garamond" w:hAnsi="Garamond"/>
        </w:rPr>
      </w:pPr>
      <w:r w:rsidRPr="004A0C12">
        <w:rPr>
          <w:rFonts w:ascii="Garamond" w:hAnsi="Garamond"/>
        </w:rPr>
        <w:t xml:space="preserve">Performance Measures by September </w:t>
      </w:r>
      <w:r w:rsidR="00491495" w:rsidRPr="004A0C12">
        <w:rPr>
          <w:rFonts w:ascii="Garamond" w:hAnsi="Garamond"/>
        </w:rPr>
        <w:t>30, 2015</w:t>
      </w:r>
      <w:r w:rsidRPr="004A0C12">
        <w:rPr>
          <w:rFonts w:ascii="Garamond" w:hAnsi="Garamond"/>
        </w:rPr>
        <w:t xml:space="preserve">: </w:t>
      </w:r>
    </w:p>
    <w:p w14:paraId="128C31CD"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a. An increased number of consumers will be served through EBPSE and ACT sites compared</w:t>
      </w:r>
    </w:p>
    <w:p w14:paraId="275F4816"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with the previous year.</w:t>
      </w:r>
    </w:p>
    <w:p w14:paraId="0D5D39D4"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2,783 served; up 21% from FY 14: (2,302)</w:t>
      </w:r>
    </w:p>
    <w:p w14:paraId="4C803895"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lastRenderedPageBreak/>
        <w:t>b. An increased number of consumers will be served in the Governor’s Transition Youth</w:t>
      </w:r>
    </w:p>
    <w:p w14:paraId="6E07794D"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Initiative compared with the previous year.</w:t>
      </w:r>
    </w:p>
    <w:p w14:paraId="2FC5829F"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1,046 served; down 8% from FY 14 (1,139).</w:t>
      </w:r>
    </w:p>
    <w:p w14:paraId="4730ED25"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c. Increase the number of Asian and Hispanic consumers served by DORS, compared with the</w:t>
      </w:r>
    </w:p>
    <w:p w14:paraId="3B06870C"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previous year.</w:t>
      </w:r>
    </w:p>
    <w:p w14:paraId="0477B2B3"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650 Asian consumers and 725 Hispanic consumers served; up 7% from the previous year of 607 (Asian) and .4% from the previous year of 722 (Hispanic).</w:t>
      </w:r>
    </w:p>
    <w:p w14:paraId="7F0F409C"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d. Increase the number of ABI consumers achieving employment compared with the previous</w:t>
      </w:r>
    </w:p>
    <w:p w14:paraId="21F2CDBB" w14:textId="6F704128"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year.</w:t>
      </w:r>
      <w:r w:rsidR="008D5533">
        <w:rPr>
          <w:rFonts w:ascii="Garamond" w:hAnsi="Garamond"/>
          <w:sz w:val="22"/>
          <w:szCs w:val="22"/>
        </w:rPr>
        <w:t xml:space="preserve">  </w:t>
      </w:r>
      <w:r w:rsidRPr="004A0C12">
        <w:rPr>
          <w:rFonts w:ascii="Garamond" w:hAnsi="Garamond"/>
          <w:color w:val="000000"/>
          <w:sz w:val="22"/>
          <w:szCs w:val="22"/>
        </w:rPr>
        <w:t>61 consumers with acquired brain injury achieved employment; down 16% from the previous year.</w:t>
      </w:r>
    </w:p>
    <w:p w14:paraId="7ACB3195" w14:textId="77777777"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e. Increase the number consumers with Autism served by DORS compared with the previous</w:t>
      </w:r>
    </w:p>
    <w:p w14:paraId="2FE71998" w14:textId="5CAE9792" w:rsidR="00491495" w:rsidRPr="004A0C12"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year.</w:t>
      </w:r>
      <w:r w:rsidR="008D5533">
        <w:rPr>
          <w:rFonts w:ascii="Garamond" w:hAnsi="Garamond"/>
          <w:sz w:val="22"/>
          <w:szCs w:val="22"/>
        </w:rPr>
        <w:t xml:space="preserve">  </w:t>
      </w:r>
      <w:r w:rsidRPr="004A0C12">
        <w:rPr>
          <w:rFonts w:ascii="Garamond" w:hAnsi="Garamond"/>
          <w:color w:val="000000"/>
          <w:sz w:val="22"/>
          <w:szCs w:val="22"/>
        </w:rPr>
        <w:t>2,150 consumers served; up 10.6% from the previous year (1,943).</w:t>
      </w:r>
    </w:p>
    <w:p w14:paraId="207DDE41" w14:textId="0074870C" w:rsidR="00491495" w:rsidRPr="008D5533"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f. Assign a DORS staff person to contact and meet with each community college DDS office at</w:t>
      </w:r>
      <w:r w:rsidR="008D5533">
        <w:rPr>
          <w:rFonts w:ascii="Garamond" w:hAnsi="Garamond"/>
          <w:sz w:val="22"/>
          <w:szCs w:val="22"/>
        </w:rPr>
        <w:t xml:space="preserve"> </w:t>
      </w:r>
      <w:r w:rsidRPr="008D5533">
        <w:rPr>
          <w:rFonts w:ascii="Garamond" w:hAnsi="Garamond"/>
          <w:color w:val="000000"/>
          <w:sz w:val="22"/>
          <w:szCs w:val="22"/>
        </w:rPr>
        <w:t>least once per semester.</w:t>
      </w:r>
    </w:p>
    <w:p w14:paraId="17C42C72" w14:textId="77777777" w:rsidR="00491495" w:rsidRPr="004A0C12" w:rsidRDefault="00491495" w:rsidP="008D5533">
      <w:pPr>
        <w:pStyle w:val="NormalWeb"/>
        <w:spacing w:before="0" w:beforeAutospacing="0" w:afterAutospacing="0"/>
        <w:ind w:left="1080"/>
        <w:rPr>
          <w:rFonts w:ascii="Garamond" w:hAnsi="Garamond"/>
          <w:sz w:val="22"/>
          <w:szCs w:val="22"/>
        </w:rPr>
      </w:pPr>
      <w:r w:rsidRPr="004A0C12">
        <w:rPr>
          <w:rFonts w:ascii="Garamond" w:hAnsi="Garamond"/>
          <w:color w:val="000000"/>
          <w:sz w:val="22"/>
          <w:szCs w:val="22"/>
        </w:rPr>
        <w:t>Staff assignments pending.</w:t>
      </w:r>
    </w:p>
    <w:p w14:paraId="35638BC6" w14:textId="213E14E4" w:rsidR="00491495" w:rsidRPr="008D5533" w:rsidRDefault="00491495" w:rsidP="008D5533">
      <w:pPr>
        <w:pStyle w:val="NormalWeb"/>
        <w:spacing w:before="0" w:beforeAutospacing="0" w:afterAutospacing="0"/>
        <w:ind w:left="360"/>
        <w:rPr>
          <w:rFonts w:ascii="Garamond" w:hAnsi="Garamond"/>
          <w:sz w:val="22"/>
          <w:szCs w:val="22"/>
        </w:rPr>
      </w:pPr>
      <w:r w:rsidRPr="004A0C12">
        <w:rPr>
          <w:rFonts w:ascii="Garamond" w:hAnsi="Garamond"/>
          <w:color w:val="000000"/>
          <w:sz w:val="22"/>
          <w:szCs w:val="22"/>
        </w:rPr>
        <w:t>g. Track and assess RCS pilot outcomes.</w:t>
      </w:r>
      <w:r w:rsidR="008D5533">
        <w:rPr>
          <w:rFonts w:ascii="Garamond" w:hAnsi="Garamond"/>
          <w:sz w:val="22"/>
          <w:szCs w:val="22"/>
        </w:rPr>
        <w:t xml:space="preserve">  </w:t>
      </w:r>
      <w:r w:rsidRPr="008D5533">
        <w:rPr>
          <w:rFonts w:ascii="Garamond" w:hAnsi="Garamond"/>
          <w:color w:val="000000"/>
          <w:sz w:val="22"/>
          <w:szCs w:val="22"/>
        </w:rPr>
        <w:t>The Division is in the process of identifying interested vendors with the intention to begin the Rehabilitation Communication Specialist (RCS) pilot in FY 16.</w:t>
      </w:r>
    </w:p>
    <w:p w14:paraId="7199365A" w14:textId="77777777" w:rsidR="007A1FDC" w:rsidRPr="004A0C12" w:rsidRDefault="007A1FDC" w:rsidP="007A1FDC">
      <w:pPr>
        <w:spacing w:after="0" w:line="240" w:lineRule="auto"/>
        <w:ind w:left="720"/>
        <w:jc w:val="both"/>
        <w:rPr>
          <w:rFonts w:ascii="Garamond" w:hAnsi="Garamond"/>
        </w:rPr>
      </w:pPr>
    </w:p>
    <w:p w14:paraId="77B0BA22" w14:textId="58E2A11A" w:rsidR="007A1FDC" w:rsidRPr="004A0C12" w:rsidRDefault="006949CD" w:rsidP="007A1FDC">
      <w:pPr>
        <w:keepNext/>
        <w:spacing w:after="0" w:line="240" w:lineRule="auto"/>
        <w:jc w:val="both"/>
        <w:rPr>
          <w:rFonts w:ascii="Garamond" w:hAnsi="Garamond"/>
        </w:rPr>
      </w:pPr>
      <w:r w:rsidRPr="004A0C12">
        <w:rPr>
          <w:rFonts w:ascii="Garamond" w:hAnsi="Garamond"/>
        </w:rPr>
        <w:t xml:space="preserve">Objective 3.2 - </w:t>
      </w:r>
      <w:r w:rsidR="007A1FDC" w:rsidRPr="004A0C12">
        <w:rPr>
          <w:rFonts w:ascii="Garamond" w:hAnsi="Garamond"/>
        </w:rPr>
        <w:t>Enhance collaboration with and services to Maryland private and public employers.</w:t>
      </w:r>
      <w:r w:rsidR="007A1FDC" w:rsidRPr="004A0C12">
        <w:rPr>
          <w:rFonts w:ascii="Garamond" w:hAnsi="Garamond"/>
        </w:rPr>
        <w:cr/>
      </w:r>
    </w:p>
    <w:p w14:paraId="51E19D97" w14:textId="46F5F0D6" w:rsidR="007A1FDC" w:rsidRPr="004A0C12" w:rsidRDefault="007A1FDC" w:rsidP="007A1FDC">
      <w:pPr>
        <w:spacing w:after="0" w:line="240" w:lineRule="auto"/>
        <w:jc w:val="both"/>
        <w:rPr>
          <w:rFonts w:ascii="Garamond" w:hAnsi="Garamond"/>
        </w:rPr>
      </w:pPr>
      <w:r w:rsidRPr="004A0C12">
        <w:rPr>
          <w:rFonts w:ascii="Garamond" w:hAnsi="Garamond"/>
        </w:rPr>
        <w:t xml:space="preserve">Strategies:  </w:t>
      </w:r>
      <w:r w:rsidR="00491495" w:rsidRPr="004A0C12">
        <w:rPr>
          <w:rFonts w:ascii="Garamond" w:hAnsi="Garamond"/>
        </w:rPr>
        <w:t>DORS will</w:t>
      </w:r>
    </w:p>
    <w:p w14:paraId="3B507D06" w14:textId="2AC908E8" w:rsidR="007A1FDC" w:rsidRPr="004A0C12" w:rsidRDefault="00491495" w:rsidP="00232F09">
      <w:pPr>
        <w:numPr>
          <w:ilvl w:val="0"/>
          <w:numId w:val="166"/>
        </w:numPr>
        <w:tabs>
          <w:tab w:val="clear" w:pos="360"/>
          <w:tab w:val="num" w:pos="720"/>
        </w:tabs>
        <w:spacing w:after="0" w:line="240" w:lineRule="auto"/>
        <w:ind w:left="720" w:hanging="360"/>
        <w:jc w:val="both"/>
        <w:rPr>
          <w:rFonts w:ascii="Garamond" w:hAnsi="Garamond"/>
        </w:rPr>
      </w:pPr>
      <w:r w:rsidRPr="004A0C12">
        <w:rPr>
          <w:rFonts w:ascii="Garamond" w:hAnsi="Garamond"/>
        </w:rPr>
        <w:t xml:space="preserve"> Conduct at least quarterly meetings of Business Service Representatives and Business Service Specialists.</w:t>
      </w:r>
      <w:r w:rsidR="007A1FDC" w:rsidRPr="004A0C12">
        <w:rPr>
          <w:rFonts w:ascii="Garamond" w:hAnsi="Garamond"/>
        </w:rPr>
        <w:t xml:space="preserve">  </w:t>
      </w:r>
    </w:p>
    <w:p w14:paraId="584A218F" w14:textId="64252DA3" w:rsidR="00972878" w:rsidRPr="004A0C12" w:rsidRDefault="007A1FDC" w:rsidP="00232F09">
      <w:pPr>
        <w:numPr>
          <w:ilvl w:val="0"/>
          <w:numId w:val="166"/>
        </w:numPr>
        <w:tabs>
          <w:tab w:val="clear" w:pos="360"/>
          <w:tab w:val="num" w:pos="720"/>
        </w:tabs>
        <w:spacing w:after="0" w:line="240" w:lineRule="auto"/>
        <w:ind w:left="720" w:hanging="360"/>
        <w:jc w:val="both"/>
        <w:rPr>
          <w:rFonts w:ascii="Garamond" w:hAnsi="Garamond"/>
        </w:rPr>
      </w:pPr>
      <w:r w:rsidRPr="004A0C12">
        <w:rPr>
          <w:rFonts w:ascii="Garamond" w:hAnsi="Garamond"/>
        </w:rPr>
        <w:t>Participate in the Council of State Administrators of V</w:t>
      </w:r>
      <w:r w:rsidR="00972878" w:rsidRPr="004A0C12">
        <w:rPr>
          <w:rFonts w:ascii="Garamond" w:hAnsi="Garamond"/>
        </w:rPr>
        <w:t>ocational Rehabilitation</w:t>
      </w:r>
      <w:r w:rsidR="00491495" w:rsidRPr="004A0C12">
        <w:rPr>
          <w:rFonts w:ascii="Garamond" w:hAnsi="Garamond"/>
        </w:rPr>
        <w:t xml:space="preserve"> (CSAVR)</w:t>
      </w:r>
      <w:r w:rsidRPr="004A0C12">
        <w:rPr>
          <w:rFonts w:ascii="Garamond" w:hAnsi="Garamond"/>
        </w:rPr>
        <w:t xml:space="preserve"> national business network and bring national </w:t>
      </w:r>
      <w:r w:rsidR="00972878" w:rsidRPr="004A0C12">
        <w:rPr>
          <w:rFonts w:ascii="Garamond" w:hAnsi="Garamond"/>
        </w:rPr>
        <w:t>efforts and strategies (i.e., the Net) to Maryland;</w:t>
      </w:r>
    </w:p>
    <w:p w14:paraId="7F319A63" w14:textId="2036319A" w:rsidR="007A1FDC" w:rsidRPr="004A0C12" w:rsidRDefault="007A1FDC" w:rsidP="00232F09">
      <w:pPr>
        <w:numPr>
          <w:ilvl w:val="0"/>
          <w:numId w:val="166"/>
        </w:numPr>
        <w:tabs>
          <w:tab w:val="clear" w:pos="360"/>
          <w:tab w:val="num" w:pos="720"/>
        </w:tabs>
        <w:spacing w:after="0" w:line="240" w:lineRule="auto"/>
        <w:ind w:left="720" w:hanging="360"/>
        <w:jc w:val="both"/>
        <w:rPr>
          <w:rFonts w:ascii="Garamond" w:hAnsi="Garamond"/>
        </w:rPr>
      </w:pPr>
      <w:r w:rsidRPr="004A0C12">
        <w:rPr>
          <w:rFonts w:ascii="Garamond" w:hAnsi="Garamond"/>
        </w:rPr>
        <w:t>Expand and increase internship opportunities,</w:t>
      </w:r>
      <w:r w:rsidR="00491495" w:rsidRPr="004A0C12">
        <w:rPr>
          <w:rFonts w:ascii="Garamond" w:hAnsi="Garamond"/>
        </w:rPr>
        <w:t xml:space="preserve"> including QUEST;</w:t>
      </w:r>
      <w:r w:rsidRPr="004A0C12">
        <w:rPr>
          <w:rFonts w:ascii="Garamond" w:hAnsi="Garamond"/>
        </w:rPr>
        <w:t xml:space="preserve"> customized trainings</w:t>
      </w:r>
      <w:r w:rsidR="00491495" w:rsidRPr="004A0C12">
        <w:rPr>
          <w:rFonts w:ascii="Garamond" w:hAnsi="Garamond"/>
        </w:rPr>
        <w:t>;</w:t>
      </w:r>
      <w:r w:rsidRPr="004A0C12">
        <w:rPr>
          <w:rFonts w:ascii="Garamond" w:hAnsi="Garamond"/>
        </w:rPr>
        <w:t xml:space="preserve"> and On-the-Job Training o</w:t>
      </w:r>
      <w:r w:rsidR="00972878" w:rsidRPr="004A0C12">
        <w:rPr>
          <w:rFonts w:ascii="Garamond" w:hAnsi="Garamond"/>
        </w:rPr>
        <w:t xml:space="preserve">pportunities for DORS consumers. </w:t>
      </w:r>
    </w:p>
    <w:p w14:paraId="2CFCBB35" w14:textId="77777777" w:rsidR="007A1FDC" w:rsidRPr="004A0C12" w:rsidRDefault="007A1FDC" w:rsidP="007A1FDC">
      <w:pPr>
        <w:spacing w:after="0" w:line="240" w:lineRule="auto"/>
        <w:jc w:val="both"/>
        <w:rPr>
          <w:rFonts w:ascii="Garamond" w:hAnsi="Garamond"/>
        </w:rPr>
      </w:pPr>
    </w:p>
    <w:p w14:paraId="1E431E68" w14:textId="5A19A6A1" w:rsidR="006949CD" w:rsidRPr="004A0C12" w:rsidRDefault="007A1FDC" w:rsidP="00972878">
      <w:pPr>
        <w:spacing w:after="0" w:line="240" w:lineRule="auto"/>
        <w:contextualSpacing/>
        <w:jc w:val="both"/>
        <w:rPr>
          <w:rFonts w:ascii="Garamond" w:hAnsi="Garamond"/>
        </w:rPr>
      </w:pPr>
      <w:r w:rsidRPr="004A0C12">
        <w:rPr>
          <w:rFonts w:ascii="Garamond" w:hAnsi="Garamond"/>
        </w:rPr>
        <w:t>Performance M</w:t>
      </w:r>
      <w:r w:rsidR="006949CD" w:rsidRPr="004A0C12">
        <w:rPr>
          <w:rFonts w:ascii="Garamond" w:hAnsi="Garamond"/>
        </w:rPr>
        <w:t xml:space="preserve">easures by September </w:t>
      </w:r>
      <w:r w:rsidR="00491495" w:rsidRPr="004A0C12">
        <w:rPr>
          <w:rFonts w:ascii="Garamond" w:hAnsi="Garamond"/>
        </w:rPr>
        <w:t>30, 2015</w:t>
      </w:r>
      <w:r w:rsidR="006949CD" w:rsidRPr="004A0C12">
        <w:rPr>
          <w:rFonts w:ascii="Garamond" w:hAnsi="Garamond"/>
        </w:rPr>
        <w:t xml:space="preserve">: </w:t>
      </w:r>
    </w:p>
    <w:p w14:paraId="587E51B1" w14:textId="77777777" w:rsidR="00902C29" w:rsidRPr="004A0C12" w:rsidRDefault="00902C29" w:rsidP="00972878">
      <w:pPr>
        <w:spacing w:after="0" w:line="240" w:lineRule="auto"/>
        <w:contextualSpacing/>
        <w:jc w:val="both"/>
        <w:rPr>
          <w:rFonts w:ascii="Garamond" w:hAnsi="Garamond"/>
        </w:rPr>
      </w:pPr>
    </w:p>
    <w:p w14:paraId="64E9E335" w14:textId="77777777" w:rsidR="00491495" w:rsidRPr="004A0C12" w:rsidRDefault="00491495" w:rsidP="00491495">
      <w:pPr>
        <w:pStyle w:val="NormalWeb"/>
        <w:spacing w:before="0" w:beforeAutospacing="0" w:afterAutospacing="0"/>
        <w:rPr>
          <w:rFonts w:ascii="Garamond" w:hAnsi="Garamond"/>
          <w:sz w:val="22"/>
          <w:szCs w:val="22"/>
        </w:rPr>
      </w:pPr>
      <w:r w:rsidRPr="004A0C12">
        <w:rPr>
          <w:rFonts w:ascii="Garamond" w:hAnsi="Garamond"/>
          <w:color w:val="000000"/>
          <w:sz w:val="22"/>
          <w:szCs w:val="22"/>
        </w:rPr>
        <w:t>a. Minutes of Business Services meetings and CSAVR national business network meetings will confirm activities and progress.</w:t>
      </w:r>
    </w:p>
    <w:p w14:paraId="7BBE56C5" w14:textId="77777777" w:rsidR="00491495" w:rsidRPr="004A0C12" w:rsidRDefault="00491495" w:rsidP="00491495">
      <w:pPr>
        <w:pStyle w:val="NormalWeb"/>
        <w:spacing w:before="0" w:beforeAutospacing="0" w:afterAutospacing="0"/>
        <w:rPr>
          <w:rFonts w:ascii="Garamond" w:hAnsi="Garamond"/>
          <w:sz w:val="22"/>
          <w:szCs w:val="22"/>
        </w:rPr>
      </w:pPr>
      <w:r w:rsidRPr="004A0C12">
        <w:rPr>
          <w:rFonts w:ascii="Garamond" w:hAnsi="Garamond"/>
          <w:color w:val="000000"/>
          <w:sz w:val="22"/>
          <w:szCs w:val="22"/>
        </w:rPr>
        <w:t>The new Program Manager of Business Relations was designated as the agency’s CSAVR NET Point-of-Contact. She participated in NET POC Conference Calls as scheduled throughout the year with businesses and the National Employment Team, including the CSAVR Conference Employment Committee meeting and webinars on the Talent Acquisition Portal and Building Business Partnerships.</w:t>
      </w:r>
    </w:p>
    <w:p w14:paraId="5013C0B2" w14:textId="77777777" w:rsidR="00491495" w:rsidRPr="004A0C12" w:rsidRDefault="00491495" w:rsidP="00491495">
      <w:pPr>
        <w:pStyle w:val="NormalWeb"/>
        <w:spacing w:before="0" w:beforeAutospacing="0" w:afterAutospacing="0"/>
        <w:rPr>
          <w:rFonts w:ascii="Garamond" w:hAnsi="Garamond"/>
          <w:sz w:val="22"/>
          <w:szCs w:val="22"/>
        </w:rPr>
      </w:pPr>
      <w:r w:rsidRPr="004A0C12">
        <w:rPr>
          <w:rFonts w:ascii="Garamond" w:hAnsi="Garamond"/>
          <w:color w:val="000000"/>
          <w:sz w:val="22"/>
          <w:szCs w:val="22"/>
        </w:rPr>
        <w:t>Business Services Representatives held conference calls to share regional updates and resources from October - February. The new Business Relations Branch began meeting monthly either in person or via conference call beginning April 2015.</w:t>
      </w:r>
    </w:p>
    <w:p w14:paraId="20D4538B" w14:textId="77777777" w:rsidR="00491495" w:rsidRPr="004A0C12" w:rsidRDefault="00491495" w:rsidP="00491495">
      <w:pPr>
        <w:pStyle w:val="NormalWeb"/>
        <w:spacing w:before="0" w:beforeAutospacing="0" w:afterAutospacing="0"/>
        <w:rPr>
          <w:rFonts w:ascii="Garamond" w:hAnsi="Garamond"/>
          <w:sz w:val="22"/>
          <w:szCs w:val="22"/>
        </w:rPr>
      </w:pPr>
      <w:r w:rsidRPr="004A0C12">
        <w:rPr>
          <w:rFonts w:ascii="Garamond" w:hAnsi="Garamond"/>
          <w:color w:val="000000"/>
          <w:sz w:val="22"/>
          <w:szCs w:val="22"/>
        </w:rPr>
        <w:t>b. Trainings for all staff assigned to business services will be conducted on a regular basis.</w:t>
      </w:r>
    </w:p>
    <w:p w14:paraId="0C95BE09" w14:textId="77777777" w:rsidR="00491495" w:rsidRPr="004A0C12" w:rsidRDefault="00491495" w:rsidP="00491495">
      <w:pPr>
        <w:pStyle w:val="NormalWeb"/>
        <w:spacing w:before="0" w:beforeAutospacing="0" w:afterAutospacing="0"/>
        <w:rPr>
          <w:rFonts w:ascii="Garamond" w:hAnsi="Garamond"/>
          <w:sz w:val="22"/>
          <w:szCs w:val="22"/>
        </w:rPr>
      </w:pPr>
      <w:r w:rsidRPr="004A0C12">
        <w:rPr>
          <w:rFonts w:ascii="Garamond" w:hAnsi="Garamond"/>
          <w:color w:val="000000"/>
          <w:sz w:val="22"/>
          <w:szCs w:val="22"/>
        </w:rPr>
        <w:t>The Business Services Representatives assigned to the Business Relations Branch as well as the Employment Specialists at the Workforce and Technology Center and the Office of Blindness and Vision Services met quarterly for training on AWARE documentation, building business relationships, collaborative efforts, labor market information and employer incentives, including usage of on-the-job training.</w:t>
      </w:r>
    </w:p>
    <w:p w14:paraId="67A81E22" w14:textId="77777777" w:rsidR="00491495" w:rsidRPr="004A0C12" w:rsidRDefault="00491495" w:rsidP="00491495">
      <w:pPr>
        <w:pStyle w:val="NormalWeb"/>
        <w:spacing w:before="0" w:beforeAutospacing="0" w:afterAutospacing="0"/>
        <w:rPr>
          <w:rFonts w:ascii="Garamond" w:hAnsi="Garamond"/>
          <w:sz w:val="22"/>
          <w:szCs w:val="22"/>
        </w:rPr>
      </w:pPr>
      <w:r w:rsidRPr="004A0C12">
        <w:rPr>
          <w:rFonts w:ascii="Garamond" w:hAnsi="Garamond"/>
          <w:color w:val="000000"/>
          <w:sz w:val="22"/>
          <w:szCs w:val="22"/>
        </w:rPr>
        <w:t>In addition, the regional Business Services Representatives participated in quarterly training with the Department of Labor, Licensing and Regulation’s business services representatives. Training agenda items focused on effective skills, strategies and collaboration for business outreach and quality services and real-time and projected labor market and economic development information.</w:t>
      </w:r>
    </w:p>
    <w:p w14:paraId="3798E767" w14:textId="77777777" w:rsidR="00491495" w:rsidRPr="004A0C12" w:rsidRDefault="00491495" w:rsidP="00491495">
      <w:pPr>
        <w:pStyle w:val="NormalWeb"/>
        <w:spacing w:before="0" w:beforeAutospacing="0" w:afterAutospacing="0"/>
        <w:rPr>
          <w:rFonts w:ascii="Garamond" w:hAnsi="Garamond"/>
          <w:sz w:val="22"/>
          <w:szCs w:val="22"/>
        </w:rPr>
      </w:pPr>
      <w:r w:rsidRPr="004A0C12">
        <w:rPr>
          <w:rFonts w:ascii="Garamond" w:hAnsi="Garamond"/>
          <w:color w:val="000000"/>
          <w:sz w:val="22"/>
          <w:szCs w:val="22"/>
        </w:rPr>
        <w:lastRenderedPageBreak/>
        <w:t>c. The number of internships, including QUEST, and On-the-Job Training opportunities will be tracked through the AWARE case management system.</w:t>
      </w:r>
    </w:p>
    <w:p w14:paraId="7FF22737" w14:textId="77777777" w:rsidR="00491495" w:rsidRPr="004A0C12" w:rsidRDefault="00491495" w:rsidP="00491495">
      <w:pPr>
        <w:pStyle w:val="NormalWeb"/>
        <w:spacing w:before="0" w:beforeAutospacing="0" w:afterAutospacing="0"/>
        <w:rPr>
          <w:rFonts w:ascii="Garamond" w:hAnsi="Garamond"/>
          <w:sz w:val="22"/>
          <w:szCs w:val="22"/>
        </w:rPr>
      </w:pPr>
      <w:r w:rsidRPr="004A0C12">
        <w:rPr>
          <w:rFonts w:ascii="Garamond" w:hAnsi="Garamond"/>
          <w:color w:val="000000"/>
          <w:sz w:val="22"/>
          <w:szCs w:val="22"/>
        </w:rPr>
        <w:t>During FY 15, DORS facilitated QUEST internships with Maryland state agencies for 46 consumers. In addition, 3 internships were developed for consumers with the Social Security Administration.</w:t>
      </w:r>
    </w:p>
    <w:p w14:paraId="07D77028" w14:textId="77777777" w:rsidR="00491495" w:rsidRPr="004A0C12" w:rsidRDefault="00491495" w:rsidP="00491495">
      <w:pPr>
        <w:pStyle w:val="NormalWeb"/>
        <w:spacing w:before="0" w:beforeAutospacing="0" w:afterAutospacing="0"/>
        <w:rPr>
          <w:rFonts w:ascii="Garamond" w:hAnsi="Garamond"/>
          <w:sz w:val="22"/>
          <w:szCs w:val="22"/>
        </w:rPr>
      </w:pPr>
      <w:r w:rsidRPr="004A0C12">
        <w:rPr>
          <w:rFonts w:ascii="Garamond" w:hAnsi="Garamond"/>
          <w:color w:val="000000"/>
          <w:sz w:val="22"/>
          <w:szCs w:val="22"/>
        </w:rPr>
        <w:t>Of these 49 individuals who benefited from these work-based learning opportunities, 16 were closed successfully rehabilitated and 7 are in employed status, indicating 47% became employed after participation in the internship.</w:t>
      </w:r>
    </w:p>
    <w:p w14:paraId="3412C25D" w14:textId="0822D62F" w:rsidR="007A1FDC" w:rsidRPr="004A0C12" w:rsidRDefault="00491495" w:rsidP="007A1FDC">
      <w:pPr>
        <w:spacing w:after="0" w:line="240" w:lineRule="auto"/>
        <w:jc w:val="both"/>
        <w:rPr>
          <w:rFonts w:ascii="Garamond" w:hAnsi="Garamond"/>
        </w:rPr>
      </w:pPr>
      <w:r w:rsidRPr="004A0C12">
        <w:rPr>
          <w:rFonts w:ascii="Garamond" w:hAnsi="Garamond"/>
        </w:rPr>
        <w:t>Training and promotion of using On-the-Job Training (OJT) as a hiring incentive resulted in 25 OJT agreements as documented via vendor authorization records, 20 more than the previous fiscal year.</w:t>
      </w:r>
    </w:p>
    <w:p w14:paraId="4EB73935" w14:textId="1F51AF02" w:rsidR="007A1FDC" w:rsidRPr="004A0C12" w:rsidRDefault="007A1FDC" w:rsidP="007A1FDC">
      <w:pPr>
        <w:spacing w:after="0" w:line="240" w:lineRule="auto"/>
        <w:rPr>
          <w:rFonts w:ascii="Garamond" w:hAnsi="Garamond"/>
        </w:rPr>
      </w:pPr>
      <w:r w:rsidRPr="004A0C12">
        <w:rPr>
          <w:rFonts w:ascii="Garamond" w:hAnsi="Garamond"/>
        </w:rPr>
        <w:t>Obj</w:t>
      </w:r>
      <w:r w:rsidR="006949CD" w:rsidRPr="004A0C12">
        <w:rPr>
          <w:rFonts w:ascii="Garamond" w:hAnsi="Garamond"/>
        </w:rPr>
        <w:t xml:space="preserve">ective 3.3- </w:t>
      </w:r>
      <w:r w:rsidRPr="004A0C12">
        <w:rPr>
          <w:rFonts w:ascii="Garamond" w:hAnsi="Garamond"/>
        </w:rPr>
        <w:t>DORS will provide support to the St</w:t>
      </w:r>
      <w:r w:rsidR="0096681D" w:rsidRPr="004A0C12">
        <w:rPr>
          <w:rFonts w:ascii="Garamond" w:hAnsi="Garamond"/>
        </w:rPr>
        <w:t>ate Rehabilitation Council</w:t>
      </w:r>
      <w:r w:rsidRPr="004A0C12">
        <w:rPr>
          <w:rFonts w:ascii="Garamond" w:hAnsi="Garamond"/>
        </w:rPr>
        <w:t xml:space="preserve"> to maintain and enhance its leadership role in the oversight of vocational rehabilitation service delivery in Maryland.</w:t>
      </w:r>
    </w:p>
    <w:p w14:paraId="661A94C5" w14:textId="77777777" w:rsidR="007A1FDC" w:rsidRPr="004A0C12" w:rsidRDefault="007A1FDC" w:rsidP="007A1FDC">
      <w:pPr>
        <w:spacing w:after="0" w:line="240" w:lineRule="auto"/>
        <w:jc w:val="both"/>
        <w:rPr>
          <w:rFonts w:ascii="Garamond" w:hAnsi="Garamond"/>
        </w:rPr>
      </w:pPr>
    </w:p>
    <w:p w14:paraId="24CA46B3"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30021CF9" w14:textId="719F57C3" w:rsidR="0096681D" w:rsidRPr="004A0C12" w:rsidRDefault="007A1FDC" w:rsidP="00232F09">
      <w:pPr>
        <w:numPr>
          <w:ilvl w:val="0"/>
          <w:numId w:val="160"/>
        </w:numPr>
        <w:tabs>
          <w:tab w:val="clear" w:pos="360"/>
          <w:tab w:val="num" w:pos="720"/>
        </w:tabs>
        <w:spacing w:after="0" w:line="240" w:lineRule="auto"/>
        <w:ind w:left="720" w:hanging="360"/>
        <w:jc w:val="both"/>
        <w:rPr>
          <w:rFonts w:ascii="Garamond" w:hAnsi="Garamond"/>
        </w:rPr>
      </w:pPr>
      <w:r w:rsidRPr="004A0C12">
        <w:rPr>
          <w:rFonts w:ascii="Garamond" w:hAnsi="Garamond"/>
        </w:rPr>
        <w:t>DORS will ensure that it works with the State Rehabilit</w:t>
      </w:r>
      <w:r w:rsidR="0096681D" w:rsidRPr="004A0C12">
        <w:rPr>
          <w:rFonts w:ascii="Garamond" w:hAnsi="Garamond"/>
        </w:rPr>
        <w:t xml:space="preserve">ation Council </w:t>
      </w:r>
      <w:r w:rsidRPr="004A0C12">
        <w:rPr>
          <w:rFonts w:ascii="Garamond" w:hAnsi="Garamond"/>
        </w:rPr>
        <w:t>in accordance with federal law and r</w:t>
      </w:r>
      <w:r w:rsidR="0096681D" w:rsidRPr="004A0C12">
        <w:rPr>
          <w:rFonts w:ascii="Garamond" w:hAnsi="Garamond"/>
        </w:rPr>
        <w:t xml:space="preserve">egulations and Council By-Laws; and, </w:t>
      </w:r>
    </w:p>
    <w:p w14:paraId="4AD2F408" w14:textId="5C1E406A" w:rsidR="007A1FDC" w:rsidRPr="004A0C12" w:rsidRDefault="007A1FDC" w:rsidP="00232F09">
      <w:pPr>
        <w:numPr>
          <w:ilvl w:val="0"/>
          <w:numId w:val="160"/>
        </w:numPr>
        <w:tabs>
          <w:tab w:val="clear" w:pos="360"/>
          <w:tab w:val="num" w:pos="720"/>
        </w:tabs>
        <w:spacing w:after="0" w:line="240" w:lineRule="auto"/>
        <w:ind w:left="720" w:hanging="360"/>
        <w:jc w:val="both"/>
        <w:rPr>
          <w:rFonts w:ascii="Garamond" w:hAnsi="Garamond"/>
        </w:rPr>
      </w:pPr>
      <w:r w:rsidRPr="004A0C12">
        <w:rPr>
          <w:rFonts w:ascii="Garamond" w:hAnsi="Garamond"/>
        </w:rPr>
        <w:t>Council members will review and comment on the annual agency program plan, DORS progress in meeting its performance goals, and DORS program accomplishments.</w:t>
      </w:r>
      <w:r w:rsidRPr="004A0C12">
        <w:rPr>
          <w:rFonts w:ascii="Garamond" w:hAnsi="Garamond"/>
        </w:rPr>
        <w:cr/>
      </w:r>
    </w:p>
    <w:p w14:paraId="19E8BC23" w14:textId="3B7F773B"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w:t>
      </w:r>
      <w:r w:rsidR="00731958" w:rsidRPr="004A0C12">
        <w:rPr>
          <w:rFonts w:ascii="Garamond" w:hAnsi="Garamond"/>
        </w:rPr>
        <w:t>30, 2015</w:t>
      </w:r>
      <w:r w:rsidRPr="004A0C12">
        <w:rPr>
          <w:rFonts w:ascii="Garamond" w:hAnsi="Garamond"/>
        </w:rPr>
        <w:t xml:space="preserve">: </w:t>
      </w:r>
    </w:p>
    <w:p w14:paraId="10864D67" w14:textId="77777777" w:rsidR="007A1FDC" w:rsidRPr="004A0C12" w:rsidRDefault="007A1FDC" w:rsidP="007A1FDC">
      <w:pPr>
        <w:spacing w:after="0" w:line="240" w:lineRule="auto"/>
        <w:jc w:val="both"/>
        <w:rPr>
          <w:rFonts w:ascii="Garamond" w:hAnsi="Garamond"/>
        </w:rPr>
      </w:pPr>
    </w:p>
    <w:p w14:paraId="0B7F24E6" w14:textId="6ED9DD90" w:rsidR="00DF00F8" w:rsidRPr="004A0C12" w:rsidRDefault="00DF00F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s="Helvetica"/>
          <w:color w:val="000000"/>
          <w:sz w:val="22"/>
          <w:szCs w:val="22"/>
        </w:rPr>
        <w:t>a. The Maryland SRC will conduct four (4) quarterly meetings including a meeting during the legislative session in Annapolis.</w:t>
      </w:r>
    </w:p>
    <w:p w14:paraId="22268CA4"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MSRC met on November 19, 2014, February 4, 2015 (legislative session), May 6, 2015, and September 9, 2015.</w:t>
      </w:r>
    </w:p>
    <w:p w14:paraId="3BEE370F"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b. The Maryland SRC and DORS will conduct annual public meetings in preparation for developing the VR State Plan.</w:t>
      </w:r>
    </w:p>
    <w:p w14:paraId="3CC31F3A"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DORS and the Maryland State Rehabilitation Council (MSRC) held one statewide public meeting teleconference on April 15, 2015. Representatives from DORS’ executive team, the MSRC, Office of Field Service (OFS), Office for Blindness and Vision Services (OBVS), Workforce &amp; Technology Center (WTC), and Client Assistance Program (CAP), and DORS leadership development programs attended. 17+ individuals participated.</w:t>
      </w:r>
    </w:p>
    <w:p w14:paraId="2491D9AD"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c. The Maryland SRC will submit its annual report to the Governor and RSA as required by law.</w:t>
      </w:r>
    </w:p>
    <w:p w14:paraId="0A588104"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The MSRC 2014 Annual Report was submitted by December 31, 2014 as required.</w:t>
      </w:r>
    </w:p>
    <w:p w14:paraId="191285D1" w14:textId="77777777" w:rsidR="007A1FDC" w:rsidRPr="004A0C12" w:rsidRDefault="007A1FDC" w:rsidP="007A1FDC">
      <w:pPr>
        <w:spacing w:after="0" w:line="240" w:lineRule="auto"/>
        <w:jc w:val="both"/>
        <w:rPr>
          <w:rFonts w:ascii="Garamond" w:hAnsi="Garamond"/>
        </w:rPr>
      </w:pPr>
    </w:p>
    <w:p w14:paraId="1DBDEF1D" w14:textId="53E0BB07" w:rsidR="007A1FDC" w:rsidRPr="004A0C12" w:rsidRDefault="006949CD" w:rsidP="007A1FDC">
      <w:pPr>
        <w:spacing w:after="0" w:line="240" w:lineRule="auto"/>
        <w:jc w:val="both"/>
        <w:rPr>
          <w:rFonts w:ascii="Garamond" w:hAnsi="Garamond"/>
        </w:rPr>
      </w:pPr>
      <w:r w:rsidRPr="004A0C12">
        <w:rPr>
          <w:rFonts w:ascii="Garamond" w:hAnsi="Garamond"/>
        </w:rPr>
        <w:t xml:space="preserve">Objective 3.4 - </w:t>
      </w:r>
      <w:r w:rsidR="007A1FDC" w:rsidRPr="004A0C12">
        <w:rPr>
          <w:rFonts w:ascii="Garamond" w:hAnsi="Garamond"/>
        </w:rPr>
        <w:t>Promote and enhance quality independent living outcomes for individuals with disabilities in Maryland through independent living programs.</w:t>
      </w:r>
    </w:p>
    <w:p w14:paraId="4EBFC28B" w14:textId="77777777" w:rsidR="0096681D" w:rsidRPr="004A0C12" w:rsidRDefault="0096681D" w:rsidP="007A1FDC">
      <w:pPr>
        <w:spacing w:after="0" w:line="240" w:lineRule="auto"/>
        <w:jc w:val="both"/>
        <w:rPr>
          <w:rFonts w:ascii="Garamond" w:hAnsi="Garamond"/>
        </w:rPr>
      </w:pPr>
    </w:p>
    <w:p w14:paraId="1A8AE442" w14:textId="7CF885A5" w:rsidR="007A1FDC" w:rsidRPr="004A0C12" w:rsidRDefault="0096681D" w:rsidP="007A1FDC">
      <w:pPr>
        <w:spacing w:after="0" w:line="240" w:lineRule="auto"/>
        <w:jc w:val="both"/>
        <w:rPr>
          <w:rFonts w:ascii="Garamond" w:hAnsi="Garamond"/>
        </w:rPr>
      </w:pPr>
      <w:r w:rsidRPr="004A0C12">
        <w:rPr>
          <w:rFonts w:ascii="Garamond" w:hAnsi="Garamond"/>
        </w:rPr>
        <w:t>Strategies:</w:t>
      </w:r>
    </w:p>
    <w:p w14:paraId="5D637EB5" w14:textId="005A2EA7" w:rsidR="007A1FDC" w:rsidRPr="004A0C12" w:rsidRDefault="007A1FDC" w:rsidP="00232F09">
      <w:pPr>
        <w:numPr>
          <w:ilvl w:val="0"/>
          <w:numId w:val="161"/>
        </w:numPr>
        <w:tabs>
          <w:tab w:val="clear" w:pos="360"/>
          <w:tab w:val="num" w:pos="720"/>
          <w:tab w:val="left" w:pos="1080"/>
        </w:tabs>
        <w:spacing w:after="0" w:line="240" w:lineRule="auto"/>
        <w:ind w:left="720" w:hanging="360"/>
        <w:jc w:val="both"/>
        <w:rPr>
          <w:rFonts w:ascii="Garamond" w:hAnsi="Garamond"/>
        </w:rPr>
      </w:pPr>
      <w:r w:rsidRPr="004A0C12">
        <w:rPr>
          <w:rFonts w:ascii="Garamond" w:hAnsi="Garamond"/>
        </w:rPr>
        <w:t>Provide grant support, technical assistance and monitoring to the Statewide I</w:t>
      </w:r>
      <w:r w:rsidR="0096681D" w:rsidRPr="004A0C12">
        <w:rPr>
          <w:rFonts w:ascii="Garamond" w:hAnsi="Garamond"/>
        </w:rPr>
        <w:t>ndependent Living Council</w:t>
      </w:r>
      <w:r w:rsidR="00731958" w:rsidRPr="004A0C12">
        <w:rPr>
          <w:rFonts w:ascii="Garamond" w:hAnsi="Garamond"/>
        </w:rPr>
        <w:t xml:space="preserve"> (SILC)</w:t>
      </w:r>
      <w:r w:rsidR="0096681D" w:rsidRPr="004A0C12">
        <w:rPr>
          <w:rFonts w:ascii="Garamond" w:hAnsi="Garamond"/>
        </w:rPr>
        <w:t>;</w:t>
      </w:r>
    </w:p>
    <w:p w14:paraId="4D00D193" w14:textId="1E8BC4DF" w:rsidR="007A1FDC" w:rsidRPr="004A0C12" w:rsidRDefault="007A1FDC" w:rsidP="00232F09">
      <w:pPr>
        <w:numPr>
          <w:ilvl w:val="0"/>
          <w:numId w:val="161"/>
        </w:numPr>
        <w:tabs>
          <w:tab w:val="clear" w:pos="360"/>
          <w:tab w:val="num" w:pos="720"/>
          <w:tab w:val="left" w:pos="1080"/>
        </w:tabs>
        <w:spacing w:after="0" w:line="240" w:lineRule="auto"/>
        <w:ind w:left="720" w:hanging="360"/>
        <w:jc w:val="both"/>
        <w:rPr>
          <w:rFonts w:ascii="Garamond" w:hAnsi="Garamond"/>
        </w:rPr>
      </w:pPr>
      <w:r w:rsidRPr="004A0C12">
        <w:rPr>
          <w:rFonts w:ascii="Garamond" w:hAnsi="Garamond"/>
        </w:rPr>
        <w:t>Manage DORS grants to Cente</w:t>
      </w:r>
      <w:r w:rsidR="0096681D" w:rsidRPr="004A0C12">
        <w:rPr>
          <w:rFonts w:ascii="Garamond" w:hAnsi="Garamond"/>
        </w:rPr>
        <w:t>rs for Independent Living</w:t>
      </w:r>
      <w:r w:rsidR="00731958" w:rsidRPr="004A0C12">
        <w:rPr>
          <w:rFonts w:ascii="Garamond" w:hAnsi="Garamond"/>
        </w:rPr>
        <w:t xml:space="preserve"> (CILs)</w:t>
      </w:r>
      <w:r w:rsidRPr="004A0C12">
        <w:rPr>
          <w:rFonts w:ascii="Garamond" w:hAnsi="Garamond"/>
        </w:rPr>
        <w:t>, including providing technical assistance</w:t>
      </w:r>
      <w:r w:rsidR="0096681D" w:rsidRPr="004A0C12">
        <w:rPr>
          <w:rFonts w:ascii="Garamond" w:hAnsi="Garamond"/>
        </w:rPr>
        <w:t xml:space="preserve"> and monitoring regarding the Independent Living</w:t>
      </w:r>
      <w:r w:rsidR="00731958" w:rsidRPr="004A0C12">
        <w:rPr>
          <w:rFonts w:ascii="Garamond" w:hAnsi="Garamond"/>
        </w:rPr>
        <w:t xml:space="preserve"> (IL)</w:t>
      </w:r>
      <w:r w:rsidR="00CF391B" w:rsidRPr="004A0C12">
        <w:rPr>
          <w:rFonts w:ascii="Garamond" w:hAnsi="Garamond"/>
        </w:rPr>
        <w:t xml:space="preserve"> program, the Independent Living Assistive Technology</w:t>
      </w:r>
      <w:r w:rsidR="00731958" w:rsidRPr="004A0C12">
        <w:rPr>
          <w:rFonts w:ascii="Garamond" w:hAnsi="Garamond"/>
        </w:rPr>
        <w:t xml:space="preserve"> (IL AT)</w:t>
      </w:r>
      <w:r w:rsidRPr="004A0C12">
        <w:rPr>
          <w:rFonts w:ascii="Garamond" w:hAnsi="Garamond"/>
        </w:rPr>
        <w:t xml:space="preserve"> progr</w:t>
      </w:r>
      <w:r w:rsidR="0096681D" w:rsidRPr="004A0C12">
        <w:rPr>
          <w:rFonts w:ascii="Garamond" w:hAnsi="Garamond"/>
        </w:rPr>
        <w:t>am, and fiscal responsibilities;</w:t>
      </w:r>
    </w:p>
    <w:p w14:paraId="3374DCDA" w14:textId="594C336B" w:rsidR="007A1FDC" w:rsidRPr="004A0C12" w:rsidRDefault="0096681D" w:rsidP="00232F09">
      <w:pPr>
        <w:numPr>
          <w:ilvl w:val="0"/>
          <w:numId w:val="161"/>
        </w:numPr>
        <w:tabs>
          <w:tab w:val="clear" w:pos="360"/>
          <w:tab w:val="num" w:pos="720"/>
          <w:tab w:val="left" w:pos="1080"/>
        </w:tabs>
        <w:spacing w:after="0" w:line="240" w:lineRule="auto"/>
        <w:ind w:left="720" w:hanging="360"/>
        <w:jc w:val="both"/>
        <w:rPr>
          <w:rFonts w:ascii="Garamond" w:hAnsi="Garamond"/>
        </w:rPr>
      </w:pPr>
      <w:r w:rsidRPr="004A0C12">
        <w:rPr>
          <w:rFonts w:ascii="Garamond" w:hAnsi="Garamond"/>
        </w:rPr>
        <w:t>Participate as an Independent Living</w:t>
      </w:r>
      <w:r w:rsidR="00731958" w:rsidRPr="004A0C12">
        <w:rPr>
          <w:rFonts w:ascii="Garamond" w:hAnsi="Garamond"/>
        </w:rPr>
        <w:t xml:space="preserve"> (IL)</w:t>
      </w:r>
      <w:r w:rsidR="007A1FDC" w:rsidRPr="004A0C12">
        <w:rPr>
          <w:rFonts w:ascii="Garamond" w:hAnsi="Garamond"/>
        </w:rPr>
        <w:t xml:space="preserve"> Partner in implementation of the 2014-2016 State Plan for I</w:t>
      </w:r>
      <w:r w:rsidRPr="004A0C12">
        <w:rPr>
          <w:rFonts w:ascii="Garamond" w:hAnsi="Garamond"/>
        </w:rPr>
        <w:t xml:space="preserve">ndependent Living; and, </w:t>
      </w:r>
    </w:p>
    <w:p w14:paraId="254978FB" w14:textId="357985F2" w:rsidR="007A1FDC" w:rsidRPr="004A0C12" w:rsidRDefault="00731958" w:rsidP="00232F09">
      <w:pPr>
        <w:numPr>
          <w:ilvl w:val="0"/>
          <w:numId w:val="161"/>
        </w:numPr>
        <w:tabs>
          <w:tab w:val="clear" w:pos="360"/>
          <w:tab w:val="num" w:pos="720"/>
          <w:tab w:val="left" w:pos="1080"/>
        </w:tabs>
        <w:spacing w:after="0" w:line="240" w:lineRule="auto"/>
        <w:ind w:left="720" w:hanging="360"/>
        <w:jc w:val="both"/>
        <w:rPr>
          <w:rFonts w:ascii="Garamond" w:hAnsi="Garamond"/>
        </w:rPr>
      </w:pPr>
      <w:r w:rsidRPr="004A0C12">
        <w:rPr>
          <w:rFonts w:ascii="Garamond" w:hAnsi="Garamond"/>
          <w:color w:val="000000"/>
        </w:rPr>
        <w:t xml:space="preserve">Regional Directors and OBVS Supervisors will conduct an annual meeting with Executive Directors of CILs within their areas to discuss issues of mutual </w:t>
      </w:r>
      <w:r w:rsidR="00881DB5" w:rsidRPr="004A0C12">
        <w:rPr>
          <w:rFonts w:ascii="Garamond" w:hAnsi="Garamond"/>
          <w:color w:val="000000"/>
        </w:rPr>
        <w:t>interest</w:t>
      </w:r>
      <w:r w:rsidR="007A1FDC" w:rsidRPr="004A0C12">
        <w:rPr>
          <w:rFonts w:ascii="Garamond" w:hAnsi="Garamond"/>
        </w:rPr>
        <w:t>.</w:t>
      </w:r>
    </w:p>
    <w:p w14:paraId="0EB2EA3C" w14:textId="77777777" w:rsidR="007A1FDC" w:rsidRPr="004A0C12" w:rsidRDefault="007A1FDC" w:rsidP="007A1FDC">
      <w:pPr>
        <w:spacing w:after="0" w:line="240" w:lineRule="auto"/>
        <w:jc w:val="both"/>
        <w:rPr>
          <w:rFonts w:ascii="Garamond" w:hAnsi="Garamond"/>
        </w:rPr>
      </w:pPr>
    </w:p>
    <w:p w14:paraId="00D0CA5B" w14:textId="7FA93EB6"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w:t>
      </w:r>
      <w:r w:rsidR="00731958" w:rsidRPr="004A0C12">
        <w:rPr>
          <w:rFonts w:ascii="Garamond" w:hAnsi="Garamond"/>
        </w:rPr>
        <w:t>30, 2015</w:t>
      </w:r>
      <w:r w:rsidRPr="004A0C12">
        <w:rPr>
          <w:rFonts w:ascii="Garamond" w:hAnsi="Garamond"/>
        </w:rPr>
        <w:t xml:space="preserve">: </w:t>
      </w:r>
    </w:p>
    <w:p w14:paraId="64EFAE44" w14:textId="77777777" w:rsidR="007A1FDC" w:rsidRPr="004A0C12" w:rsidRDefault="007A1FDC" w:rsidP="007A1FDC">
      <w:pPr>
        <w:spacing w:after="0" w:line="240" w:lineRule="auto"/>
        <w:jc w:val="both"/>
        <w:rPr>
          <w:rFonts w:ascii="Garamond" w:hAnsi="Garamond"/>
        </w:rPr>
      </w:pPr>
    </w:p>
    <w:p w14:paraId="1240E808"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a. Annual reviews of grant performance will be conducted for each CIL with which DORS has a grant, and the Statewide Independent Living Council.</w:t>
      </w:r>
    </w:p>
    <w:p w14:paraId="5F123580"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lastRenderedPageBreak/>
        <w:t>Due to loss of staff and scheduling conflicts, five out of the six FY 15 CIL reviews took place during the first quarter of FY 16, as follows: Monday, September 28, 2015 - Southern Maryland Center for IL; Friday, October 2, 2015 - Independence Now, Inc.; Friday, November 9, 2015 - Independent Marylander’s Achieving Growth Through Empowerment, Inc.; Wednesday, October 14, 2015 - Bay Area Center for Independent Living; Tuesday, November 17 - Freedom Center, Inc.; Wednesday, November 23, Resources for Independence</w:t>
      </w:r>
    </w:p>
    <w:p w14:paraId="589B4AFC"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b. Meeting minutes will confirm DORS staff attendance and participation in quarterly meetings of Maryland IL Partners.</w:t>
      </w:r>
    </w:p>
    <w:p w14:paraId="58989D6E"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Meeting minutes confirm attendance and participation at 3 (due to schedule conflicts) of the 4 quarterly scheduled meetings: June 29; October 23; and November 4.</w:t>
      </w:r>
    </w:p>
    <w:p w14:paraId="71DC76C6"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c. DORS Regional/Program directors will confirm at least annual meetings with CIL Executive Directors.</w:t>
      </w:r>
    </w:p>
    <w:p w14:paraId="31C586C3" w14:textId="77777777" w:rsidR="00731958" w:rsidRPr="004A0C12" w:rsidRDefault="00731958" w:rsidP="00232F09">
      <w:pPr>
        <w:pStyle w:val="NormalWeb"/>
        <w:numPr>
          <w:ilvl w:val="0"/>
          <w:numId w:val="263"/>
        </w:numPr>
        <w:spacing w:before="0" w:beforeAutospacing="0" w:afterAutospacing="0"/>
        <w:rPr>
          <w:rFonts w:ascii="Garamond" w:hAnsi="Garamond"/>
          <w:sz w:val="22"/>
          <w:szCs w:val="22"/>
        </w:rPr>
      </w:pPr>
      <w:r w:rsidRPr="004A0C12">
        <w:rPr>
          <w:rFonts w:ascii="Garamond" w:hAnsi="Garamond"/>
          <w:color w:val="000000"/>
          <w:sz w:val="22"/>
          <w:szCs w:val="22"/>
        </w:rPr>
        <w:t>During FY 15, the Regional Directors in Regions 3 and 5 met once and the Regional Director in Region 6 met routinely with the Executive Directors of CILs operating in their areas.</w:t>
      </w:r>
    </w:p>
    <w:p w14:paraId="4E1DB3C0" w14:textId="77777777" w:rsidR="007A1FDC" w:rsidRPr="004A0C12" w:rsidRDefault="007A1FDC" w:rsidP="007A1FDC">
      <w:pPr>
        <w:spacing w:after="0" w:line="240" w:lineRule="auto"/>
        <w:jc w:val="both"/>
        <w:rPr>
          <w:rFonts w:ascii="Garamond" w:hAnsi="Garamond"/>
        </w:rPr>
      </w:pPr>
    </w:p>
    <w:p w14:paraId="749FD42F" w14:textId="272CED2A" w:rsidR="007A1FDC" w:rsidRPr="004A0C12" w:rsidRDefault="007A1FDC" w:rsidP="007A1FDC">
      <w:pPr>
        <w:spacing w:after="0" w:line="240" w:lineRule="auto"/>
        <w:jc w:val="both"/>
        <w:rPr>
          <w:rFonts w:ascii="Garamond" w:hAnsi="Garamond"/>
        </w:rPr>
      </w:pPr>
      <w:r w:rsidRPr="008D5533">
        <w:rPr>
          <w:rFonts w:ascii="Garamond" w:hAnsi="Garamond"/>
          <w:b/>
        </w:rPr>
        <w:t>Goal 4:</w:t>
      </w:r>
      <w:r w:rsidRPr="004A0C12">
        <w:rPr>
          <w:rFonts w:ascii="Garamond" w:hAnsi="Garamond"/>
        </w:rPr>
        <w:t xml:space="preserve"> Provide Infrastructure to promote and support the accomplishment of the DORS mission.</w:t>
      </w:r>
    </w:p>
    <w:p w14:paraId="6F73D17C" w14:textId="77777777" w:rsidR="006949CD" w:rsidRPr="004A0C12" w:rsidRDefault="006949CD" w:rsidP="007A1FDC">
      <w:pPr>
        <w:spacing w:after="0" w:line="240" w:lineRule="auto"/>
        <w:jc w:val="both"/>
        <w:rPr>
          <w:rFonts w:ascii="Garamond" w:hAnsi="Garamond"/>
        </w:rPr>
      </w:pPr>
    </w:p>
    <w:p w14:paraId="329BF50E" w14:textId="381BD074" w:rsidR="007A1FDC" w:rsidRPr="004A0C12" w:rsidRDefault="007A1FDC" w:rsidP="007A1FDC">
      <w:pPr>
        <w:spacing w:after="0" w:line="240" w:lineRule="auto"/>
        <w:jc w:val="both"/>
        <w:rPr>
          <w:rFonts w:ascii="Garamond" w:hAnsi="Garamond"/>
        </w:rPr>
      </w:pPr>
      <w:r w:rsidRPr="004A0C12">
        <w:rPr>
          <w:rFonts w:ascii="Garamond" w:hAnsi="Garamond"/>
        </w:rPr>
        <w:t xml:space="preserve">Objective 4.1 </w:t>
      </w:r>
      <w:r w:rsidR="00731958" w:rsidRPr="004A0C12">
        <w:rPr>
          <w:rFonts w:ascii="Garamond" w:hAnsi="Garamond"/>
          <w:color w:val="000000"/>
        </w:rPr>
        <w:t>Complete year 1 activities that support the goals and objectives of the DORS 2015- 2018 Strategic Plan, in the areas of organizational structure, information technology, succession planning, and community partners.</w:t>
      </w:r>
      <w:r w:rsidRPr="004A0C12">
        <w:rPr>
          <w:rFonts w:ascii="Garamond" w:hAnsi="Garamond"/>
        </w:rPr>
        <w:t xml:space="preserve"> </w:t>
      </w:r>
    </w:p>
    <w:p w14:paraId="2414D5CE" w14:textId="77777777" w:rsidR="007A1FDC" w:rsidRPr="004A0C12" w:rsidRDefault="007A1FDC" w:rsidP="007A1FDC">
      <w:pPr>
        <w:spacing w:after="0" w:line="240" w:lineRule="auto"/>
        <w:jc w:val="both"/>
        <w:rPr>
          <w:rFonts w:ascii="Garamond" w:hAnsi="Garamond"/>
        </w:rPr>
      </w:pPr>
    </w:p>
    <w:p w14:paraId="4E5B10C2" w14:textId="01CFB1D9" w:rsidR="007A1FDC" w:rsidRPr="004A0C12" w:rsidRDefault="007A1FDC" w:rsidP="007A1FDC">
      <w:pPr>
        <w:spacing w:after="0" w:line="240" w:lineRule="auto"/>
        <w:jc w:val="both"/>
        <w:rPr>
          <w:rFonts w:ascii="Garamond" w:hAnsi="Garamond"/>
          <w:strike/>
        </w:rPr>
      </w:pPr>
      <w:r w:rsidRPr="004A0C12">
        <w:rPr>
          <w:rFonts w:ascii="Garamond" w:hAnsi="Garamond"/>
        </w:rPr>
        <w:t xml:space="preserve">Strategies: </w:t>
      </w:r>
      <w:r w:rsidR="00731958" w:rsidRPr="004A0C12">
        <w:rPr>
          <w:rFonts w:ascii="Garamond" w:hAnsi="Garamond"/>
        </w:rPr>
        <w:t>DORS will</w:t>
      </w:r>
      <w:r w:rsidRPr="004A0C12">
        <w:rPr>
          <w:rFonts w:ascii="Garamond" w:hAnsi="Garamond"/>
        </w:rPr>
        <w:t xml:space="preserve"> </w:t>
      </w:r>
      <w:r w:rsidRPr="004A0C12">
        <w:rPr>
          <w:rFonts w:ascii="Garamond" w:hAnsi="Garamond"/>
        </w:rPr>
        <w:tab/>
      </w:r>
    </w:p>
    <w:p w14:paraId="169EC2EA" w14:textId="362B66D1" w:rsidR="007A1FDC" w:rsidRPr="004A0C12" w:rsidRDefault="00731958" w:rsidP="00232F09">
      <w:pPr>
        <w:numPr>
          <w:ilvl w:val="0"/>
          <w:numId w:val="167"/>
        </w:numPr>
        <w:tabs>
          <w:tab w:val="clear" w:pos="360"/>
          <w:tab w:val="num" w:pos="720"/>
        </w:tabs>
        <w:spacing w:after="0" w:line="240" w:lineRule="auto"/>
        <w:ind w:left="720" w:hanging="360"/>
        <w:jc w:val="both"/>
        <w:rPr>
          <w:rFonts w:ascii="Garamond" w:hAnsi="Garamond"/>
        </w:rPr>
      </w:pPr>
      <w:r w:rsidRPr="004A0C12">
        <w:rPr>
          <w:rFonts w:ascii="Garamond" w:hAnsi="Garamond"/>
        </w:rPr>
        <w:t>Assign appropriate staff to work groups to see that strategic planning activities are carried out.</w:t>
      </w:r>
    </w:p>
    <w:p w14:paraId="63A835B7" w14:textId="3A142F0D" w:rsidR="007A1FDC" w:rsidRPr="004A0C12" w:rsidRDefault="00731958" w:rsidP="00232F09">
      <w:pPr>
        <w:numPr>
          <w:ilvl w:val="0"/>
          <w:numId w:val="167"/>
        </w:numPr>
        <w:tabs>
          <w:tab w:val="clear" w:pos="360"/>
          <w:tab w:val="num" w:pos="720"/>
        </w:tabs>
        <w:spacing w:after="0" w:line="240" w:lineRule="auto"/>
        <w:ind w:left="720" w:hanging="360"/>
        <w:jc w:val="both"/>
        <w:rPr>
          <w:rFonts w:ascii="Garamond" w:hAnsi="Garamond"/>
        </w:rPr>
      </w:pPr>
      <w:r w:rsidRPr="004A0C12">
        <w:rPr>
          <w:rFonts w:ascii="Garamond" w:hAnsi="Garamond"/>
        </w:rPr>
        <w:t>Assure that progress is made through presentations to the Executive Staff.</w:t>
      </w:r>
      <w:r w:rsidR="007A1FDC" w:rsidRPr="004A0C12">
        <w:rPr>
          <w:rFonts w:ascii="Garamond" w:hAnsi="Garamond"/>
        </w:rPr>
        <w:cr/>
      </w:r>
    </w:p>
    <w:p w14:paraId="3E31B222" w14:textId="77777777" w:rsidR="007A1FDC" w:rsidRPr="004A0C12" w:rsidRDefault="007A1FDC" w:rsidP="007A1FDC">
      <w:pPr>
        <w:spacing w:after="0" w:line="240" w:lineRule="auto"/>
        <w:jc w:val="both"/>
        <w:rPr>
          <w:rFonts w:ascii="Garamond" w:hAnsi="Garamond"/>
        </w:rPr>
      </w:pPr>
    </w:p>
    <w:p w14:paraId="6C6FC6EE" w14:textId="1420EE82" w:rsidR="007A1FDC" w:rsidRPr="004A0C12" w:rsidRDefault="006949CD" w:rsidP="007A1FDC">
      <w:pPr>
        <w:spacing w:after="0" w:line="240" w:lineRule="auto"/>
        <w:jc w:val="both"/>
        <w:rPr>
          <w:rFonts w:ascii="Garamond" w:hAnsi="Garamond"/>
        </w:rPr>
      </w:pPr>
      <w:r w:rsidRPr="004A0C12">
        <w:rPr>
          <w:rFonts w:ascii="Garamond" w:hAnsi="Garamond"/>
        </w:rPr>
        <w:t xml:space="preserve">Objective 4.2 - </w:t>
      </w:r>
      <w:r w:rsidR="007A1FDC" w:rsidRPr="004A0C12">
        <w:rPr>
          <w:rFonts w:ascii="Garamond" w:hAnsi="Garamond"/>
        </w:rPr>
        <w:t>Staff training will be provided to assure that staff maintains current competencies in rehabilitation practice, special populations, and administrative issues; Leadership development programs will be offered (Needs Assessment Rec. 1).</w:t>
      </w:r>
    </w:p>
    <w:p w14:paraId="172F851C" w14:textId="77777777" w:rsidR="007A1FDC" w:rsidRPr="004A0C12" w:rsidRDefault="007A1FDC" w:rsidP="007A1FDC">
      <w:pPr>
        <w:spacing w:after="0" w:line="240" w:lineRule="auto"/>
        <w:jc w:val="both"/>
        <w:rPr>
          <w:rFonts w:ascii="Garamond" w:hAnsi="Garamond"/>
        </w:rPr>
      </w:pPr>
    </w:p>
    <w:p w14:paraId="15124556"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035457B0" w14:textId="77777777" w:rsidR="00731958" w:rsidRPr="004A0C12" w:rsidRDefault="00731958" w:rsidP="00731958">
      <w:pPr>
        <w:pStyle w:val="NormalWeb"/>
        <w:spacing w:before="0" w:beforeAutospacing="0" w:afterAutospacing="0"/>
        <w:rPr>
          <w:rFonts w:ascii="Garamond" w:hAnsi="Garamond"/>
          <w:sz w:val="22"/>
          <w:szCs w:val="22"/>
        </w:rPr>
      </w:pPr>
      <w:r w:rsidRPr="004A0C12">
        <w:rPr>
          <w:rFonts w:ascii="Garamond" w:hAnsi="Garamond"/>
          <w:color w:val="000000"/>
          <w:sz w:val="22"/>
          <w:szCs w:val="22"/>
        </w:rPr>
        <w:t>1. Provide effective Vocational Rehabilitation training for all staff, to include but not limited to</w:t>
      </w:r>
    </w:p>
    <w:p w14:paraId="55B4AD4A" w14:textId="77777777" w:rsidR="00731958" w:rsidRPr="004A0C12" w:rsidRDefault="00731958" w:rsidP="00731958">
      <w:pPr>
        <w:pStyle w:val="NormalWeb"/>
        <w:spacing w:before="0" w:beforeAutospacing="0" w:afterAutospacing="0"/>
        <w:rPr>
          <w:rFonts w:ascii="Garamond" w:hAnsi="Garamond"/>
          <w:sz w:val="22"/>
          <w:szCs w:val="22"/>
        </w:rPr>
      </w:pPr>
      <w:r w:rsidRPr="004A0C12">
        <w:rPr>
          <w:rFonts w:ascii="Garamond" w:hAnsi="Garamond"/>
          <w:color w:val="000000"/>
          <w:sz w:val="22"/>
          <w:szCs w:val="22"/>
        </w:rPr>
        <w:t>employment services, needs of and resources for targeted populations, and the role of the Counselor. (Needs Assessment Rec. 1).</w:t>
      </w:r>
    </w:p>
    <w:p w14:paraId="0F68CC20" w14:textId="77777777" w:rsidR="00731958" w:rsidRPr="004A0C12" w:rsidRDefault="00731958" w:rsidP="00731958">
      <w:pPr>
        <w:pStyle w:val="NormalWeb"/>
        <w:spacing w:before="0" w:beforeAutospacing="0" w:afterAutospacing="0"/>
        <w:rPr>
          <w:rFonts w:ascii="Garamond" w:hAnsi="Garamond"/>
          <w:sz w:val="22"/>
          <w:szCs w:val="22"/>
        </w:rPr>
      </w:pPr>
      <w:r w:rsidRPr="004A0C12">
        <w:rPr>
          <w:rFonts w:ascii="Garamond" w:hAnsi="Garamond"/>
          <w:color w:val="000000"/>
          <w:sz w:val="22"/>
          <w:szCs w:val="22"/>
        </w:rPr>
        <w:t>2. Include Community Partners in DORS training and meetings as appropriate. (Needs</w:t>
      </w:r>
    </w:p>
    <w:p w14:paraId="3A288989" w14:textId="77777777" w:rsidR="00723F54" w:rsidRPr="004A0C12" w:rsidRDefault="00731958" w:rsidP="00731958">
      <w:pPr>
        <w:pStyle w:val="NormalWeb"/>
        <w:spacing w:before="0" w:beforeAutospacing="0" w:afterAutospacing="0"/>
        <w:ind w:firstLine="360"/>
        <w:rPr>
          <w:rFonts w:ascii="Garamond" w:hAnsi="Garamond"/>
          <w:color w:val="000000"/>
          <w:sz w:val="22"/>
          <w:szCs w:val="22"/>
        </w:rPr>
      </w:pPr>
      <w:r w:rsidRPr="004A0C12">
        <w:rPr>
          <w:rFonts w:ascii="Garamond" w:hAnsi="Garamond"/>
          <w:color w:val="000000"/>
          <w:sz w:val="22"/>
          <w:szCs w:val="22"/>
        </w:rPr>
        <w:t xml:space="preserve">Assessment Rec. 1). </w:t>
      </w:r>
    </w:p>
    <w:p w14:paraId="426BA2BE" w14:textId="40312EC7" w:rsidR="00731958" w:rsidRPr="004A0C12" w:rsidRDefault="00731958" w:rsidP="00731958">
      <w:pPr>
        <w:pStyle w:val="NormalWeb"/>
        <w:spacing w:before="0" w:beforeAutospacing="0" w:afterAutospacing="0"/>
        <w:ind w:firstLine="360"/>
        <w:rPr>
          <w:rFonts w:ascii="Garamond" w:hAnsi="Garamond"/>
          <w:sz w:val="22"/>
          <w:szCs w:val="22"/>
        </w:rPr>
      </w:pPr>
      <w:r w:rsidRPr="004A0C12">
        <w:rPr>
          <w:rFonts w:ascii="Garamond" w:hAnsi="Garamond"/>
          <w:color w:val="000000"/>
          <w:sz w:val="22"/>
          <w:szCs w:val="22"/>
        </w:rPr>
        <w:t>3. Continue to expand on-line/web-based training modalities for training staff.</w:t>
      </w:r>
    </w:p>
    <w:p w14:paraId="364F38ED" w14:textId="77777777" w:rsidR="00731958" w:rsidRPr="004A0C12" w:rsidRDefault="00731958" w:rsidP="00731958">
      <w:pPr>
        <w:pStyle w:val="NormalWeb"/>
        <w:spacing w:before="0" w:beforeAutospacing="0" w:afterAutospacing="0"/>
        <w:rPr>
          <w:rFonts w:ascii="Garamond" w:hAnsi="Garamond"/>
          <w:sz w:val="22"/>
          <w:szCs w:val="22"/>
        </w:rPr>
      </w:pPr>
      <w:r w:rsidRPr="004A0C12">
        <w:rPr>
          <w:rFonts w:ascii="Garamond" w:hAnsi="Garamond"/>
          <w:color w:val="000000"/>
          <w:sz w:val="22"/>
          <w:szCs w:val="22"/>
        </w:rPr>
        <w:t>4. Plan and implement a Supervisor training series.</w:t>
      </w:r>
    </w:p>
    <w:p w14:paraId="1847B723" w14:textId="77777777" w:rsidR="00731958" w:rsidRPr="004A0C12" w:rsidRDefault="00731958" w:rsidP="00731958">
      <w:pPr>
        <w:pStyle w:val="NormalWeb"/>
        <w:spacing w:before="0" w:beforeAutospacing="0" w:afterAutospacing="0"/>
        <w:rPr>
          <w:rFonts w:ascii="Garamond" w:hAnsi="Garamond"/>
          <w:sz w:val="22"/>
          <w:szCs w:val="22"/>
        </w:rPr>
      </w:pPr>
      <w:r w:rsidRPr="004A0C12">
        <w:rPr>
          <w:rFonts w:ascii="Garamond" w:hAnsi="Garamond"/>
          <w:color w:val="000000"/>
          <w:sz w:val="22"/>
          <w:szCs w:val="22"/>
        </w:rPr>
        <w:t>5. Provide leadership activities for staff and succession planning for the agency.</w:t>
      </w:r>
    </w:p>
    <w:p w14:paraId="39DC523F" w14:textId="77777777" w:rsidR="00723F54" w:rsidRPr="004A0C12" w:rsidRDefault="00731958" w:rsidP="00232F09">
      <w:pPr>
        <w:pStyle w:val="ListParagraph"/>
        <w:numPr>
          <w:ilvl w:val="0"/>
          <w:numId w:val="268"/>
        </w:numPr>
        <w:jc w:val="both"/>
        <w:rPr>
          <w:rFonts w:ascii="Garamond" w:hAnsi="Garamond"/>
          <w:szCs w:val="22"/>
        </w:rPr>
      </w:pPr>
      <w:r w:rsidRPr="004A0C12">
        <w:rPr>
          <w:rFonts w:ascii="Garamond" w:hAnsi="Garamond"/>
          <w:szCs w:val="22"/>
        </w:rPr>
        <w:t xml:space="preserve">6. Provide training in current technologies. </w:t>
      </w:r>
    </w:p>
    <w:p w14:paraId="06C6F103" w14:textId="20E6A8BC" w:rsidR="007A1FDC" w:rsidRPr="004A0C12" w:rsidRDefault="00731958" w:rsidP="007A1FDC">
      <w:pPr>
        <w:spacing w:after="0" w:line="240" w:lineRule="auto"/>
        <w:ind w:left="720"/>
        <w:jc w:val="both"/>
        <w:rPr>
          <w:rFonts w:ascii="Garamond" w:hAnsi="Garamond"/>
        </w:rPr>
      </w:pPr>
      <w:r w:rsidRPr="004A0C12">
        <w:rPr>
          <w:rFonts w:ascii="Garamond" w:hAnsi="Garamond"/>
        </w:rPr>
        <w:t>7. Provide training to staff on changes to RSA federal reporting requirements.</w:t>
      </w:r>
    </w:p>
    <w:p w14:paraId="1918C434" w14:textId="4BE3E72C"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w:t>
      </w:r>
      <w:r w:rsidR="00723F54" w:rsidRPr="004A0C12">
        <w:rPr>
          <w:rFonts w:ascii="Garamond" w:hAnsi="Garamond"/>
        </w:rPr>
        <w:t>30, 2015</w:t>
      </w:r>
      <w:r w:rsidRPr="004A0C12">
        <w:rPr>
          <w:rFonts w:ascii="Garamond" w:hAnsi="Garamond"/>
        </w:rPr>
        <w:t xml:space="preserve">: </w:t>
      </w:r>
    </w:p>
    <w:p w14:paraId="662BB6A3" w14:textId="77777777" w:rsidR="007A1FDC" w:rsidRPr="004A0C12" w:rsidRDefault="007A1FDC" w:rsidP="007A1FDC">
      <w:pPr>
        <w:spacing w:after="0" w:line="240" w:lineRule="auto"/>
        <w:jc w:val="both"/>
        <w:rPr>
          <w:rFonts w:ascii="Garamond" w:hAnsi="Garamond"/>
        </w:rPr>
      </w:pPr>
    </w:p>
    <w:p w14:paraId="2590A00E"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t>a. Staff training in rehabilitation topics, including special populations, will be available at least</w:t>
      </w:r>
    </w:p>
    <w:p w14:paraId="38590058"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t>bi-monthly, to include community partners as appropriate.</w:t>
      </w:r>
    </w:p>
    <w:p w14:paraId="496EFFD8"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t>?Rehabilitation Training which staff attended (DORS sponsored or other-wise) included topics related to: Autism (02 trainings), Vision Loss (14), Hearing Loss (13), Brain Injury (02), Mental Health (13), Transitioning Youth (07), Leadership/Management (20), Employment (14), and various trainings toward staff Professional Development (47). Community Partners were involved in 4 of the DORS sponsored trainings listed above.</w:t>
      </w:r>
    </w:p>
    <w:p w14:paraId="4259CD12"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t>b. Staff will be trained on the new RSA federal reporting requirements.</w:t>
      </w:r>
    </w:p>
    <w:p w14:paraId="0A1D0FF2"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lastRenderedPageBreak/>
        <w:t>?Staff were provided general instruction on the new RSA reporting requirements related to pre- employment transitioning services on July 30th, 2015.</w:t>
      </w:r>
    </w:p>
    <w:p w14:paraId="17F979AE"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t>c. An increase in the provision of distance learning training opportunities for staff and</w:t>
      </w:r>
    </w:p>
    <w:p w14:paraId="58BDB59E"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t>community partners, as appropriate, will be demonstrated.</w:t>
      </w:r>
    </w:p>
    <w:p w14:paraId="00ED4B17"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t>During FY 15, ?9 staff took on-line academic courses, and DORS supported or sponsored 22 on-line training events. Community Partners were not involved in any of the DORS sponsored on-line events.</w:t>
      </w:r>
    </w:p>
    <w:p w14:paraId="2A6658EB"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t>d. At least one multi-session leadership program will be offered annually.</w:t>
      </w:r>
    </w:p>
    <w:p w14:paraId="336E059E" w14:textId="77777777" w:rsidR="00723F54" w:rsidRPr="004A0C12" w:rsidRDefault="00723F54" w:rsidP="00CD00E3">
      <w:pPr>
        <w:pStyle w:val="NormalWeb"/>
        <w:spacing w:before="0" w:beforeAutospacing="0" w:afterAutospacing="0"/>
        <w:ind w:left="720" w:hanging="360"/>
        <w:rPr>
          <w:rFonts w:ascii="Garamond" w:hAnsi="Garamond"/>
          <w:sz w:val="22"/>
          <w:szCs w:val="22"/>
        </w:rPr>
      </w:pPr>
      <w:r w:rsidRPr="004A0C12">
        <w:rPr>
          <w:rFonts w:ascii="Garamond" w:hAnsi="Garamond"/>
          <w:color w:val="000000"/>
          <w:sz w:val="22"/>
          <w:szCs w:val="22"/>
        </w:rPr>
        <w:t>During FY 15, 5 staff completed or participated in the National Rehabilitation Leadership Institute’s: Executive Leadership program; and, 7 staff completed the DORS "Leadership Exploration and Agency Programs" program.</w:t>
      </w:r>
    </w:p>
    <w:p w14:paraId="027867FF" w14:textId="77777777" w:rsidR="007A1FDC" w:rsidRPr="004A0C12" w:rsidRDefault="007A1FDC" w:rsidP="007A1FDC">
      <w:pPr>
        <w:spacing w:after="0" w:line="240" w:lineRule="auto"/>
        <w:jc w:val="both"/>
        <w:rPr>
          <w:rFonts w:ascii="Garamond" w:hAnsi="Garamond"/>
        </w:rPr>
      </w:pPr>
    </w:p>
    <w:p w14:paraId="35CC6EA5" w14:textId="66EDE883" w:rsidR="007A1FDC" w:rsidRPr="004A0C12" w:rsidRDefault="006949CD" w:rsidP="007A1FDC">
      <w:pPr>
        <w:spacing w:after="0" w:line="240" w:lineRule="auto"/>
        <w:jc w:val="both"/>
        <w:rPr>
          <w:rFonts w:ascii="Garamond" w:hAnsi="Garamond"/>
        </w:rPr>
      </w:pPr>
      <w:r w:rsidRPr="004A0C12">
        <w:rPr>
          <w:rFonts w:ascii="Garamond" w:hAnsi="Garamond"/>
        </w:rPr>
        <w:t xml:space="preserve">Objective 4.3 - </w:t>
      </w:r>
      <w:r w:rsidR="00723F54" w:rsidRPr="004A0C12">
        <w:rPr>
          <w:rFonts w:ascii="Garamond" w:hAnsi="Garamond"/>
        </w:rPr>
        <w:t>Enhance Quality Assurance</w:t>
      </w:r>
    </w:p>
    <w:p w14:paraId="7EBD8A9A" w14:textId="77777777" w:rsidR="007A1FDC" w:rsidRPr="004A0C12" w:rsidRDefault="007A1FDC" w:rsidP="007A1FDC">
      <w:pPr>
        <w:spacing w:after="0" w:line="240" w:lineRule="auto"/>
        <w:jc w:val="both"/>
        <w:rPr>
          <w:rFonts w:ascii="Garamond" w:hAnsi="Garamond"/>
        </w:rPr>
      </w:pPr>
    </w:p>
    <w:p w14:paraId="487B2DE8" w14:textId="77777777" w:rsidR="007A1FDC" w:rsidRPr="004A0C12" w:rsidRDefault="007A1FDC" w:rsidP="007A1FDC">
      <w:pPr>
        <w:spacing w:after="0" w:line="240" w:lineRule="auto"/>
        <w:jc w:val="both"/>
        <w:rPr>
          <w:rFonts w:ascii="Garamond" w:hAnsi="Garamond"/>
          <w:strike/>
        </w:rPr>
      </w:pPr>
      <w:r w:rsidRPr="004A0C12">
        <w:rPr>
          <w:rFonts w:ascii="Garamond" w:hAnsi="Garamond"/>
        </w:rPr>
        <w:t>Strategy:</w:t>
      </w:r>
    </w:p>
    <w:p w14:paraId="51B7F5CA" w14:textId="5601D280" w:rsidR="007A1FDC" w:rsidRPr="004A0C12" w:rsidRDefault="00723F54" w:rsidP="007A1FDC">
      <w:pPr>
        <w:spacing w:after="0" w:line="240" w:lineRule="auto"/>
        <w:jc w:val="both"/>
        <w:rPr>
          <w:rFonts w:ascii="Garamond" w:hAnsi="Garamond"/>
        </w:rPr>
      </w:pPr>
      <w:r w:rsidRPr="004A0C12">
        <w:rPr>
          <w:rFonts w:ascii="Garamond" w:hAnsi="Garamond"/>
          <w:color w:val="000000"/>
        </w:rPr>
        <w:t>Beta test updated QA for the VR Program</w:t>
      </w:r>
    </w:p>
    <w:p w14:paraId="195D2DB6" w14:textId="1EF55783"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 by September </w:t>
      </w:r>
      <w:r w:rsidR="00BF21A5" w:rsidRPr="004A0C12">
        <w:rPr>
          <w:rFonts w:ascii="Garamond" w:hAnsi="Garamond"/>
        </w:rPr>
        <w:t>30, 2015</w:t>
      </w:r>
      <w:r w:rsidRPr="004A0C12">
        <w:rPr>
          <w:rFonts w:ascii="Garamond" w:hAnsi="Garamond"/>
        </w:rPr>
        <w:t>:</w:t>
      </w:r>
    </w:p>
    <w:p w14:paraId="5CB87DA6" w14:textId="77777777" w:rsidR="00BF21A5" w:rsidRPr="004A0C12" w:rsidRDefault="00BF21A5" w:rsidP="00CD00E3">
      <w:pPr>
        <w:pStyle w:val="NormalWeb"/>
        <w:spacing w:before="0" w:beforeAutospacing="0" w:afterAutospacing="0"/>
        <w:ind w:left="540" w:hanging="360"/>
        <w:rPr>
          <w:rFonts w:ascii="Garamond" w:hAnsi="Garamond"/>
          <w:sz w:val="22"/>
          <w:szCs w:val="22"/>
        </w:rPr>
      </w:pPr>
      <w:r w:rsidRPr="004A0C12">
        <w:rPr>
          <w:rFonts w:ascii="Garamond" w:hAnsi="Garamond"/>
          <w:color w:val="000000"/>
          <w:sz w:val="22"/>
          <w:szCs w:val="22"/>
        </w:rPr>
        <w:t>a. Beta testing of QA will be completed.</w:t>
      </w:r>
    </w:p>
    <w:p w14:paraId="2CB92970" w14:textId="77777777" w:rsidR="00BF21A5" w:rsidRPr="004A0C12" w:rsidRDefault="00BF21A5" w:rsidP="00CD00E3">
      <w:pPr>
        <w:pStyle w:val="NormalWeb"/>
        <w:spacing w:before="0" w:beforeAutospacing="0" w:afterAutospacing="0"/>
        <w:ind w:left="540" w:hanging="360"/>
        <w:rPr>
          <w:rFonts w:ascii="Garamond" w:hAnsi="Garamond"/>
          <w:sz w:val="22"/>
          <w:szCs w:val="22"/>
        </w:rPr>
      </w:pPr>
      <w:r w:rsidRPr="004A0C12">
        <w:rPr>
          <w:rFonts w:ascii="Garamond" w:hAnsi="Garamond"/>
          <w:color w:val="000000"/>
          <w:sz w:val="22"/>
          <w:szCs w:val="22"/>
        </w:rPr>
        <w:t>During FY 15, 24 out of 25 districts have been reviewed using the new Quality Assurance Review system, and the last remaining district is scheduled for review in November 2015.</w:t>
      </w:r>
    </w:p>
    <w:p w14:paraId="56778940" w14:textId="77777777" w:rsidR="00BF21A5" w:rsidRPr="004A0C12" w:rsidRDefault="00BF21A5" w:rsidP="00CD00E3">
      <w:pPr>
        <w:pStyle w:val="NormalWeb"/>
        <w:spacing w:before="0" w:beforeAutospacing="0" w:afterAutospacing="0"/>
        <w:ind w:left="540" w:hanging="360"/>
        <w:rPr>
          <w:rFonts w:ascii="Garamond" w:hAnsi="Garamond"/>
          <w:sz w:val="22"/>
          <w:szCs w:val="22"/>
        </w:rPr>
      </w:pPr>
      <w:r w:rsidRPr="004A0C12">
        <w:rPr>
          <w:rFonts w:ascii="Garamond" w:hAnsi="Garamond"/>
          <w:color w:val="000000"/>
          <w:sz w:val="22"/>
          <w:szCs w:val="22"/>
        </w:rPr>
        <w:t>b. Report of findings will be provided to Executive Staff.</w:t>
      </w:r>
    </w:p>
    <w:p w14:paraId="42D934BE" w14:textId="77777777" w:rsidR="00BF21A5" w:rsidRPr="004A0C12" w:rsidRDefault="00BF21A5" w:rsidP="00CD00E3">
      <w:pPr>
        <w:pStyle w:val="NormalWeb"/>
        <w:spacing w:before="0" w:beforeAutospacing="0" w:afterAutospacing="0"/>
        <w:ind w:left="540" w:hanging="360"/>
        <w:rPr>
          <w:rFonts w:ascii="Garamond" w:hAnsi="Garamond"/>
          <w:sz w:val="22"/>
          <w:szCs w:val="22"/>
        </w:rPr>
      </w:pPr>
      <w:r w:rsidRPr="004A0C12">
        <w:rPr>
          <w:rFonts w:ascii="Garamond" w:hAnsi="Garamond"/>
          <w:color w:val="000000"/>
          <w:sz w:val="22"/>
          <w:szCs w:val="22"/>
        </w:rPr>
        <w:t>Executive Staff were periodically updated on findings throughout the FY, and a number of policy and procedure updates suggested by the Quality Assurance team have already been implemented. Following the final district review, the core QA team will meet to prepare a final summary report with recommendations to be presented to Executive staff in the December 2015/January 2016 time frame.</w:t>
      </w:r>
    </w:p>
    <w:p w14:paraId="57104E7C" w14:textId="77777777" w:rsidR="007A1FDC" w:rsidRPr="004A0C12" w:rsidRDefault="007A1FDC" w:rsidP="007A1FDC">
      <w:pPr>
        <w:spacing w:after="0" w:line="240" w:lineRule="auto"/>
        <w:jc w:val="both"/>
        <w:rPr>
          <w:rFonts w:ascii="Garamond" w:hAnsi="Garamond"/>
        </w:rPr>
      </w:pPr>
    </w:p>
    <w:p w14:paraId="50D88DAD" w14:textId="48140559" w:rsidR="00BF21A5" w:rsidRPr="004A0C12" w:rsidRDefault="006949CD" w:rsidP="00AD2026">
      <w:pPr>
        <w:pStyle w:val="NormalWeb"/>
        <w:rPr>
          <w:rFonts w:ascii="Garamond" w:hAnsi="Garamond"/>
          <w:color w:val="000000"/>
          <w:sz w:val="22"/>
          <w:szCs w:val="22"/>
        </w:rPr>
      </w:pPr>
      <w:r w:rsidRPr="004A0C12">
        <w:rPr>
          <w:rFonts w:ascii="Garamond" w:hAnsi="Garamond"/>
          <w:sz w:val="22"/>
          <w:szCs w:val="22"/>
        </w:rPr>
        <w:t xml:space="preserve">Objective 4.4 - </w:t>
      </w:r>
      <w:r w:rsidR="00BF21A5" w:rsidRPr="004A0C12">
        <w:rPr>
          <w:rFonts w:ascii="Garamond" w:hAnsi="Garamond"/>
          <w:color w:val="000000"/>
          <w:sz w:val="22"/>
          <w:szCs w:val="22"/>
        </w:rPr>
        <w:t>Pending passage of the Workforce Innovation and Opportunity Act, including Title IV, Amendments to the Rehabilitation Act of 1973, and in consultation with the Rehabilitation Services Administration, the Maryland State Rehabilitation Council, and the Technical Assistance and Continuing Education program, implement changes required by the Act.</w:t>
      </w:r>
    </w:p>
    <w:p w14:paraId="3B89D983" w14:textId="05315D53" w:rsidR="007A1FDC" w:rsidRPr="004A0C12" w:rsidRDefault="007A1FDC" w:rsidP="007A1FDC">
      <w:pPr>
        <w:spacing w:after="0" w:line="240" w:lineRule="auto"/>
        <w:jc w:val="both"/>
        <w:rPr>
          <w:rFonts w:ascii="Garamond" w:hAnsi="Garamond"/>
        </w:rPr>
      </w:pPr>
    </w:p>
    <w:p w14:paraId="326A40FF" w14:textId="77777777" w:rsidR="007A1FDC" w:rsidRPr="004A0C12" w:rsidRDefault="007A1FDC" w:rsidP="007A1FDC">
      <w:pPr>
        <w:spacing w:after="0" w:line="240" w:lineRule="auto"/>
        <w:jc w:val="both"/>
        <w:rPr>
          <w:rFonts w:ascii="Garamond" w:hAnsi="Garamond"/>
        </w:rPr>
      </w:pPr>
    </w:p>
    <w:p w14:paraId="314C3846" w14:textId="77777777" w:rsidR="007A1FDC" w:rsidRPr="004A0C12" w:rsidRDefault="007A1FDC" w:rsidP="007A1FDC">
      <w:pPr>
        <w:spacing w:after="0" w:line="240" w:lineRule="auto"/>
        <w:jc w:val="both"/>
        <w:rPr>
          <w:rFonts w:ascii="Garamond" w:hAnsi="Garamond"/>
        </w:rPr>
      </w:pPr>
      <w:r w:rsidRPr="004A0C12">
        <w:rPr>
          <w:rFonts w:ascii="Garamond" w:hAnsi="Garamond"/>
        </w:rPr>
        <w:t>Strategies:</w:t>
      </w:r>
    </w:p>
    <w:p w14:paraId="3C832F5A" w14:textId="34EBA564" w:rsidR="00BF21A5" w:rsidRPr="004A0C12" w:rsidRDefault="00BF21A5" w:rsidP="00232F09">
      <w:pPr>
        <w:pStyle w:val="NormalWeb"/>
        <w:numPr>
          <w:ilvl w:val="0"/>
          <w:numId w:val="269"/>
        </w:numPr>
        <w:spacing w:before="0" w:beforeAutospacing="0" w:afterAutospacing="0"/>
        <w:rPr>
          <w:rFonts w:ascii="Garamond" w:hAnsi="Garamond"/>
          <w:sz w:val="22"/>
          <w:szCs w:val="22"/>
        </w:rPr>
      </w:pPr>
      <w:r w:rsidRPr="004A0C12">
        <w:rPr>
          <w:rFonts w:ascii="Garamond" w:hAnsi="Garamond"/>
          <w:color w:val="000000"/>
          <w:sz w:val="22"/>
          <w:szCs w:val="22"/>
        </w:rPr>
        <w:t>Establish a work group to review the Act and recommend changes in policy and practice accordingly.</w:t>
      </w:r>
    </w:p>
    <w:p w14:paraId="0FBC59E1" w14:textId="4083F4BF" w:rsidR="00BF21A5" w:rsidRPr="004A0C12" w:rsidRDefault="00BF21A5" w:rsidP="00232F09">
      <w:pPr>
        <w:pStyle w:val="NormalWeb"/>
        <w:numPr>
          <w:ilvl w:val="0"/>
          <w:numId w:val="269"/>
        </w:numPr>
        <w:spacing w:before="0" w:beforeAutospacing="0" w:afterAutospacing="0"/>
        <w:jc w:val="both"/>
        <w:rPr>
          <w:rFonts w:ascii="Garamond" w:hAnsi="Garamond"/>
          <w:sz w:val="22"/>
          <w:szCs w:val="22"/>
        </w:rPr>
      </w:pPr>
      <w:r w:rsidRPr="004A0C12">
        <w:rPr>
          <w:rFonts w:ascii="Garamond" w:hAnsi="Garamond"/>
          <w:color w:val="000000"/>
          <w:sz w:val="22"/>
          <w:szCs w:val="22"/>
        </w:rPr>
        <w:t>Provide training to staff on changes in the Rehabilitation Act and implications for DORS policy and procedures. (Consider if the Workforce Innovation and Opportunity Act passes before we submit this in the State Plan.)</w:t>
      </w:r>
    </w:p>
    <w:p w14:paraId="4ECEEC7D" w14:textId="77777777" w:rsidR="007A1FDC" w:rsidRPr="004A0C12" w:rsidRDefault="007A1FDC" w:rsidP="007A1FDC">
      <w:pPr>
        <w:spacing w:after="0" w:line="240" w:lineRule="auto"/>
        <w:ind w:left="720"/>
        <w:jc w:val="both"/>
        <w:rPr>
          <w:rFonts w:ascii="Garamond" w:hAnsi="Garamond"/>
        </w:rPr>
      </w:pPr>
    </w:p>
    <w:p w14:paraId="73535C1C" w14:textId="041BE978" w:rsidR="007A1FDC" w:rsidRPr="004A0C12" w:rsidRDefault="007A1FDC" w:rsidP="007A1FDC">
      <w:pPr>
        <w:spacing w:after="0" w:line="240" w:lineRule="auto"/>
        <w:jc w:val="both"/>
        <w:rPr>
          <w:rFonts w:ascii="Garamond" w:hAnsi="Garamond"/>
        </w:rPr>
      </w:pPr>
      <w:r w:rsidRPr="004A0C12">
        <w:rPr>
          <w:rFonts w:ascii="Garamond" w:hAnsi="Garamond"/>
        </w:rPr>
        <w:t xml:space="preserve">Performance Measures by September </w:t>
      </w:r>
      <w:r w:rsidR="00BF21A5" w:rsidRPr="004A0C12">
        <w:rPr>
          <w:rFonts w:ascii="Garamond" w:hAnsi="Garamond"/>
        </w:rPr>
        <w:t>30, 2015</w:t>
      </w:r>
      <w:r w:rsidRPr="004A0C12">
        <w:rPr>
          <w:rFonts w:ascii="Garamond" w:hAnsi="Garamond"/>
        </w:rPr>
        <w:t xml:space="preserve">: </w:t>
      </w:r>
    </w:p>
    <w:p w14:paraId="6001A32B" w14:textId="77777777" w:rsidR="007A1FDC" w:rsidRPr="004A0C12" w:rsidRDefault="007A1FDC" w:rsidP="007A1FDC">
      <w:pPr>
        <w:spacing w:after="0" w:line="240" w:lineRule="auto"/>
        <w:jc w:val="both"/>
        <w:rPr>
          <w:rFonts w:ascii="Garamond" w:hAnsi="Garamond"/>
        </w:rPr>
      </w:pPr>
    </w:p>
    <w:p w14:paraId="68A32E86" w14:textId="77777777" w:rsidR="00BF21A5" w:rsidRPr="004A0C12" w:rsidRDefault="00BF21A5" w:rsidP="00CD00E3">
      <w:pPr>
        <w:pStyle w:val="NormalWeb"/>
        <w:tabs>
          <w:tab w:val="left" w:pos="720"/>
        </w:tabs>
        <w:spacing w:before="0" w:beforeAutospacing="0" w:afterAutospacing="0"/>
        <w:ind w:left="720" w:hanging="450"/>
        <w:rPr>
          <w:rFonts w:ascii="Garamond" w:hAnsi="Garamond"/>
          <w:sz w:val="22"/>
          <w:szCs w:val="22"/>
        </w:rPr>
      </w:pPr>
      <w:r w:rsidRPr="004A0C12">
        <w:rPr>
          <w:rFonts w:ascii="Garamond" w:hAnsi="Garamond"/>
          <w:color w:val="000000"/>
          <w:sz w:val="22"/>
          <w:szCs w:val="22"/>
        </w:rPr>
        <w:t>a. DORS Rehabilitation Services Manuals will be updated consistent with changes in the</w:t>
      </w:r>
    </w:p>
    <w:p w14:paraId="573CC6D6" w14:textId="77777777" w:rsidR="00BF21A5" w:rsidRPr="004A0C12" w:rsidRDefault="00BF21A5" w:rsidP="00CD00E3">
      <w:pPr>
        <w:pStyle w:val="NormalWeb"/>
        <w:tabs>
          <w:tab w:val="left" w:pos="630"/>
        </w:tabs>
        <w:spacing w:before="0" w:beforeAutospacing="0" w:afterAutospacing="0"/>
        <w:ind w:left="720" w:hanging="180"/>
        <w:rPr>
          <w:rFonts w:ascii="Garamond" w:hAnsi="Garamond"/>
          <w:sz w:val="22"/>
          <w:szCs w:val="22"/>
        </w:rPr>
      </w:pPr>
      <w:r w:rsidRPr="004A0C12">
        <w:rPr>
          <w:rFonts w:ascii="Garamond" w:hAnsi="Garamond"/>
          <w:color w:val="000000"/>
          <w:sz w:val="22"/>
          <w:szCs w:val="22"/>
        </w:rPr>
        <w:t>Rehabilitation Act.</w:t>
      </w:r>
    </w:p>
    <w:p w14:paraId="51A4D8C2" w14:textId="77777777" w:rsidR="00BF21A5" w:rsidRPr="004A0C12" w:rsidRDefault="00BF21A5" w:rsidP="00CD00E3">
      <w:pPr>
        <w:pStyle w:val="NormalWeb"/>
        <w:tabs>
          <w:tab w:val="left" w:pos="630"/>
        </w:tabs>
        <w:spacing w:before="0" w:beforeAutospacing="0" w:afterAutospacing="0"/>
        <w:ind w:left="720" w:hanging="180"/>
        <w:rPr>
          <w:rFonts w:ascii="Garamond" w:hAnsi="Garamond"/>
          <w:sz w:val="22"/>
          <w:szCs w:val="22"/>
        </w:rPr>
      </w:pPr>
      <w:r w:rsidRPr="004A0C12">
        <w:rPr>
          <w:rFonts w:ascii="Garamond" w:hAnsi="Garamond"/>
          <w:color w:val="000000"/>
          <w:sz w:val="22"/>
          <w:szCs w:val="22"/>
        </w:rPr>
        <w:t>In progress, primarily pending final regulations.</w:t>
      </w:r>
    </w:p>
    <w:p w14:paraId="3C1C5C39" w14:textId="77777777" w:rsidR="00BF21A5" w:rsidRPr="004A0C12" w:rsidRDefault="00BF21A5" w:rsidP="00CD00E3">
      <w:pPr>
        <w:pStyle w:val="NormalWeb"/>
        <w:tabs>
          <w:tab w:val="left" w:pos="630"/>
        </w:tabs>
        <w:spacing w:before="0" w:beforeAutospacing="0" w:afterAutospacing="0"/>
        <w:ind w:left="540" w:hanging="270"/>
        <w:rPr>
          <w:rFonts w:ascii="Garamond" w:hAnsi="Garamond"/>
          <w:sz w:val="22"/>
          <w:szCs w:val="22"/>
        </w:rPr>
      </w:pPr>
      <w:r w:rsidRPr="004A0C12">
        <w:rPr>
          <w:rFonts w:ascii="Garamond" w:hAnsi="Garamond"/>
          <w:color w:val="000000"/>
          <w:sz w:val="22"/>
          <w:szCs w:val="22"/>
        </w:rPr>
        <w:t>b. Training will be provided to DORS staff on changes resulting from the reauthorization of the</w:t>
      </w:r>
    </w:p>
    <w:p w14:paraId="270AD711" w14:textId="77777777" w:rsidR="00BF21A5" w:rsidRPr="004A0C12" w:rsidRDefault="00BF21A5" w:rsidP="00CD00E3">
      <w:pPr>
        <w:pStyle w:val="NormalWeb"/>
        <w:tabs>
          <w:tab w:val="left" w:pos="630"/>
        </w:tabs>
        <w:spacing w:before="0" w:beforeAutospacing="0" w:afterAutospacing="0"/>
        <w:ind w:left="540" w:hanging="270"/>
        <w:rPr>
          <w:rFonts w:ascii="Garamond" w:hAnsi="Garamond"/>
          <w:sz w:val="22"/>
          <w:szCs w:val="22"/>
        </w:rPr>
      </w:pPr>
      <w:r w:rsidRPr="004A0C12">
        <w:rPr>
          <w:rFonts w:ascii="Garamond" w:hAnsi="Garamond"/>
          <w:color w:val="000000"/>
          <w:sz w:val="22"/>
          <w:szCs w:val="22"/>
        </w:rPr>
        <w:t>Rehabilitation Act.</w:t>
      </w:r>
    </w:p>
    <w:p w14:paraId="65E97147" w14:textId="77777777" w:rsidR="00BF21A5" w:rsidRPr="004A0C12" w:rsidRDefault="00BF21A5" w:rsidP="00CD00E3">
      <w:pPr>
        <w:pStyle w:val="NormalWeb"/>
        <w:tabs>
          <w:tab w:val="left" w:pos="720"/>
        </w:tabs>
        <w:spacing w:before="0" w:beforeAutospacing="0" w:afterAutospacing="0"/>
        <w:ind w:left="720" w:hanging="450"/>
        <w:rPr>
          <w:rFonts w:ascii="Garamond" w:hAnsi="Garamond"/>
          <w:sz w:val="22"/>
          <w:szCs w:val="22"/>
        </w:rPr>
      </w:pPr>
      <w:r w:rsidRPr="004A0C12">
        <w:rPr>
          <w:rFonts w:ascii="Garamond" w:hAnsi="Garamond"/>
          <w:color w:val="000000"/>
          <w:sz w:val="22"/>
          <w:szCs w:val="22"/>
        </w:rPr>
        <w:t>In July 2015, DORS staff were provided training on pre-employment transition services, related forms, and AWARE changes.</w:t>
      </w:r>
    </w:p>
    <w:p w14:paraId="7BB1594F" w14:textId="77777777" w:rsidR="00DF00F8" w:rsidRPr="004A0C12" w:rsidRDefault="00DF00F8" w:rsidP="00DF00F8">
      <w:pPr>
        <w:pStyle w:val="NormalWeb"/>
        <w:spacing w:before="0" w:beforeAutospacing="0" w:afterAutospacing="0"/>
        <w:jc w:val="center"/>
        <w:rPr>
          <w:rFonts w:ascii="Garamond" w:hAnsi="Garamond" w:cs="Helvetica"/>
          <w:color w:val="622423"/>
          <w:sz w:val="22"/>
          <w:szCs w:val="22"/>
        </w:rPr>
      </w:pPr>
      <w:bookmarkStart w:id="231" w:name="_Toc447276258"/>
    </w:p>
    <w:p w14:paraId="1A485F15" w14:textId="77777777" w:rsidR="00DF00F8" w:rsidRPr="004A0C12" w:rsidRDefault="00DF00F8" w:rsidP="00DF00F8">
      <w:pPr>
        <w:pStyle w:val="NormalWeb"/>
        <w:spacing w:before="0" w:beforeAutospacing="0" w:afterAutospacing="0"/>
        <w:jc w:val="center"/>
        <w:rPr>
          <w:rFonts w:ascii="Garamond" w:hAnsi="Garamond"/>
          <w:sz w:val="22"/>
          <w:szCs w:val="22"/>
        </w:rPr>
      </w:pPr>
      <w:r w:rsidRPr="004A0C12">
        <w:rPr>
          <w:rFonts w:ascii="Garamond" w:hAnsi="Garamond" w:cs="Helvetica"/>
          <w:color w:val="622423"/>
          <w:sz w:val="22"/>
          <w:szCs w:val="22"/>
        </w:rPr>
        <w:t>2. AN EVALUATION OF THE EXTENT TO WHICH THE SUPPORTED EMPLOYMENT PROGRAM GOALS DESCRIBED IN THE SUPPORTED EMPLOYMENT SUPPLEMENT FOR THE MOST RECENT PROGRAM YEAR WERE ACHIEVED. THE EVALUATION MUST:</w:t>
      </w:r>
    </w:p>
    <w:p w14:paraId="65746159" w14:textId="77777777" w:rsidR="00DF00F8" w:rsidRPr="00594970" w:rsidRDefault="00DF00F8" w:rsidP="00DF00F8">
      <w:pPr>
        <w:pStyle w:val="NormalWeb"/>
        <w:spacing w:before="0" w:beforeAutospacing="0" w:afterAutospacing="0"/>
        <w:jc w:val="center"/>
        <w:rPr>
          <w:rFonts w:ascii="Garamond" w:hAnsi="Garamond"/>
          <w:b/>
          <w:color w:val="4F81BD" w:themeColor="accent1"/>
        </w:rPr>
      </w:pPr>
      <w:r w:rsidRPr="00594970">
        <w:rPr>
          <w:rFonts w:ascii="Garamond" w:hAnsi="Garamond" w:cs="Helvetica"/>
          <w:b/>
          <w:color w:val="4F81BD" w:themeColor="accent1"/>
        </w:rPr>
        <w:t>A. IDENTIFY THE STRATEGIES THAT CONTRIBUTED TO THE ACHIEVEMENT OF THE GOALS.</w:t>
      </w:r>
    </w:p>
    <w:p w14:paraId="3CC7806E" w14:textId="77777777" w:rsidR="00DF00F8" w:rsidRPr="004A0C12" w:rsidRDefault="00DF00F8" w:rsidP="00DF00F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State strategies that contributed to the achievement of Supported Employment goals are as follows:</w:t>
      </w:r>
    </w:p>
    <w:p w14:paraId="4C96C16B" w14:textId="77777777" w:rsidR="00DF00F8" w:rsidRPr="004A0C12" w:rsidRDefault="00DF00F8" w:rsidP="00DF00F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During FY 2013 through FY 2015, DORS’ Agency Program Plan included the goal to increase the overall number of individuals served by community rehabilitation programs providing Evidence-Based Practice Supported Employment. The numbers of EBPSE individuals served rose 51% from 1,841 in FY 2013 to 2,783 in FY 2015.</w:t>
      </w:r>
    </w:p>
    <w:p w14:paraId="4E870E52" w14:textId="77777777" w:rsidR="00DF00F8" w:rsidRPr="004A0C12" w:rsidRDefault="00DF00F8" w:rsidP="00DF00F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During FY 2013 through FY 2015, DORS’ Agency Program Plan also included the goal to increase the overall number of transition students served using Governor’s Transition Youth Initiative funding for supported employment. The number of GTYI students served decreased 12% from 1,199 in FY 13 to 1,046 in FY 15, during which DORS ceased to use the Governor’s Transition Youth Initiative Fund with the Youth Supported Employment Fund when preparing authorizations for services.</w:t>
      </w:r>
    </w:p>
    <w:p w14:paraId="2E3D4192" w14:textId="77777777" w:rsidR="00DF00F8" w:rsidRPr="004A0C12" w:rsidRDefault="00DF00F8" w:rsidP="00DF00F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DORS utilized Title I funds to supplement Title VI, Part B funds to ensure that mental health Supported Employment needs were met in the State and to meet the goal of increasing the overall number of individuals served by community rehabilitation programs providing Evidence-Based Practice Supported Employment.</w:t>
      </w:r>
    </w:p>
    <w:p w14:paraId="7F095973" w14:textId="77777777" w:rsidR="00DF00F8" w:rsidRPr="004A0C12" w:rsidRDefault="00DF00F8" w:rsidP="00DF00F8">
      <w:pPr>
        <w:pStyle w:val="NormalWeb"/>
        <w:spacing w:before="0" w:beforeAutospacing="0" w:afterAutospacing="0"/>
        <w:rPr>
          <w:rFonts w:ascii="Garamond" w:hAnsi="Garamond"/>
          <w:sz w:val="22"/>
          <w:szCs w:val="22"/>
        </w:rPr>
      </w:pPr>
      <w:r w:rsidRPr="004A0C12">
        <w:rPr>
          <w:rFonts w:ascii="Garamond" w:hAnsi="Garamond" w:cs="Helvetica"/>
          <w:color w:val="000000"/>
          <w:sz w:val="22"/>
          <w:szCs w:val="22"/>
        </w:rPr>
        <w:t>· In FY 2015, DORS issued and paid authorizations for Supported Employment services for 2,356 consumers whose Supported Employment plans began during or prior to FY 2015. To date, approximately $3.4 million has been paid from those authorizations. In FY 2015, the number of plans initiated exceeded the goal of increasing the number of plans initiated from the previous year.</w:t>
      </w:r>
    </w:p>
    <w:p w14:paraId="24B981B2" w14:textId="77777777" w:rsidR="00DF00F8" w:rsidRDefault="00DF00F8" w:rsidP="00DF00F8">
      <w:pPr>
        <w:pStyle w:val="NormalWeb"/>
        <w:spacing w:before="0" w:beforeAutospacing="0" w:afterAutospacing="0"/>
        <w:rPr>
          <w:rFonts w:ascii="Garamond" w:hAnsi="Garamond" w:cs="Helvetica"/>
          <w:color w:val="000000"/>
          <w:sz w:val="22"/>
          <w:szCs w:val="22"/>
        </w:rPr>
      </w:pPr>
      <w:r w:rsidRPr="004A0C12">
        <w:rPr>
          <w:rFonts w:ascii="Garamond" w:hAnsi="Garamond" w:cs="Helvetica"/>
          <w:color w:val="000000"/>
          <w:sz w:val="22"/>
          <w:szCs w:val="22"/>
        </w:rPr>
        <w:t>· DORS has maintained a variety of Supported Employment providers throughout the State: Developmental Disabilities Administration - 81 providers, Behavioral Health Administration - 13 Evidence-Based Practice providers using the Milestone Payment System and 18 Non- Evidence-Based Practice providers. The strong collaboration with the providers assisted in increasing the number of consumers whose plans included supported employment services.</w:t>
      </w:r>
    </w:p>
    <w:p w14:paraId="0FBBF994" w14:textId="77777777" w:rsidR="00CD00E3" w:rsidRPr="004A0C12" w:rsidRDefault="00CD00E3" w:rsidP="00DF00F8">
      <w:pPr>
        <w:pStyle w:val="NormalWeb"/>
        <w:spacing w:before="0" w:beforeAutospacing="0" w:afterAutospacing="0"/>
        <w:rPr>
          <w:rFonts w:ascii="Garamond" w:hAnsi="Garamond"/>
          <w:sz w:val="22"/>
          <w:szCs w:val="22"/>
        </w:rPr>
      </w:pPr>
    </w:p>
    <w:p w14:paraId="7CB4CD17" w14:textId="77777777" w:rsidR="00C0679A" w:rsidRPr="00594970" w:rsidRDefault="00C0679A" w:rsidP="00C0679A">
      <w:pPr>
        <w:spacing w:after="100" w:line="240" w:lineRule="auto"/>
        <w:jc w:val="center"/>
        <w:rPr>
          <w:rFonts w:ascii="Garamond" w:eastAsia="Times New Roman" w:hAnsi="Garamond" w:cs="Times New Roman"/>
          <w:b/>
          <w:color w:val="4F81BD" w:themeColor="accent1"/>
          <w:sz w:val="24"/>
          <w:szCs w:val="24"/>
        </w:rPr>
      </w:pPr>
      <w:r w:rsidRPr="00594970">
        <w:rPr>
          <w:rFonts w:ascii="Garamond" w:eastAsia="Times New Roman" w:hAnsi="Garamond" w:cs="Times New Roman"/>
          <w:b/>
          <w:color w:val="4F81BD" w:themeColor="accent1"/>
          <w:sz w:val="24"/>
          <w:szCs w:val="24"/>
        </w:rPr>
        <w:t>B. DESCRIBE THE FACTORS THAT IMPEDED THE ACHIEVEMENT OF THE GOALS AND PRIORITIES.</w:t>
      </w:r>
    </w:p>
    <w:p w14:paraId="3F2CEEDB" w14:textId="77777777" w:rsidR="00C0679A" w:rsidRPr="004A0C12" w:rsidRDefault="00C0679A" w:rsidP="00C0679A">
      <w:pPr>
        <w:spacing w:after="100" w:line="240" w:lineRule="auto"/>
        <w:rPr>
          <w:rFonts w:ascii="Garamond" w:eastAsia="Times New Roman" w:hAnsi="Garamond" w:cs="Times New Roman"/>
        </w:rPr>
      </w:pPr>
      <w:r w:rsidRPr="004A0C12">
        <w:rPr>
          <w:rFonts w:ascii="Garamond" w:eastAsia="Times New Roman" w:hAnsi="Garamond" w:cs="Times New Roman"/>
          <w:color w:val="000000"/>
        </w:rPr>
        <w:t>The achievement of Supported Employment goals and priorities was impeded by the following factors:</w:t>
      </w:r>
    </w:p>
    <w:p w14:paraId="39D41902" w14:textId="77777777" w:rsidR="00C0679A" w:rsidRPr="004A0C12" w:rsidRDefault="00C0679A" w:rsidP="00C0679A">
      <w:pPr>
        <w:spacing w:after="100" w:line="240" w:lineRule="auto"/>
        <w:rPr>
          <w:rFonts w:ascii="Garamond" w:eastAsia="Times New Roman" w:hAnsi="Garamond" w:cs="Times New Roman"/>
        </w:rPr>
      </w:pPr>
      <w:r w:rsidRPr="004A0C12">
        <w:rPr>
          <w:rFonts w:ascii="Garamond" w:eastAsia="Times New Roman" w:hAnsi="Garamond" w:cs="Times New Roman"/>
          <w:color w:val="000000"/>
        </w:rPr>
        <w:t>· The Maryland Department of Health and Mental Hygiene (DHMH), which includes the Behavioral Health Administration and the Developmental Disabilities Administration (DDA), experienced a change in leadership. DDA also had a change in leadership. These changes in leadership impeded finalization of the MOU with DDA and impeded a larger increase in the number of consumers who received supported employment services.</w:t>
      </w:r>
    </w:p>
    <w:p w14:paraId="18D02637" w14:textId="77777777" w:rsidR="00C0679A" w:rsidRPr="004A0C12" w:rsidRDefault="00C0679A" w:rsidP="00C0679A">
      <w:pPr>
        <w:spacing w:after="100" w:line="240" w:lineRule="auto"/>
        <w:rPr>
          <w:rFonts w:ascii="Garamond" w:eastAsia="Times New Roman" w:hAnsi="Garamond" w:cs="Times New Roman"/>
        </w:rPr>
      </w:pPr>
      <w:r w:rsidRPr="004A0C12">
        <w:rPr>
          <w:rFonts w:ascii="Garamond" w:eastAsia="Times New Roman" w:hAnsi="Garamond" w:cs="Times New Roman"/>
          <w:color w:val="000000"/>
        </w:rPr>
        <w:t>· Currently, Maryland has 81 DDA Supported Employment providers statewide; however, the availability of such resources varies throughout the State. Underserved areas of the State include Western Maryland, Southern Maryland, and Northeast Maryland. Inconsistencies of supported employment services throughout the State also exist due to a lack of consistent leadership and a funding structure that does not incentivize employment outcomes. These factors impeded achievement of a larger increase in the number of consumers with most significant disabilities who received supported employment services.</w:t>
      </w:r>
    </w:p>
    <w:p w14:paraId="0456C036" w14:textId="77777777" w:rsidR="00C0679A" w:rsidRPr="004A0C12" w:rsidRDefault="00C0679A" w:rsidP="00C0679A">
      <w:pPr>
        <w:spacing w:after="100" w:line="240" w:lineRule="auto"/>
        <w:rPr>
          <w:rFonts w:ascii="Garamond" w:eastAsia="Times New Roman" w:hAnsi="Garamond" w:cs="Times New Roman"/>
        </w:rPr>
      </w:pPr>
      <w:r w:rsidRPr="004A0C12">
        <w:rPr>
          <w:rFonts w:ascii="Garamond" w:eastAsia="Times New Roman" w:hAnsi="Garamond" w:cs="Times New Roman"/>
          <w:color w:val="000000"/>
        </w:rPr>
        <w:t>· Over the past several years, DORS has lost staff positions due to State employee positions reductions, resulting in fewer DORS staff to serve consumers in need of Supported Employment services thus impeding the goals of increasing access to supported employment services statewide and increasing even further the number of individuals with most significant disabilities who received supported employment services.</w:t>
      </w:r>
    </w:p>
    <w:p w14:paraId="342AB6F3" w14:textId="77777777" w:rsidR="00C0679A" w:rsidRPr="004A0C12" w:rsidRDefault="00C0679A" w:rsidP="00C0679A">
      <w:pPr>
        <w:spacing w:after="100" w:line="240" w:lineRule="auto"/>
        <w:jc w:val="center"/>
        <w:rPr>
          <w:rFonts w:ascii="Garamond" w:eastAsia="Times New Roman" w:hAnsi="Garamond" w:cs="Times New Roman"/>
        </w:rPr>
      </w:pPr>
      <w:r w:rsidRPr="004A0C12">
        <w:rPr>
          <w:rFonts w:ascii="Garamond" w:eastAsia="Times New Roman" w:hAnsi="Garamond" w:cs="Times New Roman"/>
          <w:color w:val="622423"/>
        </w:rPr>
        <w:t>3. THE VR PROGRAM'S PERFORMANCE ON THE PERFORMANCE ACCOUNTABILITY INDICATORS UNDER SECTION 116 OF WIOA.</w:t>
      </w:r>
    </w:p>
    <w:p w14:paraId="603FBE3C" w14:textId="77777777" w:rsidR="00C0679A" w:rsidRPr="004A0C12" w:rsidRDefault="00C0679A" w:rsidP="00C0679A">
      <w:pPr>
        <w:spacing w:after="100" w:line="240" w:lineRule="auto"/>
        <w:rPr>
          <w:rFonts w:ascii="Garamond" w:eastAsia="Times New Roman" w:hAnsi="Garamond" w:cs="Times New Roman"/>
        </w:rPr>
      </w:pPr>
      <w:r w:rsidRPr="004A0C12">
        <w:rPr>
          <w:rFonts w:ascii="Garamond" w:eastAsia="Times New Roman" w:hAnsi="Garamond" w:cs="Times New Roman"/>
          <w:color w:val="000000"/>
        </w:rPr>
        <w:lastRenderedPageBreak/>
        <w:t>DORS is working with the Maryland WIOA Core Partners, other partners in the Maryland Combined State Plan, and the Maryland Workforce Investment Board to establish a baseline for each of the performance accountability measures under section 116 of WIOA.</w:t>
      </w:r>
    </w:p>
    <w:p w14:paraId="0A8C2734" w14:textId="77777777" w:rsidR="00C0679A" w:rsidRPr="004A0C12" w:rsidRDefault="00C0679A" w:rsidP="00C0679A">
      <w:pPr>
        <w:pStyle w:val="NormalWeb"/>
        <w:spacing w:before="0" w:beforeAutospacing="0" w:afterAutospacing="0"/>
        <w:jc w:val="center"/>
        <w:rPr>
          <w:rFonts w:ascii="Garamond" w:hAnsi="Garamond"/>
          <w:sz w:val="22"/>
          <w:szCs w:val="22"/>
        </w:rPr>
      </w:pPr>
      <w:r w:rsidRPr="004A0C12">
        <w:rPr>
          <w:rFonts w:ascii="Garamond" w:hAnsi="Garamond"/>
          <w:color w:val="622423"/>
          <w:sz w:val="22"/>
          <w:szCs w:val="22"/>
        </w:rPr>
        <w:t>4. HOW THE FUNDS RESERVED FOR INNOVATION AND EXPANSION (I&amp;E) ACTIVITIES WERE UTILIZED.</w:t>
      </w:r>
    </w:p>
    <w:p w14:paraId="3DC8AA57" w14:textId="77777777" w:rsidR="00C0679A" w:rsidRPr="004A0C12" w:rsidRDefault="00C0679A" w:rsidP="00C0679A">
      <w:pPr>
        <w:pStyle w:val="NormalWeb"/>
        <w:spacing w:before="0" w:beforeAutospacing="0" w:afterAutospacing="0"/>
        <w:rPr>
          <w:rFonts w:ascii="Garamond" w:hAnsi="Garamond"/>
          <w:sz w:val="22"/>
          <w:szCs w:val="22"/>
        </w:rPr>
      </w:pPr>
      <w:r w:rsidRPr="004A0C12">
        <w:rPr>
          <w:rFonts w:ascii="Garamond" w:hAnsi="Garamond"/>
          <w:color w:val="000000"/>
          <w:sz w:val="22"/>
          <w:szCs w:val="22"/>
        </w:rPr>
        <w:t>In FY 2015, funds reserved for innovation and expansion activities were utilized as follows:</w:t>
      </w:r>
    </w:p>
    <w:p w14:paraId="563BAB23" w14:textId="77777777" w:rsidR="00C0679A" w:rsidRPr="004A0C12" w:rsidRDefault="00C0679A" w:rsidP="00C0679A">
      <w:pPr>
        <w:pStyle w:val="NormalWeb"/>
        <w:spacing w:before="0" w:beforeAutospacing="0" w:afterAutospacing="0"/>
        <w:rPr>
          <w:rFonts w:ascii="Garamond" w:hAnsi="Garamond"/>
          <w:sz w:val="22"/>
          <w:szCs w:val="22"/>
        </w:rPr>
      </w:pPr>
      <w:r w:rsidRPr="004A0C12">
        <w:rPr>
          <w:rFonts w:ascii="Garamond" w:hAnsi="Garamond"/>
          <w:color w:val="000000"/>
          <w:sz w:val="22"/>
          <w:szCs w:val="22"/>
        </w:rPr>
        <w:t>· The agency’s organizational structure was adjusted to create a Business Services Branch for the purpose of expanding direct engagement with businesses, with the ultimate goal of developing employment opportunities for DORS’ consumers. The branch includes a Director and 5 Business Services Representatives located in regions statewide. The newly hired Business Services Representatives in each region assist with enhancing linkages with businesses and employers to include customized training, use of OJT and internships, education, and disability awareness. The branch also uses State labor market information to identify possible career pathways.</w:t>
      </w:r>
    </w:p>
    <w:p w14:paraId="3715DDE4" w14:textId="4A214E42" w:rsidR="00DF00F8" w:rsidRPr="004A0C12" w:rsidRDefault="00C0679A" w:rsidP="00C0679A">
      <w:pPr>
        <w:pStyle w:val="Heading2"/>
        <w:rPr>
          <w:rFonts w:ascii="Garamond" w:hAnsi="Garamond"/>
          <w:b w:val="0"/>
          <w:color w:val="000000"/>
          <w:sz w:val="22"/>
          <w:szCs w:val="22"/>
        </w:rPr>
      </w:pPr>
      <w:r w:rsidRPr="004A0C12">
        <w:rPr>
          <w:rFonts w:ascii="Garamond" w:hAnsi="Garamond"/>
          <w:b w:val="0"/>
          <w:color w:val="000000"/>
          <w:sz w:val="22"/>
          <w:szCs w:val="22"/>
        </w:rPr>
        <w:t>· DORS provided grant support, technical assistance, and monitoring to the Statewide Independent Living Council. The agency also participated as an Independent Living Partner in the implementation of the 2014-2016 State Plan for Independent Living. Annual meetings were held with the Director of the Centers for Independent Living in the State and DORS Regional/Program Directors.</w:t>
      </w:r>
    </w:p>
    <w:p w14:paraId="38EC63E1" w14:textId="77777777" w:rsidR="00C0679A" w:rsidRPr="004A0C12" w:rsidRDefault="00C0679A" w:rsidP="00C0679A">
      <w:pPr>
        <w:spacing w:after="100" w:line="240" w:lineRule="auto"/>
        <w:rPr>
          <w:rFonts w:ascii="Garamond" w:eastAsia="Times New Roman" w:hAnsi="Garamond" w:cs="Times New Roman"/>
        </w:rPr>
      </w:pPr>
      <w:r w:rsidRPr="004A0C12">
        <w:rPr>
          <w:rFonts w:ascii="Garamond" w:eastAsia="Times New Roman" w:hAnsi="Garamond" w:cs="Times New Roman"/>
          <w:color w:val="000000"/>
        </w:rPr>
        <w:t>· The Workforce and Technology Center’s Rehabilitation Technology Services expanded services such as Driver’s Education for individuals who are deaf and hard of hearing and for individuals diagnosed with Autism Spectrum Disorder.</w:t>
      </w:r>
    </w:p>
    <w:p w14:paraId="5FC076E5" w14:textId="77777777" w:rsidR="00C0679A" w:rsidRPr="004A0C12" w:rsidRDefault="00C0679A" w:rsidP="00C0679A">
      <w:pPr>
        <w:spacing w:after="100" w:line="240" w:lineRule="auto"/>
        <w:rPr>
          <w:rFonts w:ascii="Garamond" w:eastAsia="Times New Roman" w:hAnsi="Garamond" w:cs="Times New Roman"/>
        </w:rPr>
      </w:pPr>
      <w:r w:rsidRPr="004A0C12">
        <w:rPr>
          <w:rFonts w:ascii="Garamond" w:eastAsia="Times New Roman" w:hAnsi="Garamond" w:cs="Times New Roman"/>
          <w:color w:val="000000"/>
        </w:rPr>
        <w:t>· DORS expanded Autism services at the Workforce and Technology Center (WTC) for consumers diagnosed with Autism Spectrum Disorder and who are referred to WTC from local field offices. The Division expanded the Pathways Program for individuals with Autism Spectrum Disorders beyond the Community Colleges of Baltimore County into Montgomery and Prince George’s Counties.</w:t>
      </w:r>
    </w:p>
    <w:p w14:paraId="759E05F5" w14:textId="77777777" w:rsidR="00C0679A" w:rsidRPr="004A0C12" w:rsidRDefault="00C0679A" w:rsidP="00C0679A">
      <w:pPr>
        <w:spacing w:after="100" w:line="240" w:lineRule="auto"/>
        <w:rPr>
          <w:rFonts w:ascii="Garamond" w:eastAsia="Times New Roman" w:hAnsi="Garamond" w:cs="Times New Roman"/>
        </w:rPr>
      </w:pPr>
      <w:r w:rsidRPr="004A0C12">
        <w:rPr>
          <w:rFonts w:ascii="Garamond" w:eastAsia="Times New Roman" w:hAnsi="Garamond" w:cs="Times New Roman"/>
          <w:color w:val="000000"/>
        </w:rPr>
        <w:t>· DORS continued to support the Employment First initiative in Maryland in collaboration with the Maryland Department of Mental Health and Hygiene’s Developmental Disabilities Administration.</w:t>
      </w:r>
    </w:p>
    <w:p w14:paraId="7AC40D12" w14:textId="174596B7" w:rsidR="00C0679A" w:rsidRPr="004A0C12" w:rsidRDefault="00C0679A" w:rsidP="00AD2026">
      <w:pPr>
        <w:spacing w:after="100" w:line="240" w:lineRule="auto"/>
        <w:rPr>
          <w:rFonts w:ascii="Garamond" w:eastAsia="Times New Roman" w:hAnsi="Garamond" w:cs="Times New Roman"/>
        </w:rPr>
      </w:pPr>
      <w:r w:rsidRPr="004A0C12">
        <w:rPr>
          <w:rFonts w:ascii="Garamond" w:eastAsia="Times New Roman" w:hAnsi="Garamond" w:cs="Times New Roman"/>
          <w:color w:val="000000"/>
        </w:rPr>
        <w:t>· DORS began planning for pre-employment transition services for students with disabilities, in collaboration with school systems and community rehabilitation programs. A need for pre- employment transition services in communities throughout the State was identified, and DORS is working with community partners to develop innovative services to students with disabilities.</w:t>
      </w:r>
    </w:p>
    <w:p w14:paraId="321FCC6A" w14:textId="5D7A7D09" w:rsidR="007A1FDC" w:rsidRPr="00594970" w:rsidRDefault="007A1FDC" w:rsidP="001E27E7">
      <w:pPr>
        <w:pStyle w:val="Heading2"/>
        <w:rPr>
          <w:rFonts w:ascii="Garamond" w:hAnsi="Garamond"/>
          <w:sz w:val="24"/>
          <w:szCs w:val="24"/>
        </w:rPr>
      </w:pPr>
      <w:r w:rsidRPr="00594970">
        <w:rPr>
          <w:rFonts w:ascii="Garamond" w:hAnsi="Garamond"/>
          <w:sz w:val="24"/>
          <w:szCs w:val="24"/>
        </w:rPr>
        <w:t>Quality,</w:t>
      </w:r>
      <w:r w:rsidRPr="00594970">
        <w:rPr>
          <w:rFonts w:ascii="Garamond" w:hAnsi="Garamond"/>
          <w:spacing w:val="-28"/>
          <w:sz w:val="24"/>
          <w:szCs w:val="24"/>
        </w:rPr>
        <w:t xml:space="preserve"> Scope</w:t>
      </w:r>
      <w:r w:rsidRPr="00594970">
        <w:rPr>
          <w:rFonts w:ascii="Garamond" w:hAnsi="Garamond"/>
          <w:sz w:val="24"/>
          <w:szCs w:val="24"/>
        </w:rPr>
        <w:t xml:space="preserve">, </w:t>
      </w:r>
      <w:r w:rsidRPr="00594970">
        <w:rPr>
          <w:rFonts w:ascii="Garamond" w:hAnsi="Garamond"/>
          <w:spacing w:val="-30"/>
          <w:sz w:val="24"/>
          <w:szCs w:val="24"/>
        </w:rPr>
        <w:t>and</w:t>
      </w:r>
      <w:r w:rsidRPr="00594970">
        <w:rPr>
          <w:rFonts w:ascii="Garamond" w:hAnsi="Garamond"/>
          <w:spacing w:val="-1"/>
          <w:sz w:val="24"/>
          <w:szCs w:val="24"/>
        </w:rPr>
        <w:t xml:space="preserve"> </w:t>
      </w:r>
      <w:r w:rsidRPr="00594970">
        <w:rPr>
          <w:rFonts w:ascii="Garamond" w:hAnsi="Garamond"/>
          <w:sz w:val="24"/>
          <w:szCs w:val="24"/>
        </w:rPr>
        <w:t>Extent</w:t>
      </w:r>
      <w:r w:rsidRPr="00594970">
        <w:rPr>
          <w:rFonts w:ascii="Garamond" w:hAnsi="Garamond"/>
          <w:spacing w:val="-12"/>
          <w:sz w:val="24"/>
          <w:szCs w:val="24"/>
        </w:rPr>
        <w:t xml:space="preserve"> </w:t>
      </w:r>
      <w:r w:rsidRPr="00594970">
        <w:rPr>
          <w:rFonts w:ascii="Garamond" w:hAnsi="Garamond"/>
          <w:sz w:val="24"/>
          <w:szCs w:val="24"/>
        </w:rPr>
        <w:t>of</w:t>
      </w:r>
      <w:r w:rsidRPr="00594970">
        <w:rPr>
          <w:rFonts w:ascii="Garamond" w:hAnsi="Garamond"/>
          <w:spacing w:val="-21"/>
          <w:sz w:val="24"/>
          <w:szCs w:val="24"/>
        </w:rPr>
        <w:t xml:space="preserve"> </w:t>
      </w:r>
      <w:r w:rsidRPr="00594970">
        <w:rPr>
          <w:rFonts w:ascii="Garamond" w:hAnsi="Garamond"/>
          <w:sz w:val="24"/>
          <w:szCs w:val="24"/>
        </w:rPr>
        <w:t>Supported</w:t>
      </w:r>
      <w:r w:rsidRPr="00594970">
        <w:rPr>
          <w:rFonts w:ascii="Garamond" w:hAnsi="Garamond"/>
          <w:spacing w:val="-13"/>
          <w:sz w:val="24"/>
          <w:szCs w:val="24"/>
        </w:rPr>
        <w:t xml:space="preserve"> </w:t>
      </w:r>
      <w:r w:rsidRPr="00594970">
        <w:rPr>
          <w:rFonts w:ascii="Garamond" w:hAnsi="Garamond"/>
          <w:sz w:val="24"/>
          <w:szCs w:val="24"/>
        </w:rPr>
        <w:t>Employment</w:t>
      </w:r>
      <w:r w:rsidRPr="00594970">
        <w:rPr>
          <w:rFonts w:ascii="Garamond" w:hAnsi="Garamond"/>
          <w:spacing w:val="-17"/>
          <w:sz w:val="24"/>
          <w:szCs w:val="24"/>
        </w:rPr>
        <w:t xml:space="preserve"> </w:t>
      </w:r>
      <w:r w:rsidRPr="00594970">
        <w:rPr>
          <w:rFonts w:ascii="Garamond" w:hAnsi="Garamond"/>
          <w:sz w:val="24"/>
          <w:szCs w:val="24"/>
        </w:rPr>
        <w:t>Services</w:t>
      </w:r>
      <w:bookmarkEnd w:id="231"/>
    </w:p>
    <w:p w14:paraId="08F1C685" w14:textId="168009B4" w:rsidR="007A1FDC" w:rsidRPr="004A0C12" w:rsidRDefault="007A1FDC" w:rsidP="009C2CDB">
      <w:pPr>
        <w:widowControl w:val="0"/>
        <w:spacing w:after="0" w:line="240" w:lineRule="auto"/>
        <w:contextualSpacing/>
        <w:jc w:val="both"/>
        <w:rPr>
          <w:rFonts w:ascii="Garamond" w:hAnsi="Garamond"/>
        </w:rPr>
      </w:pPr>
      <w:r w:rsidRPr="004A0C12">
        <w:rPr>
          <w:rFonts w:ascii="Garamond" w:hAnsi="Garamond"/>
        </w:rPr>
        <w:t xml:space="preserve">The quality, scope, and extent of supported employment services are consistent with the definition of supported employment as it is contained in the Rehabilitation Act of 1973, as amended. As required by the Workforce Innovation </w:t>
      </w:r>
      <w:r w:rsidR="009C2CDB" w:rsidRPr="004A0C12">
        <w:rPr>
          <w:rFonts w:ascii="Garamond" w:hAnsi="Garamond"/>
        </w:rPr>
        <w:t>and Opportunity Act of 2014, 50 percent</w:t>
      </w:r>
      <w:r w:rsidRPr="004A0C12">
        <w:rPr>
          <w:rFonts w:ascii="Garamond" w:hAnsi="Garamond"/>
        </w:rPr>
        <w:t xml:space="preserve"> of the total Supported Employment Allotment will be utilized to provide supported employment services, including extended services, to youth with the most significant disabilities. </w:t>
      </w:r>
    </w:p>
    <w:p w14:paraId="3E597EC9" w14:textId="77777777" w:rsidR="007A1FDC" w:rsidRPr="004A0C12" w:rsidRDefault="007A1FDC" w:rsidP="009C2CDB">
      <w:pPr>
        <w:widowControl w:val="0"/>
        <w:spacing w:after="0" w:line="240" w:lineRule="auto"/>
        <w:contextualSpacing/>
        <w:jc w:val="both"/>
        <w:rPr>
          <w:rFonts w:ascii="Garamond" w:hAnsi="Garamond"/>
        </w:rPr>
      </w:pPr>
    </w:p>
    <w:p w14:paraId="0A61ADC7" w14:textId="2EE71AEE" w:rsidR="007A1FDC" w:rsidRPr="004A0C12" w:rsidRDefault="007A1FDC" w:rsidP="009C2CDB">
      <w:pPr>
        <w:shd w:val="clear" w:color="auto" w:fill="FFFFFF"/>
        <w:spacing w:before="90" w:after="0" w:line="240" w:lineRule="auto"/>
        <w:contextualSpacing/>
        <w:jc w:val="both"/>
        <w:rPr>
          <w:rFonts w:ascii="Garamond" w:hAnsi="Garamond"/>
        </w:rPr>
      </w:pPr>
      <w:r w:rsidRPr="004A0C12">
        <w:rPr>
          <w:rFonts w:ascii="Garamond" w:hAnsi="Garamond"/>
        </w:rPr>
        <w:t>The quality of supported employment services is assured through the Division’s case review process. Records are reviewed in terms of eligibility, Individu</w:t>
      </w:r>
      <w:r w:rsidR="009C2CDB" w:rsidRPr="004A0C12">
        <w:rPr>
          <w:rFonts w:ascii="Garamond" w:hAnsi="Garamond"/>
        </w:rPr>
        <w:t>alized Plan for Employment</w:t>
      </w:r>
      <w:r w:rsidRPr="004A0C12">
        <w:rPr>
          <w:rFonts w:ascii="Garamond" w:hAnsi="Garamond"/>
        </w:rPr>
        <w:t>, service delivery, case closure</w:t>
      </w:r>
      <w:r w:rsidR="009C2CDB" w:rsidRPr="004A0C12">
        <w:rPr>
          <w:rFonts w:ascii="Garamond" w:hAnsi="Garamond"/>
        </w:rPr>
        <w:t>,</w:t>
      </w:r>
      <w:r w:rsidRPr="004A0C12">
        <w:rPr>
          <w:rFonts w:ascii="Garamond" w:hAnsi="Garamond"/>
        </w:rPr>
        <w:t xml:space="preserve"> and expenditures. The review emphasizes technical compliance with the Title I and Title VI-B regulations. DORS uses case review findings to identify policies that may require modification or clarification and to identify sta</w:t>
      </w:r>
      <w:r w:rsidR="009C2CDB" w:rsidRPr="004A0C12">
        <w:rPr>
          <w:rFonts w:ascii="Garamond" w:hAnsi="Garamond"/>
        </w:rPr>
        <w:t xml:space="preserve">ff training needs. DORS </w:t>
      </w:r>
      <w:r w:rsidRPr="004A0C12">
        <w:rPr>
          <w:rFonts w:ascii="Garamond" w:hAnsi="Garamond"/>
        </w:rPr>
        <w:t>also conducts periodic onsite reviews of supported employment providers to assure compliance with established policy and procedure and regularly updates cooperative agreements with these facilities.</w:t>
      </w:r>
    </w:p>
    <w:p w14:paraId="0A54BFC9" w14:textId="77777777" w:rsidR="009C2CDB" w:rsidRPr="004A0C12" w:rsidRDefault="009C2CDB" w:rsidP="009C2CDB">
      <w:pPr>
        <w:shd w:val="clear" w:color="auto" w:fill="FFFFFF"/>
        <w:spacing w:before="90" w:after="0" w:line="240" w:lineRule="auto"/>
        <w:contextualSpacing/>
        <w:jc w:val="both"/>
        <w:rPr>
          <w:rFonts w:ascii="Garamond" w:hAnsi="Garamond"/>
        </w:rPr>
      </w:pPr>
    </w:p>
    <w:p w14:paraId="60546D14" w14:textId="704E3A96" w:rsidR="007A1FDC" w:rsidRPr="004A0C12" w:rsidRDefault="007A1FDC" w:rsidP="009C2CDB">
      <w:pPr>
        <w:shd w:val="clear" w:color="auto" w:fill="FFFFFF"/>
        <w:spacing w:before="90" w:after="0" w:line="240" w:lineRule="auto"/>
        <w:contextualSpacing/>
        <w:jc w:val="both"/>
        <w:rPr>
          <w:rFonts w:ascii="Garamond" w:hAnsi="Garamond"/>
        </w:rPr>
      </w:pPr>
      <w:r w:rsidRPr="004A0C12">
        <w:rPr>
          <w:rFonts w:ascii="Garamond" w:hAnsi="Garamond"/>
        </w:rPr>
        <w:t>Supported employment means competitive work in integrated work settings, or employment in integrated work settings. Individuals with the most significant disabilities are working toward competitive work consistent with their strengths, resources, priorities, concerns, abilities, capabilities, interests</w:t>
      </w:r>
      <w:r w:rsidR="009C2CDB" w:rsidRPr="004A0C12">
        <w:rPr>
          <w:rFonts w:ascii="Garamond" w:hAnsi="Garamond"/>
        </w:rPr>
        <w:t>,</w:t>
      </w:r>
      <w:r w:rsidRPr="004A0C12">
        <w:rPr>
          <w:rFonts w:ascii="Garamond" w:hAnsi="Garamond"/>
        </w:rPr>
        <w:t xml:space="preserve"> and informed choice. These are persons including youth with the most significant disabilities:</w:t>
      </w:r>
    </w:p>
    <w:p w14:paraId="042A9205" w14:textId="77777777" w:rsidR="009C2CDB" w:rsidRPr="004A0C12" w:rsidRDefault="009C2CDB" w:rsidP="009C2CDB">
      <w:pPr>
        <w:shd w:val="clear" w:color="auto" w:fill="FFFFFF"/>
        <w:spacing w:before="90" w:after="0" w:line="240" w:lineRule="auto"/>
        <w:contextualSpacing/>
        <w:jc w:val="both"/>
        <w:rPr>
          <w:rFonts w:ascii="Garamond" w:hAnsi="Garamond"/>
        </w:rPr>
      </w:pPr>
    </w:p>
    <w:p w14:paraId="21E9848A" w14:textId="7A23336B" w:rsidR="007A1FDC" w:rsidRPr="004A0C12" w:rsidRDefault="007A1FDC" w:rsidP="00232F09">
      <w:pPr>
        <w:pStyle w:val="ListParagraph"/>
        <w:numPr>
          <w:ilvl w:val="0"/>
          <w:numId w:val="263"/>
        </w:numPr>
        <w:shd w:val="clear" w:color="auto" w:fill="FFFFFF"/>
        <w:spacing w:before="90"/>
        <w:contextualSpacing/>
        <w:jc w:val="both"/>
        <w:rPr>
          <w:rFonts w:ascii="Garamond" w:hAnsi="Garamond"/>
          <w:szCs w:val="22"/>
        </w:rPr>
      </w:pPr>
      <w:r w:rsidRPr="004A0C12">
        <w:rPr>
          <w:rFonts w:ascii="Garamond" w:hAnsi="Garamond"/>
          <w:szCs w:val="22"/>
        </w:rPr>
        <w:t xml:space="preserve">For whom competitive employment has not traditionally occurred or for whom competitive employment has been interrupted or intermittent as a result </w:t>
      </w:r>
      <w:r w:rsidR="009C2CDB" w:rsidRPr="004A0C12">
        <w:rPr>
          <w:rFonts w:ascii="Garamond" w:hAnsi="Garamond"/>
          <w:szCs w:val="22"/>
        </w:rPr>
        <w:t xml:space="preserve">of a significant disability; and, </w:t>
      </w:r>
    </w:p>
    <w:p w14:paraId="0A443D28" w14:textId="77777777" w:rsidR="009C2CDB" w:rsidRPr="004A0C12" w:rsidRDefault="007A1FDC" w:rsidP="00232F09">
      <w:pPr>
        <w:pStyle w:val="ListParagraph"/>
        <w:numPr>
          <w:ilvl w:val="0"/>
          <w:numId w:val="263"/>
        </w:numPr>
        <w:shd w:val="clear" w:color="auto" w:fill="FFFFFF"/>
        <w:spacing w:before="90"/>
        <w:contextualSpacing/>
        <w:jc w:val="both"/>
        <w:rPr>
          <w:rFonts w:ascii="Garamond" w:hAnsi="Garamond"/>
          <w:szCs w:val="22"/>
        </w:rPr>
      </w:pPr>
      <w:r w:rsidRPr="004A0C12">
        <w:rPr>
          <w:rFonts w:ascii="Garamond" w:hAnsi="Garamond"/>
          <w:szCs w:val="22"/>
        </w:rPr>
        <w:lastRenderedPageBreak/>
        <w:t xml:space="preserve">Who, because of the nature and severity of a disability, need intensive supported employment services from </w:t>
      </w:r>
      <w:r w:rsidR="009C2CDB" w:rsidRPr="004A0C12">
        <w:rPr>
          <w:rFonts w:ascii="Garamond" w:hAnsi="Garamond"/>
          <w:szCs w:val="22"/>
        </w:rPr>
        <w:t>the designated State unit, DORS,</w:t>
      </w:r>
      <w:r w:rsidRPr="004A0C12">
        <w:rPr>
          <w:rFonts w:ascii="Garamond" w:hAnsi="Garamond"/>
          <w:szCs w:val="22"/>
        </w:rPr>
        <w:t xml:space="preserve"> and extended services after transition in order to perform this work.</w:t>
      </w:r>
    </w:p>
    <w:p w14:paraId="66C68F19" w14:textId="77777777" w:rsidR="009C2CDB" w:rsidRPr="004A0C12" w:rsidRDefault="009C2CDB" w:rsidP="009C2CDB">
      <w:pPr>
        <w:pStyle w:val="ListParagraph"/>
        <w:shd w:val="clear" w:color="auto" w:fill="FFFFFF"/>
        <w:spacing w:before="90"/>
        <w:contextualSpacing/>
        <w:jc w:val="both"/>
        <w:rPr>
          <w:rFonts w:ascii="Garamond" w:hAnsi="Garamond"/>
          <w:szCs w:val="22"/>
        </w:rPr>
      </w:pPr>
    </w:p>
    <w:p w14:paraId="702BD42C" w14:textId="37BD61EF" w:rsidR="007A1FDC" w:rsidRPr="004A0C12" w:rsidRDefault="007A1FDC" w:rsidP="009C2CDB">
      <w:pPr>
        <w:shd w:val="clear" w:color="auto" w:fill="FFFFFF"/>
        <w:spacing w:before="90" w:line="240" w:lineRule="auto"/>
        <w:contextualSpacing/>
        <w:jc w:val="both"/>
        <w:rPr>
          <w:rFonts w:ascii="Garamond" w:hAnsi="Garamond"/>
        </w:rPr>
      </w:pPr>
      <w:r w:rsidRPr="004A0C12">
        <w:rPr>
          <w:rFonts w:ascii="Garamond" w:hAnsi="Garamond"/>
        </w:rPr>
        <w:t xml:space="preserve">The scope of supported employment services is contained in </w:t>
      </w:r>
      <w:r w:rsidR="009C2CDB" w:rsidRPr="004A0C12">
        <w:rPr>
          <w:rFonts w:ascii="Garamond" w:hAnsi="Garamond"/>
        </w:rPr>
        <w:t>DORS’</w:t>
      </w:r>
      <w:r w:rsidRPr="004A0C12">
        <w:rPr>
          <w:rFonts w:ascii="Garamond" w:hAnsi="Garamond"/>
        </w:rPr>
        <w:t xml:space="preserve"> Rehabilitation Services Manual II, Section 800. </w:t>
      </w:r>
      <w:r w:rsidR="009C2CDB" w:rsidRPr="004A0C12">
        <w:rPr>
          <w:rFonts w:ascii="Garamond" w:hAnsi="Garamond"/>
        </w:rPr>
        <w:t>DORS</w:t>
      </w:r>
      <w:r w:rsidRPr="004A0C12">
        <w:rPr>
          <w:rFonts w:ascii="Garamond" w:hAnsi="Garamond"/>
        </w:rPr>
        <w:t xml:space="preserve"> provides ongoing training to counselors about supported employment policy and best practices, including to new staff at the Quality Rehabilitation Training Program conducted at least twice a year.</w:t>
      </w:r>
    </w:p>
    <w:p w14:paraId="7762DF1E" w14:textId="77777777" w:rsidR="009C2CDB" w:rsidRPr="004A0C12" w:rsidRDefault="009C2CDB" w:rsidP="009C2CDB">
      <w:pPr>
        <w:shd w:val="clear" w:color="auto" w:fill="FFFFFF"/>
        <w:spacing w:before="90" w:line="240" w:lineRule="auto"/>
        <w:contextualSpacing/>
        <w:jc w:val="both"/>
        <w:rPr>
          <w:rFonts w:ascii="Garamond" w:hAnsi="Garamond"/>
        </w:rPr>
      </w:pPr>
    </w:p>
    <w:p w14:paraId="5C77A002" w14:textId="77777777" w:rsidR="007A1FDC" w:rsidRPr="004A0C12" w:rsidRDefault="007A1FDC" w:rsidP="009C2CDB">
      <w:pPr>
        <w:shd w:val="clear" w:color="auto" w:fill="FFFFFF"/>
        <w:spacing w:before="90" w:after="0" w:line="240" w:lineRule="auto"/>
        <w:contextualSpacing/>
        <w:jc w:val="both"/>
        <w:rPr>
          <w:rFonts w:ascii="Garamond" w:hAnsi="Garamond"/>
        </w:rPr>
      </w:pPr>
      <w:r w:rsidRPr="004A0C12">
        <w:rPr>
          <w:rFonts w:ascii="Garamond" w:hAnsi="Garamond"/>
        </w:rPr>
        <w:t>Supported employment services are defined in the regulations as ongoing support services and other appropriate services needed to support and maintain an individual with the most significant disability in supported employment.</w:t>
      </w:r>
    </w:p>
    <w:p w14:paraId="2716852D" w14:textId="77777777" w:rsidR="009C2CDB" w:rsidRPr="004A0C12" w:rsidRDefault="009C2CDB" w:rsidP="009C2CDB">
      <w:pPr>
        <w:shd w:val="clear" w:color="auto" w:fill="FFFFFF"/>
        <w:spacing w:before="90" w:after="0" w:line="240" w:lineRule="auto"/>
        <w:contextualSpacing/>
        <w:jc w:val="both"/>
        <w:rPr>
          <w:rFonts w:ascii="Garamond" w:hAnsi="Garamond"/>
        </w:rPr>
      </w:pPr>
    </w:p>
    <w:p w14:paraId="1AD2351E" w14:textId="77777777" w:rsidR="009C2CDB" w:rsidRPr="004A0C12" w:rsidRDefault="007A1FDC" w:rsidP="009C2CDB">
      <w:pPr>
        <w:shd w:val="clear" w:color="auto" w:fill="FFFFFF"/>
        <w:spacing w:before="90" w:after="0" w:line="240" w:lineRule="auto"/>
        <w:contextualSpacing/>
        <w:jc w:val="both"/>
        <w:rPr>
          <w:rFonts w:ascii="Garamond" w:hAnsi="Garamond"/>
        </w:rPr>
      </w:pPr>
      <w:r w:rsidRPr="004A0C12">
        <w:rPr>
          <w:rFonts w:ascii="Garamond" w:hAnsi="Garamond"/>
        </w:rPr>
        <w:t xml:space="preserve">In recognition of the time required to develop employment opportunities and place individuals with the most significant disabilities in employment, </w:t>
      </w:r>
      <w:r w:rsidR="009C2CDB" w:rsidRPr="004A0C12">
        <w:rPr>
          <w:rFonts w:ascii="Garamond" w:hAnsi="Garamond"/>
        </w:rPr>
        <w:t>DORS</w:t>
      </w:r>
      <w:r w:rsidRPr="004A0C12">
        <w:rPr>
          <w:rFonts w:ascii="Garamond" w:hAnsi="Garamond"/>
        </w:rPr>
        <w:t xml:space="preserve"> policy permits payment of job development and placement as discrete activities within “job coaching”. Supported employment services are any services that assist an individual in entering or maintaining integrated, competitive employment. They also include services necessary to establish and maintain a supported business enterprise. They may include, but are </w:t>
      </w:r>
      <w:r w:rsidR="009C2CDB" w:rsidRPr="004A0C12">
        <w:rPr>
          <w:rFonts w:ascii="Garamond" w:hAnsi="Garamond"/>
        </w:rPr>
        <w:t>not limited to, the following:</w:t>
      </w:r>
    </w:p>
    <w:p w14:paraId="1FE63EC8" w14:textId="77777777" w:rsidR="009C2CDB" w:rsidRPr="004A0C12" w:rsidRDefault="007A1FDC" w:rsidP="00232F09">
      <w:pPr>
        <w:pStyle w:val="ListParagraph"/>
        <w:numPr>
          <w:ilvl w:val="0"/>
          <w:numId w:val="270"/>
        </w:numPr>
        <w:shd w:val="clear" w:color="auto" w:fill="FFFFFF"/>
        <w:spacing w:before="90"/>
        <w:contextualSpacing/>
        <w:jc w:val="both"/>
        <w:rPr>
          <w:rFonts w:ascii="Garamond" w:hAnsi="Garamond"/>
          <w:szCs w:val="22"/>
        </w:rPr>
      </w:pPr>
      <w:r w:rsidRPr="004A0C12">
        <w:rPr>
          <w:rFonts w:ascii="Garamond" w:hAnsi="Garamond"/>
          <w:szCs w:val="22"/>
        </w:rPr>
        <w:t>Development of and placement in jobs or businesses in integrated settings for the maximum number of hours possible based on the unique strengths, resources, interests, concerns, abilities, and capabilities of individuals with th</w:t>
      </w:r>
      <w:r w:rsidR="009C2CDB" w:rsidRPr="004A0C12">
        <w:rPr>
          <w:rFonts w:ascii="Garamond" w:hAnsi="Garamond"/>
          <w:szCs w:val="22"/>
        </w:rPr>
        <w:t>e most significant disabilities;</w:t>
      </w:r>
    </w:p>
    <w:p w14:paraId="27F58359" w14:textId="77777777" w:rsidR="009C2CDB" w:rsidRPr="004A0C12" w:rsidRDefault="007A1FDC" w:rsidP="00232F09">
      <w:pPr>
        <w:pStyle w:val="ListParagraph"/>
        <w:numPr>
          <w:ilvl w:val="0"/>
          <w:numId w:val="270"/>
        </w:numPr>
        <w:shd w:val="clear" w:color="auto" w:fill="FFFFFF"/>
        <w:spacing w:before="90"/>
        <w:contextualSpacing/>
        <w:jc w:val="both"/>
        <w:rPr>
          <w:rFonts w:ascii="Garamond" w:hAnsi="Garamond"/>
          <w:szCs w:val="22"/>
        </w:rPr>
      </w:pPr>
      <w:r w:rsidRPr="004A0C12">
        <w:rPr>
          <w:rFonts w:ascii="Garamond" w:hAnsi="Garamond"/>
          <w:szCs w:val="22"/>
        </w:rPr>
        <w:t xml:space="preserve">Intensive on-site job skills training and other training provided by skilled job trainers, coworkers, </w:t>
      </w:r>
      <w:r w:rsidR="009C2CDB" w:rsidRPr="004A0C12">
        <w:rPr>
          <w:rFonts w:ascii="Garamond" w:hAnsi="Garamond"/>
          <w:szCs w:val="22"/>
        </w:rPr>
        <w:t>and other qualified individuals;</w:t>
      </w:r>
    </w:p>
    <w:p w14:paraId="601899BE" w14:textId="77777777" w:rsidR="009C2CDB" w:rsidRPr="004A0C12" w:rsidRDefault="007A1FDC" w:rsidP="00232F09">
      <w:pPr>
        <w:pStyle w:val="ListParagraph"/>
        <w:numPr>
          <w:ilvl w:val="0"/>
          <w:numId w:val="270"/>
        </w:numPr>
        <w:shd w:val="clear" w:color="auto" w:fill="FFFFFF"/>
        <w:spacing w:before="90"/>
        <w:contextualSpacing/>
        <w:jc w:val="both"/>
        <w:rPr>
          <w:rFonts w:ascii="Garamond" w:hAnsi="Garamond"/>
          <w:szCs w:val="22"/>
        </w:rPr>
      </w:pPr>
      <w:r w:rsidRPr="004A0C12">
        <w:rPr>
          <w:rFonts w:ascii="Garamond" w:hAnsi="Garamond"/>
          <w:szCs w:val="22"/>
        </w:rPr>
        <w:t>Off-site supports to address issues and concerns</w:t>
      </w:r>
      <w:r w:rsidR="009C2CDB" w:rsidRPr="004A0C12">
        <w:rPr>
          <w:rFonts w:ascii="Garamond" w:hAnsi="Garamond"/>
          <w:szCs w:val="22"/>
        </w:rPr>
        <w:t>;</w:t>
      </w:r>
    </w:p>
    <w:p w14:paraId="492A3D40" w14:textId="77777777" w:rsidR="009C2CDB" w:rsidRPr="004A0C12" w:rsidRDefault="007A1FDC" w:rsidP="00232F09">
      <w:pPr>
        <w:pStyle w:val="ListParagraph"/>
        <w:numPr>
          <w:ilvl w:val="0"/>
          <w:numId w:val="270"/>
        </w:numPr>
        <w:shd w:val="clear" w:color="auto" w:fill="FFFFFF"/>
        <w:spacing w:before="90"/>
        <w:contextualSpacing/>
        <w:jc w:val="both"/>
        <w:rPr>
          <w:rFonts w:ascii="Garamond" w:hAnsi="Garamond"/>
          <w:szCs w:val="22"/>
        </w:rPr>
      </w:pPr>
      <w:r w:rsidRPr="004A0C12">
        <w:rPr>
          <w:rFonts w:ascii="Garamond" w:hAnsi="Garamond"/>
          <w:szCs w:val="22"/>
        </w:rPr>
        <w:t xml:space="preserve">Follow-up services, including regular contact with employers, trainers, parents, guardians, or other representatives of trainees, and other suitable professional and informed advisors to reinforce </w:t>
      </w:r>
      <w:r w:rsidR="009C2CDB" w:rsidRPr="004A0C12">
        <w:rPr>
          <w:rFonts w:ascii="Garamond" w:hAnsi="Garamond"/>
          <w:szCs w:val="22"/>
        </w:rPr>
        <w:t>and stabilize the job placement;</w:t>
      </w:r>
    </w:p>
    <w:p w14:paraId="348387F5" w14:textId="62E6A886" w:rsidR="009C2CDB" w:rsidRPr="004A0C12" w:rsidRDefault="007A1FDC" w:rsidP="00232F09">
      <w:pPr>
        <w:pStyle w:val="ListParagraph"/>
        <w:numPr>
          <w:ilvl w:val="0"/>
          <w:numId w:val="270"/>
        </w:numPr>
        <w:shd w:val="clear" w:color="auto" w:fill="FFFFFF"/>
        <w:spacing w:before="90"/>
        <w:contextualSpacing/>
        <w:jc w:val="both"/>
        <w:rPr>
          <w:rFonts w:ascii="Garamond" w:hAnsi="Garamond"/>
          <w:szCs w:val="22"/>
        </w:rPr>
      </w:pPr>
      <w:r w:rsidRPr="004A0C12">
        <w:rPr>
          <w:rFonts w:ascii="Garamond" w:hAnsi="Garamond"/>
          <w:szCs w:val="22"/>
        </w:rPr>
        <w:t>Other services specified in the regulations needed to ach</w:t>
      </w:r>
      <w:r w:rsidR="009C2CDB" w:rsidRPr="004A0C12">
        <w:rPr>
          <w:rFonts w:ascii="Garamond" w:hAnsi="Garamond"/>
          <w:szCs w:val="22"/>
        </w:rPr>
        <w:t xml:space="preserve">ieve and maintain job stability; and/or, </w:t>
      </w:r>
    </w:p>
    <w:p w14:paraId="32C6C7F7" w14:textId="77777777" w:rsidR="009C2CDB" w:rsidRPr="004A0C12" w:rsidRDefault="007A1FDC" w:rsidP="00232F09">
      <w:pPr>
        <w:pStyle w:val="ListParagraph"/>
        <w:numPr>
          <w:ilvl w:val="0"/>
          <w:numId w:val="270"/>
        </w:numPr>
        <w:shd w:val="clear" w:color="auto" w:fill="FFFFFF"/>
        <w:spacing w:before="90"/>
        <w:contextualSpacing/>
        <w:jc w:val="both"/>
        <w:rPr>
          <w:rFonts w:ascii="Garamond" w:hAnsi="Garamond"/>
          <w:szCs w:val="22"/>
        </w:rPr>
      </w:pPr>
      <w:r w:rsidRPr="004A0C12">
        <w:rPr>
          <w:rFonts w:ascii="Garamond" w:hAnsi="Garamond"/>
          <w:szCs w:val="22"/>
        </w:rPr>
        <w:t>Discrete post-employment services following transition that are unavailable from an extended services provider and that are necessary to maintain the job placement.</w:t>
      </w:r>
    </w:p>
    <w:p w14:paraId="511611BA" w14:textId="77777777" w:rsidR="009C2CDB" w:rsidRPr="004A0C12" w:rsidRDefault="009C2CDB" w:rsidP="009C2CDB">
      <w:pPr>
        <w:shd w:val="clear" w:color="auto" w:fill="FFFFFF"/>
        <w:spacing w:before="90" w:line="240" w:lineRule="auto"/>
        <w:contextualSpacing/>
        <w:jc w:val="both"/>
        <w:rPr>
          <w:rFonts w:ascii="Garamond" w:hAnsi="Garamond"/>
        </w:rPr>
      </w:pPr>
    </w:p>
    <w:p w14:paraId="1D325A25" w14:textId="77777777" w:rsidR="009C2CDB" w:rsidRPr="004A0C12" w:rsidRDefault="007A1FDC" w:rsidP="009C2CDB">
      <w:pPr>
        <w:shd w:val="clear" w:color="auto" w:fill="FFFFFF"/>
        <w:spacing w:before="90" w:line="240" w:lineRule="auto"/>
        <w:contextualSpacing/>
        <w:jc w:val="both"/>
        <w:rPr>
          <w:rFonts w:ascii="Garamond" w:hAnsi="Garamond"/>
        </w:rPr>
      </w:pPr>
      <w:r w:rsidRPr="004A0C12">
        <w:rPr>
          <w:rFonts w:ascii="Garamond" w:hAnsi="Garamond"/>
        </w:rPr>
        <w:t>All supported employment services are available to all individuals, including youth with the most significant disabilities, determined eligible to receive supported employment services. Individuals are eligible if:</w:t>
      </w:r>
    </w:p>
    <w:p w14:paraId="33DC0CAE" w14:textId="77777777" w:rsidR="009C2CDB" w:rsidRPr="004A0C12" w:rsidRDefault="007A1FDC" w:rsidP="00232F09">
      <w:pPr>
        <w:pStyle w:val="ListParagraph"/>
        <w:numPr>
          <w:ilvl w:val="0"/>
          <w:numId w:val="271"/>
        </w:numPr>
        <w:shd w:val="clear" w:color="auto" w:fill="FFFFFF"/>
        <w:spacing w:before="90"/>
        <w:contextualSpacing/>
        <w:jc w:val="both"/>
        <w:rPr>
          <w:rFonts w:ascii="Garamond" w:hAnsi="Garamond"/>
          <w:szCs w:val="22"/>
        </w:rPr>
      </w:pPr>
      <w:r w:rsidRPr="004A0C12">
        <w:rPr>
          <w:rFonts w:ascii="Garamond" w:hAnsi="Garamond"/>
          <w:szCs w:val="22"/>
        </w:rPr>
        <w:t>The individual is eligible for voc</w:t>
      </w:r>
      <w:r w:rsidR="009C2CDB" w:rsidRPr="004A0C12">
        <w:rPr>
          <w:rFonts w:ascii="Garamond" w:hAnsi="Garamond"/>
          <w:szCs w:val="22"/>
        </w:rPr>
        <w:t>ational rehabilitation services;</w:t>
      </w:r>
    </w:p>
    <w:p w14:paraId="61AAD81E" w14:textId="77777777" w:rsidR="009C2CDB" w:rsidRPr="004A0C12" w:rsidRDefault="007A1FDC" w:rsidP="00232F09">
      <w:pPr>
        <w:pStyle w:val="ListParagraph"/>
        <w:numPr>
          <w:ilvl w:val="0"/>
          <w:numId w:val="271"/>
        </w:numPr>
        <w:shd w:val="clear" w:color="auto" w:fill="FFFFFF"/>
        <w:spacing w:before="90"/>
        <w:contextualSpacing/>
        <w:jc w:val="both"/>
        <w:rPr>
          <w:rFonts w:ascii="Garamond" w:hAnsi="Garamond"/>
          <w:szCs w:val="22"/>
        </w:rPr>
      </w:pPr>
      <w:r w:rsidRPr="004A0C12">
        <w:rPr>
          <w:rFonts w:ascii="Garamond" w:hAnsi="Garamond"/>
          <w:szCs w:val="22"/>
        </w:rPr>
        <w:t>The individual is determined to be an individual wit</w:t>
      </w:r>
      <w:r w:rsidR="009C2CDB" w:rsidRPr="004A0C12">
        <w:rPr>
          <w:rFonts w:ascii="Garamond" w:hAnsi="Garamond"/>
          <w:szCs w:val="22"/>
        </w:rPr>
        <w:t>h a most significant disability;</w:t>
      </w:r>
    </w:p>
    <w:p w14:paraId="27381519" w14:textId="77777777" w:rsidR="009C2CDB" w:rsidRPr="004A0C12" w:rsidRDefault="007A1FDC" w:rsidP="00232F09">
      <w:pPr>
        <w:pStyle w:val="ListParagraph"/>
        <w:numPr>
          <w:ilvl w:val="0"/>
          <w:numId w:val="271"/>
        </w:numPr>
        <w:shd w:val="clear" w:color="auto" w:fill="FFFFFF"/>
        <w:spacing w:before="90"/>
        <w:contextualSpacing/>
        <w:jc w:val="both"/>
        <w:rPr>
          <w:rFonts w:ascii="Garamond" w:hAnsi="Garamond"/>
          <w:szCs w:val="22"/>
        </w:rPr>
      </w:pPr>
      <w:r w:rsidRPr="004A0C12">
        <w:rPr>
          <w:rFonts w:ascii="Garamond" w:hAnsi="Garamond"/>
          <w:szCs w:val="22"/>
        </w:rPr>
        <w:t>A comprehensive assessment of rehabilitation needs of the individual, including an evaluation of rehabilitation, career, and job needs, identifies whether or not supported employment is the appro</w:t>
      </w:r>
      <w:r w:rsidR="009C2CDB" w:rsidRPr="004A0C12">
        <w:rPr>
          <w:rFonts w:ascii="Garamond" w:hAnsi="Garamond"/>
          <w:szCs w:val="22"/>
        </w:rPr>
        <w:t xml:space="preserve">priate rehabilitation objective; </w:t>
      </w:r>
    </w:p>
    <w:p w14:paraId="11DC55E6" w14:textId="77777777" w:rsidR="00D00E7E" w:rsidRPr="004A0C12" w:rsidRDefault="007A1FDC" w:rsidP="00232F09">
      <w:pPr>
        <w:pStyle w:val="ListParagraph"/>
        <w:numPr>
          <w:ilvl w:val="0"/>
          <w:numId w:val="271"/>
        </w:numPr>
        <w:shd w:val="clear" w:color="auto" w:fill="FFFFFF"/>
        <w:spacing w:before="90"/>
        <w:contextualSpacing/>
        <w:jc w:val="both"/>
        <w:rPr>
          <w:rFonts w:ascii="Garamond" w:hAnsi="Garamond"/>
          <w:szCs w:val="22"/>
        </w:rPr>
      </w:pPr>
      <w:r w:rsidRPr="004A0C12">
        <w:rPr>
          <w:rFonts w:ascii="Garamond" w:hAnsi="Garamond"/>
          <w:szCs w:val="22"/>
        </w:rPr>
        <w:t>If Supported Employment is not found to be appropriate at the time of comprehensive assessment, DORS will reassess annually.</w:t>
      </w:r>
    </w:p>
    <w:p w14:paraId="32225231" w14:textId="77777777" w:rsidR="00D00E7E" w:rsidRPr="004A0C12" w:rsidRDefault="00D00E7E" w:rsidP="00D00E7E">
      <w:pPr>
        <w:pStyle w:val="ListParagraph"/>
        <w:shd w:val="clear" w:color="auto" w:fill="FFFFFF"/>
        <w:spacing w:before="90"/>
        <w:contextualSpacing/>
        <w:jc w:val="both"/>
        <w:rPr>
          <w:rFonts w:ascii="Garamond" w:hAnsi="Garamond"/>
          <w:szCs w:val="22"/>
        </w:rPr>
      </w:pPr>
    </w:p>
    <w:p w14:paraId="18E748D6" w14:textId="4CD800B7" w:rsidR="007A1FDC" w:rsidRPr="00594970" w:rsidRDefault="007A1FDC" w:rsidP="00D00E7E">
      <w:pPr>
        <w:shd w:val="clear" w:color="auto" w:fill="FFFFFF"/>
        <w:spacing w:before="90" w:line="240" w:lineRule="auto"/>
        <w:contextualSpacing/>
        <w:jc w:val="both"/>
        <w:rPr>
          <w:rFonts w:ascii="Garamond" w:hAnsi="Garamond"/>
          <w:color w:val="4F81BD" w:themeColor="accent1"/>
          <w:sz w:val="24"/>
          <w:szCs w:val="24"/>
        </w:rPr>
      </w:pPr>
      <w:r w:rsidRPr="00594970">
        <w:rPr>
          <w:rFonts w:ascii="Garamond" w:hAnsi="Garamond"/>
          <w:b/>
          <w:color w:val="4F81BD" w:themeColor="accent1"/>
          <w:sz w:val="24"/>
          <w:szCs w:val="24"/>
        </w:rPr>
        <w:t>Time-limited Phase (DORS</w:t>
      </w:r>
      <w:r w:rsidRPr="00594970">
        <w:rPr>
          <w:rFonts w:ascii="Garamond" w:hAnsi="Garamond"/>
          <w:color w:val="4F81BD" w:themeColor="accent1"/>
          <w:sz w:val="24"/>
          <w:szCs w:val="24"/>
        </w:rPr>
        <w:t>)</w:t>
      </w:r>
    </w:p>
    <w:p w14:paraId="485DAB39" w14:textId="20BC4D27" w:rsidR="007A1FDC" w:rsidRPr="004A0C12" w:rsidRDefault="007A1FDC" w:rsidP="00D00E7E">
      <w:pPr>
        <w:shd w:val="clear" w:color="auto" w:fill="FFFFFF"/>
        <w:spacing w:before="90" w:after="0" w:line="240" w:lineRule="auto"/>
        <w:contextualSpacing/>
        <w:jc w:val="both"/>
        <w:rPr>
          <w:rFonts w:ascii="Garamond" w:hAnsi="Garamond"/>
        </w:rPr>
      </w:pPr>
      <w:r w:rsidRPr="004A0C12">
        <w:rPr>
          <w:rFonts w:ascii="Garamond" w:hAnsi="Garamond"/>
        </w:rPr>
        <w:t>Supported employment services are provided by DORS for a period not to exceed 24 months, unless under special circumstances the eligible individual and the rehabilitation counselor jointly agree to extend the time in order to achieve the rehabilitation objectives identified in the Individualized Plan for</w:t>
      </w:r>
      <w:r w:rsidR="00D00E7E" w:rsidRPr="004A0C12">
        <w:rPr>
          <w:rFonts w:ascii="Garamond" w:hAnsi="Garamond"/>
        </w:rPr>
        <w:t xml:space="preserve"> Employment. </w:t>
      </w:r>
      <w:r w:rsidRPr="004A0C12">
        <w:rPr>
          <w:rFonts w:ascii="Garamond" w:hAnsi="Garamond"/>
        </w:rPr>
        <w:t xml:space="preserve">Services must occur at least twice monthly to assess the employment situation at the job site; at the request of the consumer, </w:t>
      </w:r>
      <w:r w:rsidR="00D00E7E" w:rsidRPr="004A0C12">
        <w:rPr>
          <w:rFonts w:ascii="Garamond" w:hAnsi="Garamond"/>
        </w:rPr>
        <w:t xml:space="preserve">they may be conducted off-site. </w:t>
      </w:r>
      <w:r w:rsidRPr="004A0C12">
        <w:rPr>
          <w:rFonts w:ascii="Garamond" w:hAnsi="Garamond"/>
        </w:rPr>
        <w:t>Service providers coordinate and provide intensive services, at or away from the job site, that are needed to maintain employment stability.</w:t>
      </w:r>
      <w:r w:rsidR="00D00E7E" w:rsidRPr="004A0C12">
        <w:rPr>
          <w:rFonts w:ascii="Garamond" w:hAnsi="Garamond"/>
        </w:rPr>
        <w:t xml:space="preserve"> </w:t>
      </w:r>
      <w:r w:rsidRPr="004A0C12">
        <w:rPr>
          <w:rFonts w:ascii="Garamond" w:hAnsi="Garamond"/>
        </w:rPr>
        <w:t>Following transition, these services are only provided by DORS as post-employment services that are unavailable from an extended services provider and that are necessary to maintain or regain the job placement or advance in employment.</w:t>
      </w:r>
    </w:p>
    <w:p w14:paraId="3EDA87A9" w14:textId="77777777" w:rsidR="00902C29" w:rsidRPr="004A0C12" w:rsidRDefault="00902C29" w:rsidP="00D00E7E">
      <w:pPr>
        <w:shd w:val="clear" w:color="auto" w:fill="FFFFFF"/>
        <w:spacing w:before="90" w:after="0" w:line="240" w:lineRule="auto"/>
        <w:contextualSpacing/>
        <w:jc w:val="both"/>
        <w:rPr>
          <w:rFonts w:ascii="Garamond" w:hAnsi="Garamond"/>
        </w:rPr>
      </w:pPr>
    </w:p>
    <w:p w14:paraId="2D8C17E5" w14:textId="78ED877C" w:rsidR="007A1FDC" w:rsidRPr="00594970" w:rsidRDefault="007A1FDC" w:rsidP="00D00E7E">
      <w:pPr>
        <w:shd w:val="clear" w:color="auto" w:fill="FFFFFF"/>
        <w:spacing w:before="90" w:after="0" w:line="240" w:lineRule="auto"/>
        <w:contextualSpacing/>
        <w:jc w:val="both"/>
        <w:rPr>
          <w:rFonts w:ascii="Garamond" w:hAnsi="Garamond"/>
          <w:b/>
          <w:color w:val="4F81BD" w:themeColor="accent1"/>
          <w:sz w:val="24"/>
          <w:szCs w:val="24"/>
        </w:rPr>
      </w:pPr>
      <w:r w:rsidRPr="00594970">
        <w:rPr>
          <w:rFonts w:ascii="Garamond" w:hAnsi="Garamond"/>
          <w:b/>
          <w:color w:val="4F81BD" w:themeColor="accent1"/>
          <w:sz w:val="24"/>
          <w:szCs w:val="24"/>
        </w:rPr>
        <w:t>Extended Phase (Extended Service Provider)</w:t>
      </w:r>
    </w:p>
    <w:p w14:paraId="0037D2F0" w14:textId="27CE55BD" w:rsidR="007A1FDC" w:rsidRPr="004A0C12" w:rsidRDefault="007A1FDC" w:rsidP="003474C4">
      <w:pPr>
        <w:shd w:val="clear" w:color="auto" w:fill="FFFFFF"/>
        <w:spacing w:before="90" w:after="0" w:line="240" w:lineRule="auto"/>
        <w:contextualSpacing/>
        <w:jc w:val="both"/>
        <w:rPr>
          <w:rFonts w:ascii="Garamond" w:hAnsi="Garamond"/>
        </w:rPr>
      </w:pPr>
      <w:r w:rsidRPr="004A0C12">
        <w:rPr>
          <w:rFonts w:ascii="Garamond" w:hAnsi="Garamond"/>
        </w:rPr>
        <w:t>Transition to extended services occur</w:t>
      </w:r>
      <w:r w:rsidR="00CF391B" w:rsidRPr="004A0C12">
        <w:rPr>
          <w:rFonts w:ascii="Garamond" w:hAnsi="Garamond"/>
        </w:rPr>
        <w:t>s when all objectives on the Individualized Plan for Employment</w:t>
      </w:r>
      <w:r w:rsidRPr="004A0C12">
        <w:rPr>
          <w:rFonts w:ascii="Garamond" w:hAnsi="Garamond"/>
        </w:rPr>
        <w:t xml:space="preserve"> </w:t>
      </w:r>
      <w:r w:rsidR="00CF391B" w:rsidRPr="004A0C12">
        <w:rPr>
          <w:rFonts w:ascii="Garamond" w:hAnsi="Garamond"/>
        </w:rPr>
        <w:t>and any</w:t>
      </w:r>
      <w:r w:rsidRPr="004A0C12">
        <w:rPr>
          <w:rFonts w:ascii="Garamond" w:hAnsi="Garamond"/>
        </w:rPr>
        <w:t xml:space="preserve"> amendments</w:t>
      </w:r>
      <w:r w:rsidR="00CF391B" w:rsidRPr="004A0C12">
        <w:rPr>
          <w:rFonts w:ascii="Garamond" w:hAnsi="Garamond"/>
        </w:rPr>
        <w:t xml:space="preserve"> to the plan</w:t>
      </w:r>
      <w:r w:rsidRPr="004A0C12">
        <w:rPr>
          <w:rFonts w:ascii="Garamond" w:hAnsi="Garamond"/>
        </w:rPr>
        <w:t xml:space="preserve"> have been met, and the need for support has been reduced or faded to app</w:t>
      </w:r>
      <w:r w:rsidR="00D00E7E" w:rsidRPr="004A0C12">
        <w:rPr>
          <w:rFonts w:ascii="Garamond" w:hAnsi="Garamond"/>
        </w:rPr>
        <w:t xml:space="preserve">roximately 25 percent or less. </w:t>
      </w:r>
      <w:r w:rsidRPr="004A0C12">
        <w:rPr>
          <w:rFonts w:ascii="Garamond" w:hAnsi="Garamond"/>
        </w:rPr>
        <w:t xml:space="preserve">This will occur </w:t>
      </w:r>
      <w:r w:rsidRPr="004A0C12">
        <w:rPr>
          <w:rFonts w:ascii="Garamond" w:hAnsi="Garamond"/>
        </w:rPr>
        <w:lastRenderedPageBreak/>
        <w:t>on an individual and mutually agreed upon basis between the rehabilitation counselor, the consumer</w:t>
      </w:r>
      <w:r w:rsidR="00D00E7E" w:rsidRPr="004A0C12">
        <w:rPr>
          <w:rFonts w:ascii="Garamond" w:hAnsi="Garamond"/>
        </w:rPr>
        <w:t xml:space="preserve">, and the provider. </w:t>
      </w:r>
      <w:r w:rsidRPr="004A0C12">
        <w:rPr>
          <w:rFonts w:ascii="Garamond" w:hAnsi="Garamond"/>
        </w:rPr>
        <w:t>In the extended phase, ongoing support services and other appropriate services are defined as extended services. The provision of extended services in supported employment is made possible with cooperative agreem</w:t>
      </w:r>
      <w:r w:rsidR="003474C4" w:rsidRPr="004A0C12">
        <w:rPr>
          <w:rFonts w:ascii="Garamond" w:hAnsi="Garamond"/>
        </w:rPr>
        <w:t>ents. Extended services include a</w:t>
      </w:r>
      <w:r w:rsidRPr="004A0C12">
        <w:rPr>
          <w:rFonts w:ascii="Garamond" w:hAnsi="Garamond"/>
        </w:rPr>
        <w:t>ny service(s) needed for an individual to maintain integrated, competitive employment after the individual has transitioned from time-l</w:t>
      </w:r>
      <w:r w:rsidR="003474C4" w:rsidRPr="004A0C12">
        <w:rPr>
          <w:rFonts w:ascii="Garamond" w:hAnsi="Garamond"/>
        </w:rPr>
        <w:t xml:space="preserve">imited support provided by DORS. </w:t>
      </w:r>
      <w:r w:rsidRPr="004A0C12">
        <w:rPr>
          <w:rFonts w:ascii="Garamond" w:hAnsi="Garamond"/>
        </w:rPr>
        <w:t>Such services are based on the needs of an eligible i</w:t>
      </w:r>
      <w:r w:rsidR="00CF391B" w:rsidRPr="004A0C12">
        <w:rPr>
          <w:rFonts w:ascii="Garamond" w:hAnsi="Garamond"/>
        </w:rPr>
        <w:t>ndividual as specified in an Individualized Plan for Employment</w:t>
      </w:r>
      <w:r w:rsidRPr="004A0C12">
        <w:rPr>
          <w:rFonts w:ascii="Garamond" w:hAnsi="Garamond"/>
        </w:rPr>
        <w:t>, which includes a statement of the source of the extended services.</w:t>
      </w:r>
    </w:p>
    <w:p w14:paraId="47049760" w14:textId="77777777" w:rsidR="00431254" w:rsidRPr="004A0C12" w:rsidRDefault="00431254" w:rsidP="003474C4">
      <w:pPr>
        <w:shd w:val="clear" w:color="auto" w:fill="FFFFFF"/>
        <w:spacing w:before="90" w:after="0" w:line="240" w:lineRule="auto"/>
        <w:contextualSpacing/>
        <w:jc w:val="both"/>
        <w:rPr>
          <w:rFonts w:ascii="Garamond" w:hAnsi="Garamond"/>
        </w:rPr>
      </w:pPr>
    </w:p>
    <w:p w14:paraId="16302667" w14:textId="77777777" w:rsidR="007A1FDC" w:rsidRPr="00594970" w:rsidRDefault="007A1FDC" w:rsidP="003474C4">
      <w:pPr>
        <w:shd w:val="clear" w:color="auto" w:fill="FFFFFF"/>
        <w:spacing w:before="90" w:after="0" w:line="240" w:lineRule="auto"/>
        <w:contextualSpacing/>
        <w:jc w:val="both"/>
        <w:rPr>
          <w:rFonts w:ascii="Garamond" w:hAnsi="Garamond"/>
          <w:b/>
          <w:color w:val="4F81BD" w:themeColor="accent1"/>
          <w:sz w:val="24"/>
          <w:szCs w:val="24"/>
        </w:rPr>
      </w:pPr>
      <w:r w:rsidRPr="00594970">
        <w:rPr>
          <w:rFonts w:ascii="Garamond" w:hAnsi="Garamond"/>
          <w:b/>
          <w:color w:val="4F81BD" w:themeColor="accent1"/>
          <w:sz w:val="24"/>
          <w:szCs w:val="24"/>
        </w:rPr>
        <w:t>Funding</w:t>
      </w:r>
    </w:p>
    <w:p w14:paraId="503DFFCE" w14:textId="29ED3B29" w:rsidR="007A1FDC" w:rsidRPr="004A0C12" w:rsidRDefault="007A1FDC" w:rsidP="003474C4">
      <w:pPr>
        <w:shd w:val="clear" w:color="auto" w:fill="FFFFFF"/>
        <w:spacing w:before="90" w:after="0" w:line="240" w:lineRule="auto"/>
        <w:contextualSpacing/>
        <w:jc w:val="both"/>
        <w:rPr>
          <w:rFonts w:ascii="Garamond" w:hAnsi="Garamond"/>
        </w:rPr>
      </w:pPr>
      <w:r w:rsidRPr="004A0C12">
        <w:rPr>
          <w:rFonts w:ascii="Garamond" w:hAnsi="Garamond"/>
        </w:rPr>
        <w:t>The supported employment services</w:t>
      </w:r>
      <w:r w:rsidR="003474C4" w:rsidRPr="004A0C12">
        <w:rPr>
          <w:rFonts w:ascii="Garamond" w:hAnsi="Garamond"/>
        </w:rPr>
        <w:t>,</w:t>
      </w:r>
      <w:r w:rsidRPr="004A0C12">
        <w:rPr>
          <w:rFonts w:ascii="Garamond" w:hAnsi="Garamond"/>
        </w:rPr>
        <w:t xml:space="preserve"> made possible by the anticipated State allotment</w:t>
      </w:r>
      <w:r w:rsidR="003474C4" w:rsidRPr="004A0C12">
        <w:rPr>
          <w:rFonts w:ascii="Garamond" w:hAnsi="Garamond"/>
        </w:rPr>
        <w:t>,</w:t>
      </w:r>
      <w:r w:rsidRPr="004A0C12">
        <w:rPr>
          <w:rFonts w:ascii="Garamond" w:hAnsi="Garamond"/>
        </w:rPr>
        <w:t xml:space="preserve"> means that hundreds of individuals with the most significant disabilities will have an opportun</w:t>
      </w:r>
      <w:r w:rsidR="003474C4" w:rsidRPr="004A0C12">
        <w:rPr>
          <w:rFonts w:ascii="Garamond" w:hAnsi="Garamond"/>
        </w:rPr>
        <w:t xml:space="preserve">ity for competitive employment. </w:t>
      </w:r>
      <w:r w:rsidRPr="004A0C12">
        <w:rPr>
          <w:rFonts w:ascii="Garamond" w:hAnsi="Garamond"/>
        </w:rPr>
        <w:t xml:space="preserve">An allotment of funds to provide supported employment services will be met with similar increases in other agencies’ ongoing funds to maintain supported employment services when the </w:t>
      </w:r>
      <w:r w:rsidR="003474C4" w:rsidRPr="004A0C12">
        <w:rPr>
          <w:rFonts w:ascii="Garamond" w:hAnsi="Garamond"/>
        </w:rPr>
        <w:t>DORS</w:t>
      </w:r>
      <w:r w:rsidRPr="004A0C12">
        <w:rPr>
          <w:rFonts w:ascii="Garamond" w:hAnsi="Garamond"/>
        </w:rPr>
        <w:t xml:space="preserve"> time-limited services are completed.</w:t>
      </w:r>
    </w:p>
    <w:p w14:paraId="758B5920" w14:textId="77777777" w:rsidR="007A1FDC" w:rsidRPr="004A0C12" w:rsidRDefault="007A1FDC" w:rsidP="003474C4">
      <w:pPr>
        <w:shd w:val="clear" w:color="auto" w:fill="FFFFFF"/>
        <w:spacing w:before="90" w:after="0" w:line="240" w:lineRule="auto"/>
        <w:contextualSpacing/>
        <w:jc w:val="both"/>
        <w:rPr>
          <w:rFonts w:ascii="Garamond" w:hAnsi="Garamond"/>
        </w:rPr>
      </w:pPr>
    </w:p>
    <w:p w14:paraId="7DE711EA" w14:textId="77777777" w:rsidR="007A1FDC" w:rsidRPr="00594970" w:rsidRDefault="007A1FDC" w:rsidP="003474C4">
      <w:pPr>
        <w:shd w:val="clear" w:color="auto" w:fill="FFFFFF"/>
        <w:spacing w:before="90" w:after="0" w:line="240" w:lineRule="auto"/>
        <w:contextualSpacing/>
        <w:jc w:val="both"/>
        <w:rPr>
          <w:rFonts w:ascii="Garamond" w:hAnsi="Garamond"/>
          <w:b/>
          <w:color w:val="4F81BD" w:themeColor="accent1"/>
          <w:sz w:val="24"/>
          <w:szCs w:val="24"/>
        </w:rPr>
      </w:pPr>
      <w:r w:rsidRPr="00594970">
        <w:rPr>
          <w:rFonts w:ascii="Garamond" w:hAnsi="Garamond"/>
          <w:b/>
          <w:color w:val="4F81BD" w:themeColor="accent1"/>
          <w:sz w:val="24"/>
          <w:szCs w:val="24"/>
        </w:rPr>
        <w:t>Evidence-based Supported Employment</w:t>
      </w:r>
    </w:p>
    <w:p w14:paraId="24A7306D" w14:textId="3F428B90" w:rsidR="007A1FDC" w:rsidRPr="004A0C12" w:rsidRDefault="007A1FDC" w:rsidP="003474C4">
      <w:pPr>
        <w:shd w:val="clear" w:color="auto" w:fill="FFFFFF"/>
        <w:spacing w:before="90" w:after="0" w:line="240" w:lineRule="auto"/>
        <w:contextualSpacing/>
        <w:jc w:val="both"/>
        <w:rPr>
          <w:rFonts w:ascii="Garamond" w:hAnsi="Garamond"/>
        </w:rPr>
      </w:pPr>
      <w:r w:rsidRPr="004A0C12">
        <w:rPr>
          <w:rFonts w:ascii="Garamond" w:hAnsi="Garamond"/>
        </w:rPr>
        <w:t>DORS has a strong partnership with Maryland’s mental health system related to Evidence-based Practice</w:t>
      </w:r>
      <w:r w:rsidR="003474C4" w:rsidRPr="004A0C12">
        <w:rPr>
          <w:rFonts w:ascii="Garamond" w:hAnsi="Garamond"/>
        </w:rPr>
        <w:t xml:space="preserve"> in Supported Employment</w:t>
      </w:r>
      <w:r w:rsidRPr="004A0C12">
        <w:rPr>
          <w:rFonts w:ascii="Garamond" w:hAnsi="Garamond"/>
        </w:rPr>
        <w:t xml:space="preserve">. This is based on overwhelming evidence that supported employment is the most effective route to competitive employment for consumers </w:t>
      </w:r>
      <w:r w:rsidR="003474C4" w:rsidRPr="004A0C12">
        <w:rPr>
          <w:rFonts w:ascii="Garamond" w:hAnsi="Garamond"/>
        </w:rPr>
        <w:t xml:space="preserve">with severe mental illness. The </w:t>
      </w:r>
      <w:r w:rsidRPr="004A0C12">
        <w:rPr>
          <w:rFonts w:ascii="Garamond" w:hAnsi="Garamond"/>
        </w:rPr>
        <w:t>partnership is character</w:t>
      </w:r>
      <w:r w:rsidR="003474C4" w:rsidRPr="004A0C12">
        <w:rPr>
          <w:rFonts w:ascii="Garamond" w:hAnsi="Garamond"/>
        </w:rPr>
        <w:t>ized by streamlined access to Vocational Rehabilitation</w:t>
      </w:r>
      <w:r w:rsidRPr="004A0C12">
        <w:rPr>
          <w:rFonts w:ascii="Garamond" w:hAnsi="Garamond"/>
        </w:rPr>
        <w:t xml:space="preserve"> ser</w:t>
      </w:r>
      <w:r w:rsidR="003474C4" w:rsidRPr="004A0C12">
        <w:rPr>
          <w:rFonts w:ascii="Garamond" w:hAnsi="Garamond"/>
        </w:rPr>
        <w:t>vices through guest access of Vocational Rehabilitation</w:t>
      </w:r>
      <w:r w:rsidRPr="004A0C12">
        <w:rPr>
          <w:rFonts w:ascii="Garamond" w:hAnsi="Garamond"/>
        </w:rPr>
        <w:t xml:space="preserve"> counselors into the Behavioral Health Administration’s, Administrative Service Organization’s case management system; p</w:t>
      </w:r>
      <w:r w:rsidR="003474C4" w:rsidRPr="004A0C12">
        <w:rPr>
          <w:rFonts w:ascii="Garamond" w:hAnsi="Garamond"/>
        </w:rPr>
        <w:t>resumption of eligibility for Vocational Rehabilitation</w:t>
      </w:r>
      <w:r w:rsidRPr="004A0C12">
        <w:rPr>
          <w:rFonts w:ascii="Garamond" w:hAnsi="Garamond"/>
        </w:rPr>
        <w:t xml:space="preserve"> services for individuals determined eligible for Supported Employment through the Behavioral Health Administration; and </w:t>
      </w:r>
      <w:r w:rsidR="003474C4" w:rsidRPr="004A0C12">
        <w:rPr>
          <w:rFonts w:ascii="Garamond" w:hAnsi="Garamond"/>
        </w:rPr>
        <w:t>adherence to principles of Evidence-based Practice in Supported Employment</w:t>
      </w:r>
      <w:r w:rsidRPr="004A0C12">
        <w:rPr>
          <w:rFonts w:ascii="Garamond" w:hAnsi="Garamond"/>
        </w:rPr>
        <w:t>. These principles include:</w:t>
      </w:r>
    </w:p>
    <w:p w14:paraId="3CF98729" w14:textId="77777777" w:rsidR="007A1FDC" w:rsidRPr="004A0C12" w:rsidRDefault="007A1FDC" w:rsidP="003474C4">
      <w:pPr>
        <w:shd w:val="clear" w:color="auto" w:fill="FFFFFF"/>
        <w:spacing w:before="90" w:after="0" w:line="240" w:lineRule="auto"/>
        <w:contextualSpacing/>
        <w:jc w:val="both"/>
        <w:rPr>
          <w:rFonts w:ascii="Garamond" w:hAnsi="Garamond"/>
        </w:rPr>
      </w:pPr>
    </w:p>
    <w:p w14:paraId="0D7F85A8" w14:textId="75E6344B" w:rsidR="003474C4" w:rsidRPr="004A0C12" w:rsidRDefault="007A1FDC" w:rsidP="00232F09">
      <w:pPr>
        <w:pStyle w:val="ListParagraph"/>
        <w:numPr>
          <w:ilvl w:val="0"/>
          <w:numId w:val="272"/>
        </w:numPr>
        <w:shd w:val="clear" w:color="auto" w:fill="FFFFFF"/>
        <w:spacing w:before="90"/>
        <w:contextualSpacing/>
        <w:jc w:val="both"/>
        <w:rPr>
          <w:rFonts w:ascii="Garamond" w:hAnsi="Garamond"/>
          <w:szCs w:val="22"/>
        </w:rPr>
      </w:pPr>
      <w:r w:rsidRPr="004A0C12">
        <w:rPr>
          <w:rFonts w:ascii="Garamond" w:hAnsi="Garamond"/>
          <w:szCs w:val="22"/>
        </w:rPr>
        <w:t xml:space="preserve">Competitive employment </w:t>
      </w:r>
      <w:r w:rsidR="003474C4" w:rsidRPr="004A0C12">
        <w:rPr>
          <w:rFonts w:ascii="Garamond" w:hAnsi="Garamond"/>
          <w:szCs w:val="22"/>
        </w:rPr>
        <w:t>is the goal;</w:t>
      </w:r>
    </w:p>
    <w:p w14:paraId="03873AAA" w14:textId="53444860" w:rsidR="003474C4" w:rsidRPr="004A0C12" w:rsidRDefault="00CF391B" w:rsidP="00232F09">
      <w:pPr>
        <w:pStyle w:val="ListParagraph"/>
        <w:numPr>
          <w:ilvl w:val="0"/>
          <w:numId w:val="272"/>
        </w:numPr>
        <w:shd w:val="clear" w:color="auto" w:fill="FFFFFF"/>
        <w:spacing w:before="90"/>
        <w:contextualSpacing/>
        <w:jc w:val="both"/>
        <w:rPr>
          <w:rFonts w:ascii="Garamond" w:hAnsi="Garamond"/>
          <w:szCs w:val="22"/>
        </w:rPr>
      </w:pPr>
      <w:r w:rsidRPr="004A0C12">
        <w:rPr>
          <w:rFonts w:ascii="Garamond" w:hAnsi="Garamond"/>
          <w:szCs w:val="22"/>
        </w:rPr>
        <w:t>Eligibility for Evidence-Based Practice</w:t>
      </w:r>
      <w:r w:rsidR="007A1FDC" w:rsidRPr="004A0C12">
        <w:rPr>
          <w:rFonts w:ascii="Garamond" w:hAnsi="Garamond"/>
          <w:szCs w:val="22"/>
        </w:rPr>
        <w:t xml:space="preserve"> is based on consumer choice. Consumers are considered work ready </w:t>
      </w:r>
      <w:r w:rsidR="003474C4" w:rsidRPr="004A0C12">
        <w:rPr>
          <w:rFonts w:ascii="Garamond" w:hAnsi="Garamond"/>
          <w:szCs w:val="22"/>
        </w:rPr>
        <w:t>when they say they want to work;</w:t>
      </w:r>
    </w:p>
    <w:p w14:paraId="0AF59532" w14:textId="77777777" w:rsidR="003474C4" w:rsidRPr="004A0C12" w:rsidRDefault="003474C4" w:rsidP="00232F09">
      <w:pPr>
        <w:pStyle w:val="ListParagraph"/>
        <w:numPr>
          <w:ilvl w:val="0"/>
          <w:numId w:val="272"/>
        </w:numPr>
        <w:shd w:val="clear" w:color="auto" w:fill="FFFFFF"/>
        <w:spacing w:before="90"/>
        <w:contextualSpacing/>
        <w:jc w:val="both"/>
        <w:rPr>
          <w:rFonts w:ascii="Garamond" w:hAnsi="Garamond"/>
          <w:szCs w:val="22"/>
        </w:rPr>
      </w:pPr>
      <w:r w:rsidRPr="004A0C12">
        <w:rPr>
          <w:rFonts w:ascii="Garamond" w:hAnsi="Garamond"/>
          <w:szCs w:val="22"/>
        </w:rPr>
        <w:t>J</w:t>
      </w:r>
      <w:r w:rsidR="007A1FDC" w:rsidRPr="004A0C12">
        <w:rPr>
          <w:rFonts w:ascii="Garamond" w:hAnsi="Garamond"/>
          <w:szCs w:val="22"/>
        </w:rPr>
        <w:t>ob search starts soon after a consume</w:t>
      </w:r>
      <w:r w:rsidRPr="004A0C12">
        <w:rPr>
          <w:rFonts w:ascii="Garamond" w:hAnsi="Garamond"/>
          <w:szCs w:val="22"/>
        </w:rPr>
        <w:t>r expresses interest in working;</w:t>
      </w:r>
    </w:p>
    <w:p w14:paraId="63F9764F" w14:textId="77777777" w:rsidR="003474C4" w:rsidRPr="004A0C12" w:rsidRDefault="007A1FDC" w:rsidP="00232F09">
      <w:pPr>
        <w:pStyle w:val="ListParagraph"/>
        <w:numPr>
          <w:ilvl w:val="0"/>
          <w:numId w:val="272"/>
        </w:numPr>
        <w:shd w:val="clear" w:color="auto" w:fill="FFFFFF"/>
        <w:spacing w:before="90"/>
        <w:contextualSpacing/>
        <w:jc w:val="both"/>
        <w:rPr>
          <w:rFonts w:ascii="Garamond" w:hAnsi="Garamond"/>
          <w:szCs w:val="22"/>
        </w:rPr>
      </w:pPr>
      <w:r w:rsidRPr="004A0C12">
        <w:rPr>
          <w:rFonts w:ascii="Garamond" w:hAnsi="Garamond"/>
          <w:szCs w:val="22"/>
        </w:rPr>
        <w:t>Supported employment is integrated with treatment. Employment specialists have frequent meetings with the treatment team to integrate supported employment with mental health treatment. (DORS staff participation is critical to success.)</w:t>
      </w:r>
      <w:r w:rsidR="003474C4" w:rsidRPr="004A0C12">
        <w:rPr>
          <w:rFonts w:ascii="Garamond" w:hAnsi="Garamond"/>
          <w:szCs w:val="22"/>
        </w:rPr>
        <w:t>;</w:t>
      </w:r>
    </w:p>
    <w:p w14:paraId="3E0238BD" w14:textId="77777777" w:rsidR="003474C4" w:rsidRPr="004A0C12" w:rsidRDefault="007A1FDC" w:rsidP="00232F09">
      <w:pPr>
        <w:pStyle w:val="ListParagraph"/>
        <w:numPr>
          <w:ilvl w:val="0"/>
          <w:numId w:val="272"/>
        </w:numPr>
        <w:shd w:val="clear" w:color="auto" w:fill="FFFFFF"/>
        <w:spacing w:before="90"/>
        <w:contextualSpacing/>
        <w:jc w:val="both"/>
        <w:rPr>
          <w:rFonts w:ascii="Garamond" w:hAnsi="Garamond"/>
          <w:szCs w:val="22"/>
        </w:rPr>
      </w:pPr>
      <w:r w:rsidRPr="004A0C12">
        <w:rPr>
          <w:rFonts w:ascii="Garamond" w:hAnsi="Garamond"/>
          <w:szCs w:val="22"/>
        </w:rPr>
        <w:t>Follow-along supports are continuous. Employment supports are never terminated unless th</w:t>
      </w:r>
      <w:r w:rsidR="003474C4" w:rsidRPr="004A0C12">
        <w:rPr>
          <w:rFonts w:ascii="Garamond" w:hAnsi="Garamond"/>
          <w:szCs w:val="22"/>
        </w:rPr>
        <w:t>e consumer directly requests it;</w:t>
      </w:r>
    </w:p>
    <w:p w14:paraId="158A5E0C" w14:textId="77777777" w:rsidR="003474C4" w:rsidRPr="004A0C12" w:rsidRDefault="007A1FDC" w:rsidP="00232F09">
      <w:pPr>
        <w:pStyle w:val="ListParagraph"/>
        <w:numPr>
          <w:ilvl w:val="0"/>
          <w:numId w:val="272"/>
        </w:numPr>
        <w:shd w:val="clear" w:color="auto" w:fill="FFFFFF"/>
        <w:spacing w:before="90"/>
        <w:contextualSpacing/>
        <w:jc w:val="both"/>
        <w:rPr>
          <w:rFonts w:ascii="Garamond" w:hAnsi="Garamond"/>
          <w:szCs w:val="22"/>
        </w:rPr>
      </w:pPr>
      <w:r w:rsidRPr="004A0C12">
        <w:rPr>
          <w:rFonts w:ascii="Garamond" w:hAnsi="Garamond"/>
          <w:szCs w:val="22"/>
        </w:rPr>
        <w:t>Consumer preferences are important. Consumer preference plays a key role in determining the type of job that is sought, the nature of supports provided, and the decis</w:t>
      </w:r>
      <w:r w:rsidR="003474C4" w:rsidRPr="004A0C12">
        <w:rPr>
          <w:rFonts w:ascii="Garamond" w:hAnsi="Garamond"/>
          <w:szCs w:val="22"/>
        </w:rPr>
        <w:t>ion about disability disclosure;</w:t>
      </w:r>
    </w:p>
    <w:p w14:paraId="2ED1602A" w14:textId="6123F2D3" w:rsidR="003474C4" w:rsidRPr="004A0C12" w:rsidRDefault="007A1FDC" w:rsidP="00232F09">
      <w:pPr>
        <w:pStyle w:val="ListParagraph"/>
        <w:numPr>
          <w:ilvl w:val="0"/>
          <w:numId w:val="272"/>
        </w:numPr>
        <w:shd w:val="clear" w:color="auto" w:fill="FFFFFF"/>
        <w:spacing w:before="90"/>
        <w:contextualSpacing/>
        <w:jc w:val="both"/>
        <w:rPr>
          <w:rFonts w:ascii="Garamond" w:hAnsi="Garamond"/>
          <w:szCs w:val="22"/>
        </w:rPr>
      </w:pPr>
      <w:r w:rsidRPr="004A0C12">
        <w:rPr>
          <w:rFonts w:ascii="Garamond" w:hAnsi="Garamond"/>
          <w:szCs w:val="22"/>
        </w:rPr>
        <w:t>Employment specialists practice systematic job development, based on consum</w:t>
      </w:r>
      <w:r w:rsidR="003474C4" w:rsidRPr="004A0C12">
        <w:rPr>
          <w:rFonts w:ascii="Garamond" w:hAnsi="Garamond"/>
          <w:szCs w:val="22"/>
        </w:rPr>
        <w:t>er work preferences and face-to-</w:t>
      </w:r>
      <w:r w:rsidRPr="004A0C12">
        <w:rPr>
          <w:rFonts w:ascii="Garamond" w:hAnsi="Garamond"/>
          <w:szCs w:val="22"/>
        </w:rPr>
        <w:t>face meetings with consumers, and gather information about job opportunities and assess whether they may be a good job fit for an individual. Employment specialists cont</w:t>
      </w:r>
      <w:r w:rsidR="00CF391B" w:rsidRPr="004A0C12">
        <w:rPr>
          <w:rFonts w:ascii="Garamond" w:hAnsi="Garamond"/>
          <w:szCs w:val="22"/>
        </w:rPr>
        <w:t xml:space="preserve">inue to make periodic visits to </w:t>
      </w:r>
      <w:r w:rsidRPr="004A0C12">
        <w:rPr>
          <w:rFonts w:ascii="Garamond" w:hAnsi="Garamond"/>
          <w:szCs w:val="22"/>
        </w:rPr>
        <w:t>promote networkin</w:t>
      </w:r>
      <w:r w:rsidR="003474C4" w:rsidRPr="004A0C12">
        <w:rPr>
          <w:rFonts w:ascii="Garamond" w:hAnsi="Garamond"/>
          <w:szCs w:val="22"/>
        </w:rPr>
        <w:t xml:space="preserve">g and achievement of employment; and, </w:t>
      </w:r>
    </w:p>
    <w:p w14:paraId="70F879EA" w14:textId="0AC5EB62" w:rsidR="003474C4" w:rsidRPr="004A0C12" w:rsidRDefault="007A1FDC" w:rsidP="00232F09">
      <w:pPr>
        <w:pStyle w:val="ListParagraph"/>
        <w:numPr>
          <w:ilvl w:val="0"/>
          <w:numId w:val="272"/>
        </w:numPr>
        <w:shd w:val="clear" w:color="auto" w:fill="FFFFFF"/>
        <w:spacing w:before="90"/>
        <w:contextualSpacing/>
        <w:jc w:val="both"/>
        <w:rPr>
          <w:rFonts w:ascii="Garamond" w:hAnsi="Garamond"/>
          <w:szCs w:val="22"/>
        </w:rPr>
      </w:pPr>
      <w:r w:rsidRPr="004A0C12">
        <w:rPr>
          <w:rFonts w:ascii="Garamond" w:hAnsi="Garamond"/>
          <w:szCs w:val="22"/>
        </w:rPr>
        <w:t>Personalized benefits planning is provided.</w:t>
      </w:r>
    </w:p>
    <w:p w14:paraId="611ACC71" w14:textId="609338C2" w:rsidR="006949CD" w:rsidRPr="004A0C12" w:rsidRDefault="007A1FDC" w:rsidP="003474C4">
      <w:pPr>
        <w:shd w:val="clear" w:color="auto" w:fill="FFFFFF"/>
        <w:spacing w:before="90" w:after="0" w:line="240" w:lineRule="auto"/>
        <w:contextualSpacing/>
        <w:jc w:val="both"/>
        <w:rPr>
          <w:rFonts w:ascii="Garamond" w:hAnsi="Garamond"/>
        </w:rPr>
      </w:pPr>
      <w:r w:rsidRPr="004A0C12">
        <w:rPr>
          <w:rFonts w:ascii="Garamond" w:hAnsi="Garamond"/>
        </w:rPr>
        <w:t>Evidence Based Prac</w:t>
      </w:r>
      <w:r w:rsidR="003474C4" w:rsidRPr="004A0C12">
        <w:rPr>
          <w:rFonts w:ascii="Garamond" w:hAnsi="Garamond"/>
        </w:rPr>
        <w:t>tices in Supported Employment are</w:t>
      </w:r>
      <w:r w:rsidRPr="004A0C12">
        <w:rPr>
          <w:rFonts w:ascii="Garamond" w:hAnsi="Garamond"/>
        </w:rPr>
        <w:t xml:space="preserve"> funded us</w:t>
      </w:r>
      <w:r w:rsidR="003474C4" w:rsidRPr="004A0C12">
        <w:rPr>
          <w:rFonts w:ascii="Garamond" w:hAnsi="Garamond"/>
        </w:rPr>
        <w:t>ing a braided model in which the Behavioral Health Administration</w:t>
      </w:r>
      <w:r w:rsidRPr="004A0C12">
        <w:rPr>
          <w:rFonts w:ascii="Garamond" w:hAnsi="Garamond"/>
        </w:rPr>
        <w:t xml:space="preserve"> pay</w:t>
      </w:r>
      <w:r w:rsidR="003474C4" w:rsidRPr="004A0C12">
        <w:rPr>
          <w:rFonts w:ascii="Garamond" w:hAnsi="Garamond"/>
        </w:rPr>
        <w:t>s for pre-placement services, Vocational Rehabilitation funds job development, the Behavioral Health Administration funds</w:t>
      </w:r>
      <w:r w:rsidRPr="004A0C12">
        <w:rPr>
          <w:rFonts w:ascii="Garamond" w:hAnsi="Garamond"/>
        </w:rPr>
        <w:t xml:space="preserve"> placement, and V</w:t>
      </w:r>
      <w:r w:rsidR="003474C4" w:rsidRPr="004A0C12">
        <w:rPr>
          <w:rFonts w:ascii="Garamond" w:hAnsi="Garamond"/>
        </w:rPr>
        <w:t>ocational Rehabilitation funds</w:t>
      </w:r>
      <w:r w:rsidRPr="004A0C12">
        <w:rPr>
          <w:rFonts w:ascii="Garamond" w:hAnsi="Garamond"/>
        </w:rPr>
        <w:t xml:space="preserve"> intensive supports at the </w:t>
      </w:r>
      <w:r w:rsidR="003474C4" w:rsidRPr="004A0C12">
        <w:rPr>
          <w:rFonts w:ascii="Garamond" w:hAnsi="Garamond"/>
        </w:rPr>
        <w:t xml:space="preserve">onset of employment. </w:t>
      </w:r>
      <w:r w:rsidRPr="004A0C12">
        <w:rPr>
          <w:rFonts w:ascii="Garamond" w:hAnsi="Garamond"/>
        </w:rPr>
        <w:t>This effectively makes use of both systems</w:t>
      </w:r>
      <w:r w:rsidR="003474C4" w:rsidRPr="004A0C12">
        <w:rPr>
          <w:rFonts w:ascii="Garamond" w:hAnsi="Garamond"/>
        </w:rPr>
        <w:t>’</w:t>
      </w:r>
      <w:r w:rsidRPr="004A0C12">
        <w:rPr>
          <w:rFonts w:ascii="Garamond" w:hAnsi="Garamond"/>
        </w:rPr>
        <w:t xml:space="preserve"> resources</w:t>
      </w:r>
      <w:r w:rsidR="003474C4" w:rsidRPr="004A0C12">
        <w:rPr>
          <w:rFonts w:ascii="Garamond" w:hAnsi="Garamond"/>
        </w:rPr>
        <w:t>,</w:t>
      </w:r>
      <w:r w:rsidRPr="004A0C12">
        <w:rPr>
          <w:rFonts w:ascii="Garamond" w:hAnsi="Garamond"/>
        </w:rPr>
        <w:t xml:space="preserve"> allowing hundreds of consumers to receive Evidence Based Prac</w:t>
      </w:r>
      <w:r w:rsidR="00CC3095" w:rsidRPr="004A0C12">
        <w:rPr>
          <w:rFonts w:ascii="Garamond" w:hAnsi="Garamond"/>
        </w:rPr>
        <w:t xml:space="preserve">tices in Supported Employment. </w:t>
      </w:r>
    </w:p>
    <w:p w14:paraId="5C21F992" w14:textId="77777777" w:rsidR="006949CD" w:rsidRPr="004A0C12" w:rsidRDefault="006949CD" w:rsidP="003474C4">
      <w:pPr>
        <w:shd w:val="clear" w:color="auto" w:fill="FFFFFF"/>
        <w:spacing w:before="90" w:after="0" w:line="240" w:lineRule="auto"/>
        <w:contextualSpacing/>
        <w:jc w:val="both"/>
        <w:rPr>
          <w:rFonts w:ascii="Garamond" w:hAnsi="Garamond"/>
        </w:rPr>
      </w:pPr>
    </w:p>
    <w:p w14:paraId="097D55AD" w14:textId="204145FC" w:rsidR="007A1FDC" w:rsidRPr="00594970" w:rsidRDefault="00CC3095" w:rsidP="003474C4">
      <w:pPr>
        <w:shd w:val="clear" w:color="auto" w:fill="FFFFFF"/>
        <w:spacing w:before="90" w:after="0" w:line="240" w:lineRule="auto"/>
        <w:contextualSpacing/>
        <w:jc w:val="both"/>
        <w:rPr>
          <w:rFonts w:ascii="Garamond" w:hAnsi="Garamond"/>
          <w:b/>
          <w:i/>
          <w:color w:val="4F81BD" w:themeColor="accent1"/>
          <w:sz w:val="24"/>
          <w:szCs w:val="24"/>
        </w:rPr>
      </w:pPr>
      <w:r w:rsidRPr="00594970">
        <w:rPr>
          <w:rFonts w:ascii="Garamond" w:hAnsi="Garamond"/>
          <w:b/>
          <w:i/>
          <w:color w:val="4F81BD" w:themeColor="accent1"/>
          <w:sz w:val="24"/>
          <w:szCs w:val="24"/>
        </w:rPr>
        <w:t>Employment First</w:t>
      </w:r>
    </w:p>
    <w:p w14:paraId="284C903D" w14:textId="20C5CD25" w:rsidR="007A1FDC" w:rsidRPr="004A0C12" w:rsidRDefault="007A1FDC" w:rsidP="003474C4">
      <w:pPr>
        <w:shd w:val="clear" w:color="auto" w:fill="FFFFFF"/>
        <w:spacing w:before="90" w:after="0" w:line="240" w:lineRule="auto"/>
        <w:contextualSpacing/>
        <w:jc w:val="both"/>
        <w:rPr>
          <w:rFonts w:ascii="Garamond" w:hAnsi="Garamond"/>
        </w:rPr>
      </w:pPr>
      <w:r w:rsidRPr="004A0C12">
        <w:rPr>
          <w:rFonts w:ascii="Garamond" w:hAnsi="Garamond"/>
        </w:rPr>
        <w:t>DORS is a partner with other State agencies</w:t>
      </w:r>
      <w:r w:rsidR="003474C4" w:rsidRPr="004A0C12">
        <w:rPr>
          <w:rFonts w:ascii="Garamond" w:hAnsi="Garamond"/>
        </w:rPr>
        <w:t>, including</w:t>
      </w:r>
      <w:r w:rsidRPr="004A0C12">
        <w:rPr>
          <w:rFonts w:ascii="Garamond" w:hAnsi="Garamond"/>
        </w:rPr>
        <w:t xml:space="preserve"> </w:t>
      </w:r>
      <w:r w:rsidR="003474C4" w:rsidRPr="004A0C12">
        <w:rPr>
          <w:rFonts w:ascii="Garamond" w:hAnsi="Garamond"/>
        </w:rPr>
        <w:t xml:space="preserve">WIOA Partner DLLR, </w:t>
      </w:r>
      <w:r w:rsidR="00FF755D" w:rsidRPr="004A0C12">
        <w:rPr>
          <w:rFonts w:ascii="Garamond" w:hAnsi="Garamond"/>
        </w:rPr>
        <w:t>and Community Rehabilitation P</w:t>
      </w:r>
      <w:r w:rsidRPr="004A0C12">
        <w:rPr>
          <w:rFonts w:ascii="Garamond" w:hAnsi="Garamond"/>
        </w:rPr>
        <w:t xml:space="preserve">rograms in implementing </w:t>
      </w:r>
      <w:r w:rsidRPr="004A0C12">
        <w:rPr>
          <w:rFonts w:ascii="Garamond" w:hAnsi="Garamond"/>
          <w:i/>
        </w:rPr>
        <w:t>Employment First</w:t>
      </w:r>
      <w:r w:rsidRPr="004A0C12">
        <w:rPr>
          <w:rFonts w:ascii="Garamond" w:hAnsi="Garamond"/>
        </w:rPr>
        <w:t>, a national effort to assure that all individuals with significant disabilities consider competitive, integrated employment on a preferred bas</w:t>
      </w:r>
      <w:r w:rsidR="003474C4" w:rsidRPr="004A0C12">
        <w:rPr>
          <w:rFonts w:ascii="Garamond" w:hAnsi="Garamond"/>
        </w:rPr>
        <w:t xml:space="preserve">is in planning for their lives. </w:t>
      </w:r>
      <w:r w:rsidRPr="004A0C12">
        <w:rPr>
          <w:rFonts w:ascii="Garamond" w:hAnsi="Garamond"/>
          <w:i/>
        </w:rPr>
        <w:t>Employment First</w:t>
      </w:r>
      <w:r w:rsidRPr="004A0C12">
        <w:rPr>
          <w:rFonts w:ascii="Garamond" w:hAnsi="Garamond"/>
        </w:rPr>
        <w:t xml:space="preserve"> is consistent with </w:t>
      </w:r>
      <w:r w:rsidR="003474C4" w:rsidRPr="004A0C12">
        <w:rPr>
          <w:rFonts w:ascii="Garamond" w:hAnsi="Garamond"/>
        </w:rPr>
        <w:t>DORS’</w:t>
      </w:r>
      <w:r w:rsidRPr="004A0C12">
        <w:rPr>
          <w:rFonts w:ascii="Garamond" w:hAnsi="Garamond"/>
        </w:rPr>
        <w:t xml:space="preserve"> belief that individuals with disabilities, even the most significant disabilities, can work in meaningful positions in integrated settings when provided with </w:t>
      </w:r>
      <w:r w:rsidR="003474C4" w:rsidRPr="004A0C12">
        <w:rPr>
          <w:rFonts w:ascii="Garamond" w:hAnsi="Garamond"/>
        </w:rPr>
        <w:t xml:space="preserve">adequate, appropriate supports. </w:t>
      </w:r>
      <w:r w:rsidRPr="004A0C12">
        <w:rPr>
          <w:rFonts w:ascii="Garamond" w:hAnsi="Garamond"/>
        </w:rPr>
        <w:t xml:space="preserve">Supported employment is appropriate for individuals in </w:t>
      </w:r>
      <w:r w:rsidRPr="004A0C12">
        <w:rPr>
          <w:rFonts w:ascii="Garamond" w:hAnsi="Garamond"/>
          <w:i/>
        </w:rPr>
        <w:t>Employment First</w:t>
      </w:r>
      <w:r w:rsidRPr="004A0C12">
        <w:rPr>
          <w:rFonts w:ascii="Garamond" w:hAnsi="Garamond"/>
        </w:rPr>
        <w:t xml:space="preserve"> and is the </w:t>
      </w:r>
      <w:r w:rsidRPr="004A0C12">
        <w:rPr>
          <w:rFonts w:ascii="Garamond" w:hAnsi="Garamond"/>
        </w:rPr>
        <w:lastRenderedPageBreak/>
        <w:t xml:space="preserve">means to assure the best chance for success in employment. Benefits planning is an important part of services for individuals served through </w:t>
      </w:r>
      <w:r w:rsidRPr="004A0C12">
        <w:rPr>
          <w:rFonts w:ascii="Garamond" w:hAnsi="Garamond"/>
          <w:i/>
        </w:rPr>
        <w:t>Employment First</w:t>
      </w:r>
      <w:r w:rsidRPr="004A0C12">
        <w:rPr>
          <w:rFonts w:ascii="Garamond" w:hAnsi="Garamond"/>
        </w:rPr>
        <w:t>.</w:t>
      </w:r>
    </w:p>
    <w:p w14:paraId="1C463378" w14:textId="44A8C126" w:rsidR="007A1FDC" w:rsidRPr="004A0C12" w:rsidRDefault="007A1FDC" w:rsidP="003474C4">
      <w:pPr>
        <w:shd w:val="clear" w:color="auto" w:fill="FFFFFF"/>
        <w:spacing w:before="90" w:after="0" w:line="240" w:lineRule="auto"/>
        <w:contextualSpacing/>
        <w:jc w:val="both"/>
        <w:rPr>
          <w:rFonts w:ascii="Garamond" w:hAnsi="Garamond"/>
        </w:rPr>
      </w:pPr>
    </w:p>
    <w:p w14:paraId="4C31397A" w14:textId="4744D99E" w:rsidR="007A1FDC" w:rsidRPr="00CD00E3" w:rsidRDefault="007A1FDC" w:rsidP="008D5533">
      <w:pPr>
        <w:widowControl w:val="0"/>
        <w:spacing w:after="0" w:line="240" w:lineRule="auto"/>
        <w:ind w:left="360" w:right="18"/>
        <w:rPr>
          <w:rFonts w:ascii="Garamond" w:hAnsi="Garamond"/>
          <w:color w:val="0E0E0E"/>
        </w:rPr>
      </w:pPr>
      <w:r w:rsidRPr="00CD00E3">
        <w:rPr>
          <w:rFonts w:ascii="Garamond" w:hAnsi="Garamond"/>
          <w:color w:val="0E0E0E"/>
        </w:rPr>
        <w:t>VOCATIONAL</w:t>
      </w:r>
      <w:r w:rsidRPr="00CD00E3">
        <w:rPr>
          <w:rFonts w:ascii="Garamond" w:hAnsi="Garamond"/>
          <w:color w:val="0E0E0E"/>
          <w:spacing w:val="-16"/>
        </w:rPr>
        <w:t xml:space="preserve"> </w:t>
      </w:r>
      <w:r w:rsidRPr="00CD00E3">
        <w:rPr>
          <w:rFonts w:ascii="Garamond" w:hAnsi="Garamond"/>
          <w:color w:val="0E0E0E"/>
        </w:rPr>
        <w:t>REHABILITATION</w:t>
      </w:r>
      <w:r w:rsidRPr="00CD00E3">
        <w:rPr>
          <w:rFonts w:ascii="Garamond" w:hAnsi="Garamond"/>
          <w:color w:val="0E0E0E"/>
          <w:spacing w:val="-3"/>
        </w:rPr>
        <w:t xml:space="preserve"> </w:t>
      </w:r>
      <w:r w:rsidRPr="00CD00E3">
        <w:rPr>
          <w:rFonts w:ascii="Garamond" w:hAnsi="Garamond"/>
          <w:color w:val="0E0E0E"/>
        </w:rPr>
        <w:t>CERTIFICATIONS</w:t>
      </w:r>
      <w:r w:rsidRPr="00CD00E3">
        <w:rPr>
          <w:rFonts w:ascii="Garamond" w:hAnsi="Garamond"/>
          <w:color w:val="0E0E0E"/>
          <w:spacing w:val="-4"/>
        </w:rPr>
        <w:t xml:space="preserve"> </w:t>
      </w:r>
      <w:r w:rsidRPr="00CD00E3">
        <w:rPr>
          <w:rFonts w:ascii="Garamond" w:hAnsi="Garamond"/>
          <w:color w:val="0E0E0E"/>
        </w:rPr>
        <w:t>AND</w:t>
      </w:r>
      <w:r w:rsidR="001E27E7" w:rsidRPr="00CD00E3">
        <w:rPr>
          <w:rFonts w:ascii="Garamond" w:hAnsi="Garamond"/>
          <w:color w:val="0E0E0E"/>
          <w:spacing w:val="-26"/>
        </w:rPr>
        <w:t xml:space="preserve"> </w:t>
      </w:r>
      <w:r w:rsidRPr="00CD00E3">
        <w:rPr>
          <w:rFonts w:ascii="Garamond" w:hAnsi="Garamond"/>
          <w:color w:val="0E0E0E"/>
        </w:rPr>
        <w:t>ASSURANCES CERTIFICATIONS</w:t>
      </w:r>
    </w:p>
    <w:p w14:paraId="534C46F0" w14:textId="77777777" w:rsidR="00536320" w:rsidRPr="008D5533" w:rsidRDefault="00536320" w:rsidP="007A1FDC">
      <w:pPr>
        <w:widowControl w:val="0"/>
        <w:spacing w:after="0" w:line="240" w:lineRule="auto"/>
        <w:ind w:left="360" w:right="3497"/>
        <w:rPr>
          <w:rFonts w:ascii="Garamond" w:hAnsi="Garamond"/>
          <w:color w:val="0E0E0E"/>
          <w:highlight w:val="yellow"/>
        </w:rPr>
      </w:pPr>
    </w:p>
    <w:p w14:paraId="6837017D" w14:textId="128D72D1" w:rsidR="00536320" w:rsidRPr="00CD00E3" w:rsidRDefault="00536320" w:rsidP="00CD00E3">
      <w:pPr>
        <w:widowControl w:val="0"/>
        <w:ind w:left="360" w:right="14"/>
        <w:rPr>
          <w:rFonts w:ascii="Garamond" w:hAnsi="Garamond"/>
          <w:color w:val="0E0E0E"/>
        </w:rPr>
      </w:pPr>
      <w:r w:rsidRPr="00CD00E3">
        <w:rPr>
          <w:rFonts w:ascii="Garamond" w:hAnsi="Garamond"/>
          <w:color w:val="0E0E0E"/>
        </w:rPr>
        <w:t>Public Law 113-128.</w:t>
      </w:r>
    </w:p>
    <w:p w14:paraId="214117CA" w14:textId="30B2FF5D" w:rsidR="00536320" w:rsidRPr="00CD00E3" w:rsidRDefault="00536320" w:rsidP="00CD00E3">
      <w:pPr>
        <w:widowControl w:val="0"/>
        <w:ind w:left="360" w:right="14"/>
        <w:rPr>
          <w:rFonts w:ascii="Garamond" w:hAnsi="Garamond"/>
          <w:color w:val="0E0E0E"/>
        </w:rPr>
      </w:pPr>
      <w:r w:rsidRPr="00CD00E3">
        <w:rPr>
          <w:rFonts w:ascii="Garamond" w:hAnsi="Garamond"/>
          <w:color w:val="0E0E0E"/>
        </w:rPr>
        <w:t>Unless otherwise stated, "Rehabilitation Act'' means the Rehabilitation Act of 1973, as amended by WIOA, signed into law on July 22, 2014.</w:t>
      </w:r>
    </w:p>
    <w:p w14:paraId="593A7221" w14:textId="6C35D72E" w:rsidR="00536320" w:rsidRPr="00CD00E3" w:rsidRDefault="00536320" w:rsidP="00CD00E3">
      <w:pPr>
        <w:widowControl w:val="0"/>
        <w:ind w:left="360" w:right="14"/>
        <w:rPr>
          <w:rFonts w:ascii="Garamond" w:hAnsi="Garamond"/>
          <w:color w:val="0E0E0E"/>
        </w:rPr>
      </w:pPr>
      <w:r w:rsidRPr="00CD00E3">
        <w:rPr>
          <w:rFonts w:ascii="Garamond" w:hAnsi="Garamond"/>
          <w:color w:val="0E0E0E"/>
        </w:rPr>
        <w:t>All references in this plan to "designated State agency" or to "the State agency" relate to the agency identified  in this paragraph.</w:t>
      </w:r>
    </w:p>
    <w:p w14:paraId="32393C59" w14:textId="688CF891" w:rsidR="00536320" w:rsidRPr="00CD00E3" w:rsidRDefault="00536320" w:rsidP="00CD00E3">
      <w:pPr>
        <w:widowControl w:val="0"/>
        <w:ind w:left="360" w:right="14"/>
        <w:rPr>
          <w:rFonts w:ascii="Garamond" w:hAnsi="Garamond"/>
          <w:color w:val="0E0E0E"/>
        </w:rPr>
      </w:pPr>
      <w:r w:rsidRPr="00CD00E3">
        <w:rPr>
          <w:rFonts w:ascii="Garamond" w:hAnsi="Garamond"/>
          <w:color w:val="0E0E0E"/>
        </w:rPr>
        <w:t>No funds under title I of the Rehabilitation Act may be awarded without an approved VR services portion of the Unified or Combined State Plan in accordance with section 101(a) of the Rehabilitation Act.</w:t>
      </w:r>
    </w:p>
    <w:p w14:paraId="489750D0" w14:textId="1010387C" w:rsidR="00536320" w:rsidRPr="00CD00E3" w:rsidRDefault="00536320" w:rsidP="00CD00E3">
      <w:pPr>
        <w:widowControl w:val="0"/>
        <w:ind w:left="360" w:right="14"/>
        <w:rPr>
          <w:rFonts w:ascii="Garamond" w:hAnsi="Garamond"/>
          <w:color w:val="0E0E0E"/>
        </w:rPr>
      </w:pPr>
      <w:r w:rsidRPr="00CD00E3">
        <w:rPr>
          <w:rFonts w:ascii="Garamond" w:hAnsi="Garamond"/>
          <w:color w:val="0E0E0E"/>
        </w:rPr>
        <w:t>Applicable regulations, in part, include the Education Department General Administrative Regulations (EDGAR) in 34 CFR parts 76, 77, 79, 81, and 82; 2</w:t>
      </w:r>
      <w:r w:rsidR="00CD00E3">
        <w:rPr>
          <w:rFonts w:ascii="Garamond" w:hAnsi="Garamond"/>
          <w:color w:val="0E0E0E"/>
        </w:rPr>
        <w:t xml:space="preserve"> </w:t>
      </w:r>
      <w:r w:rsidRPr="00CD00E3">
        <w:rPr>
          <w:rFonts w:ascii="Garamond" w:hAnsi="Garamond"/>
          <w:color w:val="0E0E0E"/>
        </w:rPr>
        <w:t>CFR part 200 as adopted by 2 CFR part 3485; and the State VR Services Program regulations.</w:t>
      </w:r>
    </w:p>
    <w:p w14:paraId="6ADABDE0" w14:textId="103FD6BA" w:rsidR="00536320" w:rsidRPr="00CD00E3" w:rsidRDefault="00536320" w:rsidP="00CD00E3">
      <w:pPr>
        <w:widowControl w:val="0"/>
        <w:ind w:left="360" w:right="14"/>
        <w:rPr>
          <w:rFonts w:ascii="Garamond" w:hAnsi="Garamond"/>
          <w:color w:val="0E0E0E"/>
        </w:rPr>
      </w:pPr>
      <w:r w:rsidRPr="00CD00E3">
        <w:rPr>
          <w:rFonts w:ascii="Garamond" w:hAnsi="Garamond"/>
          <w:color w:val="0E0E0E"/>
        </w:rPr>
        <w:t>No funds under title VI of the Rehabilitation Act may be awarded without an approved supplement to the VR services portion of the Unified or Combined</w:t>
      </w:r>
      <w:r w:rsidR="00CD00E3" w:rsidRPr="00CD00E3">
        <w:rPr>
          <w:rFonts w:ascii="Garamond" w:hAnsi="Garamond"/>
          <w:color w:val="0E0E0E"/>
        </w:rPr>
        <w:t xml:space="preserve"> </w:t>
      </w:r>
      <w:r w:rsidRPr="00CD00E3">
        <w:rPr>
          <w:rFonts w:ascii="Garamond" w:hAnsi="Garamond"/>
          <w:color w:val="0E0E0E"/>
        </w:rPr>
        <w:t>State Plan in accordance with section 606(a) of the Rehabilitation Act.</w:t>
      </w:r>
    </w:p>
    <w:p w14:paraId="56AA1632" w14:textId="0B7F557A" w:rsidR="00536320" w:rsidRPr="00CD00E3" w:rsidRDefault="00536320" w:rsidP="00CD00E3">
      <w:pPr>
        <w:widowControl w:val="0"/>
        <w:ind w:left="360" w:right="14"/>
        <w:rPr>
          <w:rFonts w:ascii="Garamond" w:hAnsi="Garamond"/>
          <w:color w:val="0E0E0E"/>
        </w:rPr>
      </w:pPr>
      <w:r w:rsidRPr="00CD00E3">
        <w:rPr>
          <w:rFonts w:ascii="Garamond" w:hAnsi="Garamond"/>
          <w:color w:val="0E0E0E"/>
        </w:rPr>
        <w:t>Applicable regulations, in part, include the citations in footnote 6.</w:t>
      </w:r>
    </w:p>
    <w:p w14:paraId="562270C0" w14:textId="77777777" w:rsidR="00536320" w:rsidRDefault="00536320" w:rsidP="007A1FDC">
      <w:pPr>
        <w:widowControl w:val="0"/>
        <w:spacing w:after="0" w:line="240" w:lineRule="auto"/>
        <w:ind w:left="360" w:right="3497"/>
        <w:rPr>
          <w:rFonts w:ascii="Garamond" w:hAnsi="Garamond"/>
          <w:color w:val="0E0E0E"/>
        </w:rPr>
      </w:pPr>
    </w:p>
    <w:p w14:paraId="1776EC54" w14:textId="77777777" w:rsidR="001F7B29" w:rsidRPr="004A0C12" w:rsidRDefault="001F7B29" w:rsidP="007A1FDC">
      <w:pPr>
        <w:widowControl w:val="0"/>
        <w:spacing w:after="0" w:line="240" w:lineRule="auto"/>
        <w:ind w:left="360" w:right="3497"/>
        <w:rPr>
          <w:rFonts w:ascii="Garamond" w:hAnsi="Garamond"/>
          <w:color w:val="0E0E0E"/>
        </w:rPr>
      </w:pPr>
    </w:p>
    <w:tbl>
      <w:tblPr>
        <w:tblW w:w="0" w:type="auto"/>
        <w:tblInd w:w="387" w:type="dxa"/>
        <w:tblLayout w:type="fixed"/>
        <w:tblCellMar>
          <w:left w:w="0" w:type="dxa"/>
          <w:right w:w="0" w:type="dxa"/>
        </w:tblCellMar>
        <w:tblLook w:val="01E0" w:firstRow="1" w:lastRow="1" w:firstColumn="1" w:lastColumn="1" w:noHBand="0" w:noVBand="0"/>
      </w:tblPr>
      <w:tblGrid>
        <w:gridCol w:w="465"/>
        <w:gridCol w:w="9004"/>
      </w:tblGrid>
      <w:tr w:rsidR="001F7B29" w:rsidRPr="004A0C12" w14:paraId="04462B3F" w14:textId="77777777" w:rsidTr="00536320">
        <w:trPr>
          <w:trHeight w:val="294"/>
        </w:trPr>
        <w:tc>
          <w:tcPr>
            <w:tcW w:w="9469" w:type="dxa"/>
            <w:gridSpan w:val="2"/>
            <w:tcBorders>
              <w:top w:val="single" w:sz="4" w:space="0" w:color="000000"/>
              <w:left w:val="single" w:sz="8" w:space="0" w:color="000000"/>
              <w:bottom w:val="single" w:sz="4" w:space="0" w:color="000000"/>
              <w:right w:val="single" w:sz="4" w:space="0" w:color="000000"/>
            </w:tcBorders>
            <w:hideMark/>
          </w:tcPr>
          <w:p w14:paraId="48551CFF" w14:textId="77777777" w:rsidR="001F7B29" w:rsidRPr="004A0C12" w:rsidRDefault="001F7B29" w:rsidP="00E500D8">
            <w:pPr>
              <w:widowControl w:val="0"/>
              <w:spacing w:before="6"/>
              <w:rPr>
                <w:rFonts w:ascii="Garamond" w:eastAsia="Times New Roman" w:hAnsi="Garamond" w:cs="Times New Roman"/>
                <w:b/>
              </w:rPr>
            </w:pPr>
            <w:r w:rsidRPr="004A0C12">
              <w:rPr>
                <w:rFonts w:ascii="Garamond" w:eastAsia="Times New Roman" w:hAnsi="Garamond" w:cs="Times New Roman"/>
                <w:b/>
                <w:color w:val="111111"/>
                <w:w w:val="115"/>
              </w:rPr>
              <w:t>States</w:t>
            </w:r>
            <w:r w:rsidRPr="004A0C12">
              <w:rPr>
                <w:rFonts w:ascii="Garamond" w:eastAsia="Times New Roman" w:hAnsi="Garamond" w:cs="Times New Roman"/>
                <w:b/>
                <w:color w:val="111111"/>
                <w:spacing w:val="-22"/>
                <w:w w:val="115"/>
              </w:rPr>
              <w:t xml:space="preserve"> </w:t>
            </w:r>
            <w:r w:rsidRPr="004A0C12">
              <w:rPr>
                <w:rFonts w:ascii="Garamond" w:eastAsia="Times New Roman" w:hAnsi="Garamond" w:cs="Times New Roman"/>
                <w:b/>
                <w:color w:val="111111"/>
                <w:w w:val="115"/>
              </w:rPr>
              <w:t>must</w:t>
            </w:r>
            <w:r w:rsidRPr="004A0C12">
              <w:rPr>
                <w:rFonts w:ascii="Garamond" w:eastAsia="Times New Roman" w:hAnsi="Garamond" w:cs="Times New Roman"/>
                <w:b/>
                <w:color w:val="111111"/>
                <w:spacing w:val="-7"/>
                <w:w w:val="115"/>
              </w:rPr>
              <w:t xml:space="preserve"> </w:t>
            </w:r>
            <w:r w:rsidRPr="004A0C12">
              <w:rPr>
                <w:rFonts w:ascii="Garamond" w:eastAsia="Times New Roman" w:hAnsi="Garamond" w:cs="Times New Roman"/>
                <w:b/>
                <w:color w:val="111111"/>
                <w:w w:val="115"/>
              </w:rPr>
              <w:t>provide</w:t>
            </w:r>
            <w:r w:rsidRPr="004A0C12">
              <w:rPr>
                <w:rFonts w:ascii="Garamond" w:eastAsia="Times New Roman" w:hAnsi="Garamond" w:cs="Times New Roman"/>
                <w:b/>
                <w:color w:val="111111"/>
                <w:spacing w:val="-2"/>
                <w:w w:val="115"/>
              </w:rPr>
              <w:t xml:space="preserve"> </w:t>
            </w:r>
            <w:r w:rsidRPr="004A0C12">
              <w:rPr>
                <w:rFonts w:ascii="Garamond" w:eastAsia="Times New Roman" w:hAnsi="Garamond" w:cs="Times New Roman"/>
                <w:b/>
                <w:color w:val="111111"/>
                <w:w w:val="115"/>
              </w:rPr>
              <w:t>written</w:t>
            </w:r>
            <w:r w:rsidRPr="004A0C12">
              <w:rPr>
                <w:rFonts w:ascii="Garamond" w:eastAsia="Times New Roman" w:hAnsi="Garamond" w:cs="Times New Roman"/>
                <w:b/>
                <w:color w:val="111111"/>
                <w:spacing w:val="-5"/>
                <w:w w:val="115"/>
              </w:rPr>
              <w:t xml:space="preserve"> </w:t>
            </w:r>
            <w:r w:rsidRPr="004A0C12">
              <w:rPr>
                <w:rFonts w:ascii="Garamond" w:eastAsia="Times New Roman" w:hAnsi="Garamond" w:cs="Times New Roman"/>
                <w:b/>
                <w:color w:val="111111"/>
                <w:w w:val="115"/>
              </w:rPr>
              <w:t>and</w:t>
            </w:r>
            <w:r w:rsidRPr="004A0C12">
              <w:rPr>
                <w:rFonts w:ascii="Garamond" w:eastAsia="Times New Roman" w:hAnsi="Garamond" w:cs="Times New Roman"/>
                <w:b/>
                <w:color w:val="111111"/>
                <w:spacing w:val="-15"/>
                <w:w w:val="115"/>
              </w:rPr>
              <w:t xml:space="preserve"> </w:t>
            </w:r>
            <w:r w:rsidRPr="004A0C12">
              <w:rPr>
                <w:rFonts w:ascii="Garamond" w:eastAsia="Times New Roman" w:hAnsi="Garamond" w:cs="Times New Roman"/>
                <w:b/>
                <w:color w:val="111111"/>
                <w:w w:val="115"/>
              </w:rPr>
              <w:t>signed</w:t>
            </w:r>
            <w:r w:rsidRPr="004A0C12">
              <w:rPr>
                <w:rFonts w:ascii="Garamond" w:eastAsia="Times New Roman" w:hAnsi="Garamond" w:cs="Times New Roman"/>
                <w:b/>
                <w:color w:val="111111"/>
                <w:spacing w:val="-12"/>
                <w:w w:val="115"/>
              </w:rPr>
              <w:t xml:space="preserve"> </w:t>
            </w:r>
            <w:r w:rsidRPr="004A0C12">
              <w:rPr>
                <w:rFonts w:ascii="Garamond" w:eastAsia="Times New Roman" w:hAnsi="Garamond" w:cs="Times New Roman"/>
                <w:b/>
                <w:color w:val="111111"/>
                <w:w w:val="115"/>
              </w:rPr>
              <w:t>certifications</w:t>
            </w:r>
            <w:r w:rsidRPr="004A0C12">
              <w:rPr>
                <w:rFonts w:ascii="Garamond" w:eastAsia="Times New Roman" w:hAnsi="Garamond" w:cs="Times New Roman"/>
                <w:b/>
                <w:color w:val="111111"/>
                <w:spacing w:val="9"/>
                <w:w w:val="115"/>
              </w:rPr>
              <w:t xml:space="preserve"> </w:t>
            </w:r>
            <w:r w:rsidRPr="004A0C12">
              <w:rPr>
                <w:rFonts w:ascii="Garamond" w:eastAsia="Times New Roman" w:hAnsi="Garamond" w:cs="Times New Roman"/>
                <w:b/>
                <w:color w:val="111111"/>
                <w:w w:val="115"/>
              </w:rPr>
              <w:t>that:</w:t>
            </w:r>
          </w:p>
        </w:tc>
      </w:tr>
      <w:tr w:rsidR="001F7B29" w:rsidRPr="004A0C12" w14:paraId="64C9AB58" w14:textId="77777777" w:rsidTr="00536320">
        <w:trPr>
          <w:trHeight w:hRule="exact" w:val="1269"/>
        </w:trPr>
        <w:tc>
          <w:tcPr>
            <w:tcW w:w="465" w:type="dxa"/>
            <w:tcBorders>
              <w:top w:val="single" w:sz="4" w:space="0" w:color="000000"/>
              <w:left w:val="single" w:sz="8" w:space="0" w:color="000000"/>
              <w:bottom w:val="single" w:sz="8" w:space="0" w:color="000000"/>
              <w:right w:val="single" w:sz="4" w:space="0" w:color="000000"/>
            </w:tcBorders>
            <w:hideMark/>
          </w:tcPr>
          <w:p w14:paraId="12F5C3BD" w14:textId="77777777" w:rsidR="001F7B29" w:rsidRPr="004A0C12" w:rsidRDefault="001F7B29" w:rsidP="00E500D8">
            <w:pPr>
              <w:widowControl w:val="0"/>
              <w:spacing w:before="1"/>
              <w:rPr>
                <w:rFonts w:ascii="Garamond" w:eastAsia="Times New Roman" w:hAnsi="Garamond" w:cs="Times New Roman"/>
              </w:rPr>
            </w:pPr>
            <w:r w:rsidRPr="004A0C12">
              <w:rPr>
                <w:rFonts w:ascii="Garamond" w:eastAsia="Times New Roman" w:hAnsi="Garamond" w:cs="Times New Roman"/>
                <w:color w:val="111111"/>
                <w:w w:val="120"/>
              </w:rPr>
              <w:t>1.</w:t>
            </w:r>
          </w:p>
        </w:tc>
        <w:tc>
          <w:tcPr>
            <w:tcW w:w="9004" w:type="dxa"/>
            <w:tcBorders>
              <w:top w:val="single" w:sz="4" w:space="0" w:color="000000"/>
              <w:left w:val="single" w:sz="4" w:space="0" w:color="000000"/>
              <w:bottom w:val="single" w:sz="8" w:space="0" w:color="000000"/>
              <w:right w:val="single" w:sz="4" w:space="0" w:color="000000"/>
            </w:tcBorders>
            <w:hideMark/>
          </w:tcPr>
          <w:p w14:paraId="7962F7CF" w14:textId="4A35F7CA" w:rsidR="001F7B29" w:rsidRPr="004A0C12" w:rsidRDefault="001F7B29" w:rsidP="00A2533C">
            <w:pPr>
              <w:widowControl w:val="0"/>
              <w:spacing w:before="1"/>
              <w:ind w:right="234"/>
              <w:rPr>
                <w:rFonts w:ascii="Garamond" w:eastAsia="Times New Roman" w:hAnsi="Garamond" w:cs="Times New Roman"/>
              </w:rPr>
            </w:pP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b/>
                <w:color w:val="111111"/>
                <w:spacing w:val="10"/>
                <w:w w:val="105"/>
              </w:rPr>
              <w:t>Maryland Division of Rehabilitation Services</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is</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authorized</w:t>
            </w:r>
            <w:r w:rsidRPr="004A0C12">
              <w:rPr>
                <w:rFonts w:ascii="Garamond" w:eastAsia="Times New Roman" w:hAnsi="Garamond" w:cs="Times New Roman"/>
                <w:color w:val="111111"/>
                <w:spacing w:val="17"/>
                <w:w w:val="105"/>
              </w:rPr>
              <w:t xml:space="preserve"> </w:t>
            </w:r>
            <w:r w:rsidRPr="004A0C12">
              <w:rPr>
                <w:rFonts w:ascii="Garamond" w:eastAsia="Times New Roman" w:hAnsi="Garamond" w:cs="Times New Roman"/>
                <w:color w:val="111111"/>
                <w:w w:val="105"/>
              </w:rPr>
              <w:t>to</w:t>
            </w:r>
            <w:r w:rsidRPr="004A0C12">
              <w:rPr>
                <w:rFonts w:ascii="Garamond" w:eastAsia="Times New Roman" w:hAnsi="Garamond" w:cs="Times New Roman"/>
                <w:color w:val="111111"/>
                <w:spacing w:val="-18"/>
                <w:w w:val="105"/>
              </w:rPr>
              <w:t xml:space="preserve"> </w:t>
            </w:r>
            <w:r w:rsidRPr="004A0C12">
              <w:rPr>
                <w:rFonts w:ascii="Garamond" w:eastAsia="Times New Roman" w:hAnsi="Garamond" w:cs="Times New Roman"/>
                <w:color w:val="111111"/>
                <w:w w:val="105"/>
              </w:rPr>
              <w:t>submit</w:t>
            </w:r>
            <w:r w:rsidRPr="004A0C12">
              <w:rPr>
                <w:rFonts w:ascii="Garamond" w:eastAsia="Times New Roman" w:hAnsi="Garamond" w:cs="Times New Roman"/>
                <w:color w:val="111111"/>
                <w:spacing w:val="-9"/>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5"/>
                <w:w w:val="105"/>
              </w:rPr>
              <w:t xml:space="preserve"> </w:t>
            </w:r>
            <w:r w:rsidRPr="004A0C12">
              <w:rPr>
                <w:rFonts w:ascii="Garamond" w:eastAsia="Times New Roman" w:hAnsi="Garamond" w:cs="Times New Roman"/>
                <w:color w:val="111111"/>
                <w:w w:val="105"/>
              </w:rPr>
              <w:t>VR</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services</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portion</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Combined</w:t>
            </w:r>
            <w:r w:rsidRPr="004A0C12">
              <w:rPr>
                <w:rFonts w:ascii="Garamond" w:eastAsia="Times New Roman" w:hAnsi="Garamond" w:cs="Times New Roman"/>
                <w:color w:val="111111"/>
                <w:spacing w:val="45"/>
                <w:w w:val="105"/>
              </w:rPr>
              <w:t xml:space="preserve"> </w:t>
            </w:r>
            <w:r w:rsidRPr="004A0C12">
              <w:rPr>
                <w:rFonts w:ascii="Garamond" w:eastAsia="Times New Roman" w:hAnsi="Garamond" w:cs="Times New Roman"/>
                <w:color w:val="111111"/>
                <w:w w:val="105"/>
              </w:rPr>
              <w:t>State</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Plan</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under</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title</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I</w:t>
            </w:r>
            <w:r w:rsidRPr="004A0C12">
              <w:rPr>
                <w:rFonts w:ascii="Garamond" w:eastAsia="Times New Roman" w:hAnsi="Garamond" w:cs="Times New Roman"/>
                <w:color w:val="111111"/>
                <w:spacing w:val="-15"/>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17"/>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5"/>
                <w:w w:val="105"/>
              </w:rPr>
              <w:t xml:space="preserve"> </w:t>
            </w:r>
            <w:r w:rsidRPr="004A0C12">
              <w:rPr>
                <w:rFonts w:ascii="Garamond" w:eastAsia="Times New Roman" w:hAnsi="Garamond" w:cs="Times New Roman"/>
                <w:color w:val="111111"/>
                <w:w w:val="105"/>
              </w:rPr>
              <w:t>Rehabilitation</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Act</w:t>
            </w:r>
            <w:r w:rsidRPr="004A0C12">
              <w:rPr>
                <w:rFonts w:ascii="Garamond" w:eastAsia="Times New Roman" w:hAnsi="Garamond" w:cs="Times New Roman"/>
                <w:color w:val="111111"/>
                <w:spacing w:val="-13"/>
                <w:w w:val="105"/>
              </w:rPr>
              <w:t xml:space="preserve"> </w:t>
            </w:r>
            <w:r w:rsidRPr="004A0C12">
              <w:rPr>
                <w:rFonts w:ascii="Garamond" w:eastAsia="Times New Roman" w:hAnsi="Garamond" w:cs="Times New Roman"/>
                <w:color w:val="111111"/>
                <w:w w:val="105"/>
              </w:rPr>
              <w:t>of 1973</w:t>
            </w:r>
            <w:r w:rsidRPr="004A0C12">
              <w:rPr>
                <w:rFonts w:ascii="Garamond" w:eastAsia="Times New Roman" w:hAnsi="Garamond" w:cs="Times New Roman"/>
                <w:color w:val="111111"/>
                <w:spacing w:val="-28"/>
                <w:w w:val="105"/>
              </w:rPr>
              <w:t xml:space="preserve"> </w:t>
            </w:r>
            <w:r w:rsidRPr="004A0C12">
              <w:rPr>
                <w:rFonts w:ascii="Garamond" w:eastAsia="Times New Roman" w:hAnsi="Garamond" w:cs="Times New Roman"/>
                <w:color w:val="111111"/>
                <w:w w:val="105"/>
              </w:rPr>
              <w:t>(Rehabilitation</w:t>
            </w:r>
            <w:r w:rsidRPr="004A0C12">
              <w:rPr>
                <w:rFonts w:ascii="Garamond" w:eastAsia="Times New Roman" w:hAnsi="Garamond" w:cs="Times New Roman"/>
                <w:color w:val="111111"/>
                <w:w w:val="104"/>
              </w:rPr>
              <w:t xml:space="preserve"> </w:t>
            </w:r>
            <w:r w:rsidRPr="004A0C12">
              <w:rPr>
                <w:rFonts w:ascii="Garamond" w:eastAsia="Times New Roman" w:hAnsi="Garamond" w:cs="Times New Roman"/>
                <w:color w:val="111111"/>
                <w:w w:val="105"/>
              </w:rPr>
              <w:t>Act),</w:t>
            </w:r>
            <w:r w:rsidRPr="004A0C12">
              <w:rPr>
                <w:rFonts w:ascii="Garamond" w:eastAsia="Times New Roman" w:hAnsi="Garamond" w:cs="Times New Roman"/>
                <w:color w:val="111111"/>
                <w:spacing w:val="-24"/>
                <w:w w:val="105"/>
              </w:rPr>
              <w:t xml:space="preserve"> </w:t>
            </w:r>
            <w:r w:rsidRPr="004A0C12">
              <w:rPr>
                <w:rFonts w:ascii="Garamond" w:eastAsia="Times New Roman" w:hAnsi="Garamond" w:cs="Times New Roman"/>
                <w:color w:val="111111"/>
                <w:w w:val="105"/>
              </w:rPr>
              <w:t>as</w:t>
            </w:r>
            <w:r w:rsidRPr="004A0C12">
              <w:rPr>
                <w:rFonts w:ascii="Garamond" w:eastAsia="Times New Roman" w:hAnsi="Garamond" w:cs="Times New Roman"/>
                <w:color w:val="111111"/>
                <w:spacing w:val="-22"/>
                <w:w w:val="105"/>
              </w:rPr>
              <w:t xml:space="preserve"> </w:t>
            </w:r>
            <w:r w:rsidRPr="004A0C12">
              <w:rPr>
                <w:rFonts w:ascii="Garamond" w:eastAsia="Times New Roman" w:hAnsi="Garamond" w:cs="Times New Roman"/>
                <w:color w:val="111111"/>
                <w:w w:val="105"/>
              </w:rPr>
              <w:t>amended by</w:t>
            </w:r>
            <w:r w:rsidRPr="004A0C12">
              <w:rPr>
                <w:rFonts w:ascii="Garamond" w:eastAsia="Times New Roman" w:hAnsi="Garamond" w:cs="Times New Roman"/>
                <w:color w:val="111111"/>
                <w:spacing w:val="-22"/>
                <w:w w:val="105"/>
              </w:rPr>
              <w:t xml:space="preserve"> </w:t>
            </w:r>
            <w:r w:rsidRPr="004A0C12">
              <w:rPr>
                <w:rFonts w:ascii="Garamond" w:eastAsia="Times New Roman" w:hAnsi="Garamond" w:cs="Times New Roman"/>
                <w:color w:val="111111"/>
                <w:w w:val="105"/>
              </w:rPr>
              <w:t>WIOA,B</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and</w:t>
            </w:r>
            <w:r w:rsidRPr="004A0C12">
              <w:rPr>
                <w:rFonts w:ascii="Garamond" w:eastAsia="Times New Roman" w:hAnsi="Garamond" w:cs="Times New Roman"/>
                <w:color w:val="111111"/>
                <w:spacing w:val="-13"/>
                <w:w w:val="105"/>
              </w:rPr>
              <w:t xml:space="preserve"> </w:t>
            </w:r>
            <w:r w:rsidRPr="004A0C12">
              <w:rPr>
                <w:rFonts w:ascii="Garamond" w:eastAsia="Times New Roman" w:hAnsi="Garamond" w:cs="Times New Roman"/>
                <w:color w:val="111111"/>
                <w:w w:val="105"/>
              </w:rPr>
              <w:t>its</w:t>
            </w:r>
            <w:r w:rsidRPr="004A0C12">
              <w:rPr>
                <w:rFonts w:ascii="Garamond" w:eastAsia="Times New Roman" w:hAnsi="Garamond" w:cs="Times New Roman"/>
                <w:color w:val="111111"/>
                <w:spacing w:val="-22"/>
                <w:w w:val="105"/>
              </w:rPr>
              <w:t xml:space="preserve"> </w:t>
            </w:r>
            <w:r w:rsidRPr="004A0C12">
              <w:rPr>
                <w:rFonts w:ascii="Garamond" w:eastAsia="Times New Roman" w:hAnsi="Garamond" w:cs="Times New Roman"/>
                <w:color w:val="111111"/>
                <w:w w:val="105"/>
              </w:rPr>
              <w:t>supplement</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under</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title</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VI</w:t>
            </w:r>
            <w:r w:rsidRPr="004A0C12">
              <w:rPr>
                <w:rFonts w:ascii="Garamond" w:eastAsia="Times New Roman" w:hAnsi="Garamond" w:cs="Times New Roman"/>
                <w:color w:val="111111"/>
                <w:spacing w:val="-12"/>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18"/>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Rehabilitation</w:t>
            </w:r>
            <w:r w:rsidRPr="004A0C12">
              <w:rPr>
                <w:rFonts w:ascii="Garamond" w:eastAsia="Times New Roman" w:hAnsi="Garamond" w:cs="Times New Roman"/>
                <w:color w:val="111111"/>
                <w:w w:val="103"/>
              </w:rPr>
              <w:t xml:space="preserve"> </w:t>
            </w:r>
            <w:r w:rsidRPr="004A0C12">
              <w:rPr>
                <w:rFonts w:ascii="Garamond" w:eastAsia="Times New Roman" w:hAnsi="Garamond" w:cs="Times New Roman"/>
                <w:color w:val="111111"/>
                <w:w w:val="105"/>
              </w:rPr>
              <w:t>Act14;</w:t>
            </w:r>
          </w:p>
        </w:tc>
      </w:tr>
      <w:tr w:rsidR="001F7B29" w:rsidRPr="004A0C12" w14:paraId="5EA9869B" w14:textId="77777777" w:rsidTr="00536320">
        <w:trPr>
          <w:trHeight w:hRule="exact" w:val="1857"/>
        </w:trPr>
        <w:tc>
          <w:tcPr>
            <w:tcW w:w="465" w:type="dxa"/>
            <w:tcBorders>
              <w:top w:val="single" w:sz="8" w:space="0" w:color="000000"/>
              <w:left w:val="single" w:sz="8" w:space="0" w:color="000000"/>
              <w:bottom w:val="single" w:sz="4" w:space="0" w:color="000000"/>
              <w:right w:val="single" w:sz="4" w:space="0" w:color="000000"/>
            </w:tcBorders>
            <w:hideMark/>
          </w:tcPr>
          <w:p w14:paraId="3DE00D95" w14:textId="77777777" w:rsidR="001F7B29" w:rsidRPr="004A0C12" w:rsidRDefault="001F7B29" w:rsidP="00E500D8">
            <w:pPr>
              <w:widowControl w:val="0"/>
              <w:spacing w:before="14"/>
              <w:rPr>
                <w:rFonts w:ascii="Garamond" w:eastAsia="Courier New" w:hAnsi="Garamond" w:cs="Times New Roman"/>
              </w:rPr>
            </w:pPr>
            <w:r w:rsidRPr="004A0C12">
              <w:rPr>
                <w:rFonts w:ascii="Garamond" w:eastAsia="Courier New" w:hAnsi="Garamond" w:cs="Times New Roman"/>
                <w:color w:val="111111"/>
                <w:w w:val="70"/>
              </w:rPr>
              <w:t>2.</w:t>
            </w:r>
          </w:p>
        </w:tc>
        <w:tc>
          <w:tcPr>
            <w:tcW w:w="9004" w:type="dxa"/>
            <w:tcBorders>
              <w:top w:val="single" w:sz="8" w:space="0" w:color="000000"/>
              <w:left w:val="single" w:sz="4" w:space="0" w:color="000000"/>
              <w:bottom w:val="single" w:sz="4" w:space="0" w:color="000000"/>
              <w:right w:val="single" w:sz="4" w:space="0" w:color="000000"/>
            </w:tcBorders>
            <w:hideMark/>
          </w:tcPr>
          <w:p w14:paraId="5775D642" w14:textId="724B34D0" w:rsidR="001F7B29" w:rsidRPr="004A0C12" w:rsidRDefault="001F7B29" w:rsidP="00A2533C">
            <w:pPr>
              <w:widowControl w:val="0"/>
              <w:spacing w:before="6" w:line="242" w:lineRule="auto"/>
              <w:ind w:right="210"/>
              <w:rPr>
                <w:rFonts w:ascii="Garamond" w:eastAsia="Times New Roman" w:hAnsi="Garamond" w:cs="Times New Roman"/>
              </w:rPr>
            </w:pPr>
            <w:r w:rsidRPr="004A0C12">
              <w:rPr>
                <w:rFonts w:ascii="Garamond" w:eastAsia="Times New Roman" w:hAnsi="Garamond" w:cs="Times New Roman"/>
                <w:color w:val="111111"/>
                <w:w w:val="105"/>
              </w:rPr>
              <w:t>As</w:t>
            </w:r>
            <w:r w:rsidRPr="004A0C12">
              <w:rPr>
                <w:rFonts w:ascii="Garamond" w:eastAsia="Times New Roman" w:hAnsi="Garamond" w:cs="Times New Roman"/>
                <w:color w:val="111111"/>
                <w:spacing w:val="-17"/>
                <w:w w:val="105"/>
              </w:rPr>
              <w:t xml:space="preserve"> </w:t>
            </w:r>
            <w:r w:rsidRPr="004A0C12">
              <w:rPr>
                <w:rFonts w:ascii="Garamond" w:eastAsia="Times New Roman" w:hAnsi="Garamond" w:cs="Times New Roman"/>
                <w:color w:val="111111"/>
                <w:w w:val="105"/>
              </w:rPr>
              <w:t>a</w:t>
            </w:r>
            <w:r w:rsidRPr="004A0C12">
              <w:rPr>
                <w:rFonts w:ascii="Garamond" w:eastAsia="Times New Roman" w:hAnsi="Garamond" w:cs="Times New Roman"/>
                <w:color w:val="111111"/>
                <w:spacing w:val="-19"/>
                <w:w w:val="105"/>
              </w:rPr>
              <w:t xml:space="preserve"> </w:t>
            </w:r>
            <w:r w:rsidRPr="004A0C12">
              <w:rPr>
                <w:rFonts w:ascii="Garamond" w:eastAsia="Times New Roman" w:hAnsi="Garamond" w:cs="Times New Roman"/>
                <w:color w:val="111111"/>
                <w:w w:val="105"/>
              </w:rPr>
              <w:t>condition</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for</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receipt</w:t>
            </w:r>
            <w:r w:rsidRPr="004A0C12">
              <w:rPr>
                <w:rFonts w:ascii="Garamond" w:eastAsia="Times New Roman" w:hAnsi="Garamond" w:cs="Times New Roman"/>
                <w:color w:val="111111"/>
                <w:spacing w:val="-1"/>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5"/>
                <w:w w:val="105"/>
              </w:rPr>
              <w:t xml:space="preserve"> </w:t>
            </w:r>
            <w:r w:rsidRPr="004A0C12">
              <w:rPr>
                <w:rFonts w:ascii="Garamond" w:eastAsia="Times New Roman" w:hAnsi="Garamond" w:cs="Times New Roman"/>
                <w:color w:val="111111"/>
                <w:w w:val="105"/>
              </w:rPr>
              <w:t>Federal</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funds</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under</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title</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I</w:t>
            </w:r>
            <w:r w:rsidRPr="004A0C12">
              <w:rPr>
                <w:rFonts w:ascii="Garamond" w:eastAsia="Times New Roman" w:hAnsi="Garamond" w:cs="Times New Roman"/>
                <w:color w:val="111111"/>
                <w:spacing w:val="-21"/>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1"/>
                <w:w w:val="105"/>
              </w:rPr>
              <w:t xml:space="preserve"> </w:t>
            </w:r>
            <w:r w:rsidRPr="004A0C12">
              <w:rPr>
                <w:rFonts w:ascii="Garamond" w:eastAsia="Times New Roman" w:hAnsi="Garamond" w:cs="Times New Roman"/>
                <w:color w:val="111111"/>
                <w:w w:val="105"/>
              </w:rPr>
              <w:t>Rehabilitation</w:t>
            </w:r>
            <w:r w:rsidRPr="004A0C12">
              <w:rPr>
                <w:rFonts w:ascii="Garamond" w:eastAsia="Times New Roman" w:hAnsi="Garamond" w:cs="Times New Roman"/>
                <w:color w:val="111111"/>
                <w:spacing w:val="5"/>
                <w:w w:val="105"/>
              </w:rPr>
              <w:t xml:space="preserve"> </w:t>
            </w:r>
            <w:r w:rsidRPr="004A0C12">
              <w:rPr>
                <w:rFonts w:ascii="Garamond" w:eastAsia="Times New Roman" w:hAnsi="Garamond" w:cs="Times New Roman"/>
                <w:color w:val="111111"/>
                <w:w w:val="105"/>
              </w:rPr>
              <w:t>Act</w:t>
            </w:r>
            <w:r w:rsidRPr="004A0C12">
              <w:rPr>
                <w:rFonts w:ascii="Garamond" w:eastAsia="Times New Roman" w:hAnsi="Garamond" w:cs="Times New Roman"/>
                <w:color w:val="111111"/>
                <w:w w:val="94"/>
              </w:rPr>
              <w:t xml:space="preserve"> </w:t>
            </w:r>
            <w:r w:rsidRPr="004A0C12">
              <w:rPr>
                <w:rFonts w:ascii="Garamond" w:eastAsia="Times New Roman" w:hAnsi="Garamond" w:cs="Times New Roman"/>
                <w:color w:val="111111"/>
                <w:w w:val="105"/>
              </w:rPr>
              <w:t>for</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provision</w:t>
            </w:r>
            <w:r w:rsidRPr="004A0C12">
              <w:rPr>
                <w:rFonts w:ascii="Garamond" w:eastAsia="Times New Roman" w:hAnsi="Garamond" w:cs="Times New Roman"/>
                <w:color w:val="111111"/>
                <w:spacing w:val="21"/>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V</w:t>
            </w:r>
            <w:r w:rsidRPr="004A0C12">
              <w:rPr>
                <w:rFonts w:ascii="Garamond" w:eastAsia="Times New Roman" w:hAnsi="Garamond" w:cs="Times New Roman"/>
                <w:color w:val="111111"/>
                <w:spacing w:val="9"/>
                <w:w w:val="105"/>
              </w:rPr>
              <w:t>R</w:t>
            </w:r>
            <w:r w:rsidRPr="004A0C12">
              <w:rPr>
                <w:rFonts w:ascii="Garamond" w:eastAsia="Times New Roman" w:hAnsi="Garamond" w:cs="Times New Roman"/>
                <w:i/>
                <w:color w:val="111111"/>
                <w:spacing w:val="9"/>
                <w:w w:val="105"/>
              </w:rPr>
              <w:t xml:space="preserve"> </w:t>
            </w:r>
            <w:r w:rsidRPr="004A0C12">
              <w:rPr>
                <w:rFonts w:ascii="Garamond" w:eastAsia="Times New Roman" w:hAnsi="Garamond" w:cs="Times New Roman"/>
                <w:color w:val="111111"/>
                <w:w w:val="105"/>
              </w:rPr>
              <w:t>services,</w:t>
            </w:r>
            <w:r w:rsidRPr="004A0C12">
              <w:rPr>
                <w:rFonts w:ascii="Garamond" w:eastAsia="Times New Roman" w:hAnsi="Garamond" w:cs="Times New Roman"/>
                <w:color w:val="111111"/>
                <w:spacing w:val="-5"/>
                <w:w w:val="105"/>
              </w:rPr>
              <w:t xml:space="preserve"> </w:t>
            </w:r>
            <w:r w:rsidRPr="004A0C12">
              <w:rPr>
                <w:rFonts w:ascii="Garamond" w:eastAsia="Times New Roman" w:hAnsi="Garamond" w:cs="Times New Roman"/>
                <w:color w:val="111111"/>
                <w:w w:val="105"/>
              </w:rPr>
              <w:t xml:space="preserve">the </w:t>
            </w:r>
            <w:r w:rsidRPr="004A0C12">
              <w:rPr>
                <w:rFonts w:ascii="Garamond" w:eastAsia="Times New Roman" w:hAnsi="Garamond" w:cs="Times New Roman"/>
                <w:b/>
                <w:color w:val="111111"/>
                <w:w w:val="105"/>
              </w:rPr>
              <w:t xml:space="preserve">Maryland State Department of Education </w:t>
            </w:r>
            <w:r w:rsidRPr="004A0C12">
              <w:rPr>
                <w:rFonts w:ascii="Garamond" w:eastAsia="Times New Roman" w:hAnsi="Garamond" w:cs="Times New Roman"/>
                <w:color w:val="111111"/>
                <w:w w:val="105"/>
                <w:vertAlign w:val="superscript"/>
              </w:rPr>
              <w:t>15</w:t>
            </w:r>
            <w:r w:rsidRPr="004A0C12">
              <w:rPr>
                <w:rFonts w:ascii="Garamond" w:eastAsia="Times New Roman" w:hAnsi="Garamond" w:cs="Times New Roman"/>
                <w:color w:val="111111"/>
                <w:w w:val="105"/>
              </w:rPr>
              <w:t xml:space="preserve"> agrees</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to</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operate</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and</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administer</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State</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V</w:t>
            </w:r>
            <w:r w:rsidRPr="004A0C12">
              <w:rPr>
                <w:rFonts w:ascii="Garamond" w:eastAsia="Times New Roman" w:hAnsi="Garamond" w:cs="Times New Roman"/>
                <w:color w:val="111111"/>
                <w:spacing w:val="9"/>
                <w:w w:val="105"/>
              </w:rPr>
              <w:t xml:space="preserve">R </w:t>
            </w:r>
            <w:r w:rsidRPr="004A0C12">
              <w:rPr>
                <w:rFonts w:ascii="Garamond" w:eastAsia="Times New Roman" w:hAnsi="Garamond" w:cs="Times New Roman"/>
                <w:color w:val="111111"/>
                <w:w w:val="105"/>
              </w:rPr>
              <w:t>Services</w:t>
            </w:r>
            <w:r w:rsidRPr="004A0C12">
              <w:rPr>
                <w:rFonts w:ascii="Garamond" w:eastAsia="Times New Roman" w:hAnsi="Garamond" w:cs="Times New Roman"/>
                <w:color w:val="111111"/>
                <w:spacing w:val="23"/>
                <w:w w:val="105"/>
              </w:rPr>
              <w:t xml:space="preserve"> </w:t>
            </w:r>
            <w:r w:rsidRPr="004A0C12">
              <w:rPr>
                <w:rFonts w:ascii="Garamond" w:eastAsia="Times New Roman" w:hAnsi="Garamond" w:cs="Times New Roman"/>
                <w:color w:val="111111"/>
                <w:w w:val="105"/>
              </w:rPr>
              <w:t>Program</w:t>
            </w:r>
            <w:r w:rsidRPr="004A0C12">
              <w:rPr>
                <w:rFonts w:ascii="Garamond" w:eastAsia="Times New Roman" w:hAnsi="Garamond" w:cs="Times New Roman"/>
                <w:color w:val="111111"/>
                <w:spacing w:val="28"/>
                <w:w w:val="105"/>
              </w:rPr>
              <w:t xml:space="preserve"> </w:t>
            </w:r>
            <w:r w:rsidRPr="004A0C12">
              <w:rPr>
                <w:rFonts w:ascii="Garamond" w:eastAsia="Times New Roman" w:hAnsi="Garamond" w:cs="Times New Roman"/>
                <w:color w:val="111111"/>
                <w:w w:val="105"/>
              </w:rPr>
              <w:t>in</w:t>
            </w:r>
            <w:r w:rsidRPr="004A0C12">
              <w:rPr>
                <w:rFonts w:ascii="Garamond" w:eastAsia="Times New Roman" w:hAnsi="Garamond" w:cs="Times New Roman"/>
                <w:color w:val="111111"/>
                <w:spacing w:val="-5"/>
                <w:w w:val="105"/>
              </w:rPr>
              <w:t xml:space="preserve"> </w:t>
            </w:r>
            <w:r w:rsidRPr="004A0C12">
              <w:rPr>
                <w:rFonts w:ascii="Garamond" w:eastAsia="Times New Roman" w:hAnsi="Garamond" w:cs="Times New Roman"/>
                <w:color w:val="111111"/>
                <w:w w:val="105"/>
              </w:rPr>
              <w:t>accordance</w:t>
            </w:r>
            <w:r w:rsidRPr="004A0C12">
              <w:rPr>
                <w:rFonts w:ascii="Garamond" w:eastAsia="Times New Roman" w:hAnsi="Garamond" w:cs="Times New Roman"/>
                <w:color w:val="111111"/>
                <w:spacing w:val="13"/>
                <w:w w:val="105"/>
              </w:rPr>
              <w:t xml:space="preserve"> </w:t>
            </w:r>
            <w:r w:rsidRPr="004A0C12">
              <w:rPr>
                <w:rFonts w:ascii="Garamond" w:eastAsia="Times New Roman" w:hAnsi="Garamond" w:cs="Times New Roman"/>
                <w:color w:val="111111"/>
                <w:w w:val="105"/>
              </w:rPr>
              <w:t>with</w:t>
            </w:r>
            <w:r w:rsidRPr="004A0C12">
              <w:rPr>
                <w:rFonts w:ascii="Garamond" w:eastAsia="Times New Roman" w:hAnsi="Garamond" w:cs="Times New Roman"/>
                <w:color w:val="111111"/>
                <w:w w:val="104"/>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12"/>
                <w:w w:val="105"/>
              </w:rPr>
              <w:t xml:space="preserve"> </w:t>
            </w:r>
            <w:r w:rsidRPr="004A0C12">
              <w:rPr>
                <w:rFonts w:ascii="Garamond" w:eastAsia="Times New Roman" w:hAnsi="Garamond" w:cs="Times New Roman"/>
                <w:color w:val="111111"/>
                <w:w w:val="105"/>
              </w:rPr>
              <w:t>V</w:t>
            </w:r>
            <w:r w:rsidRPr="004A0C12">
              <w:rPr>
                <w:rFonts w:ascii="Garamond" w:eastAsia="Times New Roman" w:hAnsi="Garamond" w:cs="Times New Roman"/>
                <w:color w:val="111111"/>
                <w:spacing w:val="9"/>
                <w:w w:val="105"/>
              </w:rPr>
              <w:t xml:space="preserve">R </w:t>
            </w:r>
            <w:r w:rsidRPr="004A0C12">
              <w:rPr>
                <w:rFonts w:ascii="Garamond" w:eastAsia="Times New Roman" w:hAnsi="Garamond" w:cs="Times New Roman"/>
                <w:color w:val="111111"/>
                <w:w w:val="105"/>
              </w:rPr>
              <w:t>services</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portion</w:t>
            </w:r>
            <w:r w:rsidRPr="004A0C12">
              <w:rPr>
                <w:rFonts w:ascii="Garamond" w:eastAsia="Times New Roman" w:hAnsi="Garamond" w:cs="Times New Roman"/>
                <w:color w:val="111111"/>
                <w:spacing w:val="5"/>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Combined State</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Plan</w:t>
            </w:r>
            <w:r w:rsidRPr="004A0C12">
              <w:rPr>
                <w:rFonts w:ascii="Garamond" w:eastAsia="Times New Roman" w:hAnsi="Garamond" w:cs="Times New Roman"/>
                <w:color w:val="111111"/>
                <w:w w:val="105"/>
                <w:vertAlign w:val="superscript"/>
              </w:rPr>
              <w:t>16</w:t>
            </w:r>
            <w:r w:rsidRPr="004A0C12">
              <w:rPr>
                <w:rFonts w:ascii="Garamond" w:eastAsia="Times New Roman" w:hAnsi="Garamond" w:cs="Times New Roman"/>
                <w:color w:val="111111"/>
                <w:w w:val="105"/>
              </w:rPr>
              <w:t>,</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Rehabilitation</w:t>
            </w:r>
            <w:r w:rsidRPr="004A0C12">
              <w:rPr>
                <w:rFonts w:ascii="Garamond" w:eastAsia="Times New Roman" w:hAnsi="Garamond" w:cs="Times New Roman"/>
                <w:color w:val="111111"/>
                <w:w w:val="103"/>
              </w:rPr>
              <w:t xml:space="preserve"> </w:t>
            </w:r>
            <w:r w:rsidRPr="004A0C12">
              <w:rPr>
                <w:rFonts w:ascii="Garamond" w:eastAsia="Times New Roman" w:hAnsi="Garamond" w:cs="Times New Roman"/>
                <w:color w:val="111111"/>
                <w:w w:val="105"/>
              </w:rPr>
              <w:t>Act,</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and</w:t>
            </w:r>
            <w:r w:rsidRPr="004A0C12">
              <w:rPr>
                <w:rFonts w:ascii="Garamond" w:eastAsia="Times New Roman" w:hAnsi="Garamond" w:cs="Times New Roman"/>
                <w:color w:val="111111"/>
                <w:spacing w:val="-5"/>
                <w:w w:val="105"/>
              </w:rPr>
              <w:t xml:space="preserve"> </w:t>
            </w:r>
            <w:r w:rsidRPr="004A0C12">
              <w:rPr>
                <w:rFonts w:ascii="Garamond" w:eastAsia="Times New Roman" w:hAnsi="Garamond" w:cs="Times New Roman"/>
                <w:color w:val="111111"/>
                <w:w w:val="105"/>
              </w:rPr>
              <w:t>all</w:t>
            </w:r>
            <w:r w:rsidRPr="004A0C12">
              <w:rPr>
                <w:rFonts w:ascii="Garamond" w:eastAsia="Times New Roman" w:hAnsi="Garamond" w:cs="Times New Roman"/>
                <w:color w:val="111111"/>
                <w:spacing w:val="-19"/>
                <w:w w:val="105"/>
              </w:rPr>
              <w:t xml:space="preserve"> </w:t>
            </w:r>
            <w:r w:rsidRPr="004A0C12">
              <w:rPr>
                <w:rFonts w:ascii="Garamond" w:eastAsia="Times New Roman" w:hAnsi="Garamond" w:cs="Times New Roman"/>
                <w:color w:val="111111"/>
                <w:w w:val="105"/>
              </w:rPr>
              <w:t>applicable</w:t>
            </w:r>
            <w:r w:rsidRPr="004A0C12">
              <w:rPr>
                <w:rFonts w:ascii="Garamond" w:eastAsia="Times New Roman" w:hAnsi="Garamond" w:cs="Times New Roman"/>
                <w:color w:val="111111"/>
                <w:spacing w:val="-1"/>
                <w:w w:val="105"/>
              </w:rPr>
              <w:t xml:space="preserve"> </w:t>
            </w:r>
            <w:r w:rsidRPr="004A0C12">
              <w:rPr>
                <w:rFonts w:ascii="Garamond" w:eastAsia="Times New Roman" w:hAnsi="Garamond" w:cs="Times New Roman"/>
                <w:color w:val="111111"/>
                <w:w w:val="105"/>
              </w:rPr>
              <w:t xml:space="preserve">regulations </w:t>
            </w:r>
            <w:r w:rsidRPr="004A0C12">
              <w:rPr>
                <w:rFonts w:ascii="Garamond" w:eastAsia="Times New Roman" w:hAnsi="Garamond" w:cs="Times New Roman"/>
                <w:color w:val="111111"/>
                <w:w w:val="105"/>
                <w:vertAlign w:val="superscript"/>
              </w:rPr>
              <w:t>17</w:t>
            </w:r>
            <w:r w:rsidRPr="004A0C12">
              <w:rPr>
                <w:rFonts w:ascii="Garamond" w:eastAsia="Times New Roman" w:hAnsi="Garamond" w:cs="Times New Roman"/>
                <w:color w:val="111111"/>
                <w:w w:val="105"/>
              </w:rPr>
              <w:t>,</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policies,</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and</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procedures</w:t>
            </w:r>
            <w:r w:rsidRPr="004A0C12">
              <w:rPr>
                <w:rFonts w:ascii="Garamond" w:eastAsia="Times New Roman" w:hAnsi="Garamond" w:cs="Times New Roman"/>
                <w:color w:val="111111"/>
                <w:spacing w:val="12"/>
                <w:w w:val="105"/>
              </w:rPr>
              <w:t xml:space="preserve"> </w:t>
            </w:r>
            <w:r w:rsidRPr="004A0C12">
              <w:rPr>
                <w:rFonts w:ascii="Garamond" w:eastAsia="Times New Roman" w:hAnsi="Garamond" w:cs="Times New Roman"/>
                <w:color w:val="111111"/>
                <w:w w:val="105"/>
              </w:rPr>
              <w:t>established</w:t>
            </w:r>
            <w:r w:rsidRPr="004A0C12">
              <w:rPr>
                <w:rFonts w:ascii="Garamond" w:eastAsia="Times New Roman" w:hAnsi="Garamond" w:cs="Times New Roman"/>
                <w:color w:val="111111"/>
                <w:spacing w:val="18"/>
                <w:w w:val="105"/>
              </w:rPr>
              <w:t xml:space="preserve"> </w:t>
            </w:r>
            <w:r w:rsidRPr="004A0C12">
              <w:rPr>
                <w:rFonts w:ascii="Garamond" w:eastAsia="Times New Roman" w:hAnsi="Garamond" w:cs="Times New Roman"/>
                <w:color w:val="111111"/>
                <w:w w:val="105"/>
              </w:rPr>
              <w:t>by</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w w:val="109"/>
              </w:rPr>
              <w:t xml:space="preserve"> </w:t>
            </w:r>
            <w:r w:rsidRPr="004A0C12">
              <w:rPr>
                <w:rFonts w:ascii="Garamond" w:eastAsia="Times New Roman" w:hAnsi="Garamond" w:cs="Times New Roman"/>
                <w:color w:val="111111"/>
                <w:w w:val="105"/>
              </w:rPr>
              <w:t>Secretary</w:t>
            </w:r>
            <w:r w:rsidRPr="004A0C12">
              <w:rPr>
                <w:rFonts w:ascii="Garamond" w:eastAsia="Times New Roman" w:hAnsi="Garamond" w:cs="Times New Roman"/>
                <w:color w:val="111111"/>
                <w:spacing w:val="-16"/>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Education.</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Funds</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made</w:t>
            </w:r>
            <w:r w:rsidRPr="004A0C12">
              <w:rPr>
                <w:rFonts w:ascii="Garamond" w:eastAsia="Times New Roman" w:hAnsi="Garamond" w:cs="Times New Roman"/>
                <w:color w:val="111111"/>
                <w:spacing w:val="-5"/>
                <w:w w:val="105"/>
              </w:rPr>
              <w:t xml:space="preserve"> </w:t>
            </w:r>
            <w:r w:rsidRPr="004A0C12">
              <w:rPr>
                <w:rFonts w:ascii="Garamond" w:eastAsia="Times New Roman" w:hAnsi="Garamond" w:cs="Times New Roman"/>
                <w:color w:val="111111"/>
                <w:w w:val="105"/>
              </w:rPr>
              <w:t>available</w:t>
            </w:r>
            <w:r w:rsidRPr="004A0C12">
              <w:rPr>
                <w:rFonts w:ascii="Garamond" w:eastAsia="Times New Roman" w:hAnsi="Garamond" w:cs="Times New Roman"/>
                <w:color w:val="111111"/>
                <w:spacing w:val="13"/>
                <w:w w:val="105"/>
              </w:rPr>
              <w:t xml:space="preserve"> </w:t>
            </w:r>
            <w:r w:rsidRPr="004A0C12">
              <w:rPr>
                <w:rFonts w:ascii="Garamond" w:eastAsia="Times New Roman" w:hAnsi="Garamond" w:cs="Times New Roman"/>
                <w:color w:val="111111"/>
                <w:w w:val="105"/>
              </w:rPr>
              <w:t>under</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section</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11</w:t>
            </w:r>
            <w:r w:rsidRPr="004A0C12">
              <w:rPr>
                <w:rFonts w:ascii="Garamond" w:eastAsia="Times New Roman" w:hAnsi="Garamond" w:cs="Times New Roman"/>
                <w:color w:val="111111"/>
                <w:spacing w:val="1"/>
                <w:w w:val="105"/>
              </w:rPr>
              <w:t>1</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the Rehabilitation</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Act</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are</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used</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solely</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for</w:t>
            </w:r>
            <w:r w:rsidRPr="004A0C12">
              <w:rPr>
                <w:rFonts w:ascii="Garamond" w:eastAsia="Times New Roman" w:hAnsi="Garamond" w:cs="Times New Roman"/>
                <w:color w:val="111111"/>
                <w:spacing w:val="-20"/>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provision</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of VR</w:t>
            </w:r>
            <w:r w:rsidRPr="004A0C12">
              <w:rPr>
                <w:rFonts w:ascii="Garamond" w:eastAsia="Times New Roman" w:hAnsi="Garamond" w:cs="Times New Roman"/>
                <w:color w:val="111111"/>
                <w:spacing w:val="-15"/>
                <w:w w:val="105"/>
              </w:rPr>
              <w:t xml:space="preserve"> </w:t>
            </w:r>
            <w:r w:rsidRPr="004A0C12">
              <w:rPr>
                <w:rFonts w:ascii="Garamond" w:eastAsia="Times New Roman" w:hAnsi="Garamond" w:cs="Times New Roman"/>
                <w:color w:val="111111"/>
                <w:w w:val="105"/>
              </w:rPr>
              <w:t>services</w:t>
            </w:r>
            <w:r w:rsidRPr="004A0C12">
              <w:rPr>
                <w:rFonts w:ascii="Garamond" w:eastAsia="Times New Roman" w:hAnsi="Garamond" w:cs="Times New Roman"/>
                <w:color w:val="111111"/>
                <w:spacing w:val="-18"/>
                <w:w w:val="105"/>
              </w:rPr>
              <w:t xml:space="preserve"> </w:t>
            </w:r>
            <w:r w:rsidRPr="004A0C12">
              <w:rPr>
                <w:rFonts w:ascii="Garamond" w:eastAsia="Times New Roman" w:hAnsi="Garamond" w:cs="Times New Roman"/>
                <w:color w:val="111111"/>
                <w:w w:val="105"/>
              </w:rPr>
              <w:t>and</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w w:val="109"/>
              </w:rPr>
              <w:t xml:space="preserve"> </w:t>
            </w:r>
            <w:r w:rsidRPr="004A0C12">
              <w:rPr>
                <w:rFonts w:ascii="Garamond" w:eastAsia="Times New Roman" w:hAnsi="Garamond" w:cs="Times New Roman"/>
                <w:color w:val="111111"/>
                <w:w w:val="105"/>
              </w:rPr>
              <w:t>administration</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V</w:t>
            </w:r>
            <w:r w:rsidRPr="004A0C12">
              <w:rPr>
                <w:rFonts w:ascii="Garamond" w:eastAsia="Times New Roman" w:hAnsi="Garamond" w:cs="Times New Roman"/>
                <w:color w:val="111111"/>
                <w:spacing w:val="9"/>
                <w:w w:val="105"/>
              </w:rPr>
              <w:t>R</w:t>
            </w:r>
            <w:r w:rsidRPr="004A0C12">
              <w:rPr>
                <w:rFonts w:ascii="Garamond" w:eastAsia="Times New Roman" w:hAnsi="Garamond" w:cs="Times New Roman"/>
                <w:color w:val="111111"/>
                <w:w w:val="105"/>
              </w:rPr>
              <w:t xml:space="preserve"> services</w:t>
            </w:r>
            <w:r w:rsidRPr="004A0C12">
              <w:rPr>
                <w:rFonts w:ascii="Garamond" w:eastAsia="Times New Roman" w:hAnsi="Garamond" w:cs="Times New Roman"/>
                <w:color w:val="111111"/>
                <w:spacing w:val="-1"/>
                <w:w w:val="105"/>
              </w:rPr>
              <w:t xml:space="preserve"> </w:t>
            </w:r>
            <w:r w:rsidRPr="004A0C12">
              <w:rPr>
                <w:rFonts w:ascii="Garamond" w:eastAsia="Times New Roman" w:hAnsi="Garamond" w:cs="Times New Roman"/>
                <w:color w:val="111111"/>
                <w:w w:val="105"/>
              </w:rPr>
              <w:t>portion</w:t>
            </w:r>
            <w:r w:rsidRPr="004A0C12">
              <w:rPr>
                <w:rFonts w:ascii="Garamond" w:eastAsia="Times New Roman" w:hAnsi="Garamond" w:cs="Times New Roman"/>
                <w:color w:val="111111"/>
                <w:spacing w:val="13"/>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Combined</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State</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Plan;</w:t>
            </w:r>
          </w:p>
        </w:tc>
      </w:tr>
      <w:tr w:rsidR="001F7B29" w:rsidRPr="004A0C12" w14:paraId="055E197B" w14:textId="77777777" w:rsidTr="00536320">
        <w:trPr>
          <w:trHeight w:hRule="exact" w:val="2136"/>
        </w:trPr>
        <w:tc>
          <w:tcPr>
            <w:tcW w:w="465" w:type="dxa"/>
            <w:tcBorders>
              <w:top w:val="single" w:sz="8" w:space="0" w:color="000000"/>
              <w:left w:val="single" w:sz="8" w:space="0" w:color="000000"/>
              <w:bottom w:val="single" w:sz="4" w:space="0" w:color="000000"/>
              <w:right w:val="single" w:sz="8" w:space="0" w:color="000000"/>
            </w:tcBorders>
            <w:hideMark/>
          </w:tcPr>
          <w:p w14:paraId="4E9CA076" w14:textId="77777777" w:rsidR="001F7B29" w:rsidRPr="004A0C12" w:rsidRDefault="001F7B29" w:rsidP="00E500D8">
            <w:pPr>
              <w:widowControl w:val="0"/>
              <w:spacing w:before="4"/>
              <w:rPr>
                <w:rFonts w:ascii="Garamond" w:eastAsia="Courier New" w:hAnsi="Garamond" w:cs="Times New Roman"/>
              </w:rPr>
            </w:pPr>
            <w:r w:rsidRPr="004A0C12">
              <w:rPr>
                <w:rFonts w:ascii="Garamond" w:eastAsia="Courier New" w:hAnsi="Garamond" w:cs="Times New Roman"/>
                <w:color w:val="111111"/>
                <w:w w:val="75"/>
              </w:rPr>
              <w:t>3.</w:t>
            </w:r>
          </w:p>
        </w:tc>
        <w:tc>
          <w:tcPr>
            <w:tcW w:w="9004" w:type="dxa"/>
            <w:tcBorders>
              <w:top w:val="single" w:sz="8" w:space="0" w:color="000000"/>
              <w:left w:val="single" w:sz="8" w:space="0" w:color="000000"/>
              <w:bottom w:val="single" w:sz="4" w:space="0" w:color="000000"/>
              <w:right w:val="single" w:sz="4" w:space="0" w:color="000000"/>
            </w:tcBorders>
            <w:hideMark/>
          </w:tcPr>
          <w:p w14:paraId="69C4B405"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111111"/>
                <w:w w:val="105"/>
              </w:rPr>
              <w:t>As</w:t>
            </w:r>
            <w:r w:rsidRPr="004A0C12">
              <w:rPr>
                <w:rFonts w:ascii="Garamond" w:eastAsia="Times New Roman" w:hAnsi="Garamond" w:cs="Times New Roman"/>
                <w:color w:val="111111"/>
                <w:spacing w:val="-20"/>
                <w:w w:val="105"/>
              </w:rPr>
              <w:t xml:space="preserve"> </w:t>
            </w:r>
            <w:r w:rsidRPr="004A0C12">
              <w:rPr>
                <w:rFonts w:ascii="Garamond" w:eastAsia="Times New Roman" w:hAnsi="Garamond" w:cs="Times New Roman"/>
                <w:color w:val="111111"/>
                <w:w w:val="105"/>
              </w:rPr>
              <w:t>a</w:t>
            </w:r>
            <w:r w:rsidRPr="004A0C12">
              <w:rPr>
                <w:rFonts w:ascii="Garamond" w:eastAsia="Times New Roman" w:hAnsi="Garamond" w:cs="Times New Roman"/>
                <w:color w:val="111111"/>
                <w:spacing w:val="-12"/>
                <w:w w:val="105"/>
              </w:rPr>
              <w:t xml:space="preserve"> </w:t>
            </w:r>
            <w:r w:rsidRPr="004A0C12">
              <w:rPr>
                <w:rFonts w:ascii="Garamond" w:eastAsia="Times New Roman" w:hAnsi="Garamond" w:cs="Times New Roman"/>
                <w:color w:val="111111"/>
                <w:w w:val="105"/>
              </w:rPr>
              <w:t>condition for</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12"/>
                <w:w w:val="105"/>
              </w:rPr>
              <w:t xml:space="preserve"> </w:t>
            </w:r>
            <w:r w:rsidRPr="004A0C12">
              <w:rPr>
                <w:rFonts w:ascii="Garamond" w:eastAsia="Times New Roman" w:hAnsi="Garamond" w:cs="Times New Roman"/>
                <w:color w:val="111111"/>
                <w:w w:val="105"/>
              </w:rPr>
              <w:t>receipt</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1"/>
                <w:w w:val="105"/>
              </w:rPr>
              <w:t xml:space="preserve"> </w:t>
            </w:r>
            <w:r w:rsidRPr="004A0C12">
              <w:rPr>
                <w:rFonts w:ascii="Garamond" w:eastAsia="Times New Roman" w:hAnsi="Garamond" w:cs="Times New Roman"/>
                <w:color w:val="111111"/>
                <w:w w:val="105"/>
              </w:rPr>
              <w:t>Federal</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funds</w:t>
            </w:r>
            <w:r w:rsidRPr="004A0C12">
              <w:rPr>
                <w:rFonts w:ascii="Garamond" w:eastAsia="Times New Roman" w:hAnsi="Garamond" w:cs="Times New Roman"/>
                <w:color w:val="111111"/>
                <w:spacing w:val="-13"/>
                <w:w w:val="105"/>
              </w:rPr>
              <w:t xml:space="preserve"> </w:t>
            </w:r>
            <w:r w:rsidRPr="004A0C12">
              <w:rPr>
                <w:rFonts w:ascii="Garamond" w:eastAsia="Times New Roman" w:hAnsi="Garamond" w:cs="Times New Roman"/>
                <w:color w:val="111111"/>
                <w:w w:val="105"/>
              </w:rPr>
              <w:t>under</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title</w:t>
            </w:r>
            <w:r w:rsidRPr="004A0C12">
              <w:rPr>
                <w:rFonts w:ascii="Garamond" w:eastAsia="Times New Roman" w:hAnsi="Garamond" w:cs="Times New Roman"/>
                <w:color w:val="111111"/>
                <w:spacing w:val="-9"/>
                <w:w w:val="105"/>
              </w:rPr>
              <w:t xml:space="preserve"> </w:t>
            </w:r>
            <w:r w:rsidRPr="004A0C12">
              <w:rPr>
                <w:rFonts w:ascii="Garamond" w:eastAsia="Times New Roman" w:hAnsi="Garamond" w:cs="Times New Roman"/>
                <w:color w:val="111111"/>
                <w:w w:val="105"/>
              </w:rPr>
              <w:t>VI</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15"/>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Rehabilitation</w:t>
            </w:r>
          </w:p>
          <w:p w14:paraId="3A3B05E6" w14:textId="04375FB5" w:rsidR="001F7B29" w:rsidRPr="004A0C12" w:rsidRDefault="001F7B29" w:rsidP="00A2533C">
            <w:pPr>
              <w:widowControl w:val="0"/>
              <w:spacing w:after="0" w:line="240" w:lineRule="auto"/>
              <w:ind w:right="249"/>
              <w:rPr>
                <w:rFonts w:ascii="Garamond" w:eastAsia="Times New Roman" w:hAnsi="Garamond" w:cs="Times New Roman"/>
              </w:rPr>
            </w:pPr>
            <w:r w:rsidRPr="004A0C12">
              <w:rPr>
                <w:rFonts w:ascii="Garamond" w:eastAsia="Times New Roman" w:hAnsi="Garamond" w:cs="Times New Roman"/>
                <w:color w:val="111111"/>
                <w:w w:val="105"/>
              </w:rPr>
              <w:t>Act</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for</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supported</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employment</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services,</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designated</w:t>
            </w:r>
            <w:r w:rsidRPr="004A0C12">
              <w:rPr>
                <w:rFonts w:ascii="Garamond" w:eastAsia="Times New Roman" w:hAnsi="Garamond" w:cs="Times New Roman"/>
                <w:color w:val="111111"/>
                <w:spacing w:val="19"/>
                <w:w w:val="105"/>
              </w:rPr>
              <w:t xml:space="preserve"> </w:t>
            </w:r>
            <w:r w:rsidRPr="004A0C12">
              <w:rPr>
                <w:rFonts w:ascii="Garamond" w:eastAsia="Times New Roman" w:hAnsi="Garamond" w:cs="Times New Roman"/>
                <w:color w:val="111111"/>
                <w:w w:val="105"/>
              </w:rPr>
              <w:t>State</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agency</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agrees</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to</w:t>
            </w:r>
            <w:r w:rsidRPr="004A0C12">
              <w:rPr>
                <w:rFonts w:ascii="Garamond" w:eastAsia="Times New Roman" w:hAnsi="Garamond" w:cs="Times New Roman"/>
                <w:color w:val="111111"/>
                <w:w w:val="101"/>
              </w:rPr>
              <w:t xml:space="preserve"> </w:t>
            </w:r>
            <w:r w:rsidRPr="004A0C12">
              <w:rPr>
                <w:rFonts w:ascii="Garamond" w:eastAsia="Times New Roman" w:hAnsi="Garamond" w:cs="Times New Roman"/>
                <w:color w:val="111111"/>
                <w:w w:val="105"/>
              </w:rPr>
              <w:t>operate and</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administer</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9"/>
                <w:w w:val="105"/>
              </w:rPr>
              <w:t xml:space="preserve"> </w:t>
            </w:r>
            <w:r w:rsidRPr="004A0C12">
              <w:rPr>
                <w:rFonts w:ascii="Garamond" w:eastAsia="Times New Roman" w:hAnsi="Garamond" w:cs="Times New Roman"/>
                <w:color w:val="111111"/>
                <w:w w:val="105"/>
              </w:rPr>
              <w:t>State</w:t>
            </w:r>
            <w:r w:rsidRPr="004A0C12">
              <w:rPr>
                <w:rFonts w:ascii="Garamond" w:eastAsia="Times New Roman" w:hAnsi="Garamond" w:cs="Times New Roman"/>
                <w:color w:val="111111"/>
                <w:spacing w:val="-17"/>
                <w:w w:val="105"/>
              </w:rPr>
              <w:t xml:space="preserve"> </w:t>
            </w:r>
            <w:r w:rsidRPr="004A0C12">
              <w:rPr>
                <w:rFonts w:ascii="Garamond" w:eastAsia="Times New Roman" w:hAnsi="Garamond" w:cs="Times New Roman"/>
                <w:color w:val="111111"/>
                <w:w w:val="105"/>
              </w:rPr>
              <w:t>Supported</w:t>
            </w:r>
            <w:r w:rsidRPr="004A0C12">
              <w:rPr>
                <w:rFonts w:ascii="Garamond" w:eastAsia="Times New Roman" w:hAnsi="Garamond" w:cs="Times New Roman"/>
                <w:color w:val="111111"/>
                <w:spacing w:val="16"/>
                <w:w w:val="105"/>
              </w:rPr>
              <w:t xml:space="preserve"> </w:t>
            </w:r>
            <w:r w:rsidRPr="004A0C12">
              <w:rPr>
                <w:rFonts w:ascii="Garamond" w:eastAsia="Times New Roman" w:hAnsi="Garamond" w:cs="Times New Roman"/>
                <w:color w:val="111111"/>
                <w:w w:val="105"/>
              </w:rPr>
              <w:t>Employment</w:t>
            </w:r>
            <w:r w:rsidRPr="004A0C12">
              <w:rPr>
                <w:rFonts w:ascii="Garamond" w:eastAsia="Times New Roman" w:hAnsi="Garamond" w:cs="Times New Roman"/>
                <w:color w:val="111111"/>
                <w:spacing w:val="17"/>
                <w:w w:val="105"/>
              </w:rPr>
              <w:t xml:space="preserve"> </w:t>
            </w:r>
            <w:r w:rsidRPr="004A0C12">
              <w:rPr>
                <w:rFonts w:ascii="Garamond" w:eastAsia="Times New Roman" w:hAnsi="Garamond" w:cs="Times New Roman"/>
                <w:color w:val="111111"/>
                <w:w w:val="105"/>
              </w:rPr>
              <w:t>Services</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Program</w:t>
            </w:r>
            <w:r w:rsidRPr="004A0C12">
              <w:rPr>
                <w:rFonts w:ascii="Garamond" w:eastAsia="Times New Roman" w:hAnsi="Garamond" w:cs="Times New Roman"/>
                <w:color w:val="111111"/>
                <w:spacing w:val="32"/>
                <w:w w:val="105"/>
              </w:rPr>
              <w:t xml:space="preserve"> </w:t>
            </w:r>
            <w:r w:rsidRPr="004A0C12">
              <w:rPr>
                <w:rFonts w:ascii="Garamond" w:eastAsia="Times New Roman" w:hAnsi="Garamond" w:cs="Times New Roman"/>
                <w:color w:val="111111"/>
                <w:w w:val="105"/>
              </w:rPr>
              <w:t>in</w:t>
            </w:r>
            <w:r w:rsidRPr="004A0C12">
              <w:rPr>
                <w:rFonts w:ascii="Garamond" w:eastAsia="Times New Roman" w:hAnsi="Garamond" w:cs="Times New Roman"/>
                <w:color w:val="111111"/>
                <w:w w:val="94"/>
              </w:rPr>
              <w:t xml:space="preserve"> </w:t>
            </w:r>
            <w:r w:rsidRPr="004A0C12">
              <w:rPr>
                <w:rFonts w:ascii="Garamond" w:eastAsia="Times New Roman" w:hAnsi="Garamond" w:cs="Times New Roman"/>
                <w:color w:val="111111"/>
                <w:w w:val="105"/>
              </w:rPr>
              <w:t>accordance</w:t>
            </w:r>
            <w:r w:rsidRPr="004A0C12">
              <w:rPr>
                <w:rFonts w:ascii="Garamond" w:eastAsia="Times New Roman" w:hAnsi="Garamond" w:cs="Times New Roman"/>
                <w:color w:val="111111"/>
                <w:spacing w:val="-12"/>
                <w:w w:val="105"/>
              </w:rPr>
              <w:t xml:space="preserve"> </w:t>
            </w:r>
            <w:r w:rsidRPr="004A0C12">
              <w:rPr>
                <w:rFonts w:ascii="Garamond" w:eastAsia="Times New Roman" w:hAnsi="Garamond" w:cs="Times New Roman"/>
                <w:color w:val="111111"/>
                <w:w w:val="105"/>
              </w:rPr>
              <w:t>with</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16"/>
                <w:w w:val="105"/>
              </w:rPr>
              <w:t xml:space="preserve"> </w:t>
            </w:r>
            <w:r w:rsidRPr="004A0C12">
              <w:rPr>
                <w:rFonts w:ascii="Garamond" w:eastAsia="Times New Roman" w:hAnsi="Garamond" w:cs="Times New Roman"/>
                <w:color w:val="111111"/>
                <w:w w:val="105"/>
              </w:rPr>
              <w:t>supplement</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to</w:t>
            </w:r>
            <w:r w:rsidRPr="004A0C12">
              <w:rPr>
                <w:rFonts w:ascii="Garamond" w:eastAsia="Times New Roman" w:hAnsi="Garamond" w:cs="Times New Roman"/>
                <w:color w:val="111111"/>
                <w:spacing w:val="-1"/>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VR</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services</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portion</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Combined</w:t>
            </w:r>
            <w:r w:rsidRPr="004A0C12">
              <w:rPr>
                <w:rFonts w:ascii="Garamond" w:eastAsia="Times New Roman" w:hAnsi="Garamond" w:cs="Times New Roman"/>
                <w:color w:val="111111"/>
                <w:spacing w:val="1"/>
                <w:w w:val="105"/>
              </w:rPr>
              <w:t xml:space="preserve"> </w:t>
            </w:r>
            <w:r w:rsidRPr="004A0C12">
              <w:rPr>
                <w:rFonts w:ascii="Garamond" w:eastAsia="Times New Roman" w:hAnsi="Garamond" w:cs="Times New Roman"/>
                <w:color w:val="111111"/>
                <w:w w:val="105"/>
              </w:rPr>
              <w:t>State</w:t>
            </w:r>
            <w:r w:rsidRPr="004A0C12">
              <w:rPr>
                <w:rFonts w:ascii="Garamond" w:eastAsia="Times New Roman" w:hAnsi="Garamond" w:cs="Times New Roman"/>
                <w:color w:val="111111"/>
                <w:spacing w:val="-9"/>
                <w:w w:val="105"/>
              </w:rPr>
              <w:t xml:space="preserve"> </w:t>
            </w:r>
            <w:r w:rsidRPr="004A0C12">
              <w:rPr>
                <w:rFonts w:ascii="Garamond" w:eastAsia="Times New Roman" w:hAnsi="Garamond" w:cs="Times New Roman"/>
                <w:color w:val="111111"/>
                <w:w w:val="105"/>
              </w:rPr>
              <w:t>Pla</w:t>
            </w:r>
            <w:r w:rsidRPr="004A0C12">
              <w:rPr>
                <w:rFonts w:ascii="Garamond" w:eastAsia="Times New Roman" w:hAnsi="Garamond" w:cs="Times New Roman"/>
                <w:color w:val="111111"/>
                <w:spacing w:val="21"/>
                <w:w w:val="105"/>
              </w:rPr>
              <w:t>n</w:t>
            </w:r>
            <w:r w:rsidRPr="004A0C12">
              <w:rPr>
                <w:rFonts w:ascii="Garamond" w:eastAsia="Times New Roman" w:hAnsi="Garamond" w:cs="Times New Roman"/>
                <w:color w:val="111111"/>
                <w:spacing w:val="-25"/>
                <w:w w:val="105"/>
                <w:position w:val="6"/>
              </w:rPr>
              <w:t>18</w:t>
            </w:r>
            <w:r w:rsidRPr="004A0C12">
              <w:rPr>
                <w:rFonts w:ascii="Garamond" w:eastAsia="Times New Roman" w:hAnsi="Garamond" w:cs="Times New Roman"/>
                <w:color w:val="111111"/>
                <w:w w:val="105"/>
              </w:rPr>
              <w:t>,</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Rehabilitation</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Act,</w:t>
            </w:r>
            <w:r w:rsidRPr="004A0C12">
              <w:rPr>
                <w:rFonts w:ascii="Garamond" w:eastAsia="Times New Roman" w:hAnsi="Garamond" w:cs="Times New Roman"/>
                <w:color w:val="111111"/>
                <w:spacing w:val="-17"/>
                <w:w w:val="105"/>
              </w:rPr>
              <w:t xml:space="preserve"> </w:t>
            </w:r>
            <w:r w:rsidRPr="004A0C12">
              <w:rPr>
                <w:rFonts w:ascii="Garamond" w:eastAsia="Times New Roman" w:hAnsi="Garamond" w:cs="Times New Roman"/>
                <w:color w:val="111111"/>
                <w:w w:val="105"/>
              </w:rPr>
              <w:t>and</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all</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applicable</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regulations</w:t>
            </w:r>
            <w:r w:rsidRPr="004A0C12">
              <w:rPr>
                <w:rFonts w:ascii="Garamond" w:eastAsia="Times New Roman" w:hAnsi="Garamond" w:cs="Times New Roman"/>
                <w:color w:val="111111"/>
                <w:spacing w:val="-36"/>
                <w:w w:val="105"/>
              </w:rPr>
              <w:t xml:space="preserve"> </w:t>
            </w:r>
            <w:r w:rsidRPr="004A0C12">
              <w:rPr>
                <w:rFonts w:ascii="Garamond" w:eastAsia="Times New Roman" w:hAnsi="Garamond" w:cs="Times New Roman"/>
                <w:color w:val="111111"/>
                <w:w w:val="105"/>
                <w:position w:val="6"/>
              </w:rPr>
              <w:t>1</w:t>
            </w:r>
            <w:r w:rsidRPr="004A0C12">
              <w:rPr>
                <w:rFonts w:ascii="Garamond" w:eastAsia="Times New Roman" w:hAnsi="Garamond" w:cs="Times New Roman"/>
                <w:color w:val="111111"/>
                <w:spacing w:val="-15"/>
                <w:w w:val="105"/>
                <w:position w:val="6"/>
              </w:rPr>
              <w:t>9</w:t>
            </w:r>
            <w:r w:rsidRPr="004A0C12">
              <w:rPr>
                <w:rFonts w:ascii="Garamond" w:eastAsia="Times New Roman" w:hAnsi="Garamond" w:cs="Times New Roman"/>
                <w:color w:val="111111"/>
                <w:w w:val="105"/>
              </w:rPr>
              <w:t>,</w:t>
            </w:r>
            <w:r w:rsidRPr="004A0C12">
              <w:rPr>
                <w:rFonts w:ascii="Garamond" w:eastAsia="Times New Roman" w:hAnsi="Garamond" w:cs="Times New Roman"/>
                <w:color w:val="111111"/>
                <w:w w:val="203"/>
              </w:rPr>
              <w:t xml:space="preserve"> </w:t>
            </w:r>
            <w:r w:rsidRPr="004A0C12">
              <w:rPr>
                <w:rFonts w:ascii="Garamond" w:eastAsia="Times New Roman" w:hAnsi="Garamond" w:cs="Times New Roman"/>
                <w:color w:val="111111"/>
                <w:w w:val="105"/>
              </w:rPr>
              <w:t>policies, and</w:t>
            </w:r>
            <w:r w:rsidRPr="004A0C12">
              <w:rPr>
                <w:rFonts w:ascii="Garamond" w:eastAsia="Times New Roman" w:hAnsi="Garamond" w:cs="Times New Roman"/>
                <w:color w:val="111111"/>
                <w:spacing w:val="6"/>
                <w:w w:val="105"/>
              </w:rPr>
              <w:t xml:space="preserve"> </w:t>
            </w:r>
            <w:r w:rsidRPr="004A0C12">
              <w:rPr>
                <w:rFonts w:ascii="Garamond" w:eastAsia="Times New Roman" w:hAnsi="Garamond" w:cs="Times New Roman"/>
                <w:color w:val="111111"/>
                <w:w w:val="105"/>
              </w:rPr>
              <w:t>procedures</w:t>
            </w:r>
            <w:r w:rsidRPr="004A0C12">
              <w:rPr>
                <w:rFonts w:ascii="Garamond" w:eastAsia="Times New Roman" w:hAnsi="Garamond" w:cs="Times New Roman"/>
                <w:color w:val="111111"/>
                <w:spacing w:val="13"/>
                <w:w w:val="105"/>
              </w:rPr>
              <w:t xml:space="preserve"> </w:t>
            </w:r>
            <w:r w:rsidRPr="004A0C12">
              <w:rPr>
                <w:rFonts w:ascii="Garamond" w:eastAsia="Times New Roman" w:hAnsi="Garamond" w:cs="Times New Roman"/>
                <w:color w:val="111111"/>
                <w:w w:val="105"/>
              </w:rPr>
              <w:t>established</w:t>
            </w:r>
            <w:r w:rsidRPr="004A0C12">
              <w:rPr>
                <w:rFonts w:ascii="Garamond" w:eastAsia="Times New Roman" w:hAnsi="Garamond" w:cs="Times New Roman"/>
                <w:color w:val="111111"/>
                <w:spacing w:val="20"/>
                <w:w w:val="105"/>
              </w:rPr>
              <w:t xml:space="preserve"> </w:t>
            </w:r>
            <w:r w:rsidRPr="004A0C12">
              <w:rPr>
                <w:rFonts w:ascii="Garamond" w:eastAsia="Times New Roman" w:hAnsi="Garamond" w:cs="Times New Roman"/>
                <w:color w:val="111111"/>
                <w:w w:val="105"/>
              </w:rPr>
              <w:t>by</w:t>
            </w:r>
            <w:r w:rsidRPr="004A0C12">
              <w:rPr>
                <w:rFonts w:ascii="Garamond" w:eastAsia="Times New Roman" w:hAnsi="Garamond" w:cs="Times New Roman"/>
                <w:color w:val="111111"/>
                <w:spacing w:val="-15"/>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Secretary</w:t>
            </w:r>
            <w:r w:rsidRPr="004A0C12">
              <w:rPr>
                <w:rFonts w:ascii="Garamond" w:eastAsia="Times New Roman" w:hAnsi="Garamond" w:cs="Times New Roman"/>
                <w:color w:val="111111"/>
                <w:spacing w:val="-18"/>
                <w:w w:val="105"/>
              </w:rPr>
              <w:t xml:space="preserve"> </w:t>
            </w:r>
            <w:r w:rsidRPr="004A0C12">
              <w:rPr>
                <w:rFonts w:ascii="Garamond" w:eastAsia="Times New Roman" w:hAnsi="Garamond" w:cs="Times New Roman"/>
                <w:color w:val="111111"/>
                <w:w w:val="105"/>
              </w:rPr>
              <w:t>of Education.</w:t>
            </w:r>
            <w:r w:rsidRPr="004A0C12">
              <w:rPr>
                <w:rFonts w:ascii="Garamond" w:eastAsia="Times New Roman" w:hAnsi="Garamond" w:cs="Times New Roman"/>
                <w:color w:val="111111"/>
                <w:spacing w:val="1"/>
                <w:w w:val="105"/>
              </w:rPr>
              <w:t xml:space="preserve"> </w:t>
            </w:r>
            <w:r w:rsidRPr="004A0C12">
              <w:rPr>
                <w:rFonts w:ascii="Garamond" w:eastAsia="Times New Roman" w:hAnsi="Garamond" w:cs="Times New Roman"/>
                <w:color w:val="111111"/>
                <w:w w:val="105"/>
              </w:rPr>
              <w:t>Funds</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made</w:t>
            </w:r>
            <w:r w:rsidRPr="004A0C12">
              <w:rPr>
                <w:rFonts w:ascii="Garamond" w:eastAsia="Times New Roman" w:hAnsi="Garamond" w:cs="Times New Roman"/>
                <w:color w:val="111111"/>
                <w:w w:val="104"/>
              </w:rPr>
              <w:t xml:space="preserve"> </w:t>
            </w:r>
            <w:r w:rsidRPr="004A0C12">
              <w:rPr>
                <w:rFonts w:ascii="Garamond" w:eastAsia="Times New Roman" w:hAnsi="Garamond" w:cs="Times New Roman"/>
                <w:color w:val="111111"/>
                <w:w w:val="105"/>
              </w:rPr>
              <w:t>available</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under</w:t>
            </w:r>
            <w:r w:rsidRPr="004A0C12">
              <w:rPr>
                <w:rFonts w:ascii="Garamond" w:eastAsia="Times New Roman" w:hAnsi="Garamond" w:cs="Times New Roman"/>
                <w:color w:val="111111"/>
                <w:spacing w:val="8"/>
                <w:w w:val="105"/>
              </w:rPr>
              <w:t xml:space="preserve"> </w:t>
            </w:r>
            <w:r w:rsidRPr="004A0C12">
              <w:rPr>
                <w:rFonts w:ascii="Garamond" w:eastAsia="Times New Roman" w:hAnsi="Garamond" w:cs="Times New Roman"/>
                <w:color w:val="111111"/>
                <w:w w:val="105"/>
              </w:rPr>
              <w:t>title</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VI</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are</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used</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solely</w:t>
            </w:r>
            <w:r w:rsidRPr="004A0C12">
              <w:rPr>
                <w:rFonts w:ascii="Garamond" w:eastAsia="Times New Roman" w:hAnsi="Garamond" w:cs="Times New Roman"/>
                <w:color w:val="111111"/>
                <w:spacing w:val="-18"/>
                <w:w w:val="105"/>
              </w:rPr>
              <w:t xml:space="preserve"> </w:t>
            </w:r>
            <w:r w:rsidRPr="004A0C12">
              <w:rPr>
                <w:rFonts w:ascii="Garamond" w:eastAsia="Times New Roman" w:hAnsi="Garamond" w:cs="Times New Roman"/>
                <w:color w:val="111111"/>
                <w:w w:val="105"/>
              </w:rPr>
              <w:t>for</w:t>
            </w:r>
            <w:r w:rsidRPr="004A0C12">
              <w:rPr>
                <w:rFonts w:ascii="Garamond" w:eastAsia="Times New Roman" w:hAnsi="Garamond" w:cs="Times New Roman"/>
                <w:color w:val="111111"/>
                <w:spacing w:val="-9"/>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provision</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7"/>
                <w:w w:val="105"/>
              </w:rPr>
              <w:t xml:space="preserve"> </w:t>
            </w:r>
            <w:r w:rsidRPr="004A0C12">
              <w:rPr>
                <w:rFonts w:ascii="Garamond" w:eastAsia="Times New Roman" w:hAnsi="Garamond" w:cs="Times New Roman"/>
                <w:color w:val="111111"/>
                <w:w w:val="105"/>
              </w:rPr>
              <w:t>supported</w:t>
            </w:r>
            <w:r w:rsidRPr="004A0C12">
              <w:rPr>
                <w:rFonts w:ascii="Garamond" w:eastAsia="Times New Roman" w:hAnsi="Garamond" w:cs="Times New Roman"/>
                <w:color w:val="111111"/>
                <w:spacing w:val="9"/>
                <w:w w:val="105"/>
              </w:rPr>
              <w:t xml:space="preserve"> </w:t>
            </w:r>
            <w:r w:rsidRPr="004A0C12">
              <w:rPr>
                <w:rFonts w:ascii="Garamond" w:eastAsia="Times New Roman" w:hAnsi="Garamond" w:cs="Times New Roman"/>
                <w:color w:val="111111"/>
                <w:w w:val="105"/>
              </w:rPr>
              <w:t>employment services</w:t>
            </w:r>
            <w:r w:rsidRPr="004A0C12">
              <w:rPr>
                <w:rFonts w:ascii="Garamond" w:eastAsia="Times New Roman" w:hAnsi="Garamond" w:cs="Times New Roman"/>
                <w:color w:val="111111"/>
                <w:spacing w:val="3"/>
                <w:w w:val="105"/>
              </w:rPr>
              <w:t xml:space="preserve"> </w:t>
            </w:r>
            <w:r w:rsidRPr="004A0C12">
              <w:rPr>
                <w:rFonts w:ascii="Garamond" w:eastAsia="Times New Roman" w:hAnsi="Garamond" w:cs="Times New Roman"/>
                <w:color w:val="111111"/>
                <w:w w:val="105"/>
              </w:rPr>
              <w:t>and</w:t>
            </w:r>
            <w:r w:rsidRPr="004A0C12">
              <w:rPr>
                <w:rFonts w:ascii="Garamond" w:eastAsia="Times New Roman" w:hAnsi="Garamond" w:cs="Times New Roman"/>
                <w:color w:val="111111"/>
                <w:spacing w:val="13"/>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2"/>
                <w:w w:val="105"/>
              </w:rPr>
              <w:t xml:space="preserve"> </w:t>
            </w:r>
            <w:r w:rsidRPr="004A0C12">
              <w:rPr>
                <w:rFonts w:ascii="Garamond" w:eastAsia="Times New Roman" w:hAnsi="Garamond" w:cs="Times New Roman"/>
                <w:color w:val="111111"/>
                <w:w w:val="105"/>
              </w:rPr>
              <w:t>administration</w:t>
            </w:r>
            <w:r w:rsidRPr="004A0C12">
              <w:rPr>
                <w:rFonts w:ascii="Garamond" w:eastAsia="Times New Roman" w:hAnsi="Garamond" w:cs="Times New Roman"/>
                <w:color w:val="111111"/>
                <w:spacing w:val="23"/>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16"/>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12"/>
                <w:w w:val="105"/>
              </w:rPr>
              <w:t xml:space="preserve"> </w:t>
            </w:r>
            <w:r w:rsidRPr="004A0C12">
              <w:rPr>
                <w:rFonts w:ascii="Garamond" w:eastAsia="Times New Roman" w:hAnsi="Garamond" w:cs="Times New Roman"/>
                <w:color w:val="111111"/>
                <w:w w:val="105"/>
              </w:rPr>
              <w:t>supplement</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to</w:t>
            </w:r>
            <w:r w:rsidRPr="004A0C12">
              <w:rPr>
                <w:rFonts w:ascii="Garamond" w:eastAsia="Times New Roman" w:hAnsi="Garamond" w:cs="Times New Roman"/>
                <w:color w:val="111111"/>
                <w:spacing w:val="18"/>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12"/>
                <w:w w:val="105"/>
              </w:rPr>
              <w:t xml:space="preserve"> </w:t>
            </w:r>
            <w:r w:rsidRPr="004A0C12">
              <w:rPr>
                <w:rFonts w:ascii="Garamond" w:eastAsia="Times New Roman" w:hAnsi="Garamond" w:cs="Times New Roman"/>
                <w:color w:val="111111"/>
                <w:w w:val="105"/>
              </w:rPr>
              <w:t>VR</w:t>
            </w:r>
            <w:r w:rsidRPr="004A0C12">
              <w:rPr>
                <w:rFonts w:ascii="Garamond" w:eastAsia="Times New Roman" w:hAnsi="Garamond" w:cs="Times New Roman"/>
                <w:i/>
                <w:color w:val="111111"/>
                <w:spacing w:val="-34"/>
                <w:w w:val="105"/>
              </w:rPr>
              <w:t xml:space="preserve"> </w:t>
            </w:r>
            <w:r w:rsidRPr="004A0C12">
              <w:rPr>
                <w:rFonts w:ascii="Garamond" w:eastAsia="Times New Roman" w:hAnsi="Garamond" w:cs="Times New Roman"/>
                <w:color w:val="111111"/>
                <w:w w:val="105"/>
              </w:rPr>
              <w:t>services</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portion</w:t>
            </w:r>
            <w:r w:rsidRPr="004A0C12">
              <w:rPr>
                <w:rFonts w:ascii="Garamond" w:eastAsia="Times New Roman" w:hAnsi="Garamond" w:cs="Times New Roman"/>
                <w:color w:val="111111"/>
                <w:spacing w:val="24"/>
                <w:w w:val="105"/>
              </w:rPr>
              <w:t xml:space="preserve"> </w:t>
            </w:r>
            <w:r w:rsidRPr="004A0C12">
              <w:rPr>
                <w:rFonts w:ascii="Garamond" w:eastAsia="Times New Roman" w:hAnsi="Garamond" w:cs="Times New Roman"/>
                <w:color w:val="111111"/>
                <w:w w:val="105"/>
              </w:rPr>
              <w:t>of</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w w:val="109"/>
              </w:rPr>
              <w:t xml:space="preserve"> </w:t>
            </w:r>
            <w:r w:rsidRPr="004A0C12">
              <w:rPr>
                <w:rFonts w:ascii="Garamond" w:eastAsia="Times New Roman" w:hAnsi="Garamond" w:cs="Times New Roman"/>
                <w:color w:val="111111"/>
                <w:w w:val="105"/>
              </w:rPr>
              <w:t>Unified</w:t>
            </w:r>
            <w:r w:rsidRPr="004A0C12">
              <w:rPr>
                <w:rFonts w:ascii="Garamond" w:eastAsia="Times New Roman" w:hAnsi="Garamond" w:cs="Times New Roman"/>
                <w:color w:val="111111"/>
                <w:spacing w:val="-16"/>
                <w:w w:val="105"/>
              </w:rPr>
              <w:t xml:space="preserve"> </w:t>
            </w:r>
            <w:r w:rsidRPr="004A0C12">
              <w:rPr>
                <w:rFonts w:ascii="Garamond" w:eastAsia="Times New Roman" w:hAnsi="Garamond" w:cs="Times New Roman"/>
                <w:color w:val="111111"/>
                <w:w w:val="105"/>
              </w:rPr>
              <w:t>or</w:t>
            </w:r>
            <w:r w:rsidRPr="004A0C12">
              <w:rPr>
                <w:rFonts w:ascii="Garamond" w:eastAsia="Times New Roman" w:hAnsi="Garamond" w:cs="Times New Roman"/>
                <w:color w:val="111111"/>
                <w:spacing w:val="-32"/>
                <w:w w:val="105"/>
              </w:rPr>
              <w:t xml:space="preserve"> </w:t>
            </w:r>
            <w:r w:rsidRPr="004A0C12">
              <w:rPr>
                <w:rFonts w:ascii="Garamond" w:eastAsia="Times New Roman" w:hAnsi="Garamond" w:cs="Times New Roman"/>
                <w:color w:val="111111"/>
                <w:w w:val="105"/>
              </w:rPr>
              <w:t>Combined</w:t>
            </w:r>
            <w:r w:rsidRPr="004A0C12">
              <w:rPr>
                <w:rFonts w:ascii="Garamond" w:eastAsia="Times New Roman" w:hAnsi="Garamond" w:cs="Times New Roman"/>
                <w:color w:val="111111"/>
                <w:spacing w:val="-21"/>
                <w:w w:val="105"/>
              </w:rPr>
              <w:t xml:space="preserve"> </w:t>
            </w:r>
            <w:r w:rsidRPr="004A0C12">
              <w:rPr>
                <w:rFonts w:ascii="Garamond" w:eastAsia="Times New Roman" w:hAnsi="Garamond" w:cs="Times New Roman"/>
                <w:color w:val="111111"/>
                <w:w w:val="105"/>
              </w:rPr>
              <w:t>State</w:t>
            </w:r>
            <w:r w:rsidRPr="004A0C12">
              <w:rPr>
                <w:rFonts w:ascii="Garamond" w:eastAsia="Times New Roman" w:hAnsi="Garamond" w:cs="Times New Roman"/>
                <w:color w:val="111111"/>
                <w:spacing w:val="-27"/>
                <w:w w:val="105"/>
              </w:rPr>
              <w:t xml:space="preserve"> </w:t>
            </w:r>
            <w:r w:rsidRPr="004A0C12">
              <w:rPr>
                <w:rFonts w:ascii="Garamond" w:eastAsia="Times New Roman" w:hAnsi="Garamond" w:cs="Times New Roman"/>
                <w:color w:val="111111"/>
                <w:w w:val="105"/>
              </w:rPr>
              <w:t>Plan;</w:t>
            </w:r>
          </w:p>
        </w:tc>
      </w:tr>
      <w:tr w:rsidR="001F7B29" w:rsidRPr="004A0C12" w14:paraId="55C9190B" w14:textId="77777777" w:rsidTr="00536320">
        <w:trPr>
          <w:trHeight w:hRule="exact" w:val="875"/>
        </w:trPr>
        <w:tc>
          <w:tcPr>
            <w:tcW w:w="465" w:type="dxa"/>
            <w:tcBorders>
              <w:top w:val="single" w:sz="8" w:space="0" w:color="000000"/>
              <w:left w:val="single" w:sz="8" w:space="0" w:color="000000"/>
              <w:bottom w:val="single" w:sz="8" w:space="0" w:color="000000"/>
              <w:right w:val="single" w:sz="8" w:space="0" w:color="000000"/>
            </w:tcBorders>
            <w:hideMark/>
          </w:tcPr>
          <w:p w14:paraId="4460E952" w14:textId="77777777" w:rsidR="001F7B29" w:rsidRPr="004A0C12" w:rsidRDefault="001F7B29" w:rsidP="00E500D8">
            <w:pPr>
              <w:widowControl w:val="0"/>
              <w:spacing w:line="302" w:lineRule="exact"/>
              <w:rPr>
                <w:rFonts w:ascii="Garamond" w:eastAsia="Courier New" w:hAnsi="Garamond" w:cs="Times New Roman"/>
              </w:rPr>
            </w:pPr>
            <w:r w:rsidRPr="004A0C12">
              <w:rPr>
                <w:rFonts w:ascii="Garamond" w:eastAsia="Courier New" w:hAnsi="Garamond" w:cs="Times New Roman"/>
                <w:color w:val="111111"/>
                <w:w w:val="65"/>
              </w:rPr>
              <w:lastRenderedPageBreak/>
              <w:t>4.</w:t>
            </w:r>
          </w:p>
        </w:tc>
        <w:tc>
          <w:tcPr>
            <w:tcW w:w="9004" w:type="dxa"/>
            <w:tcBorders>
              <w:top w:val="single" w:sz="8" w:space="0" w:color="000000"/>
              <w:left w:val="single" w:sz="8" w:space="0" w:color="000000"/>
              <w:bottom w:val="single" w:sz="8" w:space="0" w:color="000000"/>
              <w:right w:val="single" w:sz="4" w:space="0" w:color="000000"/>
            </w:tcBorders>
            <w:hideMark/>
          </w:tcPr>
          <w:p w14:paraId="54E3BE83"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4"/>
                <w:w w:val="105"/>
              </w:rPr>
              <w:t xml:space="preserve"> </w:t>
            </w:r>
            <w:r w:rsidRPr="004A0C12">
              <w:rPr>
                <w:rFonts w:ascii="Garamond" w:eastAsia="Times New Roman" w:hAnsi="Garamond" w:cs="Times New Roman"/>
                <w:color w:val="111111"/>
                <w:w w:val="105"/>
              </w:rPr>
              <w:t>designated</w:t>
            </w:r>
            <w:r w:rsidRPr="004A0C12">
              <w:rPr>
                <w:rFonts w:ascii="Garamond" w:eastAsia="Times New Roman" w:hAnsi="Garamond" w:cs="Times New Roman"/>
                <w:color w:val="111111"/>
                <w:spacing w:val="36"/>
                <w:w w:val="105"/>
              </w:rPr>
              <w:t xml:space="preserve"> </w:t>
            </w:r>
            <w:r w:rsidRPr="004A0C12">
              <w:rPr>
                <w:rFonts w:ascii="Garamond" w:eastAsia="Times New Roman" w:hAnsi="Garamond" w:cs="Times New Roman"/>
                <w:color w:val="111111"/>
                <w:w w:val="105"/>
              </w:rPr>
              <w:t>State</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agency</w:t>
            </w:r>
            <w:r w:rsidRPr="004A0C12">
              <w:rPr>
                <w:rFonts w:ascii="Garamond" w:eastAsia="Times New Roman" w:hAnsi="Garamond" w:cs="Times New Roman"/>
                <w:color w:val="111111"/>
                <w:spacing w:val="10"/>
                <w:w w:val="105"/>
              </w:rPr>
              <w:t xml:space="preserve"> </w:t>
            </w:r>
            <w:r w:rsidRPr="004A0C12">
              <w:rPr>
                <w:rFonts w:ascii="Garamond" w:eastAsia="Times New Roman" w:hAnsi="Garamond" w:cs="Times New Roman"/>
                <w:color w:val="111111"/>
                <w:w w:val="105"/>
              </w:rPr>
              <w:t>and/or</w:t>
            </w:r>
            <w:r w:rsidRPr="004A0C12">
              <w:rPr>
                <w:rFonts w:ascii="Garamond" w:eastAsia="Times New Roman" w:hAnsi="Garamond" w:cs="Times New Roman"/>
                <w:color w:val="111111"/>
                <w:spacing w:val="19"/>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13"/>
                <w:w w:val="105"/>
              </w:rPr>
              <w:t xml:space="preserve"> </w:t>
            </w:r>
            <w:r w:rsidRPr="004A0C12">
              <w:rPr>
                <w:rFonts w:ascii="Garamond" w:eastAsia="Times New Roman" w:hAnsi="Garamond" w:cs="Times New Roman"/>
                <w:color w:val="111111"/>
                <w:w w:val="105"/>
              </w:rPr>
              <w:t>designated</w:t>
            </w:r>
            <w:r w:rsidRPr="004A0C12">
              <w:rPr>
                <w:rFonts w:ascii="Garamond" w:eastAsia="Times New Roman" w:hAnsi="Garamond" w:cs="Times New Roman"/>
                <w:color w:val="111111"/>
                <w:spacing w:val="37"/>
                <w:w w:val="105"/>
              </w:rPr>
              <w:t xml:space="preserve"> </w:t>
            </w:r>
            <w:r w:rsidRPr="004A0C12">
              <w:rPr>
                <w:rFonts w:ascii="Garamond" w:eastAsia="Times New Roman" w:hAnsi="Garamond" w:cs="Times New Roman"/>
                <w:color w:val="111111"/>
                <w:w w:val="105"/>
              </w:rPr>
              <w:t>State</w:t>
            </w:r>
            <w:r w:rsidRPr="004A0C12">
              <w:rPr>
                <w:rFonts w:ascii="Garamond" w:eastAsia="Times New Roman" w:hAnsi="Garamond" w:cs="Times New Roman"/>
                <w:color w:val="111111"/>
                <w:spacing w:val="11"/>
                <w:w w:val="105"/>
              </w:rPr>
              <w:t xml:space="preserve"> </w:t>
            </w:r>
            <w:r w:rsidRPr="004A0C12">
              <w:rPr>
                <w:rFonts w:ascii="Garamond" w:eastAsia="Times New Roman" w:hAnsi="Garamond" w:cs="Times New Roman"/>
                <w:color w:val="111111"/>
                <w:w w:val="105"/>
              </w:rPr>
              <w:t>unit</w:t>
            </w:r>
            <w:r w:rsidRPr="004A0C12">
              <w:rPr>
                <w:rFonts w:ascii="Garamond" w:eastAsia="Times New Roman" w:hAnsi="Garamond" w:cs="Times New Roman"/>
                <w:color w:val="111111"/>
                <w:spacing w:val="14"/>
                <w:w w:val="105"/>
              </w:rPr>
              <w:t xml:space="preserve"> </w:t>
            </w:r>
            <w:r w:rsidRPr="004A0C12">
              <w:rPr>
                <w:rFonts w:ascii="Garamond" w:eastAsia="Times New Roman" w:hAnsi="Garamond" w:cs="Times New Roman"/>
                <w:color w:val="111111"/>
                <w:w w:val="105"/>
              </w:rPr>
              <w:t>has</w:t>
            </w:r>
            <w:r w:rsidRPr="004A0C12">
              <w:rPr>
                <w:rFonts w:ascii="Garamond" w:eastAsia="Times New Roman" w:hAnsi="Garamond" w:cs="Times New Roman"/>
                <w:color w:val="111111"/>
                <w:spacing w:val="9"/>
                <w:w w:val="105"/>
              </w:rPr>
              <w:t xml:space="preserve"> </w:t>
            </w:r>
            <w:r w:rsidRPr="004A0C12">
              <w:rPr>
                <w:rFonts w:ascii="Garamond" w:eastAsia="Times New Roman" w:hAnsi="Garamond" w:cs="Times New Roman"/>
                <w:color w:val="111111"/>
                <w:w w:val="105"/>
              </w:rPr>
              <w:t>the</w:t>
            </w:r>
            <w:r w:rsidRPr="004A0C12">
              <w:rPr>
                <w:rFonts w:ascii="Garamond" w:eastAsia="Times New Roman" w:hAnsi="Garamond" w:cs="Times New Roman"/>
                <w:color w:val="111111"/>
                <w:spacing w:val="-1"/>
                <w:w w:val="105"/>
              </w:rPr>
              <w:t xml:space="preserve"> </w:t>
            </w:r>
            <w:r w:rsidRPr="004A0C12">
              <w:rPr>
                <w:rFonts w:ascii="Garamond" w:eastAsia="Times New Roman" w:hAnsi="Garamond" w:cs="Times New Roman"/>
                <w:color w:val="111111"/>
                <w:w w:val="105"/>
              </w:rPr>
              <w:t>authority</w:t>
            </w:r>
          </w:p>
          <w:p w14:paraId="40108B9F" w14:textId="12FCB84F" w:rsidR="001F7B29" w:rsidRPr="004A0C12" w:rsidRDefault="001F7B29" w:rsidP="00A2533C">
            <w:pPr>
              <w:widowControl w:val="0"/>
              <w:spacing w:after="0" w:line="240" w:lineRule="auto"/>
              <w:ind w:right="676"/>
              <w:rPr>
                <w:rFonts w:ascii="Garamond" w:eastAsia="Times New Roman" w:hAnsi="Garamond" w:cs="Times New Roman"/>
              </w:rPr>
            </w:pPr>
            <w:r w:rsidRPr="004A0C12">
              <w:rPr>
                <w:rFonts w:ascii="Garamond" w:eastAsia="Times New Roman" w:hAnsi="Garamond" w:cs="Times New Roman"/>
                <w:color w:val="111111"/>
                <w:w w:val="110"/>
              </w:rPr>
              <w:t>under</w:t>
            </w:r>
            <w:r w:rsidRPr="004A0C12">
              <w:rPr>
                <w:rFonts w:ascii="Garamond" w:eastAsia="Times New Roman" w:hAnsi="Garamond" w:cs="Times New Roman"/>
                <w:color w:val="111111"/>
                <w:spacing w:val="-19"/>
                <w:w w:val="110"/>
              </w:rPr>
              <w:t xml:space="preserve"> </w:t>
            </w:r>
            <w:r w:rsidRPr="004A0C12">
              <w:rPr>
                <w:rFonts w:ascii="Garamond" w:eastAsia="Times New Roman" w:hAnsi="Garamond" w:cs="Times New Roman"/>
                <w:color w:val="111111"/>
                <w:w w:val="110"/>
              </w:rPr>
              <w:t>State</w:t>
            </w:r>
            <w:r w:rsidRPr="004A0C12">
              <w:rPr>
                <w:rFonts w:ascii="Garamond" w:eastAsia="Times New Roman" w:hAnsi="Garamond" w:cs="Times New Roman"/>
                <w:color w:val="111111"/>
                <w:spacing w:val="-29"/>
                <w:w w:val="110"/>
              </w:rPr>
              <w:t xml:space="preserve"> </w:t>
            </w:r>
            <w:r w:rsidRPr="004A0C12">
              <w:rPr>
                <w:rFonts w:ascii="Garamond" w:eastAsia="Times New Roman" w:hAnsi="Garamond" w:cs="Times New Roman"/>
                <w:color w:val="111111"/>
                <w:w w:val="110"/>
              </w:rPr>
              <w:t>law</w:t>
            </w:r>
            <w:r w:rsidRPr="004A0C12">
              <w:rPr>
                <w:rFonts w:ascii="Garamond" w:eastAsia="Times New Roman" w:hAnsi="Garamond" w:cs="Times New Roman"/>
                <w:color w:val="111111"/>
                <w:spacing w:val="-30"/>
                <w:w w:val="110"/>
              </w:rPr>
              <w:t xml:space="preserve"> </w:t>
            </w:r>
            <w:r w:rsidRPr="004A0C12">
              <w:rPr>
                <w:rFonts w:ascii="Garamond" w:eastAsia="Times New Roman" w:hAnsi="Garamond" w:cs="Times New Roman"/>
                <w:color w:val="111111"/>
                <w:w w:val="110"/>
              </w:rPr>
              <w:t>to</w:t>
            </w:r>
            <w:r w:rsidRPr="004A0C12">
              <w:rPr>
                <w:rFonts w:ascii="Garamond" w:eastAsia="Times New Roman" w:hAnsi="Garamond" w:cs="Times New Roman"/>
                <w:color w:val="111111"/>
                <w:spacing w:val="-18"/>
                <w:w w:val="110"/>
              </w:rPr>
              <w:t xml:space="preserve"> </w:t>
            </w:r>
            <w:r w:rsidRPr="004A0C12">
              <w:rPr>
                <w:rFonts w:ascii="Garamond" w:eastAsia="Times New Roman" w:hAnsi="Garamond" w:cs="Times New Roman"/>
                <w:color w:val="111111"/>
                <w:w w:val="110"/>
              </w:rPr>
              <w:t>perform</w:t>
            </w:r>
            <w:r w:rsidRPr="004A0C12">
              <w:rPr>
                <w:rFonts w:ascii="Garamond" w:eastAsia="Times New Roman" w:hAnsi="Garamond" w:cs="Times New Roman"/>
                <w:color w:val="111111"/>
                <w:spacing w:val="-10"/>
                <w:w w:val="110"/>
              </w:rPr>
              <w:t xml:space="preserve"> </w:t>
            </w:r>
            <w:r w:rsidRPr="004A0C12">
              <w:rPr>
                <w:rFonts w:ascii="Garamond" w:eastAsia="Times New Roman" w:hAnsi="Garamond" w:cs="Times New Roman"/>
                <w:color w:val="111111"/>
                <w:w w:val="110"/>
              </w:rPr>
              <w:t>the</w:t>
            </w:r>
            <w:r w:rsidRPr="004A0C12">
              <w:rPr>
                <w:rFonts w:ascii="Garamond" w:eastAsia="Times New Roman" w:hAnsi="Garamond" w:cs="Times New Roman"/>
                <w:color w:val="111111"/>
                <w:spacing w:val="-24"/>
                <w:w w:val="110"/>
              </w:rPr>
              <w:t xml:space="preserve"> </w:t>
            </w:r>
            <w:r w:rsidRPr="004A0C12">
              <w:rPr>
                <w:rFonts w:ascii="Garamond" w:eastAsia="Times New Roman" w:hAnsi="Garamond" w:cs="Times New Roman"/>
                <w:color w:val="111111"/>
                <w:w w:val="110"/>
              </w:rPr>
              <w:t>functions</w:t>
            </w:r>
            <w:r w:rsidRPr="004A0C12">
              <w:rPr>
                <w:rFonts w:ascii="Garamond" w:eastAsia="Times New Roman" w:hAnsi="Garamond" w:cs="Times New Roman"/>
                <w:color w:val="111111"/>
                <w:spacing w:val="-24"/>
                <w:w w:val="110"/>
              </w:rPr>
              <w:t xml:space="preserve"> </w:t>
            </w:r>
            <w:r w:rsidRPr="004A0C12">
              <w:rPr>
                <w:rFonts w:ascii="Garamond" w:eastAsia="Times New Roman" w:hAnsi="Garamond" w:cs="Times New Roman"/>
                <w:color w:val="111111"/>
                <w:w w:val="110"/>
              </w:rPr>
              <w:t>of</w:t>
            </w:r>
            <w:r w:rsidRPr="004A0C12">
              <w:rPr>
                <w:rFonts w:ascii="Garamond" w:eastAsia="Times New Roman" w:hAnsi="Garamond" w:cs="Times New Roman"/>
                <w:color w:val="111111"/>
                <w:spacing w:val="-26"/>
                <w:w w:val="110"/>
              </w:rPr>
              <w:t xml:space="preserve"> </w:t>
            </w:r>
            <w:r w:rsidRPr="004A0C12">
              <w:rPr>
                <w:rFonts w:ascii="Garamond" w:eastAsia="Times New Roman" w:hAnsi="Garamond" w:cs="Times New Roman"/>
                <w:color w:val="111111"/>
                <w:w w:val="110"/>
              </w:rPr>
              <w:t>the</w:t>
            </w:r>
            <w:r w:rsidRPr="004A0C12">
              <w:rPr>
                <w:rFonts w:ascii="Garamond" w:eastAsia="Times New Roman" w:hAnsi="Garamond" w:cs="Times New Roman"/>
                <w:color w:val="111111"/>
                <w:spacing w:val="-29"/>
                <w:w w:val="110"/>
              </w:rPr>
              <w:t xml:space="preserve"> </w:t>
            </w:r>
            <w:r w:rsidRPr="004A0C12">
              <w:rPr>
                <w:rFonts w:ascii="Garamond" w:eastAsia="Times New Roman" w:hAnsi="Garamond" w:cs="Times New Roman"/>
                <w:color w:val="111111"/>
                <w:w w:val="110"/>
              </w:rPr>
              <w:t>State</w:t>
            </w:r>
            <w:r w:rsidRPr="004A0C12">
              <w:rPr>
                <w:rFonts w:ascii="Garamond" w:eastAsia="Times New Roman" w:hAnsi="Garamond" w:cs="Times New Roman"/>
                <w:color w:val="111111"/>
                <w:spacing w:val="-29"/>
                <w:w w:val="110"/>
              </w:rPr>
              <w:t xml:space="preserve"> </w:t>
            </w:r>
            <w:r w:rsidRPr="004A0C12">
              <w:rPr>
                <w:rFonts w:ascii="Garamond" w:eastAsia="Times New Roman" w:hAnsi="Garamond" w:cs="Times New Roman"/>
                <w:color w:val="111111"/>
                <w:w w:val="110"/>
              </w:rPr>
              <w:t>regarding</w:t>
            </w:r>
            <w:r w:rsidRPr="004A0C12">
              <w:rPr>
                <w:rFonts w:ascii="Garamond" w:eastAsia="Times New Roman" w:hAnsi="Garamond" w:cs="Times New Roman"/>
                <w:color w:val="111111"/>
                <w:spacing w:val="-16"/>
                <w:w w:val="110"/>
              </w:rPr>
              <w:t xml:space="preserve"> </w:t>
            </w:r>
            <w:r w:rsidRPr="004A0C12">
              <w:rPr>
                <w:rFonts w:ascii="Garamond" w:eastAsia="Times New Roman" w:hAnsi="Garamond" w:cs="Times New Roman"/>
                <w:color w:val="111111"/>
                <w:w w:val="110"/>
              </w:rPr>
              <w:t>the</w:t>
            </w:r>
            <w:r w:rsidRPr="004A0C12">
              <w:rPr>
                <w:rFonts w:ascii="Garamond" w:eastAsia="Times New Roman" w:hAnsi="Garamond" w:cs="Times New Roman"/>
                <w:color w:val="111111"/>
                <w:spacing w:val="-24"/>
                <w:w w:val="110"/>
              </w:rPr>
              <w:t xml:space="preserve"> </w:t>
            </w:r>
            <w:r w:rsidRPr="004A0C12">
              <w:rPr>
                <w:rFonts w:ascii="Garamond" w:eastAsia="Times New Roman" w:hAnsi="Garamond" w:cs="Times New Roman"/>
                <w:i/>
                <w:color w:val="111111"/>
                <w:w w:val="110"/>
              </w:rPr>
              <w:t>VR</w:t>
            </w:r>
            <w:r w:rsidRPr="004A0C12">
              <w:rPr>
                <w:rFonts w:ascii="Garamond" w:eastAsia="Times New Roman" w:hAnsi="Garamond" w:cs="Times New Roman"/>
                <w:i/>
                <w:color w:val="111111"/>
                <w:spacing w:val="-47"/>
                <w:w w:val="110"/>
              </w:rPr>
              <w:t xml:space="preserve"> </w:t>
            </w:r>
            <w:r w:rsidRPr="004A0C12">
              <w:rPr>
                <w:rFonts w:ascii="Garamond" w:eastAsia="Times New Roman" w:hAnsi="Garamond" w:cs="Times New Roman"/>
                <w:color w:val="111111"/>
                <w:w w:val="110"/>
              </w:rPr>
              <w:t>services</w:t>
            </w:r>
            <w:r w:rsidRPr="004A0C12">
              <w:rPr>
                <w:rFonts w:ascii="Garamond" w:eastAsia="Times New Roman" w:hAnsi="Garamond" w:cs="Times New Roman"/>
                <w:color w:val="111111"/>
                <w:w w:val="106"/>
              </w:rPr>
              <w:t xml:space="preserve"> </w:t>
            </w:r>
            <w:r w:rsidRPr="004A0C12">
              <w:rPr>
                <w:rFonts w:ascii="Garamond" w:eastAsia="Times New Roman" w:hAnsi="Garamond" w:cs="Times New Roman"/>
                <w:color w:val="111111"/>
                <w:w w:val="110"/>
              </w:rPr>
              <w:t>portion</w:t>
            </w:r>
            <w:r w:rsidRPr="004A0C12">
              <w:rPr>
                <w:rFonts w:ascii="Garamond" w:eastAsia="Times New Roman" w:hAnsi="Garamond" w:cs="Times New Roman"/>
                <w:color w:val="111111"/>
                <w:spacing w:val="-28"/>
                <w:w w:val="110"/>
              </w:rPr>
              <w:t xml:space="preserve"> </w:t>
            </w:r>
            <w:r w:rsidRPr="004A0C12">
              <w:rPr>
                <w:rFonts w:ascii="Garamond" w:eastAsia="Times New Roman" w:hAnsi="Garamond" w:cs="Times New Roman"/>
                <w:color w:val="111111"/>
                <w:w w:val="110"/>
              </w:rPr>
              <w:t>of</w:t>
            </w:r>
            <w:r w:rsidRPr="004A0C12">
              <w:rPr>
                <w:rFonts w:ascii="Garamond" w:eastAsia="Times New Roman" w:hAnsi="Garamond" w:cs="Times New Roman"/>
                <w:color w:val="111111"/>
                <w:spacing w:val="-35"/>
                <w:w w:val="110"/>
              </w:rPr>
              <w:t xml:space="preserve"> </w:t>
            </w:r>
            <w:r w:rsidRPr="004A0C12">
              <w:rPr>
                <w:rFonts w:ascii="Garamond" w:eastAsia="Times New Roman" w:hAnsi="Garamond" w:cs="Times New Roman"/>
                <w:color w:val="111111"/>
                <w:w w:val="110"/>
              </w:rPr>
              <w:t>the</w:t>
            </w:r>
            <w:r w:rsidRPr="004A0C12">
              <w:rPr>
                <w:rFonts w:ascii="Garamond" w:eastAsia="Times New Roman" w:hAnsi="Garamond" w:cs="Times New Roman"/>
                <w:color w:val="111111"/>
                <w:spacing w:val="-34"/>
                <w:w w:val="110"/>
              </w:rPr>
              <w:t xml:space="preserve"> </w:t>
            </w:r>
            <w:r w:rsidRPr="004A0C12">
              <w:rPr>
                <w:rFonts w:ascii="Garamond" w:eastAsia="Times New Roman" w:hAnsi="Garamond" w:cs="Times New Roman"/>
                <w:color w:val="111111"/>
                <w:w w:val="110"/>
              </w:rPr>
              <w:t>Combined</w:t>
            </w:r>
            <w:r w:rsidRPr="004A0C12">
              <w:rPr>
                <w:rFonts w:ascii="Garamond" w:eastAsia="Times New Roman" w:hAnsi="Garamond" w:cs="Times New Roman"/>
                <w:color w:val="111111"/>
                <w:spacing w:val="-2"/>
                <w:w w:val="110"/>
              </w:rPr>
              <w:t xml:space="preserve"> </w:t>
            </w:r>
            <w:r w:rsidRPr="004A0C12">
              <w:rPr>
                <w:rFonts w:ascii="Garamond" w:eastAsia="Times New Roman" w:hAnsi="Garamond" w:cs="Times New Roman"/>
                <w:color w:val="111111"/>
                <w:w w:val="110"/>
              </w:rPr>
              <w:t>State</w:t>
            </w:r>
            <w:r w:rsidRPr="004A0C12">
              <w:rPr>
                <w:rFonts w:ascii="Garamond" w:eastAsia="Times New Roman" w:hAnsi="Garamond" w:cs="Times New Roman"/>
                <w:color w:val="111111"/>
                <w:spacing w:val="-33"/>
                <w:w w:val="110"/>
              </w:rPr>
              <w:t xml:space="preserve"> </w:t>
            </w:r>
            <w:r w:rsidRPr="004A0C12">
              <w:rPr>
                <w:rFonts w:ascii="Garamond" w:eastAsia="Times New Roman" w:hAnsi="Garamond" w:cs="Times New Roman"/>
                <w:color w:val="111111"/>
                <w:w w:val="110"/>
              </w:rPr>
              <w:t>Plan</w:t>
            </w:r>
            <w:r w:rsidRPr="004A0C12">
              <w:rPr>
                <w:rFonts w:ascii="Garamond" w:eastAsia="Times New Roman" w:hAnsi="Garamond" w:cs="Times New Roman"/>
                <w:color w:val="111111"/>
                <w:spacing w:val="-35"/>
                <w:w w:val="110"/>
              </w:rPr>
              <w:t xml:space="preserve"> </w:t>
            </w:r>
            <w:r w:rsidRPr="004A0C12">
              <w:rPr>
                <w:rFonts w:ascii="Garamond" w:eastAsia="Times New Roman" w:hAnsi="Garamond" w:cs="Times New Roman"/>
                <w:color w:val="111111"/>
                <w:w w:val="110"/>
              </w:rPr>
              <w:t>and</w:t>
            </w:r>
            <w:r w:rsidRPr="004A0C12">
              <w:rPr>
                <w:rFonts w:ascii="Garamond" w:eastAsia="Times New Roman" w:hAnsi="Garamond" w:cs="Times New Roman"/>
                <w:color w:val="111111"/>
                <w:spacing w:val="-27"/>
                <w:w w:val="110"/>
              </w:rPr>
              <w:t xml:space="preserve"> </w:t>
            </w:r>
            <w:r w:rsidRPr="004A0C12">
              <w:rPr>
                <w:rFonts w:ascii="Garamond" w:eastAsia="Times New Roman" w:hAnsi="Garamond" w:cs="Times New Roman"/>
                <w:color w:val="111111"/>
                <w:w w:val="110"/>
              </w:rPr>
              <w:t>its</w:t>
            </w:r>
            <w:r w:rsidRPr="004A0C12">
              <w:rPr>
                <w:rFonts w:ascii="Garamond" w:eastAsia="Times New Roman" w:hAnsi="Garamond" w:cs="Times New Roman"/>
                <w:color w:val="111111"/>
                <w:spacing w:val="-38"/>
                <w:w w:val="110"/>
              </w:rPr>
              <w:t xml:space="preserve"> </w:t>
            </w:r>
            <w:r w:rsidRPr="004A0C12">
              <w:rPr>
                <w:rFonts w:ascii="Garamond" w:eastAsia="Times New Roman" w:hAnsi="Garamond" w:cs="Times New Roman"/>
                <w:color w:val="111111"/>
                <w:w w:val="110"/>
              </w:rPr>
              <w:t>supplement;</w:t>
            </w:r>
          </w:p>
        </w:tc>
      </w:tr>
    </w:tbl>
    <w:p w14:paraId="4437C87D" w14:textId="77777777" w:rsidR="00C73398" w:rsidRPr="004A0C12" w:rsidRDefault="00C73398" w:rsidP="001E27E7">
      <w:pPr>
        <w:pStyle w:val="ListParagraph"/>
        <w:tabs>
          <w:tab w:val="left" w:pos="720"/>
        </w:tabs>
        <w:ind w:left="0"/>
        <w:rPr>
          <w:rFonts w:ascii="Garamond" w:hAnsi="Garamond"/>
          <w:szCs w:val="22"/>
          <w:highlight w:val="yellow"/>
        </w:rPr>
      </w:pPr>
    </w:p>
    <w:tbl>
      <w:tblPr>
        <w:tblW w:w="0" w:type="auto"/>
        <w:tblInd w:w="394" w:type="dxa"/>
        <w:tblLayout w:type="fixed"/>
        <w:tblCellMar>
          <w:left w:w="0" w:type="dxa"/>
          <w:right w:w="0" w:type="dxa"/>
        </w:tblCellMar>
        <w:tblLook w:val="01E0" w:firstRow="1" w:lastRow="1" w:firstColumn="1" w:lastColumn="1" w:noHBand="0" w:noVBand="0"/>
      </w:tblPr>
      <w:tblGrid>
        <w:gridCol w:w="458"/>
        <w:gridCol w:w="9058"/>
      </w:tblGrid>
      <w:tr w:rsidR="001F7B29" w:rsidRPr="004A0C12" w14:paraId="3EF8E692" w14:textId="77777777" w:rsidTr="00536320">
        <w:trPr>
          <w:trHeight w:hRule="exact" w:val="660"/>
        </w:trPr>
        <w:tc>
          <w:tcPr>
            <w:tcW w:w="458" w:type="dxa"/>
            <w:tcBorders>
              <w:top w:val="single" w:sz="8" w:space="0" w:color="000000"/>
              <w:left w:val="single" w:sz="8" w:space="0" w:color="000000"/>
              <w:bottom w:val="single" w:sz="8" w:space="0" w:color="000000"/>
              <w:right w:val="single" w:sz="8" w:space="0" w:color="000000"/>
            </w:tcBorders>
            <w:hideMark/>
          </w:tcPr>
          <w:p w14:paraId="2B134079" w14:textId="77777777" w:rsidR="001F7B29" w:rsidRPr="004A0C12" w:rsidRDefault="001F7B29" w:rsidP="00E500D8">
            <w:pPr>
              <w:widowControl w:val="0"/>
              <w:spacing w:line="302" w:lineRule="exact"/>
              <w:rPr>
                <w:rFonts w:ascii="Garamond" w:eastAsia="Courier New" w:hAnsi="Garamond" w:cs="Times New Roman"/>
              </w:rPr>
            </w:pPr>
            <w:r w:rsidRPr="004A0C12">
              <w:rPr>
                <w:rFonts w:ascii="Garamond" w:eastAsia="Courier New" w:hAnsi="Garamond" w:cs="Times New Roman"/>
                <w:color w:val="282828"/>
                <w:w w:val="65"/>
              </w:rPr>
              <w:t>5.</w:t>
            </w:r>
          </w:p>
        </w:tc>
        <w:tc>
          <w:tcPr>
            <w:tcW w:w="9058" w:type="dxa"/>
            <w:tcBorders>
              <w:top w:val="single" w:sz="8" w:space="0" w:color="000000"/>
              <w:left w:val="single" w:sz="8" w:space="0" w:color="000000"/>
              <w:bottom w:val="single" w:sz="8" w:space="0" w:color="000000"/>
              <w:right w:val="single" w:sz="8" w:space="0" w:color="000000"/>
            </w:tcBorders>
            <w:hideMark/>
          </w:tcPr>
          <w:p w14:paraId="1C9D2C5D"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181818"/>
                <w:spacing w:val="8"/>
              </w:rPr>
              <w:t>T</w:t>
            </w:r>
            <w:r w:rsidRPr="004A0C12">
              <w:rPr>
                <w:rFonts w:ascii="Garamond" w:eastAsia="Times New Roman" w:hAnsi="Garamond" w:cs="Times New Roman"/>
                <w:color w:val="383838"/>
              </w:rPr>
              <w:t>he</w:t>
            </w:r>
            <w:r w:rsidRPr="004A0C12">
              <w:rPr>
                <w:rFonts w:ascii="Garamond" w:eastAsia="Times New Roman" w:hAnsi="Garamond" w:cs="Times New Roman"/>
                <w:color w:val="383838"/>
                <w:spacing w:val="7"/>
              </w:rPr>
              <w:t xml:space="preserve"> </w:t>
            </w:r>
            <w:r w:rsidRPr="004A0C12">
              <w:rPr>
                <w:rFonts w:ascii="Garamond" w:eastAsia="Times New Roman" w:hAnsi="Garamond" w:cs="Times New Roman"/>
                <w:color w:val="383838"/>
              </w:rPr>
              <w:t>State</w:t>
            </w:r>
            <w:r w:rsidRPr="004A0C12">
              <w:rPr>
                <w:rFonts w:ascii="Garamond" w:eastAsia="Times New Roman" w:hAnsi="Garamond" w:cs="Times New Roman"/>
                <w:color w:val="383838"/>
                <w:spacing w:val="-1"/>
              </w:rPr>
              <w:t xml:space="preserve"> </w:t>
            </w:r>
            <w:r w:rsidRPr="004A0C12">
              <w:rPr>
                <w:rFonts w:ascii="Garamond" w:eastAsia="Times New Roman" w:hAnsi="Garamond" w:cs="Times New Roman"/>
                <w:color w:val="383838"/>
              </w:rPr>
              <w:t>legally</w:t>
            </w:r>
            <w:r w:rsidRPr="004A0C12">
              <w:rPr>
                <w:rFonts w:ascii="Garamond" w:eastAsia="Times New Roman" w:hAnsi="Garamond" w:cs="Times New Roman"/>
                <w:color w:val="383838"/>
                <w:spacing w:val="13"/>
              </w:rPr>
              <w:t xml:space="preserve"> </w:t>
            </w:r>
            <w:r w:rsidRPr="004A0C12">
              <w:rPr>
                <w:rFonts w:ascii="Garamond" w:eastAsia="Times New Roman" w:hAnsi="Garamond" w:cs="Times New Roman"/>
                <w:color w:val="383838"/>
              </w:rPr>
              <w:t>may</w:t>
            </w:r>
            <w:r w:rsidRPr="004A0C12">
              <w:rPr>
                <w:rFonts w:ascii="Garamond" w:eastAsia="Times New Roman" w:hAnsi="Garamond" w:cs="Times New Roman"/>
                <w:color w:val="383838"/>
                <w:spacing w:val="19"/>
              </w:rPr>
              <w:t xml:space="preserve"> </w:t>
            </w:r>
            <w:r w:rsidRPr="004A0C12">
              <w:rPr>
                <w:rFonts w:ascii="Garamond" w:eastAsia="Times New Roman" w:hAnsi="Garamond" w:cs="Times New Roman"/>
                <w:color w:val="484848"/>
              </w:rPr>
              <w:t>c</w:t>
            </w:r>
            <w:r w:rsidRPr="004A0C12">
              <w:rPr>
                <w:rFonts w:ascii="Garamond" w:eastAsia="Times New Roman" w:hAnsi="Garamond" w:cs="Times New Roman"/>
                <w:color w:val="484848"/>
                <w:spacing w:val="14"/>
              </w:rPr>
              <w:t>a</w:t>
            </w:r>
            <w:r w:rsidRPr="004A0C12">
              <w:rPr>
                <w:rFonts w:ascii="Garamond" w:eastAsia="Times New Roman" w:hAnsi="Garamond" w:cs="Times New Roman"/>
                <w:color w:val="282828"/>
              </w:rPr>
              <w:t>rry</w:t>
            </w:r>
            <w:r w:rsidRPr="004A0C12">
              <w:rPr>
                <w:rFonts w:ascii="Garamond" w:eastAsia="Times New Roman" w:hAnsi="Garamond" w:cs="Times New Roman"/>
                <w:color w:val="282828"/>
                <w:spacing w:val="5"/>
              </w:rPr>
              <w:t xml:space="preserve"> </w:t>
            </w:r>
            <w:r w:rsidRPr="004A0C12">
              <w:rPr>
                <w:rFonts w:ascii="Garamond" w:eastAsia="Times New Roman" w:hAnsi="Garamond" w:cs="Times New Roman"/>
                <w:color w:val="383838"/>
              </w:rPr>
              <w:t>out</w:t>
            </w:r>
            <w:r w:rsidRPr="004A0C12">
              <w:rPr>
                <w:rFonts w:ascii="Garamond" w:eastAsia="Times New Roman" w:hAnsi="Garamond" w:cs="Times New Roman"/>
                <w:color w:val="383838"/>
                <w:spacing w:val="11"/>
              </w:rPr>
              <w:t xml:space="preserve"> </w:t>
            </w:r>
            <w:r w:rsidRPr="004A0C12">
              <w:rPr>
                <w:rFonts w:ascii="Garamond" w:eastAsia="Times New Roman" w:hAnsi="Garamond" w:cs="Times New Roman"/>
                <w:color w:val="383838"/>
              </w:rPr>
              <w:t>ea</w:t>
            </w:r>
            <w:r w:rsidRPr="004A0C12">
              <w:rPr>
                <w:rFonts w:ascii="Garamond" w:eastAsia="Times New Roman" w:hAnsi="Garamond" w:cs="Times New Roman"/>
                <w:color w:val="383838"/>
                <w:spacing w:val="-3"/>
              </w:rPr>
              <w:t>c</w:t>
            </w:r>
            <w:r w:rsidRPr="004A0C12">
              <w:rPr>
                <w:rFonts w:ascii="Garamond" w:eastAsia="Times New Roman" w:hAnsi="Garamond" w:cs="Times New Roman"/>
                <w:color w:val="181818"/>
              </w:rPr>
              <w:t>h</w:t>
            </w:r>
            <w:r w:rsidRPr="004A0C12">
              <w:rPr>
                <w:rFonts w:ascii="Garamond" w:eastAsia="Times New Roman" w:hAnsi="Garamond" w:cs="Times New Roman"/>
                <w:color w:val="181818"/>
                <w:spacing w:val="22"/>
              </w:rPr>
              <w:t xml:space="preserve"> </w:t>
            </w:r>
            <w:r w:rsidRPr="004A0C12">
              <w:rPr>
                <w:rFonts w:ascii="Garamond" w:eastAsia="Times New Roman" w:hAnsi="Garamond" w:cs="Times New Roman"/>
                <w:color w:val="282828"/>
              </w:rPr>
              <w:t>provision</w:t>
            </w:r>
            <w:r w:rsidRPr="004A0C12">
              <w:rPr>
                <w:rFonts w:ascii="Garamond" w:eastAsia="Times New Roman" w:hAnsi="Garamond" w:cs="Times New Roman"/>
                <w:color w:val="282828"/>
                <w:spacing w:val="42"/>
              </w:rPr>
              <w:t xml:space="preserve"> </w:t>
            </w:r>
            <w:r w:rsidRPr="004A0C12">
              <w:rPr>
                <w:rFonts w:ascii="Garamond" w:eastAsia="Times New Roman" w:hAnsi="Garamond" w:cs="Times New Roman"/>
                <w:color w:val="282828"/>
              </w:rPr>
              <w:t>of</w:t>
            </w:r>
            <w:r w:rsidRPr="004A0C12">
              <w:rPr>
                <w:rFonts w:ascii="Garamond" w:eastAsia="Times New Roman" w:hAnsi="Garamond" w:cs="Times New Roman"/>
                <w:color w:val="282828"/>
                <w:spacing w:val="4"/>
              </w:rPr>
              <w:t xml:space="preserve"> </w:t>
            </w:r>
            <w:r w:rsidRPr="004A0C12">
              <w:rPr>
                <w:rFonts w:ascii="Garamond" w:eastAsia="Times New Roman" w:hAnsi="Garamond" w:cs="Times New Roman"/>
                <w:color w:val="282828"/>
              </w:rPr>
              <w:t>the</w:t>
            </w:r>
            <w:r w:rsidRPr="004A0C12">
              <w:rPr>
                <w:rFonts w:ascii="Garamond" w:eastAsia="Times New Roman" w:hAnsi="Garamond" w:cs="Times New Roman"/>
                <w:color w:val="282828"/>
                <w:spacing w:val="7"/>
              </w:rPr>
              <w:t xml:space="preserve"> </w:t>
            </w:r>
            <w:r w:rsidRPr="004A0C12">
              <w:rPr>
                <w:rFonts w:ascii="Garamond" w:eastAsia="Times New Roman" w:hAnsi="Garamond" w:cs="Times New Roman"/>
                <w:color w:val="383838"/>
              </w:rPr>
              <w:t>VR</w:t>
            </w:r>
            <w:r w:rsidRPr="004A0C12">
              <w:rPr>
                <w:rFonts w:ascii="Garamond" w:eastAsia="Times New Roman" w:hAnsi="Garamond" w:cs="Times New Roman"/>
                <w:color w:val="383838"/>
                <w:spacing w:val="22"/>
              </w:rPr>
              <w:t xml:space="preserve"> </w:t>
            </w:r>
            <w:r w:rsidRPr="004A0C12">
              <w:rPr>
                <w:rFonts w:ascii="Garamond" w:eastAsia="Times New Roman" w:hAnsi="Garamond" w:cs="Times New Roman"/>
                <w:color w:val="383838"/>
              </w:rPr>
              <w:t>services</w:t>
            </w:r>
            <w:r w:rsidRPr="004A0C12">
              <w:rPr>
                <w:rFonts w:ascii="Garamond" w:eastAsia="Times New Roman" w:hAnsi="Garamond" w:cs="Times New Roman"/>
                <w:color w:val="383838"/>
                <w:spacing w:val="17"/>
              </w:rPr>
              <w:t xml:space="preserve"> </w:t>
            </w:r>
            <w:r w:rsidRPr="004A0C12">
              <w:rPr>
                <w:rFonts w:ascii="Garamond" w:eastAsia="Times New Roman" w:hAnsi="Garamond" w:cs="Times New Roman"/>
                <w:color w:val="282828"/>
                <w:spacing w:val="14"/>
              </w:rPr>
              <w:t>p</w:t>
            </w:r>
            <w:r w:rsidRPr="004A0C12">
              <w:rPr>
                <w:rFonts w:ascii="Garamond" w:eastAsia="Times New Roman" w:hAnsi="Garamond" w:cs="Times New Roman"/>
                <w:color w:val="484848"/>
                <w:spacing w:val="14"/>
              </w:rPr>
              <w:t>o</w:t>
            </w:r>
            <w:r w:rsidRPr="004A0C12">
              <w:rPr>
                <w:rFonts w:ascii="Garamond" w:eastAsia="Times New Roman" w:hAnsi="Garamond" w:cs="Times New Roman"/>
                <w:color w:val="282828"/>
                <w:spacing w:val="1"/>
              </w:rPr>
              <w:t>r</w:t>
            </w:r>
            <w:r w:rsidRPr="004A0C12">
              <w:rPr>
                <w:rFonts w:ascii="Garamond" w:eastAsia="Times New Roman" w:hAnsi="Garamond" w:cs="Times New Roman"/>
                <w:color w:val="484848"/>
              </w:rPr>
              <w:t>tion</w:t>
            </w:r>
            <w:r w:rsidRPr="004A0C12">
              <w:rPr>
                <w:rFonts w:ascii="Garamond" w:eastAsia="Times New Roman" w:hAnsi="Garamond" w:cs="Times New Roman"/>
                <w:color w:val="484848"/>
                <w:spacing w:val="15"/>
              </w:rPr>
              <w:t xml:space="preserve"> </w:t>
            </w:r>
            <w:r w:rsidRPr="004A0C12">
              <w:rPr>
                <w:rFonts w:ascii="Garamond" w:eastAsia="Times New Roman" w:hAnsi="Garamond" w:cs="Times New Roman"/>
                <w:color w:val="383838"/>
              </w:rPr>
              <w:t>of</w:t>
            </w:r>
            <w:r w:rsidRPr="004A0C12">
              <w:rPr>
                <w:rFonts w:ascii="Garamond" w:eastAsia="Times New Roman" w:hAnsi="Garamond" w:cs="Times New Roman"/>
                <w:color w:val="383838"/>
                <w:spacing w:val="25"/>
              </w:rPr>
              <w:t xml:space="preserve"> </w:t>
            </w:r>
            <w:r w:rsidRPr="004A0C12">
              <w:rPr>
                <w:rFonts w:ascii="Garamond" w:eastAsia="Times New Roman" w:hAnsi="Garamond" w:cs="Times New Roman"/>
                <w:color w:val="282828"/>
              </w:rPr>
              <w:t>the</w:t>
            </w:r>
          </w:p>
          <w:p w14:paraId="54BBAD6C"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282828"/>
                <w:w w:val="105"/>
              </w:rPr>
              <w:t>Unified or</w:t>
            </w:r>
            <w:r w:rsidRPr="004A0C12">
              <w:rPr>
                <w:rFonts w:ascii="Garamond" w:eastAsia="Times New Roman" w:hAnsi="Garamond" w:cs="Times New Roman"/>
                <w:color w:val="282828"/>
                <w:spacing w:val="-19"/>
                <w:w w:val="105"/>
              </w:rPr>
              <w:t xml:space="preserve"> </w:t>
            </w:r>
            <w:r w:rsidRPr="004A0C12">
              <w:rPr>
                <w:rFonts w:ascii="Garamond" w:eastAsia="Times New Roman" w:hAnsi="Garamond" w:cs="Times New Roman"/>
                <w:color w:val="383838"/>
                <w:w w:val="105"/>
              </w:rPr>
              <w:t>Combined</w:t>
            </w:r>
            <w:r w:rsidRPr="004A0C12">
              <w:rPr>
                <w:rFonts w:ascii="Garamond" w:eastAsia="Times New Roman" w:hAnsi="Garamond" w:cs="Times New Roman"/>
                <w:color w:val="383838"/>
                <w:spacing w:val="-4"/>
                <w:w w:val="105"/>
              </w:rPr>
              <w:t xml:space="preserve"> </w:t>
            </w:r>
            <w:r w:rsidRPr="004A0C12">
              <w:rPr>
                <w:rFonts w:ascii="Garamond" w:eastAsia="Times New Roman" w:hAnsi="Garamond" w:cs="Times New Roman"/>
                <w:color w:val="383838"/>
                <w:w w:val="105"/>
              </w:rPr>
              <w:t>State</w:t>
            </w:r>
            <w:r w:rsidRPr="004A0C12">
              <w:rPr>
                <w:rFonts w:ascii="Garamond" w:eastAsia="Times New Roman" w:hAnsi="Garamond" w:cs="Times New Roman"/>
                <w:color w:val="383838"/>
                <w:spacing w:val="-20"/>
                <w:w w:val="105"/>
              </w:rPr>
              <w:t xml:space="preserve"> </w:t>
            </w:r>
            <w:r w:rsidRPr="004A0C12">
              <w:rPr>
                <w:rFonts w:ascii="Garamond" w:eastAsia="Times New Roman" w:hAnsi="Garamond" w:cs="Times New Roman"/>
                <w:color w:val="282828"/>
                <w:w w:val="105"/>
              </w:rPr>
              <w:t>Plan</w:t>
            </w:r>
            <w:r w:rsidRPr="004A0C12">
              <w:rPr>
                <w:rFonts w:ascii="Garamond" w:eastAsia="Times New Roman" w:hAnsi="Garamond" w:cs="Times New Roman"/>
                <w:color w:val="282828"/>
                <w:spacing w:val="-16"/>
                <w:w w:val="105"/>
              </w:rPr>
              <w:t xml:space="preserve"> </w:t>
            </w:r>
            <w:r w:rsidRPr="004A0C12">
              <w:rPr>
                <w:rFonts w:ascii="Garamond" w:eastAsia="Times New Roman" w:hAnsi="Garamond" w:cs="Times New Roman"/>
                <w:color w:val="383838"/>
                <w:w w:val="105"/>
              </w:rPr>
              <w:t>and</w:t>
            </w:r>
            <w:r w:rsidRPr="004A0C12">
              <w:rPr>
                <w:rFonts w:ascii="Garamond" w:eastAsia="Times New Roman" w:hAnsi="Garamond" w:cs="Times New Roman"/>
                <w:color w:val="383838"/>
                <w:spacing w:val="-6"/>
                <w:w w:val="105"/>
              </w:rPr>
              <w:t xml:space="preserve"> </w:t>
            </w:r>
            <w:r w:rsidRPr="004A0C12">
              <w:rPr>
                <w:rFonts w:ascii="Garamond" w:eastAsia="Times New Roman" w:hAnsi="Garamond" w:cs="Times New Roman"/>
                <w:color w:val="383838"/>
                <w:w w:val="105"/>
              </w:rPr>
              <w:t>its</w:t>
            </w:r>
            <w:r w:rsidRPr="004A0C12">
              <w:rPr>
                <w:rFonts w:ascii="Garamond" w:eastAsia="Times New Roman" w:hAnsi="Garamond" w:cs="Times New Roman"/>
                <w:color w:val="383838"/>
                <w:spacing w:val="-19"/>
                <w:w w:val="105"/>
              </w:rPr>
              <w:t xml:space="preserve"> </w:t>
            </w:r>
            <w:r w:rsidRPr="004A0C12">
              <w:rPr>
                <w:rFonts w:ascii="Garamond" w:eastAsia="Times New Roman" w:hAnsi="Garamond" w:cs="Times New Roman"/>
                <w:color w:val="282828"/>
                <w:w w:val="105"/>
              </w:rPr>
              <w:t>supplement.</w:t>
            </w:r>
          </w:p>
        </w:tc>
      </w:tr>
      <w:tr w:rsidR="001F7B29" w:rsidRPr="004A0C12" w14:paraId="01344A37" w14:textId="77777777" w:rsidTr="00536320">
        <w:trPr>
          <w:trHeight w:hRule="exact" w:val="183"/>
        </w:trPr>
        <w:tc>
          <w:tcPr>
            <w:tcW w:w="458" w:type="dxa"/>
            <w:tcBorders>
              <w:top w:val="single" w:sz="8" w:space="0" w:color="000000"/>
              <w:left w:val="single" w:sz="8" w:space="0" w:color="000000"/>
              <w:bottom w:val="single" w:sz="8" w:space="0" w:color="000000"/>
              <w:right w:val="single" w:sz="8" w:space="0" w:color="000000"/>
            </w:tcBorders>
          </w:tcPr>
          <w:p w14:paraId="6DB23CD0" w14:textId="77777777" w:rsidR="001F7B29" w:rsidRPr="004A0C12" w:rsidRDefault="001F7B29" w:rsidP="00E500D8">
            <w:pPr>
              <w:widowControl w:val="0"/>
              <w:rPr>
                <w:rFonts w:ascii="Garamond" w:hAnsi="Garamond" w:cs="Times New Roman"/>
              </w:rPr>
            </w:pPr>
          </w:p>
        </w:tc>
        <w:tc>
          <w:tcPr>
            <w:tcW w:w="9058" w:type="dxa"/>
            <w:tcBorders>
              <w:top w:val="single" w:sz="8" w:space="0" w:color="000000"/>
              <w:left w:val="single" w:sz="8" w:space="0" w:color="000000"/>
              <w:bottom w:val="single" w:sz="8" w:space="0" w:color="000000"/>
              <w:right w:val="single" w:sz="8" w:space="0" w:color="000000"/>
            </w:tcBorders>
          </w:tcPr>
          <w:p w14:paraId="69D3E63B" w14:textId="77777777" w:rsidR="001F7B29" w:rsidRPr="004A0C12" w:rsidRDefault="001F7B29" w:rsidP="00E500D8">
            <w:pPr>
              <w:widowControl w:val="0"/>
              <w:rPr>
                <w:rFonts w:ascii="Garamond" w:hAnsi="Garamond" w:cs="Times New Roman"/>
              </w:rPr>
            </w:pPr>
          </w:p>
        </w:tc>
      </w:tr>
      <w:tr w:rsidR="001F7B29" w:rsidRPr="004A0C12" w14:paraId="06A3C0F0" w14:textId="77777777" w:rsidTr="00536320">
        <w:trPr>
          <w:trHeight w:hRule="exact" w:val="633"/>
        </w:trPr>
        <w:tc>
          <w:tcPr>
            <w:tcW w:w="458" w:type="dxa"/>
            <w:tcBorders>
              <w:top w:val="single" w:sz="8" w:space="0" w:color="000000"/>
              <w:left w:val="single" w:sz="8" w:space="0" w:color="000000"/>
              <w:bottom w:val="single" w:sz="8" w:space="0" w:color="000000"/>
              <w:right w:val="single" w:sz="8" w:space="0" w:color="000000"/>
            </w:tcBorders>
            <w:hideMark/>
          </w:tcPr>
          <w:p w14:paraId="4E0FDF38" w14:textId="77777777" w:rsidR="001F7B29" w:rsidRPr="004A0C12" w:rsidRDefault="001F7B29" w:rsidP="00E500D8">
            <w:pPr>
              <w:widowControl w:val="0"/>
              <w:spacing w:line="273" w:lineRule="exact"/>
              <w:rPr>
                <w:rFonts w:ascii="Garamond" w:eastAsia="Times New Roman" w:hAnsi="Garamond" w:cs="Times New Roman"/>
              </w:rPr>
            </w:pPr>
            <w:r w:rsidRPr="004A0C12">
              <w:rPr>
                <w:rFonts w:ascii="Garamond" w:eastAsia="Times New Roman" w:hAnsi="Garamond" w:cs="Times New Roman"/>
                <w:color w:val="181818"/>
                <w:w w:val="105"/>
              </w:rPr>
              <w:t>6.</w:t>
            </w:r>
          </w:p>
        </w:tc>
        <w:tc>
          <w:tcPr>
            <w:tcW w:w="9058" w:type="dxa"/>
            <w:tcBorders>
              <w:top w:val="single" w:sz="8" w:space="0" w:color="000000"/>
              <w:left w:val="single" w:sz="8" w:space="0" w:color="000000"/>
              <w:bottom w:val="single" w:sz="8" w:space="0" w:color="000000"/>
              <w:right w:val="single" w:sz="8" w:space="0" w:color="000000"/>
            </w:tcBorders>
            <w:hideMark/>
          </w:tcPr>
          <w:p w14:paraId="51F34CDF"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181818"/>
              </w:rPr>
              <w:t>All</w:t>
            </w:r>
            <w:r w:rsidRPr="004A0C12">
              <w:rPr>
                <w:rFonts w:ascii="Garamond" w:eastAsia="Times New Roman" w:hAnsi="Garamond" w:cs="Times New Roman"/>
                <w:color w:val="181818"/>
                <w:spacing w:val="20"/>
              </w:rPr>
              <w:t xml:space="preserve"> </w:t>
            </w:r>
            <w:r w:rsidRPr="004A0C12">
              <w:rPr>
                <w:rFonts w:ascii="Garamond" w:eastAsia="Times New Roman" w:hAnsi="Garamond" w:cs="Times New Roman"/>
                <w:color w:val="181818"/>
              </w:rPr>
              <w:t>provision</w:t>
            </w:r>
            <w:r w:rsidRPr="004A0C12">
              <w:rPr>
                <w:rFonts w:ascii="Garamond" w:eastAsia="Times New Roman" w:hAnsi="Garamond" w:cs="Times New Roman"/>
                <w:color w:val="181818"/>
                <w:spacing w:val="-32"/>
              </w:rPr>
              <w:t xml:space="preserve"> </w:t>
            </w:r>
            <w:r w:rsidRPr="004A0C12">
              <w:rPr>
                <w:rFonts w:ascii="Garamond" w:eastAsia="Times New Roman" w:hAnsi="Garamond" w:cs="Times New Roman"/>
                <w:color w:val="383838"/>
              </w:rPr>
              <w:t>s</w:t>
            </w:r>
            <w:r w:rsidRPr="004A0C12">
              <w:rPr>
                <w:rFonts w:ascii="Garamond" w:eastAsia="Times New Roman" w:hAnsi="Garamond" w:cs="Times New Roman"/>
                <w:color w:val="383838"/>
                <w:spacing w:val="-11"/>
              </w:rPr>
              <w:t xml:space="preserve"> </w:t>
            </w:r>
            <w:r w:rsidRPr="004A0C12">
              <w:rPr>
                <w:rFonts w:ascii="Garamond" w:eastAsia="Times New Roman" w:hAnsi="Garamond" w:cs="Times New Roman"/>
                <w:color w:val="282828"/>
              </w:rPr>
              <w:t>of</w:t>
            </w:r>
            <w:r w:rsidRPr="004A0C12">
              <w:rPr>
                <w:rFonts w:ascii="Garamond" w:eastAsia="Times New Roman" w:hAnsi="Garamond" w:cs="Times New Roman"/>
                <w:color w:val="282828"/>
                <w:spacing w:val="9"/>
              </w:rPr>
              <w:t xml:space="preserve"> </w:t>
            </w:r>
            <w:r w:rsidRPr="004A0C12">
              <w:rPr>
                <w:rFonts w:ascii="Garamond" w:eastAsia="Times New Roman" w:hAnsi="Garamond" w:cs="Times New Roman"/>
                <w:color w:val="282828"/>
              </w:rPr>
              <w:t>t</w:t>
            </w:r>
            <w:r w:rsidRPr="004A0C12">
              <w:rPr>
                <w:rFonts w:ascii="Garamond" w:eastAsia="Times New Roman" w:hAnsi="Garamond" w:cs="Times New Roman"/>
                <w:color w:val="282828"/>
                <w:spacing w:val="18"/>
              </w:rPr>
              <w:t>h</w:t>
            </w:r>
            <w:r w:rsidRPr="004A0C12">
              <w:rPr>
                <w:rFonts w:ascii="Garamond" w:eastAsia="Times New Roman" w:hAnsi="Garamond" w:cs="Times New Roman"/>
                <w:color w:val="484848"/>
              </w:rPr>
              <w:t>e</w:t>
            </w:r>
            <w:r w:rsidRPr="004A0C12">
              <w:rPr>
                <w:rFonts w:ascii="Garamond" w:eastAsia="Times New Roman" w:hAnsi="Garamond" w:cs="Times New Roman"/>
                <w:color w:val="484848"/>
                <w:spacing w:val="-7"/>
              </w:rPr>
              <w:t xml:space="preserve"> </w:t>
            </w:r>
            <w:r w:rsidRPr="004A0C12">
              <w:rPr>
                <w:rFonts w:ascii="Garamond" w:eastAsia="Times New Roman" w:hAnsi="Garamond" w:cs="Times New Roman"/>
                <w:color w:val="282828"/>
              </w:rPr>
              <w:t>VR</w:t>
            </w:r>
            <w:r w:rsidRPr="004A0C12">
              <w:rPr>
                <w:rFonts w:ascii="Garamond" w:eastAsia="Times New Roman" w:hAnsi="Garamond" w:cs="Times New Roman"/>
                <w:color w:val="282828"/>
                <w:spacing w:val="14"/>
              </w:rPr>
              <w:t xml:space="preserve"> </w:t>
            </w:r>
            <w:r w:rsidRPr="004A0C12">
              <w:rPr>
                <w:rFonts w:ascii="Garamond" w:eastAsia="Times New Roman" w:hAnsi="Garamond" w:cs="Times New Roman"/>
                <w:color w:val="383838"/>
              </w:rPr>
              <w:t>services</w:t>
            </w:r>
            <w:r w:rsidRPr="004A0C12">
              <w:rPr>
                <w:rFonts w:ascii="Garamond" w:eastAsia="Times New Roman" w:hAnsi="Garamond" w:cs="Times New Roman"/>
                <w:color w:val="383838"/>
                <w:spacing w:val="8"/>
              </w:rPr>
              <w:t xml:space="preserve"> </w:t>
            </w:r>
            <w:r w:rsidRPr="004A0C12">
              <w:rPr>
                <w:rFonts w:ascii="Garamond" w:eastAsia="Times New Roman" w:hAnsi="Garamond" w:cs="Times New Roman"/>
                <w:color w:val="282828"/>
              </w:rPr>
              <w:t>portion</w:t>
            </w:r>
            <w:r w:rsidRPr="004A0C12">
              <w:rPr>
                <w:rFonts w:ascii="Garamond" w:eastAsia="Times New Roman" w:hAnsi="Garamond" w:cs="Times New Roman"/>
                <w:color w:val="282828"/>
                <w:spacing w:val="14"/>
              </w:rPr>
              <w:t xml:space="preserve"> </w:t>
            </w:r>
            <w:r w:rsidRPr="004A0C12">
              <w:rPr>
                <w:rFonts w:ascii="Garamond" w:eastAsia="Times New Roman" w:hAnsi="Garamond" w:cs="Times New Roman"/>
                <w:color w:val="181818"/>
              </w:rPr>
              <w:t>of</w:t>
            </w:r>
            <w:r w:rsidRPr="004A0C12">
              <w:rPr>
                <w:rFonts w:ascii="Garamond" w:eastAsia="Times New Roman" w:hAnsi="Garamond" w:cs="Times New Roman"/>
                <w:color w:val="181818"/>
                <w:spacing w:val="9"/>
              </w:rPr>
              <w:t xml:space="preserve"> </w:t>
            </w:r>
            <w:r w:rsidRPr="004A0C12">
              <w:rPr>
                <w:rFonts w:ascii="Garamond" w:eastAsia="Times New Roman" w:hAnsi="Garamond" w:cs="Times New Roman"/>
                <w:color w:val="181818"/>
              </w:rPr>
              <w:t>the</w:t>
            </w:r>
            <w:r w:rsidRPr="004A0C12">
              <w:rPr>
                <w:rFonts w:ascii="Garamond" w:eastAsia="Times New Roman" w:hAnsi="Garamond" w:cs="Times New Roman"/>
                <w:color w:val="181818"/>
                <w:spacing w:val="15"/>
              </w:rPr>
              <w:t xml:space="preserve"> </w:t>
            </w:r>
            <w:r w:rsidRPr="004A0C12">
              <w:rPr>
                <w:rFonts w:ascii="Garamond" w:eastAsia="Times New Roman" w:hAnsi="Garamond" w:cs="Times New Roman"/>
                <w:color w:val="181818"/>
              </w:rPr>
              <w:t>Unified</w:t>
            </w:r>
            <w:r w:rsidRPr="004A0C12">
              <w:rPr>
                <w:rFonts w:ascii="Garamond" w:eastAsia="Times New Roman" w:hAnsi="Garamond" w:cs="Times New Roman"/>
                <w:color w:val="181818"/>
                <w:spacing w:val="27"/>
              </w:rPr>
              <w:t xml:space="preserve"> </w:t>
            </w:r>
            <w:r w:rsidRPr="004A0C12">
              <w:rPr>
                <w:rFonts w:ascii="Garamond" w:eastAsia="Times New Roman" w:hAnsi="Garamond" w:cs="Times New Roman"/>
                <w:color w:val="282828"/>
              </w:rPr>
              <w:t>or</w:t>
            </w:r>
            <w:r w:rsidRPr="004A0C12">
              <w:rPr>
                <w:rFonts w:ascii="Garamond" w:eastAsia="Times New Roman" w:hAnsi="Garamond" w:cs="Times New Roman"/>
                <w:color w:val="282828"/>
                <w:spacing w:val="-4"/>
              </w:rPr>
              <w:t xml:space="preserve"> </w:t>
            </w:r>
            <w:r w:rsidRPr="004A0C12">
              <w:rPr>
                <w:rFonts w:ascii="Garamond" w:eastAsia="Times New Roman" w:hAnsi="Garamond" w:cs="Times New Roman"/>
                <w:color w:val="282828"/>
              </w:rPr>
              <w:t>Combined</w:t>
            </w:r>
            <w:r w:rsidRPr="004A0C12">
              <w:rPr>
                <w:rFonts w:ascii="Garamond" w:eastAsia="Times New Roman" w:hAnsi="Garamond" w:cs="Times New Roman"/>
                <w:color w:val="282828"/>
                <w:spacing w:val="27"/>
              </w:rPr>
              <w:t xml:space="preserve"> </w:t>
            </w:r>
            <w:r w:rsidRPr="004A0C12">
              <w:rPr>
                <w:rFonts w:ascii="Garamond" w:eastAsia="Times New Roman" w:hAnsi="Garamond" w:cs="Times New Roman"/>
                <w:color w:val="383838"/>
              </w:rPr>
              <w:t>State</w:t>
            </w:r>
            <w:r w:rsidRPr="004A0C12">
              <w:rPr>
                <w:rFonts w:ascii="Garamond" w:eastAsia="Times New Roman" w:hAnsi="Garamond" w:cs="Times New Roman"/>
                <w:color w:val="383838"/>
                <w:spacing w:val="-6"/>
              </w:rPr>
              <w:t xml:space="preserve"> </w:t>
            </w:r>
            <w:r w:rsidRPr="004A0C12">
              <w:rPr>
                <w:rFonts w:ascii="Garamond" w:eastAsia="Times New Roman" w:hAnsi="Garamond" w:cs="Times New Roman"/>
                <w:color w:val="383838"/>
                <w:spacing w:val="10"/>
              </w:rPr>
              <w:t>P</w:t>
            </w:r>
            <w:r w:rsidRPr="004A0C12">
              <w:rPr>
                <w:rFonts w:ascii="Garamond" w:eastAsia="Times New Roman" w:hAnsi="Garamond" w:cs="Times New Roman"/>
                <w:color w:val="181818"/>
              </w:rPr>
              <w:t>l</w:t>
            </w:r>
            <w:r w:rsidRPr="004A0C12">
              <w:rPr>
                <w:rFonts w:ascii="Garamond" w:eastAsia="Times New Roman" w:hAnsi="Garamond" w:cs="Times New Roman"/>
                <w:color w:val="383838"/>
              </w:rPr>
              <w:t>an</w:t>
            </w:r>
            <w:r w:rsidRPr="004A0C12">
              <w:rPr>
                <w:rFonts w:ascii="Garamond" w:eastAsia="Times New Roman" w:hAnsi="Garamond" w:cs="Times New Roman"/>
                <w:color w:val="383838"/>
                <w:spacing w:val="-1"/>
              </w:rPr>
              <w:t xml:space="preserve"> </w:t>
            </w:r>
            <w:r w:rsidRPr="004A0C12">
              <w:rPr>
                <w:rFonts w:ascii="Garamond" w:eastAsia="Times New Roman" w:hAnsi="Garamond" w:cs="Times New Roman"/>
                <w:color w:val="282828"/>
              </w:rPr>
              <w:t>and</w:t>
            </w:r>
          </w:p>
          <w:p w14:paraId="7DD8F108"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181818"/>
                <w:w w:val="105"/>
              </w:rPr>
              <w:t>its</w:t>
            </w:r>
            <w:r w:rsidRPr="004A0C12">
              <w:rPr>
                <w:rFonts w:ascii="Garamond" w:eastAsia="Times New Roman" w:hAnsi="Garamond" w:cs="Times New Roman"/>
                <w:color w:val="181818"/>
                <w:spacing w:val="-2"/>
                <w:w w:val="105"/>
              </w:rPr>
              <w:t xml:space="preserve"> </w:t>
            </w:r>
            <w:r w:rsidRPr="004A0C12">
              <w:rPr>
                <w:rFonts w:ascii="Garamond" w:eastAsia="Times New Roman" w:hAnsi="Garamond" w:cs="Times New Roman"/>
                <w:color w:val="181818"/>
                <w:w w:val="105"/>
              </w:rPr>
              <w:t>suppleme</w:t>
            </w:r>
            <w:r w:rsidRPr="004A0C12">
              <w:rPr>
                <w:rFonts w:ascii="Garamond" w:eastAsia="Times New Roman" w:hAnsi="Garamond" w:cs="Times New Roman"/>
                <w:color w:val="181818"/>
                <w:spacing w:val="10"/>
                <w:w w:val="105"/>
              </w:rPr>
              <w:t>n</w:t>
            </w:r>
            <w:r w:rsidRPr="004A0C12">
              <w:rPr>
                <w:rFonts w:ascii="Garamond" w:eastAsia="Times New Roman" w:hAnsi="Garamond" w:cs="Times New Roman"/>
                <w:color w:val="383838"/>
                <w:w w:val="105"/>
              </w:rPr>
              <w:t>t</w:t>
            </w:r>
            <w:r w:rsidRPr="004A0C12">
              <w:rPr>
                <w:rFonts w:ascii="Garamond" w:eastAsia="Times New Roman" w:hAnsi="Garamond" w:cs="Times New Roman"/>
                <w:color w:val="383838"/>
                <w:spacing w:val="-8"/>
                <w:w w:val="105"/>
              </w:rPr>
              <w:t xml:space="preserve"> </w:t>
            </w:r>
            <w:r w:rsidRPr="004A0C12">
              <w:rPr>
                <w:rFonts w:ascii="Garamond" w:eastAsia="Times New Roman" w:hAnsi="Garamond" w:cs="Times New Roman"/>
                <w:color w:val="383838"/>
                <w:w w:val="105"/>
              </w:rPr>
              <w:t>are</w:t>
            </w:r>
            <w:r w:rsidRPr="004A0C12">
              <w:rPr>
                <w:rFonts w:ascii="Garamond" w:eastAsia="Times New Roman" w:hAnsi="Garamond" w:cs="Times New Roman"/>
                <w:color w:val="383838"/>
                <w:spacing w:val="-1"/>
                <w:w w:val="105"/>
              </w:rPr>
              <w:t xml:space="preserve"> </w:t>
            </w:r>
            <w:r w:rsidRPr="004A0C12">
              <w:rPr>
                <w:rFonts w:ascii="Garamond" w:eastAsia="Times New Roman" w:hAnsi="Garamond" w:cs="Times New Roman"/>
                <w:color w:val="383838"/>
                <w:w w:val="105"/>
              </w:rPr>
              <w:t>consistent</w:t>
            </w:r>
            <w:r w:rsidRPr="004A0C12">
              <w:rPr>
                <w:rFonts w:ascii="Garamond" w:eastAsia="Times New Roman" w:hAnsi="Garamond" w:cs="Times New Roman"/>
                <w:color w:val="383838"/>
                <w:spacing w:val="28"/>
                <w:w w:val="105"/>
              </w:rPr>
              <w:t xml:space="preserve"> </w:t>
            </w:r>
            <w:r w:rsidRPr="004A0C12">
              <w:rPr>
                <w:rFonts w:ascii="Garamond" w:eastAsia="Times New Roman" w:hAnsi="Garamond" w:cs="Times New Roman"/>
                <w:color w:val="282828"/>
                <w:w w:val="105"/>
              </w:rPr>
              <w:t>with</w:t>
            </w:r>
            <w:r w:rsidRPr="004A0C12">
              <w:rPr>
                <w:rFonts w:ascii="Garamond" w:eastAsia="Times New Roman" w:hAnsi="Garamond" w:cs="Times New Roman"/>
                <w:color w:val="282828"/>
                <w:spacing w:val="23"/>
                <w:w w:val="105"/>
              </w:rPr>
              <w:t xml:space="preserve"> </w:t>
            </w:r>
            <w:r w:rsidRPr="004A0C12">
              <w:rPr>
                <w:rFonts w:ascii="Garamond" w:eastAsia="Times New Roman" w:hAnsi="Garamond" w:cs="Times New Roman"/>
                <w:color w:val="282828"/>
                <w:w w:val="105"/>
              </w:rPr>
              <w:t>State</w:t>
            </w:r>
            <w:r w:rsidRPr="004A0C12">
              <w:rPr>
                <w:rFonts w:ascii="Garamond" w:eastAsia="Times New Roman" w:hAnsi="Garamond" w:cs="Times New Roman"/>
                <w:color w:val="282828"/>
                <w:spacing w:val="-2"/>
                <w:w w:val="105"/>
              </w:rPr>
              <w:t xml:space="preserve"> </w:t>
            </w:r>
            <w:r w:rsidRPr="004A0C12">
              <w:rPr>
                <w:rFonts w:ascii="Garamond" w:eastAsia="Times New Roman" w:hAnsi="Garamond" w:cs="Times New Roman"/>
                <w:color w:val="181818"/>
                <w:w w:val="105"/>
              </w:rPr>
              <w:t>law.</w:t>
            </w:r>
          </w:p>
        </w:tc>
      </w:tr>
      <w:tr w:rsidR="001F7B29" w:rsidRPr="004A0C12" w14:paraId="0D5E222A" w14:textId="77777777" w:rsidTr="00536320">
        <w:trPr>
          <w:trHeight w:hRule="exact" w:val="273"/>
        </w:trPr>
        <w:tc>
          <w:tcPr>
            <w:tcW w:w="458" w:type="dxa"/>
            <w:tcBorders>
              <w:top w:val="single" w:sz="8" w:space="0" w:color="000000"/>
              <w:left w:val="single" w:sz="8" w:space="0" w:color="000000"/>
              <w:bottom w:val="single" w:sz="8" w:space="0" w:color="000000"/>
              <w:right w:val="single" w:sz="8" w:space="0" w:color="000000"/>
            </w:tcBorders>
          </w:tcPr>
          <w:p w14:paraId="532D6292" w14:textId="77777777" w:rsidR="001F7B29" w:rsidRPr="004A0C12" w:rsidRDefault="001F7B29" w:rsidP="00E500D8">
            <w:pPr>
              <w:widowControl w:val="0"/>
              <w:rPr>
                <w:rFonts w:ascii="Garamond" w:hAnsi="Garamond" w:cs="Times New Roman"/>
              </w:rPr>
            </w:pPr>
          </w:p>
        </w:tc>
        <w:tc>
          <w:tcPr>
            <w:tcW w:w="9058" w:type="dxa"/>
            <w:tcBorders>
              <w:top w:val="single" w:sz="8" w:space="0" w:color="000000"/>
              <w:left w:val="single" w:sz="8" w:space="0" w:color="000000"/>
              <w:bottom w:val="single" w:sz="8" w:space="0" w:color="000000"/>
              <w:right w:val="single" w:sz="8" w:space="0" w:color="000000"/>
            </w:tcBorders>
          </w:tcPr>
          <w:p w14:paraId="0F2B5B66" w14:textId="77777777" w:rsidR="001F7B29" w:rsidRPr="004A0C12" w:rsidRDefault="001F7B29" w:rsidP="00E500D8">
            <w:pPr>
              <w:widowControl w:val="0"/>
              <w:rPr>
                <w:rFonts w:ascii="Garamond" w:hAnsi="Garamond" w:cs="Times New Roman"/>
              </w:rPr>
            </w:pPr>
          </w:p>
        </w:tc>
      </w:tr>
      <w:tr w:rsidR="001F7B29" w:rsidRPr="004A0C12" w14:paraId="57245291" w14:textId="77777777" w:rsidTr="00536320">
        <w:trPr>
          <w:trHeight w:hRule="exact" w:val="1051"/>
        </w:trPr>
        <w:tc>
          <w:tcPr>
            <w:tcW w:w="458" w:type="dxa"/>
            <w:tcBorders>
              <w:top w:val="single" w:sz="8" w:space="0" w:color="000000"/>
              <w:left w:val="single" w:sz="8" w:space="0" w:color="000000"/>
              <w:bottom w:val="single" w:sz="8" w:space="0" w:color="000000"/>
              <w:right w:val="single" w:sz="8" w:space="0" w:color="000000"/>
            </w:tcBorders>
            <w:hideMark/>
          </w:tcPr>
          <w:p w14:paraId="6F514B05" w14:textId="77777777" w:rsidR="001F7B29" w:rsidRPr="004A0C12" w:rsidRDefault="001F7B29" w:rsidP="00E500D8">
            <w:pPr>
              <w:widowControl w:val="0"/>
              <w:spacing w:line="273" w:lineRule="exact"/>
              <w:rPr>
                <w:rFonts w:ascii="Garamond" w:eastAsia="Times New Roman" w:hAnsi="Garamond" w:cs="Times New Roman"/>
              </w:rPr>
            </w:pPr>
            <w:r w:rsidRPr="004A0C12">
              <w:rPr>
                <w:rFonts w:ascii="Garamond" w:eastAsia="Times New Roman" w:hAnsi="Garamond" w:cs="Times New Roman"/>
                <w:color w:val="181818"/>
                <w:w w:val="105"/>
              </w:rPr>
              <w:t>7.</w:t>
            </w:r>
          </w:p>
        </w:tc>
        <w:tc>
          <w:tcPr>
            <w:tcW w:w="9058" w:type="dxa"/>
            <w:tcBorders>
              <w:top w:val="single" w:sz="8" w:space="0" w:color="000000"/>
              <w:left w:val="single" w:sz="8" w:space="0" w:color="000000"/>
              <w:bottom w:val="single" w:sz="8" w:space="0" w:color="000000"/>
              <w:right w:val="single" w:sz="8" w:space="0" w:color="000000"/>
            </w:tcBorders>
            <w:hideMark/>
          </w:tcPr>
          <w:p w14:paraId="1CB7EDA3" w14:textId="77777777" w:rsidR="001F7B29" w:rsidRPr="004A0C12" w:rsidRDefault="001F7B29" w:rsidP="00E500D8">
            <w:pPr>
              <w:widowControl w:val="0"/>
              <w:spacing w:line="273" w:lineRule="exact"/>
              <w:rPr>
                <w:rFonts w:ascii="Garamond" w:eastAsia="Times New Roman" w:hAnsi="Garamond" w:cs="Times New Roman"/>
              </w:rPr>
            </w:pPr>
            <w:r w:rsidRPr="004A0C12">
              <w:rPr>
                <w:rFonts w:ascii="Garamond" w:eastAsia="Times New Roman" w:hAnsi="Garamond" w:cs="Times New Roman"/>
                <w:color w:val="181818"/>
                <w:w w:val="105"/>
              </w:rPr>
              <w:t>The</w:t>
            </w:r>
            <w:r w:rsidRPr="004A0C12">
              <w:rPr>
                <w:rFonts w:ascii="Garamond" w:eastAsia="Times New Roman" w:hAnsi="Garamond" w:cs="Times New Roman"/>
                <w:color w:val="181818"/>
                <w:spacing w:val="10"/>
                <w:w w:val="105"/>
              </w:rPr>
              <w:t xml:space="preserve"> </w:t>
            </w:r>
            <w:r w:rsidRPr="004A0C12">
              <w:rPr>
                <w:rFonts w:ascii="Garamond" w:eastAsia="Times New Roman" w:hAnsi="Garamond" w:cs="Times New Roman"/>
                <w:b/>
                <w:color w:val="181818"/>
                <w:spacing w:val="10"/>
                <w:w w:val="105"/>
              </w:rPr>
              <w:t xml:space="preserve">Assistant State Superintendent, Division of Rehabilitation Services, </w:t>
            </w:r>
            <w:r w:rsidRPr="004A0C12">
              <w:rPr>
                <w:rFonts w:ascii="Garamond" w:eastAsia="Times New Roman" w:hAnsi="Garamond" w:cs="Times New Roman"/>
                <w:color w:val="282828"/>
                <w:w w:val="105"/>
              </w:rPr>
              <w:t>has</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181818"/>
                <w:w w:val="105"/>
              </w:rPr>
              <w:t>the</w:t>
            </w:r>
            <w:r w:rsidRPr="004A0C12">
              <w:rPr>
                <w:rFonts w:ascii="Garamond" w:eastAsia="Times New Roman" w:hAnsi="Garamond" w:cs="Times New Roman"/>
                <w:color w:val="181818"/>
                <w:spacing w:val="3"/>
                <w:w w:val="105"/>
              </w:rPr>
              <w:t xml:space="preserve"> </w:t>
            </w:r>
            <w:r w:rsidRPr="004A0C12">
              <w:rPr>
                <w:rFonts w:ascii="Garamond" w:eastAsia="Times New Roman" w:hAnsi="Garamond" w:cs="Times New Roman"/>
                <w:color w:val="181818"/>
                <w:w w:val="105"/>
              </w:rPr>
              <w:t>authority</w:t>
            </w:r>
            <w:r w:rsidRPr="004A0C12">
              <w:rPr>
                <w:rFonts w:ascii="Garamond" w:eastAsia="Times New Roman" w:hAnsi="Garamond" w:cs="Times New Roman"/>
                <w:color w:val="181818"/>
                <w:spacing w:val="-4"/>
                <w:w w:val="105"/>
              </w:rPr>
              <w:t xml:space="preserve"> </w:t>
            </w:r>
            <w:r w:rsidRPr="004A0C12">
              <w:rPr>
                <w:rFonts w:ascii="Garamond" w:eastAsia="Times New Roman" w:hAnsi="Garamond" w:cs="Times New Roman"/>
                <w:color w:val="282828"/>
                <w:w w:val="105"/>
              </w:rPr>
              <w:t>under</w:t>
            </w:r>
            <w:r w:rsidRPr="004A0C12">
              <w:rPr>
                <w:rFonts w:ascii="Garamond" w:eastAsia="Times New Roman" w:hAnsi="Garamond" w:cs="Times New Roman"/>
                <w:color w:val="282828"/>
                <w:spacing w:val="14"/>
                <w:w w:val="105"/>
              </w:rPr>
              <w:t xml:space="preserve"> </w:t>
            </w:r>
            <w:r w:rsidRPr="004A0C12">
              <w:rPr>
                <w:rFonts w:ascii="Garamond" w:eastAsia="Times New Roman" w:hAnsi="Garamond" w:cs="Times New Roman"/>
                <w:color w:val="383838"/>
                <w:w w:val="105"/>
              </w:rPr>
              <w:t>State</w:t>
            </w:r>
            <w:r w:rsidRPr="004A0C12">
              <w:rPr>
                <w:rFonts w:ascii="Garamond" w:eastAsia="Times New Roman" w:hAnsi="Garamond" w:cs="Times New Roman"/>
                <w:color w:val="383838"/>
                <w:spacing w:val="-7"/>
                <w:w w:val="105"/>
              </w:rPr>
              <w:t xml:space="preserve"> </w:t>
            </w:r>
            <w:r w:rsidRPr="004A0C12">
              <w:rPr>
                <w:rFonts w:ascii="Garamond" w:eastAsia="Times New Roman" w:hAnsi="Garamond" w:cs="Times New Roman"/>
                <w:color w:val="282828"/>
                <w:w w:val="105"/>
              </w:rPr>
              <w:t>l</w:t>
            </w:r>
            <w:r w:rsidRPr="004A0C12">
              <w:rPr>
                <w:rFonts w:ascii="Garamond" w:eastAsia="Times New Roman" w:hAnsi="Garamond" w:cs="Times New Roman"/>
                <w:color w:val="484848"/>
                <w:spacing w:val="-9"/>
                <w:w w:val="105"/>
              </w:rPr>
              <w:t>a</w:t>
            </w:r>
            <w:r w:rsidRPr="004A0C12">
              <w:rPr>
                <w:rFonts w:ascii="Garamond" w:eastAsia="Times New Roman" w:hAnsi="Garamond" w:cs="Times New Roman"/>
                <w:color w:val="282828"/>
                <w:w w:val="105"/>
              </w:rPr>
              <w:t>w</w:t>
            </w:r>
            <w:r w:rsidRPr="004A0C12">
              <w:rPr>
                <w:rFonts w:ascii="Garamond" w:eastAsia="Times New Roman" w:hAnsi="Garamond" w:cs="Times New Roman"/>
                <w:color w:val="282828"/>
                <w:spacing w:val="-2"/>
                <w:w w:val="105"/>
              </w:rPr>
              <w:t xml:space="preserve"> </w:t>
            </w:r>
            <w:r w:rsidRPr="004A0C12">
              <w:rPr>
                <w:rFonts w:ascii="Garamond" w:eastAsia="Times New Roman" w:hAnsi="Garamond" w:cs="Times New Roman"/>
                <w:color w:val="383838"/>
                <w:w w:val="105"/>
              </w:rPr>
              <w:t xml:space="preserve">to </w:t>
            </w:r>
            <w:r w:rsidRPr="004A0C12">
              <w:rPr>
                <w:rFonts w:ascii="Garamond" w:eastAsia="Times New Roman" w:hAnsi="Garamond" w:cs="Times New Roman"/>
                <w:color w:val="282828"/>
                <w:w w:val="105"/>
              </w:rPr>
              <w:t xml:space="preserve">receive, </w:t>
            </w:r>
            <w:r w:rsidRPr="004A0C12">
              <w:rPr>
                <w:rFonts w:ascii="Garamond" w:eastAsia="Times New Roman" w:hAnsi="Garamond" w:cs="Times New Roman"/>
                <w:color w:val="181818"/>
                <w:w w:val="105"/>
              </w:rPr>
              <w:t>hold,</w:t>
            </w:r>
            <w:r w:rsidRPr="004A0C12">
              <w:rPr>
                <w:rFonts w:ascii="Garamond" w:eastAsia="Times New Roman" w:hAnsi="Garamond" w:cs="Times New Roman"/>
                <w:color w:val="181818"/>
                <w:spacing w:val="-16"/>
                <w:w w:val="105"/>
              </w:rPr>
              <w:t xml:space="preserve"> </w:t>
            </w:r>
            <w:r w:rsidRPr="004A0C12">
              <w:rPr>
                <w:rFonts w:ascii="Garamond" w:eastAsia="Times New Roman" w:hAnsi="Garamond" w:cs="Times New Roman"/>
                <w:color w:val="282828"/>
                <w:w w:val="105"/>
              </w:rPr>
              <w:t>and</w:t>
            </w:r>
            <w:r w:rsidRPr="004A0C12">
              <w:rPr>
                <w:rFonts w:ascii="Garamond" w:eastAsia="Times New Roman" w:hAnsi="Garamond" w:cs="Times New Roman"/>
                <w:color w:val="282828"/>
                <w:spacing w:val="-1"/>
                <w:w w:val="105"/>
              </w:rPr>
              <w:t xml:space="preserve"> </w:t>
            </w:r>
            <w:r w:rsidRPr="004A0C12">
              <w:rPr>
                <w:rFonts w:ascii="Garamond" w:eastAsia="Times New Roman" w:hAnsi="Garamond" w:cs="Times New Roman"/>
                <w:color w:val="282828"/>
                <w:w w:val="105"/>
              </w:rPr>
              <w:t>disburse</w:t>
            </w:r>
            <w:r w:rsidRPr="004A0C12">
              <w:rPr>
                <w:rFonts w:ascii="Garamond" w:eastAsia="Times New Roman" w:hAnsi="Garamond" w:cs="Times New Roman"/>
                <w:color w:val="282828"/>
                <w:spacing w:val="3"/>
                <w:w w:val="105"/>
              </w:rPr>
              <w:t xml:space="preserve"> </w:t>
            </w:r>
            <w:r w:rsidRPr="004A0C12">
              <w:rPr>
                <w:rFonts w:ascii="Garamond" w:eastAsia="Times New Roman" w:hAnsi="Garamond" w:cs="Times New Roman"/>
                <w:color w:val="181818"/>
                <w:spacing w:val="-2"/>
                <w:w w:val="105"/>
              </w:rPr>
              <w:t>F</w:t>
            </w:r>
            <w:r w:rsidRPr="004A0C12">
              <w:rPr>
                <w:rFonts w:ascii="Garamond" w:eastAsia="Times New Roman" w:hAnsi="Garamond" w:cs="Times New Roman"/>
                <w:color w:val="383838"/>
                <w:w w:val="105"/>
              </w:rPr>
              <w:t>ederal</w:t>
            </w:r>
            <w:r w:rsidRPr="004A0C12">
              <w:rPr>
                <w:rFonts w:ascii="Garamond" w:eastAsia="Times New Roman" w:hAnsi="Garamond" w:cs="Times New Roman"/>
                <w:color w:val="383838"/>
                <w:spacing w:val="-4"/>
                <w:w w:val="105"/>
              </w:rPr>
              <w:t xml:space="preserve"> </w:t>
            </w:r>
            <w:r w:rsidRPr="004A0C12">
              <w:rPr>
                <w:rFonts w:ascii="Garamond" w:eastAsia="Times New Roman" w:hAnsi="Garamond" w:cs="Times New Roman"/>
                <w:color w:val="383838"/>
                <w:w w:val="105"/>
              </w:rPr>
              <w:t>funds</w:t>
            </w:r>
            <w:r w:rsidRPr="004A0C12">
              <w:rPr>
                <w:rFonts w:ascii="Garamond" w:eastAsia="Times New Roman" w:hAnsi="Garamond" w:cs="Times New Roman"/>
                <w:color w:val="383838"/>
                <w:spacing w:val="-8"/>
                <w:w w:val="105"/>
              </w:rPr>
              <w:t xml:space="preserve"> </w:t>
            </w:r>
            <w:r w:rsidRPr="004A0C12">
              <w:rPr>
                <w:rFonts w:ascii="Garamond" w:eastAsia="Times New Roman" w:hAnsi="Garamond" w:cs="Times New Roman"/>
                <w:color w:val="282828"/>
                <w:w w:val="105"/>
              </w:rPr>
              <w:t>made</w:t>
            </w:r>
            <w:r w:rsidRPr="004A0C12">
              <w:rPr>
                <w:rFonts w:ascii="Garamond" w:eastAsia="Times New Roman" w:hAnsi="Garamond" w:cs="Times New Roman"/>
                <w:color w:val="282828"/>
                <w:spacing w:val="-7"/>
                <w:w w:val="105"/>
              </w:rPr>
              <w:t xml:space="preserve"> </w:t>
            </w:r>
            <w:r w:rsidRPr="004A0C12">
              <w:rPr>
                <w:rFonts w:ascii="Garamond" w:eastAsia="Times New Roman" w:hAnsi="Garamond" w:cs="Times New Roman"/>
                <w:color w:val="282828"/>
                <w:w w:val="105"/>
              </w:rPr>
              <w:t>available</w:t>
            </w:r>
            <w:r w:rsidRPr="004A0C12">
              <w:rPr>
                <w:rFonts w:ascii="Garamond" w:eastAsia="Times New Roman" w:hAnsi="Garamond" w:cs="Times New Roman"/>
                <w:color w:val="282828"/>
                <w:spacing w:val="4"/>
                <w:w w:val="105"/>
              </w:rPr>
              <w:t xml:space="preserve"> </w:t>
            </w:r>
            <w:r w:rsidRPr="004A0C12">
              <w:rPr>
                <w:rFonts w:ascii="Garamond" w:eastAsia="Times New Roman" w:hAnsi="Garamond" w:cs="Times New Roman"/>
                <w:color w:val="282828"/>
                <w:w w:val="105"/>
              </w:rPr>
              <w:t>under</w:t>
            </w:r>
            <w:r w:rsidRPr="004A0C12">
              <w:rPr>
                <w:rFonts w:ascii="Garamond" w:eastAsia="Times New Roman" w:hAnsi="Garamond" w:cs="Times New Roman"/>
                <w:color w:val="282828"/>
                <w:spacing w:val="15"/>
                <w:w w:val="105"/>
              </w:rPr>
              <w:t xml:space="preserve"> </w:t>
            </w: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13"/>
                <w:w w:val="105"/>
              </w:rPr>
              <w:t xml:space="preserve"> </w:t>
            </w:r>
            <w:r w:rsidRPr="004A0C12">
              <w:rPr>
                <w:rFonts w:ascii="Garamond" w:eastAsia="Times New Roman" w:hAnsi="Garamond" w:cs="Times New Roman"/>
                <w:color w:val="282828"/>
                <w:w w:val="105"/>
              </w:rPr>
              <w:t>VR</w:t>
            </w:r>
            <w:r w:rsidRPr="004A0C12">
              <w:rPr>
                <w:rFonts w:ascii="Garamond" w:eastAsia="Times New Roman" w:hAnsi="Garamond" w:cs="Times New Roman"/>
                <w:color w:val="282828"/>
                <w:spacing w:val="-1"/>
                <w:w w:val="105"/>
              </w:rPr>
              <w:t xml:space="preserve"> </w:t>
            </w:r>
            <w:r w:rsidRPr="004A0C12">
              <w:rPr>
                <w:rFonts w:ascii="Garamond" w:eastAsia="Times New Roman" w:hAnsi="Garamond" w:cs="Times New Roman"/>
                <w:color w:val="383838"/>
                <w:w w:val="105"/>
              </w:rPr>
              <w:t>services</w:t>
            </w:r>
            <w:r w:rsidRPr="004A0C12">
              <w:rPr>
                <w:rFonts w:ascii="Garamond" w:eastAsia="Times New Roman" w:hAnsi="Garamond" w:cs="Times New Roman"/>
                <w:color w:val="383838"/>
                <w:spacing w:val="1"/>
                <w:w w:val="105"/>
              </w:rPr>
              <w:t xml:space="preserve"> </w:t>
            </w:r>
            <w:r w:rsidRPr="004A0C12">
              <w:rPr>
                <w:rFonts w:ascii="Garamond" w:eastAsia="Times New Roman" w:hAnsi="Garamond" w:cs="Times New Roman"/>
                <w:color w:val="282828"/>
                <w:w w:val="105"/>
              </w:rPr>
              <w:t>portion</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282828"/>
                <w:w w:val="105"/>
              </w:rPr>
              <w:t>of</w:t>
            </w:r>
            <w:r w:rsidRPr="004A0C12">
              <w:rPr>
                <w:rFonts w:ascii="Garamond" w:eastAsia="Times New Roman" w:hAnsi="Garamond" w:cs="Times New Roman"/>
                <w:color w:val="282828"/>
                <w:w w:val="96"/>
              </w:rPr>
              <w:t xml:space="preserve"> </w:t>
            </w: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17"/>
                <w:w w:val="105"/>
              </w:rPr>
              <w:t xml:space="preserve"> </w:t>
            </w:r>
            <w:r w:rsidRPr="004A0C12">
              <w:rPr>
                <w:rFonts w:ascii="Garamond" w:eastAsia="Times New Roman" w:hAnsi="Garamond" w:cs="Times New Roman"/>
                <w:color w:val="181818"/>
                <w:w w:val="105"/>
              </w:rPr>
              <w:t>Unif</w:t>
            </w:r>
            <w:r w:rsidRPr="004A0C12">
              <w:rPr>
                <w:rFonts w:ascii="Garamond" w:eastAsia="Times New Roman" w:hAnsi="Garamond" w:cs="Times New Roman"/>
                <w:color w:val="383838"/>
                <w:w w:val="105"/>
              </w:rPr>
              <w:t>ied</w:t>
            </w:r>
            <w:r w:rsidRPr="004A0C12">
              <w:rPr>
                <w:rFonts w:ascii="Garamond" w:eastAsia="Times New Roman" w:hAnsi="Garamond" w:cs="Times New Roman"/>
                <w:color w:val="383838"/>
                <w:spacing w:val="-5"/>
                <w:w w:val="105"/>
              </w:rPr>
              <w:t xml:space="preserve"> </w:t>
            </w:r>
            <w:r w:rsidRPr="004A0C12">
              <w:rPr>
                <w:rFonts w:ascii="Garamond" w:eastAsia="Times New Roman" w:hAnsi="Garamond" w:cs="Times New Roman"/>
                <w:color w:val="383838"/>
                <w:w w:val="105"/>
              </w:rPr>
              <w:t>or</w:t>
            </w:r>
            <w:r w:rsidRPr="004A0C12">
              <w:rPr>
                <w:rFonts w:ascii="Garamond" w:eastAsia="Times New Roman" w:hAnsi="Garamond" w:cs="Times New Roman"/>
                <w:color w:val="383838"/>
                <w:spacing w:val="-6"/>
                <w:w w:val="105"/>
              </w:rPr>
              <w:t xml:space="preserve"> </w:t>
            </w:r>
            <w:r w:rsidRPr="004A0C12">
              <w:rPr>
                <w:rFonts w:ascii="Garamond" w:eastAsia="Times New Roman" w:hAnsi="Garamond" w:cs="Times New Roman"/>
                <w:color w:val="383838"/>
                <w:w w:val="105"/>
              </w:rPr>
              <w:t>Combined</w:t>
            </w:r>
            <w:r w:rsidRPr="004A0C12">
              <w:rPr>
                <w:rFonts w:ascii="Garamond" w:eastAsia="Times New Roman" w:hAnsi="Garamond" w:cs="Times New Roman"/>
                <w:color w:val="383838"/>
                <w:spacing w:val="54"/>
                <w:w w:val="105"/>
              </w:rPr>
              <w:t xml:space="preserve"> </w:t>
            </w:r>
            <w:r w:rsidRPr="004A0C12">
              <w:rPr>
                <w:rFonts w:ascii="Garamond" w:eastAsia="Times New Roman" w:hAnsi="Garamond" w:cs="Times New Roman"/>
                <w:color w:val="383838"/>
                <w:w w:val="105"/>
              </w:rPr>
              <w:t>State</w:t>
            </w:r>
            <w:r w:rsidRPr="004A0C12">
              <w:rPr>
                <w:rFonts w:ascii="Garamond" w:eastAsia="Times New Roman" w:hAnsi="Garamond" w:cs="Times New Roman"/>
                <w:color w:val="383838"/>
                <w:spacing w:val="-16"/>
                <w:w w:val="105"/>
              </w:rPr>
              <w:t xml:space="preserve"> </w:t>
            </w:r>
            <w:r w:rsidRPr="004A0C12">
              <w:rPr>
                <w:rFonts w:ascii="Garamond" w:eastAsia="Times New Roman" w:hAnsi="Garamond" w:cs="Times New Roman"/>
                <w:color w:val="282828"/>
                <w:w w:val="105"/>
              </w:rPr>
              <w:t>Plan</w:t>
            </w:r>
            <w:r w:rsidRPr="004A0C12">
              <w:rPr>
                <w:rFonts w:ascii="Garamond" w:eastAsia="Times New Roman" w:hAnsi="Garamond" w:cs="Times New Roman"/>
                <w:color w:val="282828"/>
                <w:spacing w:val="-10"/>
                <w:w w:val="105"/>
              </w:rPr>
              <w:t xml:space="preserve"> </w:t>
            </w:r>
            <w:r w:rsidRPr="004A0C12">
              <w:rPr>
                <w:rFonts w:ascii="Garamond" w:eastAsia="Times New Roman" w:hAnsi="Garamond" w:cs="Times New Roman"/>
                <w:color w:val="282828"/>
                <w:w w:val="105"/>
              </w:rPr>
              <w:t>and</w:t>
            </w:r>
            <w:r w:rsidRPr="004A0C12">
              <w:rPr>
                <w:rFonts w:ascii="Garamond" w:eastAsia="Times New Roman" w:hAnsi="Garamond" w:cs="Times New Roman"/>
                <w:color w:val="282828"/>
                <w:spacing w:val="3"/>
                <w:w w:val="105"/>
              </w:rPr>
              <w:t xml:space="preserve"> </w:t>
            </w:r>
            <w:r w:rsidRPr="004A0C12">
              <w:rPr>
                <w:rFonts w:ascii="Garamond" w:eastAsia="Times New Roman" w:hAnsi="Garamond" w:cs="Times New Roman"/>
                <w:color w:val="282828"/>
                <w:w w:val="105"/>
              </w:rPr>
              <w:t>its</w:t>
            </w:r>
            <w:r w:rsidRPr="004A0C12">
              <w:rPr>
                <w:rFonts w:ascii="Garamond" w:eastAsia="Times New Roman" w:hAnsi="Garamond" w:cs="Times New Roman"/>
                <w:color w:val="282828"/>
                <w:spacing w:val="-15"/>
                <w:w w:val="105"/>
              </w:rPr>
              <w:t xml:space="preserve"> </w:t>
            </w:r>
            <w:r w:rsidRPr="004A0C12">
              <w:rPr>
                <w:rFonts w:ascii="Garamond" w:eastAsia="Times New Roman" w:hAnsi="Garamond" w:cs="Times New Roman"/>
                <w:color w:val="282828"/>
                <w:w w:val="105"/>
              </w:rPr>
              <w:t>supplement;</w:t>
            </w:r>
          </w:p>
        </w:tc>
      </w:tr>
      <w:tr w:rsidR="001F7B29" w:rsidRPr="004A0C12" w14:paraId="76CFA75F" w14:textId="77777777" w:rsidTr="00536320">
        <w:trPr>
          <w:trHeight w:hRule="exact" w:val="210"/>
        </w:trPr>
        <w:tc>
          <w:tcPr>
            <w:tcW w:w="458" w:type="dxa"/>
            <w:tcBorders>
              <w:top w:val="single" w:sz="8" w:space="0" w:color="000000"/>
              <w:left w:val="single" w:sz="8" w:space="0" w:color="000000"/>
              <w:bottom w:val="single" w:sz="8" w:space="0" w:color="000000"/>
              <w:right w:val="single" w:sz="8" w:space="0" w:color="000000"/>
            </w:tcBorders>
          </w:tcPr>
          <w:p w14:paraId="2780620A" w14:textId="77777777" w:rsidR="001F7B29" w:rsidRPr="004A0C12" w:rsidRDefault="001F7B29" w:rsidP="00E500D8">
            <w:pPr>
              <w:widowControl w:val="0"/>
              <w:rPr>
                <w:rFonts w:ascii="Garamond" w:hAnsi="Garamond" w:cs="Times New Roman"/>
              </w:rPr>
            </w:pPr>
          </w:p>
        </w:tc>
        <w:tc>
          <w:tcPr>
            <w:tcW w:w="9058" w:type="dxa"/>
            <w:tcBorders>
              <w:top w:val="single" w:sz="8" w:space="0" w:color="000000"/>
              <w:left w:val="single" w:sz="8" w:space="0" w:color="000000"/>
              <w:bottom w:val="single" w:sz="8" w:space="0" w:color="000000"/>
              <w:right w:val="single" w:sz="8" w:space="0" w:color="000000"/>
            </w:tcBorders>
          </w:tcPr>
          <w:p w14:paraId="033DD98D" w14:textId="77777777" w:rsidR="001F7B29" w:rsidRPr="004A0C12" w:rsidRDefault="001F7B29" w:rsidP="00E500D8">
            <w:pPr>
              <w:widowControl w:val="0"/>
              <w:rPr>
                <w:rFonts w:ascii="Garamond" w:hAnsi="Garamond" w:cs="Times New Roman"/>
              </w:rPr>
            </w:pPr>
          </w:p>
        </w:tc>
      </w:tr>
      <w:tr w:rsidR="001F7B29" w:rsidRPr="004A0C12" w14:paraId="448D261C" w14:textId="77777777" w:rsidTr="00536320">
        <w:trPr>
          <w:trHeight w:hRule="exact" w:val="1056"/>
        </w:trPr>
        <w:tc>
          <w:tcPr>
            <w:tcW w:w="458" w:type="dxa"/>
            <w:tcBorders>
              <w:top w:val="single" w:sz="8" w:space="0" w:color="000000"/>
              <w:left w:val="single" w:sz="8" w:space="0" w:color="000000"/>
              <w:bottom w:val="single" w:sz="8" w:space="0" w:color="000000"/>
              <w:right w:val="single" w:sz="8" w:space="0" w:color="000000"/>
            </w:tcBorders>
            <w:hideMark/>
          </w:tcPr>
          <w:p w14:paraId="1754EDB7" w14:textId="77777777" w:rsidR="001F7B29" w:rsidRPr="004A0C12" w:rsidRDefault="001F7B29" w:rsidP="00E500D8">
            <w:pPr>
              <w:widowControl w:val="0"/>
              <w:spacing w:line="275" w:lineRule="exact"/>
              <w:rPr>
                <w:rFonts w:ascii="Garamond" w:eastAsia="Times New Roman" w:hAnsi="Garamond" w:cs="Times New Roman"/>
              </w:rPr>
            </w:pPr>
            <w:r w:rsidRPr="004A0C12">
              <w:rPr>
                <w:rFonts w:ascii="Garamond" w:eastAsia="Times New Roman" w:hAnsi="Garamond" w:cs="Times New Roman"/>
                <w:color w:val="282828"/>
                <w:w w:val="110"/>
              </w:rPr>
              <w:t>8.</w:t>
            </w:r>
          </w:p>
        </w:tc>
        <w:tc>
          <w:tcPr>
            <w:tcW w:w="9058" w:type="dxa"/>
            <w:tcBorders>
              <w:top w:val="single" w:sz="8" w:space="0" w:color="000000"/>
              <w:left w:val="single" w:sz="8" w:space="0" w:color="000000"/>
              <w:bottom w:val="single" w:sz="8" w:space="0" w:color="000000"/>
              <w:right w:val="single" w:sz="8" w:space="0" w:color="000000"/>
            </w:tcBorders>
            <w:hideMark/>
          </w:tcPr>
          <w:p w14:paraId="303035CF" w14:textId="77777777" w:rsidR="001F7B29" w:rsidRPr="004A0C12" w:rsidRDefault="001F7B29" w:rsidP="00E500D8">
            <w:pPr>
              <w:widowControl w:val="0"/>
              <w:spacing w:line="273" w:lineRule="exact"/>
              <w:rPr>
                <w:rFonts w:ascii="Garamond" w:eastAsia="Times New Roman" w:hAnsi="Garamond" w:cs="Times New Roman"/>
              </w:rPr>
            </w:pPr>
            <w:r w:rsidRPr="004A0C12">
              <w:rPr>
                <w:rFonts w:ascii="Garamond" w:eastAsia="Times New Roman" w:hAnsi="Garamond" w:cs="Times New Roman"/>
                <w:color w:val="282828"/>
                <w:w w:val="110"/>
              </w:rPr>
              <w:t>The</w:t>
            </w:r>
            <w:r w:rsidRPr="004A0C12">
              <w:rPr>
                <w:rFonts w:ascii="Garamond" w:eastAsia="Times New Roman" w:hAnsi="Garamond" w:cs="Times New Roman"/>
                <w:color w:val="282828"/>
                <w:spacing w:val="-28"/>
                <w:w w:val="110"/>
              </w:rPr>
              <w:t xml:space="preserve"> </w:t>
            </w:r>
            <w:r w:rsidRPr="004A0C12">
              <w:rPr>
                <w:rFonts w:ascii="Garamond" w:eastAsia="Times New Roman" w:hAnsi="Garamond" w:cs="Times New Roman"/>
                <w:b/>
                <w:color w:val="484848"/>
                <w:spacing w:val="-6"/>
                <w:w w:val="110"/>
              </w:rPr>
              <w:t>Assistant State Superintendent, Division of Rehabilitation Services</w:t>
            </w:r>
            <w:r w:rsidRPr="004A0C12">
              <w:rPr>
                <w:rFonts w:ascii="Garamond" w:eastAsia="Times New Roman" w:hAnsi="Garamond" w:cs="Times New Roman"/>
                <w:color w:val="484848"/>
                <w:spacing w:val="-6"/>
                <w:w w:val="110"/>
              </w:rPr>
              <w:t xml:space="preserve">, </w:t>
            </w:r>
            <w:r w:rsidRPr="004A0C12">
              <w:rPr>
                <w:rFonts w:ascii="Garamond" w:eastAsia="Times New Roman" w:hAnsi="Garamond" w:cs="Times New Roman"/>
                <w:color w:val="383838"/>
                <w:w w:val="110"/>
              </w:rPr>
              <w:t>has</w:t>
            </w:r>
            <w:r w:rsidRPr="004A0C12">
              <w:rPr>
                <w:rFonts w:ascii="Garamond" w:eastAsia="Times New Roman" w:hAnsi="Garamond" w:cs="Times New Roman"/>
                <w:color w:val="383838"/>
                <w:spacing w:val="-32"/>
                <w:w w:val="110"/>
              </w:rPr>
              <w:t xml:space="preserve"> </w:t>
            </w:r>
            <w:r w:rsidRPr="004A0C12">
              <w:rPr>
                <w:rFonts w:ascii="Garamond" w:eastAsia="Times New Roman" w:hAnsi="Garamond" w:cs="Times New Roman"/>
                <w:color w:val="383838"/>
                <w:spacing w:val="-1"/>
                <w:w w:val="110"/>
              </w:rPr>
              <w:t>t</w:t>
            </w:r>
            <w:r w:rsidRPr="004A0C12">
              <w:rPr>
                <w:rFonts w:ascii="Garamond" w:eastAsia="Times New Roman" w:hAnsi="Garamond" w:cs="Times New Roman"/>
                <w:color w:val="181818"/>
                <w:w w:val="110"/>
              </w:rPr>
              <w:t>he</w:t>
            </w:r>
            <w:r w:rsidRPr="004A0C12">
              <w:rPr>
                <w:rFonts w:ascii="Garamond" w:eastAsia="Times New Roman" w:hAnsi="Garamond" w:cs="Times New Roman"/>
                <w:color w:val="181818"/>
                <w:spacing w:val="-32"/>
                <w:w w:val="110"/>
              </w:rPr>
              <w:t xml:space="preserve"> </w:t>
            </w:r>
            <w:r w:rsidRPr="004A0C12">
              <w:rPr>
                <w:rFonts w:ascii="Garamond" w:eastAsia="Times New Roman" w:hAnsi="Garamond" w:cs="Times New Roman"/>
                <w:color w:val="282828"/>
                <w:w w:val="110"/>
              </w:rPr>
              <w:t>authority</w:t>
            </w:r>
            <w:r w:rsidRPr="004A0C12">
              <w:rPr>
                <w:rFonts w:ascii="Garamond" w:eastAsia="Times New Roman" w:hAnsi="Garamond" w:cs="Times New Roman"/>
                <w:color w:val="282828"/>
                <w:spacing w:val="-35"/>
                <w:w w:val="110"/>
              </w:rPr>
              <w:t xml:space="preserve"> </w:t>
            </w:r>
            <w:r w:rsidRPr="004A0C12">
              <w:rPr>
                <w:rFonts w:ascii="Garamond" w:eastAsia="Times New Roman" w:hAnsi="Garamond" w:cs="Times New Roman"/>
                <w:color w:val="484848"/>
                <w:w w:val="110"/>
              </w:rPr>
              <w:t>to</w:t>
            </w:r>
            <w:r w:rsidRPr="004A0C12">
              <w:rPr>
                <w:rFonts w:ascii="Garamond" w:eastAsia="Times New Roman" w:hAnsi="Garamond" w:cs="Times New Roman"/>
                <w:color w:val="484848"/>
                <w:spacing w:val="-27"/>
                <w:w w:val="110"/>
              </w:rPr>
              <w:t xml:space="preserve"> </w:t>
            </w:r>
            <w:r w:rsidRPr="004A0C12">
              <w:rPr>
                <w:rFonts w:ascii="Garamond" w:eastAsia="Times New Roman" w:hAnsi="Garamond" w:cs="Times New Roman"/>
                <w:color w:val="383838"/>
                <w:w w:val="110"/>
              </w:rPr>
              <w:t>submit</w:t>
            </w:r>
            <w:r w:rsidRPr="004A0C12">
              <w:rPr>
                <w:rFonts w:ascii="Garamond" w:eastAsia="Times New Roman" w:hAnsi="Garamond" w:cs="Times New Roman"/>
                <w:color w:val="383838"/>
                <w:spacing w:val="-36"/>
                <w:w w:val="110"/>
              </w:rPr>
              <w:t xml:space="preserve"> </w:t>
            </w:r>
            <w:r w:rsidRPr="004A0C12">
              <w:rPr>
                <w:rFonts w:ascii="Garamond" w:eastAsia="Times New Roman" w:hAnsi="Garamond" w:cs="Times New Roman"/>
                <w:color w:val="383838"/>
                <w:w w:val="110"/>
              </w:rPr>
              <w:t>the</w:t>
            </w:r>
            <w:r w:rsidRPr="004A0C12">
              <w:rPr>
                <w:rFonts w:ascii="Garamond" w:eastAsia="Times New Roman" w:hAnsi="Garamond" w:cs="Times New Roman"/>
                <w:color w:val="383838"/>
                <w:spacing w:val="-31"/>
                <w:w w:val="110"/>
              </w:rPr>
              <w:t xml:space="preserve"> </w:t>
            </w:r>
            <w:r w:rsidRPr="004A0C12">
              <w:rPr>
                <w:rFonts w:ascii="Garamond" w:eastAsia="Times New Roman" w:hAnsi="Garamond" w:cs="Times New Roman"/>
                <w:color w:val="282828"/>
                <w:w w:val="110"/>
              </w:rPr>
              <w:t>VR</w:t>
            </w:r>
            <w:r w:rsidRPr="004A0C12">
              <w:rPr>
                <w:rFonts w:ascii="Garamond" w:eastAsia="Times New Roman" w:hAnsi="Garamond" w:cs="Times New Roman"/>
                <w:color w:val="282828"/>
                <w:spacing w:val="-23"/>
                <w:w w:val="110"/>
              </w:rPr>
              <w:t xml:space="preserve"> </w:t>
            </w:r>
            <w:r w:rsidRPr="004A0C12">
              <w:rPr>
                <w:rFonts w:ascii="Garamond" w:eastAsia="Times New Roman" w:hAnsi="Garamond" w:cs="Times New Roman"/>
                <w:color w:val="484848"/>
                <w:w w:val="110"/>
              </w:rPr>
              <w:t>s</w:t>
            </w:r>
            <w:r w:rsidRPr="004A0C12">
              <w:rPr>
                <w:rFonts w:ascii="Garamond" w:eastAsia="Times New Roman" w:hAnsi="Garamond" w:cs="Times New Roman"/>
                <w:color w:val="484848"/>
                <w:spacing w:val="-9"/>
                <w:w w:val="110"/>
              </w:rPr>
              <w:t>e</w:t>
            </w:r>
            <w:r w:rsidRPr="004A0C12">
              <w:rPr>
                <w:rFonts w:ascii="Garamond" w:eastAsia="Times New Roman" w:hAnsi="Garamond" w:cs="Times New Roman"/>
                <w:color w:val="282828"/>
                <w:w w:val="110"/>
              </w:rPr>
              <w:t>r</w:t>
            </w:r>
            <w:r w:rsidRPr="004A0C12">
              <w:rPr>
                <w:rFonts w:ascii="Garamond" w:eastAsia="Times New Roman" w:hAnsi="Garamond" w:cs="Times New Roman"/>
                <w:color w:val="484848"/>
                <w:w w:val="110"/>
              </w:rPr>
              <w:t xml:space="preserve">vices </w:t>
            </w:r>
            <w:r w:rsidRPr="004A0C12">
              <w:rPr>
                <w:rFonts w:ascii="Garamond" w:eastAsia="Times New Roman" w:hAnsi="Garamond" w:cs="Times New Roman"/>
                <w:color w:val="383838"/>
                <w:w w:val="105"/>
              </w:rPr>
              <w:t>p</w:t>
            </w:r>
            <w:r w:rsidRPr="004A0C12">
              <w:rPr>
                <w:rFonts w:ascii="Garamond" w:eastAsia="Times New Roman" w:hAnsi="Garamond" w:cs="Times New Roman"/>
                <w:color w:val="383838"/>
                <w:spacing w:val="15"/>
                <w:w w:val="105"/>
              </w:rPr>
              <w:t>o</w:t>
            </w:r>
            <w:r w:rsidRPr="004A0C12">
              <w:rPr>
                <w:rFonts w:ascii="Garamond" w:eastAsia="Times New Roman" w:hAnsi="Garamond" w:cs="Times New Roman"/>
                <w:color w:val="181818"/>
                <w:w w:val="105"/>
              </w:rPr>
              <w:t>rt</w:t>
            </w:r>
            <w:r w:rsidRPr="004A0C12">
              <w:rPr>
                <w:rFonts w:ascii="Garamond" w:eastAsia="Times New Roman" w:hAnsi="Garamond" w:cs="Times New Roman"/>
                <w:color w:val="484848"/>
                <w:w w:val="105"/>
              </w:rPr>
              <w:t>ion</w:t>
            </w:r>
            <w:r w:rsidRPr="004A0C12">
              <w:rPr>
                <w:rFonts w:ascii="Garamond" w:eastAsia="Times New Roman" w:hAnsi="Garamond" w:cs="Times New Roman"/>
                <w:color w:val="484848"/>
                <w:spacing w:val="-1"/>
                <w:w w:val="105"/>
              </w:rPr>
              <w:t xml:space="preserve"> </w:t>
            </w:r>
            <w:r w:rsidRPr="004A0C12">
              <w:rPr>
                <w:rFonts w:ascii="Garamond" w:eastAsia="Times New Roman" w:hAnsi="Garamond" w:cs="Times New Roman"/>
                <w:color w:val="383838"/>
                <w:w w:val="105"/>
              </w:rPr>
              <w:t>of</w:t>
            </w:r>
            <w:r w:rsidRPr="004A0C12">
              <w:rPr>
                <w:rFonts w:ascii="Garamond" w:eastAsia="Times New Roman" w:hAnsi="Garamond" w:cs="Times New Roman"/>
                <w:color w:val="383838"/>
                <w:spacing w:val="-6"/>
                <w:w w:val="105"/>
              </w:rPr>
              <w:t xml:space="preserve"> </w:t>
            </w:r>
            <w:r w:rsidRPr="004A0C12">
              <w:rPr>
                <w:rFonts w:ascii="Garamond" w:eastAsia="Times New Roman" w:hAnsi="Garamond" w:cs="Times New Roman"/>
                <w:color w:val="383838"/>
                <w:w w:val="105"/>
              </w:rPr>
              <w:t>the</w:t>
            </w:r>
            <w:r w:rsidRPr="004A0C12">
              <w:rPr>
                <w:rFonts w:ascii="Garamond" w:eastAsia="Times New Roman" w:hAnsi="Garamond" w:cs="Times New Roman"/>
                <w:color w:val="383838"/>
                <w:spacing w:val="-3"/>
                <w:w w:val="105"/>
              </w:rPr>
              <w:t xml:space="preserve"> </w:t>
            </w:r>
            <w:r w:rsidRPr="004A0C12">
              <w:rPr>
                <w:rFonts w:ascii="Garamond" w:eastAsia="Times New Roman" w:hAnsi="Garamond" w:cs="Times New Roman"/>
                <w:color w:val="282828"/>
                <w:w w:val="105"/>
              </w:rPr>
              <w:t>Unifi</w:t>
            </w:r>
            <w:r w:rsidRPr="004A0C12">
              <w:rPr>
                <w:rFonts w:ascii="Garamond" w:eastAsia="Times New Roman" w:hAnsi="Garamond" w:cs="Times New Roman"/>
                <w:color w:val="282828"/>
                <w:spacing w:val="15"/>
                <w:w w:val="105"/>
              </w:rPr>
              <w:t>e</w:t>
            </w:r>
            <w:r w:rsidRPr="004A0C12">
              <w:rPr>
                <w:rFonts w:ascii="Garamond" w:eastAsia="Times New Roman" w:hAnsi="Garamond" w:cs="Times New Roman"/>
                <w:color w:val="484848"/>
                <w:w w:val="105"/>
              </w:rPr>
              <w:t>d</w:t>
            </w:r>
            <w:r w:rsidRPr="004A0C12">
              <w:rPr>
                <w:rFonts w:ascii="Garamond" w:eastAsia="Times New Roman" w:hAnsi="Garamond" w:cs="Times New Roman"/>
                <w:color w:val="484848"/>
                <w:spacing w:val="-2"/>
                <w:w w:val="105"/>
              </w:rPr>
              <w:t xml:space="preserve"> </w:t>
            </w:r>
            <w:r w:rsidRPr="004A0C12">
              <w:rPr>
                <w:rFonts w:ascii="Garamond" w:eastAsia="Times New Roman" w:hAnsi="Garamond" w:cs="Times New Roman"/>
                <w:color w:val="383838"/>
                <w:w w:val="105"/>
              </w:rPr>
              <w:t>or</w:t>
            </w:r>
            <w:r w:rsidRPr="004A0C12">
              <w:rPr>
                <w:rFonts w:ascii="Garamond" w:eastAsia="Times New Roman" w:hAnsi="Garamond" w:cs="Times New Roman"/>
                <w:color w:val="383838"/>
                <w:spacing w:val="-1"/>
                <w:w w:val="105"/>
              </w:rPr>
              <w:t xml:space="preserve"> </w:t>
            </w:r>
            <w:r w:rsidRPr="004A0C12">
              <w:rPr>
                <w:rFonts w:ascii="Garamond" w:eastAsia="Times New Roman" w:hAnsi="Garamond" w:cs="Times New Roman"/>
                <w:color w:val="383838"/>
                <w:w w:val="105"/>
              </w:rPr>
              <w:t xml:space="preserve">Combined </w:t>
            </w:r>
            <w:r w:rsidRPr="004A0C12">
              <w:rPr>
                <w:rFonts w:ascii="Garamond" w:eastAsia="Times New Roman" w:hAnsi="Garamond" w:cs="Times New Roman"/>
                <w:color w:val="383838"/>
                <w:spacing w:val="5"/>
                <w:w w:val="105"/>
              </w:rPr>
              <w:t xml:space="preserve"> </w:t>
            </w:r>
            <w:r w:rsidRPr="004A0C12">
              <w:rPr>
                <w:rFonts w:ascii="Garamond" w:eastAsia="Times New Roman" w:hAnsi="Garamond" w:cs="Times New Roman"/>
                <w:color w:val="383838"/>
                <w:w w:val="105"/>
              </w:rPr>
              <w:t>State</w:t>
            </w:r>
            <w:r w:rsidRPr="004A0C12">
              <w:rPr>
                <w:rFonts w:ascii="Garamond" w:eastAsia="Times New Roman" w:hAnsi="Garamond" w:cs="Times New Roman"/>
                <w:color w:val="383838"/>
                <w:spacing w:val="-19"/>
                <w:w w:val="105"/>
              </w:rPr>
              <w:t xml:space="preserve"> </w:t>
            </w:r>
            <w:r w:rsidRPr="004A0C12">
              <w:rPr>
                <w:rFonts w:ascii="Garamond" w:eastAsia="Times New Roman" w:hAnsi="Garamond" w:cs="Times New Roman"/>
                <w:color w:val="282828"/>
                <w:w w:val="105"/>
              </w:rPr>
              <w:t>Plan</w:t>
            </w:r>
            <w:r w:rsidRPr="004A0C12">
              <w:rPr>
                <w:rFonts w:ascii="Garamond" w:eastAsia="Times New Roman" w:hAnsi="Garamond" w:cs="Times New Roman"/>
                <w:color w:val="282828"/>
                <w:spacing w:val="-4"/>
                <w:w w:val="105"/>
              </w:rPr>
              <w:t xml:space="preserve"> </w:t>
            </w:r>
            <w:r w:rsidRPr="004A0C12">
              <w:rPr>
                <w:rFonts w:ascii="Garamond" w:eastAsia="Times New Roman" w:hAnsi="Garamond" w:cs="Times New Roman"/>
                <w:color w:val="383838"/>
                <w:w w:val="105"/>
              </w:rPr>
              <w:t>a</w:t>
            </w:r>
            <w:r w:rsidRPr="004A0C12">
              <w:rPr>
                <w:rFonts w:ascii="Garamond" w:eastAsia="Times New Roman" w:hAnsi="Garamond" w:cs="Times New Roman"/>
                <w:color w:val="383838"/>
                <w:spacing w:val="-7"/>
                <w:w w:val="105"/>
              </w:rPr>
              <w:t>n</w:t>
            </w:r>
            <w:r w:rsidRPr="004A0C12">
              <w:rPr>
                <w:rFonts w:ascii="Garamond" w:eastAsia="Times New Roman" w:hAnsi="Garamond" w:cs="Times New Roman"/>
                <w:color w:val="181818"/>
                <w:w w:val="105"/>
              </w:rPr>
              <w:t>d</w:t>
            </w:r>
            <w:r w:rsidRPr="004A0C12">
              <w:rPr>
                <w:rFonts w:ascii="Garamond" w:eastAsia="Times New Roman" w:hAnsi="Garamond" w:cs="Times New Roman"/>
                <w:color w:val="181818"/>
                <w:spacing w:val="-2"/>
                <w:w w:val="105"/>
              </w:rPr>
              <w:t xml:space="preserve"> </w:t>
            </w:r>
            <w:r w:rsidRPr="004A0C12">
              <w:rPr>
                <w:rFonts w:ascii="Garamond" w:eastAsia="Times New Roman" w:hAnsi="Garamond" w:cs="Times New Roman"/>
                <w:color w:val="383838"/>
                <w:w w:val="105"/>
              </w:rPr>
              <w:t>the</w:t>
            </w:r>
            <w:r w:rsidRPr="004A0C12">
              <w:rPr>
                <w:rFonts w:ascii="Garamond" w:eastAsia="Times New Roman" w:hAnsi="Garamond" w:cs="Times New Roman"/>
                <w:color w:val="383838"/>
                <w:spacing w:val="-2"/>
                <w:w w:val="105"/>
              </w:rPr>
              <w:t xml:space="preserve"> </w:t>
            </w:r>
            <w:r w:rsidRPr="004A0C12">
              <w:rPr>
                <w:rFonts w:ascii="Garamond" w:eastAsia="Times New Roman" w:hAnsi="Garamond" w:cs="Times New Roman"/>
                <w:color w:val="383838"/>
                <w:spacing w:val="-12"/>
                <w:w w:val="105"/>
              </w:rPr>
              <w:t>s</w:t>
            </w:r>
            <w:r w:rsidRPr="004A0C12">
              <w:rPr>
                <w:rFonts w:ascii="Garamond" w:eastAsia="Times New Roman" w:hAnsi="Garamond" w:cs="Times New Roman"/>
                <w:color w:val="181818"/>
                <w:w w:val="105"/>
              </w:rPr>
              <w:t>up</w:t>
            </w:r>
            <w:r w:rsidRPr="004A0C12">
              <w:rPr>
                <w:rFonts w:ascii="Garamond" w:eastAsia="Times New Roman" w:hAnsi="Garamond" w:cs="Times New Roman"/>
                <w:color w:val="181818"/>
                <w:spacing w:val="6"/>
                <w:w w:val="105"/>
              </w:rPr>
              <w:t>p</w:t>
            </w:r>
            <w:r w:rsidRPr="004A0C12">
              <w:rPr>
                <w:rFonts w:ascii="Garamond" w:eastAsia="Times New Roman" w:hAnsi="Garamond" w:cs="Times New Roman"/>
                <w:color w:val="383838"/>
                <w:w w:val="105"/>
              </w:rPr>
              <w:t>l</w:t>
            </w:r>
            <w:r w:rsidRPr="004A0C12">
              <w:rPr>
                <w:rFonts w:ascii="Garamond" w:eastAsia="Times New Roman" w:hAnsi="Garamond" w:cs="Times New Roman"/>
                <w:color w:val="383838"/>
                <w:spacing w:val="-3"/>
                <w:w w:val="105"/>
              </w:rPr>
              <w:t>e</w:t>
            </w:r>
            <w:r w:rsidRPr="004A0C12">
              <w:rPr>
                <w:rFonts w:ascii="Garamond" w:eastAsia="Times New Roman" w:hAnsi="Garamond" w:cs="Times New Roman"/>
                <w:color w:val="181818"/>
                <w:spacing w:val="19"/>
                <w:w w:val="105"/>
              </w:rPr>
              <w:t>m</w:t>
            </w:r>
            <w:r w:rsidRPr="004A0C12">
              <w:rPr>
                <w:rFonts w:ascii="Garamond" w:eastAsia="Times New Roman" w:hAnsi="Garamond" w:cs="Times New Roman"/>
                <w:color w:val="484848"/>
                <w:w w:val="105"/>
              </w:rPr>
              <w:t>ent</w:t>
            </w:r>
            <w:r w:rsidRPr="004A0C12">
              <w:rPr>
                <w:rFonts w:ascii="Garamond" w:eastAsia="Times New Roman" w:hAnsi="Garamond" w:cs="Times New Roman"/>
                <w:color w:val="484848"/>
                <w:spacing w:val="-11"/>
                <w:w w:val="105"/>
              </w:rPr>
              <w:t xml:space="preserve"> </w:t>
            </w:r>
            <w:r w:rsidRPr="004A0C12">
              <w:rPr>
                <w:rFonts w:ascii="Garamond" w:eastAsia="Times New Roman" w:hAnsi="Garamond" w:cs="Times New Roman"/>
                <w:color w:val="484848"/>
                <w:w w:val="105"/>
              </w:rPr>
              <w:t>f</w:t>
            </w:r>
            <w:r w:rsidRPr="004A0C12">
              <w:rPr>
                <w:rFonts w:ascii="Garamond" w:eastAsia="Times New Roman" w:hAnsi="Garamond" w:cs="Times New Roman"/>
                <w:color w:val="484848"/>
                <w:spacing w:val="5"/>
                <w:w w:val="105"/>
              </w:rPr>
              <w:t>o</w:t>
            </w:r>
            <w:r w:rsidRPr="004A0C12">
              <w:rPr>
                <w:rFonts w:ascii="Garamond" w:eastAsia="Times New Roman" w:hAnsi="Garamond" w:cs="Times New Roman"/>
                <w:color w:val="282828"/>
                <w:w w:val="105"/>
              </w:rPr>
              <w:t>r</w:t>
            </w:r>
            <w:r w:rsidRPr="004A0C12">
              <w:rPr>
                <w:rFonts w:ascii="Garamond" w:eastAsia="Times New Roman" w:hAnsi="Garamond" w:cs="Times New Roman"/>
                <w:color w:val="282828"/>
                <w:spacing w:val="-5"/>
                <w:w w:val="105"/>
              </w:rPr>
              <w:t xml:space="preserve"> </w:t>
            </w:r>
            <w:r w:rsidRPr="004A0C12">
              <w:rPr>
                <w:rFonts w:ascii="Garamond" w:eastAsia="Times New Roman" w:hAnsi="Garamond" w:cs="Times New Roman"/>
                <w:color w:val="383838"/>
                <w:w w:val="105"/>
              </w:rPr>
              <w:t xml:space="preserve">Supported </w:t>
            </w:r>
            <w:r w:rsidRPr="004A0C12">
              <w:rPr>
                <w:rFonts w:ascii="Garamond" w:eastAsia="Times New Roman" w:hAnsi="Garamond" w:cs="Times New Roman"/>
                <w:color w:val="282828"/>
              </w:rPr>
              <w:t>Em</w:t>
            </w:r>
            <w:r w:rsidRPr="004A0C12">
              <w:rPr>
                <w:rFonts w:ascii="Garamond" w:eastAsia="Times New Roman" w:hAnsi="Garamond" w:cs="Times New Roman"/>
                <w:color w:val="282828"/>
                <w:spacing w:val="16"/>
              </w:rPr>
              <w:t>p</w:t>
            </w:r>
            <w:r w:rsidRPr="004A0C12">
              <w:rPr>
                <w:rFonts w:ascii="Garamond" w:eastAsia="Times New Roman" w:hAnsi="Garamond" w:cs="Times New Roman"/>
                <w:color w:val="484848"/>
              </w:rPr>
              <w:t>lo</w:t>
            </w:r>
            <w:r w:rsidRPr="004A0C12">
              <w:rPr>
                <w:rFonts w:ascii="Garamond" w:eastAsia="Times New Roman" w:hAnsi="Garamond" w:cs="Times New Roman"/>
                <w:color w:val="484848"/>
                <w:spacing w:val="7"/>
              </w:rPr>
              <w:t>y</w:t>
            </w:r>
            <w:r w:rsidRPr="004A0C12">
              <w:rPr>
                <w:rFonts w:ascii="Garamond" w:eastAsia="Times New Roman" w:hAnsi="Garamond" w:cs="Times New Roman"/>
                <w:color w:val="181818"/>
              </w:rPr>
              <w:t>m</w:t>
            </w:r>
            <w:r w:rsidRPr="004A0C12">
              <w:rPr>
                <w:rFonts w:ascii="Garamond" w:eastAsia="Times New Roman" w:hAnsi="Garamond" w:cs="Times New Roman"/>
                <w:color w:val="181818"/>
                <w:spacing w:val="14"/>
              </w:rPr>
              <w:t>e</w:t>
            </w:r>
            <w:r w:rsidRPr="004A0C12">
              <w:rPr>
                <w:rFonts w:ascii="Garamond" w:eastAsia="Times New Roman" w:hAnsi="Garamond" w:cs="Times New Roman"/>
                <w:color w:val="484848"/>
              </w:rPr>
              <w:t xml:space="preserve">nt </w:t>
            </w:r>
            <w:r w:rsidRPr="004A0C12">
              <w:rPr>
                <w:rFonts w:ascii="Garamond" w:eastAsia="Times New Roman" w:hAnsi="Garamond" w:cs="Times New Roman"/>
                <w:color w:val="484848"/>
                <w:spacing w:val="3"/>
              </w:rPr>
              <w:t xml:space="preserve"> </w:t>
            </w:r>
            <w:r w:rsidRPr="004A0C12">
              <w:rPr>
                <w:rFonts w:ascii="Garamond" w:eastAsia="Times New Roman" w:hAnsi="Garamond" w:cs="Times New Roman"/>
                <w:color w:val="484848"/>
              </w:rPr>
              <w:t>service</w:t>
            </w:r>
            <w:r w:rsidRPr="004A0C12">
              <w:rPr>
                <w:rFonts w:ascii="Garamond" w:eastAsia="Times New Roman" w:hAnsi="Garamond" w:cs="Times New Roman"/>
                <w:color w:val="484848"/>
                <w:spacing w:val="-1"/>
              </w:rPr>
              <w:t>s</w:t>
            </w:r>
            <w:r w:rsidRPr="004A0C12">
              <w:rPr>
                <w:rFonts w:ascii="Garamond" w:eastAsia="Times New Roman" w:hAnsi="Garamond" w:cs="Times New Roman"/>
                <w:color w:val="282828"/>
              </w:rPr>
              <w:t>;</w:t>
            </w:r>
          </w:p>
        </w:tc>
      </w:tr>
      <w:tr w:rsidR="001F7B29" w:rsidRPr="004A0C12" w14:paraId="595A0C5E" w14:textId="77777777" w:rsidTr="00536320">
        <w:trPr>
          <w:trHeight w:hRule="exact" w:val="288"/>
        </w:trPr>
        <w:tc>
          <w:tcPr>
            <w:tcW w:w="458" w:type="dxa"/>
            <w:tcBorders>
              <w:top w:val="single" w:sz="8" w:space="0" w:color="000000"/>
              <w:left w:val="single" w:sz="8" w:space="0" w:color="000000"/>
              <w:bottom w:val="single" w:sz="4" w:space="0" w:color="000000"/>
              <w:right w:val="single" w:sz="8" w:space="0" w:color="000000"/>
            </w:tcBorders>
          </w:tcPr>
          <w:p w14:paraId="75FBC6D4" w14:textId="77777777" w:rsidR="001F7B29" w:rsidRPr="004A0C12" w:rsidRDefault="001F7B29" w:rsidP="00E500D8">
            <w:pPr>
              <w:widowControl w:val="0"/>
              <w:rPr>
                <w:rFonts w:ascii="Garamond" w:hAnsi="Garamond" w:cs="Times New Roman"/>
              </w:rPr>
            </w:pPr>
          </w:p>
        </w:tc>
        <w:tc>
          <w:tcPr>
            <w:tcW w:w="9058" w:type="dxa"/>
            <w:tcBorders>
              <w:top w:val="single" w:sz="8" w:space="0" w:color="000000"/>
              <w:left w:val="single" w:sz="8" w:space="0" w:color="000000"/>
              <w:bottom w:val="single" w:sz="4" w:space="0" w:color="000000"/>
              <w:right w:val="single" w:sz="8" w:space="0" w:color="000000"/>
            </w:tcBorders>
          </w:tcPr>
          <w:p w14:paraId="570797DE" w14:textId="77777777" w:rsidR="001F7B29" w:rsidRPr="004A0C12" w:rsidRDefault="001F7B29" w:rsidP="00E500D8">
            <w:pPr>
              <w:widowControl w:val="0"/>
              <w:rPr>
                <w:rFonts w:ascii="Garamond" w:hAnsi="Garamond" w:cs="Times New Roman"/>
              </w:rPr>
            </w:pPr>
          </w:p>
        </w:tc>
      </w:tr>
      <w:tr w:rsidR="001F7B29" w:rsidRPr="004A0C12" w14:paraId="1CFEB637" w14:textId="77777777" w:rsidTr="00536320">
        <w:trPr>
          <w:trHeight w:hRule="exact" w:val="596"/>
        </w:trPr>
        <w:tc>
          <w:tcPr>
            <w:tcW w:w="458" w:type="dxa"/>
            <w:tcBorders>
              <w:top w:val="single" w:sz="4" w:space="0" w:color="000000"/>
              <w:left w:val="single" w:sz="8" w:space="0" w:color="000000"/>
              <w:bottom w:val="single" w:sz="8" w:space="0" w:color="000000"/>
              <w:right w:val="single" w:sz="8" w:space="0" w:color="000000"/>
            </w:tcBorders>
            <w:hideMark/>
          </w:tcPr>
          <w:p w14:paraId="6E99617D" w14:textId="77777777" w:rsidR="001F7B29" w:rsidRPr="004A0C12" w:rsidRDefault="001F7B29" w:rsidP="00E500D8">
            <w:pPr>
              <w:widowControl w:val="0"/>
              <w:spacing w:before="17"/>
              <w:rPr>
                <w:rFonts w:ascii="Garamond" w:eastAsia="Courier New" w:hAnsi="Garamond" w:cs="Times New Roman"/>
              </w:rPr>
            </w:pPr>
            <w:r w:rsidRPr="004A0C12">
              <w:rPr>
                <w:rFonts w:ascii="Garamond" w:eastAsia="Courier New" w:hAnsi="Garamond" w:cs="Times New Roman"/>
                <w:color w:val="282828"/>
                <w:w w:val="70"/>
              </w:rPr>
              <w:t>9.</w:t>
            </w:r>
          </w:p>
        </w:tc>
        <w:tc>
          <w:tcPr>
            <w:tcW w:w="9058" w:type="dxa"/>
            <w:tcBorders>
              <w:top w:val="single" w:sz="4" w:space="0" w:color="000000"/>
              <w:left w:val="single" w:sz="8" w:space="0" w:color="000000"/>
              <w:bottom w:val="single" w:sz="8" w:space="0" w:color="000000"/>
              <w:right w:val="single" w:sz="8" w:space="0" w:color="000000"/>
            </w:tcBorders>
            <w:hideMark/>
          </w:tcPr>
          <w:p w14:paraId="0D3DF578" w14:textId="77777777" w:rsidR="001F7B29" w:rsidRPr="004A0C12" w:rsidRDefault="001F7B29" w:rsidP="00E500D8">
            <w:pPr>
              <w:widowControl w:val="0"/>
              <w:spacing w:before="11"/>
              <w:ind w:right="315"/>
              <w:rPr>
                <w:rFonts w:ascii="Garamond" w:eastAsia="Times New Roman" w:hAnsi="Garamond" w:cs="Times New Roman"/>
              </w:rPr>
            </w:pP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19"/>
                <w:w w:val="105"/>
              </w:rPr>
              <w:t xml:space="preserve"> </w:t>
            </w:r>
            <w:r w:rsidRPr="004A0C12">
              <w:rPr>
                <w:rFonts w:ascii="Garamond" w:eastAsia="Times New Roman" w:hAnsi="Garamond" w:cs="Times New Roman"/>
                <w:color w:val="282828"/>
                <w:w w:val="105"/>
              </w:rPr>
              <w:t>agency</w:t>
            </w:r>
            <w:r w:rsidRPr="004A0C12">
              <w:rPr>
                <w:rFonts w:ascii="Garamond" w:eastAsia="Times New Roman" w:hAnsi="Garamond" w:cs="Times New Roman"/>
                <w:color w:val="282828"/>
                <w:spacing w:val="-18"/>
                <w:w w:val="105"/>
              </w:rPr>
              <w:t xml:space="preserve"> </w:t>
            </w:r>
            <w:r w:rsidRPr="004A0C12">
              <w:rPr>
                <w:rFonts w:ascii="Garamond" w:eastAsia="Times New Roman" w:hAnsi="Garamond" w:cs="Times New Roman"/>
                <w:color w:val="383838"/>
                <w:w w:val="105"/>
              </w:rPr>
              <w:t>that</w:t>
            </w:r>
            <w:r w:rsidRPr="004A0C12">
              <w:rPr>
                <w:rFonts w:ascii="Garamond" w:eastAsia="Times New Roman" w:hAnsi="Garamond" w:cs="Times New Roman"/>
                <w:color w:val="383838"/>
                <w:spacing w:val="-9"/>
                <w:w w:val="105"/>
              </w:rPr>
              <w:t xml:space="preserve"> </w:t>
            </w:r>
            <w:r w:rsidRPr="004A0C12">
              <w:rPr>
                <w:rFonts w:ascii="Garamond" w:eastAsia="Times New Roman" w:hAnsi="Garamond" w:cs="Times New Roman"/>
                <w:color w:val="484848"/>
                <w:w w:val="105"/>
              </w:rPr>
              <w:t>sub</w:t>
            </w:r>
            <w:r w:rsidRPr="004A0C12">
              <w:rPr>
                <w:rFonts w:ascii="Garamond" w:eastAsia="Times New Roman" w:hAnsi="Garamond" w:cs="Times New Roman"/>
                <w:color w:val="484848"/>
                <w:spacing w:val="15"/>
                <w:w w:val="105"/>
              </w:rPr>
              <w:t>m</w:t>
            </w:r>
            <w:r w:rsidRPr="004A0C12">
              <w:rPr>
                <w:rFonts w:ascii="Garamond" w:eastAsia="Times New Roman" w:hAnsi="Garamond" w:cs="Times New Roman"/>
                <w:color w:val="282828"/>
                <w:w w:val="105"/>
              </w:rPr>
              <w:t>its</w:t>
            </w:r>
            <w:r w:rsidRPr="004A0C12">
              <w:rPr>
                <w:rFonts w:ascii="Garamond" w:eastAsia="Times New Roman" w:hAnsi="Garamond" w:cs="Times New Roman"/>
                <w:color w:val="282828"/>
                <w:spacing w:val="-13"/>
                <w:w w:val="105"/>
              </w:rPr>
              <w:t xml:space="preserve"> </w:t>
            </w:r>
            <w:r w:rsidRPr="004A0C12">
              <w:rPr>
                <w:rFonts w:ascii="Garamond" w:eastAsia="Times New Roman" w:hAnsi="Garamond" w:cs="Times New Roman"/>
                <w:color w:val="484848"/>
                <w:spacing w:val="9"/>
                <w:w w:val="105"/>
              </w:rPr>
              <w:t>t</w:t>
            </w:r>
            <w:r w:rsidRPr="004A0C12">
              <w:rPr>
                <w:rFonts w:ascii="Garamond" w:eastAsia="Times New Roman" w:hAnsi="Garamond" w:cs="Times New Roman"/>
                <w:color w:val="282828"/>
                <w:w w:val="105"/>
              </w:rPr>
              <w:t>he</w:t>
            </w:r>
            <w:r w:rsidRPr="004A0C12">
              <w:rPr>
                <w:rFonts w:ascii="Garamond" w:eastAsia="Times New Roman" w:hAnsi="Garamond" w:cs="Times New Roman"/>
                <w:color w:val="282828"/>
                <w:spacing w:val="-9"/>
                <w:w w:val="105"/>
              </w:rPr>
              <w:t xml:space="preserve"> </w:t>
            </w:r>
            <w:r w:rsidRPr="004A0C12">
              <w:rPr>
                <w:rFonts w:ascii="Garamond" w:eastAsia="Times New Roman" w:hAnsi="Garamond" w:cs="Times New Roman"/>
                <w:color w:val="282828"/>
                <w:w w:val="105"/>
              </w:rPr>
              <w:t>VR</w:t>
            </w:r>
            <w:r w:rsidRPr="004A0C12">
              <w:rPr>
                <w:rFonts w:ascii="Garamond" w:eastAsia="Times New Roman" w:hAnsi="Garamond" w:cs="Times New Roman"/>
                <w:color w:val="282828"/>
                <w:spacing w:val="-16"/>
                <w:w w:val="105"/>
              </w:rPr>
              <w:t xml:space="preserve"> </w:t>
            </w:r>
            <w:r w:rsidRPr="004A0C12">
              <w:rPr>
                <w:rFonts w:ascii="Garamond" w:eastAsia="Times New Roman" w:hAnsi="Garamond" w:cs="Times New Roman"/>
                <w:color w:val="383838"/>
                <w:w w:val="105"/>
              </w:rPr>
              <w:t>services</w:t>
            </w:r>
            <w:r w:rsidRPr="004A0C12">
              <w:rPr>
                <w:rFonts w:ascii="Garamond" w:eastAsia="Times New Roman" w:hAnsi="Garamond" w:cs="Times New Roman"/>
                <w:color w:val="383838"/>
                <w:spacing w:val="-13"/>
                <w:w w:val="105"/>
              </w:rPr>
              <w:t xml:space="preserve"> </w:t>
            </w:r>
            <w:r w:rsidRPr="004A0C12">
              <w:rPr>
                <w:rFonts w:ascii="Garamond" w:eastAsia="Times New Roman" w:hAnsi="Garamond" w:cs="Times New Roman"/>
                <w:color w:val="181818"/>
                <w:w w:val="105"/>
              </w:rPr>
              <w:t>portion</w:t>
            </w:r>
            <w:r w:rsidRPr="004A0C12">
              <w:rPr>
                <w:rFonts w:ascii="Garamond" w:eastAsia="Times New Roman" w:hAnsi="Garamond" w:cs="Times New Roman"/>
                <w:color w:val="181818"/>
                <w:spacing w:val="-1"/>
                <w:w w:val="105"/>
              </w:rPr>
              <w:t xml:space="preserve"> </w:t>
            </w:r>
            <w:r w:rsidRPr="004A0C12">
              <w:rPr>
                <w:rFonts w:ascii="Garamond" w:eastAsia="Times New Roman" w:hAnsi="Garamond" w:cs="Times New Roman"/>
                <w:color w:val="282828"/>
                <w:w w:val="105"/>
              </w:rPr>
              <w:t>of</w:t>
            </w:r>
            <w:r w:rsidRPr="004A0C12">
              <w:rPr>
                <w:rFonts w:ascii="Garamond" w:eastAsia="Times New Roman" w:hAnsi="Garamond" w:cs="Times New Roman"/>
                <w:color w:val="282828"/>
                <w:spacing w:val="-20"/>
                <w:w w:val="105"/>
              </w:rPr>
              <w:t xml:space="preserve"> </w:t>
            </w: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9"/>
                <w:w w:val="105"/>
              </w:rPr>
              <w:t xml:space="preserve"> </w:t>
            </w:r>
            <w:r w:rsidRPr="004A0C12">
              <w:rPr>
                <w:rFonts w:ascii="Garamond" w:eastAsia="Times New Roman" w:hAnsi="Garamond" w:cs="Times New Roman"/>
                <w:color w:val="282828"/>
                <w:w w:val="105"/>
              </w:rPr>
              <w:t>Unified</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383838"/>
                <w:w w:val="105"/>
              </w:rPr>
              <w:t>or</w:t>
            </w:r>
            <w:r w:rsidRPr="004A0C12">
              <w:rPr>
                <w:rFonts w:ascii="Garamond" w:eastAsia="Times New Roman" w:hAnsi="Garamond" w:cs="Times New Roman"/>
                <w:color w:val="383838"/>
                <w:spacing w:val="-15"/>
                <w:w w:val="105"/>
              </w:rPr>
              <w:t xml:space="preserve"> </w:t>
            </w:r>
            <w:r w:rsidRPr="004A0C12">
              <w:rPr>
                <w:rFonts w:ascii="Garamond" w:eastAsia="Times New Roman" w:hAnsi="Garamond" w:cs="Times New Roman"/>
                <w:color w:val="484848"/>
                <w:w w:val="105"/>
              </w:rPr>
              <w:t>C</w:t>
            </w:r>
            <w:r w:rsidRPr="004A0C12">
              <w:rPr>
                <w:rFonts w:ascii="Garamond" w:eastAsia="Times New Roman" w:hAnsi="Garamond" w:cs="Times New Roman"/>
                <w:color w:val="484848"/>
                <w:spacing w:val="11"/>
                <w:w w:val="105"/>
              </w:rPr>
              <w:t>o</w:t>
            </w:r>
            <w:r w:rsidRPr="004A0C12">
              <w:rPr>
                <w:rFonts w:ascii="Garamond" w:eastAsia="Times New Roman" w:hAnsi="Garamond" w:cs="Times New Roman"/>
                <w:color w:val="282828"/>
                <w:w w:val="105"/>
              </w:rPr>
              <w:t>mbined</w:t>
            </w:r>
            <w:r w:rsidRPr="004A0C12">
              <w:rPr>
                <w:rFonts w:ascii="Garamond" w:eastAsia="Times New Roman" w:hAnsi="Garamond" w:cs="Times New Roman"/>
                <w:color w:val="282828"/>
                <w:spacing w:val="3"/>
                <w:w w:val="105"/>
              </w:rPr>
              <w:t xml:space="preserve"> </w:t>
            </w:r>
            <w:r w:rsidRPr="004A0C12">
              <w:rPr>
                <w:rFonts w:ascii="Garamond" w:eastAsia="Times New Roman" w:hAnsi="Garamond" w:cs="Times New Roman"/>
                <w:color w:val="383838"/>
                <w:w w:val="105"/>
              </w:rPr>
              <w:t>State</w:t>
            </w:r>
            <w:r w:rsidRPr="004A0C12">
              <w:rPr>
                <w:rFonts w:ascii="Garamond" w:eastAsia="Times New Roman" w:hAnsi="Garamond" w:cs="Times New Roman"/>
                <w:color w:val="383838"/>
                <w:w w:val="106"/>
              </w:rPr>
              <w:t xml:space="preserve"> </w:t>
            </w:r>
            <w:r w:rsidRPr="004A0C12">
              <w:rPr>
                <w:rFonts w:ascii="Garamond" w:eastAsia="Times New Roman" w:hAnsi="Garamond" w:cs="Times New Roman"/>
                <w:color w:val="282828"/>
                <w:w w:val="105"/>
              </w:rPr>
              <w:t>Plan</w:t>
            </w:r>
            <w:r w:rsidRPr="004A0C12">
              <w:rPr>
                <w:rFonts w:ascii="Garamond" w:eastAsia="Times New Roman" w:hAnsi="Garamond" w:cs="Times New Roman"/>
                <w:color w:val="282828"/>
                <w:spacing w:val="3"/>
                <w:w w:val="105"/>
              </w:rPr>
              <w:t xml:space="preserve"> </w:t>
            </w:r>
            <w:r w:rsidRPr="004A0C12">
              <w:rPr>
                <w:rFonts w:ascii="Garamond" w:eastAsia="Times New Roman" w:hAnsi="Garamond" w:cs="Times New Roman"/>
                <w:color w:val="282828"/>
                <w:w w:val="105"/>
              </w:rPr>
              <w:t>and</w:t>
            </w:r>
            <w:r w:rsidRPr="004A0C12">
              <w:rPr>
                <w:rFonts w:ascii="Garamond" w:eastAsia="Times New Roman" w:hAnsi="Garamond" w:cs="Times New Roman"/>
                <w:color w:val="282828"/>
                <w:spacing w:val="9"/>
                <w:w w:val="105"/>
              </w:rPr>
              <w:t xml:space="preserve"> </w:t>
            </w:r>
            <w:r w:rsidRPr="004A0C12">
              <w:rPr>
                <w:rFonts w:ascii="Garamond" w:eastAsia="Times New Roman" w:hAnsi="Garamond" w:cs="Times New Roman"/>
                <w:color w:val="282828"/>
                <w:w w:val="105"/>
              </w:rPr>
              <w:t>its</w:t>
            </w:r>
            <w:r w:rsidRPr="004A0C12">
              <w:rPr>
                <w:rFonts w:ascii="Garamond" w:eastAsia="Times New Roman" w:hAnsi="Garamond" w:cs="Times New Roman"/>
                <w:color w:val="282828"/>
                <w:spacing w:val="-1"/>
                <w:w w:val="105"/>
              </w:rPr>
              <w:t xml:space="preserve"> </w:t>
            </w:r>
            <w:r w:rsidRPr="004A0C12">
              <w:rPr>
                <w:rFonts w:ascii="Garamond" w:eastAsia="Times New Roman" w:hAnsi="Garamond" w:cs="Times New Roman"/>
                <w:color w:val="383838"/>
                <w:w w:val="105"/>
              </w:rPr>
              <w:t>supplement</w:t>
            </w:r>
            <w:r w:rsidRPr="004A0C12">
              <w:rPr>
                <w:rFonts w:ascii="Garamond" w:eastAsia="Times New Roman" w:hAnsi="Garamond" w:cs="Times New Roman"/>
                <w:color w:val="383838"/>
                <w:spacing w:val="8"/>
                <w:w w:val="105"/>
              </w:rPr>
              <w:t xml:space="preserve"> </w:t>
            </w:r>
            <w:r w:rsidRPr="004A0C12">
              <w:rPr>
                <w:rFonts w:ascii="Garamond" w:eastAsia="Times New Roman" w:hAnsi="Garamond" w:cs="Times New Roman"/>
                <w:color w:val="383838"/>
                <w:w w:val="105"/>
              </w:rPr>
              <w:t>has</w:t>
            </w:r>
            <w:r w:rsidRPr="004A0C12">
              <w:rPr>
                <w:rFonts w:ascii="Garamond" w:eastAsia="Times New Roman" w:hAnsi="Garamond" w:cs="Times New Roman"/>
                <w:color w:val="383838"/>
                <w:spacing w:val="7"/>
                <w:w w:val="105"/>
              </w:rPr>
              <w:t xml:space="preserve"> </w:t>
            </w:r>
            <w:r w:rsidRPr="004A0C12">
              <w:rPr>
                <w:rFonts w:ascii="Garamond" w:eastAsia="Times New Roman" w:hAnsi="Garamond" w:cs="Times New Roman"/>
                <w:color w:val="383838"/>
                <w:w w:val="105"/>
              </w:rPr>
              <w:t>adopted</w:t>
            </w:r>
            <w:r w:rsidRPr="004A0C12">
              <w:rPr>
                <w:rFonts w:ascii="Garamond" w:eastAsia="Times New Roman" w:hAnsi="Garamond" w:cs="Times New Roman"/>
                <w:color w:val="383838"/>
                <w:spacing w:val="14"/>
                <w:w w:val="105"/>
              </w:rPr>
              <w:t xml:space="preserve"> </w:t>
            </w:r>
            <w:r w:rsidRPr="004A0C12">
              <w:rPr>
                <w:rFonts w:ascii="Garamond" w:eastAsia="Times New Roman" w:hAnsi="Garamond" w:cs="Times New Roman"/>
                <w:color w:val="282828"/>
                <w:w w:val="105"/>
              </w:rPr>
              <w:t>or</w:t>
            </w:r>
            <w:r w:rsidRPr="004A0C12">
              <w:rPr>
                <w:rFonts w:ascii="Garamond" w:eastAsia="Times New Roman" w:hAnsi="Garamond" w:cs="Times New Roman"/>
                <w:color w:val="282828"/>
                <w:spacing w:val="-2"/>
                <w:w w:val="105"/>
              </w:rPr>
              <w:t xml:space="preserve"> </w:t>
            </w:r>
            <w:r w:rsidRPr="004A0C12">
              <w:rPr>
                <w:rFonts w:ascii="Garamond" w:eastAsia="Times New Roman" w:hAnsi="Garamond" w:cs="Times New Roman"/>
                <w:color w:val="282828"/>
                <w:w w:val="105"/>
              </w:rPr>
              <w:t>otherwise</w:t>
            </w:r>
            <w:r w:rsidRPr="004A0C12">
              <w:rPr>
                <w:rFonts w:ascii="Garamond" w:eastAsia="Times New Roman" w:hAnsi="Garamond" w:cs="Times New Roman"/>
                <w:color w:val="282828"/>
                <w:spacing w:val="12"/>
                <w:w w:val="105"/>
              </w:rPr>
              <w:t xml:space="preserve"> </w:t>
            </w:r>
            <w:r w:rsidRPr="004A0C12">
              <w:rPr>
                <w:rFonts w:ascii="Garamond" w:eastAsia="Times New Roman" w:hAnsi="Garamond" w:cs="Times New Roman"/>
                <w:color w:val="282828"/>
                <w:w w:val="105"/>
              </w:rPr>
              <w:t>formally</w:t>
            </w:r>
            <w:r w:rsidRPr="004A0C12">
              <w:rPr>
                <w:rFonts w:ascii="Garamond" w:eastAsia="Times New Roman" w:hAnsi="Garamond" w:cs="Times New Roman"/>
                <w:color w:val="282828"/>
                <w:spacing w:val="-4"/>
                <w:w w:val="105"/>
              </w:rPr>
              <w:t xml:space="preserve"> </w:t>
            </w:r>
            <w:r w:rsidRPr="004A0C12">
              <w:rPr>
                <w:rFonts w:ascii="Garamond" w:eastAsia="Times New Roman" w:hAnsi="Garamond" w:cs="Times New Roman"/>
                <w:color w:val="383838"/>
                <w:w w:val="105"/>
              </w:rPr>
              <w:t>approved</w:t>
            </w:r>
            <w:r w:rsidRPr="004A0C12">
              <w:rPr>
                <w:rFonts w:ascii="Garamond" w:eastAsia="Times New Roman" w:hAnsi="Garamond" w:cs="Times New Roman"/>
                <w:color w:val="383838"/>
                <w:spacing w:val="33"/>
                <w:w w:val="105"/>
              </w:rPr>
              <w:t xml:space="preserve"> </w:t>
            </w:r>
            <w:r w:rsidRPr="004A0C12">
              <w:rPr>
                <w:rFonts w:ascii="Garamond" w:eastAsia="Times New Roman" w:hAnsi="Garamond" w:cs="Times New Roman"/>
                <w:color w:val="282828"/>
                <w:w w:val="105"/>
              </w:rPr>
              <w:t>th</w:t>
            </w:r>
            <w:r w:rsidRPr="004A0C12">
              <w:rPr>
                <w:rFonts w:ascii="Garamond" w:eastAsia="Times New Roman" w:hAnsi="Garamond" w:cs="Times New Roman"/>
                <w:color w:val="484848"/>
                <w:w w:val="105"/>
              </w:rPr>
              <w:t>e</w:t>
            </w:r>
            <w:r w:rsidRPr="004A0C12">
              <w:rPr>
                <w:rFonts w:ascii="Garamond" w:eastAsia="Times New Roman" w:hAnsi="Garamond" w:cs="Times New Roman"/>
                <w:color w:val="484848"/>
                <w:spacing w:val="-13"/>
                <w:w w:val="105"/>
              </w:rPr>
              <w:t xml:space="preserve"> </w:t>
            </w:r>
            <w:r w:rsidRPr="004A0C12">
              <w:rPr>
                <w:rFonts w:ascii="Garamond" w:eastAsia="Times New Roman" w:hAnsi="Garamond" w:cs="Times New Roman"/>
                <w:color w:val="282828"/>
                <w:w w:val="105"/>
              </w:rPr>
              <w:t>plan</w:t>
            </w:r>
            <w:r w:rsidRPr="004A0C12">
              <w:rPr>
                <w:rFonts w:ascii="Garamond" w:eastAsia="Times New Roman" w:hAnsi="Garamond" w:cs="Times New Roman"/>
                <w:color w:val="282828"/>
                <w:spacing w:val="9"/>
                <w:w w:val="105"/>
              </w:rPr>
              <w:t xml:space="preserve"> </w:t>
            </w:r>
            <w:r w:rsidRPr="004A0C12">
              <w:rPr>
                <w:rFonts w:ascii="Garamond" w:eastAsia="Times New Roman" w:hAnsi="Garamond" w:cs="Times New Roman"/>
                <w:color w:val="383838"/>
                <w:w w:val="105"/>
              </w:rPr>
              <w:t>and</w:t>
            </w:r>
            <w:r w:rsidRPr="004A0C12">
              <w:rPr>
                <w:rFonts w:ascii="Garamond" w:eastAsia="Times New Roman" w:hAnsi="Garamond" w:cs="Times New Roman"/>
                <w:color w:val="383838"/>
                <w:w w:val="102"/>
              </w:rPr>
              <w:t xml:space="preserve"> </w:t>
            </w:r>
            <w:r w:rsidRPr="004A0C12">
              <w:rPr>
                <w:rFonts w:ascii="Garamond" w:eastAsia="Times New Roman" w:hAnsi="Garamond" w:cs="Times New Roman"/>
                <w:color w:val="181818"/>
                <w:w w:val="105"/>
              </w:rPr>
              <w:t>its</w:t>
            </w:r>
            <w:r w:rsidRPr="004A0C12">
              <w:rPr>
                <w:rFonts w:ascii="Garamond" w:eastAsia="Times New Roman" w:hAnsi="Garamond" w:cs="Times New Roman"/>
                <w:color w:val="181818"/>
                <w:spacing w:val="6"/>
                <w:w w:val="105"/>
              </w:rPr>
              <w:t xml:space="preserve"> </w:t>
            </w:r>
            <w:r w:rsidRPr="004A0C12">
              <w:rPr>
                <w:rFonts w:ascii="Garamond" w:eastAsia="Times New Roman" w:hAnsi="Garamond" w:cs="Times New Roman"/>
                <w:color w:val="282828"/>
                <w:w w:val="105"/>
              </w:rPr>
              <w:t>supplem</w:t>
            </w:r>
            <w:r w:rsidRPr="004A0C12">
              <w:rPr>
                <w:rFonts w:ascii="Garamond" w:eastAsia="Times New Roman" w:hAnsi="Garamond" w:cs="Times New Roman"/>
                <w:color w:val="484848"/>
                <w:w w:val="105"/>
              </w:rPr>
              <w:t>ent.</w:t>
            </w:r>
          </w:p>
        </w:tc>
      </w:tr>
    </w:tbl>
    <w:p w14:paraId="72A1299A" w14:textId="77777777" w:rsidR="001F7B29" w:rsidRPr="004A0C12" w:rsidRDefault="001F7B29" w:rsidP="001E27E7">
      <w:pPr>
        <w:pStyle w:val="ListParagraph"/>
        <w:tabs>
          <w:tab w:val="left" w:pos="720"/>
        </w:tabs>
        <w:ind w:left="0"/>
        <w:rPr>
          <w:rFonts w:ascii="Garamond" w:hAnsi="Garamond"/>
          <w:b/>
          <w:szCs w:val="22"/>
          <w:highlight w:val="yellow"/>
        </w:rPr>
      </w:pPr>
    </w:p>
    <w:p w14:paraId="2BC6000B" w14:textId="77777777" w:rsidR="001F7B29" w:rsidRPr="00536320" w:rsidRDefault="001F7B29" w:rsidP="001F7B29">
      <w:pPr>
        <w:tabs>
          <w:tab w:val="left" w:pos="720"/>
        </w:tabs>
        <w:rPr>
          <w:rFonts w:ascii="Garamond" w:hAnsi="Garamond"/>
          <w:b/>
          <w:color w:val="4F81BD" w:themeColor="accent1"/>
          <w:sz w:val="24"/>
          <w:szCs w:val="24"/>
        </w:rPr>
      </w:pPr>
      <w:r w:rsidRPr="00536320">
        <w:rPr>
          <w:rFonts w:ascii="Garamond" w:hAnsi="Garamond"/>
          <w:b/>
          <w:color w:val="4F81BD" w:themeColor="accent1"/>
          <w:sz w:val="24"/>
          <w:szCs w:val="24"/>
        </w:rPr>
        <w:t>ASSURANCES</w:t>
      </w:r>
    </w:p>
    <w:p w14:paraId="65FC6CA7" w14:textId="77777777" w:rsidR="001F7B29" w:rsidRPr="004A0C12" w:rsidRDefault="001F7B29" w:rsidP="001F7B29">
      <w:pPr>
        <w:pStyle w:val="ListParagraph"/>
        <w:tabs>
          <w:tab w:val="left" w:pos="720"/>
        </w:tabs>
        <w:ind w:left="0"/>
        <w:jc w:val="both"/>
        <w:rPr>
          <w:rFonts w:ascii="Garamond" w:hAnsi="Garamond"/>
          <w:szCs w:val="22"/>
        </w:rPr>
      </w:pPr>
      <w:r w:rsidRPr="004A0C12">
        <w:rPr>
          <w:rFonts w:ascii="Garamond" w:hAnsi="Garamond"/>
          <w:szCs w:val="22"/>
        </w:rPr>
        <w:t>The designated State agency or designated State unit, as appropriate and identified in the State certifications included with this VR services portion of the Unified or Combined State Plan and its supplement, through signature of the authorized individual, assures the Commissioner of the Rehabilitation Services Administration (RSA), that it will comply with all of the requirements of the VR services portion of the Unified or Combined  State Plan and its supplement, as set forth in sections 101(a) and 606 of the Rehabilitation Act. The individual authorized to submit the VR services portion of the Unified or Combined State Plan and its supplement makes the following assurances:</w:t>
      </w:r>
    </w:p>
    <w:p w14:paraId="1FE12786" w14:textId="77777777" w:rsidR="001F7B29" w:rsidRPr="004A0C12" w:rsidRDefault="001F7B29" w:rsidP="001F7B29">
      <w:pPr>
        <w:pStyle w:val="ListParagraph"/>
        <w:tabs>
          <w:tab w:val="left" w:pos="720"/>
        </w:tabs>
        <w:ind w:left="0"/>
        <w:jc w:val="both"/>
        <w:rPr>
          <w:rFonts w:ascii="Garamond" w:hAnsi="Garamond"/>
          <w:szCs w:val="22"/>
        </w:rPr>
      </w:pPr>
    </w:p>
    <w:tbl>
      <w:tblPr>
        <w:tblW w:w="0" w:type="auto"/>
        <w:tblInd w:w="346" w:type="dxa"/>
        <w:tblLayout w:type="fixed"/>
        <w:tblCellMar>
          <w:left w:w="0" w:type="dxa"/>
          <w:right w:w="0" w:type="dxa"/>
        </w:tblCellMar>
        <w:tblLook w:val="01E0" w:firstRow="1" w:lastRow="1" w:firstColumn="1" w:lastColumn="1" w:noHBand="0" w:noVBand="0"/>
      </w:tblPr>
      <w:tblGrid>
        <w:gridCol w:w="24"/>
        <w:gridCol w:w="444"/>
        <w:gridCol w:w="6"/>
        <w:gridCol w:w="8820"/>
      </w:tblGrid>
      <w:tr w:rsidR="001F7B29" w:rsidRPr="004A0C12" w14:paraId="310CB6DF" w14:textId="77777777" w:rsidTr="00A2533C">
        <w:trPr>
          <w:trHeight w:val="288"/>
        </w:trPr>
        <w:tc>
          <w:tcPr>
            <w:tcW w:w="9294" w:type="dxa"/>
            <w:gridSpan w:val="4"/>
            <w:tcBorders>
              <w:top w:val="single" w:sz="8" w:space="0" w:color="000000"/>
              <w:left w:val="single" w:sz="8" w:space="0" w:color="000000"/>
              <w:bottom w:val="single" w:sz="8" w:space="0" w:color="000000"/>
              <w:right w:val="single" w:sz="8" w:space="0" w:color="000000"/>
            </w:tcBorders>
            <w:hideMark/>
          </w:tcPr>
          <w:p w14:paraId="1BB605E4" w14:textId="77777777" w:rsidR="001F7B29" w:rsidRPr="004A0C12" w:rsidRDefault="001F7B29" w:rsidP="00E500D8">
            <w:pPr>
              <w:widowControl w:val="0"/>
              <w:spacing w:line="269" w:lineRule="exact"/>
              <w:rPr>
                <w:rFonts w:ascii="Garamond" w:eastAsia="Times New Roman" w:hAnsi="Garamond" w:cs="Times New Roman"/>
                <w:b/>
              </w:rPr>
            </w:pPr>
            <w:r w:rsidRPr="004A0C12">
              <w:rPr>
                <w:rFonts w:ascii="Garamond" w:eastAsia="Times New Roman" w:hAnsi="Garamond" w:cs="Times New Roman"/>
                <w:b/>
                <w:color w:val="181818"/>
                <w:w w:val="115"/>
              </w:rPr>
              <w:t>The</w:t>
            </w:r>
            <w:r w:rsidRPr="004A0C12">
              <w:rPr>
                <w:rFonts w:ascii="Garamond" w:eastAsia="Times New Roman" w:hAnsi="Garamond" w:cs="Times New Roman"/>
                <w:b/>
                <w:color w:val="181818"/>
                <w:spacing w:val="-15"/>
                <w:w w:val="115"/>
              </w:rPr>
              <w:t xml:space="preserve"> </w:t>
            </w:r>
            <w:r w:rsidRPr="004A0C12">
              <w:rPr>
                <w:rFonts w:ascii="Garamond" w:eastAsia="Times New Roman" w:hAnsi="Garamond" w:cs="Times New Roman"/>
                <w:b/>
                <w:color w:val="181818"/>
                <w:w w:val="115"/>
              </w:rPr>
              <w:t>State</w:t>
            </w:r>
            <w:r w:rsidRPr="004A0C12">
              <w:rPr>
                <w:rFonts w:ascii="Garamond" w:eastAsia="Times New Roman" w:hAnsi="Garamond" w:cs="Times New Roman"/>
                <w:b/>
                <w:color w:val="181818"/>
                <w:spacing w:val="-11"/>
                <w:w w:val="115"/>
              </w:rPr>
              <w:t xml:space="preserve"> </w:t>
            </w:r>
            <w:r w:rsidRPr="004A0C12">
              <w:rPr>
                <w:rFonts w:ascii="Garamond" w:eastAsia="Times New Roman" w:hAnsi="Garamond" w:cs="Times New Roman"/>
                <w:b/>
                <w:color w:val="181818"/>
                <w:w w:val="115"/>
              </w:rPr>
              <w:t>Plan</w:t>
            </w:r>
            <w:r w:rsidRPr="004A0C12">
              <w:rPr>
                <w:rFonts w:ascii="Garamond" w:eastAsia="Times New Roman" w:hAnsi="Garamond" w:cs="Times New Roman"/>
                <w:b/>
                <w:color w:val="181818"/>
                <w:spacing w:val="10"/>
                <w:w w:val="115"/>
              </w:rPr>
              <w:t xml:space="preserve"> </w:t>
            </w:r>
            <w:r w:rsidRPr="004A0C12">
              <w:rPr>
                <w:rFonts w:ascii="Garamond" w:eastAsia="Times New Roman" w:hAnsi="Garamond" w:cs="Times New Roman"/>
                <w:b/>
                <w:color w:val="181818"/>
                <w:w w:val="115"/>
              </w:rPr>
              <w:t>must</w:t>
            </w:r>
            <w:r w:rsidRPr="004A0C12">
              <w:rPr>
                <w:rFonts w:ascii="Garamond" w:eastAsia="Times New Roman" w:hAnsi="Garamond" w:cs="Times New Roman"/>
                <w:b/>
                <w:color w:val="181818"/>
                <w:spacing w:val="-6"/>
                <w:w w:val="115"/>
              </w:rPr>
              <w:t xml:space="preserve"> </w:t>
            </w:r>
            <w:r w:rsidRPr="004A0C12">
              <w:rPr>
                <w:rFonts w:ascii="Garamond" w:eastAsia="Times New Roman" w:hAnsi="Garamond" w:cs="Times New Roman"/>
                <w:b/>
                <w:color w:val="181818"/>
                <w:w w:val="115"/>
              </w:rPr>
              <w:t>provide</w:t>
            </w:r>
            <w:r w:rsidRPr="004A0C12">
              <w:rPr>
                <w:rFonts w:ascii="Garamond" w:eastAsia="Times New Roman" w:hAnsi="Garamond" w:cs="Times New Roman"/>
                <w:b/>
                <w:color w:val="181818"/>
                <w:spacing w:val="6"/>
                <w:w w:val="115"/>
              </w:rPr>
              <w:t xml:space="preserve"> </w:t>
            </w:r>
            <w:r w:rsidRPr="004A0C12">
              <w:rPr>
                <w:rFonts w:ascii="Garamond" w:eastAsia="Times New Roman" w:hAnsi="Garamond" w:cs="Times New Roman"/>
                <w:b/>
                <w:color w:val="282828"/>
                <w:w w:val="115"/>
              </w:rPr>
              <w:t>assurances</w:t>
            </w:r>
            <w:r w:rsidRPr="004A0C12">
              <w:rPr>
                <w:rFonts w:ascii="Garamond" w:eastAsia="Times New Roman" w:hAnsi="Garamond" w:cs="Times New Roman"/>
                <w:b/>
                <w:color w:val="282828"/>
                <w:spacing w:val="-3"/>
                <w:w w:val="115"/>
              </w:rPr>
              <w:t xml:space="preserve"> </w:t>
            </w:r>
            <w:r w:rsidRPr="004A0C12">
              <w:rPr>
                <w:rFonts w:ascii="Garamond" w:eastAsia="Times New Roman" w:hAnsi="Garamond" w:cs="Times New Roman"/>
                <w:b/>
                <w:color w:val="181818"/>
                <w:w w:val="115"/>
              </w:rPr>
              <w:t>that:</w:t>
            </w:r>
          </w:p>
        </w:tc>
      </w:tr>
      <w:tr w:rsidR="001F7B29" w:rsidRPr="004A0C12" w14:paraId="26C73C9B" w14:textId="77777777" w:rsidTr="00A2533C">
        <w:trPr>
          <w:trHeight w:hRule="exact" w:val="1227"/>
        </w:trPr>
        <w:tc>
          <w:tcPr>
            <w:tcW w:w="468" w:type="dxa"/>
            <w:gridSpan w:val="2"/>
            <w:tcBorders>
              <w:top w:val="single" w:sz="8" w:space="0" w:color="000000"/>
              <w:left w:val="single" w:sz="8" w:space="0" w:color="000000"/>
              <w:bottom w:val="single" w:sz="8" w:space="0" w:color="000000"/>
              <w:right w:val="single" w:sz="8" w:space="0" w:color="000000"/>
            </w:tcBorders>
            <w:hideMark/>
          </w:tcPr>
          <w:p w14:paraId="4FD067F2" w14:textId="77777777" w:rsidR="001F7B29" w:rsidRPr="004A0C12" w:rsidRDefault="001F7B29" w:rsidP="00E500D8">
            <w:pPr>
              <w:widowControl w:val="0"/>
              <w:spacing w:line="273" w:lineRule="exact"/>
              <w:rPr>
                <w:rFonts w:ascii="Garamond" w:eastAsia="Times New Roman" w:hAnsi="Garamond" w:cs="Times New Roman"/>
              </w:rPr>
            </w:pPr>
            <w:r w:rsidRPr="004A0C12">
              <w:rPr>
                <w:rFonts w:ascii="Garamond" w:eastAsia="Times New Roman" w:hAnsi="Garamond" w:cs="Times New Roman"/>
                <w:color w:val="181818"/>
                <w:spacing w:val="-64"/>
                <w:w w:val="140"/>
              </w:rPr>
              <w:t>1</w:t>
            </w:r>
            <w:r w:rsidRPr="004A0C12">
              <w:rPr>
                <w:rFonts w:ascii="Garamond" w:eastAsia="Times New Roman" w:hAnsi="Garamond" w:cs="Times New Roman"/>
                <w:color w:val="383838"/>
                <w:w w:val="140"/>
              </w:rPr>
              <w:t>.</w:t>
            </w:r>
          </w:p>
        </w:tc>
        <w:tc>
          <w:tcPr>
            <w:tcW w:w="8826" w:type="dxa"/>
            <w:gridSpan w:val="2"/>
            <w:tcBorders>
              <w:top w:val="single" w:sz="8" w:space="0" w:color="000000"/>
              <w:left w:val="single" w:sz="8" w:space="0" w:color="000000"/>
              <w:bottom w:val="single" w:sz="8" w:space="0" w:color="000000"/>
              <w:right w:val="single" w:sz="8" w:space="0" w:color="000000"/>
            </w:tcBorders>
            <w:hideMark/>
          </w:tcPr>
          <w:p w14:paraId="09308E14" w14:textId="77777777" w:rsidR="001F7B29" w:rsidRPr="004A0C12" w:rsidRDefault="001F7B29" w:rsidP="00E500D8">
            <w:pPr>
              <w:widowControl w:val="0"/>
              <w:spacing w:before="6" w:line="242" w:lineRule="auto"/>
              <w:ind w:right="403"/>
              <w:rPr>
                <w:rFonts w:ascii="Garamond" w:eastAsia="Times New Roman" w:hAnsi="Garamond" w:cs="Times New Roman"/>
              </w:rPr>
            </w:pPr>
            <w:r w:rsidRPr="004A0C12">
              <w:rPr>
                <w:rFonts w:ascii="Garamond" w:eastAsia="Times New Roman" w:hAnsi="Garamond" w:cs="Times New Roman"/>
                <w:b/>
                <w:color w:val="181818"/>
                <w:w w:val="105"/>
              </w:rPr>
              <w:t>Public</w:t>
            </w:r>
            <w:r w:rsidRPr="004A0C12">
              <w:rPr>
                <w:rFonts w:ascii="Garamond" w:eastAsia="Times New Roman" w:hAnsi="Garamond" w:cs="Times New Roman"/>
                <w:b/>
                <w:color w:val="181818"/>
                <w:spacing w:val="26"/>
                <w:w w:val="105"/>
              </w:rPr>
              <w:t xml:space="preserve"> </w:t>
            </w:r>
            <w:r w:rsidRPr="004A0C12">
              <w:rPr>
                <w:rFonts w:ascii="Garamond" w:eastAsia="Times New Roman" w:hAnsi="Garamond" w:cs="Times New Roman"/>
                <w:b/>
                <w:color w:val="282828"/>
                <w:w w:val="105"/>
              </w:rPr>
              <w:t>Comment</w:t>
            </w:r>
            <w:r w:rsidRPr="004A0C12">
              <w:rPr>
                <w:rFonts w:ascii="Garamond" w:eastAsia="Times New Roman" w:hAnsi="Garamond" w:cs="Times New Roman"/>
                <w:b/>
                <w:color w:val="282828"/>
                <w:spacing w:val="33"/>
                <w:w w:val="105"/>
              </w:rPr>
              <w:t xml:space="preserve"> </w:t>
            </w:r>
            <w:r w:rsidRPr="004A0C12">
              <w:rPr>
                <w:rFonts w:ascii="Garamond" w:eastAsia="Times New Roman" w:hAnsi="Garamond" w:cs="Times New Roman"/>
                <w:b/>
                <w:color w:val="181818"/>
                <w:w w:val="105"/>
              </w:rPr>
              <w:t>on</w:t>
            </w:r>
            <w:r w:rsidRPr="004A0C12">
              <w:rPr>
                <w:rFonts w:ascii="Garamond" w:eastAsia="Times New Roman" w:hAnsi="Garamond" w:cs="Times New Roman"/>
                <w:b/>
                <w:color w:val="181818"/>
                <w:spacing w:val="28"/>
                <w:w w:val="105"/>
              </w:rPr>
              <w:t xml:space="preserve"> </w:t>
            </w:r>
            <w:r w:rsidRPr="004A0C12">
              <w:rPr>
                <w:rFonts w:ascii="Garamond" w:eastAsia="Times New Roman" w:hAnsi="Garamond" w:cs="Times New Roman"/>
                <w:b/>
                <w:color w:val="282828"/>
                <w:w w:val="105"/>
              </w:rPr>
              <w:t>Policies</w:t>
            </w:r>
            <w:r w:rsidRPr="004A0C12">
              <w:rPr>
                <w:rFonts w:ascii="Garamond" w:eastAsia="Times New Roman" w:hAnsi="Garamond" w:cs="Times New Roman"/>
                <w:b/>
                <w:color w:val="282828"/>
                <w:spacing w:val="26"/>
                <w:w w:val="105"/>
              </w:rPr>
              <w:t xml:space="preserve"> </w:t>
            </w:r>
            <w:r w:rsidRPr="004A0C12">
              <w:rPr>
                <w:rFonts w:ascii="Garamond" w:eastAsia="Times New Roman" w:hAnsi="Garamond" w:cs="Times New Roman"/>
                <w:b/>
                <w:color w:val="282828"/>
                <w:w w:val="105"/>
              </w:rPr>
              <w:t>and</w:t>
            </w:r>
            <w:r w:rsidRPr="004A0C12">
              <w:rPr>
                <w:rFonts w:ascii="Garamond" w:eastAsia="Times New Roman" w:hAnsi="Garamond" w:cs="Times New Roman"/>
                <w:b/>
                <w:color w:val="282828"/>
                <w:spacing w:val="34"/>
                <w:w w:val="105"/>
              </w:rPr>
              <w:t xml:space="preserve"> </w:t>
            </w:r>
            <w:r w:rsidRPr="004A0C12">
              <w:rPr>
                <w:rFonts w:ascii="Garamond" w:eastAsia="Times New Roman" w:hAnsi="Garamond" w:cs="Times New Roman"/>
                <w:b/>
                <w:color w:val="282828"/>
                <w:w w:val="105"/>
              </w:rPr>
              <w:t>Procedures:</w:t>
            </w:r>
            <w:r w:rsidRPr="004A0C12">
              <w:rPr>
                <w:rFonts w:ascii="Garamond" w:eastAsia="Times New Roman" w:hAnsi="Garamond" w:cs="Times New Roman"/>
                <w:color w:val="282828"/>
                <w:w w:val="105"/>
              </w:rPr>
              <w:t xml:space="preserve"> </w:t>
            </w:r>
            <w:r w:rsidRPr="004A0C12">
              <w:rPr>
                <w:rFonts w:ascii="Garamond" w:eastAsia="Times New Roman" w:hAnsi="Garamond" w:cs="Times New Roman"/>
                <w:color w:val="282828"/>
                <w:spacing w:val="29"/>
                <w:w w:val="105"/>
              </w:rPr>
              <w:t xml:space="preserve"> </w:t>
            </w: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30"/>
                <w:w w:val="105"/>
              </w:rPr>
              <w:t xml:space="preserve"> </w:t>
            </w:r>
            <w:r w:rsidRPr="004A0C12">
              <w:rPr>
                <w:rFonts w:ascii="Garamond" w:eastAsia="Times New Roman" w:hAnsi="Garamond" w:cs="Times New Roman"/>
                <w:color w:val="383838"/>
                <w:w w:val="105"/>
              </w:rPr>
              <w:t>de</w:t>
            </w:r>
            <w:r w:rsidRPr="004A0C12">
              <w:rPr>
                <w:rFonts w:ascii="Garamond" w:eastAsia="Times New Roman" w:hAnsi="Garamond" w:cs="Times New Roman"/>
                <w:color w:val="383838"/>
                <w:spacing w:val="5"/>
                <w:w w:val="105"/>
              </w:rPr>
              <w:t>s</w:t>
            </w:r>
            <w:r w:rsidRPr="004A0C12">
              <w:rPr>
                <w:rFonts w:ascii="Garamond" w:eastAsia="Times New Roman" w:hAnsi="Garamond" w:cs="Times New Roman"/>
                <w:color w:val="181818"/>
                <w:spacing w:val="10"/>
                <w:w w:val="105"/>
              </w:rPr>
              <w:t>i</w:t>
            </w:r>
            <w:r w:rsidRPr="004A0C12">
              <w:rPr>
                <w:rFonts w:ascii="Garamond" w:eastAsia="Times New Roman" w:hAnsi="Garamond" w:cs="Times New Roman"/>
                <w:color w:val="383838"/>
                <w:w w:val="105"/>
              </w:rPr>
              <w:t>gnated</w:t>
            </w:r>
            <w:r w:rsidRPr="004A0C12">
              <w:rPr>
                <w:rFonts w:ascii="Garamond" w:eastAsia="Times New Roman" w:hAnsi="Garamond" w:cs="Times New Roman"/>
                <w:color w:val="383838"/>
                <w:spacing w:val="60"/>
                <w:w w:val="105"/>
              </w:rPr>
              <w:t xml:space="preserve"> </w:t>
            </w:r>
            <w:r w:rsidRPr="004A0C12">
              <w:rPr>
                <w:rFonts w:ascii="Garamond" w:eastAsia="Times New Roman" w:hAnsi="Garamond" w:cs="Times New Roman"/>
                <w:color w:val="383838"/>
                <w:w w:val="105"/>
              </w:rPr>
              <w:t>State</w:t>
            </w:r>
            <w:r w:rsidRPr="004A0C12">
              <w:rPr>
                <w:rFonts w:ascii="Garamond" w:eastAsia="Times New Roman" w:hAnsi="Garamond" w:cs="Times New Roman"/>
                <w:color w:val="383838"/>
                <w:spacing w:val="7"/>
                <w:w w:val="105"/>
              </w:rPr>
              <w:t xml:space="preserve"> </w:t>
            </w:r>
            <w:r w:rsidRPr="004A0C12">
              <w:rPr>
                <w:rFonts w:ascii="Garamond" w:eastAsia="Times New Roman" w:hAnsi="Garamond" w:cs="Times New Roman"/>
                <w:color w:val="383838"/>
                <w:w w:val="105"/>
              </w:rPr>
              <w:t>agency</w:t>
            </w:r>
            <w:r w:rsidRPr="004A0C12">
              <w:rPr>
                <w:rFonts w:ascii="Garamond" w:eastAsia="Times New Roman" w:hAnsi="Garamond" w:cs="Times New Roman"/>
                <w:color w:val="383838"/>
                <w:w w:val="102"/>
              </w:rPr>
              <w:t xml:space="preserve"> </w:t>
            </w:r>
            <w:r w:rsidRPr="004A0C12">
              <w:rPr>
                <w:rFonts w:ascii="Garamond" w:eastAsia="Times New Roman" w:hAnsi="Garamond" w:cs="Times New Roman"/>
                <w:color w:val="282828"/>
                <w:w w:val="105"/>
              </w:rPr>
              <w:t>assures</w:t>
            </w:r>
            <w:r w:rsidRPr="004A0C12">
              <w:rPr>
                <w:rFonts w:ascii="Garamond" w:eastAsia="Times New Roman" w:hAnsi="Garamond" w:cs="Times New Roman"/>
                <w:color w:val="282828"/>
                <w:spacing w:val="-4"/>
                <w:w w:val="105"/>
              </w:rPr>
              <w:t xml:space="preserve"> </w:t>
            </w:r>
            <w:r w:rsidRPr="004A0C12">
              <w:rPr>
                <w:rFonts w:ascii="Garamond" w:eastAsia="Times New Roman" w:hAnsi="Garamond" w:cs="Times New Roman"/>
                <w:color w:val="383838"/>
                <w:w w:val="105"/>
              </w:rPr>
              <w:t>it</w:t>
            </w:r>
            <w:r w:rsidRPr="004A0C12">
              <w:rPr>
                <w:rFonts w:ascii="Garamond" w:eastAsia="Times New Roman" w:hAnsi="Garamond" w:cs="Times New Roman"/>
                <w:color w:val="383838"/>
                <w:spacing w:val="-14"/>
                <w:w w:val="105"/>
              </w:rPr>
              <w:t xml:space="preserve"> </w:t>
            </w:r>
            <w:r w:rsidRPr="004A0C12">
              <w:rPr>
                <w:rFonts w:ascii="Garamond" w:eastAsia="Times New Roman" w:hAnsi="Garamond" w:cs="Times New Roman"/>
                <w:color w:val="383838"/>
                <w:w w:val="105"/>
              </w:rPr>
              <w:t>will</w:t>
            </w:r>
            <w:r w:rsidRPr="004A0C12">
              <w:rPr>
                <w:rFonts w:ascii="Garamond" w:eastAsia="Times New Roman" w:hAnsi="Garamond" w:cs="Times New Roman"/>
                <w:color w:val="383838"/>
                <w:spacing w:val="12"/>
                <w:w w:val="105"/>
              </w:rPr>
              <w:t xml:space="preserve"> </w:t>
            </w:r>
            <w:r w:rsidRPr="004A0C12">
              <w:rPr>
                <w:rFonts w:ascii="Garamond" w:eastAsia="Times New Roman" w:hAnsi="Garamond" w:cs="Times New Roman"/>
                <w:color w:val="484848"/>
                <w:w w:val="105"/>
              </w:rPr>
              <w:t>co</w:t>
            </w:r>
            <w:r w:rsidRPr="004A0C12">
              <w:rPr>
                <w:rFonts w:ascii="Garamond" w:eastAsia="Times New Roman" w:hAnsi="Garamond" w:cs="Times New Roman"/>
                <w:color w:val="484848"/>
                <w:spacing w:val="18"/>
                <w:w w:val="105"/>
              </w:rPr>
              <w:t>m</w:t>
            </w:r>
            <w:r w:rsidRPr="004A0C12">
              <w:rPr>
                <w:rFonts w:ascii="Garamond" w:eastAsia="Times New Roman" w:hAnsi="Garamond" w:cs="Times New Roman"/>
                <w:color w:val="282828"/>
                <w:w w:val="105"/>
              </w:rPr>
              <w:t>ply</w:t>
            </w:r>
            <w:r w:rsidRPr="004A0C12">
              <w:rPr>
                <w:rFonts w:ascii="Garamond" w:eastAsia="Times New Roman" w:hAnsi="Garamond" w:cs="Times New Roman"/>
                <w:color w:val="282828"/>
                <w:spacing w:val="6"/>
                <w:w w:val="105"/>
              </w:rPr>
              <w:t xml:space="preserve"> </w:t>
            </w:r>
            <w:r w:rsidRPr="004A0C12">
              <w:rPr>
                <w:rFonts w:ascii="Garamond" w:eastAsia="Times New Roman" w:hAnsi="Garamond" w:cs="Times New Roman"/>
                <w:color w:val="282828"/>
                <w:w w:val="105"/>
              </w:rPr>
              <w:t>w</w:t>
            </w:r>
            <w:r w:rsidRPr="004A0C12">
              <w:rPr>
                <w:rFonts w:ascii="Garamond" w:eastAsia="Times New Roman" w:hAnsi="Garamond" w:cs="Times New Roman"/>
                <w:color w:val="282828"/>
                <w:spacing w:val="7"/>
                <w:w w:val="105"/>
              </w:rPr>
              <w:t>i</w:t>
            </w:r>
            <w:r w:rsidRPr="004A0C12">
              <w:rPr>
                <w:rFonts w:ascii="Garamond" w:eastAsia="Times New Roman" w:hAnsi="Garamond" w:cs="Times New Roman"/>
                <w:color w:val="484848"/>
                <w:spacing w:val="7"/>
                <w:w w:val="105"/>
              </w:rPr>
              <w:t>t</w:t>
            </w:r>
            <w:r w:rsidRPr="004A0C12">
              <w:rPr>
                <w:rFonts w:ascii="Garamond" w:eastAsia="Times New Roman" w:hAnsi="Garamond" w:cs="Times New Roman"/>
                <w:color w:val="282828"/>
                <w:w w:val="105"/>
              </w:rPr>
              <w:t>h</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383838"/>
                <w:w w:val="105"/>
              </w:rPr>
              <w:t>all</w:t>
            </w:r>
            <w:r w:rsidRPr="004A0C12">
              <w:rPr>
                <w:rFonts w:ascii="Garamond" w:eastAsia="Times New Roman" w:hAnsi="Garamond" w:cs="Times New Roman"/>
                <w:color w:val="383838"/>
                <w:spacing w:val="-1"/>
                <w:w w:val="105"/>
              </w:rPr>
              <w:t xml:space="preserve"> </w:t>
            </w:r>
            <w:r w:rsidRPr="004A0C12">
              <w:rPr>
                <w:rFonts w:ascii="Garamond" w:eastAsia="Times New Roman" w:hAnsi="Garamond" w:cs="Times New Roman"/>
                <w:color w:val="383838"/>
                <w:w w:val="105"/>
              </w:rPr>
              <w:t xml:space="preserve">statutory </w:t>
            </w:r>
            <w:r w:rsidRPr="004A0C12">
              <w:rPr>
                <w:rFonts w:ascii="Garamond" w:eastAsia="Times New Roman" w:hAnsi="Garamond" w:cs="Times New Roman"/>
                <w:color w:val="282828"/>
                <w:w w:val="105"/>
              </w:rPr>
              <w:t>and</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181818"/>
                <w:w w:val="105"/>
              </w:rPr>
              <w:t>re</w:t>
            </w:r>
            <w:r w:rsidRPr="004A0C12">
              <w:rPr>
                <w:rFonts w:ascii="Garamond" w:eastAsia="Times New Roman" w:hAnsi="Garamond" w:cs="Times New Roman"/>
                <w:color w:val="181818"/>
                <w:spacing w:val="17"/>
                <w:w w:val="105"/>
              </w:rPr>
              <w:t>g</w:t>
            </w:r>
            <w:r w:rsidRPr="004A0C12">
              <w:rPr>
                <w:rFonts w:ascii="Garamond" w:eastAsia="Times New Roman" w:hAnsi="Garamond" w:cs="Times New Roman"/>
                <w:color w:val="383838"/>
                <w:w w:val="105"/>
              </w:rPr>
              <w:t>ulatory</w:t>
            </w:r>
            <w:r w:rsidRPr="004A0C12">
              <w:rPr>
                <w:rFonts w:ascii="Garamond" w:eastAsia="Times New Roman" w:hAnsi="Garamond" w:cs="Times New Roman"/>
                <w:color w:val="383838"/>
                <w:spacing w:val="3"/>
                <w:w w:val="105"/>
              </w:rPr>
              <w:t xml:space="preserve"> </w:t>
            </w:r>
            <w:r w:rsidRPr="004A0C12">
              <w:rPr>
                <w:rFonts w:ascii="Garamond" w:eastAsia="Times New Roman" w:hAnsi="Garamond" w:cs="Times New Roman"/>
                <w:color w:val="282828"/>
                <w:w w:val="105"/>
              </w:rPr>
              <w:t>requ</w:t>
            </w:r>
            <w:r w:rsidRPr="004A0C12">
              <w:rPr>
                <w:rFonts w:ascii="Garamond" w:eastAsia="Times New Roman" w:hAnsi="Garamond" w:cs="Times New Roman"/>
                <w:color w:val="282828"/>
                <w:spacing w:val="19"/>
                <w:w w:val="105"/>
              </w:rPr>
              <w:t>i</w:t>
            </w:r>
            <w:r w:rsidRPr="004A0C12">
              <w:rPr>
                <w:rFonts w:ascii="Garamond" w:eastAsia="Times New Roman" w:hAnsi="Garamond" w:cs="Times New Roman"/>
                <w:color w:val="484848"/>
                <w:w w:val="105"/>
              </w:rPr>
              <w:t>rements</w:t>
            </w:r>
            <w:r w:rsidRPr="004A0C12">
              <w:rPr>
                <w:rFonts w:ascii="Garamond" w:eastAsia="Times New Roman" w:hAnsi="Garamond" w:cs="Times New Roman"/>
                <w:color w:val="484848"/>
                <w:spacing w:val="-1"/>
                <w:w w:val="105"/>
              </w:rPr>
              <w:t xml:space="preserve"> </w:t>
            </w:r>
            <w:r w:rsidRPr="004A0C12">
              <w:rPr>
                <w:rFonts w:ascii="Garamond" w:eastAsia="Times New Roman" w:hAnsi="Garamond" w:cs="Times New Roman"/>
                <w:color w:val="383838"/>
                <w:w w:val="105"/>
              </w:rPr>
              <w:t>for</w:t>
            </w:r>
            <w:r w:rsidRPr="004A0C12">
              <w:rPr>
                <w:rFonts w:ascii="Garamond" w:eastAsia="Times New Roman" w:hAnsi="Garamond" w:cs="Times New Roman"/>
                <w:color w:val="383838"/>
                <w:spacing w:val="-2"/>
                <w:w w:val="105"/>
              </w:rPr>
              <w:t xml:space="preserve"> </w:t>
            </w:r>
            <w:r w:rsidRPr="004A0C12">
              <w:rPr>
                <w:rFonts w:ascii="Garamond" w:eastAsia="Times New Roman" w:hAnsi="Garamond" w:cs="Times New Roman"/>
                <w:color w:val="383838"/>
                <w:w w:val="105"/>
              </w:rPr>
              <w:t>public</w:t>
            </w:r>
            <w:r w:rsidRPr="004A0C12">
              <w:rPr>
                <w:rFonts w:ascii="Garamond" w:eastAsia="Times New Roman" w:hAnsi="Garamond" w:cs="Times New Roman"/>
                <w:color w:val="383838"/>
                <w:w w:val="102"/>
              </w:rPr>
              <w:t xml:space="preserve"> </w:t>
            </w:r>
            <w:r w:rsidRPr="004A0C12">
              <w:rPr>
                <w:rFonts w:ascii="Garamond" w:eastAsia="Times New Roman" w:hAnsi="Garamond" w:cs="Times New Roman"/>
                <w:color w:val="181818"/>
                <w:w w:val="105"/>
              </w:rPr>
              <w:t>particip</w:t>
            </w:r>
            <w:r w:rsidRPr="004A0C12">
              <w:rPr>
                <w:rFonts w:ascii="Garamond" w:eastAsia="Times New Roman" w:hAnsi="Garamond" w:cs="Times New Roman"/>
                <w:color w:val="383838"/>
                <w:w w:val="105"/>
              </w:rPr>
              <w:t>ation</w:t>
            </w:r>
            <w:r w:rsidRPr="004A0C12">
              <w:rPr>
                <w:rFonts w:ascii="Garamond" w:eastAsia="Times New Roman" w:hAnsi="Garamond" w:cs="Times New Roman"/>
                <w:color w:val="383838"/>
                <w:spacing w:val="-13"/>
                <w:w w:val="105"/>
              </w:rPr>
              <w:t xml:space="preserve"> </w:t>
            </w:r>
            <w:r w:rsidRPr="004A0C12">
              <w:rPr>
                <w:rFonts w:ascii="Garamond" w:eastAsia="Times New Roman" w:hAnsi="Garamond" w:cs="Times New Roman"/>
                <w:color w:val="181818"/>
                <w:w w:val="105"/>
              </w:rPr>
              <w:t>in</w:t>
            </w:r>
            <w:r w:rsidRPr="004A0C12">
              <w:rPr>
                <w:rFonts w:ascii="Garamond" w:eastAsia="Times New Roman" w:hAnsi="Garamond" w:cs="Times New Roman"/>
                <w:color w:val="181818"/>
                <w:spacing w:val="-15"/>
                <w:w w:val="105"/>
              </w:rPr>
              <w:t xml:space="preserve"> </w:t>
            </w:r>
            <w:r w:rsidRPr="004A0C12">
              <w:rPr>
                <w:rFonts w:ascii="Garamond" w:eastAsia="Times New Roman" w:hAnsi="Garamond" w:cs="Times New Roman"/>
                <w:color w:val="383838"/>
                <w:w w:val="105"/>
              </w:rPr>
              <w:t>the</w:t>
            </w:r>
            <w:r w:rsidRPr="004A0C12">
              <w:rPr>
                <w:rFonts w:ascii="Garamond" w:eastAsia="Times New Roman" w:hAnsi="Garamond" w:cs="Times New Roman"/>
                <w:color w:val="383838"/>
                <w:spacing w:val="-10"/>
                <w:w w:val="105"/>
              </w:rPr>
              <w:t xml:space="preserve"> </w:t>
            </w:r>
            <w:r w:rsidRPr="004A0C12">
              <w:rPr>
                <w:rFonts w:ascii="Garamond" w:eastAsia="Times New Roman" w:hAnsi="Garamond" w:cs="Times New Roman"/>
                <w:color w:val="282828"/>
                <w:w w:val="105"/>
              </w:rPr>
              <w:t>VR</w:t>
            </w:r>
            <w:r w:rsidRPr="004A0C12">
              <w:rPr>
                <w:rFonts w:ascii="Garamond" w:eastAsia="Times New Roman" w:hAnsi="Garamond" w:cs="Times New Roman"/>
                <w:color w:val="282828"/>
                <w:spacing w:val="-16"/>
                <w:w w:val="105"/>
              </w:rPr>
              <w:t xml:space="preserve"> </w:t>
            </w:r>
            <w:r w:rsidRPr="004A0C12">
              <w:rPr>
                <w:rFonts w:ascii="Garamond" w:eastAsia="Times New Roman" w:hAnsi="Garamond" w:cs="Times New Roman"/>
                <w:color w:val="484848"/>
                <w:w w:val="105"/>
              </w:rPr>
              <w:t>Ser</w:t>
            </w:r>
            <w:r w:rsidRPr="004A0C12">
              <w:rPr>
                <w:rFonts w:ascii="Garamond" w:eastAsia="Times New Roman" w:hAnsi="Garamond" w:cs="Times New Roman"/>
                <w:color w:val="484848"/>
                <w:spacing w:val="-12"/>
                <w:w w:val="105"/>
              </w:rPr>
              <w:t>v</w:t>
            </w:r>
            <w:r w:rsidRPr="004A0C12">
              <w:rPr>
                <w:rFonts w:ascii="Garamond" w:eastAsia="Times New Roman" w:hAnsi="Garamond" w:cs="Times New Roman"/>
                <w:color w:val="282828"/>
                <w:w w:val="105"/>
              </w:rPr>
              <w:t>ices</w:t>
            </w:r>
            <w:r w:rsidRPr="004A0C12">
              <w:rPr>
                <w:rFonts w:ascii="Garamond" w:eastAsia="Times New Roman" w:hAnsi="Garamond" w:cs="Times New Roman"/>
                <w:color w:val="282828"/>
                <w:spacing w:val="-14"/>
                <w:w w:val="105"/>
              </w:rPr>
              <w:t xml:space="preserve"> </w:t>
            </w:r>
            <w:r w:rsidRPr="004A0C12">
              <w:rPr>
                <w:rFonts w:ascii="Garamond" w:eastAsia="Times New Roman" w:hAnsi="Garamond" w:cs="Times New Roman"/>
                <w:color w:val="282828"/>
                <w:w w:val="105"/>
              </w:rPr>
              <w:t>Portion</w:t>
            </w:r>
            <w:r w:rsidRPr="004A0C12">
              <w:rPr>
                <w:rFonts w:ascii="Garamond" w:eastAsia="Times New Roman" w:hAnsi="Garamond" w:cs="Times New Roman"/>
                <w:color w:val="282828"/>
                <w:spacing w:val="-1"/>
                <w:w w:val="105"/>
              </w:rPr>
              <w:t xml:space="preserve"> </w:t>
            </w:r>
            <w:r w:rsidRPr="004A0C12">
              <w:rPr>
                <w:rFonts w:ascii="Garamond" w:eastAsia="Times New Roman" w:hAnsi="Garamond" w:cs="Times New Roman"/>
                <w:color w:val="282828"/>
                <w:w w:val="105"/>
              </w:rPr>
              <w:t>of</w:t>
            </w:r>
            <w:r w:rsidRPr="004A0C12">
              <w:rPr>
                <w:rFonts w:ascii="Garamond" w:eastAsia="Times New Roman" w:hAnsi="Garamond" w:cs="Times New Roman"/>
                <w:color w:val="282828"/>
                <w:spacing w:val="-12"/>
                <w:w w:val="105"/>
              </w:rPr>
              <w:t xml:space="preserve"> </w:t>
            </w: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181818"/>
                <w:w w:val="105"/>
              </w:rPr>
              <w:t>Unif</w:t>
            </w:r>
            <w:r w:rsidRPr="004A0C12">
              <w:rPr>
                <w:rFonts w:ascii="Garamond" w:eastAsia="Times New Roman" w:hAnsi="Garamond" w:cs="Times New Roman"/>
                <w:color w:val="383838"/>
                <w:w w:val="105"/>
              </w:rPr>
              <w:t>ied</w:t>
            </w:r>
            <w:r w:rsidRPr="004A0C12">
              <w:rPr>
                <w:rFonts w:ascii="Garamond" w:eastAsia="Times New Roman" w:hAnsi="Garamond" w:cs="Times New Roman"/>
                <w:color w:val="383838"/>
                <w:spacing w:val="-6"/>
                <w:w w:val="105"/>
              </w:rPr>
              <w:t xml:space="preserve"> </w:t>
            </w:r>
            <w:r w:rsidRPr="004A0C12">
              <w:rPr>
                <w:rFonts w:ascii="Garamond" w:eastAsia="Times New Roman" w:hAnsi="Garamond" w:cs="Times New Roman"/>
                <w:color w:val="282828"/>
                <w:w w:val="105"/>
              </w:rPr>
              <w:t>or</w:t>
            </w:r>
            <w:r w:rsidRPr="004A0C12">
              <w:rPr>
                <w:rFonts w:ascii="Garamond" w:eastAsia="Times New Roman" w:hAnsi="Garamond" w:cs="Times New Roman"/>
                <w:color w:val="282828"/>
                <w:spacing w:val="-15"/>
                <w:w w:val="105"/>
              </w:rPr>
              <w:t xml:space="preserve"> </w:t>
            </w:r>
            <w:r w:rsidRPr="004A0C12">
              <w:rPr>
                <w:rFonts w:ascii="Garamond" w:eastAsia="Times New Roman" w:hAnsi="Garamond" w:cs="Times New Roman"/>
                <w:color w:val="383838"/>
                <w:w w:val="105"/>
              </w:rPr>
              <w:t>Combined</w:t>
            </w:r>
            <w:r w:rsidRPr="004A0C12">
              <w:rPr>
                <w:rFonts w:ascii="Garamond" w:eastAsia="Times New Roman" w:hAnsi="Garamond" w:cs="Times New Roman"/>
                <w:color w:val="383838"/>
                <w:spacing w:val="37"/>
                <w:w w:val="105"/>
              </w:rPr>
              <w:t xml:space="preserve"> </w:t>
            </w:r>
            <w:r w:rsidRPr="004A0C12">
              <w:rPr>
                <w:rFonts w:ascii="Garamond" w:eastAsia="Times New Roman" w:hAnsi="Garamond" w:cs="Times New Roman"/>
                <w:color w:val="484848"/>
                <w:w w:val="105"/>
              </w:rPr>
              <w:t>State</w:t>
            </w:r>
            <w:r w:rsidRPr="004A0C12">
              <w:rPr>
                <w:rFonts w:ascii="Garamond" w:eastAsia="Times New Roman" w:hAnsi="Garamond" w:cs="Times New Roman"/>
                <w:color w:val="484848"/>
                <w:spacing w:val="-15"/>
                <w:w w:val="105"/>
              </w:rPr>
              <w:t xml:space="preserve"> </w:t>
            </w:r>
            <w:r w:rsidRPr="004A0C12">
              <w:rPr>
                <w:rFonts w:ascii="Garamond" w:eastAsia="Times New Roman" w:hAnsi="Garamond" w:cs="Times New Roman"/>
                <w:color w:val="383838"/>
                <w:w w:val="105"/>
              </w:rPr>
              <w:t>Plan,</w:t>
            </w:r>
            <w:r w:rsidRPr="004A0C12">
              <w:rPr>
                <w:rFonts w:ascii="Garamond" w:eastAsia="Times New Roman" w:hAnsi="Garamond" w:cs="Times New Roman"/>
                <w:color w:val="383838"/>
                <w:spacing w:val="-18"/>
                <w:w w:val="105"/>
              </w:rPr>
              <w:t xml:space="preserve"> </w:t>
            </w:r>
            <w:r w:rsidRPr="004A0C12">
              <w:rPr>
                <w:rFonts w:ascii="Garamond" w:eastAsia="Times New Roman" w:hAnsi="Garamond" w:cs="Times New Roman"/>
                <w:color w:val="282828"/>
                <w:w w:val="105"/>
              </w:rPr>
              <w:t>as</w:t>
            </w:r>
            <w:r w:rsidRPr="004A0C12">
              <w:rPr>
                <w:rFonts w:ascii="Garamond" w:eastAsia="Times New Roman" w:hAnsi="Garamond" w:cs="Times New Roman"/>
                <w:color w:val="282828"/>
                <w:w w:val="107"/>
              </w:rPr>
              <w:t xml:space="preserve"> </w:t>
            </w:r>
            <w:r w:rsidRPr="004A0C12">
              <w:rPr>
                <w:rFonts w:ascii="Garamond" w:eastAsia="Times New Roman" w:hAnsi="Garamond" w:cs="Times New Roman"/>
                <w:color w:val="282828"/>
                <w:w w:val="105"/>
              </w:rPr>
              <w:t>required</w:t>
            </w:r>
            <w:r w:rsidRPr="004A0C12">
              <w:rPr>
                <w:rFonts w:ascii="Garamond" w:eastAsia="Times New Roman" w:hAnsi="Garamond" w:cs="Times New Roman"/>
                <w:color w:val="282828"/>
                <w:spacing w:val="20"/>
                <w:w w:val="105"/>
              </w:rPr>
              <w:t xml:space="preserve"> </w:t>
            </w:r>
            <w:r w:rsidRPr="004A0C12">
              <w:rPr>
                <w:rFonts w:ascii="Garamond" w:eastAsia="Times New Roman" w:hAnsi="Garamond" w:cs="Times New Roman"/>
                <w:color w:val="282828"/>
                <w:w w:val="105"/>
              </w:rPr>
              <w:t>by</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383838"/>
                <w:w w:val="105"/>
              </w:rPr>
              <w:t>section</w:t>
            </w:r>
            <w:r w:rsidRPr="004A0C12">
              <w:rPr>
                <w:rFonts w:ascii="Garamond" w:eastAsia="Times New Roman" w:hAnsi="Garamond" w:cs="Times New Roman"/>
                <w:color w:val="383838"/>
                <w:spacing w:val="5"/>
                <w:w w:val="105"/>
              </w:rPr>
              <w:t xml:space="preserve"> </w:t>
            </w:r>
            <w:r w:rsidRPr="004A0C12">
              <w:rPr>
                <w:rFonts w:ascii="Garamond" w:eastAsia="Times New Roman" w:hAnsi="Garamond" w:cs="Times New Roman"/>
                <w:color w:val="383838"/>
                <w:w w:val="105"/>
              </w:rPr>
              <w:t>101(a)(16)(A)</w:t>
            </w:r>
            <w:r w:rsidRPr="004A0C12">
              <w:rPr>
                <w:rFonts w:ascii="Garamond" w:eastAsia="Times New Roman" w:hAnsi="Garamond" w:cs="Times New Roman"/>
                <w:color w:val="383838"/>
                <w:spacing w:val="1"/>
                <w:w w:val="105"/>
              </w:rPr>
              <w:t xml:space="preserve"> </w:t>
            </w:r>
            <w:r w:rsidRPr="004A0C12">
              <w:rPr>
                <w:rFonts w:ascii="Garamond" w:eastAsia="Times New Roman" w:hAnsi="Garamond" w:cs="Times New Roman"/>
                <w:color w:val="282828"/>
                <w:w w:val="105"/>
              </w:rPr>
              <w:t>of</w:t>
            </w:r>
            <w:r w:rsidRPr="004A0C12">
              <w:rPr>
                <w:rFonts w:ascii="Garamond" w:eastAsia="Times New Roman" w:hAnsi="Garamond" w:cs="Times New Roman"/>
                <w:color w:val="282828"/>
                <w:spacing w:val="-13"/>
                <w:w w:val="105"/>
              </w:rPr>
              <w:t xml:space="preserve"> </w:t>
            </w:r>
            <w:r w:rsidRPr="004A0C12">
              <w:rPr>
                <w:rFonts w:ascii="Garamond" w:eastAsia="Times New Roman" w:hAnsi="Garamond" w:cs="Times New Roman"/>
                <w:color w:val="282828"/>
                <w:w w:val="105"/>
              </w:rPr>
              <w:t>the Rehabilitation</w:t>
            </w:r>
            <w:r w:rsidRPr="004A0C12">
              <w:rPr>
                <w:rFonts w:ascii="Garamond" w:eastAsia="Times New Roman" w:hAnsi="Garamond" w:cs="Times New Roman"/>
                <w:color w:val="282828"/>
                <w:spacing w:val="12"/>
                <w:w w:val="105"/>
              </w:rPr>
              <w:t xml:space="preserve"> </w:t>
            </w:r>
            <w:r w:rsidRPr="004A0C12">
              <w:rPr>
                <w:rFonts w:ascii="Garamond" w:eastAsia="Times New Roman" w:hAnsi="Garamond" w:cs="Times New Roman"/>
                <w:color w:val="383838"/>
                <w:w w:val="105"/>
              </w:rPr>
              <w:t>Act.</w:t>
            </w:r>
          </w:p>
        </w:tc>
      </w:tr>
      <w:tr w:rsidR="001F7B29" w:rsidRPr="004A0C12" w14:paraId="0F355677" w14:textId="77777777" w:rsidTr="00A2533C">
        <w:trPr>
          <w:trHeight w:hRule="exact" w:val="273"/>
        </w:trPr>
        <w:tc>
          <w:tcPr>
            <w:tcW w:w="468" w:type="dxa"/>
            <w:gridSpan w:val="2"/>
            <w:tcBorders>
              <w:top w:val="single" w:sz="8" w:space="0" w:color="000000"/>
              <w:left w:val="single" w:sz="8" w:space="0" w:color="000000"/>
              <w:bottom w:val="single" w:sz="8" w:space="0" w:color="000000"/>
              <w:right w:val="single" w:sz="8" w:space="0" w:color="000000"/>
            </w:tcBorders>
          </w:tcPr>
          <w:p w14:paraId="446CC7A5" w14:textId="77777777" w:rsidR="001F7B29" w:rsidRPr="004A0C12" w:rsidRDefault="001F7B29" w:rsidP="00E500D8">
            <w:pPr>
              <w:widowControl w:val="0"/>
              <w:rPr>
                <w:rFonts w:ascii="Garamond" w:hAnsi="Garamond" w:cs="Times New Roman"/>
              </w:rPr>
            </w:pPr>
          </w:p>
        </w:tc>
        <w:tc>
          <w:tcPr>
            <w:tcW w:w="8826" w:type="dxa"/>
            <w:gridSpan w:val="2"/>
            <w:tcBorders>
              <w:top w:val="single" w:sz="8" w:space="0" w:color="000000"/>
              <w:left w:val="single" w:sz="8" w:space="0" w:color="000000"/>
              <w:bottom w:val="single" w:sz="8" w:space="0" w:color="000000"/>
              <w:right w:val="single" w:sz="8" w:space="0" w:color="000000"/>
            </w:tcBorders>
          </w:tcPr>
          <w:p w14:paraId="1C33EDC5" w14:textId="77777777" w:rsidR="001F7B29" w:rsidRPr="004A0C12" w:rsidRDefault="001F7B29" w:rsidP="00E500D8">
            <w:pPr>
              <w:widowControl w:val="0"/>
              <w:rPr>
                <w:rFonts w:ascii="Garamond" w:hAnsi="Garamond" w:cs="Times New Roman"/>
              </w:rPr>
            </w:pPr>
          </w:p>
        </w:tc>
      </w:tr>
      <w:tr w:rsidR="001F7B29" w:rsidRPr="004A0C12" w14:paraId="2FF7E9C8" w14:textId="77777777" w:rsidTr="00A2533C">
        <w:trPr>
          <w:trHeight w:hRule="exact" w:val="1910"/>
        </w:trPr>
        <w:tc>
          <w:tcPr>
            <w:tcW w:w="468" w:type="dxa"/>
            <w:gridSpan w:val="2"/>
            <w:tcBorders>
              <w:top w:val="single" w:sz="8" w:space="0" w:color="000000"/>
              <w:left w:val="single" w:sz="8" w:space="0" w:color="000000"/>
              <w:bottom w:val="single" w:sz="8" w:space="0" w:color="000000"/>
              <w:right w:val="single" w:sz="4" w:space="0" w:color="000000"/>
            </w:tcBorders>
            <w:hideMark/>
          </w:tcPr>
          <w:p w14:paraId="0C42DA0B" w14:textId="77777777" w:rsidR="001F7B29" w:rsidRPr="004A0C12" w:rsidRDefault="001F7B29" w:rsidP="00E500D8">
            <w:pPr>
              <w:widowControl w:val="0"/>
              <w:spacing w:line="268" w:lineRule="exact"/>
              <w:rPr>
                <w:rFonts w:ascii="Garamond" w:eastAsia="Times New Roman" w:hAnsi="Garamond" w:cs="Times New Roman"/>
              </w:rPr>
            </w:pPr>
            <w:r w:rsidRPr="004A0C12">
              <w:rPr>
                <w:rFonts w:ascii="Garamond" w:eastAsia="Times New Roman" w:hAnsi="Garamond" w:cs="Times New Roman"/>
                <w:color w:val="181818"/>
              </w:rPr>
              <w:t>2.</w:t>
            </w:r>
          </w:p>
        </w:tc>
        <w:tc>
          <w:tcPr>
            <w:tcW w:w="8826" w:type="dxa"/>
            <w:gridSpan w:val="2"/>
            <w:tcBorders>
              <w:top w:val="single" w:sz="8" w:space="0" w:color="000000"/>
              <w:left w:val="single" w:sz="4" w:space="0" w:color="000000"/>
              <w:bottom w:val="single" w:sz="8" w:space="0" w:color="000000"/>
              <w:right w:val="single" w:sz="8" w:space="0" w:color="000000"/>
            </w:tcBorders>
            <w:hideMark/>
          </w:tcPr>
          <w:p w14:paraId="7BB37E0E" w14:textId="77777777" w:rsidR="001F7B29" w:rsidRPr="004A0C12" w:rsidRDefault="001F7B29" w:rsidP="00E500D8">
            <w:pPr>
              <w:widowControl w:val="0"/>
              <w:spacing w:before="1" w:line="242" w:lineRule="auto"/>
              <w:ind w:right="223"/>
              <w:rPr>
                <w:rFonts w:ascii="Garamond" w:eastAsia="Times New Roman" w:hAnsi="Garamond" w:cs="Times New Roman"/>
              </w:rPr>
            </w:pPr>
            <w:r w:rsidRPr="004A0C12">
              <w:rPr>
                <w:rFonts w:ascii="Garamond" w:eastAsia="Times New Roman" w:hAnsi="Garamond" w:cs="Times New Roman"/>
                <w:b/>
                <w:color w:val="181818"/>
                <w:w w:val="105"/>
              </w:rPr>
              <w:t>Submission</w:t>
            </w:r>
            <w:r w:rsidRPr="004A0C12">
              <w:rPr>
                <w:rFonts w:ascii="Garamond" w:eastAsia="Times New Roman" w:hAnsi="Garamond" w:cs="Times New Roman"/>
                <w:b/>
                <w:color w:val="181818"/>
                <w:spacing w:val="27"/>
                <w:w w:val="105"/>
              </w:rPr>
              <w:t xml:space="preserve"> </w:t>
            </w:r>
            <w:r w:rsidRPr="004A0C12">
              <w:rPr>
                <w:rFonts w:ascii="Garamond" w:eastAsia="Times New Roman" w:hAnsi="Garamond" w:cs="Times New Roman"/>
                <w:b/>
                <w:color w:val="181818"/>
                <w:w w:val="105"/>
              </w:rPr>
              <w:t>of</w:t>
            </w:r>
            <w:r w:rsidRPr="004A0C12">
              <w:rPr>
                <w:rFonts w:ascii="Garamond" w:eastAsia="Times New Roman" w:hAnsi="Garamond" w:cs="Times New Roman"/>
                <w:b/>
                <w:color w:val="181818"/>
                <w:spacing w:val="27"/>
                <w:w w:val="105"/>
              </w:rPr>
              <w:t xml:space="preserve"> </w:t>
            </w:r>
            <w:r w:rsidRPr="004A0C12">
              <w:rPr>
                <w:rFonts w:ascii="Garamond" w:eastAsia="Times New Roman" w:hAnsi="Garamond" w:cs="Times New Roman"/>
                <w:b/>
                <w:color w:val="282828"/>
                <w:w w:val="105"/>
              </w:rPr>
              <w:t>the</w:t>
            </w:r>
            <w:r w:rsidRPr="004A0C12">
              <w:rPr>
                <w:rFonts w:ascii="Garamond" w:eastAsia="Times New Roman" w:hAnsi="Garamond" w:cs="Times New Roman"/>
                <w:b/>
                <w:color w:val="282828"/>
                <w:spacing w:val="32"/>
                <w:w w:val="105"/>
              </w:rPr>
              <w:t xml:space="preserve"> </w:t>
            </w:r>
            <w:r w:rsidRPr="004A0C12">
              <w:rPr>
                <w:rFonts w:ascii="Garamond" w:eastAsia="Times New Roman" w:hAnsi="Garamond" w:cs="Times New Roman"/>
                <w:b/>
                <w:color w:val="282828"/>
                <w:w w:val="105"/>
              </w:rPr>
              <w:t>VR</w:t>
            </w:r>
            <w:r w:rsidRPr="004A0C12">
              <w:rPr>
                <w:rFonts w:ascii="Garamond" w:eastAsia="Times New Roman" w:hAnsi="Garamond" w:cs="Times New Roman"/>
                <w:b/>
                <w:color w:val="282828"/>
                <w:spacing w:val="39"/>
                <w:w w:val="105"/>
              </w:rPr>
              <w:t xml:space="preserve"> </w:t>
            </w:r>
            <w:r w:rsidRPr="004A0C12">
              <w:rPr>
                <w:rFonts w:ascii="Garamond" w:eastAsia="Times New Roman" w:hAnsi="Garamond" w:cs="Times New Roman"/>
                <w:b/>
                <w:color w:val="282828"/>
                <w:w w:val="105"/>
              </w:rPr>
              <w:t>services</w:t>
            </w:r>
            <w:r w:rsidRPr="004A0C12">
              <w:rPr>
                <w:rFonts w:ascii="Garamond" w:eastAsia="Times New Roman" w:hAnsi="Garamond" w:cs="Times New Roman"/>
                <w:b/>
                <w:color w:val="282828"/>
                <w:spacing w:val="24"/>
                <w:w w:val="105"/>
              </w:rPr>
              <w:t xml:space="preserve"> </w:t>
            </w:r>
            <w:r w:rsidRPr="004A0C12">
              <w:rPr>
                <w:rFonts w:ascii="Garamond" w:eastAsia="Times New Roman" w:hAnsi="Garamond" w:cs="Times New Roman"/>
                <w:b/>
                <w:color w:val="181818"/>
                <w:w w:val="105"/>
              </w:rPr>
              <w:t>portion</w:t>
            </w:r>
            <w:r w:rsidRPr="004A0C12">
              <w:rPr>
                <w:rFonts w:ascii="Garamond" w:eastAsia="Times New Roman" w:hAnsi="Garamond" w:cs="Times New Roman"/>
                <w:b/>
                <w:color w:val="181818"/>
                <w:spacing w:val="49"/>
                <w:w w:val="105"/>
              </w:rPr>
              <w:t xml:space="preserve"> </w:t>
            </w:r>
            <w:r w:rsidRPr="004A0C12">
              <w:rPr>
                <w:rFonts w:ascii="Garamond" w:eastAsia="Times New Roman" w:hAnsi="Garamond" w:cs="Times New Roman"/>
                <w:b/>
                <w:color w:val="181818"/>
                <w:w w:val="105"/>
              </w:rPr>
              <w:t>of</w:t>
            </w:r>
            <w:r w:rsidRPr="004A0C12">
              <w:rPr>
                <w:rFonts w:ascii="Garamond" w:eastAsia="Times New Roman" w:hAnsi="Garamond" w:cs="Times New Roman"/>
                <w:b/>
                <w:color w:val="181818"/>
                <w:spacing w:val="27"/>
                <w:w w:val="105"/>
              </w:rPr>
              <w:t xml:space="preserve"> </w:t>
            </w:r>
            <w:r w:rsidRPr="004A0C12">
              <w:rPr>
                <w:rFonts w:ascii="Garamond" w:eastAsia="Times New Roman" w:hAnsi="Garamond" w:cs="Times New Roman"/>
                <w:b/>
                <w:color w:val="181818"/>
                <w:w w:val="105"/>
              </w:rPr>
              <w:t>the</w:t>
            </w:r>
            <w:r w:rsidRPr="004A0C12">
              <w:rPr>
                <w:rFonts w:ascii="Garamond" w:eastAsia="Times New Roman" w:hAnsi="Garamond" w:cs="Times New Roman"/>
                <w:b/>
                <w:color w:val="181818"/>
                <w:spacing w:val="32"/>
                <w:w w:val="105"/>
              </w:rPr>
              <w:t xml:space="preserve"> </w:t>
            </w:r>
            <w:r w:rsidRPr="004A0C12">
              <w:rPr>
                <w:rFonts w:ascii="Garamond" w:eastAsia="Times New Roman" w:hAnsi="Garamond" w:cs="Times New Roman"/>
                <w:b/>
                <w:color w:val="181818"/>
                <w:w w:val="105"/>
              </w:rPr>
              <w:t>Unified</w:t>
            </w:r>
            <w:r w:rsidRPr="004A0C12">
              <w:rPr>
                <w:rFonts w:ascii="Garamond" w:eastAsia="Times New Roman" w:hAnsi="Garamond" w:cs="Times New Roman"/>
                <w:b/>
                <w:color w:val="181818"/>
                <w:spacing w:val="46"/>
                <w:w w:val="105"/>
              </w:rPr>
              <w:t xml:space="preserve"> </w:t>
            </w:r>
            <w:r w:rsidRPr="004A0C12">
              <w:rPr>
                <w:rFonts w:ascii="Garamond" w:eastAsia="Times New Roman" w:hAnsi="Garamond" w:cs="Times New Roman"/>
                <w:b/>
                <w:color w:val="181818"/>
                <w:w w:val="105"/>
              </w:rPr>
              <w:t>or</w:t>
            </w:r>
            <w:r w:rsidRPr="004A0C12">
              <w:rPr>
                <w:rFonts w:ascii="Garamond" w:eastAsia="Times New Roman" w:hAnsi="Garamond" w:cs="Times New Roman"/>
                <w:b/>
                <w:color w:val="181818"/>
                <w:spacing w:val="20"/>
                <w:w w:val="105"/>
              </w:rPr>
              <w:t xml:space="preserve"> </w:t>
            </w:r>
            <w:r w:rsidRPr="004A0C12">
              <w:rPr>
                <w:rFonts w:ascii="Garamond" w:eastAsia="Times New Roman" w:hAnsi="Garamond" w:cs="Times New Roman"/>
                <w:b/>
                <w:color w:val="282828"/>
                <w:w w:val="105"/>
              </w:rPr>
              <w:t xml:space="preserve">Combined  </w:t>
            </w:r>
            <w:r w:rsidRPr="004A0C12">
              <w:rPr>
                <w:rFonts w:ascii="Garamond" w:eastAsia="Times New Roman" w:hAnsi="Garamond" w:cs="Times New Roman"/>
                <w:b/>
                <w:color w:val="282828"/>
                <w:spacing w:val="12"/>
                <w:w w:val="105"/>
              </w:rPr>
              <w:t xml:space="preserve"> </w:t>
            </w:r>
            <w:r w:rsidRPr="004A0C12">
              <w:rPr>
                <w:rFonts w:ascii="Garamond" w:eastAsia="Times New Roman" w:hAnsi="Garamond" w:cs="Times New Roman"/>
                <w:b/>
                <w:color w:val="282828"/>
                <w:w w:val="105"/>
              </w:rPr>
              <w:t>State</w:t>
            </w:r>
            <w:r w:rsidRPr="004A0C12">
              <w:rPr>
                <w:rFonts w:ascii="Garamond" w:eastAsia="Times New Roman" w:hAnsi="Garamond" w:cs="Times New Roman"/>
                <w:b/>
                <w:color w:val="282828"/>
                <w:spacing w:val="27"/>
                <w:w w:val="105"/>
              </w:rPr>
              <w:t xml:space="preserve"> </w:t>
            </w:r>
            <w:r w:rsidRPr="004A0C12">
              <w:rPr>
                <w:rFonts w:ascii="Garamond" w:eastAsia="Times New Roman" w:hAnsi="Garamond" w:cs="Times New Roman"/>
                <w:b/>
                <w:color w:val="181818"/>
                <w:w w:val="105"/>
              </w:rPr>
              <w:t>Plan</w:t>
            </w:r>
            <w:r w:rsidRPr="004A0C12">
              <w:rPr>
                <w:rFonts w:ascii="Garamond" w:eastAsia="Times New Roman" w:hAnsi="Garamond" w:cs="Times New Roman"/>
                <w:b/>
                <w:color w:val="181818"/>
                <w:w w:val="109"/>
              </w:rPr>
              <w:t xml:space="preserve"> </w:t>
            </w:r>
            <w:r w:rsidRPr="004A0C12">
              <w:rPr>
                <w:rFonts w:ascii="Garamond" w:eastAsia="Times New Roman" w:hAnsi="Garamond" w:cs="Times New Roman"/>
                <w:b/>
                <w:color w:val="181818"/>
                <w:w w:val="105"/>
              </w:rPr>
              <w:t>and</w:t>
            </w:r>
            <w:r w:rsidRPr="004A0C12">
              <w:rPr>
                <w:rFonts w:ascii="Garamond" w:eastAsia="Times New Roman" w:hAnsi="Garamond" w:cs="Times New Roman"/>
                <w:b/>
                <w:color w:val="181818"/>
                <w:spacing w:val="16"/>
                <w:w w:val="105"/>
              </w:rPr>
              <w:t xml:space="preserve"> </w:t>
            </w:r>
            <w:r w:rsidRPr="004A0C12">
              <w:rPr>
                <w:rFonts w:ascii="Garamond" w:eastAsia="Times New Roman" w:hAnsi="Garamond" w:cs="Times New Roman"/>
                <w:b/>
                <w:color w:val="181818"/>
                <w:w w:val="105"/>
              </w:rPr>
              <w:t>Its</w:t>
            </w:r>
            <w:r w:rsidRPr="004A0C12">
              <w:rPr>
                <w:rFonts w:ascii="Garamond" w:eastAsia="Times New Roman" w:hAnsi="Garamond" w:cs="Times New Roman"/>
                <w:b/>
                <w:color w:val="181818"/>
                <w:spacing w:val="-9"/>
                <w:w w:val="105"/>
              </w:rPr>
              <w:t xml:space="preserve"> </w:t>
            </w:r>
            <w:r w:rsidRPr="004A0C12">
              <w:rPr>
                <w:rFonts w:ascii="Garamond" w:eastAsia="Times New Roman" w:hAnsi="Garamond" w:cs="Times New Roman"/>
                <w:b/>
                <w:color w:val="181818"/>
                <w:w w:val="105"/>
              </w:rPr>
              <w:t>Supplement:</w:t>
            </w:r>
            <w:r w:rsidRPr="004A0C12">
              <w:rPr>
                <w:rFonts w:ascii="Garamond" w:eastAsia="Times New Roman" w:hAnsi="Garamond" w:cs="Times New Roman"/>
                <w:color w:val="181818"/>
                <w:spacing w:val="54"/>
                <w:w w:val="105"/>
              </w:rPr>
              <w:t xml:space="preserve"> </w:t>
            </w:r>
            <w:r w:rsidRPr="004A0C12">
              <w:rPr>
                <w:rFonts w:ascii="Garamond" w:eastAsia="Times New Roman" w:hAnsi="Garamond" w:cs="Times New Roman"/>
                <w:color w:val="282828"/>
                <w:w w:val="105"/>
              </w:rPr>
              <w:t>T</w:t>
            </w:r>
            <w:r w:rsidRPr="004A0C12">
              <w:rPr>
                <w:rFonts w:ascii="Garamond" w:eastAsia="Times New Roman" w:hAnsi="Garamond" w:cs="Times New Roman"/>
                <w:color w:val="282828"/>
                <w:spacing w:val="16"/>
                <w:w w:val="105"/>
              </w:rPr>
              <w:t>h</w:t>
            </w:r>
            <w:r w:rsidRPr="004A0C12">
              <w:rPr>
                <w:rFonts w:ascii="Garamond" w:eastAsia="Times New Roman" w:hAnsi="Garamond" w:cs="Times New Roman"/>
                <w:color w:val="484848"/>
                <w:w w:val="105"/>
              </w:rPr>
              <w:t>e</w:t>
            </w:r>
            <w:r w:rsidRPr="004A0C12">
              <w:rPr>
                <w:rFonts w:ascii="Garamond" w:eastAsia="Times New Roman" w:hAnsi="Garamond" w:cs="Times New Roman"/>
                <w:color w:val="484848"/>
                <w:spacing w:val="-10"/>
                <w:w w:val="105"/>
              </w:rPr>
              <w:t xml:space="preserve"> </w:t>
            </w:r>
            <w:r w:rsidRPr="004A0C12">
              <w:rPr>
                <w:rFonts w:ascii="Garamond" w:eastAsia="Times New Roman" w:hAnsi="Garamond" w:cs="Times New Roman"/>
                <w:color w:val="282828"/>
                <w:w w:val="105"/>
              </w:rPr>
              <w:t>designated</w:t>
            </w:r>
            <w:r w:rsidRPr="004A0C12">
              <w:rPr>
                <w:rFonts w:ascii="Garamond" w:eastAsia="Times New Roman" w:hAnsi="Garamond" w:cs="Times New Roman"/>
                <w:color w:val="282828"/>
                <w:spacing w:val="41"/>
                <w:w w:val="105"/>
              </w:rPr>
              <w:t xml:space="preserve"> </w:t>
            </w:r>
            <w:r w:rsidRPr="004A0C12">
              <w:rPr>
                <w:rFonts w:ascii="Garamond" w:eastAsia="Times New Roman" w:hAnsi="Garamond" w:cs="Times New Roman"/>
                <w:color w:val="181818"/>
                <w:w w:val="105"/>
              </w:rPr>
              <w:t>State</w:t>
            </w:r>
            <w:r w:rsidRPr="004A0C12">
              <w:rPr>
                <w:rFonts w:ascii="Garamond" w:eastAsia="Times New Roman" w:hAnsi="Garamond" w:cs="Times New Roman"/>
                <w:color w:val="181818"/>
                <w:spacing w:val="15"/>
                <w:w w:val="105"/>
              </w:rPr>
              <w:t xml:space="preserve"> </w:t>
            </w:r>
            <w:r w:rsidRPr="004A0C12">
              <w:rPr>
                <w:rFonts w:ascii="Garamond" w:eastAsia="Times New Roman" w:hAnsi="Garamond" w:cs="Times New Roman"/>
                <w:color w:val="181818"/>
                <w:w w:val="105"/>
              </w:rPr>
              <w:t>unit</w:t>
            </w:r>
            <w:r w:rsidRPr="004A0C12">
              <w:rPr>
                <w:rFonts w:ascii="Garamond" w:eastAsia="Times New Roman" w:hAnsi="Garamond" w:cs="Times New Roman"/>
                <w:color w:val="181818"/>
                <w:spacing w:val="6"/>
                <w:w w:val="105"/>
              </w:rPr>
              <w:t xml:space="preserve"> </w:t>
            </w:r>
            <w:r w:rsidRPr="004A0C12">
              <w:rPr>
                <w:rFonts w:ascii="Garamond" w:eastAsia="Times New Roman" w:hAnsi="Garamond" w:cs="Times New Roman"/>
                <w:color w:val="181818"/>
                <w:w w:val="105"/>
              </w:rPr>
              <w:t>assures</w:t>
            </w:r>
            <w:r w:rsidRPr="004A0C12">
              <w:rPr>
                <w:rFonts w:ascii="Garamond" w:eastAsia="Times New Roman" w:hAnsi="Garamond" w:cs="Times New Roman"/>
                <w:color w:val="181818"/>
                <w:spacing w:val="23"/>
                <w:w w:val="105"/>
              </w:rPr>
              <w:t xml:space="preserve"> </w:t>
            </w:r>
            <w:r w:rsidRPr="004A0C12">
              <w:rPr>
                <w:rFonts w:ascii="Garamond" w:eastAsia="Times New Roman" w:hAnsi="Garamond" w:cs="Times New Roman"/>
                <w:color w:val="181818"/>
                <w:w w:val="105"/>
              </w:rPr>
              <w:t>it</w:t>
            </w:r>
            <w:r w:rsidRPr="004A0C12">
              <w:rPr>
                <w:rFonts w:ascii="Garamond" w:eastAsia="Times New Roman" w:hAnsi="Garamond" w:cs="Times New Roman"/>
                <w:color w:val="181818"/>
                <w:spacing w:val="2"/>
                <w:w w:val="105"/>
              </w:rPr>
              <w:t xml:space="preserve"> </w:t>
            </w:r>
            <w:r w:rsidRPr="004A0C12">
              <w:rPr>
                <w:rFonts w:ascii="Garamond" w:eastAsia="Times New Roman" w:hAnsi="Garamond" w:cs="Times New Roman"/>
                <w:color w:val="282828"/>
                <w:w w:val="105"/>
              </w:rPr>
              <w:t>will</w:t>
            </w:r>
            <w:r w:rsidRPr="004A0C12">
              <w:rPr>
                <w:rFonts w:ascii="Garamond" w:eastAsia="Times New Roman" w:hAnsi="Garamond" w:cs="Times New Roman"/>
                <w:color w:val="282828"/>
                <w:spacing w:val="24"/>
                <w:w w:val="105"/>
              </w:rPr>
              <w:t xml:space="preserve"> </w:t>
            </w:r>
            <w:r w:rsidRPr="004A0C12">
              <w:rPr>
                <w:rFonts w:ascii="Garamond" w:eastAsia="Times New Roman" w:hAnsi="Garamond" w:cs="Times New Roman"/>
                <w:color w:val="383838"/>
                <w:w w:val="105"/>
              </w:rPr>
              <w:t>comply</w:t>
            </w:r>
            <w:r w:rsidRPr="004A0C12">
              <w:rPr>
                <w:rFonts w:ascii="Garamond" w:eastAsia="Times New Roman" w:hAnsi="Garamond" w:cs="Times New Roman"/>
                <w:color w:val="383838"/>
                <w:spacing w:val="10"/>
                <w:w w:val="105"/>
              </w:rPr>
              <w:t xml:space="preserve"> </w:t>
            </w:r>
            <w:r w:rsidRPr="004A0C12">
              <w:rPr>
                <w:rFonts w:ascii="Garamond" w:eastAsia="Times New Roman" w:hAnsi="Garamond" w:cs="Times New Roman"/>
                <w:color w:val="282828"/>
                <w:w w:val="105"/>
              </w:rPr>
              <w:t xml:space="preserve">with </w:t>
            </w:r>
            <w:r w:rsidRPr="004A0C12">
              <w:rPr>
                <w:rFonts w:ascii="Garamond" w:eastAsia="Times New Roman" w:hAnsi="Garamond" w:cs="Times New Roman"/>
                <w:color w:val="282828"/>
                <w:spacing w:val="21"/>
                <w:w w:val="105"/>
              </w:rPr>
              <w:t xml:space="preserve"> </w:t>
            </w:r>
            <w:r w:rsidRPr="004A0C12">
              <w:rPr>
                <w:rFonts w:ascii="Garamond" w:eastAsia="Times New Roman" w:hAnsi="Garamond" w:cs="Times New Roman"/>
                <w:color w:val="282828"/>
                <w:w w:val="105"/>
              </w:rPr>
              <w:t>all</w:t>
            </w:r>
            <w:r w:rsidRPr="004A0C12">
              <w:rPr>
                <w:rFonts w:ascii="Garamond" w:eastAsia="Times New Roman" w:hAnsi="Garamond" w:cs="Times New Roman"/>
                <w:color w:val="282828"/>
                <w:w w:val="103"/>
              </w:rPr>
              <w:t xml:space="preserve"> </w:t>
            </w:r>
            <w:r w:rsidRPr="004A0C12">
              <w:rPr>
                <w:rFonts w:ascii="Garamond" w:eastAsia="Times New Roman" w:hAnsi="Garamond" w:cs="Times New Roman"/>
                <w:color w:val="181818"/>
                <w:w w:val="105"/>
              </w:rPr>
              <w:t>requirements</w:t>
            </w:r>
            <w:r w:rsidRPr="004A0C12">
              <w:rPr>
                <w:rFonts w:ascii="Garamond" w:eastAsia="Times New Roman" w:hAnsi="Garamond" w:cs="Times New Roman"/>
                <w:color w:val="181818"/>
                <w:spacing w:val="26"/>
                <w:w w:val="105"/>
              </w:rPr>
              <w:t xml:space="preserve"> </w:t>
            </w:r>
            <w:r w:rsidRPr="004A0C12">
              <w:rPr>
                <w:rFonts w:ascii="Garamond" w:eastAsia="Times New Roman" w:hAnsi="Garamond" w:cs="Times New Roman"/>
                <w:color w:val="282828"/>
                <w:spacing w:val="2"/>
                <w:w w:val="105"/>
              </w:rPr>
              <w:t>p</w:t>
            </w:r>
            <w:r w:rsidRPr="004A0C12">
              <w:rPr>
                <w:rFonts w:ascii="Garamond" w:eastAsia="Times New Roman" w:hAnsi="Garamond" w:cs="Times New Roman"/>
                <w:color w:val="484848"/>
                <w:spacing w:val="2"/>
                <w:w w:val="105"/>
              </w:rPr>
              <w:t>e</w:t>
            </w:r>
            <w:r w:rsidRPr="004A0C12">
              <w:rPr>
                <w:rFonts w:ascii="Garamond" w:eastAsia="Times New Roman" w:hAnsi="Garamond" w:cs="Times New Roman"/>
                <w:color w:val="282828"/>
                <w:w w:val="105"/>
              </w:rPr>
              <w:t>rtaining</w:t>
            </w:r>
            <w:r w:rsidRPr="004A0C12">
              <w:rPr>
                <w:rFonts w:ascii="Garamond" w:eastAsia="Times New Roman" w:hAnsi="Garamond" w:cs="Times New Roman"/>
                <w:color w:val="282828"/>
                <w:spacing w:val="-4"/>
                <w:w w:val="105"/>
              </w:rPr>
              <w:t xml:space="preserve"> </w:t>
            </w:r>
            <w:r w:rsidRPr="004A0C12">
              <w:rPr>
                <w:rFonts w:ascii="Garamond" w:eastAsia="Times New Roman" w:hAnsi="Garamond" w:cs="Times New Roman"/>
                <w:color w:val="383838"/>
                <w:w w:val="105"/>
              </w:rPr>
              <w:t>to</w:t>
            </w:r>
            <w:r w:rsidRPr="004A0C12">
              <w:rPr>
                <w:rFonts w:ascii="Garamond" w:eastAsia="Times New Roman" w:hAnsi="Garamond" w:cs="Times New Roman"/>
                <w:color w:val="383838"/>
                <w:spacing w:val="9"/>
                <w:w w:val="105"/>
              </w:rPr>
              <w:t xml:space="preserve"> </w:t>
            </w: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4"/>
                <w:w w:val="105"/>
              </w:rPr>
              <w:t xml:space="preserve"> </w:t>
            </w:r>
            <w:r w:rsidRPr="004A0C12">
              <w:rPr>
                <w:rFonts w:ascii="Garamond" w:eastAsia="Times New Roman" w:hAnsi="Garamond" w:cs="Times New Roman"/>
                <w:color w:val="282828"/>
                <w:w w:val="105"/>
              </w:rPr>
              <w:t>submission</w:t>
            </w:r>
            <w:r w:rsidRPr="004A0C12">
              <w:rPr>
                <w:rFonts w:ascii="Garamond" w:eastAsia="Times New Roman" w:hAnsi="Garamond" w:cs="Times New Roman"/>
                <w:color w:val="282828"/>
                <w:spacing w:val="4"/>
                <w:w w:val="105"/>
              </w:rPr>
              <w:t xml:space="preserve"> </w:t>
            </w:r>
            <w:r w:rsidRPr="004A0C12">
              <w:rPr>
                <w:rFonts w:ascii="Garamond" w:eastAsia="Times New Roman" w:hAnsi="Garamond" w:cs="Times New Roman"/>
                <w:color w:val="181818"/>
                <w:w w:val="105"/>
              </w:rPr>
              <w:t>and</w:t>
            </w:r>
            <w:r w:rsidRPr="004A0C12">
              <w:rPr>
                <w:rFonts w:ascii="Garamond" w:eastAsia="Times New Roman" w:hAnsi="Garamond" w:cs="Times New Roman"/>
                <w:color w:val="181818"/>
                <w:spacing w:val="15"/>
                <w:w w:val="105"/>
              </w:rPr>
              <w:t xml:space="preserve"> </w:t>
            </w:r>
            <w:r w:rsidRPr="004A0C12">
              <w:rPr>
                <w:rFonts w:ascii="Garamond" w:eastAsia="Times New Roman" w:hAnsi="Garamond" w:cs="Times New Roman"/>
                <w:color w:val="181818"/>
                <w:w w:val="105"/>
              </w:rPr>
              <w:t>revisions</w:t>
            </w:r>
            <w:r w:rsidRPr="004A0C12">
              <w:rPr>
                <w:rFonts w:ascii="Garamond" w:eastAsia="Times New Roman" w:hAnsi="Garamond" w:cs="Times New Roman"/>
                <w:color w:val="181818"/>
                <w:spacing w:val="11"/>
                <w:w w:val="105"/>
              </w:rPr>
              <w:t xml:space="preserve"> </w:t>
            </w:r>
            <w:r w:rsidRPr="004A0C12">
              <w:rPr>
                <w:rFonts w:ascii="Garamond" w:eastAsia="Times New Roman" w:hAnsi="Garamond" w:cs="Times New Roman"/>
                <w:color w:val="282828"/>
                <w:w w:val="105"/>
              </w:rPr>
              <w:t>of</w:t>
            </w:r>
            <w:r w:rsidRPr="004A0C12">
              <w:rPr>
                <w:rFonts w:ascii="Garamond" w:eastAsia="Times New Roman" w:hAnsi="Garamond" w:cs="Times New Roman"/>
                <w:color w:val="282828"/>
                <w:spacing w:val="-3"/>
                <w:w w:val="105"/>
              </w:rPr>
              <w:t xml:space="preserve"> </w:t>
            </w:r>
            <w:r w:rsidRPr="004A0C12">
              <w:rPr>
                <w:rFonts w:ascii="Garamond" w:eastAsia="Times New Roman" w:hAnsi="Garamond" w:cs="Times New Roman"/>
                <w:color w:val="282828"/>
                <w:w w:val="105"/>
              </w:rPr>
              <w:t>t</w:t>
            </w:r>
            <w:r w:rsidRPr="004A0C12">
              <w:rPr>
                <w:rFonts w:ascii="Garamond" w:eastAsia="Times New Roman" w:hAnsi="Garamond" w:cs="Times New Roman"/>
                <w:color w:val="282828"/>
                <w:spacing w:val="8"/>
                <w:w w:val="105"/>
              </w:rPr>
              <w:t>h</w:t>
            </w:r>
            <w:r w:rsidRPr="004A0C12">
              <w:rPr>
                <w:rFonts w:ascii="Garamond" w:eastAsia="Times New Roman" w:hAnsi="Garamond" w:cs="Times New Roman"/>
                <w:color w:val="484848"/>
                <w:w w:val="105"/>
              </w:rPr>
              <w:t>e</w:t>
            </w:r>
            <w:r w:rsidRPr="004A0C12">
              <w:rPr>
                <w:rFonts w:ascii="Garamond" w:eastAsia="Times New Roman" w:hAnsi="Garamond" w:cs="Times New Roman"/>
                <w:color w:val="484848"/>
                <w:spacing w:val="-9"/>
                <w:w w:val="105"/>
              </w:rPr>
              <w:t xml:space="preserve"> </w:t>
            </w:r>
            <w:r w:rsidRPr="004A0C12">
              <w:rPr>
                <w:rFonts w:ascii="Garamond" w:eastAsia="Times New Roman" w:hAnsi="Garamond" w:cs="Times New Roman"/>
                <w:color w:val="282828"/>
                <w:w w:val="105"/>
              </w:rPr>
              <w:t>VR</w:t>
            </w:r>
            <w:r w:rsidRPr="004A0C12">
              <w:rPr>
                <w:rFonts w:ascii="Garamond" w:eastAsia="Times New Roman" w:hAnsi="Garamond" w:cs="Times New Roman"/>
                <w:color w:val="282828"/>
                <w:spacing w:val="5"/>
                <w:w w:val="105"/>
              </w:rPr>
              <w:t xml:space="preserve"> </w:t>
            </w:r>
            <w:r w:rsidRPr="004A0C12">
              <w:rPr>
                <w:rFonts w:ascii="Garamond" w:eastAsia="Times New Roman" w:hAnsi="Garamond" w:cs="Times New Roman"/>
                <w:color w:val="383838"/>
                <w:w w:val="105"/>
              </w:rPr>
              <w:t>services</w:t>
            </w:r>
            <w:r w:rsidRPr="004A0C12">
              <w:rPr>
                <w:rFonts w:ascii="Garamond" w:eastAsia="Times New Roman" w:hAnsi="Garamond" w:cs="Times New Roman"/>
                <w:color w:val="383838"/>
                <w:spacing w:val="-2"/>
                <w:w w:val="105"/>
              </w:rPr>
              <w:t xml:space="preserve"> </w:t>
            </w:r>
            <w:r w:rsidRPr="004A0C12">
              <w:rPr>
                <w:rFonts w:ascii="Garamond" w:eastAsia="Times New Roman" w:hAnsi="Garamond" w:cs="Times New Roman"/>
                <w:color w:val="282828"/>
                <w:w w:val="105"/>
              </w:rPr>
              <w:t>portion</w:t>
            </w:r>
            <w:r w:rsidRPr="004A0C12">
              <w:rPr>
                <w:rFonts w:ascii="Garamond" w:eastAsia="Times New Roman" w:hAnsi="Garamond" w:cs="Times New Roman"/>
                <w:color w:val="282828"/>
                <w:w w:val="106"/>
              </w:rPr>
              <w:t xml:space="preserve"> </w:t>
            </w:r>
            <w:r w:rsidRPr="004A0C12">
              <w:rPr>
                <w:rFonts w:ascii="Garamond" w:eastAsia="Times New Roman" w:hAnsi="Garamond" w:cs="Times New Roman"/>
                <w:color w:val="181818"/>
                <w:w w:val="105"/>
              </w:rPr>
              <w:t>of</w:t>
            </w:r>
            <w:r w:rsidRPr="004A0C12">
              <w:rPr>
                <w:rFonts w:ascii="Garamond" w:eastAsia="Times New Roman" w:hAnsi="Garamond" w:cs="Times New Roman"/>
                <w:color w:val="181818"/>
                <w:spacing w:val="-15"/>
                <w:w w:val="105"/>
              </w:rPr>
              <w:t xml:space="preserve"> </w:t>
            </w:r>
            <w:r w:rsidRPr="004A0C12">
              <w:rPr>
                <w:rFonts w:ascii="Garamond" w:eastAsia="Times New Roman" w:hAnsi="Garamond" w:cs="Times New Roman"/>
                <w:color w:val="282828"/>
                <w:w w:val="105"/>
              </w:rPr>
              <w:t xml:space="preserve">the </w:t>
            </w:r>
            <w:r w:rsidRPr="004A0C12">
              <w:rPr>
                <w:rFonts w:ascii="Garamond" w:eastAsia="Times New Roman" w:hAnsi="Garamond" w:cs="Times New Roman"/>
                <w:color w:val="181818"/>
                <w:w w:val="105"/>
              </w:rPr>
              <w:t>Unified</w:t>
            </w:r>
            <w:r w:rsidRPr="004A0C12">
              <w:rPr>
                <w:rFonts w:ascii="Garamond" w:eastAsia="Times New Roman" w:hAnsi="Garamond" w:cs="Times New Roman"/>
                <w:color w:val="181818"/>
                <w:spacing w:val="16"/>
                <w:w w:val="105"/>
              </w:rPr>
              <w:t xml:space="preserve"> </w:t>
            </w:r>
            <w:r w:rsidRPr="004A0C12">
              <w:rPr>
                <w:rFonts w:ascii="Garamond" w:eastAsia="Times New Roman" w:hAnsi="Garamond" w:cs="Times New Roman"/>
                <w:color w:val="383838"/>
                <w:w w:val="105"/>
              </w:rPr>
              <w:t>or</w:t>
            </w:r>
            <w:r w:rsidRPr="004A0C12">
              <w:rPr>
                <w:rFonts w:ascii="Garamond" w:eastAsia="Times New Roman" w:hAnsi="Garamond" w:cs="Times New Roman"/>
                <w:color w:val="383838"/>
                <w:spacing w:val="-8"/>
                <w:w w:val="105"/>
              </w:rPr>
              <w:t xml:space="preserve"> </w:t>
            </w:r>
            <w:r w:rsidRPr="004A0C12">
              <w:rPr>
                <w:rFonts w:ascii="Garamond" w:eastAsia="Times New Roman" w:hAnsi="Garamond" w:cs="Times New Roman"/>
                <w:color w:val="383838"/>
                <w:w w:val="105"/>
              </w:rPr>
              <w:t>Combined</w:t>
            </w:r>
            <w:r w:rsidRPr="004A0C12">
              <w:rPr>
                <w:rFonts w:ascii="Garamond" w:eastAsia="Times New Roman" w:hAnsi="Garamond" w:cs="Times New Roman"/>
                <w:color w:val="383838"/>
                <w:spacing w:val="60"/>
                <w:w w:val="105"/>
              </w:rPr>
              <w:t xml:space="preserve"> </w:t>
            </w:r>
            <w:r w:rsidRPr="004A0C12">
              <w:rPr>
                <w:rFonts w:ascii="Garamond" w:eastAsia="Times New Roman" w:hAnsi="Garamond" w:cs="Times New Roman"/>
                <w:color w:val="282828"/>
                <w:w w:val="105"/>
              </w:rPr>
              <w:t>State</w:t>
            </w:r>
            <w:r w:rsidRPr="004A0C12">
              <w:rPr>
                <w:rFonts w:ascii="Garamond" w:eastAsia="Times New Roman" w:hAnsi="Garamond" w:cs="Times New Roman"/>
                <w:color w:val="282828"/>
                <w:spacing w:val="-9"/>
                <w:w w:val="105"/>
              </w:rPr>
              <w:t xml:space="preserve"> </w:t>
            </w:r>
            <w:r w:rsidRPr="004A0C12">
              <w:rPr>
                <w:rFonts w:ascii="Garamond" w:eastAsia="Times New Roman" w:hAnsi="Garamond" w:cs="Times New Roman"/>
                <w:color w:val="181818"/>
                <w:w w:val="105"/>
              </w:rPr>
              <w:t>Plan</w:t>
            </w:r>
            <w:r w:rsidRPr="004A0C12">
              <w:rPr>
                <w:rFonts w:ascii="Garamond" w:eastAsia="Times New Roman" w:hAnsi="Garamond" w:cs="Times New Roman"/>
                <w:color w:val="181818"/>
                <w:spacing w:val="-2"/>
                <w:w w:val="105"/>
              </w:rPr>
              <w:t xml:space="preserve"> </w:t>
            </w:r>
            <w:r w:rsidRPr="004A0C12">
              <w:rPr>
                <w:rFonts w:ascii="Garamond" w:eastAsia="Times New Roman" w:hAnsi="Garamond" w:cs="Times New Roman"/>
                <w:color w:val="282828"/>
                <w:w w:val="105"/>
              </w:rPr>
              <w:t>and</w:t>
            </w:r>
            <w:r w:rsidRPr="004A0C12">
              <w:rPr>
                <w:rFonts w:ascii="Garamond" w:eastAsia="Times New Roman" w:hAnsi="Garamond" w:cs="Times New Roman"/>
                <w:color w:val="282828"/>
                <w:spacing w:val="2"/>
                <w:w w:val="105"/>
              </w:rPr>
              <w:t xml:space="preserve"> </w:t>
            </w:r>
            <w:r w:rsidRPr="004A0C12">
              <w:rPr>
                <w:rFonts w:ascii="Garamond" w:eastAsia="Times New Roman" w:hAnsi="Garamond" w:cs="Times New Roman"/>
                <w:color w:val="181818"/>
                <w:w w:val="105"/>
              </w:rPr>
              <w:t>its</w:t>
            </w:r>
            <w:r w:rsidRPr="004A0C12">
              <w:rPr>
                <w:rFonts w:ascii="Garamond" w:eastAsia="Times New Roman" w:hAnsi="Garamond" w:cs="Times New Roman"/>
                <w:color w:val="181818"/>
                <w:spacing w:val="-10"/>
                <w:w w:val="105"/>
              </w:rPr>
              <w:t xml:space="preserve"> </w:t>
            </w:r>
            <w:r w:rsidRPr="004A0C12">
              <w:rPr>
                <w:rFonts w:ascii="Garamond" w:eastAsia="Times New Roman" w:hAnsi="Garamond" w:cs="Times New Roman"/>
                <w:color w:val="181818"/>
                <w:w w:val="105"/>
              </w:rPr>
              <w:t>supplement</w:t>
            </w:r>
            <w:r w:rsidRPr="004A0C12">
              <w:rPr>
                <w:rFonts w:ascii="Garamond" w:eastAsia="Times New Roman" w:hAnsi="Garamond" w:cs="Times New Roman"/>
                <w:color w:val="181818"/>
                <w:spacing w:val="9"/>
                <w:w w:val="105"/>
              </w:rPr>
              <w:t xml:space="preserve"> </w:t>
            </w:r>
            <w:r w:rsidRPr="004A0C12">
              <w:rPr>
                <w:rFonts w:ascii="Garamond" w:eastAsia="Times New Roman" w:hAnsi="Garamond" w:cs="Times New Roman"/>
                <w:color w:val="282828"/>
                <w:w w:val="105"/>
              </w:rPr>
              <w:t>for</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282828"/>
                <w:w w:val="105"/>
              </w:rPr>
              <w:t>t</w:t>
            </w:r>
            <w:r w:rsidRPr="004A0C12">
              <w:rPr>
                <w:rFonts w:ascii="Garamond" w:eastAsia="Times New Roman" w:hAnsi="Garamond" w:cs="Times New Roman"/>
                <w:color w:val="282828"/>
                <w:spacing w:val="8"/>
                <w:w w:val="105"/>
              </w:rPr>
              <w:t>h</w:t>
            </w:r>
            <w:r w:rsidRPr="004A0C12">
              <w:rPr>
                <w:rFonts w:ascii="Garamond" w:eastAsia="Times New Roman" w:hAnsi="Garamond" w:cs="Times New Roman"/>
                <w:color w:val="484848"/>
                <w:w w:val="105"/>
              </w:rPr>
              <w:t>e</w:t>
            </w:r>
            <w:r w:rsidRPr="004A0C12">
              <w:rPr>
                <w:rFonts w:ascii="Garamond" w:eastAsia="Times New Roman" w:hAnsi="Garamond" w:cs="Times New Roman"/>
                <w:color w:val="484848"/>
                <w:spacing w:val="-11"/>
                <w:w w:val="105"/>
              </w:rPr>
              <w:t xml:space="preserve"> </w:t>
            </w:r>
            <w:r w:rsidRPr="004A0C12">
              <w:rPr>
                <w:rFonts w:ascii="Garamond" w:eastAsia="Times New Roman" w:hAnsi="Garamond" w:cs="Times New Roman"/>
                <w:color w:val="383838"/>
                <w:w w:val="105"/>
              </w:rPr>
              <w:t>State</w:t>
            </w:r>
            <w:r w:rsidRPr="004A0C12">
              <w:rPr>
                <w:rFonts w:ascii="Garamond" w:eastAsia="Times New Roman" w:hAnsi="Garamond" w:cs="Times New Roman"/>
                <w:color w:val="383838"/>
                <w:spacing w:val="-19"/>
                <w:w w:val="105"/>
              </w:rPr>
              <w:t xml:space="preserve"> </w:t>
            </w:r>
            <w:r w:rsidRPr="004A0C12">
              <w:rPr>
                <w:rFonts w:ascii="Garamond" w:eastAsia="Times New Roman" w:hAnsi="Garamond" w:cs="Times New Roman"/>
                <w:color w:val="484848"/>
                <w:spacing w:val="3"/>
                <w:w w:val="105"/>
              </w:rPr>
              <w:t>S</w:t>
            </w:r>
            <w:r w:rsidRPr="004A0C12">
              <w:rPr>
                <w:rFonts w:ascii="Garamond" w:eastAsia="Times New Roman" w:hAnsi="Garamond" w:cs="Times New Roman"/>
                <w:color w:val="282828"/>
                <w:w w:val="105"/>
              </w:rPr>
              <w:t>upported</w:t>
            </w:r>
            <w:r w:rsidRPr="004A0C12">
              <w:rPr>
                <w:rFonts w:ascii="Garamond" w:eastAsia="Times New Roman" w:hAnsi="Garamond" w:cs="Times New Roman"/>
                <w:color w:val="282828"/>
                <w:w w:val="106"/>
              </w:rPr>
              <w:t xml:space="preserve"> </w:t>
            </w:r>
            <w:r w:rsidRPr="004A0C12">
              <w:rPr>
                <w:rFonts w:ascii="Garamond" w:eastAsia="Times New Roman" w:hAnsi="Garamond" w:cs="Times New Roman"/>
                <w:color w:val="181818"/>
                <w:w w:val="105"/>
              </w:rPr>
              <w:t>Employment</w:t>
            </w:r>
            <w:r w:rsidRPr="004A0C12">
              <w:rPr>
                <w:rFonts w:ascii="Garamond" w:eastAsia="Times New Roman" w:hAnsi="Garamond" w:cs="Times New Roman"/>
                <w:color w:val="181818"/>
                <w:spacing w:val="11"/>
                <w:w w:val="105"/>
              </w:rPr>
              <w:t xml:space="preserve"> </w:t>
            </w:r>
            <w:r w:rsidRPr="004A0C12">
              <w:rPr>
                <w:rFonts w:ascii="Garamond" w:eastAsia="Times New Roman" w:hAnsi="Garamond" w:cs="Times New Roman"/>
                <w:color w:val="383838"/>
                <w:w w:val="105"/>
              </w:rPr>
              <w:t>Services</w:t>
            </w:r>
            <w:r w:rsidRPr="004A0C12">
              <w:rPr>
                <w:rFonts w:ascii="Garamond" w:eastAsia="Times New Roman" w:hAnsi="Garamond" w:cs="Times New Roman"/>
                <w:color w:val="383838"/>
                <w:spacing w:val="8"/>
                <w:w w:val="105"/>
              </w:rPr>
              <w:t xml:space="preserve"> </w:t>
            </w:r>
            <w:r w:rsidRPr="004A0C12">
              <w:rPr>
                <w:rFonts w:ascii="Garamond" w:eastAsia="Times New Roman" w:hAnsi="Garamond" w:cs="Times New Roman"/>
                <w:color w:val="383838"/>
                <w:w w:val="105"/>
              </w:rPr>
              <w:t>program,</w:t>
            </w:r>
            <w:r w:rsidRPr="004A0C12">
              <w:rPr>
                <w:rFonts w:ascii="Garamond" w:eastAsia="Times New Roman" w:hAnsi="Garamond" w:cs="Times New Roman"/>
                <w:color w:val="383838"/>
                <w:spacing w:val="24"/>
                <w:w w:val="105"/>
              </w:rPr>
              <w:t xml:space="preserve"> </w:t>
            </w:r>
            <w:r w:rsidRPr="004A0C12">
              <w:rPr>
                <w:rFonts w:ascii="Garamond" w:eastAsia="Times New Roman" w:hAnsi="Garamond" w:cs="Times New Roman"/>
                <w:color w:val="282828"/>
                <w:w w:val="105"/>
              </w:rPr>
              <w:t>as</w:t>
            </w:r>
            <w:r w:rsidRPr="004A0C12">
              <w:rPr>
                <w:rFonts w:ascii="Garamond" w:eastAsia="Times New Roman" w:hAnsi="Garamond" w:cs="Times New Roman"/>
                <w:color w:val="282828"/>
                <w:spacing w:val="-11"/>
                <w:w w:val="105"/>
              </w:rPr>
              <w:t xml:space="preserve"> </w:t>
            </w:r>
            <w:r w:rsidRPr="004A0C12">
              <w:rPr>
                <w:rFonts w:ascii="Garamond" w:eastAsia="Times New Roman" w:hAnsi="Garamond" w:cs="Times New Roman"/>
                <w:color w:val="282828"/>
                <w:w w:val="105"/>
              </w:rPr>
              <w:t>required</w:t>
            </w:r>
            <w:r w:rsidRPr="004A0C12">
              <w:rPr>
                <w:rFonts w:ascii="Garamond" w:eastAsia="Times New Roman" w:hAnsi="Garamond" w:cs="Times New Roman"/>
                <w:color w:val="282828"/>
                <w:spacing w:val="32"/>
                <w:w w:val="105"/>
              </w:rPr>
              <w:t xml:space="preserve"> </w:t>
            </w:r>
            <w:r w:rsidRPr="004A0C12">
              <w:rPr>
                <w:rFonts w:ascii="Garamond" w:eastAsia="Times New Roman" w:hAnsi="Garamond" w:cs="Times New Roman"/>
                <w:color w:val="181818"/>
                <w:w w:val="105"/>
              </w:rPr>
              <w:t>by</w:t>
            </w:r>
            <w:r w:rsidRPr="004A0C12">
              <w:rPr>
                <w:rFonts w:ascii="Garamond" w:eastAsia="Times New Roman" w:hAnsi="Garamond" w:cs="Times New Roman"/>
                <w:color w:val="181818"/>
                <w:spacing w:val="-1"/>
                <w:w w:val="105"/>
              </w:rPr>
              <w:t xml:space="preserve"> </w:t>
            </w:r>
            <w:r w:rsidRPr="004A0C12">
              <w:rPr>
                <w:rFonts w:ascii="Garamond" w:eastAsia="Times New Roman" w:hAnsi="Garamond" w:cs="Times New Roman"/>
                <w:color w:val="282828"/>
                <w:w w:val="105"/>
              </w:rPr>
              <w:t>sections</w:t>
            </w:r>
            <w:r w:rsidRPr="004A0C12">
              <w:rPr>
                <w:rFonts w:ascii="Garamond" w:eastAsia="Times New Roman" w:hAnsi="Garamond" w:cs="Times New Roman"/>
                <w:color w:val="282828"/>
                <w:spacing w:val="21"/>
                <w:w w:val="105"/>
              </w:rPr>
              <w:t xml:space="preserve"> </w:t>
            </w:r>
            <w:r w:rsidRPr="004A0C12">
              <w:rPr>
                <w:rFonts w:ascii="Garamond" w:eastAsia="Times New Roman" w:hAnsi="Garamond" w:cs="Times New Roman"/>
                <w:color w:val="282828"/>
                <w:w w:val="105"/>
              </w:rPr>
              <w:t>101(a)(1),</w:t>
            </w:r>
            <w:r w:rsidRPr="004A0C12">
              <w:rPr>
                <w:rFonts w:ascii="Garamond" w:eastAsia="Times New Roman" w:hAnsi="Garamond" w:cs="Times New Roman"/>
                <w:color w:val="282828"/>
                <w:spacing w:val="-1"/>
                <w:w w:val="105"/>
              </w:rPr>
              <w:t xml:space="preserve"> </w:t>
            </w:r>
            <w:r w:rsidRPr="004A0C12">
              <w:rPr>
                <w:rFonts w:ascii="Garamond" w:eastAsia="Times New Roman" w:hAnsi="Garamond" w:cs="Times New Roman"/>
                <w:color w:val="383838"/>
                <w:w w:val="105"/>
              </w:rPr>
              <w:t>(22),</w:t>
            </w:r>
            <w:r w:rsidRPr="004A0C12">
              <w:rPr>
                <w:rFonts w:ascii="Garamond" w:eastAsia="Times New Roman" w:hAnsi="Garamond" w:cs="Times New Roman"/>
                <w:color w:val="383838"/>
                <w:spacing w:val="9"/>
                <w:w w:val="105"/>
              </w:rPr>
              <w:t xml:space="preserve"> </w:t>
            </w:r>
            <w:r w:rsidRPr="004A0C12">
              <w:rPr>
                <w:rFonts w:ascii="Garamond" w:eastAsia="Times New Roman" w:hAnsi="Garamond" w:cs="Times New Roman"/>
                <w:color w:val="282828"/>
                <w:w w:val="105"/>
              </w:rPr>
              <w:t>(23),</w:t>
            </w:r>
            <w:r w:rsidRPr="004A0C12">
              <w:rPr>
                <w:rFonts w:ascii="Garamond" w:eastAsia="Times New Roman" w:hAnsi="Garamond" w:cs="Times New Roman"/>
                <w:color w:val="282828"/>
                <w:spacing w:val="-15"/>
                <w:w w:val="105"/>
              </w:rPr>
              <w:t xml:space="preserve"> </w:t>
            </w:r>
            <w:r w:rsidRPr="004A0C12">
              <w:rPr>
                <w:rFonts w:ascii="Garamond" w:eastAsia="Times New Roman" w:hAnsi="Garamond" w:cs="Times New Roman"/>
                <w:color w:val="282828"/>
                <w:w w:val="105"/>
              </w:rPr>
              <w:t>and</w:t>
            </w:r>
            <w:r w:rsidRPr="004A0C12">
              <w:rPr>
                <w:rFonts w:ascii="Garamond" w:eastAsia="Times New Roman" w:hAnsi="Garamond" w:cs="Times New Roman"/>
                <w:color w:val="282828"/>
                <w:w w:val="108"/>
              </w:rPr>
              <w:t xml:space="preserve"> </w:t>
            </w:r>
            <w:r w:rsidRPr="004A0C12">
              <w:rPr>
                <w:rFonts w:ascii="Garamond" w:eastAsia="Times New Roman" w:hAnsi="Garamond" w:cs="Times New Roman"/>
                <w:color w:val="282828"/>
                <w:w w:val="105"/>
              </w:rPr>
              <w:t>606(a)</w:t>
            </w:r>
            <w:r w:rsidRPr="004A0C12">
              <w:rPr>
                <w:rFonts w:ascii="Garamond" w:eastAsia="Times New Roman" w:hAnsi="Garamond" w:cs="Times New Roman"/>
                <w:color w:val="282828"/>
                <w:spacing w:val="-3"/>
                <w:w w:val="105"/>
              </w:rPr>
              <w:t xml:space="preserve"> </w:t>
            </w:r>
            <w:r w:rsidRPr="004A0C12">
              <w:rPr>
                <w:rFonts w:ascii="Garamond" w:eastAsia="Times New Roman" w:hAnsi="Garamond" w:cs="Times New Roman"/>
                <w:color w:val="282828"/>
                <w:w w:val="105"/>
              </w:rPr>
              <w:t>of</w:t>
            </w:r>
            <w:r w:rsidRPr="004A0C12">
              <w:rPr>
                <w:rFonts w:ascii="Garamond" w:eastAsia="Times New Roman" w:hAnsi="Garamond" w:cs="Times New Roman"/>
                <w:color w:val="282828"/>
                <w:spacing w:val="-3"/>
                <w:w w:val="105"/>
              </w:rPr>
              <w:t xml:space="preserve"> </w:t>
            </w: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15"/>
                <w:w w:val="105"/>
              </w:rPr>
              <w:t xml:space="preserve"> </w:t>
            </w:r>
            <w:r w:rsidRPr="004A0C12">
              <w:rPr>
                <w:rFonts w:ascii="Garamond" w:eastAsia="Times New Roman" w:hAnsi="Garamond" w:cs="Times New Roman"/>
                <w:color w:val="383838"/>
                <w:w w:val="105"/>
              </w:rPr>
              <w:t>Rehabilitation</w:t>
            </w:r>
            <w:r w:rsidRPr="004A0C12">
              <w:rPr>
                <w:rFonts w:ascii="Garamond" w:eastAsia="Times New Roman" w:hAnsi="Garamond" w:cs="Times New Roman"/>
                <w:color w:val="383838"/>
                <w:spacing w:val="2"/>
                <w:w w:val="105"/>
              </w:rPr>
              <w:t xml:space="preserve"> </w:t>
            </w:r>
            <w:r w:rsidRPr="004A0C12">
              <w:rPr>
                <w:rFonts w:ascii="Garamond" w:eastAsia="Times New Roman" w:hAnsi="Garamond" w:cs="Times New Roman"/>
                <w:color w:val="282828"/>
                <w:w w:val="105"/>
              </w:rPr>
              <w:t>Act;</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282828"/>
                <w:w w:val="105"/>
              </w:rPr>
              <w:t>section</w:t>
            </w:r>
            <w:r w:rsidRPr="004A0C12">
              <w:rPr>
                <w:rFonts w:ascii="Garamond" w:eastAsia="Times New Roman" w:hAnsi="Garamond" w:cs="Times New Roman"/>
                <w:color w:val="282828"/>
                <w:spacing w:val="-3"/>
                <w:w w:val="105"/>
              </w:rPr>
              <w:t xml:space="preserve"> </w:t>
            </w:r>
            <w:r w:rsidRPr="004A0C12">
              <w:rPr>
                <w:rFonts w:ascii="Garamond" w:eastAsia="Times New Roman" w:hAnsi="Garamond" w:cs="Times New Roman"/>
                <w:color w:val="181818"/>
                <w:w w:val="105"/>
              </w:rPr>
              <w:t>102</w:t>
            </w:r>
            <w:r w:rsidRPr="004A0C12">
              <w:rPr>
                <w:rFonts w:ascii="Garamond" w:eastAsia="Times New Roman" w:hAnsi="Garamond" w:cs="Times New Roman"/>
                <w:color w:val="181818"/>
                <w:spacing w:val="-25"/>
                <w:w w:val="105"/>
              </w:rPr>
              <w:t xml:space="preserve"> </w:t>
            </w:r>
            <w:r w:rsidRPr="004A0C12">
              <w:rPr>
                <w:rFonts w:ascii="Garamond" w:eastAsia="Times New Roman" w:hAnsi="Garamond" w:cs="Times New Roman"/>
                <w:color w:val="282828"/>
                <w:w w:val="105"/>
              </w:rPr>
              <w:t>of</w:t>
            </w:r>
            <w:r w:rsidRPr="004A0C12">
              <w:rPr>
                <w:rFonts w:ascii="Garamond" w:eastAsia="Times New Roman" w:hAnsi="Garamond" w:cs="Times New Roman"/>
                <w:color w:val="282828"/>
                <w:spacing w:val="-11"/>
                <w:w w:val="105"/>
              </w:rPr>
              <w:t xml:space="preserve"> </w:t>
            </w:r>
            <w:r w:rsidRPr="004A0C12">
              <w:rPr>
                <w:rFonts w:ascii="Garamond" w:eastAsia="Times New Roman" w:hAnsi="Garamond" w:cs="Times New Roman"/>
                <w:color w:val="282828"/>
                <w:w w:val="105"/>
              </w:rPr>
              <w:t>WIOA</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282828"/>
                <w:w w:val="105"/>
              </w:rPr>
              <w:t>in</w:t>
            </w:r>
            <w:r w:rsidRPr="004A0C12">
              <w:rPr>
                <w:rFonts w:ascii="Garamond" w:eastAsia="Times New Roman" w:hAnsi="Garamond" w:cs="Times New Roman"/>
                <w:color w:val="282828"/>
                <w:spacing w:val="-16"/>
                <w:w w:val="105"/>
              </w:rPr>
              <w:t xml:space="preserve"> </w:t>
            </w: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7"/>
                <w:w w:val="105"/>
              </w:rPr>
              <w:t xml:space="preserve"> </w:t>
            </w:r>
            <w:r w:rsidRPr="004A0C12">
              <w:rPr>
                <w:rFonts w:ascii="Garamond" w:eastAsia="Times New Roman" w:hAnsi="Garamond" w:cs="Times New Roman"/>
                <w:color w:val="383838"/>
                <w:w w:val="105"/>
              </w:rPr>
              <w:t>case</w:t>
            </w:r>
            <w:r w:rsidRPr="004A0C12">
              <w:rPr>
                <w:rFonts w:ascii="Garamond" w:eastAsia="Times New Roman" w:hAnsi="Garamond" w:cs="Times New Roman"/>
                <w:color w:val="383838"/>
                <w:spacing w:val="-10"/>
                <w:w w:val="105"/>
              </w:rPr>
              <w:t xml:space="preserve"> </w:t>
            </w:r>
            <w:r w:rsidRPr="004A0C12">
              <w:rPr>
                <w:rFonts w:ascii="Garamond" w:eastAsia="Times New Roman" w:hAnsi="Garamond" w:cs="Times New Roman"/>
                <w:color w:val="484848"/>
                <w:w w:val="105"/>
              </w:rPr>
              <w:t>of</w:t>
            </w:r>
            <w:r w:rsidRPr="004A0C12">
              <w:rPr>
                <w:rFonts w:ascii="Garamond" w:eastAsia="Times New Roman" w:hAnsi="Garamond" w:cs="Times New Roman"/>
                <w:color w:val="484848"/>
                <w:spacing w:val="-2"/>
                <w:w w:val="105"/>
              </w:rPr>
              <w:t xml:space="preserve"> t</w:t>
            </w:r>
            <w:r w:rsidRPr="004A0C12">
              <w:rPr>
                <w:rFonts w:ascii="Garamond" w:eastAsia="Times New Roman" w:hAnsi="Garamond" w:cs="Times New Roman"/>
                <w:color w:val="282828"/>
                <w:spacing w:val="8"/>
                <w:w w:val="105"/>
              </w:rPr>
              <w:t>h</w:t>
            </w:r>
            <w:r w:rsidRPr="004A0C12">
              <w:rPr>
                <w:rFonts w:ascii="Garamond" w:eastAsia="Times New Roman" w:hAnsi="Garamond" w:cs="Times New Roman"/>
                <w:color w:val="484848"/>
                <w:w w:val="105"/>
              </w:rPr>
              <w:t>e</w:t>
            </w:r>
            <w:r w:rsidRPr="004A0C12">
              <w:rPr>
                <w:rFonts w:ascii="Garamond" w:eastAsia="Times New Roman" w:hAnsi="Garamond" w:cs="Times New Roman"/>
                <w:color w:val="484848"/>
                <w:spacing w:val="-17"/>
                <w:w w:val="105"/>
              </w:rPr>
              <w:t xml:space="preserve"> </w:t>
            </w:r>
            <w:r w:rsidRPr="004A0C12">
              <w:rPr>
                <w:rFonts w:ascii="Garamond" w:eastAsia="Times New Roman" w:hAnsi="Garamond" w:cs="Times New Roman"/>
                <w:color w:val="484848"/>
                <w:w w:val="105"/>
              </w:rPr>
              <w:t>sub</w:t>
            </w:r>
            <w:r w:rsidRPr="004A0C12">
              <w:rPr>
                <w:rFonts w:ascii="Garamond" w:eastAsia="Times New Roman" w:hAnsi="Garamond" w:cs="Times New Roman"/>
                <w:color w:val="484848"/>
                <w:spacing w:val="3"/>
                <w:w w:val="105"/>
              </w:rPr>
              <w:t>m</w:t>
            </w:r>
            <w:r w:rsidRPr="004A0C12">
              <w:rPr>
                <w:rFonts w:ascii="Garamond" w:eastAsia="Times New Roman" w:hAnsi="Garamond" w:cs="Times New Roman"/>
                <w:color w:val="282828"/>
                <w:w w:val="105"/>
              </w:rPr>
              <w:t>ission of</w:t>
            </w:r>
            <w:r w:rsidRPr="004A0C12">
              <w:rPr>
                <w:rFonts w:ascii="Garamond" w:eastAsia="Times New Roman" w:hAnsi="Garamond" w:cs="Times New Roman"/>
                <w:color w:val="282828"/>
                <w:spacing w:val="-12"/>
                <w:w w:val="105"/>
              </w:rPr>
              <w:t xml:space="preserve"> </w:t>
            </w:r>
            <w:r w:rsidRPr="004A0C12">
              <w:rPr>
                <w:rFonts w:ascii="Garamond" w:eastAsia="Times New Roman" w:hAnsi="Garamond" w:cs="Times New Roman"/>
                <w:color w:val="282828"/>
                <w:w w:val="105"/>
              </w:rPr>
              <w:t>a</w:t>
            </w:r>
            <w:r w:rsidRPr="004A0C12">
              <w:rPr>
                <w:rFonts w:ascii="Garamond" w:eastAsia="Times New Roman" w:hAnsi="Garamond" w:cs="Times New Roman"/>
                <w:color w:val="282828"/>
                <w:spacing w:val="-20"/>
                <w:w w:val="105"/>
              </w:rPr>
              <w:t xml:space="preserve"> </w:t>
            </w:r>
            <w:r w:rsidRPr="004A0C12">
              <w:rPr>
                <w:rFonts w:ascii="Garamond" w:eastAsia="Times New Roman" w:hAnsi="Garamond" w:cs="Times New Roman"/>
                <w:color w:val="181818"/>
                <w:w w:val="105"/>
              </w:rPr>
              <w:t>u</w:t>
            </w:r>
            <w:r w:rsidRPr="004A0C12">
              <w:rPr>
                <w:rFonts w:ascii="Garamond" w:eastAsia="Times New Roman" w:hAnsi="Garamond" w:cs="Times New Roman"/>
                <w:color w:val="181818"/>
                <w:spacing w:val="11"/>
                <w:w w:val="105"/>
              </w:rPr>
              <w:t>n</w:t>
            </w:r>
            <w:r w:rsidRPr="004A0C12">
              <w:rPr>
                <w:rFonts w:ascii="Garamond" w:eastAsia="Times New Roman" w:hAnsi="Garamond" w:cs="Times New Roman"/>
                <w:color w:val="383838"/>
                <w:w w:val="105"/>
              </w:rPr>
              <w:t>ified</w:t>
            </w:r>
            <w:r w:rsidRPr="004A0C12">
              <w:rPr>
                <w:rFonts w:ascii="Garamond" w:eastAsia="Times New Roman" w:hAnsi="Garamond" w:cs="Times New Roman"/>
                <w:color w:val="383838"/>
                <w:spacing w:val="-11"/>
                <w:w w:val="105"/>
              </w:rPr>
              <w:t xml:space="preserve"> </w:t>
            </w:r>
            <w:r w:rsidRPr="004A0C12">
              <w:rPr>
                <w:rFonts w:ascii="Garamond" w:eastAsia="Times New Roman" w:hAnsi="Garamond" w:cs="Times New Roman"/>
                <w:color w:val="282828"/>
                <w:w w:val="105"/>
              </w:rPr>
              <w:t>plan;</w:t>
            </w:r>
            <w:r w:rsidRPr="004A0C12">
              <w:rPr>
                <w:rFonts w:ascii="Garamond" w:eastAsia="Times New Roman" w:hAnsi="Garamond" w:cs="Times New Roman"/>
                <w:color w:val="282828"/>
                <w:spacing w:val="-8"/>
                <w:w w:val="105"/>
              </w:rPr>
              <w:t xml:space="preserve"> </w:t>
            </w:r>
            <w:r w:rsidRPr="004A0C12">
              <w:rPr>
                <w:rFonts w:ascii="Garamond" w:eastAsia="Times New Roman" w:hAnsi="Garamond" w:cs="Times New Roman"/>
                <w:color w:val="484848"/>
                <w:w w:val="105"/>
              </w:rPr>
              <w:t>se</w:t>
            </w:r>
            <w:r w:rsidRPr="004A0C12">
              <w:rPr>
                <w:rFonts w:ascii="Garamond" w:eastAsia="Times New Roman" w:hAnsi="Garamond" w:cs="Times New Roman"/>
                <w:color w:val="484848"/>
                <w:spacing w:val="-7"/>
                <w:w w:val="105"/>
              </w:rPr>
              <w:t>c</w:t>
            </w:r>
            <w:r w:rsidRPr="004A0C12">
              <w:rPr>
                <w:rFonts w:ascii="Garamond" w:eastAsia="Times New Roman" w:hAnsi="Garamond" w:cs="Times New Roman"/>
                <w:color w:val="282828"/>
                <w:spacing w:val="7"/>
                <w:w w:val="105"/>
              </w:rPr>
              <w:t>t</w:t>
            </w:r>
            <w:r w:rsidRPr="004A0C12">
              <w:rPr>
                <w:rFonts w:ascii="Garamond" w:eastAsia="Times New Roman" w:hAnsi="Garamond" w:cs="Times New Roman"/>
                <w:color w:val="484848"/>
                <w:w w:val="105"/>
              </w:rPr>
              <w:t>i</w:t>
            </w:r>
            <w:r w:rsidRPr="004A0C12">
              <w:rPr>
                <w:rFonts w:ascii="Garamond" w:eastAsia="Times New Roman" w:hAnsi="Garamond" w:cs="Times New Roman"/>
                <w:color w:val="484848"/>
                <w:spacing w:val="-4"/>
                <w:w w:val="105"/>
              </w:rPr>
              <w:t>o</w:t>
            </w:r>
            <w:r w:rsidRPr="004A0C12">
              <w:rPr>
                <w:rFonts w:ascii="Garamond" w:eastAsia="Times New Roman" w:hAnsi="Garamond" w:cs="Times New Roman"/>
                <w:color w:val="282828"/>
                <w:w w:val="105"/>
              </w:rPr>
              <w:t>n</w:t>
            </w:r>
            <w:r w:rsidRPr="004A0C12">
              <w:rPr>
                <w:rFonts w:ascii="Garamond" w:eastAsia="Times New Roman" w:hAnsi="Garamond" w:cs="Times New Roman"/>
                <w:color w:val="282828"/>
                <w:spacing w:val="3"/>
                <w:w w:val="105"/>
              </w:rPr>
              <w:t xml:space="preserve"> </w:t>
            </w:r>
            <w:r w:rsidRPr="004A0C12">
              <w:rPr>
                <w:rFonts w:ascii="Garamond" w:eastAsia="Times New Roman" w:hAnsi="Garamond" w:cs="Times New Roman"/>
                <w:color w:val="383838"/>
                <w:w w:val="105"/>
              </w:rPr>
              <w:t>103</w:t>
            </w:r>
            <w:r w:rsidRPr="004A0C12">
              <w:rPr>
                <w:rFonts w:ascii="Garamond" w:eastAsia="Times New Roman" w:hAnsi="Garamond" w:cs="Times New Roman"/>
                <w:color w:val="383838"/>
                <w:spacing w:val="-40"/>
                <w:w w:val="105"/>
              </w:rPr>
              <w:t xml:space="preserve"> </w:t>
            </w:r>
            <w:r w:rsidRPr="004A0C12">
              <w:rPr>
                <w:rFonts w:ascii="Garamond" w:eastAsia="Times New Roman" w:hAnsi="Garamond" w:cs="Times New Roman"/>
                <w:color w:val="383838"/>
                <w:w w:val="105"/>
              </w:rPr>
              <w:t>of</w:t>
            </w:r>
            <w:r w:rsidRPr="004A0C12">
              <w:rPr>
                <w:rFonts w:ascii="Garamond" w:eastAsia="Times New Roman" w:hAnsi="Garamond" w:cs="Times New Roman"/>
                <w:color w:val="383838"/>
                <w:spacing w:val="-13"/>
                <w:w w:val="105"/>
              </w:rPr>
              <w:t xml:space="preserve"> </w:t>
            </w:r>
            <w:r w:rsidRPr="004A0C12">
              <w:rPr>
                <w:rFonts w:ascii="Garamond" w:eastAsia="Times New Roman" w:hAnsi="Garamond" w:cs="Times New Roman"/>
                <w:color w:val="282828"/>
                <w:w w:val="105"/>
              </w:rPr>
              <w:t>WIOA</w:t>
            </w:r>
            <w:r w:rsidRPr="004A0C12">
              <w:rPr>
                <w:rFonts w:ascii="Garamond" w:eastAsia="Times New Roman" w:hAnsi="Garamond" w:cs="Times New Roman"/>
                <w:color w:val="282828"/>
                <w:spacing w:val="-10"/>
                <w:w w:val="105"/>
              </w:rPr>
              <w:t xml:space="preserve"> </w:t>
            </w:r>
            <w:r w:rsidRPr="004A0C12">
              <w:rPr>
                <w:rFonts w:ascii="Garamond" w:eastAsia="Times New Roman" w:hAnsi="Garamond" w:cs="Times New Roman"/>
                <w:color w:val="282828"/>
                <w:w w:val="105"/>
              </w:rPr>
              <w:t>in</w:t>
            </w:r>
            <w:r w:rsidRPr="004A0C12">
              <w:rPr>
                <w:rFonts w:ascii="Garamond" w:eastAsia="Times New Roman" w:hAnsi="Garamond" w:cs="Times New Roman"/>
                <w:color w:val="282828"/>
                <w:spacing w:val="-19"/>
                <w:w w:val="105"/>
              </w:rPr>
              <w:t xml:space="preserve"> </w:t>
            </w:r>
            <w:r w:rsidRPr="004A0C12">
              <w:rPr>
                <w:rFonts w:ascii="Garamond" w:eastAsia="Times New Roman" w:hAnsi="Garamond" w:cs="Times New Roman"/>
                <w:color w:val="282828"/>
                <w:w w:val="105"/>
              </w:rPr>
              <w:t>the</w:t>
            </w:r>
            <w:r w:rsidRPr="004A0C12">
              <w:rPr>
                <w:rFonts w:ascii="Garamond" w:eastAsia="Times New Roman" w:hAnsi="Garamond" w:cs="Times New Roman"/>
                <w:color w:val="282828"/>
                <w:spacing w:val="-17"/>
                <w:w w:val="105"/>
              </w:rPr>
              <w:t xml:space="preserve"> </w:t>
            </w:r>
            <w:r w:rsidRPr="004A0C12">
              <w:rPr>
                <w:rFonts w:ascii="Garamond" w:eastAsia="Times New Roman" w:hAnsi="Garamond" w:cs="Times New Roman"/>
                <w:color w:val="282828"/>
                <w:w w:val="105"/>
              </w:rPr>
              <w:t>case</w:t>
            </w:r>
            <w:r w:rsidRPr="004A0C12">
              <w:rPr>
                <w:rFonts w:ascii="Garamond" w:eastAsia="Times New Roman" w:hAnsi="Garamond" w:cs="Times New Roman"/>
                <w:color w:val="282828"/>
                <w:spacing w:val="-12"/>
                <w:w w:val="105"/>
              </w:rPr>
              <w:t xml:space="preserve"> </w:t>
            </w:r>
            <w:r w:rsidRPr="004A0C12">
              <w:rPr>
                <w:rFonts w:ascii="Garamond" w:eastAsia="Times New Roman" w:hAnsi="Garamond" w:cs="Times New Roman"/>
                <w:color w:val="282828"/>
                <w:w w:val="105"/>
              </w:rPr>
              <w:t>of</w:t>
            </w:r>
            <w:r w:rsidRPr="004A0C12">
              <w:rPr>
                <w:rFonts w:ascii="Garamond" w:eastAsia="Times New Roman" w:hAnsi="Garamond" w:cs="Times New Roman"/>
                <w:color w:val="282828"/>
                <w:spacing w:val="-14"/>
                <w:w w:val="105"/>
              </w:rPr>
              <w:t xml:space="preserve"> </w:t>
            </w:r>
            <w:r w:rsidRPr="004A0C12">
              <w:rPr>
                <w:rFonts w:ascii="Garamond" w:eastAsia="Times New Roman" w:hAnsi="Garamond" w:cs="Times New Roman"/>
                <w:color w:val="282828"/>
                <w:w w:val="105"/>
              </w:rPr>
              <w:t>a</w:t>
            </w:r>
            <w:r w:rsidRPr="004A0C12">
              <w:rPr>
                <w:rFonts w:ascii="Garamond" w:eastAsia="Times New Roman" w:hAnsi="Garamond" w:cs="Times New Roman"/>
                <w:color w:val="282828"/>
                <w:spacing w:val="-20"/>
                <w:w w:val="105"/>
              </w:rPr>
              <w:t xml:space="preserve"> </w:t>
            </w:r>
            <w:r w:rsidRPr="004A0C12">
              <w:rPr>
                <w:rFonts w:ascii="Garamond" w:eastAsia="Times New Roman" w:hAnsi="Garamond" w:cs="Times New Roman"/>
                <w:color w:val="282828"/>
                <w:w w:val="105"/>
              </w:rPr>
              <w:t xml:space="preserve">submission </w:t>
            </w:r>
            <w:r w:rsidRPr="004A0C12">
              <w:rPr>
                <w:rFonts w:ascii="Garamond" w:eastAsia="Times New Roman" w:hAnsi="Garamond" w:cs="Times New Roman"/>
                <w:color w:val="383838"/>
                <w:w w:val="105"/>
              </w:rPr>
              <w:t>of</w:t>
            </w:r>
            <w:r w:rsidRPr="004A0C12">
              <w:rPr>
                <w:rFonts w:ascii="Garamond" w:eastAsia="Times New Roman" w:hAnsi="Garamond" w:cs="Times New Roman"/>
                <w:color w:val="383838"/>
                <w:spacing w:val="-13"/>
                <w:w w:val="105"/>
              </w:rPr>
              <w:t xml:space="preserve"> </w:t>
            </w:r>
            <w:r w:rsidRPr="004A0C12">
              <w:rPr>
                <w:rFonts w:ascii="Garamond" w:eastAsia="Times New Roman" w:hAnsi="Garamond" w:cs="Times New Roman"/>
                <w:color w:val="484848"/>
                <w:w w:val="105"/>
              </w:rPr>
              <w:t>a</w:t>
            </w:r>
            <w:r w:rsidRPr="004A0C12">
              <w:rPr>
                <w:rFonts w:ascii="Garamond" w:eastAsia="Times New Roman" w:hAnsi="Garamond" w:cs="Times New Roman"/>
                <w:color w:val="484848"/>
                <w:spacing w:val="-21"/>
                <w:w w:val="105"/>
              </w:rPr>
              <w:t xml:space="preserve"> </w:t>
            </w:r>
            <w:r w:rsidRPr="004A0C12">
              <w:rPr>
                <w:rFonts w:ascii="Garamond" w:eastAsia="Times New Roman" w:hAnsi="Garamond" w:cs="Times New Roman"/>
                <w:color w:val="484848"/>
                <w:w w:val="105"/>
              </w:rPr>
              <w:t>Co</w:t>
            </w:r>
            <w:r w:rsidRPr="004A0C12">
              <w:rPr>
                <w:rFonts w:ascii="Garamond" w:eastAsia="Times New Roman" w:hAnsi="Garamond" w:cs="Times New Roman"/>
                <w:color w:val="484848"/>
                <w:spacing w:val="8"/>
                <w:w w:val="105"/>
              </w:rPr>
              <w:t>m</w:t>
            </w:r>
            <w:r w:rsidRPr="004A0C12">
              <w:rPr>
                <w:rFonts w:ascii="Garamond" w:eastAsia="Times New Roman" w:hAnsi="Garamond" w:cs="Times New Roman"/>
                <w:color w:val="282828"/>
                <w:w w:val="105"/>
              </w:rPr>
              <w:t>bined</w:t>
            </w:r>
            <w:r w:rsidRPr="004A0C12">
              <w:rPr>
                <w:rFonts w:ascii="Garamond" w:eastAsia="Times New Roman" w:hAnsi="Garamond" w:cs="Times New Roman"/>
                <w:color w:val="282828"/>
                <w:w w:val="103"/>
              </w:rPr>
              <w:t xml:space="preserve"> </w:t>
            </w:r>
            <w:r w:rsidRPr="004A0C12">
              <w:rPr>
                <w:rFonts w:ascii="Garamond" w:eastAsia="Times New Roman" w:hAnsi="Garamond" w:cs="Times New Roman"/>
                <w:color w:val="282828"/>
                <w:w w:val="105"/>
              </w:rPr>
              <w:t>State</w:t>
            </w:r>
            <w:r w:rsidRPr="004A0C12">
              <w:rPr>
                <w:rFonts w:ascii="Garamond" w:eastAsia="Times New Roman" w:hAnsi="Garamond" w:cs="Times New Roman"/>
                <w:color w:val="282828"/>
                <w:spacing w:val="-28"/>
                <w:w w:val="105"/>
              </w:rPr>
              <w:t xml:space="preserve"> </w:t>
            </w:r>
            <w:r w:rsidRPr="004A0C12">
              <w:rPr>
                <w:rFonts w:ascii="Garamond" w:eastAsia="Times New Roman" w:hAnsi="Garamond" w:cs="Times New Roman"/>
                <w:color w:val="282828"/>
                <w:w w:val="105"/>
              </w:rPr>
              <w:t>Plan;</w:t>
            </w:r>
            <w:r w:rsidRPr="004A0C12">
              <w:rPr>
                <w:rFonts w:ascii="Garamond" w:eastAsia="Times New Roman" w:hAnsi="Garamond" w:cs="Times New Roman"/>
                <w:color w:val="282828"/>
                <w:spacing w:val="-18"/>
                <w:w w:val="105"/>
              </w:rPr>
              <w:t xml:space="preserve"> </w:t>
            </w:r>
            <w:r w:rsidRPr="004A0C12">
              <w:rPr>
                <w:rFonts w:ascii="Garamond" w:eastAsia="Times New Roman" w:hAnsi="Garamond" w:cs="Times New Roman"/>
                <w:color w:val="383838"/>
                <w:w w:val="105"/>
              </w:rPr>
              <w:t>34</w:t>
            </w:r>
            <w:r w:rsidRPr="004A0C12">
              <w:rPr>
                <w:rFonts w:ascii="Garamond" w:eastAsia="Times New Roman" w:hAnsi="Garamond" w:cs="Times New Roman"/>
                <w:color w:val="383838"/>
                <w:spacing w:val="-29"/>
                <w:w w:val="105"/>
              </w:rPr>
              <w:t xml:space="preserve"> </w:t>
            </w:r>
            <w:r w:rsidRPr="004A0C12">
              <w:rPr>
                <w:rFonts w:ascii="Garamond" w:eastAsia="Times New Roman" w:hAnsi="Garamond" w:cs="Times New Roman"/>
                <w:color w:val="383838"/>
                <w:spacing w:val="10"/>
                <w:w w:val="105"/>
              </w:rPr>
              <w:t>C</w:t>
            </w:r>
            <w:r w:rsidRPr="004A0C12">
              <w:rPr>
                <w:rFonts w:ascii="Garamond" w:eastAsia="Times New Roman" w:hAnsi="Garamond" w:cs="Times New Roman"/>
                <w:color w:val="181818"/>
                <w:w w:val="105"/>
              </w:rPr>
              <w:t>FR</w:t>
            </w:r>
            <w:r w:rsidRPr="004A0C12">
              <w:rPr>
                <w:rFonts w:ascii="Garamond" w:eastAsia="Times New Roman" w:hAnsi="Garamond" w:cs="Times New Roman"/>
                <w:color w:val="181818"/>
                <w:spacing w:val="-16"/>
                <w:w w:val="105"/>
              </w:rPr>
              <w:t xml:space="preserve"> </w:t>
            </w:r>
            <w:r w:rsidRPr="004A0C12">
              <w:rPr>
                <w:rFonts w:ascii="Garamond" w:eastAsia="Times New Roman" w:hAnsi="Garamond" w:cs="Times New Roman"/>
                <w:color w:val="383838"/>
                <w:w w:val="105"/>
              </w:rPr>
              <w:t>76.140.</w:t>
            </w:r>
          </w:p>
        </w:tc>
      </w:tr>
      <w:tr w:rsidR="001F7B29" w:rsidRPr="004A0C12" w14:paraId="3A0FF52C" w14:textId="77777777" w:rsidTr="00A2533C">
        <w:trPr>
          <w:trHeight w:hRule="exact" w:val="10352"/>
        </w:trPr>
        <w:tc>
          <w:tcPr>
            <w:tcW w:w="468" w:type="dxa"/>
            <w:gridSpan w:val="2"/>
            <w:tcBorders>
              <w:top w:val="single" w:sz="8" w:space="0" w:color="000000"/>
              <w:left w:val="single" w:sz="8" w:space="0" w:color="000000"/>
              <w:bottom w:val="single" w:sz="8" w:space="0" w:color="000000"/>
              <w:right w:val="single" w:sz="4" w:space="0" w:color="000000"/>
            </w:tcBorders>
          </w:tcPr>
          <w:p w14:paraId="54D05986" w14:textId="77777777" w:rsidR="001F7B29" w:rsidRPr="004A0C12" w:rsidRDefault="001F7B29" w:rsidP="00E500D8">
            <w:pPr>
              <w:widowControl w:val="0"/>
              <w:spacing w:before="1"/>
              <w:rPr>
                <w:rFonts w:ascii="Garamond" w:eastAsia="Times New Roman" w:hAnsi="Garamond" w:cs="Times New Roman"/>
              </w:rPr>
            </w:pPr>
            <w:r w:rsidRPr="004A0C12">
              <w:rPr>
                <w:rFonts w:ascii="Garamond" w:eastAsia="Times New Roman" w:hAnsi="Garamond" w:cs="Times New Roman"/>
                <w:color w:val="0C0C0C"/>
                <w:w w:val="105"/>
              </w:rPr>
              <w:lastRenderedPageBreak/>
              <w:t>3.</w:t>
            </w:r>
          </w:p>
        </w:tc>
        <w:tc>
          <w:tcPr>
            <w:tcW w:w="8826" w:type="dxa"/>
            <w:gridSpan w:val="2"/>
            <w:tcBorders>
              <w:top w:val="single" w:sz="8" w:space="0" w:color="000000"/>
              <w:left w:val="single" w:sz="4" w:space="0" w:color="000000"/>
              <w:bottom w:val="single" w:sz="8" w:space="0" w:color="000000"/>
              <w:right w:val="single" w:sz="8" w:space="0" w:color="000000"/>
            </w:tcBorders>
          </w:tcPr>
          <w:p w14:paraId="5807488A" w14:textId="77777777" w:rsidR="001F7B29" w:rsidRPr="004A0C12" w:rsidRDefault="001F7B29" w:rsidP="00A2533C">
            <w:pPr>
              <w:widowControl w:val="0"/>
              <w:spacing w:after="0" w:line="240" w:lineRule="auto"/>
              <w:ind w:right="227"/>
              <w:rPr>
                <w:rFonts w:ascii="Garamond" w:eastAsia="Times New Roman" w:hAnsi="Garamond" w:cs="Times New Roman"/>
              </w:rPr>
            </w:pPr>
            <w:r w:rsidRPr="004A0C12">
              <w:rPr>
                <w:rFonts w:ascii="Garamond" w:eastAsia="Times New Roman" w:hAnsi="Garamond" w:cs="Times New Roman"/>
                <w:b/>
                <w:color w:val="0C0C0C"/>
                <w:w w:val="110"/>
              </w:rPr>
              <w:t>Administration</w:t>
            </w:r>
            <w:r w:rsidRPr="004A0C12">
              <w:rPr>
                <w:rFonts w:ascii="Garamond" w:eastAsia="Times New Roman" w:hAnsi="Garamond" w:cs="Times New Roman"/>
                <w:b/>
                <w:color w:val="0C0C0C"/>
                <w:spacing w:val="23"/>
                <w:w w:val="110"/>
              </w:rPr>
              <w:t xml:space="preserve"> </w:t>
            </w:r>
            <w:r w:rsidRPr="004A0C12">
              <w:rPr>
                <w:rFonts w:ascii="Garamond" w:eastAsia="Times New Roman" w:hAnsi="Garamond" w:cs="Times New Roman"/>
                <w:b/>
                <w:color w:val="0C0C0C"/>
                <w:w w:val="110"/>
              </w:rPr>
              <w:t>of</w:t>
            </w:r>
            <w:r w:rsidRPr="004A0C12">
              <w:rPr>
                <w:rFonts w:ascii="Garamond" w:eastAsia="Times New Roman" w:hAnsi="Garamond" w:cs="Times New Roman"/>
                <w:b/>
                <w:color w:val="0C0C0C"/>
                <w:spacing w:val="-3"/>
                <w:w w:val="110"/>
              </w:rPr>
              <w:t xml:space="preserve"> </w:t>
            </w:r>
            <w:r w:rsidRPr="004A0C12">
              <w:rPr>
                <w:rFonts w:ascii="Garamond" w:eastAsia="Times New Roman" w:hAnsi="Garamond" w:cs="Times New Roman"/>
                <w:b/>
                <w:color w:val="0C0C0C"/>
                <w:w w:val="110"/>
              </w:rPr>
              <w:t>the</w:t>
            </w:r>
            <w:r w:rsidRPr="004A0C12">
              <w:rPr>
                <w:rFonts w:ascii="Garamond" w:eastAsia="Times New Roman" w:hAnsi="Garamond" w:cs="Times New Roman"/>
                <w:b/>
                <w:color w:val="0C0C0C"/>
                <w:spacing w:val="3"/>
                <w:w w:val="110"/>
              </w:rPr>
              <w:t xml:space="preserve"> </w:t>
            </w:r>
            <w:r w:rsidRPr="004A0C12">
              <w:rPr>
                <w:rFonts w:ascii="Garamond" w:eastAsia="Times New Roman" w:hAnsi="Garamond" w:cs="Times New Roman"/>
                <w:b/>
                <w:color w:val="0C0C0C"/>
                <w:w w:val="110"/>
              </w:rPr>
              <w:t>VR</w:t>
            </w:r>
            <w:r w:rsidRPr="004A0C12">
              <w:rPr>
                <w:rFonts w:ascii="Garamond" w:eastAsia="Times New Roman" w:hAnsi="Garamond" w:cs="Times New Roman"/>
                <w:b/>
                <w:color w:val="0C0C0C"/>
                <w:spacing w:val="5"/>
                <w:w w:val="110"/>
              </w:rPr>
              <w:t xml:space="preserve"> </w:t>
            </w:r>
            <w:r w:rsidRPr="004A0C12">
              <w:rPr>
                <w:rFonts w:ascii="Garamond" w:eastAsia="Times New Roman" w:hAnsi="Garamond" w:cs="Times New Roman"/>
                <w:b/>
                <w:color w:val="0C0C0C"/>
                <w:w w:val="110"/>
              </w:rPr>
              <w:t>services</w:t>
            </w:r>
            <w:r w:rsidRPr="004A0C12">
              <w:rPr>
                <w:rFonts w:ascii="Garamond" w:eastAsia="Times New Roman" w:hAnsi="Garamond" w:cs="Times New Roman"/>
                <w:b/>
                <w:color w:val="0C0C0C"/>
                <w:spacing w:val="-15"/>
                <w:w w:val="110"/>
              </w:rPr>
              <w:t xml:space="preserve"> </w:t>
            </w:r>
            <w:r w:rsidRPr="004A0C12">
              <w:rPr>
                <w:rFonts w:ascii="Garamond" w:eastAsia="Times New Roman" w:hAnsi="Garamond" w:cs="Times New Roman"/>
                <w:b/>
                <w:color w:val="0C0C0C"/>
                <w:w w:val="110"/>
              </w:rPr>
              <w:t>portion</w:t>
            </w:r>
            <w:r w:rsidRPr="004A0C12">
              <w:rPr>
                <w:rFonts w:ascii="Garamond" w:eastAsia="Times New Roman" w:hAnsi="Garamond" w:cs="Times New Roman"/>
                <w:b/>
                <w:color w:val="0C0C0C"/>
                <w:spacing w:val="12"/>
                <w:w w:val="110"/>
              </w:rPr>
              <w:t xml:space="preserve"> </w:t>
            </w:r>
            <w:r w:rsidRPr="004A0C12">
              <w:rPr>
                <w:rFonts w:ascii="Garamond" w:eastAsia="Times New Roman" w:hAnsi="Garamond" w:cs="Times New Roman"/>
                <w:b/>
                <w:color w:val="0C0C0C"/>
                <w:w w:val="110"/>
              </w:rPr>
              <w:t>of</w:t>
            </w:r>
            <w:r w:rsidRPr="004A0C12">
              <w:rPr>
                <w:rFonts w:ascii="Garamond" w:eastAsia="Times New Roman" w:hAnsi="Garamond" w:cs="Times New Roman"/>
                <w:b/>
                <w:color w:val="0C0C0C"/>
                <w:spacing w:val="9"/>
                <w:w w:val="110"/>
              </w:rPr>
              <w:t xml:space="preserve"> </w:t>
            </w:r>
            <w:r w:rsidRPr="004A0C12">
              <w:rPr>
                <w:rFonts w:ascii="Garamond" w:eastAsia="Times New Roman" w:hAnsi="Garamond" w:cs="Times New Roman"/>
                <w:b/>
                <w:color w:val="0C0C0C"/>
                <w:w w:val="110"/>
              </w:rPr>
              <w:t>the</w:t>
            </w:r>
            <w:r w:rsidRPr="004A0C12">
              <w:rPr>
                <w:rFonts w:ascii="Garamond" w:eastAsia="Times New Roman" w:hAnsi="Garamond" w:cs="Times New Roman"/>
                <w:b/>
                <w:color w:val="0C0C0C"/>
                <w:spacing w:val="2"/>
                <w:w w:val="110"/>
              </w:rPr>
              <w:t xml:space="preserve"> </w:t>
            </w:r>
            <w:r w:rsidRPr="004A0C12">
              <w:rPr>
                <w:rFonts w:ascii="Garamond" w:eastAsia="Times New Roman" w:hAnsi="Garamond" w:cs="Times New Roman"/>
                <w:b/>
                <w:color w:val="0C0C0C"/>
                <w:w w:val="110"/>
              </w:rPr>
              <w:t>Unified</w:t>
            </w:r>
            <w:r w:rsidRPr="004A0C12">
              <w:rPr>
                <w:rFonts w:ascii="Garamond" w:eastAsia="Times New Roman" w:hAnsi="Garamond" w:cs="Times New Roman"/>
                <w:b/>
                <w:color w:val="0C0C0C"/>
                <w:spacing w:val="11"/>
                <w:w w:val="110"/>
              </w:rPr>
              <w:t xml:space="preserve"> </w:t>
            </w:r>
            <w:r w:rsidRPr="004A0C12">
              <w:rPr>
                <w:rFonts w:ascii="Garamond" w:eastAsia="Times New Roman" w:hAnsi="Garamond" w:cs="Times New Roman"/>
                <w:b/>
                <w:color w:val="0C0C0C"/>
                <w:w w:val="110"/>
              </w:rPr>
              <w:t>or</w:t>
            </w:r>
            <w:r w:rsidRPr="004A0C12">
              <w:rPr>
                <w:rFonts w:ascii="Garamond" w:eastAsia="Times New Roman" w:hAnsi="Garamond" w:cs="Times New Roman"/>
                <w:b/>
                <w:color w:val="0C0C0C"/>
                <w:spacing w:val="-9"/>
                <w:w w:val="110"/>
              </w:rPr>
              <w:t xml:space="preserve"> </w:t>
            </w:r>
            <w:r w:rsidRPr="004A0C12">
              <w:rPr>
                <w:rFonts w:ascii="Garamond" w:eastAsia="Times New Roman" w:hAnsi="Garamond" w:cs="Times New Roman"/>
                <w:b/>
                <w:color w:val="0C0C0C"/>
                <w:w w:val="110"/>
              </w:rPr>
              <w:t xml:space="preserve">Combined </w:t>
            </w:r>
            <w:r w:rsidRPr="004A0C12">
              <w:rPr>
                <w:rFonts w:ascii="Garamond" w:eastAsia="Times New Roman" w:hAnsi="Garamond" w:cs="Times New Roman"/>
                <w:b/>
                <w:color w:val="0C0C0C"/>
                <w:spacing w:val="10"/>
                <w:w w:val="110"/>
              </w:rPr>
              <w:t xml:space="preserve"> </w:t>
            </w:r>
            <w:r w:rsidRPr="004A0C12">
              <w:rPr>
                <w:rFonts w:ascii="Garamond" w:eastAsia="Times New Roman" w:hAnsi="Garamond" w:cs="Times New Roman"/>
                <w:b/>
                <w:color w:val="0C0C0C"/>
                <w:w w:val="110"/>
              </w:rPr>
              <w:t>State</w:t>
            </w:r>
            <w:r w:rsidRPr="004A0C12">
              <w:rPr>
                <w:rFonts w:ascii="Garamond" w:eastAsia="Times New Roman" w:hAnsi="Garamond" w:cs="Times New Roman"/>
                <w:b/>
                <w:color w:val="0C0C0C"/>
                <w:w w:val="115"/>
              </w:rPr>
              <w:t xml:space="preserve"> </w:t>
            </w:r>
            <w:r w:rsidRPr="004A0C12">
              <w:rPr>
                <w:rFonts w:ascii="Garamond" w:eastAsia="Times New Roman" w:hAnsi="Garamond" w:cs="Times New Roman"/>
                <w:b/>
                <w:color w:val="0C0C0C"/>
                <w:w w:val="110"/>
              </w:rPr>
              <w:t>Plan:</w:t>
            </w:r>
            <w:r w:rsidRPr="004A0C12">
              <w:rPr>
                <w:rFonts w:ascii="Garamond" w:eastAsia="Times New Roman" w:hAnsi="Garamond" w:cs="Times New Roman"/>
                <w:color w:val="0C0C0C"/>
                <w:spacing w:val="-42"/>
                <w:w w:val="110"/>
              </w:rPr>
              <w:t xml:space="preserve"> </w:t>
            </w:r>
            <w:r w:rsidRPr="004A0C12">
              <w:rPr>
                <w:rFonts w:ascii="Garamond" w:eastAsia="Times New Roman" w:hAnsi="Garamond" w:cs="Times New Roman"/>
                <w:color w:val="0C0C0C"/>
                <w:w w:val="110"/>
              </w:rPr>
              <w:t>The</w:t>
            </w:r>
            <w:r w:rsidRPr="004A0C12">
              <w:rPr>
                <w:rFonts w:ascii="Garamond" w:eastAsia="Times New Roman" w:hAnsi="Garamond" w:cs="Times New Roman"/>
                <w:color w:val="0C0C0C"/>
                <w:spacing w:val="-28"/>
                <w:w w:val="110"/>
              </w:rPr>
              <w:t xml:space="preserve"> </w:t>
            </w:r>
            <w:r w:rsidRPr="004A0C12">
              <w:rPr>
                <w:rFonts w:ascii="Garamond" w:eastAsia="Times New Roman" w:hAnsi="Garamond" w:cs="Times New Roman"/>
                <w:color w:val="0C0C0C"/>
                <w:w w:val="110"/>
              </w:rPr>
              <w:t>designated</w:t>
            </w:r>
            <w:r w:rsidRPr="004A0C12">
              <w:rPr>
                <w:rFonts w:ascii="Garamond" w:eastAsia="Times New Roman" w:hAnsi="Garamond" w:cs="Times New Roman"/>
                <w:color w:val="0C0C0C"/>
                <w:spacing w:val="-18"/>
                <w:w w:val="110"/>
              </w:rPr>
              <w:t xml:space="preserve"> </w:t>
            </w:r>
            <w:r w:rsidRPr="004A0C12">
              <w:rPr>
                <w:rFonts w:ascii="Garamond" w:eastAsia="Times New Roman" w:hAnsi="Garamond" w:cs="Times New Roman"/>
                <w:color w:val="0C0C0C"/>
                <w:w w:val="110"/>
              </w:rPr>
              <w:t>State</w:t>
            </w:r>
            <w:r w:rsidRPr="004A0C12">
              <w:rPr>
                <w:rFonts w:ascii="Garamond" w:eastAsia="Times New Roman" w:hAnsi="Garamond" w:cs="Times New Roman"/>
                <w:color w:val="0C0C0C"/>
                <w:spacing w:val="-31"/>
                <w:w w:val="110"/>
              </w:rPr>
              <w:t xml:space="preserve"> </w:t>
            </w:r>
            <w:r w:rsidRPr="004A0C12">
              <w:rPr>
                <w:rFonts w:ascii="Garamond" w:eastAsia="Times New Roman" w:hAnsi="Garamond" w:cs="Times New Roman"/>
                <w:color w:val="0C0C0C"/>
                <w:w w:val="110"/>
              </w:rPr>
              <w:t>agency</w:t>
            </w:r>
            <w:r w:rsidRPr="004A0C12">
              <w:rPr>
                <w:rFonts w:ascii="Garamond" w:eastAsia="Times New Roman" w:hAnsi="Garamond" w:cs="Times New Roman"/>
                <w:color w:val="0C0C0C"/>
                <w:spacing w:val="-33"/>
                <w:w w:val="110"/>
              </w:rPr>
              <w:t xml:space="preserve"> </w:t>
            </w:r>
            <w:r w:rsidRPr="004A0C12">
              <w:rPr>
                <w:rFonts w:ascii="Garamond" w:eastAsia="Times New Roman" w:hAnsi="Garamond" w:cs="Times New Roman"/>
                <w:color w:val="0C0C0C"/>
                <w:w w:val="110"/>
              </w:rPr>
              <w:t>or</w:t>
            </w:r>
            <w:r w:rsidRPr="004A0C12">
              <w:rPr>
                <w:rFonts w:ascii="Garamond" w:eastAsia="Times New Roman" w:hAnsi="Garamond" w:cs="Times New Roman"/>
                <w:color w:val="0C0C0C"/>
                <w:spacing w:val="-31"/>
                <w:w w:val="110"/>
              </w:rPr>
              <w:t xml:space="preserve"> </w:t>
            </w:r>
            <w:r w:rsidRPr="004A0C12">
              <w:rPr>
                <w:rFonts w:ascii="Garamond" w:eastAsia="Times New Roman" w:hAnsi="Garamond" w:cs="Times New Roman"/>
                <w:color w:val="0C0C0C"/>
                <w:w w:val="110"/>
              </w:rPr>
              <w:t>designated</w:t>
            </w:r>
            <w:r w:rsidRPr="004A0C12">
              <w:rPr>
                <w:rFonts w:ascii="Garamond" w:eastAsia="Times New Roman" w:hAnsi="Garamond" w:cs="Times New Roman"/>
                <w:color w:val="0C0C0C"/>
                <w:spacing w:val="-11"/>
                <w:w w:val="110"/>
              </w:rPr>
              <w:t xml:space="preserve"> </w:t>
            </w:r>
            <w:r w:rsidRPr="004A0C12">
              <w:rPr>
                <w:rFonts w:ascii="Garamond" w:eastAsia="Times New Roman" w:hAnsi="Garamond" w:cs="Times New Roman"/>
                <w:color w:val="0C0C0C"/>
                <w:w w:val="110"/>
              </w:rPr>
              <w:t>State</w:t>
            </w:r>
            <w:r w:rsidRPr="004A0C12">
              <w:rPr>
                <w:rFonts w:ascii="Garamond" w:eastAsia="Times New Roman" w:hAnsi="Garamond" w:cs="Times New Roman"/>
                <w:color w:val="0C0C0C"/>
                <w:spacing w:val="-32"/>
                <w:w w:val="110"/>
              </w:rPr>
              <w:t xml:space="preserve"> </w:t>
            </w:r>
            <w:r w:rsidRPr="004A0C12">
              <w:rPr>
                <w:rFonts w:ascii="Garamond" w:eastAsia="Times New Roman" w:hAnsi="Garamond" w:cs="Times New Roman"/>
                <w:color w:val="0C0C0C"/>
                <w:w w:val="110"/>
              </w:rPr>
              <w:t>unit,</w:t>
            </w:r>
            <w:r w:rsidRPr="004A0C12">
              <w:rPr>
                <w:rFonts w:ascii="Garamond" w:eastAsia="Times New Roman" w:hAnsi="Garamond" w:cs="Times New Roman"/>
                <w:color w:val="0C0C0C"/>
                <w:spacing w:val="-25"/>
                <w:w w:val="110"/>
              </w:rPr>
              <w:t xml:space="preserve"> </w:t>
            </w:r>
            <w:r w:rsidRPr="004A0C12">
              <w:rPr>
                <w:rFonts w:ascii="Garamond" w:eastAsia="Times New Roman" w:hAnsi="Garamond" w:cs="Times New Roman"/>
                <w:color w:val="0C0C0C"/>
                <w:w w:val="110"/>
              </w:rPr>
              <w:t>as</w:t>
            </w:r>
            <w:r w:rsidRPr="004A0C12">
              <w:rPr>
                <w:rFonts w:ascii="Garamond" w:eastAsia="Times New Roman" w:hAnsi="Garamond" w:cs="Times New Roman"/>
                <w:color w:val="0C0C0C"/>
                <w:spacing w:val="-32"/>
                <w:w w:val="110"/>
              </w:rPr>
              <w:t xml:space="preserve"> </w:t>
            </w:r>
            <w:r w:rsidRPr="004A0C12">
              <w:rPr>
                <w:rFonts w:ascii="Garamond" w:eastAsia="Times New Roman" w:hAnsi="Garamond" w:cs="Times New Roman"/>
                <w:color w:val="0C0C0C"/>
                <w:w w:val="110"/>
              </w:rPr>
              <w:t>appropriate,</w:t>
            </w:r>
            <w:r w:rsidRPr="004A0C12">
              <w:rPr>
                <w:rFonts w:ascii="Garamond" w:eastAsia="Times New Roman" w:hAnsi="Garamond" w:cs="Times New Roman"/>
                <w:color w:val="0C0C0C"/>
                <w:spacing w:val="-27"/>
                <w:w w:val="110"/>
              </w:rPr>
              <w:t xml:space="preserve"> </w:t>
            </w:r>
            <w:r w:rsidRPr="004A0C12">
              <w:rPr>
                <w:rFonts w:ascii="Garamond" w:eastAsia="Times New Roman" w:hAnsi="Garamond" w:cs="Times New Roman"/>
                <w:color w:val="0C0C0C"/>
                <w:w w:val="110"/>
              </w:rPr>
              <w:t>assures</w:t>
            </w:r>
            <w:r w:rsidRPr="004A0C12">
              <w:rPr>
                <w:rFonts w:ascii="Garamond" w:eastAsia="Times New Roman" w:hAnsi="Garamond" w:cs="Times New Roman"/>
                <w:color w:val="0C0C0C"/>
                <w:w w:val="111"/>
              </w:rPr>
              <w:t xml:space="preserve"> </w:t>
            </w:r>
            <w:r w:rsidRPr="004A0C12">
              <w:rPr>
                <w:rFonts w:ascii="Garamond" w:eastAsia="Times New Roman" w:hAnsi="Garamond" w:cs="Times New Roman"/>
                <w:color w:val="0C0C0C"/>
                <w:w w:val="110"/>
              </w:rPr>
              <w:t>it</w:t>
            </w:r>
            <w:r w:rsidRPr="004A0C12">
              <w:rPr>
                <w:rFonts w:ascii="Garamond" w:eastAsia="Times New Roman" w:hAnsi="Garamond" w:cs="Times New Roman"/>
                <w:color w:val="0C0C0C"/>
                <w:spacing w:val="-42"/>
                <w:w w:val="110"/>
              </w:rPr>
              <w:t xml:space="preserve"> </w:t>
            </w:r>
            <w:r w:rsidRPr="004A0C12">
              <w:rPr>
                <w:rFonts w:ascii="Garamond" w:eastAsia="Times New Roman" w:hAnsi="Garamond" w:cs="Times New Roman"/>
                <w:color w:val="0C0C0C"/>
                <w:w w:val="110"/>
              </w:rPr>
              <w:t>will</w:t>
            </w:r>
            <w:r w:rsidRPr="004A0C12">
              <w:rPr>
                <w:rFonts w:ascii="Garamond" w:eastAsia="Times New Roman" w:hAnsi="Garamond" w:cs="Times New Roman"/>
                <w:color w:val="0C0C0C"/>
                <w:spacing w:val="-29"/>
                <w:w w:val="110"/>
              </w:rPr>
              <w:t xml:space="preserve"> </w:t>
            </w:r>
            <w:r w:rsidRPr="004A0C12">
              <w:rPr>
                <w:rFonts w:ascii="Garamond" w:eastAsia="Times New Roman" w:hAnsi="Garamond" w:cs="Times New Roman"/>
                <w:color w:val="0C0C0C"/>
                <w:w w:val="110"/>
              </w:rPr>
              <w:t>comply</w:t>
            </w:r>
            <w:r w:rsidRPr="004A0C12">
              <w:rPr>
                <w:rFonts w:ascii="Garamond" w:eastAsia="Times New Roman" w:hAnsi="Garamond" w:cs="Times New Roman"/>
                <w:color w:val="0C0C0C"/>
                <w:spacing w:val="-39"/>
                <w:w w:val="110"/>
              </w:rPr>
              <w:t xml:space="preserve"> </w:t>
            </w:r>
            <w:r w:rsidRPr="004A0C12">
              <w:rPr>
                <w:rFonts w:ascii="Garamond" w:eastAsia="Times New Roman" w:hAnsi="Garamond" w:cs="Times New Roman"/>
                <w:color w:val="0C0C0C"/>
                <w:w w:val="110"/>
              </w:rPr>
              <w:t>with</w:t>
            </w:r>
            <w:r w:rsidRPr="004A0C12">
              <w:rPr>
                <w:rFonts w:ascii="Garamond" w:eastAsia="Times New Roman" w:hAnsi="Garamond" w:cs="Times New Roman"/>
                <w:color w:val="0C0C0C"/>
                <w:spacing w:val="-27"/>
                <w:w w:val="110"/>
              </w:rPr>
              <w:t xml:space="preserve"> </w:t>
            </w:r>
            <w:r w:rsidRPr="004A0C12">
              <w:rPr>
                <w:rFonts w:ascii="Garamond" w:eastAsia="Times New Roman" w:hAnsi="Garamond" w:cs="Times New Roman"/>
                <w:color w:val="0C0C0C"/>
                <w:w w:val="110"/>
              </w:rPr>
              <w:t>the</w:t>
            </w:r>
            <w:r w:rsidRPr="004A0C12">
              <w:rPr>
                <w:rFonts w:ascii="Garamond" w:eastAsia="Times New Roman" w:hAnsi="Garamond" w:cs="Times New Roman"/>
                <w:color w:val="0C0C0C"/>
                <w:spacing w:val="-26"/>
                <w:w w:val="110"/>
              </w:rPr>
              <w:t xml:space="preserve"> </w:t>
            </w:r>
            <w:r w:rsidRPr="004A0C12">
              <w:rPr>
                <w:rFonts w:ascii="Garamond" w:eastAsia="Times New Roman" w:hAnsi="Garamond" w:cs="Times New Roman"/>
                <w:color w:val="0C0C0C"/>
                <w:w w:val="110"/>
              </w:rPr>
              <w:t>requirements</w:t>
            </w:r>
            <w:r w:rsidRPr="004A0C12">
              <w:rPr>
                <w:rFonts w:ascii="Garamond" w:eastAsia="Times New Roman" w:hAnsi="Garamond" w:cs="Times New Roman"/>
                <w:color w:val="0C0C0C"/>
                <w:spacing w:val="-19"/>
                <w:w w:val="110"/>
              </w:rPr>
              <w:t xml:space="preserve"> </w:t>
            </w:r>
            <w:r w:rsidRPr="004A0C12">
              <w:rPr>
                <w:rFonts w:ascii="Garamond" w:eastAsia="Times New Roman" w:hAnsi="Garamond" w:cs="Times New Roman"/>
                <w:color w:val="0C0C0C"/>
                <w:w w:val="110"/>
              </w:rPr>
              <w:t>related</w:t>
            </w:r>
            <w:r w:rsidRPr="004A0C12">
              <w:rPr>
                <w:rFonts w:ascii="Garamond" w:eastAsia="Times New Roman" w:hAnsi="Garamond" w:cs="Times New Roman"/>
                <w:color w:val="0C0C0C"/>
                <w:spacing w:val="-19"/>
                <w:w w:val="110"/>
              </w:rPr>
              <w:t xml:space="preserve"> </w:t>
            </w:r>
            <w:r w:rsidRPr="004A0C12">
              <w:rPr>
                <w:rFonts w:ascii="Garamond" w:eastAsia="Times New Roman" w:hAnsi="Garamond" w:cs="Times New Roman"/>
                <w:color w:val="0C0C0C"/>
                <w:w w:val="110"/>
              </w:rPr>
              <w:t>to:</w:t>
            </w:r>
          </w:p>
          <w:p w14:paraId="2A76AE53" w14:textId="77777777" w:rsidR="001F7B29" w:rsidRPr="004A0C12" w:rsidRDefault="001F7B29" w:rsidP="00232F09">
            <w:pPr>
              <w:widowControl w:val="0"/>
              <w:numPr>
                <w:ilvl w:val="0"/>
                <w:numId w:val="198"/>
              </w:numPr>
              <w:tabs>
                <w:tab w:val="left" w:pos="523"/>
              </w:tabs>
              <w:spacing w:after="0" w:line="240" w:lineRule="auto"/>
              <w:ind w:left="475" w:right="345" w:hanging="356"/>
              <w:rPr>
                <w:rFonts w:ascii="Garamond" w:eastAsia="Times New Roman" w:hAnsi="Garamond" w:cs="Times New Roman"/>
              </w:rPr>
            </w:pP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establishment</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designated</w:t>
            </w:r>
            <w:r w:rsidRPr="004A0C12">
              <w:rPr>
                <w:rFonts w:ascii="Garamond" w:eastAsia="Times New Roman" w:hAnsi="Garamond" w:cs="Times New Roman"/>
                <w:color w:val="0C0C0C"/>
                <w:spacing w:val="26"/>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agency</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designated</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unit,</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w w:val="107"/>
              </w:rPr>
              <w:t xml:space="preserve"> </w:t>
            </w:r>
            <w:r w:rsidRPr="004A0C12">
              <w:rPr>
                <w:rFonts w:ascii="Garamond" w:eastAsia="Times New Roman" w:hAnsi="Garamond" w:cs="Times New Roman"/>
                <w:color w:val="0C0C0C"/>
                <w:w w:val="105"/>
              </w:rPr>
              <w:t>required</w:t>
            </w:r>
            <w:r w:rsidRPr="004A0C12">
              <w:rPr>
                <w:rFonts w:ascii="Garamond" w:eastAsia="Times New Roman" w:hAnsi="Garamond" w:cs="Times New Roman"/>
                <w:color w:val="0C0C0C"/>
                <w:spacing w:val="23"/>
                <w:w w:val="105"/>
              </w:rPr>
              <w:t xml:space="preserve"> </w:t>
            </w:r>
            <w:r w:rsidRPr="004A0C12">
              <w:rPr>
                <w:rFonts w:ascii="Garamond" w:eastAsia="Times New Roman" w:hAnsi="Garamond" w:cs="Times New Roman"/>
                <w:color w:val="0C0C0C"/>
                <w:w w:val="105"/>
              </w:rPr>
              <w:t>by</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101(a)(2)</w:t>
            </w:r>
            <w:r w:rsidRPr="004A0C12">
              <w:rPr>
                <w:rFonts w:ascii="Garamond" w:eastAsia="Times New Roman" w:hAnsi="Garamond" w:cs="Times New Roman"/>
                <w:color w:val="0C0C0C"/>
                <w:spacing w:val="-17"/>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Act..</w:t>
            </w:r>
          </w:p>
          <w:p w14:paraId="260A77FA" w14:textId="77777777" w:rsidR="001F7B29" w:rsidRPr="004A0C12" w:rsidRDefault="001F7B29" w:rsidP="00232F09">
            <w:pPr>
              <w:widowControl w:val="0"/>
              <w:numPr>
                <w:ilvl w:val="0"/>
                <w:numId w:val="198"/>
              </w:numPr>
              <w:tabs>
                <w:tab w:val="left" w:pos="475"/>
              </w:tabs>
              <w:spacing w:after="0" w:line="240" w:lineRule="auto"/>
              <w:ind w:left="475" w:hanging="365"/>
              <w:rPr>
                <w:rFonts w:ascii="Garamond" w:eastAsia="Times New Roman" w:hAnsi="Garamond" w:cs="Times New Roman"/>
              </w:rPr>
            </w:pPr>
            <w:r w:rsidRPr="004A0C12">
              <w:rPr>
                <w:rFonts w:ascii="Garamond" w:eastAsia="Times New Roman" w:hAnsi="Garamond" w:cs="Times New Roman"/>
                <w:color w:val="0C0C0C"/>
                <w:w w:val="110"/>
              </w:rPr>
              <w:t>the</w:t>
            </w:r>
            <w:r w:rsidRPr="004A0C12">
              <w:rPr>
                <w:rFonts w:ascii="Garamond" w:eastAsia="Times New Roman" w:hAnsi="Garamond" w:cs="Times New Roman"/>
                <w:color w:val="0C0C0C"/>
                <w:spacing w:val="-28"/>
                <w:w w:val="110"/>
              </w:rPr>
              <w:t xml:space="preserve"> </w:t>
            </w:r>
            <w:r w:rsidRPr="004A0C12">
              <w:rPr>
                <w:rFonts w:ascii="Garamond" w:eastAsia="Times New Roman" w:hAnsi="Garamond" w:cs="Times New Roman"/>
                <w:color w:val="0C0C0C"/>
                <w:w w:val="110"/>
              </w:rPr>
              <w:t>establishment</w:t>
            </w:r>
            <w:r w:rsidRPr="004A0C12">
              <w:rPr>
                <w:rFonts w:ascii="Garamond" w:eastAsia="Times New Roman" w:hAnsi="Garamond" w:cs="Times New Roman"/>
                <w:color w:val="0C0C0C"/>
                <w:spacing w:val="-30"/>
                <w:w w:val="110"/>
              </w:rPr>
              <w:t xml:space="preserve"> </w:t>
            </w:r>
            <w:r w:rsidRPr="004A0C12">
              <w:rPr>
                <w:rFonts w:ascii="Garamond" w:eastAsia="Times New Roman" w:hAnsi="Garamond" w:cs="Times New Roman"/>
                <w:color w:val="0C0C0C"/>
                <w:w w:val="110"/>
              </w:rPr>
              <w:t>of</w:t>
            </w:r>
            <w:r w:rsidRPr="004A0C12">
              <w:rPr>
                <w:rFonts w:ascii="Garamond" w:eastAsia="Times New Roman" w:hAnsi="Garamond" w:cs="Times New Roman"/>
                <w:color w:val="0C0C0C"/>
                <w:spacing w:val="-25"/>
                <w:w w:val="110"/>
              </w:rPr>
              <w:t xml:space="preserve"> </w:t>
            </w:r>
            <w:r w:rsidRPr="004A0C12">
              <w:rPr>
                <w:rFonts w:ascii="Garamond" w:eastAsia="Times New Roman" w:hAnsi="Garamond" w:cs="Times New Roman"/>
                <w:color w:val="0C0C0C"/>
                <w:w w:val="110"/>
              </w:rPr>
              <w:t>either</w:t>
            </w:r>
            <w:r w:rsidRPr="004A0C12">
              <w:rPr>
                <w:rFonts w:ascii="Garamond" w:eastAsia="Times New Roman" w:hAnsi="Garamond" w:cs="Times New Roman"/>
                <w:color w:val="0C0C0C"/>
                <w:spacing w:val="-35"/>
                <w:w w:val="110"/>
              </w:rPr>
              <w:t xml:space="preserve"> </w:t>
            </w:r>
            <w:r w:rsidRPr="004A0C12">
              <w:rPr>
                <w:rFonts w:ascii="Garamond" w:eastAsia="Times New Roman" w:hAnsi="Garamond" w:cs="Times New Roman"/>
                <w:color w:val="0C0C0C"/>
                <w:w w:val="110"/>
              </w:rPr>
              <w:t>a</w:t>
            </w:r>
            <w:r w:rsidRPr="004A0C12">
              <w:rPr>
                <w:rFonts w:ascii="Garamond" w:eastAsia="Times New Roman" w:hAnsi="Garamond" w:cs="Times New Roman"/>
                <w:color w:val="0C0C0C"/>
                <w:spacing w:val="-36"/>
                <w:w w:val="110"/>
              </w:rPr>
              <w:t xml:space="preserve"> </w:t>
            </w:r>
            <w:r w:rsidRPr="004A0C12">
              <w:rPr>
                <w:rFonts w:ascii="Garamond" w:eastAsia="Times New Roman" w:hAnsi="Garamond" w:cs="Times New Roman"/>
                <w:color w:val="0C0C0C"/>
                <w:w w:val="110"/>
              </w:rPr>
              <w:t>State</w:t>
            </w:r>
            <w:r w:rsidRPr="004A0C12">
              <w:rPr>
                <w:rFonts w:ascii="Garamond" w:eastAsia="Times New Roman" w:hAnsi="Garamond" w:cs="Times New Roman"/>
                <w:color w:val="0C0C0C"/>
                <w:spacing w:val="-34"/>
                <w:w w:val="110"/>
              </w:rPr>
              <w:t xml:space="preserve"> </w:t>
            </w:r>
            <w:r w:rsidRPr="004A0C12">
              <w:rPr>
                <w:rFonts w:ascii="Garamond" w:eastAsia="Times New Roman" w:hAnsi="Garamond" w:cs="Times New Roman"/>
                <w:color w:val="0C0C0C"/>
                <w:w w:val="110"/>
              </w:rPr>
              <w:t>independent</w:t>
            </w:r>
            <w:r w:rsidRPr="004A0C12">
              <w:rPr>
                <w:rFonts w:ascii="Garamond" w:eastAsia="Times New Roman" w:hAnsi="Garamond" w:cs="Times New Roman"/>
                <w:color w:val="0C0C0C"/>
                <w:spacing w:val="-19"/>
                <w:w w:val="110"/>
              </w:rPr>
              <w:t xml:space="preserve"> </w:t>
            </w:r>
            <w:r w:rsidRPr="004A0C12">
              <w:rPr>
                <w:rFonts w:ascii="Garamond" w:eastAsia="Times New Roman" w:hAnsi="Garamond" w:cs="Times New Roman"/>
                <w:color w:val="0C0C0C"/>
                <w:w w:val="110"/>
              </w:rPr>
              <w:t>commission</w:t>
            </w:r>
            <w:r w:rsidRPr="004A0C12">
              <w:rPr>
                <w:rFonts w:ascii="Garamond" w:eastAsia="Times New Roman" w:hAnsi="Garamond" w:cs="Times New Roman"/>
                <w:color w:val="0C0C0C"/>
                <w:spacing w:val="-16"/>
                <w:w w:val="110"/>
              </w:rPr>
              <w:t xml:space="preserve"> </w:t>
            </w:r>
            <w:r w:rsidRPr="004A0C12">
              <w:rPr>
                <w:rFonts w:ascii="Garamond" w:eastAsia="Times New Roman" w:hAnsi="Garamond" w:cs="Times New Roman"/>
                <w:color w:val="0C0C0C"/>
                <w:w w:val="110"/>
              </w:rPr>
              <w:t>or</w:t>
            </w:r>
            <w:r w:rsidRPr="004A0C12">
              <w:rPr>
                <w:rFonts w:ascii="Garamond" w:eastAsia="Times New Roman" w:hAnsi="Garamond" w:cs="Times New Roman"/>
                <w:color w:val="0C0C0C"/>
                <w:spacing w:val="-33"/>
                <w:w w:val="110"/>
              </w:rPr>
              <w:t xml:space="preserve"> </w:t>
            </w:r>
            <w:r w:rsidRPr="004A0C12">
              <w:rPr>
                <w:rFonts w:ascii="Garamond" w:eastAsia="Times New Roman" w:hAnsi="Garamond" w:cs="Times New Roman"/>
                <w:color w:val="0C0C0C"/>
                <w:w w:val="110"/>
              </w:rPr>
              <w:t>State</w:t>
            </w:r>
          </w:p>
          <w:p w14:paraId="7AA972C8" w14:textId="77777777" w:rsidR="001F7B29" w:rsidRPr="004A0C12" w:rsidRDefault="001F7B29" w:rsidP="00A2533C">
            <w:pPr>
              <w:widowControl w:val="0"/>
              <w:spacing w:after="0" w:line="240" w:lineRule="auto"/>
              <w:ind w:left="475" w:right="213"/>
              <w:rPr>
                <w:rFonts w:ascii="Garamond" w:eastAsia="Times New Roman" w:hAnsi="Garamond" w:cs="Times New Roman"/>
              </w:rPr>
            </w:pP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Council,</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required</w:t>
            </w:r>
            <w:r w:rsidRPr="004A0C12">
              <w:rPr>
                <w:rFonts w:ascii="Garamond" w:eastAsia="Times New Roman" w:hAnsi="Garamond" w:cs="Times New Roman"/>
                <w:color w:val="0C0C0C"/>
                <w:spacing w:val="14"/>
                <w:w w:val="105"/>
              </w:rPr>
              <w:t xml:space="preserve"> </w:t>
            </w:r>
            <w:r w:rsidRPr="004A0C12">
              <w:rPr>
                <w:rFonts w:ascii="Garamond" w:eastAsia="Times New Roman" w:hAnsi="Garamond" w:cs="Times New Roman"/>
                <w:color w:val="0C0C0C"/>
                <w:w w:val="105"/>
              </w:rPr>
              <w:t>by</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101(a)(21)</w:t>
            </w:r>
            <w:r w:rsidRPr="004A0C12">
              <w:rPr>
                <w:rFonts w:ascii="Garamond" w:eastAsia="Times New Roman" w:hAnsi="Garamond" w:cs="Times New Roman"/>
                <w:color w:val="0C0C0C"/>
                <w:spacing w:val="-26"/>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w w:val="103"/>
              </w:rPr>
              <w:t xml:space="preserve"> </w:t>
            </w:r>
            <w:r w:rsidRPr="004A0C12">
              <w:rPr>
                <w:rFonts w:ascii="Garamond" w:eastAsia="Times New Roman" w:hAnsi="Garamond" w:cs="Times New Roman"/>
                <w:color w:val="0C0C0C"/>
                <w:w w:val="105"/>
              </w:rPr>
              <w:t>Act.</w:t>
            </w:r>
            <w:r w:rsidRPr="004A0C12">
              <w:rPr>
                <w:rFonts w:ascii="Garamond" w:eastAsia="Times New Roman" w:hAnsi="Garamond" w:cs="Times New Roman"/>
                <w:color w:val="0C0C0C"/>
                <w:spacing w:val="29"/>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9"/>
                <w:w w:val="105"/>
              </w:rPr>
              <w:t xml:space="preserve"> </w:t>
            </w:r>
            <w:r w:rsidRPr="004A0C12">
              <w:rPr>
                <w:rFonts w:ascii="Garamond" w:eastAsia="Times New Roman" w:hAnsi="Garamond" w:cs="Times New Roman"/>
                <w:color w:val="0C0C0C"/>
                <w:w w:val="105"/>
              </w:rPr>
              <w:t>designated</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24"/>
                <w:w w:val="105"/>
              </w:rPr>
              <w:t xml:space="preserve"> </w:t>
            </w:r>
            <w:r w:rsidRPr="004A0C12">
              <w:rPr>
                <w:rFonts w:ascii="Garamond" w:eastAsia="Times New Roman" w:hAnsi="Garamond" w:cs="Times New Roman"/>
                <w:color w:val="0C0C0C"/>
                <w:w w:val="105"/>
              </w:rPr>
              <w:t>agency</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or</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designated</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unit,</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spacing w:val="-17"/>
                <w:w w:val="105"/>
              </w:rPr>
              <w:t xml:space="preserve"> </w:t>
            </w:r>
            <w:r w:rsidRPr="004A0C12">
              <w:rPr>
                <w:rFonts w:ascii="Garamond" w:eastAsia="Times New Roman" w:hAnsi="Garamond" w:cs="Times New Roman"/>
                <w:color w:val="0C0C0C"/>
                <w:w w:val="105"/>
              </w:rPr>
              <w:t>applicable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(Option</w:t>
            </w:r>
            <w:r w:rsidRPr="004A0C12">
              <w:rPr>
                <w:rFonts w:ascii="Garamond" w:eastAsia="Times New Roman" w:hAnsi="Garamond" w:cs="Times New Roman"/>
                <w:color w:val="0C0C0C"/>
                <w:w w:val="101"/>
              </w:rPr>
              <w:t xml:space="preserve"> </w:t>
            </w:r>
            <w:r w:rsidRPr="004A0C12">
              <w:rPr>
                <w:rFonts w:ascii="Garamond" w:eastAsia="Times New Roman" w:hAnsi="Garamond" w:cs="Times New Roman"/>
                <w:color w:val="0C0C0C"/>
                <w:w w:val="105"/>
              </w:rPr>
              <w:t>A</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or B</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must</w:t>
            </w:r>
            <w:r w:rsidRPr="004A0C12">
              <w:rPr>
                <w:rFonts w:ascii="Garamond" w:eastAsia="Times New Roman" w:hAnsi="Garamond" w:cs="Times New Roman"/>
                <w:color w:val="0C0C0C"/>
                <w:spacing w:val="29"/>
                <w:w w:val="105"/>
              </w:rPr>
              <w:t xml:space="preserve"> </w:t>
            </w:r>
            <w:r w:rsidRPr="004A0C12">
              <w:rPr>
                <w:rFonts w:ascii="Garamond" w:eastAsia="Times New Roman" w:hAnsi="Garamond" w:cs="Times New Roman"/>
                <w:color w:val="0C0C0C"/>
                <w:w w:val="105"/>
              </w:rPr>
              <w:t>be</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selected):</w:t>
            </w:r>
          </w:p>
          <w:p w14:paraId="51A54F00" w14:textId="77777777" w:rsidR="001F7B29" w:rsidRPr="004A0C12" w:rsidRDefault="001F7B29" w:rsidP="00232F09">
            <w:pPr>
              <w:widowControl w:val="0"/>
              <w:numPr>
                <w:ilvl w:val="1"/>
                <w:numId w:val="198"/>
              </w:numPr>
              <w:tabs>
                <w:tab w:val="left" w:pos="1694"/>
              </w:tabs>
              <w:spacing w:after="0" w:line="240" w:lineRule="auto"/>
              <w:ind w:left="1694"/>
              <w:rPr>
                <w:rFonts w:ascii="Garamond" w:eastAsia="Times New Roman" w:hAnsi="Garamond" w:cs="Times New Roman"/>
              </w:rPr>
            </w:pPr>
            <w:r w:rsidRPr="004A0C12">
              <w:rPr>
                <w:rFonts w:ascii="Garamond" w:eastAsia="Times New Roman" w:hAnsi="Garamond" w:cs="Times New Roman"/>
                <w:color w:val="0C0C0C"/>
                <w:w w:val="105"/>
              </w:rPr>
              <w:t>is</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an</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independent</w:t>
            </w:r>
            <w:r w:rsidRPr="004A0C12">
              <w:rPr>
                <w:rFonts w:ascii="Garamond" w:eastAsia="Times New Roman" w:hAnsi="Garamond" w:cs="Times New Roman"/>
                <w:color w:val="0C0C0C"/>
                <w:spacing w:val="17"/>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commission.</w:t>
            </w:r>
          </w:p>
          <w:p w14:paraId="4DD4A604" w14:textId="77777777" w:rsidR="001F7B29" w:rsidRPr="004A0C12" w:rsidRDefault="001F7B29" w:rsidP="00232F09">
            <w:pPr>
              <w:widowControl w:val="0"/>
              <w:numPr>
                <w:ilvl w:val="1"/>
                <w:numId w:val="198"/>
              </w:numPr>
              <w:tabs>
                <w:tab w:val="left" w:pos="1336"/>
                <w:tab w:val="left" w:pos="1694"/>
                <w:tab w:val="left" w:pos="2150"/>
              </w:tabs>
              <w:spacing w:after="0" w:line="240" w:lineRule="auto"/>
              <w:ind w:left="1694" w:right="1176"/>
              <w:rPr>
                <w:rFonts w:ascii="Garamond" w:eastAsia="Times New Roman" w:hAnsi="Garamond" w:cs="Times New Roman"/>
              </w:rPr>
            </w:pPr>
            <w:r w:rsidRPr="004A0C12">
              <w:rPr>
                <w:rFonts w:ascii="Garamond" w:eastAsia="Times New Roman" w:hAnsi="Garamond" w:cs="Times New Roman"/>
                <w:color w:val="0C0C0C"/>
                <w:w w:val="105"/>
              </w:rPr>
              <w:t>has</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established</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a</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14"/>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Council</w:t>
            </w:r>
          </w:p>
          <w:p w14:paraId="71F1BA52" w14:textId="77777777" w:rsidR="001F7B29" w:rsidRPr="004A0C12" w:rsidRDefault="001F7B29" w:rsidP="00232F09">
            <w:pPr>
              <w:widowControl w:val="0"/>
              <w:numPr>
                <w:ilvl w:val="0"/>
                <w:numId w:val="198"/>
              </w:numPr>
              <w:tabs>
                <w:tab w:val="left" w:pos="465"/>
              </w:tabs>
              <w:spacing w:after="0" w:line="240" w:lineRule="auto"/>
              <w:ind w:left="475" w:right="116" w:hanging="365"/>
              <w:rPr>
                <w:rFonts w:ascii="Garamond" w:eastAsia="Times New Roman" w:hAnsi="Garamond" w:cs="Times New Roman"/>
              </w:rPr>
            </w:pPr>
            <w:r w:rsidRPr="004A0C12">
              <w:rPr>
                <w:rFonts w:ascii="Garamond" w:eastAsia="Times New Roman" w:hAnsi="Garamond" w:cs="Times New Roman"/>
                <w:color w:val="0C0C0C"/>
                <w:w w:val="105"/>
              </w:rPr>
              <w:t>consultations</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regarding</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8"/>
                <w:w w:val="105"/>
              </w:rPr>
              <w:t xml:space="preserve"> </w:t>
            </w:r>
            <w:r w:rsidRPr="004A0C12">
              <w:rPr>
                <w:rFonts w:ascii="Garamond" w:eastAsia="Times New Roman" w:hAnsi="Garamond" w:cs="Times New Roman"/>
                <w:color w:val="0C0C0C"/>
                <w:w w:val="105"/>
              </w:rPr>
              <w:t>administration</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8"/>
                <w:w w:val="105"/>
              </w:rPr>
              <w:t xml:space="preserve"> </w:t>
            </w:r>
            <w:r w:rsidRPr="004A0C12">
              <w:rPr>
                <w:rFonts w:ascii="Garamond" w:eastAsia="Times New Roman" w:hAnsi="Garamond" w:cs="Times New Roman"/>
                <w:color w:val="0C0C0C"/>
                <w:w w:val="105"/>
              </w:rPr>
              <w:t>VR</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services</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portion</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Unified</w:t>
            </w:r>
            <w:r w:rsidRPr="004A0C12">
              <w:rPr>
                <w:rFonts w:ascii="Garamond" w:eastAsia="Times New Roman" w:hAnsi="Garamond" w:cs="Times New Roman"/>
                <w:color w:val="0C0C0C"/>
                <w:spacing w:val="24"/>
              </w:rPr>
              <w:t xml:space="preserve"> </w:t>
            </w:r>
            <w:r w:rsidRPr="004A0C12">
              <w:rPr>
                <w:rFonts w:ascii="Garamond" w:eastAsia="Times New Roman" w:hAnsi="Garamond" w:cs="Times New Roman"/>
                <w:color w:val="0C0C0C"/>
                <w:w w:val="105"/>
              </w:rPr>
              <w:t>or</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Combined</w:t>
            </w:r>
            <w:r w:rsidRPr="004A0C12">
              <w:rPr>
                <w:rFonts w:ascii="Garamond" w:eastAsia="Times New Roman" w:hAnsi="Garamond" w:cs="Times New Roman"/>
                <w:color w:val="0C0C0C"/>
                <w:spacing w:val="56"/>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Plan,</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in</w:t>
            </w:r>
            <w:r w:rsidRPr="004A0C12">
              <w:rPr>
                <w:rFonts w:ascii="Garamond" w:eastAsia="Times New Roman" w:hAnsi="Garamond" w:cs="Times New Roman"/>
                <w:color w:val="0C0C0C"/>
                <w:spacing w:val="-14"/>
                <w:w w:val="105"/>
              </w:rPr>
              <w:t xml:space="preserve"> </w:t>
            </w:r>
            <w:r w:rsidRPr="004A0C12">
              <w:rPr>
                <w:rFonts w:ascii="Garamond" w:eastAsia="Times New Roman" w:hAnsi="Garamond" w:cs="Times New Roman"/>
                <w:color w:val="0C0C0C"/>
                <w:w w:val="105"/>
              </w:rPr>
              <w:t>accordance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with</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101(a)(16)(B)</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 xml:space="preserve">the </w:t>
            </w:r>
            <w:r w:rsidRPr="004A0C12">
              <w:rPr>
                <w:rFonts w:ascii="Garamond" w:eastAsia="Times New Roman" w:hAnsi="Garamond" w:cs="Times New Roman"/>
                <w:color w:val="0C0C0C"/>
              </w:rPr>
              <w:t>Rehabilitation</w:t>
            </w:r>
            <w:r w:rsidRPr="004A0C12">
              <w:rPr>
                <w:rFonts w:ascii="Garamond" w:eastAsia="Times New Roman" w:hAnsi="Garamond" w:cs="Times New Roman"/>
                <w:color w:val="0C0C0C"/>
                <w:spacing w:val="32"/>
              </w:rPr>
              <w:t xml:space="preserve"> </w:t>
            </w:r>
            <w:r w:rsidRPr="004A0C12">
              <w:rPr>
                <w:rFonts w:ascii="Garamond" w:eastAsia="Times New Roman" w:hAnsi="Garamond" w:cs="Times New Roman"/>
                <w:color w:val="0C0C0C"/>
              </w:rPr>
              <w:t>Act.</w:t>
            </w:r>
          </w:p>
          <w:p w14:paraId="6185D7F2"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0C0C0C"/>
                <w:w w:val="105"/>
              </w:rPr>
              <w:t xml:space="preserve">        the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non-Federal</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share,</w:t>
            </w:r>
            <w:r w:rsidRPr="004A0C12">
              <w:rPr>
                <w:rFonts w:ascii="Garamond" w:eastAsia="Times New Roman" w:hAnsi="Garamond" w:cs="Times New Roman"/>
                <w:color w:val="0C0C0C"/>
                <w:spacing w:val="-28"/>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described</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in</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34</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CFR</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361.60.</w:t>
            </w:r>
          </w:p>
          <w:p w14:paraId="66BA3800" w14:textId="77777777" w:rsidR="001F7B29" w:rsidRPr="004A0C12" w:rsidRDefault="001F7B29" w:rsidP="00232F09">
            <w:pPr>
              <w:widowControl w:val="0"/>
              <w:numPr>
                <w:ilvl w:val="0"/>
                <w:numId w:val="198"/>
              </w:numPr>
              <w:tabs>
                <w:tab w:val="left" w:pos="456"/>
              </w:tabs>
              <w:spacing w:after="0" w:line="240" w:lineRule="auto"/>
              <w:ind w:left="456" w:right="154" w:hanging="346"/>
              <w:rPr>
                <w:rFonts w:ascii="Garamond" w:eastAsia="Times New Roman" w:hAnsi="Garamond" w:cs="Times New Roman"/>
              </w:rPr>
            </w:pP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local</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administration of</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VR</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services</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portion</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Unified</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or</w:t>
            </w:r>
            <w:r w:rsidRPr="004A0C12">
              <w:rPr>
                <w:rFonts w:ascii="Garamond" w:eastAsia="Times New Roman" w:hAnsi="Garamond" w:cs="Times New Roman"/>
                <w:color w:val="0C0C0C"/>
                <w:spacing w:val="-19"/>
                <w:w w:val="105"/>
              </w:rPr>
              <w:t xml:space="preserve"> </w:t>
            </w:r>
            <w:r w:rsidRPr="004A0C12">
              <w:rPr>
                <w:rFonts w:ascii="Garamond" w:eastAsia="Times New Roman" w:hAnsi="Garamond" w:cs="Times New Roman"/>
                <w:color w:val="0C0C0C"/>
                <w:w w:val="105"/>
              </w:rPr>
              <w:t>Combined</w:t>
            </w:r>
            <w:r w:rsidRPr="004A0C12">
              <w:rPr>
                <w:rFonts w:ascii="Garamond" w:eastAsia="Times New Roman" w:hAnsi="Garamond" w:cs="Times New Roman"/>
                <w:color w:val="0C0C0C"/>
                <w:w w:val="102"/>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Plan,</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in</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accordance</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with</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101(a)(2)(A)</w:t>
            </w:r>
            <w:r w:rsidRPr="004A0C12">
              <w:rPr>
                <w:rFonts w:ascii="Garamond" w:eastAsia="Times New Roman" w:hAnsi="Garamond" w:cs="Times New Roman"/>
                <w:color w:val="0C0C0C"/>
                <w:spacing w:val="-22"/>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Act.</w:t>
            </w:r>
            <w:r w:rsidRPr="004A0C12">
              <w:rPr>
                <w:rFonts w:ascii="Garamond" w:eastAsia="Times New Roman" w:hAnsi="Garamond" w:cs="Times New Roman"/>
                <w:color w:val="0C0C0C"/>
                <w:w w:val="94"/>
              </w:rPr>
              <w:t xml:space="preserve"> </w:t>
            </w:r>
            <w:r w:rsidRPr="004A0C12">
              <w:rPr>
                <w:rFonts w:ascii="Garamond" w:eastAsia="Times New Roman" w:hAnsi="Garamond" w:cs="Times New Roman"/>
                <w:color w:val="0C0C0C"/>
                <w:w w:val="105"/>
              </w:rPr>
              <w:t>Select</w:t>
            </w:r>
            <w:r w:rsidRPr="004A0C12">
              <w:rPr>
                <w:rFonts w:ascii="Garamond" w:eastAsia="Times New Roman" w:hAnsi="Garamond" w:cs="Times New Roman"/>
                <w:color w:val="0C0C0C"/>
                <w:spacing w:val="-20"/>
                <w:w w:val="105"/>
              </w:rPr>
              <w:t xml:space="preserve"> </w:t>
            </w:r>
            <w:r w:rsidRPr="004A0C12">
              <w:rPr>
                <w:rFonts w:ascii="Garamond" w:eastAsia="Times New Roman" w:hAnsi="Garamond" w:cs="Times New Roman"/>
                <w:color w:val="0C0C0C"/>
                <w:w w:val="105"/>
              </w:rPr>
              <w:t>yes or</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no,</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spacing w:val="36"/>
                <w:w w:val="105"/>
              </w:rPr>
              <w:t xml:space="preserve"> </w:t>
            </w:r>
            <w:r w:rsidRPr="004A0C12">
              <w:rPr>
                <w:rFonts w:ascii="Garamond" w:eastAsia="Times New Roman" w:hAnsi="Garamond" w:cs="Times New Roman"/>
                <w:color w:val="0C0C0C"/>
                <w:w w:val="105"/>
              </w:rPr>
              <w:t>appropriate,</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to</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identify</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if</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designated</w:t>
            </w:r>
            <w:r w:rsidRPr="004A0C12">
              <w:rPr>
                <w:rFonts w:ascii="Garamond" w:eastAsia="Times New Roman" w:hAnsi="Garamond" w:cs="Times New Roman"/>
                <w:color w:val="0C0C0C"/>
                <w:spacing w:val="19"/>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agency</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allows</w:t>
            </w:r>
            <w:r w:rsidRPr="004A0C12">
              <w:rPr>
                <w:rFonts w:ascii="Garamond" w:eastAsia="Times New Roman" w:hAnsi="Garamond" w:cs="Times New Roman"/>
                <w:color w:val="0C0C0C"/>
                <w:w w:val="104"/>
              </w:rPr>
              <w:t xml:space="preserve"> </w:t>
            </w:r>
            <w:r w:rsidRPr="004A0C12">
              <w:rPr>
                <w:rFonts w:ascii="Garamond" w:eastAsia="Times New Roman" w:hAnsi="Garamond" w:cs="Times New Roman"/>
                <w:color w:val="0C0C0C"/>
                <w:w w:val="105"/>
              </w:rPr>
              <w:t>for</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local</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administration</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of VR</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funds,</w:t>
            </w:r>
            <w:r w:rsidRPr="004A0C12">
              <w:rPr>
                <w:rFonts w:ascii="Garamond" w:eastAsia="Times New Roman" w:hAnsi="Garamond" w:cs="Times New Roman"/>
                <w:color w:val="0C0C0C"/>
                <w:spacing w:val="37"/>
                <w:w w:val="105"/>
              </w:rPr>
              <w:t xml:space="preserve"> </w:t>
            </w:r>
            <w:r w:rsidRPr="004A0C12">
              <w:rPr>
                <w:rFonts w:ascii="Garamond" w:eastAsia="Times New Roman" w:hAnsi="Garamond" w:cs="Times New Roman"/>
                <w:b/>
                <w:color w:val="0C0C0C"/>
                <w:w w:val="105"/>
              </w:rPr>
              <w:t>NO</w:t>
            </w:r>
          </w:p>
          <w:p w14:paraId="11035715" w14:textId="77777777" w:rsidR="001F7B29" w:rsidRPr="004A0C12" w:rsidRDefault="001F7B29" w:rsidP="00232F09">
            <w:pPr>
              <w:widowControl w:val="0"/>
              <w:numPr>
                <w:ilvl w:val="0"/>
                <w:numId w:val="198"/>
              </w:numPr>
              <w:tabs>
                <w:tab w:val="left" w:pos="456"/>
              </w:tabs>
              <w:spacing w:after="0" w:line="240" w:lineRule="auto"/>
              <w:ind w:left="456" w:hanging="356"/>
              <w:rPr>
                <w:rFonts w:ascii="Garamond" w:eastAsia="Times New Roman" w:hAnsi="Garamond" w:cs="Times New Roman"/>
              </w:rPr>
            </w:pP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shared</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funding</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administration</w:t>
            </w:r>
            <w:r w:rsidRPr="004A0C12">
              <w:rPr>
                <w:rFonts w:ascii="Garamond" w:eastAsia="Times New Roman" w:hAnsi="Garamond" w:cs="Times New Roman"/>
                <w:color w:val="0C0C0C"/>
                <w:spacing w:val="29"/>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joint</w:t>
            </w:r>
            <w:r w:rsidRPr="004A0C12">
              <w:rPr>
                <w:rFonts w:ascii="Garamond" w:eastAsia="Times New Roman" w:hAnsi="Garamond" w:cs="Times New Roman"/>
                <w:color w:val="0C0C0C"/>
                <w:spacing w:val="25"/>
                <w:w w:val="105"/>
              </w:rPr>
              <w:t xml:space="preserve"> </w:t>
            </w:r>
            <w:r w:rsidRPr="004A0C12">
              <w:rPr>
                <w:rFonts w:ascii="Garamond" w:eastAsia="Times New Roman" w:hAnsi="Garamond" w:cs="Times New Roman"/>
                <w:color w:val="0C0C0C"/>
                <w:w w:val="105"/>
              </w:rPr>
              <w:t>programs,</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in</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accordance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with</w:t>
            </w:r>
          </w:p>
          <w:p w14:paraId="48307681" w14:textId="77777777" w:rsidR="001F7B29" w:rsidRPr="004A0C12" w:rsidRDefault="001F7B29" w:rsidP="00A2533C">
            <w:pPr>
              <w:widowControl w:val="0"/>
              <w:spacing w:after="0" w:line="240" w:lineRule="auto"/>
              <w:ind w:left="456" w:right="689"/>
              <w:rPr>
                <w:rFonts w:ascii="Garamond" w:eastAsia="Times New Roman" w:hAnsi="Garamond" w:cs="Times New Roman"/>
                <w:b/>
              </w:rPr>
            </w:pP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101(a)(2)(A)(ii)</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Act.</w:t>
            </w:r>
            <w:r w:rsidRPr="004A0C12">
              <w:rPr>
                <w:rFonts w:ascii="Garamond" w:eastAsia="Times New Roman" w:hAnsi="Garamond" w:cs="Times New Roman"/>
                <w:color w:val="0C0C0C"/>
                <w:spacing w:val="42"/>
                <w:w w:val="105"/>
              </w:rPr>
              <w:t xml:space="preserve"> </w:t>
            </w:r>
            <w:r w:rsidRPr="004A0C12">
              <w:rPr>
                <w:rFonts w:ascii="Garamond" w:eastAsia="Times New Roman" w:hAnsi="Garamond" w:cs="Times New Roman"/>
                <w:color w:val="0C0C0C"/>
                <w:w w:val="105"/>
              </w:rPr>
              <w:t>Select</w:t>
            </w:r>
            <w:r w:rsidRPr="004A0C12">
              <w:rPr>
                <w:rFonts w:ascii="Garamond" w:eastAsia="Times New Roman" w:hAnsi="Garamond" w:cs="Times New Roman"/>
                <w:color w:val="0C0C0C"/>
                <w:spacing w:val="-31"/>
                <w:w w:val="105"/>
              </w:rPr>
              <w:t xml:space="preserve"> </w:t>
            </w:r>
            <w:r w:rsidRPr="004A0C12">
              <w:rPr>
                <w:rFonts w:ascii="Garamond" w:eastAsia="Times New Roman" w:hAnsi="Garamond" w:cs="Times New Roman"/>
                <w:color w:val="0C0C0C"/>
                <w:w w:val="105"/>
              </w:rPr>
              <w:t>yes</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or</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no,</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 xml:space="preserve">as </w:t>
            </w:r>
            <w:r w:rsidRPr="004A0C12">
              <w:rPr>
                <w:rFonts w:ascii="Garamond" w:eastAsia="Times New Roman" w:hAnsi="Garamond" w:cs="Times New Roman"/>
                <w:color w:val="0C0C0C"/>
                <w:w w:val="107"/>
              </w:rPr>
              <w:t xml:space="preserve">       </w:t>
            </w:r>
            <w:r w:rsidRPr="004A0C12">
              <w:rPr>
                <w:rFonts w:ascii="Garamond" w:eastAsia="Times New Roman" w:hAnsi="Garamond" w:cs="Times New Roman"/>
                <w:color w:val="0C0C0C"/>
                <w:w w:val="105"/>
              </w:rPr>
              <w:t>appropriate,</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to</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identify</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if</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the designated</w:t>
            </w:r>
            <w:r w:rsidRPr="004A0C12">
              <w:rPr>
                <w:rFonts w:ascii="Garamond" w:eastAsia="Times New Roman" w:hAnsi="Garamond" w:cs="Times New Roman"/>
                <w:color w:val="0C0C0C"/>
                <w:spacing w:val="25"/>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agency</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allows</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for</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shared</w:t>
            </w:r>
            <w:r w:rsidRPr="004A0C12">
              <w:rPr>
                <w:rFonts w:ascii="Garamond" w:eastAsia="Times New Roman" w:hAnsi="Garamond" w:cs="Times New Roman"/>
                <w:color w:val="0C0C0C"/>
                <w:w w:val="109"/>
              </w:rPr>
              <w:t xml:space="preserve">     </w:t>
            </w:r>
            <w:r w:rsidRPr="004A0C12">
              <w:rPr>
                <w:rFonts w:ascii="Garamond" w:eastAsia="Times New Roman" w:hAnsi="Garamond" w:cs="Times New Roman"/>
                <w:color w:val="0C0C0C"/>
                <w:w w:val="105"/>
              </w:rPr>
              <w:t>funding</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administration</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joint</w:t>
            </w:r>
            <w:r w:rsidRPr="004A0C12">
              <w:rPr>
                <w:rFonts w:ascii="Garamond" w:eastAsia="Times New Roman" w:hAnsi="Garamond" w:cs="Times New Roman"/>
                <w:color w:val="0C0C0C"/>
                <w:spacing w:val="17"/>
                <w:w w:val="105"/>
              </w:rPr>
              <w:t xml:space="preserve"> </w:t>
            </w:r>
            <w:r w:rsidRPr="004A0C12">
              <w:rPr>
                <w:rFonts w:ascii="Garamond" w:eastAsia="Times New Roman" w:hAnsi="Garamond" w:cs="Times New Roman"/>
                <w:color w:val="0C0C0C"/>
                <w:w w:val="105"/>
              </w:rPr>
              <w:t xml:space="preserve">programs, </w:t>
            </w:r>
            <w:r w:rsidRPr="004A0C12">
              <w:rPr>
                <w:rFonts w:ascii="Garamond" w:eastAsia="Times New Roman" w:hAnsi="Garamond" w:cs="Times New Roman"/>
                <w:color w:val="0C0C0C"/>
                <w:spacing w:val="41"/>
                <w:w w:val="105"/>
              </w:rPr>
              <w:t xml:space="preserve"> </w:t>
            </w:r>
            <w:r w:rsidRPr="004A0C12">
              <w:rPr>
                <w:rFonts w:ascii="Garamond" w:eastAsia="Times New Roman" w:hAnsi="Garamond" w:cs="Times New Roman"/>
                <w:b/>
                <w:color w:val="0C0C0C"/>
                <w:w w:val="105"/>
              </w:rPr>
              <w:t>NO</w:t>
            </w:r>
          </w:p>
          <w:p w14:paraId="063EFD59" w14:textId="50F4745B" w:rsidR="001F7B29" w:rsidRPr="004A0C12" w:rsidRDefault="001F7B29" w:rsidP="00A2533C">
            <w:pPr>
              <w:widowControl w:val="0"/>
              <w:spacing w:after="0" w:line="240" w:lineRule="auto"/>
              <w:ind w:left="76" w:hanging="76"/>
              <w:rPr>
                <w:rFonts w:ascii="Garamond" w:eastAsia="Times New Roman" w:hAnsi="Garamond" w:cs="Times New Roman"/>
              </w:rPr>
            </w:pPr>
            <w:r w:rsidRPr="004A0C12">
              <w:rPr>
                <w:rFonts w:ascii="Garamond" w:eastAsia="Times New Roman" w:hAnsi="Garamond" w:cs="Times New Roman"/>
                <w:color w:val="0C0C0C"/>
                <w:w w:val="105"/>
              </w:rPr>
              <w:t xml:space="preserve">  </w:t>
            </w:r>
            <w:r w:rsidR="00881DB5" w:rsidRPr="004A0C12">
              <w:rPr>
                <w:rFonts w:ascii="Garamond" w:eastAsia="Times New Roman" w:hAnsi="Garamond" w:cs="Times New Roman"/>
                <w:color w:val="0C0C0C"/>
                <w:w w:val="105"/>
              </w:rPr>
              <w:t xml:space="preserve">(f) </w:t>
            </w:r>
            <w:r w:rsidR="00881DB5" w:rsidRPr="004A0C12">
              <w:rPr>
                <w:rFonts w:ascii="Garamond" w:eastAsia="Times New Roman" w:hAnsi="Garamond" w:cs="Times New Roman"/>
                <w:color w:val="0C0C0C"/>
                <w:spacing w:val="28"/>
                <w:w w:val="105"/>
              </w:rPr>
              <w:t xml:space="preserve"> </w:t>
            </w:r>
            <w:r w:rsidR="00881DB5">
              <w:rPr>
                <w:rFonts w:ascii="Garamond" w:eastAsia="Times New Roman" w:hAnsi="Garamond" w:cs="Times New Roman"/>
                <w:color w:val="0C0C0C"/>
                <w:w w:val="105"/>
              </w:rPr>
              <w:t>statewide-ness</w:t>
            </w:r>
            <w:r w:rsidR="00881DB5" w:rsidRPr="004A0C12">
              <w:rPr>
                <w:rFonts w:ascii="Garamond" w:eastAsia="Times New Roman" w:hAnsi="Garamond" w:cs="Times New Roman"/>
                <w:color w:val="0C0C0C"/>
                <w:spacing w:val="5"/>
                <w:w w:val="105"/>
              </w:rPr>
              <w:t xml:space="preserve"> </w:t>
            </w:r>
            <w:r w:rsidR="00881DB5" w:rsidRPr="004A0C12">
              <w:rPr>
                <w:rFonts w:ascii="Garamond" w:eastAsia="Times New Roman" w:hAnsi="Garamond" w:cs="Times New Roman"/>
                <w:color w:val="0C0C0C"/>
                <w:w w:val="105"/>
              </w:rPr>
              <w:t>and</w:t>
            </w:r>
            <w:r w:rsidR="00881DB5" w:rsidRPr="004A0C12">
              <w:rPr>
                <w:rFonts w:ascii="Garamond" w:eastAsia="Times New Roman" w:hAnsi="Garamond" w:cs="Times New Roman"/>
                <w:color w:val="0C0C0C"/>
                <w:spacing w:val="2"/>
                <w:w w:val="105"/>
              </w:rPr>
              <w:t xml:space="preserve"> </w:t>
            </w:r>
            <w:r w:rsidR="00881DB5" w:rsidRPr="004A0C12">
              <w:rPr>
                <w:rFonts w:ascii="Garamond" w:eastAsia="Times New Roman" w:hAnsi="Garamond" w:cs="Times New Roman"/>
                <w:color w:val="0C0C0C"/>
                <w:w w:val="105"/>
              </w:rPr>
              <w:t>waivers</w:t>
            </w:r>
            <w:r w:rsidR="00881DB5" w:rsidRPr="004A0C12">
              <w:rPr>
                <w:rFonts w:ascii="Garamond" w:eastAsia="Times New Roman" w:hAnsi="Garamond" w:cs="Times New Roman"/>
                <w:color w:val="0C0C0C"/>
                <w:spacing w:val="25"/>
                <w:w w:val="105"/>
              </w:rPr>
              <w:t xml:space="preserve"> </w:t>
            </w:r>
            <w:r w:rsidR="00881DB5" w:rsidRPr="004A0C12">
              <w:rPr>
                <w:rFonts w:ascii="Garamond" w:eastAsia="Times New Roman" w:hAnsi="Garamond" w:cs="Times New Roman"/>
                <w:color w:val="0C0C0C"/>
                <w:w w:val="105"/>
              </w:rPr>
              <w:t>of</w:t>
            </w:r>
            <w:r w:rsidR="00881DB5" w:rsidRPr="004A0C12">
              <w:rPr>
                <w:rFonts w:ascii="Garamond" w:eastAsia="Times New Roman" w:hAnsi="Garamond" w:cs="Times New Roman"/>
                <w:color w:val="0C0C0C"/>
                <w:spacing w:val="5"/>
                <w:w w:val="105"/>
              </w:rPr>
              <w:t xml:space="preserve"> </w:t>
            </w:r>
            <w:r w:rsidR="00881DB5">
              <w:rPr>
                <w:rFonts w:ascii="Garamond" w:eastAsia="Times New Roman" w:hAnsi="Garamond" w:cs="Times New Roman"/>
                <w:color w:val="0C0C0C"/>
                <w:w w:val="105"/>
              </w:rPr>
              <w:t>statewide-ness</w:t>
            </w:r>
            <w:r w:rsidR="00881DB5" w:rsidRPr="004A0C12">
              <w:rPr>
                <w:rFonts w:ascii="Garamond" w:eastAsia="Times New Roman" w:hAnsi="Garamond" w:cs="Times New Roman"/>
                <w:color w:val="0C0C0C"/>
                <w:spacing w:val="28"/>
                <w:w w:val="105"/>
              </w:rPr>
              <w:t xml:space="preserve"> </w:t>
            </w:r>
            <w:r w:rsidR="00881DB5" w:rsidRPr="004A0C12">
              <w:rPr>
                <w:rFonts w:ascii="Garamond" w:eastAsia="Times New Roman" w:hAnsi="Garamond" w:cs="Times New Roman"/>
                <w:color w:val="0C0C0C"/>
                <w:w w:val="105"/>
              </w:rPr>
              <w:t>requirements,</w:t>
            </w:r>
            <w:r w:rsidR="00881DB5" w:rsidRPr="004A0C12">
              <w:rPr>
                <w:rFonts w:ascii="Garamond" w:eastAsia="Times New Roman" w:hAnsi="Garamond" w:cs="Times New Roman"/>
                <w:color w:val="0C0C0C"/>
                <w:spacing w:val="38"/>
                <w:w w:val="105"/>
              </w:rPr>
              <w:t xml:space="preserve"> </w:t>
            </w:r>
            <w:r w:rsidR="00881DB5" w:rsidRPr="004A0C12">
              <w:rPr>
                <w:rFonts w:ascii="Garamond" w:eastAsia="Times New Roman" w:hAnsi="Garamond" w:cs="Times New Roman"/>
                <w:color w:val="0C0C0C"/>
                <w:w w:val="105"/>
              </w:rPr>
              <w:t>as</w:t>
            </w:r>
            <w:r w:rsidR="00881DB5" w:rsidRPr="004A0C12">
              <w:rPr>
                <w:rFonts w:ascii="Garamond" w:eastAsia="Times New Roman" w:hAnsi="Garamond" w:cs="Times New Roman"/>
                <w:color w:val="0C0C0C"/>
                <w:spacing w:val="-11"/>
                <w:w w:val="105"/>
              </w:rPr>
              <w:t xml:space="preserve"> </w:t>
            </w:r>
            <w:r w:rsidR="00881DB5" w:rsidRPr="004A0C12">
              <w:rPr>
                <w:rFonts w:ascii="Garamond" w:eastAsia="Times New Roman" w:hAnsi="Garamond" w:cs="Times New Roman"/>
                <w:color w:val="0C0C0C"/>
                <w:w w:val="105"/>
              </w:rPr>
              <w:t>set</w:t>
            </w:r>
            <w:r w:rsidR="00881DB5" w:rsidRPr="004A0C12">
              <w:rPr>
                <w:rFonts w:ascii="Garamond" w:eastAsia="Times New Roman" w:hAnsi="Garamond" w:cs="Times New Roman"/>
                <w:color w:val="0C0C0C"/>
                <w:spacing w:val="-5"/>
                <w:w w:val="105"/>
              </w:rPr>
              <w:t xml:space="preserve"> </w:t>
            </w:r>
            <w:r w:rsidR="00881DB5" w:rsidRPr="004A0C12">
              <w:rPr>
                <w:rFonts w:ascii="Garamond" w:eastAsia="Times New Roman" w:hAnsi="Garamond" w:cs="Times New Roman"/>
                <w:color w:val="0C0C0C"/>
                <w:w w:val="105"/>
              </w:rPr>
              <w:t>forth</w:t>
            </w:r>
            <w:r w:rsidR="00881DB5" w:rsidRPr="004A0C12">
              <w:rPr>
                <w:rFonts w:ascii="Garamond" w:eastAsia="Times New Roman" w:hAnsi="Garamond" w:cs="Times New Roman"/>
                <w:color w:val="0C0C0C"/>
                <w:spacing w:val="29"/>
                <w:w w:val="105"/>
              </w:rPr>
              <w:t xml:space="preserve"> </w:t>
            </w:r>
            <w:r w:rsidR="00881DB5" w:rsidRPr="004A0C12">
              <w:rPr>
                <w:rFonts w:ascii="Garamond" w:eastAsia="Times New Roman" w:hAnsi="Garamond" w:cs="Times New Roman"/>
                <w:color w:val="0C0C0C"/>
                <w:w w:val="105"/>
              </w:rPr>
              <w:t>in</w:t>
            </w:r>
          </w:p>
          <w:p w14:paraId="3989E193" w14:textId="4D20AE89" w:rsidR="001F7B29" w:rsidRPr="004A0C12" w:rsidRDefault="001F7B29" w:rsidP="00A2533C">
            <w:pPr>
              <w:widowControl w:val="0"/>
              <w:spacing w:after="0" w:line="240" w:lineRule="auto"/>
              <w:ind w:left="456" w:right="154"/>
              <w:rPr>
                <w:rFonts w:ascii="Garamond" w:eastAsia="Times New Roman" w:hAnsi="Garamond" w:cs="Times New Roman"/>
              </w:rPr>
            </w:pP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101(a)(4)</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Act.</w:t>
            </w:r>
            <w:r w:rsidRPr="004A0C12">
              <w:rPr>
                <w:rFonts w:ascii="Garamond" w:eastAsia="Times New Roman" w:hAnsi="Garamond" w:cs="Times New Roman"/>
                <w:color w:val="0C0C0C"/>
                <w:spacing w:val="53"/>
                <w:w w:val="105"/>
              </w:rPr>
              <w:t xml:space="preserve"> </w:t>
            </w:r>
            <w:r w:rsidRPr="004A0C12">
              <w:rPr>
                <w:rFonts w:ascii="Garamond" w:eastAsia="Times New Roman" w:hAnsi="Garamond" w:cs="Times New Roman"/>
                <w:color w:val="0C0C0C"/>
                <w:w w:val="105"/>
              </w:rPr>
              <w:t>Is</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designated</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agency</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is</w:t>
            </w:r>
            <w:r w:rsidRPr="004A0C12">
              <w:rPr>
                <w:rFonts w:ascii="Garamond" w:eastAsia="Times New Roman" w:hAnsi="Garamond" w:cs="Times New Roman"/>
                <w:color w:val="0C0C0C"/>
                <w:w w:val="103"/>
              </w:rPr>
              <w:t xml:space="preserve"> </w:t>
            </w:r>
            <w:r w:rsidRPr="004A0C12">
              <w:rPr>
                <w:rFonts w:ascii="Garamond" w:eastAsia="Times New Roman" w:hAnsi="Garamond" w:cs="Times New Roman"/>
                <w:color w:val="0C0C0C"/>
                <w:w w:val="105"/>
              </w:rPr>
              <w:t>requesting</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or</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maintaining</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a</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waiver</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of statewide</w:t>
            </w:r>
            <w:r w:rsidR="00881DB5">
              <w:rPr>
                <w:rFonts w:ascii="Garamond" w:eastAsia="Times New Roman" w:hAnsi="Garamond" w:cs="Times New Roman"/>
                <w:color w:val="0C0C0C"/>
                <w:w w:val="105"/>
              </w:rPr>
              <w:t>-</w:t>
            </w:r>
            <w:r w:rsidRPr="004A0C12">
              <w:rPr>
                <w:rFonts w:ascii="Garamond" w:eastAsia="Times New Roman" w:hAnsi="Garamond" w:cs="Times New Roman"/>
                <w:color w:val="0C0C0C"/>
                <w:w w:val="105"/>
              </w:rPr>
              <w:t>ness</w:t>
            </w:r>
            <w:r w:rsidRPr="004A0C12">
              <w:rPr>
                <w:rFonts w:ascii="Garamond" w:eastAsia="Times New Roman" w:hAnsi="Garamond" w:cs="Times New Roman"/>
                <w:color w:val="0C0C0C"/>
                <w:spacing w:val="19"/>
                <w:w w:val="105"/>
              </w:rPr>
              <w:t xml:space="preserve"> </w:t>
            </w:r>
            <w:r w:rsidRPr="004A0C12">
              <w:rPr>
                <w:rFonts w:ascii="Garamond" w:eastAsia="Times New Roman" w:hAnsi="Garamond" w:cs="Times New Roman"/>
                <w:color w:val="0C0C0C"/>
                <w:w w:val="105"/>
              </w:rPr>
              <w:t>for</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one</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or</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more</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services</w:t>
            </w:r>
            <w:r w:rsidRPr="004A0C12">
              <w:rPr>
                <w:rFonts w:ascii="Garamond" w:eastAsia="Times New Roman" w:hAnsi="Garamond" w:cs="Times New Roman"/>
                <w:color w:val="0C0C0C"/>
                <w:w w:val="107"/>
              </w:rPr>
              <w:t xml:space="preserve"> </w:t>
            </w:r>
            <w:r w:rsidRPr="004A0C12">
              <w:rPr>
                <w:rFonts w:ascii="Garamond" w:eastAsia="Times New Roman" w:hAnsi="Garamond" w:cs="Times New Roman"/>
                <w:color w:val="0C0C0C"/>
                <w:w w:val="105"/>
              </w:rPr>
              <w:t>provided</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under</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8"/>
                <w:w w:val="105"/>
              </w:rPr>
              <w:t xml:space="preserve"> </w:t>
            </w:r>
            <w:r w:rsidRPr="004A0C12">
              <w:rPr>
                <w:rFonts w:ascii="Garamond" w:eastAsia="Times New Roman" w:hAnsi="Garamond" w:cs="Times New Roman"/>
                <w:color w:val="0C0C0C"/>
                <w:w w:val="105"/>
              </w:rPr>
              <w:t>VR</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services</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portion</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Unified</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or</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Combined</w:t>
            </w:r>
            <w:r w:rsidRPr="004A0C12">
              <w:rPr>
                <w:rFonts w:ascii="Garamond" w:eastAsia="Times New Roman" w:hAnsi="Garamond" w:cs="Times New Roman"/>
                <w:color w:val="0C0C0C"/>
                <w:spacing w:val="49"/>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18"/>
                <w:w w:val="105"/>
              </w:rPr>
              <w:t xml:space="preserve"> </w:t>
            </w:r>
            <w:r w:rsidRPr="004A0C12">
              <w:rPr>
                <w:rFonts w:ascii="Garamond" w:eastAsia="Times New Roman" w:hAnsi="Garamond" w:cs="Times New Roman"/>
                <w:color w:val="0C0C0C"/>
                <w:w w:val="105"/>
              </w:rPr>
              <w:t>Plan?</w:t>
            </w:r>
            <w:r w:rsidRPr="004A0C12">
              <w:rPr>
                <w:rFonts w:ascii="Garamond" w:eastAsia="Times New Roman" w:hAnsi="Garamond" w:cs="Times New Roman"/>
                <w:color w:val="0C0C0C"/>
                <w:w w:val="101"/>
              </w:rPr>
              <w:t xml:space="preserve"> </w:t>
            </w:r>
            <w:r w:rsidRPr="004A0C12">
              <w:rPr>
                <w:rFonts w:ascii="Garamond" w:eastAsia="Times New Roman" w:hAnsi="Garamond" w:cs="Times New Roman"/>
                <w:b/>
                <w:color w:val="0C0C0C"/>
                <w:w w:val="101"/>
              </w:rPr>
              <w:t xml:space="preserve">NO </w:t>
            </w:r>
            <w:r w:rsidRPr="004A0C12">
              <w:rPr>
                <w:rFonts w:ascii="Garamond" w:eastAsia="Times New Roman" w:hAnsi="Garamond" w:cs="Times New Roman"/>
                <w:color w:val="0C0C0C"/>
                <w:w w:val="105"/>
              </w:rPr>
              <w:t>See</w:t>
            </w:r>
            <w:r w:rsidRPr="004A0C12">
              <w:rPr>
                <w:rFonts w:ascii="Garamond" w:eastAsia="Times New Roman" w:hAnsi="Garamond" w:cs="Times New Roman"/>
                <w:color w:val="0C0C0C"/>
                <w:spacing w:val="-26"/>
                <w:w w:val="105"/>
              </w:rPr>
              <w:t xml:space="preserve"> </w:t>
            </w: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2</w:t>
            </w:r>
            <w:r w:rsidRPr="004A0C12">
              <w:rPr>
                <w:rFonts w:ascii="Garamond" w:eastAsia="Times New Roman" w:hAnsi="Garamond" w:cs="Times New Roman"/>
                <w:color w:val="0C0C0C"/>
                <w:spacing w:val="-23"/>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9"/>
                <w:w w:val="105"/>
              </w:rPr>
              <w:t xml:space="preserve"> </w:t>
            </w:r>
            <w:r w:rsidRPr="004A0C12">
              <w:rPr>
                <w:rFonts w:ascii="Garamond" w:eastAsia="Times New Roman" w:hAnsi="Garamond" w:cs="Times New Roman"/>
                <w:color w:val="0C0C0C"/>
                <w:w w:val="105"/>
              </w:rPr>
              <w:t>this</w:t>
            </w:r>
            <w:r w:rsidRPr="004A0C12">
              <w:rPr>
                <w:rFonts w:ascii="Garamond" w:eastAsia="Times New Roman" w:hAnsi="Garamond" w:cs="Times New Roman"/>
                <w:color w:val="0C0C0C"/>
                <w:spacing w:val="-18"/>
                <w:w w:val="105"/>
              </w:rPr>
              <w:t xml:space="preserve"> </w:t>
            </w:r>
            <w:r w:rsidRPr="004A0C12">
              <w:rPr>
                <w:rFonts w:ascii="Garamond" w:eastAsia="Times New Roman" w:hAnsi="Garamond" w:cs="Times New Roman"/>
                <w:color w:val="0C0C0C"/>
                <w:w w:val="105"/>
              </w:rPr>
              <w:t>VR</w:t>
            </w:r>
            <w:r w:rsidRPr="004A0C12">
              <w:rPr>
                <w:rFonts w:ascii="Garamond" w:eastAsia="Times New Roman" w:hAnsi="Garamond" w:cs="Times New Roman"/>
                <w:color w:val="0C0C0C"/>
                <w:spacing w:val="-14"/>
                <w:w w:val="105"/>
              </w:rPr>
              <w:t xml:space="preserve"> </w:t>
            </w:r>
            <w:r w:rsidRPr="004A0C12">
              <w:rPr>
                <w:rFonts w:ascii="Garamond" w:eastAsia="Times New Roman" w:hAnsi="Garamond" w:cs="Times New Roman"/>
                <w:color w:val="0C0C0C"/>
                <w:w w:val="105"/>
              </w:rPr>
              <w:t>services</w:t>
            </w:r>
            <w:r w:rsidRPr="004A0C12">
              <w:rPr>
                <w:rFonts w:ascii="Garamond" w:eastAsia="Times New Roman" w:hAnsi="Garamond" w:cs="Times New Roman"/>
                <w:color w:val="0C0C0C"/>
                <w:spacing w:val="-21"/>
                <w:w w:val="105"/>
              </w:rPr>
              <w:t xml:space="preserve"> </w:t>
            </w:r>
            <w:r w:rsidRPr="004A0C12">
              <w:rPr>
                <w:rFonts w:ascii="Garamond" w:eastAsia="Times New Roman" w:hAnsi="Garamond" w:cs="Times New Roman"/>
                <w:color w:val="0C0C0C"/>
                <w:w w:val="105"/>
              </w:rPr>
              <w:t>portion of</w:t>
            </w:r>
            <w:r w:rsidRPr="004A0C12">
              <w:rPr>
                <w:rFonts w:ascii="Garamond" w:eastAsia="Times New Roman" w:hAnsi="Garamond" w:cs="Times New Roman"/>
                <w:color w:val="0C0C0C"/>
                <w:spacing w:val="-21"/>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Unified</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or</w:t>
            </w:r>
            <w:r w:rsidRPr="004A0C12">
              <w:rPr>
                <w:rFonts w:ascii="Garamond" w:eastAsia="Times New Roman" w:hAnsi="Garamond" w:cs="Times New Roman"/>
                <w:color w:val="0C0C0C"/>
                <w:spacing w:val="-23"/>
                <w:w w:val="105"/>
              </w:rPr>
              <w:t xml:space="preserve"> </w:t>
            </w:r>
            <w:r w:rsidRPr="004A0C12">
              <w:rPr>
                <w:rFonts w:ascii="Garamond" w:eastAsia="Times New Roman" w:hAnsi="Garamond" w:cs="Times New Roman"/>
                <w:color w:val="0C0C0C"/>
                <w:w w:val="105"/>
              </w:rPr>
              <w:t>Combined</w:t>
            </w:r>
            <w:r w:rsidRPr="004A0C12">
              <w:rPr>
                <w:rFonts w:ascii="Garamond" w:eastAsia="Times New Roman" w:hAnsi="Garamond" w:cs="Times New Roman"/>
                <w:color w:val="0C0C0C"/>
                <w:w w:val="102"/>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Plan.</w:t>
            </w:r>
          </w:p>
          <w:p w14:paraId="799F9E9D" w14:textId="77777777" w:rsidR="001F7B29" w:rsidRPr="004A0C12" w:rsidRDefault="001F7B29" w:rsidP="00232F09">
            <w:pPr>
              <w:widowControl w:val="0"/>
              <w:numPr>
                <w:ilvl w:val="0"/>
                <w:numId w:val="199"/>
              </w:numPr>
              <w:tabs>
                <w:tab w:val="left" w:pos="456"/>
              </w:tabs>
              <w:spacing w:after="0" w:line="240" w:lineRule="auto"/>
              <w:ind w:left="456"/>
              <w:rPr>
                <w:rFonts w:ascii="Garamond" w:eastAsia="Times New Roman" w:hAnsi="Garamond" w:cs="Times New Roman"/>
              </w:rPr>
            </w:pP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descriptions</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for</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cooperation,</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collaboration,</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coordination,</w:t>
            </w:r>
            <w:r w:rsidRPr="004A0C12">
              <w:rPr>
                <w:rFonts w:ascii="Garamond" w:eastAsia="Times New Roman" w:hAnsi="Garamond" w:cs="Times New Roman"/>
                <w:color w:val="0C0C0C"/>
                <w:spacing w:val="14"/>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required</w:t>
            </w:r>
            <w:r w:rsidRPr="004A0C12">
              <w:rPr>
                <w:rFonts w:ascii="Garamond" w:eastAsia="Times New Roman" w:hAnsi="Garamond" w:cs="Times New Roman"/>
                <w:color w:val="0C0C0C"/>
                <w:spacing w:val="28"/>
                <w:w w:val="105"/>
              </w:rPr>
              <w:t xml:space="preserve"> </w:t>
            </w:r>
            <w:r w:rsidRPr="004A0C12">
              <w:rPr>
                <w:rFonts w:ascii="Garamond" w:eastAsia="Times New Roman" w:hAnsi="Garamond" w:cs="Times New Roman"/>
                <w:color w:val="0C0C0C"/>
                <w:w w:val="105"/>
              </w:rPr>
              <w:t>by</w:t>
            </w:r>
          </w:p>
          <w:p w14:paraId="7B94E18C"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0C0C0C"/>
                <w:w w:val="105"/>
              </w:rPr>
              <w:t xml:space="preserve">       sections</w:t>
            </w:r>
            <w:r w:rsidRPr="004A0C12">
              <w:rPr>
                <w:rFonts w:ascii="Garamond" w:eastAsia="Times New Roman" w:hAnsi="Garamond" w:cs="Times New Roman"/>
                <w:color w:val="0C0C0C"/>
                <w:spacing w:val="22"/>
                <w:w w:val="105"/>
              </w:rPr>
              <w:t xml:space="preserve"> </w:t>
            </w:r>
            <w:r w:rsidRPr="004A0C12">
              <w:rPr>
                <w:rFonts w:ascii="Garamond" w:eastAsia="Times New Roman" w:hAnsi="Garamond" w:cs="Times New Roman"/>
                <w:color w:val="0C0C0C"/>
                <w:w w:val="105"/>
              </w:rPr>
              <w:t>101(a)(11),</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(24)(8),</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606(b)</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24"/>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40"/>
                <w:w w:val="105"/>
              </w:rPr>
              <w:t xml:space="preserve"> </w:t>
            </w:r>
            <w:r w:rsidRPr="004A0C12">
              <w:rPr>
                <w:rFonts w:ascii="Garamond" w:eastAsia="Times New Roman" w:hAnsi="Garamond" w:cs="Times New Roman"/>
                <w:color w:val="0C0C0C"/>
                <w:w w:val="105"/>
              </w:rPr>
              <w:t>Act</w:t>
            </w:r>
          </w:p>
          <w:p w14:paraId="199DA316" w14:textId="77777777" w:rsidR="001F7B29" w:rsidRPr="004A0C12" w:rsidRDefault="001F7B29" w:rsidP="00232F09">
            <w:pPr>
              <w:widowControl w:val="0"/>
              <w:numPr>
                <w:ilvl w:val="0"/>
                <w:numId w:val="199"/>
              </w:numPr>
              <w:tabs>
                <w:tab w:val="left" w:pos="446"/>
              </w:tabs>
              <w:spacing w:after="0" w:line="240" w:lineRule="auto"/>
              <w:ind w:left="456" w:right="297"/>
              <w:rPr>
                <w:rFonts w:ascii="Garamond" w:eastAsia="Times New Roman" w:hAnsi="Garamond" w:cs="Times New Roman"/>
              </w:rPr>
            </w:pPr>
            <w:r w:rsidRPr="004A0C12">
              <w:rPr>
                <w:rFonts w:ascii="Garamond" w:eastAsia="Times New Roman" w:hAnsi="Garamond" w:cs="Times New Roman"/>
                <w:color w:val="0C0C0C"/>
                <w:w w:val="105"/>
              </w:rPr>
              <w:t>all</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required</w:t>
            </w:r>
            <w:r w:rsidRPr="004A0C12">
              <w:rPr>
                <w:rFonts w:ascii="Garamond" w:eastAsia="Times New Roman" w:hAnsi="Garamond" w:cs="Times New Roman"/>
                <w:color w:val="0C0C0C"/>
                <w:spacing w:val="43"/>
                <w:w w:val="105"/>
              </w:rPr>
              <w:t xml:space="preserve"> </w:t>
            </w:r>
            <w:r w:rsidRPr="004A0C12">
              <w:rPr>
                <w:rFonts w:ascii="Garamond" w:eastAsia="Times New Roman" w:hAnsi="Garamond" w:cs="Times New Roman"/>
                <w:color w:val="0C0C0C"/>
                <w:w w:val="105"/>
              </w:rPr>
              <w:t>methods</w:t>
            </w:r>
            <w:r w:rsidRPr="004A0C12">
              <w:rPr>
                <w:rFonts w:ascii="Garamond" w:eastAsia="Times New Roman" w:hAnsi="Garamond" w:cs="Times New Roman"/>
                <w:color w:val="0C0C0C"/>
                <w:spacing w:val="14"/>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administration,</w:t>
            </w:r>
            <w:r w:rsidRPr="004A0C12">
              <w:rPr>
                <w:rFonts w:ascii="Garamond" w:eastAsia="Times New Roman" w:hAnsi="Garamond" w:cs="Times New Roman"/>
                <w:color w:val="0C0C0C"/>
                <w:spacing w:val="17"/>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required</w:t>
            </w:r>
            <w:r w:rsidRPr="004A0C12">
              <w:rPr>
                <w:rFonts w:ascii="Garamond" w:eastAsia="Times New Roman" w:hAnsi="Garamond" w:cs="Times New Roman"/>
                <w:color w:val="0C0C0C"/>
                <w:spacing w:val="32"/>
                <w:w w:val="105"/>
              </w:rPr>
              <w:t xml:space="preserve"> </w:t>
            </w:r>
            <w:r w:rsidRPr="004A0C12">
              <w:rPr>
                <w:rFonts w:ascii="Garamond" w:eastAsia="Times New Roman" w:hAnsi="Garamond" w:cs="Times New Roman"/>
                <w:color w:val="0C0C0C"/>
                <w:w w:val="105"/>
              </w:rPr>
              <w:t>by</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19"/>
                <w:w w:val="105"/>
              </w:rPr>
              <w:t xml:space="preserve"> </w:t>
            </w:r>
            <w:r w:rsidRPr="004A0C12">
              <w:rPr>
                <w:rFonts w:ascii="Garamond" w:eastAsia="Times New Roman" w:hAnsi="Garamond" w:cs="Times New Roman"/>
                <w:color w:val="0C0C0C"/>
                <w:w w:val="105"/>
              </w:rPr>
              <w:t>101(a)(6)</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w w:val="112"/>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14"/>
                <w:w w:val="105"/>
              </w:rPr>
              <w:t xml:space="preserve"> </w:t>
            </w:r>
            <w:r w:rsidRPr="004A0C12">
              <w:rPr>
                <w:rFonts w:ascii="Garamond" w:eastAsia="Times New Roman" w:hAnsi="Garamond" w:cs="Times New Roman"/>
                <w:color w:val="0C0C0C"/>
                <w:w w:val="105"/>
              </w:rPr>
              <w:t>Act</w:t>
            </w:r>
            <w:r w:rsidRPr="004A0C12">
              <w:rPr>
                <w:rFonts w:ascii="Garamond" w:eastAsia="Times New Roman" w:hAnsi="Garamond" w:cs="Times New Roman"/>
                <w:color w:val="0C0C0C"/>
                <w:spacing w:val="-26"/>
                <w:w w:val="105"/>
              </w:rPr>
              <w:t xml:space="preserve"> </w:t>
            </w:r>
            <w:r w:rsidRPr="004A0C12">
              <w:rPr>
                <w:rFonts w:ascii="Garamond" w:eastAsia="Times New Roman" w:hAnsi="Garamond" w:cs="Times New Roman"/>
                <w:color w:val="0C0C0C"/>
                <w:w w:val="105"/>
              </w:rPr>
              <w:t>.</w:t>
            </w:r>
          </w:p>
          <w:p w14:paraId="4F8633C5" w14:textId="77777777" w:rsidR="001F7B29" w:rsidRPr="004A0C12" w:rsidRDefault="001F7B29" w:rsidP="00232F09">
            <w:pPr>
              <w:widowControl w:val="0"/>
              <w:numPr>
                <w:ilvl w:val="0"/>
                <w:numId w:val="199"/>
              </w:numPr>
              <w:tabs>
                <w:tab w:val="left" w:pos="456"/>
              </w:tabs>
              <w:spacing w:after="0" w:line="240" w:lineRule="auto"/>
              <w:ind w:left="456"/>
              <w:rPr>
                <w:rFonts w:ascii="Garamond" w:eastAsia="Times New Roman" w:hAnsi="Garamond" w:cs="Times New Roman"/>
              </w:rPr>
            </w:pP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requirements</w:t>
            </w:r>
            <w:r w:rsidRPr="004A0C12">
              <w:rPr>
                <w:rFonts w:ascii="Garamond" w:eastAsia="Times New Roman" w:hAnsi="Garamond" w:cs="Times New Roman"/>
                <w:color w:val="0C0C0C"/>
                <w:spacing w:val="32"/>
                <w:w w:val="105"/>
              </w:rPr>
              <w:t xml:space="preserve"> </w:t>
            </w:r>
            <w:r w:rsidRPr="004A0C12">
              <w:rPr>
                <w:rFonts w:ascii="Garamond" w:eastAsia="Times New Roman" w:hAnsi="Garamond" w:cs="Times New Roman"/>
                <w:color w:val="0C0C0C"/>
                <w:w w:val="105"/>
              </w:rPr>
              <w:t>for</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comprehensive</w:t>
            </w:r>
            <w:r w:rsidRPr="004A0C12">
              <w:rPr>
                <w:rFonts w:ascii="Garamond" w:eastAsia="Times New Roman" w:hAnsi="Garamond" w:cs="Times New Roman"/>
                <w:color w:val="0C0C0C"/>
                <w:spacing w:val="29"/>
                <w:w w:val="105"/>
              </w:rPr>
              <w:t xml:space="preserve"> </w:t>
            </w:r>
            <w:r w:rsidRPr="004A0C12">
              <w:rPr>
                <w:rFonts w:ascii="Garamond" w:eastAsia="Times New Roman" w:hAnsi="Garamond" w:cs="Times New Roman"/>
                <w:color w:val="0C0C0C"/>
                <w:w w:val="105"/>
              </w:rPr>
              <w:t>system</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personnel</w:t>
            </w:r>
            <w:r w:rsidRPr="004A0C12">
              <w:rPr>
                <w:rFonts w:ascii="Garamond" w:eastAsia="Times New Roman" w:hAnsi="Garamond" w:cs="Times New Roman"/>
                <w:color w:val="0C0C0C"/>
                <w:spacing w:val="23"/>
                <w:w w:val="105"/>
              </w:rPr>
              <w:t xml:space="preserve"> </w:t>
            </w:r>
            <w:r w:rsidRPr="004A0C12">
              <w:rPr>
                <w:rFonts w:ascii="Garamond" w:eastAsia="Times New Roman" w:hAnsi="Garamond" w:cs="Times New Roman"/>
                <w:color w:val="0C0C0C"/>
                <w:w w:val="105"/>
              </w:rPr>
              <w:t>development,</w:t>
            </w:r>
            <w:r w:rsidRPr="004A0C12">
              <w:rPr>
                <w:rFonts w:ascii="Garamond" w:eastAsia="Times New Roman" w:hAnsi="Garamond" w:cs="Times New Roman"/>
                <w:color w:val="0C0C0C"/>
                <w:spacing w:val="18"/>
                <w:w w:val="105"/>
              </w:rPr>
              <w:t xml:space="preserve"> </w:t>
            </w:r>
            <w:r w:rsidRPr="004A0C12">
              <w:rPr>
                <w:rFonts w:ascii="Garamond" w:eastAsia="Times New Roman" w:hAnsi="Garamond" w:cs="Times New Roman"/>
                <w:color w:val="0C0C0C"/>
                <w:w w:val="105"/>
              </w:rPr>
              <w:t>as</w:t>
            </w:r>
          </w:p>
          <w:p w14:paraId="6A7CEFEB"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0C0C0C"/>
                <w:w w:val="105"/>
              </w:rPr>
              <w:t xml:space="preserve">       set</w:t>
            </w:r>
            <w:r w:rsidRPr="004A0C12">
              <w:rPr>
                <w:rFonts w:ascii="Garamond" w:eastAsia="Times New Roman" w:hAnsi="Garamond" w:cs="Times New Roman"/>
                <w:color w:val="0C0C0C"/>
                <w:spacing w:val="-14"/>
                <w:w w:val="105"/>
              </w:rPr>
              <w:t xml:space="preserve"> </w:t>
            </w:r>
            <w:r w:rsidRPr="004A0C12">
              <w:rPr>
                <w:rFonts w:ascii="Garamond" w:eastAsia="Times New Roman" w:hAnsi="Garamond" w:cs="Times New Roman"/>
                <w:color w:val="0C0C0C"/>
                <w:w w:val="105"/>
              </w:rPr>
              <w:t>forth</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in</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14"/>
                <w:w w:val="105"/>
              </w:rPr>
              <w:t xml:space="preserve"> </w:t>
            </w:r>
            <w:r w:rsidRPr="004A0C12">
              <w:rPr>
                <w:rFonts w:ascii="Garamond" w:eastAsia="Times New Roman" w:hAnsi="Garamond" w:cs="Times New Roman"/>
                <w:color w:val="0C0C0C"/>
                <w:w w:val="105"/>
              </w:rPr>
              <w:t>101(a)(7)</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22"/>
                <w:w w:val="105"/>
              </w:rPr>
              <w:t xml:space="preserve"> </w:t>
            </w:r>
            <w:r w:rsidRPr="004A0C12">
              <w:rPr>
                <w:rFonts w:ascii="Garamond" w:eastAsia="Times New Roman" w:hAnsi="Garamond" w:cs="Times New Roman"/>
                <w:color w:val="0C0C0C"/>
                <w:w w:val="105"/>
              </w:rPr>
              <w:t>Act.</w:t>
            </w:r>
          </w:p>
          <w:p w14:paraId="560D0507" w14:textId="77777777" w:rsidR="001F7B29" w:rsidRPr="004A0C12" w:rsidRDefault="001F7B29" w:rsidP="00A2533C">
            <w:pPr>
              <w:widowControl w:val="0"/>
              <w:spacing w:after="0" w:line="240" w:lineRule="auto"/>
              <w:ind w:left="100" w:right="212"/>
              <w:rPr>
                <w:rFonts w:ascii="Garamond" w:eastAsia="Times New Roman" w:hAnsi="Garamond" w:cs="Times New Roman"/>
                <w:color w:val="0C0C0C"/>
                <w:w w:val="108"/>
              </w:rPr>
            </w:pPr>
            <w:r w:rsidRPr="004A0C12">
              <w:rPr>
                <w:rFonts w:ascii="Garamond" w:eastAsia="Arial" w:hAnsi="Garamond" w:cs="Times New Roman"/>
                <w:color w:val="0C0C0C"/>
                <w:w w:val="105"/>
              </w:rPr>
              <w:t>(j)</w:t>
            </w:r>
            <w:r w:rsidRPr="004A0C12">
              <w:rPr>
                <w:rFonts w:ascii="Garamond" w:eastAsia="Arial" w:hAnsi="Garamond" w:cs="Times New Roman"/>
                <w:color w:val="0C0C0C"/>
                <w:spacing w:val="60"/>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compilation</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submission</w:t>
            </w:r>
            <w:r w:rsidRPr="004A0C12">
              <w:rPr>
                <w:rFonts w:ascii="Garamond" w:eastAsia="Times New Roman" w:hAnsi="Garamond" w:cs="Times New Roman"/>
                <w:color w:val="0C0C0C"/>
                <w:spacing w:val="22"/>
                <w:w w:val="105"/>
              </w:rPr>
              <w:t xml:space="preserve"> </w:t>
            </w:r>
            <w:r w:rsidRPr="004A0C12">
              <w:rPr>
                <w:rFonts w:ascii="Garamond" w:eastAsia="Times New Roman" w:hAnsi="Garamond" w:cs="Times New Roman"/>
                <w:color w:val="0C0C0C"/>
                <w:w w:val="105"/>
              </w:rPr>
              <w:t>to</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Commissioner</w:t>
            </w:r>
            <w:r w:rsidRPr="004A0C12">
              <w:rPr>
                <w:rFonts w:ascii="Garamond" w:eastAsia="Times New Roman" w:hAnsi="Garamond" w:cs="Times New Roman"/>
                <w:color w:val="0C0C0C"/>
                <w:spacing w:val="18"/>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statewide</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assessments,</w:t>
            </w:r>
            <w:r w:rsidRPr="004A0C12">
              <w:rPr>
                <w:rFonts w:ascii="Garamond" w:eastAsia="Times New Roman" w:hAnsi="Garamond" w:cs="Times New Roman"/>
                <w:color w:val="0C0C0C"/>
                <w:w w:val="108"/>
              </w:rPr>
              <w:t xml:space="preserve"> </w:t>
            </w:r>
          </w:p>
          <w:p w14:paraId="4C86C4A5" w14:textId="77777777" w:rsidR="001F7B29" w:rsidRPr="004A0C12" w:rsidRDefault="001F7B29" w:rsidP="00A2533C">
            <w:pPr>
              <w:widowControl w:val="0"/>
              <w:spacing w:after="0" w:line="240" w:lineRule="auto"/>
              <w:ind w:left="456" w:right="212"/>
              <w:rPr>
                <w:rFonts w:ascii="Garamond" w:eastAsia="Times New Roman" w:hAnsi="Garamond" w:cs="Times New Roman"/>
              </w:rPr>
            </w:pPr>
            <w:r w:rsidRPr="004A0C12">
              <w:rPr>
                <w:rFonts w:ascii="Garamond" w:eastAsia="Times New Roman" w:hAnsi="Garamond" w:cs="Times New Roman"/>
                <w:color w:val="0C0C0C"/>
                <w:w w:val="105"/>
              </w:rPr>
              <w:t>estimates,</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goals</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priorities,</w:t>
            </w:r>
            <w:r w:rsidRPr="004A0C12">
              <w:rPr>
                <w:rFonts w:ascii="Garamond" w:eastAsia="Times New Roman" w:hAnsi="Garamond" w:cs="Times New Roman"/>
                <w:color w:val="0C0C0C"/>
                <w:spacing w:val="25"/>
                <w:w w:val="105"/>
              </w:rPr>
              <w:t xml:space="preserve"> </w:t>
            </w:r>
            <w:r w:rsidRPr="004A0C12">
              <w:rPr>
                <w:rFonts w:ascii="Garamond" w:eastAsia="Times New Roman" w:hAnsi="Garamond" w:cs="Times New Roman"/>
                <w:color w:val="0C0C0C"/>
                <w:w w:val="105"/>
              </w:rPr>
              <w:t>strategies,</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progress</w:t>
            </w:r>
            <w:r w:rsidRPr="004A0C12">
              <w:rPr>
                <w:rFonts w:ascii="Garamond" w:eastAsia="Times New Roman" w:hAnsi="Garamond" w:cs="Times New Roman"/>
                <w:color w:val="0C0C0C"/>
                <w:spacing w:val="33"/>
                <w:w w:val="105"/>
              </w:rPr>
              <w:t xml:space="preserve"> </w:t>
            </w:r>
            <w:r w:rsidRPr="004A0C12">
              <w:rPr>
                <w:rFonts w:ascii="Garamond" w:eastAsia="Times New Roman" w:hAnsi="Garamond" w:cs="Times New Roman"/>
                <w:color w:val="0C0C0C"/>
                <w:w w:val="105"/>
              </w:rPr>
              <w:t>reports,</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w w:val="112"/>
              </w:rPr>
              <w:t xml:space="preserve"> </w:t>
            </w:r>
            <w:r w:rsidRPr="004A0C12">
              <w:rPr>
                <w:rFonts w:ascii="Garamond" w:eastAsia="Times New Roman" w:hAnsi="Garamond" w:cs="Times New Roman"/>
                <w:color w:val="0C0C0C"/>
                <w:w w:val="105"/>
              </w:rPr>
              <w:t>appropriate,</w:t>
            </w:r>
            <w:r w:rsidRPr="004A0C12">
              <w:rPr>
                <w:rFonts w:ascii="Garamond" w:eastAsia="Times New Roman" w:hAnsi="Garamond" w:cs="Times New Roman"/>
                <w:color w:val="0C0C0C"/>
                <w:spacing w:val="31"/>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required</w:t>
            </w:r>
            <w:r w:rsidRPr="004A0C12">
              <w:rPr>
                <w:rFonts w:ascii="Garamond" w:eastAsia="Times New Roman" w:hAnsi="Garamond" w:cs="Times New Roman"/>
                <w:color w:val="0C0C0C"/>
                <w:spacing w:val="57"/>
                <w:w w:val="105"/>
              </w:rPr>
              <w:t xml:space="preserve"> </w:t>
            </w:r>
            <w:r w:rsidRPr="004A0C12">
              <w:rPr>
                <w:rFonts w:ascii="Garamond" w:eastAsia="Times New Roman" w:hAnsi="Garamond" w:cs="Times New Roman"/>
                <w:color w:val="0C0C0C"/>
                <w:w w:val="105"/>
              </w:rPr>
              <w:t>by</w:t>
            </w:r>
            <w:r w:rsidRPr="004A0C12">
              <w:rPr>
                <w:rFonts w:ascii="Garamond" w:eastAsia="Times New Roman" w:hAnsi="Garamond" w:cs="Times New Roman"/>
                <w:color w:val="0C0C0C"/>
                <w:spacing w:val="10"/>
                <w:w w:val="105"/>
              </w:rPr>
              <w:t xml:space="preserve"> </w:t>
            </w:r>
            <w:r w:rsidRPr="004A0C12">
              <w:rPr>
                <w:rFonts w:ascii="Garamond" w:eastAsia="Times New Roman" w:hAnsi="Garamond" w:cs="Times New Roman"/>
                <w:color w:val="0C0C0C"/>
                <w:w w:val="105"/>
              </w:rPr>
              <w:t>sections</w:t>
            </w:r>
            <w:r w:rsidRPr="004A0C12">
              <w:rPr>
                <w:rFonts w:ascii="Garamond" w:eastAsia="Times New Roman" w:hAnsi="Garamond" w:cs="Times New Roman"/>
                <w:color w:val="0C0C0C"/>
                <w:spacing w:val="46"/>
                <w:w w:val="105"/>
              </w:rPr>
              <w:t xml:space="preserve"> </w:t>
            </w:r>
            <w:r w:rsidRPr="004A0C12">
              <w:rPr>
                <w:rFonts w:ascii="Garamond" w:eastAsia="Times New Roman" w:hAnsi="Garamond" w:cs="Times New Roman"/>
                <w:color w:val="0C0C0C"/>
                <w:w w:val="105"/>
              </w:rPr>
              <w:t>101(a)(15),</w:t>
            </w:r>
            <w:r w:rsidRPr="004A0C12">
              <w:rPr>
                <w:rFonts w:ascii="Garamond" w:eastAsia="Times New Roman" w:hAnsi="Garamond" w:cs="Times New Roman"/>
                <w:color w:val="0C0C0C"/>
                <w:spacing w:val="27"/>
                <w:w w:val="105"/>
              </w:rPr>
              <w:t xml:space="preserve"> </w:t>
            </w:r>
            <w:r w:rsidRPr="004A0C12">
              <w:rPr>
                <w:rFonts w:ascii="Garamond" w:eastAsia="Times New Roman" w:hAnsi="Garamond" w:cs="Times New Roman"/>
                <w:color w:val="0C0C0C"/>
                <w:w w:val="105"/>
              </w:rPr>
              <w:t>105(c)(2),</w:t>
            </w:r>
            <w:r w:rsidRPr="004A0C12">
              <w:rPr>
                <w:rFonts w:ascii="Garamond" w:eastAsia="Times New Roman" w:hAnsi="Garamond" w:cs="Times New Roman"/>
                <w:color w:val="0C0C0C"/>
                <w:spacing w:val="-20"/>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28"/>
                <w:w w:val="105"/>
              </w:rPr>
              <w:t xml:space="preserve"> </w:t>
            </w:r>
            <w:r w:rsidRPr="004A0C12">
              <w:rPr>
                <w:rFonts w:ascii="Garamond" w:eastAsia="Times New Roman" w:hAnsi="Garamond" w:cs="Times New Roman"/>
                <w:color w:val="0C0C0C"/>
                <w:w w:val="105"/>
              </w:rPr>
              <w:t>606(b)(8)</w:t>
            </w:r>
            <w:r w:rsidRPr="004A0C12">
              <w:rPr>
                <w:rFonts w:ascii="Garamond" w:eastAsia="Times New Roman" w:hAnsi="Garamond" w:cs="Times New Roman"/>
                <w:color w:val="0C0C0C"/>
                <w:w w:val="110"/>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25"/>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16"/>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13"/>
                <w:w w:val="105"/>
              </w:rPr>
              <w:t xml:space="preserve"> </w:t>
            </w:r>
            <w:r w:rsidRPr="004A0C12">
              <w:rPr>
                <w:rFonts w:ascii="Garamond" w:eastAsia="Times New Roman" w:hAnsi="Garamond" w:cs="Times New Roman"/>
                <w:color w:val="0C0C0C"/>
                <w:w w:val="105"/>
              </w:rPr>
              <w:t>Act.</w:t>
            </w:r>
          </w:p>
          <w:p w14:paraId="6932C561" w14:textId="77777777" w:rsidR="001F7B29" w:rsidRPr="004A0C12" w:rsidRDefault="001F7B29" w:rsidP="00232F09">
            <w:pPr>
              <w:widowControl w:val="0"/>
              <w:numPr>
                <w:ilvl w:val="0"/>
                <w:numId w:val="200"/>
              </w:numPr>
              <w:tabs>
                <w:tab w:val="left" w:pos="456"/>
              </w:tabs>
              <w:spacing w:after="0" w:line="240" w:lineRule="auto"/>
              <w:ind w:left="456"/>
              <w:rPr>
                <w:rFonts w:ascii="Garamond" w:eastAsia="Times New Roman" w:hAnsi="Garamond" w:cs="Times New Roman"/>
              </w:rPr>
            </w:pP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reservation</w:t>
            </w:r>
            <w:r w:rsidRPr="004A0C12">
              <w:rPr>
                <w:rFonts w:ascii="Garamond" w:eastAsia="Times New Roman" w:hAnsi="Garamond" w:cs="Times New Roman"/>
                <w:color w:val="0C0C0C"/>
                <w:spacing w:val="22"/>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17"/>
                <w:w w:val="105"/>
              </w:rPr>
              <w:t xml:space="preserve"> </w:t>
            </w:r>
            <w:r w:rsidRPr="004A0C12">
              <w:rPr>
                <w:rFonts w:ascii="Garamond" w:eastAsia="Times New Roman" w:hAnsi="Garamond" w:cs="Times New Roman"/>
                <w:color w:val="0C0C0C"/>
                <w:w w:val="105"/>
              </w:rPr>
              <w:t>use</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of a</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portion</w:t>
            </w:r>
            <w:r w:rsidRPr="004A0C12">
              <w:rPr>
                <w:rFonts w:ascii="Garamond" w:eastAsia="Times New Roman" w:hAnsi="Garamond" w:cs="Times New Roman"/>
                <w:color w:val="0C0C0C"/>
                <w:spacing w:val="25"/>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funds</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allotted</w:t>
            </w:r>
            <w:r w:rsidRPr="004A0C12">
              <w:rPr>
                <w:rFonts w:ascii="Garamond" w:eastAsia="Times New Roman" w:hAnsi="Garamond" w:cs="Times New Roman"/>
                <w:color w:val="0C0C0C"/>
                <w:spacing w:val="18"/>
                <w:w w:val="105"/>
              </w:rPr>
              <w:t xml:space="preserve"> </w:t>
            </w:r>
            <w:r w:rsidRPr="004A0C12">
              <w:rPr>
                <w:rFonts w:ascii="Garamond" w:eastAsia="Times New Roman" w:hAnsi="Garamond" w:cs="Times New Roman"/>
                <w:color w:val="0C0C0C"/>
                <w:w w:val="105"/>
              </w:rPr>
              <w:t>to</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State</w:t>
            </w:r>
            <w:r w:rsidRPr="004A0C12">
              <w:rPr>
                <w:rFonts w:ascii="Garamond" w:eastAsia="Times New Roman" w:hAnsi="Garamond" w:cs="Times New Roman"/>
                <w:color w:val="0C0C0C"/>
                <w:spacing w:val="6"/>
                <w:w w:val="105"/>
              </w:rPr>
              <w:t xml:space="preserve"> </w:t>
            </w:r>
            <w:r w:rsidRPr="004A0C12">
              <w:rPr>
                <w:rFonts w:ascii="Garamond" w:eastAsia="Times New Roman" w:hAnsi="Garamond" w:cs="Times New Roman"/>
                <w:color w:val="0C0C0C"/>
                <w:w w:val="105"/>
              </w:rPr>
              <w:t>under</w:t>
            </w:r>
          </w:p>
          <w:p w14:paraId="5BCB1977" w14:textId="77777777" w:rsidR="001F7B29" w:rsidRPr="004A0C12" w:rsidRDefault="001F7B29" w:rsidP="00A2533C">
            <w:pPr>
              <w:widowControl w:val="0"/>
              <w:spacing w:after="0" w:line="240" w:lineRule="auto"/>
              <w:ind w:left="446" w:right="102"/>
              <w:rPr>
                <w:rFonts w:ascii="Garamond" w:eastAsia="Times New Roman" w:hAnsi="Garamond" w:cs="Times New Roman"/>
              </w:rPr>
            </w:pP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110</w:t>
            </w:r>
            <w:r w:rsidRPr="004A0C12">
              <w:rPr>
                <w:rFonts w:ascii="Garamond" w:eastAsia="Times New Roman" w:hAnsi="Garamond" w:cs="Times New Roman"/>
                <w:color w:val="0C0C0C"/>
                <w:spacing w:val="-31"/>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Rehabilitation</w:t>
            </w:r>
            <w:r w:rsidRPr="004A0C12">
              <w:rPr>
                <w:rFonts w:ascii="Garamond" w:eastAsia="Times New Roman" w:hAnsi="Garamond" w:cs="Times New Roman"/>
                <w:color w:val="0C0C0C"/>
                <w:spacing w:val="21"/>
                <w:w w:val="105"/>
              </w:rPr>
              <w:t xml:space="preserve"> </w:t>
            </w:r>
            <w:r w:rsidRPr="004A0C12">
              <w:rPr>
                <w:rFonts w:ascii="Garamond" w:eastAsia="Times New Roman" w:hAnsi="Garamond" w:cs="Times New Roman"/>
                <w:color w:val="0C0C0C"/>
                <w:w w:val="105"/>
              </w:rPr>
              <w:t>Act for the development</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and implementation</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rPr>
              <w:t xml:space="preserve">   </w:t>
            </w:r>
            <w:r w:rsidRPr="004A0C12">
              <w:rPr>
                <w:rFonts w:ascii="Garamond" w:eastAsia="Times New Roman" w:hAnsi="Garamond" w:cs="Times New Roman"/>
                <w:color w:val="0C0C0C"/>
                <w:w w:val="105"/>
              </w:rPr>
              <w:t>innovative</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approaches</w:t>
            </w:r>
            <w:r w:rsidRPr="004A0C12">
              <w:rPr>
                <w:rFonts w:ascii="Garamond" w:eastAsia="Times New Roman" w:hAnsi="Garamond" w:cs="Times New Roman"/>
                <w:color w:val="0C0C0C"/>
                <w:spacing w:val="12"/>
                <w:w w:val="105"/>
              </w:rPr>
              <w:t xml:space="preserve"> </w:t>
            </w:r>
            <w:r w:rsidRPr="004A0C12">
              <w:rPr>
                <w:rFonts w:ascii="Garamond" w:eastAsia="Times New Roman" w:hAnsi="Garamond" w:cs="Times New Roman"/>
                <w:color w:val="0C0C0C"/>
                <w:w w:val="105"/>
              </w:rPr>
              <w:t>to</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expand</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and</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improve</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the provision</w:t>
            </w:r>
            <w:r w:rsidRPr="004A0C12">
              <w:rPr>
                <w:rFonts w:ascii="Garamond" w:eastAsia="Times New Roman" w:hAnsi="Garamond" w:cs="Times New Roman"/>
                <w:color w:val="0C0C0C"/>
                <w:spacing w:val="25"/>
                <w:w w:val="105"/>
              </w:rPr>
              <w:t xml:space="preserve"> </w:t>
            </w:r>
            <w:r w:rsidRPr="004A0C12">
              <w:rPr>
                <w:rFonts w:ascii="Garamond" w:eastAsia="Times New Roman" w:hAnsi="Garamond" w:cs="Times New Roman"/>
                <w:color w:val="0C0C0C"/>
                <w:w w:val="105"/>
              </w:rPr>
              <w:t>of VR</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services</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to</w:t>
            </w:r>
            <w:r w:rsidRPr="004A0C12">
              <w:rPr>
                <w:rFonts w:ascii="Garamond" w:eastAsia="Times New Roman" w:hAnsi="Garamond" w:cs="Times New Roman"/>
                <w:color w:val="0C0C0C"/>
                <w:w w:val="106"/>
              </w:rPr>
              <w:t xml:space="preserve"> </w:t>
            </w:r>
            <w:r w:rsidRPr="004A0C12">
              <w:rPr>
                <w:rFonts w:ascii="Garamond" w:eastAsia="Times New Roman" w:hAnsi="Garamond" w:cs="Times New Roman"/>
                <w:color w:val="0C0C0C"/>
                <w:w w:val="105"/>
              </w:rPr>
              <w:t>individuals</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with disabilities,</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particularly</w:t>
            </w:r>
            <w:r w:rsidRPr="004A0C12">
              <w:rPr>
                <w:rFonts w:ascii="Garamond" w:eastAsia="Times New Roman" w:hAnsi="Garamond" w:cs="Times New Roman"/>
                <w:color w:val="0C0C0C"/>
                <w:spacing w:val="7"/>
                <w:w w:val="105"/>
              </w:rPr>
              <w:t xml:space="preserve"> </w:t>
            </w:r>
            <w:r w:rsidRPr="004A0C12">
              <w:rPr>
                <w:rFonts w:ascii="Garamond" w:eastAsia="Times New Roman" w:hAnsi="Garamond" w:cs="Times New Roman"/>
                <w:color w:val="0C0C0C"/>
                <w:w w:val="105"/>
              </w:rPr>
              <w:t>individuals</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with the</w:t>
            </w:r>
            <w:r w:rsidRPr="004A0C12">
              <w:rPr>
                <w:rFonts w:ascii="Garamond" w:eastAsia="Times New Roman" w:hAnsi="Garamond" w:cs="Times New Roman"/>
                <w:color w:val="0C0C0C"/>
                <w:spacing w:val="1"/>
                <w:w w:val="105"/>
              </w:rPr>
              <w:t xml:space="preserve"> </w:t>
            </w:r>
            <w:r w:rsidRPr="004A0C12">
              <w:rPr>
                <w:rFonts w:ascii="Garamond" w:eastAsia="Times New Roman" w:hAnsi="Garamond" w:cs="Times New Roman"/>
                <w:color w:val="0C0C0C"/>
                <w:w w:val="105"/>
              </w:rPr>
              <w:t>most</w:t>
            </w:r>
            <w:r w:rsidRPr="004A0C12">
              <w:rPr>
                <w:rFonts w:ascii="Garamond" w:eastAsia="Times New Roman" w:hAnsi="Garamond" w:cs="Times New Roman"/>
                <w:color w:val="0C0C0C"/>
                <w:spacing w:val="-11"/>
                <w:w w:val="105"/>
              </w:rPr>
              <w:t xml:space="preserve"> </w:t>
            </w:r>
            <w:r w:rsidRPr="004A0C12">
              <w:rPr>
                <w:rFonts w:ascii="Garamond" w:eastAsia="Times New Roman" w:hAnsi="Garamond" w:cs="Times New Roman"/>
                <w:color w:val="0C0C0C"/>
                <w:w w:val="105"/>
              </w:rPr>
              <w:t>significant</w:t>
            </w:r>
            <w:r w:rsidRPr="004A0C12">
              <w:rPr>
                <w:rFonts w:ascii="Garamond" w:eastAsia="Times New Roman" w:hAnsi="Garamond" w:cs="Times New Roman"/>
                <w:color w:val="0C0C0C"/>
                <w:w w:val="104"/>
              </w:rPr>
              <w:t xml:space="preserve"> </w:t>
            </w:r>
            <w:r w:rsidRPr="004A0C12">
              <w:rPr>
                <w:rFonts w:ascii="Garamond" w:eastAsia="Times New Roman" w:hAnsi="Garamond" w:cs="Times New Roman"/>
                <w:color w:val="0C0C0C"/>
                <w:w w:val="105"/>
              </w:rPr>
              <w:t>disabilities.</w:t>
            </w:r>
          </w:p>
          <w:p w14:paraId="199CD468" w14:textId="77777777" w:rsidR="001F7B29" w:rsidRPr="004A0C12" w:rsidRDefault="001F7B29" w:rsidP="00232F09">
            <w:pPr>
              <w:widowControl w:val="0"/>
              <w:numPr>
                <w:ilvl w:val="0"/>
                <w:numId w:val="200"/>
              </w:numPr>
              <w:tabs>
                <w:tab w:val="left" w:pos="446"/>
              </w:tabs>
              <w:spacing w:after="0" w:line="240" w:lineRule="auto"/>
              <w:ind w:left="446" w:hanging="346"/>
              <w:rPr>
                <w:rFonts w:ascii="Garamond" w:eastAsia="Times New Roman" w:hAnsi="Garamond" w:cs="Times New Roman"/>
              </w:rPr>
            </w:pPr>
            <w:r w:rsidRPr="004A0C12">
              <w:rPr>
                <w:rFonts w:ascii="Garamond" w:eastAsia="Times New Roman" w:hAnsi="Garamond" w:cs="Times New Roman"/>
                <w:color w:val="0C0C0C"/>
                <w:w w:val="105"/>
              </w:rPr>
              <w:t>the</w:t>
            </w:r>
            <w:r w:rsidRPr="004A0C12">
              <w:rPr>
                <w:rFonts w:ascii="Garamond" w:eastAsia="Times New Roman" w:hAnsi="Garamond" w:cs="Times New Roman"/>
                <w:color w:val="0C0C0C"/>
                <w:spacing w:val="-2"/>
                <w:w w:val="105"/>
              </w:rPr>
              <w:t xml:space="preserve"> </w:t>
            </w:r>
            <w:r w:rsidRPr="004A0C12">
              <w:rPr>
                <w:rFonts w:ascii="Garamond" w:eastAsia="Times New Roman" w:hAnsi="Garamond" w:cs="Times New Roman"/>
                <w:color w:val="0C0C0C"/>
                <w:w w:val="105"/>
              </w:rPr>
              <w:t>submission</w:t>
            </w:r>
            <w:r w:rsidRPr="004A0C12">
              <w:rPr>
                <w:rFonts w:ascii="Garamond" w:eastAsia="Times New Roman" w:hAnsi="Garamond" w:cs="Times New Roman"/>
                <w:color w:val="0C0C0C"/>
                <w:spacing w:val="22"/>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15"/>
                <w:w w:val="105"/>
              </w:rPr>
              <w:t xml:space="preserve"> </w:t>
            </w:r>
            <w:r w:rsidRPr="004A0C12">
              <w:rPr>
                <w:rFonts w:ascii="Garamond" w:eastAsia="Times New Roman" w:hAnsi="Garamond" w:cs="Times New Roman"/>
                <w:color w:val="0C0C0C"/>
                <w:w w:val="105"/>
              </w:rPr>
              <w:t>reports</w:t>
            </w:r>
            <w:r w:rsidRPr="004A0C12">
              <w:rPr>
                <w:rFonts w:ascii="Garamond" w:eastAsia="Times New Roman" w:hAnsi="Garamond" w:cs="Times New Roman"/>
                <w:color w:val="0C0C0C"/>
                <w:spacing w:val="3"/>
                <w:w w:val="105"/>
              </w:rPr>
              <w:t xml:space="preserve"> </w:t>
            </w:r>
            <w:r w:rsidRPr="004A0C12">
              <w:rPr>
                <w:rFonts w:ascii="Garamond" w:eastAsia="Times New Roman" w:hAnsi="Garamond" w:cs="Times New Roman"/>
                <w:color w:val="0C0C0C"/>
                <w:w w:val="105"/>
              </w:rPr>
              <w:t>as</w:t>
            </w:r>
            <w:r w:rsidRPr="004A0C12">
              <w:rPr>
                <w:rFonts w:ascii="Garamond" w:eastAsia="Times New Roman" w:hAnsi="Garamond" w:cs="Times New Roman"/>
                <w:color w:val="0C0C0C"/>
                <w:spacing w:val="9"/>
                <w:w w:val="105"/>
              </w:rPr>
              <w:t xml:space="preserve"> </w:t>
            </w:r>
            <w:r w:rsidRPr="004A0C12">
              <w:rPr>
                <w:rFonts w:ascii="Garamond" w:eastAsia="Times New Roman" w:hAnsi="Garamond" w:cs="Times New Roman"/>
                <w:color w:val="0C0C0C"/>
                <w:w w:val="105"/>
              </w:rPr>
              <w:t>required</w:t>
            </w:r>
            <w:r w:rsidRPr="004A0C12">
              <w:rPr>
                <w:rFonts w:ascii="Garamond" w:eastAsia="Times New Roman" w:hAnsi="Garamond" w:cs="Times New Roman"/>
                <w:color w:val="0C0C0C"/>
                <w:spacing w:val="47"/>
                <w:w w:val="105"/>
              </w:rPr>
              <w:t xml:space="preserve"> </w:t>
            </w:r>
            <w:r w:rsidRPr="004A0C12">
              <w:rPr>
                <w:rFonts w:ascii="Garamond" w:eastAsia="Times New Roman" w:hAnsi="Garamond" w:cs="Times New Roman"/>
                <w:color w:val="0C0C0C"/>
                <w:w w:val="105"/>
              </w:rPr>
              <w:t>by</w:t>
            </w:r>
            <w:r w:rsidRPr="004A0C12">
              <w:rPr>
                <w:rFonts w:ascii="Garamond" w:eastAsia="Times New Roman" w:hAnsi="Garamond" w:cs="Times New Roman"/>
                <w:color w:val="0C0C0C"/>
                <w:spacing w:val="8"/>
                <w:w w:val="105"/>
              </w:rPr>
              <w:t xml:space="preserve"> </w:t>
            </w:r>
            <w:r w:rsidRPr="004A0C12">
              <w:rPr>
                <w:rFonts w:ascii="Garamond" w:eastAsia="Times New Roman" w:hAnsi="Garamond" w:cs="Times New Roman"/>
                <w:color w:val="0C0C0C"/>
                <w:w w:val="105"/>
              </w:rPr>
              <w:t>section</w:t>
            </w:r>
            <w:r w:rsidRPr="004A0C12">
              <w:rPr>
                <w:rFonts w:ascii="Garamond" w:eastAsia="Times New Roman" w:hAnsi="Garamond" w:cs="Times New Roman"/>
                <w:color w:val="0C0C0C"/>
                <w:spacing w:val="27"/>
                <w:w w:val="105"/>
              </w:rPr>
              <w:t xml:space="preserve"> </w:t>
            </w:r>
            <w:r w:rsidRPr="004A0C12">
              <w:rPr>
                <w:rFonts w:ascii="Garamond" w:eastAsia="Times New Roman" w:hAnsi="Garamond" w:cs="Times New Roman"/>
                <w:color w:val="0C0C0C"/>
                <w:w w:val="105"/>
              </w:rPr>
              <w:t>101(a)(10)</w:t>
            </w:r>
            <w:r w:rsidRPr="004A0C12">
              <w:rPr>
                <w:rFonts w:ascii="Garamond" w:eastAsia="Times New Roman" w:hAnsi="Garamond" w:cs="Times New Roman"/>
                <w:color w:val="0C0C0C"/>
                <w:spacing w:val="-4"/>
                <w:w w:val="105"/>
              </w:rPr>
              <w:t xml:space="preserve"> </w:t>
            </w:r>
            <w:r w:rsidRPr="004A0C12">
              <w:rPr>
                <w:rFonts w:ascii="Garamond" w:eastAsia="Times New Roman" w:hAnsi="Garamond" w:cs="Times New Roman"/>
                <w:color w:val="0C0C0C"/>
                <w:w w:val="105"/>
              </w:rPr>
              <w:t>of</w:t>
            </w:r>
            <w:r w:rsidRPr="004A0C12">
              <w:rPr>
                <w:rFonts w:ascii="Garamond" w:eastAsia="Times New Roman" w:hAnsi="Garamond" w:cs="Times New Roman"/>
                <w:color w:val="0C0C0C"/>
                <w:spacing w:val="5"/>
                <w:w w:val="105"/>
              </w:rPr>
              <w:t xml:space="preserve"> </w:t>
            </w:r>
            <w:r w:rsidRPr="004A0C12">
              <w:rPr>
                <w:rFonts w:ascii="Garamond" w:eastAsia="Times New Roman" w:hAnsi="Garamond" w:cs="Times New Roman"/>
                <w:color w:val="0C0C0C"/>
                <w:w w:val="105"/>
              </w:rPr>
              <w:t>the</w:t>
            </w:r>
          </w:p>
          <w:p w14:paraId="03D4F818" w14:textId="77777777" w:rsidR="001F7B29" w:rsidRPr="004A0C12" w:rsidRDefault="001F7B29" w:rsidP="00A2533C">
            <w:pPr>
              <w:widowControl w:val="0"/>
              <w:spacing w:after="0" w:line="240" w:lineRule="auto"/>
              <w:rPr>
                <w:rFonts w:ascii="Garamond" w:eastAsia="Times New Roman" w:hAnsi="Garamond" w:cs="Times New Roman"/>
                <w:color w:val="0C0C0C"/>
              </w:rPr>
            </w:pPr>
            <w:r w:rsidRPr="004A0C12">
              <w:rPr>
                <w:rFonts w:ascii="Garamond" w:eastAsia="Times New Roman" w:hAnsi="Garamond" w:cs="Times New Roman"/>
                <w:color w:val="0C0C0C"/>
              </w:rPr>
              <w:t xml:space="preserve">       Rehabilitation</w:t>
            </w:r>
            <w:r w:rsidRPr="004A0C12">
              <w:rPr>
                <w:rFonts w:ascii="Garamond" w:eastAsia="Times New Roman" w:hAnsi="Garamond" w:cs="Times New Roman"/>
                <w:color w:val="0C0C0C"/>
                <w:spacing w:val="29"/>
              </w:rPr>
              <w:t xml:space="preserve"> </w:t>
            </w:r>
            <w:r w:rsidRPr="004A0C12">
              <w:rPr>
                <w:rFonts w:ascii="Garamond" w:eastAsia="Times New Roman" w:hAnsi="Garamond" w:cs="Times New Roman"/>
                <w:color w:val="0C0C0C"/>
              </w:rPr>
              <w:t>Act.</w:t>
            </w:r>
          </w:p>
          <w:p w14:paraId="308D5C05" w14:textId="1E6F4470" w:rsidR="00A2533C" w:rsidRPr="004A0C12" w:rsidRDefault="00A2533C" w:rsidP="00A2533C">
            <w:pPr>
              <w:widowControl w:val="0"/>
              <w:spacing w:after="0" w:line="240" w:lineRule="auto"/>
              <w:rPr>
                <w:rFonts w:ascii="Garamond" w:eastAsia="Times New Roman" w:hAnsi="Garamond" w:cs="Times New Roman"/>
              </w:rPr>
            </w:pPr>
            <w:r w:rsidRPr="004A0C12">
              <w:rPr>
                <w:rFonts w:ascii="Garamond" w:hAnsi="Garamond" w:cs="Times New Roman"/>
              </w:rPr>
              <w:t>(m)the submission of reports as required by section 101(a)(10) of the Rehabilitation Act.</w:t>
            </w:r>
          </w:p>
        </w:tc>
      </w:tr>
      <w:tr w:rsidR="001F7B29" w:rsidRPr="004A0C12" w14:paraId="36975087" w14:textId="77777777" w:rsidTr="00A2533C">
        <w:trPr>
          <w:gridBefore w:val="1"/>
          <w:wBefore w:w="24" w:type="dxa"/>
          <w:trHeight w:hRule="exact" w:val="9560"/>
        </w:trPr>
        <w:tc>
          <w:tcPr>
            <w:tcW w:w="450" w:type="dxa"/>
            <w:gridSpan w:val="2"/>
            <w:tcBorders>
              <w:top w:val="single" w:sz="8" w:space="0" w:color="000000"/>
              <w:left w:val="single" w:sz="4" w:space="0" w:color="000000"/>
              <w:bottom w:val="single" w:sz="8" w:space="0" w:color="000000"/>
              <w:right w:val="single" w:sz="8" w:space="0" w:color="000000"/>
            </w:tcBorders>
            <w:hideMark/>
          </w:tcPr>
          <w:p w14:paraId="10766FAE" w14:textId="77777777" w:rsidR="001F7B29" w:rsidRPr="004A0C12" w:rsidRDefault="001F7B29" w:rsidP="00E500D8">
            <w:pPr>
              <w:widowControl w:val="0"/>
              <w:spacing w:before="6"/>
              <w:rPr>
                <w:rFonts w:ascii="Garamond" w:eastAsia="Times New Roman" w:hAnsi="Garamond" w:cs="Times New Roman"/>
              </w:rPr>
            </w:pPr>
            <w:r w:rsidRPr="004A0C12">
              <w:rPr>
                <w:rFonts w:ascii="Garamond" w:eastAsia="Times New Roman" w:hAnsi="Garamond" w:cs="Times New Roman"/>
                <w:color w:val="1F1F1F"/>
                <w:w w:val="105"/>
              </w:rPr>
              <w:lastRenderedPageBreak/>
              <w:t>4.</w:t>
            </w:r>
          </w:p>
        </w:tc>
        <w:tc>
          <w:tcPr>
            <w:tcW w:w="8820" w:type="dxa"/>
            <w:tcBorders>
              <w:top w:val="single" w:sz="8" w:space="0" w:color="000000"/>
              <w:left w:val="single" w:sz="8" w:space="0" w:color="000000"/>
              <w:bottom w:val="single" w:sz="8" w:space="0" w:color="000000"/>
              <w:right w:val="single" w:sz="8" w:space="0" w:color="000000"/>
            </w:tcBorders>
            <w:hideMark/>
          </w:tcPr>
          <w:p w14:paraId="2AA7121F"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b/>
                <w:color w:val="1F1F1F"/>
                <w:w w:val="105"/>
              </w:rPr>
              <w:t>Administration</w:t>
            </w:r>
            <w:r w:rsidRPr="004A0C12">
              <w:rPr>
                <w:rFonts w:ascii="Garamond" w:eastAsia="Times New Roman" w:hAnsi="Garamond" w:cs="Times New Roman"/>
                <w:b/>
                <w:color w:val="1F1F1F"/>
                <w:spacing w:val="44"/>
                <w:w w:val="105"/>
              </w:rPr>
              <w:t xml:space="preserve"> </w:t>
            </w:r>
            <w:r w:rsidRPr="004A0C12">
              <w:rPr>
                <w:rFonts w:ascii="Garamond" w:eastAsia="Times New Roman" w:hAnsi="Garamond" w:cs="Times New Roman"/>
                <w:b/>
                <w:color w:val="1F1F1F"/>
                <w:w w:val="105"/>
              </w:rPr>
              <w:t>of</w:t>
            </w:r>
            <w:r w:rsidRPr="004A0C12">
              <w:rPr>
                <w:rFonts w:ascii="Garamond" w:eastAsia="Times New Roman" w:hAnsi="Garamond" w:cs="Times New Roman"/>
                <w:b/>
                <w:color w:val="1F1F1F"/>
                <w:spacing w:val="17"/>
                <w:w w:val="105"/>
              </w:rPr>
              <w:t xml:space="preserve"> </w:t>
            </w:r>
            <w:r w:rsidRPr="004A0C12">
              <w:rPr>
                <w:rFonts w:ascii="Garamond" w:eastAsia="Times New Roman" w:hAnsi="Garamond" w:cs="Times New Roman"/>
                <w:b/>
                <w:color w:val="1F1F1F"/>
                <w:w w:val="105"/>
              </w:rPr>
              <w:t>the</w:t>
            </w:r>
            <w:r w:rsidRPr="004A0C12">
              <w:rPr>
                <w:rFonts w:ascii="Garamond" w:eastAsia="Times New Roman" w:hAnsi="Garamond" w:cs="Times New Roman"/>
                <w:b/>
                <w:color w:val="1F1F1F"/>
                <w:spacing w:val="22"/>
                <w:w w:val="105"/>
              </w:rPr>
              <w:t xml:space="preserve"> </w:t>
            </w:r>
            <w:r w:rsidRPr="004A0C12">
              <w:rPr>
                <w:rFonts w:ascii="Garamond" w:eastAsia="Times New Roman" w:hAnsi="Garamond" w:cs="Times New Roman"/>
                <w:b/>
                <w:color w:val="1F1F1F"/>
                <w:w w:val="105"/>
              </w:rPr>
              <w:t>Provision</w:t>
            </w:r>
            <w:r w:rsidRPr="004A0C12">
              <w:rPr>
                <w:rFonts w:ascii="Garamond" w:eastAsia="Times New Roman" w:hAnsi="Garamond" w:cs="Times New Roman"/>
                <w:b/>
                <w:color w:val="1F1F1F"/>
                <w:spacing w:val="34"/>
                <w:w w:val="105"/>
              </w:rPr>
              <w:t xml:space="preserve"> </w:t>
            </w:r>
            <w:r w:rsidRPr="004A0C12">
              <w:rPr>
                <w:rFonts w:ascii="Garamond" w:eastAsia="Times New Roman" w:hAnsi="Garamond" w:cs="Times New Roman"/>
                <w:b/>
                <w:color w:val="1F1F1F"/>
                <w:w w:val="105"/>
              </w:rPr>
              <w:t>of</w:t>
            </w:r>
            <w:r w:rsidRPr="004A0C12">
              <w:rPr>
                <w:rFonts w:ascii="Garamond" w:eastAsia="Times New Roman" w:hAnsi="Garamond" w:cs="Times New Roman"/>
                <w:b/>
                <w:color w:val="1F1F1F"/>
                <w:spacing w:val="5"/>
                <w:w w:val="105"/>
              </w:rPr>
              <w:t xml:space="preserve"> </w:t>
            </w:r>
            <w:r w:rsidRPr="004A0C12">
              <w:rPr>
                <w:rFonts w:ascii="Garamond" w:eastAsia="Times New Roman" w:hAnsi="Garamond" w:cs="Times New Roman"/>
                <w:b/>
                <w:color w:val="1F1F1F"/>
                <w:w w:val="105"/>
              </w:rPr>
              <w:t>VR</w:t>
            </w:r>
            <w:r w:rsidRPr="004A0C12">
              <w:rPr>
                <w:rFonts w:ascii="Garamond" w:eastAsia="Times New Roman" w:hAnsi="Garamond" w:cs="Times New Roman"/>
                <w:b/>
                <w:color w:val="1F1F1F"/>
                <w:spacing w:val="13"/>
                <w:w w:val="105"/>
              </w:rPr>
              <w:t xml:space="preserve"> </w:t>
            </w:r>
            <w:r w:rsidRPr="004A0C12">
              <w:rPr>
                <w:rFonts w:ascii="Garamond" w:eastAsia="Times New Roman" w:hAnsi="Garamond" w:cs="Times New Roman"/>
                <w:b/>
                <w:color w:val="1F1F1F"/>
                <w:w w:val="105"/>
              </w:rPr>
              <w:t>Services:</w:t>
            </w:r>
            <w:r w:rsidRPr="004A0C12">
              <w:rPr>
                <w:rFonts w:ascii="Garamond" w:eastAsia="Times New Roman" w:hAnsi="Garamond" w:cs="Times New Roman"/>
                <w:color w:val="1F1F1F"/>
                <w:spacing w:val="32"/>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20"/>
                <w:w w:val="105"/>
              </w:rPr>
              <w:t xml:space="preserve"> </w:t>
            </w:r>
            <w:r w:rsidRPr="004A0C12">
              <w:rPr>
                <w:rFonts w:ascii="Garamond" w:eastAsia="Times New Roman" w:hAnsi="Garamond" w:cs="Times New Roman"/>
                <w:color w:val="333333"/>
                <w:w w:val="105"/>
              </w:rPr>
              <w:t>designated</w:t>
            </w:r>
            <w:r w:rsidRPr="004A0C12">
              <w:rPr>
                <w:rFonts w:ascii="Garamond" w:eastAsia="Times New Roman" w:hAnsi="Garamond" w:cs="Times New Roman"/>
                <w:color w:val="333333"/>
                <w:spacing w:val="37"/>
                <w:w w:val="105"/>
              </w:rPr>
              <w:t xml:space="preserve"> </w:t>
            </w:r>
            <w:r w:rsidRPr="004A0C12">
              <w:rPr>
                <w:rFonts w:ascii="Garamond" w:eastAsia="Times New Roman" w:hAnsi="Garamond" w:cs="Times New Roman"/>
                <w:color w:val="424242"/>
                <w:w w:val="105"/>
              </w:rPr>
              <w:t>State</w:t>
            </w:r>
            <w:r w:rsidRPr="004A0C12">
              <w:rPr>
                <w:rFonts w:ascii="Garamond" w:eastAsia="Times New Roman" w:hAnsi="Garamond" w:cs="Times New Roman"/>
                <w:color w:val="424242"/>
                <w:spacing w:val="10"/>
                <w:w w:val="105"/>
              </w:rPr>
              <w:t xml:space="preserve"> </w:t>
            </w:r>
            <w:r w:rsidRPr="004A0C12">
              <w:rPr>
                <w:rFonts w:ascii="Garamond" w:eastAsia="Times New Roman" w:hAnsi="Garamond" w:cs="Times New Roman"/>
                <w:color w:val="333333"/>
                <w:w w:val="105"/>
              </w:rPr>
              <w:t>agency,</w:t>
            </w:r>
            <w:r w:rsidRPr="004A0C12">
              <w:rPr>
                <w:rFonts w:ascii="Garamond" w:eastAsia="Times New Roman" w:hAnsi="Garamond" w:cs="Times New Roman"/>
                <w:color w:val="333333"/>
                <w:spacing w:val="18"/>
                <w:w w:val="105"/>
              </w:rPr>
              <w:t xml:space="preserve"> </w:t>
            </w:r>
            <w:r w:rsidRPr="004A0C12">
              <w:rPr>
                <w:rFonts w:ascii="Garamond" w:eastAsia="Times New Roman" w:hAnsi="Garamond" w:cs="Times New Roman"/>
                <w:color w:val="333333"/>
                <w:w w:val="105"/>
              </w:rPr>
              <w:t>or</w:t>
            </w:r>
          </w:p>
          <w:p w14:paraId="666EF3AB" w14:textId="77777777" w:rsidR="001F7B29" w:rsidRPr="004A0C12" w:rsidRDefault="001F7B29" w:rsidP="00A2533C">
            <w:pPr>
              <w:widowControl w:val="0"/>
              <w:spacing w:after="0" w:line="240" w:lineRule="auto"/>
              <w:rPr>
                <w:rFonts w:ascii="Garamond" w:eastAsia="Times New Roman" w:hAnsi="Garamond" w:cs="Times New Roman"/>
              </w:rPr>
            </w:pPr>
            <w:r w:rsidRPr="004A0C12">
              <w:rPr>
                <w:rFonts w:ascii="Garamond" w:eastAsia="Times New Roman" w:hAnsi="Garamond" w:cs="Times New Roman"/>
                <w:color w:val="1F1F1F"/>
                <w:w w:val="105"/>
              </w:rPr>
              <w:t>designated</w:t>
            </w:r>
            <w:r w:rsidRPr="004A0C12">
              <w:rPr>
                <w:rFonts w:ascii="Garamond" w:eastAsia="Times New Roman" w:hAnsi="Garamond" w:cs="Times New Roman"/>
                <w:color w:val="1F1F1F"/>
                <w:spacing w:val="21"/>
                <w:w w:val="105"/>
              </w:rPr>
              <w:t xml:space="preserve"> </w:t>
            </w:r>
            <w:r w:rsidRPr="004A0C12">
              <w:rPr>
                <w:rFonts w:ascii="Garamond" w:eastAsia="Times New Roman" w:hAnsi="Garamond" w:cs="Times New Roman"/>
                <w:color w:val="333333"/>
                <w:w w:val="105"/>
              </w:rPr>
              <w:t>State unit,</w:t>
            </w:r>
            <w:r w:rsidRPr="004A0C12">
              <w:rPr>
                <w:rFonts w:ascii="Garamond" w:eastAsia="Times New Roman" w:hAnsi="Garamond" w:cs="Times New Roman"/>
                <w:color w:val="333333"/>
                <w:spacing w:val="8"/>
                <w:w w:val="105"/>
              </w:rPr>
              <w:t xml:space="preserve"> </w:t>
            </w:r>
            <w:r w:rsidRPr="004A0C12">
              <w:rPr>
                <w:rFonts w:ascii="Garamond" w:eastAsia="Times New Roman" w:hAnsi="Garamond" w:cs="Times New Roman"/>
                <w:color w:val="424242"/>
                <w:w w:val="105"/>
              </w:rPr>
              <w:t xml:space="preserve">as </w:t>
            </w:r>
            <w:r w:rsidRPr="004A0C12">
              <w:rPr>
                <w:rFonts w:ascii="Garamond" w:eastAsia="Times New Roman" w:hAnsi="Garamond" w:cs="Times New Roman"/>
                <w:color w:val="424242"/>
                <w:spacing w:val="14"/>
                <w:w w:val="105"/>
              </w:rPr>
              <w:t>a</w:t>
            </w:r>
            <w:r w:rsidRPr="004A0C12">
              <w:rPr>
                <w:rFonts w:ascii="Garamond" w:eastAsia="Times New Roman" w:hAnsi="Garamond" w:cs="Times New Roman"/>
                <w:color w:val="1F1F1F"/>
                <w:w w:val="105"/>
              </w:rPr>
              <w:t>ppropriate,</w:t>
            </w:r>
            <w:r w:rsidRPr="004A0C12">
              <w:rPr>
                <w:rFonts w:ascii="Garamond" w:eastAsia="Times New Roman" w:hAnsi="Garamond" w:cs="Times New Roman"/>
                <w:color w:val="1F1F1F"/>
                <w:spacing w:val="17"/>
                <w:w w:val="105"/>
              </w:rPr>
              <w:t xml:space="preserve"> </w:t>
            </w:r>
            <w:r w:rsidRPr="004A0C12">
              <w:rPr>
                <w:rFonts w:ascii="Garamond" w:eastAsia="Times New Roman" w:hAnsi="Garamond" w:cs="Times New Roman"/>
                <w:color w:val="1F1F1F"/>
                <w:w w:val="105"/>
              </w:rPr>
              <w:t>assures that</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it</w:t>
            </w:r>
            <w:r w:rsidRPr="004A0C12">
              <w:rPr>
                <w:rFonts w:ascii="Garamond" w:eastAsia="Times New Roman" w:hAnsi="Garamond" w:cs="Times New Roman"/>
                <w:color w:val="1F1F1F"/>
                <w:spacing w:val="-20"/>
                <w:w w:val="105"/>
              </w:rPr>
              <w:t xml:space="preserve"> </w:t>
            </w:r>
            <w:r w:rsidRPr="004A0C12">
              <w:rPr>
                <w:rFonts w:ascii="Garamond" w:eastAsia="Times New Roman" w:hAnsi="Garamond" w:cs="Times New Roman"/>
                <w:color w:val="1F1F1F"/>
                <w:w w:val="105"/>
              </w:rPr>
              <w:t>will:</w:t>
            </w:r>
          </w:p>
          <w:p w14:paraId="4986E11B" w14:textId="77777777" w:rsidR="001F7B29" w:rsidRPr="004A0C12" w:rsidRDefault="001F7B29" w:rsidP="00232F09">
            <w:pPr>
              <w:widowControl w:val="0"/>
              <w:numPr>
                <w:ilvl w:val="0"/>
                <w:numId w:val="201"/>
              </w:numPr>
              <w:tabs>
                <w:tab w:val="left" w:pos="400"/>
              </w:tabs>
              <w:spacing w:after="0" w:line="240" w:lineRule="auto"/>
              <w:ind w:left="381" w:hanging="336"/>
              <w:rPr>
                <w:rFonts w:ascii="Garamond" w:eastAsia="Times New Roman" w:hAnsi="Garamond" w:cs="Times New Roman"/>
              </w:rPr>
            </w:pPr>
            <w:r w:rsidRPr="004A0C12">
              <w:rPr>
                <w:rFonts w:ascii="Garamond" w:eastAsia="Times New Roman" w:hAnsi="Garamond" w:cs="Times New Roman"/>
                <w:color w:val="1F1F1F"/>
                <w:w w:val="105"/>
              </w:rPr>
              <w:t>comply</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424242"/>
                <w:spacing w:val="14"/>
                <w:w w:val="105"/>
              </w:rPr>
              <w:t>a</w:t>
            </w:r>
            <w:r w:rsidRPr="004A0C12">
              <w:rPr>
                <w:rFonts w:ascii="Garamond" w:eastAsia="Times New Roman" w:hAnsi="Garamond" w:cs="Times New Roman"/>
                <w:color w:val="1F1F1F"/>
                <w:w w:val="105"/>
              </w:rPr>
              <w:t xml:space="preserve">ll </w:t>
            </w:r>
            <w:r w:rsidRPr="004A0C12">
              <w:rPr>
                <w:rFonts w:ascii="Garamond" w:eastAsia="Times New Roman" w:hAnsi="Garamond" w:cs="Times New Roman"/>
                <w:color w:val="333333"/>
                <w:w w:val="105"/>
              </w:rPr>
              <w:t>requirements</w:t>
            </w:r>
            <w:r w:rsidRPr="004A0C12">
              <w:rPr>
                <w:rFonts w:ascii="Garamond" w:eastAsia="Times New Roman" w:hAnsi="Garamond" w:cs="Times New Roman"/>
                <w:color w:val="333333"/>
                <w:spacing w:val="15"/>
                <w:w w:val="105"/>
              </w:rPr>
              <w:t xml:space="preserve"> </w:t>
            </w:r>
            <w:r w:rsidRPr="004A0C12">
              <w:rPr>
                <w:rFonts w:ascii="Garamond" w:eastAsia="Times New Roman" w:hAnsi="Garamond" w:cs="Times New Roman"/>
                <w:color w:val="1F1F1F"/>
                <w:w w:val="105"/>
              </w:rPr>
              <w:t>regarding</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information</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and</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333333"/>
                <w:w w:val="105"/>
              </w:rPr>
              <w:t>referral</w:t>
            </w:r>
            <w:r w:rsidRPr="004A0C12">
              <w:rPr>
                <w:rFonts w:ascii="Garamond" w:eastAsia="Times New Roman" w:hAnsi="Garamond" w:cs="Times New Roman"/>
                <w:color w:val="333333"/>
                <w:spacing w:val="11"/>
                <w:w w:val="105"/>
              </w:rPr>
              <w:t xml:space="preserve"> </w:t>
            </w:r>
            <w:r w:rsidRPr="004A0C12">
              <w:rPr>
                <w:rFonts w:ascii="Garamond" w:eastAsia="Times New Roman" w:hAnsi="Garamond" w:cs="Times New Roman"/>
                <w:color w:val="424242"/>
                <w:w w:val="105"/>
              </w:rPr>
              <w:t>s</w:t>
            </w:r>
            <w:r w:rsidRPr="004A0C12">
              <w:rPr>
                <w:rFonts w:ascii="Garamond" w:eastAsia="Times New Roman" w:hAnsi="Garamond" w:cs="Times New Roman"/>
                <w:color w:val="424242"/>
                <w:spacing w:val="2"/>
                <w:w w:val="105"/>
              </w:rPr>
              <w:t>e</w:t>
            </w:r>
            <w:r w:rsidRPr="004A0C12">
              <w:rPr>
                <w:rFonts w:ascii="Garamond" w:eastAsia="Times New Roman" w:hAnsi="Garamond" w:cs="Times New Roman"/>
                <w:color w:val="1F1F1F"/>
                <w:w w:val="105"/>
              </w:rPr>
              <w:t>rvic</w:t>
            </w:r>
            <w:r w:rsidRPr="004A0C12">
              <w:rPr>
                <w:rFonts w:ascii="Garamond" w:eastAsia="Times New Roman" w:hAnsi="Garamond" w:cs="Times New Roman"/>
                <w:color w:val="1F1F1F"/>
                <w:spacing w:val="10"/>
                <w:w w:val="105"/>
              </w:rPr>
              <w:t>e</w:t>
            </w:r>
            <w:r w:rsidRPr="004A0C12">
              <w:rPr>
                <w:rFonts w:ascii="Garamond" w:eastAsia="Times New Roman" w:hAnsi="Garamond" w:cs="Times New Roman"/>
                <w:color w:val="424242"/>
                <w:w w:val="105"/>
              </w:rPr>
              <w:t>s</w:t>
            </w:r>
            <w:r w:rsidRPr="004A0C12">
              <w:rPr>
                <w:rFonts w:ascii="Garamond" w:eastAsia="Times New Roman" w:hAnsi="Garamond" w:cs="Times New Roman"/>
                <w:color w:val="424242"/>
                <w:spacing w:val="-4"/>
                <w:w w:val="105"/>
              </w:rPr>
              <w:t xml:space="preserve"> </w:t>
            </w:r>
            <w:r w:rsidRPr="004A0C12">
              <w:rPr>
                <w:rFonts w:ascii="Garamond" w:eastAsia="Times New Roman" w:hAnsi="Garamond" w:cs="Times New Roman"/>
                <w:color w:val="333333"/>
                <w:w w:val="105"/>
              </w:rPr>
              <w:t>in</w:t>
            </w:r>
          </w:p>
          <w:p w14:paraId="5676978F" w14:textId="77777777" w:rsidR="001F7B29" w:rsidRPr="004A0C12" w:rsidRDefault="001F7B29" w:rsidP="00A2533C">
            <w:pPr>
              <w:widowControl w:val="0"/>
              <w:spacing w:after="0" w:line="240" w:lineRule="auto"/>
              <w:ind w:left="381"/>
              <w:rPr>
                <w:rFonts w:ascii="Garamond" w:eastAsia="Times New Roman" w:hAnsi="Garamond" w:cs="Times New Roman"/>
              </w:rPr>
            </w:pPr>
            <w:r w:rsidRPr="004A0C12">
              <w:rPr>
                <w:rFonts w:ascii="Garamond" w:eastAsia="Times New Roman" w:hAnsi="Garamond" w:cs="Times New Roman"/>
                <w:color w:val="1F1F1F"/>
              </w:rPr>
              <w:t>accordance</w:t>
            </w:r>
            <w:r w:rsidRPr="004A0C12">
              <w:rPr>
                <w:rFonts w:ascii="Garamond" w:eastAsia="Times New Roman" w:hAnsi="Garamond" w:cs="Times New Roman"/>
                <w:color w:val="1F1F1F"/>
                <w:spacing w:val="43"/>
              </w:rPr>
              <w:t xml:space="preserve"> </w:t>
            </w:r>
            <w:r w:rsidRPr="004A0C12">
              <w:rPr>
                <w:rFonts w:ascii="Garamond" w:eastAsia="Times New Roman" w:hAnsi="Garamond" w:cs="Times New Roman"/>
                <w:color w:val="1F1F1F"/>
              </w:rPr>
              <w:t>with</w:t>
            </w:r>
            <w:r w:rsidRPr="004A0C12">
              <w:rPr>
                <w:rFonts w:ascii="Garamond" w:eastAsia="Times New Roman" w:hAnsi="Garamond" w:cs="Times New Roman"/>
                <w:color w:val="1F1F1F"/>
                <w:spacing w:val="52"/>
              </w:rPr>
              <w:t xml:space="preserve"> </w:t>
            </w:r>
            <w:r w:rsidRPr="004A0C12">
              <w:rPr>
                <w:rFonts w:ascii="Garamond" w:eastAsia="Times New Roman" w:hAnsi="Garamond" w:cs="Times New Roman"/>
                <w:color w:val="424242"/>
              </w:rPr>
              <w:t>secti</w:t>
            </w:r>
            <w:r w:rsidRPr="004A0C12">
              <w:rPr>
                <w:rFonts w:ascii="Garamond" w:eastAsia="Times New Roman" w:hAnsi="Garamond" w:cs="Times New Roman"/>
                <w:color w:val="424242"/>
                <w:spacing w:val="16"/>
              </w:rPr>
              <w:t>o</w:t>
            </w:r>
            <w:r w:rsidRPr="004A0C12">
              <w:rPr>
                <w:rFonts w:ascii="Garamond" w:eastAsia="Times New Roman" w:hAnsi="Garamond" w:cs="Times New Roman"/>
                <w:color w:val="1F1F1F"/>
              </w:rPr>
              <w:t>ns</w:t>
            </w:r>
            <w:r w:rsidRPr="004A0C12">
              <w:rPr>
                <w:rFonts w:ascii="Garamond" w:eastAsia="Times New Roman" w:hAnsi="Garamond" w:cs="Times New Roman"/>
                <w:color w:val="1F1F1F"/>
                <w:spacing w:val="47"/>
              </w:rPr>
              <w:t xml:space="preserve"> </w:t>
            </w:r>
            <w:r w:rsidRPr="004A0C12">
              <w:rPr>
                <w:rFonts w:ascii="Garamond" w:eastAsia="Times New Roman" w:hAnsi="Garamond" w:cs="Times New Roman"/>
                <w:color w:val="333333"/>
              </w:rPr>
              <w:t>101(a)(S)(D)</w:t>
            </w:r>
            <w:r w:rsidRPr="004A0C12">
              <w:rPr>
                <w:rFonts w:ascii="Garamond" w:eastAsia="Times New Roman" w:hAnsi="Garamond" w:cs="Times New Roman"/>
                <w:color w:val="333333"/>
                <w:spacing w:val="30"/>
              </w:rPr>
              <w:t xml:space="preserve"> </w:t>
            </w:r>
            <w:r w:rsidRPr="004A0C12">
              <w:rPr>
                <w:rFonts w:ascii="Garamond" w:eastAsia="Times New Roman" w:hAnsi="Garamond" w:cs="Times New Roman"/>
                <w:color w:val="1F1F1F"/>
              </w:rPr>
              <w:t>and</w:t>
            </w:r>
            <w:r w:rsidRPr="004A0C12">
              <w:rPr>
                <w:rFonts w:ascii="Garamond" w:eastAsia="Times New Roman" w:hAnsi="Garamond" w:cs="Times New Roman"/>
                <w:color w:val="1F1F1F"/>
                <w:spacing w:val="38"/>
              </w:rPr>
              <w:t xml:space="preserve"> </w:t>
            </w:r>
            <w:r w:rsidRPr="004A0C12">
              <w:rPr>
                <w:rFonts w:ascii="Garamond" w:eastAsia="Times New Roman" w:hAnsi="Garamond" w:cs="Times New Roman"/>
                <w:color w:val="1F1F1F"/>
              </w:rPr>
              <w:t>(20)</w:t>
            </w:r>
            <w:r w:rsidRPr="004A0C12">
              <w:rPr>
                <w:rFonts w:ascii="Garamond" w:eastAsia="Times New Roman" w:hAnsi="Garamond" w:cs="Times New Roman"/>
                <w:color w:val="1F1F1F"/>
                <w:spacing w:val="22"/>
              </w:rPr>
              <w:t xml:space="preserve"> </w:t>
            </w:r>
            <w:r w:rsidRPr="004A0C12">
              <w:rPr>
                <w:rFonts w:ascii="Garamond" w:eastAsia="Times New Roman" w:hAnsi="Garamond" w:cs="Times New Roman"/>
                <w:color w:val="1F1F1F"/>
              </w:rPr>
              <w:t>of</w:t>
            </w:r>
            <w:r w:rsidRPr="004A0C12">
              <w:rPr>
                <w:rFonts w:ascii="Garamond" w:eastAsia="Times New Roman" w:hAnsi="Garamond" w:cs="Times New Roman"/>
                <w:color w:val="1F1F1F"/>
                <w:spacing w:val="17"/>
              </w:rPr>
              <w:t xml:space="preserve"> </w:t>
            </w:r>
            <w:r w:rsidRPr="004A0C12">
              <w:rPr>
                <w:rFonts w:ascii="Garamond" w:eastAsia="Times New Roman" w:hAnsi="Garamond" w:cs="Times New Roman"/>
                <w:color w:val="1F1F1F"/>
              </w:rPr>
              <w:t>the</w:t>
            </w:r>
            <w:r w:rsidRPr="004A0C12">
              <w:rPr>
                <w:rFonts w:ascii="Garamond" w:eastAsia="Times New Roman" w:hAnsi="Garamond" w:cs="Times New Roman"/>
                <w:color w:val="1F1F1F"/>
                <w:spacing w:val="36"/>
              </w:rPr>
              <w:t xml:space="preserve"> </w:t>
            </w:r>
            <w:r w:rsidRPr="004A0C12">
              <w:rPr>
                <w:rFonts w:ascii="Garamond" w:eastAsia="Times New Roman" w:hAnsi="Garamond" w:cs="Times New Roman"/>
                <w:color w:val="1F1F1F"/>
              </w:rPr>
              <w:t>Rehabili</w:t>
            </w:r>
            <w:r w:rsidRPr="004A0C12">
              <w:rPr>
                <w:rFonts w:ascii="Garamond" w:eastAsia="Times New Roman" w:hAnsi="Garamond" w:cs="Times New Roman"/>
                <w:color w:val="1F1F1F"/>
                <w:spacing w:val="15"/>
              </w:rPr>
              <w:t>t</w:t>
            </w:r>
            <w:r w:rsidRPr="004A0C12">
              <w:rPr>
                <w:rFonts w:ascii="Garamond" w:eastAsia="Times New Roman" w:hAnsi="Garamond" w:cs="Times New Roman"/>
                <w:color w:val="424242"/>
                <w:spacing w:val="11"/>
              </w:rPr>
              <w:t>a</w:t>
            </w:r>
            <w:r w:rsidRPr="004A0C12">
              <w:rPr>
                <w:rFonts w:ascii="Garamond" w:eastAsia="Times New Roman" w:hAnsi="Garamond" w:cs="Times New Roman"/>
                <w:color w:val="1F1F1F"/>
                <w:spacing w:val="8"/>
              </w:rPr>
              <w:t>t</w:t>
            </w:r>
            <w:r w:rsidRPr="004A0C12">
              <w:rPr>
                <w:rFonts w:ascii="Garamond" w:eastAsia="Times New Roman" w:hAnsi="Garamond" w:cs="Times New Roman"/>
                <w:color w:val="424242"/>
              </w:rPr>
              <w:t>ion</w:t>
            </w:r>
            <w:r w:rsidRPr="004A0C12">
              <w:rPr>
                <w:rFonts w:ascii="Garamond" w:eastAsia="Times New Roman" w:hAnsi="Garamond" w:cs="Times New Roman"/>
                <w:color w:val="424242"/>
                <w:spacing w:val="2"/>
              </w:rPr>
              <w:t xml:space="preserve"> </w:t>
            </w:r>
            <w:r w:rsidRPr="004A0C12">
              <w:rPr>
                <w:rFonts w:ascii="Garamond" w:eastAsia="Times New Roman" w:hAnsi="Garamond" w:cs="Times New Roman"/>
                <w:color w:val="333333"/>
              </w:rPr>
              <w:t>Act.</w:t>
            </w:r>
          </w:p>
          <w:p w14:paraId="1EA11F1E" w14:textId="77777777" w:rsidR="001F7B29" w:rsidRPr="004A0C12" w:rsidRDefault="001F7B29" w:rsidP="00232F09">
            <w:pPr>
              <w:widowControl w:val="0"/>
              <w:numPr>
                <w:ilvl w:val="0"/>
                <w:numId w:val="201"/>
              </w:numPr>
              <w:tabs>
                <w:tab w:val="left" w:pos="400"/>
              </w:tabs>
              <w:spacing w:after="0" w:line="240" w:lineRule="auto"/>
              <w:ind w:left="381" w:right="460" w:hanging="346"/>
              <w:rPr>
                <w:rFonts w:ascii="Garamond" w:eastAsia="Times New Roman" w:hAnsi="Garamond" w:cs="Times New Roman"/>
              </w:rPr>
            </w:pPr>
            <w:r w:rsidRPr="004A0C12">
              <w:rPr>
                <w:rFonts w:ascii="Garamond" w:eastAsia="Times New Roman" w:hAnsi="Garamond" w:cs="Times New Roman"/>
                <w:color w:val="1F1F1F"/>
                <w:w w:val="105"/>
              </w:rPr>
              <w:t>impose</w:t>
            </w:r>
            <w:r w:rsidRPr="004A0C12">
              <w:rPr>
                <w:rFonts w:ascii="Garamond" w:eastAsia="Times New Roman" w:hAnsi="Garamond" w:cs="Times New Roman"/>
                <w:color w:val="1F1F1F"/>
                <w:spacing w:val="19"/>
                <w:w w:val="105"/>
              </w:rPr>
              <w:t xml:space="preserve"> </w:t>
            </w:r>
            <w:r w:rsidRPr="004A0C12">
              <w:rPr>
                <w:rFonts w:ascii="Garamond" w:eastAsia="Times New Roman" w:hAnsi="Garamond" w:cs="Times New Roman"/>
                <w:color w:val="1F1F1F"/>
                <w:w w:val="105"/>
              </w:rPr>
              <w:t>no</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du</w:t>
            </w:r>
            <w:r w:rsidRPr="004A0C12">
              <w:rPr>
                <w:rFonts w:ascii="Garamond" w:eastAsia="Times New Roman" w:hAnsi="Garamond" w:cs="Times New Roman"/>
                <w:color w:val="1F1F1F"/>
                <w:spacing w:val="8"/>
                <w:w w:val="105"/>
              </w:rPr>
              <w:t>r</w:t>
            </w:r>
            <w:r w:rsidRPr="004A0C12">
              <w:rPr>
                <w:rFonts w:ascii="Garamond" w:eastAsia="Times New Roman" w:hAnsi="Garamond" w:cs="Times New Roman"/>
                <w:color w:val="424242"/>
                <w:spacing w:val="12"/>
                <w:w w:val="105"/>
              </w:rPr>
              <w:t>a</w:t>
            </w:r>
            <w:r w:rsidRPr="004A0C12">
              <w:rPr>
                <w:rFonts w:ascii="Garamond" w:eastAsia="Times New Roman" w:hAnsi="Garamond" w:cs="Times New Roman"/>
                <w:color w:val="1F1F1F"/>
                <w:w w:val="105"/>
              </w:rPr>
              <w:t>t</w:t>
            </w:r>
            <w:r w:rsidRPr="004A0C12">
              <w:rPr>
                <w:rFonts w:ascii="Garamond" w:eastAsia="Times New Roman" w:hAnsi="Garamond" w:cs="Times New Roman"/>
                <w:color w:val="1F1F1F"/>
                <w:spacing w:val="14"/>
                <w:w w:val="105"/>
              </w:rPr>
              <w:t>i</w:t>
            </w:r>
            <w:r w:rsidRPr="004A0C12">
              <w:rPr>
                <w:rFonts w:ascii="Garamond" w:eastAsia="Times New Roman" w:hAnsi="Garamond" w:cs="Times New Roman"/>
                <w:color w:val="424242"/>
                <w:w w:val="105"/>
              </w:rPr>
              <w:t>on</w:t>
            </w:r>
            <w:r w:rsidRPr="004A0C12">
              <w:rPr>
                <w:rFonts w:ascii="Garamond" w:eastAsia="Times New Roman" w:hAnsi="Garamond" w:cs="Times New Roman"/>
                <w:color w:val="424242"/>
                <w:spacing w:val="-7"/>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9"/>
                <w:w w:val="105"/>
              </w:rPr>
              <w:t xml:space="preserve"> </w:t>
            </w:r>
            <w:r w:rsidRPr="004A0C12">
              <w:rPr>
                <w:rFonts w:ascii="Garamond" w:eastAsia="Times New Roman" w:hAnsi="Garamond" w:cs="Times New Roman"/>
                <w:color w:val="333333"/>
                <w:w w:val="105"/>
              </w:rPr>
              <w:t>residence</w:t>
            </w:r>
            <w:r w:rsidRPr="004A0C12">
              <w:rPr>
                <w:rFonts w:ascii="Garamond" w:eastAsia="Times New Roman" w:hAnsi="Garamond" w:cs="Times New Roman"/>
                <w:color w:val="333333"/>
                <w:spacing w:val="21"/>
                <w:w w:val="105"/>
              </w:rPr>
              <w:t xml:space="preserve"> </w:t>
            </w:r>
            <w:r w:rsidRPr="004A0C12">
              <w:rPr>
                <w:rFonts w:ascii="Garamond" w:eastAsia="Times New Roman" w:hAnsi="Garamond" w:cs="Times New Roman"/>
                <w:color w:val="1F1F1F"/>
                <w:w w:val="105"/>
              </w:rPr>
              <w:t>requirement</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1F1F1F"/>
                <w:w w:val="105"/>
              </w:rPr>
              <w:t>as</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part</w:t>
            </w:r>
            <w:r w:rsidRPr="004A0C12">
              <w:rPr>
                <w:rFonts w:ascii="Garamond" w:eastAsia="Times New Roman" w:hAnsi="Garamond" w:cs="Times New Roman"/>
                <w:color w:val="1F1F1F"/>
                <w:spacing w:val="9"/>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de</w:t>
            </w:r>
            <w:r w:rsidRPr="004A0C12">
              <w:rPr>
                <w:rFonts w:ascii="Garamond" w:eastAsia="Times New Roman" w:hAnsi="Garamond" w:cs="Times New Roman"/>
                <w:color w:val="1F1F1F"/>
                <w:spacing w:val="-2"/>
                <w:w w:val="105"/>
              </w:rPr>
              <w:t>t</w:t>
            </w:r>
            <w:r w:rsidRPr="004A0C12">
              <w:rPr>
                <w:rFonts w:ascii="Garamond" w:eastAsia="Times New Roman" w:hAnsi="Garamond" w:cs="Times New Roman"/>
                <w:color w:val="424242"/>
                <w:w w:val="105"/>
              </w:rPr>
              <w:t>er</w:t>
            </w:r>
            <w:r w:rsidRPr="004A0C12">
              <w:rPr>
                <w:rFonts w:ascii="Garamond" w:eastAsia="Times New Roman" w:hAnsi="Garamond" w:cs="Times New Roman"/>
                <w:color w:val="424242"/>
                <w:spacing w:val="15"/>
                <w:w w:val="105"/>
              </w:rPr>
              <w:t>m</w:t>
            </w:r>
            <w:r w:rsidRPr="004A0C12">
              <w:rPr>
                <w:rFonts w:ascii="Garamond" w:eastAsia="Times New Roman" w:hAnsi="Garamond" w:cs="Times New Roman"/>
                <w:color w:val="1F1F1F"/>
                <w:w w:val="105"/>
              </w:rPr>
              <w:t>ini</w:t>
            </w:r>
            <w:r w:rsidRPr="004A0C12">
              <w:rPr>
                <w:rFonts w:ascii="Garamond" w:eastAsia="Times New Roman" w:hAnsi="Garamond" w:cs="Times New Roman"/>
                <w:color w:val="1F1F1F"/>
                <w:spacing w:val="9"/>
                <w:w w:val="105"/>
              </w:rPr>
              <w:t>n</w:t>
            </w:r>
            <w:r w:rsidRPr="004A0C12">
              <w:rPr>
                <w:rFonts w:ascii="Garamond" w:eastAsia="Times New Roman" w:hAnsi="Garamond" w:cs="Times New Roman"/>
                <w:color w:val="424242"/>
                <w:w w:val="105"/>
              </w:rPr>
              <w:t>g</w:t>
            </w:r>
            <w:r w:rsidRPr="004A0C12">
              <w:rPr>
                <w:rFonts w:ascii="Garamond" w:eastAsia="Times New Roman" w:hAnsi="Garamond" w:cs="Times New Roman"/>
                <w:color w:val="424242"/>
                <w:spacing w:val="-22"/>
                <w:w w:val="105"/>
              </w:rPr>
              <w:t xml:space="preserve"> </w:t>
            </w:r>
            <w:r w:rsidRPr="004A0C12">
              <w:rPr>
                <w:rFonts w:ascii="Garamond" w:eastAsia="Times New Roman" w:hAnsi="Garamond" w:cs="Times New Roman"/>
                <w:color w:val="424242"/>
                <w:spacing w:val="10"/>
                <w:w w:val="105"/>
              </w:rPr>
              <w:t>a</w:t>
            </w:r>
            <w:r w:rsidRPr="004A0C12">
              <w:rPr>
                <w:rFonts w:ascii="Garamond" w:eastAsia="Times New Roman" w:hAnsi="Garamond" w:cs="Times New Roman"/>
                <w:color w:val="1F1F1F"/>
                <w:w w:val="105"/>
              </w:rPr>
              <w:t>n</w:t>
            </w:r>
            <w:r w:rsidRPr="004A0C12">
              <w:rPr>
                <w:rFonts w:ascii="Garamond" w:eastAsia="Times New Roman" w:hAnsi="Garamond" w:cs="Times New Roman"/>
                <w:color w:val="1F1F1F"/>
                <w:w w:val="96"/>
              </w:rPr>
              <w:t xml:space="preserve"> </w:t>
            </w:r>
            <w:r w:rsidRPr="004A0C12">
              <w:rPr>
                <w:rFonts w:ascii="Garamond" w:eastAsia="Times New Roman" w:hAnsi="Garamond" w:cs="Times New Roman"/>
                <w:color w:val="1F1F1F"/>
                <w:w w:val="105"/>
              </w:rPr>
              <w:t xml:space="preserve">individual's </w:t>
            </w:r>
            <w:r w:rsidRPr="004A0C12">
              <w:rPr>
                <w:rFonts w:ascii="Garamond" w:eastAsia="Times New Roman" w:hAnsi="Garamond" w:cs="Times New Roman"/>
                <w:color w:val="333333"/>
                <w:w w:val="105"/>
              </w:rPr>
              <w:t>eligibility</w:t>
            </w:r>
            <w:r w:rsidRPr="004A0C12">
              <w:rPr>
                <w:rFonts w:ascii="Garamond" w:eastAsia="Times New Roman" w:hAnsi="Garamond" w:cs="Times New Roman"/>
                <w:color w:val="333333"/>
                <w:spacing w:val="-5"/>
                <w:w w:val="105"/>
              </w:rPr>
              <w:t xml:space="preserve"> </w:t>
            </w:r>
            <w:r w:rsidRPr="004A0C12">
              <w:rPr>
                <w:rFonts w:ascii="Garamond" w:eastAsia="Times New Roman" w:hAnsi="Garamond" w:cs="Times New Roman"/>
                <w:color w:val="1F1F1F"/>
                <w:w w:val="105"/>
              </w:rPr>
              <w:t>for</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1F1F1F"/>
                <w:w w:val="105"/>
              </w:rPr>
              <w:t>VR</w:t>
            </w:r>
            <w:r w:rsidRPr="004A0C12">
              <w:rPr>
                <w:rFonts w:ascii="Garamond" w:eastAsia="Times New Roman" w:hAnsi="Garamond" w:cs="Times New Roman"/>
                <w:color w:val="1F1F1F"/>
                <w:spacing w:val="-10"/>
                <w:w w:val="105"/>
              </w:rPr>
              <w:t xml:space="preserve"> </w:t>
            </w:r>
            <w:r w:rsidRPr="004A0C12">
              <w:rPr>
                <w:rFonts w:ascii="Garamond" w:eastAsia="Times New Roman" w:hAnsi="Garamond" w:cs="Times New Roman"/>
                <w:color w:val="1F1F1F"/>
                <w:w w:val="105"/>
              </w:rPr>
              <w:t>services</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1F1F1F"/>
                <w:w w:val="105"/>
              </w:rPr>
              <w:t>or</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that</w:t>
            </w:r>
            <w:r w:rsidRPr="004A0C12">
              <w:rPr>
                <w:rFonts w:ascii="Garamond" w:eastAsia="Times New Roman" w:hAnsi="Garamond" w:cs="Times New Roman"/>
                <w:color w:val="1F1F1F"/>
                <w:spacing w:val="-10"/>
                <w:w w:val="105"/>
              </w:rPr>
              <w:t xml:space="preserve"> </w:t>
            </w:r>
            <w:r w:rsidRPr="004A0C12">
              <w:rPr>
                <w:rFonts w:ascii="Garamond" w:eastAsia="Times New Roman" w:hAnsi="Garamond" w:cs="Times New Roman"/>
                <w:color w:val="1F1F1F"/>
                <w:w w:val="105"/>
              </w:rPr>
              <w:t>excludes</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from</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333333"/>
                <w:w w:val="105"/>
              </w:rPr>
              <w:t>services</w:t>
            </w:r>
            <w:r w:rsidRPr="004A0C12">
              <w:rPr>
                <w:rFonts w:ascii="Garamond" w:eastAsia="Times New Roman" w:hAnsi="Garamond" w:cs="Times New Roman"/>
                <w:color w:val="333333"/>
                <w:spacing w:val="-6"/>
                <w:w w:val="105"/>
              </w:rPr>
              <w:t xml:space="preserve"> </w:t>
            </w:r>
            <w:r w:rsidRPr="004A0C12">
              <w:rPr>
                <w:rFonts w:ascii="Garamond" w:eastAsia="Times New Roman" w:hAnsi="Garamond" w:cs="Times New Roman"/>
                <w:color w:val="1F1F1F"/>
                <w:w w:val="105"/>
              </w:rPr>
              <w:t>under</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w w:val="109"/>
              </w:rPr>
              <w:t xml:space="preserve"> </w:t>
            </w:r>
            <w:r w:rsidRPr="004A0C12">
              <w:rPr>
                <w:rFonts w:ascii="Garamond" w:eastAsia="Times New Roman" w:hAnsi="Garamond" w:cs="Times New Roman"/>
                <w:color w:val="1F1F1F"/>
                <w:w w:val="105"/>
              </w:rPr>
              <w:t>plan</w:t>
            </w:r>
            <w:r w:rsidRPr="004A0C12">
              <w:rPr>
                <w:rFonts w:ascii="Garamond" w:eastAsia="Times New Roman" w:hAnsi="Garamond" w:cs="Times New Roman"/>
                <w:color w:val="1F1F1F"/>
                <w:spacing w:val="9"/>
                <w:w w:val="105"/>
              </w:rPr>
              <w:t xml:space="preserve"> </w:t>
            </w:r>
            <w:r w:rsidRPr="004A0C12">
              <w:rPr>
                <w:rFonts w:ascii="Garamond" w:eastAsia="Times New Roman" w:hAnsi="Garamond" w:cs="Times New Roman"/>
                <w:color w:val="1F1F1F"/>
                <w:w w:val="105"/>
              </w:rPr>
              <w:t>any</w:t>
            </w:r>
            <w:r w:rsidRPr="004A0C12">
              <w:rPr>
                <w:rFonts w:ascii="Garamond" w:eastAsia="Times New Roman" w:hAnsi="Garamond" w:cs="Times New Roman"/>
                <w:color w:val="1F1F1F"/>
                <w:spacing w:val="-15"/>
                <w:w w:val="105"/>
              </w:rPr>
              <w:t xml:space="preserve"> </w:t>
            </w:r>
            <w:r w:rsidRPr="004A0C12">
              <w:rPr>
                <w:rFonts w:ascii="Garamond" w:eastAsia="Times New Roman" w:hAnsi="Garamond" w:cs="Times New Roman"/>
                <w:color w:val="1F1F1F"/>
                <w:w w:val="105"/>
              </w:rPr>
              <w:t>individu</w:t>
            </w:r>
            <w:r w:rsidRPr="004A0C12">
              <w:rPr>
                <w:rFonts w:ascii="Garamond" w:eastAsia="Times New Roman" w:hAnsi="Garamond" w:cs="Times New Roman"/>
                <w:color w:val="424242"/>
                <w:spacing w:val="12"/>
                <w:w w:val="105"/>
              </w:rPr>
              <w:t>a</w:t>
            </w:r>
            <w:r w:rsidRPr="004A0C12">
              <w:rPr>
                <w:rFonts w:ascii="Garamond" w:eastAsia="Times New Roman" w:hAnsi="Garamond" w:cs="Times New Roman"/>
                <w:color w:val="1F1F1F"/>
                <w:w w:val="105"/>
              </w:rPr>
              <w:t>l who</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is</w:t>
            </w:r>
            <w:r w:rsidRPr="004A0C12">
              <w:rPr>
                <w:rFonts w:ascii="Garamond" w:eastAsia="Times New Roman" w:hAnsi="Garamond" w:cs="Times New Roman"/>
                <w:color w:val="1F1F1F"/>
                <w:spacing w:val="-17"/>
                <w:w w:val="105"/>
              </w:rPr>
              <w:t xml:space="preserve"> </w:t>
            </w:r>
            <w:r w:rsidRPr="004A0C12">
              <w:rPr>
                <w:rFonts w:ascii="Garamond" w:eastAsia="Times New Roman" w:hAnsi="Garamond" w:cs="Times New Roman"/>
                <w:color w:val="1F1F1F"/>
                <w:w w:val="105"/>
              </w:rPr>
              <w:t>present</w:t>
            </w:r>
            <w:r w:rsidRPr="004A0C12">
              <w:rPr>
                <w:rFonts w:ascii="Garamond" w:eastAsia="Times New Roman" w:hAnsi="Garamond" w:cs="Times New Roman"/>
                <w:color w:val="1F1F1F"/>
                <w:spacing w:val="20"/>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State</w:t>
            </w:r>
            <w:r w:rsidRPr="004A0C12">
              <w:rPr>
                <w:rFonts w:ascii="Garamond" w:eastAsia="Times New Roman" w:hAnsi="Garamond" w:cs="Times New Roman"/>
                <w:color w:val="1F1F1F"/>
                <w:spacing w:val="-15"/>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accordan</w:t>
            </w:r>
            <w:r w:rsidRPr="004A0C12">
              <w:rPr>
                <w:rFonts w:ascii="Garamond" w:eastAsia="Times New Roman" w:hAnsi="Garamond" w:cs="Times New Roman"/>
                <w:color w:val="1F1F1F"/>
                <w:spacing w:val="7"/>
                <w:w w:val="105"/>
              </w:rPr>
              <w:t>c</w:t>
            </w:r>
            <w:r w:rsidRPr="004A0C12">
              <w:rPr>
                <w:rFonts w:ascii="Garamond" w:eastAsia="Times New Roman" w:hAnsi="Garamond" w:cs="Times New Roman"/>
                <w:color w:val="424242"/>
                <w:w w:val="105"/>
              </w:rPr>
              <w:t>e</w:t>
            </w:r>
            <w:r w:rsidRPr="004A0C12">
              <w:rPr>
                <w:rFonts w:ascii="Garamond" w:eastAsia="Times New Roman" w:hAnsi="Garamond" w:cs="Times New Roman"/>
                <w:color w:val="424242"/>
                <w:spacing w:val="-18"/>
                <w:w w:val="105"/>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333333"/>
                <w:w w:val="105"/>
              </w:rPr>
              <w:t xml:space="preserve">section </w:t>
            </w:r>
            <w:r w:rsidRPr="004A0C12">
              <w:rPr>
                <w:rFonts w:ascii="Garamond" w:eastAsia="Times New Roman" w:hAnsi="Garamond" w:cs="Times New Roman"/>
                <w:color w:val="1F1F1F"/>
                <w:w w:val="105"/>
              </w:rPr>
              <w:t>101(a)(12)</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333333"/>
                <w:w w:val="105"/>
              </w:rPr>
              <w:t>of</w:t>
            </w:r>
            <w:r w:rsidRPr="004A0C12">
              <w:rPr>
                <w:rFonts w:ascii="Garamond" w:eastAsia="Times New Roman" w:hAnsi="Garamond" w:cs="Times New Roman"/>
                <w:color w:val="333333"/>
                <w:spacing w:val="4"/>
                <w:w w:val="105"/>
              </w:rPr>
              <w:t xml:space="preserve"> </w:t>
            </w:r>
            <w:r w:rsidRPr="004A0C12">
              <w:rPr>
                <w:rFonts w:ascii="Garamond" w:eastAsia="Times New Roman" w:hAnsi="Garamond" w:cs="Times New Roman"/>
                <w:color w:val="333333"/>
                <w:w w:val="105"/>
              </w:rPr>
              <w:t>the</w:t>
            </w:r>
            <w:r w:rsidRPr="004A0C12">
              <w:rPr>
                <w:rFonts w:ascii="Garamond" w:eastAsia="Times New Roman" w:hAnsi="Garamond" w:cs="Times New Roman"/>
                <w:color w:val="333333"/>
                <w:spacing w:val="20"/>
                <w:w w:val="105"/>
              </w:rPr>
              <w:t xml:space="preserve"> </w:t>
            </w:r>
            <w:r w:rsidRPr="004A0C12">
              <w:rPr>
                <w:rFonts w:ascii="Garamond" w:eastAsia="Times New Roman" w:hAnsi="Garamond" w:cs="Times New Roman"/>
                <w:color w:val="333333"/>
                <w:w w:val="105"/>
              </w:rPr>
              <w:t>Rehabilitation</w:t>
            </w:r>
            <w:r w:rsidRPr="004A0C12">
              <w:rPr>
                <w:rFonts w:ascii="Garamond" w:eastAsia="Times New Roman" w:hAnsi="Garamond" w:cs="Times New Roman"/>
                <w:color w:val="333333"/>
                <w:spacing w:val="26"/>
                <w:w w:val="105"/>
              </w:rPr>
              <w:t xml:space="preserve"> </w:t>
            </w:r>
            <w:r w:rsidRPr="004A0C12">
              <w:rPr>
                <w:rFonts w:ascii="Garamond" w:eastAsia="Times New Roman" w:hAnsi="Garamond" w:cs="Times New Roman"/>
                <w:color w:val="1F1F1F"/>
                <w:w w:val="105"/>
              </w:rPr>
              <w:t>Act.</w:t>
            </w:r>
          </w:p>
          <w:p w14:paraId="26339765" w14:textId="77777777" w:rsidR="001F7B29" w:rsidRPr="004A0C12" w:rsidRDefault="001F7B29" w:rsidP="00232F09">
            <w:pPr>
              <w:widowControl w:val="0"/>
              <w:numPr>
                <w:ilvl w:val="0"/>
                <w:numId w:val="201"/>
              </w:numPr>
              <w:tabs>
                <w:tab w:val="left" w:pos="381"/>
              </w:tabs>
              <w:spacing w:after="0" w:line="240" w:lineRule="auto"/>
              <w:ind w:left="381" w:right="146" w:hanging="346"/>
              <w:rPr>
                <w:rFonts w:ascii="Garamond" w:eastAsia="Times New Roman" w:hAnsi="Garamond" w:cs="Times New Roman"/>
              </w:rPr>
            </w:pPr>
            <w:r w:rsidRPr="004A0C12">
              <w:rPr>
                <w:rFonts w:ascii="Garamond" w:eastAsia="Times New Roman" w:hAnsi="Garamond" w:cs="Times New Roman"/>
                <w:color w:val="1F1F1F"/>
                <w:w w:val="105"/>
              </w:rPr>
              <w:t>provide</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333333"/>
                <w:w w:val="105"/>
              </w:rPr>
              <w:t>the</w:t>
            </w:r>
            <w:r w:rsidRPr="004A0C12">
              <w:rPr>
                <w:rFonts w:ascii="Garamond" w:eastAsia="Times New Roman" w:hAnsi="Garamond" w:cs="Times New Roman"/>
                <w:color w:val="333333"/>
                <w:spacing w:val="-12"/>
                <w:w w:val="105"/>
              </w:rPr>
              <w:t xml:space="preserve"> </w:t>
            </w:r>
            <w:r w:rsidRPr="004A0C12">
              <w:rPr>
                <w:rFonts w:ascii="Garamond" w:eastAsia="Times New Roman" w:hAnsi="Garamond" w:cs="Times New Roman"/>
                <w:color w:val="333333"/>
                <w:w w:val="105"/>
              </w:rPr>
              <w:t>full</w:t>
            </w:r>
            <w:r w:rsidRPr="004A0C12">
              <w:rPr>
                <w:rFonts w:ascii="Garamond" w:eastAsia="Times New Roman" w:hAnsi="Garamond" w:cs="Times New Roman"/>
                <w:color w:val="333333"/>
                <w:spacing w:val="5"/>
                <w:w w:val="105"/>
              </w:rPr>
              <w:t xml:space="preserve"> </w:t>
            </w:r>
            <w:r w:rsidRPr="004A0C12">
              <w:rPr>
                <w:rFonts w:ascii="Garamond" w:eastAsia="Times New Roman" w:hAnsi="Garamond" w:cs="Times New Roman"/>
                <w:color w:val="424242"/>
                <w:w w:val="105"/>
              </w:rPr>
              <w:t>range</w:t>
            </w:r>
            <w:r w:rsidRPr="004A0C12">
              <w:rPr>
                <w:rFonts w:ascii="Garamond" w:eastAsia="Times New Roman" w:hAnsi="Garamond" w:cs="Times New Roman"/>
                <w:color w:val="424242"/>
                <w:spacing w:val="4"/>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333333"/>
                <w:w w:val="105"/>
              </w:rPr>
              <w:t>services</w:t>
            </w:r>
            <w:r w:rsidRPr="004A0C12">
              <w:rPr>
                <w:rFonts w:ascii="Garamond" w:eastAsia="Times New Roman" w:hAnsi="Garamond" w:cs="Times New Roman"/>
                <w:color w:val="333333"/>
                <w:spacing w:val="-8"/>
                <w:w w:val="105"/>
              </w:rPr>
              <w:t xml:space="preserve"> </w:t>
            </w:r>
            <w:r w:rsidRPr="004A0C12">
              <w:rPr>
                <w:rFonts w:ascii="Garamond" w:eastAsia="Times New Roman" w:hAnsi="Garamond" w:cs="Times New Roman"/>
                <w:color w:val="1F1F1F"/>
                <w:w w:val="105"/>
              </w:rPr>
              <w:t>listed</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13"/>
                <w:w w:val="105"/>
              </w:rPr>
              <w:t xml:space="preserve"> </w:t>
            </w:r>
            <w:r w:rsidRPr="004A0C12">
              <w:rPr>
                <w:rFonts w:ascii="Garamond" w:eastAsia="Times New Roman" w:hAnsi="Garamond" w:cs="Times New Roman"/>
                <w:color w:val="1F1F1F"/>
                <w:w w:val="105"/>
              </w:rPr>
              <w:t>section</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103(a)</w:t>
            </w:r>
            <w:r w:rsidRPr="004A0C12">
              <w:rPr>
                <w:rFonts w:ascii="Garamond" w:eastAsia="Times New Roman" w:hAnsi="Garamond" w:cs="Times New Roman"/>
                <w:color w:val="1F1F1F"/>
                <w:spacing w:val="-20"/>
                <w:w w:val="105"/>
              </w:rPr>
              <w:t xml:space="preserve"> </w:t>
            </w:r>
            <w:r w:rsidRPr="004A0C12">
              <w:rPr>
                <w:rFonts w:ascii="Garamond" w:eastAsia="Times New Roman" w:hAnsi="Garamond" w:cs="Times New Roman"/>
                <w:color w:val="333333"/>
                <w:w w:val="105"/>
              </w:rPr>
              <w:t>of</w:t>
            </w:r>
            <w:r w:rsidRPr="004A0C12">
              <w:rPr>
                <w:rFonts w:ascii="Garamond" w:eastAsia="Times New Roman" w:hAnsi="Garamond" w:cs="Times New Roman"/>
                <w:color w:val="333333"/>
                <w:spacing w:val="-8"/>
                <w:w w:val="105"/>
              </w:rPr>
              <w:t xml:space="preserve"> </w:t>
            </w:r>
            <w:r w:rsidRPr="004A0C12">
              <w:rPr>
                <w:rFonts w:ascii="Garamond" w:eastAsia="Times New Roman" w:hAnsi="Garamond" w:cs="Times New Roman"/>
                <w:color w:val="333333"/>
                <w:w w:val="105"/>
              </w:rPr>
              <w:t>the</w:t>
            </w:r>
            <w:r w:rsidRPr="004A0C12">
              <w:rPr>
                <w:rFonts w:ascii="Garamond" w:eastAsia="Times New Roman" w:hAnsi="Garamond" w:cs="Times New Roman"/>
                <w:color w:val="333333"/>
                <w:spacing w:val="5"/>
                <w:w w:val="105"/>
              </w:rPr>
              <w:t xml:space="preserve"> </w:t>
            </w:r>
            <w:r w:rsidRPr="004A0C12">
              <w:rPr>
                <w:rFonts w:ascii="Garamond" w:eastAsia="Times New Roman" w:hAnsi="Garamond" w:cs="Times New Roman"/>
                <w:color w:val="333333"/>
                <w:w w:val="105"/>
              </w:rPr>
              <w:t>Rehabilitation</w:t>
            </w:r>
            <w:r w:rsidRPr="004A0C12">
              <w:rPr>
                <w:rFonts w:ascii="Garamond" w:eastAsia="Times New Roman" w:hAnsi="Garamond" w:cs="Times New Roman"/>
                <w:color w:val="333333"/>
                <w:spacing w:val="11"/>
                <w:w w:val="105"/>
              </w:rPr>
              <w:t xml:space="preserve"> </w:t>
            </w:r>
            <w:r w:rsidRPr="004A0C12">
              <w:rPr>
                <w:rFonts w:ascii="Garamond" w:eastAsia="Times New Roman" w:hAnsi="Garamond" w:cs="Times New Roman"/>
                <w:color w:val="1F1F1F"/>
                <w:w w:val="105"/>
              </w:rPr>
              <w:t>Act</w:t>
            </w:r>
            <w:r w:rsidRPr="004A0C12">
              <w:rPr>
                <w:rFonts w:ascii="Garamond" w:eastAsia="Times New Roman" w:hAnsi="Garamond" w:cs="Times New Roman"/>
                <w:color w:val="1F1F1F"/>
                <w:w w:val="94"/>
              </w:rPr>
              <w:t xml:space="preserve"> </w:t>
            </w:r>
            <w:r w:rsidRPr="004A0C12">
              <w:rPr>
                <w:rFonts w:ascii="Garamond" w:eastAsia="Times New Roman" w:hAnsi="Garamond" w:cs="Times New Roman"/>
                <w:color w:val="1F1F1F"/>
                <w:w w:val="105"/>
              </w:rPr>
              <w:t>as</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appropr</w:t>
            </w:r>
            <w:r w:rsidRPr="004A0C12">
              <w:rPr>
                <w:rFonts w:ascii="Garamond" w:eastAsia="Times New Roman" w:hAnsi="Garamond" w:cs="Times New Roman"/>
                <w:color w:val="1F1F1F"/>
                <w:spacing w:val="7"/>
                <w:w w:val="105"/>
              </w:rPr>
              <w:t>i</w:t>
            </w:r>
            <w:r w:rsidRPr="004A0C12">
              <w:rPr>
                <w:rFonts w:ascii="Garamond" w:eastAsia="Times New Roman" w:hAnsi="Garamond" w:cs="Times New Roman"/>
                <w:color w:val="424242"/>
                <w:w w:val="105"/>
              </w:rPr>
              <w:t>ate,</w:t>
            </w:r>
            <w:r w:rsidRPr="004A0C12">
              <w:rPr>
                <w:rFonts w:ascii="Garamond" w:eastAsia="Times New Roman" w:hAnsi="Garamond" w:cs="Times New Roman"/>
                <w:color w:val="424242"/>
                <w:spacing w:val="-14"/>
                <w:w w:val="105"/>
              </w:rPr>
              <w:t xml:space="preserve"> </w:t>
            </w:r>
            <w:r w:rsidRPr="004A0C12">
              <w:rPr>
                <w:rFonts w:ascii="Garamond" w:eastAsia="Times New Roman" w:hAnsi="Garamond" w:cs="Times New Roman"/>
                <w:color w:val="333333"/>
                <w:w w:val="105"/>
              </w:rPr>
              <w:t>to</w:t>
            </w:r>
            <w:r w:rsidRPr="004A0C12">
              <w:rPr>
                <w:rFonts w:ascii="Garamond" w:eastAsia="Times New Roman" w:hAnsi="Garamond" w:cs="Times New Roman"/>
                <w:color w:val="333333"/>
                <w:spacing w:val="-7"/>
                <w:w w:val="105"/>
              </w:rPr>
              <w:t xml:space="preserve"> </w:t>
            </w:r>
            <w:r w:rsidRPr="004A0C12">
              <w:rPr>
                <w:rFonts w:ascii="Garamond" w:eastAsia="Times New Roman" w:hAnsi="Garamond" w:cs="Times New Roman"/>
                <w:color w:val="424242"/>
                <w:w w:val="105"/>
              </w:rPr>
              <w:t>all</w:t>
            </w:r>
            <w:r w:rsidRPr="004A0C12">
              <w:rPr>
                <w:rFonts w:ascii="Garamond" w:eastAsia="Times New Roman" w:hAnsi="Garamond" w:cs="Times New Roman"/>
                <w:color w:val="424242"/>
                <w:spacing w:val="3"/>
                <w:w w:val="105"/>
              </w:rPr>
              <w:t xml:space="preserve"> </w:t>
            </w:r>
            <w:r w:rsidRPr="004A0C12">
              <w:rPr>
                <w:rFonts w:ascii="Garamond" w:eastAsia="Times New Roman" w:hAnsi="Garamond" w:cs="Times New Roman"/>
                <w:color w:val="424242"/>
                <w:w w:val="105"/>
              </w:rPr>
              <w:t>eligib</w:t>
            </w:r>
            <w:r w:rsidRPr="004A0C12">
              <w:rPr>
                <w:rFonts w:ascii="Garamond" w:eastAsia="Times New Roman" w:hAnsi="Garamond" w:cs="Times New Roman"/>
                <w:color w:val="1F1F1F"/>
                <w:w w:val="105"/>
              </w:rPr>
              <w:t>le</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333333"/>
                <w:w w:val="105"/>
              </w:rPr>
              <w:t>individuals</w:t>
            </w:r>
            <w:r w:rsidRPr="004A0C12">
              <w:rPr>
                <w:rFonts w:ascii="Garamond" w:eastAsia="Times New Roman" w:hAnsi="Garamond" w:cs="Times New Roman"/>
                <w:color w:val="333333"/>
                <w:spacing w:val="6"/>
                <w:w w:val="105"/>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spacing w:val="18"/>
                <w:w w:val="105"/>
              </w:rPr>
              <w:t xml:space="preserve"> </w:t>
            </w:r>
            <w:r w:rsidRPr="004A0C12">
              <w:rPr>
                <w:rFonts w:ascii="Garamond" w:eastAsia="Times New Roman" w:hAnsi="Garamond" w:cs="Times New Roman"/>
                <w:color w:val="1F1F1F"/>
                <w:w w:val="105"/>
              </w:rPr>
              <w:t>disabilities</w:t>
            </w:r>
            <w:r w:rsidRPr="004A0C12">
              <w:rPr>
                <w:rFonts w:ascii="Garamond" w:eastAsia="Times New Roman" w:hAnsi="Garamond" w:cs="Times New Roman"/>
                <w:color w:val="1F1F1F"/>
                <w:spacing w:val="17"/>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333333"/>
                <w:w w:val="105"/>
              </w:rPr>
              <w:t>the</w:t>
            </w:r>
            <w:r w:rsidRPr="004A0C12">
              <w:rPr>
                <w:rFonts w:ascii="Garamond" w:eastAsia="Times New Roman" w:hAnsi="Garamond" w:cs="Times New Roman"/>
                <w:color w:val="333333"/>
                <w:spacing w:val="-3"/>
                <w:w w:val="105"/>
              </w:rPr>
              <w:t xml:space="preserve"> </w:t>
            </w:r>
            <w:r w:rsidRPr="004A0C12">
              <w:rPr>
                <w:rFonts w:ascii="Garamond" w:eastAsia="Times New Roman" w:hAnsi="Garamond" w:cs="Times New Roman"/>
                <w:color w:val="424242"/>
                <w:w w:val="105"/>
              </w:rPr>
              <w:t>St</w:t>
            </w:r>
            <w:r w:rsidRPr="004A0C12">
              <w:rPr>
                <w:rFonts w:ascii="Garamond" w:eastAsia="Times New Roman" w:hAnsi="Garamond" w:cs="Times New Roman"/>
                <w:color w:val="424242"/>
                <w:spacing w:val="-3"/>
                <w:w w:val="105"/>
              </w:rPr>
              <w:t>a</w:t>
            </w:r>
            <w:r w:rsidRPr="004A0C12">
              <w:rPr>
                <w:rFonts w:ascii="Garamond" w:eastAsia="Times New Roman" w:hAnsi="Garamond" w:cs="Times New Roman"/>
                <w:color w:val="1F1F1F"/>
                <w:spacing w:val="-1"/>
                <w:w w:val="105"/>
              </w:rPr>
              <w:t>t</w:t>
            </w:r>
            <w:r w:rsidRPr="004A0C12">
              <w:rPr>
                <w:rFonts w:ascii="Garamond" w:eastAsia="Times New Roman" w:hAnsi="Garamond" w:cs="Times New Roman"/>
                <w:color w:val="424242"/>
                <w:w w:val="105"/>
              </w:rPr>
              <w:t>e</w:t>
            </w:r>
            <w:r w:rsidRPr="004A0C12">
              <w:rPr>
                <w:rFonts w:ascii="Garamond" w:eastAsia="Times New Roman" w:hAnsi="Garamond" w:cs="Times New Roman"/>
                <w:color w:val="424242"/>
                <w:spacing w:val="-26"/>
                <w:w w:val="105"/>
              </w:rPr>
              <w:t xml:space="preserve"> </w:t>
            </w:r>
            <w:r w:rsidRPr="004A0C12">
              <w:rPr>
                <w:rFonts w:ascii="Garamond" w:eastAsia="Times New Roman" w:hAnsi="Garamond" w:cs="Times New Roman"/>
                <w:color w:val="333333"/>
                <w:w w:val="105"/>
              </w:rPr>
              <w:t>who</w:t>
            </w:r>
            <w:r w:rsidRPr="004A0C12">
              <w:rPr>
                <w:rFonts w:ascii="Garamond" w:eastAsia="Times New Roman" w:hAnsi="Garamond" w:cs="Times New Roman"/>
                <w:color w:val="333333"/>
                <w:spacing w:val="11"/>
                <w:w w:val="105"/>
              </w:rPr>
              <w:t xml:space="preserve"> </w:t>
            </w:r>
            <w:r w:rsidRPr="004A0C12">
              <w:rPr>
                <w:rFonts w:ascii="Garamond" w:eastAsia="Times New Roman" w:hAnsi="Garamond" w:cs="Times New Roman"/>
                <w:color w:val="333333"/>
                <w:w w:val="105"/>
              </w:rPr>
              <w:t>apply</w:t>
            </w:r>
            <w:r w:rsidRPr="004A0C12">
              <w:rPr>
                <w:rFonts w:ascii="Garamond" w:eastAsia="Times New Roman" w:hAnsi="Garamond" w:cs="Times New Roman"/>
                <w:color w:val="333333"/>
                <w:w w:val="107"/>
              </w:rPr>
              <w:t xml:space="preserve"> </w:t>
            </w:r>
            <w:r w:rsidRPr="004A0C12">
              <w:rPr>
                <w:rFonts w:ascii="Garamond" w:eastAsia="Times New Roman" w:hAnsi="Garamond" w:cs="Times New Roman"/>
                <w:color w:val="1F1F1F"/>
                <w:w w:val="105"/>
              </w:rPr>
              <w:t>for</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333333"/>
                <w:w w:val="105"/>
              </w:rPr>
              <w:t>services</w:t>
            </w:r>
            <w:r w:rsidRPr="004A0C12">
              <w:rPr>
                <w:rFonts w:ascii="Garamond" w:eastAsia="Times New Roman" w:hAnsi="Garamond" w:cs="Times New Roman"/>
                <w:color w:val="333333"/>
                <w:spacing w:val="-15"/>
                <w:w w:val="105"/>
              </w:rPr>
              <w:t xml:space="preserve"> </w:t>
            </w:r>
            <w:r w:rsidRPr="004A0C12">
              <w:rPr>
                <w:rFonts w:ascii="Garamond" w:eastAsia="Times New Roman" w:hAnsi="Garamond" w:cs="Times New Roman"/>
                <w:color w:val="424242"/>
                <w:w w:val="105"/>
              </w:rPr>
              <w:t>in</w:t>
            </w:r>
            <w:r w:rsidRPr="004A0C12">
              <w:rPr>
                <w:rFonts w:ascii="Garamond" w:eastAsia="Times New Roman" w:hAnsi="Garamond" w:cs="Times New Roman"/>
                <w:color w:val="424242"/>
                <w:spacing w:val="-11"/>
                <w:w w:val="105"/>
              </w:rPr>
              <w:t xml:space="preserve"> </w:t>
            </w:r>
            <w:r w:rsidRPr="004A0C12">
              <w:rPr>
                <w:rFonts w:ascii="Garamond" w:eastAsia="Times New Roman" w:hAnsi="Garamond" w:cs="Times New Roman"/>
                <w:color w:val="424242"/>
                <w:w w:val="105"/>
              </w:rPr>
              <w:t>acc</w:t>
            </w:r>
            <w:r w:rsidRPr="004A0C12">
              <w:rPr>
                <w:rFonts w:ascii="Garamond" w:eastAsia="Times New Roman" w:hAnsi="Garamond" w:cs="Times New Roman"/>
                <w:color w:val="424242"/>
                <w:spacing w:val="3"/>
                <w:w w:val="105"/>
              </w:rPr>
              <w:t>o</w:t>
            </w:r>
            <w:r w:rsidRPr="004A0C12">
              <w:rPr>
                <w:rFonts w:ascii="Garamond" w:eastAsia="Times New Roman" w:hAnsi="Garamond" w:cs="Times New Roman"/>
                <w:color w:val="1F1F1F"/>
                <w:w w:val="105"/>
              </w:rPr>
              <w:t>r</w:t>
            </w:r>
            <w:r w:rsidRPr="004A0C12">
              <w:rPr>
                <w:rFonts w:ascii="Garamond" w:eastAsia="Times New Roman" w:hAnsi="Garamond" w:cs="Times New Roman"/>
                <w:color w:val="1F1F1F"/>
                <w:spacing w:val="11"/>
                <w:w w:val="105"/>
              </w:rPr>
              <w:t>d</w:t>
            </w:r>
            <w:r w:rsidRPr="004A0C12">
              <w:rPr>
                <w:rFonts w:ascii="Garamond" w:eastAsia="Times New Roman" w:hAnsi="Garamond" w:cs="Times New Roman"/>
                <w:color w:val="424242"/>
                <w:spacing w:val="2"/>
                <w:w w:val="105"/>
              </w:rPr>
              <w:t>a</w:t>
            </w:r>
            <w:r w:rsidRPr="004A0C12">
              <w:rPr>
                <w:rFonts w:ascii="Garamond" w:eastAsia="Times New Roman" w:hAnsi="Garamond" w:cs="Times New Roman"/>
                <w:color w:val="1F1F1F"/>
                <w:spacing w:val="19"/>
                <w:w w:val="105"/>
              </w:rPr>
              <w:t>n</w:t>
            </w:r>
            <w:r w:rsidRPr="004A0C12">
              <w:rPr>
                <w:rFonts w:ascii="Garamond" w:eastAsia="Times New Roman" w:hAnsi="Garamond" w:cs="Times New Roman"/>
                <w:color w:val="424242"/>
                <w:w w:val="105"/>
              </w:rPr>
              <w:t>ce</w:t>
            </w:r>
            <w:r w:rsidRPr="004A0C12">
              <w:rPr>
                <w:rFonts w:ascii="Garamond" w:eastAsia="Times New Roman" w:hAnsi="Garamond" w:cs="Times New Roman"/>
                <w:color w:val="424242"/>
                <w:spacing w:val="-27"/>
                <w:w w:val="105"/>
              </w:rPr>
              <w:t xml:space="preserve"> </w:t>
            </w:r>
            <w:r w:rsidRPr="004A0C12">
              <w:rPr>
                <w:rFonts w:ascii="Garamond" w:eastAsia="Times New Roman" w:hAnsi="Garamond" w:cs="Times New Roman"/>
                <w:color w:val="333333"/>
                <w:w w:val="105"/>
              </w:rPr>
              <w:t>with</w:t>
            </w:r>
            <w:r w:rsidRPr="004A0C12">
              <w:rPr>
                <w:rFonts w:ascii="Garamond" w:eastAsia="Times New Roman" w:hAnsi="Garamond" w:cs="Times New Roman"/>
                <w:color w:val="333333"/>
                <w:spacing w:val="9"/>
                <w:w w:val="105"/>
              </w:rPr>
              <w:t xml:space="preserve"> </w:t>
            </w:r>
            <w:r w:rsidRPr="004A0C12">
              <w:rPr>
                <w:rFonts w:ascii="Garamond" w:eastAsia="Times New Roman" w:hAnsi="Garamond" w:cs="Times New Roman"/>
                <w:color w:val="333333"/>
                <w:w w:val="105"/>
              </w:rPr>
              <w:t xml:space="preserve">section </w:t>
            </w:r>
            <w:r w:rsidRPr="004A0C12">
              <w:rPr>
                <w:rFonts w:ascii="Garamond" w:eastAsia="Times New Roman" w:hAnsi="Garamond" w:cs="Times New Roman"/>
                <w:color w:val="1F1F1F"/>
                <w:w w:val="105"/>
              </w:rPr>
              <w:t>10</w:t>
            </w:r>
            <w:r w:rsidRPr="004A0C12">
              <w:rPr>
                <w:rFonts w:ascii="Garamond" w:eastAsia="Times New Roman" w:hAnsi="Garamond" w:cs="Times New Roman"/>
                <w:color w:val="1F1F1F"/>
                <w:spacing w:val="-29"/>
                <w:w w:val="105"/>
              </w:rPr>
              <w:t>1</w:t>
            </w:r>
            <w:r w:rsidRPr="004A0C12">
              <w:rPr>
                <w:rFonts w:ascii="Garamond" w:eastAsia="Times New Roman" w:hAnsi="Garamond" w:cs="Times New Roman"/>
                <w:color w:val="1F1F1F"/>
                <w:w w:val="105"/>
              </w:rPr>
              <w:t>(a)</w:t>
            </w:r>
            <w:r w:rsidRPr="004A0C12">
              <w:rPr>
                <w:rFonts w:ascii="Garamond" w:eastAsia="Times New Roman" w:hAnsi="Garamond" w:cs="Times New Roman"/>
                <w:color w:val="1F1F1F"/>
                <w:spacing w:val="-40"/>
                <w:w w:val="105"/>
              </w:rPr>
              <w:t xml:space="preserve"> </w:t>
            </w:r>
            <w:r w:rsidRPr="004A0C12">
              <w:rPr>
                <w:rFonts w:ascii="Garamond" w:eastAsia="Times New Roman" w:hAnsi="Garamond" w:cs="Times New Roman"/>
                <w:color w:val="333333"/>
                <w:w w:val="105"/>
              </w:rPr>
              <w:t>(5)</w:t>
            </w:r>
            <w:r w:rsidRPr="004A0C12">
              <w:rPr>
                <w:rFonts w:ascii="Garamond" w:eastAsia="Times New Roman" w:hAnsi="Garamond" w:cs="Times New Roman"/>
                <w:color w:val="333333"/>
                <w:spacing w:val="-2"/>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333333"/>
                <w:w w:val="105"/>
              </w:rPr>
              <w:t>the</w:t>
            </w:r>
            <w:r w:rsidRPr="004A0C12">
              <w:rPr>
                <w:rFonts w:ascii="Garamond" w:eastAsia="Times New Roman" w:hAnsi="Garamond" w:cs="Times New Roman"/>
                <w:color w:val="333333"/>
                <w:spacing w:val="-1"/>
                <w:w w:val="105"/>
              </w:rPr>
              <w:t xml:space="preserve"> </w:t>
            </w:r>
            <w:r w:rsidRPr="004A0C12">
              <w:rPr>
                <w:rFonts w:ascii="Garamond" w:eastAsia="Times New Roman" w:hAnsi="Garamond" w:cs="Times New Roman"/>
                <w:color w:val="333333"/>
                <w:w w:val="105"/>
              </w:rPr>
              <w:t>Rehabilitation</w:t>
            </w:r>
            <w:r w:rsidRPr="004A0C12">
              <w:rPr>
                <w:rFonts w:ascii="Garamond" w:eastAsia="Times New Roman" w:hAnsi="Garamond" w:cs="Times New Roman"/>
                <w:color w:val="333333"/>
                <w:spacing w:val="13"/>
                <w:w w:val="105"/>
              </w:rPr>
              <w:t xml:space="preserve"> </w:t>
            </w:r>
            <w:r w:rsidRPr="004A0C12">
              <w:rPr>
                <w:rFonts w:ascii="Garamond" w:eastAsia="Times New Roman" w:hAnsi="Garamond" w:cs="Times New Roman"/>
                <w:color w:val="333333"/>
                <w:w w:val="105"/>
              </w:rPr>
              <w:t>Act?</w:t>
            </w:r>
            <w:r w:rsidRPr="004A0C12">
              <w:rPr>
                <w:rFonts w:ascii="Garamond" w:eastAsia="Times New Roman" w:hAnsi="Garamond" w:cs="Times New Roman"/>
                <w:color w:val="333333"/>
                <w:w w:val="97"/>
              </w:rPr>
              <w:t xml:space="preserve"> </w:t>
            </w:r>
            <w:r w:rsidRPr="004A0C12">
              <w:rPr>
                <w:rFonts w:ascii="Garamond" w:eastAsia="Times New Roman" w:hAnsi="Garamond" w:cs="Times New Roman"/>
                <w:b/>
                <w:color w:val="333333"/>
                <w:w w:val="97"/>
              </w:rPr>
              <w:t>YES</w:t>
            </w:r>
          </w:p>
          <w:p w14:paraId="2443BAD6" w14:textId="77777777" w:rsidR="001F7B29" w:rsidRPr="004A0C12" w:rsidRDefault="001F7B29" w:rsidP="00232F09">
            <w:pPr>
              <w:widowControl w:val="0"/>
              <w:numPr>
                <w:ilvl w:val="0"/>
                <w:numId w:val="201"/>
              </w:numPr>
              <w:tabs>
                <w:tab w:val="left" w:pos="381"/>
              </w:tabs>
              <w:spacing w:after="0" w:line="240" w:lineRule="auto"/>
              <w:ind w:left="381"/>
              <w:rPr>
                <w:rFonts w:ascii="Garamond" w:eastAsia="Times New Roman" w:hAnsi="Garamond" w:cs="Times New Roman"/>
              </w:rPr>
            </w:pPr>
            <w:r w:rsidRPr="004A0C12">
              <w:rPr>
                <w:rFonts w:ascii="Garamond" w:eastAsia="Times New Roman" w:hAnsi="Garamond" w:cs="Times New Roman"/>
                <w:color w:val="333333"/>
                <w:w w:val="105"/>
              </w:rPr>
              <w:t>comply</w:t>
            </w:r>
            <w:r w:rsidRPr="004A0C12">
              <w:rPr>
                <w:rFonts w:ascii="Garamond" w:eastAsia="Times New Roman" w:hAnsi="Garamond" w:cs="Times New Roman"/>
                <w:color w:val="333333"/>
                <w:spacing w:val="-14"/>
                <w:w w:val="105"/>
              </w:rPr>
              <w:t xml:space="preserve"> </w:t>
            </w:r>
            <w:r w:rsidRPr="004A0C12">
              <w:rPr>
                <w:rFonts w:ascii="Garamond" w:eastAsia="Times New Roman" w:hAnsi="Garamond" w:cs="Times New Roman"/>
                <w:color w:val="424242"/>
                <w:w w:val="105"/>
              </w:rPr>
              <w:t>with</w:t>
            </w:r>
            <w:r w:rsidRPr="004A0C12">
              <w:rPr>
                <w:rFonts w:ascii="Garamond" w:eastAsia="Times New Roman" w:hAnsi="Garamond" w:cs="Times New Roman"/>
                <w:color w:val="424242"/>
                <w:spacing w:val="10"/>
                <w:w w:val="105"/>
              </w:rPr>
              <w:t xml:space="preserve"> </w:t>
            </w:r>
            <w:r w:rsidRPr="004A0C12">
              <w:rPr>
                <w:rFonts w:ascii="Garamond" w:eastAsia="Times New Roman" w:hAnsi="Garamond" w:cs="Times New Roman"/>
                <w:color w:val="424242"/>
                <w:spacing w:val="2"/>
                <w:w w:val="105"/>
              </w:rPr>
              <w:t>a</w:t>
            </w:r>
            <w:r w:rsidRPr="004A0C12">
              <w:rPr>
                <w:rFonts w:ascii="Garamond" w:eastAsia="Times New Roman" w:hAnsi="Garamond" w:cs="Times New Roman"/>
                <w:color w:val="1F1F1F"/>
                <w:w w:val="105"/>
              </w:rPr>
              <w:t>ll</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333333"/>
                <w:w w:val="105"/>
              </w:rPr>
              <w:t>required</w:t>
            </w:r>
            <w:r w:rsidRPr="004A0C12">
              <w:rPr>
                <w:rFonts w:ascii="Garamond" w:eastAsia="Times New Roman" w:hAnsi="Garamond" w:cs="Times New Roman"/>
                <w:color w:val="333333"/>
                <w:spacing w:val="19"/>
                <w:w w:val="105"/>
              </w:rPr>
              <w:t xml:space="preserve"> </w:t>
            </w:r>
            <w:r w:rsidRPr="004A0C12">
              <w:rPr>
                <w:rFonts w:ascii="Garamond" w:eastAsia="Times New Roman" w:hAnsi="Garamond" w:cs="Times New Roman"/>
                <w:color w:val="424242"/>
                <w:w w:val="105"/>
              </w:rPr>
              <w:t>av</w:t>
            </w:r>
            <w:r w:rsidRPr="004A0C12">
              <w:rPr>
                <w:rFonts w:ascii="Garamond" w:eastAsia="Times New Roman" w:hAnsi="Garamond" w:cs="Times New Roman"/>
                <w:color w:val="424242"/>
                <w:spacing w:val="5"/>
                <w:w w:val="105"/>
              </w:rPr>
              <w:t>a</w:t>
            </w:r>
            <w:r w:rsidRPr="004A0C12">
              <w:rPr>
                <w:rFonts w:ascii="Garamond" w:eastAsia="Times New Roman" w:hAnsi="Garamond" w:cs="Times New Roman"/>
                <w:color w:val="1F1F1F"/>
                <w:w w:val="105"/>
              </w:rPr>
              <w:t>il</w:t>
            </w:r>
            <w:r w:rsidRPr="004A0C12">
              <w:rPr>
                <w:rFonts w:ascii="Garamond" w:eastAsia="Times New Roman" w:hAnsi="Garamond" w:cs="Times New Roman"/>
                <w:color w:val="1F1F1F"/>
                <w:spacing w:val="5"/>
                <w:w w:val="105"/>
              </w:rPr>
              <w:t>a</w:t>
            </w:r>
            <w:r w:rsidRPr="004A0C12">
              <w:rPr>
                <w:rFonts w:ascii="Garamond" w:eastAsia="Times New Roman" w:hAnsi="Garamond" w:cs="Times New Roman"/>
                <w:color w:val="424242"/>
                <w:spacing w:val="3"/>
                <w:w w:val="105"/>
              </w:rPr>
              <w:t>b</w:t>
            </w:r>
            <w:r w:rsidRPr="004A0C12">
              <w:rPr>
                <w:rFonts w:ascii="Garamond" w:eastAsia="Times New Roman" w:hAnsi="Garamond" w:cs="Times New Roman"/>
                <w:color w:val="1F1F1F"/>
                <w:w w:val="105"/>
              </w:rPr>
              <w:t>le</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1F1F1F"/>
                <w:w w:val="105"/>
              </w:rPr>
              <w:t>comparable</w:t>
            </w:r>
            <w:r w:rsidRPr="004A0C12">
              <w:rPr>
                <w:rFonts w:ascii="Garamond" w:eastAsia="Times New Roman" w:hAnsi="Garamond" w:cs="Times New Roman"/>
                <w:color w:val="1F1F1F"/>
                <w:spacing w:val="10"/>
                <w:w w:val="105"/>
              </w:rPr>
              <w:t xml:space="preserve"> </w:t>
            </w:r>
            <w:r w:rsidRPr="004A0C12">
              <w:rPr>
                <w:rFonts w:ascii="Garamond" w:eastAsia="Times New Roman" w:hAnsi="Garamond" w:cs="Times New Roman"/>
                <w:color w:val="333333"/>
                <w:w w:val="105"/>
              </w:rPr>
              <w:t>services</w:t>
            </w:r>
            <w:r w:rsidRPr="004A0C12">
              <w:rPr>
                <w:rFonts w:ascii="Garamond" w:eastAsia="Times New Roman" w:hAnsi="Garamond" w:cs="Times New Roman"/>
                <w:color w:val="333333"/>
                <w:spacing w:val="-15"/>
                <w:w w:val="105"/>
              </w:rPr>
              <w:t xml:space="preserve"> </w:t>
            </w:r>
            <w:r w:rsidRPr="004A0C12">
              <w:rPr>
                <w:rFonts w:ascii="Garamond" w:eastAsia="Times New Roman" w:hAnsi="Garamond" w:cs="Times New Roman"/>
                <w:color w:val="333333"/>
                <w:w w:val="105"/>
              </w:rPr>
              <w:t>and</w:t>
            </w:r>
            <w:r w:rsidRPr="004A0C12">
              <w:rPr>
                <w:rFonts w:ascii="Garamond" w:eastAsia="Times New Roman" w:hAnsi="Garamond" w:cs="Times New Roman"/>
                <w:color w:val="333333"/>
                <w:spacing w:val="14"/>
                <w:w w:val="105"/>
              </w:rPr>
              <w:t xml:space="preserve"> </w:t>
            </w:r>
            <w:r w:rsidRPr="004A0C12">
              <w:rPr>
                <w:rFonts w:ascii="Garamond" w:eastAsia="Times New Roman" w:hAnsi="Garamond" w:cs="Times New Roman"/>
                <w:color w:val="424242"/>
                <w:w w:val="105"/>
              </w:rPr>
              <w:t xml:space="preserve">benefits, </w:t>
            </w:r>
            <w:r w:rsidRPr="004A0C12">
              <w:rPr>
                <w:rFonts w:ascii="Garamond" w:eastAsia="Times New Roman" w:hAnsi="Garamond" w:cs="Times New Roman"/>
                <w:color w:val="1F1F1F"/>
                <w:spacing w:val="2"/>
                <w:w w:val="105"/>
              </w:rPr>
              <w:t>d</w:t>
            </w:r>
            <w:r w:rsidRPr="004A0C12">
              <w:rPr>
                <w:rFonts w:ascii="Garamond" w:eastAsia="Times New Roman" w:hAnsi="Garamond" w:cs="Times New Roman"/>
                <w:color w:val="424242"/>
                <w:w w:val="105"/>
              </w:rPr>
              <w:t>ete</w:t>
            </w:r>
            <w:r w:rsidRPr="004A0C12">
              <w:rPr>
                <w:rFonts w:ascii="Garamond" w:eastAsia="Times New Roman" w:hAnsi="Garamond" w:cs="Times New Roman"/>
                <w:color w:val="424242"/>
                <w:spacing w:val="-1"/>
                <w:w w:val="105"/>
              </w:rPr>
              <w:t>r</w:t>
            </w:r>
            <w:r w:rsidRPr="004A0C12">
              <w:rPr>
                <w:rFonts w:ascii="Garamond" w:eastAsia="Times New Roman" w:hAnsi="Garamond" w:cs="Times New Roman"/>
                <w:color w:val="1F1F1F"/>
                <w:w w:val="105"/>
              </w:rPr>
              <w:t>mined</w:t>
            </w:r>
          </w:p>
          <w:p w14:paraId="55635F9C" w14:textId="77777777" w:rsidR="001F7B29" w:rsidRPr="004A0C12" w:rsidRDefault="001F7B29" w:rsidP="00A2533C">
            <w:pPr>
              <w:widowControl w:val="0"/>
              <w:spacing w:after="0" w:line="240" w:lineRule="auto"/>
              <w:ind w:right="367"/>
              <w:jc w:val="center"/>
              <w:rPr>
                <w:rFonts w:ascii="Garamond" w:eastAsia="Times New Roman" w:hAnsi="Garamond" w:cs="Times New Roman"/>
              </w:rPr>
            </w:pPr>
            <w:r w:rsidRPr="004A0C12">
              <w:rPr>
                <w:rFonts w:ascii="Garamond" w:eastAsia="Times New Roman" w:hAnsi="Garamond" w:cs="Times New Roman"/>
                <w:color w:val="333333"/>
                <w:w w:val="105"/>
              </w:rPr>
              <w:t>to</w:t>
            </w:r>
            <w:r w:rsidRPr="004A0C12">
              <w:rPr>
                <w:rFonts w:ascii="Garamond" w:eastAsia="Times New Roman" w:hAnsi="Garamond" w:cs="Times New Roman"/>
                <w:color w:val="333333"/>
                <w:spacing w:val="-3"/>
                <w:w w:val="105"/>
              </w:rPr>
              <w:t xml:space="preserve"> </w:t>
            </w:r>
            <w:r w:rsidRPr="004A0C12">
              <w:rPr>
                <w:rFonts w:ascii="Garamond" w:eastAsia="Times New Roman" w:hAnsi="Garamond" w:cs="Times New Roman"/>
                <w:color w:val="424242"/>
                <w:spacing w:val="13"/>
                <w:w w:val="105"/>
              </w:rPr>
              <w:t>b</w:t>
            </w:r>
            <w:r w:rsidRPr="004A0C12">
              <w:rPr>
                <w:rFonts w:ascii="Garamond" w:eastAsia="Times New Roman" w:hAnsi="Garamond" w:cs="Times New Roman"/>
                <w:color w:val="1F1F1F"/>
                <w:w w:val="105"/>
              </w:rPr>
              <w:t>e</w:t>
            </w:r>
            <w:r w:rsidRPr="004A0C12">
              <w:rPr>
                <w:rFonts w:ascii="Garamond" w:eastAsia="Times New Roman" w:hAnsi="Garamond" w:cs="Times New Roman"/>
                <w:color w:val="1F1F1F"/>
                <w:spacing w:val="-10"/>
                <w:w w:val="105"/>
              </w:rPr>
              <w:t xml:space="preserve"> </w:t>
            </w:r>
            <w:r w:rsidRPr="004A0C12">
              <w:rPr>
                <w:rFonts w:ascii="Garamond" w:eastAsia="Times New Roman" w:hAnsi="Garamond" w:cs="Times New Roman"/>
                <w:color w:val="1F1F1F"/>
                <w:w w:val="105"/>
              </w:rPr>
              <w:t>availa</w:t>
            </w:r>
            <w:r w:rsidRPr="004A0C12">
              <w:rPr>
                <w:rFonts w:ascii="Garamond" w:eastAsia="Times New Roman" w:hAnsi="Garamond" w:cs="Times New Roman"/>
                <w:color w:val="424242"/>
                <w:w w:val="105"/>
              </w:rPr>
              <w:t>ble</w:t>
            </w:r>
            <w:r w:rsidRPr="004A0C12">
              <w:rPr>
                <w:rFonts w:ascii="Garamond" w:eastAsia="Times New Roman" w:hAnsi="Garamond" w:cs="Times New Roman"/>
                <w:color w:val="424242"/>
                <w:spacing w:val="5"/>
                <w:w w:val="105"/>
              </w:rPr>
              <w:t xml:space="preserve"> </w:t>
            </w:r>
            <w:r w:rsidRPr="004A0C12">
              <w:rPr>
                <w:rFonts w:ascii="Garamond" w:eastAsia="Times New Roman" w:hAnsi="Garamond" w:cs="Times New Roman"/>
                <w:color w:val="1F1F1F"/>
                <w:w w:val="105"/>
              </w:rPr>
              <w:t>to</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th</w:t>
            </w:r>
            <w:r w:rsidRPr="004A0C12">
              <w:rPr>
                <w:rFonts w:ascii="Garamond" w:eastAsia="Times New Roman" w:hAnsi="Garamond" w:cs="Times New Roman"/>
                <w:color w:val="424242"/>
                <w:w w:val="105"/>
              </w:rPr>
              <w:t>e</w:t>
            </w:r>
            <w:r w:rsidRPr="004A0C12">
              <w:rPr>
                <w:rFonts w:ascii="Garamond" w:eastAsia="Times New Roman" w:hAnsi="Garamond" w:cs="Times New Roman"/>
                <w:color w:val="424242"/>
                <w:spacing w:val="-20"/>
                <w:w w:val="105"/>
              </w:rPr>
              <w:t xml:space="preserve"> </w:t>
            </w:r>
            <w:r w:rsidRPr="004A0C12">
              <w:rPr>
                <w:rFonts w:ascii="Garamond" w:eastAsia="Times New Roman" w:hAnsi="Garamond" w:cs="Times New Roman"/>
                <w:color w:val="1F1F1F"/>
                <w:w w:val="105"/>
              </w:rPr>
              <w:t>individual</w:t>
            </w:r>
            <w:r w:rsidRPr="004A0C12">
              <w:rPr>
                <w:rFonts w:ascii="Garamond" w:eastAsia="Times New Roman" w:hAnsi="Garamond" w:cs="Times New Roman"/>
                <w:color w:val="1F1F1F"/>
                <w:spacing w:val="13"/>
                <w:w w:val="105"/>
              </w:rPr>
              <w:t xml:space="preserve"> </w:t>
            </w:r>
            <w:r w:rsidRPr="004A0C12">
              <w:rPr>
                <w:rFonts w:ascii="Garamond" w:eastAsia="Times New Roman" w:hAnsi="Garamond" w:cs="Times New Roman"/>
                <w:color w:val="424242"/>
                <w:w w:val="105"/>
              </w:rPr>
              <w:t>in</w:t>
            </w:r>
            <w:r w:rsidRPr="004A0C12">
              <w:rPr>
                <w:rFonts w:ascii="Garamond" w:eastAsia="Times New Roman" w:hAnsi="Garamond" w:cs="Times New Roman"/>
                <w:color w:val="424242"/>
                <w:spacing w:val="-11"/>
                <w:w w:val="105"/>
              </w:rPr>
              <w:t xml:space="preserve"> </w:t>
            </w:r>
            <w:r w:rsidRPr="004A0C12">
              <w:rPr>
                <w:rFonts w:ascii="Garamond" w:eastAsia="Times New Roman" w:hAnsi="Garamond" w:cs="Times New Roman"/>
                <w:color w:val="333333"/>
                <w:w w:val="105"/>
              </w:rPr>
              <w:t>accordance</w:t>
            </w:r>
            <w:r w:rsidRPr="004A0C12">
              <w:rPr>
                <w:rFonts w:ascii="Garamond" w:eastAsia="Times New Roman" w:hAnsi="Garamond" w:cs="Times New Roman"/>
                <w:color w:val="333333"/>
                <w:spacing w:val="7"/>
                <w:w w:val="105"/>
              </w:rPr>
              <w:t xml:space="preserve"> </w:t>
            </w:r>
            <w:r w:rsidRPr="004A0C12">
              <w:rPr>
                <w:rFonts w:ascii="Garamond" w:eastAsia="Times New Roman" w:hAnsi="Garamond" w:cs="Times New Roman"/>
                <w:color w:val="333333"/>
                <w:w w:val="105"/>
              </w:rPr>
              <w:t>with</w:t>
            </w:r>
            <w:r w:rsidRPr="004A0C12">
              <w:rPr>
                <w:rFonts w:ascii="Garamond" w:eastAsia="Times New Roman" w:hAnsi="Garamond" w:cs="Times New Roman"/>
                <w:color w:val="333333"/>
                <w:spacing w:val="9"/>
                <w:w w:val="105"/>
              </w:rPr>
              <w:t xml:space="preserve"> </w:t>
            </w:r>
            <w:r w:rsidRPr="004A0C12">
              <w:rPr>
                <w:rFonts w:ascii="Garamond" w:eastAsia="Times New Roman" w:hAnsi="Garamond" w:cs="Times New Roman"/>
                <w:color w:val="333333"/>
                <w:w w:val="105"/>
              </w:rPr>
              <w:t>section</w:t>
            </w:r>
            <w:r w:rsidRPr="004A0C12">
              <w:rPr>
                <w:rFonts w:ascii="Garamond" w:eastAsia="Times New Roman" w:hAnsi="Garamond" w:cs="Times New Roman"/>
                <w:color w:val="333333"/>
                <w:spacing w:val="17"/>
                <w:w w:val="105"/>
              </w:rPr>
              <w:t xml:space="preserve"> </w:t>
            </w:r>
            <w:r w:rsidRPr="004A0C12">
              <w:rPr>
                <w:rFonts w:ascii="Garamond" w:eastAsia="Times New Roman" w:hAnsi="Garamond" w:cs="Times New Roman"/>
                <w:color w:val="1F1F1F"/>
                <w:w w:val="105"/>
              </w:rPr>
              <w:t>1</w:t>
            </w:r>
            <w:r w:rsidRPr="004A0C12">
              <w:rPr>
                <w:rFonts w:ascii="Garamond" w:eastAsia="Times New Roman" w:hAnsi="Garamond" w:cs="Times New Roman"/>
                <w:color w:val="1F1F1F"/>
                <w:spacing w:val="-10"/>
                <w:w w:val="105"/>
              </w:rPr>
              <w:t>0</w:t>
            </w:r>
            <w:r w:rsidRPr="004A0C12">
              <w:rPr>
                <w:rFonts w:ascii="Garamond" w:eastAsia="Times New Roman" w:hAnsi="Garamond" w:cs="Times New Roman"/>
                <w:color w:val="424242"/>
                <w:w w:val="105"/>
              </w:rPr>
              <w:t>1(a)(8)</w:t>
            </w:r>
            <w:r w:rsidRPr="004A0C12">
              <w:rPr>
                <w:rFonts w:ascii="Garamond" w:eastAsia="Times New Roman" w:hAnsi="Garamond" w:cs="Times New Roman"/>
                <w:color w:val="424242"/>
                <w:spacing w:val="-15"/>
                <w:w w:val="105"/>
              </w:rPr>
              <w:t xml:space="preserve"> </w:t>
            </w:r>
            <w:r w:rsidRPr="004A0C12">
              <w:rPr>
                <w:rFonts w:ascii="Garamond" w:eastAsia="Times New Roman" w:hAnsi="Garamond" w:cs="Times New Roman"/>
                <w:color w:val="424242"/>
                <w:w w:val="105"/>
              </w:rPr>
              <w:t>of</w:t>
            </w:r>
            <w:r w:rsidRPr="004A0C12">
              <w:rPr>
                <w:rFonts w:ascii="Garamond" w:eastAsia="Times New Roman" w:hAnsi="Garamond" w:cs="Times New Roman"/>
                <w:color w:val="424242"/>
                <w:spacing w:val="-12"/>
                <w:w w:val="105"/>
              </w:rPr>
              <w:t xml:space="preserve"> </w:t>
            </w:r>
            <w:r w:rsidRPr="004A0C12">
              <w:rPr>
                <w:rFonts w:ascii="Garamond" w:eastAsia="Times New Roman" w:hAnsi="Garamond" w:cs="Times New Roman"/>
                <w:color w:val="333333"/>
                <w:w w:val="105"/>
              </w:rPr>
              <w:t>the</w:t>
            </w:r>
          </w:p>
          <w:p w14:paraId="6057C288" w14:textId="77777777" w:rsidR="001F7B29" w:rsidRPr="004A0C12" w:rsidRDefault="001F7B29" w:rsidP="00A2533C">
            <w:pPr>
              <w:widowControl w:val="0"/>
              <w:spacing w:after="0" w:line="240" w:lineRule="auto"/>
              <w:ind w:left="381"/>
              <w:rPr>
                <w:rFonts w:ascii="Garamond" w:eastAsia="Times New Roman" w:hAnsi="Garamond" w:cs="Times New Roman"/>
              </w:rPr>
            </w:pPr>
            <w:r w:rsidRPr="004A0C12">
              <w:rPr>
                <w:rFonts w:ascii="Garamond" w:eastAsia="Times New Roman" w:hAnsi="Garamond" w:cs="Times New Roman"/>
                <w:color w:val="1F1F1F"/>
              </w:rPr>
              <w:t>Reha</w:t>
            </w:r>
            <w:r w:rsidRPr="004A0C12">
              <w:rPr>
                <w:rFonts w:ascii="Garamond" w:eastAsia="Times New Roman" w:hAnsi="Garamond" w:cs="Times New Roman"/>
                <w:color w:val="424242"/>
                <w:spacing w:val="12"/>
              </w:rPr>
              <w:t>b</w:t>
            </w:r>
            <w:r w:rsidRPr="004A0C12">
              <w:rPr>
                <w:rFonts w:ascii="Garamond" w:eastAsia="Times New Roman" w:hAnsi="Garamond" w:cs="Times New Roman"/>
                <w:color w:val="1F1F1F"/>
              </w:rPr>
              <w:t>ili</w:t>
            </w:r>
            <w:r w:rsidRPr="004A0C12">
              <w:rPr>
                <w:rFonts w:ascii="Garamond" w:eastAsia="Times New Roman" w:hAnsi="Garamond" w:cs="Times New Roman"/>
                <w:color w:val="1F1F1F"/>
                <w:spacing w:val="8"/>
              </w:rPr>
              <w:t>t</w:t>
            </w:r>
            <w:r w:rsidRPr="004A0C12">
              <w:rPr>
                <w:rFonts w:ascii="Garamond" w:eastAsia="Times New Roman" w:hAnsi="Garamond" w:cs="Times New Roman"/>
                <w:color w:val="424242"/>
              </w:rPr>
              <w:t>a</w:t>
            </w:r>
            <w:r w:rsidRPr="004A0C12">
              <w:rPr>
                <w:rFonts w:ascii="Garamond" w:eastAsia="Times New Roman" w:hAnsi="Garamond" w:cs="Times New Roman"/>
                <w:color w:val="424242"/>
                <w:spacing w:val="3"/>
              </w:rPr>
              <w:t>t</w:t>
            </w:r>
            <w:r w:rsidRPr="004A0C12">
              <w:rPr>
                <w:rFonts w:ascii="Garamond" w:eastAsia="Times New Roman" w:hAnsi="Garamond" w:cs="Times New Roman"/>
                <w:color w:val="1F1F1F"/>
              </w:rPr>
              <w:t>ion</w:t>
            </w:r>
            <w:r w:rsidRPr="004A0C12">
              <w:rPr>
                <w:rFonts w:ascii="Garamond" w:eastAsia="Times New Roman" w:hAnsi="Garamond" w:cs="Times New Roman"/>
                <w:color w:val="1F1F1F"/>
                <w:spacing w:val="5"/>
              </w:rPr>
              <w:t xml:space="preserve"> </w:t>
            </w:r>
            <w:r w:rsidRPr="004A0C12">
              <w:rPr>
                <w:rFonts w:ascii="Garamond" w:eastAsia="Times New Roman" w:hAnsi="Garamond" w:cs="Times New Roman"/>
                <w:color w:val="424242"/>
                <w:spacing w:val="10"/>
              </w:rPr>
              <w:t>A</w:t>
            </w:r>
            <w:r w:rsidRPr="004A0C12">
              <w:rPr>
                <w:rFonts w:ascii="Garamond" w:eastAsia="Times New Roman" w:hAnsi="Garamond" w:cs="Times New Roman"/>
                <w:color w:val="1F1F1F"/>
                <w:spacing w:val="-5"/>
              </w:rPr>
              <w:t>c</w:t>
            </w:r>
            <w:r w:rsidRPr="004A0C12">
              <w:rPr>
                <w:rFonts w:ascii="Garamond" w:eastAsia="Times New Roman" w:hAnsi="Garamond" w:cs="Times New Roman"/>
                <w:color w:val="424242"/>
              </w:rPr>
              <w:t>t</w:t>
            </w:r>
            <w:r w:rsidRPr="004A0C12">
              <w:rPr>
                <w:rFonts w:ascii="Garamond" w:eastAsia="Times New Roman" w:hAnsi="Garamond" w:cs="Times New Roman"/>
                <w:color w:val="424242"/>
                <w:spacing w:val="-2"/>
              </w:rPr>
              <w:t xml:space="preserve"> </w:t>
            </w:r>
            <w:r w:rsidRPr="004A0C12">
              <w:rPr>
                <w:rFonts w:ascii="Garamond" w:eastAsia="Times New Roman" w:hAnsi="Garamond" w:cs="Times New Roman"/>
                <w:color w:val="424242"/>
                <w:spacing w:val="1"/>
              </w:rPr>
              <w:t>a</w:t>
            </w:r>
            <w:r w:rsidRPr="004A0C12">
              <w:rPr>
                <w:rFonts w:ascii="Garamond" w:eastAsia="Times New Roman" w:hAnsi="Garamond" w:cs="Times New Roman"/>
                <w:color w:val="1F1F1F"/>
                <w:spacing w:val="19"/>
              </w:rPr>
              <w:t>n</w:t>
            </w:r>
            <w:r w:rsidRPr="004A0C12">
              <w:rPr>
                <w:rFonts w:ascii="Garamond" w:eastAsia="Times New Roman" w:hAnsi="Garamond" w:cs="Times New Roman"/>
                <w:color w:val="424242"/>
              </w:rPr>
              <w:t>d.</w:t>
            </w:r>
          </w:p>
          <w:p w14:paraId="21CEB399" w14:textId="13571513" w:rsidR="001F7B29" w:rsidRPr="004A0C12" w:rsidRDefault="001F7B29" w:rsidP="00232F09">
            <w:pPr>
              <w:widowControl w:val="0"/>
              <w:numPr>
                <w:ilvl w:val="0"/>
                <w:numId w:val="201"/>
              </w:numPr>
              <w:tabs>
                <w:tab w:val="left" w:pos="381"/>
              </w:tabs>
              <w:spacing w:after="0" w:line="240" w:lineRule="auto"/>
              <w:ind w:left="381" w:right="260"/>
              <w:rPr>
                <w:rFonts w:ascii="Garamond" w:eastAsia="Times New Roman" w:hAnsi="Garamond" w:cs="Times New Roman"/>
              </w:rPr>
            </w:pPr>
            <w:r w:rsidRPr="004A0C12">
              <w:rPr>
                <w:rFonts w:ascii="Garamond" w:eastAsia="Times New Roman" w:hAnsi="Garamond" w:cs="Times New Roman"/>
                <w:color w:val="424242"/>
              </w:rPr>
              <w:t>c</w:t>
            </w:r>
            <w:r w:rsidRPr="004A0C12">
              <w:rPr>
                <w:rFonts w:ascii="Garamond" w:eastAsia="Times New Roman" w:hAnsi="Garamond" w:cs="Times New Roman"/>
                <w:color w:val="424242"/>
                <w:spacing w:val="6"/>
              </w:rPr>
              <w:t>o</w:t>
            </w:r>
            <w:r w:rsidRPr="004A0C12">
              <w:rPr>
                <w:rFonts w:ascii="Garamond" w:eastAsia="Times New Roman" w:hAnsi="Garamond" w:cs="Times New Roman"/>
                <w:color w:val="1F1F1F"/>
              </w:rPr>
              <w:t>mp</w:t>
            </w:r>
            <w:r w:rsidRPr="004A0C12">
              <w:rPr>
                <w:rFonts w:ascii="Garamond" w:eastAsia="Times New Roman" w:hAnsi="Garamond" w:cs="Times New Roman"/>
                <w:color w:val="1F1F1F"/>
                <w:spacing w:val="11"/>
              </w:rPr>
              <w:t>l</w:t>
            </w:r>
            <w:r w:rsidRPr="004A0C12">
              <w:rPr>
                <w:rFonts w:ascii="Garamond" w:eastAsia="Times New Roman" w:hAnsi="Garamond" w:cs="Times New Roman"/>
                <w:color w:val="424242"/>
              </w:rPr>
              <w:t>y</w:t>
            </w:r>
            <w:r w:rsidRPr="004A0C12">
              <w:rPr>
                <w:rFonts w:ascii="Garamond" w:eastAsia="Times New Roman" w:hAnsi="Garamond" w:cs="Times New Roman"/>
                <w:color w:val="424242"/>
                <w:spacing w:val="8"/>
              </w:rPr>
              <w:t xml:space="preserve"> </w:t>
            </w:r>
            <w:r w:rsidRPr="004A0C12">
              <w:rPr>
                <w:rFonts w:ascii="Garamond" w:eastAsia="Times New Roman" w:hAnsi="Garamond" w:cs="Times New Roman"/>
                <w:color w:val="424242"/>
              </w:rPr>
              <w:t>with</w:t>
            </w:r>
            <w:r w:rsidRPr="004A0C12">
              <w:rPr>
                <w:rFonts w:ascii="Garamond" w:eastAsia="Times New Roman" w:hAnsi="Garamond" w:cs="Times New Roman"/>
                <w:color w:val="424242"/>
                <w:spacing w:val="40"/>
              </w:rPr>
              <w:t xml:space="preserve"> </w:t>
            </w:r>
            <w:r w:rsidRPr="004A0C12">
              <w:rPr>
                <w:rFonts w:ascii="Garamond" w:eastAsia="Times New Roman" w:hAnsi="Garamond" w:cs="Times New Roman"/>
                <w:color w:val="424242"/>
                <w:spacing w:val="8"/>
              </w:rPr>
              <w:t>t</w:t>
            </w:r>
            <w:r w:rsidRPr="004A0C12">
              <w:rPr>
                <w:rFonts w:ascii="Garamond" w:eastAsia="Times New Roman" w:hAnsi="Garamond" w:cs="Times New Roman"/>
                <w:color w:val="1F1F1F"/>
                <w:spacing w:val="18"/>
              </w:rPr>
              <w:t>h</w:t>
            </w:r>
            <w:r w:rsidRPr="004A0C12">
              <w:rPr>
                <w:rFonts w:ascii="Garamond" w:eastAsia="Times New Roman" w:hAnsi="Garamond" w:cs="Times New Roman"/>
                <w:color w:val="424242"/>
              </w:rPr>
              <w:t>e</w:t>
            </w:r>
            <w:r w:rsidRPr="004A0C12">
              <w:rPr>
                <w:rFonts w:ascii="Garamond" w:eastAsia="Times New Roman" w:hAnsi="Garamond" w:cs="Times New Roman"/>
                <w:color w:val="424242"/>
                <w:spacing w:val="1"/>
              </w:rPr>
              <w:t xml:space="preserve"> </w:t>
            </w:r>
            <w:r w:rsidRPr="004A0C12">
              <w:rPr>
                <w:rFonts w:ascii="Garamond" w:eastAsia="Times New Roman" w:hAnsi="Garamond" w:cs="Times New Roman"/>
                <w:color w:val="424242"/>
              </w:rPr>
              <w:t>requirem</w:t>
            </w:r>
            <w:r w:rsidRPr="004A0C12">
              <w:rPr>
                <w:rFonts w:ascii="Garamond" w:eastAsia="Times New Roman" w:hAnsi="Garamond" w:cs="Times New Roman"/>
                <w:color w:val="1F1F1F"/>
              </w:rPr>
              <w:t>en</w:t>
            </w:r>
            <w:r w:rsidRPr="004A0C12">
              <w:rPr>
                <w:rFonts w:ascii="Garamond" w:eastAsia="Times New Roman" w:hAnsi="Garamond" w:cs="Times New Roman"/>
                <w:color w:val="1F1F1F"/>
                <w:spacing w:val="4"/>
              </w:rPr>
              <w:t>t</w:t>
            </w:r>
            <w:r w:rsidRPr="004A0C12">
              <w:rPr>
                <w:rFonts w:ascii="Garamond" w:eastAsia="Times New Roman" w:hAnsi="Garamond" w:cs="Times New Roman"/>
                <w:color w:val="424242"/>
              </w:rPr>
              <w:t>s</w:t>
            </w:r>
            <w:r w:rsidRPr="004A0C12">
              <w:rPr>
                <w:rFonts w:ascii="Garamond" w:eastAsia="Times New Roman" w:hAnsi="Garamond" w:cs="Times New Roman"/>
                <w:color w:val="424242"/>
                <w:spacing w:val="9"/>
              </w:rPr>
              <w:t xml:space="preserve"> </w:t>
            </w:r>
            <w:r w:rsidRPr="004A0C12">
              <w:rPr>
                <w:rFonts w:ascii="Garamond" w:eastAsia="Times New Roman" w:hAnsi="Garamond" w:cs="Times New Roman"/>
                <w:color w:val="333333"/>
              </w:rPr>
              <w:t>for</w:t>
            </w:r>
            <w:r w:rsidRPr="004A0C12">
              <w:rPr>
                <w:rFonts w:ascii="Garamond" w:eastAsia="Times New Roman" w:hAnsi="Garamond" w:cs="Times New Roman"/>
                <w:color w:val="333333"/>
                <w:spacing w:val="17"/>
              </w:rPr>
              <w:t xml:space="preserve"> </w:t>
            </w:r>
            <w:r w:rsidRPr="004A0C12">
              <w:rPr>
                <w:rFonts w:ascii="Garamond" w:eastAsia="Times New Roman" w:hAnsi="Garamond" w:cs="Times New Roman"/>
                <w:color w:val="333333"/>
              </w:rPr>
              <w:t>the</w:t>
            </w:r>
            <w:r w:rsidRPr="004A0C12">
              <w:rPr>
                <w:rFonts w:ascii="Garamond" w:eastAsia="Times New Roman" w:hAnsi="Garamond" w:cs="Times New Roman"/>
                <w:color w:val="333333"/>
                <w:spacing w:val="17"/>
              </w:rPr>
              <w:t xml:space="preserve"> </w:t>
            </w:r>
            <w:r w:rsidRPr="004A0C12">
              <w:rPr>
                <w:rFonts w:ascii="Garamond" w:eastAsia="Times New Roman" w:hAnsi="Garamond" w:cs="Times New Roman"/>
                <w:color w:val="1F1F1F"/>
              </w:rPr>
              <w:t>dev</w:t>
            </w:r>
            <w:r w:rsidRPr="004A0C12">
              <w:rPr>
                <w:rFonts w:ascii="Garamond" w:eastAsia="Times New Roman" w:hAnsi="Garamond" w:cs="Times New Roman"/>
                <w:color w:val="1F1F1F"/>
                <w:spacing w:val="13"/>
              </w:rPr>
              <w:t>e</w:t>
            </w:r>
            <w:r w:rsidRPr="004A0C12">
              <w:rPr>
                <w:rFonts w:ascii="Garamond" w:eastAsia="Times New Roman" w:hAnsi="Garamond" w:cs="Times New Roman"/>
                <w:color w:val="424242"/>
              </w:rPr>
              <w:t>l</w:t>
            </w:r>
            <w:r w:rsidRPr="004A0C12">
              <w:rPr>
                <w:rFonts w:ascii="Garamond" w:eastAsia="Times New Roman" w:hAnsi="Garamond" w:cs="Times New Roman"/>
                <w:color w:val="1F1F1F"/>
              </w:rPr>
              <w:t>opment</w:t>
            </w:r>
            <w:r w:rsidRPr="004A0C12">
              <w:rPr>
                <w:rFonts w:ascii="Garamond" w:eastAsia="Times New Roman" w:hAnsi="Garamond" w:cs="Times New Roman"/>
                <w:color w:val="1F1F1F"/>
                <w:spacing w:val="30"/>
              </w:rPr>
              <w:t xml:space="preserve"> </w:t>
            </w:r>
            <w:r w:rsidRPr="004A0C12">
              <w:rPr>
                <w:rFonts w:ascii="Garamond" w:eastAsia="Times New Roman" w:hAnsi="Garamond" w:cs="Times New Roman"/>
                <w:color w:val="1F1F1F"/>
                <w:spacing w:val="4"/>
              </w:rPr>
              <w:t>o</w:t>
            </w:r>
            <w:r w:rsidRPr="004A0C12">
              <w:rPr>
                <w:rFonts w:ascii="Garamond" w:eastAsia="Times New Roman" w:hAnsi="Garamond" w:cs="Times New Roman"/>
                <w:color w:val="424242"/>
              </w:rPr>
              <w:t>f</w:t>
            </w:r>
            <w:r w:rsidRPr="004A0C12">
              <w:rPr>
                <w:rFonts w:ascii="Garamond" w:eastAsia="Times New Roman" w:hAnsi="Garamond" w:cs="Times New Roman"/>
                <w:color w:val="424242"/>
                <w:spacing w:val="4"/>
              </w:rPr>
              <w:t xml:space="preserve"> </w:t>
            </w:r>
            <w:r w:rsidRPr="004A0C12">
              <w:rPr>
                <w:rFonts w:ascii="Garamond" w:eastAsia="Times New Roman" w:hAnsi="Garamond" w:cs="Times New Roman"/>
                <w:color w:val="1F1F1F"/>
              </w:rPr>
              <w:t>an</w:t>
            </w:r>
            <w:r w:rsidRPr="004A0C12">
              <w:rPr>
                <w:rFonts w:ascii="Garamond" w:eastAsia="Times New Roman" w:hAnsi="Garamond" w:cs="Times New Roman"/>
                <w:color w:val="1F1F1F"/>
                <w:spacing w:val="15"/>
              </w:rPr>
              <w:t xml:space="preserve"> </w:t>
            </w:r>
            <w:r w:rsidRPr="004A0C12">
              <w:rPr>
                <w:rFonts w:ascii="Garamond" w:eastAsia="Times New Roman" w:hAnsi="Garamond" w:cs="Times New Roman"/>
                <w:color w:val="424242"/>
              </w:rPr>
              <w:t>individ</w:t>
            </w:r>
            <w:r w:rsidRPr="004A0C12">
              <w:rPr>
                <w:rFonts w:ascii="Garamond" w:eastAsia="Times New Roman" w:hAnsi="Garamond" w:cs="Times New Roman"/>
                <w:color w:val="1F1F1F"/>
              </w:rPr>
              <w:t>u</w:t>
            </w:r>
            <w:r w:rsidRPr="004A0C12">
              <w:rPr>
                <w:rFonts w:ascii="Garamond" w:eastAsia="Times New Roman" w:hAnsi="Garamond" w:cs="Times New Roman"/>
                <w:color w:val="424242"/>
                <w:spacing w:val="13"/>
              </w:rPr>
              <w:t>a</w:t>
            </w:r>
            <w:r w:rsidRPr="004A0C12">
              <w:rPr>
                <w:rFonts w:ascii="Garamond" w:eastAsia="Times New Roman" w:hAnsi="Garamond" w:cs="Times New Roman"/>
                <w:color w:val="1F1F1F"/>
              </w:rPr>
              <w:t>l</w:t>
            </w:r>
            <w:r w:rsidRPr="004A0C12">
              <w:rPr>
                <w:rFonts w:ascii="Garamond" w:eastAsia="Times New Roman" w:hAnsi="Garamond" w:cs="Times New Roman"/>
                <w:color w:val="1F1F1F"/>
                <w:spacing w:val="9"/>
              </w:rPr>
              <w:t>i</w:t>
            </w:r>
            <w:r w:rsidRPr="004A0C12">
              <w:rPr>
                <w:rFonts w:ascii="Garamond" w:eastAsia="Times New Roman" w:hAnsi="Garamond" w:cs="Times New Roman"/>
                <w:color w:val="424242"/>
              </w:rPr>
              <w:t>zed</w:t>
            </w:r>
            <w:r w:rsidRPr="004A0C12">
              <w:rPr>
                <w:rFonts w:ascii="Garamond" w:eastAsia="Times New Roman" w:hAnsi="Garamond" w:cs="Times New Roman"/>
                <w:color w:val="424242"/>
                <w:spacing w:val="37"/>
              </w:rPr>
              <w:t xml:space="preserve"> </w:t>
            </w:r>
            <w:r w:rsidRPr="004A0C12">
              <w:rPr>
                <w:rFonts w:ascii="Garamond" w:eastAsia="Times New Roman" w:hAnsi="Garamond" w:cs="Times New Roman"/>
                <w:color w:val="1F1F1F"/>
              </w:rPr>
              <w:t>plan</w:t>
            </w:r>
            <w:r w:rsidRPr="004A0C12">
              <w:rPr>
                <w:rFonts w:ascii="Garamond" w:eastAsia="Times New Roman" w:hAnsi="Garamond" w:cs="Times New Roman"/>
                <w:color w:val="1F1F1F"/>
                <w:spacing w:val="39"/>
              </w:rPr>
              <w:t xml:space="preserve"> </w:t>
            </w:r>
            <w:r w:rsidRPr="004A0C12">
              <w:rPr>
                <w:rFonts w:ascii="Garamond" w:eastAsia="Times New Roman" w:hAnsi="Garamond" w:cs="Times New Roman"/>
                <w:color w:val="333333"/>
              </w:rPr>
              <w:t>for</w:t>
            </w:r>
            <w:r w:rsidRPr="004A0C12">
              <w:rPr>
                <w:rFonts w:ascii="Garamond" w:eastAsia="Times New Roman" w:hAnsi="Garamond" w:cs="Times New Roman"/>
                <w:color w:val="333333"/>
                <w:w w:val="104"/>
              </w:rPr>
              <w:t xml:space="preserve"> </w:t>
            </w:r>
            <w:r w:rsidRPr="004A0C12">
              <w:rPr>
                <w:rFonts w:ascii="Garamond" w:eastAsia="Times New Roman" w:hAnsi="Garamond" w:cs="Times New Roman"/>
                <w:color w:val="333333"/>
              </w:rPr>
              <w:t>employment</w:t>
            </w:r>
            <w:r w:rsidRPr="004A0C12">
              <w:rPr>
                <w:rFonts w:ascii="Garamond" w:eastAsia="Times New Roman" w:hAnsi="Garamond" w:cs="Times New Roman"/>
                <w:color w:val="333333"/>
                <w:spacing w:val="50"/>
              </w:rPr>
              <w:t xml:space="preserve"> </w:t>
            </w:r>
            <w:r w:rsidRPr="004A0C12">
              <w:rPr>
                <w:rFonts w:ascii="Garamond" w:eastAsia="Times New Roman" w:hAnsi="Garamond" w:cs="Times New Roman"/>
                <w:color w:val="424242"/>
              </w:rPr>
              <w:t>i</w:t>
            </w:r>
            <w:r w:rsidR="00881DB5">
              <w:rPr>
                <w:rFonts w:ascii="Garamond" w:eastAsia="Times New Roman" w:hAnsi="Garamond" w:cs="Times New Roman"/>
                <w:color w:val="424242"/>
                <w:spacing w:val="-32"/>
              </w:rPr>
              <w:t>n</w:t>
            </w:r>
            <w:r w:rsidRPr="004A0C12">
              <w:rPr>
                <w:rFonts w:ascii="Garamond" w:eastAsia="Times New Roman" w:hAnsi="Garamond" w:cs="Times New Roman"/>
                <w:color w:val="1F1F1F"/>
                <w:spacing w:val="27"/>
              </w:rPr>
              <w:t xml:space="preserve"> </w:t>
            </w:r>
            <w:r w:rsidRPr="004A0C12">
              <w:rPr>
                <w:rFonts w:ascii="Garamond" w:eastAsia="Times New Roman" w:hAnsi="Garamond" w:cs="Times New Roman"/>
                <w:color w:val="424242"/>
              </w:rPr>
              <w:t>accordance</w:t>
            </w:r>
            <w:r w:rsidRPr="004A0C12">
              <w:rPr>
                <w:rFonts w:ascii="Garamond" w:eastAsia="Times New Roman" w:hAnsi="Garamond" w:cs="Times New Roman"/>
                <w:color w:val="424242"/>
                <w:spacing w:val="29"/>
              </w:rPr>
              <w:t xml:space="preserve"> </w:t>
            </w:r>
            <w:r w:rsidRPr="004A0C12">
              <w:rPr>
                <w:rFonts w:ascii="Garamond" w:eastAsia="Times New Roman" w:hAnsi="Garamond" w:cs="Times New Roman"/>
                <w:color w:val="333333"/>
              </w:rPr>
              <w:t>with</w:t>
            </w:r>
            <w:r w:rsidRPr="004A0C12">
              <w:rPr>
                <w:rFonts w:ascii="Garamond" w:eastAsia="Times New Roman" w:hAnsi="Garamond" w:cs="Times New Roman"/>
                <w:color w:val="333333"/>
                <w:spacing w:val="44"/>
              </w:rPr>
              <w:t xml:space="preserve"> </w:t>
            </w:r>
            <w:r w:rsidRPr="004A0C12">
              <w:rPr>
                <w:rFonts w:ascii="Garamond" w:eastAsia="Times New Roman" w:hAnsi="Garamond" w:cs="Times New Roman"/>
                <w:color w:val="333333"/>
              </w:rPr>
              <w:t>section</w:t>
            </w:r>
            <w:r w:rsidRPr="004A0C12">
              <w:rPr>
                <w:rFonts w:ascii="Garamond" w:eastAsia="Times New Roman" w:hAnsi="Garamond" w:cs="Times New Roman"/>
                <w:color w:val="333333"/>
                <w:spacing w:val="40"/>
              </w:rPr>
              <w:t xml:space="preserve"> </w:t>
            </w:r>
            <w:r w:rsidRPr="004A0C12">
              <w:rPr>
                <w:rFonts w:ascii="Garamond" w:eastAsia="Times New Roman" w:hAnsi="Garamond" w:cs="Times New Roman"/>
                <w:color w:val="1F1F1F"/>
              </w:rPr>
              <w:t>102(b)</w:t>
            </w:r>
            <w:r w:rsidRPr="004A0C12">
              <w:rPr>
                <w:rFonts w:ascii="Garamond" w:eastAsia="Times New Roman" w:hAnsi="Garamond" w:cs="Times New Roman"/>
                <w:color w:val="1F1F1F"/>
                <w:spacing w:val="11"/>
              </w:rPr>
              <w:t xml:space="preserve"> </w:t>
            </w:r>
            <w:r w:rsidRPr="004A0C12">
              <w:rPr>
                <w:rFonts w:ascii="Garamond" w:eastAsia="Times New Roman" w:hAnsi="Garamond" w:cs="Times New Roman"/>
                <w:color w:val="1F1F1F"/>
              </w:rPr>
              <w:t>of</w:t>
            </w:r>
            <w:r w:rsidRPr="004A0C12">
              <w:rPr>
                <w:rFonts w:ascii="Garamond" w:eastAsia="Times New Roman" w:hAnsi="Garamond" w:cs="Times New Roman"/>
                <w:color w:val="1F1F1F"/>
                <w:spacing w:val="27"/>
              </w:rPr>
              <w:t xml:space="preserve"> </w:t>
            </w:r>
            <w:r w:rsidRPr="004A0C12">
              <w:rPr>
                <w:rFonts w:ascii="Garamond" w:eastAsia="Times New Roman" w:hAnsi="Garamond" w:cs="Times New Roman"/>
                <w:color w:val="424242"/>
                <w:spacing w:val="8"/>
              </w:rPr>
              <w:t>t</w:t>
            </w:r>
            <w:r w:rsidRPr="004A0C12">
              <w:rPr>
                <w:rFonts w:ascii="Garamond" w:eastAsia="Times New Roman" w:hAnsi="Garamond" w:cs="Times New Roman"/>
                <w:color w:val="1F1F1F"/>
              </w:rPr>
              <w:t>he</w:t>
            </w:r>
            <w:r w:rsidRPr="004A0C12">
              <w:rPr>
                <w:rFonts w:ascii="Garamond" w:eastAsia="Times New Roman" w:hAnsi="Garamond" w:cs="Times New Roman"/>
                <w:color w:val="1F1F1F"/>
                <w:spacing w:val="32"/>
              </w:rPr>
              <w:t xml:space="preserve"> </w:t>
            </w:r>
            <w:r w:rsidRPr="004A0C12">
              <w:rPr>
                <w:rFonts w:ascii="Garamond" w:eastAsia="Times New Roman" w:hAnsi="Garamond" w:cs="Times New Roman"/>
                <w:color w:val="1F1F1F"/>
              </w:rPr>
              <w:t>Reh</w:t>
            </w:r>
            <w:r w:rsidRPr="004A0C12">
              <w:rPr>
                <w:rFonts w:ascii="Garamond" w:eastAsia="Times New Roman" w:hAnsi="Garamond" w:cs="Times New Roman"/>
                <w:color w:val="424242"/>
                <w:spacing w:val="13"/>
              </w:rPr>
              <w:t>a</w:t>
            </w:r>
            <w:r w:rsidRPr="004A0C12">
              <w:rPr>
                <w:rFonts w:ascii="Garamond" w:eastAsia="Times New Roman" w:hAnsi="Garamond" w:cs="Times New Roman"/>
                <w:color w:val="1F1F1F"/>
              </w:rPr>
              <w:t>bil</w:t>
            </w:r>
            <w:r w:rsidRPr="004A0C12">
              <w:rPr>
                <w:rFonts w:ascii="Garamond" w:eastAsia="Times New Roman" w:hAnsi="Garamond" w:cs="Times New Roman"/>
                <w:color w:val="1F1F1F"/>
                <w:spacing w:val="20"/>
              </w:rPr>
              <w:t>ita</w:t>
            </w:r>
            <w:r w:rsidRPr="004A0C12">
              <w:rPr>
                <w:rFonts w:ascii="Garamond" w:eastAsia="Times New Roman" w:hAnsi="Garamond" w:cs="Times New Roman"/>
                <w:color w:val="424242"/>
                <w:spacing w:val="-6"/>
              </w:rPr>
              <w:t>t</w:t>
            </w:r>
            <w:r w:rsidRPr="004A0C12">
              <w:rPr>
                <w:rFonts w:ascii="Garamond" w:eastAsia="Times New Roman" w:hAnsi="Garamond" w:cs="Times New Roman"/>
                <w:color w:val="1F1F1F"/>
              </w:rPr>
              <w:t>ion</w:t>
            </w:r>
            <w:r w:rsidRPr="004A0C12">
              <w:rPr>
                <w:rFonts w:ascii="Garamond" w:eastAsia="Times New Roman" w:hAnsi="Garamond" w:cs="Times New Roman"/>
                <w:color w:val="1F1F1F"/>
                <w:spacing w:val="24"/>
              </w:rPr>
              <w:t xml:space="preserve"> </w:t>
            </w:r>
            <w:r w:rsidRPr="004A0C12">
              <w:rPr>
                <w:rFonts w:ascii="Garamond" w:eastAsia="Times New Roman" w:hAnsi="Garamond" w:cs="Times New Roman"/>
                <w:color w:val="333333"/>
              </w:rPr>
              <w:t>Act.</w:t>
            </w:r>
          </w:p>
          <w:p w14:paraId="11CCC668" w14:textId="77777777" w:rsidR="001F7B29" w:rsidRPr="004A0C12" w:rsidRDefault="001F7B29" w:rsidP="00A2533C">
            <w:pPr>
              <w:widowControl w:val="0"/>
              <w:spacing w:after="0" w:line="240" w:lineRule="auto"/>
              <w:ind w:left="25" w:right="523"/>
              <w:rPr>
                <w:rFonts w:ascii="Garamond" w:eastAsia="Times New Roman" w:hAnsi="Garamond" w:cs="Times New Roman"/>
                <w:color w:val="1F1F1F"/>
              </w:rPr>
            </w:pPr>
            <w:r w:rsidRPr="004A0C12">
              <w:rPr>
                <w:rFonts w:ascii="Garamond" w:eastAsia="Times New Roman" w:hAnsi="Garamond" w:cs="Times New Roman"/>
                <w:color w:val="1F1F1F"/>
              </w:rPr>
              <w:t xml:space="preserve">(f)   </w:t>
            </w:r>
            <w:r w:rsidRPr="004A0C12">
              <w:rPr>
                <w:rFonts w:ascii="Garamond" w:eastAsia="Times New Roman" w:hAnsi="Garamond" w:cs="Times New Roman"/>
                <w:color w:val="333333"/>
              </w:rPr>
              <w:t>comply</w:t>
            </w:r>
            <w:r w:rsidRPr="004A0C12">
              <w:rPr>
                <w:rFonts w:ascii="Garamond" w:eastAsia="Times New Roman" w:hAnsi="Garamond" w:cs="Times New Roman"/>
                <w:color w:val="333333"/>
                <w:spacing w:val="21"/>
              </w:rPr>
              <w:t xml:space="preserve"> </w:t>
            </w:r>
            <w:r w:rsidRPr="004A0C12">
              <w:rPr>
                <w:rFonts w:ascii="Garamond" w:eastAsia="Times New Roman" w:hAnsi="Garamond" w:cs="Times New Roman"/>
                <w:color w:val="333333"/>
              </w:rPr>
              <w:t>with</w:t>
            </w:r>
            <w:r w:rsidRPr="004A0C12">
              <w:rPr>
                <w:rFonts w:ascii="Garamond" w:eastAsia="Times New Roman" w:hAnsi="Garamond" w:cs="Times New Roman"/>
                <w:color w:val="333333"/>
                <w:spacing w:val="47"/>
              </w:rPr>
              <w:t xml:space="preserve"> </w:t>
            </w:r>
            <w:r w:rsidRPr="004A0C12">
              <w:rPr>
                <w:rFonts w:ascii="Garamond" w:eastAsia="Times New Roman" w:hAnsi="Garamond" w:cs="Times New Roman"/>
                <w:color w:val="1F1F1F"/>
                <w:spacing w:val="10"/>
              </w:rPr>
              <w:t>r</w:t>
            </w:r>
            <w:r w:rsidRPr="004A0C12">
              <w:rPr>
                <w:rFonts w:ascii="Garamond" w:eastAsia="Times New Roman" w:hAnsi="Garamond" w:cs="Times New Roman"/>
                <w:color w:val="424242"/>
              </w:rPr>
              <w:t>equirem</w:t>
            </w:r>
            <w:r w:rsidRPr="004A0C12">
              <w:rPr>
                <w:rFonts w:ascii="Garamond" w:eastAsia="Times New Roman" w:hAnsi="Garamond" w:cs="Times New Roman"/>
                <w:color w:val="424242"/>
                <w:spacing w:val="14"/>
              </w:rPr>
              <w:t>e</w:t>
            </w:r>
            <w:r w:rsidRPr="004A0C12">
              <w:rPr>
                <w:rFonts w:ascii="Garamond" w:eastAsia="Times New Roman" w:hAnsi="Garamond" w:cs="Times New Roman"/>
                <w:color w:val="1F1F1F"/>
              </w:rPr>
              <w:t>n</w:t>
            </w:r>
            <w:r w:rsidRPr="004A0C12">
              <w:rPr>
                <w:rFonts w:ascii="Garamond" w:eastAsia="Times New Roman" w:hAnsi="Garamond" w:cs="Times New Roman"/>
                <w:color w:val="1F1F1F"/>
                <w:spacing w:val="9"/>
              </w:rPr>
              <w:t>t</w:t>
            </w:r>
            <w:r w:rsidRPr="004A0C12">
              <w:rPr>
                <w:rFonts w:ascii="Garamond" w:eastAsia="Times New Roman" w:hAnsi="Garamond" w:cs="Times New Roman"/>
                <w:color w:val="424242"/>
              </w:rPr>
              <w:t>s</w:t>
            </w:r>
            <w:r w:rsidRPr="004A0C12">
              <w:rPr>
                <w:rFonts w:ascii="Garamond" w:eastAsia="Times New Roman" w:hAnsi="Garamond" w:cs="Times New Roman"/>
                <w:color w:val="424242"/>
                <w:spacing w:val="14"/>
              </w:rPr>
              <w:t xml:space="preserve"> </w:t>
            </w:r>
            <w:r w:rsidRPr="004A0C12">
              <w:rPr>
                <w:rFonts w:ascii="Garamond" w:eastAsia="Times New Roman" w:hAnsi="Garamond" w:cs="Times New Roman"/>
                <w:color w:val="1F1F1F"/>
              </w:rPr>
              <w:t>regarding</w:t>
            </w:r>
            <w:r w:rsidRPr="004A0C12">
              <w:rPr>
                <w:rFonts w:ascii="Garamond" w:eastAsia="Times New Roman" w:hAnsi="Garamond" w:cs="Times New Roman"/>
                <w:color w:val="1F1F1F"/>
                <w:spacing w:val="33"/>
              </w:rPr>
              <w:t xml:space="preserve"> </w:t>
            </w:r>
            <w:r w:rsidRPr="004A0C12">
              <w:rPr>
                <w:rFonts w:ascii="Garamond" w:eastAsia="Times New Roman" w:hAnsi="Garamond" w:cs="Times New Roman"/>
                <w:color w:val="1F1F1F"/>
              </w:rPr>
              <w:t>the</w:t>
            </w:r>
            <w:r w:rsidRPr="004A0C12">
              <w:rPr>
                <w:rFonts w:ascii="Garamond" w:eastAsia="Times New Roman" w:hAnsi="Garamond" w:cs="Times New Roman"/>
                <w:color w:val="1F1F1F"/>
                <w:spacing w:val="19"/>
              </w:rPr>
              <w:t xml:space="preserve"> </w:t>
            </w:r>
            <w:r w:rsidRPr="004A0C12">
              <w:rPr>
                <w:rFonts w:ascii="Garamond" w:eastAsia="Times New Roman" w:hAnsi="Garamond" w:cs="Times New Roman"/>
                <w:color w:val="1F1F1F"/>
              </w:rPr>
              <w:t>provisions</w:t>
            </w:r>
            <w:r w:rsidRPr="004A0C12">
              <w:rPr>
                <w:rFonts w:ascii="Garamond" w:eastAsia="Times New Roman" w:hAnsi="Garamond" w:cs="Times New Roman"/>
                <w:color w:val="1F1F1F"/>
                <w:spacing w:val="59"/>
              </w:rPr>
              <w:t xml:space="preserve"> </w:t>
            </w:r>
            <w:r w:rsidRPr="004A0C12">
              <w:rPr>
                <w:rFonts w:ascii="Garamond" w:eastAsia="Times New Roman" w:hAnsi="Garamond" w:cs="Times New Roman"/>
                <w:color w:val="333333"/>
              </w:rPr>
              <w:t>of</w:t>
            </w:r>
            <w:r w:rsidRPr="004A0C12">
              <w:rPr>
                <w:rFonts w:ascii="Garamond" w:eastAsia="Times New Roman" w:hAnsi="Garamond" w:cs="Times New Roman"/>
                <w:color w:val="333333"/>
                <w:spacing w:val="26"/>
              </w:rPr>
              <w:t xml:space="preserve"> </w:t>
            </w:r>
            <w:r w:rsidRPr="004A0C12">
              <w:rPr>
                <w:rFonts w:ascii="Garamond" w:eastAsia="Times New Roman" w:hAnsi="Garamond" w:cs="Times New Roman"/>
                <w:color w:val="333333"/>
              </w:rPr>
              <w:t>informed</w:t>
            </w:r>
            <w:r w:rsidRPr="004A0C12">
              <w:rPr>
                <w:rFonts w:ascii="Garamond" w:eastAsia="Times New Roman" w:hAnsi="Garamond" w:cs="Times New Roman"/>
                <w:color w:val="333333"/>
                <w:spacing w:val="49"/>
              </w:rPr>
              <w:t xml:space="preserve"> </w:t>
            </w:r>
            <w:r w:rsidRPr="004A0C12">
              <w:rPr>
                <w:rFonts w:ascii="Garamond" w:eastAsia="Times New Roman" w:hAnsi="Garamond" w:cs="Times New Roman"/>
                <w:color w:val="333333"/>
              </w:rPr>
              <w:t>choice</w:t>
            </w:r>
            <w:r w:rsidRPr="004A0C12">
              <w:rPr>
                <w:rFonts w:ascii="Garamond" w:eastAsia="Times New Roman" w:hAnsi="Garamond" w:cs="Times New Roman"/>
                <w:color w:val="333333"/>
                <w:spacing w:val="33"/>
              </w:rPr>
              <w:t xml:space="preserve"> </w:t>
            </w:r>
            <w:r w:rsidRPr="004A0C12">
              <w:rPr>
                <w:rFonts w:ascii="Garamond" w:eastAsia="Times New Roman" w:hAnsi="Garamond" w:cs="Times New Roman"/>
                <w:color w:val="333333"/>
              </w:rPr>
              <w:t>for</w:t>
            </w:r>
            <w:r w:rsidRPr="004A0C12">
              <w:rPr>
                <w:rFonts w:ascii="Garamond" w:eastAsia="Times New Roman" w:hAnsi="Garamond" w:cs="Times New Roman"/>
                <w:color w:val="333333"/>
                <w:spacing w:val="24"/>
              </w:rPr>
              <w:t xml:space="preserve"> </w:t>
            </w:r>
            <w:r w:rsidRPr="004A0C12">
              <w:rPr>
                <w:rFonts w:ascii="Garamond" w:eastAsia="Times New Roman" w:hAnsi="Garamond" w:cs="Times New Roman"/>
                <w:color w:val="424242"/>
                <w:spacing w:val="-8"/>
              </w:rPr>
              <w:t>a</w:t>
            </w:r>
            <w:r w:rsidRPr="004A0C12">
              <w:rPr>
                <w:rFonts w:ascii="Garamond" w:eastAsia="Times New Roman" w:hAnsi="Garamond" w:cs="Times New Roman"/>
                <w:color w:val="1F1F1F"/>
              </w:rPr>
              <w:t xml:space="preserve">ll </w:t>
            </w:r>
          </w:p>
          <w:p w14:paraId="77E444BE" w14:textId="77777777" w:rsidR="001F7B29" w:rsidRPr="004A0C12" w:rsidRDefault="001F7B29" w:rsidP="00A2533C">
            <w:pPr>
              <w:widowControl w:val="0"/>
              <w:spacing w:after="0" w:line="240" w:lineRule="auto"/>
              <w:ind w:left="25" w:right="523"/>
              <w:rPr>
                <w:rFonts w:ascii="Garamond" w:eastAsia="Times New Roman" w:hAnsi="Garamond" w:cs="Times New Roman"/>
              </w:rPr>
            </w:pPr>
            <w:r w:rsidRPr="004A0C12">
              <w:rPr>
                <w:rFonts w:ascii="Garamond" w:eastAsia="Times New Roman" w:hAnsi="Garamond" w:cs="Times New Roman"/>
                <w:color w:val="1F1F1F"/>
              </w:rPr>
              <w:t>applican</w:t>
            </w:r>
            <w:r w:rsidRPr="004A0C12">
              <w:rPr>
                <w:rFonts w:ascii="Garamond" w:eastAsia="Times New Roman" w:hAnsi="Garamond" w:cs="Times New Roman"/>
                <w:color w:val="1F1F1F"/>
                <w:spacing w:val="18"/>
              </w:rPr>
              <w:t>t</w:t>
            </w:r>
            <w:r w:rsidRPr="004A0C12">
              <w:rPr>
                <w:rFonts w:ascii="Garamond" w:eastAsia="Times New Roman" w:hAnsi="Garamond" w:cs="Times New Roman"/>
                <w:color w:val="424242"/>
              </w:rPr>
              <w:t>s</w:t>
            </w:r>
            <w:r w:rsidRPr="004A0C12">
              <w:rPr>
                <w:rFonts w:ascii="Garamond" w:eastAsia="Times New Roman" w:hAnsi="Garamond" w:cs="Times New Roman"/>
                <w:color w:val="424242"/>
                <w:spacing w:val="13"/>
              </w:rPr>
              <w:t xml:space="preserve"> a</w:t>
            </w:r>
            <w:r w:rsidRPr="004A0C12">
              <w:rPr>
                <w:rFonts w:ascii="Garamond" w:eastAsia="Times New Roman" w:hAnsi="Garamond" w:cs="Times New Roman"/>
                <w:color w:val="1F1F1F"/>
              </w:rPr>
              <w:t>nd</w:t>
            </w:r>
            <w:r w:rsidRPr="004A0C12">
              <w:rPr>
                <w:rFonts w:ascii="Garamond" w:eastAsia="Times New Roman" w:hAnsi="Garamond" w:cs="Times New Roman"/>
                <w:color w:val="1F1F1F"/>
                <w:spacing w:val="32"/>
              </w:rPr>
              <w:t xml:space="preserve"> </w:t>
            </w:r>
            <w:r w:rsidRPr="004A0C12">
              <w:rPr>
                <w:rFonts w:ascii="Garamond" w:eastAsia="Times New Roman" w:hAnsi="Garamond" w:cs="Times New Roman"/>
                <w:color w:val="424242"/>
              </w:rPr>
              <w:t>elig</w:t>
            </w:r>
            <w:r w:rsidRPr="004A0C12">
              <w:rPr>
                <w:rFonts w:ascii="Garamond" w:eastAsia="Times New Roman" w:hAnsi="Garamond" w:cs="Times New Roman"/>
                <w:color w:val="424242"/>
                <w:spacing w:val="14"/>
              </w:rPr>
              <w:t>i</w:t>
            </w:r>
            <w:r w:rsidRPr="004A0C12">
              <w:rPr>
                <w:rFonts w:ascii="Garamond" w:eastAsia="Times New Roman" w:hAnsi="Garamond" w:cs="Times New Roman"/>
                <w:color w:val="1F1F1F"/>
              </w:rPr>
              <w:t>ble</w:t>
            </w:r>
            <w:r w:rsidRPr="004A0C12">
              <w:rPr>
                <w:rFonts w:ascii="Garamond" w:eastAsia="Times New Roman" w:hAnsi="Garamond" w:cs="Times New Roman"/>
                <w:color w:val="1F1F1F"/>
                <w:spacing w:val="25"/>
              </w:rPr>
              <w:t xml:space="preserve"> </w:t>
            </w:r>
            <w:r w:rsidRPr="004A0C12">
              <w:rPr>
                <w:rFonts w:ascii="Garamond" w:eastAsia="Times New Roman" w:hAnsi="Garamond" w:cs="Times New Roman"/>
                <w:color w:val="333333"/>
              </w:rPr>
              <w:t>individuals</w:t>
            </w:r>
            <w:r w:rsidRPr="004A0C12">
              <w:rPr>
                <w:rFonts w:ascii="Garamond" w:eastAsia="Times New Roman" w:hAnsi="Garamond" w:cs="Times New Roman"/>
                <w:color w:val="333333"/>
                <w:spacing w:val="46"/>
              </w:rPr>
              <w:t xml:space="preserve"> </w:t>
            </w:r>
            <w:r w:rsidRPr="004A0C12">
              <w:rPr>
                <w:rFonts w:ascii="Garamond" w:eastAsia="Times New Roman" w:hAnsi="Garamond" w:cs="Times New Roman"/>
                <w:color w:val="1F1F1F"/>
              </w:rPr>
              <w:t>in</w:t>
            </w:r>
            <w:r w:rsidRPr="004A0C12">
              <w:rPr>
                <w:rFonts w:ascii="Garamond" w:eastAsia="Times New Roman" w:hAnsi="Garamond" w:cs="Times New Roman"/>
                <w:color w:val="1F1F1F"/>
                <w:spacing w:val="21"/>
              </w:rPr>
              <w:t xml:space="preserve"> </w:t>
            </w:r>
            <w:r w:rsidRPr="004A0C12">
              <w:rPr>
                <w:rFonts w:ascii="Garamond" w:eastAsia="Times New Roman" w:hAnsi="Garamond" w:cs="Times New Roman"/>
                <w:color w:val="1F1F1F"/>
              </w:rPr>
              <w:t>accordance</w:t>
            </w:r>
            <w:r w:rsidRPr="004A0C12">
              <w:rPr>
                <w:rFonts w:ascii="Garamond" w:eastAsia="Times New Roman" w:hAnsi="Garamond" w:cs="Times New Roman"/>
                <w:color w:val="1F1F1F"/>
                <w:spacing w:val="37"/>
              </w:rPr>
              <w:t xml:space="preserve"> </w:t>
            </w:r>
            <w:r w:rsidRPr="004A0C12">
              <w:rPr>
                <w:rFonts w:ascii="Garamond" w:eastAsia="Times New Roman" w:hAnsi="Garamond" w:cs="Times New Roman"/>
                <w:color w:val="1F1F1F"/>
              </w:rPr>
              <w:t>with</w:t>
            </w:r>
            <w:r w:rsidRPr="004A0C12">
              <w:rPr>
                <w:rFonts w:ascii="Garamond" w:eastAsia="Times New Roman" w:hAnsi="Garamond" w:cs="Times New Roman"/>
                <w:color w:val="1F1F1F"/>
                <w:spacing w:val="47"/>
              </w:rPr>
              <w:t xml:space="preserve"> </w:t>
            </w:r>
            <w:r w:rsidRPr="004A0C12">
              <w:rPr>
                <w:rFonts w:ascii="Garamond" w:eastAsia="Times New Roman" w:hAnsi="Garamond" w:cs="Times New Roman"/>
                <w:color w:val="333333"/>
              </w:rPr>
              <w:t>section</w:t>
            </w:r>
            <w:r w:rsidRPr="004A0C12">
              <w:rPr>
                <w:rFonts w:ascii="Garamond" w:eastAsia="Times New Roman" w:hAnsi="Garamond" w:cs="Times New Roman"/>
                <w:color w:val="333333"/>
                <w:spacing w:val="39"/>
              </w:rPr>
              <w:t xml:space="preserve"> </w:t>
            </w:r>
            <w:r w:rsidRPr="004A0C12">
              <w:rPr>
                <w:rFonts w:ascii="Garamond" w:eastAsia="Times New Roman" w:hAnsi="Garamond" w:cs="Times New Roman"/>
                <w:color w:val="333333"/>
              </w:rPr>
              <w:t>10</w:t>
            </w:r>
            <w:r w:rsidRPr="004A0C12">
              <w:rPr>
                <w:rFonts w:ascii="Garamond" w:eastAsia="Times New Roman" w:hAnsi="Garamond" w:cs="Times New Roman"/>
                <w:color w:val="333333"/>
                <w:spacing w:val="3"/>
              </w:rPr>
              <w:t>2</w:t>
            </w:r>
            <w:r w:rsidRPr="004A0C12">
              <w:rPr>
                <w:rFonts w:ascii="Garamond" w:eastAsia="Times New Roman" w:hAnsi="Garamond" w:cs="Times New Roman"/>
                <w:color w:val="333333"/>
              </w:rPr>
              <w:t>(d)</w:t>
            </w:r>
            <w:r w:rsidRPr="004A0C12">
              <w:rPr>
                <w:rFonts w:ascii="Garamond" w:eastAsia="Times New Roman" w:hAnsi="Garamond" w:cs="Times New Roman"/>
                <w:color w:val="333333"/>
                <w:spacing w:val="30"/>
              </w:rPr>
              <w:t xml:space="preserve"> </w:t>
            </w:r>
            <w:r w:rsidRPr="004A0C12">
              <w:rPr>
                <w:rFonts w:ascii="Garamond" w:eastAsia="Times New Roman" w:hAnsi="Garamond" w:cs="Times New Roman"/>
                <w:color w:val="424242"/>
              </w:rPr>
              <w:t>of</w:t>
            </w:r>
            <w:r w:rsidRPr="004A0C12">
              <w:rPr>
                <w:rFonts w:ascii="Garamond" w:eastAsia="Times New Roman" w:hAnsi="Garamond" w:cs="Times New Roman"/>
                <w:color w:val="424242"/>
                <w:spacing w:val="26"/>
              </w:rPr>
              <w:t xml:space="preserve"> </w:t>
            </w:r>
            <w:r w:rsidRPr="004A0C12">
              <w:rPr>
                <w:rFonts w:ascii="Garamond" w:eastAsia="Times New Roman" w:hAnsi="Garamond" w:cs="Times New Roman"/>
                <w:color w:val="424242"/>
                <w:spacing w:val="8"/>
              </w:rPr>
              <w:t>t</w:t>
            </w:r>
            <w:r w:rsidRPr="004A0C12">
              <w:rPr>
                <w:rFonts w:ascii="Garamond" w:eastAsia="Times New Roman" w:hAnsi="Garamond" w:cs="Times New Roman"/>
                <w:color w:val="1F1F1F"/>
              </w:rPr>
              <w:t>he</w:t>
            </w:r>
            <w:r w:rsidRPr="004A0C12">
              <w:rPr>
                <w:rFonts w:ascii="Garamond" w:eastAsia="Times New Roman" w:hAnsi="Garamond" w:cs="Times New Roman"/>
                <w:color w:val="1F1F1F"/>
                <w:w w:val="103"/>
              </w:rPr>
              <w:t xml:space="preserve"> </w:t>
            </w:r>
            <w:r w:rsidRPr="004A0C12">
              <w:rPr>
                <w:rFonts w:ascii="Garamond" w:eastAsia="Times New Roman" w:hAnsi="Garamond" w:cs="Times New Roman"/>
                <w:color w:val="1F1F1F"/>
              </w:rPr>
              <w:t>Rehabili</w:t>
            </w:r>
            <w:r w:rsidRPr="004A0C12">
              <w:rPr>
                <w:rFonts w:ascii="Garamond" w:eastAsia="Times New Roman" w:hAnsi="Garamond" w:cs="Times New Roman"/>
                <w:color w:val="1F1F1F"/>
                <w:spacing w:val="15"/>
              </w:rPr>
              <w:t>t</w:t>
            </w:r>
            <w:r w:rsidRPr="004A0C12">
              <w:rPr>
                <w:rFonts w:ascii="Garamond" w:eastAsia="Times New Roman" w:hAnsi="Garamond" w:cs="Times New Roman"/>
                <w:color w:val="424242"/>
              </w:rPr>
              <w:t>a</w:t>
            </w:r>
            <w:r w:rsidRPr="004A0C12">
              <w:rPr>
                <w:rFonts w:ascii="Garamond" w:eastAsia="Times New Roman" w:hAnsi="Garamond" w:cs="Times New Roman"/>
                <w:color w:val="1F1F1F"/>
              </w:rPr>
              <w:t>ti</w:t>
            </w:r>
            <w:r w:rsidRPr="004A0C12">
              <w:rPr>
                <w:rFonts w:ascii="Garamond" w:eastAsia="Times New Roman" w:hAnsi="Garamond" w:cs="Times New Roman"/>
                <w:color w:val="424242"/>
                <w:spacing w:val="4"/>
              </w:rPr>
              <w:t>o</w:t>
            </w:r>
            <w:r w:rsidRPr="004A0C12">
              <w:rPr>
                <w:rFonts w:ascii="Garamond" w:eastAsia="Times New Roman" w:hAnsi="Garamond" w:cs="Times New Roman"/>
                <w:color w:val="1F1F1F"/>
              </w:rPr>
              <w:t>n</w:t>
            </w:r>
            <w:r w:rsidRPr="004A0C12">
              <w:rPr>
                <w:rFonts w:ascii="Garamond" w:eastAsia="Times New Roman" w:hAnsi="Garamond" w:cs="Times New Roman"/>
                <w:color w:val="1F1F1F"/>
                <w:spacing w:val="-8"/>
              </w:rPr>
              <w:t xml:space="preserve"> </w:t>
            </w:r>
            <w:r w:rsidRPr="004A0C12">
              <w:rPr>
                <w:rFonts w:ascii="Garamond" w:eastAsia="Times New Roman" w:hAnsi="Garamond" w:cs="Times New Roman"/>
                <w:color w:val="333333"/>
              </w:rPr>
              <w:t>Act.</w:t>
            </w:r>
          </w:p>
          <w:p w14:paraId="0B2E1960" w14:textId="77777777" w:rsidR="001F7B29" w:rsidRPr="004A0C12" w:rsidRDefault="001F7B29" w:rsidP="00232F09">
            <w:pPr>
              <w:widowControl w:val="0"/>
              <w:numPr>
                <w:ilvl w:val="0"/>
                <w:numId w:val="202"/>
              </w:numPr>
              <w:tabs>
                <w:tab w:val="left" w:pos="372"/>
              </w:tabs>
              <w:spacing w:after="0" w:line="240" w:lineRule="auto"/>
              <w:ind w:left="372" w:right="693"/>
              <w:rPr>
                <w:rFonts w:ascii="Garamond" w:eastAsia="Times New Roman" w:hAnsi="Garamond" w:cs="Times New Roman"/>
              </w:rPr>
            </w:pPr>
            <w:r w:rsidRPr="004A0C12">
              <w:rPr>
                <w:rFonts w:ascii="Garamond" w:eastAsia="Times New Roman" w:hAnsi="Garamond" w:cs="Times New Roman"/>
                <w:color w:val="1F1F1F"/>
                <w:w w:val="105"/>
              </w:rPr>
              <w:t>provide</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vocatio</w:t>
            </w:r>
            <w:r w:rsidRPr="004A0C12">
              <w:rPr>
                <w:rFonts w:ascii="Garamond" w:eastAsia="Times New Roman" w:hAnsi="Garamond" w:cs="Times New Roman"/>
                <w:color w:val="424242"/>
                <w:w w:val="105"/>
              </w:rPr>
              <w:t>na</w:t>
            </w:r>
            <w:r w:rsidRPr="004A0C12">
              <w:rPr>
                <w:rFonts w:ascii="Garamond" w:eastAsia="Times New Roman" w:hAnsi="Garamond" w:cs="Times New Roman"/>
                <w:color w:val="1F1F1F"/>
                <w:w w:val="95"/>
              </w:rPr>
              <w:t>l</w:t>
            </w:r>
            <w:r w:rsidRPr="004A0C12">
              <w:rPr>
                <w:rFonts w:ascii="Garamond" w:eastAsia="Times New Roman" w:hAnsi="Garamond" w:cs="Times New Roman"/>
                <w:color w:val="1F1F1F"/>
                <w:spacing w:val="8"/>
                <w:w w:val="95"/>
              </w:rPr>
              <w:t xml:space="preserve"> </w:t>
            </w:r>
            <w:r w:rsidRPr="004A0C12">
              <w:rPr>
                <w:rFonts w:ascii="Garamond" w:eastAsia="Times New Roman" w:hAnsi="Garamond" w:cs="Times New Roman"/>
                <w:color w:val="333333"/>
                <w:w w:val="105"/>
              </w:rPr>
              <w:t>rehabilitation</w:t>
            </w:r>
            <w:r w:rsidRPr="004A0C12">
              <w:rPr>
                <w:rFonts w:ascii="Garamond" w:eastAsia="Times New Roman" w:hAnsi="Garamond" w:cs="Times New Roman"/>
                <w:color w:val="333333"/>
                <w:spacing w:val="7"/>
                <w:w w:val="105"/>
              </w:rPr>
              <w:t xml:space="preserve"> </w:t>
            </w:r>
            <w:r w:rsidRPr="004A0C12">
              <w:rPr>
                <w:rFonts w:ascii="Garamond" w:eastAsia="Times New Roman" w:hAnsi="Garamond" w:cs="Times New Roman"/>
                <w:color w:val="1F1F1F"/>
                <w:w w:val="105"/>
              </w:rPr>
              <w:t>services</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1F1F1F"/>
                <w:w w:val="105"/>
              </w:rPr>
              <w:t>to</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1F1F1F"/>
                <w:w w:val="105"/>
              </w:rPr>
              <w:t>American</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1F1F1F"/>
                <w:w w:val="105"/>
              </w:rPr>
              <w:t>Ind</w:t>
            </w:r>
            <w:r w:rsidRPr="004A0C12">
              <w:rPr>
                <w:rFonts w:ascii="Garamond" w:eastAsia="Times New Roman" w:hAnsi="Garamond" w:cs="Times New Roman"/>
                <w:color w:val="1F1F1F"/>
                <w:spacing w:val="16"/>
                <w:w w:val="105"/>
              </w:rPr>
              <w:t>i</w:t>
            </w:r>
            <w:r w:rsidRPr="004A0C12">
              <w:rPr>
                <w:rFonts w:ascii="Garamond" w:eastAsia="Times New Roman" w:hAnsi="Garamond" w:cs="Times New Roman"/>
                <w:color w:val="424242"/>
                <w:w w:val="105"/>
              </w:rPr>
              <w:t>ans</w:t>
            </w:r>
            <w:r w:rsidRPr="004A0C12">
              <w:rPr>
                <w:rFonts w:ascii="Garamond" w:eastAsia="Times New Roman" w:hAnsi="Garamond" w:cs="Times New Roman"/>
                <w:color w:val="424242"/>
                <w:spacing w:val="-19"/>
                <w:w w:val="105"/>
              </w:rPr>
              <w:t xml:space="preserve"> </w:t>
            </w:r>
            <w:r w:rsidRPr="004A0C12">
              <w:rPr>
                <w:rFonts w:ascii="Garamond" w:eastAsia="Times New Roman" w:hAnsi="Garamond" w:cs="Times New Roman"/>
                <w:color w:val="333333"/>
                <w:w w:val="105"/>
              </w:rPr>
              <w:t>who</w:t>
            </w:r>
            <w:r w:rsidRPr="004A0C12">
              <w:rPr>
                <w:rFonts w:ascii="Garamond" w:eastAsia="Times New Roman" w:hAnsi="Garamond" w:cs="Times New Roman"/>
                <w:color w:val="333333"/>
                <w:spacing w:val="-9"/>
                <w:w w:val="105"/>
              </w:rPr>
              <w:t xml:space="preserve"> </w:t>
            </w:r>
            <w:r w:rsidRPr="004A0C12">
              <w:rPr>
                <w:rFonts w:ascii="Garamond" w:eastAsia="Times New Roman" w:hAnsi="Garamond" w:cs="Times New Roman"/>
                <w:color w:val="424242"/>
                <w:spacing w:val="12"/>
                <w:w w:val="105"/>
              </w:rPr>
              <w:t>a</w:t>
            </w:r>
            <w:r w:rsidRPr="004A0C12">
              <w:rPr>
                <w:rFonts w:ascii="Garamond" w:eastAsia="Times New Roman" w:hAnsi="Garamond" w:cs="Times New Roman"/>
                <w:color w:val="1F1F1F"/>
                <w:spacing w:val="10"/>
                <w:w w:val="105"/>
              </w:rPr>
              <w:t>r</w:t>
            </w:r>
            <w:r w:rsidRPr="004A0C12">
              <w:rPr>
                <w:rFonts w:ascii="Garamond" w:eastAsia="Times New Roman" w:hAnsi="Garamond" w:cs="Times New Roman"/>
                <w:color w:val="424242"/>
                <w:w w:val="105"/>
              </w:rPr>
              <w:t>e</w:t>
            </w:r>
            <w:r w:rsidRPr="004A0C12">
              <w:rPr>
                <w:rFonts w:ascii="Garamond" w:eastAsia="Times New Roman" w:hAnsi="Garamond" w:cs="Times New Roman"/>
                <w:color w:val="424242"/>
                <w:w w:val="103"/>
              </w:rPr>
              <w:t xml:space="preserve"> </w:t>
            </w:r>
            <w:r w:rsidRPr="004A0C12">
              <w:rPr>
                <w:rFonts w:ascii="Garamond" w:eastAsia="Times New Roman" w:hAnsi="Garamond" w:cs="Times New Roman"/>
                <w:color w:val="1F1F1F"/>
                <w:w w:val="105"/>
              </w:rPr>
              <w:t>individuals</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333333"/>
                <w:w w:val="105"/>
              </w:rPr>
              <w:t>with</w:t>
            </w:r>
            <w:r w:rsidRPr="004A0C12">
              <w:rPr>
                <w:rFonts w:ascii="Garamond" w:eastAsia="Times New Roman" w:hAnsi="Garamond" w:cs="Times New Roman"/>
                <w:color w:val="333333"/>
                <w:spacing w:val="12"/>
                <w:w w:val="105"/>
              </w:rPr>
              <w:t xml:space="preserve"> </w:t>
            </w:r>
            <w:r w:rsidRPr="004A0C12">
              <w:rPr>
                <w:rFonts w:ascii="Garamond" w:eastAsia="Times New Roman" w:hAnsi="Garamond" w:cs="Times New Roman"/>
                <w:color w:val="333333"/>
                <w:w w:val="105"/>
              </w:rPr>
              <w:t>disabilities</w:t>
            </w:r>
            <w:r w:rsidRPr="004A0C12">
              <w:rPr>
                <w:rFonts w:ascii="Garamond" w:eastAsia="Times New Roman" w:hAnsi="Garamond" w:cs="Times New Roman"/>
                <w:color w:val="333333"/>
                <w:spacing w:val="11"/>
                <w:w w:val="105"/>
              </w:rPr>
              <w:t xml:space="preserve"> </w:t>
            </w:r>
            <w:r w:rsidRPr="004A0C12">
              <w:rPr>
                <w:rFonts w:ascii="Garamond" w:eastAsia="Times New Roman" w:hAnsi="Garamond" w:cs="Times New Roman"/>
                <w:color w:val="1F1F1F"/>
                <w:w w:val="105"/>
              </w:rPr>
              <w:t>residing</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State,</w:t>
            </w:r>
            <w:r w:rsidRPr="004A0C12">
              <w:rPr>
                <w:rFonts w:ascii="Garamond" w:eastAsia="Times New Roman" w:hAnsi="Garamond" w:cs="Times New Roman"/>
                <w:color w:val="1F1F1F"/>
                <w:spacing w:val="-20"/>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15"/>
                <w:w w:val="105"/>
              </w:rPr>
              <w:t xml:space="preserve"> </w:t>
            </w:r>
            <w:r w:rsidRPr="004A0C12">
              <w:rPr>
                <w:rFonts w:ascii="Garamond" w:eastAsia="Times New Roman" w:hAnsi="Garamond" w:cs="Times New Roman"/>
                <w:color w:val="1F1F1F"/>
                <w:w w:val="105"/>
              </w:rPr>
              <w:t>accordan</w:t>
            </w:r>
            <w:r w:rsidRPr="004A0C12">
              <w:rPr>
                <w:rFonts w:ascii="Garamond" w:eastAsia="Times New Roman" w:hAnsi="Garamond" w:cs="Times New Roman"/>
                <w:color w:val="424242"/>
                <w:w w:val="105"/>
              </w:rPr>
              <w:t>ce</w:t>
            </w:r>
            <w:r w:rsidRPr="004A0C12">
              <w:rPr>
                <w:rFonts w:ascii="Garamond" w:eastAsia="Times New Roman" w:hAnsi="Garamond" w:cs="Times New Roman"/>
                <w:color w:val="424242"/>
                <w:spacing w:val="-13"/>
                <w:w w:val="105"/>
              </w:rPr>
              <w:t xml:space="preserve"> </w:t>
            </w:r>
            <w:r w:rsidRPr="004A0C12">
              <w:rPr>
                <w:rFonts w:ascii="Garamond" w:eastAsia="Times New Roman" w:hAnsi="Garamond" w:cs="Times New Roman"/>
                <w:color w:val="333333"/>
                <w:w w:val="105"/>
              </w:rPr>
              <w:t>with</w:t>
            </w:r>
            <w:r w:rsidRPr="004A0C12">
              <w:rPr>
                <w:rFonts w:ascii="Garamond" w:eastAsia="Times New Roman" w:hAnsi="Garamond" w:cs="Times New Roman"/>
                <w:color w:val="333333"/>
                <w:spacing w:val="1"/>
                <w:w w:val="105"/>
              </w:rPr>
              <w:t xml:space="preserve"> </w:t>
            </w:r>
            <w:r w:rsidRPr="004A0C12">
              <w:rPr>
                <w:rFonts w:ascii="Garamond" w:eastAsia="Times New Roman" w:hAnsi="Garamond" w:cs="Times New Roman"/>
                <w:color w:val="424242"/>
                <w:w w:val="105"/>
              </w:rPr>
              <w:t>sec</w:t>
            </w:r>
            <w:r w:rsidRPr="004A0C12">
              <w:rPr>
                <w:rFonts w:ascii="Garamond" w:eastAsia="Times New Roman" w:hAnsi="Garamond" w:cs="Times New Roman"/>
                <w:color w:val="424242"/>
                <w:spacing w:val="2"/>
                <w:w w:val="105"/>
              </w:rPr>
              <w:t>t</w:t>
            </w:r>
            <w:r w:rsidRPr="004A0C12">
              <w:rPr>
                <w:rFonts w:ascii="Garamond" w:eastAsia="Times New Roman" w:hAnsi="Garamond" w:cs="Times New Roman"/>
                <w:color w:val="1F1F1F"/>
                <w:w w:val="105"/>
              </w:rPr>
              <w:t>ion</w:t>
            </w:r>
            <w:r w:rsidRPr="004A0C12">
              <w:rPr>
                <w:rFonts w:ascii="Garamond" w:eastAsia="Times New Roman" w:hAnsi="Garamond" w:cs="Times New Roman"/>
                <w:color w:val="1F1F1F"/>
              </w:rPr>
              <w:t xml:space="preserve"> </w:t>
            </w:r>
            <w:r w:rsidRPr="004A0C12">
              <w:rPr>
                <w:rFonts w:ascii="Garamond" w:eastAsia="Times New Roman" w:hAnsi="Garamond" w:cs="Times New Roman"/>
                <w:color w:val="1F1F1F"/>
                <w:w w:val="105"/>
              </w:rPr>
              <w:t>101(a)(13)</w:t>
            </w:r>
            <w:r w:rsidRPr="004A0C12">
              <w:rPr>
                <w:rFonts w:ascii="Garamond" w:eastAsia="Times New Roman" w:hAnsi="Garamond" w:cs="Times New Roman"/>
                <w:color w:val="1F1F1F"/>
                <w:spacing w:val="-19"/>
                <w:w w:val="105"/>
              </w:rPr>
              <w:t xml:space="preserve"> </w:t>
            </w:r>
            <w:r w:rsidRPr="004A0C12">
              <w:rPr>
                <w:rFonts w:ascii="Garamond" w:eastAsia="Times New Roman" w:hAnsi="Garamond" w:cs="Times New Roman"/>
                <w:color w:val="333333"/>
                <w:w w:val="105"/>
              </w:rPr>
              <w:t>of</w:t>
            </w:r>
            <w:r w:rsidRPr="004A0C12">
              <w:rPr>
                <w:rFonts w:ascii="Garamond" w:eastAsia="Times New Roman" w:hAnsi="Garamond" w:cs="Times New Roman"/>
                <w:color w:val="333333"/>
                <w:spacing w:val="-6"/>
                <w:w w:val="105"/>
              </w:rPr>
              <w:t xml:space="preserve"> </w:t>
            </w:r>
            <w:r w:rsidRPr="004A0C12">
              <w:rPr>
                <w:rFonts w:ascii="Garamond" w:eastAsia="Times New Roman" w:hAnsi="Garamond" w:cs="Times New Roman"/>
                <w:color w:val="333333"/>
                <w:w w:val="105"/>
              </w:rPr>
              <w:t>the Rehabilitation</w:t>
            </w:r>
            <w:r w:rsidRPr="004A0C12">
              <w:rPr>
                <w:rFonts w:ascii="Garamond" w:eastAsia="Times New Roman" w:hAnsi="Garamond" w:cs="Times New Roman"/>
                <w:color w:val="333333"/>
                <w:spacing w:val="10"/>
                <w:w w:val="105"/>
              </w:rPr>
              <w:t xml:space="preserve"> </w:t>
            </w:r>
            <w:r w:rsidRPr="004A0C12">
              <w:rPr>
                <w:rFonts w:ascii="Garamond" w:eastAsia="Times New Roman" w:hAnsi="Garamond" w:cs="Times New Roman"/>
                <w:color w:val="1F1F1F"/>
                <w:w w:val="105"/>
              </w:rPr>
              <w:t>Act.</w:t>
            </w:r>
          </w:p>
          <w:p w14:paraId="02901E2B" w14:textId="77777777" w:rsidR="001F7B29" w:rsidRPr="004A0C12" w:rsidRDefault="001F7B29" w:rsidP="00232F09">
            <w:pPr>
              <w:widowControl w:val="0"/>
              <w:numPr>
                <w:ilvl w:val="0"/>
                <w:numId w:val="202"/>
              </w:numPr>
              <w:tabs>
                <w:tab w:val="left" w:pos="362"/>
              </w:tabs>
              <w:spacing w:after="0" w:line="240" w:lineRule="auto"/>
              <w:ind w:left="362" w:right="105"/>
              <w:rPr>
                <w:rFonts w:ascii="Garamond" w:eastAsia="Times New Roman" w:hAnsi="Garamond" w:cs="Times New Roman"/>
              </w:rPr>
            </w:pPr>
            <w:r w:rsidRPr="004A0C12">
              <w:rPr>
                <w:rFonts w:ascii="Garamond" w:eastAsia="Times New Roman" w:hAnsi="Garamond" w:cs="Times New Roman"/>
                <w:color w:val="1F1F1F"/>
                <w:w w:val="105"/>
              </w:rPr>
              <w:t>comply</w:t>
            </w:r>
            <w:r w:rsidRPr="004A0C12">
              <w:rPr>
                <w:rFonts w:ascii="Garamond" w:eastAsia="Times New Roman" w:hAnsi="Garamond" w:cs="Times New Roman"/>
                <w:color w:val="1F1F1F"/>
                <w:spacing w:val="-10"/>
                <w:w w:val="105"/>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1F1F1F"/>
                <w:w w:val="105"/>
              </w:rPr>
              <w:t>t</w:t>
            </w:r>
            <w:r w:rsidRPr="004A0C12">
              <w:rPr>
                <w:rFonts w:ascii="Garamond" w:eastAsia="Times New Roman" w:hAnsi="Garamond" w:cs="Times New Roman"/>
                <w:color w:val="1F1F1F"/>
                <w:spacing w:val="19"/>
                <w:w w:val="105"/>
              </w:rPr>
              <w:t>h</w:t>
            </w:r>
            <w:r w:rsidRPr="004A0C12">
              <w:rPr>
                <w:rFonts w:ascii="Garamond" w:eastAsia="Times New Roman" w:hAnsi="Garamond" w:cs="Times New Roman"/>
                <w:color w:val="424242"/>
                <w:w w:val="105"/>
              </w:rPr>
              <w:t>e</w:t>
            </w:r>
            <w:r w:rsidRPr="004A0C12">
              <w:rPr>
                <w:rFonts w:ascii="Garamond" w:eastAsia="Times New Roman" w:hAnsi="Garamond" w:cs="Times New Roman"/>
                <w:color w:val="424242"/>
                <w:spacing w:val="-9"/>
                <w:w w:val="105"/>
              </w:rPr>
              <w:t xml:space="preserve"> </w:t>
            </w:r>
            <w:r w:rsidRPr="004A0C12">
              <w:rPr>
                <w:rFonts w:ascii="Garamond" w:eastAsia="Times New Roman" w:hAnsi="Garamond" w:cs="Times New Roman"/>
                <w:color w:val="1F1F1F"/>
                <w:spacing w:val="10"/>
                <w:w w:val="105"/>
              </w:rPr>
              <w:t>r</w:t>
            </w:r>
            <w:r w:rsidRPr="004A0C12">
              <w:rPr>
                <w:rFonts w:ascii="Garamond" w:eastAsia="Times New Roman" w:hAnsi="Garamond" w:cs="Times New Roman"/>
                <w:color w:val="424242"/>
                <w:w w:val="105"/>
              </w:rPr>
              <w:t>e</w:t>
            </w:r>
            <w:r w:rsidRPr="004A0C12">
              <w:rPr>
                <w:rFonts w:ascii="Garamond" w:eastAsia="Times New Roman" w:hAnsi="Garamond" w:cs="Times New Roman"/>
                <w:color w:val="424242"/>
                <w:spacing w:val="4"/>
                <w:w w:val="105"/>
              </w:rPr>
              <w:t>q</w:t>
            </w:r>
            <w:r w:rsidRPr="004A0C12">
              <w:rPr>
                <w:rFonts w:ascii="Garamond" w:eastAsia="Times New Roman" w:hAnsi="Garamond" w:cs="Times New Roman"/>
                <w:color w:val="1F1F1F"/>
                <w:w w:val="105"/>
              </w:rPr>
              <w:t>uirements</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1F1F1F"/>
                <w:w w:val="105"/>
              </w:rPr>
              <w:t>for</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1F1F1F"/>
                <w:w w:val="105"/>
              </w:rPr>
              <w:t>conduct</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semiannual</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333333"/>
                <w:w w:val="105"/>
              </w:rPr>
              <w:t>or</w:t>
            </w:r>
            <w:r w:rsidRPr="004A0C12">
              <w:rPr>
                <w:rFonts w:ascii="Garamond" w:eastAsia="Times New Roman" w:hAnsi="Garamond" w:cs="Times New Roman"/>
                <w:color w:val="333333"/>
                <w:spacing w:val="5"/>
                <w:w w:val="105"/>
              </w:rPr>
              <w:t xml:space="preserve"> </w:t>
            </w:r>
            <w:r w:rsidRPr="004A0C12">
              <w:rPr>
                <w:rFonts w:ascii="Garamond" w:eastAsia="Times New Roman" w:hAnsi="Garamond" w:cs="Times New Roman"/>
                <w:color w:val="424242"/>
                <w:w w:val="105"/>
              </w:rPr>
              <w:t>a</w:t>
            </w:r>
            <w:r w:rsidRPr="004A0C12">
              <w:rPr>
                <w:rFonts w:ascii="Garamond" w:eastAsia="Times New Roman" w:hAnsi="Garamond" w:cs="Times New Roman"/>
                <w:color w:val="424242"/>
                <w:spacing w:val="1"/>
                <w:w w:val="105"/>
              </w:rPr>
              <w:t>n</w:t>
            </w:r>
            <w:r w:rsidRPr="004A0C12">
              <w:rPr>
                <w:rFonts w:ascii="Garamond" w:eastAsia="Times New Roman" w:hAnsi="Garamond" w:cs="Times New Roman"/>
                <w:color w:val="1F1F1F"/>
                <w:w w:val="105"/>
              </w:rPr>
              <w:t>nu</w:t>
            </w:r>
            <w:r w:rsidRPr="004A0C12">
              <w:rPr>
                <w:rFonts w:ascii="Garamond" w:eastAsia="Times New Roman" w:hAnsi="Garamond" w:cs="Times New Roman"/>
                <w:color w:val="424242"/>
                <w:spacing w:val="12"/>
                <w:w w:val="105"/>
              </w:rPr>
              <w:t>a</w:t>
            </w:r>
            <w:r w:rsidRPr="004A0C12">
              <w:rPr>
                <w:rFonts w:ascii="Garamond" w:eastAsia="Times New Roman" w:hAnsi="Garamond" w:cs="Times New Roman"/>
                <w:color w:val="1F1F1F"/>
                <w:w w:val="105"/>
              </w:rPr>
              <w:t>l</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review,</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1F1F1F"/>
                <w:w w:val="105"/>
              </w:rPr>
              <w:t>as</w:t>
            </w:r>
            <w:r w:rsidRPr="004A0C12">
              <w:rPr>
                <w:rFonts w:ascii="Garamond" w:eastAsia="Times New Roman" w:hAnsi="Garamond" w:cs="Times New Roman"/>
                <w:color w:val="1F1F1F"/>
                <w:w w:val="112"/>
              </w:rPr>
              <w:t xml:space="preserve"> </w:t>
            </w:r>
            <w:r w:rsidRPr="004A0C12">
              <w:rPr>
                <w:rFonts w:ascii="Garamond" w:eastAsia="Times New Roman" w:hAnsi="Garamond" w:cs="Times New Roman"/>
                <w:color w:val="1F1F1F"/>
                <w:w w:val="105"/>
              </w:rPr>
              <w:t>appropriate,</w:t>
            </w:r>
            <w:r w:rsidRPr="004A0C12">
              <w:rPr>
                <w:rFonts w:ascii="Garamond" w:eastAsia="Times New Roman" w:hAnsi="Garamond" w:cs="Times New Roman"/>
                <w:color w:val="1F1F1F"/>
                <w:spacing w:val="18"/>
                <w:w w:val="105"/>
              </w:rPr>
              <w:t xml:space="preserve"> </w:t>
            </w:r>
            <w:r w:rsidRPr="004A0C12">
              <w:rPr>
                <w:rFonts w:ascii="Garamond" w:eastAsia="Times New Roman" w:hAnsi="Garamond" w:cs="Times New Roman"/>
                <w:color w:val="333333"/>
                <w:w w:val="105"/>
              </w:rPr>
              <w:t>for</w:t>
            </w:r>
            <w:r w:rsidRPr="004A0C12">
              <w:rPr>
                <w:rFonts w:ascii="Garamond" w:eastAsia="Times New Roman" w:hAnsi="Garamond" w:cs="Times New Roman"/>
                <w:color w:val="333333"/>
                <w:spacing w:val="3"/>
                <w:w w:val="105"/>
              </w:rPr>
              <w:t xml:space="preserve"> </w:t>
            </w:r>
            <w:r w:rsidRPr="004A0C12">
              <w:rPr>
                <w:rFonts w:ascii="Garamond" w:eastAsia="Times New Roman" w:hAnsi="Garamond" w:cs="Times New Roman"/>
                <w:color w:val="1F1F1F"/>
                <w:w w:val="105"/>
              </w:rPr>
              <w:t>individuals</w:t>
            </w:r>
            <w:r w:rsidRPr="004A0C12">
              <w:rPr>
                <w:rFonts w:ascii="Garamond" w:eastAsia="Times New Roman" w:hAnsi="Garamond" w:cs="Times New Roman"/>
                <w:color w:val="1F1F1F"/>
                <w:spacing w:val="23"/>
                <w:w w:val="105"/>
              </w:rPr>
              <w:t xml:space="preserve"> </w:t>
            </w:r>
            <w:r w:rsidRPr="004A0C12">
              <w:rPr>
                <w:rFonts w:ascii="Garamond" w:eastAsia="Times New Roman" w:hAnsi="Garamond" w:cs="Times New Roman"/>
                <w:color w:val="1F1F1F"/>
                <w:w w:val="105"/>
              </w:rPr>
              <w:t>employed</w:t>
            </w:r>
            <w:r w:rsidRPr="004A0C12">
              <w:rPr>
                <w:rFonts w:ascii="Garamond" w:eastAsia="Times New Roman" w:hAnsi="Garamond" w:cs="Times New Roman"/>
                <w:color w:val="1F1F1F"/>
                <w:spacing w:val="24"/>
                <w:w w:val="105"/>
              </w:rPr>
              <w:t xml:space="preserve"> </w:t>
            </w:r>
            <w:r w:rsidRPr="004A0C12">
              <w:rPr>
                <w:rFonts w:ascii="Garamond" w:eastAsia="Times New Roman" w:hAnsi="Garamond" w:cs="Times New Roman"/>
                <w:color w:val="1F1F1F"/>
                <w:w w:val="105"/>
              </w:rPr>
              <w:t>either</w:t>
            </w:r>
            <w:r w:rsidRPr="004A0C12">
              <w:rPr>
                <w:rFonts w:ascii="Garamond" w:eastAsia="Times New Roman" w:hAnsi="Garamond" w:cs="Times New Roman"/>
                <w:color w:val="1F1F1F"/>
                <w:spacing w:val="13"/>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an</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extended</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424242"/>
                <w:w w:val="105"/>
              </w:rPr>
              <w:t>em</w:t>
            </w:r>
            <w:r w:rsidRPr="004A0C12">
              <w:rPr>
                <w:rFonts w:ascii="Garamond" w:eastAsia="Times New Roman" w:hAnsi="Garamond" w:cs="Times New Roman"/>
                <w:color w:val="424242"/>
                <w:spacing w:val="5"/>
                <w:w w:val="105"/>
              </w:rPr>
              <w:t>p</w:t>
            </w:r>
            <w:r w:rsidRPr="004A0C12">
              <w:rPr>
                <w:rFonts w:ascii="Garamond" w:eastAsia="Times New Roman" w:hAnsi="Garamond" w:cs="Times New Roman"/>
                <w:color w:val="1F1F1F"/>
                <w:w w:val="105"/>
              </w:rPr>
              <w:t>loyment</w:t>
            </w:r>
            <w:r w:rsidRPr="004A0C12">
              <w:rPr>
                <w:rFonts w:ascii="Garamond" w:eastAsia="Times New Roman" w:hAnsi="Garamond" w:cs="Times New Roman"/>
                <w:color w:val="1F1F1F"/>
                <w:spacing w:val="18"/>
                <w:w w:val="105"/>
              </w:rPr>
              <w:t xml:space="preserve"> </w:t>
            </w:r>
            <w:r w:rsidRPr="004A0C12">
              <w:rPr>
                <w:rFonts w:ascii="Garamond" w:eastAsia="Times New Roman" w:hAnsi="Garamond" w:cs="Times New Roman"/>
                <w:color w:val="1F1F1F"/>
                <w:w w:val="105"/>
              </w:rPr>
              <w:t>setting</w:t>
            </w:r>
            <w:r w:rsidRPr="004A0C12">
              <w:rPr>
                <w:rFonts w:ascii="Garamond" w:eastAsia="Times New Roman" w:hAnsi="Garamond" w:cs="Times New Roman"/>
                <w:color w:val="1F1F1F"/>
                <w:w w:val="110"/>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a</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community</w:t>
            </w:r>
            <w:r w:rsidRPr="004A0C12">
              <w:rPr>
                <w:rFonts w:ascii="Garamond" w:eastAsia="Times New Roman" w:hAnsi="Garamond" w:cs="Times New Roman"/>
                <w:color w:val="1F1F1F"/>
                <w:spacing w:val="20"/>
                <w:w w:val="105"/>
              </w:rPr>
              <w:t xml:space="preserve"> </w:t>
            </w:r>
            <w:r w:rsidRPr="004A0C12">
              <w:rPr>
                <w:rFonts w:ascii="Garamond" w:eastAsia="Times New Roman" w:hAnsi="Garamond" w:cs="Times New Roman"/>
                <w:color w:val="1F1F1F"/>
                <w:spacing w:val="1"/>
                <w:w w:val="105"/>
              </w:rPr>
              <w:t>r</w:t>
            </w:r>
            <w:r w:rsidRPr="004A0C12">
              <w:rPr>
                <w:rFonts w:ascii="Garamond" w:eastAsia="Times New Roman" w:hAnsi="Garamond" w:cs="Times New Roman"/>
                <w:color w:val="424242"/>
                <w:spacing w:val="2"/>
                <w:w w:val="105"/>
              </w:rPr>
              <w:t>e</w:t>
            </w:r>
            <w:r w:rsidRPr="004A0C12">
              <w:rPr>
                <w:rFonts w:ascii="Garamond" w:eastAsia="Times New Roman" w:hAnsi="Garamond" w:cs="Times New Roman"/>
                <w:color w:val="1F1F1F"/>
                <w:w w:val="105"/>
              </w:rPr>
              <w:t>habilitation</w:t>
            </w:r>
            <w:r w:rsidRPr="004A0C12">
              <w:rPr>
                <w:rFonts w:ascii="Garamond" w:eastAsia="Times New Roman" w:hAnsi="Garamond" w:cs="Times New Roman"/>
                <w:color w:val="1F1F1F"/>
                <w:spacing w:val="33"/>
                <w:w w:val="105"/>
              </w:rPr>
              <w:t xml:space="preserve"> </w:t>
            </w:r>
            <w:r w:rsidRPr="004A0C12">
              <w:rPr>
                <w:rFonts w:ascii="Garamond" w:eastAsia="Times New Roman" w:hAnsi="Garamond" w:cs="Times New Roman"/>
                <w:color w:val="1F1F1F"/>
                <w:w w:val="105"/>
              </w:rPr>
              <w:t>program</w:t>
            </w:r>
            <w:r w:rsidRPr="004A0C12">
              <w:rPr>
                <w:rFonts w:ascii="Garamond" w:eastAsia="Times New Roman" w:hAnsi="Garamond" w:cs="Times New Roman"/>
                <w:color w:val="1F1F1F"/>
                <w:spacing w:val="30"/>
                <w:w w:val="105"/>
              </w:rPr>
              <w:t xml:space="preserve"> </w:t>
            </w:r>
            <w:r w:rsidRPr="004A0C12">
              <w:rPr>
                <w:rFonts w:ascii="Garamond" w:eastAsia="Times New Roman" w:hAnsi="Garamond" w:cs="Times New Roman"/>
                <w:color w:val="1F1F1F"/>
                <w:w w:val="105"/>
              </w:rPr>
              <w:t>or</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any</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1F1F1F"/>
                <w:w w:val="105"/>
              </w:rPr>
              <w:t>other</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1F1F1F"/>
                <w:w w:val="105"/>
              </w:rPr>
              <w:t>employ</w:t>
            </w:r>
            <w:r w:rsidRPr="004A0C12">
              <w:rPr>
                <w:rFonts w:ascii="Garamond" w:eastAsia="Times New Roman" w:hAnsi="Garamond" w:cs="Times New Roman"/>
                <w:color w:val="1F1F1F"/>
                <w:spacing w:val="18"/>
                <w:w w:val="105"/>
              </w:rPr>
              <w:t>m</w:t>
            </w:r>
            <w:r w:rsidRPr="004A0C12">
              <w:rPr>
                <w:rFonts w:ascii="Garamond" w:eastAsia="Times New Roman" w:hAnsi="Garamond" w:cs="Times New Roman"/>
                <w:color w:val="424242"/>
                <w:w w:val="105"/>
              </w:rPr>
              <w:t>e</w:t>
            </w:r>
            <w:r w:rsidRPr="004A0C12">
              <w:rPr>
                <w:rFonts w:ascii="Garamond" w:eastAsia="Times New Roman" w:hAnsi="Garamond" w:cs="Times New Roman"/>
                <w:color w:val="424242"/>
                <w:spacing w:val="1"/>
                <w:w w:val="105"/>
              </w:rPr>
              <w:t>n</w:t>
            </w:r>
            <w:r w:rsidRPr="004A0C12">
              <w:rPr>
                <w:rFonts w:ascii="Garamond" w:eastAsia="Times New Roman" w:hAnsi="Garamond" w:cs="Times New Roman"/>
                <w:color w:val="1F1F1F"/>
                <w:w w:val="105"/>
              </w:rPr>
              <w:t>t</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333333"/>
                <w:w w:val="105"/>
              </w:rPr>
              <w:t>under</w:t>
            </w:r>
            <w:r w:rsidRPr="004A0C12">
              <w:rPr>
                <w:rFonts w:ascii="Garamond" w:eastAsia="Times New Roman" w:hAnsi="Garamond" w:cs="Times New Roman"/>
                <w:color w:val="333333"/>
                <w:spacing w:val="22"/>
                <w:w w:val="105"/>
              </w:rPr>
              <w:t xml:space="preserve"> </w:t>
            </w:r>
            <w:r w:rsidRPr="004A0C12">
              <w:rPr>
                <w:rFonts w:ascii="Garamond" w:eastAsia="Times New Roman" w:hAnsi="Garamond" w:cs="Times New Roman"/>
                <w:color w:val="333333"/>
                <w:w w:val="105"/>
              </w:rPr>
              <w:t>section</w:t>
            </w:r>
            <w:r w:rsidRPr="004A0C12">
              <w:rPr>
                <w:rFonts w:ascii="Garamond" w:eastAsia="Times New Roman" w:hAnsi="Garamond" w:cs="Times New Roman"/>
                <w:color w:val="333333"/>
                <w:w w:val="107"/>
              </w:rPr>
              <w:t xml:space="preserve"> </w:t>
            </w:r>
            <w:r w:rsidRPr="004A0C12">
              <w:rPr>
                <w:rFonts w:ascii="Garamond" w:eastAsia="Times New Roman" w:hAnsi="Garamond" w:cs="Times New Roman"/>
                <w:color w:val="1F1F1F"/>
                <w:w w:val="105"/>
              </w:rPr>
              <w:t>14(c)</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333333"/>
                <w:w w:val="105"/>
              </w:rPr>
              <w:t>the</w:t>
            </w:r>
            <w:r w:rsidRPr="004A0C12">
              <w:rPr>
                <w:rFonts w:ascii="Garamond" w:eastAsia="Times New Roman" w:hAnsi="Garamond" w:cs="Times New Roman"/>
                <w:color w:val="333333"/>
                <w:spacing w:val="7"/>
                <w:w w:val="105"/>
              </w:rPr>
              <w:t xml:space="preserve"> </w:t>
            </w:r>
            <w:r w:rsidRPr="004A0C12">
              <w:rPr>
                <w:rFonts w:ascii="Garamond" w:eastAsia="Times New Roman" w:hAnsi="Garamond" w:cs="Times New Roman"/>
                <w:color w:val="1F1F1F"/>
                <w:w w:val="105"/>
              </w:rPr>
              <w:t>Fair</w:t>
            </w:r>
            <w:r w:rsidRPr="004A0C12">
              <w:rPr>
                <w:rFonts w:ascii="Garamond" w:eastAsia="Times New Roman" w:hAnsi="Garamond" w:cs="Times New Roman"/>
                <w:color w:val="1F1F1F"/>
                <w:spacing w:val="20"/>
                <w:w w:val="105"/>
              </w:rPr>
              <w:t xml:space="preserve"> </w:t>
            </w:r>
            <w:r w:rsidRPr="004A0C12">
              <w:rPr>
                <w:rFonts w:ascii="Garamond" w:eastAsia="Times New Roman" w:hAnsi="Garamond" w:cs="Times New Roman"/>
                <w:color w:val="1F1F1F"/>
                <w:spacing w:val="7"/>
                <w:w w:val="105"/>
              </w:rPr>
              <w:t>L</w:t>
            </w:r>
            <w:r w:rsidRPr="004A0C12">
              <w:rPr>
                <w:rFonts w:ascii="Garamond" w:eastAsia="Times New Roman" w:hAnsi="Garamond" w:cs="Times New Roman"/>
                <w:color w:val="424242"/>
                <w:spacing w:val="2"/>
                <w:w w:val="105"/>
              </w:rPr>
              <w:t>a</w:t>
            </w:r>
            <w:r w:rsidRPr="004A0C12">
              <w:rPr>
                <w:rFonts w:ascii="Garamond" w:eastAsia="Times New Roman" w:hAnsi="Garamond" w:cs="Times New Roman"/>
                <w:color w:val="1F1F1F"/>
                <w:w w:val="105"/>
              </w:rPr>
              <w:t>bor</w:t>
            </w:r>
            <w:r w:rsidRPr="004A0C12">
              <w:rPr>
                <w:rFonts w:ascii="Garamond" w:eastAsia="Times New Roman" w:hAnsi="Garamond" w:cs="Times New Roman"/>
                <w:color w:val="1F1F1F"/>
                <w:spacing w:val="15"/>
                <w:w w:val="105"/>
              </w:rPr>
              <w:t xml:space="preserve"> </w:t>
            </w:r>
            <w:r w:rsidRPr="004A0C12">
              <w:rPr>
                <w:rFonts w:ascii="Garamond" w:eastAsia="Times New Roman" w:hAnsi="Garamond" w:cs="Times New Roman"/>
                <w:color w:val="333333"/>
                <w:w w:val="105"/>
              </w:rPr>
              <w:t>Standards</w:t>
            </w:r>
            <w:r w:rsidRPr="004A0C12">
              <w:rPr>
                <w:rFonts w:ascii="Garamond" w:eastAsia="Times New Roman" w:hAnsi="Garamond" w:cs="Times New Roman"/>
                <w:color w:val="333333"/>
                <w:spacing w:val="-2"/>
                <w:w w:val="105"/>
              </w:rPr>
              <w:t xml:space="preserve"> </w:t>
            </w:r>
            <w:r w:rsidRPr="004A0C12">
              <w:rPr>
                <w:rFonts w:ascii="Garamond" w:eastAsia="Times New Roman" w:hAnsi="Garamond" w:cs="Times New Roman"/>
                <w:color w:val="1F1F1F"/>
                <w:w w:val="105"/>
              </w:rPr>
              <w:t>Act,</w:t>
            </w:r>
            <w:r w:rsidRPr="004A0C12">
              <w:rPr>
                <w:rFonts w:ascii="Garamond" w:eastAsia="Times New Roman" w:hAnsi="Garamond" w:cs="Times New Roman"/>
                <w:color w:val="1F1F1F"/>
                <w:spacing w:val="62"/>
                <w:w w:val="105"/>
              </w:rPr>
              <w:t xml:space="preserve"> </w:t>
            </w:r>
            <w:r w:rsidRPr="004A0C12">
              <w:rPr>
                <w:rFonts w:ascii="Garamond" w:eastAsia="Times New Roman" w:hAnsi="Garamond" w:cs="Times New Roman"/>
                <w:color w:val="1F1F1F"/>
                <w:w w:val="105"/>
              </w:rPr>
              <w:t>as</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required</w:t>
            </w:r>
            <w:r w:rsidRPr="004A0C12">
              <w:rPr>
                <w:rFonts w:ascii="Garamond" w:eastAsia="Times New Roman" w:hAnsi="Garamond" w:cs="Times New Roman"/>
                <w:color w:val="1F1F1F"/>
                <w:spacing w:val="28"/>
                <w:w w:val="105"/>
              </w:rPr>
              <w:t xml:space="preserve"> </w:t>
            </w:r>
            <w:r w:rsidRPr="004A0C12">
              <w:rPr>
                <w:rFonts w:ascii="Garamond" w:eastAsia="Times New Roman" w:hAnsi="Garamond" w:cs="Times New Roman"/>
                <w:color w:val="1F1F1F"/>
                <w:w w:val="105"/>
              </w:rPr>
              <w:t>by</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333333"/>
                <w:w w:val="105"/>
              </w:rPr>
              <w:t>section</w:t>
            </w:r>
            <w:r w:rsidRPr="004A0C12">
              <w:rPr>
                <w:rFonts w:ascii="Garamond" w:eastAsia="Times New Roman" w:hAnsi="Garamond" w:cs="Times New Roman"/>
                <w:color w:val="333333"/>
                <w:spacing w:val="21"/>
                <w:w w:val="105"/>
              </w:rPr>
              <w:t xml:space="preserve"> </w:t>
            </w:r>
            <w:r w:rsidRPr="004A0C12">
              <w:rPr>
                <w:rFonts w:ascii="Garamond" w:eastAsia="Times New Roman" w:hAnsi="Garamond" w:cs="Times New Roman"/>
                <w:color w:val="333333"/>
                <w:w w:val="105"/>
              </w:rPr>
              <w:t>101(a)(14)of the</w:t>
            </w:r>
            <w:r w:rsidRPr="004A0C12">
              <w:rPr>
                <w:rFonts w:ascii="Garamond" w:eastAsia="Times New Roman" w:hAnsi="Garamond" w:cs="Times New Roman"/>
                <w:color w:val="333333"/>
                <w:w w:val="112"/>
              </w:rPr>
              <w:t xml:space="preserve"> </w:t>
            </w:r>
            <w:r w:rsidRPr="004A0C12">
              <w:rPr>
                <w:rFonts w:ascii="Garamond" w:eastAsia="Times New Roman" w:hAnsi="Garamond" w:cs="Times New Roman"/>
                <w:color w:val="1F1F1F"/>
              </w:rPr>
              <w:t>Rehabilita</w:t>
            </w:r>
            <w:r w:rsidRPr="004A0C12">
              <w:rPr>
                <w:rFonts w:ascii="Garamond" w:eastAsia="Times New Roman" w:hAnsi="Garamond" w:cs="Times New Roman"/>
                <w:color w:val="1F1F1F"/>
                <w:spacing w:val="18"/>
              </w:rPr>
              <w:t>t</w:t>
            </w:r>
            <w:r w:rsidRPr="004A0C12">
              <w:rPr>
                <w:rFonts w:ascii="Garamond" w:eastAsia="Times New Roman" w:hAnsi="Garamond" w:cs="Times New Roman"/>
                <w:color w:val="424242"/>
              </w:rPr>
              <w:t>ion</w:t>
            </w:r>
            <w:r w:rsidRPr="004A0C12">
              <w:rPr>
                <w:rFonts w:ascii="Garamond" w:eastAsia="Times New Roman" w:hAnsi="Garamond" w:cs="Times New Roman"/>
                <w:color w:val="424242"/>
                <w:spacing w:val="23"/>
              </w:rPr>
              <w:t xml:space="preserve"> </w:t>
            </w:r>
            <w:r w:rsidRPr="004A0C12">
              <w:rPr>
                <w:rFonts w:ascii="Garamond" w:eastAsia="Times New Roman" w:hAnsi="Garamond" w:cs="Times New Roman"/>
                <w:color w:val="424242"/>
              </w:rPr>
              <w:t>Act.</w:t>
            </w:r>
          </w:p>
          <w:p w14:paraId="23F93148" w14:textId="77777777" w:rsidR="00B157E4" w:rsidRDefault="00A2533C" w:rsidP="00A2533C">
            <w:pPr>
              <w:widowControl w:val="0"/>
              <w:tabs>
                <w:tab w:val="left" w:pos="1370"/>
              </w:tabs>
              <w:spacing w:after="0" w:line="240" w:lineRule="auto"/>
              <w:rPr>
                <w:rFonts w:ascii="Garamond" w:eastAsia="Times New Roman" w:hAnsi="Garamond" w:cs="Times New Roman"/>
                <w:color w:val="333333"/>
                <w:w w:val="105"/>
              </w:rPr>
            </w:pPr>
            <w:r w:rsidRPr="004A0C12">
              <w:rPr>
                <w:rFonts w:ascii="Garamond" w:eastAsia="Times New Roman" w:hAnsi="Garamond" w:cs="Times New Roman"/>
                <w:color w:val="1F1F1F"/>
                <w:spacing w:val="-1"/>
                <w:w w:val="105"/>
              </w:rPr>
              <w:t xml:space="preserve">(i)   meet </w:t>
            </w:r>
            <w:r w:rsidR="001F7B29" w:rsidRPr="004A0C12">
              <w:rPr>
                <w:rFonts w:ascii="Garamond" w:eastAsia="Times New Roman" w:hAnsi="Garamond" w:cs="Times New Roman"/>
                <w:color w:val="1F1F1F"/>
                <w:spacing w:val="-1"/>
                <w:w w:val="105"/>
              </w:rPr>
              <w:t>t</w:t>
            </w:r>
            <w:r w:rsidR="001F7B29" w:rsidRPr="004A0C12">
              <w:rPr>
                <w:rFonts w:ascii="Garamond" w:eastAsia="Times New Roman" w:hAnsi="Garamond" w:cs="Times New Roman"/>
                <w:color w:val="424242"/>
                <w:w w:val="105"/>
              </w:rPr>
              <w:t>he</w:t>
            </w:r>
            <w:r w:rsidR="001F7B29" w:rsidRPr="004A0C12">
              <w:rPr>
                <w:rFonts w:ascii="Garamond" w:eastAsia="Times New Roman" w:hAnsi="Garamond" w:cs="Times New Roman"/>
                <w:color w:val="424242"/>
                <w:spacing w:val="14"/>
                <w:w w:val="105"/>
              </w:rPr>
              <w:t xml:space="preserve"> </w:t>
            </w:r>
            <w:r w:rsidR="001F7B29" w:rsidRPr="004A0C12">
              <w:rPr>
                <w:rFonts w:ascii="Garamond" w:eastAsia="Times New Roman" w:hAnsi="Garamond" w:cs="Times New Roman"/>
                <w:color w:val="1F1F1F"/>
                <w:spacing w:val="9"/>
                <w:w w:val="105"/>
              </w:rPr>
              <w:t>r</w:t>
            </w:r>
            <w:r w:rsidR="001F7B29" w:rsidRPr="004A0C12">
              <w:rPr>
                <w:rFonts w:ascii="Garamond" w:eastAsia="Times New Roman" w:hAnsi="Garamond" w:cs="Times New Roman"/>
                <w:color w:val="424242"/>
                <w:w w:val="105"/>
              </w:rPr>
              <w:t>e</w:t>
            </w:r>
            <w:r w:rsidR="001F7B29" w:rsidRPr="004A0C12">
              <w:rPr>
                <w:rFonts w:ascii="Garamond" w:eastAsia="Times New Roman" w:hAnsi="Garamond" w:cs="Times New Roman"/>
                <w:color w:val="424242"/>
                <w:spacing w:val="4"/>
                <w:w w:val="105"/>
              </w:rPr>
              <w:t>q</w:t>
            </w:r>
            <w:r w:rsidR="001F7B29" w:rsidRPr="004A0C12">
              <w:rPr>
                <w:rFonts w:ascii="Garamond" w:eastAsia="Times New Roman" w:hAnsi="Garamond" w:cs="Times New Roman"/>
                <w:color w:val="1F1F1F"/>
                <w:w w:val="105"/>
              </w:rPr>
              <w:t>ui</w:t>
            </w:r>
            <w:r w:rsidR="001F7B29" w:rsidRPr="004A0C12">
              <w:rPr>
                <w:rFonts w:ascii="Garamond" w:eastAsia="Times New Roman" w:hAnsi="Garamond" w:cs="Times New Roman"/>
                <w:color w:val="1F1F1F"/>
                <w:spacing w:val="15"/>
                <w:w w:val="105"/>
              </w:rPr>
              <w:t>r</w:t>
            </w:r>
            <w:r w:rsidR="001F7B29" w:rsidRPr="004A0C12">
              <w:rPr>
                <w:rFonts w:ascii="Garamond" w:eastAsia="Times New Roman" w:hAnsi="Garamond" w:cs="Times New Roman"/>
                <w:color w:val="424242"/>
                <w:w w:val="105"/>
              </w:rPr>
              <w:t>ements</w:t>
            </w:r>
            <w:r w:rsidR="001F7B29" w:rsidRPr="004A0C12">
              <w:rPr>
                <w:rFonts w:ascii="Garamond" w:eastAsia="Times New Roman" w:hAnsi="Garamond" w:cs="Times New Roman"/>
                <w:color w:val="424242"/>
                <w:spacing w:val="28"/>
                <w:w w:val="105"/>
              </w:rPr>
              <w:t xml:space="preserve"> </w:t>
            </w:r>
            <w:r w:rsidR="001F7B29" w:rsidRPr="004A0C12">
              <w:rPr>
                <w:rFonts w:ascii="Garamond" w:eastAsia="Times New Roman" w:hAnsi="Garamond" w:cs="Times New Roman"/>
                <w:color w:val="1F1F1F"/>
                <w:w w:val="105"/>
              </w:rPr>
              <w:t>in</w:t>
            </w:r>
            <w:r w:rsidR="001F7B29" w:rsidRPr="004A0C12">
              <w:rPr>
                <w:rFonts w:ascii="Garamond" w:eastAsia="Times New Roman" w:hAnsi="Garamond" w:cs="Times New Roman"/>
                <w:color w:val="1F1F1F"/>
                <w:spacing w:val="26"/>
                <w:w w:val="105"/>
              </w:rPr>
              <w:t xml:space="preserve"> </w:t>
            </w:r>
            <w:r w:rsidR="001F7B29" w:rsidRPr="004A0C12">
              <w:rPr>
                <w:rFonts w:ascii="Garamond" w:eastAsia="Times New Roman" w:hAnsi="Garamond" w:cs="Times New Roman"/>
                <w:color w:val="1F1F1F"/>
                <w:w w:val="105"/>
              </w:rPr>
              <w:t>sections</w:t>
            </w:r>
            <w:r w:rsidR="001F7B29" w:rsidRPr="004A0C12">
              <w:rPr>
                <w:rFonts w:ascii="Garamond" w:eastAsia="Times New Roman" w:hAnsi="Garamond" w:cs="Times New Roman"/>
                <w:color w:val="1F1F1F"/>
                <w:spacing w:val="36"/>
                <w:w w:val="105"/>
              </w:rPr>
              <w:t xml:space="preserve"> </w:t>
            </w:r>
            <w:r w:rsidR="001F7B29" w:rsidRPr="004A0C12">
              <w:rPr>
                <w:rFonts w:ascii="Garamond" w:eastAsia="Times New Roman" w:hAnsi="Garamond" w:cs="Times New Roman"/>
                <w:color w:val="1F1F1F"/>
                <w:w w:val="105"/>
              </w:rPr>
              <w:t>101(a)(17)</w:t>
            </w:r>
            <w:r w:rsidR="001F7B29" w:rsidRPr="004A0C12">
              <w:rPr>
                <w:rFonts w:ascii="Garamond" w:eastAsia="Times New Roman" w:hAnsi="Garamond" w:cs="Times New Roman"/>
                <w:color w:val="1F1F1F"/>
                <w:spacing w:val="-4"/>
                <w:w w:val="105"/>
              </w:rPr>
              <w:t xml:space="preserve"> </w:t>
            </w:r>
            <w:r w:rsidR="001F7B29" w:rsidRPr="004A0C12">
              <w:rPr>
                <w:rFonts w:ascii="Garamond" w:eastAsia="Times New Roman" w:hAnsi="Garamond" w:cs="Times New Roman"/>
                <w:color w:val="333333"/>
                <w:w w:val="105"/>
              </w:rPr>
              <w:t>and</w:t>
            </w:r>
            <w:r w:rsidR="00881DB5">
              <w:rPr>
                <w:rFonts w:ascii="Garamond" w:eastAsia="Times New Roman" w:hAnsi="Garamond" w:cs="Times New Roman"/>
                <w:color w:val="333333"/>
                <w:w w:val="105"/>
              </w:rPr>
              <w:t xml:space="preserve"> 103(b)(2)</w:t>
            </w:r>
            <w:r w:rsidR="001F7B29" w:rsidRPr="004A0C12">
              <w:rPr>
                <w:rFonts w:ascii="Garamond" w:eastAsia="Times New Roman" w:hAnsi="Garamond" w:cs="Times New Roman"/>
                <w:color w:val="333333"/>
                <w:w w:val="105"/>
              </w:rPr>
              <w:t>of</w:t>
            </w:r>
            <w:r w:rsidR="001F7B29" w:rsidRPr="004A0C12">
              <w:rPr>
                <w:rFonts w:ascii="Garamond" w:eastAsia="Times New Roman" w:hAnsi="Garamond" w:cs="Times New Roman"/>
                <w:color w:val="333333"/>
                <w:spacing w:val="19"/>
                <w:w w:val="105"/>
              </w:rPr>
              <w:t xml:space="preserve"> </w:t>
            </w:r>
            <w:r w:rsidR="001F7B29" w:rsidRPr="004A0C12">
              <w:rPr>
                <w:rFonts w:ascii="Garamond" w:eastAsia="Times New Roman" w:hAnsi="Garamond" w:cs="Times New Roman"/>
                <w:color w:val="333333"/>
                <w:w w:val="105"/>
              </w:rPr>
              <w:t>the</w:t>
            </w:r>
            <w:r w:rsidRPr="004A0C12">
              <w:rPr>
                <w:rFonts w:ascii="Garamond" w:eastAsia="Times New Roman" w:hAnsi="Garamond" w:cs="Times New Roman"/>
              </w:rPr>
              <w:t xml:space="preserve"> </w:t>
            </w:r>
            <w:r w:rsidR="001F7B29" w:rsidRPr="004A0C12">
              <w:rPr>
                <w:rFonts w:ascii="Garamond" w:eastAsia="Times New Roman" w:hAnsi="Garamond" w:cs="Times New Roman"/>
                <w:color w:val="1F1F1F"/>
                <w:w w:val="105"/>
              </w:rPr>
              <w:t>Reha</w:t>
            </w:r>
            <w:r w:rsidR="001F7B29" w:rsidRPr="004A0C12">
              <w:rPr>
                <w:rFonts w:ascii="Garamond" w:eastAsia="Times New Roman" w:hAnsi="Garamond" w:cs="Times New Roman"/>
                <w:color w:val="424242"/>
                <w:w w:val="105"/>
              </w:rPr>
              <w:t>bili</w:t>
            </w:r>
            <w:r w:rsidR="001F7B29" w:rsidRPr="004A0C12">
              <w:rPr>
                <w:rFonts w:ascii="Garamond" w:eastAsia="Times New Roman" w:hAnsi="Garamond" w:cs="Times New Roman"/>
                <w:color w:val="1F1F1F"/>
                <w:w w:val="105"/>
              </w:rPr>
              <w:t>ta</w:t>
            </w:r>
            <w:r w:rsidR="001F7B29" w:rsidRPr="004A0C12">
              <w:rPr>
                <w:rFonts w:ascii="Garamond" w:eastAsia="Times New Roman" w:hAnsi="Garamond" w:cs="Times New Roman"/>
                <w:color w:val="1F1F1F"/>
                <w:spacing w:val="11"/>
                <w:w w:val="105"/>
              </w:rPr>
              <w:t>t</w:t>
            </w:r>
            <w:r w:rsidR="001F7B29" w:rsidRPr="004A0C12">
              <w:rPr>
                <w:rFonts w:ascii="Garamond" w:eastAsia="Times New Roman" w:hAnsi="Garamond" w:cs="Times New Roman"/>
                <w:color w:val="424242"/>
                <w:w w:val="105"/>
              </w:rPr>
              <w:t>i</w:t>
            </w:r>
            <w:r w:rsidR="001F7B29" w:rsidRPr="004A0C12">
              <w:rPr>
                <w:rFonts w:ascii="Garamond" w:eastAsia="Times New Roman" w:hAnsi="Garamond" w:cs="Times New Roman"/>
                <w:color w:val="424242"/>
                <w:spacing w:val="7"/>
                <w:w w:val="105"/>
              </w:rPr>
              <w:t>o</w:t>
            </w:r>
            <w:r w:rsidR="001F7B29" w:rsidRPr="004A0C12">
              <w:rPr>
                <w:rFonts w:ascii="Garamond" w:eastAsia="Times New Roman" w:hAnsi="Garamond" w:cs="Times New Roman"/>
                <w:color w:val="1F1F1F"/>
                <w:w w:val="105"/>
              </w:rPr>
              <w:t>n</w:t>
            </w:r>
            <w:r w:rsidR="001F7B29" w:rsidRPr="004A0C12">
              <w:rPr>
                <w:rFonts w:ascii="Garamond" w:eastAsia="Times New Roman" w:hAnsi="Garamond" w:cs="Times New Roman"/>
                <w:color w:val="1F1F1F"/>
                <w:spacing w:val="-19"/>
                <w:w w:val="105"/>
              </w:rPr>
              <w:t xml:space="preserve"> </w:t>
            </w:r>
            <w:r w:rsidR="001F7B29" w:rsidRPr="004A0C12">
              <w:rPr>
                <w:rFonts w:ascii="Garamond" w:eastAsia="Times New Roman" w:hAnsi="Garamond" w:cs="Times New Roman"/>
                <w:color w:val="424242"/>
                <w:w w:val="105"/>
              </w:rPr>
              <w:t>Act</w:t>
            </w:r>
            <w:r w:rsidR="001F7B29" w:rsidRPr="004A0C12">
              <w:rPr>
                <w:rFonts w:ascii="Garamond" w:eastAsia="Times New Roman" w:hAnsi="Garamond" w:cs="Times New Roman"/>
                <w:color w:val="424242"/>
                <w:spacing w:val="-4"/>
                <w:w w:val="105"/>
              </w:rPr>
              <w:t xml:space="preserve"> </w:t>
            </w:r>
            <w:r w:rsidR="001F7B29" w:rsidRPr="004A0C12">
              <w:rPr>
                <w:rFonts w:ascii="Garamond" w:eastAsia="Times New Roman" w:hAnsi="Garamond" w:cs="Times New Roman"/>
                <w:color w:val="424242"/>
                <w:w w:val="105"/>
              </w:rPr>
              <w:t>if</w:t>
            </w:r>
            <w:r w:rsidR="001F7B29" w:rsidRPr="004A0C12">
              <w:rPr>
                <w:rFonts w:ascii="Garamond" w:eastAsia="Times New Roman" w:hAnsi="Garamond" w:cs="Times New Roman"/>
                <w:color w:val="424242"/>
                <w:spacing w:val="-20"/>
                <w:w w:val="105"/>
              </w:rPr>
              <w:t xml:space="preserve"> </w:t>
            </w:r>
            <w:r w:rsidR="001F7B29" w:rsidRPr="004A0C12">
              <w:rPr>
                <w:rFonts w:ascii="Garamond" w:eastAsia="Times New Roman" w:hAnsi="Garamond" w:cs="Times New Roman"/>
                <w:color w:val="424242"/>
                <w:w w:val="105"/>
              </w:rPr>
              <w:t>the</w:t>
            </w:r>
            <w:r w:rsidR="001F7B29" w:rsidRPr="004A0C12">
              <w:rPr>
                <w:rFonts w:ascii="Garamond" w:eastAsia="Times New Roman" w:hAnsi="Garamond" w:cs="Times New Roman"/>
                <w:color w:val="424242"/>
                <w:spacing w:val="-15"/>
                <w:w w:val="105"/>
              </w:rPr>
              <w:t xml:space="preserve"> </w:t>
            </w:r>
            <w:r w:rsidR="001F7B29" w:rsidRPr="004A0C12">
              <w:rPr>
                <w:rFonts w:ascii="Garamond" w:eastAsia="Times New Roman" w:hAnsi="Garamond" w:cs="Times New Roman"/>
                <w:color w:val="333333"/>
                <w:w w:val="105"/>
              </w:rPr>
              <w:t>State</w:t>
            </w:r>
            <w:r w:rsidR="001F7B29" w:rsidRPr="004A0C12">
              <w:rPr>
                <w:rFonts w:ascii="Garamond" w:eastAsia="Times New Roman" w:hAnsi="Garamond" w:cs="Times New Roman"/>
                <w:color w:val="333333"/>
                <w:spacing w:val="-14"/>
                <w:w w:val="105"/>
              </w:rPr>
              <w:t xml:space="preserve"> </w:t>
            </w:r>
            <w:r w:rsidR="001F7B29" w:rsidRPr="004A0C12">
              <w:rPr>
                <w:rFonts w:ascii="Garamond" w:eastAsia="Times New Roman" w:hAnsi="Garamond" w:cs="Times New Roman"/>
                <w:color w:val="1F1F1F"/>
                <w:w w:val="105"/>
              </w:rPr>
              <w:t>elects</w:t>
            </w:r>
            <w:r w:rsidR="001F7B29" w:rsidRPr="004A0C12">
              <w:rPr>
                <w:rFonts w:ascii="Garamond" w:eastAsia="Times New Roman" w:hAnsi="Garamond" w:cs="Times New Roman"/>
                <w:color w:val="1F1F1F"/>
                <w:spacing w:val="-17"/>
                <w:w w:val="105"/>
              </w:rPr>
              <w:t xml:space="preserve"> </w:t>
            </w:r>
            <w:r w:rsidR="001F7B29" w:rsidRPr="004A0C12">
              <w:rPr>
                <w:rFonts w:ascii="Garamond" w:eastAsia="Times New Roman" w:hAnsi="Garamond" w:cs="Times New Roman"/>
                <w:color w:val="1F1F1F"/>
                <w:w w:val="105"/>
              </w:rPr>
              <w:t>to</w:t>
            </w:r>
            <w:r w:rsidR="001F7B29" w:rsidRPr="004A0C12">
              <w:rPr>
                <w:rFonts w:ascii="Garamond" w:eastAsia="Times New Roman" w:hAnsi="Garamond" w:cs="Times New Roman"/>
                <w:color w:val="1F1F1F"/>
                <w:spacing w:val="-9"/>
                <w:w w:val="105"/>
              </w:rPr>
              <w:t xml:space="preserve"> </w:t>
            </w:r>
            <w:r w:rsidR="001F7B29" w:rsidRPr="004A0C12">
              <w:rPr>
                <w:rFonts w:ascii="Garamond" w:eastAsia="Times New Roman" w:hAnsi="Garamond" w:cs="Times New Roman"/>
                <w:color w:val="333333"/>
                <w:w w:val="105"/>
              </w:rPr>
              <w:t>construct,</w:t>
            </w:r>
            <w:r w:rsidR="001F7B29" w:rsidRPr="004A0C12">
              <w:rPr>
                <w:rFonts w:ascii="Garamond" w:eastAsia="Times New Roman" w:hAnsi="Garamond" w:cs="Times New Roman"/>
                <w:color w:val="333333"/>
                <w:spacing w:val="-7"/>
                <w:w w:val="105"/>
              </w:rPr>
              <w:t xml:space="preserve"> </w:t>
            </w:r>
            <w:r w:rsidR="001F7B29" w:rsidRPr="004A0C12">
              <w:rPr>
                <w:rFonts w:ascii="Garamond" w:eastAsia="Times New Roman" w:hAnsi="Garamond" w:cs="Times New Roman"/>
                <w:color w:val="1F1F1F"/>
                <w:w w:val="105"/>
              </w:rPr>
              <w:t>und</w:t>
            </w:r>
            <w:r w:rsidR="001F7B29" w:rsidRPr="004A0C12">
              <w:rPr>
                <w:rFonts w:ascii="Garamond" w:eastAsia="Times New Roman" w:hAnsi="Garamond" w:cs="Times New Roman"/>
                <w:color w:val="424242"/>
                <w:spacing w:val="-6"/>
                <w:w w:val="105"/>
              </w:rPr>
              <w:t>e</w:t>
            </w:r>
            <w:r w:rsidR="001F7B29" w:rsidRPr="004A0C12">
              <w:rPr>
                <w:rFonts w:ascii="Garamond" w:eastAsia="Times New Roman" w:hAnsi="Garamond" w:cs="Times New Roman"/>
                <w:color w:val="1F1F1F"/>
                <w:w w:val="105"/>
              </w:rPr>
              <w:t>r</w:t>
            </w:r>
            <w:r w:rsidR="001F7B29" w:rsidRPr="004A0C12">
              <w:rPr>
                <w:rFonts w:ascii="Garamond" w:eastAsia="Times New Roman" w:hAnsi="Garamond" w:cs="Times New Roman"/>
                <w:color w:val="1F1F1F"/>
                <w:spacing w:val="-9"/>
                <w:w w:val="105"/>
              </w:rPr>
              <w:t xml:space="preserve"> </w:t>
            </w:r>
            <w:r w:rsidR="001F7B29" w:rsidRPr="004A0C12">
              <w:rPr>
                <w:rFonts w:ascii="Garamond" w:eastAsia="Times New Roman" w:hAnsi="Garamond" w:cs="Times New Roman"/>
                <w:color w:val="424242"/>
                <w:w w:val="105"/>
              </w:rPr>
              <w:t>special</w:t>
            </w:r>
            <w:r w:rsidRPr="004A0C12">
              <w:rPr>
                <w:rFonts w:ascii="Garamond" w:eastAsia="Times New Roman" w:hAnsi="Garamond" w:cs="Times New Roman"/>
                <w:color w:val="424242"/>
                <w:w w:val="105"/>
              </w:rPr>
              <w:t xml:space="preserve"> </w:t>
            </w:r>
            <w:r w:rsidR="001F7B29" w:rsidRPr="004A0C12">
              <w:rPr>
                <w:rFonts w:ascii="Garamond" w:eastAsia="Times New Roman" w:hAnsi="Garamond" w:cs="Times New Roman"/>
                <w:color w:val="333333"/>
                <w:w w:val="105"/>
              </w:rPr>
              <w:t>circumstances,</w:t>
            </w:r>
            <w:r w:rsidR="001F7B29" w:rsidRPr="004A0C12">
              <w:rPr>
                <w:rFonts w:ascii="Garamond" w:eastAsia="Times New Roman" w:hAnsi="Garamond" w:cs="Times New Roman"/>
                <w:color w:val="333333"/>
                <w:spacing w:val="9"/>
                <w:w w:val="105"/>
              </w:rPr>
              <w:t xml:space="preserve"> </w:t>
            </w:r>
            <w:r w:rsidR="001F7B29" w:rsidRPr="004A0C12">
              <w:rPr>
                <w:rFonts w:ascii="Garamond" w:eastAsia="Times New Roman" w:hAnsi="Garamond" w:cs="Times New Roman"/>
                <w:color w:val="333333"/>
                <w:w w:val="105"/>
              </w:rPr>
              <w:t>facilities</w:t>
            </w:r>
            <w:r w:rsidR="001F7B29" w:rsidRPr="004A0C12">
              <w:rPr>
                <w:rFonts w:ascii="Garamond" w:eastAsia="Times New Roman" w:hAnsi="Garamond" w:cs="Times New Roman"/>
                <w:color w:val="333333"/>
                <w:spacing w:val="-12"/>
                <w:w w:val="105"/>
              </w:rPr>
              <w:t xml:space="preserve"> </w:t>
            </w:r>
            <w:r w:rsidR="001F7B29" w:rsidRPr="004A0C12">
              <w:rPr>
                <w:rFonts w:ascii="Garamond" w:eastAsia="Times New Roman" w:hAnsi="Garamond" w:cs="Times New Roman"/>
                <w:color w:val="1F1F1F"/>
                <w:w w:val="105"/>
              </w:rPr>
              <w:t>for</w:t>
            </w:r>
            <w:r w:rsidR="001F7B29" w:rsidRPr="004A0C12">
              <w:rPr>
                <w:rFonts w:ascii="Garamond" w:eastAsia="Times New Roman" w:hAnsi="Garamond" w:cs="Times New Roman"/>
                <w:color w:val="1F1F1F"/>
                <w:spacing w:val="-10"/>
                <w:w w:val="105"/>
              </w:rPr>
              <w:t xml:space="preserve"> </w:t>
            </w:r>
            <w:r w:rsidR="001F7B29" w:rsidRPr="004A0C12">
              <w:rPr>
                <w:rFonts w:ascii="Garamond" w:eastAsia="Times New Roman" w:hAnsi="Garamond" w:cs="Times New Roman"/>
                <w:color w:val="333333"/>
                <w:w w:val="105"/>
              </w:rPr>
              <w:t>community</w:t>
            </w:r>
            <w:r w:rsidR="001F7B29" w:rsidRPr="004A0C12">
              <w:rPr>
                <w:rFonts w:ascii="Garamond" w:eastAsia="Times New Roman" w:hAnsi="Garamond" w:cs="Times New Roman"/>
                <w:color w:val="333333"/>
                <w:spacing w:val="-5"/>
                <w:w w:val="105"/>
              </w:rPr>
              <w:t xml:space="preserve"> </w:t>
            </w:r>
            <w:r w:rsidR="001F7B29" w:rsidRPr="004A0C12">
              <w:rPr>
                <w:rFonts w:ascii="Garamond" w:eastAsia="Times New Roman" w:hAnsi="Garamond" w:cs="Times New Roman"/>
                <w:color w:val="424242"/>
                <w:w w:val="105"/>
              </w:rPr>
              <w:t>reh</w:t>
            </w:r>
            <w:r w:rsidR="001F7B29" w:rsidRPr="004A0C12">
              <w:rPr>
                <w:rFonts w:ascii="Garamond" w:eastAsia="Times New Roman" w:hAnsi="Garamond" w:cs="Times New Roman"/>
                <w:color w:val="424242"/>
                <w:spacing w:val="6"/>
                <w:w w:val="105"/>
              </w:rPr>
              <w:t>a</w:t>
            </w:r>
            <w:r w:rsidR="001F7B29" w:rsidRPr="004A0C12">
              <w:rPr>
                <w:rFonts w:ascii="Garamond" w:eastAsia="Times New Roman" w:hAnsi="Garamond" w:cs="Times New Roman"/>
                <w:color w:val="1F1F1F"/>
                <w:w w:val="105"/>
              </w:rPr>
              <w:t>bilita</w:t>
            </w:r>
            <w:r w:rsidR="001F7B29" w:rsidRPr="004A0C12">
              <w:rPr>
                <w:rFonts w:ascii="Garamond" w:eastAsia="Times New Roman" w:hAnsi="Garamond" w:cs="Times New Roman"/>
                <w:color w:val="424242"/>
                <w:w w:val="105"/>
              </w:rPr>
              <w:t>ti</w:t>
            </w:r>
            <w:r w:rsidR="001F7B29" w:rsidRPr="004A0C12">
              <w:rPr>
                <w:rFonts w:ascii="Garamond" w:eastAsia="Times New Roman" w:hAnsi="Garamond" w:cs="Times New Roman"/>
                <w:color w:val="424242"/>
                <w:spacing w:val="11"/>
                <w:w w:val="105"/>
              </w:rPr>
              <w:t>o</w:t>
            </w:r>
            <w:r w:rsidR="001F7B29" w:rsidRPr="004A0C12">
              <w:rPr>
                <w:rFonts w:ascii="Garamond" w:eastAsia="Times New Roman" w:hAnsi="Garamond" w:cs="Times New Roman"/>
                <w:color w:val="1F1F1F"/>
                <w:w w:val="105"/>
              </w:rPr>
              <w:t>n</w:t>
            </w:r>
            <w:r w:rsidR="001F7B29" w:rsidRPr="004A0C12">
              <w:rPr>
                <w:rFonts w:ascii="Garamond" w:eastAsia="Times New Roman" w:hAnsi="Garamond" w:cs="Times New Roman"/>
                <w:color w:val="1F1F1F"/>
                <w:spacing w:val="1"/>
                <w:w w:val="105"/>
              </w:rPr>
              <w:t xml:space="preserve"> </w:t>
            </w:r>
            <w:r w:rsidR="001F7B29" w:rsidRPr="004A0C12">
              <w:rPr>
                <w:rFonts w:ascii="Garamond" w:eastAsia="Times New Roman" w:hAnsi="Garamond" w:cs="Times New Roman"/>
                <w:color w:val="333333"/>
                <w:w w:val="105"/>
              </w:rPr>
              <w:t>programs</w:t>
            </w:r>
          </w:p>
          <w:p w14:paraId="7AC282DA" w14:textId="24E3CF50" w:rsidR="00A2533C" w:rsidRPr="004A0C12" w:rsidRDefault="00B157E4" w:rsidP="00A2533C">
            <w:pPr>
              <w:widowControl w:val="0"/>
              <w:tabs>
                <w:tab w:val="left" w:pos="1370"/>
              </w:tabs>
              <w:spacing w:after="0" w:line="240" w:lineRule="auto"/>
              <w:rPr>
                <w:rFonts w:ascii="Garamond" w:hAnsi="Garamond" w:cs="Times New Roman"/>
              </w:rPr>
            </w:pPr>
            <w:r>
              <w:rPr>
                <w:rFonts w:ascii="Garamond" w:hAnsi="Garamond" w:cs="Times New Roman"/>
              </w:rPr>
              <w:t xml:space="preserve">(j) </w:t>
            </w:r>
            <w:r w:rsidR="00A2533C" w:rsidRPr="004A0C12">
              <w:rPr>
                <w:rFonts w:ascii="Garamond" w:hAnsi="Garamond" w:cs="Times New Roman"/>
              </w:rPr>
              <w:t>with respect to students with disabilities, the State,</w:t>
            </w:r>
            <w:r>
              <w:rPr>
                <w:rFonts w:ascii="Garamond" w:hAnsi="Garamond" w:cs="Times New Roman"/>
              </w:rPr>
              <w:t xml:space="preserve"> has developed and will implement</w:t>
            </w:r>
            <w:r w:rsidR="00A2533C" w:rsidRPr="004A0C12">
              <w:rPr>
                <w:rFonts w:ascii="Garamond" w:hAnsi="Garamond" w:cs="Times New Roman"/>
              </w:rPr>
              <w:t xml:space="preserve"> </w:t>
            </w:r>
          </w:p>
          <w:p w14:paraId="2D5D14BB" w14:textId="77777777" w:rsidR="00A2533C" w:rsidRPr="004A0C12" w:rsidRDefault="00A2533C" w:rsidP="00B157E4">
            <w:pPr>
              <w:widowControl w:val="0"/>
              <w:tabs>
                <w:tab w:val="left" w:pos="900"/>
              </w:tabs>
              <w:spacing w:after="0" w:line="240" w:lineRule="auto"/>
              <w:ind w:left="1260" w:hanging="1170"/>
              <w:rPr>
                <w:rFonts w:ascii="Garamond" w:hAnsi="Garamond" w:cs="Times New Roman"/>
              </w:rPr>
            </w:pPr>
            <w:r w:rsidRPr="004A0C12">
              <w:rPr>
                <w:rFonts w:ascii="Garamond" w:hAnsi="Garamond" w:cs="Times New Roman"/>
              </w:rPr>
              <w:tab/>
            </w:r>
            <w:r w:rsidRPr="004A0C12">
              <w:rPr>
                <w:rFonts w:ascii="Garamond" w:hAnsi="Garamond" w:cs="Times New Roman"/>
              </w:rPr>
              <w:tab/>
              <w:t xml:space="preserve">(A) strategies to address the needs identified in the assessments; and </w:t>
            </w:r>
          </w:p>
          <w:p w14:paraId="13767F60" w14:textId="653703D8" w:rsidR="00B157E4" w:rsidRPr="004A0C12" w:rsidRDefault="00A2533C" w:rsidP="00B157E4">
            <w:pPr>
              <w:widowControl w:val="0"/>
              <w:tabs>
                <w:tab w:val="left" w:pos="900"/>
                <w:tab w:val="left" w:pos="1350"/>
              </w:tabs>
              <w:spacing w:after="0" w:line="240" w:lineRule="auto"/>
              <w:ind w:left="1260" w:hanging="1170"/>
              <w:rPr>
                <w:rFonts w:ascii="Garamond" w:hAnsi="Garamond" w:cs="Times New Roman"/>
              </w:rPr>
            </w:pPr>
            <w:r w:rsidRPr="004A0C12">
              <w:rPr>
                <w:rFonts w:ascii="Garamond" w:hAnsi="Garamond" w:cs="Times New Roman"/>
              </w:rPr>
              <w:tab/>
            </w:r>
            <w:r w:rsidRPr="004A0C12">
              <w:rPr>
                <w:rFonts w:ascii="Garamond" w:hAnsi="Garamond" w:cs="Times New Roman"/>
              </w:rPr>
              <w:tab/>
              <w:t xml:space="preserve">(B) strategies to achieve the goals and priorities identified by the State, to improve and expand vocational rehabilitation services for students with disabilities on a statewide basis; and </w:t>
            </w:r>
          </w:p>
          <w:p w14:paraId="7CB1355F" w14:textId="7DFC05BC" w:rsidR="00A2533C" w:rsidRPr="004A0C12" w:rsidRDefault="00B157E4" w:rsidP="00B157E4">
            <w:pPr>
              <w:widowControl w:val="0"/>
              <w:tabs>
                <w:tab w:val="left" w:pos="900"/>
              </w:tabs>
              <w:spacing w:after="0" w:line="240" w:lineRule="auto"/>
              <w:ind w:left="1260" w:hanging="1170"/>
              <w:rPr>
                <w:rFonts w:ascii="Garamond" w:hAnsi="Garamond" w:cs="Times New Roman"/>
              </w:rPr>
            </w:pPr>
            <w:r>
              <w:rPr>
                <w:rFonts w:ascii="Garamond" w:hAnsi="Garamond" w:cs="Times New Roman"/>
              </w:rPr>
              <w:tab/>
              <w:t xml:space="preserve">      (C)</w:t>
            </w:r>
            <w:r w:rsidR="00A2533C" w:rsidRPr="004A0C12">
              <w:rPr>
                <w:rFonts w:ascii="Garamond" w:hAnsi="Garamond" w:cs="Times New Roman"/>
              </w:rPr>
              <w:t xml:space="preserve"> has developed and will implement strategies to provide pre-employment transition services (sections 101(a)(15) and 101(a)(25)).</w:t>
            </w:r>
          </w:p>
          <w:p w14:paraId="339357AD" w14:textId="22B03350" w:rsidR="00A2533C" w:rsidRPr="004A0C12" w:rsidRDefault="00A2533C" w:rsidP="00A2533C">
            <w:pPr>
              <w:widowControl w:val="0"/>
              <w:tabs>
                <w:tab w:val="left" w:pos="1370"/>
              </w:tabs>
              <w:spacing w:after="0" w:line="240" w:lineRule="auto"/>
              <w:rPr>
                <w:rFonts w:ascii="Garamond" w:eastAsia="Times New Roman" w:hAnsi="Garamond" w:cs="Times New Roman"/>
              </w:rPr>
            </w:pPr>
          </w:p>
        </w:tc>
      </w:tr>
      <w:tr w:rsidR="001F7B29" w:rsidRPr="004A0C12" w14:paraId="7F5AC4D0" w14:textId="77777777" w:rsidTr="00A2533C">
        <w:trPr>
          <w:gridBefore w:val="1"/>
          <w:wBefore w:w="24" w:type="dxa"/>
          <w:trHeight w:hRule="exact" w:val="3260"/>
        </w:trPr>
        <w:tc>
          <w:tcPr>
            <w:tcW w:w="450" w:type="dxa"/>
            <w:gridSpan w:val="2"/>
            <w:tcBorders>
              <w:top w:val="single" w:sz="8" w:space="0" w:color="000000"/>
              <w:left w:val="single" w:sz="8" w:space="0" w:color="000000"/>
              <w:bottom w:val="single" w:sz="8" w:space="0" w:color="000000"/>
              <w:right w:val="single" w:sz="8" w:space="0" w:color="000000"/>
            </w:tcBorders>
            <w:hideMark/>
          </w:tcPr>
          <w:p w14:paraId="3A5837E3" w14:textId="77777777" w:rsidR="001F7B29" w:rsidRPr="004A0C12" w:rsidRDefault="001F7B29" w:rsidP="00E500D8">
            <w:pPr>
              <w:widowControl w:val="0"/>
              <w:spacing w:line="302" w:lineRule="exact"/>
              <w:rPr>
                <w:rFonts w:ascii="Garamond" w:eastAsia="Courier New" w:hAnsi="Garamond" w:cs="Times New Roman"/>
              </w:rPr>
            </w:pPr>
            <w:r w:rsidRPr="004A0C12">
              <w:rPr>
                <w:rFonts w:ascii="Garamond" w:eastAsia="Courier New" w:hAnsi="Garamond" w:cs="Times New Roman"/>
                <w:color w:val="1F1F1F"/>
                <w:w w:val="65"/>
              </w:rPr>
              <w:t>5.</w:t>
            </w:r>
          </w:p>
        </w:tc>
        <w:tc>
          <w:tcPr>
            <w:tcW w:w="8820" w:type="dxa"/>
            <w:tcBorders>
              <w:top w:val="single" w:sz="8" w:space="0" w:color="000000"/>
              <w:left w:val="single" w:sz="8" w:space="0" w:color="000000"/>
              <w:bottom w:val="single" w:sz="8" w:space="0" w:color="000000"/>
              <w:right w:val="single" w:sz="8" w:space="0" w:color="000000"/>
            </w:tcBorders>
            <w:hideMark/>
          </w:tcPr>
          <w:p w14:paraId="35EB4C98" w14:textId="77777777" w:rsidR="00A2533C" w:rsidRPr="004A0C12" w:rsidRDefault="00A2533C" w:rsidP="00A2533C">
            <w:pPr>
              <w:widowControl w:val="0"/>
              <w:tabs>
                <w:tab w:val="left" w:pos="439"/>
              </w:tabs>
              <w:spacing w:before="9" w:after="0" w:line="244" w:lineRule="auto"/>
              <w:ind w:right="132"/>
              <w:rPr>
                <w:rFonts w:ascii="Garamond" w:hAnsi="Garamond" w:cs="Times New Roman"/>
              </w:rPr>
            </w:pPr>
            <w:r w:rsidRPr="004A0C12">
              <w:rPr>
                <w:rFonts w:ascii="Garamond" w:hAnsi="Garamond" w:cs="Times New Roman"/>
              </w:rPr>
              <w:t xml:space="preserve">Program Administration for the Supported Employment Title VI Supplement: </w:t>
            </w:r>
          </w:p>
          <w:p w14:paraId="7DDEA6DD" w14:textId="77777777" w:rsidR="00A2533C" w:rsidRPr="004A0C12" w:rsidRDefault="00A2533C" w:rsidP="00A2533C">
            <w:pPr>
              <w:widowControl w:val="0"/>
              <w:tabs>
                <w:tab w:val="left" w:pos="439"/>
              </w:tabs>
              <w:spacing w:before="9" w:after="0" w:line="244" w:lineRule="auto"/>
              <w:ind w:right="132"/>
              <w:rPr>
                <w:rFonts w:ascii="Garamond" w:hAnsi="Garamond" w:cs="Times New Roman"/>
              </w:rPr>
            </w:pPr>
            <w:r w:rsidRPr="004A0C12">
              <w:rPr>
                <w:rFonts w:ascii="Garamond" w:hAnsi="Garamond" w:cs="Times New Roman"/>
              </w:rPr>
              <w:t xml:space="preserve">(a) The designated State unit assures that it will include in the VR services portion of the Unified or Combined State Plan all information required by section 606 of the Rehabilitation Act. </w:t>
            </w:r>
          </w:p>
          <w:p w14:paraId="6298BECF" w14:textId="77777777" w:rsidR="00A2533C" w:rsidRPr="004A0C12" w:rsidRDefault="00A2533C" w:rsidP="00A2533C">
            <w:pPr>
              <w:widowControl w:val="0"/>
              <w:tabs>
                <w:tab w:val="left" w:pos="439"/>
              </w:tabs>
              <w:spacing w:before="9" w:after="0" w:line="244" w:lineRule="auto"/>
              <w:ind w:right="132"/>
              <w:rPr>
                <w:rFonts w:ascii="Garamond" w:hAnsi="Garamond" w:cs="Times New Roman"/>
              </w:rPr>
            </w:pPr>
            <w:r w:rsidRPr="004A0C12">
              <w:rPr>
                <w:rFonts w:ascii="Garamond" w:hAnsi="Garamond" w:cs="Times New Roman"/>
              </w:rPr>
              <w:t xml:space="preserve">(b) The designated State agency assures that it will submit reports in such form and in accordance with such procedures as the Commissioner may require and collects the information required by section 101(a)(10) of the Rehabilitation Act separately for individuals receiving supported employment services under title I and individuals receiving supported employment services under title VI of the Rehabilitation Act. </w:t>
            </w:r>
          </w:p>
          <w:p w14:paraId="4B07A53C" w14:textId="18DCFB25" w:rsidR="001F7B29" w:rsidRPr="004A0C12" w:rsidRDefault="00A2533C" w:rsidP="00A2533C">
            <w:pPr>
              <w:widowControl w:val="0"/>
              <w:tabs>
                <w:tab w:val="left" w:pos="439"/>
              </w:tabs>
              <w:spacing w:before="9" w:after="0" w:line="244" w:lineRule="auto"/>
              <w:ind w:right="132"/>
              <w:rPr>
                <w:rFonts w:ascii="Garamond" w:eastAsia="Times New Roman" w:hAnsi="Garamond" w:cs="Times New Roman"/>
              </w:rPr>
            </w:pPr>
            <w:r w:rsidRPr="004A0C12">
              <w:rPr>
                <w:rFonts w:ascii="Garamond" w:hAnsi="Garamond" w:cs="Times New Roman"/>
              </w:rPr>
              <w:t>(c) The designated state unit will coordinate activities with any other State agency that is functioning as an employment network under the Ticket to Work and Self-Sufficiency program under Section 1148 of the Social Security Act</w:t>
            </w:r>
          </w:p>
        </w:tc>
      </w:tr>
      <w:tr w:rsidR="001F7B29" w:rsidRPr="004A0C12" w14:paraId="35F5B54A" w14:textId="77777777" w:rsidTr="00A2533C">
        <w:trPr>
          <w:gridBefore w:val="1"/>
          <w:wBefore w:w="24" w:type="dxa"/>
          <w:trHeight w:hRule="exact" w:val="4889"/>
        </w:trPr>
        <w:tc>
          <w:tcPr>
            <w:tcW w:w="450" w:type="dxa"/>
            <w:gridSpan w:val="2"/>
            <w:tcBorders>
              <w:top w:val="single" w:sz="8" w:space="0" w:color="000000"/>
              <w:left w:val="single" w:sz="8" w:space="0" w:color="000000"/>
              <w:bottom w:val="single" w:sz="8" w:space="0" w:color="000000"/>
              <w:right w:val="single" w:sz="8" w:space="0" w:color="000000"/>
            </w:tcBorders>
          </w:tcPr>
          <w:p w14:paraId="1113BF9C" w14:textId="77777777" w:rsidR="001F7B29" w:rsidRPr="004A0C12" w:rsidRDefault="001F7B29" w:rsidP="00E500D8">
            <w:pPr>
              <w:widowControl w:val="0"/>
              <w:rPr>
                <w:rFonts w:ascii="Garamond" w:hAnsi="Garamond" w:cs="Times New Roman"/>
              </w:rPr>
            </w:pPr>
            <w:r w:rsidRPr="004A0C12">
              <w:rPr>
                <w:rFonts w:ascii="Garamond" w:hAnsi="Garamond" w:cs="Times New Roman"/>
              </w:rPr>
              <w:lastRenderedPageBreak/>
              <w:t>6.</w:t>
            </w:r>
          </w:p>
        </w:tc>
        <w:tc>
          <w:tcPr>
            <w:tcW w:w="8820" w:type="dxa"/>
            <w:tcBorders>
              <w:top w:val="single" w:sz="8" w:space="0" w:color="000000"/>
              <w:left w:val="single" w:sz="8" w:space="0" w:color="000000"/>
              <w:bottom w:val="single" w:sz="8" w:space="0" w:color="000000"/>
              <w:right w:val="single" w:sz="8" w:space="0" w:color="000000"/>
            </w:tcBorders>
            <w:hideMark/>
          </w:tcPr>
          <w:p w14:paraId="3DAA7367" w14:textId="77777777" w:rsidR="001F7B29" w:rsidRPr="004A0C12" w:rsidRDefault="001F7B29" w:rsidP="00E500D8">
            <w:pPr>
              <w:widowControl w:val="0"/>
              <w:spacing w:line="273" w:lineRule="exact"/>
              <w:rPr>
                <w:rFonts w:ascii="Garamond" w:eastAsia="Times New Roman" w:hAnsi="Garamond" w:cs="Times New Roman"/>
              </w:rPr>
            </w:pPr>
            <w:r w:rsidRPr="004A0C12">
              <w:rPr>
                <w:rFonts w:ascii="Garamond" w:eastAsia="Times New Roman" w:hAnsi="Garamond" w:cs="Times New Roman"/>
                <w:b/>
                <w:color w:val="2F2F2F"/>
                <w:w w:val="105"/>
              </w:rPr>
              <w:t xml:space="preserve">Financial Administration: </w:t>
            </w:r>
            <w:r w:rsidRPr="004A0C12">
              <w:rPr>
                <w:rFonts w:ascii="Garamond" w:eastAsia="Times New Roman" w:hAnsi="Garamond" w:cs="Times New Roman"/>
                <w:color w:val="2F2F2F"/>
                <w:w w:val="105"/>
              </w:rPr>
              <w:t xml:space="preserve">The designated State agency assures that it will expend no more than 2.5 percent of the State’s allotment under title VI for administrative </w:t>
            </w:r>
            <w:r w:rsidRPr="004A0C12">
              <w:rPr>
                <w:rFonts w:ascii="Garamond" w:eastAsia="Times New Roman" w:hAnsi="Garamond" w:cs="Times New Roman"/>
                <w:color w:val="3F3F3F"/>
                <w:w w:val="105"/>
              </w:rPr>
              <w:t>costs</w:t>
            </w:r>
            <w:r w:rsidRPr="004A0C12">
              <w:rPr>
                <w:rFonts w:ascii="Garamond" w:eastAsia="Times New Roman" w:hAnsi="Garamond" w:cs="Times New Roman"/>
                <w:color w:val="3F3F3F"/>
                <w:spacing w:val="2"/>
                <w:w w:val="105"/>
              </w:rPr>
              <w:t xml:space="preserve"> </w:t>
            </w:r>
            <w:r w:rsidRPr="004A0C12">
              <w:rPr>
                <w:rFonts w:ascii="Garamond" w:eastAsia="Times New Roman" w:hAnsi="Garamond" w:cs="Times New Roman"/>
                <w:color w:val="3F3F3F"/>
                <w:w w:val="105"/>
              </w:rPr>
              <w:t>of</w:t>
            </w:r>
            <w:r w:rsidRPr="004A0C12">
              <w:rPr>
                <w:rFonts w:ascii="Garamond" w:eastAsia="Times New Roman" w:hAnsi="Garamond" w:cs="Times New Roman"/>
                <w:color w:val="3F3F3F"/>
                <w:spacing w:val="1"/>
                <w:w w:val="105"/>
              </w:rPr>
              <w:t xml:space="preserve"> </w:t>
            </w:r>
            <w:r w:rsidRPr="004A0C12">
              <w:rPr>
                <w:rFonts w:ascii="Garamond" w:eastAsia="Times New Roman" w:hAnsi="Garamond" w:cs="Times New Roman"/>
                <w:color w:val="2F2F2F"/>
                <w:w w:val="105"/>
              </w:rPr>
              <w:t>carrying</w:t>
            </w:r>
            <w:r w:rsidRPr="004A0C12">
              <w:rPr>
                <w:rFonts w:ascii="Garamond" w:eastAsia="Times New Roman" w:hAnsi="Garamond" w:cs="Times New Roman"/>
                <w:color w:val="2F2F2F"/>
                <w:spacing w:val="8"/>
                <w:w w:val="105"/>
              </w:rPr>
              <w:t xml:space="preserve"> </w:t>
            </w:r>
            <w:r w:rsidRPr="004A0C12">
              <w:rPr>
                <w:rFonts w:ascii="Garamond" w:eastAsia="Times New Roman" w:hAnsi="Garamond" w:cs="Times New Roman"/>
                <w:color w:val="2F2F2F"/>
                <w:w w:val="105"/>
              </w:rPr>
              <w:t>out this</w:t>
            </w:r>
            <w:r w:rsidRPr="004A0C12">
              <w:rPr>
                <w:rFonts w:ascii="Garamond" w:eastAsia="Times New Roman" w:hAnsi="Garamond" w:cs="Times New Roman"/>
                <w:color w:val="2F2F2F"/>
                <w:spacing w:val="-4"/>
                <w:w w:val="105"/>
              </w:rPr>
              <w:t xml:space="preserve"> </w:t>
            </w:r>
            <w:r w:rsidRPr="004A0C12">
              <w:rPr>
                <w:rFonts w:ascii="Garamond" w:eastAsia="Times New Roman" w:hAnsi="Garamond" w:cs="Times New Roman"/>
                <w:color w:val="1F1F1F"/>
                <w:w w:val="105"/>
              </w:rPr>
              <w:t>program;</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2F2F2F"/>
                <w:w w:val="105"/>
              </w:rPr>
              <w:t>and,</w:t>
            </w:r>
            <w:r w:rsidRPr="004A0C12">
              <w:rPr>
                <w:rFonts w:ascii="Garamond" w:eastAsia="Times New Roman" w:hAnsi="Garamond" w:cs="Times New Roman"/>
                <w:color w:val="2F2F2F"/>
                <w:spacing w:val="-12"/>
                <w:w w:val="105"/>
              </w:rPr>
              <w:t xml:space="preserve"> </w:t>
            </w:r>
            <w:r w:rsidRPr="004A0C12">
              <w:rPr>
                <w:rFonts w:ascii="Garamond" w:eastAsia="Times New Roman" w:hAnsi="Garamond" w:cs="Times New Roman"/>
                <w:color w:val="2F2F2F"/>
                <w:w w:val="105"/>
              </w:rPr>
              <w:t>the</w:t>
            </w:r>
            <w:r w:rsidRPr="004A0C12">
              <w:rPr>
                <w:rFonts w:ascii="Garamond" w:eastAsia="Times New Roman" w:hAnsi="Garamond" w:cs="Times New Roman"/>
                <w:color w:val="2F2F2F"/>
                <w:spacing w:val="-4"/>
                <w:w w:val="105"/>
              </w:rPr>
              <w:t xml:space="preserve"> </w:t>
            </w:r>
            <w:r w:rsidRPr="004A0C12">
              <w:rPr>
                <w:rFonts w:ascii="Garamond" w:eastAsia="Times New Roman" w:hAnsi="Garamond" w:cs="Times New Roman"/>
                <w:color w:val="2F2F2F"/>
                <w:w w:val="105"/>
              </w:rPr>
              <w:t>designated</w:t>
            </w:r>
            <w:r w:rsidRPr="004A0C12">
              <w:rPr>
                <w:rFonts w:ascii="Garamond" w:eastAsia="Times New Roman" w:hAnsi="Garamond" w:cs="Times New Roman"/>
                <w:color w:val="2F2F2F"/>
                <w:spacing w:val="18"/>
                <w:w w:val="105"/>
              </w:rPr>
              <w:t xml:space="preserve"> </w:t>
            </w:r>
            <w:r w:rsidRPr="004A0C12">
              <w:rPr>
                <w:rFonts w:ascii="Garamond" w:eastAsia="Times New Roman" w:hAnsi="Garamond" w:cs="Times New Roman"/>
                <w:color w:val="3F3F3F"/>
                <w:w w:val="105"/>
              </w:rPr>
              <w:t xml:space="preserve">State </w:t>
            </w:r>
            <w:r w:rsidRPr="004A0C12">
              <w:rPr>
                <w:rFonts w:ascii="Garamond" w:eastAsia="Times New Roman" w:hAnsi="Garamond" w:cs="Times New Roman"/>
                <w:color w:val="2F2F2F"/>
                <w:w w:val="105"/>
              </w:rPr>
              <w:t>agency</w:t>
            </w:r>
            <w:r w:rsidRPr="004A0C12">
              <w:rPr>
                <w:rFonts w:ascii="Garamond" w:eastAsia="Times New Roman" w:hAnsi="Garamond" w:cs="Times New Roman"/>
                <w:color w:val="2F2F2F"/>
                <w:spacing w:val="-8"/>
                <w:w w:val="105"/>
              </w:rPr>
              <w:t xml:space="preserve"> </w:t>
            </w:r>
            <w:r w:rsidRPr="004A0C12">
              <w:rPr>
                <w:rFonts w:ascii="Garamond" w:eastAsia="Times New Roman" w:hAnsi="Garamond" w:cs="Times New Roman"/>
                <w:color w:val="2F2F2F"/>
                <w:w w:val="105"/>
              </w:rPr>
              <w:t>or</w:t>
            </w:r>
            <w:r w:rsidRPr="004A0C12">
              <w:rPr>
                <w:rFonts w:ascii="Garamond" w:eastAsia="Times New Roman" w:hAnsi="Garamond" w:cs="Times New Roman"/>
                <w:color w:val="2F2F2F"/>
                <w:spacing w:val="-10"/>
                <w:w w:val="105"/>
              </w:rPr>
              <w:t xml:space="preserve"> </w:t>
            </w:r>
            <w:r w:rsidRPr="004A0C12">
              <w:rPr>
                <w:rFonts w:ascii="Garamond" w:eastAsia="Times New Roman" w:hAnsi="Garamond" w:cs="Times New Roman"/>
                <w:color w:val="2F2F2F"/>
                <w:w w:val="105"/>
              </w:rPr>
              <w:t>agencies</w:t>
            </w:r>
            <w:r w:rsidRPr="004A0C12">
              <w:rPr>
                <w:rFonts w:ascii="Garamond" w:eastAsia="Times New Roman" w:hAnsi="Garamond" w:cs="Times New Roman"/>
                <w:color w:val="2F2F2F"/>
                <w:spacing w:val="-12"/>
                <w:w w:val="105"/>
              </w:rPr>
              <w:t xml:space="preserve"> </w:t>
            </w:r>
            <w:r w:rsidRPr="004A0C12">
              <w:rPr>
                <w:rFonts w:ascii="Garamond" w:eastAsia="Times New Roman" w:hAnsi="Garamond" w:cs="Times New Roman"/>
                <w:color w:val="2F2F2F"/>
                <w:w w:val="105"/>
              </w:rPr>
              <w:t>will provide,</w:t>
            </w:r>
            <w:r w:rsidRPr="004A0C12">
              <w:rPr>
                <w:rFonts w:ascii="Garamond" w:eastAsia="Times New Roman" w:hAnsi="Garamond" w:cs="Times New Roman"/>
                <w:color w:val="2F2F2F"/>
                <w:spacing w:val="1"/>
                <w:w w:val="105"/>
              </w:rPr>
              <w:t xml:space="preserve"> </w:t>
            </w:r>
            <w:r w:rsidRPr="004A0C12">
              <w:rPr>
                <w:rFonts w:ascii="Garamond" w:eastAsia="Times New Roman" w:hAnsi="Garamond" w:cs="Times New Roman"/>
                <w:color w:val="1F1F1F"/>
                <w:w w:val="105"/>
              </w:rPr>
              <w:t>directly</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1F1F1F"/>
                <w:w w:val="105"/>
              </w:rPr>
              <w:t>or</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1F1F1F"/>
                <w:w w:val="105"/>
              </w:rPr>
              <w:t>indirectly</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2F2F2F"/>
                <w:w w:val="105"/>
              </w:rPr>
              <w:t>through</w:t>
            </w:r>
            <w:r w:rsidRPr="004A0C12">
              <w:rPr>
                <w:rFonts w:ascii="Garamond" w:eastAsia="Times New Roman" w:hAnsi="Garamond" w:cs="Times New Roman"/>
                <w:color w:val="2F2F2F"/>
                <w:spacing w:val="10"/>
                <w:w w:val="105"/>
              </w:rPr>
              <w:t xml:space="preserve"> </w:t>
            </w:r>
            <w:r w:rsidRPr="004A0C12">
              <w:rPr>
                <w:rFonts w:ascii="Garamond" w:eastAsia="Times New Roman" w:hAnsi="Garamond" w:cs="Times New Roman"/>
                <w:color w:val="3F3F3F"/>
                <w:w w:val="105"/>
              </w:rPr>
              <w:t>pu</w:t>
            </w:r>
            <w:r w:rsidRPr="004A0C12">
              <w:rPr>
                <w:rFonts w:ascii="Garamond" w:eastAsia="Times New Roman" w:hAnsi="Garamond" w:cs="Times New Roman"/>
                <w:color w:val="3F3F3F"/>
                <w:spacing w:val="19"/>
                <w:w w:val="105"/>
              </w:rPr>
              <w:t>b</w:t>
            </w:r>
            <w:r w:rsidRPr="004A0C12">
              <w:rPr>
                <w:rFonts w:ascii="Garamond" w:eastAsia="Times New Roman" w:hAnsi="Garamond" w:cs="Times New Roman"/>
                <w:color w:val="1F1F1F"/>
                <w:w w:val="105"/>
              </w:rPr>
              <w:t>l</w:t>
            </w:r>
            <w:r w:rsidRPr="004A0C12">
              <w:rPr>
                <w:rFonts w:ascii="Garamond" w:eastAsia="Times New Roman" w:hAnsi="Garamond" w:cs="Times New Roman"/>
                <w:color w:val="1F1F1F"/>
                <w:spacing w:val="10"/>
                <w:w w:val="105"/>
              </w:rPr>
              <w:t>i</w:t>
            </w:r>
            <w:r w:rsidRPr="004A0C12">
              <w:rPr>
                <w:rFonts w:ascii="Garamond" w:eastAsia="Times New Roman" w:hAnsi="Garamond" w:cs="Times New Roman"/>
                <w:color w:val="3F3F3F"/>
                <w:w w:val="105"/>
              </w:rPr>
              <w:t>c</w:t>
            </w:r>
            <w:r w:rsidRPr="004A0C12">
              <w:rPr>
                <w:rFonts w:ascii="Garamond" w:eastAsia="Times New Roman" w:hAnsi="Garamond" w:cs="Times New Roman"/>
                <w:color w:val="3F3F3F"/>
                <w:spacing w:val="-19"/>
                <w:w w:val="105"/>
              </w:rPr>
              <w:t xml:space="preserve"> </w:t>
            </w:r>
            <w:r w:rsidRPr="004A0C12">
              <w:rPr>
                <w:rFonts w:ascii="Garamond" w:eastAsia="Times New Roman" w:hAnsi="Garamond" w:cs="Times New Roman"/>
                <w:color w:val="3F3F3F"/>
                <w:w w:val="105"/>
              </w:rPr>
              <w:t>or</w:t>
            </w:r>
            <w:r w:rsidRPr="004A0C12">
              <w:rPr>
                <w:rFonts w:ascii="Garamond" w:eastAsia="Times New Roman" w:hAnsi="Garamond" w:cs="Times New Roman"/>
                <w:color w:val="3F3F3F"/>
                <w:spacing w:val="-10"/>
                <w:w w:val="105"/>
              </w:rPr>
              <w:t xml:space="preserve"> </w:t>
            </w:r>
            <w:r w:rsidRPr="004A0C12">
              <w:rPr>
                <w:rFonts w:ascii="Garamond" w:eastAsia="Times New Roman" w:hAnsi="Garamond" w:cs="Times New Roman"/>
                <w:color w:val="3F3F3F"/>
                <w:w w:val="105"/>
              </w:rPr>
              <w:t>p</w:t>
            </w:r>
            <w:r w:rsidRPr="004A0C12">
              <w:rPr>
                <w:rFonts w:ascii="Garamond" w:eastAsia="Times New Roman" w:hAnsi="Garamond" w:cs="Times New Roman"/>
                <w:color w:val="3F3F3F"/>
                <w:spacing w:val="15"/>
                <w:w w:val="105"/>
              </w:rPr>
              <w:t>r</w:t>
            </w:r>
            <w:r w:rsidRPr="004A0C12">
              <w:rPr>
                <w:rFonts w:ascii="Garamond" w:eastAsia="Times New Roman" w:hAnsi="Garamond" w:cs="Times New Roman"/>
                <w:color w:val="1F1F1F"/>
                <w:spacing w:val="-2"/>
                <w:w w:val="105"/>
              </w:rPr>
              <w:t>i</w:t>
            </w:r>
            <w:r w:rsidRPr="004A0C12">
              <w:rPr>
                <w:rFonts w:ascii="Garamond" w:eastAsia="Times New Roman" w:hAnsi="Garamond" w:cs="Times New Roman"/>
                <w:color w:val="3F3F3F"/>
                <w:w w:val="105"/>
              </w:rPr>
              <w:t xml:space="preserve">vate </w:t>
            </w:r>
            <w:r w:rsidRPr="004A0C12">
              <w:rPr>
                <w:rFonts w:ascii="Garamond" w:eastAsia="Times New Roman" w:hAnsi="Garamond" w:cs="Times New Roman"/>
                <w:color w:val="1F1F1F"/>
                <w:w w:val="105"/>
              </w:rPr>
              <w:t>entities,</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2F2F2F"/>
                <w:w w:val="105"/>
              </w:rPr>
              <w:t>non-Federal</w:t>
            </w:r>
            <w:r w:rsidRPr="004A0C12">
              <w:rPr>
                <w:rFonts w:ascii="Garamond" w:eastAsia="Times New Roman" w:hAnsi="Garamond" w:cs="Times New Roman"/>
                <w:color w:val="2F2F2F"/>
                <w:spacing w:val="35"/>
                <w:w w:val="105"/>
              </w:rPr>
              <w:t xml:space="preserve"> </w:t>
            </w:r>
            <w:r w:rsidRPr="004A0C12">
              <w:rPr>
                <w:rFonts w:ascii="Garamond" w:eastAsia="Times New Roman" w:hAnsi="Garamond" w:cs="Times New Roman"/>
                <w:color w:val="2F2F2F"/>
                <w:w w:val="105"/>
              </w:rPr>
              <w:t>contributions</w:t>
            </w:r>
            <w:r w:rsidRPr="004A0C12">
              <w:rPr>
                <w:rFonts w:ascii="Garamond" w:eastAsia="Times New Roman" w:hAnsi="Garamond" w:cs="Times New Roman"/>
                <w:color w:val="2F2F2F"/>
                <w:spacing w:val="29"/>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an</w:t>
            </w:r>
            <w:r w:rsidRPr="004A0C12">
              <w:rPr>
                <w:rFonts w:ascii="Garamond" w:eastAsia="Times New Roman" w:hAnsi="Garamond" w:cs="Times New Roman"/>
                <w:color w:val="1F1F1F"/>
                <w:spacing w:val="-9"/>
                <w:w w:val="105"/>
              </w:rPr>
              <w:t xml:space="preserve"> </w:t>
            </w:r>
            <w:r w:rsidRPr="004A0C12">
              <w:rPr>
                <w:rFonts w:ascii="Garamond" w:eastAsia="Times New Roman" w:hAnsi="Garamond" w:cs="Times New Roman"/>
                <w:color w:val="1F1F1F"/>
                <w:w w:val="105"/>
              </w:rPr>
              <w:t>amount</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that</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1F1F1F"/>
                <w:w w:val="105"/>
              </w:rPr>
              <w:t>is</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not</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spacing w:val="12"/>
                <w:w w:val="105"/>
              </w:rPr>
              <w:t>l</w:t>
            </w:r>
            <w:r w:rsidRPr="004A0C12">
              <w:rPr>
                <w:rFonts w:ascii="Garamond" w:eastAsia="Times New Roman" w:hAnsi="Garamond" w:cs="Times New Roman"/>
                <w:color w:val="3F3F3F"/>
                <w:w w:val="105"/>
              </w:rPr>
              <w:t>ess</w:t>
            </w:r>
            <w:r w:rsidRPr="004A0C12">
              <w:rPr>
                <w:rFonts w:ascii="Garamond" w:eastAsia="Times New Roman" w:hAnsi="Garamond" w:cs="Times New Roman"/>
                <w:color w:val="3F3F3F"/>
                <w:spacing w:val="-5"/>
                <w:w w:val="105"/>
              </w:rPr>
              <w:t xml:space="preserve"> </w:t>
            </w:r>
            <w:r w:rsidRPr="004A0C12">
              <w:rPr>
                <w:rFonts w:ascii="Garamond" w:eastAsia="Times New Roman" w:hAnsi="Garamond" w:cs="Times New Roman"/>
                <w:color w:val="3F3F3F"/>
                <w:w w:val="105"/>
              </w:rPr>
              <w:t>than</w:t>
            </w:r>
            <w:r w:rsidRPr="004A0C12">
              <w:rPr>
                <w:rFonts w:ascii="Garamond" w:eastAsia="Times New Roman" w:hAnsi="Garamond" w:cs="Times New Roman"/>
                <w:color w:val="3F3F3F"/>
                <w:spacing w:val="26"/>
                <w:w w:val="105"/>
              </w:rPr>
              <w:t xml:space="preserve"> </w:t>
            </w:r>
            <w:r w:rsidRPr="004A0C12">
              <w:rPr>
                <w:rFonts w:ascii="Garamond" w:eastAsia="Times New Roman" w:hAnsi="Garamond" w:cs="Times New Roman"/>
                <w:color w:val="3F3F3F"/>
                <w:w w:val="105"/>
              </w:rPr>
              <w:t>10</w:t>
            </w:r>
            <w:r w:rsidRPr="004A0C12">
              <w:rPr>
                <w:rFonts w:ascii="Garamond" w:eastAsia="Times New Roman" w:hAnsi="Garamond" w:cs="Times New Roman"/>
                <w:color w:val="3F3F3F"/>
                <w:spacing w:val="-20"/>
                <w:w w:val="105"/>
              </w:rPr>
              <w:t xml:space="preserve"> </w:t>
            </w:r>
            <w:r w:rsidRPr="004A0C12">
              <w:rPr>
                <w:rFonts w:ascii="Garamond" w:eastAsia="Times New Roman" w:hAnsi="Garamond" w:cs="Times New Roman"/>
                <w:color w:val="2F2F2F"/>
                <w:w w:val="105"/>
              </w:rPr>
              <w:t>percent</w:t>
            </w:r>
            <w:r w:rsidRPr="004A0C12">
              <w:rPr>
                <w:rFonts w:ascii="Garamond" w:eastAsia="Times New Roman" w:hAnsi="Garamond" w:cs="Times New Roman"/>
                <w:color w:val="2F2F2F"/>
                <w:w w:val="107"/>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2F2F2F"/>
                <w:w w:val="105"/>
              </w:rPr>
              <w:t>costs</w:t>
            </w:r>
            <w:r w:rsidRPr="004A0C12">
              <w:rPr>
                <w:rFonts w:ascii="Garamond" w:eastAsia="Times New Roman" w:hAnsi="Garamond" w:cs="Times New Roman"/>
                <w:color w:val="2F2F2F"/>
                <w:spacing w:val="2"/>
                <w:w w:val="105"/>
              </w:rPr>
              <w:t xml:space="preserve"> </w:t>
            </w:r>
            <w:r w:rsidRPr="004A0C12">
              <w:rPr>
                <w:rFonts w:ascii="Garamond" w:eastAsia="Times New Roman" w:hAnsi="Garamond" w:cs="Times New Roman"/>
                <w:color w:val="3F3F3F"/>
                <w:w w:val="105"/>
              </w:rPr>
              <w:t>of</w:t>
            </w:r>
            <w:r w:rsidRPr="004A0C12">
              <w:rPr>
                <w:rFonts w:ascii="Garamond" w:eastAsia="Times New Roman" w:hAnsi="Garamond" w:cs="Times New Roman"/>
                <w:color w:val="3F3F3F"/>
                <w:spacing w:val="-7"/>
                <w:w w:val="105"/>
              </w:rPr>
              <w:t xml:space="preserve"> </w:t>
            </w:r>
            <w:r w:rsidRPr="004A0C12">
              <w:rPr>
                <w:rFonts w:ascii="Garamond" w:eastAsia="Times New Roman" w:hAnsi="Garamond" w:cs="Times New Roman"/>
                <w:color w:val="3F3F3F"/>
                <w:w w:val="105"/>
              </w:rPr>
              <w:t>ca</w:t>
            </w:r>
            <w:r w:rsidRPr="004A0C12">
              <w:rPr>
                <w:rFonts w:ascii="Garamond" w:eastAsia="Times New Roman" w:hAnsi="Garamond" w:cs="Times New Roman"/>
                <w:color w:val="3F3F3F"/>
                <w:spacing w:val="6"/>
                <w:w w:val="105"/>
              </w:rPr>
              <w:t>r</w:t>
            </w:r>
            <w:r w:rsidRPr="004A0C12">
              <w:rPr>
                <w:rFonts w:ascii="Garamond" w:eastAsia="Times New Roman" w:hAnsi="Garamond" w:cs="Times New Roman"/>
                <w:color w:val="1F1F1F"/>
                <w:w w:val="105"/>
              </w:rPr>
              <w:t>ryi</w:t>
            </w:r>
            <w:r w:rsidRPr="004A0C12">
              <w:rPr>
                <w:rFonts w:ascii="Garamond" w:eastAsia="Times New Roman" w:hAnsi="Garamond" w:cs="Times New Roman"/>
                <w:color w:val="1F1F1F"/>
                <w:spacing w:val="14"/>
                <w:w w:val="105"/>
              </w:rPr>
              <w:t>n</w:t>
            </w:r>
            <w:r w:rsidRPr="004A0C12">
              <w:rPr>
                <w:rFonts w:ascii="Garamond" w:eastAsia="Times New Roman" w:hAnsi="Garamond" w:cs="Times New Roman"/>
                <w:color w:val="3F3F3F"/>
                <w:w w:val="105"/>
              </w:rPr>
              <w:t>g</w:t>
            </w:r>
            <w:r w:rsidRPr="004A0C12">
              <w:rPr>
                <w:rFonts w:ascii="Garamond" w:eastAsia="Times New Roman" w:hAnsi="Garamond" w:cs="Times New Roman"/>
                <w:color w:val="3F3F3F"/>
                <w:spacing w:val="-8"/>
                <w:w w:val="105"/>
              </w:rPr>
              <w:t xml:space="preserve"> </w:t>
            </w:r>
            <w:r w:rsidRPr="004A0C12">
              <w:rPr>
                <w:rFonts w:ascii="Garamond" w:eastAsia="Times New Roman" w:hAnsi="Garamond" w:cs="Times New Roman"/>
                <w:color w:val="1F1F1F"/>
                <w:w w:val="105"/>
              </w:rPr>
              <w:t>out</w:t>
            </w:r>
            <w:r w:rsidRPr="004A0C12">
              <w:rPr>
                <w:rFonts w:ascii="Garamond" w:eastAsia="Times New Roman" w:hAnsi="Garamond" w:cs="Times New Roman"/>
                <w:color w:val="1F1F1F"/>
                <w:spacing w:val="-18"/>
                <w:w w:val="105"/>
              </w:rPr>
              <w:t xml:space="preserve"> </w:t>
            </w:r>
            <w:r w:rsidRPr="004A0C12">
              <w:rPr>
                <w:rFonts w:ascii="Garamond" w:eastAsia="Times New Roman" w:hAnsi="Garamond" w:cs="Times New Roman"/>
                <w:color w:val="2F2F2F"/>
                <w:w w:val="105"/>
              </w:rPr>
              <w:t>supported</w:t>
            </w:r>
            <w:r w:rsidRPr="004A0C12">
              <w:rPr>
                <w:rFonts w:ascii="Garamond" w:eastAsia="Times New Roman" w:hAnsi="Garamond" w:cs="Times New Roman"/>
                <w:color w:val="2F2F2F"/>
                <w:spacing w:val="-2"/>
                <w:w w:val="105"/>
              </w:rPr>
              <w:t xml:space="preserve"> </w:t>
            </w:r>
            <w:r w:rsidRPr="004A0C12">
              <w:rPr>
                <w:rFonts w:ascii="Garamond" w:eastAsia="Times New Roman" w:hAnsi="Garamond" w:cs="Times New Roman"/>
                <w:color w:val="1F1F1F"/>
                <w:w w:val="105"/>
              </w:rPr>
              <w:t>employment</w:t>
            </w:r>
            <w:r w:rsidRPr="004A0C12">
              <w:rPr>
                <w:rFonts w:ascii="Garamond" w:eastAsia="Times New Roman" w:hAnsi="Garamond" w:cs="Times New Roman"/>
                <w:color w:val="1F1F1F"/>
                <w:spacing w:val="18"/>
                <w:w w:val="105"/>
              </w:rPr>
              <w:t xml:space="preserve"> </w:t>
            </w:r>
            <w:r w:rsidRPr="004A0C12">
              <w:rPr>
                <w:rFonts w:ascii="Garamond" w:eastAsia="Times New Roman" w:hAnsi="Garamond" w:cs="Times New Roman"/>
                <w:color w:val="2F2F2F"/>
                <w:w w:val="105"/>
              </w:rPr>
              <w:t>services</w:t>
            </w:r>
            <w:r w:rsidRPr="004A0C12">
              <w:rPr>
                <w:rFonts w:ascii="Garamond" w:eastAsia="Times New Roman" w:hAnsi="Garamond" w:cs="Times New Roman"/>
                <w:color w:val="2F2F2F"/>
                <w:spacing w:val="7"/>
                <w:w w:val="105"/>
              </w:rPr>
              <w:t xml:space="preserve"> </w:t>
            </w:r>
            <w:r w:rsidRPr="004A0C12">
              <w:rPr>
                <w:rFonts w:ascii="Garamond" w:eastAsia="Times New Roman" w:hAnsi="Garamond" w:cs="Times New Roman"/>
                <w:color w:val="2F2F2F"/>
                <w:w w:val="105"/>
              </w:rPr>
              <w:t>provided</w:t>
            </w:r>
            <w:r w:rsidRPr="004A0C12">
              <w:rPr>
                <w:rFonts w:ascii="Garamond" w:eastAsia="Times New Roman" w:hAnsi="Garamond" w:cs="Times New Roman"/>
                <w:color w:val="2F2F2F"/>
                <w:spacing w:val="16"/>
                <w:w w:val="105"/>
              </w:rPr>
              <w:t xml:space="preserve"> </w:t>
            </w:r>
            <w:r w:rsidRPr="004A0C12">
              <w:rPr>
                <w:rFonts w:ascii="Garamond" w:eastAsia="Times New Roman" w:hAnsi="Garamond" w:cs="Times New Roman"/>
                <w:color w:val="3F3F3F"/>
                <w:w w:val="105"/>
              </w:rPr>
              <w:t>to</w:t>
            </w:r>
            <w:r w:rsidRPr="004A0C12">
              <w:rPr>
                <w:rFonts w:ascii="Garamond" w:eastAsia="Times New Roman" w:hAnsi="Garamond" w:cs="Times New Roman"/>
                <w:color w:val="3F3F3F"/>
                <w:spacing w:val="-14"/>
                <w:w w:val="105"/>
              </w:rPr>
              <w:t xml:space="preserve"> </w:t>
            </w:r>
            <w:r w:rsidRPr="004A0C12">
              <w:rPr>
                <w:rFonts w:ascii="Garamond" w:eastAsia="Times New Roman" w:hAnsi="Garamond" w:cs="Times New Roman"/>
                <w:color w:val="2F2F2F"/>
                <w:w w:val="105"/>
              </w:rPr>
              <w:t>youth</w:t>
            </w:r>
            <w:r w:rsidRPr="004A0C12">
              <w:rPr>
                <w:rFonts w:ascii="Garamond" w:eastAsia="Times New Roman" w:hAnsi="Garamond" w:cs="Times New Roman"/>
                <w:color w:val="2F2F2F"/>
                <w:w w:val="103"/>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spacing w:val="9"/>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2F2F2F"/>
                <w:w w:val="105"/>
              </w:rPr>
              <w:t>most</w:t>
            </w:r>
            <w:r w:rsidRPr="004A0C12">
              <w:rPr>
                <w:rFonts w:ascii="Garamond" w:eastAsia="Times New Roman" w:hAnsi="Garamond" w:cs="Times New Roman"/>
                <w:color w:val="2F2F2F"/>
                <w:spacing w:val="-12"/>
                <w:w w:val="105"/>
              </w:rPr>
              <w:t xml:space="preserve"> </w:t>
            </w:r>
            <w:r w:rsidRPr="004A0C12">
              <w:rPr>
                <w:rFonts w:ascii="Garamond" w:eastAsia="Times New Roman" w:hAnsi="Garamond" w:cs="Times New Roman"/>
                <w:color w:val="3F3F3F"/>
                <w:spacing w:val="-5"/>
                <w:w w:val="105"/>
              </w:rPr>
              <w:t>s</w:t>
            </w:r>
            <w:r w:rsidRPr="004A0C12">
              <w:rPr>
                <w:rFonts w:ascii="Garamond" w:eastAsia="Times New Roman" w:hAnsi="Garamond" w:cs="Times New Roman"/>
                <w:color w:val="1F1F1F"/>
                <w:w w:val="105"/>
              </w:rPr>
              <w:t>ignif</w:t>
            </w:r>
            <w:r w:rsidRPr="004A0C12">
              <w:rPr>
                <w:rFonts w:ascii="Garamond" w:eastAsia="Times New Roman" w:hAnsi="Garamond" w:cs="Times New Roman"/>
                <w:color w:val="1F1F1F"/>
                <w:spacing w:val="15"/>
                <w:w w:val="105"/>
              </w:rPr>
              <w:t>i</w:t>
            </w:r>
            <w:r w:rsidRPr="004A0C12">
              <w:rPr>
                <w:rFonts w:ascii="Garamond" w:eastAsia="Times New Roman" w:hAnsi="Garamond" w:cs="Times New Roman"/>
                <w:color w:val="3F3F3F"/>
                <w:w w:val="105"/>
              </w:rPr>
              <w:t>c</w:t>
            </w:r>
            <w:r w:rsidRPr="004A0C12">
              <w:rPr>
                <w:rFonts w:ascii="Garamond" w:eastAsia="Times New Roman" w:hAnsi="Garamond" w:cs="Times New Roman"/>
                <w:color w:val="3F3F3F"/>
                <w:spacing w:val="13"/>
                <w:w w:val="105"/>
              </w:rPr>
              <w:t>a</w:t>
            </w:r>
            <w:r w:rsidRPr="004A0C12">
              <w:rPr>
                <w:rFonts w:ascii="Garamond" w:eastAsia="Times New Roman" w:hAnsi="Garamond" w:cs="Times New Roman"/>
                <w:color w:val="1F1F1F"/>
                <w:w w:val="105"/>
              </w:rPr>
              <w:t>nt</w:t>
            </w:r>
            <w:r w:rsidRPr="004A0C12">
              <w:rPr>
                <w:rFonts w:ascii="Garamond" w:eastAsia="Times New Roman" w:hAnsi="Garamond" w:cs="Times New Roman"/>
                <w:color w:val="1F1F1F"/>
                <w:spacing w:val="-10"/>
                <w:w w:val="105"/>
              </w:rPr>
              <w:t xml:space="preserve"> </w:t>
            </w:r>
            <w:r w:rsidRPr="004A0C12">
              <w:rPr>
                <w:rFonts w:ascii="Garamond" w:eastAsia="Times New Roman" w:hAnsi="Garamond" w:cs="Times New Roman"/>
                <w:color w:val="1F1F1F"/>
                <w:w w:val="105"/>
              </w:rPr>
              <w:t>disabilities</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funds</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reser</w:t>
            </w:r>
            <w:r w:rsidRPr="004A0C12">
              <w:rPr>
                <w:rFonts w:ascii="Garamond" w:eastAsia="Times New Roman" w:hAnsi="Garamond" w:cs="Times New Roman"/>
                <w:color w:val="1F1F1F"/>
                <w:spacing w:val="15"/>
                <w:w w:val="105"/>
              </w:rPr>
              <w:t>v</w:t>
            </w:r>
            <w:r w:rsidRPr="004A0C12">
              <w:rPr>
                <w:rFonts w:ascii="Garamond" w:eastAsia="Times New Roman" w:hAnsi="Garamond" w:cs="Times New Roman"/>
                <w:color w:val="3F3F3F"/>
                <w:spacing w:val="4"/>
                <w:w w:val="105"/>
              </w:rPr>
              <w:t>e</w:t>
            </w:r>
            <w:r w:rsidRPr="004A0C12">
              <w:rPr>
                <w:rFonts w:ascii="Garamond" w:eastAsia="Times New Roman" w:hAnsi="Garamond" w:cs="Times New Roman"/>
                <w:color w:val="1F1F1F"/>
                <w:w w:val="105"/>
              </w:rPr>
              <w:t>d</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3F3F3F"/>
                <w:w w:val="105"/>
              </w:rPr>
              <w:t>for</w:t>
            </w:r>
            <w:r w:rsidRPr="004A0C12">
              <w:rPr>
                <w:rFonts w:ascii="Garamond" w:eastAsia="Times New Roman" w:hAnsi="Garamond" w:cs="Times New Roman"/>
                <w:color w:val="3F3F3F"/>
                <w:spacing w:val="-5"/>
                <w:w w:val="105"/>
              </w:rPr>
              <w:t xml:space="preserve"> </w:t>
            </w:r>
            <w:r w:rsidRPr="004A0C12">
              <w:rPr>
                <w:rFonts w:ascii="Garamond" w:eastAsia="Times New Roman" w:hAnsi="Garamond" w:cs="Times New Roman"/>
                <w:color w:val="3F3F3F"/>
                <w:w w:val="105"/>
              </w:rPr>
              <w:t>su</w:t>
            </w:r>
            <w:r w:rsidRPr="004A0C12">
              <w:rPr>
                <w:rFonts w:ascii="Garamond" w:eastAsia="Times New Roman" w:hAnsi="Garamond" w:cs="Times New Roman"/>
                <w:color w:val="3F3F3F"/>
                <w:spacing w:val="-7"/>
                <w:w w:val="105"/>
              </w:rPr>
              <w:t>c</w:t>
            </w:r>
            <w:r w:rsidRPr="004A0C12">
              <w:rPr>
                <w:rFonts w:ascii="Garamond" w:eastAsia="Times New Roman" w:hAnsi="Garamond" w:cs="Times New Roman"/>
                <w:color w:val="1F1F1F"/>
                <w:w w:val="105"/>
              </w:rPr>
              <w:t>h</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2F2F2F"/>
                <w:w w:val="105"/>
              </w:rPr>
              <w:t xml:space="preserve">purpose </w:t>
            </w:r>
            <w:r w:rsidRPr="004A0C12">
              <w:rPr>
                <w:rFonts w:ascii="Garamond" w:eastAsia="Times New Roman" w:hAnsi="Garamond" w:cs="Times New Roman"/>
                <w:color w:val="1F1F1F"/>
                <w:w w:val="105"/>
              </w:rPr>
              <w:t>under</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2F2F2F"/>
                <w:w w:val="105"/>
              </w:rPr>
              <w:t>section</w:t>
            </w:r>
            <w:r w:rsidRPr="004A0C12">
              <w:rPr>
                <w:rFonts w:ascii="Garamond" w:eastAsia="Times New Roman" w:hAnsi="Garamond" w:cs="Times New Roman"/>
                <w:color w:val="2F2F2F"/>
                <w:spacing w:val="-7"/>
                <w:w w:val="105"/>
              </w:rPr>
              <w:t xml:space="preserve"> </w:t>
            </w:r>
            <w:r w:rsidRPr="004A0C12">
              <w:rPr>
                <w:rFonts w:ascii="Garamond" w:eastAsia="Times New Roman" w:hAnsi="Garamond" w:cs="Times New Roman"/>
                <w:color w:val="3F3F3F"/>
                <w:w w:val="105"/>
              </w:rPr>
              <w:t>603(</w:t>
            </w:r>
            <w:r w:rsidRPr="004A0C12">
              <w:rPr>
                <w:rFonts w:ascii="Garamond" w:eastAsia="Times New Roman" w:hAnsi="Garamond" w:cs="Times New Roman"/>
                <w:color w:val="3F3F3F"/>
                <w:spacing w:val="8"/>
                <w:w w:val="105"/>
              </w:rPr>
              <w:t>d</w:t>
            </w:r>
            <w:r w:rsidRPr="004A0C12">
              <w:rPr>
                <w:rFonts w:ascii="Garamond" w:eastAsia="Times New Roman" w:hAnsi="Garamond" w:cs="Times New Roman"/>
                <w:color w:val="1F1F1F"/>
                <w:w w:val="105"/>
              </w:rPr>
              <w:t>)</w:t>
            </w:r>
            <w:r w:rsidRPr="004A0C12">
              <w:rPr>
                <w:rFonts w:ascii="Garamond" w:eastAsia="Times New Roman" w:hAnsi="Garamond" w:cs="Times New Roman"/>
                <w:color w:val="1F1F1F"/>
                <w:spacing w:val="-9"/>
                <w:w w:val="105"/>
              </w:rPr>
              <w:t xml:space="preserve"> </w:t>
            </w:r>
            <w:r w:rsidRPr="004A0C12">
              <w:rPr>
                <w:rFonts w:ascii="Garamond" w:eastAsia="Times New Roman" w:hAnsi="Garamond" w:cs="Times New Roman"/>
                <w:color w:val="2F2F2F"/>
                <w:w w:val="105"/>
              </w:rPr>
              <w:t>of</w:t>
            </w:r>
            <w:r w:rsidRPr="004A0C12">
              <w:rPr>
                <w:rFonts w:ascii="Garamond" w:eastAsia="Times New Roman" w:hAnsi="Garamond" w:cs="Times New Roman"/>
                <w:color w:val="2F2F2F"/>
                <w:spacing w:val="-4"/>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Rehabilitation</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1F1F1F"/>
                <w:w w:val="105"/>
              </w:rPr>
              <w:t>Act,</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17"/>
                <w:w w:val="105"/>
              </w:rPr>
              <w:t xml:space="preserve"> </w:t>
            </w:r>
            <w:r w:rsidRPr="004A0C12">
              <w:rPr>
                <w:rFonts w:ascii="Garamond" w:eastAsia="Times New Roman" w:hAnsi="Garamond" w:cs="Times New Roman"/>
                <w:color w:val="1F1F1F"/>
                <w:w w:val="105"/>
              </w:rPr>
              <w:t>accordan</w:t>
            </w:r>
            <w:r w:rsidRPr="004A0C12">
              <w:rPr>
                <w:rFonts w:ascii="Garamond" w:eastAsia="Times New Roman" w:hAnsi="Garamond" w:cs="Times New Roman"/>
                <w:color w:val="1F1F1F"/>
                <w:spacing w:val="16"/>
                <w:w w:val="105"/>
              </w:rPr>
              <w:t>c</w:t>
            </w:r>
            <w:r w:rsidRPr="004A0C12">
              <w:rPr>
                <w:rFonts w:ascii="Garamond" w:eastAsia="Times New Roman" w:hAnsi="Garamond" w:cs="Times New Roman"/>
                <w:color w:val="3F3F3F"/>
                <w:w w:val="105"/>
              </w:rPr>
              <w:t>e</w:t>
            </w:r>
            <w:r w:rsidRPr="004A0C12">
              <w:rPr>
                <w:rFonts w:ascii="Garamond" w:eastAsia="Times New Roman" w:hAnsi="Garamond" w:cs="Times New Roman"/>
                <w:color w:val="3F3F3F"/>
                <w:spacing w:val="-18"/>
                <w:w w:val="105"/>
              </w:rPr>
              <w:t xml:space="preserve"> </w:t>
            </w:r>
            <w:r w:rsidRPr="004A0C12">
              <w:rPr>
                <w:rFonts w:ascii="Garamond" w:eastAsia="Times New Roman" w:hAnsi="Garamond" w:cs="Times New Roman"/>
                <w:color w:val="2F2F2F"/>
                <w:w w:val="105"/>
              </w:rPr>
              <w:t>with</w:t>
            </w:r>
            <w:r w:rsidRPr="004A0C12">
              <w:rPr>
                <w:rFonts w:ascii="Garamond" w:eastAsia="Times New Roman" w:hAnsi="Garamond" w:cs="Times New Roman"/>
                <w:color w:val="2F2F2F"/>
                <w:spacing w:val="-1"/>
                <w:w w:val="105"/>
              </w:rPr>
              <w:t xml:space="preserve"> </w:t>
            </w:r>
            <w:r w:rsidRPr="004A0C12">
              <w:rPr>
                <w:rFonts w:ascii="Garamond" w:eastAsia="Times New Roman" w:hAnsi="Garamond" w:cs="Times New Roman"/>
                <w:color w:val="3F3F3F"/>
                <w:w w:val="105"/>
              </w:rPr>
              <w:t>se</w:t>
            </w:r>
            <w:r w:rsidRPr="004A0C12">
              <w:rPr>
                <w:rFonts w:ascii="Garamond" w:eastAsia="Times New Roman" w:hAnsi="Garamond" w:cs="Times New Roman"/>
                <w:color w:val="3F3F3F"/>
                <w:spacing w:val="-5"/>
                <w:w w:val="105"/>
              </w:rPr>
              <w:t>c</w:t>
            </w:r>
            <w:r w:rsidRPr="004A0C12">
              <w:rPr>
                <w:rFonts w:ascii="Garamond" w:eastAsia="Times New Roman" w:hAnsi="Garamond" w:cs="Times New Roman"/>
                <w:color w:val="1F1F1F"/>
                <w:w w:val="105"/>
              </w:rPr>
              <w:t>tion</w:t>
            </w:r>
            <w:r w:rsidRPr="004A0C12">
              <w:rPr>
                <w:rFonts w:ascii="Garamond" w:eastAsia="Times New Roman" w:hAnsi="Garamond" w:cs="Times New Roman"/>
                <w:color w:val="1F1F1F"/>
                <w:w w:val="104"/>
              </w:rPr>
              <w:t xml:space="preserve"> </w:t>
            </w:r>
            <w:r w:rsidRPr="004A0C12">
              <w:rPr>
                <w:rFonts w:ascii="Garamond" w:eastAsia="Times New Roman" w:hAnsi="Garamond" w:cs="Times New Roman"/>
                <w:color w:val="1F1F1F"/>
                <w:w w:val="105"/>
              </w:rPr>
              <w:t>606(b)(7)(G)</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3F3F3F"/>
                <w:w w:val="105"/>
              </w:rPr>
              <w:t>and</w:t>
            </w:r>
            <w:r w:rsidRPr="004A0C12">
              <w:rPr>
                <w:rFonts w:ascii="Garamond" w:eastAsia="Times New Roman" w:hAnsi="Garamond" w:cs="Times New Roman"/>
                <w:color w:val="3F3F3F"/>
                <w:spacing w:val="-1"/>
                <w:w w:val="105"/>
              </w:rPr>
              <w:t xml:space="preserve"> </w:t>
            </w:r>
            <w:r w:rsidRPr="004A0C12">
              <w:rPr>
                <w:rFonts w:ascii="Garamond" w:eastAsia="Times New Roman" w:hAnsi="Garamond" w:cs="Times New Roman"/>
                <w:color w:val="2F2F2F"/>
                <w:w w:val="105"/>
              </w:rPr>
              <w:t>(H)</w:t>
            </w:r>
            <w:r w:rsidRPr="004A0C12">
              <w:rPr>
                <w:rFonts w:ascii="Garamond" w:eastAsia="Times New Roman" w:hAnsi="Garamond" w:cs="Times New Roman"/>
                <w:color w:val="2F2F2F"/>
                <w:spacing w:val="-18"/>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13"/>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10"/>
                <w:w w:val="105"/>
              </w:rPr>
              <w:t xml:space="preserve"> </w:t>
            </w:r>
            <w:r w:rsidRPr="004A0C12">
              <w:rPr>
                <w:rFonts w:ascii="Garamond" w:eastAsia="Times New Roman" w:hAnsi="Garamond" w:cs="Times New Roman"/>
                <w:color w:val="1F1F1F"/>
                <w:w w:val="105"/>
              </w:rPr>
              <w:t>Rehabilitation</w:t>
            </w:r>
            <w:r w:rsidRPr="004A0C12">
              <w:rPr>
                <w:rFonts w:ascii="Garamond" w:eastAsia="Times New Roman" w:hAnsi="Garamond" w:cs="Times New Roman"/>
                <w:color w:val="1F1F1F"/>
                <w:spacing w:val="49"/>
                <w:w w:val="105"/>
              </w:rPr>
              <w:t xml:space="preserve"> </w:t>
            </w:r>
            <w:r w:rsidRPr="004A0C12">
              <w:rPr>
                <w:rFonts w:ascii="Garamond" w:eastAsia="Times New Roman" w:hAnsi="Garamond" w:cs="Times New Roman"/>
                <w:color w:val="1F1F1F"/>
                <w:w w:val="105"/>
              </w:rPr>
              <w:t>Act.</w:t>
            </w:r>
          </w:p>
          <w:p w14:paraId="4F1A1072" w14:textId="77777777" w:rsidR="001F7B29" w:rsidRPr="004A0C12" w:rsidRDefault="001F7B29" w:rsidP="00E500D8">
            <w:pPr>
              <w:widowControl w:val="0"/>
              <w:spacing w:before="7" w:line="242" w:lineRule="auto"/>
              <w:ind w:right="187"/>
              <w:rPr>
                <w:rFonts w:ascii="Garamond" w:eastAsia="Times New Roman" w:hAnsi="Garamond" w:cs="Times New Roman"/>
              </w:rPr>
            </w:pPr>
            <w:r w:rsidRPr="004A0C12">
              <w:rPr>
                <w:rFonts w:ascii="Garamond" w:eastAsia="Times New Roman" w:hAnsi="Garamond" w:cs="Times New Roman"/>
                <w:color w:val="1F1F1F"/>
                <w:w w:val="105"/>
              </w:rPr>
              <w:t>(b)</w:t>
            </w:r>
            <w:r w:rsidRPr="004A0C12">
              <w:rPr>
                <w:rFonts w:ascii="Garamond" w:eastAsia="Times New Roman" w:hAnsi="Garamond" w:cs="Times New Roman"/>
                <w:color w:val="1F1F1F"/>
                <w:spacing w:val="-21"/>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12"/>
                <w:w w:val="105"/>
              </w:rPr>
              <w:t xml:space="preserve"> </w:t>
            </w:r>
            <w:r w:rsidRPr="004A0C12">
              <w:rPr>
                <w:rFonts w:ascii="Garamond" w:eastAsia="Times New Roman" w:hAnsi="Garamond" w:cs="Times New Roman"/>
                <w:color w:val="1F1F1F"/>
                <w:w w:val="105"/>
              </w:rPr>
              <w:t>designa</w:t>
            </w:r>
            <w:r w:rsidRPr="004A0C12">
              <w:rPr>
                <w:rFonts w:ascii="Garamond" w:eastAsia="Times New Roman" w:hAnsi="Garamond" w:cs="Times New Roman"/>
                <w:color w:val="1F1F1F"/>
                <w:spacing w:val="17"/>
                <w:w w:val="105"/>
              </w:rPr>
              <w:t>t</w:t>
            </w:r>
            <w:r w:rsidRPr="004A0C12">
              <w:rPr>
                <w:rFonts w:ascii="Garamond" w:eastAsia="Times New Roman" w:hAnsi="Garamond" w:cs="Times New Roman"/>
                <w:color w:val="3F3F3F"/>
                <w:w w:val="105"/>
              </w:rPr>
              <w:t>ed</w:t>
            </w:r>
            <w:r w:rsidRPr="004A0C12">
              <w:rPr>
                <w:rFonts w:ascii="Garamond" w:eastAsia="Times New Roman" w:hAnsi="Garamond" w:cs="Times New Roman"/>
                <w:color w:val="3F3F3F"/>
                <w:spacing w:val="2"/>
                <w:w w:val="105"/>
              </w:rPr>
              <w:t xml:space="preserve"> </w:t>
            </w:r>
            <w:r w:rsidRPr="004A0C12">
              <w:rPr>
                <w:rFonts w:ascii="Garamond" w:eastAsia="Times New Roman" w:hAnsi="Garamond" w:cs="Times New Roman"/>
                <w:color w:val="3F3F3F"/>
                <w:w w:val="105"/>
              </w:rPr>
              <w:t>State</w:t>
            </w:r>
            <w:r w:rsidRPr="004A0C12">
              <w:rPr>
                <w:rFonts w:ascii="Garamond" w:eastAsia="Times New Roman" w:hAnsi="Garamond" w:cs="Times New Roman"/>
                <w:color w:val="3F3F3F"/>
                <w:spacing w:val="-6"/>
                <w:w w:val="105"/>
              </w:rPr>
              <w:t xml:space="preserve"> </w:t>
            </w:r>
            <w:r w:rsidRPr="004A0C12">
              <w:rPr>
                <w:rFonts w:ascii="Garamond" w:eastAsia="Times New Roman" w:hAnsi="Garamond" w:cs="Times New Roman"/>
                <w:color w:val="3F3F3F"/>
                <w:w w:val="105"/>
              </w:rPr>
              <w:t>ag</w:t>
            </w:r>
            <w:r w:rsidRPr="004A0C12">
              <w:rPr>
                <w:rFonts w:ascii="Garamond" w:eastAsia="Times New Roman" w:hAnsi="Garamond" w:cs="Times New Roman"/>
                <w:color w:val="1F1F1F"/>
                <w:w w:val="105"/>
              </w:rPr>
              <w:t>ency</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assures</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1F1F1F"/>
                <w:w w:val="105"/>
              </w:rPr>
              <w:t>that</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it</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1F1F1F"/>
                <w:w w:val="105"/>
              </w:rPr>
              <w:t>will</w:t>
            </w:r>
            <w:r w:rsidRPr="004A0C12">
              <w:rPr>
                <w:rFonts w:ascii="Garamond" w:eastAsia="Times New Roman" w:hAnsi="Garamond" w:cs="Times New Roman"/>
                <w:color w:val="1F1F1F"/>
                <w:spacing w:val="62"/>
                <w:w w:val="105"/>
              </w:rPr>
              <w:t xml:space="preserve"> </w:t>
            </w:r>
            <w:r w:rsidRPr="004A0C12">
              <w:rPr>
                <w:rFonts w:ascii="Garamond" w:eastAsia="Times New Roman" w:hAnsi="Garamond" w:cs="Times New Roman"/>
                <w:color w:val="1F1F1F"/>
                <w:w w:val="105"/>
              </w:rPr>
              <w:t>use</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funds</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spacing w:val="9"/>
                <w:w w:val="105"/>
              </w:rPr>
              <w:t>m</w:t>
            </w:r>
            <w:r w:rsidRPr="004A0C12">
              <w:rPr>
                <w:rFonts w:ascii="Garamond" w:eastAsia="Times New Roman" w:hAnsi="Garamond" w:cs="Times New Roman"/>
                <w:color w:val="3F3F3F"/>
                <w:w w:val="105"/>
              </w:rPr>
              <w:t>ade</w:t>
            </w:r>
            <w:r w:rsidRPr="004A0C12">
              <w:rPr>
                <w:rFonts w:ascii="Garamond" w:eastAsia="Times New Roman" w:hAnsi="Garamond" w:cs="Times New Roman"/>
                <w:color w:val="3F3F3F"/>
                <w:spacing w:val="-14"/>
                <w:w w:val="105"/>
              </w:rPr>
              <w:t xml:space="preserve"> </w:t>
            </w:r>
            <w:r w:rsidRPr="004A0C12">
              <w:rPr>
                <w:rFonts w:ascii="Garamond" w:eastAsia="Times New Roman" w:hAnsi="Garamond" w:cs="Times New Roman"/>
                <w:color w:val="3F3F3F"/>
                <w:w w:val="105"/>
              </w:rPr>
              <w:t>avail</w:t>
            </w:r>
            <w:r w:rsidRPr="004A0C12">
              <w:rPr>
                <w:rFonts w:ascii="Garamond" w:eastAsia="Times New Roman" w:hAnsi="Garamond" w:cs="Times New Roman"/>
                <w:color w:val="3F3F3F"/>
                <w:spacing w:val="19"/>
                <w:w w:val="105"/>
              </w:rPr>
              <w:t>a</w:t>
            </w:r>
            <w:r w:rsidRPr="004A0C12">
              <w:rPr>
                <w:rFonts w:ascii="Garamond" w:eastAsia="Times New Roman" w:hAnsi="Garamond" w:cs="Times New Roman"/>
                <w:color w:val="1F1F1F"/>
                <w:w w:val="105"/>
              </w:rPr>
              <w:t>ble</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1F1F1F"/>
                <w:w w:val="105"/>
              </w:rPr>
              <w:t>under</w:t>
            </w:r>
            <w:r w:rsidRPr="004A0C12">
              <w:rPr>
                <w:rFonts w:ascii="Garamond" w:eastAsia="Times New Roman" w:hAnsi="Garamond" w:cs="Times New Roman"/>
                <w:color w:val="1F1F1F"/>
                <w:w w:val="107"/>
              </w:rPr>
              <w:t xml:space="preserve"> </w:t>
            </w:r>
            <w:r w:rsidRPr="004A0C12">
              <w:rPr>
                <w:rFonts w:ascii="Garamond" w:eastAsia="Times New Roman" w:hAnsi="Garamond" w:cs="Times New Roman"/>
                <w:color w:val="1F1F1F"/>
                <w:w w:val="105"/>
              </w:rPr>
              <w:t>title</w:t>
            </w:r>
            <w:r w:rsidRPr="004A0C12">
              <w:rPr>
                <w:rFonts w:ascii="Garamond" w:eastAsia="Times New Roman" w:hAnsi="Garamond" w:cs="Times New Roman"/>
                <w:color w:val="1F1F1F"/>
                <w:spacing w:val="-23"/>
                <w:w w:val="105"/>
              </w:rPr>
              <w:t xml:space="preserve"> </w:t>
            </w:r>
            <w:r w:rsidRPr="004A0C12">
              <w:rPr>
                <w:rFonts w:ascii="Garamond" w:eastAsia="Times New Roman" w:hAnsi="Garamond" w:cs="Times New Roman"/>
                <w:color w:val="1F1F1F"/>
                <w:w w:val="105"/>
              </w:rPr>
              <w:t>VI</w:t>
            </w:r>
            <w:r w:rsidRPr="004A0C12">
              <w:rPr>
                <w:rFonts w:ascii="Garamond" w:eastAsia="Times New Roman" w:hAnsi="Garamond" w:cs="Times New Roman"/>
                <w:color w:val="1F1F1F"/>
                <w:spacing w:val="44"/>
                <w:w w:val="105"/>
              </w:rPr>
              <w:t xml:space="preserve"> </w:t>
            </w:r>
            <w:r w:rsidRPr="004A0C12">
              <w:rPr>
                <w:rFonts w:ascii="Garamond" w:eastAsia="Times New Roman" w:hAnsi="Garamond" w:cs="Times New Roman"/>
                <w:color w:val="1F1F1F"/>
                <w:w w:val="105"/>
              </w:rPr>
              <w:t>of t</w:t>
            </w:r>
            <w:r w:rsidRPr="004A0C12">
              <w:rPr>
                <w:rFonts w:ascii="Garamond" w:eastAsia="Times New Roman" w:hAnsi="Garamond" w:cs="Times New Roman"/>
                <w:color w:val="1F1F1F"/>
                <w:spacing w:val="19"/>
                <w:w w:val="105"/>
              </w:rPr>
              <w:t>h</w:t>
            </w:r>
            <w:r w:rsidRPr="004A0C12">
              <w:rPr>
                <w:rFonts w:ascii="Garamond" w:eastAsia="Times New Roman" w:hAnsi="Garamond" w:cs="Times New Roman"/>
                <w:color w:val="505050"/>
                <w:w w:val="105"/>
              </w:rPr>
              <w:t>e</w:t>
            </w:r>
            <w:r w:rsidRPr="004A0C12">
              <w:rPr>
                <w:rFonts w:ascii="Garamond" w:eastAsia="Times New Roman" w:hAnsi="Garamond" w:cs="Times New Roman"/>
                <w:color w:val="505050"/>
                <w:spacing w:val="-23"/>
                <w:w w:val="105"/>
              </w:rPr>
              <w:t xml:space="preserve"> </w:t>
            </w:r>
            <w:r w:rsidRPr="004A0C12">
              <w:rPr>
                <w:rFonts w:ascii="Garamond" w:eastAsia="Times New Roman" w:hAnsi="Garamond" w:cs="Times New Roman"/>
                <w:color w:val="3F3F3F"/>
                <w:w w:val="105"/>
              </w:rPr>
              <w:t>R</w:t>
            </w:r>
            <w:r w:rsidRPr="004A0C12">
              <w:rPr>
                <w:rFonts w:ascii="Garamond" w:eastAsia="Times New Roman" w:hAnsi="Garamond" w:cs="Times New Roman"/>
                <w:color w:val="3F3F3F"/>
                <w:spacing w:val="2"/>
                <w:w w:val="105"/>
              </w:rPr>
              <w:t>e</w:t>
            </w:r>
            <w:r w:rsidRPr="004A0C12">
              <w:rPr>
                <w:rFonts w:ascii="Garamond" w:eastAsia="Times New Roman" w:hAnsi="Garamond" w:cs="Times New Roman"/>
                <w:color w:val="1F1F1F"/>
                <w:spacing w:val="8"/>
                <w:w w:val="105"/>
              </w:rPr>
              <w:t>h</w:t>
            </w:r>
            <w:r w:rsidRPr="004A0C12">
              <w:rPr>
                <w:rFonts w:ascii="Garamond" w:eastAsia="Times New Roman" w:hAnsi="Garamond" w:cs="Times New Roman"/>
                <w:color w:val="3F3F3F"/>
                <w:w w:val="105"/>
              </w:rPr>
              <w:t>a</w:t>
            </w:r>
            <w:r w:rsidRPr="004A0C12">
              <w:rPr>
                <w:rFonts w:ascii="Garamond" w:eastAsia="Times New Roman" w:hAnsi="Garamond" w:cs="Times New Roman"/>
                <w:color w:val="3F3F3F"/>
                <w:spacing w:val="-7"/>
                <w:w w:val="105"/>
              </w:rPr>
              <w:t>b</w:t>
            </w:r>
            <w:r w:rsidRPr="004A0C12">
              <w:rPr>
                <w:rFonts w:ascii="Garamond" w:eastAsia="Times New Roman" w:hAnsi="Garamond" w:cs="Times New Roman"/>
                <w:color w:val="1F1F1F"/>
                <w:w w:val="105"/>
              </w:rPr>
              <w:t>ili</w:t>
            </w:r>
            <w:r w:rsidRPr="004A0C12">
              <w:rPr>
                <w:rFonts w:ascii="Garamond" w:eastAsia="Times New Roman" w:hAnsi="Garamond" w:cs="Times New Roman"/>
                <w:color w:val="1F1F1F"/>
                <w:spacing w:val="8"/>
                <w:w w:val="105"/>
              </w:rPr>
              <w:t>t</w:t>
            </w:r>
            <w:r w:rsidRPr="004A0C12">
              <w:rPr>
                <w:rFonts w:ascii="Garamond" w:eastAsia="Times New Roman" w:hAnsi="Garamond" w:cs="Times New Roman"/>
                <w:color w:val="3F3F3F"/>
                <w:spacing w:val="-8"/>
                <w:w w:val="105"/>
              </w:rPr>
              <w:t>a</w:t>
            </w:r>
            <w:r w:rsidRPr="004A0C12">
              <w:rPr>
                <w:rFonts w:ascii="Garamond" w:eastAsia="Times New Roman" w:hAnsi="Garamond" w:cs="Times New Roman"/>
                <w:color w:val="1F1F1F"/>
                <w:w w:val="105"/>
              </w:rPr>
              <w:t>tion</w:t>
            </w:r>
            <w:r w:rsidRPr="004A0C12">
              <w:rPr>
                <w:rFonts w:ascii="Garamond" w:eastAsia="Times New Roman" w:hAnsi="Garamond" w:cs="Times New Roman"/>
                <w:color w:val="1F1F1F"/>
                <w:spacing w:val="-16"/>
                <w:w w:val="105"/>
              </w:rPr>
              <w:t xml:space="preserve"> </w:t>
            </w:r>
            <w:r w:rsidRPr="004A0C12">
              <w:rPr>
                <w:rFonts w:ascii="Garamond" w:eastAsia="Times New Roman" w:hAnsi="Garamond" w:cs="Times New Roman"/>
                <w:color w:val="1F1F1F"/>
                <w:w w:val="105"/>
              </w:rPr>
              <w:t>Act</w:t>
            </w:r>
            <w:r w:rsidRPr="004A0C12">
              <w:rPr>
                <w:rFonts w:ascii="Garamond" w:eastAsia="Times New Roman" w:hAnsi="Garamond" w:cs="Times New Roman"/>
                <w:color w:val="1F1F1F"/>
                <w:spacing w:val="43"/>
                <w:w w:val="105"/>
              </w:rPr>
              <w:t xml:space="preserve"> </w:t>
            </w:r>
            <w:r w:rsidRPr="004A0C12">
              <w:rPr>
                <w:rFonts w:ascii="Garamond" w:eastAsia="Times New Roman" w:hAnsi="Garamond" w:cs="Times New Roman"/>
                <w:color w:val="1F1F1F"/>
                <w:w w:val="105"/>
              </w:rPr>
              <w:t>only</w:t>
            </w:r>
            <w:r w:rsidRPr="004A0C12">
              <w:rPr>
                <w:rFonts w:ascii="Garamond" w:eastAsia="Times New Roman" w:hAnsi="Garamond" w:cs="Times New Roman"/>
                <w:color w:val="1F1F1F"/>
                <w:spacing w:val="-20"/>
                <w:w w:val="105"/>
              </w:rPr>
              <w:t xml:space="preserve"> </w:t>
            </w:r>
            <w:r w:rsidRPr="004A0C12">
              <w:rPr>
                <w:rFonts w:ascii="Garamond" w:eastAsia="Times New Roman" w:hAnsi="Garamond" w:cs="Times New Roman"/>
                <w:color w:val="1F1F1F"/>
                <w:w w:val="105"/>
              </w:rPr>
              <w:t>to</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provide</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1F1F1F"/>
                <w:w w:val="105"/>
              </w:rPr>
              <w:t>supported</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3F3F3F"/>
                <w:w w:val="105"/>
              </w:rPr>
              <w:t>em</w:t>
            </w:r>
            <w:r w:rsidRPr="004A0C12">
              <w:rPr>
                <w:rFonts w:ascii="Garamond" w:eastAsia="Times New Roman" w:hAnsi="Garamond" w:cs="Times New Roman"/>
                <w:color w:val="3F3F3F"/>
                <w:spacing w:val="8"/>
                <w:w w:val="105"/>
              </w:rPr>
              <w:t>p</w:t>
            </w:r>
            <w:r w:rsidRPr="004A0C12">
              <w:rPr>
                <w:rFonts w:ascii="Garamond" w:eastAsia="Times New Roman" w:hAnsi="Garamond" w:cs="Times New Roman"/>
                <w:color w:val="1F1F1F"/>
                <w:spacing w:val="12"/>
                <w:w w:val="105"/>
              </w:rPr>
              <w:t>l</w:t>
            </w:r>
            <w:r w:rsidRPr="004A0C12">
              <w:rPr>
                <w:rFonts w:ascii="Garamond" w:eastAsia="Times New Roman" w:hAnsi="Garamond" w:cs="Times New Roman"/>
                <w:color w:val="3F3F3F"/>
                <w:w w:val="105"/>
              </w:rPr>
              <w:t>oym</w:t>
            </w:r>
            <w:r w:rsidRPr="004A0C12">
              <w:rPr>
                <w:rFonts w:ascii="Garamond" w:eastAsia="Times New Roman" w:hAnsi="Garamond" w:cs="Times New Roman"/>
                <w:color w:val="3F3F3F"/>
                <w:spacing w:val="2"/>
                <w:w w:val="105"/>
              </w:rPr>
              <w:t>e</w:t>
            </w:r>
            <w:r w:rsidRPr="004A0C12">
              <w:rPr>
                <w:rFonts w:ascii="Garamond" w:eastAsia="Times New Roman" w:hAnsi="Garamond" w:cs="Times New Roman"/>
                <w:color w:val="1F1F1F"/>
                <w:w w:val="105"/>
              </w:rPr>
              <w:t>nt</w:t>
            </w:r>
            <w:r w:rsidRPr="004A0C12">
              <w:rPr>
                <w:rFonts w:ascii="Garamond" w:eastAsia="Times New Roman" w:hAnsi="Garamond" w:cs="Times New Roman"/>
                <w:color w:val="1F1F1F"/>
                <w:w w:val="111"/>
              </w:rPr>
              <w:t xml:space="preserve"> </w:t>
            </w:r>
            <w:r w:rsidRPr="004A0C12">
              <w:rPr>
                <w:rFonts w:ascii="Garamond" w:eastAsia="Times New Roman" w:hAnsi="Garamond" w:cs="Times New Roman"/>
                <w:color w:val="1F1F1F"/>
                <w:w w:val="105"/>
              </w:rPr>
              <w:t>services</w:t>
            </w:r>
            <w:r w:rsidRPr="004A0C12">
              <w:rPr>
                <w:rFonts w:ascii="Garamond" w:eastAsia="Times New Roman" w:hAnsi="Garamond" w:cs="Times New Roman"/>
                <w:color w:val="1F1F1F"/>
                <w:spacing w:val="-19"/>
                <w:w w:val="105"/>
              </w:rPr>
              <w:t xml:space="preserve"> </w:t>
            </w:r>
            <w:r w:rsidRPr="004A0C12">
              <w:rPr>
                <w:rFonts w:ascii="Garamond" w:eastAsia="Times New Roman" w:hAnsi="Garamond" w:cs="Times New Roman"/>
                <w:color w:val="2F2F2F"/>
                <w:w w:val="105"/>
              </w:rPr>
              <w:t>to</w:t>
            </w:r>
            <w:r w:rsidRPr="004A0C12">
              <w:rPr>
                <w:rFonts w:ascii="Garamond" w:eastAsia="Times New Roman" w:hAnsi="Garamond" w:cs="Times New Roman"/>
                <w:color w:val="2F2F2F"/>
                <w:spacing w:val="-7"/>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7"/>
                <w:w w:val="105"/>
              </w:rPr>
              <w:t>d</w:t>
            </w:r>
            <w:r w:rsidRPr="004A0C12">
              <w:rPr>
                <w:rFonts w:ascii="Garamond" w:eastAsia="Times New Roman" w:hAnsi="Garamond" w:cs="Times New Roman"/>
                <w:color w:val="3F3F3F"/>
                <w:w w:val="105"/>
              </w:rPr>
              <w:t>ividua</w:t>
            </w:r>
            <w:r w:rsidRPr="004A0C12">
              <w:rPr>
                <w:rFonts w:ascii="Garamond" w:eastAsia="Times New Roman" w:hAnsi="Garamond" w:cs="Times New Roman"/>
                <w:color w:val="1F1F1F"/>
                <w:w w:val="105"/>
              </w:rPr>
              <w:t>ls</w:t>
            </w:r>
            <w:r w:rsidRPr="004A0C12">
              <w:rPr>
                <w:rFonts w:ascii="Garamond" w:eastAsia="Times New Roman" w:hAnsi="Garamond" w:cs="Times New Roman"/>
                <w:color w:val="1F1F1F"/>
                <w:spacing w:val="-22"/>
                <w:w w:val="105"/>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2F2F2F"/>
                <w:w w:val="105"/>
              </w:rPr>
              <w:t>the</w:t>
            </w:r>
            <w:r w:rsidRPr="004A0C12">
              <w:rPr>
                <w:rFonts w:ascii="Garamond" w:eastAsia="Times New Roman" w:hAnsi="Garamond" w:cs="Times New Roman"/>
                <w:color w:val="2F2F2F"/>
                <w:spacing w:val="-12"/>
                <w:w w:val="105"/>
              </w:rPr>
              <w:t xml:space="preserve"> </w:t>
            </w:r>
            <w:r w:rsidRPr="004A0C12">
              <w:rPr>
                <w:rFonts w:ascii="Garamond" w:eastAsia="Times New Roman" w:hAnsi="Garamond" w:cs="Times New Roman"/>
                <w:color w:val="1F1F1F"/>
                <w:w w:val="105"/>
              </w:rPr>
              <w:t>most significant</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disabilities, i</w:t>
            </w:r>
            <w:r w:rsidRPr="004A0C12">
              <w:rPr>
                <w:rFonts w:ascii="Garamond" w:eastAsia="Times New Roman" w:hAnsi="Garamond" w:cs="Times New Roman"/>
                <w:color w:val="1F1F1F"/>
                <w:spacing w:val="3"/>
                <w:w w:val="105"/>
              </w:rPr>
              <w:t>n</w:t>
            </w:r>
            <w:r w:rsidRPr="004A0C12">
              <w:rPr>
                <w:rFonts w:ascii="Garamond" w:eastAsia="Times New Roman" w:hAnsi="Garamond" w:cs="Times New Roman"/>
                <w:color w:val="3F3F3F"/>
                <w:w w:val="105"/>
              </w:rPr>
              <w:t>cluding</w:t>
            </w:r>
            <w:r w:rsidRPr="004A0C12">
              <w:rPr>
                <w:rFonts w:ascii="Garamond" w:eastAsia="Times New Roman" w:hAnsi="Garamond" w:cs="Times New Roman"/>
                <w:color w:val="3F3F3F"/>
                <w:spacing w:val="-10"/>
                <w:w w:val="105"/>
              </w:rPr>
              <w:t xml:space="preserve"> </w:t>
            </w:r>
            <w:r w:rsidRPr="004A0C12">
              <w:rPr>
                <w:rFonts w:ascii="Garamond" w:eastAsia="Times New Roman" w:hAnsi="Garamond" w:cs="Times New Roman"/>
                <w:color w:val="3F3F3F"/>
                <w:w w:val="105"/>
              </w:rPr>
              <w:t>ex</w:t>
            </w:r>
            <w:r w:rsidRPr="004A0C12">
              <w:rPr>
                <w:rFonts w:ascii="Garamond" w:eastAsia="Times New Roman" w:hAnsi="Garamond" w:cs="Times New Roman"/>
                <w:color w:val="1F1F1F"/>
                <w:w w:val="105"/>
              </w:rPr>
              <w:t>tended services</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2F2F2F"/>
                <w:w w:val="105"/>
              </w:rPr>
              <w:t>to</w:t>
            </w:r>
            <w:r w:rsidRPr="004A0C12">
              <w:rPr>
                <w:rFonts w:ascii="Garamond" w:eastAsia="Times New Roman" w:hAnsi="Garamond" w:cs="Times New Roman"/>
                <w:color w:val="2F2F2F"/>
                <w:spacing w:val="-10"/>
                <w:w w:val="105"/>
              </w:rPr>
              <w:t xml:space="preserve"> </w:t>
            </w:r>
            <w:r w:rsidRPr="004A0C12">
              <w:rPr>
                <w:rFonts w:ascii="Garamond" w:eastAsia="Times New Roman" w:hAnsi="Garamond" w:cs="Times New Roman"/>
                <w:color w:val="2F2F2F"/>
                <w:w w:val="105"/>
              </w:rPr>
              <w:t>youth</w:t>
            </w:r>
            <w:r w:rsidRPr="004A0C12">
              <w:rPr>
                <w:rFonts w:ascii="Garamond" w:eastAsia="Times New Roman" w:hAnsi="Garamond" w:cs="Times New Roman"/>
                <w:color w:val="2F2F2F"/>
                <w:spacing w:val="4"/>
                <w:w w:val="105"/>
              </w:rPr>
              <w:t xml:space="preserve"> </w:t>
            </w:r>
            <w:r w:rsidRPr="004A0C12">
              <w:rPr>
                <w:rFonts w:ascii="Garamond" w:eastAsia="Times New Roman" w:hAnsi="Garamond" w:cs="Times New Roman"/>
                <w:color w:val="2F2F2F"/>
                <w:w w:val="105"/>
              </w:rPr>
              <w:t>with</w:t>
            </w:r>
            <w:r w:rsidRPr="004A0C12">
              <w:rPr>
                <w:rFonts w:ascii="Garamond" w:eastAsia="Times New Roman" w:hAnsi="Garamond" w:cs="Times New Roman"/>
                <w:color w:val="2F2F2F"/>
                <w:spacing w:val="3"/>
                <w:w w:val="105"/>
              </w:rPr>
              <w:t xml:space="preserve"> </w:t>
            </w:r>
            <w:r w:rsidRPr="004A0C12">
              <w:rPr>
                <w:rFonts w:ascii="Garamond" w:eastAsia="Times New Roman" w:hAnsi="Garamond" w:cs="Times New Roman"/>
                <w:color w:val="3F3F3F"/>
                <w:w w:val="105"/>
              </w:rPr>
              <w:t>the</w:t>
            </w:r>
            <w:r w:rsidRPr="004A0C12">
              <w:rPr>
                <w:rFonts w:ascii="Garamond" w:eastAsia="Times New Roman" w:hAnsi="Garamond" w:cs="Times New Roman"/>
                <w:color w:val="3F3F3F"/>
                <w:spacing w:val="-7"/>
                <w:w w:val="105"/>
              </w:rPr>
              <w:t xml:space="preserve"> </w:t>
            </w:r>
            <w:r w:rsidRPr="004A0C12">
              <w:rPr>
                <w:rFonts w:ascii="Garamond" w:eastAsia="Times New Roman" w:hAnsi="Garamond" w:cs="Times New Roman"/>
                <w:color w:val="1F1F1F"/>
                <w:w w:val="105"/>
              </w:rPr>
              <w:t>most</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1F1F1F"/>
                <w:w w:val="105"/>
              </w:rPr>
              <w:t>significant</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1F1F1F"/>
                <w:w w:val="105"/>
              </w:rPr>
              <w:t>disabilities,</w:t>
            </w:r>
            <w:r w:rsidRPr="004A0C12">
              <w:rPr>
                <w:rFonts w:ascii="Garamond" w:eastAsia="Times New Roman" w:hAnsi="Garamond" w:cs="Times New Roman"/>
                <w:color w:val="1F1F1F"/>
                <w:spacing w:val="-14"/>
                <w:w w:val="105"/>
              </w:rPr>
              <w:t xml:space="preserve"> </w:t>
            </w:r>
            <w:r w:rsidRPr="004A0C12">
              <w:rPr>
                <w:rFonts w:ascii="Garamond" w:eastAsia="Times New Roman" w:hAnsi="Garamond" w:cs="Times New Roman"/>
                <w:color w:val="2F2F2F"/>
                <w:w w:val="105"/>
              </w:rPr>
              <w:t>who</w:t>
            </w:r>
            <w:r w:rsidRPr="004A0C12">
              <w:rPr>
                <w:rFonts w:ascii="Garamond" w:eastAsia="Times New Roman" w:hAnsi="Garamond" w:cs="Times New Roman"/>
                <w:color w:val="2F2F2F"/>
                <w:spacing w:val="7"/>
                <w:w w:val="105"/>
              </w:rPr>
              <w:t xml:space="preserve"> </w:t>
            </w:r>
            <w:r w:rsidRPr="004A0C12">
              <w:rPr>
                <w:rFonts w:ascii="Garamond" w:eastAsia="Times New Roman" w:hAnsi="Garamond" w:cs="Times New Roman"/>
                <w:color w:val="3F3F3F"/>
                <w:spacing w:val="2"/>
                <w:w w:val="105"/>
              </w:rPr>
              <w:t>a</w:t>
            </w:r>
            <w:r w:rsidRPr="004A0C12">
              <w:rPr>
                <w:rFonts w:ascii="Garamond" w:eastAsia="Times New Roman" w:hAnsi="Garamond" w:cs="Times New Roman"/>
                <w:color w:val="1F1F1F"/>
                <w:w w:val="105"/>
              </w:rPr>
              <w:t>r</w:t>
            </w:r>
            <w:r w:rsidRPr="004A0C12">
              <w:rPr>
                <w:rFonts w:ascii="Garamond" w:eastAsia="Times New Roman" w:hAnsi="Garamond" w:cs="Times New Roman"/>
                <w:color w:val="3F3F3F"/>
                <w:w w:val="105"/>
              </w:rPr>
              <w:t>e</w:t>
            </w:r>
            <w:r w:rsidRPr="004A0C12">
              <w:rPr>
                <w:rFonts w:ascii="Garamond" w:eastAsia="Times New Roman" w:hAnsi="Garamond" w:cs="Times New Roman"/>
                <w:color w:val="3F3F3F"/>
                <w:spacing w:val="-9"/>
                <w:w w:val="105"/>
              </w:rPr>
              <w:t xml:space="preserve"> </w:t>
            </w:r>
            <w:r w:rsidRPr="004A0C12">
              <w:rPr>
                <w:rFonts w:ascii="Garamond" w:eastAsia="Times New Roman" w:hAnsi="Garamond" w:cs="Times New Roman"/>
                <w:color w:val="2F2F2F"/>
                <w:w w:val="105"/>
              </w:rPr>
              <w:t>eligible</w:t>
            </w:r>
            <w:r w:rsidRPr="004A0C12">
              <w:rPr>
                <w:rFonts w:ascii="Garamond" w:eastAsia="Times New Roman" w:hAnsi="Garamond" w:cs="Times New Roman"/>
                <w:color w:val="2F2F2F"/>
                <w:spacing w:val="-6"/>
                <w:w w:val="105"/>
              </w:rPr>
              <w:t xml:space="preserve"> </w:t>
            </w:r>
            <w:r w:rsidRPr="004A0C12">
              <w:rPr>
                <w:rFonts w:ascii="Garamond" w:eastAsia="Times New Roman" w:hAnsi="Garamond" w:cs="Times New Roman"/>
                <w:color w:val="2F2F2F"/>
                <w:w w:val="105"/>
              </w:rPr>
              <w:t>to</w:t>
            </w:r>
            <w:r w:rsidRPr="004A0C12">
              <w:rPr>
                <w:rFonts w:ascii="Garamond" w:eastAsia="Times New Roman" w:hAnsi="Garamond" w:cs="Times New Roman"/>
                <w:color w:val="2F2F2F"/>
                <w:w w:val="111"/>
              </w:rPr>
              <w:t xml:space="preserve"> </w:t>
            </w:r>
            <w:r w:rsidRPr="004A0C12">
              <w:rPr>
                <w:rFonts w:ascii="Garamond" w:eastAsia="Times New Roman" w:hAnsi="Garamond" w:cs="Times New Roman"/>
                <w:color w:val="1F1F1F"/>
                <w:w w:val="105"/>
              </w:rPr>
              <w:t>receive</w:t>
            </w:r>
            <w:r w:rsidRPr="004A0C12">
              <w:rPr>
                <w:rFonts w:ascii="Garamond" w:eastAsia="Times New Roman" w:hAnsi="Garamond" w:cs="Times New Roman"/>
                <w:color w:val="1F1F1F"/>
                <w:spacing w:val="20"/>
                <w:w w:val="105"/>
              </w:rPr>
              <w:t xml:space="preserve"> </w:t>
            </w:r>
            <w:r w:rsidRPr="004A0C12">
              <w:rPr>
                <w:rFonts w:ascii="Garamond" w:eastAsia="Times New Roman" w:hAnsi="Garamond" w:cs="Times New Roman"/>
                <w:color w:val="3F3F3F"/>
                <w:spacing w:val="-12"/>
                <w:w w:val="105"/>
              </w:rPr>
              <w:t>s</w:t>
            </w:r>
            <w:r w:rsidRPr="004A0C12">
              <w:rPr>
                <w:rFonts w:ascii="Garamond" w:eastAsia="Times New Roman" w:hAnsi="Garamond" w:cs="Times New Roman"/>
                <w:color w:val="1F1F1F"/>
                <w:spacing w:val="12"/>
                <w:w w:val="105"/>
              </w:rPr>
              <w:t>u</w:t>
            </w:r>
            <w:r w:rsidRPr="004A0C12">
              <w:rPr>
                <w:rFonts w:ascii="Garamond" w:eastAsia="Times New Roman" w:hAnsi="Garamond" w:cs="Times New Roman"/>
                <w:color w:val="3F3F3F"/>
                <w:w w:val="105"/>
              </w:rPr>
              <w:t>ch</w:t>
            </w:r>
            <w:r w:rsidRPr="004A0C12">
              <w:rPr>
                <w:rFonts w:ascii="Garamond" w:eastAsia="Times New Roman" w:hAnsi="Garamond" w:cs="Times New Roman"/>
                <w:color w:val="3F3F3F"/>
                <w:spacing w:val="9"/>
                <w:w w:val="105"/>
              </w:rPr>
              <w:t xml:space="preserve"> </w:t>
            </w:r>
            <w:r w:rsidRPr="004A0C12">
              <w:rPr>
                <w:rFonts w:ascii="Garamond" w:eastAsia="Times New Roman" w:hAnsi="Garamond" w:cs="Times New Roman"/>
                <w:color w:val="3F3F3F"/>
                <w:w w:val="105"/>
              </w:rPr>
              <w:t>services;</w:t>
            </w:r>
            <w:r w:rsidRPr="004A0C12">
              <w:rPr>
                <w:rFonts w:ascii="Garamond" w:eastAsia="Times New Roman" w:hAnsi="Garamond" w:cs="Times New Roman"/>
                <w:color w:val="3F3F3F"/>
                <w:spacing w:val="-3"/>
                <w:w w:val="105"/>
              </w:rPr>
              <w:t xml:space="preserve"> </w:t>
            </w:r>
            <w:r w:rsidRPr="004A0C12">
              <w:rPr>
                <w:rFonts w:ascii="Garamond" w:eastAsia="Times New Roman" w:hAnsi="Garamond" w:cs="Times New Roman"/>
                <w:color w:val="2F2F2F"/>
                <w:w w:val="105"/>
              </w:rPr>
              <w:t>and,</w:t>
            </w:r>
            <w:r w:rsidRPr="004A0C12">
              <w:rPr>
                <w:rFonts w:ascii="Garamond" w:eastAsia="Times New Roman" w:hAnsi="Garamond" w:cs="Times New Roman"/>
                <w:color w:val="2F2F2F"/>
                <w:spacing w:val="-13"/>
                <w:w w:val="105"/>
              </w:rPr>
              <w:t xml:space="preserve"> </w:t>
            </w:r>
            <w:r w:rsidRPr="004A0C12">
              <w:rPr>
                <w:rFonts w:ascii="Garamond" w:eastAsia="Times New Roman" w:hAnsi="Garamond" w:cs="Times New Roman"/>
                <w:color w:val="2F2F2F"/>
                <w:w w:val="105"/>
              </w:rPr>
              <w:t>that</w:t>
            </w:r>
            <w:r w:rsidRPr="004A0C12">
              <w:rPr>
                <w:rFonts w:ascii="Garamond" w:eastAsia="Times New Roman" w:hAnsi="Garamond" w:cs="Times New Roman"/>
                <w:color w:val="2F2F2F"/>
                <w:spacing w:val="13"/>
                <w:w w:val="105"/>
              </w:rPr>
              <w:t xml:space="preserve"> </w:t>
            </w:r>
            <w:r w:rsidRPr="004A0C12">
              <w:rPr>
                <w:rFonts w:ascii="Garamond" w:eastAsia="Times New Roman" w:hAnsi="Garamond" w:cs="Times New Roman"/>
                <w:color w:val="2F2F2F"/>
                <w:w w:val="105"/>
              </w:rPr>
              <w:t>such</w:t>
            </w:r>
            <w:r w:rsidRPr="004A0C12">
              <w:rPr>
                <w:rFonts w:ascii="Garamond" w:eastAsia="Times New Roman" w:hAnsi="Garamond" w:cs="Times New Roman"/>
                <w:color w:val="2F2F2F"/>
                <w:spacing w:val="9"/>
                <w:w w:val="105"/>
              </w:rPr>
              <w:t xml:space="preserve"> </w:t>
            </w:r>
            <w:r w:rsidRPr="004A0C12">
              <w:rPr>
                <w:rFonts w:ascii="Garamond" w:eastAsia="Times New Roman" w:hAnsi="Garamond" w:cs="Times New Roman"/>
                <w:color w:val="1F1F1F"/>
                <w:w w:val="105"/>
              </w:rPr>
              <w:t>funds</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1F1F1F"/>
                <w:w w:val="105"/>
              </w:rPr>
              <w:t>are</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2F2F2F"/>
                <w:w w:val="105"/>
              </w:rPr>
              <w:t>used</w:t>
            </w:r>
            <w:r w:rsidRPr="004A0C12">
              <w:rPr>
                <w:rFonts w:ascii="Garamond" w:eastAsia="Times New Roman" w:hAnsi="Garamond" w:cs="Times New Roman"/>
                <w:color w:val="2F2F2F"/>
                <w:spacing w:val="15"/>
                <w:w w:val="105"/>
              </w:rPr>
              <w:t xml:space="preserve"> </w:t>
            </w:r>
            <w:r w:rsidRPr="004A0C12">
              <w:rPr>
                <w:rFonts w:ascii="Garamond" w:eastAsia="Times New Roman" w:hAnsi="Garamond" w:cs="Times New Roman"/>
                <w:color w:val="1F1F1F"/>
                <w:w w:val="105"/>
              </w:rPr>
              <w:t>onl</w:t>
            </w:r>
            <w:r w:rsidRPr="004A0C12">
              <w:rPr>
                <w:rFonts w:ascii="Garamond" w:eastAsia="Times New Roman" w:hAnsi="Garamond" w:cs="Times New Roman"/>
                <w:color w:val="1F1F1F"/>
                <w:spacing w:val="18"/>
                <w:w w:val="105"/>
              </w:rPr>
              <w:t xml:space="preserve">y </w:t>
            </w:r>
            <w:r w:rsidRPr="004A0C12">
              <w:rPr>
                <w:rFonts w:ascii="Garamond" w:eastAsia="Times New Roman" w:hAnsi="Garamond" w:cs="Times New Roman"/>
                <w:color w:val="3F3F3F"/>
                <w:w w:val="105"/>
              </w:rPr>
              <w:t>to</w:t>
            </w:r>
            <w:r w:rsidRPr="004A0C12">
              <w:rPr>
                <w:rFonts w:ascii="Garamond" w:eastAsia="Times New Roman" w:hAnsi="Garamond" w:cs="Times New Roman"/>
                <w:color w:val="3F3F3F"/>
                <w:spacing w:val="6"/>
                <w:w w:val="105"/>
              </w:rPr>
              <w:t xml:space="preserve"> </w:t>
            </w:r>
            <w:r w:rsidRPr="004A0C12">
              <w:rPr>
                <w:rFonts w:ascii="Garamond" w:eastAsia="Times New Roman" w:hAnsi="Garamond" w:cs="Times New Roman"/>
                <w:color w:val="3F3F3F"/>
                <w:w w:val="105"/>
              </w:rPr>
              <w:t>sup</w:t>
            </w:r>
            <w:r w:rsidRPr="004A0C12">
              <w:rPr>
                <w:rFonts w:ascii="Garamond" w:eastAsia="Times New Roman" w:hAnsi="Garamond" w:cs="Times New Roman"/>
                <w:color w:val="3F3F3F"/>
                <w:spacing w:val="-5"/>
                <w:w w:val="105"/>
              </w:rPr>
              <w:t>p</w:t>
            </w:r>
            <w:r w:rsidRPr="004A0C12">
              <w:rPr>
                <w:rFonts w:ascii="Garamond" w:eastAsia="Times New Roman" w:hAnsi="Garamond" w:cs="Times New Roman"/>
                <w:color w:val="1F1F1F"/>
                <w:spacing w:val="-3"/>
                <w:w w:val="105"/>
              </w:rPr>
              <w:t>l</w:t>
            </w:r>
            <w:r w:rsidRPr="004A0C12">
              <w:rPr>
                <w:rFonts w:ascii="Garamond" w:eastAsia="Times New Roman" w:hAnsi="Garamond" w:cs="Times New Roman"/>
                <w:color w:val="3F3F3F"/>
                <w:w w:val="105"/>
              </w:rPr>
              <w:t>eme</w:t>
            </w:r>
            <w:r w:rsidRPr="004A0C12">
              <w:rPr>
                <w:rFonts w:ascii="Garamond" w:eastAsia="Times New Roman" w:hAnsi="Garamond" w:cs="Times New Roman"/>
                <w:color w:val="1F1F1F"/>
                <w:spacing w:val="9"/>
                <w:w w:val="105"/>
              </w:rPr>
              <w:t>n</w:t>
            </w:r>
            <w:r w:rsidRPr="004A0C12">
              <w:rPr>
                <w:rFonts w:ascii="Garamond" w:eastAsia="Times New Roman" w:hAnsi="Garamond" w:cs="Times New Roman"/>
                <w:color w:val="3F3F3F"/>
                <w:w w:val="105"/>
              </w:rPr>
              <w:t>t</w:t>
            </w:r>
            <w:r w:rsidRPr="004A0C12">
              <w:rPr>
                <w:rFonts w:ascii="Garamond" w:eastAsia="Times New Roman" w:hAnsi="Garamond" w:cs="Times New Roman"/>
                <w:color w:val="3F3F3F"/>
                <w:spacing w:val="4"/>
                <w:w w:val="105"/>
              </w:rPr>
              <w:t xml:space="preserve"> </w:t>
            </w:r>
            <w:r w:rsidRPr="004A0C12">
              <w:rPr>
                <w:rFonts w:ascii="Garamond" w:eastAsia="Times New Roman" w:hAnsi="Garamond" w:cs="Times New Roman"/>
                <w:color w:val="3F3F3F"/>
                <w:spacing w:val="2"/>
                <w:w w:val="105"/>
              </w:rPr>
              <w:t>a</w:t>
            </w:r>
            <w:r w:rsidRPr="004A0C12">
              <w:rPr>
                <w:rFonts w:ascii="Garamond" w:eastAsia="Times New Roman" w:hAnsi="Garamond" w:cs="Times New Roman"/>
                <w:color w:val="1F1F1F"/>
                <w:w w:val="105"/>
              </w:rPr>
              <w:t>nd</w:t>
            </w:r>
            <w:r w:rsidRPr="004A0C12">
              <w:rPr>
                <w:rFonts w:ascii="Garamond" w:eastAsia="Times New Roman" w:hAnsi="Garamond" w:cs="Times New Roman"/>
                <w:color w:val="1F1F1F"/>
                <w:spacing w:val="22"/>
                <w:w w:val="105"/>
              </w:rPr>
              <w:t xml:space="preserve"> </w:t>
            </w:r>
            <w:r w:rsidRPr="004A0C12">
              <w:rPr>
                <w:rFonts w:ascii="Garamond" w:eastAsia="Times New Roman" w:hAnsi="Garamond" w:cs="Times New Roman"/>
                <w:color w:val="2F2F2F"/>
                <w:w w:val="105"/>
              </w:rPr>
              <w:t>not</w:t>
            </w:r>
            <w:r w:rsidRPr="004A0C12">
              <w:rPr>
                <w:rFonts w:ascii="Garamond" w:eastAsia="Times New Roman" w:hAnsi="Garamond" w:cs="Times New Roman"/>
                <w:color w:val="2F2F2F"/>
                <w:w w:val="107"/>
              </w:rPr>
              <w:t xml:space="preserve"> </w:t>
            </w:r>
            <w:r w:rsidRPr="004A0C12">
              <w:rPr>
                <w:rFonts w:ascii="Garamond" w:eastAsia="Times New Roman" w:hAnsi="Garamond" w:cs="Times New Roman"/>
                <w:color w:val="2F2F2F"/>
                <w:w w:val="105"/>
              </w:rPr>
              <w:t>supplant</w:t>
            </w:r>
            <w:r w:rsidRPr="004A0C12">
              <w:rPr>
                <w:rFonts w:ascii="Garamond" w:eastAsia="Times New Roman" w:hAnsi="Garamond" w:cs="Times New Roman"/>
                <w:color w:val="2F2F2F"/>
                <w:spacing w:val="-11"/>
                <w:w w:val="105"/>
              </w:rPr>
              <w:t xml:space="preserve"> </w:t>
            </w:r>
            <w:r w:rsidRPr="004A0C12">
              <w:rPr>
                <w:rFonts w:ascii="Garamond" w:eastAsia="Times New Roman" w:hAnsi="Garamond" w:cs="Times New Roman"/>
                <w:color w:val="2F2F2F"/>
                <w:w w:val="105"/>
              </w:rPr>
              <w:t>the</w:t>
            </w:r>
            <w:r w:rsidRPr="004A0C12">
              <w:rPr>
                <w:rFonts w:ascii="Garamond" w:eastAsia="Times New Roman" w:hAnsi="Garamond" w:cs="Times New Roman"/>
                <w:color w:val="2F2F2F"/>
                <w:spacing w:val="-4"/>
                <w:w w:val="105"/>
              </w:rPr>
              <w:t xml:space="preserve"> </w:t>
            </w:r>
            <w:r w:rsidRPr="004A0C12">
              <w:rPr>
                <w:rFonts w:ascii="Garamond" w:eastAsia="Times New Roman" w:hAnsi="Garamond" w:cs="Times New Roman"/>
                <w:color w:val="3F3F3F"/>
                <w:w w:val="105"/>
              </w:rPr>
              <w:t>funds</w:t>
            </w:r>
            <w:r w:rsidRPr="004A0C12">
              <w:rPr>
                <w:rFonts w:ascii="Garamond" w:eastAsia="Times New Roman" w:hAnsi="Garamond" w:cs="Times New Roman"/>
                <w:color w:val="3F3F3F"/>
                <w:spacing w:val="-8"/>
                <w:w w:val="105"/>
              </w:rPr>
              <w:t xml:space="preserve"> </w:t>
            </w:r>
            <w:r w:rsidRPr="004A0C12">
              <w:rPr>
                <w:rFonts w:ascii="Garamond" w:eastAsia="Times New Roman" w:hAnsi="Garamond" w:cs="Times New Roman"/>
                <w:color w:val="3F3F3F"/>
                <w:w w:val="105"/>
              </w:rPr>
              <w:t>p</w:t>
            </w:r>
            <w:r w:rsidRPr="004A0C12">
              <w:rPr>
                <w:rFonts w:ascii="Garamond" w:eastAsia="Times New Roman" w:hAnsi="Garamond" w:cs="Times New Roman"/>
                <w:color w:val="3F3F3F"/>
                <w:spacing w:val="15"/>
                <w:w w:val="105"/>
              </w:rPr>
              <w:t>r</w:t>
            </w:r>
            <w:r w:rsidRPr="004A0C12">
              <w:rPr>
                <w:rFonts w:ascii="Garamond" w:eastAsia="Times New Roman" w:hAnsi="Garamond" w:cs="Times New Roman"/>
                <w:color w:val="1F1F1F"/>
                <w:w w:val="105"/>
              </w:rPr>
              <w:t>o</w:t>
            </w:r>
            <w:r w:rsidRPr="004A0C12">
              <w:rPr>
                <w:rFonts w:ascii="Garamond" w:eastAsia="Times New Roman" w:hAnsi="Garamond" w:cs="Times New Roman"/>
                <w:color w:val="1F1F1F"/>
                <w:spacing w:val="2"/>
                <w:w w:val="105"/>
              </w:rPr>
              <w:t>v</w:t>
            </w:r>
            <w:r w:rsidRPr="004A0C12">
              <w:rPr>
                <w:rFonts w:ascii="Garamond" w:eastAsia="Times New Roman" w:hAnsi="Garamond" w:cs="Times New Roman"/>
                <w:color w:val="3F3F3F"/>
                <w:w w:val="105"/>
              </w:rPr>
              <w:t>ided</w:t>
            </w:r>
            <w:r w:rsidRPr="004A0C12">
              <w:rPr>
                <w:rFonts w:ascii="Garamond" w:eastAsia="Times New Roman" w:hAnsi="Garamond" w:cs="Times New Roman"/>
                <w:color w:val="3F3F3F"/>
                <w:spacing w:val="2"/>
                <w:w w:val="105"/>
              </w:rPr>
              <w:t xml:space="preserve"> </w:t>
            </w:r>
            <w:r w:rsidRPr="004A0C12">
              <w:rPr>
                <w:rFonts w:ascii="Garamond" w:eastAsia="Times New Roman" w:hAnsi="Garamond" w:cs="Times New Roman"/>
                <w:color w:val="2F2F2F"/>
                <w:w w:val="105"/>
              </w:rPr>
              <w:t>under</w:t>
            </w:r>
            <w:r w:rsidRPr="004A0C12">
              <w:rPr>
                <w:rFonts w:ascii="Garamond" w:eastAsia="Times New Roman" w:hAnsi="Garamond" w:cs="Times New Roman"/>
                <w:color w:val="2F2F2F"/>
                <w:spacing w:val="6"/>
                <w:w w:val="105"/>
              </w:rPr>
              <w:t xml:space="preserve"> </w:t>
            </w:r>
            <w:r w:rsidRPr="004A0C12">
              <w:rPr>
                <w:rFonts w:ascii="Garamond" w:eastAsia="Times New Roman" w:hAnsi="Garamond" w:cs="Times New Roman"/>
                <w:color w:val="1F1F1F"/>
                <w:w w:val="105"/>
              </w:rPr>
              <w:t>Title</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2F2F2F"/>
                <w:w w:val="105"/>
              </w:rPr>
              <w:t>I</w:t>
            </w:r>
            <w:r w:rsidRPr="004A0C12">
              <w:rPr>
                <w:rFonts w:ascii="Garamond" w:eastAsia="Times New Roman" w:hAnsi="Garamond" w:cs="Times New Roman"/>
                <w:color w:val="2F2F2F"/>
                <w:spacing w:val="-18"/>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17"/>
                <w:w w:val="105"/>
              </w:rPr>
              <w:t xml:space="preserve"> </w:t>
            </w:r>
            <w:r w:rsidRPr="004A0C12">
              <w:rPr>
                <w:rFonts w:ascii="Garamond" w:eastAsia="Times New Roman" w:hAnsi="Garamond" w:cs="Times New Roman"/>
                <w:color w:val="2F2F2F"/>
                <w:w w:val="105"/>
              </w:rPr>
              <w:t>the</w:t>
            </w:r>
            <w:r w:rsidRPr="004A0C12">
              <w:rPr>
                <w:rFonts w:ascii="Garamond" w:eastAsia="Times New Roman" w:hAnsi="Garamond" w:cs="Times New Roman"/>
                <w:color w:val="2F2F2F"/>
                <w:spacing w:val="-4"/>
                <w:w w:val="105"/>
              </w:rPr>
              <w:t xml:space="preserve"> </w:t>
            </w:r>
            <w:r w:rsidRPr="004A0C12">
              <w:rPr>
                <w:rFonts w:ascii="Garamond" w:eastAsia="Times New Roman" w:hAnsi="Garamond" w:cs="Times New Roman"/>
                <w:color w:val="1F1F1F"/>
                <w:w w:val="105"/>
              </w:rPr>
              <w:t>Rehabilit</w:t>
            </w:r>
            <w:r w:rsidRPr="004A0C12">
              <w:rPr>
                <w:rFonts w:ascii="Garamond" w:eastAsia="Times New Roman" w:hAnsi="Garamond" w:cs="Times New Roman"/>
                <w:color w:val="1F1F1F"/>
                <w:spacing w:val="12"/>
                <w:w w:val="105"/>
              </w:rPr>
              <w:t>a</w:t>
            </w:r>
            <w:r w:rsidRPr="004A0C12">
              <w:rPr>
                <w:rFonts w:ascii="Garamond" w:eastAsia="Times New Roman" w:hAnsi="Garamond" w:cs="Times New Roman"/>
                <w:color w:val="3F3F3F"/>
                <w:spacing w:val="6"/>
                <w:w w:val="105"/>
              </w:rPr>
              <w:t>t</w:t>
            </w:r>
            <w:r w:rsidRPr="004A0C12">
              <w:rPr>
                <w:rFonts w:ascii="Garamond" w:eastAsia="Times New Roman" w:hAnsi="Garamond" w:cs="Times New Roman"/>
                <w:color w:val="1F1F1F"/>
                <w:w w:val="105"/>
              </w:rPr>
              <w:t>i</w:t>
            </w:r>
            <w:r w:rsidRPr="004A0C12">
              <w:rPr>
                <w:rFonts w:ascii="Garamond" w:eastAsia="Times New Roman" w:hAnsi="Garamond" w:cs="Times New Roman"/>
                <w:color w:val="1F1F1F"/>
                <w:spacing w:val="7"/>
                <w:w w:val="105"/>
              </w:rPr>
              <w:t>o</w:t>
            </w:r>
            <w:r w:rsidRPr="004A0C12">
              <w:rPr>
                <w:rFonts w:ascii="Garamond" w:eastAsia="Times New Roman" w:hAnsi="Garamond" w:cs="Times New Roman"/>
                <w:color w:val="3F3F3F"/>
                <w:w w:val="105"/>
              </w:rPr>
              <w:t>n</w:t>
            </w:r>
            <w:r w:rsidRPr="004A0C12">
              <w:rPr>
                <w:rFonts w:ascii="Garamond" w:eastAsia="Times New Roman" w:hAnsi="Garamond" w:cs="Times New Roman"/>
                <w:color w:val="3F3F3F"/>
                <w:spacing w:val="-9"/>
                <w:w w:val="105"/>
              </w:rPr>
              <w:t xml:space="preserve"> </w:t>
            </w:r>
            <w:r w:rsidRPr="004A0C12">
              <w:rPr>
                <w:rFonts w:ascii="Garamond" w:eastAsia="Times New Roman" w:hAnsi="Garamond" w:cs="Times New Roman"/>
                <w:color w:val="2F2F2F"/>
                <w:w w:val="105"/>
              </w:rPr>
              <w:t>Act,</w:t>
            </w:r>
            <w:r w:rsidRPr="004A0C12">
              <w:rPr>
                <w:rFonts w:ascii="Garamond" w:eastAsia="Times New Roman" w:hAnsi="Garamond" w:cs="Times New Roman"/>
                <w:color w:val="2F2F2F"/>
                <w:spacing w:val="-14"/>
                <w:w w:val="105"/>
              </w:rPr>
              <w:t xml:space="preserve"> </w:t>
            </w:r>
            <w:r w:rsidRPr="004A0C12">
              <w:rPr>
                <w:rFonts w:ascii="Garamond" w:eastAsia="Times New Roman" w:hAnsi="Garamond" w:cs="Times New Roman"/>
                <w:color w:val="2F2F2F"/>
                <w:w w:val="105"/>
              </w:rPr>
              <w:t xml:space="preserve">when </w:t>
            </w:r>
            <w:r w:rsidRPr="004A0C12">
              <w:rPr>
                <w:rFonts w:ascii="Garamond" w:eastAsia="Times New Roman" w:hAnsi="Garamond" w:cs="Times New Roman"/>
                <w:color w:val="1F1F1F"/>
                <w:w w:val="105"/>
              </w:rPr>
              <w:t>pro</w:t>
            </w:r>
            <w:r w:rsidRPr="004A0C12">
              <w:rPr>
                <w:rFonts w:ascii="Garamond" w:eastAsia="Times New Roman" w:hAnsi="Garamond" w:cs="Times New Roman"/>
                <w:color w:val="3F3F3F"/>
                <w:w w:val="105"/>
              </w:rPr>
              <w:t>v</w:t>
            </w:r>
            <w:r w:rsidRPr="004A0C12">
              <w:rPr>
                <w:rFonts w:ascii="Garamond" w:eastAsia="Times New Roman" w:hAnsi="Garamond" w:cs="Times New Roman"/>
                <w:color w:val="3F3F3F"/>
                <w:spacing w:val="15"/>
                <w:w w:val="105"/>
              </w:rPr>
              <w:t>i</w:t>
            </w:r>
            <w:r w:rsidRPr="004A0C12">
              <w:rPr>
                <w:rFonts w:ascii="Garamond" w:eastAsia="Times New Roman" w:hAnsi="Garamond" w:cs="Times New Roman"/>
                <w:color w:val="1F1F1F"/>
                <w:w w:val="105"/>
              </w:rPr>
              <w:t>di</w:t>
            </w:r>
            <w:r w:rsidRPr="004A0C12">
              <w:rPr>
                <w:rFonts w:ascii="Garamond" w:eastAsia="Times New Roman" w:hAnsi="Garamond" w:cs="Times New Roman"/>
                <w:color w:val="1F1F1F"/>
                <w:spacing w:val="16"/>
                <w:w w:val="105"/>
              </w:rPr>
              <w:t>n</w:t>
            </w:r>
            <w:r w:rsidRPr="004A0C12">
              <w:rPr>
                <w:rFonts w:ascii="Garamond" w:eastAsia="Times New Roman" w:hAnsi="Garamond" w:cs="Times New Roman"/>
                <w:color w:val="3F3F3F"/>
                <w:w w:val="105"/>
              </w:rPr>
              <w:t>g</w:t>
            </w:r>
            <w:r w:rsidRPr="004A0C12">
              <w:rPr>
                <w:rFonts w:ascii="Garamond" w:eastAsia="Times New Roman" w:hAnsi="Garamond" w:cs="Times New Roman"/>
                <w:color w:val="3F3F3F"/>
                <w:spacing w:val="-15"/>
                <w:w w:val="105"/>
              </w:rPr>
              <w:t xml:space="preserve"> </w:t>
            </w:r>
            <w:r w:rsidRPr="004A0C12">
              <w:rPr>
                <w:rFonts w:ascii="Garamond" w:eastAsia="Times New Roman" w:hAnsi="Garamond" w:cs="Times New Roman"/>
                <w:color w:val="3F3F3F"/>
                <w:w w:val="105"/>
              </w:rPr>
              <w:t>sup</w:t>
            </w:r>
            <w:r w:rsidRPr="004A0C12">
              <w:rPr>
                <w:rFonts w:ascii="Garamond" w:eastAsia="Times New Roman" w:hAnsi="Garamond" w:cs="Times New Roman"/>
                <w:color w:val="3F3F3F"/>
                <w:spacing w:val="-5"/>
                <w:w w:val="105"/>
              </w:rPr>
              <w:t>p</w:t>
            </w:r>
            <w:r w:rsidRPr="004A0C12">
              <w:rPr>
                <w:rFonts w:ascii="Garamond" w:eastAsia="Times New Roman" w:hAnsi="Garamond" w:cs="Times New Roman"/>
                <w:color w:val="1F1F1F"/>
                <w:w w:val="105"/>
              </w:rPr>
              <w:t>orted</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2F2F2F"/>
                <w:w w:val="105"/>
              </w:rPr>
              <w:t>employment</w:t>
            </w:r>
            <w:r w:rsidRPr="004A0C12">
              <w:rPr>
                <w:rFonts w:ascii="Garamond" w:eastAsia="Times New Roman" w:hAnsi="Garamond" w:cs="Times New Roman"/>
                <w:color w:val="2F2F2F"/>
                <w:spacing w:val="9"/>
                <w:w w:val="105"/>
              </w:rPr>
              <w:t xml:space="preserve"> </w:t>
            </w:r>
            <w:r w:rsidRPr="004A0C12">
              <w:rPr>
                <w:rFonts w:ascii="Garamond" w:eastAsia="Times New Roman" w:hAnsi="Garamond" w:cs="Times New Roman"/>
                <w:color w:val="2F2F2F"/>
                <w:w w:val="105"/>
              </w:rPr>
              <w:t>services</w:t>
            </w:r>
            <w:r w:rsidRPr="004A0C12">
              <w:rPr>
                <w:rFonts w:ascii="Garamond" w:eastAsia="Times New Roman" w:hAnsi="Garamond" w:cs="Times New Roman"/>
                <w:color w:val="2F2F2F"/>
                <w:spacing w:val="-6"/>
                <w:w w:val="105"/>
              </w:rPr>
              <w:t xml:space="preserve"> </w:t>
            </w:r>
            <w:r w:rsidRPr="004A0C12">
              <w:rPr>
                <w:rFonts w:ascii="Garamond" w:eastAsia="Times New Roman" w:hAnsi="Garamond" w:cs="Times New Roman"/>
                <w:color w:val="2F2F2F"/>
                <w:w w:val="105"/>
              </w:rPr>
              <w:t>specified</w:t>
            </w:r>
            <w:r w:rsidRPr="004A0C12">
              <w:rPr>
                <w:rFonts w:ascii="Garamond" w:eastAsia="Times New Roman" w:hAnsi="Garamond" w:cs="Times New Roman"/>
                <w:color w:val="2F2F2F"/>
                <w:spacing w:val="-2"/>
                <w:w w:val="105"/>
              </w:rPr>
              <w:t xml:space="preserve"> </w:t>
            </w:r>
            <w:r w:rsidRPr="004A0C12">
              <w:rPr>
                <w:rFonts w:ascii="Garamond" w:eastAsia="Times New Roman" w:hAnsi="Garamond" w:cs="Times New Roman"/>
                <w:color w:val="2F2F2F"/>
                <w:w w:val="105"/>
              </w:rPr>
              <w:t>in the</w:t>
            </w:r>
            <w:r w:rsidRPr="004A0C12">
              <w:rPr>
                <w:rFonts w:ascii="Garamond" w:eastAsia="Times New Roman" w:hAnsi="Garamond" w:cs="Times New Roman"/>
                <w:color w:val="2F2F2F"/>
                <w:spacing w:val="-10"/>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17"/>
                <w:w w:val="105"/>
              </w:rPr>
              <w:t>d</w:t>
            </w:r>
            <w:r w:rsidRPr="004A0C12">
              <w:rPr>
                <w:rFonts w:ascii="Garamond" w:eastAsia="Times New Roman" w:hAnsi="Garamond" w:cs="Times New Roman"/>
                <w:color w:val="3F3F3F"/>
                <w:w w:val="105"/>
              </w:rPr>
              <w:t>ividualized</w:t>
            </w:r>
            <w:r w:rsidRPr="004A0C12">
              <w:rPr>
                <w:rFonts w:ascii="Garamond" w:eastAsia="Times New Roman" w:hAnsi="Garamond" w:cs="Times New Roman"/>
                <w:color w:val="3F3F3F"/>
                <w:spacing w:val="12"/>
                <w:w w:val="105"/>
              </w:rPr>
              <w:t xml:space="preserve"> </w:t>
            </w:r>
            <w:r w:rsidRPr="004A0C12">
              <w:rPr>
                <w:rFonts w:ascii="Garamond" w:eastAsia="Times New Roman" w:hAnsi="Garamond" w:cs="Times New Roman"/>
                <w:color w:val="1F1F1F"/>
                <w:spacing w:val="2"/>
                <w:w w:val="105"/>
              </w:rPr>
              <w:t>p</w:t>
            </w:r>
            <w:r w:rsidRPr="004A0C12">
              <w:rPr>
                <w:rFonts w:ascii="Garamond" w:eastAsia="Times New Roman" w:hAnsi="Garamond" w:cs="Times New Roman"/>
                <w:color w:val="3F3F3F"/>
                <w:w w:val="105"/>
              </w:rPr>
              <w:t>lan for</w:t>
            </w:r>
            <w:r w:rsidRPr="004A0C12">
              <w:rPr>
                <w:rFonts w:ascii="Garamond" w:eastAsia="Times New Roman" w:hAnsi="Garamond" w:cs="Times New Roman"/>
                <w:color w:val="3F3F3F"/>
                <w:spacing w:val="-12"/>
                <w:w w:val="105"/>
              </w:rPr>
              <w:t xml:space="preserve"> </w:t>
            </w:r>
            <w:r w:rsidRPr="004A0C12">
              <w:rPr>
                <w:rFonts w:ascii="Garamond" w:eastAsia="Times New Roman" w:hAnsi="Garamond" w:cs="Times New Roman"/>
                <w:color w:val="2F2F2F"/>
                <w:w w:val="105"/>
              </w:rPr>
              <w:t>employmen</w:t>
            </w:r>
            <w:r w:rsidRPr="004A0C12">
              <w:rPr>
                <w:rFonts w:ascii="Garamond" w:eastAsia="Times New Roman" w:hAnsi="Garamond" w:cs="Times New Roman"/>
                <w:color w:val="505050"/>
                <w:w w:val="105"/>
              </w:rPr>
              <w:t>t,</w:t>
            </w:r>
            <w:r w:rsidRPr="004A0C12">
              <w:rPr>
                <w:rFonts w:ascii="Garamond" w:eastAsia="Times New Roman" w:hAnsi="Garamond" w:cs="Times New Roman"/>
                <w:color w:val="505050"/>
                <w:spacing w:val="-12"/>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2F2F2F"/>
                <w:w w:val="105"/>
              </w:rPr>
              <w:t>accordance with</w:t>
            </w:r>
            <w:r w:rsidRPr="004A0C12">
              <w:rPr>
                <w:rFonts w:ascii="Garamond" w:eastAsia="Times New Roman" w:hAnsi="Garamond" w:cs="Times New Roman"/>
                <w:color w:val="2F2F2F"/>
                <w:spacing w:val="4"/>
                <w:w w:val="105"/>
              </w:rPr>
              <w:t xml:space="preserve"> </w:t>
            </w:r>
            <w:r w:rsidRPr="004A0C12">
              <w:rPr>
                <w:rFonts w:ascii="Garamond" w:eastAsia="Times New Roman" w:hAnsi="Garamond" w:cs="Times New Roman"/>
                <w:color w:val="2F2F2F"/>
                <w:w w:val="105"/>
              </w:rPr>
              <w:t>section</w:t>
            </w:r>
            <w:r w:rsidRPr="004A0C12">
              <w:rPr>
                <w:rFonts w:ascii="Garamond" w:eastAsia="Times New Roman" w:hAnsi="Garamond" w:cs="Times New Roman"/>
                <w:color w:val="2F2F2F"/>
                <w:spacing w:val="1"/>
                <w:w w:val="105"/>
              </w:rPr>
              <w:t xml:space="preserve"> </w:t>
            </w:r>
            <w:r w:rsidRPr="004A0C12">
              <w:rPr>
                <w:rFonts w:ascii="Garamond" w:eastAsia="Times New Roman" w:hAnsi="Garamond" w:cs="Times New Roman"/>
                <w:color w:val="2F2F2F"/>
                <w:w w:val="105"/>
              </w:rPr>
              <w:t>606(b)(7)(A)</w:t>
            </w:r>
            <w:r w:rsidRPr="004A0C12">
              <w:rPr>
                <w:rFonts w:ascii="Garamond" w:eastAsia="Times New Roman" w:hAnsi="Garamond" w:cs="Times New Roman"/>
                <w:color w:val="2F2F2F"/>
                <w:spacing w:val="18"/>
                <w:w w:val="105"/>
              </w:rPr>
              <w:t xml:space="preserve"> </w:t>
            </w:r>
            <w:r w:rsidRPr="004A0C12">
              <w:rPr>
                <w:rFonts w:ascii="Garamond" w:eastAsia="Times New Roman" w:hAnsi="Garamond" w:cs="Times New Roman"/>
                <w:color w:val="3F3F3F"/>
                <w:spacing w:val="14"/>
                <w:w w:val="105"/>
              </w:rPr>
              <w:t>a</w:t>
            </w:r>
            <w:r w:rsidRPr="004A0C12">
              <w:rPr>
                <w:rFonts w:ascii="Garamond" w:eastAsia="Times New Roman" w:hAnsi="Garamond" w:cs="Times New Roman"/>
                <w:color w:val="1F1F1F"/>
                <w:w w:val="105"/>
              </w:rPr>
              <w:t>nd</w:t>
            </w:r>
            <w:r w:rsidRPr="004A0C12">
              <w:rPr>
                <w:rFonts w:ascii="Garamond" w:eastAsia="Times New Roman" w:hAnsi="Garamond" w:cs="Times New Roman"/>
                <w:color w:val="1F1F1F"/>
                <w:spacing w:val="23"/>
                <w:w w:val="105"/>
              </w:rPr>
              <w:t xml:space="preserve"> </w:t>
            </w:r>
            <w:r w:rsidRPr="004A0C12">
              <w:rPr>
                <w:rFonts w:ascii="Garamond" w:eastAsia="Times New Roman" w:hAnsi="Garamond" w:cs="Times New Roman"/>
                <w:color w:val="3F3F3F"/>
                <w:w w:val="105"/>
              </w:rPr>
              <w:t>(0),</w:t>
            </w:r>
            <w:r w:rsidRPr="004A0C12">
              <w:rPr>
                <w:rFonts w:ascii="Garamond" w:eastAsia="Times New Roman" w:hAnsi="Garamond" w:cs="Times New Roman"/>
                <w:color w:val="3F3F3F"/>
                <w:spacing w:val="-17"/>
                <w:w w:val="105"/>
              </w:rPr>
              <w:t xml:space="preserve"> </w:t>
            </w:r>
            <w:r w:rsidRPr="004A0C12">
              <w:rPr>
                <w:rFonts w:ascii="Garamond" w:eastAsia="Times New Roman" w:hAnsi="Garamond" w:cs="Times New Roman"/>
                <w:color w:val="3F3F3F"/>
                <w:w w:val="105"/>
              </w:rPr>
              <w:t>of</w:t>
            </w:r>
            <w:r w:rsidRPr="004A0C12">
              <w:rPr>
                <w:rFonts w:ascii="Garamond" w:eastAsia="Times New Roman" w:hAnsi="Garamond" w:cs="Times New Roman"/>
                <w:color w:val="3F3F3F"/>
                <w:spacing w:val="-9"/>
                <w:w w:val="105"/>
              </w:rPr>
              <w:t xml:space="preserve"> </w:t>
            </w:r>
            <w:r w:rsidRPr="004A0C12">
              <w:rPr>
                <w:rFonts w:ascii="Garamond" w:eastAsia="Times New Roman" w:hAnsi="Garamond" w:cs="Times New Roman"/>
                <w:color w:val="2F2F2F"/>
                <w:w w:val="105"/>
              </w:rPr>
              <w:t>the</w:t>
            </w:r>
            <w:r w:rsidRPr="004A0C12">
              <w:rPr>
                <w:rFonts w:ascii="Garamond" w:eastAsia="Times New Roman" w:hAnsi="Garamond" w:cs="Times New Roman"/>
                <w:color w:val="2F2F2F"/>
                <w:w w:val="109"/>
              </w:rPr>
              <w:t xml:space="preserve"> </w:t>
            </w:r>
            <w:r w:rsidRPr="004A0C12">
              <w:rPr>
                <w:rFonts w:ascii="Garamond" w:eastAsia="Times New Roman" w:hAnsi="Garamond" w:cs="Times New Roman"/>
                <w:color w:val="2F2F2F"/>
              </w:rPr>
              <w:t>Rehabilitation</w:t>
            </w:r>
            <w:r w:rsidRPr="004A0C12">
              <w:rPr>
                <w:rFonts w:ascii="Garamond" w:eastAsia="Times New Roman" w:hAnsi="Garamond" w:cs="Times New Roman"/>
                <w:color w:val="2F2F2F"/>
                <w:spacing w:val="20"/>
              </w:rPr>
              <w:t xml:space="preserve"> </w:t>
            </w:r>
            <w:r w:rsidRPr="004A0C12">
              <w:rPr>
                <w:rFonts w:ascii="Garamond" w:eastAsia="Times New Roman" w:hAnsi="Garamond" w:cs="Times New Roman"/>
                <w:color w:val="2F2F2F"/>
              </w:rPr>
              <w:t>Ac</w:t>
            </w:r>
            <w:r w:rsidRPr="004A0C12">
              <w:rPr>
                <w:rFonts w:ascii="Garamond" w:eastAsia="Times New Roman" w:hAnsi="Garamond" w:cs="Times New Roman"/>
                <w:color w:val="2F2F2F"/>
                <w:spacing w:val="6"/>
              </w:rPr>
              <w:t>t</w:t>
            </w:r>
            <w:r w:rsidRPr="004A0C12">
              <w:rPr>
                <w:rFonts w:ascii="Garamond" w:eastAsia="Times New Roman" w:hAnsi="Garamond" w:cs="Times New Roman"/>
                <w:color w:val="505050"/>
              </w:rPr>
              <w:t>.</w:t>
            </w:r>
          </w:p>
        </w:tc>
      </w:tr>
      <w:tr w:rsidR="001F7B29" w:rsidRPr="004A0C12" w14:paraId="223B1DA5" w14:textId="77777777" w:rsidTr="00A2533C">
        <w:trPr>
          <w:gridBefore w:val="1"/>
          <w:wBefore w:w="24" w:type="dxa"/>
          <w:trHeight w:hRule="exact" w:val="4124"/>
        </w:trPr>
        <w:tc>
          <w:tcPr>
            <w:tcW w:w="450" w:type="dxa"/>
            <w:gridSpan w:val="2"/>
            <w:tcBorders>
              <w:top w:val="single" w:sz="8" w:space="0" w:color="000000"/>
              <w:left w:val="single" w:sz="8" w:space="0" w:color="000000"/>
              <w:bottom w:val="single" w:sz="8" w:space="0" w:color="000000"/>
              <w:right w:val="single" w:sz="8" w:space="0" w:color="000000"/>
            </w:tcBorders>
            <w:hideMark/>
          </w:tcPr>
          <w:p w14:paraId="3CF8B5B0" w14:textId="77777777" w:rsidR="001F7B29" w:rsidRPr="004A0C12" w:rsidRDefault="001F7B29" w:rsidP="00E500D8">
            <w:pPr>
              <w:widowControl w:val="0"/>
              <w:spacing w:line="273" w:lineRule="exact"/>
              <w:rPr>
                <w:rFonts w:ascii="Garamond" w:eastAsia="Times New Roman" w:hAnsi="Garamond" w:cs="Times New Roman"/>
              </w:rPr>
            </w:pPr>
            <w:r w:rsidRPr="004A0C12">
              <w:rPr>
                <w:rFonts w:ascii="Garamond" w:eastAsia="Times New Roman" w:hAnsi="Garamond" w:cs="Times New Roman"/>
                <w:color w:val="2F2F2F"/>
                <w:w w:val="105"/>
              </w:rPr>
              <w:t>7.</w:t>
            </w:r>
          </w:p>
        </w:tc>
        <w:tc>
          <w:tcPr>
            <w:tcW w:w="8820" w:type="dxa"/>
            <w:tcBorders>
              <w:top w:val="single" w:sz="8" w:space="0" w:color="000000"/>
              <w:left w:val="single" w:sz="8" w:space="0" w:color="000000"/>
              <w:bottom w:val="single" w:sz="8" w:space="0" w:color="000000"/>
              <w:right w:val="single" w:sz="8" w:space="0" w:color="000000"/>
            </w:tcBorders>
            <w:hideMark/>
          </w:tcPr>
          <w:p w14:paraId="2C5EFDA0" w14:textId="77777777" w:rsidR="001F7B29" w:rsidRPr="004A0C12" w:rsidRDefault="001F7B29" w:rsidP="00232F09">
            <w:pPr>
              <w:widowControl w:val="0"/>
              <w:numPr>
                <w:ilvl w:val="0"/>
                <w:numId w:val="203"/>
              </w:numPr>
              <w:tabs>
                <w:tab w:val="left" w:pos="465"/>
              </w:tabs>
              <w:spacing w:after="0" w:line="240" w:lineRule="auto"/>
              <w:ind w:left="465"/>
              <w:rPr>
                <w:rFonts w:ascii="Garamond" w:eastAsia="Times New Roman" w:hAnsi="Garamond" w:cs="Times New Roman"/>
              </w:rPr>
            </w:pPr>
            <w:r w:rsidRPr="004A0C12">
              <w:rPr>
                <w:rFonts w:ascii="Garamond" w:eastAsia="Times New Roman" w:hAnsi="Garamond" w:cs="Times New Roman"/>
                <w:b/>
                <w:color w:val="1F1F1F"/>
                <w:w w:val="105"/>
              </w:rPr>
              <w:t>Provision</w:t>
            </w:r>
            <w:r w:rsidRPr="004A0C12">
              <w:rPr>
                <w:rFonts w:ascii="Garamond" w:eastAsia="Times New Roman" w:hAnsi="Garamond" w:cs="Times New Roman"/>
                <w:b/>
                <w:color w:val="1F1F1F"/>
                <w:spacing w:val="47"/>
                <w:w w:val="105"/>
              </w:rPr>
              <w:t xml:space="preserve"> </w:t>
            </w:r>
            <w:r w:rsidRPr="004A0C12">
              <w:rPr>
                <w:rFonts w:ascii="Garamond" w:eastAsia="Times New Roman" w:hAnsi="Garamond" w:cs="Times New Roman"/>
                <w:b/>
                <w:color w:val="1F1F1F"/>
                <w:w w:val="105"/>
              </w:rPr>
              <w:t>of</w:t>
            </w:r>
            <w:r w:rsidRPr="004A0C12">
              <w:rPr>
                <w:rFonts w:ascii="Garamond" w:eastAsia="Times New Roman" w:hAnsi="Garamond" w:cs="Times New Roman"/>
                <w:b/>
                <w:color w:val="1F1F1F"/>
                <w:spacing w:val="28"/>
                <w:w w:val="105"/>
              </w:rPr>
              <w:t xml:space="preserve"> </w:t>
            </w:r>
            <w:r w:rsidRPr="004A0C12">
              <w:rPr>
                <w:rFonts w:ascii="Garamond" w:eastAsia="Times New Roman" w:hAnsi="Garamond" w:cs="Times New Roman"/>
                <w:b/>
                <w:color w:val="1F1F1F"/>
                <w:w w:val="105"/>
              </w:rPr>
              <w:t>Supported</w:t>
            </w:r>
            <w:r w:rsidRPr="004A0C12">
              <w:rPr>
                <w:rFonts w:ascii="Garamond" w:eastAsia="Times New Roman" w:hAnsi="Garamond" w:cs="Times New Roman"/>
                <w:b/>
                <w:color w:val="1F1F1F"/>
                <w:spacing w:val="24"/>
                <w:w w:val="105"/>
              </w:rPr>
              <w:t xml:space="preserve"> </w:t>
            </w:r>
            <w:r w:rsidRPr="004A0C12">
              <w:rPr>
                <w:rFonts w:ascii="Garamond" w:eastAsia="Times New Roman" w:hAnsi="Garamond" w:cs="Times New Roman"/>
                <w:b/>
                <w:color w:val="1F1F1F"/>
                <w:w w:val="105"/>
              </w:rPr>
              <w:t>Employment</w:t>
            </w:r>
            <w:r w:rsidRPr="004A0C12">
              <w:rPr>
                <w:rFonts w:ascii="Garamond" w:eastAsia="Times New Roman" w:hAnsi="Garamond" w:cs="Times New Roman"/>
                <w:b/>
                <w:color w:val="1F1F1F"/>
                <w:spacing w:val="49"/>
                <w:w w:val="105"/>
              </w:rPr>
              <w:t xml:space="preserve"> </w:t>
            </w:r>
            <w:r w:rsidRPr="004A0C12">
              <w:rPr>
                <w:rFonts w:ascii="Garamond" w:eastAsia="Times New Roman" w:hAnsi="Garamond" w:cs="Times New Roman"/>
                <w:b/>
                <w:color w:val="1F1F1F"/>
                <w:w w:val="105"/>
              </w:rPr>
              <w:t>Services:</w:t>
            </w:r>
            <w:r w:rsidRPr="004A0C12">
              <w:rPr>
                <w:rFonts w:ascii="Garamond" w:eastAsia="Times New Roman" w:hAnsi="Garamond" w:cs="Times New Roman"/>
                <w:b/>
                <w:color w:val="1F1F1F"/>
                <w:spacing w:val="59"/>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19"/>
                <w:w w:val="105"/>
              </w:rPr>
              <w:t xml:space="preserve"> </w:t>
            </w:r>
            <w:r w:rsidRPr="004A0C12">
              <w:rPr>
                <w:rFonts w:ascii="Garamond" w:eastAsia="Times New Roman" w:hAnsi="Garamond" w:cs="Times New Roman"/>
                <w:color w:val="2F2F2F"/>
                <w:w w:val="105"/>
              </w:rPr>
              <w:t>designated</w:t>
            </w:r>
            <w:r w:rsidRPr="004A0C12">
              <w:rPr>
                <w:rFonts w:ascii="Garamond" w:eastAsia="Times New Roman" w:hAnsi="Garamond" w:cs="Times New Roman"/>
                <w:color w:val="2F2F2F"/>
                <w:spacing w:val="49"/>
                <w:w w:val="105"/>
              </w:rPr>
              <w:t xml:space="preserve"> </w:t>
            </w:r>
            <w:r w:rsidRPr="004A0C12">
              <w:rPr>
                <w:rFonts w:ascii="Garamond" w:eastAsia="Times New Roman" w:hAnsi="Garamond" w:cs="Times New Roman"/>
                <w:color w:val="3F3F3F"/>
                <w:w w:val="105"/>
              </w:rPr>
              <w:t>State</w:t>
            </w:r>
            <w:r w:rsidRPr="004A0C12">
              <w:rPr>
                <w:rFonts w:ascii="Garamond" w:eastAsia="Times New Roman" w:hAnsi="Garamond" w:cs="Times New Roman"/>
                <w:color w:val="3F3F3F"/>
                <w:spacing w:val="8"/>
                <w:w w:val="105"/>
              </w:rPr>
              <w:t xml:space="preserve"> </w:t>
            </w:r>
            <w:r w:rsidRPr="004A0C12">
              <w:rPr>
                <w:rFonts w:ascii="Garamond" w:eastAsia="Times New Roman" w:hAnsi="Garamond" w:cs="Times New Roman"/>
                <w:color w:val="3F3F3F"/>
                <w:w w:val="105"/>
              </w:rPr>
              <w:t>ag</w:t>
            </w:r>
            <w:r w:rsidRPr="004A0C12">
              <w:rPr>
                <w:rFonts w:ascii="Garamond" w:eastAsia="Times New Roman" w:hAnsi="Garamond" w:cs="Times New Roman"/>
                <w:color w:val="3F3F3F"/>
                <w:spacing w:val="9"/>
                <w:w w:val="105"/>
              </w:rPr>
              <w:t>e</w:t>
            </w:r>
            <w:r w:rsidRPr="004A0C12">
              <w:rPr>
                <w:rFonts w:ascii="Garamond" w:eastAsia="Times New Roman" w:hAnsi="Garamond" w:cs="Times New Roman"/>
                <w:color w:val="1F1F1F"/>
                <w:spacing w:val="20"/>
                <w:w w:val="105"/>
              </w:rPr>
              <w:t>n</w:t>
            </w:r>
            <w:r w:rsidRPr="004A0C12">
              <w:rPr>
                <w:rFonts w:ascii="Garamond" w:eastAsia="Times New Roman" w:hAnsi="Garamond" w:cs="Times New Roman"/>
                <w:color w:val="3F3F3F"/>
                <w:w w:val="105"/>
              </w:rPr>
              <w:t>cy</w:t>
            </w:r>
          </w:p>
          <w:p w14:paraId="5334B10D" w14:textId="77777777" w:rsidR="001F7B29" w:rsidRPr="004A0C12" w:rsidRDefault="001F7B29" w:rsidP="00A2533C">
            <w:pPr>
              <w:widowControl w:val="0"/>
              <w:spacing w:after="0" w:line="240" w:lineRule="auto"/>
              <w:ind w:left="465"/>
              <w:rPr>
                <w:rFonts w:ascii="Garamond" w:eastAsia="Times New Roman" w:hAnsi="Garamond" w:cs="Times New Roman"/>
              </w:rPr>
            </w:pPr>
            <w:r w:rsidRPr="004A0C12">
              <w:rPr>
                <w:rFonts w:ascii="Garamond" w:eastAsia="Times New Roman" w:hAnsi="Garamond" w:cs="Times New Roman"/>
                <w:color w:val="2F2F2F"/>
                <w:w w:val="105"/>
              </w:rPr>
              <w:t>assures</w:t>
            </w:r>
            <w:r w:rsidRPr="004A0C12">
              <w:rPr>
                <w:rFonts w:ascii="Garamond" w:eastAsia="Times New Roman" w:hAnsi="Garamond" w:cs="Times New Roman"/>
                <w:color w:val="2F2F2F"/>
                <w:spacing w:val="3"/>
                <w:w w:val="105"/>
              </w:rPr>
              <w:t xml:space="preserve"> </w:t>
            </w:r>
            <w:r w:rsidRPr="004A0C12">
              <w:rPr>
                <w:rFonts w:ascii="Garamond" w:eastAsia="Times New Roman" w:hAnsi="Garamond" w:cs="Times New Roman"/>
                <w:color w:val="1F1F1F"/>
                <w:spacing w:val="9"/>
                <w:w w:val="105"/>
              </w:rPr>
              <w:t>t</w:t>
            </w:r>
            <w:r w:rsidRPr="004A0C12">
              <w:rPr>
                <w:rFonts w:ascii="Garamond" w:eastAsia="Times New Roman" w:hAnsi="Garamond" w:cs="Times New Roman"/>
                <w:color w:val="3F3F3F"/>
                <w:w w:val="105"/>
              </w:rPr>
              <w:t>hat it</w:t>
            </w:r>
            <w:r w:rsidRPr="004A0C12">
              <w:rPr>
                <w:rFonts w:ascii="Garamond" w:eastAsia="Times New Roman" w:hAnsi="Garamond" w:cs="Times New Roman"/>
                <w:color w:val="3F3F3F"/>
                <w:spacing w:val="-15"/>
                <w:w w:val="105"/>
              </w:rPr>
              <w:t xml:space="preserve"> </w:t>
            </w:r>
            <w:r w:rsidRPr="004A0C12">
              <w:rPr>
                <w:rFonts w:ascii="Garamond" w:eastAsia="Times New Roman" w:hAnsi="Garamond" w:cs="Times New Roman"/>
                <w:color w:val="2F2F2F"/>
                <w:w w:val="105"/>
              </w:rPr>
              <w:t>will</w:t>
            </w:r>
            <w:r w:rsidRPr="004A0C12">
              <w:rPr>
                <w:rFonts w:ascii="Garamond" w:eastAsia="Times New Roman" w:hAnsi="Garamond" w:cs="Times New Roman"/>
                <w:color w:val="2F2F2F"/>
                <w:spacing w:val="1"/>
                <w:w w:val="105"/>
              </w:rPr>
              <w:t xml:space="preserve"> </w:t>
            </w:r>
            <w:r w:rsidRPr="004A0C12">
              <w:rPr>
                <w:rFonts w:ascii="Garamond" w:eastAsia="Times New Roman" w:hAnsi="Garamond" w:cs="Times New Roman"/>
                <w:color w:val="2F2F2F"/>
                <w:w w:val="105"/>
              </w:rPr>
              <w:t>provide</w:t>
            </w:r>
            <w:r w:rsidRPr="004A0C12">
              <w:rPr>
                <w:rFonts w:ascii="Garamond" w:eastAsia="Times New Roman" w:hAnsi="Garamond" w:cs="Times New Roman"/>
                <w:color w:val="2F2F2F"/>
                <w:spacing w:val="7"/>
                <w:w w:val="105"/>
              </w:rPr>
              <w:t xml:space="preserve"> </w:t>
            </w:r>
            <w:r w:rsidRPr="004A0C12">
              <w:rPr>
                <w:rFonts w:ascii="Garamond" w:eastAsia="Times New Roman" w:hAnsi="Garamond" w:cs="Times New Roman"/>
                <w:color w:val="3F3F3F"/>
                <w:w w:val="105"/>
              </w:rPr>
              <w:t>s</w:t>
            </w:r>
            <w:r w:rsidRPr="004A0C12">
              <w:rPr>
                <w:rFonts w:ascii="Garamond" w:eastAsia="Times New Roman" w:hAnsi="Garamond" w:cs="Times New Roman"/>
                <w:color w:val="3F3F3F"/>
                <w:spacing w:val="20"/>
                <w:w w:val="105"/>
              </w:rPr>
              <w:t>u</w:t>
            </w:r>
            <w:r w:rsidRPr="004A0C12">
              <w:rPr>
                <w:rFonts w:ascii="Garamond" w:eastAsia="Times New Roman" w:hAnsi="Garamond" w:cs="Times New Roman"/>
                <w:color w:val="1F1F1F"/>
                <w:w w:val="105"/>
              </w:rPr>
              <w:t>pported</w:t>
            </w:r>
            <w:r w:rsidRPr="004A0C12">
              <w:rPr>
                <w:rFonts w:ascii="Garamond" w:eastAsia="Times New Roman" w:hAnsi="Garamond" w:cs="Times New Roman"/>
                <w:color w:val="1F1F1F"/>
                <w:spacing w:val="24"/>
                <w:w w:val="105"/>
              </w:rPr>
              <w:t xml:space="preserve"> </w:t>
            </w:r>
            <w:r w:rsidRPr="004A0C12">
              <w:rPr>
                <w:rFonts w:ascii="Garamond" w:eastAsia="Times New Roman" w:hAnsi="Garamond" w:cs="Times New Roman"/>
                <w:color w:val="1F1F1F"/>
                <w:w w:val="105"/>
              </w:rPr>
              <w:t>employment</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3F3F3F"/>
                <w:w w:val="105"/>
              </w:rPr>
              <w:t>s</w:t>
            </w:r>
            <w:r w:rsidRPr="004A0C12">
              <w:rPr>
                <w:rFonts w:ascii="Garamond" w:eastAsia="Times New Roman" w:hAnsi="Garamond" w:cs="Times New Roman"/>
                <w:color w:val="3F3F3F"/>
                <w:spacing w:val="2"/>
                <w:w w:val="105"/>
              </w:rPr>
              <w:t>e</w:t>
            </w:r>
            <w:r w:rsidRPr="004A0C12">
              <w:rPr>
                <w:rFonts w:ascii="Garamond" w:eastAsia="Times New Roman" w:hAnsi="Garamond" w:cs="Times New Roman"/>
                <w:color w:val="1F1F1F"/>
                <w:spacing w:val="10"/>
                <w:w w:val="105"/>
              </w:rPr>
              <w:t>r</w:t>
            </w:r>
            <w:r w:rsidRPr="004A0C12">
              <w:rPr>
                <w:rFonts w:ascii="Garamond" w:eastAsia="Times New Roman" w:hAnsi="Garamond" w:cs="Times New Roman"/>
                <w:color w:val="3F3F3F"/>
                <w:w w:val="105"/>
              </w:rPr>
              <w:t>vices</w:t>
            </w:r>
            <w:r w:rsidRPr="004A0C12">
              <w:rPr>
                <w:rFonts w:ascii="Garamond" w:eastAsia="Times New Roman" w:hAnsi="Garamond" w:cs="Times New Roman"/>
                <w:color w:val="3F3F3F"/>
                <w:spacing w:val="3"/>
                <w:w w:val="105"/>
              </w:rPr>
              <w:t xml:space="preserve"> </w:t>
            </w:r>
            <w:r w:rsidRPr="004A0C12">
              <w:rPr>
                <w:rFonts w:ascii="Garamond" w:eastAsia="Times New Roman" w:hAnsi="Garamond" w:cs="Times New Roman"/>
                <w:color w:val="3F3F3F"/>
                <w:w w:val="105"/>
              </w:rPr>
              <w:t>as</w:t>
            </w:r>
            <w:r w:rsidRPr="004A0C12">
              <w:rPr>
                <w:rFonts w:ascii="Garamond" w:eastAsia="Times New Roman" w:hAnsi="Garamond" w:cs="Times New Roman"/>
                <w:color w:val="3F3F3F"/>
                <w:spacing w:val="-6"/>
                <w:w w:val="105"/>
              </w:rPr>
              <w:t xml:space="preserve"> </w:t>
            </w:r>
            <w:r w:rsidRPr="004A0C12">
              <w:rPr>
                <w:rFonts w:ascii="Garamond" w:eastAsia="Times New Roman" w:hAnsi="Garamond" w:cs="Times New Roman"/>
                <w:color w:val="2F2F2F"/>
                <w:w w:val="105"/>
              </w:rPr>
              <w:t>defined</w:t>
            </w:r>
            <w:r w:rsidRPr="004A0C12">
              <w:rPr>
                <w:rFonts w:ascii="Garamond" w:eastAsia="Times New Roman" w:hAnsi="Garamond" w:cs="Times New Roman"/>
                <w:color w:val="2F2F2F"/>
                <w:spacing w:val="5"/>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3F3F3F"/>
                <w:w w:val="105"/>
              </w:rPr>
              <w:t>s</w:t>
            </w:r>
            <w:r w:rsidRPr="004A0C12">
              <w:rPr>
                <w:rFonts w:ascii="Garamond" w:eastAsia="Times New Roman" w:hAnsi="Garamond" w:cs="Times New Roman"/>
                <w:color w:val="3F3F3F"/>
                <w:spacing w:val="2"/>
                <w:w w:val="105"/>
              </w:rPr>
              <w:t>e</w:t>
            </w:r>
            <w:r w:rsidRPr="004A0C12">
              <w:rPr>
                <w:rFonts w:ascii="Garamond" w:eastAsia="Times New Roman" w:hAnsi="Garamond" w:cs="Times New Roman"/>
                <w:color w:val="1F1F1F"/>
                <w:spacing w:val="6"/>
                <w:w w:val="105"/>
              </w:rPr>
              <w:t>c</w:t>
            </w:r>
            <w:r w:rsidRPr="004A0C12">
              <w:rPr>
                <w:rFonts w:ascii="Garamond" w:eastAsia="Times New Roman" w:hAnsi="Garamond" w:cs="Times New Roman"/>
                <w:color w:val="3F3F3F"/>
                <w:w w:val="105"/>
              </w:rPr>
              <w:t>tion</w:t>
            </w:r>
          </w:p>
          <w:p w14:paraId="277915F8" w14:textId="77777777" w:rsidR="001F7B29" w:rsidRPr="004A0C12" w:rsidRDefault="001F7B29" w:rsidP="00A2533C">
            <w:pPr>
              <w:widowControl w:val="0"/>
              <w:spacing w:after="0" w:line="240" w:lineRule="auto"/>
              <w:ind w:left="465"/>
              <w:rPr>
                <w:rFonts w:ascii="Garamond" w:eastAsia="Times New Roman" w:hAnsi="Garamond" w:cs="Times New Roman"/>
              </w:rPr>
            </w:pPr>
            <w:r w:rsidRPr="004A0C12">
              <w:rPr>
                <w:rFonts w:ascii="Garamond" w:eastAsia="Times New Roman" w:hAnsi="Garamond" w:cs="Times New Roman"/>
                <w:color w:val="2F2F2F"/>
              </w:rPr>
              <w:t>7(39)</w:t>
            </w:r>
            <w:r w:rsidRPr="004A0C12">
              <w:rPr>
                <w:rFonts w:ascii="Garamond" w:eastAsia="Times New Roman" w:hAnsi="Garamond" w:cs="Times New Roman"/>
                <w:color w:val="2F2F2F"/>
                <w:spacing w:val="30"/>
              </w:rPr>
              <w:t xml:space="preserve"> </w:t>
            </w:r>
            <w:r w:rsidRPr="004A0C12">
              <w:rPr>
                <w:rFonts w:ascii="Garamond" w:eastAsia="Times New Roman" w:hAnsi="Garamond" w:cs="Times New Roman"/>
                <w:color w:val="1F1F1F"/>
                <w:spacing w:val="4"/>
              </w:rPr>
              <w:t>o</w:t>
            </w:r>
            <w:r w:rsidRPr="004A0C12">
              <w:rPr>
                <w:rFonts w:ascii="Garamond" w:eastAsia="Times New Roman" w:hAnsi="Garamond" w:cs="Times New Roman"/>
                <w:color w:val="3F3F3F"/>
              </w:rPr>
              <w:t>f</w:t>
            </w:r>
            <w:r w:rsidRPr="004A0C12">
              <w:rPr>
                <w:rFonts w:ascii="Garamond" w:eastAsia="Times New Roman" w:hAnsi="Garamond" w:cs="Times New Roman"/>
                <w:color w:val="3F3F3F"/>
                <w:spacing w:val="23"/>
              </w:rPr>
              <w:t xml:space="preserve"> </w:t>
            </w:r>
            <w:r w:rsidRPr="004A0C12">
              <w:rPr>
                <w:rFonts w:ascii="Garamond" w:eastAsia="Times New Roman" w:hAnsi="Garamond" w:cs="Times New Roman"/>
                <w:color w:val="2F2F2F"/>
              </w:rPr>
              <w:t>the</w:t>
            </w:r>
            <w:r w:rsidRPr="004A0C12">
              <w:rPr>
                <w:rFonts w:ascii="Garamond" w:eastAsia="Times New Roman" w:hAnsi="Garamond" w:cs="Times New Roman"/>
                <w:color w:val="2F2F2F"/>
                <w:spacing w:val="25"/>
              </w:rPr>
              <w:t xml:space="preserve"> </w:t>
            </w:r>
            <w:r w:rsidRPr="004A0C12">
              <w:rPr>
                <w:rFonts w:ascii="Garamond" w:eastAsia="Times New Roman" w:hAnsi="Garamond" w:cs="Times New Roman"/>
                <w:color w:val="2F2F2F"/>
              </w:rPr>
              <w:t>Rehabilitation</w:t>
            </w:r>
            <w:r w:rsidRPr="004A0C12">
              <w:rPr>
                <w:rFonts w:ascii="Garamond" w:eastAsia="Times New Roman" w:hAnsi="Garamond" w:cs="Times New Roman"/>
                <w:color w:val="2F2F2F"/>
                <w:spacing w:val="29"/>
              </w:rPr>
              <w:t xml:space="preserve"> </w:t>
            </w:r>
            <w:r w:rsidRPr="004A0C12">
              <w:rPr>
                <w:rFonts w:ascii="Garamond" w:eastAsia="Times New Roman" w:hAnsi="Garamond" w:cs="Times New Roman"/>
                <w:color w:val="2F2F2F"/>
              </w:rPr>
              <w:t>Act.</w:t>
            </w:r>
          </w:p>
          <w:p w14:paraId="6B4C8131" w14:textId="77777777" w:rsidR="001F7B29" w:rsidRPr="004A0C12" w:rsidRDefault="001F7B29" w:rsidP="00232F09">
            <w:pPr>
              <w:widowControl w:val="0"/>
              <w:numPr>
                <w:ilvl w:val="0"/>
                <w:numId w:val="203"/>
              </w:numPr>
              <w:tabs>
                <w:tab w:val="left" w:pos="446"/>
              </w:tabs>
              <w:spacing w:after="0" w:line="240" w:lineRule="auto"/>
              <w:ind w:left="446" w:hanging="336"/>
              <w:rPr>
                <w:rFonts w:ascii="Garamond" w:eastAsia="Times New Roman" w:hAnsi="Garamond" w:cs="Times New Roman"/>
              </w:rPr>
            </w:pP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1F1F1F"/>
                <w:w w:val="105"/>
              </w:rPr>
              <w:t>d</w:t>
            </w:r>
            <w:r w:rsidRPr="004A0C12">
              <w:rPr>
                <w:rFonts w:ascii="Garamond" w:eastAsia="Times New Roman" w:hAnsi="Garamond" w:cs="Times New Roman"/>
                <w:color w:val="1F1F1F"/>
                <w:spacing w:val="6"/>
                <w:w w:val="105"/>
              </w:rPr>
              <w:t>e</w:t>
            </w:r>
            <w:r w:rsidRPr="004A0C12">
              <w:rPr>
                <w:rFonts w:ascii="Garamond" w:eastAsia="Times New Roman" w:hAnsi="Garamond" w:cs="Times New Roman"/>
                <w:color w:val="3F3F3F"/>
                <w:spacing w:val="-3"/>
                <w:w w:val="105"/>
              </w:rPr>
              <w:t>s</w:t>
            </w:r>
            <w:r w:rsidRPr="004A0C12">
              <w:rPr>
                <w:rFonts w:ascii="Garamond" w:eastAsia="Times New Roman" w:hAnsi="Garamond" w:cs="Times New Roman"/>
                <w:color w:val="1F1F1F"/>
                <w:w w:val="105"/>
              </w:rPr>
              <w:t>ig</w:t>
            </w:r>
            <w:r w:rsidRPr="004A0C12">
              <w:rPr>
                <w:rFonts w:ascii="Garamond" w:eastAsia="Times New Roman" w:hAnsi="Garamond" w:cs="Times New Roman"/>
                <w:color w:val="1F1F1F"/>
                <w:spacing w:val="7"/>
                <w:w w:val="105"/>
              </w:rPr>
              <w:t>n</w:t>
            </w:r>
            <w:r w:rsidRPr="004A0C12">
              <w:rPr>
                <w:rFonts w:ascii="Garamond" w:eastAsia="Times New Roman" w:hAnsi="Garamond" w:cs="Times New Roman"/>
                <w:color w:val="3F3F3F"/>
                <w:w w:val="105"/>
              </w:rPr>
              <w:t>ated</w:t>
            </w:r>
            <w:r w:rsidRPr="004A0C12">
              <w:rPr>
                <w:rFonts w:ascii="Garamond" w:eastAsia="Times New Roman" w:hAnsi="Garamond" w:cs="Times New Roman"/>
                <w:color w:val="3F3F3F"/>
                <w:spacing w:val="5"/>
                <w:w w:val="105"/>
              </w:rPr>
              <w:t xml:space="preserve"> </w:t>
            </w:r>
            <w:r w:rsidRPr="004A0C12">
              <w:rPr>
                <w:rFonts w:ascii="Garamond" w:eastAsia="Times New Roman" w:hAnsi="Garamond" w:cs="Times New Roman"/>
                <w:color w:val="3F3F3F"/>
                <w:w w:val="105"/>
              </w:rPr>
              <w:t>State</w:t>
            </w:r>
            <w:r w:rsidRPr="004A0C12">
              <w:rPr>
                <w:rFonts w:ascii="Garamond" w:eastAsia="Times New Roman" w:hAnsi="Garamond" w:cs="Times New Roman"/>
                <w:color w:val="3F3F3F"/>
                <w:spacing w:val="-2"/>
                <w:w w:val="105"/>
              </w:rPr>
              <w:t xml:space="preserve"> </w:t>
            </w:r>
            <w:r w:rsidRPr="004A0C12">
              <w:rPr>
                <w:rFonts w:ascii="Garamond" w:eastAsia="Times New Roman" w:hAnsi="Garamond" w:cs="Times New Roman"/>
                <w:color w:val="2F2F2F"/>
                <w:w w:val="105"/>
              </w:rPr>
              <w:t>agency</w:t>
            </w:r>
            <w:r w:rsidRPr="004A0C12">
              <w:rPr>
                <w:rFonts w:ascii="Garamond" w:eastAsia="Times New Roman" w:hAnsi="Garamond" w:cs="Times New Roman"/>
                <w:color w:val="2F2F2F"/>
                <w:spacing w:val="8"/>
                <w:w w:val="105"/>
              </w:rPr>
              <w:t xml:space="preserve"> </w:t>
            </w:r>
            <w:r w:rsidRPr="004A0C12">
              <w:rPr>
                <w:rFonts w:ascii="Garamond" w:eastAsia="Times New Roman" w:hAnsi="Garamond" w:cs="Times New Roman"/>
                <w:color w:val="2F2F2F"/>
                <w:w w:val="105"/>
              </w:rPr>
              <w:t>assures</w:t>
            </w:r>
            <w:r w:rsidRPr="004A0C12">
              <w:rPr>
                <w:rFonts w:ascii="Garamond" w:eastAsia="Times New Roman" w:hAnsi="Garamond" w:cs="Times New Roman"/>
                <w:color w:val="2F2F2F"/>
                <w:spacing w:val="11"/>
                <w:w w:val="105"/>
              </w:rPr>
              <w:t xml:space="preserve"> </w:t>
            </w:r>
            <w:r w:rsidRPr="004A0C12">
              <w:rPr>
                <w:rFonts w:ascii="Garamond" w:eastAsia="Times New Roman" w:hAnsi="Garamond" w:cs="Times New Roman"/>
                <w:color w:val="1F1F1F"/>
                <w:w w:val="105"/>
              </w:rPr>
              <w:t>that:</w:t>
            </w:r>
          </w:p>
          <w:p w14:paraId="7105142F" w14:textId="77777777" w:rsidR="001F7B29" w:rsidRPr="004A0C12" w:rsidRDefault="001F7B29" w:rsidP="00232F09">
            <w:pPr>
              <w:widowControl w:val="0"/>
              <w:numPr>
                <w:ilvl w:val="1"/>
                <w:numId w:val="203"/>
              </w:numPr>
              <w:tabs>
                <w:tab w:val="left" w:pos="1032"/>
              </w:tabs>
              <w:spacing w:after="0" w:line="240" w:lineRule="auto"/>
              <w:ind w:left="1041" w:right="291" w:hanging="269"/>
              <w:rPr>
                <w:rFonts w:ascii="Garamond" w:eastAsia="Times New Roman" w:hAnsi="Garamond" w:cs="Times New Roman"/>
              </w:rPr>
            </w:pP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2F2F2F"/>
                <w:w w:val="105"/>
              </w:rPr>
              <w:t>comprehensive</w:t>
            </w:r>
            <w:r w:rsidRPr="004A0C12">
              <w:rPr>
                <w:rFonts w:ascii="Garamond" w:eastAsia="Times New Roman" w:hAnsi="Garamond" w:cs="Times New Roman"/>
                <w:color w:val="2F2F2F"/>
                <w:spacing w:val="13"/>
                <w:w w:val="105"/>
              </w:rPr>
              <w:t xml:space="preserve"> </w:t>
            </w:r>
            <w:r w:rsidRPr="004A0C12">
              <w:rPr>
                <w:rFonts w:ascii="Garamond" w:eastAsia="Times New Roman" w:hAnsi="Garamond" w:cs="Times New Roman"/>
                <w:color w:val="1F1F1F"/>
                <w:w w:val="105"/>
              </w:rPr>
              <w:t>assessment</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individuals</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spacing w:val="1"/>
                <w:w w:val="105"/>
              </w:rPr>
              <w:t xml:space="preserve"> </w:t>
            </w:r>
            <w:r w:rsidRPr="004A0C12">
              <w:rPr>
                <w:rFonts w:ascii="Garamond" w:eastAsia="Times New Roman" w:hAnsi="Garamond" w:cs="Times New Roman"/>
                <w:color w:val="3F3F3F"/>
                <w:w w:val="105"/>
              </w:rPr>
              <w:t>significa</w:t>
            </w:r>
            <w:r w:rsidRPr="004A0C12">
              <w:rPr>
                <w:rFonts w:ascii="Garamond" w:eastAsia="Times New Roman" w:hAnsi="Garamond" w:cs="Times New Roman"/>
                <w:color w:val="3F3F3F"/>
                <w:spacing w:val="15"/>
                <w:w w:val="105"/>
              </w:rPr>
              <w:t>n</w:t>
            </w:r>
            <w:r w:rsidRPr="004A0C12">
              <w:rPr>
                <w:rFonts w:ascii="Garamond" w:eastAsia="Times New Roman" w:hAnsi="Garamond" w:cs="Times New Roman"/>
                <w:color w:val="1F1F1F"/>
                <w:w w:val="105"/>
              </w:rPr>
              <w:t>t</w:t>
            </w:r>
            <w:r w:rsidRPr="004A0C12">
              <w:rPr>
                <w:rFonts w:ascii="Garamond" w:eastAsia="Times New Roman" w:hAnsi="Garamond" w:cs="Times New Roman"/>
                <w:color w:val="1F1F1F"/>
                <w:spacing w:val="-12"/>
                <w:w w:val="105"/>
              </w:rPr>
              <w:t xml:space="preserve"> </w:t>
            </w:r>
            <w:r w:rsidRPr="004A0C12">
              <w:rPr>
                <w:rFonts w:ascii="Garamond" w:eastAsia="Times New Roman" w:hAnsi="Garamond" w:cs="Times New Roman"/>
                <w:color w:val="2F2F2F"/>
                <w:w w:val="105"/>
              </w:rPr>
              <w:t>disabilities</w:t>
            </w:r>
            <w:r w:rsidRPr="004A0C12">
              <w:rPr>
                <w:rFonts w:ascii="Garamond" w:eastAsia="Times New Roman" w:hAnsi="Garamond" w:cs="Times New Roman"/>
                <w:color w:val="2F2F2F"/>
                <w:w w:val="104"/>
              </w:rPr>
              <w:t xml:space="preserve"> </w:t>
            </w:r>
            <w:r w:rsidRPr="004A0C12">
              <w:rPr>
                <w:rFonts w:ascii="Garamond" w:eastAsia="Times New Roman" w:hAnsi="Garamond" w:cs="Times New Roman"/>
                <w:color w:val="2F2F2F"/>
                <w:w w:val="105"/>
              </w:rPr>
              <w:t>conducted</w:t>
            </w:r>
            <w:r w:rsidRPr="004A0C12">
              <w:rPr>
                <w:rFonts w:ascii="Garamond" w:eastAsia="Times New Roman" w:hAnsi="Garamond" w:cs="Times New Roman"/>
                <w:color w:val="2F2F2F"/>
                <w:spacing w:val="16"/>
                <w:w w:val="105"/>
              </w:rPr>
              <w:t xml:space="preserve"> </w:t>
            </w:r>
            <w:r w:rsidRPr="004A0C12">
              <w:rPr>
                <w:rFonts w:ascii="Garamond" w:eastAsia="Times New Roman" w:hAnsi="Garamond" w:cs="Times New Roman"/>
                <w:color w:val="2F2F2F"/>
                <w:w w:val="105"/>
              </w:rPr>
              <w:t>under</w:t>
            </w:r>
            <w:r w:rsidRPr="004A0C12">
              <w:rPr>
                <w:rFonts w:ascii="Garamond" w:eastAsia="Times New Roman" w:hAnsi="Garamond" w:cs="Times New Roman"/>
                <w:color w:val="2F2F2F"/>
                <w:spacing w:val="-2"/>
                <w:w w:val="105"/>
              </w:rPr>
              <w:t xml:space="preserve"> </w:t>
            </w:r>
            <w:r w:rsidRPr="004A0C12">
              <w:rPr>
                <w:rFonts w:ascii="Garamond" w:eastAsia="Times New Roman" w:hAnsi="Garamond" w:cs="Times New Roman"/>
                <w:color w:val="2F2F2F"/>
                <w:w w:val="105"/>
              </w:rPr>
              <w:t>section</w:t>
            </w:r>
            <w:r w:rsidRPr="004A0C12">
              <w:rPr>
                <w:rFonts w:ascii="Garamond" w:eastAsia="Times New Roman" w:hAnsi="Garamond" w:cs="Times New Roman"/>
                <w:color w:val="2F2F2F"/>
                <w:spacing w:val="-3"/>
                <w:w w:val="105"/>
              </w:rPr>
              <w:t xml:space="preserve"> </w:t>
            </w:r>
            <w:r w:rsidRPr="004A0C12">
              <w:rPr>
                <w:rFonts w:ascii="Garamond" w:eastAsia="Times New Roman" w:hAnsi="Garamond" w:cs="Times New Roman"/>
                <w:color w:val="1F1F1F"/>
                <w:w w:val="105"/>
              </w:rPr>
              <w:t>102(b)(1)</w:t>
            </w:r>
            <w:r w:rsidRPr="004A0C12">
              <w:rPr>
                <w:rFonts w:ascii="Garamond" w:eastAsia="Times New Roman" w:hAnsi="Garamond" w:cs="Times New Roman"/>
                <w:color w:val="1F1F1F"/>
                <w:spacing w:val="-15"/>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Rehabilita</w:t>
            </w:r>
            <w:r w:rsidRPr="004A0C12">
              <w:rPr>
                <w:rFonts w:ascii="Garamond" w:eastAsia="Times New Roman" w:hAnsi="Garamond" w:cs="Times New Roman"/>
                <w:color w:val="3F3F3F"/>
                <w:spacing w:val="9"/>
                <w:w w:val="105"/>
              </w:rPr>
              <w:t>t</w:t>
            </w:r>
            <w:r w:rsidRPr="004A0C12">
              <w:rPr>
                <w:rFonts w:ascii="Garamond" w:eastAsia="Times New Roman" w:hAnsi="Garamond" w:cs="Times New Roman"/>
                <w:color w:val="1F1F1F"/>
                <w:w w:val="105"/>
              </w:rPr>
              <w:t>ion</w:t>
            </w:r>
            <w:r w:rsidRPr="004A0C12">
              <w:rPr>
                <w:rFonts w:ascii="Garamond" w:eastAsia="Times New Roman" w:hAnsi="Garamond" w:cs="Times New Roman"/>
                <w:color w:val="1F1F1F"/>
                <w:spacing w:val="-5"/>
                <w:w w:val="105"/>
              </w:rPr>
              <w:t xml:space="preserve"> </w:t>
            </w:r>
            <w:r w:rsidRPr="004A0C12">
              <w:rPr>
                <w:rFonts w:ascii="Garamond" w:eastAsia="Times New Roman" w:hAnsi="Garamond" w:cs="Times New Roman"/>
                <w:color w:val="3F3F3F"/>
                <w:w w:val="105"/>
              </w:rPr>
              <w:t>Act</w:t>
            </w:r>
            <w:r w:rsidRPr="004A0C12">
              <w:rPr>
                <w:rFonts w:ascii="Garamond" w:eastAsia="Times New Roman" w:hAnsi="Garamond" w:cs="Times New Roman"/>
                <w:color w:val="3F3F3F"/>
                <w:spacing w:val="-7"/>
                <w:w w:val="105"/>
              </w:rPr>
              <w:t xml:space="preserve"> </w:t>
            </w:r>
            <w:r w:rsidRPr="004A0C12">
              <w:rPr>
                <w:rFonts w:ascii="Garamond" w:eastAsia="Times New Roman" w:hAnsi="Garamond" w:cs="Times New Roman"/>
                <w:color w:val="3F3F3F"/>
                <w:spacing w:val="12"/>
                <w:w w:val="105"/>
              </w:rPr>
              <w:t>a</w:t>
            </w:r>
            <w:r w:rsidRPr="004A0C12">
              <w:rPr>
                <w:rFonts w:ascii="Garamond" w:eastAsia="Times New Roman" w:hAnsi="Garamond" w:cs="Times New Roman"/>
                <w:color w:val="1F1F1F"/>
                <w:w w:val="105"/>
              </w:rPr>
              <w:t>nd</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funded</w:t>
            </w:r>
            <w:r w:rsidRPr="004A0C12">
              <w:rPr>
                <w:rFonts w:ascii="Garamond" w:eastAsia="Times New Roman" w:hAnsi="Garamond" w:cs="Times New Roman"/>
                <w:color w:val="1F1F1F"/>
                <w:w w:val="104"/>
              </w:rPr>
              <w:t xml:space="preserve"> </w:t>
            </w:r>
            <w:r w:rsidRPr="004A0C12">
              <w:rPr>
                <w:rFonts w:ascii="Garamond" w:eastAsia="Times New Roman" w:hAnsi="Garamond" w:cs="Times New Roman"/>
                <w:color w:val="1F1F1F"/>
                <w:w w:val="105"/>
              </w:rPr>
              <w:t>un</w:t>
            </w:r>
            <w:r w:rsidRPr="004A0C12">
              <w:rPr>
                <w:rFonts w:ascii="Garamond" w:eastAsia="Times New Roman" w:hAnsi="Garamond" w:cs="Times New Roman"/>
                <w:color w:val="1F1F1F"/>
                <w:spacing w:val="16"/>
                <w:w w:val="105"/>
              </w:rPr>
              <w:t>d</w:t>
            </w:r>
            <w:r w:rsidRPr="004A0C12">
              <w:rPr>
                <w:rFonts w:ascii="Garamond" w:eastAsia="Times New Roman" w:hAnsi="Garamond" w:cs="Times New Roman"/>
                <w:color w:val="3F3F3F"/>
                <w:spacing w:val="2"/>
                <w:w w:val="105"/>
              </w:rPr>
              <w:t>e</w:t>
            </w:r>
            <w:r w:rsidRPr="004A0C12">
              <w:rPr>
                <w:rFonts w:ascii="Garamond" w:eastAsia="Times New Roman" w:hAnsi="Garamond" w:cs="Times New Roman"/>
                <w:color w:val="1F1F1F"/>
                <w:w w:val="105"/>
              </w:rPr>
              <w:t>r</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2F2F2F"/>
                <w:w w:val="105"/>
              </w:rPr>
              <w:t>title</w:t>
            </w:r>
            <w:r w:rsidRPr="004A0C12">
              <w:rPr>
                <w:rFonts w:ascii="Garamond" w:eastAsia="Times New Roman" w:hAnsi="Garamond" w:cs="Times New Roman"/>
                <w:color w:val="2F2F2F"/>
                <w:spacing w:val="-4"/>
                <w:w w:val="105"/>
              </w:rPr>
              <w:t xml:space="preserve"> </w:t>
            </w:r>
            <w:r w:rsidRPr="004A0C12">
              <w:rPr>
                <w:rFonts w:ascii="Garamond" w:eastAsia="Times New Roman" w:hAnsi="Garamond" w:cs="Times New Roman"/>
                <w:color w:val="2F2F2F"/>
                <w:w w:val="105"/>
              </w:rPr>
              <w:t>I</w:t>
            </w:r>
            <w:r w:rsidRPr="004A0C12">
              <w:rPr>
                <w:rFonts w:ascii="Garamond" w:eastAsia="Times New Roman" w:hAnsi="Garamond" w:cs="Times New Roman"/>
                <w:color w:val="2F2F2F"/>
                <w:spacing w:val="-11"/>
                <w:w w:val="105"/>
              </w:rPr>
              <w:t xml:space="preserve"> </w:t>
            </w:r>
            <w:r w:rsidRPr="004A0C12">
              <w:rPr>
                <w:rFonts w:ascii="Garamond" w:eastAsia="Times New Roman" w:hAnsi="Garamond" w:cs="Times New Roman"/>
                <w:color w:val="3F3F3F"/>
                <w:w w:val="105"/>
              </w:rPr>
              <w:t>of</w:t>
            </w:r>
            <w:r w:rsidRPr="004A0C12">
              <w:rPr>
                <w:rFonts w:ascii="Garamond" w:eastAsia="Times New Roman" w:hAnsi="Garamond" w:cs="Times New Roman"/>
                <w:color w:val="3F3F3F"/>
                <w:spacing w:val="-3"/>
                <w:w w:val="105"/>
              </w:rPr>
              <w:t xml:space="preserve"> </w:t>
            </w:r>
            <w:r w:rsidRPr="004A0C12">
              <w:rPr>
                <w:rFonts w:ascii="Garamond" w:eastAsia="Times New Roman" w:hAnsi="Garamond" w:cs="Times New Roman"/>
                <w:color w:val="2F2F2F"/>
                <w:w w:val="105"/>
              </w:rPr>
              <w:t>the</w:t>
            </w:r>
            <w:r w:rsidRPr="004A0C12">
              <w:rPr>
                <w:rFonts w:ascii="Garamond" w:eastAsia="Times New Roman" w:hAnsi="Garamond" w:cs="Times New Roman"/>
                <w:color w:val="2F2F2F"/>
                <w:spacing w:val="-9"/>
                <w:w w:val="105"/>
              </w:rPr>
              <w:t xml:space="preserve"> </w:t>
            </w:r>
            <w:r w:rsidRPr="004A0C12">
              <w:rPr>
                <w:rFonts w:ascii="Garamond" w:eastAsia="Times New Roman" w:hAnsi="Garamond" w:cs="Times New Roman"/>
                <w:color w:val="1F1F1F"/>
                <w:w w:val="105"/>
              </w:rPr>
              <w:t>Rehabilitation</w:t>
            </w:r>
            <w:r w:rsidRPr="004A0C12">
              <w:rPr>
                <w:rFonts w:ascii="Garamond" w:eastAsia="Times New Roman" w:hAnsi="Garamond" w:cs="Times New Roman"/>
                <w:color w:val="1F1F1F"/>
                <w:spacing w:val="22"/>
                <w:w w:val="105"/>
              </w:rPr>
              <w:t xml:space="preserve"> </w:t>
            </w:r>
            <w:r w:rsidRPr="004A0C12">
              <w:rPr>
                <w:rFonts w:ascii="Garamond" w:eastAsia="Times New Roman" w:hAnsi="Garamond" w:cs="Times New Roman"/>
                <w:color w:val="1F1F1F"/>
                <w:w w:val="105"/>
              </w:rPr>
              <w:t>Act</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1F1F1F"/>
                <w:w w:val="105"/>
              </w:rPr>
              <w:t>includes</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consi</w:t>
            </w:r>
            <w:r w:rsidRPr="004A0C12">
              <w:rPr>
                <w:rFonts w:ascii="Garamond" w:eastAsia="Times New Roman" w:hAnsi="Garamond" w:cs="Times New Roman"/>
                <w:color w:val="1F1F1F"/>
                <w:spacing w:val="11"/>
                <w:w w:val="105"/>
              </w:rPr>
              <w:t>d</w:t>
            </w:r>
            <w:r w:rsidRPr="004A0C12">
              <w:rPr>
                <w:rFonts w:ascii="Garamond" w:eastAsia="Times New Roman" w:hAnsi="Garamond" w:cs="Times New Roman"/>
                <w:color w:val="3F3F3F"/>
                <w:w w:val="105"/>
              </w:rPr>
              <w:t>era</w:t>
            </w:r>
            <w:r w:rsidRPr="004A0C12">
              <w:rPr>
                <w:rFonts w:ascii="Garamond" w:eastAsia="Times New Roman" w:hAnsi="Garamond" w:cs="Times New Roman"/>
                <w:color w:val="3F3F3F"/>
                <w:spacing w:val="4"/>
                <w:w w:val="105"/>
              </w:rPr>
              <w:t>t</w:t>
            </w:r>
            <w:r w:rsidRPr="004A0C12">
              <w:rPr>
                <w:rFonts w:ascii="Garamond" w:eastAsia="Times New Roman" w:hAnsi="Garamond" w:cs="Times New Roman"/>
                <w:color w:val="1F1F1F"/>
                <w:spacing w:val="-2"/>
                <w:w w:val="105"/>
              </w:rPr>
              <w:t>i</w:t>
            </w:r>
            <w:r w:rsidRPr="004A0C12">
              <w:rPr>
                <w:rFonts w:ascii="Garamond" w:eastAsia="Times New Roman" w:hAnsi="Garamond" w:cs="Times New Roman"/>
                <w:color w:val="3F3F3F"/>
                <w:w w:val="105"/>
              </w:rPr>
              <w:t>on</w:t>
            </w:r>
            <w:r w:rsidRPr="004A0C12">
              <w:rPr>
                <w:rFonts w:ascii="Garamond" w:eastAsia="Times New Roman" w:hAnsi="Garamond" w:cs="Times New Roman"/>
                <w:color w:val="3F3F3F"/>
                <w:spacing w:val="-18"/>
                <w:w w:val="105"/>
              </w:rPr>
              <w:t xml:space="preserve"> </w:t>
            </w:r>
            <w:r w:rsidRPr="004A0C12">
              <w:rPr>
                <w:rFonts w:ascii="Garamond" w:eastAsia="Times New Roman" w:hAnsi="Garamond" w:cs="Times New Roman"/>
                <w:color w:val="3F3F3F"/>
                <w:w w:val="105"/>
              </w:rPr>
              <w:t>of</w:t>
            </w:r>
            <w:r w:rsidRPr="004A0C12">
              <w:rPr>
                <w:rFonts w:ascii="Garamond" w:eastAsia="Times New Roman" w:hAnsi="Garamond" w:cs="Times New Roman"/>
                <w:color w:val="3F3F3F"/>
                <w:spacing w:val="-13"/>
                <w:w w:val="105"/>
              </w:rPr>
              <w:t xml:space="preserve"> </w:t>
            </w:r>
            <w:r w:rsidRPr="004A0C12">
              <w:rPr>
                <w:rFonts w:ascii="Garamond" w:eastAsia="Times New Roman" w:hAnsi="Garamond" w:cs="Times New Roman"/>
                <w:color w:val="2F2F2F"/>
                <w:w w:val="105"/>
              </w:rPr>
              <w:t>supported</w:t>
            </w:r>
            <w:r w:rsidRPr="004A0C12">
              <w:rPr>
                <w:rFonts w:ascii="Garamond" w:eastAsia="Times New Roman" w:hAnsi="Garamond" w:cs="Times New Roman"/>
                <w:color w:val="2F2F2F"/>
                <w:w w:val="108"/>
              </w:rPr>
              <w:t xml:space="preserve"> </w:t>
            </w:r>
            <w:r w:rsidRPr="004A0C12">
              <w:rPr>
                <w:rFonts w:ascii="Garamond" w:eastAsia="Times New Roman" w:hAnsi="Garamond" w:cs="Times New Roman"/>
                <w:color w:val="1F1F1F"/>
                <w:w w:val="105"/>
              </w:rPr>
              <w:t>emplo</w:t>
            </w:r>
            <w:r w:rsidRPr="004A0C12">
              <w:rPr>
                <w:rFonts w:ascii="Garamond" w:eastAsia="Times New Roman" w:hAnsi="Garamond" w:cs="Times New Roman"/>
                <w:color w:val="1F1F1F"/>
                <w:spacing w:val="12"/>
                <w:w w:val="105"/>
              </w:rPr>
              <w:t>y</w:t>
            </w:r>
            <w:r w:rsidRPr="004A0C12">
              <w:rPr>
                <w:rFonts w:ascii="Garamond" w:eastAsia="Times New Roman" w:hAnsi="Garamond" w:cs="Times New Roman"/>
                <w:color w:val="3F3F3F"/>
                <w:w w:val="105"/>
              </w:rPr>
              <w:t>ment</w:t>
            </w:r>
            <w:r w:rsidRPr="004A0C12">
              <w:rPr>
                <w:rFonts w:ascii="Garamond" w:eastAsia="Times New Roman" w:hAnsi="Garamond" w:cs="Times New Roman"/>
                <w:color w:val="8A8A8A"/>
                <w:spacing w:val="20"/>
                <w:w w:val="105"/>
              </w:rPr>
              <w:t>.</w:t>
            </w:r>
            <w:r w:rsidRPr="004A0C12">
              <w:rPr>
                <w:rFonts w:ascii="Garamond" w:eastAsia="Times New Roman" w:hAnsi="Garamond" w:cs="Times New Roman"/>
                <w:color w:val="3F3F3F"/>
                <w:w w:val="105"/>
              </w:rPr>
              <w:t>as</w:t>
            </w:r>
            <w:r w:rsidRPr="004A0C12">
              <w:rPr>
                <w:rFonts w:ascii="Garamond" w:eastAsia="Times New Roman" w:hAnsi="Garamond" w:cs="Times New Roman"/>
                <w:color w:val="3F3F3F"/>
                <w:spacing w:val="-11"/>
                <w:w w:val="105"/>
              </w:rPr>
              <w:t xml:space="preserve"> </w:t>
            </w:r>
            <w:r w:rsidRPr="004A0C12">
              <w:rPr>
                <w:rFonts w:ascii="Garamond" w:eastAsia="Times New Roman" w:hAnsi="Garamond" w:cs="Times New Roman"/>
                <w:color w:val="2F2F2F"/>
                <w:w w:val="105"/>
              </w:rPr>
              <w:t>an</w:t>
            </w:r>
            <w:r w:rsidRPr="004A0C12">
              <w:rPr>
                <w:rFonts w:ascii="Garamond" w:eastAsia="Times New Roman" w:hAnsi="Garamond" w:cs="Times New Roman"/>
                <w:color w:val="2F2F2F"/>
                <w:spacing w:val="-2"/>
                <w:w w:val="105"/>
              </w:rPr>
              <w:t xml:space="preserve"> </w:t>
            </w:r>
            <w:r w:rsidRPr="004A0C12">
              <w:rPr>
                <w:rFonts w:ascii="Garamond" w:eastAsia="Times New Roman" w:hAnsi="Garamond" w:cs="Times New Roman"/>
                <w:color w:val="1F1F1F"/>
                <w:w w:val="105"/>
              </w:rPr>
              <w:t>appropriate</w:t>
            </w:r>
            <w:r w:rsidRPr="004A0C12">
              <w:rPr>
                <w:rFonts w:ascii="Garamond" w:eastAsia="Times New Roman" w:hAnsi="Garamond" w:cs="Times New Roman"/>
                <w:color w:val="1F1F1F"/>
                <w:spacing w:val="12"/>
                <w:w w:val="105"/>
              </w:rPr>
              <w:t xml:space="preserve"> </w:t>
            </w:r>
            <w:r w:rsidRPr="004A0C12">
              <w:rPr>
                <w:rFonts w:ascii="Garamond" w:eastAsia="Times New Roman" w:hAnsi="Garamond" w:cs="Times New Roman"/>
                <w:color w:val="1F1F1F"/>
                <w:w w:val="105"/>
              </w:rPr>
              <w:t>employment</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1F1F1F"/>
                <w:w w:val="105"/>
              </w:rPr>
              <w:t>outcome,</w:t>
            </w:r>
            <w:r w:rsidRPr="004A0C12">
              <w:rPr>
                <w:rFonts w:ascii="Garamond" w:eastAsia="Times New Roman" w:hAnsi="Garamond" w:cs="Times New Roman"/>
                <w:color w:val="1F1F1F"/>
                <w:spacing w:val="-13"/>
                <w:w w:val="105"/>
              </w:rPr>
              <w:t xml:space="preserve"> </w:t>
            </w:r>
            <w:r w:rsidRPr="004A0C12">
              <w:rPr>
                <w:rFonts w:ascii="Garamond" w:eastAsia="Times New Roman" w:hAnsi="Garamond" w:cs="Times New Roman"/>
                <w:color w:val="1F1F1F"/>
                <w:w w:val="105"/>
              </w:rPr>
              <w:t>in</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3F3F3F"/>
                <w:w w:val="105"/>
              </w:rPr>
              <w:t>accorda</w:t>
            </w:r>
            <w:r w:rsidRPr="004A0C12">
              <w:rPr>
                <w:rFonts w:ascii="Garamond" w:eastAsia="Times New Roman" w:hAnsi="Garamond" w:cs="Times New Roman"/>
                <w:color w:val="1F1F1F"/>
                <w:w w:val="105"/>
              </w:rPr>
              <w:t>nce</w:t>
            </w:r>
            <w:r w:rsidRPr="004A0C12">
              <w:rPr>
                <w:rFonts w:ascii="Garamond" w:eastAsia="Times New Roman" w:hAnsi="Garamond" w:cs="Times New Roman"/>
                <w:color w:val="1F1F1F"/>
                <w:spacing w:val="2"/>
                <w:w w:val="105"/>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w w:val="104"/>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10"/>
                <w:w w:val="105"/>
              </w:rPr>
              <w:t xml:space="preserve"> </w:t>
            </w:r>
            <w:r w:rsidRPr="004A0C12">
              <w:rPr>
                <w:rFonts w:ascii="Garamond" w:eastAsia="Times New Roman" w:hAnsi="Garamond" w:cs="Times New Roman"/>
                <w:color w:val="1F1F1F"/>
                <w:spacing w:val="9"/>
                <w:w w:val="105"/>
              </w:rPr>
              <w:t>r</w:t>
            </w:r>
            <w:r w:rsidRPr="004A0C12">
              <w:rPr>
                <w:rFonts w:ascii="Garamond" w:eastAsia="Times New Roman" w:hAnsi="Garamond" w:cs="Times New Roman"/>
                <w:color w:val="3F3F3F"/>
                <w:w w:val="105"/>
              </w:rPr>
              <w:t>eq</w:t>
            </w:r>
            <w:r w:rsidRPr="004A0C12">
              <w:rPr>
                <w:rFonts w:ascii="Garamond" w:eastAsia="Times New Roman" w:hAnsi="Garamond" w:cs="Times New Roman"/>
                <w:color w:val="3F3F3F"/>
                <w:spacing w:val="16"/>
                <w:w w:val="105"/>
              </w:rPr>
              <w:t>u</w:t>
            </w:r>
            <w:r w:rsidRPr="004A0C12">
              <w:rPr>
                <w:rFonts w:ascii="Garamond" w:eastAsia="Times New Roman" w:hAnsi="Garamond" w:cs="Times New Roman"/>
                <w:color w:val="1F1F1F"/>
                <w:w w:val="105"/>
              </w:rPr>
              <w:t>i</w:t>
            </w:r>
            <w:r w:rsidRPr="004A0C12">
              <w:rPr>
                <w:rFonts w:ascii="Garamond" w:eastAsia="Times New Roman" w:hAnsi="Garamond" w:cs="Times New Roman"/>
                <w:color w:val="1F1F1F"/>
                <w:spacing w:val="-4"/>
                <w:w w:val="105"/>
              </w:rPr>
              <w:t>r</w:t>
            </w:r>
            <w:r w:rsidRPr="004A0C12">
              <w:rPr>
                <w:rFonts w:ascii="Garamond" w:eastAsia="Times New Roman" w:hAnsi="Garamond" w:cs="Times New Roman"/>
                <w:color w:val="3F3F3F"/>
                <w:w w:val="105"/>
              </w:rPr>
              <w:t>emen</w:t>
            </w:r>
            <w:r w:rsidRPr="004A0C12">
              <w:rPr>
                <w:rFonts w:ascii="Garamond" w:eastAsia="Times New Roman" w:hAnsi="Garamond" w:cs="Times New Roman"/>
                <w:color w:val="1F1F1F"/>
                <w:spacing w:val="-1"/>
                <w:w w:val="105"/>
              </w:rPr>
              <w:t>t</w:t>
            </w:r>
            <w:r w:rsidRPr="004A0C12">
              <w:rPr>
                <w:rFonts w:ascii="Garamond" w:eastAsia="Times New Roman" w:hAnsi="Garamond" w:cs="Times New Roman"/>
                <w:color w:val="3F3F3F"/>
                <w:w w:val="105"/>
              </w:rPr>
              <w:t>s</w:t>
            </w:r>
            <w:r w:rsidRPr="004A0C12">
              <w:rPr>
                <w:rFonts w:ascii="Garamond" w:eastAsia="Times New Roman" w:hAnsi="Garamond" w:cs="Times New Roman"/>
                <w:color w:val="3F3F3F"/>
                <w:spacing w:val="-17"/>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2F2F2F"/>
                <w:w w:val="105"/>
              </w:rPr>
              <w:t>section</w:t>
            </w:r>
            <w:r w:rsidRPr="004A0C12">
              <w:rPr>
                <w:rFonts w:ascii="Garamond" w:eastAsia="Times New Roman" w:hAnsi="Garamond" w:cs="Times New Roman"/>
                <w:color w:val="2F2F2F"/>
                <w:spacing w:val="5"/>
                <w:w w:val="105"/>
              </w:rPr>
              <w:t xml:space="preserve"> </w:t>
            </w:r>
            <w:r w:rsidRPr="004A0C12">
              <w:rPr>
                <w:rFonts w:ascii="Garamond" w:eastAsia="Times New Roman" w:hAnsi="Garamond" w:cs="Times New Roman"/>
                <w:color w:val="1F1F1F"/>
                <w:w w:val="105"/>
              </w:rPr>
              <w:t>606(b)(7)(B)</w:t>
            </w:r>
            <w:r w:rsidRPr="004A0C12">
              <w:rPr>
                <w:rFonts w:ascii="Garamond" w:eastAsia="Times New Roman" w:hAnsi="Garamond" w:cs="Times New Roman"/>
                <w:color w:val="1F1F1F"/>
                <w:spacing w:val="15"/>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1F1F1F"/>
                <w:w w:val="105"/>
              </w:rPr>
              <w:t>the</w:t>
            </w:r>
            <w:r w:rsidRPr="004A0C12">
              <w:rPr>
                <w:rFonts w:ascii="Garamond" w:eastAsia="Times New Roman" w:hAnsi="Garamond" w:cs="Times New Roman"/>
                <w:color w:val="1F1F1F"/>
                <w:spacing w:val="9"/>
                <w:w w:val="105"/>
              </w:rPr>
              <w:t xml:space="preserve"> </w:t>
            </w:r>
            <w:r w:rsidRPr="004A0C12">
              <w:rPr>
                <w:rFonts w:ascii="Garamond" w:eastAsia="Times New Roman" w:hAnsi="Garamond" w:cs="Times New Roman"/>
                <w:color w:val="1F1F1F"/>
                <w:w w:val="105"/>
              </w:rPr>
              <w:t>Rehabilit</w:t>
            </w:r>
            <w:r w:rsidRPr="004A0C12">
              <w:rPr>
                <w:rFonts w:ascii="Garamond" w:eastAsia="Times New Roman" w:hAnsi="Garamond" w:cs="Times New Roman"/>
                <w:color w:val="3F3F3F"/>
                <w:w w:val="105"/>
              </w:rPr>
              <w:t>ation</w:t>
            </w:r>
            <w:r w:rsidRPr="004A0C12">
              <w:rPr>
                <w:rFonts w:ascii="Garamond" w:eastAsia="Times New Roman" w:hAnsi="Garamond" w:cs="Times New Roman"/>
                <w:color w:val="3F3F3F"/>
                <w:spacing w:val="-14"/>
                <w:w w:val="105"/>
              </w:rPr>
              <w:t xml:space="preserve"> </w:t>
            </w:r>
            <w:r w:rsidRPr="004A0C12">
              <w:rPr>
                <w:rFonts w:ascii="Garamond" w:eastAsia="Times New Roman" w:hAnsi="Garamond" w:cs="Times New Roman"/>
                <w:color w:val="2F2F2F"/>
                <w:w w:val="105"/>
              </w:rPr>
              <w:t>Act</w:t>
            </w:r>
          </w:p>
          <w:p w14:paraId="6AE431C1" w14:textId="77777777" w:rsidR="001F7B29" w:rsidRPr="004A0C12" w:rsidRDefault="001F7B29" w:rsidP="00A2533C">
            <w:pPr>
              <w:widowControl w:val="0"/>
              <w:spacing w:after="0" w:line="240" w:lineRule="auto"/>
              <w:ind w:left="772" w:right="274"/>
              <w:rPr>
                <w:rFonts w:ascii="Garamond" w:eastAsia="Times New Roman" w:hAnsi="Garamond" w:cs="Times New Roman"/>
                <w:color w:val="1F1F1F"/>
                <w:w w:val="96"/>
              </w:rPr>
            </w:pPr>
            <w:r w:rsidRPr="004A0C12">
              <w:rPr>
                <w:rFonts w:ascii="Garamond" w:eastAsia="Times New Roman" w:hAnsi="Garamond" w:cs="Times New Roman"/>
                <w:color w:val="1F1F1F"/>
                <w:w w:val="105"/>
              </w:rPr>
              <w:t>ii.</w:t>
            </w:r>
            <w:r w:rsidRPr="004A0C12">
              <w:rPr>
                <w:rFonts w:ascii="Garamond" w:eastAsia="Times New Roman" w:hAnsi="Garamond" w:cs="Times New Roman"/>
                <w:color w:val="1F1F1F"/>
                <w:spacing w:val="46"/>
                <w:w w:val="105"/>
              </w:rPr>
              <w:t xml:space="preserve"> </w:t>
            </w:r>
            <w:r w:rsidRPr="004A0C12">
              <w:rPr>
                <w:rFonts w:ascii="Garamond" w:eastAsia="Times New Roman" w:hAnsi="Garamond" w:cs="Times New Roman"/>
                <w:color w:val="2F2F2F"/>
                <w:w w:val="105"/>
              </w:rPr>
              <w:t>an</w:t>
            </w:r>
            <w:r w:rsidRPr="004A0C12">
              <w:rPr>
                <w:rFonts w:ascii="Garamond" w:eastAsia="Times New Roman" w:hAnsi="Garamond" w:cs="Times New Roman"/>
                <w:color w:val="2F2F2F"/>
                <w:spacing w:val="3"/>
                <w:w w:val="105"/>
              </w:rPr>
              <w:t xml:space="preserve"> </w:t>
            </w:r>
            <w:r w:rsidRPr="004A0C12">
              <w:rPr>
                <w:rFonts w:ascii="Garamond" w:eastAsia="Times New Roman" w:hAnsi="Garamond" w:cs="Times New Roman"/>
                <w:color w:val="2F2F2F"/>
                <w:w w:val="105"/>
              </w:rPr>
              <w:t>individualized</w:t>
            </w:r>
            <w:r w:rsidRPr="004A0C12">
              <w:rPr>
                <w:rFonts w:ascii="Garamond" w:eastAsia="Times New Roman" w:hAnsi="Garamond" w:cs="Times New Roman"/>
                <w:color w:val="2F2F2F"/>
                <w:spacing w:val="14"/>
                <w:w w:val="105"/>
              </w:rPr>
              <w:t xml:space="preserve"> </w:t>
            </w:r>
            <w:r w:rsidRPr="004A0C12">
              <w:rPr>
                <w:rFonts w:ascii="Garamond" w:eastAsia="Times New Roman" w:hAnsi="Garamond" w:cs="Times New Roman"/>
                <w:color w:val="2F2F2F"/>
                <w:w w:val="105"/>
              </w:rPr>
              <w:t>plan</w:t>
            </w:r>
            <w:r w:rsidRPr="004A0C12">
              <w:rPr>
                <w:rFonts w:ascii="Garamond" w:eastAsia="Times New Roman" w:hAnsi="Garamond" w:cs="Times New Roman"/>
                <w:color w:val="2F2F2F"/>
                <w:spacing w:val="19"/>
                <w:w w:val="105"/>
              </w:rPr>
              <w:t xml:space="preserve"> </w:t>
            </w:r>
            <w:r w:rsidRPr="004A0C12">
              <w:rPr>
                <w:rFonts w:ascii="Garamond" w:eastAsia="Times New Roman" w:hAnsi="Garamond" w:cs="Times New Roman"/>
                <w:color w:val="1F1F1F"/>
                <w:w w:val="105"/>
              </w:rPr>
              <w:t>for</w:t>
            </w:r>
            <w:r w:rsidRPr="004A0C12">
              <w:rPr>
                <w:rFonts w:ascii="Garamond" w:eastAsia="Times New Roman" w:hAnsi="Garamond" w:cs="Times New Roman"/>
                <w:color w:val="1F1F1F"/>
                <w:spacing w:val="-3"/>
                <w:w w:val="105"/>
              </w:rPr>
              <w:t xml:space="preserve"> </w:t>
            </w:r>
            <w:r w:rsidRPr="004A0C12">
              <w:rPr>
                <w:rFonts w:ascii="Garamond" w:eastAsia="Times New Roman" w:hAnsi="Garamond" w:cs="Times New Roman"/>
                <w:color w:val="1F1F1F"/>
                <w:w w:val="105"/>
              </w:rPr>
              <w:t>employment</w:t>
            </w:r>
            <w:r w:rsidRPr="004A0C12">
              <w:rPr>
                <w:rFonts w:ascii="Garamond" w:eastAsia="Times New Roman" w:hAnsi="Garamond" w:cs="Times New Roman"/>
                <w:color w:val="1F1F1F"/>
                <w:spacing w:val="6"/>
                <w:w w:val="105"/>
              </w:rPr>
              <w:t xml:space="preserve"> </w:t>
            </w:r>
            <w:r w:rsidRPr="004A0C12">
              <w:rPr>
                <w:rFonts w:ascii="Garamond" w:eastAsia="Times New Roman" w:hAnsi="Garamond" w:cs="Times New Roman"/>
                <w:color w:val="1F1F1F"/>
                <w:w w:val="105"/>
              </w:rPr>
              <w:t>that</w:t>
            </w:r>
            <w:r w:rsidRPr="004A0C12">
              <w:rPr>
                <w:rFonts w:ascii="Garamond" w:eastAsia="Times New Roman" w:hAnsi="Garamond" w:cs="Times New Roman"/>
                <w:color w:val="1F1F1F"/>
                <w:spacing w:val="7"/>
                <w:w w:val="105"/>
              </w:rPr>
              <w:t xml:space="preserve"> </w:t>
            </w:r>
            <w:r w:rsidRPr="004A0C12">
              <w:rPr>
                <w:rFonts w:ascii="Garamond" w:eastAsia="Times New Roman" w:hAnsi="Garamond" w:cs="Times New Roman"/>
                <w:color w:val="1F1F1F"/>
                <w:w w:val="105"/>
              </w:rPr>
              <w:t>meets</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2F2F2F"/>
                <w:w w:val="105"/>
              </w:rPr>
              <w:t>the</w:t>
            </w:r>
            <w:r w:rsidRPr="004A0C12">
              <w:rPr>
                <w:rFonts w:ascii="Garamond" w:eastAsia="Times New Roman" w:hAnsi="Garamond" w:cs="Times New Roman"/>
                <w:color w:val="2F2F2F"/>
                <w:spacing w:val="4"/>
                <w:w w:val="105"/>
              </w:rPr>
              <w:t xml:space="preserve"> </w:t>
            </w:r>
            <w:r w:rsidRPr="004A0C12">
              <w:rPr>
                <w:rFonts w:ascii="Garamond" w:eastAsia="Times New Roman" w:hAnsi="Garamond" w:cs="Times New Roman"/>
                <w:color w:val="2F2F2F"/>
                <w:w w:val="105"/>
              </w:rPr>
              <w:t>requirements</w:t>
            </w:r>
            <w:r w:rsidRPr="004A0C12">
              <w:rPr>
                <w:rFonts w:ascii="Garamond" w:eastAsia="Times New Roman" w:hAnsi="Garamond" w:cs="Times New Roman"/>
                <w:color w:val="2F2F2F"/>
                <w:spacing w:val="19"/>
                <w:w w:val="105"/>
              </w:rPr>
              <w:t xml:space="preserve"> </w:t>
            </w:r>
            <w:r w:rsidRPr="004A0C12">
              <w:rPr>
                <w:rFonts w:ascii="Garamond" w:eastAsia="Times New Roman" w:hAnsi="Garamond" w:cs="Times New Roman"/>
                <w:color w:val="1F1F1F"/>
                <w:w w:val="105"/>
              </w:rPr>
              <w:t>of</w:t>
            </w:r>
            <w:r w:rsidRPr="004A0C12">
              <w:rPr>
                <w:rFonts w:ascii="Garamond" w:eastAsia="Times New Roman" w:hAnsi="Garamond" w:cs="Times New Roman"/>
                <w:color w:val="1F1F1F"/>
                <w:w w:val="96"/>
              </w:rPr>
              <w:t xml:space="preserve"> </w:t>
            </w:r>
          </w:p>
          <w:p w14:paraId="4F559B7E" w14:textId="77777777" w:rsidR="001F7B29" w:rsidRPr="004A0C12" w:rsidRDefault="001F7B29" w:rsidP="00A2533C">
            <w:pPr>
              <w:widowControl w:val="0"/>
              <w:spacing w:after="0" w:line="240" w:lineRule="auto"/>
              <w:ind w:left="1065" w:right="274" w:hanging="293"/>
              <w:rPr>
                <w:rFonts w:ascii="Garamond" w:eastAsia="Times New Roman" w:hAnsi="Garamond" w:cs="Times New Roman"/>
              </w:rPr>
            </w:pPr>
            <w:r w:rsidRPr="004A0C12">
              <w:rPr>
                <w:rFonts w:ascii="Garamond" w:eastAsia="Times New Roman" w:hAnsi="Garamond" w:cs="Times New Roman"/>
                <w:color w:val="2F2F2F"/>
                <w:w w:val="105"/>
              </w:rPr>
              <w:t xml:space="preserve">     section</w:t>
            </w:r>
            <w:r w:rsidRPr="004A0C12">
              <w:rPr>
                <w:rFonts w:ascii="Garamond" w:eastAsia="Times New Roman" w:hAnsi="Garamond" w:cs="Times New Roman"/>
                <w:color w:val="2F2F2F"/>
                <w:spacing w:val="5"/>
                <w:w w:val="105"/>
              </w:rPr>
              <w:t xml:space="preserve"> </w:t>
            </w:r>
            <w:r w:rsidRPr="004A0C12">
              <w:rPr>
                <w:rFonts w:ascii="Garamond" w:eastAsia="Times New Roman" w:hAnsi="Garamond" w:cs="Times New Roman"/>
                <w:color w:val="2F2F2F"/>
                <w:w w:val="105"/>
              </w:rPr>
              <w:t>102(b)</w:t>
            </w:r>
            <w:r w:rsidRPr="004A0C12">
              <w:rPr>
                <w:rFonts w:ascii="Garamond" w:eastAsia="Times New Roman" w:hAnsi="Garamond" w:cs="Times New Roman"/>
                <w:color w:val="2F2F2F"/>
                <w:spacing w:val="-13"/>
                <w:w w:val="105"/>
              </w:rPr>
              <w:t xml:space="preserve"> </w:t>
            </w:r>
            <w:r w:rsidRPr="004A0C12">
              <w:rPr>
                <w:rFonts w:ascii="Garamond" w:eastAsia="Times New Roman" w:hAnsi="Garamond" w:cs="Times New Roman"/>
                <w:color w:val="2F2F2F"/>
                <w:w w:val="105"/>
              </w:rPr>
              <w:t>of</w:t>
            </w:r>
            <w:r w:rsidRPr="004A0C12">
              <w:rPr>
                <w:rFonts w:ascii="Garamond" w:eastAsia="Times New Roman" w:hAnsi="Garamond" w:cs="Times New Roman"/>
                <w:color w:val="2F2F2F"/>
                <w:spacing w:val="-5"/>
                <w:w w:val="105"/>
              </w:rPr>
              <w:t xml:space="preserve"> </w:t>
            </w:r>
            <w:r w:rsidRPr="004A0C12">
              <w:rPr>
                <w:rFonts w:ascii="Garamond" w:eastAsia="Times New Roman" w:hAnsi="Garamond" w:cs="Times New Roman"/>
                <w:color w:val="2F2F2F"/>
                <w:w w:val="105"/>
              </w:rPr>
              <w:t xml:space="preserve">the </w:t>
            </w:r>
            <w:r w:rsidRPr="004A0C12">
              <w:rPr>
                <w:rFonts w:ascii="Garamond" w:eastAsia="Times New Roman" w:hAnsi="Garamond" w:cs="Times New Roman"/>
                <w:color w:val="1F1F1F"/>
                <w:w w:val="105"/>
              </w:rPr>
              <w:t>Rehabilitation</w:t>
            </w:r>
            <w:r w:rsidRPr="004A0C12">
              <w:rPr>
                <w:rFonts w:ascii="Garamond" w:eastAsia="Times New Roman" w:hAnsi="Garamond" w:cs="Times New Roman"/>
                <w:color w:val="1F1F1F"/>
                <w:spacing w:val="25"/>
                <w:w w:val="105"/>
              </w:rPr>
              <w:t xml:space="preserve"> </w:t>
            </w:r>
            <w:r w:rsidRPr="004A0C12">
              <w:rPr>
                <w:rFonts w:ascii="Garamond" w:eastAsia="Times New Roman" w:hAnsi="Garamond" w:cs="Times New Roman"/>
                <w:color w:val="1F1F1F"/>
                <w:w w:val="105"/>
              </w:rPr>
              <w:t>Act,</w:t>
            </w:r>
            <w:r w:rsidRPr="004A0C12">
              <w:rPr>
                <w:rFonts w:ascii="Garamond" w:eastAsia="Times New Roman" w:hAnsi="Garamond" w:cs="Times New Roman"/>
                <w:color w:val="1F1F1F"/>
                <w:spacing w:val="-11"/>
                <w:w w:val="105"/>
              </w:rPr>
              <w:t xml:space="preserve"> </w:t>
            </w:r>
            <w:r w:rsidRPr="004A0C12">
              <w:rPr>
                <w:rFonts w:ascii="Garamond" w:eastAsia="Times New Roman" w:hAnsi="Garamond" w:cs="Times New Roman"/>
                <w:color w:val="1F1F1F"/>
                <w:w w:val="105"/>
              </w:rPr>
              <w:t>which</w:t>
            </w:r>
            <w:r w:rsidRPr="004A0C12">
              <w:rPr>
                <w:rFonts w:ascii="Garamond" w:eastAsia="Times New Roman" w:hAnsi="Garamond" w:cs="Times New Roman"/>
                <w:color w:val="1F1F1F"/>
                <w:spacing w:val="16"/>
                <w:w w:val="105"/>
              </w:rPr>
              <w:t xml:space="preserve"> </w:t>
            </w:r>
            <w:r w:rsidRPr="004A0C12">
              <w:rPr>
                <w:rFonts w:ascii="Garamond" w:eastAsia="Times New Roman" w:hAnsi="Garamond" w:cs="Times New Roman"/>
                <w:color w:val="2F2F2F"/>
                <w:w w:val="105"/>
              </w:rPr>
              <w:t>is</w:t>
            </w:r>
            <w:r w:rsidRPr="004A0C12">
              <w:rPr>
                <w:rFonts w:ascii="Garamond" w:eastAsia="Times New Roman" w:hAnsi="Garamond" w:cs="Times New Roman"/>
                <w:color w:val="2F2F2F"/>
                <w:spacing w:val="-7"/>
                <w:w w:val="105"/>
              </w:rPr>
              <w:t xml:space="preserve"> </w:t>
            </w:r>
            <w:r w:rsidRPr="004A0C12">
              <w:rPr>
                <w:rFonts w:ascii="Garamond" w:eastAsia="Times New Roman" w:hAnsi="Garamond" w:cs="Times New Roman"/>
                <w:color w:val="2F2F2F"/>
                <w:w w:val="105"/>
              </w:rPr>
              <w:t>developed</w:t>
            </w:r>
            <w:r w:rsidRPr="004A0C12">
              <w:rPr>
                <w:rFonts w:ascii="Garamond" w:eastAsia="Times New Roman" w:hAnsi="Garamond" w:cs="Times New Roman"/>
                <w:color w:val="2F2F2F"/>
                <w:spacing w:val="8"/>
                <w:w w:val="105"/>
              </w:rPr>
              <w:t xml:space="preserve"> </w:t>
            </w:r>
            <w:r w:rsidRPr="004A0C12">
              <w:rPr>
                <w:rFonts w:ascii="Garamond" w:eastAsia="Times New Roman" w:hAnsi="Garamond" w:cs="Times New Roman"/>
                <w:color w:val="2F2F2F"/>
                <w:w w:val="105"/>
              </w:rPr>
              <w:t>and</w:t>
            </w:r>
            <w:r w:rsidRPr="004A0C12">
              <w:rPr>
                <w:rFonts w:ascii="Garamond" w:eastAsia="Times New Roman" w:hAnsi="Garamond" w:cs="Times New Roman"/>
                <w:color w:val="2F2F2F"/>
                <w:spacing w:val="-8"/>
                <w:w w:val="105"/>
              </w:rPr>
              <w:t xml:space="preserve"> </w:t>
            </w:r>
            <w:r w:rsidRPr="004A0C12">
              <w:rPr>
                <w:rFonts w:ascii="Garamond" w:eastAsia="Times New Roman" w:hAnsi="Garamond" w:cs="Times New Roman"/>
                <w:color w:val="1F1F1F"/>
                <w:w w:val="105"/>
              </w:rPr>
              <w:t>updated</w:t>
            </w:r>
            <w:r w:rsidRPr="004A0C12">
              <w:rPr>
                <w:rFonts w:ascii="Garamond" w:eastAsia="Times New Roman" w:hAnsi="Garamond" w:cs="Times New Roman"/>
                <w:color w:val="1F1F1F"/>
                <w:w w:val="107"/>
              </w:rPr>
              <w:t xml:space="preserve">      </w:t>
            </w:r>
            <w:r w:rsidRPr="004A0C12">
              <w:rPr>
                <w:rFonts w:ascii="Garamond" w:eastAsia="Times New Roman" w:hAnsi="Garamond" w:cs="Times New Roman"/>
                <w:color w:val="2F2F2F"/>
                <w:w w:val="105"/>
              </w:rPr>
              <w:t>with</w:t>
            </w:r>
            <w:r w:rsidRPr="004A0C12">
              <w:rPr>
                <w:rFonts w:ascii="Garamond" w:eastAsia="Times New Roman" w:hAnsi="Garamond" w:cs="Times New Roman"/>
                <w:color w:val="2F2F2F"/>
                <w:spacing w:val="8"/>
                <w:w w:val="105"/>
              </w:rPr>
              <w:t xml:space="preserve"> </w:t>
            </w:r>
            <w:r w:rsidRPr="004A0C12">
              <w:rPr>
                <w:rFonts w:ascii="Garamond" w:eastAsia="Times New Roman" w:hAnsi="Garamond" w:cs="Times New Roman"/>
                <w:color w:val="1F1F1F"/>
                <w:w w:val="105"/>
              </w:rPr>
              <w:t>tit</w:t>
            </w:r>
            <w:r w:rsidRPr="004A0C12">
              <w:rPr>
                <w:rFonts w:ascii="Garamond" w:eastAsia="Times New Roman" w:hAnsi="Garamond" w:cs="Times New Roman"/>
                <w:color w:val="1F1F1F"/>
                <w:spacing w:val="6"/>
                <w:w w:val="105"/>
              </w:rPr>
              <w:t>l</w:t>
            </w:r>
            <w:r w:rsidRPr="004A0C12">
              <w:rPr>
                <w:rFonts w:ascii="Garamond" w:eastAsia="Times New Roman" w:hAnsi="Garamond" w:cs="Times New Roman"/>
                <w:color w:val="3F3F3F"/>
                <w:w w:val="105"/>
              </w:rPr>
              <w:t>e</w:t>
            </w:r>
            <w:r w:rsidRPr="004A0C12">
              <w:rPr>
                <w:rFonts w:ascii="Garamond" w:eastAsia="Times New Roman" w:hAnsi="Garamond" w:cs="Times New Roman"/>
                <w:color w:val="3F3F3F"/>
                <w:spacing w:val="-4"/>
                <w:w w:val="105"/>
              </w:rPr>
              <w:t xml:space="preserve"> </w:t>
            </w:r>
            <w:r w:rsidRPr="004A0C12">
              <w:rPr>
                <w:rFonts w:ascii="Garamond" w:eastAsia="Times New Roman" w:hAnsi="Garamond" w:cs="Times New Roman"/>
                <w:color w:val="1F1F1F"/>
                <w:w w:val="105"/>
              </w:rPr>
              <w:t>I</w:t>
            </w:r>
            <w:r w:rsidRPr="004A0C12">
              <w:rPr>
                <w:rFonts w:ascii="Garamond" w:eastAsia="Times New Roman" w:hAnsi="Garamond" w:cs="Times New Roman"/>
                <w:color w:val="1F1F1F"/>
                <w:spacing w:val="4"/>
                <w:w w:val="105"/>
              </w:rPr>
              <w:t xml:space="preserve"> </w:t>
            </w:r>
            <w:r w:rsidRPr="004A0C12">
              <w:rPr>
                <w:rFonts w:ascii="Garamond" w:eastAsia="Times New Roman" w:hAnsi="Garamond" w:cs="Times New Roman"/>
                <w:color w:val="2F2F2F"/>
                <w:w w:val="105"/>
              </w:rPr>
              <w:t>funds, in</w:t>
            </w:r>
            <w:r w:rsidRPr="004A0C12">
              <w:rPr>
                <w:rFonts w:ascii="Garamond" w:eastAsia="Times New Roman" w:hAnsi="Garamond" w:cs="Times New Roman"/>
                <w:color w:val="2F2F2F"/>
                <w:spacing w:val="-3"/>
                <w:w w:val="105"/>
              </w:rPr>
              <w:t xml:space="preserve"> </w:t>
            </w:r>
            <w:r w:rsidRPr="004A0C12">
              <w:rPr>
                <w:rFonts w:ascii="Garamond" w:eastAsia="Times New Roman" w:hAnsi="Garamond" w:cs="Times New Roman"/>
                <w:color w:val="2F2F2F"/>
                <w:w w:val="105"/>
              </w:rPr>
              <w:t>accordance</w:t>
            </w:r>
            <w:r w:rsidRPr="004A0C12">
              <w:rPr>
                <w:rFonts w:ascii="Garamond" w:eastAsia="Times New Roman" w:hAnsi="Garamond" w:cs="Times New Roman"/>
                <w:color w:val="2F2F2F"/>
                <w:spacing w:val="2"/>
                <w:w w:val="105"/>
              </w:rPr>
              <w:t xml:space="preserve"> </w:t>
            </w:r>
            <w:r w:rsidRPr="004A0C12">
              <w:rPr>
                <w:rFonts w:ascii="Garamond" w:eastAsia="Times New Roman" w:hAnsi="Garamond" w:cs="Times New Roman"/>
                <w:color w:val="1F1F1F"/>
                <w:w w:val="105"/>
              </w:rPr>
              <w:t>with</w:t>
            </w:r>
            <w:r w:rsidRPr="004A0C12">
              <w:rPr>
                <w:rFonts w:ascii="Garamond" w:eastAsia="Times New Roman" w:hAnsi="Garamond" w:cs="Times New Roman"/>
                <w:color w:val="1F1F1F"/>
                <w:spacing w:val="19"/>
                <w:w w:val="105"/>
              </w:rPr>
              <w:t xml:space="preserve"> </w:t>
            </w:r>
            <w:r w:rsidRPr="004A0C12">
              <w:rPr>
                <w:rFonts w:ascii="Garamond" w:eastAsia="Times New Roman" w:hAnsi="Garamond" w:cs="Times New Roman"/>
                <w:color w:val="1F1F1F"/>
                <w:w w:val="105"/>
              </w:rPr>
              <w:t>sections</w:t>
            </w:r>
            <w:r w:rsidRPr="004A0C12">
              <w:rPr>
                <w:rFonts w:ascii="Garamond" w:eastAsia="Times New Roman" w:hAnsi="Garamond" w:cs="Times New Roman"/>
                <w:color w:val="1F1F1F"/>
                <w:spacing w:val="16"/>
                <w:w w:val="105"/>
              </w:rPr>
              <w:t xml:space="preserve"> </w:t>
            </w:r>
            <w:r w:rsidRPr="004A0C12">
              <w:rPr>
                <w:rFonts w:ascii="Garamond" w:eastAsia="Times New Roman" w:hAnsi="Garamond" w:cs="Times New Roman"/>
                <w:color w:val="1F1F1F"/>
                <w:w w:val="105"/>
              </w:rPr>
              <w:t>102(b)</w:t>
            </w:r>
            <w:r w:rsidRPr="004A0C12">
              <w:rPr>
                <w:rFonts w:ascii="Garamond" w:eastAsia="Times New Roman" w:hAnsi="Garamond" w:cs="Times New Roman"/>
                <w:color w:val="1F1F1F"/>
                <w:spacing w:val="-3"/>
                <w:w w:val="105"/>
              </w:rPr>
              <w:t>(</w:t>
            </w:r>
            <w:r w:rsidRPr="004A0C12">
              <w:rPr>
                <w:rFonts w:ascii="Garamond" w:eastAsia="Times New Roman" w:hAnsi="Garamond" w:cs="Times New Roman"/>
                <w:color w:val="3F3F3F"/>
                <w:w w:val="105"/>
              </w:rPr>
              <w:t>3)(F)</w:t>
            </w:r>
            <w:r w:rsidRPr="004A0C12">
              <w:rPr>
                <w:rFonts w:ascii="Garamond" w:eastAsia="Times New Roman" w:hAnsi="Garamond" w:cs="Times New Roman"/>
                <w:color w:val="3F3F3F"/>
                <w:spacing w:val="3"/>
                <w:w w:val="105"/>
              </w:rPr>
              <w:t xml:space="preserve"> </w:t>
            </w:r>
            <w:r w:rsidRPr="004A0C12">
              <w:rPr>
                <w:rFonts w:ascii="Garamond" w:eastAsia="Times New Roman" w:hAnsi="Garamond" w:cs="Times New Roman"/>
                <w:color w:val="3F3F3F"/>
                <w:w w:val="105"/>
              </w:rPr>
              <w:t>and</w:t>
            </w:r>
            <w:r w:rsidRPr="004A0C12">
              <w:rPr>
                <w:rFonts w:ascii="Garamond" w:eastAsia="Times New Roman" w:hAnsi="Garamond" w:cs="Times New Roman"/>
                <w:color w:val="3F3F3F"/>
                <w:w w:val="108"/>
              </w:rPr>
              <w:t xml:space="preserve">  </w:t>
            </w:r>
            <w:r w:rsidRPr="004A0C12">
              <w:rPr>
                <w:rFonts w:ascii="Garamond" w:eastAsia="Times New Roman" w:hAnsi="Garamond" w:cs="Times New Roman"/>
                <w:color w:val="2F2F2F"/>
                <w:w w:val="105"/>
              </w:rPr>
              <w:t>60</w:t>
            </w:r>
            <w:r w:rsidRPr="004A0C12">
              <w:rPr>
                <w:rFonts w:ascii="Garamond" w:eastAsia="Times New Roman" w:hAnsi="Garamond" w:cs="Times New Roman"/>
                <w:color w:val="2F2F2F"/>
                <w:spacing w:val="13"/>
                <w:w w:val="105"/>
              </w:rPr>
              <w:t>6</w:t>
            </w:r>
            <w:r w:rsidRPr="004A0C12">
              <w:rPr>
                <w:rFonts w:ascii="Garamond" w:eastAsia="Times New Roman" w:hAnsi="Garamond" w:cs="Times New Roman"/>
                <w:color w:val="2F2F2F"/>
                <w:w w:val="105"/>
              </w:rPr>
              <w:t>(</w:t>
            </w:r>
            <w:r w:rsidRPr="004A0C12">
              <w:rPr>
                <w:rFonts w:ascii="Garamond" w:eastAsia="Times New Roman" w:hAnsi="Garamond" w:cs="Times New Roman"/>
                <w:color w:val="2F2F2F"/>
                <w:spacing w:val="-17"/>
                <w:w w:val="105"/>
              </w:rPr>
              <w:t xml:space="preserve">b) </w:t>
            </w:r>
            <w:r w:rsidRPr="004A0C12">
              <w:rPr>
                <w:rFonts w:ascii="Garamond" w:eastAsia="Times New Roman" w:hAnsi="Garamond" w:cs="Times New Roman"/>
                <w:color w:val="3F3F3F"/>
                <w:spacing w:val="-11"/>
                <w:w w:val="105"/>
              </w:rPr>
              <w:t>6</w:t>
            </w:r>
            <w:r w:rsidRPr="004A0C12">
              <w:rPr>
                <w:rFonts w:ascii="Garamond" w:eastAsia="Times New Roman" w:hAnsi="Garamond" w:cs="Times New Roman"/>
                <w:color w:val="1F1F1F"/>
                <w:spacing w:val="10"/>
                <w:w w:val="105"/>
              </w:rPr>
              <w:t>)</w:t>
            </w:r>
            <w:r w:rsidRPr="004A0C12">
              <w:rPr>
                <w:rFonts w:ascii="Garamond" w:eastAsia="Times New Roman" w:hAnsi="Garamond" w:cs="Times New Roman"/>
                <w:color w:val="1F1F1F"/>
                <w:w w:val="105"/>
              </w:rPr>
              <w:t>(C)</w:t>
            </w:r>
            <w:r w:rsidRPr="004A0C12">
              <w:rPr>
                <w:rFonts w:ascii="Garamond" w:eastAsia="Times New Roman" w:hAnsi="Garamond" w:cs="Times New Roman"/>
                <w:color w:val="1F1F1F"/>
                <w:spacing w:val="-24"/>
                <w:w w:val="105"/>
              </w:rPr>
              <w:t xml:space="preserve"> </w:t>
            </w:r>
            <w:r w:rsidRPr="004A0C12">
              <w:rPr>
                <w:rFonts w:ascii="Garamond" w:eastAsia="Times New Roman" w:hAnsi="Garamond" w:cs="Times New Roman"/>
                <w:color w:val="3F3F3F"/>
                <w:w w:val="105"/>
              </w:rPr>
              <w:t>and</w:t>
            </w:r>
            <w:r w:rsidRPr="004A0C12">
              <w:rPr>
                <w:rFonts w:ascii="Garamond" w:eastAsia="Times New Roman" w:hAnsi="Garamond" w:cs="Times New Roman"/>
                <w:color w:val="3F3F3F"/>
                <w:spacing w:val="-45"/>
                <w:w w:val="105"/>
              </w:rPr>
              <w:t xml:space="preserve"> </w:t>
            </w:r>
            <w:r w:rsidRPr="004A0C12">
              <w:rPr>
                <w:rFonts w:ascii="Garamond" w:eastAsia="Times New Roman" w:hAnsi="Garamond" w:cs="Times New Roman"/>
                <w:color w:val="1F1F1F"/>
                <w:w w:val="105"/>
              </w:rPr>
              <w:t>(E)</w:t>
            </w:r>
            <w:r w:rsidRPr="004A0C12">
              <w:rPr>
                <w:rFonts w:ascii="Garamond" w:eastAsia="Times New Roman" w:hAnsi="Garamond" w:cs="Times New Roman"/>
                <w:color w:val="1F1F1F"/>
                <w:spacing w:val="-25"/>
                <w:w w:val="105"/>
              </w:rPr>
              <w:t xml:space="preserve"> </w:t>
            </w:r>
            <w:r w:rsidRPr="004A0C12">
              <w:rPr>
                <w:rFonts w:ascii="Garamond" w:eastAsia="Times New Roman" w:hAnsi="Garamond" w:cs="Times New Roman"/>
                <w:color w:val="1F1F1F"/>
                <w:spacing w:val="2"/>
                <w:w w:val="105"/>
              </w:rPr>
              <w:t>o</w:t>
            </w:r>
            <w:r w:rsidRPr="004A0C12">
              <w:rPr>
                <w:rFonts w:ascii="Garamond" w:eastAsia="Times New Roman" w:hAnsi="Garamond" w:cs="Times New Roman"/>
                <w:color w:val="3F3F3F"/>
                <w:w w:val="105"/>
              </w:rPr>
              <w:t>f</w:t>
            </w:r>
            <w:r w:rsidRPr="004A0C12">
              <w:rPr>
                <w:rFonts w:ascii="Garamond" w:eastAsia="Times New Roman" w:hAnsi="Garamond" w:cs="Times New Roman"/>
                <w:color w:val="3F3F3F"/>
                <w:spacing w:val="-24"/>
                <w:w w:val="105"/>
              </w:rPr>
              <w:t xml:space="preserve"> </w:t>
            </w:r>
            <w:r w:rsidRPr="004A0C12">
              <w:rPr>
                <w:rFonts w:ascii="Garamond" w:eastAsia="Times New Roman" w:hAnsi="Garamond" w:cs="Times New Roman"/>
                <w:color w:val="2F2F2F"/>
                <w:w w:val="105"/>
              </w:rPr>
              <w:t>the</w:t>
            </w:r>
            <w:r w:rsidRPr="004A0C12">
              <w:rPr>
                <w:rFonts w:ascii="Garamond" w:eastAsia="Times New Roman" w:hAnsi="Garamond" w:cs="Times New Roman"/>
                <w:color w:val="2F2F2F"/>
                <w:spacing w:val="-18"/>
                <w:w w:val="105"/>
              </w:rPr>
              <w:t xml:space="preserve"> </w:t>
            </w:r>
            <w:r w:rsidRPr="004A0C12">
              <w:rPr>
                <w:rFonts w:ascii="Garamond" w:eastAsia="Times New Roman" w:hAnsi="Garamond" w:cs="Times New Roman"/>
                <w:color w:val="1F1F1F"/>
                <w:w w:val="105"/>
              </w:rPr>
              <w:t>Rehabilitation</w:t>
            </w:r>
            <w:r w:rsidRPr="004A0C12">
              <w:rPr>
                <w:rFonts w:ascii="Garamond" w:eastAsia="Times New Roman" w:hAnsi="Garamond" w:cs="Times New Roman"/>
                <w:color w:val="1F1F1F"/>
                <w:spacing w:val="-8"/>
                <w:w w:val="105"/>
              </w:rPr>
              <w:t xml:space="preserve"> </w:t>
            </w:r>
            <w:r w:rsidRPr="004A0C12">
              <w:rPr>
                <w:rFonts w:ascii="Garamond" w:eastAsia="Times New Roman" w:hAnsi="Garamond" w:cs="Times New Roman"/>
                <w:color w:val="1F1F1F"/>
                <w:w w:val="105"/>
              </w:rPr>
              <w:t>Act.</w:t>
            </w:r>
          </w:p>
        </w:tc>
      </w:tr>
    </w:tbl>
    <w:p w14:paraId="50ED19DC" w14:textId="77777777" w:rsidR="001F7B29" w:rsidRPr="004A0C12" w:rsidRDefault="001F7B29" w:rsidP="001F7B29">
      <w:pPr>
        <w:pStyle w:val="ListParagraph"/>
        <w:tabs>
          <w:tab w:val="left" w:pos="720"/>
        </w:tabs>
        <w:ind w:left="0"/>
        <w:jc w:val="both"/>
        <w:rPr>
          <w:rFonts w:ascii="Garamond" w:hAnsi="Garamond"/>
          <w:szCs w:val="22"/>
          <w:highlight w:val="yellow"/>
        </w:rPr>
      </w:pPr>
    </w:p>
    <w:p w14:paraId="3305DB5F" w14:textId="77777777" w:rsidR="001F7B29" w:rsidRPr="004A0C12" w:rsidRDefault="001F7B29" w:rsidP="001F7B29">
      <w:pPr>
        <w:pStyle w:val="ListParagraph"/>
        <w:tabs>
          <w:tab w:val="left" w:pos="720"/>
        </w:tabs>
        <w:ind w:left="0"/>
        <w:jc w:val="both"/>
        <w:rPr>
          <w:rFonts w:ascii="Garamond" w:hAnsi="Garamond"/>
          <w:szCs w:val="22"/>
          <w:highlight w:val="yellow"/>
        </w:rPr>
      </w:pPr>
    </w:p>
    <w:p w14:paraId="4EDF1F76"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60C6D200"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46732590"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4A74DDCD"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006DEF2C"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147D1B77"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1E936BB7"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18981566"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1D79B7F2"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61927E7D"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4C0B731D"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6E4BFEC4"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7479A03C" w14:textId="77777777" w:rsidR="00A2533C" w:rsidRPr="004A0C12" w:rsidRDefault="00A2533C" w:rsidP="001F7B29">
      <w:pPr>
        <w:pStyle w:val="ListParagraph"/>
        <w:tabs>
          <w:tab w:val="left" w:pos="720"/>
        </w:tabs>
        <w:ind w:left="0"/>
        <w:jc w:val="both"/>
        <w:rPr>
          <w:rFonts w:ascii="Garamond" w:hAnsi="Garamond"/>
          <w:szCs w:val="22"/>
          <w:highlight w:val="yellow"/>
        </w:rPr>
      </w:pPr>
    </w:p>
    <w:p w14:paraId="2C92032A" w14:textId="77777777" w:rsidR="00C73398" w:rsidRPr="00536320" w:rsidRDefault="00C73398" w:rsidP="00C73398">
      <w:pPr>
        <w:pStyle w:val="Heading1"/>
        <w:rPr>
          <w:rFonts w:ascii="Garamond" w:hAnsi="Garamond"/>
        </w:rPr>
      </w:pPr>
      <w:bookmarkStart w:id="232" w:name="_Toc447276259"/>
      <w:r w:rsidRPr="00536320">
        <w:rPr>
          <w:rFonts w:ascii="Garamond" w:eastAsia="Arial" w:hAnsi="Garamond"/>
        </w:rPr>
        <w:lastRenderedPageBreak/>
        <w:t>PART 8: TEMPORARY ASSISTANCE FOR NEEDY FAMILIES PROGRAM (TANF)</w:t>
      </w:r>
      <w:bookmarkEnd w:id="232"/>
    </w:p>
    <w:p w14:paraId="789034E7" w14:textId="77777777" w:rsidR="00C73398" w:rsidRPr="004A0C12" w:rsidRDefault="00C73398" w:rsidP="00C73398">
      <w:pPr>
        <w:pStyle w:val="Normal1"/>
        <w:rPr>
          <w:rFonts w:ascii="Garamond" w:hAnsi="Garamond"/>
          <w:szCs w:val="22"/>
        </w:rPr>
      </w:pPr>
    </w:p>
    <w:p w14:paraId="4692ADAA" w14:textId="77777777" w:rsidR="004705C8" w:rsidRPr="004A0C12" w:rsidRDefault="004705C8" w:rsidP="004705C8">
      <w:pPr>
        <w:pStyle w:val="Normal1"/>
        <w:jc w:val="both"/>
        <w:rPr>
          <w:rFonts w:ascii="Garamond" w:hAnsi="Garamond"/>
          <w:szCs w:val="22"/>
        </w:rPr>
      </w:pPr>
      <w:r w:rsidRPr="004A0C12">
        <w:rPr>
          <w:rFonts w:ascii="Garamond" w:eastAsia="Arial" w:hAnsi="Garamond"/>
          <w:szCs w:val="22"/>
        </w:rPr>
        <w:t xml:space="preserve">States that include TANF in the Combined State Plan must outline how the State will meet the requirements of section 402 of the Social Security Act including how it will: </w:t>
      </w:r>
    </w:p>
    <w:p w14:paraId="041D263B" w14:textId="77777777" w:rsidR="004705C8" w:rsidRPr="004A0C12" w:rsidRDefault="004705C8" w:rsidP="004705C8">
      <w:pPr>
        <w:pStyle w:val="Normal1"/>
        <w:ind w:left="360"/>
        <w:jc w:val="both"/>
        <w:rPr>
          <w:rFonts w:ascii="Garamond" w:hAnsi="Garamond"/>
          <w:szCs w:val="22"/>
        </w:rPr>
      </w:pPr>
    </w:p>
    <w:p w14:paraId="6D50663E" w14:textId="77777777" w:rsidR="004705C8" w:rsidRPr="004A0C12" w:rsidRDefault="004705C8" w:rsidP="00232F09">
      <w:pPr>
        <w:pStyle w:val="Normal1"/>
        <w:numPr>
          <w:ilvl w:val="1"/>
          <w:numId w:val="170"/>
        </w:numPr>
        <w:ind w:left="720" w:hanging="360"/>
        <w:jc w:val="both"/>
        <w:rPr>
          <w:rFonts w:ascii="Garamond" w:eastAsia="Arial" w:hAnsi="Garamond"/>
          <w:szCs w:val="22"/>
        </w:rPr>
      </w:pPr>
      <w:r w:rsidRPr="004A0C12">
        <w:rPr>
          <w:rFonts w:ascii="Garamond" w:eastAsia="Arial" w:hAnsi="Garamond"/>
          <w:b/>
          <w:szCs w:val="22"/>
        </w:rPr>
        <w:t xml:space="preserve">Conduct a program designed to serve all political subdivisions in the State (not necessarily in a uniform manner) that provides assistance to needy families with (or expecting) children and provides parents with job preparation, work, and support services to enable them to leave the program, specifically cash assistance, and become self-sufficient (section 402(a)(1)(A)(i) of the Social Security Act).  </w:t>
      </w:r>
    </w:p>
    <w:p w14:paraId="406F5D4C" w14:textId="77777777" w:rsidR="004705C8" w:rsidRPr="00536320" w:rsidRDefault="004705C8" w:rsidP="004705C8">
      <w:pPr>
        <w:pStyle w:val="Heading2"/>
        <w:jc w:val="both"/>
        <w:rPr>
          <w:rFonts w:ascii="Garamond" w:eastAsia="Arial" w:hAnsi="Garamond"/>
          <w:sz w:val="24"/>
          <w:szCs w:val="24"/>
        </w:rPr>
      </w:pPr>
      <w:bookmarkStart w:id="233" w:name="_Toc447276260"/>
      <w:r w:rsidRPr="00536320">
        <w:rPr>
          <w:rFonts w:ascii="Garamond" w:eastAsia="Arial" w:hAnsi="Garamond"/>
          <w:sz w:val="24"/>
          <w:szCs w:val="24"/>
        </w:rPr>
        <w:t>Overview of TANF Programs</w:t>
      </w:r>
      <w:bookmarkEnd w:id="233"/>
    </w:p>
    <w:p w14:paraId="3355DD53" w14:textId="4569892F" w:rsidR="001D4BB8" w:rsidRPr="004A0C12" w:rsidRDefault="001D4BB8" w:rsidP="004705C8">
      <w:pPr>
        <w:pStyle w:val="Normal1"/>
        <w:jc w:val="both"/>
        <w:rPr>
          <w:rFonts w:ascii="Garamond" w:eastAsia="Arial" w:hAnsi="Garamond"/>
          <w:szCs w:val="22"/>
        </w:rPr>
      </w:pPr>
      <w:r w:rsidRPr="004A0C12">
        <w:rPr>
          <w:rFonts w:ascii="Garamond" w:eastAsia="Arial" w:hAnsi="Garamond"/>
          <w:szCs w:val="22"/>
        </w:rPr>
        <w:t xml:space="preserve">TANF Programs are designed around four main purposes: </w:t>
      </w:r>
    </w:p>
    <w:p w14:paraId="4636F533" w14:textId="32C4BDA2" w:rsidR="001D4BB8" w:rsidRPr="004A0C12" w:rsidRDefault="001D4BB8" w:rsidP="00232F09">
      <w:pPr>
        <w:pStyle w:val="Normal1"/>
        <w:numPr>
          <w:ilvl w:val="0"/>
          <w:numId w:val="290"/>
        </w:numPr>
        <w:jc w:val="both"/>
        <w:rPr>
          <w:rFonts w:ascii="Garamond" w:eastAsia="Arial" w:hAnsi="Garamond"/>
          <w:szCs w:val="22"/>
        </w:rPr>
      </w:pPr>
      <w:r w:rsidRPr="004A0C12">
        <w:rPr>
          <w:rFonts w:ascii="Garamond" w:eastAsia="Arial" w:hAnsi="Garamond"/>
          <w:szCs w:val="22"/>
        </w:rPr>
        <w:t>Provide assistance to needy families so that children can be cared for in their own homes;</w:t>
      </w:r>
    </w:p>
    <w:p w14:paraId="4C2140EE" w14:textId="2B76F99E" w:rsidR="001D4BB8" w:rsidRPr="004A0C12" w:rsidRDefault="001D4BB8" w:rsidP="00232F09">
      <w:pPr>
        <w:pStyle w:val="Normal1"/>
        <w:numPr>
          <w:ilvl w:val="0"/>
          <w:numId w:val="290"/>
        </w:numPr>
        <w:jc w:val="both"/>
        <w:rPr>
          <w:rFonts w:ascii="Garamond" w:eastAsia="Arial" w:hAnsi="Garamond"/>
          <w:szCs w:val="22"/>
        </w:rPr>
      </w:pPr>
      <w:r w:rsidRPr="004A0C12">
        <w:rPr>
          <w:rFonts w:ascii="Garamond" w:eastAsia="Arial" w:hAnsi="Garamond"/>
          <w:szCs w:val="22"/>
        </w:rPr>
        <w:t>Reduce the dependency of needy parents by promoting job preparation, work, and marriage;</w:t>
      </w:r>
    </w:p>
    <w:p w14:paraId="40ABBB28" w14:textId="1FB4EC91" w:rsidR="001D4BB8" w:rsidRPr="004A0C12" w:rsidRDefault="001D4BB8" w:rsidP="00232F09">
      <w:pPr>
        <w:pStyle w:val="Normal1"/>
        <w:numPr>
          <w:ilvl w:val="0"/>
          <w:numId w:val="290"/>
        </w:numPr>
        <w:jc w:val="both"/>
        <w:rPr>
          <w:rFonts w:ascii="Garamond" w:eastAsia="Arial" w:hAnsi="Garamond"/>
          <w:szCs w:val="22"/>
        </w:rPr>
      </w:pPr>
      <w:r w:rsidRPr="004A0C12">
        <w:rPr>
          <w:rFonts w:ascii="Garamond" w:eastAsia="Arial" w:hAnsi="Garamond"/>
          <w:szCs w:val="22"/>
        </w:rPr>
        <w:t xml:space="preserve">Prevent and reduce the incidence of out-of-wedlock pregnancies; and, </w:t>
      </w:r>
    </w:p>
    <w:p w14:paraId="0E52F606" w14:textId="7AE44CD7" w:rsidR="001D4BB8" w:rsidRPr="004A0C12" w:rsidRDefault="001D4BB8" w:rsidP="00232F09">
      <w:pPr>
        <w:pStyle w:val="Normal1"/>
        <w:numPr>
          <w:ilvl w:val="0"/>
          <w:numId w:val="290"/>
        </w:numPr>
        <w:jc w:val="both"/>
        <w:rPr>
          <w:rFonts w:ascii="Garamond" w:eastAsia="Arial" w:hAnsi="Garamond"/>
          <w:szCs w:val="22"/>
        </w:rPr>
      </w:pPr>
      <w:r w:rsidRPr="004A0C12">
        <w:rPr>
          <w:rFonts w:ascii="Garamond" w:eastAsia="Arial" w:hAnsi="Garamond"/>
          <w:szCs w:val="22"/>
        </w:rPr>
        <w:t xml:space="preserve">Encourage the formation and maintenance of two-parent families. </w:t>
      </w:r>
    </w:p>
    <w:p w14:paraId="00187B18" w14:textId="77777777" w:rsidR="001D4BB8" w:rsidRPr="004A0C12" w:rsidRDefault="001D4BB8" w:rsidP="004705C8">
      <w:pPr>
        <w:pStyle w:val="Normal1"/>
        <w:jc w:val="both"/>
        <w:rPr>
          <w:rFonts w:ascii="Garamond" w:eastAsia="Arial" w:hAnsi="Garamond"/>
          <w:szCs w:val="22"/>
        </w:rPr>
      </w:pPr>
    </w:p>
    <w:p w14:paraId="0B5B015B" w14:textId="1AF765C5" w:rsidR="004705C8" w:rsidRPr="004A0C12" w:rsidRDefault="004705C8" w:rsidP="004705C8">
      <w:pPr>
        <w:pStyle w:val="Normal1"/>
        <w:jc w:val="both"/>
        <w:rPr>
          <w:rFonts w:ascii="Garamond" w:hAnsi="Garamond"/>
          <w:szCs w:val="22"/>
        </w:rPr>
      </w:pPr>
      <w:r w:rsidRPr="004A0C12">
        <w:rPr>
          <w:rFonts w:ascii="Garamond" w:eastAsia="Arial" w:hAnsi="Garamond"/>
          <w:szCs w:val="22"/>
        </w:rPr>
        <w:t>The State of Maryland's Department of Human Resources (DHR) Family Inve</w:t>
      </w:r>
      <w:r w:rsidR="00E72857" w:rsidRPr="004A0C12">
        <w:rPr>
          <w:rFonts w:ascii="Garamond" w:eastAsia="Arial" w:hAnsi="Garamond"/>
          <w:szCs w:val="22"/>
        </w:rPr>
        <w:t>stment Program</w:t>
      </w:r>
      <w:r w:rsidRPr="004A0C12">
        <w:rPr>
          <w:rFonts w:ascii="Garamond" w:eastAsia="Arial" w:hAnsi="Garamond"/>
          <w:szCs w:val="22"/>
        </w:rPr>
        <w:t xml:space="preserve"> provides temporary assistance to needy families with children while preparing program participants for independence and self-sufficiency. </w:t>
      </w:r>
      <w:r w:rsidRPr="004A0C12">
        <w:rPr>
          <w:rFonts w:ascii="Garamond" w:hAnsi="Garamond"/>
          <w:szCs w:val="22"/>
        </w:rPr>
        <w:t xml:space="preserve">In Maryland, the </w:t>
      </w:r>
      <w:r w:rsidRPr="004A0C12">
        <w:rPr>
          <w:rFonts w:ascii="Garamond" w:eastAsia="Arial" w:hAnsi="Garamond"/>
          <w:szCs w:val="22"/>
        </w:rPr>
        <w:t>Temporary Assistance to Needy Families (</w:t>
      </w:r>
      <w:r w:rsidRPr="004A0C12">
        <w:rPr>
          <w:rFonts w:ascii="Garamond" w:hAnsi="Garamond"/>
          <w:szCs w:val="22"/>
        </w:rPr>
        <w:t xml:space="preserve">TANF) program is called Temporary Cash Assistance (TCA). </w:t>
      </w:r>
      <w:r w:rsidR="00E72857" w:rsidRPr="004A0C12">
        <w:rPr>
          <w:rFonts w:ascii="Garamond" w:eastAsia="Arial" w:hAnsi="Garamond"/>
          <w:szCs w:val="22"/>
        </w:rPr>
        <w:t>The Family Investment Program</w:t>
      </w:r>
      <w:r w:rsidRPr="004A0C12">
        <w:rPr>
          <w:rFonts w:ascii="Garamond" w:eastAsia="Arial" w:hAnsi="Garamond"/>
          <w:szCs w:val="22"/>
        </w:rPr>
        <w:t xml:space="preserve"> assistance consists of services and cash assi</w:t>
      </w:r>
      <w:r w:rsidR="00411883" w:rsidRPr="004A0C12">
        <w:rPr>
          <w:rFonts w:ascii="Garamond" w:eastAsia="Arial" w:hAnsi="Garamond"/>
          <w:szCs w:val="22"/>
        </w:rPr>
        <w:t>stance to eligible individuals.</w:t>
      </w:r>
      <w:r w:rsidRPr="004A0C12">
        <w:rPr>
          <w:rFonts w:ascii="Garamond" w:eastAsia="Arial" w:hAnsi="Garamond"/>
          <w:szCs w:val="22"/>
        </w:rPr>
        <w:t xml:space="preserve"> The assista</w:t>
      </w:r>
      <w:r w:rsidR="00E72857" w:rsidRPr="004A0C12">
        <w:rPr>
          <w:rFonts w:ascii="Garamond" w:eastAsia="Arial" w:hAnsi="Garamond"/>
          <w:szCs w:val="22"/>
        </w:rPr>
        <w:t>nce program components under Family Investment Program</w:t>
      </w:r>
      <w:r w:rsidRPr="004A0C12">
        <w:rPr>
          <w:rFonts w:ascii="Garamond" w:eastAsia="Arial" w:hAnsi="Garamond"/>
          <w:szCs w:val="22"/>
        </w:rPr>
        <w:t xml:space="preserve"> include</w:t>
      </w:r>
      <w:r w:rsidR="00E72857" w:rsidRPr="004A0C12">
        <w:rPr>
          <w:rFonts w:ascii="Garamond" w:eastAsia="Arial" w:hAnsi="Garamond"/>
          <w:szCs w:val="22"/>
        </w:rPr>
        <w:t xml:space="preserve"> TCA</w:t>
      </w:r>
      <w:r w:rsidRPr="004A0C12">
        <w:rPr>
          <w:rFonts w:ascii="Garamond" w:eastAsia="Arial" w:hAnsi="Garamond"/>
          <w:szCs w:val="22"/>
        </w:rPr>
        <w:t xml:space="preserve">, Welfare Avoidance Grants, Child Care and Medical Assistance, as well as a full range of programs targeted at special issues and populations. </w:t>
      </w:r>
    </w:p>
    <w:p w14:paraId="3D4FC43E" w14:textId="77777777" w:rsidR="004705C8" w:rsidRPr="004A0C12" w:rsidRDefault="004705C8" w:rsidP="004705C8">
      <w:pPr>
        <w:pStyle w:val="Normal1"/>
        <w:jc w:val="both"/>
        <w:rPr>
          <w:rFonts w:ascii="Garamond" w:hAnsi="Garamond"/>
          <w:szCs w:val="22"/>
        </w:rPr>
      </w:pPr>
    </w:p>
    <w:p w14:paraId="3828639A" w14:textId="3176BDA3" w:rsidR="004705C8" w:rsidRPr="004A0C12" w:rsidRDefault="004705C8" w:rsidP="004705C8">
      <w:pPr>
        <w:pStyle w:val="Normal1"/>
        <w:jc w:val="both"/>
        <w:rPr>
          <w:rFonts w:ascii="Garamond" w:eastAsia="Arial" w:hAnsi="Garamond"/>
          <w:szCs w:val="22"/>
        </w:rPr>
      </w:pPr>
      <w:r w:rsidRPr="004A0C12">
        <w:rPr>
          <w:rFonts w:ascii="Garamond" w:eastAsia="Arial" w:hAnsi="Garamond"/>
          <w:szCs w:val="22"/>
        </w:rPr>
        <w:t>The TANF Federal Block Grant funds are allocated to Maryland’s 24 local jurisdictions recognizing that the local jurisdictions are able to accurately target resources, programs</w:t>
      </w:r>
      <w:r w:rsidR="00411883" w:rsidRPr="004A0C12">
        <w:rPr>
          <w:rFonts w:ascii="Garamond" w:eastAsia="Arial" w:hAnsi="Garamond"/>
          <w:szCs w:val="22"/>
        </w:rPr>
        <w:t>,</w:t>
      </w:r>
      <w:r w:rsidRPr="004A0C12">
        <w:rPr>
          <w:rFonts w:ascii="Garamond" w:eastAsia="Arial" w:hAnsi="Garamond"/>
          <w:szCs w:val="22"/>
        </w:rPr>
        <w:t xml:space="preserve"> and services needed by their cus</w:t>
      </w:r>
      <w:r w:rsidR="00411883" w:rsidRPr="004A0C12">
        <w:rPr>
          <w:rFonts w:ascii="Garamond" w:eastAsia="Arial" w:hAnsi="Garamond"/>
          <w:szCs w:val="22"/>
        </w:rPr>
        <w:t xml:space="preserve">tomers. </w:t>
      </w:r>
      <w:r w:rsidRPr="004A0C12">
        <w:rPr>
          <w:rFonts w:ascii="Garamond" w:eastAsia="Arial" w:hAnsi="Garamond"/>
          <w:szCs w:val="22"/>
        </w:rPr>
        <w:t>Each local department submits a plan defining the program for their jurisdiction which include</w:t>
      </w:r>
      <w:r w:rsidR="00411883" w:rsidRPr="004A0C12">
        <w:rPr>
          <w:rFonts w:ascii="Garamond" w:eastAsia="Arial" w:hAnsi="Garamond"/>
          <w:szCs w:val="22"/>
        </w:rPr>
        <w:t xml:space="preserve">s the core </w:t>
      </w:r>
      <w:r w:rsidR="001D4BB8" w:rsidRPr="004A0C12">
        <w:rPr>
          <w:rFonts w:ascii="Garamond" w:eastAsia="Arial" w:hAnsi="Garamond"/>
          <w:szCs w:val="22"/>
        </w:rPr>
        <w:t>progra</w:t>
      </w:r>
      <w:r w:rsidR="00411883" w:rsidRPr="004A0C12">
        <w:rPr>
          <w:rFonts w:ascii="Garamond" w:eastAsia="Arial" w:hAnsi="Garamond"/>
          <w:szCs w:val="22"/>
        </w:rPr>
        <w:t xml:space="preserve">m components. </w:t>
      </w:r>
      <w:r w:rsidRPr="004A0C12">
        <w:rPr>
          <w:rFonts w:ascii="Garamond" w:eastAsia="Arial" w:hAnsi="Garamond"/>
          <w:szCs w:val="22"/>
        </w:rPr>
        <w:t>The requirements and procedures may be tailored to fit the unique population of the jurisdiction.</w:t>
      </w:r>
      <w:r w:rsidR="001D4BB8" w:rsidRPr="004A0C12">
        <w:rPr>
          <w:rFonts w:ascii="Garamond" w:eastAsia="Arial" w:hAnsi="Garamond"/>
          <w:szCs w:val="22"/>
        </w:rPr>
        <w:t xml:space="preserve"> </w:t>
      </w:r>
    </w:p>
    <w:p w14:paraId="0081E610" w14:textId="77777777" w:rsidR="004705C8" w:rsidRPr="004A0C12" w:rsidRDefault="004705C8" w:rsidP="004705C8">
      <w:pPr>
        <w:pStyle w:val="Normal1"/>
        <w:jc w:val="both"/>
        <w:rPr>
          <w:rFonts w:ascii="Garamond" w:eastAsia="Arial" w:hAnsi="Garamond"/>
          <w:szCs w:val="22"/>
        </w:rPr>
      </w:pPr>
    </w:p>
    <w:p w14:paraId="1263A27F" w14:textId="27273786" w:rsidR="004705C8" w:rsidRPr="004A0C12" w:rsidRDefault="004705C8" w:rsidP="004705C8">
      <w:pPr>
        <w:pStyle w:val="Normal1"/>
        <w:jc w:val="both"/>
        <w:rPr>
          <w:rFonts w:ascii="Garamond" w:hAnsi="Garamond"/>
          <w:szCs w:val="22"/>
        </w:rPr>
      </w:pPr>
      <w:r w:rsidRPr="004A0C12">
        <w:rPr>
          <w:rFonts w:ascii="Garamond" w:hAnsi="Garamond"/>
          <w:szCs w:val="22"/>
        </w:rPr>
        <w:t>Financial and technical eligibility criteria are the same for all programs, including those funded by state maintenance of effort, unless otherwise</w:t>
      </w:r>
      <w:r w:rsidR="00411883" w:rsidRPr="004A0C12">
        <w:rPr>
          <w:rFonts w:ascii="Garamond" w:hAnsi="Garamond"/>
          <w:szCs w:val="22"/>
        </w:rPr>
        <w:t xml:space="preserve"> noted in program descriptions. </w:t>
      </w:r>
      <w:r w:rsidRPr="004A0C12">
        <w:rPr>
          <w:rFonts w:ascii="Garamond" w:hAnsi="Garamond"/>
          <w:szCs w:val="22"/>
        </w:rPr>
        <w:t xml:space="preserve">The financial (income and resource) </w:t>
      </w:r>
      <w:r w:rsidR="00E72857" w:rsidRPr="004A0C12">
        <w:rPr>
          <w:rFonts w:ascii="Garamond" w:hAnsi="Garamond"/>
          <w:szCs w:val="22"/>
        </w:rPr>
        <w:t>eligibility criteria for the Family Investment Program</w:t>
      </w:r>
      <w:r w:rsidRPr="004A0C12">
        <w:rPr>
          <w:rFonts w:ascii="Garamond" w:hAnsi="Garamond"/>
          <w:szCs w:val="22"/>
        </w:rPr>
        <w:t xml:space="preserve"> core components are found in the Code of Maryland Regulations section 07.03.03.  Unless otherwise stated in</w:t>
      </w:r>
      <w:r w:rsidR="00E72857" w:rsidRPr="004A0C12">
        <w:rPr>
          <w:rFonts w:ascii="Garamond" w:hAnsi="Garamond"/>
          <w:szCs w:val="22"/>
        </w:rPr>
        <w:t xml:space="preserve"> their program descriptions, Family Investment Program</w:t>
      </w:r>
      <w:r w:rsidRPr="004A0C12">
        <w:rPr>
          <w:rFonts w:ascii="Garamond" w:hAnsi="Garamond"/>
          <w:szCs w:val="22"/>
        </w:rPr>
        <w:t xml:space="preserve"> non-core programs that are described as serving needy families have income criteria but do not have resource criteria.      </w:t>
      </w:r>
    </w:p>
    <w:p w14:paraId="135D9BD6" w14:textId="77777777" w:rsidR="004705C8" w:rsidRPr="00536320" w:rsidRDefault="004705C8" w:rsidP="004705C8">
      <w:pPr>
        <w:pStyle w:val="Heading2"/>
        <w:rPr>
          <w:rFonts w:ascii="Garamond" w:eastAsia="Arial" w:hAnsi="Garamond"/>
          <w:sz w:val="24"/>
          <w:szCs w:val="24"/>
        </w:rPr>
      </w:pPr>
      <w:bookmarkStart w:id="234" w:name="_Toc447276261"/>
      <w:r w:rsidRPr="00536320">
        <w:rPr>
          <w:rFonts w:ascii="Garamond" w:eastAsia="Arial" w:hAnsi="Garamond"/>
          <w:sz w:val="24"/>
          <w:szCs w:val="24"/>
        </w:rPr>
        <w:t>TANF Partnership with WIOA for Enhanced Workforce Development Services</w:t>
      </w:r>
      <w:bookmarkEnd w:id="234"/>
    </w:p>
    <w:p w14:paraId="15747F38" w14:textId="1ED8032A" w:rsidR="004705C8" w:rsidRPr="004A0C12" w:rsidRDefault="004705C8" w:rsidP="004705C8">
      <w:pPr>
        <w:spacing w:after="0" w:line="240" w:lineRule="auto"/>
        <w:jc w:val="both"/>
        <w:rPr>
          <w:rFonts w:ascii="Garamond" w:hAnsi="Garamond" w:cs="Times New Roman"/>
        </w:rPr>
      </w:pPr>
      <w:r w:rsidRPr="004A0C12">
        <w:rPr>
          <w:rFonts w:ascii="Garamond" w:hAnsi="Garamond" w:cs="Times New Roman"/>
        </w:rPr>
        <w:t>Currently, Maryland’s TCA workforce programs are built on connecting individuals to work participation activities that will ultimately result in permanent employment. Local departments of social services (LDSS) workforce progra</w:t>
      </w:r>
      <w:r w:rsidR="00411883" w:rsidRPr="004A0C12">
        <w:rPr>
          <w:rFonts w:ascii="Garamond" w:hAnsi="Garamond" w:cs="Times New Roman"/>
        </w:rPr>
        <w:t>ms are operated through pay-for-</w:t>
      </w:r>
      <w:r w:rsidRPr="004A0C12">
        <w:rPr>
          <w:rFonts w:ascii="Garamond" w:hAnsi="Garamond" w:cs="Times New Roman"/>
        </w:rPr>
        <w:t>performance vendors, vendors</w:t>
      </w:r>
      <w:r w:rsidR="00411883" w:rsidRPr="004A0C12">
        <w:rPr>
          <w:rFonts w:ascii="Garamond" w:hAnsi="Garamond" w:cs="Times New Roman"/>
        </w:rPr>
        <w:t xml:space="preserve">, or the LDSS themselves. </w:t>
      </w:r>
      <w:r w:rsidRPr="004A0C12">
        <w:rPr>
          <w:rFonts w:ascii="Garamond" w:hAnsi="Garamond" w:cs="Times New Roman"/>
        </w:rPr>
        <w:t>This allows the LDSS to achieve the federal</w:t>
      </w:r>
      <w:r w:rsidR="00411883" w:rsidRPr="004A0C12">
        <w:rPr>
          <w:rFonts w:ascii="Garamond" w:hAnsi="Garamond" w:cs="Times New Roman"/>
        </w:rPr>
        <w:t xml:space="preserve"> TANF performance measure of 50 percent</w:t>
      </w:r>
      <w:r w:rsidRPr="004A0C12">
        <w:rPr>
          <w:rFonts w:ascii="Garamond" w:hAnsi="Garamond" w:cs="Times New Roman"/>
        </w:rPr>
        <w:t xml:space="preserve"> for work participation rate. DHR will continue to deploy an </w:t>
      </w:r>
      <w:r w:rsidR="00411883" w:rsidRPr="004A0C12">
        <w:rPr>
          <w:rFonts w:ascii="Garamond" w:hAnsi="Garamond" w:cs="Times New Roman"/>
        </w:rPr>
        <w:t>“</w:t>
      </w:r>
      <w:r w:rsidRPr="004A0C12">
        <w:rPr>
          <w:rFonts w:ascii="Garamond" w:hAnsi="Garamond" w:cs="Times New Roman"/>
        </w:rPr>
        <w:t>employment first</w:t>
      </w:r>
      <w:r w:rsidR="00411883" w:rsidRPr="004A0C12">
        <w:rPr>
          <w:rFonts w:ascii="Garamond" w:hAnsi="Garamond" w:cs="Times New Roman"/>
        </w:rPr>
        <w:t>”</w:t>
      </w:r>
      <w:r w:rsidRPr="004A0C12">
        <w:rPr>
          <w:rFonts w:ascii="Garamond" w:hAnsi="Garamond" w:cs="Times New Roman"/>
        </w:rPr>
        <w:t xml:space="preserve"> model</w:t>
      </w:r>
      <w:r w:rsidR="00411883" w:rsidRPr="004A0C12">
        <w:rPr>
          <w:rFonts w:ascii="Garamond" w:hAnsi="Garamond" w:cs="Times New Roman"/>
        </w:rPr>
        <w:t>,</w:t>
      </w:r>
      <w:r w:rsidRPr="004A0C12">
        <w:rPr>
          <w:rFonts w:ascii="Garamond" w:hAnsi="Garamond" w:cs="Times New Roman"/>
        </w:rPr>
        <w:t xml:space="preserve"> but with TANF’s new mandated partnership in the WIOA system, DHR can leverage the myriad of opportunities that the WIOA Partners will offer to improve upon the employment and training trajectories of TCA recipients in Maryland. </w:t>
      </w:r>
    </w:p>
    <w:p w14:paraId="31414EB7" w14:textId="400CA4BE" w:rsidR="004705C8" w:rsidRPr="004A0C12" w:rsidRDefault="004705C8" w:rsidP="004705C8">
      <w:pPr>
        <w:spacing w:after="0" w:line="240" w:lineRule="auto"/>
        <w:jc w:val="both"/>
        <w:rPr>
          <w:rFonts w:ascii="Garamond" w:hAnsi="Garamond" w:cs="Times New Roman"/>
        </w:rPr>
      </w:pPr>
      <w:r w:rsidRPr="004A0C12">
        <w:rPr>
          <w:rFonts w:ascii="Garamond" w:hAnsi="Garamond" w:cs="Times New Roman"/>
        </w:rPr>
        <w:t>Over the first four years of our WIOA Combined Plan, DHR will begin to integrate TANF into the WIOA system as a full partner, thus increasing meaningful access to WIOA services for TCA work eligible individuals (WEI) who are determined to be ready, supported</w:t>
      </w:r>
      <w:r w:rsidR="00411883" w:rsidRPr="004A0C12">
        <w:rPr>
          <w:rFonts w:ascii="Garamond" w:hAnsi="Garamond" w:cs="Times New Roman"/>
        </w:rPr>
        <w:t>, and eligible. A few WIOA Priority of S</w:t>
      </w:r>
      <w:r w:rsidRPr="004A0C12">
        <w:rPr>
          <w:rFonts w:ascii="Garamond" w:hAnsi="Garamond" w:cs="Times New Roman"/>
        </w:rPr>
        <w:t>ervice populations</w:t>
      </w:r>
      <w:r w:rsidR="00411883" w:rsidRPr="004A0C12">
        <w:rPr>
          <w:rFonts w:ascii="Garamond" w:hAnsi="Garamond" w:cs="Times New Roman"/>
        </w:rPr>
        <w:t>,</w:t>
      </w:r>
      <w:r w:rsidRPr="004A0C12">
        <w:rPr>
          <w:rFonts w:ascii="Garamond" w:hAnsi="Garamond" w:cs="Times New Roman"/>
        </w:rPr>
        <w:t xml:space="preserve"> within the WEI TCA group, may include</w:t>
      </w:r>
      <w:r w:rsidR="00411883" w:rsidRPr="004A0C12">
        <w:rPr>
          <w:rFonts w:ascii="Garamond" w:hAnsi="Garamond" w:cs="Times New Roman"/>
        </w:rPr>
        <w:t>:</w:t>
      </w:r>
      <w:r w:rsidRPr="004A0C12">
        <w:rPr>
          <w:rFonts w:ascii="Garamond" w:hAnsi="Garamond" w:cs="Times New Roman"/>
        </w:rPr>
        <w:t xml:space="preserve"> work ready TCA recipients, TCA recipients between the ages of 18-24 who may be able to take advantage</w:t>
      </w:r>
      <w:r w:rsidR="00592908" w:rsidRPr="004A0C12">
        <w:rPr>
          <w:rFonts w:ascii="Garamond" w:hAnsi="Garamond" w:cs="Times New Roman"/>
        </w:rPr>
        <w:t xml:space="preserve"> of the new focus on older, out-of-</w:t>
      </w:r>
      <w:r w:rsidRPr="004A0C12">
        <w:rPr>
          <w:rFonts w:ascii="Garamond" w:hAnsi="Garamond" w:cs="Times New Roman"/>
        </w:rPr>
        <w:t xml:space="preserve">school youth services, individuals receiving or </w:t>
      </w:r>
      <w:r w:rsidR="00411883" w:rsidRPr="004A0C12">
        <w:rPr>
          <w:rFonts w:ascii="Garamond" w:hAnsi="Garamond" w:cs="Times New Roman"/>
        </w:rPr>
        <w:t xml:space="preserve">who have </w:t>
      </w:r>
      <w:r w:rsidRPr="004A0C12">
        <w:rPr>
          <w:rFonts w:ascii="Garamond" w:hAnsi="Garamond" w:cs="Times New Roman"/>
        </w:rPr>
        <w:t>exhau</w:t>
      </w:r>
      <w:r w:rsidR="00411883" w:rsidRPr="004A0C12">
        <w:rPr>
          <w:rFonts w:ascii="Garamond" w:hAnsi="Garamond" w:cs="Times New Roman"/>
        </w:rPr>
        <w:t xml:space="preserve">sted unemployment insurance and </w:t>
      </w:r>
      <w:r w:rsidRPr="004A0C12">
        <w:rPr>
          <w:rFonts w:ascii="Garamond" w:hAnsi="Garamond" w:cs="Times New Roman"/>
        </w:rPr>
        <w:t>may need TCA</w:t>
      </w:r>
      <w:r w:rsidR="00411883" w:rsidRPr="004A0C12">
        <w:rPr>
          <w:rFonts w:ascii="Garamond" w:hAnsi="Garamond" w:cs="Times New Roman"/>
        </w:rPr>
        <w:t>,</w:t>
      </w:r>
      <w:r w:rsidRPr="004A0C12">
        <w:rPr>
          <w:rFonts w:ascii="Garamond" w:hAnsi="Garamond" w:cs="Times New Roman"/>
        </w:rPr>
        <w:t xml:space="preserve"> and non-custodial parents. All of these groups fit into Maryland’s overall li</w:t>
      </w:r>
      <w:r w:rsidR="00411883" w:rsidRPr="004A0C12">
        <w:rPr>
          <w:rFonts w:ascii="Garamond" w:hAnsi="Garamond" w:cs="Times New Roman"/>
        </w:rPr>
        <w:t>st of targeted populations for Priority of S</w:t>
      </w:r>
      <w:r w:rsidRPr="004A0C12">
        <w:rPr>
          <w:rFonts w:ascii="Garamond" w:hAnsi="Garamond" w:cs="Times New Roman"/>
        </w:rPr>
        <w:t xml:space="preserve">ervice. </w:t>
      </w:r>
      <w:r w:rsidR="00411883" w:rsidRPr="004A0C12">
        <w:rPr>
          <w:rFonts w:ascii="Garamond" w:hAnsi="Garamond" w:cs="Times New Roman"/>
        </w:rPr>
        <w:t>A complete list of Maryland’s WIOA Target Populations and additional details on Priority of Service can be found on</w:t>
      </w:r>
      <w:r w:rsidR="009009EC" w:rsidRPr="004A0C12">
        <w:rPr>
          <w:rFonts w:ascii="Garamond" w:hAnsi="Garamond" w:cs="Times New Roman"/>
        </w:rPr>
        <w:t xml:space="preserve"> pages 51-53.</w:t>
      </w:r>
      <w:r w:rsidR="00411883" w:rsidRPr="004A0C12">
        <w:rPr>
          <w:rFonts w:ascii="Garamond" w:hAnsi="Garamond" w:cs="Times New Roman"/>
        </w:rPr>
        <w:t xml:space="preserve"> </w:t>
      </w:r>
      <w:r w:rsidRPr="004A0C12">
        <w:rPr>
          <w:rFonts w:ascii="Garamond" w:hAnsi="Garamond" w:cs="Times New Roman"/>
        </w:rPr>
        <w:t>In addition, TCA will be able to offer potential services and supports to other eligible customers within the WIOA system, thus providing value to the entire system on the whole.</w:t>
      </w:r>
    </w:p>
    <w:p w14:paraId="317589A0" w14:textId="77777777" w:rsidR="004705C8" w:rsidRPr="004A0C12" w:rsidRDefault="004705C8" w:rsidP="004705C8">
      <w:pPr>
        <w:spacing w:after="0" w:line="240" w:lineRule="auto"/>
        <w:jc w:val="both"/>
        <w:rPr>
          <w:rFonts w:ascii="Garamond" w:hAnsi="Garamond" w:cs="Times New Roman"/>
        </w:rPr>
      </w:pPr>
    </w:p>
    <w:p w14:paraId="052D97BB" w14:textId="16165B65" w:rsidR="004705C8" w:rsidRPr="004A0C12" w:rsidRDefault="004705C8" w:rsidP="004705C8">
      <w:pPr>
        <w:spacing w:after="0" w:line="240" w:lineRule="auto"/>
        <w:jc w:val="both"/>
        <w:rPr>
          <w:rFonts w:ascii="Garamond" w:hAnsi="Garamond" w:cs="Times New Roman"/>
        </w:rPr>
      </w:pPr>
      <w:r w:rsidRPr="004A0C12">
        <w:rPr>
          <w:rFonts w:ascii="Garamond" w:hAnsi="Garamond" w:cs="Times New Roman"/>
        </w:rPr>
        <w:t xml:space="preserve">DHR, in partnership with the 24 LDSS and the WIOA Partners, will implement this partnership using a phased-in approach over the four year period of the Plan in all </w:t>
      </w:r>
      <w:r w:rsidR="00411883" w:rsidRPr="004A0C12">
        <w:rPr>
          <w:rFonts w:ascii="Garamond" w:hAnsi="Garamond" w:cs="Times New Roman"/>
        </w:rPr>
        <w:t xml:space="preserve">of Maryland’s </w:t>
      </w:r>
      <w:r w:rsidRPr="004A0C12">
        <w:rPr>
          <w:rFonts w:ascii="Garamond" w:hAnsi="Garamond" w:cs="Times New Roman"/>
        </w:rPr>
        <w:t>12</w:t>
      </w:r>
      <w:r w:rsidR="00411883" w:rsidRPr="004A0C12">
        <w:rPr>
          <w:rFonts w:ascii="Garamond" w:hAnsi="Garamond" w:cs="Times New Roman"/>
        </w:rPr>
        <w:t xml:space="preserve"> local</w:t>
      </w:r>
      <w:r w:rsidRPr="004A0C12">
        <w:rPr>
          <w:rFonts w:ascii="Garamond" w:hAnsi="Garamond" w:cs="Times New Roman"/>
        </w:rPr>
        <w:t xml:space="preserve"> workforce development areas. This will allow for strategic and thoughtful roll-out, flexibility based on crucial local needs and input, evaluation</w:t>
      </w:r>
      <w:r w:rsidR="00411883" w:rsidRPr="004A0C12">
        <w:rPr>
          <w:rFonts w:ascii="Garamond" w:hAnsi="Garamond" w:cs="Times New Roman"/>
        </w:rPr>
        <w:t>,</w:t>
      </w:r>
      <w:r w:rsidRPr="004A0C12">
        <w:rPr>
          <w:rFonts w:ascii="Garamond" w:hAnsi="Garamond" w:cs="Times New Roman"/>
        </w:rPr>
        <w:t xml:space="preserve"> and ability to change course as needed. Additionally, it is imperative that from a state perspective, DHR leaders serve on the WIOA Alignment Group to ensure an ongoing active TANF voice. Further,</w:t>
      </w:r>
      <w:r w:rsidR="00322B60" w:rsidRPr="004A0C12">
        <w:rPr>
          <w:rFonts w:ascii="Garamond" w:hAnsi="Garamond" w:cs="Times New Roman"/>
        </w:rPr>
        <w:t xml:space="preserve"> the WIOA Partners will discuss in the Alignment Group created under this Plan to ensure that </w:t>
      </w:r>
      <w:r w:rsidRPr="004A0C12">
        <w:rPr>
          <w:rFonts w:ascii="Garamond" w:hAnsi="Garamond" w:cs="Times New Roman"/>
        </w:rPr>
        <w:t>high level leaders from the LDSS</w:t>
      </w:r>
      <w:r w:rsidR="00322B60" w:rsidRPr="004A0C12">
        <w:rPr>
          <w:rFonts w:ascii="Garamond" w:hAnsi="Garamond" w:cs="Times New Roman"/>
        </w:rPr>
        <w:t>, and other decision makers from partnering agencies,</w:t>
      </w:r>
      <w:r w:rsidRPr="004A0C12">
        <w:rPr>
          <w:rFonts w:ascii="Garamond" w:hAnsi="Garamond" w:cs="Times New Roman"/>
        </w:rPr>
        <w:t xml:space="preserve"> </w:t>
      </w:r>
      <w:r w:rsidR="00322B60" w:rsidRPr="004A0C12">
        <w:rPr>
          <w:rFonts w:ascii="Garamond" w:hAnsi="Garamond" w:cs="Times New Roman"/>
        </w:rPr>
        <w:t xml:space="preserve">have adequate representation </w:t>
      </w:r>
      <w:r w:rsidRPr="004A0C12">
        <w:rPr>
          <w:rFonts w:ascii="Garamond" w:hAnsi="Garamond" w:cs="Times New Roman"/>
        </w:rPr>
        <w:t>on Loca</w:t>
      </w:r>
      <w:r w:rsidR="00411883" w:rsidRPr="004A0C12">
        <w:rPr>
          <w:rFonts w:ascii="Garamond" w:hAnsi="Garamond" w:cs="Times New Roman"/>
        </w:rPr>
        <w:t xml:space="preserve">l Workforce Development Boards. </w:t>
      </w:r>
      <w:r w:rsidRPr="004A0C12">
        <w:rPr>
          <w:rFonts w:ascii="Garamond" w:hAnsi="Garamond" w:cs="Times New Roman"/>
        </w:rPr>
        <w:t>This will ensure local TCA representation for alignment,</w:t>
      </w:r>
      <w:r w:rsidR="00411883" w:rsidRPr="004A0C12">
        <w:rPr>
          <w:rFonts w:ascii="Garamond" w:hAnsi="Garamond" w:cs="Times New Roman"/>
        </w:rPr>
        <w:t xml:space="preserve"> effective operations</w:t>
      </w:r>
      <w:r w:rsidRPr="004A0C12">
        <w:rPr>
          <w:rFonts w:ascii="Garamond" w:hAnsi="Garamond" w:cs="Times New Roman"/>
        </w:rPr>
        <w:t>, compliance, evaluation</w:t>
      </w:r>
      <w:r w:rsidR="00411883" w:rsidRPr="004A0C12">
        <w:rPr>
          <w:rFonts w:ascii="Garamond" w:hAnsi="Garamond" w:cs="Times New Roman"/>
        </w:rPr>
        <w:t>,</w:t>
      </w:r>
      <w:r w:rsidRPr="004A0C12">
        <w:rPr>
          <w:rFonts w:ascii="Garamond" w:hAnsi="Garamond" w:cs="Times New Roman"/>
        </w:rPr>
        <w:t xml:space="preserve"> and partnership purposes.</w:t>
      </w:r>
    </w:p>
    <w:p w14:paraId="41229F89" w14:textId="77777777" w:rsidR="004705C8" w:rsidRPr="004A0C12" w:rsidRDefault="004705C8" w:rsidP="004705C8">
      <w:pPr>
        <w:spacing w:after="0" w:line="240" w:lineRule="auto"/>
        <w:jc w:val="both"/>
        <w:rPr>
          <w:rFonts w:ascii="Garamond" w:hAnsi="Garamond" w:cs="Times New Roman"/>
        </w:rPr>
      </w:pPr>
    </w:p>
    <w:p w14:paraId="684F2E9C" w14:textId="4EE4F1D1" w:rsidR="004705C8" w:rsidRPr="004A0C12" w:rsidRDefault="004705C8" w:rsidP="004705C8">
      <w:pPr>
        <w:spacing w:after="0" w:line="240" w:lineRule="auto"/>
        <w:jc w:val="both"/>
        <w:rPr>
          <w:rFonts w:ascii="Garamond" w:hAnsi="Garamond" w:cs="Times New Roman"/>
          <w:color w:val="19150F"/>
        </w:rPr>
      </w:pPr>
      <w:r w:rsidRPr="004A0C12">
        <w:rPr>
          <w:rFonts w:ascii="Garamond" w:hAnsi="Garamond" w:cs="Times New Roman"/>
        </w:rPr>
        <w:t>To assist Maryland with this phased in approach of TANF integration within the WIOA system, DHR, the LDSS</w:t>
      </w:r>
      <w:r w:rsidR="00411883" w:rsidRPr="004A0C12">
        <w:rPr>
          <w:rFonts w:ascii="Garamond" w:hAnsi="Garamond" w:cs="Times New Roman"/>
        </w:rPr>
        <w:t>,</w:t>
      </w:r>
      <w:r w:rsidRPr="004A0C12">
        <w:rPr>
          <w:rFonts w:ascii="Garamond" w:hAnsi="Garamond" w:cs="Times New Roman"/>
        </w:rPr>
        <w:t xml:space="preserve"> and other WIOA Partners, are actively participating in the Health and Human Services </w:t>
      </w:r>
      <w:r w:rsidRPr="004A0C12">
        <w:rPr>
          <w:rFonts w:ascii="Garamond" w:hAnsi="Garamond" w:cs="Times New Roman"/>
          <w:color w:val="19150F"/>
        </w:rPr>
        <w:t xml:space="preserve">Office of Family Assistance (OFA) </w:t>
      </w:r>
      <w:r w:rsidRPr="004A0C12">
        <w:rPr>
          <w:rFonts w:ascii="Garamond" w:hAnsi="Garamond" w:cs="Times New Roman"/>
          <w:iCs/>
          <w:color w:val="19150F"/>
        </w:rPr>
        <w:t>Systems to Family Stability National Policy Academy</w:t>
      </w:r>
      <w:r w:rsidRPr="004A0C12">
        <w:rPr>
          <w:rFonts w:ascii="Garamond" w:hAnsi="Garamond" w:cs="Times New Roman"/>
          <w:color w:val="19150F"/>
        </w:rPr>
        <w:t> (the Academy). Maryland will leverage the Academy’s resources, tools, and subject matter experts to:</w:t>
      </w:r>
    </w:p>
    <w:p w14:paraId="401DD0E4" w14:textId="77777777" w:rsidR="00411883" w:rsidRPr="004A0C12" w:rsidRDefault="00411883" w:rsidP="004705C8">
      <w:pPr>
        <w:spacing w:after="0" w:line="240" w:lineRule="auto"/>
        <w:jc w:val="both"/>
        <w:rPr>
          <w:rFonts w:ascii="Garamond" w:hAnsi="Garamond" w:cs="Times New Roman"/>
          <w:color w:val="19150F"/>
        </w:rPr>
      </w:pPr>
    </w:p>
    <w:p w14:paraId="40BC051E" w14:textId="49B4DA03" w:rsidR="004705C8" w:rsidRPr="004A0C12" w:rsidRDefault="004705C8" w:rsidP="00232F09">
      <w:pPr>
        <w:pStyle w:val="ListParagraph"/>
        <w:numPr>
          <w:ilvl w:val="0"/>
          <w:numId w:val="276"/>
        </w:numPr>
        <w:jc w:val="both"/>
        <w:rPr>
          <w:rFonts w:ascii="Garamond" w:hAnsi="Garamond"/>
          <w:szCs w:val="22"/>
        </w:rPr>
      </w:pPr>
      <w:r w:rsidRPr="004A0C12">
        <w:rPr>
          <w:rFonts w:ascii="Garamond" w:hAnsi="Garamond"/>
          <w:szCs w:val="22"/>
        </w:rPr>
        <w:t xml:space="preserve">Assess </w:t>
      </w:r>
      <w:r w:rsidR="00411883" w:rsidRPr="004A0C12">
        <w:rPr>
          <w:rFonts w:ascii="Garamond" w:hAnsi="Garamond"/>
          <w:szCs w:val="22"/>
        </w:rPr>
        <w:t>the current status of LDSS and local w</w:t>
      </w:r>
      <w:r w:rsidRPr="004A0C12">
        <w:rPr>
          <w:rFonts w:ascii="Garamond" w:hAnsi="Garamond"/>
          <w:szCs w:val="22"/>
        </w:rPr>
        <w:t xml:space="preserve">orkforce </w:t>
      </w:r>
      <w:r w:rsidR="00411883" w:rsidRPr="004A0C12">
        <w:rPr>
          <w:rFonts w:ascii="Garamond" w:hAnsi="Garamond"/>
          <w:szCs w:val="22"/>
        </w:rPr>
        <w:t>a</w:t>
      </w:r>
      <w:r w:rsidRPr="004A0C12">
        <w:rPr>
          <w:rFonts w:ascii="Garamond" w:hAnsi="Garamond"/>
          <w:szCs w:val="22"/>
        </w:rPr>
        <w:t>rea partnerships</w:t>
      </w:r>
      <w:r w:rsidR="00411883" w:rsidRPr="004A0C12">
        <w:rPr>
          <w:rFonts w:ascii="Garamond" w:hAnsi="Garamond"/>
          <w:szCs w:val="22"/>
        </w:rPr>
        <w:t>;</w:t>
      </w:r>
    </w:p>
    <w:p w14:paraId="081D1FB3" w14:textId="24C61356" w:rsidR="004705C8" w:rsidRPr="004A0C12" w:rsidRDefault="004705C8" w:rsidP="00232F09">
      <w:pPr>
        <w:pStyle w:val="ListParagraph"/>
        <w:numPr>
          <w:ilvl w:val="0"/>
          <w:numId w:val="276"/>
        </w:numPr>
        <w:jc w:val="both"/>
        <w:rPr>
          <w:rFonts w:ascii="Garamond" w:hAnsi="Garamond"/>
          <w:szCs w:val="22"/>
        </w:rPr>
      </w:pPr>
      <w:r w:rsidRPr="004A0C12">
        <w:rPr>
          <w:rFonts w:ascii="Garamond" w:hAnsi="Garamond"/>
          <w:szCs w:val="22"/>
        </w:rPr>
        <w:t xml:space="preserve">Select </w:t>
      </w:r>
      <w:r w:rsidR="00411883" w:rsidRPr="004A0C12">
        <w:rPr>
          <w:rFonts w:ascii="Garamond" w:hAnsi="Garamond"/>
          <w:szCs w:val="22"/>
        </w:rPr>
        <w:t xml:space="preserve">the local workforce </w:t>
      </w:r>
      <w:r w:rsidRPr="004A0C12">
        <w:rPr>
          <w:rFonts w:ascii="Garamond" w:hAnsi="Garamond"/>
          <w:szCs w:val="22"/>
        </w:rPr>
        <w:t xml:space="preserve">areas and corresponding LDSS to phase-in the TANF/WIOA partnership over four years, in active </w:t>
      </w:r>
      <w:r w:rsidR="008B06E6" w:rsidRPr="004A0C12">
        <w:rPr>
          <w:rFonts w:ascii="Garamond" w:hAnsi="Garamond"/>
          <w:szCs w:val="22"/>
        </w:rPr>
        <w:t>partnership with the LDSS and local development a</w:t>
      </w:r>
      <w:r w:rsidRPr="004A0C12">
        <w:rPr>
          <w:rFonts w:ascii="Garamond" w:hAnsi="Garamond"/>
          <w:szCs w:val="22"/>
        </w:rPr>
        <w:t>reas</w:t>
      </w:r>
      <w:r w:rsidR="008B06E6" w:rsidRPr="004A0C12">
        <w:rPr>
          <w:rFonts w:ascii="Garamond" w:hAnsi="Garamond"/>
          <w:szCs w:val="22"/>
        </w:rPr>
        <w:t>;</w:t>
      </w:r>
    </w:p>
    <w:p w14:paraId="6055DAA9" w14:textId="56885C5B" w:rsidR="004705C8" w:rsidRPr="004A0C12" w:rsidRDefault="004705C8" w:rsidP="00232F09">
      <w:pPr>
        <w:pStyle w:val="ListParagraph"/>
        <w:numPr>
          <w:ilvl w:val="0"/>
          <w:numId w:val="276"/>
        </w:numPr>
        <w:jc w:val="both"/>
        <w:rPr>
          <w:rFonts w:ascii="Garamond" w:hAnsi="Garamond"/>
          <w:szCs w:val="22"/>
        </w:rPr>
      </w:pPr>
      <w:r w:rsidRPr="004A0C12">
        <w:rPr>
          <w:rFonts w:ascii="Garamond" w:hAnsi="Garamond"/>
          <w:szCs w:val="22"/>
        </w:rPr>
        <w:t>Provide direct technical assistance and guidance to the areas selected to phase in first. Areas will be offered a variety of technical assistance options through the Academy to work towards a meaningful, operational partnership</w:t>
      </w:r>
      <w:r w:rsidR="008B06E6" w:rsidRPr="004A0C12">
        <w:rPr>
          <w:rFonts w:ascii="Garamond" w:hAnsi="Garamond"/>
          <w:szCs w:val="22"/>
        </w:rPr>
        <w:t>;</w:t>
      </w:r>
    </w:p>
    <w:p w14:paraId="58B26DEB" w14:textId="484BFF87" w:rsidR="004705C8" w:rsidRPr="004A0C12" w:rsidRDefault="004705C8" w:rsidP="00232F09">
      <w:pPr>
        <w:pStyle w:val="ListParagraph"/>
        <w:numPr>
          <w:ilvl w:val="0"/>
          <w:numId w:val="276"/>
        </w:numPr>
        <w:jc w:val="both"/>
        <w:rPr>
          <w:rFonts w:ascii="Garamond" w:hAnsi="Garamond"/>
          <w:szCs w:val="22"/>
        </w:rPr>
      </w:pPr>
      <w:r w:rsidRPr="004A0C12">
        <w:rPr>
          <w:rFonts w:ascii="Garamond" w:hAnsi="Garamond"/>
          <w:szCs w:val="22"/>
        </w:rPr>
        <w:t>Monitor the progress of the partnership plans and provide ongoing technical assistance</w:t>
      </w:r>
      <w:r w:rsidR="008B06E6" w:rsidRPr="004A0C12">
        <w:rPr>
          <w:rFonts w:ascii="Garamond" w:hAnsi="Garamond"/>
          <w:szCs w:val="22"/>
        </w:rPr>
        <w:t xml:space="preserve">; and, </w:t>
      </w:r>
    </w:p>
    <w:p w14:paraId="502FB91F" w14:textId="2696C12D" w:rsidR="004705C8" w:rsidRPr="004A0C12" w:rsidRDefault="004705C8" w:rsidP="00232F09">
      <w:pPr>
        <w:pStyle w:val="ListParagraph"/>
        <w:numPr>
          <w:ilvl w:val="0"/>
          <w:numId w:val="276"/>
        </w:numPr>
        <w:jc w:val="both"/>
        <w:rPr>
          <w:rFonts w:ascii="Garamond" w:hAnsi="Garamond"/>
          <w:szCs w:val="22"/>
        </w:rPr>
      </w:pPr>
      <w:r w:rsidRPr="004A0C12">
        <w:rPr>
          <w:rFonts w:ascii="Garamond" w:hAnsi="Garamond"/>
          <w:szCs w:val="22"/>
        </w:rPr>
        <w:t>Set up evaluation criteria, to measure the effectiveness of the partnership</w:t>
      </w:r>
      <w:r w:rsidR="008B06E6" w:rsidRPr="004A0C12">
        <w:rPr>
          <w:rFonts w:ascii="Garamond" w:hAnsi="Garamond"/>
          <w:szCs w:val="22"/>
        </w:rPr>
        <w:t>.</w:t>
      </w:r>
      <w:r w:rsidRPr="004A0C12">
        <w:rPr>
          <w:rFonts w:ascii="Garamond" w:hAnsi="Garamond"/>
          <w:szCs w:val="22"/>
        </w:rPr>
        <w:t xml:space="preserve"> </w:t>
      </w:r>
    </w:p>
    <w:p w14:paraId="51DDB18D" w14:textId="77777777" w:rsidR="004705C8" w:rsidRPr="004A0C12" w:rsidRDefault="004705C8" w:rsidP="004705C8">
      <w:pPr>
        <w:spacing w:after="0" w:line="240" w:lineRule="auto"/>
        <w:jc w:val="both"/>
        <w:rPr>
          <w:rFonts w:ascii="Garamond" w:hAnsi="Garamond" w:cs="Times New Roman"/>
        </w:rPr>
      </w:pPr>
    </w:p>
    <w:p w14:paraId="14C10DA6" w14:textId="77777777" w:rsidR="008B06E6" w:rsidRPr="004A0C12" w:rsidRDefault="004705C8" w:rsidP="004705C8">
      <w:pPr>
        <w:spacing w:after="0" w:line="240" w:lineRule="auto"/>
        <w:jc w:val="both"/>
        <w:rPr>
          <w:rFonts w:ascii="Garamond" w:eastAsia="Times New Roman" w:hAnsi="Garamond" w:cs="Times New Roman"/>
        </w:rPr>
      </w:pPr>
      <w:r w:rsidRPr="004A0C12">
        <w:rPr>
          <w:rFonts w:ascii="Garamond" w:eastAsia="Times New Roman" w:hAnsi="Garamond" w:cs="Times New Roman"/>
        </w:rPr>
        <w:t>As a general framework, based on a strong individualized assessment, TCA recipients will receive appropriate servic</w:t>
      </w:r>
      <w:r w:rsidR="008B06E6" w:rsidRPr="004A0C12">
        <w:rPr>
          <w:rFonts w:ascii="Garamond" w:eastAsia="Times New Roman" w:hAnsi="Garamond" w:cs="Times New Roman"/>
        </w:rPr>
        <w:t>es through one of three portals: (1)</w:t>
      </w:r>
      <w:r w:rsidRPr="004A0C12">
        <w:rPr>
          <w:rFonts w:ascii="Garamond" w:eastAsia="Times New Roman" w:hAnsi="Garamond" w:cs="Times New Roman"/>
        </w:rPr>
        <w:t xml:space="preserve"> the LDS</w:t>
      </w:r>
      <w:r w:rsidR="008B06E6" w:rsidRPr="004A0C12">
        <w:rPr>
          <w:rFonts w:ascii="Garamond" w:eastAsia="Times New Roman" w:hAnsi="Garamond" w:cs="Times New Roman"/>
        </w:rPr>
        <w:t xml:space="preserve">S only; (2) </w:t>
      </w:r>
      <w:r w:rsidRPr="004A0C12">
        <w:rPr>
          <w:rFonts w:ascii="Garamond" w:eastAsia="Times New Roman" w:hAnsi="Garamond" w:cs="Times New Roman"/>
        </w:rPr>
        <w:t>through a combined effort b</w:t>
      </w:r>
      <w:r w:rsidR="008B06E6" w:rsidRPr="004A0C12">
        <w:rPr>
          <w:rFonts w:ascii="Garamond" w:eastAsia="Times New Roman" w:hAnsi="Garamond" w:cs="Times New Roman"/>
        </w:rPr>
        <w:t>etween the LDSS and WIOA system;</w:t>
      </w:r>
      <w:r w:rsidRPr="004A0C12">
        <w:rPr>
          <w:rFonts w:ascii="Garamond" w:eastAsia="Times New Roman" w:hAnsi="Garamond" w:cs="Times New Roman"/>
        </w:rPr>
        <w:t xml:space="preserve"> or</w:t>
      </w:r>
      <w:r w:rsidR="008B06E6" w:rsidRPr="004A0C12">
        <w:rPr>
          <w:rFonts w:ascii="Garamond" w:eastAsia="Times New Roman" w:hAnsi="Garamond" w:cs="Times New Roman"/>
        </w:rPr>
        <w:t>, (3)</w:t>
      </w:r>
      <w:r w:rsidRPr="004A0C12">
        <w:rPr>
          <w:rFonts w:ascii="Garamond" w:eastAsia="Times New Roman" w:hAnsi="Garamond" w:cs="Times New Roman"/>
        </w:rPr>
        <w:t xml:space="preserve"> through the WIOA system only. </w:t>
      </w:r>
    </w:p>
    <w:p w14:paraId="12D7AEEC" w14:textId="77777777" w:rsidR="008B06E6" w:rsidRPr="004A0C12" w:rsidRDefault="008B06E6" w:rsidP="004705C8">
      <w:pPr>
        <w:spacing w:after="0" w:line="240" w:lineRule="auto"/>
        <w:jc w:val="both"/>
        <w:rPr>
          <w:rFonts w:ascii="Garamond" w:eastAsia="Times New Roman" w:hAnsi="Garamond" w:cs="Times New Roman"/>
        </w:rPr>
      </w:pPr>
    </w:p>
    <w:p w14:paraId="40F15F84" w14:textId="07C26C90" w:rsidR="004705C8" w:rsidRPr="004A0C12" w:rsidRDefault="004705C8" w:rsidP="004705C8">
      <w:pPr>
        <w:spacing w:after="0" w:line="240" w:lineRule="auto"/>
        <w:jc w:val="both"/>
        <w:rPr>
          <w:rFonts w:ascii="Garamond" w:eastAsia="Times New Roman" w:hAnsi="Garamond" w:cs="Times New Roman"/>
        </w:rPr>
      </w:pPr>
      <w:r w:rsidRPr="004A0C12">
        <w:rPr>
          <w:rFonts w:ascii="Garamond" w:eastAsia="Times New Roman" w:hAnsi="Garamond" w:cs="Times New Roman"/>
        </w:rPr>
        <w:t>All services delivered to TCA recipients should focus on</w:t>
      </w:r>
      <w:r w:rsidR="008B06E6" w:rsidRPr="004A0C12">
        <w:rPr>
          <w:rFonts w:ascii="Garamond" w:eastAsia="Times New Roman" w:hAnsi="Garamond" w:cs="Times New Roman"/>
        </w:rPr>
        <w:t>:</w:t>
      </w:r>
      <w:r w:rsidRPr="004A0C12">
        <w:rPr>
          <w:rFonts w:ascii="Garamond" w:eastAsia="Times New Roman" w:hAnsi="Garamond" w:cs="Times New Roman"/>
        </w:rPr>
        <w:t xml:space="preserve"> </w:t>
      </w:r>
      <w:r w:rsidR="008B06E6" w:rsidRPr="004A0C12">
        <w:rPr>
          <w:rFonts w:ascii="Garamond" w:eastAsia="Times New Roman" w:hAnsi="Garamond" w:cs="Times New Roman"/>
        </w:rPr>
        <w:t xml:space="preserve">(1) </w:t>
      </w:r>
      <w:r w:rsidR="00592908" w:rsidRPr="004A0C12">
        <w:rPr>
          <w:rFonts w:ascii="Garamond" w:eastAsia="Times New Roman" w:hAnsi="Garamond" w:cs="Times New Roman"/>
        </w:rPr>
        <w:t>meeting the work participation rate</w:t>
      </w:r>
      <w:r w:rsidRPr="004A0C12">
        <w:rPr>
          <w:rFonts w:ascii="Garamond" w:eastAsia="Times New Roman" w:hAnsi="Garamond" w:cs="Times New Roman"/>
        </w:rPr>
        <w:t xml:space="preserve"> by placing TCA recipients in federally countable work activities for sufficient hours each week</w:t>
      </w:r>
      <w:r w:rsidR="008B06E6" w:rsidRPr="004A0C12">
        <w:rPr>
          <w:rFonts w:ascii="Garamond" w:eastAsia="Times New Roman" w:hAnsi="Garamond" w:cs="Times New Roman"/>
        </w:rPr>
        <w:t>; and, (2)</w:t>
      </w:r>
      <w:r w:rsidRPr="004A0C12">
        <w:rPr>
          <w:rFonts w:ascii="Garamond" w:eastAsia="Times New Roman" w:hAnsi="Garamond" w:cs="Times New Roman"/>
        </w:rPr>
        <w:t xml:space="preserve"> achieving the WIOA performance measures, as applicable. The ultimate goal is for TCA recipients to achieve employment that leads to long-term indep</w:t>
      </w:r>
      <w:r w:rsidR="008B06E6" w:rsidRPr="004A0C12">
        <w:rPr>
          <w:rFonts w:ascii="Garamond" w:eastAsia="Times New Roman" w:hAnsi="Garamond" w:cs="Times New Roman"/>
        </w:rPr>
        <w:t xml:space="preserve">endence from public assistance. </w:t>
      </w:r>
      <w:r w:rsidRPr="004A0C12">
        <w:rPr>
          <w:rFonts w:ascii="Garamond" w:eastAsia="Times New Roman" w:hAnsi="Garamond" w:cs="Times New Roman"/>
        </w:rPr>
        <w:t>Throughout participation in these activities, the LDSS will provide supportive services that may include: child care, medical assistance, transportation, food assistance, emergency assistance, clothing assistance</w:t>
      </w:r>
      <w:r w:rsidR="008B06E6" w:rsidRPr="004A0C12">
        <w:rPr>
          <w:rFonts w:ascii="Garamond" w:eastAsia="Times New Roman" w:hAnsi="Garamond" w:cs="Times New Roman"/>
        </w:rPr>
        <w:t>,</w:t>
      </w:r>
      <w:r w:rsidRPr="004A0C12">
        <w:rPr>
          <w:rFonts w:ascii="Garamond" w:eastAsia="Times New Roman" w:hAnsi="Garamond" w:cs="Times New Roman"/>
        </w:rPr>
        <w:t xml:space="preserve"> and employment retention services. Through the WIOA system, TCA recipients may:</w:t>
      </w:r>
    </w:p>
    <w:p w14:paraId="06EA1702" w14:textId="77777777" w:rsidR="004705C8" w:rsidRPr="004A0C12" w:rsidRDefault="004705C8" w:rsidP="004705C8">
      <w:pPr>
        <w:spacing w:after="0" w:line="240" w:lineRule="auto"/>
        <w:jc w:val="both"/>
        <w:rPr>
          <w:rFonts w:ascii="Garamond" w:eastAsia="Times New Roman" w:hAnsi="Garamond" w:cs="Times New Roman"/>
        </w:rPr>
      </w:pPr>
    </w:p>
    <w:p w14:paraId="5D816936" w14:textId="4DF70D26" w:rsidR="004705C8" w:rsidRPr="004A0C12" w:rsidRDefault="004705C8" w:rsidP="00232F09">
      <w:pPr>
        <w:pStyle w:val="ListParagraph"/>
        <w:numPr>
          <w:ilvl w:val="0"/>
          <w:numId w:val="188"/>
        </w:numPr>
        <w:contextualSpacing/>
        <w:jc w:val="both"/>
        <w:rPr>
          <w:rFonts w:ascii="Garamond" w:hAnsi="Garamond"/>
          <w:szCs w:val="22"/>
        </w:rPr>
      </w:pPr>
      <w:r w:rsidRPr="004A0C12">
        <w:rPr>
          <w:rFonts w:ascii="Garamond" w:hAnsi="Garamond"/>
          <w:szCs w:val="22"/>
        </w:rPr>
        <w:t xml:space="preserve">Receive </w:t>
      </w:r>
      <w:r w:rsidR="00592908" w:rsidRPr="004A0C12">
        <w:rPr>
          <w:rFonts w:ascii="Garamond" w:hAnsi="Garamond"/>
          <w:szCs w:val="22"/>
        </w:rPr>
        <w:t>l</w:t>
      </w:r>
      <w:r w:rsidRPr="004A0C12">
        <w:rPr>
          <w:rFonts w:ascii="Garamond" w:hAnsi="Garamond"/>
          <w:szCs w:val="22"/>
        </w:rPr>
        <w:t xml:space="preserve">abor </w:t>
      </w:r>
      <w:r w:rsidR="00592908" w:rsidRPr="004A0C12">
        <w:rPr>
          <w:rFonts w:ascii="Garamond" w:hAnsi="Garamond"/>
          <w:szCs w:val="22"/>
        </w:rPr>
        <w:t>market i</w:t>
      </w:r>
      <w:r w:rsidRPr="004A0C12">
        <w:rPr>
          <w:rFonts w:ascii="Garamond" w:hAnsi="Garamond"/>
          <w:szCs w:val="22"/>
        </w:rPr>
        <w:t>nformation, recruitment, job development</w:t>
      </w:r>
      <w:r w:rsidR="008B06E6" w:rsidRPr="004A0C12">
        <w:rPr>
          <w:rFonts w:ascii="Garamond" w:hAnsi="Garamond"/>
          <w:szCs w:val="22"/>
        </w:rPr>
        <w:t>,</w:t>
      </w:r>
      <w:r w:rsidRPr="004A0C12">
        <w:rPr>
          <w:rFonts w:ascii="Garamond" w:hAnsi="Garamond"/>
          <w:szCs w:val="22"/>
        </w:rPr>
        <w:t xml:space="preserve"> </w:t>
      </w:r>
      <w:r w:rsidR="008B06E6" w:rsidRPr="004A0C12">
        <w:rPr>
          <w:rFonts w:ascii="Garamond" w:hAnsi="Garamond"/>
          <w:szCs w:val="22"/>
        </w:rPr>
        <w:t xml:space="preserve">and placement services through </w:t>
      </w:r>
      <w:r w:rsidRPr="004A0C12">
        <w:rPr>
          <w:rFonts w:ascii="Garamond" w:hAnsi="Garamond"/>
          <w:szCs w:val="22"/>
        </w:rPr>
        <w:t>WIOA, in partnership with LDSS business services staff</w:t>
      </w:r>
      <w:r w:rsidR="008B06E6" w:rsidRPr="004A0C12">
        <w:rPr>
          <w:rFonts w:ascii="Garamond" w:hAnsi="Garamond"/>
          <w:szCs w:val="22"/>
        </w:rPr>
        <w:t>;</w:t>
      </w:r>
    </w:p>
    <w:p w14:paraId="48AE3361" w14:textId="3B93FD07" w:rsidR="004705C8" w:rsidRPr="004A0C12" w:rsidRDefault="004705C8" w:rsidP="00232F09">
      <w:pPr>
        <w:pStyle w:val="ListParagraph"/>
        <w:numPr>
          <w:ilvl w:val="0"/>
          <w:numId w:val="188"/>
        </w:numPr>
        <w:contextualSpacing/>
        <w:jc w:val="both"/>
        <w:rPr>
          <w:rFonts w:ascii="Garamond" w:hAnsi="Garamond"/>
          <w:szCs w:val="22"/>
        </w:rPr>
      </w:pPr>
      <w:r w:rsidRPr="004A0C12">
        <w:rPr>
          <w:rFonts w:ascii="Garamond" w:hAnsi="Garamond"/>
          <w:szCs w:val="22"/>
        </w:rPr>
        <w:t>Participate</w:t>
      </w:r>
      <w:r w:rsidR="008B06E6" w:rsidRPr="004A0C12">
        <w:rPr>
          <w:rFonts w:ascii="Garamond" w:hAnsi="Garamond"/>
          <w:szCs w:val="22"/>
        </w:rPr>
        <w:t xml:space="preserve"> in training programs such as </w:t>
      </w:r>
      <w:r w:rsidRPr="004A0C12">
        <w:rPr>
          <w:rFonts w:ascii="Garamond" w:hAnsi="Garamond"/>
          <w:szCs w:val="22"/>
        </w:rPr>
        <w:t xml:space="preserve">short term credentialing training programs, work based learning programs, </w:t>
      </w:r>
      <w:r w:rsidR="00592908" w:rsidRPr="004A0C12">
        <w:rPr>
          <w:rFonts w:ascii="Garamond" w:hAnsi="Garamond"/>
          <w:szCs w:val="22"/>
        </w:rPr>
        <w:t>on-the-job t</w:t>
      </w:r>
      <w:r w:rsidR="008B06E6" w:rsidRPr="004A0C12">
        <w:rPr>
          <w:rFonts w:ascii="Garamond" w:hAnsi="Garamond"/>
          <w:szCs w:val="22"/>
        </w:rPr>
        <w:t>raining programs, DLLR’s EARN industry-</w:t>
      </w:r>
      <w:r w:rsidRPr="004A0C12">
        <w:rPr>
          <w:rFonts w:ascii="Garamond" w:hAnsi="Garamond"/>
          <w:szCs w:val="22"/>
        </w:rPr>
        <w:t>led training programs, Career</w:t>
      </w:r>
      <w:r w:rsidR="008B06E6" w:rsidRPr="004A0C12">
        <w:rPr>
          <w:rFonts w:ascii="Garamond" w:hAnsi="Garamond"/>
          <w:szCs w:val="22"/>
        </w:rPr>
        <w:t xml:space="preserve"> Pathways training programs, and/or</w:t>
      </w:r>
      <w:r w:rsidRPr="004A0C12">
        <w:rPr>
          <w:rFonts w:ascii="Garamond" w:hAnsi="Garamond"/>
          <w:szCs w:val="22"/>
        </w:rPr>
        <w:t xml:space="preserve"> apprenticeships</w:t>
      </w:r>
      <w:r w:rsidR="008B06E6" w:rsidRPr="004A0C12">
        <w:rPr>
          <w:rFonts w:ascii="Garamond" w:hAnsi="Garamond"/>
          <w:szCs w:val="22"/>
        </w:rPr>
        <w:t xml:space="preserve">; and/or, </w:t>
      </w:r>
    </w:p>
    <w:p w14:paraId="5DF5E641" w14:textId="250A73D3" w:rsidR="004705C8" w:rsidRPr="004A0C12" w:rsidRDefault="004705C8" w:rsidP="00232F09">
      <w:pPr>
        <w:pStyle w:val="ListParagraph"/>
        <w:numPr>
          <w:ilvl w:val="0"/>
          <w:numId w:val="188"/>
        </w:numPr>
        <w:contextualSpacing/>
        <w:jc w:val="both"/>
        <w:rPr>
          <w:rFonts w:ascii="Garamond" w:hAnsi="Garamond"/>
          <w:szCs w:val="22"/>
        </w:rPr>
      </w:pPr>
      <w:r w:rsidRPr="004A0C12">
        <w:rPr>
          <w:rFonts w:ascii="Garamond" w:hAnsi="Garamond"/>
          <w:szCs w:val="22"/>
        </w:rPr>
        <w:t>Participate</w:t>
      </w:r>
      <w:r w:rsidR="008B06E6" w:rsidRPr="004A0C12">
        <w:rPr>
          <w:rFonts w:ascii="Garamond" w:hAnsi="Garamond"/>
          <w:szCs w:val="22"/>
        </w:rPr>
        <w:t xml:space="preserve"> in Adult Basic Education (ABE), Adult Secondary Education (ASE), or English Language Acquisition (ELA). </w:t>
      </w:r>
    </w:p>
    <w:p w14:paraId="3D8F3989" w14:textId="77777777" w:rsidR="004705C8" w:rsidRPr="004A0C12" w:rsidRDefault="004705C8" w:rsidP="004705C8">
      <w:pPr>
        <w:spacing w:after="0" w:line="240" w:lineRule="auto"/>
        <w:jc w:val="both"/>
        <w:rPr>
          <w:rFonts w:ascii="Garamond" w:eastAsia="Times New Roman" w:hAnsi="Garamond" w:cs="Times New Roman"/>
        </w:rPr>
      </w:pPr>
    </w:p>
    <w:p w14:paraId="3A9F0227" w14:textId="77777777" w:rsidR="004705C8" w:rsidRPr="004A0C12" w:rsidRDefault="004705C8" w:rsidP="004705C8">
      <w:pPr>
        <w:spacing w:after="0" w:line="240" w:lineRule="auto"/>
        <w:jc w:val="both"/>
        <w:rPr>
          <w:rFonts w:ascii="Garamond" w:hAnsi="Garamond" w:cs="Times New Roman"/>
        </w:rPr>
      </w:pPr>
      <w:r w:rsidRPr="004A0C12">
        <w:rPr>
          <w:rFonts w:ascii="Garamond" w:hAnsi="Garamond" w:cs="Times New Roman"/>
        </w:rPr>
        <w:t>In order to achieve this partnership, DHR will:</w:t>
      </w:r>
    </w:p>
    <w:p w14:paraId="1D0A1A8E" w14:textId="77777777" w:rsidR="008B06E6" w:rsidRPr="004A0C12" w:rsidRDefault="008B06E6" w:rsidP="004705C8">
      <w:pPr>
        <w:spacing w:after="0" w:line="240" w:lineRule="auto"/>
        <w:jc w:val="both"/>
        <w:rPr>
          <w:rFonts w:ascii="Garamond" w:hAnsi="Garamond" w:cs="Times New Roman"/>
        </w:rPr>
      </w:pPr>
    </w:p>
    <w:p w14:paraId="2B2880B5" w14:textId="528595D0" w:rsidR="008B06E6" w:rsidRPr="004A0C12" w:rsidRDefault="004705C8" w:rsidP="00232F09">
      <w:pPr>
        <w:pStyle w:val="ListParagraph"/>
        <w:numPr>
          <w:ilvl w:val="0"/>
          <w:numId w:val="187"/>
        </w:numPr>
        <w:contextualSpacing/>
        <w:jc w:val="both"/>
        <w:rPr>
          <w:rFonts w:ascii="Garamond" w:hAnsi="Garamond"/>
          <w:szCs w:val="22"/>
        </w:rPr>
      </w:pPr>
      <w:r w:rsidRPr="004A0C12">
        <w:rPr>
          <w:rFonts w:ascii="Garamond" w:hAnsi="Garamond"/>
          <w:szCs w:val="22"/>
        </w:rPr>
        <w:t>Consider co-location of LDSS and/or WIOA Partners at AJCs or LDSS</w:t>
      </w:r>
      <w:r w:rsidR="008B06E6" w:rsidRPr="004A0C12">
        <w:rPr>
          <w:rFonts w:ascii="Garamond" w:hAnsi="Garamond"/>
          <w:szCs w:val="22"/>
        </w:rPr>
        <w:t>,</w:t>
      </w:r>
      <w:r w:rsidRPr="004A0C12">
        <w:rPr>
          <w:rFonts w:ascii="Garamond" w:hAnsi="Garamond"/>
          <w:szCs w:val="22"/>
        </w:rPr>
        <w:t xml:space="preserve"> depending on the nature of local partnerships and operations to:</w:t>
      </w:r>
    </w:p>
    <w:p w14:paraId="21BB8D36" w14:textId="69D11F48"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t>Monitor the progress of TCA WEI and keep them countable for the federal WPR</w:t>
      </w:r>
      <w:r w:rsidR="008B06E6" w:rsidRPr="004A0C12">
        <w:rPr>
          <w:rFonts w:ascii="Garamond" w:hAnsi="Garamond"/>
          <w:szCs w:val="22"/>
        </w:rPr>
        <w:t>;</w:t>
      </w:r>
    </w:p>
    <w:p w14:paraId="3325054B" w14:textId="16A9FB61"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t>Become an integrated part of the WIOA Partners and serve customers collaboratively</w:t>
      </w:r>
      <w:r w:rsidR="008B06E6" w:rsidRPr="004A0C12">
        <w:rPr>
          <w:rFonts w:ascii="Garamond" w:hAnsi="Garamond"/>
          <w:szCs w:val="22"/>
        </w:rPr>
        <w:t>;</w:t>
      </w:r>
    </w:p>
    <w:p w14:paraId="2E48E7D3" w14:textId="7350F3B8"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t xml:space="preserve">Become an integrated member of the WIOA Partners Business Services teams (refer to “Business as </w:t>
      </w:r>
      <w:r w:rsidR="009009EC" w:rsidRPr="004A0C12">
        <w:rPr>
          <w:rFonts w:ascii="Garamond" w:hAnsi="Garamond"/>
          <w:szCs w:val="22"/>
        </w:rPr>
        <w:t>WIOA Customers” section of the P</w:t>
      </w:r>
      <w:r w:rsidRPr="004A0C12">
        <w:rPr>
          <w:rFonts w:ascii="Garamond" w:hAnsi="Garamond"/>
          <w:szCs w:val="22"/>
        </w:rPr>
        <w:t>lan</w:t>
      </w:r>
      <w:r w:rsidR="008B06E6" w:rsidRPr="004A0C12">
        <w:rPr>
          <w:rFonts w:ascii="Garamond" w:hAnsi="Garamond"/>
          <w:szCs w:val="22"/>
        </w:rPr>
        <w:t>,</w:t>
      </w:r>
      <w:r w:rsidR="009009EC" w:rsidRPr="004A0C12">
        <w:rPr>
          <w:rFonts w:ascii="Garamond" w:hAnsi="Garamond"/>
          <w:szCs w:val="22"/>
        </w:rPr>
        <w:t xml:space="preserve"> pages 54-55</w:t>
      </w:r>
      <w:r w:rsidRPr="004A0C12">
        <w:rPr>
          <w:rFonts w:ascii="Garamond" w:hAnsi="Garamond"/>
          <w:szCs w:val="22"/>
        </w:rPr>
        <w:t>) in order to engage with the business community collaboratively and provide the best customer service to busines</w:t>
      </w:r>
      <w:r w:rsidR="00BB5F3C" w:rsidRPr="004A0C12">
        <w:rPr>
          <w:rFonts w:ascii="Garamond" w:hAnsi="Garamond"/>
          <w:szCs w:val="22"/>
        </w:rPr>
        <w:t>ses and job</w:t>
      </w:r>
      <w:r w:rsidRPr="004A0C12">
        <w:rPr>
          <w:rFonts w:ascii="Garamond" w:hAnsi="Garamond"/>
          <w:szCs w:val="22"/>
        </w:rPr>
        <w:t>seekers alike</w:t>
      </w:r>
      <w:r w:rsidR="008B06E6" w:rsidRPr="004A0C12">
        <w:rPr>
          <w:rFonts w:ascii="Garamond" w:hAnsi="Garamond"/>
          <w:szCs w:val="22"/>
        </w:rPr>
        <w:t>;</w:t>
      </w:r>
    </w:p>
    <w:p w14:paraId="3DF2561E" w14:textId="6AA0F128"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t>Develop common intake and assessment strategies</w:t>
      </w:r>
      <w:r w:rsidR="008B06E6" w:rsidRPr="004A0C12">
        <w:rPr>
          <w:rFonts w:ascii="Garamond" w:hAnsi="Garamond"/>
          <w:szCs w:val="22"/>
        </w:rPr>
        <w:t xml:space="preserve">; and, </w:t>
      </w:r>
    </w:p>
    <w:p w14:paraId="14DE9188" w14:textId="44922B34"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lastRenderedPageBreak/>
        <w:t>Braid and blend funding as appropriate</w:t>
      </w:r>
      <w:r w:rsidR="00F1439E" w:rsidRPr="004A0C12">
        <w:rPr>
          <w:rFonts w:ascii="Garamond" w:hAnsi="Garamond"/>
          <w:szCs w:val="22"/>
        </w:rPr>
        <w:t>.</w:t>
      </w:r>
    </w:p>
    <w:p w14:paraId="3981DB5C" w14:textId="77777777" w:rsidR="004705C8" w:rsidRPr="004A0C12" w:rsidRDefault="004705C8" w:rsidP="004705C8">
      <w:pPr>
        <w:pStyle w:val="ListParagraph"/>
        <w:ind w:left="1440"/>
        <w:contextualSpacing/>
        <w:jc w:val="both"/>
        <w:rPr>
          <w:rFonts w:ascii="Garamond" w:hAnsi="Garamond"/>
          <w:szCs w:val="22"/>
        </w:rPr>
      </w:pPr>
    </w:p>
    <w:p w14:paraId="45C920CD" w14:textId="77777777" w:rsidR="004705C8" w:rsidRPr="004A0C12" w:rsidRDefault="004705C8" w:rsidP="00232F09">
      <w:pPr>
        <w:pStyle w:val="ListParagraph"/>
        <w:numPr>
          <w:ilvl w:val="0"/>
          <w:numId w:val="187"/>
        </w:numPr>
        <w:contextualSpacing/>
        <w:jc w:val="both"/>
        <w:rPr>
          <w:rFonts w:ascii="Garamond" w:hAnsi="Garamond"/>
          <w:szCs w:val="22"/>
        </w:rPr>
      </w:pPr>
      <w:r w:rsidRPr="004A0C12">
        <w:rPr>
          <w:rFonts w:ascii="Garamond" w:hAnsi="Garamond"/>
          <w:szCs w:val="22"/>
        </w:rPr>
        <w:t>Leverage existing financial and in-kind contributions to the WIOA system:</w:t>
      </w:r>
    </w:p>
    <w:p w14:paraId="4FFC4425" w14:textId="59605923"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t xml:space="preserve">Analyze existing LDSS </w:t>
      </w:r>
      <w:r w:rsidR="008B06E6" w:rsidRPr="004A0C12">
        <w:rPr>
          <w:rFonts w:ascii="Garamond" w:hAnsi="Garamond"/>
          <w:szCs w:val="22"/>
        </w:rPr>
        <w:t xml:space="preserve">vendor contracts with the WIOA </w:t>
      </w:r>
      <w:r w:rsidR="00F1439E" w:rsidRPr="004A0C12">
        <w:rPr>
          <w:rFonts w:ascii="Garamond" w:hAnsi="Garamond"/>
          <w:szCs w:val="22"/>
        </w:rPr>
        <w:t>S</w:t>
      </w:r>
      <w:r w:rsidRPr="004A0C12">
        <w:rPr>
          <w:rFonts w:ascii="Garamond" w:hAnsi="Garamond"/>
          <w:szCs w:val="22"/>
        </w:rPr>
        <w:t>ystem and possibly re-tool to create more meaningful access and integration into the WIOA system</w:t>
      </w:r>
      <w:r w:rsidR="008B06E6" w:rsidRPr="004A0C12">
        <w:rPr>
          <w:rFonts w:ascii="Garamond" w:hAnsi="Garamond"/>
          <w:szCs w:val="22"/>
        </w:rPr>
        <w:t>;</w:t>
      </w:r>
    </w:p>
    <w:p w14:paraId="1BCF19F5" w14:textId="60877E9E"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t>Explore partnership models that leverage existing funding to increase TCA recipients’ participation in WIO</w:t>
      </w:r>
      <w:r w:rsidR="00F1439E" w:rsidRPr="004A0C12">
        <w:rPr>
          <w:rFonts w:ascii="Garamond" w:hAnsi="Garamond"/>
          <w:szCs w:val="22"/>
        </w:rPr>
        <w:t>A system programs;</w:t>
      </w:r>
    </w:p>
    <w:p w14:paraId="73238FA9" w14:textId="49115F98"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t>Analyze existing co-location contracts or consider co-location of staff or shared space</w:t>
      </w:r>
      <w:r w:rsidR="00F1439E" w:rsidRPr="004A0C12">
        <w:rPr>
          <w:rFonts w:ascii="Garamond" w:hAnsi="Garamond"/>
          <w:szCs w:val="22"/>
        </w:rPr>
        <w:t>;</w:t>
      </w:r>
    </w:p>
    <w:p w14:paraId="364B476C" w14:textId="3A8D2F26"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t>Provide training and access to DHR’s online benefits application and access system, myDHR</w:t>
      </w:r>
      <w:r w:rsidR="00F1439E" w:rsidRPr="004A0C12">
        <w:rPr>
          <w:rFonts w:ascii="Garamond" w:hAnsi="Garamond"/>
          <w:szCs w:val="22"/>
        </w:rPr>
        <w:t xml:space="preserve">; and, </w:t>
      </w:r>
    </w:p>
    <w:p w14:paraId="00FFCBD6" w14:textId="555691FB" w:rsidR="004705C8" w:rsidRPr="004A0C12" w:rsidRDefault="004705C8" w:rsidP="00232F09">
      <w:pPr>
        <w:pStyle w:val="ListParagraph"/>
        <w:numPr>
          <w:ilvl w:val="1"/>
          <w:numId w:val="187"/>
        </w:numPr>
        <w:contextualSpacing/>
        <w:jc w:val="both"/>
        <w:rPr>
          <w:rFonts w:ascii="Garamond" w:hAnsi="Garamond"/>
          <w:szCs w:val="22"/>
        </w:rPr>
      </w:pPr>
      <w:r w:rsidRPr="004A0C12">
        <w:rPr>
          <w:rFonts w:ascii="Garamond" w:hAnsi="Garamond"/>
          <w:szCs w:val="22"/>
        </w:rPr>
        <w:t>Offer TCA and other LDSS services as needed</w:t>
      </w:r>
      <w:r w:rsidR="00F1439E" w:rsidRPr="004A0C12">
        <w:rPr>
          <w:rFonts w:ascii="Garamond" w:hAnsi="Garamond"/>
          <w:szCs w:val="22"/>
        </w:rPr>
        <w:t>.</w:t>
      </w:r>
    </w:p>
    <w:p w14:paraId="703B7CCC" w14:textId="77777777" w:rsidR="004705C8" w:rsidRPr="004A0C12" w:rsidRDefault="004705C8" w:rsidP="004705C8">
      <w:pPr>
        <w:pStyle w:val="ListParagraph"/>
        <w:ind w:left="2160"/>
        <w:contextualSpacing/>
        <w:jc w:val="both"/>
        <w:rPr>
          <w:rFonts w:ascii="Garamond" w:hAnsi="Garamond"/>
          <w:szCs w:val="22"/>
        </w:rPr>
      </w:pPr>
    </w:p>
    <w:p w14:paraId="352F96D2" w14:textId="77777777" w:rsidR="004705C8" w:rsidRPr="004A0C12" w:rsidRDefault="004705C8" w:rsidP="00232F09">
      <w:pPr>
        <w:pStyle w:val="ListParagraph"/>
        <w:numPr>
          <w:ilvl w:val="0"/>
          <w:numId w:val="277"/>
        </w:numPr>
        <w:jc w:val="both"/>
        <w:rPr>
          <w:rFonts w:ascii="Garamond" w:hAnsi="Garamond"/>
          <w:szCs w:val="22"/>
        </w:rPr>
      </w:pPr>
      <w:r w:rsidRPr="004A0C12">
        <w:rPr>
          <w:rFonts w:ascii="Garamond" w:hAnsi="Garamond"/>
          <w:szCs w:val="22"/>
        </w:rPr>
        <w:t>Contribute outcomes data to the WIOA system:</w:t>
      </w:r>
    </w:p>
    <w:p w14:paraId="7DB9CD21" w14:textId="752B2777" w:rsidR="004705C8" w:rsidRPr="004A0C12" w:rsidRDefault="004705C8" w:rsidP="00232F09">
      <w:pPr>
        <w:pStyle w:val="ListParagraph"/>
        <w:numPr>
          <w:ilvl w:val="0"/>
          <w:numId w:val="278"/>
        </w:numPr>
        <w:jc w:val="both"/>
        <w:rPr>
          <w:rFonts w:ascii="Garamond" w:hAnsi="Garamond"/>
          <w:szCs w:val="22"/>
        </w:rPr>
      </w:pPr>
      <w:r w:rsidRPr="004A0C12">
        <w:rPr>
          <w:rFonts w:ascii="Garamond" w:hAnsi="Garamond"/>
          <w:szCs w:val="22"/>
        </w:rPr>
        <w:t>Provide and report on performance data for some of the proposed WIOA Common Measures</w:t>
      </w:r>
      <w:r w:rsidR="00F1439E" w:rsidRPr="004A0C12">
        <w:rPr>
          <w:rFonts w:ascii="Garamond" w:hAnsi="Garamond"/>
          <w:szCs w:val="22"/>
        </w:rPr>
        <w:t>; and,</w:t>
      </w:r>
    </w:p>
    <w:p w14:paraId="5BFF58D5" w14:textId="139605E8" w:rsidR="004705C8" w:rsidRPr="004A0C12" w:rsidRDefault="004705C8" w:rsidP="00232F09">
      <w:pPr>
        <w:pStyle w:val="ListParagraph"/>
        <w:numPr>
          <w:ilvl w:val="0"/>
          <w:numId w:val="278"/>
        </w:numPr>
        <w:jc w:val="both"/>
        <w:rPr>
          <w:rFonts w:ascii="Garamond" w:hAnsi="Garamond"/>
          <w:szCs w:val="22"/>
        </w:rPr>
      </w:pPr>
      <w:r w:rsidRPr="004A0C12">
        <w:rPr>
          <w:rFonts w:ascii="Garamond" w:hAnsi="Garamond"/>
          <w:szCs w:val="22"/>
        </w:rPr>
        <w:t>Use the data to evaluate the TANF/WIOA partnership</w:t>
      </w:r>
      <w:r w:rsidR="00F1439E" w:rsidRPr="004A0C12">
        <w:rPr>
          <w:rFonts w:ascii="Garamond" w:hAnsi="Garamond"/>
          <w:szCs w:val="22"/>
        </w:rPr>
        <w:t>.</w:t>
      </w:r>
    </w:p>
    <w:p w14:paraId="6DFFC828" w14:textId="77777777" w:rsidR="004705C8" w:rsidRPr="004A0C12" w:rsidRDefault="004705C8" w:rsidP="004705C8">
      <w:pPr>
        <w:pStyle w:val="ListParagraph"/>
        <w:ind w:left="1440"/>
        <w:jc w:val="both"/>
        <w:rPr>
          <w:rFonts w:ascii="Garamond" w:hAnsi="Garamond"/>
          <w:szCs w:val="22"/>
        </w:rPr>
      </w:pPr>
    </w:p>
    <w:p w14:paraId="08AE8C23" w14:textId="77777777" w:rsidR="004705C8" w:rsidRPr="004A0C12" w:rsidRDefault="004705C8" w:rsidP="00232F09">
      <w:pPr>
        <w:pStyle w:val="ListParagraph"/>
        <w:numPr>
          <w:ilvl w:val="0"/>
          <w:numId w:val="277"/>
        </w:numPr>
        <w:jc w:val="both"/>
        <w:rPr>
          <w:rFonts w:ascii="Garamond" w:hAnsi="Garamond"/>
          <w:szCs w:val="22"/>
        </w:rPr>
      </w:pPr>
      <w:r w:rsidRPr="004A0C12">
        <w:rPr>
          <w:rFonts w:ascii="Garamond" w:hAnsi="Garamond"/>
          <w:szCs w:val="22"/>
        </w:rPr>
        <w:t>Participate in Statewide WIOA Partners activities:</w:t>
      </w:r>
    </w:p>
    <w:p w14:paraId="2B42D9E2" w14:textId="7D6D4A8D" w:rsidR="004705C8" w:rsidRPr="004A0C12" w:rsidRDefault="004705C8" w:rsidP="00232F09">
      <w:pPr>
        <w:pStyle w:val="ListParagraph"/>
        <w:numPr>
          <w:ilvl w:val="0"/>
          <w:numId w:val="279"/>
        </w:numPr>
        <w:jc w:val="both"/>
        <w:rPr>
          <w:rFonts w:ascii="Garamond" w:hAnsi="Garamond"/>
          <w:szCs w:val="22"/>
        </w:rPr>
      </w:pPr>
      <w:r w:rsidRPr="004A0C12">
        <w:rPr>
          <w:rFonts w:ascii="Garamond" w:hAnsi="Garamond"/>
          <w:szCs w:val="22"/>
        </w:rPr>
        <w:t>Serve on the statewide WIOA Alignment Group</w:t>
      </w:r>
      <w:r w:rsidR="00F1439E" w:rsidRPr="004A0C12">
        <w:rPr>
          <w:rFonts w:ascii="Garamond" w:hAnsi="Garamond"/>
          <w:szCs w:val="22"/>
        </w:rPr>
        <w:t>;</w:t>
      </w:r>
    </w:p>
    <w:p w14:paraId="3EAD6B4C" w14:textId="68B1D491" w:rsidR="004705C8" w:rsidRPr="004A0C12" w:rsidRDefault="004705C8" w:rsidP="00232F09">
      <w:pPr>
        <w:pStyle w:val="ListParagraph"/>
        <w:numPr>
          <w:ilvl w:val="0"/>
          <w:numId w:val="279"/>
        </w:numPr>
        <w:jc w:val="both"/>
        <w:rPr>
          <w:rFonts w:ascii="Garamond" w:hAnsi="Garamond"/>
          <w:szCs w:val="22"/>
        </w:rPr>
      </w:pPr>
      <w:r w:rsidRPr="004A0C12">
        <w:rPr>
          <w:rFonts w:ascii="Garamond" w:hAnsi="Garamond"/>
          <w:szCs w:val="22"/>
        </w:rPr>
        <w:t>Participate in the planning of Maryland’s WIOA Convening</w:t>
      </w:r>
      <w:r w:rsidR="00F1439E" w:rsidRPr="004A0C12">
        <w:rPr>
          <w:rFonts w:ascii="Garamond" w:hAnsi="Garamond"/>
          <w:szCs w:val="22"/>
        </w:rPr>
        <w:t xml:space="preserve">; and, </w:t>
      </w:r>
    </w:p>
    <w:p w14:paraId="1DFA254B" w14:textId="636744EE" w:rsidR="004705C8" w:rsidRPr="004A0C12" w:rsidRDefault="00BB5F3C" w:rsidP="00232F09">
      <w:pPr>
        <w:pStyle w:val="ListParagraph"/>
        <w:numPr>
          <w:ilvl w:val="0"/>
          <w:numId w:val="279"/>
        </w:numPr>
        <w:jc w:val="both"/>
        <w:rPr>
          <w:rFonts w:ascii="Garamond" w:hAnsi="Garamond"/>
          <w:szCs w:val="22"/>
        </w:rPr>
      </w:pPr>
      <w:r w:rsidRPr="004A0C12">
        <w:rPr>
          <w:rFonts w:ascii="Garamond" w:hAnsi="Garamond"/>
          <w:szCs w:val="22"/>
        </w:rPr>
        <w:t>Contribute to the Jobs</w:t>
      </w:r>
      <w:r w:rsidR="004705C8" w:rsidRPr="004A0C12">
        <w:rPr>
          <w:rFonts w:ascii="Garamond" w:hAnsi="Garamond"/>
          <w:szCs w:val="22"/>
        </w:rPr>
        <w:t>eeker Advisory Groups to ensure the inclusion and participation of TANF recipients on the Advisory Groups</w:t>
      </w:r>
    </w:p>
    <w:p w14:paraId="20756A31" w14:textId="77777777" w:rsidR="004705C8" w:rsidRPr="004A0C12" w:rsidRDefault="004705C8" w:rsidP="004705C8">
      <w:pPr>
        <w:pStyle w:val="ListParagraph"/>
        <w:ind w:left="1440"/>
        <w:jc w:val="both"/>
        <w:rPr>
          <w:rFonts w:ascii="Garamond" w:hAnsi="Garamond"/>
          <w:szCs w:val="22"/>
        </w:rPr>
      </w:pPr>
    </w:p>
    <w:p w14:paraId="2E3F99C6" w14:textId="375EC39E" w:rsidR="004705C8" w:rsidRPr="004A0C12" w:rsidRDefault="004705C8" w:rsidP="00F1439E">
      <w:pPr>
        <w:spacing w:after="0" w:line="240" w:lineRule="auto"/>
        <w:jc w:val="both"/>
        <w:rPr>
          <w:rFonts w:ascii="Garamond" w:hAnsi="Garamond" w:cs="Times New Roman"/>
        </w:rPr>
      </w:pPr>
      <w:r w:rsidRPr="004A0C12">
        <w:rPr>
          <w:rFonts w:ascii="Garamond" w:hAnsi="Garamond" w:cs="Times New Roman"/>
        </w:rPr>
        <w:t xml:space="preserve">Maryland will leverage both the Health and Human Services </w:t>
      </w:r>
      <w:r w:rsidRPr="004A0C12">
        <w:rPr>
          <w:rFonts w:ascii="Garamond" w:hAnsi="Garamond" w:cs="Times New Roman"/>
          <w:color w:val="19150F"/>
        </w:rPr>
        <w:t xml:space="preserve">Office of Family Assistance (OFA) </w:t>
      </w:r>
      <w:r w:rsidRPr="004A0C12">
        <w:rPr>
          <w:rFonts w:ascii="Garamond" w:hAnsi="Garamond" w:cs="Times New Roman"/>
          <w:iCs/>
          <w:color w:val="19150F"/>
        </w:rPr>
        <w:t>Systems to Family Stability National Policy Academy</w:t>
      </w:r>
      <w:r w:rsidRPr="004A0C12">
        <w:rPr>
          <w:rFonts w:ascii="Garamond" w:hAnsi="Garamond" w:cs="Times New Roman"/>
          <w:color w:val="19150F"/>
        </w:rPr>
        <w:t> and</w:t>
      </w:r>
      <w:r w:rsidRPr="004A0C12">
        <w:rPr>
          <w:rFonts w:ascii="Garamond" w:hAnsi="Garamond" w:cs="Times New Roman"/>
        </w:rPr>
        <w:t xml:space="preserve"> DHR’s research partner to research, track</w:t>
      </w:r>
      <w:r w:rsidR="00EE5CC9" w:rsidRPr="004A0C12">
        <w:rPr>
          <w:rFonts w:ascii="Garamond" w:hAnsi="Garamond" w:cs="Times New Roman"/>
        </w:rPr>
        <w:t>,</w:t>
      </w:r>
      <w:r w:rsidRPr="004A0C12">
        <w:rPr>
          <w:rFonts w:ascii="Garamond" w:hAnsi="Garamond" w:cs="Times New Roman"/>
        </w:rPr>
        <w:t xml:space="preserve"> and evaluate the TCA partnership with the WIOA system throughout the life of this first WIOA Combined Plan. As Maryland rolls out the partnership regionally</w:t>
      </w:r>
      <w:r w:rsidR="00592908" w:rsidRPr="004A0C12">
        <w:rPr>
          <w:rFonts w:ascii="Garamond" w:hAnsi="Garamond" w:cs="Times New Roman"/>
        </w:rPr>
        <w:t xml:space="preserve"> and</w:t>
      </w:r>
      <w:r w:rsidRPr="004A0C12">
        <w:rPr>
          <w:rFonts w:ascii="Garamond" w:hAnsi="Garamond" w:cs="Times New Roman"/>
        </w:rPr>
        <w:t xml:space="preserve"> statewide, the </w:t>
      </w:r>
      <w:r w:rsidR="00F1439E" w:rsidRPr="004A0C12">
        <w:rPr>
          <w:rFonts w:ascii="Garamond" w:hAnsi="Garamond" w:cs="Times New Roman"/>
        </w:rPr>
        <w:t xml:space="preserve">research partner can provide the WIOA Partners </w:t>
      </w:r>
      <w:r w:rsidRPr="004A0C12">
        <w:rPr>
          <w:rFonts w:ascii="Garamond" w:hAnsi="Garamond" w:cs="Times New Roman"/>
        </w:rPr>
        <w:t>with the data and recommendations of how the partnership is working regarding such components as performance, types of WIOA services for TCA recipients, collaborative policies and procedures, shared funding, administration, alignment of program missions</w:t>
      </w:r>
      <w:r w:rsidR="00EE5CC9" w:rsidRPr="004A0C12">
        <w:rPr>
          <w:rFonts w:ascii="Garamond" w:hAnsi="Garamond" w:cs="Times New Roman"/>
        </w:rPr>
        <w:t>,</w:t>
      </w:r>
      <w:r w:rsidRPr="004A0C12">
        <w:rPr>
          <w:rFonts w:ascii="Garamond" w:hAnsi="Garamond" w:cs="Times New Roman"/>
        </w:rPr>
        <w:t xml:space="preserve"> and cross-program staff training and knowledge. </w:t>
      </w:r>
    </w:p>
    <w:p w14:paraId="58FB1320" w14:textId="49836894" w:rsidR="004705C8" w:rsidRPr="00536320" w:rsidRDefault="004705C8" w:rsidP="004705C8">
      <w:pPr>
        <w:pStyle w:val="Heading2"/>
        <w:jc w:val="both"/>
        <w:rPr>
          <w:rFonts w:ascii="Garamond" w:eastAsia="Arial" w:hAnsi="Garamond"/>
          <w:sz w:val="24"/>
          <w:szCs w:val="24"/>
        </w:rPr>
      </w:pPr>
      <w:bookmarkStart w:id="235" w:name="_Toc447276262"/>
      <w:r w:rsidRPr="00536320">
        <w:rPr>
          <w:rFonts w:ascii="Garamond" w:eastAsia="Arial" w:hAnsi="Garamond"/>
          <w:sz w:val="24"/>
          <w:szCs w:val="24"/>
        </w:rPr>
        <w:t>Current TANF Workforce Programs</w:t>
      </w:r>
      <w:bookmarkEnd w:id="235"/>
    </w:p>
    <w:p w14:paraId="3319966E" w14:textId="514FC9FC" w:rsidR="004705C8" w:rsidRPr="004A0C12" w:rsidRDefault="004705C8" w:rsidP="004705C8">
      <w:pPr>
        <w:pStyle w:val="Normal1"/>
        <w:jc w:val="both"/>
        <w:rPr>
          <w:rFonts w:ascii="Garamond" w:hAnsi="Garamond"/>
          <w:szCs w:val="22"/>
        </w:rPr>
      </w:pPr>
      <w:r w:rsidRPr="004A0C12">
        <w:rPr>
          <w:rFonts w:ascii="Garamond" w:eastAsia="Arial" w:hAnsi="Garamond"/>
          <w:szCs w:val="22"/>
        </w:rPr>
        <w:t>DHR, through the local departments, provides workforce related services and referrals to all applicants or recipients of TANF assistance. The local departments have the responsibility and some flexibility, within State and Federal guidelines, to develop the systems, processes, and programs necessary to implement the work requirements of the Act specific to their local jurisdiction.</w:t>
      </w:r>
    </w:p>
    <w:p w14:paraId="77ACD1B3" w14:textId="77777777" w:rsidR="004705C8" w:rsidRPr="004A0C12" w:rsidRDefault="004705C8" w:rsidP="004705C8">
      <w:pPr>
        <w:pStyle w:val="Normal1"/>
        <w:jc w:val="both"/>
        <w:rPr>
          <w:rFonts w:ascii="Garamond" w:hAnsi="Garamond"/>
          <w:szCs w:val="22"/>
        </w:rPr>
      </w:pPr>
    </w:p>
    <w:p w14:paraId="3BF5B4C4" w14:textId="77777777" w:rsidR="004705C8" w:rsidRPr="004A0C12" w:rsidRDefault="004705C8" w:rsidP="004705C8">
      <w:pPr>
        <w:pStyle w:val="Normal1"/>
        <w:jc w:val="both"/>
        <w:rPr>
          <w:rFonts w:ascii="Garamond" w:eastAsia="Arial" w:hAnsi="Garamond"/>
          <w:szCs w:val="22"/>
        </w:rPr>
      </w:pPr>
      <w:r w:rsidRPr="004A0C12">
        <w:rPr>
          <w:rFonts w:ascii="Garamond" w:eastAsia="Arial" w:hAnsi="Garamond"/>
          <w:szCs w:val="22"/>
        </w:rPr>
        <w:t>Annually, the local departments submit their local plans called the Partnership for Achieving Self-Sufficiency (PASS) Plans. These plans describe the activities that local departments will operate to implement the work requirements of the TANF law. Plan goals include:</w:t>
      </w:r>
    </w:p>
    <w:p w14:paraId="5C249CE4" w14:textId="77777777" w:rsidR="004705C8" w:rsidRPr="004A0C12" w:rsidRDefault="004705C8" w:rsidP="004705C8">
      <w:pPr>
        <w:pStyle w:val="Normal1"/>
        <w:jc w:val="both"/>
        <w:rPr>
          <w:rFonts w:ascii="Garamond" w:hAnsi="Garamond"/>
          <w:szCs w:val="22"/>
        </w:rPr>
      </w:pPr>
    </w:p>
    <w:p w14:paraId="03A3C0EE" w14:textId="77777777" w:rsidR="004705C8" w:rsidRPr="004A0C12" w:rsidRDefault="004705C8" w:rsidP="00232F09">
      <w:pPr>
        <w:pStyle w:val="Normal1"/>
        <w:numPr>
          <w:ilvl w:val="0"/>
          <w:numId w:val="189"/>
        </w:numPr>
        <w:contextualSpacing/>
        <w:jc w:val="both"/>
        <w:rPr>
          <w:rFonts w:ascii="Garamond" w:hAnsi="Garamond"/>
          <w:szCs w:val="22"/>
        </w:rPr>
      </w:pPr>
      <w:r w:rsidRPr="004A0C12">
        <w:rPr>
          <w:rFonts w:ascii="Garamond" w:eastAsia="Arial" w:hAnsi="Garamond"/>
          <w:szCs w:val="22"/>
        </w:rPr>
        <w:t>Maintain current TCA Work Program goals:</w:t>
      </w:r>
    </w:p>
    <w:p w14:paraId="3C2D25BB" w14:textId="380F1975" w:rsidR="004705C8" w:rsidRPr="004A0C12" w:rsidRDefault="004705C8" w:rsidP="00232F09">
      <w:pPr>
        <w:pStyle w:val="Normal1"/>
        <w:numPr>
          <w:ilvl w:val="1"/>
          <w:numId w:val="189"/>
        </w:numPr>
        <w:jc w:val="both"/>
        <w:rPr>
          <w:rFonts w:ascii="Garamond" w:hAnsi="Garamond"/>
          <w:szCs w:val="22"/>
        </w:rPr>
      </w:pPr>
      <w:r w:rsidRPr="004A0C12">
        <w:rPr>
          <w:rFonts w:ascii="Garamond" w:eastAsia="Arial" w:hAnsi="Garamond"/>
          <w:szCs w:val="22"/>
        </w:rPr>
        <w:t>A minimum Work Participation Rate (WPR)</w:t>
      </w:r>
      <w:r w:rsidR="00EE5CC9" w:rsidRPr="004A0C12">
        <w:rPr>
          <w:rFonts w:ascii="Garamond" w:eastAsia="Arial" w:hAnsi="Garamond"/>
          <w:szCs w:val="22"/>
        </w:rPr>
        <w:t xml:space="preserve"> of 50 percent</w:t>
      </w:r>
      <w:r w:rsidRPr="004A0C12">
        <w:rPr>
          <w:rFonts w:ascii="Garamond" w:eastAsia="Arial" w:hAnsi="Garamond"/>
          <w:szCs w:val="22"/>
        </w:rPr>
        <w:t xml:space="preserve"> - This goal is important because WPR is a key benchmark that the federal government uses to evaluate the effectiv</w:t>
      </w:r>
      <w:r w:rsidR="00EE5CC9" w:rsidRPr="004A0C12">
        <w:rPr>
          <w:rFonts w:ascii="Garamond" w:eastAsia="Arial" w:hAnsi="Garamond"/>
          <w:szCs w:val="22"/>
        </w:rPr>
        <w:t>eness of Maryland’s TCA program;</w:t>
      </w:r>
      <w:r w:rsidRPr="004A0C12">
        <w:rPr>
          <w:rFonts w:ascii="Garamond" w:eastAsia="Arial" w:hAnsi="Garamond"/>
          <w:szCs w:val="22"/>
        </w:rPr>
        <w:t xml:space="preserve">  </w:t>
      </w:r>
    </w:p>
    <w:p w14:paraId="2B0D4469" w14:textId="6D8AF3F2" w:rsidR="004705C8" w:rsidRPr="004A0C12" w:rsidRDefault="004705C8" w:rsidP="00232F09">
      <w:pPr>
        <w:pStyle w:val="Normal1"/>
        <w:numPr>
          <w:ilvl w:val="1"/>
          <w:numId w:val="189"/>
        </w:numPr>
        <w:jc w:val="both"/>
        <w:rPr>
          <w:rFonts w:ascii="Garamond" w:hAnsi="Garamond"/>
          <w:szCs w:val="22"/>
        </w:rPr>
      </w:pPr>
      <w:r w:rsidRPr="004A0C12">
        <w:rPr>
          <w:rFonts w:ascii="Garamond" w:eastAsia="Arial" w:hAnsi="Garamond"/>
          <w:szCs w:val="22"/>
        </w:rPr>
        <w:t>Universal Engagement</w:t>
      </w:r>
      <w:r w:rsidR="001D4BB8" w:rsidRPr="004A0C12">
        <w:rPr>
          <w:rFonts w:ascii="Garamond" w:eastAsia="Arial" w:hAnsi="Garamond"/>
          <w:szCs w:val="22"/>
        </w:rPr>
        <w:t xml:space="preserve"> (All TANF recipients must be engaged in a federal or State defined activity unless otherwise exempted)</w:t>
      </w:r>
      <w:r w:rsidR="00EE5CC9" w:rsidRPr="004A0C12">
        <w:rPr>
          <w:rFonts w:ascii="Garamond" w:eastAsia="Arial" w:hAnsi="Garamond"/>
          <w:szCs w:val="22"/>
        </w:rPr>
        <w:t xml:space="preserve">; and, </w:t>
      </w:r>
    </w:p>
    <w:p w14:paraId="370642F1" w14:textId="45BEF2DF" w:rsidR="004705C8" w:rsidRPr="004A0C12" w:rsidRDefault="00592908" w:rsidP="00232F09">
      <w:pPr>
        <w:pStyle w:val="Normal1"/>
        <w:numPr>
          <w:ilvl w:val="1"/>
          <w:numId w:val="189"/>
        </w:numPr>
        <w:jc w:val="both"/>
        <w:rPr>
          <w:rFonts w:ascii="Garamond" w:eastAsia="Arial" w:hAnsi="Garamond"/>
          <w:szCs w:val="22"/>
        </w:rPr>
      </w:pPr>
      <w:r w:rsidRPr="004A0C12">
        <w:rPr>
          <w:rFonts w:ascii="Garamond" w:eastAsia="Arial" w:hAnsi="Garamond"/>
          <w:szCs w:val="22"/>
        </w:rPr>
        <w:t>Job p</w:t>
      </w:r>
      <w:r w:rsidR="004705C8" w:rsidRPr="004A0C12">
        <w:rPr>
          <w:rFonts w:ascii="Garamond" w:eastAsia="Arial" w:hAnsi="Garamond"/>
          <w:szCs w:val="22"/>
        </w:rPr>
        <w:t xml:space="preserve">lacements at prevailing minimum wage (federal, state </w:t>
      </w:r>
      <w:r w:rsidRPr="004A0C12">
        <w:rPr>
          <w:rFonts w:ascii="Garamond" w:eastAsia="Arial" w:hAnsi="Garamond"/>
          <w:szCs w:val="22"/>
        </w:rPr>
        <w:t>or local) Job p</w:t>
      </w:r>
      <w:r w:rsidR="004705C8" w:rsidRPr="004A0C12">
        <w:rPr>
          <w:rFonts w:ascii="Garamond" w:eastAsia="Arial" w:hAnsi="Garamond"/>
          <w:szCs w:val="22"/>
        </w:rPr>
        <w:t>laceme</w:t>
      </w:r>
      <w:r w:rsidR="00EE5CC9" w:rsidRPr="004A0C12">
        <w:rPr>
          <w:rFonts w:ascii="Garamond" w:eastAsia="Arial" w:hAnsi="Garamond"/>
          <w:szCs w:val="22"/>
        </w:rPr>
        <w:t>nts in $10/hour jobs;</w:t>
      </w:r>
    </w:p>
    <w:p w14:paraId="0642E661" w14:textId="111BE14B" w:rsidR="004705C8" w:rsidRPr="004A0C12" w:rsidRDefault="004705C8" w:rsidP="00232F09">
      <w:pPr>
        <w:pStyle w:val="Normal1"/>
        <w:numPr>
          <w:ilvl w:val="0"/>
          <w:numId w:val="189"/>
        </w:numPr>
        <w:jc w:val="both"/>
        <w:rPr>
          <w:rFonts w:ascii="Garamond" w:hAnsi="Garamond"/>
          <w:szCs w:val="22"/>
        </w:rPr>
      </w:pPr>
      <w:r w:rsidRPr="004A0C12">
        <w:rPr>
          <w:rFonts w:ascii="Garamond" w:eastAsia="Arial" w:hAnsi="Garamond"/>
          <w:szCs w:val="22"/>
        </w:rPr>
        <w:t>Improve outcomes for all workfor</w:t>
      </w:r>
      <w:r w:rsidR="00EE5CC9" w:rsidRPr="004A0C12">
        <w:rPr>
          <w:rFonts w:ascii="Garamond" w:eastAsia="Arial" w:hAnsi="Garamond"/>
          <w:szCs w:val="22"/>
        </w:rPr>
        <w:t>ce development vendor contracts;</w:t>
      </w:r>
    </w:p>
    <w:p w14:paraId="4F8CCE03" w14:textId="63EA1D03" w:rsidR="004705C8" w:rsidRPr="004A0C12" w:rsidRDefault="004705C8" w:rsidP="00232F09">
      <w:pPr>
        <w:pStyle w:val="Normal1"/>
        <w:numPr>
          <w:ilvl w:val="0"/>
          <w:numId w:val="189"/>
        </w:numPr>
        <w:jc w:val="both"/>
        <w:rPr>
          <w:rFonts w:ascii="Garamond" w:hAnsi="Garamond"/>
          <w:szCs w:val="22"/>
        </w:rPr>
      </w:pPr>
      <w:r w:rsidRPr="004A0C12">
        <w:rPr>
          <w:rFonts w:ascii="Garamond" w:eastAsia="Arial" w:hAnsi="Garamond"/>
          <w:szCs w:val="22"/>
        </w:rPr>
        <w:t>Develop meaningful partnerships that advance DHR goals, to include p</w:t>
      </w:r>
      <w:r w:rsidR="00EE5CC9" w:rsidRPr="004A0C12">
        <w:rPr>
          <w:rFonts w:ascii="Garamond" w:eastAsia="Arial" w:hAnsi="Garamond"/>
          <w:szCs w:val="22"/>
        </w:rPr>
        <w:t xml:space="preserve">artnership with the WIOA system; and, </w:t>
      </w:r>
    </w:p>
    <w:p w14:paraId="67C81A76" w14:textId="7EAF759D" w:rsidR="004705C8" w:rsidRPr="004A0C12" w:rsidRDefault="00EE5CC9" w:rsidP="00232F09">
      <w:pPr>
        <w:pStyle w:val="Normal1"/>
        <w:numPr>
          <w:ilvl w:val="0"/>
          <w:numId w:val="189"/>
        </w:numPr>
        <w:jc w:val="both"/>
        <w:rPr>
          <w:rFonts w:ascii="Garamond" w:hAnsi="Garamond"/>
          <w:szCs w:val="22"/>
        </w:rPr>
      </w:pPr>
      <w:r w:rsidRPr="004A0C12">
        <w:rPr>
          <w:rFonts w:ascii="Garamond" w:eastAsia="Arial" w:hAnsi="Garamond"/>
          <w:szCs w:val="22"/>
        </w:rPr>
        <w:t>Leverage local, S</w:t>
      </w:r>
      <w:r w:rsidR="004705C8" w:rsidRPr="004A0C12">
        <w:rPr>
          <w:rFonts w:ascii="Garamond" w:eastAsia="Arial" w:hAnsi="Garamond"/>
          <w:szCs w:val="22"/>
        </w:rPr>
        <w:t>tate</w:t>
      </w:r>
      <w:r w:rsidRPr="004A0C12">
        <w:rPr>
          <w:rFonts w:ascii="Garamond" w:eastAsia="Arial" w:hAnsi="Garamond"/>
          <w:szCs w:val="22"/>
        </w:rPr>
        <w:t>,</w:t>
      </w:r>
      <w:r w:rsidR="004705C8" w:rsidRPr="004A0C12">
        <w:rPr>
          <w:rFonts w:ascii="Garamond" w:eastAsia="Arial" w:hAnsi="Garamond"/>
          <w:szCs w:val="22"/>
        </w:rPr>
        <w:t xml:space="preserve"> and federal resources to assist individuals with moving towards self-sufficiency.</w:t>
      </w:r>
    </w:p>
    <w:p w14:paraId="02AC04C0" w14:textId="77777777" w:rsidR="004705C8" w:rsidRPr="004A0C12" w:rsidRDefault="004705C8" w:rsidP="004705C8">
      <w:pPr>
        <w:pStyle w:val="Normal1"/>
        <w:jc w:val="both"/>
        <w:rPr>
          <w:rFonts w:ascii="Garamond" w:hAnsi="Garamond"/>
          <w:szCs w:val="22"/>
        </w:rPr>
      </w:pPr>
    </w:p>
    <w:p w14:paraId="1C3EF219" w14:textId="26C18B81" w:rsidR="004705C8" w:rsidRPr="004A0C12" w:rsidRDefault="004705C8" w:rsidP="004705C8">
      <w:pPr>
        <w:pStyle w:val="Normal1"/>
        <w:jc w:val="both"/>
        <w:rPr>
          <w:rFonts w:ascii="Garamond" w:eastAsia="Arial" w:hAnsi="Garamond"/>
          <w:szCs w:val="22"/>
        </w:rPr>
      </w:pPr>
      <w:r w:rsidRPr="004A0C12">
        <w:rPr>
          <w:rFonts w:ascii="Garamond" w:eastAsia="Arial" w:hAnsi="Garamond"/>
          <w:szCs w:val="22"/>
        </w:rPr>
        <w:t>The Local</w:t>
      </w:r>
      <w:r w:rsidR="00EE5CC9" w:rsidRPr="004A0C12">
        <w:rPr>
          <w:rFonts w:ascii="Garamond" w:eastAsia="Arial" w:hAnsi="Garamond"/>
          <w:szCs w:val="22"/>
        </w:rPr>
        <w:t xml:space="preserve"> PASS</w:t>
      </w:r>
      <w:r w:rsidRPr="004A0C12">
        <w:rPr>
          <w:rFonts w:ascii="Garamond" w:eastAsia="Arial" w:hAnsi="Garamond"/>
          <w:szCs w:val="22"/>
        </w:rPr>
        <w:t xml:space="preserve"> Plans also include the State-defined work activity of substance abuse treatment for the purposes of section 402(a)(1)(A)(ii) of the TANF law as well as any additional locally defined work activities that are also incorporated as state defined activities for the purpose</w:t>
      </w:r>
      <w:r w:rsidR="001D4BB8" w:rsidRPr="004A0C12">
        <w:rPr>
          <w:rFonts w:ascii="Garamond" w:eastAsia="Arial" w:hAnsi="Garamond"/>
          <w:szCs w:val="22"/>
        </w:rPr>
        <w:t xml:space="preserve">s of that section of the law.  As long as the individual is participating with substance abuse requirements </w:t>
      </w:r>
      <w:r w:rsidR="001D4BB8" w:rsidRPr="004A0C12">
        <w:rPr>
          <w:rFonts w:ascii="Garamond" w:eastAsia="Arial" w:hAnsi="Garamond"/>
          <w:szCs w:val="22"/>
        </w:rPr>
        <w:lastRenderedPageBreak/>
        <w:t xml:space="preserve">and is not able to participate in a work activity, the substance abuse treatment is considered the individual’s activity for a specified length of time. </w:t>
      </w:r>
    </w:p>
    <w:p w14:paraId="35DA7357" w14:textId="77777777" w:rsidR="004705C8" w:rsidRPr="004A0C12" w:rsidRDefault="004705C8" w:rsidP="004705C8">
      <w:pPr>
        <w:pStyle w:val="Normal1"/>
        <w:jc w:val="both"/>
        <w:rPr>
          <w:rFonts w:ascii="Garamond" w:hAnsi="Garamond"/>
          <w:szCs w:val="22"/>
        </w:rPr>
      </w:pPr>
    </w:p>
    <w:p w14:paraId="18879B50" w14:textId="6BE2F01E" w:rsidR="004705C8" w:rsidRPr="004A0C12" w:rsidRDefault="004705C8" w:rsidP="004705C8">
      <w:pPr>
        <w:pStyle w:val="Normal1"/>
        <w:jc w:val="both"/>
        <w:rPr>
          <w:rFonts w:ascii="Garamond" w:eastAsia="Arial" w:hAnsi="Garamond"/>
          <w:szCs w:val="22"/>
        </w:rPr>
      </w:pPr>
      <w:r w:rsidRPr="004A0C12">
        <w:rPr>
          <w:rFonts w:ascii="Garamond" w:eastAsia="Arial" w:hAnsi="Garamond"/>
          <w:szCs w:val="22"/>
        </w:rPr>
        <w:t>In order to monitor and ensure that TANF recipients are engaging in work activities, DHR uses a key tool, the PASS Scorecard (FY 2014 and FY 2015 performance included in the Plan) to obtain a snapshot view of a local department</w:t>
      </w:r>
      <w:r w:rsidR="00091748" w:rsidRPr="004A0C12">
        <w:rPr>
          <w:rFonts w:ascii="Garamond" w:eastAsia="Arial" w:hAnsi="Garamond"/>
          <w:szCs w:val="22"/>
        </w:rPr>
        <w:t>s’</w:t>
      </w:r>
      <w:r w:rsidRPr="004A0C12">
        <w:rPr>
          <w:rFonts w:ascii="Garamond" w:eastAsia="Arial" w:hAnsi="Garamond"/>
          <w:szCs w:val="22"/>
        </w:rPr>
        <w:t xml:space="preserve"> </w:t>
      </w:r>
      <w:r w:rsidR="00091748" w:rsidRPr="004A0C12">
        <w:rPr>
          <w:rFonts w:ascii="Garamond" w:eastAsia="Arial" w:hAnsi="Garamond"/>
          <w:szCs w:val="22"/>
        </w:rPr>
        <w:t>performance. The</w:t>
      </w:r>
      <w:r w:rsidRPr="004A0C12">
        <w:rPr>
          <w:rFonts w:ascii="Garamond" w:eastAsia="Arial" w:hAnsi="Garamond"/>
          <w:szCs w:val="22"/>
        </w:rPr>
        <w:t xml:space="preserve"> Scorecard posts three critical metrics that indicate the overall levels of performance local departments made in engaging TANF recipients in work activities and moving them into employment.  These me</w:t>
      </w:r>
      <w:r w:rsidR="00091748" w:rsidRPr="004A0C12">
        <w:rPr>
          <w:rFonts w:ascii="Garamond" w:eastAsia="Arial" w:hAnsi="Garamond"/>
          <w:szCs w:val="22"/>
        </w:rPr>
        <w:t>asures include:  the universal Work P</w:t>
      </w:r>
      <w:r w:rsidRPr="004A0C12">
        <w:rPr>
          <w:rFonts w:ascii="Garamond" w:eastAsia="Arial" w:hAnsi="Garamond"/>
          <w:szCs w:val="22"/>
        </w:rPr>
        <w:t>art</w:t>
      </w:r>
      <w:r w:rsidR="00091748" w:rsidRPr="004A0C12">
        <w:rPr>
          <w:rFonts w:ascii="Garamond" w:eastAsia="Arial" w:hAnsi="Garamond"/>
          <w:szCs w:val="22"/>
        </w:rPr>
        <w:t>icipation Rate</w:t>
      </w:r>
      <w:r w:rsidRPr="004A0C12">
        <w:rPr>
          <w:rFonts w:ascii="Garamond" w:eastAsia="Arial" w:hAnsi="Garamond"/>
          <w:szCs w:val="22"/>
        </w:rPr>
        <w:t>; clients placed in employm</w:t>
      </w:r>
      <w:r w:rsidR="00592908" w:rsidRPr="004A0C12">
        <w:rPr>
          <w:rFonts w:ascii="Garamond" w:eastAsia="Arial" w:hAnsi="Garamond"/>
          <w:szCs w:val="22"/>
        </w:rPr>
        <w:t>ent; and clients placed in full-</w:t>
      </w:r>
      <w:r w:rsidRPr="004A0C12">
        <w:rPr>
          <w:rFonts w:ascii="Garamond" w:eastAsia="Arial" w:hAnsi="Garamond"/>
          <w:szCs w:val="22"/>
        </w:rPr>
        <w:t>time employment paying $10 per hour or more.</w:t>
      </w:r>
    </w:p>
    <w:p w14:paraId="255E0336" w14:textId="7C229F96" w:rsidR="004705C8" w:rsidRPr="00536320" w:rsidRDefault="004705C8" w:rsidP="004705C8">
      <w:pPr>
        <w:pStyle w:val="Heading2"/>
        <w:jc w:val="both"/>
        <w:rPr>
          <w:rFonts w:ascii="Garamond" w:eastAsia="Arial" w:hAnsi="Garamond"/>
          <w:sz w:val="24"/>
          <w:szCs w:val="24"/>
        </w:rPr>
      </w:pPr>
      <w:bookmarkStart w:id="236" w:name="_Toc447276263"/>
      <w:r w:rsidRPr="00536320">
        <w:rPr>
          <w:rFonts w:ascii="Garamond" w:eastAsia="Arial" w:hAnsi="Garamond"/>
          <w:sz w:val="24"/>
          <w:szCs w:val="24"/>
        </w:rPr>
        <w:t>Other TANF Program Descriptions</w:t>
      </w:r>
      <w:bookmarkEnd w:id="236"/>
    </w:p>
    <w:p w14:paraId="22ADFC78" w14:textId="0CBC8EEA" w:rsidR="004705C8" w:rsidRPr="004A0C12" w:rsidRDefault="004705C8" w:rsidP="004705C8">
      <w:pPr>
        <w:pStyle w:val="Normal1"/>
        <w:jc w:val="both"/>
        <w:rPr>
          <w:rFonts w:ascii="Garamond" w:hAnsi="Garamond"/>
          <w:szCs w:val="22"/>
        </w:rPr>
      </w:pPr>
      <w:r w:rsidRPr="004A0C12">
        <w:rPr>
          <w:rFonts w:ascii="Garamond" w:hAnsi="Garamond"/>
          <w:szCs w:val="22"/>
        </w:rPr>
        <w:t>In addition to workforce development, Maryland’s TANF program provides a broad range of other servi</w:t>
      </w:r>
      <w:r w:rsidR="00091748" w:rsidRPr="004A0C12">
        <w:rPr>
          <w:rFonts w:ascii="Garamond" w:hAnsi="Garamond"/>
          <w:szCs w:val="22"/>
        </w:rPr>
        <w:t xml:space="preserve">ces. </w:t>
      </w:r>
      <w:r w:rsidRPr="004A0C12">
        <w:rPr>
          <w:rFonts w:ascii="Garamond" w:hAnsi="Garamond"/>
          <w:szCs w:val="22"/>
        </w:rPr>
        <w:t xml:space="preserve">The Department’s Family </w:t>
      </w:r>
      <w:r w:rsidR="00091748" w:rsidRPr="004A0C12">
        <w:rPr>
          <w:rFonts w:ascii="Garamond" w:hAnsi="Garamond"/>
          <w:szCs w:val="22"/>
        </w:rPr>
        <w:t xml:space="preserve">Investment Administration </w:t>
      </w:r>
      <w:r w:rsidRPr="004A0C12">
        <w:rPr>
          <w:rFonts w:ascii="Garamond" w:hAnsi="Garamond"/>
          <w:szCs w:val="22"/>
        </w:rPr>
        <w:t>formed partnerships with other administrations within DHR, including the Child Support Enforcement and Social Services divisions, and with other State agencies a</w:t>
      </w:r>
      <w:r w:rsidR="00091748" w:rsidRPr="004A0C12">
        <w:rPr>
          <w:rFonts w:ascii="Garamond" w:hAnsi="Garamond"/>
          <w:szCs w:val="22"/>
        </w:rPr>
        <w:t>nd community organizations.  DHR’s Family Investment Administration</w:t>
      </w:r>
      <w:r w:rsidRPr="004A0C12">
        <w:rPr>
          <w:rFonts w:ascii="Garamond" w:hAnsi="Garamond"/>
          <w:szCs w:val="22"/>
        </w:rPr>
        <w:t xml:space="preserve"> works with these partners to promote DHR’s goal to protect children by assisting their families to become independent through work, personal and family responsibil</w:t>
      </w:r>
      <w:r w:rsidR="00091748" w:rsidRPr="004A0C12">
        <w:rPr>
          <w:rFonts w:ascii="Garamond" w:hAnsi="Garamond"/>
          <w:szCs w:val="22"/>
        </w:rPr>
        <w:t>ity, and community involvement.</w:t>
      </w:r>
      <w:r w:rsidRPr="004A0C12">
        <w:rPr>
          <w:rFonts w:ascii="Garamond" w:hAnsi="Garamond"/>
          <w:szCs w:val="22"/>
        </w:rPr>
        <w:t xml:space="preserve"> The Department expanded its</w:t>
      </w:r>
      <w:r w:rsidR="001862CF" w:rsidRPr="004A0C12">
        <w:rPr>
          <w:rFonts w:ascii="Garamond" w:hAnsi="Garamond"/>
          <w:szCs w:val="22"/>
        </w:rPr>
        <w:t xml:space="preserve"> </w:t>
      </w:r>
      <w:r w:rsidRPr="004A0C12">
        <w:rPr>
          <w:rFonts w:ascii="Garamond" w:hAnsi="Garamond"/>
          <w:szCs w:val="22"/>
        </w:rPr>
        <w:t xml:space="preserve">goal to include support for low </w:t>
      </w:r>
      <w:r w:rsidR="00091748" w:rsidRPr="004A0C12">
        <w:rPr>
          <w:rFonts w:ascii="Garamond" w:hAnsi="Garamond"/>
          <w:szCs w:val="22"/>
        </w:rPr>
        <w:t>income working families.</w:t>
      </w:r>
      <w:r w:rsidRPr="004A0C12">
        <w:rPr>
          <w:rFonts w:ascii="Garamond" w:hAnsi="Garamond"/>
          <w:szCs w:val="22"/>
        </w:rPr>
        <w:t xml:space="preserve"> This new edition </w:t>
      </w:r>
      <w:r w:rsidR="00091748" w:rsidRPr="004A0C12">
        <w:rPr>
          <w:rFonts w:ascii="Garamond" w:hAnsi="Garamond"/>
          <w:szCs w:val="22"/>
        </w:rPr>
        <w:t>to the TANF portion of Maryland’s Combined State Plan</w:t>
      </w:r>
      <w:r w:rsidRPr="004A0C12">
        <w:rPr>
          <w:rFonts w:ascii="Garamond" w:hAnsi="Garamond"/>
          <w:szCs w:val="22"/>
        </w:rPr>
        <w:t xml:space="preserve"> continues to strengthen those partnerships by empowering staff in offices across the State to work together to provide employment and training activities, supportive services, and benefits that enable customers to get jobs and improve their economic circumstances. Additionally, Maryland is committed to providing targeted services to customers facing multiple barriers to employment, including limited English proficiency and disabilities.</w:t>
      </w:r>
    </w:p>
    <w:p w14:paraId="07BB56DF" w14:textId="77777777" w:rsidR="004705C8" w:rsidRPr="004A0C12" w:rsidRDefault="004705C8" w:rsidP="004705C8">
      <w:pPr>
        <w:pStyle w:val="Normal1"/>
        <w:jc w:val="both"/>
        <w:rPr>
          <w:rFonts w:ascii="Garamond" w:hAnsi="Garamond"/>
          <w:szCs w:val="22"/>
        </w:rPr>
      </w:pPr>
    </w:p>
    <w:p w14:paraId="3900633B" w14:textId="6F0DB3FF" w:rsidR="004705C8" w:rsidRPr="004A0C12" w:rsidRDefault="004705C8" w:rsidP="004705C8">
      <w:pPr>
        <w:pStyle w:val="Normal1"/>
        <w:jc w:val="both"/>
        <w:rPr>
          <w:rFonts w:ascii="Garamond" w:eastAsia="Arial" w:hAnsi="Garamond"/>
          <w:szCs w:val="22"/>
        </w:rPr>
      </w:pPr>
      <w:r w:rsidRPr="004A0C12">
        <w:rPr>
          <w:rFonts w:ascii="Garamond" w:hAnsi="Garamond"/>
          <w:szCs w:val="22"/>
        </w:rPr>
        <w:t>This Plan includes a full range of programs targeted at special problems and needy populations in every juri</w:t>
      </w:r>
      <w:r w:rsidR="00091748" w:rsidRPr="004A0C12">
        <w:rPr>
          <w:rFonts w:ascii="Garamond" w:hAnsi="Garamond"/>
          <w:szCs w:val="22"/>
        </w:rPr>
        <w:t xml:space="preserve">sdiction throughout the State. </w:t>
      </w:r>
      <w:r w:rsidRPr="004A0C12">
        <w:rPr>
          <w:rFonts w:ascii="Garamond" w:hAnsi="Garamond"/>
          <w:szCs w:val="22"/>
        </w:rPr>
        <w:t>These programs are:</w:t>
      </w:r>
    </w:p>
    <w:p w14:paraId="5EEBAD71" w14:textId="77777777" w:rsidR="004705C8" w:rsidRPr="00536320" w:rsidRDefault="004705C8" w:rsidP="004705C8">
      <w:pPr>
        <w:tabs>
          <w:tab w:val="left" w:pos="-1440"/>
        </w:tabs>
        <w:spacing w:after="0" w:line="240" w:lineRule="auto"/>
        <w:jc w:val="both"/>
        <w:rPr>
          <w:rFonts w:ascii="Garamond" w:eastAsia="Times New Roman" w:hAnsi="Garamond" w:cs="Times New Roman"/>
          <w:color w:val="17365D"/>
          <w:spacing w:val="5"/>
          <w:kern w:val="28"/>
          <w:sz w:val="24"/>
          <w:szCs w:val="24"/>
        </w:rPr>
      </w:pPr>
    </w:p>
    <w:p w14:paraId="280B3F58" w14:textId="77777777" w:rsidR="00902C29" w:rsidRPr="00536320" w:rsidRDefault="004705C8" w:rsidP="004705C8">
      <w:pPr>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t>Core Famil</w:t>
      </w:r>
      <w:r w:rsidR="001862CF" w:rsidRPr="00536320">
        <w:rPr>
          <w:rStyle w:val="Heading4Char"/>
          <w:rFonts w:ascii="Garamond" w:hAnsi="Garamond"/>
          <w:sz w:val="24"/>
          <w:szCs w:val="24"/>
        </w:rPr>
        <w:t>y Investment Program Components</w:t>
      </w:r>
    </w:p>
    <w:p w14:paraId="1269AE2E" w14:textId="5289C8D7" w:rsidR="004705C8" w:rsidRPr="004A0C12" w:rsidRDefault="004705C8" w:rsidP="004705C8">
      <w:pPr>
        <w:tabs>
          <w:tab w:val="left" w:pos="-1440"/>
        </w:tabs>
        <w:spacing w:after="0" w:line="240" w:lineRule="auto"/>
        <w:jc w:val="both"/>
        <w:rPr>
          <w:rFonts w:ascii="Garamond" w:hAnsi="Garamond" w:cs="Times New Roman"/>
        </w:rPr>
      </w:pPr>
      <w:r w:rsidRPr="004A0C12">
        <w:rPr>
          <w:rFonts w:ascii="Garamond" w:hAnsi="Garamond" w:cs="Times New Roman"/>
        </w:rPr>
        <w:t>Eligible individuals may be referred to one or more program components d</w:t>
      </w:r>
      <w:r w:rsidR="00091748" w:rsidRPr="004A0C12">
        <w:rPr>
          <w:rFonts w:ascii="Garamond" w:hAnsi="Garamond" w:cs="Times New Roman"/>
        </w:rPr>
        <w:t xml:space="preserve">uring the application process. The Family Investment Program </w:t>
      </w:r>
      <w:r w:rsidRPr="004A0C12">
        <w:rPr>
          <w:rFonts w:ascii="Garamond" w:hAnsi="Garamond" w:cs="Times New Roman"/>
        </w:rPr>
        <w:t>core components all have the same eligibility criteria mentioned above, unless note</w:t>
      </w:r>
      <w:r w:rsidR="00091748" w:rsidRPr="004A0C12">
        <w:rPr>
          <w:rFonts w:ascii="Garamond" w:hAnsi="Garamond" w:cs="Times New Roman"/>
        </w:rPr>
        <w:t>d in the component description.</w:t>
      </w:r>
      <w:r w:rsidRPr="004A0C12">
        <w:rPr>
          <w:rFonts w:ascii="Garamond" w:hAnsi="Garamond" w:cs="Times New Roman"/>
        </w:rPr>
        <w:t xml:space="preserve"> They are funded out of TANF, TANF-MOE or Commingled Funds as appropriate and as reported in Maryland’s fiscal reports. </w:t>
      </w:r>
    </w:p>
    <w:p w14:paraId="7B4BE44A" w14:textId="77777777" w:rsidR="004705C8" w:rsidRPr="00536320" w:rsidRDefault="004705C8" w:rsidP="004705C8">
      <w:pPr>
        <w:spacing w:after="0" w:line="240" w:lineRule="auto"/>
        <w:ind w:left="720" w:hanging="720"/>
        <w:jc w:val="both"/>
        <w:rPr>
          <w:rFonts w:ascii="Garamond" w:hAnsi="Garamond" w:cs="Times New Roman"/>
          <w:sz w:val="24"/>
          <w:szCs w:val="24"/>
        </w:rPr>
      </w:pPr>
    </w:p>
    <w:p w14:paraId="7D021B93" w14:textId="77777777" w:rsidR="00902C29" w:rsidRPr="004A0C12" w:rsidRDefault="00902C29" w:rsidP="001E3220">
      <w:pPr>
        <w:widowControl w:val="0"/>
        <w:tabs>
          <w:tab w:val="left" w:pos="-1440"/>
        </w:tabs>
        <w:spacing w:after="0" w:line="240" w:lineRule="auto"/>
        <w:jc w:val="both"/>
        <w:rPr>
          <w:rStyle w:val="Heading4Char"/>
          <w:rFonts w:ascii="Garamond" w:hAnsi="Garamond"/>
        </w:rPr>
      </w:pPr>
      <w:r w:rsidRPr="00536320">
        <w:rPr>
          <w:rStyle w:val="Heading4Char"/>
          <w:rFonts w:ascii="Garamond" w:hAnsi="Garamond"/>
          <w:sz w:val="24"/>
          <w:szCs w:val="24"/>
        </w:rPr>
        <w:t>Temporary Cash Assistance (TCA)</w:t>
      </w:r>
    </w:p>
    <w:p w14:paraId="2981D2F6" w14:textId="54E8C18D" w:rsidR="004705C8" w:rsidRPr="004A0C12" w:rsidRDefault="004705C8" w:rsidP="001E3220">
      <w:pPr>
        <w:widowControl w:val="0"/>
        <w:tabs>
          <w:tab w:val="left" w:pos="-1440"/>
        </w:tabs>
        <w:spacing w:after="0" w:line="240" w:lineRule="auto"/>
        <w:jc w:val="both"/>
        <w:rPr>
          <w:rFonts w:ascii="Garamond" w:hAnsi="Garamond" w:cs="Times New Roman"/>
          <w:u w:val="single"/>
        </w:rPr>
      </w:pPr>
      <w:r w:rsidRPr="004A0C12">
        <w:rPr>
          <w:rFonts w:ascii="Garamond" w:hAnsi="Garamond" w:cs="Times New Roman"/>
        </w:rPr>
        <w:t>Individuals may apply for TCA when available resources and referrals do not fully</w:t>
      </w:r>
      <w:r w:rsidR="001862CF" w:rsidRPr="004A0C12">
        <w:rPr>
          <w:rFonts w:ascii="Garamond" w:hAnsi="Garamond" w:cs="Times New Roman"/>
        </w:rPr>
        <w:t xml:space="preserve"> address their families’ needs.</w:t>
      </w:r>
      <w:r w:rsidRPr="004A0C12">
        <w:rPr>
          <w:rFonts w:ascii="Garamond" w:hAnsi="Garamond" w:cs="Times New Roman"/>
        </w:rPr>
        <w:t xml:space="preserve"> Applicants must satisfy child support requirements before their appl</w:t>
      </w:r>
      <w:r w:rsidR="001862CF" w:rsidRPr="004A0C12">
        <w:rPr>
          <w:rFonts w:ascii="Garamond" w:hAnsi="Garamond" w:cs="Times New Roman"/>
        </w:rPr>
        <w:t>ications for TCA are approved.</w:t>
      </w:r>
      <w:r w:rsidRPr="004A0C12">
        <w:rPr>
          <w:rFonts w:ascii="Garamond" w:hAnsi="Garamond" w:cs="Times New Roman"/>
        </w:rPr>
        <w:t xml:space="preserve"> Medical Assistance eligibility is determined in a separate determination and system for each member of an active TCA assistance unit.</w:t>
      </w:r>
    </w:p>
    <w:p w14:paraId="7486E661" w14:textId="77777777" w:rsidR="004705C8" w:rsidRPr="004A0C12" w:rsidRDefault="004705C8" w:rsidP="004705C8">
      <w:pPr>
        <w:widowControl w:val="0"/>
        <w:tabs>
          <w:tab w:val="left" w:pos="-1440"/>
        </w:tabs>
        <w:spacing w:after="0" w:line="240" w:lineRule="auto"/>
        <w:ind w:left="360"/>
        <w:jc w:val="both"/>
        <w:rPr>
          <w:rFonts w:ascii="Garamond" w:hAnsi="Garamond" w:cs="Times New Roman"/>
        </w:rPr>
      </w:pPr>
    </w:p>
    <w:p w14:paraId="76410E39" w14:textId="63CC9AFE" w:rsidR="004705C8" w:rsidRPr="004A0C12" w:rsidRDefault="004705C8" w:rsidP="001862CF">
      <w:pPr>
        <w:widowControl w:val="0"/>
        <w:tabs>
          <w:tab w:val="left" w:pos="-1440"/>
        </w:tabs>
        <w:spacing w:after="0" w:line="240" w:lineRule="auto"/>
        <w:jc w:val="both"/>
        <w:rPr>
          <w:rFonts w:ascii="Garamond" w:hAnsi="Garamond" w:cs="Times New Roman"/>
        </w:rPr>
      </w:pPr>
      <w:r w:rsidRPr="004A0C12">
        <w:rPr>
          <w:rFonts w:ascii="Garamond" w:hAnsi="Garamond" w:cs="Times New Roman"/>
        </w:rPr>
        <w:t>To assist refugees and asylees in meeting t</w:t>
      </w:r>
      <w:r w:rsidR="001862CF" w:rsidRPr="004A0C12">
        <w:rPr>
          <w:rFonts w:ascii="Garamond" w:hAnsi="Garamond" w:cs="Times New Roman"/>
        </w:rPr>
        <w:t>he Refugee Cash Assistance</w:t>
      </w:r>
      <w:r w:rsidRPr="004A0C12">
        <w:rPr>
          <w:rFonts w:ascii="Garamond" w:hAnsi="Garamond" w:cs="Times New Roman"/>
        </w:rPr>
        <w:t xml:space="preserve"> work requirements, DHR contracted with two vendors who are qualified to implement TANF/work</w:t>
      </w:r>
      <w:r w:rsidR="001862CF" w:rsidRPr="004A0C12">
        <w:rPr>
          <w:rFonts w:ascii="Garamond" w:hAnsi="Garamond" w:cs="Times New Roman"/>
        </w:rPr>
        <w:t xml:space="preserve">force programs for refugees and/or asylees: </w:t>
      </w:r>
      <w:r w:rsidRPr="004A0C12">
        <w:rPr>
          <w:rFonts w:ascii="Garamond" w:hAnsi="Garamond" w:cs="Times New Roman"/>
        </w:rPr>
        <w:t xml:space="preserve">the International Rescue Committee and the Ethiopian </w:t>
      </w:r>
      <w:r w:rsidR="001862CF" w:rsidRPr="004A0C12">
        <w:rPr>
          <w:rFonts w:ascii="Garamond" w:hAnsi="Garamond" w:cs="Times New Roman"/>
        </w:rPr>
        <w:t xml:space="preserve">Community Development Center. </w:t>
      </w:r>
      <w:r w:rsidRPr="004A0C12">
        <w:rPr>
          <w:rFonts w:ascii="Garamond" w:hAnsi="Garamond" w:cs="Times New Roman"/>
        </w:rPr>
        <w:t>In order to qualify as a provider for ref</w:t>
      </w:r>
      <w:r w:rsidR="001862CF" w:rsidRPr="004A0C12">
        <w:rPr>
          <w:rFonts w:ascii="Garamond" w:hAnsi="Garamond" w:cs="Times New Roman"/>
        </w:rPr>
        <w:t>ugee services, v</w:t>
      </w:r>
      <w:r w:rsidRPr="004A0C12">
        <w:rPr>
          <w:rFonts w:ascii="Garamond" w:hAnsi="Garamond" w:cs="Times New Roman"/>
        </w:rPr>
        <w:t>endor</w:t>
      </w:r>
      <w:r w:rsidR="001862CF" w:rsidRPr="004A0C12">
        <w:rPr>
          <w:rFonts w:ascii="Garamond" w:hAnsi="Garamond" w:cs="Times New Roman"/>
        </w:rPr>
        <w:t xml:space="preserve">s must be </w:t>
      </w:r>
      <w:r w:rsidRPr="004A0C12">
        <w:rPr>
          <w:rFonts w:ascii="Garamond" w:hAnsi="Garamond" w:cs="Times New Roman"/>
        </w:rPr>
        <w:t>authorized through the Department of Homeland Security, Bureau of Citizenship and Immigration Services</w:t>
      </w:r>
      <w:r w:rsidR="001862CF" w:rsidRPr="004A0C12">
        <w:rPr>
          <w:rFonts w:ascii="Garamond" w:hAnsi="Garamond" w:cs="Times New Roman"/>
        </w:rPr>
        <w:t>,</w:t>
      </w:r>
      <w:r w:rsidRPr="004A0C12">
        <w:rPr>
          <w:rFonts w:ascii="Garamond" w:hAnsi="Garamond" w:cs="Times New Roman"/>
        </w:rPr>
        <w:t xml:space="preserve"> and the U</w:t>
      </w:r>
      <w:r w:rsidR="00592908" w:rsidRPr="004A0C12">
        <w:rPr>
          <w:rFonts w:ascii="Garamond" w:hAnsi="Garamond" w:cs="Times New Roman"/>
        </w:rPr>
        <w:t xml:space="preserve">nited </w:t>
      </w:r>
      <w:r w:rsidRPr="004A0C12">
        <w:rPr>
          <w:rFonts w:ascii="Garamond" w:hAnsi="Garamond" w:cs="Times New Roman"/>
        </w:rPr>
        <w:t>S</w:t>
      </w:r>
      <w:r w:rsidR="00592908" w:rsidRPr="004A0C12">
        <w:rPr>
          <w:rFonts w:ascii="Garamond" w:hAnsi="Garamond" w:cs="Times New Roman"/>
        </w:rPr>
        <w:t>tates</w:t>
      </w:r>
      <w:r w:rsidRPr="004A0C12">
        <w:rPr>
          <w:rFonts w:ascii="Garamond" w:hAnsi="Garamond" w:cs="Times New Roman"/>
        </w:rPr>
        <w:t xml:space="preserve"> Department of State, Bureau of Population, Refugees and Migration.  </w:t>
      </w:r>
    </w:p>
    <w:p w14:paraId="38CB8BA1" w14:textId="77777777" w:rsidR="004705C8" w:rsidRPr="004A0C12" w:rsidRDefault="004705C8" w:rsidP="004705C8">
      <w:pPr>
        <w:widowControl w:val="0"/>
        <w:tabs>
          <w:tab w:val="left" w:pos="-1440"/>
        </w:tabs>
        <w:spacing w:after="0" w:line="240" w:lineRule="auto"/>
        <w:ind w:left="360"/>
        <w:jc w:val="both"/>
        <w:rPr>
          <w:rFonts w:ascii="Garamond" w:hAnsi="Garamond" w:cs="Times New Roman"/>
        </w:rPr>
      </w:pPr>
      <w:r w:rsidRPr="004A0C12">
        <w:rPr>
          <w:rFonts w:ascii="Garamond" w:hAnsi="Garamond" w:cs="Times New Roman"/>
        </w:rPr>
        <w:t xml:space="preserve">                                                                                                                                                                                                                                                                                                                                                                                                                                                                                                                                                                                                                                                                                                                                                                                                                                                                                                                                                                                                                                                                                                                                                                                                                                                                                                                                                                                                                                                                                                                                                                                                                                                                                                                                                                                                                                                                                                                                                                                                                                                                                                      </w:t>
      </w:r>
    </w:p>
    <w:p w14:paraId="031787EE" w14:textId="77777777" w:rsidR="00902C29" w:rsidRPr="00536320" w:rsidRDefault="00902C29" w:rsidP="001862CF">
      <w:pPr>
        <w:widowControl w:val="0"/>
        <w:tabs>
          <w:tab w:val="left" w:pos="-1440"/>
        </w:tabs>
        <w:spacing w:after="0" w:line="240" w:lineRule="auto"/>
        <w:jc w:val="both"/>
        <w:rPr>
          <w:rStyle w:val="Heading4Char"/>
          <w:rFonts w:ascii="Garamond" w:hAnsi="Garamond"/>
          <w:sz w:val="24"/>
          <w:szCs w:val="24"/>
        </w:rPr>
      </w:pPr>
      <w:r w:rsidRPr="00536320">
        <w:rPr>
          <w:rStyle w:val="Heading4Char"/>
          <w:rFonts w:ascii="Garamond" w:hAnsi="Garamond"/>
          <w:sz w:val="24"/>
          <w:szCs w:val="24"/>
        </w:rPr>
        <w:t>Diversion Programs</w:t>
      </w:r>
    </w:p>
    <w:p w14:paraId="083E4FBE" w14:textId="38C6742D" w:rsidR="004705C8" w:rsidRPr="004A0C12" w:rsidRDefault="004705C8" w:rsidP="001862CF">
      <w:pPr>
        <w:widowControl w:val="0"/>
        <w:tabs>
          <w:tab w:val="left" w:pos="-1440"/>
        </w:tabs>
        <w:spacing w:after="0" w:line="240" w:lineRule="auto"/>
        <w:jc w:val="both"/>
        <w:rPr>
          <w:rFonts w:ascii="Garamond" w:hAnsi="Garamond" w:cs="Times New Roman"/>
        </w:rPr>
      </w:pPr>
      <w:r w:rsidRPr="004A0C12">
        <w:rPr>
          <w:rFonts w:ascii="Garamond" w:hAnsi="Garamond" w:cs="Times New Roman"/>
        </w:rPr>
        <w:t>Maryla</w:t>
      </w:r>
      <w:r w:rsidR="001862CF" w:rsidRPr="004A0C12">
        <w:rPr>
          <w:rFonts w:ascii="Garamond" w:hAnsi="Garamond" w:cs="Times New Roman"/>
        </w:rPr>
        <w:t xml:space="preserve">nd operates a diversion program, the Welfare Avoidance Grant (WAG). </w:t>
      </w:r>
      <w:r w:rsidRPr="004A0C12">
        <w:rPr>
          <w:rFonts w:ascii="Garamond" w:hAnsi="Garamond" w:cs="Times New Roman"/>
        </w:rPr>
        <w:t xml:space="preserve">A local department may offer a WAG according to criteria described in a local plan approved by DHR. A WAG is a one-time only, short-term cash benefit to a family with children, which is paid based on an agreement signed by the applicant or recipient and the local department.  Following the intent of §407 of the Social Security Act, WAG is a non-assistance TCA diversion program that provides for a specific </w:t>
      </w:r>
      <w:r w:rsidRPr="004A0C12">
        <w:rPr>
          <w:rFonts w:ascii="Garamond" w:hAnsi="Garamond" w:cs="Times New Roman"/>
          <w:iCs/>
        </w:rPr>
        <w:t xml:space="preserve">family </w:t>
      </w:r>
      <w:r w:rsidRPr="004A0C12">
        <w:rPr>
          <w:rFonts w:ascii="Garamond" w:hAnsi="Garamond" w:cs="Times New Roman"/>
        </w:rPr>
        <w:t xml:space="preserve">crisis or </w:t>
      </w:r>
      <w:r w:rsidRPr="004A0C12">
        <w:rPr>
          <w:rFonts w:ascii="Garamond" w:hAnsi="Garamond" w:cs="Times New Roman"/>
          <w:iCs/>
        </w:rPr>
        <w:t>family</w:t>
      </w:r>
      <w:r w:rsidRPr="004A0C12">
        <w:rPr>
          <w:rFonts w:ascii="Garamond" w:hAnsi="Garamond" w:cs="Times New Roman"/>
          <w:i/>
          <w:iCs/>
        </w:rPr>
        <w:t xml:space="preserve"> </w:t>
      </w:r>
      <w:r w:rsidRPr="004A0C12">
        <w:rPr>
          <w:rFonts w:ascii="Garamond" w:hAnsi="Garamond" w:cs="Times New Roman"/>
        </w:rPr>
        <w:t>episode of need, rather than a chronic or continuing situation. A WAG payment is not intended to co</w:t>
      </w:r>
      <w:r w:rsidR="001862CF" w:rsidRPr="004A0C12">
        <w:rPr>
          <w:rFonts w:ascii="Garamond" w:hAnsi="Garamond" w:cs="Times New Roman"/>
        </w:rPr>
        <w:t xml:space="preserve">ver a family’s on-going needs. </w:t>
      </w:r>
      <w:r w:rsidRPr="004A0C12">
        <w:rPr>
          <w:rFonts w:ascii="Garamond" w:hAnsi="Garamond" w:cs="Times New Roman"/>
        </w:rPr>
        <w:t>Applicants or recipients may not receive TCA durin</w:t>
      </w:r>
      <w:r w:rsidR="001862CF" w:rsidRPr="004A0C12">
        <w:rPr>
          <w:rFonts w:ascii="Garamond" w:hAnsi="Garamond" w:cs="Times New Roman"/>
        </w:rPr>
        <w:t xml:space="preserve">g any period covered by a WAG. </w:t>
      </w:r>
      <w:r w:rsidRPr="004A0C12">
        <w:rPr>
          <w:rFonts w:ascii="Garamond" w:hAnsi="Garamond" w:cs="Times New Roman"/>
        </w:rPr>
        <w:t>An application for TCA is denied during the period covered by the WAG. Any on-going TCA case would be closed. This program provides non-assistance.</w:t>
      </w:r>
    </w:p>
    <w:p w14:paraId="5985D874" w14:textId="77777777" w:rsidR="004705C8" w:rsidRPr="004A0C12" w:rsidRDefault="004705C8" w:rsidP="004705C8">
      <w:pPr>
        <w:tabs>
          <w:tab w:val="left" w:pos="-1440"/>
        </w:tabs>
        <w:spacing w:after="0" w:line="240" w:lineRule="auto"/>
        <w:ind w:left="720"/>
        <w:jc w:val="both"/>
        <w:rPr>
          <w:rFonts w:ascii="Garamond" w:hAnsi="Garamond" w:cs="Times New Roman"/>
        </w:rPr>
      </w:pPr>
    </w:p>
    <w:p w14:paraId="45AD9D47" w14:textId="77777777" w:rsidR="00902C29" w:rsidRPr="00536320" w:rsidRDefault="00D076CF" w:rsidP="001862CF">
      <w:pPr>
        <w:widowControl w:val="0"/>
        <w:tabs>
          <w:tab w:val="left" w:pos="-1440"/>
          <w:tab w:val="left" w:pos="720"/>
        </w:tabs>
        <w:spacing w:after="0" w:line="240" w:lineRule="auto"/>
        <w:jc w:val="both"/>
        <w:rPr>
          <w:rFonts w:ascii="Garamond" w:hAnsi="Garamond" w:cs="Times New Roman"/>
          <w:sz w:val="24"/>
          <w:szCs w:val="24"/>
        </w:rPr>
      </w:pPr>
      <w:r w:rsidRPr="00536320">
        <w:rPr>
          <w:rStyle w:val="Heading4Char"/>
          <w:rFonts w:ascii="Garamond" w:hAnsi="Garamond"/>
          <w:sz w:val="24"/>
          <w:szCs w:val="24"/>
        </w:rPr>
        <w:t>Alternative Programs</w:t>
      </w:r>
    </w:p>
    <w:p w14:paraId="7ECDCF53" w14:textId="30778F06" w:rsidR="004705C8" w:rsidRPr="004A0C12" w:rsidRDefault="004705C8" w:rsidP="001862CF">
      <w:pPr>
        <w:widowControl w:val="0"/>
        <w:tabs>
          <w:tab w:val="left" w:pos="-1440"/>
          <w:tab w:val="left" w:pos="720"/>
        </w:tabs>
        <w:spacing w:after="0" w:line="240" w:lineRule="auto"/>
        <w:jc w:val="both"/>
        <w:rPr>
          <w:rFonts w:ascii="Garamond" w:hAnsi="Garamond" w:cs="Times New Roman"/>
        </w:rPr>
      </w:pPr>
      <w:r w:rsidRPr="004A0C12">
        <w:rPr>
          <w:rFonts w:ascii="Garamond" w:hAnsi="Garamond" w:cs="Times New Roman"/>
        </w:rPr>
        <w:t>An alternative program is an opt</w:t>
      </w:r>
      <w:r w:rsidR="00D076CF" w:rsidRPr="004A0C12">
        <w:rPr>
          <w:rFonts w:ascii="Garamond" w:hAnsi="Garamond" w:cs="Times New Roman"/>
        </w:rPr>
        <w:t>ional program, in addition to Family Investment Programs,</w:t>
      </w:r>
      <w:r w:rsidRPr="004A0C12">
        <w:rPr>
          <w:rFonts w:ascii="Garamond" w:hAnsi="Garamond" w:cs="Times New Roman"/>
        </w:rPr>
        <w:t xml:space="preserve"> which may be developed and </w:t>
      </w:r>
      <w:r w:rsidRPr="004A0C12">
        <w:rPr>
          <w:rFonts w:ascii="Garamond" w:hAnsi="Garamond" w:cs="Times New Roman"/>
        </w:rPr>
        <w:lastRenderedPageBreak/>
        <w:t>implemented by a local depart</w:t>
      </w:r>
      <w:r w:rsidR="00D076CF" w:rsidRPr="004A0C12">
        <w:rPr>
          <w:rFonts w:ascii="Garamond" w:hAnsi="Garamond" w:cs="Times New Roman"/>
        </w:rPr>
        <w:t>ment to achieve the Family Investment Program goals</w:t>
      </w:r>
      <w:r w:rsidRPr="004A0C12">
        <w:rPr>
          <w:rFonts w:ascii="Garamond" w:hAnsi="Garamond" w:cs="Times New Roman"/>
        </w:rPr>
        <w:t>.  The program shall have the approval of the Secretary of DHR, is funded within the local department's allocated funds and any local supplement, and operate</w:t>
      </w:r>
      <w:r w:rsidR="00D076CF" w:rsidRPr="004A0C12">
        <w:rPr>
          <w:rFonts w:ascii="Garamond" w:hAnsi="Garamond" w:cs="Times New Roman"/>
        </w:rPr>
        <w:t xml:space="preserve">s within Federal requirements. </w:t>
      </w:r>
      <w:r w:rsidRPr="004A0C12">
        <w:rPr>
          <w:rFonts w:ascii="Garamond" w:hAnsi="Garamond" w:cs="Times New Roman"/>
        </w:rPr>
        <w:t xml:space="preserve">Local Department welfare diversion programs are included in this category. </w:t>
      </w:r>
    </w:p>
    <w:p w14:paraId="3897A6A7" w14:textId="77777777" w:rsidR="004705C8" w:rsidRPr="004A0C12" w:rsidRDefault="004705C8" w:rsidP="004705C8">
      <w:pPr>
        <w:widowControl w:val="0"/>
        <w:tabs>
          <w:tab w:val="left" w:pos="-1440"/>
          <w:tab w:val="left" w:pos="720"/>
        </w:tabs>
        <w:spacing w:after="0" w:line="240" w:lineRule="auto"/>
        <w:ind w:left="360"/>
        <w:jc w:val="both"/>
        <w:rPr>
          <w:rFonts w:ascii="Garamond" w:hAnsi="Garamond" w:cs="Times New Roman"/>
        </w:rPr>
      </w:pPr>
    </w:p>
    <w:p w14:paraId="2A9A838D" w14:textId="77777777" w:rsidR="00902C29" w:rsidRPr="00536320" w:rsidRDefault="004705C8" w:rsidP="00D076CF">
      <w:pPr>
        <w:widowControl w:val="0"/>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t>Emergency Assist</w:t>
      </w:r>
      <w:r w:rsidR="00D076CF" w:rsidRPr="00536320">
        <w:rPr>
          <w:rStyle w:val="Heading4Char"/>
          <w:rFonts w:ascii="Garamond" w:hAnsi="Garamond"/>
          <w:sz w:val="24"/>
          <w:szCs w:val="24"/>
        </w:rPr>
        <w:t>ance to Families with Children</w:t>
      </w:r>
    </w:p>
    <w:p w14:paraId="2CE1261E" w14:textId="04B5803C" w:rsidR="004705C8" w:rsidRPr="004A0C12" w:rsidRDefault="004705C8" w:rsidP="00D076CF">
      <w:pPr>
        <w:widowControl w:val="0"/>
        <w:tabs>
          <w:tab w:val="left" w:pos="-1440"/>
        </w:tabs>
        <w:spacing w:after="0" w:line="240" w:lineRule="auto"/>
        <w:jc w:val="both"/>
        <w:rPr>
          <w:rFonts w:ascii="Garamond" w:hAnsi="Garamond" w:cs="Times New Roman"/>
        </w:rPr>
      </w:pPr>
      <w:r w:rsidRPr="004A0C12">
        <w:rPr>
          <w:rFonts w:ascii="Garamond" w:hAnsi="Garamond" w:cs="Times New Roman"/>
        </w:rPr>
        <w:t>Maryland el</w:t>
      </w:r>
      <w:r w:rsidR="00D076CF" w:rsidRPr="004A0C12">
        <w:rPr>
          <w:rFonts w:ascii="Garamond" w:hAnsi="Garamond" w:cs="Times New Roman"/>
        </w:rPr>
        <w:t xml:space="preserve">ected to grandfather in its Emergency Assistance to Families with Children plan. </w:t>
      </w:r>
      <w:r w:rsidRPr="004A0C12">
        <w:rPr>
          <w:rFonts w:ascii="Garamond" w:hAnsi="Garamond" w:cs="Times New Roman"/>
        </w:rPr>
        <w:t xml:space="preserve">The State uses Segregated Federal TANF </w:t>
      </w:r>
      <w:r w:rsidR="00D076CF" w:rsidRPr="004A0C12">
        <w:rPr>
          <w:rFonts w:ascii="Garamond" w:hAnsi="Garamond" w:cs="Times New Roman"/>
        </w:rPr>
        <w:t xml:space="preserve">funds to operate this program. </w:t>
      </w:r>
      <w:r w:rsidRPr="004A0C12">
        <w:rPr>
          <w:rFonts w:ascii="Garamond" w:hAnsi="Garamond" w:cs="Times New Roman"/>
        </w:rPr>
        <w:t>Funds are allocated to local departments to meet emergencies for families with children. The financial eligibility criteria for this component differ from the other components</w:t>
      </w:r>
      <w:r w:rsidR="00D076CF" w:rsidRPr="004A0C12">
        <w:rPr>
          <w:rFonts w:ascii="Garamond" w:hAnsi="Garamond" w:cs="Times New Roman"/>
        </w:rPr>
        <w:t>,</w:t>
      </w:r>
      <w:r w:rsidRPr="004A0C12">
        <w:rPr>
          <w:rFonts w:ascii="Garamond" w:hAnsi="Garamond" w:cs="Times New Roman"/>
        </w:rPr>
        <w:t xml:space="preserve"> in that the family is needy if they have an emergency situation</w:t>
      </w:r>
      <w:r w:rsidR="00D076CF" w:rsidRPr="004A0C12">
        <w:rPr>
          <w:rFonts w:ascii="Garamond" w:hAnsi="Garamond" w:cs="Times New Roman"/>
        </w:rPr>
        <w:t>,</w:t>
      </w:r>
      <w:r w:rsidRPr="004A0C12">
        <w:rPr>
          <w:rFonts w:ascii="Garamond" w:hAnsi="Garamond" w:cs="Times New Roman"/>
        </w:rPr>
        <w:t xml:space="preserve"> as defined in the local plan</w:t>
      </w:r>
      <w:r w:rsidR="00D076CF" w:rsidRPr="004A0C12">
        <w:rPr>
          <w:rFonts w:ascii="Garamond" w:hAnsi="Garamond" w:cs="Times New Roman"/>
        </w:rPr>
        <w:t>,</w:t>
      </w:r>
      <w:r w:rsidRPr="004A0C12">
        <w:rPr>
          <w:rFonts w:ascii="Garamond" w:hAnsi="Garamond" w:cs="Times New Roman"/>
        </w:rPr>
        <w:t xml:space="preserve"> and do not have income or readily </w:t>
      </w:r>
      <w:r w:rsidR="00D076CF" w:rsidRPr="004A0C12">
        <w:rPr>
          <w:rFonts w:ascii="Garamond" w:hAnsi="Garamond" w:cs="Times New Roman"/>
        </w:rPr>
        <w:t xml:space="preserve">available </w:t>
      </w:r>
      <w:r w:rsidRPr="004A0C12">
        <w:rPr>
          <w:rFonts w:ascii="Garamond" w:hAnsi="Garamond" w:cs="Times New Roman"/>
        </w:rPr>
        <w:t xml:space="preserve">liquid </w:t>
      </w:r>
      <w:r w:rsidR="00D076CF" w:rsidRPr="004A0C12">
        <w:rPr>
          <w:rFonts w:ascii="Garamond" w:hAnsi="Garamond" w:cs="Times New Roman"/>
        </w:rPr>
        <w:t xml:space="preserve">assets to meet that emergency. </w:t>
      </w:r>
      <w:r w:rsidRPr="004A0C12">
        <w:rPr>
          <w:rFonts w:ascii="Garamond" w:hAnsi="Garamond" w:cs="Times New Roman"/>
        </w:rPr>
        <w:t>The family’s income must be below 500 percent</w:t>
      </w:r>
      <w:r w:rsidR="00D076CF" w:rsidRPr="004A0C12">
        <w:rPr>
          <w:rFonts w:ascii="Garamond" w:hAnsi="Garamond" w:cs="Times New Roman"/>
        </w:rPr>
        <w:t xml:space="preserve"> of the federal poverty level. </w:t>
      </w:r>
      <w:r w:rsidRPr="004A0C12">
        <w:rPr>
          <w:rFonts w:ascii="Garamond" w:hAnsi="Garamond" w:cs="Times New Roman"/>
        </w:rPr>
        <w:t>The local plans provide h</w:t>
      </w:r>
      <w:r w:rsidR="00D076CF" w:rsidRPr="004A0C12">
        <w:rPr>
          <w:rFonts w:ascii="Garamond" w:hAnsi="Garamond" w:cs="Times New Roman"/>
        </w:rPr>
        <w:t>elp to needy families that meet</w:t>
      </w:r>
      <w:r w:rsidRPr="004A0C12">
        <w:rPr>
          <w:rFonts w:ascii="Garamond" w:hAnsi="Garamond" w:cs="Times New Roman"/>
        </w:rPr>
        <w:t xml:space="preserve"> one or more of the</w:t>
      </w:r>
      <w:r w:rsidR="00D076CF" w:rsidRPr="004A0C12">
        <w:rPr>
          <w:rFonts w:ascii="Garamond" w:hAnsi="Garamond" w:cs="Times New Roman"/>
        </w:rPr>
        <w:t xml:space="preserve"> four purposes of the TANF Act.</w:t>
      </w:r>
      <w:r w:rsidRPr="004A0C12">
        <w:rPr>
          <w:rFonts w:ascii="Garamond" w:hAnsi="Garamond" w:cs="Times New Roman"/>
        </w:rPr>
        <w:t xml:space="preserve"> </w:t>
      </w:r>
      <w:r w:rsidR="00AA2536" w:rsidRPr="004A0C12">
        <w:rPr>
          <w:rFonts w:ascii="Garamond" w:hAnsi="Garamond" w:cs="Times New Roman"/>
        </w:rPr>
        <w:t xml:space="preserve">Since September 30, 1995, </w:t>
      </w:r>
      <w:r w:rsidRPr="004A0C12">
        <w:rPr>
          <w:rFonts w:ascii="Garamond" w:hAnsi="Garamond" w:cs="Times New Roman"/>
        </w:rPr>
        <w:t xml:space="preserve">Maryland </w:t>
      </w:r>
      <w:r w:rsidR="00D076CF" w:rsidRPr="004A0C12">
        <w:rPr>
          <w:rFonts w:ascii="Garamond" w:hAnsi="Garamond" w:cs="Times New Roman"/>
        </w:rPr>
        <w:t>has elected</w:t>
      </w:r>
      <w:r w:rsidRPr="004A0C12">
        <w:rPr>
          <w:rFonts w:ascii="Garamond" w:hAnsi="Garamond" w:cs="Times New Roman"/>
        </w:rPr>
        <w:t xml:space="preserve"> to exercise its grandfathering authority </w:t>
      </w:r>
      <w:r w:rsidR="00D076CF" w:rsidRPr="004A0C12">
        <w:rPr>
          <w:rFonts w:ascii="Garamond" w:hAnsi="Garamond" w:cs="Times New Roman"/>
        </w:rPr>
        <w:t xml:space="preserve">of section 404(a)(2) </w:t>
      </w:r>
      <w:r w:rsidR="00AA2536" w:rsidRPr="004A0C12">
        <w:rPr>
          <w:rFonts w:ascii="Garamond" w:hAnsi="Garamond" w:cs="Times New Roman"/>
        </w:rPr>
        <w:t>o</w:t>
      </w:r>
      <w:r w:rsidR="00D076CF" w:rsidRPr="004A0C12">
        <w:rPr>
          <w:rFonts w:ascii="Garamond" w:hAnsi="Garamond" w:cs="Times New Roman"/>
        </w:rPr>
        <w:t xml:space="preserve">f the </w:t>
      </w:r>
      <w:r w:rsidR="001D4BB8" w:rsidRPr="004A0C12">
        <w:rPr>
          <w:rFonts w:ascii="Garamond" w:hAnsi="Garamond" w:cs="Times New Roman"/>
        </w:rPr>
        <w:t xml:space="preserve">Social Security </w:t>
      </w:r>
      <w:r w:rsidR="00D076CF" w:rsidRPr="004A0C12">
        <w:rPr>
          <w:rFonts w:ascii="Garamond" w:hAnsi="Garamond" w:cs="Times New Roman"/>
        </w:rPr>
        <w:t>Act to implement Emergency Assistance to Families with Children.</w:t>
      </w:r>
      <w:r w:rsidRPr="004A0C12">
        <w:rPr>
          <w:rFonts w:ascii="Garamond" w:hAnsi="Garamond" w:cs="Times New Roman"/>
        </w:rPr>
        <w:t xml:space="preserve"> While the grandfathering elected here covers items that might normally not be included under TANF, these programs also cover TANF purpose 1 and 4 providing assistance to needy families and to encourage the formation and maintenance of two-parent families.</w:t>
      </w:r>
    </w:p>
    <w:p w14:paraId="6C1021A4" w14:textId="77777777" w:rsidR="004705C8" w:rsidRPr="004A0C12" w:rsidRDefault="004705C8" w:rsidP="001D4BB8">
      <w:pPr>
        <w:tabs>
          <w:tab w:val="left" w:pos="-1440"/>
          <w:tab w:val="left" w:pos="1080"/>
        </w:tabs>
        <w:spacing w:after="0" w:line="240" w:lineRule="auto"/>
        <w:jc w:val="both"/>
        <w:rPr>
          <w:rFonts w:ascii="Garamond" w:hAnsi="Garamond" w:cs="Times New Roman"/>
        </w:rPr>
      </w:pPr>
    </w:p>
    <w:p w14:paraId="14555506" w14:textId="77777777" w:rsidR="00902C29" w:rsidRPr="00536320" w:rsidRDefault="003E3646" w:rsidP="003E3646">
      <w:pPr>
        <w:pStyle w:val="NormalWeb"/>
        <w:spacing w:before="0" w:beforeAutospacing="0" w:after="0" w:afterAutospacing="0"/>
        <w:jc w:val="both"/>
        <w:rPr>
          <w:rFonts w:ascii="Garamond" w:hAnsi="Garamond"/>
          <w:u w:val="single"/>
        </w:rPr>
      </w:pPr>
      <w:r w:rsidRPr="00536320">
        <w:rPr>
          <w:rStyle w:val="Heading4Char"/>
          <w:rFonts w:ascii="Garamond" w:hAnsi="Garamond"/>
        </w:rPr>
        <w:t>Disaster Assistance</w:t>
      </w:r>
    </w:p>
    <w:p w14:paraId="6E9BC4E7" w14:textId="28AB7C9B" w:rsidR="004705C8" w:rsidRPr="004A0C12" w:rsidRDefault="004705C8" w:rsidP="003E3646">
      <w:pPr>
        <w:pStyle w:val="NormalWeb"/>
        <w:spacing w:before="0" w:beforeAutospacing="0" w:after="0" w:afterAutospacing="0"/>
        <w:jc w:val="both"/>
        <w:rPr>
          <w:rFonts w:ascii="Garamond" w:hAnsi="Garamond"/>
          <w:sz w:val="22"/>
          <w:szCs w:val="22"/>
          <w:u w:val="single"/>
        </w:rPr>
      </w:pPr>
      <w:r w:rsidRPr="004A0C12">
        <w:rPr>
          <w:rFonts w:ascii="Garamond" w:hAnsi="Garamond"/>
          <w:sz w:val="22"/>
          <w:szCs w:val="22"/>
        </w:rPr>
        <w:t xml:space="preserve">A disaster may be any natural or man-made event that disrupts the lives of families by </w:t>
      </w:r>
      <w:r w:rsidR="003E3646" w:rsidRPr="004A0C12">
        <w:rPr>
          <w:rFonts w:ascii="Garamond" w:hAnsi="Garamond"/>
          <w:sz w:val="22"/>
          <w:szCs w:val="22"/>
        </w:rPr>
        <w:t xml:space="preserve">destroying or disrupting all or </w:t>
      </w:r>
      <w:r w:rsidRPr="004A0C12">
        <w:rPr>
          <w:rFonts w:ascii="Garamond" w:hAnsi="Garamond"/>
          <w:sz w:val="22"/>
          <w:szCs w:val="22"/>
        </w:rPr>
        <w:t xml:space="preserve">part of their homes, possessions, </w:t>
      </w:r>
      <w:r w:rsidR="003E3646" w:rsidRPr="004A0C12">
        <w:rPr>
          <w:rFonts w:ascii="Garamond" w:hAnsi="Garamond"/>
          <w:sz w:val="22"/>
          <w:szCs w:val="22"/>
        </w:rPr>
        <w:t xml:space="preserve">sources of income, etc. In the fact of a particular disaster, </w:t>
      </w:r>
      <w:r w:rsidRPr="004A0C12">
        <w:rPr>
          <w:rFonts w:ascii="Garamond" w:hAnsi="Garamond"/>
          <w:sz w:val="22"/>
          <w:szCs w:val="22"/>
        </w:rPr>
        <w:t>Maryland may opt to relax its residency requirement for families, affected by such disaster, who have arrived from another St</w:t>
      </w:r>
      <w:r w:rsidR="003E3646" w:rsidRPr="004A0C12">
        <w:rPr>
          <w:rFonts w:ascii="Garamond" w:hAnsi="Garamond"/>
          <w:sz w:val="22"/>
          <w:szCs w:val="22"/>
        </w:rPr>
        <w:t>ate, even on a temporary basis.</w:t>
      </w:r>
      <w:r w:rsidRPr="004A0C12">
        <w:rPr>
          <w:rFonts w:ascii="Garamond" w:hAnsi="Garamond"/>
          <w:sz w:val="22"/>
          <w:szCs w:val="22"/>
        </w:rPr>
        <w:t xml:space="preserve"> The ability to take this option is </w:t>
      </w:r>
      <w:r w:rsidR="003E3646" w:rsidRPr="004A0C12">
        <w:rPr>
          <w:rFonts w:ascii="Garamond" w:hAnsi="Garamond"/>
          <w:sz w:val="22"/>
          <w:szCs w:val="22"/>
        </w:rPr>
        <w:t>reserved for</w:t>
      </w:r>
      <w:r w:rsidRPr="004A0C12">
        <w:rPr>
          <w:rFonts w:ascii="Garamond" w:hAnsi="Garamond"/>
          <w:sz w:val="22"/>
          <w:szCs w:val="22"/>
        </w:rPr>
        <w:t xml:space="preserve"> the Secretary of the </w:t>
      </w:r>
      <w:r w:rsidR="003E3646" w:rsidRPr="004A0C12">
        <w:rPr>
          <w:rFonts w:ascii="Garamond" w:hAnsi="Garamond"/>
          <w:sz w:val="22"/>
          <w:szCs w:val="22"/>
        </w:rPr>
        <w:t xml:space="preserve">Department of Human Resources. </w:t>
      </w:r>
      <w:r w:rsidRPr="004A0C12">
        <w:rPr>
          <w:rFonts w:ascii="Garamond" w:hAnsi="Garamond"/>
          <w:sz w:val="22"/>
          <w:szCs w:val="22"/>
        </w:rPr>
        <w:t>Title IV-A of the Act does not preclude a State from providing assistance or other benefits to eligible fam</w:t>
      </w:r>
      <w:r w:rsidR="003E3646" w:rsidRPr="004A0C12">
        <w:rPr>
          <w:rFonts w:ascii="Garamond" w:hAnsi="Garamond"/>
          <w:sz w:val="22"/>
          <w:szCs w:val="22"/>
        </w:rPr>
        <w:t xml:space="preserve">ilies or eligible individuals. </w:t>
      </w:r>
      <w:r w:rsidRPr="004A0C12">
        <w:rPr>
          <w:rFonts w:ascii="Garamond" w:hAnsi="Garamond"/>
          <w:sz w:val="22"/>
          <w:szCs w:val="22"/>
        </w:rPr>
        <w:t>Where feasible</w:t>
      </w:r>
      <w:r w:rsidR="003E3646" w:rsidRPr="004A0C12">
        <w:rPr>
          <w:rFonts w:ascii="Garamond" w:hAnsi="Garamond"/>
          <w:sz w:val="22"/>
          <w:szCs w:val="22"/>
        </w:rPr>
        <w:t>, and</w:t>
      </w:r>
      <w:r w:rsidRPr="004A0C12">
        <w:rPr>
          <w:rFonts w:ascii="Garamond" w:hAnsi="Garamond"/>
          <w:sz w:val="22"/>
          <w:szCs w:val="22"/>
        </w:rPr>
        <w:t xml:space="preserve"> given the nature of the disaster, Maryland will contact the family’s prior State of residence to learn</w:t>
      </w:r>
      <w:r w:rsidR="003E3646" w:rsidRPr="004A0C12">
        <w:rPr>
          <w:rFonts w:ascii="Garamond" w:hAnsi="Garamond"/>
          <w:sz w:val="22"/>
          <w:szCs w:val="22"/>
        </w:rPr>
        <w:t xml:space="preserve"> the facts of their situation (</w:t>
      </w:r>
      <w:r w:rsidRPr="004A0C12">
        <w:rPr>
          <w:rFonts w:ascii="Garamond" w:hAnsi="Garamond"/>
          <w:sz w:val="22"/>
          <w:szCs w:val="22"/>
        </w:rPr>
        <w:t>e.g., for purposes of deciding onset of assistance or for purposes of the 5-year time limit for receipt of federally funded assistance</w:t>
      </w:r>
      <w:r w:rsidR="003E3646" w:rsidRPr="004A0C12">
        <w:rPr>
          <w:rFonts w:ascii="Garamond" w:hAnsi="Garamond"/>
          <w:sz w:val="22"/>
          <w:szCs w:val="22"/>
        </w:rPr>
        <w:t>)</w:t>
      </w:r>
      <w:r w:rsidRPr="004A0C12">
        <w:rPr>
          <w:rFonts w:ascii="Garamond" w:hAnsi="Garamond"/>
          <w:sz w:val="22"/>
          <w:szCs w:val="22"/>
        </w:rPr>
        <w:t xml:space="preserve">. </w:t>
      </w:r>
    </w:p>
    <w:p w14:paraId="68DDD378" w14:textId="77777777" w:rsidR="004705C8" w:rsidRPr="004A0C12" w:rsidRDefault="004705C8" w:rsidP="004705C8">
      <w:pPr>
        <w:pStyle w:val="NormalWeb"/>
        <w:spacing w:before="0" w:beforeAutospacing="0" w:after="0" w:afterAutospacing="0"/>
        <w:ind w:left="360"/>
        <w:jc w:val="both"/>
        <w:rPr>
          <w:rFonts w:ascii="Garamond" w:hAnsi="Garamond"/>
          <w:sz w:val="22"/>
          <w:szCs w:val="22"/>
        </w:rPr>
      </w:pPr>
    </w:p>
    <w:p w14:paraId="21067EAF" w14:textId="71FBAE4A" w:rsidR="004705C8" w:rsidRPr="004A0C12" w:rsidRDefault="004705C8" w:rsidP="003E3646">
      <w:pPr>
        <w:pStyle w:val="NormalWeb"/>
        <w:spacing w:before="0" w:beforeAutospacing="0" w:after="0" w:afterAutospacing="0"/>
        <w:jc w:val="both"/>
        <w:rPr>
          <w:rFonts w:ascii="Garamond" w:hAnsi="Garamond"/>
          <w:sz w:val="22"/>
          <w:szCs w:val="22"/>
        </w:rPr>
      </w:pPr>
      <w:r w:rsidRPr="004A0C12">
        <w:rPr>
          <w:rFonts w:ascii="Garamond" w:hAnsi="Garamond"/>
          <w:sz w:val="22"/>
          <w:szCs w:val="22"/>
        </w:rPr>
        <w:t>In such a disaster, M</w:t>
      </w:r>
      <w:r w:rsidR="003E3646" w:rsidRPr="004A0C12">
        <w:rPr>
          <w:rFonts w:ascii="Garamond" w:hAnsi="Garamond"/>
          <w:sz w:val="22"/>
          <w:szCs w:val="22"/>
        </w:rPr>
        <w:t>aryland will first provide</w:t>
      </w:r>
      <w:r w:rsidRPr="004A0C12">
        <w:rPr>
          <w:rFonts w:ascii="Garamond" w:hAnsi="Garamond"/>
          <w:sz w:val="22"/>
          <w:szCs w:val="22"/>
        </w:rPr>
        <w:t xml:space="preserve"> “non-recurrent, short term” benefits</w:t>
      </w:r>
      <w:r w:rsidR="003E3646" w:rsidRPr="004A0C12">
        <w:rPr>
          <w:rFonts w:ascii="Garamond" w:hAnsi="Garamond"/>
          <w:sz w:val="22"/>
          <w:szCs w:val="22"/>
        </w:rPr>
        <w:t>,</w:t>
      </w:r>
      <w:r w:rsidRPr="004A0C12">
        <w:rPr>
          <w:rFonts w:ascii="Garamond" w:hAnsi="Garamond"/>
          <w:sz w:val="22"/>
          <w:szCs w:val="22"/>
        </w:rPr>
        <w:t xml:space="preserve"> outlined in 45 CFR 260.31(a)(3)(b)(1)</w:t>
      </w:r>
      <w:r w:rsidR="003E3646" w:rsidRPr="004A0C12">
        <w:rPr>
          <w:rFonts w:ascii="Garamond" w:hAnsi="Garamond"/>
          <w:sz w:val="22"/>
          <w:szCs w:val="22"/>
        </w:rPr>
        <w:t>, which exclude</w:t>
      </w:r>
      <w:r w:rsidRPr="004A0C12">
        <w:rPr>
          <w:rFonts w:ascii="Garamond" w:hAnsi="Garamond"/>
          <w:sz w:val="22"/>
          <w:szCs w:val="22"/>
        </w:rPr>
        <w:t xml:space="preserve"> from the definition of “assistance” benefits designed to deal with a specific crisis situation or episode of need, not intended to meet recurrent or ongoing needs, and will</w:t>
      </w:r>
      <w:r w:rsidR="003E3646" w:rsidRPr="004A0C12">
        <w:rPr>
          <w:rFonts w:ascii="Garamond" w:hAnsi="Garamond"/>
          <w:sz w:val="22"/>
          <w:szCs w:val="22"/>
        </w:rPr>
        <w:t xml:space="preserve"> not extend beyond four months.</w:t>
      </w:r>
      <w:r w:rsidRPr="004A0C12">
        <w:rPr>
          <w:rFonts w:ascii="Garamond" w:hAnsi="Garamond"/>
          <w:sz w:val="22"/>
          <w:szCs w:val="22"/>
        </w:rPr>
        <w:t xml:space="preserve"> In order to process people who have experienced such a disaster in the quickest and most cost-efficient manner, Maryland will provide these benefits through its existing TCA structure, incl</w:t>
      </w:r>
      <w:r w:rsidR="003E3646" w:rsidRPr="004A0C12">
        <w:rPr>
          <w:rFonts w:ascii="Garamond" w:hAnsi="Garamond"/>
          <w:sz w:val="22"/>
          <w:szCs w:val="22"/>
        </w:rPr>
        <w:t xml:space="preserve">uding monthly payment levels. </w:t>
      </w:r>
      <w:r w:rsidRPr="004A0C12">
        <w:rPr>
          <w:rFonts w:ascii="Garamond" w:hAnsi="Garamond"/>
          <w:sz w:val="22"/>
          <w:szCs w:val="22"/>
        </w:rPr>
        <w:t>Because such benefits are not “assistance,” they are not subject to a variety of TANF requirements such as work participation, time limits, child support assignment, and detailed data reporting.</w:t>
      </w:r>
    </w:p>
    <w:p w14:paraId="1136BC1F" w14:textId="77777777" w:rsidR="004705C8" w:rsidRPr="004A0C12" w:rsidRDefault="004705C8" w:rsidP="004705C8">
      <w:pPr>
        <w:pStyle w:val="NormalWeb"/>
        <w:spacing w:before="0" w:beforeAutospacing="0" w:after="0" w:afterAutospacing="0"/>
        <w:ind w:left="360"/>
        <w:jc w:val="both"/>
        <w:rPr>
          <w:rFonts w:ascii="Garamond" w:hAnsi="Garamond"/>
          <w:sz w:val="22"/>
          <w:szCs w:val="22"/>
        </w:rPr>
      </w:pPr>
    </w:p>
    <w:p w14:paraId="7BDB9BBE" w14:textId="77777777" w:rsidR="004705C8" w:rsidRPr="004A0C12" w:rsidRDefault="004705C8" w:rsidP="003E3646">
      <w:pPr>
        <w:pStyle w:val="NormalWeb"/>
        <w:spacing w:before="0" w:beforeAutospacing="0" w:after="0" w:afterAutospacing="0"/>
        <w:jc w:val="both"/>
        <w:rPr>
          <w:rFonts w:ascii="Garamond" w:hAnsi="Garamond"/>
          <w:sz w:val="22"/>
          <w:szCs w:val="22"/>
        </w:rPr>
      </w:pPr>
      <w:r w:rsidRPr="004A0C12">
        <w:rPr>
          <w:rFonts w:ascii="Garamond" w:hAnsi="Garamond"/>
          <w:sz w:val="22"/>
          <w:szCs w:val="22"/>
        </w:rPr>
        <w:t xml:space="preserve">Because the needs of families experiencing a disaster are comprehensive, they may go beyond these payments; these families may also be eligible for Welfare Avoidance Grants, Emergency Assistance to Families with Children, or on-going Temporary Cash Assistance as described elsewhere in this plan. </w:t>
      </w:r>
    </w:p>
    <w:p w14:paraId="53D8FCD3" w14:textId="0EA6BD58" w:rsidR="003E3646" w:rsidRPr="00536320" w:rsidRDefault="004705C8" w:rsidP="00322B60">
      <w:pPr>
        <w:pStyle w:val="Heading1"/>
        <w:rPr>
          <w:rFonts w:ascii="Garamond" w:hAnsi="Garamond"/>
          <w:sz w:val="24"/>
          <w:szCs w:val="24"/>
        </w:rPr>
      </w:pPr>
      <w:bookmarkStart w:id="237" w:name="_Toc447276264"/>
      <w:r w:rsidRPr="00536320">
        <w:rPr>
          <w:rFonts w:ascii="Garamond" w:hAnsi="Garamond"/>
          <w:sz w:val="24"/>
          <w:szCs w:val="24"/>
        </w:rPr>
        <w:t>P</w:t>
      </w:r>
      <w:r w:rsidR="003E3646" w:rsidRPr="00536320">
        <w:rPr>
          <w:rFonts w:ascii="Garamond" w:hAnsi="Garamond"/>
          <w:sz w:val="24"/>
          <w:szCs w:val="24"/>
        </w:rPr>
        <w:t>rogram Requirements</w:t>
      </w:r>
      <w:bookmarkEnd w:id="237"/>
      <w:r w:rsidRPr="00536320">
        <w:rPr>
          <w:rFonts w:ascii="Garamond" w:hAnsi="Garamond"/>
          <w:sz w:val="24"/>
          <w:szCs w:val="24"/>
        </w:rPr>
        <w:t xml:space="preserve">  </w:t>
      </w:r>
    </w:p>
    <w:p w14:paraId="722C82F5" w14:textId="584C5956" w:rsidR="004705C8" w:rsidRPr="004A0C12" w:rsidRDefault="003E3646" w:rsidP="004705C8">
      <w:pPr>
        <w:tabs>
          <w:tab w:val="left" w:pos="-1440"/>
        </w:tabs>
        <w:spacing w:after="0" w:line="240" w:lineRule="auto"/>
        <w:jc w:val="both"/>
        <w:rPr>
          <w:rFonts w:ascii="Garamond" w:hAnsi="Garamond" w:cs="Times New Roman"/>
        </w:rPr>
      </w:pPr>
      <w:r w:rsidRPr="004A0C12">
        <w:rPr>
          <w:rFonts w:ascii="Garamond" w:hAnsi="Garamond" w:cs="Times New Roman"/>
        </w:rPr>
        <w:t xml:space="preserve">The following section outlines requirement for the State’s TCA Program. </w:t>
      </w:r>
    </w:p>
    <w:p w14:paraId="6790814C" w14:textId="77777777" w:rsidR="003E3646" w:rsidRPr="004A0C12" w:rsidRDefault="003E3646" w:rsidP="004705C8">
      <w:pPr>
        <w:tabs>
          <w:tab w:val="left" w:pos="-1440"/>
        </w:tabs>
        <w:spacing w:after="0" w:line="240" w:lineRule="auto"/>
        <w:jc w:val="both"/>
        <w:rPr>
          <w:rFonts w:ascii="Garamond" w:hAnsi="Garamond" w:cs="Times New Roman"/>
        </w:rPr>
      </w:pPr>
    </w:p>
    <w:p w14:paraId="52C2AE1A" w14:textId="77777777" w:rsidR="00902C29" w:rsidRPr="00536320" w:rsidRDefault="003E3646" w:rsidP="003E3646">
      <w:pPr>
        <w:widowControl w:val="0"/>
        <w:tabs>
          <w:tab w:val="left" w:pos="-1440"/>
        </w:tabs>
        <w:spacing w:after="0" w:line="240" w:lineRule="auto"/>
        <w:jc w:val="both"/>
        <w:rPr>
          <w:rFonts w:ascii="Garamond" w:hAnsi="Garamond" w:cs="Times New Roman"/>
          <w:sz w:val="24"/>
          <w:szCs w:val="24"/>
          <w:u w:val="single"/>
        </w:rPr>
      </w:pPr>
      <w:r w:rsidRPr="00536320">
        <w:rPr>
          <w:rStyle w:val="Heading4Char"/>
          <w:rFonts w:ascii="Garamond" w:hAnsi="Garamond"/>
          <w:sz w:val="24"/>
          <w:szCs w:val="24"/>
        </w:rPr>
        <w:t>Assessment</w:t>
      </w:r>
    </w:p>
    <w:p w14:paraId="4626B361" w14:textId="119E06AC" w:rsidR="003E3646" w:rsidRPr="004A0C12" w:rsidRDefault="004705C8" w:rsidP="003E3646">
      <w:pPr>
        <w:widowControl w:val="0"/>
        <w:tabs>
          <w:tab w:val="left" w:pos="-1440"/>
        </w:tabs>
        <w:spacing w:after="0" w:line="240" w:lineRule="auto"/>
        <w:jc w:val="both"/>
        <w:rPr>
          <w:rFonts w:ascii="Garamond" w:hAnsi="Garamond" w:cs="Times New Roman"/>
        </w:rPr>
      </w:pPr>
      <w:r w:rsidRPr="004A0C12">
        <w:rPr>
          <w:rFonts w:ascii="Garamond" w:hAnsi="Garamond" w:cs="Times New Roman"/>
        </w:rPr>
        <w:t>The</w:t>
      </w:r>
      <w:r w:rsidR="003E3646" w:rsidRPr="004A0C12">
        <w:rPr>
          <w:rFonts w:ascii="Garamond" w:hAnsi="Garamond" w:cs="Times New Roman"/>
        </w:rPr>
        <w:t xml:space="preserve"> application for a Family Investment Program</w:t>
      </w:r>
      <w:r w:rsidRPr="004A0C12">
        <w:rPr>
          <w:rFonts w:ascii="Garamond" w:hAnsi="Garamond" w:cs="Times New Roman"/>
        </w:rPr>
        <w:t xml:space="preserve"> </w:t>
      </w:r>
      <w:r w:rsidR="003E3646" w:rsidRPr="004A0C12">
        <w:rPr>
          <w:rFonts w:ascii="Garamond" w:hAnsi="Garamond" w:cs="Times New Roman"/>
        </w:rPr>
        <w:t>includes an assessment to consider</w:t>
      </w:r>
      <w:r w:rsidRPr="004A0C12">
        <w:rPr>
          <w:rFonts w:ascii="Garamond" w:hAnsi="Garamond" w:cs="Times New Roman"/>
        </w:rPr>
        <w:t xml:space="preserve"> the individual's reasons for applying for, or continued reliance on, assistance, educational level, job skills and readiness, identifying potential impairments</w:t>
      </w:r>
      <w:r w:rsidR="003E3646" w:rsidRPr="004A0C12">
        <w:rPr>
          <w:rFonts w:ascii="Garamond" w:hAnsi="Garamond" w:cs="Times New Roman"/>
        </w:rPr>
        <w:t>,</w:t>
      </w:r>
      <w:r w:rsidRPr="004A0C12">
        <w:rPr>
          <w:rFonts w:ascii="Garamond" w:hAnsi="Garamond" w:cs="Times New Roman"/>
        </w:rPr>
        <w:t xml:space="preserve"> disabilities</w:t>
      </w:r>
      <w:r w:rsidR="003E3646" w:rsidRPr="004A0C12">
        <w:rPr>
          <w:rFonts w:ascii="Garamond" w:hAnsi="Garamond" w:cs="Times New Roman"/>
        </w:rPr>
        <w:t>,</w:t>
      </w:r>
      <w:r w:rsidRPr="004A0C12">
        <w:rPr>
          <w:rFonts w:ascii="Garamond" w:hAnsi="Garamond" w:cs="Times New Roman"/>
        </w:rPr>
        <w:t xml:space="preserve"> and interests to enable evaluation for appropriate program activities, and any available personal and family resourc</w:t>
      </w:r>
      <w:r w:rsidR="003E3646" w:rsidRPr="004A0C12">
        <w:rPr>
          <w:rFonts w:ascii="Garamond" w:hAnsi="Garamond" w:cs="Times New Roman"/>
        </w:rPr>
        <w:t xml:space="preserve">es to facilitate independence. </w:t>
      </w:r>
      <w:r w:rsidRPr="004A0C12">
        <w:rPr>
          <w:rFonts w:ascii="Garamond" w:hAnsi="Garamond" w:cs="Times New Roman"/>
        </w:rPr>
        <w:t xml:space="preserve">Based on the assessment of needs, the local department offers supportive services to the individual which may </w:t>
      </w:r>
      <w:r w:rsidR="003E3646" w:rsidRPr="004A0C12">
        <w:rPr>
          <w:rFonts w:ascii="Garamond" w:hAnsi="Garamond" w:cs="Times New Roman"/>
        </w:rPr>
        <w:t>include, but are not limited to:</w:t>
      </w:r>
    </w:p>
    <w:p w14:paraId="2F90393D" w14:textId="77777777" w:rsidR="001D4BB8" w:rsidRPr="004A0C12" w:rsidRDefault="001D4BB8" w:rsidP="003E3646">
      <w:pPr>
        <w:widowControl w:val="0"/>
        <w:tabs>
          <w:tab w:val="left" w:pos="-1440"/>
        </w:tabs>
        <w:spacing w:after="0" w:line="240" w:lineRule="auto"/>
        <w:jc w:val="both"/>
        <w:rPr>
          <w:rFonts w:ascii="Garamond" w:hAnsi="Garamond" w:cs="Times New Roman"/>
        </w:rPr>
      </w:pPr>
    </w:p>
    <w:p w14:paraId="2DBA86A8" w14:textId="21754F30" w:rsidR="001D4BB8" w:rsidRPr="004A0C12" w:rsidRDefault="003E3646" w:rsidP="00232F09">
      <w:pPr>
        <w:pStyle w:val="ListParagraph"/>
        <w:widowControl w:val="0"/>
        <w:numPr>
          <w:ilvl w:val="0"/>
          <w:numId w:val="280"/>
        </w:numPr>
        <w:tabs>
          <w:tab w:val="left" w:pos="-1440"/>
        </w:tabs>
        <w:jc w:val="both"/>
        <w:rPr>
          <w:rFonts w:ascii="Garamond" w:hAnsi="Garamond"/>
          <w:szCs w:val="22"/>
        </w:rPr>
      </w:pPr>
      <w:r w:rsidRPr="004A0C12">
        <w:rPr>
          <w:rFonts w:ascii="Garamond" w:hAnsi="Garamond"/>
          <w:szCs w:val="22"/>
        </w:rPr>
        <w:t>Child support services;</w:t>
      </w:r>
    </w:p>
    <w:p w14:paraId="4177EBCC" w14:textId="77777777" w:rsidR="003E3646" w:rsidRPr="004A0C12" w:rsidRDefault="003E3646" w:rsidP="00232F09">
      <w:pPr>
        <w:pStyle w:val="ListParagraph"/>
        <w:widowControl w:val="0"/>
        <w:numPr>
          <w:ilvl w:val="0"/>
          <w:numId w:val="280"/>
        </w:numPr>
        <w:tabs>
          <w:tab w:val="left" w:pos="-1440"/>
        </w:tabs>
        <w:jc w:val="both"/>
        <w:rPr>
          <w:rFonts w:ascii="Garamond" w:hAnsi="Garamond"/>
          <w:szCs w:val="22"/>
        </w:rPr>
      </w:pPr>
      <w:r w:rsidRPr="004A0C12">
        <w:rPr>
          <w:rFonts w:ascii="Garamond" w:hAnsi="Garamond"/>
          <w:szCs w:val="22"/>
        </w:rPr>
        <w:t>Job services;</w:t>
      </w:r>
    </w:p>
    <w:p w14:paraId="3B416ACD" w14:textId="0957D63E" w:rsidR="003E3646" w:rsidRPr="004A0C12" w:rsidRDefault="001D4BB8" w:rsidP="00232F09">
      <w:pPr>
        <w:pStyle w:val="ListParagraph"/>
        <w:widowControl w:val="0"/>
        <w:numPr>
          <w:ilvl w:val="0"/>
          <w:numId w:val="280"/>
        </w:numPr>
        <w:tabs>
          <w:tab w:val="left" w:pos="-1440"/>
        </w:tabs>
        <w:jc w:val="both"/>
        <w:rPr>
          <w:rFonts w:ascii="Garamond" w:hAnsi="Garamond"/>
          <w:szCs w:val="22"/>
        </w:rPr>
      </w:pPr>
      <w:r w:rsidRPr="004A0C12">
        <w:rPr>
          <w:rFonts w:ascii="Garamond" w:hAnsi="Garamond"/>
          <w:szCs w:val="22"/>
        </w:rPr>
        <w:t xml:space="preserve">Supplemental Nutrition Assistance Program (SNAP / Food Supplement Program) </w:t>
      </w:r>
      <w:r w:rsidR="003E3646" w:rsidRPr="004A0C12">
        <w:rPr>
          <w:rFonts w:ascii="Garamond" w:hAnsi="Garamond"/>
          <w:szCs w:val="22"/>
        </w:rPr>
        <w:t>;</w:t>
      </w:r>
    </w:p>
    <w:p w14:paraId="4F18B132" w14:textId="77777777" w:rsidR="003E3646" w:rsidRPr="004A0C12" w:rsidRDefault="003E3646" w:rsidP="00232F09">
      <w:pPr>
        <w:pStyle w:val="ListParagraph"/>
        <w:widowControl w:val="0"/>
        <w:numPr>
          <w:ilvl w:val="0"/>
          <w:numId w:val="280"/>
        </w:numPr>
        <w:tabs>
          <w:tab w:val="left" w:pos="-1440"/>
        </w:tabs>
        <w:jc w:val="both"/>
        <w:rPr>
          <w:rFonts w:ascii="Garamond" w:hAnsi="Garamond"/>
          <w:szCs w:val="22"/>
        </w:rPr>
      </w:pPr>
      <w:r w:rsidRPr="004A0C12">
        <w:rPr>
          <w:rFonts w:ascii="Garamond" w:hAnsi="Garamond"/>
          <w:szCs w:val="22"/>
        </w:rPr>
        <w:t>Medical Assistance;</w:t>
      </w:r>
    </w:p>
    <w:p w14:paraId="00EBC2CC" w14:textId="77777777" w:rsidR="003E3646" w:rsidRPr="004A0C12" w:rsidRDefault="003E3646" w:rsidP="00232F09">
      <w:pPr>
        <w:pStyle w:val="ListParagraph"/>
        <w:widowControl w:val="0"/>
        <w:numPr>
          <w:ilvl w:val="0"/>
          <w:numId w:val="280"/>
        </w:numPr>
        <w:tabs>
          <w:tab w:val="left" w:pos="-1440"/>
        </w:tabs>
        <w:jc w:val="both"/>
        <w:rPr>
          <w:rFonts w:ascii="Garamond" w:hAnsi="Garamond"/>
          <w:szCs w:val="22"/>
        </w:rPr>
      </w:pPr>
      <w:r w:rsidRPr="004A0C12">
        <w:rPr>
          <w:rFonts w:ascii="Garamond" w:hAnsi="Garamond"/>
          <w:szCs w:val="22"/>
        </w:rPr>
        <w:lastRenderedPageBreak/>
        <w:t>Social services;</w:t>
      </w:r>
    </w:p>
    <w:p w14:paraId="0083DE2B" w14:textId="77777777" w:rsidR="003E3646" w:rsidRPr="004A0C12" w:rsidRDefault="003E3646" w:rsidP="00232F09">
      <w:pPr>
        <w:pStyle w:val="ListParagraph"/>
        <w:widowControl w:val="0"/>
        <w:numPr>
          <w:ilvl w:val="0"/>
          <w:numId w:val="280"/>
        </w:numPr>
        <w:tabs>
          <w:tab w:val="left" w:pos="-1440"/>
        </w:tabs>
        <w:jc w:val="both"/>
        <w:rPr>
          <w:rFonts w:ascii="Garamond" w:hAnsi="Garamond"/>
          <w:szCs w:val="22"/>
        </w:rPr>
      </w:pPr>
      <w:r w:rsidRPr="004A0C12">
        <w:rPr>
          <w:rFonts w:ascii="Garamond" w:hAnsi="Garamond"/>
          <w:szCs w:val="22"/>
        </w:rPr>
        <w:t>R</w:t>
      </w:r>
      <w:r w:rsidR="004705C8" w:rsidRPr="004A0C12">
        <w:rPr>
          <w:rFonts w:ascii="Garamond" w:hAnsi="Garamond"/>
          <w:szCs w:val="22"/>
        </w:rPr>
        <w:t xml:space="preserve">eferral to Family Planning and Early and Periodic Screening, Diagnosis, and Treatment </w:t>
      </w:r>
      <w:r w:rsidRPr="004A0C12">
        <w:rPr>
          <w:rFonts w:ascii="Garamond" w:hAnsi="Garamond"/>
          <w:szCs w:val="22"/>
        </w:rPr>
        <w:t>Services;</w:t>
      </w:r>
    </w:p>
    <w:p w14:paraId="0F6FE1D7" w14:textId="77777777" w:rsidR="003E3646" w:rsidRPr="004A0C12" w:rsidRDefault="003E3646" w:rsidP="00232F09">
      <w:pPr>
        <w:pStyle w:val="ListParagraph"/>
        <w:widowControl w:val="0"/>
        <w:numPr>
          <w:ilvl w:val="0"/>
          <w:numId w:val="280"/>
        </w:numPr>
        <w:tabs>
          <w:tab w:val="left" w:pos="-1440"/>
        </w:tabs>
        <w:jc w:val="both"/>
        <w:rPr>
          <w:rFonts w:ascii="Garamond" w:hAnsi="Garamond"/>
          <w:szCs w:val="22"/>
        </w:rPr>
      </w:pPr>
      <w:r w:rsidRPr="004A0C12">
        <w:rPr>
          <w:rFonts w:ascii="Garamond" w:hAnsi="Garamond"/>
          <w:szCs w:val="22"/>
        </w:rPr>
        <w:t>Child care;</w:t>
      </w:r>
    </w:p>
    <w:p w14:paraId="4DBE2CA0" w14:textId="77777777" w:rsidR="005B0143" w:rsidRPr="004A0C12" w:rsidRDefault="003E3646" w:rsidP="00232F09">
      <w:pPr>
        <w:pStyle w:val="ListParagraph"/>
        <w:widowControl w:val="0"/>
        <w:numPr>
          <w:ilvl w:val="0"/>
          <w:numId w:val="280"/>
        </w:numPr>
        <w:tabs>
          <w:tab w:val="left" w:pos="-1440"/>
        </w:tabs>
        <w:jc w:val="both"/>
        <w:rPr>
          <w:rFonts w:ascii="Garamond" w:hAnsi="Garamond"/>
          <w:szCs w:val="22"/>
        </w:rPr>
      </w:pPr>
      <w:r w:rsidRPr="004A0C12">
        <w:rPr>
          <w:rFonts w:ascii="Garamond" w:hAnsi="Garamond"/>
          <w:szCs w:val="22"/>
        </w:rPr>
        <w:t>T</w:t>
      </w:r>
      <w:r w:rsidR="005B0143" w:rsidRPr="004A0C12">
        <w:rPr>
          <w:rFonts w:ascii="Garamond" w:hAnsi="Garamond"/>
          <w:szCs w:val="22"/>
        </w:rPr>
        <w:t xml:space="preserve">ransportation; </w:t>
      </w:r>
      <w:r w:rsidR="004705C8" w:rsidRPr="004A0C12">
        <w:rPr>
          <w:rFonts w:ascii="Garamond" w:hAnsi="Garamond"/>
          <w:szCs w:val="22"/>
        </w:rPr>
        <w:t>and</w:t>
      </w:r>
      <w:r w:rsidR="005B0143" w:rsidRPr="004A0C12">
        <w:rPr>
          <w:rFonts w:ascii="Garamond" w:hAnsi="Garamond"/>
          <w:szCs w:val="22"/>
        </w:rPr>
        <w:t>,</w:t>
      </w:r>
    </w:p>
    <w:p w14:paraId="30A8E3B8" w14:textId="6032340A" w:rsidR="004705C8" w:rsidRPr="004A0C12" w:rsidRDefault="005B0143" w:rsidP="00232F09">
      <w:pPr>
        <w:pStyle w:val="ListParagraph"/>
        <w:widowControl w:val="0"/>
        <w:numPr>
          <w:ilvl w:val="0"/>
          <w:numId w:val="280"/>
        </w:numPr>
        <w:tabs>
          <w:tab w:val="left" w:pos="-1440"/>
        </w:tabs>
        <w:jc w:val="both"/>
        <w:rPr>
          <w:rFonts w:ascii="Garamond" w:hAnsi="Garamond"/>
          <w:szCs w:val="22"/>
        </w:rPr>
      </w:pPr>
      <w:r w:rsidRPr="004A0C12">
        <w:rPr>
          <w:rFonts w:ascii="Garamond" w:hAnsi="Garamond"/>
          <w:szCs w:val="22"/>
        </w:rPr>
        <w:t>O</w:t>
      </w:r>
      <w:r w:rsidR="004705C8" w:rsidRPr="004A0C12">
        <w:rPr>
          <w:rFonts w:ascii="Garamond" w:hAnsi="Garamond"/>
          <w:szCs w:val="22"/>
        </w:rPr>
        <w:t>ther appropriate services.</w:t>
      </w:r>
    </w:p>
    <w:p w14:paraId="4F955950" w14:textId="77777777" w:rsidR="001D4BB8" w:rsidRPr="004A0C12" w:rsidRDefault="001D4BB8" w:rsidP="001D4BB8">
      <w:pPr>
        <w:spacing w:after="0" w:line="240" w:lineRule="auto"/>
        <w:jc w:val="both"/>
        <w:rPr>
          <w:rFonts w:ascii="Garamond" w:hAnsi="Garamond" w:cs="Times New Roman"/>
        </w:rPr>
      </w:pPr>
    </w:p>
    <w:p w14:paraId="3A997C0A" w14:textId="791CE5CB" w:rsidR="004705C8" w:rsidRPr="004A0C12" w:rsidRDefault="004705C8" w:rsidP="001D4BB8">
      <w:pPr>
        <w:spacing w:after="0" w:line="240" w:lineRule="auto"/>
        <w:jc w:val="both"/>
        <w:rPr>
          <w:rFonts w:ascii="Garamond" w:hAnsi="Garamond" w:cs="Times New Roman"/>
        </w:rPr>
      </w:pPr>
      <w:r w:rsidRPr="004A0C12">
        <w:rPr>
          <w:rFonts w:ascii="Garamond" w:hAnsi="Garamond" w:cs="Times New Roman"/>
        </w:rPr>
        <w:t xml:space="preserve">The applicant signs a Family Responsibility Plan with the local department specifying the requirement to comply with requests for cooperation, participation in work activities, and supportive services which the local </w:t>
      </w:r>
      <w:r w:rsidR="005B0143" w:rsidRPr="004A0C12">
        <w:rPr>
          <w:rFonts w:ascii="Garamond" w:hAnsi="Garamond" w:cs="Times New Roman"/>
        </w:rPr>
        <w:t xml:space="preserve">department provides. </w:t>
      </w:r>
      <w:r w:rsidRPr="004A0C12">
        <w:rPr>
          <w:rFonts w:ascii="Garamond" w:hAnsi="Garamond" w:cs="Times New Roman"/>
        </w:rPr>
        <w:t>The applicant's actions may include, but are not limited to, participating in child support activities, job search activities, employment activities, community service, and substance abuse treatment programs, if appropriate.</w:t>
      </w:r>
    </w:p>
    <w:p w14:paraId="4D0B8FB8" w14:textId="77777777" w:rsidR="001D4BB8" w:rsidRPr="004A0C12" w:rsidRDefault="001D4BB8" w:rsidP="001D4BB8">
      <w:pPr>
        <w:spacing w:after="0" w:line="240" w:lineRule="auto"/>
        <w:jc w:val="both"/>
        <w:rPr>
          <w:rFonts w:ascii="Garamond" w:hAnsi="Garamond" w:cs="Times New Roman"/>
        </w:rPr>
      </w:pPr>
    </w:p>
    <w:p w14:paraId="3063D867" w14:textId="3D5B5044" w:rsidR="005B0143" w:rsidRPr="004A0C12" w:rsidRDefault="005B0143" w:rsidP="001D4BB8">
      <w:pPr>
        <w:spacing w:after="0" w:line="240" w:lineRule="auto"/>
        <w:jc w:val="both"/>
        <w:rPr>
          <w:rFonts w:ascii="Garamond" w:hAnsi="Garamond" w:cs="Times New Roman"/>
        </w:rPr>
      </w:pPr>
      <w:r w:rsidRPr="004A0C12">
        <w:rPr>
          <w:rFonts w:ascii="Garamond" w:hAnsi="Garamond" w:cs="Times New Roman"/>
        </w:rPr>
        <w:t>The State of Maryland elected the option to comply with the requirements of the Individual Responsibility Plan within 180 days after the effective date of the Act for recipients of TCA, and within 90 days for applicants of TCA.</w:t>
      </w:r>
    </w:p>
    <w:p w14:paraId="5576E3BC" w14:textId="77777777" w:rsidR="001D4BB8" w:rsidRPr="004A0C12" w:rsidRDefault="001D4BB8" w:rsidP="001D4BB8">
      <w:pPr>
        <w:widowControl w:val="0"/>
        <w:tabs>
          <w:tab w:val="left" w:pos="-1440"/>
        </w:tabs>
        <w:spacing w:after="0" w:line="240" w:lineRule="auto"/>
        <w:jc w:val="both"/>
        <w:rPr>
          <w:rFonts w:ascii="Garamond" w:eastAsia="Times New Roman" w:hAnsi="Garamond" w:cs="Times New Roman"/>
          <w:snapToGrid w:val="0"/>
        </w:rPr>
      </w:pPr>
    </w:p>
    <w:p w14:paraId="784AB1C5" w14:textId="77777777" w:rsidR="00902C29" w:rsidRPr="00536320" w:rsidRDefault="00E07C0F" w:rsidP="001D4BB8">
      <w:pPr>
        <w:widowControl w:val="0"/>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t>Application Decision</w:t>
      </w:r>
    </w:p>
    <w:p w14:paraId="7AA5CD86" w14:textId="6492C069" w:rsidR="004705C8" w:rsidRPr="004A0C12" w:rsidRDefault="004705C8" w:rsidP="001D4BB8">
      <w:pPr>
        <w:widowControl w:val="0"/>
        <w:tabs>
          <w:tab w:val="left" w:pos="-1440"/>
        </w:tabs>
        <w:spacing w:after="0" w:line="240" w:lineRule="auto"/>
        <w:jc w:val="both"/>
        <w:rPr>
          <w:rFonts w:ascii="Garamond" w:hAnsi="Garamond" w:cs="Times New Roman"/>
        </w:rPr>
      </w:pPr>
      <w:r w:rsidRPr="004A0C12">
        <w:rPr>
          <w:rFonts w:ascii="Garamond" w:hAnsi="Garamond" w:cs="Times New Roman"/>
        </w:rPr>
        <w:t>A decisi</w:t>
      </w:r>
      <w:r w:rsidR="00E07C0F" w:rsidRPr="004A0C12">
        <w:rPr>
          <w:rFonts w:ascii="Garamond" w:hAnsi="Garamond" w:cs="Times New Roman"/>
        </w:rPr>
        <w:t>on on an application for any Family Investment Program</w:t>
      </w:r>
      <w:r w:rsidRPr="004A0C12">
        <w:rPr>
          <w:rFonts w:ascii="Garamond" w:hAnsi="Garamond" w:cs="Times New Roman"/>
        </w:rPr>
        <w:t xml:space="preserve"> component is made as promptly as possible</w:t>
      </w:r>
      <w:r w:rsidR="00E07C0F" w:rsidRPr="004A0C12">
        <w:rPr>
          <w:rFonts w:ascii="Garamond" w:hAnsi="Garamond" w:cs="Times New Roman"/>
        </w:rPr>
        <w:t>,</w:t>
      </w:r>
      <w:r w:rsidRPr="004A0C12">
        <w:rPr>
          <w:rFonts w:ascii="Garamond" w:hAnsi="Garamond" w:cs="Times New Roman"/>
        </w:rPr>
        <w:t xml:space="preserve"> but no later than 30 calendar days from the date the signed application is received in the local department.</w:t>
      </w:r>
    </w:p>
    <w:p w14:paraId="6CC8266C" w14:textId="77777777" w:rsidR="001D4BB8" w:rsidRPr="004A0C12" w:rsidRDefault="001D4BB8" w:rsidP="001D4BB8">
      <w:pPr>
        <w:widowControl w:val="0"/>
        <w:tabs>
          <w:tab w:val="left" w:pos="-1440"/>
        </w:tabs>
        <w:spacing w:after="0" w:line="240" w:lineRule="auto"/>
        <w:jc w:val="both"/>
        <w:rPr>
          <w:rFonts w:ascii="Garamond" w:hAnsi="Garamond" w:cs="Times New Roman"/>
        </w:rPr>
      </w:pPr>
    </w:p>
    <w:p w14:paraId="4919B94E" w14:textId="77777777" w:rsidR="00902C29" w:rsidRPr="00536320" w:rsidRDefault="00E07C0F" w:rsidP="001D4BB8">
      <w:pPr>
        <w:widowControl w:val="0"/>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t>Residence</w:t>
      </w:r>
    </w:p>
    <w:p w14:paraId="03FA538A" w14:textId="7AE6C7A3" w:rsidR="004705C8" w:rsidRPr="004A0C12" w:rsidRDefault="004705C8" w:rsidP="001D4BB8">
      <w:pPr>
        <w:widowControl w:val="0"/>
        <w:tabs>
          <w:tab w:val="left" w:pos="-1440"/>
        </w:tabs>
        <w:spacing w:after="0" w:line="240" w:lineRule="auto"/>
        <w:jc w:val="both"/>
        <w:rPr>
          <w:rFonts w:ascii="Garamond" w:hAnsi="Garamond" w:cs="Times New Roman"/>
        </w:rPr>
      </w:pPr>
      <w:r w:rsidRPr="004A0C12">
        <w:rPr>
          <w:rFonts w:ascii="Garamond" w:hAnsi="Garamond" w:cs="Times New Roman"/>
        </w:rPr>
        <w:t>The applicant and all recipients sh</w:t>
      </w:r>
      <w:r w:rsidR="00E07C0F" w:rsidRPr="004A0C12">
        <w:rPr>
          <w:rFonts w:ascii="Garamond" w:hAnsi="Garamond" w:cs="Times New Roman"/>
        </w:rPr>
        <w:t xml:space="preserve">all be residents of the State. </w:t>
      </w:r>
      <w:r w:rsidRPr="004A0C12">
        <w:rPr>
          <w:rFonts w:ascii="Garamond" w:hAnsi="Garamond" w:cs="Times New Roman"/>
        </w:rPr>
        <w:t>A resident of the State is one who is living in the State voluntarily</w:t>
      </w:r>
      <w:r w:rsidR="00E07C0F" w:rsidRPr="004A0C12">
        <w:rPr>
          <w:rFonts w:ascii="Garamond" w:hAnsi="Garamond" w:cs="Times New Roman"/>
        </w:rPr>
        <w:t>,</w:t>
      </w:r>
      <w:r w:rsidRPr="004A0C12">
        <w:rPr>
          <w:rFonts w:ascii="Garamond" w:hAnsi="Garamond" w:cs="Times New Roman"/>
        </w:rPr>
        <w:t xml:space="preserve"> and not for a temporary purpose</w:t>
      </w:r>
      <w:r w:rsidR="00E07C0F" w:rsidRPr="004A0C12">
        <w:rPr>
          <w:rFonts w:ascii="Garamond" w:hAnsi="Garamond" w:cs="Times New Roman"/>
        </w:rPr>
        <w:t>,</w:t>
      </w:r>
      <w:r w:rsidRPr="004A0C12">
        <w:rPr>
          <w:rFonts w:ascii="Garamond" w:hAnsi="Garamond" w:cs="Times New Roman"/>
        </w:rPr>
        <w:t xml:space="preserve"> and has no immediate intention of moving from the State, and is not rec</w:t>
      </w:r>
      <w:r w:rsidR="00E07C0F" w:rsidRPr="004A0C12">
        <w:rPr>
          <w:rFonts w:ascii="Garamond" w:hAnsi="Garamond" w:cs="Times New Roman"/>
        </w:rPr>
        <w:t>eiving assistance from another s</w:t>
      </w:r>
      <w:r w:rsidRPr="004A0C12">
        <w:rPr>
          <w:rFonts w:ascii="Garamond" w:hAnsi="Garamond" w:cs="Times New Roman"/>
        </w:rPr>
        <w:t>tate.</w:t>
      </w:r>
    </w:p>
    <w:p w14:paraId="36DD8F1D" w14:textId="77777777" w:rsidR="001D4BB8" w:rsidRPr="004A0C12" w:rsidRDefault="001D4BB8" w:rsidP="001D4BB8">
      <w:pPr>
        <w:widowControl w:val="0"/>
        <w:tabs>
          <w:tab w:val="left" w:pos="-1440"/>
        </w:tabs>
        <w:spacing w:after="0" w:line="240" w:lineRule="auto"/>
        <w:jc w:val="both"/>
        <w:rPr>
          <w:rFonts w:ascii="Garamond" w:hAnsi="Garamond" w:cs="Times New Roman"/>
          <w:u w:val="single"/>
        </w:rPr>
      </w:pPr>
    </w:p>
    <w:p w14:paraId="5D070F06" w14:textId="77777777" w:rsidR="00902C29" w:rsidRPr="00536320" w:rsidRDefault="00E07C0F" w:rsidP="001D4BB8">
      <w:pPr>
        <w:widowControl w:val="0"/>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t>Citizenship Status</w:t>
      </w:r>
    </w:p>
    <w:p w14:paraId="45320937" w14:textId="72D84E97" w:rsidR="004705C8" w:rsidRPr="004A0C12" w:rsidRDefault="004705C8" w:rsidP="001D4BB8">
      <w:pPr>
        <w:widowControl w:val="0"/>
        <w:tabs>
          <w:tab w:val="left" w:pos="-1440"/>
        </w:tabs>
        <w:spacing w:after="0" w:line="240" w:lineRule="auto"/>
        <w:jc w:val="both"/>
        <w:rPr>
          <w:rFonts w:ascii="Garamond" w:hAnsi="Garamond" w:cs="Times New Roman"/>
        </w:rPr>
      </w:pPr>
      <w:r w:rsidRPr="004A0C12">
        <w:rPr>
          <w:rFonts w:ascii="Garamond" w:hAnsi="Garamond" w:cs="Times New Roman"/>
        </w:rPr>
        <w:t>A</w:t>
      </w:r>
      <w:r w:rsidR="00E07C0F" w:rsidRPr="004A0C12">
        <w:rPr>
          <w:rFonts w:ascii="Garamond" w:hAnsi="Garamond" w:cs="Times New Roman"/>
        </w:rPr>
        <w:t xml:space="preserve"> Family Investment Program</w:t>
      </w:r>
      <w:r w:rsidRPr="004A0C12">
        <w:rPr>
          <w:rFonts w:ascii="Garamond" w:hAnsi="Garamond" w:cs="Times New Roman"/>
        </w:rPr>
        <w:t xml:space="preserve"> recipient must be a U.S. citizen or a qualified alien as defined in §</w:t>
      </w:r>
      <w:r w:rsidR="00E07C0F" w:rsidRPr="004A0C12">
        <w:rPr>
          <w:rFonts w:ascii="Garamond" w:hAnsi="Garamond" w:cs="Times New Roman"/>
        </w:rPr>
        <w:t xml:space="preserve">8 USC 1611 et seq, as amended. </w:t>
      </w:r>
      <w:r w:rsidRPr="004A0C12">
        <w:rPr>
          <w:rFonts w:ascii="Garamond" w:hAnsi="Garamond" w:cs="Times New Roman"/>
        </w:rPr>
        <w:t>A State program for other qualified legal immigrants who are not eligible under federal law has been developed and is paid with 100 percent state maintenance of effort (MOE) funds.</w:t>
      </w:r>
    </w:p>
    <w:p w14:paraId="34E7ACD1" w14:textId="77777777" w:rsidR="001D4BB8" w:rsidRPr="004A0C12" w:rsidRDefault="001D4BB8" w:rsidP="001D4BB8">
      <w:pPr>
        <w:tabs>
          <w:tab w:val="left" w:pos="0"/>
        </w:tabs>
        <w:suppressAutoHyphens/>
        <w:spacing w:after="0" w:line="240" w:lineRule="auto"/>
        <w:jc w:val="both"/>
        <w:rPr>
          <w:rFonts w:ascii="Garamond" w:hAnsi="Garamond" w:cs="Times New Roman"/>
        </w:rPr>
      </w:pPr>
    </w:p>
    <w:p w14:paraId="68A77418" w14:textId="77777777" w:rsidR="00902C29" w:rsidRPr="00536320" w:rsidRDefault="004705C8" w:rsidP="001D4BB8">
      <w:pPr>
        <w:tabs>
          <w:tab w:val="left" w:pos="0"/>
        </w:tabs>
        <w:suppressAutoHyphens/>
        <w:spacing w:after="0" w:line="240" w:lineRule="auto"/>
        <w:jc w:val="both"/>
        <w:rPr>
          <w:rFonts w:ascii="Garamond" w:hAnsi="Garamond" w:cs="Times New Roman"/>
          <w:sz w:val="24"/>
          <w:szCs w:val="24"/>
        </w:rPr>
      </w:pPr>
      <w:r w:rsidRPr="00536320">
        <w:rPr>
          <w:rStyle w:val="Heading4Char"/>
          <w:rFonts w:ascii="Garamond" w:hAnsi="Garamond"/>
          <w:sz w:val="24"/>
          <w:szCs w:val="24"/>
        </w:rPr>
        <w:t>Employ</w:t>
      </w:r>
      <w:r w:rsidR="00E07C0F" w:rsidRPr="00536320">
        <w:rPr>
          <w:rStyle w:val="Heading4Char"/>
          <w:rFonts w:ascii="Garamond" w:hAnsi="Garamond"/>
          <w:sz w:val="24"/>
          <w:szCs w:val="24"/>
        </w:rPr>
        <w:t>ment and Education Requirements</w:t>
      </w:r>
      <w:r w:rsidR="00902C29" w:rsidRPr="00536320">
        <w:rPr>
          <w:rFonts w:ascii="Garamond" w:hAnsi="Garamond" w:cs="Times New Roman"/>
          <w:sz w:val="24"/>
          <w:szCs w:val="24"/>
        </w:rPr>
        <w:t xml:space="preserve"> </w:t>
      </w:r>
    </w:p>
    <w:p w14:paraId="1124BF55" w14:textId="7B1DB3C7" w:rsidR="004705C8" w:rsidRPr="004A0C12" w:rsidRDefault="004705C8" w:rsidP="001D4BB8">
      <w:pPr>
        <w:tabs>
          <w:tab w:val="left" w:pos="0"/>
        </w:tabs>
        <w:suppressAutoHyphens/>
        <w:spacing w:after="0" w:line="240" w:lineRule="auto"/>
        <w:jc w:val="both"/>
        <w:rPr>
          <w:rFonts w:ascii="Garamond" w:hAnsi="Garamond" w:cs="Times New Roman"/>
        </w:rPr>
      </w:pPr>
      <w:r w:rsidRPr="004A0C12">
        <w:rPr>
          <w:rFonts w:ascii="Garamond" w:hAnsi="Garamond" w:cs="Times New Roman"/>
        </w:rPr>
        <w:t>Each adult in the assistance unit, and each child age 16 years or older in the assistance unit who is not enrolled full-time in school, must participate as requested in a work activity which is approved by the local department and is likely to res</w:t>
      </w:r>
      <w:r w:rsidR="00E07C0F" w:rsidRPr="004A0C12">
        <w:rPr>
          <w:rFonts w:ascii="Garamond" w:hAnsi="Garamond" w:cs="Times New Roman"/>
        </w:rPr>
        <w:t>ult in unsubsidized employment.</w:t>
      </w:r>
      <w:r w:rsidRPr="004A0C12">
        <w:rPr>
          <w:rFonts w:ascii="Garamond" w:hAnsi="Garamond" w:cs="Times New Roman"/>
        </w:rPr>
        <w:t xml:space="preserve"> The participation requirement is based on the concept of immediate universal engagement and is compliant with the 24 month work rule found in §402(a)(1) A (ii) of the TANF law. </w:t>
      </w:r>
    </w:p>
    <w:p w14:paraId="6A3CADE2" w14:textId="77777777" w:rsidR="001D4BB8" w:rsidRPr="004A0C12" w:rsidRDefault="001D4BB8" w:rsidP="001D4BB8">
      <w:pPr>
        <w:tabs>
          <w:tab w:val="left" w:pos="0"/>
        </w:tabs>
        <w:suppressAutoHyphens/>
        <w:spacing w:after="0" w:line="240" w:lineRule="auto"/>
        <w:jc w:val="both"/>
        <w:rPr>
          <w:rFonts w:ascii="Garamond" w:hAnsi="Garamond" w:cs="Times New Roman"/>
        </w:rPr>
      </w:pPr>
    </w:p>
    <w:p w14:paraId="52EBEF2F" w14:textId="77777777" w:rsidR="004705C8" w:rsidRPr="004A0C12" w:rsidRDefault="004705C8" w:rsidP="001D4BB8">
      <w:pPr>
        <w:tabs>
          <w:tab w:val="left" w:pos="0"/>
        </w:tabs>
        <w:suppressAutoHyphens/>
        <w:spacing w:after="0" w:line="240" w:lineRule="auto"/>
        <w:jc w:val="both"/>
        <w:rPr>
          <w:rFonts w:ascii="Garamond" w:hAnsi="Garamond" w:cs="Times New Roman"/>
        </w:rPr>
      </w:pPr>
      <w:r w:rsidRPr="004A0C12">
        <w:rPr>
          <w:rFonts w:ascii="Garamond" w:hAnsi="Garamond" w:cs="Times New Roman"/>
        </w:rPr>
        <w:t>Exemptions from the work activity requirements are:</w:t>
      </w:r>
    </w:p>
    <w:p w14:paraId="1CC0AAF3" w14:textId="77777777" w:rsidR="00E07C0F" w:rsidRPr="004A0C12" w:rsidRDefault="00E07C0F" w:rsidP="004705C8">
      <w:pPr>
        <w:tabs>
          <w:tab w:val="left" w:pos="0"/>
        </w:tabs>
        <w:suppressAutoHyphens/>
        <w:spacing w:after="0" w:line="240" w:lineRule="auto"/>
        <w:ind w:left="360"/>
        <w:jc w:val="both"/>
        <w:rPr>
          <w:rFonts w:ascii="Garamond" w:hAnsi="Garamond" w:cs="Times New Roman"/>
        </w:rPr>
      </w:pPr>
    </w:p>
    <w:p w14:paraId="4043CDB8" w14:textId="77777777" w:rsidR="004705C8" w:rsidRPr="004A0C12" w:rsidRDefault="004705C8" w:rsidP="00232F09">
      <w:pPr>
        <w:widowControl w:val="0"/>
        <w:numPr>
          <w:ilvl w:val="0"/>
          <w:numId w:val="176"/>
        </w:numPr>
        <w:tabs>
          <w:tab w:val="left" w:pos="720"/>
        </w:tabs>
        <w:suppressAutoHyphens/>
        <w:spacing w:after="0" w:line="240" w:lineRule="auto"/>
        <w:ind w:left="720"/>
        <w:jc w:val="both"/>
        <w:rPr>
          <w:rFonts w:ascii="Garamond" w:hAnsi="Garamond" w:cs="Times New Roman"/>
        </w:rPr>
      </w:pPr>
      <w:r w:rsidRPr="004A0C12">
        <w:rPr>
          <w:rFonts w:ascii="Garamond" w:hAnsi="Garamond" w:cs="Times New Roman"/>
        </w:rPr>
        <w:t>A single custodial parent who is required to care for a child under age one who is a member of the assistance unit (This exemption applies for a cumulative total of 12 months for a parent’s lifetime and does not apply to each child);</w:t>
      </w:r>
    </w:p>
    <w:p w14:paraId="0437D80D" w14:textId="77777777" w:rsidR="004705C8" w:rsidRPr="004A0C12" w:rsidRDefault="004705C8" w:rsidP="00232F09">
      <w:pPr>
        <w:widowControl w:val="0"/>
        <w:numPr>
          <w:ilvl w:val="0"/>
          <w:numId w:val="176"/>
        </w:numPr>
        <w:tabs>
          <w:tab w:val="left" w:pos="720"/>
        </w:tabs>
        <w:suppressAutoHyphens/>
        <w:spacing w:after="0" w:line="240" w:lineRule="auto"/>
        <w:ind w:left="720"/>
        <w:jc w:val="both"/>
        <w:rPr>
          <w:rFonts w:ascii="Garamond" w:hAnsi="Garamond" w:cs="Times New Roman"/>
        </w:rPr>
      </w:pPr>
      <w:r w:rsidRPr="004A0C12">
        <w:rPr>
          <w:rFonts w:ascii="Garamond" w:hAnsi="Garamond" w:cs="Times New Roman"/>
        </w:rPr>
        <w:t>Children under age 16;</w:t>
      </w:r>
    </w:p>
    <w:p w14:paraId="6D6813C8" w14:textId="1610C776" w:rsidR="004705C8" w:rsidRPr="004A0C12" w:rsidRDefault="004705C8" w:rsidP="00232F09">
      <w:pPr>
        <w:widowControl w:val="0"/>
        <w:numPr>
          <w:ilvl w:val="0"/>
          <w:numId w:val="176"/>
        </w:numPr>
        <w:tabs>
          <w:tab w:val="left" w:pos="720"/>
        </w:tabs>
        <w:suppressAutoHyphens/>
        <w:spacing w:after="0" w:line="240" w:lineRule="auto"/>
        <w:ind w:left="720"/>
        <w:jc w:val="both"/>
        <w:rPr>
          <w:rFonts w:ascii="Garamond" w:hAnsi="Garamond" w:cs="Times New Roman"/>
        </w:rPr>
      </w:pPr>
      <w:r w:rsidRPr="004A0C12">
        <w:rPr>
          <w:rFonts w:ascii="Garamond" w:hAnsi="Garamond" w:cs="Times New Roman"/>
        </w:rPr>
        <w:t>A teen parent (either head of household or included as a child on an adult’s TCA case) who has not finished secondary school may not be exempt to care for a c</w:t>
      </w:r>
      <w:r w:rsidR="00E07C0F" w:rsidRPr="004A0C12">
        <w:rPr>
          <w:rFonts w:ascii="Garamond" w:hAnsi="Garamond" w:cs="Times New Roman"/>
        </w:rPr>
        <w:t>hild younger than one year old;</w:t>
      </w:r>
    </w:p>
    <w:p w14:paraId="4CCBCE2D" w14:textId="62454FBB" w:rsidR="004705C8" w:rsidRPr="004A0C12" w:rsidRDefault="004705C8" w:rsidP="00232F09">
      <w:pPr>
        <w:widowControl w:val="0"/>
        <w:numPr>
          <w:ilvl w:val="0"/>
          <w:numId w:val="176"/>
        </w:numPr>
        <w:tabs>
          <w:tab w:val="left" w:pos="720"/>
        </w:tabs>
        <w:suppressAutoHyphens/>
        <w:spacing w:after="0" w:line="240" w:lineRule="auto"/>
        <w:ind w:left="720"/>
        <w:jc w:val="both"/>
        <w:rPr>
          <w:rFonts w:ascii="Garamond" w:hAnsi="Garamond" w:cs="Times New Roman"/>
        </w:rPr>
      </w:pPr>
      <w:r w:rsidRPr="004A0C12">
        <w:rPr>
          <w:rFonts w:ascii="Garamond" w:eastAsia="Arial" w:hAnsi="Garamond" w:cs="Times New Roman"/>
        </w:rPr>
        <w:t>A caretaker relative in assistance unit with a child cared for by a non-parent relative who has demonstrated need</w:t>
      </w:r>
      <w:r w:rsidR="00E07C0F" w:rsidRPr="004A0C12">
        <w:rPr>
          <w:rFonts w:ascii="Garamond" w:eastAsia="Arial" w:hAnsi="Garamond" w:cs="Times New Roman"/>
        </w:rPr>
        <w:t>,</w:t>
      </w:r>
      <w:r w:rsidRPr="004A0C12">
        <w:rPr>
          <w:rFonts w:ascii="Garamond" w:eastAsia="Arial" w:hAnsi="Garamond" w:cs="Times New Roman"/>
        </w:rPr>
        <w:t xml:space="preserve"> and has no dependent children of his or her</w:t>
      </w:r>
      <w:r w:rsidR="00E07C0F" w:rsidRPr="004A0C12">
        <w:rPr>
          <w:rFonts w:ascii="Garamond" w:eastAsia="Arial" w:hAnsi="Garamond" w:cs="Times New Roman"/>
        </w:rPr>
        <w:t xml:space="preserve"> own in the assistance unit; and/or, </w:t>
      </w:r>
    </w:p>
    <w:p w14:paraId="41B16B31" w14:textId="77777777" w:rsidR="004705C8" w:rsidRPr="004A0C12" w:rsidRDefault="004705C8" w:rsidP="00232F09">
      <w:pPr>
        <w:widowControl w:val="0"/>
        <w:numPr>
          <w:ilvl w:val="0"/>
          <w:numId w:val="176"/>
        </w:numPr>
        <w:tabs>
          <w:tab w:val="left" w:pos="720"/>
        </w:tabs>
        <w:suppressAutoHyphens/>
        <w:spacing w:after="0" w:line="240" w:lineRule="auto"/>
        <w:ind w:left="720"/>
        <w:jc w:val="both"/>
        <w:rPr>
          <w:rFonts w:ascii="Garamond" w:hAnsi="Garamond" w:cs="Times New Roman"/>
        </w:rPr>
      </w:pPr>
      <w:r w:rsidRPr="004A0C12">
        <w:rPr>
          <w:rFonts w:ascii="Garamond" w:eastAsia="Arial" w:hAnsi="Garamond" w:cs="Times New Roman"/>
        </w:rPr>
        <w:t>Immigrant, parent/caretaker relatives who are not eligible for federal TANF assistance, with the exception of adult only qualified immigrant households for which TCA eligibility is based on an unborn child.</w:t>
      </w:r>
    </w:p>
    <w:p w14:paraId="134C1E8C" w14:textId="77777777" w:rsidR="001D4BB8" w:rsidRPr="004A0C12" w:rsidRDefault="001D4BB8" w:rsidP="001D4BB8">
      <w:pPr>
        <w:tabs>
          <w:tab w:val="left" w:pos="0"/>
        </w:tabs>
        <w:suppressAutoHyphens/>
        <w:spacing w:after="0" w:line="240" w:lineRule="auto"/>
        <w:jc w:val="both"/>
        <w:rPr>
          <w:rFonts w:ascii="Garamond" w:hAnsi="Garamond" w:cs="Times New Roman"/>
        </w:rPr>
      </w:pPr>
    </w:p>
    <w:p w14:paraId="534CF4EF" w14:textId="64D9BEEA" w:rsidR="004705C8" w:rsidRPr="004A0C12" w:rsidRDefault="004705C8" w:rsidP="001D4BB8">
      <w:pPr>
        <w:tabs>
          <w:tab w:val="left" w:pos="0"/>
        </w:tabs>
        <w:suppressAutoHyphens/>
        <w:spacing w:after="0" w:line="240" w:lineRule="auto"/>
        <w:jc w:val="both"/>
        <w:rPr>
          <w:rFonts w:ascii="Garamond" w:hAnsi="Garamond" w:cs="Times New Roman"/>
        </w:rPr>
      </w:pPr>
      <w:r w:rsidRPr="004A0C12">
        <w:rPr>
          <w:rFonts w:ascii="Garamond" w:hAnsi="Garamond" w:cs="Times New Roman"/>
        </w:rPr>
        <w:t xml:space="preserve">Failure of any non-exempt adult to cooperate in a work requirement without good cause, including failure to accept offered employment, </w:t>
      </w:r>
      <w:r w:rsidR="00E07C0F" w:rsidRPr="004A0C12">
        <w:rPr>
          <w:rFonts w:ascii="Garamond" w:hAnsi="Garamond" w:cs="Times New Roman"/>
        </w:rPr>
        <w:t>shall result in ineligibility for</w:t>
      </w:r>
      <w:r w:rsidRPr="004A0C12">
        <w:rPr>
          <w:rFonts w:ascii="Garamond" w:hAnsi="Garamond" w:cs="Times New Roman"/>
        </w:rPr>
        <w:t xml:space="preserve"> the entire assistance unit u</w:t>
      </w:r>
      <w:r w:rsidR="00E07C0F" w:rsidRPr="004A0C12">
        <w:rPr>
          <w:rFonts w:ascii="Garamond" w:hAnsi="Garamond" w:cs="Times New Roman"/>
        </w:rPr>
        <w:t xml:space="preserve">ntil the household cooperates. </w:t>
      </w:r>
    </w:p>
    <w:p w14:paraId="157DB9C3" w14:textId="77777777" w:rsidR="001D4BB8" w:rsidRDefault="001D4BB8" w:rsidP="001D4BB8">
      <w:pPr>
        <w:widowControl w:val="0"/>
        <w:tabs>
          <w:tab w:val="left" w:pos="-1440"/>
        </w:tabs>
        <w:spacing w:after="0" w:line="240" w:lineRule="auto"/>
        <w:jc w:val="both"/>
        <w:rPr>
          <w:rFonts w:ascii="Garamond" w:hAnsi="Garamond" w:cs="Times New Roman"/>
        </w:rPr>
      </w:pPr>
    </w:p>
    <w:p w14:paraId="258869AB" w14:textId="77777777" w:rsidR="00536320" w:rsidRPr="004A0C12" w:rsidRDefault="00536320" w:rsidP="001D4BB8">
      <w:pPr>
        <w:widowControl w:val="0"/>
        <w:tabs>
          <w:tab w:val="left" w:pos="-1440"/>
        </w:tabs>
        <w:spacing w:after="0" w:line="240" w:lineRule="auto"/>
        <w:jc w:val="both"/>
        <w:rPr>
          <w:rFonts w:ascii="Garamond" w:hAnsi="Garamond" w:cs="Times New Roman"/>
        </w:rPr>
      </w:pPr>
    </w:p>
    <w:p w14:paraId="2577DC5B" w14:textId="77777777" w:rsidR="00902C29" w:rsidRPr="00536320" w:rsidRDefault="00E07C0F" w:rsidP="001D4BB8">
      <w:pPr>
        <w:widowControl w:val="0"/>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lastRenderedPageBreak/>
        <w:t>Work Requirements</w:t>
      </w:r>
    </w:p>
    <w:p w14:paraId="7A62ED1F" w14:textId="024D48E8" w:rsidR="004705C8" w:rsidRPr="004A0C12" w:rsidRDefault="004705C8" w:rsidP="001D4BB8">
      <w:pPr>
        <w:widowControl w:val="0"/>
        <w:tabs>
          <w:tab w:val="left" w:pos="-1440"/>
        </w:tabs>
        <w:spacing w:after="0" w:line="240" w:lineRule="auto"/>
        <w:jc w:val="both"/>
        <w:rPr>
          <w:rFonts w:ascii="Garamond" w:hAnsi="Garamond" w:cs="Times New Roman"/>
        </w:rPr>
      </w:pPr>
      <w:r w:rsidRPr="004A0C12">
        <w:rPr>
          <w:rFonts w:ascii="Garamond" w:hAnsi="Garamond" w:cs="Times New Roman"/>
        </w:rPr>
        <w:t>The State of Maryland provides work-related services and referrals for services to all a</w:t>
      </w:r>
      <w:r w:rsidR="00E07C0F" w:rsidRPr="004A0C12">
        <w:rPr>
          <w:rFonts w:ascii="Garamond" w:hAnsi="Garamond" w:cs="Times New Roman"/>
        </w:rPr>
        <w:t xml:space="preserve">pplicants or recipients of TCA. </w:t>
      </w:r>
      <w:r w:rsidRPr="004A0C12">
        <w:rPr>
          <w:rFonts w:ascii="Garamond" w:hAnsi="Garamond" w:cs="Times New Roman"/>
        </w:rPr>
        <w:t>These referral services are initi</w:t>
      </w:r>
      <w:r w:rsidR="00E07C0F" w:rsidRPr="004A0C12">
        <w:rPr>
          <w:rFonts w:ascii="Garamond" w:hAnsi="Garamond" w:cs="Times New Roman"/>
        </w:rPr>
        <w:t xml:space="preserve">ated at the local departments. </w:t>
      </w:r>
      <w:r w:rsidRPr="004A0C12">
        <w:rPr>
          <w:rFonts w:ascii="Garamond" w:hAnsi="Garamond" w:cs="Times New Roman"/>
        </w:rPr>
        <w:t>The local departments have the responsibility and limited flexibility, within State and Federal guidelines, to develop the systems, processes, and programs necessary to implement the work requirements of the Act specific to their local jurisdiction.</w:t>
      </w:r>
    </w:p>
    <w:p w14:paraId="01AAEE1F" w14:textId="77777777" w:rsidR="001D4BB8" w:rsidRPr="00536320" w:rsidRDefault="001D4BB8" w:rsidP="001D4BB8">
      <w:pPr>
        <w:tabs>
          <w:tab w:val="left" w:pos="-180"/>
        </w:tabs>
        <w:suppressAutoHyphens/>
        <w:spacing w:after="0" w:line="240" w:lineRule="auto"/>
        <w:jc w:val="both"/>
        <w:rPr>
          <w:rFonts w:ascii="Garamond" w:hAnsi="Garamond" w:cs="Times New Roman"/>
          <w:sz w:val="24"/>
          <w:szCs w:val="24"/>
        </w:rPr>
      </w:pPr>
    </w:p>
    <w:p w14:paraId="3BA6BA35" w14:textId="77777777" w:rsidR="00902C29" w:rsidRPr="00536320" w:rsidRDefault="00E07C0F" w:rsidP="001D4BB8">
      <w:pPr>
        <w:tabs>
          <w:tab w:val="left" w:pos="-180"/>
        </w:tabs>
        <w:suppressAutoHyphens/>
        <w:spacing w:after="0" w:line="240" w:lineRule="auto"/>
        <w:jc w:val="both"/>
        <w:rPr>
          <w:rFonts w:ascii="Garamond" w:hAnsi="Garamond" w:cs="Times New Roman"/>
          <w:sz w:val="24"/>
          <w:szCs w:val="24"/>
        </w:rPr>
      </w:pPr>
      <w:r w:rsidRPr="00536320">
        <w:rPr>
          <w:rStyle w:val="Heading4Char"/>
          <w:rFonts w:ascii="Garamond" w:hAnsi="Garamond"/>
          <w:sz w:val="24"/>
          <w:szCs w:val="24"/>
        </w:rPr>
        <w:t>Quitting a Job</w:t>
      </w:r>
    </w:p>
    <w:p w14:paraId="035FC4C2" w14:textId="06425D52" w:rsidR="004705C8" w:rsidRPr="004A0C12" w:rsidRDefault="004705C8" w:rsidP="001D4BB8">
      <w:pPr>
        <w:tabs>
          <w:tab w:val="left" w:pos="-180"/>
        </w:tabs>
        <w:suppressAutoHyphens/>
        <w:spacing w:after="0" w:line="240" w:lineRule="auto"/>
        <w:jc w:val="both"/>
        <w:rPr>
          <w:rFonts w:ascii="Garamond" w:hAnsi="Garamond" w:cs="Times New Roman"/>
        </w:rPr>
      </w:pPr>
      <w:r w:rsidRPr="004A0C12">
        <w:rPr>
          <w:rFonts w:ascii="Garamond" w:hAnsi="Garamond" w:cs="Times New Roman"/>
        </w:rPr>
        <w:t xml:space="preserve">When an adult voluntarily quits a job within 30 days of their TCA application date, the entire assistance unit is ineligible for </w:t>
      </w:r>
      <w:r w:rsidR="00E07C0F" w:rsidRPr="004A0C12">
        <w:rPr>
          <w:rFonts w:ascii="Garamond" w:hAnsi="Garamond" w:cs="Times New Roman"/>
        </w:rPr>
        <w:t>TCA for 30 days after the quit.</w:t>
      </w:r>
      <w:r w:rsidRPr="004A0C12">
        <w:rPr>
          <w:rFonts w:ascii="Garamond" w:hAnsi="Garamond" w:cs="Times New Roman"/>
        </w:rPr>
        <w:t xml:space="preserve"> When a 16-17 year old child applicant who is not enrolled in school voluntarily quits a job within 30 days of the TCA application date, the child is ineligible and the child’s incremental portion</w:t>
      </w:r>
      <w:r w:rsidR="00E07C0F" w:rsidRPr="004A0C12">
        <w:rPr>
          <w:rFonts w:ascii="Garamond" w:hAnsi="Garamond" w:cs="Times New Roman"/>
        </w:rPr>
        <w:t xml:space="preserve"> of the TCA grant is not paid. </w:t>
      </w:r>
      <w:r w:rsidRPr="004A0C12">
        <w:rPr>
          <w:rFonts w:ascii="Garamond" w:hAnsi="Garamond" w:cs="Times New Roman"/>
        </w:rPr>
        <w:t>To be eligible</w:t>
      </w:r>
      <w:r w:rsidR="00E07C0F" w:rsidRPr="004A0C12">
        <w:rPr>
          <w:rFonts w:ascii="Garamond" w:hAnsi="Garamond" w:cs="Times New Roman"/>
        </w:rPr>
        <w:t>,</w:t>
      </w:r>
      <w:r w:rsidRPr="004A0C12">
        <w:rPr>
          <w:rFonts w:ascii="Garamond" w:hAnsi="Garamond" w:cs="Times New Roman"/>
        </w:rPr>
        <w:t xml:space="preserve"> the adult or child must work at a new job or wait 30 days after the quit date to apply for TCA.</w:t>
      </w:r>
    </w:p>
    <w:p w14:paraId="072DC353" w14:textId="77777777" w:rsidR="001D4BB8" w:rsidRPr="004A0C12" w:rsidRDefault="001D4BB8" w:rsidP="001D4BB8">
      <w:pPr>
        <w:tabs>
          <w:tab w:val="left" w:pos="-180"/>
        </w:tabs>
        <w:suppressAutoHyphens/>
        <w:spacing w:after="0" w:line="240" w:lineRule="auto"/>
        <w:jc w:val="both"/>
        <w:rPr>
          <w:rFonts w:ascii="Garamond" w:hAnsi="Garamond" w:cs="Times New Roman"/>
        </w:rPr>
      </w:pPr>
    </w:p>
    <w:p w14:paraId="43C5A8B3" w14:textId="4448D1E3" w:rsidR="004705C8" w:rsidRPr="004A0C12" w:rsidRDefault="004705C8" w:rsidP="001D4BB8">
      <w:pPr>
        <w:tabs>
          <w:tab w:val="left" w:pos="-180"/>
        </w:tabs>
        <w:suppressAutoHyphens/>
        <w:spacing w:after="0" w:line="240" w:lineRule="auto"/>
        <w:jc w:val="both"/>
        <w:rPr>
          <w:rFonts w:ascii="Garamond" w:hAnsi="Garamond" w:cs="Times New Roman"/>
        </w:rPr>
      </w:pPr>
      <w:r w:rsidRPr="004A0C12">
        <w:rPr>
          <w:rFonts w:ascii="Garamond" w:hAnsi="Garamond" w:cs="Times New Roman"/>
        </w:rPr>
        <w:t>When an adult recipient voluntarily quits a job without good cause, the entire assistance unit is ineligible after conciliation and sa</w:t>
      </w:r>
      <w:r w:rsidR="00E07C0F" w:rsidRPr="004A0C12">
        <w:rPr>
          <w:rFonts w:ascii="Garamond" w:hAnsi="Garamond" w:cs="Times New Roman"/>
        </w:rPr>
        <w:t xml:space="preserve">nction procedures are applied. </w:t>
      </w:r>
      <w:r w:rsidRPr="004A0C12">
        <w:rPr>
          <w:rFonts w:ascii="Garamond" w:hAnsi="Garamond" w:cs="Times New Roman"/>
        </w:rPr>
        <w:t>When a 16-17 year old child recipient who is not enrolled in school voluntarily quits a job without good cause that child is ineligible and the child's incremental portion of the TCA g</w:t>
      </w:r>
      <w:r w:rsidR="00E07C0F" w:rsidRPr="004A0C12">
        <w:rPr>
          <w:rFonts w:ascii="Garamond" w:hAnsi="Garamond" w:cs="Times New Roman"/>
        </w:rPr>
        <w:t xml:space="preserve">rant is not paid. </w:t>
      </w:r>
      <w:r w:rsidRPr="004A0C12">
        <w:rPr>
          <w:rFonts w:ascii="Garamond" w:hAnsi="Garamond" w:cs="Times New Roman"/>
        </w:rPr>
        <w:t xml:space="preserve">Work sanctions are imposed on both adults and children over age 16 and must be cured before benefits are paid.   </w:t>
      </w:r>
    </w:p>
    <w:p w14:paraId="03A90B93" w14:textId="77777777" w:rsidR="001D4BB8" w:rsidRPr="004A0C12" w:rsidRDefault="001D4BB8" w:rsidP="001D4BB8">
      <w:pPr>
        <w:tabs>
          <w:tab w:val="left" w:pos="-180"/>
        </w:tabs>
        <w:suppressAutoHyphens/>
        <w:spacing w:after="0" w:line="240" w:lineRule="auto"/>
        <w:jc w:val="both"/>
        <w:rPr>
          <w:rFonts w:ascii="Garamond" w:hAnsi="Garamond" w:cs="Times New Roman"/>
        </w:rPr>
      </w:pPr>
    </w:p>
    <w:p w14:paraId="567B2447" w14:textId="77777777" w:rsidR="004705C8" w:rsidRPr="004A0C12" w:rsidRDefault="004705C8" w:rsidP="001D4BB8">
      <w:pPr>
        <w:tabs>
          <w:tab w:val="left" w:pos="-180"/>
        </w:tabs>
        <w:suppressAutoHyphens/>
        <w:spacing w:after="0" w:line="240" w:lineRule="auto"/>
        <w:jc w:val="both"/>
        <w:rPr>
          <w:rFonts w:ascii="Garamond" w:hAnsi="Garamond" w:cs="Times New Roman"/>
        </w:rPr>
      </w:pPr>
      <w:r w:rsidRPr="004A0C12">
        <w:rPr>
          <w:rFonts w:ascii="Garamond" w:hAnsi="Garamond" w:cs="Times New Roman"/>
        </w:rPr>
        <w:t>Good cause reasons are stated in the Code of Maryland Regulation at 07.03.03.07.</w:t>
      </w:r>
    </w:p>
    <w:p w14:paraId="12453258" w14:textId="77777777" w:rsidR="001D4BB8" w:rsidRPr="004A0C12" w:rsidRDefault="001D4BB8" w:rsidP="001D4BB8">
      <w:pPr>
        <w:widowControl w:val="0"/>
        <w:spacing w:after="0" w:line="240" w:lineRule="auto"/>
        <w:jc w:val="both"/>
        <w:rPr>
          <w:rFonts w:ascii="Garamond" w:hAnsi="Garamond" w:cs="Times New Roman"/>
        </w:rPr>
      </w:pPr>
    </w:p>
    <w:p w14:paraId="72D97D79" w14:textId="77777777" w:rsidR="00902C29" w:rsidRPr="00536320" w:rsidRDefault="006F5C1F" w:rsidP="001D4BB8">
      <w:pPr>
        <w:widowControl w:val="0"/>
        <w:spacing w:after="0" w:line="240" w:lineRule="auto"/>
        <w:jc w:val="both"/>
        <w:rPr>
          <w:rFonts w:ascii="Garamond" w:hAnsi="Garamond" w:cs="Times New Roman"/>
          <w:sz w:val="24"/>
          <w:szCs w:val="24"/>
        </w:rPr>
      </w:pPr>
      <w:r w:rsidRPr="00536320">
        <w:rPr>
          <w:rStyle w:val="Heading4Char"/>
          <w:rFonts w:ascii="Garamond" w:hAnsi="Garamond"/>
          <w:sz w:val="24"/>
          <w:szCs w:val="24"/>
        </w:rPr>
        <w:t>Participation Rates</w:t>
      </w:r>
    </w:p>
    <w:p w14:paraId="1CFD1453" w14:textId="1CAF6CD1" w:rsidR="004705C8" w:rsidRPr="004A0C12" w:rsidRDefault="004705C8" w:rsidP="001D4BB8">
      <w:pPr>
        <w:widowControl w:val="0"/>
        <w:spacing w:after="0" w:line="240" w:lineRule="auto"/>
        <w:jc w:val="both"/>
        <w:rPr>
          <w:rFonts w:ascii="Garamond" w:hAnsi="Garamond" w:cs="Times New Roman"/>
        </w:rPr>
      </w:pPr>
      <w:r w:rsidRPr="004A0C12">
        <w:rPr>
          <w:rFonts w:ascii="Garamond" w:hAnsi="Garamond" w:cs="Times New Roman"/>
        </w:rPr>
        <w:t>The State of Maryland elects to take the option to exempt individuals from work requirements and participation rates that are single custodial parents of a child under the age of 12 months.  This exemption applies for a cumulative total of 12 months for a parent’s lifetime and does not apply to each child.</w:t>
      </w:r>
    </w:p>
    <w:p w14:paraId="0F9640EB" w14:textId="77777777" w:rsidR="001D4BB8" w:rsidRPr="00536320" w:rsidRDefault="001D4BB8" w:rsidP="001D4BB8">
      <w:pPr>
        <w:widowControl w:val="0"/>
        <w:spacing w:after="0" w:line="240" w:lineRule="auto"/>
        <w:jc w:val="both"/>
        <w:rPr>
          <w:rFonts w:ascii="Garamond" w:hAnsi="Garamond" w:cs="Times New Roman"/>
          <w:sz w:val="24"/>
          <w:szCs w:val="24"/>
        </w:rPr>
      </w:pPr>
    </w:p>
    <w:p w14:paraId="01CDB1BB" w14:textId="77777777" w:rsidR="00902C29" w:rsidRPr="00536320" w:rsidRDefault="006F5C1F" w:rsidP="001D4BB8">
      <w:pPr>
        <w:widowControl w:val="0"/>
        <w:spacing w:after="0" w:line="240" w:lineRule="auto"/>
        <w:jc w:val="both"/>
        <w:rPr>
          <w:rFonts w:ascii="Garamond" w:hAnsi="Garamond" w:cs="Times New Roman"/>
          <w:sz w:val="24"/>
          <w:szCs w:val="24"/>
        </w:rPr>
      </w:pPr>
      <w:r w:rsidRPr="00536320">
        <w:rPr>
          <w:rStyle w:val="Heading4Char"/>
          <w:rFonts w:ascii="Garamond" w:hAnsi="Garamond"/>
          <w:sz w:val="24"/>
          <w:szCs w:val="24"/>
        </w:rPr>
        <w:t>Child Support Requirements</w:t>
      </w:r>
      <w:r w:rsidRPr="00536320">
        <w:rPr>
          <w:rFonts w:ascii="Garamond" w:hAnsi="Garamond" w:cs="Times New Roman"/>
          <w:sz w:val="24"/>
          <w:szCs w:val="24"/>
          <w:u w:val="single"/>
        </w:rPr>
        <w:t xml:space="preserve"> </w:t>
      </w:r>
    </w:p>
    <w:p w14:paraId="38F94EBC" w14:textId="4B280CDA" w:rsidR="004705C8" w:rsidRPr="004A0C12" w:rsidRDefault="006F5C1F" w:rsidP="001D4BB8">
      <w:pPr>
        <w:widowControl w:val="0"/>
        <w:spacing w:after="0" w:line="240" w:lineRule="auto"/>
        <w:jc w:val="both"/>
        <w:rPr>
          <w:rFonts w:ascii="Garamond" w:hAnsi="Garamond" w:cs="Times New Roman"/>
        </w:rPr>
      </w:pPr>
      <w:r w:rsidRPr="004A0C12">
        <w:rPr>
          <w:rFonts w:ascii="Garamond" w:hAnsi="Garamond" w:cs="Times New Roman"/>
        </w:rPr>
        <w:t xml:space="preserve">As an </w:t>
      </w:r>
      <w:r w:rsidR="004705C8" w:rsidRPr="004A0C12">
        <w:rPr>
          <w:rFonts w:ascii="Garamond" w:hAnsi="Garamond" w:cs="Times New Roman"/>
        </w:rPr>
        <w:t>eligibility</w:t>
      </w:r>
      <w:r w:rsidRPr="004A0C12">
        <w:rPr>
          <w:rFonts w:ascii="Garamond" w:hAnsi="Garamond" w:cs="Times New Roman"/>
        </w:rPr>
        <w:t xml:space="preserve"> condition for the Family Investment Program</w:t>
      </w:r>
      <w:r w:rsidR="004705C8" w:rsidRPr="004A0C12">
        <w:rPr>
          <w:rFonts w:ascii="Garamond" w:hAnsi="Garamond" w:cs="Times New Roman"/>
        </w:rPr>
        <w:t>, the caretaker relative must file an application for child support enforcement services at</w:t>
      </w:r>
      <w:r w:rsidRPr="004A0C12">
        <w:rPr>
          <w:rFonts w:ascii="Garamond" w:hAnsi="Garamond" w:cs="Times New Roman"/>
        </w:rPr>
        <w:t xml:space="preserve"> the time of application for the Family Investment Program,</w:t>
      </w:r>
      <w:r w:rsidR="004705C8" w:rsidRPr="004A0C12">
        <w:rPr>
          <w:rFonts w:ascii="Garamond" w:hAnsi="Garamond" w:cs="Times New Roman"/>
        </w:rPr>
        <w:t xml:space="preserve"> and assign to the State the right to support f</w:t>
      </w:r>
      <w:r w:rsidRPr="004A0C12">
        <w:rPr>
          <w:rFonts w:ascii="Garamond" w:hAnsi="Garamond" w:cs="Times New Roman"/>
        </w:rPr>
        <w:t>or any child included in the Family Assistance Program</w:t>
      </w:r>
      <w:r w:rsidR="004705C8" w:rsidRPr="004A0C12">
        <w:rPr>
          <w:rFonts w:ascii="Garamond" w:hAnsi="Garamond" w:cs="Times New Roman"/>
        </w:rPr>
        <w:t xml:space="preserve"> assistance unit for the perio</w:t>
      </w:r>
      <w:r w:rsidRPr="004A0C12">
        <w:rPr>
          <w:rFonts w:ascii="Garamond" w:hAnsi="Garamond" w:cs="Times New Roman"/>
        </w:rPr>
        <w:t>d of time the child receives Family Assistance Program</w:t>
      </w:r>
      <w:r w:rsidR="004705C8" w:rsidRPr="004A0C12">
        <w:rPr>
          <w:rFonts w:ascii="Garamond" w:hAnsi="Garamond" w:cs="Times New Roman"/>
        </w:rPr>
        <w:t xml:space="preserve"> assistance</w:t>
      </w:r>
      <w:r w:rsidR="004705C8" w:rsidRPr="004A0C12">
        <w:rPr>
          <w:rFonts w:ascii="Garamond" w:hAnsi="Garamond" w:cs="Times New Roman"/>
          <w:color w:val="FF0000"/>
        </w:rPr>
        <w:t>.</w:t>
      </w:r>
      <w:r w:rsidR="004705C8" w:rsidRPr="004A0C12">
        <w:rPr>
          <w:rFonts w:ascii="Garamond" w:hAnsi="Garamond" w:cs="Times New Roman"/>
        </w:rPr>
        <w:t xml:space="preserve"> The TANF policy and Maryland regulations were revised to address the Deficit Reduction Act of 2005 changes to child support </w:t>
      </w:r>
      <w:r w:rsidRPr="004A0C12">
        <w:rPr>
          <w:rFonts w:ascii="Garamond" w:hAnsi="Garamond" w:cs="Times New Roman"/>
        </w:rPr>
        <w:t>requirements. The</w:t>
      </w:r>
      <w:r w:rsidR="004705C8" w:rsidRPr="004A0C12">
        <w:rPr>
          <w:rFonts w:ascii="Garamond" w:hAnsi="Garamond" w:cs="Times New Roman"/>
        </w:rPr>
        <w:t xml:space="preserve"> caretaker relative must, unless exempt for good cause, cooperate in the establishment and enforcement of child support for each child in identifying and locating the absent parent of a child for whom assistance is requested, establishing the paternity of a child born out of wedlock for whom assistance is requested, and obtaining support payments or any other payments or property due to the caretaker relative or the child for</w:t>
      </w:r>
      <w:r w:rsidRPr="004A0C12">
        <w:rPr>
          <w:rFonts w:ascii="Garamond" w:hAnsi="Garamond" w:cs="Times New Roman"/>
        </w:rPr>
        <w:t xml:space="preserve"> whom assistance is requested. </w:t>
      </w:r>
      <w:r w:rsidR="004705C8" w:rsidRPr="004A0C12">
        <w:rPr>
          <w:rFonts w:ascii="Garamond" w:hAnsi="Garamond" w:cs="Times New Roman"/>
        </w:rPr>
        <w:t>A determination of non-cooperation without good cause or adequate reason results in ineligibility of the entire assistance unit until the household cooperates.</w:t>
      </w:r>
    </w:p>
    <w:p w14:paraId="7841CE5A" w14:textId="77777777" w:rsidR="001D4BB8" w:rsidRPr="004A0C12" w:rsidRDefault="001D4BB8" w:rsidP="001D4BB8">
      <w:pPr>
        <w:widowControl w:val="0"/>
        <w:tabs>
          <w:tab w:val="left" w:pos="-1440"/>
        </w:tabs>
        <w:spacing w:after="0" w:line="240" w:lineRule="auto"/>
        <w:jc w:val="both"/>
        <w:rPr>
          <w:rFonts w:ascii="Garamond" w:hAnsi="Garamond" w:cs="Times New Roman"/>
        </w:rPr>
      </w:pPr>
    </w:p>
    <w:p w14:paraId="6D996EAE" w14:textId="77777777" w:rsidR="00902C29" w:rsidRPr="004A0C12" w:rsidRDefault="00902C29" w:rsidP="001D4BB8">
      <w:pPr>
        <w:widowControl w:val="0"/>
        <w:tabs>
          <w:tab w:val="left" w:pos="-1440"/>
        </w:tabs>
        <w:spacing w:after="0" w:line="240" w:lineRule="auto"/>
        <w:jc w:val="both"/>
        <w:rPr>
          <w:rFonts w:ascii="Garamond" w:hAnsi="Garamond" w:cs="Times New Roman"/>
        </w:rPr>
      </w:pPr>
    </w:p>
    <w:p w14:paraId="215BA86B" w14:textId="77777777" w:rsidR="00902C29" w:rsidRPr="00536320" w:rsidRDefault="006F5C1F" w:rsidP="001D4BB8">
      <w:pPr>
        <w:widowControl w:val="0"/>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t>The Assistance Unit</w:t>
      </w:r>
      <w:r w:rsidR="00902C29" w:rsidRPr="00536320">
        <w:rPr>
          <w:rFonts w:ascii="Garamond" w:hAnsi="Garamond" w:cs="Times New Roman"/>
          <w:sz w:val="24"/>
          <w:szCs w:val="24"/>
        </w:rPr>
        <w:t xml:space="preserve"> </w:t>
      </w:r>
    </w:p>
    <w:p w14:paraId="08E1828B" w14:textId="5458CC10" w:rsidR="004705C8" w:rsidRPr="004A0C12" w:rsidRDefault="004705C8" w:rsidP="001D4BB8">
      <w:pPr>
        <w:widowControl w:val="0"/>
        <w:tabs>
          <w:tab w:val="left" w:pos="-1440"/>
        </w:tabs>
        <w:spacing w:after="0" w:line="240" w:lineRule="auto"/>
        <w:jc w:val="both"/>
        <w:rPr>
          <w:rFonts w:ascii="Garamond" w:hAnsi="Garamond" w:cs="Times New Roman"/>
        </w:rPr>
      </w:pPr>
      <w:r w:rsidRPr="004A0C12">
        <w:rPr>
          <w:rFonts w:ascii="Garamond" w:hAnsi="Garamond" w:cs="Times New Roman"/>
        </w:rPr>
        <w:t xml:space="preserve">The assistance unit includes parents or another caretaker relative acting as a parent, a minor child, or a pregnant </w:t>
      </w:r>
      <w:r w:rsidR="006F5C1F" w:rsidRPr="004A0C12">
        <w:rPr>
          <w:rFonts w:ascii="Garamond" w:hAnsi="Garamond" w:cs="Times New Roman"/>
        </w:rPr>
        <w:t xml:space="preserve">woman. </w:t>
      </w:r>
      <w:r w:rsidRPr="004A0C12">
        <w:rPr>
          <w:rFonts w:ascii="Garamond" w:hAnsi="Garamond" w:cs="Times New Roman"/>
        </w:rPr>
        <w:t>The degree of relationship for the caretaker other</w:t>
      </w:r>
      <w:r w:rsidR="006F5C1F" w:rsidRPr="004A0C12">
        <w:rPr>
          <w:rFonts w:ascii="Garamond" w:hAnsi="Garamond" w:cs="Times New Roman"/>
        </w:rPr>
        <w:t xml:space="preserve"> than a parent is not a factor.</w:t>
      </w:r>
      <w:r w:rsidRPr="004A0C12">
        <w:rPr>
          <w:rFonts w:ascii="Garamond" w:hAnsi="Garamond" w:cs="Times New Roman"/>
        </w:rPr>
        <w:t xml:space="preserve"> A minor child is under the age of 18 or expected to complete a program of secondary education or the equivalent level of vocational or technical training before the </w:t>
      </w:r>
      <w:r w:rsidR="006F5C1F" w:rsidRPr="004A0C12">
        <w:rPr>
          <w:rFonts w:ascii="Garamond" w:hAnsi="Garamond" w:cs="Times New Roman"/>
        </w:rPr>
        <w:t xml:space="preserve">child turns 19. </w:t>
      </w:r>
      <w:r w:rsidRPr="004A0C12">
        <w:rPr>
          <w:rFonts w:ascii="Garamond" w:hAnsi="Garamond" w:cs="Times New Roman"/>
        </w:rPr>
        <w:t>To encourage the formation and maintenance of two-parent families, one parent and two-parent assistance units are treated the same and follow the same regulations even though they have different funding sources.</w:t>
      </w:r>
    </w:p>
    <w:p w14:paraId="7D27BB1A" w14:textId="77777777" w:rsidR="001D4BB8" w:rsidRPr="004A0C12" w:rsidRDefault="001D4BB8" w:rsidP="001D4BB8">
      <w:pPr>
        <w:spacing w:after="0" w:line="240" w:lineRule="auto"/>
        <w:jc w:val="both"/>
        <w:rPr>
          <w:rFonts w:ascii="Garamond" w:hAnsi="Garamond" w:cs="Times New Roman"/>
        </w:rPr>
      </w:pPr>
    </w:p>
    <w:p w14:paraId="6298F477" w14:textId="73970062" w:rsidR="004705C8" w:rsidRPr="004A0C12" w:rsidRDefault="004705C8" w:rsidP="001D4BB8">
      <w:pPr>
        <w:spacing w:after="0" w:line="240" w:lineRule="auto"/>
        <w:jc w:val="both"/>
        <w:rPr>
          <w:rFonts w:ascii="Garamond" w:hAnsi="Garamond" w:cs="Times New Roman"/>
        </w:rPr>
      </w:pPr>
      <w:r w:rsidRPr="004A0C12">
        <w:rPr>
          <w:rFonts w:ascii="Garamond" w:hAnsi="Garamond" w:cs="Times New Roman"/>
        </w:rPr>
        <w:t>The needs of the assistance unit when determining the amount of the TCA benefit may not include a child age 16 (not head of household) or older who is not a full-time student and who failed to comply with work requirements without good cause. The assistance unit may not include families with an adult head of household or spouse who has received 60 months of benefits under this Act, unless the individual lived in Indian Country as described in §408 of the TANF law or is included in the 20 percent of caseload exception allowable under</w:t>
      </w:r>
      <w:r w:rsidR="006F5C1F" w:rsidRPr="004A0C12">
        <w:rPr>
          <w:rFonts w:ascii="Garamond" w:hAnsi="Garamond" w:cs="Times New Roman"/>
        </w:rPr>
        <w:t xml:space="preserve"> the TANF law. </w:t>
      </w:r>
      <w:r w:rsidRPr="004A0C12">
        <w:rPr>
          <w:rFonts w:ascii="Garamond" w:hAnsi="Garamond" w:cs="Times New Roman"/>
        </w:rPr>
        <w:t>Nor may it include a teen parent who is not participating in educational activities directed at the attainment of a high sc</w:t>
      </w:r>
      <w:r w:rsidR="006F5C1F" w:rsidRPr="004A0C12">
        <w:rPr>
          <w:rFonts w:ascii="Garamond" w:hAnsi="Garamond" w:cs="Times New Roman"/>
        </w:rPr>
        <w:t>hool diploma or its equivalent.</w:t>
      </w:r>
      <w:r w:rsidRPr="004A0C12">
        <w:rPr>
          <w:rFonts w:ascii="Garamond" w:hAnsi="Garamond" w:cs="Times New Roman"/>
        </w:rPr>
        <w:t xml:space="preserve"> The needs of an individual failing to comply with substance abuse treatment requireme</w:t>
      </w:r>
      <w:r w:rsidR="006F5C1F" w:rsidRPr="004A0C12">
        <w:rPr>
          <w:rFonts w:ascii="Garamond" w:hAnsi="Garamond" w:cs="Times New Roman"/>
        </w:rPr>
        <w:t>nts are removed from the grant.</w:t>
      </w:r>
      <w:r w:rsidRPr="004A0C12">
        <w:rPr>
          <w:rFonts w:ascii="Garamond" w:hAnsi="Garamond" w:cs="Times New Roman"/>
        </w:rPr>
        <w:t xml:space="preserve"> Also, an individual may not be included in the assistance </w:t>
      </w:r>
      <w:r w:rsidRPr="004A0C12">
        <w:rPr>
          <w:rFonts w:ascii="Garamond" w:hAnsi="Garamond" w:cs="Times New Roman"/>
        </w:rPr>
        <w:lastRenderedPageBreak/>
        <w:t>unit for 10 years, if the individual misrepresented a residenc</w:t>
      </w:r>
      <w:r w:rsidR="00E612F3" w:rsidRPr="004A0C12">
        <w:rPr>
          <w:rFonts w:ascii="Garamond" w:hAnsi="Garamond" w:cs="Times New Roman"/>
        </w:rPr>
        <w:t xml:space="preserve">e in order to receive duplicate benefits. </w:t>
      </w:r>
      <w:r w:rsidRPr="004A0C12">
        <w:rPr>
          <w:rFonts w:ascii="Garamond" w:hAnsi="Garamond" w:cs="Times New Roman"/>
        </w:rPr>
        <w:t>In addition, an individual who is a fugitive felon or parole and probation violator as described in §408 of the TANF law may not be included in the assistance unit.</w:t>
      </w:r>
    </w:p>
    <w:p w14:paraId="6CE3E07B" w14:textId="77777777" w:rsidR="001D4BB8" w:rsidRPr="004A0C12" w:rsidRDefault="001D4BB8" w:rsidP="001D4BB8">
      <w:pPr>
        <w:spacing w:after="0" w:line="240" w:lineRule="auto"/>
        <w:jc w:val="both"/>
        <w:rPr>
          <w:rFonts w:ascii="Garamond" w:hAnsi="Garamond" w:cs="Times New Roman"/>
        </w:rPr>
      </w:pPr>
    </w:p>
    <w:p w14:paraId="6983DC01" w14:textId="4EA0A310" w:rsidR="004705C8" w:rsidRPr="004A0C12" w:rsidRDefault="004705C8" w:rsidP="001D4BB8">
      <w:pPr>
        <w:spacing w:after="0" w:line="240" w:lineRule="auto"/>
        <w:jc w:val="both"/>
        <w:rPr>
          <w:rFonts w:ascii="Garamond" w:hAnsi="Garamond" w:cs="Times New Roman"/>
        </w:rPr>
      </w:pPr>
      <w:r w:rsidRPr="004A0C12">
        <w:rPr>
          <w:rFonts w:ascii="Garamond" w:hAnsi="Garamond" w:cs="Times New Roman"/>
        </w:rPr>
        <w:t>The assistance unit does not include the caretaker relative in families with a child cared for by a non-parent relative who has demonstrated need and has no dependent children of his or h</w:t>
      </w:r>
      <w:r w:rsidR="00E612F3" w:rsidRPr="004A0C12">
        <w:rPr>
          <w:rFonts w:ascii="Garamond" w:hAnsi="Garamond" w:cs="Times New Roman"/>
        </w:rPr>
        <w:t xml:space="preserve">er own in the assistance unit. </w:t>
      </w:r>
      <w:r w:rsidRPr="004A0C12">
        <w:rPr>
          <w:rFonts w:ascii="Garamond" w:hAnsi="Garamond" w:cs="Times New Roman"/>
        </w:rPr>
        <w:t xml:space="preserve">The caretaker relative will receive a room and board payment for the </w:t>
      </w:r>
      <w:r w:rsidR="00E612F3" w:rsidRPr="004A0C12">
        <w:rPr>
          <w:rFonts w:ascii="Garamond" w:hAnsi="Garamond" w:cs="Times New Roman"/>
        </w:rPr>
        <w:t xml:space="preserve">child that is above scale. </w:t>
      </w:r>
      <w:r w:rsidRPr="004A0C12">
        <w:rPr>
          <w:rFonts w:ascii="Garamond" w:hAnsi="Garamond" w:cs="Times New Roman"/>
        </w:rPr>
        <w:t>Families that include needy caretaker relatives who have dependent children of their own and other related children and who receive T</w:t>
      </w:r>
      <w:r w:rsidR="00E612F3" w:rsidRPr="004A0C12">
        <w:rPr>
          <w:rFonts w:ascii="Garamond" w:hAnsi="Garamond" w:cs="Times New Roman"/>
        </w:rPr>
        <w:t xml:space="preserve">CA are not part of this group. </w:t>
      </w:r>
      <w:r w:rsidRPr="004A0C12">
        <w:rPr>
          <w:rFonts w:ascii="Garamond" w:hAnsi="Garamond" w:cs="Times New Roman"/>
        </w:rPr>
        <w:t>The assistance unit cannot include immigrant, parent/caretaker relatives who are not eligible for federal TANF assistance, with the exception of adult only qualified immigrant households for which TCA eligibilit</w:t>
      </w:r>
      <w:r w:rsidR="00E612F3" w:rsidRPr="004A0C12">
        <w:rPr>
          <w:rFonts w:ascii="Garamond" w:hAnsi="Garamond" w:cs="Times New Roman"/>
        </w:rPr>
        <w:t xml:space="preserve">y is based on an unborn child. </w:t>
      </w:r>
      <w:r w:rsidRPr="004A0C12">
        <w:rPr>
          <w:rFonts w:ascii="Garamond" w:hAnsi="Garamond" w:cs="Times New Roman"/>
        </w:rPr>
        <w:t>Adult only legal immigrant households will be one of the Separate Stat</w:t>
      </w:r>
      <w:r w:rsidR="00E612F3" w:rsidRPr="004A0C12">
        <w:rPr>
          <w:rFonts w:ascii="Garamond" w:hAnsi="Garamond" w:cs="Times New Roman"/>
        </w:rPr>
        <w:t xml:space="preserve">e Program TCA sub-populations. </w:t>
      </w:r>
      <w:r w:rsidRPr="004A0C12">
        <w:rPr>
          <w:rFonts w:ascii="Garamond" w:hAnsi="Garamond" w:cs="Times New Roman"/>
        </w:rPr>
        <w:t>For the federal TANF funded families, a room and board payment is made for the children</w:t>
      </w:r>
      <w:r w:rsidR="00E612F3" w:rsidRPr="004A0C12">
        <w:rPr>
          <w:rFonts w:ascii="Garamond" w:hAnsi="Garamond" w:cs="Times New Roman"/>
        </w:rPr>
        <w:t xml:space="preserve"> only. </w:t>
      </w:r>
      <w:r w:rsidRPr="004A0C12">
        <w:rPr>
          <w:rFonts w:ascii="Garamond" w:hAnsi="Garamond" w:cs="Times New Roman"/>
        </w:rPr>
        <w:t>The adults are not in</w:t>
      </w:r>
      <w:r w:rsidR="00E612F3" w:rsidRPr="004A0C12">
        <w:rPr>
          <w:rFonts w:ascii="Garamond" w:hAnsi="Garamond" w:cs="Times New Roman"/>
        </w:rPr>
        <w:t xml:space="preserve">cluded in the assistance unit. </w:t>
      </w:r>
      <w:r w:rsidRPr="004A0C12">
        <w:rPr>
          <w:rFonts w:ascii="Garamond" w:hAnsi="Garamond" w:cs="Times New Roman"/>
        </w:rPr>
        <w:t xml:space="preserve">Any 100 percent federal TANF funded assistance unit with a dependent 19 year old student in a household that shows a demonstrated need will qualify for the room and board schedule of payments. </w:t>
      </w:r>
    </w:p>
    <w:p w14:paraId="7F25EC36" w14:textId="77777777" w:rsidR="001D4BB8" w:rsidRPr="004A0C12" w:rsidRDefault="001D4BB8" w:rsidP="001D4BB8">
      <w:pPr>
        <w:spacing w:after="0" w:line="240" w:lineRule="auto"/>
        <w:jc w:val="both"/>
        <w:rPr>
          <w:rFonts w:ascii="Garamond" w:hAnsi="Garamond" w:cs="Times New Roman"/>
        </w:rPr>
      </w:pPr>
    </w:p>
    <w:p w14:paraId="373C44F6" w14:textId="265DE0E0" w:rsidR="004705C8" w:rsidRPr="004A0C12" w:rsidRDefault="004705C8" w:rsidP="001D4BB8">
      <w:pPr>
        <w:spacing w:after="0" w:line="240" w:lineRule="auto"/>
        <w:jc w:val="both"/>
        <w:rPr>
          <w:rFonts w:ascii="Garamond" w:hAnsi="Garamond" w:cs="Times New Roman"/>
        </w:rPr>
      </w:pPr>
      <w:r w:rsidRPr="004A0C12">
        <w:rPr>
          <w:rFonts w:ascii="Garamond" w:hAnsi="Garamond" w:cs="Times New Roman"/>
        </w:rPr>
        <w:t xml:space="preserve">The assistance unit may include married same gender adults and their child/ren. The children must be related to both parents by birth/blood, marriage, or adoption for both </w:t>
      </w:r>
      <w:r w:rsidR="00E612F3" w:rsidRPr="004A0C12">
        <w:rPr>
          <w:rFonts w:ascii="Garamond" w:hAnsi="Garamond" w:cs="Times New Roman"/>
        </w:rPr>
        <w:t>parents to be eligible for TCA.</w:t>
      </w:r>
      <w:r w:rsidRPr="004A0C12">
        <w:rPr>
          <w:rFonts w:ascii="Garamond" w:hAnsi="Garamond" w:cs="Times New Roman"/>
        </w:rPr>
        <w:t xml:space="preserve"> In situations where only one parent in the marriage is related to the child/ren, the assistance unit will be treated as a stepparent case.</w:t>
      </w:r>
    </w:p>
    <w:p w14:paraId="66C71964" w14:textId="77777777" w:rsidR="001D4BB8" w:rsidRPr="004A0C12" w:rsidRDefault="001D4BB8" w:rsidP="001D4BB8">
      <w:pPr>
        <w:tabs>
          <w:tab w:val="left" w:pos="360"/>
        </w:tabs>
        <w:spacing w:after="0" w:line="240" w:lineRule="auto"/>
        <w:jc w:val="both"/>
        <w:rPr>
          <w:rFonts w:ascii="Garamond" w:hAnsi="Garamond" w:cs="Times New Roman"/>
        </w:rPr>
      </w:pPr>
    </w:p>
    <w:p w14:paraId="768E9085" w14:textId="327710D2" w:rsidR="004705C8" w:rsidRPr="004A0C12" w:rsidRDefault="004705C8" w:rsidP="001D4BB8">
      <w:pPr>
        <w:tabs>
          <w:tab w:val="left" w:pos="360"/>
        </w:tabs>
        <w:spacing w:after="0" w:line="240" w:lineRule="auto"/>
        <w:jc w:val="both"/>
        <w:rPr>
          <w:rFonts w:ascii="Garamond" w:hAnsi="Garamond" w:cs="Times New Roman"/>
        </w:rPr>
      </w:pPr>
      <w:r w:rsidRPr="004A0C12">
        <w:rPr>
          <w:rFonts w:ascii="Garamond" w:hAnsi="Garamond" w:cs="Times New Roman"/>
        </w:rPr>
        <w:t xml:space="preserve">Maryland also serves families with a parent and/or child who has a disability which will last more than 12 months and who is required to apply for SSI, and the SSI application is approved, pending, </w:t>
      </w:r>
      <w:r w:rsidR="00E612F3" w:rsidRPr="004A0C12">
        <w:rPr>
          <w:rFonts w:ascii="Garamond" w:hAnsi="Garamond" w:cs="Times New Roman"/>
        </w:rPr>
        <w:t>or in the appeal stage with 100 percent TANF funds.</w:t>
      </w:r>
      <w:r w:rsidRPr="004A0C12">
        <w:rPr>
          <w:rFonts w:ascii="Garamond" w:hAnsi="Garamond" w:cs="Times New Roman"/>
        </w:rPr>
        <w:t xml:space="preserve"> This program includes services to assist the recipient adult/child apply for and pursue eligibility for SSI benefits.</w:t>
      </w:r>
    </w:p>
    <w:p w14:paraId="564B35AD" w14:textId="77777777" w:rsidR="004705C8" w:rsidRPr="004A0C12" w:rsidRDefault="004705C8" w:rsidP="004705C8">
      <w:pPr>
        <w:tabs>
          <w:tab w:val="left" w:pos="360"/>
        </w:tabs>
        <w:spacing w:after="0" w:line="240" w:lineRule="auto"/>
        <w:ind w:left="360"/>
        <w:jc w:val="both"/>
        <w:rPr>
          <w:rFonts w:ascii="Garamond" w:hAnsi="Garamond" w:cs="Times New Roman"/>
        </w:rPr>
      </w:pPr>
    </w:p>
    <w:p w14:paraId="525E02C3" w14:textId="77777777" w:rsidR="00902C29" w:rsidRPr="00536320" w:rsidRDefault="00E612F3" w:rsidP="001D4BB8">
      <w:pPr>
        <w:tabs>
          <w:tab w:val="left" w:pos="-180"/>
        </w:tabs>
        <w:suppressAutoHyphens/>
        <w:spacing w:after="0" w:line="240" w:lineRule="auto"/>
        <w:jc w:val="both"/>
        <w:rPr>
          <w:rFonts w:ascii="Garamond" w:hAnsi="Garamond" w:cs="Times New Roman"/>
          <w:sz w:val="24"/>
          <w:szCs w:val="24"/>
        </w:rPr>
      </w:pPr>
      <w:r w:rsidRPr="00536320">
        <w:rPr>
          <w:rStyle w:val="Heading4Char"/>
          <w:rFonts w:ascii="Garamond" w:hAnsi="Garamond"/>
          <w:sz w:val="24"/>
          <w:szCs w:val="24"/>
        </w:rPr>
        <w:t>60-Month Time Limit</w:t>
      </w:r>
    </w:p>
    <w:p w14:paraId="0DD9E513" w14:textId="4AA132A8" w:rsidR="004705C8" w:rsidRDefault="004705C8" w:rsidP="00902C29">
      <w:pPr>
        <w:tabs>
          <w:tab w:val="left" w:pos="-180"/>
        </w:tabs>
        <w:suppressAutoHyphens/>
        <w:spacing w:after="0" w:line="240" w:lineRule="auto"/>
        <w:jc w:val="both"/>
        <w:rPr>
          <w:rFonts w:ascii="Garamond" w:hAnsi="Garamond" w:cs="Times New Roman"/>
        </w:rPr>
      </w:pPr>
      <w:r w:rsidRPr="004A0C12">
        <w:rPr>
          <w:rFonts w:ascii="Garamond" w:hAnsi="Garamond" w:cs="Times New Roman"/>
        </w:rPr>
        <w:t>Families that reach their 60-month time limit and are granted a hardship exe</w:t>
      </w:r>
      <w:r w:rsidR="00E612F3" w:rsidRPr="004A0C12">
        <w:rPr>
          <w:rFonts w:ascii="Garamond" w:hAnsi="Garamond" w:cs="Times New Roman"/>
        </w:rPr>
        <w:t>mption remain eligible for TCA.</w:t>
      </w:r>
      <w:r w:rsidRPr="004A0C12">
        <w:rPr>
          <w:rFonts w:ascii="Garamond" w:hAnsi="Garamond" w:cs="Times New Roman"/>
        </w:rPr>
        <w:t xml:space="preserve"> Families that reach their 60-month time limit and are no</w:t>
      </w:r>
      <w:r w:rsidR="00E612F3" w:rsidRPr="004A0C12">
        <w:rPr>
          <w:rFonts w:ascii="Garamond" w:hAnsi="Garamond" w:cs="Times New Roman"/>
        </w:rPr>
        <w:t>t meeting one or more of the Family Investment Program</w:t>
      </w:r>
      <w:r w:rsidRPr="004A0C12">
        <w:rPr>
          <w:rFonts w:ascii="Garamond" w:hAnsi="Garamond" w:cs="Times New Roman"/>
        </w:rPr>
        <w:t xml:space="preserve"> require</w:t>
      </w:r>
      <w:r w:rsidR="00E612F3" w:rsidRPr="004A0C12">
        <w:rPr>
          <w:rFonts w:ascii="Garamond" w:hAnsi="Garamond" w:cs="Times New Roman"/>
        </w:rPr>
        <w:t>ments are not eligible for TCA.</w:t>
      </w:r>
      <w:r w:rsidRPr="004A0C12">
        <w:rPr>
          <w:rFonts w:ascii="Garamond" w:hAnsi="Garamond" w:cs="Times New Roman"/>
        </w:rPr>
        <w:t xml:space="preserve"> Criteria for granting a hardship exemption are stated in the Code of Mary</w:t>
      </w:r>
      <w:r w:rsidR="00E612F3" w:rsidRPr="004A0C12">
        <w:rPr>
          <w:rFonts w:ascii="Garamond" w:hAnsi="Garamond" w:cs="Times New Roman"/>
        </w:rPr>
        <w:t>land Regulation at 07.03.03.20. Penalties for not meeting Family Investment Program</w:t>
      </w:r>
      <w:r w:rsidRPr="004A0C12">
        <w:rPr>
          <w:rFonts w:ascii="Garamond" w:hAnsi="Garamond" w:cs="Times New Roman"/>
        </w:rPr>
        <w:t xml:space="preserve"> requirements are stated in Code of Maryland Regulation at 07.03.03.19. </w:t>
      </w:r>
    </w:p>
    <w:p w14:paraId="0ED250F7" w14:textId="77777777" w:rsidR="00536320" w:rsidRPr="00536320" w:rsidRDefault="00536320" w:rsidP="00902C29">
      <w:pPr>
        <w:tabs>
          <w:tab w:val="left" w:pos="-180"/>
        </w:tabs>
        <w:suppressAutoHyphens/>
        <w:spacing w:after="0" w:line="240" w:lineRule="auto"/>
        <w:jc w:val="both"/>
        <w:rPr>
          <w:rFonts w:ascii="Garamond" w:hAnsi="Garamond" w:cs="Times New Roman"/>
          <w:sz w:val="24"/>
          <w:szCs w:val="24"/>
        </w:rPr>
      </w:pPr>
    </w:p>
    <w:p w14:paraId="05C0F63B" w14:textId="77777777" w:rsidR="00902C29" w:rsidRPr="00536320" w:rsidRDefault="004705C8" w:rsidP="001D4BB8">
      <w:pPr>
        <w:widowControl w:val="0"/>
        <w:spacing w:line="240" w:lineRule="auto"/>
        <w:contextualSpacing/>
        <w:jc w:val="both"/>
        <w:rPr>
          <w:rFonts w:ascii="Garamond" w:hAnsi="Garamond"/>
          <w:sz w:val="24"/>
          <w:szCs w:val="24"/>
          <w:u w:val="single"/>
        </w:rPr>
      </w:pPr>
      <w:r w:rsidRPr="00536320">
        <w:rPr>
          <w:rStyle w:val="Heading4Char"/>
          <w:rFonts w:ascii="Garamond" w:hAnsi="Garamond"/>
          <w:sz w:val="24"/>
          <w:szCs w:val="24"/>
        </w:rPr>
        <w:t>Pri</w:t>
      </w:r>
      <w:r w:rsidR="00E612F3" w:rsidRPr="00536320">
        <w:rPr>
          <w:rStyle w:val="Heading4Char"/>
          <w:rFonts w:ascii="Garamond" w:hAnsi="Garamond"/>
          <w:sz w:val="24"/>
          <w:szCs w:val="24"/>
        </w:rPr>
        <w:t>mary Prevention Initiative</w:t>
      </w:r>
    </w:p>
    <w:p w14:paraId="5A32E6F1" w14:textId="56B2F738" w:rsidR="004705C8" w:rsidRPr="004A0C12" w:rsidRDefault="004705C8" w:rsidP="001D4BB8">
      <w:pPr>
        <w:widowControl w:val="0"/>
        <w:spacing w:line="240" w:lineRule="auto"/>
        <w:contextualSpacing/>
        <w:jc w:val="both"/>
        <w:rPr>
          <w:rFonts w:ascii="Garamond" w:hAnsi="Garamond"/>
        </w:rPr>
      </w:pPr>
      <w:r w:rsidRPr="004A0C12">
        <w:rPr>
          <w:rFonts w:ascii="Garamond" w:hAnsi="Garamond"/>
        </w:rPr>
        <w:t>As part of the plan to both reduce infant mortality and encourage children to remain in school, Maryland requires TCA recipients with children, age 7 and under to provide medical documentation of health checkups. TCA recipients with children age 7 and over must verify their children are registered in and attending schoo</w:t>
      </w:r>
      <w:r w:rsidR="00E612F3" w:rsidRPr="004A0C12">
        <w:rPr>
          <w:rFonts w:ascii="Garamond" w:hAnsi="Garamond"/>
        </w:rPr>
        <w:t xml:space="preserve">l at least 80 percent of the time. </w:t>
      </w:r>
      <w:r w:rsidRPr="004A0C12">
        <w:rPr>
          <w:rFonts w:ascii="Garamond" w:hAnsi="Garamond"/>
        </w:rPr>
        <w:t xml:space="preserve">Children not meeting either the health verification requirement or the school attendance requirement cause a TCA disallowance or reduction in the TCA benefit of $25 per child, per month. When the child is back in compliance, the full benefit is reinstated. </w:t>
      </w:r>
    </w:p>
    <w:p w14:paraId="392F4DC4" w14:textId="77777777" w:rsidR="001D4BB8" w:rsidRPr="004A0C12" w:rsidRDefault="001D4BB8" w:rsidP="001D4BB8">
      <w:pPr>
        <w:widowControl w:val="0"/>
        <w:spacing w:line="240" w:lineRule="auto"/>
        <w:contextualSpacing/>
        <w:jc w:val="both"/>
        <w:rPr>
          <w:rFonts w:ascii="Garamond" w:hAnsi="Garamond"/>
        </w:rPr>
      </w:pPr>
    </w:p>
    <w:p w14:paraId="02117481" w14:textId="77777777" w:rsidR="00902C29" w:rsidRPr="00536320" w:rsidRDefault="004705C8" w:rsidP="001D4BB8">
      <w:pPr>
        <w:widowControl w:val="0"/>
        <w:spacing w:after="0" w:line="240" w:lineRule="auto"/>
        <w:jc w:val="both"/>
        <w:rPr>
          <w:rFonts w:ascii="Garamond" w:hAnsi="Garamond" w:cs="Times New Roman"/>
          <w:sz w:val="24"/>
          <w:szCs w:val="24"/>
        </w:rPr>
      </w:pPr>
      <w:r w:rsidRPr="00536320">
        <w:rPr>
          <w:rStyle w:val="Heading4Char"/>
          <w:rFonts w:ascii="Garamond" w:hAnsi="Garamond"/>
          <w:sz w:val="24"/>
          <w:szCs w:val="24"/>
        </w:rPr>
        <w:t xml:space="preserve">Families Served </w:t>
      </w:r>
      <w:r w:rsidR="00E612F3" w:rsidRPr="00536320">
        <w:rPr>
          <w:rStyle w:val="Heading4Char"/>
          <w:rFonts w:ascii="Garamond" w:hAnsi="Garamond"/>
          <w:sz w:val="24"/>
          <w:szCs w:val="24"/>
        </w:rPr>
        <w:t>in a Separate State TCA Program</w:t>
      </w:r>
    </w:p>
    <w:p w14:paraId="6DD2828A" w14:textId="72AF33D4" w:rsidR="004705C8" w:rsidRPr="004A0C12" w:rsidRDefault="004705C8" w:rsidP="001D4BB8">
      <w:pPr>
        <w:widowControl w:val="0"/>
        <w:spacing w:after="0" w:line="240" w:lineRule="auto"/>
        <w:jc w:val="both"/>
        <w:rPr>
          <w:rFonts w:ascii="Garamond" w:hAnsi="Garamond" w:cs="Times New Roman"/>
        </w:rPr>
      </w:pPr>
      <w:r w:rsidRPr="004A0C12">
        <w:rPr>
          <w:rFonts w:ascii="Garamond" w:hAnsi="Garamond" w:cs="Times New Roman"/>
        </w:rPr>
        <w:t xml:space="preserve">Because of their special circumstances, the State of Maryland will serve the following families in a Separate State TCA Program funded with 100 percent TANF Maintenance of Effort funds. The eligibility requirements are the same as for TANF/TANF-MOE funded </w:t>
      </w:r>
      <w:r w:rsidR="00474E87" w:rsidRPr="004A0C12">
        <w:rPr>
          <w:rFonts w:ascii="Garamond" w:hAnsi="Garamond" w:cs="Times New Roman"/>
        </w:rPr>
        <w:t>families:</w:t>
      </w:r>
    </w:p>
    <w:p w14:paraId="3BFF34A8" w14:textId="77777777" w:rsidR="00474E87" w:rsidRPr="004A0C12" w:rsidRDefault="00474E87" w:rsidP="004705C8">
      <w:pPr>
        <w:widowControl w:val="0"/>
        <w:spacing w:after="0" w:line="240" w:lineRule="auto"/>
        <w:ind w:left="360"/>
        <w:jc w:val="both"/>
        <w:rPr>
          <w:rFonts w:ascii="Garamond" w:hAnsi="Garamond" w:cs="Times New Roman"/>
          <w:u w:val="single"/>
        </w:rPr>
      </w:pPr>
    </w:p>
    <w:p w14:paraId="3FE6E3EA" w14:textId="60623ACF" w:rsidR="004705C8" w:rsidRPr="004A0C12" w:rsidRDefault="004705C8" w:rsidP="00232F09">
      <w:pPr>
        <w:widowControl w:val="0"/>
        <w:numPr>
          <w:ilvl w:val="0"/>
          <w:numId w:val="177"/>
        </w:numPr>
        <w:tabs>
          <w:tab w:val="left" w:pos="-1440"/>
        </w:tabs>
        <w:spacing w:after="0" w:line="240" w:lineRule="auto"/>
        <w:ind w:left="720"/>
        <w:jc w:val="both"/>
        <w:rPr>
          <w:rFonts w:ascii="Garamond" w:hAnsi="Garamond" w:cs="Times New Roman"/>
        </w:rPr>
      </w:pPr>
      <w:r w:rsidRPr="004A0C12">
        <w:rPr>
          <w:rFonts w:ascii="Garamond" w:hAnsi="Garamond" w:cs="Times New Roman"/>
        </w:rPr>
        <w:t>Families where there are qualified immigrant adults (admitted to the country on or after August 22, 1996) who are not eligible under federal law</w:t>
      </w:r>
      <w:r w:rsidR="00E612F3" w:rsidRPr="004A0C12">
        <w:rPr>
          <w:rFonts w:ascii="Garamond" w:hAnsi="Garamond" w:cs="Times New Roman"/>
        </w:rPr>
        <w:t>,</w:t>
      </w:r>
      <w:r w:rsidRPr="004A0C12">
        <w:rPr>
          <w:rFonts w:ascii="Garamond" w:hAnsi="Garamond" w:cs="Times New Roman"/>
        </w:rPr>
        <w:t xml:space="preserve"> but meet all other TCA eligibility requirements and include a pregnant adult</w:t>
      </w:r>
      <w:r w:rsidR="00E612F3" w:rsidRPr="004A0C12">
        <w:rPr>
          <w:rFonts w:ascii="Garamond" w:hAnsi="Garamond" w:cs="Times New Roman"/>
        </w:rPr>
        <w:t>, but no other children. A separate State p</w:t>
      </w:r>
      <w:r w:rsidRPr="004A0C12">
        <w:rPr>
          <w:rFonts w:ascii="Garamond" w:hAnsi="Garamond" w:cs="Times New Roman"/>
        </w:rPr>
        <w:t>rogram will serve these fami</w:t>
      </w:r>
      <w:r w:rsidR="00E612F3" w:rsidRPr="004A0C12">
        <w:rPr>
          <w:rFonts w:ascii="Garamond" w:hAnsi="Garamond" w:cs="Times New Roman"/>
        </w:rPr>
        <w:t>lies until the child is born;</w:t>
      </w:r>
    </w:p>
    <w:p w14:paraId="17C2648C" w14:textId="74DC8987" w:rsidR="004705C8" w:rsidRPr="004A0C12" w:rsidRDefault="004705C8" w:rsidP="00232F09">
      <w:pPr>
        <w:widowControl w:val="0"/>
        <w:numPr>
          <w:ilvl w:val="0"/>
          <w:numId w:val="177"/>
        </w:numPr>
        <w:tabs>
          <w:tab w:val="left" w:pos="-1440"/>
        </w:tabs>
        <w:spacing w:after="0" w:line="240" w:lineRule="auto"/>
        <w:ind w:left="720"/>
        <w:jc w:val="both"/>
        <w:rPr>
          <w:rFonts w:ascii="Garamond" w:hAnsi="Garamond" w:cs="Times New Roman"/>
        </w:rPr>
      </w:pPr>
      <w:r w:rsidRPr="004A0C12">
        <w:rPr>
          <w:rFonts w:ascii="Garamond" w:hAnsi="Garamond" w:cs="Times New Roman"/>
        </w:rPr>
        <w:t>Families consisting of a parent (or parents) or a non-parent caretaker relative (or non-parent caretaker relatives) with the only child (or children) in the household who is a full time student in a secondary school or an equivalent program and expected to graduate i</w:t>
      </w:r>
      <w:r w:rsidR="00E612F3" w:rsidRPr="004A0C12">
        <w:rPr>
          <w:rFonts w:ascii="Garamond" w:hAnsi="Garamond" w:cs="Times New Roman"/>
        </w:rPr>
        <w:t xml:space="preserve">n the year the child turns 19. </w:t>
      </w:r>
      <w:r w:rsidRPr="004A0C12">
        <w:rPr>
          <w:rFonts w:ascii="Garamond" w:hAnsi="Garamond" w:cs="Times New Roman"/>
        </w:rPr>
        <w:t>Eligibility ends the month after the month of the ch</w:t>
      </w:r>
      <w:r w:rsidR="00E612F3" w:rsidRPr="004A0C12">
        <w:rPr>
          <w:rFonts w:ascii="Garamond" w:hAnsi="Garamond" w:cs="Times New Roman"/>
        </w:rPr>
        <w:t xml:space="preserve">ild’s graduation; and/or, </w:t>
      </w:r>
    </w:p>
    <w:p w14:paraId="17980EDA" w14:textId="353634A0" w:rsidR="004705C8" w:rsidRPr="004A0C12" w:rsidRDefault="004705C8" w:rsidP="00232F09">
      <w:pPr>
        <w:widowControl w:val="0"/>
        <w:numPr>
          <w:ilvl w:val="0"/>
          <w:numId w:val="177"/>
        </w:numPr>
        <w:tabs>
          <w:tab w:val="left" w:pos="-1440"/>
        </w:tabs>
        <w:snapToGrid w:val="0"/>
        <w:spacing w:after="0" w:line="240" w:lineRule="auto"/>
        <w:ind w:left="720"/>
        <w:jc w:val="both"/>
        <w:rPr>
          <w:rFonts w:ascii="Garamond" w:hAnsi="Garamond" w:cs="Times New Roman"/>
        </w:rPr>
      </w:pPr>
      <w:r w:rsidRPr="004A0C12">
        <w:rPr>
          <w:rFonts w:ascii="Garamond" w:hAnsi="Garamond" w:cs="Times New Roman"/>
        </w:rPr>
        <w:t>Adult parents in families that are determined by the local department to be exempt for reason of hardship and who meet all other TCA technical and financial eligibility requirements, are not eligible unde</w:t>
      </w:r>
      <w:r w:rsidR="00E612F3" w:rsidRPr="004A0C12">
        <w:rPr>
          <w:rFonts w:ascii="Garamond" w:hAnsi="Garamond" w:cs="Times New Roman"/>
        </w:rPr>
        <w:t>r federal law because of the 20 percent</w:t>
      </w:r>
      <w:r w:rsidRPr="004A0C12">
        <w:rPr>
          <w:rFonts w:ascii="Garamond" w:hAnsi="Garamond" w:cs="Times New Roman"/>
        </w:rPr>
        <w:t xml:space="preserve"> hardship exemption limit. </w:t>
      </w:r>
    </w:p>
    <w:p w14:paraId="3F7E7951" w14:textId="77777777" w:rsidR="004705C8" w:rsidRPr="004A0C12" w:rsidRDefault="004705C8" w:rsidP="004705C8">
      <w:pPr>
        <w:widowControl w:val="0"/>
        <w:tabs>
          <w:tab w:val="left" w:pos="-1440"/>
        </w:tabs>
        <w:snapToGrid w:val="0"/>
        <w:spacing w:after="0" w:line="240" w:lineRule="auto"/>
        <w:ind w:left="720"/>
        <w:jc w:val="both"/>
        <w:rPr>
          <w:rFonts w:ascii="Garamond" w:hAnsi="Garamond" w:cs="Times New Roman"/>
        </w:rPr>
      </w:pPr>
    </w:p>
    <w:p w14:paraId="10848B1B" w14:textId="77777777" w:rsidR="00902C29" w:rsidRPr="00536320" w:rsidRDefault="004705C8" w:rsidP="00E612F3">
      <w:pPr>
        <w:widowControl w:val="0"/>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t>Families Served in</w:t>
      </w:r>
      <w:r w:rsidR="00E612F3" w:rsidRPr="00536320">
        <w:rPr>
          <w:rStyle w:val="Heading4Char"/>
          <w:rFonts w:ascii="Garamond" w:hAnsi="Garamond"/>
          <w:sz w:val="24"/>
          <w:szCs w:val="24"/>
        </w:rPr>
        <w:t xml:space="preserve"> a Segregated State TCA Program</w:t>
      </w:r>
    </w:p>
    <w:p w14:paraId="7200F423" w14:textId="47D93ABA" w:rsidR="004705C8" w:rsidRPr="004A0C12" w:rsidRDefault="004705C8" w:rsidP="00E612F3">
      <w:pPr>
        <w:widowControl w:val="0"/>
        <w:tabs>
          <w:tab w:val="left" w:pos="-1440"/>
        </w:tabs>
        <w:spacing w:after="0" w:line="240" w:lineRule="auto"/>
        <w:jc w:val="both"/>
        <w:rPr>
          <w:rFonts w:ascii="Garamond" w:hAnsi="Garamond" w:cs="Times New Roman"/>
        </w:rPr>
      </w:pPr>
      <w:r w:rsidRPr="004A0C12">
        <w:rPr>
          <w:rFonts w:ascii="Garamond" w:hAnsi="Garamond" w:cs="Times New Roman"/>
        </w:rPr>
        <w:t xml:space="preserve">Because of their special circumstances, the State of Maryland will serve the following families in a TCA Program funded with State funds segregated within the TANF program.  </w:t>
      </w:r>
    </w:p>
    <w:p w14:paraId="29A2C925" w14:textId="77777777" w:rsidR="004705C8" w:rsidRPr="004A0C12" w:rsidRDefault="004705C8" w:rsidP="004705C8">
      <w:pPr>
        <w:tabs>
          <w:tab w:val="left" w:pos="-1440"/>
        </w:tabs>
        <w:spacing w:after="0" w:line="240" w:lineRule="auto"/>
        <w:jc w:val="both"/>
        <w:rPr>
          <w:rFonts w:ascii="Garamond" w:hAnsi="Garamond" w:cs="Times New Roman"/>
        </w:rPr>
      </w:pPr>
    </w:p>
    <w:p w14:paraId="650B4F9B" w14:textId="2D3DC762" w:rsidR="004705C8" w:rsidRPr="004A0C12" w:rsidRDefault="004705C8" w:rsidP="004705C8">
      <w:pPr>
        <w:tabs>
          <w:tab w:val="left" w:pos="-1440"/>
          <w:tab w:val="left" w:pos="360"/>
          <w:tab w:val="left" w:pos="630"/>
        </w:tabs>
        <w:spacing w:after="0" w:line="240" w:lineRule="auto"/>
        <w:jc w:val="both"/>
        <w:rPr>
          <w:rFonts w:ascii="Garamond" w:hAnsi="Garamond" w:cs="Times New Roman"/>
        </w:rPr>
      </w:pPr>
      <w:r w:rsidRPr="004A0C12">
        <w:rPr>
          <w:rFonts w:ascii="Garamond" w:hAnsi="Garamond" w:cs="Times New Roman"/>
        </w:rPr>
        <w:t>The eligibility requirements are the same as for TANF/TANF-MOE funded families</w:t>
      </w:r>
      <w:r w:rsidR="00E612F3" w:rsidRPr="004A0C12">
        <w:rPr>
          <w:rFonts w:ascii="Garamond" w:hAnsi="Garamond" w:cs="Times New Roman"/>
        </w:rPr>
        <w:t>:</w:t>
      </w:r>
    </w:p>
    <w:p w14:paraId="227CEA85" w14:textId="77777777" w:rsidR="00E612F3" w:rsidRPr="004A0C12" w:rsidRDefault="00E612F3" w:rsidP="004705C8">
      <w:pPr>
        <w:tabs>
          <w:tab w:val="left" w:pos="-1440"/>
          <w:tab w:val="left" w:pos="360"/>
          <w:tab w:val="left" w:pos="630"/>
        </w:tabs>
        <w:spacing w:after="0" w:line="240" w:lineRule="auto"/>
        <w:jc w:val="both"/>
        <w:rPr>
          <w:rFonts w:ascii="Garamond" w:hAnsi="Garamond" w:cs="Times New Roman"/>
        </w:rPr>
      </w:pPr>
    </w:p>
    <w:p w14:paraId="7DF9CBDD" w14:textId="386DD080" w:rsidR="004705C8" w:rsidRPr="004A0C12" w:rsidRDefault="004705C8" w:rsidP="00232F09">
      <w:pPr>
        <w:widowControl w:val="0"/>
        <w:numPr>
          <w:ilvl w:val="0"/>
          <w:numId w:val="178"/>
        </w:numPr>
        <w:tabs>
          <w:tab w:val="left" w:pos="-1440"/>
        </w:tabs>
        <w:spacing w:after="0" w:line="240" w:lineRule="auto"/>
        <w:ind w:left="720"/>
        <w:jc w:val="both"/>
        <w:rPr>
          <w:rFonts w:ascii="Garamond" w:hAnsi="Garamond" w:cs="Times New Roman"/>
          <w:u w:val="single"/>
        </w:rPr>
      </w:pPr>
      <w:r w:rsidRPr="004A0C12">
        <w:rPr>
          <w:rFonts w:ascii="Garamond" w:hAnsi="Garamond" w:cs="Times New Roman"/>
        </w:rPr>
        <w:t>Families with at least one assistan</w:t>
      </w:r>
      <w:r w:rsidR="00E612F3" w:rsidRPr="004A0C12">
        <w:rPr>
          <w:rFonts w:ascii="Garamond" w:hAnsi="Garamond" w:cs="Times New Roman"/>
        </w:rPr>
        <w:t>ce unit member who is employed;</w:t>
      </w:r>
    </w:p>
    <w:p w14:paraId="730EE654" w14:textId="479294D4" w:rsidR="004705C8" w:rsidRPr="004A0C12" w:rsidRDefault="00E612F3" w:rsidP="00232F09">
      <w:pPr>
        <w:widowControl w:val="0"/>
        <w:numPr>
          <w:ilvl w:val="0"/>
          <w:numId w:val="178"/>
        </w:numPr>
        <w:tabs>
          <w:tab w:val="left" w:pos="-1440"/>
        </w:tabs>
        <w:spacing w:after="0" w:line="240" w:lineRule="auto"/>
        <w:ind w:left="720"/>
        <w:jc w:val="both"/>
        <w:rPr>
          <w:rFonts w:ascii="Garamond" w:hAnsi="Garamond" w:cs="Times New Roman"/>
          <w:u w:val="single"/>
        </w:rPr>
      </w:pPr>
      <w:r w:rsidRPr="004A0C12">
        <w:rPr>
          <w:rFonts w:ascii="Garamond" w:hAnsi="Garamond" w:cs="Times New Roman"/>
        </w:rPr>
        <w:t xml:space="preserve">Has countable earned income; and, </w:t>
      </w:r>
    </w:p>
    <w:p w14:paraId="1DA706E6" w14:textId="77777777" w:rsidR="004705C8" w:rsidRPr="004A0C12" w:rsidRDefault="004705C8" w:rsidP="00232F09">
      <w:pPr>
        <w:widowControl w:val="0"/>
        <w:numPr>
          <w:ilvl w:val="0"/>
          <w:numId w:val="178"/>
        </w:numPr>
        <w:tabs>
          <w:tab w:val="left" w:pos="-1440"/>
        </w:tabs>
        <w:spacing w:after="0" w:line="240" w:lineRule="auto"/>
        <w:ind w:left="720"/>
        <w:jc w:val="both"/>
        <w:rPr>
          <w:rFonts w:ascii="Garamond" w:hAnsi="Garamond" w:cs="Times New Roman"/>
          <w:u w:val="single"/>
        </w:rPr>
      </w:pPr>
      <w:r w:rsidRPr="004A0C12">
        <w:rPr>
          <w:rFonts w:ascii="Garamond" w:hAnsi="Garamond" w:cs="Times New Roman"/>
        </w:rPr>
        <w:t xml:space="preserve">Receives Maryland’s 40 percent income disregard.  </w:t>
      </w:r>
    </w:p>
    <w:p w14:paraId="2BC06C10" w14:textId="77777777" w:rsidR="004705C8" w:rsidRPr="004A0C12" w:rsidRDefault="004705C8" w:rsidP="004705C8">
      <w:pPr>
        <w:tabs>
          <w:tab w:val="left" w:pos="-1440"/>
        </w:tabs>
        <w:spacing w:after="0" w:line="240" w:lineRule="auto"/>
        <w:ind w:left="1080"/>
        <w:jc w:val="both"/>
        <w:rPr>
          <w:rFonts w:ascii="Garamond" w:hAnsi="Garamond" w:cs="Times New Roman"/>
          <w:u w:val="single"/>
        </w:rPr>
      </w:pPr>
    </w:p>
    <w:p w14:paraId="0FFE78BC" w14:textId="77777777" w:rsidR="004705C8" w:rsidRPr="004A0C12" w:rsidRDefault="004705C8" w:rsidP="00E612F3">
      <w:pPr>
        <w:tabs>
          <w:tab w:val="left" w:pos="-1440"/>
          <w:tab w:val="left" w:pos="360"/>
        </w:tabs>
        <w:spacing w:after="0" w:line="240" w:lineRule="auto"/>
        <w:jc w:val="both"/>
        <w:rPr>
          <w:rFonts w:ascii="Garamond" w:hAnsi="Garamond" w:cs="Times New Roman"/>
        </w:rPr>
      </w:pPr>
      <w:r w:rsidRPr="004A0C12">
        <w:rPr>
          <w:rFonts w:ascii="Garamond" w:hAnsi="Garamond" w:cs="Times New Roman"/>
        </w:rPr>
        <w:t xml:space="preserve">These families are not subject to the 60-month time limits but are subject to all other TCA requirements.  </w:t>
      </w:r>
    </w:p>
    <w:p w14:paraId="46A43B60" w14:textId="77777777" w:rsidR="00DC425A" w:rsidRPr="004A0C12" w:rsidRDefault="00DC425A" w:rsidP="00E612F3">
      <w:pPr>
        <w:tabs>
          <w:tab w:val="left" w:pos="-1440"/>
          <w:tab w:val="left" w:pos="360"/>
        </w:tabs>
        <w:spacing w:after="0" w:line="240" w:lineRule="auto"/>
        <w:jc w:val="both"/>
        <w:rPr>
          <w:rFonts w:ascii="Garamond" w:hAnsi="Garamond" w:cs="Times New Roman"/>
        </w:rPr>
      </w:pPr>
    </w:p>
    <w:p w14:paraId="2586A293" w14:textId="67F8A72D" w:rsidR="00DC425A" w:rsidRPr="004A0C12" w:rsidRDefault="00DC425A" w:rsidP="00E612F3">
      <w:pPr>
        <w:tabs>
          <w:tab w:val="left" w:pos="-1440"/>
          <w:tab w:val="left" w:pos="360"/>
        </w:tabs>
        <w:spacing w:after="0" w:line="240" w:lineRule="auto"/>
        <w:jc w:val="both"/>
        <w:rPr>
          <w:rFonts w:ascii="Garamond" w:hAnsi="Garamond" w:cs="Times New Roman"/>
        </w:rPr>
      </w:pPr>
      <w:r w:rsidRPr="004A0C12">
        <w:rPr>
          <w:rFonts w:ascii="Garamond" w:hAnsi="Garamond" w:cs="Times New Roman"/>
        </w:rPr>
        <w:t xml:space="preserve">In 2013, the Maryland General Assembly required DHR to implement a three year pilot to study the effects of an enhanced earned income disregard on encouraging TANF applicants and recipients to gain employment more quickly and to retain employment longer.  The pilot includes 100 families who did not receive TANF benefits from May 1, 2014 through September 30, 2014, who were not employed and applied for TANF after October 1, 2014. The enhanced disregard provides for a 100 percent disregard of wages for the first three months of employment while receiving TCA, 60 percent disregard of wages for the subsequence months 4 through 9, and then finally reverting to the usual 40 percent disregard, as addressed in the previous paragraph. </w:t>
      </w:r>
    </w:p>
    <w:p w14:paraId="49326308" w14:textId="77777777" w:rsidR="00DC425A" w:rsidRPr="004A0C12" w:rsidRDefault="00DC425A" w:rsidP="00E612F3">
      <w:pPr>
        <w:tabs>
          <w:tab w:val="left" w:pos="-1440"/>
          <w:tab w:val="left" w:pos="360"/>
        </w:tabs>
        <w:spacing w:after="0" w:line="240" w:lineRule="auto"/>
        <w:jc w:val="both"/>
        <w:rPr>
          <w:rFonts w:ascii="Garamond" w:hAnsi="Garamond" w:cs="Times New Roman"/>
        </w:rPr>
      </w:pPr>
    </w:p>
    <w:p w14:paraId="2D0E0326" w14:textId="0D9B8919" w:rsidR="00DC425A" w:rsidRPr="004A0C12" w:rsidRDefault="00DC425A" w:rsidP="00E612F3">
      <w:pPr>
        <w:tabs>
          <w:tab w:val="left" w:pos="-1440"/>
          <w:tab w:val="left" w:pos="360"/>
        </w:tabs>
        <w:spacing w:after="0" w:line="240" w:lineRule="auto"/>
        <w:jc w:val="both"/>
        <w:rPr>
          <w:rFonts w:ascii="Garamond" w:hAnsi="Garamond" w:cs="Times New Roman"/>
        </w:rPr>
      </w:pPr>
      <w:r w:rsidRPr="004A0C12">
        <w:rPr>
          <w:rFonts w:ascii="Garamond" w:hAnsi="Garamond" w:cs="Times New Roman"/>
        </w:rPr>
        <w:t xml:space="preserve">Once there are no employed assistance unit members with countable income and the 40 percent disregard is applied, the family will be moved back into the regular TCA program. </w:t>
      </w:r>
    </w:p>
    <w:p w14:paraId="1A6B04B6" w14:textId="77777777" w:rsidR="00DC425A" w:rsidRPr="004A0C12" w:rsidRDefault="00DC425A" w:rsidP="00DC425A">
      <w:pPr>
        <w:tabs>
          <w:tab w:val="left" w:pos="360"/>
        </w:tabs>
        <w:snapToGrid w:val="0"/>
        <w:spacing w:after="0" w:line="240" w:lineRule="auto"/>
        <w:jc w:val="both"/>
        <w:rPr>
          <w:rFonts w:ascii="Garamond" w:hAnsi="Garamond" w:cs="Times New Roman"/>
        </w:rPr>
      </w:pPr>
    </w:p>
    <w:p w14:paraId="678931CC" w14:textId="77777777" w:rsidR="00902C29" w:rsidRPr="00536320" w:rsidRDefault="004705C8" w:rsidP="00DC425A">
      <w:pPr>
        <w:tabs>
          <w:tab w:val="left" w:pos="360"/>
        </w:tabs>
        <w:snapToGrid w:val="0"/>
        <w:spacing w:after="0" w:line="240" w:lineRule="auto"/>
        <w:jc w:val="both"/>
        <w:rPr>
          <w:rFonts w:ascii="Garamond" w:hAnsi="Garamond" w:cs="Times New Roman"/>
          <w:sz w:val="24"/>
          <w:szCs w:val="24"/>
        </w:rPr>
      </w:pPr>
      <w:r w:rsidRPr="00536320">
        <w:rPr>
          <w:rStyle w:val="Heading4Char"/>
          <w:rFonts w:ascii="Garamond" w:hAnsi="Garamond"/>
          <w:sz w:val="24"/>
          <w:szCs w:val="24"/>
        </w:rPr>
        <w:t>Families Served in a</w:t>
      </w:r>
      <w:r w:rsidR="00DC425A" w:rsidRPr="00536320">
        <w:rPr>
          <w:rStyle w:val="Heading4Char"/>
          <w:rFonts w:ascii="Garamond" w:hAnsi="Garamond"/>
          <w:sz w:val="24"/>
          <w:szCs w:val="24"/>
        </w:rPr>
        <w:t xml:space="preserve"> Segregated Federal TCA Program</w:t>
      </w:r>
    </w:p>
    <w:p w14:paraId="3DAC11EC" w14:textId="15483BE0" w:rsidR="004705C8" w:rsidRPr="004A0C12" w:rsidRDefault="004705C8" w:rsidP="00DC425A">
      <w:pPr>
        <w:tabs>
          <w:tab w:val="left" w:pos="360"/>
        </w:tabs>
        <w:snapToGrid w:val="0"/>
        <w:spacing w:after="0" w:line="240" w:lineRule="auto"/>
        <w:jc w:val="both"/>
        <w:rPr>
          <w:rFonts w:ascii="Garamond" w:hAnsi="Garamond" w:cs="Times New Roman"/>
        </w:rPr>
      </w:pPr>
      <w:r w:rsidRPr="004A0C12">
        <w:rPr>
          <w:rFonts w:ascii="Garamond" w:hAnsi="Garamond" w:cs="Times New Roman"/>
        </w:rPr>
        <w:t>Because of their special circumstances, the State of Maryland will serve the following families in a Segregated TCA Program f</w:t>
      </w:r>
      <w:r w:rsidR="00DC425A" w:rsidRPr="004A0C12">
        <w:rPr>
          <w:rFonts w:ascii="Garamond" w:hAnsi="Garamond" w:cs="Times New Roman"/>
        </w:rPr>
        <w:t>unded with Federal TANF funds. </w:t>
      </w:r>
      <w:r w:rsidRPr="004A0C12">
        <w:rPr>
          <w:rFonts w:ascii="Garamond" w:hAnsi="Garamond" w:cs="Times New Roman"/>
        </w:rPr>
        <w:t xml:space="preserve">Maryland will use TANF funds to provide adoption </w:t>
      </w:r>
      <w:r w:rsidRPr="004A0C12">
        <w:rPr>
          <w:rFonts w:ascii="Garamond" w:hAnsi="Garamond" w:cs="Times New Roman"/>
          <w:u w:val="single"/>
        </w:rPr>
        <w:t>services</w:t>
      </w:r>
      <w:r w:rsidRPr="004A0C12">
        <w:rPr>
          <w:rFonts w:ascii="Garamond" w:hAnsi="Garamond" w:cs="Times New Roman"/>
        </w:rPr>
        <w:t xml:space="preserve"> (that do not constitute "assistance") to a needy family in which an unrelated adult is in the</w:t>
      </w:r>
      <w:r w:rsidR="00DC425A" w:rsidRPr="004A0C12">
        <w:rPr>
          <w:rFonts w:ascii="Garamond" w:hAnsi="Garamond" w:cs="Times New Roman"/>
        </w:rPr>
        <w:t xml:space="preserve"> process of adopting a child. </w:t>
      </w:r>
      <w:r w:rsidRPr="004A0C12">
        <w:rPr>
          <w:rFonts w:ascii="Garamond" w:hAnsi="Garamond" w:cs="Times New Roman"/>
        </w:rPr>
        <w:t xml:space="preserve">To qualify on the basis of income: </w:t>
      </w:r>
    </w:p>
    <w:p w14:paraId="0D3850B9" w14:textId="77777777" w:rsidR="004705C8" w:rsidRPr="004A0C12" w:rsidRDefault="004705C8" w:rsidP="004705C8">
      <w:pPr>
        <w:spacing w:after="0" w:line="240" w:lineRule="auto"/>
        <w:ind w:firstLine="360"/>
        <w:jc w:val="both"/>
        <w:rPr>
          <w:rFonts w:ascii="Garamond" w:hAnsi="Garamond" w:cs="Times New Roman"/>
        </w:rPr>
      </w:pPr>
      <w:r w:rsidRPr="004A0C12">
        <w:rPr>
          <w:rFonts w:ascii="Garamond" w:hAnsi="Garamond" w:cs="Times New Roman"/>
        </w:rPr>
        <w:tab/>
      </w:r>
      <w:r w:rsidRPr="004A0C12">
        <w:rPr>
          <w:rFonts w:ascii="Garamond" w:hAnsi="Garamond" w:cs="Times New Roman"/>
        </w:rPr>
        <w:tab/>
      </w:r>
      <w:r w:rsidRPr="004A0C12">
        <w:rPr>
          <w:rFonts w:ascii="Garamond" w:hAnsi="Garamond" w:cs="Times New Roman"/>
        </w:rPr>
        <w:tab/>
      </w:r>
    </w:p>
    <w:p w14:paraId="447D6F58" w14:textId="13BEFBE8" w:rsidR="004705C8" w:rsidRPr="004A0C12" w:rsidRDefault="004705C8" w:rsidP="00232F09">
      <w:pPr>
        <w:widowControl w:val="0"/>
        <w:numPr>
          <w:ilvl w:val="0"/>
          <w:numId w:val="180"/>
        </w:numPr>
        <w:tabs>
          <w:tab w:val="left" w:pos="720"/>
        </w:tabs>
        <w:spacing w:after="0" w:line="240" w:lineRule="auto"/>
        <w:ind w:left="720"/>
        <w:jc w:val="both"/>
        <w:rPr>
          <w:rFonts w:ascii="Garamond" w:hAnsi="Garamond" w:cs="Times New Roman"/>
        </w:rPr>
      </w:pPr>
      <w:r w:rsidRPr="004A0C12">
        <w:rPr>
          <w:rFonts w:ascii="Garamond" w:hAnsi="Garamond" w:cs="Times New Roman"/>
        </w:rPr>
        <w:t>The annual adjusted gross income, as defined by th</w:t>
      </w:r>
      <w:r w:rsidR="00DC425A" w:rsidRPr="004A0C12">
        <w:rPr>
          <w:rFonts w:ascii="Garamond" w:hAnsi="Garamond" w:cs="Times New Roman"/>
        </w:rPr>
        <w:t>e Internal Revenue Service</w:t>
      </w:r>
      <w:r w:rsidRPr="004A0C12">
        <w:rPr>
          <w:rFonts w:ascii="Garamond" w:hAnsi="Garamond" w:cs="Times New Roman"/>
        </w:rPr>
        <w:t>, of the prospective adoptive family may not exceed 80 percent of the latest published figure for the median income for a family of that size for the State, as set forth in Sched</w:t>
      </w:r>
      <w:r w:rsidR="00DC425A" w:rsidRPr="004A0C12">
        <w:rPr>
          <w:rFonts w:ascii="Garamond" w:hAnsi="Garamond" w:cs="Times New Roman"/>
        </w:rPr>
        <w:t>ule A under COMAR 07.02.04.11;</w:t>
      </w:r>
    </w:p>
    <w:p w14:paraId="1B256E45" w14:textId="3C8BFC69" w:rsidR="004705C8" w:rsidRPr="004A0C12" w:rsidRDefault="004705C8" w:rsidP="00232F09">
      <w:pPr>
        <w:widowControl w:val="0"/>
        <w:numPr>
          <w:ilvl w:val="0"/>
          <w:numId w:val="180"/>
        </w:numPr>
        <w:tabs>
          <w:tab w:val="left" w:pos="720"/>
        </w:tabs>
        <w:spacing w:after="0" w:line="240" w:lineRule="auto"/>
        <w:ind w:left="720"/>
        <w:jc w:val="both"/>
        <w:rPr>
          <w:rFonts w:ascii="Garamond" w:hAnsi="Garamond" w:cs="Times New Roman"/>
        </w:rPr>
      </w:pPr>
      <w:r w:rsidRPr="004A0C12">
        <w:rPr>
          <w:rFonts w:ascii="Garamond" w:hAnsi="Garamond" w:cs="Times New Roman"/>
        </w:rPr>
        <w:t xml:space="preserve">The adoptive child is included in determining the family </w:t>
      </w:r>
      <w:r w:rsidR="00DC425A" w:rsidRPr="004A0C12">
        <w:rPr>
          <w:rFonts w:ascii="Garamond" w:hAnsi="Garamond" w:cs="Times New Roman"/>
        </w:rPr>
        <w:t xml:space="preserve">size; </w:t>
      </w:r>
    </w:p>
    <w:p w14:paraId="060404BE" w14:textId="5DA96E4B" w:rsidR="004705C8" w:rsidRPr="004A0C12" w:rsidRDefault="004705C8" w:rsidP="00232F09">
      <w:pPr>
        <w:widowControl w:val="0"/>
        <w:numPr>
          <w:ilvl w:val="0"/>
          <w:numId w:val="180"/>
        </w:numPr>
        <w:tabs>
          <w:tab w:val="left" w:pos="720"/>
        </w:tabs>
        <w:spacing w:after="0" w:line="240" w:lineRule="auto"/>
        <w:ind w:left="720"/>
        <w:jc w:val="both"/>
        <w:rPr>
          <w:rFonts w:ascii="Garamond" w:hAnsi="Garamond" w:cs="Times New Roman"/>
        </w:rPr>
      </w:pPr>
      <w:r w:rsidRPr="004A0C12">
        <w:rPr>
          <w:rFonts w:ascii="Garamond" w:hAnsi="Garamond" w:cs="Times New Roman"/>
        </w:rPr>
        <w:t>The annual adjusted gross income of the family shall be the latest figu</w:t>
      </w:r>
      <w:r w:rsidR="00DC425A" w:rsidRPr="004A0C12">
        <w:rPr>
          <w:rFonts w:ascii="Garamond" w:hAnsi="Garamond" w:cs="Times New Roman"/>
        </w:rPr>
        <w:t xml:space="preserve">re that was reported to the Internal Revenue Service. </w:t>
      </w:r>
    </w:p>
    <w:p w14:paraId="63369EED" w14:textId="77777777" w:rsidR="004705C8" w:rsidRPr="004A0C12" w:rsidRDefault="004705C8" w:rsidP="004705C8">
      <w:pPr>
        <w:spacing w:after="0" w:line="240" w:lineRule="auto"/>
        <w:ind w:left="360"/>
        <w:jc w:val="both"/>
        <w:rPr>
          <w:rFonts w:ascii="Garamond" w:hAnsi="Garamond" w:cs="Times New Roman"/>
        </w:rPr>
      </w:pPr>
    </w:p>
    <w:p w14:paraId="417BC2E3" w14:textId="09C2C824" w:rsidR="004705C8" w:rsidRPr="004A0C12" w:rsidRDefault="004705C8" w:rsidP="00DC425A">
      <w:pPr>
        <w:spacing w:after="0" w:line="240" w:lineRule="auto"/>
        <w:jc w:val="both"/>
        <w:rPr>
          <w:rFonts w:ascii="Garamond" w:hAnsi="Garamond" w:cs="Times New Roman"/>
        </w:rPr>
      </w:pPr>
      <w:r w:rsidRPr="004A0C12">
        <w:rPr>
          <w:rFonts w:ascii="Garamond" w:hAnsi="Garamond" w:cs="Times New Roman"/>
        </w:rPr>
        <w:t>In this circumstance, Maryland cannot provide income support (i.e., assistance) to the family prior to adoption</w:t>
      </w:r>
      <w:r w:rsidR="00DC425A" w:rsidRPr="004A0C12">
        <w:rPr>
          <w:rFonts w:ascii="Garamond" w:hAnsi="Garamond" w:cs="Times New Roman"/>
        </w:rPr>
        <w:t>,</w:t>
      </w:r>
      <w:r w:rsidRPr="004A0C12">
        <w:rPr>
          <w:rFonts w:ascii="Garamond" w:hAnsi="Garamond" w:cs="Times New Roman"/>
        </w:rPr>
        <w:t xml:space="preserve"> because the family would not include a child living w</w:t>
      </w:r>
      <w:r w:rsidR="00DC425A" w:rsidRPr="004A0C12">
        <w:rPr>
          <w:rFonts w:ascii="Garamond" w:hAnsi="Garamond" w:cs="Times New Roman"/>
        </w:rPr>
        <w:t>ith a parent or adult relative.</w:t>
      </w:r>
      <w:r w:rsidRPr="004A0C12">
        <w:rPr>
          <w:rFonts w:ascii="Garamond" w:hAnsi="Garamond" w:cs="Times New Roman"/>
        </w:rPr>
        <w:t xml:space="preserve"> Maryland uses segregated Federal TANF funds to pay for the services because the family would not</w:t>
      </w:r>
      <w:r w:rsidR="00DC425A" w:rsidRPr="004A0C12">
        <w:rPr>
          <w:rFonts w:ascii="Garamond" w:hAnsi="Garamond" w:cs="Times New Roman"/>
        </w:rPr>
        <w:t xml:space="preserve"> be an "eligible family" for Maintenance of Effort</w:t>
      </w:r>
      <w:r w:rsidRPr="004A0C12">
        <w:rPr>
          <w:rFonts w:ascii="Garamond" w:hAnsi="Garamond" w:cs="Times New Roman"/>
        </w:rPr>
        <w:t xml:space="preserve"> purposes. Funds used for this program are for services and are non-assistance, outside the purview of the IV-E </w:t>
      </w:r>
      <w:r w:rsidR="001D4BB8" w:rsidRPr="004A0C12">
        <w:rPr>
          <w:rFonts w:ascii="Garamond" w:hAnsi="Garamond" w:cs="Times New Roman"/>
        </w:rPr>
        <w:t xml:space="preserve">(child welfare) </w:t>
      </w:r>
      <w:r w:rsidRPr="004A0C12">
        <w:rPr>
          <w:rFonts w:ascii="Garamond" w:hAnsi="Garamond" w:cs="Times New Roman"/>
        </w:rPr>
        <w:t xml:space="preserve">program and meet the first purpose of TANF. </w:t>
      </w:r>
    </w:p>
    <w:p w14:paraId="43F061AC" w14:textId="77777777" w:rsidR="004705C8" w:rsidRPr="004A0C12" w:rsidRDefault="004705C8" w:rsidP="004705C8">
      <w:pPr>
        <w:spacing w:after="0" w:line="240" w:lineRule="auto"/>
        <w:ind w:left="360"/>
        <w:jc w:val="both"/>
        <w:rPr>
          <w:rFonts w:ascii="Garamond" w:hAnsi="Garamond" w:cs="Times New Roman"/>
        </w:rPr>
      </w:pPr>
    </w:p>
    <w:p w14:paraId="0AC95354" w14:textId="39C5A6A3" w:rsidR="00902C29" w:rsidRPr="00536320" w:rsidRDefault="004705C8" w:rsidP="00DC425A">
      <w:pPr>
        <w:widowControl w:val="0"/>
        <w:tabs>
          <w:tab w:val="left" w:pos="360"/>
        </w:tabs>
        <w:spacing w:after="0" w:line="240" w:lineRule="auto"/>
        <w:jc w:val="both"/>
        <w:rPr>
          <w:rFonts w:ascii="Garamond" w:hAnsi="Garamond" w:cs="Times New Roman"/>
          <w:sz w:val="24"/>
          <w:szCs w:val="24"/>
          <w:u w:val="single"/>
        </w:rPr>
      </w:pPr>
      <w:r w:rsidRPr="00536320">
        <w:rPr>
          <w:rStyle w:val="Heading4Char"/>
          <w:rFonts w:ascii="Garamond" w:hAnsi="Garamond"/>
          <w:sz w:val="24"/>
          <w:szCs w:val="24"/>
        </w:rPr>
        <w:t>Families Served with State General Funds Not Counted Toward the TANF Ma</w:t>
      </w:r>
      <w:r w:rsidR="00DC425A" w:rsidRPr="00536320">
        <w:rPr>
          <w:rStyle w:val="Heading4Char"/>
          <w:rFonts w:ascii="Garamond" w:hAnsi="Garamond"/>
          <w:sz w:val="24"/>
          <w:szCs w:val="24"/>
        </w:rPr>
        <w:t>intenance of Effort Requirement</w:t>
      </w:r>
    </w:p>
    <w:p w14:paraId="5F4F2C73" w14:textId="688E6500" w:rsidR="004705C8" w:rsidRPr="004A0C12" w:rsidRDefault="004705C8" w:rsidP="00DC425A">
      <w:pPr>
        <w:widowControl w:val="0"/>
        <w:tabs>
          <w:tab w:val="left" w:pos="360"/>
        </w:tabs>
        <w:spacing w:after="0" w:line="240" w:lineRule="auto"/>
        <w:jc w:val="both"/>
        <w:rPr>
          <w:rFonts w:ascii="Garamond" w:hAnsi="Garamond" w:cs="Times New Roman"/>
        </w:rPr>
      </w:pPr>
      <w:r w:rsidRPr="004A0C12">
        <w:rPr>
          <w:rFonts w:ascii="Garamond" w:hAnsi="Garamond" w:cs="Times New Roman"/>
        </w:rPr>
        <w:t xml:space="preserve">Maryland opts to serve families with two able-bodied parents, including same gender married couples, in the assistance unit in a program with its own funds and </w:t>
      </w:r>
      <w:r w:rsidR="00DC425A" w:rsidRPr="004A0C12">
        <w:rPr>
          <w:rFonts w:ascii="Garamond" w:hAnsi="Garamond" w:cs="Times New Roman"/>
        </w:rPr>
        <w:t xml:space="preserve">will </w:t>
      </w:r>
      <w:r w:rsidRPr="004A0C12">
        <w:rPr>
          <w:rFonts w:ascii="Garamond" w:hAnsi="Garamond" w:cs="Times New Roman"/>
        </w:rPr>
        <w:t xml:space="preserve">not count these funds toward its </w:t>
      </w:r>
      <w:r w:rsidR="00DC425A" w:rsidRPr="004A0C12">
        <w:rPr>
          <w:rFonts w:ascii="Garamond" w:hAnsi="Garamond" w:cs="Times New Roman"/>
        </w:rPr>
        <w:t xml:space="preserve">TANF Maintenance of Effort requirement. </w:t>
      </w:r>
      <w:r w:rsidRPr="004A0C12">
        <w:rPr>
          <w:rFonts w:ascii="Garamond" w:hAnsi="Garamond" w:cs="Times New Roman"/>
        </w:rPr>
        <w:t>Such families are subject to the work requirements of the TCA program.</w:t>
      </w:r>
    </w:p>
    <w:p w14:paraId="7B690E77" w14:textId="77777777" w:rsidR="004705C8" w:rsidRPr="00536320" w:rsidRDefault="004705C8" w:rsidP="004705C8">
      <w:pPr>
        <w:widowControl w:val="0"/>
        <w:tabs>
          <w:tab w:val="left" w:pos="-1440"/>
        </w:tabs>
        <w:spacing w:after="0" w:line="240" w:lineRule="auto"/>
        <w:ind w:left="720"/>
        <w:jc w:val="both"/>
        <w:rPr>
          <w:rFonts w:ascii="Garamond" w:hAnsi="Garamond" w:cs="Times New Roman"/>
          <w:sz w:val="24"/>
          <w:szCs w:val="24"/>
        </w:rPr>
      </w:pPr>
    </w:p>
    <w:p w14:paraId="4EEF471F" w14:textId="77777777" w:rsidR="00902C29" w:rsidRPr="00536320" w:rsidRDefault="004705C8" w:rsidP="00DC425A">
      <w:pPr>
        <w:widowControl w:val="0"/>
        <w:tabs>
          <w:tab w:val="left" w:pos="-1440"/>
        </w:tabs>
        <w:spacing w:after="0" w:line="240" w:lineRule="auto"/>
        <w:jc w:val="both"/>
        <w:rPr>
          <w:rFonts w:ascii="Garamond" w:hAnsi="Garamond" w:cs="Times New Roman"/>
          <w:sz w:val="24"/>
          <w:szCs w:val="24"/>
          <w:u w:val="single"/>
        </w:rPr>
      </w:pPr>
      <w:r w:rsidRPr="00536320">
        <w:rPr>
          <w:rStyle w:val="Heading4Char"/>
          <w:rFonts w:ascii="Garamond" w:hAnsi="Garamond"/>
          <w:sz w:val="24"/>
          <w:szCs w:val="24"/>
        </w:rPr>
        <w:t>Minor Children Who Are Absent From th</w:t>
      </w:r>
      <w:r w:rsidR="00DC425A" w:rsidRPr="00536320">
        <w:rPr>
          <w:rStyle w:val="Heading4Char"/>
          <w:rFonts w:ascii="Garamond" w:hAnsi="Garamond"/>
          <w:sz w:val="24"/>
          <w:szCs w:val="24"/>
        </w:rPr>
        <w:t>e Home for a Significant Period</w:t>
      </w:r>
    </w:p>
    <w:p w14:paraId="085CF181" w14:textId="3648D717" w:rsidR="004705C8" w:rsidRPr="004A0C12" w:rsidRDefault="004705C8" w:rsidP="00DC425A">
      <w:pPr>
        <w:widowControl w:val="0"/>
        <w:tabs>
          <w:tab w:val="left" w:pos="-1440"/>
        </w:tabs>
        <w:spacing w:after="0" w:line="240" w:lineRule="auto"/>
        <w:jc w:val="both"/>
        <w:rPr>
          <w:rFonts w:ascii="Garamond" w:hAnsi="Garamond" w:cs="Times New Roman"/>
        </w:rPr>
      </w:pPr>
      <w:r w:rsidRPr="004A0C12">
        <w:rPr>
          <w:rFonts w:ascii="Garamond" w:hAnsi="Garamond" w:cs="Times New Roman"/>
        </w:rPr>
        <w:t xml:space="preserve">States </w:t>
      </w:r>
      <w:r w:rsidR="00DC425A" w:rsidRPr="004A0C12">
        <w:rPr>
          <w:rFonts w:ascii="Garamond" w:hAnsi="Garamond" w:cs="Times New Roman"/>
        </w:rPr>
        <w:t>may opt out of paying</w:t>
      </w:r>
      <w:r w:rsidRPr="004A0C12">
        <w:rPr>
          <w:rFonts w:ascii="Garamond" w:hAnsi="Garamond" w:cs="Times New Roman"/>
        </w:rPr>
        <w:t xml:space="preserve"> TCA for a child who has been, or expected by a parent or other caretaker relative to be, absent from the home for a period of 45 consecutive days, or at the option of the State, </w:t>
      </w:r>
      <w:r w:rsidR="00592908" w:rsidRPr="004A0C12">
        <w:rPr>
          <w:rFonts w:ascii="Garamond" w:hAnsi="Garamond" w:cs="Times New Roman"/>
        </w:rPr>
        <w:t>a period of no less</w:t>
      </w:r>
      <w:r w:rsidRPr="004A0C12">
        <w:rPr>
          <w:rFonts w:ascii="Garamond" w:hAnsi="Garamond" w:cs="Times New Roman"/>
        </w:rPr>
        <w:t xml:space="preserve"> than 30 and not more than 180 consecutive days.</w:t>
      </w:r>
    </w:p>
    <w:p w14:paraId="282E490A" w14:textId="77777777" w:rsidR="00DC425A" w:rsidRPr="004A0C12" w:rsidRDefault="00DC425A" w:rsidP="00DC425A">
      <w:pPr>
        <w:widowControl w:val="0"/>
        <w:tabs>
          <w:tab w:val="left" w:pos="-1440"/>
        </w:tabs>
        <w:spacing w:after="0" w:line="240" w:lineRule="auto"/>
        <w:jc w:val="both"/>
        <w:rPr>
          <w:rFonts w:ascii="Garamond" w:hAnsi="Garamond" w:cs="Times New Roman"/>
        </w:rPr>
      </w:pPr>
    </w:p>
    <w:p w14:paraId="12B4C260" w14:textId="1C7D2857" w:rsidR="00DC425A" w:rsidRPr="004A0C12" w:rsidRDefault="00DC425A" w:rsidP="00DC425A">
      <w:pPr>
        <w:widowControl w:val="0"/>
        <w:tabs>
          <w:tab w:val="left" w:pos="-1440"/>
        </w:tabs>
        <w:spacing w:after="0" w:line="240" w:lineRule="auto"/>
        <w:jc w:val="both"/>
        <w:rPr>
          <w:rFonts w:ascii="Garamond" w:hAnsi="Garamond" w:cs="Times New Roman"/>
        </w:rPr>
      </w:pPr>
      <w:r w:rsidRPr="004A0C12">
        <w:rPr>
          <w:rFonts w:ascii="Garamond" w:hAnsi="Garamond" w:cs="Times New Roman"/>
        </w:rPr>
        <w:t xml:space="preserve">The State of Maryland elects the option to continue assistance for a child absent from the home fewer than 180 consecutive days. The State of Maryland elects the option to establish a good cause exception to allow children to exceed this 180 day limit: when the absence is for educational or treatment purposes, approved by the Secretary, the parent does not relinquish responsibility for the child, and the removal of the child from the assistance unit creates a hardship for the child’s family. </w:t>
      </w:r>
    </w:p>
    <w:p w14:paraId="293D1A7F" w14:textId="77777777" w:rsidR="00DC425A" w:rsidRPr="00536320" w:rsidRDefault="00DC425A" w:rsidP="00DC425A">
      <w:pPr>
        <w:widowControl w:val="0"/>
        <w:tabs>
          <w:tab w:val="left" w:pos="-1440"/>
        </w:tabs>
        <w:spacing w:after="0" w:line="240" w:lineRule="auto"/>
        <w:jc w:val="both"/>
        <w:rPr>
          <w:rFonts w:ascii="Garamond" w:hAnsi="Garamond" w:cs="Times New Roman"/>
          <w:sz w:val="24"/>
          <w:szCs w:val="24"/>
        </w:rPr>
      </w:pPr>
    </w:p>
    <w:p w14:paraId="72400221" w14:textId="77777777" w:rsidR="00902C29" w:rsidRPr="00536320" w:rsidRDefault="004705C8" w:rsidP="00DC425A">
      <w:pPr>
        <w:widowControl w:val="0"/>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t>Unmarried Mi</w:t>
      </w:r>
      <w:r w:rsidR="00DC425A" w:rsidRPr="00536320">
        <w:rPr>
          <w:rStyle w:val="Heading4Char"/>
          <w:rFonts w:ascii="Garamond" w:hAnsi="Garamond"/>
          <w:sz w:val="24"/>
          <w:szCs w:val="24"/>
        </w:rPr>
        <w:t>nor who is a Parent or Pregnant</w:t>
      </w:r>
    </w:p>
    <w:p w14:paraId="638EED31" w14:textId="1C9E9EEF" w:rsidR="004705C8" w:rsidRPr="00536320" w:rsidRDefault="004705C8" w:rsidP="00DC425A">
      <w:pPr>
        <w:widowControl w:val="0"/>
        <w:tabs>
          <w:tab w:val="left" w:pos="-1440"/>
        </w:tabs>
        <w:spacing w:after="0" w:line="240" w:lineRule="auto"/>
        <w:jc w:val="both"/>
        <w:rPr>
          <w:rFonts w:ascii="Garamond" w:hAnsi="Garamond" w:cs="Times New Roman"/>
          <w:sz w:val="24"/>
          <w:szCs w:val="24"/>
        </w:rPr>
      </w:pPr>
      <w:r w:rsidRPr="004A0C12">
        <w:rPr>
          <w:rFonts w:ascii="Garamond" w:hAnsi="Garamond" w:cs="Times New Roman"/>
        </w:rPr>
        <w:t>When TCA is granted for a minor who is an unmarried parent or pregnant, the minor shall reside in the household of the minor's parent, legal guardian, other adult relative, or in a supportive living arrangement i</w:t>
      </w:r>
      <w:r w:rsidR="00A0796B" w:rsidRPr="004A0C12">
        <w:rPr>
          <w:rFonts w:ascii="Garamond" w:hAnsi="Garamond" w:cs="Times New Roman"/>
        </w:rPr>
        <w:t xml:space="preserve">n order to receive assistance. </w:t>
      </w:r>
      <w:r w:rsidRPr="004A0C12">
        <w:rPr>
          <w:rFonts w:ascii="Garamond" w:hAnsi="Garamond" w:cs="Times New Roman"/>
        </w:rPr>
        <w:t>The parent, legal guardian, or the adult supervisor in a supportive living arrangement is the authorized representative for the unmarried parent or pregnant minor.</w:t>
      </w:r>
    </w:p>
    <w:p w14:paraId="7D2E5234" w14:textId="77777777" w:rsidR="004705C8" w:rsidRPr="00536320" w:rsidRDefault="004705C8" w:rsidP="004705C8">
      <w:pPr>
        <w:widowControl w:val="0"/>
        <w:tabs>
          <w:tab w:val="left" w:pos="-1440"/>
        </w:tabs>
        <w:spacing w:after="0" w:line="240" w:lineRule="auto"/>
        <w:ind w:left="360"/>
        <w:jc w:val="both"/>
        <w:rPr>
          <w:rFonts w:ascii="Garamond" w:hAnsi="Garamond" w:cs="Times New Roman"/>
          <w:sz w:val="24"/>
          <w:szCs w:val="24"/>
        </w:rPr>
      </w:pPr>
    </w:p>
    <w:p w14:paraId="58DA0D5C" w14:textId="77777777" w:rsidR="00902C29" w:rsidRPr="00536320" w:rsidRDefault="004705C8" w:rsidP="006130B4">
      <w:pPr>
        <w:widowControl w:val="0"/>
        <w:snapToGrid w:val="0"/>
        <w:spacing w:after="0" w:line="240" w:lineRule="auto"/>
        <w:jc w:val="both"/>
        <w:rPr>
          <w:rStyle w:val="Heading4Char"/>
          <w:rFonts w:ascii="Garamond" w:hAnsi="Garamond"/>
          <w:sz w:val="24"/>
          <w:szCs w:val="24"/>
        </w:rPr>
      </w:pPr>
      <w:r w:rsidRPr="00536320">
        <w:rPr>
          <w:rStyle w:val="Heading4Char"/>
          <w:rFonts w:ascii="Garamond" w:hAnsi="Garamond"/>
          <w:sz w:val="24"/>
          <w:szCs w:val="24"/>
        </w:rPr>
        <w:t>Relative of a Minor Child who is Absent f</w:t>
      </w:r>
      <w:r w:rsidR="006130B4" w:rsidRPr="00536320">
        <w:rPr>
          <w:rStyle w:val="Heading4Char"/>
          <w:rFonts w:ascii="Garamond" w:hAnsi="Garamond"/>
          <w:sz w:val="24"/>
          <w:szCs w:val="24"/>
        </w:rPr>
        <w:t>o</w:t>
      </w:r>
      <w:r w:rsidR="00902C29" w:rsidRPr="00536320">
        <w:rPr>
          <w:rStyle w:val="Heading4Char"/>
          <w:rFonts w:ascii="Garamond" w:hAnsi="Garamond"/>
          <w:sz w:val="24"/>
          <w:szCs w:val="24"/>
        </w:rPr>
        <w:t>r a Significant Period of Time</w:t>
      </w:r>
    </w:p>
    <w:p w14:paraId="75149A2F" w14:textId="403F54B2" w:rsidR="004705C8" w:rsidRPr="004A0C12" w:rsidRDefault="004705C8" w:rsidP="006130B4">
      <w:pPr>
        <w:widowControl w:val="0"/>
        <w:snapToGrid w:val="0"/>
        <w:spacing w:after="0" w:line="240" w:lineRule="auto"/>
        <w:jc w:val="both"/>
        <w:rPr>
          <w:rFonts w:ascii="Garamond" w:hAnsi="Garamond" w:cs="Times New Roman"/>
          <w:u w:val="single"/>
        </w:rPr>
      </w:pPr>
      <w:r w:rsidRPr="004A0C12">
        <w:rPr>
          <w:rFonts w:ascii="Garamond" w:hAnsi="Garamond" w:cs="Times New Roman"/>
        </w:rPr>
        <w:t>Assistance may n</w:t>
      </w:r>
      <w:r w:rsidR="006130B4" w:rsidRPr="004A0C12">
        <w:rPr>
          <w:rFonts w:ascii="Garamond" w:hAnsi="Garamond" w:cs="Times New Roman"/>
        </w:rPr>
        <w:t>ot be provided for a period of three</w:t>
      </w:r>
      <w:r w:rsidRPr="004A0C12">
        <w:rPr>
          <w:rFonts w:ascii="Garamond" w:hAnsi="Garamond" w:cs="Times New Roman"/>
        </w:rPr>
        <w:t xml:space="preserve"> months, to a parent (or other caretaker relative) of a minor child, who fails to notify the local department of the absence from the home of the minor child, by the end of the 5-day period that begins with the date it becomes clear to the parent that the minor child will be absent longer than 180 days.</w:t>
      </w:r>
    </w:p>
    <w:p w14:paraId="326C02AC" w14:textId="77777777" w:rsidR="004705C8" w:rsidRPr="004A0C12" w:rsidRDefault="004705C8" w:rsidP="004705C8">
      <w:pPr>
        <w:widowControl w:val="0"/>
        <w:snapToGrid w:val="0"/>
        <w:spacing w:after="0" w:line="240" w:lineRule="auto"/>
        <w:ind w:left="360"/>
        <w:jc w:val="both"/>
        <w:rPr>
          <w:rFonts w:ascii="Garamond" w:hAnsi="Garamond" w:cs="Times New Roman"/>
          <w:u w:val="single"/>
        </w:rPr>
      </w:pPr>
    </w:p>
    <w:p w14:paraId="3098AB31" w14:textId="77777777" w:rsidR="00902C29" w:rsidRPr="00536320" w:rsidRDefault="004705C8" w:rsidP="006130B4">
      <w:pPr>
        <w:widowControl w:val="0"/>
        <w:snapToGrid w:val="0"/>
        <w:spacing w:after="0" w:line="240" w:lineRule="auto"/>
        <w:jc w:val="both"/>
        <w:rPr>
          <w:rFonts w:ascii="Garamond" w:hAnsi="Garamond" w:cs="Times New Roman"/>
          <w:sz w:val="24"/>
          <w:szCs w:val="24"/>
        </w:rPr>
      </w:pPr>
      <w:r w:rsidRPr="00536320">
        <w:rPr>
          <w:rStyle w:val="Heading4Char"/>
          <w:rFonts w:ascii="Garamond" w:hAnsi="Garamond"/>
          <w:sz w:val="24"/>
          <w:szCs w:val="24"/>
        </w:rPr>
        <w:t>Child Care Allowance</w:t>
      </w:r>
    </w:p>
    <w:p w14:paraId="74AF553A" w14:textId="6BEC32AB" w:rsidR="004705C8" w:rsidRPr="004A0C12" w:rsidRDefault="004705C8" w:rsidP="006130B4">
      <w:pPr>
        <w:widowControl w:val="0"/>
        <w:snapToGrid w:val="0"/>
        <w:spacing w:after="0" w:line="240" w:lineRule="auto"/>
        <w:jc w:val="both"/>
        <w:rPr>
          <w:rFonts w:ascii="Garamond" w:hAnsi="Garamond" w:cs="Times New Roman"/>
        </w:rPr>
      </w:pPr>
      <w:r w:rsidRPr="004A0C12">
        <w:rPr>
          <w:rFonts w:ascii="Garamond" w:hAnsi="Garamond" w:cs="Times New Roman"/>
        </w:rPr>
        <w:t>A disregard of out of pocket child care payments from earned, income may not exceed $200 per month for the care of each child in the, assistance unit when the caretaker is employed 100 hours or more, or $100 per child in the assistance unit when the caretaker works less than 100 hours per month.</w:t>
      </w:r>
    </w:p>
    <w:p w14:paraId="05657C9F" w14:textId="77777777" w:rsidR="004705C8" w:rsidRPr="004A0C12" w:rsidRDefault="004705C8" w:rsidP="004705C8">
      <w:pPr>
        <w:widowControl w:val="0"/>
        <w:snapToGrid w:val="0"/>
        <w:spacing w:after="0" w:line="240" w:lineRule="auto"/>
        <w:ind w:left="360"/>
        <w:jc w:val="both"/>
        <w:rPr>
          <w:rFonts w:ascii="Garamond" w:hAnsi="Garamond" w:cs="Times New Roman"/>
        </w:rPr>
      </w:pPr>
    </w:p>
    <w:p w14:paraId="10B99DB3" w14:textId="77777777" w:rsidR="00902C29" w:rsidRPr="00536320" w:rsidRDefault="006130B4" w:rsidP="006130B4">
      <w:pPr>
        <w:widowControl w:val="0"/>
        <w:tabs>
          <w:tab w:val="left" w:pos="-1440"/>
        </w:tabs>
        <w:spacing w:after="0" w:line="240" w:lineRule="auto"/>
        <w:jc w:val="both"/>
        <w:rPr>
          <w:rFonts w:ascii="Garamond" w:hAnsi="Garamond" w:cs="Times New Roman"/>
          <w:sz w:val="24"/>
          <w:szCs w:val="24"/>
        </w:rPr>
      </w:pPr>
      <w:r w:rsidRPr="00536320">
        <w:rPr>
          <w:rStyle w:val="Heading4Char"/>
          <w:rFonts w:ascii="Garamond" w:hAnsi="Garamond"/>
          <w:sz w:val="24"/>
          <w:szCs w:val="24"/>
        </w:rPr>
        <w:t>Income Calculations</w:t>
      </w:r>
    </w:p>
    <w:p w14:paraId="216A9E7B" w14:textId="3BE39CFE" w:rsidR="004705C8" w:rsidRPr="004A0C12" w:rsidRDefault="006130B4" w:rsidP="006130B4">
      <w:pPr>
        <w:widowControl w:val="0"/>
        <w:tabs>
          <w:tab w:val="left" w:pos="-1440"/>
        </w:tabs>
        <w:spacing w:after="0" w:line="240" w:lineRule="auto"/>
        <w:jc w:val="both"/>
        <w:rPr>
          <w:rFonts w:ascii="Garamond" w:hAnsi="Garamond" w:cs="Times New Roman"/>
        </w:rPr>
      </w:pPr>
      <w:r w:rsidRPr="004A0C12">
        <w:rPr>
          <w:rFonts w:ascii="Garamond" w:hAnsi="Garamond" w:cs="Times New Roman"/>
        </w:rPr>
        <w:t>The</w:t>
      </w:r>
      <w:r w:rsidR="004705C8" w:rsidRPr="004A0C12">
        <w:rPr>
          <w:rFonts w:ascii="Garamond" w:hAnsi="Garamond" w:cs="Times New Roman"/>
        </w:rPr>
        <w:t xml:space="preserve"> TCA income calculations are stated in the Code of Mar</w:t>
      </w:r>
      <w:r w:rsidRPr="004A0C12">
        <w:rPr>
          <w:rFonts w:ascii="Garamond" w:hAnsi="Garamond" w:cs="Times New Roman"/>
        </w:rPr>
        <w:t xml:space="preserve">yland Regulations at 07.03.13. </w:t>
      </w:r>
      <w:r w:rsidR="004705C8" w:rsidRPr="004A0C12">
        <w:rPr>
          <w:rFonts w:ascii="Garamond" w:hAnsi="Garamond" w:cs="Times New Roman"/>
        </w:rPr>
        <w:t>Eligibility for benefits is measured against a payment standard at 07.03.03.17</w:t>
      </w:r>
      <w:r w:rsidRPr="004A0C12">
        <w:rPr>
          <w:rFonts w:ascii="Garamond" w:hAnsi="Garamond" w:cs="Times New Roman"/>
        </w:rPr>
        <w:t xml:space="preserve">, which is reviewed each year. </w:t>
      </w:r>
      <w:r w:rsidR="004705C8" w:rsidRPr="004A0C12">
        <w:rPr>
          <w:rFonts w:ascii="Garamond" w:hAnsi="Garamond" w:cs="Times New Roman"/>
        </w:rPr>
        <w:t>These income calculations apply to both members of an assistance unit and non-members whose income is co</w:t>
      </w:r>
      <w:r w:rsidRPr="004A0C12">
        <w:rPr>
          <w:rFonts w:ascii="Garamond" w:hAnsi="Garamond" w:cs="Times New Roman"/>
        </w:rPr>
        <w:t>untable to the assistance unit.</w:t>
      </w:r>
      <w:r w:rsidR="004705C8" w:rsidRPr="004A0C12">
        <w:rPr>
          <w:rFonts w:ascii="Garamond" w:hAnsi="Garamond" w:cs="Times New Roman"/>
        </w:rPr>
        <w:t xml:space="preserve"> Each member of the assistance unit is con</w:t>
      </w:r>
      <w:r w:rsidRPr="004A0C12">
        <w:rPr>
          <w:rFonts w:ascii="Garamond" w:hAnsi="Garamond" w:cs="Times New Roman"/>
        </w:rPr>
        <w:t>sidered to be a recipient of the Family Investment Program,</w:t>
      </w:r>
      <w:r w:rsidR="004705C8" w:rsidRPr="004A0C12">
        <w:rPr>
          <w:rFonts w:ascii="Garamond" w:hAnsi="Garamond" w:cs="Times New Roman"/>
        </w:rPr>
        <w:t xml:space="preserve"> even thou</w:t>
      </w:r>
      <w:r w:rsidRPr="004A0C12">
        <w:rPr>
          <w:rFonts w:ascii="Garamond" w:hAnsi="Garamond" w:cs="Times New Roman"/>
        </w:rPr>
        <w:t xml:space="preserve">gh no cash assistance is paid. </w:t>
      </w:r>
      <w:r w:rsidR="004705C8" w:rsidRPr="004A0C12">
        <w:rPr>
          <w:rFonts w:ascii="Garamond" w:hAnsi="Garamond" w:cs="Times New Roman"/>
        </w:rPr>
        <w:t>The income countable to TCA from a stepparent is determined by excluding income which falls below 50 percent of the official poverty level established under the Federal Community Services Block Grant, adjusted for family size, and counting as available to the TCA benefit, income which equals or exceeds 50 percent of the poverty level established under the Federal Community Services Block Grant, adjusted for family size.</w:t>
      </w:r>
    </w:p>
    <w:p w14:paraId="69FB3C5E" w14:textId="7A87E518" w:rsidR="004705C8" w:rsidRPr="00536320" w:rsidRDefault="00F343F2" w:rsidP="00322B60">
      <w:pPr>
        <w:pStyle w:val="Heading4"/>
        <w:rPr>
          <w:rFonts w:ascii="Garamond" w:hAnsi="Garamond"/>
          <w:sz w:val="24"/>
          <w:szCs w:val="24"/>
        </w:rPr>
      </w:pPr>
      <w:r w:rsidRPr="00536320">
        <w:rPr>
          <w:rFonts w:ascii="Garamond" w:hAnsi="Garamond"/>
          <w:sz w:val="24"/>
          <w:szCs w:val="24"/>
        </w:rPr>
        <w:t>Benefit Amount</w:t>
      </w:r>
    </w:p>
    <w:p w14:paraId="6647C234" w14:textId="6530E4CC" w:rsidR="004705C8" w:rsidRPr="004A0C12" w:rsidRDefault="004705C8" w:rsidP="00232F09">
      <w:pPr>
        <w:widowControl w:val="0"/>
        <w:numPr>
          <w:ilvl w:val="0"/>
          <w:numId w:val="181"/>
        </w:numPr>
        <w:spacing w:after="0" w:line="240" w:lineRule="auto"/>
        <w:jc w:val="both"/>
        <w:rPr>
          <w:rFonts w:ascii="Garamond" w:hAnsi="Garamond" w:cs="Times New Roman"/>
        </w:rPr>
      </w:pPr>
      <w:r w:rsidRPr="004A0C12">
        <w:rPr>
          <w:rFonts w:ascii="Garamond" w:hAnsi="Garamond" w:cs="Times New Roman"/>
        </w:rPr>
        <w:t>The local department determines the TCA benefit payment amount by deducting the net countable income, rounded down to the nearest dollar, from the allowable amount</w:t>
      </w:r>
      <w:r w:rsidR="00F343F2" w:rsidRPr="004A0C12">
        <w:rPr>
          <w:rFonts w:ascii="Garamond" w:hAnsi="Garamond" w:cs="Times New Roman"/>
        </w:rPr>
        <w:t xml:space="preserve"> for the assistance unit size. </w:t>
      </w:r>
      <w:r w:rsidRPr="004A0C12">
        <w:rPr>
          <w:rFonts w:ascii="Garamond" w:hAnsi="Garamond" w:cs="Times New Roman"/>
        </w:rPr>
        <w:t>The period of time covered by the T</w:t>
      </w:r>
      <w:r w:rsidR="00F343F2" w:rsidRPr="004A0C12">
        <w:rPr>
          <w:rFonts w:ascii="Garamond" w:hAnsi="Garamond" w:cs="Times New Roman"/>
        </w:rPr>
        <w:t>CA benefit is a calendar month.</w:t>
      </w:r>
      <w:r w:rsidRPr="004A0C12">
        <w:rPr>
          <w:rFonts w:ascii="Garamond" w:hAnsi="Garamond" w:cs="Times New Roman"/>
        </w:rPr>
        <w:t xml:space="preserve"> The assistance unit budget is determined for the length of the eligibility period or until there</w:t>
      </w:r>
      <w:r w:rsidR="00F343F2" w:rsidRPr="004A0C12">
        <w:rPr>
          <w:rFonts w:ascii="Garamond" w:hAnsi="Garamond" w:cs="Times New Roman"/>
        </w:rPr>
        <w:t xml:space="preserve"> is a change in circumstances. </w:t>
      </w:r>
      <w:r w:rsidRPr="004A0C12">
        <w:rPr>
          <w:rFonts w:ascii="Garamond" w:hAnsi="Garamond" w:cs="Times New Roman"/>
        </w:rPr>
        <w:t>At the end of the eligibility period</w:t>
      </w:r>
      <w:r w:rsidR="00F343F2" w:rsidRPr="004A0C12">
        <w:rPr>
          <w:rFonts w:ascii="Garamond" w:hAnsi="Garamond" w:cs="Times New Roman"/>
        </w:rPr>
        <w:t>,</w:t>
      </w:r>
      <w:r w:rsidRPr="004A0C12">
        <w:rPr>
          <w:rFonts w:ascii="Garamond" w:hAnsi="Garamond" w:cs="Times New Roman"/>
        </w:rPr>
        <w:t xml:space="preserve"> the family’s eligibility for assistance is re-determined an</w:t>
      </w:r>
      <w:r w:rsidR="00F343F2" w:rsidRPr="004A0C12">
        <w:rPr>
          <w:rFonts w:ascii="Garamond" w:hAnsi="Garamond" w:cs="Times New Roman"/>
        </w:rPr>
        <w:t xml:space="preserve">d the budget is re-calculated. </w:t>
      </w:r>
      <w:r w:rsidRPr="004A0C12">
        <w:rPr>
          <w:rFonts w:ascii="Garamond" w:hAnsi="Garamond" w:cs="Times New Roman"/>
        </w:rPr>
        <w:t xml:space="preserve">The eligibility period is usually 4, 6 or 12 months, set by the local department based on the family’s circumstances. </w:t>
      </w:r>
    </w:p>
    <w:p w14:paraId="69F23FD9" w14:textId="017B8367" w:rsidR="004705C8" w:rsidRPr="004A0C12" w:rsidRDefault="004705C8" w:rsidP="00232F09">
      <w:pPr>
        <w:widowControl w:val="0"/>
        <w:numPr>
          <w:ilvl w:val="0"/>
          <w:numId w:val="181"/>
        </w:numPr>
        <w:spacing w:after="0" w:line="240" w:lineRule="auto"/>
        <w:jc w:val="both"/>
        <w:rPr>
          <w:rFonts w:ascii="Garamond" w:hAnsi="Garamond" w:cs="Times New Roman"/>
        </w:rPr>
      </w:pPr>
      <w:r w:rsidRPr="004A0C12">
        <w:rPr>
          <w:rFonts w:ascii="Garamond" w:hAnsi="Garamond" w:cs="Times New Roman"/>
        </w:rPr>
        <w:t>Room and Board Payments:  Maryland opts to use its flexibility in determining assistance unit composition and benefit levels to pay a Room and Board Rate to certain families where either the adult or dependent 19 year old student is not in the assistance unit, yet the family as</w:t>
      </w:r>
      <w:r w:rsidR="00F343F2" w:rsidRPr="004A0C12">
        <w:rPr>
          <w:rFonts w:ascii="Garamond" w:hAnsi="Garamond" w:cs="Times New Roman"/>
        </w:rPr>
        <w:t xml:space="preserve"> a whole has demonstrated need.</w:t>
      </w:r>
      <w:r w:rsidRPr="004A0C12">
        <w:rPr>
          <w:rFonts w:ascii="Garamond" w:hAnsi="Garamond" w:cs="Times New Roman"/>
        </w:rPr>
        <w:t xml:space="preserve"> This option recognizes that Maryland pays a benefit that combined with the Food Supplement Program equals only 61 percent of the State’s Minimum Living Level</w:t>
      </w:r>
      <w:r w:rsidR="00F343F2" w:rsidRPr="004A0C12">
        <w:rPr>
          <w:rFonts w:ascii="Garamond" w:hAnsi="Garamond" w:cs="Times New Roman"/>
        </w:rPr>
        <w:t>,</w:t>
      </w:r>
      <w:r w:rsidRPr="004A0C12">
        <w:rPr>
          <w:rFonts w:ascii="Garamond" w:hAnsi="Garamond" w:cs="Times New Roman"/>
        </w:rPr>
        <w:t xml:space="preserve"> and that the adults in these families do not have the resources themselves to meet the needs </w:t>
      </w:r>
      <w:r w:rsidR="00F343F2" w:rsidRPr="004A0C12">
        <w:rPr>
          <w:rFonts w:ascii="Garamond" w:hAnsi="Garamond" w:cs="Times New Roman"/>
        </w:rPr>
        <w:t xml:space="preserve">of the children in their care. </w:t>
      </w:r>
      <w:r w:rsidRPr="004A0C12">
        <w:rPr>
          <w:rFonts w:ascii="Garamond" w:hAnsi="Garamond" w:cs="Times New Roman"/>
        </w:rPr>
        <w:t>These families are:</w:t>
      </w:r>
    </w:p>
    <w:p w14:paraId="0D884472" w14:textId="53546810" w:rsidR="004705C8" w:rsidRPr="004A0C12" w:rsidRDefault="004705C8" w:rsidP="00232F09">
      <w:pPr>
        <w:widowControl w:val="0"/>
        <w:numPr>
          <w:ilvl w:val="1"/>
          <w:numId w:val="179"/>
        </w:numPr>
        <w:tabs>
          <w:tab w:val="clear" w:pos="1440"/>
          <w:tab w:val="num" w:pos="1080"/>
        </w:tabs>
        <w:spacing w:after="0" w:line="240" w:lineRule="auto"/>
        <w:ind w:left="1080"/>
        <w:jc w:val="both"/>
        <w:rPr>
          <w:rFonts w:ascii="Garamond" w:hAnsi="Garamond" w:cs="Times New Roman"/>
        </w:rPr>
      </w:pPr>
      <w:r w:rsidRPr="004A0C12">
        <w:rPr>
          <w:rFonts w:ascii="Garamond" w:hAnsi="Garamond" w:cs="Times New Roman"/>
        </w:rPr>
        <w:t xml:space="preserve">Families with a child cared for </w:t>
      </w:r>
      <w:r w:rsidR="00F343F2" w:rsidRPr="004A0C12">
        <w:rPr>
          <w:rFonts w:ascii="Garamond" w:hAnsi="Garamond" w:cs="Times New Roman"/>
        </w:rPr>
        <w:t xml:space="preserve">by a non-parent relative who has demonstrated need and has </w:t>
      </w:r>
      <w:r w:rsidRPr="004A0C12">
        <w:rPr>
          <w:rFonts w:ascii="Garamond" w:hAnsi="Garamond" w:cs="Times New Roman"/>
        </w:rPr>
        <w:t xml:space="preserve">no dependent children of his or her own in the assistance unit where the non-parent caretaker relative is not eligible </w:t>
      </w:r>
      <w:r w:rsidR="00F343F2" w:rsidRPr="004A0C12">
        <w:rPr>
          <w:rFonts w:ascii="Garamond" w:hAnsi="Garamond" w:cs="Times New Roman"/>
        </w:rPr>
        <w:t>for assistance under this plan;</w:t>
      </w:r>
    </w:p>
    <w:p w14:paraId="3FB6905F" w14:textId="6C951545" w:rsidR="004705C8" w:rsidRPr="004A0C12" w:rsidRDefault="004705C8" w:rsidP="00232F09">
      <w:pPr>
        <w:widowControl w:val="0"/>
        <w:numPr>
          <w:ilvl w:val="1"/>
          <w:numId w:val="179"/>
        </w:numPr>
        <w:tabs>
          <w:tab w:val="clear" w:pos="1440"/>
          <w:tab w:val="num" w:pos="1080"/>
        </w:tabs>
        <w:spacing w:after="0" w:line="240" w:lineRule="auto"/>
        <w:ind w:left="1080"/>
        <w:jc w:val="both"/>
        <w:rPr>
          <w:rFonts w:ascii="Garamond" w:hAnsi="Garamond" w:cs="Times New Roman"/>
        </w:rPr>
      </w:pPr>
      <w:r w:rsidRPr="004A0C12">
        <w:rPr>
          <w:rFonts w:ascii="Garamond" w:hAnsi="Garamond" w:cs="Times New Roman"/>
        </w:rPr>
        <w:t>Families where there are qualified immigrant adults and children (admitted to the country on or after August 22, 1996) who are not eligible under federal law and meet all other TCA eligibility requirements where the adults would be eligible exce</w:t>
      </w:r>
      <w:r w:rsidR="00F343F2" w:rsidRPr="004A0C12">
        <w:rPr>
          <w:rFonts w:ascii="Garamond" w:hAnsi="Garamond" w:cs="Times New Roman"/>
        </w:rPr>
        <w:t>pt for their immigration status;</w:t>
      </w:r>
    </w:p>
    <w:p w14:paraId="59CD66E0" w14:textId="62D425CC" w:rsidR="004705C8" w:rsidRPr="004A0C12" w:rsidRDefault="004705C8" w:rsidP="00232F09">
      <w:pPr>
        <w:widowControl w:val="0"/>
        <w:numPr>
          <w:ilvl w:val="1"/>
          <w:numId w:val="179"/>
        </w:numPr>
        <w:tabs>
          <w:tab w:val="clear" w:pos="1440"/>
          <w:tab w:val="num" w:pos="1080"/>
        </w:tabs>
        <w:spacing w:after="0" w:line="240" w:lineRule="auto"/>
        <w:ind w:left="1080"/>
        <w:jc w:val="both"/>
        <w:rPr>
          <w:rFonts w:ascii="Garamond" w:hAnsi="Garamond" w:cs="Times New Roman"/>
        </w:rPr>
      </w:pPr>
      <w:r w:rsidRPr="004A0C12">
        <w:rPr>
          <w:rFonts w:ascii="Garamond" w:hAnsi="Garamond" w:cs="Times New Roman"/>
        </w:rPr>
        <w:lastRenderedPageBreak/>
        <w:t xml:space="preserve">A 19 year old child who is a full time student in a secondary school or an equivalent program and expected to graduate in the year the child turns 19 and whose family has demonstrated that their income is insufficient to meet the needs of the </w:t>
      </w:r>
      <w:r w:rsidR="00F343F2" w:rsidRPr="004A0C12">
        <w:rPr>
          <w:rFonts w:ascii="Garamond" w:hAnsi="Garamond" w:cs="Times New Roman"/>
        </w:rPr>
        <w:t xml:space="preserve">19 year old dependent student. </w:t>
      </w:r>
      <w:r w:rsidRPr="004A0C12">
        <w:rPr>
          <w:rFonts w:ascii="Garamond" w:hAnsi="Garamond" w:cs="Times New Roman"/>
        </w:rPr>
        <w:t xml:space="preserve">The child’s eligibility for a room and board payment ends the month after the month of graduation.  </w:t>
      </w:r>
    </w:p>
    <w:p w14:paraId="37F07B76" w14:textId="77777777" w:rsidR="004705C8" w:rsidRPr="004A0C12" w:rsidRDefault="004705C8" w:rsidP="004705C8">
      <w:pPr>
        <w:widowControl w:val="0"/>
        <w:spacing w:after="0" w:line="240" w:lineRule="auto"/>
        <w:ind w:left="1080"/>
        <w:jc w:val="both"/>
        <w:rPr>
          <w:rFonts w:ascii="Garamond" w:hAnsi="Garamond" w:cs="Times New Roman"/>
        </w:rPr>
      </w:pPr>
    </w:p>
    <w:p w14:paraId="0590CC70" w14:textId="77777777" w:rsidR="00902C29" w:rsidRPr="00536320" w:rsidRDefault="00F343F2" w:rsidP="00474E87">
      <w:pPr>
        <w:widowControl w:val="0"/>
        <w:tabs>
          <w:tab w:val="left" w:pos="-1440"/>
        </w:tabs>
        <w:snapToGrid w:val="0"/>
        <w:spacing w:after="0" w:line="240" w:lineRule="auto"/>
        <w:jc w:val="both"/>
        <w:rPr>
          <w:rFonts w:ascii="Garamond" w:hAnsi="Garamond" w:cs="Times New Roman"/>
          <w:sz w:val="24"/>
          <w:szCs w:val="24"/>
        </w:rPr>
      </w:pPr>
      <w:r w:rsidRPr="00536320">
        <w:rPr>
          <w:rStyle w:val="Heading4Char"/>
          <w:rFonts w:ascii="Garamond" w:hAnsi="Garamond"/>
          <w:sz w:val="24"/>
          <w:szCs w:val="24"/>
        </w:rPr>
        <w:t>Assets</w:t>
      </w:r>
    </w:p>
    <w:p w14:paraId="1FBD40C6" w14:textId="1EFF96AB" w:rsidR="004705C8" w:rsidRPr="004A0C12" w:rsidRDefault="004705C8" w:rsidP="00474E87">
      <w:pPr>
        <w:widowControl w:val="0"/>
        <w:tabs>
          <w:tab w:val="left" w:pos="-1440"/>
        </w:tabs>
        <w:snapToGrid w:val="0"/>
        <w:spacing w:after="0" w:line="240" w:lineRule="auto"/>
        <w:jc w:val="both"/>
        <w:rPr>
          <w:rFonts w:ascii="Garamond" w:hAnsi="Garamond" w:cs="Times New Roman"/>
        </w:rPr>
      </w:pPr>
      <w:r w:rsidRPr="004A0C12">
        <w:rPr>
          <w:rFonts w:ascii="Garamond" w:hAnsi="Garamond" w:cs="Times New Roman"/>
        </w:rPr>
        <w:t>Effective May 1, 2010, the State of Maryland chose to exclude all assets for the financial determination of TCA benefits.</w:t>
      </w:r>
    </w:p>
    <w:p w14:paraId="3A6ABCC7" w14:textId="77777777" w:rsidR="004705C8" w:rsidRPr="00536320" w:rsidRDefault="004705C8" w:rsidP="004705C8">
      <w:pPr>
        <w:widowControl w:val="0"/>
        <w:tabs>
          <w:tab w:val="left" w:pos="-1440"/>
        </w:tabs>
        <w:snapToGrid w:val="0"/>
        <w:spacing w:after="0" w:line="240" w:lineRule="auto"/>
        <w:ind w:left="360"/>
        <w:jc w:val="both"/>
        <w:rPr>
          <w:rFonts w:ascii="Garamond" w:hAnsi="Garamond" w:cs="Times New Roman"/>
          <w:sz w:val="24"/>
        </w:rPr>
      </w:pPr>
    </w:p>
    <w:p w14:paraId="4AE79B9B" w14:textId="77777777" w:rsidR="00902C29" w:rsidRPr="00536320" w:rsidRDefault="00F343F2" w:rsidP="00474E87">
      <w:pPr>
        <w:widowControl w:val="0"/>
        <w:tabs>
          <w:tab w:val="left" w:pos="-1440"/>
        </w:tabs>
        <w:spacing w:after="0" w:line="240" w:lineRule="auto"/>
        <w:contextualSpacing/>
        <w:jc w:val="both"/>
        <w:rPr>
          <w:rFonts w:ascii="Garamond" w:hAnsi="Garamond" w:cs="Times New Roman"/>
          <w:sz w:val="24"/>
        </w:rPr>
      </w:pPr>
      <w:r w:rsidRPr="00536320">
        <w:rPr>
          <w:rStyle w:val="Heading4Char"/>
          <w:rFonts w:ascii="Garamond" w:hAnsi="Garamond"/>
          <w:sz w:val="24"/>
        </w:rPr>
        <w:t>Medical Assistance Extensions</w:t>
      </w:r>
    </w:p>
    <w:p w14:paraId="2BD8F7C2" w14:textId="324971C3" w:rsidR="004705C8" w:rsidRPr="004A0C12" w:rsidRDefault="004705C8" w:rsidP="00474E87">
      <w:pPr>
        <w:widowControl w:val="0"/>
        <w:tabs>
          <w:tab w:val="left" w:pos="-1440"/>
        </w:tabs>
        <w:spacing w:after="0" w:line="240" w:lineRule="auto"/>
        <w:contextualSpacing/>
        <w:jc w:val="both"/>
        <w:rPr>
          <w:rFonts w:ascii="Garamond" w:hAnsi="Garamond" w:cs="Times New Roman"/>
        </w:rPr>
      </w:pPr>
      <w:r w:rsidRPr="004A0C12">
        <w:rPr>
          <w:rFonts w:ascii="Garamond" w:hAnsi="Garamond" w:cs="Times New Roman"/>
        </w:rPr>
        <w:t>Families determined eligible for TCA benefits are eligible for Medical Assis</w:t>
      </w:r>
      <w:r w:rsidR="00F343F2" w:rsidRPr="004A0C12">
        <w:rPr>
          <w:rFonts w:ascii="Garamond" w:hAnsi="Garamond" w:cs="Times New Roman"/>
        </w:rPr>
        <w:t xml:space="preserve">tance coverage. </w:t>
      </w:r>
      <w:r w:rsidRPr="004A0C12">
        <w:rPr>
          <w:rFonts w:ascii="Garamond" w:hAnsi="Garamond" w:cs="Times New Roman"/>
        </w:rPr>
        <w:t>Working families</w:t>
      </w:r>
      <w:r w:rsidR="0023358F" w:rsidRPr="004A0C12">
        <w:rPr>
          <w:rFonts w:ascii="Garamond" w:hAnsi="Garamond" w:cs="Times New Roman"/>
        </w:rPr>
        <w:t>,</w:t>
      </w:r>
      <w:r w:rsidRPr="004A0C12">
        <w:rPr>
          <w:rFonts w:ascii="Garamond" w:hAnsi="Garamond" w:cs="Times New Roman"/>
        </w:rPr>
        <w:t xml:space="preserve"> who received TCA in at least 3 of the 6 months pri</w:t>
      </w:r>
      <w:r w:rsidR="0023358F" w:rsidRPr="004A0C12">
        <w:rPr>
          <w:rFonts w:ascii="Garamond" w:hAnsi="Garamond" w:cs="Times New Roman"/>
        </w:rPr>
        <w:t>or to their TCA case closing and</w:t>
      </w:r>
      <w:r w:rsidRPr="004A0C12">
        <w:rPr>
          <w:rFonts w:ascii="Garamond" w:hAnsi="Garamond" w:cs="Times New Roman"/>
        </w:rPr>
        <w:t xml:space="preserve"> </w:t>
      </w:r>
      <w:r w:rsidR="0023358F" w:rsidRPr="004A0C12">
        <w:rPr>
          <w:rFonts w:ascii="Garamond" w:hAnsi="Garamond" w:cs="Times New Roman"/>
        </w:rPr>
        <w:t>are</w:t>
      </w:r>
      <w:r w:rsidRPr="004A0C12">
        <w:rPr>
          <w:rFonts w:ascii="Garamond" w:hAnsi="Garamond" w:cs="Times New Roman"/>
        </w:rPr>
        <w:t xml:space="preserve"> ineligible for a TCA benefit because of increased earned</w:t>
      </w:r>
      <w:r w:rsidRPr="004A0C12">
        <w:rPr>
          <w:rFonts w:ascii="Garamond" w:hAnsi="Garamond" w:cs="Times New Roman"/>
          <w:b/>
        </w:rPr>
        <w:t xml:space="preserve"> </w:t>
      </w:r>
      <w:r w:rsidRPr="004A0C12">
        <w:rPr>
          <w:rFonts w:ascii="Garamond" w:hAnsi="Garamond" w:cs="Times New Roman"/>
        </w:rPr>
        <w:t>income</w:t>
      </w:r>
      <w:r w:rsidR="0023358F" w:rsidRPr="004A0C12">
        <w:rPr>
          <w:rFonts w:ascii="Garamond" w:hAnsi="Garamond" w:cs="Times New Roman"/>
        </w:rPr>
        <w:t>,</w:t>
      </w:r>
      <w:r w:rsidRPr="004A0C12">
        <w:rPr>
          <w:rFonts w:ascii="Garamond" w:hAnsi="Garamond" w:cs="Times New Roman"/>
        </w:rPr>
        <w:t xml:space="preserve"> are eligible to receive medical assistance for an additional 4 month</w:t>
      </w:r>
      <w:r w:rsidR="0023358F" w:rsidRPr="004A0C12">
        <w:rPr>
          <w:rFonts w:ascii="Garamond" w:hAnsi="Garamond" w:cs="Times New Roman"/>
        </w:rPr>
        <w:t xml:space="preserve">s. </w:t>
      </w:r>
      <w:r w:rsidRPr="004A0C12">
        <w:rPr>
          <w:rFonts w:ascii="Garamond" w:hAnsi="Garamond" w:cs="Times New Roman"/>
        </w:rPr>
        <w:t>At that time</w:t>
      </w:r>
      <w:r w:rsidR="0023358F" w:rsidRPr="004A0C12">
        <w:rPr>
          <w:rFonts w:ascii="Garamond" w:hAnsi="Garamond" w:cs="Times New Roman"/>
        </w:rPr>
        <w:t>,</w:t>
      </w:r>
      <w:r w:rsidRPr="004A0C12">
        <w:rPr>
          <w:rFonts w:ascii="Garamond" w:hAnsi="Garamond" w:cs="Times New Roman"/>
        </w:rPr>
        <w:t xml:space="preserve"> their eligibility must be re</w:t>
      </w:r>
      <w:r w:rsidR="0023358F" w:rsidRPr="004A0C12">
        <w:rPr>
          <w:rFonts w:ascii="Garamond" w:hAnsi="Garamond" w:cs="Times New Roman"/>
        </w:rPr>
        <w:t xml:space="preserve">-determined. </w:t>
      </w:r>
      <w:r w:rsidRPr="004A0C12">
        <w:rPr>
          <w:rFonts w:ascii="Garamond" w:hAnsi="Garamond" w:cs="Times New Roman"/>
        </w:rPr>
        <w:t xml:space="preserve">They are also eligible for child care based on the caretaker relative's income, as long as the family </w:t>
      </w:r>
      <w:r w:rsidR="0023358F" w:rsidRPr="004A0C12">
        <w:rPr>
          <w:rFonts w:ascii="Garamond" w:hAnsi="Garamond" w:cs="Times New Roman"/>
        </w:rPr>
        <w:t>has a child under age thirteen.</w:t>
      </w:r>
      <w:r w:rsidRPr="004A0C12">
        <w:rPr>
          <w:rFonts w:ascii="Garamond" w:hAnsi="Garamond" w:cs="Times New Roman"/>
        </w:rPr>
        <w:t xml:space="preserve"> Families who become ineligible for TCA solely because of increased collection of child support are eligible for 4 additional months of medical assistance.</w:t>
      </w:r>
      <w:r w:rsidR="0023358F" w:rsidRPr="004A0C12">
        <w:rPr>
          <w:rFonts w:ascii="Garamond" w:hAnsi="Garamond" w:cs="Times New Roman"/>
        </w:rPr>
        <w:t xml:space="preserve"> Legal Permanent Residents, </w:t>
      </w:r>
      <w:r w:rsidRPr="004A0C12">
        <w:rPr>
          <w:rFonts w:ascii="Garamond" w:hAnsi="Garamond" w:cs="Times New Roman"/>
        </w:rPr>
        <w:t>who have not been in the U</w:t>
      </w:r>
      <w:r w:rsidR="0023358F" w:rsidRPr="004A0C12">
        <w:rPr>
          <w:rFonts w:ascii="Garamond" w:hAnsi="Garamond" w:cs="Times New Roman"/>
        </w:rPr>
        <w:t>.</w:t>
      </w:r>
      <w:r w:rsidRPr="004A0C12">
        <w:rPr>
          <w:rFonts w:ascii="Garamond" w:hAnsi="Garamond" w:cs="Times New Roman"/>
        </w:rPr>
        <w:t>S</w:t>
      </w:r>
      <w:r w:rsidR="0023358F" w:rsidRPr="004A0C12">
        <w:rPr>
          <w:rFonts w:ascii="Garamond" w:hAnsi="Garamond" w:cs="Times New Roman"/>
        </w:rPr>
        <w:t>.</w:t>
      </w:r>
      <w:r w:rsidRPr="004A0C12">
        <w:rPr>
          <w:rFonts w:ascii="Garamond" w:hAnsi="Garamond" w:cs="Times New Roman"/>
        </w:rPr>
        <w:t xml:space="preserve"> for five years</w:t>
      </w:r>
      <w:r w:rsidR="0023358F" w:rsidRPr="004A0C12">
        <w:rPr>
          <w:rFonts w:ascii="Garamond" w:hAnsi="Garamond" w:cs="Times New Roman"/>
        </w:rPr>
        <w:t>,</w:t>
      </w:r>
      <w:r w:rsidRPr="004A0C12">
        <w:rPr>
          <w:rFonts w:ascii="Garamond" w:hAnsi="Garamond" w:cs="Times New Roman"/>
        </w:rPr>
        <w:t xml:space="preserve"> are not eligible for the extension of medical </w:t>
      </w:r>
      <w:r w:rsidR="0023358F" w:rsidRPr="004A0C12">
        <w:rPr>
          <w:rFonts w:ascii="Garamond" w:hAnsi="Garamond" w:cs="Times New Roman"/>
        </w:rPr>
        <w:t>assistance when their TCA ends.</w:t>
      </w:r>
      <w:r w:rsidRPr="004A0C12">
        <w:rPr>
          <w:rFonts w:ascii="Garamond" w:hAnsi="Garamond" w:cs="Times New Roman"/>
        </w:rPr>
        <w:t xml:space="preserve"> They may be eligible for coverage for the cost of emergency care on a case by case basis</w:t>
      </w:r>
      <w:r w:rsidR="0023358F" w:rsidRPr="004A0C12">
        <w:rPr>
          <w:rFonts w:ascii="Garamond" w:hAnsi="Garamond" w:cs="Times New Roman"/>
        </w:rPr>
        <w:t>;</w:t>
      </w:r>
      <w:r w:rsidRPr="004A0C12">
        <w:rPr>
          <w:rFonts w:ascii="Garamond" w:hAnsi="Garamond" w:cs="Times New Roman"/>
        </w:rPr>
        <w:t xml:space="preserve"> or</w:t>
      </w:r>
      <w:r w:rsidR="0023358F" w:rsidRPr="004A0C12">
        <w:rPr>
          <w:rFonts w:ascii="Garamond" w:hAnsi="Garamond" w:cs="Times New Roman"/>
        </w:rPr>
        <w:t>,</w:t>
      </w:r>
      <w:r w:rsidRPr="004A0C12">
        <w:rPr>
          <w:rFonts w:ascii="Garamond" w:hAnsi="Garamond" w:cs="Times New Roman"/>
        </w:rPr>
        <w:t xml:space="preserve"> if the immigrant is pregnant, they may be eligible for coverage for labor and delivery costs. T</w:t>
      </w:r>
      <w:r w:rsidR="0023358F" w:rsidRPr="004A0C12">
        <w:rPr>
          <w:rFonts w:ascii="Garamond" w:hAnsi="Garamond" w:cs="Times New Roman"/>
        </w:rPr>
        <w:t>his is a Medical Assistance</w:t>
      </w:r>
      <w:r w:rsidRPr="004A0C12">
        <w:rPr>
          <w:rFonts w:ascii="Garamond" w:hAnsi="Garamond" w:cs="Times New Roman"/>
        </w:rPr>
        <w:t xml:space="preserve"> category of assistance that is non-MOE and has no federal TANF money included.</w:t>
      </w:r>
    </w:p>
    <w:p w14:paraId="390769A5" w14:textId="77777777" w:rsidR="00474E87" w:rsidRPr="004A0C12" w:rsidRDefault="00474E87" w:rsidP="00474E87">
      <w:pPr>
        <w:widowControl w:val="0"/>
        <w:tabs>
          <w:tab w:val="left" w:pos="-1440"/>
        </w:tabs>
        <w:spacing w:after="0" w:line="240" w:lineRule="auto"/>
        <w:contextualSpacing/>
        <w:jc w:val="both"/>
        <w:rPr>
          <w:rFonts w:ascii="Garamond" w:hAnsi="Garamond" w:cs="Times New Roman"/>
        </w:rPr>
      </w:pPr>
    </w:p>
    <w:p w14:paraId="6C6CBF39" w14:textId="36F79B00" w:rsidR="00474E87" w:rsidRPr="004A0C12" w:rsidRDefault="00592908" w:rsidP="00474E87">
      <w:pPr>
        <w:widowControl w:val="0"/>
        <w:tabs>
          <w:tab w:val="left" w:pos="-1440"/>
        </w:tabs>
        <w:spacing w:after="0" w:line="240" w:lineRule="auto"/>
        <w:contextualSpacing/>
        <w:jc w:val="both"/>
        <w:rPr>
          <w:rFonts w:ascii="Garamond" w:hAnsi="Garamond" w:cs="Times New Roman"/>
        </w:rPr>
      </w:pPr>
      <w:r w:rsidRPr="004A0C12">
        <w:rPr>
          <w:rFonts w:ascii="Garamond" w:hAnsi="Garamond" w:cs="Times New Roman"/>
        </w:rPr>
        <w:t>I</w:t>
      </w:r>
      <w:r w:rsidR="00474E87" w:rsidRPr="004A0C12">
        <w:rPr>
          <w:rFonts w:ascii="Garamond" w:hAnsi="Garamond" w:cs="Times New Roman"/>
        </w:rPr>
        <w:t>n order to receive assistance, individuals convicted of drug-related felonies must agree to random drug testing and treatment if necessary. Individuals who fail to comply with drug testing or</w:t>
      </w:r>
      <w:r w:rsidR="001D4BB8" w:rsidRPr="004A0C12">
        <w:rPr>
          <w:rFonts w:ascii="Garamond" w:hAnsi="Garamond" w:cs="Times New Roman"/>
        </w:rPr>
        <w:t xml:space="preserve"> treatment are denied TCA and Food Supplement Program</w:t>
      </w:r>
      <w:r w:rsidR="00474E87" w:rsidRPr="004A0C12">
        <w:rPr>
          <w:rFonts w:ascii="Garamond" w:hAnsi="Garamond" w:cs="Times New Roman"/>
        </w:rPr>
        <w:t xml:space="preserve"> benefits. Individuals convicted of a drug felony involving possession or distribution after receiving assistance are ineligible for TCA and F</w:t>
      </w:r>
      <w:r w:rsidR="001D4BB8" w:rsidRPr="004A0C12">
        <w:rPr>
          <w:rFonts w:ascii="Garamond" w:hAnsi="Garamond" w:cs="Times New Roman"/>
        </w:rPr>
        <w:t xml:space="preserve">ood Supplement Program </w:t>
      </w:r>
      <w:r w:rsidR="00474E87" w:rsidRPr="004A0C12">
        <w:rPr>
          <w:rFonts w:ascii="Garamond" w:hAnsi="Garamond" w:cs="Times New Roman"/>
        </w:rPr>
        <w:t xml:space="preserve">for one year from the date of conviction and are subject to substance abuse testing for a period of two years from the date of: </w:t>
      </w:r>
    </w:p>
    <w:p w14:paraId="3DA5A2AC" w14:textId="77777777" w:rsidR="004705C8" w:rsidRPr="004A0C12" w:rsidRDefault="004705C8" w:rsidP="004705C8">
      <w:pPr>
        <w:widowControl w:val="0"/>
        <w:tabs>
          <w:tab w:val="left" w:pos="-1440"/>
        </w:tabs>
        <w:spacing w:after="0" w:line="240" w:lineRule="auto"/>
        <w:ind w:left="360"/>
        <w:jc w:val="both"/>
        <w:rPr>
          <w:rFonts w:ascii="Garamond" w:hAnsi="Garamond" w:cs="Times New Roman"/>
        </w:rPr>
      </w:pPr>
    </w:p>
    <w:p w14:paraId="183FB4FD" w14:textId="7380AA7F" w:rsidR="0023358F" w:rsidRPr="004A0C12" w:rsidRDefault="00592908" w:rsidP="00232F09">
      <w:pPr>
        <w:pStyle w:val="BodyTextIndent2"/>
        <w:numPr>
          <w:ilvl w:val="0"/>
          <w:numId w:val="281"/>
        </w:numPr>
        <w:jc w:val="both"/>
        <w:rPr>
          <w:rFonts w:ascii="Garamond" w:hAnsi="Garamond"/>
          <w:sz w:val="22"/>
          <w:szCs w:val="22"/>
        </w:rPr>
      </w:pPr>
      <w:r w:rsidRPr="004A0C12">
        <w:rPr>
          <w:rFonts w:ascii="Garamond" w:hAnsi="Garamond"/>
          <w:sz w:val="22"/>
          <w:szCs w:val="22"/>
        </w:rPr>
        <w:t>Release from incarceration</w:t>
      </w:r>
    </w:p>
    <w:p w14:paraId="0D91F68E" w14:textId="4B16A66F" w:rsidR="0023358F" w:rsidRPr="004A0C12" w:rsidRDefault="00592908" w:rsidP="00232F09">
      <w:pPr>
        <w:pStyle w:val="BodyTextIndent2"/>
        <w:numPr>
          <w:ilvl w:val="0"/>
          <w:numId w:val="281"/>
        </w:numPr>
        <w:jc w:val="both"/>
        <w:rPr>
          <w:rFonts w:ascii="Garamond" w:hAnsi="Garamond"/>
          <w:sz w:val="22"/>
          <w:szCs w:val="22"/>
        </w:rPr>
      </w:pPr>
      <w:r w:rsidRPr="004A0C12">
        <w:rPr>
          <w:rFonts w:ascii="Garamond" w:hAnsi="Garamond"/>
          <w:sz w:val="22"/>
          <w:szCs w:val="22"/>
        </w:rPr>
        <w:t>Completion of probation</w:t>
      </w:r>
    </w:p>
    <w:p w14:paraId="2A8F55F3" w14:textId="3EFBDFBE" w:rsidR="004705C8" w:rsidRPr="004A0C12" w:rsidRDefault="004705C8" w:rsidP="00232F09">
      <w:pPr>
        <w:pStyle w:val="BodyTextIndent2"/>
        <w:numPr>
          <w:ilvl w:val="0"/>
          <w:numId w:val="281"/>
        </w:numPr>
        <w:jc w:val="both"/>
        <w:rPr>
          <w:rFonts w:ascii="Garamond" w:hAnsi="Garamond"/>
          <w:sz w:val="22"/>
          <w:szCs w:val="22"/>
        </w:rPr>
      </w:pPr>
      <w:r w:rsidRPr="004A0C12">
        <w:rPr>
          <w:rFonts w:ascii="Garamond" w:hAnsi="Garamond"/>
          <w:sz w:val="22"/>
          <w:szCs w:val="22"/>
        </w:rPr>
        <w:t xml:space="preserve">Completion of parole or mandatory supervision </w:t>
      </w:r>
    </w:p>
    <w:p w14:paraId="77E13576" w14:textId="77777777" w:rsidR="0023358F" w:rsidRPr="00536320" w:rsidRDefault="0023358F" w:rsidP="0023358F">
      <w:pPr>
        <w:widowControl w:val="0"/>
        <w:tabs>
          <w:tab w:val="left" w:pos="-1440"/>
          <w:tab w:val="left" w:pos="360"/>
        </w:tabs>
        <w:spacing w:after="0" w:line="240" w:lineRule="auto"/>
        <w:jc w:val="both"/>
        <w:rPr>
          <w:rFonts w:ascii="Garamond" w:eastAsia="Times New Roman" w:hAnsi="Garamond" w:cs="Times New Roman"/>
          <w:snapToGrid w:val="0"/>
          <w:sz w:val="24"/>
        </w:rPr>
      </w:pPr>
    </w:p>
    <w:p w14:paraId="36A31C64" w14:textId="77777777" w:rsidR="00902C29" w:rsidRPr="00536320" w:rsidRDefault="004705C8" w:rsidP="0023358F">
      <w:pPr>
        <w:widowControl w:val="0"/>
        <w:tabs>
          <w:tab w:val="left" w:pos="-1440"/>
          <w:tab w:val="left" w:pos="360"/>
        </w:tabs>
        <w:spacing w:after="0" w:line="240" w:lineRule="auto"/>
        <w:jc w:val="both"/>
        <w:rPr>
          <w:rFonts w:ascii="Garamond" w:hAnsi="Garamond" w:cs="Times New Roman"/>
          <w:sz w:val="24"/>
        </w:rPr>
      </w:pPr>
      <w:r w:rsidRPr="00536320">
        <w:rPr>
          <w:rStyle w:val="Heading4Char"/>
          <w:rFonts w:ascii="Garamond" w:hAnsi="Garamond"/>
          <w:sz w:val="24"/>
        </w:rPr>
        <w:t>Sanctions for Noncompliance with Program Requirements</w:t>
      </w:r>
    </w:p>
    <w:p w14:paraId="7300A594" w14:textId="64546A5C" w:rsidR="004705C8" w:rsidRPr="004A0C12" w:rsidRDefault="004705C8" w:rsidP="0023358F">
      <w:pPr>
        <w:widowControl w:val="0"/>
        <w:tabs>
          <w:tab w:val="left" w:pos="-1440"/>
          <w:tab w:val="left" w:pos="360"/>
        </w:tabs>
        <w:spacing w:after="0" w:line="240" w:lineRule="auto"/>
        <w:jc w:val="both"/>
        <w:rPr>
          <w:rFonts w:ascii="Garamond" w:hAnsi="Garamond" w:cs="Times New Roman"/>
        </w:rPr>
      </w:pPr>
      <w:r w:rsidRPr="004A0C12">
        <w:rPr>
          <w:rFonts w:ascii="Garamond" w:hAnsi="Garamond" w:cs="Times New Roman"/>
        </w:rPr>
        <w:t xml:space="preserve">When an adult does not comply with program requirements, the entire </w:t>
      </w:r>
      <w:r w:rsidR="0023358F" w:rsidRPr="004A0C12">
        <w:rPr>
          <w:rFonts w:ascii="Garamond" w:hAnsi="Garamond" w:cs="Times New Roman"/>
        </w:rPr>
        <w:t xml:space="preserve">assistance unit </w:t>
      </w:r>
      <w:r w:rsidR="00592908" w:rsidRPr="004A0C12">
        <w:rPr>
          <w:rFonts w:ascii="Garamond" w:hAnsi="Garamond" w:cs="Times New Roman"/>
        </w:rPr>
        <w:t>becomes</w:t>
      </w:r>
      <w:r w:rsidR="0023358F" w:rsidRPr="004A0C12">
        <w:rPr>
          <w:rFonts w:ascii="Garamond" w:hAnsi="Garamond" w:cs="Times New Roman"/>
        </w:rPr>
        <w:t xml:space="preserve"> ineligible. The Family Investment Program</w:t>
      </w:r>
      <w:r w:rsidRPr="004A0C12">
        <w:rPr>
          <w:rFonts w:ascii="Garamond" w:hAnsi="Garamond" w:cs="Times New Roman"/>
        </w:rPr>
        <w:t xml:space="preserve"> case manager investigates the reasons for noncompliance and helps the individual comply by sending a letter to schedule a conciliation conference, and following up through telephone or personal contact to the ex</w:t>
      </w:r>
      <w:r w:rsidR="0023358F" w:rsidRPr="004A0C12">
        <w:rPr>
          <w:rFonts w:ascii="Garamond" w:hAnsi="Garamond" w:cs="Times New Roman"/>
        </w:rPr>
        <w:t xml:space="preserve">tent appropriate and feasible. </w:t>
      </w:r>
      <w:r w:rsidRPr="004A0C12">
        <w:rPr>
          <w:rFonts w:ascii="Garamond" w:hAnsi="Garamond" w:cs="Times New Roman"/>
        </w:rPr>
        <w:t>The first sanction is not imposed less than 30 days from the sta</w:t>
      </w:r>
      <w:r w:rsidR="0023358F" w:rsidRPr="004A0C12">
        <w:rPr>
          <w:rFonts w:ascii="Garamond" w:hAnsi="Garamond" w:cs="Times New Roman"/>
        </w:rPr>
        <w:t>rt of the conciliation process.</w:t>
      </w:r>
      <w:r w:rsidRPr="004A0C12">
        <w:rPr>
          <w:rFonts w:ascii="Garamond" w:hAnsi="Garamond" w:cs="Times New Roman"/>
        </w:rPr>
        <w:t xml:space="preserve"> For noncompliance with any program requirement other than a work activity, TCA is resumed upon compliance with the program requirement.  </w:t>
      </w:r>
    </w:p>
    <w:p w14:paraId="7ADD04D1" w14:textId="77777777" w:rsidR="004705C8" w:rsidRPr="004A0C12" w:rsidRDefault="004705C8" w:rsidP="004705C8">
      <w:pPr>
        <w:spacing w:after="0" w:line="240" w:lineRule="auto"/>
        <w:ind w:left="720" w:hanging="720"/>
        <w:jc w:val="both"/>
        <w:rPr>
          <w:rFonts w:ascii="Garamond" w:hAnsi="Garamond" w:cs="Times New Roman"/>
        </w:rPr>
      </w:pPr>
    </w:p>
    <w:p w14:paraId="0C0EAEE7" w14:textId="7AFD43AB" w:rsidR="004705C8" w:rsidRPr="004A0C12" w:rsidRDefault="004705C8" w:rsidP="0023358F">
      <w:pPr>
        <w:spacing w:after="0" w:line="240" w:lineRule="auto"/>
        <w:jc w:val="both"/>
        <w:rPr>
          <w:rFonts w:ascii="Garamond" w:hAnsi="Garamond" w:cs="Times New Roman"/>
        </w:rPr>
      </w:pPr>
      <w:r w:rsidRPr="004A0C12">
        <w:rPr>
          <w:rFonts w:ascii="Garamond" w:hAnsi="Garamond" w:cs="Times New Roman"/>
        </w:rPr>
        <w:t>When a 16-17 year old child</w:t>
      </w:r>
      <w:r w:rsidR="0023358F" w:rsidRPr="004A0C12">
        <w:rPr>
          <w:rFonts w:ascii="Garamond" w:hAnsi="Garamond" w:cs="Times New Roman"/>
        </w:rPr>
        <w:t>,</w:t>
      </w:r>
      <w:r w:rsidRPr="004A0C12">
        <w:rPr>
          <w:rFonts w:ascii="Garamond" w:hAnsi="Garamond" w:cs="Times New Roman"/>
        </w:rPr>
        <w:t xml:space="preserve"> who is not enrolled in school</w:t>
      </w:r>
      <w:r w:rsidR="0023358F" w:rsidRPr="004A0C12">
        <w:rPr>
          <w:rFonts w:ascii="Garamond" w:hAnsi="Garamond" w:cs="Times New Roman"/>
        </w:rPr>
        <w:t>,</w:t>
      </w:r>
      <w:r w:rsidRPr="004A0C12">
        <w:rPr>
          <w:rFonts w:ascii="Garamond" w:hAnsi="Garamond" w:cs="Times New Roman"/>
        </w:rPr>
        <w:t xml:space="preserve"> does not comply with a work activity, the child's needs are removed and the child remains a member of the assistance uni</w:t>
      </w:r>
      <w:r w:rsidR="0023358F" w:rsidRPr="004A0C12">
        <w:rPr>
          <w:rFonts w:ascii="Garamond" w:hAnsi="Garamond" w:cs="Times New Roman"/>
        </w:rPr>
        <w:t>t.</w:t>
      </w:r>
      <w:r w:rsidRPr="004A0C12">
        <w:rPr>
          <w:rFonts w:ascii="Garamond" w:hAnsi="Garamond" w:cs="Times New Roman"/>
        </w:rPr>
        <w:t xml:space="preserve"> The TCA grant for the family is therefore reduced by the child's incremental portion.  </w:t>
      </w:r>
    </w:p>
    <w:p w14:paraId="2A5899D4" w14:textId="77777777" w:rsidR="004705C8" w:rsidRPr="004A0C12" w:rsidRDefault="004705C8" w:rsidP="004705C8">
      <w:pPr>
        <w:spacing w:after="0" w:line="240" w:lineRule="auto"/>
        <w:ind w:left="360"/>
        <w:jc w:val="both"/>
        <w:rPr>
          <w:rFonts w:ascii="Garamond" w:hAnsi="Garamond" w:cs="Times New Roman"/>
          <w:b/>
        </w:rPr>
      </w:pPr>
    </w:p>
    <w:p w14:paraId="24121F8D" w14:textId="77777777" w:rsidR="004705C8" w:rsidRPr="004A0C12" w:rsidRDefault="004705C8" w:rsidP="0023358F">
      <w:pPr>
        <w:pStyle w:val="BodyTextIndent3"/>
        <w:ind w:left="0"/>
        <w:jc w:val="both"/>
        <w:rPr>
          <w:rFonts w:ascii="Garamond" w:hAnsi="Garamond"/>
          <w:sz w:val="22"/>
          <w:szCs w:val="22"/>
        </w:rPr>
      </w:pPr>
      <w:r w:rsidRPr="004A0C12">
        <w:rPr>
          <w:rFonts w:ascii="Garamond" w:hAnsi="Garamond"/>
          <w:sz w:val="22"/>
          <w:szCs w:val="22"/>
        </w:rPr>
        <w:t xml:space="preserve">For noncompliance with a work activity, TCA is resumed immediately upon compliance in the first instance of noncompliance, after 10 days of compliance with the work activity in the second instance or after 30 days of compliance with the work activity in any future instance.  </w:t>
      </w:r>
    </w:p>
    <w:p w14:paraId="246EA477" w14:textId="77777777" w:rsidR="001D4BB8" w:rsidRPr="004A0C12" w:rsidRDefault="001D4BB8" w:rsidP="0023358F">
      <w:pPr>
        <w:pStyle w:val="BodyTextIndent3"/>
        <w:ind w:left="0"/>
        <w:jc w:val="both"/>
        <w:rPr>
          <w:rFonts w:ascii="Garamond" w:hAnsi="Garamond"/>
          <w:sz w:val="22"/>
          <w:szCs w:val="22"/>
        </w:rPr>
      </w:pPr>
    </w:p>
    <w:p w14:paraId="182BD925" w14:textId="23BCFE25" w:rsidR="0023358F" w:rsidRPr="004A0C12" w:rsidRDefault="001D4BB8" w:rsidP="0023358F">
      <w:pPr>
        <w:pStyle w:val="BodyTextIndent3"/>
        <w:ind w:left="0"/>
        <w:jc w:val="both"/>
        <w:rPr>
          <w:rFonts w:ascii="Garamond" w:hAnsi="Garamond"/>
          <w:sz w:val="22"/>
          <w:szCs w:val="22"/>
        </w:rPr>
      </w:pPr>
      <w:r w:rsidRPr="004A0C12">
        <w:rPr>
          <w:rFonts w:ascii="Garamond" w:hAnsi="Garamond"/>
          <w:sz w:val="22"/>
          <w:szCs w:val="22"/>
        </w:rPr>
        <w:t>States may elect to allow Medical Assistance eligibility to adults who fail to comply with work requirements until compliance is met.</w:t>
      </w:r>
    </w:p>
    <w:p w14:paraId="0B6B0575" w14:textId="77777777" w:rsidR="001D4BB8" w:rsidRPr="004A0C12" w:rsidRDefault="001D4BB8" w:rsidP="0023358F">
      <w:pPr>
        <w:pStyle w:val="BodyTextIndent3"/>
        <w:ind w:left="0"/>
        <w:jc w:val="both"/>
        <w:rPr>
          <w:rFonts w:ascii="Garamond" w:hAnsi="Garamond"/>
          <w:sz w:val="22"/>
          <w:szCs w:val="22"/>
        </w:rPr>
      </w:pPr>
    </w:p>
    <w:p w14:paraId="65361650" w14:textId="75B0DEB4" w:rsidR="0023358F" w:rsidRPr="004A0C12" w:rsidRDefault="0023358F" w:rsidP="00DE1FFD">
      <w:pPr>
        <w:pStyle w:val="BodyTextIndent3"/>
        <w:ind w:left="0"/>
        <w:contextualSpacing/>
        <w:jc w:val="both"/>
        <w:rPr>
          <w:rFonts w:ascii="Garamond" w:hAnsi="Garamond"/>
          <w:sz w:val="22"/>
          <w:szCs w:val="22"/>
        </w:rPr>
      </w:pPr>
      <w:r w:rsidRPr="004A0C12">
        <w:rPr>
          <w:rFonts w:ascii="Garamond" w:hAnsi="Garamond"/>
          <w:sz w:val="22"/>
          <w:szCs w:val="22"/>
        </w:rPr>
        <w:t>For noncompliance with the requirem</w:t>
      </w:r>
      <w:r w:rsidR="001D4BB8" w:rsidRPr="004A0C12">
        <w:rPr>
          <w:rFonts w:ascii="Garamond" w:hAnsi="Garamond"/>
          <w:sz w:val="22"/>
          <w:szCs w:val="22"/>
        </w:rPr>
        <w:t>ent for prohibited use of an electronic benefits transfer</w:t>
      </w:r>
      <w:r w:rsidRPr="004A0C12">
        <w:rPr>
          <w:rFonts w:ascii="Garamond" w:hAnsi="Garamond"/>
          <w:sz w:val="22"/>
          <w:szCs w:val="22"/>
        </w:rPr>
        <w:t xml:space="preserve"> card for federally funded cash assistance programs, Maryland elects to warn recipients in violation the first time that their EBT card is in danger of bein</w:t>
      </w:r>
      <w:r w:rsidR="00DE1FFD" w:rsidRPr="004A0C12">
        <w:rPr>
          <w:rFonts w:ascii="Garamond" w:hAnsi="Garamond"/>
          <w:sz w:val="22"/>
          <w:szCs w:val="22"/>
        </w:rPr>
        <w:t>g revoked. After a s</w:t>
      </w:r>
      <w:r w:rsidR="001D4BB8" w:rsidRPr="004A0C12">
        <w:rPr>
          <w:rFonts w:ascii="Garamond" w:hAnsi="Garamond"/>
          <w:sz w:val="22"/>
          <w:szCs w:val="22"/>
        </w:rPr>
        <w:t xml:space="preserve">econd instance of using the electronic benefits transfer </w:t>
      </w:r>
      <w:r w:rsidR="00DE1FFD" w:rsidRPr="004A0C12">
        <w:rPr>
          <w:rFonts w:ascii="Garamond" w:hAnsi="Garamond"/>
          <w:sz w:val="22"/>
          <w:szCs w:val="22"/>
        </w:rPr>
        <w:t xml:space="preserve">card to access TCA benefits, it will be revoked. </w:t>
      </w:r>
    </w:p>
    <w:p w14:paraId="29AE2560" w14:textId="77777777" w:rsidR="00DE1FFD" w:rsidRPr="004A0C12" w:rsidRDefault="00DE1FFD" w:rsidP="00DE1FFD">
      <w:pPr>
        <w:pStyle w:val="BodyTextIndent3"/>
        <w:ind w:left="0"/>
        <w:contextualSpacing/>
        <w:jc w:val="both"/>
        <w:rPr>
          <w:rFonts w:ascii="Garamond" w:hAnsi="Garamond"/>
          <w:sz w:val="22"/>
          <w:szCs w:val="22"/>
        </w:rPr>
      </w:pPr>
    </w:p>
    <w:p w14:paraId="18DCAF5D" w14:textId="28BDDB45" w:rsidR="00DE1FFD" w:rsidRPr="004A0C12" w:rsidRDefault="001D4BB8" w:rsidP="00DE1FFD">
      <w:pPr>
        <w:pStyle w:val="BodyTextIndent3"/>
        <w:ind w:left="0"/>
        <w:contextualSpacing/>
        <w:jc w:val="both"/>
        <w:rPr>
          <w:rFonts w:ascii="Garamond" w:hAnsi="Garamond"/>
          <w:sz w:val="22"/>
          <w:szCs w:val="22"/>
        </w:rPr>
      </w:pPr>
      <w:r w:rsidRPr="004A0C12">
        <w:rPr>
          <w:rFonts w:ascii="Garamond" w:hAnsi="Garamond"/>
          <w:sz w:val="22"/>
          <w:szCs w:val="22"/>
        </w:rPr>
        <w:lastRenderedPageBreak/>
        <w:t xml:space="preserve">Recipients whose electronic benefits transfer </w:t>
      </w:r>
      <w:r w:rsidR="00DE1FFD" w:rsidRPr="004A0C12">
        <w:rPr>
          <w:rFonts w:ascii="Garamond" w:hAnsi="Garamond"/>
          <w:sz w:val="22"/>
          <w:szCs w:val="22"/>
        </w:rPr>
        <w:t xml:space="preserve">cards have been revoked will be required to either provide checking or savings account information for direct deposit of their assistance benefits, or accept a paper check. </w:t>
      </w:r>
    </w:p>
    <w:p w14:paraId="7856F535" w14:textId="77777777" w:rsidR="004705C8" w:rsidRPr="00307FCC" w:rsidRDefault="004705C8" w:rsidP="00DE1FFD">
      <w:pPr>
        <w:pStyle w:val="BodyTextIndent2"/>
        <w:ind w:left="0" w:firstLine="0"/>
        <w:jc w:val="both"/>
        <w:rPr>
          <w:rFonts w:ascii="Garamond" w:hAnsi="Garamond"/>
          <w:szCs w:val="22"/>
        </w:rPr>
      </w:pPr>
    </w:p>
    <w:p w14:paraId="4118F513" w14:textId="77777777" w:rsidR="00902C29" w:rsidRPr="00307FCC" w:rsidRDefault="00DE1FFD" w:rsidP="00DE1FFD">
      <w:pPr>
        <w:widowControl w:val="0"/>
        <w:tabs>
          <w:tab w:val="left" w:pos="-1440"/>
        </w:tabs>
        <w:spacing w:after="0" w:line="240" w:lineRule="auto"/>
        <w:jc w:val="both"/>
        <w:rPr>
          <w:rFonts w:ascii="Garamond" w:hAnsi="Garamond" w:cs="Times New Roman"/>
          <w:sz w:val="24"/>
        </w:rPr>
      </w:pPr>
      <w:r w:rsidRPr="00307FCC">
        <w:rPr>
          <w:rStyle w:val="Heading4Char"/>
          <w:rFonts w:ascii="Garamond" w:hAnsi="Garamond"/>
          <w:sz w:val="24"/>
        </w:rPr>
        <w:t>Sanctions for Fraud</w:t>
      </w:r>
    </w:p>
    <w:p w14:paraId="3B09E5F2" w14:textId="757EC186" w:rsidR="004705C8" w:rsidRPr="004A0C12" w:rsidRDefault="004705C8" w:rsidP="00DE1FFD">
      <w:pPr>
        <w:widowControl w:val="0"/>
        <w:tabs>
          <w:tab w:val="left" w:pos="-1440"/>
        </w:tabs>
        <w:spacing w:after="0" w:line="240" w:lineRule="auto"/>
        <w:jc w:val="both"/>
        <w:rPr>
          <w:rFonts w:ascii="Garamond" w:hAnsi="Garamond" w:cs="Times New Roman"/>
        </w:rPr>
      </w:pPr>
      <w:r w:rsidRPr="004A0C12">
        <w:rPr>
          <w:rFonts w:ascii="Garamond" w:hAnsi="Garamond" w:cs="Times New Roman"/>
        </w:rPr>
        <w:t>An assistance unit is ineligible upon a finding of fraud by a court of law for a period of 12 months after the first finding of fraud or until full repayment of any overpayment of TCA benefits, 24 months after the second finding of fraud or until full repayment of any overpayment of TCA benefits, and permanently after the third finding of fraud.</w:t>
      </w:r>
      <w:r w:rsidR="00DE1FFD" w:rsidRPr="004A0C12">
        <w:rPr>
          <w:rFonts w:ascii="Garamond" w:hAnsi="Garamond" w:cs="Times New Roman"/>
        </w:rPr>
        <w:t xml:space="preserve"> </w:t>
      </w:r>
      <w:r w:rsidRPr="004A0C12">
        <w:rPr>
          <w:rFonts w:ascii="Garamond" w:hAnsi="Garamond" w:cs="Times New Roman"/>
        </w:rPr>
        <w:t xml:space="preserve">Allegations of potential TCA fraud must be reported by any individual or entity working with the TCA program. </w:t>
      </w:r>
    </w:p>
    <w:p w14:paraId="05C739C7" w14:textId="77777777" w:rsidR="004705C8" w:rsidRPr="00307FCC" w:rsidRDefault="004705C8" w:rsidP="004705C8">
      <w:pPr>
        <w:widowControl w:val="0"/>
        <w:tabs>
          <w:tab w:val="left" w:pos="-1440"/>
        </w:tabs>
        <w:spacing w:after="0" w:line="240" w:lineRule="auto"/>
        <w:ind w:left="360"/>
        <w:jc w:val="both"/>
        <w:rPr>
          <w:rFonts w:ascii="Garamond" w:hAnsi="Garamond" w:cs="Times New Roman"/>
          <w:sz w:val="24"/>
        </w:rPr>
      </w:pPr>
    </w:p>
    <w:p w14:paraId="0A86D3A0" w14:textId="77777777" w:rsidR="00902C29" w:rsidRPr="00307FCC" w:rsidRDefault="004705C8" w:rsidP="00DE1FFD">
      <w:pPr>
        <w:widowControl w:val="0"/>
        <w:tabs>
          <w:tab w:val="left" w:pos="-1440"/>
        </w:tabs>
        <w:spacing w:after="0" w:line="240" w:lineRule="auto"/>
        <w:jc w:val="both"/>
        <w:rPr>
          <w:rFonts w:ascii="Garamond" w:hAnsi="Garamond" w:cs="Times New Roman"/>
          <w:sz w:val="24"/>
        </w:rPr>
      </w:pPr>
      <w:r w:rsidRPr="00307FCC">
        <w:rPr>
          <w:rStyle w:val="Heading4Char"/>
          <w:rFonts w:ascii="Garamond" w:hAnsi="Garamond"/>
          <w:sz w:val="24"/>
        </w:rPr>
        <w:t>Fraud Under Means-Tested Welfare</w:t>
      </w:r>
      <w:r w:rsidR="00DE1FFD" w:rsidRPr="00307FCC">
        <w:rPr>
          <w:rStyle w:val="Heading4Char"/>
          <w:rFonts w:ascii="Garamond" w:hAnsi="Garamond"/>
          <w:sz w:val="24"/>
        </w:rPr>
        <w:t xml:space="preserve"> and Public Assistance Programs</w:t>
      </w:r>
    </w:p>
    <w:p w14:paraId="470037FF" w14:textId="71714AB5" w:rsidR="004705C8" w:rsidRPr="004A0C12" w:rsidRDefault="004705C8" w:rsidP="00DE1FFD">
      <w:pPr>
        <w:widowControl w:val="0"/>
        <w:tabs>
          <w:tab w:val="left" w:pos="-1440"/>
        </w:tabs>
        <w:spacing w:after="0" w:line="240" w:lineRule="auto"/>
        <w:jc w:val="both"/>
        <w:rPr>
          <w:rFonts w:ascii="Garamond" w:hAnsi="Garamond" w:cs="Times New Roman"/>
        </w:rPr>
      </w:pPr>
      <w:r w:rsidRPr="004A0C12">
        <w:rPr>
          <w:rFonts w:ascii="Garamond" w:hAnsi="Garamond" w:cs="Times New Roman"/>
        </w:rPr>
        <w:t>If an individual's benefits under Federal, State, or local law relating to a means-tested welfare or a public assistance program are reduced because of an act of fraud by the individual under the law or program, the individual may not, for the duration of the reduction, receive an increased benefit under any other means-tested program.</w:t>
      </w:r>
    </w:p>
    <w:p w14:paraId="6E710E05" w14:textId="77777777" w:rsidR="004705C8" w:rsidRPr="004A0C12" w:rsidRDefault="004705C8" w:rsidP="004705C8">
      <w:pPr>
        <w:widowControl w:val="0"/>
        <w:tabs>
          <w:tab w:val="left" w:pos="-1440"/>
        </w:tabs>
        <w:spacing w:after="0" w:line="240" w:lineRule="auto"/>
        <w:jc w:val="both"/>
        <w:rPr>
          <w:rFonts w:ascii="Garamond" w:hAnsi="Garamond" w:cs="Times New Roman"/>
        </w:rPr>
      </w:pPr>
    </w:p>
    <w:p w14:paraId="5710D7D7" w14:textId="77777777" w:rsidR="00902C29" w:rsidRPr="00307FCC" w:rsidRDefault="00DE1FFD" w:rsidP="00474E87">
      <w:pPr>
        <w:widowControl w:val="0"/>
        <w:tabs>
          <w:tab w:val="left" w:pos="-1440"/>
        </w:tabs>
        <w:spacing w:after="0" w:line="240" w:lineRule="auto"/>
        <w:jc w:val="both"/>
        <w:rPr>
          <w:rFonts w:ascii="Garamond" w:hAnsi="Garamond" w:cs="Times New Roman"/>
          <w:sz w:val="24"/>
        </w:rPr>
      </w:pPr>
      <w:r w:rsidRPr="00307FCC">
        <w:rPr>
          <w:rStyle w:val="Heading4Char"/>
          <w:rFonts w:ascii="Garamond" w:hAnsi="Garamond"/>
          <w:sz w:val="24"/>
        </w:rPr>
        <w:t>Other Sanctions</w:t>
      </w:r>
    </w:p>
    <w:p w14:paraId="196FB1F3" w14:textId="3C3549B8" w:rsidR="004705C8" w:rsidRPr="004A0C12" w:rsidRDefault="004705C8" w:rsidP="00474E87">
      <w:pPr>
        <w:widowControl w:val="0"/>
        <w:tabs>
          <w:tab w:val="left" w:pos="-1440"/>
        </w:tabs>
        <w:spacing w:after="0" w:line="240" w:lineRule="auto"/>
        <w:jc w:val="both"/>
        <w:rPr>
          <w:rFonts w:ascii="Garamond" w:hAnsi="Garamond" w:cs="Times New Roman"/>
        </w:rPr>
      </w:pPr>
      <w:r w:rsidRPr="004A0C12">
        <w:rPr>
          <w:rFonts w:ascii="Garamond" w:hAnsi="Garamond" w:cs="Times New Roman"/>
        </w:rPr>
        <w:t>Maryland elects to sanction a family</w:t>
      </w:r>
      <w:r w:rsidR="00DE1FFD" w:rsidRPr="004A0C12">
        <w:rPr>
          <w:rFonts w:ascii="Garamond" w:hAnsi="Garamond" w:cs="Times New Roman"/>
        </w:rPr>
        <w:t>,</w:t>
      </w:r>
      <w:r w:rsidRPr="004A0C12">
        <w:rPr>
          <w:rFonts w:ascii="Garamond" w:hAnsi="Garamond" w:cs="Times New Roman"/>
        </w:rPr>
        <w:t xml:space="preserve"> </w:t>
      </w:r>
      <w:r w:rsidR="00DE1FFD" w:rsidRPr="004A0C12">
        <w:rPr>
          <w:rFonts w:ascii="Garamond" w:hAnsi="Garamond" w:cs="Times New Roman"/>
        </w:rPr>
        <w:t>which</w:t>
      </w:r>
      <w:r w:rsidRPr="004A0C12">
        <w:rPr>
          <w:rFonts w:ascii="Garamond" w:hAnsi="Garamond" w:cs="Times New Roman"/>
        </w:rPr>
        <w:t xml:space="preserve"> fails to ensure that minor dependent school age children attend school</w:t>
      </w:r>
      <w:r w:rsidR="00DE1FFD" w:rsidRPr="004A0C12">
        <w:rPr>
          <w:rFonts w:ascii="Garamond" w:hAnsi="Garamond" w:cs="Times New Roman"/>
        </w:rPr>
        <w:t>,</w:t>
      </w:r>
      <w:r w:rsidRPr="004A0C12">
        <w:rPr>
          <w:rFonts w:ascii="Garamond" w:hAnsi="Garamond" w:cs="Times New Roman"/>
        </w:rPr>
        <w:t xml:space="preserve"> and minor dependent preschool children r</w:t>
      </w:r>
      <w:r w:rsidR="00DE1FFD" w:rsidRPr="004A0C12">
        <w:rPr>
          <w:rFonts w:ascii="Garamond" w:hAnsi="Garamond" w:cs="Times New Roman"/>
        </w:rPr>
        <w:t xml:space="preserve">eceive preventive health care. </w:t>
      </w:r>
      <w:r w:rsidRPr="004A0C12">
        <w:rPr>
          <w:rFonts w:ascii="Garamond" w:hAnsi="Garamond" w:cs="Times New Roman"/>
        </w:rPr>
        <w:t>The sanction is $25 per child not meeting the attendance or health care requirement.</w:t>
      </w:r>
    </w:p>
    <w:p w14:paraId="1691A41C" w14:textId="77777777" w:rsidR="001D4BB8" w:rsidRPr="004A0C12" w:rsidRDefault="001D4BB8" w:rsidP="00474E87">
      <w:pPr>
        <w:widowControl w:val="0"/>
        <w:tabs>
          <w:tab w:val="left" w:pos="-1440"/>
        </w:tabs>
        <w:spacing w:after="0" w:line="240" w:lineRule="auto"/>
        <w:jc w:val="both"/>
        <w:rPr>
          <w:rFonts w:ascii="Garamond" w:hAnsi="Garamond" w:cs="Times New Roman"/>
        </w:rPr>
      </w:pPr>
    </w:p>
    <w:p w14:paraId="3F78A51E" w14:textId="77777777" w:rsidR="00902C29" w:rsidRPr="00307FCC" w:rsidRDefault="00DE1FFD" w:rsidP="00DE1FFD">
      <w:pPr>
        <w:widowControl w:val="0"/>
        <w:tabs>
          <w:tab w:val="left" w:pos="-1440"/>
        </w:tabs>
        <w:spacing w:after="0" w:line="240" w:lineRule="auto"/>
        <w:jc w:val="both"/>
        <w:rPr>
          <w:rFonts w:ascii="Garamond" w:hAnsi="Garamond" w:cs="Times New Roman"/>
          <w:sz w:val="24"/>
        </w:rPr>
      </w:pPr>
      <w:r w:rsidRPr="00307FCC">
        <w:rPr>
          <w:rStyle w:val="Heading4Char"/>
          <w:rFonts w:ascii="Garamond" w:hAnsi="Garamond"/>
          <w:sz w:val="24"/>
        </w:rPr>
        <w:t>Transitional Assistance</w:t>
      </w:r>
      <w:r w:rsidR="00902C29" w:rsidRPr="00307FCC">
        <w:rPr>
          <w:rFonts w:ascii="Garamond" w:hAnsi="Garamond" w:cs="Times New Roman"/>
          <w:sz w:val="24"/>
        </w:rPr>
        <w:t xml:space="preserve"> </w:t>
      </w:r>
    </w:p>
    <w:p w14:paraId="6D0A6BE0" w14:textId="12634731" w:rsidR="004705C8" w:rsidRPr="004A0C12" w:rsidRDefault="004705C8" w:rsidP="00DE1FFD">
      <w:pPr>
        <w:widowControl w:val="0"/>
        <w:tabs>
          <w:tab w:val="left" w:pos="-1440"/>
        </w:tabs>
        <w:spacing w:after="0" w:line="240" w:lineRule="auto"/>
        <w:jc w:val="both"/>
        <w:rPr>
          <w:rFonts w:ascii="Garamond" w:hAnsi="Garamond" w:cs="Times New Roman"/>
        </w:rPr>
      </w:pPr>
      <w:r w:rsidRPr="004A0C12">
        <w:rPr>
          <w:rFonts w:ascii="Garamond" w:hAnsi="Garamond" w:cs="Times New Roman"/>
        </w:rPr>
        <w:t>After termination of TCA, transitional assistance may be available to assistance units in which an adult is not in compliance with a work requirement to the extent that nonprofit organizations are availa</w:t>
      </w:r>
      <w:r w:rsidR="00DE1FFD" w:rsidRPr="004A0C12">
        <w:rPr>
          <w:rFonts w:ascii="Garamond" w:hAnsi="Garamond" w:cs="Times New Roman"/>
        </w:rPr>
        <w:t xml:space="preserve">ble to administer the benefit. </w:t>
      </w:r>
      <w:r w:rsidRPr="004A0C12">
        <w:rPr>
          <w:rFonts w:ascii="Garamond" w:hAnsi="Garamond" w:cs="Times New Roman"/>
        </w:rPr>
        <w:t xml:space="preserve">Upon a determination that transitional assistance is provided, the TCA that would have been paid to the assistance unit is paid to a nonprofit organization on behalf of the recipient for a period not to exceed 3 months. This benefit is assistance. </w:t>
      </w:r>
    </w:p>
    <w:p w14:paraId="43D974D9" w14:textId="77777777" w:rsidR="004705C8" w:rsidRPr="004A0C12" w:rsidRDefault="004705C8" w:rsidP="004705C8">
      <w:pPr>
        <w:widowControl w:val="0"/>
        <w:tabs>
          <w:tab w:val="left" w:pos="-1440"/>
        </w:tabs>
        <w:spacing w:after="0" w:line="240" w:lineRule="auto"/>
        <w:ind w:left="360"/>
        <w:jc w:val="both"/>
        <w:rPr>
          <w:rFonts w:ascii="Garamond" w:hAnsi="Garamond" w:cs="Times New Roman"/>
        </w:rPr>
      </w:pPr>
    </w:p>
    <w:p w14:paraId="765DAD65" w14:textId="77777777" w:rsidR="00902C29" w:rsidRPr="00307FCC" w:rsidRDefault="004705C8" w:rsidP="00DE1FFD">
      <w:pPr>
        <w:widowControl w:val="0"/>
        <w:tabs>
          <w:tab w:val="left" w:pos="-1440"/>
        </w:tabs>
        <w:snapToGrid w:val="0"/>
        <w:spacing w:after="0" w:line="240" w:lineRule="auto"/>
        <w:jc w:val="both"/>
        <w:rPr>
          <w:rFonts w:ascii="Garamond" w:hAnsi="Garamond" w:cs="Times New Roman"/>
          <w:sz w:val="24"/>
        </w:rPr>
      </w:pPr>
      <w:r w:rsidRPr="00307FCC">
        <w:rPr>
          <w:rStyle w:val="Heading4Char"/>
          <w:rFonts w:ascii="Garamond" w:hAnsi="Garamond"/>
          <w:sz w:val="24"/>
        </w:rPr>
        <w:t>Timely Not</w:t>
      </w:r>
      <w:r w:rsidR="00DE1FFD" w:rsidRPr="00307FCC">
        <w:rPr>
          <w:rStyle w:val="Heading4Char"/>
          <w:rFonts w:ascii="Garamond" w:hAnsi="Garamond"/>
          <w:sz w:val="24"/>
        </w:rPr>
        <w:t>ice of Termination or Reduction</w:t>
      </w:r>
    </w:p>
    <w:p w14:paraId="08648812" w14:textId="02D1F275" w:rsidR="004705C8" w:rsidRPr="004A0C12" w:rsidRDefault="004705C8" w:rsidP="00DE1FFD">
      <w:pPr>
        <w:widowControl w:val="0"/>
        <w:tabs>
          <w:tab w:val="left" w:pos="-1440"/>
        </w:tabs>
        <w:snapToGrid w:val="0"/>
        <w:spacing w:after="0" w:line="240" w:lineRule="auto"/>
        <w:jc w:val="both"/>
        <w:rPr>
          <w:rFonts w:ascii="Garamond" w:hAnsi="Garamond" w:cs="Times New Roman"/>
        </w:rPr>
      </w:pPr>
      <w:r w:rsidRPr="004A0C12">
        <w:rPr>
          <w:rFonts w:ascii="Garamond" w:hAnsi="Garamond" w:cs="Times New Roman"/>
        </w:rPr>
        <w:t>The local department mails or hand delivers adva</w:t>
      </w:r>
      <w:r w:rsidR="00DE1FFD" w:rsidRPr="004A0C12">
        <w:rPr>
          <w:rFonts w:ascii="Garamond" w:hAnsi="Garamond" w:cs="Times New Roman"/>
        </w:rPr>
        <w:t>nce, written notice at least 10</w:t>
      </w:r>
      <w:r w:rsidRPr="004A0C12">
        <w:rPr>
          <w:rFonts w:ascii="Garamond" w:hAnsi="Garamond" w:cs="Times New Roman"/>
        </w:rPr>
        <w:t xml:space="preserve"> calendar days before the date of reduction, termination</w:t>
      </w:r>
      <w:r w:rsidR="00DE1FFD" w:rsidRPr="004A0C12">
        <w:rPr>
          <w:rFonts w:ascii="Garamond" w:hAnsi="Garamond" w:cs="Times New Roman"/>
        </w:rPr>
        <w:t>,</w:t>
      </w:r>
      <w:r w:rsidRPr="004A0C12">
        <w:rPr>
          <w:rFonts w:ascii="Garamond" w:hAnsi="Garamond" w:cs="Times New Roman"/>
        </w:rPr>
        <w:t xml:space="preserve"> or suspension action.  </w:t>
      </w:r>
    </w:p>
    <w:p w14:paraId="13C4C8D9" w14:textId="77777777" w:rsidR="004705C8" w:rsidRPr="004A0C12" w:rsidRDefault="004705C8" w:rsidP="004705C8">
      <w:pPr>
        <w:widowControl w:val="0"/>
        <w:tabs>
          <w:tab w:val="left" w:pos="-1440"/>
        </w:tabs>
        <w:snapToGrid w:val="0"/>
        <w:spacing w:after="0" w:line="240" w:lineRule="auto"/>
        <w:ind w:left="360"/>
        <w:jc w:val="both"/>
        <w:rPr>
          <w:rFonts w:ascii="Garamond" w:hAnsi="Garamond" w:cs="Times New Roman"/>
        </w:rPr>
      </w:pPr>
    </w:p>
    <w:p w14:paraId="14D0DFAA" w14:textId="77777777" w:rsidR="00902C29" w:rsidRPr="00307FCC" w:rsidRDefault="00DE1FFD" w:rsidP="00DE1FFD">
      <w:pPr>
        <w:widowControl w:val="0"/>
        <w:suppressAutoHyphens/>
        <w:spacing w:after="0" w:line="240" w:lineRule="auto"/>
        <w:jc w:val="both"/>
        <w:rPr>
          <w:rFonts w:ascii="Garamond" w:hAnsi="Garamond" w:cs="Times New Roman"/>
          <w:sz w:val="24"/>
        </w:rPr>
      </w:pPr>
      <w:r w:rsidRPr="00307FCC">
        <w:rPr>
          <w:rStyle w:val="Heading4Char"/>
          <w:rFonts w:ascii="Garamond" w:hAnsi="Garamond"/>
          <w:sz w:val="24"/>
        </w:rPr>
        <w:t>Local Department Waivers</w:t>
      </w:r>
    </w:p>
    <w:p w14:paraId="7F59EA0B" w14:textId="2C21399A" w:rsidR="004705C8" w:rsidRPr="004A0C12" w:rsidRDefault="004705C8" w:rsidP="00DE1FFD">
      <w:pPr>
        <w:widowControl w:val="0"/>
        <w:suppressAutoHyphens/>
        <w:spacing w:after="0" w:line="240" w:lineRule="auto"/>
        <w:jc w:val="both"/>
        <w:rPr>
          <w:rFonts w:ascii="Garamond" w:hAnsi="Garamond" w:cs="Times New Roman"/>
        </w:rPr>
      </w:pPr>
      <w:r w:rsidRPr="004A0C12">
        <w:rPr>
          <w:rFonts w:ascii="Garamond" w:hAnsi="Garamond" w:cs="Times New Roman"/>
        </w:rPr>
        <w:t>Any Local Department of Social Services may subm</w:t>
      </w:r>
      <w:r w:rsidR="00DE1FFD" w:rsidRPr="004A0C12">
        <w:rPr>
          <w:rFonts w:ascii="Garamond" w:hAnsi="Garamond" w:cs="Times New Roman"/>
        </w:rPr>
        <w:t>it a request for a waiver of Family Investment Program</w:t>
      </w:r>
      <w:r w:rsidRPr="004A0C12">
        <w:rPr>
          <w:rFonts w:ascii="Garamond" w:hAnsi="Garamond" w:cs="Times New Roman"/>
        </w:rPr>
        <w:t xml:space="preserve"> regulatio</w:t>
      </w:r>
      <w:r w:rsidR="00DE1FFD" w:rsidRPr="004A0C12">
        <w:rPr>
          <w:rFonts w:ascii="Garamond" w:hAnsi="Garamond" w:cs="Times New Roman"/>
        </w:rPr>
        <w:t xml:space="preserve">ns to the Secretary of DHR. </w:t>
      </w:r>
      <w:r w:rsidRPr="004A0C12">
        <w:rPr>
          <w:rFonts w:ascii="Garamond" w:hAnsi="Garamond" w:cs="Times New Roman"/>
        </w:rPr>
        <w:t>The waiver(s) may be granted for up to two years if the Secretary determines that the waiver:</w:t>
      </w:r>
    </w:p>
    <w:p w14:paraId="47DC44C9" w14:textId="77777777" w:rsidR="00DE1FFD" w:rsidRPr="004A0C12" w:rsidRDefault="00DE1FFD" w:rsidP="00DE1FFD">
      <w:pPr>
        <w:widowControl w:val="0"/>
        <w:suppressAutoHyphens/>
        <w:spacing w:after="0" w:line="240" w:lineRule="auto"/>
        <w:jc w:val="both"/>
        <w:rPr>
          <w:rFonts w:ascii="Garamond" w:hAnsi="Garamond" w:cs="Times New Roman"/>
        </w:rPr>
      </w:pPr>
    </w:p>
    <w:p w14:paraId="01D505E4" w14:textId="77777777" w:rsidR="00DE1FFD" w:rsidRPr="004A0C12" w:rsidRDefault="00DE1FFD" w:rsidP="00232F09">
      <w:pPr>
        <w:widowControl w:val="0"/>
        <w:numPr>
          <w:ilvl w:val="0"/>
          <w:numId w:val="182"/>
        </w:numPr>
        <w:suppressAutoHyphens/>
        <w:spacing w:after="0" w:line="240" w:lineRule="auto"/>
        <w:ind w:left="720"/>
        <w:jc w:val="both"/>
        <w:rPr>
          <w:rFonts w:ascii="Garamond" w:hAnsi="Garamond" w:cs="Times New Roman"/>
        </w:rPr>
      </w:pPr>
      <w:r w:rsidRPr="004A0C12">
        <w:rPr>
          <w:rFonts w:ascii="Garamond" w:hAnsi="Garamond" w:cs="Times New Roman"/>
        </w:rPr>
        <w:t>P</w:t>
      </w:r>
      <w:r w:rsidR="004705C8" w:rsidRPr="004A0C12">
        <w:rPr>
          <w:rFonts w:ascii="Garamond" w:hAnsi="Garamond" w:cs="Times New Roman"/>
        </w:rPr>
        <w:t>romotes more efficient, effective</w:t>
      </w:r>
      <w:r w:rsidRPr="004A0C12">
        <w:rPr>
          <w:rFonts w:ascii="Garamond" w:hAnsi="Garamond" w:cs="Times New Roman"/>
        </w:rPr>
        <w:t>,</w:t>
      </w:r>
      <w:r w:rsidR="004705C8" w:rsidRPr="004A0C12">
        <w:rPr>
          <w:rFonts w:ascii="Garamond" w:hAnsi="Garamond" w:cs="Times New Roman"/>
        </w:rPr>
        <w:t xml:space="preserve"> and appropriat</w:t>
      </w:r>
      <w:r w:rsidRPr="004A0C12">
        <w:rPr>
          <w:rFonts w:ascii="Garamond" w:hAnsi="Garamond" w:cs="Times New Roman"/>
        </w:rPr>
        <w:t>e management and delivery of Family Investment Program</w:t>
      </w:r>
      <w:r w:rsidR="004705C8" w:rsidRPr="004A0C12">
        <w:rPr>
          <w:rFonts w:ascii="Garamond" w:hAnsi="Garamond" w:cs="Times New Roman"/>
        </w:rPr>
        <w:t xml:space="preserve"> services and benefits;</w:t>
      </w:r>
    </w:p>
    <w:p w14:paraId="13B2C3B1" w14:textId="6EB11116" w:rsidR="004705C8" w:rsidRPr="004A0C12" w:rsidRDefault="00DE1FFD" w:rsidP="00232F09">
      <w:pPr>
        <w:widowControl w:val="0"/>
        <w:numPr>
          <w:ilvl w:val="0"/>
          <w:numId w:val="182"/>
        </w:numPr>
        <w:suppressAutoHyphens/>
        <w:spacing w:after="0" w:line="240" w:lineRule="auto"/>
        <w:ind w:left="720"/>
        <w:jc w:val="both"/>
        <w:rPr>
          <w:rFonts w:ascii="Garamond" w:hAnsi="Garamond" w:cs="Times New Roman"/>
        </w:rPr>
      </w:pPr>
      <w:r w:rsidRPr="004A0C12">
        <w:rPr>
          <w:rFonts w:ascii="Garamond" w:hAnsi="Garamond" w:cs="Times New Roman"/>
        </w:rPr>
        <w:t>I</w:t>
      </w:r>
      <w:r w:rsidR="004705C8" w:rsidRPr="004A0C12">
        <w:rPr>
          <w:rFonts w:ascii="Garamond" w:hAnsi="Garamond" w:cs="Times New Roman"/>
        </w:rPr>
        <w:t>mproves opportunities for F</w:t>
      </w:r>
      <w:r w:rsidRPr="004A0C12">
        <w:rPr>
          <w:rFonts w:ascii="Garamond" w:hAnsi="Garamond" w:cs="Times New Roman"/>
        </w:rPr>
        <w:t>amily Investment Program</w:t>
      </w:r>
      <w:r w:rsidR="004705C8" w:rsidRPr="004A0C12">
        <w:rPr>
          <w:rFonts w:ascii="Garamond" w:hAnsi="Garamond" w:cs="Times New Roman"/>
        </w:rPr>
        <w:t xml:space="preserve"> customers to gain self-sufficiency;</w:t>
      </w:r>
    </w:p>
    <w:p w14:paraId="4C0A0F81" w14:textId="5D21AAAD" w:rsidR="004705C8" w:rsidRPr="004A0C12" w:rsidRDefault="00DE1FFD" w:rsidP="00232F09">
      <w:pPr>
        <w:widowControl w:val="0"/>
        <w:numPr>
          <w:ilvl w:val="0"/>
          <w:numId w:val="182"/>
        </w:numPr>
        <w:suppressAutoHyphens/>
        <w:spacing w:after="0" w:line="240" w:lineRule="auto"/>
        <w:ind w:left="720"/>
        <w:jc w:val="both"/>
        <w:rPr>
          <w:rFonts w:ascii="Garamond" w:hAnsi="Garamond" w:cs="Times New Roman"/>
        </w:rPr>
      </w:pPr>
      <w:r w:rsidRPr="004A0C12">
        <w:rPr>
          <w:rFonts w:ascii="Garamond" w:hAnsi="Garamond" w:cs="Times New Roman"/>
        </w:rPr>
        <w:t>P</w:t>
      </w:r>
      <w:r w:rsidR="004705C8" w:rsidRPr="004A0C12">
        <w:rPr>
          <w:rFonts w:ascii="Garamond" w:hAnsi="Garamond" w:cs="Times New Roman"/>
        </w:rPr>
        <w:t xml:space="preserve">rovides more flexibility </w:t>
      </w:r>
      <w:r w:rsidRPr="004A0C12">
        <w:rPr>
          <w:rFonts w:ascii="Garamond" w:hAnsi="Garamond" w:cs="Times New Roman"/>
        </w:rPr>
        <w:t>to the LDSS in administering the Family Investment Program</w:t>
      </w:r>
      <w:r w:rsidR="004705C8" w:rsidRPr="004A0C12">
        <w:rPr>
          <w:rFonts w:ascii="Garamond" w:hAnsi="Garamond" w:cs="Times New Roman"/>
        </w:rPr>
        <w:t>; and</w:t>
      </w:r>
      <w:r w:rsidRPr="004A0C12">
        <w:rPr>
          <w:rFonts w:ascii="Garamond" w:hAnsi="Garamond" w:cs="Times New Roman"/>
        </w:rPr>
        <w:t>,</w:t>
      </w:r>
    </w:p>
    <w:p w14:paraId="3901962A" w14:textId="0A66500B" w:rsidR="004705C8" w:rsidRPr="004A0C12" w:rsidRDefault="00DE1FFD" w:rsidP="00232F09">
      <w:pPr>
        <w:widowControl w:val="0"/>
        <w:numPr>
          <w:ilvl w:val="0"/>
          <w:numId w:val="182"/>
        </w:numPr>
        <w:suppressAutoHyphens/>
        <w:spacing w:after="0" w:line="240" w:lineRule="auto"/>
        <w:ind w:left="720"/>
        <w:jc w:val="both"/>
        <w:rPr>
          <w:rFonts w:ascii="Garamond" w:hAnsi="Garamond" w:cs="Times New Roman"/>
        </w:rPr>
      </w:pPr>
      <w:r w:rsidRPr="004A0C12">
        <w:rPr>
          <w:rFonts w:ascii="Garamond" w:hAnsi="Garamond" w:cs="Times New Roman"/>
        </w:rPr>
        <w:t>R</w:t>
      </w:r>
      <w:r w:rsidR="004705C8" w:rsidRPr="004A0C12">
        <w:rPr>
          <w:rFonts w:ascii="Garamond" w:hAnsi="Garamond" w:cs="Times New Roman"/>
        </w:rPr>
        <w:t>emains cost neutral for the duration of the waiver.</w:t>
      </w:r>
    </w:p>
    <w:p w14:paraId="0CEA9BFB" w14:textId="77777777" w:rsidR="004705C8" w:rsidRPr="004A0C12" w:rsidRDefault="004705C8" w:rsidP="004705C8">
      <w:pPr>
        <w:widowControl w:val="0"/>
        <w:suppressAutoHyphens/>
        <w:spacing w:after="0" w:line="240" w:lineRule="auto"/>
        <w:ind w:left="720"/>
        <w:jc w:val="both"/>
        <w:rPr>
          <w:rFonts w:ascii="Garamond" w:hAnsi="Garamond" w:cs="Times New Roman"/>
        </w:rPr>
      </w:pPr>
    </w:p>
    <w:p w14:paraId="1F6EB40B" w14:textId="443C15E1" w:rsidR="004705C8" w:rsidRPr="004A0C12" w:rsidRDefault="004705C8" w:rsidP="00DE1FFD">
      <w:pPr>
        <w:spacing w:after="0" w:line="240" w:lineRule="auto"/>
        <w:jc w:val="both"/>
        <w:rPr>
          <w:rFonts w:ascii="Garamond" w:hAnsi="Garamond" w:cs="Times New Roman"/>
        </w:rPr>
      </w:pPr>
      <w:r w:rsidRPr="004A0C12">
        <w:rPr>
          <w:rFonts w:ascii="Garamond" w:hAnsi="Garamond" w:cs="Times New Roman"/>
        </w:rPr>
        <w:t>A waiver that violates federal law or regulations may not be granted to any local department unless prior appro</w:t>
      </w:r>
      <w:r w:rsidR="000370C7" w:rsidRPr="004A0C12">
        <w:rPr>
          <w:rFonts w:ascii="Garamond" w:hAnsi="Garamond" w:cs="Times New Roman"/>
        </w:rPr>
        <w:t>val has been received from HHS.</w:t>
      </w:r>
      <w:r w:rsidRPr="004A0C12">
        <w:rPr>
          <w:rFonts w:ascii="Garamond" w:hAnsi="Garamond" w:cs="Times New Roman"/>
        </w:rPr>
        <w:t xml:space="preserve"> The Secretary has the authority to terminate a waiver by written notice to the LDSS 30 days prior to the effective date of the termination.</w:t>
      </w:r>
    </w:p>
    <w:p w14:paraId="763B37B9" w14:textId="77777777" w:rsidR="00902C29" w:rsidRPr="004A0C12" w:rsidRDefault="00902C29" w:rsidP="004705C8">
      <w:pPr>
        <w:spacing w:after="0" w:line="240" w:lineRule="auto"/>
        <w:ind w:left="360"/>
        <w:jc w:val="both"/>
        <w:rPr>
          <w:rFonts w:ascii="Garamond" w:hAnsi="Garamond" w:cs="Times New Roman"/>
        </w:rPr>
      </w:pPr>
    </w:p>
    <w:p w14:paraId="4E39361E" w14:textId="77777777" w:rsidR="00902C29" w:rsidRPr="00307FCC" w:rsidRDefault="004705C8" w:rsidP="000370C7">
      <w:pPr>
        <w:widowControl w:val="0"/>
        <w:spacing w:after="0" w:line="240" w:lineRule="auto"/>
        <w:jc w:val="both"/>
        <w:rPr>
          <w:rFonts w:ascii="Garamond" w:hAnsi="Garamond" w:cs="Times New Roman"/>
          <w:sz w:val="24"/>
        </w:rPr>
      </w:pPr>
      <w:r w:rsidRPr="00307FCC">
        <w:rPr>
          <w:rStyle w:val="Heading4Char"/>
          <w:rFonts w:ascii="Garamond" w:hAnsi="Garamond"/>
          <w:sz w:val="24"/>
        </w:rPr>
        <w:t>Demonstration P</w:t>
      </w:r>
      <w:r w:rsidR="000370C7" w:rsidRPr="00307FCC">
        <w:rPr>
          <w:rStyle w:val="Heading4Char"/>
          <w:rFonts w:ascii="Garamond" w:hAnsi="Garamond"/>
          <w:sz w:val="24"/>
        </w:rPr>
        <w:t>rojects</w:t>
      </w:r>
    </w:p>
    <w:p w14:paraId="46772FD3" w14:textId="03DDFCE3" w:rsidR="004705C8" w:rsidRPr="004A0C12" w:rsidRDefault="004705C8" w:rsidP="000370C7">
      <w:pPr>
        <w:widowControl w:val="0"/>
        <w:spacing w:after="0" w:line="240" w:lineRule="auto"/>
        <w:jc w:val="both"/>
        <w:rPr>
          <w:rFonts w:ascii="Garamond" w:hAnsi="Garamond" w:cs="Times New Roman"/>
        </w:rPr>
      </w:pPr>
      <w:r w:rsidRPr="004A0C12">
        <w:rPr>
          <w:rFonts w:ascii="Garamond" w:hAnsi="Garamond" w:cs="Times New Roman"/>
        </w:rPr>
        <w:t>Demonstration projects are developed through grants to non-profit organizations in partnership with local d</w:t>
      </w:r>
      <w:r w:rsidR="000370C7" w:rsidRPr="004A0C12">
        <w:rPr>
          <w:rFonts w:ascii="Garamond" w:hAnsi="Garamond" w:cs="Times New Roman"/>
        </w:rPr>
        <w:t>epartments and approved by DHR.</w:t>
      </w:r>
      <w:r w:rsidRPr="004A0C12">
        <w:rPr>
          <w:rFonts w:ascii="Garamond" w:hAnsi="Garamond" w:cs="Times New Roman"/>
        </w:rPr>
        <w:t xml:space="preserve"> The Department may also contract with non</w:t>
      </w:r>
      <w:r w:rsidR="000370C7" w:rsidRPr="004A0C12">
        <w:rPr>
          <w:rFonts w:ascii="Garamond" w:hAnsi="Garamond" w:cs="Times New Roman"/>
        </w:rPr>
        <w:t>-</w:t>
      </w:r>
      <w:r w:rsidRPr="004A0C12">
        <w:rPr>
          <w:rFonts w:ascii="Garamond" w:hAnsi="Garamond" w:cs="Times New Roman"/>
        </w:rPr>
        <w:t>profit organizations including charitable, private, and faith-based organizations</w:t>
      </w:r>
      <w:r w:rsidR="000370C7" w:rsidRPr="004A0C12">
        <w:rPr>
          <w:rFonts w:ascii="Garamond" w:hAnsi="Garamond" w:cs="Times New Roman"/>
        </w:rPr>
        <w:t>, and institutions of post-</w:t>
      </w:r>
      <w:r w:rsidRPr="004A0C12">
        <w:rPr>
          <w:rFonts w:ascii="Garamond" w:hAnsi="Garamond" w:cs="Times New Roman"/>
        </w:rPr>
        <w:t>secondary education to develop demonstration projects.  Faith-based organizat</w:t>
      </w:r>
      <w:r w:rsidR="000370C7" w:rsidRPr="004A0C12">
        <w:rPr>
          <w:rFonts w:ascii="Garamond" w:hAnsi="Garamond" w:cs="Times New Roman"/>
        </w:rPr>
        <w:t xml:space="preserve">ions may participate in the Family Investment Program </w:t>
      </w:r>
      <w:r w:rsidRPr="004A0C12">
        <w:rPr>
          <w:rFonts w:ascii="Garamond" w:hAnsi="Garamond" w:cs="Times New Roman"/>
        </w:rPr>
        <w:t xml:space="preserve">demonstration projects on the same basis as any </w:t>
      </w:r>
      <w:r w:rsidR="000370C7" w:rsidRPr="004A0C12">
        <w:rPr>
          <w:rFonts w:ascii="Garamond" w:hAnsi="Garamond" w:cs="Times New Roman"/>
        </w:rPr>
        <w:t xml:space="preserve">other non-governmental entity. </w:t>
      </w:r>
      <w:r w:rsidRPr="004A0C12">
        <w:rPr>
          <w:rFonts w:ascii="Garamond" w:hAnsi="Garamond" w:cs="Times New Roman"/>
        </w:rPr>
        <w:t>The funds allocated to demonstration projects may not be used to further sectarian re</w:t>
      </w:r>
      <w:r w:rsidR="000370C7" w:rsidRPr="004A0C12">
        <w:rPr>
          <w:rFonts w:ascii="Garamond" w:hAnsi="Garamond" w:cs="Times New Roman"/>
        </w:rPr>
        <w:t>ligious instruction or worship.</w:t>
      </w:r>
      <w:r w:rsidRPr="004A0C12">
        <w:rPr>
          <w:rFonts w:ascii="Garamond" w:hAnsi="Garamond" w:cs="Times New Roman"/>
        </w:rPr>
        <w:t xml:space="preserve"> An individual may not be required to accept assistance from a faith-based organization if acceptance would violate the individual’s bona fide religious beliefs and</w:t>
      </w:r>
      <w:r w:rsidR="000370C7" w:rsidRPr="004A0C12">
        <w:rPr>
          <w:rFonts w:ascii="Garamond" w:hAnsi="Garamond" w:cs="Times New Roman"/>
        </w:rPr>
        <w:t xml:space="preserve"> practices. </w:t>
      </w:r>
      <w:r w:rsidRPr="004A0C12">
        <w:rPr>
          <w:rFonts w:ascii="Garamond" w:hAnsi="Garamond" w:cs="Times New Roman"/>
        </w:rPr>
        <w:t xml:space="preserve">All demonstration projects are subject to prescribed outcomes consistent with the Department’s </w:t>
      </w:r>
      <w:r w:rsidR="000370C7" w:rsidRPr="004A0C12">
        <w:rPr>
          <w:rFonts w:ascii="Garamond" w:hAnsi="Garamond" w:cs="Times New Roman"/>
        </w:rPr>
        <w:lastRenderedPageBreak/>
        <w:t xml:space="preserve">mission, goals and objectives. </w:t>
      </w:r>
      <w:r w:rsidRPr="004A0C12">
        <w:rPr>
          <w:rFonts w:ascii="Garamond" w:hAnsi="Garamond" w:cs="Times New Roman"/>
        </w:rPr>
        <w:t>All demonstration projects must meet specified performance measures as developed by the Department as prescribed by the State’s Managing for Results guidelines.</w:t>
      </w:r>
    </w:p>
    <w:p w14:paraId="65729920" w14:textId="77777777" w:rsidR="004705C8" w:rsidRPr="004A0C12" w:rsidRDefault="004705C8" w:rsidP="004705C8">
      <w:pPr>
        <w:spacing w:after="0" w:line="240" w:lineRule="auto"/>
        <w:jc w:val="both"/>
        <w:rPr>
          <w:rFonts w:ascii="Garamond" w:hAnsi="Garamond" w:cs="Times New Roman"/>
        </w:rPr>
      </w:pPr>
    </w:p>
    <w:p w14:paraId="78695AE8" w14:textId="5D4D93EF" w:rsidR="004705C8" w:rsidRPr="004A0C12" w:rsidRDefault="004705C8" w:rsidP="000370C7">
      <w:pPr>
        <w:spacing w:after="0" w:line="240" w:lineRule="auto"/>
        <w:jc w:val="both"/>
        <w:rPr>
          <w:rFonts w:ascii="Garamond" w:hAnsi="Garamond" w:cs="Times New Roman"/>
        </w:rPr>
      </w:pPr>
      <w:r w:rsidRPr="004A0C12">
        <w:rPr>
          <w:rFonts w:ascii="Garamond" w:hAnsi="Garamond" w:cs="Times New Roman"/>
        </w:rPr>
        <w:t>The Secretary of DHR will award grants for these demonstration projects through a competitive bid process which includes the issuance of a request for a proposal in accordance with the requirements of the Human Service Article §5-319 Annotated Code of Maryland, and establishment of an evaluation panel to review competing proposals and to recommend to the Secretary of DHR those proposals which have the greatest programmatic and financial merit.  Multi-year awards based on program perfo</w:t>
      </w:r>
      <w:r w:rsidR="000370C7" w:rsidRPr="004A0C12">
        <w:rPr>
          <w:rFonts w:ascii="Garamond" w:hAnsi="Garamond" w:cs="Times New Roman"/>
        </w:rPr>
        <w:t xml:space="preserve">rmance may also be considered. </w:t>
      </w:r>
      <w:r w:rsidRPr="004A0C12">
        <w:rPr>
          <w:rFonts w:ascii="Garamond" w:hAnsi="Garamond" w:cs="Times New Roman"/>
        </w:rPr>
        <w:t xml:space="preserve">The request for demonstration project proposals requires </w:t>
      </w:r>
      <w:r w:rsidR="000370C7" w:rsidRPr="004A0C12">
        <w:rPr>
          <w:rFonts w:ascii="Garamond" w:hAnsi="Garamond" w:cs="Times New Roman"/>
        </w:rPr>
        <w:t>applicants</w:t>
      </w:r>
      <w:r w:rsidRPr="004A0C12">
        <w:rPr>
          <w:rFonts w:ascii="Garamond" w:hAnsi="Garamond" w:cs="Times New Roman"/>
        </w:rPr>
        <w:t xml:space="preserve"> to specify the ways in which the proposed demonstration projects create incentives for increased employment and job retention. </w:t>
      </w:r>
    </w:p>
    <w:p w14:paraId="7CD160E7" w14:textId="77777777" w:rsidR="004705C8" w:rsidRPr="004A0C12" w:rsidRDefault="004705C8" w:rsidP="004705C8">
      <w:pPr>
        <w:spacing w:after="0" w:line="240" w:lineRule="auto"/>
        <w:ind w:left="360"/>
        <w:jc w:val="both"/>
        <w:rPr>
          <w:rFonts w:ascii="Garamond" w:hAnsi="Garamond" w:cs="Times New Roman"/>
        </w:rPr>
      </w:pPr>
    </w:p>
    <w:p w14:paraId="2478A621" w14:textId="77777777" w:rsidR="00902C29" w:rsidRPr="00307FCC" w:rsidRDefault="004705C8" w:rsidP="000370C7">
      <w:pPr>
        <w:widowControl w:val="0"/>
        <w:tabs>
          <w:tab w:val="left" w:pos="-1440"/>
        </w:tabs>
        <w:spacing w:after="0" w:line="240" w:lineRule="auto"/>
        <w:jc w:val="both"/>
        <w:rPr>
          <w:rFonts w:ascii="Garamond" w:hAnsi="Garamond" w:cs="Times New Roman"/>
          <w:sz w:val="24"/>
          <w:u w:val="single"/>
        </w:rPr>
      </w:pPr>
      <w:r w:rsidRPr="00307FCC">
        <w:rPr>
          <w:rStyle w:val="Heading4Char"/>
          <w:rFonts w:ascii="Garamond" w:hAnsi="Garamond"/>
          <w:sz w:val="24"/>
        </w:rPr>
        <w:t>Cooper</w:t>
      </w:r>
      <w:r w:rsidR="000370C7" w:rsidRPr="00307FCC">
        <w:rPr>
          <w:rStyle w:val="Heading4Char"/>
          <w:rFonts w:ascii="Garamond" w:hAnsi="Garamond"/>
          <w:sz w:val="24"/>
        </w:rPr>
        <w:t>ative Living Project</w:t>
      </w:r>
    </w:p>
    <w:p w14:paraId="077F6A0B" w14:textId="5EDDA1C8" w:rsidR="004705C8" w:rsidRPr="004A0C12" w:rsidRDefault="004705C8" w:rsidP="000370C7">
      <w:pPr>
        <w:widowControl w:val="0"/>
        <w:tabs>
          <w:tab w:val="left" w:pos="-1440"/>
        </w:tabs>
        <w:spacing w:after="0" w:line="240" w:lineRule="auto"/>
        <w:jc w:val="both"/>
        <w:rPr>
          <w:rFonts w:ascii="Garamond" w:hAnsi="Garamond" w:cs="Times New Roman"/>
        </w:rPr>
      </w:pPr>
      <w:r w:rsidRPr="004A0C12">
        <w:rPr>
          <w:rFonts w:ascii="Garamond" w:hAnsi="Garamond" w:cs="Times New Roman"/>
        </w:rPr>
        <w:t>A Cooperative Living Project will provide its participants on-site child care, communal dining facilities, job readiness programs, and other support services necessary to move participants tow</w:t>
      </w:r>
      <w:r w:rsidR="00D719F8" w:rsidRPr="004A0C12">
        <w:rPr>
          <w:rFonts w:ascii="Garamond" w:hAnsi="Garamond" w:cs="Times New Roman"/>
        </w:rPr>
        <w:t xml:space="preserve">ard economic self-sufficiency. </w:t>
      </w:r>
      <w:r w:rsidRPr="004A0C12">
        <w:rPr>
          <w:rFonts w:ascii="Garamond" w:hAnsi="Garamond" w:cs="Times New Roman"/>
        </w:rPr>
        <w:t xml:space="preserve">A Cooperative Living Project may provide its participants living quarters, recreation programs, and </w:t>
      </w:r>
      <w:r w:rsidR="00D719F8" w:rsidRPr="004A0C12">
        <w:rPr>
          <w:rFonts w:ascii="Garamond" w:hAnsi="Garamond" w:cs="Times New Roman"/>
        </w:rPr>
        <w:t>individualized case-management.</w:t>
      </w:r>
      <w:r w:rsidRPr="004A0C12">
        <w:rPr>
          <w:rFonts w:ascii="Garamond" w:hAnsi="Garamond" w:cs="Times New Roman"/>
        </w:rPr>
        <w:t xml:space="preserve"> Participants in a Cooperative Living Project are chosen from volun</w:t>
      </w:r>
      <w:r w:rsidR="00D719F8" w:rsidRPr="004A0C12">
        <w:rPr>
          <w:rFonts w:ascii="Garamond" w:hAnsi="Garamond" w:cs="Times New Roman"/>
        </w:rPr>
        <w:t xml:space="preserve">teers eligible for TCA benefits. Participants </w:t>
      </w:r>
      <w:r w:rsidRPr="004A0C12">
        <w:rPr>
          <w:rFonts w:ascii="Garamond" w:hAnsi="Garamond" w:cs="Times New Roman"/>
        </w:rPr>
        <w:t>enter into an agreement with the non</w:t>
      </w:r>
      <w:r w:rsidR="00D719F8" w:rsidRPr="004A0C12">
        <w:rPr>
          <w:rFonts w:ascii="Garamond" w:hAnsi="Garamond" w:cs="Times New Roman"/>
        </w:rPr>
        <w:t>-</w:t>
      </w:r>
      <w:r w:rsidRPr="004A0C12">
        <w:rPr>
          <w:rFonts w:ascii="Garamond" w:hAnsi="Garamond" w:cs="Times New Roman"/>
        </w:rPr>
        <w:t>profit organization to attend at l</w:t>
      </w:r>
      <w:r w:rsidR="00D719F8" w:rsidRPr="004A0C12">
        <w:rPr>
          <w:rFonts w:ascii="Garamond" w:hAnsi="Garamond" w:cs="Times New Roman"/>
        </w:rPr>
        <w:t xml:space="preserve">east one communal meal per day. While unemployed, participants </w:t>
      </w:r>
      <w:r w:rsidRPr="004A0C12">
        <w:rPr>
          <w:rFonts w:ascii="Garamond" w:hAnsi="Garamond" w:cs="Times New Roman"/>
        </w:rPr>
        <w:t>share in responsibilities for meal preparation</w:t>
      </w:r>
      <w:r w:rsidR="00D719F8" w:rsidRPr="004A0C12">
        <w:rPr>
          <w:rFonts w:ascii="Garamond" w:hAnsi="Garamond" w:cs="Times New Roman"/>
        </w:rPr>
        <w:t>,</w:t>
      </w:r>
      <w:r w:rsidRPr="004A0C12">
        <w:rPr>
          <w:rFonts w:ascii="Garamond" w:hAnsi="Garamond" w:cs="Times New Roman"/>
        </w:rPr>
        <w:t xml:space="preserve"> and cleaning and </w:t>
      </w:r>
      <w:r w:rsidR="00D719F8" w:rsidRPr="004A0C12">
        <w:rPr>
          <w:rFonts w:ascii="Garamond" w:hAnsi="Garamond" w:cs="Times New Roman"/>
        </w:rPr>
        <w:t xml:space="preserve">maintaining demonstration project facilities. Participants also </w:t>
      </w:r>
      <w:r w:rsidRPr="004A0C12">
        <w:rPr>
          <w:rFonts w:ascii="Garamond" w:hAnsi="Garamond" w:cs="Times New Roman"/>
        </w:rPr>
        <w:t>assist in providing child care for children of participants in the Cooperative Living Project, and work toward</w:t>
      </w:r>
      <w:r w:rsidR="00D719F8" w:rsidRPr="004A0C12">
        <w:rPr>
          <w:rFonts w:ascii="Garamond" w:hAnsi="Garamond" w:cs="Times New Roman"/>
        </w:rPr>
        <w:t xml:space="preserve">s </w:t>
      </w:r>
      <w:r w:rsidR="009B7FB2" w:rsidRPr="004A0C12">
        <w:rPr>
          <w:rFonts w:ascii="Garamond" w:hAnsi="Garamond" w:cs="Times New Roman"/>
        </w:rPr>
        <w:t>achieving</w:t>
      </w:r>
      <w:r w:rsidRPr="004A0C12">
        <w:rPr>
          <w:rFonts w:ascii="Garamond" w:hAnsi="Garamond" w:cs="Times New Roman"/>
        </w:rPr>
        <w:t xml:space="preserve"> economic self-sufficiency.</w:t>
      </w:r>
    </w:p>
    <w:p w14:paraId="3E13DFAB" w14:textId="77777777" w:rsidR="004705C8" w:rsidRPr="004A0C12" w:rsidRDefault="004705C8" w:rsidP="004705C8">
      <w:pPr>
        <w:widowControl w:val="0"/>
        <w:tabs>
          <w:tab w:val="left" w:pos="-1440"/>
        </w:tabs>
        <w:spacing w:after="0" w:line="240" w:lineRule="auto"/>
        <w:ind w:left="360"/>
        <w:jc w:val="both"/>
        <w:rPr>
          <w:rFonts w:ascii="Garamond" w:hAnsi="Garamond" w:cs="Times New Roman"/>
          <w:u w:val="single"/>
        </w:rPr>
      </w:pPr>
    </w:p>
    <w:p w14:paraId="105B461A" w14:textId="77777777" w:rsidR="00902C29" w:rsidRPr="00307FCC" w:rsidRDefault="004705C8" w:rsidP="00D719F8">
      <w:pPr>
        <w:widowControl w:val="0"/>
        <w:spacing w:after="0" w:line="240" w:lineRule="auto"/>
        <w:jc w:val="both"/>
        <w:rPr>
          <w:rFonts w:ascii="Garamond" w:hAnsi="Garamond" w:cs="Times New Roman"/>
          <w:sz w:val="24"/>
        </w:rPr>
      </w:pPr>
      <w:r w:rsidRPr="00307FCC">
        <w:rPr>
          <w:rStyle w:val="Heading4Char"/>
          <w:rFonts w:ascii="Garamond" w:hAnsi="Garamond"/>
          <w:sz w:val="24"/>
        </w:rPr>
        <w:t>Fo</w:t>
      </w:r>
      <w:r w:rsidR="00D719F8" w:rsidRPr="00307FCC">
        <w:rPr>
          <w:rStyle w:val="Heading4Char"/>
          <w:rFonts w:ascii="Garamond" w:hAnsi="Garamond"/>
          <w:sz w:val="24"/>
        </w:rPr>
        <w:t>rmula for Disbursement of Funds</w:t>
      </w:r>
    </w:p>
    <w:p w14:paraId="1B787B64" w14:textId="189D14C9" w:rsidR="004705C8" w:rsidRPr="004A0C12" w:rsidRDefault="004705C8" w:rsidP="00D719F8">
      <w:pPr>
        <w:widowControl w:val="0"/>
        <w:spacing w:after="0" w:line="240" w:lineRule="auto"/>
        <w:jc w:val="both"/>
        <w:rPr>
          <w:rFonts w:ascii="Garamond" w:hAnsi="Garamond" w:cs="Times New Roman"/>
        </w:rPr>
      </w:pPr>
      <w:r w:rsidRPr="004A0C12">
        <w:rPr>
          <w:rFonts w:ascii="Garamond" w:hAnsi="Garamond" w:cs="Times New Roman"/>
        </w:rPr>
        <w:t>While TCA cash assistance is distributed centrally through an Electronic Benefits Transfer system, the Department allocates funds to local departments for child care, work activities, welfare avoidance, emergency funds, administration, and other services that the Secretary of DHR deems appropriate for the program.</w:t>
      </w:r>
    </w:p>
    <w:p w14:paraId="78225DC0" w14:textId="77777777" w:rsidR="004705C8" w:rsidRPr="00307FCC" w:rsidRDefault="004705C8" w:rsidP="004705C8">
      <w:pPr>
        <w:spacing w:after="0" w:line="240" w:lineRule="auto"/>
        <w:jc w:val="both"/>
        <w:rPr>
          <w:rFonts w:ascii="Garamond" w:hAnsi="Garamond" w:cs="Times New Roman"/>
          <w:sz w:val="24"/>
        </w:rPr>
      </w:pPr>
    </w:p>
    <w:p w14:paraId="240B8CA3" w14:textId="77777777" w:rsidR="00902C29" w:rsidRPr="00307FCC" w:rsidRDefault="004705C8" w:rsidP="00D719F8">
      <w:pPr>
        <w:widowControl w:val="0"/>
        <w:tabs>
          <w:tab w:val="left" w:pos="-1440"/>
        </w:tabs>
        <w:spacing w:after="0" w:line="240" w:lineRule="auto"/>
        <w:jc w:val="both"/>
        <w:rPr>
          <w:rStyle w:val="Heading4Char"/>
          <w:rFonts w:ascii="Garamond" w:hAnsi="Garamond"/>
          <w:sz w:val="24"/>
        </w:rPr>
      </w:pPr>
      <w:r w:rsidRPr="00307FCC">
        <w:rPr>
          <w:rStyle w:val="Heading4Char"/>
          <w:rFonts w:ascii="Garamond" w:hAnsi="Garamond"/>
          <w:noProof/>
          <w:sz w:val="24"/>
        </w:rPr>
        <mc:AlternateContent>
          <mc:Choice Requires="wps">
            <w:drawing>
              <wp:anchor distT="4294967294" distB="4294967294" distL="114298" distR="114298" simplePos="0" relativeHeight="251704320" behindDoc="0" locked="0" layoutInCell="0" allowOverlap="1" wp14:anchorId="0B8C939A" wp14:editId="2B07244F">
                <wp:simplePos x="0" y="0"/>
                <wp:positionH relativeFrom="column">
                  <wp:posOffset>6309359</wp:posOffset>
                </wp:positionH>
                <wp:positionV relativeFrom="paragraph">
                  <wp:posOffset>91439</wp:posOffset>
                </wp:positionV>
                <wp:extent cx="0" cy="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1704320;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496.8pt,7.2pt" to="496.8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" o:allowincell="f"/>
            </w:pict>
          </mc:Fallback>
        </mc:AlternateContent>
      </w:r>
      <w:r w:rsidRPr="00307FCC">
        <w:rPr>
          <w:rStyle w:val="Heading4Char"/>
          <w:rFonts w:ascii="Garamond" w:hAnsi="Garamond"/>
          <w:sz w:val="24"/>
        </w:rPr>
        <w:t>Displa</w:t>
      </w:r>
      <w:r w:rsidR="00D719F8" w:rsidRPr="00307FCC">
        <w:rPr>
          <w:rStyle w:val="Heading4Char"/>
          <w:rFonts w:ascii="Garamond" w:hAnsi="Garamond"/>
          <w:sz w:val="24"/>
        </w:rPr>
        <w:t xml:space="preserve">ced Workers Grievance </w:t>
      </w:r>
      <w:r w:rsidR="00902C29" w:rsidRPr="00307FCC">
        <w:rPr>
          <w:rStyle w:val="Heading4Char"/>
          <w:rFonts w:ascii="Garamond" w:hAnsi="Garamond"/>
          <w:sz w:val="24"/>
        </w:rPr>
        <w:t>Procedure</w:t>
      </w:r>
    </w:p>
    <w:p w14:paraId="59739851" w14:textId="6A1F072E" w:rsidR="004705C8" w:rsidRPr="004A0C12" w:rsidRDefault="004705C8" w:rsidP="00D719F8">
      <w:pPr>
        <w:widowControl w:val="0"/>
        <w:tabs>
          <w:tab w:val="left" w:pos="-1440"/>
        </w:tabs>
        <w:spacing w:after="0" w:line="240" w:lineRule="auto"/>
        <w:jc w:val="both"/>
        <w:rPr>
          <w:rFonts w:ascii="Garamond" w:hAnsi="Garamond" w:cs="Times New Roman"/>
        </w:rPr>
      </w:pPr>
      <w:r w:rsidRPr="004A0C12">
        <w:rPr>
          <w:rFonts w:ascii="Garamond" w:hAnsi="Garamond" w:cs="Times New Roman"/>
        </w:rPr>
        <w:t>Maryland has established and maintains grievance procedures to resolve complaints concerning the displacement of workers by an adult in a wo</w:t>
      </w:r>
      <w:r w:rsidR="00D719F8" w:rsidRPr="004A0C12">
        <w:rPr>
          <w:rFonts w:ascii="Garamond" w:hAnsi="Garamond" w:cs="Times New Roman"/>
        </w:rPr>
        <w:t>rk activity associated with the Family Investment Program.</w:t>
      </w:r>
    </w:p>
    <w:p w14:paraId="42A74826" w14:textId="77777777" w:rsidR="004705C8" w:rsidRPr="004A0C12" w:rsidRDefault="004705C8" w:rsidP="004705C8">
      <w:pPr>
        <w:widowControl w:val="0"/>
        <w:tabs>
          <w:tab w:val="left" w:pos="-1440"/>
        </w:tabs>
        <w:spacing w:after="0" w:line="240" w:lineRule="auto"/>
        <w:ind w:left="360"/>
        <w:jc w:val="both"/>
        <w:rPr>
          <w:rFonts w:ascii="Garamond" w:hAnsi="Garamond" w:cs="Times New Roman"/>
        </w:rPr>
      </w:pPr>
    </w:p>
    <w:p w14:paraId="7DD14F71" w14:textId="77777777" w:rsidR="00902C29" w:rsidRPr="00307FCC" w:rsidRDefault="004705C8" w:rsidP="00D719F8">
      <w:pPr>
        <w:spacing w:after="0" w:line="240" w:lineRule="auto"/>
        <w:jc w:val="both"/>
        <w:rPr>
          <w:rFonts w:ascii="Garamond" w:hAnsi="Garamond" w:cs="Times New Roman"/>
          <w:sz w:val="24"/>
        </w:rPr>
      </w:pPr>
      <w:r w:rsidRPr="00307FCC">
        <w:rPr>
          <w:rStyle w:val="Heading4Char"/>
          <w:rFonts w:ascii="Garamond" w:hAnsi="Garamond"/>
          <w:sz w:val="24"/>
        </w:rPr>
        <w:t>Non-Custodia</w:t>
      </w:r>
      <w:r w:rsidR="00D719F8" w:rsidRPr="00307FCC">
        <w:rPr>
          <w:rStyle w:val="Heading4Char"/>
          <w:rFonts w:ascii="Garamond" w:hAnsi="Garamond"/>
          <w:sz w:val="24"/>
        </w:rPr>
        <w:t>l, Non-Supporting Minor Parents</w:t>
      </w:r>
    </w:p>
    <w:p w14:paraId="2687A2C9" w14:textId="61E199DC" w:rsidR="004705C8" w:rsidRPr="004A0C12" w:rsidRDefault="004705C8" w:rsidP="00D719F8">
      <w:pPr>
        <w:spacing w:after="0" w:line="240" w:lineRule="auto"/>
        <w:jc w:val="both"/>
        <w:rPr>
          <w:rFonts w:ascii="Garamond" w:hAnsi="Garamond" w:cs="Times New Roman"/>
        </w:rPr>
      </w:pPr>
      <w:r w:rsidRPr="004A0C12">
        <w:rPr>
          <w:rFonts w:ascii="Garamond" w:hAnsi="Garamond" w:cs="Times New Roman"/>
        </w:rPr>
        <w:t xml:space="preserve">Maryland does not currently provide activities for non-custodial, non-supporting minor parents within its TANF program. </w:t>
      </w:r>
    </w:p>
    <w:p w14:paraId="3C7CCFB6" w14:textId="77777777" w:rsidR="004705C8" w:rsidRPr="004A0C12" w:rsidRDefault="004705C8" w:rsidP="004705C8">
      <w:pPr>
        <w:spacing w:after="0" w:line="240" w:lineRule="auto"/>
        <w:ind w:left="360"/>
        <w:jc w:val="both"/>
        <w:rPr>
          <w:rFonts w:ascii="Garamond" w:hAnsi="Garamond" w:cs="Times New Roman"/>
        </w:rPr>
      </w:pPr>
      <w:r w:rsidRPr="004A0C12">
        <w:rPr>
          <w:rFonts w:ascii="Garamond" w:hAnsi="Garamond" w:cs="Times New Roman"/>
        </w:rPr>
        <w:t xml:space="preserve"> </w:t>
      </w:r>
    </w:p>
    <w:p w14:paraId="4ACE820D" w14:textId="77777777" w:rsidR="00902C29" w:rsidRPr="00307FCC" w:rsidRDefault="00D719F8" w:rsidP="00D719F8">
      <w:pPr>
        <w:widowControl w:val="0"/>
        <w:spacing w:after="0" w:line="240" w:lineRule="auto"/>
        <w:jc w:val="both"/>
        <w:rPr>
          <w:rFonts w:ascii="Garamond" w:hAnsi="Garamond" w:cs="Times New Roman"/>
          <w:sz w:val="24"/>
          <w:u w:val="single"/>
        </w:rPr>
      </w:pPr>
      <w:r w:rsidRPr="00307FCC">
        <w:rPr>
          <w:rStyle w:val="Heading4Char"/>
          <w:rFonts w:ascii="Garamond" w:hAnsi="Garamond"/>
          <w:sz w:val="24"/>
        </w:rPr>
        <w:t>Individual Development Accounts</w:t>
      </w:r>
    </w:p>
    <w:p w14:paraId="1B395907" w14:textId="6F6003A3" w:rsidR="004705C8" w:rsidRPr="004A0C12" w:rsidRDefault="004705C8" w:rsidP="00D719F8">
      <w:pPr>
        <w:widowControl w:val="0"/>
        <w:spacing w:after="0" w:line="240" w:lineRule="auto"/>
        <w:jc w:val="both"/>
        <w:rPr>
          <w:rFonts w:ascii="Garamond" w:hAnsi="Garamond" w:cs="Times New Roman"/>
        </w:rPr>
      </w:pPr>
      <w:r w:rsidRPr="004A0C12">
        <w:rPr>
          <w:rFonts w:ascii="Garamond" w:hAnsi="Garamond" w:cs="Times New Roman"/>
        </w:rPr>
        <w:t xml:space="preserve">Maryland elects to fund individual development accounts </w:t>
      </w:r>
      <w:r w:rsidR="00D719F8" w:rsidRPr="004A0C12">
        <w:rPr>
          <w:rFonts w:ascii="Garamond" w:hAnsi="Garamond" w:cs="Times New Roman"/>
        </w:rPr>
        <w:t>in accordance with local plans.</w:t>
      </w:r>
      <w:r w:rsidRPr="004A0C12">
        <w:rPr>
          <w:rFonts w:ascii="Garamond" w:hAnsi="Garamond" w:cs="Times New Roman"/>
        </w:rPr>
        <w:t xml:space="preserve"> The local department may use TANF money to fund individual development accounts.</w:t>
      </w:r>
    </w:p>
    <w:p w14:paraId="02192834" w14:textId="77777777" w:rsidR="004705C8" w:rsidRPr="004A0C12" w:rsidRDefault="004705C8" w:rsidP="004705C8">
      <w:pPr>
        <w:widowControl w:val="0"/>
        <w:spacing w:after="0" w:line="240" w:lineRule="auto"/>
        <w:ind w:left="360"/>
        <w:jc w:val="both"/>
        <w:rPr>
          <w:rFonts w:ascii="Garamond" w:hAnsi="Garamond" w:cs="Times New Roman"/>
        </w:rPr>
      </w:pPr>
    </w:p>
    <w:p w14:paraId="30408460" w14:textId="77777777" w:rsidR="00902C29" w:rsidRPr="00307FCC" w:rsidRDefault="00D719F8" w:rsidP="00D719F8">
      <w:pPr>
        <w:widowControl w:val="0"/>
        <w:spacing w:after="0" w:line="240" w:lineRule="auto"/>
        <w:jc w:val="both"/>
        <w:rPr>
          <w:rFonts w:ascii="Garamond" w:hAnsi="Garamond" w:cs="Times New Roman"/>
          <w:sz w:val="24"/>
        </w:rPr>
      </w:pPr>
      <w:r w:rsidRPr="00307FCC">
        <w:rPr>
          <w:rStyle w:val="Heading4Char"/>
          <w:rFonts w:ascii="Garamond" w:hAnsi="Garamond"/>
          <w:sz w:val="24"/>
        </w:rPr>
        <w:t>Other options</w:t>
      </w:r>
    </w:p>
    <w:p w14:paraId="1A281162" w14:textId="362334C3" w:rsidR="004705C8" w:rsidRPr="004A0C12" w:rsidRDefault="004705C8" w:rsidP="00D719F8">
      <w:pPr>
        <w:widowControl w:val="0"/>
        <w:spacing w:after="0" w:line="240" w:lineRule="auto"/>
        <w:jc w:val="both"/>
        <w:rPr>
          <w:rFonts w:ascii="Garamond" w:hAnsi="Garamond" w:cs="Times New Roman"/>
        </w:rPr>
      </w:pPr>
      <w:r w:rsidRPr="004A0C12">
        <w:rPr>
          <w:rFonts w:ascii="Garamond" w:hAnsi="Garamond" w:cs="Times New Roman"/>
        </w:rPr>
        <w:t>Maryland does not have Tribal Family Assistance as a category of assistance.</w:t>
      </w:r>
    </w:p>
    <w:p w14:paraId="6992FFE7" w14:textId="47703535" w:rsidR="001D4BB8" w:rsidRPr="00307FCC" w:rsidRDefault="004705C8" w:rsidP="00B17F00">
      <w:pPr>
        <w:pStyle w:val="Heading1"/>
        <w:rPr>
          <w:rFonts w:ascii="Garamond" w:hAnsi="Garamond"/>
          <w:sz w:val="24"/>
          <w:szCs w:val="22"/>
        </w:rPr>
      </w:pPr>
      <w:bookmarkStart w:id="238" w:name="_Toc447276265"/>
      <w:r w:rsidRPr="00307FCC">
        <w:rPr>
          <w:rFonts w:ascii="Garamond" w:hAnsi="Garamond"/>
          <w:sz w:val="24"/>
          <w:szCs w:val="22"/>
        </w:rPr>
        <w:t>PROGRAMS FUNDED BY COMMINGLED FUNDS</w:t>
      </w:r>
      <w:bookmarkEnd w:id="238"/>
      <w:r w:rsidRPr="00307FCC">
        <w:rPr>
          <w:rFonts w:ascii="Garamond" w:hAnsi="Garamond"/>
          <w:sz w:val="24"/>
          <w:szCs w:val="22"/>
        </w:rPr>
        <w:t xml:space="preserve"> </w:t>
      </w:r>
    </w:p>
    <w:p w14:paraId="158AA46A" w14:textId="69A68280" w:rsidR="004705C8" w:rsidRPr="004A0C12" w:rsidRDefault="004705C8" w:rsidP="001D4BB8">
      <w:pPr>
        <w:pStyle w:val="BodyText3"/>
        <w:spacing w:after="0"/>
        <w:jc w:val="both"/>
        <w:rPr>
          <w:rFonts w:ascii="Garamond" w:hAnsi="Garamond" w:cs="Times New Roman"/>
          <w:sz w:val="22"/>
          <w:szCs w:val="22"/>
        </w:rPr>
      </w:pPr>
      <w:r w:rsidRPr="004A0C12">
        <w:rPr>
          <w:rFonts w:ascii="Garamond" w:hAnsi="Garamond" w:cs="Times New Roman"/>
          <w:sz w:val="22"/>
          <w:szCs w:val="22"/>
        </w:rPr>
        <w:t>Maryland has develo</w:t>
      </w:r>
      <w:r w:rsidR="00DD53F9" w:rsidRPr="004A0C12">
        <w:rPr>
          <w:rFonts w:ascii="Garamond" w:hAnsi="Garamond" w:cs="Times New Roman"/>
          <w:sz w:val="22"/>
          <w:szCs w:val="22"/>
        </w:rPr>
        <w:t>ped a broad array of services for</w:t>
      </w:r>
      <w:r w:rsidRPr="004A0C12">
        <w:rPr>
          <w:rFonts w:ascii="Garamond" w:hAnsi="Garamond" w:cs="Times New Roman"/>
          <w:sz w:val="22"/>
          <w:szCs w:val="22"/>
        </w:rPr>
        <w:t xml:space="preserve"> families and children that are reasonably calculated to accomplish the first and second purposes</w:t>
      </w:r>
      <w:r w:rsidR="00297312" w:rsidRPr="004A0C12">
        <w:rPr>
          <w:rStyle w:val="FootnoteReference"/>
          <w:rFonts w:ascii="Garamond" w:hAnsi="Garamond" w:cs="Times New Roman"/>
          <w:sz w:val="22"/>
          <w:szCs w:val="22"/>
        </w:rPr>
        <w:footnoteReference w:id="52"/>
      </w:r>
      <w:r w:rsidRPr="004A0C12">
        <w:rPr>
          <w:rFonts w:ascii="Garamond" w:hAnsi="Garamond" w:cs="Times New Roman"/>
          <w:sz w:val="22"/>
          <w:szCs w:val="22"/>
        </w:rPr>
        <w:t xml:space="preserve"> </w:t>
      </w:r>
      <w:r w:rsidR="00DD53F9" w:rsidRPr="004A0C12">
        <w:rPr>
          <w:rFonts w:ascii="Garamond" w:hAnsi="Garamond" w:cs="Times New Roman"/>
          <w:sz w:val="22"/>
          <w:szCs w:val="22"/>
        </w:rPr>
        <w:t>of the TANF law</w:t>
      </w:r>
      <w:r w:rsidR="00297312" w:rsidRPr="004A0C12">
        <w:rPr>
          <w:rFonts w:ascii="Garamond" w:hAnsi="Garamond" w:cs="Times New Roman"/>
          <w:sz w:val="22"/>
          <w:szCs w:val="22"/>
        </w:rPr>
        <w:t xml:space="preserve">. </w:t>
      </w:r>
      <w:r w:rsidRPr="004A0C12">
        <w:rPr>
          <w:rFonts w:ascii="Garamond" w:hAnsi="Garamond" w:cs="Times New Roman"/>
          <w:sz w:val="22"/>
          <w:szCs w:val="22"/>
        </w:rPr>
        <w:t>These are funded out of federal TANF and TANF Maintenance of Effort funds or other sources</w:t>
      </w:r>
      <w:r w:rsidR="00DD53F9" w:rsidRPr="004A0C12">
        <w:rPr>
          <w:rFonts w:ascii="Garamond" w:hAnsi="Garamond" w:cs="Times New Roman"/>
          <w:sz w:val="22"/>
          <w:szCs w:val="22"/>
        </w:rPr>
        <w:t xml:space="preserve">. </w:t>
      </w:r>
      <w:r w:rsidRPr="004A0C12">
        <w:rPr>
          <w:rFonts w:ascii="Garamond" w:hAnsi="Garamond" w:cs="Times New Roman"/>
          <w:sz w:val="22"/>
          <w:szCs w:val="22"/>
        </w:rPr>
        <w:t>Maryland has designed these programs to be as effec</w:t>
      </w:r>
      <w:r w:rsidR="00DD53F9" w:rsidRPr="004A0C12">
        <w:rPr>
          <w:rFonts w:ascii="Garamond" w:hAnsi="Garamond" w:cs="Times New Roman"/>
          <w:sz w:val="22"/>
          <w:szCs w:val="22"/>
        </w:rPr>
        <w:t>tive and efficient as possible.</w:t>
      </w:r>
      <w:r w:rsidRPr="004A0C12">
        <w:rPr>
          <w:rFonts w:ascii="Garamond" w:hAnsi="Garamond" w:cs="Times New Roman"/>
          <w:sz w:val="22"/>
          <w:szCs w:val="22"/>
        </w:rPr>
        <w:t xml:space="preserve"> Using the flexibility in the statute and regulations, Maryland will report the exact amount of federal TANF and/or TANF Maintenance of Effort funds charged to these programs using the </w:t>
      </w:r>
      <w:r w:rsidR="00DD53F9" w:rsidRPr="004A0C12">
        <w:rPr>
          <w:rFonts w:ascii="Garamond" w:hAnsi="Garamond" w:cs="Times New Roman"/>
          <w:sz w:val="22"/>
          <w:szCs w:val="22"/>
        </w:rPr>
        <w:t>appropriate federal mechanisms.</w:t>
      </w:r>
      <w:r w:rsidRPr="004A0C12">
        <w:rPr>
          <w:rFonts w:ascii="Garamond" w:hAnsi="Garamond" w:cs="Times New Roman"/>
          <w:sz w:val="22"/>
          <w:szCs w:val="22"/>
        </w:rPr>
        <w:t xml:space="preserve"> Unless otherwise noted</w:t>
      </w:r>
      <w:r w:rsidR="00DD53F9" w:rsidRPr="004A0C12">
        <w:rPr>
          <w:rFonts w:ascii="Garamond" w:hAnsi="Garamond" w:cs="Times New Roman"/>
          <w:sz w:val="22"/>
          <w:szCs w:val="22"/>
        </w:rPr>
        <w:t>, for the purposes of this P</w:t>
      </w:r>
      <w:r w:rsidRPr="004A0C12">
        <w:rPr>
          <w:rFonts w:ascii="Garamond" w:hAnsi="Garamond" w:cs="Times New Roman"/>
          <w:sz w:val="22"/>
          <w:szCs w:val="22"/>
        </w:rPr>
        <w:t xml:space="preserve">lan and federal reporting, eligibility for the following programs is generally limited to those </w:t>
      </w:r>
      <w:r w:rsidR="00DD53F9" w:rsidRPr="004A0C12">
        <w:rPr>
          <w:rFonts w:ascii="Garamond" w:hAnsi="Garamond" w:cs="Times New Roman"/>
          <w:sz w:val="22"/>
          <w:szCs w:val="22"/>
        </w:rPr>
        <w:t>families with incomes under 300 percent</w:t>
      </w:r>
      <w:r w:rsidRPr="004A0C12">
        <w:rPr>
          <w:rFonts w:ascii="Garamond" w:hAnsi="Garamond" w:cs="Times New Roman"/>
          <w:sz w:val="22"/>
          <w:szCs w:val="22"/>
        </w:rPr>
        <w:t xml:space="preserve"> of the federal poverty level at the time of service delivery. </w:t>
      </w:r>
    </w:p>
    <w:p w14:paraId="02D23D18" w14:textId="77777777" w:rsidR="004705C8" w:rsidRPr="004A0C12" w:rsidRDefault="004705C8" w:rsidP="004705C8">
      <w:pPr>
        <w:pStyle w:val="BodyText3"/>
        <w:spacing w:after="0"/>
        <w:jc w:val="both"/>
        <w:rPr>
          <w:rFonts w:ascii="Garamond" w:hAnsi="Garamond" w:cs="Times New Roman"/>
          <w:b/>
          <w:sz w:val="22"/>
          <w:szCs w:val="22"/>
        </w:rPr>
      </w:pPr>
    </w:p>
    <w:p w14:paraId="1AF104BA" w14:textId="77777777" w:rsidR="00902C29" w:rsidRPr="00307FCC" w:rsidRDefault="004705C8" w:rsidP="00DD53F9">
      <w:pPr>
        <w:widowControl w:val="0"/>
        <w:spacing w:after="0" w:line="240" w:lineRule="auto"/>
        <w:jc w:val="both"/>
        <w:rPr>
          <w:rFonts w:ascii="Garamond" w:hAnsi="Garamond" w:cs="Times New Roman"/>
          <w:sz w:val="24"/>
          <w:u w:val="single"/>
        </w:rPr>
      </w:pPr>
      <w:r w:rsidRPr="00307FCC">
        <w:rPr>
          <w:rStyle w:val="Heading4Char"/>
          <w:rFonts w:ascii="Garamond" w:hAnsi="Garamond"/>
          <w:sz w:val="24"/>
        </w:rPr>
        <w:lastRenderedPageBreak/>
        <w:t>Substance Abuse Treatment for Non-Waiver Recipients</w:t>
      </w:r>
    </w:p>
    <w:p w14:paraId="567E793D" w14:textId="2B4F1EE0" w:rsidR="004705C8" w:rsidRPr="004A0C12" w:rsidRDefault="00297312" w:rsidP="00DD53F9">
      <w:pPr>
        <w:widowControl w:val="0"/>
        <w:spacing w:after="0" w:line="240" w:lineRule="auto"/>
        <w:jc w:val="both"/>
        <w:rPr>
          <w:rFonts w:ascii="Garamond" w:hAnsi="Garamond" w:cs="Times New Roman"/>
        </w:rPr>
      </w:pPr>
      <w:r w:rsidRPr="004A0C12">
        <w:rPr>
          <w:rFonts w:ascii="Garamond" w:hAnsi="Garamond" w:cs="Times New Roman"/>
        </w:rPr>
        <w:t xml:space="preserve">Maryland has a IV-E (child welfare) </w:t>
      </w:r>
      <w:r w:rsidR="004705C8" w:rsidRPr="004A0C12">
        <w:rPr>
          <w:rFonts w:ascii="Garamond" w:hAnsi="Garamond" w:cs="Times New Roman"/>
        </w:rPr>
        <w:t xml:space="preserve">waiver to use federal funds to provide substance abuse treatment services to the parents of children who are at risk of placement or have been placed in foster care and are eligible for IV-E </w:t>
      </w:r>
      <w:r w:rsidRPr="004A0C12">
        <w:rPr>
          <w:rFonts w:ascii="Garamond" w:hAnsi="Garamond" w:cs="Times New Roman"/>
        </w:rPr>
        <w:t xml:space="preserve">(child welfare) </w:t>
      </w:r>
      <w:r w:rsidR="00DD53F9" w:rsidRPr="004A0C12">
        <w:rPr>
          <w:rFonts w:ascii="Garamond" w:hAnsi="Garamond" w:cs="Times New Roman"/>
        </w:rPr>
        <w:t xml:space="preserve">funds. </w:t>
      </w:r>
      <w:r w:rsidR="004705C8" w:rsidRPr="004A0C12">
        <w:rPr>
          <w:rFonts w:ascii="Garamond" w:hAnsi="Garamond" w:cs="Times New Roman"/>
        </w:rPr>
        <w:t xml:space="preserve">This program is designed to serve those </w:t>
      </w:r>
      <w:r w:rsidR="00DD53F9" w:rsidRPr="004A0C12">
        <w:rPr>
          <w:rFonts w:ascii="Garamond" w:hAnsi="Garamond" w:cs="Times New Roman"/>
        </w:rPr>
        <w:t>in</w:t>
      </w:r>
      <w:r w:rsidR="004705C8" w:rsidRPr="004A0C12">
        <w:rPr>
          <w:rFonts w:ascii="Garamond" w:hAnsi="Garamond" w:cs="Times New Roman"/>
        </w:rPr>
        <w:t>e</w:t>
      </w:r>
      <w:r w:rsidR="00DD53F9" w:rsidRPr="004A0C12">
        <w:rPr>
          <w:rFonts w:ascii="Garamond" w:hAnsi="Garamond" w:cs="Times New Roman"/>
        </w:rPr>
        <w:t>ligible for the waiver program.</w:t>
      </w:r>
      <w:r w:rsidR="004705C8" w:rsidRPr="004A0C12">
        <w:rPr>
          <w:rFonts w:ascii="Garamond" w:hAnsi="Garamond" w:cs="Times New Roman"/>
        </w:rPr>
        <w:t xml:space="preserve"> This substance abuse and treatment model focuses on intervening with families and breaking the substance abus</w:t>
      </w:r>
      <w:r w:rsidR="00DD53F9" w:rsidRPr="004A0C12">
        <w:rPr>
          <w:rFonts w:ascii="Garamond" w:hAnsi="Garamond" w:cs="Times New Roman"/>
        </w:rPr>
        <w:t xml:space="preserve">e and child maltreatment cycle. </w:t>
      </w:r>
      <w:r w:rsidR="004705C8" w:rsidRPr="004A0C12">
        <w:rPr>
          <w:rFonts w:ascii="Garamond" w:hAnsi="Garamond" w:cs="Times New Roman"/>
        </w:rPr>
        <w:t xml:space="preserve">The </w:t>
      </w:r>
      <w:r w:rsidR="00DD53F9" w:rsidRPr="004A0C12">
        <w:rPr>
          <w:rFonts w:ascii="Garamond" w:hAnsi="Garamond" w:cs="Times New Roman"/>
        </w:rPr>
        <w:t>program’s purpose</w:t>
      </w:r>
      <w:r w:rsidR="004705C8" w:rsidRPr="004A0C12">
        <w:rPr>
          <w:rFonts w:ascii="Garamond" w:hAnsi="Garamond" w:cs="Times New Roman"/>
        </w:rPr>
        <w:t xml:space="preserve"> is to help</w:t>
      </w:r>
      <w:r w:rsidR="00DD53F9" w:rsidRPr="004A0C12">
        <w:rPr>
          <w:rFonts w:ascii="Garamond" w:hAnsi="Garamond" w:cs="Times New Roman"/>
        </w:rPr>
        <w:t xml:space="preserve"> </w:t>
      </w:r>
      <w:r w:rsidR="004705C8" w:rsidRPr="004A0C12">
        <w:rPr>
          <w:rFonts w:ascii="Garamond" w:hAnsi="Garamond" w:cs="Times New Roman"/>
        </w:rPr>
        <w:t xml:space="preserve">needy families, who have income within 300 percent of poverty, so that children may be cared for in their homes, and end the dependence of needy parents on government benefits by promoting job </w:t>
      </w:r>
      <w:r w:rsidR="00DD53F9" w:rsidRPr="004A0C12">
        <w:rPr>
          <w:rFonts w:ascii="Garamond" w:hAnsi="Garamond" w:cs="Times New Roman"/>
        </w:rPr>
        <w:t>preparation, work and marriage.</w:t>
      </w:r>
      <w:r w:rsidR="004705C8" w:rsidRPr="004A0C12">
        <w:rPr>
          <w:rFonts w:ascii="Garamond" w:hAnsi="Garamond" w:cs="Times New Roman"/>
        </w:rPr>
        <w:t xml:space="preserve"> The program provides non-medical intensive case management and supportive services to caretaker relatives whose children are in foster care or at risk f</w:t>
      </w:r>
      <w:r w:rsidR="00CA16E1" w:rsidRPr="004A0C12">
        <w:rPr>
          <w:rFonts w:ascii="Garamond" w:hAnsi="Garamond" w:cs="Times New Roman"/>
        </w:rPr>
        <w:t>or being placed in foster care.</w:t>
      </w:r>
      <w:r w:rsidR="004705C8" w:rsidRPr="004A0C12">
        <w:rPr>
          <w:rFonts w:ascii="Garamond" w:hAnsi="Garamond" w:cs="Times New Roman"/>
        </w:rPr>
        <w:t xml:space="preserve"> One of three treatment options are available--a residential treatment up to 180 days with or without children, a 28-day intermediate care facility, and an intensive outpatient program (90 days to 9 months). </w:t>
      </w:r>
    </w:p>
    <w:p w14:paraId="4CFE09DB" w14:textId="77777777" w:rsidR="004705C8" w:rsidRPr="004A0C12" w:rsidRDefault="004705C8" w:rsidP="004705C8">
      <w:pPr>
        <w:pStyle w:val="BodyTextIndent"/>
        <w:tabs>
          <w:tab w:val="left" w:pos="-450"/>
          <w:tab w:val="left" w:pos="-270"/>
        </w:tabs>
        <w:spacing w:after="0"/>
        <w:jc w:val="both"/>
        <w:rPr>
          <w:rFonts w:ascii="Garamond" w:hAnsi="Garamond" w:cs="Times New Roman"/>
          <w:b/>
        </w:rPr>
      </w:pPr>
    </w:p>
    <w:p w14:paraId="48CCE83B" w14:textId="3DD9455C" w:rsidR="004705C8" w:rsidRPr="004A0C12" w:rsidRDefault="004705C8" w:rsidP="00CA16E1">
      <w:pPr>
        <w:pStyle w:val="BodyTextIndent"/>
        <w:tabs>
          <w:tab w:val="left" w:pos="-450"/>
          <w:tab w:val="left" w:pos="-270"/>
        </w:tabs>
        <w:spacing w:after="0"/>
        <w:ind w:left="0"/>
        <w:jc w:val="both"/>
        <w:rPr>
          <w:rFonts w:ascii="Garamond" w:hAnsi="Garamond" w:cs="Times New Roman"/>
          <w:b/>
        </w:rPr>
      </w:pPr>
      <w:r w:rsidRPr="004A0C12">
        <w:rPr>
          <w:rFonts w:ascii="Garamond" w:hAnsi="Garamond" w:cs="Times New Roman"/>
        </w:rPr>
        <w:t>The program’s design is shaped from a social services perspective and requires collaboration with health, drug treatment, education, and other essent</w:t>
      </w:r>
      <w:r w:rsidR="00CA16E1" w:rsidRPr="004A0C12">
        <w:rPr>
          <w:rFonts w:ascii="Garamond" w:hAnsi="Garamond" w:cs="Times New Roman"/>
        </w:rPr>
        <w:t xml:space="preserve">ial service delivery entities. </w:t>
      </w:r>
      <w:r w:rsidRPr="004A0C12">
        <w:rPr>
          <w:rFonts w:ascii="Garamond" w:hAnsi="Garamond" w:cs="Times New Roman"/>
        </w:rPr>
        <w:t>The intent is to provide the services of a gend</w:t>
      </w:r>
      <w:r w:rsidR="00CA16E1" w:rsidRPr="004A0C12">
        <w:rPr>
          <w:rFonts w:ascii="Garamond" w:hAnsi="Garamond" w:cs="Times New Roman"/>
        </w:rPr>
        <w:t>er-specific treatment program. The design: (1)</w:t>
      </w:r>
      <w:r w:rsidRPr="004A0C12">
        <w:rPr>
          <w:rFonts w:ascii="Garamond" w:hAnsi="Garamond" w:cs="Times New Roman"/>
        </w:rPr>
        <w:t xml:space="preserve"> </w:t>
      </w:r>
      <w:r w:rsidR="00CA16E1" w:rsidRPr="004A0C12">
        <w:rPr>
          <w:rFonts w:ascii="Garamond" w:hAnsi="Garamond" w:cs="Times New Roman"/>
        </w:rPr>
        <w:t xml:space="preserve">provides </w:t>
      </w:r>
      <w:r w:rsidRPr="004A0C12">
        <w:rPr>
          <w:rFonts w:ascii="Garamond" w:hAnsi="Garamond" w:cs="Times New Roman"/>
        </w:rPr>
        <w:t xml:space="preserve">drug treatment and support services to substance </w:t>
      </w:r>
      <w:r w:rsidR="00CA16E1" w:rsidRPr="004A0C12">
        <w:rPr>
          <w:rFonts w:ascii="Garamond" w:hAnsi="Garamond" w:cs="Times New Roman"/>
        </w:rPr>
        <w:t>abusing parents and caretakers; (2)</w:t>
      </w:r>
      <w:r w:rsidRPr="004A0C12">
        <w:rPr>
          <w:rFonts w:ascii="Garamond" w:hAnsi="Garamond" w:cs="Times New Roman"/>
        </w:rPr>
        <w:t xml:space="preserve"> </w:t>
      </w:r>
      <w:r w:rsidR="00CA16E1" w:rsidRPr="004A0C12">
        <w:rPr>
          <w:rFonts w:ascii="Garamond" w:hAnsi="Garamond" w:cs="Times New Roman"/>
        </w:rPr>
        <w:t xml:space="preserve">provides </w:t>
      </w:r>
      <w:r w:rsidRPr="004A0C12">
        <w:rPr>
          <w:rFonts w:ascii="Garamond" w:hAnsi="Garamond" w:cs="Times New Roman"/>
        </w:rPr>
        <w:t>drug affected children the treatment and support services to overcome the trauma of physical abuse, sexual abuse</w:t>
      </w:r>
      <w:r w:rsidR="00CA16E1" w:rsidRPr="004A0C12">
        <w:rPr>
          <w:rFonts w:ascii="Garamond" w:hAnsi="Garamond" w:cs="Times New Roman"/>
        </w:rPr>
        <w:t>,</w:t>
      </w:r>
      <w:r w:rsidRPr="004A0C12">
        <w:rPr>
          <w:rFonts w:ascii="Garamond" w:hAnsi="Garamond" w:cs="Times New Roman"/>
        </w:rPr>
        <w:t xml:space="preserve"> and neglect that can occur as a result of living with a substance abusing caretaker relative; and</w:t>
      </w:r>
      <w:r w:rsidR="00CA16E1" w:rsidRPr="004A0C12">
        <w:rPr>
          <w:rFonts w:ascii="Garamond" w:hAnsi="Garamond" w:cs="Times New Roman"/>
        </w:rPr>
        <w:t>, (3)</w:t>
      </w:r>
      <w:r w:rsidRPr="004A0C12">
        <w:rPr>
          <w:rFonts w:ascii="Garamond" w:hAnsi="Garamond" w:cs="Times New Roman"/>
        </w:rPr>
        <w:t xml:space="preserve"> prevents unnecessary out-of-home placements or reduces the length of stay of children already placed in foster care. A unique program feature is a c</w:t>
      </w:r>
      <w:r w:rsidR="00CA16E1" w:rsidRPr="004A0C12">
        <w:rPr>
          <w:rFonts w:ascii="Garamond" w:hAnsi="Garamond" w:cs="Times New Roman"/>
        </w:rPr>
        <w:t>ommitted collaboration between S</w:t>
      </w:r>
      <w:r w:rsidRPr="004A0C12">
        <w:rPr>
          <w:rFonts w:ascii="Garamond" w:hAnsi="Garamond" w:cs="Times New Roman"/>
        </w:rPr>
        <w:t>tate and local d</w:t>
      </w:r>
      <w:r w:rsidR="00CA16E1" w:rsidRPr="004A0C12">
        <w:rPr>
          <w:rFonts w:ascii="Garamond" w:hAnsi="Garamond" w:cs="Times New Roman"/>
        </w:rPr>
        <w:t>epartments of social services, S</w:t>
      </w:r>
      <w:r w:rsidRPr="004A0C12">
        <w:rPr>
          <w:rFonts w:ascii="Garamond" w:hAnsi="Garamond" w:cs="Times New Roman"/>
        </w:rPr>
        <w:t>tate and local health departmen</w:t>
      </w:r>
      <w:r w:rsidR="00CA16E1" w:rsidRPr="004A0C12">
        <w:rPr>
          <w:rFonts w:ascii="Garamond" w:hAnsi="Garamond" w:cs="Times New Roman"/>
        </w:rPr>
        <w:t xml:space="preserve">ts and the treatment provider. </w:t>
      </w:r>
      <w:r w:rsidRPr="004A0C12">
        <w:rPr>
          <w:rFonts w:ascii="Garamond" w:hAnsi="Garamond" w:cs="Times New Roman"/>
        </w:rPr>
        <w:t>This program provides non-assistance.</w:t>
      </w:r>
    </w:p>
    <w:p w14:paraId="77F5F8D2" w14:textId="77777777" w:rsidR="004705C8" w:rsidRPr="004A0C12" w:rsidRDefault="004705C8" w:rsidP="004705C8">
      <w:pPr>
        <w:pStyle w:val="Footer"/>
        <w:jc w:val="both"/>
        <w:rPr>
          <w:rFonts w:ascii="Garamond" w:hAnsi="Garamond" w:cs="Times New Roman"/>
        </w:rPr>
      </w:pPr>
    </w:p>
    <w:p w14:paraId="43E1675D" w14:textId="77777777" w:rsidR="00902C29" w:rsidRPr="00307FCC" w:rsidRDefault="004705C8" w:rsidP="00105EA3">
      <w:pPr>
        <w:widowControl w:val="0"/>
        <w:spacing w:after="0" w:line="240" w:lineRule="auto"/>
        <w:jc w:val="both"/>
        <w:rPr>
          <w:rFonts w:ascii="Garamond" w:hAnsi="Garamond" w:cs="Times New Roman"/>
          <w:sz w:val="24"/>
        </w:rPr>
      </w:pPr>
      <w:r w:rsidRPr="00307FCC">
        <w:rPr>
          <w:rStyle w:val="Heading4Char"/>
          <w:rFonts w:ascii="Garamond" w:hAnsi="Garamond"/>
          <w:sz w:val="24"/>
        </w:rPr>
        <w:t>Children in Need of Assistance – Drug-Addicted Babies (1997 Md. Laws, Chapter 367)</w:t>
      </w:r>
      <w:r w:rsidR="00902C29" w:rsidRPr="00307FCC">
        <w:rPr>
          <w:rFonts w:ascii="Garamond" w:hAnsi="Garamond" w:cs="Times New Roman"/>
          <w:sz w:val="24"/>
        </w:rPr>
        <w:t xml:space="preserve"> </w:t>
      </w:r>
    </w:p>
    <w:p w14:paraId="325784E1" w14:textId="39472989" w:rsidR="004705C8" w:rsidRPr="004A0C12" w:rsidRDefault="004705C8" w:rsidP="00105EA3">
      <w:pPr>
        <w:widowControl w:val="0"/>
        <w:spacing w:after="0" w:line="240" w:lineRule="auto"/>
        <w:jc w:val="both"/>
        <w:rPr>
          <w:rFonts w:ascii="Garamond" w:hAnsi="Garamond" w:cs="Times New Roman"/>
        </w:rPr>
      </w:pPr>
      <w:r w:rsidRPr="004A0C12">
        <w:rPr>
          <w:rFonts w:ascii="Garamond" w:hAnsi="Garamond" w:cs="Times New Roman"/>
        </w:rPr>
        <w:t xml:space="preserve">The purpose of the SB 512 Program is to identify newborns exposed to heroin, cocaine, and crack cocaine, to refer the mothers to drug treatment, and to provide supportive </w:t>
      </w:r>
      <w:r w:rsidR="00105EA3" w:rsidRPr="004A0C12">
        <w:rPr>
          <w:rFonts w:ascii="Garamond" w:hAnsi="Garamond" w:cs="Times New Roman"/>
        </w:rPr>
        <w:t xml:space="preserve">services to the families. </w:t>
      </w:r>
      <w:r w:rsidRPr="004A0C12">
        <w:rPr>
          <w:rFonts w:ascii="Garamond" w:hAnsi="Garamond" w:cs="Times New Roman"/>
        </w:rPr>
        <w:t>Hospitals assess mothers for r</w:t>
      </w:r>
      <w:r w:rsidR="00105EA3" w:rsidRPr="004A0C12">
        <w:rPr>
          <w:rFonts w:ascii="Garamond" w:hAnsi="Garamond" w:cs="Times New Roman"/>
        </w:rPr>
        <w:t xml:space="preserve">isk of child abuse and neglect. When deemed </w:t>
      </w:r>
      <w:r w:rsidRPr="004A0C12">
        <w:rPr>
          <w:rFonts w:ascii="Garamond" w:hAnsi="Garamond" w:cs="Times New Roman"/>
        </w:rPr>
        <w:t xml:space="preserve">high risk, the mother is referred to the local department of social </w:t>
      </w:r>
      <w:r w:rsidR="00105EA3" w:rsidRPr="004A0C12">
        <w:rPr>
          <w:rFonts w:ascii="Garamond" w:hAnsi="Garamond" w:cs="Times New Roman"/>
        </w:rPr>
        <w:t>services and to drug treatment.</w:t>
      </w:r>
      <w:r w:rsidRPr="004A0C12">
        <w:rPr>
          <w:rFonts w:ascii="Garamond" w:hAnsi="Garamond" w:cs="Times New Roman"/>
        </w:rPr>
        <w:t xml:space="preserve"> If the mother refuses drug treatment or does not successfully complete drug treatment, and if neither the mother nor the father is able to provide adequate care for the child, the local department of social services may file a Child In Need of Assistance and begin the process of t</w:t>
      </w:r>
      <w:r w:rsidR="00105EA3" w:rsidRPr="004A0C12">
        <w:rPr>
          <w:rFonts w:ascii="Garamond" w:hAnsi="Garamond" w:cs="Times New Roman"/>
        </w:rPr>
        <w:t xml:space="preserve">ermination of parental rights. </w:t>
      </w:r>
      <w:r w:rsidRPr="004A0C12">
        <w:rPr>
          <w:rFonts w:ascii="Garamond" w:hAnsi="Garamond" w:cs="Times New Roman"/>
        </w:rPr>
        <w:t xml:space="preserve">The program serves up to 300 women who deliver newborns exposed or addicted to heroin, cocaine, or crack cocaine in </w:t>
      </w:r>
      <w:r w:rsidR="00105EA3" w:rsidRPr="004A0C12">
        <w:rPr>
          <w:rFonts w:ascii="Garamond" w:hAnsi="Garamond" w:cs="Times New Roman"/>
        </w:rPr>
        <w:t xml:space="preserve">seven jurisdictions statewide. </w:t>
      </w:r>
      <w:r w:rsidRPr="004A0C12">
        <w:rPr>
          <w:rFonts w:ascii="Garamond" w:hAnsi="Garamond" w:cs="Times New Roman"/>
        </w:rPr>
        <w:t xml:space="preserve">Services are available to both TCA and non-TCA recipients who are within 300 percent of </w:t>
      </w:r>
      <w:r w:rsidR="00105EA3" w:rsidRPr="004A0C12">
        <w:rPr>
          <w:rFonts w:ascii="Garamond" w:hAnsi="Garamond" w:cs="Times New Roman"/>
        </w:rPr>
        <w:t xml:space="preserve">the </w:t>
      </w:r>
      <w:r w:rsidRPr="004A0C12">
        <w:rPr>
          <w:rFonts w:ascii="Garamond" w:hAnsi="Garamond" w:cs="Times New Roman"/>
        </w:rPr>
        <w:t>poverty</w:t>
      </w:r>
      <w:r w:rsidR="00105EA3" w:rsidRPr="004A0C12">
        <w:rPr>
          <w:rFonts w:ascii="Garamond" w:hAnsi="Garamond" w:cs="Times New Roman"/>
        </w:rPr>
        <w:t xml:space="preserve"> level. </w:t>
      </w:r>
      <w:r w:rsidRPr="004A0C12">
        <w:rPr>
          <w:rFonts w:ascii="Garamond" w:hAnsi="Garamond" w:cs="Times New Roman"/>
        </w:rPr>
        <w:t>This program does not serve women whose pare</w:t>
      </w:r>
      <w:r w:rsidR="00105EA3" w:rsidRPr="004A0C12">
        <w:rPr>
          <w:rFonts w:ascii="Garamond" w:hAnsi="Garamond" w:cs="Times New Roman"/>
        </w:rPr>
        <w:t xml:space="preserve">ntal rights have been severed. </w:t>
      </w:r>
      <w:r w:rsidRPr="004A0C12">
        <w:rPr>
          <w:rFonts w:ascii="Garamond" w:hAnsi="Garamond" w:cs="Times New Roman"/>
        </w:rPr>
        <w:t>This program provides non-assistance.</w:t>
      </w:r>
    </w:p>
    <w:p w14:paraId="6291777D" w14:textId="77777777" w:rsidR="004705C8" w:rsidRPr="00307FCC" w:rsidRDefault="004705C8" w:rsidP="004705C8">
      <w:pPr>
        <w:spacing w:after="0" w:line="240" w:lineRule="auto"/>
        <w:jc w:val="both"/>
        <w:rPr>
          <w:rFonts w:ascii="Garamond" w:hAnsi="Garamond" w:cs="Times New Roman"/>
          <w:sz w:val="24"/>
        </w:rPr>
      </w:pPr>
    </w:p>
    <w:p w14:paraId="5468DD82" w14:textId="77777777" w:rsidR="00902C29" w:rsidRPr="00307FCC" w:rsidRDefault="004705C8" w:rsidP="00105EA3">
      <w:pPr>
        <w:widowControl w:val="0"/>
        <w:spacing w:after="0" w:line="240" w:lineRule="auto"/>
        <w:jc w:val="both"/>
        <w:rPr>
          <w:rFonts w:ascii="Garamond" w:hAnsi="Garamond" w:cs="Times New Roman"/>
          <w:sz w:val="24"/>
        </w:rPr>
      </w:pPr>
      <w:r w:rsidRPr="00307FCC">
        <w:rPr>
          <w:rStyle w:val="Heading4Char"/>
          <w:rFonts w:ascii="Garamond" w:hAnsi="Garamond"/>
          <w:sz w:val="24"/>
        </w:rPr>
        <w:t>DHR/SSA Model Demonstration Program at Tuerk House</w:t>
      </w:r>
    </w:p>
    <w:p w14:paraId="01A1E8C1" w14:textId="5606B9B7" w:rsidR="004705C8" w:rsidRPr="004A0C12" w:rsidRDefault="00105EA3" w:rsidP="00105EA3">
      <w:pPr>
        <w:widowControl w:val="0"/>
        <w:spacing w:after="0" w:line="240" w:lineRule="auto"/>
        <w:jc w:val="both"/>
        <w:rPr>
          <w:rFonts w:ascii="Garamond" w:hAnsi="Garamond" w:cs="Times New Roman"/>
        </w:rPr>
      </w:pPr>
      <w:r w:rsidRPr="004A0C12">
        <w:rPr>
          <w:rFonts w:ascii="Garamond" w:hAnsi="Garamond" w:cs="Times New Roman"/>
        </w:rPr>
        <w:t>DHR</w:t>
      </w:r>
      <w:r w:rsidR="004705C8" w:rsidRPr="004A0C12">
        <w:rPr>
          <w:rFonts w:ascii="Garamond" w:hAnsi="Garamond" w:cs="Times New Roman"/>
        </w:rPr>
        <w:t xml:space="preserve"> has entered into contracts with the Baltimore City Health Department for the purpose of providing substance abuse treatment for Baltimore City parents receiving TCA for themselves and their children with an ident</w:t>
      </w:r>
      <w:r w:rsidRPr="004A0C12">
        <w:rPr>
          <w:rFonts w:ascii="Garamond" w:hAnsi="Garamond" w:cs="Times New Roman"/>
        </w:rPr>
        <w:t xml:space="preserve">ified substance abuse problem. </w:t>
      </w:r>
      <w:r w:rsidR="004705C8" w:rsidRPr="004A0C12">
        <w:rPr>
          <w:rFonts w:ascii="Garamond" w:hAnsi="Garamond" w:cs="Times New Roman"/>
        </w:rPr>
        <w:t>Those parents are provided access to seven substance abuse treatment beds at the Tuerk House subs</w:t>
      </w:r>
      <w:r w:rsidRPr="004A0C12">
        <w:rPr>
          <w:rFonts w:ascii="Garamond" w:hAnsi="Garamond" w:cs="Times New Roman"/>
        </w:rPr>
        <w:t xml:space="preserve">tance abuse treatment program. Additionally, </w:t>
      </w:r>
      <w:r w:rsidR="004705C8" w:rsidRPr="004A0C12">
        <w:rPr>
          <w:rFonts w:ascii="Garamond" w:hAnsi="Garamond" w:cs="Times New Roman"/>
        </w:rPr>
        <w:t>customers receive continuing treatment, as prescribed, parenting classes</w:t>
      </w:r>
      <w:r w:rsidRPr="004A0C12">
        <w:rPr>
          <w:rFonts w:ascii="Garamond" w:hAnsi="Garamond" w:cs="Times New Roman"/>
        </w:rPr>
        <w:t>,</w:t>
      </w:r>
      <w:r w:rsidR="004705C8" w:rsidRPr="004A0C12">
        <w:rPr>
          <w:rFonts w:ascii="Garamond" w:hAnsi="Garamond" w:cs="Times New Roman"/>
        </w:rPr>
        <w:t xml:space="preserve"> and support in the community.  </w:t>
      </w:r>
    </w:p>
    <w:p w14:paraId="3B6AEEA2" w14:textId="77777777" w:rsidR="004705C8" w:rsidRPr="004A0C12" w:rsidRDefault="004705C8" w:rsidP="004705C8">
      <w:pPr>
        <w:spacing w:after="0" w:line="240" w:lineRule="auto"/>
        <w:jc w:val="both"/>
        <w:rPr>
          <w:rFonts w:ascii="Garamond" w:hAnsi="Garamond" w:cs="Times New Roman"/>
        </w:rPr>
      </w:pPr>
    </w:p>
    <w:p w14:paraId="10519160" w14:textId="39B6DE3D" w:rsidR="004705C8" w:rsidRPr="004A0C12" w:rsidRDefault="004705C8" w:rsidP="00105EA3">
      <w:pPr>
        <w:spacing w:after="0" w:line="240" w:lineRule="auto"/>
        <w:jc w:val="both"/>
        <w:rPr>
          <w:rFonts w:ascii="Garamond" w:hAnsi="Garamond" w:cs="Times New Roman"/>
        </w:rPr>
      </w:pPr>
      <w:r w:rsidRPr="004A0C12">
        <w:rPr>
          <w:rFonts w:ascii="Garamond" w:hAnsi="Garamond" w:cs="Times New Roman"/>
        </w:rPr>
        <w:t>The primary objective is to demonstrate that a comprehensive family focused, community based, integrated substance treatment and support service delivery model reduces and prevents child maltreatment and other problems that jeopardize the health, safety</w:t>
      </w:r>
      <w:r w:rsidR="00105EA3" w:rsidRPr="004A0C12">
        <w:rPr>
          <w:rFonts w:ascii="Garamond" w:hAnsi="Garamond" w:cs="Times New Roman"/>
        </w:rPr>
        <w:t>,</w:t>
      </w:r>
      <w:r w:rsidRPr="004A0C12">
        <w:rPr>
          <w:rFonts w:ascii="Garamond" w:hAnsi="Garamond" w:cs="Times New Roman"/>
        </w:rPr>
        <w:t xml:space="preserve"> and indepen</w:t>
      </w:r>
      <w:r w:rsidR="00105EA3" w:rsidRPr="004A0C12">
        <w:rPr>
          <w:rFonts w:ascii="Garamond" w:hAnsi="Garamond" w:cs="Times New Roman"/>
        </w:rPr>
        <w:t>dent survival of some families.</w:t>
      </w:r>
      <w:r w:rsidRPr="004A0C12">
        <w:rPr>
          <w:rFonts w:ascii="Garamond" w:hAnsi="Garamond" w:cs="Times New Roman"/>
        </w:rPr>
        <w:t xml:space="preserve"> The program also provides help to needy families</w:t>
      </w:r>
      <w:r w:rsidR="00105EA3" w:rsidRPr="004A0C12">
        <w:rPr>
          <w:rFonts w:ascii="Garamond" w:hAnsi="Garamond" w:cs="Times New Roman"/>
        </w:rPr>
        <w:t>,</w:t>
      </w:r>
      <w:r w:rsidRPr="004A0C12">
        <w:rPr>
          <w:rFonts w:ascii="Garamond" w:hAnsi="Garamond" w:cs="Times New Roman"/>
        </w:rPr>
        <w:t xml:space="preserve"> so that children may </w:t>
      </w:r>
      <w:r w:rsidR="00105EA3" w:rsidRPr="004A0C12">
        <w:rPr>
          <w:rFonts w:ascii="Garamond" w:hAnsi="Garamond" w:cs="Times New Roman"/>
        </w:rPr>
        <w:t>be cared for in their homes in an effort to end</w:t>
      </w:r>
      <w:r w:rsidRPr="004A0C12">
        <w:rPr>
          <w:rFonts w:ascii="Garamond" w:hAnsi="Garamond" w:cs="Times New Roman"/>
        </w:rPr>
        <w:t xml:space="preserve"> the dependence of needy parents on government benefits by promoting job p</w:t>
      </w:r>
      <w:r w:rsidR="00105EA3" w:rsidRPr="004A0C12">
        <w:rPr>
          <w:rFonts w:ascii="Garamond" w:hAnsi="Garamond" w:cs="Times New Roman"/>
        </w:rPr>
        <w:t xml:space="preserve">reparation, work and marriage. </w:t>
      </w:r>
      <w:r w:rsidRPr="004A0C12">
        <w:rPr>
          <w:rFonts w:ascii="Garamond" w:hAnsi="Garamond" w:cs="Times New Roman"/>
        </w:rPr>
        <w:t xml:space="preserve">Eligibility is limited to families with income below 300 percent of </w:t>
      </w:r>
      <w:r w:rsidR="00105EA3" w:rsidRPr="004A0C12">
        <w:rPr>
          <w:rFonts w:ascii="Garamond" w:hAnsi="Garamond" w:cs="Times New Roman"/>
        </w:rPr>
        <w:t>the federal poverty level.</w:t>
      </w:r>
      <w:r w:rsidRPr="004A0C12">
        <w:rPr>
          <w:rFonts w:ascii="Garamond" w:hAnsi="Garamond" w:cs="Times New Roman"/>
        </w:rPr>
        <w:t xml:space="preserve"> This program provides non-assistance.</w:t>
      </w:r>
    </w:p>
    <w:p w14:paraId="2442CA9F" w14:textId="77777777" w:rsidR="004705C8" w:rsidRPr="00307FCC" w:rsidRDefault="004705C8" w:rsidP="004705C8">
      <w:pPr>
        <w:spacing w:after="0" w:line="240" w:lineRule="auto"/>
        <w:ind w:left="360"/>
        <w:jc w:val="both"/>
        <w:rPr>
          <w:rFonts w:ascii="Garamond" w:hAnsi="Garamond" w:cs="Times New Roman"/>
          <w:sz w:val="24"/>
        </w:rPr>
      </w:pPr>
    </w:p>
    <w:p w14:paraId="74EAAACA" w14:textId="77777777" w:rsidR="00902C29" w:rsidRPr="00307FCC" w:rsidRDefault="004705C8" w:rsidP="00105EA3">
      <w:pPr>
        <w:spacing w:after="0" w:line="240" w:lineRule="auto"/>
        <w:jc w:val="both"/>
        <w:rPr>
          <w:rFonts w:ascii="Garamond" w:hAnsi="Garamond" w:cs="Times New Roman"/>
          <w:sz w:val="24"/>
        </w:rPr>
      </w:pPr>
      <w:r w:rsidRPr="00307FCC">
        <w:rPr>
          <w:rStyle w:val="Heading4Char"/>
          <w:rFonts w:ascii="Garamond" w:hAnsi="Garamond"/>
          <w:sz w:val="24"/>
        </w:rPr>
        <w:t>Post-Entitlement Case Management Services</w:t>
      </w:r>
    </w:p>
    <w:p w14:paraId="3163F8D3" w14:textId="69A6F4B3" w:rsidR="004705C8" w:rsidRPr="004A0C12" w:rsidRDefault="004705C8" w:rsidP="00105EA3">
      <w:pPr>
        <w:spacing w:after="0" w:line="240" w:lineRule="auto"/>
        <w:jc w:val="both"/>
        <w:rPr>
          <w:rFonts w:ascii="Garamond" w:hAnsi="Garamond" w:cs="Times New Roman"/>
        </w:rPr>
      </w:pPr>
      <w:r w:rsidRPr="004A0C12">
        <w:rPr>
          <w:rFonts w:ascii="Garamond" w:hAnsi="Garamond" w:cs="Times New Roman"/>
        </w:rPr>
        <w:t>Services are provided to former TCA customers within twelve months of leaving TCA.  Case manageme</w:t>
      </w:r>
      <w:r w:rsidR="00105EA3" w:rsidRPr="004A0C12">
        <w:rPr>
          <w:rFonts w:ascii="Garamond" w:hAnsi="Garamond" w:cs="Times New Roman"/>
        </w:rPr>
        <w:t xml:space="preserve">nt services are provided to </w:t>
      </w:r>
      <w:r w:rsidRPr="004A0C12">
        <w:rPr>
          <w:rFonts w:ascii="Garamond" w:hAnsi="Garamond" w:cs="Times New Roman"/>
        </w:rPr>
        <w:t>former TCA famil</w:t>
      </w:r>
      <w:r w:rsidR="00105EA3" w:rsidRPr="004A0C12">
        <w:rPr>
          <w:rFonts w:ascii="Garamond" w:hAnsi="Garamond" w:cs="Times New Roman"/>
        </w:rPr>
        <w:t>ies</w:t>
      </w:r>
      <w:r w:rsidRPr="004A0C12">
        <w:rPr>
          <w:rFonts w:ascii="Garamond" w:hAnsi="Garamond" w:cs="Times New Roman"/>
        </w:rPr>
        <w:t xml:space="preserve"> for up to twelve months f</w:t>
      </w:r>
      <w:r w:rsidR="00105EA3" w:rsidRPr="004A0C12">
        <w:rPr>
          <w:rFonts w:ascii="Garamond" w:hAnsi="Garamond" w:cs="Times New Roman"/>
        </w:rPr>
        <w:t>rom the family’s last TCA grant.</w:t>
      </w:r>
      <w:r w:rsidRPr="004A0C12">
        <w:rPr>
          <w:rFonts w:ascii="Garamond" w:hAnsi="Garamond" w:cs="Times New Roman"/>
        </w:rPr>
        <w:t xml:space="preserve"> These services are tailored to help the family stay off assistance by providing individualized suppo</w:t>
      </w:r>
      <w:r w:rsidR="00105EA3" w:rsidRPr="004A0C12">
        <w:rPr>
          <w:rFonts w:ascii="Garamond" w:hAnsi="Garamond" w:cs="Times New Roman"/>
        </w:rPr>
        <w:t>rt and referrals to the family.</w:t>
      </w:r>
      <w:r w:rsidRPr="004A0C12">
        <w:rPr>
          <w:rFonts w:ascii="Garamond" w:hAnsi="Garamond" w:cs="Times New Roman"/>
        </w:rPr>
        <w:t xml:space="preserve"> The purpose is to end dependence of needy parents by promoting job preparation, work</w:t>
      </w:r>
      <w:r w:rsidR="00105EA3" w:rsidRPr="004A0C12">
        <w:rPr>
          <w:rFonts w:ascii="Garamond" w:hAnsi="Garamond" w:cs="Times New Roman"/>
        </w:rPr>
        <w:t>,</w:t>
      </w:r>
      <w:r w:rsidRPr="004A0C12">
        <w:rPr>
          <w:rFonts w:ascii="Garamond" w:hAnsi="Garamond" w:cs="Times New Roman"/>
        </w:rPr>
        <w:t xml:space="preserve"> and marriage.  Eligibility is limited to families with income within 300 percent of poverty</w:t>
      </w:r>
      <w:r w:rsidR="00105EA3" w:rsidRPr="004A0C12">
        <w:rPr>
          <w:rFonts w:ascii="Garamond" w:hAnsi="Garamond" w:cs="Times New Roman"/>
        </w:rPr>
        <w:t xml:space="preserve"> and $5,000 or less in assets. </w:t>
      </w:r>
      <w:r w:rsidRPr="004A0C12">
        <w:rPr>
          <w:rFonts w:ascii="Garamond" w:hAnsi="Garamond" w:cs="Times New Roman"/>
        </w:rPr>
        <w:t xml:space="preserve">This program provides non-assistance.   </w:t>
      </w:r>
    </w:p>
    <w:p w14:paraId="634D7FEE" w14:textId="77777777" w:rsidR="004705C8" w:rsidRPr="004A0C12" w:rsidRDefault="004705C8" w:rsidP="004705C8">
      <w:pPr>
        <w:tabs>
          <w:tab w:val="left" w:pos="-1440"/>
        </w:tabs>
        <w:spacing w:after="0" w:line="240" w:lineRule="auto"/>
        <w:jc w:val="both"/>
        <w:rPr>
          <w:rFonts w:ascii="Garamond" w:hAnsi="Garamond" w:cs="Times New Roman"/>
        </w:rPr>
      </w:pPr>
    </w:p>
    <w:p w14:paraId="4C33C1E0" w14:textId="77777777" w:rsidR="00902C29" w:rsidRPr="00307FCC" w:rsidRDefault="004705C8" w:rsidP="00105EA3">
      <w:pPr>
        <w:pStyle w:val="BodyText2"/>
        <w:spacing w:after="0" w:line="240" w:lineRule="auto"/>
        <w:jc w:val="both"/>
        <w:rPr>
          <w:rFonts w:ascii="Garamond" w:hAnsi="Garamond" w:cs="Times New Roman"/>
          <w:sz w:val="24"/>
        </w:rPr>
      </w:pPr>
      <w:r w:rsidRPr="00307FCC">
        <w:rPr>
          <w:rStyle w:val="Heading4Char"/>
          <w:rFonts w:ascii="Garamond" w:hAnsi="Garamond"/>
          <w:sz w:val="24"/>
        </w:rPr>
        <w:lastRenderedPageBreak/>
        <w:t>Attendant Care Program</w:t>
      </w:r>
    </w:p>
    <w:p w14:paraId="2F31C007" w14:textId="78A19E3D" w:rsidR="004705C8" w:rsidRPr="004A0C12" w:rsidRDefault="004705C8" w:rsidP="00105EA3">
      <w:pPr>
        <w:pStyle w:val="BodyText2"/>
        <w:spacing w:after="0" w:line="240" w:lineRule="auto"/>
        <w:jc w:val="both"/>
        <w:rPr>
          <w:rFonts w:ascii="Garamond" w:hAnsi="Garamond" w:cs="Times New Roman"/>
        </w:rPr>
      </w:pPr>
      <w:r w:rsidRPr="004A0C12">
        <w:rPr>
          <w:rFonts w:ascii="Garamond" w:hAnsi="Garamond" w:cs="Times New Roman"/>
        </w:rPr>
        <w:t>The Attendant Care Program allows individuals, in needy families with children, with chronic or permanent physical disabilities</w:t>
      </w:r>
      <w:r w:rsidR="00105EA3" w:rsidRPr="004A0C12">
        <w:rPr>
          <w:rFonts w:ascii="Garamond" w:hAnsi="Garamond" w:cs="Times New Roman"/>
        </w:rPr>
        <w:t>,</w:t>
      </w:r>
      <w:r w:rsidRPr="004A0C12">
        <w:rPr>
          <w:rFonts w:ascii="Garamond" w:hAnsi="Garamond" w:cs="Times New Roman"/>
        </w:rPr>
        <w:t xml:space="preserve"> to maintain their independence, and live with the</w:t>
      </w:r>
      <w:r w:rsidR="00105EA3" w:rsidRPr="004A0C12">
        <w:rPr>
          <w:rFonts w:ascii="Garamond" w:hAnsi="Garamond" w:cs="Times New Roman"/>
        </w:rPr>
        <w:t xml:space="preserve">ir families in their own homes. </w:t>
      </w:r>
      <w:r w:rsidRPr="004A0C12">
        <w:rPr>
          <w:rFonts w:ascii="Garamond" w:hAnsi="Garamond" w:cs="Times New Roman"/>
        </w:rPr>
        <w:t>This includes adults who are currently employed or seeking employment or enrolled in post</w:t>
      </w:r>
      <w:r w:rsidR="00105EA3" w:rsidRPr="004A0C12">
        <w:rPr>
          <w:rFonts w:ascii="Garamond" w:hAnsi="Garamond" w:cs="Times New Roman"/>
        </w:rPr>
        <w:t>-secondary or higher education.</w:t>
      </w:r>
      <w:r w:rsidRPr="004A0C12">
        <w:rPr>
          <w:rFonts w:ascii="Garamond" w:hAnsi="Garamond" w:cs="Times New Roman"/>
        </w:rPr>
        <w:t xml:space="preserve"> The program also serves adults who can be discharged from, or avoid placement in, a nursing home or similar institution to live at home with their family on the basi</w:t>
      </w:r>
      <w:r w:rsidR="00105EA3" w:rsidRPr="004A0C12">
        <w:rPr>
          <w:rFonts w:ascii="Garamond" w:hAnsi="Garamond" w:cs="Times New Roman"/>
        </w:rPr>
        <w:t xml:space="preserve">s of receiving these benefits. </w:t>
      </w:r>
      <w:r w:rsidRPr="004A0C12">
        <w:rPr>
          <w:rFonts w:ascii="Garamond" w:hAnsi="Garamond" w:cs="Times New Roman"/>
        </w:rPr>
        <w:t xml:space="preserve">However, Maryland will only claim expenditures made on behalf of eligible families. </w:t>
      </w:r>
    </w:p>
    <w:p w14:paraId="22A09BF8" w14:textId="77777777" w:rsidR="004705C8" w:rsidRPr="004A0C12" w:rsidRDefault="004705C8" w:rsidP="004705C8">
      <w:pPr>
        <w:pStyle w:val="BodyText2"/>
        <w:spacing w:after="0" w:line="240" w:lineRule="auto"/>
        <w:ind w:left="360"/>
        <w:jc w:val="both"/>
        <w:rPr>
          <w:rFonts w:ascii="Garamond" w:hAnsi="Garamond" w:cs="Times New Roman"/>
        </w:rPr>
      </w:pPr>
    </w:p>
    <w:p w14:paraId="068C4141" w14:textId="3479A0E6" w:rsidR="004705C8" w:rsidRPr="004A0C12" w:rsidRDefault="004705C8" w:rsidP="00105EA3">
      <w:pPr>
        <w:pStyle w:val="BodyText2"/>
        <w:spacing w:after="0" w:line="240" w:lineRule="auto"/>
        <w:jc w:val="both"/>
        <w:rPr>
          <w:rFonts w:ascii="Garamond" w:hAnsi="Garamond" w:cs="Times New Roman"/>
        </w:rPr>
      </w:pPr>
      <w:r w:rsidRPr="004A0C12">
        <w:rPr>
          <w:rFonts w:ascii="Garamond" w:hAnsi="Garamond" w:cs="Times New Roman"/>
        </w:rPr>
        <w:t>The program provides financial reimbursement to adults who must rely on the services of attendants for help with bathing, dressing, eating</w:t>
      </w:r>
      <w:r w:rsidR="0012354F" w:rsidRPr="004A0C12">
        <w:rPr>
          <w:rFonts w:ascii="Garamond" w:hAnsi="Garamond" w:cs="Times New Roman"/>
        </w:rPr>
        <w:t>,</w:t>
      </w:r>
      <w:r w:rsidRPr="004A0C12">
        <w:rPr>
          <w:rFonts w:ascii="Garamond" w:hAnsi="Garamond" w:cs="Times New Roman"/>
        </w:rPr>
        <w:t xml:space="preserve"> and transportation, in order for them to seek or maintain employment, participate in an educational or training program, or to prevent an in</w:t>
      </w:r>
      <w:r w:rsidR="0012354F" w:rsidRPr="004A0C12">
        <w:rPr>
          <w:rFonts w:ascii="Garamond" w:hAnsi="Garamond" w:cs="Times New Roman"/>
        </w:rPr>
        <w:t>stitutional living arrangement.</w:t>
      </w:r>
      <w:r w:rsidRPr="004A0C12">
        <w:rPr>
          <w:rFonts w:ascii="Garamond" w:hAnsi="Garamond" w:cs="Times New Roman"/>
        </w:rPr>
        <w:t xml:space="preserve"> Eligibility is limited to families with income below 300 percent</w:t>
      </w:r>
      <w:r w:rsidR="0012354F" w:rsidRPr="004A0C12">
        <w:rPr>
          <w:rFonts w:ascii="Garamond" w:hAnsi="Garamond" w:cs="Times New Roman"/>
        </w:rPr>
        <w:t xml:space="preserve"> of the federal poverty level. </w:t>
      </w:r>
      <w:r w:rsidRPr="004A0C12">
        <w:rPr>
          <w:rFonts w:ascii="Garamond" w:hAnsi="Garamond" w:cs="Times New Roman"/>
        </w:rPr>
        <w:t>Payment is calculated using a sliding scale based on annua</w:t>
      </w:r>
      <w:r w:rsidR="0012354F" w:rsidRPr="004A0C12">
        <w:rPr>
          <w:rFonts w:ascii="Garamond" w:hAnsi="Garamond" w:cs="Times New Roman"/>
        </w:rPr>
        <w:t>l gross income and family size.</w:t>
      </w:r>
      <w:r w:rsidRPr="004A0C12">
        <w:rPr>
          <w:rFonts w:ascii="Garamond" w:hAnsi="Garamond" w:cs="Times New Roman"/>
        </w:rPr>
        <w:t xml:space="preserve"> This program provides non-assistance.</w:t>
      </w:r>
    </w:p>
    <w:p w14:paraId="4DB00B04" w14:textId="77777777" w:rsidR="004705C8" w:rsidRPr="004A0C12" w:rsidRDefault="004705C8" w:rsidP="004705C8">
      <w:pPr>
        <w:spacing w:after="0" w:line="240" w:lineRule="auto"/>
        <w:ind w:left="360"/>
        <w:jc w:val="both"/>
        <w:rPr>
          <w:rFonts w:ascii="Garamond" w:hAnsi="Garamond" w:cs="Times New Roman"/>
        </w:rPr>
      </w:pPr>
    </w:p>
    <w:p w14:paraId="27FA033C" w14:textId="77777777" w:rsidR="00902C29" w:rsidRPr="00307FCC" w:rsidRDefault="004705C8" w:rsidP="0012354F">
      <w:pPr>
        <w:widowControl w:val="0"/>
        <w:spacing w:after="0" w:line="240" w:lineRule="auto"/>
        <w:jc w:val="both"/>
        <w:rPr>
          <w:rFonts w:ascii="Garamond" w:hAnsi="Garamond" w:cs="Times New Roman"/>
          <w:sz w:val="24"/>
        </w:rPr>
      </w:pPr>
      <w:r w:rsidRPr="00307FCC">
        <w:rPr>
          <w:rStyle w:val="Heading4Char"/>
          <w:rFonts w:ascii="Garamond" w:hAnsi="Garamond"/>
          <w:sz w:val="24"/>
        </w:rPr>
        <w:t>In-Home Aide Services Program (IHAS)</w:t>
      </w:r>
    </w:p>
    <w:p w14:paraId="75A37F54" w14:textId="3D5ACD25" w:rsidR="004705C8" w:rsidRPr="004A0C12" w:rsidRDefault="0012354F" w:rsidP="0012354F">
      <w:pPr>
        <w:widowControl w:val="0"/>
        <w:spacing w:after="0" w:line="240" w:lineRule="auto"/>
        <w:jc w:val="both"/>
        <w:rPr>
          <w:rFonts w:ascii="Garamond" w:hAnsi="Garamond" w:cs="Times New Roman"/>
        </w:rPr>
      </w:pPr>
      <w:r w:rsidRPr="004A0C12">
        <w:rPr>
          <w:rFonts w:ascii="Garamond" w:hAnsi="Garamond" w:cs="Times New Roman"/>
        </w:rPr>
        <w:t>This program</w:t>
      </w:r>
      <w:r w:rsidR="004705C8" w:rsidRPr="004A0C12">
        <w:rPr>
          <w:rFonts w:ascii="Garamond" w:hAnsi="Garamond" w:cs="Times New Roman"/>
        </w:rPr>
        <w:t xml:space="preserve"> assists individuals in needy families with activities of personal care with nursing supervision, chore services, meal planning and preparation, transportation/escort services, respite care, training in self-care, and/or care taking skills (help with</w:t>
      </w:r>
      <w:r w:rsidRPr="004A0C12">
        <w:rPr>
          <w:rFonts w:ascii="Garamond" w:hAnsi="Garamond" w:cs="Times New Roman"/>
        </w:rPr>
        <w:t xml:space="preserve"> children or homemaking tasks).</w:t>
      </w:r>
      <w:r w:rsidR="004705C8" w:rsidRPr="004A0C12">
        <w:rPr>
          <w:rFonts w:ascii="Garamond" w:hAnsi="Garamond" w:cs="Times New Roman"/>
        </w:rPr>
        <w:t xml:space="preserve"> The program also offers family members training in care-giving skills, and guidance and support in coping with stress associated with care giving.  </w:t>
      </w:r>
    </w:p>
    <w:p w14:paraId="1C58A26B" w14:textId="77777777" w:rsidR="004705C8" w:rsidRPr="004A0C12" w:rsidRDefault="004705C8" w:rsidP="004705C8">
      <w:pPr>
        <w:spacing w:after="0" w:line="240" w:lineRule="auto"/>
        <w:jc w:val="both"/>
        <w:rPr>
          <w:rFonts w:ascii="Garamond" w:hAnsi="Garamond" w:cs="Times New Roman"/>
        </w:rPr>
      </w:pPr>
    </w:p>
    <w:p w14:paraId="0F5BA1BD" w14:textId="5D90C326" w:rsidR="004705C8" w:rsidRPr="004A0C12" w:rsidRDefault="004705C8" w:rsidP="0012354F">
      <w:pPr>
        <w:spacing w:after="0" w:line="240" w:lineRule="auto"/>
        <w:jc w:val="both"/>
        <w:rPr>
          <w:rFonts w:ascii="Garamond" w:hAnsi="Garamond" w:cs="Times New Roman"/>
        </w:rPr>
      </w:pPr>
      <w:r w:rsidRPr="004A0C12">
        <w:rPr>
          <w:rFonts w:ascii="Garamond" w:hAnsi="Garamond" w:cs="Times New Roman"/>
        </w:rPr>
        <w:t>Another component of the program provides Parent Aides</w:t>
      </w:r>
      <w:r w:rsidR="0012354F" w:rsidRPr="004A0C12">
        <w:rPr>
          <w:rFonts w:ascii="Garamond" w:hAnsi="Garamond" w:cs="Times New Roman"/>
        </w:rPr>
        <w:t>,</w:t>
      </w:r>
      <w:r w:rsidRPr="004A0C12">
        <w:rPr>
          <w:rFonts w:ascii="Garamond" w:hAnsi="Garamond" w:cs="Times New Roman"/>
        </w:rPr>
        <w:t xml:space="preserve"> who intervene to prevent child abuse and neglect </w:t>
      </w:r>
      <w:r w:rsidR="0012354F" w:rsidRPr="004A0C12">
        <w:rPr>
          <w:rFonts w:ascii="Garamond" w:hAnsi="Garamond" w:cs="Times New Roman"/>
        </w:rPr>
        <w:t>by providing hands on service,</w:t>
      </w:r>
      <w:r w:rsidRPr="004A0C12">
        <w:rPr>
          <w:rFonts w:ascii="Garamond" w:hAnsi="Garamond" w:cs="Times New Roman"/>
        </w:rPr>
        <w:t xml:space="preserve"> help with children or homemaking tasks when parents are unabl</w:t>
      </w:r>
      <w:r w:rsidR="0012354F" w:rsidRPr="004A0C12">
        <w:rPr>
          <w:rFonts w:ascii="Garamond" w:hAnsi="Garamond" w:cs="Times New Roman"/>
        </w:rPr>
        <w:t xml:space="preserve">e to perform these activities. </w:t>
      </w:r>
      <w:r w:rsidRPr="004A0C12">
        <w:rPr>
          <w:rFonts w:ascii="Garamond" w:hAnsi="Garamond" w:cs="Times New Roman"/>
        </w:rPr>
        <w:t>As a result, the home remains a safe environment for the child and there are more opportunities for the pare</w:t>
      </w:r>
      <w:r w:rsidR="006B3C64" w:rsidRPr="004A0C12">
        <w:rPr>
          <w:rFonts w:ascii="Garamond" w:hAnsi="Garamond" w:cs="Times New Roman"/>
        </w:rPr>
        <w:t xml:space="preserve">nt to interact with the child. </w:t>
      </w:r>
      <w:r w:rsidRPr="004A0C12">
        <w:rPr>
          <w:rFonts w:ascii="Garamond" w:hAnsi="Garamond" w:cs="Times New Roman"/>
        </w:rPr>
        <w:t>This pr</w:t>
      </w:r>
      <w:r w:rsidR="006B3C64" w:rsidRPr="004A0C12">
        <w:rPr>
          <w:rFonts w:ascii="Garamond" w:hAnsi="Garamond" w:cs="Times New Roman"/>
        </w:rPr>
        <w:t>ogram serves families under 300 percent</w:t>
      </w:r>
      <w:r w:rsidRPr="004A0C12">
        <w:rPr>
          <w:rFonts w:ascii="Garamond" w:hAnsi="Garamond" w:cs="Times New Roman"/>
        </w:rPr>
        <w:t xml:space="preserve"> of </w:t>
      </w:r>
      <w:r w:rsidR="006B3C64" w:rsidRPr="004A0C12">
        <w:rPr>
          <w:rFonts w:ascii="Garamond" w:hAnsi="Garamond" w:cs="Times New Roman"/>
        </w:rPr>
        <w:t xml:space="preserve">the </w:t>
      </w:r>
      <w:r w:rsidRPr="004A0C12">
        <w:rPr>
          <w:rFonts w:ascii="Garamond" w:hAnsi="Garamond" w:cs="Times New Roman"/>
        </w:rPr>
        <w:t>poverty</w:t>
      </w:r>
      <w:r w:rsidR="006B3C64" w:rsidRPr="004A0C12">
        <w:rPr>
          <w:rFonts w:ascii="Garamond" w:hAnsi="Garamond" w:cs="Times New Roman"/>
        </w:rPr>
        <w:t xml:space="preserve"> level</w:t>
      </w:r>
      <w:r w:rsidRPr="004A0C12">
        <w:rPr>
          <w:rFonts w:ascii="Garamond" w:hAnsi="Garamond" w:cs="Times New Roman"/>
        </w:rPr>
        <w:t>. This program provides non-assistance.</w:t>
      </w:r>
    </w:p>
    <w:p w14:paraId="49589259" w14:textId="77777777" w:rsidR="004705C8" w:rsidRPr="00307FCC" w:rsidRDefault="004705C8" w:rsidP="004705C8">
      <w:pPr>
        <w:pStyle w:val="Footer"/>
        <w:jc w:val="both"/>
        <w:rPr>
          <w:rFonts w:ascii="Garamond" w:hAnsi="Garamond" w:cs="Times New Roman"/>
          <w:sz w:val="24"/>
        </w:rPr>
      </w:pPr>
    </w:p>
    <w:p w14:paraId="257C3226" w14:textId="77777777" w:rsidR="00902C29" w:rsidRPr="00307FCC" w:rsidRDefault="004705C8" w:rsidP="0012354F">
      <w:pPr>
        <w:widowControl w:val="0"/>
        <w:suppressAutoHyphens/>
        <w:spacing w:after="0" w:line="240" w:lineRule="auto"/>
        <w:jc w:val="both"/>
        <w:rPr>
          <w:rFonts w:ascii="Garamond" w:hAnsi="Garamond" w:cs="Times New Roman"/>
          <w:sz w:val="24"/>
          <w:u w:val="single"/>
        </w:rPr>
      </w:pPr>
      <w:r w:rsidRPr="00307FCC">
        <w:rPr>
          <w:rStyle w:val="Heading4Char"/>
          <w:rFonts w:ascii="Garamond" w:hAnsi="Garamond"/>
          <w:sz w:val="24"/>
        </w:rPr>
        <w:t>Job S</w:t>
      </w:r>
      <w:r w:rsidR="0012354F" w:rsidRPr="00307FCC">
        <w:rPr>
          <w:rStyle w:val="Heading4Char"/>
          <w:rFonts w:ascii="Garamond" w:hAnsi="Garamond"/>
          <w:sz w:val="24"/>
        </w:rPr>
        <w:t>kills Enhancement Pilot Program</w:t>
      </w:r>
    </w:p>
    <w:p w14:paraId="65F32D22" w14:textId="289CA8D5" w:rsidR="004705C8" w:rsidRPr="004A0C12" w:rsidRDefault="004705C8" w:rsidP="0012354F">
      <w:pPr>
        <w:widowControl w:val="0"/>
        <w:suppressAutoHyphens/>
        <w:spacing w:after="0" w:line="240" w:lineRule="auto"/>
        <w:jc w:val="both"/>
        <w:rPr>
          <w:rFonts w:ascii="Garamond" w:hAnsi="Garamond" w:cs="Times New Roman"/>
        </w:rPr>
      </w:pPr>
      <w:r w:rsidRPr="004A0C12">
        <w:rPr>
          <w:rFonts w:ascii="Garamond" w:hAnsi="Garamond" w:cs="Times New Roman"/>
        </w:rPr>
        <w:t>The Jobs Skills Enhancement Pilot Program is in limited areas and targets newly employed, unskilled</w:t>
      </w:r>
      <w:r w:rsidR="006B3C64" w:rsidRPr="004A0C12">
        <w:rPr>
          <w:rFonts w:ascii="Garamond" w:hAnsi="Garamond" w:cs="Times New Roman"/>
        </w:rPr>
        <w:t>,</w:t>
      </w:r>
      <w:r w:rsidRPr="004A0C12">
        <w:rPr>
          <w:rFonts w:ascii="Garamond" w:hAnsi="Garamond" w:cs="Times New Roman"/>
        </w:rPr>
        <w:t xml:space="preserve"> and semis</w:t>
      </w:r>
      <w:r w:rsidR="006B3C64" w:rsidRPr="004A0C12">
        <w:rPr>
          <w:rFonts w:ascii="Garamond" w:hAnsi="Garamond" w:cs="Times New Roman"/>
        </w:rPr>
        <w:t>killed, current TCA recipients.</w:t>
      </w:r>
      <w:r w:rsidRPr="004A0C12">
        <w:rPr>
          <w:rFonts w:ascii="Garamond" w:hAnsi="Garamond" w:cs="Times New Roman"/>
        </w:rPr>
        <w:t xml:space="preserve"> Former T</w:t>
      </w:r>
      <w:r w:rsidR="00C453E2" w:rsidRPr="004A0C12">
        <w:rPr>
          <w:rFonts w:ascii="Garamond" w:hAnsi="Garamond" w:cs="Times New Roman"/>
        </w:rPr>
        <w:t>CA recipients are also targeted</w:t>
      </w:r>
      <w:r w:rsidRPr="004A0C12">
        <w:rPr>
          <w:rFonts w:ascii="Garamond" w:hAnsi="Garamond" w:cs="Times New Roman"/>
        </w:rPr>
        <w:t xml:space="preserve"> as part of the post-entitlement continuing services package provided to fa</w:t>
      </w:r>
      <w:r w:rsidR="00C453E2" w:rsidRPr="004A0C12">
        <w:rPr>
          <w:rFonts w:ascii="Garamond" w:hAnsi="Garamond" w:cs="Times New Roman"/>
        </w:rPr>
        <w:t xml:space="preserve">milies beyond cash assistance. </w:t>
      </w:r>
      <w:r w:rsidRPr="004A0C12">
        <w:rPr>
          <w:rFonts w:ascii="Garamond" w:hAnsi="Garamond" w:cs="Times New Roman"/>
        </w:rPr>
        <w:t>Participants are provided with training to enhance existing skills, gain additional or alternative skills, or learn interpersonal communication and other related skills to retain their jobs and increase the potential for advancement beyon</w:t>
      </w:r>
      <w:r w:rsidR="00C453E2" w:rsidRPr="004A0C12">
        <w:rPr>
          <w:rFonts w:ascii="Garamond" w:hAnsi="Garamond" w:cs="Times New Roman"/>
        </w:rPr>
        <w:t xml:space="preserve">d their entry-level positions. </w:t>
      </w:r>
      <w:r w:rsidRPr="004A0C12">
        <w:rPr>
          <w:rFonts w:ascii="Garamond" w:hAnsi="Garamond" w:cs="Times New Roman"/>
        </w:rPr>
        <w:t>The pilot program is administered by the Local Departments of Social Services or through the State</w:t>
      </w:r>
      <w:r w:rsidR="00C453E2" w:rsidRPr="004A0C12">
        <w:rPr>
          <w:rFonts w:ascii="Garamond" w:hAnsi="Garamond" w:cs="Times New Roman"/>
        </w:rPr>
        <w:t xml:space="preserve"> service delivery area system. </w:t>
      </w:r>
      <w:r w:rsidRPr="004A0C12">
        <w:rPr>
          <w:rFonts w:ascii="Garamond" w:hAnsi="Garamond" w:cs="Times New Roman"/>
        </w:rPr>
        <w:t>This program prov</w:t>
      </w:r>
      <w:r w:rsidR="00C453E2" w:rsidRPr="004A0C12">
        <w:rPr>
          <w:rFonts w:ascii="Garamond" w:hAnsi="Garamond" w:cs="Times New Roman"/>
        </w:rPr>
        <w:t xml:space="preserve">ides non-assistance. </w:t>
      </w:r>
      <w:r w:rsidRPr="004A0C12">
        <w:rPr>
          <w:rFonts w:ascii="Garamond" w:hAnsi="Garamond" w:cs="Times New Roman"/>
        </w:rPr>
        <w:t xml:space="preserve">Current TCA recipients </w:t>
      </w:r>
      <w:r w:rsidR="00C453E2" w:rsidRPr="004A0C12">
        <w:rPr>
          <w:rFonts w:ascii="Garamond" w:hAnsi="Garamond" w:cs="Times New Roman"/>
        </w:rPr>
        <w:t xml:space="preserve">are eligible for this program. </w:t>
      </w:r>
      <w:r w:rsidRPr="004A0C12">
        <w:rPr>
          <w:rFonts w:ascii="Garamond" w:hAnsi="Garamond" w:cs="Times New Roman"/>
        </w:rPr>
        <w:t xml:space="preserve">Former recipients are eligible if they meet the criteria below: </w:t>
      </w:r>
    </w:p>
    <w:p w14:paraId="28BBA1ED" w14:textId="77777777" w:rsidR="006B3C64" w:rsidRPr="004A0C12" w:rsidRDefault="006B3C64" w:rsidP="0012354F">
      <w:pPr>
        <w:widowControl w:val="0"/>
        <w:suppressAutoHyphens/>
        <w:spacing w:after="0" w:line="240" w:lineRule="auto"/>
        <w:jc w:val="both"/>
        <w:rPr>
          <w:rFonts w:ascii="Garamond" w:hAnsi="Garamond" w:cs="Times New Roman"/>
        </w:rPr>
      </w:pPr>
    </w:p>
    <w:p w14:paraId="3D175229" w14:textId="77777777" w:rsidR="004705C8" w:rsidRPr="004A0C12" w:rsidRDefault="004705C8" w:rsidP="00232F09">
      <w:pPr>
        <w:widowControl w:val="0"/>
        <w:numPr>
          <w:ilvl w:val="0"/>
          <w:numId w:val="185"/>
        </w:numPr>
        <w:suppressAutoHyphens/>
        <w:spacing w:after="0" w:line="240" w:lineRule="auto"/>
        <w:ind w:left="720"/>
        <w:jc w:val="both"/>
        <w:rPr>
          <w:rFonts w:ascii="Garamond" w:hAnsi="Garamond" w:cs="Times New Roman"/>
        </w:rPr>
      </w:pPr>
      <w:r w:rsidRPr="004A0C12">
        <w:rPr>
          <w:rFonts w:ascii="Garamond" w:hAnsi="Garamond" w:cs="Times New Roman"/>
        </w:rPr>
        <w:t>Former recipients’ assets must not exceed $5,000;</w:t>
      </w:r>
    </w:p>
    <w:p w14:paraId="42B7BC72" w14:textId="353989B2" w:rsidR="004705C8" w:rsidRPr="004A0C12" w:rsidRDefault="004705C8" w:rsidP="00232F09">
      <w:pPr>
        <w:widowControl w:val="0"/>
        <w:numPr>
          <w:ilvl w:val="0"/>
          <w:numId w:val="185"/>
        </w:numPr>
        <w:suppressAutoHyphens/>
        <w:spacing w:after="0" w:line="240" w:lineRule="auto"/>
        <w:ind w:left="720"/>
        <w:jc w:val="both"/>
        <w:rPr>
          <w:rFonts w:ascii="Garamond" w:hAnsi="Garamond" w:cs="Times New Roman"/>
        </w:rPr>
      </w:pPr>
      <w:r w:rsidRPr="004A0C12">
        <w:rPr>
          <w:rFonts w:ascii="Garamond" w:hAnsi="Garamond" w:cs="Times New Roman"/>
        </w:rPr>
        <w:t>Income cannot exceed 300 percent of the federal poverty level for a comparable family size; and</w:t>
      </w:r>
      <w:r w:rsidR="00C453E2" w:rsidRPr="004A0C12">
        <w:rPr>
          <w:rFonts w:ascii="Garamond" w:hAnsi="Garamond" w:cs="Times New Roman"/>
        </w:rPr>
        <w:t>,</w:t>
      </w:r>
    </w:p>
    <w:p w14:paraId="1DC53B2E" w14:textId="77777777" w:rsidR="004705C8" w:rsidRPr="004A0C12" w:rsidRDefault="004705C8" w:rsidP="00232F09">
      <w:pPr>
        <w:widowControl w:val="0"/>
        <w:numPr>
          <w:ilvl w:val="0"/>
          <w:numId w:val="185"/>
        </w:numPr>
        <w:suppressAutoHyphens/>
        <w:spacing w:after="0" w:line="240" w:lineRule="auto"/>
        <w:ind w:left="720"/>
        <w:jc w:val="both"/>
        <w:rPr>
          <w:rFonts w:ascii="Garamond" w:hAnsi="Garamond" w:cs="Times New Roman"/>
        </w:rPr>
      </w:pPr>
      <w:r w:rsidRPr="004A0C12">
        <w:rPr>
          <w:rFonts w:ascii="Garamond" w:hAnsi="Garamond" w:cs="Times New Roman"/>
        </w:rPr>
        <w:t>One vehicle for each employed family member is excluded.</w:t>
      </w:r>
    </w:p>
    <w:p w14:paraId="327C1E6A" w14:textId="77777777" w:rsidR="004705C8" w:rsidRPr="00307FCC" w:rsidRDefault="004705C8" w:rsidP="004705C8">
      <w:pPr>
        <w:suppressAutoHyphens/>
        <w:spacing w:after="0" w:line="240" w:lineRule="auto"/>
        <w:ind w:left="360"/>
        <w:jc w:val="both"/>
        <w:rPr>
          <w:rFonts w:ascii="Garamond" w:hAnsi="Garamond" w:cs="Times New Roman"/>
          <w:sz w:val="24"/>
        </w:rPr>
      </w:pPr>
    </w:p>
    <w:p w14:paraId="1C4B472A" w14:textId="77777777" w:rsidR="00902C29" w:rsidRPr="00307FCC" w:rsidRDefault="004705C8" w:rsidP="00C453E2">
      <w:pPr>
        <w:pStyle w:val="Heading3"/>
        <w:keepLines w:val="0"/>
        <w:spacing w:before="0" w:line="240" w:lineRule="auto"/>
        <w:jc w:val="both"/>
        <w:rPr>
          <w:rFonts w:ascii="Garamond" w:hAnsi="Garamond" w:cs="Times New Roman"/>
          <w:b w:val="0"/>
          <w:color w:val="auto"/>
          <w:sz w:val="24"/>
        </w:rPr>
      </w:pPr>
      <w:bookmarkStart w:id="239" w:name="_Toc447276266"/>
      <w:bookmarkStart w:id="240" w:name="_Toc440635672"/>
      <w:r w:rsidRPr="00307FCC">
        <w:rPr>
          <w:rStyle w:val="Heading4Char"/>
          <w:rFonts w:ascii="Garamond" w:hAnsi="Garamond"/>
          <w:b/>
          <w:sz w:val="24"/>
        </w:rPr>
        <w:t>Job Skills Enhancement for Non-TCA Families Program</w:t>
      </w:r>
      <w:bookmarkEnd w:id="239"/>
    </w:p>
    <w:p w14:paraId="5EA7A604" w14:textId="0EF5C65D" w:rsidR="004705C8" w:rsidRPr="004A0C12" w:rsidRDefault="004705C8" w:rsidP="00C453E2">
      <w:pPr>
        <w:pStyle w:val="Heading3"/>
        <w:keepLines w:val="0"/>
        <w:spacing w:before="0" w:line="240" w:lineRule="auto"/>
        <w:jc w:val="both"/>
        <w:rPr>
          <w:rFonts w:ascii="Garamond" w:hAnsi="Garamond" w:cs="Times New Roman"/>
          <w:b w:val="0"/>
          <w:color w:val="auto"/>
        </w:rPr>
      </w:pPr>
      <w:bookmarkStart w:id="241" w:name="_Toc445839715"/>
      <w:bookmarkStart w:id="242" w:name="_Toc447216123"/>
      <w:bookmarkStart w:id="243" w:name="_Toc447276267"/>
      <w:r w:rsidRPr="004A0C12">
        <w:rPr>
          <w:rFonts w:ascii="Garamond" w:hAnsi="Garamond" w:cs="Times New Roman"/>
          <w:b w:val="0"/>
          <w:color w:val="auto"/>
        </w:rPr>
        <w:t>The Job Skills Enhancement for Non-TCA Families Program provides comprehensive job skills enhancement services to low-income working families whose employed members’ lack of job skills consigns the family to inadequate income and little opportunity for im</w:t>
      </w:r>
      <w:r w:rsidR="00C453E2" w:rsidRPr="004A0C12">
        <w:rPr>
          <w:rFonts w:ascii="Garamond" w:hAnsi="Garamond" w:cs="Times New Roman"/>
          <w:b w:val="0"/>
          <w:color w:val="auto"/>
        </w:rPr>
        <w:t xml:space="preserve">proved earnings in the future. </w:t>
      </w:r>
      <w:r w:rsidRPr="004A0C12">
        <w:rPr>
          <w:rFonts w:ascii="Garamond" w:hAnsi="Garamond" w:cs="Times New Roman"/>
          <w:b w:val="0"/>
          <w:color w:val="auto"/>
        </w:rPr>
        <w:t xml:space="preserve">Such families are </w:t>
      </w:r>
      <w:r w:rsidR="00C453E2" w:rsidRPr="004A0C12">
        <w:rPr>
          <w:rFonts w:ascii="Garamond" w:hAnsi="Garamond" w:cs="Times New Roman"/>
          <w:b w:val="0"/>
          <w:color w:val="auto"/>
        </w:rPr>
        <w:t xml:space="preserve">at risk of welfare dependence. </w:t>
      </w:r>
      <w:r w:rsidRPr="004A0C12">
        <w:rPr>
          <w:rFonts w:ascii="Garamond" w:hAnsi="Garamond" w:cs="Times New Roman"/>
          <w:b w:val="0"/>
          <w:color w:val="auto"/>
        </w:rPr>
        <w:t>By enhancing the job skills of these wage earners, this program improves participants’ incomes and their capacity for long term financial self-sufficiency.</w:t>
      </w:r>
      <w:bookmarkEnd w:id="240"/>
      <w:bookmarkEnd w:id="241"/>
      <w:bookmarkEnd w:id="242"/>
      <w:bookmarkEnd w:id="243"/>
    </w:p>
    <w:p w14:paraId="6098DBAA" w14:textId="77777777" w:rsidR="004705C8" w:rsidRPr="004A0C12" w:rsidRDefault="004705C8" w:rsidP="004705C8">
      <w:pPr>
        <w:spacing w:after="0" w:line="240" w:lineRule="auto"/>
        <w:jc w:val="both"/>
        <w:rPr>
          <w:rFonts w:ascii="Garamond" w:hAnsi="Garamond" w:cs="Times New Roman"/>
        </w:rPr>
      </w:pPr>
    </w:p>
    <w:p w14:paraId="632FFE65" w14:textId="1174F5DE" w:rsidR="004705C8" w:rsidRPr="004A0C12" w:rsidRDefault="004705C8" w:rsidP="00C453E2">
      <w:pPr>
        <w:pStyle w:val="BodyText2"/>
        <w:spacing w:after="0" w:line="240" w:lineRule="auto"/>
        <w:jc w:val="both"/>
        <w:rPr>
          <w:rFonts w:ascii="Garamond" w:hAnsi="Garamond" w:cs="Times New Roman"/>
        </w:rPr>
      </w:pPr>
      <w:r w:rsidRPr="004A0C12">
        <w:rPr>
          <w:rFonts w:ascii="Garamond" w:hAnsi="Garamond" w:cs="Times New Roman"/>
        </w:rPr>
        <w:t>The Job Skills Enhancement for Non-TCA</w:t>
      </w:r>
      <w:r w:rsidRPr="004A0C12">
        <w:rPr>
          <w:rFonts w:ascii="Garamond" w:hAnsi="Garamond" w:cs="Times New Roman"/>
          <w:b/>
        </w:rPr>
        <w:t xml:space="preserve"> </w:t>
      </w:r>
      <w:r w:rsidRPr="004A0C12">
        <w:rPr>
          <w:rFonts w:ascii="Garamond" w:hAnsi="Garamond" w:cs="Times New Roman"/>
        </w:rPr>
        <w:t>Families Program offers comprehensive workforce support services including, but not limited to, child care, transportation, skills training</w:t>
      </w:r>
      <w:r w:rsidR="00C453E2" w:rsidRPr="004A0C12">
        <w:rPr>
          <w:rFonts w:ascii="Garamond" w:hAnsi="Garamond" w:cs="Times New Roman"/>
        </w:rPr>
        <w:t>, and more.</w:t>
      </w:r>
      <w:r w:rsidRPr="004A0C12">
        <w:rPr>
          <w:rFonts w:ascii="Garamond" w:hAnsi="Garamond" w:cs="Times New Roman"/>
        </w:rPr>
        <w:t xml:space="preserve"> The program provides non-assista</w:t>
      </w:r>
      <w:r w:rsidR="00C453E2" w:rsidRPr="004A0C12">
        <w:rPr>
          <w:rFonts w:ascii="Garamond" w:hAnsi="Garamond" w:cs="Times New Roman"/>
        </w:rPr>
        <w:t xml:space="preserve">nce services and not payments. </w:t>
      </w:r>
      <w:r w:rsidRPr="004A0C12">
        <w:rPr>
          <w:rFonts w:ascii="Garamond" w:hAnsi="Garamond" w:cs="Times New Roman"/>
        </w:rPr>
        <w:t>Close interagency cooperation and extensive involvement of the business community, from whom skill enhancement services are procu</w:t>
      </w:r>
      <w:r w:rsidR="00C453E2" w:rsidRPr="004A0C12">
        <w:rPr>
          <w:rFonts w:ascii="Garamond" w:hAnsi="Garamond" w:cs="Times New Roman"/>
        </w:rPr>
        <w:t xml:space="preserve">red, characterize the program. </w:t>
      </w:r>
      <w:r w:rsidRPr="004A0C12">
        <w:rPr>
          <w:rFonts w:ascii="Garamond" w:hAnsi="Garamond" w:cs="Times New Roman"/>
        </w:rPr>
        <w:t xml:space="preserve">Participants, all of whom are voluntary, receive a menu of services tailored </w:t>
      </w:r>
      <w:r w:rsidR="00C453E2" w:rsidRPr="004A0C12">
        <w:rPr>
          <w:rFonts w:ascii="Garamond" w:hAnsi="Garamond" w:cs="Times New Roman"/>
        </w:rPr>
        <w:t>to meet their individual needs.</w:t>
      </w:r>
      <w:r w:rsidRPr="004A0C12">
        <w:rPr>
          <w:rFonts w:ascii="Garamond" w:hAnsi="Garamond" w:cs="Times New Roman"/>
        </w:rPr>
        <w:t xml:space="preserve"> Recruitment and orientation is followed by an individual assessment to assist program participants in defining skills, aptitudes</w:t>
      </w:r>
      <w:r w:rsidR="00C453E2" w:rsidRPr="004A0C12">
        <w:rPr>
          <w:rFonts w:ascii="Garamond" w:hAnsi="Garamond" w:cs="Times New Roman"/>
        </w:rPr>
        <w:t>,</w:t>
      </w:r>
      <w:r w:rsidRPr="004A0C12">
        <w:rPr>
          <w:rFonts w:ascii="Garamond" w:hAnsi="Garamond" w:cs="Times New Roman"/>
        </w:rPr>
        <w:t xml:space="preserve"> and interests.  </w:t>
      </w:r>
    </w:p>
    <w:p w14:paraId="4F08F334" w14:textId="77777777" w:rsidR="00C453E2" w:rsidRPr="004A0C12" w:rsidRDefault="00C453E2" w:rsidP="00C453E2">
      <w:pPr>
        <w:pStyle w:val="BodyText2"/>
        <w:spacing w:after="0" w:line="240" w:lineRule="auto"/>
        <w:jc w:val="both"/>
        <w:rPr>
          <w:rFonts w:ascii="Garamond" w:hAnsi="Garamond" w:cs="Times New Roman"/>
        </w:rPr>
      </w:pPr>
    </w:p>
    <w:p w14:paraId="2566FC84" w14:textId="4AD87B0A" w:rsidR="00C453E2" w:rsidRPr="004A0C12" w:rsidRDefault="00C453E2" w:rsidP="00C453E2">
      <w:pPr>
        <w:pStyle w:val="BodyText2"/>
        <w:spacing w:after="0" w:line="240" w:lineRule="auto"/>
        <w:jc w:val="both"/>
        <w:rPr>
          <w:rFonts w:ascii="Garamond" w:hAnsi="Garamond" w:cs="Times New Roman"/>
        </w:rPr>
      </w:pPr>
      <w:r w:rsidRPr="004A0C12">
        <w:rPr>
          <w:rFonts w:ascii="Garamond" w:hAnsi="Garamond" w:cs="Times New Roman"/>
        </w:rPr>
        <w:lastRenderedPageBreak/>
        <w:t xml:space="preserve">Assessment results are used to identify and develop the participant’s Individual Training Plan. The Individual Training Plan identifies the participant’s goals, action steps, outcome measures, and specific time frames – not to exceed one year.  This jointly developed plan outlines appropriate training and education to meet the states career objectives. Job skill enhancement activities may include experiential learning and/or formal training. In addition, the program’s multi-agency configuration and its close links with the business community affords participants the opportunity to enroll in on-the-job training, job shadowing, career exploration, business tours, mentoring activities, and more. Information pertaining to job openings, industry projections, labor market analyses, and job skill demand are utilized to assist participants in developing their Individual Training Plan.  </w:t>
      </w:r>
    </w:p>
    <w:p w14:paraId="433F4946" w14:textId="77777777" w:rsidR="004705C8" w:rsidRPr="004A0C12" w:rsidRDefault="004705C8" w:rsidP="004705C8">
      <w:pPr>
        <w:pStyle w:val="BodyTextIndent2"/>
        <w:ind w:left="360" w:firstLine="0"/>
        <w:jc w:val="both"/>
        <w:rPr>
          <w:rFonts w:ascii="Garamond" w:hAnsi="Garamond"/>
          <w:sz w:val="22"/>
          <w:szCs w:val="22"/>
        </w:rPr>
      </w:pPr>
    </w:p>
    <w:p w14:paraId="714FFA94" w14:textId="024E54E2" w:rsidR="004705C8" w:rsidRPr="004A0C12" w:rsidRDefault="004705C8" w:rsidP="00C453E2">
      <w:pPr>
        <w:spacing w:after="0" w:line="240" w:lineRule="auto"/>
        <w:jc w:val="both"/>
        <w:rPr>
          <w:rFonts w:ascii="Garamond" w:hAnsi="Garamond" w:cs="Times New Roman"/>
        </w:rPr>
      </w:pPr>
      <w:r w:rsidRPr="004A0C12">
        <w:rPr>
          <w:rFonts w:ascii="Garamond" w:hAnsi="Garamond" w:cs="Times New Roman"/>
        </w:rPr>
        <w:t xml:space="preserve">The program is a diversion program intended to assist Maryland families </w:t>
      </w:r>
      <w:r w:rsidR="00C453E2" w:rsidRPr="004A0C12">
        <w:rPr>
          <w:rFonts w:ascii="Garamond" w:hAnsi="Garamond" w:cs="Times New Roman"/>
        </w:rPr>
        <w:t xml:space="preserve">in </w:t>
      </w:r>
      <w:r w:rsidRPr="004A0C12">
        <w:rPr>
          <w:rFonts w:ascii="Garamond" w:hAnsi="Garamond" w:cs="Times New Roman"/>
        </w:rPr>
        <w:t>avoid</w:t>
      </w:r>
      <w:r w:rsidR="00C453E2" w:rsidRPr="004A0C12">
        <w:rPr>
          <w:rFonts w:ascii="Garamond" w:hAnsi="Garamond" w:cs="Times New Roman"/>
        </w:rPr>
        <w:t>ing</w:t>
      </w:r>
      <w:r w:rsidRPr="004A0C12">
        <w:rPr>
          <w:rFonts w:ascii="Garamond" w:hAnsi="Garamond" w:cs="Times New Roman"/>
        </w:rPr>
        <w:t xml:space="preserve"> welfare dependency by improving their job skills</w:t>
      </w:r>
      <w:r w:rsidR="00C453E2" w:rsidRPr="004A0C12">
        <w:rPr>
          <w:rFonts w:ascii="Garamond" w:hAnsi="Garamond" w:cs="Times New Roman"/>
        </w:rPr>
        <w:t>,</w:t>
      </w:r>
      <w:r w:rsidRPr="004A0C12">
        <w:rPr>
          <w:rFonts w:ascii="Garamond" w:hAnsi="Garamond" w:cs="Times New Roman"/>
        </w:rPr>
        <w:t xml:space="preserve"> and thus</w:t>
      </w:r>
      <w:r w:rsidR="00C453E2" w:rsidRPr="004A0C12">
        <w:rPr>
          <w:rFonts w:ascii="Garamond" w:hAnsi="Garamond" w:cs="Times New Roman"/>
        </w:rPr>
        <w:t>,</w:t>
      </w:r>
      <w:r w:rsidRPr="004A0C12">
        <w:rPr>
          <w:rFonts w:ascii="Garamond" w:hAnsi="Garamond" w:cs="Times New Roman"/>
        </w:rPr>
        <w:t xml:space="preserve"> their capacity for achieving long-te</w:t>
      </w:r>
      <w:r w:rsidR="00C453E2" w:rsidRPr="004A0C12">
        <w:rPr>
          <w:rFonts w:ascii="Garamond" w:hAnsi="Garamond" w:cs="Times New Roman"/>
        </w:rPr>
        <w:t xml:space="preserve">rm financial self-sufficiency. </w:t>
      </w:r>
      <w:r w:rsidRPr="004A0C12">
        <w:rPr>
          <w:rFonts w:ascii="Garamond" w:hAnsi="Garamond" w:cs="Times New Roman"/>
        </w:rPr>
        <w:t>For program purposes, “family” also includes a pregnant woman or a parent with one or more minor children or a caretaker relative with one or more minor children.</w:t>
      </w:r>
    </w:p>
    <w:p w14:paraId="121B01E0" w14:textId="77777777" w:rsidR="00C453E2" w:rsidRPr="004A0C12" w:rsidRDefault="00C453E2" w:rsidP="00C453E2">
      <w:pPr>
        <w:spacing w:after="0" w:line="240" w:lineRule="auto"/>
        <w:jc w:val="both"/>
        <w:rPr>
          <w:rFonts w:ascii="Garamond" w:hAnsi="Garamond" w:cs="Times New Roman"/>
        </w:rPr>
      </w:pPr>
    </w:p>
    <w:p w14:paraId="3123A274" w14:textId="6559340C" w:rsidR="00C453E2" w:rsidRPr="004A0C12" w:rsidRDefault="00C453E2" w:rsidP="00C453E2">
      <w:pPr>
        <w:spacing w:after="0" w:line="240" w:lineRule="auto"/>
        <w:jc w:val="both"/>
        <w:rPr>
          <w:rFonts w:ascii="Garamond" w:hAnsi="Garamond" w:cs="Times New Roman"/>
        </w:rPr>
      </w:pPr>
      <w:r w:rsidRPr="004A0C12">
        <w:rPr>
          <w:rFonts w:ascii="Garamond" w:hAnsi="Garamond" w:cs="Times New Roman"/>
        </w:rPr>
        <w:t xml:space="preserve">Targeted customers are Maryland families whose adult wage earners have been employed for a minimum of six months for not less than 30 hours per week in entry-level and other positions with limited potential for advancement and whose income meets the program’s eligibility criteria. Participant families are limited to those with an annual earned income up to 300 percent of the federal poverty guidelines, adjusted for family size and $5,000 or less in assets. The program will also exclude one vehicle for each working person in the family. This program provides non-assistance. </w:t>
      </w:r>
    </w:p>
    <w:p w14:paraId="5C4EE5A1" w14:textId="77777777" w:rsidR="004705C8" w:rsidRPr="004A0C12" w:rsidRDefault="004705C8" w:rsidP="004705C8">
      <w:pPr>
        <w:pStyle w:val="BodyTextIndent2"/>
        <w:ind w:left="0" w:firstLine="0"/>
        <w:jc w:val="both"/>
        <w:rPr>
          <w:rFonts w:ascii="Garamond" w:hAnsi="Garamond"/>
          <w:sz w:val="22"/>
          <w:szCs w:val="22"/>
        </w:rPr>
      </w:pPr>
    </w:p>
    <w:p w14:paraId="51C2B4A7" w14:textId="77777777" w:rsidR="00902C29" w:rsidRPr="00307FCC" w:rsidRDefault="004705C8" w:rsidP="00C453E2">
      <w:pPr>
        <w:widowControl w:val="0"/>
        <w:spacing w:after="0" w:line="240" w:lineRule="auto"/>
        <w:jc w:val="both"/>
        <w:rPr>
          <w:rFonts w:ascii="Garamond" w:hAnsi="Garamond" w:cs="Times New Roman"/>
          <w:sz w:val="24"/>
        </w:rPr>
      </w:pPr>
      <w:r w:rsidRPr="00307FCC">
        <w:rPr>
          <w:rStyle w:val="Heading4Char"/>
          <w:rFonts w:ascii="Garamond" w:hAnsi="Garamond"/>
          <w:sz w:val="24"/>
        </w:rPr>
        <w:t>Family Preservation</w:t>
      </w:r>
    </w:p>
    <w:p w14:paraId="59CC3D02" w14:textId="3599584A" w:rsidR="004705C8" w:rsidRPr="004A0C12" w:rsidRDefault="004705C8" w:rsidP="00C453E2">
      <w:pPr>
        <w:widowControl w:val="0"/>
        <w:spacing w:after="0" w:line="240" w:lineRule="auto"/>
        <w:jc w:val="both"/>
        <w:rPr>
          <w:rFonts w:ascii="Garamond" w:hAnsi="Garamond" w:cs="Times New Roman"/>
        </w:rPr>
      </w:pPr>
      <w:r w:rsidRPr="004A0C12">
        <w:rPr>
          <w:rFonts w:ascii="Garamond" w:hAnsi="Garamond" w:cs="Times New Roman"/>
        </w:rPr>
        <w:t>Family Preservation represents a variety of programs available to families to provide supportive services to promote safety and well-being of children and their famil</w:t>
      </w:r>
      <w:r w:rsidR="005F0C8A" w:rsidRPr="004A0C12">
        <w:rPr>
          <w:rFonts w:ascii="Garamond" w:hAnsi="Garamond" w:cs="Times New Roman"/>
        </w:rPr>
        <w:t>ies.</w:t>
      </w:r>
      <w:r w:rsidRPr="004A0C12">
        <w:rPr>
          <w:rFonts w:ascii="Garamond" w:hAnsi="Garamond" w:cs="Times New Roman"/>
        </w:rPr>
        <w:t xml:space="preserve"> This includes families with identified stresses around family life, including disruption, child abuse and neglect issues, domestic violence, homelessness, substance abuse, mental health, physical health, and educational concerns, who are within 200 percent of the poverty level.</w:t>
      </w:r>
    </w:p>
    <w:p w14:paraId="0B4D68AC" w14:textId="77777777" w:rsidR="004705C8" w:rsidRPr="004A0C12" w:rsidRDefault="004705C8" w:rsidP="004705C8">
      <w:pPr>
        <w:spacing w:after="0" w:line="240" w:lineRule="auto"/>
        <w:jc w:val="both"/>
        <w:rPr>
          <w:rFonts w:ascii="Garamond" w:hAnsi="Garamond" w:cs="Times New Roman"/>
        </w:rPr>
      </w:pPr>
    </w:p>
    <w:p w14:paraId="33B53406" w14:textId="295D4370" w:rsidR="004705C8" w:rsidRPr="004A0C12" w:rsidRDefault="004705C8" w:rsidP="005F0C8A">
      <w:pPr>
        <w:spacing w:after="0" w:line="240" w:lineRule="auto"/>
        <w:jc w:val="both"/>
        <w:rPr>
          <w:rFonts w:ascii="Garamond" w:hAnsi="Garamond" w:cs="Times New Roman"/>
        </w:rPr>
      </w:pPr>
      <w:r w:rsidRPr="004A0C12">
        <w:rPr>
          <w:rFonts w:ascii="Garamond" w:hAnsi="Garamond" w:cs="Times New Roman"/>
        </w:rPr>
        <w:t xml:space="preserve">The principal purpose </w:t>
      </w:r>
      <w:r w:rsidR="005F0C8A" w:rsidRPr="004A0C12">
        <w:rPr>
          <w:rFonts w:ascii="Garamond" w:hAnsi="Garamond" w:cs="Times New Roman"/>
        </w:rPr>
        <w:t xml:space="preserve">behind </w:t>
      </w:r>
      <w:r w:rsidRPr="004A0C12">
        <w:rPr>
          <w:rFonts w:ascii="Garamond" w:hAnsi="Garamond" w:cs="Times New Roman"/>
        </w:rPr>
        <w:t>these programs</w:t>
      </w:r>
      <w:r w:rsidR="005F0C8A" w:rsidRPr="004A0C12">
        <w:rPr>
          <w:rFonts w:ascii="Garamond" w:hAnsi="Garamond" w:cs="Times New Roman"/>
        </w:rPr>
        <w:t xml:space="preserve"> </w:t>
      </w:r>
      <w:r w:rsidRPr="004A0C12">
        <w:rPr>
          <w:rFonts w:ascii="Garamond" w:hAnsi="Garamond" w:cs="Times New Roman"/>
        </w:rPr>
        <w:t>is to enable children to continue to live and thrive in their home w</w:t>
      </w:r>
      <w:r w:rsidR="005F0C8A" w:rsidRPr="004A0C12">
        <w:rPr>
          <w:rFonts w:ascii="Garamond" w:hAnsi="Garamond" w:cs="Times New Roman"/>
        </w:rPr>
        <w:t>ith their parents or relatives.</w:t>
      </w:r>
      <w:r w:rsidRPr="004A0C12">
        <w:rPr>
          <w:rFonts w:ascii="Garamond" w:hAnsi="Garamond" w:cs="Times New Roman"/>
        </w:rPr>
        <w:t xml:space="preserve"> Each program is child safety based, goal oriented, family focused, flexible, provided in the home or community, culturally relevant and sensitive, and designed to build</w:t>
      </w:r>
      <w:r w:rsidR="005F0C8A" w:rsidRPr="004A0C12">
        <w:rPr>
          <w:rFonts w:ascii="Garamond" w:hAnsi="Garamond" w:cs="Times New Roman"/>
        </w:rPr>
        <w:t xml:space="preserve"> on family strengths and unity. </w:t>
      </w:r>
      <w:r w:rsidRPr="004A0C12">
        <w:rPr>
          <w:rFonts w:ascii="Garamond" w:hAnsi="Garamond" w:cs="Times New Roman"/>
        </w:rPr>
        <w:t xml:space="preserve">Manageable caseload sizes and a team approach of social worker and case associate are an </w:t>
      </w:r>
      <w:r w:rsidR="000521CF" w:rsidRPr="004A0C12">
        <w:rPr>
          <w:rFonts w:ascii="Garamond" w:hAnsi="Garamond" w:cs="Times New Roman"/>
        </w:rPr>
        <w:t xml:space="preserve">integral part of all services. </w:t>
      </w:r>
      <w:r w:rsidRPr="004A0C12">
        <w:rPr>
          <w:rFonts w:ascii="Garamond" w:hAnsi="Garamond" w:cs="Times New Roman"/>
        </w:rPr>
        <w:t>Each service has designated timeframes, with the possibility for limited extensions when servic</w:t>
      </w:r>
      <w:r w:rsidR="000521CF" w:rsidRPr="004A0C12">
        <w:rPr>
          <w:rFonts w:ascii="Garamond" w:hAnsi="Garamond" w:cs="Times New Roman"/>
        </w:rPr>
        <w:t>e goals have not been realized.</w:t>
      </w:r>
      <w:r w:rsidRPr="004A0C12">
        <w:rPr>
          <w:rFonts w:ascii="Garamond" w:hAnsi="Garamond" w:cs="Times New Roman"/>
        </w:rPr>
        <w:t xml:space="preserve"> Employment and self-sufficiency are program goals and part of the mutually agreed</w:t>
      </w:r>
      <w:r w:rsidR="000521CF" w:rsidRPr="004A0C12">
        <w:rPr>
          <w:rFonts w:ascii="Garamond" w:hAnsi="Garamond" w:cs="Times New Roman"/>
        </w:rPr>
        <w:t xml:space="preserve"> upon family service agreement.</w:t>
      </w:r>
      <w:r w:rsidRPr="004A0C12">
        <w:rPr>
          <w:rFonts w:ascii="Garamond" w:hAnsi="Garamond" w:cs="Times New Roman"/>
        </w:rPr>
        <w:t xml:space="preserve"> This program provides non-assistance.</w:t>
      </w:r>
    </w:p>
    <w:p w14:paraId="4999A418" w14:textId="77777777" w:rsidR="004705C8" w:rsidRPr="00307FCC" w:rsidRDefault="004705C8" w:rsidP="004705C8">
      <w:pPr>
        <w:spacing w:after="0" w:line="240" w:lineRule="auto"/>
        <w:ind w:left="360"/>
        <w:jc w:val="both"/>
        <w:rPr>
          <w:rFonts w:ascii="Garamond" w:hAnsi="Garamond" w:cs="Times New Roman"/>
          <w:sz w:val="24"/>
        </w:rPr>
      </w:pPr>
    </w:p>
    <w:p w14:paraId="6423A43E" w14:textId="77777777" w:rsidR="00902C29" w:rsidRPr="00307FCC" w:rsidRDefault="004705C8" w:rsidP="000521CF">
      <w:pPr>
        <w:widowControl w:val="0"/>
        <w:spacing w:after="0" w:line="240" w:lineRule="auto"/>
        <w:jc w:val="both"/>
        <w:rPr>
          <w:rFonts w:ascii="Garamond" w:hAnsi="Garamond" w:cs="Times New Roman"/>
          <w:sz w:val="24"/>
        </w:rPr>
      </w:pPr>
      <w:r w:rsidRPr="00307FCC">
        <w:rPr>
          <w:rStyle w:val="Heading4Char"/>
          <w:rFonts w:ascii="Garamond" w:hAnsi="Garamond"/>
          <w:sz w:val="24"/>
        </w:rPr>
        <w:t>The</w:t>
      </w:r>
      <w:r w:rsidR="000521CF" w:rsidRPr="00307FCC">
        <w:rPr>
          <w:rStyle w:val="Heading4Char"/>
          <w:rFonts w:ascii="Garamond" w:hAnsi="Garamond"/>
          <w:sz w:val="24"/>
        </w:rPr>
        <w:t xml:space="preserve"> Housing Counselor Program</w:t>
      </w:r>
    </w:p>
    <w:p w14:paraId="2639055C" w14:textId="4660D8A8" w:rsidR="004705C8" w:rsidRPr="004A0C12" w:rsidRDefault="000521CF" w:rsidP="000521CF">
      <w:pPr>
        <w:widowControl w:val="0"/>
        <w:spacing w:after="0" w:line="240" w:lineRule="auto"/>
        <w:jc w:val="both"/>
        <w:rPr>
          <w:rFonts w:ascii="Garamond" w:hAnsi="Garamond" w:cs="Times New Roman"/>
          <w:i/>
        </w:rPr>
      </w:pPr>
      <w:r w:rsidRPr="004A0C12">
        <w:rPr>
          <w:rFonts w:ascii="Garamond" w:hAnsi="Garamond" w:cs="Times New Roman"/>
        </w:rPr>
        <w:t>This program</w:t>
      </w:r>
      <w:r w:rsidR="004705C8" w:rsidRPr="004A0C12">
        <w:rPr>
          <w:rFonts w:ascii="Garamond" w:hAnsi="Garamond" w:cs="Times New Roman"/>
        </w:rPr>
        <w:t xml:space="preserve"> operates</w:t>
      </w:r>
      <w:r w:rsidRPr="004A0C12">
        <w:rPr>
          <w:rFonts w:ascii="Garamond" w:hAnsi="Garamond" w:cs="Times New Roman"/>
        </w:rPr>
        <w:t xml:space="preserve"> in several local jurisdictions. It is designed to assist </w:t>
      </w:r>
      <w:r w:rsidR="004705C8" w:rsidRPr="004A0C12">
        <w:rPr>
          <w:rFonts w:ascii="Garamond" w:hAnsi="Garamond" w:cs="Times New Roman"/>
        </w:rPr>
        <w:t>low-income families who are homeless, or in imminent danger of becoming homeless</w:t>
      </w:r>
      <w:r w:rsidRPr="004A0C12">
        <w:rPr>
          <w:rFonts w:ascii="Garamond" w:hAnsi="Garamond" w:cs="Times New Roman"/>
        </w:rPr>
        <w:t>,</w:t>
      </w:r>
      <w:r w:rsidR="004705C8" w:rsidRPr="004A0C12">
        <w:rPr>
          <w:rFonts w:ascii="Garamond" w:hAnsi="Garamond" w:cs="Times New Roman"/>
        </w:rPr>
        <w:t xml:space="preserve"> and have an income below 300 percent of </w:t>
      </w:r>
      <w:r w:rsidRPr="004A0C12">
        <w:rPr>
          <w:rFonts w:ascii="Garamond" w:hAnsi="Garamond" w:cs="Times New Roman"/>
        </w:rPr>
        <w:t xml:space="preserve">the </w:t>
      </w:r>
      <w:r w:rsidR="004705C8" w:rsidRPr="004A0C12">
        <w:rPr>
          <w:rFonts w:ascii="Garamond" w:hAnsi="Garamond" w:cs="Times New Roman"/>
        </w:rPr>
        <w:t>poverty</w:t>
      </w:r>
      <w:r w:rsidRPr="004A0C12">
        <w:rPr>
          <w:rFonts w:ascii="Garamond" w:hAnsi="Garamond" w:cs="Times New Roman"/>
        </w:rPr>
        <w:t xml:space="preserve"> level</w:t>
      </w:r>
      <w:r w:rsidR="004705C8" w:rsidRPr="004A0C12">
        <w:rPr>
          <w:rFonts w:ascii="Garamond" w:hAnsi="Garamond" w:cs="Times New Roman"/>
        </w:rPr>
        <w:t xml:space="preserve">, to locate, secure, </w:t>
      </w:r>
      <w:r w:rsidRPr="004A0C12">
        <w:rPr>
          <w:rFonts w:ascii="Garamond" w:hAnsi="Garamond" w:cs="Times New Roman"/>
        </w:rPr>
        <w:t>and maintain permanent housing.</w:t>
      </w:r>
      <w:r w:rsidR="004705C8" w:rsidRPr="004A0C12">
        <w:rPr>
          <w:rFonts w:ascii="Garamond" w:hAnsi="Garamond" w:cs="Times New Roman"/>
        </w:rPr>
        <w:t xml:space="preserve"> Counselors help these families establish adequate credit references an</w:t>
      </w:r>
      <w:r w:rsidRPr="004A0C12">
        <w:rPr>
          <w:rFonts w:ascii="Garamond" w:hAnsi="Garamond" w:cs="Times New Roman"/>
        </w:rPr>
        <w:t>d apply for subsidized housing.</w:t>
      </w:r>
      <w:r w:rsidR="004705C8" w:rsidRPr="004A0C12">
        <w:rPr>
          <w:rFonts w:ascii="Garamond" w:hAnsi="Garamond" w:cs="Times New Roman"/>
        </w:rPr>
        <w:t xml:space="preserve"> The counselors can also help access local public and private resources for the first and last month's rent, security deposits, utility payments, or donations of </w:t>
      </w:r>
      <w:r w:rsidRPr="004A0C12">
        <w:rPr>
          <w:rFonts w:ascii="Garamond" w:hAnsi="Garamond" w:cs="Times New Roman"/>
        </w:rPr>
        <w:t xml:space="preserve">furniture. </w:t>
      </w:r>
      <w:r w:rsidR="004705C8" w:rsidRPr="004A0C12">
        <w:rPr>
          <w:rFonts w:ascii="Garamond" w:hAnsi="Garamond" w:cs="Times New Roman"/>
        </w:rPr>
        <w:t>They develop and maintain relationships with landlords, often paving the way for people with credit or reference problems to obt</w:t>
      </w:r>
      <w:r w:rsidRPr="004A0C12">
        <w:rPr>
          <w:rFonts w:ascii="Garamond" w:hAnsi="Garamond" w:cs="Times New Roman"/>
        </w:rPr>
        <w:t xml:space="preserve">ain permanent housing. </w:t>
      </w:r>
      <w:r w:rsidR="004705C8" w:rsidRPr="004A0C12">
        <w:rPr>
          <w:rFonts w:ascii="Garamond" w:hAnsi="Garamond" w:cs="Times New Roman"/>
        </w:rPr>
        <w:t xml:space="preserve">Other assistance may include helping families locate more affordable housing after a rent increase, or helping to find another apartment located near a bus route that is more suitable </w:t>
      </w:r>
      <w:r w:rsidRPr="004A0C12">
        <w:rPr>
          <w:rFonts w:ascii="Garamond" w:hAnsi="Garamond" w:cs="Times New Roman"/>
        </w:rPr>
        <w:t xml:space="preserve">for a new place of employment. </w:t>
      </w:r>
      <w:r w:rsidR="004705C8" w:rsidRPr="004A0C12">
        <w:rPr>
          <w:rFonts w:ascii="Garamond" w:hAnsi="Garamond" w:cs="Times New Roman"/>
        </w:rPr>
        <w:t>In many of the these instances, people are able to remain in housing or to find new housing before being evicted, and as a result, public and private agencies do not have to make outlays f</w:t>
      </w:r>
      <w:r w:rsidRPr="004A0C12">
        <w:rPr>
          <w:rFonts w:ascii="Garamond" w:hAnsi="Garamond" w:cs="Times New Roman"/>
        </w:rPr>
        <w:t>or sheltering these households.</w:t>
      </w:r>
      <w:r w:rsidR="004705C8" w:rsidRPr="004A0C12">
        <w:rPr>
          <w:rFonts w:ascii="Garamond" w:hAnsi="Garamond" w:cs="Times New Roman"/>
        </w:rPr>
        <w:t xml:space="preserve"> This program is reasonably calculated to meet the first goal</w:t>
      </w:r>
      <w:r w:rsidR="00297312" w:rsidRPr="004A0C12">
        <w:rPr>
          <w:rStyle w:val="FootnoteReference"/>
          <w:rFonts w:ascii="Garamond" w:hAnsi="Garamond" w:cs="Times New Roman"/>
        </w:rPr>
        <w:footnoteReference w:id="53"/>
      </w:r>
      <w:r w:rsidR="004705C8" w:rsidRPr="004A0C12">
        <w:rPr>
          <w:rFonts w:ascii="Garamond" w:hAnsi="Garamond" w:cs="Times New Roman"/>
        </w:rPr>
        <w:t xml:space="preserve"> of the TANF statute. This program provides non-assistance. </w:t>
      </w:r>
    </w:p>
    <w:p w14:paraId="748F6FB0" w14:textId="77777777" w:rsidR="004705C8" w:rsidRPr="004A0C12" w:rsidRDefault="004705C8" w:rsidP="004705C8">
      <w:pPr>
        <w:spacing w:after="0" w:line="240" w:lineRule="auto"/>
        <w:jc w:val="both"/>
        <w:rPr>
          <w:rFonts w:ascii="Garamond" w:hAnsi="Garamond" w:cs="Times New Roman"/>
          <w:u w:val="single"/>
        </w:rPr>
      </w:pPr>
    </w:p>
    <w:p w14:paraId="243B84D0" w14:textId="77777777" w:rsidR="00902C29" w:rsidRPr="00307FCC" w:rsidRDefault="000521CF" w:rsidP="000521CF">
      <w:pPr>
        <w:spacing w:after="0" w:line="240" w:lineRule="auto"/>
        <w:jc w:val="both"/>
        <w:rPr>
          <w:rFonts w:ascii="Garamond" w:hAnsi="Garamond" w:cs="Times New Roman"/>
          <w:sz w:val="24"/>
        </w:rPr>
      </w:pPr>
      <w:r w:rsidRPr="00307FCC">
        <w:rPr>
          <w:rStyle w:val="Heading4Char"/>
          <w:rFonts w:ascii="Garamond" w:hAnsi="Garamond"/>
          <w:sz w:val="24"/>
        </w:rPr>
        <w:t>Individual Development Accounts</w:t>
      </w:r>
    </w:p>
    <w:p w14:paraId="3DBCA7E7" w14:textId="1A62D5AA" w:rsidR="004705C8" w:rsidRPr="004A0C12" w:rsidRDefault="004705C8" w:rsidP="000521CF">
      <w:pPr>
        <w:spacing w:after="0" w:line="240" w:lineRule="auto"/>
        <w:jc w:val="both"/>
        <w:rPr>
          <w:rFonts w:ascii="Garamond" w:hAnsi="Garamond" w:cs="Times New Roman"/>
        </w:rPr>
      </w:pPr>
      <w:r w:rsidRPr="004A0C12">
        <w:rPr>
          <w:rFonts w:ascii="Garamond" w:hAnsi="Garamond" w:cs="Times New Roman"/>
        </w:rPr>
        <w:t xml:space="preserve">Maryland and/or local jurisdictions may elect to fund Individual Development </w:t>
      </w:r>
      <w:r w:rsidR="000521CF" w:rsidRPr="004A0C12">
        <w:rPr>
          <w:rFonts w:ascii="Garamond" w:hAnsi="Garamond" w:cs="Times New Roman"/>
        </w:rPr>
        <w:t>Accounts for families under 300 percent</w:t>
      </w:r>
      <w:r w:rsidRPr="004A0C12">
        <w:rPr>
          <w:rFonts w:ascii="Garamond" w:hAnsi="Garamond" w:cs="Times New Roman"/>
        </w:rPr>
        <w:t xml:space="preserve"> of </w:t>
      </w:r>
      <w:r w:rsidR="000521CF" w:rsidRPr="004A0C12">
        <w:rPr>
          <w:rFonts w:ascii="Garamond" w:hAnsi="Garamond" w:cs="Times New Roman"/>
        </w:rPr>
        <w:t xml:space="preserve">the </w:t>
      </w:r>
      <w:r w:rsidRPr="004A0C12">
        <w:rPr>
          <w:rFonts w:ascii="Garamond" w:hAnsi="Garamond" w:cs="Times New Roman"/>
        </w:rPr>
        <w:t xml:space="preserve">poverty </w:t>
      </w:r>
      <w:r w:rsidR="000521CF" w:rsidRPr="004A0C12">
        <w:rPr>
          <w:rFonts w:ascii="Garamond" w:hAnsi="Garamond" w:cs="Times New Roman"/>
        </w:rPr>
        <w:t xml:space="preserve">level, </w:t>
      </w:r>
      <w:r w:rsidRPr="004A0C12">
        <w:rPr>
          <w:rFonts w:ascii="Garamond" w:hAnsi="Garamond" w:cs="Times New Roman"/>
        </w:rPr>
        <w:t>in accordance wit</w:t>
      </w:r>
      <w:r w:rsidR="000521CF" w:rsidRPr="004A0C12">
        <w:rPr>
          <w:rFonts w:ascii="Garamond" w:hAnsi="Garamond" w:cs="Times New Roman"/>
        </w:rPr>
        <w:t xml:space="preserve">h local plans and budgets. </w:t>
      </w:r>
      <w:r w:rsidRPr="004A0C12">
        <w:rPr>
          <w:rFonts w:ascii="Garamond" w:hAnsi="Garamond" w:cs="Times New Roman"/>
        </w:rPr>
        <w:t>Fede</w:t>
      </w:r>
      <w:r w:rsidR="000521CF" w:rsidRPr="004A0C12">
        <w:rPr>
          <w:rFonts w:ascii="Garamond" w:hAnsi="Garamond" w:cs="Times New Roman"/>
        </w:rPr>
        <w:t>ral funds are not used for Individual Development Accounts.</w:t>
      </w:r>
      <w:r w:rsidRPr="004A0C12">
        <w:rPr>
          <w:rFonts w:ascii="Garamond" w:hAnsi="Garamond" w:cs="Times New Roman"/>
        </w:rPr>
        <w:t xml:space="preserve"> State General Funds or local funds may be used to fund these Individual Development Accounts. These programs provide non-assistance.</w:t>
      </w:r>
    </w:p>
    <w:p w14:paraId="0982113A" w14:textId="77777777" w:rsidR="004705C8" w:rsidRPr="004A0C12" w:rsidRDefault="004705C8" w:rsidP="004705C8">
      <w:pPr>
        <w:spacing w:after="0" w:line="240" w:lineRule="auto"/>
        <w:jc w:val="both"/>
        <w:rPr>
          <w:rFonts w:ascii="Garamond" w:hAnsi="Garamond" w:cs="Times New Roman"/>
        </w:rPr>
      </w:pPr>
    </w:p>
    <w:p w14:paraId="516F58B6" w14:textId="77777777" w:rsidR="00902C29" w:rsidRPr="004A0C12" w:rsidRDefault="00902C29" w:rsidP="004705C8">
      <w:pPr>
        <w:spacing w:after="0" w:line="240" w:lineRule="auto"/>
        <w:jc w:val="both"/>
        <w:rPr>
          <w:rFonts w:ascii="Garamond" w:hAnsi="Garamond" w:cs="Times New Roman"/>
        </w:rPr>
      </w:pPr>
    </w:p>
    <w:p w14:paraId="7AFA09A0" w14:textId="77777777" w:rsidR="00902C29" w:rsidRPr="00307FCC" w:rsidRDefault="004705C8" w:rsidP="000521CF">
      <w:pPr>
        <w:widowControl w:val="0"/>
        <w:spacing w:after="0" w:line="240" w:lineRule="auto"/>
        <w:jc w:val="both"/>
        <w:rPr>
          <w:rFonts w:ascii="Garamond" w:hAnsi="Garamond" w:cs="Times New Roman"/>
          <w:sz w:val="24"/>
        </w:rPr>
      </w:pPr>
      <w:r w:rsidRPr="00307FCC">
        <w:rPr>
          <w:rStyle w:val="Heading4Char"/>
          <w:rFonts w:ascii="Garamond" w:hAnsi="Garamond"/>
          <w:sz w:val="24"/>
        </w:rPr>
        <w:t>The Homelessness Prevention Program</w:t>
      </w:r>
    </w:p>
    <w:p w14:paraId="5DDB9C69" w14:textId="65503788" w:rsidR="004705C8" w:rsidRPr="004A0C12" w:rsidRDefault="004705C8" w:rsidP="000521CF">
      <w:pPr>
        <w:widowControl w:val="0"/>
        <w:spacing w:after="0" w:line="240" w:lineRule="auto"/>
        <w:jc w:val="both"/>
        <w:rPr>
          <w:rFonts w:ascii="Garamond" w:hAnsi="Garamond" w:cs="Times New Roman"/>
          <w:u w:val="single"/>
        </w:rPr>
      </w:pPr>
      <w:r w:rsidRPr="004A0C12">
        <w:rPr>
          <w:rFonts w:ascii="Garamond" w:hAnsi="Garamond" w:cs="Times New Roman"/>
        </w:rPr>
        <w:t>T</w:t>
      </w:r>
      <w:r w:rsidR="001645ED" w:rsidRPr="004A0C12">
        <w:rPr>
          <w:rFonts w:ascii="Garamond" w:hAnsi="Garamond" w:cs="Times New Roman"/>
        </w:rPr>
        <w:t>o prevent homelessness, t</w:t>
      </w:r>
      <w:r w:rsidRPr="004A0C12">
        <w:rPr>
          <w:rFonts w:ascii="Garamond" w:hAnsi="Garamond" w:cs="Times New Roman"/>
        </w:rPr>
        <w:t>his program provides funds to local jurisdictions to hire staff an</w:t>
      </w:r>
      <w:r w:rsidR="001645ED" w:rsidRPr="004A0C12">
        <w:rPr>
          <w:rFonts w:ascii="Garamond" w:hAnsi="Garamond" w:cs="Times New Roman"/>
        </w:rPr>
        <w:t xml:space="preserve">d work with families under 300 percent </w:t>
      </w:r>
      <w:r w:rsidRPr="004A0C12">
        <w:rPr>
          <w:rFonts w:ascii="Garamond" w:hAnsi="Garamond" w:cs="Times New Roman"/>
        </w:rPr>
        <w:t xml:space="preserve">of </w:t>
      </w:r>
      <w:r w:rsidR="001645ED" w:rsidRPr="004A0C12">
        <w:rPr>
          <w:rFonts w:ascii="Garamond" w:hAnsi="Garamond" w:cs="Times New Roman"/>
        </w:rPr>
        <w:t xml:space="preserve">the </w:t>
      </w:r>
      <w:r w:rsidRPr="004A0C12">
        <w:rPr>
          <w:rFonts w:ascii="Garamond" w:hAnsi="Garamond" w:cs="Times New Roman"/>
        </w:rPr>
        <w:t>poverty</w:t>
      </w:r>
      <w:r w:rsidR="001645ED" w:rsidRPr="004A0C12">
        <w:rPr>
          <w:rFonts w:ascii="Garamond" w:hAnsi="Garamond" w:cs="Times New Roman"/>
        </w:rPr>
        <w:t xml:space="preserve"> level who are facing imminent eviction. </w:t>
      </w:r>
      <w:r w:rsidRPr="004A0C12">
        <w:rPr>
          <w:rFonts w:ascii="Garamond" w:hAnsi="Garamond" w:cs="Times New Roman"/>
        </w:rPr>
        <w:t>The recipient of a grant must show that th</w:t>
      </w:r>
      <w:r w:rsidR="001645ED" w:rsidRPr="004A0C12">
        <w:rPr>
          <w:rFonts w:ascii="Garamond" w:hAnsi="Garamond" w:cs="Times New Roman"/>
        </w:rPr>
        <w:t>e grant will resolve the issue.</w:t>
      </w:r>
      <w:r w:rsidRPr="004A0C12">
        <w:rPr>
          <w:rFonts w:ascii="Garamond" w:hAnsi="Garamond" w:cs="Times New Roman"/>
        </w:rPr>
        <w:t xml:space="preserve"> This program provides non-assistance.</w:t>
      </w:r>
    </w:p>
    <w:p w14:paraId="4D0C46C7" w14:textId="77777777" w:rsidR="004705C8" w:rsidRPr="00307FCC" w:rsidRDefault="004705C8" w:rsidP="004705C8">
      <w:pPr>
        <w:spacing w:after="0" w:line="240" w:lineRule="auto"/>
        <w:jc w:val="both"/>
        <w:rPr>
          <w:rFonts w:ascii="Garamond" w:hAnsi="Garamond" w:cs="Times New Roman"/>
          <w:sz w:val="24"/>
          <w:u w:val="single"/>
        </w:rPr>
      </w:pPr>
    </w:p>
    <w:p w14:paraId="07C6CB74" w14:textId="77777777" w:rsidR="00902C29" w:rsidRPr="00307FCC" w:rsidRDefault="004705C8" w:rsidP="001645ED">
      <w:pPr>
        <w:widowControl w:val="0"/>
        <w:spacing w:after="0" w:line="240" w:lineRule="auto"/>
        <w:jc w:val="both"/>
        <w:rPr>
          <w:rFonts w:ascii="Garamond" w:hAnsi="Garamond" w:cs="Times New Roman"/>
          <w:sz w:val="24"/>
        </w:rPr>
      </w:pPr>
      <w:r w:rsidRPr="00307FCC">
        <w:rPr>
          <w:rStyle w:val="Heading4Char"/>
          <w:rFonts w:ascii="Garamond" w:hAnsi="Garamond"/>
          <w:sz w:val="24"/>
        </w:rPr>
        <w:t>The Homeless Women-Crisis Shelter Home Program</w:t>
      </w:r>
    </w:p>
    <w:p w14:paraId="6B0429F1" w14:textId="7077CA33" w:rsidR="004705C8" w:rsidRPr="004A0C12" w:rsidRDefault="004705C8" w:rsidP="001645ED">
      <w:pPr>
        <w:widowControl w:val="0"/>
        <w:spacing w:after="0" w:line="240" w:lineRule="auto"/>
        <w:jc w:val="both"/>
        <w:rPr>
          <w:rFonts w:ascii="Garamond" w:hAnsi="Garamond" w:cs="Times New Roman"/>
          <w:u w:val="single"/>
        </w:rPr>
      </w:pPr>
      <w:r w:rsidRPr="004A0C12">
        <w:rPr>
          <w:rFonts w:ascii="Garamond" w:hAnsi="Garamond" w:cs="Times New Roman"/>
        </w:rPr>
        <w:t>This program provides funds for short-term (less than four months) shelter, room and board, counseling</w:t>
      </w:r>
      <w:r w:rsidR="001645ED" w:rsidRPr="004A0C12">
        <w:rPr>
          <w:rFonts w:ascii="Garamond" w:hAnsi="Garamond" w:cs="Times New Roman"/>
        </w:rPr>
        <w:t>,</w:t>
      </w:r>
      <w:r w:rsidRPr="004A0C12">
        <w:rPr>
          <w:rFonts w:ascii="Garamond" w:hAnsi="Garamond" w:cs="Times New Roman"/>
        </w:rPr>
        <w:t xml:space="preserve"> and referral services to homeles</w:t>
      </w:r>
      <w:r w:rsidR="001645ED" w:rsidRPr="004A0C12">
        <w:rPr>
          <w:rFonts w:ascii="Garamond" w:hAnsi="Garamond" w:cs="Times New Roman"/>
        </w:rPr>
        <w:t xml:space="preserve">s women and children under 300 percent </w:t>
      </w:r>
      <w:r w:rsidRPr="004A0C12">
        <w:rPr>
          <w:rFonts w:ascii="Garamond" w:hAnsi="Garamond" w:cs="Times New Roman"/>
        </w:rPr>
        <w:t>of</w:t>
      </w:r>
      <w:r w:rsidR="001645ED" w:rsidRPr="004A0C12">
        <w:rPr>
          <w:rFonts w:ascii="Garamond" w:hAnsi="Garamond" w:cs="Times New Roman"/>
        </w:rPr>
        <w:t xml:space="preserve"> the</w:t>
      </w:r>
      <w:r w:rsidRPr="004A0C12">
        <w:rPr>
          <w:rFonts w:ascii="Garamond" w:hAnsi="Garamond" w:cs="Times New Roman"/>
        </w:rPr>
        <w:t xml:space="preserve"> poverty</w:t>
      </w:r>
      <w:r w:rsidR="001645ED" w:rsidRPr="004A0C12">
        <w:rPr>
          <w:rFonts w:ascii="Garamond" w:hAnsi="Garamond" w:cs="Times New Roman"/>
        </w:rPr>
        <w:t xml:space="preserve"> level.</w:t>
      </w:r>
      <w:r w:rsidRPr="004A0C12">
        <w:rPr>
          <w:rFonts w:ascii="Garamond" w:hAnsi="Garamond" w:cs="Times New Roman"/>
        </w:rPr>
        <w:t xml:space="preserve"> This program provides non-assistance.</w:t>
      </w:r>
    </w:p>
    <w:p w14:paraId="19C9E0BD" w14:textId="77777777" w:rsidR="004705C8" w:rsidRPr="00307FCC" w:rsidRDefault="004705C8" w:rsidP="004705C8">
      <w:pPr>
        <w:spacing w:after="0" w:line="240" w:lineRule="auto"/>
        <w:jc w:val="both"/>
        <w:rPr>
          <w:rFonts w:ascii="Garamond" w:hAnsi="Garamond" w:cs="Times New Roman"/>
          <w:sz w:val="24"/>
          <w:u w:val="single"/>
        </w:rPr>
      </w:pPr>
    </w:p>
    <w:p w14:paraId="5199CF7D" w14:textId="77777777" w:rsidR="00902C29" w:rsidRPr="00307FCC" w:rsidRDefault="004705C8" w:rsidP="00091FBB">
      <w:pPr>
        <w:widowControl w:val="0"/>
        <w:spacing w:after="0" w:line="240" w:lineRule="auto"/>
        <w:jc w:val="both"/>
        <w:rPr>
          <w:rFonts w:ascii="Garamond" w:hAnsi="Garamond" w:cs="Times New Roman"/>
          <w:sz w:val="24"/>
        </w:rPr>
      </w:pPr>
      <w:r w:rsidRPr="00307FCC">
        <w:rPr>
          <w:rStyle w:val="Heading4Char"/>
          <w:rFonts w:ascii="Garamond" w:hAnsi="Garamond"/>
          <w:sz w:val="24"/>
        </w:rPr>
        <w:t>The Domestic Violence Program</w:t>
      </w:r>
      <w:r w:rsidR="00902C29" w:rsidRPr="00307FCC">
        <w:rPr>
          <w:rFonts w:ascii="Garamond" w:hAnsi="Garamond" w:cs="Times New Roman"/>
          <w:sz w:val="24"/>
        </w:rPr>
        <w:t xml:space="preserve"> </w:t>
      </w:r>
    </w:p>
    <w:p w14:paraId="70BF7292" w14:textId="14B9C495" w:rsidR="004705C8" w:rsidRPr="004A0C12" w:rsidRDefault="004705C8" w:rsidP="00091FBB">
      <w:pPr>
        <w:widowControl w:val="0"/>
        <w:spacing w:after="0" w:line="240" w:lineRule="auto"/>
        <w:jc w:val="both"/>
        <w:rPr>
          <w:rFonts w:ascii="Garamond" w:hAnsi="Garamond" w:cs="Times New Roman"/>
          <w:u w:val="single"/>
        </w:rPr>
      </w:pPr>
      <w:r w:rsidRPr="004A0C12">
        <w:rPr>
          <w:rFonts w:ascii="Garamond" w:hAnsi="Garamond" w:cs="Times New Roman"/>
        </w:rPr>
        <w:t>This program offers services to victims of domestic violence and their familie</w:t>
      </w:r>
      <w:r w:rsidR="00091FBB" w:rsidRPr="004A0C12">
        <w:rPr>
          <w:rFonts w:ascii="Garamond" w:hAnsi="Garamond" w:cs="Times New Roman"/>
        </w:rPr>
        <w:t>s who have income less than 300 percent</w:t>
      </w:r>
      <w:r w:rsidRPr="004A0C12">
        <w:rPr>
          <w:rFonts w:ascii="Garamond" w:hAnsi="Garamond" w:cs="Times New Roman"/>
        </w:rPr>
        <w:t xml:space="preserve"> of </w:t>
      </w:r>
      <w:r w:rsidR="00091FBB" w:rsidRPr="004A0C12">
        <w:rPr>
          <w:rFonts w:ascii="Garamond" w:hAnsi="Garamond" w:cs="Times New Roman"/>
        </w:rPr>
        <w:t xml:space="preserve">the </w:t>
      </w:r>
      <w:r w:rsidRPr="004A0C12">
        <w:rPr>
          <w:rFonts w:ascii="Garamond" w:hAnsi="Garamond" w:cs="Times New Roman"/>
        </w:rPr>
        <w:t>poverty</w:t>
      </w:r>
      <w:r w:rsidR="00091FBB" w:rsidRPr="004A0C12">
        <w:rPr>
          <w:rFonts w:ascii="Garamond" w:hAnsi="Garamond" w:cs="Times New Roman"/>
        </w:rPr>
        <w:t xml:space="preserve"> level</w:t>
      </w:r>
      <w:r w:rsidRPr="004A0C12">
        <w:rPr>
          <w:rFonts w:ascii="Garamond" w:hAnsi="Garamond" w:cs="Times New Roman"/>
        </w:rPr>
        <w:t>. Services include</w:t>
      </w:r>
      <w:r w:rsidR="00091FBB" w:rsidRPr="004A0C12">
        <w:rPr>
          <w:rFonts w:ascii="Garamond" w:hAnsi="Garamond" w:cs="Times New Roman"/>
        </w:rPr>
        <w:t>,</w:t>
      </w:r>
      <w:r w:rsidRPr="004A0C12">
        <w:rPr>
          <w:rFonts w:ascii="Garamond" w:hAnsi="Garamond" w:cs="Times New Roman"/>
        </w:rPr>
        <w:t xml:space="preserve"> but are not limited to safe accommodations for a period not to exceed four months, hotline counseling, advocacy, accompani</w:t>
      </w:r>
      <w:r w:rsidR="00091FBB" w:rsidRPr="004A0C12">
        <w:rPr>
          <w:rFonts w:ascii="Garamond" w:hAnsi="Garamond" w:cs="Times New Roman"/>
        </w:rPr>
        <w:t xml:space="preserve">ment, and abuser intervention. </w:t>
      </w:r>
      <w:r w:rsidRPr="004A0C12">
        <w:rPr>
          <w:rFonts w:ascii="Garamond" w:hAnsi="Garamond" w:cs="Times New Roman"/>
        </w:rPr>
        <w:t>This program provides non-assistance.</w:t>
      </w:r>
    </w:p>
    <w:p w14:paraId="7B9B48EA" w14:textId="77777777" w:rsidR="004705C8" w:rsidRPr="00307FCC" w:rsidRDefault="004705C8" w:rsidP="004705C8">
      <w:pPr>
        <w:spacing w:after="0" w:line="240" w:lineRule="auto"/>
        <w:jc w:val="both"/>
        <w:rPr>
          <w:rFonts w:ascii="Garamond" w:hAnsi="Garamond" w:cs="Times New Roman"/>
          <w:sz w:val="24"/>
          <w:u w:val="single"/>
        </w:rPr>
      </w:pPr>
    </w:p>
    <w:p w14:paraId="1EF2CEEE" w14:textId="77777777" w:rsidR="00902C29" w:rsidRPr="00307FCC" w:rsidRDefault="004705C8" w:rsidP="002F7BC3">
      <w:pPr>
        <w:widowControl w:val="0"/>
        <w:spacing w:after="0" w:line="240" w:lineRule="auto"/>
        <w:jc w:val="both"/>
        <w:rPr>
          <w:rFonts w:ascii="Garamond" w:hAnsi="Garamond" w:cs="Times New Roman"/>
          <w:sz w:val="24"/>
        </w:rPr>
      </w:pPr>
      <w:r w:rsidRPr="00307FCC">
        <w:rPr>
          <w:rStyle w:val="Heading4Char"/>
          <w:rFonts w:ascii="Garamond" w:hAnsi="Garamond"/>
          <w:sz w:val="24"/>
        </w:rPr>
        <w:t>The Displaced Homemaker Program</w:t>
      </w:r>
    </w:p>
    <w:p w14:paraId="0F493F35" w14:textId="63F9416C" w:rsidR="004705C8" w:rsidRPr="004A0C12" w:rsidRDefault="004705C8" w:rsidP="002F7BC3">
      <w:pPr>
        <w:widowControl w:val="0"/>
        <w:spacing w:after="0" w:line="240" w:lineRule="auto"/>
        <w:jc w:val="both"/>
        <w:rPr>
          <w:rFonts w:ascii="Garamond" w:hAnsi="Garamond" w:cs="Times New Roman"/>
          <w:u w:val="single"/>
        </w:rPr>
      </w:pPr>
      <w:r w:rsidRPr="004A0C12">
        <w:rPr>
          <w:rFonts w:ascii="Garamond" w:hAnsi="Garamond" w:cs="Times New Roman"/>
        </w:rPr>
        <w:t>This program provides a continuum of comprehensive services to help individuals</w:t>
      </w:r>
      <w:r w:rsidR="00B4249E" w:rsidRPr="004A0C12">
        <w:rPr>
          <w:rFonts w:ascii="Garamond" w:hAnsi="Garamond" w:cs="Times New Roman"/>
        </w:rPr>
        <w:t>, who have income less than 300 percent of the poverty level,</w:t>
      </w:r>
      <w:r w:rsidRPr="004A0C12">
        <w:rPr>
          <w:rFonts w:ascii="Garamond" w:hAnsi="Garamond" w:cs="Times New Roman"/>
        </w:rPr>
        <w:t xml:space="preserve"> enter or re-enter the workforce in ord</w:t>
      </w:r>
      <w:r w:rsidR="00B4249E" w:rsidRPr="004A0C12">
        <w:rPr>
          <w:rFonts w:ascii="Garamond" w:hAnsi="Garamond" w:cs="Times New Roman"/>
        </w:rPr>
        <w:t xml:space="preserve">er to become self-sufficient. </w:t>
      </w:r>
      <w:r w:rsidRPr="004A0C12">
        <w:rPr>
          <w:rFonts w:ascii="Garamond" w:hAnsi="Garamond" w:cs="Times New Roman"/>
        </w:rPr>
        <w:t>Recipients must be</w:t>
      </w:r>
      <w:r w:rsidR="00B4249E" w:rsidRPr="004A0C12">
        <w:rPr>
          <w:rFonts w:ascii="Garamond" w:hAnsi="Garamond" w:cs="Times New Roman"/>
        </w:rPr>
        <w:t>:</w:t>
      </w:r>
      <w:r w:rsidRPr="004A0C12">
        <w:rPr>
          <w:rFonts w:ascii="Garamond" w:hAnsi="Garamond" w:cs="Times New Roman"/>
        </w:rPr>
        <w:t xml:space="preserve"> 35 years or older; experienced a loss of income through separation, divorce, disability or death; received assistance through care of a child on TCA and are no longer eligible or have recei</w:t>
      </w:r>
      <w:r w:rsidR="00B4249E" w:rsidRPr="004A0C12">
        <w:rPr>
          <w:rFonts w:ascii="Garamond" w:hAnsi="Garamond" w:cs="Times New Roman"/>
        </w:rPr>
        <w:t xml:space="preserve">ved TCA for 24 or more months. </w:t>
      </w:r>
      <w:r w:rsidRPr="004A0C12">
        <w:rPr>
          <w:rFonts w:ascii="Garamond" w:hAnsi="Garamond" w:cs="Times New Roman"/>
        </w:rPr>
        <w:t>This program provides non-assistance.</w:t>
      </w:r>
    </w:p>
    <w:p w14:paraId="080A9406" w14:textId="77777777" w:rsidR="004705C8" w:rsidRPr="004A0C12" w:rsidRDefault="004705C8" w:rsidP="004705C8">
      <w:pPr>
        <w:spacing w:after="0" w:line="240" w:lineRule="auto"/>
        <w:jc w:val="both"/>
        <w:rPr>
          <w:rFonts w:ascii="Garamond" w:hAnsi="Garamond" w:cs="Times New Roman"/>
          <w:u w:val="single"/>
        </w:rPr>
      </w:pPr>
    </w:p>
    <w:p w14:paraId="32EF86B0" w14:textId="77777777" w:rsidR="00902C29" w:rsidRPr="00307FCC" w:rsidRDefault="004705C8" w:rsidP="00B4249E">
      <w:pPr>
        <w:widowControl w:val="0"/>
        <w:spacing w:after="0" w:line="240" w:lineRule="auto"/>
        <w:jc w:val="both"/>
        <w:rPr>
          <w:rFonts w:ascii="Garamond" w:hAnsi="Garamond" w:cs="Times New Roman"/>
          <w:sz w:val="24"/>
        </w:rPr>
      </w:pPr>
      <w:r w:rsidRPr="00307FCC">
        <w:rPr>
          <w:rStyle w:val="Heading4Char"/>
          <w:rFonts w:ascii="Garamond" w:hAnsi="Garamond"/>
          <w:sz w:val="24"/>
        </w:rPr>
        <w:t>The Maryland Emergency Food Program</w:t>
      </w:r>
    </w:p>
    <w:p w14:paraId="18DD4D66" w14:textId="2A0EEDA0" w:rsidR="004705C8" w:rsidRPr="004A0C12" w:rsidRDefault="004705C8" w:rsidP="00B4249E">
      <w:pPr>
        <w:widowControl w:val="0"/>
        <w:spacing w:after="0" w:line="240" w:lineRule="auto"/>
        <w:jc w:val="both"/>
        <w:rPr>
          <w:rFonts w:ascii="Garamond" w:hAnsi="Garamond" w:cs="Times New Roman"/>
          <w:u w:val="single"/>
        </w:rPr>
      </w:pPr>
      <w:r w:rsidRPr="004A0C12">
        <w:rPr>
          <w:rFonts w:ascii="Garamond" w:hAnsi="Garamond" w:cs="Times New Roman"/>
        </w:rPr>
        <w:t xml:space="preserve">This program provides cash grants to assist emergency food providers (including soup kitchens and food pantries) in purchasing food for needy families with income under 300 percent of </w:t>
      </w:r>
      <w:r w:rsidR="00B4249E" w:rsidRPr="004A0C12">
        <w:rPr>
          <w:rFonts w:ascii="Garamond" w:hAnsi="Garamond" w:cs="Times New Roman"/>
        </w:rPr>
        <w:t xml:space="preserve">the </w:t>
      </w:r>
      <w:r w:rsidRPr="004A0C12">
        <w:rPr>
          <w:rFonts w:ascii="Garamond" w:hAnsi="Garamond" w:cs="Times New Roman"/>
        </w:rPr>
        <w:t>poverty</w:t>
      </w:r>
      <w:r w:rsidR="00B4249E" w:rsidRPr="004A0C12">
        <w:rPr>
          <w:rFonts w:ascii="Garamond" w:hAnsi="Garamond" w:cs="Times New Roman"/>
        </w:rPr>
        <w:t xml:space="preserve"> level.</w:t>
      </w:r>
      <w:r w:rsidRPr="004A0C12">
        <w:rPr>
          <w:rFonts w:ascii="Garamond" w:hAnsi="Garamond" w:cs="Times New Roman"/>
        </w:rPr>
        <w:t xml:space="preserve"> This program provides non-assistance.</w:t>
      </w:r>
    </w:p>
    <w:p w14:paraId="7CEF03C3" w14:textId="77777777" w:rsidR="004705C8" w:rsidRPr="004A0C12" w:rsidRDefault="004705C8" w:rsidP="004705C8">
      <w:pPr>
        <w:spacing w:after="0" w:line="240" w:lineRule="auto"/>
        <w:jc w:val="both"/>
        <w:rPr>
          <w:rFonts w:ascii="Garamond" w:hAnsi="Garamond" w:cs="Times New Roman"/>
          <w:u w:val="single"/>
        </w:rPr>
      </w:pPr>
    </w:p>
    <w:p w14:paraId="02C339D1" w14:textId="77777777" w:rsidR="00902C29" w:rsidRPr="00307FCC" w:rsidRDefault="00B4249E" w:rsidP="0014405E">
      <w:pPr>
        <w:widowControl w:val="0"/>
        <w:suppressAutoHyphens/>
        <w:spacing w:after="0" w:line="240" w:lineRule="auto"/>
        <w:jc w:val="both"/>
        <w:rPr>
          <w:rFonts w:ascii="Garamond" w:hAnsi="Garamond" w:cs="Times New Roman"/>
          <w:sz w:val="24"/>
        </w:rPr>
      </w:pPr>
      <w:r w:rsidRPr="00307FCC">
        <w:rPr>
          <w:rStyle w:val="Heading4Char"/>
          <w:rFonts w:ascii="Garamond" w:hAnsi="Garamond"/>
          <w:sz w:val="24"/>
        </w:rPr>
        <w:t>Summer Youth Employment Program</w:t>
      </w:r>
    </w:p>
    <w:p w14:paraId="649732B5" w14:textId="168DA98C" w:rsidR="004705C8" w:rsidRPr="004A0C12" w:rsidRDefault="00B4249E" w:rsidP="0014405E">
      <w:pPr>
        <w:widowControl w:val="0"/>
        <w:suppressAutoHyphens/>
        <w:spacing w:after="0" w:line="240" w:lineRule="auto"/>
        <w:jc w:val="both"/>
        <w:rPr>
          <w:rFonts w:ascii="Garamond" w:hAnsi="Garamond" w:cs="Times New Roman"/>
        </w:rPr>
      </w:pPr>
      <w:r w:rsidRPr="004A0C12">
        <w:rPr>
          <w:rFonts w:ascii="Garamond" w:hAnsi="Garamond" w:cs="Times New Roman"/>
        </w:rPr>
        <w:t>The</w:t>
      </w:r>
      <w:r w:rsidR="004705C8" w:rsidRPr="004A0C12">
        <w:rPr>
          <w:rFonts w:ascii="Garamond" w:hAnsi="Garamond" w:cs="Times New Roman"/>
        </w:rPr>
        <w:t xml:space="preserve"> summer youth employment program is designed to provide work subsidies for work placements focused on basic skills enhancement and the opportunity to learn marketable work skills.</w:t>
      </w:r>
      <w:r w:rsidR="00732872" w:rsidRPr="004A0C12">
        <w:rPr>
          <w:rFonts w:ascii="Garamond" w:hAnsi="Garamond" w:cs="Times New Roman"/>
        </w:rPr>
        <w:t xml:space="preserve"> </w:t>
      </w:r>
      <w:r w:rsidR="004705C8" w:rsidRPr="004A0C12">
        <w:rPr>
          <w:rFonts w:ascii="Garamond" w:hAnsi="Garamond" w:cs="Times New Roman"/>
        </w:rPr>
        <w:t>These summer programs can operate in partnership with WIOA Partners, thus creating robust work experiences for youth. Program counselors help youth develop positive work habits and attitudes and can reinforce the relationship between the skills acquired on the job and what is lear</w:t>
      </w:r>
      <w:r w:rsidR="007F7E92" w:rsidRPr="004A0C12">
        <w:rPr>
          <w:rFonts w:ascii="Garamond" w:hAnsi="Garamond" w:cs="Times New Roman"/>
        </w:rPr>
        <w:t xml:space="preserve">ned in an educational setting. </w:t>
      </w:r>
      <w:r w:rsidR="004705C8" w:rsidRPr="004A0C12">
        <w:rPr>
          <w:rFonts w:ascii="Garamond" w:hAnsi="Garamond" w:cs="Times New Roman"/>
        </w:rPr>
        <w:t>Transportation for youth to travel to and from the work site may also be pr</w:t>
      </w:r>
      <w:r w:rsidRPr="004A0C12">
        <w:rPr>
          <w:rFonts w:ascii="Garamond" w:hAnsi="Garamond" w:cs="Times New Roman"/>
        </w:rPr>
        <w:t>ovided.</w:t>
      </w:r>
      <w:r w:rsidR="004705C8" w:rsidRPr="004A0C12">
        <w:rPr>
          <w:rFonts w:ascii="Garamond" w:hAnsi="Garamond" w:cs="Times New Roman"/>
        </w:rPr>
        <w:t xml:space="preserve"> Summer youth employment programs reduce the risk of welfare dependency by improving the youths’ capacity to obtain employment that leads to long-term financial self-sufficiency. This program serves youth ages 14 through 21 that are members of a family whose total family income is up to 300 percen</w:t>
      </w:r>
      <w:r w:rsidR="0014405E" w:rsidRPr="004A0C12">
        <w:rPr>
          <w:rFonts w:ascii="Garamond" w:hAnsi="Garamond" w:cs="Times New Roman"/>
        </w:rPr>
        <w:t>t of the federal poverty level.</w:t>
      </w:r>
      <w:r w:rsidR="004705C8" w:rsidRPr="004A0C12">
        <w:rPr>
          <w:rFonts w:ascii="Garamond" w:hAnsi="Garamond" w:cs="Times New Roman"/>
        </w:rPr>
        <w:t xml:space="preserve"> This program provides non-assistance.</w:t>
      </w:r>
    </w:p>
    <w:p w14:paraId="5A93825C" w14:textId="77777777" w:rsidR="00297312" w:rsidRPr="004A0C12" w:rsidRDefault="00297312" w:rsidP="0014405E">
      <w:pPr>
        <w:widowControl w:val="0"/>
        <w:suppressAutoHyphens/>
        <w:spacing w:after="0" w:line="240" w:lineRule="auto"/>
        <w:jc w:val="both"/>
        <w:rPr>
          <w:rFonts w:ascii="Garamond" w:hAnsi="Garamond" w:cs="Times New Roman"/>
        </w:rPr>
      </w:pPr>
    </w:p>
    <w:p w14:paraId="38464FD5" w14:textId="77777777" w:rsidR="00902C29" w:rsidRPr="00307FCC" w:rsidRDefault="004705C8" w:rsidP="0014405E">
      <w:pPr>
        <w:widowControl w:val="0"/>
        <w:spacing w:after="0" w:line="240" w:lineRule="auto"/>
        <w:jc w:val="both"/>
        <w:rPr>
          <w:rFonts w:ascii="Garamond" w:hAnsi="Garamond" w:cs="Times New Roman"/>
          <w:sz w:val="24"/>
        </w:rPr>
      </w:pPr>
      <w:r w:rsidRPr="00307FCC">
        <w:rPr>
          <w:rStyle w:val="Heading4Char"/>
          <w:rFonts w:ascii="Garamond" w:hAnsi="Garamond"/>
          <w:sz w:val="24"/>
        </w:rPr>
        <w:t>Refugee Employment Services</w:t>
      </w:r>
    </w:p>
    <w:p w14:paraId="17813607" w14:textId="7C718181" w:rsidR="004705C8" w:rsidRPr="004A0C12" w:rsidRDefault="004705C8" w:rsidP="0014405E">
      <w:pPr>
        <w:widowControl w:val="0"/>
        <w:spacing w:after="0" w:line="240" w:lineRule="auto"/>
        <w:jc w:val="both"/>
        <w:rPr>
          <w:rFonts w:ascii="Garamond" w:hAnsi="Garamond" w:cs="Times New Roman"/>
        </w:rPr>
      </w:pPr>
      <w:r w:rsidRPr="004A0C12">
        <w:rPr>
          <w:rFonts w:ascii="Garamond" w:hAnsi="Garamond" w:cs="Times New Roman"/>
        </w:rPr>
        <w:t>Refugee Employment Services provide</w:t>
      </w:r>
      <w:r w:rsidRPr="004A0C12">
        <w:rPr>
          <w:rFonts w:ascii="Garamond" w:hAnsi="Garamond" w:cs="Times New Roman"/>
          <w:strike/>
        </w:rPr>
        <w:t>s</w:t>
      </w:r>
      <w:r w:rsidRPr="004A0C12">
        <w:rPr>
          <w:rFonts w:ascii="Garamond" w:hAnsi="Garamond" w:cs="Times New Roman"/>
        </w:rPr>
        <w:t xml:space="preserve"> employment and other services to families who are refugees/asylees</w:t>
      </w:r>
      <w:r w:rsidR="0014405E" w:rsidRPr="004A0C12">
        <w:rPr>
          <w:rFonts w:ascii="Garamond" w:hAnsi="Garamond" w:cs="Times New Roman"/>
        </w:rPr>
        <w:t>,</w:t>
      </w:r>
      <w:r w:rsidRPr="004A0C12">
        <w:rPr>
          <w:rFonts w:ascii="Garamond" w:hAnsi="Garamond" w:cs="Times New Roman"/>
        </w:rPr>
        <w:t xml:space="preserve"> beyond those which can be paid for under other refug</w:t>
      </w:r>
      <w:r w:rsidR="0014405E" w:rsidRPr="004A0C12">
        <w:rPr>
          <w:rFonts w:ascii="Garamond" w:hAnsi="Garamond" w:cs="Times New Roman"/>
        </w:rPr>
        <w:t xml:space="preserve">ee/asylee assistance programs. </w:t>
      </w:r>
      <w:r w:rsidRPr="004A0C12">
        <w:rPr>
          <w:rFonts w:ascii="Garamond" w:hAnsi="Garamond" w:cs="Times New Roman"/>
        </w:rPr>
        <w:t>This program serves those with income</w:t>
      </w:r>
      <w:r w:rsidR="0014405E" w:rsidRPr="004A0C12">
        <w:rPr>
          <w:rFonts w:ascii="Garamond" w:hAnsi="Garamond" w:cs="Times New Roman"/>
        </w:rPr>
        <w:t xml:space="preserve"> is</w:t>
      </w:r>
      <w:r w:rsidRPr="004A0C12">
        <w:rPr>
          <w:rFonts w:ascii="Garamond" w:hAnsi="Garamond" w:cs="Times New Roman"/>
        </w:rPr>
        <w:t xml:space="preserve"> under 300 percent of the federal poverty level and provides non-assistance.</w:t>
      </w:r>
    </w:p>
    <w:p w14:paraId="53027013" w14:textId="77777777" w:rsidR="004705C8" w:rsidRPr="004A0C12" w:rsidRDefault="004705C8" w:rsidP="004705C8">
      <w:pPr>
        <w:spacing w:after="0" w:line="240" w:lineRule="auto"/>
        <w:jc w:val="both"/>
        <w:rPr>
          <w:rFonts w:ascii="Garamond" w:hAnsi="Garamond" w:cs="Times New Roman"/>
        </w:rPr>
      </w:pPr>
    </w:p>
    <w:p w14:paraId="37BA58DE" w14:textId="77777777" w:rsidR="00902C29" w:rsidRPr="00307FCC" w:rsidRDefault="004705C8" w:rsidP="0014405E">
      <w:pPr>
        <w:spacing w:after="0" w:line="240" w:lineRule="auto"/>
        <w:jc w:val="both"/>
        <w:rPr>
          <w:rFonts w:ascii="Garamond" w:hAnsi="Garamond" w:cs="Times New Roman"/>
          <w:sz w:val="24"/>
        </w:rPr>
      </w:pPr>
      <w:r w:rsidRPr="00307FCC">
        <w:rPr>
          <w:rStyle w:val="Heading4Char"/>
          <w:rFonts w:ascii="Garamond" w:hAnsi="Garamond"/>
          <w:sz w:val="24"/>
        </w:rPr>
        <w:t>Informal Kinship Care Services</w:t>
      </w:r>
    </w:p>
    <w:p w14:paraId="1F927853" w14:textId="02F01478" w:rsidR="004705C8" w:rsidRPr="004A0C12" w:rsidRDefault="004705C8" w:rsidP="0014405E">
      <w:pPr>
        <w:spacing w:after="0" w:line="240" w:lineRule="auto"/>
        <w:jc w:val="both"/>
        <w:rPr>
          <w:rFonts w:ascii="Garamond" w:hAnsi="Garamond" w:cs="Times New Roman"/>
        </w:rPr>
      </w:pPr>
      <w:r w:rsidRPr="004A0C12">
        <w:rPr>
          <w:rFonts w:ascii="Garamond" w:hAnsi="Garamond" w:cs="Times New Roman"/>
        </w:rPr>
        <w:t>These services are provided to children who live with their relatives through an informal arrangement made within the family.  The child is not in the care, custody, or guardianship of the local Department of Social Services.  Both the child and the relative caregivers receive informal kinship care support services including information and referral through local departments of social services and the Kinship Care Resource Center funded by the Department of Human Resources and entities such as the Brookdale Foundation.  The children’s income must be within 300 percent of poverty.  This program provides non-assistance.</w:t>
      </w:r>
    </w:p>
    <w:p w14:paraId="511EBF73" w14:textId="77777777" w:rsidR="004705C8" w:rsidRPr="004A0C12" w:rsidRDefault="004705C8" w:rsidP="004705C8">
      <w:pPr>
        <w:tabs>
          <w:tab w:val="left" w:pos="-1440"/>
        </w:tabs>
        <w:spacing w:after="0" w:line="240" w:lineRule="auto"/>
        <w:jc w:val="both"/>
        <w:rPr>
          <w:rFonts w:ascii="Garamond" w:hAnsi="Garamond" w:cs="Times New Roman"/>
        </w:rPr>
      </w:pPr>
    </w:p>
    <w:p w14:paraId="4BCFCB89" w14:textId="77777777" w:rsidR="00902C29" w:rsidRPr="00307FCC" w:rsidRDefault="004705C8" w:rsidP="0014405E">
      <w:pPr>
        <w:spacing w:after="0" w:line="240" w:lineRule="auto"/>
        <w:jc w:val="both"/>
        <w:rPr>
          <w:rFonts w:ascii="Garamond" w:hAnsi="Garamond" w:cs="Times New Roman"/>
          <w:sz w:val="24"/>
        </w:rPr>
      </w:pPr>
      <w:r w:rsidRPr="00307FCC">
        <w:rPr>
          <w:rStyle w:val="Heading4Char"/>
          <w:rFonts w:ascii="Garamond" w:hAnsi="Garamond"/>
          <w:sz w:val="24"/>
        </w:rPr>
        <w:t>Post Adoption Services</w:t>
      </w:r>
    </w:p>
    <w:p w14:paraId="23A37A91" w14:textId="7DC01A50" w:rsidR="004705C8" w:rsidRPr="004A0C12" w:rsidRDefault="004705C8" w:rsidP="0014405E">
      <w:pPr>
        <w:spacing w:after="0" w:line="240" w:lineRule="auto"/>
        <w:jc w:val="both"/>
        <w:rPr>
          <w:rFonts w:ascii="Garamond" w:hAnsi="Garamond" w:cs="Times New Roman"/>
        </w:rPr>
      </w:pPr>
      <w:r w:rsidRPr="004A0C12">
        <w:rPr>
          <w:rFonts w:ascii="Garamond" w:hAnsi="Garamond" w:cs="Times New Roman"/>
        </w:rPr>
        <w:t>Post Adoption Services provide supportive services to adoptive parents and</w:t>
      </w:r>
      <w:r w:rsidR="0014405E" w:rsidRPr="004A0C12">
        <w:rPr>
          <w:rFonts w:ascii="Garamond" w:hAnsi="Garamond" w:cs="Times New Roman"/>
        </w:rPr>
        <w:t xml:space="preserve"> children with income under 300 percent</w:t>
      </w:r>
      <w:r w:rsidRPr="004A0C12">
        <w:rPr>
          <w:rFonts w:ascii="Garamond" w:hAnsi="Garamond" w:cs="Times New Roman"/>
        </w:rPr>
        <w:t xml:space="preserve"> of </w:t>
      </w:r>
      <w:r w:rsidR="0014405E" w:rsidRPr="004A0C12">
        <w:rPr>
          <w:rFonts w:ascii="Garamond" w:hAnsi="Garamond" w:cs="Times New Roman"/>
        </w:rPr>
        <w:t xml:space="preserve">the </w:t>
      </w:r>
      <w:r w:rsidRPr="004A0C12">
        <w:rPr>
          <w:rFonts w:ascii="Garamond" w:hAnsi="Garamond" w:cs="Times New Roman"/>
        </w:rPr>
        <w:t>poverty</w:t>
      </w:r>
      <w:r w:rsidR="0014405E" w:rsidRPr="004A0C12">
        <w:rPr>
          <w:rFonts w:ascii="Garamond" w:hAnsi="Garamond" w:cs="Times New Roman"/>
        </w:rPr>
        <w:t xml:space="preserve"> level.</w:t>
      </w:r>
      <w:r w:rsidRPr="004A0C12">
        <w:rPr>
          <w:rFonts w:ascii="Garamond" w:hAnsi="Garamond" w:cs="Times New Roman"/>
        </w:rPr>
        <w:t xml:space="preserve"> Services provided include</w:t>
      </w:r>
      <w:r w:rsidR="0014405E" w:rsidRPr="004A0C12">
        <w:rPr>
          <w:rFonts w:ascii="Garamond" w:hAnsi="Garamond" w:cs="Times New Roman"/>
        </w:rPr>
        <w:t>,</w:t>
      </w:r>
      <w:r w:rsidRPr="004A0C12">
        <w:rPr>
          <w:rFonts w:ascii="Garamond" w:hAnsi="Garamond" w:cs="Times New Roman"/>
        </w:rPr>
        <w:t xml:space="preserve"> but are not limited to</w:t>
      </w:r>
      <w:r w:rsidR="0014405E" w:rsidRPr="004A0C12">
        <w:rPr>
          <w:rFonts w:ascii="Garamond" w:hAnsi="Garamond" w:cs="Times New Roman"/>
        </w:rPr>
        <w:t>:</w:t>
      </w:r>
      <w:r w:rsidRPr="004A0C12">
        <w:rPr>
          <w:rFonts w:ascii="Garamond" w:hAnsi="Garamond" w:cs="Times New Roman"/>
        </w:rPr>
        <w:t xml:space="preserve"> individual and group support, child or family mentoring, marriage support, information and referral, crisis intervention, community and recreational se</w:t>
      </w:r>
      <w:r w:rsidR="0014405E" w:rsidRPr="004A0C12">
        <w:rPr>
          <w:rFonts w:ascii="Garamond" w:hAnsi="Garamond" w:cs="Times New Roman"/>
        </w:rPr>
        <w:t xml:space="preserve">rvices, and educational support, </w:t>
      </w:r>
      <w:r w:rsidRPr="004A0C12">
        <w:rPr>
          <w:rFonts w:ascii="Garamond" w:hAnsi="Garamond" w:cs="Times New Roman"/>
        </w:rPr>
        <w:t xml:space="preserve">such as </w:t>
      </w:r>
      <w:r w:rsidRPr="004A0C12">
        <w:rPr>
          <w:rFonts w:ascii="Garamond" w:hAnsi="Garamond" w:cs="Times New Roman"/>
        </w:rPr>
        <w:lastRenderedPageBreak/>
        <w:t>tutoring and educational plan dev</w:t>
      </w:r>
      <w:r w:rsidR="0014405E" w:rsidRPr="004A0C12">
        <w:rPr>
          <w:rFonts w:ascii="Garamond" w:hAnsi="Garamond" w:cs="Times New Roman"/>
        </w:rPr>
        <w:t xml:space="preserve">elopment. </w:t>
      </w:r>
      <w:r w:rsidRPr="004A0C12">
        <w:rPr>
          <w:rFonts w:ascii="Garamond" w:hAnsi="Garamond" w:cs="Times New Roman"/>
        </w:rPr>
        <w:t>Benefits under this program meet the definition of non-ass</w:t>
      </w:r>
      <w:r w:rsidR="0014405E" w:rsidRPr="004A0C12">
        <w:rPr>
          <w:rFonts w:ascii="Garamond" w:hAnsi="Garamond" w:cs="Times New Roman"/>
        </w:rPr>
        <w:t>istance under the TANF program.</w:t>
      </w:r>
      <w:r w:rsidRPr="004A0C12">
        <w:rPr>
          <w:rFonts w:ascii="Garamond" w:hAnsi="Garamond" w:cs="Times New Roman"/>
        </w:rPr>
        <w:t xml:space="preserve"> This program is reasonably calculated to meet the first goal</w:t>
      </w:r>
      <w:r w:rsidR="00297312" w:rsidRPr="004A0C12">
        <w:rPr>
          <w:rStyle w:val="FootnoteReference"/>
          <w:rFonts w:ascii="Garamond" w:hAnsi="Garamond" w:cs="Times New Roman"/>
        </w:rPr>
        <w:footnoteReference w:id="54"/>
      </w:r>
      <w:r w:rsidRPr="004A0C12">
        <w:rPr>
          <w:rFonts w:ascii="Garamond" w:hAnsi="Garamond" w:cs="Times New Roman"/>
        </w:rPr>
        <w:t xml:space="preserve"> of the TANF statute.</w:t>
      </w:r>
    </w:p>
    <w:p w14:paraId="51A1D3B5" w14:textId="77777777" w:rsidR="004705C8" w:rsidRPr="00307FCC" w:rsidRDefault="004705C8" w:rsidP="004705C8">
      <w:pPr>
        <w:tabs>
          <w:tab w:val="left" w:pos="-1440"/>
        </w:tabs>
        <w:spacing w:after="0" w:line="240" w:lineRule="auto"/>
        <w:jc w:val="both"/>
        <w:rPr>
          <w:rFonts w:ascii="Garamond" w:hAnsi="Garamond" w:cs="Times New Roman"/>
          <w:sz w:val="24"/>
          <w:szCs w:val="24"/>
        </w:rPr>
      </w:pPr>
    </w:p>
    <w:p w14:paraId="6C54CA73" w14:textId="77777777" w:rsidR="00902C29" w:rsidRPr="00307FCC" w:rsidRDefault="004705C8" w:rsidP="0014405E">
      <w:pPr>
        <w:widowControl w:val="0"/>
        <w:spacing w:after="0" w:line="240" w:lineRule="auto"/>
        <w:jc w:val="both"/>
        <w:rPr>
          <w:rFonts w:ascii="Garamond" w:hAnsi="Garamond" w:cs="Times New Roman"/>
          <w:sz w:val="24"/>
          <w:szCs w:val="24"/>
        </w:rPr>
      </w:pPr>
      <w:r w:rsidRPr="00307FCC">
        <w:rPr>
          <w:rStyle w:val="Heading4Char"/>
          <w:rFonts w:ascii="Garamond" w:hAnsi="Garamond"/>
          <w:sz w:val="24"/>
          <w:szCs w:val="24"/>
        </w:rPr>
        <w:t>Independent Living Program - Kinship Care Families</w:t>
      </w:r>
    </w:p>
    <w:p w14:paraId="4843A816" w14:textId="0BE78A6D" w:rsidR="004705C8" w:rsidRPr="004A0C12" w:rsidRDefault="004705C8" w:rsidP="0014405E">
      <w:pPr>
        <w:widowControl w:val="0"/>
        <w:spacing w:after="0" w:line="240" w:lineRule="auto"/>
        <w:jc w:val="both"/>
        <w:rPr>
          <w:rFonts w:ascii="Garamond" w:hAnsi="Garamond" w:cs="Times New Roman"/>
        </w:rPr>
      </w:pPr>
      <w:r w:rsidRPr="004A0C12">
        <w:rPr>
          <w:rFonts w:ascii="Garamond" w:hAnsi="Garamond" w:cs="Times New Roman"/>
        </w:rPr>
        <w:t xml:space="preserve">The Independent Living Program is a part of a continuum of foster care services administered by the Social Services Administration and delivered by the 24 local </w:t>
      </w:r>
      <w:r w:rsidR="0014405E" w:rsidRPr="004A0C12">
        <w:rPr>
          <w:rFonts w:ascii="Garamond" w:hAnsi="Garamond" w:cs="Times New Roman"/>
        </w:rPr>
        <w:t xml:space="preserve">departments of social services. </w:t>
      </w:r>
      <w:r w:rsidRPr="004A0C12">
        <w:rPr>
          <w:rFonts w:ascii="Garamond" w:hAnsi="Garamond" w:cs="Times New Roman"/>
        </w:rPr>
        <w:t>The purposes of the program are to</w:t>
      </w:r>
      <w:r w:rsidR="0014405E" w:rsidRPr="004A0C12">
        <w:rPr>
          <w:rFonts w:ascii="Garamond" w:hAnsi="Garamond" w:cs="Times New Roman"/>
        </w:rPr>
        <w:t>: (1)</w:t>
      </w:r>
      <w:r w:rsidRPr="004A0C12">
        <w:rPr>
          <w:rFonts w:ascii="Garamond" w:hAnsi="Garamond" w:cs="Times New Roman"/>
        </w:rPr>
        <w:t xml:space="preserve"> end the dependence of needy parents on government benefits by promoting job preparation, work</w:t>
      </w:r>
      <w:r w:rsidR="0014405E" w:rsidRPr="004A0C12">
        <w:rPr>
          <w:rFonts w:ascii="Garamond" w:hAnsi="Garamond" w:cs="Times New Roman"/>
        </w:rPr>
        <w:t xml:space="preserve">, and marriage; (2) </w:t>
      </w:r>
      <w:r w:rsidRPr="004A0C12">
        <w:rPr>
          <w:rFonts w:ascii="Garamond" w:hAnsi="Garamond" w:cs="Times New Roman"/>
        </w:rPr>
        <w:t>prevent and reduce the incidence of out-of-wedlock pregnancies, and establish annual numerical goals for preventing and reducing the i</w:t>
      </w:r>
      <w:r w:rsidR="0014405E" w:rsidRPr="004A0C12">
        <w:rPr>
          <w:rFonts w:ascii="Garamond" w:hAnsi="Garamond" w:cs="Times New Roman"/>
        </w:rPr>
        <w:t xml:space="preserve">ncidence of these pregnancies. </w:t>
      </w:r>
      <w:r w:rsidRPr="004A0C12">
        <w:rPr>
          <w:rFonts w:ascii="Garamond" w:hAnsi="Garamond" w:cs="Times New Roman"/>
        </w:rPr>
        <w:t>The program provides a wide range of services designed to enable families to live independently.</w:t>
      </w:r>
    </w:p>
    <w:p w14:paraId="66942BF5" w14:textId="77777777" w:rsidR="004705C8" w:rsidRPr="004A0C12" w:rsidRDefault="004705C8" w:rsidP="004705C8">
      <w:pPr>
        <w:spacing w:after="0" w:line="240" w:lineRule="auto"/>
        <w:jc w:val="both"/>
        <w:rPr>
          <w:rFonts w:ascii="Garamond" w:hAnsi="Garamond" w:cs="Times New Roman"/>
        </w:rPr>
      </w:pPr>
    </w:p>
    <w:p w14:paraId="5D673948" w14:textId="57D3A4BF" w:rsidR="004705C8" w:rsidRPr="004A0C12" w:rsidRDefault="004705C8" w:rsidP="0014405E">
      <w:pPr>
        <w:spacing w:after="0" w:line="240" w:lineRule="auto"/>
        <w:jc w:val="both"/>
        <w:rPr>
          <w:rFonts w:ascii="Garamond" w:hAnsi="Garamond" w:cs="Times New Roman"/>
        </w:rPr>
      </w:pPr>
      <w:r w:rsidRPr="004A0C12">
        <w:rPr>
          <w:rFonts w:ascii="Garamond" w:hAnsi="Garamond" w:cs="Times New Roman"/>
        </w:rPr>
        <w:t>The goal of the program is to prepare older foster care youth for self-sufficiency by their 18</w:t>
      </w:r>
      <w:r w:rsidRPr="004A0C12">
        <w:rPr>
          <w:rFonts w:ascii="Garamond" w:hAnsi="Garamond" w:cs="Times New Roman"/>
          <w:vertAlign w:val="superscript"/>
        </w:rPr>
        <w:t>th</w:t>
      </w:r>
      <w:r w:rsidRPr="004A0C12">
        <w:rPr>
          <w:rFonts w:ascii="Garamond" w:hAnsi="Garamond" w:cs="Times New Roman"/>
        </w:rPr>
        <w:t xml:space="preserve"> birthday or </w:t>
      </w:r>
      <w:r w:rsidR="0014405E" w:rsidRPr="004A0C12">
        <w:rPr>
          <w:rFonts w:ascii="Garamond" w:hAnsi="Garamond" w:cs="Times New Roman"/>
        </w:rPr>
        <w:t>upon completion of high school.</w:t>
      </w:r>
      <w:r w:rsidRPr="004A0C12">
        <w:rPr>
          <w:rFonts w:ascii="Garamond" w:hAnsi="Garamond" w:cs="Times New Roman"/>
        </w:rPr>
        <w:t xml:space="preserve"> The youth may remain in foster care up to age 21 if </w:t>
      </w:r>
      <w:r w:rsidR="0014405E" w:rsidRPr="004A0C12">
        <w:rPr>
          <w:rFonts w:ascii="Garamond" w:hAnsi="Garamond" w:cs="Times New Roman"/>
        </w:rPr>
        <w:t xml:space="preserve">in school, in training or disabled. </w:t>
      </w:r>
      <w:r w:rsidRPr="004A0C12">
        <w:rPr>
          <w:rFonts w:ascii="Garamond" w:hAnsi="Garamond" w:cs="Times New Roman"/>
        </w:rPr>
        <w:t xml:space="preserve">Eligibility for this program’s services is based on receipt of foster care maintenance payments paid to the kinship care family on behalf of the child and on assessment outcomes. </w:t>
      </w:r>
    </w:p>
    <w:p w14:paraId="5C0D72D8" w14:textId="77777777" w:rsidR="004705C8" w:rsidRPr="004A0C12" w:rsidRDefault="004705C8" w:rsidP="004705C8">
      <w:pPr>
        <w:spacing w:after="0" w:line="240" w:lineRule="auto"/>
        <w:ind w:left="360"/>
        <w:jc w:val="both"/>
        <w:rPr>
          <w:rFonts w:ascii="Garamond" w:hAnsi="Garamond" w:cs="Times New Roman"/>
        </w:rPr>
      </w:pPr>
    </w:p>
    <w:p w14:paraId="0AFBB3B2" w14:textId="3502CA78" w:rsidR="004705C8" w:rsidRPr="004A0C12" w:rsidRDefault="004705C8" w:rsidP="0014405E">
      <w:pPr>
        <w:spacing w:after="0" w:line="240" w:lineRule="auto"/>
        <w:jc w:val="both"/>
        <w:rPr>
          <w:rFonts w:ascii="Garamond" w:hAnsi="Garamond" w:cs="Times New Roman"/>
        </w:rPr>
      </w:pPr>
      <w:r w:rsidRPr="004A0C12">
        <w:rPr>
          <w:rFonts w:ascii="Garamond" w:hAnsi="Garamond" w:cs="Times New Roman"/>
        </w:rPr>
        <w:t>The financial and eligibility criteria for the foster care maintenance payment are in the Code of Maryland Regulations at 07.02.11.26 and the s</w:t>
      </w:r>
      <w:r w:rsidR="004D1DDD" w:rsidRPr="004A0C12">
        <w:rPr>
          <w:rFonts w:ascii="Garamond" w:hAnsi="Garamond" w:cs="Times New Roman"/>
        </w:rPr>
        <w:t>chedules against which payments are measured are at 07.02.11.34.</w:t>
      </w:r>
      <w:r w:rsidRPr="004A0C12">
        <w:rPr>
          <w:rFonts w:ascii="Garamond" w:hAnsi="Garamond" w:cs="Times New Roman"/>
        </w:rPr>
        <w:t xml:space="preserve">The program provides non-assistance. </w:t>
      </w:r>
    </w:p>
    <w:p w14:paraId="7529645D" w14:textId="77777777" w:rsidR="004705C8" w:rsidRPr="00307FCC" w:rsidRDefault="004705C8" w:rsidP="004705C8">
      <w:pPr>
        <w:spacing w:after="0" w:line="240" w:lineRule="auto"/>
        <w:ind w:left="360"/>
        <w:jc w:val="both"/>
        <w:rPr>
          <w:rFonts w:ascii="Garamond" w:hAnsi="Garamond" w:cs="Times New Roman"/>
          <w:sz w:val="24"/>
        </w:rPr>
      </w:pPr>
    </w:p>
    <w:p w14:paraId="210C7D72" w14:textId="77777777" w:rsidR="00902C29" w:rsidRPr="00307FCC" w:rsidRDefault="004705C8" w:rsidP="004D1DDD">
      <w:pPr>
        <w:widowControl w:val="0"/>
        <w:spacing w:after="0" w:line="240" w:lineRule="auto"/>
        <w:jc w:val="both"/>
        <w:rPr>
          <w:rFonts w:ascii="Garamond" w:hAnsi="Garamond" w:cs="Times New Roman"/>
          <w:sz w:val="24"/>
        </w:rPr>
      </w:pPr>
      <w:r w:rsidRPr="00307FCC">
        <w:rPr>
          <w:rStyle w:val="Heading4Char"/>
          <w:rFonts w:ascii="Garamond" w:hAnsi="Garamond"/>
          <w:sz w:val="24"/>
        </w:rPr>
        <w:t>Kinship/Foster Care Maintenance Payment</w:t>
      </w:r>
    </w:p>
    <w:p w14:paraId="4FFC4689" w14:textId="77354B10" w:rsidR="004705C8" w:rsidRPr="004A0C12" w:rsidRDefault="004705C8" w:rsidP="004D1DDD">
      <w:pPr>
        <w:widowControl w:val="0"/>
        <w:spacing w:after="0" w:line="240" w:lineRule="auto"/>
        <w:jc w:val="both"/>
        <w:rPr>
          <w:rFonts w:ascii="Garamond" w:hAnsi="Garamond" w:cs="Times New Roman"/>
          <w:b/>
        </w:rPr>
      </w:pPr>
      <w:r w:rsidRPr="004A0C12">
        <w:rPr>
          <w:rFonts w:ascii="Garamond" w:hAnsi="Garamond" w:cs="Times New Roman"/>
        </w:rPr>
        <w:t xml:space="preserve">This program serves children who are full time students, under age 19, who are not eligible for Foster Care IV-E </w:t>
      </w:r>
      <w:r w:rsidR="005F4844" w:rsidRPr="004A0C12">
        <w:rPr>
          <w:rFonts w:ascii="Garamond" w:hAnsi="Garamond" w:cs="Times New Roman"/>
        </w:rPr>
        <w:t xml:space="preserve">(child welfare) </w:t>
      </w:r>
      <w:r w:rsidRPr="004A0C12">
        <w:rPr>
          <w:rFonts w:ascii="Garamond" w:hAnsi="Garamond" w:cs="Times New Roman"/>
        </w:rPr>
        <w:t>funds and who can no longer reside in their home of origi</w:t>
      </w:r>
      <w:r w:rsidR="00294EA2" w:rsidRPr="004A0C12">
        <w:rPr>
          <w:rFonts w:ascii="Garamond" w:hAnsi="Garamond" w:cs="Times New Roman"/>
        </w:rPr>
        <w:t xml:space="preserve">n because of abuse or neglect. </w:t>
      </w:r>
      <w:r w:rsidRPr="004A0C12">
        <w:rPr>
          <w:rFonts w:ascii="Garamond" w:hAnsi="Garamond" w:cs="Times New Roman"/>
        </w:rPr>
        <w:t>These children were determined to be</w:t>
      </w:r>
      <w:r w:rsidR="00294EA2" w:rsidRPr="004A0C12">
        <w:rPr>
          <w:rFonts w:ascii="Garamond" w:hAnsi="Garamond" w:cs="Times New Roman"/>
        </w:rPr>
        <w:t xml:space="preserve"> a Child in Need of Assistance </w:t>
      </w:r>
      <w:r w:rsidRPr="004A0C12">
        <w:rPr>
          <w:rFonts w:ascii="Garamond" w:hAnsi="Garamond" w:cs="Times New Roman"/>
        </w:rPr>
        <w:t>through the court system, committed to a local department of social services</w:t>
      </w:r>
      <w:r w:rsidR="00294EA2" w:rsidRPr="004A0C12">
        <w:rPr>
          <w:rFonts w:ascii="Garamond" w:hAnsi="Garamond" w:cs="Times New Roman"/>
        </w:rPr>
        <w:t>,</w:t>
      </w:r>
      <w:r w:rsidRPr="004A0C12">
        <w:rPr>
          <w:rFonts w:ascii="Garamond" w:hAnsi="Garamond" w:cs="Times New Roman"/>
        </w:rPr>
        <w:t xml:space="preserve"> and pl</w:t>
      </w:r>
      <w:r w:rsidR="00294EA2" w:rsidRPr="004A0C12">
        <w:rPr>
          <w:rFonts w:ascii="Garamond" w:hAnsi="Garamond" w:cs="Times New Roman"/>
        </w:rPr>
        <w:t>aced in the home of a relative.</w:t>
      </w:r>
      <w:r w:rsidRPr="004A0C12">
        <w:rPr>
          <w:rFonts w:ascii="Garamond" w:hAnsi="Garamond" w:cs="Times New Roman"/>
        </w:rPr>
        <w:t xml:space="preserve"> The targeted population is relative caregivers of needy children committed to a local department o</w:t>
      </w:r>
      <w:r w:rsidR="00294EA2" w:rsidRPr="004A0C12">
        <w:rPr>
          <w:rFonts w:ascii="Garamond" w:hAnsi="Garamond" w:cs="Times New Roman"/>
        </w:rPr>
        <w:t>f social services and the Child in Need of Assistance</w:t>
      </w:r>
      <w:r w:rsidRPr="004A0C12">
        <w:rPr>
          <w:rFonts w:ascii="Garamond" w:hAnsi="Garamond" w:cs="Times New Roman"/>
        </w:rPr>
        <w:t xml:space="preserve"> children living with that relative wh</w:t>
      </w:r>
      <w:r w:rsidR="00294EA2" w:rsidRPr="004A0C12">
        <w:rPr>
          <w:rFonts w:ascii="Garamond" w:hAnsi="Garamond" w:cs="Times New Roman"/>
        </w:rPr>
        <w:t xml:space="preserve">o is a licensed foster parent. </w:t>
      </w:r>
      <w:r w:rsidRPr="004A0C12">
        <w:rPr>
          <w:rFonts w:ascii="Garamond" w:hAnsi="Garamond" w:cs="Times New Roman"/>
        </w:rPr>
        <w:t xml:space="preserve">The purpose of the program is to provide assistance to needy families so children may live with their relatives.  </w:t>
      </w:r>
    </w:p>
    <w:p w14:paraId="1C2ACE43" w14:textId="77777777" w:rsidR="004705C8" w:rsidRPr="004A0C12" w:rsidRDefault="004705C8" w:rsidP="004705C8">
      <w:pPr>
        <w:spacing w:after="0" w:line="240" w:lineRule="auto"/>
        <w:jc w:val="both"/>
        <w:rPr>
          <w:rFonts w:ascii="Garamond" w:hAnsi="Garamond" w:cs="Times New Roman"/>
          <w:b/>
        </w:rPr>
      </w:pPr>
    </w:p>
    <w:p w14:paraId="3137A7AC" w14:textId="3EA494A7" w:rsidR="004705C8" w:rsidRPr="004A0C12" w:rsidRDefault="004705C8" w:rsidP="005F4844">
      <w:pPr>
        <w:spacing w:after="0" w:line="240" w:lineRule="auto"/>
        <w:jc w:val="both"/>
        <w:rPr>
          <w:rFonts w:ascii="Garamond" w:hAnsi="Garamond" w:cs="Times New Roman"/>
        </w:rPr>
      </w:pPr>
      <w:r w:rsidRPr="004A0C12">
        <w:rPr>
          <w:rFonts w:ascii="Garamond" w:hAnsi="Garamond" w:cs="Times New Roman"/>
        </w:rPr>
        <w:t>Relative caregivers in this program are local department-approved f</w:t>
      </w:r>
      <w:r w:rsidR="005F4844" w:rsidRPr="004A0C12">
        <w:rPr>
          <w:rFonts w:ascii="Garamond" w:hAnsi="Garamond" w:cs="Times New Roman"/>
        </w:rPr>
        <w:t>oster parents of the kin child.</w:t>
      </w:r>
      <w:r w:rsidRPr="004A0C12">
        <w:rPr>
          <w:rFonts w:ascii="Garamond" w:hAnsi="Garamond" w:cs="Times New Roman"/>
        </w:rPr>
        <w:t xml:space="preserve"> The children for whom payment is made must have income below 300 percent of the poverty level. The complete financial and eligibility criteria for the foster care maintenance payment are in the Code of Maryland Regulations at 07.02.11.26 and the schedules against which payment </w:t>
      </w:r>
      <w:r w:rsidR="005F4844" w:rsidRPr="004A0C12">
        <w:rPr>
          <w:rFonts w:ascii="Garamond" w:hAnsi="Garamond" w:cs="Times New Roman"/>
        </w:rPr>
        <w:t>is measured are at 07.02.11.34.</w:t>
      </w:r>
      <w:r w:rsidRPr="004A0C12">
        <w:rPr>
          <w:rFonts w:ascii="Garamond" w:hAnsi="Garamond" w:cs="Times New Roman"/>
        </w:rPr>
        <w:t xml:space="preserve"> Foster care maintenance payments are made to the car</w:t>
      </w:r>
      <w:r w:rsidR="005F4844" w:rsidRPr="004A0C12">
        <w:rPr>
          <w:rFonts w:ascii="Garamond" w:hAnsi="Garamond" w:cs="Times New Roman"/>
        </w:rPr>
        <w:t xml:space="preserve">egiver on behalf of the child. </w:t>
      </w:r>
      <w:r w:rsidRPr="004A0C12">
        <w:rPr>
          <w:rFonts w:ascii="Garamond" w:hAnsi="Garamond" w:cs="Times New Roman"/>
        </w:rPr>
        <w:t>This program provides assistance</w:t>
      </w:r>
      <w:r w:rsidRPr="004A0C12">
        <w:rPr>
          <w:rFonts w:ascii="Garamond" w:hAnsi="Garamond" w:cs="Times New Roman"/>
          <w:bCs/>
        </w:rPr>
        <w:t>.</w:t>
      </w:r>
    </w:p>
    <w:p w14:paraId="3F284854" w14:textId="77777777" w:rsidR="004705C8" w:rsidRPr="00307FCC" w:rsidRDefault="004705C8" w:rsidP="004705C8">
      <w:pPr>
        <w:spacing w:after="0" w:line="240" w:lineRule="auto"/>
        <w:jc w:val="both"/>
        <w:rPr>
          <w:rFonts w:ascii="Garamond" w:hAnsi="Garamond" w:cs="Times New Roman"/>
          <w:sz w:val="24"/>
          <w:u w:val="single"/>
        </w:rPr>
      </w:pPr>
    </w:p>
    <w:p w14:paraId="528D9E0C" w14:textId="77777777" w:rsidR="00902C29" w:rsidRPr="00307FCC" w:rsidRDefault="004705C8" w:rsidP="005F4844">
      <w:pPr>
        <w:widowControl w:val="0"/>
        <w:spacing w:after="0" w:line="240" w:lineRule="auto"/>
        <w:jc w:val="both"/>
        <w:rPr>
          <w:rFonts w:ascii="Garamond" w:hAnsi="Garamond" w:cs="Times New Roman"/>
          <w:sz w:val="24"/>
        </w:rPr>
      </w:pPr>
      <w:r w:rsidRPr="00307FCC">
        <w:rPr>
          <w:rStyle w:val="Heading4Char"/>
          <w:rFonts w:ascii="Garamond" w:hAnsi="Garamond"/>
          <w:sz w:val="24"/>
        </w:rPr>
        <w:t>Local Programs Administered by the Local Departments of Social Services</w:t>
      </w:r>
      <w:r w:rsidRPr="00307FCC">
        <w:rPr>
          <w:rFonts w:ascii="Garamond" w:hAnsi="Garamond" w:cs="Times New Roman"/>
          <w:sz w:val="24"/>
        </w:rPr>
        <w:t xml:space="preserve"> </w:t>
      </w:r>
    </w:p>
    <w:p w14:paraId="3CFD9FBB" w14:textId="5C46992E" w:rsidR="005F4844" w:rsidRPr="004A0C12" w:rsidRDefault="00902C29" w:rsidP="005F4844">
      <w:pPr>
        <w:widowControl w:val="0"/>
        <w:spacing w:after="0" w:line="240" w:lineRule="auto"/>
        <w:jc w:val="both"/>
        <w:rPr>
          <w:rFonts w:ascii="Garamond" w:hAnsi="Garamond" w:cs="Times New Roman"/>
        </w:rPr>
      </w:pPr>
      <w:r w:rsidRPr="004A0C12">
        <w:rPr>
          <w:rFonts w:ascii="Garamond" w:hAnsi="Garamond" w:cs="Times New Roman"/>
        </w:rPr>
        <w:t xml:space="preserve">This </w:t>
      </w:r>
      <w:r w:rsidR="004705C8" w:rsidRPr="004A0C12">
        <w:rPr>
          <w:rFonts w:ascii="Garamond" w:hAnsi="Garamond" w:cs="Times New Roman"/>
        </w:rPr>
        <w:t>include a wide variety of programs that have funds in them coming from a wide variety of sources</w:t>
      </w:r>
      <w:r w:rsidR="005F4844" w:rsidRPr="004A0C12">
        <w:rPr>
          <w:rFonts w:ascii="Garamond" w:hAnsi="Garamond" w:cs="Times New Roman"/>
        </w:rPr>
        <w:t>,</w:t>
      </w:r>
      <w:r w:rsidR="004705C8" w:rsidRPr="004A0C12">
        <w:rPr>
          <w:rFonts w:ascii="Garamond" w:hAnsi="Garamond" w:cs="Times New Roman"/>
        </w:rPr>
        <w:t xml:space="preserve"> such as county and local governments, contributions from churches and other non-profit organizations, and ph</w:t>
      </w:r>
      <w:r w:rsidR="005F4844" w:rsidRPr="004A0C12">
        <w:rPr>
          <w:rFonts w:ascii="Garamond" w:hAnsi="Garamond" w:cs="Times New Roman"/>
        </w:rPr>
        <w:t>ilanthropic entities.</w:t>
      </w:r>
      <w:r w:rsidR="004705C8" w:rsidRPr="004A0C12">
        <w:rPr>
          <w:rFonts w:ascii="Garamond" w:hAnsi="Garamond" w:cs="Times New Roman"/>
        </w:rPr>
        <w:t xml:space="preserve"> Because of the nature and history of the service delivery system in Maryland, many of these groups view their local department of social services as the best vehicle to deliver help to low-income families beyond that available through the principal programs a</w:t>
      </w:r>
      <w:r w:rsidR="005F4844" w:rsidRPr="004A0C12">
        <w:rPr>
          <w:rFonts w:ascii="Garamond" w:hAnsi="Garamond" w:cs="Times New Roman"/>
        </w:rPr>
        <w:t xml:space="preserve">dministered by the Department. </w:t>
      </w:r>
      <w:r w:rsidR="004705C8" w:rsidRPr="004A0C12">
        <w:rPr>
          <w:rFonts w:ascii="Garamond" w:hAnsi="Garamond" w:cs="Times New Roman"/>
        </w:rPr>
        <w:t>These programs are sometimes stand-alone and at other times supplement some of the programs me</w:t>
      </w:r>
      <w:r w:rsidR="005F4844" w:rsidRPr="004A0C12">
        <w:rPr>
          <w:rFonts w:ascii="Garamond" w:hAnsi="Garamond" w:cs="Times New Roman"/>
        </w:rPr>
        <w:t>ntioned elsewhere in this Plan.</w:t>
      </w:r>
      <w:r w:rsidR="004705C8" w:rsidRPr="004A0C12">
        <w:rPr>
          <w:rFonts w:ascii="Garamond" w:hAnsi="Garamond" w:cs="Times New Roman"/>
        </w:rPr>
        <w:t xml:space="preserve"> They provide eligible</w:t>
      </w:r>
      <w:r w:rsidR="005F4844" w:rsidRPr="004A0C12">
        <w:rPr>
          <w:rFonts w:ascii="Garamond" w:hAnsi="Garamond" w:cs="Times New Roman"/>
        </w:rPr>
        <w:t xml:space="preserve"> families with income under 300 percent</w:t>
      </w:r>
      <w:r w:rsidR="004705C8" w:rsidRPr="004A0C12">
        <w:rPr>
          <w:rFonts w:ascii="Garamond" w:hAnsi="Garamond" w:cs="Times New Roman"/>
        </w:rPr>
        <w:t xml:space="preserve"> of </w:t>
      </w:r>
      <w:r w:rsidR="005F4844" w:rsidRPr="004A0C12">
        <w:rPr>
          <w:rFonts w:ascii="Garamond" w:hAnsi="Garamond" w:cs="Times New Roman"/>
        </w:rPr>
        <w:t xml:space="preserve">the </w:t>
      </w:r>
      <w:r w:rsidR="004705C8" w:rsidRPr="004A0C12">
        <w:rPr>
          <w:rFonts w:ascii="Garamond" w:hAnsi="Garamond" w:cs="Times New Roman"/>
        </w:rPr>
        <w:t>poverty</w:t>
      </w:r>
      <w:r w:rsidR="005F4844" w:rsidRPr="004A0C12">
        <w:rPr>
          <w:rFonts w:ascii="Garamond" w:hAnsi="Garamond" w:cs="Times New Roman"/>
        </w:rPr>
        <w:t xml:space="preserve"> level</w:t>
      </w:r>
      <w:r w:rsidR="004705C8" w:rsidRPr="004A0C12">
        <w:rPr>
          <w:rFonts w:ascii="Garamond" w:hAnsi="Garamond" w:cs="Times New Roman"/>
        </w:rPr>
        <w:t xml:space="preserve"> with the following kinds of services</w:t>
      </w:r>
      <w:r w:rsidR="005F4844" w:rsidRPr="004A0C12">
        <w:rPr>
          <w:rFonts w:ascii="Garamond" w:hAnsi="Garamond" w:cs="Times New Roman"/>
        </w:rPr>
        <w:t>,</w:t>
      </w:r>
      <w:r w:rsidR="004705C8" w:rsidRPr="004A0C12">
        <w:rPr>
          <w:rFonts w:ascii="Garamond" w:hAnsi="Garamond" w:cs="Times New Roman"/>
        </w:rPr>
        <w:t xml:space="preserve"> which are all </w:t>
      </w:r>
      <w:r w:rsidR="005F4844" w:rsidRPr="004A0C12">
        <w:rPr>
          <w:rFonts w:ascii="Garamond" w:hAnsi="Garamond" w:cs="Times New Roman"/>
        </w:rPr>
        <w:t xml:space="preserve">considered to be </w:t>
      </w:r>
      <w:r w:rsidR="004705C8" w:rsidRPr="004A0C12">
        <w:rPr>
          <w:rFonts w:ascii="Garamond" w:hAnsi="Garamond" w:cs="Times New Roman"/>
        </w:rPr>
        <w:t>non-assistance for TANF purposes:</w:t>
      </w:r>
    </w:p>
    <w:p w14:paraId="7A214FD6" w14:textId="77777777" w:rsidR="005F4844" w:rsidRPr="004A0C12" w:rsidRDefault="005F4844" w:rsidP="005F4844">
      <w:pPr>
        <w:widowControl w:val="0"/>
        <w:spacing w:after="0" w:line="240" w:lineRule="auto"/>
        <w:jc w:val="both"/>
        <w:rPr>
          <w:rFonts w:ascii="Garamond" w:hAnsi="Garamond" w:cs="Times New Roman"/>
        </w:rPr>
      </w:pPr>
    </w:p>
    <w:p w14:paraId="43006C6A" w14:textId="7FBF578D" w:rsidR="004705C8" w:rsidRPr="004A0C12" w:rsidRDefault="004705C8" w:rsidP="00232F09">
      <w:pPr>
        <w:pStyle w:val="ListParagraph"/>
        <w:widowControl w:val="0"/>
        <w:numPr>
          <w:ilvl w:val="0"/>
          <w:numId w:val="283"/>
        </w:numPr>
        <w:jc w:val="both"/>
        <w:rPr>
          <w:rFonts w:ascii="Garamond" w:hAnsi="Garamond"/>
          <w:szCs w:val="22"/>
        </w:rPr>
      </w:pPr>
      <w:r w:rsidRPr="004A0C12">
        <w:rPr>
          <w:rFonts w:ascii="Garamond" w:hAnsi="Garamond"/>
          <w:szCs w:val="22"/>
        </w:rPr>
        <w:t>Emergency Food Programs</w:t>
      </w:r>
      <w:r w:rsidR="005F4844" w:rsidRPr="004A0C12">
        <w:rPr>
          <w:rFonts w:ascii="Garamond" w:hAnsi="Garamond"/>
          <w:szCs w:val="22"/>
        </w:rPr>
        <w:t>;</w:t>
      </w:r>
    </w:p>
    <w:p w14:paraId="024C041D" w14:textId="424596D3" w:rsidR="004705C8" w:rsidRPr="004A0C12" w:rsidRDefault="004705C8"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Local supplemental funding for welfare to work programs, including funding for addition</w:t>
      </w:r>
      <w:r w:rsidR="005F4844" w:rsidRPr="004A0C12">
        <w:rPr>
          <w:rFonts w:ascii="Garamond" w:hAnsi="Garamond" w:cs="Times New Roman"/>
        </w:rPr>
        <w:t>al space, staff, services, etc.;</w:t>
      </w:r>
    </w:p>
    <w:p w14:paraId="39468BB3" w14:textId="02B7EBB5" w:rsidR="004705C8" w:rsidRPr="004A0C12" w:rsidRDefault="004705C8"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Family Counseling</w:t>
      </w:r>
      <w:r w:rsidR="005F4844" w:rsidRPr="004A0C12">
        <w:rPr>
          <w:rFonts w:ascii="Garamond" w:hAnsi="Garamond" w:cs="Times New Roman"/>
        </w:rPr>
        <w:t>;</w:t>
      </w:r>
    </w:p>
    <w:p w14:paraId="626A3096" w14:textId="231903D9" w:rsidR="004705C8" w:rsidRPr="004A0C12" w:rsidRDefault="004705C8"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Emergency relief services to help families attain safe and affordable housing</w:t>
      </w:r>
      <w:r w:rsidR="005F4844" w:rsidRPr="004A0C12">
        <w:rPr>
          <w:rFonts w:ascii="Garamond" w:hAnsi="Garamond" w:cs="Times New Roman"/>
        </w:rPr>
        <w:t>,</w:t>
      </w:r>
      <w:r w:rsidRPr="004A0C12">
        <w:rPr>
          <w:rFonts w:ascii="Garamond" w:hAnsi="Garamond" w:cs="Times New Roman"/>
        </w:rPr>
        <w:t xml:space="preserve"> which include the provision of emergency shelter, relocation assistance, homeownership counseling, home repairs, utility restoration, or shut-off prevention</w:t>
      </w:r>
      <w:r w:rsidR="005F4844" w:rsidRPr="004A0C12">
        <w:rPr>
          <w:rFonts w:ascii="Garamond" w:hAnsi="Garamond" w:cs="Times New Roman"/>
        </w:rPr>
        <w:t>;</w:t>
      </w:r>
    </w:p>
    <w:p w14:paraId="1ED6E42E" w14:textId="78EEBEF9" w:rsidR="004705C8" w:rsidRPr="004A0C12" w:rsidRDefault="005F4844"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Information and referral;</w:t>
      </w:r>
    </w:p>
    <w:p w14:paraId="34FC6B97" w14:textId="07C286E6" w:rsidR="004705C8" w:rsidRPr="004A0C12" w:rsidRDefault="004705C8"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lastRenderedPageBreak/>
        <w:t>Medical supplies and serv</w:t>
      </w:r>
      <w:r w:rsidR="005F4844" w:rsidRPr="004A0C12">
        <w:rPr>
          <w:rFonts w:ascii="Garamond" w:hAnsi="Garamond" w:cs="Times New Roman"/>
        </w:rPr>
        <w:t>ices, of an emergency nature, that are</w:t>
      </w:r>
      <w:r w:rsidRPr="004A0C12">
        <w:rPr>
          <w:rFonts w:ascii="Garamond" w:hAnsi="Garamond" w:cs="Times New Roman"/>
        </w:rPr>
        <w:t xml:space="preserve"> not covered by medi</w:t>
      </w:r>
      <w:r w:rsidR="005F4844" w:rsidRPr="004A0C12">
        <w:rPr>
          <w:rFonts w:ascii="Garamond" w:hAnsi="Garamond" w:cs="Times New Roman"/>
        </w:rPr>
        <w:t>cal assistance or for those in</w:t>
      </w:r>
      <w:r w:rsidRPr="004A0C12">
        <w:rPr>
          <w:rFonts w:ascii="Garamond" w:hAnsi="Garamond" w:cs="Times New Roman"/>
        </w:rPr>
        <w:t>eligible for medical assistance</w:t>
      </w:r>
      <w:r w:rsidR="005F4844" w:rsidRPr="004A0C12">
        <w:rPr>
          <w:rFonts w:ascii="Garamond" w:hAnsi="Garamond" w:cs="Times New Roman"/>
        </w:rPr>
        <w:t xml:space="preserve"> (</w:t>
      </w:r>
      <w:r w:rsidRPr="004A0C12">
        <w:rPr>
          <w:rFonts w:ascii="Garamond" w:hAnsi="Garamond" w:cs="Times New Roman"/>
        </w:rPr>
        <w:t>Only State funds are used for costs associated with this program</w:t>
      </w:r>
      <w:r w:rsidR="005F4844" w:rsidRPr="004A0C12">
        <w:rPr>
          <w:rFonts w:ascii="Garamond" w:hAnsi="Garamond" w:cs="Times New Roman"/>
        </w:rPr>
        <w:t>.);</w:t>
      </w:r>
      <w:r w:rsidRPr="004A0C12">
        <w:rPr>
          <w:rFonts w:ascii="Garamond" w:hAnsi="Garamond" w:cs="Times New Roman"/>
        </w:rPr>
        <w:t xml:space="preserve"> </w:t>
      </w:r>
    </w:p>
    <w:p w14:paraId="52B84025" w14:textId="00C12A2B" w:rsidR="004705C8" w:rsidRPr="004A0C12" w:rsidRDefault="005F4844"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Substance Abuse Services;</w:t>
      </w:r>
    </w:p>
    <w:p w14:paraId="01819F71" w14:textId="74891C28" w:rsidR="004705C8" w:rsidRPr="004A0C12" w:rsidRDefault="004705C8"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Family Support Services</w:t>
      </w:r>
      <w:r w:rsidR="005F4844" w:rsidRPr="004A0C12">
        <w:rPr>
          <w:rFonts w:ascii="Garamond" w:hAnsi="Garamond" w:cs="Times New Roman"/>
        </w:rPr>
        <w:t>,</w:t>
      </w:r>
      <w:r w:rsidRPr="004A0C12">
        <w:rPr>
          <w:rFonts w:ascii="Garamond" w:hAnsi="Garamond" w:cs="Times New Roman"/>
        </w:rPr>
        <w:t xml:space="preserve"> which are primarily community-based preventive activit</w:t>
      </w:r>
      <w:r w:rsidR="005F4844" w:rsidRPr="004A0C12">
        <w:rPr>
          <w:rFonts w:ascii="Garamond" w:hAnsi="Garamond" w:cs="Times New Roman"/>
        </w:rPr>
        <w:t xml:space="preserve">ies designed to promote parents’ </w:t>
      </w:r>
      <w:r w:rsidRPr="004A0C12">
        <w:rPr>
          <w:rFonts w:ascii="Garamond" w:hAnsi="Garamond" w:cs="Times New Roman"/>
        </w:rPr>
        <w:t>ability to successfully nurture their children; enable families to use other resources and opportunities available in the community; and</w:t>
      </w:r>
      <w:r w:rsidR="005F4844" w:rsidRPr="004A0C12">
        <w:rPr>
          <w:rFonts w:ascii="Garamond" w:hAnsi="Garamond" w:cs="Times New Roman"/>
        </w:rPr>
        <w:t>,</w:t>
      </w:r>
      <w:r w:rsidRPr="004A0C12">
        <w:rPr>
          <w:rFonts w:ascii="Garamond" w:hAnsi="Garamond" w:cs="Times New Roman"/>
        </w:rPr>
        <w:t xml:space="preserve"> create supportive networks to enhance the child-rearing abilities of parents</w:t>
      </w:r>
      <w:r w:rsidR="005F4844" w:rsidRPr="004A0C12">
        <w:rPr>
          <w:rFonts w:ascii="Garamond" w:hAnsi="Garamond" w:cs="Times New Roman"/>
        </w:rPr>
        <w:t>;</w:t>
      </w:r>
    </w:p>
    <w:p w14:paraId="64CE56EA" w14:textId="79F760CB" w:rsidR="004705C8" w:rsidRPr="004A0C12" w:rsidRDefault="004705C8"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Family Preservation Services that help families alleviate crises that might lead to the out-of-home placement of children; maintain the safety of children; support families preparing to reunite; and assist families in obtaining services and other supports nec</w:t>
      </w:r>
      <w:r w:rsidR="005F4844" w:rsidRPr="004A0C12">
        <w:rPr>
          <w:rFonts w:ascii="Garamond" w:hAnsi="Garamond" w:cs="Times New Roman"/>
        </w:rPr>
        <w:t xml:space="preserve">essary to address their needs. </w:t>
      </w:r>
      <w:r w:rsidRPr="004A0C12">
        <w:rPr>
          <w:rFonts w:ascii="Garamond" w:hAnsi="Garamond" w:cs="Times New Roman"/>
        </w:rPr>
        <w:t>They include</w:t>
      </w:r>
      <w:r w:rsidR="005F4844" w:rsidRPr="004A0C12">
        <w:rPr>
          <w:rFonts w:ascii="Garamond" w:hAnsi="Garamond" w:cs="Times New Roman"/>
        </w:rPr>
        <w:t>, but are not limited to</w:t>
      </w:r>
      <w:r w:rsidRPr="004A0C12">
        <w:rPr>
          <w:rFonts w:ascii="Garamond" w:hAnsi="Garamond" w:cs="Times New Roman"/>
        </w:rPr>
        <w:t xml:space="preserve"> parent skill training and crisis intervention services</w:t>
      </w:r>
      <w:r w:rsidR="005F4844" w:rsidRPr="004A0C12">
        <w:rPr>
          <w:rFonts w:ascii="Garamond" w:hAnsi="Garamond" w:cs="Times New Roman"/>
        </w:rPr>
        <w:t>;</w:t>
      </w:r>
    </w:p>
    <w:p w14:paraId="5AE936EF" w14:textId="224936E5" w:rsidR="004705C8" w:rsidRPr="004A0C12" w:rsidRDefault="004705C8"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Transportation to work, training, job interviews or to access other needed services</w:t>
      </w:r>
      <w:r w:rsidR="005F4844" w:rsidRPr="004A0C12">
        <w:rPr>
          <w:rFonts w:ascii="Garamond" w:hAnsi="Garamond" w:cs="Times New Roman"/>
        </w:rPr>
        <w:t>;</w:t>
      </w:r>
    </w:p>
    <w:p w14:paraId="3FED51A8" w14:textId="1228F794" w:rsidR="004705C8" w:rsidRPr="004A0C12" w:rsidRDefault="004705C8"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 xml:space="preserve">Clothing </w:t>
      </w:r>
      <w:r w:rsidR="005F4844" w:rsidRPr="004A0C12">
        <w:rPr>
          <w:rFonts w:ascii="Garamond" w:hAnsi="Garamond" w:cs="Times New Roman"/>
        </w:rPr>
        <w:t xml:space="preserve">to </w:t>
      </w:r>
      <w:r w:rsidRPr="004A0C12">
        <w:rPr>
          <w:rFonts w:ascii="Garamond" w:hAnsi="Garamond" w:cs="Times New Roman"/>
        </w:rPr>
        <w:t>replaces that</w:t>
      </w:r>
      <w:r w:rsidR="005F4844" w:rsidRPr="004A0C12">
        <w:rPr>
          <w:rFonts w:ascii="Garamond" w:hAnsi="Garamond" w:cs="Times New Roman"/>
        </w:rPr>
        <w:t xml:space="preserve"> which is</w:t>
      </w:r>
      <w:r w:rsidRPr="004A0C12">
        <w:rPr>
          <w:rFonts w:ascii="Garamond" w:hAnsi="Garamond" w:cs="Times New Roman"/>
        </w:rPr>
        <w:t xml:space="preserve"> lost in an emergency, is needed for work preparation</w:t>
      </w:r>
      <w:r w:rsidR="005F4844" w:rsidRPr="004A0C12">
        <w:rPr>
          <w:rFonts w:ascii="Garamond" w:hAnsi="Garamond" w:cs="Times New Roman"/>
        </w:rPr>
        <w:t>,</w:t>
      </w:r>
      <w:r w:rsidRPr="004A0C12">
        <w:rPr>
          <w:rFonts w:ascii="Garamond" w:hAnsi="Garamond" w:cs="Times New Roman"/>
        </w:rPr>
        <w:t xml:space="preserve"> or which the family cannot afford because of their present circumstances, which includes such disposable items as diapers</w:t>
      </w:r>
      <w:r w:rsidR="005F4844" w:rsidRPr="004A0C12">
        <w:rPr>
          <w:rFonts w:ascii="Garamond" w:hAnsi="Garamond" w:cs="Times New Roman"/>
        </w:rPr>
        <w:t>;</w:t>
      </w:r>
    </w:p>
    <w:p w14:paraId="0E6263EA" w14:textId="696E40BC" w:rsidR="004705C8" w:rsidRPr="004A0C12" w:rsidRDefault="004705C8" w:rsidP="00232F09">
      <w:pPr>
        <w:widowControl w:val="0"/>
        <w:numPr>
          <w:ilvl w:val="0"/>
          <w:numId w:val="186"/>
        </w:numPr>
        <w:spacing w:after="0" w:line="240" w:lineRule="auto"/>
        <w:ind w:left="720"/>
        <w:jc w:val="both"/>
        <w:rPr>
          <w:rFonts w:ascii="Garamond" w:hAnsi="Garamond" w:cs="Times New Roman"/>
          <w:u w:val="single"/>
        </w:rPr>
      </w:pPr>
      <w:r w:rsidRPr="004A0C12">
        <w:rPr>
          <w:rFonts w:ascii="Garamond" w:hAnsi="Garamond" w:cs="Times New Roman"/>
        </w:rPr>
        <w:t>Domestic Violence programs that offer services to victims of domestic violence and their families. Services include</w:t>
      </w:r>
      <w:r w:rsidR="005F4844" w:rsidRPr="004A0C12">
        <w:rPr>
          <w:rFonts w:ascii="Garamond" w:hAnsi="Garamond" w:cs="Times New Roman"/>
        </w:rPr>
        <w:t>,</w:t>
      </w:r>
      <w:r w:rsidRPr="004A0C12">
        <w:rPr>
          <w:rFonts w:ascii="Garamond" w:hAnsi="Garamond" w:cs="Times New Roman"/>
        </w:rPr>
        <w:t xml:space="preserve"> but are not limited to</w:t>
      </w:r>
      <w:r w:rsidR="005F4844" w:rsidRPr="004A0C12">
        <w:rPr>
          <w:rFonts w:ascii="Garamond" w:hAnsi="Garamond" w:cs="Times New Roman"/>
        </w:rPr>
        <w:t>:</w:t>
      </w:r>
      <w:r w:rsidRPr="004A0C12">
        <w:rPr>
          <w:rFonts w:ascii="Garamond" w:hAnsi="Garamond" w:cs="Times New Roman"/>
        </w:rPr>
        <w:t xml:space="preserve"> safe accommodations for a period of less than four months, hotline counseling, advocacy accompaniment and abuser intervention</w:t>
      </w:r>
      <w:r w:rsidR="005F4844" w:rsidRPr="004A0C12">
        <w:rPr>
          <w:rFonts w:ascii="Garamond" w:hAnsi="Garamond" w:cs="Times New Roman"/>
        </w:rPr>
        <w:t>;</w:t>
      </w:r>
    </w:p>
    <w:p w14:paraId="6F9FBF3A" w14:textId="7E9C9826" w:rsidR="004705C8" w:rsidRPr="004A0C12" w:rsidRDefault="005F4844" w:rsidP="00232F09">
      <w:pPr>
        <w:widowControl w:val="0"/>
        <w:numPr>
          <w:ilvl w:val="0"/>
          <w:numId w:val="186"/>
        </w:numPr>
        <w:spacing w:after="0" w:line="240" w:lineRule="auto"/>
        <w:ind w:left="720"/>
        <w:jc w:val="both"/>
        <w:rPr>
          <w:rFonts w:ascii="Garamond" w:hAnsi="Garamond" w:cs="Times New Roman"/>
        </w:rPr>
      </w:pPr>
      <w:r w:rsidRPr="004A0C12">
        <w:rPr>
          <w:rFonts w:ascii="Garamond" w:hAnsi="Garamond" w:cs="Times New Roman"/>
        </w:rPr>
        <w:t>Boys Club/Girls Club support;</w:t>
      </w:r>
    </w:p>
    <w:p w14:paraId="5E780F40" w14:textId="5885ED88" w:rsidR="004705C8" w:rsidRPr="004A0C12" w:rsidRDefault="004705C8" w:rsidP="00232F09">
      <w:pPr>
        <w:widowControl w:val="0"/>
        <w:numPr>
          <w:ilvl w:val="0"/>
          <w:numId w:val="186"/>
        </w:numPr>
        <w:spacing w:after="0" w:line="240" w:lineRule="auto"/>
        <w:ind w:left="720"/>
        <w:jc w:val="both"/>
        <w:rPr>
          <w:rFonts w:ascii="Garamond" w:hAnsi="Garamond" w:cs="Times New Roman"/>
        </w:rPr>
      </w:pPr>
      <w:r w:rsidRPr="004A0C12">
        <w:rPr>
          <w:rFonts w:ascii="Garamond" w:hAnsi="Garamond" w:cs="Times New Roman"/>
        </w:rPr>
        <w:t>After school programs</w:t>
      </w:r>
      <w:r w:rsidR="005F4844" w:rsidRPr="004A0C12">
        <w:rPr>
          <w:rFonts w:ascii="Garamond" w:hAnsi="Garamond" w:cs="Times New Roman"/>
        </w:rPr>
        <w:t>;</w:t>
      </w:r>
    </w:p>
    <w:p w14:paraId="3EEDFBC4" w14:textId="1897CBBC" w:rsidR="004705C8" w:rsidRPr="004A0C12" w:rsidRDefault="004705C8" w:rsidP="00232F09">
      <w:pPr>
        <w:widowControl w:val="0"/>
        <w:numPr>
          <w:ilvl w:val="0"/>
          <w:numId w:val="186"/>
        </w:numPr>
        <w:spacing w:after="0" w:line="240" w:lineRule="auto"/>
        <w:ind w:left="720"/>
        <w:jc w:val="both"/>
        <w:rPr>
          <w:rFonts w:ascii="Garamond" w:hAnsi="Garamond" w:cs="Times New Roman"/>
        </w:rPr>
      </w:pPr>
      <w:r w:rsidRPr="004A0C12">
        <w:rPr>
          <w:rFonts w:ascii="Garamond" w:hAnsi="Garamond" w:cs="Times New Roman"/>
        </w:rPr>
        <w:t>Screening for local department services</w:t>
      </w:r>
      <w:r w:rsidR="005F4844" w:rsidRPr="004A0C12">
        <w:rPr>
          <w:rFonts w:ascii="Garamond" w:hAnsi="Garamond" w:cs="Times New Roman"/>
        </w:rPr>
        <w:t>; and,</w:t>
      </w:r>
    </w:p>
    <w:p w14:paraId="4AE06F29" w14:textId="126FA9B7" w:rsidR="004705C8" w:rsidRPr="004A0C12" w:rsidRDefault="004705C8" w:rsidP="00232F09">
      <w:pPr>
        <w:widowControl w:val="0"/>
        <w:numPr>
          <w:ilvl w:val="0"/>
          <w:numId w:val="186"/>
        </w:numPr>
        <w:spacing w:after="0" w:line="240" w:lineRule="auto"/>
        <w:ind w:left="720"/>
        <w:jc w:val="both"/>
        <w:rPr>
          <w:rFonts w:ascii="Garamond" w:hAnsi="Garamond" w:cs="Times New Roman"/>
        </w:rPr>
      </w:pPr>
      <w:r w:rsidRPr="004A0C12">
        <w:rPr>
          <w:rFonts w:ascii="Garamond" w:hAnsi="Garamond" w:cs="Times New Roman"/>
        </w:rPr>
        <w:t>Grants to Food Bank Services</w:t>
      </w:r>
      <w:r w:rsidR="005F4844" w:rsidRPr="004A0C12">
        <w:rPr>
          <w:rFonts w:ascii="Garamond" w:hAnsi="Garamond" w:cs="Times New Roman"/>
        </w:rPr>
        <w:t>.</w:t>
      </w:r>
    </w:p>
    <w:p w14:paraId="1F155362" w14:textId="77777777" w:rsidR="004705C8" w:rsidRPr="00307FCC" w:rsidRDefault="004705C8" w:rsidP="004705C8">
      <w:pPr>
        <w:spacing w:after="0" w:line="240" w:lineRule="auto"/>
        <w:ind w:left="360"/>
        <w:jc w:val="both"/>
        <w:rPr>
          <w:rFonts w:ascii="Garamond" w:hAnsi="Garamond" w:cs="Times New Roman"/>
          <w:sz w:val="24"/>
          <w:u w:val="single"/>
        </w:rPr>
      </w:pPr>
    </w:p>
    <w:p w14:paraId="36C920E3" w14:textId="77777777" w:rsidR="00902C29" w:rsidRPr="00307FCC" w:rsidRDefault="004705C8" w:rsidP="00D73D3D">
      <w:pPr>
        <w:pStyle w:val="Footer"/>
        <w:widowControl w:val="0"/>
        <w:tabs>
          <w:tab w:val="clear" w:pos="4680"/>
          <w:tab w:val="clear" w:pos="9360"/>
        </w:tabs>
        <w:jc w:val="both"/>
        <w:rPr>
          <w:rStyle w:val="Heading4Char"/>
          <w:rFonts w:ascii="Garamond" w:hAnsi="Garamond"/>
          <w:sz w:val="24"/>
        </w:rPr>
      </w:pPr>
      <w:r w:rsidRPr="00307FCC">
        <w:rPr>
          <w:rStyle w:val="Heading4Char"/>
          <w:rFonts w:ascii="Garamond" w:hAnsi="Garamond"/>
          <w:sz w:val="24"/>
        </w:rPr>
        <w:t xml:space="preserve">Assistance </w:t>
      </w:r>
      <w:r w:rsidR="00902C29" w:rsidRPr="00307FCC">
        <w:rPr>
          <w:rStyle w:val="Heading4Char"/>
          <w:rFonts w:ascii="Garamond" w:hAnsi="Garamond"/>
          <w:sz w:val="24"/>
        </w:rPr>
        <w:t>to Individuals with Disabilities</w:t>
      </w:r>
    </w:p>
    <w:p w14:paraId="091A290E" w14:textId="3B77A0DF" w:rsidR="00DC6812" w:rsidRDefault="004705C8" w:rsidP="00D73D3D">
      <w:pPr>
        <w:pStyle w:val="Footer"/>
        <w:widowControl w:val="0"/>
        <w:tabs>
          <w:tab w:val="clear" w:pos="4680"/>
          <w:tab w:val="clear" w:pos="9360"/>
        </w:tabs>
        <w:jc w:val="both"/>
        <w:rPr>
          <w:rFonts w:ascii="Garamond" w:hAnsi="Garamond" w:cs="Times New Roman"/>
        </w:rPr>
      </w:pPr>
      <w:r w:rsidRPr="004A0C12">
        <w:rPr>
          <w:rFonts w:ascii="Garamond" w:hAnsi="Garamond" w:cs="Times New Roman"/>
        </w:rPr>
        <w:t xml:space="preserve">Maryland provides assistance to individuals and families with disabilities </w:t>
      </w:r>
      <w:r w:rsidR="00D73D3D" w:rsidRPr="004A0C12">
        <w:rPr>
          <w:rFonts w:ascii="Garamond" w:hAnsi="Garamond" w:cs="Times New Roman"/>
        </w:rPr>
        <w:t>applying for or receiving TANF.</w:t>
      </w:r>
      <w:r w:rsidRPr="004A0C12">
        <w:rPr>
          <w:rFonts w:ascii="Garamond" w:hAnsi="Garamond" w:cs="Times New Roman"/>
        </w:rPr>
        <w:t xml:space="preserve"> Maryland</w:t>
      </w:r>
      <w:r w:rsidR="00D73D3D" w:rsidRPr="004A0C12">
        <w:rPr>
          <w:rFonts w:ascii="Garamond" w:hAnsi="Garamond" w:cs="Times New Roman"/>
        </w:rPr>
        <w:t>:</w:t>
      </w:r>
      <w:r w:rsidRPr="004A0C12">
        <w:rPr>
          <w:rFonts w:ascii="Garamond" w:hAnsi="Garamond" w:cs="Times New Roman"/>
        </w:rPr>
        <w:t xml:space="preserve"> (1) ensures equal access to people with dis</w:t>
      </w:r>
      <w:r w:rsidR="00DC6812" w:rsidRPr="004A0C12">
        <w:rPr>
          <w:rFonts w:ascii="Garamond" w:hAnsi="Garamond" w:cs="Times New Roman"/>
        </w:rPr>
        <w:t>abilities; (2) reasonably modifies</w:t>
      </w:r>
      <w:r w:rsidRPr="004A0C12">
        <w:rPr>
          <w:rFonts w:ascii="Garamond" w:hAnsi="Garamond" w:cs="Times New Roman"/>
        </w:rPr>
        <w:t xml:space="preserve"> policies, practices, and procedures for people with disabilities where necessary; and</w:t>
      </w:r>
      <w:r w:rsidR="00DC6812" w:rsidRPr="004A0C12">
        <w:rPr>
          <w:rFonts w:ascii="Garamond" w:hAnsi="Garamond" w:cs="Times New Roman"/>
        </w:rPr>
        <w:t>,</w:t>
      </w:r>
      <w:r w:rsidRPr="004A0C12">
        <w:rPr>
          <w:rFonts w:ascii="Garamond" w:hAnsi="Garamond" w:cs="Times New Roman"/>
        </w:rPr>
        <w:t xml:space="preserve"> (3) ensures that methods of administration do not discriminate on the basis of disability. Applicants and recipients are provided special accommodations and auxiliary aids</w:t>
      </w:r>
      <w:r w:rsidR="00DC6812" w:rsidRPr="004A0C12">
        <w:rPr>
          <w:rFonts w:ascii="Garamond" w:hAnsi="Garamond" w:cs="Times New Roman"/>
        </w:rPr>
        <w:t>,</w:t>
      </w:r>
      <w:r w:rsidRPr="004A0C12">
        <w:rPr>
          <w:rFonts w:ascii="Garamond" w:hAnsi="Garamond" w:cs="Times New Roman"/>
        </w:rPr>
        <w:t xml:space="preserve"> such as interpreters for the hearing impaired, large type reading materials for visually impaired</w:t>
      </w:r>
      <w:r w:rsidR="00DC6812" w:rsidRPr="004A0C12">
        <w:rPr>
          <w:rFonts w:ascii="Garamond" w:hAnsi="Garamond" w:cs="Times New Roman"/>
        </w:rPr>
        <w:t>,</w:t>
      </w:r>
      <w:r w:rsidRPr="004A0C12">
        <w:rPr>
          <w:rFonts w:ascii="Garamond" w:hAnsi="Garamond" w:cs="Times New Roman"/>
        </w:rPr>
        <w:t xml:space="preserve"> and telephone interviews for those customers whose impairment prevents them from coming into the Department of Social Services. </w:t>
      </w:r>
    </w:p>
    <w:p w14:paraId="4C708518" w14:textId="77777777" w:rsidR="00307FCC" w:rsidRPr="00307FCC" w:rsidRDefault="00307FCC" w:rsidP="00D73D3D">
      <w:pPr>
        <w:pStyle w:val="Footer"/>
        <w:widowControl w:val="0"/>
        <w:tabs>
          <w:tab w:val="clear" w:pos="4680"/>
          <w:tab w:val="clear" w:pos="9360"/>
        </w:tabs>
        <w:jc w:val="both"/>
        <w:rPr>
          <w:rFonts w:ascii="Garamond" w:hAnsi="Garamond" w:cs="Times New Roman"/>
          <w:sz w:val="24"/>
        </w:rPr>
      </w:pPr>
    </w:p>
    <w:p w14:paraId="183FE1E9" w14:textId="0F5434B8" w:rsidR="00902C29" w:rsidRPr="00307FCC" w:rsidRDefault="00902C29" w:rsidP="00DC6812">
      <w:pPr>
        <w:widowControl w:val="0"/>
        <w:spacing w:after="0" w:line="240" w:lineRule="auto"/>
        <w:jc w:val="both"/>
        <w:rPr>
          <w:rFonts w:ascii="Garamond" w:hAnsi="Garamond" w:cs="Times New Roman"/>
          <w:sz w:val="24"/>
        </w:rPr>
      </w:pPr>
      <w:r w:rsidRPr="00307FCC">
        <w:rPr>
          <w:rStyle w:val="Heading4Char"/>
          <w:rFonts w:ascii="Garamond" w:hAnsi="Garamond"/>
          <w:sz w:val="24"/>
        </w:rPr>
        <w:t xml:space="preserve">English Language Learners </w:t>
      </w:r>
    </w:p>
    <w:p w14:paraId="1C3A9F15" w14:textId="65CA58B8" w:rsidR="004705C8" w:rsidRPr="004A0C12" w:rsidRDefault="004705C8" w:rsidP="00DC6812">
      <w:pPr>
        <w:widowControl w:val="0"/>
        <w:spacing w:after="0" w:line="240" w:lineRule="auto"/>
        <w:jc w:val="both"/>
        <w:rPr>
          <w:rFonts w:ascii="Garamond" w:hAnsi="Garamond" w:cs="Times New Roman"/>
        </w:rPr>
      </w:pPr>
      <w:r w:rsidRPr="004A0C12">
        <w:rPr>
          <w:rFonts w:ascii="Garamond" w:hAnsi="Garamond" w:cs="Times New Roman"/>
        </w:rPr>
        <w:t>This program’s services provide language and other services needed by families with Limited English Proficiency in applying for or receiving TAN</w:t>
      </w:r>
      <w:r w:rsidR="00DC6812" w:rsidRPr="004A0C12">
        <w:rPr>
          <w:rFonts w:ascii="Garamond" w:hAnsi="Garamond" w:cs="Times New Roman"/>
        </w:rPr>
        <w:t xml:space="preserve">F or TANF-MOE funded benefits. </w:t>
      </w:r>
      <w:r w:rsidRPr="004A0C12">
        <w:rPr>
          <w:rFonts w:ascii="Garamond" w:hAnsi="Garamond" w:cs="Times New Roman"/>
        </w:rPr>
        <w:t>Examples of services include</w:t>
      </w:r>
      <w:r w:rsidR="00DC6812" w:rsidRPr="004A0C12">
        <w:rPr>
          <w:rFonts w:ascii="Garamond" w:hAnsi="Garamond" w:cs="Times New Roman"/>
        </w:rPr>
        <w:t>,</w:t>
      </w:r>
      <w:r w:rsidRPr="004A0C12">
        <w:rPr>
          <w:rFonts w:ascii="Garamond" w:hAnsi="Garamond" w:cs="Times New Roman"/>
        </w:rPr>
        <w:t xml:space="preserve"> but are not limited to interpreter services and Englis</w:t>
      </w:r>
      <w:r w:rsidR="00DC6812" w:rsidRPr="004A0C12">
        <w:rPr>
          <w:rFonts w:ascii="Garamond" w:hAnsi="Garamond" w:cs="Times New Roman"/>
        </w:rPr>
        <w:t xml:space="preserve">h Language Acquisition classes. </w:t>
      </w:r>
      <w:r w:rsidRPr="004A0C12">
        <w:rPr>
          <w:rFonts w:ascii="Garamond" w:hAnsi="Garamond" w:cs="Times New Roman"/>
        </w:rPr>
        <w:t>This program serves those with incomes under 300 percent of the federal poverty level and provides non-assistance.</w:t>
      </w:r>
    </w:p>
    <w:p w14:paraId="4BA5B9E1" w14:textId="77777777" w:rsidR="00DC6812" w:rsidRPr="004A0C12" w:rsidRDefault="00DC6812" w:rsidP="00DC6812">
      <w:pPr>
        <w:widowControl w:val="0"/>
        <w:spacing w:after="0" w:line="240" w:lineRule="auto"/>
        <w:jc w:val="both"/>
        <w:rPr>
          <w:rFonts w:ascii="Garamond" w:hAnsi="Garamond" w:cs="Times New Roman"/>
          <w:u w:val="single"/>
        </w:rPr>
      </w:pPr>
    </w:p>
    <w:p w14:paraId="4A329A7C" w14:textId="77777777" w:rsidR="00902C29" w:rsidRPr="00307FCC" w:rsidRDefault="00DC6812" w:rsidP="00DC6812">
      <w:pPr>
        <w:widowControl w:val="0"/>
        <w:spacing w:after="0" w:line="240" w:lineRule="auto"/>
        <w:jc w:val="both"/>
        <w:rPr>
          <w:rFonts w:ascii="Garamond" w:hAnsi="Garamond" w:cs="Times New Roman"/>
          <w:sz w:val="24"/>
        </w:rPr>
      </w:pPr>
      <w:r w:rsidRPr="00307FCC">
        <w:rPr>
          <w:rStyle w:val="Heading4Char"/>
          <w:rFonts w:ascii="Garamond" w:hAnsi="Garamond"/>
          <w:sz w:val="24"/>
        </w:rPr>
        <w:t>Adoption Assistance</w:t>
      </w:r>
    </w:p>
    <w:p w14:paraId="0FF598BC" w14:textId="125D6143" w:rsidR="004705C8" w:rsidRPr="004A0C12" w:rsidRDefault="004705C8" w:rsidP="00DC6812">
      <w:pPr>
        <w:widowControl w:val="0"/>
        <w:spacing w:after="0" w:line="240" w:lineRule="auto"/>
        <w:jc w:val="both"/>
        <w:rPr>
          <w:rFonts w:ascii="Garamond" w:hAnsi="Garamond" w:cs="Times New Roman"/>
          <w:u w:val="single"/>
        </w:rPr>
      </w:pPr>
      <w:r w:rsidRPr="004A0C12">
        <w:rPr>
          <w:rFonts w:ascii="Garamond" w:hAnsi="Garamond" w:cs="Times New Roman"/>
        </w:rPr>
        <w:t>Maryland provides adoption benefits that include a monthly payment and other non-financial services to needy parents of an adopted child who is not eligible for title IV-E</w:t>
      </w:r>
      <w:r w:rsidR="00DC6812" w:rsidRPr="004A0C12">
        <w:rPr>
          <w:rFonts w:ascii="Garamond" w:hAnsi="Garamond" w:cs="Times New Roman"/>
        </w:rPr>
        <w:t xml:space="preserve"> (child welfare) adoption assistance. </w:t>
      </w:r>
      <w:r w:rsidRPr="004A0C12">
        <w:rPr>
          <w:rFonts w:ascii="Garamond" w:hAnsi="Garamond" w:cs="Times New Roman"/>
        </w:rPr>
        <w:t>In this instance, the final adoption establishes a parental relationship even if no blood relationship exists.</w:t>
      </w:r>
    </w:p>
    <w:p w14:paraId="5BF12F4C" w14:textId="77777777" w:rsidR="004705C8" w:rsidRPr="004A0C12" w:rsidRDefault="004705C8" w:rsidP="004705C8">
      <w:pPr>
        <w:spacing w:after="0" w:line="240" w:lineRule="auto"/>
        <w:jc w:val="both"/>
        <w:rPr>
          <w:rFonts w:ascii="Garamond" w:hAnsi="Garamond" w:cs="Times New Roman"/>
          <w:u w:val="single"/>
        </w:rPr>
      </w:pPr>
    </w:p>
    <w:p w14:paraId="4EB06FFE" w14:textId="339C5661" w:rsidR="004705C8" w:rsidRPr="004A0C12" w:rsidRDefault="004705C8" w:rsidP="00DC6812">
      <w:pPr>
        <w:spacing w:after="0" w:line="240" w:lineRule="auto"/>
        <w:jc w:val="both"/>
        <w:rPr>
          <w:rFonts w:ascii="Garamond" w:hAnsi="Garamond" w:cs="Times New Roman"/>
          <w:u w:val="single"/>
        </w:rPr>
      </w:pPr>
      <w:r w:rsidRPr="004A0C12">
        <w:rPr>
          <w:rFonts w:ascii="Garamond" w:hAnsi="Garamond" w:cs="Times New Roman"/>
        </w:rPr>
        <w:t>To qualify on the basis of income, the annual adjusted gross income, as defined by the Internal Revenue Service, of the adoptive family may not exceed 80 percent of the latest published figure for the median income for a family of that size for the State, as set forth in Sche</w:t>
      </w:r>
      <w:r w:rsidR="00DC6812" w:rsidRPr="004A0C12">
        <w:rPr>
          <w:rFonts w:ascii="Garamond" w:hAnsi="Garamond" w:cs="Times New Roman"/>
        </w:rPr>
        <w:t>dule A under COMAR 07.02.04.11.</w:t>
      </w:r>
      <w:r w:rsidRPr="004A0C12">
        <w:rPr>
          <w:rFonts w:ascii="Garamond" w:hAnsi="Garamond" w:cs="Times New Roman"/>
        </w:rPr>
        <w:t xml:space="preserve"> The adoptive child is included i</w:t>
      </w:r>
      <w:r w:rsidR="00DC6812" w:rsidRPr="004A0C12">
        <w:rPr>
          <w:rFonts w:ascii="Garamond" w:hAnsi="Garamond" w:cs="Times New Roman"/>
        </w:rPr>
        <w:t xml:space="preserve">n determining the family size. </w:t>
      </w:r>
      <w:r w:rsidRPr="004A0C12">
        <w:rPr>
          <w:rFonts w:ascii="Garamond" w:hAnsi="Garamond" w:cs="Times New Roman"/>
        </w:rPr>
        <w:t>The annual adjusted gross income of the family shall be the latest figure that was reported t</w:t>
      </w:r>
      <w:r w:rsidR="00DC6812" w:rsidRPr="004A0C12">
        <w:rPr>
          <w:rFonts w:ascii="Garamond" w:hAnsi="Garamond" w:cs="Times New Roman"/>
        </w:rPr>
        <w:t xml:space="preserve">o the Internal Revenue Service. </w:t>
      </w:r>
      <w:r w:rsidRPr="004A0C12">
        <w:rPr>
          <w:rFonts w:ascii="Garamond" w:hAnsi="Garamond" w:cs="Times New Roman"/>
        </w:rPr>
        <w:t>This program provides assistance.</w:t>
      </w:r>
    </w:p>
    <w:p w14:paraId="61C54700" w14:textId="77777777" w:rsidR="004705C8" w:rsidRPr="00307FCC" w:rsidRDefault="004705C8" w:rsidP="004705C8">
      <w:pPr>
        <w:pStyle w:val="Footer"/>
        <w:jc w:val="both"/>
        <w:rPr>
          <w:rFonts w:ascii="Garamond" w:hAnsi="Garamond" w:cs="Times New Roman"/>
          <w:sz w:val="24"/>
        </w:rPr>
      </w:pPr>
    </w:p>
    <w:p w14:paraId="7700AF2F" w14:textId="77777777" w:rsidR="00902C29" w:rsidRPr="00307FCC" w:rsidRDefault="004705C8" w:rsidP="00DC6812">
      <w:pPr>
        <w:widowControl w:val="0"/>
        <w:spacing w:after="0" w:line="240" w:lineRule="auto"/>
        <w:jc w:val="both"/>
        <w:rPr>
          <w:rFonts w:ascii="Garamond" w:hAnsi="Garamond" w:cs="Times New Roman"/>
          <w:sz w:val="24"/>
        </w:rPr>
      </w:pPr>
      <w:r w:rsidRPr="00307FCC">
        <w:rPr>
          <w:rStyle w:val="Heading4Char"/>
          <w:rFonts w:ascii="Garamond" w:hAnsi="Garamond"/>
          <w:sz w:val="24"/>
        </w:rPr>
        <w:t>Electric Universal Service Program</w:t>
      </w:r>
    </w:p>
    <w:p w14:paraId="6841C222" w14:textId="704D8DA4" w:rsidR="004705C8" w:rsidRPr="004A0C12" w:rsidRDefault="004705C8" w:rsidP="00DC6812">
      <w:pPr>
        <w:widowControl w:val="0"/>
        <w:spacing w:after="0" w:line="240" w:lineRule="auto"/>
        <w:jc w:val="both"/>
        <w:rPr>
          <w:rFonts w:ascii="Garamond" w:hAnsi="Garamond" w:cs="Times New Roman"/>
        </w:rPr>
      </w:pPr>
      <w:r w:rsidRPr="004A0C12">
        <w:rPr>
          <w:rFonts w:ascii="Garamond" w:hAnsi="Garamond" w:cs="Times New Roman"/>
        </w:rPr>
        <w:t>The Electric Universal Service Program is an affordable electric service program authorized under the Electric Customer Competition and Choice Act of 1999 to help low-income, needy families af</w:t>
      </w:r>
      <w:r w:rsidR="00DC6812" w:rsidRPr="004A0C12">
        <w:rPr>
          <w:rFonts w:ascii="Garamond" w:hAnsi="Garamond" w:cs="Times New Roman"/>
        </w:rPr>
        <w:t>ford electric service in the</w:t>
      </w:r>
      <w:r w:rsidRPr="004A0C12">
        <w:rPr>
          <w:rFonts w:ascii="Garamond" w:hAnsi="Garamond" w:cs="Times New Roman"/>
        </w:rPr>
        <w:t xml:space="preserve"> deregulated environment </w:t>
      </w:r>
      <w:r w:rsidRPr="004A0C12">
        <w:rPr>
          <w:rFonts w:ascii="Garamond" w:hAnsi="Garamond" w:cs="Times New Roman"/>
        </w:rPr>
        <w:lastRenderedPageBreak/>
        <w:t>and to have safe</w:t>
      </w:r>
      <w:r w:rsidR="00DC6812" w:rsidRPr="004A0C12">
        <w:rPr>
          <w:rFonts w:ascii="Garamond" w:hAnsi="Garamond" w:cs="Times New Roman"/>
        </w:rPr>
        <w:t xml:space="preserve"> and reliable electric service.</w:t>
      </w:r>
      <w:r w:rsidRPr="004A0C12">
        <w:rPr>
          <w:rFonts w:ascii="Garamond" w:hAnsi="Garamond" w:cs="Times New Roman"/>
        </w:rPr>
        <w:t xml:space="preserve"> The program provides a one-time-only payment that targets the elderly, working poor, disab</w:t>
      </w:r>
      <w:r w:rsidR="00DC6812" w:rsidRPr="004A0C12">
        <w:rPr>
          <w:rFonts w:ascii="Garamond" w:hAnsi="Garamond" w:cs="Times New Roman"/>
        </w:rPr>
        <w:t>led and families with children.</w:t>
      </w:r>
      <w:r w:rsidRPr="004A0C12">
        <w:rPr>
          <w:rFonts w:ascii="Garamond" w:hAnsi="Garamond" w:cs="Times New Roman"/>
        </w:rPr>
        <w:t xml:space="preserve"> Eligibility is limited to families with income up to 175 percent of </w:t>
      </w:r>
      <w:r w:rsidR="00DC6812" w:rsidRPr="004A0C12">
        <w:rPr>
          <w:rFonts w:ascii="Garamond" w:hAnsi="Garamond" w:cs="Times New Roman"/>
        </w:rPr>
        <w:t>the federal poverty guidelines.</w:t>
      </w:r>
      <w:r w:rsidRPr="004A0C12">
        <w:rPr>
          <w:rFonts w:ascii="Garamond" w:hAnsi="Garamond" w:cs="Times New Roman"/>
        </w:rPr>
        <w:t xml:space="preserve"> The program provides non-assistance.  </w:t>
      </w:r>
    </w:p>
    <w:p w14:paraId="3DC18B36" w14:textId="77777777" w:rsidR="004705C8" w:rsidRPr="00307FCC" w:rsidRDefault="004705C8" w:rsidP="004705C8">
      <w:pPr>
        <w:spacing w:after="0" w:line="240" w:lineRule="auto"/>
        <w:jc w:val="both"/>
        <w:rPr>
          <w:rFonts w:ascii="Garamond" w:hAnsi="Garamond" w:cs="Times New Roman"/>
          <w:sz w:val="24"/>
        </w:rPr>
      </w:pPr>
    </w:p>
    <w:p w14:paraId="31F4C314" w14:textId="77777777" w:rsidR="00902C29" w:rsidRPr="00307FCC" w:rsidRDefault="004705C8" w:rsidP="00DC6812">
      <w:pPr>
        <w:pStyle w:val="TOAHeading"/>
        <w:tabs>
          <w:tab w:val="clear" w:pos="9000"/>
          <w:tab w:val="clear" w:pos="9360"/>
          <w:tab w:val="left" w:pos="-720"/>
        </w:tabs>
        <w:jc w:val="both"/>
        <w:rPr>
          <w:rFonts w:ascii="Garamond" w:hAnsi="Garamond"/>
          <w:szCs w:val="22"/>
          <w:u w:val="single"/>
        </w:rPr>
      </w:pPr>
      <w:r w:rsidRPr="00307FCC">
        <w:rPr>
          <w:rStyle w:val="Heading4Char"/>
          <w:rFonts w:ascii="Garamond" w:hAnsi="Garamond"/>
          <w:szCs w:val="22"/>
        </w:rPr>
        <w:t>Refundable Earned Income Tax Credit Refunds</w:t>
      </w:r>
    </w:p>
    <w:p w14:paraId="45066FEF" w14:textId="15ECA52B" w:rsidR="004705C8" w:rsidRPr="004A0C12" w:rsidRDefault="004705C8" w:rsidP="00DC6812">
      <w:pPr>
        <w:pStyle w:val="TOAHeading"/>
        <w:tabs>
          <w:tab w:val="clear" w:pos="9000"/>
          <w:tab w:val="clear" w:pos="9360"/>
          <w:tab w:val="left" w:pos="-720"/>
        </w:tabs>
        <w:jc w:val="both"/>
        <w:rPr>
          <w:rStyle w:val="a"/>
          <w:rFonts w:ascii="Garamond" w:hAnsi="Garamond"/>
          <w:sz w:val="22"/>
          <w:szCs w:val="22"/>
        </w:rPr>
      </w:pPr>
      <w:r w:rsidRPr="004A0C12">
        <w:rPr>
          <w:rFonts w:ascii="Garamond" w:hAnsi="Garamond"/>
          <w:sz w:val="22"/>
          <w:szCs w:val="22"/>
        </w:rPr>
        <w:t xml:space="preserve">The </w:t>
      </w:r>
      <w:r w:rsidRPr="004A0C12">
        <w:rPr>
          <w:rStyle w:val="a"/>
          <w:rFonts w:ascii="Garamond" w:hAnsi="Garamond"/>
          <w:sz w:val="22"/>
          <w:szCs w:val="22"/>
        </w:rPr>
        <w:t>E</w:t>
      </w:r>
      <w:r w:rsidR="00DC6812" w:rsidRPr="004A0C12">
        <w:rPr>
          <w:rStyle w:val="a"/>
          <w:rFonts w:ascii="Garamond" w:hAnsi="Garamond"/>
          <w:sz w:val="22"/>
          <w:szCs w:val="22"/>
        </w:rPr>
        <w:t>arned Income Tax Credit</w:t>
      </w:r>
      <w:r w:rsidRPr="004A0C12">
        <w:rPr>
          <w:rStyle w:val="a"/>
          <w:rFonts w:ascii="Garamond" w:hAnsi="Garamond"/>
          <w:sz w:val="22"/>
          <w:szCs w:val="22"/>
        </w:rPr>
        <w:t xml:space="preserve"> Refund Program provides a state paid earned income credit that is refundable to eligible low-income taxpayers with one or more dependents.  “Eligible low income taxpayer” means an individual, or an individual and individual’s spouse if taxes are filed jointly, whose federal adjusted gross income does not exceed the applicable poverty income level. The “applicable poverty income level” is defined as the amount specified in the poverty income standard that corresponds to the number of exemptions to which the taxpayer is entitled to claim.  </w:t>
      </w:r>
      <w:r w:rsidRPr="004A0C12">
        <w:rPr>
          <w:rFonts w:ascii="Garamond" w:hAnsi="Garamond"/>
          <w:sz w:val="22"/>
          <w:szCs w:val="22"/>
        </w:rPr>
        <w:t xml:space="preserve">Poverty income standard means the most recent poverty income guidelines published by HHS, as of July 1 in the taxable year.  The EIC can be claimed against State and local income tax.  In addition, EIC Support Services include, but are not limited to, Volunteer Tax Preparation, Public Awareness Campaigns, and a 24-Hour Hot Line.  </w:t>
      </w:r>
      <w:r w:rsidRPr="004A0C12">
        <w:rPr>
          <w:rStyle w:val="a"/>
          <w:rFonts w:ascii="Garamond" w:hAnsi="Garamond"/>
          <w:sz w:val="22"/>
          <w:szCs w:val="22"/>
        </w:rPr>
        <w:t>The purpose is to increase the income levels in low-income families and end dependence of low-income, needy parents on government benefits by promoting job preparation, work and marriage.  This program provides non-assistance.</w:t>
      </w:r>
    </w:p>
    <w:p w14:paraId="16306FBE" w14:textId="77777777" w:rsidR="007B4F9D" w:rsidRPr="004A0C12" w:rsidRDefault="007B4F9D" w:rsidP="007B4F9D">
      <w:pPr>
        <w:spacing w:after="100" w:line="240" w:lineRule="auto"/>
        <w:rPr>
          <w:rFonts w:ascii="Garamond" w:eastAsia="Times New Roman" w:hAnsi="Garamond" w:cs="Times New Roman"/>
        </w:rPr>
      </w:pPr>
      <w:r w:rsidRPr="004A0C12">
        <w:rPr>
          <w:rFonts w:ascii="Garamond" w:eastAsia="Times New Roman" w:hAnsi="Garamond" w:cs="Times New Roman"/>
          <w:color w:val="000000"/>
        </w:rPr>
        <w:t>Transportation Assistance Program</w:t>
      </w:r>
    </w:p>
    <w:p w14:paraId="09DE9957" w14:textId="5B3B80FF" w:rsidR="007B4F9D" w:rsidRPr="004A0C12" w:rsidRDefault="007B4F9D" w:rsidP="00AD2026">
      <w:pPr>
        <w:rPr>
          <w:rFonts w:ascii="Garamond" w:hAnsi="Garamond"/>
          <w:color w:val="000000"/>
        </w:rPr>
      </w:pPr>
      <w:r w:rsidRPr="004A0C12">
        <w:rPr>
          <w:rFonts w:ascii="Garamond" w:eastAsia="Times New Roman" w:hAnsi="Garamond" w:cs="Times New Roman"/>
          <w:color w:val="000000"/>
        </w:rPr>
        <w:t>The Transportation Assistance Program (TAP) empowers TCA families with financial challenges to achieve economic self-sufficiency and personal independence through car ownership. This program affords customers the ability to purchase a used Maryland state-inspected vehicle at or below the vehicle’s market value through Vehicles for Change (VFC), a vendor that serves all of Maryland. FIA anticipates providing vehicles to 100-110 families per year at an estimated cost to FIA of $4,000 per car. Further, customers contribute to the cost of the vehicle- the customer’s portion cannot exceed 50% of the actual price to put the vehicle on the road or a maximum of $1,000 - whichever is less. In order to be eligible for TAP, VFC applicants:</w:t>
      </w:r>
    </w:p>
    <w:p w14:paraId="4D49DB1E" w14:textId="77777777" w:rsidR="007B4F9D" w:rsidRPr="004A0C12" w:rsidRDefault="007B4F9D" w:rsidP="007B4F9D">
      <w:pPr>
        <w:spacing w:after="100" w:line="240" w:lineRule="auto"/>
        <w:ind w:firstLine="134"/>
        <w:rPr>
          <w:rFonts w:ascii="Garamond" w:eastAsia="Times New Roman" w:hAnsi="Garamond" w:cs="Times New Roman"/>
        </w:rPr>
      </w:pPr>
      <w:r w:rsidRPr="004A0C12">
        <w:rPr>
          <w:rFonts w:ascii="Garamond" w:eastAsia="Times New Roman" w:hAnsi="Garamond" w:cs="Times New Roman"/>
          <w:color w:val="000000"/>
        </w:rPr>
        <w:t>• Must be receiving TCA; or if no longer on TCA , must have been on TCA within the last 12 months; or a youth aging out of foster care; or a TCA-related non-custodial parent;</w:t>
      </w:r>
    </w:p>
    <w:p w14:paraId="2567FC6B" w14:textId="77777777" w:rsidR="007B4F9D" w:rsidRPr="004A0C12" w:rsidRDefault="007B4F9D" w:rsidP="007B4F9D">
      <w:pPr>
        <w:spacing w:after="100" w:line="240" w:lineRule="auto"/>
        <w:rPr>
          <w:rFonts w:ascii="Garamond" w:eastAsia="Times New Roman" w:hAnsi="Garamond" w:cs="Times New Roman"/>
        </w:rPr>
      </w:pPr>
      <w:r w:rsidRPr="004A0C12">
        <w:rPr>
          <w:rFonts w:ascii="Garamond" w:eastAsia="Times New Roman" w:hAnsi="Garamond" w:cs="Times New Roman"/>
          <w:color w:val="000000"/>
        </w:rPr>
        <w:t>• Must be working a minimum of 30 hours per week or have a verifiable job offer;</w:t>
      </w:r>
    </w:p>
    <w:p w14:paraId="214B6BA4" w14:textId="77777777" w:rsidR="007B4F9D" w:rsidRPr="004A0C12" w:rsidRDefault="007B4F9D" w:rsidP="007B4F9D">
      <w:pPr>
        <w:spacing w:after="100" w:line="240" w:lineRule="auto"/>
        <w:rPr>
          <w:rFonts w:ascii="Garamond" w:eastAsia="Times New Roman" w:hAnsi="Garamond" w:cs="Times New Roman"/>
        </w:rPr>
      </w:pPr>
      <w:r w:rsidRPr="004A0C12">
        <w:rPr>
          <w:rFonts w:ascii="Garamond" w:eastAsia="Times New Roman" w:hAnsi="Garamond" w:cs="Times New Roman"/>
          <w:color w:val="000000"/>
        </w:rPr>
        <w:t>• Must have a valid Maryland Driver’s License;</w:t>
      </w:r>
    </w:p>
    <w:p w14:paraId="656D3317" w14:textId="77777777" w:rsidR="007B4F9D" w:rsidRPr="004A0C12" w:rsidRDefault="007B4F9D" w:rsidP="007B4F9D">
      <w:pPr>
        <w:spacing w:after="100" w:line="240" w:lineRule="auto"/>
        <w:rPr>
          <w:rFonts w:ascii="Garamond" w:eastAsia="Times New Roman" w:hAnsi="Garamond" w:cs="Times New Roman"/>
        </w:rPr>
      </w:pPr>
      <w:r w:rsidRPr="004A0C12">
        <w:rPr>
          <w:rFonts w:ascii="Garamond" w:eastAsia="Times New Roman" w:hAnsi="Garamond" w:cs="Times New Roman"/>
          <w:color w:val="000000"/>
        </w:rPr>
        <w:t>• Do not have access to any other vehicles in the household; and</w:t>
      </w:r>
    </w:p>
    <w:p w14:paraId="14D0A097" w14:textId="2BEDBCD8" w:rsidR="007B4F9D" w:rsidRPr="004A0C12" w:rsidRDefault="007B4F9D" w:rsidP="00AD2026">
      <w:pPr>
        <w:spacing w:after="100" w:line="240" w:lineRule="auto"/>
        <w:rPr>
          <w:rFonts w:ascii="Garamond" w:hAnsi="Garamond"/>
        </w:rPr>
      </w:pPr>
      <w:r w:rsidRPr="004A0C12">
        <w:rPr>
          <w:rFonts w:ascii="Garamond" w:eastAsia="Times New Roman" w:hAnsi="Garamond" w:cs="Times New Roman"/>
          <w:color w:val="000000"/>
        </w:rPr>
        <w:t>• Must not have an extensive number of points (&gt;5) on their driving record</w:t>
      </w:r>
    </w:p>
    <w:p w14:paraId="11444785" w14:textId="3289205D" w:rsidR="00DC6812" w:rsidRPr="00307FCC" w:rsidRDefault="004705C8" w:rsidP="00B17F00">
      <w:pPr>
        <w:pStyle w:val="Heading1"/>
        <w:rPr>
          <w:rFonts w:ascii="Garamond" w:hAnsi="Garamond"/>
          <w:sz w:val="24"/>
          <w:szCs w:val="22"/>
        </w:rPr>
      </w:pPr>
      <w:bookmarkStart w:id="244" w:name="_Toc447276268"/>
      <w:r w:rsidRPr="00307FCC">
        <w:rPr>
          <w:rFonts w:ascii="Garamond" w:hAnsi="Garamond"/>
          <w:sz w:val="24"/>
          <w:szCs w:val="22"/>
        </w:rPr>
        <w:t>PROGRAMS FUNDED BY SEGREGATED FEDERAL TANF FUNDS</w:t>
      </w:r>
      <w:bookmarkEnd w:id="244"/>
      <w:r w:rsidRPr="00307FCC">
        <w:rPr>
          <w:rFonts w:ascii="Garamond" w:hAnsi="Garamond"/>
          <w:sz w:val="24"/>
          <w:szCs w:val="22"/>
        </w:rPr>
        <w:t xml:space="preserve"> </w:t>
      </w:r>
    </w:p>
    <w:p w14:paraId="248F4DB6" w14:textId="1C8ABC6E" w:rsidR="004705C8" w:rsidRPr="004A0C12" w:rsidRDefault="004705C8" w:rsidP="004705C8">
      <w:pPr>
        <w:pStyle w:val="BodyText"/>
        <w:spacing w:after="0"/>
        <w:jc w:val="both"/>
        <w:rPr>
          <w:rFonts w:ascii="Garamond" w:hAnsi="Garamond" w:cs="Times New Roman"/>
        </w:rPr>
      </w:pPr>
      <w:r w:rsidRPr="004A0C12">
        <w:rPr>
          <w:rFonts w:ascii="Garamond" w:hAnsi="Garamond" w:cs="Times New Roman"/>
        </w:rPr>
        <w:t>Maryland has developed a broad array of services to families and children that are reasonably calculated to accomplish the third and fourth purposes</w:t>
      </w:r>
      <w:r w:rsidR="00297312" w:rsidRPr="004A0C12">
        <w:rPr>
          <w:rStyle w:val="FootnoteReference"/>
          <w:rFonts w:ascii="Garamond" w:hAnsi="Garamond" w:cs="Times New Roman"/>
        </w:rPr>
        <w:footnoteReference w:id="55"/>
      </w:r>
      <w:r w:rsidRPr="004A0C12">
        <w:rPr>
          <w:rFonts w:ascii="Garamond" w:hAnsi="Garamond" w:cs="Times New Roman"/>
        </w:rPr>
        <w:t xml:space="preserve"> </w:t>
      </w:r>
      <w:r w:rsidR="00DC6812" w:rsidRPr="004A0C12">
        <w:rPr>
          <w:rFonts w:ascii="Garamond" w:hAnsi="Garamond" w:cs="Times New Roman"/>
        </w:rPr>
        <w:t xml:space="preserve">of the TANF law. </w:t>
      </w:r>
      <w:r w:rsidRPr="004A0C12">
        <w:rPr>
          <w:rFonts w:ascii="Garamond" w:hAnsi="Garamond" w:cs="Times New Roman"/>
          <w:bCs/>
        </w:rPr>
        <w:t>These</w:t>
      </w:r>
      <w:r w:rsidR="00DC6812" w:rsidRPr="004A0C12">
        <w:rPr>
          <w:rFonts w:ascii="Garamond" w:hAnsi="Garamond" w:cs="Times New Roman"/>
          <w:bCs/>
        </w:rPr>
        <w:t xml:space="preserve"> programs are not means tested </w:t>
      </w:r>
      <w:r w:rsidRPr="004A0C12">
        <w:rPr>
          <w:rFonts w:ascii="Garamond" w:hAnsi="Garamond" w:cs="Times New Roman"/>
        </w:rPr>
        <w:t>(Maryland has designed these programs to be as effec</w:t>
      </w:r>
      <w:r w:rsidR="00DC6812" w:rsidRPr="004A0C12">
        <w:rPr>
          <w:rFonts w:ascii="Garamond" w:hAnsi="Garamond" w:cs="Times New Roman"/>
        </w:rPr>
        <w:t>tive and efficient as possible.</w:t>
      </w:r>
      <w:r w:rsidRPr="004A0C12">
        <w:rPr>
          <w:rFonts w:ascii="Garamond" w:hAnsi="Garamond" w:cs="Times New Roman"/>
        </w:rPr>
        <w:t xml:space="preserve"> This has the effect that certain specific services and/or beneficiaries of some of the services of some of these programs may not be el</w:t>
      </w:r>
      <w:r w:rsidR="00DC6812" w:rsidRPr="004A0C12">
        <w:rPr>
          <w:rFonts w:ascii="Garamond" w:hAnsi="Garamond" w:cs="Times New Roman"/>
        </w:rPr>
        <w:t>igible for federal TANF or MOE.</w:t>
      </w:r>
      <w:r w:rsidRPr="004A0C12">
        <w:rPr>
          <w:rFonts w:ascii="Garamond" w:hAnsi="Garamond" w:cs="Times New Roman"/>
        </w:rPr>
        <w:t xml:space="preserve"> Maryland will determine the exact amount using the appropriate federal mechanisms outlined</w:t>
      </w:r>
      <w:r w:rsidR="00DC6812" w:rsidRPr="004A0C12">
        <w:rPr>
          <w:rFonts w:ascii="Garamond" w:hAnsi="Garamond" w:cs="Times New Roman"/>
        </w:rPr>
        <w:t xml:space="preserve"> it its Cost Allocation Plan.). </w:t>
      </w:r>
      <w:r w:rsidRPr="004A0C12">
        <w:rPr>
          <w:rFonts w:ascii="Garamond" w:hAnsi="Garamond" w:cs="Times New Roman"/>
        </w:rPr>
        <w:t>These programs provide non-assistance.</w:t>
      </w:r>
    </w:p>
    <w:p w14:paraId="28A508D9" w14:textId="77777777" w:rsidR="004705C8" w:rsidRPr="004A0C12" w:rsidRDefault="004705C8" w:rsidP="004705C8">
      <w:pPr>
        <w:pStyle w:val="BodyText"/>
        <w:spacing w:after="0"/>
        <w:jc w:val="both"/>
        <w:rPr>
          <w:rFonts w:ascii="Garamond" w:hAnsi="Garamond" w:cs="Times New Roman"/>
          <w:b/>
        </w:rPr>
      </w:pPr>
    </w:p>
    <w:p w14:paraId="424255D9" w14:textId="77777777" w:rsidR="00902C29" w:rsidRPr="00307FCC" w:rsidRDefault="004705C8" w:rsidP="00DC6812">
      <w:pPr>
        <w:tabs>
          <w:tab w:val="left" w:pos="360"/>
        </w:tabs>
        <w:autoSpaceDE w:val="0"/>
        <w:autoSpaceDN w:val="0"/>
        <w:adjustRightInd w:val="0"/>
        <w:spacing w:after="0" w:line="240" w:lineRule="auto"/>
        <w:jc w:val="both"/>
        <w:rPr>
          <w:rFonts w:ascii="Garamond" w:hAnsi="Garamond" w:cs="Times New Roman"/>
          <w:sz w:val="24"/>
        </w:rPr>
      </w:pPr>
      <w:r w:rsidRPr="00307FCC">
        <w:rPr>
          <w:rStyle w:val="Heading4Char"/>
          <w:rFonts w:ascii="Garamond" w:hAnsi="Garamond"/>
          <w:sz w:val="24"/>
        </w:rPr>
        <w:t>Adolescent Pregnancy Prevention</w:t>
      </w:r>
    </w:p>
    <w:p w14:paraId="5E513C7B" w14:textId="05E43EED" w:rsidR="004705C8" w:rsidRPr="004A0C12" w:rsidRDefault="004705C8" w:rsidP="00DC6812">
      <w:pPr>
        <w:tabs>
          <w:tab w:val="left" w:pos="360"/>
        </w:tabs>
        <w:autoSpaceDE w:val="0"/>
        <w:autoSpaceDN w:val="0"/>
        <w:adjustRightInd w:val="0"/>
        <w:spacing w:after="0" w:line="240" w:lineRule="auto"/>
        <w:jc w:val="both"/>
        <w:rPr>
          <w:rFonts w:ascii="Garamond" w:hAnsi="Garamond" w:cs="Times New Roman"/>
        </w:rPr>
      </w:pPr>
      <w:r w:rsidRPr="004A0C12">
        <w:rPr>
          <w:rFonts w:ascii="Garamond" w:hAnsi="Garamond" w:cs="Times New Roman"/>
        </w:rPr>
        <w:t xml:space="preserve">The Governor’s Office for Children provides funding for initiatives </w:t>
      </w:r>
      <w:r w:rsidR="00BC5F4A" w:rsidRPr="004A0C12">
        <w:rPr>
          <w:rFonts w:ascii="Garamond" w:hAnsi="Garamond" w:cs="Times New Roman"/>
        </w:rPr>
        <w:t>and/or training throughout the S</w:t>
      </w:r>
      <w:r w:rsidRPr="004A0C12">
        <w:rPr>
          <w:rFonts w:ascii="Garamond" w:hAnsi="Garamond" w:cs="Times New Roman"/>
        </w:rPr>
        <w:t xml:space="preserve">tate that focus on teen pregnancy </w:t>
      </w:r>
      <w:r w:rsidR="00BC5F4A" w:rsidRPr="004A0C12">
        <w:rPr>
          <w:rFonts w:ascii="Garamond" w:hAnsi="Garamond" w:cs="Times New Roman"/>
        </w:rPr>
        <w:t>prevention and/or intervention.</w:t>
      </w:r>
      <w:r w:rsidRPr="004A0C12">
        <w:rPr>
          <w:rFonts w:ascii="Garamond" w:hAnsi="Garamond" w:cs="Times New Roman"/>
        </w:rPr>
        <w:t xml:space="preserve"> The program’s main goal is to prevent adolescent pregnancies, which will subsequently prevent and reduce the inci</w:t>
      </w:r>
      <w:r w:rsidR="00BC5F4A" w:rsidRPr="004A0C12">
        <w:rPr>
          <w:rFonts w:ascii="Garamond" w:hAnsi="Garamond" w:cs="Times New Roman"/>
        </w:rPr>
        <w:t>dence of out-of-wedlock births.</w:t>
      </w:r>
      <w:r w:rsidRPr="004A0C12">
        <w:rPr>
          <w:rFonts w:ascii="Garamond" w:hAnsi="Garamond" w:cs="Times New Roman"/>
        </w:rPr>
        <w:t xml:space="preserve"> The program includes initiatives that provide parenting skills and promote responsible fatherhood.  The program serves pre-adolescents, teenagers, parents, educators</w:t>
      </w:r>
      <w:r w:rsidR="00BC5F4A" w:rsidRPr="004A0C12">
        <w:rPr>
          <w:rFonts w:ascii="Garamond" w:hAnsi="Garamond" w:cs="Times New Roman"/>
        </w:rPr>
        <w:t>,</w:t>
      </w:r>
      <w:r w:rsidRPr="004A0C12">
        <w:rPr>
          <w:rFonts w:ascii="Garamond" w:hAnsi="Garamond" w:cs="Times New Roman"/>
        </w:rPr>
        <w:t xml:space="preserve"> and counselors, according</w:t>
      </w:r>
      <w:r w:rsidR="00BC5F4A" w:rsidRPr="004A0C12">
        <w:rPr>
          <w:rFonts w:ascii="Garamond" w:hAnsi="Garamond" w:cs="Times New Roman"/>
        </w:rPr>
        <w:t xml:space="preserve"> to specific program criteria. </w:t>
      </w:r>
      <w:r w:rsidRPr="004A0C12">
        <w:rPr>
          <w:rFonts w:ascii="Garamond" w:hAnsi="Garamond" w:cs="Times New Roman"/>
        </w:rPr>
        <w:t xml:space="preserve">This program provides non-assistance.  </w:t>
      </w:r>
    </w:p>
    <w:p w14:paraId="6D8A17BE" w14:textId="77777777" w:rsidR="004705C8" w:rsidRPr="004A0C12" w:rsidRDefault="004705C8" w:rsidP="004705C8">
      <w:pPr>
        <w:tabs>
          <w:tab w:val="left" w:pos="360"/>
        </w:tabs>
        <w:autoSpaceDE w:val="0"/>
        <w:autoSpaceDN w:val="0"/>
        <w:adjustRightInd w:val="0"/>
        <w:spacing w:after="0" w:line="240" w:lineRule="auto"/>
        <w:ind w:left="360"/>
        <w:jc w:val="both"/>
        <w:rPr>
          <w:rFonts w:ascii="Garamond" w:hAnsi="Garamond" w:cs="Times New Roman"/>
        </w:rPr>
      </w:pPr>
    </w:p>
    <w:p w14:paraId="0F569A2E" w14:textId="77777777" w:rsidR="00902C29" w:rsidRPr="00307FCC" w:rsidRDefault="004705C8" w:rsidP="00BC5F4A">
      <w:pPr>
        <w:widowControl w:val="0"/>
        <w:tabs>
          <w:tab w:val="left" w:pos="360"/>
        </w:tabs>
        <w:spacing w:after="0" w:line="240" w:lineRule="auto"/>
        <w:jc w:val="both"/>
        <w:rPr>
          <w:rFonts w:ascii="Garamond" w:hAnsi="Garamond" w:cs="Times New Roman"/>
          <w:sz w:val="24"/>
        </w:rPr>
      </w:pPr>
      <w:r w:rsidRPr="00307FCC">
        <w:rPr>
          <w:rStyle w:val="Heading4Char"/>
          <w:rFonts w:ascii="Garamond" w:hAnsi="Garamond"/>
          <w:sz w:val="24"/>
        </w:rPr>
        <w:t>Maryland’s Tomorrow</w:t>
      </w:r>
      <w:r w:rsidR="00902C29" w:rsidRPr="00307FCC">
        <w:rPr>
          <w:rFonts w:ascii="Garamond" w:hAnsi="Garamond" w:cs="Times New Roman"/>
          <w:sz w:val="24"/>
        </w:rPr>
        <w:t xml:space="preserve"> </w:t>
      </w:r>
    </w:p>
    <w:p w14:paraId="65BDC4CA" w14:textId="08657E80" w:rsidR="004705C8" w:rsidRPr="004A0C12" w:rsidRDefault="004705C8" w:rsidP="00BC5F4A">
      <w:pPr>
        <w:widowControl w:val="0"/>
        <w:tabs>
          <w:tab w:val="left" w:pos="360"/>
        </w:tabs>
        <w:spacing w:after="0" w:line="240" w:lineRule="auto"/>
        <w:jc w:val="both"/>
        <w:rPr>
          <w:rFonts w:ascii="Garamond" w:hAnsi="Garamond" w:cs="Times New Roman"/>
        </w:rPr>
      </w:pPr>
      <w:r w:rsidRPr="004A0C12">
        <w:rPr>
          <w:rFonts w:ascii="Garamond" w:hAnsi="Garamond" w:cs="Times New Roman"/>
        </w:rPr>
        <w:t xml:space="preserve">Maryland’s Tomorrow is a statewide dropout prevention program operating in 70 high schools across the State (all jurisdictions </w:t>
      </w:r>
      <w:r w:rsidRPr="004A0C12">
        <w:rPr>
          <w:rFonts w:ascii="Garamond" w:hAnsi="Garamond" w:cs="Times New Roman"/>
        </w:rPr>
        <w:lastRenderedPageBreak/>
        <w:t xml:space="preserve">are covered) and 23 middle </w:t>
      </w:r>
      <w:r w:rsidR="00BC5F4A" w:rsidRPr="004A0C12">
        <w:rPr>
          <w:rFonts w:ascii="Garamond" w:hAnsi="Garamond" w:cs="Times New Roman"/>
        </w:rPr>
        <w:t xml:space="preserve">schools in nine jurisdictions. </w:t>
      </w:r>
      <w:r w:rsidRPr="004A0C12">
        <w:rPr>
          <w:rFonts w:ascii="Garamond" w:hAnsi="Garamond" w:cs="Times New Roman"/>
        </w:rPr>
        <w:t>The purposes of the program are to</w:t>
      </w:r>
      <w:r w:rsidR="00BC5F4A" w:rsidRPr="004A0C12">
        <w:rPr>
          <w:rFonts w:ascii="Garamond" w:hAnsi="Garamond" w:cs="Times New Roman"/>
        </w:rPr>
        <w:t>: (1)</w:t>
      </w:r>
      <w:r w:rsidRPr="004A0C12">
        <w:rPr>
          <w:rFonts w:ascii="Garamond" w:hAnsi="Garamond" w:cs="Times New Roman"/>
        </w:rPr>
        <w:t xml:space="preserve"> prevent and reduce out-of-wedlock pregnancies and improve the self-esteem, attendance, school performance, promotion rate, and behavior of at-risk students in grades six through twelve</w:t>
      </w:r>
      <w:r w:rsidR="00BC5F4A" w:rsidRPr="004A0C12">
        <w:rPr>
          <w:rFonts w:ascii="Garamond" w:hAnsi="Garamond" w:cs="Times New Roman"/>
        </w:rPr>
        <w:t>; and, (2)</w:t>
      </w:r>
      <w:r w:rsidRPr="004A0C12">
        <w:rPr>
          <w:rFonts w:ascii="Garamond" w:hAnsi="Garamond" w:cs="Times New Roman"/>
        </w:rPr>
        <w:t xml:space="preserve"> to motivate them to succeed in high school, make wise career choices, and continue their education and training.</w:t>
      </w:r>
    </w:p>
    <w:p w14:paraId="3C336175" w14:textId="77777777" w:rsidR="004705C8" w:rsidRPr="004A0C12" w:rsidRDefault="004705C8" w:rsidP="004705C8">
      <w:pPr>
        <w:widowControl w:val="0"/>
        <w:tabs>
          <w:tab w:val="left" w:pos="360"/>
        </w:tabs>
        <w:spacing w:after="0" w:line="240" w:lineRule="auto"/>
        <w:ind w:left="360"/>
        <w:jc w:val="both"/>
        <w:rPr>
          <w:rFonts w:ascii="Garamond" w:hAnsi="Garamond" w:cs="Times New Roman"/>
        </w:rPr>
      </w:pPr>
    </w:p>
    <w:p w14:paraId="1A2EAACF" w14:textId="77777777" w:rsidR="004705C8" w:rsidRPr="004A0C12" w:rsidRDefault="004705C8" w:rsidP="00BC5F4A">
      <w:pPr>
        <w:pStyle w:val="BodyTextIndent"/>
        <w:tabs>
          <w:tab w:val="left" w:pos="-450"/>
          <w:tab w:val="left" w:pos="-180"/>
        </w:tabs>
        <w:spacing w:after="0"/>
        <w:ind w:left="0"/>
        <w:jc w:val="both"/>
        <w:rPr>
          <w:rFonts w:ascii="Garamond" w:hAnsi="Garamond" w:cs="Times New Roman"/>
        </w:rPr>
      </w:pPr>
      <w:r w:rsidRPr="004A0C12">
        <w:rPr>
          <w:rFonts w:ascii="Garamond" w:hAnsi="Garamond" w:cs="Times New Roman"/>
        </w:rPr>
        <w:t>Case managers visit elementary schools and identify students who meet at least one of the following criteria (there is no monetary criteria):</w:t>
      </w:r>
    </w:p>
    <w:p w14:paraId="23119437" w14:textId="77777777" w:rsidR="00BC5F4A" w:rsidRPr="004A0C12" w:rsidRDefault="00BC5F4A" w:rsidP="00BC5F4A">
      <w:pPr>
        <w:pStyle w:val="BodyTextIndent"/>
        <w:tabs>
          <w:tab w:val="left" w:pos="-450"/>
          <w:tab w:val="left" w:pos="-180"/>
        </w:tabs>
        <w:spacing w:after="0"/>
        <w:ind w:left="0"/>
        <w:jc w:val="both"/>
        <w:rPr>
          <w:rFonts w:ascii="Garamond" w:hAnsi="Garamond" w:cs="Times New Roman"/>
          <w:b/>
        </w:rPr>
      </w:pPr>
    </w:p>
    <w:p w14:paraId="0B5B90DB" w14:textId="746FB801" w:rsidR="004705C8" w:rsidRPr="004A0C12" w:rsidRDefault="004705C8" w:rsidP="00232F09">
      <w:pPr>
        <w:pStyle w:val="BodyTextIndent"/>
        <w:widowControl w:val="0"/>
        <w:numPr>
          <w:ilvl w:val="0"/>
          <w:numId w:val="183"/>
        </w:numPr>
        <w:tabs>
          <w:tab w:val="left" w:pos="-540"/>
          <w:tab w:val="left" w:pos="-180"/>
        </w:tabs>
        <w:suppressAutoHyphens/>
        <w:spacing w:after="0"/>
        <w:ind w:left="720"/>
        <w:jc w:val="both"/>
        <w:rPr>
          <w:rFonts w:ascii="Garamond" w:hAnsi="Garamond" w:cs="Times New Roman"/>
          <w:b/>
        </w:rPr>
      </w:pPr>
      <w:r w:rsidRPr="004A0C12">
        <w:rPr>
          <w:rFonts w:ascii="Garamond" w:hAnsi="Garamond" w:cs="Times New Roman"/>
        </w:rPr>
        <w:t>Low achievement on standardized tests</w:t>
      </w:r>
      <w:r w:rsidR="00BC5F4A" w:rsidRPr="004A0C12">
        <w:rPr>
          <w:rFonts w:ascii="Garamond" w:hAnsi="Garamond" w:cs="Times New Roman"/>
        </w:rPr>
        <w:t>;</w:t>
      </w:r>
    </w:p>
    <w:p w14:paraId="52D0EA3D" w14:textId="7CF2E529" w:rsidR="004705C8" w:rsidRPr="004A0C12" w:rsidRDefault="004705C8" w:rsidP="00232F09">
      <w:pPr>
        <w:pStyle w:val="BodyTextIndent"/>
        <w:widowControl w:val="0"/>
        <w:numPr>
          <w:ilvl w:val="0"/>
          <w:numId w:val="183"/>
        </w:numPr>
        <w:tabs>
          <w:tab w:val="left" w:pos="-630"/>
          <w:tab w:val="left" w:pos="-270"/>
          <w:tab w:val="left" w:pos="0"/>
        </w:tabs>
        <w:suppressAutoHyphens/>
        <w:spacing w:after="0"/>
        <w:ind w:left="720"/>
        <w:jc w:val="both"/>
        <w:rPr>
          <w:rFonts w:ascii="Garamond" w:hAnsi="Garamond" w:cs="Times New Roman"/>
          <w:b/>
        </w:rPr>
      </w:pPr>
      <w:r w:rsidRPr="004A0C12">
        <w:rPr>
          <w:rFonts w:ascii="Garamond" w:hAnsi="Garamond" w:cs="Times New Roman"/>
        </w:rPr>
        <w:t>Prior grade retention</w:t>
      </w:r>
      <w:r w:rsidR="00BC5F4A" w:rsidRPr="004A0C12">
        <w:rPr>
          <w:rFonts w:ascii="Garamond" w:hAnsi="Garamond" w:cs="Times New Roman"/>
        </w:rPr>
        <w:t>;</w:t>
      </w:r>
    </w:p>
    <w:p w14:paraId="33B70758" w14:textId="77777777" w:rsidR="004705C8" w:rsidRPr="004A0C12" w:rsidRDefault="004705C8" w:rsidP="00232F09">
      <w:pPr>
        <w:pStyle w:val="BodyTextIndent"/>
        <w:widowControl w:val="0"/>
        <w:numPr>
          <w:ilvl w:val="0"/>
          <w:numId w:val="183"/>
        </w:numPr>
        <w:tabs>
          <w:tab w:val="left" w:pos="-630"/>
          <w:tab w:val="left" w:pos="0"/>
        </w:tabs>
        <w:suppressAutoHyphens/>
        <w:spacing w:after="0"/>
        <w:ind w:left="720"/>
        <w:jc w:val="both"/>
        <w:rPr>
          <w:rFonts w:ascii="Garamond" w:hAnsi="Garamond" w:cs="Times New Roman"/>
          <w:b/>
        </w:rPr>
      </w:pPr>
      <w:r w:rsidRPr="004A0C12">
        <w:rPr>
          <w:rFonts w:ascii="Garamond" w:hAnsi="Garamond" w:cs="Times New Roman"/>
        </w:rPr>
        <w:t>Poor attendance; or</w:t>
      </w:r>
    </w:p>
    <w:p w14:paraId="0FA18500" w14:textId="0D4E5E31" w:rsidR="004705C8" w:rsidRPr="004A0C12" w:rsidRDefault="004705C8" w:rsidP="00232F09">
      <w:pPr>
        <w:pStyle w:val="BodyTextIndent"/>
        <w:widowControl w:val="0"/>
        <w:numPr>
          <w:ilvl w:val="0"/>
          <w:numId w:val="183"/>
        </w:numPr>
        <w:tabs>
          <w:tab w:val="left" w:pos="-810"/>
          <w:tab w:val="left" w:pos="0"/>
        </w:tabs>
        <w:suppressAutoHyphens/>
        <w:spacing w:after="0"/>
        <w:ind w:left="720"/>
        <w:jc w:val="both"/>
        <w:rPr>
          <w:rFonts w:ascii="Garamond" w:hAnsi="Garamond" w:cs="Times New Roman"/>
          <w:b/>
        </w:rPr>
      </w:pPr>
      <w:r w:rsidRPr="004A0C12">
        <w:rPr>
          <w:rFonts w:ascii="Garamond" w:hAnsi="Garamond" w:cs="Times New Roman"/>
        </w:rPr>
        <w:t>A GPA of less than 2.0</w:t>
      </w:r>
      <w:r w:rsidR="00BC5F4A" w:rsidRPr="004A0C12">
        <w:rPr>
          <w:rFonts w:ascii="Garamond" w:hAnsi="Garamond" w:cs="Times New Roman"/>
        </w:rPr>
        <w:t>.</w:t>
      </w:r>
    </w:p>
    <w:p w14:paraId="42781629" w14:textId="77777777" w:rsidR="004705C8" w:rsidRPr="004A0C12" w:rsidRDefault="004705C8" w:rsidP="004705C8">
      <w:pPr>
        <w:pStyle w:val="BodyTextIndent"/>
        <w:spacing w:after="0"/>
        <w:jc w:val="both"/>
        <w:rPr>
          <w:rFonts w:ascii="Garamond" w:hAnsi="Garamond" w:cs="Times New Roman"/>
          <w:b/>
        </w:rPr>
      </w:pPr>
    </w:p>
    <w:p w14:paraId="13F6EF79" w14:textId="43B3B03A" w:rsidR="004705C8" w:rsidRPr="004A0C12" w:rsidRDefault="004705C8" w:rsidP="00BC5F4A">
      <w:pPr>
        <w:pStyle w:val="BodyTextIndent"/>
        <w:tabs>
          <w:tab w:val="left" w:pos="-270"/>
        </w:tabs>
        <w:spacing w:after="0"/>
        <w:ind w:left="0"/>
        <w:jc w:val="both"/>
        <w:rPr>
          <w:rFonts w:ascii="Garamond" w:hAnsi="Garamond" w:cs="Times New Roman"/>
        </w:rPr>
      </w:pPr>
      <w:r w:rsidRPr="004A0C12">
        <w:rPr>
          <w:rFonts w:ascii="Garamond" w:hAnsi="Garamond" w:cs="Times New Roman"/>
        </w:rPr>
        <w:t xml:space="preserve">Programs are arranged during the summer </w:t>
      </w:r>
      <w:r w:rsidR="00BC5F4A" w:rsidRPr="004A0C12">
        <w:rPr>
          <w:rFonts w:ascii="Garamond" w:hAnsi="Garamond" w:cs="Times New Roman"/>
        </w:rPr>
        <w:t xml:space="preserve">between fifth and sixth grade. </w:t>
      </w:r>
      <w:r w:rsidRPr="004A0C12">
        <w:rPr>
          <w:rFonts w:ascii="Garamond" w:hAnsi="Garamond" w:cs="Times New Roman"/>
        </w:rPr>
        <w:t xml:space="preserve">This approach is also used for eighth graders </w:t>
      </w:r>
      <w:r w:rsidR="00BC5F4A" w:rsidRPr="004A0C12">
        <w:rPr>
          <w:rFonts w:ascii="Garamond" w:hAnsi="Garamond" w:cs="Times New Roman"/>
        </w:rPr>
        <w:t>who are going into high school.</w:t>
      </w:r>
      <w:r w:rsidRPr="004A0C12">
        <w:rPr>
          <w:rFonts w:ascii="Garamond" w:hAnsi="Garamond" w:cs="Times New Roman"/>
        </w:rPr>
        <w:t xml:space="preserve"> Local school systems c</w:t>
      </w:r>
      <w:r w:rsidR="00BC5F4A" w:rsidRPr="004A0C12">
        <w:rPr>
          <w:rFonts w:ascii="Garamond" w:hAnsi="Garamond" w:cs="Times New Roman"/>
        </w:rPr>
        <w:t>an choose different approaches.</w:t>
      </w:r>
      <w:r w:rsidRPr="004A0C12">
        <w:rPr>
          <w:rFonts w:ascii="Garamond" w:hAnsi="Garamond" w:cs="Times New Roman"/>
        </w:rPr>
        <w:t xml:space="preserve"> Services can include after school tutoring and computer assisted instruction, daily help with homework, student-operated businesses, jobs in the school community, weekly service learning, wellness activities, rewards</w:t>
      </w:r>
      <w:r w:rsidR="00BC5F4A" w:rsidRPr="004A0C12">
        <w:rPr>
          <w:rFonts w:ascii="Garamond" w:hAnsi="Garamond" w:cs="Times New Roman"/>
        </w:rPr>
        <w:t>,</w:t>
      </w:r>
      <w:r w:rsidRPr="004A0C12">
        <w:rPr>
          <w:rFonts w:ascii="Garamond" w:hAnsi="Garamond" w:cs="Times New Roman"/>
        </w:rPr>
        <w:t xml:space="preserve"> and incentives.  Activities may involve famili</w:t>
      </w:r>
      <w:r w:rsidR="00BC5F4A" w:rsidRPr="004A0C12">
        <w:rPr>
          <w:rFonts w:ascii="Garamond" w:hAnsi="Garamond" w:cs="Times New Roman"/>
        </w:rPr>
        <w:t>es, businesses and communities.</w:t>
      </w:r>
      <w:r w:rsidRPr="004A0C12">
        <w:rPr>
          <w:rFonts w:ascii="Garamond" w:hAnsi="Garamond" w:cs="Times New Roman"/>
        </w:rPr>
        <w:t xml:space="preserve"> This program provides non-assistance.</w:t>
      </w:r>
    </w:p>
    <w:p w14:paraId="034DC0DD" w14:textId="77777777" w:rsidR="004705C8" w:rsidRPr="00307FCC" w:rsidRDefault="004705C8" w:rsidP="004705C8">
      <w:pPr>
        <w:pStyle w:val="BodyTextIndent"/>
        <w:widowControl w:val="0"/>
        <w:tabs>
          <w:tab w:val="left" w:pos="-180"/>
          <w:tab w:val="left" w:pos="0"/>
        </w:tabs>
        <w:suppressAutoHyphens/>
        <w:spacing w:after="0"/>
        <w:jc w:val="both"/>
        <w:rPr>
          <w:rFonts w:ascii="Garamond" w:hAnsi="Garamond" w:cs="Times New Roman"/>
          <w:sz w:val="24"/>
          <w:u w:val="single"/>
        </w:rPr>
      </w:pPr>
    </w:p>
    <w:p w14:paraId="772D8EE7" w14:textId="77777777" w:rsidR="00902C29" w:rsidRPr="00307FCC" w:rsidRDefault="004705C8" w:rsidP="00297312">
      <w:pPr>
        <w:pStyle w:val="BodyTextIndent"/>
        <w:widowControl w:val="0"/>
        <w:tabs>
          <w:tab w:val="left" w:pos="-180"/>
          <w:tab w:val="left" w:pos="0"/>
        </w:tabs>
        <w:suppressAutoHyphens/>
        <w:spacing w:after="0"/>
        <w:ind w:left="0"/>
        <w:jc w:val="both"/>
        <w:rPr>
          <w:rFonts w:ascii="Garamond" w:hAnsi="Garamond" w:cs="Times New Roman"/>
          <w:sz w:val="24"/>
        </w:rPr>
      </w:pPr>
      <w:r w:rsidRPr="00307FCC">
        <w:rPr>
          <w:rStyle w:val="Heading4Char"/>
          <w:rFonts w:ascii="Garamond" w:hAnsi="Garamond"/>
          <w:sz w:val="24"/>
        </w:rPr>
        <w:t>Home Visiting</w:t>
      </w:r>
    </w:p>
    <w:p w14:paraId="06A39763" w14:textId="29D03253" w:rsidR="004705C8" w:rsidRPr="004A0C12" w:rsidRDefault="004705C8" w:rsidP="00297312">
      <w:pPr>
        <w:pStyle w:val="BodyTextIndent"/>
        <w:widowControl w:val="0"/>
        <w:tabs>
          <w:tab w:val="left" w:pos="-180"/>
          <w:tab w:val="left" w:pos="0"/>
        </w:tabs>
        <w:suppressAutoHyphens/>
        <w:spacing w:after="0"/>
        <w:ind w:left="0"/>
        <w:jc w:val="both"/>
        <w:rPr>
          <w:rFonts w:ascii="Garamond" w:hAnsi="Garamond" w:cs="Times New Roman"/>
          <w:b/>
        </w:rPr>
      </w:pPr>
      <w:r w:rsidRPr="004A0C12">
        <w:rPr>
          <w:rFonts w:ascii="Garamond" w:hAnsi="Garamond" w:cs="Times New Roman"/>
        </w:rPr>
        <w:t>This program provides home visitation and on-site services to families</w:t>
      </w:r>
      <w:r w:rsidR="00BC5F4A" w:rsidRPr="004A0C12">
        <w:rPr>
          <w:rFonts w:ascii="Garamond" w:hAnsi="Garamond" w:cs="Times New Roman"/>
        </w:rPr>
        <w:t>,</w:t>
      </w:r>
      <w:r w:rsidRPr="004A0C12">
        <w:rPr>
          <w:rFonts w:ascii="Garamond" w:hAnsi="Garamond" w:cs="Times New Roman"/>
        </w:rPr>
        <w:t xml:space="preserve"> such as parenting education, family pla</w:t>
      </w:r>
      <w:r w:rsidR="00BC5F4A" w:rsidRPr="004A0C12">
        <w:rPr>
          <w:rFonts w:ascii="Garamond" w:hAnsi="Garamond" w:cs="Times New Roman"/>
        </w:rPr>
        <w:t>nning, and employment services.</w:t>
      </w:r>
      <w:r w:rsidRPr="004A0C12">
        <w:rPr>
          <w:rFonts w:ascii="Garamond" w:hAnsi="Garamond" w:cs="Times New Roman"/>
        </w:rPr>
        <w:t xml:space="preserve"> The program’s main goal is to reduce subsequent out-of-wedlock pregnancies among participants throu</w:t>
      </w:r>
      <w:r w:rsidR="00BC5F4A" w:rsidRPr="004A0C12">
        <w:rPr>
          <w:rFonts w:ascii="Garamond" w:hAnsi="Garamond" w:cs="Times New Roman"/>
        </w:rPr>
        <w:t xml:space="preserve">gh family planning counseling. </w:t>
      </w:r>
      <w:r w:rsidRPr="004A0C12">
        <w:rPr>
          <w:rFonts w:ascii="Garamond" w:hAnsi="Garamond" w:cs="Times New Roman"/>
        </w:rPr>
        <w:t>The program serves clients over age sixteen who a</w:t>
      </w:r>
      <w:r w:rsidR="00BC5F4A" w:rsidRPr="004A0C12">
        <w:rPr>
          <w:rFonts w:ascii="Garamond" w:hAnsi="Garamond" w:cs="Times New Roman"/>
        </w:rPr>
        <w:t xml:space="preserve">re expecting their first child. </w:t>
      </w:r>
      <w:r w:rsidRPr="004A0C12">
        <w:rPr>
          <w:rFonts w:ascii="Garamond" w:hAnsi="Garamond" w:cs="Times New Roman"/>
        </w:rPr>
        <w:t>Both parents must be involved in this program, which is also designed to prevent interg</w:t>
      </w:r>
      <w:r w:rsidR="00BC5F4A" w:rsidRPr="004A0C12">
        <w:rPr>
          <w:rFonts w:ascii="Garamond" w:hAnsi="Garamond" w:cs="Times New Roman"/>
        </w:rPr>
        <w:t>enerational welfare dependency.</w:t>
      </w:r>
      <w:r w:rsidRPr="004A0C12">
        <w:rPr>
          <w:rFonts w:ascii="Garamond" w:hAnsi="Garamond" w:cs="Times New Roman"/>
        </w:rPr>
        <w:t xml:space="preserve"> This program provides non-assistance.</w:t>
      </w:r>
    </w:p>
    <w:p w14:paraId="6FD4E179" w14:textId="77777777" w:rsidR="00297312" w:rsidRPr="004A0C12" w:rsidRDefault="00297312" w:rsidP="00297312">
      <w:pPr>
        <w:pStyle w:val="BodyTextIndent"/>
        <w:widowControl w:val="0"/>
        <w:tabs>
          <w:tab w:val="left" w:pos="-180"/>
          <w:tab w:val="left" w:pos="0"/>
        </w:tabs>
        <w:suppressAutoHyphens/>
        <w:spacing w:after="0"/>
        <w:ind w:left="0"/>
        <w:jc w:val="both"/>
        <w:rPr>
          <w:rFonts w:ascii="Garamond" w:hAnsi="Garamond" w:cs="Times New Roman"/>
          <w:b/>
        </w:rPr>
      </w:pPr>
    </w:p>
    <w:p w14:paraId="72108E78" w14:textId="77777777" w:rsidR="00902C29" w:rsidRPr="00307FCC" w:rsidRDefault="004705C8" w:rsidP="002B08E3">
      <w:pPr>
        <w:widowControl w:val="0"/>
        <w:spacing w:after="0" w:line="240" w:lineRule="auto"/>
        <w:jc w:val="both"/>
        <w:rPr>
          <w:rFonts w:ascii="Garamond" w:hAnsi="Garamond" w:cs="Times New Roman"/>
          <w:sz w:val="24"/>
        </w:rPr>
      </w:pPr>
      <w:r w:rsidRPr="00307FCC">
        <w:rPr>
          <w:rStyle w:val="Heading4Char"/>
          <w:rFonts w:ascii="Garamond" w:hAnsi="Garamond"/>
          <w:sz w:val="24"/>
        </w:rPr>
        <w:t>Family Support Center Network</w:t>
      </w:r>
    </w:p>
    <w:p w14:paraId="4CF376DF" w14:textId="00368EF5" w:rsidR="004705C8" w:rsidRPr="004A0C12" w:rsidRDefault="004705C8" w:rsidP="002B08E3">
      <w:pPr>
        <w:widowControl w:val="0"/>
        <w:spacing w:after="0" w:line="240" w:lineRule="auto"/>
        <w:jc w:val="both"/>
        <w:rPr>
          <w:rFonts w:ascii="Garamond" w:hAnsi="Garamond" w:cs="Times New Roman"/>
        </w:rPr>
      </w:pPr>
      <w:r w:rsidRPr="004A0C12">
        <w:rPr>
          <w:rFonts w:ascii="Garamond" w:hAnsi="Garamond" w:cs="Times New Roman"/>
        </w:rPr>
        <w:t>Family Support Centers were developed to establish preventive supports for families during the early formative years and to encourage the formation and maintenance o</w:t>
      </w:r>
      <w:r w:rsidR="002B08E3" w:rsidRPr="004A0C12">
        <w:rPr>
          <w:rFonts w:ascii="Garamond" w:hAnsi="Garamond" w:cs="Times New Roman"/>
        </w:rPr>
        <w:t>f two-parent families.  The Family Support Centers</w:t>
      </w:r>
      <w:r w:rsidRPr="004A0C12">
        <w:rPr>
          <w:rFonts w:ascii="Garamond" w:hAnsi="Garamond" w:cs="Times New Roman"/>
        </w:rPr>
        <w:t xml:space="preserve"> are community-based programs that provide services to assist mothers and/or fath</w:t>
      </w:r>
      <w:r w:rsidR="002B08E3" w:rsidRPr="004A0C12">
        <w:rPr>
          <w:rFonts w:ascii="Garamond" w:hAnsi="Garamond" w:cs="Times New Roman"/>
        </w:rPr>
        <w:t>ers with children age birth to three</w:t>
      </w:r>
      <w:r w:rsidRPr="004A0C12">
        <w:rPr>
          <w:rFonts w:ascii="Garamond" w:hAnsi="Garamond" w:cs="Times New Roman"/>
        </w:rPr>
        <w:t>, particularly those in high-risk communities, raise healthy childre</w:t>
      </w:r>
      <w:r w:rsidR="002B08E3" w:rsidRPr="004A0C12">
        <w:rPr>
          <w:rFonts w:ascii="Garamond" w:hAnsi="Garamond" w:cs="Times New Roman"/>
        </w:rPr>
        <w:t>n and build productive futures.</w:t>
      </w:r>
      <w:r w:rsidRPr="004A0C12">
        <w:rPr>
          <w:rFonts w:ascii="Garamond" w:hAnsi="Garamond" w:cs="Times New Roman"/>
        </w:rPr>
        <w:t xml:space="preserve"> Comprehensive services are provided eithe</w:t>
      </w:r>
      <w:r w:rsidR="002B08E3" w:rsidRPr="004A0C12">
        <w:rPr>
          <w:rFonts w:ascii="Garamond" w:hAnsi="Garamond" w:cs="Times New Roman"/>
        </w:rPr>
        <w:t>r on-site or through referral, and</w:t>
      </w:r>
      <w:r w:rsidRPr="004A0C12">
        <w:rPr>
          <w:rFonts w:ascii="Garamond" w:hAnsi="Garamond" w:cs="Times New Roman"/>
        </w:rPr>
        <w:t xml:space="preserve"> existing programs</w:t>
      </w:r>
      <w:r w:rsidR="002B08E3" w:rsidRPr="004A0C12">
        <w:rPr>
          <w:rFonts w:ascii="Garamond" w:hAnsi="Garamond" w:cs="Times New Roman"/>
        </w:rPr>
        <w:t xml:space="preserve"> coordinate</w:t>
      </w:r>
      <w:r w:rsidRPr="004A0C12">
        <w:rPr>
          <w:rFonts w:ascii="Garamond" w:hAnsi="Garamond" w:cs="Times New Roman"/>
        </w:rPr>
        <w:t xml:space="preserve"> to benefit mothers and/or fathers and their children, and develop new res</w:t>
      </w:r>
      <w:r w:rsidR="002B08E3" w:rsidRPr="004A0C12">
        <w:rPr>
          <w:rFonts w:ascii="Garamond" w:hAnsi="Garamond" w:cs="Times New Roman"/>
        </w:rPr>
        <w:t xml:space="preserve">ources to satisfy unmet needs. </w:t>
      </w:r>
      <w:r w:rsidRPr="004A0C12">
        <w:rPr>
          <w:rFonts w:ascii="Garamond" w:hAnsi="Garamond" w:cs="Times New Roman"/>
        </w:rPr>
        <w:t>Services include parenting skills, outreach, peer support and recreational activities, infant and child stimulation, employability and literacy opportunities, health education</w:t>
      </w:r>
      <w:r w:rsidR="002B08E3" w:rsidRPr="004A0C12">
        <w:rPr>
          <w:rFonts w:ascii="Garamond" w:hAnsi="Garamond" w:cs="Times New Roman"/>
        </w:rPr>
        <w:t xml:space="preserve">, and referral for services. </w:t>
      </w:r>
      <w:r w:rsidRPr="004A0C12">
        <w:rPr>
          <w:rFonts w:ascii="Garamond" w:hAnsi="Garamond" w:cs="Times New Roman"/>
        </w:rPr>
        <w:t>This program also includes services developed usin</w:t>
      </w:r>
      <w:r w:rsidR="002B08E3" w:rsidRPr="004A0C12">
        <w:rPr>
          <w:rFonts w:ascii="Garamond" w:hAnsi="Garamond" w:cs="Times New Roman"/>
        </w:rPr>
        <w:t xml:space="preserve">g this same, successful model. </w:t>
      </w:r>
      <w:r w:rsidRPr="004A0C12">
        <w:rPr>
          <w:rFonts w:ascii="Garamond" w:hAnsi="Garamond" w:cs="Times New Roman"/>
        </w:rPr>
        <w:t xml:space="preserve">For example, the Family League of Baltimore has also developed a similar set of services based on this Family Support Center Model called “Success by Six,” which also includes home visitors, many of whom are former TCA recipients. </w:t>
      </w:r>
    </w:p>
    <w:p w14:paraId="03D84330" w14:textId="77777777" w:rsidR="002B08E3" w:rsidRPr="004A0C12" w:rsidRDefault="002B08E3" w:rsidP="002B08E3">
      <w:pPr>
        <w:widowControl w:val="0"/>
        <w:spacing w:after="0" w:line="240" w:lineRule="auto"/>
        <w:jc w:val="both"/>
        <w:rPr>
          <w:rFonts w:ascii="Garamond" w:hAnsi="Garamond" w:cs="Times New Roman"/>
        </w:rPr>
      </w:pPr>
    </w:p>
    <w:p w14:paraId="1A964954" w14:textId="4BCCF5CA" w:rsidR="002B08E3" w:rsidRPr="004A0C12" w:rsidRDefault="002B08E3" w:rsidP="002B08E3">
      <w:pPr>
        <w:widowControl w:val="0"/>
        <w:spacing w:after="0" w:line="240" w:lineRule="auto"/>
        <w:jc w:val="both"/>
        <w:rPr>
          <w:rFonts w:ascii="Garamond" w:hAnsi="Garamond" w:cs="Times New Roman"/>
        </w:rPr>
      </w:pPr>
      <w:r w:rsidRPr="004A0C12">
        <w:rPr>
          <w:rFonts w:ascii="Garamond" w:hAnsi="Garamond" w:cs="Times New Roman"/>
        </w:rPr>
        <w:t xml:space="preserve">There is no income criteria required to participate in the Family Support Center program, although a significant number of participants receive TCA. Others may need cash assistance, but choose not to receive TCA. There are also participants who are financially capable of attending to their basic daily life needs, but need Family Support Center services to enhance their parenting skills. The objective is to develop a cadre of services appropriate for each family. This program provides non-assistance. </w:t>
      </w:r>
    </w:p>
    <w:p w14:paraId="3DDE8BB0" w14:textId="77777777" w:rsidR="004705C8" w:rsidRPr="004A0C12" w:rsidRDefault="004705C8" w:rsidP="004705C8">
      <w:pPr>
        <w:pStyle w:val="BodyTextIndent2"/>
        <w:ind w:left="360" w:firstLine="0"/>
        <w:jc w:val="both"/>
        <w:rPr>
          <w:rFonts w:ascii="Garamond" w:hAnsi="Garamond"/>
          <w:sz w:val="22"/>
          <w:szCs w:val="22"/>
        </w:rPr>
      </w:pPr>
    </w:p>
    <w:p w14:paraId="5D62E294" w14:textId="77777777" w:rsidR="00902C29" w:rsidRPr="00307FCC" w:rsidRDefault="004705C8" w:rsidP="002B08E3">
      <w:pPr>
        <w:widowControl w:val="0"/>
        <w:spacing w:after="0" w:line="240" w:lineRule="auto"/>
        <w:jc w:val="both"/>
        <w:rPr>
          <w:rFonts w:ascii="Garamond" w:hAnsi="Garamond" w:cs="Times New Roman"/>
          <w:sz w:val="24"/>
        </w:rPr>
      </w:pPr>
      <w:r w:rsidRPr="00307FCC">
        <w:rPr>
          <w:rStyle w:val="Heading4Char"/>
          <w:rFonts w:ascii="Garamond" w:hAnsi="Garamond"/>
          <w:sz w:val="24"/>
        </w:rPr>
        <w:t>Collaborative Supervision and Focused Enforcement Initiative</w:t>
      </w:r>
    </w:p>
    <w:p w14:paraId="1DA1BABA" w14:textId="359B4246" w:rsidR="004705C8" w:rsidRPr="004A0C12" w:rsidRDefault="002B08E3" w:rsidP="002B08E3">
      <w:pPr>
        <w:widowControl w:val="0"/>
        <w:spacing w:after="0" w:line="240" w:lineRule="auto"/>
        <w:jc w:val="both"/>
        <w:rPr>
          <w:rFonts w:ascii="Garamond" w:hAnsi="Garamond" w:cs="Times New Roman"/>
        </w:rPr>
      </w:pPr>
      <w:r w:rsidRPr="004A0C12">
        <w:rPr>
          <w:rFonts w:ascii="Garamond" w:hAnsi="Garamond" w:cs="Times New Roman"/>
        </w:rPr>
        <w:t>The Collaborative Supervision and Focused Enforcement</w:t>
      </w:r>
      <w:r w:rsidR="004705C8" w:rsidRPr="004A0C12">
        <w:rPr>
          <w:rFonts w:ascii="Garamond" w:hAnsi="Garamond" w:cs="Times New Roman"/>
        </w:rPr>
        <w:t xml:space="preserve"> initiative is a statewide crime reduction strategy that promotes locally based, comprehensive planning in high-crime at-risk neigh</w:t>
      </w:r>
      <w:r w:rsidRPr="004A0C12">
        <w:rPr>
          <w:rFonts w:ascii="Garamond" w:hAnsi="Garamond" w:cs="Times New Roman"/>
        </w:rPr>
        <w:t>borhoods for youth and adults. The program</w:t>
      </w:r>
      <w:r w:rsidR="004705C8" w:rsidRPr="004A0C12">
        <w:rPr>
          <w:rFonts w:ascii="Garamond" w:hAnsi="Garamond" w:cs="Times New Roman"/>
        </w:rPr>
        <w:t xml:space="preserve"> is based on strategies implemented by neighborhoods a</w:t>
      </w:r>
      <w:r w:rsidRPr="004A0C12">
        <w:rPr>
          <w:rFonts w:ascii="Garamond" w:hAnsi="Garamond" w:cs="Times New Roman"/>
        </w:rPr>
        <w:t xml:space="preserve">nd nonprofit advocacy </w:t>
      </w:r>
      <w:r w:rsidR="004705C8" w:rsidRPr="004A0C12">
        <w:rPr>
          <w:rFonts w:ascii="Garamond" w:hAnsi="Garamond" w:cs="Times New Roman"/>
        </w:rPr>
        <w:t>groups that are s</w:t>
      </w:r>
      <w:r w:rsidRPr="004A0C12">
        <w:rPr>
          <w:rFonts w:ascii="Garamond" w:hAnsi="Garamond" w:cs="Times New Roman"/>
        </w:rPr>
        <w:t>uccessful in collaborating and engagin</w:t>
      </w:r>
      <w:r w:rsidR="004705C8" w:rsidRPr="004A0C12">
        <w:rPr>
          <w:rFonts w:ascii="Garamond" w:hAnsi="Garamond" w:cs="Times New Roman"/>
        </w:rPr>
        <w:t>g key community leaders in solving problems in the c</w:t>
      </w:r>
      <w:r w:rsidRPr="004A0C12">
        <w:rPr>
          <w:rFonts w:ascii="Garamond" w:hAnsi="Garamond" w:cs="Times New Roman"/>
        </w:rPr>
        <w:t>ommunity. The program aims</w:t>
      </w:r>
      <w:r w:rsidR="004705C8" w:rsidRPr="004A0C12">
        <w:rPr>
          <w:rFonts w:ascii="Garamond" w:hAnsi="Garamond" w:cs="Times New Roman"/>
        </w:rPr>
        <w:t xml:space="preserve"> to develop locally based strategies to respond to the problems that interact at the neighborhood level and bring the justice system to the community</w:t>
      </w:r>
      <w:r w:rsidRPr="004A0C12">
        <w:rPr>
          <w:rFonts w:ascii="Garamond" w:hAnsi="Garamond" w:cs="Times New Roman"/>
        </w:rPr>
        <w:t>, as opposed to bringing the</w:t>
      </w:r>
      <w:r w:rsidR="004705C8" w:rsidRPr="004A0C12">
        <w:rPr>
          <w:rFonts w:ascii="Garamond" w:hAnsi="Garamond" w:cs="Times New Roman"/>
        </w:rPr>
        <w:t xml:space="preserve"> c</w:t>
      </w:r>
      <w:r w:rsidRPr="004A0C12">
        <w:rPr>
          <w:rFonts w:ascii="Garamond" w:hAnsi="Garamond" w:cs="Times New Roman"/>
        </w:rPr>
        <w:t>ommunity to the justice system.</w:t>
      </w:r>
      <w:r w:rsidR="004705C8" w:rsidRPr="004A0C12">
        <w:rPr>
          <w:rFonts w:ascii="Garamond" w:hAnsi="Garamond" w:cs="Times New Roman"/>
        </w:rPr>
        <w:t xml:space="preserve"> Many of the strategies in</w:t>
      </w:r>
      <w:r w:rsidRPr="004A0C12">
        <w:rPr>
          <w:rFonts w:ascii="Garamond" w:hAnsi="Garamond" w:cs="Times New Roman"/>
        </w:rPr>
        <w:t xml:space="preserve">clude an after school program. </w:t>
      </w:r>
      <w:r w:rsidR="004705C8" w:rsidRPr="004A0C12">
        <w:rPr>
          <w:rFonts w:ascii="Garamond" w:hAnsi="Garamond" w:cs="Times New Roman"/>
        </w:rPr>
        <w:t>These strategies are designed to enhance the motivation, performance</w:t>
      </w:r>
      <w:r w:rsidRPr="004A0C12">
        <w:rPr>
          <w:rFonts w:ascii="Garamond" w:hAnsi="Garamond" w:cs="Times New Roman"/>
        </w:rPr>
        <w:t>,</w:t>
      </w:r>
      <w:r w:rsidR="004705C8" w:rsidRPr="004A0C12">
        <w:rPr>
          <w:rFonts w:ascii="Garamond" w:hAnsi="Garamond" w:cs="Times New Roman"/>
        </w:rPr>
        <w:t xml:space="preserve"> and self-esteem of youth and are thus reasonably calculated to achieve the third goal of the TANF law, </w:t>
      </w:r>
      <w:r w:rsidR="004705C8" w:rsidRPr="004A0C12">
        <w:rPr>
          <w:rFonts w:ascii="Garamond" w:hAnsi="Garamond" w:cs="Times New Roman"/>
        </w:rPr>
        <w:lastRenderedPageBreak/>
        <w:t>the reduction of out of wedlock pregnancies.</w:t>
      </w:r>
    </w:p>
    <w:p w14:paraId="1BD753E1" w14:textId="77777777" w:rsidR="002B08E3" w:rsidRPr="004A0C12" w:rsidRDefault="002B08E3" w:rsidP="002B08E3">
      <w:pPr>
        <w:widowControl w:val="0"/>
        <w:spacing w:after="0" w:line="240" w:lineRule="auto"/>
        <w:jc w:val="both"/>
        <w:rPr>
          <w:rFonts w:ascii="Garamond" w:hAnsi="Garamond" w:cs="Times New Roman"/>
        </w:rPr>
      </w:pPr>
    </w:p>
    <w:p w14:paraId="2EB9A64C" w14:textId="674A124C" w:rsidR="002B08E3" w:rsidRPr="004A0C12" w:rsidRDefault="002B08E3" w:rsidP="002B08E3">
      <w:pPr>
        <w:widowControl w:val="0"/>
        <w:spacing w:after="0" w:line="240" w:lineRule="auto"/>
        <w:jc w:val="both"/>
        <w:rPr>
          <w:rFonts w:ascii="Garamond" w:hAnsi="Garamond" w:cs="Times New Roman"/>
        </w:rPr>
      </w:pPr>
      <w:r w:rsidRPr="004A0C12">
        <w:rPr>
          <w:rFonts w:ascii="Garamond" w:hAnsi="Garamond" w:cs="Times New Roman"/>
        </w:rPr>
        <w:t xml:space="preserve">The overall goal for the initiative is a 25 to 35 percent reduction in serious crime and quality-of-life improvements in communities that implement the comprehensive strategy. Each participating community surveys residents to measure whether there are improvements in the quality of life and changes in their sense of hopefulness and ability to make a difference. The program seeks to involve youth, as much as possible, in all phases of planning and implementation. This program provides non-assistance. </w:t>
      </w:r>
    </w:p>
    <w:p w14:paraId="387674C2" w14:textId="77777777" w:rsidR="004705C8" w:rsidRPr="004A0C12" w:rsidRDefault="004705C8" w:rsidP="004705C8">
      <w:pPr>
        <w:spacing w:after="0" w:line="240" w:lineRule="auto"/>
        <w:jc w:val="both"/>
        <w:rPr>
          <w:rFonts w:ascii="Garamond" w:hAnsi="Garamond" w:cs="Times New Roman"/>
        </w:rPr>
      </w:pPr>
    </w:p>
    <w:p w14:paraId="0C2583BB" w14:textId="77777777" w:rsidR="00902C29" w:rsidRPr="00307FCC" w:rsidRDefault="004705C8" w:rsidP="002B08E3">
      <w:pPr>
        <w:pStyle w:val="BodyText"/>
        <w:tabs>
          <w:tab w:val="left" w:pos="360"/>
        </w:tabs>
        <w:spacing w:after="0"/>
        <w:jc w:val="both"/>
        <w:rPr>
          <w:rFonts w:ascii="Garamond" w:hAnsi="Garamond" w:cs="Times New Roman"/>
          <w:bCs/>
          <w:sz w:val="24"/>
        </w:rPr>
      </w:pPr>
      <w:r w:rsidRPr="00307FCC">
        <w:rPr>
          <w:rStyle w:val="Heading4Char"/>
          <w:rFonts w:ascii="Garamond" w:hAnsi="Garamond"/>
          <w:sz w:val="24"/>
        </w:rPr>
        <w:t>Project Retain</w:t>
      </w:r>
    </w:p>
    <w:p w14:paraId="086AF4CE" w14:textId="09EB7FBA" w:rsidR="004705C8" w:rsidRPr="004A0C12" w:rsidRDefault="004705C8" w:rsidP="00902C29">
      <w:pPr>
        <w:pStyle w:val="BodyText"/>
        <w:tabs>
          <w:tab w:val="left" w:pos="360"/>
        </w:tabs>
        <w:spacing w:after="0"/>
        <w:jc w:val="both"/>
        <w:rPr>
          <w:rFonts w:ascii="Garamond" w:hAnsi="Garamond" w:cs="Times New Roman"/>
        </w:rPr>
      </w:pPr>
      <w:r w:rsidRPr="004A0C12">
        <w:rPr>
          <w:rFonts w:ascii="Garamond" w:hAnsi="Garamond" w:cs="Times New Roman"/>
          <w:bCs/>
        </w:rPr>
        <w:t>This project supports welfare reform efforts in Maryland by assisting for</w:t>
      </w:r>
      <w:r w:rsidR="002B08E3" w:rsidRPr="004A0C12">
        <w:rPr>
          <w:rFonts w:ascii="Garamond" w:hAnsi="Garamond" w:cs="Times New Roman"/>
          <w:bCs/>
        </w:rPr>
        <w:t>mer and current TANF customers.</w:t>
      </w:r>
      <w:r w:rsidRPr="004A0C12">
        <w:rPr>
          <w:rFonts w:ascii="Garamond" w:hAnsi="Garamond" w:cs="Times New Roman"/>
          <w:bCs/>
        </w:rPr>
        <w:t xml:space="preserve"> Project Retain supports welfare reform and workforce development efforts in Maryland in two ways.  First, the project enhances staff capacity in local departments by providing skills training on post-employment retention and advancement strategies to avoid high welfare recidivism rates for employed</w:t>
      </w:r>
      <w:r w:rsidR="002B08E3" w:rsidRPr="004A0C12">
        <w:rPr>
          <w:rFonts w:ascii="Garamond" w:hAnsi="Garamond" w:cs="Times New Roman"/>
          <w:bCs/>
        </w:rPr>
        <w:t xml:space="preserve"> former and current customers. </w:t>
      </w:r>
      <w:r w:rsidRPr="004A0C12">
        <w:rPr>
          <w:rFonts w:ascii="Garamond" w:hAnsi="Garamond" w:cs="Times New Roman"/>
          <w:bCs/>
        </w:rPr>
        <w:t>High-performance customer service also requires staff to learn about the career</w:t>
      </w:r>
      <w:r w:rsidRPr="004A0C12">
        <w:rPr>
          <w:rFonts w:ascii="Garamond" w:hAnsi="Garamond" w:cs="Times New Roman"/>
        </w:rPr>
        <w:t xml:space="preserve"> </w:t>
      </w:r>
      <w:r w:rsidRPr="004A0C12">
        <w:rPr>
          <w:rFonts w:ascii="Garamond" w:hAnsi="Garamond" w:cs="Times New Roman"/>
          <w:bCs/>
        </w:rPr>
        <w:t>path for hig</w:t>
      </w:r>
      <w:r w:rsidR="002B08E3" w:rsidRPr="004A0C12">
        <w:rPr>
          <w:rFonts w:ascii="Garamond" w:hAnsi="Garamond" w:cs="Times New Roman"/>
          <w:bCs/>
        </w:rPr>
        <w:t xml:space="preserve">her paying jobs and employers. </w:t>
      </w:r>
      <w:r w:rsidRPr="004A0C12">
        <w:rPr>
          <w:rFonts w:ascii="Garamond" w:hAnsi="Garamond" w:cs="Times New Roman"/>
          <w:bCs/>
        </w:rPr>
        <w:t>Secondly,</w:t>
      </w:r>
      <w:r w:rsidRPr="004A0C12">
        <w:rPr>
          <w:rFonts w:ascii="Garamond" w:hAnsi="Garamond" w:cs="Times New Roman"/>
        </w:rPr>
        <w:t xml:space="preserve"> </w:t>
      </w:r>
      <w:r w:rsidRPr="004A0C12">
        <w:rPr>
          <w:rFonts w:ascii="Garamond" w:hAnsi="Garamond" w:cs="Times New Roman"/>
          <w:bCs/>
        </w:rPr>
        <w:t>Project Retain assists employed customers with solving problems, removing barriers or resolving issues that place them at risk of termination or self-termination from emp</w:t>
      </w:r>
      <w:r w:rsidR="002B08E3" w:rsidRPr="004A0C12">
        <w:rPr>
          <w:rFonts w:ascii="Garamond" w:hAnsi="Garamond" w:cs="Times New Roman"/>
          <w:bCs/>
        </w:rPr>
        <w:t xml:space="preserve">loyment. </w:t>
      </w:r>
      <w:r w:rsidRPr="004A0C12">
        <w:rPr>
          <w:rFonts w:ascii="Garamond" w:hAnsi="Garamond" w:cs="Times New Roman"/>
          <w:bCs/>
        </w:rPr>
        <w:t>Project Retain services help TCA customers retain employment, work toward job advancement, and achiev</w:t>
      </w:r>
      <w:r w:rsidR="002B08E3" w:rsidRPr="004A0C12">
        <w:rPr>
          <w:rFonts w:ascii="Garamond" w:hAnsi="Garamond" w:cs="Times New Roman"/>
          <w:bCs/>
        </w:rPr>
        <w:t>e and sustain self-sufficiency.</w:t>
      </w:r>
      <w:r w:rsidRPr="004A0C12">
        <w:rPr>
          <w:rFonts w:ascii="Garamond" w:hAnsi="Garamond" w:cs="Times New Roman"/>
          <w:bCs/>
        </w:rPr>
        <w:t xml:space="preserve"> These</w:t>
      </w:r>
      <w:r w:rsidRPr="004A0C12">
        <w:rPr>
          <w:rFonts w:ascii="Garamond" w:hAnsi="Garamond" w:cs="Times New Roman"/>
        </w:rPr>
        <w:t xml:space="preserve"> efforts reduce welfare rolls and int</w:t>
      </w:r>
      <w:r w:rsidR="002B08E3" w:rsidRPr="004A0C12">
        <w:rPr>
          <w:rFonts w:ascii="Garamond" w:hAnsi="Garamond" w:cs="Times New Roman"/>
        </w:rPr>
        <w:t>errupt the cycle of dependency.</w:t>
      </w:r>
      <w:r w:rsidRPr="004A0C12">
        <w:rPr>
          <w:rFonts w:ascii="Garamond" w:hAnsi="Garamond" w:cs="Times New Roman"/>
        </w:rPr>
        <w:t xml:space="preserve"> Additionally, Project Retain provides training to local departments of social se</w:t>
      </w:r>
      <w:r w:rsidR="002B08E3" w:rsidRPr="004A0C12">
        <w:rPr>
          <w:rFonts w:ascii="Garamond" w:hAnsi="Garamond" w:cs="Times New Roman"/>
        </w:rPr>
        <w:t>rvices to build staff capacity.</w:t>
      </w:r>
      <w:r w:rsidRPr="004A0C12">
        <w:rPr>
          <w:rFonts w:ascii="Garamond" w:hAnsi="Garamond" w:cs="Times New Roman"/>
        </w:rPr>
        <w:t xml:space="preserve"> The training is conducted by internal staff, resulting in cost savings to local departments that would otherwise have to use outside contracts for retention and advancement service</w:t>
      </w:r>
      <w:r w:rsidR="002B08E3" w:rsidRPr="004A0C12">
        <w:rPr>
          <w:rFonts w:ascii="Garamond" w:hAnsi="Garamond" w:cs="Times New Roman"/>
        </w:rPr>
        <w:t xml:space="preserve">s. </w:t>
      </w:r>
      <w:r w:rsidRPr="004A0C12">
        <w:rPr>
          <w:rFonts w:ascii="Garamond" w:hAnsi="Garamond" w:cs="Times New Roman"/>
        </w:rPr>
        <w:t>This program provides non-assistance and is reasonably calculated to accomplish TANF purpose four.</w:t>
      </w:r>
      <w:r w:rsidR="00297312" w:rsidRPr="004A0C12">
        <w:rPr>
          <w:rStyle w:val="FootnoteReference"/>
          <w:rFonts w:ascii="Garamond" w:hAnsi="Garamond" w:cs="Times New Roman"/>
        </w:rPr>
        <w:footnoteReference w:id="56"/>
      </w:r>
      <w:r w:rsidRPr="004A0C12">
        <w:rPr>
          <w:rFonts w:ascii="Garamond" w:hAnsi="Garamond" w:cs="Times New Roman"/>
        </w:rPr>
        <w:t xml:space="preserve">  </w:t>
      </w:r>
    </w:p>
    <w:p w14:paraId="7763630D" w14:textId="77777777" w:rsidR="005C5961" w:rsidRPr="004A0C12" w:rsidRDefault="005C5961" w:rsidP="00902C29">
      <w:pPr>
        <w:pStyle w:val="BodyText"/>
        <w:tabs>
          <w:tab w:val="left" w:pos="360"/>
        </w:tabs>
        <w:spacing w:after="0"/>
        <w:jc w:val="both"/>
        <w:rPr>
          <w:rFonts w:ascii="Garamond" w:hAnsi="Garamond" w:cs="Times New Roman"/>
        </w:rPr>
      </w:pPr>
    </w:p>
    <w:p w14:paraId="3ADBD3F9" w14:textId="77777777" w:rsidR="005C5961" w:rsidRPr="00307FCC" w:rsidRDefault="005C5961" w:rsidP="00902C29">
      <w:pPr>
        <w:pStyle w:val="BodyText"/>
        <w:tabs>
          <w:tab w:val="left" w:pos="360"/>
        </w:tabs>
        <w:spacing w:after="0"/>
        <w:jc w:val="both"/>
        <w:rPr>
          <w:rStyle w:val="a"/>
          <w:rFonts w:ascii="Garamond" w:hAnsi="Garamond" w:cs="Times New Roman"/>
          <w:b/>
          <w:sz w:val="24"/>
        </w:rPr>
      </w:pPr>
    </w:p>
    <w:p w14:paraId="7E42EE9F" w14:textId="77777777" w:rsidR="00902C29" w:rsidRPr="00307FCC" w:rsidRDefault="004705C8" w:rsidP="002B08E3">
      <w:pPr>
        <w:widowControl w:val="0"/>
        <w:spacing w:after="0" w:line="240" w:lineRule="auto"/>
        <w:jc w:val="both"/>
        <w:rPr>
          <w:rFonts w:ascii="Garamond" w:hAnsi="Garamond" w:cs="Times New Roman"/>
          <w:sz w:val="24"/>
        </w:rPr>
      </w:pPr>
      <w:r w:rsidRPr="00307FCC">
        <w:rPr>
          <w:rStyle w:val="Heading4Char"/>
          <w:rFonts w:ascii="Garamond" w:hAnsi="Garamond"/>
          <w:sz w:val="24"/>
        </w:rPr>
        <w:t>Responsible Choices Projects</w:t>
      </w:r>
    </w:p>
    <w:p w14:paraId="0A3E47B3" w14:textId="68C93462" w:rsidR="004705C8" w:rsidRPr="004A0C12" w:rsidRDefault="004705C8" w:rsidP="002B08E3">
      <w:pPr>
        <w:widowControl w:val="0"/>
        <w:spacing w:after="0" w:line="240" w:lineRule="auto"/>
        <w:jc w:val="both"/>
        <w:rPr>
          <w:rFonts w:ascii="Garamond" w:hAnsi="Garamond" w:cs="Times New Roman"/>
          <w:bCs/>
        </w:rPr>
      </w:pPr>
      <w:r w:rsidRPr="004A0C12">
        <w:rPr>
          <w:rFonts w:ascii="Garamond" w:hAnsi="Garamond" w:cs="Times New Roman"/>
        </w:rPr>
        <w:t>Responsible Choices Projects work with middle school age adolescents and high school a</w:t>
      </w:r>
      <w:r w:rsidR="002B08E3" w:rsidRPr="004A0C12">
        <w:rPr>
          <w:rFonts w:ascii="Garamond" w:hAnsi="Garamond" w:cs="Times New Roman"/>
        </w:rPr>
        <w:t>ge teens to promote abstinence.</w:t>
      </w:r>
      <w:r w:rsidRPr="004A0C12">
        <w:rPr>
          <w:rFonts w:ascii="Garamond" w:hAnsi="Garamond" w:cs="Times New Roman"/>
        </w:rPr>
        <w:t xml:space="preserve"> Of note is the Best Friends Progra</w:t>
      </w:r>
      <w:r w:rsidR="002B08E3" w:rsidRPr="004A0C12">
        <w:rPr>
          <w:rFonts w:ascii="Garamond" w:hAnsi="Garamond" w:cs="Times New Roman"/>
        </w:rPr>
        <w:t xml:space="preserve">m, which enlists peer support. </w:t>
      </w:r>
      <w:r w:rsidRPr="004A0C12">
        <w:rPr>
          <w:rFonts w:ascii="Garamond" w:hAnsi="Garamond" w:cs="Times New Roman"/>
        </w:rPr>
        <w:t>Special efforts are also made to work with first-time teen parents, age 16 and older, in an effort to reduce the incidence of subsequent non-marital births using the Healthy Families America</w:t>
      </w:r>
      <w:r w:rsidR="002B08E3" w:rsidRPr="004A0C12">
        <w:rPr>
          <w:rFonts w:ascii="Garamond" w:hAnsi="Garamond" w:cs="Times New Roman"/>
        </w:rPr>
        <w:t xml:space="preserve"> home visitation model. </w:t>
      </w:r>
      <w:r w:rsidRPr="004A0C12">
        <w:rPr>
          <w:rFonts w:ascii="Garamond" w:hAnsi="Garamond" w:cs="Times New Roman"/>
          <w:bCs/>
        </w:rPr>
        <w:t>These programs provide non-assistance.</w:t>
      </w:r>
    </w:p>
    <w:p w14:paraId="12514EBC" w14:textId="77777777" w:rsidR="004705C8" w:rsidRPr="004A0C12" w:rsidRDefault="004705C8" w:rsidP="004705C8">
      <w:pPr>
        <w:spacing w:after="0" w:line="240" w:lineRule="auto"/>
        <w:jc w:val="both"/>
        <w:rPr>
          <w:rFonts w:ascii="Garamond" w:hAnsi="Garamond" w:cs="Times New Roman"/>
          <w:bCs/>
        </w:rPr>
      </w:pPr>
    </w:p>
    <w:p w14:paraId="3C2EF1C2" w14:textId="77777777" w:rsidR="00902C29" w:rsidRPr="00307FCC" w:rsidRDefault="004705C8" w:rsidP="002B08E3">
      <w:pPr>
        <w:widowControl w:val="0"/>
        <w:spacing w:after="0" w:line="240" w:lineRule="auto"/>
        <w:jc w:val="both"/>
        <w:rPr>
          <w:rFonts w:ascii="Garamond" w:hAnsi="Garamond" w:cs="Times New Roman"/>
          <w:bCs/>
          <w:sz w:val="24"/>
        </w:rPr>
      </w:pPr>
      <w:r w:rsidRPr="00307FCC">
        <w:rPr>
          <w:rStyle w:val="Heading4Char"/>
          <w:rFonts w:ascii="Garamond" w:hAnsi="Garamond"/>
          <w:sz w:val="24"/>
        </w:rPr>
        <w:t>Maryland Fatherhood/Motherhood Initiative</w:t>
      </w:r>
    </w:p>
    <w:p w14:paraId="54463852" w14:textId="6FFD8022" w:rsidR="004705C8" w:rsidRPr="004A0C12" w:rsidRDefault="004705C8" w:rsidP="002B08E3">
      <w:pPr>
        <w:widowControl w:val="0"/>
        <w:spacing w:after="0" w:line="240" w:lineRule="auto"/>
        <w:jc w:val="both"/>
        <w:rPr>
          <w:rFonts w:ascii="Garamond" w:hAnsi="Garamond" w:cs="Times New Roman"/>
          <w:bCs/>
        </w:rPr>
      </w:pPr>
      <w:r w:rsidRPr="004A0C12">
        <w:rPr>
          <w:rFonts w:ascii="Garamond" w:hAnsi="Garamond" w:cs="Times New Roman"/>
          <w:bCs/>
        </w:rPr>
        <w:t>This initiative builds on Maryland’s highly successful individually focused, location specific welfare to work program to serve the non-custodial parents of TCA children eligible either at present or in the past 12 months, or who owe a TCA r</w:t>
      </w:r>
      <w:r w:rsidR="00E522E9" w:rsidRPr="004A0C12">
        <w:rPr>
          <w:rFonts w:ascii="Garamond" w:hAnsi="Garamond" w:cs="Times New Roman"/>
          <w:bCs/>
        </w:rPr>
        <w:t xml:space="preserve">elated arrearage to the State. </w:t>
      </w:r>
      <w:r w:rsidRPr="004A0C12">
        <w:rPr>
          <w:rFonts w:ascii="Garamond" w:hAnsi="Garamond" w:cs="Times New Roman"/>
          <w:bCs/>
        </w:rPr>
        <w:t xml:space="preserve">By supplementing existing welfare to work strategies and contracts for this population, this initiative </w:t>
      </w:r>
      <w:r w:rsidR="00E522E9" w:rsidRPr="004A0C12">
        <w:rPr>
          <w:rFonts w:ascii="Garamond" w:hAnsi="Garamond" w:cs="Times New Roman"/>
          <w:bCs/>
        </w:rPr>
        <w:t>is</w:t>
      </w:r>
      <w:r w:rsidRPr="004A0C12">
        <w:rPr>
          <w:rFonts w:ascii="Garamond" w:hAnsi="Garamond" w:cs="Times New Roman"/>
          <w:bCs/>
        </w:rPr>
        <w:t xml:space="preserve"> able to make the best use of limited resources to achieve, among other things, employment of the non-custodial parent, payment of child support, decreased recidivism if previously incarcerated, and engagement in the Department’s other Healthy Marriage/Healthy Families initi</w:t>
      </w:r>
      <w:r w:rsidR="00E522E9" w:rsidRPr="004A0C12">
        <w:rPr>
          <w:rFonts w:ascii="Garamond" w:hAnsi="Garamond" w:cs="Times New Roman"/>
          <w:bCs/>
        </w:rPr>
        <w:t>atives.</w:t>
      </w:r>
      <w:r w:rsidRPr="004A0C12">
        <w:rPr>
          <w:rFonts w:ascii="Garamond" w:hAnsi="Garamond" w:cs="Times New Roman"/>
          <w:bCs/>
        </w:rPr>
        <w:t xml:space="preserve"> This program provides non-assistance.</w:t>
      </w:r>
    </w:p>
    <w:p w14:paraId="24EB7A35" w14:textId="77777777" w:rsidR="004705C8" w:rsidRPr="004A0C12" w:rsidRDefault="004705C8" w:rsidP="004705C8">
      <w:pPr>
        <w:spacing w:after="0" w:line="240" w:lineRule="auto"/>
        <w:jc w:val="both"/>
        <w:rPr>
          <w:rFonts w:ascii="Garamond" w:hAnsi="Garamond" w:cs="Times New Roman"/>
          <w:bCs/>
        </w:rPr>
      </w:pPr>
    </w:p>
    <w:p w14:paraId="6B883DC9" w14:textId="77777777" w:rsidR="00902C29" w:rsidRPr="00307FCC" w:rsidRDefault="004705C8" w:rsidP="00E522E9">
      <w:pPr>
        <w:widowControl w:val="0"/>
        <w:tabs>
          <w:tab w:val="left" w:pos="450"/>
        </w:tabs>
        <w:spacing w:after="0" w:line="240" w:lineRule="auto"/>
        <w:jc w:val="both"/>
        <w:rPr>
          <w:rFonts w:ascii="Garamond" w:hAnsi="Garamond" w:cs="Times New Roman"/>
          <w:bCs/>
          <w:sz w:val="24"/>
        </w:rPr>
      </w:pPr>
      <w:r w:rsidRPr="00307FCC">
        <w:rPr>
          <w:rStyle w:val="Heading4Char"/>
          <w:rFonts w:ascii="Garamond" w:hAnsi="Garamond"/>
          <w:sz w:val="24"/>
        </w:rPr>
        <w:t>The Offender Workforce Transition Initiative</w:t>
      </w:r>
    </w:p>
    <w:p w14:paraId="78BC039D" w14:textId="64B72AA0" w:rsidR="004705C8" w:rsidRPr="004A0C12" w:rsidRDefault="004705C8" w:rsidP="00E522E9">
      <w:pPr>
        <w:widowControl w:val="0"/>
        <w:tabs>
          <w:tab w:val="left" w:pos="450"/>
        </w:tabs>
        <w:spacing w:after="0" w:line="240" w:lineRule="auto"/>
        <w:jc w:val="both"/>
        <w:rPr>
          <w:rFonts w:ascii="Garamond" w:hAnsi="Garamond" w:cs="Times New Roman"/>
          <w:bCs/>
          <w:u w:val="single"/>
        </w:rPr>
      </w:pPr>
      <w:r w:rsidRPr="004A0C12">
        <w:rPr>
          <w:rFonts w:ascii="Garamond" w:hAnsi="Garamond" w:cs="Times New Roman"/>
          <w:bCs/>
        </w:rPr>
        <w:t>The Offender Workforce Transition Initiative</w:t>
      </w:r>
      <w:r w:rsidRPr="004A0C12">
        <w:rPr>
          <w:rFonts w:ascii="Garamond" w:hAnsi="Garamond" w:cs="Times New Roman"/>
          <w:bCs/>
          <w:i/>
        </w:rPr>
        <w:t xml:space="preserve"> </w:t>
      </w:r>
      <w:r w:rsidRPr="004A0C12">
        <w:rPr>
          <w:rFonts w:ascii="Garamond" w:hAnsi="Garamond" w:cs="Times New Roman"/>
          <w:bCs/>
        </w:rPr>
        <w:t>prepares and supports inmates’ efforts to re-integrate into the community, become productive wage earners, and lead personally s</w:t>
      </w:r>
      <w:r w:rsidR="00E522E9" w:rsidRPr="004A0C12">
        <w:rPr>
          <w:rFonts w:ascii="Garamond" w:hAnsi="Garamond" w:cs="Times New Roman"/>
          <w:bCs/>
        </w:rPr>
        <w:t>atisfying and fulfilling lives.</w:t>
      </w:r>
      <w:r w:rsidRPr="004A0C12">
        <w:rPr>
          <w:rFonts w:ascii="Garamond" w:hAnsi="Garamond" w:cs="Times New Roman"/>
          <w:bCs/>
        </w:rPr>
        <w:t xml:space="preserve"> Collaboration with various federal, state, local, business, and community partners ensures that soon to be released inmates have the necessary career training, work habits, teamwork, conflict resolution skills, and interview techniques that will enable them to land and keep good job</w:t>
      </w:r>
      <w:r w:rsidRPr="004A0C12">
        <w:rPr>
          <w:rFonts w:ascii="Garamond" w:hAnsi="Garamond" w:cs="Times New Roman"/>
          <w:bCs/>
          <w:i/>
        </w:rPr>
        <w:t>s</w:t>
      </w:r>
      <w:r w:rsidR="00E522E9" w:rsidRPr="004A0C12">
        <w:rPr>
          <w:rFonts w:ascii="Garamond" w:hAnsi="Garamond" w:cs="Times New Roman"/>
          <w:bCs/>
        </w:rPr>
        <w:t xml:space="preserve"> with a self-sustaining salary.</w:t>
      </w:r>
      <w:r w:rsidRPr="004A0C12">
        <w:rPr>
          <w:rFonts w:ascii="Garamond" w:hAnsi="Garamond" w:cs="Times New Roman"/>
          <w:bCs/>
        </w:rPr>
        <w:t xml:space="preserve"> Workforce development professionals and career development facilitators work with individuals on financial literac</w:t>
      </w:r>
      <w:r w:rsidR="00E522E9" w:rsidRPr="004A0C12">
        <w:rPr>
          <w:rFonts w:ascii="Garamond" w:hAnsi="Garamond" w:cs="Times New Roman"/>
          <w:bCs/>
        </w:rPr>
        <w:t>y and communication strategies.</w:t>
      </w:r>
      <w:r w:rsidRPr="004A0C12">
        <w:rPr>
          <w:rFonts w:ascii="Garamond" w:hAnsi="Garamond" w:cs="Times New Roman"/>
          <w:bCs/>
        </w:rPr>
        <w:t xml:space="preserve"> They support efforts to re-unify family members</w:t>
      </w:r>
      <w:r w:rsidRPr="004A0C12">
        <w:rPr>
          <w:rFonts w:ascii="Garamond" w:hAnsi="Garamond" w:cs="Times New Roman"/>
          <w:bCs/>
          <w:i/>
        </w:rPr>
        <w:t xml:space="preserve"> </w:t>
      </w:r>
      <w:r w:rsidRPr="004A0C12">
        <w:rPr>
          <w:rFonts w:ascii="Garamond" w:hAnsi="Garamond" w:cs="Times New Roman"/>
          <w:bCs/>
        </w:rPr>
        <w:t>and encourage custodial and non-custodial paren</w:t>
      </w:r>
      <w:r w:rsidR="00E522E9" w:rsidRPr="004A0C12">
        <w:rPr>
          <w:rFonts w:ascii="Garamond" w:hAnsi="Garamond" w:cs="Times New Roman"/>
          <w:bCs/>
        </w:rPr>
        <w:t>ts to be “responsible” parents.</w:t>
      </w:r>
      <w:r w:rsidRPr="004A0C12">
        <w:rPr>
          <w:rFonts w:ascii="Garamond" w:hAnsi="Garamond" w:cs="Times New Roman"/>
          <w:bCs/>
        </w:rPr>
        <w:t xml:space="preserve"> Staff works with recommended offenders until job placement occurs and continues w</w:t>
      </w:r>
      <w:r w:rsidR="00E522E9" w:rsidRPr="004A0C12">
        <w:rPr>
          <w:rFonts w:ascii="Garamond" w:hAnsi="Garamond" w:cs="Times New Roman"/>
          <w:bCs/>
        </w:rPr>
        <w:t xml:space="preserve">ith post-employment follow-up. </w:t>
      </w:r>
      <w:r w:rsidRPr="004A0C12">
        <w:rPr>
          <w:rFonts w:ascii="Garamond" w:hAnsi="Garamond" w:cs="Times New Roman"/>
          <w:bCs/>
        </w:rPr>
        <w:t>The goal is to encourage the ex-</w:t>
      </w:r>
      <w:r w:rsidR="00E522E9" w:rsidRPr="004A0C12">
        <w:rPr>
          <w:rFonts w:ascii="Garamond" w:hAnsi="Garamond" w:cs="Times New Roman"/>
          <w:bCs/>
        </w:rPr>
        <w:t>offenders’</w:t>
      </w:r>
      <w:r w:rsidRPr="004A0C12">
        <w:rPr>
          <w:rFonts w:ascii="Garamond" w:hAnsi="Garamond" w:cs="Times New Roman"/>
          <w:bCs/>
        </w:rPr>
        <w:t xml:space="preserve"> adjustment to living and working in a non-restrictive environment and to be competitively employed in an econ</w:t>
      </w:r>
      <w:r w:rsidR="00E522E9" w:rsidRPr="004A0C12">
        <w:rPr>
          <w:rFonts w:ascii="Garamond" w:hAnsi="Garamond" w:cs="Times New Roman"/>
          <w:bCs/>
        </w:rPr>
        <w:t>omically viable career pathway.</w:t>
      </w:r>
      <w:r w:rsidRPr="004A0C12">
        <w:rPr>
          <w:rFonts w:ascii="Garamond" w:hAnsi="Garamond" w:cs="Times New Roman"/>
          <w:bCs/>
        </w:rPr>
        <w:t xml:space="preserve"> The initiative reduces inmate recidivism and supports the formulation and maintenance of two-parent families.</w:t>
      </w:r>
      <w:r w:rsidR="00E522E9" w:rsidRPr="004A0C12">
        <w:rPr>
          <w:rFonts w:ascii="Garamond" w:hAnsi="Garamond" w:cs="Times New Roman"/>
          <w:b/>
        </w:rPr>
        <w:t xml:space="preserve"> </w:t>
      </w:r>
      <w:r w:rsidRPr="004A0C12">
        <w:rPr>
          <w:rFonts w:ascii="Garamond" w:hAnsi="Garamond" w:cs="Times New Roman"/>
          <w:bCs/>
        </w:rPr>
        <w:t>This program provides non-assistance.</w:t>
      </w:r>
    </w:p>
    <w:p w14:paraId="5FE39F5C" w14:textId="77777777" w:rsidR="004705C8" w:rsidRPr="004A0C12" w:rsidRDefault="004705C8" w:rsidP="004705C8">
      <w:pPr>
        <w:spacing w:after="0" w:line="240" w:lineRule="auto"/>
        <w:jc w:val="both"/>
        <w:rPr>
          <w:rFonts w:ascii="Garamond" w:hAnsi="Garamond" w:cs="Times New Roman"/>
          <w:b/>
          <w:u w:val="single"/>
        </w:rPr>
      </w:pPr>
    </w:p>
    <w:p w14:paraId="5978E57A" w14:textId="77777777" w:rsidR="00902C29" w:rsidRPr="00307FCC" w:rsidRDefault="00665760" w:rsidP="00665760">
      <w:pPr>
        <w:widowControl w:val="0"/>
        <w:spacing w:after="0" w:line="240" w:lineRule="auto"/>
        <w:jc w:val="both"/>
        <w:rPr>
          <w:rFonts w:ascii="Garamond" w:hAnsi="Garamond" w:cs="Times New Roman"/>
          <w:sz w:val="24"/>
        </w:rPr>
      </w:pPr>
      <w:r w:rsidRPr="00307FCC">
        <w:rPr>
          <w:rStyle w:val="Heading4Char"/>
          <w:rFonts w:ascii="Garamond" w:hAnsi="Garamond"/>
          <w:sz w:val="24"/>
        </w:rPr>
        <w:t>Block Grant Programs</w:t>
      </w:r>
      <w:r w:rsidR="00902C29" w:rsidRPr="00307FCC">
        <w:rPr>
          <w:rFonts w:ascii="Garamond" w:hAnsi="Garamond" w:cs="Times New Roman"/>
          <w:sz w:val="24"/>
        </w:rPr>
        <w:t xml:space="preserve"> </w:t>
      </w:r>
    </w:p>
    <w:p w14:paraId="3A6579E5" w14:textId="0E0871BC" w:rsidR="004705C8" w:rsidRPr="004A0C12" w:rsidRDefault="00665760" w:rsidP="00665760">
      <w:pPr>
        <w:widowControl w:val="0"/>
        <w:spacing w:after="0" w:line="240" w:lineRule="auto"/>
        <w:jc w:val="both"/>
        <w:rPr>
          <w:rFonts w:ascii="Garamond" w:hAnsi="Garamond" w:cs="Times New Roman"/>
          <w:u w:val="single"/>
        </w:rPr>
      </w:pPr>
      <w:r w:rsidRPr="004A0C12">
        <w:rPr>
          <w:rFonts w:ascii="Garamond" w:hAnsi="Garamond" w:cs="Times New Roman"/>
        </w:rPr>
        <w:t>Maryland</w:t>
      </w:r>
      <w:r w:rsidR="004705C8" w:rsidRPr="004A0C12">
        <w:rPr>
          <w:rFonts w:ascii="Garamond" w:hAnsi="Garamond" w:cs="Times New Roman"/>
        </w:rPr>
        <w:t xml:space="preserve"> provides an extensive array of services to families and children under its Social Services Block Grant, Community </w:t>
      </w:r>
      <w:r w:rsidR="004705C8" w:rsidRPr="004A0C12">
        <w:rPr>
          <w:rFonts w:ascii="Garamond" w:hAnsi="Garamond" w:cs="Times New Roman"/>
        </w:rPr>
        <w:lastRenderedPageBreak/>
        <w:t>Action Block Grant, Title IV-B State Plan, the Child and Maternal Health Block Grant, and the Substance Abuse and Mental Health Block Grant plans that are reasonably calculated to accomplish the thi</w:t>
      </w:r>
      <w:r w:rsidR="004058D6" w:rsidRPr="004A0C12">
        <w:rPr>
          <w:rFonts w:ascii="Garamond" w:hAnsi="Garamond" w:cs="Times New Roman"/>
        </w:rPr>
        <w:t>rd and fourth purposes of TANF.</w:t>
      </w:r>
      <w:r w:rsidR="004705C8" w:rsidRPr="004A0C12">
        <w:rPr>
          <w:rFonts w:ascii="Garamond" w:hAnsi="Garamond" w:cs="Times New Roman"/>
        </w:rPr>
        <w:t xml:space="preserve"> To the extent that the State expends state or local funds on these services that exceed available block grant funds, the State reserves the option to use TANF funds or TANF-MOE as appropriate and reported in the State’s fiscal reports </w:t>
      </w:r>
      <w:r w:rsidR="004058D6" w:rsidRPr="004A0C12">
        <w:rPr>
          <w:rFonts w:ascii="Garamond" w:hAnsi="Garamond" w:cs="Times New Roman"/>
        </w:rPr>
        <w:t>subject to federal limitations.</w:t>
      </w:r>
      <w:r w:rsidR="004705C8" w:rsidRPr="004A0C12">
        <w:rPr>
          <w:rFonts w:ascii="Garamond" w:hAnsi="Garamond" w:cs="Times New Roman"/>
        </w:rPr>
        <w:t xml:space="preserve"> The funds claimed for these will be for non-assistance. </w:t>
      </w:r>
    </w:p>
    <w:p w14:paraId="62020820" w14:textId="77777777" w:rsidR="004705C8" w:rsidRPr="004A0C12" w:rsidRDefault="004705C8" w:rsidP="004705C8">
      <w:pPr>
        <w:pStyle w:val="Footer"/>
        <w:jc w:val="both"/>
        <w:rPr>
          <w:rFonts w:ascii="Garamond" w:hAnsi="Garamond" w:cs="Times New Roman"/>
        </w:rPr>
      </w:pPr>
    </w:p>
    <w:p w14:paraId="5AE00678" w14:textId="77777777" w:rsidR="00902C29" w:rsidRPr="00307FCC" w:rsidRDefault="004705C8" w:rsidP="004058D6">
      <w:pPr>
        <w:spacing w:after="0" w:line="240" w:lineRule="auto"/>
        <w:jc w:val="both"/>
        <w:rPr>
          <w:rFonts w:ascii="Garamond" w:hAnsi="Garamond" w:cs="Times New Roman"/>
          <w:sz w:val="24"/>
        </w:rPr>
      </w:pPr>
      <w:r w:rsidRPr="00307FCC">
        <w:rPr>
          <w:rStyle w:val="Heading4Char"/>
          <w:rFonts w:ascii="Garamond" w:hAnsi="Garamond"/>
          <w:sz w:val="24"/>
        </w:rPr>
        <w:t>Maryland Higher Education Commission scholarship programs</w:t>
      </w:r>
    </w:p>
    <w:p w14:paraId="02FEADD6" w14:textId="5F6516C3" w:rsidR="004705C8" w:rsidRPr="004A0C12" w:rsidRDefault="004705C8" w:rsidP="004058D6">
      <w:pPr>
        <w:spacing w:after="0" w:line="240" w:lineRule="auto"/>
        <w:jc w:val="both"/>
        <w:rPr>
          <w:rFonts w:ascii="Garamond" w:hAnsi="Garamond" w:cs="Times New Roman"/>
        </w:rPr>
      </w:pPr>
      <w:r w:rsidRPr="004A0C12">
        <w:rPr>
          <w:rFonts w:ascii="Garamond" w:hAnsi="Garamond" w:cs="Times New Roman"/>
        </w:rPr>
        <w:t>These scholarships are eligible for TANF funding because post-secondary educational attainment by State residents decreases the incidence of out-of-wedlock births by raising the “opportunity cost” of havin</w:t>
      </w:r>
      <w:r w:rsidR="004058D6" w:rsidRPr="004A0C12">
        <w:rPr>
          <w:rFonts w:ascii="Garamond" w:hAnsi="Garamond" w:cs="Times New Roman"/>
        </w:rPr>
        <w:t>g children outside of marriage.</w:t>
      </w:r>
      <w:r w:rsidRPr="004A0C12">
        <w:rPr>
          <w:rFonts w:ascii="Garamond" w:hAnsi="Garamond" w:cs="Times New Roman"/>
        </w:rPr>
        <w:t xml:space="preserve"> Studies also show that professional careers (often the product of higher education) delay fertility. These programs provide non-assistance.</w:t>
      </w:r>
    </w:p>
    <w:p w14:paraId="13BE2B14" w14:textId="442729A1" w:rsidR="004705C8" w:rsidRPr="00307FCC" w:rsidRDefault="00E522E9" w:rsidP="00B17F00">
      <w:pPr>
        <w:pStyle w:val="Heading1"/>
        <w:rPr>
          <w:rFonts w:ascii="Garamond" w:hAnsi="Garamond"/>
          <w:sz w:val="24"/>
          <w:szCs w:val="22"/>
        </w:rPr>
      </w:pPr>
      <w:bookmarkStart w:id="245" w:name="_Toc447276269"/>
      <w:r w:rsidRPr="00307FCC">
        <w:rPr>
          <w:rFonts w:ascii="Garamond" w:hAnsi="Garamond"/>
          <w:sz w:val="24"/>
          <w:szCs w:val="22"/>
        </w:rPr>
        <w:t>PROGRAMS FUNDED BY CO</w:t>
      </w:r>
      <w:r w:rsidR="00D02020" w:rsidRPr="00307FCC">
        <w:rPr>
          <w:rFonts w:ascii="Garamond" w:hAnsi="Garamond"/>
          <w:sz w:val="24"/>
          <w:szCs w:val="22"/>
        </w:rPr>
        <w:t>M</w:t>
      </w:r>
      <w:r w:rsidR="004058D6" w:rsidRPr="00307FCC">
        <w:rPr>
          <w:rFonts w:ascii="Garamond" w:hAnsi="Garamond"/>
          <w:sz w:val="24"/>
          <w:szCs w:val="22"/>
        </w:rPr>
        <w:t>MINGLED FUNDS</w:t>
      </w:r>
      <w:bookmarkEnd w:id="245"/>
    </w:p>
    <w:p w14:paraId="01876587" w14:textId="71965BA9" w:rsidR="004705C8" w:rsidRPr="004A0C12" w:rsidRDefault="004705C8" w:rsidP="004705C8">
      <w:pPr>
        <w:pStyle w:val="BodyText"/>
        <w:spacing w:after="0"/>
        <w:jc w:val="both"/>
        <w:rPr>
          <w:rFonts w:ascii="Garamond" w:hAnsi="Garamond" w:cs="Times New Roman"/>
          <w:b/>
        </w:rPr>
      </w:pPr>
      <w:r w:rsidRPr="004A0C12">
        <w:rPr>
          <w:rFonts w:ascii="Garamond" w:hAnsi="Garamond" w:cs="Times New Roman"/>
        </w:rPr>
        <w:t>Maryland has developed a broad array of services for families and children that are reasonably calculated to accomplish the third and fourth purposes</w:t>
      </w:r>
      <w:r w:rsidR="00297312" w:rsidRPr="004A0C12">
        <w:rPr>
          <w:rStyle w:val="FootnoteReference"/>
          <w:rFonts w:ascii="Garamond" w:hAnsi="Garamond" w:cs="Times New Roman"/>
        </w:rPr>
        <w:footnoteReference w:id="57"/>
      </w:r>
      <w:r w:rsidRPr="004A0C12">
        <w:rPr>
          <w:rFonts w:ascii="Garamond" w:hAnsi="Garamond" w:cs="Times New Roman"/>
        </w:rPr>
        <w:t xml:space="preserve"> of the TANF law</w:t>
      </w:r>
      <w:r w:rsidR="004058D6" w:rsidRPr="004A0C12">
        <w:rPr>
          <w:rFonts w:ascii="Garamond" w:hAnsi="Garamond" w:cs="Times New Roman"/>
        </w:rPr>
        <w:t xml:space="preserve">. </w:t>
      </w:r>
      <w:r w:rsidRPr="004A0C12">
        <w:rPr>
          <w:rFonts w:ascii="Garamond" w:hAnsi="Garamond" w:cs="Times New Roman"/>
        </w:rPr>
        <w:t xml:space="preserve">The </w:t>
      </w:r>
      <w:r w:rsidR="004058D6" w:rsidRPr="004A0C12">
        <w:rPr>
          <w:rFonts w:ascii="Garamond" w:hAnsi="Garamond" w:cs="Times New Roman"/>
        </w:rPr>
        <w:t xml:space="preserve">changes brought by the </w:t>
      </w:r>
      <w:r w:rsidRPr="004A0C12">
        <w:rPr>
          <w:rFonts w:ascii="Garamond" w:hAnsi="Garamond" w:cs="Times New Roman"/>
          <w:bCs/>
        </w:rPr>
        <w:t>Deficit Reduction Act of 2005</w:t>
      </w:r>
      <w:r w:rsidRPr="004A0C12">
        <w:rPr>
          <w:rFonts w:ascii="Garamond" w:hAnsi="Garamond" w:cs="Times New Roman"/>
          <w:bCs/>
          <w:i/>
        </w:rPr>
        <w:t xml:space="preserve"> </w:t>
      </w:r>
      <w:r w:rsidRPr="004A0C12">
        <w:rPr>
          <w:rFonts w:ascii="Garamond" w:hAnsi="Garamond" w:cs="Times New Roman"/>
          <w:bCs/>
        </w:rPr>
        <w:t>allow th</w:t>
      </w:r>
      <w:r w:rsidR="004058D6" w:rsidRPr="004A0C12">
        <w:rPr>
          <w:rFonts w:ascii="Garamond" w:hAnsi="Garamond" w:cs="Times New Roman"/>
          <w:bCs/>
        </w:rPr>
        <w:t>ese programs to be funded with f</w:t>
      </w:r>
      <w:r w:rsidRPr="004A0C12">
        <w:rPr>
          <w:rFonts w:ascii="Garamond" w:hAnsi="Garamond" w:cs="Times New Roman"/>
          <w:bCs/>
        </w:rPr>
        <w:t>ederal TANF dollars or count toward the State’s MOE requirement.</w:t>
      </w:r>
      <w:r w:rsidRPr="004A0C12">
        <w:rPr>
          <w:rFonts w:ascii="Garamond" w:hAnsi="Garamond" w:cs="Times New Roman"/>
        </w:rPr>
        <w:t xml:space="preserve"> Maryland has designed these programs to be as effect</w:t>
      </w:r>
      <w:r w:rsidR="004058D6" w:rsidRPr="004A0C12">
        <w:rPr>
          <w:rFonts w:ascii="Garamond" w:hAnsi="Garamond" w:cs="Times New Roman"/>
        </w:rPr>
        <w:t xml:space="preserve">ive and efficient as possible. </w:t>
      </w:r>
      <w:r w:rsidRPr="004A0C12">
        <w:rPr>
          <w:rFonts w:ascii="Garamond" w:hAnsi="Garamond" w:cs="Times New Roman"/>
        </w:rPr>
        <w:t>This has the effect that certain specific services and/or beneficiaries of some of the services of some of these programs may not be eli</w:t>
      </w:r>
      <w:r w:rsidR="004058D6" w:rsidRPr="004A0C12">
        <w:rPr>
          <w:rFonts w:ascii="Garamond" w:hAnsi="Garamond" w:cs="Times New Roman"/>
        </w:rPr>
        <w:t xml:space="preserve">gible for federal TANF or MOE. </w:t>
      </w:r>
      <w:r w:rsidRPr="004A0C12">
        <w:rPr>
          <w:rFonts w:ascii="Garamond" w:hAnsi="Garamond" w:cs="Times New Roman"/>
        </w:rPr>
        <w:t>Maryland will determine the exact amount using the appropriate federal mechanisms outline</w:t>
      </w:r>
      <w:r w:rsidR="004058D6" w:rsidRPr="004A0C12">
        <w:rPr>
          <w:rFonts w:ascii="Garamond" w:hAnsi="Garamond" w:cs="Times New Roman"/>
        </w:rPr>
        <w:t xml:space="preserve">d it its Cost Allocation Plan. </w:t>
      </w:r>
      <w:r w:rsidRPr="004A0C12">
        <w:rPr>
          <w:rFonts w:ascii="Garamond" w:hAnsi="Garamond" w:cs="Times New Roman"/>
        </w:rPr>
        <w:t>These programs provide non-assistance.</w:t>
      </w:r>
    </w:p>
    <w:p w14:paraId="5BCC3430" w14:textId="3D072CC9" w:rsidR="004705C8" w:rsidRPr="00307FCC" w:rsidRDefault="004058D6" w:rsidP="00B17F00">
      <w:pPr>
        <w:pStyle w:val="Heading2"/>
        <w:rPr>
          <w:rFonts w:ascii="Garamond" w:hAnsi="Garamond"/>
          <w:sz w:val="24"/>
          <w:szCs w:val="22"/>
        </w:rPr>
      </w:pPr>
      <w:bookmarkStart w:id="246" w:name="_Toc447276270"/>
      <w:r w:rsidRPr="00307FCC">
        <w:rPr>
          <w:rFonts w:ascii="Garamond" w:hAnsi="Garamond"/>
          <w:sz w:val="24"/>
          <w:szCs w:val="22"/>
        </w:rPr>
        <w:t>Means Tested Program</w:t>
      </w:r>
      <w:bookmarkEnd w:id="246"/>
    </w:p>
    <w:p w14:paraId="6E07D1C4" w14:textId="77777777" w:rsidR="004058D6" w:rsidRPr="00307FCC" w:rsidRDefault="004058D6" w:rsidP="004705C8">
      <w:pPr>
        <w:pStyle w:val="Footer"/>
        <w:jc w:val="both"/>
        <w:rPr>
          <w:rFonts w:ascii="Garamond" w:hAnsi="Garamond" w:cs="Times New Roman"/>
          <w:sz w:val="24"/>
        </w:rPr>
      </w:pPr>
    </w:p>
    <w:p w14:paraId="571215CE" w14:textId="77777777" w:rsidR="00902C29" w:rsidRPr="00307FCC" w:rsidRDefault="004705C8" w:rsidP="004058D6">
      <w:pPr>
        <w:widowControl w:val="0"/>
        <w:spacing w:after="0" w:line="240" w:lineRule="auto"/>
        <w:jc w:val="both"/>
        <w:rPr>
          <w:rFonts w:ascii="Garamond" w:hAnsi="Garamond" w:cs="Times New Roman"/>
          <w:sz w:val="24"/>
          <w:u w:val="single"/>
        </w:rPr>
      </w:pPr>
      <w:r w:rsidRPr="00307FCC">
        <w:rPr>
          <w:rStyle w:val="Heading4Char"/>
          <w:rFonts w:ascii="Garamond" w:hAnsi="Garamond"/>
          <w:sz w:val="24"/>
        </w:rPr>
        <w:t>Child First Authority Ex</w:t>
      </w:r>
      <w:r w:rsidR="004058D6" w:rsidRPr="00307FCC">
        <w:rPr>
          <w:rStyle w:val="Heading4Char"/>
          <w:rFonts w:ascii="Garamond" w:hAnsi="Garamond"/>
          <w:sz w:val="24"/>
        </w:rPr>
        <w:t>tended School Day Programs</w:t>
      </w:r>
    </w:p>
    <w:p w14:paraId="43FB054E" w14:textId="6BDB668F" w:rsidR="004705C8" w:rsidRPr="004A0C12" w:rsidRDefault="004058D6" w:rsidP="004058D6">
      <w:pPr>
        <w:widowControl w:val="0"/>
        <w:spacing w:after="0" w:line="240" w:lineRule="auto"/>
        <w:jc w:val="both"/>
        <w:rPr>
          <w:rFonts w:ascii="Garamond" w:hAnsi="Garamond" w:cs="Times New Roman"/>
        </w:rPr>
      </w:pPr>
      <w:r w:rsidRPr="004A0C12">
        <w:rPr>
          <w:rFonts w:ascii="Garamond" w:hAnsi="Garamond" w:cs="Times New Roman"/>
        </w:rPr>
        <w:t xml:space="preserve">This program </w:t>
      </w:r>
      <w:r w:rsidR="004705C8" w:rsidRPr="004A0C12">
        <w:rPr>
          <w:rFonts w:ascii="Garamond" w:hAnsi="Garamond" w:cs="Times New Roman"/>
        </w:rPr>
        <w:t>provides extended school day activities from 3-6 p.m. to 1,100 children of low income families in ten Baltimore City public elementary/middle schools – 98 percent of the schools’ student population is eligible fo</w:t>
      </w:r>
      <w:r w:rsidRPr="004A0C12">
        <w:rPr>
          <w:rFonts w:ascii="Garamond" w:hAnsi="Garamond" w:cs="Times New Roman"/>
        </w:rPr>
        <w:t xml:space="preserve">r free or reduced lunch. </w:t>
      </w:r>
      <w:r w:rsidR="004705C8" w:rsidRPr="004A0C12">
        <w:rPr>
          <w:rFonts w:ascii="Garamond" w:hAnsi="Garamond" w:cs="Times New Roman"/>
        </w:rPr>
        <w:t>The eligibility standard is 300 percent</w:t>
      </w:r>
      <w:r w:rsidRPr="004A0C12">
        <w:rPr>
          <w:rFonts w:ascii="Garamond" w:hAnsi="Garamond" w:cs="Times New Roman"/>
        </w:rPr>
        <w:t xml:space="preserve"> of the federal poverty level. </w:t>
      </w:r>
      <w:r w:rsidR="004705C8" w:rsidRPr="004A0C12">
        <w:rPr>
          <w:rFonts w:ascii="Garamond" w:hAnsi="Garamond" w:cs="Times New Roman"/>
        </w:rPr>
        <w:t xml:space="preserve">Teachers and/or school principals in participating </w:t>
      </w:r>
      <w:r w:rsidRPr="004A0C12">
        <w:rPr>
          <w:rFonts w:ascii="Garamond" w:hAnsi="Garamond" w:cs="Times New Roman"/>
        </w:rPr>
        <w:t>schools can refer a child to Child First Authority</w:t>
      </w:r>
      <w:r w:rsidR="004705C8" w:rsidRPr="004A0C12">
        <w:rPr>
          <w:rFonts w:ascii="Garamond" w:hAnsi="Garamond" w:cs="Times New Roman"/>
        </w:rPr>
        <w:t xml:space="preserve"> if the child is determined to be at risk of poor school performance and/or </w:t>
      </w:r>
      <w:r w:rsidRPr="004A0C12">
        <w:rPr>
          <w:rFonts w:ascii="Garamond" w:hAnsi="Garamond" w:cs="Times New Roman"/>
        </w:rPr>
        <w:t xml:space="preserve">attendance. </w:t>
      </w:r>
      <w:r w:rsidR="004705C8" w:rsidRPr="004A0C12">
        <w:rPr>
          <w:rFonts w:ascii="Garamond" w:hAnsi="Garamond" w:cs="Times New Roman"/>
        </w:rPr>
        <w:t xml:space="preserve">All parents of participating children must actively </w:t>
      </w:r>
      <w:r w:rsidRPr="004A0C12">
        <w:rPr>
          <w:rFonts w:ascii="Garamond" w:hAnsi="Garamond" w:cs="Times New Roman"/>
        </w:rPr>
        <w:t>participate in nine hours of Child First Authority</w:t>
      </w:r>
      <w:r w:rsidR="004705C8" w:rsidRPr="004A0C12">
        <w:rPr>
          <w:rFonts w:ascii="Garamond" w:hAnsi="Garamond" w:cs="Times New Roman"/>
        </w:rPr>
        <w:t xml:space="preserve"> sponsored training or activities each school year. </w:t>
      </w:r>
    </w:p>
    <w:p w14:paraId="10076272" w14:textId="77777777" w:rsidR="004705C8" w:rsidRPr="004A0C12" w:rsidRDefault="004705C8" w:rsidP="004705C8">
      <w:pPr>
        <w:spacing w:after="0" w:line="240" w:lineRule="auto"/>
        <w:ind w:left="360"/>
        <w:jc w:val="both"/>
        <w:rPr>
          <w:rFonts w:ascii="Garamond" w:hAnsi="Garamond" w:cs="Times New Roman"/>
        </w:rPr>
      </w:pPr>
    </w:p>
    <w:p w14:paraId="0658727B" w14:textId="7ECA49E8" w:rsidR="004705C8" w:rsidRPr="004A0C12" w:rsidRDefault="004705C8" w:rsidP="004058D6">
      <w:pPr>
        <w:spacing w:after="0" w:line="240" w:lineRule="auto"/>
        <w:jc w:val="both"/>
        <w:rPr>
          <w:rFonts w:ascii="Garamond" w:hAnsi="Garamond" w:cs="Times New Roman"/>
        </w:rPr>
      </w:pPr>
      <w:r w:rsidRPr="004A0C12">
        <w:rPr>
          <w:rFonts w:ascii="Garamond" w:hAnsi="Garamond" w:cs="Times New Roman"/>
        </w:rPr>
        <w:t>The extended school day enriches children’s lives and enables parent</w:t>
      </w:r>
      <w:r w:rsidR="004058D6" w:rsidRPr="004A0C12">
        <w:rPr>
          <w:rFonts w:ascii="Garamond" w:hAnsi="Garamond" w:cs="Times New Roman"/>
        </w:rPr>
        <w:t>s to work or attend school.  Child First Authority</w:t>
      </w:r>
      <w:r w:rsidRPr="004A0C12">
        <w:rPr>
          <w:rFonts w:ascii="Garamond" w:hAnsi="Garamond" w:cs="Times New Roman"/>
        </w:rPr>
        <w:t xml:space="preserve"> programs focus on safety, self-esteem, motivation, performance, character development</w:t>
      </w:r>
      <w:r w:rsidR="004058D6" w:rsidRPr="004A0C12">
        <w:rPr>
          <w:rFonts w:ascii="Garamond" w:hAnsi="Garamond" w:cs="Times New Roman"/>
        </w:rPr>
        <w:t>, and educational enrichment. Child First Authority</w:t>
      </w:r>
      <w:r w:rsidRPr="004A0C12">
        <w:rPr>
          <w:rFonts w:ascii="Garamond" w:hAnsi="Garamond" w:cs="Times New Roman"/>
        </w:rPr>
        <w:t xml:space="preserve"> programs provide additional educational experiences by conducting sessions in art, music, dance, history, reading, writing</w:t>
      </w:r>
      <w:r w:rsidR="004058D6" w:rsidRPr="004A0C12">
        <w:rPr>
          <w:rFonts w:ascii="Garamond" w:hAnsi="Garamond" w:cs="Times New Roman"/>
        </w:rPr>
        <w:t>, and math.</w:t>
      </w:r>
      <w:r w:rsidRPr="004A0C12">
        <w:rPr>
          <w:rFonts w:ascii="Garamond" w:hAnsi="Garamond" w:cs="Times New Roman"/>
        </w:rPr>
        <w:t xml:space="preserve"> Many of the participating schools do not have “arts” activities </w:t>
      </w:r>
      <w:r w:rsidR="004058D6" w:rsidRPr="004A0C12">
        <w:rPr>
          <w:rFonts w:ascii="Garamond" w:hAnsi="Garamond" w:cs="Times New Roman"/>
        </w:rPr>
        <w:t xml:space="preserve">as a part of their curriculum. </w:t>
      </w:r>
      <w:r w:rsidRPr="004A0C12">
        <w:rPr>
          <w:rFonts w:ascii="Garamond" w:hAnsi="Garamond" w:cs="Times New Roman"/>
        </w:rPr>
        <w:t>Th</w:t>
      </w:r>
      <w:r w:rsidR="004058D6" w:rsidRPr="004A0C12">
        <w:rPr>
          <w:rFonts w:ascii="Garamond" w:hAnsi="Garamond" w:cs="Times New Roman"/>
        </w:rPr>
        <w:t xml:space="preserve">e Annenberg Institute chose Child First Authority </w:t>
      </w:r>
      <w:r w:rsidRPr="004A0C12">
        <w:rPr>
          <w:rFonts w:ascii="Garamond" w:hAnsi="Garamond" w:cs="Times New Roman"/>
        </w:rPr>
        <w:t>as one of nine successful initiatives</w:t>
      </w:r>
      <w:r w:rsidR="004058D6" w:rsidRPr="004A0C12">
        <w:rPr>
          <w:rFonts w:ascii="Garamond" w:hAnsi="Garamond" w:cs="Times New Roman"/>
        </w:rPr>
        <w:t xml:space="preserve"> nationally for School Reform. Child First Authority</w:t>
      </w:r>
      <w:r w:rsidRPr="004A0C12">
        <w:rPr>
          <w:rFonts w:ascii="Garamond" w:hAnsi="Garamond" w:cs="Times New Roman"/>
        </w:rPr>
        <w:t xml:space="preserve"> partners include the Maryland Historical Society, Maryland Institute of Art, numerous faith organizations</w:t>
      </w:r>
      <w:r w:rsidR="004058D6" w:rsidRPr="004A0C12">
        <w:rPr>
          <w:rFonts w:ascii="Garamond" w:hAnsi="Garamond" w:cs="Times New Roman"/>
        </w:rPr>
        <w:t>,</w:t>
      </w:r>
      <w:r w:rsidRPr="004A0C12">
        <w:rPr>
          <w:rFonts w:ascii="Garamond" w:hAnsi="Garamond" w:cs="Times New Roman"/>
        </w:rPr>
        <w:t xml:space="preserve"> and parent volunteers. The purpose of the program is to enhance the motivation, performance</w:t>
      </w:r>
      <w:r w:rsidR="004058D6" w:rsidRPr="004A0C12">
        <w:rPr>
          <w:rFonts w:ascii="Garamond" w:hAnsi="Garamond" w:cs="Times New Roman"/>
        </w:rPr>
        <w:t>,</w:t>
      </w:r>
      <w:r w:rsidRPr="004A0C12">
        <w:rPr>
          <w:rFonts w:ascii="Garamond" w:hAnsi="Garamond" w:cs="Times New Roman"/>
        </w:rPr>
        <w:t xml:space="preserve"> and self-esteem of youth and is thus reasonably calculated to achieve the third goal of the TANF law, the reduction of</w:t>
      </w:r>
      <w:r w:rsidR="004058D6" w:rsidRPr="004A0C12">
        <w:rPr>
          <w:rFonts w:ascii="Garamond" w:hAnsi="Garamond" w:cs="Times New Roman"/>
        </w:rPr>
        <w:t xml:space="preserve"> out of wedlock pregnancies. </w:t>
      </w:r>
      <w:r w:rsidRPr="004A0C12">
        <w:rPr>
          <w:rFonts w:ascii="Garamond" w:hAnsi="Garamond" w:cs="Times New Roman"/>
        </w:rPr>
        <w:t>This program is not in any way a component of Maryland’s</w:t>
      </w:r>
      <w:r w:rsidR="004058D6" w:rsidRPr="004A0C12">
        <w:rPr>
          <w:rFonts w:ascii="Garamond" w:hAnsi="Garamond" w:cs="Times New Roman"/>
        </w:rPr>
        <w:t xml:space="preserve"> system of free public schools.</w:t>
      </w:r>
      <w:r w:rsidRPr="004A0C12">
        <w:rPr>
          <w:rFonts w:ascii="Garamond" w:hAnsi="Garamond" w:cs="Times New Roman"/>
        </w:rPr>
        <w:t xml:space="preserve"> This program provides non-assistance.</w:t>
      </w:r>
    </w:p>
    <w:p w14:paraId="0A2C7B9B" w14:textId="77777777" w:rsidR="004705C8" w:rsidRPr="004A0C12" w:rsidRDefault="004705C8" w:rsidP="004705C8">
      <w:pPr>
        <w:pStyle w:val="Footer"/>
        <w:jc w:val="both"/>
        <w:rPr>
          <w:rFonts w:ascii="Garamond" w:hAnsi="Garamond" w:cs="Times New Roman"/>
        </w:rPr>
      </w:pPr>
    </w:p>
    <w:p w14:paraId="11ED74B6" w14:textId="77777777" w:rsidR="00902C29" w:rsidRPr="00307FCC" w:rsidRDefault="004705C8" w:rsidP="004058D6">
      <w:pPr>
        <w:widowControl w:val="0"/>
        <w:spacing w:after="0" w:line="240" w:lineRule="auto"/>
        <w:jc w:val="both"/>
        <w:rPr>
          <w:rFonts w:ascii="Garamond" w:hAnsi="Garamond" w:cs="Times New Roman"/>
          <w:sz w:val="24"/>
        </w:rPr>
      </w:pPr>
      <w:r w:rsidRPr="00307FCC">
        <w:rPr>
          <w:rStyle w:val="Heading4Char"/>
          <w:rFonts w:ascii="Garamond" w:hAnsi="Garamond"/>
          <w:sz w:val="24"/>
        </w:rPr>
        <w:t>Substance Abuse Treatment and Services Program</w:t>
      </w:r>
    </w:p>
    <w:p w14:paraId="678E8F25" w14:textId="5DA31A5F" w:rsidR="004705C8" w:rsidRPr="004A0C12" w:rsidRDefault="004705C8" w:rsidP="004058D6">
      <w:pPr>
        <w:widowControl w:val="0"/>
        <w:spacing w:after="0" w:line="240" w:lineRule="auto"/>
        <w:jc w:val="both"/>
        <w:rPr>
          <w:rFonts w:ascii="Garamond" w:hAnsi="Garamond" w:cs="Times New Roman"/>
          <w:b/>
          <w:u w:val="single"/>
        </w:rPr>
      </w:pPr>
      <w:r w:rsidRPr="004A0C12">
        <w:rPr>
          <w:rFonts w:ascii="Garamond" w:hAnsi="Garamond" w:cs="Times New Roman"/>
        </w:rPr>
        <w:t>The Welfare Innovation Act of 2000 and HB 1024 of the 2005 Session of the Maryland General Assembly required the hiring and placement of addictions specialists in local depart</w:t>
      </w:r>
      <w:r w:rsidR="00F14243" w:rsidRPr="004A0C12">
        <w:rPr>
          <w:rFonts w:ascii="Garamond" w:hAnsi="Garamond" w:cs="Times New Roman"/>
        </w:rPr>
        <w:t xml:space="preserve">ments of social services </w:t>
      </w:r>
      <w:r w:rsidRPr="004A0C12">
        <w:rPr>
          <w:rFonts w:ascii="Garamond" w:hAnsi="Garamond" w:cs="Times New Roman"/>
        </w:rPr>
        <w:t xml:space="preserve">to conduct screening, testing, assessments, referrals, and reporting for </w:t>
      </w:r>
      <w:r w:rsidR="00F14243" w:rsidRPr="004A0C12">
        <w:rPr>
          <w:rFonts w:ascii="Garamond" w:hAnsi="Garamond" w:cs="Times New Roman"/>
        </w:rPr>
        <w:t>TCA</w:t>
      </w:r>
      <w:r w:rsidRPr="004A0C12">
        <w:rPr>
          <w:rFonts w:ascii="Garamond" w:hAnsi="Garamond" w:cs="Times New Roman"/>
        </w:rPr>
        <w:t xml:space="preserve"> adults and minor parents, and certain Food Supplement Program applicants and recipients (custodial and non-custodial parents </w:t>
      </w:r>
      <w:r w:rsidR="00F14243" w:rsidRPr="004A0C12">
        <w:rPr>
          <w:rFonts w:ascii="Garamond" w:hAnsi="Garamond" w:cs="Times New Roman"/>
        </w:rPr>
        <w:t>who are convicted drug felons).</w:t>
      </w:r>
      <w:r w:rsidRPr="004A0C12">
        <w:rPr>
          <w:rFonts w:ascii="Garamond" w:hAnsi="Garamond" w:cs="Times New Roman"/>
        </w:rPr>
        <w:t xml:space="preserve"> The program requirements and possible sanctions for TCA adults and minor parents are mentioned above as part of the Family Inve</w:t>
      </w:r>
      <w:r w:rsidR="00C22EB8" w:rsidRPr="004A0C12">
        <w:rPr>
          <w:rFonts w:ascii="Garamond" w:hAnsi="Garamond" w:cs="Times New Roman"/>
        </w:rPr>
        <w:t>stment Program Core Components.</w:t>
      </w:r>
      <w:r w:rsidRPr="004A0C12">
        <w:rPr>
          <w:rFonts w:ascii="Garamond" w:hAnsi="Garamond" w:cs="Times New Roman"/>
        </w:rPr>
        <w:t xml:space="preserve"> This program provides non-assistance to TANF eligible individuals and certain Food Supplement Program applicants and recipients whose income is less than 130 percent of the Federal Poverty Leve</w:t>
      </w:r>
      <w:r w:rsidR="00C22EB8" w:rsidRPr="004A0C12">
        <w:rPr>
          <w:rFonts w:ascii="Garamond" w:hAnsi="Garamond" w:cs="Times New Roman"/>
        </w:rPr>
        <w:t>l</w:t>
      </w:r>
      <w:r w:rsidRPr="004A0C12">
        <w:rPr>
          <w:rFonts w:ascii="Garamond" w:hAnsi="Garamond" w:cs="Times New Roman"/>
        </w:rPr>
        <w:t xml:space="preserve">. </w:t>
      </w:r>
    </w:p>
    <w:p w14:paraId="6316743A" w14:textId="77777777" w:rsidR="004705C8" w:rsidRPr="00307FCC" w:rsidRDefault="004705C8" w:rsidP="004705C8">
      <w:pPr>
        <w:pStyle w:val="BodyText2"/>
        <w:spacing w:after="0" w:line="240" w:lineRule="auto"/>
        <w:jc w:val="both"/>
        <w:rPr>
          <w:rFonts w:ascii="Garamond" w:hAnsi="Garamond" w:cs="Times New Roman"/>
          <w:sz w:val="24"/>
        </w:rPr>
      </w:pPr>
    </w:p>
    <w:p w14:paraId="633CBDBF" w14:textId="77777777" w:rsidR="00902C29" w:rsidRPr="00307FCC" w:rsidRDefault="004705C8" w:rsidP="00C22EB8">
      <w:pPr>
        <w:widowControl w:val="0"/>
        <w:spacing w:after="0" w:line="240" w:lineRule="auto"/>
        <w:jc w:val="both"/>
        <w:rPr>
          <w:rFonts w:ascii="Garamond" w:hAnsi="Garamond" w:cs="Times New Roman"/>
          <w:sz w:val="24"/>
        </w:rPr>
      </w:pPr>
      <w:r w:rsidRPr="00307FCC">
        <w:rPr>
          <w:rStyle w:val="Heading4Char"/>
          <w:rFonts w:ascii="Garamond" w:hAnsi="Garamond"/>
          <w:sz w:val="24"/>
        </w:rPr>
        <w:t>After School Programs</w:t>
      </w:r>
      <w:r w:rsidR="00902C29" w:rsidRPr="00307FCC">
        <w:rPr>
          <w:rFonts w:ascii="Garamond" w:hAnsi="Garamond" w:cs="Times New Roman"/>
          <w:sz w:val="24"/>
        </w:rPr>
        <w:t xml:space="preserve"> </w:t>
      </w:r>
    </w:p>
    <w:p w14:paraId="6F75C396" w14:textId="2C482573" w:rsidR="004705C8" w:rsidRPr="004A0C12" w:rsidRDefault="004705C8" w:rsidP="00C22EB8">
      <w:pPr>
        <w:widowControl w:val="0"/>
        <w:spacing w:after="0" w:line="240" w:lineRule="auto"/>
        <w:jc w:val="both"/>
        <w:rPr>
          <w:rFonts w:ascii="Garamond" w:hAnsi="Garamond" w:cs="Times New Roman"/>
          <w:b/>
          <w:u w:val="single"/>
        </w:rPr>
      </w:pPr>
      <w:r w:rsidRPr="004A0C12">
        <w:rPr>
          <w:rFonts w:ascii="Garamond" w:hAnsi="Garamond" w:cs="Times New Roman"/>
        </w:rPr>
        <w:t>The basic after school program is available statewide for school age children in families at or</w:t>
      </w:r>
      <w:r w:rsidR="00C22EB8" w:rsidRPr="004A0C12">
        <w:rPr>
          <w:rFonts w:ascii="Garamond" w:hAnsi="Garamond" w:cs="Times New Roman"/>
        </w:rPr>
        <w:t xml:space="preserve"> below 300 percent of poverty. </w:t>
      </w:r>
      <w:r w:rsidRPr="004A0C12">
        <w:rPr>
          <w:rFonts w:ascii="Garamond" w:hAnsi="Garamond" w:cs="Times New Roman"/>
        </w:rPr>
        <w:t>This also includes local programs that provide the same or similar services.</w:t>
      </w:r>
    </w:p>
    <w:p w14:paraId="13DD4EA0" w14:textId="77777777" w:rsidR="004705C8" w:rsidRPr="004A0C12" w:rsidRDefault="004705C8" w:rsidP="004705C8">
      <w:pPr>
        <w:spacing w:after="0" w:line="240" w:lineRule="auto"/>
        <w:jc w:val="both"/>
        <w:rPr>
          <w:rFonts w:ascii="Garamond" w:hAnsi="Garamond" w:cs="Times New Roman"/>
        </w:rPr>
      </w:pPr>
    </w:p>
    <w:p w14:paraId="2C1E10A4" w14:textId="7FDB46DF" w:rsidR="004705C8" w:rsidRPr="004A0C12" w:rsidRDefault="004705C8" w:rsidP="00C22EB8">
      <w:pPr>
        <w:pStyle w:val="BodyText2"/>
        <w:spacing w:after="0" w:line="240" w:lineRule="auto"/>
        <w:jc w:val="both"/>
        <w:rPr>
          <w:rFonts w:ascii="Garamond" w:hAnsi="Garamond" w:cs="Times New Roman"/>
        </w:rPr>
      </w:pPr>
      <w:r w:rsidRPr="004A0C12">
        <w:rPr>
          <w:rFonts w:ascii="Garamond" w:hAnsi="Garamond" w:cs="Times New Roman"/>
        </w:rPr>
        <w:t xml:space="preserve">Vendors chosen to operate within the statewide program must incorporate features that will have a positive measurable impact on one or more of the conditions of well-being for children and youth identified by a report of Maryland results and indicators of child </w:t>
      </w:r>
      <w:r w:rsidR="00C22EB8" w:rsidRPr="004A0C12">
        <w:rPr>
          <w:rFonts w:ascii="Garamond" w:hAnsi="Garamond" w:cs="Times New Roman"/>
        </w:rPr>
        <w:t xml:space="preserve">wellbeing. </w:t>
      </w:r>
      <w:r w:rsidRPr="004A0C12">
        <w:rPr>
          <w:rFonts w:ascii="Garamond" w:hAnsi="Garamond" w:cs="Times New Roman"/>
        </w:rPr>
        <w:t>One of the results and indicators is “Babies Born Healthy,” which includes a measure for “the rate of births to adolesce</w:t>
      </w:r>
      <w:r w:rsidR="00C22EB8" w:rsidRPr="004A0C12">
        <w:rPr>
          <w:rFonts w:ascii="Garamond" w:hAnsi="Garamond" w:cs="Times New Roman"/>
        </w:rPr>
        <w:t>nts less than 18 years of age.”</w:t>
      </w:r>
      <w:r w:rsidRPr="004A0C12">
        <w:rPr>
          <w:rFonts w:ascii="Garamond" w:hAnsi="Garamond" w:cs="Times New Roman"/>
        </w:rPr>
        <w:t xml:space="preserve"> Another is “Stable and Economically Self-Sufficient Families,” which includes a measure of “the percent of single parent households.”  </w:t>
      </w:r>
    </w:p>
    <w:p w14:paraId="1871261E" w14:textId="77777777" w:rsidR="004705C8" w:rsidRPr="004A0C12" w:rsidRDefault="004705C8" w:rsidP="004705C8">
      <w:pPr>
        <w:pStyle w:val="BodyText2"/>
        <w:spacing w:after="0" w:line="240" w:lineRule="auto"/>
        <w:ind w:left="360"/>
        <w:jc w:val="both"/>
        <w:rPr>
          <w:rFonts w:ascii="Garamond" w:hAnsi="Garamond" w:cs="Times New Roman"/>
        </w:rPr>
      </w:pPr>
    </w:p>
    <w:p w14:paraId="47D00BC3" w14:textId="7DED6814" w:rsidR="004705C8" w:rsidRPr="004A0C12" w:rsidRDefault="004705C8" w:rsidP="00C22EB8">
      <w:pPr>
        <w:pStyle w:val="BodyText2"/>
        <w:spacing w:after="0" w:line="240" w:lineRule="auto"/>
        <w:jc w:val="both"/>
        <w:rPr>
          <w:rFonts w:ascii="Garamond" w:hAnsi="Garamond" w:cs="Times New Roman"/>
        </w:rPr>
      </w:pPr>
      <w:r w:rsidRPr="004A0C12">
        <w:rPr>
          <w:rFonts w:ascii="Garamond" w:hAnsi="Garamond" w:cs="Times New Roman"/>
        </w:rPr>
        <w:t>Additionally, local providers offer a variety of after school opportunities to Maryland’s youth usin</w:t>
      </w:r>
      <w:r w:rsidR="00C22EB8" w:rsidRPr="004A0C12">
        <w:rPr>
          <w:rFonts w:ascii="Garamond" w:hAnsi="Garamond" w:cs="Times New Roman"/>
        </w:rPr>
        <w:t xml:space="preserve">g their own or combinations of State and local funds. </w:t>
      </w:r>
      <w:r w:rsidRPr="004A0C12">
        <w:rPr>
          <w:rFonts w:ascii="Garamond" w:hAnsi="Garamond" w:cs="Times New Roman"/>
        </w:rPr>
        <w:t>Programs include those housed in local schools that have an academic focus in addition to traditional recreation programs and those based in the community, in a church, recreation center or similar facility, which stress academics, recreation</w:t>
      </w:r>
      <w:r w:rsidR="00C22EB8" w:rsidRPr="004A0C12">
        <w:rPr>
          <w:rFonts w:ascii="Garamond" w:hAnsi="Garamond" w:cs="Times New Roman"/>
        </w:rPr>
        <w:t>,</w:t>
      </w:r>
      <w:r w:rsidRPr="004A0C12">
        <w:rPr>
          <w:rFonts w:ascii="Garamond" w:hAnsi="Garamond" w:cs="Times New Roman"/>
        </w:rPr>
        <w:t xml:space="preserve"> and artistic skill development equally as well as programs providing skill development activities around </w:t>
      </w:r>
      <w:r w:rsidR="00C22EB8" w:rsidRPr="004A0C12">
        <w:rPr>
          <w:rFonts w:ascii="Garamond" w:hAnsi="Garamond" w:cs="Times New Roman"/>
        </w:rPr>
        <w:t>a particular artistic activity.</w:t>
      </w:r>
      <w:r w:rsidRPr="004A0C12">
        <w:rPr>
          <w:rFonts w:ascii="Garamond" w:hAnsi="Garamond" w:cs="Times New Roman"/>
        </w:rPr>
        <w:t xml:space="preserve"> Some pair older youth in a tutoring relationship with younger youth, an experience geared to </w:t>
      </w:r>
      <w:r w:rsidR="00C22EB8" w:rsidRPr="004A0C12">
        <w:rPr>
          <w:rFonts w:ascii="Garamond" w:hAnsi="Garamond" w:cs="Times New Roman"/>
        </w:rPr>
        <w:t>preparation for the work world.</w:t>
      </w:r>
      <w:r w:rsidRPr="004A0C12">
        <w:rPr>
          <w:rFonts w:ascii="Garamond" w:hAnsi="Garamond" w:cs="Times New Roman"/>
        </w:rPr>
        <w:t xml:space="preserve"> Outcomes soug</w:t>
      </w:r>
      <w:r w:rsidR="00C22EB8" w:rsidRPr="004A0C12">
        <w:rPr>
          <w:rFonts w:ascii="Garamond" w:hAnsi="Garamond" w:cs="Times New Roman"/>
        </w:rPr>
        <w:t xml:space="preserve">ht by these activities include: </w:t>
      </w:r>
      <w:r w:rsidRPr="004A0C12">
        <w:rPr>
          <w:rFonts w:ascii="Garamond" w:hAnsi="Garamond" w:cs="Times New Roman"/>
        </w:rPr>
        <w:t>increased school attendance, increased school achievement, reduction in delinquent behavior, reduction in substance abuse, an</w:t>
      </w:r>
      <w:r w:rsidR="00C22EB8" w:rsidRPr="004A0C12">
        <w:rPr>
          <w:rFonts w:ascii="Garamond" w:hAnsi="Garamond" w:cs="Times New Roman"/>
        </w:rPr>
        <w:t xml:space="preserve">d reduction in teen pregnancy. </w:t>
      </w:r>
      <w:r w:rsidRPr="004A0C12">
        <w:rPr>
          <w:rFonts w:ascii="Garamond" w:hAnsi="Garamond" w:cs="Times New Roman"/>
        </w:rPr>
        <w:t>Therefore, this program is reasonably calculated to achieve purposes three and four</w:t>
      </w:r>
      <w:r w:rsidR="00297312" w:rsidRPr="004A0C12">
        <w:rPr>
          <w:rStyle w:val="FootnoteReference"/>
          <w:rFonts w:ascii="Garamond" w:hAnsi="Garamond" w:cs="Times New Roman"/>
        </w:rPr>
        <w:footnoteReference w:id="58"/>
      </w:r>
      <w:r w:rsidRPr="004A0C12">
        <w:rPr>
          <w:rFonts w:ascii="Garamond" w:hAnsi="Garamond" w:cs="Times New Roman"/>
        </w:rPr>
        <w:t xml:space="preserve"> of the TANF statute</w:t>
      </w:r>
      <w:r w:rsidR="00C22EB8" w:rsidRPr="004A0C12">
        <w:rPr>
          <w:rFonts w:ascii="Garamond" w:hAnsi="Garamond" w:cs="Times New Roman"/>
        </w:rPr>
        <w:t>.</w:t>
      </w:r>
      <w:r w:rsidRPr="004A0C12">
        <w:rPr>
          <w:rFonts w:ascii="Garamond" w:hAnsi="Garamond" w:cs="Times New Roman"/>
        </w:rPr>
        <w:t xml:space="preserve"> This program provides non-assistance.</w:t>
      </w:r>
    </w:p>
    <w:p w14:paraId="136020E4" w14:textId="77777777" w:rsidR="004705C8" w:rsidRPr="004A0C12" w:rsidRDefault="004705C8" w:rsidP="004705C8">
      <w:pPr>
        <w:pStyle w:val="Footer"/>
        <w:jc w:val="both"/>
        <w:rPr>
          <w:rFonts w:ascii="Garamond" w:hAnsi="Garamond" w:cs="Times New Roman"/>
        </w:rPr>
      </w:pPr>
    </w:p>
    <w:p w14:paraId="474BC68D" w14:textId="77777777" w:rsidR="00902C29" w:rsidRPr="00307FCC" w:rsidRDefault="004705C8" w:rsidP="00C22EB8">
      <w:pPr>
        <w:widowControl w:val="0"/>
        <w:spacing w:after="0" w:line="240" w:lineRule="auto"/>
        <w:jc w:val="both"/>
        <w:rPr>
          <w:rFonts w:ascii="Garamond" w:hAnsi="Garamond" w:cs="Times New Roman"/>
          <w:sz w:val="24"/>
        </w:rPr>
      </w:pPr>
      <w:r w:rsidRPr="00307FCC">
        <w:rPr>
          <w:rStyle w:val="Heading4Char"/>
          <w:rFonts w:ascii="Garamond" w:hAnsi="Garamond"/>
          <w:sz w:val="24"/>
        </w:rPr>
        <w:t>Howard P. Rawlings Program of Educational Excellence Awards</w:t>
      </w:r>
    </w:p>
    <w:p w14:paraId="69DA97A1" w14:textId="410CEDDB" w:rsidR="004705C8" w:rsidRPr="004A0C12" w:rsidRDefault="004705C8" w:rsidP="00C22EB8">
      <w:pPr>
        <w:widowControl w:val="0"/>
        <w:spacing w:after="0" w:line="240" w:lineRule="auto"/>
        <w:jc w:val="both"/>
        <w:rPr>
          <w:rFonts w:ascii="Garamond" w:hAnsi="Garamond" w:cs="Times New Roman"/>
        </w:rPr>
      </w:pPr>
      <w:r w:rsidRPr="004A0C12">
        <w:rPr>
          <w:rFonts w:ascii="Garamond" w:hAnsi="Garamond" w:cs="Times New Roman"/>
        </w:rPr>
        <w:t xml:space="preserve">The State funds two need-based scholarships under this program: </w:t>
      </w:r>
      <w:r w:rsidR="00C22EB8" w:rsidRPr="004A0C12">
        <w:rPr>
          <w:rFonts w:ascii="Garamond" w:hAnsi="Garamond" w:cs="Times New Roman"/>
        </w:rPr>
        <w:t xml:space="preserve">(1) </w:t>
      </w:r>
      <w:r w:rsidRPr="004A0C12">
        <w:rPr>
          <w:rFonts w:ascii="Garamond" w:hAnsi="Garamond" w:cs="Times New Roman"/>
        </w:rPr>
        <w:t>the Guaranteed Access Program</w:t>
      </w:r>
      <w:r w:rsidR="00C22EB8" w:rsidRPr="004A0C12">
        <w:rPr>
          <w:rFonts w:ascii="Garamond" w:hAnsi="Garamond" w:cs="Times New Roman"/>
        </w:rPr>
        <w:t>;</w:t>
      </w:r>
      <w:r w:rsidRPr="004A0C12">
        <w:rPr>
          <w:rFonts w:ascii="Garamond" w:hAnsi="Garamond" w:cs="Times New Roman"/>
        </w:rPr>
        <w:t xml:space="preserve"> and</w:t>
      </w:r>
      <w:r w:rsidR="00C22EB8" w:rsidRPr="004A0C12">
        <w:rPr>
          <w:rFonts w:ascii="Garamond" w:hAnsi="Garamond" w:cs="Times New Roman"/>
        </w:rPr>
        <w:t>, (2)</w:t>
      </w:r>
      <w:r w:rsidRPr="004A0C12">
        <w:rPr>
          <w:rFonts w:ascii="Garamond" w:hAnsi="Garamond" w:cs="Times New Roman"/>
        </w:rPr>
        <w:t xml:space="preserve"> the</w:t>
      </w:r>
      <w:r w:rsidR="00C22EB8" w:rsidRPr="004A0C12">
        <w:rPr>
          <w:rFonts w:ascii="Garamond" w:hAnsi="Garamond" w:cs="Times New Roman"/>
        </w:rPr>
        <w:t xml:space="preserve"> Educational Assistance Grant. </w:t>
      </w:r>
      <w:r w:rsidRPr="004A0C12">
        <w:rPr>
          <w:rFonts w:ascii="Garamond" w:hAnsi="Garamond" w:cs="Times New Roman"/>
        </w:rPr>
        <w:t xml:space="preserve">The Guaranteed Access Program is open to current high school seniors who will complete a college preparatory program or a student who graduated prior to the current academic year who provides written documentation explaining why they were unable </w:t>
      </w:r>
      <w:r w:rsidR="00C22EB8" w:rsidRPr="004A0C12">
        <w:rPr>
          <w:rFonts w:ascii="Garamond" w:hAnsi="Garamond" w:cs="Times New Roman"/>
        </w:rPr>
        <w:t>to attend college within one</w:t>
      </w:r>
      <w:r w:rsidRPr="004A0C12">
        <w:rPr>
          <w:rFonts w:ascii="Garamond" w:hAnsi="Garamond" w:cs="Times New Roman"/>
        </w:rPr>
        <w:t xml:space="preserve"> year of graduati</w:t>
      </w:r>
      <w:r w:rsidR="00C22EB8" w:rsidRPr="004A0C12">
        <w:rPr>
          <w:rFonts w:ascii="Garamond" w:hAnsi="Garamond" w:cs="Times New Roman"/>
        </w:rPr>
        <w:t xml:space="preserve">ng from high school. </w:t>
      </w:r>
      <w:r w:rsidRPr="004A0C12">
        <w:rPr>
          <w:rFonts w:ascii="Garamond" w:hAnsi="Garamond" w:cs="Times New Roman"/>
        </w:rPr>
        <w:t>The income scale for the Guaranteed Access Grant program is</w:t>
      </w:r>
      <w:r w:rsidR="00C22EB8" w:rsidRPr="004A0C12">
        <w:rPr>
          <w:rFonts w:ascii="Garamond" w:hAnsi="Garamond" w:cs="Times New Roman"/>
        </w:rPr>
        <w:t xml:space="preserve"> below and annual updates can be found at</w:t>
      </w:r>
      <w:r w:rsidRPr="004A0C12">
        <w:rPr>
          <w:rFonts w:ascii="Garamond" w:hAnsi="Garamond" w:cs="Times New Roman"/>
        </w:rPr>
        <w:t xml:space="preserve">: </w:t>
      </w:r>
      <w:hyperlink r:id="rId103" w:history="1">
        <w:r w:rsidR="00C22EB8" w:rsidRPr="004A0C12">
          <w:rPr>
            <w:rStyle w:val="Hyperlink"/>
            <w:rFonts w:ascii="Garamond" w:hAnsi="Garamond" w:cs="Times New Roman"/>
          </w:rPr>
          <w:t>http://www.mhec.maryland.gov/financialAid/ProgramDescriptions/prog_ga.asp</w:t>
        </w:r>
      </w:hyperlink>
      <w:r w:rsidR="00C22EB8" w:rsidRPr="004A0C12">
        <w:rPr>
          <w:rFonts w:ascii="Garamond" w:hAnsi="Garamond" w:cs="Times New Roman"/>
        </w:rPr>
        <w:t xml:space="preserve">.  </w:t>
      </w:r>
    </w:p>
    <w:p w14:paraId="5E89BCE3" w14:textId="77777777" w:rsidR="00C22EB8" w:rsidRPr="004A0C12" w:rsidRDefault="00C22EB8" w:rsidP="00C22EB8">
      <w:pPr>
        <w:widowControl w:val="0"/>
        <w:spacing w:after="0" w:line="240" w:lineRule="auto"/>
        <w:jc w:val="both"/>
        <w:rPr>
          <w:rFonts w:ascii="Garamond" w:hAnsi="Garamond" w:cs="Times New Roman"/>
        </w:rPr>
      </w:pPr>
    </w:p>
    <w:tbl>
      <w:tblPr>
        <w:tblStyle w:val="LightGrid-Accent1"/>
        <w:tblW w:w="0" w:type="auto"/>
        <w:tblLook w:val="04A0" w:firstRow="1" w:lastRow="0" w:firstColumn="1" w:lastColumn="0" w:noHBand="0" w:noVBand="1"/>
        <w:tblCaption w:val="2016 Guaranteed Access Grant: Family Income Requirements"/>
        <w:tblDescription w:val="For a Family Size of 1, 130% of Poverty Level (new) is $15,301 and 150% of Poverty Level (Renewal) is $17,655. For a Family Size of 2, 130% of Poverty Level (new) is $20,709 and 150% of Poverty Level (Renewal) is $23,895. For a Family Size of 3, 130% of Poverty Level (new) is $26,117 and 150% of Poverty Level (Renewal) is $30,135. For a Family Size of 4, 130% of Poverty Level (new) is $31,525 and 150% of Poverty Level (Renewal) is $36,375. For a Family Size of 5, 130% of Poverty Level (new) is $36,933 and 150% of Poverty Level (Renewal) is $42,615. For a Family Size of 6, 130% of Poverty Level (new) is $42,341 and 150% of Poverty Level (Renewal) is $48,855. For a Family Size of 7, 130% of Poverty Level (new) is $47,749 and 150% of Poverty Level (Renewal) is $55,095. For a Family Size of 8, 130% of Poverty Level (new) is $53,157 and 150% of Poverty Level (Renewal) is $6,240. For each additional person, 130% of Poverty Level (new) is $5,408 and 150% of Poverty Level (Renewal) is $6,240. "/>
      </w:tblPr>
      <w:tblGrid>
        <w:gridCol w:w="2520"/>
        <w:gridCol w:w="4518"/>
        <w:gridCol w:w="3510"/>
      </w:tblGrid>
      <w:tr w:rsidR="00C22EB8" w:rsidRPr="004A0C12" w14:paraId="750BB72F" w14:textId="77777777" w:rsidTr="008B1D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548" w:type="dxa"/>
            <w:gridSpan w:val="3"/>
          </w:tcPr>
          <w:p w14:paraId="57F88B7A" w14:textId="47D650EC" w:rsidR="00C22EB8" w:rsidRPr="004A0C12" w:rsidRDefault="00C22EB8" w:rsidP="00C22EB8">
            <w:pPr>
              <w:widowControl w:val="0"/>
              <w:jc w:val="center"/>
              <w:rPr>
                <w:rFonts w:ascii="Garamond" w:hAnsi="Garamond"/>
                <w:sz w:val="22"/>
                <w:szCs w:val="22"/>
              </w:rPr>
            </w:pPr>
            <w:r w:rsidRPr="004A0C12">
              <w:rPr>
                <w:rFonts w:ascii="Garamond" w:hAnsi="Garamond"/>
                <w:sz w:val="22"/>
                <w:szCs w:val="22"/>
              </w:rPr>
              <w:t>2016 Guaranteed Access Grant: Family Income Requirements</w:t>
            </w:r>
          </w:p>
        </w:tc>
      </w:tr>
      <w:tr w:rsidR="00C22EB8" w:rsidRPr="004A0C12" w14:paraId="0B01B6A9" w14:textId="77777777" w:rsidTr="00C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5D7F8D8B" w14:textId="03EB4734"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Family Size</w:t>
            </w:r>
          </w:p>
        </w:tc>
        <w:tc>
          <w:tcPr>
            <w:tcW w:w="4518" w:type="dxa"/>
          </w:tcPr>
          <w:p w14:paraId="0165F6ED" w14:textId="741744B8"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130% of Poverty Level (New)</w:t>
            </w:r>
          </w:p>
        </w:tc>
        <w:tc>
          <w:tcPr>
            <w:tcW w:w="3510" w:type="dxa"/>
          </w:tcPr>
          <w:p w14:paraId="3FBE8504" w14:textId="3BB434D7"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150% of Poverty Level (Renewal)</w:t>
            </w:r>
          </w:p>
        </w:tc>
      </w:tr>
      <w:tr w:rsidR="00C22EB8" w:rsidRPr="004A0C12" w14:paraId="4BE28ECB" w14:textId="77777777" w:rsidTr="00C22E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5BC925EB" w14:textId="0B5BE876"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1</w:t>
            </w:r>
          </w:p>
        </w:tc>
        <w:tc>
          <w:tcPr>
            <w:tcW w:w="4518" w:type="dxa"/>
          </w:tcPr>
          <w:p w14:paraId="4EC08EDF" w14:textId="16CBF2D3"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$15,301</w:t>
            </w:r>
          </w:p>
        </w:tc>
        <w:tc>
          <w:tcPr>
            <w:tcW w:w="3510" w:type="dxa"/>
          </w:tcPr>
          <w:p w14:paraId="4C35ED6F" w14:textId="1F82E6D3"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$17,655</w:t>
            </w:r>
          </w:p>
        </w:tc>
      </w:tr>
      <w:tr w:rsidR="00C22EB8" w:rsidRPr="004A0C12" w14:paraId="352C79A0" w14:textId="77777777" w:rsidTr="00C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4D8CE8EC" w14:textId="073BCF7B"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2</w:t>
            </w:r>
          </w:p>
        </w:tc>
        <w:tc>
          <w:tcPr>
            <w:tcW w:w="4518" w:type="dxa"/>
          </w:tcPr>
          <w:p w14:paraId="31D08425" w14:textId="292F3DC7"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$20,709</w:t>
            </w:r>
          </w:p>
        </w:tc>
        <w:tc>
          <w:tcPr>
            <w:tcW w:w="3510" w:type="dxa"/>
          </w:tcPr>
          <w:p w14:paraId="276A5430" w14:textId="7BDE02D1"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$23,895</w:t>
            </w:r>
          </w:p>
        </w:tc>
      </w:tr>
      <w:tr w:rsidR="00C22EB8" w:rsidRPr="004A0C12" w14:paraId="3027B706" w14:textId="77777777" w:rsidTr="00C22E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0642ADD8" w14:textId="1C935C21"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3</w:t>
            </w:r>
          </w:p>
        </w:tc>
        <w:tc>
          <w:tcPr>
            <w:tcW w:w="4518" w:type="dxa"/>
          </w:tcPr>
          <w:p w14:paraId="4713EC38" w14:textId="1461CCD1"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$26,117</w:t>
            </w:r>
          </w:p>
        </w:tc>
        <w:tc>
          <w:tcPr>
            <w:tcW w:w="3510" w:type="dxa"/>
          </w:tcPr>
          <w:p w14:paraId="6259F563" w14:textId="0F1F07C9"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$30,135</w:t>
            </w:r>
          </w:p>
        </w:tc>
      </w:tr>
      <w:tr w:rsidR="00C22EB8" w:rsidRPr="004A0C12" w14:paraId="1D5B721A" w14:textId="77777777" w:rsidTr="00C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248508DA" w14:textId="5C422B8A"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4</w:t>
            </w:r>
          </w:p>
        </w:tc>
        <w:tc>
          <w:tcPr>
            <w:tcW w:w="4518" w:type="dxa"/>
          </w:tcPr>
          <w:p w14:paraId="1EB152E3" w14:textId="06FB3962"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$31,525</w:t>
            </w:r>
          </w:p>
        </w:tc>
        <w:tc>
          <w:tcPr>
            <w:tcW w:w="3510" w:type="dxa"/>
          </w:tcPr>
          <w:p w14:paraId="13C59114" w14:textId="347A673D"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$36,375</w:t>
            </w:r>
          </w:p>
        </w:tc>
      </w:tr>
      <w:tr w:rsidR="00C22EB8" w:rsidRPr="004A0C12" w14:paraId="0F59E892" w14:textId="77777777" w:rsidTr="00C22E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0EF06A2D" w14:textId="718D26E5"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5</w:t>
            </w:r>
          </w:p>
        </w:tc>
        <w:tc>
          <w:tcPr>
            <w:tcW w:w="4518" w:type="dxa"/>
          </w:tcPr>
          <w:p w14:paraId="382602E3" w14:textId="6ED514B4"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$36,933</w:t>
            </w:r>
          </w:p>
        </w:tc>
        <w:tc>
          <w:tcPr>
            <w:tcW w:w="3510" w:type="dxa"/>
          </w:tcPr>
          <w:p w14:paraId="25497D55" w14:textId="56D751FF"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$42,615</w:t>
            </w:r>
          </w:p>
        </w:tc>
      </w:tr>
      <w:tr w:rsidR="00C22EB8" w:rsidRPr="004A0C12" w14:paraId="75C10B5E" w14:textId="77777777" w:rsidTr="00C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1C098017" w14:textId="4F1A1042"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6</w:t>
            </w:r>
          </w:p>
        </w:tc>
        <w:tc>
          <w:tcPr>
            <w:tcW w:w="4518" w:type="dxa"/>
          </w:tcPr>
          <w:p w14:paraId="3383B56B" w14:textId="7F882EC1"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$42,341</w:t>
            </w:r>
          </w:p>
        </w:tc>
        <w:tc>
          <w:tcPr>
            <w:tcW w:w="3510" w:type="dxa"/>
          </w:tcPr>
          <w:p w14:paraId="5ED39326" w14:textId="1D717E61"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$48,855</w:t>
            </w:r>
          </w:p>
        </w:tc>
      </w:tr>
      <w:tr w:rsidR="00C22EB8" w:rsidRPr="004A0C12" w14:paraId="1E3E511D" w14:textId="77777777" w:rsidTr="00C22E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3235D071" w14:textId="35EE9190"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7</w:t>
            </w:r>
          </w:p>
        </w:tc>
        <w:tc>
          <w:tcPr>
            <w:tcW w:w="4518" w:type="dxa"/>
          </w:tcPr>
          <w:p w14:paraId="558A5D89" w14:textId="26769B93"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$47,749</w:t>
            </w:r>
          </w:p>
        </w:tc>
        <w:tc>
          <w:tcPr>
            <w:tcW w:w="3510" w:type="dxa"/>
          </w:tcPr>
          <w:p w14:paraId="38332C7C" w14:textId="260A0171"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$55,095</w:t>
            </w:r>
          </w:p>
        </w:tc>
      </w:tr>
      <w:tr w:rsidR="00C22EB8" w:rsidRPr="004A0C12" w14:paraId="396E0D09" w14:textId="77777777" w:rsidTr="00C22E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75F6F68A" w14:textId="1C531622"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8</w:t>
            </w:r>
          </w:p>
        </w:tc>
        <w:tc>
          <w:tcPr>
            <w:tcW w:w="4518" w:type="dxa"/>
          </w:tcPr>
          <w:p w14:paraId="1E5D066B" w14:textId="2F3B1AD0"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$53,157</w:t>
            </w:r>
          </w:p>
        </w:tc>
        <w:tc>
          <w:tcPr>
            <w:tcW w:w="3510" w:type="dxa"/>
          </w:tcPr>
          <w:p w14:paraId="71CBFB21" w14:textId="68E61A59" w:rsidR="00C22EB8" w:rsidRPr="004A0C12" w:rsidRDefault="00C22EB8" w:rsidP="00C22EB8">
            <w:pPr>
              <w:widowControl w:val="0"/>
              <w:jc w:val="center"/>
              <w:cnfStyle w:val="000000100000" w:firstRow="0" w:lastRow="0" w:firstColumn="0" w:lastColumn="0" w:oddVBand="0" w:evenVBand="0" w:oddHBand="1" w:evenHBand="0" w:firstRowFirstColumn="0" w:firstRowLastColumn="0" w:lastRowFirstColumn="0" w:lastRowLastColumn="0"/>
              <w:rPr>
                <w:rFonts w:ascii="Garamond" w:hAnsi="Garamond"/>
                <w:sz w:val="22"/>
                <w:szCs w:val="22"/>
              </w:rPr>
            </w:pPr>
            <w:r w:rsidRPr="004A0C12">
              <w:rPr>
                <w:rFonts w:ascii="Garamond" w:hAnsi="Garamond"/>
                <w:sz w:val="22"/>
                <w:szCs w:val="22"/>
              </w:rPr>
              <w:t>$61,335</w:t>
            </w:r>
          </w:p>
        </w:tc>
      </w:tr>
      <w:tr w:rsidR="00C22EB8" w:rsidRPr="004A0C12" w14:paraId="17FB2828" w14:textId="77777777" w:rsidTr="00C22E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5A210838" w14:textId="3A84E181" w:rsidR="00C22EB8" w:rsidRPr="004A0C12" w:rsidRDefault="00C22EB8" w:rsidP="00C22EB8">
            <w:pPr>
              <w:widowControl w:val="0"/>
              <w:jc w:val="center"/>
              <w:rPr>
                <w:rFonts w:ascii="Garamond" w:hAnsi="Garamond"/>
                <w:b w:val="0"/>
                <w:sz w:val="22"/>
                <w:szCs w:val="22"/>
              </w:rPr>
            </w:pPr>
            <w:r w:rsidRPr="004A0C12">
              <w:rPr>
                <w:rFonts w:ascii="Garamond" w:hAnsi="Garamond"/>
                <w:b w:val="0"/>
                <w:sz w:val="22"/>
                <w:szCs w:val="22"/>
              </w:rPr>
              <w:t>Each additional person</w:t>
            </w:r>
          </w:p>
        </w:tc>
        <w:tc>
          <w:tcPr>
            <w:tcW w:w="4518" w:type="dxa"/>
          </w:tcPr>
          <w:p w14:paraId="404527FB" w14:textId="09807130"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$5,408</w:t>
            </w:r>
          </w:p>
        </w:tc>
        <w:tc>
          <w:tcPr>
            <w:tcW w:w="3510" w:type="dxa"/>
          </w:tcPr>
          <w:p w14:paraId="381BA7A5" w14:textId="5E8DC16A" w:rsidR="00C22EB8" w:rsidRPr="004A0C12" w:rsidRDefault="00C22EB8" w:rsidP="00C22EB8">
            <w:pPr>
              <w:widowControl w:val="0"/>
              <w:jc w:val="center"/>
              <w:cnfStyle w:val="000000010000" w:firstRow="0" w:lastRow="0" w:firstColumn="0" w:lastColumn="0" w:oddVBand="0" w:evenVBand="0" w:oddHBand="0" w:evenHBand="1" w:firstRowFirstColumn="0" w:firstRowLastColumn="0" w:lastRowFirstColumn="0" w:lastRowLastColumn="0"/>
              <w:rPr>
                <w:rFonts w:ascii="Garamond" w:hAnsi="Garamond"/>
                <w:sz w:val="22"/>
                <w:szCs w:val="22"/>
              </w:rPr>
            </w:pPr>
            <w:r w:rsidRPr="004A0C12">
              <w:rPr>
                <w:rFonts w:ascii="Garamond" w:hAnsi="Garamond"/>
                <w:sz w:val="22"/>
                <w:szCs w:val="22"/>
              </w:rPr>
              <w:t>$6,240</w:t>
            </w:r>
          </w:p>
        </w:tc>
      </w:tr>
    </w:tbl>
    <w:p w14:paraId="17DB5F90" w14:textId="7F41EDB9" w:rsidR="004705C8" w:rsidRPr="004A0C12" w:rsidRDefault="004705C8" w:rsidP="004705C8">
      <w:pPr>
        <w:spacing w:after="0" w:line="240" w:lineRule="auto"/>
        <w:jc w:val="both"/>
        <w:rPr>
          <w:rFonts w:ascii="Garamond" w:hAnsi="Garamond" w:cs="Times New Roman"/>
        </w:rPr>
      </w:pPr>
    </w:p>
    <w:p w14:paraId="50038CB2" w14:textId="43AE0C2F" w:rsidR="004705C8" w:rsidRPr="004A0C12" w:rsidRDefault="004705C8" w:rsidP="00C22EB8">
      <w:pPr>
        <w:spacing w:after="0" w:line="240" w:lineRule="auto"/>
        <w:jc w:val="both"/>
        <w:rPr>
          <w:rFonts w:ascii="Garamond" w:hAnsi="Garamond" w:cs="Times New Roman"/>
        </w:rPr>
      </w:pPr>
      <w:r w:rsidRPr="004A0C12">
        <w:rPr>
          <w:rFonts w:ascii="Garamond" w:hAnsi="Garamond" w:cs="Times New Roman"/>
        </w:rPr>
        <w:t>The E</w:t>
      </w:r>
      <w:r w:rsidR="00C22EB8" w:rsidRPr="004A0C12">
        <w:rPr>
          <w:rFonts w:ascii="Garamond" w:hAnsi="Garamond" w:cs="Times New Roman"/>
        </w:rPr>
        <w:t>ducational Assistance Grant</w:t>
      </w:r>
      <w:r w:rsidRPr="004A0C12">
        <w:rPr>
          <w:rFonts w:ascii="Garamond" w:hAnsi="Garamond" w:cs="Times New Roman"/>
        </w:rPr>
        <w:t xml:space="preserve"> is open to Maryland residents who are fu</w:t>
      </w:r>
      <w:r w:rsidR="00C22EB8" w:rsidRPr="004A0C12">
        <w:rPr>
          <w:rFonts w:ascii="Garamond" w:hAnsi="Garamond" w:cs="Times New Roman"/>
        </w:rPr>
        <w:t>ll time undergraduate students.</w:t>
      </w:r>
      <w:r w:rsidRPr="004A0C12">
        <w:rPr>
          <w:rFonts w:ascii="Garamond" w:hAnsi="Garamond" w:cs="Times New Roman"/>
        </w:rPr>
        <w:t xml:space="preserve"> The awards are based on a financial need formula that relies on the Free Application for Fed</w:t>
      </w:r>
      <w:r w:rsidR="00C22EB8" w:rsidRPr="004A0C12">
        <w:rPr>
          <w:rFonts w:ascii="Garamond" w:hAnsi="Garamond" w:cs="Times New Roman"/>
        </w:rPr>
        <w:t>eral Student Aid (FAFSA). An Educational Assistance</w:t>
      </w:r>
      <w:r w:rsidRPr="004A0C12">
        <w:rPr>
          <w:rFonts w:ascii="Garamond" w:hAnsi="Garamond" w:cs="Times New Roman"/>
        </w:rPr>
        <w:t xml:space="preserve"> Grant</w:t>
      </w:r>
      <w:r w:rsidR="00C22EB8" w:rsidRPr="004A0C12">
        <w:rPr>
          <w:rFonts w:ascii="Garamond" w:hAnsi="Garamond" w:cs="Times New Roman"/>
        </w:rPr>
        <w:t xml:space="preserve"> is determined by student need. Need for an Educational Assistance</w:t>
      </w:r>
      <w:r w:rsidRPr="004A0C12">
        <w:rPr>
          <w:rFonts w:ascii="Garamond" w:hAnsi="Garamond" w:cs="Times New Roman"/>
        </w:rPr>
        <w:t xml:space="preserve"> Grant is determined using the following formula:</w:t>
      </w:r>
    </w:p>
    <w:p w14:paraId="0716306F" w14:textId="77777777" w:rsidR="00C22EB8" w:rsidRPr="004A0C12" w:rsidRDefault="00C22EB8" w:rsidP="00C22EB8">
      <w:pPr>
        <w:spacing w:after="0" w:line="240" w:lineRule="auto"/>
        <w:jc w:val="both"/>
        <w:rPr>
          <w:rFonts w:ascii="Garamond" w:hAnsi="Garamond" w:cs="Times New Roman"/>
        </w:rPr>
      </w:pPr>
    </w:p>
    <w:p w14:paraId="33396E1E" w14:textId="77777777" w:rsidR="004705C8" w:rsidRPr="004A0C12" w:rsidRDefault="004705C8" w:rsidP="004705C8">
      <w:pPr>
        <w:shd w:val="clear" w:color="auto" w:fill="FFFFFF"/>
        <w:spacing w:after="0" w:line="240" w:lineRule="auto"/>
        <w:ind w:left="720"/>
        <w:rPr>
          <w:rFonts w:ascii="Garamond" w:hAnsi="Garamond" w:cs="Times New Roman"/>
        </w:rPr>
      </w:pPr>
      <w:r w:rsidRPr="004A0C12">
        <w:rPr>
          <w:rFonts w:ascii="Garamond" w:hAnsi="Garamond" w:cs="Times New Roman"/>
        </w:rPr>
        <w:t>-  College Cost of Attendance</w:t>
      </w:r>
      <w:r w:rsidRPr="004A0C12">
        <w:rPr>
          <w:rFonts w:ascii="Garamond" w:hAnsi="Garamond" w:cs="Times New Roman"/>
        </w:rPr>
        <w:br/>
        <w:t>- Expected Family Contribution + or - Regional Cost Of Living Adjustment</w:t>
      </w:r>
      <w:r w:rsidRPr="004A0C12">
        <w:rPr>
          <w:rFonts w:ascii="Garamond" w:hAnsi="Garamond" w:cs="Times New Roman"/>
        </w:rPr>
        <w:br/>
        <w:t>- Certain State scholarship awards (if awarded)</w:t>
      </w:r>
      <w:r w:rsidRPr="004A0C12">
        <w:rPr>
          <w:rFonts w:ascii="Garamond" w:hAnsi="Garamond" w:cs="Times New Roman"/>
        </w:rPr>
        <w:br/>
      </w:r>
      <w:r w:rsidRPr="004A0C12">
        <w:rPr>
          <w:rFonts w:ascii="Garamond" w:hAnsi="Garamond" w:cs="Times New Roman"/>
          <w:u w:val="single"/>
        </w:rPr>
        <w:lastRenderedPageBreak/>
        <w:t>- Federal Pell Grant (if eligible)</w:t>
      </w:r>
      <w:r w:rsidRPr="004A0C12">
        <w:rPr>
          <w:rFonts w:ascii="Garamond" w:hAnsi="Garamond" w:cs="Times New Roman"/>
        </w:rPr>
        <w:br/>
        <w:t>= Financial Need</w:t>
      </w:r>
    </w:p>
    <w:p w14:paraId="3D424C7D" w14:textId="77777777" w:rsidR="004705C8" w:rsidRPr="004A0C12" w:rsidRDefault="004705C8" w:rsidP="004705C8">
      <w:pPr>
        <w:spacing w:after="0" w:line="240" w:lineRule="auto"/>
        <w:ind w:left="360"/>
        <w:jc w:val="both"/>
        <w:rPr>
          <w:rFonts w:ascii="Garamond" w:hAnsi="Garamond" w:cs="Times New Roman"/>
        </w:rPr>
      </w:pPr>
    </w:p>
    <w:p w14:paraId="337D3E36" w14:textId="77777777" w:rsidR="004705C8" w:rsidRPr="004A0C12" w:rsidRDefault="004705C8" w:rsidP="00C22EB8">
      <w:pPr>
        <w:spacing w:after="0" w:line="240" w:lineRule="auto"/>
        <w:jc w:val="both"/>
        <w:rPr>
          <w:rFonts w:ascii="Garamond" w:hAnsi="Garamond" w:cs="Times New Roman"/>
        </w:rPr>
      </w:pPr>
      <w:r w:rsidRPr="004A0C12">
        <w:rPr>
          <w:rFonts w:ascii="Garamond" w:hAnsi="Garamond" w:cs="Times New Roman"/>
        </w:rPr>
        <w:t>Both types of Rawlings scholarships provide non-assistance.</w:t>
      </w:r>
    </w:p>
    <w:p w14:paraId="55C14DA9" w14:textId="77777777" w:rsidR="00D02020" w:rsidRPr="004A0C12" w:rsidRDefault="004705C8" w:rsidP="00B17F00">
      <w:pPr>
        <w:pStyle w:val="Heading4"/>
        <w:rPr>
          <w:rFonts w:ascii="Garamond" w:hAnsi="Garamond"/>
        </w:rPr>
      </w:pPr>
      <w:r w:rsidRPr="00307FCC">
        <w:rPr>
          <w:rFonts w:ascii="Garamond" w:hAnsi="Garamond"/>
          <w:sz w:val="24"/>
        </w:rPr>
        <w:t xml:space="preserve">Programs Funded and Administered by Entities Other than the Local Departments of Social Services </w:t>
      </w:r>
    </w:p>
    <w:p w14:paraId="34D20736" w14:textId="68478162" w:rsidR="004705C8" w:rsidRPr="004A0C12" w:rsidRDefault="00D02020" w:rsidP="00D02020">
      <w:pPr>
        <w:widowControl w:val="0"/>
        <w:spacing w:after="0" w:line="240" w:lineRule="auto"/>
        <w:jc w:val="both"/>
        <w:rPr>
          <w:rFonts w:ascii="Garamond" w:hAnsi="Garamond" w:cs="Times New Roman"/>
        </w:rPr>
      </w:pPr>
      <w:r w:rsidRPr="004A0C12">
        <w:rPr>
          <w:rFonts w:ascii="Garamond" w:hAnsi="Garamond" w:cs="Times New Roman"/>
        </w:rPr>
        <w:t xml:space="preserve">This may </w:t>
      </w:r>
      <w:r w:rsidR="004705C8" w:rsidRPr="004A0C12">
        <w:rPr>
          <w:rFonts w:ascii="Garamond" w:hAnsi="Garamond" w:cs="Times New Roman"/>
        </w:rPr>
        <w:t xml:space="preserve">include a wide variety of programs </w:t>
      </w:r>
      <w:r w:rsidRPr="004A0C12">
        <w:rPr>
          <w:rFonts w:ascii="Garamond" w:hAnsi="Garamond" w:cs="Times New Roman"/>
        </w:rPr>
        <w:t>in receipt of</w:t>
      </w:r>
      <w:r w:rsidR="004705C8" w:rsidRPr="004A0C12">
        <w:rPr>
          <w:rFonts w:ascii="Garamond" w:hAnsi="Garamond" w:cs="Times New Roman"/>
        </w:rPr>
        <w:t xml:space="preserve"> funds from a wide variety of sources</w:t>
      </w:r>
      <w:r w:rsidRPr="004A0C12">
        <w:rPr>
          <w:rFonts w:ascii="Garamond" w:hAnsi="Garamond" w:cs="Times New Roman"/>
        </w:rPr>
        <w:t>,</w:t>
      </w:r>
      <w:r w:rsidR="004705C8" w:rsidRPr="004A0C12">
        <w:rPr>
          <w:rFonts w:ascii="Garamond" w:hAnsi="Garamond" w:cs="Times New Roman"/>
        </w:rPr>
        <w:t xml:space="preserve"> such as county and local governments, contributions from churches and other non-profit organizations, and philanthropic </w:t>
      </w:r>
      <w:r w:rsidRPr="004A0C12">
        <w:rPr>
          <w:rFonts w:ascii="Garamond" w:hAnsi="Garamond" w:cs="Times New Roman"/>
        </w:rPr>
        <w:t>entities. In accordance with</w:t>
      </w:r>
      <w:r w:rsidR="004705C8" w:rsidRPr="004A0C12">
        <w:rPr>
          <w:rFonts w:ascii="Garamond" w:hAnsi="Garamond" w:cs="Times New Roman"/>
        </w:rPr>
        <w:t xml:space="preserve"> Policy Announcement</w:t>
      </w:r>
      <w:r w:rsidRPr="004A0C12">
        <w:rPr>
          <w:rFonts w:ascii="Garamond" w:hAnsi="Garamond" w:cs="Times New Roman"/>
        </w:rPr>
        <w:t xml:space="preserve"> TANF-ACF-PA-2004-01</w:t>
      </w:r>
      <w:r w:rsidR="004705C8" w:rsidRPr="004A0C12">
        <w:rPr>
          <w:rFonts w:ascii="Garamond" w:hAnsi="Garamond" w:cs="Times New Roman"/>
        </w:rPr>
        <w:t>, the State will claim as MOE only those expenditures made under agreements between the State and these third party entities that permit the State to count those expenditu</w:t>
      </w:r>
      <w:r w:rsidRPr="004A0C12">
        <w:rPr>
          <w:rFonts w:ascii="Garamond" w:hAnsi="Garamond" w:cs="Times New Roman"/>
        </w:rPr>
        <w:t>res toward its MOE requirement.</w:t>
      </w:r>
      <w:r w:rsidR="004705C8" w:rsidRPr="004A0C12">
        <w:rPr>
          <w:rFonts w:ascii="Garamond" w:hAnsi="Garamond" w:cs="Times New Roman"/>
        </w:rPr>
        <w:t xml:space="preserve"> These programs provi</w:t>
      </w:r>
      <w:r w:rsidRPr="004A0C12">
        <w:rPr>
          <w:rFonts w:ascii="Garamond" w:hAnsi="Garamond" w:cs="Times New Roman"/>
        </w:rPr>
        <w:t xml:space="preserve">de eligible families under 300 percent </w:t>
      </w:r>
      <w:r w:rsidR="004705C8" w:rsidRPr="004A0C12">
        <w:rPr>
          <w:rFonts w:ascii="Garamond" w:hAnsi="Garamond" w:cs="Times New Roman"/>
        </w:rPr>
        <w:t xml:space="preserve">of </w:t>
      </w:r>
      <w:r w:rsidRPr="004A0C12">
        <w:rPr>
          <w:rFonts w:ascii="Garamond" w:hAnsi="Garamond" w:cs="Times New Roman"/>
        </w:rPr>
        <w:t xml:space="preserve">the </w:t>
      </w:r>
      <w:r w:rsidR="004705C8" w:rsidRPr="004A0C12">
        <w:rPr>
          <w:rFonts w:ascii="Garamond" w:hAnsi="Garamond" w:cs="Times New Roman"/>
        </w:rPr>
        <w:t xml:space="preserve">poverty </w:t>
      </w:r>
      <w:r w:rsidRPr="004A0C12">
        <w:rPr>
          <w:rFonts w:ascii="Garamond" w:hAnsi="Garamond" w:cs="Times New Roman"/>
        </w:rPr>
        <w:t xml:space="preserve">level, </w:t>
      </w:r>
      <w:r w:rsidR="004705C8" w:rsidRPr="004A0C12">
        <w:rPr>
          <w:rFonts w:ascii="Garamond" w:hAnsi="Garamond" w:cs="Times New Roman"/>
        </w:rPr>
        <w:t>with the following kinds of services which are all non-assistance for TANF purposes:</w:t>
      </w:r>
    </w:p>
    <w:p w14:paraId="3B612B65" w14:textId="77777777" w:rsidR="00D02020" w:rsidRPr="004A0C12" w:rsidRDefault="00D02020" w:rsidP="00D02020">
      <w:pPr>
        <w:widowControl w:val="0"/>
        <w:spacing w:after="0" w:line="240" w:lineRule="auto"/>
        <w:jc w:val="both"/>
        <w:rPr>
          <w:rFonts w:ascii="Garamond" w:hAnsi="Garamond" w:cs="Times New Roman"/>
        </w:rPr>
      </w:pPr>
    </w:p>
    <w:p w14:paraId="786B64ED" w14:textId="19CA9337" w:rsidR="004705C8" w:rsidRPr="004A0C12" w:rsidRDefault="004705C8" w:rsidP="00232F09">
      <w:pPr>
        <w:pStyle w:val="ListParagraph"/>
        <w:widowControl w:val="0"/>
        <w:numPr>
          <w:ilvl w:val="0"/>
          <w:numId w:val="284"/>
        </w:numPr>
        <w:jc w:val="both"/>
        <w:rPr>
          <w:rFonts w:ascii="Garamond" w:hAnsi="Garamond"/>
          <w:szCs w:val="22"/>
          <w:u w:val="single"/>
        </w:rPr>
      </w:pPr>
      <w:r w:rsidRPr="004A0C12">
        <w:rPr>
          <w:rFonts w:ascii="Garamond" w:hAnsi="Garamond"/>
          <w:szCs w:val="22"/>
        </w:rPr>
        <w:t>Emergency Food Programs</w:t>
      </w:r>
      <w:r w:rsidR="00D02020" w:rsidRPr="004A0C12">
        <w:rPr>
          <w:rFonts w:ascii="Garamond" w:hAnsi="Garamond"/>
          <w:szCs w:val="22"/>
        </w:rPr>
        <w:t>;</w:t>
      </w:r>
    </w:p>
    <w:p w14:paraId="4B0BCEC9" w14:textId="623ECF4B"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Local supplemental funding for welfare to work programs, including funding for additio</w:t>
      </w:r>
      <w:r w:rsidR="00D02020" w:rsidRPr="004A0C12">
        <w:rPr>
          <w:rFonts w:ascii="Garamond" w:hAnsi="Garamond" w:cs="Times New Roman"/>
        </w:rPr>
        <w:t>nal space, staff, services etc;</w:t>
      </w:r>
    </w:p>
    <w:p w14:paraId="1F08C412" w14:textId="1EA36762"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Family Counseling</w:t>
      </w:r>
      <w:r w:rsidR="00D02020" w:rsidRPr="004A0C12">
        <w:rPr>
          <w:rFonts w:ascii="Garamond" w:hAnsi="Garamond" w:cs="Times New Roman"/>
        </w:rPr>
        <w:t>;</w:t>
      </w:r>
    </w:p>
    <w:p w14:paraId="2E56B238" w14:textId="13B1B166" w:rsidR="004705C8" w:rsidRPr="004A0C12" w:rsidRDefault="004705C8" w:rsidP="00232F09">
      <w:pPr>
        <w:keepNext/>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Emergency relief services to help families attain safe and affordable housing</w:t>
      </w:r>
      <w:r w:rsidR="00D02020" w:rsidRPr="004A0C12">
        <w:rPr>
          <w:rFonts w:ascii="Garamond" w:hAnsi="Garamond" w:cs="Times New Roman"/>
        </w:rPr>
        <w:t>,</w:t>
      </w:r>
      <w:r w:rsidRPr="004A0C12">
        <w:rPr>
          <w:rFonts w:ascii="Garamond" w:hAnsi="Garamond" w:cs="Times New Roman"/>
        </w:rPr>
        <w:t xml:space="preserve"> which include the provision of emergency shelter, relocation assistance, homeownership counseling, home repairs, utility restoration, or shut-off prevention</w:t>
      </w:r>
      <w:r w:rsidR="00D02020" w:rsidRPr="004A0C12">
        <w:rPr>
          <w:rFonts w:ascii="Garamond" w:hAnsi="Garamond" w:cs="Times New Roman"/>
        </w:rPr>
        <w:t>;</w:t>
      </w:r>
    </w:p>
    <w:p w14:paraId="4EFFD35A" w14:textId="53DB95EF" w:rsidR="004705C8" w:rsidRPr="004A0C12" w:rsidRDefault="00D02020"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Information and referral;</w:t>
      </w:r>
    </w:p>
    <w:p w14:paraId="475C08B3" w14:textId="4B393CC5"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Medical supplies and serv</w:t>
      </w:r>
      <w:r w:rsidR="00D02020" w:rsidRPr="004A0C12">
        <w:rPr>
          <w:rFonts w:ascii="Garamond" w:hAnsi="Garamond" w:cs="Times New Roman"/>
        </w:rPr>
        <w:t>ices, of an emergency nature that are</w:t>
      </w:r>
      <w:r w:rsidRPr="004A0C12">
        <w:rPr>
          <w:rFonts w:ascii="Garamond" w:hAnsi="Garamond" w:cs="Times New Roman"/>
        </w:rPr>
        <w:t xml:space="preserve"> not covered by m</w:t>
      </w:r>
      <w:r w:rsidR="00D02020" w:rsidRPr="004A0C12">
        <w:rPr>
          <w:rFonts w:ascii="Garamond" w:hAnsi="Garamond" w:cs="Times New Roman"/>
        </w:rPr>
        <w:t>edical assistance or for those in</w:t>
      </w:r>
      <w:r w:rsidRPr="004A0C12">
        <w:rPr>
          <w:rFonts w:ascii="Garamond" w:hAnsi="Garamond" w:cs="Times New Roman"/>
        </w:rPr>
        <w:t>eligible for medical assistance</w:t>
      </w:r>
      <w:r w:rsidR="00D02020" w:rsidRPr="004A0C12">
        <w:rPr>
          <w:rFonts w:ascii="Garamond" w:hAnsi="Garamond" w:cs="Times New Roman"/>
        </w:rPr>
        <w:t xml:space="preserve"> (</w:t>
      </w:r>
      <w:r w:rsidRPr="004A0C12">
        <w:rPr>
          <w:rFonts w:ascii="Garamond" w:hAnsi="Garamond" w:cs="Times New Roman"/>
        </w:rPr>
        <w:t>Only State funds are used for costs associated with this program.</w:t>
      </w:r>
      <w:r w:rsidR="00D02020" w:rsidRPr="004A0C12">
        <w:rPr>
          <w:rFonts w:ascii="Garamond" w:hAnsi="Garamond" w:cs="Times New Roman"/>
        </w:rPr>
        <w:t>);</w:t>
      </w:r>
      <w:r w:rsidRPr="004A0C12">
        <w:rPr>
          <w:rFonts w:ascii="Garamond" w:hAnsi="Garamond" w:cs="Times New Roman"/>
        </w:rPr>
        <w:t xml:space="preserve"> </w:t>
      </w:r>
    </w:p>
    <w:p w14:paraId="30C68F2C" w14:textId="34B1274E" w:rsidR="004705C8" w:rsidRPr="004A0C12" w:rsidRDefault="00D02020"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Substance Abuse Services;</w:t>
      </w:r>
    </w:p>
    <w:p w14:paraId="4C6F6426" w14:textId="1BAD4C3F"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Family Support Services</w:t>
      </w:r>
      <w:r w:rsidR="00D02020" w:rsidRPr="004A0C12">
        <w:rPr>
          <w:rFonts w:ascii="Garamond" w:hAnsi="Garamond" w:cs="Times New Roman"/>
        </w:rPr>
        <w:t>,</w:t>
      </w:r>
      <w:r w:rsidRPr="004A0C12">
        <w:rPr>
          <w:rFonts w:ascii="Garamond" w:hAnsi="Garamond" w:cs="Times New Roman"/>
        </w:rPr>
        <w:t xml:space="preserve"> which are primarily community-based preventive activities designed to</w:t>
      </w:r>
      <w:r w:rsidR="00D02020" w:rsidRPr="004A0C12">
        <w:rPr>
          <w:rFonts w:ascii="Garamond" w:hAnsi="Garamond" w:cs="Times New Roman"/>
        </w:rPr>
        <w:t>:</w:t>
      </w:r>
      <w:r w:rsidRPr="004A0C12">
        <w:rPr>
          <w:rFonts w:ascii="Garamond" w:hAnsi="Garamond" w:cs="Times New Roman"/>
        </w:rPr>
        <w:t xml:space="preserve"> promote parents’ ability to successfully nurture their children; enable families to use other resources and opportunities available in the community; and</w:t>
      </w:r>
      <w:r w:rsidR="00D02020" w:rsidRPr="004A0C12">
        <w:rPr>
          <w:rFonts w:ascii="Garamond" w:hAnsi="Garamond" w:cs="Times New Roman"/>
        </w:rPr>
        <w:t>,</w:t>
      </w:r>
      <w:r w:rsidRPr="004A0C12">
        <w:rPr>
          <w:rFonts w:ascii="Garamond" w:hAnsi="Garamond" w:cs="Times New Roman"/>
        </w:rPr>
        <w:t xml:space="preserve"> create supportive networks to enhance the child-rearing abilities of parents</w:t>
      </w:r>
      <w:r w:rsidR="00D02020" w:rsidRPr="004A0C12">
        <w:rPr>
          <w:rFonts w:ascii="Garamond" w:hAnsi="Garamond" w:cs="Times New Roman"/>
        </w:rPr>
        <w:t>;</w:t>
      </w:r>
    </w:p>
    <w:p w14:paraId="6861E57C" w14:textId="698460E8"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 xml:space="preserve">Family Preservation Services that help families alleviate crises that might lead to the out-of-home placement of children; maintain the safety of children; support families preparing to reunite; and assist families in obtaining services and other supports necessary to address their needs. They </w:t>
      </w:r>
      <w:r w:rsidR="00D02020" w:rsidRPr="004A0C12">
        <w:rPr>
          <w:rFonts w:ascii="Garamond" w:hAnsi="Garamond" w:cs="Times New Roman"/>
        </w:rPr>
        <w:t>include but are not limited to</w:t>
      </w:r>
      <w:r w:rsidRPr="004A0C12">
        <w:rPr>
          <w:rFonts w:ascii="Garamond" w:hAnsi="Garamond" w:cs="Times New Roman"/>
        </w:rPr>
        <w:t xml:space="preserve"> parent skill training and crisis intervention services</w:t>
      </w:r>
      <w:r w:rsidR="00D02020" w:rsidRPr="004A0C12">
        <w:rPr>
          <w:rFonts w:ascii="Garamond" w:hAnsi="Garamond" w:cs="Times New Roman"/>
        </w:rPr>
        <w:t>;</w:t>
      </w:r>
    </w:p>
    <w:p w14:paraId="0EADC487" w14:textId="4597C3C6"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Transportation to work, training, job interviews</w:t>
      </w:r>
      <w:r w:rsidR="00D02020" w:rsidRPr="004A0C12">
        <w:rPr>
          <w:rFonts w:ascii="Garamond" w:hAnsi="Garamond" w:cs="Times New Roman"/>
        </w:rPr>
        <w:t>,</w:t>
      </w:r>
      <w:r w:rsidRPr="004A0C12">
        <w:rPr>
          <w:rFonts w:ascii="Garamond" w:hAnsi="Garamond" w:cs="Times New Roman"/>
        </w:rPr>
        <w:t xml:space="preserve"> or to access other needed services</w:t>
      </w:r>
      <w:r w:rsidR="00D02020" w:rsidRPr="004A0C12">
        <w:rPr>
          <w:rFonts w:ascii="Garamond" w:hAnsi="Garamond" w:cs="Times New Roman"/>
        </w:rPr>
        <w:t>;</w:t>
      </w:r>
    </w:p>
    <w:p w14:paraId="3B5939E6" w14:textId="41BB10DA"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 xml:space="preserve">Clothing </w:t>
      </w:r>
      <w:r w:rsidR="00D02020" w:rsidRPr="004A0C12">
        <w:rPr>
          <w:rFonts w:ascii="Garamond" w:hAnsi="Garamond" w:cs="Times New Roman"/>
        </w:rPr>
        <w:t>to replace</w:t>
      </w:r>
      <w:r w:rsidRPr="004A0C12">
        <w:rPr>
          <w:rFonts w:ascii="Garamond" w:hAnsi="Garamond" w:cs="Times New Roman"/>
        </w:rPr>
        <w:t xml:space="preserve"> that </w:t>
      </w:r>
      <w:r w:rsidR="00D02020" w:rsidRPr="004A0C12">
        <w:rPr>
          <w:rFonts w:ascii="Garamond" w:hAnsi="Garamond" w:cs="Times New Roman"/>
        </w:rPr>
        <w:t xml:space="preserve">which was </w:t>
      </w:r>
      <w:r w:rsidRPr="004A0C12">
        <w:rPr>
          <w:rFonts w:ascii="Garamond" w:hAnsi="Garamond" w:cs="Times New Roman"/>
        </w:rPr>
        <w:t>lost in an emergency, is needed for work preparation</w:t>
      </w:r>
      <w:r w:rsidR="00D02020" w:rsidRPr="004A0C12">
        <w:rPr>
          <w:rFonts w:ascii="Garamond" w:hAnsi="Garamond" w:cs="Times New Roman"/>
        </w:rPr>
        <w:t>,</w:t>
      </w:r>
      <w:r w:rsidRPr="004A0C12">
        <w:rPr>
          <w:rFonts w:ascii="Garamond" w:hAnsi="Garamond" w:cs="Times New Roman"/>
        </w:rPr>
        <w:t xml:space="preserve"> or which the family cannot afford because of their present circumstances, which includes such disposable items as diapers</w:t>
      </w:r>
      <w:r w:rsidR="00D02020" w:rsidRPr="004A0C12">
        <w:rPr>
          <w:rFonts w:ascii="Garamond" w:hAnsi="Garamond" w:cs="Times New Roman"/>
        </w:rPr>
        <w:t>;</w:t>
      </w:r>
    </w:p>
    <w:p w14:paraId="690EF1A3" w14:textId="408250C4"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Domestic Violence programs that offer services to victims of domestic violence and their families. Services include but are not limited to safe accommodations, hotline counseling, advocacy accompaniment, and abuser intervention</w:t>
      </w:r>
      <w:r w:rsidR="00D02020" w:rsidRPr="004A0C12">
        <w:rPr>
          <w:rFonts w:ascii="Garamond" w:hAnsi="Garamond" w:cs="Times New Roman"/>
        </w:rPr>
        <w:t>;</w:t>
      </w:r>
    </w:p>
    <w:p w14:paraId="7D58E62F" w14:textId="45FA622C" w:rsidR="004705C8" w:rsidRPr="004A0C12" w:rsidRDefault="00D02020"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Boys Club/Girls Club support;</w:t>
      </w:r>
    </w:p>
    <w:p w14:paraId="56838F76" w14:textId="31951138"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After school programs</w:t>
      </w:r>
      <w:r w:rsidR="00D02020" w:rsidRPr="004A0C12">
        <w:rPr>
          <w:rFonts w:ascii="Garamond" w:hAnsi="Garamond" w:cs="Times New Roman"/>
        </w:rPr>
        <w:t>;</w:t>
      </w:r>
    </w:p>
    <w:p w14:paraId="10237B69" w14:textId="3EC26603"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Screening for local department services</w:t>
      </w:r>
      <w:r w:rsidR="00D02020" w:rsidRPr="004A0C12">
        <w:rPr>
          <w:rFonts w:ascii="Garamond" w:hAnsi="Garamond" w:cs="Times New Roman"/>
        </w:rPr>
        <w:t>;</w:t>
      </w:r>
    </w:p>
    <w:p w14:paraId="3C4220F2" w14:textId="42D064AB" w:rsidR="004705C8" w:rsidRPr="004A0C12" w:rsidRDefault="004705C8" w:rsidP="00232F09">
      <w:pPr>
        <w:widowControl w:val="0"/>
        <w:numPr>
          <w:ilvl w:val="0"/>
          <w:numId w:val="184"/>
        </w:numPr>
        <w:spacing w:after="0" w:line="240" w:lineRule="auto"/>
        <w:ind w:left="720"/>
        <w:jc w:val="both"/>
        <w:rPr>
          <w:rFonts w:ascii="Garamond" w:hAnsi="Garamond" w:cs="Times New Roman"/>
          <w:u w:val="single"/>
        </w:rPr>
      </w:pPr>
      <w:r w:rsidRPr="004A0C12">
        <w:rPr>
          <w:rFonts w:ascii="Garamond" w:hAnsi="Garamond" w:cs="Times New Roman"/>
        </w:rPr>
        <w:t>Grants to Food Banks</w:t>
      </w:r>
      <w:r w:rsidR="00D02020" w:rsidRPr="004A0C12">
        <w:rPr>
          <w:rFonts w:ascii="Garamond" w:hAnsi="Garamond" w:cs="Times New Roman"/>
        </w:rPr>
        <w:t xml:space="preserve">; and, </w:t>
      </w:r>
    </w:p>
    <w:p w14:paraId="4481CD53" w14:textId="1DF2D4B2" w:rsidR="004705C8" w:rsidRPr="004A0C12" w:rsidRDefault="004705C8" w:rsidP="00232F09">
      <w:pPr>
        <w:widowControl w:val="0"/>
        <w:numPr>
          <w:ilvl w:val="0"/>
          <w:numId w:val="184"/>
        </w:numPr>
        <w:spacing w:after="0" w:line="240" w:lineRule="auto"/>
        <w:ind w:left="720"/>
        <w:jc w:val="both"/>
        <w:rPr>
          <w:rFonts w:ascii="Garamond" w:hAnsi="Garamond" w:cs="Times New Roman"/>
          <w:i/>
        </w:rPr>
      </w:pPr>
      <w:r w:rsidRPr="004A0C12">
        <w:rPr>
          <w:rFonts w:ascii="Garamond" w:hAnsi="Garamond" w:cs="Times New Roman"/>
        </w:rPr>
        <w:t>Food Bank Services</w:t>
      </w:r>
      <w:r w:rsidR="00D02020" w:rsidRPr="004A0C12">
        <w:rPr>
          <w:rFonts w:ascii="Garamond" w:hAnsi="Garamond" w:cs="Times New Roman"/>
        </w:rPr>
        <w:t>.</w:t>
      </w:r>
    </w:p>
    <w:p w14:paraId="42AEC2FE" w14:textId="0FDA526E" w:rsidR="004705C8" w:rsidRPr="00307FCC" w:rsidRDefault="00D02020" w:rsidP="00B17F00">
      <w:pPr>
        <w:pStyle w:val="Heading2"/>
        <w:rPr>
          <w:rFonts w:ascii="Garamond" w:hAnsi="Garamond"/>
          <w:sz w:val="24"/>
          <w:szCs w:val="22"/>
        </w:rPr>
      </w:pPr>
      <w:bookmarkStart w:id="247" w:name="_Toc447276271"/>
      <w:r w:rsidRPr="00307FCC">
        <w:rPr>
          <w:rFonts w:ascii="Garamond" w:hAnsi="Garamond"/>
          <w:sz w:val="24"/>
          <w:szCs w:val="22"/>
        </w:rPr>
        <w:t>Non-Means Tested Programs</w:t>
      </w:r>
      <w:bookmarkEnd w:id="247"/>
    </w:p>
    <w:p w14:paraId="3335D7F2" w14:textId="77777777" w:rsidR="00D02020" w:rsidRPr="00307FCC" w:rsidRDefault="00D02020" w:rsidP="004705C8">
      <w:pPr>
        <w:pStyle w:val="Footer"/>
        <w:jc w:val="both"/>
        <w:rPr>
          <w:rFonts w:ascii="Garamond" w:hAnsi="Garamond" w:cs="Times New Roman"/>
          <w:sz w:val="24"/>
        </w:rPr>
      </w:pPr>
    </w:p>
    <w:p w14:paraId="3198070B" w14:textId="77777777" w:rsidR="00902C29" w:rsidRPr="00307FCC" w:rsidRDefault="004705C8" w:rsidP="00D02020">
      <w:pPr>
        <w:widowControl w:val="0"/>
        <w:spacing w:after="0" w:line="240" w:lineRule="auto"/>
        <w:jc w:val="both"/>
        <w:rPr>
          <w:rFonts w:ascii="Garamond" w:hAnsi="Garamond" w:cs="Times New Roman"/>
          <w:sz w:val="24"/>
          <w:u w:val="single"/>
        </w:rPr>
      </w:pPr>
      <w:r w:rsidRPr="00307FCC">
        <w:rPr>
          <w:rStyle w:val="Heading4Char"/>
          <w:rFonts w:ascii="Garamond" w:hAnsi="Garamond"/>
          <w:sz w:val="24"/>
        </w:rPr>
        <w:t>Responsible Fathers Programs</w:t>
      </w:r>
    </w:p>
    <w:p w14:paraId="457B5BF2" w14:textId="30530DE9" w:rsidR="004705C8" w:rsidRPr="004A0C12" w:rsidRDefault="004705C8" w:rsidP="00D02020">
      <w:pPr>
        <w:widowControl w:val="0"/>
        <w:spacing w:after="0" w:line="240" w:lineRule="auto"/>
        <w:jc w:val="both"/>
        <w:rPr>
          <w:rFonts w:ascii="Garamond" w:hAnsi="Garamond" w:cs="Times New Roman"/>
        </w:rPr>
      </w:pPr>
      <w:r w:rsidRPr="004A0C12">
        <w:rPr>
          <w:rFonts w:ascii="Garamond" w:hAnsi="Garamond" w:cs="Times New Roman"/>
        </w:rPr>
        <w:t>These programs provide services to custodial and non-custodial fathers such as parenting education, family planning, GED® instruction, job training, employment-search assistance</w:t>
      </w:r>
      <w:r w:rsidR="00D02020" w:rsidRPr="004A0C12">
        <w:rPr>
          <w:rFonts w:ascii="Garamond" w:hAnsi="Garamond" w:cs="Times New Roman"/>
        </w:rPr>
        <w:t xml:space="preserve">, and self-esteem building. </w:t>
      </w:r>
      <w:r w:rsidRPr="004A0C12">
        <w:rPr>
          <w:rFonts w:ascii="Garamond" w:hAnsi="Garamond" w:cs="Times New Roman"/>
        </w:rPr>
        <w:t xml:space="preserve">Sites throughout the State serve young fathers, age 16+, who have one </w:t>
      </w:r>
      <w:r w:rsidR="00D02020" w:rsidRPr="004A0C12">
        <w:rPr>
          <w:rFonts w:ascii="Garamond" w:hAnsi="Garamond" w:cs="Times New Roman"/>
        </w:rPr>
        <w:t xml:space="preserve">or more children. </w:t>
      </w:r>
      <w:r w:rsidRPr="004A0C12">
        <w:rPr>
          <w:rFonts w:ascii="Garamond" w:hAnsi="Garamond" w:cs="Times New Roman"/>
        </w:rPr>
        <w:t>The program’s main goal is to reduce subsequent out-of-wedlock pregnancies among participants thro</w:t>
      </w:r>
      <w:r w:rsidR="00D02020" w:rsidRPr="004A0C12">
        <w:rPr>
          <w:rFonts w:ascii="Garamond" w:hAnsi="Garamond" w:cs="Times New Roman"/>
        </w:rPr>
        <w:t>ugh family-planning counseling.</w:t>
      </w:r>
      <w:r w:rsidRPr="004A0C12">
        <w:rPr>
          <w:rFonts w:ascii="Garamond" w:hAnsi="Garamond" w:cs="Times New Roman"/>
        </w:rPr>
        <w:t xml:space="preserve"> Program objectives seek to increase parent-child interaction, emotional support, financial responsibility and the devel</w:t>
      </w:r>
      <w:r w:rsidR="00D02020" w:rsidRPr="004A0C12">
        <w:rPr>
          <w:rFonts w:ascii="Garamond" w:hAnsi="Garamond" w:cs="Times New Roman"/>
        </w:rPr>
        <w:t xml:space="preserve">opment of two parent families. </w:t>
      </w:r>
      <w:r w:rsidRPr="004A0C12">
        <w:rPr>
          <w:rFonts w:ascii="Garamond" w:hAnsi="Garamond" w:cs="Times New Roman"/>
        </w:rPr>
        <w:t>These programs also encourage co-parent</w:t>
      </w:r>
      <w:r w:rsidR="00D02020" w:rsidRPr="004A0C12">
        <w:rPr>
          <w:rFonts w:ascii="Garamond" w:hAnsi="Garamond" w:cs="Times New Roman"/>
        </w:rPr>
        <w:t xml:space="preserve">ing for non-custodial fathers. </w:t>
      </w:r>
      <w:r w:rsidRPr="004A0C12">
        <w:rPr>
          <w:rFonts w:ascii="Garamond" w:hAnsi="Garamond" w:cs="Times New Roman"/>
        </w:rPr>
        <w:t xml:space="preserve">Although participation in the program is voluntary, participants are required to comply with Child Support </w:t>
      </w:r>
      <w:r w:rsidRPr="004A0C12">
        <w:rPr>
          <w:rFonts w:ascii="Garamond" w:hAnsi="Garamond" w:cs="Times New Roman"/>
        </w:rPr>
        <w:lastRenderedPageBreak/>
        <w:t>Enforcement, if not currently doing so.</w:t>
      </w:r>
    </w:p>
    <w:p w14:paraId="28832C4E" w14:textId="77777777" w:rsidR="004705C8" w:rsidRPr="004A0C12" w:rsidRDefault="004705C8" w:rsidP="004705C8">
      <w:pPr>
        <w:spacing w:after="0" w:line="240" w:lineRule="auto"/>
        <w:ind w:left="360"/>
        <w:jc w:val="both"/>
        <w:rPr>
          <w:rFonts w:ascii="Garamond" w:hAnsi="Garamond" w:cs="Times New Roman"/>
        </w:rPr>
      </w:pPr>
    </w:p>
    <w:p w14:paraId="4B477A90" w14:textId="50BFE3EC" w:rsidR="004705C8" w:rsidRPr="004A0C12" w:rsidRDefault="004705C8" w:rsidP="00D02020">
      <w:pPr>
        <w:spacing w:after="0" w:line="240" w:lineRule="auto"/>
        <w:jc w:val="both"/>
        <w:rPr>
          <w:rFonts w:ascii="Garamond" w:hAnsi="Garamond" w:cs="Times New Roman"/>
        </w:rPr>
      </w:pPr>
      <w:r w:rsidRPr="004A0C12">
        <w:rPr>
          <w:rFonts w:ascii="Garamond" w:hAnsi="Garamond" w:cs="Times New Roman"/>
        </w:rPr>
        <w:t>Programs serve father</w:t>
      </w:r>
      <w:r w:rsidR="00D02020" w:rsidRPr="004A0C12">
        <w:rPr>
          <w:rFonts w:ascii="Garamond" w:hAnsi="Garamond" w:cs="Times New Roman"/>
        </w:rPr>
        <w:t>s who are initially unemployed.</w:t>
      </w:r>
      <w:r w:rsidRPr="004A0C12">
        <w:rPr>
          <w:rFonts w:ascii="Garamond" w:hAnsi="Garamond" w:cs="Times New Roman"/>
        </w:rPr>
        <w:t xml:space="preserve"> Though not a requirement of program enrollment, participant referrals are actively solicited from local departments of social services’ TCA and child support enforcement rolls.  This program provides non-assistance.</w:t>
      </w:r>
    </w:p>
    <w:p w14:paraId="1035B211" w14:textId="77777777" w:rsidR="004705C8" w:rsidRPr="004A0C12" w:rsidRDefault="004705C8" w:rsidP="004705C8">
      <w:pPr>
        <w:pStyle w:val="Footer"/>
        <w:jc w:val="both"/>
        <w:rPr>
          <w:rFonts w:ascii="Garamond" w:hAnsi="Garamond" w:cs="Times New Roman"/>
        </w:rPr>
      </w:pPr>
    </w:p>
    <w:p w14:paraId="6206F34A" w14:textId="77777777" w:rsidR="00902C29" w:rsidRPr="004F590C" w:rsidRDefault="004705C8" w:rsidP="00C81305">
      <w:pPr>
        <w:pStyle w:val="Title"/>
        <w:pBdr>
          <w:bottom w:val="none" w:sz="0" w:space="0" w:color="auto"/>
        </w:pBdr>
        <w:spacing w:after="0"/>
        <w:jc w:val="both"/>
        <w:rPr>
          <w:rFonts w:ascii="Garamond" w:hAnsi="Garamond"/>
          <w:bCs/>
          <w:color w:val="auto"/>
          <w:sz w:val="24"/>
          <w:szCs w:val="24"/>
        </w:rPr>
      </w:pPr>
      <w:r w:rsidRPr="004F590C">
        <w:rPr>
          <w:rStyle w:val="Heading4Char"/>
          <w:rFonts w:ascii="Garamond" w:hAnsi="Garamond"/>
          <w:sz w:val="24"/>
          <w:szCs w:val="24"/>
        </w:rPr>
        <w:t>The Maryland Healthy Marriage / Healthy Families Initiative</w:t>
      </w:r>
    </w:p>
    <w:p w14:paraId="6348730C" w14:textId="3FB035C6" w:rsidR="004705C8" w:rsidRPr="004A0C12" w:rsidRDefault="004705C8" w:rsidP="00C81305">
      <w:pPr>
        <w:pStyle w:val="Title"/>
        <w:pBdr>
          <w:bottom w:val="none" w:sz="0" w:space="0" w:color="auto"/>
        </w:pBdr>
        <w:spacing w:after="0"/>
        <w:jc w:val="both"/>
        <w:rPr>
          <w:rFonts w:ascii="Garamond" w:hAnsi="Garamond"/>
          <w:color w:val="auto"/>
          <w:sz w:val="22"/>
          <w:szCs w:val="22"/>
        </w:rPr>
      </w:pPr>
      <w:r w:rsidRPr="004A0C12">
        <w:rPr>
          <w:rFonts w:ascii="Garamond" w:hAnsi="Garamond"/>
          <w:color w:val="auto"/>
          <w:sz w:val="22"/>
          <w:szCs w:val="22"/>
        </w:rPr>
        <w:t xml:space="preserve">This initiative recognizes that children are more likely to thrive in the </w:t>
      </w:r>
      <w:r w:rsidR="00D02020" w:rsidRPr="004A0C12">
        <w:rPr>
          <w:rFonts w:ascii="Garamond" w:hAnsi="Garamond"/>
          <w:color w:val="auto"/>
          <w:sz w:val="22"/>
          <w:szCs w:val="22"/>
        </w:rPr>
        <w:t>context of a two-parent family.</w:t>
      </w:r>
      <w:r w:rsidRPr="004A0C12">
        <w:rPr>
          <w:rFonts w:ascii="Garamond" w:hAnsi="Garamond"/>
          <w:color w:val="auto"/>
          <w:sz w:val="22"/>
          <w:szCs w:val="22"/>
        </w:rPr>
        <w:t xml:space="preserve"> The Maryland Healthy Marriage / Healthy Families Initiative has been established as the umbrella for se</w:t>
      </w:r>
      <w:r w:rsidR="00D02020" w:rsidRPr="004A0C12">
        <w:rPr>
          <w:rFonts w:ascii="Garamond" w:hAnsi="Garamond"/>
          <w:color w:val="auto"/>
          <w:sz w:val="22"/>
          <w:szCs w:val="22"/>
        </w:rPr>
        <w:t xml:space="preserve">veral family focused programs. </w:t>
      </w:r>
      <w:r w:rsidRPr="004A0C12">
        <w:rPr>
          <w:rFonts w:ascii="Garamond" w:hAnsi="Garamond"/>
          <w:color w:val="auto"/>
          <w:sz w:val="22"/>
          <w:szCs w:val="22"/>
        </w:rPr>
        <w:t>The purpose of the initiative is to build the capacity of participants</w:t>
      </w:r>
      <w:r w:rsidR="00D02020" w:rsidRPr="004A0C12">
        <w:rPr>
          <w:rFonts w:ascii="Garamond" w:hAnsi="Garamond"/>
          <w:color w:val="auto"/>
          <w:sz w:val="22"/>
          <w:szCs w:val="22"/>
        </w:rPr>
        <w:t>,</w:t>
      </w:r>
      <w:r w:rsidRPr="004A0C12">
        <w:rPr>
          <w:rFonts w:ascii="Garamond" w:hAnsi="Garamond"/>
          <w:color w:val="auto"/>
          <w:sz w:val="22"/>
          <w:szCs w:val="22"/>
        </w:rPr>
        <w:t xml:space="preserve"> so that they are prepared for the responsibilities of parenting and marriage</w:t>
      </w:r>
      <w:r w:rsidR="00D02020" w:rsidRPr="004A0C12">
        <w:rPr>
          <w:rFonts w:ascii="Garamond" w:hAnsi="Garamond"/>
          <w:color w:val="auto"/>
          <w:sz w:val="22"/>
          <w:szCs w:val="22"/>
        </w:rPr>
        <w:t>,</w:t>
      </w:r>
      <w:r w:rsidRPr="004A0C12">
        <w:rPr>
          <w:rFonts w:ascii="Garamond" w:hAnsi="Garamond"/>
          <w:color w:val="auto"/>
          <w:sz w:val="22"/>
          <w:szCs w:val="22"/>
        </w:rPr>
        <w:t xml:space="preserve"> and ultimately to enhance the lives of their children. The family focused programs target mothers, fathers</w:t>
      </w:r>
      <w:r w:rsidR="00D02020" w:rsidRPr="004A0C12">
        <w:rPr>
          <w:rFonts w:ascii="Garamond" w:hAnsi="Garamond"/>
          <w:color w:val="auto"/>
          <w:sz w:val="22"/>
          <w:szCs w:val="22"/>
        </w:rPr>
        <w:t>,</w:t>
      </w:r>
      <w:r w:rsidRPr="004A0C12">
        <w:rPr>
          <w:rFonts w:ascii="Garamond" w:hAnsi="Garamond"/>
          <w:color w:val="auto"/>
          <w:sz w:val="22"/>
          <w:szCs w:val="22"/>
        </w:rPr>
        <w:t xml:space="preserve"> and youth, providing a continuum of services to st</w:t>
      </w:r>
      <w:r w:rsidR="00D02020" w:rsidRPr="004A0C12">
        <w:rPr>
          <w:rFonts w:ascii="Garamond" w:hAnsi="Garamond"/>
          <w:color w:val="auto"/>
          <w:sz w:val="22"/>
          <w:szCs w:val="22"/>
        </w:rPr>
        <w:t xml:space="preserve">rengthen and empower families. </w:t>
      </w:r>
      <w:r w:rsidRPr="004A0C12">
        <w:rPr>
          <w:rFonts w:ascii="Garamond" w:hAnsi="Garamond"/>
          <w:color w:val="auto"/>
          <w:sz w:val="22"/>
          <w:szCs w:val="22"/>
        </w:rPr>
        <w:t>The programs include fatherhood and non-marital birth reduction initiatives and a marriage preparation curriculum.</w:t>
      </w:r>
    </w:p>
    <w:p w14:paraId="6D728E50" w14:textId="77777777" w:rsidR="004705C8" w:rsidRPr="004A0C12" w:rsidRDefault="004705C8" w:rsidP="00C81305">
      <w:pPr>
        <w:pStyle w:val="Title"/>
        <w:pBdr>
          <w:bottom w:val="none" w:sz="0" w:space="0" w:color="auto"/>
        </w:pBdr>
        <w:spacing w:after="0"/>
        <w:ind w:left="360"/>
        <w:jc w:val="both"/>
        <w:rPr>
          <w:rFonts w:ascii="Garamond" w:hAnsi="Garamond"/>
          <w:color w:val="auto"/>
          <w:sz w:val="22"/>
          <w:szCs w:val="22"/>
        </w:rPr>
      </w:pPr>
    </w:p>
    <w:p w14:paraId="5ECA9609" w14:textId="0DCF19BA" w:rsidR="004705C8" w:rsidRPr="004A0C12" w:rsidRDefault="004705C8" w:rsidP="00C81305">
      <w:pPr>
        <w:pStyle w:val="Title"/>
        <w:pBdr>
          <w:bottom w:val="none" w:sz="0" w:space="0" w:color="auto"/>
        </w:pBdr>
        <w:spacing w:after="0"/>
        <w:jc w:val="both"/>
        <w:rPr>
          <w:rFonts w:ascii="Garamond" w:hAnsi="Garamond"/>
          <w:color w:val="auto"/>
          <w:sz w:val="22"/>
          <w:szCs w:val="22"/>
        </w:rPr>
      </w:pPr>
      <w:r w:rsidRPr="004A0C12">
        <w:rPr>
          <w:rFonts w:ascii="Garamond" w:hAnsi="Garamond"/>
          <w:color w:val="auto"/>
          <w:sz w:val="22"/>
          <w:szCs w:val="22"/>
        </w:rPr>
        <w:t>The Maryland Healthy Marriage / Healthy Families Initiative focuses primarily on expectant and never married parents and fragile famili</w:t>
      </w:r>
      <w:r w:rsidR="00D02020" w:rsidRPr="004A0C12">
        <w:rPr>
          <w:rFonts w:ascii="Garamond" w:hAnsi="Garamond"/>
          <w:color w:val="auto"/>
          <w:sz w:val="22"/>
          <w:szCs w:val="22"/>
        </w:rPr>
        <w:t>es in need of support services.</w:t>
      </w:r>
      <w:r w:rsidRPr="004A0C12">
        <w:rPr>
          <w:rFonts w:ascii="Garamond" w:hAnsi="Garamond"/>
          <w:color w:val="auto"/>
          <w:sz w:val="22"/>
          <w:szCs w:val="22"/>
        </w:rPr>
        <w:t xml:space="preserve"> The initiative connects participants with resources, information and services to s</w:t>
      </w:r>
      <w:r w:rsidR="00D02020" w:rsidRPr="004A0C12">
        <w:rPr>
          <w:rFonts w:ascii="Garamond" w:hAnsi="Garamond"/>
          <w:color w:val="auto"/>
          <w:sz w:val="22"/>
          <w:szCs w:val="22"/>
        </w:rPr>
        <w:t>trengthen and empower families.</w:t>
      </w:r>
      <w:r w:rsidRPr="004A0C12">
        <w:rPr>
          <w:rFonts w:ascii="Garamond" w:hAnsi="Garamond"/>
          <w:color w:val="auto"/>
          <w:sz w:val="22"/>
          <w:szCs w:val="22"/>
        </w:rPr>
        <w:t xml:space="preserve"> Some of the services offered include parenting skills enhancement, educational activities, employment development, job search and support, cou</w:t>
      </w:r>
      <w:r w:rsidR="00D02020" w:rsidRPr="004A0C12">
        <w:rPr>
          <w:rFonts w:ascii="Garamond" w:hAnsi="Garamond"/>
          <w:color w:val="auto"/>
          <w:sz w:val="22"/>
          <w:szCs w:val="22"/>
        </w:rPr>
        <w:t xml:space="preserve">nseling, and anger management. </w:t>
      </w:r>
      <w:r w:rsidRPr="004A0C12">
        <w:rPr>
          <w:rFonts w:ascii="Garamond" w:hAnsi="Garamond"/>
          <w:color w:val="auto"/>
          <w:sz w:val="22"/>
          <w:szCs w:val="22"/>
        </w:rPr>
        <w:t xml:space="preserve">The services are provided through a network of social service systems, educational systems, and community </w:t>
      </w:r>
      <w:r w:rsidR="00D02020" w:rsidRPr="004A0C12">
        <w:rPr>
          <w:rFonts w:ascii="Garamond" w:hAnsi="Garamond"/>
          <w:color w:val="auto"/>
          <w:sz w:val="22"/>
          <w:szCs w:val="22"/>
        </w:rPr>
        <w:t xml:space="preserve">and faith based organizations. </w:t>
      </w:r>
      <w:r w:rsidRPr="004A0C12">
        <w:rPr>
          <w:rFonts w:ascii="Garamond" w:hAnsi="Garamond"/>
          <w:color w:val="auto"/>
          <w:sz w:val="22"/>
          <w:szCs w:val="22"/>
        </w:rPr>
        <w:t xml:space="preserve">This program provides non-assistance. </w:t>
      </w:r>
    </w:p>
    <w:p w14:paraId="1CEAC498" w14:textId="77777777" w:rsidR="004705C8" w:rsidRPr="004A0C12" w:rsidRDefault="004705C8" w:rsidP="00C81305">
      <w:pPr>
        <w:spacing w:after="0" w:line="240" w:lineRule="auto"/>
        <w:ind w:left="360"/>
        <w:contextualSpacing/>
        <w:jc w:val="both"/>
        <w:rPr>
          <w:rFonts w:ascii="Garamond" w:hAnsi="Garamond" w:cs="Times New Roman"/>
        </w:rPr>
      </w:pPr>
    </w:p>
    <w:p w14:paraId="04E75C25" w14:textId="77777777" w:rsidR="00902C29" w:rsidRPr="004F590C" w:rsidRDefault="00D02020" w:rsidP="00C81305">
      <w:pPr>
        <w:spacing w:line="240" w:lineRule="auto"/>
        <w:contextualSpacing/>
        <w:jc w:val="both"/>
        <w:rPr>
          <w:rFonts w:ascii="Garamond" w:hAnsi="Garamond" w:cs="Times New Roman"/>
          <w:sz w:val="24"/>
        </w:rPr>
      </w:pPr>
      <w:r w:rsidRPr="004F590C">
        <w:rPr>
          <w:rStyle w:val="Heading4Char"/>
          <w:rFonts w:ascii="Garamond" w:hAnsi="Garamond"/>
          <w:sz w:val="24"/>
        </w:rPr>
        <w:t>The Responsible Fathers, Healthy Marriage and Healthy Families Programs</w:t>
      </w:r>
    </w:p>
    <w:p w14:paraId="5E3E2466" w14:textId="3AC69BB5" w:rsidR="00C81305" w:rsidRPr="004A0C12" w:rsidRDefault="00D02020" w:rsidP="00C81305">
      <w:pPr>
        <w:spacing w:line="240" w:lineRule="auto"/>
        <w:contextualSpacing/>
        <w:jc w:val="both"/>
        <w:rPr>
          <w:rFonts w:ascii="Garamond" w:hAnsi="Garamond" w:cs="Times New Roman"/>
        </w:rPr>
      </w:pPr>
      <w:r w:rsidRPr="004A0C12">
        <w:rPr>
          <w:rFonts w:ascii="Garamond" w:hAnsi="Garamond" w:cs="Times New Roman"/>
        </w:rPr>
        <w:t>These programs include activities that are enumerated in sections 403(a)(2)(A)(iii) and 403(a)(2)(C)(ii) of the Social Security Act. States may claim these pro-family expenditures for non-assistance benefits provided to or on behalf of an individual or family as MOE, regardless of financial need or family composition, unless a limitation, restriction or prohibition under 45 CFR 263 Subpart A applies.</w:t>
      </w:r>
    </w:p>
    <w:p w14:paraId="5DD47539" w14:textId="77777777" w:rsidR="00C81305" w:rsidRPr="004A0C12" w:rsidRDefault="00C81305" w:rsidP="00C81305">
      <w:pPr>
        <w:spacing w:line="240" w:lineRule="auto"/>
        <w:contextualSpacing/>
        <w:jc w:val="both"/>
        <w:rPr>
          <w:rFonts w:ascii="Garamond" w:hAnsi="Garamond" w:cs="Times New Roman"/>
        </w:rPr>
      </w:pPr>
    </w:p>
    <w:p w14:paraId="55F378AA" w14:textId="7050454B" w:rsidR="00C81305" w:rsidRPr="004A0C12" w:rsidRDefault="004705C8" w:rsidP="00C81305">
      <w:pPr>
        <w:spacing w:line="240" w:lineRule="auto"/>
        <w:contextualSpacing/>
        <w:jc w:val="both"/>
        <w:rPr>
          <w:rFonts w:ascii="Garamond" w:hAnsi="Garamond"/>
        </w:rPr>
      </w:pPr>
      <w:r w:rsidRPr="004A0C12">
        <w:rPr>
          <w:rFonts w:ascii="Garamond" w:hAnsi="Garamond"/>
        </w:rPr>
        <w:t xml:space="preserve">There are instances when the following programs that are not means </w:t>
      </w:r>
      <w:r w:rsidR="00D02020" w:rsidRPr="004A0C12">
        <w:rPr>
          <w:rFonts w:ascii="Garamond" w:hAnsi="Garamond"/>
        </w:rPr>
        <w:t>tested serve eligible families.</w:t>
      </w:r>
      <w:r w:rsidRPr="004A0C12">
        <w:rPr>
          <w:rFonts w:ascii="Garamond" w:hAnsi="Garamond"/>
        </w:rPr>
        <w:t xml:space="preserve"> The State will count these expenditures for services received by needy families as TANF-MOE expenditures only when an audit trail can be established that links the non-means te</w:t>
      </w:r>
      <w:r w:rsidR="00D02020" w:rsidRPr="004A0C12">
        <w:rPr>
          <w:rFonts w:ascii="Garamond" w:hAnsi="Garamond"/>
        </w:rPr>
        <w:t>sted service to needy families.</w:t>
      </w:r>
      <w:r w:rsidRPr="004A0C12">
        <w:rPr>
          <w:rFonts w:ascii="Garamond" w:hAnsi="Garamond"/>
        </w:rPr>
        <w:t xml:space="preserve"> One example is when a program supplies an enrollment list and it </w:t>
      </w:r>
      <w:r w:rsidR="00D02020" w:rsidRPr="004A0C12">
        <w:rPr>
          <w:rFonts w:ascii="Garamond" w:hAnsi="Garamond"/>
        </w:rPr>
        <w:t>is matched to the TCA caseload.</w:t>
      </w:r>
      <w:r w:rsidRPr="004A0C12">
        <w:rPr>
          <w:rFonts w:ascii="Garamond" w:hAnsi="Garamond"/>
        </w:rPr>
        <w:t xml:space="preserve"> If the list shows that five percent of families served were needy, then five percent of the non-federal expenditures for that fiscal y</w:t>
      </w:r>
      <w:r w:rsidR="00D02020" w:rsidRPr="004A0C12">
        <w:rPr>
          <w:rFonts w:ascii="Garamond" w:hAnsi="Garamond"/>
        </w:rPr>
        <w:t>ear may be claimed as TANF-M</w:t>
      </w:r>
      <w:r w:rsidR="00C81305" w:rsidRPr="004A0C12">
        <w:rPr>
          <w:rFonts w:ascii="Garamond" w:hAnsi="Garamond"/>
        </w:rPr>
        <w:t xml:space="preserve">OE. </w:t>
      </w:r>
      <w:r w:rsidRPr="004A0C12">
        <w:rPr>
          <w:rFonts w:ascii="Garamond" w:hAnsi="Garamond"/>
        </w:rPr>
        <w:t xml:space="preserve">The following commingled funded programs will use this or a similar methodology if TANF-MOE expenditures are claimed.  </w:t>
      </w:r>
    </w:p>
    <w:p w14:paraId="143B5143" w14:textId="77777777" w:rsidR="00902C29" w:rsidRPr="004F590C" w:rsidRDefault="004705C8" w:rsidP="00C81305">
      <w:pPr>
        <w:spacing w:line="240" w:lineRule="auto"/>
        <w:contextualSpacing/>
        <w:jc w:val="both"/>
        <w:rPr>
          <w:rFonts w:ascii="Garamond" w:hAnsi="Garamond"/>
          <w:sz w:val="24"/>
        </w:rPr>
      </w:pPr>
      <w:r w:rsidRPr="004F590C">
        <w:rPr>
          <w:rStyle w:val="Heading4Char"/>
          <w:rFonts w:ascii="Garamond" w:hAnsi="Garamond"/>
          <w:sz w:val="24"/>
        </w:rPr>
        <w:t>Office of Work Opportunities Youth Operations’ Youth Service Program</w:t>
      </w:r>
    </w:p>
    <w:p w14:paraId="4768FB3A" w14:textId="42A92CEA" w:rsidR="00C81305" w:rsidRPr="004A0C12" w:rsidRDefault="004705C8" w:rsidP="00C81305">
      <w:pPr>
        <w:spacing w:line="240" w:lineRule="auto"/>
        <w:contextualSpacing/>
        <w:jc w:val="both"/>
        <w:rPr>
          <w:rFonts w:ascii="Garamond" w:hAnsi="Garamond"/>
        </w:rPr>
      </w:pPr>
      <w:r w:rsidRPr="004A0C12">
        <w:rPr>
          <w:rFonts w:ascii="Garamond" w:hAnsi="Garamond"/>
        </w:rPr>
        <w:t>The Youth Services Program is designed to deter you</w:t>
      </w:r>
      <w:r w:rsidR="00C81305" w:rsidRPr="004A0C12">
        <w:rPr>
          <w:rFonts w:ascii="Garamond" w:hAnsi="Garamond"/>
        </w:rPr>
        <w:t>th from becoming TCA customers.</w:t>
      </w:r>
      <w:r w:rsidRPr="004A0C12">
        <w:rPr>
          <w:rFonts w:ascii="Garamond" w:hAnsi="Garamond"/>
        </w:rPr>
        <w:t xml:space="preserve"> The program provides opportunities for youth to look at careers and the world of work</w:t>
      </w:r>
      <w:r w:rsidR="00C81305" w:rsidRPr="004A0C12">
        <w:rPr>
          <w:rFonts w:ascii="Garamond" w:hAnsi="Garamond"/>
        </w:rPr>
        <w:t>,</w:t>
      </w:r>
      <w:r w:rsidRPr="004A0C12">
        <w:rPr>
          <w:rFonts w:ascii="Garamond" w:hAnsi="Garamond"/>
        </w:rPr>
        <w:t xml:space="preserve"> linked closely to the local lab</w:t>
      </w:r>
      <w:r w:rsidR="00C81305" w:rsidRPr="004A0C12">
        <w:rPr>
          <w:rFonts w:ascii="Garamond" w:hAnsi="Garamond"/>
        </w:rPr>
        <w:t>or market and youth development,</w:t>
      </w:r>
      <w:r w:rsidRPr="004A0C12">
        <w:rPr>
          <w:rFonts w:ascii="Garamond" w:hAnsi="Garamond"/>
        </w:rPr>
        <w:t xml:space="preserve"> such as leadership through volunteer community service and connections between academic and occupational learning.</w:t>
      </w:r>
    </w:p>
    <w:p w14:paraId="7868E261" w14:textId="77777777" w:rsidR="00C81305" w:rsidRPr="004A0C12" w:rsidRDefault="00C81305" w:rsidP="00C81305">
      <w:pPr>
        <w:spacing w:line="240" w:lineRule="auto"/>
        <w:contextualSpacing/>
        <w:jc w:val="both"/>
        <w:rPr>
          <w:rFonts w:ascii="Garamond" w:hAnsi="Garamond"/>
        </w:rPr>
      </w:pPr>
    </w:p>
    <w:p w14:paraId="67656E11" w14:textId="77777777" w:rsidR="00C81305" w:rsidRPr="004A0C12" w:rsidRDefault="00C81305" w:rsidP="00C81305">
      <w:pPr>
        <w:spacing w:line="240" w:lineRule="auto"/>
        <w:contextualSpacing/>
        <w:jc w:val="both"/>
        <w:rPr>
          <w:rFonts w:ascii="Garamond" w:hAnsi="Garamond"/>
        </w:rPr>
      </w:pPr>
      <w:r w:rsidRPr="004A0C12">
        <w:rPr>
          <w:rFonts w:ascii="Garamond" w:hAnsi="Garamond"/>
        </w:rPr>
        <w:t xml:space="preserve">Through this program, youth learn early in their development how to access workforce services and continue to use those services throughout their working lives. The goal is to promote motivation, performance, and self-esteem of youth, prevent teen pregnancies and to develop career awareness, including the necessary academic, technical, and vocational skills to successfully transition into adulthood. This program provides non-assistance. </w:t>
      </w:r>
    </w:p>
    <w:p w14:paraId="604BC174" w14:textId="77777777" w:rsidR="00C81305" w:rsidRPr="004A0C12" w:rsidRDefault="00C81305" w:rsidP="00C81305">
      <w:pPr>
        <w:spacing w:line="240" w:lineRule="auto"/>
        <w:contextualSpacing/>
        <w:jc w:val="both"/>
        <w:rPr>
          <w:rFonts w:ascii="Garamond" w:hAnsi="Garamond"/>
        </w:rPr>
      </w:pPr>
    </w:p>
    <w:p w14:paraId="65485B2E" w14:textId="77777777" w:rsidR="00902C29" w:rsidRPr="004F590C" w:rsidRDefault="00C81305" w:rsidP="00D67467">
      <w:pPr>
        <w:spacing w:line="240" w:lineRule="auto"/>
        <w:contextualSpacing/>
        <w:jc w:val="both"/>
        <w:rPr>
          <w:rFonts w:ascii="Garamond" w:hAnsi="Garamond"/>
          <w:bCs/>
          <w:sz w:val="24"/>
        </w:rPr>
      </w:pPr>
      <w:r w:rsidRPr="004F590C">
        <w:rPr>
          <w:rStyle w:val="Heading4Char"/>
          <w:rFonts w:ascii="Garamond" w:hAnsi="Garamond"/>
          <w:sz w:val="24"/>
        </w:rPr>
        <w:t>Community Partnerships</w:t>
      </w:r>
    </w:p>
    <w:p w14:paraId="5B8CF62D" w14:textId="23DEF0C5" w:rsidR="00D67467" w:rsidRPr="004A0C12" w:rsidRDefault="00C81305" w:rsidP="00D67467">
      <w:pPr>
        <w:spacing w:line="240" w:lineRule="auto"/>
        <w:contextualSpacing/>
        <w:jc w:val="both"/>
        <w:rPr>
          <w:rFonts w:ascii="Garamond" w:hAnsi="Garamond"/>
        </w:rPr>
      </w:pPr>
      <w:r w:rsidRPr="004A0C12">
        <w:rPr>
          <w:rFonts w:ascii="Garamond" w:hAnsi="Garamond"/>
          <w:bCs/>
        </w:rPr>
        <w:t xml:space="preserve">These programs are locally defined and based on indicated needs to help families by providing family support through projects such as home visiting, after school programs and family preservation.  The program objectives seek to reduce out-of-wedlock pregnancies, increase parent-child interaction, emotional support, and financial responsibility, and promote the development of two </w:t>
      </w:r>
      <w:r w:rsidR="00D67467" w:rsidRPr="004A0C12">
        <w:rPr>
          <w:rFonts w:ascii="Garamond" w:hAnsi="Garamond"/>
          <w:bCs/>
        </w:rPr>
        <w:t xml:space="preserve">parent families. </w:t>
      </w:r>
      <w:r w:rsidRPr="004A0C12">
        <w:rPr>
          <w:rFonts w:ascii="Garamond" w:hAnsi="Garamond"/>
          <w:bCs/>
        </w:rPr>
        <w:t>This program provides non-assistance.</w:t>
      </w:r>
      <w:r w:rsidRPr="004A0C12">
        <w:rPr>
          <w:rFonts w:ascii="Garamond" w:hAnsi="Garamond"/>
        </w:rPr>
        <w:t xml:space="preserve"> </w:t>
      </w:r>
    </w:p>
    <w:p w14:paraId="5A7FD968" w14:textId="77777777" w:rsidR="00D67467" w:rsidRPr="004A0C12" w:rsidRDefault="00D67467" w:rsidP="00D67467">
      <w:pPr>
        <w:spacing w:line="240" w:lineRule="auto"/>
        <w:contextualSpacing/>
        <w:jc w:val="both"/>
        <w:rPr>
          <w:rFonts w:ascii="Garamond" w:hAnsi="Garamond"/>
        </w:rPr>
      </w:pPr>
    </w:p>
    <w:p w14:paraId="25C2CD52" w14:textId="77777777" w:rsidR="004F590C" w:rsidRDefault="004F590C" w:rsidP="00D67467">
      <w:pPr>
        <w:spacing w:line="240" w:lineRule="auto"/>
        <w:contextualSpacing/>
        <w:jc w:val="both"/>
        <w:rPr>
          <w:rStyle w:val="Heading4Char"/>
          <w:rFonts w:ascii="Garamond" w:hAnsi="Garamond"/>
          <w:sz w:val="24"/>
        </w:rPr>
      </w:pPr>
    </w:p>
    <w:p w14:paraId="3D4B9297" w14:textId="77777777" w:rsidR="004F590C" w:rsidRDefault="004F590C" w:rsidP="00D67467">
      <w:pPr>
        <w:spacing w:line="240" w:lineRule="auto"/>
        <w:contextualSpacing/>
        <w:jc w:val="both"/>
        <w:rPr>
          <w:rStyle w:val="Heading4Char"/>
          <w:rFonts w:ascii="Garamond" w:hAnsi="Garamond"/>
          <w:sz w:val="24"/>
        </w:rPr>
      </w:pPr>
    </w:p>
    <w:p w14:paraId="51F1739C" w14:textId="77777777" w:rsidR="00902C29" w:rsidRPr="004F590C" w:rsidRDefault="004705C8" w:rsidP="00D67467">
      <w:pPr>
        <w:spacing w:line="240" w:lineRule="auto"/>
        <w:contextualSpacing/>
        <w:jc w:val="both"/>
        <w:rPr>
          <w:rFonts w:ascii="Garamond" w:hAnsi="Garamond"/>
          <w:sz w:val="24"/>
        </w:rPr>
      </w:pPr>
      <w:r w:rsidRPr="004F590C">
        <w:rPr>
          <w:rStyle w:val="Heading4Char"/>
          <w:rFonts w:ascii="Garamond" w:hAnsi="Garamond"/>
          <w:sz w:val="24"/>
        </w:rPr>
        <w:lastRenderedPageBreak/>
        <w:t>Safe and Stable Families</w:t>
      </w:r>
    </w:p>
    <w:p w14:paraId="0EAFAA56" w14:textId="36ED06D5" w:rsidR="00D67467" w:rsidRPr="004A0C12" w:rsidRDefault="004705C8" w:rsidP="00D67467">
      <w:pPr>
        <w:spacing w:line="240" w:lineRule="auto"/>
        <w:contextualSpacing/>
        <w:jc w:val="both"/>
        <w:rPr>
          <w:rFonts w:ascii="Garamond" w:hAnsi="Garamond"/>
        </w:rPr>
      </w:pPr>
      <w:r w:rsidRPr="004A0C12">
        <w:rPr>
          <w:rFonts w:ascii="Garamond" w:hAnsi="Garamond"/>
        </w:rPr>
        <w:t>These are a variety of programs available to families to provide supportive services to promote safety and well-being of children and their families, promote stability and permanency, preserve family unity, and build empowerment, self-sufficiency and psychosocial well-being. This includes families with identified stresses around family life, including disruption, child abuse and neglect issues, domestic violence, homelessness, substance abuse, mental health, physical he</w:t>
      </w:r>
      <w:r w:rsidR="00D67467" w:rsidRPr="004A0C12">
        <w:rPr>
          <w:rFonts w:ascii="Garamond" w:hAnsi="Garamond"/>
        </w:rPr>
        <w:t xml:space="preserve">alth, and educational concerns. </w:t>
      </w:r>
      <w:r w:rsidRPr="004A0C12">
        <w:rPr>
          <w:rFonts w:ascii="Garamond" w:hAnsi="Garamond"/>
        </w:rPr>
        <w:t>These programs help families by providing</w:t>
      </w:r>
      <w:r w:rsidR="00D67467" w:rsidRPr="004A0C12">
        <w:rPr>
          <w:rFonts w:ascii="Garamond" w:hAnsi="Garamond"/>
        </w:rPr>
        <w:t>:</w:t>
      </w:r>
      <w:r w:rsidRPr="004A0C12">
        <w:rPr>
          <w:rFonts w:ascii="Garamond" w:hAnsi="Garamond"/>
        </w:rPr>
        <w:t xml:space="preserve"> protective services or potential </w:t>
      </w:r>
      <w:r w:rsidR="00D67467" w:rsidRPr="004A0C12">
        <w:rPr>
          <w:rFonts w:ascii="Garamond" w:hAnsi="Garamond"/>
        </w:rPr>
        <w:t>protective services to families;</w:t>
      </w:r>
      <w:r w:rsidRPr="004A0C12">
        <w:rPr>
          <w:rFonts w:ascii="Garamond" w:hAnsi="Garamond"/>
        </w:rPr>
        <w:t xml:space="preserve"> family support through projects such as parenting classes and after </w:t>
      </w:r>
      <w:r w:rsidR="00D67467" w:rsidRPr="004A0C12">
        <w:rPr>
          <w:rFonts w:ascii="Garamond" w:hAnsi="Garamond"/>
        </w:rPr>
        <w:t>school programs;</w:t>
      </w:r>
      <w:r w:rsidRPr="004A0C12">
        <w:rPr>
          <w:rFonts w:ascii="Garamond" w:hAnsi="Garamond"/>
        </w:rPr>
        <w:t xml:space="preserve"> and family preservation, through grants for Interagency Family Preservation Services and through other means as appropriate, such as by counseling families in crisis, referring them to other existing services, and providing a wide range of service to the family to maximize the chances the children grow up in safe, stable and loving homes.  </w:t>
      </w:r>
    </w:p>
    <w:p w14:paraId="504883F1" w14:textId="77777777" w:rsidR="00D67467" w:rsidRPr="004A0C12" w:rsidRDefault="00D67467" w:rsidP="00D67467">
      <w:pPr>
        <w:spacing w:line="240" w:lineRule="auto"/>
        <w:contextualSpacing/>
        <w:jc w:val="both"/>
        <w:rPr>
          <w:rFonts w:ascii="Garamond" w:hAnsi="Garamond"/>
        </w:rPr>
      </w:pPr>
    </w:p>
    <w:p w14:paraId="101893E4" w14:textId="77777777" w:rsidR="00D67467" w:rsidRPr="004A0C12" w:rsidRDefault="004705C8" w:rsidP="00D67467">
      <w:pPr>
        <w:spacing w:line="240" w:lineRule="auto"/>
        <w:contextualSpacing/>
        <w:jc w:val="both"/>
        <w:rPr>
          <w:rFonts w:ascii="Garamond" w:hAnsi="Garamond"/>
        </w:rPr>
      </w:pPr>
      <w:r w:rsidRPr="004A0C12">
        <w:rPr>
          <w:rFonts w:ascii="Garamond" w:hAnsi="Garamond"/>
        </w:rPr>
        <w:t xml:space="preserve">The programs include, but are not limited to, Families Now, Intensive Family Services, Continuing Protective Services, Services to Families with Children, Kinship Care, Parent Aide Services and those provided through Inter-Agency Agreements such </w:t>
      </w:r>
      <w:r w:rsidR="00D67467" w:rsidRPr="004A0C12">
        <w:rPr>
          <w:rFonts w:ascii="Garamond" w:hAnsi="Garamond"/>
        </w:rPr>
        <w:t>as the Family Recovery Program.</w:t>
      </w:r>
      <w:r w:rsidRPr="004A0C12">
        <w:rPr>
          <w:rFonts w:ascii="Garamond" w:hAnsi="Garamond"/>
        </w:rPr>
        <w:t xml:space="preserve"> These programs prevent or reduce out-of-wedlock pregnancies and encourage the formation and maintenance of two parent families, since the ultimate goal of all of them is to provide a safe home for children in a </w:t>
      </w:r>
      <w:r w:rsidR="00D67467" w:rsidRPr="004A0C12">
        <w:rPr>
          <w:rFonts w:ascii="Garamond" w:hAnsi="Garamond"/>
        </w:rPr>
        <w:t>stable, two-parent environment.</w:t>
      </w:r>
      <w:r w:rsidRPr="004A0C12">
        <w:rPr>
          <w:rFonts w:ascii="Garamond" w:hAnsi="Garamond"/>
        </w:rPr>
        <w:t xml:space="preserve"> These programs provide non-assistance.</w:t>
      </w:r>
    </w:p>
    <w:p w14:paraId="688EA8D8" w14:textId="77777777" w:rsidR="00D67467" w:rsidRPr="004F590C" w:rsidRDefault="00D67467" w:rsidP="00D67467">
      <w:pPr>
        <w:spacing w:line="240" w:lineRule="auto"/>
        <w:contextualSpacing/>
        <w:jc w:val="both"/>
        <w:rPr>
          <w:rFonts w:ascii="Garamond" w:hAnsi="Garamond"/>
          <w:sz w:val="24"/>
        </w:rPr>
      </w:pPr>
    </w:p>
    <w:p w14:paraId="5F1FD98E" w14:textId="77777777" w:rsidR="00902C29" w:rsidRPr="004F590C" w:rsidRDefault="004705C8" w:rsidP="00D67467">
      <w:pPr>
        <w:spacing w:line="240" w:lineRule="auto"/>
        <w:contextualSpacing/>
        <w:jc w:val="both"/>
        <w:rPr>
          <w:rFonts w:ascii="Garamond" w:hAnsi="Garamond"/>
          <w:sz w:val="24"/>
          <w:u w:val="single"/>
        </w:rPr>
      </w:pPr>
      <w:r w:rsidRPr="004F590C">
        <w:rPr>
          <w:rStyle w:val="Heading4Char"/>
          <w:rFonts w:ascii="Garamond" w:hAnsi="Garamond"/>
          <w:sz w:val="24"/>
        </w:rPr>
        <w:t>Baltimore City Publ</w:t>
      </w:r>
      <w:r w:rsidR="00D67467" w:rsidRPr="004F590C">
        <w:rPr>
          <w:rStyle w:val="Heading4Char"/>
          <w:rFonts w:ascii="Garamond" w:hAnsi="Garamond"/>
          <w:sz w:val="24"/>
        </w:rPr>
        <w:t>ic Schools After School Program</w:t>
      </w:r>
    </w:p>
    <w:p w14:paraId="78A8BB1A" w14:textId="63E9FAD8" w:rsidR="00D67467" w:rsidRPr="004A0C12" w:rsidRDefault="004705C8" w:rsidP="00D67467">
      <w:pPr>
        <w:spacing w:line="240" w:lineRule="auto"/>
        <w:contextualSpacing/>
        <w:jc w:val="both"/>
        <w:rPr>
          <w:rFonts w:ascii="Garamond" w:hAnsi="Garamond"/>
        </w:rPr>
      </w:pPr>
      <w:r w:rsidRPr="004A0C12">
        <w:rPr>
          <w:rFonts w:ascii="Garamond" w:hAnsi="Garamond"/>
        </w:rPr>
        <w:t>In an agreement between State and City officials, the Maryland After School Opportunity Fund Program wa</w:t>
      </w:r>
      <w:r w:rsidR="00D67467" w:rsidRPr="004A0C12">
        <w:rPr>
          <w:rFonts w:ascii="Garamond" w:hAnsi="Garamond"/>
        </w:rPr>
        <w:t xml:space="preserve">s expanded for Baltimore City. </w:t>
      </w:r>
      <w:r w:rsidRPr="004A0C12">
        <w:rPr>
          <w:rFonts w:ascii="Garamond" w:hAnsi="Garamond"/>
        </w:rPr>
        <w:t xml:space="preserve">As required by legislation, vendors chosen to operate the program must incorporate features that "will have a positive measurable impact on one or more of the conditions of well-being for Maryland children and youth identified by the Maryland Partnership for </w:t>
      </w:r>
      <w:r w:rsidR="00D67467" w:rsidRPr="004A0C12">
        <w:rPr>
          <w:rFonts w:ascii="Garamond" w:hAnsi="Garamond"/>
        </w:rPr>
        <w:t xml:space="preserve">Children, Youth and Families.” </w:t>
      </w:r>
      <w:r w:rsidRPr="004A0C12">
        <w:rPr>
          <w:rFonts w:ascii="Garamond" w:hAnsi="Garamond"/>
        </w:rPr>
        <w:t>The Maryland Partnership</w:t>
      </w:r>
      <w:r w:rsidR="00D67467" w:rsidRPr="004A0C12">
        <w:rPr>
          <w:rFonts w:ascii="Garamond" w:hAnsi="Garamond"/>
        </w:rPr>
        <w:t xml:space="preserve"> for Children, Youth and Families</w:t>
      </w:r>
      <w:r w:rsidRPr="004A0C12">
        <w:rPr>
          <w:rFonts w:ascii="Garamond" w:hAnsi="Garamond"/>
        </w:rPr>
        <w:t xml:space="preserve"> has developed resul</w:t>
      </w:r>
      <w:r w:rsidR="00D67467" w:rsidRPr="004A0C12">
        <w:rPr>
          <w:rFonts w:ascii="Garamond" w:hAnsi="Garamond"/>
        </w:rPr>
        <w:t>ts and indicators of child well</w:t>
      </w:r>
      <w:r w:rsidRPr="004A0C12">
        <w:rPr>
          <w:rFonts w:ascii="Garamond" w:hAnsi="Garamond"/>
        </w:rPr>
        <w:t>being with assistance from the U.S. Department of Health and Human Services, Office of the Assistant Secreta</w:t>
      </w:r>
      <w:r w:rsidR="00D67467" w:rsidRPr="004A0C12">
        <w:rPr>
          <w:rFonts w:ascii="Garamond" w:hAnsi="Garamond"/>
        </w:rPr>
        <w:t>ry for Planning and Evaluation.</w:t>
      </w:r>
      <w:r w:rsidRPr="004A0C12">
        <w:rPr>
          <w:rFonts w:ascii="Garamond" w:hAnsi="Garamond"/>
        </w:rPr>
        <w:t xml:space="preserve"> One of the results and indicators is “Babies Born Healthy,” which includes a measure for “the rate of births to adolescents less than 18 years of age.”</w:t>
      </w:r>
    </w:p>
    <w:p w14:paraId="468E6D84" w14:textId="77777777" w:rsidR="00D67467" w:rsidRPr="004A0C12" w:rsidRDefault="00D67467" w:rsidP="00D67467">
      <w:pPr>
        <w:spacing w:line="240" w:lineRule="auto"/>
        <w:contextualSpacing/>
        <w:jc w:val="both"/>
        <w:rPr>
          <w:rFonts w:ascii="Garamond" w:hAnsi="Garamond"/>
        </w:rPr>
      </w:pPr>
    </w:p>
    <w:p w14:paraId="671323E1" w14:textId="450476A9" w:rsidR="00D67467" w:rsidRPr="004A0C12" w:rsidRDefault="004705C8" w:rsidP="00D67467">
      <w:pPr>
        <w:spacing w:line="240" w:lineRule="auto"/>
        <w:contextualSpacing/>
        <w:jc w:val="both"/>
        <w:rPr>
          <w:rFonts w:ascii="Garamond" w:hAnsi="Garamond"/>
        </w:rPr>
      </w:pPr>
      <w:r w:rsidRPr="004A0C12">
        <w:rPr>
          <w:rFonts w:ascii="Garamond" w:hAnsi="Garamond"/>
        </w:rPr>
        <w:t>The programs support the Baltimore City Public Schools' efforts to provide quality after school experiences for at risk students enrolle</w:t>
      </w:r>
      <w:r w:rsidR="00D67467" w:rsidRPr="004A0C12">
        <w:rPr>
          <w:rFonts w:ascii="Garamond" w:hAnsi="Garamond"/>
        </w:rPr>
        <w:t>d in the City's public schools.</w:t>
      </w:r>
      <w:r w:rsidRPr="004A0C12">
        <w:rPr>
          <w:rFonts w:ascii="Garamond" w:hAnsi="Garamond"/>
        </w:rPr>
        <w:t xml:space="preserve"> Programs are designed to help children succeed in school, increase positive and healthy behaviors</w:t>
      </w:r>
      <w:r w:rsidR="00D67467" w:rsidRPr="004A0C12">
        <w:rPr>
          <w:rFonts w:ascii="Garamond" w:hAnsi="Garamond"/>
        </w:rPr>
        <w:t>,</w:t>
      </w:r>
      <w:r w:rsidRPr="004A0C12">
        <w:rPr>
          <w:rFonts w:ascii="Garamond" w:hAnsi="Garamond"/>
        </w:rPr>
        <w:t xml:space="preserve"> and decrease negative behaviors such as juvenile crime, substance abuse</w:t>
      </w:r>
      <w:r w:rsidR="00D67467" w:rsidRPr="004A0C12">
        <w:rPr>
          <w:rFonts w:ascii="Garamond" w:hAnsi="Garamond"/>
        </w:rPr>
        <w:t>, and teen pregnancy.</w:t>
      </w:r>
      <w:r w:rsidRPr="004A0C12">
        <w:rPr>
          <w:rFonts w:ascii="Garamond" w:hAnsi="Garamond"/>
        </w:rPr>
        <w:t xml:space="preserve"> This program provides supervision and activities for children of many low-income families and is reasonably calculated to achieve the third goal</w:t>
      </w:r>
      <w:r w:rsidR="00297312" w:rsidRPr="004A0C12">
        <w:rPr>
          <w:rStyle w:val="FootnoteReference"/>
          <w:rFonts w:ascii="Garamond" w:hAnsi="Garamond"/>
        </w:rPr>
        <w:footnoteReference w:id="59"/>
      </w:r>
      <w:r w:rsidRPr="004A0C12">
        <w:rPr>
          <w:rFonts w:ascii="Garamond" w:hAnsi="Garamond"/>
        </w:rPr>
        <w:t xml:space="preserve"> of the TANF statute</w:t>
      </w:r>
      <w:r w:rsidR="00D67467" w:rsidRPr="004A0C12">
        <w:rPr>
          <w:rFonts w:ascii="Garamond" w:hAnsi="Garamond"/>
        </w:rPr>
        <w:t xml:space="preserve">. </w:t>
      </w:r>
      <w:r w:rsidRPr="004A0C12">
        <w:rPr>
          <w:rFonts w:ascii="Garamond" w:hAnsi="Garamond"/>
        </w:rPr>
        <w:t xml:space="preserve">This program provides non-assistance. </w:t>
      </w:r>
    </w:p>
    <w:p w14:paraId="141FFD06" w14:textId="77777777" w:rsidR="00D67467" w:rsidRPr="004F590C" w:rsidRDefault="00D67467" w:rsidP="00D67467">
      <w:pPr>
        <w:spacing w:line="240" w:lineRule="auto"/>
        <w:contextualSpacing/>
        <w:jc w:val="both"/>
        <w:rPr>
          <w:rFonts w:ascii="Garamond" w:hAnsi="Garamond"/>
          <w:sz w:val="24"/>
        </w:rPr>
      </w:pPr>
    </w:p>
    <w:p w14:paraId="464DF201" w14:textId="77777777" w:rsidR="00902C29" w:rsidRPr="004F590C" w:rsidRDefault="004705C8" w:rsidP="00D67467">
      <w:pPr>
        <w:spacing w:line="240" w:lineRule="auto"/>
        <w:contextualSpacing/>
        <w:jc w:val="both"/>
        <w:rPr>
          <w:rFonts w:ascii="Garamond" w:hAnsi="Garamond"/>
          <w:sz w:val="24"/>
        </w:rPr>
      </w:pPr>
      <w:r w:rsidRPr="004F590C">
        <w:rPr>
          <w:rStyle w:val="Heading4Char"/>
          <w:rFonts w:ascii="Garamond" w:hAnsi="Garamond"/>
          <w:sz w:val="24"/>
        </w:rPr>
        <w:t>Juvenile Delinquency Prevention and Diversion Initiative</w:t>
      </w:r>
    </w:p>
    <w:p w14:paraId="41555C53" w14:textId="3749E1D0" w:rsidR="00D67467" w:rsidRPr="004A0C12" w:rsidRDefault="004705C8" w:rsidP="00D67467">
      <w:pPr>
        <w:spacing w:line="240" w:lineRule="auto"/>
        <w:contextualSpacing/>
        <w:jc w:val="both"/>
        <w:rPr>
          <w:rFonts w:ascii="Garamond" w:hAnsi="Garamond"/>
        </w:rPr>
      </w:pPr>
      <w:r w:rsidRPr="004A0C12">
        <w:rPr>
          <w:rFonts w:ascii="Garamond" w:hAnsi="Garamond"/>
        </w:rPr>
        <w:t>This initiative provides community based, multi-service prevention progr</w:t>
      </w:r>
      <w:r w:rsidR="00D67467" w:rsidRPr="004A0C12">
        <w:rPr>
          <w:rFonts w:ascii="Garamond" w:hAnsi="Garamond"/>
        </w:rPr>
        <w:t>ams serving youth and families.</w:t>
      </w:r>
      <w:r w:rsidRPr="004A0C12">
        <w:rPr>
          <w:rFonts w:ascii="Garamond" w:hAnsi="Garamond"/>
        </w:rPr>
        <w:t xml:space="preserve"> Sites are incorporated non-profits with a Board of Directors, local go</w:t>
      </w:r>
      <w:r w:rsidR="00D67467" w:rsidRPr="004A0C12">
        <w:rPr>
          <w:rFonts w:ascii="Garamond" w:hAnsi="Garamond"/>
        </w:rPr>
        <w:t>vernments, or state government.</w:t>
      </w:r>
      <w:r w:rsidRPr="004A0C12">
        <w:rPr>
          <w:rFonts w:ascii="Garamond" w:hAnsi="Garamond"/>
        </w:rPr>
        <w:t xml:space="preserve"> The youth served are those at risk of becoming delinquent because of their behaviors and circumstances, and youth who committed minor delinquencies.  </w:t>
      </w:r>
    </w:p>
    <w:p w14:paraId="2957A0E1" w14:textId="77777777" w:rsidR="00D67467" w:rsidRPr="004A0C12" w:rsidRDefault="00D67467" w:rsidP="00D67467">
      <w:pPr>
        <w:spacing w:line="240" w:lineRule="auto"/>
        <w:contextualSpacing/>
        <w:jc w:val="both"/>
        <w:rPr>
          <w:rFonts w:ascii="Garamond" w:hAnsi="Garamond"/>
        </w:rPr>
      </w:pPr>
    </w:p>
    <w:p w14:paraId="107A50EE" w14:textId="77777777" w:rsidR="00D67467" w:rsidRPr="004A0C12" w:rsidRDefault="004705C8" w:rsidP="00D67467">
      <w:pPr>
        <w:spacing w:line="240" w:lineRule="auto"/>
        <w:contextualSpacing/>
        <w:jc w:val="both"/>
        <w:rPr>
          <w:rFonts w:ascii="Garamond" w:hAnsi="Garamond"/>
        </w:rPr>
      </w:pPr>
      <w:r w:rsidRPr="004A0C12">
        <w:rPr>
          <w:rFonts w:ascii="Garamond" w:hAnsi="Garamond"/>
        </w:rPr>
        <w:t xml:space="preserve">Referrals are accepted from schools, parents, the Department of Juvenile Justice, </w:t>
      </w:r>
      <w:r w:rsidR="00D67467" w:rsidRPr="004A0C12">
        <w:rPr>
          <w:rFonts w:ascii="Garamond" w:hAnsi="Garamond"/>
        </w:rPr>
        <w:t>police, the juvenile him or her</w:t>
      </w:r>
      <w:r w:rsidRPr="004A0C12">
        <w:rPr>
          <w:rFonts w:ascii="Garamond" w:hAnsi="Garamond"/>
        </w:rPr>
        <w:t>sel</w:t>
      </w:r>
      <w:r w:rsidR="00D67467" w:rsidRPr="004A0C12">
        <w:rPr>
          <w:rFonts w:ascii="Garamond" w:hAnsi="Garamond"/>
        </w:rPr>
        <w:t xml:space="preserve">f, other agencies, and friends. </w:t>
      </w:r>
      <w:r w:rsidRPr="004A0C12">
        <w:rPr>
          <w:rFonts w:ascii="Garamond" w:hAnsi="Garamond"/>
        </w:rPr>
        <w:t>The purpose of the program is to enhance the motivation, performance and self-esteem of youth and is</w:t>
      </w:r>
      <w:r w:rsidR="00D67467" w:rsidRPr="004A0C12">
        <w:rPr>
          <w:rFonts w:ascii="Garamond" w:hAnsi="Garamond"/>
        </w:rPr>
        <w:t>,</w:t>
      </w:r>
      <w:r w:rsidRPr="004A0C12">
        <w:rPr>
          <w:rFonts w:ascii="Garamond" w:hAnsi="Garamond"/>
        </w:rPr>
        <w:t xml:space="preserve"> thus</w:t>
      </w:r>
      <w:r w:rsidR="00D67467" w:rsidRPr="004A0C12">
        <w:rPr>
          <w:rFonts w:ascii="Garamond" w:hAnsi="Garamond"/>
        </w:rPr>
        <w:t>,</w:t>
      </w:r>
      <w:r w:rsidRPr="004A0C12">
        <w:rPr>
          <w:rFonts w:ascii="Garamond" w:hAnsi="Garamond"/>
        </w:rPr>
        <w:t xml:space="preserve"> reasonably calculated to achieve the third goal of the TANF law, the reduction </w:t>
      </w:r>
      <w:r w:rsidR="00D67467" w:rsidRPr="004A0C12">
        <w:rPr>
          <w:rFonts w:ascii="Garamond" w:hAnsi="Garamond"/>
        </w:rPr>
        <w:t xml:space="preserve">of out of wedlock pregnancies. </w:t>
      </w:r>
      <w:r w:rsidRPr="004A0C12">
        <w:rPr>
          <w:rFonts w:ascii="Garamond" w:hAnsi="Garamond"/>
        </w:rPr>
        <w:t>This program provides non-assistance.</w:t>
      </w:r>
    </w:p>
    <w:p w14:paraId="184A2F1C" w14:textId="77777777" w:rsidR="00D67467" w:rsidRPr="004A0C12" w:rsidRDefault="00D67467" w:rsidP="00D67467">
      <w:pPr>
        <w:spacing w:line="240" w:lineRule="auto"/>
        <w:contextualSpacing/>
        <w:jc w:val="both"/>
        <w:rPr>
          <w:rFonts w:ascii="Garamond" w:hAnsi="Garamond"/>
        </w:rPr>
      </w:pPr>
    </w:p>
    <w:p w14:paraId="64451606" w14:textId="77777777" w:rsidR="00902C29" w:rsidRPr="004F590C" w:rsidRDefault="004705C8" w:rsidP="00623DB3">
      <w:pPr>
        <w:spacing w:line="240" w:lineRule="auto"/>
        <w:contextualSpacing/>
        <w:jc w:val="both"/>
        <w:rPr>
          <w:rFonts w:ascii="Garamond" w:hAnsi="Garamond"/>
          <w:sz w:val="24"/>
        </w:rPr>
      </w:pPr>
      <w:r w:rsidRPr="004F590C">
        <w:rPr>
          <w:rStyle w:val="Heading4Char"/>
          <w:rFonts w:ascii="Garamond" w:hAnsi="Garamond"/>
          <w:sz w:val="24"/>
        </w:rPr>
        <w:t>Enhancement Grants for Local School Systems</w:t>
      </w:r>
    </w:p>
    <w:p w14:paraId="7B05056B" w14:textId="496AC849" w:rsidR="00623DB3" w:rsidRPr="004A0C12" w:rsidRDefault="004705C8" w:rsidP="00623DB3">
      <w:pPr>
        <w:spacing w:line="240" w:lineRule="auto"/>
        <w:contextualSpacing/>
        <w:jc w:val="both"/>
        <w:rPr>
          <w:rFonts w:ascii="Garamond" w:hAnsi="Garamond"/>
        </w:rPr>
      </w:pPr>
      <w:r w:rsidRPr="004A0C12">
        <w:rPr>
          <w:rFonts w:ascii="Garamond" w:hAnsi="Garamond"/>
        </w:rPr>
        <w:t>These grants help local school systems provide full day, all year, early child</w:t>
      </w:r>
      <w:r w:rsidR="00D67467" w:rsidRPr="004A0C12">
        <w:rPr>
          <w:rFonts w:ascii="Garamond" w:hAnsi="Garamond"/>
        </w:rPr>
        <w:t xml:space="preserve">care and educational programs. </w:t>
      </w:r>
      <w:r w:rsidRPr="004A0C12">
        <w:rPr>
          <w:rFonts w:ascii="Garamond" w:hAnsi="Garamond"/>
        </w:rPr>
        <w:t>Funds can be used to</w:t>
      </w:r>
      <w:r w:rsidR="00623DB3" w:rsidRPr="004A0C12">
        <w:rPr>
          <w:rFonts w:ascii="Garamond" w:hAnsi="Garamond"/>
        </w:rPr>
        <w:t>:</w:t>
      </w:r>
      <w:r w:rsidRPr="004A0C12">
        <w:rPr>
          <w:rFonts w:ascii="Garamond" w:hAnsi="Garamond"/>
        </w:rPr>
        <w:t xml:space="preserve"> provide before and after care services for public schools, preschools, pre-kindergarten or kindergarten programs; increase the number of child care programs that are open full day and year round; expand services to half day programs; and provide family support programs promoting parental involvement.</w:t>
      </w:r>
    </w:p>
    <w:p w14:paraId="209265C6" w14:textId="77777777" w:rsidR="00902C29" w:rsidRPr="004A0C12" w:rsidRDefault="00902C29" w:rsidP="00623DB3">
      <w:pPr>
        <w:spacing w:line="240" w:lineRule="auto"/>
        <w:contextualSpacing/>
        <w:jc w:val="both"/>
        <w:rPr>
          <w:rFonts w:ascii="Garamond" w:hAnsi="Garamond"/>
        </w:rPr>
      </w:pPr>
    </w:p>
    <w:p w14:paraId="7CAB6D87" w14:textId="46B761DC" w:rsidR="00623DB3" w:rsidRPr="004A0C12" w:rsidRDefault="004705C8" w:rsidP="00623DB3">
      <w:pPr>
        <w:spacing w:line="240" w:lineRule="auto"/>
        <w:contextualSpacing/>
        <w:jc w:val="both"/>
        <w:rPr>
          <w:rFonts w:ascii="Garamond" w:hAnsi="Garamond"/>
        </w:rPr>
      </w:pPr>
      <w:r w:rsidRPr="004A0C12">
        <w:rPr>
          <w:rFonts w:ascii="Garamond" w:hAnsi="Garamond"/>
        </w:rPr>
        <w:lastRenderedPageBreak/>
        <w:t xml:space="preserve">This program provides education and supervision for children of eligible families under 300 percent of </w:t>
      </w:r>
      <w:r w:rsidR="00623DB3" w:rsidRPr="004A0C12">
        <w:rPr>
          <w:rFonts w:ascii="Garamond" w:hAnsi="Garamond"/>
        </w:rPr>
        <w:t xml:space="preserve">the </w:t>
      </w:r>
      <w:r w:rsidRPr="004A0C12">
        <w:rPr>
          <w:rFonts w:ascii="Garamond" w:hAnsi="Garamond"/>
        </w:rPr>
        <w:t>poverty</w:t>
      </w:r>
      <w:r w:rsidR="00623DB3" w:rsidRPr="004A0C12">
        <w:rPr>
          <w:rFonts w:ascii="Garamond" w:hAnsi="Garamond"/>
        </w:rPr>
        <w:t xml:space="preserve"> level</w:t>
      </w:r>
      <w:r w:rsidRPr="004A0C12">
        <w:rPr>
          <w:rFonts w:ascii="Garamond" w:hAnsi="Garamond"/>
        </w:rPr>
        <w:t xml:space="preserve"> and promotes parental involvement</w:t>
      </w:r>
      <w:r w:rsidR="00623DB3" w:rsidRPr="004A0C12">
        <w:rPr>
          <w:rFonts w:ascii="Garamond" w:hAnsi="Garamond"/>
        </w:rPr>
        <w:t xml:space="preserve"> in their children’s learning. </w:t>
      </w:r>
      <w:r w:rsidRPr="004A0C12">
        <w:rPr>
          <w:rFonts w:ascii="Garamond" w:hAnsi="Garamond"/>
        </w:rPr>
        <w:t>The program is reasonably calculated to achieve the first and second goals</w:t>
      </w:r>
      <w:r w:rsidR="00297312" w:rsidRPr="004A0C12">
        <w:rPr>
          <w:rStyle w:val="FootnoteReference"/>
          <w:rFonts w:ascii="Garamond" w:hAnsi="Garamond"/>
        </w:rPr>
        <w:footnoteReference w:id="60"/>
      </w:r>
      <w:r w:rsidRPr="004A0C12">
        <w:rPr>
          <w:rFonts w:ascii="Garamond" w:hAnsi="Garamond"/>
        </w:rPr>
        <w:t xml:space="preserve"> of the TANF statute</w:t>
      </w:r>
      <w:r w:rsidR="00623DB3" w:rsidRPr="004A0C12">
        <w:rPr>
          <w:rFonts w:ascii="Garamond" w:hAnsi="Garamond"/>
        </w:rPr>
        <w:t xml:space="preserve">. </w:t>
      </w:r>
      <w:r w:rsidRPr="004A0C12">
        <w:rPr>
          <w:rFonts w:ascii="Garamond" w:hAnsi="Garamond"/>
        </w:rPr>
        <w:t xml:space="preserve">The program provides non-assistance.  </w:t>
      </w:r>
    </w:p>
    <w:p w14:paraId="2B2FD8B9" w14:textId="77777777" w:rsidR="00623DB3" w:rsidRPr="004A0C12" w:rsidRDefault="00623DB3" w:rsidP="00623DB3">
      <w:pPr>
        <w:spacing w:line="240" w:lineRule="auto"/>
        <w:contextualSpacing/>
        <w:jc w:val="both"/>
        <w:rPr>
          <w:rFonts w:ascii="Garamond" w:hAnsi="Garamond"/>
        </w:rPr>
      </w:pPr>
    </w:p>
    <w:p w14:paraId="7F106AC8" w14:textId="77777777" w:rsidR="00623DB3" w:rsidRPr="004A0C12" w:rsidRDefault="004705C8" w:rsidP="00623DB3">
      <w:pPr>
        <w:spacing w:line="240" w:lineRule="auto"/>
        <w:contextualSpacing/>
        <w:jc w:val="both"/>
        <w:rPr>
          <w:rFonts w:ascii="Garamond" w:hAnsi="Garamond"/>
        </w:rPr>
      </w:pPr>
      <w:r w:rsidRPr="004A0C12">
        <w:rPr>
          <w:rFonts w:ascii="Garamond" w:hAnsi="Garamond"/>
        </w:rPr>
        <w:t>Maryland will apply the following methodology for any MOE fu</w:t>
      </w:r>
      <w:r w:rsidR="00623DB3" w:rsidRPr="004A0C12">
        <w:rPr>
          <w:rFonts w:ascii="Garamond" w:hAnsi="Garamond"/>
        </w:rPr>
        <w:t xml:space="preserve">nds claimed from this program. </w:t>
      </w:r>
      <w:r w:rsidRPr="004A0C12">
        <w:rPr>
          <w:rFonts w:ascii="Garamond" w:hAnsi="Garamond"/>
        </w:rPr>
        <w:t>An enrollment list from the program will be mat</w:t>
      </w:r>
      <w:r w:rsidR="00623DB3" w:rsidRPr="004A0C12">
        <w:rPr>
          <w:rFonts w:ascii="Garamond" w:hAnsi="Garamond"/>
        </w:rPr>
        <w:t>ched to the TCA caseload. If the list shows that X</w:t>
      </w:r>
      <w:r w:rsidRPr="004A0C12">
        <w:rPr>
          <w:rFonts w:ascii="Garamond" w:hAnsi="Garamond"/>
        </w:rPr>
        <w:t xml:space="preserve"> percent of fa</w:t>
      </w:r>
      <w:r w:rsidR="00623DB3" w:rsidRPr="004A0C12">
        <w:rPr>
          <w:rFonts w:ascii="Garamond" w:hAnsi="Garamond"/>
        </w:rPr>
        <w:t>milies served were needy, then X</w:t>
      </w:r>
      <w:r w:rsidRPr="004A0C12">
        <w:rPr>
          <w:rFonts w:ascii="Garamond" w:hAnsi="Garamond"/>
        </w:rPr>
        <w:t xml:space="preserve"> percent of the non-federal expenditures for that fiscal year may be claimed as TANF-MOE.  </w:t>
      </w:r>
    </w:p>
    <w:p w14:paraId="4FE4FC84" w14:textId="77777777" w:rsidR="00623DB3" w:rsidRPr="004F590C" w:rsidRDefault="00623DB3" w:rsidP="00623DB3">
      <w:pPr>
        <w:spacing w:line="240" w:lineRule="auto"/>
        <w:contextualSpacing/>
        <w:jc w:val="both"/>
        <w:rPr>
          <w:rFonts w:ascii="Garamond" w:hAnsi="Garamond"/>
          <w:sz w:val="24"/>
        </w:rPr>
      </w:pPr>
    </w:p>
    <w:p w14:paraId="2B571AD2" w14:textId="77777777" w:rsidR="00902C29" w:rsidRPr="004F590C" w:rsidRDefault="004705C8" w:rsidP="00623DB3">
      <w:pPr>
        <w:spacing w:line="240" w:lineRule="auto"/>
        <w:contextualSpacing/>
        <w:jc w:val="both"/>
        <w:rPr>
          <w:rFonts w:ascii="Garamond" w:hAnsi="Garamond"/>
          <w:sz w:val="24"/>
        </w:rPr>
      </w:pPr>
      <w:r w:rsidRPr="004F590C">
        <w:rPr>
          <w:rStyle w:val="Heading4Char"/>
          <w:rFonts w:ascii="Garamond" w:hAnsi="Garamond"/>
          <w:sz w:val="24"/>
        </w:rPr>
        <w:t>Depar</w:t>
      </w:r>
      <w:r w:rsidR="00623DB3" w:rsidRPr="004F590C">
        <w:rPr>
          <w:rStyle w:val="Heading4Char"/>
          <w:rFonts w:ascii="Garamond" w:hAnsi="Garamond"/>
          <w:sz w:val="24"/>
        </w:rPr>
        <w:t>tment of Juvenile Services P</w:t>
      </w:r>
      <w:r w:rsidRPr="004F590C">
        <w:rPr>
          <w:rStyle w:val="Heading4Char"/>
          <w:rFonts w:ascii="Garamond" w:hAnsi="Garamond"/>
          <w:sz w:val="24"/>
        </w:rPr>
        <w:t>rograms that are TANF or TA</w:t>
      </w:r>
      <w:r w:rsidR="00623DB3" w:rsidRPr="004F590C">
        <w:rPr>
          <w:rStyle w:val="Heading4Char"/>
          <w:rFonts w:ascii="Garamond" w:hAnsi="Garamond"/>
          <w:sz w:val="24"/>
        </w:rPr>
        <w:t>NF-MOE E</w:t>
      </w:r>
      <w:r w:rsidRPr="004F590C">
        <w:rPr>
          <w:rStyle w:val="Heading4Char"/>
          <w:rFonts w:ascii="Garamond" w:hAnsi="Garamond"/>
          <w:sz w:val="24"/>
        </w:rPr>
        <w:t>ligible</w:t>
      </w:r>
      <w:r w:rsidR="009B4C64" w:rsidRPr="004F590C">
        <w:rPr>
          <w:rFonts w:ascii="Garamond" w:hAnsi="Garamond"/>
          <w:sz w:val="24"/>
        </w:rPr>
        <w:t xml:space="preserve"> </w:t>
      </w:r>
    </w:p>
    <w:p w14:paraId="73299CFD" w14:textId="47ACC57A" w:rsidR="00623DB3" w:rsidRPr="004A0C12" w:rsidRDefault="00623DB3" w:rsidP="00623DB3">
      <w:pPr>
        <w:spacing w:line="240" w:lineRule="auto"/>
        <w:contextualSpacing/>
        <w:jc w:val="both"/>
        <w:rPr>
          <w:rFonts w:ascii="Garamond" w:hAnsi="Garamond"/>
          <w:u w:val="single"/>
        </w:rPr>
      </w:pPr>
      <w:r w:rsidRPr="004A0C12">
        <w:rPr>
          <w:rFonts w:ascii="Garamond" w:hAnsi="Garamond"/>
        </w:rPr>
        <w:t>Department of Juvenile Services Programs may be TANF or TANF-MOE eligible when serving</w:t>
      </w:r>
      <w:r w:rsidR="004705C8" w:rsidRPr="004A0C12">
        <w:rPr>
          <w:rFonts w:ascii="Garamond" w:hAnsi="Garamond"/>
        </w:rPr>
        <w:t xml:space="preserve"> families and children in the community related to Purpose Four of TANF</w:t>
      </w:r>
      <w:r w:rsidR="00297312" w:rsidRPr="004A0C12">
        <w:rPr>
          <w:rFonts w:ascii="Garamond" w:hAnsi="Garamond"/>
        </w:rPr>
        <w:t>.</w:t>
      </w:r>
      <w:r w:rsidR="00297312" w:rsidRPr="004A0C12">
        <w:rPr>
          <w:rStyle w:val="FootnoteReference"/>
          <w:rFonts w:ascii="Garamond" w:hAnsi="Garamond"/>
        </w:rPr>
        <w:footnoteReference w:id="61"/>
      </w:r>
      <w:r w:rsidR="004705C8" w:rsidRPr="004A0C12">
        <w:rPr>
          <w:rFonts w:ascii="Garamond" w:hAnsi="Garamond"/>
        </w:rPr>
        <w:t>Among them are community services programs s</w:t>
      </w:r>
      <w:r w:rsidRPr="004A0C12">
        <w:rPr>
          <w:rFonts w:ascii="Garamond" w:hAnsi="Garamond"/>
        </w:rPr>
        <w:t>uch as Drug Courts for youth,</w:t>
      </w:r>
      <w:r w:rsidR="004705C8" w:rsidRPr="004A0C12">
        <w:rPr>
          <w:rFonts w:ascii="Garamond" w:hAnsi="Garamond"/>
        </w:rPr>
        <w:t xml:space="preserve"> Functional Family Thera</w:t>
      </w:r>
      <w:r w:rsidRPr="004A0C12">
        <w:rPr>
          <w:rFonts w:ascii="Garamond" w:hAnsi="Garamond"/>
        </w:rPr>
        <w:t xml:space="preserve">py, and Multi-systemic Therapy. </w:t>
      </w:r>
      <w:r w:rsidR="004705C8" w:rsidRPr="004A0C12">
        <w:rPr>
          <w:rFonts w:ascii="Garamond" w:hAnsi="Garamond"/>
        </w:rPr>
        <w:t>The latter two are evidenced-based, family focused interventions that are designed to improve family int</w:t>
      </w:r>
      <w:r w:rsidRPr="004A0C12">
        <w:rPr>
          <w:rFonts w:ascii="Garamond" w:hAnsi="Garamond"/>
        </w:rPr>
        <w:t>eraction and prevent re-arrest.</w:t>
      </w:r>
      <w:r w:rsidR="004705C8" w:rsidRPr="004A0C12">
        <w:rPr>
          <w:rFonts w:ascii="Garamond" w:hAnsi="Garamond"/>
        </w:rPr>
        <w:t xml:space="preserve"> </w:t>
      </w:r>
      <w:r w:rsidRPr="004A0C12">
        <w:rPr>
          <w:rFonts w:ascii="Garamond" w:hAnsi="Garamond"/>
        </w:rPr>
        <w:t xml:space="preserve">Certain services offered by the Department of Juvenile Services </w:t>
      </w:r>
      <w:r w:rsidR="004705C8" w:rsidRPr="004A0C12">
        <w:rPr>
          <w:rFonts w:ascii="Garamond" w:hAnsi="Garamond"/>
        </w:rPr>
        <w:t>residential fa</w:t>
      </w:r>
      <w:r w:rsidRPr="004A0C12">
        <w:rPr>
          <w:rFonts w:ascii="Garamond" w:hAnsi="Garamond"/>
        </w:rPr>
        <w:t>cilities also serve families. F</w:t>
      </w:r>
      <w:r w:rsidR="004705C8" w:rsidRPr="004A0C12">
        <w:rPr>
          <w:rFonts w:ascii="Garamond" w:hAnsi="Garamond"/>
        </w:rPr>
        <w:t>amilies are encouraged to participate in the treatmen</w:t>
      </w:r>
      <w:r w:rsidRPr="004A0C12">
        <w:rPr>
          <w:rFonts w:ascii="Garamond" w:hAnsi="Garamond"/>
        </w:rPr>
        <w:t>t programs.</w:t>
      </w:r>
      <w:r w:rsidR="004705C8" w:rsidRPr="004A0C12">
        <w:rPr>
          <w:rFonts w:ascii="Garamond" w:hAnsi="Garamond"/>
        </w:rPr>
        <w:t xml:space="preserve"> </w:t>
      </w:r>
      <w:r w:rsidRPr="004A0C12">
        <w:rPr>
          <w:rFonts w:ascii="Garamond" w:hAnsi="Garamond"/>
        </w:rPr>
        <w:t xml:space="preserve">One initiative, the After Care Program, offers </w:t>
      </w:r>
      <w:r w:rsidR="004705C8" w:rsidRPr="004A0C12">
        <w:rPr>
          <w:rFonts w:ascii="Garamond" w:hAnsi="Garamond"/>
        </w:rPr>
        <w:t xml:space="preserve">behavioral health professionals </w:t>
      </w:r>
      <w:r w:rsidRPr="004A0C12">
        <w:rPr>
          <w:rFonts w:ascii="Garamond" w:hAnsi="Garamond"/>
        </w:rPr>
        <w:t xml:space="preserve">that </w:t>
      </w:r>
      <w:r w:rsidR="004705C8" w:rsidRPr="004A0C12">
        <w:rPr>
          <w:rFonts w:ascii="Garamond" w:hAnsi="Garamond"/>
        </w:rPr>
        <w:t>develop aftercare plans that link youth and their families with appropriate services once</w:t>
      </w:r>
      <w:r w:rsidRPr="004A0C12">
        <w:rPr>
          <w:rFonts w:ascii="Garamond" w:hAnsi="Garamond"/>
        </w:rPr>
        <w:t xml:space="preserve"> they return to the community. </w:t>
      </w:r>
      <w:r w:rsidR="004705C8" w:rsidRPr="004A0C12">
        <w:rPr>
          <w:rFonts w:ascii="Garamond" w:hAnsi="Garamond"/>
        </w:rPr>
        <w:t>Families are encouraged to participate in aftercare plannin</w:t>
      </w:r>
      <w:r w:rsidRPr="004A0C12">
        <w:rPr>
          <w:rFonts w:ascii="Garamond" w:hAnsi="Garamond"/>
        </w:rPr>
        <w:t xml:space="preserve">g while youth are in the facilities. </w:t>
      </w:r>
      <w:r w:rsidR="004705C8" w:rsidRPr="004A0C12">
        <w:rPr>
          <w:rFonts w:ascii="Garamond" w:hAnsi="Garamond"/>
        </w:rPr>
        <w:t xml:space="preserve">These programs provide non-assistance. </w:t>
      </w:r>
    </w:p>
    <w:p w14:paraId="137424AA" w14:textId="77777777" w:rsidR="00623DB3" w:rsidRPr="004F590C" w:rsidRDefault="00623DB3" w:rsidP="00623DB3">
      <w:pPr>
        <w:spacing w:line="240" w:lineRule="auto"/>
        <w:contextualSpacing/>
        <w:jc w:val="both"/>
        <w:rPr>
          <w:rFonts w:ascii="Garamond" w:hAnsi="Garamond"/>
          <w:sz w:val="24"/>
        </w:rPr>
      </w:pPr>
    </w:p>
    <w:p w14:paraId="63A7823F" w14:textId="268D1159" w:rsidR="00902C29" w:rsidRPr="004F590C" w:rsidRDefault="004705C8" w:rsidP="00623DB3">
      <w:pPr>
        <w:spacing w:line="240" w:lineRule="auto"/>
        <w:contextualSpacing/>
        <w:jc w:val="both"/>
        <w:rPr>
          <w:rFonts w:ascii="Garamond" w:hAnsi="Garamond"/>
          <w:sz w:val="24"/>
        </w:rPr>
      </w:pPr>
      <w:r w:rsidRPr="004F590C">
        <w:rPr>
          <w:rStyle w:val="Heading4Char"/>
          <w:rFonts w:ascii="Garamond" w:hAnsi="Garamond"/>
          <w:sz w:val="24"/>
        </w:rPr>
        <w:t>Maryland Stat</w:t>
      </w:r>
      <w:r w:rsidR="00902C29" w:rsidRPr="004F590C">
        <w:rPr>
          <w:rStyle w:val="Heading4Char"/>
          <w:rFonts w:ascii="Garamond" w:hAnsi="Garamond"/>
          <w:sz w:val="24"/>
        </w:rPr>
        <w:t xml:space="preserve">e Department of Education </w:t>
      </w:r>
      <w:r w:rsidR="00623DB3" w:rsidRPr="004F590C">
        <w:rPr>
          <w:rStyle w:val="Heading4Char"/>
          <w:rFonts w:ascii="Garamond" w:hAnsi="Garamond"/>
          <w:sz w:val="24"/>
        </w:rPr>
        <w:t>P</w:t>
      </w:r>
      <w:r w:rsidRPr="004F590C">
        <w:rPr>
          <w:rStyle w:val="Heading4Char"/>
          <w:rFonts w:ascii="Garamond" w:hAnsi="Garamond"/>
          <w:sz w:val="24"/>
        </w:rPr>
        <w:t>rograms funded under the Bridge to Excellence Act</w:t>
      </w:r>
    </w:p>
    <w:p w14:paraId="46472F1E" w14:textId="2C3C9BBB" w:rsidR="004705C8" w:rsidRPr="004A0C12" w:rsidRDefault="004705C8" w:rsidP="00623DB3">
      <w:pPr>
        <w:spacing w:line="240" w:lineRule="auto"/>
        <w:contextualSpacing/>
        <w:jc w:val="both"/>
        <w:rPr>
          <w:rFonts w:ascii="Garamond" w:hAnsi="Garamond"/>
        </w:rPr>
      </w:pPr>
      <w:r w:rsidRPr="004A0C12">
        <w:rPr>
          <w:rFonts w:ascii="Garamond" w:hAnsi="Garamond"/>
        </w:rPr>
        <w:t xml:space="preserve">The Bridge to Excellence Act is an “umbrella” funding mechanism that provides aid to local school districts for a variety of educational enhancements.  A number of the funding streams within the Act can be TANF or TANF-MOE eligible, either for enhanced funding for schools in low income areas or for services to specific low-income populations.  These programs provide non-assistance. </w:t>
      </w:r>
    </w:p>
    <w:p w14:paraId="51BDD094" w14:textId="70178DE6" w:rsidR="004705C8" w:rsidRPr="004F590C" w:rsidRDefault="004705C8" w:rsidP="009B4C64">
      <w:pPr>
        <w:pStyle w:val="Heading1"/>
        <w:rPr>
          <w:rFonts w:ascii="Garamond" w:hAnsi="Garamond"/>
          <w:sz w:val="24"/>
          <w:szCs w:val="22"/>
        </w:rPr>
      </w:pPr>
      <w:bookmarkStart w:id="248" w:name="_Toc447276272"/>
      <w:r w:rsidRPr="004F590C">
        <w:rPr>
          <w:rFonts w:ascii="Garamond" w:hAnsi="Garamond"/>
          <w:sz w:val="24"/>
          <w:szCs w:val="22"/>
        </w:rPr>
        <w:t>SEPARA</w:t>
      </w:r>
      <w:r w:rsidR="00902C29" w:rsidRPr="004F590C">
        <w:rPr>
          <w:rFonts w:ascii="Garamond" w:hAnsi="Garamond"/>
          <w:sz w:val="24"/>
          <w:szCs w:val="22"/>
        </w:rPr>
        <w:t xml:space="preserve">TE STATE PROGRAMS FUNDED BY 100% </w:t>
      </w:r>
      <w:r w:rsidRPr="004F590C">
        <w:rPr>
          <w:rFonts w:ascii="Garamond" w:hAnsi="Garamond"/>
          <w:sz w:val="24"/>
          <w:szCs w:val="22"/>
        </w:rPr>
        <w:t>TANF MAINTENANCE OF EFFORT</w:t>
      </w:r>
      <w:bookmarkEnd w:id="248"/>
    </w:p>
    <w:p w14:paraId="79F7A769" w14:textId="42711C66" w:rsidR="004705C8" w:rsidRPr="004A0C12" w:rsidRDefault="004705C8" w:rsidP="004705C8">
      <w:pPr>
        <w:pStyle w:val="BodyText3"/>
        <w:spacing w:after="0"/>
        <w:jc w:val="both"/>
        <w:rPr>
          <w:rFonts w:ascii="Garamond" w:hAnsi="Garamond" w:cs="Times New Roman"/>
          <w:sz w:val="22"/>
          <w:szCs w:val="22"/>
        </w:rPr>
      </w:pPr>
      <w:r w:rsidRPr="004A0C12">
        <w:rPr>
          <w:rFonts w:ascii="Garamond" w:hAnsi="Garamond" w:cs="Times New Roman"/>
          <w:sz w:val="22"/>
          <w:szCs w:val="22"/>
        </w:rPr>
        <w:t>Maryland has developed a broad array of services to families and children that are reasonably calculated to accomplish the first and second purposes of the TANF law</w:t>
      </w:r>
      <w:r w:rsidR="00297312" w:rsidRPr="004A0C12">
        <w:rPr>
          <w:rFonts w:ascii="Garamond" w:hAnsi="Garamond" w:cs="Times New Roman"/>
          <w:sz w:val="22"/>
          <w:szCs w:val="22"/>
        </w:rPr>
        <w:t>.</w:t>
      </w:r>
      <w:r w:rsidR="00297312" w:rsidRPr="004A0C12">
        <w:rPr>
          <w:rStyle w:val="FootnoteReference"/>
          <w:rFonts w:ascii="Garamond" w:hAnsi="Garamond" w:cs="Times New Roman"/>
          <w:sz w:val="22"/>
          <w:szCs w:val="22"/>
        </w:rPr>
        <w:footnoteReference w:id="62"/>
      </w:r>
      <w:r w:rsidR="00297312" w:rsidRPr="004A0C12">
        <w:rPr>
          <w:rFonts w:ascii="Garamond" w:hAnsi="Garamond" w:cs="Times New Roman"/>
          <w:sz w:val="22"/>
          <w:szCs w:val="22"/>
        </w:rPr>
        <w:t xml:space="preserve"> </w:t>
      </w:r>
      <w:r w:rsidRPr="004A0C12">
        <w:rPr>
          <w:rFonts w:ascii="Garamond" w:hAnsi="Garamond" w:cs="Times New Roman"/>
          <w:sz w:val="22"/>
          <w:szCs w:val="22"/>
        </w:rPr>
        <w:t xml:space="preserve">These are means tested and are funded out of 100 percent TANF Maintenance of Effort funds in a Separate State Program or other sources that are not federal TANF </w:t>
      </w:r>
      <w:r w:rsidR="00623DB3" w:rsidRPr="004A0C12">
        <w:rPr>
          <w:rFonts w:ascii="Garamond" w:hAnsi="Garamond" w:cs="Times New Roman"/>
          <w:sz w:val="22"/>
          <w:szCs w:val="22"/>
        </w:rPr>
        <w:t xml:space="preserve">or TANF Maintenance of Effort. </w:t>
      </w:r>
      <w:r w:rsidRPr="004A0C12">
        <w:rPr>
          <w:rFonts w:ascii="Garamond" w:hAnsi="Garamond" w:cs="Times New Roman"/>
          <w:sz w:val="22"/>
          <w:szCs w:val="22"/>
        </w:rPr>
        <w:t>Maryland has designed these programs to be as effective and efficient as possible.  This has the effect that certain specific services and certain specific beneficiaries of some of the services of some of these programs may not be eligible for federal TANF or that Maryland will not find it necessary to claim all of the TANF funds that could be claimed for the program because of its own</w:t>
      </w:r>
      <w:r w:rsidR="00623DB3" w:rsidRPr="004A0C12">
        <w:rPr>
          <w:rFonts w:ascii="Garamond" w:hAnsi="Garamond" w:cs="Times New Roman"/>
          <w:sz w:val="22"/>
          <w:szCs w:val="22"/>
        </w:rPr>
        <w:t xml:space="preserve"> substantial investment in it. </w:t>
      </w:r>
      <w:r w:rsidRPr="004A0C12">
        <w:rPr>
          <w:rFonts w:ascii="Garamond" w:hAnsi="Garamond" w:cs="Times New Roman"/>
          <w:sz w:val="22"/>
          <w:szCs w:val="22"/>
        </w:rPr>
        <w:t>Using the flexibility in the statute and regulations, Maryland will report the exact amount of state funds for MOE charged to these programs using the a</w:t>
      </w:r>
      <w:r w:rsidR="00623DB3" w:rsidRPr="004A0C12">
        <w:rPr>
          <w:rFonts w:ascii="Garamond" w:hAnsi="Garamond" w:cs="Times New Roman"/>
          <w:sz w:val="22"/>
          <w:szCs w:val="22"/>
        </w:rPr>
        <w:t xml:space="preserve">ppropriate federal mechanisms. </w:t>
      </w:r>
      <w:r w:rsidRPr="004A0C12">
        <w:rPr>
          <w:rFonts w:ascii="Garamond" w:hAnsi="Garamond" w:cs="Times New Roman"/>
          <w:sz w:val="22"/>
          <w:szCs w:val="22"/>
        </w:rPr>
        <w:t>Unless otherwise n</w:t>
      </w:r>
      <w:r w:rsidR="00623DB3" w:rsidRPr="004A0C12">
        <w:rPr>
          <w:rFonts w:ascii="Garamond" w:hAnsi="Garamond" w:cs="Times New Roman"/>
          <w:sz w:val="22"/>
          <w:szCs w:val="22"/>
        </w:rPr>
        <w:t>oted, for the purposes of this P</w:t>
      </w:r>
      <w:r w:rsidRPr="004A0C12">
        <w:rPr>
          <w:rFonts w:ascii="Garamond" w:hAnsi="Garamond" w:cs="Times New Roman"/>
          <w:sz w:val="22"/>
          <w:szCs w:val="22"/>
        </w:rPr>
        <w:t xml:space="preserve">lan and federal reporting, eligibility for the following programs is limited to those families with incomes under 300 percent of the federal poverty level in effect at the time of service delivery.  </w:t>
      </w:r>
    </w:p>
    <w:p w14:paraId="2CDE6BB2" w14:textId="77777777" w:rsidR="004705C8" w:rsidRPr="004A0C12" w:rsidRDefault="004705C8" w:rsidP="004705C8">
      <w:pPr>
        <w:pStyle w:val="BodyText3"/>
        <w:spacing w:after="0"/>
        <w:jc w:val="both"/>
        <w:rPr>
          <w:rFonts w:ascii="Garamond" w:hAnsi="Garamond" w:cs="Times New Roman"/>
          <w:b/>
          <w:sz w:val="22"/>
          <w:szCs w:val="22"/>
        </w:rPr>
      </w:pPr>
    </w:p>
    <w:p w14:paraId="65891926" w14:textId="77777777" w:rsidR="00902C29" w:rsidRPr="004F590C" w:rsidRDefault="00623DB3" w:rsidP="00623DB3">
      <w:pPr>
        <w:widowControl w:val="0"/>
        <w:spacing w:after="0" w:line="240" w:lineRule="auto"/>
        <w:jc w:val="both"/>
        <w:rPr>
          <w:rFonts w:ascii="Garamond" w:hAnsi="Garamond" w:cs="Times New Roman"/>
          <w:sz w:val="24"/>
        </w:rPr>
      </w:pPr>
      <w:r w:rsidRPr="004F590C">
        <w:rPr>
          <w:rStyle w:val="Heading4Char"/>
          <w:rFonts w:ascii="Garamond" w:hAnsi="Garamond"/>
          <w:sz w:val="24"/>
        </w:rPr>
        <w:t xml:space="preserve">Rental Assistance Program </w:t>
      </w:r>
      <w:r w:rsidR="004705C8" w:rsidRPr="004F590C">
        <w:rPr>
          <w:rStyle w:val="Heading4Char"/>
          <w:rFonts w:ascii="Garamond" w:hAnsi="Garamond"/>
          <w:sz w:val="24"/>
        </w:rPr>
        <w:t>to Work</w:t>
      </w:r>
    </w:p>
    <w:p w14:paraId="6BD64B93" w14:textId="5796B5D9" w:rsidR="004705C8" w:rsidRPr="004A0C12" w:rsidRDefault="00623DB3" w:rsidP="00623DB3">
      <w:pPr>
        <w:widowControl w:val="0"/>
        <w:spacing w:after="0" w:line="240" w:lineRule="auto"/>
        <w:jc w:val="both"/>
        <w:rPr>
          <w:rFonts w:ascii="Garamond" w:hAnsi="Garamond" w:cs="Times New Roman"/>
        </w:rPr>
      </w:pPr>
      <w:r w:rsidRPr="004A0C12">
        <w:rPr>
          <w:rFonts w:ascii="Garamond" w:hAnsi="Garamond" w:cs="Times New Roman"/>
        </w:rPr>
        <w:t>The Rental Assistance Program</w:t>
      </w:r>
      <w:r w:rsidR="004705C8" w:rsidRPr="004A0C12">
        <w:rPr>
          <w:rFonts w:ascii="Garamond" w:hAnsi="Garamond" w:cs="Times New Roman"/>
        </w:rPr>
        <w:t xml:space="preserve"> to Work provides rental assistance to </w:t>
      </w:r>
      <w:r w:rsidRPr="004A0C12">
        <w:rPr>
          <w:rFonts w:ascii="Garamond" w:hAnsi="Garamond" w:cs="Times New Roman"/>
        </w:rPr>
        <w:t>families currently receiving TCA</w:t>
      </w:r>
      <w:r w:rsidR="004705C8" w:rsidRPr="004A0C12">
        <w:rPr>
          <w:rFonts w:ascii="Garamond" w:hAnsi="Garamond" w:cs="Times New Roman"/>
        </w:rPr>
        <w:t>, former TCA families who received TCA in the past year, and families who received</w:t>
      </w:r>
      <w:r w:rsidRPr="004A0C12">
        <w:rPr>
          <w:rFonts w:ascii="Garamond" w:hAnsi="Garamond" w:cs="Times New Roman"/>
        </w:rPr>
        <w:t xml:space="preserve"> a Welfare Avoidance Grant</w:t>
      </w:r>
      <w:r w:rsidR="004705C8" w:rsidRPr="004A0C12">
        <w:rPr>
          <w:rFonts w:ascii="Garamond" w:hAnsi="Garamond" w:cs="Times New Roman"/>
        </w:rPr>
        <w:t xml:space="preserve"> and who are employed or unemployed and in a work activity (as defined by the local d</w:t>
      </w:r>
      <w:r w:rsidRPr="004A0C12">
        <w:rPr>
          <w:rFonts w:ascii="Garamond" w:hAnsi="Garamond" w:cs="Times New Roman"/>
        </w:rPr>
        <w:t xml:space="preserve">epartment of social services). The families receive assistance from the Rental Assistance Program for up to 12 months. </w:t>
      </w:r>
      <w:r w:rsidR="004705C8" w:rsidRPr="004A0C12">
        <w:rPr>
          <w:rFonts w:ascii="Garamond" w:hAnsi="Garamond" w:cs="Times New Roman"/>
        </w:rPr>
        <w:t>Six-month extensions may be granted if customers provide reasonable explanations of why they ar</w:t>
      </w:r>
      <w:r w:rsidRPr="004A0C12">
        <w:rPr>
          <w:rFonts w:ascii="Garamond" w:hAnsi="Garamond" w:cs="Times New Roman"/>
        </w:rPr>
        <w:t>e not becoming self-sufficient.</w:t>
      </w:r>
      <w:r w:rsidR="004705C8" w:rsidRPr="004A0C12">
        <w:rPr>
          <w:rFonts w:ascii="Garamond" w:hAnsi="Garamond" w:cs="Times New Roman"/>
        </w:rPr>
        <w:t xml:space="preserve"> Eligibility is limited to families who receive income that is 30 percent or less than the statewide or area median income.</w:t>
      </w:r>
    </w:p>
    <w:p w14:paraId="650CEFA2" w14:textId="77777777" w:rsidR="00623DB3" w:rsidRPr="004A0C12" w:rsidRDefault="00623DB3" w:rsidP="00623DB3">
      <w:pPr>
        <w:widowControl w:val="0"/>
        <w:spacing w:after="0" w:line="240" w:lineRule="auto"/>
        <w:jc w:val="both"/>
        <w:rPr>
          <w:rFonts w:ascii="Garamond" w:hAnsi="Garamond" w:cs="Times New Roman"/>
        </w:rPr>
      </w:pPr>
    </w:p>
    <w:p w14:paraId="3C521170" w14:textId="065676C6" w:rsidR="00623DB3" w:rsidRPr="004A0C12" w:rsidRDefault="00623DB3" w:rsidP="00623DB3">
      <w:pPr>
        <w:widowControl w:val="0"/>
        <w:spacing w:after="0" w:line="240" w:lineRule="auto"/>
        <w:jc w:val="both"/>
        <w:rPr>
          <w:rFonts w:ascii="Garamond" w:hAnsi="Garamond" w:cs="Times New Roman"/>
        </w:rPr>
      </w:pPr>
      <w:r w:rsidRPr="004A0C12">
        <w:rPr>
          <w:rFonts w:ascii="Garamond" w:hAnsi="Garamond" w:cs="Times New Roman"/>
        </w:rPr>
        <w:t xml:space="preserve">Rental assistance provides reasonable, stable housing to keep families working, enhance family income, and keep the family off TCA. In addition, rental assistance provides stable, low-cost housing to TCA families preparing for work or working at a low-wage job that will eventually move off TCA. This program provides assistance. </w:t>
      </w:r>
    </w:p>
    <w:p w14:paraId="30D898F7" w14:textId="77777777" w:rsidR="004705C8" w:rsidRPr="004A0C12" w:rsidRDefault="004705C8" w:rsidP="004705C8">
      <w:pPr>
        <w:spacing w:after="0" w:line="240" w:lineRule="auto"/>
        <w:jc w:val="both"/>
        <w:rPr>
          <w:rFonts w:ascii="Garamond" w:hAnsi="Garamond" w:cs="Times New Roman"/>
        </w:rPr>
      </w:pPr>
    </w:p>
    <w:p w14:paraId="1DB84B13" w14:textId="77777777" w:rsidR="00902C29" w:rsidRPr="004F590C" w:rsidRDefault="004705C8" w:rsidP="001E3BE4">
      <w:pPr>
        <w:widowControl w:val="0"/>
        <w:tabs>
          <w:tab w:val="left" w:pos="360"/>
        </w:tabs>
        <w:spacing w:after="0" w:line="240" w:lineRule="auto"/>
        <w:jc w:val="both"/>
        <w:rPr>
          <w:rFonts w:ascii="Garamond" w:hAnsi="Garamond" w:cs="Times New Roman"/>
          <w:sz w:val="24"/>
        </w:rPr>
      </w:pPr>
      <w:r w:rsidRPr="004F590C">
        <w:rPr>
          <w:rStyle w:val="Heading4Char"/>
          <w:rFonts w:ascii="Garamond" w:hAnsi="Garamond"/>
          <w:sz w:val="24"/>
        </w:rPr>
        <w:t>Judith P. Hoyer Early Child Care and Family Education Centers (Judy Centers)</w:t>
      </w:r>
    </w:p>
    <w:p w14:paraId="5C09BA32" w14:textId="4224E77A" w:rsidR="001E3BE4" w:rsidRPr="004A0C12" w:rsidRDefault="004705C8" w:rsidP="001E3BE4">
      <w:pPr>
        <w:widowControl w:val="0"/>
        <w:tabs>
          <w:tab w:val="left" w:pos="360"/>
        </w:tabs>
        <w:spacing w:after="0" w:line="240" w:lineRule="auto"/>
        <w:jc w:val="both"/>
        <w:rPr>
          <w:rFonts w:ascii="Garamond" w:hAnsi="Garamond" w:cs="Times New Roman"/>
          <w:u w:val="single"/>
        </w:rPr>
      </w:pPr>
      <w:r w:rsidRPr="004A0C12">
        <w:rPr>
          <w:rFonts w:ascii="Garamond" w:hAnsi="Garamond" w:cs="Times New Roman"/>
        </w:rPr>
        <w:t>Judy Centers are unique early childhood learning centers that promote school readiness t</w:t>
      </w:r>
      <w:r w:rsidR="001E3BE4" w:rsidRPr="004A0C12">
        <w:rPr>
          <w:rFonts w:ascii="Garamond" w:hAnsi="Garamond" w:cs="Times New Roman"/>
        </w:rPr>
        <w:t xml:space="preserve">hrough an integrated approach. </w:t>
      </w:r>
      <w:r w:rsidRPr="004A0C12">
        <w:rPr>
          <w:rFonts w:ascii="Garamond" w:hAnsi="Garamond" w:cs="Times New Roman"/>
        </w:rPr>
        <w:t>The centers, written into Maryland Law in May 2000, envision professional collaboration in integrating a wide spectrum of early childhood education programs and family support services for childr</w:t>
      </w:r>
      <w:r w:rsidR="001E3BE4" w:rsidRPr="004A0C12">
        <w:rPr>
          <w:rFonts w:ascii="Garamond" w:hAnsi="Garamond" w:cs="Times New Roman"/>
        </w:rPr>
        <w:t>en from pre-birth to age six.</w:t>
      </w:r>
      <w:r w:rsidRPr="004A0C12">
        <w:rPr>
          <w:rFonts w:ascii="Garamond" w:hAnsi="Garamond" w:cs="Times New Roman"/>
        </w:rPr>
        <w:t xml:space="preserve"> The centers have a “one stop” approach el</w:t>
      </w:r>
      <w:r w:rsidR="001E3BE4" w:rsidRPr="004A0C12">
        <w:rPr>
          <w:rFonts w:ascii="Garamond" w:hAnsi="Garamond" w:cs="Times New Roman"/>
        </w:rPr>
        <w:t xml:space="preserve">iminating fragmented services. </w:t>
      </w:r>
      <w:r w:rsidRPr="004A0C12">
        <w:rPr>
          <w:rFonts w:ascii="Garamond" w:hAnsi="Garamond" w:cs="Times New Roman"/>
        </w:rPr>
        <w:t>Children and their families can visit a single location to access community-based organizations providing services such as health services, family support and family literacy, Head</w:t>
      </w:r>
      <w:r w:rsidR="001E3BE4" w:rsidRPr="004A0C12">
        <w:rPr>
          <w:rFonts w:ascii="Garamond" w:hAnsi="Garamond" w:cs="Times New Roman"/>
        </w:rPr>
        <w:t xml:space="preserve"> Start and the public library. </w:t>
      </w:r>
      <w:r w:rsidRPr="004A0C12">
        <w:rPr>
          <w:rFonts w:ascii="Garamond" w:hAnsi="Garamond" w:cs="Times New Roman"/>
        </w:rPr>
        <w:t xml:space="preserve">The community-based services are in addition to the services provided by the Center, such as: early intervention services, health care (immunizations, vision and hearing tests, </w:t>
      </w:r>
      <w:r w:rsidR="001E3BE4" w:rsidRPr="004A0C12">
        <w:rPr>
          <w:rFonts w:ascii="Garamond" w:hAnsi="Garamond" w:cs="Times New Roman"/>
        </w:rPr>
        <w:t>and pediatric</w:t>
      </w:r>
      <w:r w:rsidRPr="004A0C12">
        <w:rPr>
          <w:rFonts w:ascii="Garamond" w:hAnsi="Garamond" w:cs="Times New Roman"/>
        </w:rPr>
        <w:t xml:space="preserve"> care), professional family support, and student breakfast and lunch.</w:t>
      </w:r>
      <w:r w:rsidR="001E3BE4" w:rsidRPr="004A0C12">
        <w:rPr>
          <w:rFonts w:ascii="Garamond" w:hAnsi="Garamond" w:cs="Times New Roman"/>
          <w:u w:val="single"/>
        </w:rPr>
        <w:t xml:space="preserve"> </w:t>
      </w:r>
    </w:p>
    <w:p w14:paraId="2EC68D6B" w14:textId="77777777" w:rsidR="001E3BE4" w:rsidRPr="004A0C12" w:rsidRDefault="001E3BE4" w:rsidP="001E3BE4">
      <w:pPr>
        <w:widowControl w:val="0"/>
        <w:tabs>
          <w:tab w:val="left" w:pos="360"/>
        </w:tabs>
        <w:spacing w:after="0" w:line="240" w:lineRule="auto"/>
        <w:jc w:val="both"/>
        <w:rPr>
          <w:rFonts w:ascii="Garamond" w:hAnsi="Garamond" w:cs="Times New Roman"/>
          <w:u w:val="single"/>
        </w:rPr>
      </w:pPr>
    </w:p>
    <w:p w14:paraId="14350C68" w14:textId="7945E2D3" w:rsidR="004705C8" w:rsidRPr="004A0C12" w:rsidRDefault="004705C8" w:rsidP="001E3BE4">
      <w:pPr>
        <w:widowControl w:val="0"/>
        <w:tabs>
          <w:tab w:val="left" w:pos="360"/>
        </w:tabs>
        <w:spacing w:after="0" w:line="240" w:lineRule="auto"/>
        <w:jc w:val="both"/>
        <w:rPr>
          <w:rFonts w:ascii="Garamond" w:hAnsi="Garamond" w:cs="Times New Roman"/>
          <w:u w:val="single"/>
        </w:rPr>
      </w:pPr>
      <w:r w:rsidRPr="004A0C12">
        <w:rPr>
          <w:rFonts w:ascii="Garamond" w:hAnsi="Garamond" w:cs="Times New Roman"/>
        </w:rPr>
        <w:t>This program encourages eligible families with incomes under 300 percent of poverty to obtain the services they need to ensure their children are healthy and successful in school by making the se</w:t>
      </w:r>
      <w:r w:rsidR="001E3BE4" w:rsidRPr="004A0C12">
        <w:rPr>
          <w:rFonts w:ascii="Garamond" w:hAnsi="Garamond" w:cs="Times New Roman"/>
        </w:rPr>
        <w:t>rvices easily accessible.</w:t>
      </w:r>
      <w:r w:rsidRPr="004A0C12">
        <w:rPr>
          <w:rFonts w:ascii="Garamond" w:hAnsi="Garamond" w:cs="Times New Roman"/>
        </w:rPr>
        <w:t xml:space="preserve"> The program is reasonably calculated to achieve the first and second purposes</w:t>
      </w:r>
      <w:r w:rsidR="00297312" w:rsidRPr="004A0C12">
        <w:rPr>
          <w:rStyle w:val="FootnoteReference"/>
          <w:rFonts w:ascii="Garamond" w:hAnsi="Garamond" w:cs="Times New Roman"/>
        </w:rPr>
        <w:footnoteReference w:id="63"/>
      </w:r>
      <w:r w:rsidRPr="004A0C12">
        <w:rPr>
          <w:rFonts w:ascii="Garamond" w:hAnsi="Garamond" w:cs="Times New Roman"/>
        </w:rPr>
        <w:t xml:space="preserve"> of the TANF statute. The program provides non-assistance.</w:t>
      </w:r>
    </w:p>
    <w:p w14:paraId="5229A418" w14:textId="77777777" w:rsidR="004705C8" w:rsidRPr="004A0C12" w:rsidRDefault="004705C8" w:rsidP="004705C8">
      <w:pPr>
        <w:spacing w:after="0" w:line="240" w:lineRule="auto"/>
        <w:jc w:val="both"/>
        <w:rPr>
          <w:rFonts w:ascii="Garamond" w:hAnsi="Garamond" w:cs="Times New Roman"/>
          <w:u w:val="single"/>
        </w:rPr>
      </w:pPr>
    </w:p>
    <w:p w14:paraId="1CD1096A" w14:textId="77777777" w:rsidR="00902C29" w:rsidRPr="004F590C" w:rsidRDefault="004705C8" w:rsidP="004705C8">
      <w:pPr>
        <w:widowControl w:val="0"/>
        <w:spacing w:after="0" w:line="240" w:lineRule="auto"/>
        <w:ind w:left="-90"/>
        <w:jc w:val="both"/>
        <w:rPr>
          <w:rStyle w:val="Heading4Char"/>
          <w:rFonts w:ascii="Garamond" w:hAnsi="Garamond"/>
          <w:sz w:val="24"/>
        </w:rPr>
      </w:pPr>
      <w:r w:rsidRPr="004F590C">
        <w:rPr>
          <w:rStyle w:val="Heading4Char"/>
          <w:rFonts w:ascii="Garamond" w:hAnsi="Garamond"/>
          <w:sz w:val="24"/>
        </w:rPr>
        <w:t>Adoption Benefits Funds</w:t>
      </w:r>
    </w:p>
    <w:p w14:paraId="228918A8" w14:textId="09817BB9" w:rsidR="004705C8" w:rsidRPr="004A0C12" w:rsidRDefault="00902C29" w:rsidP="004705C8">
      <w:pPr>
        <w:widowControl w:val="0"/>
        <w:spacing w:after="0" w:line="240" w:lineRule="auto"/>
        <w:ind w:left="-90"/>
        <w:jc w:val="both"/>
        <w:rPr>
          <w:rFonts w:ascii="Garamond" w:hAnsi="Garamond" w:cs="Times New Roman"/>
        </w:rPr>
      </w:pPr>
      <w:r w:rsidRPr="004A0C12">
        <w:rPr>
          <w:rFonts w:ascii="Garamond" w:hAnsi="Garamond" w:cs="Times New Roman"/>
          <w:bCs/>
        </w:rPr>
        <w:t xml:space="preserve">This </w:t>
      </w:r>
      <w:r w:rsidR="004705C8" w:rsidRPr="004A0C12">
        <w:rPr>
          <w:rFonts w:ascii="Garamond" w:hAnsi="Garamond" w:cs="Times New Roman"/>
        </w:rPr>
        <w:t>provide</w:t>
      </w:r>
      <w:r w:rsidRPr="004A0C12">
        <w:rPr>
          <w:rFonts w:ascii="Garamond" w:hAnsi="Garamond" w:cs="Times New Roman"/>
        </w:rPr>
        <w:t>s</w:t>
      </w:r>
      <w:r w:rsidR="004705C8" w:rsidRPr="004A0C12">
        <w:rPr>
          <w:rFonts w:ascii="Garamond" w:hAnsi="Garamond" w:cs="Times New Roman"/>
        </w:rPr>
        <w:t xml:space="preserve"> funds for adoption benefits to needy parents of an adopted child who is not eligible for title IV-E adoption assistance.  Families are eligible if their annual adjusted gross income, as defined by the Internal Revenue Service, does not exceed 80 percent of the latest published figure for the median income for a family of that size for the State, as set forth in Sche</w:t>
      </w:r>
      <w:r w:rsidR="001E3BE4" w:rsidRPr="004A0C12">
        <w:rPr>
          <w:rFonts w:ascii="Garamond" w:hAnsi="Garamond" w:cs="Times New Roman"/>
        </w:rPr>
        <w:t>dule A under COMAR 07.02.04.11.</w:t>
      </w:r>
      <w:r w:rsidR="004705C8" w:rsidRPr="004A0C12">
        <w:rPr>
          <w:rFonts w:ascii="Garamond" w:hAnsi="Garamond" w:cs="Times New Roman"/>
        </w:rPr>
        <w:t xml:space="preserve"> The adoptive child is included </w:t>
      </w:r>
      <w:r w:rsidR="001E3BE4" w:rsidRPr="004A0C12">
        <w:rPr>
          <w:rFonts w:ascii="Garamond" w:hAnsi="Garamond" w:cs="Times New Roman"/>
        </w:rPr>
        <w:t>in determining the family size.</w:t>
      </w:r>
      <w:r w:rsidR="004705C8" w:rsidRPr="004A0C12">
        <w:rPr>
          <w:rFonts w:ascii="Garamond" w:hAnsi="Garamond" w:cs="Times New Roman"/>
        </w:rPr>
        <w:t xml:space="preserve"> The annual adjusted gross income of the family shall be the latest figure that was reported to the Internal Revenue Service.  Funds are availab</w:t>
      </w:r>
      <w:r w:rsidR="001E3BE4" w:rsidRPr="004A0C12">
        <w:rPr>
          <w:rFonts w:ascii="Garamond" w:hAnsi="Garamond" w:cs="Times New Roman"/>
        </w:rPr>
        <w:t>le to pay for benefit payments.</w:t>
      </w:r>
      <w:r w:rsidR="004705C8" w:rsidRPr="004A0C12">
        <w:rPr>
          <w:rFonts w:ascii="Garamond" w:hAnsi="Garamond" w:cs="Times New Roman"/>
        </w:rPr>
        <w:t xml:space="preserve"> The final adoption establishes a parental relationship even if</w:t>
      </w:r>
      <w:r w:rsidR="001E3BE4" w:rsidRPr="004A0C12">
        <w:rPr>
          <w:rFonts w:ascii="Garamond" w:hAnsi="Garamond" w:cs="Times New Roman"/>
        </w:rPr>
        <w:t xml:space="preserve"> no blood relationship exists. </w:t>
      </w:r>
      <w:r w:rsidR="004705C8" w:rsidRPr="004A0C12">
        <w:rPr>
          <w:rFonts w:ascii="Garamond" w:hAnsi="Garamond" w:cs="Times New Roman"/>
        </w:rPr>
        <w:t>This program is reasonably calculated to meet the first goal of the TANF statute.  Benefits under this program meet the definition of assistance under the TANF program.</w:t>
      </w:r>
    </w:p>
    <w:p w14:paraId="00839E6E" w14:textId="77777777" w:rsidR="004705C8" w:rsidRPr="004A0C12" w:rsidRDefault="004705C8" w:rsidP="004705C8">
      <w:pPr>
        <w:pStyle w:val="Normal1"/>
        <w:jc w:val="both"/>
        <w:rPr>
          <w:rFonts w:ascii="Garamond" w:hAnsi="Garamond"/>
          <w:szCs w:val="22"/>
        </w:rPr>
      </w:pPr>
    </w:p>
    <w:p w14:paraId="54619AAE" w14:textId="77777777" w:rsidR="004705C8" w:rsidRPr="004A0C12" w:rsidRDefault="004705C8" w:rsidP="00232F09">
      <w:pPr>
        <w:pStyle w:val="Normal1"/>
        <w:numPr>
          <w:ilvl w:val="1"/>
          <w:numId w:val="170"/>
        </w:numPr>
        <w:ind w:left="720" w:hanging="360"/>
        <w:contextualSpacing/>
        <w:jc w:val="both"/>
        <w:rPr>
          <w:rFonts w:ascii="Garamond" w:eastAsia="Arial" w:hAnsi="Garamond"/>
          <w:szCs w:val="22"/>
        </w:rPr>
      </w:pPr>
      <w:r w:rsidRPr="004A0C12">
        <w:rPr>
          <w:rFonts w:ascii="Garamond" w:eastAsia="Arial" w:hAnsi="Garamond"/>
          <w:b/>
          <w:szCs w:val="22"/>
        </w:rPr>
        <w:t>Require a parent or caretaker receiving assistance to engage in work (defined by the State) once the State determines the parent or caretaker is ready to engage in work, or once he or she has received 24 months of assistance, whichever is earlier, consistent with the child care exception at 407(e)(2) (section 402(a)(1)(A)(ii) of the Social Security Act)</w:t>
      </w:r>
    </w:p>
    <w:p w14:paraId="3F77F24F" w14:textId="77777777" w:rsidR="004705C8" w:rsidRPr="004A0C12" w:rsidRDefault="004705C8" w:rsidP="004705C8">
      <w:pPr>
        <w:pStyle w:val="Normal1"/>
        <w:ind w:left="720"/>
        <w:jc w:val="both"/>
        <w:rPr>
          <w:rFonts w:ascii="Garamond" w:hAnsi="Garamond"/>
          <w:szCs w:val="22"/>
        </w:rPr>
      </w:pPr>
    </w:p>
    <w:p w14:paraId="7797919E" w14:textId="35577E6B" w:rsidR="004705C8" w:rsidRPr="004A0C12" w:rsidRDefault="004705C8" w:rsidP="00DD4E35">
      <w:pPr>
        <w:pStyle w:val="Normal1"/>
        <w:tabs>
          <w:tab w:val="left" w:pos="0"/>
        </w:tabs>
        <w:jc w:val="both"/>
        <w:rPr>
          <w:rFonts w:ascii="Garamond" w:hAnsi="Garamond"/>
          <w:szCs w:val="22"/>
        </w:rPr>
      </w:pPr>
      <w:r w:rsidRPr="004A0C12">
        <w:rPr>
          <w:rFonts w:ascii="Garamond" w:eastAsia="Arial" w:hAnsi="Garamond"/>
          <w:szCs w:val="22"/>
        </w:rPr>
        <w:t>Each adult in the TCA assistance unit and each child age 16 years or older in the assistance unit who is not enrolled full-time in school must participate in a work activity approved by the local department that is likely to resu</w:t>
      </w:r>
      <w:r w:rsidR="00DD4E35" w:rsidRPr="004A0C12">
        <w:rPr>
          <w:rFonts w:ascii="Garamond" w:eastAsia="Arial" w:hAnsi="Garamond"/>
          <w:szCs w:val="22"/>
        </w:rPr>
        <w:t xml:space="preserve">lt in unsubsidized employment. </w:t>
      </w:r>
      <w:r w:rsidRPr="004A0C12">
        <w:rPr>
          <w:rFonts w:ascii="Garamond" w:eastAsia="Arial" w:hAnsi="Garamond"/>
          <w:szCs w:val="22"/>
        </w:rPr>
        <w:t>Local departments follow the 12 approved core and non- core work activiti</w:t>
      </w:r>
      <w:r w:rsidR="00DD4E35" w:rsidRPr="004A0C12">
        <w:rPr>
          <w:rFonts w:ascii="Garamond" w:eastAsia="Arial" w:hAnsi="Garamond"/>
          <w:szCs w:val="22"/>
        </w:rPr>
        <w:t>es set forth by the law (T</w:t>
      </w:r>
      <w:r w:rsidRPr="004A0C12">
        <w:rPr>
          <w:rFonts w:ascii="Garamond" w:eastAsia="Arial" w:hAnsi="Garamond"/>
          <w:szCs w:val="22"/>
        </w:rPr>
        <w:t>he participation requirement is based on immediate universal engagement and is compliant with the 24 month work rule found in §402(a)(1) A (ii) of the TANF law.)</w:t>
      </w:r>
      <w:r w:rsidR="00A72623" w:rsidRPr="004A0C12">
        <w:rPr>
          <w:rFonts w:ascii="Garamond" w:eastAsia="Arial" w:hAnsi="Garamond"/>
          <w:szCs w:val="22"/>
        </w:rPr>
        <w:t>.</w:t>
      </w:r>
    </w:p>
    <w:p w14:paraId="0CBA6133" w14:textId="77777777" w:rsidR="004705C8" w:rsidRPr="004A0C12" w:rsidRDefault="004705C8" w:rsidP="004705C8">
      <w:pPr>
        <w:pStyle w:val="Normal1"/>
        <w:tabs>
          <w:tab w:val="left" w:pos="0"/>
        </w:tabs>
        <w:ind w:left="360"/>
        <w:jc w:val="both"/>
        <w:rPr>
          <w:rFonts w:ascii="Garamond" w:hAnsi="Garamond"/>
          <w:szCs w:val="22"/>
        </w:rPr>
      </w:pPr>
    </w:p>
    <w:p w14:paraId="652F8C4F" w14:textId="77777777" w:rsidR="004705C8" w:rsidRPr="004A0C12" w:rsidRDefault="004705C8" w:rsidP="00DD4E35">
      <w:pPr>
        <w:pStyle w:val="Normal1"/>
        <w:tabs>
          <w:tab w:val="left" w:pos="0"/>
        </w:tabs>
        <w:jc w:val="both"/>
        <w:rPr>
          <w:rFonts w:ascii="Garamond" w:eastAsia="Arial" w:hAnsi="Garamond"/>
          <w:szCs w:val="22"/>
        </w:rPr>
      </w:pPr>
      <w:r w:rsidRPr="004A0C12">
        <w:rPr>
          <w:rFonts w:ascii="Garamond" w:eastAsia="Arial" w:hAnsi="Garamond"/>
          <w:szCs w:val="22"/>
        </w:rPr>
        <w:t>Exemptions from the work activity requirements are:</w:t>
      </w:r>
    </w:p>
    <w:p w14:paraId="6C26A809" w14:textId="77777777" w:rsidR="004705C8" w:rsidRPr="004A0C12" w:rsidRDefault="004705C8" w:rsidP="00232F09">
      <w:pPr>
        <w:pStyle w:val="Normal1"/>
        <w:numPr>
          <w:ilvl w:val="0"/>
          <w:numId w:val="285"/>
        </w:numPr>
        <w:tabs>
          <w:tab w:val="left" w:pos="0"/>
        </w:tabs>
        <w:jc w:val="both"/>
        <w:rPr>
          <w:rFonts w:ascii="Garamond" w:eastAsia="Arial" w:hAnsi="Garamond"/>
          <w:szCs w:val="22"/>
        </w:rPr>
      </w:pPr>
      <w:r w:rsidRPr="004A0C12">
        <w:rPr>
          <w:rFonts w:ascii="Garamond" w:hAnsi="Garamond"/>
          <w:szCs w:val="22"/>
        </w:rPr>
        <w:t>A single custodial parent who is required to care for a child under age one who is a member of the assistance unit (This exemption applies for a cumulative total of 12 months for a parent’s lifetime and does not apply to each child);</w:t>
      </w:r>
    </w:p>
    <w:p w14:paraId="22094C58" w14:textId="77777777" w:rsidR="004705C8" w:rsidRPr="004A0C12" w:rsidRDefault="004705C8" w:rsidP="00232F09">
      <w:pPr>
        <w:pStyle w:val="Normal1"/>
        <w:numPr>
          <w:ilvl w:val="0"/>
          <w:numId w:val="190"/>
        </w:numPr>
        <w:tabs>
          <w:tab w:val="left" w:pos="0"/>
        </w:tabs>
        <w:contextualSpacing/>
        <w:jc w:val="both"/>
        <w:rPr>
          <w:rFonts w:ascii="Garamond" w:hAnsi="Garamond"/>
          <w:szCs w:val="22"/>
        </w:rPr>
      </w:pPr>
      <w:r w:rsidRPr="004A0C12">
        <w:rPr>
          <w:rFonts w:ascii="Garamond" w:eastAsia="Arial" w:hAnsi="Garamond"/>
          <w:szCs w:val="22"/>
        </w:rPr>
        <w:t xml:space="preserve">Children under age 16.  </w:t>
      </w:r>
    </w:p>
    <w:p w14:paraId="59C2952C" w14:textId="77777777" w:rsidR="004705C8" w:rsidRPr="004A0C12" w:rsidRDefault="004705C8" w:rsidP="00232F09">
      <w:pPr>
        <w:pStyle w:val="Normal1"/>
        <w:numPr>
          <w:ilvl w:val="0"/>
          <w:numId w:val="190"/>
        </w:numPr>
        <w:tabs>
          <w:tab w:val="left" w:pos="0"/>
        </w:tabs>
        <w:contextualSpacing/>
        <w:jc w:val="both"/>
        <w:rPr>
          <w:rFonts w:ascii="Garamond" w:hAnsi="Garamond"/>
          <w:szCs w:val="22"/>
        </w:rPr>
      </w:pPr>
      <w:r w:rsidRPr="004A0C12">
        <w:rPr>
          <w:rFonts w:ascii="Garamond" w:eastAsia="Arial" w:hAnsi="Garamond"/>
          <w:szCs w:val="22"/>
        </w:rPr>
        <w:t xml:space="preserve">A teen parent (either head of household or included as a child on an adult’s TCA case) who has not finished secondary school may not be exempt to care for a child younger than one year old.  </w:t>
      </w:r>
    </w:p>
    <w:p w14:paraId="18E1A496" w14:textId="77777777" w:rsidR="004705C8" w:rsidRPr="004A0C12" w:rsidRDefault="004705C8" w:rsidP="00232F09">
      <w:pPr>
        <w:pStyle w:val="Normal1"/>
        <w:numPr>
          <w:ilvl w:val="0"/>
          <w:numId w:val="190"/>
        </w:numPr>
        <w:tabs>
          <w:tab w:val="left" w:pos="0"/>
        </w:tabs>
        <w:contextualSpacing/>
        <w:jc w:val="both"/>
        <w:rPr>
          <w:rFonts w:ascii="Garamond" w:hAnsi="Garamond"/>
          <w:szCs w:val="22"/>
        </w:rPr>
      </w:pPr>
      <w:r w:rsidRPr="004A0C12">
        <w:rPr>
          <w:rFonts w:ascii="Garamond" w:eastAsia="Arial" w:hAnsi="Garamond"/>
          <w:szCs w:val="22"/>
        </w:rPr>
        <w:t>A caretaker relative in an assistance unit with a child cared for by a non-parent relative who has demonstrated need and has no dependent children of his or her own in the assistance unit.</w:t>
      </w:r>
    </w:p>
    <w:p w14:paraId="2373BBAD" w14:textId="77777777" w:rsidR="004705C8" w:rsidRPr="004A0C12" w:rsidRDefault="004705C8" w:rsidP="00232F09">
      <w:pPr>
        <w:pStyle w:val="Normal1"/>
        <w:numPr>
          <w:ilvl w:val="0"/>
          <w:numId w:val="190"/>
        </w:numPr>
        <w:tabs>
          <w:tab w:val="left" w:pos="0"/>
        </w:tabs>
        <w:contextualSpacing/>
        <w:jc w:val="both"/>
        <w:rPr>
          <w:rFonts w:ascii="Garamond" w:hAnsi="Garamond"/>
          <w:szCs w:val="22"/>
        </w:rPr>
      </w:pPr>
      <w:r w:rsidRPr="004A0C12">
        <w:rPr>
          <w:rFonts w:ascii="Garamond" w:eastAsia="Arial" w:hAnsi="Garamond"/>
          <w:szCs w:val="22"/>
        </w:rPr>
        <w:t>Immigrant, parent/caretaker relatives who are not eligible for federal TCA assistance, with the exception of adult only qualified immigrant households for which TCA eligibility is based on an unborn child.</w:t>
      </w:r>
    </w:p>
    <w:p w14:paraId="29F3A3A1" w14:textId="77777777" w:rsidR="004705C8" w:rsidRPr="004A0C12" w:rsidRDefault="004705C8" w:rsidP="004705C8">
      <w:pPr>
        <w:pStyle w:val="Normal1"/>
        <w:tabs>
          <w:tab w:val="left" w:pos="0"/>
        </w:tabs>
        <w:ind w:left="360"/>
        <w:jc w:val="both"/>
        <w:rPr>
          <w:rFonts w:ascii="Garamond" w:hAnsi="Garamond"/>
          <w:szCs w:val="22"/>
        </w:rPr>
      </w:pPr>
    </w:p>
    <w:p w14:paraId="02D931C8" w14:textId="77777777" w:rsidR="004705C8" w:rsidRPr="004A0C12" w:rsidRDefault="004705C8" w:rsidP="00DD4E35">
      <w:pPr>
        <w:pStyle w:val="Normal1"/>
        <w:tabs>
          <w:tab w:val="left" w:pos="0"/>
        </w:tabs>
        <w:jc w:val="both"/>
        <w:rPr>
          <w:rFonts w:ascii="Garamond" w:hAnsi="Garamond"/>
          <w:szCs w:val="22"/>
        </w:rPr>
      </w:pPr>
      <w:r w:rsidRPr="004A0C12">
        <w:rPr>
          <w:rFonts w:ascii="Garamond" w:eastAsia="Arial" w:hAnsi="Garamond"/>
          <w:szCs w:val="22"/>
        </w:rPr>
        <w:lastRenderedPageBreak/>
        <w:t xml:space="preserve">Failure of any non-exempt adult to cooperate in a work requirement without good cause, including failure to accept offered employment, shall result in ineligibility of the entire assistance unit until the household cooperates.  </w:t>
      </w:r>
    </w:p>
    <w:p w14:paraId="61577469" w14:textId="77777777" w:rsidR="004705C8" w:rsidRPr="004A0C12" w:rsidRDefault="004705C8" w:rsidP="004705C8">
      <w:pPr>
        <w:pStyle w:val="Normal1"/>
        <w:jc w:val="both"/>
        <w:rPr>
          <w:rFonts w:ascii="Garamond" w:hAnsi="Garamond"/>
          <w:szCs w:val="22"/>
        </w:rPr>
      </w:pPr>
    </w:p>
    <w:p w14:paraId="7319C72C" w14:textId="372A0096" w:rsidR="004705C8" w:rsidRPr="004A0C12" w:rsidRDefault="004705C8" w:rsidP="00232F09">
      <w:pPr>
        <w:pStyle w:val="Normal1"/>
        <w:numPr>
          <w:ilvl w:val="1"/>
          <w:numId w:val="170"/>
        </w:numPr>
        <w:ind w:left="720" w:hanging="360"/>
        <w:contextualSpacing/>
        <w:jc w:val="both"/>
        <w:rPr>
          <w:rFonts w:ascii="Garamond" w:eastAsia="Arial" w:hAnsi="Garamond"/>
          <w:szCs w:val="22"/>
        </w:rPr>
      </w:pPr>
      <w:r w:rsidRPr="004A0C12">
        <w:rPr>
          <w:rFonts w:ascii="Garamond" w:eastAsia="Arial" w:hAnsi="Garamond"/>
          <w:b/>
          <w:szCs w:val="22"/>
        </w:rPr>
        <w:t>Ensure that parents and caretakers receiving assistance engage in work in accordance with section 407 (section 402(a)(1)(A)(iii</w:t>
      </w:r>
      <w:r w:rsidR="00DD4E35" w:rsidRPr="004A0C12">
        <w:rPr>
          <w:rFonts w:ascii="Garamond" w:eastAsia="Arial" w:hAnsi="Garamond"/>
          <w:b/>
          <w:szCs w:val="22"/>
        </w:rPr>
        <w:t xml:space="preserve">) of the Social Security Act). </w:t>
      </w:r>
      <w:r w:rsidRPr="004A0C12">
        <w:rPr>
          <w:rFonts w:ascii="Garamond" w:eastAsia="Arial" w:hAnsi="Garamond"/>
          <w:b/>
          <w:szCs w:val="22"/>
        </w:rPr>
        <w:t xml:space="preserve">Consistent with the required strategic elements discussed in section II (a)(2) herein, provide a specific analysis of how the State’s workforce development activities are addressing employment and training services for parents or caretakers receiving assistance.  </w:t>
      </w:r>
    </w:p>
    <w:p w14:paraId="3EFACA76" w14:textId="77777777" w:rsidR="004705C8" w:rsidRPr="004A0C12" w:rsidRDefault="004705C8" w:rsidP="004705C8">
      <w:pPr>
        <w:pStyle w:val="Normal1"/>
        <w:jc w:val="both"/>
        <w:rPr>
          <w:rStyle w:val="CommentReference"/>
          <w:rFonts w:ascii="Garamond" w:eastAsia="Times New Roman" w:hAnsi="Garamond"/>
          <w:snapToGrid w:val="0"/>
          <w:color w:val="auto"/>
          <w:sz w:val="22"/>
          <w:szCs w:val="22"/>
        </w:rPr>
      </w:pPr>
    </w:p>
    <w:p w14:paraId="41083284" w14:textId="171BAA5E" w:rsidR="004705C8" w:rsidRPr="004A0C12" w:rsidRDefault="004705C8" w:rsidP="004705C8">
      <w:pPr>
        <w:pStyle w:val="Normal1"/>
        <w:jc w:val="both"/>
        <w:rPr>
          <w:rFonts w:ascii="Garamond" w:hAnsi="Garamond"/>
          <w:color w:val="auto"/>
          <w:szCs w:val="22"/>
          <w:u w:val="single"/>
        </w:rPr>
      </w:pPr>
      <w:r w:rsidRPr="004A0C12">
        <w:rPr>
          <w:rStyle w:val="CommentReference"/>
          <w:rFonts w:ascii="Garamond" w:eastAsia="Times New Roman" w:hAnsi="Garamond"/>
          <w:snapToGrid w:val="0"/>
          <w:color w:val="auto"/>
          <w:sz w:val="22"/>
          <w:szCs w:val="22"/>
        </w:rPr>
        <w:t xml:space="preserve">To ensure that individuals receiving assistance are engaging in work, there is a sanctioning process in place for noncompliance. Refer to Section (a), </w:t>
      </w:r>
      <w:r w:rsidR="00297312" w:rsidRPr="004A0C12">
        <w:rPr>
          <w:rStyle w:val="CommentReference"/>
          <w:rFonts w:ascii="Garamond" w:eastAsia="Times New Roman" w:hAnsi="Garamond"/>
          <w:snapToGrid w:val="0"/>
          <w:color w:val="auto"/>
          <w:sz w:val="22"/>
          <w:szCs w:val="22"/>
        </w:rPr>
        <w:t xml:space="preserve">on page </w:t>
      </w:r>
      <w:r w:rsidR="00BB5F3C" w:rsidRPr="004A0C12">
        <w:rPr>
          <w:rStyle w:val="CommentReference"/>
          <w:rFonts w:ascii="Garamond" w:eastAsia="Times New Roman" w:hAnsi="Garamond"/>
          <w:snapToGrid w:val="0"/>
          <w:color w:val="auto"/>
          <w:sz w:val="22"/>
          <w:szCs w:val="22"/>
        </w:rPr>
        <w:t>233</w:t>
      </w:r>
      <w:r w:rsidR="00297312" w:rsidRPr="004A0C12">
        <w:rPr>
          <w:rStyle w:val="CommentReference"/>
          <w:rFonts w:ascii="Garamond" w:eastAsia="Times New Roman" w:hAnsi="Garamond"/>
          <w:snapToGrid w:val="0"/>
          <w:color w:val="auto"/>
          <w:sz w:val="22"/>
          <w:szCs w:val="22"/>
        </w:rPr>
        <w:t xml:space="preserve">, </w:t>
      </w:r>
      <w:r w:rsidRPr="004A0C12">
        <w:rPr>
          <w:rStyle w:val="CommentReference"/>
          <w:rFonts w:ascii="Garamond" w:eastAsia="Times New Roman" w:hAnsi="Garamond"/>
          <w:snapToGrid w:val="0"/>
          <w:color w:val="auto"/>
          <w:sz w:val="22"/>
          <w:szCs w:val="22"/>
        </w:rPr>
        <w:t>S</w:t>
      </w:r>
      <w:r w:rsidRPr="004A0C12">
        <w:rPr>
          <w:rFonts w:ascii="Garamond" w:hAnsi="Garamond"/>
          <w:color w:val="auto"/>
          <w:szCs w:val="22"/>
        </w:rPr>
        <w:t>anctions for Noncompliance with Program Requirements.</w:t>
      </w:r>
      <w:r w:rsidR="00DD4E35" w:rsidRPr="004A0C12">
        <w:rPr>
          <w:rFonts w:ascii="Garamond" w:hAnsi="Garamond"/>
          <w:color w:val="auto"/>
          <w:szCs w:val="22"/>
        </w:rPr>
        <w:t xml:space="preserve"> </w:t>
      </w:r>
      <w:r w:rsidR="00EA7878" w:rsidRPr="004A0C12">
        <w:rPr>
          <w:rFonts w:ascii="Garamond" w:hAnsi="Garamond"/>
          <w:color w:val="auto"/>
          <w:szCs w:val="22"/>
        </w:rPr>
        <w:t xml:space="preserve">Also </w:t>
      </w:r>
      <w:r w:rsidRPr="004A0C12">
        <w:rPr>
          <w:rFonts w:ascii="Garamond" w:hAnsi="Garamond"/>
          <w:color w:val="auto"/>
          <w:szCs w:val="22"/>
        </w:rPr>
        <w:t xml:space="preserve">Section (a), </w:t>
      </w:r>
      <w:r w:rsidR="00EA7878" w:rsidRPr="004A0C12">
        <w:rPr>
          <w:rFonts w:ascii="Garamond" w:hAnsi="Garamond"/>
          <w:color w:val="auto"/>
          <w:szCs w:val="22"/>
        </w:rPr>
        <w:t>pag</w:t>
      </w:r>
      <w:r w:rsidR="00BB5F3C" w:rsidRPr="004A0C12">
        <w:rPr>
          <w:rFonts w:ascii="Garamond" w:hAnsi="Garamond"/>
          <w:color w:val="auto"/>
          <w:szCs w:val="22"/>
        </w:rPr>
        <w:t>e 224</w:t>
      </w:r>
      <w:r w:rsidR="00EA7878" w:rsidRPr="004A0C12">
        <w:rPr>
          <w:rFonts w:ascii="Garamond" w:hAnsi="Garamond"/>
          <w:color w:val="auto"/>
          <w:szCs w:val="22"/>
        </w:rPr>
        <w:t xml:space="preserve"> </w:t>
      </w:r>
      <w:r w:rsidRPr="004A0C12">
        <w:rPr>
          <w:rFonts w:ascii="Garamond" w:hAnsi="Garamond"/>
          <w:color w:val="auto"/>
          <w:szCs w:val="22"/>
        </w:rPr>
        <w:t>refer to the TANF Workforce Development Programs description that discusses how LDSS workforce development activities are addressing employment and training services for individuals receiving assistance.</w:t>
      </w:r>
    </w:p>
    <w:p w14:paraId="7286C951" w14:textId="77777777" w:rsidR="004705C8" w:rsidRPr="004A0C12" w:rsidRDefault="004705C8" w:rsidP="004705C8">
      <w:pPr>
        <w:pStyle w:val="Normal1"/>
        <w:jc w:val="both"/>
        <w:rPr>
          <w:rFonts w:ascii="Garamond" w:eastAsia="Arial" w:hAnsi="Garamond"/>
          <w:color w:val="auto"/>
          <w:szCs w:val="22"/>
        </w:rPr>
      </w:pPr>
      <w:r w:rsidRPr="004A0C12">
        <w:rPr>
          <w:rFonts w:ascii="Garamond" w:hAnsi="Garamond"/>
          <w:color w:val="auto"/>
          <w:szCs w:val="22"/>
          <w:u w:val="single"/>
        </w:rPr>
        <w:t xml:space="preserve">  </w:t>
      </w:r>
    </w:p>
    <w:p w14:paraId="37E620B0" w14:textId="77777777" w:rsidR="004705C8" w:rsidRPr="004A0C12" w:rsidRDefault="004705C8" w:rsidP="00232F09">
      <w:pPr>
        <w:pStyle w:val="Normal1"/>
        <w:numPr>
          <w:ilvl w:val="1"/>
          <w:numId w:val="170"/>
        </w:numPr>
        <w:ind w:left="720" w:hanging="360"/>
        <w:contextualSpacing/>
        <w:jc w:val="both"/>
        <w:rPr>
          <w:rFonts w:ascii="Garamond" w:eastAsia="Arial" w:hAnsi="Garamond"/>
          <w:color w:val="auto"/>
          <w:szCs w:val="22"/>
        </w:rPr>
      </w:pPr>
      <w:r w:rsidRPr="004A0C12">
        <w:rPr>
          <w:rFonts w:ascii="Garamond" w:eastAsia="Arial" w:hAnsi="Garamond"/>
          <w:b/>
          <w:color w:val="auto"/>
          <w:szCs w:val="22"/>
        </w:rPr>
        <w:t>Take such reasonable steps as the State deems necessary to restrict the use and disclosure of information about individuals and families receiving assistance under the program attributable to funds provided by the Federal Government (section 402(a)(1)(A)(iv) of the Social Security Act)</w:t>
      </w:r>
    </w:p>
    <w:p w14:paraId="1280C7F2" w14:textId="77777777" w:rsidR="004705C8" w:rsidRPr="004A0C12" w:rsidRDefault="004705C8" w:rsidP="004705C8">
      <w:pPr>
        <w:pStyle w:val="Normal1"/>
        <w:jc w:val="both"/>
        <w:rPr>
          <w:rFonts w:ascii="Garamond" w:hAnsi="Garamond"/>
          <w:color w:val="auto"/>
          <w:szCs w:val="22"/>
        </w:rPr>
      </w:pPr>
    </w:p>
    <w:p w14:paraId="718357BE" w14:textId="0CEF26C4" w:rsidR="004705C8" w:rsidRPr="004A0C12" w:rsidRDefault="00DD4E35" w:rsidP="004705C8">
      <w:pPr>
        <w:pStyle w:val="Normal1"/>
        <w:jc w:val="both"/>
        <w:rPr>
          <w:rFonts w:ascii="Garamond" w:eastAsia="Arial" w:hAnsi="Garamond"/>
          <w:color w:val="auto"/>
          <w:szCs w:val="22"/>
        </w:rPr>
      </w:pPr>
      <w:r w:rsidRPr="004A0C12">
        <w:rPr>
          <w:rFonts w:ascii="Garamond" w:eastAsia="Arial" w:hAnsi="Garamond"/>
          <w:color w:val="auto"/>
          <w:szCs w:val="22"/>
        </w:rPr>
        <w:t>To</w:t>
      </w:r>
      <w:r w:rsidR="004705C8" w:rsidRPr="004A0C12">
        <w:rPr>
          <w:rFonts w:ascii="Garamond" w:eastAsia="Arial" w:hAnsi="Garamond"/>
          <w:color w:val="auto"/>
          <w:szCs w:val="22"/>
        </w:rPr>
        <w:t xml:space="preserve"> restrict the use and disclosure of information, the Secretary of DHR and the Executive Director of the Family Investment Administration, or their designees, develop partnership agreements for the exchange of information to assist in the verification o</w:t>
      </w:r>
      <w:r w:rsidRPr="004A0C12">
        <w:rPr>
          <w:rFonts w:ascii="Garamond" w:eastAsia="Arial" w:hAnsi="Garamond"/>
          <w:color w:val="auto"/>
          <w:szCs w:val="22"/>
        </w:rPr>
        <w:t xml:space="preserve">f cash assistance eligibility. </w:t>
      </w:r>
      <w:r w:rsidR="004705C8" w:rsidRPr="004A0C12">
        <w:rPr>
          <w:rFonts w:ascii="Garamond" w:eastAsia="Arial" w:hAnsi="Garamond"/>
          <w:color w:val="auto"/>
          <w:szCs w:val="22"/>
        </w:rPr>
        <w:t>The agreements are in writing and include procedures for requesting, obtaining, and examining the information, and specify the Secretary’s designee for requesting and receiving information by title or position. Additionally, customers sign a consent form to share information needed for the verification of cash assistance eligibility.</w:t>
      </w:r>
    </w:p>
    <w:p w14:paraId="56CA0324" w14:textId="77777777" w:rsidR="004705C8" w:rsidRPr="004A0C12" w:rsidRDefault="004705C8" w:rsidP="004705C8">
      <w:pPr>
        <w:pStyle w:val="Normal1"/>
        <w:jc w:val="both"/>
        <w:rPr>
          <w:rFonts w:ascii="Garamond" w:eastAsia="Arial" w:hAnsi="Garamond"/>
          <w:color w:val="auto"/>
          <w:szCs w:val="22"/>
        </w:rPr>
      </w:pPr>
    </w:p>
    <w:p w14:paraId="1EE7644E" w14:textId="4DAEF2E3" w:rsidR="004705C8" w:rsidRPr="004A0C12" w:rsidRDefault="004705C8" w:rsidP="004705C8">
      <w:pPr>
        <w:pStyle w:val="Heading3"/>
        <w:spacing w:before="0" w:line="240" w:lineRule="auto"/>
        <w:jc w:val="both"/>
        <w:rPr>
          <w:rFonts w:ascii="Garamond" w:hAnsi="Garamond" w:cs="Times New Roman"/>
          <w:b w:val="0"/>
          <w:color w:val="auto"/>
        </w:rPr>
      </w:pPr>
      <w:bookmarkStart w:id="249" w:name="_Toc440635677"/>
      <w:bookmarkStart w:id="250" w:name="_Toc445839721"/>
      <w:bookmarkStart w:id="251" w:name="_Toc447216129"/>
      <w:bookmarkStart w:id="252" w:name="_Toc447276273"/>
      <w:r w:rsidRPr="004A0C12">
        <w:rPr>
          <w:rFonts w:ascii="Garamond" w:hAnsi="Garamond" w:cs="Times New Roman"/>
          <w:b w:val="0"/>
          <w:color w:val="auto"/>
        </w:rPr>
        <w:t>The State of Maryland elects the option to collect data on a monthly basis and report on a quarterly basis, a sample of the caseload as prescribed by the Secretary,</w:t>
      </w:r>
      <w:r w:rsidRPr="004A0C12">
        <w:rPr>
          <w:rFonts w:ascii="Garamond" w:hAnsi="Garamond" w:cs="Times New Roman"/>
          <w:color w:val="auto"/>
        </w:rPr>
        <w:t xml:space="preserve"> </w:t>
      </w:r>
      <w:r w:rsidRPr="004A0C12">
        <w:rPr>
          <w:rFonts w:ascii="Garamond" w:hAnsi="Garamond" w:cs="Times New Roman"/>
          <w:b w:val="0"/>
          <w:color w:val="auto"/>
        </w:rPr>
        <w:t>to produce statistically valid estimates of the performance of the program.</w:t>
      </w:r>
      <w:r w:rsidRPr="004A0C12">
        <w:rPr>
          <w:rFonts w:ascii="Garamond" w:hAnsi="Garamond" w:cs="Times New Roman"/>
          <w:color w:val="auto"/>
        </w:rPr>
        <w:t xml:space="preserve"> </w:t>
      </w:r>
      <w:r w:rsidRPr="004A0C12">
        <w:rPr>
          <w:rFonts w:ascii="Garamond" w:hAnsi="Garamond" w:cs="Times New Roman"/>
          <w:b w:val="0"/>
          <w:color w:val="auto"/>
        </w:rPr>
        <w:t>Sampling will be used only when the universe is large enough to comply with established sampling methodology.</w:t>
      </w:r>
      <w:bookmarkEnd w:id="249"/>
      <w:bookmarkEnd w:id="250"/>
      <w:bookmarkEnd w:id="251"/>
      <w:bookmarkEnd w:id="252"/>
    </w:p>
    <w:p w14:paraId="2DFFD137" w14:textId="77777777" w:rsidR="004705C8" w:rsidRPr="004A0C12" w:rsidRDefault="004705C8" w:rsidP="004705C8">
      <w:pPr>
        <w:pStyle w:val="Normal1"/>
        <w:jc w:val="both"/>
        <w:rPr>
          <w:rFonts w:ascii="Garamond" w:hAnsi="Garamond"/>
          <w:color w:val="auto"/>
          <w:szCs w:val="22"/>
        </w:rPr>
      </w:pPr>
    </w:p>
    <w:p w14:paraId="4A09EC65" w14:textId="77777777" w:rsidR="004705C8" w:rsidRPr="004A0C12" w:rsidRDefault="004705C8" w:rsidP="00232F09">
      <w:pPr>
        <w:pStyle w:val="Normal1"/>
        <w:numPr>
          <w:ilvl w:val="1"/>
          <w:numId w:val="170"/>
        </w:numPr>
        <w:ind w:left="720" w:hanging="360"/>
        <w:contextualSpacing/>
        <w:jc w:val="both"/>
        <w:rPr>
          <w:rFonts w:ascii="Garamond" w:eastAsia="Arial" w:hAnsi="Garamond"/>
          <w:color w:val="auto"/>
          <w:szCs w:val="22"/>
        </w:rPr>
      </w:pPr>
      <w:r w:rsidRPr="004A0C12">
        <w:rPr>
          <w:rFonts w:ascii="Garamond" w:eastAsia="Arial" w:hAnsi="Garamond"/>
          <w:b/>
          <w:color w:val="auto"/>
          <w:szCs w:val="22"/>
        </w:rPr>
        <w:t>Establish goals and take action to prevent and reduce out-of-wedlock pregnancies, with special emphasis on teenage pregnancies (section 402(a)(1)(A)(v) of the Social Security Act)</w:t>
      </w:r>
    </w:p>
    <w:p w14:paraId="79BEA81E" w14:textId="77777777" w:rsidR="004705C8" w:rsidRPr="004A0C12" w:rsidRDefault="004705C8" w:rsidP="004705C8">
      <w:pPr>
        <w:pStyle w:val="Normal1"/>
        <w:ind w:left="720"/>
        <w:jc w:val="both"/>
        <w:rPr>
          <w:rFonts w:ascii="Garamond" w:hAnsi="Garamond"/>
          <w:color w:val="auto"/>
          <w:szCs w:val="22"/>
        </w:rPr>
      </w:pPr>
    </w:p>
    <w:p w14:paraId="22448767" w14:textId="77777777" w:rsidR="004705C8" w:rsidRPr="004A0C12" w:rsidRDefault="004705C8" w:rsidP="004705C8">
      <w:pPr>
        <w:pStyle w:val="Normal1"/>
        <w:jc w:val="both"/>
        <w:rPr>
          <w:rFonts w:ascii="Garamond" w:eastAsia="Arial" w:hAnsi="Garamond"/>
          <w:color w:val="auto"/>
          <w:szCs w:val="22"/>
        </w:rPr>
      </w:pPr>
      <w:r w:rsidRPr="004A0C12">
        <w:rPr>
          <w:rFonts w:ascii="Garamond" w:eastAsia="Arial" w:hAnsi="Garamond"/>
          <w:color w:val="auto"/>
          <w:szCs w:val="22"/>
        </w:rPr>
        <w:t>The State of Maryland developed a comprehensive approach to the adolescent pregnancy problem including:</w:t>
      </w:r>
    </w:p>
    <w:p w14:paraId="622FF200" w14:textId="77777777" w:rsidR="008E6F9B" w:rsidRPr="004A0C12" w:rsidRDefault="008E6F9B" w:rsidP="004705C8">
      <w:pPr>
        <w:pStyle w:val="Normal1"/>
        <w:jc w:val="both"/>
        <w:rPr>
          <w:rFonts w:ascii="Garamond" w:hAnsi="Garamond"/>
          <w:color w:val="auto"/>
          <w:szCs w:val="22"/>
        </w:rPr>
      </w:pPr>
    </w:p>
    <w:p w14:paraId="3A0B41AD" w14:textId="77777777" w:rsidR="004705C8" w:rsidRPr="004A0C12" w:rsidRDefault="004705C8" w:rsidP="00232F09">
      <w:pPr>
        <w:pStyle w:val="Normal1"/>
        <w:numPr>
          <w:ilvl w:val="0"/>
          <w:numId w:val="191"/>
        </w:numPr>
        <w:contextualSpacing/>
        <w:jc w:val="both"/>
        <w:rPr>
          <w:rFonts w:ascii="Garamond" w:hAnsi="Garamond"/>
          <w:color w:val="auto"/>
          <w:szCs w:val="22"/>
        </w:rPr>
      </w:pPr>
      <w:r w:rsidRPr="004A0C12">
        <w:rPr>
          <w:rFonts w:ascii="Garamond" w:eastAsia="Arial" w:hAnsi="Garamond"/>
          <w:color w:val="auto"/>
          <w:szCs w:val="22"/>
        </w:rPr>
        <w:t xml:space="preserve">Improvements in education, such as providing sexuality education, access to contraceptives and other health promotion services to reach out-of-school adolescents;  </w:t>
      </w:r>
    </w:p>
    <w:p w14:paraId="5CE359B8" w14:textId="77777777" w:rsidR="004705C8" w:rsidRPr="004A0C12" w:rsidRDefault="004705C8" w:rsidP="00232F09">
      <w:pPr>
        <w:pStyle w:val="Normal1"/>
        <w:numPr>
          <w:ilvl w:val="0"/>
          <w:numId w:val="191"/>
        </w:numPr>
        <w:contextualSpacing/>
        <w:jc w:val="both"/>
        <w:rPr>
          <w:rFonts w:ascii="Garamond" w:hAnsi="Garamond"/>
          <w:color w:val="auto"/>
          <w:szCs w:val="22"/>
        </w:rPr>
      </w:pPr>
      <w:r w:rsidRPr="004A0C12">
        <w:rPr>
          <w:rFonts w:ascii="Garamond" w:eastAsia="Arial" w:hAnsi="Garamond"/>
          <w:color w:val="auto"/>
          <w:szCs w:val="22"/>
        </w:rPr>
        <w:t xml:space="preserve">Community based programs, such as local multimedia promotion of responsible decision-making on sexual matters; </w:t>
      </w:r>
    </w:p>
    <w:p w14:paraId="18F5D9D0" w14:textId="77777777" w:rsidR="004705C8" w:rsidRPr="004A0C12" w:rsidRDefault="004705C8" w:rsidP="00232F09">
      <w:pPr>
        <w:pStyle w:val="Normal1"/>
        <w:numPr>
          <w:ilvl w:val="0"/>
          <w:numId w:val="191"/>
        </w:numPr>
        <w:contextualSpacing/>
        <w:jc w:val="both"/>
        <w:rPr>
          <w:rFonts w:ascii="Garamond" w:hAnsi="Garamond"/>
          <w:color w:val="auto"/>
          <w:szCs w:val="22"/>
        </w:rPr>
      </w:pPr>
      <w:r w:rsidRPr="004A0C12">
        <w:rPr>
          <w:rFonts w:ascii="Garamond" w:eastAsia="Arial" w:hAnsi="Garamond"/>
          <w:color w:val="auto"/>
          <w:szCs w:val="22"/>
        </w:rPr>
        <w:t xml:space="preserve">Enhanced social services, such as physical and sexual abuse prevention at primary, secondary and tertiary levels; </w:t>
      </w:r>
    </w:p>
    <w:p w14:paraId="2AB1BE9B" w14:textId="6463D2AC" w:rsidR="004705C8" w:rsidRPr="004A0C12" w:rsidRDefault="004705C8" w:rsidP="00232F09">
      <w:pPr>
        <w:pStyle w:val="Normal1"/>
        <w:numPr>
          <w:ilvl w:val="0"/>
          <w:numId w:val="191"/>
        </w:numPr>
        <w:contextualSpacing/>
        <w:jc w:val="both"/>
        <w:rPr>
          <w:rFonts w:ascii="Garamond" w:hAnsi="Garamond"/>
          <w:color w:val="auto"/>
          <w:szCs w:val="22"/>
        </w:rPr>
      </w:pPr>
      <w:r w:rsidRPr="004A0C12">
        <w:rPr>
          <w:rFonts w:ascii="Garamond" w:eastAsia="Arial" w:hAnsi="Garamond"/>
          <w:color w:val="auto"/>
          <w:szCs w:val="22"/>
        </w:rPr>
        <w:t xml:space="preserve">Employment development, such as school-to-work opportunities in partnership with private business and public agencies; </w:t>
      </w:r>
      <w:r w:rsidR="008E6F9B" w:rsidRPr="004A0C12">
        <w:rPr>
          <w:rFonts w:ascii="Garamond" w:eastAsia="Arial" w:hAnsi="Garamond"/>
          <w:color w:val="auto"/>
          <w:szCs w:val="22"/>
        </w:rPr>
        <w:t xml:space="preserve">and, </w:t>
      </w:r>
    </w:p>
    <w:p w14:paraId="7FEA0311" w14:textId="77777777" w:rsidR="004705C8" w:rsidRPr="004A0C12" w:rsidRDefault="004705C8" w:rsidP="00232F09">
      <w:pPr>
        <w:pStyle w:val="Normal1"/>
        <w:numPr>
          <w:ilvl w:val="0"/>
          <w:numId w:val="191"/>
        </w:numPr>
        <w:contextualSpacing/>
        <w:jc w:val="both"/>
        <w:rPr>
          <w:rFonts w:ascii="Garamond" w:hAnsi="Garamond"/>
          <w:color w:val="auto"/>
          <w:szCs w:val="22"/>
        </w:rPr>
      </w:pPr>
      <w:r w:rsidRPr="004A0C12">
        <w:rPr>
          <w:rFonts w:ascii="Garamond" w:eastAsia="Arial" w:hAnsi="Garamond"/>
          <w:color w:val="auto"/>
          <w:szCs w:val="22"/>
        </w:rPr>
        <w:t>Health initiatives, such as improved access to birth control counseling and services for sexually active adolescents and parenting classes for every pregnant teenager and her partner.</w:t>
      </w:r>
    </w:p>
    <w:p w14:paraId="4F849D4F" w14:textId="77777777" w:rsidR="004705C8" w:rsidRPr="004A0C12" w:rsidRDefault="004705C8" w:rsidP="004705C8">
      <w:pPr>
        <w:pStyle w:val="Normal1"/>
        <w:ind w:left="720" w:hanging="720"/>
        <w:jc w:val="both"/>
        <w:rPr>
          <w:rFonts w:ascii="Garamond" w:hAnsi="Garamond"/>
          <w:color w:val="auto"/>
          <w:szCs w:val="22"/>
        </w:rPr>
      </w:pPr>
    </w:p>
    <w:p w14:paraId="2D93BC63" w14:textId="6496072B" w:rsidR="004705C8" w:rsidRPr="004A0C12" w:rsidRDefault="004705C8" w:rsidP="004705C8">
      <w:pPr>
        <w:pStyle w:val="Normal1"/>
        <w:jc w:val="both"/>
        <w:rPr>
          <w:rFonts w:ascii="Garamond" w:hAnsi="Garamond"/>
          <w:color w:val="auto"/>
          <w:szCs w:val="22"/>
        </w:rPr>
      </w:pPr>
      <w:r w:rsidRPr="004A0C12">
        <w:rPr>
          <w:rFonts w:ascii="Garamond" w:eastAsia="Arial" w:hAnsi="Garamond"/>
          <w:color w:val="auto"/>
          <w:szCs w:val="22"/>
        </w:rPr>
        <w:t>Programs and services for people in this age group will be improved or added</w:t>
      </w:r>
      <w:r w:rsidR="008E6F9B" w:rsidRPr="004A0C12">
        <w:rPr>
          <w:rFonts w:ascii="Garamond" w:eastAsia="Arial" w:hAnsi="Garamond"/>
          <w:color w:val="auto"/>
          <w:szCs w:val="22"/>
        </w:rPr>
        <w:t>,</w:t>
      </w:r>
      <w:r w:rsidRPr="004A0C12">
        <w:rPr>
          <w:rFonts w:ascii="Garamond" w:eastAsia="Arial" w:hAnsi="Garamond"/>
          <w:color w:val="auto"/>
          <w:szCs w:val="22"/>
        </w:rPr>
        <w:t xml:space="preserve"> as needed.  </w:t>
      </w:r>
    </w:p>
    <w:p w14:paraId="05159301" w14:textId="77777777" w:rsidR="004705C8" w:rsidRPr="004A0C12" w:rsidRDefault="004705C8" w:rsidP="004705C8">
      <w:pPr>
        <w:pStyle w:val="Normal1"/>
        <w:jc w:val="both"/>
        <w:rPr>
          <w:rFonts w:ascii="Garamond" w:hAnsi="Garamond"/>
          <w:color w:val="auto"/>
          <w:szCs w:val="22"/>
        </w:rPr>
      </w:pPr>
    </w:p>
    <w:p w14:paraId="27B54663" w14:textId="77777777" w:rsidR="004705C8" w:rsidRPr="004A0C12" w:rsidRDefault="004705C8" w:rsidP="00232F09">
      <w:pPr>
        <w:pStyle w:val="Normal1"/>
        <w:numPr>
          <w:ilvl w:val="1"/>
          <w:numId w:val="170"/>
        </w:numPr>
        <w:ind w:left="720" w:hanging="360"/>
        <w:contextualSpacing/>
        <w:jc w:val="both"/>
        <w:rPr>
          <w:rFonts w:ascii="Garamond" w:eastAsia="Arial" w:hAnsi="Garamond"/>
          <w:color w:val="auto"/>
          <w:szCs w:val="22"/>
        </w:rPr>
      </w:pPr>
      <w:r w:rsidRPr="004A0C12">
        <w:rPr>
          <w:rFonts w:ascii="Garamond" w:eastAsia="Arial" w:hAnsi="Garamond"/>
          <w:b/>
          <w:color w:val="auto"/>
          <w:szCs w:val="22"/>
        </w:rPr>
        <w:t>Conduct a program designed to reach State and local law enforcement officials, the education system, and relevant counseling services, that provides education and training on the problem of statutory rape so that teenage pregnancy prevention programs may be expanded to include men (section 402(a)(1)(A)(vi) of the Social Security Act)</w:t>
      </w:r>
    </w:p>
    <w:p w14:paraId="705A0034" w14:textId="77777777" w:rsidR="004705C8" w:rsidRPr="004A0C12" w:rsidRDefault="004705C8" w:rsidP="004705C8">
      <w:pPr>
        <w:pStyle w:val="Normal1"/>
        <w:ind w:left="720"/>
        <w:jc w:val="both"/>
        <w:rPr>
          <w:rFonts w:ascii="Garamond" w:hAnsi="Garamond"/>
          <w:color w:val="auto"/>
          <w:szCs w:val="22"/>
        </w:rPr>
      </w:pPr>
    </w:p>
    <w:p w14:paraId="1145E068" w14:textId="16C52857" w:rsidR="004705C8" w:rsidRPr="004A0C12" w:rsidRDefault="004705C8" w:rsidP="004705C8">
      <w:pPr>
        <w:pStyle w:val="Normal1"/>
        <w:jc w:val="both"/>
        <w:rPr>
          <w:rFonts w:ascii="Garamond" w:eastAsia="Arial" w:hAnsi="Garamond"/>
          <w:color w:val="auto"/>
          <w:szCs w:val="22"/>
        </w:rPr>
      </w:pPr>
      <w:r w:rsidRPr="004A0C12">
        <w:rPr>
          <w:rFonts w:ascii="Garamond" w:eastAsia="Arial" w:hAnsi="Garamond"/>
          <w:color w:val="auto"/>
          <w:szCs w:val="22"/>
        </w:rPr>
        <w:t>The State of Maryland recognizes that effective campaigns to reduce incidences</w:t>
      </w:r>
      <w:r w:rsidR="0006414C" w:rsidRPr="004A0C12">
        <w:rPr>
          <w:rFonts w:ascii="Garamond" w:eastAsia="Arial" w:hAnsi="Garamond"/>
          <w:color w:val="auto"/>
          <w:szCs w:val="22"/>
        </w:rPr>
        <w:t xml:space="preserve"> of statutory rape are needed. </w:t>
      </w:r>
      <w:r w:rsidRPr="004A0C12">
        <w:rPr>
          <w:rFonts w:ascii="Garamond" w:eastAsia="Arial" w:hAnsi="Garamond"/>
          <w:color w:val="auto"/>
          <w:szCs w:val="22"/>
        </w:rPr>
        <w:t>Both the Maryland Department of Health and Mental Hygiene and the Maryland State Department of Education developed and implemented programs targeted to reducing teen pregnancy. The Statewide comprehensive plan includes the following:</w:t>
      </w:r>
    </w:p>
    <w:p w14:paraId="24A95891" w14:textId="77777777" w:rsidR="0006414C" w:rsidRPr="004A0C12" w:rsidRDefault="0006414C" w:rsidP="004705C8">
      <w:pPr>
        <w:pStyle w:val="Normal1"/>
        <w:jc w:val="both"/>
        <w:rPr>
          <w:rFonts w:ascii="Garamond" w:hAnsi="Garamond"/>
          <w:color w:val="auto"/>
          <w:szCs w:val="22"/>
        </w:rPr>
      </w:pPr>
    </w:p>
    <w:p w14:paraId="40BEA104" w14:textId="77777777" w:rsidR="004705C8" w:rsidRPr="004A0C12" w:rsidRDefault="004705C8" w:rsidP="00232F09">
      <w:pPr>
        <w:pStyle w:val="Normal1"/>
        <w:numPr>
          <w:ilvl w:val="0"/>
          <w:numId w:val="192"/>
        </w:numPr>
        <w:contextualSpacing/>
        <w:jc w:val="both"/>
        <w:rPr>
          <w:rFonts w:ascii="Garamond" w:hAnsi="Garamond"/>
          <w:color w:val="auto"/>
          <w:szCs w:val="22"/>
        </w:rPr>
      </w:pPr>
      <w:r w:rsidRPr="004A0C12">
        <w:rPr>
          <w:rFonts w:ascii="Garamond" w:eastAsia="Arial" w:hAnsi="Garamond"/>
          <w:color w:val="auto"/>
          <w:szCs w:val="22"/>
        </w:rPr>
        <w:t xml:space="preserve">An awareness campaign targeted to reach the male population that is likely to commit these crimes; </w:t>
      </w:r>
    </w:p>
    <w:p w14:paraId="6C33E8DF" w14:textId="77777777" w:rsidR="004705C8" w:rsidRPr="004A0C12" w:rsidRDefault="004705C8" w:rsidP="00232F09">
      <w:pPr>
        <w:pStyle w:val="Normal1"/>
        <w:numPr>
          <w:ilvl w:val="0"/>
          <w:numId w:val="192"/>
        </w:numPr>
        <w:contextualSpacing/>
        <w:jc w:val="both"/>
        <w:rPr>
          <w:rFonts w:ascii="Garamond" w:hAnsi="Garamond"/>
          <w:color w:val="auto"/>
          <w:szCs w:val="22"/>
        </w:rPr>
      </w:pPr>
      <w:r w:rsidRPr="004A0C12">
        <w:rPr>
          <w:rFonts w:ascii="Garamond" w:eastAsia="Arial" w:hAnsi="Garamond"/>
          <w:color w:val="auto"/>
          <w:szCs w:val="22"/>
        </w:rPr>
        <w:t>A program of education/training for law enforcement officials;</w:t>
      </w:r>
    </w:p>
    <w:p w14:paraId="1E79ABB9" w14:textId="0FB766AE" w:rsidR="004705C8" w:rsidRPr="004A0C12" w:rsidRDefault="004705C8" w:rsidP="00232F09">
      <w:pPr>
        <w:pStyle w:val="Normal1"/>
        <w:numPr>
          <w:ilvl w:val="0"/>
          <w:numId w:val="192"/>
        </w:numPr>
        <w:contextualSpacing/>
        <w:jc w:val="both"/>
        <w:rPr>
          <w:rFonts w:ascii="Garamond" w:hAnsi="Garamond"/>
          <w:color w:val="auto"/>
          <w:szCs w:val="22"/>
        </w:rPr>
      </w:pPr>
      <w:r w:rsidRPr="004A0C12">
        <w:rPr>
          <w:rFonts w:ascii="Garamond" w:eastAsia="Arial" w:hAnsi="Garamond"/>
          <w:color w:val="auto"/>
          <w:szCs w:val="22"/>
        </w:rPr>
        <w:t xml:space="preserve">A plan that increases awareness through public schools; </w:t>
      </w:r>
      <w:r w:rsidR="0006414C" w:rsidRPr="004A0C12">
        <w:rPr>
          <w:rFonts w:ascii="Garamond" w:eastAsia="Arial" w:hAnsi="Garamond"/>
          <w:color w:val="auto"/>
          <w:szCs w:val="22"/>
        </w:rPr>
        <w:t xml:space="preserve">and, </w:t>
      </w:r>
    </w:p>
    <w:p w14:paraId="3CBDA3A9" w14:textId="77777777" w:rsidR="004705C8" w:rsidRPr="004A0C12" w:rsidRDefault="004705C8" w:rsidP="00232F09">
      <w:pPr>
        <w:pStyle w:val="Normal1"/>
        <w:numPr>
          <w:ilvl w:val="0"/>
          <w:numId w:val="192"/>
        </w:numPr>
        <w:contextualSpacing/>
        <w:jc w:val="both"/>
        <w:rPr>
          <w:rFonts w:ascii="Garamond" w:hAnsi="Garamond"/>
          <w:color w:val="auto"/>
          <w:szCs w:val="22"/>
        </w:rPr>
      </w:pPr>
      <w:r w:rsidRPr="004A0C12">
        <w:rPr>
          <w:rFonts w:ascii="Garamond" w:eastAsia="Arial" w:hAnsi="Garamond"/>
          <w:color w:val="auto"/>
          <w:szCs w:val="22"/>
        </w:rPr>
        <w:t>Enhancement of existing programs that provide counseling to both adolescent females and males.</w:t>
      </w:r>
    </w:p>
    <w:p w14:paraId="523C60DC" w14:textId="77777777" w:rsidR="004705C8" w:rsidRPr="004A0C12" w:rsidRDefault="004705C8" w:rsidP="004705C8">
      <w:pPr>
        <w:pStyle w:val="Normal1"/>
        <w:ind w:left="720" w:hanging="360"/>
        <w:jc w:val="both"/>
        <w:rPr>
          <w:rFonts w:ascii="Garamond" w:hAnsi="Garamond"/>
          <w:color w:val="auto"/>
          <w:szCs w:val="22"/>
        </w:rPr>
      </w:pPr>
    </w:p>
    <w:p w14:paraId="715CC949" w14:textId="09CBE3C9" w:rsidR="004705C8" w:rsidRPr="004A0C12" w:rsidRDefault="004705C8" w:rsidP="004705C8">
      <w:pPr>
        <w:pStyle w:val="Normal1"/>
        <w:jc w:val="both"/>
        <w:rPr>
          <w:rFonts w:ascii="Garamond" w:eastAsia="Arial" w:hAnsi="Garamond"/>
          <w:color w:val="auto"/>
          <w:szCs w:val="22"/>
        </w:rPr>
      </w:pPr>
      <w:r w:rsidRPr="004A0C12">
        <w:rPr>
          <w:rFonts w:ascii="Garamond" w:eastAsia="Arial" w:hAnsi="Garamond"/>
          <w:color w:val="auto"/>
          <w:szCs w:val="22"/>
        </w:rPr>
        <w:t>Maryland supports agencies and community groups that serve high risk populations that are i</w:t>
      </w:r>
      <w:r w:rsidR="0006414C" w:rsidRPr="004A0C12">
        <w:rPr>
          <w:rFonts w:ascii="Garamond" w:eastAsia="Arial" w:hAnsi="Garamond"/>
          <w:color w:val="auto"/>
          <w:szCs w:val="22"/>
        </w:rPr>
        <w:t xml:space="preserve">n need of abstinence education. </w:t>
      </w:r>
      <w:r w:rsidRPr="004A0C12">
        <w:rPr>
          <w:rFonts w:ascii="Garamond" w:eastAsia="Arial" w:hAnsi="Garamond"/>
          <w:color w:val="auto"/>
          <w:szCs w:val="22"/>
        </w:rPr>
        <w:t xml:space="preserve">The goal is to prevent unintended pregnancy and sexually transmitted infections (STIs), including HIV/AIDS in youth ages 10-19 who meet the following criteria: </w:t>
      </w:r>
    </w:p>
    <w:p w14:paraId="6DEE491E" w14:textId="77777777" w:rsidR="0006414C" w:rsidRPr="004A0C12" w:rsidRDefault="0006414C" w:rsidP="004705C8">
      <w:pPr>
        <w:pStyle w:val="Normal1"/>
        <w:jc w:val="both"/>
        <w:rPr>
          <w:rFonts w:ascii="Garamond" w:hAnsi="Garamond"/>
          <w:color w:val="auto"/>
          <w:szCs w:val="22"/>
        </w:rPr>
      </w:pPr>
    </w:p>
    <w:p w14:paraId="0FA2EEE8" w14:textId="77777777" w:rsidR="004705C8" w:rsidRPr="004A0C12" w:rsidRDefault="004705C8" w:rsidP="00232F09">
      <w:pPr>
        <w:pStyle w:val="Normal1"/>
        <w:numPr>
          <w:ilvl w:val="0"/>
          <w:numId w:val="193"/>
        </w:numPr>
        <w:jc w:val="both"/>
        <w:rPr>
          <w:rFonts w:ascii="Garamond" w:hAnsi="Garamond"/>
          <w:color w:val="auto"/>
          <w:szCs w:val="22"/>
        </w:rPr>
      </w:pPr>
      <w:r w:rsidRPr="004A0C12">
        <w:rPr>
          <w:rFonts w:ascii="Garamond" w:eastAsia="Arial" w:hAnsi="Garamond"/>
          <w:color w:val="auto"/>
          <w:szCs w:val="22"/>
        </w:rPr>
        <w:t>Live in geographic areas with high teen birth rates;</w:t>
      </w:r>
    </w:p>
    <w:p w14:paraId="78B3F7A5" w14:textId="77777777" w:rsidR="004705C8" w:rsidRPr="004A0C12" w:rsidRDefault="004705C8" w:rsidP="00232F09">
      <w:pPr>
        <w:pStyle w:val="Normal1"/>
        <w:numPr>
          <w:ilvl w:val="0"/>
          <w:numId w:val="193"/>
        </w:numPr>
        <w:jc w:val="both"/>
        <w:rPr>
          <w:rFonts w:ascii="Garamond" w:hAnsi="Garamond"/>
          <w:color w:val="auto"/>
          <w:szCs w:val="22"/>
        </w:rPr>
      </w:pPr>
      <w:r w:rsidRPr="004A0C12">
        <w:rPr>
          <w:rFonts w:ascii="Garamond" w:eastAsia="Arial" w:hAnsi="Garamond"/>
          <w:color w:val="auto"/>
          <w:szCs w:val="22"/>
        </w:rPr>
        <w:t>Youth in or aging out of foster care or the juvenile justice system;</w:t>
      </w:r>
    </w:p>
    <w:p w14:paraId="2B306C14" w14:textId="3C3EBCF7" w:rsidR="004705C8" w:rsidRPr="004A0C12" w:rsidRDefault="0006414C" w:rsidP="00232F09">
      <w:pPr>
        <w:pStyle w:val="Normal1"/>
        <w:numPr>
          <w:ilvl w:val="0"/>
          <w:numId w:val="193"/>
        </w:numPr>
        <w:jc w:val="both"/>
        <w:rPr>
          <w:rFonts w:ascii="Garamond" w:hAnsi="Garamond"/>
          <w:color w:val="auto"/>
          <w:szCs w:val="22"/>
        </w:rPr>
      </w:pPr>
      <w:r w:rsidRPr="004A0C12">
        <w:rPr>
          <w:rFonts w:ascii="Garamond" w:eastAsia="Arial" w:hAnsi="Garamond"/>
          <w:color w:val="auto"/>
          <w:szCs w:val="22"/>
        </w:rPr>
        <w:t>Homeless, runaway, or Out-of-School Youth</w:t>
      </w:r>
      <w:r w:rsidR="004705C8" w:rsidRPr="004A0C12">
        <w:rPr>
          <w:rFonts w:ascii="Garamond" w:eastAsia="Arial" w:hAnsi="Garamond"/>
          <w:color w:val="auto"/>
          <w:szCs w:val="22"/>
        </w:rPr>
        <w:t xml:space="preserve">; </w:t>
      </w:r>
    </w:p>
    <w:p w14:paraId="7BAF0DC2" w14:textId="4DE4235A" w:rsidR="004705C8" w:rsidRPr="004A0C12" w:rsidRDefault="004705C8" w:rsidP="00232F09">
      <w:pPr>
        <w:pStyle w:val="Normal1"/>
        <w:numPr>
          <w:ilvl w:val="0"/>
          <w:numId w:val="193"/>
        </w:numPr>
        <w:jc w:val="both"/>
        <w:rPr>
          <w:rFonts w:ascii="Garamond" w:hAnsi="Garamond"/>
          <w:color w:val="auto"/>
          <w:szCs w:val="22"/>
        </w:rPr>
      </w:pPr>
      <w:r w:rsidRPr="004A0C12">
        <w:rPr>
          <w:rFonts w:ascii="Garamond" w:eastAsia="Arial" w:hAnsi="Garamond"/>
          <w:color w:val="auto"/>
          <w:szCs w:val="22"/>
        </w:rPr>
        <w:t>Pregnant or parenting youth;</w:t>
      </w:r>
      <w:r w:rsidR="0006414C" w:rsidRPr="004A0C12">
        <w:rPr>
          <w:rFonts w:ascii="Garamond" w:eastAsia="Arial" w:hAnsi="Garamond"/>
          <w:color w:val="auto"/>
          <w:szCs w:val="22"/>
        </w:rPr>
        <w:t xml:space="preserve"> and, </w:t>
      </w:r>
    </w:p>
    <w:p w14:paraId="05AFCB29" w14:textId="77777777" w:rsidR="004705C8" w:rsidRPr="004A0C12" w:rsidRDefault="004705C8" w:rsidP="00232F09">
      <w:pPr>
        <w:pStyle w:val="Normal1"/>
        <w:numPr>
          <w:ilvl w:val="0"/>
          <w:numId w:val="193"/>
        </w:numPr>
        <w:jc w:val="both"/>
        <w:rPr>
          <w:rFonts w:ascii="Garamond" w:hAnsi="Garamond"/>
          <w:color w:val="auto"/>
          <w:szCs w:val="22"/>
        </w:rPr>
      </w:pPr>
      <w:r w:rsidRPr="004A0C12">
        <w:rPr>
          <w:rFonts w:ascii="Garamond" w:eastAsia="Arial" w:hAnsi="Garamond"/>
          <w:color w:val="auto"/>
          <w:szCs w:val="22"/>
        </w:rPr>
        <w:t xml:space="preserve">Youth with HIV/AIDS. </w:t>
      </w:r>
    </w:p>
    <w:p w14:paraId="441184CA" w14:textId="77777777" w:rsidR="004705C8" w:rsidRPr="004A0C12" w:rsidRDefault="004705C8" w:rsidP="004705C8">
      <w:pPr>
        <w:pStyle w:val="Normal1"/>
        <w:ind w:left="720"/>
        <w:jc w:val="both"/>
        <w:rPr>
          <w:rFonts w:ascii="Garamond" w:hAnsi="Garamond"/>
          <w:color w:val="auto"/>
          <w:szCs w:val="22"/>
        </w:rPr>
      </w:pPr>
    </w:p>
    <w:p w14:paraId="6F200941" w14:textId="3700E5B0" w:rsidR="004705C8" w:rsidRPr="004A0C12" w:rsidRDefault="004705C8" w:rsidP="004705C8">
      <w:pPr>
        <w:pStyle w:val="Normal1"/>
        <w:jc w:val="both"/>
        <w:rPr>
          <w:rFonts w:ascii="Garamond" w:hAnsi="Garamond"/>
          <w:color w:val="auto"/>
          <w:szCs w:val="22"/>
        </w:rPr>
      </w:pPr>
      <w:r w:rsidRPr="004A0C12">
        <w:rPr>
          <w:rFonts w:ascii="Garamond" w:hAnsi="Garamond"/>
          <w:color w:val="auto"/>
          <w:szCs w:val="22"/>
        </w:rPr>
        <w:t>A</w:t>
      </w:r>
      <w:r w:rsidR="00EA7878" w:rsidRPr="004A0C12">
        <w:rPr>
          <w:rFonts w:ascii="Garamond" w:hAnsi="Garamond"/>
          <w:color w:val="auto"/>
          <w:szCs w:val="22"/>
        </w:rPr>
        <w:t>s part of the State’s</w:t>
      </w:r>
      <w:r w:rsidRPr="004A0C12">
        <w:rPr>
          <w:rFonts w:ascii="Garamond" w:hAnsi="Garamond"/>
          <w:color w:val="auto"/>
          <w:szCs w:val="22"/>
        </w:rPr>
        <w:t xml:space="preserve"> campai</w:t>
      </w:r>
      <w:r w:rsidR="0006414C" w:rsidRPr="004A0C12">
        <w:rPr>
          <w:rFonts w:ascii="Garamond" w:hAnsi="Garamond"/>
          <w:color w:val="auto"/>
          <w:szCs w:val="22"/>
        </w:rPr>
        <w:t>gn to reduce infant mortality, t</w:t>
      </w:r>
      <w:r w:rsidRPr="004A0C12">
        <w:rPr>
          <w:rFonts w:ascii="Garamond" w:hAnsi="Garamond"/>
          <w:color w:val="auto"/>
          <w:szCs w:val="22"/>
        </w:rPr>
        <w:t>he reduction of teen pregnancy means fewer infants are born who might die b</w:t>
      </w:r>
      <w:r w:rsidR="0006414C" w:rsidRPr="004A0C12">
        <w:rPr>
          <w:rFonts w:ascii="Garamond" w:hAnsi="Garamond"/>
          <w:color w:val="auto"/>
          <w:szCs w:val="22"/>
        </w:rPr>
        <w:t xml:space="preserve">efore they reach one year old. </w:t>
      </w:r>
      <w:r w:rsidRPr="004A0C12">
        <w:rPr>
          <w:rFonts w:ascii="Garamond" w:hAnsi="Garamond"/>
          <w:color w:val="auto"/>
          <w:szCs w:val="22"/>
        </w:rPr>
        <w:t>The goal is to reduce infant mortality by 10 percent by the end of calendar year 2017.</w:t>
      </w:r>
    </w:p>
    <w:p w14:paraId="3B0FF494" w14:textId="77777777" w:rsidR="004705C8" w:rsidRPr="004A0C12" w:rsidRDefault="004705C8" w:rsidP="004705C8">
      <w:pPr>
        <w:pStyle w:val="Normal1"/>
        <w:ind w:left="720"/>
        <w:jc w:val="both"/>
        <w:rPr>
          <w:rFonts w:ascii="Garamond" w:hAnsi="Garamond"/>
          <w:color w:val="auto"/>
          <w:szCs w:val="22"/>
        </w:rPr>
      </w:pPr>
    </w:p>
    <w:p w14:paraId="6E26B63E" w14:textId="77777777" w:rsidR="004705C8" w:rsidRPr="004A0C12" w:rsidRDefault="004705C8" w:rsidP="00232F09">
      <w:pPr>
        <w:pStyle w:val="Normal1"/>
        <w:numPr>
          <w:ilvl w:val="1"/>
          <w:numId w:val="170"/>
        </w:numPr>
        <w:ind w:left="720" w:hanging="360"/>
        <w:contextualSpacing/>
        <w:jc w:val="both"/>
        <w:rPr>
          <w:rFonts w:ascii="Garamond" w:eastAsia="Arial" w:hAnsi="Garamond"/>
          <w:color w:val="auto"/>
          <w:szCs w:val="22"/>
        </w:rPr>
      </w:pPr>
      <w:r w:rsidRPr="004A0C12">
        <w:rPr>
          <w:rFonts w:ascii="Garamond" w:eastAsia="Arial" w:hAnsi="Garamond"/>
          <w:b/>
          <w:color w:val="auto"/>
          <w:szCs w:val="22"/>
        </w:rPr>
        <w:t>Implement policies and procedures as necessary to prevent access to assistance provided under the State program funded under this part through any electronic fund transaction in an automated teller machine or point-of-sale device located in a place described in section 408(a)(12), including a plan to ensure that recipients of the assistance have adequate access to their cash assistance (section 402(a)(1)(A)(vii) of the Social Security Act)</w:t>
      </w:r>
    </w:p>
    <w:p w14:paraId="5E2A589D" w14:textId="77777777" w:rsidR="004705C8" w:rsidRPr="004A0C12" w:rsidRDefault="004705C8" w:rsidP="004705C8">
      <w:pPr>
        <w:pStyle w:val="Normal1"/>
        <w:keepNext/>
        <w:jc w:val="both"/>
        <w:rPr>
          <w:rFonts w:ascii="Garamond" w:hAnsi="Garamond"/>
          <w:color w:val="auto"/>
          <w:szCs w:val="22"/>
        </w:rPr>
      </w:pPr>
    </w:p>
    <w:p w14:paraId="1996750D" w14:textId="2A0C8C8D" w:rsidR="004705C8" w:rsidRPr="004A0C12" w:rsidRDefault="004705C8" w:rsidP="004705C8">
      <w:pPr>
        <w:pStyle w:val="Normal1"/>
        <w:keepNext/>
        <w:jc w:val="both"/>
        <w:rPr>
          <w:rFonts w:ascii="Garamond" w:hAnsi="Garamond"/>
          <w:color w:val="auto"/>
          <w:szCs w:val="22"/>
        </w:rPr>
      </w:pPr>
      <w:r w:rsidRPr="004A0C12">
        <w:rPr>
          <w:rFonts w:ascii="Garamond" w:eastAsia="Arial" w:hAnsi="Garamond"/>
          <w:color w:val="auto"/>
          <w:szCs w:val="22"/>
        </w:rPr>
        <w:t>Maryland’s DHR operates an electronic ben</w:t>
      </w:r>
      <w:r w:rsidR="0006414C" w:rsidRPr="004A0C12">
        <w:rPr>
          <w:rFonts w:ascii="Garamond" w:eastAsia="Arial" w:hAnsi="Garamond"/>
          <w:color w:val="auto"/>
          <w:szCs w:val="22"/>
        </w:rPr>
        <w:t>efits transfer system</w:t>
      </w:r>
      <w:r w:rsidR="00592908" w:rsidRPr="004A0C12">
        <w:rPr>
          <w:rFonts w:ascii="Garamond" w:eastAsia="Arial" w:hAnsi="Garamond"/>
          <w:color w:val="auto"/>
          <w:szCs w:val="22"/>
        </w:rPr>
        <w:t xml:space="preserve"> under agreement with the United States</w:t>
      </w:r>
      <w:r w:rsidRPr="004A0C12">
        <w:rPr>
          <w:rFonts w:ascii="Garamond" w:eastAsia="Arial" w:hAnsi="Garamond"/>
          <w:color w:val="auto"/>
          <w:szCs w:val="22"/>
        </w:rPr>
        <w:t xml:space="preserve"> Department of Health and Hum</w:t>
      </w:r>
      <w:r w:rsidR="00592908" w:rsidRPr="004A0C12">
        <w:rPr>
          <w:rFonts w:ascii="Garamond" w:eastAsia="Arial" w:hAnsi="Garamond"/>
          <w:color w:val="auto"/>
          <w:szCs w:val="22"/>
        </w:rPr>
        <w:t>an Services and pursuant to United States</w:t>
      </w:r>
      <w:r w:rsidRPr="004A0C12">
        <w:rPr>
          <w:rFonts w:ascii="Garamond" w:eastAsia="Arial" w:hAnsi="Garamond"/>
          <w:color w:val="auto"/>
          <w:szCs w:val="22"/>
        </w:rPr>
        <w:t xml:space="preserve"> Departm</w:t>
      </w:r>
      <w:r w:rsidR="0006414C" w:rsidRPr="004A0C12">
        <w:rPr>
          <w:rFonts w:ascii="Garamond" w:eastAsia="Arial" w:hAnsi="Garamond"/>
          <w:color w:val="auto"/>
          <w:szCs w:val="22"/>
        </w:rPr>
        <w:t>ent of Agriculture regulations.</w:t>
      </w:r>
      <w:r w:rsidRPr="004A0C12">
        <w:rPr>
          <w:rFonts w:ascii="Garamond" w:eastAsia="Arial" w:hAnsi="Garamond"/>
          <w:color w:val="auto"/>
          <w:szCs w:val="22"/>
        </w:rPr>
        <w:t xml:space="preserve"> A</w:t>
      </w:r>
      <w:r w:rsidR="0006414C" w:rsidRPr="004A0C12">
        <w:rPr>
          <w:rFonts w:ascii="Garamond" w:eastAsia="Arial" w:hAnsi="Garamond"/>
          <w:color w:val="auto"/>
          <w:szCs w:val="22"/>
        </w:rPr>
        <w:t xml:space="preserve"> TCA grant is typically paid via the electronic benefits transfer system</w:t>
      </w:r>
      <w:r w:rsidRPr="004A0C12">
        <w:rPr>
          <w:rFonts w:ascii="Garamond" w:eastAsia="Arial" w:hAnsi="Garamond"/>
          <w:color w:val="auto"/>
          <w:szCs w:val="22"/>
        </w:rPr>
        <w:t>. The Middle Class Tax Relief and Jo</w:t>
      </w:r>
      <w:r w:rsidR="0006414C" w:rsidRPr="004A0C12">
        <w:rPr>
          <w:rFonts w:ascii="Garamond" w:eastAsia="Arial" w:hAnsi="Garamond"/>
          <w:color w:val="auto"/>
          <w:szCs w:val="22"/>
        </w:rPr>
        <w:t>b Creation Act of 2012</w:t>
      </w:r>
      <w:r w:rsidRPr="004A0C12">
        <w:rPr>
          <w:rFonts w:ascii="Garamond" w:eastAsia="Arial" w:hAnsi="Garamond"/>
          <w:color w:val="auto"/>
          <w:szCs w:val="22"/>
        </w:rPr>
        <w:t> (P.L. 112-96)</w:t>
      </w:r>
      <w:r w:rsidR="0006414C" w:rsidRPr="004A0C12">
        <w:rPr>
          <w:rFonts w:ascii="Garamond" w:eastAsia="Arial" w:hAnsi="Garamond"/>
          <w:color w:val="auto"/>
          <w:szCs w:val="22"/>
        </w:rPr>
        <w:t>,</w:t>
      </w:r>
      <w:r w:rsidRPr="004A0C12">
        <w:rPr>
          <w:rFonts w:ascii="Garamond" w:eastAsia="Arial" w:hAnsi="Garamond"/>
          <w:color w:val="auto"/>
          <w:szCs w:val="22"/>
        </w:rPr>
        <w:t xml:space="preserve"> provides that individuals and families who are receiving federally funded cash assistance may not use an electronic benefits transfer card for any purpose at a liquor store, adult entertainment venue</w:t>
      </w:r>
      <w:r w:rsidR="0006414C" w:rsidRPr="004A0C12">
        <w:rPr>
          <w:rFonts w:ascii="Garamond" w:eastAsia="Arial" w:hAnsi="Garamond"/>
          <w:color w:val="auto"/>
          <w:szCs w:val="22"/>
        </w:rPr>
        <w:t xml:space="preserve">, or gambling casino. </w:t>
      </w:r>
      <w:r w:rsidRPr="004A0C12">
        <w:rPr>
          <w:rFonts w:ascii="Garamond" w:eastAsia="Arial" w:hAnsi="Garamond"/>
          <w:color w:val="auto"/>
          <w:szCs w:val="22"/>
        </w:rPr>
        <w:t>The State of Maryland provides penalties for non-compliance with program requirements that include the suspension of the use of th</w:t>
      </w:r>
      <w:r w:rsidR="0006414C" w:rsidRPr="004A0C12">
        <w:rPr>
          <w:rFonts w:ascii="Garamond" w:eastAsia="Arial" w:hAnsi="Garamond"/>
          <w:color w:val="auto"/>
          <w:szCs w:val="22"/>
        </w:rPr>
        <w:t>e cash access portion of the</w:t>
      </w:r>
      <w:r w:rsidRPr="004A0C12">
        <w:rPr>
          <w:rFonts w:ascii="Garamond" w:eastAsia="Arial" w:hAnsi="Garamond"/>
          <w:color w:val="auto"/>
          <w:szCs w:val="22"/>
        </w:rPr>
        <w:t xml:space="preserve"> card for specific time periods. </w:t>
      </w:r>
    </w:p>
    <w:p w14:paraId="3C152A6C" w14:textId="77777777" w:rsidR="004705C8" w:rsidRPr="004A0C12" w:rsidRDefault="004705C8" w:rsidP="004705C8">
      <w:pPr>
        <w:pStyle w:val="Normal1"/>
        <w:jc w:val="both"/>
        <w:rPr>
          <w:rFonts w:ascii="Garamond" w:hAnsi="Garamond"/>
          <w:szCs w:val="22"/>
        </w:rPr>
      </w:pPr>
    </w:p>
    <w:p w14:paraId="13093BA4" w14:textId="046D9567" w:rsidR="004705C8" w:rsidRPr="004A0C12" w:rsidRDefault="004705C8" w:rsidP="004705C8">
      <w:pPr>
        <w:pStyle w:val="Normal1"/>
        <w:jc w:val="both"/>
        <w:rPr>
          <w:rFonts w:ascii="Garamond" w:hAnsi="Garamond"/>
          <w:color w:val="auto"/>
          <w:szCs w:val="22"/>
        </w:rPr>
      </w:pPr>
      <w:r w:rsidRPr="004A0C12">
        <w:rPr>
          <w:rFonts w:ascii="Garamond" w:eastAsia="Arial" w:hAnsi="Garamond"/>
          <w:color w:val="auto"/>
          <w:szCs w:val="22"/>
        </w:rPr>
        <w:t xml:space="preserve">Effective October 1, 2014, all </w:t>
      </w:r>
      <w:r w:rsidR="0006414C" w:rsidRPr="004A0C12">
        <w:rPr>
          <w:rFonts w:ascii="Garamond" w:eastAsia="Arial" w:hAnsi="Garamond"/>
          <w:color w:val="auto"/>
          <w:szCs w:val="22"/>
        </w:rPr>
        <w:t xml:space="preserve">TCA </w:t>
      </w:r>
      <w:r w:rsidRPr="004A0C12">
        <w:rPr>
          <w:rFonts w:ascii="Garamond" w:eastAsia="Arial" w:hAnsi="Garamond"/>
          <w:color w:val="auto"/>
          <w:szCs w:val="22"/>
        </w:rPr>
        <w:t>applicants and recipients are required to sign an acknowledgement that they understand the proh</w:t>
      </w:r>
      <w:r w:rsidR="0006414C" w:rsidRPr="004A0C12">
        <w:rPr>
          <w:rFonts w:ascii="Garamond" w:eastAsia="Arial" w:hAnsi="Garamond"/>
          <w:color w:val="auto"/>
          <w:szCs w:val="22"/>
        </w:rPr>
        <w:t xml:space="preserve">ibition against using their electronic benefits transfer </w:t>
      </w:r>
      <w:r w:rsidRPr="004A0C12">
        <w:rPr>
          <w:rFonts w:ascii="Garamond" w:eastAsia="Arial" w:hAnsi="Garamond"/>
          <w:color w:val="auto"/>
          <w:szCs w:val="22"/>
        </w:rPr>
        <w:t>cards at an establishment whose primary purpose is gambling, the sale of liquor</w:t>
      </w:r>
      <w:r w:rsidR="0006414C" w:rsidRPr="004A0C12">
        <w:rPr>
          <w:rFonts w:ascii="Garamond" w:eastAsia="Arial" w:hAnsi="Garamond"/>
          <w:color w:val="auto"/>
          <w:szCs w:val="22"/>
        </w:rPr>
        <w:t>,</w:t>
      </w:r>
      <w:r w:rsidRPr="004A0C12">
        <w:rPr>
          <w:rFonts w:ascii="Garamond" w:eastAsia="Arial" w:hAnsi="Garamond"/>
          <w:color w:val="auto"/>
          <w:szCs w:val="22"/>
        </w:rPr>
        <w:t xml:space="preserve"> or an adult entertainment venue where individuals or groups disrobe for an audience.</w:t>
      </w:r>
    </w:p>
    <w:p w14:paraId="6441C437" w14:textId="77777777" w:rsidR="004705C8" w:rsidRPr="004A0C12" w:rsidRDefault="004705C8" w:rsidP="004705C8">
      <w:pPr>
        <w:pStyle w:val="Normal1"/>
        <w:jc w:val="both"/>
        <w:rPr>
          <w:rFonts w:ascii="Garamond" w:hAnsi="Garamond"/>
          <w:color w:val="auto"/>
          <w:szCs w:val="22"/>
        </w:rPr>
      </w:pPr>
    </w:p>
    <w:p w14:paraId="4A115051" w14:textId="2A87F348" w:rsidR="004705C8" w:rsidRPr="004A0C12" w:rsidRDefault="004705C8" w:rsidP="004705C8">
      <w:pPr>
        <w:pStyle w:val="Normal1"/>
        <w:jc w:val="both"/>
        <w:rPr>
          <w:rFonts w:ascii="Garamond" w:hAnsi="Garamond"/>
          <w:color w:val="auto"/>
          <w:szCs w:val="22"/>
        </w:rPr>
      </w:pPr>
      <w:r w:rsidRPr="004A0C12">
        <w:rPr>
          <w:rFonts w:ascii="Garamond" w:eastAsia="Arial" w:hAnsi="Garamond"/>
          <w:color w:val="auto"/>
          <w:szCs w:val="22"/>
        </w:rPr>
        <w:t>Customers who violate the pro</w:t>
      </w:r>
      <w:r w:rsidR="0006414C" w:rsidRPr="004A0C12">
        <w:rPr>
          <w:rFonts w:ascii="Garamond" w:eastAsia="Arial" w:hAnsi="Garamond"/>
          <w:color w:val="auto"/>
          <w:szCs w:val="22"/>
        </w:rPr>
        <w:t>hibition against using their</w:t>
      </w:r>
      <w:r w:rsidRPr="004A0C12">
        <w:rPr>
          <w:rFonts w:ascii="Garamond" w:eastAsia="Arial" w:hAnsi="Garamond"/>
          <w:color w:val="auto"/>
          <w:szCs w:val="22"/>
        </w:rPr>
        <w:t xml:space="preserve"> cards at unauthorized locations will receive a warning notice that a subsequent violation ma</w:t>
      </w:r>
      <w:r w:rsidR="0006414C" w:rsidRPr="004A0C12">
        <w:rPr>
          <w:rFonts w:ascii="Garamond" w:eastAsia="Arial" w:hAnsi="Garamond"/>
          <w:color w:val="auto"/>
          <w:szCs w:val="22"/>
        </w:rPr>
        <w:t>y result in the use of their electronic benefits transfer</w:t>
      </w:r>
      <w:r w:rsidRPr="004A0C12">
        <w:rPr>
          <w:rFonts w:ascii="Garamond" w:eastAsia="Arial" w:hAnsi="Garamond"/>
          <w:color w:val="auto"/>
          <w:szCs w:val="22"/>
        </w:rPr>
        <w:t xml:space="preserve"> card</w:t>
      </w:r>
      <w:r w:rsidR="0006414C" w:rsidRPr="004A0C12">
        <w:rPr>
          <w:rFonts w:ascii="Garamond" w:eastAsia="Arial" w:hAnsi="Garamond"/>
          <w:color w:val="auto"/>
          <w:szCs w:val="22"/>
        </w:rPr>
        <w:t>s</w:t>
      </w:r>
      <w:r w:rsidRPr="004A0C12">
        <w:rPr>
          <w:rFonts w:ascii="Garamond" w:eastAsia="Arial" w:hAnsi="Garamond"/>
          <w:color w:val="auto"/>
          <w:szCs w:val="22"/>
        </w:rPr>
        <w:t xml:space="preserve"> for cash assis</w:t>
      </w:r>
      <w:r w:rsidR="0006414C" w:rsidRPr="004A0C12">
        <w:rPr>
          <w:rFonts w:ascii="Garamond" w:eastAsia="Arial" w:hAnsi="Garamond"/>
          <w:color w:val="auto"/>
          <w:szCs w:val="22"/>
        </w:rPr>
        <w:t>tance benefits being suspended.</w:t>
      </w:r>
      <w:r w:rsidRPr="004A0C12">
        <w:rPr>
          <w:rFonts w:ascii="Garamond" w:eastAsia="Arial" w:hAnsi="Garamond"/>
          <w:color w:val="auto"/>
          <w:szCs w:val="22"/>
        </w:rPr>
        <w:t xml:space="preserve"> Customers who have twice violated Federal law and State policy prohibiting the use of EBT cards at unauthorized locations will no longer have their cash assista</w:t>
      </w:r>
      <w:r w:rsidR="0006414C" w:rsidRPr="004A0C12">
        <w:rPr>
          <w:rFonts w:ascii="Garamond" w:eastAsia="Arial" w:hAnsi="Garamond"/>
          <w:color w:val="auto"/>
          <w:szCs w:val="22"/>
        </w:rPr>
        <w:t xml:space="preserve">nce payments put onto their electronic benefits transfer cards. </w:t>
      </w:r>
      <w:r w:rsidRPr="004A0C12">
        <w:rPr>
          <w:rFonts w:ascii="Garamond" w:eastAsia="Arial" w:hAnsi="Garamond"/>
          <w:color w:val="auto"/>
          <w:szCs w:val="22"/>
        </w:rPr>
        <w:t>While the cards will still be active for use at Food Supplement Program</w:t>
      </w:r>
      <w:r w:rsidR="0006414C" w:rsidRPr="004A0C12">
        <w:rPr>
          <w:rFonts w:ascii="Garamond" w:eastAsia="Arial" w:hAnsi="Garamond"/>
          <w:color w:val="auto"/>
          <w:szCs w:val="22"/>
        </w:rPr>
        <w:t xml:space="preserve"> retailers for those recipients, DHR</w:t>
      </w:r>
      <w:r w:rsidRPr="004A0C12">
        <w:rPr>
          <w:rFonts w:ascii="Garamond" w:eastAsia="Arial" w:hAnsi="Garamond"/>
          <w:color w:val="auto"/>
          <w:szCs w:val="22"/>
        </w:rPr>
        <w:t xml:space="preserve"> will deliver cash assistance payments by direct deposit, </w:t>
      </w:r>
      <w:r w:rsidR="0006414C" w:rsidRPr="004A0C12">
        <w:rPr>
          <w:rFonts w:ascii="Garamond" w:eastAsia="Arial" w:hAnsi="Garamond"/>
          <w:color w:val="auto"/>
          <w:szCs w:val="22"/>
        </w:rPr>
        <w:t xml:space="preserve">or check. Suspension of the </w:t>
      </w:r>
      <w:r w:rsidRPr="004A0C12">
        <w:rPr>
          <w:rFonts w:ascii="Garamond" w:eastAsia="Arial" w:hAnsi="Garamond"/>
          <w:color w:val="auto"/>
          <w:szCs w:val="22"/>
        </w:rPr>
        <w:t xml:space="preserve">card for cash benefits is for a minimum of one year for the second violation and permanently for </w:t>
      </w:r>
      <w:r w:rsidR="0006414C" w:rsidRPr="004A0C12">
        <w:rPr>
          <w:rFonts w:ascii="Garamond" w:eastAsia="Arial" w:hAnsi="Garamond"/>
          <w:color w:val="auto"/>
          <w:szCs w:val="22"/>
        </w:rPr>
        <w:t>a subsequent violation after electronic benefits transfer</w:t>
      </w:r>
      <w:r w:rsidRPr="004A0C12">
        <w:rPr>
          <w:rFonts w:ascii="Garamond" w:eastAsia="Arial" w:hAnsi="Garamond"/>
          <w:color w:val="auto"/>
          <w:szCs w:val="22"/>
        </w:rPr>
        <w:t xml:space="preserve"> use has been reinstated.</w:t>
      </w:r>
    </w:p>
    <w:p w14:paraId="15430134" w14:textId="77777777" w:rsidR="004705C8" w:rsidRPr="004A0C12" w:rsidRDefault="004705C8" w:rsidP="004705C8">
      <w:pPr>
        <w:pStyle w:val="Normal1"/>
        <w:ind w:left="720"/>
        <w:jc w:val="both"/>
        <w:rPr>
          <w:rFonts w:ascii="Garamond" w:hAnsi="Garamond"/>
          <w:color w:val="auto"/>
          <w:szCs w:val="22"/>
        </w:rPr>
      </w:pPr>
    </w:p>
    <w:p w14:paraId="4691F032" w14:textId="77777777" w:rsidR="004705C8" w:rsidRPr="004A0C12" w:rsidRDefault="004705C8" w:rsidP="00232F09">
      <w:pPr>
        <w:pStyle w:val="Normal1"/>
        <w:numPr>
          <w:ilvl w:val="1"/>
          <w:numId w:val="170"/>
        </w:numPr>
        <w:tabs>
          <w:tab w:val="left" w:pos="720"/>
        </w:tabs>
        <w:ind w:left="720" w:hanging="360"/>
        <w:contextualSpacing/>
        <w:jc w:val="both"/>
        <w:rPr>
          <w:rFonts w:ascii="Garamond" w:eastAsia="Arial" w:hAnsi="Garamond"/>
          <w:color w:val="auto"/>
          <w:szCs w:val="22"/>
        </w:rPr>
      </w:pPr>
      <w:r w:rsidRPr="004A0C12">
        <w:rPr>
          <w:rFonts w:ascii="Garamond" w:eastAsia="Arial" w:hAnsi="Garamond"/>
          <w:b/>
          <w:color w:val="auto"/>
          <w:szCs w:val="22"/>
        </w:rPr>
        <w:t>Ensure that recipients of assistance provided under the State program funded under this part have the ability to use or withdraw assistance with minimal fees or charges, including an opportunity to access assistance with no fee or charges, and are provided information on applicable fees and surcharges that apply to electronic fund transactions involving the assistance, and that such information is made publicly available (section 402(a)(1)(A)(viii) of the Social Security Act)</w:t>
      </w:r>
    </w:p>
    <w:p w14:paraId="67B892DE" w14:textId="77777777" w:rsidR="004705C8" w:rsidRPr="004A0C12" w:rsidRDefault="004705C8" w:rsidP="004705C8">
      <w:pPr>
        <w:pStyle w:val="Normal1"/>
        <w:tabs>
          <w:tab w:val="left" w:pos="720"/>
        </w:tabs>
        <w:jc w:val="both"/>
        <w:rPr>
          <w:rFonts w:ascii="Garamond" w:hAnsi="Garamond"/>
          <w:color w:val="auto"/>
          <w:szCs w:val="22"/>
        </w:rPr>
      </w:pPr>
    </w:p>
    <w:p w14:paraId="2EE72D49" w14:textId="28BC3084" w:rsidR="004705C8" w:rsidRPr="004A0C12" w:rsidRDefault="004705C8" w:rsidP="004705C8">
      <w:pPr>
        <w:pStyle w:val="Normal1"/>
        <w:jc w:val="both"/>
        <w:rPr>
          <w:rFonts w:ascii="Garamond" w:hAnsi="Garamond"/>
          <w:color w:val="auto"/>
          <w:szCs w:val="22"/>
        </w:rPr>
      </w:pPr>
      <w:r w:rsidRPr="004A0C12">
        <w:rPr>
          <w:rFonts w:ascii="Garamond" w:eastAsia="Arial" w:hAnsi="Garamond"/>
          <w:color w:val="auto"/>
          <w:szCs w:val="22"/>
        </w:rPr>
        <w:lastRenderedPageBreak/>
        <w:t xml:space="preserve">Individuals and families may incur fees and charges when withdrawing funds from </w:t>
      </w:r>
      <w:r w:rsidR="00940091" w:rsidRPr="004A0C12">
        <w:rPr>
          <w:rFonts w:ascii="Garamond" w:eastAsia="Arial" w:hAnsi="Garamond"/>
          <w:color w:val="auto"/>
          <w:szCs w:val="22"/>
        </w:rPr>
        <w:t>ATMs</w:t>
      </w:r>
      <w:r w:rsidRPr="004A0C12">
        <w:rPr>
          <w:rFonts w:ascii="Garamond" w:eastAsia="Arial" w:hAnsi="Garamond"/>
          <w:color w:val="auto"/>
          <w:szCs w:val="22"/>
        </w:rPr>
        <w:t xml:space="preserve"> that are not </w:t>
      </w:r>
      <w:r w:rsidR="00940091" w:rsidRPr="004A0C12">
        <w:rPr>
          <w:rFonts w:ascii="Garamond" w:eastAsia="Arial" w:hAnsi="Garamond"/>
          <w:color w:val="auto"/>
          <w:szCs w:val="22"/>
        </w:rPr>
        <w:t xml:space="preserve">in the State vendor’s network. </w:t>
      </w:r>
      <w:r w:rsidRPr="004A0C12">
        <w:rPr>
          <w:rFonts w:ascii="Garamond" w:eastAsia="Arial" w:hAnsi="Garamond"/>
          <w:color w:val="auto"/>
          <w:szCs w:val="22"/>
        </w:rPr>
        <w:t>DHR will provide customers with recommendations on how to access funds in a way that minimizes ATM fees or additional surcharges</w:t>
      </w:r>
      <w:r w:rsidR="00940091" w:rsidRPr="004A0C12">
        <w:rPr>
          <w:rFonts w:ascii="Garamond" w:eastAsia="Arial" w:hAnsi="Garamond"/>
          <w:color w:val="auto"/>
          <w:szCs w:val="22"/>
        </w:rPr>
        <w:t>,</w:t>
      </w:r>
      <w:r w:rsidRPr="004A0C12">
        <w:rPr>
          <w:rFonts w:ascii="Garamond" w:eastAsia="Arial" w:hAnsi="Garamond"/>
          <w:color w:val="auto"/>
          <w:szCs w:val="22"/>
        </w:rPr>
        <w:t xml:space="preserve"> such as using ATMs that do not charge a usage fee, or using the ATMs from the </w:t>
      </w:r>
      <w:r w:rsidR="00940091" w:rsidRPr="004A0C12">
        <w:rPr>
          <w:rFonts w:ascii="Garamond" w:eastAsia="Arial" w:hAnsi="Garamond"/>
          <w:color w:val="auto"/>
          <w:szCs w:val="22"/>
        </w:rPr>
        <w:t>State vendor who manages the electronic benefits transfer funds accounts. D</w:t>
      </w:r>
      <w:r w:rsidRPr="004A0C12">
        <w:rPr>
          <w:rFonts w:ascii="Garamond" w:eastAsia="Arial" w:hAnsi="Garamond"/>
          <w:color w:val="auto"/>
          <w:szCs w:val="22"/>
        </w:rPr>
        <w:t>HR will continue to explore additional methods of reducing fees for customers and provide them with notifications via the DHR website where a link to the information will be available. In addition, information will be provided in the local departments of social servic</w:t>
      </w:r>
      <w:r w:rsidR="00940091" w:rsidRPr="004A0C12">
        <w:rPr>
          <w:rFonts w:ascii="Garamond" w:eastAsia="Arial" w:hAnsi="Garamond"/>
          <w:color w:val="auto"/>
          <w:szCs w:val="22"/>
        </w:rPr>
        <w:t xml:space="preserve">es. </w:t>
      </w:r>
      <w:r w:rsidRPr="004A0C12">
        <w:rPr>
          <w:rFonts w:ascii="Garamond" w:eastAsia="Arial" w:hAnsi="Garamond"/>
          <w:color w:val="auto"/>
          <w:szCs w:val="22"/>
        </w:rPr>
        <w:t>If families or individuals are unable t</w:t>
      </w:r>
      <w:r w:rsidR="00940091" w:rsidRPr="004A0C12">
        <w:rPr>
          <w:rFonts w:ascii="Garamond" w:eastAsia="Arial" w:hAnsi="Garamond"/>
          <w:color w:val="auto"/>
          <w:szCs w:val="22"/>
        </w:rPr>
        <w:t>o access TCA benefits due to card</w:t>
      </w:r>
      <w:r w:rsidRPr="004A0C12">
        <w:rPr>
          <w:rFonts w:ascii="Garamond" w:eastAsia="Arial" w:hAnsi="Garamond"/>
          <w:color w:val="auto"/>
          <w:szCs w:val="22"/>
        </w:rPr>
        <w:t xml:space="preserve"> restrictions</w:t>
      </w:r>
      <w:r w:rsidR="00940091" w:rsidRPr="004A0C12">
        <w:rPr>
          <w:rFonts w:ascii="Garamond" w:eastAsia="Arial" w:hAnsi="Garamond"/>
          <w:color w:val="auto"/>
          <w:szCs w:val="22"/>
        </w:rPr>
        <w:t>,</w:t>
      </w:r>
      <w:r w:rsidRPr="004A0C12">
        <w:rPr>
          <w:rFonts w:ascii="Garamond" w:eastAsia="Arial" w:hAnsi="Garamond"/>
          <w:color w:val="auto"/>
          <w:szCs w:val="22"/>
        </w:rPr>
        <w:t xml:space="preserve"> DHR will advise them of other payment options available including mailing a paper check or direct deposit into the customer’s checking or savings account. </w:t>
      </w:r>
    </w:p>
    <w:p w14:paraId="75C10CCD" w14:textId="77777777" w:rsidR="004705C8" w:rsidRPr="004A0C12" w:rsidRDefault="004705C8" w:rsidP="004705C8">
      <w:pPr>
        <w:pStyle w:val="Normal1"/>
        <w:tabs>
          <w:tab w:val="left" w:pos="720"/>
        </w:tabs>
        <w:jc w:val="both"/>
        <w:rPr>
          <w:rFonts w:ascii="Garamond" w:hAnsi="Garamond"/>
          <w:color w:val="auto"/>
          <w:szCs w:val="22"/>
        </w:rPr>
      </w:pPr>
    </w:p>
    <w:p w14:paraId="666DBB17" w14:textId="39DD6575" w:rsidR="004705C8" w:rsidRPr="004A0C12" w:rsidRDefault="004705C8" w:rsidP="00232F09">
      <w:pPr>
        <w:pStyle w:val="Normal1"/>
        <w:numPr>
          <w:ilvl w:val="1"/>
          <w:numId w:val="170"/>
        </w:numPr>
        <w:tabs>
          <w:tab w:val="left" w:pos="720"/>
        </w:tabs>
        <w:ind w:left="720" w:hanging="360"/>
        <w:contextualSpacing/>
        <w:jc w:val="both"/>
        <w:rPr>
          <w:rFonts w:ascii="Garamond" w:eastAsia="Arial" w:hAnsi="Garamond"/>
          <w:color w:val="auto"/>
          <w:szCs w:val="22"/>
        </w:rPr>
      </w:pPr>
      <w:r w:rsidRPr="004A0C12">
        <w:rPr>
          <w:rFonts w:ascii="Garamond" w:eastAsia="Arial" w:hAnsi="Garamond"/>
          <w:b/>
          <w:color w:val="auto"/>
          <w:szCs w:val="22"/>
        </w:rPr>
        <w:t xml:space="preserve">Indicate whether it intends to treat families moving from another State differently from other families under the program, and if so how (section 402(a)(1)(B)(i) of the Social Security Act) </w:t>
      </w:r>
    </w:p>
    <w:p w14:paraId="7D8A118B" w14:textId="77777777" w:rsidR="00940091" w:rsidRPr="004A0C12" w:rsidRDefault="00940091" w:rsidP="00940091">
      <w:pPr>
        <w:pStyle w:val="Normal1"/>
        <w:tabs>
          <w:tab w:val="left" w:pos="720"/>
        </w:tabs>
        <w:ind w:left="720"/>
        <w:contextualSpacing/>
        <w:jc w:val="both"/>
        <w:rPr>
          <w:rFonts w:ascii="Garamond" w:eastAsia="Arial" w:hAnsi="Garamond"/>
          <w:color w:val="auto"/>
          <w:szCs w:val="22"/>
        </w:rPr>
      </w:pPr>
    </w:p>
    <w:p w14:paraId="1AAF5F3D" w14:textId="2793C798" w:rsidR="004705C8" w:rsidRPr="004A0C12" w:rsidRDefault="004705C8" w:rsidP="004705C8">
      <w:pPr>
        <w:pStyle w:val="Normal1"/>
        <w:jc w:val="both"/>
        <w:rPr>
          <w:rFonts w:ascii="Garamond" w:hAnsi="Garamond"/>
          <w:color w:val="auto"/>
          <w:szCs w:val="22"/>
        </w:rPr>
      </w:pPr>
      <w:r w:rsidRPr="004A0C12">
        <w:rPr>
          <w:rFonts w:ascii="Garamond" w:eastAsia="Arial" w:hAnsi="Garamond"/>
          <w:color w:val="auto"/>
          <w:szCs w:val="22"/>
        </w:rPr>
        <w:t>Families moving into Maryland from another state will be treated no differently than any oth</w:t>
      </w:r>
      <w:r w:rsidR="00940091" w:rsidRPr="004A0C12">
        <w:rPr>
          <w:rFonts w:ascii="Garamond" w:eastAsia="Arial" w:hAnsi="Garamond"/>
          <w:color w:val="auto"/>
          <w:szCs w:val="22"/>
        </w:rPr>
        <w:t>er family residing in Maryland.</w:t>
      </w:r>
      <w:r w:rsidRPr="004A0C12">
        <w:rPr>
          <w:rFonts w:ascii="Garamond" w:eastAsia="Arial" w:hAnsi="Garamond"/>
          <w:color w:val="auto"/>
          <w:szCs w:val="22"/>
        </w:rPr>
        <w:t xml:space="preserve"> The number of months of TANF used by residents of another state who move to Maryland will be counted in the number of months of TCA received.</w:t>
      </w:r>
    </w:p>
    <w:p w14:paraId="54E560A1" w14:textId="77777777" w:rsidR="004705C8" w:rsidRPr="004A0C12" w:rsidRDefault="004705C8" w:rsidP="004705C8">
      <w:pPr>
        <w:pStyle w:val="Normal1"/>
        <w:tabs>
          <w:tab w:val="left" w:pos="720"/>
        </w:tabs>
        <w:jc w:val="both"/>
        <w:rPr>
          <w:rFonts w:ascii="Garamond" w:hAnsi="Garamond"/>
          <w:color w:val="auto"/>
          <w:szCs w:val="22"/>
        </w:rPr>
      </w:pPr>
    </w:p>
    <w:p w14:paraId="7EB8E68A" w14:textId="77777777" w:rsidR="004705C8" w:rsidRPr="004A0C12" w:rsidRDefault="004705C8" w:rsidP="00232F09">
      <w:pPr>
        <w:pStyle w:val="Normal1"/>
        <w:numPr>
          <w:ilvl w:val="1"/>
          <w:numId w:val="170"/>
        </w:numPr>
        <w:tabs>
          <w:tab w:val="left" w:pos="720"/>
        </w:tabs>
        <w:ind w:left="720" w:hanging="360"/>
        <w:contextualSpacing/>
        <w:jc w:val="both"/>
        <w:rPr>
          <w:rFonts w:ascii="Garamond" w:eastAsia="Arial" w:hAnsi="Garamond"/>
          <w:color w:val="auto"/>
          <w:szCs w:val="22"/>
        </w:rPr>
      </w:pPr>
      <w:r w:rsidRPr="004A0C12">
        <w:rPr>
          <w:rFonts w:ascii="Garamond" w:eastAsia="Arial" w:hAnsi="Garamond"/>
          <w:b/>
          <w:color w:val="auto"/>
          <w:szCs w:val="22"/>
        </w:rPr>
        <w:t>Indicate whether it intends to provide assistance to non-citizens, and if so include an overview of the assistance (section 402(a)(1)(B)(ii) of the Social Security Act)</w:t>
      </w:r>
    </w:p>
    <w:p w14:paraId="1671251C" w14:textId="77777777" w:rsidR="004705C8" w:rsidRPr="004A0C12" w:rsidRDefault="004705C8" w:rsidP="004705C8">
      <w:pPr>
        <w:pStyle w:val="Normal1"/>
        <w:jc w:val="both"/>
        <w:rPr>
          <w:rFonts w:ascii="Garamond" w:hAnsi="Garamond"/>
          <w:color w:val="auto"/>
          <w:szCs w:val="22"/>
        </w:rPr>
      </w:pPr>
    </w:p>
    <w:p w14:paraId="5F03522A" w14:textId="5D1926E5" w:rsidR="004E0DE7" w:rsidRPr="004A0C12" w:rsidRDefault="004705C8" w:rsidP="004705C8">
      <w:pPr>
        <w:pStyle w:val="Normal1"/>
        <w:jc w:val="both"/>
        <w:rPr>
          <w:rFonts w:ascii="Garamond" w:eastAsia="Arial" w:hAnsi="Garamond"/>
          <w:color w:val="auto"/>
          <w:szCs w:val="22"/>
        </w:rPr>
      </w:pPr>
      <w:r w:rsidRPr="004A0C12">
        <w:rPr>
          <w:rFonts w:ascii="Garamond" w:eastAsia="Arial" w:hAnsi="Garamond"/>
          <w:color w:val="auto"/>
          <w:szCs w:val="22"/>
        </w:rPr>
        <w:t>DHR’s Citizenship Status policy for the Family Inve</w:t>
      </w:r>
      <w:r w:rsidR="004E0DE7" w:rsidRPr="004A0C12">
        <w:rPr>
          <w:rFonts w:ascii="Garamond" w:eastAsia="Arial" w:hAnsi="Garamond"/>
          <w:color w:val="auto"/>
          <w:szCs w:val="22"/>
        </w:rPr>
        <w:t>stment Program states that a Family Investment Program</w:t>
      </w:r>
      <w:r w:rsidR="00592908" w:rsidRPr="004A0C12">
        <w:rPr>
          <w:rFonts w:ascii="Garamond" w:eastAsia="Arial" w:hAnsi="Garamond"/>
          <w:color w:val="auto"/>
          <w:szCs w:val="22"/>
        </w:rPr>
        <w:t xml:space="preserve"> recipient must be a United States</w:t>
      </w:r>
      <w:r w:rsidRPr="004A0C12">
        <w:rPr>
          <w:rFonts w:ascii="Garamond" w:eastAsia="Arial" w:hAnsi="Garamond"/>
          <w:color w:val="auto"/>
          <w:szCs w:val="22"/>
        </w:rPr>
        <w:t xml:space="preserve"> citizen or a qualified alien as defined in §</w:t>
      </w:r>
      <w:r w:rsidR="004E0DE7" w:rsidRPr="004A0C12">
        <w:rPr>
          <w:rFonts w:ascii="Garamond" w:eastAsia="Arial" w:hAnsi="Garamond"/>
          <w:color w:val="auto"/>
          <w:szCs w:val="22"/>
        </w:rPr>
        <w:t>8 USC 1611</w:t>
      </w:r>
      <w:r w:rsidR="00D12244" w:rsidRPr="004A0C12">
        <w:rPr>
          <w:rFonts w:ascii="Garamond" w:eastAsia="Arial" w:hAnsi="Garamond"/>
          <w:color w:val="auto"/>
          <w:szCs w:val="22"/>
        </w:rPr>
        <w:t>,</w:t>
      </w:r>
      <w:r w:rsidR="004E0DE7" w:rsidRPr="004A0C12">
        <w:rPr>
          <w:rFonts w:ascii="Garamond" w:eastAsia="Arial" w:hAnsi="Garamond"/>
          <w:color w:val="auto"/>
          <w:szCs w:val="22"/>
        </w:rPr>
        <w:t xml:space="preserve"> </w:t>
      </w:r>
      <w:r w:rsidR="004E0DE7" w:rsidRPr="004A0C12">
        <w:rPr>
          <w:rFonts w:ascii="Garamond" w:eastAsia="Arial" w:hAnsi="Garamond"/>
          <w:i/>
          <w:color w:val="auto"/>
          <w:szCs w:val="22"/>
        </w:rPr>
        <w:t>et</w:t>
      </w:r>
      <w:r w:rsidR="00D12244" w:rsidRPr="004A0C12">
        <w:rPr>
          <w:rFonts w:ascii="Garamond" w:eastAsia="Arial" w:hAnsi="Garamond"/>
          <w:i/>
          <w:color w:val="auto"/>
          <w:szCs w:val="22"/>
        </w:rPr>
        <w:t>.</w:t>
      </w:r>
      <w:r w:rsidR="004E0DE7" w:rsidRPr="004A0C12">
        <w:rPr>
          <w:rFonts w:ascii="Garamond" w:eastAsia="Arial" w:hAnsi="Garamond"/>
          <w:i/>
          <w:color w:val="auto"/>
          <w:szCs w:val="22"/>
        </w:rPr>
        <w:t xml:space="preserve"> seq</w:t>
      </w:r>
      <w:r w:rsidR="00D12244" w:rsidRPr="004A0C12">
        <w:rPr>
          <w:rFonts w:ascii="Garamond" w:eastAsia="Arial" w:hAnsi="Garamond"/>
          <w:i/>
          <w:color w:val="auto"/>
          <w:szCs w:val="22"/>
        </w:rPr>
        <w:t>.</w:t>
      </w:r>
      <w:r w:rsidR="004E0DE7" w:rsidRPr="004A0C12">
        <w:rPr>
          <w:rFonts w:ascii="Garamond" w:eastAsia="Arial" w:hAnsi="Garamond"/>
          <w:color w:val="auto"/>
          <w:szCs w:val="22"/>
        </w:rPr>
        <w:t xml:space="preserve">, as amended. </w:t>
      </w:r>
      <w:r w:rsidRPr="004A0C12">
        <w:rPr>
          <w:rFonts w:ascii="Garamond" w:eastAsia="Arial" w:hAnsi="Garamond"/>
          <w:color w:val="auto"/>
          <w:szCs w:val="22"/>
        </w:rPr>
        <w:t xml:space="preserve">Qualified immigrants, including humanitarian entrants such as refugees, certified victims of trafficking, Cuban and Haitian parolees, and asylees, who meet the federal technical and financial TCA eligibility </w:t>
      </w:r>
      <w:r w:rsidR="004E0DE7" w:rsidRPr="004A0C12">
        <w:rPr>
          <w:rFonts w:ascii="Garamond" w:eastAsia="Arial" w:hAnsi="Garamond"/>
          <w:color w:val="auto"/>
          <w:szCs w:val="22"/>
        </w:rPr>
        <w:t>requirements,</w:t>
      </w:r>
      <w:r w:rsidRPr="004A0C12">
        <w:rPr>
          <w:rFonts w:ascii="Garamond" w:eastAsia="Arial" w:hAnsi="Garamond"/>
          <w:color w:val="auto"/>
          <w:szCs w:val="22"/>
        </w:rPr>
        <w:t xml:space="preserve"> may be referred to </w:t>
      </w:r>
      <w:r w:rsidR="004E0DE7" w:rsidRPr="004A0C12">
        <w:rPr>
          <w:rFonts w:ascii="Garamond" w:eastAsia="Arial" w:hAnsi="Garamond"/>
          <w:color w:val="auto"/>
          <w:szCs w:val="22"/>
        </w:rPr>
        <w:t>one or more of the following Family Investment Program</w:t>
      </w:r>
      <w:r w:rsidRPr="004A0C12">
        <w:rPr>
          <w:rFonts w:ascii="Garamond" w:eastAsia="Arial" w:hAnsi="Garamond"/>
          <w:color w:val="auto"/>
          <w:szCs w:val="22"/>
        </w:rPr>
        <w:t xml:space="preserve"> components when applying for assistance:  </w:t>
      </w:r>
    </w:p>
    <w:p w14:paraId="07F148DB" w14:textId="77777777" w:rsidR="004E0DE7" w:rsidRPr="004A0C12" w:rsidRDefault="004E0DE7" w:rsidP="004705C8">
      <w:pPr>
        <w:pStyle w:val="Normal1"/>
        <w:jc w:val="both"/>
        <w:rPr>
          <w:rFonts w:ascii="Garamond" w:eastAsia="Arial" w:hAnsi="Garamond"/>
          <w:color w:val="auto"/>
          <w:szCs w:val="22"/>
        </w:rPr>
      </w:pPr>
    </w:p>
    <w:p w14:paraId="2C165A27" w14:textId="77777777" w:rsidR="004E0DE7" w:rsidRPr="004A0C12" w:rsidRDefault="004E0DE7" w:rsidP="00232F09">
      <w:pPr>
        <w:pStyle w:val="Normal1"/>
        <w:numPr>
          <w:ilvl w:val="0"/>
          <w:numId w:val="286"/>
        </w:numPr>
        <w:jc w:val="both"/>
        <w:rPr>
          <w:rFonts w:ascii="Garamond" w:hAnsi="Garamond"/>
          <w:color w:val="auto"/>
          <w:szCs w:val="22"/>
        </w:rPr>
      </w:pPr>
      <w:r w:rsidRPr="004A0C12">
        <w:rPr>
          <w:rFonts w:ascii="Garamond" w:eastAsia="Arial" w:hAnsi="Garamond"/>
          <w:color w:val="auto"/>
          <w:szCs w:val="22"/>
        </w:rPr>
        <w:t>Welfare Avoidance Grant</w:t>
      </w:r>
      <w:r w:rsidR="004705C8" w:rsidRPr="004A0C12">
        <w:rPr>
          <w:rFonts w:ascii="Garamond" w:eastAsia="Arial" w:hAnsi="Garamond"/>
          <w:color w:val="auto"/>
          <w:szCs w:val="22"/>
        </w:rPr>
        <w:t xml:space="preserve">; </w:t>
      </w:r>
    </w:p>
    <w:p w14:paraId="5B15F1C0" w14:textId="77777777" w:rsidR="004E0DE7" w:rsidRPr="004A0C12" w:rsidRDefault="004E0DE7" w:rsidP="00232F09">
      <w:pPr>
        <w:pStyle w:val="Normal1"/>
        <w:numPr>
          <w:ilvl w:val="0"/>
          <w:numId w:val="286"/>
        </w:numPr>
        <w:jc w:val="both"/>
        <w:rPr>
          <w:rFonts w:ascii="Garamond" w:hAnsi="Garamond"/>
          <w:color w:val="auto"/>
          <w:szCs w:val="22"/>
        </w:rPr>
      </w:pPr>
      <w:r w:rsidRPr="004A0C12">
        <w:rPr>
          <w:rFonts w:ascii="Garamond" w:eastAsia="Arial" w:hAnsi="Garamond"/>
          <w:color w:val="auto"/>
          <w:szCs w:val="22"/>
        </w:rPr>
        <w:t>Temporary Cash Assistance</w:t>
      </w:r>
      <w:r w:rsidR="004705C8" w:rsidRPr="004A0C12">
        <w:rPr>
          <w:rFonts w:ascii="Garamond" w:eastAsia="Arial" w:hAnsi="Garamond"/>
          <w:color w:val="auto"/>
          <w:szCs w:val="22"/>
        </w:rPr>
        <w:t xml:space="preserve">; </w:t>
      </w:r>
    </w:p>
    <w:p w14:paraId="6233BF5E" w14:textId="77777777" w:rsidR="004E0DE7" w:rsidRPr="004A0C12" w:rsidRDefault="004705C8" w:rsidP="00232F09">
      <w:pPr>
        <w:pStyle w:val="Normal1"/>
        <w:numPr>
          <w:ilvl w:val="0"/>
          <w:numId w:val="286"/>
        </w:numPr>
        <w:jc w:val="both"/>
        <w:rPr>
          <w:rFonts w:ascii="Garamond" w:hAnsi="Garamond"/>
          <w:color w:val="auto"/>
          <w:szCs w:val="22"/>
        </w:rPr>
      </w:pPr>
      <w:r w:rsidRPr="004A0C12">
        <w:rPr>
          <w:rFonts w:ascii="Garamond" w:eastAsia="Arial" w:hAnsi="Garamond"/>
          <w:color w:val="auto"/>
          <w:szCs w:val="22"/>
        </w:rPr>
        <w:t xml:space="preserve">Emergency Assistance </w:t>
      </w:r>
      <w:r w:rsidR="004E0DE7" w:rsidRPr="004A0C12">
        <w:rPr>
          <w:rFonts w:ascii="Garamond" w:eastAsia="Arial" w:hAnsi="Garamond"/>
          <w:color w:val="auto"/>
          <w:szCs w:val="22"/>
        </w:rPr>
        <w:t>to Families with Children</w:t>
      </w:r>
      <w:r w:rsidRPr="004A0C12">
        <w:rPr>
          <w:rFonts w:ascii="Garamond" w:eastAsia="Arial" w:hAnsi="Garamond"/>
          <w:color w:val="auto"/>
          <w:szCs w:val="22"/>
        </w:rPr>
        <w:t>; and</w:t>
      </w:r>
      <w:r w:rsidR="004E0DE7" w:rsidRPr="004A0C12">
        <w:rPr>
          <w:rFonts w:ascii="Garamond" w:eastAsia="Arial" w:hAnsi="Garamond"/>
          <w:color w:val="auto"/>
          <w:szCs w:val="22"/>
        </w:rPr>
        <w:t xml:space="preserve">/or, </w:t>
      </w:r>
    </w:p>
    <w:p w14:paraId="7FE8CFED" w14:textId="77777777" w:rsidR="004E0DE7" w:rsidRPr="004A0C12" w:rsidRDefault="004705C8" w:rsidP="00232F09">
      <w:pPr>
        <w:pStyle w:val="Normal1"/>
        <w:numPr>
          <w:ilvl w:val="0"/>
          <w:numId w:val="286"/>
        </w:numPr>
        <w:jc w:val="both"/>
        <w:rPr>
          <w:rFonts w:ascii="Garamond" w:hAnsi="Garamond"/>
          <w:color w:val="auto"/>
          <w:szCs w:val="22"/>
        </w:rPr>
      </w:pPr>
      <w:r w:rsidRPr="004A0C12">
        <w:rPr>
          <w:rFonts w:ascii="Garamond" w:eastAsia="Arial" w:hAnsi="Garamond"/>
          <w:color w:val="auto"/>
          <w:szCs w:val="22"/>
        </w:rPr>
        <w:t xml:space="preserve">Disaster Assistance.  </w:t>
      </w:r>
    </w:p>
    <w:p w14:paraId="088596A7" w14:textId="77777777" w:rsidR="004E0DE7" w:rsidRPr="004A0C12" w:rsidRDefault="004E0DE7" w:rsidP="004E0DE7">
      <w:pPr>
        <w:pStyle w:val="Normal1"/>
        <w:jc w:val="both"/>
        <w:rPr>
          <w:rFonts w:ascii="Garamond" w:hAnsi="Garamond"/>
          <w:color w:val="auto"/>
          <w:szCs w:val="22"/>
        </w:rPr>
      </w:pPr>
    </w:p>
    <w:p w14:paraId="0DA96915" w14:textId="0AD7369C" w:rsidR="004705C8" w:rsidRPr="004A0C12" w:rsidRDefault="004705C8" w:rsidP="004E0DE7">
      <w:pPr>
        <w:pStyle w:val="Normal1"/>
        <w:jc w:val="both"/>
        <w:rPr>
          <w:rFonts w:ascii="Garamond" w:hAnsi="Garamond"/>
          <w:color w:val="auto"/>
          <w:szCs w:val="22"/>
        </w:rPr>
      </w:pPr>
      <w:r w:rsidRPr="004A0C12">
        <w:rPr>
          <w:rFonts w:ascii="Garamond" w:eastAsia="Arial" w:hAnsi="Garamond"/>
          <w:color w:val="auto"/>
          <w:szCs w:val="22"/>
        </w:rPr>
        <w:t>Local Departments may develop Alternative Programs tailored to fit the uni</w:t>
      </w:r>
      <w:r w:rsidR="004E0DE7" w:rsidRPr="004A0C12">
        <w:rPr>
          <w:rFonts w:ascii="Garamond" w:eastAsia="Arial" w:hAnsi="Garamond"/>
          <w:color w:val="auto"/>
          <w:szCs w:val="22"/>
        </w:rPr>
        <w:t>que needs of that jurisdiction.</w:t>
      </w:r>
      <w:r w:rsidRPr="004A0C12">
        <w:rPr>
          <w:rFonts w:ascii="Garamond" w:eastAsia="Arial" w:hAnsi="Garamond"/>
          <w:color w:val="auto"/>
          <w:szCs w:val="22"/>
        </w:rPr>
        <w:t xml:space="preserve"> To assist </w:t>
      </w:r>
      <w:r w:rsidR="004E0DE7" w:rsidRPr="004A0C12">
        <w:rPr>
          <w:rFonts w:ascii="Garamond" w:eastAsia="Arial" w:hAnsi="Garamond"/>
          <w:color w:val="auto"/>
          <w:szCs w:val="22"/>
        </w:rPr>
        <w:t>English Language Learners</w:t>
      </w:r>
      <w:r w:rsidRPr="004A0C12">
        <w:rPr>
          <w:rFonts w:ascii="Garamond" w:eastAsia="Arial" w:hAnsi="Garamond"/>
          <w:color w:val="auto"/>
          <w:szCs w:val="22"/>
        </w:rPr>
        <w:t xml:space="preserve"> in meeting the TCA work </w:t>
      </w:r>
      <w:r w:rsidR="004E0DE7" w:rsidRPr="004A0C12">
        <w:rPr>
          <w:rFonts w:ascii="Garamond" w:eastAsia="Arial" w:hAnsi="Garamond"/>
          <w:color w:val="auto"/>
          <w:szCs w:val="22"/>
        </w:rPr>
        <w:t xml:space="preserve">requirements, </w:t>
      </w:r>
      <w:r w:rsidR="00BB5F3C" w:rsidRPr="004A0C12">
        <w:rPr>
          <w:rFonts w:ascii="Garamond" w:eastAsia="Arial" w:hAnsi="Garamond"/>
          <w:color w:val="auto"/>
          <w:szCs w:val="22"/>
        </w:rPr>
        <w:t xml:space="preserve">DHR </w:t>
      </w:r>
      <w:r w:rsidR="004E0DE7" w:rsidRPr="004A0C12">
        <w:rPr>
          <w:rFonts w:ascii="Garamond" w:eastAsia="Arial" w:hAnsi="Garamond"/>
          <w:color w:val="auto"/>
          <w:szCs w:val="22"/>
        </w:rPr>
        <w:t>contracts</w:t>
      </w:r>
      <w:r w:rsidRPr="004A0C12">
        <w:rPr>
          <w:rFonts w:ascii="Garamond" w:eastAsia="Arial" w:hAnsi="Garamond"/>
          <w:color w:val="auto"/>
          <w:szCs w:val="22"/>
        </w:rPr>
        <w:t xml:space="preserve"> with two vendors, International Rescue Committee (IRC) and Lutheran Social Services (LSS)</w:t>
      </w:r>
      <w:r w:rsidR="004E0DE7" w:rsidRPr="004A0C12">
        <w:rPr>
          <w:rFonts w:ascii="Garamond" w:eastAsia="Arial" w:hAnsi="Garamond"/>
          <w:color w:val="auto"/>
          <w:szCs w:val="22"/>
        </w:rPr>
        <w:t>,</w:t>
      </w:r>
      <w:r w:rsidRPr="004A0C12">
        <w:rPr>
          <w:rFonts w:ascii="Garamond" w:eastAsia="Arial" w:hAnsi="Garamond"/>
          <w:color w:val="auto"/>
          <w:szCs w:val="22"/>
        </w:rPr>
        <w:t xml:space="preserve"> who are qualified to implement TANF/workforce programs for ref</w:t>
      </w:r>
      <w:r w:rsidR="004E0DE7" w:rsidRPr="004A0C12">
        <w:rPr>
          <w:rFonts w:ascii="Garamond" w:eastAsia="Arial" w:hAnsi="Garamond"/>
          <w:color w:val="auto"/>
          <w:szCs w:val="22"/>
        </w:rPr>
        <w:t>ugees and or asylees. To qualify as a provider for r</w:t>
      </w:r>
      <w:r w:rsidRPr="004A0C12">
        <w:rPr>
          <w:rFonts w:ascii="Garamond" w:eastAsia="Arial" w:hAnsi="Garamond"/>
          <w:color w:val="auto"/>
          <w:szCs w:val="22"/>
        </w:rPr>
        <w:t>efugee services, the vendor must be authorized through the D</w:t>
      </w:r>
      <w:r w:rsidR="004E0DE7" w:rsidRPr="004A0C12">
        <w:rPr>
          <w:rFonts w:ascii="Garamond" w:eastAsia="Arial" w:hAnsi="Garamond"/>
          <w:color w:val="auto"/>
          <w:szCs w:val="22"/>
        </w:rPr>
        <w:t>epartment of Homeland Security,</w:t>
      </w:r>
      <w:r w:rsidRPr="004A0C12">
        <w:rPr>
          <w:rFonts w:ascii="Garamond" w:eastAsia="Arial" w:hAnsi="Garamond"/>
          <w:color w:val="auto"/>
          <w:szCs w:val="22"/>
        </w:rPr>
        <w:t xml:space="preserve"> Bureau of Citizenship and Immigration Services</w:t>
      </w:r>
      <w:r w:rsidR="004E0DE7" w:rsidRPr="004A0C12">
        <w:rPr>
          <w:rFonts w:ascii="Garamond" w:eastAsia="Arial" w:hAnsi="Garamond"/>
          <w:color w:val="auto"/>
          <w:szCs w:val="22"/>
        </w:rPr>
        <w:t>,</w:t>
      </w:r>
      <w:r w:rsidRPr="004A0C12">
        <w:rPr>
          <w:rFonts w:ascii="Garamond" w:eastAsia="Arial" w:hAnsi="Garamond"/>
          <w:color w:val="auto"/>
          <w:szCs w:val="22"/>
        </w:rPr>
        <w:t xml:space="preserve"> and the US Department of State, Bureau of Population, Refugees and Migration.                                                                                                                                                                                                                                                                                                                                                                                                                                                                                                                                                                                                                                                                                                                                                                                                                                                                                                                                                                                                                                                                                                                                                                                                                                                                                                                                                                                                                                                                                                                                                                                                                                                                                                                                                                                                                                                                                                                                                                                                                                                                                                        </w:t>
      </w:r>
    </w:p>
    <w:p w14:paraId="3731102A" w14:textId="77777777" w:rsidR="004705C8" w:rsidRPr="004A0C12" w:rsidRDefault="004705C8" w:rsidP="004705C8">
      <w:pPr>
        <w:pStyle w:val="Normal1"/>
        <w:tabs>
          <w:tab w:val="left" w:pos="1620"/>
        </w:tabs>
        <w:ind w:left="720" w:hanging="360"/>
        <w:jc w:val="both"/>
        <w:rPr>
          <w:rFonts w:ascii="Garamond" w:hAnsi="Garamond"/>
          <w:szCs w:val="22"/>
        </w:rPr>
      </w:pPr>
    </w:p>
    <w:p w14:paraId="7045E44F" w14:textId="77777777" w:rsidR="004705C8" w:rsidRPr="004A0C12" w:rsidRDefault="004705C8" w:rsidP="00232F09">
      <w:pPr>
        <w:pStyle w:val="Normal1"/>
        <w:numPr>
          <w:ilvl w:val="1"/>
          <w:numId w:val="170"/>
        </w:numPr>
        <w:tabs>
          <w:tab w:val="left" w:pos="720"/>
          <w:tab w:val="left" w:pos="1620"/>
        </w:tabs>
        <w:ind w:left="720" w:hanging="360"/>
        <w:contextualSpacing/>
        <w:jc w:val="both"/>
        <w:rPr>
          <w:rFonts w:ascii="Garamond" w:eastAsia="Arial" w:hAnsi="Garamond"/>
          <w:szCs w:val="22"/>
        </w:rPr>
      </w:pPr>
      <w:r w:rsidRPr="004A0C12">
        <w:rPr>
          <w:rFonts w:ascii="Garamond" w:eastAsia="Arial" w:hAnsi="Garamond"/>
          <w:b/>
          <w:szCs w:val="22"/>
        </w:rPr>
        <w:t>Set forth objective criteria for the delivery of benefits and the determination of eligibility and for fair and equitable treatment, including an explanation of how it will provide opportunities for recipients who have been adversely affected to be heard in a State administrative or appeal process (section 402(a)(1)(B)(iii) of the Social Security Act)</w:t>
      </w:r>
    </w:p>
    <w:p w14:paraId="4454AEB9" w14:textId="77777777" w:rsidR="004705C8" w:rsidRPr="004A0C12" w:rsidRDefault="004705C8" w:rsidP="004705C8">
      <w:pPr>
        <w:shd w:val="clear" w:color="auto" w:fill="FFFFFF"/>
        <w:spacing w:after="0" w:line="240" w:lineRule="auto"/>
        <w:ind w:right="144"/>
        <w:jc w:val="both"/>
        <w:rPr>
          <w:rFonts w:ascii="Garamond" w:hAnsi="Garamond" w:cs="Times New Roman"/>
        </w:rPr>
      </w:pPr>
    </w:p>
    <w:p w14:paraId="7FBFCAFE" w14:textId="1D95E5B8" w:rsidR="004705C8" w:rsidRPr="004A0C12" w:rsidRDefault="004705C8" w:rsidP="004705C8">
      <w:pPr>
        <w:shd w:val="clear" w:color="auto" w:fill="FFFFFF"/>
        <w:spacing w:after="0" w:line="240" w:lineRule="auto"/>
        <w:ind w:right="144"/>
        <w:jc w:val="both"/>
        <w:rPr>
          <w:rFonts w:ascii="Garamond" w:hAnsi="Garamond" w:cs="Times New Roman"/>
        </w:rPr>
      </w:pPr>
      <w:r w:rsidRPr="004A0C12">
        <w:rPr>
          <w:rFonts w:ascii="Garamond" w:hAnsi="Garamond" w:cs="Times New Roman"/>
        </w:rPr>
        <w:t>Refer to Section (a)</w:t>
      </w:r>
      <w:r w:rsidR="00EA7878" w:rsidRPr="004A0C12">
        <w:rPr>
          <w:rFonts w:ascii="Garamond" w:hAnsi="Garamond" w:cs="Times New Roman"/>
        </w:rPr>
        <w:t xml:space="preserve"> </w:t>
      </w:r>
      <w:r w:rsidRPr="004A0C12">
        <w:rPr>
          <w:rFonts w:ascii="Garamond" w:hAnsi="Garamond" w:cs="Times New Roman"/>
        </w:rPr>
        <w:t>for a description of Maryland’s delivery of benefits and the determination of benefits eligibility.</w:t>
      </w:r>
    </w:p>
    <w:p w14:paraId="7BDB5FAA" w14:textId="77777777" w:rsidR="004705C8" w:rsidRPr="004A0C12" w:rsidRDefault="004705C8" w:rsidP="004705C8">
      <w:pPr>
        <w:shd w:val="clear" w:color="auto" w:fill="FFFFFF"/>
        <w:spacing w:after="0" w:line="240" w:lineRule="auto"/>
        <w:ind w:right="144"/>
        <w:jc w:val="both"/>
        <w:rPr>
          <w:rFonts w:ascii="Garamond" w:hAnsi="Garamond" w:cs="Times New Roman"/>
        </w:rPr>
      </w:pPr>
    </w:p>
    <w:p w14:paraId="3269DC20" w14:textId="252C737E" w:rsidR="004705C8" w:rsidRPr="004A0C12" w:rsidRDefault="004705C8" w:rsidP="00A72623">
      <w:pPr>
        <w:shd w:val="clear" w:color="auto" w:fill="FFFFFF"/>
        <w:spacing w:after="0" w:line="240" w:lineRule="auto"/>
        <w:ind w:right="144"/>
        <w:jc w:val="both"/>
        <w:rPr>
          <w:rFonts w:ascii="Garamond" w:hAnsi="Garamond" w:cs="Times New Roman"/>
        </w:rPr>
      </w:pPr>
      <w:r w:rsidRPr="004A0C12">
        <w:rPr>
          <w:rFonts w:ascii="Garamond" w:hAnsi="Garamond" w:cs="Times New Roman"/>
        </w:rPr>
        <w:t xml:space="preserve">Regarding fair and equitable treatment, Maryland uses a combined application and thus follows the guidelines established by the U.S. Department of Health and Human Services and the U.S. Department </w:t>
      </w:r>
      <w:r w:rsidR="004E0DE7" w:rsidRPr="004A0C12">
        <w:rPr>
          <w:rFonts w:ascii="Garamond" w:hAnsi="Garamond" w:cs="Times New Roman"/>
        </w:rPr>
        <w:t>of Agriculture.</w:t>
      </w:r>
      <w:r w:rsidRPr="004A0C12">
        <w:rPr>
          <w:rFonts w:ascii="Garamond" w:hAnsi="Garamond" w:cs="Times New Roman"/>
        </w:rPr>
        <w:t xml:space="preserve"> The local departments of social services, all vendors and contractors must also follow </w:t>
      </w:r>
      <w:r w:rsidR="00EE6B83" w:rsidRPr="004A0C12">
        <w:rPr>
          <w:rFonts w:ascii="Garamond" w:hAnsi="Garamond" w:cs="Times New Roman"/>
        </w:rPr>
        <w:t xml:space="preserve">State and federal </w:t>
      </w:r>
      <w:r w:rsidR="00A72623" w:rsidRPr="004A0C12">
        <w:rPr>
          <w:rFonts w:ascii="Garamond" w:hAnsi="Garamond" w:cs="Times New Roman"/>
        </w:rPr>
        <w:t>non-discrimination requirements.</w:t>
      </w:r>
      <w:r w:rsidRPr="004A0C12">
        <w:rPr>
          <w:rFonts w:ascii="Garamond" w:hAnsi="Garamond" w:cs="Times New Roman"/>
        </w:rPr>
        <w:t xml:space="preserve"> The local departments will provide persons with disabilities individualized treatment and effective and meaningful opportunity to educational or employment activities </w:t>
      </w:r>
      <w:r w:rsidR="00EE6B83" w:rsidRPr="004A0C12">
        <w:rPr>
          <w:rFonts w:ascii="Garamond" w:hAnsi="Garamond" w:cs="Times New Roman"/>
        </w:rPr>
        <w:t xml:space="preserve">as they are provided to others. </w:t>
      </w:r>
      <w:r w:rsidRPr="004A0C12">
        <w:rPr>
          <w:rFonts w:ascii="Garamond" w:hAnsi="Garamond" w:cs="Times New Roman"/>
        </w:rPr>
        <w:t>The local department will make reasonable accommodations and provide auxiliary aids for persons with disabilities</w:t>
      </w:r>
      <w:r w:rsidR="00EE6B83" w:rsidRPr="004A0C12">
        <w:rPr>
          <w:rFonts w:ascii="Garamond" w:hAnsi="Garamond" w:cs="Times New Roman"/>
        </w:rPr>
        <w:t>,</w:t>
      </w:r>
      <w:r w:rsidRPr="004A0C12">
        <w:rPr>
          <w:rFonts w:ascii="Garamond" w:hAnsi="Garamond" w:cs="Times New Roman"/>
        </w:rPr>
        <w:t xml:space="preserve"> such as but not</w:t>
      </w:r>
      <w:r w:rsidR="00EE6B83" w:rsidRPr="004A0C12">
        <w:rPr>
          <w:rFonts w:ascii="Garamond" w:hAnsi="Garamond" w:cs="Times New Roman"/>
        </w:rPr>
        <w:t xml:space="preserve"> limited to: interpreters, note takers</w:t>
      </w:r>
      <w:r w:rsidRPr="004A0C12">
        <w:rPr>
          <w:rFonts w:ascii="Garamond" w:hAnsi="Garamond" w:cs="Times New Roman"/>
        </w:rPr>
        <w:t xml:space="preserve">, and materials in alternate formats </w:t>
      </w:r>
      <w:r w:rsidRPr="004A0C12">
        <w:rPr>
          <w:rFonts w:ascii="Garamond" w:hAnsi="Garamond" w:cs="Times New Roman"/>
        </w:rPr>
        <w:lastRenderedPageBreak/>
        <w:t>to the extent that it does not cause a fundamental alteration with the program, or result in undue financial or administrative burden.</w:t>
      </w:r>
      <w:r w:rsidRPr="004A0C12">
        <w:rPr>
          <w:rFonts w:ascii="Garamond" w:hAnsi="Garamond"/>
        </w:rPr>
        <w:t xml:space="preserve"> </w:t>
      </w:r>
    </w:p>
    <w:p w14:paraId="222E8B3F" w14:textId="77777777" w:rsidR="004705C8" w:rsidRPr="004A0C12" w:rsidRDefault="004705C8" w:rsidP="004705C8">
      <w:pPr>
        <w:tabs>
          <w:tab w:val="left" w:pos="-1440"/>
        </w:tabs>
        <w:spacing w:after="0" w:line="240" w:lineRule="auto"/>
        <w:jc w:val="both"/>
        <w:rPr>
          <w:rFonts w:ascii="Garamond" w:hAnsi="Garamond" w:cs="Times New Roman"/>
        </w:rPr>
      </w:pPr>
    </w:p>
    <w:p w14:paraId="6EA0BEA2" w14:textId="37B3D944" w:rsidR="004705C8" w:rsidRPr="004A0C12" w:rsidRDefault="004705C8" w:rsidP="00EE6B83">
      <w:pPr>
        <w:tabs>
          <w:tab w:val="left" w:pos="-1440"/>
          <w:tab w:val="left" w:pos="360"/>
          <w:tab w:val="left" w:pos="10782"/>
        </w:tabs>
        <w:spacing w:after="0" w:line="240" w:lineRule="auto"/>
        <w:ind w:right="72"/>
        <w:jc w:val="both"/>
        <w:rPr>
          <w:rFonts w:ascii="Garamond" w:hAnsi="Garamond" w:cs="Times New Roman"/>
          <w:bCs/>
        </w:rPr>
      </w:pPr>
      <w:r w:rsidRPr="004A0C12">
        <w:rPr>
          <w:rFonts w:ascii="Garamond" w:hAnsi="Garamond" w:cs="Times New Roman"/>
          <w:u w:val="single"/>
        </w:rPr>
        <w:t>Appeals a</w:t>
      </w:r>
      <w:r w:rsidR="00EE6B83" w:rsidRPr="004A0C12">
        <w:rPr>
          <w:rFonts w:ascii="Garamond" w:hAnsi="Garamond" w:cs="Times New Roman"/>
          <w:u w:val="single"/>
        </w:rPr>
        <w:t>nd Complaints of Discrimination-</w:t>
      </w:r>
      <w:r w:rsidR="00A72623" w:rsidRPr="004A0C12">
        <w:rPr>
          <w:rFonts w:ascii="Garamond" w:hAnsi="Garamond" w:cs="Times New Roman"/>
        </w:rPr>
        <w:t xml:space="preserve"> A Family Investment Program </w:t>
      </w:r>
      <w:r w:rsidRPr="004A0C12">
        <w:rPr>
          <w:rFonts w:ascii="Garamond" w:hAnsi="Garamond" w:cs="Times New Roman"/>
        </w:rPr>
        <w:t>applicant or recipient may request an agency conference for an explanation of the reasons for proposed actions, and present information to show that the</w:t>
      </w:r>
      <w:r w:rsidR="00A72623" w:rsidRPr="004A0C12">
        <w:rPr>
          <w:rFonts w:ascii="Garamond" w:hAnsi="Garamond" w:cs="Times New Roman"/>
        </w:rPr>
        <w:t xml:space="preserve"> proposed action is incorrect. </w:t>
      </w:r>
      <w:r w:rsidRPr="004A0C12">
        <w:rPr>
          <w:rFonts w:ascii="Garamond" w:hAnsi="Garamond" w:cs="Times New Roman"/>
        </w:rPr>
        <w:t>The local department gives each applicant or recipient written notification of the right to and procedures for requesting and obtaining a hearing as set forth in Code of Maryland Regulations 07.03.03.28 or 07.01.04. An applicant or recipient may file a writt</w:t>
      </w:r>
      <w:r w:rsidR="00A72623" w:rsidRPr="004A0C12">
        <w:rPr>
          <w:rFonts w:ascii="Garamond" w:hAnsi="Garamond" w:cs="Times New Roman"/>
        </w:rPr>
        <w:t xml:space="preserve">en complaint by contacting the U.S. Department of Health and Human Services. </w:t>
      </w:r>
      <w:r w:rsidRPr="004A0C12">
        <w:rPr>
          <w:rFonts w:ascii="Garamond" w:hAnsi="Garamond" w:cs="Times New Roman"/>
        </w:rPr>
        <w:t xml:space="preserve">The complaint must set forth the events and circumstances of alleged discrimination, if he or she thinks we have discriminated against them.  </w:t>
      </w:r>
    </w:p>
    <w:p w14:paraId="27BE4962" w14:textId="77777777" w:rsidR="004705C8" w:rsidRPr="004A0C12" w:rsidRDefault="004705C8" w:rsidP="004705C8">
      <w:pPr>
        <w:pStyle w:val="Normal1"/>
        <w:jc w:val="both"/>
        <w:rPr>
          <w:rFonts w:ascii="Garamond" w:eastAsia="Arial" w:hAnsi="Garamond"/>
          <w:szCs w:val="22"/>
        </w:rPr>
      </w:pPr>
    </w:p>
    <w:p w14:paraId="01134A74" w14:textId="474301EF" w:rsidR="00A72623" w:rsidRPr="004A0C12" w:rsidRDefault="00A72623" w:rsidP="00A72623">
      <w:pPr>
        <w:tabs>
          <w:tab w:val="left" w:pos="-1440"/>
        </w:tabs>
        <w:spacing w:after="0" w:line="240" w:lineRule="auto"/>
        <w:jc w:val="both"/>
        <w:rPr>
          <w:rFonts w:ascii="Garamond" w:hAnsi="Garamond" w:cs="Times New Roman"/>
          <w:u w:val="single"/>
        </w:rPr>
      </w:pPr>
      <w:r w:rsidRPr="004A0C12">
        <w:rPr>
          <w:rFonts w:ascii="Garamond" w:hAnsi="Garamond" w:cs="Times New Roman"/>
          <w:u w:val="single"/>
        </w:rPr>
        <w:t>Non-Discrimination Assurances</w:t>
      </w:r>
      <w:r w:rsidRPr="004A0C12">
        <w:rPr>
          <w:rFonts w:ascii="Garamond" w:hAnsi="Garamond" w:cs="Times New Roman"/>
        </w:rPr>
        <w:t xml:space="preserve"> -</w:t>
      </w:r>
      <w:r w:rsidR="004705C8" w:rsidRPr="004A0C12">
        <w:rPr>
          <w:rFonts w:ascii="Garamond" w:hAnsi="Garamond" w:cs="Times New Roman"/>
        </w:rPr>
        <w:t>The State of Maryland assures that the following provisions of law will apply to programs an</w:t>
      </w:r>
      <w:r w:rsidRPr="004A0C12">
        <w:rPr>
          <w:rFonts w:ascii="Garamond" w:hAnsi="Garamond" w:cs="Times New Roman"/>
        </w:rPr>
        <w:t>d activities funded under TANF:</w:t>
      </w:r>
      <w:r w:rsidR="004705C8" w:rsidRPr="004A0C12">
        <w:rPr>
          <w:rFonts w:ascii="Garamond" w:hAnsi="Garamond" w:cs="Times New Roman"/>
        </w:rPr>
        <w:t xml:space="preserve"> </w:t>
      </w:r>
    </w:p>
    <w:p w14:paraId="579A4D63" w14:textId="77777777" w:rsidR="00A72623" w:rsidRPr="004A0C12" w:rsidRDefault="004705C8" w:rsidP="00232F09">
      <w:pPr>
        <w:pStyle w:val="ListParagraph"/>
        <w:numPr>
          <w:ilvl w:val="0"/>
          <w:numId w:val="287"/>
        </w:numPr>
        <w:autoSpaceDE w:val="0"/>
        <w:autoSpaceDN w:val="0"/>
        <w:adjustRightInd w:val="0"/>
        <w:jc w:val="both"/>
        <w:rPr>
          <w:rFonts w:ascii="Garamond" w:hAnsi="Garamond"/>
          <w:szCs w:val="22"/>
        </w:rPr>
      </w:pPr>
      <w:r w:rsidRPr="004A0C12">
        <w:rPr>
          <w:rFonts w:ascii="Garamond" w:hAnsi="Garamond"/>
          <w:szCs w:val="22"/>
        </w:rPr>
        <w:t>The Age Discrimination Act of 1975 (42 U.S.C</w:t>
      </w:r>
      <w:r w:rsidR="00A72623" w:rsidRPr="004A0C12">
        <w:rPr>
          <w:rFonts w:ascii="Garamond" w:hAnsi="Garamond"/>
          <w:szCs w:val="22"/>
        </w:rPr>
        <w:t>. §§ 6101 et seq.;</w:t>
      </w:r>
    </w:p>
    <w:p w14:paraId="3E16E0C1" w14:textId="77777777" w:rsidR="00A72623" w:rsidRPr="004A0C12" w:rsidRDefault="004705C8" w:rsidP="00232F09">
      <w:pPr>
        <w:pStyle w:val="ListParagraph"/>
        <w:numPr>
          <w:ilvl w:val="0"/>
          <w:numId w:val="287"/>
        </w:numPr>
        <w:autoSpaceDE w:val="0"/>
        <w:autoSpaceDN w:val="0"/>
        <w:adjustRightInd w:val="0"/>
        <w:jc w:val="both"/>
        <w:rPr>
          <w:rFonts w:ascii="Garamond" w:hAnsi="Garamond"/>
          <w:szCs w:val="22"/>
        </w:rPr>
      </w:pPr>
      <w:r w:rsidRPr="004A0C12">
        <w:rPr>
          <w:rFonts w:ascii="Garamond" w:hAnsi="Garamond"/>
          <w:szCs w:val="22"/>
        </w:rPr>
        <w:t>Section 504 of the Rehabilitatio</w:t>
      </w:r>
      <w:r w:rsidR="00A72623" w:rsidRPr="004A0C12">
        <w:rPr>
          <w:rFonts w:ascii="Garamond" w:hAnsi="Garamond"/>
          <w:szCs w:val="22"/>
        </w:rPr>
        <w:t>n Act of 1973 (29 U.S.C. § 794);</w:t>
      </w:r>
    </w:p>
    <w:p w14:paraId="0DAA28BC" w14:textId="77777777" w:rsidR="00A72623" w:rsidRPr="004A0C12" w:rsidRDefault="004705C8" w:rsidP="00232F09">
      <w:pPr>
        <w:pStyle w:val="ListParagraph"/>
        <w:numPr>
          <w:ilvl w:val="0"/>
          <w:numId w:val="287"/>
        </w:numPr>
        <w:autoSpaceDE w:val="0"/>
        <w:autoSpaceDN w:val="0"/>
        <w:adjustRightInd w:val="0"/>
        <w:jc w:val="both"/>
        <w:rPr>
          <w:rFonts w:ascii="Garamond" w:hAnsi="Garamond"/>
          <w:szCs w:val="22"/>
        </w:rPr>
      </w:pPr>
      <w:r w:rsidRPr="004A0C12">
        <w:rPr>
          <w:rFonts w:ascii="Garamond" w:hAnsi="Garamond"/>
          <w:szCs w:val="22"/>
        </w:rPr>
        <w:t xml:space="preserve"> The Americans with Disabilities Act of 1990 (42 U.S.C. §§ 12101 et seq.)</w:t>
      </w:r>
      <w:r w:rsidR="00A72623" w:rsidRPr="004A0C12">
        <w:rPr>
          <w:rFonts w:ascii="Garamond" w:hAnsi="Garamond"/>
          <w:szCs w:val="22"/>
        </w:rPr>
        <w:t xml:space="preserve">; and, </w:t>
      </w:r>
    </w:p>
    <w:p w14:paraId="5A364FD4" w14:textId="53E96393" w:rsidR="004705C8" w:rsidRPr="004A0C12" w:rsidRDefault="004705C8" w:rsidP="00232F09">
      <w:pPr>
        <w:pStyle w:val="ListParagraph"/>
        <w:numPr>
          <w:ilvl w:val="0"/>
          <w:numId w:val="287"/>
        </w:numPr>
        <w:autoSpaceDE w:val="0"/>
        <w:autoSpaceDN w:val="0"/>
        <w:adjustRightInd w:val="0"/>
        <w:jc w:val="both"/>
        <w:rPr>
          <w:rFonts w:ascii="Garamond" w:hAnsi="Garamond"/>
          <w:szCs w:val="22"/>
        </w:rPr>
      </w:pPr>
      <w:r w:rsidRPr="004A0C12">
        <w:rPr>
          <w:rFonts w:ascii="Garamond" w:hAnsi="Garamond"/>
          <w:szCs w:val="22"/>
        </w:rPr>
        <w:t xml:space="preserve"> Title VI of the Civil Rights Act of 1964 (42 U.S.C. §§ 2000d et seq.)</w:t>
      </w:r>
    </w:p>
    <w:p w14:paraId="70A15047" w14:textId="77777777" w:rsidR="004705C8" w:rsidRPr="004A0C12" w:rsidRDefault="004705C8" w:rsidP="004705C8">
      <w:pPr>
        <w:autoSpaceDE w:val="0"/>
        <w:autoSpaceDN w:val="0"/>
        <w:adjustRightInd w:val="0"/>
        <w:spacing w:after="0" w:line="240" w:lineRule="auto"/>
        <w:jc w:val="both"/>
        <w:rPr>
          <w:rFonts w:ascii="Garamond" w:hAnsi="Garamond" w:cs="Times New Roman"/>
        </w:rPr>
      </w:pPr>
    </w:p>
    <w:p w14:paraId="7791B2F1" w14:textId="77777777" w:rsidR="004705C8" w:rsidRPr="004A0C12" w:rsidRDefault="004705C8" w:rsidP="004705C8">
      <w:pPr>
        <w:tabs>
          <w:tab w:val="left" w:pos="-1440"/>
        </w:tabs>
        <w:spacing w:after="0" w:line="240" w:lineRule="auto"/>
        <w:jc w:val="both"/>
        <w:rPr>
          <w:rFonts w:ascii="Garamond" w:hAnsi="Garamond" w:cs="Times New Roman"/>
        </w:rPr>
      </w:pPr>
      <w:r w:rsidRPr="004A0C12">
        <w:rPr>
          <w:rFonts w:ascii="Garamond" w:hAnsi="Garamond" w:cs="Times New Roman"/>
        </w:rPr>
        <w:t xml:space="preserve">The State of Maryland assures that persons with disabilities will be provided with individualized treatment and effective and meaningful opportunity to the extent that it does not cause a fundamental alteration with the program or result in undue financial or administrative burden. </w:t>
      </w:r>
    </w:p>
    <w:p w14:paraId="2B8AD132" w14:textId="77777777" w:rsidR="004705C8" w:rsidRPr="004A0C12" w:rsidRDefault="004705C8" w:rsidP="004705C8">
      <w:pPr>
        <w:pStyle w:val="Normal1"/>
        <w:tabs>
          <w:tab w:val="left" w:pos="720"/>
          <w:tab w:val="left" w:pos="1620"/>
        </w:tabs>
        <w:jc w:val="both"/>
        <w:rPr>
          <w:rFonts w:ascii="Garamond" w:hAnsi="Garamond"/>
          <w:szCs w:val="22"/>
        </w:rPr>
      </w:pPr>
    </w:p>
    <w:p w14:paraId="07883892" w14:textId="77777777" w:rsidR="004705C8" w:rsidRPr="004A0C12" w:rsidRDefault="004705C8" w:rsidP="00232F09">
      <w:pPr>
        <w:pStyle w:val="Normal1"/>
        <w:numPr>
          <w:ilvl w:val="1"/>
          <w:numId w:val="170"/>
        </w:numPr>
        <w:tabs>
          <w:tab w:val="left" w:pos="720"/>
          <w:tab w:val="left" w:pos="1710"/>
        </w:tabs>
        <w:ind w:left="720" w:hanging="360"/>
        <w:contextualSpacing/>
        <w:jc w:val="both"/>
        <w:rPr>
          <w:rFonts w:ascii="Garamond" w:eastAsia="Arial" w:hAnsi="Garamond"/>
          <w:szCs w:val="22"/>
        </w:rPr>
      </w:pPr>
      <w:r w:rsidRPr="004A0C12">
        <w:rPr>
          <w:rFonts w:ascii="Garamond" w:eastAsia="Arial" w:hAnsi="Garamond"/>
          <w:b/>
          <w:szCs w:val="22"/>
        </w:rPr>
        <w:t>Indicate whether the State intends to assist individuals to train for, seek, and maintain  employment (Section 402(a)(1)(B)(v) of the Social Security Act)—</w:t>
      </w:r>
    </w:p>
    <w:p w14:paraId="0FEEDE82" w14:textId="77777777" w:rsidR="004705C8" w:rsidRPr="004A0C12" w:rsidRDefault="004705C8" w:rsidP="00232F09">
      <w:pPr>
        <w:pStyle w:val="Normal1"/>
        <w:numPr>
          <w:ilvl w:val="2"/>
          <w:numId w:val="171"/>
        </w:numPr>
        <w:tabs>
          <w:tab w:val="left" w:pos="720"/>
        </w:tabs>
        <w:ind w:left="1440" w:hanging="360"/>
        <w:contextualSpacing/>
        <w:jc w:val="both"/>
        <w:rPr>
          <w:rFonts w:ascii="Garamond" w:eastAsia="Arial" w:hAnsi="Garamond"/>
          <w:szCs w:val="22"/>
        </w:rPr>
      </w:pPr>
      <w:r w:rsidRPr="004A0C12">
        <w:rPr>
          <w:rFonts w:ascii="Garamond" w:eastAsia="Arial" w:hAnsi="Garamond"/>
          <w:b/>
          <w:szCs w:val="22"/>
        </w:rPr>
        <w:t>providing direct care in a long-term care facility (as such terms are defined under section 1397j of this title); or</w:t>
      </w:r>
    </w:p>
    <w:p w14:paraId="59DACDCF" w14:textId="77777777" w:rsidR="004705C8" w:rsidRPr="004A0C12" w:rsidRDefault="004705C8" w:rsidP="00232F09">
      <w:pPr>
        <w:pStyle w:val="Normal1"/>
        <w:numPr>
          <w:ilvl w:val="2"/>
          <w:numId w:val="171"/>
        </w:numPr>
        <w:tabs>
          <w:tab w:val="left" w:pos="720"/>
        </w:tabs>
        <w:ind w:left="1440" w:hanging="360"/>
        <w:contextualSpacing/>
        <w:jc w:val="both"/>
        <w:rPr>
          <w:rFonts w:ascii="Garamond" w:eastAsia="Arial" w:hAnsi="Garamond"/>
          <w:szCs w:val="22"/>
        </w:rPr>
      </w:pPr>
      <w:r w:rsidRPr="004A0C12">
        <w:rPr>
          <w:rFonts w:ascii="Garamond" w:eastAsia="Arial" w:hAnsi="Garamond"/>
          <w:b/>
          <w:szCs w:val="22"/>
        </w:rPr>
        <w:t>in other occupations related to elder care, high-demand occupations, or occupations expected to experience labor shortages as,  determined appropriate by the State for which the State identifies an unmet need for service personnel, and, if so, shall include an overview of such assistance.</w:t>
      </w:r>
    </w:p>
    <w:p w14:paraId="3A165AF6" w14:textId="77777777" w:rsidR="004705C8" w:rsidRPr="004A0C12" w:rsidRDefault="004705C8" w:rsidP="004705C8">
      <w:pPr>
        <w:pStyle w:val="Normal1"/>
        <w:tabs>
          <w:tab w:val="left" w:pos="720"/>
        </w:tabs>
        <w:ind w:left="720"/>
        <w:jc w:val="both"/>
        <w:rPr>
          <w:rFonts w:ascii="Garamond" w:hAnsi="Garamond"/>
          <w:szCs w:val="22"/>
        </w:rPr>
      </w:pPr>
    </w:p>
    <w:p w14:paraId="35FD769D" w14:textId="0344ABBD" w:rsidR="00E778B3" w:rsidRPr="004A0C12" w:rsidRDefault="00E778B3" w:rsidP="00E778B3">
      <w:pPr>
        <w:pStyle w:val="Normal1"/>
        <w:tabs>
          <w:tab w:val="left" w:pos="0"/>
        </w:tabs>
        <w:jc w:val="both"/>
        <w:rPr>
          <w:rFonts w:ascii="Garamond" w:eastAsia="Arial" w:hAnsi="Garamond"/>
          <w:szCs w:val="22"/>
        </w:rPr>
      </w:pPr>
      <w:r w:rsidRPr="004A0C12">
        <w:rPr>
          <w:rFonts w:ascii="Garamond" w:eastAsia="Arial" w:hAnsi="Garamond"/>
          <w:szCs w:val="22"/>
        </w:rPr>
        <w:t>As a WIOA Partner, DHR is connected with the State’s workforce system to stay informed about high-demand occupations. DHR accomplishes this in these ways:</w:t>
      </w:r>
    </w:p>
    <w:p w14:paraId="57BC2480" w14:textId="77777777" w:rsidR="00E778B3" w:rsidRPr="004A0C12" w:rsidRDefault="00E778B3" w:rsidP="00E778B3">
      <w:pPr>
        <w:pStyle w:val="Normal1"/>
        <w:tabs>
          <w:tab w:val="left" w:pos="0"/>
        </w:tabs>
        <w:jc w:val="both"/>
        <w:rPr>
          <w:rFonts w:ascii="Garamond" w:hAnsi="Garamond"/>
          <w:szCs w:val="22"/>
        </w:rPr>
      </w:pPr>
    </w:p>
    <w:p w14:paraId="67D11691" w14:textId="2FA31493" w:rsidR="00E778B3" w:rsidRPr="004A0C12" w:rsidRDefault="00E778B3" w:rsidP="00232F09">
      <w:pPr>
        <w:pStyle w:val="Normal1"/>
        <w:numPr>
          <w:ilvl w:val="0"/>
          <w:numId w:val="194"/>
        </w:numPr>
        <w:tabs>
          <w:tab w:val="left" w:pos="0"/>
        </w:tabs>
        <w:jc w:val="both"/>
        <w:rPr>
          <w:rFonts w:ascii="Garamond" w:hAnsi="Garamond"/>
          <w:szCs w:val="22"/>
        </w:rPr>
      </w:pPr>
      <w:r w:rsidRPr="004A0C12">
        <w:rPr>
          <w:rFonts w:ascii="Garamond" w:eastAsia="Arial" w:hAnsi="Garamond"/>
          <w:szCs w:val="22"/>
        </w:rPr>
        <w:t>DHR’s Secretary serves on the Governor’s Workforce Investment Board (GWIB). This access to the GWIB provides DHR with knowledge about high-demand occupations, industry sector initiatives; and business workforce development needs;</w:t>
      </w:r>
    </w:p>
    <w:p w14:paraId="5B5BB13C" w14:textId="221C24F7" w:rsidR="00E778B3" w:rsidRPr="004A0C12" w:rsidRDefault="00E778B3" w:rsidP="00232F09">
      <w:pPr>
        <w:pStyle w:val="Normal1"/>
        <w:numPr>
          <w:ilvl w:val="0"/>
          <w:numId w:val="194"/>
        </w:numPr>
        <w:tabs>
          <w:tab w:val="left" w:pos="0"/>
        </w:tabs>
        <w:jc w:val="both"/>
        <w:rPr>
          <w:rFonts w:ascii="Garamond" w:hAnsi="Garamond"/>
          <w:szCs w:val="22"/>
        </w:rPr>
      </w:pPr>
      <w:r w:rsidRPr="004A0C12">
        <w:rPr>
          <w:rFonts w:ascii="Garamond" w:eastAsia="Arial" w:hAnsi="Garamond"/>
          <w:szCs w:val="22"/>
        </w:rPr>
        <w:t xml:space="preserve">DHR’s Bureau of Workforce Development has a team member that is tasked with business engagement through DHR’s Hiring Agreements program, for both private and public employers. Companies contracted to provide services or goods to the State are required to sign Hiring Agreements which declare DHR as the “first source” in filling positions that may be created as a result of the contract. Further, companies work with DHR to develop specific training to equip eligible TCA customers to fill vacancies.  In addition, this team member works closely with the WIOA Partners statewide business services team, thus integrating into the larger workforce development system’s team that addresses business workforce development needs; and, </w:t>
      </w:r>
    </w:p>
    <w:p w14:paraId="67AB2E99" w14:textId="1DCAFE8D" w:rsidR="00E778B3" w:rsidRPr="004A0C12" w:rsidRDefault="00E778B3" w:rsidP="00232F09">
      <w:pPr>
        <w:pStyle w:val="Normal1"/>
        <w:numPr>
          <w:ilvl w:val="0"/>
          <w:numId w:val="194"/>
        </w:numPr>
        <w:tabs>
          <w:tab w:val="left" w:pos="0"/>
        </w:tabs>
        <w:jc w:val="both"/>
        <w:rPr>
          <w:rFonts w:ascii="Garamond" w:hAnsi="Garamond"/>
          <w:szCs w:val="22"/>
        </w:rPr>
      </w:pPr>
      <w:r w:rsidRPr="004A0C12">
        <w:rPr>
          <w:rFonts w:ascii="Garamond" w:eastAsia="Arial" w:hAnsi="Garamond"/>
          <w:szCs w:val="22"/>
        </w:rPr>
        <w:t>The local department staff that work with businesses to place TCA customers in employment, internships or on-the-job training opportunities are also connected to the WIOA Partners business services teams. This creates a coordinated and integrated system of business engagement. Additionally, the local department staff will begin taking advantage of the quarterly WIOA Partners business services training.</w:t>
      </w:r>
    </w:p>
    <w:p w14:paraId="2D27A1B0" w14:textId="77777777" w:rsidR="00E778B3" w:rsidRPr="004A0C12" w:rsidRDefault="00E778B3" w:rsidP="00E778B3">
      <w:pPr>
        <w:pStyle w:val="Normal1"/>
        <w:tabs>
          <w:tab w:val="left" w:pos="0"/>
        </w:tabs>
        <w:ind w:left="360"/>
        <w:jc w:val="both"/>
        <w:rPr>
          <w:rFonts w:ascii="Garamond" w:hAnsi="Garamond"/>
          <w:szCs w:val="22"/>
        </w:rPr>
      </w:pPr>
    </w:p>
    <w:p w14:paraId="06AC6444" w14:textId="1E22F5C1" w:rsidR="004705C8" w:rsidRPr="004A0C12" w:rsidRDefault="00E778B3" w:rsidP="004705C8">
      <w:pPr>
        <w:pStyle w:val="Normal1"/>
        <w:tabs>
          <w:tab w:val="left" w:pos="0"/>
        </w:tabs>
        <w:jc w:val="both"/>
        <w:rPr>
          <w:rFonts w:ascii="Garamond" w:eastAsia="Arial" w:hAnsi="Garamond"/>
          <w:szCs w:val="22"/>
        </w:rPr>
      </w:pPr>
      <w:r w:rsidRPr="004A0C12">
        <w:rPr>
          <w:rFonts w:ascii="Garamond" w:eastAsia="Arial" w:hAnsi="Garamond"/>
          <w:szCs w:val="22"/>
        </w:rPr>
        <w:t>Additionally, s</w:t>
      </w:r>
      <w:r w:rsidR="004705C8" w:rsidRPr="004A0C12">
        <w:rPr>
          <w:rFonts w:ascii="Garamond" w:eastAsia="Arial" w:hAnsi="Garamond"/>
          <w:szCs w:val="22"/>
        </w:rPr>
        <w:t xml:space="preserve">ome local departments have contracts and </w:t>
      </w:r>
      <w:r w:rsidRPr="004A0C12">
        <w:rPr>
          <w:rFonts w:ascii="Garamond" w:eastAsia="Arial" w:hAnsi="Garamond"/>
          <w:szCs w:val="22"/>
        </w:rPr>
        <w:t>Memoranda of Understanding</w:t>
      </w:r>
      <w:r w:rsidR="004705C8" w:rsidRPr="004A0C12">
        <w:rPr>
          <w:rFonts w:ascii="Garamond" w:eastAsia="Arial" w:hAnsi="Garamond"/>
          <w:szCs w:val="22"/>
        </w:rPr>
        <w:t xml:space="preserve"> with local community colleges to assist customers with vocational skills training and credentialing programs that will allow them to obtain employment at wages that will support their families. These programs include training in the healthcare related field, such as CNA, GNA, Medical Billing and Coding. The current demand for skilled work</w:t>
      </w:r>
      <w:r w:rsidRPr="004A0C12">
        <w:rPr>
          <w:rFonts w:ascii="Garamond" w:eastAsia="Arial" w:hAnsi="Garamond"/>
          <w:szCs w:val="22"/>
        </w:rPr>
        <w:t>ers in these positions is high.</w:t>
      </w:r>
      <w:r w:rsidR="004705C8" w:rsidRPr="004A0C12">
        <w:rPr>
          <w:rFonts w:ascii="Garamond" w:eastAsia="Arial" w:hAnsi="Garamond"/>
          <w:szCs w:val="22"/>
        </w:rPr>
        <w:t xml:space="preserve"> These positions will increase in demand as the </w:t>
      </w:r>
      <w:r w:rsidR="004705C8" w:rsidRPr="004A0C12">
        <w:rPr>
          <w:rFonts w:ascii="Garamond" w:eastAsia="Arial" w:hAnsi="Garamond"/>
          <w:szCs w:val="22"/>
        </w:rPr>
        <w:lastRenderedPageBreak/>
        <w:t>population of “b</w:t>
      </w:r>
      <w:r w:rsidRPr="004A0C12">
        <w:rPr>
          <w:rFonts w:ascii="Garamond" w:eastAsia="Arial" w:hAnsi="Garamond"/>
          <w:szCs w:val="22"/>
        </w:rPr>
        <w:t xml:space="preserve">aby boomers” continues to age. </w:t>
      </w:r>
      <w:r w:rsidR="004705C8" w:rsidRPr="004A0C12">
        <w:rPr>
          <w:rFonts w:ascii="Garamond" w:eastAsia="Arial" w:hAnsi="Garamond"/>
          <w:szCs w:val="22"/>
        </w:rPr>
        <w:t>The State will continue to support training for careers in elder care, as well as provide job search and job placement assistance for careers in the elder care field.</w:t>
      </w:r>
    </w:p>
    <w:p w14:paraId="74E5073F" w14:textId="77777777" w:rsidR="004705C8" w:rsidRPr="004A0C12" w:rsidRDefault="004705C8" w:rsidP="00E778B3">
      <w:pPr>
        <w:pStyle w:val="Normal1"/>
        <w:tabs>
          <w:tab w:val="left" w:pos="720"/>
        </w:tabs>
        <w:jc w:val="both"/>
        <w:rPr>
          <w:rFonts w:ascii="Garamond" w:hAnsi="Garamond"/>
          <w:szCs w:val="22"/>
        </w:rPr>
      </w:pPr>
    </w:p>
    <w:p w14:paraId="1153EB29" w14:textId="77777777" w:rsidR="004705C8" w:rsidRPr="004A0C12" w:rsidRDefault="004705C8" w:rsidP="00232F09">
      <w:pPr>
        <w:pStyle w:val="Normal1"/>
        <w:numPr>
          <w:ilvl w:val="1"/>
          <w:numId w:val="170"/>
        </w:numPr>
        <w:tabs>
          <w:tab w:val="left" w:pos="720"/>
        </w:tabs>
        <w:ind w:left="720" w:hanging="450"/>
        <w:contextualSpacing/>
        <w:jc w:val="both"/>
        <w:rPr>
          <w:rFonts w:ascii="Garamond" w:eastAsia="Arial" w:hAnsi="Garamond"/>
          <w:szCs w:val="22"/>
        </w:rPr>
      </w:pPr>
      <w:r w:rsidRPr="004A0C12">
        <w:rPr>
          <w:rFonts w:ascii="Garamond" w:eastAsia="Arial" w:hAnsi="Garamond"/>
          <w:b/>
          <w:szCs w:val="22"/>
        </w:rPr>
        <w:t>Provide for all MOE-funded services the following information:  the name of the program benefit or service, and the financial eligibility criteria that families must meet in order to receive that benefit or service.  In addition, for TANF MOE-funded services (co-mingled or segregated MOE) describe the program benefit provided to eligible families (SSP services do not have to include a description but  the Department of Health and Human Services encourages it) (§263.2(b)(3) &amp; §263.2(c) preamble pages 17826-7)</w:t>
      </w:r>
    </w:p>
    <w:p w14:paraId="5B712D54" w14:textId="77777777" w:rsidR="004705C8" w:rsidRPr="004A0C12" w:rsidRDefault="004705C8" w:rsidP="004705C8">
      <w:pPr>
        <w:pStyle w:val="Normal1"/>
        <w:tabs>
          <w:tab w:val="left" w:pos="720"/>
        </w:tabs>
        <w:ind w:left="720"/>
        <w:contextualSpacing/>
        <w:jc w:val="both"/>
        <w:rPr>
          <w:rFonts w:ascii="Garamond" w:eastAsia="Arial" w:hAnsi="Garamond"/>
          <w:szCs w:val="22"/>
        </w:rPr>
      </w:pPr>
    </w:p>
    <w:p w14:paraId="70008D48" w14:textId="1D7D84D0" w:rsidR="004705C8" w:rsidRPr="004A0C12" w:rsidRDefault="004705C8" w:rsidP="00902C29">
      <w:pPr>
        <w:pStyle w:val="Normal1"/>
        <w:jc w:val="both"/>
        <w:rPr>
          <w:rFonts w:ascii="Garamond" w:hAnsi="Garamond"/>
          <w:szCs w:val="22"/>
        </w:rPr>
      </w:pPr>
      <w:r w:rsidRPr="004A0C12">
        <w:rPr>
          <w:rFonts w:ascii="Garamond" w:eastAsia="Arial" w:hAnsi="Garamond"/>
          <w:szCs w:val="22"/>
        </w:rPr>
        <w:t>Refer to Section (a)</w:t>
      </w:r>
      <w:r w:rsidR="00EA7878" w:rsidRPr="004A0C12">
        <w:rPr>
          <w:rFonts w:ascii="Garamond" w:eastAsia="Arial" w:hAnsi="Garamond"/>
          <w:szCs w:val="22"/>
        </w:rPr>
        <w:t xml:space="preserve"> </w:t>
      </w:r>
      <w:r w:rsidR="00BB5F3C" w:rsidRPr="004A0C12">
        <w:rPr>
          <w:rFonts w:ascii="Garamond" w:eastAsia="Arial" w:hAnsi="Garamond"/>
          <w:szCs w:val="22"/>
        </w:rPr>
        <w:t xml:space="preserve">page 230 </w:t>
      </w:r>
      <w:r w:rsidRPr="004A0C12">
        <w:rPr>
          <w:rFonts w:ascii="Garamond" w:eastAsia="Arial" w:hAnsi="Garamond"/>
          <w:szCs w:val="22"/>
        </w:rPr>
        <w:t>for detailed descriptions of MOE-funded services.</w:t>
      </w:r>
    </w:p>
    <w:p w14:paraId="603900CF" w14:textId="77777777" w:rsidR="004705C8" w:rsidRPr="004F590C" w:rsidRDefault="004705C8" w:rsidP="00902C29">
      <w:pPr>
        <w:pStyle w:val="Heading2"/>
        <w:rPr>
          <w:rFonts w:ascii="Garamond" w:hAnsi="Garamond"/>
          <w:sz w:val="24"/>
          <w:szCs w:val="22"/>
        </w:rPr>
      </w:pPr>
      <w:bookmarkStart w:id="253" w:name="_Toc447276274"/>
      <w:r w:rsidRPr="004F590C">
        <w:rPr>
          <w:rFonts w:ascii="Garamond" w:hAnsi="Garamond"/>
          <w:sz w:val="24"/>
          <w:szCs w:val="22"/>
        </w:rPr>
        <w:t>TANF OPTIONS SELECTED</w:t>
      </w:r>
      <w:bookmarkEnd w:id="253"/>
    </w:p>
    <w:p w14:paraId="05E0F692" w14:textId="517F6989" w:rsidR="004705C8" w:rsidRPr="004A0C12" w:rsidRDefault="00E778B3" w:rsidP="004705C8">
      <w:pPr>
        <w:spacing w:after="0" w:line="240" w:lineRule="auto"/>
        <w:ind w:left="720" w:hanging="720"/>
        <w:jc w:val="both"/>
        <w:rPr>
          <w:rFonts w:ascii="Garamond" w:hAnsi="Garamond" w:cs="Times New Roman"/>
        </w:rPr>
      </w:pPr>
      <w:r w:rsidRPr="004A0C12">
        <w:rPr>
          <w:rFonts w:ascii="Garamond" w:hAnsi="Garamond" w:cs="Times New Roman"/>
        </w:rPr>
        <w:t xml:space="preserve">Maryland has opted for the following: </w:t>
      </w:r>
    </w:p>
    <w:p w14:paraId="68604D39" w14:textId="77777777" w:rsidR="00E778B3" w:rsidRPr="004A0C12" w:rsidRDefault="00E778B3" w:rsidP="004705C8">
      <w:pPr>
        <w:spacing w:after="0" w:line="240" w:lineRule="auto"/>
        <w:ind w:left="720" w:hanging="720"/>
        <w:jc w:val="both"/>
        <w:rPr>
          <w:rFonts w:ascii="Garamond" w:hAnsi="Garamond" w:cs="Times New Roman"/>
        </w:rPr>
      </w:pPr>
    </w:p>
    <w:p w14:paraId="00D2CF3F" w14:textId="2431322D"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w:t>
      </w:r>
      <w:r w:rsidR="00E778B3" w:rsidRPr="004A0C12">
        <w:rPr>
          <w:rFonts w:ascii="Garamond" w:hAnsi="Garamond"/>
          <w:szCs w:val="22"/>
        </w:rPr>
        <w:t xml:space="preserve">e option to assist all legal immigrants who lived in the U.S. before August 22, 1996 in the same way U.S. citizens are treated; </w:t>
      </w:r>
    </w:p>
    <w:p w14:paraId="49C02700" w14:textId="462020EA" w:rsidR="00E778B3" w:rsidRPr="004A0C12" w:rsidRDefault="00E778B3"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 xml:space="preserve">In 2000, the Maryland General Assembly chose to opt out of the PRWORA Section 115 requirement to disqualify custodial parents convicted of a drug-related felony involving possession, use, or distribution of a controlled substance on or after August 22, 1996 from receiving TCA or Food Supplement Program benefits. Mandatory and recurrent drug testing is a condition for receiving TCA and Food Supplement Program benefits for these custodial parents. The Department developed regulations in consultation with the Department of Health and Mental Hygiene regarding testing methods and intervals. </w:t>
      </w:r>
    </w:p>
    <w:p w14:paraId="76BA0532" w14:textId="5E099F71"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not require an individual who is a single custodial parent caring for a child who has not attained 12 months of age to engage in work.</w:t>
      </w:r>
    </w:p>
    <w:p w14:paraId="4C676B18" w14:textId="656B6C20"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disregard the single custodial parent exempt from work due to caring for a child under the age of 12 months in determining the participation rates for work requirements for not more than 12 months.</w:t>
      </w:r>
    </w:p>
    <w:p w14:paraId="5B4AA146" w14:textId="16CD04DA"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terminate assistance to a family where an individual receiving assistance refuses to engage in work requirements, subject to good cause.</w:t>
      </w:r>
    </w:p>
    <w:p w14:paraId="5C3DEE2D" w14:textId="3EDF7FDE"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 xml:space="preserve">The option to deny assistance to a family where an individual is not cooperating with the establishment of paternity or obtaining child support. </w:t>
      </w:r>
    </w:p>
    <w:p w14:paraId="2A9DB944" w14:textId="4E151C28"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 xml:space="preserve">The option to exempt from the 60 month limitation a family by reason of hardship, not to exceed a total of 20 percent of the average monthly number of families to which assistance is provided. </w:t>
      </w:r>
    </w:p>
    <w:p w14:paraId="29A29589"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continue assistance for a child absent from the home fewer than 180 consecutive days.</w:t>
      </w:r>
    </w:p>
    <w:p w14:paraId="751912F6"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develop a family responsibility plan.</w:t>
      </w:r>
      <w:r w:rsidR="00E778B3" w:rsidRPr="004A0C12">
        <w:rPr>
          <w:rFonts w:ascii="Garamond" w:hAnsi="Garamond"/>
          <w:szCs w:val="22"/>
        </w:rPr>
        <w:t xml:space="preserve"> </w:t>
      </w:r>
      <w:r w:rsidRPr="004A0C12">
        <w:rPr>
          <w:rFonts w:ascii="Garamond" w:hAnsi="Garamond"/>
          <w:szCs w:val="22"/>
        </w:rPr>
        <w:t>The plan sets forth an employment goal and a plan for moving the individual immediately into private employment, sets forth the obligations of the individual which may include a requirement to attend school, keep school aged children in school, immunize children, attend parenting and money management classes, set other requirements which will result in unsubsidized employment, and describe the services the State will provide to assist the individual to attain self-sufficiency.</w:t>
      </w:r>
    </w:p>
    <w:p w14:paraId="2AFABF54"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 xml:space="preserve">The option to comply with the above option within 180 days after the effective date of this part for a recipient of assistance, and within 90 days after the effective date of this part after the individual is determined to be eligible for assistance. </w:t>
      </w:r>
    </w:p>
    <w:p w14:paraId="403ABC8D"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apply a full-family sanction to a family that includes an individual who fails, without good cause, to meet the individual responsibility plan.</w:t>
      </w:r>
    </w:p>
    <w:p w14:paraId="02C9556B"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use a sampling method using the procedures the Secretary deems to be necessary to produce statistically valid estimates of the performance of State programs funded under this part.</w:t>
      </w:r>
    </w:p>
    <w:p w14:paraId="1BF81D78"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administer and provide services through contracts with charitable, religious, or private organizations, and provide beneficiaries of the services with vouchers, certificates, or forms of disbursement which are redeemable with such organizations, or used as a means of providing assistance.</w:t>
      </w:r>
    </w:p>
    <w:p w14:paraId="6B12B132"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sanction a family that fails to ensure that minor dependent school-age children attend school and minor dependent pre-school children get preventive health care.</w:t>
      </w:r>
    </w:p>
    <w:p w14:paraId="0B9C1958"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lastRenderedPageBreak/>
        <w:t>The option to screen and identify victims of domestic violence. Refer such individuals to counseling and supportive services.  Waive, pursuant to a determination of good cause, other program requirements outlined in Section 402 (a), (7), (A), (I), (ii), and (iii) of the Personal Responsibility and Work Opportunity Reconciliation Act of 1996.</w:t>
      </w:r>
    </w:p>
    <w:p w14:paraId="51192CB2"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exempt a family from the 60 month limitation when a family includes an individual who has been battered</w:t>
      </w:r>
      <w:r w:rsidR="00E778B3" w:rsidRPr="004A0C12">
        <w:rPr>
          <w:rFonts w:ascii="Garamond" w:hAnsi="Garamond"/>
          <w:szCs w:val="22"/>
        </w:rPr>
        <w:t xml:space="preserve"> or subject to extreme cruelty.</w:t>
      </w:r>
    </w:p>
    <w:p w14:paraId="24FB338E" w14:textId="77777777" w:rsidR="00E778B3"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 xml:space="preserve">The option to establish good cause reasons for a minor to be absent from the home for longer than </w:t>
      </w:r>
      <w:r w:rsidR="00E778B3" w:rsidRPr="004A0C12">
        <w:rPr>
          <w:rFonts w:ascii="Garamond" w:hAnsi="Garamond"/>
          <w:szCs w:val="22"/>
        </w:rPr>
        <w:t>180 consecutive days.</w:t>
      </w:r>
    </w:p>
    <w:p w14:paraId="2AB97101" w14:textId="53F5A102" w:rsidR="004705C8" w:rsidRPr="004A0C12" w:rsidRDefault="004705C8" w:rsidP="00232F09">
      <w:pPr>
        <w:pStyle w:val="ListParagraph"/>
        <w:widowControl w:val="0"/>
        <w:numPr>
          <w:ilvl w:val="0"/>
          <w:numId w:val="288"/>
        </w:numPr>
        <w:tabs>
          <w:tab w:val="left" w:pos="-1440"/>
        </w:tabs>
        <w:jc w:val="both"/>
        <w:rPr>
          <w:rFonts w:ascii="Garamond" w:hAnsi="Garamond"/>
          <w:szCs w:val="22"/>
        </w:rPr>
      </w:pPr>
      <w:r w:rsidRPr="004A0C12">
        <w:rPr>
          <w:rFonts w:ascii="Garamond" w:hAnsi="Garamond"/>
          <w:szCs w:val="22"/>
        </w:rPr>
        <w:t>The option to screen recipients of assistance for use of controlled substances or sanction recipients who test positive for controlled substances.</w:t>
      </w:r>
    </w:p>
    <w:p w14:paraId="1C0021AA" w14:textId="77777777" w:rsidR="004705C8" w:rsidRPr="004A0C12" w:rsidRDefault="004705C8" w:rsidP="004705C8">
      <w:pPr>
        <w:tabs>
          <w:tab w:val="left" w:pos="-1440"/>
        </w:tabs>
        <w:spacing w:after="0" w:line="240" w:lineRule="auto"/>
        <w:jc w:val="both"/>
        <w:rPr>
          <w:rFonts w:ascii="Garamond" w:hAnsi="Garamond" w:cs="Times New Roman"/>
        </w:rPr>
      </w:pPr>
    </w:p>
    <w:p w14:paraId="4C1841FC" w14:textId="77777777" w:rsidR="004705C8" w:rsidRPr="004F590C" w:rsidRDefault="004705C8" w:rsidP="009B4C64">
      <w:pPr>
        <w:pStyle w:val="Heading1"/>
        <w:rPr>
          <w:rFonts w:ascii="Garamond" w:hAnsi="Garamond"/>
          <w:sz w:val="24"/>
          <w:szCs w:val="22"/>
        </w:rPr>
      </w:pPr>
      <w:bookmarkStart w:id="254" w:name="_Toc447276275"/>
      <w:r w:rsidRPr="004F590C">
        <w:rPr>
          <w:rFonts w:ascii="Garamond" w:hAnsi="Garamond"/>
          <w:sz w:val="24"/>
          <w:szCs w:val="22"/>
        </w:rPr>
        <w:t>TANF OPTIONS NOT SELECTED AT THIS TIME</w:t>
      </w:r>
      <w:bookmarkEnd w:id="254"/>
    </w:p>
    <w:p w14:paraId="3083A1D5" w14:textId="77777777" w:rsidR="00E778B3" w:rsidRPr="004A0C12" w:rsidRDefault="00E778B3" w:rsidP="00E778B3">
      <w:pPr>
        <w:spacing w:after="0" w:line="240" w:lineRule="auto"/>
        <w:jc w:val="both"/>
        <w:rPr>
          <w:rFonts w:ascii="Garamond" w:hAnsi="Garamond" w:cs="Times New Roman"/>
        </w:rPr>
      </w:pPr>
      <w:r w:rsidRPr="004A0C12">
        <w:rPr>
          <w:rFonts w:ascii="Garamond" w:hAnsi="Garamond" w:cs="Times New Roman"/>
        </w:rPr>
        <w:t xml:space="preserve">Maryland has elected to opt out of the following options at this time: </w:t>
      </w:r>
    </w:p>
    <w:p w14:paraId="7A8C2821" w14:textId="77777777" w:rsidR="00E778B3" w:rsidRPr="004A0C12" w:rsidRDefault="00E778B3" w:rsidP="00E778B3">
      <w:pPr>
        <w:spacing w:after="0" w:line="240" w:lineRule="auto"/>
        <w:jc w:val="both"/>
        <w:rPr>
          <w:rFonts w:ascii="Garamond" w:hAnsi="Garamond" w:cs="Times New Roman"/>
        </w:rPr>
      </w:pPr>
    </w:p>
    <w:p w14:paraId="7DE8302F" w14:textId="77777777" w:rsidR="00E778B3" w:rsidRPr="004A0C12" w:rsidRDefault="004705C8" w:rsidP="00232F09">
      <w:pPr>
        <w:pStyle w:val="ListParagraph"/>
        <w:numPr>
          <w:ilvl w:val="0"/>
          <w:numId w:val="289"/>
        </w:numPr>
        <w:jc w:val="both"/>
        <w:rPr>
          <w:rFonts w:ascii="Garamond" w:hAnsi="Garamond"/>
          <w:szCs w:val="22"/>
        </w:rPr>
      </w:pPr>
      <w:r w:rsidRPr="004A0C12">
        <w:rPr>
          <w:rFonts w:ascii="Garamond" w:hAnsi="Garamond"/>
          <w:szCs w:val="22"/>
        </w:rPr>
        <w:t>The option to require a parent or caretaker receiving assistance under the program who, after receiving such assistance for 2 months is not exempt from work requirements and is not engaged in work, to participate in community service employment.</w:t>
      </w:r>
    </w:p>
    <w:p w14:paraId="196F5B3D" w14:textId="77777777" w:rsidR="00E778B3" w:rsidRPr="004A0C12" w:rsidRDefault="004705C8" w:rsidP="00232F09">
      <w:pPr>
        <w:pStyle w:val="ListParagraph"/>
        <w:numPr>
          <w:ilvl w:val="0"/>
          <w:numId w:val="289"/>
        </w:numPr>
        <w:jc w:val="both"/>
        <w:rPr>
          <w:rFonts w:ascii="Garamond" w:hAnsi="Garamond"/>
          <w:szCs w:val="22"/>
        </w:rPr>
      </w:pPr>
      <w:r w:rsidRPr="004A0C12">
        <w:rPr>
          <w:rFonts w:ascii="Garamond" w:hAnsi="Garamond"/>
          <w:szCs w:val="22"/>
        </w:rPr>
        <w:t>The option to sanction a family that includes an adult who is older than 20 and younger than 51 if such adult does not have, or is not working toward attaining, a secondary school diploma or its recognized equivalent unless certain exceptions are met.</w:t>
      </w:r>
    </w:p>
    <w:p w14:paraId="4FA0E178" w14:textId="77777777" w:rsidR="00E778B3" w:rsidRPr="004A0C12" w:rsidRDefault="004705C8" w:rsidP="00232F09">
      <w:pPr>
        <w:pStyle w:val="ListParagraph"/>
        <w:numPr>
          <w:ilvl w:val="0"/>
          <w:numId w:val="289"/>
        </w:numPr>
        <w:jc w:val="both"/>
        <w:rPr>
          <w:rFonts w:ascii="Garamond" w:hAnsi="Garamond"/>
          <w:szCs w:val="22"/>
        </w:rPr>
      </w:pPr>
      <w:r w:rsidRPr="004A0C12">
        <w:rPr>
          <w:rFonts w:ascii="Garamond" w:hAnsi="Garamond"/>
          <w:szCs w:val="22"/>
        </w:rPr>
        <w:t>The option to reduce the amount of assistance otherwise payable to a family pro rata with respect to any period during a month in which an individual receiving assistance refuses to comply with work requirements.</w:t>
      </w:r>
    </w:p>
    <w:p w14:paraId="1B432D36" w14:textId="77777777" w:rsidR="00E778B3" w:rsidRPr="004A0C12" w:rsidRDefault="004705C8" w:rsidP="00232F09">
      <w:pPr>
        <w:pStyle w:val="ListParagraph"/>
        <w:numPr>
          <w:ilvl w:val="0"/>
          <w:numId w:val="289"/>
        </w:numPr>
        <w:jc w:val="both"/>
        <w:rPr>
          <w:rFonts w:ascii="Garamond" w:hAnsi="Garamond"/>
          <w:szCs w:val="22"/>
        </w:rPr>
      </w:pPr>
      <w:r w:rsidRPr="004A0C12">
        <w:rPr>
          <w:rFonts w:ascii="Garamond" w:hAnsi="Garamond"/>
          <w:szCs w:val="22"/>
        </w:rPr>
        <w:t>The option to deduct from the assistance that would otherwise be provided to a family of an individual who is not cooperating in the establishment of paternity or obtaining child support 25 percent of the amount of such assistance.</w:t>
      </w:r>
    </w:p>
    <w:p w14:paraId="0BCAD892" w14:textId="7BCA1902" w:rsidR="009B4C64" w:rsidRPr="005A2120" w:rsidRDefault="004705C8" w:rsidP="00232F09">
      <w:pPr>
        <w:pStyle w:val="ListParagraph"/>
        <w:numPr>
          <w:ilvl w:val="0"/>
          <w:numId w:val="289"/>
        </w:numPr>
        <w:jc w:val="both"/>
        <w:rPr>
          <w:rFonts w:ascii="Garamond" w:hAnsi="Garamond"/>
          <w:szCs w:val="22"/>
        </w:rPr>
      </w:pPr>
      <w:r w:rsidRPr="004A0C12">
        <w:rPr>
          <w:rFonts w:ascii="Garamond" w:hAnsi="Garamond"/>
          <w:szCs w:val="22"/>
        </w:rPr>
        <w:t>The option to not use any part of the grant to provide assistance for a minor child who has been, or is expected to be absent from the home for a period of 45 consecutive days.</w:t>
      </w:r>
    </w:p>
    <w:p w14:paraId="4535CC2F" w14:textId="3EC9A1F5" w:rsidR="009B4C64" w:rsidRPr="004A0C12" w:rsidRDefault="004F590C" w:rsidP="00C73398">
      <w:pPr>
        <w:pStyle w:val="Normal1"/>
        <w:tabs>
          <w:tab w:val="left" w:pos="720"/>
        </w:tabs>
        <w:ind w:left="720" w:hanging="360"/>
        <w:rPr>
          <w:rFonts w:ascii="Garamond" w:hAnsi="Garamond"/>
          <w:szCs w:val="22"/>
        </w:rPr>
      </w:pPr>
      <w:r>
        <w:rPr>
          <w:rFonts w:ascii="Garamond" w:hAnsi="Garamond"/>
          <w:b/>
          <w:noProof/>
          <w:szCs w:val="22"/>
        </w:rPr>
        <w:lastRenderedPageBreak/>
        <w:drawing>
          <wp:inline distT="0" distB="0" distL="0" distR="0" wp14:anchorId="58571BEE" wp14:editId="20D750D4">
            <wp:extent cx="6425565" cy="81756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25565" cy="8175625"/>
                    </a:xfrm>
                    <a:prstGeom prst="rect">
                      <a:avLst/>
                    </a:prstGeom>
                    <a:noFill/>
                  </pic:spPr>
                </pic:pic>
              </a:graphicData>
            </a:graphic>
          </wp:inline>
        </w:drawing>
      </w:r>
    </w:p>
    <w:p w14:paraId="1258098E" w14:textId="3EC61FD5" w:rsidR="00FB2F19" w:rsidRPr="004A0C12" w:rsidRDefault="00FB2F19" w:rsidP="001E27E7">
      <w:pPr>
        <w:pStyle w:val="FreeForm"/>
        <w:rPr>
          <w:rFonts w:ascii="Garamond" w:hAnsi="Garamond"/>
          <w:b/>
          <w:sz w:val="22"/>
          <w:szCs w:val="22"/>
        </w:rPr>
      </w:pPr>
    </w:p>
    <w:p w14:paraId="290547F5" w14:textId="1B32FD07" w:rsidR="00FB2F19" w:rsidRPr="004A0C12" w:rsidRDefault="00E778B3" w:rsidP="001E27E7">
      <w:pPr>
        <w:pStyle w:val="FreeForm"/>
        <w:rPr>
          <w:rFonts w:ascii="Garamond" w:hAnsi="Garamond"/>
          <w:b/>
          <w:sz w:val="22"/>
          <w:szCs w:val="22"/>
        </w:rPr>
      </w:pPr>
      <w:r w:rsidRPr="004A0C12">
        <w:rPr>
          <w:rFonts w:ascii="Garamond" w:hAnsi="Garamond"/>
          <w:noProof/>
          <w:sz w:val="22"/>
          <w:szCs w:val="22"/>
        </w:rPr>
        <w:drawing>
          <wp:inline distT="0" distB="0" distL="0" distR="0" wp14:anchorId="0E21C259" wp14:editId="1101C2A9">
            <wp:extent cx="6321287" cy="8044589"/>
            <wp:effectExtent l="0" t="0" r="3810" b="0"/>
            <wp:docPr id="45" name="Picture 45" descr="This shows that the Secretary for the Maryland Department of Human Resources assures that the TANF certifications are met. " title="TANF Cert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21615" cy="8045006"/>
                    </a:xfrm>
                    <a:prstGeom prst="rect">
                      <a:avLst/>
                    </a:prstGeom>
                    <a:noFill/>
                    <a:ln>
                      <a:noFill/>
                    </a:ln>
                  </pic:spPr>
                </pic:pic>
              </a:graphicData>
            </a:graphic>
          </wp:inline>
        </w:drawing>
      </w:r>
    </w:p>
    <w:p w14:paraId="2BA7B4C9" w14:textId="7D95AFD6" w:rsidR="001E27E7" w:rsidRPr="004F590C" w:rsidRDefault="00047DFA" w:rsidP="001E27E7">
      <w:pPr>
        <w:pStyle w:val="Heading1"/>
        <w:rPr>
          <w:rFonts w:ascii="Garamond" w:hAnsi="Garamond"/>
          <w:szCs w:val="22"/>
        </w:rPr>
      </w:pPr>
      <w:bookmarkStart w:id="255" w:name="_Toc447276276"/>
      <w:r w:rsidRPr="004F590C">
        <w:rPr>
          <w:rFonts w:ascii="Garamond" w:hAnsi="Garamond"/>
          <w:szCs w:val="22"/>
        </w:rPr>
        <w:lastRenderedPageBreak/>
        <w:t>PART 9</w:t>
      </w:r>
      <w:r w:rsidR="001E27E7" w:rsidRPr="004F590C">
        <w:rPr>
          <w:rFonts w:ascii="Garamond" w:hAnsi="Garamond"/>
          <w:szCs w:val="22"/>
        </w:rPr>
        <w:t>. JOBS FOR VETERANS STATE GRANTS</w:t>
      </w:r>
      <w:bookmarkEnd w:id="255"/>
      <w:r w:rsidR="001E27E7" w:rsidRPr="004F590C">
        <w:rPr>
          <w:rFonts w:ascii="Garamond" w:hAnsi="Garamond"/>
          <w:szCs w:val="22"/>
        </w:rPr>
        <w:t xml:space="preserve"> </w:t>
      </w:r>
    </w:p>
    <w:p w14:paraId="5BCF4AA6" w14:textId="77777777" w:rsidR="001E27E7" w:rsidRPr="004A0C12" w:rsidRDefault="001E27E7" w:rsidP="001E27E7">
      <w:pPr>
        <w:pStyle w:val="FreeForm"/>
        <w:rPr>
          <w:rFonts w:ascii="Garamond" w:hAnsi="Garamond"/>
          <w:sz w:val="22"/>
          <w:szCs w:val="22"/>
        </w:rPr>
      </w:pPr>
    </w:p>
    <w:p w14:paraId="65B75140"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To meet the training and employment needs of Veterans, DLLR answers to two USDOL agencies—the Veterans Employment and Training Service (VETS) and the Employment and Training Administration (ETA). Through collaboration with VETS, DLLR administers the Jobs for Veterans State Grant (JSVG) Program, which allows for Veterans with significant barriers to employment to receive tailored employment and training services. DLLR also administers important ETA programs, such as Workforce Innovation and Opportunity Act Title I Adult, Dislocated Worker, and Youth Programs, and Wagner-Peyser Act Employment Services. These programs are universally accessible to all eligible job seekers. Pursuant to Title 38 of the United State Code and rules and regulations issued by USDOL, Veterans and eligible spouses, including widows and widowers as defined in applicable law, receive Priority of Service for all programs or services for workforce preparation, development, or delivery that is directly funded, in whole or in part, by USDOL. </w:t>
      </w:r>
    </w:p>
    <w:p w14:paraId="44B50281" w14:textId="77777777" w:rsidR="00811745" w:rsidRPr="004A0C12" w:rsidRDefault="00811745" w:rsidP="00811745">
      <w:pPr>
        <w:spacing w:after="0" w:line="240" w:lineRule="auto"/>
        <w:jc w:val="both"/>
        <w:rPr>
          <w:rFonts w:ascii="Garamond" w:hAnsi="Garamond" w:cs="Times New Roman"/>
        </w:rPr>
      </w:pPr>
    </w:p>
    <w:p w14:paraId="6F2DEB2C"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Both VETS- and ETA-administered programs are offered through the American Job Center system. Through the American Job Center system, DLLR connects employers with work-ready Veterans and provides Veterans with comprehensive employment and training services. Partner agencies interested in connecting Veterans with employment services are encouraged to contact their nearest American Job Center. </w:t>
      </w:r>
    </w:p>
    <w:p w14:paraId="4FA3EECB" w14:textId="77777777" w:rsidR="00811745" w:rsidRPr="004A0C12" w:rsidRDefault="00811745" w:rsidP="00811745">
      <w:pPr>
        <w:spacing w:after="0" w:line="240" w:lineRule="auto"/>
        <w:jc w:val="both"/>
        <w:rPr>
          <w:rFonts w:ascii="Garamond" w:hAnsi="Garamond" w:cs="Times New Roman"/>
        </w:rPr>
      </w:pPr>
    </w:p>
    <w:p w14:paraId="5F0CCCAB"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DVOP specialists provide intensive services</w:t>
      </w:r>
      <w:r w:rsidRPr="004A0C12">
        <w:rPr>
          <w:rStyle w:val="FootnoteReference"/>
          <w:rFonts w:ascii="Garamond" w:hAnsi="Garamond" w:cs="Times New Roman"/>
        </w:rPr>
        <w:footnoteReference w:id="64"/>
      </w:r>
      <w:r w:rsidRPr="004A0C12">
        <w:rPr>
          <w:rFonts w:ascii="Garamond" w:hAnsi="Garamond" w:cs="Times New Roman"/>
        </w:rPr>
        <w:t xml:space="preserve"> and facilitate placements to meet the employment needs of Veterans. Pursuant to 38 U.S.C. 4103A, “special disabled Veterans,” “other disabled Veterans,” and “other eligible Veterans” receive priority in the provision of intensive services in accordance with priorities determined by the U.S. Secretary of Labor. In any event, maximum emphasis must be placed in meeting the employment needs of veterans who are economically or educationally disadvantaged, including homeless Veterans and those with barriers to employment. </w:t>
      </w:r>
    </w:p>
    <w:p w14:paraId="09149DAE" w14:textId="77777777" w:rsidR="00811745" w:rsidRPr="004A0C12" w:rsidRDefault="00811745" w:rsidP="00811745">
      <w:pPr>
        <w:spacing w:after="0" w:line="240" w:lineRule="auto"/>
        <w:jc w:val="both"/>
        <w:rPr>
          <w:rFonts w:ascii="Garamond" w:hAnsi="Garamond" w:cs="Times New Roman"/>
        </w:rPr>
      </w:pPr>
    </w:p>
    <w:p w14:paraId="76F1E2B7"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LVERs conduct outreach to local employers to assist Veterans in gaining employment. This includes conducting seminars for employers, job search workshops, and facilitating employment training and placement services offered to Veterans in the State.    </w:t>
      </w:r>
    </w:p>
    <w:p w14:paraId="389383C3" w14:textId="77777777" w:rsidR="00811745" w:rsidRPr="004A0C12" w:rsidRDefault="00811745" w:rsidP="00811745">
      <w:pPr>
        <w:spacing w:after="0" w:line="240" w:lineRule="auto"/>
        <w:jc w:val="both"/>
        <w:rPr>
          <w:rFonts w:ascii="Garamond" w:hAnsi="Garamond" w:cs="Times New Roman"/>
        </w:rPr>
      </w:pPr>
    </w:p>
    <w:p w14:paraId="0E329E4B" w14:textId="77777777" w:rsidR="00811745" w:rsidRPr="004A0C12" w:rsidRDefault="00811745" w:rsidP="00811745">
      <w:pPr>
        <w:pStyle w:val="ListParagraph"/>
        <w:shd w:val="clear" w:color="auto" w:fill="FFFFFF"/>
        <w:ind w:left="0"/>
        <w:jc w:val="both"/>
        <w:rPr>
          <w:rFonts w:ascii="Garamond" w:hAnsi="Garamond"/>
          <w:szCs w:val="22"/>
        </w:rPr>
      </w:pPr>
      <w:r w:rsidRPr="004A0C12">
        <w:rPr>
          <w:rFonts w:ascii="Garamond" w:hAnsi="Garamond"/>
          <w:szCs w:val="22"/>
        </w:rPr>
        <w:t xml:space="preserve">Both staff positions, each with their own distinct duties, are integrated into the American Job Center funds and are tasked to serve Veterans exclusively, other eligible persons, transitioning service members, their spouses and, indirectly, employers. Maryland maintains a continued emphasis on transitioning Veterans, their spouses, and other eligible persons to the workforce. </w:t>
      </w:r>
    </w:p>
    <w:p w14:paraId="46EF5D8A" w14:textId="77777777" w:rsidR="00811745" w:rsidRPr="004A0C12" w:rsidRDefault="00811745" w:rsidP="00811745">
      <w:pPr>
        <w:pStyle w:val="ListParagraph"/>
        <w:shd w:val="clear" w:color="auto" w:fill="FFFFFF"/>
        <w:ind w:left="0"/>
        <w:contextualSpacing/>
        <w:jc w:val="both"/>
        <w:rPr>
          <w:rFonts w:ascii="Garamond" w:hAnsi="Garamond"/>
          <w:szCs w:val="22"/>
        </w:rPr>
      </w:pPr>
    </w:p>
    <w:p w14:paraId="67E45D1C" w14:textId="77777777" w:rsidR="00811745" w:rsidRPr="004A0C12" w:rsidRDefault="00811745" w:rsidP="00811745">
      <w:pPr>
        <w:pStyle w:val="ListParagraph"/>
        <w:shd w:val="clear" w:color="auto" w:fill="FFFFFF"/>
        <w:ind w:left="0"/>
        <w:contextualSpacing/>
        <w:jc w:val="both"/>
        <w:rPr>
          <w:rFonts w:ascii="Garamond" w:hAnsi="Garamond"/>
          <w:szCs w:val="22"/>
        </w:rPr>
      </w:pPr>
      <w:r w:rsidRPr="004A0C12">
        <w:rPr>
          <w:rFonts w:ascii="Garamond" w:hAnsi="Garamond"/>
          <w:szCs w:val="22"/>
        </w:rPr>
        <w:t xml:space="preserve">Statewide, there are seventeen (17) LVERs and twenty-two (28) DVOPs, many of whom are themselves Veterans. Staff manages the process of how veterans make use of their priority services including: </w:t>
      </w:r>
    </w:p>
    <w:p w14:paraId="3ED4DD2E" w14:textId="77777777" w:rsidR="00811745" w:rsidRPr="004A0C12" w:rsidRDefault="00811745" w:rsidP="00811745">
      <w:pPr>
        <w:pStyle w:val="ListParagraph"/>
        <w:shd w:val="clear" w:color="auto" w:fill="FFFFFF"/>
        <w:ind w:left="0"/>
        <w:contextualSpacing/>
        <w:jc w:val="both"/>
        <w:rPr>
          <w:rFonts w:ascii="Garamond" w:hAnsi="Garamond"/>
          <w:szCs w:val="22"/>
        </w:rPr>
      </w:pPr>
    </w:p>
    <w:p w14:paraId="0735F7AB" w14:textId="77777777" w:rsidR="00811745" w:rsidRPr="004A0C12" w:rsidRDefault="00811745" w:rsidP="00232F09">
      <w:pPr>
        <w:pStyle w:val="ListParagraph"/>
        <w:numPr>
          <w:ilvl w:val="0"/>
          <w:numId w:val="168"/>
        </w:numPr>
        <w:shd w:val="clear" w:color="auto" w:fill="FFFFFF"/>
        <w:contextualSpacing/>
        <w:jc w:val="both"/>
        <w:rPr>
          <w:rFonts w:ascii="Garamond" w:hAnsi="Garamond"/>
          <w:szCs w:val="22"/>
        </w:rPr>
      </w:pPr>
      <w:r w:rsidRPr="004A0C12">
        <w:rPr>
          <w:rFonts w:ascii="Garamond" w:hAnsi="Garamond"/>
          <w:szCs w:val="22"/>
        </w:rPr>
        <w:t xml:space="preserve">Finding a job; </w:t>
      </w:r>
    </w:p>
    <w:p w14:paraId="3C6B1950" w14:textId="77777777" w:rsidR="00811745" w:rsidRPr="004A0C12" w:rsidRDefault="00811745" w:rsidP="00232F09">
      <w:pPr>
        <w:pStyle w:val="ListParagraph"/>
        <w:numPr>
          <w:ilvl w:val="0"/>
          <w:numId w:val="168"/>
        </w:numPr>
        <w:shd w:val="clear" w:color="auto" w:fill="FFFFFF"/>
        <w:contextualSpacing/>
        <w:jc w:val="both"/>
        <w:rPr>
          <w:rFonts w:ascii="Garamond" w:hAnsi="Garamond"/>
          <w:szCs w:val="22"/>
        </w:rPr>
      </w:pPr>
      <w:r w:rsidRPr="004A0C12">
        <w:rPr>
          <w:rFonts w:ascii="Garamond" w:hAnsi="Garamond"/>
          <w:szCs w:val="22"/>
        </w:rPr>
        <w:t xml:space="preserve">Enrolling in training or applying for educational assistance (credential attainment); </w:t>
      </w:r>
    </w:p>
    <w:p w14:paraId="73B6E2C2" w14:textId="77777777" w:rsidR="00811745" w:rsidRPr="004A0C12" w:rsidRDefault="00811745" w:rsidP="00232F09">
      <w:pPr>
        <w:pStyle w:val="ListParagraph"/>
        <w:numPr>
          <w:ilvl w:val="0"/>
          <w:numId w:val="168"/>
        </w:numPr>
        <w:shd w:val="clear" w:color="auto" w:fill="FFFFFF"/>
        <w:contextualSpacing/>
        <w:jc w:val="both"/>
        <w:rPr>
          <w:rFonts w:ascii="Garamond" w:hAnsi="Garamond"/>
          <w:szCs w:val="22"/>
        </w:rPr>
      </w:pPr>
      <w:r w:rsidRPr="004A0C12">
        <w:rPr>
          <w:rFonts w:ascii="Garamond" w:hAnsi="Garamond"/>
          <w:szCs w:val="22"/>
        </w:rPr>
        <w:t>VRAP/Gold Card Services; and</w:t>
      </w:r>
    </w:p>
    <w:p w14:paraId="4A261E5E" w14:textId="77777777" w:rsidR="00811745" w:rsidRPr="004A0C12" w:rsidRDefault="00811745" w:rsidP="00232F09">
      <w:pPr>
        <w:pStyle w:val="ListParagraph"/>
        <w:numPr>
          <w:ilvl w:val="0"/>
          <w:numId w:val="168"/>
        </w:numPr>
        <w:shd w:val="clear" w:color="auto" w:fill="FFFFFF"/>
        <w:contextualSpacing/>
        <w:jc w:val="both"/>
        <w:rPr>
          <w:rFonts w:ascii="Garamond" w:hAnsi="Garamond"/>
          <w:szCs w:val="22"/>
        </w:rPr>
      </w:pPr>
      <w:r w:rsidRPr="004A0C12">
        <w:rPr>
          <w:rFonts w:ascii="Garamond" w:hAnsi="Garamond"/>
          <w:szCs w:val="22"/>
        </w:rPr>
        <w:t>Connecting to resources/information on immediate needs such as housing/food/mental health services.</w:t>
      </w:r>
    </w:p>
    <w:p w14:paraId="3367D996" w14:textId="77777777" w:rsidR="00811745" w:rsidRPr="004A0C12" w:rsidRDefault="00811745" w:rsidP="00811745">
      <w:pPr>
        <w:pStyle w:val="ListParagraph"/>
        <w:shd w:val="clear" w:color="auto" w:fill="FFFFFF"/>
        <w:ind w:left="0"/>
        <w:contextualSpacing/>
        <w:jc w:val="both"/>
        <w:rPr>
          <w:rFonts w:ascii="Garamond" w:hAnsi="Garamond"/>
          <w:szCs w:val="22"/>
        </w:rPr>
      </w:pPr>
    </w:p>
    <w:p w14:paraId="32131660" w14:textId="77777777" w:rsidR="00811745" w:rsidRPr="004A0C12" w:rsidRDefault="00811745" w:rsidP="00811745">
      <w:pPr>
        <w:pStyle w:val="ListParagraph"/>
        <w:shd w:val="clear" w:color="auto" w:fill="FFFFFF"/>
        <w:ind w:left="0"/>
        <w:contextualSpacing/>
        <w:jc w:val="both"/>
        <w:rPr>
          <w:rFonts w:ascii="Garamond" w:hAnsi="Garamond"/>
          <w:szCs w:val="22"/>
        </w:rPr>
      </w:pPr>
      <w:r w:rsidRPr="004A0C12">
        <w:rPr>
          <w:rFonts w:ascii="Garamond" w:hAnsi="Garamond"/>
          <w:szCs w:val="22"/>
        </w:rPr>
        <w:t>Once enrolled at the American Job Center, DVOPs work with Veterans to encourage them to attend an orientation session, and register with the Maryland Workforce Exchange (MWE). Within the MWE is the Mil2FedsJobs portal, which is designed to help transitioning military personnel find jobs for which their service experience and training would make them a qualified and attractive candidate. The portal uses military occupations to identify matches in public sector industries.</w:t>
      </w:r>
    </w:p>
    <w:p w14:paraId="214E3446" w14:textId="77777777" w:rsidR="00811745" w:rsidRPr="004A0C12" w:rsidRDefault="00811745" w:rsidP="00811745">
      <w:pPr>
        <w:pStyle w:val="ListParagraph"/>
        <w:shd w:val="clear" w:color="auto" w:fill="FFFFFF"/>
        <w:ind w:left="0"/>
        <w:contextualSpacing/>
        <w:jc w:val="both"/>
        <w:rPr>
          <w:rFonts w:ascii="Garamond" w:hAnsi="Garamond"/>
          <w:szCs w:val="22"/>
        </w:rPr>
      </w:pPr>
    </w:p>
    <w:p w14:paraId="50381B46" w14:textId="77777777" w:rsidR="00811745" w:rsidRPr="004A0C12" w:rsidRDefault="00811745" w:rsidP="00811745">
      <w:pPr>
        <w:pStyle w:val="ListParagraph"/>
        <w:shd w:val="clear" w:color="auto" w:fill="FFFFFF"/>
        <w:ind w:left="0"/>
        <w:contextualSpacing/>
        <w:jc w:val="both"/>
        <w:rPr>
          <w:rFonts w:ascii="Garamond" w:hAnsi="Garamond"/>
          <w:szCs w:val="22"/>
        </w:rPr>
      </w:pPr>
      <w:r w:rsidRPr="004A0C12">
        <w:rPr>
          <w:rFonts w:ascii="Garamond" w:hAnsi="Garamond"/>
          <w:szCs w:val="22"/>
        </w:rPr>
        <w:t>The following efforts have been taken to ensure the strategic development of the JVSG program:</w:t>
      </w:r>
    </w:p>
    <w:p w14:paraId="137B2EF7" w14:textId="77777777" w:rsidR="00811745" w:rsidRPr="004A0C12" w:rsidRDefault="00811745" w:rsidP="00811745">
      <w:pPr>
        <w:pStyle w:val="ListParagraph"/>
        <w:shd w:val="clear" w:color="auto" w:fill="FFFFFF"/>
        <w:ind w:left="0"/>
        <w:contextualSpacing/>
        <w:jc w:val="both"/>
        <w:rPr>
          <w:rFonts w:ascii="Garamond" w:hAnsi="Garamond"/>
          <w:szCs w:val="22"/>
        </w:rPr>
      </w:pPr>
    </w:p>
    <w:p w14:paraId="77C567BC" w14:textId="77777777" w:rsidR="00811745" w:rsidRPr="004A0C12" w:rsidRDefault="00811745" w:rsidP="00232F09">
      <w:pPr>
        <w:pStyle w:val="ListParagraph"/>
        <w:numPr>
          <w:ilvl w:val="0"/>
          <w:numId w:val="169"/>
        </w:numPr>
        <w:shd w:val="clear" w:color="auto" w:fill="FFFFFF"/>
        <w:contextualSpacing/>
        <w:jc w:val="both"/>
        <w:rPr>
          <w:rFonts w:ascii="Garamond" w:hAnsi="Garamond"/>
          <w:szCs w:val="22"/>
        </w:rPr>
      </w:pPr>
      <w:r w:rsidRPr="004A0C12">
        <w:rPr>
          <w:rFonts w:ascii="Garamond" w:hAnsi="Garamond"/>
          <w:szCs w:val="22"/>
        </w:rPr>
        <w:lastRenderedPageBreak/>
        <w:t xml:space="preserve">Local workforce area directors are trained to increase familiarity with program and priority of service requirements, and to discuss integration strategies with the Veterans Program Manager and the DLLR Office of Workforce Development director. Local workforce directors are also listed to receive additional training from the National Veterans’ Training Institute. </w:t>
      </w:r>
    </w:p>
    <w:p w14:paraId="6B29855D" w14:textId="77777777" w:rsidR="00811745" w:rsidRPr="004A0C12" w:rsidRDefault="00811745" w:rsidP="00232F09">
      <w:pPr>
        <w:pStyle w:val="ListParagraph"/>
        <w:numPr>
          <w:ilvl w:val="0"/>
          <w:numId w:val="169"/>
        </w:numPr>
        <w:shd w:val="clear" w:color="auto" w:fill="FFFFFF"/>
        <w:contextualSpacing/>
        <w:jc w:val="both"/>
        <w:rPr>
          <w:rFonts w:ascii="Garamond" w:hAnsi="Garamond"/>
          <w:szCs w:val="22"/>
        </w:rPr>
      </w:pPr>
      <w:r w:rsidRPr="004A0C12">
        <w:rPr>
          <w:rFonts w:ascii="Garamond" w:hAnsi="Garamond"/>
          <w:szCs w:val="22"/>
        </w:rPr>
        <w:t xml:space="preserve">Local Areas have been encouraged to include Veterans’ staff in American Job Center workgroups and organizational teams. Local Veterans Employment Representatives, whose responsibilities include working with employers on behalf of Veterans, receive integrated Business Services training, as well as becoming an integral part of each American Job Center’s Business Services Team. </w:t>
      </w:r>
    </w:p>
    <w:p w14:paraId="32EE3A8B" w14:textId="77777777" w:rsidR="00811745" w:rsidRPr="004A0C12" w:rsidRDefault="00811745" w:rsidP="00232F09">
      <w:pPr>
        <w:pStyle w:val="ListParagraph"/>
        <w:numPr>
          <w:ilvl w:val="0"/>
          <w:numId w:val="169"/>
        </w:numPr>
        <w:shd w:val="clear" w:color="auto" w:fill="FFFFFF"/>
        <w:contextualSpacing/>
        <w:jc w:val="both"/>
        <w:rPr>
          <w:rFonts w:ascii="Garamond" w:hAnsi="Garamond"/>
          <w:szCs w:val="22"/>
        </w:rPr>
      </w:pPr>
      <w:r w:rsidRPr="004A0C12">
        <w:rPr>
          <w:rFonts w:ascii="Garamond" w:hAnsi="Garamond"/>
          <w:szCs w:val="22"/>
        </w:rPr>
        <w:t xml:space="preserve">Maryland continues to look at employment and training opportunities that have previously been underutilized by veterans, including apprenticeships and on-the-job training. </w:t>
      </w:r>
    </w:p>
    <w:p w14:paraId="7848C6C7" w14:textId="77777777" w:rsidR="00811745" w:rsidRPr="004A0C12" w:rsidRDefault="00811745" w:rsidP="00811745">
      <w:pPr>
        <w:pStyle w:val="ListParagraph"/>
        <w:shd w:val="clear" w:color="auto" w:fill="FFFFFF"/>
        <w:contextualSpacing/>
        <w:jc w:val="both"/>
        <w:rPr>
          <w:rFonts w:ascii="Garamond" w:hAnsi="Garamond"/>
          <w:szCs w:val="22"/>
        </w:rPr>
      </w:pPr>
    </w:p>
    <w:p w14:paraId="1AFEA9CB" w14:textId="77777777" w:rsidR="00811745" w:rsidRPr="004F590C" w:rsidRDefault="00811745" w:rsidP="00811745">
      <w:pPr>
        <w:pStyle w:val="Heading2"/>
        <w:jc w:val="both"/>
        <w:rPr>
          <w:rFonts w:ascii="Garamond" w:hAnsi="Garamond"/>
          <w:sz w:val="24"/>
          <w:szCs w:val="22"/>
        </w:rPr>
      </w:pPr>
      <w:bookmarkStart w:id="256" w:name="_Toc447276277"/>
      <w:r w:rsidRPr="004F590C">
        <w:rPr>
          <w:rFonts w:ascii="Garamond" w:hAnsi="Garamond"/>
          <w:sz w:val="24"/>
          <w:szCs w:val="22"/>
        </w:rPr>
        <w:t>Duties Assigned to Disabled Veterans’ Outreach Program Specialists and Local Veterans’ Employment Representatives</w:t>
      </w:r>
      <w:bookmarkEnd w:id="256"/>
    </w:p>
    <w:p w14:paraId="36C4A0FF" w14:textId="77777777" w:rsidR="00811745" w:rsidRPr="004A0C12" w:rsidRDefault="00811745" w:rsidP="00811745">
      <w:pPr>
        <w:pStyle w:val="Heading4"/>
        <w:spacing w:before="0"/>
        <w:jc w:val="both"/>
        <w:rPr>
          <w:rFonts w:ascii="Garamond" w:hAnsi="Garamond"/>
          <w:b w:val="0"/>
          <w:bCs w:val="0"/>
        </w:rPr>
      </w:pPr>
    </w:p>
    <w:p w14:paraId="30611EB8" w14:textId="77777777" w:rsidR="00811745" w:rsidRPr="004A0C12" w:rsidRDefault="00811745" w:rsidP="00811745">
      <w:pPr>
        <w:spacing w:after="0" w:line="240" w:lineRule="auto"/>
        <w:jc w:val="both"/>
        <w:rPr>
          <w:rFonts w:ascii="Garamond" w:hAnsi="Garamond" w:cs="Times New Roman"/>
          <w:b/>
          <w:color w:val="1F497D"/>
          <w:highlight w:val="yellow"/>
        </w:rPr>
      </w:pPr>
      <w:r w:rsidRPr="004A0C12">
        <w:rPr>
          <w:rFonts w:ascii="Garamond" w:hAnsi="Garamond" w:cs="Times New Roman"/>
        </w:rPr>
        <w:t xml:space="preserve">DLLR recognizes that all American Job Center staff plays a critical role in serving transitioning service members, Veterans, and their families by providing resources to assist and prepare them for meaningful careers. </w:t>
      </w:r>
    </w:p>
    <w:p w14:paraId="18E448A5" w14:textId="77777777" w:rsidR="00811745" w:rsidRPr="004A0C12" w:rsidRDefault="00811745" w:rsidP="00811745">
      <w:pPr>
        <w:spacing w:after="0" w:line="240" w:lineRule="auto"/>
        <w:jc w:val="both"/>
        <w:rPr>
          <w:rFonts w:ascii="Garamond" w:hAnsi="Garamond" w:cs="Times New Roman"/>
        </w:rPr>
      </w:pPr>
    </w:p>
    <w:p w14:paraId="08C3A694"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In Maryland, the JVSG program provides funding for three key positions to ensure program success – Disabled Veterans’ Outreach Program (DVOP) specialists, Local Veterans’ Employment Representatives (LVERs) and a Veterans Program Manager. In addition to functionally managing and overseeing the JVSG program, the Veterans Program Manager must also ensure that up-to-date signage, handouts and webpages are available.</w:t>
      </w:r>
    </w:p>
    <w:p w14:paraId="54DA3DED" w14:textId="77777777" w:rsidR="00811745" w:rsidRPr="004A0C12" w:rsidRDefault="00811745" w:rsidP="00811745">
      <w:pPr>
        <w:spacing w:after="0" w:line="240" w:lineRule="auto"/>
        <w:jc w:val="both"/>
        <w:rPr>
          <w:rFonts w:ascii="Garamond" w:hAnsi="Garamond" w:cs="Times New Roman"/>
        </w:rPr>
      </w:pPr>
    </w:p>
    <w:p w14:paraId="538695D9"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Both DVOPs and LVERs play critical, specific roles. To meet the specific needs of Veterans, particularly Veterans with Significant Barriers to Employment (SBE), DVOP and LVER staff are thoroughly familiar with the full range of available job development services and training programs.</w:t>
      </w:r>
    </w:p>
    <w:p w14:paraId="6D2F7D1F" w14:textId="77777777" w:rsidR="00811745" w:rsidRPr="004A0C12" w:rsidRDefault="00811745" w:rsidP="00811745">
      <w:pPr>
        <w:spacing w:after="0" w:line="240" w:lineRule="auto"/>
        <w:jc w:val="both"/>
        <w:rPr>
          <w:rFonts w:ascii="Garamond" w:hAnsi="Garamond" w:cs="Times New Roman"/>
        </w:rPr>
      </w:pPr>
    </w:p>
    <w:p w14:paraId="51DFFF8D" w14:textId="77777777" w:rsidR="00811745" w:rsidRPr="004A0C12" w:rsidRDefault="00811745" w:rsidP="00811745">
      <w:pPr>
        <w:spacing w:after="0" w:line="240" w:lineRule="auto"/>
        <w:ind w:right="180"/>
        <w:jc w:val="both"/>
        <w:rPr>
          <w:rFonts w:ascii="Garamond" w:hAnsi="Garamond" w:cs="Times New Roman"/>
        </w:rPr>
      </w:pPr>
      <w:r w:rsidRPr="004A0C12">
        <w:rPr>
          <w:rFonts w:ascii="Garamond" w:hAnsi="Garamond" w:cs="Times New Roman"/>
        </w:rPr>
        <w:t xml:space="preserve">DVOP specialists provide intensive services to eligible Veterans and eligible spouses who face significant barriers to employment and therefore necessitate DVOP services to obtain or maintain employment. Intensive services include comprehensive and specialized assessments of skill levels and service needs; development of an individual employment plan to identify the employment goals, appropriate achievement objectives and appropriate combination of services for the participant to achieve the employment goals; group counseling; individual counseling and career planning; and short-term prevocational services that may include development of learning skills, communication skills, interviewing skills, punctuality, personal maintenance skills, and professional conduct to prepare individuals for unsubsidized employment or training.    </w:t>
      </w:r>
    </w:p>
    <w:p w14:paraId="195BB6A4" w14:textId="77777777" w:rsidR="00811745" w:rsidRPr="004A0C12" w:rsidRDefault="00811745" w:rsidP="00811745">
      <w:pPr>
        <w:spacing w:after="0" w:line="240" w:lineRule="auto"/>
        <w:ind w:right="180"/>
        <w:jc w:val="both"/>
        <w:rPr>
          <w:rFonts w:ascii="Garamond" w:hAnsi="Garamond" w:cs="Times New Roman"/>
        </w:rPr>
      </w:pPr>
    </w:p>
    <w:p w14:paraId="6E7A7310" w14:textId="77777777" w:rsidR="00811745" w:rsidRPr="004A0C12" w:rsidRDefault="00811745" w:rsidP="00811745">
      <w:pPr>
        <w:spacing w:after="0" w:line="240" w:lineRule="auto"/>
        <w:ind w:right="180"/>
        <w:jc w:val="both"/>
        <w:rPr>
          <w:rFonts w:ascii="Garamond" w:hAnsi="Garamond" w:cs="Times New Roman"/>
        </w:rPr>
      </w:pPr>
      <w:r w:rsidRPr="004A0C12">
        <w:rPr>
          <w:rFonts w:ascii="Garamond" w:hAnsi="Garamond" w:cs="Times New Roman"/>
        </w:rPr>
        <w:t xml:space="preserve">An eligible Veteran or spouse is determined to have a SBE if he or she attests to belonging to </w:t>
      </w:r>
      <w:r w:rsidRPr="004A0C12">
        <w:rPr>
          <w:rFonts w:ascii="Garamond" w:hAnsi="Garamond" w:cs="Times New Roman"/>
          <w:b/>
        </w:rPr>
        <w:t xml:space="preserve">at least one of the 10 </w:t>
      </w:r>
      <w:r w:rsidRPr="004A0C12">
        <w:rPr>
          <w:rFonts w:ascii="Garamond" w:hAnsi="Garamond" w:cs="Times New Roman"/>
        </w:rPr>
        <w:t xml:space="preserve">following categories:  </w:t>
      </w:r>
    </w:p>
    <w:p w14:paraId="7DC9AC75" w14:textId="77777777" w:rsidR="00811745" w:rsidRPr="004A0C12" w:rsidRDefault="00811745" w:rsidP="00811745">
      <w:pPr>
        <w:spacing w:after="0" w:line="240" w:lineRule="auto"/>
        <w:ind w:right="180"/>
        <w:jc w:val="both"/>
        <w:rPr>
          <w:rFonts w:ascii="Garamond" w:hAnsi="Garamond" w:cs="Times New Roman"/>
        </w:rPr>
      </w:pPr>
    </w:p>
    <w:p w14:paraId="6A9D2392"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A special disabled or disabled Veteran</w:t>
      </w:r>
    </w:p>
    <w:p w14:paraId="296A947F"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A homeless Veteran</w:t>
      </w:r>
    </w:p>
    <w:p w14:paraId="78CF9AA9"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A recently separated service member, who at any point in the previous 12 months has been unemployed for 27 or more weeks</w:t>
      </w:r>
    </w:p>
    <w:p w14:paraId="4F6D2D05"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 xml:space="preserve">An offender who is currently incarcerated or has been released from incarceration </w:t>
      </w:r>
    </w:p>
    <w:p w14:paraId="2A64FAC0"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A Veteran who is lacking a high school diploma or equivalent certificate</w:t>
      </w:r>
    </w:p>
    <w:p w14:paraId="7EF45ABB"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A low-income Veteran</w:t>
      </w:r>
    </w:p>
    <w:p w14:paraId="7F49C6F8"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A Veteran between the ages of 18-24</w:t>
      </w:r>
    </w:p>
    <w:p w14:paraId="4C630EDB"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A wounded, ill or injured Armed Forces member, spouse, or caregiver</w:t>
      </w:r>
    </w:p>
    <w:p w14:paraId="0F3DBDA8"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A service member who does not meet military services’ Capstone Career Readiness Standards</w:t>
      </w:r>
    </w:p>
    <w:p w14:paraId="4EA17E31" w14:textId="77777777" w:rsidR="00811745" w:rsidRPr="004A0C12" w:rsidRDefault="00811745" w:rsidP="00232F09">
      <w:pPr>
        <w:pStyle w:val="ListParagraph"/>
        <w:numPr>
          <w:ilvl w:val="0"/>
          <w:numId w:val="306"/>
        </w:numPr>
        <w:rPr>
          <w:rFonts w:ascii="Garamond" w:hAnsi="Garamond"/>
          <w:szCs w:val="22"/>
        </w:rPr>
      </w:pPr>
      <w:r w:rsidRPr="004A0C12">
        <w:rPr>
          <w:rFonts w:ascii="Garamond" w:hAnsi="Garamond"/>
          <w:szCs w:val="22"/>
        </w:rPr>
        <w:t>An active duty service member being involuntarily separated through a Service reduction-in-force</w:t>
      </w:r>
    </w:p>
    <w:p w14:paraId="3CE9FDF7" w14:textId="77777777" w:rsidR="00811745" w:rsidRPr="004A0C12" w:rsidRDefault="00811745" w:rsidP="00811745">
      <w:pPr>
        <w:pStyle w:val="ListParagraph"/>
        <w:rPr>
          <w:rFonts w:ascii="Garamond" w:hAnsi="Garamond"/>
          <w:szCs w:val="22"/>
        </w:rPr>
      </w:pPr>
    </w:p>
    <w:p w14:paraId="2473056E"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lastRenderedPageBreak/>
        <w:t xml:space="preserve">By limiting DVOP specialists’ activities to assisting Veterans with one or more SBE, DVOPs are able to provide more concentrated, intensive services to those who are most in need. DVOPs’ intensive services are designed to mitigate SBEs through comprehensive and specialized assessments of skill levels and needs. Services include case management, the development of an individual employment plan, group and individual career guidance and planning, referral to other service providers (e.g., The Vocational Rehabilitation and Employment (VR&amp;E) Program offered by the Department of Veterans Affairs (VA)), job search assistance, and short-term instruction to augment skills development, such as interview and communication skills. </w:t>
      </w:r>
    </w:p>
    <w:p w14:paraId="6BA40874" w14:textId="77777777" w:rsidR="00811745" w:rsidRPr="004A0C12" w:rsidRDefault="00811745" w:rsidP="00811745">
      <w:pPr>
        <w:spacing w:after="0" w:line="240" w:lineRule="auto"/>
        <w:jc w:val="both"/>
        <w:rPr>
          <w:rFonts w:ascii="Garamond" w:hAnsi="Garamond" w:cs="Times New Roman"/>
        </w:rPr>
      </w:pPr>
    </w:p>
    <w:p w14:paraId="0EE52C86"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DVOP specialists are often located in the State’s American Job Centers, but may be co-located with other service providers, such as the VA. DVOP staff is also prohibited from completing LVER duties. DVOP staff provides intensive services to veterans and eligible spouses only. When a DVOP staff member is not actively engaged with a full case-load, he/she should complete the following activities, in the following order: </w:t>
      </w:r>
    </w:p>
    <w:p w14:paraId="08E9D731" w14:textId="77777777" w:rsidR="00811745" w:rsidRPr="004A0C12" w:rsidRDefault="00811745" w:rsidP="00811745">
      <w:pPr>
        <w:spacing w:after="0" w:line="240" w:lineRule="auto"/>
        <w:jc w:val="both"/>
        <w:rPr>
          <w:rFonts w:ascii="Garamond" w:hAnsi="Garamond" w:cs="Times New Roman"/>
        </w:rPr>
      </w:pPr>
    </w:p>
    <w:p w14:paraId="0DF1235C" w14:textId="77777777" w:rsidR="00811745" w:rsidRPr="004A0C12" w:rsidRDefault="00811745" w:rsidP="00232F09">
      <w:pPr>
        <w:pStyle w:val="ListParagraph"/>
        <w:numPr>
          <w:ilvl w:val="0"/>
          <w:numId w:val="303"/>
        </w:numPr>
        <w:contextualSpacing/>
        <w:jc w:val="both"/>
        <w:rPr>
          <w:rFonts w:ascii="Garamond" w:hAnsi="Garamond"/>
          <w:szCs w:val="22"/>
        </w:rPr>
      </w:pPr>
      <w:r w:rsidRPr="004A0C12">
        <w:rPr>
          <w:rFonts w:ascii="Garamond" w:hAnsi="Garamond"/>
          <w:szCs w:val="22"/>
        </w:rPr>
        <w:t xml:space="preserve">Review all open case files of Veterans with SBE and perform case management duties; </w:t>
      </w:r>
    </w:p>
    <w:p w14:paraId="76E62881" w14:textId="77777777" w:rsidR="00811745" w:rsidRPr="004A0C12" w:rsidRDefault="00811745" w:rsidP="00232F09">
      <w:pPr>
        <w:pStyle w:val="ListParagraph"/>
        <w:numPr>
          <w:ilvl w:val="0"/>
          <w:numId w:val="303"/>
        </w:numPr>
        <w:contextualSpacing/>
        <w:jc w:val="both"/>
        <w:rPr>
          <w:rFonts w:ascii="Garamond" w:hAnsi="Garamond"/>
          <w:szCs w:val="22"/>
        </w:rPr>
      </w:pPr>
      <w:r w:rsidRPr="004A0C12">
        <w:rPr>
          <w:rFonts w:ascii="Garamond" w:hAnsi="Garamond"/>
          <w:szCs w:val="22"/>
        </w:rPr>
        <w:t xml:space="preserve">Conduct relationship building, outreach and recruitment activities with other service providers in the Local Area to locate and enroll other Veterans with SBE in relevant services. </w:t>
      </w:r>
    </w:p>
    <w:p w14:paraId="76ACE3E2" w14:textId="77777777" w:rsidR="00811745" w:rsidRPr="004A0C12" w:rsidRDefault="00811745" w:rsidP="00811745">
      <w:pPr>
        <w:spacing w:after="0" w:line="240" w:lineRule="auto"/>
        <w:jc w:val="both"/>
        <w:rPr>
          <w:rFonts w:ascii="Garamond" w:hAnsi="Garamond" w:cs="Times New Roman"/>
        </w:rPr>
      </w:pPr>
    </w:p>
    <w:p w14:paraId="61AF3B14"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To ensure that correct Intensive Services are recorded, DVOP specialists must use</w:t>
      </w:r>
      <w:r w:rsidRPr="004A0C12">
        <w:rPr>
          <w:rFonts w:ascii="Garamond" w:hAnsi="Garamond" w:cs="Times New Roman"/>
          <w:b/>
          <w:i/>
        </w:rPr>
        <w:t xml:space="preserve"> </w:t>
      </w:r>
      <w:r w:rsidRPr="004A0C12">
        <w:rPr>
          <w:rFonts w:ascii="Garamond" w:hAnsi="Garamond" w:cs="Times New Roman"/>
        </w:rPr>
        <w:t xml:space="preserve">DVOP Service Codes, which provides a list of applicable Services to be entered into the Maryland Workforce Exchange (MWE). DVOP staff must only report Services for activities provided. DVOP staff must record all relevant case notes. </w:t>
      </w:r>
    </w:p>
    <w:p w14:paraId="1A7A5059" w14:textId="77777777" w:rsidR="00811745" w:rsidRPr="004A0C12" w:rsidRDefault="00811745" w:rsidP="00811745">
      <w:pPr>
        <w:spacing w:after="0" w:line="240" w:lineRule="auto"/>
        <w:jc w:val="both"/>
        <w:rPr>
          <w:rFonts w:ascii="Garamond" w:hAnsi="Garamond" w:cs="Times New Roman"/>
        </w:rPr>
      </w:pPr>
    </w:p>
    <w:p w14:paraId="61693741" w14:textId="77777777" w:rsidR="00811745" w:rsidRPr="004A0C12" w:rsidRDefault="00811745" w:rsidP="00811745">
      <w:pPr>
        <w:spacing w:after="0" w:line="240" w:lineRule="auto"/>
        <w:jc w:val="both"/>
        <w:rPr>
          <w:rFonts w:ascii="Garamond" w:hAnsi="Garamond" w:cs="Times New Roman"/>
          <w:b/>
          <w:i/>
        </w:rPr>
      </w:pPr>
      <w:r w:rsidRPr="004A0C12">
        <w:rPr>
          <w:rFonts w:ascii="Garamond" w:hAnsi="Garamond" w:cs="Times New Roman"/>
        </w:rPr>
        <w:t>The Department</w:t>
      </w:r>
      <w:r w:rsidRPr="004A0C12">
        <w:rPr>
          <w:rFonts w:ascii="Garamond" w:hAnsi="Garamond" w:cs="Times New Roman"/>
          <w:i/>
        </w:rPr>
        <w:t xml:space="preserve"> </w:t>
      </w:r>
      <w:r w:rsidRPr="004A0C12">
        <w:rPr>
          <w:rFonts w:ascii="Garamond" w:hAnsi="Garamond" w:cs="Times New Roman"/>
        </w:rPr>
        <w:t xml:space="preserve">has issued a policy that lists basic case note guidelines and procedures. The Veterans Program Manager should ensure that staff is properly trained on acceptable case management practices. </w:t>
      </w:r>
    </w:p>
    <w:p w14:paraId="1C79990C" w14:textId="77777777" w:rsidR="00811745" w:rsidRPr="004A0C12" w:rsidRDefault="00811745" w:rsidP="00811745">
      <w:pPr>
        <w:spacing w:after="0" w:line="240" w:lineRule="auto"/>
        <w:ind w:right="180"/>
        <w:jc w:val="both"/>
        <w:rPr>
          <w:rFonts w:ascii="Garamond" w:hAnsi="Garamond" w:cs="Times New Roman"/>
        </w:rPr>
      </w:pPr>
    </w:p>
    <w:p w14:paraId="7FF1326E"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Local Veteran Employment Representatives (LVERs) work to develop relationships with business to secure employment opportunities for Veterans. LVERs conduct employer outreach, engage in advocacy efforts, organize and facilitate job fairs, recruitments, and job clubs, and conduct pre-screening for hiring executives, local businesses, business associations, business groups, industry partners and community based organizations. This is done in an effort to increase employment opportunities for Veterans, encourage the hiring of disabled Veterans, and generally assist Veterans to gain and retain employment. LVERs conduct seminars for employers and job clubs for eligible Veterans and spouses who are seeking employment. </w:t>
      </w:r>
    </w:p>
    <w:p w14:paraId="63289454" w14:textId="77777777" w:rsidR="00811745" w:rsidRPr="004A0C12" w:rsidRDefault="00811745" w:rsidP="00811745">
      <w:pPr>
        <w:spacing w:after="0" w:line="240" w:lineRule="auto"/>
        <w:jc w:val="both"/>
        <w:rPr>
          <w:rFonts w:ascii="Garamond" w:hAnsi="Garamond" w:cs="Times New Roman"/>
        </w:rPr>
      </w:pPr>
    </w:p>
    <w:p w14:paraId="26CF49C9"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LVER staff is prohibited from completing DVOP specialists’ duties.</w:t>
      </w:r>
      <w:r w:rsidRPr="004A0C12">
        <w:rPr>
          <w:rFonts w:ascii="Garamond" w:hAnsi="Garamond" w:cs="Times New Roman"/>
          <w:b/>
        </w:rPr>
        <w:t xml:space="preserve"> </w:t>
      </w:r>
      <w:r w:rsidRPr="004A0C12">
        <w:rPr>
          <w:rFonts w:ascii="Garamond" w:hAnsi="Garamond" w:cs="Times New Roman"/>
        </w:rPr>
        <w:t xml:space="preserve">However, a LVER may meet with Veteran jobseekers recommended by American Job Center staff for referral to specific employment opportunities. The goal of these interactions is for the LVER to assess the Veteran’s suitability for referral, make connection between Veterans and a particular business, and develop feedback to the American Job Center system on best or promising practices to maximize successful Veteran employment. </w:t>
      </w:r>
    </w:p>
    <w:p w14:paraId="794E73BD" w14:textId="77777777" w:rsidR="00811745" w:rsidRPr="004A0C12" w:rsidRDefault="00811745" w:rsidP="00811745">
      <w:pPr>
        <w:spacing w:after="0" w:line="240" w:lineRule="auto"/>
        <w:jc w:val="both"/>
        <w:rPr>
          <w:rFonts w:ascii="Garamond" w:hAnsi="Garamond" w:cs="Times New Roman"/>
        </w:rPr>
      </w:pPr>
    </w:p>
    <w:p w14:paraId="51BB240D"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LVERs play an important role in the development of Local Area service delivery strategies for Veterans. LVERs and Local Area staff must work together to educate partner staff on the roles of DVOPs and LVERs. All staff must support Veteran employment initiatives and programs. </w:t>
      </w:r>
    </w:p>
    <w:p w14:paraId="1362F372" w14:textId="77777777" w:rsidR="00811745" w:rsidRPr="004A0C12" w:rsidRDefault="00811745" w:rsidP="00811745">
      <w:pPr>
        <w:spacing w:after="0" w:line="240" w:lineRule="auto"/>
        <w:jc w:val="both"/>
        <w:rPr>
          <w:rFonts w:ascii="Garamond" w:hAnsi="Garamond" w:cs="Times New Roman"/>
        </w:rPr>
      </w:pPr>
    </w:p>
    <w:p w14:paraId="56222565"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Regional LVERs act as supervisors for JVSG staff. As supervisors, they must still perform the functions of a LVER. They will review and may approve additional activities as part of the local Veteran service delivery system. Supervisors must also review roles with JVSG staff and evaluate JVSG staff performance. Annually, LVERs must work with the Veterans Program Manager to create annual training plans for Local Areas. These plans help to ensure that all staff are updated and remain informed on current programs, staff roles, and policies. </w:t>
      </w:r>
    </w:p>
    <w:p w14:paraId="77016A61" w14:textId="77777777" w:rsidR="00811745" w:rsidRPr="004A0C12" w:rsidRDefault="00811745" w:rsidP="00811745">
      <w:pPr>
        <w:pStyle w:val="Heading4"/>
        <w:spacing w:before="0"/>
        <w:jc w:val="both"/>
        <w:rPr>
          <w:rFonts w:ascii="Garamond" w:hAnsi="Garamond"/>
          <w:b w:val="0"/>
          <w:bCs w:val="0"/>
        </w:rPr>
      </w:pPr>
    </w:p>
    <w:p w14:paraId="0C5B1183" w14:textId="77777777" w:rsidR="00811745" w:rsidRPr="004F590C" w:rsidRDefault="00811745" w:rsidP="00811745">
      <w:pPr>
        <w:pStyle w:val="Heading2"/>
        <w:jc w:val="both"/>
        <w:rPr>
          <w:rFonts w:ascii="Garamond" w:hAnsi="Garamond" w:cs="Times New Roman"/>
          <w:vanish/>
          <w:sz w:val="24"/>
          <w:szCs w:val="22"/>
        </w:rPr>
      </w:pPr>
      <w:bookmarkStart w:id="257" w:name="201200020"/>
      <w:bookmarkStart w:id="258" w:name="_Toc447276278"/>
      <w:bookmarkEnd w:id="257"/>
      <w:r w:rsidRPr="004F590C">
        <w:rPr>
          <w:rFonts w:ascii="Garamond" w:hAnsi="Garamond"/>
          <w:sz w:val="24"/>
          <w:szCs w:val="22"/>
        </w:rPr>
        <w:t>Integration of JVSG Staff into the American Job Center System</w:t>
      </w:r>
      <w:bookmarkEnd w:id="258"/>
      <w:r w:rsidRPr="004F590C">
        <w:rPr>
          <w:rFonts w:ascii="Garamond" w:hAnsi="Garamond"/>
          <w:sz w:val="24"/>
          <w:szCs w:val="22"/>
        </w:rPr>
        <w:t xml:space="preserve"> </w:t>
      </w:r>
    </w:p>
    <w:p w14:paraId="1CBB9540" w14:textId="77777777" w:rsidR="00811745" w:rsidRPr="004A0C12" w:rsidRDefault="00811745" w:rsidP="00811745">
      <w:pPr>
        <w:pStyle w:val="Heading2"/>
        <w:jc w:val="both"/>
        <w:rPr>
          <w:rFonts w:ascii="Garamond" w:hAnsi="Garamond" w:cs="Times New Roman"/>
          <w:vanish/>
          <w:sz w:val="22"/>
          <w:szCs w:val="22"/>
        </w:rPr>
      </w:pPr>
    </w:p>
    <w:p w14:paraId="635976BD" w14:textId="77777777" w:rsidR="00811745" w:rsidRPr="004A0C12" w:rsidRDefault="00811745" w:rsidP="00811745">
      <w:pPr>
        <w:pStyle w:val="Heading4"/>
        <w:shd w:val="clear" w:color="auto" w:fill="FFFFFF"/>
        <w:spacing w:before="0"/>
        <w:jc w:val="both"/>
        <w:rPr>
          <w:rFonts w:ascii="Garamond" w:hAnsi="Garamond"/>
          <w:bCs w:val="0"/>
        </w:rPr>
      </w:pPr>
    </w:p>
    <w:p w14:paraId="7A2D1D3A" w14:textId="77777777" w:rsidR="00811745" w:rsidRPr="004A0C12" w:rsidRDefault="00811745" w:rsidP="00811745">
      <w:pPr>
        <w:spacing w:after="0" w:line="240" w:lineRule="auto"/>
        <w:ind w:right="180"/>
        <w:contextualSpacing/>
        <w:jc w:val="both"/>
        <w:rPr>
          <w:rFonts w:ascii="Garamond" w:hAnsi="Garamond" w:cs="Times New Roman"/>
        </w:rPr>
      </w:pPr>
      <w:r w:rsidRPr="004A0C12">
        <w:rPr>
          <w:rFonts w:ascii="Garamond" w:hAnsi="Garamond" w:cs="Times New Roman"/>
        </w:rPr>
        <w:t xml:space="preserve">The Department of Labor, Licensing and Regulation, recognizes that all Local Area staff, including American Job Center staff, are responsible for providing services to Veterans and eligible spouses. As JVSG Program staff, DVOP specialists and LVERs exist to supplement and not supplant the duties of the Local Area staff. All personnel are responsible for serving Veterans and eligible spouses with applicable programs and services. </w:t>
      </w:r>
    </w:p>
    <w:p w14:paraId="2FC741D7" w14:textId="77777777" w:rsidR="00811745" w:rsidRPr="004A0C12" w:rsidRDefault="00811745" w:rsidP="00811745">
      <w:pPr>
        <w:spacing w:after="0" w:line="240" w:lineRule="auto"/>
        <w:ind w:right="180"/>
        <w:contextualSpacing/>
        <w:jc w:val="both"/>
        <w:rPr>
          <w:rFonts w:ascii="Garamond" w:hAnsi="Garamond" w:cs="Times New Roman"/>
        </w:rPr>
      </w:pPr>
    </w:p>
    <w:p w14:paraId="0A35B40B" w14:textId="77777777" w:rsidR="00811745" w:rsidRPr="004A0C12" w:rsidRDefault="00811745" w:rsidP="00811745">
      <w:pPr>
        <w:spacing w:after="0" w:line="240" w:lineRule="auto"/>
        <w:ind w:right="180"/>
        <w:contextualSpacing/>
        <w:jc w:val="both"/>
        <w:rPr>
          <w:rFonts w:ascii="Garamond" w:hAnsi="Garamond" w:cs="Times New Roman"/>
        </w:rPr>
      </w:pPr>
      <w:r w:rsidRPr="004A0C12">
        <w:rPr>
          <w:rFonts w:ascii="Garamond" w:hAnsi="Garamond" w:cs="Times New Roman"/>
        </w:rPr>
        <w:t xml:space="preserve">During a Veteran’s initial visit, American Job Center staff is responsible for assessing the Veteran to determine whether a significant barrier to employment exists. If a Veteran self identifies as having a significant barrier to employment, then American Job Center staff should use an eligibility checklist to document the Veteran’s status. The checklist, which has been provided with Policy guidance issued by DLLR, should be used by the American Job Center staff as a way to lead a conversation concerning potential barriers; staff should not ask the Veterans to complete the form themselves. American Job Center staff should assess the Veteran for SBEs in a private area to allow the Veteran an opportunity to feel safe about providing sensitive information. </w:t>
      </w:r>
    </w:p>
    <w:p w14:paraId="4948C2CB" w14:textId="77777777" w:rsidR="00811745" w:rsidRPr="004A0C12" w:rsidRDefault="00811745" w:rsidP="00811745">
      <w:pPr>
        <w:spacing w:after="0" w:line="240" w:lineRule="auto"/>
        <w:ind w:right="180"/>
        <w:contextualSpacing/>
        <w:jc w:val="both"/>
        <w:rPr>
          <w:rFonts w:ascii="Garamond" w:hAnsi="Garamond" w:cs="Times New Roman"/>
        </w:rPr>
      </w:pPr>
    </w:p>
    <w:p w14:paraId="0765B373" w14:textId="77777777" w:rsidR="00811745" w:rsidRPr="004A0C12" w:rsidRDefault="00811745" w:rsidP="00811745">
      <w:pPr>
        <w:spacing w:after="0" w:line="240" w:lineRule="auto"/>
        <w:ind w:right="180"/>
        <w:contextualSpacing/>
        <w:jc w:val="both"/>
        <w:rPr>
          <w:rFonts w:ascii="Garamond" w:hAnsi="Garamond" w:cs="Times New Roman"/>
        </w:rPr>
      </w:pPr>
      <w:r w:rsidRPr="004A0C12">
        <w:rPr>
          <w:rFonts w:ascii="Garamond" w:hAnsi="Garamond" w:cs="Times New Roman"/>
        </w:rPr>
        <w:t>After the American Job Center staff’s initial assessment and delivery of Basic Career Services, Veterans with a significant barrier to employment that require and will benefit from intensive services should be referred to the DVOP upon the Veteran’s agreement. If a DVOP is requested and is unavailable, the self-attestation form should serve as a referral for DVOPs to follow-up. If the Veteran with a significant barrier to employment refuses DVOP services he or she can be provided with the applicable and available ETA-administered American Job Center services. LVER staff may not receive referrals, and are prohibited from providing these services. If a significant barrier to employment is not identified, then the Veteran should be provided with the applicable and available ETA-administered American Job Center services. If a Veteran without a significant barrier to employment indicates a preference to work with a Veteran’s representative, Local Area staff should work with JVSG staff to ensure the Veteran job seeker understands DVOP specialists and LVER staff roles. Priority of Service must be given to all eligible Veterans and spouses.</w:t>
      </w:r>
    </w:p>
    <w:p w14:paraId="63A2041D" w14:textId="77777777" w:rsidR="00811745" w:rsidRPr="004A0C12" w:rsidRDefault="00811745" w:rsidP="00811745">
      <w:pPr>
        <w:spacing w:after="0" w:line="240" w:lineRule="auto"/>
        <w:ind w:right="180"/>
        <w:contextualSpacing/>
        <w:jc w:val="both"/>
        <w:rPr>
          <w:rFonts w:ascii="Garamond" w:hAnsi="Garamond" w:cs="Times New Roman"/>
        </w:rPr>
      </w:pPr>
    </w:p>
    <w:p w14:paraId="5984B55C"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As supervisors, Labor Exchange Administrators, with support from LVERs, must ensure that signage and handouts are visible in high-traffic areas of each American Job Center. Labor Exchange Administrators are also encouraged to participate in the military service’s Capstone sessions by sending a staff member to Capstone activities, upon the request of a military service commander. The American Job Center staff member’s role, if sent to a Capstone session, is to provide an overview of the services available via the American Job Center and the overall workforce system. Capstone sessions are offered by the military service to help transitioning service members make adequate preparations for post-military careers before they leave active duty. During Capstone sessions, service members are assessed by unit commanders on career readiness standards. For each transitioning service member, unit commanders evaluate and document readiness for transition to civilian employment on the DD-2958 Form, “Service Member CRS/Individual Transition Plan (ITP).” When a service member is assessed as not meeting career readiness standards (e.g., if a member does not have an adequate civilian resume), the commander then facilitates a “warm handover” of the service member to an American Job Center staff member or DVOP for intensive services.  </w:t>
      </w:r>
    </w:p>
    <w:p w14:paraId="532E68AE" w14:textId="77777777" w:rsidR="00811745" w:rsidRPr="004F590C" w:rsidRDefault="00811745" w:rsidP="00811745">
      <w:pPr>
        <w:pStyle w:val="Heading2"/>
        <w:jc w:val="both"/>
        <w:rPr>
          <w:rFonts w:ascii="Garamond" w:hAnsi="Garamond"/>
          <w:sz w:val="24"/>
          <w:szCs w:val="22"/>
        </w:rPr>
      </w:pPr>
      <w:bookmarkStart w:id="259" w:name="_Toc447276279"/>
      <w:r w:rsidRPr="004F590C">
        <w:rPr>
          <w:rFonts w:ascii="Garamond" w:hAnsi="Garamond"/>
          <w:sz w:val="24"/>
          <w:szCs w:val="22"/>
        </w:rPr>
        <w:t>Incentive Awards</w:t>
      </w:r>
      <w:bookmarkEnd w:id="259"/>
      <w:r w:rsidRPr="004F590C">
        <w:rPr>
          <w:rFonts w:ascii="Garamond" w:hAnsi="Garamond"/>
          <w:sz w:val="24"/>
          <w:szCs w:val="22"/>
        </w:rPr>
        <w:t xml:space="preserve"> </w:t>
      </w:r>
    </w:p>
    <w:p w14:paraId="3672C862" w14:textId="77777777" w:rsidR="00811745" w:rsidRPr="004A0C12" w:rsidRDefault="00811745" w:rsidP="00811745">
      <w:pPr>
        <w:rPr>
          <w:rFonts w:ascii="Garamond" w:hAnsi="Garamond" w:cs="Times New Roman"/>
          <w:bCs/>
        </w:rPr>
      </w:pPr>
      <w:r w:rsidRPr="004A0C12">
        <w:rPr>
          <w:rFonts w:ascii="Garamond" w:hAnsi="Garamond" w:cs="Times New Roman"/>
          <w:shd w:val="clear" w:color="auto" w:fill="FFFFFF"/>
        </w:rPr>
        <w:t xml:space="preserve">The Governor's Salary Commission Report of January 2014 indicates that non-pay-for-performance bonuses were provided to employees during 2003-2014. Maryland's Department of Budget and Management has instructed the pay-for-performance bonuses should not be budgeted in FY 2015 and FY 2016. There has been no further information to indicate that pay-for-performance bonuses will be budgeted in the out years. </w:t>
      </w:r>
    </w:p>
    <w:p w14:paraId="3E3904DF" w14:textId="77777777" w:rsidR="00811745" w:rsidRPr="004F590C" w:rsidRDefault="00811745" w:rsidP="00811745">
      <w:pPr>
        <w:pStyle w:val="Heading2"/>
        <w:rPr>
          <w:rFonts w:ascii="Garamond" w:hAnsi="Garamond"/>
          <w:sz w:val="24"/>
          <w:szCs w:val="22"/>
        </w:rPr>
      </w:pPr>
      <w:bookmarkStart w:id="260" w:name="_Toc447276280"/>
      <w:r w:rsidRPr="004F590C">
        <w:rPr>
          <w:rFonts w:ascii="Garamond" w:hAnsi="Garamond"/>
          <w:sz w:val="24"/>
          <w:szCs w:val="22"/>
        </w:rPr>
        <w:t>Populations of Veterans to be Served</w:t>
      </w:r>
      <w:bookmarkEnd w:id="260"/>
      <w:r w:rsidRPr="004F590C">
        <w:rPr>
          <w:rFonts w:ascii="Garamond" w:hAnsi="Garamond"/>
          <w:sz w:val="24"/>
          <w:szCs w:val="22"/>
        </w:rPr>
        <w:t xml:space="preserve"> </w:t>
      </w:r>
    </w:p>
    <w:p w14:paraId="2C7CC13F" w14:textId="77777777" w:rsidR="00811745" w:rsidRPr="004A0C12" w:rsidRDefault="00811745" w:rsidP="00811745">
      <w:pPr>
        <w:spacing w:after="0" w:line="240" w:lineRule="auto"/>
        <w:ind w:right="180"/>
        <w:jc w:val="both"/>
        <w:rPr>
          <w:rFonts w:ascii="Garamond" w:hAnsi="Garamond" w:cs="Times New Roman"/>
        </w:rPr>
      </w:pPr>
      <w:r w:rsidRPr="004A0C12">
        <w:rPr>
          <w:rFonts w:ascii="Garamond" w:hAnsi="Garamond" w:cs="Times New Roman"/>
        </w:rPr>
        <w:t xml:space="preserve">Maryland is dedicated to serving Veterans, and in particular, Veterans with significant barriers to employment. As outlined above, those individuals include: </w:t>
      </w:r>
    </w:p>
    <w:p w14:paraId="2776171B" w14:textId="77777777" w:rsidR="00811745" w:rsidRPr="004A0C12" w:rsidRDefault="00811745" w:rsidP="00811745">
      <w:pPr>
        <w:spacing w:after="0" w:line="240" w:lineRule="auto"/>
        <w:ind w:right="180"/>
        <w:jc w:val="both"/>
        <w:rPr>
          <w:rFonts w:ascii="Garamond" w:hAnsi="Garamond" w:cs="Times New Roman"/>
        </w:rPr>
      </w:pPr>
    </w:p>
    <w:p w14:paraId="490E4662"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A special disabled or disabled Veteran</w:t>
      </w:r>
    </w:p>
    <w:p w14:paraId="43AEF5CB"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A homeless Veteran</w:t>
      </w:r>
    </w:p>
    <w:p w14:paraId="2A183E92"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A recently separated service member, who at any point in the previous 12 months has been unemployed for 27 or more weeks</w:t>
      </w:r>
    </w:p>
    <w:p w14:paraId="7F252800"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 xml:space="preserve">An offender who is currently incarcerated or has been released from incarceration </w:t>
      </w:r>
    </w:p>
    <w:p w14:paraId="4F7C7458"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A Veteran who is lacking a high school diploma or equivalent certificate</w:t>
      </w:r>
    </w:p>
    <w:p w14:paraId="748846D5"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A low-income Veteran</w:t>
      </w:r>
    </w:p>
    <w:p w14:paraId="2B1244AE"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A Veteran between the ages of 18-24</w:t>
      </w:r>
    </w:p>
    <w:p w14:paraId="76E17EE1"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lastRenderedPageBreak/>
        <w:t>A wounded, ill or injured Armed Forces member, spouse, or caregiver</w:t>
      </w:r>
    </w:p>
    <w:p w14:paraId="43CD7C5E"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A service member who does not meet military services’ Capstone Career Readiness Standards</w:t>
      </w:r>
    </w:p>
    <w:p w14:paraId="3D28FAF0"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An active duty service member being involuntarily separated through a Service reduction-in-force</w:t>
      </w:r>
    </w:p>
    <w:p w14:paraId="682FAC64" w14:textId="77777777" w:rsidR="00811745" w:rsidRPr="004A0C12" w:rsidRDefault="00811745" w:rsidP="00232F09">
      <w:pPr>
        <w:pStyle w:val="ListParagraph"/>
        <w:numPr>
          <w:ilvl w:val="0"/>
          <w:numId w:val="305"/>
        </w:numPr>
        <w:rPr>
          <w:rFonts w:ascii="Garamond" w:hAnsi="Garamond"/>
          <w:szCs w:val="22"/>
        </w:rPr>
      </w:pPr>
      <w:r w:rsidRPr="004A0C12">
        <w:rPr>
          <w:rFonts w:ascii="Garamond" w:hAnsi="Garamond"/>
          <w:szCs w:val="22"/>
        </w:rPr>
        <w:t xml:space="preserve">The JVSG program, as a WIOA Partner, will also work to improve the quality of services provided to Veterans through the American Job Center system and looks forward to aligning the program with other WIOA Partner programs outlined above.    </w:t>
      </w:r>
    </w:p>
    <w:p w14:paraId="07F5650E" w14:textId="77777777" w:rsidR="00811745" w:rsidRPr="004F590C" w:rsidRDefault="00811745" w:rsidP="00811745">
      <w:pPr>
        <w:pStyle w:val="Heading2"/>
        <w:rPr>
          <w:rFonts w:ascii="Garamond" w:hAnsi="Garamond"/>
          <w:vanish/>
          <w:sz w:val="24"/>
          <w:szCs w:val="22"/>
        </w:rPr>
      </w:pPr>
      <w:bookmarkStart w:id="261" w:name="_Toc447276281"/>
      <w:r w:rsidRPr="004F590C">
        <w:rPr>
          <w:rFonts w:ascii="Garamond" w:hAnsi="Garamond"/>
          <w:sz w:val="24"/>
          <w:szCs w:val="22"/>
        </w:rPr>
        <w:t>Implementation of Priority of Service</w:t>
      </w:r>
      <w:bookmarkEnd w:id="261"/>
      <w:r w:rsidRPr="004F590C">
        <w:rPr>
          <w:rFonts w:ascii="Garamond" w:hAnsi="Garamond"/>
          <w:sz w:val="24"/>
          <w:szCs w:val="22"/>
        </w:rPr>
        <w:t xml:space="preserve"> </w:t>
      </w:r>
    </w:p>
    <w:p w14:paraId="6C326CB3" w14:textId="77777777" w:rsidR="00811745" w:rsidRPr="004A0C12" w:rsidRDefault="00811745" w:rsidP="00811745">
      <w:pPr>
        <w:pStyle w:val="Heading2"/>
        <w:rPr>
          <w:rFonts w:ascii="Garamond" w:hAnsi="Garamond"/>
          <w:vanish/>
          <w:sz w:val="22"/>
          <w:szCs w:val="22"/>
        </w:rPr>
      </w:pPr>
    </w:p>
    <w:p w14:paraId="65810C15" w14:textId="77777777" w:rsidR="00811745" w:rsidRPr="004A0C12" w:rsidRDefault="00811745" w:rsidP="00811745">
      <w:pPr>
        <w:pStyle w:val="Heading2"/>
        <w:rPr>
          <w:rFonts w:ascii="Garamond" w:hAnsi="Garamond"/>
          <w:vanish/>
          <w:sz w:val="22"/>
          <w:szCs w:val="22"/>
        </w:rPr>
      </w:pPr>
    </w:p>
    <w:p w14:paraId="22B9619D" w14:textId="77777777" w:rsidR="00811745" w:rsidRPr="004A0C12" w:rsidRDefault="00811745" w:rsidP="00811745">
      <w:pPr>
        <w:pStyle w:val="Heading2"/>
        <w:rPr>
          <w:rFonts w:ascii="Garamond" w:hAnsi="Garamond"/>
          <w:vanish/>
          <w:sz w:val="22"/>
          <w:szCs w:val="22"/>
        </w:rPr>
      </w:pPr>
    </w:p>
    <w:p w14:paraId="3CE291A9" w14:textId="77777777" w:rsidR="00811745" w:rsidRPr="004A0C12" w:rsidRDefault="00811745" w:rsidP="00811745">
      <w:pPr>
        <w:pStyle w:val="Heading2"/>
        <w:rPr>
          <w:rFonts w:ascii="Garamond" w:hAnsi="Garamond"/>
          <w:sz w:val="22"/>
          <w:szCs w:val="22"/>
        </w:rPr>
      </w:pPr>
    </w:p>
    <w:p w14:paraId="5AFAE120"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In accordance with the Jobs for Veterans Act of 2002 and the Veterans’ Benefits, Health Care, and Information Technology Act of 2006, DLLR offers covered Veterans and eligible spouses “Priority of Service.” The purpose of Priority of Service is to give first consideration for program participation to covered Veterans and eligible spouses who also meet the eligibility criteria of a USDOL training, employment, or placement service in any workforce preparation program. </w:t>
      </w:r>
    </w:p>
    <w:p w14:paraId="659B7592" w14:textId="77777777" w:rsidR="00811745" w:rsidRPr="004A0C12" w:rsidRDefault="00811745" w:rsidP="00811745">
      <w:pPr>
        <w:spacing w:after="0" w:line="240" w:lineRule="auto"/>
        <w:jc w:val="both"/>
        <w:rPr>
          <w:rFonts w:ascii="Garamond" w:hAnsi="Garamond" w:cs="Times New Roman"/>
        </w:rPr>
      </w:pPr>
    </w:p>
    <w:p w14:paraId="17FA3FED"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To receive Veterans Priority of Service for a specific program, a Veteran or eligible spouse must meet the statutory definition of a “covered person” and also must meet any other statutory eligibly requirement applicable to the program. Depending on the type of service or resource being provided, Priority of Service may mean:</w:t>
      </w:r>
    </w:p>
    <w:p w14:paraId="7673316C" w14:textId="77777777" w:rsidR="00811745" w:rsidRPr="004A0C12" w:rsidRDefault="00811745" w:rsidP="00811745">
      <w:pPr>
        <w:spacing w:after="0" w:line="240" w:lineRule="auto"/>
        <w:jc w:val="both"/>
        <w:rPr>
          <w:rFonts w:ascii="Garamond" w:hAnsi="Garamond" w:cs="Times New Roman"/>
        </w:rPr>
      </w:pPr>
    </w:p>
    <w:p w14:paraId="3C3C03A1" w14:textId="77777777" w:rsidR="00811745" w:rsidRPr="004A0C12" w:rsidRDefault="00811745" w:rsidP="00232F09">
      <w:pPr>
        <w:pStyle w:val="ListParagraph"/>
        <w:numPr>
          <w:ilvl w:val="0"/>
          <w:numId w:val="296"/>
        </w:numPr>
        <w:contextualSpacing/>
        <w:jc w:val="both"/>
        <w:rPr>
          <w:rFonts w:ascii="Garamond" w:hAnsi="Garamond"/>
          <w:szCs w:val="22"/>
        </w:rPr>
      </w:pPr>
      <w:r w:rsidRPr="004A0C12">
        <w:rPr>
          <w:rFonts w:ascii="Garamond" w:hAnsi="Garamond"/>
          <w:szCs w:val="22"/>
        </w:rPr>
        <w:t>A covered person gains access to services or resources earlier than the non-covered persons;</w:t>
      </w:r>
    </w:p>
    <w:p w14:paraId="65641A04" w14:textId="77777777" w:rsidR="00811745" w:rsidRPr="004A0C12" w:rsidRDefault="00811745" w:rsidP="00232F09">
      <w:pPr>
        <w:pStyle w:val="ListParagraph"/>
        <w:numPr>
          <w:ilvl w:val="0"/>
          <w:numId w:val="296"/>
        </w:numPr>
        <w:contextualSpacing/>
        <w:jc w:val="both"/>
        <w:rPr>
          <w:rFonts w:ascii="Garamond" w:hAnsi="Garamond"/>
          <w:szCs w:val="22"/>
        </w:rPr>
      </w:pPr>
      <w:r w:rsidRPr="004A0C12">
        <w:rPr>
          <w:rFonts w:ascii="Garamond" w:hAnsi="Garamond"/>
          <w:szCs w:val="22"/>
        </w:rPr>
        <w:t xml:space="preserve">A covered person receives service or resources instead of a non-covered person when resources are limited; </w:t>
      </w:r>
    </w:p>
    <w:p w14:paraId="4C47062F" w14:textId="77777777" w:rsidR="00811745" w:rsidRPr="004A0C12" w:rsidRDefault="00811745" w:rsidP="00232F09">
      <w:pPr>
        <w:pStyle w:val="ListParagraph"/>
        <w:numPr>
          <w:ilvl w:val="0"/>
          <w:numId w:val="296"/>
        </w:numPr>
        <w:contextualSpacing/>
        <w:jc w:val="both"/>
        <w:rPr>
          <w:rFonts w:ascii="Garamond" w:hAnsi="Garamond"/>
          <w:szCs w:val="22"/>
        </w:rPr>
      </w:pPr>
      <w:r w:rsidRPr="004A0C12">
        <w:rPr>
          <w:rFonts w:ascii="Garamond" w:hAnsi="Garamond"/>
          <w:szCs w:val="22"/>
        </w:rPr>
        <w:t>A covered person is placed at the top of a waiting list for the formation of a training class.</w:t>
      </w:r>
    </w:p>
    <w:p w14:paraId="5BC52724" w14:textId="77777777" w:rsidR="00811745" w:rsidRPr="004A0C12" w:rsidRDefault="00811745" w:rsidP="00811745">
      <w:pPr>
        <w:spacing w:after="0" w:line="240" w:lineRule="auto"/>
        <w:jc w:val="both"/>
        <w:rPr>
          <w:rFonts w:ascii="Garamond" w:hAnsi="Garamond" w:cs="Times New Roman"/>
        </w:rPr>
      </w:pPr>
    </w:p>
    <w:p w14:paraId="357B89C3"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However, it is important to note that while a covered person is placed at the top of a waiting list for the formation of a training class, priority of service applies up to the point at which an individual is both (1) approved for funding; and, (2) accepted or enrolled in a training class. Priority of service is not intended to allow a Veteran or eligible spouse to “bump” the non-covered person from that training class.     </w:t>
      </w:r>
    </w:p>
    <w:p w14:paraId="5F60D714" w14:textId="77777777" w:rsidR="00811745" w:rsidRPr="004A0C12" w:rsidRDefault="00811745" w:rsidP="00811745">
      <w:pPr>
        <w:spacing w:after="0" w:line="240" w:lineRule="auto"/>
        <w:jc w:val="both"/>
        <w:rPr>
          <w:rFonts w:ascii="Garamond" w:hAnsi="Garamond" w:cs="Times New Roman"/>
        </w:rPr>
      </w:pPr>
    </w:p>
    <w:p w14:paraId="212800EB"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Veterans Priority of Service should take precedence before applying WIOA Priority of Service for recipients of public assistance, other low-income individuals, and individuals who are basic skills deficient. </w:t>
      </w:r>
    </w:p>
    <w:p w14:paraId="16B80B5E" w14:textId="77777777" w:rsidR="00811745" w:rsidRPr="004A0C12" w:rsidRDefault="00811745" w:rsidP="00811745">
      <w:pPr>
        <w:spacing w:after="0" w:line="240" w:lineRule="auto"/>
        <w:jc w:val="both"/>
        <w:rPr>
          <w:rFonts w:ascii="Garamond" w:hAnsi="Garamond" w:cs="Times New Roman"/>
        </w:rPr>
      </w:pPr>
    </w:p>
    <w:p w14:paraId="2D98E061"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For universal access programs, such as Wagner-Peyser services, covered persons must receive Priority of Service over all other program participants. However, for programs with specific eligibility criteria, such as the WIOA Title I Adult program, covered persons must first meet all statutory eligibility requirements for the program to receive Priority of Service. For programs that target specific populations without statutory mandate, covered persons must receive the highest priority for enrollment, similarly to the Priority of Service applied to universal access programs. </w:t>
      </w:r>
    </w:p>
    <w:p w14:paraId="5CE4AACD" w14:textId="77777777" w:rsidR="00811745" w:rsidRPr="004A0C12" w:rsidRDefault="00811745" w:rsidP="00811745">
      <w:pPr>
        <w:spacing w:after="0" w:line="240" w:lineRule="auto"/>
        <w:jc w:val="both"/>
        <w:rPr>
          <w:rFonts w:ascii="Garamond" w:hAnsi="Garamond" w:cs="Times New Roman"/>
          <w:b/>
          <w:color w:val="1F497D"/>
        </w:rPr>
      </w:pPr>
    </w:p>
    <w:p w14:paraId="4B7951D7"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State and local program operators must understand that Priority of Service, as defined in this policy, must be followed. As established by statute, State and local operators do not have the discretion to establish further priorities within the overall Priority of Service; this right is reserved for the United States Secretary of Labor only. </w:t>
      </w:r>
    </w:p>
    <w:p w14:paraId="08457701" w14:textId="77777777" w:rsidR="00811745" w:rsidRPr="004A0C12" w:rsidRDefault="00811745" w:rsidP="00811745">
      <w:pPr>
        <w:spacing w:after="0" w:line="240" w:lineRule="auto"/>
        <w:jc w:val="both"/>
        <w:rPr>
          <w:rFonts w:ascii="Garamond" w:hAnsi="Garamond" w:cs="Times New Roman"/>
        </w:rPr>
      </w:pPr>
    </w:p>
    <w:p w14:paraId="6BF3294B" w14:textId="77777777" w:rsidR="00811745" w:rsidRPr="004A0C12" w:rsidRDefault="00811745" w:rsidP="00811745">
      <w:pPr>
        <w:tabs>
          <w:tab w:val="left" w:pos="4590"/>
        </w:tabs>
        <w:spacing w:after="0" w:line="240" w:lineRule="auto"/>
        <w:jc w:val="both"/>
        <w:rPr>
          <w:rFonts w:ascii="Garamond" w:hAnsi="Garamond" w:cs="Times New Roman"/>
        </w:rPr>
      </w:pPr>
      <w:r w:rsidRPr="004A0C12">
        <w:rPr>
          <w:rFonts w:ascii="Garamond" w:hAnsi="Garamond" w:cs="Times New Roman"/>
        </w:rPr>
        <w:t>Local Area Directors must ensure that Local Plans incorporate a Veterans Priority of Service policy that is consistent with the requirements of this State-issued policy and the law.</w:t>
      </w:r>
    </w:p>
    <w:p w14:paraId="6A840A78" w14:textId="77777777" w:rsidR="00811745" w:rsidRPr="004A0C12" w:rsidRDefault="00811745" w:rsidP="00811745">
      <w:pPr>
        <w:spacing w:after="0" w:line="240" w:lineRule="auto"/>
        <w:jc w:val="both"/>
        <w:rPr>
          <w:rFonts w:ascii="Garamond" w:hAnsi="Garamond" w:cs="Times New Roman"/>
          <w:b/>
          <w:color w:val="1F497D"/>
        </w:rPr>
      </w:pPr>
    </w:p>
    <w:p w14:paraId="669290E8" w14:textId="77777777" w:rsidR="00811745" w:rsidRPr="004A0C12" w:rsidRDefault="00811745" w:rsidP="00811745">
      <w:pPr>
        <w:spacing w:after="0" w:line="240" w:lineRule="auto"/>
        <w:contextualSpacing/>
        <w:jc w:val="both"/>
        <w:rPr>
          <w:rFonts w:ascii="Garamond" w:hAnsi="Garamond" w:cs="Times New Roman"/>
        </w:rPr>
      </w:pPr>
      <w:r w:rsidRPr="004A0C12">
        <w:rPr>
          <w:rFonts w:ascii="Garamond" w:hAnsi="Garamond" w:cs="Times New Roman"/>
        </w:rPr>
        <w:t xml:space="preserve">For WIOA Title I programs, Priority of Service is available to any Veteran  </w:t>
      </w:r>
      <w:r w:rsidRPr="004A0C12">
        <w:rPr>
          <w:rFonts w:ascii="Garamond" w:hAnsi="Garamond" w:cs="Times New Roman"/>
          <w:b/>
          <w:i/>
          <w:u w:val="single"/>
        </w:rPr>
        <w:t>who has served at least one day</w:t>
      </w:r>
      <w:r w:rsidRPr="004A0C12">
        <w:rPr>
          <w:rFonts w:ascii="Garamond" w:hAnsi="Garamond" w:cs="Times New Roman"/>
        </w:rPr>
        <w:t xml:space="preserve"> in the active military, naval, or air service, and who was discharged or released under conditions other than dishonorable, as defined by 38 U.S.C. 101(2). </w:t>
      </w:r>
    </w:p>
    <w:p w14:paraId="1FCE0307" w14:textId="77777777" w:rsidR="00811745" w:rsidRPr="004A0C12" w:rsidRDefault="00811745" w:rsidP="00811745">
      <w:pPr>
        <w:spacing w:after="0" w:line="240" w:lineRule="auto"/>
        <w:contextualSpacing/>
        <w:jc w:val="both"/>
        <w:rPr>
          <w:rFonts w:ascii="Garamond" w:hAnsi="Garamond" w:cs="Times New Roman"/>
        </w:rPr>
      </w:pPr>
    </w:p>
    <w:p w14:paraId="3D56E8DA" w14:textId="77777777" w:rsidR="00811745" w:rsidRPr="004A0C12" w:rsidRDefault="00811745" w:rsidP="00811745">
      <w:pPr>
        <w:spacing w:after="0" w:line="240" w:lineRule="auto"/>
        <w:contextualSpacing/>
        <w:jc w:val="both"/>
        <w:rPr>
          <w:rFonts w:ascii="Garamond" w:hAnsi="Garamond" w:cs="Times New Roman"/>
        </w:rPr>
      </w:pPr>
      <w:r w:rsidRPr="004A0C12">
        <w:rPr>
          <w:rFonts w:ascii="Garamond" w:hAnsi="Garamond" w:cs="Times New Roman"/>
        </w:rPr>
        <w:t xml:space="preserve">Active military service includes full-time Federal service in the National Guard or a Reserve unit activated for Federal Service. Active service, however, does not include full-time duty performed strictly for training purposes (i.e., weekend or annual training), nor does it include full-time active duty performed by National Guard personnel mobilized by State rather than Federal authorities. For instance, a National Guard member mobilized by the State in response to a natural disaster would not be considered in active military service. </w:t>
      </w:r>
    </w:p>
    <w:p w14:paraId="4A2FCDB5" w14:textId="77777777" w:rsidR="00811745" w:rsidRPr="004A0C12" w:rsidRDefault="00811745" w:rsidP="00811745">
      <w:pPr>
        <w:spacing w:after="0" w:line="240" w:lineRule="auto"/>
        <w:contextualSpacing/>
        <w:jc w:val="both"/>
        <w:rPr>
          <w:rFonts w:ascii="Garamond" w:hAnsi="Garamond" w:cs="Times New Roman"/>
        </w:rPr>
      </w:pPr>
    </w:p>
    <w:p w14:paraId="26F382C7" w14:textId="77777777" w:rsidR="00811745" w:rsidRPr="004A0C12" w:rsidRDefault="00811745" w:rsidP="00811745">
      <w:pPr>
        <w:spacing w:after="0" w:line="240" w:lineRule="auto"/>
        <w:contextualSpacing/>
        <w:jc w:val="both"/>
        <w:rPr>
          <w:rFonts w:ascii="Garamond" w:hAnsi="Garamond" w:cs="Times New Roman"/>
        </w:rPr>
      </w:pPr>
      <w:r w:rsidRPr="004A0C12" w:rsidDel="009C2984">
        <w:rPr>
          <w:rFonts w:ascii="Garamond" w:hAnsi="Garamond" w:cs="Times New Roman"/>
        </w:rPr>
        <w:t>For Wagner-Peyser and JVSG programs, Priority of Service is available to any Veteran who has served at least 180 days in the active military, naval, or air service, and who was discharged and released under conditions other than dishonorable, as defined by 38 U.S.C. 4211(4)(A).</w:t>
      </w:r>
    </w:p>
    <w:p w14:paraId="66ECE6F4" w14:textId="77777777" w:rsidR="00811745" w:rsidRPr="004A0C12" w:rsidRDefault="00811745" w:rsidP="00811745">
      <w:pPr>
        <w:spacing w:after="0" w:line="240" w:lineRule="auto"/>
        <w:contextualSpacing/>
        <w:jc w:val="both"/>
        <w:rPr>
          <w:rFonts w:ascii="Garamond" w:hAnsi="Garamond" w:cs="Times New Roman"/>
        </w:rPr>
      </w:pPr>
    </w:p>
    <w:p w14:paraId="2965169A" w14:textId="77777777" w:rsidR="00811745" w:rsidRPr="004A0C12" w:rsidRDefault="00811745" w:rsidP="00811745">
      <w:pPr>
        <w:spacing w:after="0" w:line="240" w:lineRule="auto"/>
        <w:contextualSpacing/>
        <w:jc w:val="both"/>
        <w:rPr>
          <w:rFonts w:ascii="Garamond" w:hAnsi="Garamond" w:cs="Times New Roman"/>
        </w:rPr>
      </w:pPr>
      <w:r w:rsidRPr="004A0C12">
        <w:rPr>
          <w:rFonts w:ascii="Garamond" w:hAnsi="Garamond" w:cs="Times New Roman"/>
        </w:rPr>
        <w:t xml:space="preserve">Priority of Service is also available to any “eligible spouse” of a Veteran. As defined by 38 U.S.C. 4215(a)(B)(i-iv), a spouse is eligible if he or she meets any of the following four categories: </w:t>
      </w:r>
    </w:p>
    <w:p w14:paraId="56E5BC7E" w14:textId="77777777" w:rsidR="00811745" w:rsidRPr="004A0C12" w:rsidRDefault="00811745" w:rsidP="00232F09">
      <w:pPr>
        <w:pStyle w:val="ListParagraph"/>
        <w:numPr>
          <w:ilvl w:val="0"/>
          <w:numId w:val="304"/>
        </w:numPr>
        <w:contextualSpacing/>
        <w:jc w:val="both"/>
        <w:rPr>
          <w:rFonts w:ascii="Garamond" w:hAnsi="Garamond"/>
          <w:szCs w:val="22"/>
        </w:rPr>
      </w:pPr>
      <w:r w:rsidRPr="004A0C12">
        <w:rPr>
          <w:rFonts w:ascii="Garamond" w:hAnsi="Garamond"/>
          <w:szCs w:val="22"/>
        </w:rPr>
        <w:t>A spouse of any Veteran who died of a service</w:t>
      </w:r>
      <w:r w:rsidRPr="004A0C12">
        <w:rPr>
          <w:rFonts w:ascii="Cambria Math" w:hAnsi="Cambria Math" w:cs="Cambria Math"/>
          <w:szCs w:val="22"/>
        </w:rPr>
        <w:t>‐</w:t>
      </w:r>
      <w:r w:rsidRPr="004A0C12">
        <w:rPr>
          <w:rFonts w:ascii="Garamond" w:hAnsi="Garamond"/>
          <w:szCs w:val="22"/>
        </w:rPr>
        <w:t>connected disability;</w:t>
      </w:r>
    </w:p>
    <w:p w14:paraId="467D1F84" w14:textId="77777777" w:rsidR="00811745" w:rsidRPr="004A0C12" w:rsidRDefault="00811745" w:rsidP="00232F09">
      <w:pPr>
        <w:pStyle w:val="ListParagraph"/>
        <w:numPr>
          <w:ilvl w:val="0"/>
          <w:numId w:val="304"/>
        </w:numPr>
        <w:contextualSpacing/>
        <w:jc w:val="both"/>
        <w:rPr>
          <w:rFonts w:ascii="Garamond" w:hAnsi="Garamond"/>
          <w:szCs w:val="22"/>
        </w:rPr>
      </w:pPr>
      <w:r w:rsidRPr="004A0C12">
        <w:rPr>
          <w:rFonts w:ascii="Garamond" w:hAnsi="Garamond"/>
          <w:szCs w:val="22"/>
        </w:rPr>
        <w:t xml:space="preserve">A spouse of any member of the Armed Forces serving on active duty who, at the time of application for the priority, is listed in one or more of the following categories and has been so listed for a total of more than 90 days: </w:t>
      </w:r>
    </w:p>
    <w:p w14:paraId="492EDA74" w14:textId="77777777" w:rsidR="00811745" w:rsidRPr="004A0C12" w:rsidRDefault="00811745" w:rsidP="00232F09">
      <w:pPr>
        <w:pStyle w:val="ListParagraph"/>
        <w:numPr>
          <w:ilvl w:val="1"/>
          <w:numId w:val="304"/>
        </w:numPr>
        <w:contextualSpacing/>
        <w:jc w:val="both"/>
        <w:rPr>
          <w:rFonts w:ascii="Garamond" w:hAnsi="Garamond"/>
          <w:szCs w:val="22"/>
        </w:rPr>
      </w:pPr>
      <w:r w:rsidRPr="004A0C12">
        <w:rPr>
          <w:rFonts w:ascii="Garamond" w:hAnsi="Garamond"/>
          <w:szCs w:val="22"/>
        </w:rPr>
        <w:t>Missing in action;</w:t>
      </w:r>
    </w:p>
    <w:p w14:paraId="257F6344" w14:textId="77777777" w:rsidR="00811745" w:rsidRPr="004A0C12" w:rsidRDefault="00811745" w:rsidP="00232F09">
      <w:pPr>
        <w:pStyle w:val="ListParagraph"/>
        <w:numPr>
          <w:ilvl w:val="1"/>
          <w:numId w:val="304"/>
        </w:numPr>
        <w:contextualSpacing/>
        <w:jc w:val="both"/>
        <w:rPr>
          <w:rFonts w:ascii="Garamond" w:hAnsi="Garamond"/>
          <w:szCs w:val="22"/>
        </w:rPr>
      </w:pPr>
      <w:r w:rsidRPr="004A0C12">
        <w:rPr>
          <w:rFonts w:ascii="Garamond" w:hAnsi="Garamond"/>
          <w:szCs w:val="22"/>
        </w:rPr>
        <w:t>Captured in the line of duty by a hostile force; or</w:t>
      </w:r>
    </w:p>
    <w:p w14:paraId="230FFA5A" w14:textId="77777777" w:rsidR="00811745" w:rsidRPr="004A0C12" w:rsidRDefault="00811745" w:rsidP="00232F09">
      <w:pPr>
        <w:pStyle w:val="ListParagraph"/>
        <w:numPr>
          <w:ilvl w:val="1"/>
          <w:numId w:val="304"/>
        </w:numPr>
        <w:contextualSpacing/>
        <w:jc w:val="both"/>
        <w:rPr>
          <w:rFonts w:ascii="Garamond" w:hAnsi="Garamond"/>
          <w:szCs w:val="22"/>
        </w:rPr>
      </w:pPr>
      <w:r w:rsidRPr="004A0C12">
        <w:rPr>
          <w:rFonts w:ascii="Garamond" w:hAnsi="Garamond"/>
          <w:szCs w:val="22"/>
        </w:rPr>
        <w:t>Forcibly detained or interned in the line of duty by foreign government or power.</w:t>
      </w:r>
    </w:p>
    <w:p w14:paraId="37040F96" w14:textId="77777777" w:rsidR="00811745" w:rsidRPr="004A0C12" w:rsidRDefault="00811745" w:rsidP="00232F09">
      <w:pPr>
        <w:pStyle w:val="ListParagraph"/>
        <w:numPr>
          <w:ilvl w:val="0"/>
          <w:numId w:val="304"/>
        </w:numPr>
        <w:contextualSpacing/>
        <w:jc w:val="both"/>
        <w:rPr>
          <w:rFonts w:ascii="Garamond" w:hAnsi="Garamond"/>
          <w:szCs w:val="22"/>
        </w:rPr>
      </w:pPr>
      <w:r w:rsidRPr="004A0C12">
        <w:rPr>
          <w:rFonts w:ascii="Garamond" w:hAnsi="Garamond"/>
          <w:szCs w:val="22"/>
        </w:rPr>
        <w:t>A spouse of any Veteran who has a total disability resulting from a service</w:t>
      </w:r>
      <w:r w:rsidRPr="004A0C12">
        <w:rPr>
          <w:rFonts w:ascii="Cambria Math" w:hAnsi="Cambria Math" w:cs="Cambria Math"/>
          <w:szCs w:val="22"/>
        </w:rPr>
        <w:t>‐</w:t>
      </w:r>
      <w:r w:rsidRPr="004A0C12">
        <w:rPr>
          <w:rFonts w:ascii="Garamond" w:hAnsi="Garamond"/>
          <w:szCs w:val="22"/>
        </w:rPr>
        <w:t>connected disability, as evaluated by the Department of Veterans Affairs; or,</w:t>
      </w:r>
    </w:p>
    <w:p w14:paraId="31D6AC82" w14:textId="77777777" w:rsidR="00811745" w:rsidRPr="004A0C12" w:rsidRDefault="00811745" w:rsidP="00232F09">
      <w:pPr>
        <w:pStyle w:val="ListParagraph"/>
        <w:numPr>
          <w:ilvl w:val="0"/>
          <w:numId w:val="304"/>
        </w:numPr>
        <w:contextualSpacing/>
        <w:jc w:val="both"/>
        <w:rPr>
          <w:rFonts w:ascii="Garamond" w:hAnsi="Garamond"/>
          <w:szCs w:val="22"/>
        </w:rPr>
      </w:pPr>
      <w:r w:rsidRPr="004A0C12">
        <w:rPr>
          <w:rFonts w:ascii="Garamond" w:hAnsi="Garamond"/>
          <w:szCs w:val="22"/>
        </w:rPr>
        <w:t>A spouse of any Veteran who died while a disability was in existence.</w:t>
      </w:r>
    </w:p>
    <w:p w14:paraId="13A4C7DA" w14:textId="77777777" w:rsidR="00811745" w:rsidRPr="004A0C12" w:rsidRDefault="00811745" w:rsidP="00811745">
      <w:pPr>
        <w:pStyle w:val="ListParagraph"/>
        <w:jc w:val="both"/>
        <w:rPr>
          <w:rFonts w:ascii="Garamond" w:hAnsi="Garamond"/>
          <w:szCs w:val="22"/>
        </w:rPr>
      </w:pPr>
    </w:p>
    <w:p w14:paraId="3393BAC1"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A spouse whose eligibility is derived from a living Veteran or service member, as is the case with Category 2 and Category 3, would lose his or her eligibility if the Veteran or service member was to lose the status that is the basis for the eligibility (e.g. if a Veteran with a total service</w:t>
      </w:r>
      <w:r w:rsidRPr="004A0C12">
        <w:rPr>
          <w:rFonts w:ascii="Cambria Math" w:hAnsi="Cambria Math" w:cs="Cambria Math"/>
        </w:rPr>
        <w:t>‐</w:t>
      </w:r>
      <w:r w:rsidRPr="004A0C12">
        <w:rPr>
          <w:rFonts w:ascii="Garamond" w:hAnsi="Garamond" w:cs="Times New Roman"/>
        </w:rPr>
        <w:t>connected disability were to receive a revised disability rating at a lower level). Similarly, a spouse whose eligibility is derived from a living Veteran or service member would lose that eligibility upon divorce from the Veteran or service member. However, a spouse who qualifies under Category 1 or Category 4 would not lose covered status through subsequent remarriage.</w:t>
      </w:r>
    </w:p>
    <w:p w14:paraId="45705FAB" w14:textId="77777777" w:rsidR="00811745" w:rsidRPr="004A0C12" w:rsidRDefault="00811745" w:rsidP="00811745">
      <w:pPr>
        <w:spacing w:after="0" w:line="240" w:lineRule="auto"/>
        <w:jc w:val="both"/>
        <w:rPr>
          <w:rFonts w:ascii="Garamond" w:hAnsi="Garamond" w:cs="Times New Roman"/>
        </w:rPr>
      </w:pPr>
    </w:p>
    <w:p w14:paraId="03130FFF"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By way of example, a spouse of a service member who was killed in action, or who was married to a veteran who has a total disability and now is divorced would not be an “eligible spouse.” </w:t>
      </w:r>
    </w:p>
    <w:p w14:paraId="0D595A32" w14:textId="77777777" w:rsidR="00811745" w:rsidRPr="004A0C12" w:rsidRDefault="00811745" w:rsidP="00811745">
      <w:pPr>
        <w:spacing w:after="0" w:line="240" w:lineRule="auto"/>
        <w:jc w:val="both"/>
        <w:rPr>
          <w:rFonts w:ascii="Garamond" w:hAnsi="Garamond" w:cs="Times New Roman"/>
          <w:b/>
          <w:color w:val="1F497D"/>
        </w:rPr>
      </w:pPr>
    </w:p>
    <w:p w14:paraId="37E5D841"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The application of Priority of Service varies by program. For those workforce programs that operate or deliver services to the public as a whole, without targeting specific groups, Veterans and eligible spouses must receive Priority of Service over all other program participants. For WIOA Title I programs, and other “core” services delivered through the American Job Center system, Veterans and eligible spouses receive the first level of priority.      </w:t>
      </w:r>
    </w:p>
    <w:p w14:paraId="07A606EA" w14:textId="77777777" w:rsidR="00811745" w:rsidRPr="004A0C12" w:rsidRDefault="00811745" w:rsidP="00811745">
      <w:pPr>
        <w:spacing w:after="0" w:line="240" w:lineRule="auto"/>
        <w:jc w:val="both"/>
        <w:rPr>
          <w:rFonts w:ascii="Garamond" w:hAnsi="Garamond" w:cs="Times New Roman"/>
        </w:rPr>
      </w:pPr>
    </w:p>
    <w:p w14:paraId="0763F58F"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Veterans Priority of Service must take precedence before applying WIOA Priority of Service for recipients of public assistance, other low-income individuals, and individuals who are basic skills deficient. In such instances, program operators must determine the status of each individual veteran or eligible spouse and apply priority of service as follows:</w:t>
      </w:r>
    </w:p>
    <w:p w14:paraId="20D02B6B" w14:textId="77777777" w:rsidR="00811745" w:rsidRPr="004A0C12" w:rsidRDefault="00811745" w:rsidP="00811745">
      <w:pPr>
        <w:spacing w:after="0" w:line="240" w:lineRule="auto"/>
        <w:jc w:val="both"/>
        <w:rPr>
          <w:rFonts w:ascii="Garamond" w:hAnsi="Garamond" w:cs="Times New Roman"/>
        </w:rPr>
      </w:pPr>
    </w:p>
    <w:p w14:paraId="6D1E71BF" w14:textId="77777777" w:rsidR="00811745" w:rsidRPr="004A0C12" w:rsidRDefault="00811745" w:rsidP="00811745">
      <w:pPr>
        <w:ind w:left="424"/>
        <w:contextualSpacing/>
        <w:jc w:val="both"/>
        <w:rPr>
          <w:rFonts w:ascii="Garamond" w:hAnsi="Garamond"/>
        </w:rPr>
      </w:pPr>
      <w:r w:rsidRPr="004A0C12">
        <w:rPr>
          <w:rFonts w:ascii="Garamond" w:hAnsi="Garamond"/>
          <w:b/>
        </w:rPr>
        <w:t>HIGHEST LEVEL PRIORITY</w:t>
      </w:r>
      <w:r w:rsidRPr="004A0C12">
        <w:rPr>
          <w:rFonts w:ascii="Garamond" w:hAnsi="Garamond"/>
        </w:rPr>
        <w:t xml:space="preserve"> -- Veterans and eligible spouses who meet the mandatory priorities or spending requirements or limitation; </w:t>
      </w:r>
    </w:p>
    <w:p w14:paraId="43FEB056" w14:textId="77777777" w:rsidR="00811745" w:rsidRPr="004A0C12" w:rsidRDefault="00811745" w:rsidP="00811745">
      <w:pPr>
        <w:ind w:left="424"/>
        <w:contextualSpacing/>
        <w:jc w:val="both"/>
        <w:rPr>
          <w:rFonts w:ascii="Garamond" w:hAnsi="Garamond"/>
        </w:rPr>
      </w:pPr>
      <w:r w:rsidRPr="004A0C12">
        <w:rPr>
          <w:rFonts w:ascii="Garamond" w:hAnsi="Garamond"/>
          <w:b/>
        </w:rPr>
        <w:t xml:space="preserve">SECOND LEVEL PRIORITY </w:t>
      </w:r>
      <w:r w:rsidRPr="004A0C12">
        <w:rPr>
          <w:rFonts w:ascii="Garamond" w:hAnsi="Garamond"/>
        </w:rPr>
        <w:t xml:space="preserve">– Non-covered persons who meet the program’s mandatory priority or spending requirement or limitation; </w:t>
      </w:r>
    </w:p>
    <w:p w14:paraId="1CBFA823" w14:textId="77777777" w:rsidR="00811745" w:rsidRPr="004A0C12" w:rsidRDefault="00811745" w:rsidP="00811745">
      <w:pPr>
        <w:ind w:left="424"/>
        <w:contextualSpacing/>
        <w:jc w:val="both"/>
        <w:rPr>
          <w:rFonts w:ascii="Garamond" w:hAnsi="Garamond"/>
        </w:rPr>
      </w:pPr>
      <w:r w:rsidRPr="004A0C12">
        <w:rPr>
          <w:rFonts w:ascii="Garamond" w:hAnsi="Garamond"/>
          <w:b/>
        </w:rPr>
        <w:t xml:space="preserve">THIRD LEVEL PRIORITY </w:t>
      </w:r>
      <w:r w:rsidRPr="004A0C12">
        <w:rPr>
          <w:rFonts w:ascii="Garamond" w:hAnsi="Garamond"/>
        </w:rPr>
        <w:t>– Veterans and eligible spouses outside the program-specific mandatory priority or spending</w:t>
      </w:r>
    </w:p>
    <w:p w14:paraId="7FA218D5" w14:textId="77777777" w:rsidR="00811745" w:rsidRPr="004A0C12" w:rsidRDefault="00811745" w:rsidP="00811745">
      <w:pPr>
        <w:ind w:left="424"/>
        <w:contextualSpacing/>
        <w:jc w:val="both"/>
        <w:rPr>
          <w:rFonts w:ascii="Garamond" w:hAnsi="Garamond"/>
        </w:rPr>
      </w:pPr>
      <w:r w:rsidRPr="004A0C12">
        <w:rPr>
          <w:rFonts w:ascii="Garamond" w:hAnsi="Garamond"/>
          <w:b/>
        </w:rPr>
        <w:t xml:space="preserve">FOURTH LEVEL PRIORITY </w:t>
      </w:r>
      <w:r w:rsidRPr="004A0C12">
        <w:rPr>
          <w:rFonts w:ascii="Garamond" w:hAnsi="Garamond"/>
        </w:rPr>
        <w:t>– Non-covered persons outside the program-specific mandatory priority or spending.</w:t>
      </w:r>
    </w:p>
    <w:p w14:paraId="089FA695" w14:textId="77777777" w:rsidR="00811745" w:rsidRPr="004A0C12" w:rsidRDefault="00811745" w:rsidP="00811745">
      <w:pPr>
        <w:spacing w:after="0" w:line="240" w:lineRule="auto"/>
        <w:jc w:val="both"/>
        <w:rPr>
          <w:rFonts w:ascii="Garamond" w:hAnsi="Garamond" w:cs="Times New Roman"/>
          <w:b/>
          <w:color w:val="1F497D"/>
        </w:rPr>
      </w:pPr>
    </w:p>
    <w:p w14:paraId="6FC657B3" w14:textId="77777777" w:rsidR="00811745" w:rsidRPr="004A0C12" w:rsidRDefault="00811745" w:rsidP="00811745">
      <w:pPr>
        <w:spacing w:after="0" w:line="240" w:lineRule="auto"/>
        <w:contextualSpacing/>
        <w:jc w:val="both"/>
        <w:rPr>
          <w:rFonts w:ascii="Garamond" w:hAnsi="Garamond" w:cs="Times New Roman"/>
        </w:rPr>
      </w:pPr>
      <w:r w:rsidRPr="004A0C12">
        <w:rPr>
          <w:rFonts w:ascii="Garamond" w:hAnsi="Garamond" w:cs="Times New Roman"/>
        </w:rPr>
        <w:t>For programs with eligibility criteria that identify basic conditions teach participant is required to meet, a Veteran or eligible spouse:</w:t>
      </w:r>
    </w:p>
    <w:p w14:paraId="271F695C" w14:textId="77777777" w:rsidR="00811745" w:rsidRPr="004A0C12" w:rsidRDefault="00811745" w:rsidP="00232F09">
      <w:pPr>
        <w:pStyle w:val="ListParagraph"/>
        <w:numPr>
          <w:ilvl w:val="0"/>
          <w:numId w:val="297"/>
        </w:numPr>
        <w:contextualSpacing/>
        <w:jc w:val="both"/>
        <w:rPr>
          <w:rFonts w:ascii="Garamond" w:hAnsi="Garamond"/>
          <w:color w:val="auto"/>
          <w:szCs w:val="22"/>
        </w:rPr>
      </w:pPr>
      <w:r w:rsidRPr="004A0C12">
        <w:rPr>
          <w:rFonts w:ascii="Garamond" w:hAnsi="Garamond"/>
          <w:color w:val="auto"/>
          <w:szCs w:val="22"/>
        </w:rPr>
        <w:t>Must first meet any and all of the statutory eligibility criteria to be considered eligible for program enrollment; and,</w:t>
      </w:r>
    </w:p>
    <w:p w14:paraId="7B19C782" w14:textId="77777777" w:rsidR="00811745" w:rsidRPr="004A0C12" w:rsidRDefault="00811745" w:rsidP="00232F09">
      <w:pPr>
        <w:pStyle w:val="ListParagraph"/>
        <w:numPr>
          <w:ilvl w:val="0"/>
          <w:numId w:val="297"/>
        </w:numPr>
        <w:contextualSpacing/>
        <w:jc w:val="both"/>
        <w:rPr>
          <w:rFonts w:ascii="Garamond" w:hAnsi="Garamond"/>
          <w:color w:val="auto"/>
          <w:szCs w:val="22"/>
        </w:rPr>
      </w:pPr>
      <w:r w:rsidRPr="004A0C12">
        <w:rPr>
          <w:rFonts w:ascii="Garamond" w:hAnsi="Garamond"/>
          <w:color w:val="auto"/>
          <w:szCs w:val="22"/>
        </w:rPr>
        <w:t xml:space="preserve">Must receive priority for enrollment in the program; and, ultimately, priority of service. </w:t>
      </w:r>
    </w:p>
    <w:p w14:paraId="2707C54F" w14:textId="77777777" w:rsidR="00811745" w:rsidRPr="004A0C12" w:rsidRDefault="00811745" w:rsidP="00811745">
      <w:pPr>
        <w:spacing w:after="0" w:line="240" w:lineRule="auto"/>
        <w:contextualSpacing/>
        <w:jc w:val="both"/>
        <w:rPr>
          <w:rFonts w:ascii="Garamond" w:hAnsi="Garamond" w:cs="Times New Roman"/>
        </w:rPr>
      </w:pPr>
    </w:p>
    <w:p w14:paraId="70291D92" w14:textId="77777777" w:rsidR="00811745" w:rsidRPr="004A0C12" w:rsidRDefault="00811745" w:rsidP="00811745">
      <w:pPr>
        <w:spacing w:after="0" w:line="240" w:lineRule="auto"/>
        <w:contextualSpacing/>
        <w:jc w:val="both"/>
        <w:rPr>
          <w:rFonts w:ascii="Garamond" w:hAnsi="Garamond" w:cs="Times New Roman"/>
        </w:rPr>
      </w:pPr>
      <w:r w:rsidRPr="004A0C12">
        <w:rPr>
          <w:rFonts w:ascii="Garamond" w:hAnsi="Garamond" w:cs="Times New Roman"/>
        </w:rPr>
        <w:t xml:space="preserve">For example, the Senior Community Service Employment Program (SCSEP) requires that every participant be 55 years of age or over, meet a certain income level, reside in a designated area, and be considered “not job-ready.” To receive priority of service for </w:t>
      </w:r>
      <w:r w:rsidRPr="004A0C12">
        <w:rPr>
          <w:rFonts w:ascii="Garamond" w:hAnsi="Garamond" w:cs="Times New Roman"/>
        </w:rPr>
        <w:lastRenderedPageBreak/>
        <w:t xml:space="preserve">this program, a Veteran or eligible spouse must meet all of the minimum requirements specific to the SCSEP program in order to obtain priority of service.   </w:t>
      </w:r>
    </w:p>
    <w:p w14:paraId="74605AE1" w14:textId="77777777" w:rsidR="00811745" w:rsidRPr="004A0C12" w:rsidRDefault="00811745" w:rsidP="00811745">
      <w:pPr>
        <w:spacing w:after="0" w:line="240" w:lineRule="auto"/>
        <w:contextualSpacing/>
        <w:jc w:val="both"/>
        <w:rPr>
          <w:rFonts w:ascii="Garamond" w:hAnsi="Garamond" w:cs="Times New Roman"/>
        </w:rPr>
      </w:pPr>
    </w:p>
    <w:p w14:paraId="2F8B58B5"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Studies indicate that Post-9/11 Veterans face persistently high unemployment rates. To help Post-9/11 Veterans to quickly transition back into the civilian labor market, the ETA and VETS agencies offer a joint effort Gold Card initiative. This initiative offers enhanced Priority of Service to Veterans who served in active military service on or after September 11, 2011.</w:t>
      </w:r>
    </w:p>
    <w:p w14:paraId="0FD6F20C" w14:textId="77777777" w:rsidR="00811745" w:rsidRPr="004A0C12" w:rsidRDefault="00811745" w:rsidP="00811745">
      <w:pPr>
        <w:spacing w:after="0" w:line="240" w:lineRule="auto"/>
        <w:jc w:val="both"/>
        <w:rPr>
          <w:rFonts w:ascii="Garamond" w:hAnsi="Garamond" w:cs="Times New Roman"/>
        </w:rPr>
      </w:pPr>
    </w:p>
    <w:p w14:paraId="4410651D" w14:textId="77777777" w:rsidR="00811745" w:rsidRPr="004A0C12" w:rsidRDefault="00811745" w:rsidP="00811745">
      <w:pPr>
        <w:spacing w:after="0" w:line="240" w:lineRule="auto"/>
        <w:jc w:val="both"/>
        <w:rPr>
          <w:rFonts w:ascii="Garamond" w:hAnsi="Garamond" w:cs="Times New Roman"/>
          <w:color w:val="FF0000"/>
        </w:rPr>
      </w:pPr>
      <w:r w:rsidRPr="004A0C12">
        <w:rPr>
          <w:rFonts w:ascii="Garamond" w:hAnsi="Garamond" w:cs="Times New Roman"/>
        </w:rPr>
        <w:t xml:space="preserve">Post-9/11 Veterans may print a Gold Card here: </w:t>
      </w:r>
      <w:hyperlink r:id="rId106" w:history="1">
        <w:r w:rsidRPr="004A0C12">
          <w:rPr>
            <w:rStyle w:val="Hyperlink"/>
            <w:rFonts w:ascii="Garamond" w:hAnsi="Garamond"/>
          </w:rPr>
          <w:t>http://www.dol.gov/vets/goldcard.html</w:t>
        </w:r>
      </w:hyperlink>
      <w:r w:rsidRPr="004A0C12">
        <w:rPr>
          <w:rFonts w:ascii="Garamond" w:hAnsi="Garamond" w:cs="Times New Roman"/>
        </w:rPr>
        <w:t xml:space="preserve">. Eligible Veterans may present the Gold Card at any American Job Center. Gold Card Veterans with significant barriers to employment (as defined on page 10) should receive enhanced services from DVOPs, which could include: </w:t>
      </w:r>
    </w:p>
    <w:p w14:paraId="4403F090" w14:textId="77777777" w:rsidR="00811745" w:rsidRPr="004A0C12" w:rsidRDefault="00811745" w:rsidP="00811745">
      <w:pPr>
        <w:spacing w:after="0" w:line="240" w:lineRule="auto"/>
        <w:jc w:val="both"/>
        <w:rPr>
          <w:rFonts w:ascii="Garamond" w:hAnsi="Garamond" w:cs="Times New Roman"/>
        </w:rPr>
      </w:pPr>
    </w:p>
    <w:p w14:paraId="663094C9" w14:textId="77777777" w:rsidR="00811745" w:rsidRPr="004A0C12" w:rsidRDefault="00811745" w:rsidP="00232F09">
      <w:pPr>
        <w:pStyle w:val="ListParagraph"/>
        <w:numPr>
          <w:ilvl w:val="0"/>
          <w:numId w:val="301"/>
        </w:numPr>
        <w:contextualSpacing/>
        <w:jc w:val="both"/>
        <w:rPr>
          <w:rFonts w:ascii="Garamond" w:hAnsi="Garamond"/>
          <w:color w:val="auto"/>
          <w:szCs w:val="22"/>
        </w:rPr>
      </w:pPr>
      <w:r w:rsidRPr="004A0C12">
        <w:rPr>
          <w:rFonts w:ascii="Garamond" w:hAnsi="Garamond"/>
          <w:color w:val="auto"/>
          <w:szCs w:val="22"/>
        </w:rPr>
        <w:t xml:space="preserve">Personalized case management for a </w:t>
      </w:r>
      <w:r w:rsidRPr="004A0C12">
        <w:rPr>
          <w:rFonts w:ascii="Garamond" w:hAnsi="Garamond"/>
          <w:b/>
          <w:color w:val="auto"/>
          <w:szCs w:val="22"/>
        </w:rPr>
        <w:t>minimum of six months</w:t>
      </w:r>
      <w:r w:rsidRPr="004A0C12">
        <w:rPr>
          <w:rFonts w:ascii="Garamond" w:hAnsi="Garamond"/>
          <w:color w:val="auto"/>
          <w:szCs w:val="22"/>
        </w:rPr>
        <w:t xml:space="preserve">; </w:t>
      </w:r>
    </w:p>
    <w:p w14:paraId="70C8C001" w14:textId="77777777" w:rsidR="00811745" w:rsidRPr="004A0C12" w:rsidRDefault="00811745" w:rsidP="00232F09">
      <w:pPr>
        <w:pStyle w:val="ListParagraph"/>
        <w:numPr>
          <w:ilvl w:val="0"/>
          <w:numId w:val="301"/>
        </w:numPr>
        <w:contextualSpacing/>
        <w:jc w:val="both"/>
        <w:rPr>
          <w:rFonts w:ascii="Garamond" w:hAnsi="Garamond"/>
          <w:color w:val="auto"/>
          <w:szCs w:val="22"/>
        </w:rPr>
      </w:pPr>
      <w:r w:rsidRPr="004A0C12">
        <w:rPr>
          <w:rFonts w:ascii="Garamond" w:hAnsi="Garamond"/>
          <w:color w:val="auto"/>
          <w:szCs w:val="22"/>
        </w:rPr>
        <w:t xml:space="preserve">Assessments; </w:t>
      </w:r>
    </w:p>
    <w:p w14:paraId="607AD029" w14:textId="77777777" w:rsidR="00811745" w:rsidRPr="004A0C12" w:rsidRDefault="00811745" w:rsidP="00232F09">
      <w:pPr>
        <w:pStyle w:val="ListParagraph"/>
        <w:numPr>
          <w:ilvl w:val="0"/>
          <w:numId w:val="300"/>
        </w:numPr>
        <w:contextualSpacing/>
        <w:jc w:val="both"/>
        <w:rPr>
          <w:rFonts w:ascii="Garamond" w:hAnsi="Garamond"/>
          <w:color w:val="auto"/>
          <w:szCs w:val="22"/>
        </w:rPr>
      </w:pPr>
      <w:r w:rsidRPr="004A0C12">
        <w:rPr>
          <w:rFonts w:ascii="Garamond" w:hAnsi="Garamond"/>
          <w:color w:val="auto"/>
          <w:szCs w:val="22"/>
        </w:rPr>
        <w:t>The development of an Individual Employment Plan (IEP);</w:t>
      </w:r>
    </w:p>
    <w:p w14:paraId="6290A104" w14:textId="77777777" w:rsidR="00811745" w:rsidRPr="004A0C12" w:rsidRDefault="00811745" w:rsidP="00232F09">
      <w:pPr>
        <w:pStyle w:val="ListParagraph"/>
        <w:numPr>
          <w:ilvl w:val="0"/>
          <w:numId w:val="300"/>
        </w:numPr>
        <w:contextualSpacing/>
        <w:jc w:val="both"/>
        <w:rPr>
          <w:rFonts w:ascii="Garamond" w:hAnsi="Garamond"/>
          <w:color w:val="auto"/>
          <w:szCs w:val="22"/>
        </w:rPr>
      </w:pPr>
      <w:r w:rsidRPr="004A0C12">
        <w:rPr>
          <w:rFonts w:ascii="Garamond" w:hAnsi="Garamond"/>
          <w:color w:val="auto"/>
          <w:szCs w:val="22"/>
        </w:rPr>
        <w:t>Career guidance through individual or group counseling to help Veterans in making training and occupational decisions;</w:t>
      </w:r>
    </w:p>
    <w:p w14:paraId="617DF469" w14:textId="77777777" w:rsidR="00811745" w:rsidRPr="004A0C12" w:rsidRDefault="00811745" w:rsidP="00232F09">
      <w:pPr>
        <w:pStyle w:val="ListParagraph"/>
        <w:numPr>
          <w:ilvl w:val="0"/>
          <w:numId w:val="300"/>
        </w:numPr>
        <w:contextualSpacing/>
        <w:jc w:val="both"/>
        <w:rPr>
          <w:rFonts w:ascii="Garamond" w:hAnsi="Garamond"/>
          <w:color w:val="auto"/>
          <w:szCs w:val="22"/>
        </w:rPr>
      </w:pPr>
      <w:r w:rsidRPr="004A0C12">
        <w:rPr>
          <w:rFonts w:ascii="Garamond" w:hAnsi="Garamond"/>
          <w:color w:val="auto"/>
          <w:szCs w:val="22"/>
        </w:rPr>
        <w:t xml:space="preserve">Evaluation of occupational skill transferability and resume development; </w:t>
      </w:r>
    </w:p>
    <w:p w14:paraId="381657CE" w14:textId="77777777" w:rsidR="00811745" w:rsidRPr="004A0C12" w:rsidRDefault="00811745" w:rsidP="00232F09">
      <w:pPr>
        <w:pStyle w:val="ListParagraph"/>
        <w:numPr>
          <w:ilvl w:val="0"/>
          <w:numId w:val="300"/>
        </w:numPr>
        <w:contextualSpacing/>
        <w:jc w:val="both"/>
        <w:rPr>
          <w:rFonts w:ascii="Garamond" w:hAnsi="Garamond"/>
          <w:color w:val="auto"/>
          <w:szCs w:val="22"/>
        </w:rPr>
      </w:pPr>
      <w:r w:rsidRPr="004A0C12">
        <w:rPr>
          <w:rFonts w:ascii="Garamond" w:hAnsi="Garamond"/>
          <w:color w:val="auto"/>
          <w:szCs w:val="22"/>
        </w:rPr>
        <w:t>Referrals to connect with employment opportunities and supportive services; and,</w:t>
      </w:r>
    </w:p>
    <w:p w14:paraId="4C3356BF" w14:textId="77777777" w:rsidR="00811745" w:rsidRPr="004A0C12" w:rsidRDefault="00811745" w:rsidP="00232F09">
      <w:pPr>
        <w:pStyle w:val="ListParagraph"/>
        <w:numPr>
          <w:ilvl w:val="0"/>
          <w:numId w:val="300"/>
        </w:numPr>
        <w:contextualSpacing/>
        <w:jc w:val="both"/>
        <w:rPr>
          <w:rFonts w:ascii="Garamond" w:hAnsi="Garamond"/>
          <w:color w:val="auto"/>
          <w:szCs w:val="22"/>
        </w:rPr>
      </w:pPr>
      <w:r w:rsidRPr="004A0C12">
        <w:rPr>
          <w:rFonts w:ascii="Garamond" w:hAnsi="Garamond"/>
          <w:color w:val="auto"/>
          <w:szCs w:val="22"/>
        </w:rPr>
        <w:t xml:space="preserve">Referrals to job-driven training, like On-the-Job Training (OJT) and Registered Apprenticeship programs. </w:t>
      </w:r>
    </w:p>
    <w:p w14:paraId="6893C037" w14:textId="77777777" w:rsidR="00811745" w:rsidRPr="004A0C12" w:rsidRDefault="00811745" w:rsidP="00811745">
      <w:pPr>
        <w:spacing w:after="0" w:line="240" w:lineRule="auto"/>
        <w:jc w:val="both"/>
        <w:rPr>
          <w:rFonts w:ascii="Garamond" w:hAnsi="Garamond" w:cs="Times New Roman"/>
        </w:rPr>
      </w:pPr>
    </w:p>
    <w:p w14:paraId="0741EE3A"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DVOP staff, as appropriate, must ensure that eligible Post-9/11 Veterans receive this special type of Priority of Service. Gold Card Veterans without SBEs should receive enhanced services from American Job Center staff. </w:t>
      </w:r>
    </w:p>
    <w:p w14:paraId="075CDE4C" w14:textId="77777777" w:rsidR="00811745" w:rsidRPr="004A0C12" w:rsidRDefault="00811745" w:rsidP="00811745">
      <w:pPr>
        <w:spacing w:after="0" w:line="240" w:lineRule="auto"/>
        <w:jc w:val="both"/>
        <w:rPr>
          <w:rFonts w:ascii="Garamond" w:hAnsi="Garamond" w:cs="Times New Roman"/>
          <w:b/>
          <w:color w:val="1F497D"/>
        </w:rPr>
      </w:pPr>
    </w:p>
    <w:p w14:paraId="10C8B811"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VETS, in partnership with the ETA, offers a resource page on Veterans’ Priority for workforce practitioners, such as Local Area, JVSG and American Job Center staff, at: </w:t>
      </w:r>
      <w:hyperlink r:id="rId107" w:history="1">
        <w:r w:rsidRPr="004A0C12">
          <w:rPr>
            <w:rStyle w:val="Hyperlink"/>
            <w:rFonts w:ascii="Garamond" w:hAnsi="Garamond"/>
            <w:color w:val="0000FF"/>
          </w:rPr>
          <w:t>http://veterans.workforce3one.org</w:t>
        </w:r>
      </w:hyperlink>
      <w:r w:rsidRPr="004A0C12">
        <w:rPr>
          <w:rStyle w:val="Hyperlink"/>
          <w:rFonts w:ascii="Garamond" w:hAnsi="Garamond"/>
          <w:color w:val="0000FF"/>
        </w:rPr>
        <w:t>/page/priority-of-service</w:t>
      </w:r>
      <w:r w:rsidRPr="004A0C12">
        <w:rPr>
          <w:rFonts w:ascii="Garamond" w:hAnsi="Garamond" w:cs="Times New Roman"/>
        </w:rPr>
        <w:t xml:space="preserve">. The site is designed to assist staff by providing an easy to use source of information for the USDOL Veterans’ employment and training programs. DWDAL encourages all staff to visit the site for updated tools and resources. </w:t>
      </w:r>
    </w:p>
    <w:p w14:paraId="7F4A2F53"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Included on this resource page are: </w:t>
      </w:r>
    </w:p>
    <w:p w14:paraId="5C068A79" w14:textId="77777777" w:rsidR="00811745" w:rsidRPr="004A0C12" w:rsidRDefault="00811745" w:rsidP="00232F09">
      <w:pPr>
        <w:pStyle w:val="ListParagraph"/>
        <w:numPr>
          <w:ilvl w:val="0"/>
          <w:numId w:val="302"/>
        </w:numPr>
        <w:contextualSpacing/>
        <w:jc w:val="both"/>
        <w:rPr>
          <w:rFonts w:ascii="Garamond" w:hAnsi="Garamond"/>
          <w:color w:val="auto"/>
          <w:szCs w:val="22"/>
        </w:rPr>
      </w:pPr>
      <w:r w:rsidRPr="004A0C12">
        <w:rPr>
          <w:rFonts w:ascii="Garamond" w:hAnsi="Garamond"/>
          <w:color w:val="auto"/>
          <w:szCs w:val="22"/>
        </w:rPr>
        <w:t>A list of relevant ETA guidance for serving Veterans;</w:t>
      </w:r>
    </w:p>
    <w:p w14:paraId="01FB1F73" w14:textId="77777777" w:rsidR="00811745" w:rsidRPr="004A0C12" w:rsidRDefault="00811745" w:rsidP="00232F09">
      <w:pPr>
        <w:pStyle w:val="ListParagraph"/>
        <w:numPr>
          <w:ilvl w:val="0"/>
          <w:numId w:val="302"/>
        </w:numPr>
        <w:contextualSpacing/>
        <w:jc w:val="both"/>
        <w:rPr>
          <w:rFonts w:ascii="Garamond" w:hAnsi="Garamond"/>
          <w:color w:val="auto"/>
          <w:szCs w:val="22"/>
        </w:rPr>
      </w:pPr>
      <w:r w:rsidRPr="004A0C12">
        <w:rPr>
          <w:rFonts w:ascii="Garamond" w:hAnsi="Garamond"/>
          <w:color w:val="auto"/>
          <w:szCs w:val="22"/>
        </w:rPr>
        <w:t>Information on the Gold Card;</w:t>
      </w:r>
    </w:p>
    <w:p w14:paraId="19F229F0" w14:textId="77777777" w:rsidR="00811745" w:rsidRPr="004A0C12" w:rsidRDefault="00811745" w:rsidP="00232F09">
      <w:pPr>
        <w:pStyle w:val="ListParagraph"/>
        <w:numPr>
          <w:ilvl w:val="0"/>
          <w:numId w:val="302"/>
        </w:numPr>
        <w:contextualSpacing/>
        <w:jc w:val="both"/>
        <w:rPr>
          <w:rFonts w:ascii="Garamond" w:hAnsi="Garamond"/>
          <w:color w:val="auto"/>
          <w:szCs w:val="22"/>
        </w:rPr>
      </w:pPr>
      <w:r w:rsidRPr="004A0C12">
        <w:rPr>
          <w:rFonts w:ascii="Garamond" w:hAnsi="Garamond"/>
          <w:color w:val="auto"/>
          <w:szCs w:val="22"/>
        </w:rPr>
        <w:t>A Priority of Service page, which includes important guidance and technical assistance;</w:t>
      </w:r>
    </w:p>
    <w:p w14:paraId="7A3FA7A4" w14:textId="77777777" w:rsidR="00811745" w:rsidRPr="004A0C12" w:rsidRDefault="00811745" w:rsidP="00232F09">
      <w:pPr>
        <w:pStyle w:val="ListParagraph"/>
        <w:numPr>
          <w:ilvl w:val="0"/>
          <w:numId w:val="302"/>
        </w:numPr>
        <w:contextualSpacing/>
        <w:jc w:val="both"/>
        <w:rPr>
          <w:rFonts w:ascii="Garamond" w:hAnsi="Garamond"/>
          <w:color w:val="auto"/>
          <w:szCs w:val="22"/>
        </w:rPr>
      </w:pPr>
      <w:r w:rsidRPr="004A0C12">
        <w:rPr>
          <w:rFonts w:ascii="Garamond" w:hAnsi="Garamond"/>
          <w:color w:val="auto"/>
          <w:szCs w:val="22"/>
        </w:rPr>
        <w:t>Online tools including: My Next Move for Veterans, the Veterans Reemployment Portal, the Career One-Stop Business Center, and the eBenefits Veterans’ Employment Center;</w:t>
      </w:r>
    </w:p>
    <w:p w14:paraId="770F2C0C" w14:textId="77777777" w:rsidR="00811745" w:rsidRPr="004A0C12" w:rsidRDefault="00811745" w:rsidP="00232F09">
      <w:pPr>
        <w:pStyle w:val="ListParagraph"/>
        <w:numPr>
          <w:ilvl w:val="0"/>
          <w:numId w:val="302"/>
        </w:numPr>
        <w:contextualSpacing/>
        <w:jc w:val="both"/>
        <w:rPr>
          <w:rFonts w:ascii="Garamond" w:hAnsi="Garamond"/>
          <w:color w:val="auto"/>
          <w:szCs w:val="22"/>
        </w:rPr>
      </w:pPr>
      <w:r w:rsidRPr="004A0C12">
        <w:rPr>
          <w:rFonts w:ascii="Garamond" w:hAnsi="Garamond"/>
          <w:color w:val="auto"/>
          <w:szCs w:val="22"/>
        </w:rPr>
        <w:t xml:space="preserve">Announcements regarding veterans employment; and, </w:t>
      </w:r>
    </w:p>
    <w:p w14:paraId="1C19B0BD" w14:textId="77777777" w:rsidR="00811745" w:rsidRPr="004A0C12" w:rsidRDefault="00811745" w:rsidP="00232F09">
      <w:pPr>
        <w:pStyle w:val="ListParagraph"/>
        <w:numPr>
          <w:ilvl w:val="0"/>
          <w:numId w:val="302"/>
        </w:numPr>
        <w:contextualSpacing/>
        <w:jc w:val="both"/>
        <w:rPr>
          <w:rFonts w:ascii="Garamond" w:hAnsi="Garamond"/>
          <w:color w:val="auto"/>
          <w:szCs w:val="22"/>
        </w:rPr>
      </w:pPr>
      <w:r w:rsidRPr="004A0C12">
        <w:rPr>
          <w:rFonts w:ascii="Garamond" w:hAnsi="Garamond"/>
          <w:color w:val="auto"/>
          <w:szCs w:val="22"/>
        </w:rPr>
        <w:t xml:space="preserve">A collection of useful links and resources for serving veterans. </w:t>
      </w:r>
    </w:p>
    <w:p w14:paraId="209DF730" w14:textId="77777777" w:rsidR="00811745" w:rsidRPr="004A0C12" w:rsidRDefault="00811745" w:rsidP="00811745">
      <w:pPr>
        <w:spacing w:after="0" w:line="240" w:lineRule="auto"/>
        <w:contextualSpacing/>
        <w:jc w:val="both"/>
        <w:rPr>
          <w:rFonts w:ascii="Garamond" w:hAnsi="Garamond" w:cs="Times New Roman"/>
        </w:rPr>
      </w:pPr>
    </w:p>
    <w:p w14:paraId="6720AC93"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The State of Maryland acknowledges that the USDOL’s VETS or ETA agencies may conduct annual monitoring of Maryland’s employment services for Veterans. Prior to a VETS agency audit, the following information is typically requested for review: </w:t>
      </w:r>
    </w:p>
    <w:p w14:paraId="6B896FD2" w14:textId="77777777" w:rsidR="00811745" w:rsidRPr="004A0C12" w:rsidRDefault="00811745" w:rsidP="00811745">
      <w:pPr>
        <w:spacing w:after="0" w:line="240" w:lineRule="auto"/>
        <w:jc w:val="both"/>
        <w:rPr>
          <w:rFonts w:ascii="Garamond" w:hAnsi="Garamond" w:cs="Times New Roman"/>
        </w:rPr>
      </w:pPr>
    </w:p>
    <w:p w14:paraId="1293C520" w14:textId="77777777" w:rsidR="00811745" w:rsidRPr="004A0C12" w:rsidRDefault="00811745" w:rsidP="00232F09">
      <w:pPr>
        <w:pStyle w:val="ListParagraph"/>
        <w:numPr>
          <w:ilvl w:val="0"/>
          <w:numId w:val="298"/>
        </w:numPr>
        <w:contextualSpacing/>
        <w:jc w:val="both"/>
        <w:rPr>
          <w:rFonts w:ascii="Garamond" w:hAnsi="Garamond"/>
          <w:szCs w:val="22"/>
        </w:rPr>
      </w:pPr>
      <w:r w:rsidRPr="004A0C12">
        <w:rPr>
          <w:rFonts w:ascii="Garamond" w:hAnsi="Garamond"/>
          <w:color w:val="auto"/>
          <w:szCs w:val="22"/>
        </w:rPr>
        <w:t xml:space="preserve">WIOA State Plan, Local Plans </w:t>
      </w:r>
      <w:r w:rsidRPr="004A0C12">
        <w:rPr>
          <w:rFonts w:ascii="Garamond" w:hAnsi="Garamond"/>
          <w:szCs w:val="22"/>
        </w:rPr>
        <w:t>and policies;</w:t>
      </w:r>
    </w:p>
    <w:p w14:paraId="49FE1D70" w14:textId="77777777" w:rsidR="00811745" w:rsidRPr="004A0C12" w:rsidRDefault="00811745" w:rsidP="00232F09">
      <w:pPr>
        <w:pStyle w:val="ListParagraph"/>
        <w:numPr>
          <w:ilvl w:val="0"/>
          <w:numId w:val="298"/>
        </w:numPr>
        <w:contextualSpacing/>
        <w:jc w:val="both"/>
        <w:rPr>
          <w:rFonts w:ascii="Garamond" w:hAnsi="Garamond"/>
          <w:szCs w:val="22"/>
        </w:rPr>
      </w:pPr>
      <w:r w:rsidRPr="004A0C12">
        <w:rPr>
          <w:rFonts w:ascii="Garamond" w:hAnsi="Garamond"/>
          <w:szCs w:val="22"/>
        </w:rPr>
        <w:t>State policy letters pertaining to use of JVSG funded staff and services to Veteran customers;</w:t>
      </w:r>
    </w:p>
    <w:p w14:paraId="34BC3019" w14:textId="77777777" w:rsidR="00811745" w:rsidRPr="004A0C12" w:rsidRDefault="00811745" w:rsidP="00232F09">
      <w:pPr>
        <w:pStyle w:val="ListParagraph"/>
        <w:numPr>
          <w:ilvl w:val="0"/>
          <w:numId w:val="298"/>
        </w:numPr>
        <w:contextualSpacing/>
        <w:jc w:val="both"/>
        <w:rPr>
          <w:rFonts w:ascii="Garamond" w:hAnsi="Garamond"/>
          <w:szCs w:val="22"/>
        </w:rPr>
      </w:pPr>
      <w:r w:rsidRPr="004A0C12">
        <w:rPr>
          <w:rFonts w:ascii="Garamond" w:hAnsi="Garamond"/>
          <w:szCs w:val="22"/>
        </w:rPr>
        <w:t>Position descriptions for JVSG Program Staff;</w:t>
      </w:r>
    </w:p>
    <w:p w14:paraId="328E03D4" w14:textId="77777777" w:rsidR="00811745" w:rsidRPr="004A0C12" w:rsidRDefault="00811745" w:rsidP="00232F09">
      <w:pPr>
        <w:pStyle w:val="ListParagraph"/>
        <w:numPr>
          <w:ilvl w:val="0"/>
          <w:numId w:val="298"/>
        </w:numPr>
        <w:contextualSpacing/>
        <w:jc w:val="both"/>
        <w:rPr>
          <w:rFonts w:ascii="Garamond" w:hAnsi="Garamond"/>
          <w:szCs w:val="22"/>
        </w:rPr>
      </w:pPr>
      <w:r w:rsidRPr="004A0C12">
        <w:rPr>
          <w:rFonts w:ascii="Garamond" w:hAnsi="Garamond"/>
          <w:szCs w:val="22"/>
        </w:rPr>
        <w:t>Fiscal documentation;</w:t>
      </w:r>
    </w:p>
    <w:p w14:paraId="0D35A034" w14:textId="77777777" w:rsidR="00811745" w:rsidRPr="004A0C12" w:rsidRDefault="00811745" w:rsidP="00232F09">
      <w:pPr>
        <w:pStyle w:val="ListParagraph"/>
        <w:numPr>
          <w:ilvl w:val="0"/>
          <w:numId w:val="298"/>
        </w:numPr>
        <w:contextualSpacing/>
        <w:jc w:val="both"/>
        <w:rPr>
          <w:rFonts w:ascii="Garamond" w:hAnsi="Garamond"/>
          <w:szCs w:val="22"/>
        </w:rPr>
      </w:pPr>
      <w:r w:rsidRPr="004A0C12">
        <w:rPr>
          <w:rFonts w:ascii="Garamond" w:hAnsi="Garamond"/>
          <w:szCs w:val="22"/>
        </w:rPr>
        <w:t>Links to state Veteran service websites operated by the State that are funded wholly or in part by USDOL;</w:t>
      </w:r>
    </w:p>
    <w:p w14:paraId="5D4FA99B" w14:textId="77777777" w:rsidR="00811745" w:rsidRPr="004A0C12" w:rsidRDefault="00811745" w:rsidP="00232F09">
      <w:pPr>
        <w:pStyle w:val="ListParagraph"/>
        <w:numPr>
          <w:ilvl w:val="0"/>
          <w:numId w:val="298"/>
        </w:numPr>
        <w:contextualSpacing/>
        <w:jc w:val="both"/>
        <w:rPr>
          <w:rFonts w:ascii="Garamond" w:hAnsi="Garamond"/>
          <w:szCs w:val="22"/>
        </w:rPr>
      </w:pPr>
      <w:r w:rsidRPr="004A0C12">
        <w:rPr>
          <w:rFonts w:ascii="Garamond" w:hAnsi="Garamond"/>
          <w:szCs w:val="22"/>
        </w:rPr>
        <w:t>Training materials utilized at the state or local level pertaining to employment services for Veterans;</w:t>
      </w:r>
    </w:p>
    <w:p w14:paraId="542A7A6C" w14:textId="77777777" w:rsidR="00811745" w:rsidRPr="004A0C12" w:rsidRDefault="00811745" w:rsidP="00232F09">
      <w:pPr>
        <w:pStyle w:val="ListParagraph"/>
        <w:numPr>
          <w:ilvl w:val="0"/>
          <w:numId w:val="298"/>
        </w:numPr>
        <w:contextualSpacing/>
        <w:jc w:val="both"/>
        <w:rPr>
          <w:rFonts w:ascii="Garamond" w:hAnsi="Garamond"/>
          <w:szCs w:val="22"/>
        </w:rPr>
      </w:pPr>
      <w:r w:rsidRPr="004A0C12">
        <w:rPr>
          <w:rFonts w:ascii="Garamond" w:hAnsi="Garamond"/>
          <w:szCs w:val="22"/>
        </w:rPr>
        <w:t>Performance plans, individual performance standards, individual goals or other measures used to evaluate performance of JVSG funded staff;</w:t>
      </w:r>
    </w:p>
    <w:p w14:paraId="7CA75646" w14:textId="77777777" w:rsidR="00811745" w:rsidRPr="004A0C12" w:rsidRDefault="00811745" w:rsidP="00232F09">
      <w:pPr>
        <w:pStyle w:val="ListParagraph"/>
        <w:numPr>
          <w:ilvl w:val="0"/>
          <w:numId w:val="298"/>
        </w:numPr>
        <w:contextualSpacing/>
        <w:jc w:val="both"/>
        <w:rPr>
          <w:rFonts w:ascii="Garamond" w:hAnsi="Garamond"/>
          <w:szCs w:val="22"/>
        </w:rPr>
      </w:pPr>
      <w:r w:rsidRPr="004A0C12">
        <w:rPr>
          <w:rFonts w:ascii="Garamond" w:hAnsi="Garamond"/>
          <w:szCs w:val="22"/>
        </w:rPr>
        <w:t>Pertinent ad hoc reports available in respective state;</w:t>
      </w:r>
    </w:p>
    <w:p w14:paraId="3AA5C1DA" w14:textId="77777777" w:rsidR="00811745" w:rsidRPr="004A0C12" w:rsidRDefault="00811745" w:rsidP="00232F09">
      <w:pPr>
        <w:pStyle w:val="ListParagraph"/>
        <w:numPr>
          <w:ilvl w:val="0"/>
          <w:numId w:val="298"/>
        </w:numPr>
        <w:contextualSpacing/>
        <w:jc w:val="both"/>
        <w:rPr>
          <w:rFonts w:ascii="Garamond" w:hAnsi="Garamond"/>
          <w:szCs w:val="22"/>
        </w:rPr>
      </w:pPr>
      <w:r w:rsidRPr="004A0C12">
        <w:rPr>
          <w:rFonts w:ascii="Garamond" w:hAnsi="Garamond"/>
          <w:szCs w:val="22"/>
        </w:rPr>
        <w:t>Materials that may assist with the audit process, including promotional materials, fact sheets, etc.</w:t>
      </w:r>
    </w:p>
    <w:p w14:paraId="040A9CCB" w14:textId="77777777" w:rsidR="00811745" w:rsidRPr="004A0C12" w:rsidRDefault="00811745" w:rsidP="00811745">
      <w:pPr>
        <w:spacing w:after="0" w:line="240" w:lineRule="auto"/>
        <w:jc w:val="both"/>
        <w:rPr>
          <w:rFonts w:ascii="Garamond" w:hAnsi="Garamond" w:cs="Times New Roman"/>
        </w:rPr>
      </w:pPr>
    </w:p>
    <w:p w14:paraId="262DCDFF"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lastRenderedPageBreak/>
        <w:t xml:space="preserve">To ensure that policies are being followed and expectations are being met, Local Area directors and American Job Center administrators should also expect the Department of Labor, Licensing, and Regulation to conduct its own monitoring. Additionally, Regional LVERs will monitor the same audit items to find and fix discrepancies and to assist in the assurance that we are in compliance at all times. </w:t>
      </w:r>
    </w:p>
    <w:p w14:paraId="46447698" w14:textId="77777777" w:rsidR="00811745" w:rsidRPr="004A0C12" w:rsidRDefault="00811745" w:rsidP="00811745">
      <w:pPr>
        <w:pStyle w:val="Heading4"/>
        <w:shd w:val="clear" w:color="auto" w:fill="FFFFFF"/>
        <w:spacing w:before="0"/>
        <w:jc w:val="both"/>
        <w:rPr>
          <w:rFonts w:ascii="Garamond" w:hAnsi="Garamond"/>
          <w:bCs w:val="0"/>
        </w:rPr>
      </w:pPr>
    </w:p>
    <w:p w14:paraId="4B867F95" w14:textId="77777777" w:rsidR="00811745" w:rsidRPr="004F590C" w:rsidRDefault="00811745" w:rsidP="00811745">
      <w:pPr>
        <w:pStyle w:val="Heading2"/>
        <w:rPr>
          <w:rFonts w:ascii="Garamond" w:hAnsi="Garamond"/>
          <w:sz w:val="24"/>
          <w:szCs w:val="22"/>
        </w:rPr>
      </w:pPr>
      <w:bookmarkStart w:id="262" w:name="_Toc447276282"/>
      <w:r w:rsidRPr="004F590C">
        <w:rPr>
          <w:rFonts w:ascii="Garamond" w:hAnsi="Garamond"/>
          <w:sz w:val="24"/>
          <w:szCs w:val="22"/>
        </w:rPr>
        <w:t>How the State provides or intends to provide and measure, through both the DVOP and one-stop delivery system partner staff:</w:t>
      </w:r>
      <w:bookmarkEnd w:id="262"/>
    </w:p>
    <w:p w14:paraId="095A47E4" w14:textId="77777777" w:rsidR="00811745" w:rsidRPr="004F590C" w:rsidRDefault="00811745" w:rsidP="00811745">
      <w:pPr>
        <w:pStyle w:val="Heading3"/>
        <w:rPr>
          <w:rFonts w:ascii="Garamond" w:hAnsi="Garamond"/>
          <w:sz w:val="24"/>
        </w:rPr>
      </w:pPr>
      <w:bookmarkStart w:id="263" w:name="201200070"/>
      <w:bookmarkStart w:id="264" w:name="201200080"/>
      <w:bookmarkStart w:id="265" w:name="_Toc447276283"/>
      <w:bookmarkEnd w:id="263"/>
      <w:bookmarkEnd w:id="264"/>
      <w:r w:rsidRPr="004F590C">
        <w:rPr>
          <w:rFonts w:ascii="Garamond" w:hAnsi="Garamond"/>
          <w:sz w:val="24"/>
        </w:rPr>
        <w:t>1. Job and job training individualized career services,</w:t>
      </w:r>
      <w:bookmarkEnd w:id="265"/>
    </w:p>
    <w:p w14:paraId="6784A050"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All staff must support Veteran employment initiatives and programs through the provision of services and through the recognition of the application of Priority of Service. Integration of the JVSG program into the American Job Center system ensures that Veterans obtain the employment training services they need. </w:t>
      </w:r>
    </w:p>
    <w:p w14:paraId="66070D85" w14:textId="77777777" w:rsidR="00811745" w:rsidRPr="004A0C12" w:rsidRDefault="00811745" w:rsidP="00811745">
      <w:pPr>
        <w:spacing w:after="0" w:line="240" w:lineRule="auto"/>
        <w:jc w:val="both"/>
        <w:rPr>
          <w:rFonts w:ascii="Garamond" w:hAnsi="Garamond" w:cs="Times New Roman"/>
        </w:rPr>
      </w:pPr>
    </w:p>
    <w:p w14:paraId="379E8A86"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DVOP specialists provide intensive services to eligible Veterans and eligible spouses who face significant barriers to employment and therefore necessitate DVOP services to obtain or maintain employment. Intensive services include comprehensive and specialized assessments of skill levels and service needs; development of an individual employment plan to identify the employment goals, appropriate achievement objectives and appropriate combination of services for the participant to achieve the employment goals; group counseling; individual counseling and career planning; and short-term prevocational services that may include development of learning skills, communication skills, interviewing skills, punctuality, personal maintenance skills, and professional conduct to prepare individuals for unsubsidized employment or training.    </w:t>
      </w:r>
    </w:p>
    <w:p w14:paraId="5834FD09" w14:textId="77777777" w:rsidR="00811745" w:rsidRPr="004A0C12" w:rsidRDefault="00811745" w:rsidP="00811745">
      <w:pPr>
        <w:spacing w:after="0" w:line="240" w:lineRule="auto"/>
        <w:contextualSpacing/>
        <w:jc w:val="both"/>
        <w:rPr>
          <w:rFonts w:ascii="Garamond" w:hAnsi="Garamond" w:cs="Times New Roman"/>
        </w:rPr>
      </w:pPr>
    </w:p>
    <w:p w14:paraId="03DC319E" w14:textId="77777777" w:rsidR="00811745" w:rsidRPr="004A0C12" w:rsidRDefault="00811745" w:rsidP="00811745">
      <w:pPr>
        <w:spacing w:after="0" w:line="240" w:lineRule="auto"/>
        <w:contextualSpacing/>
        <w:jc w:val="both"/>
        <w:rPr>
          <w:rFonts w:ascii="Garamond" w:hAnsi="Garamond" w:cs="Times New Roman"/>
        </w:rPr>
      </w:pPr>
      <w:r w:rsidRPr="004A0C12">
        <w:rPr>
          <w:rFonts w:ascii="Garamond" w:hAnsi="Garamond" w:cs="Times New Roman"/>
        </w:rPr>
        <w:t xml:space="preserve">The measures the State is evaluated on address the outcomes experienced by eligible Veterans and spouses with significant barriers to employment, who are served by DVOP specialists. These measures are as follows:  </w:t>
      </w:r>
    </w:p>
    <w:p w14:paraId="31682ABA" w14:textId="77777777" w:rsidR="00811745" w:rsidRPr="004A0C12" w:rsidRDefault="00811745" w:rsidP="00811745">
      <w:pPr>
        <w:spacing w:after="0" w:line="240" w:lineRule="auto"/>
        <w:contextualSpacing/>
        <w:jc w:val="both"/>
        <w:rPr>
          <w:rFonts w:ascii="Garamond" w:hAnsi="Garamond" w:cs="Times New Roman"/>
        </w:rPr>
      </w:pPr>
    </w:p>
    <w:p w14:paraId="043C017C"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Intensive Services provided by DVOP specialists</w:t>
      </w:r>
      <w:r w:rsidRPr="004A0C12">
        <w:rPr>
          <w:rFonts w:ascii="Garamond" w:hAnsi="Garamond"/>
          <w:szCs w:val="22"/>
        </w:rPr>
        <w:t xml:space="preserve"> </w:t>
      </w:r>
      <w:r w:rsidRPr="004A0C12">
        <w:rPr>
          <w:rFonts w:ascii="Garamond" w:eastAsiaTheme="minorHAnsi" w:hAnsi="Garamond"/>
          <w:color w:val="auto"/>
          <w:szCs w:val="22"/>
        </w:rPr>
        <w:t xml:space="preserve">divided by the total veterans and eligible persons served by DVOP specialists; </w:t>
      </w:r>
    </w:p>
    <w:p w14:paraId="0D119258"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Total Veterans and eligible persons served by DVOP specialists in Maryland;</w:t>
      </w:r>
    </w:p>
    <w:p w14:paraId="7627F875"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Veterans’ entered employment rate; </w:t>
      </w:r>
    </w:p>
    <w:p w14:paraId="76738D12"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Veterans’ employment retention rate;</w:t>
      </w:r>
    </w:p>
    <w:p w14:paraId="49F7F362"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Veterans’ average earnings (six months); </w:t>
      </w:r>
    </w:p>
    <w:p w14:paraId="4840DC94"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Disabled Veterans’ entered employment rate;</w:t>
      </w:r>
    </w:p>
    <w:p w14:paraId="7B5AFBC5"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employment retention rate; </w:t>
      </w:r>
    </w:p>
    <w:p w14:paraId="6C79A4E2"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average earnings (six months). </w:t>
      </w:r>
    </w:p>
    <w:p w14:paraId="11B756BC" w14:textId="77777777" w:rsidR="00811745" w:rsidRPr="004A0C12" w:rsidRDefault="00811745" w:rsidP="00811745">
      <w:pPr>
        <w:spacing w:after="0" w:line="240" w:lineRule="auto"/>
        <w:contextualSpacing/>
        <w:jc w:val="both"/>
        <w:rPr>
          <w:rFonts w:ascii="Garamond" w:hAnsi="Garamond" w:cs="Times New Roman"/>
          <w:b/>
          <w:color w:val="1F497D"/>
        </w:rPr>
      </w:pPr>
    </w:p>
    <w:p w14:paraId="41871BAD"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Additional measures seek to quantify the effectiveness of Maryland’s employment service delivery system, as a whole, in meeting the needs of Veterans, transitioning service members, and other eligible persons who are seeking employment. The State’s American Job Center system is evaluated on the following measures: </w:t>
      </w:r>
    </w:p>
    <w:p w14:paraId="773D8A38" w14:textId="77777777" w:rsidR="00811745" w:rsidRPr="004A0C12" w:rsidRDefault="00811745" w:rsidP="00811745">
      <w:pPr>
        <w:spacing w:after="0" w:line="240" w:lineRule="auto"/>
        <w:jc w:val="both"/>
        <w:rPr>
          <w:rFonts w:ascii="Garamond" w:hAnsi="Garamond" w:cs="Times New Roman"/>
        </w:rPr>
      </w:pPr>
    </w:p>
    <w:p w14:paraId="0EEC8666"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Veterans’ entered employment rate;</w:t>
      </w:r>
    </w:p>
    <w:p w14:paraId="22ECBADE"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Veterans’ employment retention rate;</w:t>
      </w:r>
    </w:p>
    <w:p w14:paraId="6EC998E2"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Veterans’ average earnings (six months); </w:t>
      </w:r>
    </w:p>
    <w:p w14:paraId="46FB05D2"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entered employment rate; </w:t>
      </w:r>
    </w:p>
    <w:p w14:paraId="271B1C89"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employment retention rate; </w:t>
      </w:r>
    </w:p>
    <w:p w14:paraId="5622860A"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Disabled Veterans’ average earnings (six months).</w:t>
      </w:r>
    </w:p>
    <w:p w14:paraId="2B1E2167" w14:textId="77777777" w:rsidR="00811745" w:rsidRPr="004F590C" w:rsidRDefault="00811745" w:rsidP="00811745">
      <w:pPr>
        <w:pStyle w:val="Heading3"/>
        <w:rPr>
          <w:rFonts w:ascii="Garamond" w:hAnsi="Garamond"/>
          <w:sz w:val="24"/>
        </w:rPr>
      </w:pPr>
      <w:bookmarkStart w:id="266" w:name="_Toc447276284"/>
      <w:r w:rsidRPr="004F590C">
        <w:rPr>
          <w:rFonts w:ascii="Garamond" w:hAnsi="Garamond"/>
          <w:sz w:val="24"/>
        </w:rPr>
        <w:t>2. Employment placement services, and</w:t>
      </w:r>
      <w:bookmarkEnd w:id="266"/>
    </w:p>
    <w:p w14:paraId="3DF43B2B"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Similarly, JVSG and American Job Center Staff work together to ensure that Veterans obtain employment placement services. As noted in the State’s Workforce Plan, Local Area and Business Services staff should work closely with DVOPs and LVERs, to </w:t>
      </w:r>
      <w:r w:rsidRPr="004A0C12">
        <w:rPr>
          <w:rFonts w:ascii="Garamond" w:hAnsi="Garamond" w:cs="Times New Roman"/>
        </w:rPr>
        <w:lastRenderedPageBreak/>
        <w:t>establish effective linkages to ensure that veterans and their eligible spouses are aware of outreach activities, job fairs, and VA Stand Down events. Business Services staff, such as Business Services Representatives and Business Resource Representatives, should consider LVERs as active team members.</w:t>
      </w:r>
    </w:p>
    <w:p w14:paraId="5D8EB6CA" w14:textId="77777777" w:rsidR="00811745" w:rsidRPr="004A0C12" w:rsidRDefault="00811745" w:rsidP="00811745">
      <w:pPr>
        <w:spacing w:after="0" w:line="240" w:lineRule="auto"/>
        <w:contextualSpacing/>
        <w:jc w:val="both"/>
        <w:rPr>
          <w:rFonts w:ascii="Garamond" w:hAnsi="Garamond" w:cs="Times New Roman"/>
        </w:rPr>
      </w:pPr>
    </w:p>
    <w:p w14:paraId="470738E0" w14:textId="77777777" w:rsidR="00811745" w:rsidRPr="004A0C12" w:rsidRDefault="00811745" w:rsidP="00811745">
      <w:pPr>
        <w:spacing w:after="0" w:line="240" w:lineRule="auto"/>
        <w:contextualSpacing/>
        <w:jc w:val="both"/>
        <w:rPr>
          <w:rFonts w:ascii="Garamond" w:hAnsi="Garamond" w:cs="Times New Roman"/>
        </w:rPr>
      </w:pPr>
      <w:r w:rsidRPr="004A0C12">
        <w:rPr>
          <w:rFonts w:ascii="Garamond" w:hAnsi="Garamond" w:cs="Times New Roman"/>
        </w:rPr>
        <w:t xml:space="preserve">The measures the State is evaluated on address the outcomes experienced by eligible Veterans and spouses with significant barriers to employment, who are served by DVOP specialists. These measures are as follows:  </w:t>
      </w:r>
    </w:p>
    <w:p w14:paraId="7B1DCCE0" w14:textId="77777777" w:rsidR="00811745" w:rsidRPr="004A0C12" w:rsidRDefault="00811745" w:rsidP="00811745">
      <w:pPr>
        <w:spacing w:after="0" w:line="240" w:lineRule="auto"/>
        <w:contextualSpacing/>
        <w:jc w:val="both"/>
        <w:rPr>
          <w:rFonts w:ascii="Garamond" w:hAnsi="Garamond" w:cs="Times New Roman"/>
        </w:rPr>
      </w:pPr>
    </w:p>
    <w:p w14:paraId="4149B5F8"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Intensive Services provided by DVOP specialists</w:t>
      </w:r>
      <w:r w:rsidRPr="004A0C12">
        <w:rPr>
          <w:rFonts w:ascii="Garamond" w:hAnsi="Garamond"/>
          <w:szCs w:val="22"/>
        </w:rPr>
        <w:t xml:space="preserve"> </w:t>
      </w:r>
      <w:r w:rsidRPr="004A0C12">
        <w:rPr>
          <w:rFonts w:ascii="Garamond" w:eastAsiaTheme="minorHAnsi" w:hAnsi="Garamond"/>
          <w:color w:val="auto"/>
          <w:szCs w:val="22"/>
        </w:rPr>
        <w:t xml:space="preserve">divided by the total veterans and eligible persons served by DVOP specialists; </w:t>
      </w:r>
    </w:p>
    <w:p w14:paraId="43D6CA07"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Total Veterans and eligible persons served by DVOP specialists in Maryland;</w:t>
      </w:r>
    </w:p>
    <w:p w14:paraId="22114DB4"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Veterans’ entered employment rate; </w:t>
      </w:r>
    </w:p>
    <w:p w14:paraId="0CDEC018"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Veterans’ employment retention rate;</w:t>
      </w:r>
    </w:p>
    <w:p w14:paraId="587C1A0E"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Veterans’ average earnings (six months); </w:t>
      </w:r>
    </w:p>
    <w:p w14:paraId="2C0073EA"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Disabled Veterans’ entered employment rate;</w:t>
      </w:r>
    </w:p>
    <w:p w14:paraId="286B8FE8"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employment retention rate; </w:t>
      </w:r>
    </w:p>
    <w:p w14:paraId="417C7E17"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average earnings (six months). </w:t>
      </w:r>
    </w:p>
    <w:p w14:paraId="5FFE04C8" w14:textId="77777777" w:rsidR="00811745" w:rsidRPr="004A0C12" w:rsidRDefault="00811745" w:rsidP="00811745">
      <w:pPr>
        <w:spacing w:after="0" w:line="240" w:lineRule="auto"/>
        <w:contextualSpacing/>
        <w:jc w:val="both"/>
        <w:rPr>
          <w:rFonts w:ascii="Garamond" w:hAnsi="Garamond" w:cs="Times New Roman"/>
          <w:b/>
          <w:color w:val="1F497D"/>
        </w:rPr>
      </w:pPr>
    </w:p>
    <w:p w14:paraId="2F0A50FD"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Additional measures seek to quantify the effectiveness of Maryland’s employment service delivery system, as a whole, in meeting the needs of Veterans, transitioning service members, and other eligible persons who are seeking employment. The State’s American Job Center system is evaluated on the following measures: </w:t>
      </w:r>
    </w:p>
    <w:p w14:paraId="39D1B5B4" w14:textId="77777777" w:rsidR="00811745" w:rsidRPr="004A0C12" w:rsidRDefault="00811745" w:rsidP="00811745">
      <w:pPr>
        <w:spacing w:after="0" w:line="240" w:lineRule="auto"/>
        <w:jc w:val="both"/>
        <w:rPr>
          <w:rFonts w:ascii="Garamond" w:hAnsi="Garamond" w:cs="Times New Roman"/>
        </w:rPr>
      </w:pPr>
    </w:p>
    <w:p w14:paraId="3D349248"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Veterans’ entered employment rate;</w:t>
      </w:r>
    </w:p>
    <w:p w14:paraId="24DCB078"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Veterans’ employment retention rate;</w:t>
      </w:r>
    </w:p>
    <w:p w14:paraId="416ABD0B"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Veterans’ average earnings (six months); </w:t>
      </w:r>
    </w:p>
    <w:p w14:paraId="36E3137B"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entered employment rate; </w:t>
      </w:r>
    </w:p>
    <w:p w14:paraId="406F3046"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employment retention rate; </w:t>
      </w:r>
    </w:p>
    <w:p w14:paraId="049BB810"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Disabled Veterans’ average earnings (six months).</w:t>
      </w:r>
    </w:p>
    <w:p w14:paraId="09E6FB40" w14:textId="77777777" w:rsidR="00811745" w:rsidRPr="004F590C" w:rsidRDefault="00811745" w:rsidP="00811745">
      <w:pPr>
        <w:pStyle w:val="Heading3"/>
        <w:rPr>
          <w:rFonts w:ascii="Garamond" w:hAnsi="Garamond"/>
          <w:sz w:val="24"/>
        </w:rPr>
      </w:pPr>
      <w:bookmarkStart w:id="267" w:name="_Toc447276285"/>
      <w:r w:rsidRPr="004F590C">
        <w:rPr>
          <w:rFonts w:ascii="Garamond" w:hAnsi="Garamond"/>
          <w:sz w:val="24"/>
        </w:rPr>
        <w:t>3. Job-driven training and subsequent placement service program for eligible veterans and eligible persons</w:t>
      </w:r>
      <w:bookmarkEnd w:id="267"/>
    </w:p>
    <w:p w14:paraId="7D416EC8" w14:textId="77777777" w:rsidR="00811745" w:rsidRPr="004A0C12" w:rsidRDefault="00811745" w:rsidP="00811745">
      <w:pPr>
        <w:pStyle w:val="Heading4"/>
        <w:shd w:val="clear" w:color="auto" w:fill="FFFFFF"/>
        <w:spacing w:before="0"/>
        <w:jc w:val="both"/>
        <w:rPr>
          <w:rFonts w:ascii="Garamond" w:hAnsi="Garamond"/>
          <w:bCs w:val="0"/>
        </w:rPr>
      </w:pPr>
    </w:p>
    <w:p w14:paraId="5243F91F"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On-the-job training (OJT) is training conducted by an employer that occurs while a participant is engaged in productive work. OJT optimizes the resources available under workforce development initiatives to meet the needs of employers and job seekers. Employers generally pay a reduced OJT wage (generally 40-50 percent of wages) to employ participants, while they train for the job.</w:t>
      </w:r>
    </w:p>
    <w:p w14:paraId="14B90DE1" w14:textId="77777777" w:rsidR="00811745" w:rsidRPr="004A0C12" w:rsidRDefault="00811745" w:rsidP="00811745">
      <w:pPr>
        <w:spacing w:after="0" w:line="240" w:lineRule="auto"/>
        <w:jc w:val="both"/>
        <w:rPr>
          <w:rFonts w:ascii="Garamond" w:hAnsi="Garamond" w:cs="Times New Roman"/>
        </w:rPr>
      </w:pPr>
    </w:p>
    <w:p w14:paraId="1A562EA2"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Registered Apprenticeship programs combine work-based learning and classroom training to help successful program completers obtain secure, full-time journeyman positions. DLLR’s Apprenticeship and Training Program offers over 100 active apprenticeship programs.  </w:t>
      </w:r>
    </w:p>
    <w:p w14:paraId="7747B1AC" w14:textId="77777777" w:rsidR="00811745" w:rsidRPr="004A0C12" w:rsidRDefault="00811745" w:rsidP="00811745">
      <w:pPr>
        <w:spacing w:after="0" w:line="240" w:lineRule="auto"/>
        <w:contextualSpacing/>
        <w:jc w:val="both"/>
        <w:rPr>
          <w:rFonts w:ascii="Garamond" w:hAnsi="Garamond" w:cs="Times New Roman"/>
        </w:rPr>
      </w:pPr>
    </w:p>
    <w:p w14:paraId="147815DD" w14:textId="77777777" w:rsidR="00811745" w:rsidRPr="004A0C12" w:rsidRDefault="00811745" w:rsidP="00811745">
      <w:pPr>
        <w:spacing w:after="0" w:line="240" w:lineRule="auto"/>
        <w:contextualSpacing/>
        <w:jc w:val="both"/>
        <w:rPr>
          <w:rFonts w:ascii="Garamond" w:hAnsi="Garamond"/>
        </w:rPr>
      </w:pPr>
      <w:r w:rsidRPr="004A0C12">
        <w:rPr>
          <w:rFonts w:ascii="Garamond" w:hAnsi="Garamond"/>
        </w:rPr>
        <w:t xml:space="preserve">The measures the State is evaluated on address the outcomes experienced by eligible Veterans and spouses with significant barriers to employment, who are served by DVOP specialists. These measures are as follows:  </w:t>
      </w:r>
    </w:p>
    <w:p w14:paraId="5DEB74DB" w14:textId="77777777" w:rsidR="00811745" w:rsidRPr="004A0C12" w:rsidRDefault="00811745" w:rsidP="00811745">
      <w:pPr>
        <w:spacing w:after="0" w:line="240" w:lineRule="auto"/>
        <w:contextualSpacing/>
        <w:jc w:val="both"/>
        <w:rPr>
          <w:rFonts w:ascii="Garamond" w:hAnsi="Garamond"/>
        </w:rPr>
      </w:pPr>
    </w:p>
    <w:p w14:paraId="2CEEF0E4"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Intensive Services provided by DVOP specialists</w:t>
      </w:r>
      <w:r w:rsidRPr="004A0C12">
        <w:rPr>
          <w:rFonts w:ascii="Garamond" w:hAnsi="Garamond"/>
          <w:color w:val="auto"/>
          <w:szCs w:val="22"/>
        </w:rPr>
        <w:t xml:space="preserve"> </w:t>
      </w:r>
      <w:r w:rsidRPr="004A0C12">
        <w:rPr>
          <w:rFonts w:ascii="Garamond" w:eastAsiaTheme="minorHAnsi" w:hAnsi="Garamond"/>
          <w:color w:val="auto"/>
          <w:szCs w:val="22"/>
        </w:rPr>
        <w:t xml:space="preserve">divided by the total veterans and eligible persons served by DVOP specialists; </w:t>
      </w:r>
    </w:p>
    <w:p w14:paraId="659C33EA"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Total Veterans and eligible persons served by DVOP specialists in Maryland;</w:t>
      </w:r>
    </w:p>
    <w:p w14:paraId="34809716"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Veterans’ entered employment rate; </w:t>
      </w:r>
    </w:p>
    <w:p w14:paraId="4431033B"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Veterans’ employment retention rate;</w:t>
      </w:r>
    </w:p>
    <w:p w14:paraId="2755B8EA"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Veterans’ average earnings (six months); </w:t>
      </w:r>
    </w:p>
    <w:p w14:paraId="1EA3B19E"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Disabled Veterans’ entered employment rate;</w:t>
      </w:r>
    </w:p>
    <w:p w14:paraId="08E1AE41"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lastRenderedPageBreak/>
        <w:t xml:space="preserve">Disabled Veterans’ employment retention rate; </w:t>
      </w:r>
    </w:p>
    <w:p w14:paraId="54E69B66"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average earnings (six months). </w:t>
      </w:r>
    </w:p>
    <w:p w14:paraId="2DE48334" w14:textId="77777777" w:rsidR="00811745" w:rsidRPr="004A0C12" w:rsidRDefault="00811745" w:rsidP="00811745">
      <w:pPr>
        <w:spacing w:after="0" w:line="240" w:lineRule="auto"/>
        <w:contextualSpacing/>
        <w:jc w:val="both"/>
        <w:rPr>
          <w:rFonts w:ascii="Garamond" w:hAnsi="Garamond" w:cs="Times New Roman"/>
          <w:b/>
        </w:rPr>
      </w:pPr>
    </w:p>
    <w:p w14:paraId="328A31FD" w14:textId="77777777" w:rsidR="00811745" w:rsidRPr="004A0C12" w:rsidRDefault="00811745" w:rsidP="00811745">
      <w:pPr>
        <w:spacing w:after="0" w:line="240" w:lineRule="auto"/>
        <w:jc w:val="both"/>
        <w:rPr>
          <w:rFonts w:ascii="Garamond" w:hAnsi="Garamond" w:cs="Times New Roman"/>
        </w:rPr>
      </w:pPr>
      <w:r w:rsidRPr="004A0C12">
        <w:rPr>
          <w:rFonts w:ascii="Garamond" w:hAnsi="Garamond" w:cs="Times New Roman"/>
        </w:rPr>
        <w:t xml:space="preserve">Additional measures seek to quantify the effectiveness of Maryland’s employment service delivery system, as a whole, in meeting the needs of Veterans, transitioning service members, and other eligible persons who are seeking employment. The State’s American Job Center system is evaluated on the following measures: </w:t>
      </w:r>
    </w:p>
    <w:p w14:paraId="7AAC976A" w14:textId="77777777" w:rsidR="00811745" w:rsidRPr="004A0C12" w:rsidRDefault="00811745" w:rsidP="00811745">
      <w:pPr>
        <w:spacing w:after="0" w:line="240" w:lineRule="auto"/>
        <w:jc w:val="both"/>
        <w:rPr>
          <w:rFonts w:ascii="Garamond" w:hAnsi="Garamond" w:cs="Times New Roman"/>
        </w:rPr>
      </w:pPr>
    </w:p>
    <w:p w14:paraId="4A39BBE9"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Veterans’ entered employment rate;</w:t>
      </w:r>
    </w:p>
    <w:p w14:paraId="23EAC3F8"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Veterans’ employment retention rate;</w:t>
      </w:r>
    </w:p>
    <w:p w14:paraId="006CD145"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Veterans’ average earnings (six months); </w:t>
      </w:r>
    </w:p>
    <w:p w14:paraId="69A5052D"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entered employment rate; </w:t>
      </w:r>
    </w:p>
    <w:p w14:paraId="7AC489A1"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 xml:space="preserve">Disabled Veterans’ employment retention rate; </w:t>
      </w:r>
    </w:p>
    <w:p w14:paraId="60E0DB93" w14:textId="77777777" w:rsidR="00811745" w:rsidRPr="004A0C12" w:rsidRDefault="00811745" w:rsidP="00232F09">
      <w:pPr>
        <w:pStyle w:val="ListParagraph"/>
        <w:numPr>
          <w:ilvl w:val="0"/>
          <w:numId w:val="299"/>
        </w:numPr>
        <w:contextualSpacing/>
        <w:jc w:val="both"/>
        <w:rPr>
          <w:rFonts w:ascii="Garamond" w:eastAsiaTheme="minorHAnsi" w:hAnsi="Garamond"/>
          <w:color w:val="auto"/>
          <w:szCs w:val="22"/>
        </w:rPr>
      </w:pPr>
      <w:r w:rsidRPr="004A0C12">
        <w:rPr>
          <w:rFonts w:ascii="Garamond" w:eastAsiaTheme="minorHAnsi" w:hAnsi="Garamond"/>
          <w:color w:val="auto"/>
          <w:szCs w:val="22"/>
        </w:rPr>
        <w:t>Disabled Veterans’ average earnings (six months).</w:t>
      </w:r>
    </w:p>
    <w:p w14:paraId="2D547A6F" w14:textId="77777777" w:rsidR="00811745" w:rsidRPr="004A0C12" w:rsidRDefault="00811745" w:rsidP="00811745">
      <w:pPr>
        <w:pStyle w:val="Heading4"/>
        <w:shd w:val="clear" w:color="auto" w:fill="FFFFFF"/>
        <w:spacing w:before="0"/>
        <w:jc w:val="both"/>
        <w:rPr>
          <w:rFonts w:ascii="Garamond" w:hAnsi="Garamond"/>
          <w:bCs w:val="0"/>
        </w:rPr>
      </w:pPr>
    </w:p>
    <w:p w14:paraId="1CE9BA9C" w14:textId="77777777" w:rsidR="00811745" w:rsidRPr="004F590C" w:rsidRDefault="00811745" w:rsidP="00811745">
      <w:pPr>
        <w:pStyle w:val="Heading2"/>
        <w:rPr>
          <w:rFonts w:ascii="Garamond" w:hAnsi="Garamond"/>
          <w:sz w:val="24"/>
          <w:szCs w:val="22"/>
        </w:rPr>
      </w:pPr>
      <w:bookmarkStart w:id="268" w:name="_Toc447276286"/>
      <w:r w:rsidRPr="004F590C">
        <w:rPr>
          <w:rFonts w:ascii="Garamond" w:hAnsi="Garamond"/>
          <w:sz w:val="24"/>
          <w:szCs w:val="22"/>
        </w:rPr>
        <w:t>The hire date along with mandatory training completion dates for all DVOP specialists and LVER staff; and</w:t>
      </w:r>
      <w:bookmarkEnd w:id="268"/>
    </w:p>
    <w:p w14:paraId="4DA8B4AF" w14:textId="77777777" w:rsidR="00811745" w:rsidRPr="004A0C12" w:rsidRDefault="00811745" w:rsidP="00811745">
      <w:pPr>
        <w:pStyle w:val="Heading4"/>
        <w:shd w:val="clear" w:color="auto" w:fill="FFFFFF"/>
        <w:spacing w:before="0"/>
        <w:jc w:val="both"/>
        <w:rPr>
          <w:rFonts w:ascii="Garamond" w:hAnsi="Garamond"/>
          <w:bCs w:val="0"/>
        </w:rPr>
      </w:pPr>
    </w:p>
    <w:p w14:paraId="5C287863" w14:textId="77777777" w:rsidR="00811745" w:rsidRPr="004A0C12" w:rsidRDefault="00811745" w:rsidP="00811745">
      <w:pPr>
        <w:pStyle w:val="Heading4"/>
        <w:shd w:val="clear" w:color="auto" w:fill="FFFFFF"/>
        <w:spacing w:before="0"/>
        <w:jc w:val="both"/>
        <w:rPr>
          <w:rFonts w:ascii="Garamond" w:hAnsi="Garamond"/>
          <w:bCs w:val="0"/>
        </w:rPr>
      </w:pPr>
    </w:p>
    <w:tbl>
      <w:tblPr>
        <w:tblStyle w:val="TableGrid"/>
        <w:tblW w:w="10584" w:type="dxa"/>
        <w:jc w:val="center"/>
        <w:tblLook w:val="04A0" w:firstRow="1" w:lastRow="0" w:firstColumn="1" w:lastColumn="0" w:noHBand="0" w:noVBand="1"/>
        <w:tblCaption w:val="Maryland's JVSG Staff"/>
        <w:tblDescription w:val="The chart provides the names, hire dates, mandatory completion dates and classes completed for Maryland's DVOP specialists and LVERs. "/>
      </w:tblPr>
      <w:tblGrid>
        <w:gridCol w:w="2142"/>
        <w:gridCol w:w="1530"/>
        <w:gridCol w:w="2106"/>
        <w:gridCol w:w="1810"/>
        <w:gridCol w:w="1376"/>
        <w:gridCol w:w="1620"/>
      </w:tblGrid>
      <w:tr w:rsidR="00811745" w:rsidRPr="004A0C12" w14:paraId="64E77719" w14:textId="77777777" w:rsidTr="003865ED">
        <w:trPr>
          <w:trHeight w:val="270"/>
          <w:jc w:val="center"/>
        </w:trPr>
        <w:tc>
          <w:tcPr>
            <w:tcW w:w="2142" w:type="dxa"/>
            <w:noWrap/>
            <w:hideMark/>
          </w:tcPr>
          <w:p w14:paraId="179F4D80" w14:textId="77777777" w:rsidR="00811745" w:rsidRPr="004A0C12" w:rsidRDefault="00811745" w:rsidP="00811745">
            <w:pPr>
              <w:rPr>
                <w:rFonts w:ascii="Garamond" w:hAnsi="Garamond"/>
                <w:b/>
                <w:sz w:val="22"/>
                <w:szCs w:val="22"/>
              </w:rPr>
            </w:pPr>
            <w:bookmarkStart w:id="269" w:name="RANGE!A1:F124"/>
            <w:r w:rsidRPr="004A0C12">
              <w:rPr>
                <w:rFonts w:ascii="Garamond" w:hAnsi="Garamond"/>
                <w:b/>
                <w:sz w:val="22"/>
                <w:szCs w:val="22"/>
              </w:rPr>
              <w:t>Name</w:t>
            </w:r>
            <w:bookmarkEnd w:id="269"/>
          </w:p>
        </w:tc>
        <w:tc>
          <w:tcPr>
            <w:tcW w:w="1530" w:type="dxa"/>
            <w:noWrap/>
            <w:hideMark/>
          </w:tcPr>
          <w:p w14:paraId="556CF1AE" w14:textId="77777777" w:rsidR="00811745" w:rsidRPr="004A0C12" w:rsidRDefault="00811745" w:rsidP="00811745">
            <w:pPr>
              <w:rPr>
                <w:rFonts w:ascii="Garamond" w:hAnsi="Garamond"/>
                <w:b/>
                <w:sz w:val="22"/>
                <w:szCs w:val="22"/>
              </w:rPr>
            </w:pPr>
            <w:r w:rsidRPr="004A0C12">
              <w:rPr>
                <w:rFonts w:ascii="Garamond" w:hAnsi="Garamond"/>
                <w:b/>
                <w:sz w:val="22"/>
                <w:szCs w:val="22"/>
              </w:rPr>
              <w:t>Hire Date</w:t>
            </w:r>
          </w:p>
        </w:tc>
        <w:tc>
          <w:tcPr>
            <w:tcW w:w="2106" w:type="dxa"/>
            <w:noWrap/>
            <w:hideMark/>
          </w:tcPr>
          <w:p w14:paraId="4F80734E" w14:textId="77777777" w:rsidR="00811745" w:rsidRPr="004A0C12" w:rsidRDefault="00811745" w:rsidP="00811745">
            <w:pPr>
              <w:rPr>
                <w:rFonts w:ascii="Garamond" w:hAnsi="Garamond"/>
                <w:b/>
                <w:sz w:val="22"/>
                <w:szCs w:val="22"/>
              </w:rPr>
            </w:pPr>
            <w:r w:rsidRPr="004A0C12">
              <w:rPr>
                <w:rFonts w:ascii="Garamond" w:hAnsi="Garamond"/>
                <w:b/>
                <w:sz w:val="22"/>
                <w:szCs w:val="22"/>
              </w:rPr>
              <w:t xml:space="preserve">Mandatory Completion Date </w:t>
            </w:r>
          </w:p>
        </w:tc>
        <w:tc>
          <w:tcPr>
            <w:tcW w:w="1810" w:type="dxa"/>
            <w:noWrap/>
            <w:hideMark/>
          </w:tcPr>
          <w:p w14:paraId="0DD4620A" w14:textId="77777777" w:rsidR="00811745" w:rsidRPr="004A0C12" w:rsidRDefault="00811745" w:rsidP="00811745">
            <w:pPr>
              <w:rPr>
                <w:rFonts w:ascii="Garamond" w:hAnsi="Garamond"/>
                <w:b/>
                <w:sz w:val="22"/>
                <w:szCs w:val="22"/>
              </w:rPr>
            </w:pPr>
            <w:r w:rsidRPr="004A0C12">
              <w:rPr>
                <w:rFonts w:ascii="Garamond" w:hAnsi="Garamond"/>
                <w:b/>
                <w:sz w:val="22"/>
                <w:szCs w:val="22"/>
              </w:rPr>
              <w:t>DVOP/LVER</w:t>
            </w:r>
          </w:p>
        </w:tc>
        <w:tc>
          <w:tcPr>
            <w:tcW w:w="1376" w:type="dxa"/>
            <w:noWrap/>
            <w:hideMark/>
          </w:tcPr>
          <w:p w14:paraId="27C1BFEC" w14:textId="77777777" w:rsidR="00811745" w:rsidRPr="004A0C12" w:rsidRDefault="00811745" w:rsidP="00811745">
            <w:pPr>
              <w:rPr>
                <w:rFonts w:ascii="Garamond" w:hAnsi="Garamond"/>
                <w:b/>
                <w:sz w:val="22"/>
                <w:szCs w:val="22"/>
              </w:rPr>
            </w:pPr>
            <w:r w:rsidRPr="004A0C12">
              <w:rPr>
                <w:rFonts w:ascii="Garamond" w:hAnsi="Garamond"/>
                <w:b/>
                <w:sz w:val="22"/>
                <w:szCs w:val="22"/>
              </w:rPr>
              <w:t>Mandatory Classes</w:t>
            </w:r>
          </w:p>
        </w:tc>
        <w:tc>
          <w:tcPr>
            <w:tcW w:w="1620" w:type="dxa"/>
            <w:noWrap/>
            <w:hideMark/>
          </w:tcPr>
          <w:p w14:paraId="4EEC939B" w14:textId="77777777" w:rsidR="00811745" w:rsidRPr="004A0C12" w:rsidRDefault="00811745" w:rsidP="00811745">
            <w:pPr>
              <w:rPr>
                <w:rFonts w:ascii="Garamond" w:hAnsi="Garamond"/>
                <w:b/>
                <w:sz w:val="22"/>
                <w:szCs w:val="22"/>
              </w:rPr>
            </w:pPr>
            <w:r w:rsidRPr="004A0C12">
              <w:rPr>
                <w:rFonts w:ascii="Garamond" w:hAnsi="Garamond"/>
                <w:b/>
                <w:sz w:val="22"/>
                <w:szCs w:val="22"/>
              </w:rPr>
              <w:t>Date Completed</w:t>
            </w:r>
          </w:p>
        </w:tc>
      </w:tr>
      <w:tr w:rsidR="00811745" w:rsidRPr="004A0C12" w14:paraId="639F87AC" w14:textId="77777777" w:rsidTr="003865ED">
        <w:trPr>
          <w:trHeight w:val="270"/>
          <w:jc w:val="center"/>
        </w:trPr>
        <w:tc>
          <w:tcPr>
            <w:tcW w:w="2142" w:type="dxa"/>
            <w:noWrap/>
            <w:hideMark/>
          </w:tcPr>
          <w:p w14:paraId="1ED0F976" w14:textId="77777777" w:rsidR="00811745" w:rsidRPr="004A0C12" w:rsidRDefault="00811745" w:rsidP="00811745">
            <w:pPr>
              <w:rPr>
                <w:rFonts w:ascii="Garamond" w:hAnsi="Garamond"/>
                <w:sz w:val="22"/>
                <w:szCs w:val="22"/>
              </w:rPr>
            </w:pPr>
            <w:r w:rsidRPr="004A0C12">
              <w:rPr>
                <w:rFonts w:ascii="Garamond" w:hAnsi="Garamond"/>
                <w:sz w:val="22"/>
                <w:szCs w:val="22"/>
              </w:rPr>
              <w:t>Denise Bice</w:t>
            </w:r>
          </w:p>
        </w:tc>
        <w:tc>
          <w:tcPr>
            <w:tcW w:w="1530" w:type="dxa"/>
            <w:noWrap/>
            <w:hideMark/>
          </w:tcPr>
          <w:p w14:paraId="51FEF59D" w14:textId="77777777" w:rsidR="00811745" w:rsidRPr="004A0C12" w:rsidRDefault="00811745" w:rsidP="00811745">
            <w:pPr>
              <w:rPr>
                <w:rFonts w:ascii="Garamond" w:hAnsi="Garamond"/>
                <w:sz w:val="22"/>
                <w:szCs w:val="22"/>
              </w:rPr>
            </w:pPr>
            <w:r w:rsidRPr="004A0C12">
              <w:rPr>
                <w:rFonts w:ascii="Garamond" w:hAnsi="Garamond"/>
                <w:sz w:val="22"/>
                <w:szCs w:val="22"/>
              </w:rPr>
              <w:t>3/10/2010</w:t>
            </w:r>
          </w:p>
        </w:tc>
        <w:tc>
          <w:tcPr>
            <w:tcW w:w="2106" w:type="dxa"/>
            <w:noWrap/>
            <w:hideMark/>
          </w:tcPr>
          <w:p w14:paraId="3D216865" w14:textId="77777777" w:rsidR="00811745" w:rsidRPr="004A0C12" w:rsidRDefault="00811745" w:rsidP="00811745">
            <w:pPr>
              <w:rPr>
                <w:rFonts w:ascii="Garamond" w:hAnsi="Garamond"/>
                <w:sz w:val="22"/>
                <w:szCs w:val="22"/>
              </w:rPr>
            </w:pPr>
            <w:r w:rsidRPr="004A0C12">
              <w:rPr>
                <w:rFonts w:ascii="Garamond" w:hAnsi="Garamond"/>
                <w:sz w:val="22"/>
                <w:szCs w:val="22"/>
              </w:rPr>
              <w:t>9/10/2011</w:t>
            </w:r>
          </w:p>
        </w:tc>
        <w:tc>
          <w:tcPr>
            <w:tcW w:w="1810" w:type="dxa"/>
            <w:noWrap/>
            <w:hideMark/>
          </w:tcPr>
          <w:p w14:paraId="45AEB4CC"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5A5AC23C"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66DA669D" w14:textId="77777777" w:rsidR="00811745" w:rsidRPr="004A0C12" w:rsidRDefault="00811745" w:rsidP="00811745">
            <w:pPr>
              <w:rPr>
                <w:rFonts w:ascii="Garamond" w:hAnsi="Garamond"/>
                <w:sz w:val="22"/>
                <w:szCs w:val="22"/>
              </w:rPr>
            </w:pPr>
            <w:r w:rsidRPr="004A0C12">
              <w:rPr>
                <w:rFonts w:ascii="Garamond" w:hAnsi="Garamond"/>
                <w:sz w:val="22"/>
                <w:szCs w:val="22"/>
              </w:rPr>
              <w:t>3/11/2011</w:t>
            </w:r>
          </w:p>
        </w:tc>
      </w:tr>
      <w:tr w:rsidR="00811745" w:rsidRPr="004A0C12" w14:paraId="0815954C" w14:textId="77777777" w:rsidTr="003865ED">
        <w:trPr>
          <w:trHeight w:val="270"/>
          <w:jc w:val="center"/>
        </w:trPr>
        <w:tc>
          <w:tcPr>
            <w:tcW w:w="2142" w:type="dxa"/>
            <w:noWrap/>
            <w:hideMark/>
          </w:tcPr>
          <w:p w14:paraId="7A24CE3D" w14:textId="77777777" w:rsidR="00811745" w:rsidRPr="004A0C12" w:rsidRDefault="00811745" w:rsidP="00811745">
            <w:pPr>
              <w:rPr>
                <w:rFonts w:ascii="Garamond" w:hAnsi="Garamond"/>
                <w:sz w:val="22"/>
                <w:szCs w:val="22"/>
              </w:rPr>
            </w:pPr>
          </w:p>
        </w:tc>
        <w:tc>
          <w:tcPr>
            <w:tcW w:w="1530" w:type="dxa"/>
            <w:noWrap/>
            <w:hideMark/>
          </w:tcPr>
          <w:p w14:paraId="7108E48E" w14:textId="77777777" w:rsidR="00811745" w:rsidRPr="004A0C12" w:rsidRDefault="00811745" w:rsidP="00811745">
            <w:pPr>
              <w:rPr>
                <w:rFonts w:ascii="Garamond" w:hAnsi="Garamond"/>
                <w:sz w:val="22"/>
                <w:szCs w:val="22"/>
              </w:rPr>
            </w:pPr>
          </w:p>
        </w:tc>
        <w:tc>
          <w:tcPr>
            <w:tcW w:w="2106" w:type="dxa"/>
            <w:noWrap/>
            <w:hideMark/>
          </w:tcPr>
          <w:p w14:paraId="7D351916" w14:textId="77777777" w:rsidR="00811745" w:rsidRPr="004A0C12" w:rsidRDefault="00811745" w:rsidP="00811745">
            <w:pPr>
              <w:rPr>
                <w:rFonts w:ascii="Garamond" w:hAnsi="Garamond"/>
                <w:sz w:val="22"/>
                <w:szCs w:val="22"/>
              </w:rPr>
            </w:pPr>
          </w:p>
        </w:tc>
        <w:tc>
          <w:tcPr>
            <w:tcW w:w="1810" w:type="dxa"/>
            <w:noWrap/>
            <w:hideMark/>
          </w:tcPr>
          <w:p w14:paraId="79106AC8" w14:textId="77777777" w:rsidR="00811745" w:rsidRPr="004A0C12" w:rsidRDefault="00811745" w:rsidP="00811745">
            <w:pPr>
              <w:rPr>
                <w:rFonts w:ascii="Garamond" w:hAnsi="Garamond"/>
                <w:sz w:val="22"/>
                <w:szCs w:val="22"/>
              </w:rPr>
            </w:pPr>
          </w:p>
        </w:tc>
        <w:tc>
          <w:tcPr>
            <w:tcW w:w="1376" w:type="dxa"/>
            <w:noWrap/>
            <w:hideMark/>
          </w:tcPr>
          <w:p w14:paraId="05DD7C5C" w14:textId="77777777" w:rsidR="00811745" w:rsidRPr="004A0C12" w:rsidRDefault="00811745" w:rsidP="00811745">
            <w:pPr>
              <w:rPr>
                <w:rFonts w:ascii="Garamond" w:hAnsi="Garamond"/>
                <w:sz w:val="22"/>
                <w:szCs w:val="22"/>
              </w:rPr>
            </w:pPr>
            <w:r w:rsidRPr="004A0C12">
              <w:rPr>
                <w:rFonts w:ascii="Garamond" w:hAnsi="Garamond"/>
                <w:sz w:val="22"/>
                <w:szCs w:val="22"/>
              </w:rPr>
              <w:t>PPE</w:t>
            </w:r>
          </w:p>
        </w:tc>
        <w:tc>
          <w:tcPr>
            <w:tcW w:w="1620" w:type="dxa"/>
            <w:noWrap/>
            <w:hideMark/>
          </w:tcPr>
          <w:p w14:paraId="1CF89916" w14:textId="77777777" w:rsidR="00811745" w:rsidRPr="004A0C12" w:rsidRDefault="00811745" w:rsidP="00811745">
            <w:pPr>
              <w:rPr>
                <w:rFonts w:ascii="Garamond" w:hAnsi="Garamond"/>
                <w:sz w:val="22"/>
                <w:szCs w:val="22"/>
              </w:rPr>
            </w:pPr>
            <w:r w:rsidRPr="004A0C12">
              <w:rPr>
                <w:rFonts w:ascii="Garamond" w:hAnsi="Garamond"/>
                <w:sz w:val="22"/>
                <w:szCs w:val="22"/>
              </w:rPr>
              <w:t>7/29/2011</w:t>
            </w:r>
          </w:p>
        </w:tc>
      </w:tr>
      <w:tr w:rsidR="00811745" w:rsidRPr="004A0C12" w14:paraId="77F143E3" w14:textId="77777777" w:rsidTr="003865ED">
        <w:trPr>
          <w:trHeight w:val="270"/>
          <w:jc w:val="center"/>
        </w:trPr>
        <w:tc>
          <w:tcPr>
            <w:tcW w:w="10584" w:type="dxa"/>
            <w:gridSpan w:val="6"/>
            <w:noWrap/>
            <w:hideMark/>
          </w:tcPr>
          <w:p w14:paraId="3F0D2FD8" w14:textId="77777777" w:rsidR="00811745" w:rsidRPr="004A0C12" w:rsidRDefault="00811745" w:rsidP="00811745">
            <w:pPr>
              <w:rPr>
                <w:rFonts w:ascii="Garamond" w:hAnsi="Garamond"/>
                <w:sz w:val="22"/>
                <w:szCs w:val="22"/>
              </w:rPr>
            </w:pPr>
          </w:p>
        </w:tc>
      </w:tr>
      <w:tr w:rsidR="00811745" w:rsidRPr="004A0C12" w14:paraId="3D72D6A5" w14:textId="77777777" w:rsidTr="003865ED">
        <w:trPr>
          <w:trHeight w:val="270"/>
          <w:jc w:val="center"/>
        </w:trPr>
        <w:tc>
          <w:tcPr>
            <w:tcW w:w="2142" w:type="dxa"/>
            <w:noWrap/>
            <w:hideMark/>
          </w:tcPr>
          <w:p w14:paraId="7DC6542C" w14:textId="77777777" w:rsidR="00811745" w:rsidRPr="004A0C12" w:rsidRDefault="00811745" w:rsidP="00811745">
            <w:pPr>
              <w:rPr>
                <w:rFonts w:ascii="Garamond" w:hAnsi="Garamond"/>
                <w:sz w:val="22"/>
                <w:szCs w:val="22"/>
              </w:rPr>
            </w:pPr>
            <w:r w:rsidRPr="004A0C12">
              <w:rPr>
                <w:rFonts w:ascii="Garamond" w:hAnsi="Garamond"/>
                <w:sz w:val="22"/>
                <w:szCs w:val="22"/>
              </w:rPr>
              <w:t>Harry Brooks</w:t>
            </w:r>
          </w:p>
        </w:tc>
        <w:tc>
          <w:tcPr>
            <w:tcW w:w="1530" w:type="dxa"/>
            <w:noWrap/>
            <w:hideMark/>
          </w:tcPr>
          <w:p w14:paraId="3C980DCD" w14:textId="77777777" w:rsidR="00811745" w:rsidRPr="004A0C12" w:rsidRDefault="00811745" w:rsidP="00811745">
            <w:pPr>
              <w:rPr>
                <w:rFonts w:ascii="Garamond" w:hAnsi="Garamond"/>
                <w:sz w:val="22"/>
                <w:szCs w:val="22"/>
              </w:rPr>
            </w:pPr>
            <w:r w:rsidRPr="004A0C12">
              <w:rPr>
                <w:rFonts w:ascii="Garamond" w:hAnsi="Garamond"/>
                <w:sz w:val="22"/>
                <w:szCs w:val="22"/>
              </w:rPr>
              <w:t>10/18/2005</w:t>
            </w:r>
          </w:p>
        </w:tc>
        <w:tc>
          <w:tcPr>
            <w:tcW w:w="2106" w:type="dxa"/>
            <w:noWrap/>
            <w:hideMark/>
          </w:tcPr>
          <w:p w14:paraId="30564804" w14:textId="77777777" w:rsidR="00811745" w:rsidRPr="004A0C12" w:rsidRDefault="00811745" w:rsidP="00811745">
            <w:pPr>
              <w:rPr>
                <w:rFonts w:ascii="Garamond" w:hAnsi="Garamond"/>
                <w:sz w:val="22"/>
                <w:szCs w:val="22"/>
              </w:rPr>
            </w:pPr>
            <w:r w:rsidRPr="004A0C12">
              <w:rPr>
                <w:rFonts w:ascii="Garamond" w:hAnsi="Garamond"/>
                <w:sz w:val="22"/>
                <w:szCs w:val="22"/>
              </w:rPr>
              <w:t>4/18/2007</w:t>
            </w:r>
          </w:p>
        </w:tc>
        <w:tc>
          <w:tcPr>
            <w:tcW w:w="1810" w:type="dxa"/>
            <w:noWrap/>
            <w:hideMark/>
          </w:tcPr>
          <w:p w14:paraId="7915936C"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4BC58B7F" w14:textId="77777777" w:rsidR="00811745" w:rsidRPr="004A0C12" w:rsidRDefault="00811745" w:rsidP="00811745">
            <w:pPr>
              <w:rPr>
                <w:rFonts w:ascii="Garamond" w:hAnsi="Garamond"/>
                <w:sz w:val="22"/>
                <w:szCs w:val="22"/>
              </w:rPr>
            </w:pPr>
            <w:r w:rsidRPr="004A0C12">
              <w:rPr>
                <w:rFonts w:ascii="Garamond" w:hAnsi="Garamond"/>
                <w:sz w:val="22"/>
                <w:szCs w:val="22"/>
              </w:rPr>
              <w:t>PSD</w:t>
            </w:r>
          </w:p>
        </w:tc>
        <w:tc>
          <w:tcPr>
            <w:tcW w:w="1620" w:type="dxa"/>
            <w:noWrap/>
            <w:hideMark/>
          </w:tcPr>
          <w:p w14:paraId="74856B50" w14:textId="77777777" w:rsidR="00811745" w:rsidRPr="004A0C12" w:rsidRDefault="00811745" w:rsidP="00811745">
            <w:pPr>
              <w:rPr>
                <w:rFonts w:ascii="Garamond" w:hAnsi="Garamond"/>
                <w:sz w:val="22"/>
                <w:szCs w:val="22"/>
              </w:rPr>
            </w:pPr>
            <w:r w:rsidRPr="004A0C12">
              <w:rPr>
                <w:rFonts w:ascii="Garamond" w:hAnsi="Garamond"/>
                <w:sz w:val="22"/>
                <w:szCs w:val="22"/>
              </w:rPr>
              <w:t>10/6/1994</w:t>
            </w:r>
          </w:p>
        </w:tc>
      </w:tr>
      <w:tr w:rsidR="00811745" w:rsidRPr="004A0C12" w14:paraId="5EBD91C0" w14:textId="77777777" w:rsidTr="003865ED">
        <w:trPr>
          <w:trHeight w:val="270"/>
          <w:jc w:val="center"/>
        </w:trPr>
        <w:tc>
          <w:tcPr>
            <w:tcW w:w="2142" w:type="dxa"/>
            <w:noWrap/>
            <w:hideMark/>
          </w:tcPr>
          <w:p w14:paraId="79A15812" w14:textId="77777777" w:rsidR="00811745" w:rsidRPr="004A0C12" w:rsidRDefault="00811745" w:rsidP="00811745">
            <w:pPr>
              <w:rPr>
                <w:rFonts w:ascii="Garamond" w:hAnsi="Garamond"/>
                <w:sz w:val="22"/>
                <w:szCs w:val="22"/>
              </w:rPr>
            </w:pPr>
          </w:p>
        </w:tc>
        <w:tc>
          <w:tcPr>
            <w:tcW w:w="1530" w:type="dxa"/>
            <w:noWrap/>
            <w:hideMark/>
          </w:tcPr>
          <w:p w14:paraId="3DBCAC77" w14:textId="77777777" w:rsidR="00811745" w:rsidRPr="004A0C12" w:rsidRDefault="00811745" w:rsidP="00811745">
            <w:pPr>
              <w:rPr>
                <w:rFonts w:ascii="Garamond" w:hAnsi="Garamond"/>
                <w:sz w:val="22"/>
                <w:szCs w:val="22"/>
              </w:rPr>
            </w:pPr>
          </w:p>
        </w:tc>
        <w:tc>
          <w:tcPr>
            <w:tcW w:w="2106" w:type="dxa"/>
            <w:noWrap/>
            <w:hideMark/>
          </w:tcPr>
          <w:p w14:paraId="0A3129B9" w14:textId="77777777" w:rsidR="00811745" w:rsidRPr="004A0C12" w:rsidRDefault="00811745" w:rsidP="00811745">
            <w:pPr>
              <w:rPr>
                <w:rFonts w:ascii="Garamond" w:hAnsi="Garamond"/>
                <w:sz w:val="22"/>
                <w:szCs w:val="22"/>
              </w:rPr>
            </w:pPr>
          </w:p>
        </w:tc>
        <w:tc>
          <w:tcPr>
            <w:tcW w:w="1810" w:type="dxa"/>
            <w:noWrap/>
            <w:hideMark/>
          </w:tcPr>
          <w:p w14:paraId="1B1A658B" w14:textId="77777777" w:rsidR="00811745" w:rsidRPr="004A0C12" w:rsidRDefault="00811745" w:rsidP="00811745">
            <w:pPr>
              <w:rPr>
                <w:rFonts w:ascii="Garamond" w:hAnsi="Garamond"/>
                <w:sz w:val="22"/>
                <w:szCs w:val="22"/>
              </w:rPr>
            </w:pPr>
          </w:p>
        </w:tc>
        <w:tc>
          <w:tcPr>
            <w:tcW w:w="1376" w:type="dxa"/>
            <w:noWrap/>
            <w:hideMark/>
          </w:tcPr>
          <w:p w14:paraId="5EB635F9" w14:textId="77777777" w:rsidR="00811745" w:rsidRPr="004A0C12" w:rsidRDefault="00811745" w:rsidP="00811745">
            <w:pPr>
              <w:rPr>
                <w:rFonts w:ascii="Garamond" w:hAnsi="Garamond"/>
                <w:sz w:val="22"/>
                <w:szCs w:val="22"/>
              </w:rPr>
            </w:pPr>
            <w:r w:rsidRPr="004A0C12">
              <w:rPr>
                <w:rFonts w:ascii="Garamond" w:hAnsi="Garamond"/>
                <w:sz w:val="22"/>
                <w:szCs w:val="22"/>
              </w:rPr>
              <w:t>EO</w:t>
            </w:r>
          </w:p>
        </w:tc>
        <w:tc>
          <w:tcPr>
            <w:tcW w:w="1620" w:type="dxa"/>
            <w:noWrap/>
            <w:hideMark/>
          </w:tcPr>
          <w:p w14:paraId="0F417F4E" w14:textId="77777777" w:rsidR="00811745" w:rsidRPr="004A0C12" w:rsidRDefault="00811745" w:rsidP="00811745">
            <w:pPr>
              <w:rPr>
                <w:rFonts w:ascii="Garamond" w:hAnsi="Garamond"/>
                <w:sz w:val="22"/>
                <w:szCs w:val="22"/>
              </w:rPr>
            </w:pPr>
            <w:r w:rsidRPr="004A0C12">
              <w:rPr>
                <w:rFonts w:ascii="Garamond" w:hAnsi="Garamond"/>
                <w:sz w:val="22"/>
                <w:szCs w:val="22"/>
              </w:rPr>
              <w:t>6/5/2015</w:t>
            </w:r>
          </w:p>
        </w:tc>
      </w:tr>
      <w:tr w:rsidR="00811745" w:rsidRPr="004A0C12" w14:paraId="2E835A39" w14:textId="77777777" w:rsidTr="003865ED">
        <w:trPr>
          <w:trHeight w:val="270"/>
          <w:jc w:val="center"/>
        </w:trPr>
        <w:tc>
          <w:tcPr>
            <w:tcW w:w="10584" w:type="dxa"/>
            <w:gridSpan w:val="6"/>
            <w:noWrap/>
            <w:hideMark/>
          </w:tcPr>
          <w:p w14:paraId="298D585B" w14:textId="77777777" w:rsidR="00811745" w:rsidRPr="004A0C12" w:rsidRDefault="00811745" w:rsidP="00811745">
            <w:pPr>
              <w:rPr>
                <w:rFonts w:ascii="Garamond" w:hAnsi="Garamond"/>
                <w:sz w:val="22"/>
                <w:szCs w:val="22"/>
              </w:rPr>
            </w:pPr>
          </w:p>
        </w:tc>
      </w:tr>
      <w:tr w:rsidR="00811745" w:rsidRPr="004A0C12" w14:paraId="0A81D679" w14:textId="77777777" w:rsidTr="003865ED">
        <w:trPr>
          <w:trHeight w:val="270"/>
          <w:jc w:val="center"/>
        </w:trPr>
        <w:tc>
          <w:tcPr>
            <w:tcW w:w="2142" w:type="dxa"/>
            <w:noWrap/>
            <w:hideMark/>
          </w:tcPr>
          <w:p w14:paraId="00291B45" w14:textId="77777777" w:rsidR="00811745" w:rsidRPr="004A0C12" w:rsidRDefault="00811745" w:rsidP="00811745">
            <w:pPr>
              <w:rPr>
                <w:rFonts w:ascii="Garamond" w:hAnsi="Garamond"/>
                <w:sz w:val="22"/>
                <w:szCs w:val="22"/>
              </w:rPr>
            </w:pPr>
            <w:r w:rsidRPr="004A0C12">
              <w:rPr>
                <w:rFonts w:ascii="Garamond" w:hAnsi="Garamond"/>
                <w:sz w:val="22"/>
                <w:szCs w:val="22"/>
              </w:rPr>
              <w:t>Coy Brown Jr.</w:t>
            </w:r>
          </w:p>
        </w:tc>
        <w:tc>
          <w:tcPr>
            <w:tcW w:w="1530" w:type="dxa"/>
            <w:noWrap/>
            <w:hideMark/>
          </w:tcPr>
          <w:p w14:paraId="4407E262" w14:textId="77777777" w:rsidR="00811745" w:rsidRPr="004A0C12" w:rsidRDefault="00811745" w:rsidP="00811745">
            <w:pPr>
              <w:rPr>
                <w:rFonts w:ascii="Garamond" w:hAnsi="Garamond"/>
                <w:sz w:val="22"/>
                <w:szCs w:val="22"/>
              </w:rPr>
            </w:pPr>
            <w:r w:rsidRPr="004A0C12">
              <w:rPr>
                <w:rFonts w:ascii="Garamond" w:hAnsi="Garamond"/>
                <w:sz w:val="22"/>
                <w:szCs w:val="22"/>
              </w:rPr>
              <w:t>5/29/2013</w:t>
            </w:r>
          </w:p>
        </w:tc>
        <w:tc>
          <w:tcPr>
            <w:tcW w:w="2106" w:type="dxa"/>
            <w:noWrap/>
            <w:hideMark/>
          </w:tcPr>
          <w:p w14:paraId="7D84ABE8" w14:textId="77777777" w:rsidR="00811745" w:rsidRPr="004A0C12" w:rsidRDefault="00811745" w:rsidP="00811745">
            <w:pPr>
              <w:rPr>
                <w:rFonts w:ascii="Garamond" w:hAnsi="Garamond"/>
                <w:sz w:val="22"/>
                <w:szCs w:val="22"/>
              </w:rPr>
            </w:pPr>
            <w:r w:rsidRPr="004A0C12">
              <w:rPr>
                <w:rFonts w:ascii="Garamond" w:hAnsi="Garamond"/>
                <w:sz w:val="22"/>
                <w:szCs w:val="22"/>
              </w:rPr>
              <w:t>11/29/2014</w:t>
            </w:r>
          </w:p>
        </w:tc>
        <w:tc>
          <w:tcPr>
            <w:tcW w:w="1810" w:type="dxa"/>
            <w:noWrap/>
            <w:hideMark/>
          </w:tcPr>
          <w:p w14:paraId="65C3D77E"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252EF27D"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1519669A" w14:textId="77777777" w:rsidR="00811745" w:rsidRPr="004A0C12" w:rsidRDefault="00811745" w:rsidP="00811745">
            <w:pPr>
              <w:rPr>
                <w:rFonts w:ascii="Garamond" w:hAnsi="Garamond"/>
                <w:sz w:val="22"/>
                <w:szCs w:val="22"/>
              </w:rPr>
            </w:pPr>
            <w:r w:rsidRPr="004A0C12">
              <w:rPr>
                <w:rFonts w:ascii="Garamond" w:hAnsi="Garamond"/>
                <w:sz w:val="22"/>
                <w:szCs w:val="22"/>
              </w:rPr>
              <w:t>1/17/2014</w:t>
            </w:r>
          </w:p>
        </w:tc>
      </w:tr>
      <w:tr w:rsidR="00811745" w:rsidRPr="004A0C12" w14:paraId="644E7830" w14:textId="77777777" w:rsidTr="003865ED">
        <w:trPr>
          <w:trHeight w:val="270"/>
          <w:jc w:val="center"/>
        </w:trPr>
        <w:tc>
          <w:tcPr>
            <w:tcW w:w="2142" w:type="dxa"/>
            <w:noWrap/>
            <w:hideMark/>
          </w:tcPr>
          <w:p w14:paraId="320DA019" w14:textId="77777777" w:rsidR="00811745" w:rsidRPr="004A0C12" w:rsidRDefault="00811745" w:rsidP="00811745">
            <w:pPr>
              <w:rPr>
                <w:rFonts w:ascii="Garamond" w:hAnsi="Garamond"/>
                <w:sz w:val="22"/>
                <w:szCs w:val="22"/>
              </w:rPr>
            </w:pPr>
          </w:p>
        </w:tc>
        <w:tc>
          <w:tcPr>
            <w:tcW w:w="1530" w:type="dxa"/>
            <w:noWrap/>
            <w:hideMark/>
          </w:tcPr>
          <w:p w14:paraId="4FC3A524" w14:textId="77777777" w:rsidR="00811745" w:rsidRPr="004A0C12" w:rsidRDefault="00811745" w:rsidP="00811745">
            <w:pPr>
              <w:rPr>
                <w:rFonts w:ascii="Garamond" w:hAnsi="Garamond"/>
                <w:sz w:val="22"/>
                <w:szCs w:val="22"/>
              </w:rPr>
            </w:pPr>
          </w:p>
        </w:tc>
        <w:tc>
          <w:tcPr>
            <w:tcW w:w="2106" w:type="dxa"/>
            <w:noWrap/>
            <w:hideMark/>
          </w:tcPr>
          <w:p w14:paraId="1FA3298D" w14:textId="77777777" w:rsidR="00811745" w:rsidRPr="004A0C12" w:rsidRDefault="00811745" w:rsidP="00811745">
            <w:pPr>
              <w:rPr>
                <w:rFonts w:ascii="Garamond" w:hAnsi="Garamond"/>
                <w:sz w:val="22"/>
                <w:szCs w:val="22"/>
              </w:rPr>
            </w:pPr>
          </w:p>
        </w:tc>
        <w:tc>
          <w:tcPr>
            <w:tcW w:w="1810" w:type="dxa"/>
            <w:noWrap/>
            <w:hideMark/>
          </w:tcPr>
          <w:p w14:paraId="517DC709" w14:textId="77777777" w:rsidR="00811745" w:rsidRPr="004A0C12" w:rsidRDefault="00811745" w:rsidP="00811745">
            <w:pPr>
              <w:rPr>
                <w:rFonts w:ascii="Garamond" w:hAnsi="Garamond"/>
                <w:sz w:val="22"/>
                <w:szCs w:val="22"/>
              </w:rPr>
            </w:pPr>
          </w:p>
        </w:tc>
        <w:tc>
          <w:tcPr>
            <w:tcW w:w="1376" w:type="dxa"/>
            <w:noWrap/>
            <w:hideMark/>
          </w:tcPr>
          <w:p w14:paraId="614982AD"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5C2721F4" w14:textId="77777777" w:rsidR="00811745" w:rsidRPr="004A0C12" w:rsidRDefault="00811745" w:rsidP="00811745">
            <w:pPr>
              <w:rPr>
                <w:rFonts w:ascii="Garamond" w:hAnsi="Garamond"/>
                <w:sz w:val="22"/>
                <w:szCs w:val="22"/>
              </w:rPr>
            </w:pPr>
            <w:r w:rsidRPr="004A0C12">
              <w:rPr>
                <w:rFonts w:ascii="Garamond" w:hAnsi="Garamond"/>
                <w:sz w:val="22"/>
                <w:szCs w:val="22"/>
              </w:rPr>
              <w:t>3/7/2014</w:t>
            </w:r>
          </w:p>
        </w:tc>
      </w:tr>
      <w:tr w:rsidR="00811745" w:rsidRPr="004A0C12" w14:paraId="24E4D911" w14:textId="77777777" w:rsidTr="003865ED">
        <w:trPr>
          <w:trHeight w:val="270"/>
          <w:jc w:val="center"/>
        </w:trPr>
        <w:tc>
          <w:tcPr>
            <w:tcW w:w="10584" w:type="dxa"/>
            <w:gridSpan w:val="6"/>
            <w:noWrap/>
            <w:hideMark/>
          </w:tcPr>
          <w:p w14:paraId="3165AE84" w14:textId="77777777" w:rsidR="00811745" w:rsidRPr="004A0C12" w:rsidRDefault="00811745" w:rsidP="00811745">
            <w:pPr>
              <w:rPr>
                <w:rFonts w:ascii="Garamond" w:hAnsi="Garamond"/>
                <w:sz w:val="22"/>
                <w:szCs w:val="22"/>
              </w:rPr>
            </w:pPr>
          </w:p>
        </w:tc>
      </w:tr>
      <w:tr w:rsidR="00811745" w:rsidRPr="004A0C12" w14:paraId="63D801C0" w14:textId="77777777" w:rsidTr="003865ED">
        <w:trPr>
          <w:trHeight w:val="270"/>
          <w:jc w:val="center"/>
        </w:trPr>
        <w:tc>
          <w:tcPr>
            <w:tcW w:w="2142" w:type="dxa"/>
            <w:noWrap/>
            <w:hideMark/>
          </w:tcPr>
          <w:p w14:paraId="7A683637" w14:textId="77777777" w:rsidR="00811745" w:rsidRPr="004A0C12" w:rsidRDefault="00811745" w:rsidP="00811745">
            <w:pPr>
              <w:rPr>
                <w:rFonts w:ascii="Garamond" w:hAnsi="Garamond"/>
                <w:sz w:val="22"/>
                <w:szCs w:val="22"/>
              </w:rPr>
            </w:pPr>
            <w:r w:rsidRPr="004A0C12">
              <w:rPr>
                <w:rFonts w:ascii="Garamond" w:hAnsi="Garamond"/>
                <w:sz w:val="22"/>
                <w:szCs w:val="22"/>
              </w:rPr>
              <w:t>Careatha Burton-Fuller</w:t>
            </w:r>
          </w:p>
        </w:tc>
        <w:tc>
          <w:tcPr>
            <w:tcW w:w="1530" w:type="dxa"/>
            <w:noWrap/>
            <w:hideMark/>
          </w:tcPr>
          <w:p w14:paraId="0AF4E268" w14:textId="77777777" w:rsidR="00811745" w:rsidRPr="004A0C12" w:rsidRDefault="00811745" w:rsidP="00811745">
            <w:pPr>
              <w:rPr>
                <w:rFonts w:ascii="Garamond" w:hAnsi="Garamond"/>
                <w:sz w:val="22"/>
                <w:szCs w:val="22"/>
              </w:rPr>
            </w:pPr>
            <w:r w:rsidRPr="004A0C12">
              <w:rPr>
                <w:rFonts w:ascii="Garamond" w:hAnsi="Garamond"/>
                <w:sz w:val="22"/>
                <w:szCs w:val="22"/>
              </w:rPr>
              <w:t>4/9/2014</w:t>
            </w:r>
          </w:p>
        </w:tc>
        <w:tc>
          <w:tcPr>
            <w:tcW w:w="2106" w:type="dxa"/>
            <w:noWrap/>
            <w:hideMark/>
          </w:tcPr>
          <w:p w14:paraId="6F9E5E02" w14:textId="77777777" w:rsidR="00811745" w:rsidRPr="004A0C12" w:rsidRDefault="00811745" w:rsidP="00811745">
            <w:pPr>
              <w:rPr>
                <w:rFonts w:ascii="Garamond" w:hAnsi="Garamond"/>
                <w:sz w:val="22"/>
                <w:szCs w:val="22"/>
              </w:rPr>
            </w:pPr>
            <w:r w:rsidRPr="004A0C12">
              <w:rPr>
                <w:rFonts w:ascii="Garamond" w:hAnsi="Garamond"/>
                <w:sz w:val="22"/>
                <w:szCs w:val="22"/>
              </w:rPr>
              <w:t>10/9/2015</w:t>
            </w:r>
          </w:p>
        </w:tc>
        <w:tc>
          <w:tcPr>
            <w:tcW w:w="1810" w:type="dxa"/>
            <w:noWrap/>
            <w:hideMark/>
          </w:tcPr>
          <w:p w14:paraId="298975B4"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1975415A"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4258CDB2" w14:textId="77777777" w:rsidR="00811745" w:rsidRPr="004A0C12" w:rsidRDefault="00811745" w:rsidP="00811745">
            <w:pPr>
              <w:rPr>
                <w:rFonts w:ascii="Garamond" w:hAnsi="Garamond"/>
                <w:sz w:val="22"/>
                <w:szCs w:val="22"/>
              </w:rPr>
            </w:pPr>
            <w:r w:rsidRPr="004A0C12">
              <w:rPr>
                <w:rFonts w:ascii="Garamond" w:hAnsi="Garamond"/>
                <w:sz w:val="22"/>
                <w:szCs w:val="22"/>
              </w:rPr>
              <w:t>10/31/2014</w:t>
            </w:r>
          </w:p>
        </w:tc>
      </w:tr>
      <w:tr w:rsidR="00811745" w:rsidRPr="004A0C12" w14:paraId="6E780D0C" w14:textId="77777777" w:rsidTr="003865ED">
        <w:trPr>
          <w:trHeight w:val="270"/>
          <w:jc w:val="center"/>
        </w:trPr>
        <w:tc>
          <w:tcPr>
            <w:tcW w:w="2142" w:type="dxa"/>
            <w:noWrap/>
            <w:hideMark/>
          </w:tcPr>
          <w:p w14:paraId="70C805A7" w14:textId="77777777" w:rsidR="00811745" w:rsidRPr="004A0C12" w:rsidRDefault="00811745" w:rsidP="00811745">
            <w:pPr>
              <w:rPr>
                <w:rFonts w:ascii="Garamond" w:hAnsi="Garamond"/>
                <w:sz w:val="22"/>
                <w:szCs w:val="22"/>
              </w:rPr>
            </w:pPr>
          </w:p>
        </w:tc>
        <w:tc>
          <w:tcPr>
            <w:tcW w:w="1530" w:type="dxa"/>
            <w:noWrap/>
            <w:hideMark/>
          </w:tcPr>
          <w:p w14:paraId="448DCEE1" w14:textId="77777777" w:rsidR="00811745" w:rsidRPr="004A0C12" w:rsidRDefault="00811745" w:rsidP="00811745">
            <w:pPr>
              <w:rPr>
                <w:rFonts w:ascii="Garamond" w:hAnsi="Garamond"/>
                <w:sz w:val="22"/>
                <w:szCs w:val="22"/>
              </w:rPr>
            </w:pPr>
          </w:p>
        </w:tc>
        <w:tc>
          <w:tcPr>
            <w:tcW w:w="2106" w:type="dxa"/>
            <w:noWrap/>
            <w:hideMark/>
          </w:tcPr>
          <w:p w14:paraId="0F466748" w14:textId="77777777" w:rsidR="00811745" w:rsidRPr="004A0C12" w:rsidRDefault="00811745" w:rsidP="00811745">
            <w:pPr>
              <w:rPr>
                <w:rFonts w:ascii="Garamond" w:hAnsi="Garamond"/>
                <w:sz w:val="22"/>
                <w:szCs w:val="22"/>
              </w:rPr>
            </w:pPr>
          </w:p>
        </w:tc>
        <w:tc>
          <w:tcPr>
            <w:tcW w:w="1810" w:type="dxa"/>
            <w:noWrap/>
            <w:hideMark/>
          </w:tcPr>
          <w:p w14:paraId="1AF4EAF5" w14:textId="77777777" w:rsidR="00811745" w:rsidRPr="004A0C12" w:rsidRDefault="00811745" w:rsidP="00811745">
            <w:pPr>
              <w:rPr>
                <w:rFonts w:ascii="Garamond" w:hAnsi="Garamond"/>
                <w:sz w:val="22"/>
                <w:szCs w:val="22"/>
              </w:rPr>
            </w:pPr>
          </w:p>
        </w:tc>
        <w:tc>
          <w:tcPr>
            <w:tcW w:w="1376" w:type="dxa"/>
            <w:noWrap/>
            <w:hideMark/>
          </w:tcPr>
          <w:p w14:paraId="40E67C84"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6543A0AE" w14:textId="77777777" w:rsidR="00811745" w:rsidRPr="004A0C12" w:rsidRDefault="00811745" w:rsidP="00811745">
            <w:pPr>
              <w:rPr>
                <w:rFonts w:ascii="Garamond" w:hAnsi="Garamond"/>
                <w:sz w:val="22"/>
                <w:szCs w:val="22"/>
              </w:rPr>
            </w:pPr>
            <w:r w:rsidRPr="004A0C12">
              <w:rPr>
                <w:rFonts w:ascii="Garamond" w:hAnsi="Garamond"/>
                <w:sz w:val="22"/>
                <w:szCs w:val="22"/>
              </w:rPr>
              <w:t>4/17/2015</w:t>
            </w:r>
          </w:p>
        </w:tc>
      </w:tr>
      <w:tr w:rsidR="00811745" w:rsidRPr="004A0C12" w14:paraId="316C6515" w14:textId="77777777" w:rsidTr="003865ED">
        <w:trPr>
          <w:trHeight w:val="270"/>
          <w:jc w:val="center"/>
        </w:trPr>
        <w:tc>
          <w:tcPr>
            <w:tcW w:w="10584" w:type="dxa"/>
            <w:gridSpan w:val="6"/>
            <w:noWrap/>
            <w:hideMark/>
          </w:tcPr>
          <w:p w14:paraId="0E997D66" w14:textId="77777777" w:rsidR="00811745" w:rsidRPr="004A0C12" w:rsidRDefault="00811745" w:rsidP="00811745">
            <w:pPr>
              <w:rPr>
                <w:rFonts w:ascii="Garamond" w:hAnsi="Garamond"/>
                <w:sz w:val="22"/>
                <w:szCs w:val="22"/>
              </w:rPr>
            </w:pPr>
          </w:p>
        </w:tc>
      </w:tr>
      <w:tr w:rsidR="00811745" w:rsidRPr="004A0C12" w14:paraId="1311D5EB" w14:textId="77777777" w:rsidTr="003865ED">
        <w:trPr>
          <w:trHeight w:val="270"/>
          <w:jc w:val="center"/>
        </w:trPr>
        <w:tc>
          <w:tcPr>
            <w:tcW w:w="2142" w:type="dxa"/>
            <w:noWrap/>
            <w:hideMark/>
          </w:tcPr>
          <w:p w14:paraId="266EA4DB" w14:textId="77777777" w:rsidR="00811745" w:rsidRPr="004A0C12" w:rsidRDefault="00811745" w:rsidP="00811745">
            <w:pPr>
              <w:rPr>
                <w:rFonts w:ascii="Garamond" w:hAnsi="Garamond"/>
                <w:sz w:val="22"/>
                <w:szCs w:val="22"/>
              </w:rPr>
            </w:pPr>
            <w:r w:rsidRPr="004A0C12">
              <w:rPr>
                <w:rFonts w:ascii="Garamond" w:hAnsi="Garamond"/>
                <w:sz w:val="22"/>
                <w:szCs w:val="22"/>
              </w:rPr>
              <w:t>Jorge Cruz</w:t>
            </w:r>
          </w:p>
        </w:tc>
        <w:tc>
          <w:tcPr>
            <w:tcW w:w="1530" w:type="dxa"/>
            <w:noWrap/>
            <w:hideMark/>
          </w:tcPr>
          <w:p w14:paraId="7DB7314F" w14:textId="77777777" w:rsidR="00811745" w:rsidRPr="004A0C12" w:rsidRDefault="00811745" w:rsidP="00811745">
            <w:pPr>
              <w:rPr>
                <w:rFonts w:ascii="Garamond" w:hAnsi="Garamond"/>
                <w:sz w:val="22"/>
                <w:szCs w:val="22"/>
              </w:rPr>
            </w:pPr>
            <w:r w:rsidRPr="004A0C12">
              <w:rPr>
                <w:rFonts w:ascii="Garamond" w:hAnsi="Garamond"/>
                <w:sz w:val="22"/>
                <w:szCs w:val="22"/>
              </w:rPr>
              <w:t>8/7/2012</w:t>
            </w:r>
          </w:p>
        </w:tc>
        <w:tc>
          <w:tcPr>
            <w:tcW w:w="2106" w:type="dxa"/>
            <w:noWrap/>
            <w:hideMark/>
          </w:tcPr>
          <w:p w14:paraId="77EB9609" w14:textId="77777777" w:rsidR="00811745" w:rsidRPr="004A0C12" w:rsidRDefault="00811745" w:rsidP="00811745">
            <w:pPr>
              <w:rPr>
                <w:rFonts w:ascii="Garamond" w:hAnsi="Garamond"/>
                <w:sz w:val="22"/>
                <w:szCs w:val="22"/>
              </w:rPr>
            </w:pPr>
            <w:r w:rsidRPr="004A0C12">
              <w:rPr>
                <w:rFonts w:ascii="Garamond" w:hAnsi="Garamond"/>
                <w:sz w:val="22"/>
                <w:szCs w:val="22"/>
              </w:rPr>
              <w:t>2/7/2014</w:t>
            </w:r>
          </w:p>
        </w:tc>
        <w:tc>
          <w:tcPr>
            <w:tcW w:w="1810" w:type="dxa"/>
            <w:noWrap/>
            <w:hideMark/>
          </w:tcPr>
          <w:p w14:paraId="23E7DE84"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1150428D"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4F15D178" w14:textId="77777777" w:rsidR="00811745" w:rsidRPr="004A0C12" w:rsidRDefault="00811745" w:rsidP="00811745">
            <w:pPr>
              <w:rPr>
                <w:rFonts w:ascii="Garamond" w:hAnsi="Garamond"/>
                <w:sz w:val="22"/>
                <w:szCs w:val="22"/>
              </w:rPr>
            </w:pPr>
            <w:r w:rsidRPr="004A0C12">
              <w:rPr>
                <w:rFonts w:ascii="Garamond" w:hAnsi="Garamond"/>
                <w:sz w:val="22"/>
                <w:szCs w:val="22"/>
              </w:rPr>
              <w:t>6/10/2005</w:t>
            </w:r>
          </w:p>
        </w:tc>
      </w:tr>
      <w:tr w:rsidR="00811745" w:rsidRPr="004A0C12" w14:paraId="1FD10198" w14:textId="77777777" w:rsidTr="003865ED">
        <w:trPr>
          <w:trHeight w:val="270"/>
          <w:jc w:val="center"/>
        </w:trPr>
        <w:tc>
          <w:tcPr>
            <w:tcW w:w="2142" w:type="dxa"/>
            <w:noWrap/>
            <w:hideMark/>
          </w:tcPr>
          <w:p w14:paraId="2E484C5F" w14:textId="77777777" w:rsidR="00811745" w:rsidRPr="004A0C12" w:rsidRDefault="00811745" w:rsidP="00811745">
            <w:pPr>
              <w:rPr>
                <w:rFonts w:ascii="Garamond" w:hAnsi="Garamond"/>
                <w:sz w:val="22"/>
                <w:szCs w:val="22"/>
              </w:rPr>
            </w:pPr>
          </w:p>
        </w:tc>
        <w:tc>
          <w:tcPr>
            <w:tcW w:w="1530" w:type="dxa"/>
            <w:noWrap/>
            <w:hideMark/>
          </w:tcPr>
          <w:p w14:paraId="26A6B49A" w14:textId="77777777" w:rsidR="00811745" w:rsidRPr="004A0C12" w:rsidRDefault="00811745" w:rsidP="00811745">
            <w:pPr>
              <w:rPr>
                <w:rFonts w:ascii="Garamond" w:hAnsi="Garamond"/>
                <w:sz w:val="22"/>
                <w:szCs w:val="22"/>
              </w:rPr>
            </w:pPr>
          </w:p>
        </w:tc>
        <w:tc>
          <w:tcPr>
            <w:tcW w:w="2106" w:type="dxa"/>
            <w:noWrap/>
            <w:hideMark/>
          </w:tcPr>
          <w:p w14:paraId="646B347C" w14:textId="77777777" w:rsidR="00811745" w:rsidRPr="004A0C12" w:rsidRDefault="00811745" w:rsidP="00811745">
            <w:pPr>
              <w:rPr>
                <w:rFonts w:ascii="Garamond" w:hAnsi="Garamond"/>
                <w:sz w:val="22"/>
                <w:szCs w:val="22"/>
              </w:rPr>
            </w:pPr>
          </w:p>
        </w:tc>
        <w:tc>
          <w:tcPr>
            <w:tcW w:w="1810" w:type="dxa"/>
            <w:noWrap/>
            <w:hideMark/>
          </w:tcPr>
          <w:p w14:paraId="7FC97041" w14:textId="77777777" w:rsidR="00811745" w:rsidRPr="004A0C12" w:rsidRDefault="00811745" w:rsidP="00811745">
            <w:pPr>
              <w:rPr>
                <w:rFonts w:ascii="Garamond" w:hAnsi="Garamond"/>
                <w:sz w:val="22"/>
                <w:szCs w:val="22"/>
              </w:rPr>
            </w:pPr>
          </w:p>
        </w:tc>
        <w:tc>
          <w:tcPr>
            <w:tcW w:w="1376" w:type="dxa"/>
            <w:noWrap/>
            <w:hideMark/>
          </w:tcPr>
          <w:p w14:paraId="6DE46D70"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6F475D3E" w14:textId="77777777" w:rsidR="00811745" w:rsidRPr="004A0C12" w:rsidRDefault="00811745" w:rsidP="00811745">
            <w:pPr>
              <w:rPr>
                <w:rFonts w:ascii="Garamond" w:hAnsi="Garamond"/>
                <w:sz w:val="22"/>
                <w:szCs w:val="22"/>
              </w:rPr>
            </w:pPr>
            <w:r w:rsidRPr="004A0C12">
              <w:rPr>
                <w:rFonts w:ascii="Garamond" w:hAnsi="Garamond"/>
                <w:sz w:val="22"/>
                <w:szCs w:val="22"/>
              </w:rPr>
              <w:t>9/30/2005</w:t>
            </w:r>
          </w:p>
        </w:tc>
      </w:tr>
      <w:tr w:rsidR="00811745" w:rsidRPr="004A0C12" w14:paraId="28707A6E" w14:textId="77777777" w:rsidTr="003865ED">
        <w:trPr>
          <w:trHeight w:val="270"/>
          <w:jc w:val="center"/>
        </w:trPr>
        <w:tc>
          <w:tcPr>
            <w:tcW w:w="2142" w:type="dxa"/>
            <w:noWrap/>
            <w:hideMark/>
          </w:tcPr>
          <w:p w14:paraId="3036F79D" w14:textId="77777777" w:rsidR="00811745" w:rsidRPr="004A0C12" w:rsidRDefault="00811745" w:rsidP="00811745">
            <w:pPr>
              <w:rPr>
                <w:rFonts w:ascii="Garamond" w:hAnsi="Garamond"/>
                <w:sz w:val="22"/>
                <w:szCs w:val="22"/>
              </w:rPr>
            </w:pPr>
          </w:p>
        </w:tc>
        <w:tc>
          <w:tcPr>
            <w:tcW w:w="1530" w:type="dxa"/>
            <w:noWrap/>
            <w:hideMark/>
          </w:tcPr>
          <w:p w14:paraId="47C6223E" w14:textId="77777777" w:rsidR="00811745" w:rsidRPr="004A0C12" w:rsidRDefault="00811745" w:rsidP="00811745">
            <w:pPr>
              <w:rPr>
                <w:rFonts w:ascii="Garamond" w:hAnsi="Garamond"/>
                <w:sz w:val="22"/>
                <w:szCs w:val="22"/>
              </w:rPr>
            </w:pPr>
          </w:p>
        </w:tc>
        <w:tc>
          <w:tcPr>
            <w:tcW w:w="2106" w:type="dxa"/>
            <w:noWrap/>
            <w:hideMark/>
          </w:tcPr>
          <w:p w14:paraId="171C870F" w14:textId="77777777" w:rsidR="00811745" w:rsidRPr="004A0C12" w:rsidRDefault="00811745" w:rsidP="00811745">
            <w:pPr>
              <w:rPr>
                <w:rFonts w:ascii="Garamond" w:hAnsi="Garamond"/>
                <w:sz w:val="22"/>
                <w:szCs w:val="22"/>
              </w:rPr>
            </w:pPr>
          </w:p>
        </w:tc>
        <w:tc>
          <w:tcPr>
            <w:tcW w:w="1810" w:type="dxa"/>
            <w:noWrap/>
            <w:hideMark/>
          </w:tcPr>
          <w:p w14:paraId="3C75F875" w14:textId="77777777" w:rsidR="00811745" w:rsidRPr="004A0C12" w:rsidRDefault="00811745" w:rsidP="00811745">
            <w:pPr>
              <w:rPr>
                <w:rFonts w:ascii="Garamond" w:hAnsi="Garamond"/>
                <w:sz w:val="22"/>
                <w:szCs w:val="22"/>
              </w:rPr>
            </w:pPr>
          </w:p>
        </w:tc>
        <w:tc>
          <w:tcPr>
            <w:tcW w:w="1376" w:type="dxa"/>
            <w:noWrap/>
            <w:hideMark/>
          </w:tcPr>
          <w:p w14:paraId="14C96837" w14:textId="77777777" w:rsidR="00811745" w:rsidRPr="004A0C12" w:rsidRDefault="00811745" w:rsidP="00811745">
            <w:pPr>
              <w:rPr>
                <w:rFonts w:ascii="Garamond" w:hAnsi="Garamond"/>
                <w:sz w:val="22"/>
                <w:szCs w:val="22"/>
              </w:rPr>
            </w:pPr>
            <w:r w:rsidRPr="004A0C12">
              <w:rPr>
                <w:rFonts w:ascii="Garamond" w:hAnsi="Garamond"/>
                <w:sz w:val="22"/>
                <w:szCs w:val="22"/>
              </w:rPr>
              <w:t>PPE</w:t>
            </w:r>
          </w:p>
        </w:tc>
        <w:tc>
          <w:tcPr>
            <w:tcW w:w="1620" w:type="dxa"/>
            <w:noWrap/>
            <w:hideMark/>
          </w:tcPr>
          <w:p w14:paraId="0DAFB2F1" w14:textId="77777777" w:rsidR="00811745" w:rsidRPr="004A0C12" w:rsidRDefault="00811745" w:rsidP="00811745">
            <w:pPr>
              <w:rPr>
                <w:rFonts w:ascii="Garamond" w:hAnsi="Garamond"/>
                <w:sz w:val="22"/>
                <w:szCs w:val="22"/>
              </w:rPr>
            </w:pPr>
            <w:r w:rsidRPr="004A0C12">
              <w:rPr>
                <w:rFonts w:ascii="Garamond" w:hAnsi="Garamond"/>
                <w:sz w:val="22"/>
                <w:szCs w:val="22"/>
              </w:rPr>
              <w:t>4/12/2013</w:t>
            </w:r>
          </w:p>
        </w:tc>
      </w:tr>
      <w:tr w:rsidR="00811745" w:rsidRPr="004A0C12" w14:paraId="1BFF013F" w14:textId="77777777" w:rsidTr="003865ED">
        <w:trPr>
          <w:trHeight w:val="270"/>
          <w:jc w:val="center"/>
        </w:trPr>
        <w:tc>
          <w:tcPr>
            <w:tcW w:w="10584" w:type="dxa"/>
            <w:gridSpan w:val="6"/>
            <w:noWrap/>
            <w:hideMark/>
          </w:tcPr>
          <w:p w14:paraId="7E158E3F" w14:textId="77777777" w:rsidR="00811745" w:rsidRPr="004A0C12" w:rsidRDefault="00811745" w:rsidP="00811745">
            <w:pPr>
              <w:rPr>
                <w:rFonts w:ascii="Garamond" w:hAnsi="Garamond"/>
                <w:sz w:val="22"/>
                <w:szCs w:val="22"/>
              </w:rPr>
            </w:pPr>
          </w:p>
        </w:tc>
      </w:tr>
      <w:tr w:rsidR="00811745" w:rsidRPr="004A0C12" w14:paraId="2FD9EB72" w14:textId="77777777" w:rsidTr="003865ED">
        <w:trPr>
          <w:trHeight w:val="270"/>
          <w:jc w:val="center"/>
        </w:trPr>
        <w:tc>
          <w:tcPr>
            <w:tcW w:w="2142" w:type="dxa"/>
            <w:noWrap/>
            <w:hideMark/>
          </w:tcPr>
          <w:p w14:paraId="20DF9931" w14:textId="77777777" w:rsidR="00811745" w:rsidRPr="004A0C12" w:rsidRDefault="00811745" w:rsidP="00811745">
            <w:pPr>
              <w:rPr>
                <w:rFonts w:ascii="Garamond" w:hAnsi="Garamond"/>
                <w:sz w:val="22"/>
                <w:szCs w:val="22"/>
              </w:rPr>
            </w:pPr>
            <w:r w:rsidRPr="004A0C12">
              <w:rPr>
                <w:rFonts w:ascii="Garamond" w:hAnsi="Garamond"/>
                <w:sz w:val="22"/>
                <w:szCs w:val="22"/>
              </w:rPr>
              <w:t>Mitchell Domm</w:t>
            </w:r>
          </w:p>
        </w:tc>
        <w:tc>
          <w:tcPr>
            <w:tcW w:w="1530" w:type="dxa"/>
            <w:noWrap/>
            <w:hideMark/>
          </w:tcPr>
          <w:p w14:paraId="3D04B555" w14:textId="77777777" w:rsidR="00811745" w:rsidRPr="004A0C12" w:rsidRDefault="00811745" w:rsidP="00811745">
            <w:pPr>
              <w:rPr>
                <w:rFonts w:ascii="Garamond" w:hAnsi="Garamond"/>
                <w:sz w:val="22"/>
                <w:szCs w:val="22"/>
              </w:rPr>
            </w:pPr>
            <w:r w:rsidRPr="004A0C12">
              <w:rPr>
                <w:rFonts w:ascii="Garamond" w:hAnsi="Garamond"/>
                <w:sz w:val="22"/>
                <w:szCs w:val="22"/>
              </w:rPr>
              <w:t>12/19/2012</w:t>
            </w:r>
          </w:p>
        </w:tc>
        <w:tc>
          <w:tcPr>
            <w:tcW w:w="2106" w:type="dxa"/>
            <w:noWrap/>
            <w:hideMark/>
          </w:tcPr>
          <w:p w14:paraId="78AD511F" w14:textId="77777777" w:rsidR="00811745" w:rsidRPr="004A0C12" w:rsidRDefault="00811745" w:rsidP="00811745">
            <w:pPr>
              <w:rPr>
                <w:rFonts w:ascii="Garamond" w:hAnsi="Garamond"/>
                <w:sz w:val="22"/>
                <w:szCs w:val="22"/>
              </w:rPr>
            </w:pPr>
            <w:r w:rsidRPr="004A0C12">
              <w:rPr>
                <w:rFonts w:ascii="Garamond" w:hAnsi="Garamond"/>
                <w:sz w:val="22"/>
                <w:szCs w:val="22"/>
              </w:rPr>
              <w:t>6/19/2014</w:t>
            </w:r>
          </w:p>
        </w:tc>
        <w:tc>
          <w:tcPr>
            <w:tcW w:w="1810" w:type="dxa"/>
            <w:noWrap/>
            <w:hideMark/>
          </w:tcPr>
          <w:p w14:paraId="2C0E0AE6"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31C4DDF7"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68842059" w14:textId="77777777" w:rsidR="00811745" w:rsidRPr="004A0C12" w:rsidRDefault="00811745" w:rsidP="00811745">
            <w:pPr>
              <w:rPr>
                <w:rFonts w:ascii="Garamond" w:hAnsi="Garamond"/>
                <w:sz w:val="22"/>
                <w:szCs w:val="22"/>
              </w:rPr>
            </w:pPr>
            <w:r w:rsidRPr="004A0C12">
              <w:rPr>
                <w:rFonts w:ascii="Garamond" w:hAnsi="Garamond"/>
                <w:sz w:val="22"/>
                <w:szCs w:val="22"/>
              </w:rPr>
              <w:t>7/19/2013</w:t>
            </w:r>
          </w:p>
        </w:tc>
      </w:tr>
      <w:tr w:rsidR="00811745" w:rsidRPr="004A0C12" w14:paraId="5A55B506" w14:textId="77777777" w:rsidTr="003865ED">
        <w:trPr>
          <w:trHeight w:val="255"/>
          <w:jc w:val="center"/>
        </w:trPr>
        <w:tc>
          <w:tcPr>
            <w:tcW w:w="2142" w:type="dxa"/>
            <w:noWrap/>
            <w:hideMark/>
          </w:tcPr>
          <w:p w14:paraId="562A4A95" w14:textId="77777777" w:rsidR="00811745" w:rsidRPr="004A0C12" w:rsidRDefault="00811745" w:rsidP="00811745">
            <w:pPr>
              <w:rPr>
                <w:rFonts w:ascii="Garamond" w:hAnsi="Garamond"/>
                <w:sz w:val="22"/>
                <w:szCs w:val="22"/>
              </w:rPr>
            </w:pPr>
          </w:p>
        </w:tc>
        <w:tc>
          <w:tcPr>
            <w:tcW w:w="1530" w:type="dxa"/>
            <w:noWrap/>
            <w:hideMark/>
          </w:tcPr>
          <w:p w14:paraId="2F7C0BA0" w14:textId="77777777" w:rsidR="00811745" w:rsidRPr="004A0C12" w:rsidRDefault="00811745" w:rsidP="00811745">
            <w:pPr>
              <w:rPr>
                <w:rFonts w:ascii="Garamond" w:hAnsi="Garamond"/>
                <w:sz w:val="22"/>
                <w:szCs w:val="22"/>
              </w:rPr>
            </w:pPr>
          </w:p>
        </w:tc>
        <w:tc>
          <w:tcPr>
            <w:tcW w:w="2106" w:type="dxa"/>
            <w:noWrap/>
            <w:hideMark/>
          </w:tcPr>
          <w:p w14:paraId="44D6B644" w14:textId="77777777" w:rsidR="00811745" w:rsidRPr="004A0C12" w:rsidRDefault="00811745" w:rsidP="00811745">
            <w:pPr>
              <w:rPr>
                <w:rFonts w:ascii="Garamond" w:hAnsi="Garamond"/>
                <w:sz w:val="22"/>
                <w:szCs w:val="22"/>
              </w:rPr>
            </w:pPr>
          </w:p>
        </w:tc>
        <w:tc>
          <w:tcPr>
            <w:tcW w:w="1810" w:type="dxa"/>
            <w:noWrap/>
            <w:hideMark/>
          </w:tcPr>
          <w:p w14:paraId="7C1B30EE" w14:textId="77777777" w:rsidR="00811745" w:rsidRPr="004A0C12" w:rsidRDefault="00811745" w:rsidP="00811745">
            <w:pPr>
              <w:rPr>
                <w:rFonts w:ascii="Garamond" w:hAnsi="Garamond"/>
                <w:sz w:val="22"/>
                <w:szCs w:val="22"/>
              </w:rPr>
            </w:pPr>
          </w:p>
        </w:tc>
        <w:tc>
          <w:tcPr>
            <w:tcW w:w="1376" w:type="dxa"/>
            <w:noWrap/>
            <w:hideMark/>
          </w:tcPr>
          <w:p w14:paraId="3A311FAF"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099954C5" w14:textId="77777777" w:rsidR="00811745" w:rsidRPr="004A0C12" w:rsidRDefault="00811745" w:rsidP="00811745">
            <w:pPr>
              <w:rPr>
                <w:rFonts w:ascii="Garamond" w:hAnsi="Garamond"/>
                <w:sz w:val="22"/>
                <w:szCs w:val="22"/>
              </w:rPr>
            </w:pPr>
            <w:r w:rsidRPr="004A0C12">
              <w:rPr>
                <w:rFonts w:ascii="Garamond" w:hAnsi="Garamond"/>
                <w:sz w:val="22"/>
                <w:szCs w:val="22"/>
              </w:rPr>
              <w:t>11/22/2013</w:t>
            </w:r>
          </w:p>
        </w:tc>
      </w:tr>
      <w:tr w:rsidR="00811745" w:rsidRPr="004A0C12" w14:paraId="3A7DD736" w14:textId="77777777" w:rsidTr="003865ED">
        <w:trPr>
          <w:trHeight w:val="255"/>
          <w:jc w:val="center"/>
        </w:trPr>
        <w:tc>
          <w:tcPr>
            <w:tcW w:w="10584" w:type="dxa"/>
            <w:gridSpan w:val="6"/>
            <w:noWrap/>
            <w:hideMark/>
          </w:tcPr>
          <w:p w14:paraId="250E8E82" w14:textId="77777777" w:rsidR="00811745" w:rsidRPr="004A0C12" w:rsidRDefault="00811745" w:rsidP="00811745">
            <w:pPr>
              <w:rPr>
                <w:rFonts w:ascii="Garamond" w:hAnsi="Garamond"/>
                <w:sz w:val="22"/>
                <w:szCs w:val="22"/>
              </w:rPr>
            </w:pPr>
          </w:p>
        </w:tc>
      </w:tr>
      <w:tr w:rsidR="00811745" w:rsidRPr="004A0C12" w14:paraId="1014B42E" w14:textId="77777777" w:rsidTr="003865ED">
        <w:trPr>
          <w:trHeight w:val="255"/>
          <w:jc w:val="center"/>
        </w:trPr>
        <w:tc>
          <w:tcPr>
            <w:tcW w:w="2142" w:type="dxa"/>
            <w:noWrap/>
            <w:hideMark/>
          </w:tcPr>
          <w:p w14:paraId="08B5FF1F" w14:textId="77777777" w:rsidR="00811745" w:rsidRPr="004A0C12" w:rsidRDefault="00811745" w:rsidP="00811745">
            <w:pPr>
              <w:rPr>
                <w:rFonts w:ascii="Garamond" w:hAnsi="Garamond"/>
                <w:sz w:val="22"/>
                <w:szCs w:val="22"/>
              </w:rPr>
            </w:pPr>
            <w:r w:rsidRPr="004A0C12">
              <w:rPr>
                <w:rFonts w:ascii="Garamond" w:hAnsi="Garamond"/>
                <w:sz w:val="22"/>
                <w:szCs w:val="22"/>
              </w:rPr>
              <w:t>Deborah Edmonds</w:t>
            </w:r>
          </w:p>
        </w:tc>
        <w:tc>
          <w:tcPr>
            <w:tcW w:w="1530" w:type="dxa"/>
            <w:noWrap/>
            <w:hideMark/>
          </w:tcPr>
          <w:p w14:paraId="49090D32" w14:textId="77777777" w:rsidR="00811745" w:rsidRPr="004A0C12" w:rsidRDefault="00811745" w:rsidP="00811745">
            <w:pPr>
              <w:rPr>
                <w:rFonts w:ascii="Garamond" w:hAnsi="Garamond"/>
                <w:sz w:val="22"/>
                <w:szCs w:val="22"/>
              </w:rPr>
            </w:pPr>
            <w:r w:rsidRPr="004A0C12">
              <w:rPr>
                <w:rFonts w:ascii="Garamond" w:hAnsi="Garamond"/>
                <w:sz w:val="22"/>
                <w:szCs w:val="22"/>
              </w:rPr>
              <w:t>8/12/2009</w:t>
            </w:r>
          </w:p>
        </w:tc>
        <w:tc>
          <w:tcPr>
            <w:tcW w:w="2106" w:type="dxa"/>
            <w:noWrap/>
            <w:hideMark/>
          </w:tcPr>
          <w:p w14:paraId="7B4C1532" w14:textId="77777777" w:rsidR="00811745" w:rsidRPr="004A0C12" w:rsidRDefault="00811745" w:rsidP="00811745">
            <w:pPr>
              <w:rPr>
                <w:rFonts w:ascii="Garamond" w:hAnsi="Garamond"/>
                <w:sz w:val="22"/>
                <w:szCs w:val="22"/>
              </w:rPr>
            </w:pPr>
            <w:r w:rsidRPr="004A0C12">
              <w:rPr>
                <w:rFonts w:ascii="Garamond" w:hAnsi="Garamond"/>
                <w:sz w:val="22"/>
                <w:szCs w:val="22"/>
              </w:rPr>
              <w:t>2/12/2011</w:t>
            </w:r>
          </w:p>
        </w:tc>
        <w:tc>
          <w:tcPr>
            <w:tcW w:w="1810" w:type="dxa"/>
            <w:noWrap/>
            <w:hideMark/>
          </w:tcPr>
          <w:p w14:paraId="30D61DCB"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2141CD8A"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7476E3F9" w14:textId="77777777" w:rsidR="00811745" w:rsidRPr="004A0C12" w:rsidRDefault="00811745" w:rsidP="00811745">
            <w:pPr>
              <w:rPr>
                <w:rFonts w:ascii="Garamond" w:hAnsi="Garamond"/>
                <w:sz w:val="22"/>
                <w:szCs w:val="22"/>
              </w:rPr>
            </w:pPr>
            <w:r w:rsidRPr="004A0C12">
              <w:rPr>
                <w:rFonts w:ascii="Garamond" w:hAnsi="Garamond"/>
                <w:sz w:val="22"/>
                <w:szCs w:val="22"/>
              </w:rPr>
              <w:t>3/26/2010</w:t>
            </w:r>
          </w:p>
        </w:tc>
      </w:tr>
      <w:tr w:rsidR="00811745" w:rsidRPr="004A0C12" w14:paraId="39EAD56B" w14:textId="77777777" w:rsidTr="003865ED">
        <w:trPr>
          <w:trHeight w:val="255"/>
          <w:jc w:val="center"/>
        </w:trPr>
        <w:tc>
          <w:tcPr>
            <w:tcW w:w="2142" w:type="dxa"/>
            <w:noWrap/>
            <w:hideMark/>
          </w:tcPr>
          <w:p w14:paraId="055111C5" w14:textId="77777777" w:rsidR="00811745" w:rsidRPr="004A0C12" w:rsidRDefault="00811745" w:rsidP="00811745">
            <w:pPr>
              <w:rPr>
                <w:rFonts w:ascii="Garamond" w:hAnsi="Garamond"/>
                <w:sz w:val="22"/>
                <w:szCs w:val="22"/>
              </w:rPr>
            </w:pPr>
          </w:p>
        </w:tc>
        <w:tc>
          <w:tcPr>
            <w:tcW w:w="1530" w:type="dxa"/>
            <w:noWrap/>
            <w:hideMark/>
          </w:tcPr>
          <w:p w14:paraId="122369DE" w14:textId="77777777" w:rsidR="00811745" w:rsidRPr="004A0C12" w:rsidRDefault="00811745" w:rsidP="00811745">
            <w:pPr>
              <w:rPr>
                <w:rFonts w:ascii="Garamond" w:hAnsi="Garamond"/>
                <w:sz w:val="22"/>
                <w:szCs w:val="22"/>
              </w:rPr>
            </w:pPr>
          </w:p>
        </w:tc>
        <w:tc>
          <w:tcPr>
            <w:tcW w:w="2106" w:type="dxa"/>
            <w:noWrap/>
            <w:hideMark/>
          </w:tcPr>
          <w:p w14:paraId="73A11F12" w14:textId="77777777" w:rsidR="00811745" w:rsidRPr="004A0C12" w:rsidRDefault="00811745" w:rsidP="00811745">
            <w:pPr>
              <w:rPr>
                <w:rFonts w:ascii="Garamond" w:hAnsi="Garamond"/>
                <w:sz w:val="22"/>
                <w:szCs w:val="22"/>
              </w:rPr>
            </w:pPr>
          </w:p>
        </w:tc>
        <w:tc>
          <w:tcPr>
            <w:tcW w:w="1810" w:type="dxa"/>
            <w:noWrap/>
            <w:hideMark/>
          </w:tcPr>
          <w:p w14:paraId="0731E2F0" w14:textId="77777777" w:rsidR="00811745" w:rsidRPr="004A0C12" w:rsidRDefault="00811745" w:rsidP="00811745">
            <w:pPr>
              <w:rPr>
                <w:rFonts w:ascii="Garamond" w:hAnsi="Garamond"/>
                <w:sz w:val="22"/>
                <w:szCs w:val="22"/>
              </w:rPr>
            </w:pPr>
          </w:p>
        </w:tc>
        <w:tc>
          <w:tcPr>
            <w:tcW w:w="1376" w:type="dxa"/>
            <w:noWrap/>
            <w:hideMark/>
          </w:tcPr>
          <w:p w14:paraId="1FDBCC29" w14:textId="77777777" w:rsidR="00811745" w:rsidRPr="004A0C12" w:rsidRDefault="00811745" w:rsidP="00811745">
            <w:pPr>
              <w:rPr>
                <w:rFonts w:ascii="Garamond" w:hAnsi="Garamond"/>
                <w:sz w:val="22"/>
                <w:szCs w:val="22"/>
              </w:rPr>
            </w:pPr>
            <w:r w:rsidRPr="004A0C12">
              <w:rPr>
                <w:rFonts w:ascii="Garamond" w:hAnsi="Garamond"/>
                <w:sz w:val="22"/>
                <w:szCs w:val="22"/>
              </w:rPr>
              <w:t>PPE</w:t>
            </w:r>
          </w:p>
        </w:tc>
        <w:tc>
          <w:tcPr>
            <w:tcW w:w="1620" w:type="dxa"/>
            <w:noWrap/>
            <w:hideMark/>
          </w:tcPr>
          <w:p w14:paraId="4E33F27F" w14:textId="77777777" w:rsidR="00811745" w:rsidRPr="004A0C12" w:rsidRDefault="00811745" w:rsidP="00811745">
            <w:pPr>
              <w:rPr>
                <w:rFonts w:ascii="Garamond" w:hAnsi="Garamond"/>
                <w:sz w:val="22"/>
                <w:szCs w:val="22"/>
              </w:rPr>
            </w:pPr>
            <w:r w:rsidRPr="004A0C12">
              <w:rPr>
                <w:rFonts w:ascii="Garamond" w:hAnsi="Garamond"/>
                <w:sz w:val="22"/>
                <w:szCs w:val="22"/>
              </w:rPr>
              <w:t>5/28/2010</w:t>
            </w:r>
          </w:p>
        </w:tc>
      </w:tr>
      <w:tr w:rsidR="00811745" w:rsidRPr="004A0C12" w14:paraId="7FF46462" w14:textId="77777777" w:rsidTr="003865ED">
        <w:trPr>
          <w:trHeight w:val="255"/>
          <w:jc w:val="center"/>
        </w:trPr>
        <w:tc>
          <w:tcPr>
            <w:tcW w:w="10584" w:type="dxa"/>
            <w:gridSpan w:val="6"/>
            <w:noWrap/>
            <w:hideMark/>
          </w:tcPr>
          <w:p w14:paraId="010A3734" w14:textId="77777777" w:rsidR="00811745" w:rsidRPr="004A0C12" w:rsidRDefault="00811745" w:rsidP="00811745">
            <w:pPr>
              <w:rPr>
                <w:rFonts w:ascii="Garamond" w:hAnsi="Garamond"/>
                <w:sz w:val="22"/>
                <w:szCs w:val="22"/>
              </w:rPr>
            </w:pPr>
          </w:p>
        </w:tc>
      </w:tr>
      <w:tr w:rsidR="00811745" w:rsidRPr="004A0C12" w14:paraId="7BD1413D" w14:textId="77777777" w:rsidTr="003865ED">
        <w:trPr>
          <w:trHeight w:val="255"/>
          <w:jc w:val="center"/>
        </w:trPr>
        <w:tc>
          <w:tcPr>
            <w:tcW w:w="2142" w:type="dxa"/>
            <w:noWrap/>
            <w:hideMark/>
          </w:tcPr>
          <w:p w14:paraId="5DBC0108" w14:textId="77777777" w:rsidR="00811745" w:rsidRPr="004A0C12" w:rsidRDefault="00811745" w:rsidP="00811745">
            <w:pPr>
              <w:rPr>
                <w:rFonts w:ascii="Garamond" w:hAnsi="Garamond"/>
                <w:sz w:val="22"/>
                <w:szCs w:val="22"/>
              </w:rPr>
            </w:pPr>
            <w:r w:rsidRPr="004A0C12">
              <w:rPr>
                <w:rFonts w:ascii="Garamond" w:hAnsi="Garamond"/>
                <w:sz w:val="22"/>
                <w:szCs w:val="22"/>
              </w:rPr>
              <w:t>Sharon Egerson</w:t>
            </w:r>
          </w:p>
        </w:tc>
        <w:tc>
          <w:tcPr>
            <w:tcW w:w="1530" w:type="dxa"/>
            <w:noWrap/>
            <w:hideMark/>
          </w:tcPr>
          <w:p w14:paraId="108077D6" w14:textId="77777777" w:rsidR="00811745" w:rsidRPr="004A0C12" w:rsidRDefault="00811745" w:rsidP="00811745">
            <w:pPr>
              <w:rPr>
                <w:rFonts w:ascii="Garamond" w:hAnsi="Garamond"/>
                <w:sz w:val="22"/>
                <w:szCs w:val="22"/>
              </w:rPr>
            </w:pPr>
            <w:r w:rsidRPr="004A0C12">
              <w:rPr>
                <w:rFonts w:ascii="Garamond" w:hAnsi="Garamond"/>
                <w:sz w:val="22"/>
                <w:szCs w:val="22"/>
              </w:rPr>
              <w:t>12/4/2013</w:t>
            </w:r>
          </w:p>
        </w:tc>
        <w:tc>
          <w:tcPr>
            <w:tcW w:w="2106" w:type="dxa"/>
            <w:noWrap/>
            <w:hideMark/>
          </w:tcPr>
          <w:p w14:paraId="2B81FDBF" w14:textId="77777777" w:rsidR="00811745" w:rsidRPr="004A0C12" w:rsidRDefault="00811745" w:rsidP="00811745">
            <w:pPr>
              <w:rPr>
                <w:rFonts w:ascii="Garamond" w:hAnsi="Garamond"/>
                <w:sz w:val="22"/>
                <w:szCs w:val="22"/>
              </w:rPr>
            </w:pPr>
            <w:r w:rsidRPr="004A0C12">
              <w:rPr>
                <w:rFonts w:ascii="Garamond" w:hAnsi="Garamond"/>
                <w:sz w:val="22"/>
                <w:szCs w:val="22"/>
              </w:rPr>
              <w:t>6/4/2015</w:t>
            </w:r>
          </w:p>
        </w:tc>
        <w:tc>
          <w:tcPr>
            <w:tcW w:w="1810" w:type="dxa"/>
            <w:noWrap/>
            <w:hideMark/>
          </w:tcPr>
          <w:p w14:paraId="34F05A49"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03C46A74"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2134A601" w14:textId="77777777" w:rsidR="00811745" w:rsidRPr="004A0C12" w:rsidRDefault="00811745" w:rsidP="00811745">
            <w:pPr>
              <w:rPr>
                <w:rFonts w:ascii="Garamond" w:hAnsi="Garamond"/>
                <w:sz w:val="22"/>
                <w:szCs w:val="22"/>
              </w:rPr>
            </w:pPr>
            <w:r w:rsidRPr="004A0C12">
              <w:rPr>
                <w:rFonts w:ascii="Garamond" w:hAnsi="Garamond"/>
                <w:sz w:val="22"/>
                <w:szCs w:val="22"/>
              </w:rPr>
              <w:t>7/25/2014</w:t>
            </w:r>
          </w:p>
        </w:tc>
      </w:tr>
      <w:tr w:rsidR="00811745" w:rsidRPr="004A0C12" w14:paraId="045274C7" w14:textId="77777777" w:rsidTr="003865ED">
        <w:trPr>
          <w:trHeight w:val="255"/>
          <w:jc w:val="center"/>
        </w:trPr>
        <w:tc>
          <w:tcPr>
            <w:tcW w:w="2142" w:type="dxa"/>
            <w:noWrap/>
            <w:hideMark/>
          </w:tcPr>
          <w:p w14:paraId="25C0A8F0" w14:textId="77777777" w:rsidR="00811745" w:rsidRPr="004A0C12" w:rsidRDefault="00811745" w:rsidP="00811745">
            <w:pPr>
              <w:rPr>
                <w:rFonts w:ascii="Garamond" w:hAnsi="Garamond"/>
                <w:sz w:val="22"/>
                <w:szCs w:val="22"/>
              </w:rPr>
            </w:pPr>
          </w:p>
        </w:tc>
        <w:tc>
          <w:tcPr>
            <w:tcW w:w="1530" w:type="dxa"/>
            <w:noWrap/>
            <w:hideMark/>
          </w:tcPr>
          <w:p w14:paraId="6B1DC8B1" w14:textId="77777777" w:rsidR="00811745" w:rsidRPr="004A0C12" w:rsidRDefault="00811745" w:rsidP="00811745">
            <w:pPr>
              <w:rPr>
                <w:rFonts w:ascii="Garamond" w:hAnsi="Garamond"/>
                <w:sz w:val="22"/>
                <w:szCs w:val="22"/>
              </w:rPr>
            </w:pPr>
          </w:p>
        </w:tc>
        <w:tc>
          <w:tcPr>
            <w:tcW w:w="2106" w:type="dxa"/>
            <w:noWrap/>
            <w:hideMark/>
          </w:tcPr>
          <w:p w14:paraId="70A90F68" w14:textId="77777777" w:rsidR="00811745" w:rsidRPr="004A0C12" w:rsidRDefault="00811745" w:rsidP="00811745">
            <w:pPr>
              <w:rPr>
                <w:rFonts w:ascii="Garamond" w:hAnsi="Garamond"/>
                <w:sz w:val="22"/>
                <w:szCs w:val="22"/>
              </w:rPr>
            </w:pPr>
          </w:p>
        </w:tc>
        <w:tc>
          <w:tcPr>
            <w:tcW w:w="1810" w:type="dxa"/>
            <w:noWrap/>
            <w:hideMark/>
          </w:tcPr>
          <w:p w14:paraId="20C0F235" w14:textId="77777777" w:rsidR="00811745" w:rsidRPr="004A0C12" w:rsidRDefault="00811745" w:rsidP="00811745">
            <w:pPr>
              <w:rPr>
                <w:rFonts w:ascii="Garamond" w:hAnsi="Garamond"/>
                <w:sz w:val="22"/>
                <w:szCs w:val="22"/>
              </w:rPr>
            </w:pPr>
          </w:p>
        </w:tc>
        <w:tc>
          <w:tcPr>
            <w:tcW w:w="1376" w:type="dxa"/>
            <w:noWrap/>
            <w:hideMark/>
          </w:tcPr>
          <w:p w14:paraId="2518A49C"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3D6FC7D8" w14:textId="77777777" w:rsidR="00811745" w:rsidRPr="004A0C12" w:rsidRDefault="00811745" w:rsidP="00811745">
            <w:pPr>
              <w:rPr>
                <w:rFonts w:ascii="Garamond" w:hAnsi="Garamond"/>
                <w:sz w:val="22"/>
                <w:szCs w:val="22"/>
              </w:rPr>
            </w:pPr>
            <w:r w:rsidRPr="004A0C12">
              <w:rPr>
                <w:rFonts w:ascii="Garamond" w:hAnsi="Garamond"/>
                <w:sz w:val="22"/>
                <w:szCs w:val="22"/>
              </w:rPr>
              <w:t>8/1/2014</w:t>
            </w:r>
          </w:p>
        </w:tc>
      </w:tr>
      <w:tr w:rsidR="00811745" w:rsidRPr="004A0C12" w14:paraId="1723BA1E" w14:textId="77777777" w:rsidTr="003865ED">
        <w:trPr>
          <w:trHeight w:val="255"/>
          <w:jc w:val="center"/>
        </w:trPr>
        <w:tc>
          <w:tcPr>
            <w:tcW w:w="10584" w:type="dxa"/>
            <w:gridSpan w:val="6"/>
            <w:noWrap/>
            <w:hideMark/>
          </w:tcPr>
          <w:p w14:paraId="6A569875" w14:textId="77777777" w:rsidR="00811745" w:rsidRPr="004A0C12" w:rsidRDefault="00811745" w:rsidP="00811745">
            <w:pPr>
              <w:rPr>
                <w:rFonts w:ascii="Garamond" w:hAnsi="Garamond"/>
                <w:sz w:val="22"/>
                <w:szCs w:val="22"/>
              </w:rPr>
            </w:pPr>
          </w:p>
        </w:tc>
      </w:tr>
      <w:tr w:rsidR="00811745" w:rsidRPr="004A0C12" w14:paraId="52736605" w14:textId="77777777" w:rsidTr="003865ED">
        <w:trPr>
          <w:trHeight w:val="255"/>
          <w:jc w:val="center"/>
        </w:trPr>
        <w:tc>
          <w:tcPr>
            <w:tcW w:w="2142" w:type="dxa"/>
            <w:noWrap/>
            <w:hideMark/>
          </w:tcPr>
          <w:p w14:paraId="50A7BCCE" w14:textId="77777777" w:rsidR="00811745" w:rsidRPr="004A0C12" w:rsidRDefault="00811745" w:rsidP="00811745">
            <w:pPr>
              <w:rPr>
                <w:rFonts w:ascii="Garamond" w:hAnsi="Garamond"/>
                <w:sz w:val="22"/>
                <w:szCs w:val="22"/>
              </w:rPr>
            </w:pPr>
            <w:r w:rsidRPr="004A0C12">
              <w:rPr>
                <w:rFonts w:ascii="Garamond" w:hAnsi="Garamond"/>
                <w:sz w:val="22"/>
                <w:szCs w:val="22"/>
              </w:rPr>
              <w:t>Tyrone Finney</w:t>
            </w:r>
          </w:p>
        </w:tc>
        <w:tc>
          <w:tcPr>
            <w:tcW w:w="1530" w:type="dxa"/>
            <w:noWrap/>
            <w:hideMark/>
          </w:tcPr>
          <w:p w14:paraId="4E03159C" w14:textId="77777777" w:rsidR="00811745" w:rsidRPr="004A0C12" w:rsidRDefault="00811745" w:rsidP="00811745">
            <w:pPr>
              <w:rPr>
                <w:rFonts w:ascii="Garamond" w:hAnsi="Garamond"/>
                <w:sz w:val="22"/>
                <w:szCs w:val="22"/>
              </w:rPr>
            </w:pPr>
            <w:r w:rsidRPr="004A0C12">
              <w:rPr>
                <w:rFonts w:ascii="Garamond" w:hAnsi="Garamond"/>
                <w:sz w:val="22"/>
                <w:szCs w:val="22"/>
              </w:rPr>
              <w:t>5/30/2012</w:t>
            </w:r>
          </w:p>
        </w:tc>
        <w:tc>
          <w:tcPr>
            <w:tcW w:w="2106" w:type="dxa"/>
            <w:noWrap/>
            <w:hideMark/>
          </w:tcPr>
          <w:p w14:paraId="6760D54A" w14:textId="77777777" w:rsidR="00811745" w:rsidRPr="004A0C12" w:rsidRDefault="00811745" w:rsidP="00811745">
            <w:pPr>
              <w:rPr>
                <w:rFonts w:ascii="Garamond" w:hAnsi="Garamond"/>
                <w:sz w:val="22"/>
                <w:szCs w:val="22"/>
              </w:rPr>
            </w:pPr>
            <w:r w:rsidRPr="004A0C12">
              <w:rPr>
                <w:rFonts w:ascii="Garamond" w:hAnsi="Garamond"/>
                <w:sz w:val="22"/>
                <w:szCs w:val="22"/>
              </w:rPr>
              <w:t>11/30/2013</w:t>
            </w:r>
          </w:p>
        </w:tc>
        <w:tc>
          <w:tcPr>
            <w:tcW w:w="1810" w:type="dxa"/>
            <w:noWrap/>
            <w:hideMark/>
          </w:tcPr>
          <w:p w14:paraId="08E36D00"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17D948CF"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05CADC55" w14:textId="77777777" w:rsidR="00811745" w:rsidRPr="004A0C12" w:rsidRDefault="00811745" w:rsidP="00811745">
            <w:pPr>
              <w:rPr>
                <w:rFonts w:ascii="Garamond" w:hAnsi="Garamond"/>
                <w:sz w:val="22"/>
                <w:szCs w:val="22"/>
              </w:rPr>
            </w:pPr>
            <w:r w:rsidRPr="004A0C12">
              <w:rPr>
                <w:rFonts w:ascii="Garamond" w:hAnsi="Garamond"/>
                <w:sz w:val="22"/>
                <w:szCs w:val="22"/>
              </w:rPr>
              <w:t>3/30/2007</w:t>
            </w:r>
          </w:p>
        </w:tc>
      </w:tr>
      <w:tr w:rsidR="00811745" w:rsidRPr="004A0C12" w14:paraId="4D994927" w14:textId="77777777" w:rsidTr="003865ED">
        <w:trPr>
          <w:trHeight w:val="255"/>
          <w:jc w:val="center"/>
        </w:trPr>
        <w:tc>
          <w:tcPr>
            <w:tcW w:w="2142" w:type="dxa"/>
            <w:noWrap/>
            <w:hideMark/>
          </w:tcPr>
          <w:p w14:paraId="301DB00C" w14:textId="77777777" w:rsidR="00811745" w:rsidRPr="004A0C12" w:rsidRDefault="00811745" w:rsidP="00811745">
            <w:pPr>
              <w:rPr>
                <w:rFonts w:ascii="Garamond" w:hAnsi="Garamond"/>
                <w:sz w:val="22"/>
                <w:szCs w:val="22"/>
              </w:rPr>
            </w:pPr>
          </w:p>
        </w:tc>
        <w:tc>
          <w:tcPr>
            <w:tcW w:w="1530" w:type="dxa"/>
            <w:noWrap/>
            <w:hideMark/>
          </w:tcPr>
          <w:p w14:paraId="7DF79B37" w14:textId="77777777" w:rsidR="00811745" w:rsidRPr="004A0C12" w:rsidRDefault="00811745" w:rsidP="00811745">
            <w:pPr>
              <w:rPr>
                <w:rFonts w:ascii="Garamond" w:hAnsi="Garamond"/>
                <w:sz w:val="22"/>
                <w:szCs w:val="22"/>
              </w:rPr>
            </w:pPr>
          </w:p>
        </w:tc>
        <w:tc>
          <w:tcPr>
            <w:tcW w:w="2106" w:type="dxa"/>
            <w:noWrap/>
            <w:hideMark/>
          </w:tcPr>
          <w:p w14:paraId="1F0A8B89" w14:textId="77777777" w:rsidR="00811745" w:rsidRPr="004A0C12" w:rsidRDefault="00811745" w:rsidP="00811745">
            <w:pPr>
              <w:rPr>
                <w:rFonts w:ascii="Garamond" w:hAnsi="Garamond"/>
                <w:sz w:val="22"/>
                <w:szCs w:val="22"/>
              </w:rPr>
            </w:pPr>
          </w:p>
        </w:tc>
        <w:tc>
          <w:tcPr>
            <w:tcW w:w="1810" w:type="dxa"/>
            <w:noWrap/>
            <w:hideMark/>
          </w:tcPr>
          <w:p w14:paraId="7297D8AA" w14:textId="77777777" w:rsidR="00811745" w:rsidRPr="004A0C12" w:rsidRDefault="00811745" w:rsidP="00811745">
            <w:pPr>
              <w:rPr>
                <w:rFonts w:ascii="Garamond" w:hAnsi="Garamond"/>
                <w:sz w:val="22"/>
                <w:szCs w:val="22"/>
              </w:rPr>
            </w:pPr>
          </w:p>
        </w:tc>
        <w:tc>
          <w:tcPr>
            <w:tcW w:w="1376" w:type="dxa"/>
            <w:noWrap/>
            <w:hideMark/>
          </w:tcPr>
          <w:p w14:paraId="465FE00D"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67233AF2" w14:textId="77777777" w:rsidR="00811745" w:rsidRPr="004A0C12" w:rsidRDefault="00811745" w:rsidP="00811745">
            <w:pPr>
              <w:rPr>
                <w:rFonts w:ascii="Garamond" w:hAnsi="Garamond"/>
                <w:sz w:val="22"/>
                <w:szCs w:val="22"/>
              </w:rPr>
            </w:pPr>
            <w:r w:rsidRPr="004A0C12">
              <w:rPr>
                <w:rFonts w:ascii="Garamond" w:hAnsi="Garamond"/>
                <w:sz w:val="22"/>
                <w:szCs w:val="22"/>
              </w:rPr>
              <w:t>2/8/2008</w:t>
            </w:r>
          </w:p>
        </w:tc>
      </w:tr>
      <w:tr w:rsidR="00811745" w:rsidRPr="004A0C12" w14:paraId="2C7FA42C" w14:textId="77777777" w:rsidTr="003865ED">
        <w:trPr>
          <w:trHeight w:val="255"/>
          <w:jc w:val="center"/>
        </w:trPr>
        <w:tc>
          <w:tcPr>
            <w:tcW w:w="2142" w:type="dxa"/>
            <w:noWrap/>
            <w:hideMark/>
          </w:tcPr>
          <w:p w14:paraId="0C9844F2" w14:textId="77777777" w:rsidR="00811745" w:rsidRPr="004A0C12" w:rsidRDefault="00811745" w:rsidP="00811745">
            <w:pPr>
              <w:rPr>
                <w:rFonts w:ascii="Garamond" w:hAnsi="Garamond"/>
                <w:sz w:val="22"/>
                <w:szCs w:val="22"/>
              </w:rPr>
            </w:pPr>
          </w:p>
        </w:tc>
        <w:tc>
          <w:tcPr>
            <w:tcW w:w="1530" w:type="dxa"/>
            <w:noWrap/>
            <w:hideMark/>
          </w:tcPr>
          <w:p w14:paraId="4899C158" w14:textId="77777777" w:rsidR="00811745" w:rsidRPr="004A0C12" w:rsidRDefault="00811745" w:rsidP="00811745">
            <w:pPr>
              <w:rPr>
                <w:rFonts w:ascii="Garamond" w:hAnsi="Garamond"/>
                <w:sz w:val="22"/>
                <w:szCs w:val="22"/>
              </w:rPr>
            </w:pPr>
          </w:p>
        </w:tc>
        <w:tc>
          <w:tcPr>
            <w:tcW w:w="2106" w:type="dxa"/>
            <w:noWrap/>
            <w:hideMark/>
          </w:tcPr>
          <w:p w14:paraId="4D9B271B" w14:textId="77777777" w:rsidR="00811745" w:rsidRPr="004A0C12" w:rsidRDefault="00811745" w:rsidP="00811745">
            <w:pPr>
              <w:rPr>
                <w:rFonts w:ascii="Garamond" w:hAnsi="Garamond"/>
                <w:sz w:val="22"/>
                <w:szCs w:val="22"/>
              </w:rPr>
            </w:pPr>
          </w:p>
        </w:tc>
        <w:tc>
          <w:tcPr>
            <w:tcW w:w="1810" w:type="dxa"/>
            <w:noWrap/>
            <w:hideMark/>
          </w:tcPr>
          <w:p w14:paraId="5438245A" w14:textId="77777777" w:rsidR="00811745" w:rsidRPr="004A0C12" w:rsidRDefault="00811745" w:rsidP="00811745">
            <w:pPr>
              <w:rPr>
                <w:rFonts w:ascii="Garamond" w:hAnsi="Garamond"/>
                <w:sz w:val="22"/>
                <w:szCs w:val="22"/>
              </w:rPr>
            </w:pPr>
          </w:p>
        </w:tc>
        <w:tc>
          <w:tcPr>
            <w:tcW w:w="1376" w:type="dxa"/>
            <w:noWrap/>
            <w:hideMark/>
          </w:tcPr>
          <w:p w14:paraId="08D77FF8" w14:textId="77777777" w:rsidR="00811745" w:rsidRPr="004A0C12" w:rsidRDefault="00811745" w:rsidP="00811745">
            <w:pPr>
              <w:rPr>
                <w:rFonts w:ascii="Garamond" w:hAnsi="Garamond"/>
                <w:sz w:val="22"/>
                <w:szCs w:val="22"/>
              </w:rPr>
            </w:pPr>
            <w:r w:rsidRPr="004A0C12">
              <w:rPr>
                <w:rFonts w:ascii="Garamond" w:hAnsi="Garamond"/>
                <w:sz w:val="22"/>
                <w:szCs w:val="22"/>
              </w:rPr>
              <w:t>PPE</w:t>
            </w:r>
          </w:p>
        </w:tc>
        <w:tc>
          <w:tcPr>
            <w:tcW w:w="1620" w:type="dxa"/>
            <w:noWrap/>
            <w:hideMark/>
          </w:tcPr>
          <w:p w14:paraId="4E54F674" w14:textId="77777777" w:rsidR="00811745" w:rsidRPr="004A0C12" w:rsidRDefault="00811745" w:rsidP="00811745">
            <w:pPr>
              <w:rPr>
                <w:rFonts w:ascii="Garamond" w:hAnsi="Garamond"/>
                <w:sz w:val="22"/>
                <w:szCs w:val="22"/>
              </w:rPr>
            </w:pPr>
            <w:r w:rsidRPr="004A0C12">
              <w:rPr>
                <w:rFonts w:ascii="Garamond" w:hAnsi="Garamond"/>
                <w:sz w:val="22"/>
                <w:szCs w:val="22"/>
              </w:rPr>
              <w:t>4/12/2103</w:t>
            </w:r>
          </w:p>
        </w:tc>
      </w:tr>
      <w:tr w:rsidR="00811745" w:rsidRPr="004A0C12" w14:paraId="59600314" w14:textId="77777777" w:rsidTr="003865ED">
        <w:trPr>
          <w:trHeight w:val="255"/>
          <w:jc w:val="center"/>
        </w:trPr>
        <w:tc>
          <w:tcPr>
            <w:tcW w:w="10584" w:type="dxa"/>
            <w:gridSpan w:val="6"/>
            <w:noWrap/>
            <w:hideMark/>
          </w:tcPr>
          <w:p w14:paraId="37C9F245" w14:textId="77777777" w:rsidR="00811745" w:rsidRPr="004A0C12" w:rsidRDefault="00811745" w:rsidP="00811745">
            <w:pPr>
              <w:rPr>
                <w:rFonts w:ascii="Garamond" w:hAnsi="Garamond"/>
                <w:sz w:val="22"/>
                <w:szCs w:val="22"/>
              </w:rPr>
            </w:pPr>
          </w:p>
        </w:tc>
      </w:tr>
      <w:tr w:rsidR="00811745" w:rsidRPr="004A0C12" w14:paraId="35A72CF7" w14:textId="77777777" w:rsidTr="003865ED">
        <w:trPr>
          <w:trHeight w:val="255"/>
          <w:jc w:val="center"/>
        </w:trPr>
        <w:tc>
          <w:tcPr>
            <w:tcW w:w="2142" w:type="dxa"/>
            <w:noWrap/>
            <w:hideMark/>
          </w:tcPr>
          <w:p w14:paraId="5362F114" w14:textId="77777777" w:rsidR="00811745" w:rsidRPr="004A0C12" w:rsidRDefault="00811745" w:rsidP="00811745">
            <w:pPr>
              <w:rPr>
                <w:rFonts w:ascii="Garamond" w:hAnsi="Garamond"/>
                <w:sz w:val="22"/>
                <w:szCs w:val="22"/>
              </w:rPr>
            </w:pPr>
            <w:r w:rsidRPr="004A0C12">
              <w:rPr>
                <w:rFonts w:ascii="Garamond" w:hAnsi="Garamond"/>
                <w:sz w:val="22"/>
                <w:szCs w:val="22"/>
              </w:rPr>
              <w:t>George Hawley</w:t>
            </w:r>
          </w:p>
        </w:tc>
        <w:tc>
          <w:tcPr>
            <w:tcW w:w="1530" w:type="dxa"/>
            <w:noWrap/>
            <w:hideMark/>
          </w:tcPr>
          <w:p w14:paraId="15C76BCD" w14:textId="77777777" w:rsidR="00811745" w:rsidRPr="004A0C12" w:rsidRDefault="00811745" w:rsidP="00811745">
            <w:pPr>
              <w:rPr>
                <w:rFonts w:ascii="Garamond" w:hAnsi="Garamond"/>
                <w:sz w:val="22"/>
                <w:szCs w:val="22"/>
              </w:rPr>
            </w:pPr>
            <w:r w:rsidRPr="004A0C12">
              <w:rPr>
                <w:rFonts w:ascii="Garamond" w:hAnsi="Garamond"/>
                <w:sz w:val="22"/>
                <w:szCs w:val="22"/>
              </w:rPr>
              <w:t>5/27/2015</w:t>
            </w:r>
          </w:p>
        </w:tc>
        <w:tc>
          <w:tcPr>
            <w:tcW w:w="2106" w:type="dxa"/>
            <w:noWrap/>
            <w:hideMark/>
          </w:tcPr>
          <w:p w14:paraId="1E7F61A7" w14:textId="77777777" w:rsidR="00811745" w:rsidRPr="004A0C12" w:rsidRDefault="00811745" w:rsidP="00811745">
            <w:pPr>
              <w:rPr>
                <w:rFonts w:ascii="Garamond" w:hAnsi="Garamond"/>
                <w:sz w:val="22"/>
                <w:szCs w:val="22"/>
              </w:rPr>
            </w:pPr>
            <w:r w:rsidRPr="004A0C12">
              <w:rPr>
                <w:rFonts w:ascii="Garamond" w:hAnsi="Garamond"/>
                <w:sz w:val="22"/>
                <w:szCs w:val="22"/>
              </w:rPr>
              <w:t>11/27/2016</w:t>
            </w:r>
          </w:p>
        </w:tc>
        <w:tc>
          <w:tcPr>
            <w:tcW w:w="1810" w:type="dxa"/>
            <w:noWrap/>
            <w:hideMark/>
          </w:tcPr>
          <w:p w14:paraId="17D216C4"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71C02189"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72D377C8" w14:textId="77777777" w:rsidR="00811745" w:rsidRPr="004A0C12" w:rsidRDefault="00811745" w:rsidP="00811745">
            <w:pPr>
              <w:rPr>
                <w:rFonts w:ascii="Garamond" w:hAnsi="Garamond"/>
                <w:sz w:val="22"/>
                <w:szCs w:val="22"/>
              </w:rPr>
            </w:pPr>
            <w:r w:rsidRPr="004A0C12">
              <w:rPr>
                <w:rFonts w:ascii="Garamond" w:hAnsi="Garamond"/>
                <w:sz w:val="22"/>
                <w:szCs w:val="22"/>
              </w:rPr>
              <w:t>12/11/2015</w:t>
            </w:r>
          </w:p>
        </w:tc>
      </w:tr>
      <w:tr w:rsidR="00811745" w:rsidRPr="004A0C12" w14:paraId="051AEDB0" w14:textId="77777777" w:rsidTr="003865ED">
        <w:trPr>
          <w:trHeight w:val="255"/>
          <w:jc w:val="center"/>
        </w:trPr>
        <w:tc>
          <w:tcPr>
            <w:tcW w:w="2142" w:type="dxa"/>
            <w:noWrap/>
            <w:hideMark/>
          </w:tcPr>
          <w:p w14:paraId="6974DC90" w14:textId="77777777" w:rsidR="00811745" w:rsidRPr="004A0C12" w:rsidRDefault="00811745" w:rsidP="00811745">
            <w:pPr>
              <w:rPr>
                <w:rFonts w:ascii="Garamond" w:hAnsi="Garamond"/>
                <w:sz w:val="22"/>
                <w:szCs w:val="22"/>
              </w:rPr>
            </w:pPr>
          </w:p>
        </w:tc>
        <w:tc>
          <w:tcPr>
            <w:tcW w:w="1530" w:type="dxa"/>
            <w:noWrap/>
            <w:hideMark/>
          </w:tcPr>
          <w:p w14:paraId="433E828A" w14:textId="77777777" w:rsidR="00811745" w:rsidRPr="004A0C12" w:rsidRDefault="00811745" w:rsidP="00811745">
            <w:pPr>
              <w:rPr>
                <w:rFonts w:ascii="Garamond" w:hAnsi="Garamond"/>
                <w:sz w:val="22"/>
                <w:szCs w:val="22"/>
              </w:rPr>
            </w:pPr>
          </w:p>
        </w:tc>
        <w:tc>
          <w:tcPr>
            <w:tcW w:w="2106" w:type="dxa"/>
            <w:noWrap/>
            <w:hideMark/>
          </w:tcPr>
          <w:p w14:paraId="5022B622" w14:textId="77777777" w:rsidR="00811745" w:rsidRPr="004A0C12" w:rsidRDefault="00811745" w:rsidP="00811745">
            <w:pPr>
              <w:rPr>
                <w:rFonts w:ascii="Garamond" w:hAnsi="Garamond"/>
                <w:sz w:val="22"/>
                <w:szCs w:val="22"/>
              </w:rPr>
            </w:pPr>
          </w:p>
        </w:tc>
        <w:tc>
          <w:tcPr>
            <w:tcW w:w="1810" w:type="dxa"/>
            <w:noWrap/>
            <w:hideMark/>
          </w:tcPr>
          <w:p w14:paraId="5EB21390" w14:textId="77777777" w:rsidR="00811745" w:rsidRPr="004A0C12" w:rsidRDefault="00811745" w:rsidP="00811745">
            <w:pPr>
              <w:rPr>
                <w:rFonts w:ascii="Garamond" w:hAnsi="Garamond"/>
                <w:sz w:val="22"/>
                <w:szCs w:val="22"/>
              </w:rPr>
            </w:pPr>
          </w:p>
        </w:tc>
        <w:tc>
          <w:tcPr>
            <w:tcW w:w="1376" w:type="dxa"/>
            <w:noWrap/>
            <w:hideMark/>
          </w:tcPr>
          <w:p w14:paraId="70A553A6" w14:textId="77777777" w:rsidR="00811745" w:rsidRPr="004A0C12" w:rsidRDefault="00811745" w:rsidP="00811745">
            <w:pPr>
              <w:rPr>
                <w:rFonts w:ascii="Garamond" w:hAnsi="Garamond"/>
                <w:sz w:val="22"/>
                <w:szCs w:val="22"/>
              </w:rPr>
            </w:pPr>
            <w:r w:rsidRPr="004A0C12">
              <w:rPr>
                <w:rFonts w:ascii="Garamond" w:hAnsi="Garamond"/>
                <w:sz w:val="22"/>
                <w:szCs w:val="22"/>
              </w:rPr>
              <w:t>EO</w:t>
            </w:r>
          </w:p>
        </w:tc>
        <w:tc>
          <w:tcPr>
            <w:tcW w:w="1620" w:type="dxa"/>
            <w:noWrap/>
            <w:hideMark/>
          </w:tcPr>
          <w:p w14:paraId="11870D6E" w14:textId="77777777" w:rsidR="00811745" w:rsidRPr="004A0C12" w:rsidRDefault="00811745" w:rsidP="00811745">
            <w:pPr>
              <w:rPr>
                <w:rFonts w:ascii="Garamond" w:hAnsi="Garamond"/>
                <w:sz w:val="22"/>
                <w:szCs w:val="22"/>
              </w:rPr>
            </w:pPr>
            <w:r w:rsidRPr="004A0C12">
              <w:rPr>
                <w:rFonts w:ascii="Garamond" w:hAnsi="Garamond"/>
                <w:sz w:val="22"/>
                <w:szCs w:val="22"/>
              </w:rPr>
              <w:t xml:space="preserve"> </w:t>
            </w:r>
          </w:p>
        </w:tc>
      </w:tr>
      <w:tr w:rsidR="00811745" w:rsidRPr="004A0C12" w14:paraId="7860B128" w14:textId="77777777" w:rsidTr="003865ED">
        <w:trPr>
          <w:trHeight w:val="255"/>
          <w:jc w:val="center"/>
        </w:trPr>
        <w:tc>
          <w:tcPr>
            <w:tcW w:w="10584" w:type="dxa"/>
            <w:gridSpan w:val="6"/>
            <w:noWrap/>
            <w:hideMark/>
          </w:tcPr>
          <w:p w14:paraId="751D194E" w14:textId="77777777" w:rsidR="00811745" w:rsidRPr="004A0C12" w:rsidRDefault="00811745" w:rsidP="00811745">
            <w:pPr>
              <w:rPr>
                <w:rFonts w:ascii="Garamond" w:hAnsi="Garamond"/>
                <w:sz w:val="22"/>
                <w:szCs w:val="22"/>
              </w:rPr>
            </w:pPr>
          </w:p>
        </w:tc>
      </w:tr>
      <w:tr w:rsidR="00811745" w:rsidRPr="004A0C12" w14:paraId="7AD126DE" w14:textId="77777777" w:rsidTr="003865ED">
        <w:trPr>
          <w:trHeight w:val="255"/>
          <w:jc w:val="center"/>
        </w:trPr>
        <w:tc>
          <w:tcPr>
            <w:tcW w:w="2142" w:type="dxa"/>
            <w:noWrap/>
            <w:hideMark/>
          </w:tcPr>
          <w:p w14:paraId="3079340F" w14:textId="77777777" w:rsidR="00811745" w:rsidRPr="004A0C12" w:rsidRDefault="00811745" w:rsidP="00811745">
            <w:pPr>
              <w:rPr>
                <w:rFonts w:ascii="Garamond" w:hAnsi="Garamond"/>
                <w:sz w:val="22"/>
                <w:szCs w:val="22"/>
              </w:rPr>
            </w:pPr>
            <w:r w:rsidRPr="004A0C12">
              <w:rPr>
                <w:rFonts w:ascii="Garamond" w:hAnsi="Garamond"/>
                <w:sz w:val="22"/>
                <w:szCs w:val="22"/>
              </w:rPr>
              <w:t>Monique Hawley</w:t>
            </w:r>
          </w:p>
        </w:tc>
        <w:tc>
          <w:tcPr>
            <w:tcW w:w="1530" w:type="dxa"/>
            <w:noWrap/>
            <w:hideMark/>
          </w:tcPr>
          <w:p w14:paraId="34CEE5E9" w14:textId="77777777" w:rsidR="00811745" w:rsidRPr="004A0C12" w:rsidRDefault="00811745" w:rsidP="00811745">
            <w:pPr>
              <w:rPr>
                <w:rFonts w:ascii="Garamond" w:hAnsi="Garamond"/>
                <w:sz w:val="22"/>
                <w:szCs w:val="22"/>
              </w:rPr>
            </w:pPr>
            <w:r w:rsidRPr="004A0C12">
              <w:rPr>
                <w:rFonts w:ascii="Garamond" w:hAnsi="Garamond"/>
                <w:sz w:val="22"/>
                <w:szCs w:val="22"/>
              </w:rPr>
              <w:t>10/16/2013</w:t>
            </w:r>
          </w:p>
        </w:tc>
        <w:tc>
          <w:tcPr>
            <w:tcW w:w="2106" w:type="dxa"/>
            <w:noWrap/>
            <w:hideMark/>
          </w:tcPr>
          <w:p w14:paraId="0056F9E9" w14:textId="77777777" w:rsidR="00811745" w:rsidRPr="004A0C12" w:rsidRDefault="00811745" w:rsidP="00811745">
            <w:pPr>
              <w:rPr>
                <w:rFonts w:ascii="Garamond" w:hAnsi="Garamond"/>
                <w:sz w:val="22"/>
                <w:szCs w:val="22"/>
              </w:rPr>
            </w:pPr>
            <w:r w:rsidRPr="004A0C12">
              <w:rPr>
                <w:rFonts w:ascii="Garamond" w:hAnsi="Garamond"/>
                <w:sz w:val="22"/>
                <w:szCs w:val="22"/>
              </w:rPr>
              <w:t>4/16/2015</w:t>
            </w:r>
          </w:p>
        </w:tc>
        <w:tc>
          <w:tcPr>
            <w:tcW w:w="1810" w:type="dxa"/>
            <w:noWrap/>
            <w:hideMark/>
          </w:tcPr>
          <w:p w14:paraId="23BE0017"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4B163EC9"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2F73715F" w14:textId="77777777" w:rsidR="00811745" w:rsidRPr="004A0C12" w:rsidRDefault="00811745" w:rsidP="00811745">
            <w:pPr>
              <w:rPr>
                <w:rFonts w:ascii="Garamond" w:hAnsi="Garamond"/>
                <w:sz w:val="22"/>
                <w:szCs w:val="22"/>
              </w:rPr>
            </w:pPr>
            <w:r w:rsidRPr="004A0C12">
              <w:rPr>
                <w:rFonts w:ascii="Garamond" w:hAnsi="Garamond"/>
                <w:sz w:val="22"/>
                <w:szCs w:val="22"/>
              </w:rPr>
              <w:t>7/18/2014</w:t>
            </w:r>
          </w:p>
        </w:tc>
      </w:tr>
      <w:tr w:rsidR="00811745" w:rsidRPr="004A0C12" w14:paraId="1E47DC15" w14:textId="77777777" w:rsidTr="003865ED">
        <w:trPr>
          <w:trHeight w:val="255"/>
          <w:jc w:val="center"/>
        </w:trPr>
        <w:tc>
          <w:tcPr>
            <w:tcW w:w="2142" w:type="dxa"/>
            <w:noWrap/>
            <w:hideMark/>
          </w:tcPr>
          <w:p w14:paraId="44CD1F4A" w14:textId="77777777" w:rsidR="00811745" w:rsidRPr="004A0C12" w:rsidRDefault="00811745" w:rsidP="00811745">
            <w:pPr>
              <w:rPr>
                <w:rFonts w:ascii="Garamond" w:hAnsi="Garamond"/>
                <w:sz w:val="22"/>
                <w:szCs w:val="22"/>
              </w:rPr>
            </w:pPr>
          </w:p>
        </w:tc>
        <w:tc>
          <w:tcPr>
            <w:tcW w:w="1530" w:type="dxa"/>
            <w:noWrap/>
            <w:hideMark/>
          </w:tcPr>
          <w:p w14:paraId="0C36317A" w14:textId="77777777" w:rsidR="00811745" w:rsidRPr="004A0C12" w:rsidRDefault="00811745" w:rsidP="00811745">
            <w:pPr>
              <w:rPr>
                <w:rFonts w:ascii="Garamond" w:hAnsi="Garamond"/>
                <w:sz w:val="22"/>
                <w:szCs w:val="22"/>
              </w:rPr>
            </w:pPr>
          </w:p>
        </w:tc>
        <w:tc>
          <w:tcPr>
            <w:tcW w:w="2106" w:type="dxa"/>
            <w:noWrap/>
            <w:hideMark/>
          </w:tcPr>
          <w:p w14:paraId="1614D5C3" w14:textId="77777777" w:rsidR="00811745" w:rsidRPr="004A0C12" w:rsidRDefault="00811745" w:rsidP="00811745">
            <w:pPr>
              <w:rPr>
                <w:rFonts w:ascii="Garamond" w:hAnsi="Garamond"/>
                <w:sz w:val="22"/>
                <w:szCs w:val="22"/>
              </w:rPr>
            </w:pPr>
          </w:p>
        </w:tc>
        <w:tc>
          <w:tcPr>
            <w:tcW w:w="1810" w:type="dxa"/>
            <w:noWrap/>
            <w:hideMark/>
          </w:tcPr>
          <w:p w14:paraId="38595569" w14:textId="77777777" w:rsidR="00811745" w:rsidRPr="004A0C12" w:rsidRDefault="00811745" w:rsidP="00811745">
            <w:pPr>
              <w:rPr>
                <w:rFonts w:ascii="Garamond" w:hAnsi="Garamond"/>
                <w:sz w:val="22"/>
                <w:szCs w:val="22"/>
              </w:rPr>
            </w:pPr>
          </w:p>
        </w:tc>
        <w:tc>
          <w:tcPr>
            <w:tcW w:w="1376" w:type="dxa"/>
            <w:noWrap/>
            <w:hideMark/>
          </w:tcPr>
          <w:p w14:paraId="562E6021"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4C2ABAAA" w14:textId="77777777" w:rsidR="00811745" w:rsidRPr="004A0C12" w:rsidRDefault="00811745" w:rsidP="00811745">
            <w:pPr>
              <w:rPr>
                <w:rFonts w:ascii="Garamond" w:hAnsi="Garamond"/>
                <w:sz w:val="22"/>
                <w:szCs w:val="22"/>
              </w:rPr>
            </w:pPr>
            <w:r w:rsidRPr="004A0C12">
              <w:rPr>
                <w:rFonts w:ascii="Garamond" w:hAnsi="Garamond"/>
                <w:sz w:val="22"/>
                <w:szCs w:val="22"/>
              </w:rPr>
              <w:t>8/15/2014</w:t>
            </w:r>
          </w:p>
        </w:tc>
      </w:tr>
      <w:tr w:rsidR="00811745" w:rsidRPr="004A0C12" w14:paraId="46023EE3" w14:textId="77777777" w:rsidTr="003865ED">
        <w:trPr>
          <w:trHeight w:val="255"/>
          <w:jc w:val="center"/>
        </w:trPr>
        <w:tc>
          <w:tcPr>
            <w:tcW w:w="10584" w:type="dxa"/>
            <w:gridSpan w:val="6"/>
            <w:noWrap/>
            <w:hideMark/>
          </w:tcPr>
          <w:p w14:paraId="45D2E0AE" w14:textId="77777777" w:rsidR="00811745" w:rsidRPr="004A0C12" w:rsidRDefault="00811745" w:rsidP="00811745">
            <w:pPr>
              <w:rPr>
                <w:rFonts w:ascii="Garamond" w:hAnsi="Garamond"/>
                <w:sz w:val="22"/>
                <w:szCs w:val="22"/>
              </w:rPr>
            </w:pPr>
          </w:p>
        </w:tc>
      </w:tr>
      <w:tr w:rsidR="00811745" w:rsidRPr="004A0C12" w14:paraId="7ED4D801" w14:textId="77777777" w:rsidTr="003865ED">
        <w:trPr>
          <w:trHeight w:val="255"/>
          <w:jc w:val="center"/>
        </w:trPr>
        <w:tc>
          <w:tcPr>
            <w:tcW w:w="2142" w:type="dxa"/>
            <w:noWrap/>
            <w:hideMark/>
          </w:tcPr>
          <w:p w14:paraId="5F3375D6" w14:textId="77777777" w:rsidR="00811745" w:rsidRPr="004A0C12" w:rsidRDefault="00811745" w:rsidP="00811745">
            <w:pPr>
              <w:rPr>
                <w:rFonts w:ascii="Garamond" w:hAnsi="Garamond"/>
                <w:sz w:val="22"/>
                <w:szCs w:val="22"/>
              </w:rPr>
            </w:pPr>
            <w:r w:rsidRPr="004A0C12">
              <w:rPr>
                <w:rFonts w:ascii="Garamond" w:hAnsi="Garamond"/>
                <w:sz w:val="22"/>
                <w:szCs w:val="22"/>
              </w:rPr>
              <w:t>Gregory Ingram</w:t>
            </w:r>
          </w:p>
        </w:tc>
        <w:tc>
          <w:tcPr>
            <w:tcW w:w="1530" w:type="dxa"/>
            <w:noWrap/>
            <w:hideMark/>
          </w:tcPr>
          <w:p w14:paraId="543C77BF" w14:textId="77777777" w:rsidR="00811745" w:rsidRPr="004A0C12" w:rsidRDefault="00811745" w:rsidP="00811745">
            <w:pPr>
              <w:rPr>
                <w:rFonts w:ascii="Garamond" w:hAnsi="Garamond"/>
                <w:sz w:val="22"/>
                <w:szCs w:val="22"/>
              </w:rPr>
            </w:pPr>
            <w:r w:rsidRPr="004A0C12">
              <w:rPr>
                <w:rFonts w:ascii="Garamond" w:hAnsi="Garamond"/>
                <w:sz w:val="22"/>
                <w:szCs w:val="22"/>
              </w:rPr>
              <w:t>10/1/2014</w:t>
            </w:r>
          </w:p>
        </w:tc>
        <w:tc>
          <w:tcPr>
            <w:tcW w:w="2106" w:type="dxa"/>
            <w:noWrap/>
            <w:hideMark/>
          </w:tcPr>
          <w:p w14:paraId="2ECAAE88" w14:textId="77777777" w:rsidR="00811745" w:rsidRPr="004A0C12" w:rsidRDefault="00811745" w:rsidP="00811745">
            <w:pPr>
              <w:rPr>
                <w:rFonts w:ascii="Garamond" w:hAnsi="Garamond"/>
                <w:sz w:val="22"/>
                <w:szCs w:val="22"/>
              </w:rPr>
            </w:pPr>
            <w:r w:rsidRPr="004A0C12">
              <w:rPr>
                <w:rFonts w:ascii="Garamond" w:hAnsi="Garamond"/>
                <w:sz w:val="22"/>
                <w:szCs w:val="22"/>
              </w:rPr>
              <w:t>4/1/2016</w:t>
            </w:r>
          </w:p>
        </w:tc>
        <w:tc>
          <w:tcPr>
            <w:tcW w:w="1810" w:type="dxa"/>
            <w:noWrap/>
            <w:hideMark/>
          </w:tcPr>
          <w:p w14:paraId="30967092"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166970BA"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66164152" w14:textId="77777777" w:rsidR="00811745" w:rsidRPr="004A0C12" w:rsidRDefault="00811745" w:rsidP="00811745">
            <w:pPr>
              <w:rPr>
                <w:rFonts w:ascii="Garamond" w:hAnsi="Garamond"/>
                <w:sz w:val="22"/>
                <w:szCs w:val="22"/>
              </w:rPr>
            </w:pPr>
            <w:r w:rsidRPr="004A0C12">
              <w:rPr>
                <w:rFonts w:ascii="Garamond" w:hAnsi="Garamond"/>
                <w:sz w:val="22"/>
                <w:szCs w:val="22"/>
              </w:rPr>
              <w:t>4/17/2015</w:t>
            </w:r>
          </w:p>
        </w:tc>
      </w:tr>
      <w:tr w:rsidR="00811745" w:rsidRPr="004A0C12" w14:paraId="7D70699E" w14:textId="77777777" w:rsidTr="003865ED">
        <w:trPr>
          <w:trHeight w:val="255"/>
          <w:jc w:val="center"/>
        </w:trPr>
        <w:tc>
          <w:tcPr>
            <w:tcW w:w="2142" w:type="dxa"/>
            <w:noWrap/>
            <w:hideMark/>
          </w:tcPr>
          <w:p w14:paraId="466F89CF" w14:textId="77777777" w:rsidR="00811745" w:rsidRPr="004A0C12" w:rsidRDefault="00811745" w:rsidP="00811745">
            <w:pPr>
              <w:rPr>
                <w:rFonts w:ascii="Garamond" w:hAnsi="Garamond"/>
                <w:sz w:val="22"/>
                <w:szCs w:val="22"/>
              </w:rPr>
            </w:pPr>
          </w:p>
        </w:tc>
        <w:tc>
          <w:tcPr>
            <w:tcW w:w="1530" w:type="dxa"/>
            <w:noWrap/>
            <w:hideMark/>
          </w:tcPr>
          <w:p w14:paraId="4006B62C" w14:textId="77777777" w:rsidR="00811745" w:rsidRPr="004A0C12" w:rsidRDefault="00811745" w:rsidP="00811745">
            <w:pPr>
              <w:rPr>
                <w:rFonts w:ascii="Garamond" w:hAnsi="Garamond"/>
                <w:sz w:val="22"/>
                <w:szCs w:val="22"/>
              </w:rPr>
            </w:pPr>
          </w:p>
        </w:tc>
        <w:tc>
          <w:tcPr>
            <w:tcW w:w="2106" w:type="dxa"/>
            <w:noWrap/>
            <w:hideMark/>
          </w:tcPr>
          <w:p w14:paraId="5C878602" w14:textId="77777777" w:rsidR="00811745" w:rsidRPr="004A0C12" w:rsidRDefault="00811745" w:rsidP="00811745">
            <w:pPr>
              <w:rPr>
                <w:rFonts w:ascii="Garamond" w:hAnsi="Garamond"/>
                <w:sz w:val="22"/>
                <w:szCs w:val="22"/>
              </w:rPr>
            </w:pPr>
          </w:p>
        </w:tc>
        <w:tc>
          <w:tcPr>
            <w:tcW w:w="1810" w:type="dxa"/>
            <w:noWrap/>
            <w:hideMark/>
          </w:tcPr>
          <w:p w14:paraId="562CD444" w14:textId="77777777" w:rsidR="00811745" w:rsidRPr="004A0C12" w:rsidRDefault="00811745" w:rsidP="00811745">
            <w:pPr>
              <w:rPr>
                <w:rFonts w:ascii="Garamond" w:hAnsi="Garamond"/>
                <w:sz w:val="22"/>
                <w:szCs w:val="22"/>
              </w:rPr>
            </w:pPr>
          </w:p>
        </w:tc>
        <w:tc>
          <w:tcPr>
            <w:tcW w:w="1376" w:type="dxa"/>
            <w:noWrap/>
            <w:hideMark/>
          </w:tcPr>
          <w:p w14:paraId="10D810DE"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4C0BD829" w14:textId="77777777" w:rsidR="00811745" w:rsidRPr="004A0C12" w:rsidRDefault="00811745" w:rsidP="00811745">
            <w:pPr>
              <w:rPr>
                <w:rFonts w:ascii="Garamond" w:hAnsi="Garamond"/>
                <w:sz w:val="22"/>
                <w:szCs w:val="22"/>
              </w:rPr>
            </w:pPr>
            <w:r w:rsidRPr="004A0C12">
              <w:rPr>
                <w:rFonts w:ascii="Garamond" w:hAnsi="Garamond"/>
                <w:sz w:val="22"/>
                <w:szCs w:val="22"/>
              </w:rPr>
              <w:t>6/12/2015</w:t>
            </w:r>
          </w:p>
        </w:tc>
      </w:tr>
      <w:tr w:rsidR="00811745" w:rsidRPr="004A0C12" w14:paraId="3AEC2FB1" w14:textId="77777777" w:rsidTr="003865ED">
        <w:trPr>
          <w:trHeight w:val="255"/>
          <w:jc w:val="center"/>
        </w:trPr>
        <w:tc>
          <w:tcPr>
            <w:tcW w:w="10584" w:type="dxa"/>
            <w:gridSpan w:val="6"/>
            <w:noWrap/>
            <w:hideMark/>
          </w:tcPr>
          <w:p w14:paraId="5C90D299" w14:textId="77777777" w:rsidR="00811745" w:rsidRPr="004A0C12" w:rsidRDefault="00811745" w:rsidP="00811745">
            <w:pPr>
              <w:rPr>
                <w:rFonts w:ascii="Garamond" w:hAnsi="Garamond"/>
                <w:sz w:val="22"/>
                <w:szCs w:val="22"/>
              </w:rPr>
            </w:pPr>
          </w:p>
        </w:tc>
      </w:tr>
      <w:tr w:rsidR="00811745" w:rsidRPr="004A0C12" w14:paraId="7F6AD432" w14:textId="77777777" w:rsidTr="003865ED">
        <w:trPr>
          <w:trHeight w:val="255"/>
          <w:jc w:val="center"/>
        </w:trPr>
        <w:tc>
          <w:tcPr>
            <w:tcW w:w="2142" w:type="dxa"/>
            <w:noWrap/>
            <w:hideMark/>
          </w:tcPr>
          <w:p w14:paraId="11EE79A9" w14:textId="77777777" w:rsidR="00811745" w:rsidRPr="004A0C12" w:rsidRDefault="00811745" w:rsidP="00811745">
            <w:pPr>
              <w:rPr>
                <w:rFonts w:ascii="Garamond" w:hAnsi="Garamond"/>
                <w:sz w:val="22"/>
                <w:szCs w:val="22"/>
              </w:rPr>
            </w:pPr>
            <w:r w:rsidRPr="004A0C12">
              <w:rPr>
                <w:rFonts w:ascii="Garamond" w:hAnsi="Garamond"/>
                <w:sz w:val="22"/>
                <w:szCs w:val="22"/>
              </w:rPr>
              <w:t>Tonya Johnson-Spratley</w:t>
            </w:r>
          </w:p>
        </w:tc>
        <w:tc>
          <w:tcPr>
            <w:tcW w:w="1530" w:type="dxa"/>
            <w:noWrap/>
            <w:hideMark/>
          </w:tcPr>
          <w:p w14:paraId="04BE1281" w14:textId="77777777" w:rsidR="00811745" w:rsidRPr="004A0C12" w:rsidRDefault="00811745" w:rsidP="00811745">
            <w:pPr>
              <w:rPr>
                <w:rFonts w:ascii="Garamond" w:hAnsi="Garamond"/>
                <w:sz w:val="22"/>
                <w:szCs w:val="22"/>
              </w:rPr>
            </w:pPr>
            <w:r w:rsidRPr="004A0C12">
              <w:rPr>
                <w:rFonts w:ascii="Garamond" w:hAnsi="Garamond"/>
                <w:sz w:val="22"/>
                <w:szCs w:val="22"/>
              </w:rPr>
              <w:t>10/16/2013</w:t>
            </w:r>
          </w:p>
        </w:tc>
        <w:tc>
          <w:tcPr>
            <w:tcW w:w="2106" w:type="dxa"/>
            <w:noWrap/>
            <w:hideMark/>
          </w:tcPr>
          <w:p w14:paraId="0AD884A1" w14:textId="77777777" w:rsidR="00811745" w:rsidRPr="004A0C12" w:rsidRDefault="00811745" w:rsidP="00811745">
            <w:pPr>
              <w:rPr>
                <w:rFonts w:ascii="Garamond" w:hAnsi="Garamond"/>
                <w:sz w:val="22"/>
                <w:szCs w:val="22"/>
              </w:rPr>
            </w:pPr>
            <w:r w:rsidRPr="004A0C12">
              <w:rPr>
                <w:rFonts w:ascii="Garamond" w:hAnsi="Garamond"/>
                <w:sz w:val="22"/>
                <w:szCs w:val="22"/>
              </w:rPr>
              <w:t>4/16/2015</w:t>
            </w:r>
          </w:p>
        </w:tc>
        <w:tc>
          <w:tcPr>
            <w:tcW w:w="1810" w:type="dxa"/>
            <w:noWrap/>
            <w:hideMark/>
          </w:tcPr>
          <w:p w14:paraId="2F64DCF2"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4B7CFC31"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14E3BA32" w14:textId="77777777" w:rsidR="00811745" w:rsidRPr="004A0C12" w:rsidRDefault="00811745" w:rsidP="00811745">
            <w:pPr>
              <w:rPr>
                <w:rFonts w:ascii="Garamond" w:hAnsi="Garamond"/>
                <w:sz w:val="22"/>
                <w:szCs w:val="22"/>
              </w:rPr>
            </w:pPr>
            <w:r w:rsidRPr="004A0C12">
              <w:rPr>
                <w:rFonts w:ascii="Garamond" w:hAnsi="Garamond"/>
                <w:sz w:val="22"/>
                <w:szCs w:val="22"/>
              </w:rPr>
              <w:t>1/30/2015</w:t>
            </w:r>
          </w:p>
        </w:tc>
      </w:tr>
      <w:tr w:rsidR="00811745" w:rsidRPr="004A0C12" w14:paraId="6B0060C5" w14:textId="77777777" w:rsidTr="003865ED">
        <w:trPr>
          <w:trHeight w:val="255"/>
          <w:jc w:val="center"/>
        </w:trPr>
        <w:tc>
          <w:tcPr>
            <w:tcW w:w="2142" w:type="dxa"/>
            <w:noWrap/>
            <w:hideMark/>
          </w:tcPr>
          <w:p w14:paraId="405B7FAB" w14:textId="77777777" w:rsidR="00811745" w:rsidRPr="004A0C12" w:rsidRDefault="00811745" w:rsidP="00811745">
            <w:pPr>
              <w:rPr>
                <w:rFonts w:ascii="Garamond" w:hAnsi="Garamond"/>
                <w:sz w:val="22"/>
                <w:szCs w:val="22"/>
              </w:rPr>
            </w:pPr>
          </w:p>
        </w:tc>
        <w:tc>
          <w:tcPr>
            <w:tcW w:w="1530" w:type="dxa"/>
            <w:noWrap/>
            <w:hideMark/>
          </w:tcPr>
          <w:p w14:paraId="113DA68E" w14:textId="77777777" w:rsidR="00811745" w:rsidRPr="004A0C12" w:rsidRDefault="00811745" w:rsidP="00811745">
            <w:pPr>
              <w:rPr>
                <w:rFonts w:ascii="Garamond" w:hAnsi="Garamond"/>
                <w:sz w:val="22"/>
                <w:szCs w:val="22"/>
              </w:rPr>
            </w:pPr>
          </w:p>
        </w:tc>
        <w:tc>
          <w:tcPr>
            <w:tcW w:w="2106" w:type="dxa"/>
            <w:noWrap/>
            <w:hideMark/>
          </w:tcPr>
          <w:p w14:paraId="052B4A7D" w14:textId="77777777" w:rsidR="00811745" w:rsidRPr="004A0C12" w:rsidRDefault="00811745" w:rsidP="00811745">
            <w:pPr>
              <w:rPr>
                <w:rFonts w:ascii="Garamond" w:hAnsi="Garamond"/>
                <w:sz w:val="22"/>
                <w:szCs w:val="22"/>
              </w:rPr>
            </w:pPr>
          </w:p>
        </w:tc>
        <w:tc>
          <w:tcPr>
            <w:tcW w:w="1810" w:type="dxa"/>
            <w:noWrap/>
            <w:hideMark/>
          </w:tcPr>
          <w:p w14:paraId="68D55A06" w14:textId="77777777" w:rsidR="00811745" w:rsidRPr="004A0C12" w:rsidRDefault="00811745" w:rsidP="00811745">
            <w:pPr>
              <w:rPr>
                <w:rFonts w:ascii="Garamond" w:hAnsi="Garamond"/>
                <w:sz w:val="22"/>
                <w:szCs w:val="22"/>
              </w:rPr>
            </w:pPr>
          </w:p>
        </w:tc>
        <w:tc>
          <w:tcPr>
            <w:tcW w:w="1376" w:type="dxa"/>
            <w:noWrap/>
            <w:hideMark/>
          </w:tcPr>
          <w:p w14:paraId="5BEB965C"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77F41CC3" w14:textId="77777777" w:rsidR="00811745" w:rsidRPr="004A0C12" w:rsidRDefault="00811745" w:rsidP="00811745">
            <w:pPr>
              <w:rPr>
                <w:rFonts w:ascii="Garamond" w:hAnsi="Garamond"/>
                <w:sz w:val="22"/>
                <w:szCs w:val="22"/>
              </w:rPr>
            </w:pPr>
            <w:r w:rsidRPr="004A0C12">
              <w:rPr>
                <w:rFonts w:ascii="Garamond" w:hAnsi="Garamond"/>
                <w:sz w:val="22"/>
                <w:szCs w:val="22"/>
              </w:rPr>
              <w:t>2/27/2015</w:t>
            </w:r>
          </w:p>
        </w:tc>
      </w:tr>
      <w:tr w:rsidR="00811745" w:rsidRPr="004A0C12" w14:paraId="30446DD2" w14:textId="77777777" w:rsidTr="003865ED">
        <w:trPr>
          <w:trHeight w:val="255"/>
          <w:jc w:val="center"/>
        </w:trPr>
        <w:tc>
          <w:tcPr>
            <w:tcW w:w="10584" w:type="dxa"/>
            <w:gridSpan w:val="6"/>
            <w:noWrap/>
            <w:hideMark/>
          </w:tcPr>
          <w:p w14:paraId="088D500B" w14:textId="77777777" w:rsidR="00811745" w:rsidRPr="004A0C12" w:rsidRDefault="00811745" w:rsidP="00811745">
            <w:pPr>
              <w:rPr>
                <w:rFonts w:ascii="Garamond" w:hAnsi="Garamond"/>
                <w:sz w:val="22"/>
                <w:szCs w:val="22"/>
              </w:rPr>
            </w:pPr>
          </w:p>
        </w:tc>
      </w:tr>
      <w:tr w:rsidR="00811745" w:rsidRPr="004A0C12" w14:paraId="0B2658E0" w14:textId="77777777" w:rsidTr="003865ED">
        <w:trPr>
          <w:trHeight w:val="255"/>
          <w:jc w:val="center"/>
        </w:trPr>
        <w:tc>
          <w:tcPr>
            <w:tcW w:w="2142" w:type="dxa"/>
            <w:noWrap/>
            <w:hideMark/>
          </w:tcPr>
          <w:p w14:paraId="4C35D121" w14:textId="77777777" w:rsidR="00811745" w:rsidRPr="004A0C12" w:rsidRDefault="00811745" w:rsidP="00811745">
            <w:pPr>
              <w:rPr>
                <w:rFonts w:ascii="Garamond" w:hAnsi="Garamond"/>
                <w:sz w:val="22"/>
                <w:szCs w:val="22"/>
              </w:rPr>
            </w:pPr>
            <w:r w:rsidRPr="004A0C12">
              <w:rPr>
                <w:rFonts w:ascii="Garamond" w:hAnsi="Garamond"/>
                <w:sz w:val="22"/>
                <w:szCs w:val="22"/>
              </w:rPr>
              <w:t>Orion Jones</w:t>
            </w:r>
          </w:p>
        </w:tc>
        <w:tc>
          <w:tcPr>
            <w:tcW w:w="1530" w:type="dxa"/>
            <w:noWrap/>
            <w:hideMark/>
          </w:tcPr>
          <w:p w14:paraId="47A4AF89" w14:textId="77777777" w:rsidR="00811745" w:rsidRPr="004A0C12" w:rsidRDefault="00811745" w:rsidP="00811745">
            <w:pPr>
              <w:rPr>
                <w:rFonts w:ascii="Garamond" w:hAnsi="Garamond"/>
                <w:sz w:val="22"/>
                <w:szCs w:val="22"/>
              </w:rPr>
            </w:pPr>
            <w:r w:rsidRPr="004A0C12">
              <w:rPr>
                <w:rFonts w:ascii="Garamond" w:hAnsi="Garamond"/>
                <w:sz w:val="22"/>
                <w:szCs w:val="22"/>
              </w:rPr>
              <w:t>4/12/2006</w:t>
            </w:r>
          </w:p>
        </w:tc>
        <w:tc>
          <w:tcPr>
            <w:tcW w:w="2106" w:type="dxa"/>
            <w:noWrap/>
            <w:hideMark/>
          </w:tcPr>
          <w:p w14:paraId="13EEFEBA" w14:textId="77777777" w:rsidR="00811745" w:rsidRPr="004A0C12" w:rsidRDefault="00811745" w:rsidP="00811745">
            <w:pPr>
              <w:rPr>
                <w:rFonts w:ascii="Garamond" w:hAnsi="Garamond"/>
                <w:sz w:val="22"/>
                <w:szCs w:val="22"/>
              </w:rPr>
            </w:pPr>
            <w:r w:rsidRPr="004A0C12">
              <w:rPr>
                <w:rFonts w:ascii="Garamond" w:hAnsi="Garamond"/>
                <w:sz w:val="22"/>
                <w:szCs w:val="22"/>
              </w:rPr>
              <w:t>10/12/2007</w:t>
            </w:r>
          </w:p>
        </w:tc>
        <w:tc>
          <w:tcPr>
            <w:tcW w:w="1810" w:type="dxa"/>
            <w:noWrap/>
            <w:hideMark/>
          </w:tcPr>
          <w:p w14:paraId="52AEE4E2"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1A8F9E9A"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12C42E06" w14:textId="77777777" w:rsidR="00811745" w:rsidRPr="004A0C12" w:rsidRDefault="00811745" w:rsidP="00811745">
            <w:pPr>
              <w:rPr>
                <w:rFonts w:ascii="Garamond" w:hAnsi="Garamond"/>
                <w:sz w:val="22"/>
                <w:szCs w:val="22"/>
              </w:rPr>
            </w:pPr>
            <w:r w:rsidRPr="004A0C12">
              <w:rPr>
                <w:rFonts w:ascii="Garamond" w:hAnsi="Garamond"/>
                <w:sz w:val="22"/>
                <w:szCs w:val="22"/>
              </w:rPr>
              <w:t>10/20/2006</w:t>
            </w:r>
          </w:p>
        </w:tc>
      </w:tr>
      <w:tr w:rsidR="00811745" w:rsidRPr="004A0C12" w14:paraId="6331A3BA" w14:textId="77777777" w:rsidTr="003865ED">
        <w:trPr>
          <w:trHeight w:val="255"/>
          <w:jc w:val="center"/>
        </w:trPr>
        <w:tc>
          <w:tcPr>
            <w:tcW w:w="2142" w:type="dxa"/>
            <w:noWrap/>
            <w:hideMark/>
          </w:tcPr>
          <w:p w14:paraId="592C41CB" w14:textId="77777777" w:rsidR="00811745" w:rsidRPr="004A0C12" w:rsidRDefault="00811745" w:rsidP="00811745">
            <w:pPr>
              <w:rPr>
                <w:rFonts w:ascii="Garamond" w:hAnsi="Garamond"/>
                <w:sz w:val="22"/>
                <w:szCs w:val="22"/>
              </w:rPr>
            </w:pPr>
          </w:p>
        </w:tc>
        <w:tc>
          <w:tcPr>
            <w:tcW w:w="1530" w:type="dxa"/>
            <w:noWrap/>
            <w:hideMark/>
          </w:tcPr>
          <w:p w14:paraId="11E50056" w14:textId="77777777" w:rsidR="00811745" w:rsidRPr="004A0C12" w:rsidRDefault="00811745" w:rsidP="00811745">
            <w:pPr>
              <w:rPr>
                <w:rFonts w:ascii="Garamond" w:hAnsi="Garamond"/>
                <w:sz w:val="22"/>
                <w:szCs w:val="22"/>
              </w:rPr>
            </w:pPr>
          </w:p>
        </w:tc>
        <w:tc>
          <w:tcPr>
            <w:tcW w:w="2106" w:type="dxa"/>
            <w:noWrap/>
            <w:hideMark/>
          </w:tcPr>
          <w:p w14:paraId="194A92D3" w14:textId="77777777" w:rsidR="00811745" w:rsidRPr="004A0C12" w:rsidRDefault="00811745" w:rsidP="00811745">
            <w:pPr>
              <w:rPr>
                <w:rFonts w:ascii="Garamond" w:hAnsi="Garamond"/>
                <w:sz w:val="22"/>
                <w:szCs w:val="22"/>
              </w:rPr>
            </w:pPr>
          </w:p>
        </w:tc>
        <w:tc>
          <w:tcPr>
            <w:tcW w:w="1810" w:type="dxa"/>
            <w:noWrap/>
            <w:hideMark/>
          </w:tcPr>
          <w:p w14:paraId="5CEF693D" w14:textId="77777777" w:rsidR="00811745" w:rsidRPr="004A0C12" w:rsidRDefault="00811745" w:rsidP="00811745">
            <w:pPr>
              <w:rPr>
                <w:rFonts w:ascii="Garamond" w:hAnsi="Garamond"/>
                <w:sz w:val="22"/>
                <w:szCs w:val="22"/>
              </w:rPr>
            </w:pPr>
          </w:p>
        </w:tc>
        <w:tc>
          <w:tcPr>
            <w:tcW w:w="1376" w:type="dxa"/>
            <w:noWrap/>
            <w:hideMark/>
          </w:tcPr>
          <w:p w14:paraId="67A53907"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4889A2A6" w14:textId="77777777" w:rsidR="00811745" w:rsidRPr="004A0C12" w:rsidRDefault="00811745" w:rsidP="00811745">
            <w:pPr>
              <w:rPr>
                <w:rFonts w:ascii="Garamond" w:hAnsi="Garamond"/>
                <w:sz w:val="22"/>
                <w:szCs w:val="22"/>
              </w:rPr>
            </w:pPr>
            <w:r w:rsidRPr="004A0C12">
              <w:rPr>
                <w:rFonts w:ascii="Garamond" w:hAnsi="Garamond"/>
                <w:sz w:val="22"/>
                <w:szCs w:val="22"/>
              </w:rPr>
              <w:t>7/27/2007</w:t>
            </w:r>
          </w:p>
        </w:tc>
      </w:tr>
      <w:tr w:rsidR="00811745" w:rsidRPr="004A0C12" w14:paraId="2BF2382F" w14:textId="77777777" w:rsidTr="003865ED">
        <w:trPr>
          <w:trHeight w:val="255"/>
          <w:jc w:val="center"/>
        </w:trPr>
        <w:tc>
          <w:tcPr>
            <w:tcW w:w="10584" w:type="dxa"/>
            <w:gridSpan w:val="6"/>
            <w:noWrap/>
            <w:hideMark/>
          </w:tcPr>
          <w:p w14:paraId="02630638" w14:textId="77777777" w:rsidR="00811745" w:rsidRPr="004A0C12" w:rsidRDefault="00811745" w:rsidP="00811745">
            <w:pPr>
              <w:rPr>
                <w:rFonts w:ascii="Garamond" w:hAnsi="Garamond"/>
                <w:sz w:val="22"/>
                <w:szCs w:val="22"/>
              </w:rPr>
            </w:pPr>
          </w:p>
        </w:tc>
      </w:tr>
      <w:tr w:rsidR="00811745" w:rsidRPr="004A0C12" w14:paraId="5FDE8BB9" w14:textId="77777777" w:rsidTr="003865ED">
        <w:trPr>
          <w:trHeight w:val="255"/>
          <w:jc w:val="center"/>
        </w:trPr>
        <w:tc>
          <w:tcPr>
            <w:tcW w:w="2142" w:type="dxa"/>
            <w:noWrap/>
            <w:hideMark/>
          </w:tcPr>
          <w:p w14:paraId="06623281" w14:textId="77777777" w:rsidR="00811745" w:rsidRPr="004A0C12" w:rsidRDefault="00811745" w:rsidP="00811745">
            <w:pPr>
              <w:rPr>
                <w:rFonts w:ascii="Garamond" w:hAnsi="Garamond"/>
                <w:sz w:val="22"/>
                <w:szCs w:val="22"/>
              </w:rPr>
            </w:pPr>
            <w:r w:rsidRPr="004A0C12">
              <w:rPr>
                <w:rFonts w:ascii="Garamond" w:hAnsi="Garamond"/>
                <w:sz w:val="22"/>
                <w:szCs w:val="22"/>
              </w:rPr>
              <w:t>Roslyn Jones</w:t>
            </w:r>
          </w:p>
        </w:tc>
        <w:tc>
          <w:tcPr>
            <w:tcW w:w="1530" w:type="dxa"/>
            <w:noWrap/>
            <w:hideMark/>
          </w:tcPr>
          <w:p w14:paraId="003837AA" w14:textId="77777777" w:rsidR="00811745" w:rsidRPr="004A0C12" w:rsidRDefault="00811745" w:rsidP="00811745">
            <w:pPr>
              <w:rPr>
                <w:rFonts w:ascii="Garamond" w:hAnsi="Garamond"/>
                <w:sz w:val="22"/>
                <w:szCs w:val="22"/>
              </w:rPr>
            </w:pPr>
            <w:r w:rsidRPr="004A0C12">
              <w:rPr>
                <w:rFonts w:ascii="Garamond" w:hAnsi="Garamond"/>
                <w:sz w:val="22"/>
                <w:szCs w:val="22"/>
              </w:rPr>
              <w:t>10/1/2014</w:t>
            </w:r>
          </w:p>
        </w:tc>
        <w:tc>
          <w:tcPr>
            <w:tcW w:w="2106" w:type="dxa"/>
            <w:noWrap/>
            <w:hideMark/>
          </w:tcPr>
          <w:p w14:paraId="07BC1C19" w14:textId="77777777" w:rsidR="00811745" w:rsidRPr="004A0C12" w:rsidRDefault="00811745" w:rsidP="00811745">
            <w:pPr>
              <w:rPr>
                <w:rFonts w:ascii="Garamond" w:hAnsi="Garamond"/>
                <w:sz w:val="22"/>
                <w:szCs w:val="22"/>
              </w:rPr>
            </w:pPr>
            <w:r w:rsidRPr="004A0C12">
              <w:rPr>
                <w:rFonts w:ascii="Garamond" w:hAnsi="Garamond"/>
                <w:sz w:val="22"/>
                <w:szCs w:val="22"/>
              </w:rPr>
              <w:t>4/1/2016</w:t>
            </w:r>
          </w:p>
        </w:tc>
        <w:tc>
          <w:tcPr>
            <w:tcW w:w="1810" w:type="dxa"/>
            <w:noWrap/>
            <w:hideMark/>
          </w:tcPr>
          <w:p w14:paraId="568EAC6B"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3A797C13"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6199AF14" w14:textId="77777777" w:rsidR="00811745" w:rsidRPr="004A0C12" w:rsidRDefault="00811745" w:rsidP="00811745">
            <w:pPr>
              <w:rPr>
                <w:rFonts w:ascii="Garamond" w:hAnsi="Garamond"/>
                <w:sz w:val="22"/>
                <w:szCs w:val="22"/>
              </w:rPr>
            </w:pPr>
            <w:r w:rsidRPr="004A0C12">
              <w:rPr>
                <w:rFonts w:ascii="Garamond" w:hAnsi="Garamond"/>
                <w:sz w:val="22"/>
                <w:szCs w:val="22"/>
              </w:rPr>
              <w:t>6/28/2013</w:t>
            </w:r>
          </w:p>
        </w:tc>
      </w:tr>
      <w:tr w:rsidR="00811745" w:rsidRPr="004A0C12" w14:paraId="7D834589" w14:textId="77777777" w:rsidTr="003865ED">
        <w:trPr>
          <w:trHeight w:val="255"/>
          <w:jc w:val="center"/>
        </w:trPr>
        <w:tc>
          <w:tcPr>
            <w:tcW w:w="2142" w:type="dxa"/>
            <w:noWrap/>
            <w:hideMark/>
          </w:tcPr>
          <w:p w14:paraId="77A322E7" w14:textId="77777777" w:rsidR="00811745" w:rsidRPr="004A0C12" w:rsidRDefault="00811745" w:rsidP="00811745">
            <w:pPr>
              <w:rPr>
                <w:rFonts w:ascii="Garamond" w:hAnsi="Garamond"/>
                <w:sz w:val="22"/>
                <w:szCs w:val="22"/>
              </w:rPr>
            </w:pPr>
          </w:p>
        </w:tc>
        <w:tc>
          <w:tcPr>
            <w:tcW w:w="1530" w:type="dxa"/>
            <w:noWrap/>
            <w:hideMark/>
          </w:tcPr>
          <w:p w14:paraId="487EEAEF" w14:textId="77777777" w:rsidR="00811745" w:rsidRPr="004A0C12" w:rsidRDefault="00811745" w:rsidP="00811745">
            <w:pPr>
              <w:rPr>
                <w:rFonts w:ascii="Garamond" w:hAnsi="Garamond"/>
                <w:sz w:val="22"/>
                <w:szCs w:val="22"/>
              </w:rPr>
            </w:pPr>
          </w:p>
        </w:tc>
        <w:tc>
          <w:tcPr>
            <w:tcW w:w="2106" w:type="dxa"/>
            <w:noWrap/>
            <w:hideMark/>
          </w:tcPr>
          <w:p w14:paraId="4807A5C5" w14:textId="77777777" w:rsidR="00811745" w:rsidRPr="004A0C12" w:rsidRDefault="00811745" w:rsidP="00811745">
            <w:pPr>
              <w:rPr>
                <w:rFonts w:ascii="Garamond" w:hAnsi="Garamond"/>
                <w:sz w:val="22"/>
                <w:szCs w:val="22"/>
              </w:rPr>
            </w:pPr>
          </w:p>
        </w:tc>
        <w:tc>
          <w:tcPr>
            <w:tcW w:w="1810" w:type="dxa"/>
            <w:noWrap/>
            <w:hideMark/>
          </w:tcPr>
          <w:p w14:paraId="686F5353" w14:textId="77777777" w:rsidR="00811745" w:rsidRPr="004A0C12" w:rsidRDefault="00811745" w:rsidP="00811745">
            <w:pPr>
              <w:rPr>
                <w:rFonts w:ascii="Garamond" w:hAnsi="Garamond"/>
                <w:sz w:val="22"/>
                <w:szCs w:val="22"/>
              </w:rPr>
            </w:pPr>
          </w:p>
        </w:tc>
        <w:tc>
          <w:tcPr>
            <w:tcW w:w="1376" w:type="dxa"/>
            <w:noWrap/>
            <w:hideMark/>
          </w:tcPr>
          <w:p w14:paraId="11DC926A"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55E99844" w14:textId="77777777" w:rsidR="00811745" w:rsidRPr="004A0C12" w:rsidRDefault="00811745" w:rsidP="00811745">
            <w:pPr>
              <w:rPr>
                <w:rFonts w:ascii="Garamond" w:hAnsi="Garamond"/>
                <w:sz w:val="22"/>
                <w:szCs w:val="22"/>
              </w:rPr>
            </w:pPr>
            <w:r w:rsidRPr="004A0C12">
              <w:rPr>
                <w:rFonts w:ascii="Garamond" w:hAnsi="Garamond"/>
                <w:sz w:val="22"/>
                <w:szCs w:val="22"/>
              </w:rPr>
              <w:t>5/24/2013</w:t>
            </w:r>
          </w:p>
        </w:tc>
      </w:tr>
      <w:tr w:rsidR="00811745" w:rsidRPr="004A0C12" w14:paraId="6A308CBB" w14:textId="77777777" w:rsidTr="003865ED">
        <w:trPr>
          <w:trHeight w:val="255"/>
          <w:jc w:val="center"/>
        </w:trPr>
        <w:tc>
          <w:tcPr>
            <w:tcW w:w="2142" w:type="dxa"/>
            <w:noWrap/>
            <w:hideMark/>
          </w:tcPr>
          <w:p w14:paraId="300F9AFF" w14:textId="77777777" w:rsidR="00811745" w:rsidRPr="004A0C12" w:rsidRDefault="00811745" w:rsidP="00811745">
            <w:pPr>
              <w:rPr>
                <w:rFonts w:ascii="Garamond" w:hAnsi="Garamond"/>
                <w:sz w:val="22"/>
                <w:szCs w:val="22"/>
              </w:rPr>
            </w:pPr>
          </w:p>
        </w:tc>
        <w:tc>
          <w:tcPr>
            <w:tcW w:w="1530" w:type="dxa"/>
            <w:noWrap/>
            <w:hideMark/>
          </w:tcPr>
          <w:p w14:paraId="61B9F6A3" w14:textId="77777777" w:rsidR="00811745" w:rsidRPr="004A0C12" w:rsidRDefault="00811745" w:rsidP="00811745">
            <w:pPr>
              <w:rPr>
                <w:rFonts w:ascii="Garamond" w:hAnsi="Garamond"/>
                <w:sz w:val="22"/>
                <w:szCs w:val="22"/>
              </w:rPr>
            </w:pPr>
          </w:p>
        </w:tc>
        <w:tc>
          <w:tcPr>
            <w:tcW w:w="2106" w:type="dxa"/>
            <w:noWrap/>
            <w:hideMark/>
          </w:tcPr>
          <w:p w14:paraId="3637A86D" w14:textId="77777777" w:rsidR="00811745" w:rsidRPr="004A0C12" w:rsidRDefault="00811745" w:rsidP="00811745">
            <w:pPr>
              <w:rPr>
                <w:rFonts w:ascii="Garamond" w:hAnsi="Garamond"/>
                <w:sz w:val="22"/>
                <w:szCs w:val="22"/>
              </w:rPr>
            </w:pPr>
          </w:p>
        </w:tc>
        <w:tc>
          <w:tcPr>
            <w:tcW w:w="1810" w:type="dxa"/>
            <w:noWrap/>
            <w:hideMark/>
          </w:tcPr>
          <w:p w14:paraId="104535F1" w14:textId="77777777" w:rsidR="00811745" w:rsidRPr="004A0C12" w:rsidRDefault="00811745" w:rsidP="00811745">
            <w:pPr>
              <w:rPr>
                <w:rFonts w:ascii="Garamond" w:hAnsi="Garamond"/>
                <w:sz w:val="22"/>
                <w:szCs w:val="22"/>
              </w:rPr>
            </w:pPr>
          </w:p>
        </w:tc>
        <w:tc>
          <w:tcPr>
            <w:tcW w:w="1376" w:type="dxa"/>
            <w:noWrap/>
            <w:hideMark/>
          </w:tcPr>
          <w:p w14:paraId="4A3317F2" w14:textId="77777777" w:rsidR="00811745" w:rsidRPr="004A0C12" w:rsidRDefault="00811745" w:rsidP="00811745">
            <w:pPr>
              <w:rPr>
                <w:rFonts w:ascii="Garamond" w:hAnsi="Garamond"/>
                <w:sz w:val="22"/>
                <w:szCs w:val="22"/>
              </w:rPr>
            </w:pPr>
            <w:r w:rsidRPr="004A0C12">
              <w:rPr>
                <w:rFonts w:ascii="Garamond" w:hAnsi="Garamond"/>
                <w:sz w:val="22"/>
                <w:szCs w:val="22"/>
              </w:rPr>
              <w:t>EO</w:t>
            </w:r>
          </w:p>
        </w:tc>
        <w:tc>
          <w:tcPr>
            <w:tcW w:w="1620" w:type="dxa"/>
            <w:noWrap/>
            <w:hideMark/>
          </w:tcPr>
          <w:p w14:paraId="252A7E00" w14:textId="77777777" w:rsidR="00811745" w:rsidRPr="004A0C12" w:rsidRDefault="00811745" w:rsidP="00811745">
            <w:pPr>
              <w:rPr>
                <w:rFonts w:ascii="Garamond" w:hAnsi="Garamond"/>
                <w:sz w:val="22"/>
                <w:szCs w:val="22"/>
              </w:rPr>
            </w:pPr>
            <w:r w:rsidRPr="004A0C12">
              <w:rPr>
                <w:rFonts w:ascii="Garamond" w:hAnsi="Garamond"/>
                <w:sz w:val="22"/>
                <w:szCs w:val="22"/>
              </w:rPr>
              <w:t>6/5/2015</w:t>
            </w:r>
          </w:p>
        </w:tc>
      </w:tr>
      <w:tr w:rsidR="00811745" w:rsidRPr="004A0C12" w14:paraId="38494D90" w14:textId="77777777" w:rsidTr="003865ED">
        <w:trPr>
          <w:trHeight w:val="255"/>
          <w:jc w:val="center"/>
        </w:trPr>
        <w:tc>
          <w:tcPr>
            <w:tcW w:w="10584" w:type="dxa"/>
            <w:gridSpan w:val="6"/>
            <w:noWrap/>
            <w:hideMark/>
          </w:tcPr>
          <w:p w14:paraId="6393CDC1" w14:textId="77777777" w:rsidR="00811745" w:rsidRPr="004A0C12" w:rsidRDefault="00811745" w:rsidP="00811745">
            <w:pPr>
              <w:rPr>
                <w:rFonts w:ascii="Garamond" w:hAnsi="Garamond"/>
                <w:sz w:val="22"/>
                <w:szCs w:val="22"/>
              </w:rPr>
            </w:pPr>
          </w:p>
        </w:tc>
      </w:tr>
      <w:tr w:rsidR="00811745" w:rsidRPr="004A0C12" w14:paraId="4D505B6D" w14:textId="77777777" w:rsidTr="003865ED">
        <w:trPr>
          <w:trHeight w:val="255"/>
          <w:jc w:val="center"/>
        </w:trPr>
        <w:tc>
          <w:tcPr>
            <w:tcW w:w="2142" w:type="dxa"/>
            <w:noWrap/>
            <w:hideMark/>
          </w:tcPr>
          <w:p w14:paraId="6F316F17" w14:textId="77777777" w:rsidR="00811745" w:rsidRPr="004A0C12" w:rsidRDefault="00811745" w:rsidP="00811745">
            <w:pPr>
              <w:rPr>
                <w:rFonts w:ascii="Garamond" w:hAnsi="Garamond"/>
                <w:sz w:val="22"/>
                <w:szCs w:val="22"/>
              </w:rPr>
            </w:pPr>
            <w:r w:rsidRPr="004A0C12">
              <w:rPr>
                <w:rFonts w:ascii="Garamond" w:hAnsi="Garamond"/>
                <w:sz w:val="22"/>
                <w:szCs w:val="22"/>
              </w:rPr>
              <w:t>Kimble Lee</w:t>
            </w:r>
          </w:p>
        </w:tc>
        <w:tc>
          <w:tcPr>
            <w:tcW w:w="1530" w:type="dxa"/>
            <w:noWrap/>
            <w:hideMark/>
          </w:tcPr>
          <w:p w14:paraId="567FC721" w14:textId="77777777" w:rsidR="00811745" w:rsidRPr="004A0C12" w:rsidRDefault="00811745" w:rsidP="00811745">
            <w:pPr>
              <w:rPr>
                <w:rFonts w:ascii="Garamond" w:hAnsi="Garamond"/>
                <w:sz w:val="22"/>
                <w:szCs w:val="22"/>
              </w:rPr>
            </w:pPr>
            <w:r w:rsidRPr="004A0C12">
              <w:rPr>
                <w:rFonts w:ascii="Garamond" w:hAnsi="Garamond"/>
                <w:sz w:val="22"/>
                <w:szCs w:val="22"/>
              </w:rPr>
              <w:t>8/13/2013</w:t>
            </w:r>
          </w:p>
        </w:tc>
        <w:tc>
          <w:tcPr>
            <w:tcW w:w="2106" w:type="dxa"/>
            <w:noWrap/>
            <w:hideMark/>
          </w:tcPr>
          <w:p w14:paraId="7F072DE7" w14:textId="77777777" w:rsidR="00811745" w:rsidRPr="004A0C12" w:rsidRDefault="00811745" w:rsidP="00811745">
            <w:pPr>
              <w:rPr>
                <w:rFonts w:ascii="Garamond" w:hAnsi="Garamond"/>
                <w:sz w:val="22"/>
                <w:szCs w:val="22"/>
              </w:rPr>
            </w:pPr>
            <w:r w:rsidRPr="004A0C12">
              <w:rPr>
                <w:rFonts w:ascii="Garamond" w:hAnsi="Garamond"/>
                <w:sz w:val="22"/>
                <w:szCs w:val="22"/>
              </w:rPr>
              <w:t>2/13/2015</w:t>
            </w:r>
          </w:p>
        </w:tc>
        <w:tc>
          <w:tcPr>
            <w:tcW w:w="1810" w:type="dxa"/>
            <w:noWrap/>
            <w:hideMark/>
          </w:tcPr>
          <w:p w14:paraId="5178ECDB"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272363A7"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13B2CC32" w14:textId="77777777" w:rsidR="00811745" w:rsidRPr="004A0C12" w:rsidRDefault="00811745" w:rsidP="00811745">
            <w:pPr>
              <w:rPr>
                <w:rFonts w:ascii="Garamond" w:hAnsi="Garamond"/>
                <w:sz w:val="22"/>
                <w:szCs w:val="22"/>
              </w:rPr>
            </w:pPr>
            <w:r w:rsidRPr="004A0C12">
              <w:rPr>
                <w:rFonts w:ascii="Garamond" w:hAnsi="Garamond"/>
                <w:sz w:val="22"/>
                <w:szCs w:val="22"/>
              </w:rPr>
              <w:t>4/15/2011</w:t>
            </w:r>
          </w:p>
        </w:tc>
      </w:tr>
      <w:tr w:rsidR="00811745" w:rsidRPr="004A0C12" w14:paraId="02C071B7" w14:textId="77777777" w:rsidTr="003865ED">
        <w:trPr>
          <w:trHeight w:val="255"/>
          <w:jc w:val="center"/>
        </w:trPr>
        <w:tc>
          <w:tcPr>
            <w:tcW w:w="2142" w:type="dxa"/>
            <w:noWrap/>
            <w:hideMark/>
          </w:tcPr>
          <w:p w14:paraId="1ED04675" w14:textId="77777777" w:rsidR="00811745" w:rsidRPr="004A0C12" w:rsidRDefault="00811745" w:rsidP="00811745">
            <w:pPr>
              <w:rPr>
                <w:rFonts w:ascii="Garamond" w:hAnsi="Garamond"/>
                <w:sz w:val="22"/>
                <w:szCs w:val="22"/>
              </w:rPr>
            </w:pPr>
          </w:p>
        </w:tc>
        <w:tc>
          <w:tcPr>
            <w:tcW w:w="1530" w:type="dxa"/>
            <w:noWrap/>
            <w:hideMark/>
          </w:tcPr>
          <w:p w14:paraId="372BB286" w14:textId="77777777" w:rsidR="00811745" w:rsidRPr="004A0C12" w:rsidRDefault="00811745" w:rsidP="00811745">
            <w:pPr>
              <w:rPr>
                <w:rFonts w:ascii="Garamond" w:hAnsi="Garamond"/>
                <w:sz w:val="22"/>
                <w:szCs w:val="22"/>
              </w:rPr>
            </w:pPr>
          </w:p>
        </w:tc>
        <w:tc>
          <w:tcPr>
            <w:tcW w:w="2106" w:type="dxa"/>
            <w:noWrap/>
            <w:hideMark/>
          </w:tcPr>
          <w:p w14:paraId="226C851D" w14:textId="77777777" w:rsidR="00811745" w:rsidRPr="004A0C12" w:rsidRDefault="00811745" w:rsidP="00811745">
            <w:pPr>
              <w:rPr>
                <w:rFonts w:ascii="Garamond" w:hAnsi="Garamond"/>
                <w:sz w:val="22"/>
                <w:szCs w:val="22"/>
              </w:rPr>
            </w:pPr>
          </w:p>
        </w:tc>
        <w:tc>
          <w:tcPr>
            <w:tcW w:w="1810" w:type="dxa"/>
            <w:noWrap/>
            <w:hideMark/>
          </w:tcPr>
          <w:p w14:paraId="383B797C" w14:textId="77777777" w:rsidR="00811745" w:rsidRPr="004A0C12" w:rsidRDefault="00811745" w:rsidP="00811745">
            <w:pPr>
              <w:rPr>
                <w:rFonts w:ascii="Garamond" w:hAnsi="Garamond"/>
                <w:sz w:val="22"/>
                <w:szCs w:val="22"/>
              </w:rPr>
            </w:pPr>
          </w:p>
        </w:tc>
        <w:tc>
          <w:tcPr>
            <w:tcW w:w="1376" w:type="dxa"/>
            <w:noWrap/>
            <w:hideMark/>
          </w:tcPr>
          <w:p w14:paraId="5CB05C9E"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74DDF9AE" w14:textId="77777777" w:rsidR="00811745" w:rsidRPr="004A0C12" w:rsidRDefault="00811745" w:rsidP="00811745">
            <w:pPr>
              <w:rPr>
                <w:rFonts w:ascii="Garamond" w:hAnsi="Garamond"/>
                <w:sz w:val="22"/>
                <w:szCs w:val="22"/>
              </w:rPr>
            </w:pPr>
            <w:r w:rsidRPr="004A0C12">
              <w:rPr>
                <w:rFonts w:ascii="Garamond" w:hAnsi="Garamond"/>
                <w:sz w:val="22"/>
                <w:szCs w:val="22"/>
              </w:rPr>
              <w:t>6/24/2011</w:t>
            </w:r>
          </w:p>
        </w:tc>
      </w:tr>
      <w:tr w:rsidR="00811745" w:rsidRPr="004A0C12" w14:paraId="4828AEC2" w14:textId="77777777" w:rsidTr="003865ED">
        <w:trPr>
          <w:trHeight w:val="255"/>
          <w:jc w:val="center"/>
        </w:trPr>
        <w:tc>
          <w:tcPr>
            <w:tcW w:w="2142" w:type="dxa"/>
            <w:noWrap/>
            <w:hideMark/>
          </w:tcPr>
          <w:p w14:paraId="2BD7235E" w14:textId="77777777" w:rsidR="00811745" w:rsidRPr="004A0C12" w:rsidRDefault="00811745" w:rsidP="00811745">
            <w:pPr>
              <w:rPr>
                <w:rFonts w:ascii="Garamond" w:hAnsi="Garamond"/>
                <w:sz w:val="22"/>
                <w:szCs w:val="22"/>
              </w:rPr>
            </w:pPr>
          </w:p>
        </w:tc>
        <w:tc>
          <w:tcPr>
            <w:tcW w:w="1530" w:type="dxa"/>
            <w:noWrap/>
            <w:hideMark/>
          </w:tcPr>
          <w:p w14:paraId="7774953B" w14:textId="77777777" w:rsidR="00811745" w:rsidRPr="004A0C12" w:rsidRDefault="00811745" w:rsidP="00811745">
            <w:pPr>
              <w:rPr>
                <w:rFonts w:ascii="Garamond" w:hAnsi="Garamond"/>
                <w:sz w:val="22"/>
                <w:szCs w:val="22"/>
              </w:rPr>
            </w:pPr>
          </w:p>
        </w:tc>
        <w:tc>
          <w:tcPr>
            <w:tcW w:w="2106" w:type="dxa"/>
            <w:noWrap/>
            <w:hideMark/>
          </w:tcPr>
          <w:p w14:paraId="4E8DDF3C" w14:textId="77777777" w:rsidR="00811745" w:rsidRPr="004A0C12" w:rsidRDefault="00811745" w:rsidP="00811745">
            <w:pPr>
              <w:rPr>
                <w:rFonts w:ascii="Garamond" w:hAnsi="Garamond"/>
                <w:sz w:val="22"/>
                <w:szCs w:val="22"/>
              </w:rPr>
            </w:pPr>
          </w:p>
        </w:tc>
        <w:tc>
          <w:tcPr>
            <w:tcW w:w="1810" w:type="dxa"/>
            <w:noWrap/>
            <w:hideMark/>
          </w:tcPr>
          <w:p w14:paraId="33B9E2BB" w14:textId="77777777" w:rsidR="00811745" w:rsidRPr="004A0C12" w:rsidRDefault="00811745" w:rsidP="00811745">
            <w:pPr>
              <w:rPr>
                <w:rFonts w:ascii="Garamond" w:hAnsi="Garamond"/>
                <w:sz w:val="22"/>
                <w:szCs w:val="22"/>
              </w:rPr>
            </w:pPr>
          </w:p>
        </w:tc>
        <w:tc>
          <w:tcPr>
            <w:tcW w:w="1376" w:type="dxa"/>
            <w:noWrap/>
            <w:hideMark/>
          </w:tcPr>
          <w:p w14:paraId="7D3BE2EB" w14:textId="77777777" w:rsidR="00811745" w:rsidRPr="004A0C12" w:rsidRDefault="00811745" w:rsidP="00811745">
            <w:pPr>
              <w:rPr>
                <w:rFonts w:ascii="Garamond" w:hAnsi="Garamond"/>
                <w:sz w:val="22"/>
                <w:szCs w:val="22"/>
              </w:rPr>
            </w:pPr>
            <w:r w:rsidRPr="004A0C12">
              <w:rPr>
                <w:rFonts w:ascii="Garamond" w:hAnsi="Garamond"/>
                <w:sz w:val="22"/>
                <w:szCs w:val="22"/>
              </w:rPr>
              <w:t>PPE</w:t>
            </w:r>
          </w:p>
        </w:tc>
        <w:tc>
          <w:tcPr>
            <w:tcW w:w="1620" w:type="dxa"/>
            <w:noWrap/>
            <w:hideMark/>
          </w:tcPr>
          <w:p w14:paraId="7D7D3A0B" w14:textId="77777777" w:rsidR="00811745" w:rsidRPr="004A0C12" w:rsidRDefault="00811745" w:rsidP="00811745">
            <w:pPr>
              <w:rPr>
                <w:rFonts w:ascii="Garamond" w:hAnsi="Garamond"/>
                <w:sz w:val="22"/>
                <w:szCs w:val="22"/>
              </w:rPr>
            </w:pPr>
            <w:r w:rsidRPr="004A0C12">
              <w:rPr>
                <w:rFonts w:ascii="Garamond" w:hAnsi="Garamond"/>
                <w:sz w:val="22"/>
                <w:szCs w:val="22"/>
              </w:rPr>
              <w:t>4/12/2013</w:t>
            </w:r>
          </w:p>
        </w:tc>
      </w:tr>
      <w:tr w:rsidR="00811745" w:rsidRPr="004A0C12" w14:paraId="34329591" w14:textId="77777777" w:rsidTr="003865ED">
        <w:trPr>
          <w:trHeight w:val="255"/>
          <w:jc w:val="center"/>
        </w:trPr>
        <w:tc>
          <w:tcPr>
            <w:tcW w:w="10584" w:type="dxa"/>
            <w:gridSpan w:val="6"/>
            <w:noWrap/>
            <w:hideMark/>
          </w:tcPr>
          <w:p w14:paraId="5BC51E91" w14:textId="77777777" w:rsidR="00811745" w:rsidRPr="004A0C12" w:rsidRDefault="00811745" w:rsidP="00811745">
            <w:pPr>
              <w:rPr>
                <w:rFonts w:ascii="Garamond" w:hAnsi="Garamond"/>
                <w:sz w:val="22"/>
                <w:szCs w:val="22"/>
              </w:rPr>
            </w:pPr>
          </w:p>
        </w:tc>
      </w:tr>
      <w:tr w:rsidR="00811745" w:rsidRPr="004A0C12" w14:paraId="74FDCF79" w14:textId="77777777" w:rsidTr="003865ED">
        <w:trPr>
          <w:trHeight w:val="255"/>
          <w:jc w:val="center"/>
        </w:trPr>
        <w:tc>
          <w:tcPr>
            <w:tcW w:w="2142" w:type="dxa"/>
            <w:noWrap/>
            <w:hideMark/>
          </w:tcPr>
          <w:p w14:paraId="13A09CF1" w14:textId="77777777" w:rsidR="00811745" w:rsidRPr="004A0C12" w:rsidRDefault="00811745" w:rsidP="00811745">
            <w:pPr>
              <w:rPr>
                <w:rFonts w:ascii="Garamond" w:hAnsi="Garamond"/>
                <w:sz w:val="22"/>
                <w:szCs w:val="22"/>
              </w:rPr>
            </w:pPr>
            <w:r w:rsidRPr="004A0C12">
              <w:rPr>
                <w:rFonts w:ascii="Garamond" w:hAnsi="Garamond"/>
                <w:sz w:val="22"/>
                <w:szCs w:val="22"/>
              </w:rPr>
              <w:t>Lynnette Lynn-Horton</w:t>
            </w:r>
          </w:p>
        </w:tc>
        <w:tc>
          <w:tcPr>
            <w:tcW w:w="1530" w:type="dxa"/>
            <w:noWrap/>
            <w:hideMark/>
          </w:tcPr>
          <w:p w14:paraId="13B1850C" w14:textId="77777777" w:rsidR="00811745" w:rsidRPr="004A0C12" w:rsidRDefault="00811745" w:rsidP="00811745">
            <w:pPr>
              <w:rPr>
                <w:rFonts w:ascii="Garamond" w:hAnsi="Garamond"/>
                <w:sz w:val="22"/>
                <w:szCs w:val="22"/>
              </w:rPr>
            </w:pPr>
            <w:r w:rsidRPr="004A0C12">
              <w:rPr>
                <w:rFonts w:ascii="Garamond" w:hAnsi="Garamond"/>
                <w:sz w:val="22"/>
                <w:szCs w:val="22"/>
              </w:rPr>
              <w:t>12/20/2004</w:t>
            </w:r>
          </w:p>
        </w:tc>
        <w:tc>
          <w:tcPr>
            <w:tcW w:w="2106" w:type="dxa"/>
            <w:noWrap/>
            <w:hideMark/>
          </w:tcPr>
          <w:p w14:paraId="1C49D961" w14:textId="77777777" w:rsidR="00811745" w:rsidRPr="004A0C12" w:rsidRDefault="00811745" w:rsidP="00811745">
            <w:pPr>
              <w:rPr>
                <w:rFonts w:ascii="Garamond" w:hAnsi="Garamond"/>
                <w:sz w:val="22"/>
                <w:szCs w:val="22"/>
              </w:rPr>
            </w:pPr>
            <w:r w:rsidRPr="004A0C12">
              <w:rPr>
                <w:rFonts w:ascii="Garamond" w:hAnsi="Garamond"/>
                <w:sz w:val="22"/>
                <w:szCs w:val="22"/>
              </w:rPr>
              <w:t>6/20/2006</w:t>
            </w:r>
          </w:p>
        </w:tc>
        <w:tc>
          <w:tcPr>
            <w:tcW w:w="1810" w:type="dxa"/>
            <w:noWrap/>
            <w:hideMark/>
          </w:tcPr>
          <w:p w14:paraId="582524AB"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23FCAA6F"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2F2336E6" w14:textId="77777777" w:rsidR="00811745" w:rsidRPr="004A0C12" w:rsidRDefault="00811745" w:rsidP="00811745">
            <w:pPr>
              <w:rPr>
                <w:rFonts w:ascii="Garamond" w:hAnsi="Garamond"/>
                <w:sz w:val="22"/>
                <w:szCs w:val="22"/>
              </w:rPr>
            </w:pPr>
            <w:r w:rsidRPr="004A0C12">
              <w:rPr>
                <w:rFonts w:ascii="Garamond" w:hAnsi="Garamond"/>
                <w:sz w:val="22"/>
                <w:szCs w:val="22"/>
              </w:rPr>
              <w:t>2/4/2005</w:t>
            </w:r>
          </w:p>
        </w:tc>
      </w:tr>
      <w:tr w:rsidR="00811745" w:rsidRPr="004A0C12" w14:paraId="470F3A73" w14:textId="77777777" w:rsidTr="003865ED">
        <w:trPr>
          <w:trHeight w:val="255"/>
          <w:jc w:val="center"/>
        </w:trPr>
        <w:tc>
          <w:tcPr>
            <w:tcW w:w="2142" w:type="dxa"/>
            <w:noWrap/>
            <w:hideMark/>
          </w:tcPr>
          <w:p w14:paraId="480D3E75" w14:textId="77777777" w:rsidR="00811745" w:rsidRPr="004A0C12" w:rsidRDefault="00811745" w:rsidP="00811745">
            <w:pPr>
              <w:rPr>
                <w:rFonts w:ascii="Garamond" w:hAnsi="Garamond"/>
                <w:sz w:val="22"/>
                <w:szCs w:val="22"/>
              </w:rPr>
            </w:pPr>
          </w:p>
        </w:tc>
        <w:tc>
          <w:tcPr>
            <w:tcW w:w="1530" w:type="dxa"/>
            <w:noWrap/>
            <w:hideMark/>
          </w:tcPr>
          <w:p w14:paraId="3F21DEC1" w14:textId="77777777" w:rsidR="00811745" w:rsidRPr="004A0C12" w:rsidRDefault="00811745" w:rsidP="00811745">
            <w:pPr>
              <w:rPr>
                <w:rFonts w:ascii="Garamond" w:hAnsi="Garamond"/>
                <w:sz w:val="22"/>
                <w:szCs w:val="22"/>
              </w:rPr>
            </w:pPr>
          </w:p>
        </w:tc>
        <w:tc>
          <w:tcPr>
            <w:tcW w:w="2106" w:type="dxa"/>
            <w:noWrap/>
            <w:hideMark/>
          </w:tcPr>
          <w:p w14:paraId="116B5A33" w14:textId="77777777" w:rsidR="00811745" w:rsidRPr="004A0C12" w:rsidRDefault="00811745" w:rsidP="00811745">
            <w:pPr>
              <w:rPr>
                <w:rFonts w:ascii="Garamond" w:hAnsi="Garamond"/>
                <w:sz w:val="22"/>
                <w:szCs w:val="22"/>
              </w:rPr>
            </w:pPr>
          </w:p>
        </w:tc>
        <w:tc>
          <w:tcPr>
            <w:tcW w:w="1810" w:type="dxa"/>
            <w:noWrap/>
            <w:hideMark/>
          </w:tcPr>
          <w:p w14:paraId="5E6FFFF6" w14:textId="77777777" w:rsidR="00811745" w:rsidRPr="004A0C12" w:rsidRDefault="00811745" w:rsidP="00811745">
            <w:pPr>
              <w:rPr>
                <w:rFonts w:ascii="Garamond" w:hAnsi="Garamond"/>
                <w:sz w:val="22"/>
                <w:szCs w:val="22"/>
              </w:rPr>
            </w:pPr>
          </w:p>
        </w:tc>
        <w:tc>
          <w:tcPr>
            <w:tcW w:w="1376" w:type="dxa"/>
            <w:noWrap/>
            <w:hideMark/>
          </w:tcPr>
          <w:p w14:paraId="09BB6B5E" w14:textId="77777777" w:rsidR="00811745" w:rsidRPr="004A0C12" w:rsidRDefault="00811745" w:rsidP="00811745">
            <w:pPr>
              <w:rPr>
                <w:rFonts w:ascii="Garamond" w:hAnsi="Garamond"/>
                <w:sz w:val="22"/>
                <w:szCs w:val="22"/>
              </w:rPr>
            </w:pPr>
            <w:r w:rsidRPr="004A0C12">
              <w:rPr>
                <w:rFonts w:ascii="Garamond" w:hAnsi="Garamond"/>
                <w:sz w:val="22"/>
                <w:szCs w:val="22"/>
              </w:rPr>
              <w:t>EO</w:t>
            </w:r>
          </w:p>
        </w:tc>
        <w:tc>
          <w:tcPr>
            <w:tcW w:w="1620" w:type="dxa"/>
            <w:noWrap/>
            <w:hideMark/>
          </w:tcPr>
          <w:p w14:paraId="7612B74F" w14:textId="77777777" w:rsidR="00811745" w:rsidRPr="004A0C12" w:rsidRDefault="00811745" w:rsidP="00811745">
            <w:pPr>
              <w:rPr>
                <w:rFonts w:ascii="Garamond" w:hAnsi="Garamond"/>
                <w:sz w:val="22"/>
                <w:szCs w:val="22"/>
              </w:rPr>
            </w:pPr>
            <w:r w:rsidRPr="004A0C12">
              <w:rPr>
                <w:rFonts w:ascii="Garamond" w:hAnsi="Garamond"/>
                <w:sz w:val="22"/>
                <w:szCs w:val="22"/>
              </w:rPr>
              <w:t>10/24/2014</w:t>
            </w:r>
          </w:p>
        </w:tc>
      </w:tr>
      <w:tr w:rsidR="00811745" w:rsidRPr="004A0C12" w14:paraId="3A94EE78" w14:textId="77777777" w:rsidTr="003865ED">
        <w:trPr>
          <w:trHeight w:val="255"/>
          <w:jc w:val="center"/>
        </w:trPr>
        <w:tc>
          <w:tcPr>
            <w:tcW w:w="10584" w:type="dxa"/>
            <w:gridSpan w:val="6"/>
            <w:noWrap/>
            <w:hideMark/>
          </w:tcPr>
          <w:p w14:paraId="2E422512" w14:textId="77777777" w:rsidR="00811745" w:rsidRPr="004A0C12" w:rsidRDefault="00811745" w:rsidP="00811745">
            <w:pPr>
              <w:rPr>
                <w:rFonts w:ascii="Garamond" w:hAnsi="Garamond"/>
                <w:sz w:val="22"/>
                <w:szCs w:val="22"/>
              </w:rPr>
            </w:pPr>
          </w:p>
        </w:tc>
      </w:tr>
      <w:tr w:rsidR="00811745" w:rsidRPr="004A0C12" w14:paraId="02AA79AB" w14:textId="77777777" w:rsidTr="003865ED">
        <w:trPr>
          <w:trHeight w:val="255"/>
          <w:jc w:val="center"/>
        </w:trPr>
        <w:tc>
          <w:tcPr>
            <w:tcW w:w="2142" w:type="dxa"/>
            <w:noWrap/>
            <w:hideMark/>
          </w:tcPr>
          <w:p w14:paraId="7E8D3DA4" w14:textId="77777777" w:rsidR="00811745" w:rsidRPr="004A0C12" w:rsidRDefault="00811745" w:rsidP="00811745">
            <w:pPr>
              <w:rPr>
                <w:rFonts w:ascii="Garamond" w:hAnsi="Garamond"/>
                <w:sz w:val="22"/>
                <w:szCs w:val="22"/>
              </w:rPr>
            </w:pPr>
            <w:r w:rsidRPr="004A0C12">
              <w:rPr>
                <w:rFonts w:ascii="Garamond" w:hAnsi="Garamond"/>
                <w:sz w:val="22"/>
                <w:szCs w:val="22"/>
              </w:rPr>
              <w:t>Kevin Madara</w:t>
            </w:r>
          </w:p>
        </w:tc>
        <w:tc>
          <w:tcPr>
            <w:tcW w:w="1530" w:type="dxa"/>
            <w:noWrap/>
            <w:hideMark/>
          </w:tcPr>
          <w:p w14:paraId="0B82CACC" w14:textId="77777777" w:rsidR="00811745" w:rsidRPr="004A0C12" w:rsidRDefault="00811745" w:rsidP="00811745">
            <w:pPr>
              <w:rPr>
                <w:rFonts w:ascii="Garamond" w:hAnsi="Garamond"/>
                <w:sz w:val="22"/>
                <w:szCs w:val="22"/>
              </w:rPr>
            </w:pPr>
            <w:r w:rsidRPr="004A0C12">
              <w:rPr>
                <w:rFonts w:ascii="Garamond" w:hAnsi="Garamond"/>
                <w:sz w:val="22"/>
                <w:szCs w:val="22"/>
              </w:rPr>
              <w:t>1/9/2013</w:t>
            </w:r>
          </w:p>
        </w:tc>
        <w:tc>
          <w:tcPr>
            <w:tcW w:w="2106" w:type="dxa"/>
            <w:noWrap/>
            <w:hideMark/>
          </w:tcPr>
          <w:p w14:paraId="33AA9E25" w14:textId="77777777" w:rsidR="00811745" w:rsidRPr="004A0C12" w:rsidRDefault="00811745" w:rsidP="00811745">
            <w:pPr>
              <w:rPr>
                <w:rFonts w:ascii="Garamond" w:hAnsi="Garamond"/>
                <w:sz w:val="22"/>
                <w:szCs w:val="22"/>
              </w:rPr>
            </w:pPr>
            <w:r w:rsidRPr="004A0C12">
              <w:rPr>
                <w:rFonts w:ascii="Garamond" w:hAnsi="Garamond"/>
                <w:sz w:val="22"/>
                <w:szCs w:val="22"/>
              </w:rPr>
              <w:t>7/9/2014</w:t>
            </w:r>
          </w:p>
        </w:tc>
        <w:tc>
          <w:tcPr>
            <w:tcW w:w="1810" w:type="dxa"/>
            <w:noWrap/>
            <w:hideMark/>
          </w:tcPr>
          <w:p w14:paraId="3381C776"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14CDC16D"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348237FB" w14:textId="77777777" w:rsidR="00811745" w:rsidRPr="004A0C12" w:rsidRDefault="00811745" w:rsidP="00811745">
            <w:pPr>
              <w:rPr>
                <w:rFonts w:ascii="Garamond" w:hAnsi="Garamond"/>
                <w:sz w:val="22"/>
                <w:szCs w:val="22"/>
              </w:rPr>
            </w:pPr>
            <w:r w:rsidRPr="004A0C12">
              <w:rPr>
                <w:rFonts w:ascii="Garamond" w:hAnsi="Garamond"/>
                <w:sz w:val="22"/>
                <w:szCs w:val="22"/>
              </w:rPr>
              <w:t>6/28/2013</w:t>
            </w:r>
          </w:p>
        </w:tc>
      </w:tr>
      <w:tr w:rsidR="00811745" w:rsidRPr="004A0C12" w14:paraId="7F3C8E55" w14:textId="77777777" w:rsidTr="003865ED">
        <w:trPr>
          <w:trHeight w:val="255"/>
          <w:jc w:val="center"/>
        </w:trPr>
        <w:tc>
          <w:tcPr>
            <w:tcW w:w="2142" w:type="dxa"/>
            <w:noWrap/>
            <w:hideMark/>
          </w:tcPr>
          <w:p w14:paraId="610A54A9" w14:textId="77777777" w:rsidR="00811745" w:rsidRPr="004A0C12" w:rsidRDefault="00811745" w:rsidP="00811745">
            <w:pPr>
              <w:rPr>
                <w:rFonts w:ascii="Garamond" w:hAnsi="Garamond"/>
                <w:sz w:val="22"/>
                <w:szCs w:val="22"/>
              </w:rPr>
            </w:pPr>
          </w:p>
        </w:tc>
        <w:tc>
          <w:tcPr>
            <w:tcW w:w="1530" w:type="dxa"/>
            <w:noWrap/>
            <w:hideMark/>
          </w:tcPr>
          <w:p w14:paraId="645EB26F" w14:textId="77777777" w:rsidR="00811745" w:rsidRPr="004A0C12" w:rsidRDefault="00811745" w:rsidP="00811745">
            <w:pPr>
              <w:rPr>
                <w:rFonts w:ascii="Garamond" w:hAnsi="Garamond"/>
                <w:sz w:val="22"/>
                <w:szCs w:val="22"/>
              </w:rPr>
            </w:pPr>
          </w:p>
        </w:tc>
        <w:tc>
          <w:tcPr>
            <w:tcW w:w="2106" w:type="dxa"/>
            <w:noWrap/>
            <w:hideMark/>
          </w:tcPr>
          <w:p w14:paraId="1FF03168" w14:textId="77777777" w:rsidR="00811745" w:rsidRPr="004A0C12" w:rsidRDefault="00811745" w:rsidP="00811745">
            <w:pPr>
              <w:rPr>
                <w:rFonts w:ascii="Garamond" w:hAnsi="Garamond"/>
                <w:sz w:val="22"/>
                <w:szCs w:val="22"/>
              </w:rPr>
            </w:pPr>
          </w:p>
        </w:tc>
        <w:tc>
          <w:tcPr>
            <w:tcW w:w="1810" w:type="dxa"/>
            <w:noWrap/>
            <w:hideMark/>
          </w:tcPr>
          <w:p w14:paraId="5CA41788" w14:textId="77777777" w:rsidR="00811745" w:rsidRPr="004A0C12" w:rsidRDefault="00811745" w:rsidP="00811745">
            <w:pPr>
              <w:rPr>
                <w:rFonts w:ascii="Garamond" w:hAnsi="Garamond"/>
                <w:sz w:val="22"/>
                <w:szCs w:val="22"/>
              </w:rPr>
            </w:pPr>
          </w:p>
        </w:tc>
        <w:tc>
          <w:tcPr>
            <w:tcW w:w="1376" w:type="dxa"/>
            <w:noWrap/>
            <w:hideMark/>
          </w:tcPr>
          <w:p w14:paraId="1E279174"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6F03C8D5" w14:textId="77777777" w:rsidR="00811745" w:rsidRPr="004A0C12" w:rsidRDefault="00811745" w:rsidP="00811745">
            <w:pPr>
              <w:rPr>
                <w:rFonts w:ascii="Garamond" w:hAnsi="Garamond"/>
                <w:sz w:val="22"/>
                <w:szCs w:val="22"/>
              </w:rPr>
            </w:pPr>
            <w:r w:rsidRPr="004A0C12">
              <w:rPr>
                <w:rFonts w:ascii="Garamond" w:hAnsi="Garamond"/>
                <w:sz w:val="22"/>
                <w:szCs w:val="22"/>
              </w:rPr>
              <w:t>11/22/2012</w:t>
            </w:r>
          </w:p>
        </w:tc>
      </w:tr>
      <w:tr w:rsidR="00811745" w:rsidRPr="004A0C12" w14:paraId="53465976" w14:textId="77777777" w:rsidTr="003865ED">
        <w:trPr>
          <w:trHeight w:val="255"/>
          <w:jc w:val="center"/>
        </w:trPr>
        <w:tc>
          <w:tcPr>
            <w:tcW w:w="10584" w:type="dxa"/>
            <w:gridSpan w:val="6"/>
            <w:noWrap/>
            <w:hideMark/>
          </w:tcPr>
          <w:p w14:paraId="512D55EE" w14:textId="77777777" w:rsidR="00811745" w:rsidRPr="004A0C12" w:rsidRDefault="00811745" w:rsidP="00811745">
            <w:pPr>
              <w:rPr>
                <w:rFonts w:ascii="Garamond" w:hAnsi="Garamond"/>
                <w:sz w:val="22"/>
                <w:szCs w:val="22"/>
              </w:rPr>
            </w:pPr>
          </w:p>
        </w:tc>
      </w:tr>
      <w:tr w:rsidR="00811745" w:rsidRPr="004A0C12" w14:paraId="0FCC85E0" w14:textId="77777777" w:rsidTr="003865ED">
        <w:trPr>
          <w:trHeight w:val="255"/>
          <w:jc w:val="center"/>
        </w:trPr>
        <w:tc>
          <w:tcPr>
            <w:tcW w:w="2142" w:type="dxa"/>
            <w:noWrap/>
            <w:hideMark/>
          </w:tcPr>
          <w:p w14:paraId="4CE2E114" w14:textId="77777777" w:rsidR="00811745" w:rsidRPr="004A0C12" w:rsidRDefault="00811745" w:rsidP="00811745">
            <w:pPr>
              <w:rPr>
                <w:rFonts w:ascii="Garamond" w:hAnsi="Garamond"/>
                <w:sz w:val="22"/>
                <w:szCs w:val="22"/>
              </w:rPr>
            </w:pPr>
            <w:r w:rsidRPr="004A0C12">
              <w:rPr>
                <w:rFonts w:ascii="Garamond" w:hAnsi="Garamond"/>
                <w:sz w:val="22"/>
                <w:szCs w:val="22"/>
              </w:rPr>
              <w:t>James Marchinke</w:t>
            </w:r>
          </w:p>
        </w:tc>
        <w:tc>
          <w:tcPr>
            <w:tcW w:w="1530" w:type="dxa"/>
            <w:noWrap/>
            <w:hideMark/>
          </w:tcPr>
          <w:p w14:paraId="36E1949B" w14:textId="77777777" w:rsidR="00811745" w:rsidRPr="004A0C12" w:rsidRDefault="00811745" w:rsidP="00811745">
            <w:pPr>
              <w:rPr>
                <w:rFonts w:ascii="Garamond" w:hAnsi="Garamond"/>
                <w:sz w:val="22"/>
                <w:szCs w:val="22"/>
              </w:rPr>
            </w:pPr>
            <w:r w:rsidRPr="004A0C12">
              <w:rPr>
                <w:rFonts w:ascii="Garamond" w:hAnsi="Garamond"/>
                <w:sz w:val="22"/>
                <w:szCs w:val="22"/>
              </w:rPr>
              <w:t>7/11/2007</w:t>
            </w:r>
          </w:p>
        </w:tc>
        <w:tc>
          <w:tcPr>
            <w:tcW w:w="2106" w:type="dxa"/>
            <w:noWrap/>
            <w:hideMark/>
          </w:tcPr>
          <w:p w14:paraId="070EDE12" w14:textId="77777777" w:rsidR="00811745" w:rsidRPr="004A0C12" w:rsidRDefault="00811745" w:rsidP="00811745">
            <w:pPr>
              <w:rPr>
                <w:rFonts w:ascii="Garamond" w:hAnsi="Garamond"/>
                <w:sz w:val="22"/>
                <w:szCs w:val="22"/>
              </w:rPr>
            </w:pPr>
            <w:r w:rsidRPr="004A0C12">
              <w:rPr>
                <w:rFonts w:ascii="Garamond" w:hAnsi="Garamond"/>
                <w:sz w:val="22"/>
                <w:szCs w:val="22"/>
              </w:rPr>
              <w:t>1/11/2009</w:t>
            </w:r>
          </w:p>
        </w:tc>
        <w:tc>
          <w:tcPr>
            <w:tcW w:w="1810" w:type="dxa"/>
            <w:noWrap/>
            <w:hideMark/>
          </w:tcPr>
          <w:p w14:paraId="606A1142"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6024FE12"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0633E45D" w14:textId="77777777" w:rsidR="00811745" w:rsidRPr="004A0C12" w:rsidRDefault="00811745" w:rsidP="00811745">
            <w:pPr>
              <w:rPr>
                <w:rFonts w:ascii="Garamond" w:hAnsi="Garamond"/>
                <w:sz w:val="22"/>
                <w:szCs w:val="22"/>
              </w:rPr>
            </w:pPr>
            <w:r w:rsidRPr="004A0C12">
              <w:rPr>
                <w:rFonts w:ascii="Garamond" w:hAnsi="Garamond"/>
                <w:sz w:val="22"/>
                <w:szCs w:val="22"/>
              </w:rPr>
              <w:t>3/14/2008</w:t>
            </w:r>
          </w:p>
        </w:tc>
      </w:tr>
      <w:tr w:rsidR="00811745" w:rsidRPr="004A0C12" w14:paraId="4B40AB1C" w14:textId="77777777" w:rsidTr="003865ED">
        <w:trPr>
          <w:trHeight w:val="255"/>
          <w:jc w:val="center"/>
        </w:trPr>
        <w:tc>
          <w:tcPr>
            <w:tcW w:w="2142" w:type="dxa"/>
            <w:noWrap/>
            <w:hideMark/>
          </w:tcPr>
          <w:p w14:paraId="34389DCB" w14:textId="77777777" w:rsidR="00811745" w:rsidRPr="004A0C12" w:rsidRDefault="00811745" w:rsidP="00811745">
            <w:pPr>
              <w:rPr>
                <w:rFonts w:ascii="Garamond" w:hAnsi="Garamond"/>
                <w:sz w:val="22"/>
                <w:szCs w:val="22"/>
              </w:rPr>
            </w:pPr>
          </w:p>
        </w:tc>
        <w:tc>
          <w:tcPr>
            <w:tcW w:w="1530" w:type="dxa"/>
            <w:noWrap/>
            <w:hideMark/>
          </w:tcPr>
          <w:p w14:paraId="7B0A5028" w14:textId="77777777" w:rsidR="00811745" w:rsidRPr="004A0C12" w:rsidRDefault="00811745" w:rsidP="00811745">
            <w:pPr>
              <w:rPr>
                <w:rFonts w:ascii="Garamond" w:hAnsi="Garamond"/>
                <w:sz w:val="22"/>
                <w:szCs w:val="22"/>
              </w:rPr>
            </w:pPr>
          </w:p>
        </w:tc>
        <w:tc>
          <w:tcPr>
            <w:tcW w:w="2106" w:type="dxa"/>
            <w:noWrap/>
            <w:hideMark/>
          </w:tcPr>
          <w:p w14:paraId="55B1FF72" w14:textId="77777777" w:rsidR="00811745" w:rsidRPr="004A0C12" w:rsidRDefault="00811745" w:rsidP="00811745">
            <w:pPr>
              <w:rPr>
                <w:rFonts w:ascii="Garamond" w:hAnsi="Garamond"/>
                <w:sz w:val="22"/>
                <w:szCs w:val="22"/>
              </w:rPr>
            </w:pPr>
          </w:p>
        </w:tc>
        <w:tc>
          <w:tcPr>
            <w:tcW w:w="1810" w:type="dxa"/>
            <w:noWrap/>
            <w:hideMark/>
          </w:tcPr>
          <w:p w14:paraId="28A1AE6E" w14:textId="77777777" w:rsidR="00811745" w:rsidRPr="004A0C12" w:rsidRDefault="00811745" w:rsidP="00811745">
            <w:pPr>
              <w:rPr>
                <w:rFonts w:ascii="Garamond" w:hAnsi="Garamond"/>
                <w:sz w:val="22"/>
                <w:szCs w:val="22"/>
              </w:rPr>
            </w:pPr>
          </w:p>
        </w:tc>
        <w:tc>
          <w:tcPr>
            <w:tcW w:w="1376" w:type="dxa"/>
            <w:noWrap/>
            <w:hideMark/>
          </w:tcPr>
          <w:p w14:paraId="5DAD68A8"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6094E5CC" w14:textId="77777777" w:rsidR="00811745" w:rsidRPr="004A0C12" w:rsidRDefault="00811745" w:rsidP="00811745">
            <w:pPr>
              <w:rPr>
                <w:rFonts w:ascii="Garamond" w:hAnsi="Garamond"/>
                <w:sz w:val="22"/>
                <w:szCs w:val="22"/>
              </w:rPr>
            </w:pPr>
            <w:r w:rsidRPr="004A0C12">
              <w:rPr>
                <w:rFonts w:ascii="Garamond" w:hAnsi="Garamond"/>
                <w:sz w:val="22"/>
                <w:szCs w:val="22"/>
              </w:rPr>
              <w:t>8/29/2008</w:t>
            </w:r>
          </w:p>
        </w:tc>
      </w:tr>
      <w:tr w:rsidR="00811745" w:rsidRPr="004A0C12" w14:paraId="61B85C00" w14:textId="77777777" w:rsidTr="003865ED">
        <w:trPr>
          <w:trHeight w:val="255"/>
          <w:jc w:val="center"/>
        </w:trPr>
        <w:tc>
          <w:tcPr>
            <w:tcW w:w="10584" w:type="dxa"/>
            <w:gridSpan w:val="6"/>
            <w:noWrap/>
            <w:hideMark/>
          </w:tcPr>
          <w:p w14:paraId="0AF12F83" w14:textId="77777777" w:rsidR="00811745" w:rsidRPr="004A0C12" w:rsidRDefault="00811745" w:rsidP="00811745">
            <w:pPr>
              <w:rPr>
                <w:rFonts w:ascii="Garamond" w:hAnsi="Garamond"/>
                <w:sz w:val="22"/>
                <w:szCs w:val="22"/>
              </w:rPr>
            </w:pPr>
          </w:p>
        </w:tc>
      </w:tr>
      <w:tr w:rsidR="00811745" w:rsidRPr="004A0C12" w14:paraId="52D2352E" w14:textId="77777777" w:rsidTr="003865ED">
        <w:trPr>
          <w:trHeight w:val="255"/>
          <w:jc w:val="center"/>
        </w:trPr>
        <w:tc>
          <w:tcPr>
            <w:tcW w:w="2142" w:type="dxa"/>
            <w:noWrap/>
            <w:hideMark/>
          </w:tcPr>
          <w:p w14:paraId="78AE5AAA" w14:textId="77777777" w:rsidR="00811745" w:rsidRPr="004A0C12" w:rsidRDefault="00811745" w:rsidP="00811745">
            <w:pPr>
              <w:rPr>
                <w:rFonts w:ascii="Garamond" w:hAnsi="Garamond"/>
                <w:sz w:val="22"/>
                <w:szCs w:val="22"/>
              </w:rPr>
            </w:pPr>
            <w:r w:rsidRPr="004A0C12">
              <w:rPr>
                <w:rFonts w:ascii="Garamond" w:hAnsi="Garamond"/>
                <w:sz w:val="22"/>
                <w:szCs w:val="22"/>
              </w:rPr>
              <w:t>Cordia McArthur</w:t>
            </w:r>
          </w:p>
        </w:tc>
        <w:tc>
          <w:tcPr>
            <w:tcW w:w="1530" w:type="dxa"/>
            <w:noWrap/>
            <w:hideMark/>
          </w:tcPr>
          <w:p w14:paraId="53D936D3" w14:textId="77777777" w:rsidR="00811745" w:rsidRPr="004A0C12" w:rsidRDefault="00811745" w:rsidP="00811745">
            <w:pPr>
              <w:rPr>
                <w:rFonts w:ascii="Garamond" w:hAnsi="Garamond"/>
                <w:sz w:val="22"/>
                <w:szCs w:val="22"/>
              </w:rPr>
            </w:pPr>
            <w:r w:rsidRPr="004A0C12">
              <w:rPr>
                <w:rFonts w:ascii="Garamond" w:hAnsi="Garamond"/>
                <w:sz w:val="22"/>
                <w:szCs w:val="22"/>
              </w:rPr>
              <w:t>7/31/2001</w:t>
            </w:r>
          </w:p>
        </w:tc>
        <w:tc>
          <w:tcPr>
            <w:tcW w:w="2106" w:type="dxa"/>
            <w:noWrap/>
            <w:hideMark/>
          </w:tcPr>
          <w:p w14:paraId="4F191B49" w14:textId="77777777" w:rsidR="00811745" w:rsidRPr="004A0C12" w:rsidRDefault="00811745" w:rsidP="00811745">
            <w:pPr>
              <w:rPr>
                <w:rFonts w:ascii="Garamond" w:hAnsi="Garamond"/>
                <w:sz w:val="22"/>
                <w:szCs w:val="22"/>
              </w:rPr>
            </w:pPr>
            <w:r w:rsidRPr="004A0C12">
              <w:rPr>
                <w:rFonts w:ascii="Garamond" w:hAnsi="Garamond"/>
                <w:sz w:val="22"/>
                <w:szCs w:val="22"/>
              </w:rPr>
              <w:t>1/31/2003</w:t>
            </w:r>
          </w:p>
        </w:tc>
        <w:tc>
          <w:tcPr>
            <w:tcW w:w="1810" w:type="dxa"/>
            <w:noWrap/>
            <w:hideMark/>
          </w:tcPr>
          <w:p w14:paraId="1138A92C"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45BEB4CE"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402B290A" w14:textId="77777777" w:rsidR="00811745" w:rsidRPr="004A0C12" w:rsidRDefault="00811745" w:rsidP="00811745">
            <w:pPr>
              <w:rPr>
                <w:rFonts w:ascii="Garamond" w:hAnsi="Garamond"/>
                <w:sz w:val="22"/>
                <w:szCs w:val="22"/>
              </w:rPr>
            </w:pPr>
            <w:r w:rsidRPr="004A0C12">
              <w:rPr>
                <w:rFonts w:ascii="Garamond" w:hAnsi="Garamond"/>
                <w:sz w:val="22"/>
                <w:szCs w:val="22"/>
              </w:rPr>
              <w:t>11/2/2001</w:t>
            </w:r>
          </w:p>
        </w:tc>
      </w:tr>
      <w:tr w:rsidR="00811745" w:rsidRPr="004A0C12" w14:paraId="485EF8DF" w14:textId="77777777" w:rsidTr="003865ED">
        <w:trPr>
          <w:trHeight w:val="255"/>
          <w:jc w:val="center"/>
        </w:trPr>
        <w:tc>
          <w:tcPr>
            <w:tcW w:w="2142" w:type="dxa"/>
            <w:noWrap/>
            <w:hideMark/>
          </w:tcPr>
          <w:p w14:paraId="654F09AA" w14:textId="77777777" w:rsidR="00811745" w:rsidRPr="004A0C12" w:rsidRDefault="00811745" w:rsidP="00811745">
            <w:pPr>
              <w:rPr>
                <w:rFonts w:ascii="Garamond" w:hAnsi="Garamond"/>
                <w:sz w:val="22"/>
                <w:szCs w:val="22"/>
              </w:rPr>
            </w:pPr>
          </w:p>
        </w:tc>
        <w:tc>
          <w:tcPr>
            <w:tcW w:w="1530" w:type="dxa"/>
            <w:noWrap/>
            <w:hideMark/>
          </w:tcPr>
          <w:p w14:paraId="2432A470" w14:textId="77777777" w:rsidR="00811745" w:rsidRPr="004A0C12" w:rsidRDefault="00811745" w:rsidP="00811745">
            <w:pPr>
              <w:rPr>
                <w:rFonts w:ascii="Garamond" w:hAnsi="Garamond"/>
                <w:sz w:val="22"/>
                <w:szCs w:val="22"/>
              </w:rPr>
            </w:pPr>
          </w:p>
        </w:tc>
        <w:tc>
          <w:tcPr>
            <w:tcW w:w="2106" w:type="dxa"/>
            <w:noWrap/>
            <w:hideMark/>
          </w:tcPr>
          <w:p w14:paraId="45DB22D2" w14:textId="77777777" w:rsidR="00811745" w:rsidRPr="004A0C12" w:rsidRDefault="00811745" w:rsidP="00811745">
            <w:pPr>
              <w:rPr>
                <w:rFonts w:ascii="Garamond" w:hAnsi="Garamond"/>
                <w:sz w:val="22"/>
                <w:szCs w:val="22"/>
              </w:rPr>
            </w:pPr>
          </w:p>
        </w:tc>
        <w:tc>
          <w:tcPr>
            <w:tcW w:w="1810" w:type="dxa"/>
            <w:noWrap/>
            <w:hideMark/>
          </w:tcPr>
          <w:p w14:paraId="02D3ACBB" w14:textId="77777777" w:rsidR="00811745" w:rsidRPr="004A0C12" w:rsidRDefault="00811745" w:rsidP="00811745">
            <w:pPr>
              <w:rPr>
                <w:rFonts w:ascii="Garamond" w:hAnsi="Garamond"/>
                <w:sz w:val="22"/>
                <w:szCs w:val="22"/>
              </w:rPr>
            </w:pPr>
          </w:p>
        </w:tc>
        <w:tc>
          <w:tcPr>
            <w:tcW w:w="1376" w:type="dxa"/>
            <w:noWrap/>
            <w:hideMark/>
          </w:tcPr>
          <w:p w14:paraId="0D963EA1"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57ED5EE9" w14:textId="77777777" w:rsidR="00811745" w:rsidRPr="004A0C12" w:rsidRDefault="00811745" w:rsidP="00811745">
            <w:pPr>
              <w:rPr>
                <w:rFonts w:ascii="Garamond" w:hAnsi="Garamond"/>
                <w:sz w:val="22"/>
                <w:szCs w:val="22"/>
              </w:rPr>
            </w:pPr>
            <w:r w:rsidRPr="004A0C12">
              <w:rPr>
                <w:rFonts w:ascii="Garamond" w:hAnsi="Garamond"/>
                <w:sz w:val="22"/>
                <w:szCs w:val="22"/>
              </w:rPr>
              <w:t>8/26/2008</w:t>
            </w:r>
          </w:p>
        </w:tc>
      </w:tr>
      <w:tr w:rsidR="00811745" w:rsidRPr="004A0C12" w14:paraId="4ECB9F3D" w14:textId="77777777" w:rsidTr="003865ED">
        <w:trPr>
          <w:trHeight w:val="255"/>
          <w:jc w:val="center"/>
        </w:trPr>
        <w:tc>
          <w:tcPr>
            <w:tcW w:w="10584" w:type="dxa"/>
            <w:gridSpan w:val="6"/>
            <w:noWrap/>
            <w:hideMark/>
          </w:tcPr>
          <w:p w14:paraId="7E7E4FE2" w14:textId="77777777" w:rsidR="00811745" w:rsidRPr="004A0C12" w:rsidRDefault="00811745" w:rsidP="00811745">
            <w:pPr>
              <w:rPr>
                <w:rFonts w:ascii="Garamond" w:hAnsi="Garamond"/>
                <w:sz w:val="22"/>
                <w:szCs w:val="22"/>
              </w:rPr>
            </w:pPr>
          </w:p>
        </w:tc>
      </w:tr>
      <w:tr w:rsidR="00811745" w:rsidRPr="004A0C12" w14:paraId="4BF28EA8" w14:textId="77777777" w:rsidTr="003865ED">
        <w:trPr>
          <w:trHeight w:val="255"/>
          <w:jc w:val="center"/>
        </w:trPr>
        <w:tc>
          <w:tcPr>
            <w:tcW w:w="2142" w:type="dxa"/>
            <w:noWrap/>
            <w:hideMark/>
          </w:tcPr>
          <w:p w14:paraId="74A8D706" w14:textId="77777777" w:rsidR="00811745" w:rsidRPr="004A0C12" w:rsidRDefault="00811745" w:rsidP="00811745">
            <w:pPr>
              <w:rPr>
                <w:rFonts w:ascii="Garamond" w:hAnsi="Garamond"/>
                <w:sz w:val="22"/>
                <w:szCs w:val="22"/>
              </w:rPr>
            </w:pPr>
            <w:r w:rsidRPr="004A0C12">
              <w:rPr>
                <w:rFonts w:ascii="Garamond" w:hAnsi="Garamond"/>
                <w:sz w:val="22"/>
                <w:szCs w:val="22"/>
              </w:rPr>
              <w:t>Duane Mclean</w:t>
            </w:r>
          </w:p>
        </w:tc>
        <w:tc>
          <w:tcPr>
            <w:tcW w:w="1530" w:type="dxa"/>
            <w:noWrap/>
            <w:hideMark/>
          </w:tcPr>
          <w:p w14:paraId="0C4E08A7" w14:textId="77777777" w:rsidR="00811745" w:rsidRPr="004A0C12" w:rsidRDefault="00811745" w:rsidP="00811745">
            <w:pPr>
              <w:rPr>
                <w:rFonts w:ascii="Garamond" w:hAnsi="Garamond"/>
                <w:sz w:val="22"/>
                <w:szCs w:val="22"/>
              </w:rPr>
            </w:pPr>
            <w:r w:rsidRPr="004A0C12">
              <w:rPr>
                <w:rFonts w:ascii="Garamond" w:hAnsi="Garamond"/>
                <w:sz w:val="22"/>
                <w:szCs w:val="22"/>
              </w:rPr>
              <w:t>5/2/2012</w:t>
            </w:r>
          </w:p>
        </w:tc>
        <w:tc>
          <w:tcPr>
            <w:tcW w:w="2106" w:type="dxa"/>
            <w:noWrap/>
            <w:hideMark/>
          </w:tcPr>
          <w:p w14:paraId="28AEB1BB" w14:textId="77777777" w:rsidR="00811745" w:rsidRPr="004A0C12" w:rsidRDefault="00811745" w:rsidP="00811745">
            <w:pPr>
              <w:rPr>
                <w:rFonts w:ascii="Garamond" w:hAnsi="Garamond"/>
                <w:sz w:val="22"/>
                <w:szCs w:val="22"/>
              </w:rPr>
            </w:pPr>
            <w:r w:rsidRPr="004A0C12">
              <w:rPr>
                <w:rFonts w:ascii="Garamond" w:hAnsi="Garamond"/>
                <w:sz w:val="22"/>
                <w:szCs w:val="22"/>
              </w:rPr>
              <w:t>11/2/2013</w:t>
            </w:r>
          </w:p>
        </w:tc>
        <w:tc>
          <w:tcPr>
            <w:tcW w:w="1810" w:type="dxa"/>
            <w:noWrap/>
            <w:hideMark/>
          </w:tcPr>
          <w:p w14:paraId="50E51C36"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00783630"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1EC37880" w14:textId="77777777" w:rsidR="00811745" w:rsidRPr="004A0C12" w:rsidRDefault="00811745" w:rsidP="00811745">
            <w:pPr>
              <w:rPr>
                <w:rFonts w:ascii="Garamond" w:hAnsi="Garamond"/>
                <w:sz w:val="22"/>
                <w:szCs w:val="22"/>
              </w:rPr>
            </w:pPr>
            <w:r w:rsidRPr="004A0C12">
              <w:rPr>
                <w:rFonts w:ascii="Garamond" w:hAnsi="Garamond"/>
                <w:sz w:val="22"/>
                <w:szCs w:val="22"/>
              </w:rPr>
              <w:t>5/3/2013</w:t>
            </w:r>
          </w:p>
        </w:tc>
      </w:tr>
      <w:tr w:rsidR="00811745" w:rsidRPr="004A0C12" w14:paraId="4D831CDA" w14:textId="77777777" w:rsidTr="003865ED">
        <w:trPr>
          <w:trHeight w:val="255"/>
          <w:jc w:val="center"/>
        </w:trPr>
        <w:tc>
          <w:tcPr>
            <w:tcW w:w="2142" w:type="dxa"/>
            <w:noWrap/>
            <w:hideMark/>
          </w:tcPr>
          <w:p w14:paraId="3357A54D" w14:textId="77777777" w:rsidR="00811745" w:rsidRPr="004A0C12" w:rsidRDefault="00811745" w:rsidP="00811745">
            <w:pPr>
              <w:rPr>
                <w:rFonts w:ascii="Garamond" w:hAnsi="Garamond"/>
                <w:sz w:val="22"/>
                <w:szCs w:val="22"/>
              </w:rPr>
            </w:pPr>
          </w:p>
        </w:tc>
        <w:tc>
          <w:tcPr>
            <w:tcW w:w="1530" w:type="dxa"/>
            <w:noWrap/>
            <w:hideMark/>
          </w:tcPr>
          <w:p w14:paraId="446D4A2C" w14:textId="77777777" w:rsidR="00811745" w:rsidRPr="004A0C12" w:rsidRDefault="00811745" w:rsidP="00811745">
            <w:pPr>
              <w:rPr>
                <w:rFonts w:ascii="Garamond" w:hAnsi="Garamond"/>
                <w:sz w:val="22"/>
                <w:szCs w:val="22"/>
              </w:rPr>
            </w:pPr>
          </w:p>
        </w:tc>
        <w:tc>
          <w:tcPr>
            <w:tcW w:w="2106" w:type="dxa"/>
            <w:noWrap/>
            <w:hideMark/>
          </w:tcPr>
          <w:p w14:paraId="2FC3539A" w14:textId="77777777" w:rsidR="00811745" w:rsidRPr="004A0C12" w:rsidRDefault="00811745" w:rsidP="00811745">
            <w:pPr>
              <w:rPr>
                <w:rFonts w:ascii="Garamond" w:hAnsi="Garamond"/>
                <w:sz w:val="22"/>
                <w:szCs w:val="22"/>
              </w:rPr>
            </w:pPr>
          </w:p>
        </w:tc>
        <w:tc>
          <w:tcPr>
            <w:tcW w:w="1810" w:type="dxa"/>
            <w:noWrap/>
            <w:hideMark/>
          </w:tcPr>
          <w:p w14:paraId="736AF7B6" w14:textId="77777777" w:rsidR="00811745" w:rsidRPr="004A0C12" w:rsidRDefault="00811745" w:rsidP="00811745">
            <w:pPr>
              <w:rPr>
                <w:rFonts w:ascii="Garamond" w:hAnsi="Garamond"/>
                <w:sz w:val="22"/>
                <w:szCs w:val="22"/>
              </w:rPr>
            </w:pPr>
          </w:p>
        </w:tc>
        <w:tc>
          <w:tcPr>
            <w:tcW w:w="1376" w:type="dxa"/>
            <w:noWrap/>
            <w:hideMark/>
          </w:tcPr>
          <w:p w14:paraId="69ADE6DE"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4F7EC61D" w14:textId="77777777" w:rsidR="00811745" w:rsidRPr="004A0C12" w:rsidRDefault="00811745" w:rsidP="00811745">
            <w:pPr>
              <w:rPr>
                <w:rFonts w:ascii="Garamond" w:hAnsi="Garamond"/>
                <w:sz w:val="22"/>
                <w:szCs w:val="22"/>
              </w:rPr>
            </w:pPr>
            <w:r w:rsidRPr="004A0C12">
              <w:rPr>
                <w:rFonts w:ascii="Garamond" w:hAnsi="Garamond"/>
                <w:sz w:val="22"/>
                <w:szCs w:val="22"/>
              </w:rPr>
              <w:t>5/24/2013</w:t>
            </w:r>
          </w:p>
        </w:tc>
      </w:tr>
      <w:tr w:rsidR="00811745" w:rsidRPr="004A0C12" w14:paraId="49626763" w14:textId="77777777" w:rsidTr="003865ED">
        <w:trPr>
          <w:trHeight w:val="255"/>
          <w:jc w:val="center"/>
        </w:trPr>
        <w:tc>
          <w:tcPr>
            <w:tcW w:w="10584" w:type="dxa"/>
            <w:gridSpan w:val="6"/>
            <w:noWrap/>
            <w:hideMark/>
          </w:tcPr>
          <w:p w14:paraId="39F6BAA0" w14:textId="77777777" w:rsidR="00811745" w:rsidRPr="004A0C12" w:rsidRDefault="00811745" w:rsidP="00811745">
            <w:pPr>
              <w:rPr>
                <w:rFonts w:ascii="Garamond" w:hAnsi="Garamond"/>
                <w:sz w:val="22"/>
                <w:szCs w:val="22"/>
              </w:rPr>
            </w:pPr>
          </w:p>
        </w:tc>
      </w:tr>
      <w:tr w:rsidR="00811745" w:rsidRPr="004A0C12" w14:paraId="5C95D808" w14:textId="77777777" w:rsidTr="003865ED">
        <w:trPr>
          <w:trHeight w:val="255"/>
          <w:jc w:val="center"/>
        </w:trPr>
        <w:tc>
          <w:tcPr>
            <w:tcW w:w="2142" w:type="dxa"/>
            <w:noWrap/>
            <w:hideMark/>
          </w:tcPr>
          <w:p w14:paraId="5F2523F2" w14:textId="77777777" w:rsidR="00811745" w:rsidRPr="004A0C12" w:rsidRDefault="00811745" w:rsidP="00811745">
            <w:pPr>
              <w:rPr>
                <w:rFonts w:ascii="Garamond" w:hAnsi="Garamond"/>
                <w:sz w:val="22"/>
                <w:szCs w:val="22"/>
              </w:rPr>
            </w:pPr>
            <w:r w:rsidRPr="004A0C12">
              <w:rPr>
                <w:rFonts w:ascii="Garamond" w:hAnsi="Garamond"/>
                <w:sz w:val="22"/>
                <w:szCs w:val="22"/>
              </w:rPr>
              <w:t>Howard Mitchell</w:t>
            </w:r>
          </w:p>
        </w:tc>
        <w:tc>
          <w:tcPr>
            <w:tcW w:w="1530" w:type="dxa"/>
            <w:noWrap/>
            <w:hideMark/>
          </w:tcPr>
          <w:p w14:paraId="2EE0D2BB" w14:textId="77777777" w:rsidR="00811745" w:rsidRPr="004A0C12" w:rsidRDefault="00811745" w:rsidP="00811745">
            <w:pPr>
              <w:rPr>
                <w:rFonts w:ascii="Garamond" w:hAnsi="Garamond"/>
                <w:sz w:val="22"/>
                <w:szCs w:val="22"/>
              </w:rPr>
            </w:pPr>
            <w:r w:rsidRPr="004A0C12">
              <w:rPr>
                <w:rFonts w:ascii="Garamond" w:hAnsi="Garamond"/>
                <w:sz w:val="22"/>
                <w:szCs w:val="22"/>
              </w:rPr>
              <w:t>8/5/2015</w:t>
            </w:r>
          </w:p>
        </w:tc>
        <w:tc>
          <w:tcPr>
            <w:tcW w:w="2106" w:type="dxa"/>
            <w:noWrap/>
            <w:hideMark/>
          </w:tcPr>
          <w:p w14:paraId="02012548" w14:textId="77777777" w:rsidR="00811745" w:rsidRPr="004A0C12" w:rsidRDefault="00811745" w:rsidP="00811745">
            <w:pPr>
              <w:rPr>
                <w:rFonts w:ascii="Garamond" w:hAnsi="Garamond"/>
                <w:sz w:val="22"/>
                <w:szCs w:val="22"/>
              </w:rPr>
            </w:pPr>
            <w:r w:rsidRPr="004A0C12">
              <w:rPr>
                <w:rFonts w:ascii="Garamond" w:hAnsi="Garamond"/>
                <w:sz w:val="22"/>
                <w:szCs w:val="22"/>
              </w:rPr>
              <w:t>2/5/2017</w:t>
            </w:r>
          </w:p>
        </w:tc>
        <w:tc>
          <w:tcPr>
            <w:tcW w:w="1810" w:type="dxa"/>
            <w:noWrap/>
            <w:hideMark/>
          </w:tcPr>
          <w:p w14:paraId="00FFEA5E"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74CEB5E5"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3925074D" w14:textId="77777777" w:rsidR="00811745" w:rsidRPr="004A0C12" w:rsidRDefault="00811745" w:rsidP="00811745">
            <w:pPr>
              <w:rPr>
                <w:rFonts w:ascii="Garamond" w:hAnsi="Garamond"/>
                <w:sz w:val="22"/>
                <w:szCs w:val="22"/>
              </w:rPr>
            </w:pPr>
            <w:r w:rsidRPr="004A0C12">
              <w:rPr>
                <w:rFonts w:ascii="Garamond" w:hAnsi="Garamond"/>
                <w:sz w:val="22"/>
                <w:szCs w:val="22"/>
              </w:rPr>
              <w:t>2/26/2016</w:t>
            </w:r>
          </w:p>
        </w:tc>
      </w:tr>
      <w:tr w:rsidR="00811745" w:rsidRPr="004A0C12" w14:paraId="231FE5A1" w14:textId="77777777" w:rsidTr="003865ED">
        <w:trPr>
          <w:trHeight w:val="255"/>
          <w:jc w:val="center"/>
        </w:trPr>
        <w:tc>
          <w:tcPr>
            <w:tcW w:w="2142" w:type="dxa"/>
            <w:noWrap/>
            <w:hideMark/>
          </w:tcPr>
          <w:p w14:paraId="7B8D9A8C" w14:textId="77777777" w:rsidR="00811745" w:rsidRPr="004A0C12" w:rsidRDefault="00811745" w:rsidP="00811745">
            <w:pPr>
              <w:rPr>
                <w:rFonts w:ascii="Garamond" w:hAnsi="Garamond"/>
                <w:sz w:val="22"/>
                <w:szCs w:val="22"/>
              </w:rPr>
            </w:pPr>
          </w:p>
        </w:tc>
        <w:tc>
          <w:tcPr>
            <w:tcW w:w="1530" w:type="dxa"/>
            <w:noWrap/>
            <w:hideMark/>
          </w:tcPr>
          <w:p w14:paraId="026EDF6E" w14:textId="77777777" w:rsidR="00811745" w:rsidRPr="004A0C12" w:rsidRDefault="00811745" w:rsidP="00811745">
            <w:pPr>
              <w:rPr>
                <w:rFonts w:ascii="Garamond" w:hAnsi="Garamond"/>
                <w:sz w:val="22"/>
                <w:szCs w:val="22"/>
              </w:rPr>
            </w:pPr>
          </w:p>
        </w:tc>
        <w:tc>
          <w:tcPr>
            <w:tcW w:w="2106" w:type="dxa"/>
            <w:noWrap/>
            <w:hideMark/>
          </w:tcPr>
          <w:p w14:paraId="727E2818" w14:textId="77777777" w:rsidR="00811745" w:rsidRPr="004A0C12" w:rsidRDefault="00811745" w:rsidP="00811745">
            <w:pPr>
              <w:rPr>
                <w:rFonts w:ascii="Garamond" w:hAnsi="Garamond"/>
                <w:sz w:val="22"/>
                <w:szCs w:val="22"/>
              </w:rPr>
            </w:pPr>
          </w:p>
        </w:tc>
        <w:tc>
          <w:tcPr>
            <w:tcW w:w="1810" w:type="dxa"/>
            <w:noWrap/>
            <w:hideMark/>
          </w:tcPr>
          <w:p w14:paraId="6CD51635" w14:textId="77777777" w:rsidR="00811745" w:rsidRPr="004A0C12" w:rsidRDefault="00811745" w:rsidP="00811745">
            <w:pPr>
              <w:rPr>
                <w:rFonts w:ascii="Garamond" w:hAnsi="Garamond"/>
                <w:sz w:val="22"/>
                <w:szCs w:val="22"/>
              </w:rPr>
            </w:pPr>
          </w:p>
        </w:tc>
        <w:tc>
          <w:tcPr>
            <w:tcW w:w="1376" w:type="dxa"/>
            <w:noWrap/>
            <w:hideMark/>
          </w:tcPr>
          <w:p w14:paraId="45C1D8D4"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38A8144F" w14:textId="77777777" w:rsidR="00811745" w:rsidRPr="004A0C12" w:rsidRDefault="00811745" w:rsidP="00811745">
            <w:pPr>
              <w:rPr>
                <w:rFonts w:ascii="Garamond" w:hAnsi="Garamond"/>
                <w:sz w:val="22"/>
                <w:szCs w:val="22"/>
              </w:rPr>
            </w:pPr>
            <w:r w:rsidRPr="004A0C12">
              <w:rPr>
                <w:rFonts w:ascii="Garamond" w:hAnsi="Garamond"/>
                <w:sz w:val="22"/>
                <w:szCs w:val="22"/>
              </w:rPr>
              <w:t>*4/29/2016</w:t>
            </w:r>
          </w:p>
        </w:tc>
      </w:tr>
      <w:tr w:rsidR="00811745" w:rsidRPr="004A0C12" w14:paraId="6DAF1EFB" w14:textId="77777777" w:rsidTr="003865ED">
        <w:trPr>
          <w:trHeight w:val="255"/>
          <w:jc w:val="center"/>
        </w:trPr>
        <w:tc>
          <w:tcPr>
            <w:tcW w:w="10584" w:type="dxa"/>
            <w:gridSpan w:val="6"/>
            <w:noWrap/>
            <w:hideMark/>
          </w:tcPr>
          <w:p w14:paraId="19B91D8B" w14:textId="77777777" w:rsidR="00811745" w:rsidRPr="004A0C12" w:rsidRDefault="00811745" w:rsidP="00811745">
            <w:pPr>
              <w:rPr>
                <w:rFonts w:ascii="Garamond" w:hAnsi="Garamond"/>
                <w:sz w:val="22"/>
                <w:szCs w:val="22"/>
              </w:rPr>
            </w:pPr>
          </w:p>
        </w:tc>
      </w:tr>
      <w:tr w:rsidR="00811745" w:rsidRPr="004A0C12" w14:paraId="6083D3BA" w14:textId="77777777" w:rsidTr="003865ED">
        <w:trPr>
          <w:trHeight w:val="255"/>
          <w:jc w:val="center"/>
        </w:trPr>
        <w:tc>
          <w:tcPr>
            <w:tcW w:w="2142" w:type="dxa"/>
            <w:noWrap/>
            <w:hideMark/>
          </w:tcPr>
          <w:p w14:paraId="724479F1" w14:textId="77777777" w:rsidR="00811745" w:rsidRPr="004A0C12" w:rsidRDefault="00811745" w:rsidP="00811745">
            <w:pPr>
              <w:rPr>
                <w:rFonts w:ascii="Garamond" w:hAnsi="Garamond"/>
                <w:sz w:val="22"/>
                <w:szCs w:val="22"/>
              </w:rPr>
            </w:pPr>
            <w:r w:rsidRPr="004A0C12">
              <w:rPr>
                <w:rFonts w:ascii="Garamond" w:hAnsi="Garamond"/>
                <w:sz w:val="22"/>
                <w:szCs w:val="22"/>
              </w:rPr>
              <w:t>Boyd Moore</w:t>
            </w:r>
          </w:p>
        </w:tc>
        <w:tc>
          <w:tcPr>
            <w:tcW w:w="1530" w:type="dxa"/>
            <w:noWrap/>
            <w:hideMark/>
          </w:tcPr>
          <w:p w14:paraId="48070F02" w14:textId="77777777" w:rsidR="00811745" w:rsidRPr="004A0C12" w:rsidRDefault="00811745" w:rsidP="00811745">
            <w:pPr>
              <w:rPr>
                <w:rFonts w:ascii="Garamond" w:hAnsi="Garamond"/>
                <w:sz w:val="22"/>
                <w:szCs w:val="22"/>
              </w:rPr>
            </w:pPr>
            <w:r w:rsidRPr="004A0C12">
              <w:rPr>
                <w:rFonts w:ascii="Garamond" w:hAnsi="Garamond"/>
                <w:sz w:val="22"/>
                <w:szCs w:val="22"/>
              </w:rPr>
              <w:t>8/26/1998</w:t>
            </w:r>
          </w:p>
        </w:tc>
        <w:tc>
          <w:tcPr>
            <w:tcW w:w="2106" w:type="dxa"/>
            <w:noWrap/>
            <w:hideMark/>
          </w:tcPr>
          <w:p w14:paraId="51D78E53" w14:textId="77777777" w:rsidR="00811745" w:rsidRPr="004A0C12" w:rsidRDefault="00811745" w:rsidP="00811745">
            <w:pPr>
              <w:rPr>
                <w:rFonts w:ascii="Garamond" w:hAnsi="Garamond"/>
                <w:sz w:val="22"/>
                <w:szCs w:val="22"/>
              </w:rPr>
            </w:pPr>
            <w:r w:rsidRPr="004A0C12">
              <w:rPr>
                <w:rFonts w:ascii="Garamond" w:hAnsi="Garamond"/>
                <w:sz w:val="22"/>
                <w:szCs w:val="22"/>
              </w:rPr>
              <w:t>2/26/2000</w:t>
            </w:r>
          </w:p>
        </w:tc>
        <w:tc>
          <w:tcPr>
            <w:tcW w:w="1810" w:type="dxa"/>
            <w:noWrap/>
            <w:hideMark/>
          </w:tcPr>
          <w:p w14:paraId="557BF4BF"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0F692120"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4F288504" w14:textId="77777777" w:rsidR="00811745" w:rsidRPr="004A0C12" w:rsidRDefault="00811745" w:rsidP="00811745">
            <w:pPr>
              <w:rPr>
                <w:rFonts w:ascii="Garamond" w:hAnsi="Garamond"/>
                <w:sz w:val="22"/>
                <w:szCs w:val="22"/>
              </w:rPr>
            </w:pPr>
            <w:r w:rsidRPr="004A0C12">
              <w:rPr>
                <w:rFonts w:ascii="Garamond" w:hAnsi="Garamond"/>
                <w:sz w:val="22"/>
                <w:szCs w:val="22"/>
              </w:rPr>
              <w:t>2/11/1999</w:t>
            </w:r>
          </w:p>
        </w:tc>
      </w:tr>
      <w:tr w:rsidR="00811745" w:rsidRPr="004A0C12" w14:paraId="7D6F92B7" w14:textId="77777777" w:rsidTr="003865ED">
        <w:trPr>
          <w:trHeight w:val="255"/>
          <w:jc w:val="center"/>
        </w:trPr>
        <w:tc>
          <w:tcPr>
            <w:tcW w:w="2142" w:type="dxa"/>
            <w:noWrap/>
            <w:hideMark/>
          </w:tcPr>
          <w:p w14:paraId="3C5E6847" w14:textId="77777777" w:rsidR="00811745" w:rsidRPr="004A0C12" w:rsidRDefault="00811745" w:rsidP="00811745">
            <w:pPr>
              <w:rPr>
                <w:rFonts w:ascii="Garamond" w:hAnsi="Garamond"/>
                <w:sz w:val="22"/>
                <w:szCs w:val="22"/>
              </w:rPr>
            </w:pPr>
          </w:p>
        </w:tc>
        <w:tc>
          <w:tcPr>
            <w:tcW w:w="1530" w:type="dxa"/>
            <w:noWrap/>
            <w:hideMark/>
          </w:tcPr>
          <w:p w14:paraId="0CD3403E" w14:textId="77777777" w:rsidR="00811745" w:rsidRPr="004A0C12" w:rsidRDefault="00811745" w:rsidP="00811745">
            <w:pPr>
              <w:rPr>
                <w:rFonts w:ascii="Garamond" w:hAnsi="Garamond"/>
                <w:sz w:val="22"/>
                <w:szCs w:val="22"/>
              </w:rPr>
            </w:pPr>
          </w:p>
        </w:tc>
        <w:tc>
          <w:tcPr>
            <w:tcW w:w="2106" w:type="dxa"/>
            <w:noWrap/>
            <w:hideMark/>
          </w:tcPr>
          <w:p w14:paraId="1F5432D6" w14:textId="77777777" w:rsidR="00811745" w:rsidRPr="004A0C12" w:rsidRDefault="00811745" w:rsidP="00811745">
            <w:pPr>
              <w:rPr>
                <w:rFonts w:ascii="Garamond" w:hAnsi="Garamond"/>
                <w:sz w:val="22"/>
                <w:szCs w:val="22"/>
              </w:rPr>
            </w:pPr>
          </w:p>
        </w:tc>
        <w:tc>
          <w:tcPr>
            <w:tcW w:w="1810" w:type="dxa"/>
            <w:noWrap/>
            <w:hideMark/>
          </w:tcPr>
          <w:p w14:paraId="7C2F0AF0" w14:textId="77777777" w:rsidR="00811745" w:rsidRPr="004A0C12" w:rsidRDefault="00811745" w:rsidP="00811745">
            <w:pPr>
              <w:rPr>
                <w:rFonts w:ascii="Garamond" w:hAnsi="Garamond"/>
                <w:sz w:val="22"/>
                <w:szCs w:val="22"/>
              </w:rPr>
            </w:pPr>
          </w:p>
        </w:tc>
        <w:tc>
          <w:tcPr>
            <w:tcW w:w="1376" w:type="dxa"/>
            <w:noWrap/>
            <w:hideMark/>
          </w:tcPr>
          <w:p w14:paraId="33C3992B"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71D7C363" w14:textId="77777777" w:rsidR="00811745" w:rsidRPr="004A0C12" w:rsidRDefault="00811745" w:rsidP="00811745">
            <w:pPr>
              <w:rPr>
                <w:rFonts w:ascii="Garamond" w:hAnsi="Garamond"/>
                <w:sz w:val="22"/>
                <w:szCs w:val="22"/>
              </w:rPr>
            </w:pPr>
            <w:r w:rsidRPr="004A0C12">
              <w:rPr>
                <w:rFonts w:ascii="Garamond" w:hAnsi="Garamond"/>
                <w:sz w:val="22"/>
                <w:szCs w:val="22"/>
              </w:rPr>
              <w:t>9/24/1999</w:t>
            </w:r>
          </w:p>
        </w:tc>
      </w:tr>
      <w:tr w:rsidR="00811745" w:rsidRPr="004A0C12" w14:paraId="40593F4F" w14:textId="77777777" w:rsidTr="003865ED">
        <w:trPr>
          <w:trHeight w:val="255"/>
          <w:jc w:val="center"/>
        </w:trPr>
        <w:tc>
          <w:tcPr>
            <w:tcW w:w="10584" w:type="dxa"/>
            <w:gridSpan w:val="6"/>
            <w:noWrap/>
            <w:hideMark/>
          </w:tcPr>
          <w:p w14:paraId="3C5C69F2" w14:textId="77777777" w:rsidR="00811745" w:rsidRPr="004A0C12" w:rsidRDefault="00811745" w:rsidP="00811745">
            <w:pPr>
              <w:rPr>
                <w:rFonts w:ascii="Garamond" w:hAnsi="Garamond"/>
                <w:sz w:val="22"/>
                <w:szCs w:val="22"/>
              </w:rPr>
            </w:pPr>
          </w:p>
        </w:tc>
      </w:tr>
      <w:tr w:rsidR="00811745" w:rsidRPr="004A0C12" w14:paraId="798B23C6" w14:textId="77777777" w:rsidTr="003865ED">
        <w:trPr>
          <w:trHeight w:val="255"/>
          <w:jc w:val="center"/>
        </w:trPr>
        <w:tc>
          <w:tcPr>
            <w:tcW w:w="2142" w:type="dxa"/>
            <w:noWrap/>
            <w:hideMark/>
          </w:tcPr>
          <w:p w14:paraId="3ADE7DBC" w14:textId="77777777" w:rsidR="00811745" w:rsidRPr="004A0C12" w:rsidRDefault="00811745" w:rsidP="00811745">
            <w:pPr>
              <w:rPr>
                <w:rFonts w:ascii="Garamond" w:hAnsi="Garamond"/>
                <w:sz w:val="22"/>
                <w:szCs w:val="22"/>
              </w:rPr>
            </w:pPr>
            <w:r w:rsidRPr="004A0C12">
              <w:rPr>
                <w:rFonts w:ascii="Garamond" w:hAnsi="Garamond"/>
                <w:sz w:val="22"/>
                <w:szCs w:val="22"/>
              </w:rPr>
              <w:lastRenderedPageBreak/>
              <w:t>Michael Neil</w:t>
            </w:r>
          </w:p>
        </w:tc>
        <w:tc>
          <w:tcPr>
            <w:tcW w:w="1530" w:type="dxa"/>
            <w:noWrap/>
            <w:hideMark/>
          </w:tcPr>
          <w:p w14:paraId="048A6C71" w14:textId="77777777" w:rsidR="00811745" w:rsidRPr="004A0C12" w:rsidRDefault="00811745" w:rsidP="00811745">
            <w:pPr>
              <w:rPr>
                <w:rFonts w:ascii="Garamond" w:hAnsi="Garamond"/>
                <w:sz w:val="22"/>
                <w:szCs w:val="22"/>
              </w:rPr>
            </w:pPr>
            <w:r w:rsidRPr="004A0C12">
              <w:rPr>
                <w:rFonts w:ascii="Garamond" w:hAnsi="Garamond"/>
                <w:sz w:val="22"/>
                <w:szCs w:val="22"/>
              </w:rPr>
              <w:t>9/10/2008</w:t>
            </w:r>
          </w:p>
        </w:tc>
        <w:tc>
          <w:tcPr>
            <w:tcW w:w="2106" w:type="dxa"/>
            <w:noWrap/>
            <w:hideMark/>
          </w:tcPr>
          <w:p w14:paraId="4D6EE80B" w14:textId="77777777" w:rsidR="00811745" w:rsidRPr="004A0C12" w:rsidRDefault="00811745" w:rsidP="00811745">
            <w:pPr>
              <w:rPr>
                <w:rFonts w:ascii="Garamond" w:hAnsi="Garamond"/>
                <w:sz w:val="22"/>
                <w:szCs w:val="22"/>
              </w:rPr>
            </w:pPr>
            <w:r w:rsidRPr="004A0C12">
              <w:rPr>
                <w:rFonts w:ascii="Garamond" w:hAnsi="Garamond"/>
                <w:sz w:val="22"/>
                <w:szCs w:val="22"/>
              </w:rPr>
              <w:t>3/10/2010</w:t>
            </w:r>
          </w:p>
        </w:tc>
        <w:tc>
          <w:tcPr>
            <w:tcW w:w="1810" w:type="dxa"/>
            <w:noWrap/>
            <w:hideMark/>
          </w:tcPr>
          <w:p w14:paraId="32C8C24B"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5AD277FC" w14:textId="77777777" w:rsidR="00811745" w:rsidRPr="004A0C12" w:rsidRDefault="00811745" w:rsidP="00811745">
            <w:pPr>
              <w:rPr>
                <w:rFonts w:ascii="Garamond" w:hAnsi="Garamond"/>
                <w:sz w:val="22"/>
                <w:szCs w:val="22"/>
              </w:rPr>
            </w:pPr>
            <w:r w:rsidRPr="004A0C12">
              <w:rPr>
                <w:rFonts w:ascii="Garamond" w:hAnsi="Garamond"/>
                <w:sz w:val="22"/>
                <w:szCs w:val="22"/>
              </w:rPr>
              <w:t>LES (VA)</w:t>
            </w:r>
          </w:p>
        </w:tc>
        <w:tc>
          <w:tcPr>
            <w:tcW w:w="1620" w:type="dxa"/>
            <w:noWrap/>
            <w:hideMark/>
          </w:tcPr>
          <w:p w14:paraId="5751D5FD" w14:textId="77777777" w:rsidR="00811745" w:rsidRPr="004A0C12" w:rsidRDefault="00811745" w:rsidP="00811745">
            <w:pPr>
              <w:rPr>
                <w:rFonts w:ascii="Garamond" w:hAnsi="Garamond"/>
                <w:sz w:val="22"/>
                <w:szCs w:val="22"/>
              </w:rPr>
            </w:pPr>
            <w:r w:rsidRPr="004A0C12">
              <w:rPr>
                <w:rFonts w:ascii="Garamond" w:hAnsi="Garamond"/>
                <w:sz w:val="22"/>
                <w:szCs w:val="22"/>
              </w:rPr>
              <w:t>4/13/1999</w:t>
            </w:r>
          </w:p>
        </w:tc>
      </w:tr>
      <w:tr w:rsidR="00811745" w:rsidRPr="004A0C12" w14:paraId="5B4BEC10" w14:textId="77777777" w:rsidTr="003865ED">
        <w:trPr>
          <w:trHeight w:val="255"/>
          <w:jc w:val="center"/>
        </w:trPr>
        <w:tc>
          <w:tcPr>
            <w:tcW w:w="2142" w:type="dxa"/>
            <w:noWrap/>
            <w:hideMark/>
          </w:tcPr>
          <w:p w14:paraId="69E84D1A" w14:textId="77777777" w:rsidR="00811745" w:rsidRPr="004A0C12" w:rsidRDefault="00811745" w:rsidP="00811745">
            <w:pPr>
              <w:rPr>
                <w:rFonts w:ascii="Garamond" w:hAnsi="Garamond"/>
                <w:sz w:val="22"/>
                <w:szCs w:val="22"/>
              </w:rPr>
            </w:pPr>
          </w:p>
        </w:tc>
        <w:tc>
          <w:tcPr>
            <w:tcW w:w="1530" w:type="dxa"/>
            <w:noWrap/>
            <w:hideMark/>
          </w:tcPr>
          <w:p w14:paraId="0FE2C720" w14:textId="77777777" w:rsidR="00811745" w:rsidRPr="004A0C12" w:rsidRDefault="00811745" w:rsidP="00811745">
            <w:pPr>
              <w:rPr>
                <w:rFonts w:ascii="Garamond" w:hAnsi="Garamond"/>
                <w:sz w:val="22"/>
                <w:szCs w:val="22"/>
              </w:rPr>
            </w:pPr>
          </w:p>
        </w:tc>
        <w:tc>
          <w:tcPr>
            <w:tcW w:w="2106" w:type="dxa"/>
            <w:noWrap/>
            <w:hideMark/>
          </w:tcPr>
          <w:p w14:paraId="09FDC097" w14:textId="77777777" w:rsidR="00811745" w:rsidRPr="004A0C12" w:rsidRDefault="00811745" w:rsidP="00811745">
            <w:pPr>
              <w:rPr>
                <w:rFonts w:ascii="Garamond" w:hAnsi="Garamond"/>
                <w:sz w:val="22"/>
                <w:szCs w:val="22"/>
              </w:rPr>
            </w:pPr>
          </w:p>
        </w:tc>
        <w:tc>
          <w:tcPr>
            <w:tcW w:w="1810" w:type="dxa"/>
            <w:noWrap/>
            <w:hideMark/>
          </w:tcPr>
          <w:p w14:paraId="66D2098A" w14:textId="77777777" w:rsidR="00811745" w:rsidRPr="004A0C12" w:rsidRDefault="00811745" w:rsidP="00811745">
            <w:pPr>
              <w:rPr>
                <w:rFonts w:ascii="Garamond" w:hAnsi="Garamond"/>
                <w:sz w:val="22"/>
                <w:szCs w:val="22"/>
              </w:rPr>
            </w:pPr>
          </w:p>
        </w:tc>
        <w:tc>
          <w:tcPr>
            <w:tcW w:w="1376" w:type="dxa"/>
            <w:noWrap/>
            <w:hideMark/>
          </w:tcPr>
          <w:p w14:paraId="22C4E52D" w14:textId="77777777" w:rsidR="00811745" w:rsidRPr="004A0C12" w:rsidRDefault="00811745" w:rsidP="00811745">
            <w:pPr>
              <w:rPr>
                <w:rFonts w:ascii="Garamond" w:hAnsi="Garamond"/>
                <w:sz w:val="22"/>
                <w:szCs w:val="22"/>
              </w:rPr>
            </w:pPr>
            <w:r w:rsidRPr="004A0C12">
              <w:rPr>
                <w:rFonts w:ascii="Garamond" w:hAnsi="Garamond"/>
                <w:sz w:val="22"/>
                <w:szCs w:val="22"/>
              </w:rPr>
              <w:t>CM (VA)</w:t>
            </w:r>
          </w:p>
        </w:tc>
        <w:tc>
          <w:tcPr>
            <w:tcW w:w="1620" w:type="dxa"/>
            <w:noWrap/>
            <w:hideMark/>
          </w:tcPr>
          <w:p w14:paraId="7698B45B" w14:textId="77777777" w:rsidR="00811745" w:rsidRPr="004A0C12" w:rsidRDefault="00811745" w:rsidP="00811745">
            <w:pPr>
              <w:rPr>
                <w:rFonts w:ascii="Garamond" w:hAnsi="Garamond"/>
                <w:sz w:val="22"/>
                <w:szCs w:val="22"/>
              </w:rPr>
            </w:pPr>
            <w:r w:rsidRPr="004A0C12">
              <w:rPr>
                <w:rFonts w:ascii="Garamond" w:hAnsi="Garamond"/>
                <w:sz w:val="22"/>
                <w:szCs w:val="22"/>
              </w:rPr>
              <w:t>8/27/1999</w:t>
            </w:r>
          </w:p>
        </w:tc>
      </w:tr>
      <w:tr w:rsidR="00811745" w:rsidRPr="004A0C12" w14:paraId="0ADAD25D" w14:textId="77777777" w:rsidTr="003865ED">
        <w:trPr>
          <w:trHeight w:val="255"/>
          <w:jc w:val="center"/>
        </w:trPr>
        <w:tc>
          <w:tcPr>
            <w:tcW w:w="2142" w:type="dxa"/>
            <w:noWrap/>
            <w:hideMark/>
          </w:tcPr>
          <w:p w14:paraId="0AABF5F6" w14:textId="77777777" w:rsidR="00811745" w:rsidRPr="004A0C12" w:rsidRDefault="00811745" w:rsidP="00811745">
            <w:pPr>
              <w:rPr>
                <w:rFonts w:ascii="Garamond" w:hAnsi="Garamond"/>
                <w:sz w:val="22"/>
                <w:szCs w:val="22"/>
              </w:rPr>
            </w:pPr>
          </w:p>
        </w:tc>
        <w:tc>
          <w:tcPr>
            <w:tcW w:w="1530" w:type="dxa"/>
            <w:noWrap/>
            <w:hideMark/>
          </w:tcPr>
          <w:p w14:paraId="0207912C" w14:textId="77777777" w:rsidR="00811745" w:rsidRPr="004A0C12" w:rsidRDefault="00811745" w:rsidP="00811745">
            <w:pPr>
              <w:rPr>
                <w:rFonts w:ascii="Garamond" w:hAnsi="Garamond"/>
                <w:sz w:val="22"/>
                <w:szCs w:val="22"/>
              </w:rPr>
            </w:pPr>
          </w:p>
        </w:tc>
        <w:tc>
          <w:tcPr>
            <w:tcW w:w="2106" w:type="dxa"/>
            <w:noWrap/>
            <w:hideMark/>
          </w:tcPr>
          <w:p w14:paraId="7758FE4D" w14:textId="77777777" w:rsidR="00811745" w:rsidRPr="004A0C12" w:rsidRDefault="00811745" w:rsidP="00811745">
            <w:pPr>
              <w:rPr>
                <w:rFonts w:ascii="Garamond" w:hAnsi="Garamond"/>
                <w:sz w:val="22"/>
                <w:szCs w:val="22"/>
              </w:rPr>
            </w:pPr>
          </w:p>
        </w:tc>
        <w:tc>
          <w:tcPr>
            <w:tcW w:w="1810" w:type="dxa"/>
            <w:noWrap/>
            <w:hideMark/>
          </w:tcPr>
          <w:p w14:paraId="2C20CE75" w14:textId="77777777" w:rsidR="00811745" w:rsidRPr="004A0C12" w:rsidRDefault="00811745" w:rsidP="00811745">
            <w:pPr>
              <w:rPr>
                <w:rFonts w:ascii="Garamond" w:hAnsi="Garamond"/>
                <w:sz w:val="22"/>
                <w:szCs w:val="22"/>
              </w:rPr>
            </w:pPr>
          </w:p>
        </w:tc>
        <w:tc>
          <w:tcPr>
            <w:tcW w:w="1376" w:type="dxa"/>
            <w:noWrap/>
            <w:hideMark/>
          </w:tcPr>
          <w:p w14:paraId="019D19ED" w14:textId="77777777" w:rsidR="00811745" w:rsidRPr="004A0C12" w:rsidRDefault="00811745" w:rsidP="00811745">
            <w:pPr>
              <w:rPr>
                <w:rFonts w:ascii="Garamond" w:hAnsi="Garamond"/>
                <w:sz w:val="22"/>
                <w:szCs w:val="22"/>
              </w:rPr>
            </w:pPr>
            <w:r w:rsidRPr="004A0C12">
              <w:rPr>
                <w:rFonts w:ascii="Garamond" w:hAnsi="Garamond"/>
                <w:sz w:val="22"/>
                <w:szCs w:val="22"/>
              </w:rPr>
              <w:t>PPE</w:t>
            </w:r>
          </w:p>
        </w:tc>
        <w:tc>
          <w:tcPr>
            <w:tcW w:w="1620" w:type="dxa"/>
            <w:noWrap/>
            <w:hideMark/>
          </w:tcPr>
          <w:p w14:paraId="02F84E27" w14:textId="77777777" w:rsidR="00811745" w:rsidRPr="004A0C12" w:rsidRDefault="00811745" w:rsidP="00811745">
            <w:pPr>
              <w:rPr>
                <w:rFonts w:ascii="Garamond" w:hAnsi="Garamond"/>
                <w:sz w:val="22"/>
                <w:szCs w:val="22"/>
              </w:rPr>
            </w:pPr>
            <w:r w:rsidRPr="004A0C12">
              <w:rPr>
                <w:rFonts w:ascii="Garamond" w:hAnsi="Garamond"/>
                <w:sz w:val="22"/>
                <w:szCs w:val="22"/>
              </w:rPr>
              <w:t>5/7/2010</w:t>
            </w:r>
          </w:p>
        </w:tc>
      </w:tr>
      <w:tr w:rsidR="00811745" w:rsidRPr="004A0C12" w14:paraId="28FE4BE3" w14:textId="77777777" w:rsidTr="003865ED">
        <w:trPr>
          <w:trHeight w:val="255"/>
          <w:jc w:val="center"/>
        </w:trPr>
        <w:tc>
          <w:tcPr>
            <w:tcW w:w="10584" w:type="dxa"/>
            <w:gridSpan w:val="6"/>
            <w:noWrap/>
            <w:hideMark/>
          </w:tcPr>
          <w:p w14:paraId="07C4EE80" w14:textId="77777777" w:rsidR="00811745" w:rsidRPr="004A0C12" w:rsidRDefault="00811745" w:rsidP="00811745">
            <w:pPr>
              <w:rPr>
                <w:rFonts w:ascii="Garamond" w:hAnsi="Garamond"/>
                <w:sz w:val="22"/>
                <w:szCs w:val="22"/>
              </w:rPr>
            </w:pPr>
          </w:p>
        </w:tc>
      </w:tr>
      <w:tr w:rsidR="00811745" w:rsidRPr="004A0C12" w14:paraId="74358CC4" w14:textId="77777777" w:rsidTr="003865ED">
        <w:trPr>
          <w:trHeight w:val="255"/>
          <w:jc w:val="center"/>
        </w:trPr>
        <w:tc>
          <w:tcPr>
            <w:tcW w:w="2142" w:type="dxa"/>
            <w:noWrap/>
            <w:hideMark/>
          </w:tcPr>
          <w:p w14:paraId="3EB2045D" w14:textId="77777777" w:rsidR="00811745" w:rsidRPr="004A0C12" w:rsidRDefault="00811745" w:rsidP="00811745">
            <w:pPr>
              <w:rPr>
                <w:rFonts w:ascii="Garamond" w:hAnsi="Garamond"/>
                <w:sz w:val="22"/>
                <w:szCs w:val="22"/>
              </w:rPr>
            </w:pPr>
            <w:r w:rsidRPr="004A0C12">
              <w:rPr>
                <w:rFonts w:ascii="Garamond" w:hAnsi="Garamond"/>
                <w:sz w:val="22"/>
                <w:szCs w:val="22"/>
              </w:rPr>
              <w:t>Robert Pelletier</w:t>
            </w:r>
          </w:p>
        </w:tc>
        <w:tc>
          <w:tcPr>
            <w:tcW w:w="1530" w:type="dxa"/>
            <w:noWrap/>
            <w:hideMark/>
          </w:tcPr>
          <w:p w14:paraId="4E5E320C" w14:textId="77777777" w:rsidR="00811745" w:rsidRPr="004A0C12" w:rsidRDefault="00811745" w:rsidP="00811745">
            <w:pPr>
              <w:rPr>
                <w:rFonts w:ascii="Garamond" w:hAnsi="Garamond"/>
                <w:sz w:val="22"/>
                <w:szCs w:val="22"/>
              </w:rPr>
            </w:pPr>
            <w:r w:rsidRPr="004A0C12">
              <w:rPr>
                <w:rFonts w:ascii="Garamond" w:hAnsi="Garamond"/>
                <w:sz w:val="22"/>
                <w:szCs w:val="22"/>
              </w:rPr>
              <w:t>6/17/2004</w:t>
            </w:r>
          </w:p>
        </w:tc>
        <w:tc>
          <w:tcPr>
            <w:tcW w:w="2106" w:type="dxa"/>
            <w:noWrap/>
            <w:hideMark/>
          </w:tcPr>
          <w:p w14:paraId="0EB2D8D2" w14:textId="77777777" w:rsidR="00811745" w:rsidRPr="004A0C12" w:rsidRDefault="00811745" w:rsidP="00811745">
            <w:pPr>
              <w:rPr>
                <w:rFonts w:ascii="Garamond" w:hAnsi="Garamond"/>
                <w:sz w:val="22"/>
                <w:szCs w:val="22"/>
              </w:rPr>
            </w:pPr>
            <w:r w:rsidRPr="004A0C12">
              <w:rPr>
                <w:rFonts w:ascii="Garamond" w:hAnsi="Garamond"/>
                <w:sz w:val="22"/>
                <w:szCs w:val="22"/>
              </w:rPr>
              <w:t>12/17/2005</w:t>
            </w:r>
          </w:p>
        </w:tc>
        <w:tc>
          <w:tcPr>
            <w:tcW w:w="1810" w:type="dxa"/>
            <w:noWrap/>
            <w:hideMark/>
          </w:tcPr>
          <w:p w14:paraId="7E349753"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429E3D58"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4BA42BEA" w14:textId="77777777" w:rsidR="00811745" w:rsidRPr="004A0C12" w:rsidRDefault="00811745" w:rsidP="00811745">
            <w:pPr>
              <w:rPr>
                <w:rFonts w:ascii="Garamond" w:hAnsi="Garamond"/>
                <w:sz w:val="22"/>
                <w:szCs w:val="22"/>
              </w:rPr>
            </w:pPr>
            <w:r w:rsidRPr="004A0C12">
              <w:rPr>
                <w:rFonts w:ascii="Garamond" w:hAnsi="Garamond"/>
                <w:sz w:val="22"/>
                <w:szCs w:val="22"/>
              </w:rPr>
              <w:t>8/3/2001</w:t>
            </w:r>
          </w:p>
        </w:tc>
      </w:tr>
      <w:tr w:rsidR="00811745" w:rsidRPr="004A0C12" w14:paraId="4D280E1D" w14:textId="77777777" w:rsidTr="003865ED">
        <w:trPr>
          <w:trHeight w:val="255"/>
          <w:jc w:val="center"/>
        </w:trPr>
        <w:tc>
          <w:tcPr>
            <w:tcW w:w="2142" w:type="dxa"/>
            <w:noWrap/>
            <w:hideMark/>
          </w:tcPr>
          <w:p w14:paraId="45663676" w14:textId="77777777" w:rsidR="00811745" w:rsidRPr="004A0C12" w:rsidRDefault="00811745" w:rsidP="00811745">
            <w:pPr>
              <w:rPr>
                <w:rFonts w:ascii="Garamond" w:hAnsi="Garamond"/>
                <w:sz w:val="22"/>
                <w:szCs w:val="22"/>
              </w:rPr>
            </w:pPr>
          </w:p>
        </w:tc>
        <w:tc>
          <w:tcPr>
            <w:tcW w:w="1530" w:type="dxa"/>
            <w:noWrap/>
            <w:hideMark/>
          </w:tcPr>
          <w:p w14:paraId="7D441F0F" w14:textId="77777777" w:rsidR="00811745" w:rsidRPr="004A0C12" w:rsidRDefault="00811745" w:rsidP="00811745">
            <w:pPr>
              <w:rPr>
                <w:rFonts w:ascii="Garamond" w:hAnsi="Garamond"/>
                <w:sz w:val="22"/>
                <w:szCs w:val="22"/>
              </w:rPr>
            </w:pPr>
          </w:p>
        </w:tc>
        <w:tc>
          <w:tcPr>
            <w:tcW w:w="2106" w:type="dxa"/>
            <w:noWrap/>
            <w:hideMark/>
          </w:tcPr>
          <w:p w14:paraId="39688C9E" w14:textId="77777777" w:rsidR="00811745" w:rsidRPr="004A0C12" w:rsidRDefault="00811745" w:rsidP="00811745">
            <w:pPr>
              <w:rPr>
                <w:rFonts w:ascii="Garamond" w:hAnsi="Garamond"/>
                <w:sz w:val="22"/>
                <w:szCs w:val="22"/>
              </w:rPr>
            </w:pPr>
          </w:p>
        </w:tc>
        <w:tc>
          <w:tcPr>
            <w:tcW w:w="1810" w:type="dxa"/>
            <w:noWrap/>
            <w:hideMark/>
          </w:tcPr>
          <w:p w14:paraId="7AE76123" w14:textId="77777777" w:rsidR="00811745" w:rsidRPr="004A0C12" w:rsidRDefault="00811745" w:rsidP="00811745">
            <w:pPr>
              <w:rPr>
                <w:rFonts w:ascii="Garamond" w:hAnsi="Garamond"/>
                <w:sz w:val="22"/>
                <w:szCs w:val="22"/>
              </w:rPr>
            </w:pPr>
          </w:p>
        </w:tc>
        <w:tc>
          <w:tcPr>
            <w:tcW w:w="1376" w:type="dxa"/>
            <w:noWrap/>
            <w:hideMark/>
          </w:tcPr>
          <w:p w14:paraId="19867075"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5594EBD4" w14:textId="77777777" w:rsidR="00811745" w:rsidRPr="004A0C12" w:rsidRDefault="00811745" w:rsidP="00811745">
            <w:pPr>
              <w:rPr>
                <w:rFonts w:ascii="Garamond" w:hAnsi="Garamond"/>
                <w:sz w:val="22"/>
                <w:szCs w:val="22"/>
              </w:rPr>
            </w:pPr>
            <w:r w:rsidRPr="004A0C12">
              <w:rPr>
                <w:rFonts w:ascii="Garamond" w:hAnsi="Garamond"/>
                <w:sz w:val="22"/>
                <w:szCs w:val="22"/>
              </w:rPr>
              <w:t>6/28/2002</w:t>
            </w:r>
          </w:p>
        </w:tc>
      </w:tr>
      <w:tr w:rsidR="00811745" w:rsidRPr="004A0C12" w14:paraId="265829B0" w14:textId="77777777" w:rsidTr="003865ED">
        <w:trPr>
          <w:trHeight w:val="255"/>
          <w:jc w:val="center"/>
        </w:trPr>
        <w:tc>
          <w:tcPr>
            <w:tcW w:w="2142" w:type="dxa"/>
            <w:noWrap/>
            <w:hideMark/>
          </w:tcPr>
          <w:p w14:paraId="14B2502B" w14:textId="77777777" w:rsidR="00811745" w:rsidRPr="004A0C12" w:rsidRDefault="00811745" w:rsidP="00811745">
            <w:pPr>
              <w:rPr>
                <w:rFonts w:ascii="Garamond" w:hAnsi="Garamond"/>
                <w:sz w:val="22"/>
                <w:szCs w:val="22"/>
              </w:rPr>
            </w:pPr>
          </w:p>
        </w:tc>
        <w:tc>
          <w:tcPr>
            <w:tcW w:w="1530" w:type="dxa"/>
            <w:noWrap/>
            <w:hideMark/>
          </w:tcPr>
          <w:p w14:paraId="17BA4F1A" w14:textId="77777777" w:rsidR="00811745" w:rsidRPr="004A0C12" w:rsidRDefault="00811745" w:rsidP="00811745">
            <w:pPr>
              <w:rPr>
                <w:rFonts w:ascii="Garamond" w:hAnsi="Garamond"/>
                <w:sz w:val="22"/>
                <w:szCs w:val="22"/>
              </w:rPr>
            </w:pPr>
          </w:p>
        </w:tc>
        <w:tc>
          <w:tcPr>
            <w:tcW w:w="2106" w:type="dxa"/>
            <w:noWrap/>
            <w:hideMark/>
          </w:tcPr>
          <w:p w14:paraId="617944E0" w14:textId="77777777" w:rsidR="00811745" w:rsidRPr="004A0C12" w:rsidRDefault="00811745" w:rsidP="00811745">
            <w:pPr>
              <w:rPr>
                <w:rFonts w:ascii="Garamond" w:hAnsi="Garamond"/>
                <w:sz w:val="22"/>
                <w:szCs w:val="22"/>
              </w:rPr>
            </w:pPr>
          </w:p>
        </w:tc>
        <w:tc>
          <w:tcPr>
            <w:tcW w:w="1810" w:type="dxa"/>
            <w:noWrap/>
            <w:hideMark/>
          </w:tcPr>
          <w:p w14:paraId="04543A91" w14:textId="77777777" w:rsidR="00811745" w:rsidRPr="004A0C12" w:rsidRDefault="00811745" w:rsidP="00811745">
            <w:pPr>
              <w:rPr>
                <w:rFonts w:ascii="Garamond" w:hAnsi="Garamond"/>
                <w:sz w:val="22"/>
                <w:szCs w:val="22"/>
              </w:rPr>
            </w:pPr>
          </w:p>
        </w:tc>
        <w:tc>
          <w:tcPr>
            <w:tcW w:w="1376" w:type="dxa"/>
            <w:noWrap/>
            <w:hideMark/>
          </w:tcPr>
          <w:p w14:paraId="2E578373" w14:textId="77777777" w:rsidR="00811745" w:rsidRPr="004A0C12" w:rsidRDefault="00811745" w:rsidP="00811745">
            <w:pPr>
              <w:rPr>
                <w:rFonts w:ascii="Garamond" w:hAnsi="Garamond"/>
                <w:sz w:val="22"/>
                <w:szCs w:val="22"/>
              </w:rPr>
            </w:pPr>
            <w:r w:rsidRPr="004A0C12">
              <w:rPr>
                <w:rFonts w:ascii="Garamond" w:hAnsi="Garamond"/>
                <w:sz w:val="22"/>
                <w:szCs w:val="22"/>
              </w:rPr>
              <w:t>PPE</w:t>
            </w:r>
          </w:p>
        </w:tc>
        <w:tc>
          <w:tcPr>
            <w:tcW w:w="1620" w:type="dxa"/>
            <w:noWrap/>
            <w:hideMark/>
          </w:tcPr>
          <w:p w14:paraId="6E5AA426" w14:textId="77777777" w:rsidR="00811745" w:rsidRPr="004A0C12" w:rsidRDefault="00811745" w:rsidP="00811745">
            <w:pPr>
              <w:rPr>
                <w:rFonts w:ascii="Garamond" w:hAnsi="Garamond"/>
                <w:sz w:val="22"/>
                <w:szCs w:val="22"/>
              </w:rPr>
            </w:pPr>
            <w:r w:rsidRPr="004A0C12">
              <w:rPr>
                <w:rFonts w:ascii="Garamond" w:hAnsi="Garamond"/>
                <w:sz w:val="22"/>
                <w:szCs w:val="22"/>
              </w:rPr>
              <w:t>10/21/2005</w:t>
            </w:r>
          </w:p>
        </w:tc>
      </w:tr>
      <w:tr w:rsidR="00811745" w:rsidRPr="004A0C12" w14:paraId="0E5B83A6" w14:textId="77777777" w:rsidTr="003865ED">
        <w:trPr>
          <w:trHeight w:val="255"/>
          <w:jc w:val="center"/>
        </w:trPr>
        <w:tc>
          <w:tcPr>
            <w:tcW w:w="10584" w:type="dxa"/>
            <w:gridSpan w:val="6"/>
            <w:noWrap/>
            <w:hideMark/>
          </w:tcPr>
          <w:p w14:paraId="1F43FD5C" w14:textId="77777777" w:rsidR="00811745" w:rsidRPr="004A0C12" w:rsidRDefault="00811745" w:rsidP="00811745">
            <w:pPr>
              <w:rPr>
                <w:rFonts w:ascii="Garamond" w:hAnsi="Garamond"/>
                <w:sz w:val="22"/>
                <w:szCs w:val="22"/>
              </w:rPr>
            </w:pPr>
          </w:p>
        </w:tc>
      </w:tr>
      <w:tr w:rsidR="00811745" w:rsidRPr="004A0C12" w14:paraId="6C30ADBE" w14:textId="77777777" w:rsidTr="003865ED">
        <w:trPr>
          <w:trHeight w:val="255"/>
          <w:jc w:val="center"/>
        </w:trPr>
        <w:tc>
          <w:tcPr>
            <w:tcW w:w="2142" w:type="dxa"/>
            <w:noWrap/>
            <w:hideMark/>
          </w:tcPr>
          <w:p w14:paraId="67D626E2" w14:textId="77777777" w:rsidR="00811745" w:rsidRPr="004A0C12" w:rsidRDefault="00811745" w:rsidP="00811745">
            <w:pPr>
              <w:rPr>
                <w:rFonts w:ascii="Garamond" w:hAnsi="Garamond"/>
                <w:sz w:val="22"/>
                <w:szCs w:val="22"/>
              </w:rPr>
            </w:pPr>
            <w:r w:rsidRPr="004A0C12">
              <w:rPr>
                <w:rFonts w:ascii="Garamond" w:hAnsi="Garamond"/>
                <w:sz w:val="22"/>
                <w:szCs w:val="22"/>
              </w:rPr>
              <w:t>Mark Pindell</w:t>
            </w:r>
          </w:p>
        </w:tc>
        <w:tc>
          <w:tcPr>
            <w:tcW w:w="1530" w:type="dxa"/>
            <w:noWrap/>
            <w:hideMark/>
          </w:tcPr>
          <w:p w14:paraId="1D9E930E" w14:textId="77777777" w:rsidR="00811745" w:rsidRPr="004A0C12" w:rsidRDefault="00811745" w:rsidP="00811745">
            <w:pPr>
              <w:rPr>
                <w:rFonts w:ascii="Garamond" w:hAnsi="Garamond"/>
                <w:sz w:val="22"/>
                <w:szCs w:val="22"/>
              </w:rPr>
            </w:pPr>
            <w:r w:rsidRPr="004A0C12">
              <w:rPr>
                <w:rFonts w:ascii="Garamond" w:hAnsi="Garamond"/>
                <w:sz w:val="22"/>
                <w:szCs w:val="22"/>
              </w:rPr>
              <w:t>4/29/2015</w:t>
            </w:r>
          </w:p>
        </w:tc>
        <w:tc>
          <w:tcPr>
            <w:tcW w:w="2106" w:type="dxa"/>
            <w:noWrap/>
            <w:hideMark/>
          </w:tcPr>
          <w:p w14:paraId="677C4997" w14:textId="77777777" w:rsidR="00811745" w:rsidRPr="004A0C12" w:rsidRDefault="00811745" w:rsidP="00811745">
            <w:pPr>
              <w:rPr>
                <w:rFonts w:ascii="Garamond" w:hAnsi="Garamond"/>
                <w:sz w:val="22"/>
                <w:szCs w:val="22"/>
              </w:rPr>
            </w:pPr>
            <w:r w:rsidRPr="004A0C12">
              <w:rPr>
                <w:rFonts w:ascii="Garamond" w:hAnsi="Garamond"/>
                <w:sz w:val="22"/>
                <w:szCs w:val="22"/>
              </w:rPr>
              <w:t>10/29/2016</w:t>
            </w:r>
          </w:p>
        </w:tc>
        <w:tc>
          <w:tcPr>
            <w:tcW w:w="1810" w:type="dxa"/>
            <w:noWrap/>
            <w:hideMark/>
          </w:tcPr>
          <w:p w14:paraId="262006F7"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35B7F4CB"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6D36D906" w14:textId="77777777" w:rsidR="00811745" w:rsidRPr="004A0C12" w:rsidRDefault="00811745" w:rsidP="00811745">
            <w:pPr>
              <w:rPr>
                <w:rFonts w:ascii="Garamond" w:hAnsi="Garamond"/>
                <w:sz w:val="22"/>
                <w:szCs w:val="22"/>
              </w:rPr>
            </w:pPr>
            <w:r w:rsidRPr="004A0C12">
              <w:rPr>
                <w:rFonts w:ascii="Garamond" w:hAnsi="Garamond"/>
                <w:sz w:val="22"/>
                <w:szCs w:val="22"/>
              </w:rPr>
              <w:t>12/18/2015</w:t>
            </w:r>
          </w:p>
        </w:tc>
      </w:tr>
      <w:tr w:rsidR="00811745" w:rsidRPr="004A0C12" w14:paraId="0D18DD81" w14:textId="77777777" w:rsidTr="003865ED">
        <w:trPr>
          <w:trHeight w:val="255"/>
          <w:jc w:val="center"/>
        </w:trPr>
        <w:tc>
          <w:tcPr>
            <w:tcW w:w="2142" w:type="dxa"/>
            <w:noWrap/>
            <w:hideMark/>
          </w:tcPr>
          <w:p w14:paraId="228647E3" w14:textId="77777777" w:rsidR="00811745" w:rsidRPr="004A0C12" w:rsidRDefault="00811745" w:rsidP="00811745">
            <w:pPr>
              <w:rPr>
                <w:rFonts w:ascii="Garamond" w:hAnsi="Garamond"/>
                <w:sz w:val="22"/>
                <w:szCs w:val="22"/>
              </w:rPr>
            </w:pPr>
          </w:p>
        </w:tc>
        <w:tc>
          <w:tcPr>
            <w:tcW w:w="1530" w:type="dxa"/>
            <w:noWrap/>
            <w:hideMark/>
          </w:tcPr>
          <w:p w14:paraId="14809EAB" w14:textId="77777777" w:rsidR="00811745" w:rsidRPr="004A0C12" w:rsidRDefault="00811745" w:rsidP="00811745">
            <w:pPr>
              <w:rPr>
                <w:rFonts w:ascii="Garamond" w:hAnsi="Garamond"/>
                <w:sz w:val="22"/>
                <w:szCs w:val="22"/>
              </w:rPr>
            </w:pPr>
          </w:p>
        </w:tc>
        <w:tc>
          <w:tcPr>
            <w:tcW w:w="2106" w:type="dxa"/>
            <w:noWrap/>
            <w:hideMark/>
          </w:tcPr>
          <w:p w14:paraId="2553B960" w14:textId="77777777" w:rsidR="00811745" w:rsidRPr="004A0C12" w:rsidRDefault="00811745" w:rsidP="00811745">
            <w:pPr>
              <w:rPr>
                <w:rFonts w:ascii="Garamond" w:hAnsi="Garamond"/>
                <w:sz w:val="22"/>
                <w:szCs w:val="22"/>
              </w:rPr>
            </w:pPr>
          </w:p>
        </w:tc>
        <w:tc>
          <w:tcPr>
            <w:tcW w:w="1810" w:type="dxa"/>
            <w:noWrap/>
            <w:hideMark/>
          </w:tcPr>
          <w:p w14:paraId="17FB54A5" w14:textId="77777777" w:rsidR="00811745" w:rsidRPr="004A0C12" w:rsidRDefault="00811745" w:rsidP="00811745">
            <w:pPr>
              <w:rPr>
                <w:rFonts w:ascii="Garamond" w:hAnsi="Garamond"/>
                <w:sz w:val="22"/>
                <w:szCs w:val="22"/>
              </w:rPr>
            </w:pPr>
          </w:p>
        </w:tc>
        <w:tc>
          <w:tcPr>
            <w:tcW w:w="1376" w:type="dxa"/>
            <w:noWrap/>
            <w:hideMark/>
          </w:tcPr>
          <w:p w14:paraId="1FEAFD55" w14:textId="77777777" w:rsidR="00811745" w:rsidRPr="004A0C12" w:rsidRDefault="00811745" w:rsidP="00811745">
            <w:pPr>
              <w:rPr>
                <w:rFonts w:ascii="Garamond" w:hAnsi="Garamond"/>
                <w:sz w:val="22"/>
                <w:szCs w:val="22"/>
              </w:rPr>
            </w:pPr>
            <w:r w:rsidRPr="004A0C12">
              <w:rPr>
                <w:rFonts w:ascii="Garamond" w:hAnsi="Garamond"/>
                <w:sz w:val="22"/>
                <w:szCs w:val="22"/>
              </w:rPr>
              <w:t>EO</w:t>
            </w:r>
          </w:p>
        </w:tc>
        <w:tc>
          <w:tcPr>
            <w:tcW w:w="1620" w:type="dxa"/>
            <w:noWrap/>
            <w:hideMark/>
          </w:tcPr>
          <w:p w14:paraId="150572FC" w14:textId="77777777" w:rsidR="00811745" w:rsidRPr="004A0C12" w:rsidRDefault="00811745" w:rsidP="00811745">
            <w:pPr>
              <w:rPr>
                <w:rFonts w:ascii="Garamond" w:hAnsi="Garamond"/>
                <w:sz w:val="22"/>
                <w:szCs w:val="22"/>
              </w:rPr>
            </w:pPr>
            <w:r w:rsidRPr="004A0C12">
              <w:rPr>
                <w:rFonts w:ascii="Garamond" w:hAnsi="Garamond"/>
                <w:sz w:val="22"/>
                <w:szCs w:val="22"/>
              </w:rPr>
              <w:t>*4/15/2016</w:t>
            </w:r>
          </w:p>
        </w:tc>
      </w:tr>
      <w:tr w:rsidR="00811745" w:rsidRPr="004A0C12" w14:paraId="3F0B37B9" w14:textId="77777777" w:rsidTr="003865ED">
        <w:trPr>
          <w:trHeight w:val="255"/>
          <w:jc w:val="center"/>
        </w:trPr>
        <w:tc>
          <w:tcPr>
            <w:tcW w:w="10584" w:type="dxa"/>
            <w:gridSpan w:val="6"/>
            <w:noWrap/>
            <w:hideMark/>
          </w:tcPr>
          <w:p w14:paraId="0DF65AEF" w14:textId="77777777" w:rsidR="00811745" w:rsidRPr="004A0C12" w:rsidRDefault="00811745" w:rsidP="00811745">
            <w:pPr>
              <w:rPr>
                <w:rFonts w:ascii="Garamond" w:hAnsi="Garamond"/>
                <w:sz w:val="22"/>
                <w:szCs w:val="22"/>
              </w:rPr>
            </w:pPr>
          </w:p>
        </w:tc>
      </w:tr>
      <w:tr w:rsidR="00811745" w:rsidRPr="004A0C12" w14:paraId="09473A44" w14:textId="77777777" w:rsidTr="003865ED">
        <w:trPr>
          <w:trHeight w:val="255"/>
          <w:jc w:val="center"/>
        </w:trPr>
        <w:tc>
          <w:tcPr>
            <w:tcW w:w="2142" w:type="dxa"/>
            <w:noWrap/>
            <w:hideMark/>
          </w:tcPr>
          <w:p w14:paraId="2C659730" w14:textId="77777777" w:rsidR="00811745" w:rsidRPr="004A0C12" w:rsidRDefault="00811745" w:rsidP="00811745">
            <w:pPr>
              <w:rPr>
                <w:rFonts w:ascii="Garamond" w:hAnsi="Garamond"/>
                <w:sz w:val="22"/>
                <w:szCs w:val="22"/>
              </w:rPr>
            </w:pPr>
            <w:r w:rsidRPr="004A0C12">
              <w:rPr>
                <w:rFonts w:ascii="Garamond" w:hAnsi="Garamond"/>
                <w:sz w:val="22"/>
                <w:szCs w:val="22"/>
              </w:rPr>
              <w:t>Ronnette Purnell</w:t>
            </w:r>
          </w:p>
        </w:tc>
        <w:tc>
          <w:tcPr>
            <w:tcW w:w="1530" w:type="dxa"/>
            <w:noWrap/>
            <w:hideMark/>
          </w:tcPr>
          <w:p w14:paraId="5065E441" w14:textId="77777777" w:rsidR="00811745" w:rsidRPr="004A0C12" w:rsidRDefault="00811745" w:rsidP="00811745">
            <w:pPr>
              <w:rPr>
                <w:rFonts w:ascii="Garamond" w:hAnsi="Garamond"/>
                <w:sz w:val="22"/>
                <w:szCs w:val="22"/>
              </w:rPr>
            </w:pPr>
            <w:r w:rsidRPr="004A0C12">
              <w:rPr>
                <w:rFonts w:ascii="Garamond" w:hAnsi="Garamond"/>
                <w:sz w:val="22"/>
                <w:szCs w:val="22"/>
              </w:rPr>
              <w:t>9/1/2010</w:t>
            </w:r>
          </w:p>
        </w:tc>
        <w:tc>
          <w:tcPr>
            <w:tcW w:w="2106" w:type="dxa"/>
            <w:noWrap/>
            <w:hideMark/>
          </w:tcPr>
          <w:p w14:paraId="6FF266F4" w14:textId="77777777" w:rsidR="00811745" w:rsidRPr="004A0C12" w:rsidRDefault="00811745" w:rsidP="00811745">
            <w:pPr>
              <w:rPr>
                <w:rFonts w:ascii="Garamond" w:hAnsi="Garamond"/>
                <w:sz w:val="22"/>
                <w:szCs w:val="22"/>
              </w:rPr>
            </w:pPr>
            <w:r w:rsidRPr="004A0C12">
              <w:rPr>
                <w:rFonts w:ascii="Garamond" w:hAnsi="Garamond"/>
                <w:sz w:val="22"/>
                <w:szCs w:val="22"/>
              </w:rPr>
              <w:t>3/1/2012</w:t>
            </w:r>
          </w:p>
        </w:tc>
        <w:tc>
          <w:tcPr>
            <w:tcW w:w="1810" w:type="dxa"/>
            <w:noWrap/>
            <w:hideMark/>
          </w:tcPr>
          <w:p w14:paraId="41649A92"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4B8ABD83"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249528B4" w14:textId="77777777" w:rsidR="00811745" w:rsidRPr="004A0C12" w:rsidRDefault="00811745" w:rsidP="00811745">
            <w:pPr>
              <w:rPr>
                <w:rFonts w:ascii="Garamond" w:hAnsi="Garamond"/>
                <w:sz w:val="22"/>
                <w:szCs w:val="22"/>
              </w:rPr>
            </w:pPr>
            <w:r w:rsidRPr="004A0C12">
              <w:rPr>
                <w:rFonts w:ascii="Garamond" w:hAnsi="Garamond"/>
                <w:sz w:val="22"/>
                <w:szCs w:val="22"/>
              </w:rPr>
              <w:t>7/31/2009</w:t>
            </w:r>
          </w:p>
        </w:tc>
      </w:tr>
      <w:tr w:rsidR="00811745" w:rsidRPr="004A0C12" w14:paraId="2F80A815" w14:textId="77777777" w:rsidTr="003865ED">
        <w:trPr>
          <w:trHeight w:val="255"/>
          <w:jc w:val="center"/>
        </w:trPr>
        <w:tc>
          <w:tcPr>
            <w:tcW w:w="2142" w:type="dxa"/>
            <w:noWrap/>
            <w:hideMark/>
          </w:tcPr>
          <w:p w14:paraId="0C92F103" w14:textId="77777777" w:rsidR="00811745" w:rsidRPr="004A0C12" w:rsidRDefault="00811745" w:rsidP="00811745">
            <w:pPr>
              <w:rPr>
                <w:rFonts w:ascii="Garamond" w:hAnsi="Garamond"/>
                <w:sz w:val="22"/>
                <w:szCs w:val="22"/>
              </w:rPr>
            </w:pPr>
          </w:p>
        </w:tc>
        <w:tc>
          <w:tcPr>
            <w:tcW w:w="1530" w:type="dxa"/>
            <w:noWrap/>
            <w:hideMark/>
          </w:tcPr>
          <w:p w14:paraId="7C34BD4E" w14:textId="77777777" w:rsidR="00811745" w:rsidRPr="004A0C12" w:rsidRDefault="00811745" w:rsidP="00811745">
            <w:pPr>
              <w:rPr>
                <w:rFonts w:ascii="Garamond" w:hAnsi="Garamond"/>
                <w:sz w:val="22"/>
                <w:szCs w:val="22"/>
              </w:rPr>
            </w:pPr>
          </w:p>
        </w:tc>
        <w:tc>
          <w:tcPr>
            <w:tcW w:w="2106" w:type="dxa"/>
            <w:noWrap/>
            <w:hideMark/>
          </w:tcPr>
          <w:p w14:paraId="0E4F428A" w14:textId="77777777" w:rsidR="00811745" w:rsidRPr="004A0C12" w:rsidRDefault="00811745" w:rsidP="00811745">
            <w:pPr>
              <w:rPr>
                <w:rFonts w:ascii="Garamond" w:hAnsi="Garamond"/>
                <w:sz w:val="22"/>
                <w:szCs w:val="22"/>
              </w:rPr>
            </w:pPr>
          </w:p>
        </w:tc>
        <w:tc>
          <w:tcPr>
            <w:tcW w:w="1810" w:type="dxa"/>
            <w:noWrap/>
            <w:hideMark/>
          </w:tcPr>
          <w:p w14:paraId="11B85C83" w14:textId="77777777" w:rsidR="00811745" w:rsidRPr="004A0C12" w:rsidRDefault="00811745" w:rsidP="00811745">
            <w:pPr>
              <w:rPr>
                <w:rFonts w:ascii="Garamond" w:hAnsi="Garamond"/>
                <w:sz w:val="22"/>
                <w:szCs w:val="22"/>
              </w:rPr>
            </w:pPr>
          </w:p>
        </w:tc>
        <w:tc>
          <w:tcPr>
            <w:tcW w:w="1376" w:type="dxa"/>
            <w:noWrap/>
            <w:hideMark/>
          </w:tcPr>
          <w:p w14:paraId="68C1BFCA"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6BE79D0B" w14:textId="77777777" w:rsidR="00811745" w:rsidRPr="004A0C12" w:rsidRDefault="00811745" w:rsidP="00811745">
            <w:pPr>
              <w:rPr>
                <w:rFonts w:ascii="Garamond" w:hAnsi="Garamond"/>
                <w:sz w:val="22"/>
                <w:szCs w:val="22"/>
              </w:rPr>
            </w:pPr>
            <w:r w:rsidRPr="004A0C12">
              <w:rPr>
                <w:rFonts w:ascii="Garamond" w:hAnsi="Garamond"/>
                <w:sz w:val="22"/>
                <w:szCs w:val="22"/>
              </w:rPr>
              <w:t>9/4/2009</w:t>
            </w:r>
          </w:p>
        </w:tc>
      </w:tr>
      <w:tr w:rsidR="00811745" w:rsidRPr="004A0C12" w14:paraId="628A7998" w14:textId="77777777" w:rsidTr="003865ED">
        <w:trPr>
          <w:trHeight w:val="255"/>
          <w:jc w:val="center"/>
        </w:trPr>
        <w:tc>
          <w:tcPr>
            <w:tcW w:w="2142" w:type="dxa"/>
            <w:noWrap/>
            <w:hideMark/>
          </w:tcPr>
          <w:p w14:paraId="75BCF57B" w14:textId="77777777" w:rsidR="00811745" w:rsidRPr="004A0C12" w:rsidRDefault="00811745" w:rsidP="00811745">
            <w:pPr>
              <w:rPr>
                <w:rFonts w:ascii="Garamond" w:hAnsi="Garamond"/>
                <w:sz w:val="22"/>
                <w:szCs w:val="22"/>
              </w:rPr>
            </w:pPr>
          </w:p>
        </w:tc>
        <w:tc>
          <w:tcPr>
            <w:tcW w:w="1530" w:type="dxa"/>
            <w:noWrap/>
            <w:hideMark/>
          </w:tcPr>
          <w:p w14:paraId="6D22774D" w14:textId="77777777" w:rsidR="00811745" w:rsidRPr="004A0C12" w:rsidRDefault="00811745" w:rsidP="00811745">
            <w:pPr>
              <w:rPr>
                <w:rFonts w:ascii="Garamond" w:hAnsi="Garamond"/>
                <w:sz w:val="22"/>
                <w:szCs w:val="22"/>
              </w:rPr>
            </w:pPr>
          </w:p>
        </w:tc>
        <w:tc>
          <w:tcPr>
            <w:tcW w:w="2106" w:type="dxa"/>
            <w:noWrap/>
            <w:hideMark/>
          </w:tcPr>
          <w:p w14:paraId="5E47BC55" w14:textId="77777777" w:rsidR="00811745" w:rsidRPr="004A0C12" w:rsidRDefault="00811745" w:rsidP="00811745">
            <w:pPr>
              <w:rPr>
                <w:rFonts w:ascii="Garamond" w:hAnsi="Garamond"/>
                <w:sz w:val="22"/>
                <w:szCs w:val="22"/>
              </w:rPr>
            </w:pPr>
          </w:p>
        </w:tc>
        <w:tc>
          <w:tcPr>
            <w:tcW w:w="1810" w:type="dxa"/>
            <w:noWrap/>
            <w:hideMark/>
          </w:tcPr>
          <w:p w14:paraId="0110F05C" w14:textId="77777777" w:rsidR="00811745" w:rsidRPr="004A0C12" w:rsidRDefault="00811745" w:rsidP="00811745">
            <w:pPr>
              <w:rPr>
                <w:rFonts w:ascii="Garamond" w:hAnsi="Garamond"/>
                <w:sz w:val="22"/>
                <w:szCs w:val="22"/>
              </w:rPr>
            </w:pPr>
          </w:p>
        </w:tc>
        <w:tc>
          <w:tcPr>
            <w:tcW w:w="1376" w:type="dxa"/>
            <w:noWrap/>
            <w:hideMark/>
          </w:tcPr>
          <w:p w14:paraId="01E1A6FB" w14:textId="77777777" w:rsidR="00811745" w:rsidRPr="004A0C12" w:rsidRDefault="00811745" w:rsidP="00811745">
            <w:pPr>
              <w:rPr>
                <w:rFonts w:ascii="Garamond" w:hAnsi="Garamond"/>
                <w:sz w:val="22"/>
                <w:szCs w:val="22"/>
              </w:rPr>
            </w:pPr>
            <w:r w:rsidRPr="004A0C12">
              <w:rPr>
                <w:rFonts w:ascii="Garamond" w:hAnsi="Garamond"/>
                <w:sz w:val="22"/>
                <w:szCs w:val="22"/>
              </w:rPr>
              <w:t>PPE</w:t>
            </w:r>
          </w:p>
        </w:tc>
        <w:tc>
          <w:tcPr>
            <w:tcW w:w="1620" w:type="dxa"/>
            <w:noWrap/>
            <w:hideMark/>
          </w:tcPr>
          <w:p w14:paraId="48CFAF72" w14:textId="77777777" w:rsidR="00811745" w:rsidRPr="004A0C12" w:rsidRDefault="00811745" w:rsidP="00811745">
            <w:pPr>
              <w:rPr>
                <w:rFonts w:ascii="Garamond" w:hAnsi="Garamond"/>
                <w:sz w:val="22"/>
                <w:szCs w:val="22"/>
              </w:rPr>
            </w:pPr>
            <w:r w:rsidRPr="004A0C12">
              <w:rPr>
                <w:rFonts w:ascii="Garamond" w:hAnsi="Garamond"/>
                <w:sz w:val="22"/>
                <w:szCs w:val="22"/>
              </w:rPr>
              <w:t>5/13/2011</w:t>
            </w:r>
          </w:p>
        </w:tc>
      </w:tr>
      <w:tr w:rsidR="00811745" w:rsidRPr="004A0C12" w14:paraId="2608002D" w14:textId="77777777" w:rsidTr="003865ED">
        <w:trPr>
          <w:trHeight w:val="255"/>
          <w:jc w:val="center"/>
        </w:trPr>
        <w:tc>
          <w:tcPr>
            <w:tcW w:w="10584" w:type="dxa"/>
            <w:gridSpan w:val="6"/>
            <w:noWrap/>
            <w:hideMark/>
          </w:tcPr>
          <w:p w14:paraId="7567B141" w14:textId="77777777" w:rsidR="00811745" w:rsidRPr="004A0C12" w:rsidRDefault="00811745" w:rsidP="00811745">
            <w:pPr>
              <w:rPr>
                <w:rFonts w:ascii="Garamond" w:hAnsi="Garamond"/>
                <w:sz w:val="22"/>
                <w:szCs w:val="22"/>
              </w:rPr>
            </w:pPr>
          </w:p>
        </w:tc>
      </w:tr>
      <w:tr w:rsidR="00811745" w:rsidRPr="004A0C12" w14:paraId="2DD264A0" w14:textId="77777777" w:rsidTr="003865ED">
        <w:trPr>
          <w:trHeight w:val="255"/>
          <w:jc w:val="center"/>
        </w:trPr>
        <w:tc>
          <w:tcPr>
            <w:tcW w:w="2142" w:type="dxa"/>
            <w:noWrap/>
            <w:hideMark/>
          </w:tcPr>
          <w:p w14:paraId="1BFB980A" w14:textId="77777777" w:rsidR="00811745" w:rsidRPr="004A0C12" w:rsidRDefault="00811745" w:rsidP="00811745">
            <w:pPr>
              <w:rPr>
                <w:rFonts w:ascii="Garamond" w:hAnsi="Garamond"/>
                <w:sz w:val="22"/>
                <w:szCs w:val="22"/>
              </w:rPr>
            </w:pPr>
            <w:r w:rsidRPr="004A0C12">
              <w:rPr>
                <w:rFonts w:ascii="Garamond" w:hAnsi="Garamond"/>
                <w:sz w:val="22"/>
                <w:szCs w:val="22"/>
              </w:rPr>
              <w:t>Joseph Salacki</w:t>
            </w:r>
          </w:p>
        </w:tc>
        <w:tc>
          <w:tcPr>
            <w:tcW w:w="1530" w:type="dxa"/>
            <w:noWrap/>
            <w:hideMark/>
          </w:tcPr>
          <w:p w14:paraId="1E047B5F" w14:textId="77777777" w:rsidR="00811745" w:rsidRPr="004A0C12" w:rsidRDefault="00811745" w:rsidP="00811745">
            <w:pPr>
              <w:rPr>
                <w:rFonts w:ascii="Garamond" w:hAnsi="Garamond"/>
                <w:sz w:val="22"/>
                <w:szCs w:val="22"/>
              </w:rPr>
            </w:pPr>
            <w:r w:rsidRPr="004A0C12">
              <w:rPr>
                <w:rFonts w:ascii="Garamond" w:hAnsi="Garamond"/>
                <w:sz w:val="22"/>
                <w:szCs w:val="22"/>
              </w:rPr>
              <w:t>5/14/2008</w:t>
            </w:r>
          </w:p>
        </w:tc>
        <w:tc>
          <w:tcPr>
            <w:tcW w:w="2106" w:type="dxa"/>
            <w:noWrap/>
            <w:hideMark/>
          </w:tcPr>
          <w:p w14:paraId="2CFDA6C8" w14:textId="77777777" w:rsidR="00811745" w:rsidRPr="004A0C12" w:rsidRDefault="00811745" w:rsidP="00811745">
            <w:pPr>
              <w:rPr>
                <w:rFonts w:ascii="Garamond" w:hAnsi="Garamond"/>
                <w:sz w:val="22"/>
                <w:szCs w:val="22"/>
              </w:rPr>
            </w:pPr>
            <w:r w:rsidRPr="004A0C12">
              <w:rPr>
                <w:rFonts w:ascii="Garamond" w:hAnsi="Garamond"/>
                <w:sz w:val="22"/>
                <w:szCs w:val="22"/>
              </w:rPr>
              <w:t>11/14/2009</w:t>
            </w:r>
          </w:p>
        </w:tc>
        <w:tc>
          <w:tcPr>
            <w:tcW w:w="1810" w:type="dxa"/>
            <w:noWrap/>
            <w:hideMark/>
          </w:tcPr>
          <w:p w14:paraId="19F41422"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43B52F26"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18DE93A2" w14:textId="77777777" w:rsidR="00811745" w:rsidRPr="004A0C12" w:rsidRDefault="00811745" w:rsidP="00811745">
            <w:pPr>
              <w:rPr>
                <w:rFonts w:ascii="Garamond" w:hAnsi="Garamond"/>
                <w:sz w:val="22"/>
                <w:szCs w:val="22"/>
              </w:rPr>
            </w:pPr>
            <w:r w:rsidRPr="004A0C12">
              <w:rPr>
                <w:rFonts w:ascii="Garamond" w:hAnsi="Garamond"/>
                <w:sz w:val="22"/>
                <w:szCs w:val="22"/>
              </w:rPr>
              <w:t>5/15/2009</w:t>
            </w:r>
          </w:p>
        </w:tc>
      </w:tr>
      <w:tr w:rsidR="00811745" w:rsidRPr="004A0C12" w14:paraId="138DA549" w14:textId="77777777" w:rsidTr="003865ED">
        <w:trPr>
          <w:trHeight w:val="255"/>
          <w:jc w:val="center"/>
        </w:trPr>
        <w:tc>
          <w:tcPr>
            <w:tcW w:w="2142" w:type="dxa"/>
            <w:noWrap/>
            <w:hideMark/>
          </w:tcPr>
          <w:p w14:paraId="7B6B1F7E" w14:textId="77777777" w:rsidR="00811745" w:rsidRPr="004A0C12" w:rsidRDefault="00811745" w:rsidP="00811745">
            <w:pPr>
              <w:rPr>
                <w:rFonts w:ascii="Garamond" w:hAnsi="Garamond"/>
                <w:sz w:val="22"/>
                <w:szCs w:val="22"/>
              </w:rPr>
            </w:pPr>
          </w:p>
        </w:tc>
        <w:tc>
          <w:tcPr>
            <w:tcW w:w="1530" w:type="dxa"/>
            <w:noWrap/>
            <w:hideMark/>
          </w:tcPr>
          <w:p w14:paraId="57A42F04" w14:textId="77777777" w:rsidR="00811745" w:rsidRPr="004A0C12" w:rsidRDefault="00811745" w:rsidP="00811745">
            <w:pPr>
              <w:rPr>
                <w:rFonts w:ascii="Garamond" w:hAnsi="Garamond"/>
                <w:sz w:val="22"/>
                <w:szCs w:val="22"/>
              </w:rPr>
            </w:pPr>
          </w:p>
        </w:tc>
        <w:tc>
          <w:tcPr>
            <w:tcW w:w="2106" w:type="dxa"/>
            <w:noWrap/>
            <w:hideMark/>
          </w:tcPr>
          <w:p w14:paraId="50AC8B3D" w14:textId="77777777" w:rsidR="00811745" w:rsidRPr="004A0C12" w:rsidRDefault="00811745" w:rsidP="00811745">
            <w:pPr>
              <w:rPr>
                <w:rFonts w:ascii="Garamond" w:hAnsi="Garamond"/>
                <w:sz w:val="22"/>
                <w:szCs w:val="22"/>
              </w:rPr>
            </w:pPr>
          </w:p>
        </w:tc>
        <w:tc>
          <w:tcPr>
            <w:tcW w:w="1810" w:type="dxa"/>
            <w:noWrap/>
            <w:hideMark/>
          </w:tcPr>
          <w:p w14:paraId="06667463" w14:textId="77777777" w:rsidR="00811745" w:rsidRPr="004A0C12" w:rsidRDefault="00811745" w:rsidP="00811745">
            <w:pPr>
              <w:rPr>
                <w:rFonts w:ascii="Garamond" w:hAnsi="Garamond"/>
                <w:sz w:val="22"/>
                <w:szCs w:val="22"/>
              </w:rPr>
            </w:pPr>
          </w:p>
        </w:tc>
        <w:tc>
          <w:tcPr>
            <w:tcW w:w="1376" w:type="dxa"/>
            <w:noWrap/>
            <w:hideMark/>
          </w:tcPr>
          <w:p w14:paraId="238BA98C"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3FF42073" w14:textId="77777777" w:rsidR="00811745" w:rsidRPr="004A0C12" w:rsidRDefault="00811745" w:rsidP="00811745">
            <w:pPr>
              <w:rPr>
                <w:rFonts w:ascii="Garamond" w:hAnsi="Garamond"/>
                <w:sz w:val="22"/>
                <w:szCs w:val="22"/>
              </w:rPr>
            </w:pPr>
            <w:r w:rsidRPr="004A0C12">
              <w:rPr>
                <w:rFonts w:ascii="Garamond" w:hAnsi="Garamond"/>
                <w:sz w:val="22"/>
                <w:szCs w:val="22"/>
              </w:rPr>
              <w:t>8/29/2008</w:t>
            </w:r>
          </w:p>
        </w:tc>
      </w:tr>
      <w:tr w:rsidR="00811745" w:rsidRPr="004A0C12" w14:paraId="7E199FC3" w14:textId="77777777" w:rsidTr="003865ED">
        <w:trPr>
          <w:trHeight w:val="255"/>
          <w:jc w:val="center"/>
        </w:trPr>
        <w:tc>
          <w:tcPr>
            <w:tcW w:w="10584" w:type="dxa"/>
            <w:gridSpan w:val="6"/>
            <w:noWrap/>
            <w:hideMark/>
          </w:tcPr>
          <w:p w14:paraId="3C0A9C44" w14:textId="77777777" w:rsidR="00811745" w:rsidRPr="004A0C12" w:rsidRDefault="00811745" w:rsidP="00811745">
            <w:pPr>
              <w:rPr>
                <w:rFonts w:ascii="Garamond" w:hAnsi="Garamond"/>
                <w:sz w:val="22"/>
                <w:szCs w:val="22"/>
              </w:rPr>
            </w:pPr>
          </w:p>
        </w:tc>
      </w:tr>
      <w:tr w:rsidR="00811745" w:rsidRPr="004A0C12" w14:paraId="758A1D13" w14:textId="77777777" w:rsidTr="003865ED">
        <w:trPr>
          <w:trHeight w:val="255"/>
          <w:jc w:val="center"/>
        </w:trPr>
        <w:tc>
          <w:tcPr>
            <w:tcW w:w="2142" w:type="dxa"/>
            <w:noWrap/>
            <w:hideMark/>
          </w:tcPr>
          <w:p w14:paraId="3812EB7C" w14:textId="77777777" w:rsidR="00811745" w:rsidRPr="004A0C12" w:rsidRDefault="00811745" w:rsidP="00811745">
            <w:pPr>
              <w:rPr>
                <w:rFonts w:ascii="Garamond" w:hAnsi="Garamond"/>
                <w:sz w:val="22"/>
                <w:szCs w:val="22"/>
              </w:rPr>
            </w:pPr>
            <w:r w:rsidRPr="004A0C12">
              <w:rPr>
                <w:rFonts w:ascii="Garamond" w:hAnsi="Garamond"/>
                <w:sz w:val="22"/>
                <w:szCs w:val="22"/>
              </w:rPr>
              <w:t xml:space="preserve"> Michelle Singleton</w:t>
            </w:r>
          </w:p>
        </w:tc>
        <w:tc>
          <w:tcPr>
            <w:tcW w:w="1530" w:type="dxa"/>
            <w:noWrap/>
            <w:hideMark/>
          </w:tcPr>
          <w:p w14:paraId="48E0C040" w14:textId="77777777" w:rsidR="00811745" w:rsidRPr="004A0C12" w:rsidRDefault="00811745" w:rsidP="00811745">
            <w:pPr>
              <w:rPr>
                <w:rFonts w:ascii="Garamond" w:hAnsi="Garamond"/>
                <w:sz w:val="22"/>
                <w:szCs w:val="22"/>
              </w:rPr>
            </w:pPr>
            <w:r w:rsidRPr="004A0C12">
              <w:rPr>
                <w:rFonts w:ascii="Garamond" w:hAnsi="Garamond"/>
                <w:sz w:val="22"/>
                <w:szCs w:val="22"/>
              </w:rPr>
              <w:t>4/8/2015</w:t>
            </w:r>
          </w:p>
        </w:tc>
        <w:tc>
          <w:tcPr>
            <w:tcW w:w="2106" w:type="dxa"/>
            <w:noWrap/>
            <w:hideMark/>
          </w:tcPr>
          <w:p w14:paraId="713C26AC" w14:textId="77777777" w:rsidR="00811745" w:rsidRPr="004A0C12" w:rsidRDefault="00811745" w:rsidP="00811745">
            <w:pPr>
              <w:rPr>
                <w:rFonts w:ascii="Garamond" w:hAnsi="Garamond"/>
                <w:sz w:val="22"/>
                <w:szCs w:val="22"/>
              </w:rPr>
            </w:pPr>
            <w:r w:rsidRPr="004A0C12">
              <w:rPr>
                <w:rFonts w:ascii="Garamond" w:hAnsi="Garamond"/>
                <w:sz w:val="22"/>
                <w:szCs w:val="22"/>
              </w:rPr>
              <w:t>10/8/2016</w:t>
            </w:r>
          </w:p>
        </w:tc>
        <w:tc>
          <w:tcPr>
            <w:tcW w:w="1810" w:type="dxa"/>
            <w:noWrap/>
            <w:hideMark/>
          </w:tcPr>
          <w:p w14:paraId="2BA48301"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61429434"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523C7CBC" w14:textId="77777777" w:rsidR="00811745" w:rsidRPr="004A0C12" w:rsidRDefault="00811745" w:rsidP="00811745">
            <w:pPr>
              <w:rPr>
                <w:rFonts w:ascii="Garamond" w:hAnsi="Garamond"/>
                <w:sz w:val="22"/>
                <w:szCs w:val="22"/>
              </w:rPr>
            </w:pPr>
            <w:r w:rsidRPr="004A0C12">
              <w:rPr>
                <w:rFonts w:ascii="Garamond" w:hAnsi="Garamond"/>
                <w:sz w:val="22"/>
                <w:szCs w:val="22"/>
              </w:rPr>
              <w:t>11/20/2015</w:t>
            </w:r>
          </w:p>
        </w:tc>
      </w:tr>
      <w:tr w:rsidR="00811745" w:rsidRPr="004A0C12" w14:paraId="03937FF2" w14:textId="77777777" w:rsidTr="003865ED">
        <w:trPr>
          <w:trHeight w:val="255"/>
          <w:jc w:val="center"/>
        </w:trPr>
        <w:tc>
          <w:tcPr>
            <w:tcW w:w="2142" w:type="dxa"/>
            <w:noWrap/>
            <w:hideMark/>
          </w:tcPr>
          <w:p w14:paraId="4E8A4781" w14:textId="77777777" w:rsidR="00811745" w:rsidRPr="004A0C12" w:rsidRDefault="00811745" w:rsidP="00811745">
            <w:pPr>
              <w:rPr>
                <w:rFonts w:ascii="Garamond" w:hAnsi="Garamond"/>
                <w:sz w:val="22"/>
                <w:szCs w:val="22"/>
              </w:rPr>
            </w:pPr>
          </w:p>
        </w:tc>
        <w:tc>
          <w:tcPr>
            <w:tcW w:w="1530" w:type="dxa"/>
            <w:noWrap/>
            <w:hideMark/>
          </w:tcPr>
          <w:p w14:paraId="29E60565" w14:textId="77777777" w:rsidR="00811745" w:rsidRPr="004A0C12" w:rsidRDefault="00811745" w:rsidP="00811745">
            <w:pPr>
              <w:rPr>
                <w:rFonts w:ascii="Garamond" w:hAnsi="Garamond"/>
                <w:sz w:val="22"/>
                <w:szCs w:val="22"/>
              </w:rPr>
            </w:pPr>
          </w:p>
        </w:tc>
        <w:tc>
          <w:tcPr>
            <w:tcW w:w="2106" w:type="dxa"/>
            <w:noWrap/>
            <w:hideMark/>
          </w:tcPr>
          <w:p w14:paraId="7869ABE2" w14:textId="77777777" w:rsidR="00811745" w:rsidRPr="004A0C12" w:rsidRDefault="00811745" w:rsidP="00811745">
            <w:pPr>
              <w:rPr>
                <w:rFonts w:ascii="Garamond" w:hAnsi="Garamond"/>
                <w:sz w:val="22"/>
                <w:szCs w:val="22"/>
              </w:rPr>
            </w:pPr>
          </w:p>
        </w:tc>
        <w:tc>
          <w:tcPr>
            <w:tcW w:w="1810" w:type="dxa"/>
            <w:noWrap/>
            <w:hideMark/>
          </w:tcPr>
          <w:p w14:paraId="08F40626" w14:textId="77777777" w:rsidR="00811745" w:rsidRPr="004A0C12" w:rsidRDefault="00811745" w:rsidP="00811745">
            <w:pPr>
              <w:rPr>
                <w:rFonts w:ascii="Garamond" w:hAnsi="Garamond"/>
                <w:sz w:val="22"/>
                <w:szCs w:val="22"/>
              </w:rPr>
            </w:pPr>
          </w:p>
        </w:tc>
        <w:tc>
          <w:tcPr>
            <w:tcW w:w="1376" w:type="dxa"/>
            <w:noWrap/>
            <w:hideMark/>
          </w:tcPr>
          <w:p w14:paraId="149C9BD3"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5712B415" w14:textId="77777777" w:rsidR="00811745" w:rsidRPr="004A0C12" w:rsidRDefault="00811745" w:rsidP="00811745">
            <w:pPr>
              <w:rPr>
                <w:rFonts w:ascii="Garamond" w:hAnsi="Garamond"/>
                <w:sz w:val="22"/>
                <w:szCs w:val="22"/>
              </w:rPr>
            </w:pPr>
            <w:r w:rsidRPr="004A0C12">
              <w:rPr>
                <w:rFonts w:ascii="Garamond" w:hAnsi="Garamond"/>
                <w:sz w:val="22"/>
                <w:szCs w:val="22"/>
              </w:rPr>
              <w:t>12/11/2015</w:t>
            </w:r>
          </w:p>
        </w:tc>
      </w:tr>
      <w:tr w:rsidR="00811745" w:rsidRPr="004A0C12" w14:paraId="340A6C8C" w14:textId="77777777" w:rsidTr="003865ED">
        <w:trPr>
          <w:trHeight w:val="255"/>
          <w:jc w:val="center"/>
        </w:trPr>
        <w:tc>
          <w:tcPr>
            <w:tcW w:w="10584" w:type="dxa"/>
            <w:gridSpan w:val="6"/>
            <w:noWrap/>
            <w:hideMark/>
          </w:tcPr>
          <w:p w14:paraId="4CA0131F" w14:textId="77777777" w:rsidR="00811745" w:rsidRPr="004A0C12" w:rsidRDefault="00811745" w:rsidP="00811745">
            <w:pPr>
              <w:rPr>
                <w:rFonts w:ascii="Garamond" w:hAnsi="Garamond"/>
                <w:sz w:val="22"/>
                <w:szCs w:val="22"/>
              </w:rPr>
            </w:pPr>
          </w:p>
        </w:tc>
      </w:tr>
      <w:tr w:rsidR="00811745" w:rsidRPr="004A0C12" w14:paraId="30D714D1" w14:textId="77777777" w:rsidTr="003865ED">
        <w:trPr>
          <w:trHeight w:val="255"/>
          <w:jc w:val="center"/>
        </w:trPr>
        <w:tc>
          <w:tcPr>
            <w:tcW w:w="2142" w:type="dxa"/>
            <w:noWrap/>
            <w:hideMark/>
          </w:tcPr>
          <w:p w14:paraId="0EF2FA00" w14:textId="77777777" w:rsidR="00811745" w:rsidRPr="004A0C12" w:rsidRDefault="00811745" w:rsidP="00811745">
            <w:pPr>
              <w:rPr>
                <w:rFonts w:ascii="Garamond" w:hAnsi="Garamond"/>
                <w:sz w:val="22"/>
                <w:szCs w:val="22"/>
              </w:rPr>
            </w:pPr>
            <w:r w:rsidRPr="004A0C12">
              <w:rPr>
                <w:rFonts w:ascii="Garamond" w:hAnsi="Garamond"/>
                <w:sz w:val="22"/>
                <w:szCs w:val="22"/>
              </w:rPr>
              <w:t>Scott Stevens</w:t>
            </w:r>
          </w:p>
        </w:tc>
        <w:tc>
          <w:tcPr>
            <w:tcW w:w="1530" w:type="dxa"/>
            <w:noWrap/>
            <w:hideMark/>
          </w:tcPr>
          <w:p w14:paraId="1A6D7BE3" w14:textId="77777777" w:rsidR="00811745" w:rsidRPr="004A0C12" w:rsidRDefault="00811745" w:rsidP="00811745">
            <w:pPr>
              <w:rPr>
                <w:rFonts w:ascii="Garamond" w:hAnsi="Garamond"/>
                <w:sz w:val="22"/>
                <w:szCs w:val="22"/>
              </w:rPr>
            </w:pPr>
            <w:r w:rsidRPr="004A0C12">
              <w:rPr>
                <w:rFonts w:ascii="Garamond" w:hAnsi="Garamond"/>
                <w:sz w:val="22"/>
                <w:szCs w:val="22"/>
              </w:rPr>
              <w:t>10/15/2014</w:t>
            </w:r>
          </w:p>
        </w:tc>
        <w:tc>
          <w:tcPr>
            <w:tcW w:w="2106" w:type="dxa"/>
            <w:noWrap/>
            <w:hideMark/>
          </w:tcPr>
          <w:p w14:paraId="75367B8B" w14:textId="77777777" w:rsidR="00811745" w:rsidRPr="004A0C12" w:rsidRDefault="00811745" w:rsidP="00811745">
            <w:pPr>
              <w:rPr>
                <w:rFonts w:ascii="Garamond" w:hAnsi="Garamond"/>
                <w:sz w:val="22"/>
                <w:szCs w:val="22"/>
              </w:rPr>
            </w:pPr>
            <w:r w:rsidRPr="004A0C12">
              <w:rPr>
                <w:rFonts w:ascii="Garamond" w:hAnsi="Garamond"/>
                <w:sz w:val="22"/>
                <w:szCs w:val="22"/>
              </w:rPr>
              <w:t>4/15/2016</w:t>
            </w:r>
          </w:p>
        </w:tc>
        <w:tc>
          <w:tcPr>
            <w:tcW w:w="1810" w:type="dxa"/>
            <w:noWrap/>
            <w:hideMark/>
          </w:tcPr>
          <w:p w14:paraId="462E79A8"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7FFE0D1A"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50498DF0" w14:textId="77777777" w:rsidR="00811745" w:rsidRPr="004A0C12" w:rsidRDefault="00811745" w:rsidP="00811745">
            <w:pPr>
              <w:rPr>
                <w:rFonts w:ascii="Garamond" w:hAnsi="Garamond"/>
                <w:sz w:val="22"/>
                <w:szCs w:val="22"/>
              </w:rPr>
            </w:pPr>
            <w:r w:rsidRPr="004A0C12">
              <w:rPr>
                <w:rFonts w:ascii="Garamond" w:hAnsi="Garamond"/>
                <w:sz w:val="22"/>
                <w:szCs w:val="22"/>
              </w:rPr>
              <w:t>5/1/2015</w:t>
            </w:r>
          </w:p>
        </w:tc>
      </w:tr>
      <w:tr w:rsidR="00811745" w:rsidRPr="004A0C12" w14:paraId="12FD6DE9" w14:textId="77777777" w:rsidTr="003865ED">
        <w:trPr>
          <w:trHeight w:val="255"/>
          <w:jc w:val="center"/>
        </w:trPr>
        <w:tc>
          <w:tcPr>
            <w:tcW w:w="2142" w:type="dxa"/>
            <w:noWrap/>
            <w:hideMark/>
          </w:tcPr>
          <w:p w14:paraId="46466D98" w14:textId="77777777" w:rsidR="00811745" w:rsidRPr="004A0C12" w:rsidRDefault="00811745" w:rsidP="00811745">
            <w:pPr>
              <w:rPr>
                <w:rFonts w:ascii="Garamond" w:hAnsi="Garamond"/>
                <w:sz w:val="22"/>
                <w:szCs w:val="22"/>
              </w:rPr>
            </w:pPr>
          </w:p>
        </w:tc>
        <w:tc>
          <w:tcPr>
            <w:tcW w:w="1530" w:type="dxa"/>
            <w:noWrap/>
            <w:hideMark/>
          </w:tcPr>
          <w:p w14:paraId="16E727A1" w14:textId="77777777" w:rsidR="00811745" w:rsidRPr="004A0C12" w:rsidRDefault="00811745" w:rsidP="00811745">
            <w:pPr>
              <w:rPr>
                <w:rFonts w:ascii="Garamond" w:hAnsi="Garamond"/>
                <w:sz w:val="22"/>
                <w:szCs w:val="22"/>
              </w:rPr>
            </w:pPr>
          </w:p>
        </w:tc>
        <w:tc>
          <w:tcPr>
            <w:tcW w:w="2106" w:type="dxa"/>
            <w:noWrap/>
            <w:hideMark/>
          </w:tcPr>
          <w:p w14:paraId="3CE802F0" w14:textId="77777777" w:rsidR="00811745" w:rsidRPr="004A0C12" w:rsidRDefault="00811745" w:rsidP="00811745">
            <w:pPr>
              <w:rPr>
                <w:rFonts w:ascii="Garamond" w:hAnsi="Garamond"/>
                <w:sz w:val="22"/>
                <w:szCs w:val="22"/>
              </w:rPr>
            </w:pPr>
          </w:p>
        </w:tc>
        <w:tc>
          <w:tcPr>
            <w:tcW w:w="1810" w:type="dxa"/>
            <w:noWrap/>
            <w:hideMark/>
          </w:tcPr>
          <w:p w14:paraId="2BC5748D" w14:textId="77777777" w:rsidR="00811745" w:rsidRPr="004A0C12" w:rsidRDefault="00811745" w:rsidP="00811745">
            <w:pPr>
              <w:rPr>
                <w:rFonts w:ascii="Garamond" w:hAnsi="Garamond"/>
                <w:sz w:val="22"/>
                <w:szCs w:val="22"/>
              </w:rPr>
            </w:pPr>
          </w:p>
        </w:tc>
        <w:tc>
          <w:tcPr>
            <w:tcW w:w="1376" w:type="dxa"/>
            <w:noWrap/>
            <w:hideMark/>
          </w:tcPr>
          <w:p w14:paraId="51150403"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2E47C92C" w14:textId="77777777" w:rsidR="00811745" w:rsidRPr="004A0C12" w:rsidRDefault="00811745" w:rsidP="00811745">
            <w:pPr>
              <w:rPr>
                <w:rFonts w:ascii="Garamond" w:hAnsi="Garamond"/>
                <w:sz w:val="22"/>
                <w:szCs w:val="22"/>
              </w:rPr>
            </w:pPr>
            <w:r w:rsidRPr="004A0C12">
              <w:rPr>
                <w:rFonts w:ascii="Garamond" w:hAnsi="Garamond"/>
                <w:sz w:val="22"/>
                <w:szCs w:val="22"/>
              </w:rPr>
              <w:t>7/17/2015</w:t>
            </w:r>
          </w:p>
        </w:tc>
      </w:tr>
      <w:tr w:rsidR="00811745" w:rsidRPr="004A0C12" w14:paraId="6342668D" w14:textId="77777777" w:rsidTr="003865ED">
        <w:trPr>
          <w:trHeight w:val="255"/>
          <w:jc w:val="center"/>
        </w:trPr>
        <w:tc>
          <w:tcPr>
            <w:tcW w:w="10584" w:type="dxa"/>
            <w:gridSpan w:val="6"/>
            <w:noWrap/>
            <w:hideMark/>
          </w:tcPr>
          <w:p w14:paraId="1F6E3DB7" w14:textId="77777777" w:rsidR="00811745" w:rsidRPr="004A0C12" w:rsidRDefault="00811745" w:rsidP="00811745">
            <w:pPr>
              <w:rPr>
                <w:rFonts w:ascii="Garamond" w:hAnsi="Garamond"/>
                <w:sz w:val="22"/>
                <w:szCs w:val="22"/>
              </w:rPr>
            </w:pPr>
          </w:p>
        </w:tc>
      </w:tr>
      <w:tr w:rsidR="00811745" w:rsidRPr="004A0C12" w14:paraId="7B939520" w14:textId="77777777" w:rsidTr="003865ED">
        <w:trPr>
          <w:trHeight w:val="255"/>
          <w:jc w:val="center"/>
        </w:trPr>
        <w:tc>
          <w:tcPr>
            <w:tcW w:w="2142" w:type="dxa"/>
            <w:noWrap/>
            <w:hideMark/>
          </w:tcPr>
          <w:p w14:paraId="05651D99" w14:textId="77777777" w:rsidR="00811745" w:rsidRPr="004A0C12" w:rsidRDefault="00811745" w:rsidP="00811745">
            <w:pPr>
              <w:rPr>
                <w:rFonts w:ascii="Garamond" w:hAnsi="Garamond"/>
                <w:sz w:val="22"/>
                <w:szCs w:val="22"/>
              </w:rPr>
            </w:pPr>
            <w:r w:rsidRPr="004A0C12">
              <w:rPr>
                <w:rFonts w:ascii="Garamond" w:hAnsi="Garamond"/>
                <w:sz w:val="22"/>
                <w:szCs w:val="22"/>
              </w:rPr>
              <w:t>Lawrance Thomas</w:t>
            </w:r>
          </w:p>
        </w:tc>
        <w:tc>
          <w:tcPr>
            <w:tcW w:w="1530" w:type="dxa"/>
            <w:noWrap/>
            <w:hideMark/>
          </w:tcPr>
          <w:p w14:paraId="132D190D" w14:textId="77777777" w:rsidR="00811745" w:rsidRPr="004A0C12" w:rsidRDefault="00811745" w:rsidP="00811745">
            <w:pPr>
              <w:rPr>
                <w:rFonts w:ascii="Garamond" w:hAnsi="Garamond"/>
                <w:sz w:val="22"/>
                <w:szCs w:val="22"/>
              </w:rPr>
            </w:pPr>
            <w:r w:rsidRPr="004A0C12">
              <w:rPr>
                <w:rFonts w:ascii="Garamond" w:hAnsi="Garamond"/>
                <w:sz w:val="22"/>
                <w:szCs w:val="22"/>
              </w:rPr>
              <w:t>11/24/2009</w:t>
            </w:r>
          </w:p>
        </w:tc>
        <w:tc>
          <w:tcPr>
            <w:tcW w:w="2106" w:type="dxa"/>
            <w:noWrap/>
            <w:hideMark/>
          </w:tcPr>
          <w:p w14:paraId="4426D07A" w14:textId="77777777" w:rsidR="00811745" w:rsidRPr="004A0C12" w:rsidRDefault="00811745" w:rsidP="00811745">
            <w:pPr>
              <w:rPr>
                <w:rFonts w:ascii="Garamond" w:hAnsi="Garamond"/>
                <w:sz w:val="22"/>
                <w:szCs w:val="22"/>
              </w:rPr>
            </w:pPr>
            <w:r w:rsidRPr="004A0C12">
              <w:rPr>
                <w:rFonts w:ascii="Garamond" w:hAnsi="Garamond"/>
                <w:sz w:val="22"/>
                <w:szCs w:val="22"/>
              </w:rPr>
              <w:t>5/24/2011</w:t>
            </w:r>
          </w:p>
        </w:tc>
        <w:tc>
          <w:tcPr>
            <w:tcW w:w="1810" w:type="dxa"/>
            <w:noWrap/>
            <w:hideMark/>
          </w:tcPr>
          <w:p w14:paraId="2018C079"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709CA7DD"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44E0B52F" w14:textId="77777777" w:rsidR="00811745" w:rsidRPr="004A0C12" w:rsidRDefault="00811745" w:rsidP="00811745">
            <w:pPr>
              <w:rPr>
                <w:rFonts w:ascii="Garamond" w:hAnsi="Garamond"/>
                <w:sz w:val="22"/>
                <w:szCs w:val="22"/>
              </w:rPr>
            </w:pPr>
            <w:r w:rsidRPr="004A0C12">
              <w:rPr>
                <w:rFonts w:ascii="Garamond" w:hAnsi="Garamond"/>
                <w:sz w:val="22"/>
                <w:szCs w:val="22"/>
              </w:rPr>
              <w:t>4/25/2011</w:t>
            </w:r>
          </w:p>
        </w:tc>
      </w:tr>
      <w:tr w:rsidR="00811745" w:rsidRPr="004A0C12" w14:paraId="3CCF1AB8" w14:textId="77777777" w:rsidTr="003865ED">
        <w:trPr>
          <w:trHeight w:val="255"/>
          <w:jc w:val="center"/>
        </w:trPr>
        <w:tc>
          <w:tcPr>
            <w:tcW w:w="2142" w:type="dxa"/>
            <w:noWrap/>
            <w:hideMark/>
          </w:tcPr>
          <w:p w14:paraId="67CCF0A6" w14:textId="77777777" w:rsidR="00811745" w:rsidRPr="004A0C12" w:rsidRDefault="00811745" w:rsidP="00811745">
            <w:pPr>
              <w:rPr>
                <w:rFonts w:ascii="Garamond" w:hAnsi="Garamond"/>
                <w:sz w:val="22"/>
                <w:szCs w:val="22"/>
              </w:rPr>
            </w:pPr>
          </w:p>
        </w:tc>
        <w:tc>
          <w:tcPr>
            <w:tcW w:w="1530" w:type="dxa"/>
            <w:noWrap/>
            <w:hideMark/>
          </w:tcPr>
          <w:p w14:paraId="3C38EC18" w14:textId="77777777" w:rsidR="00811745" w:rsidRPr="004A0C12" w:rsidRDefault="00811745" w:rsidP="00811745">
            <w:pPr>
              <w:rPr>
                <w:rFonts w:ascii="Garamond" w:hAnsi="Garamond"/>
                <w:sz w:val="22"/>
                <w:szCs w:val="22"/>
              </w:rPr>
            </w:pPr>
          </w:p>
        </w:tc>
        <w:tc>
          <w:tcPr>
            <w:tcW w:w="2106" w:type="dxa"/>
            <w:noWrap/>
            <w:hideMark/>
          </w:tcPr>
          <w:p w14:paraId="6EC61BC0" w14:textId="77777777" w:rsidR="00811745" w:rsidRPr="004A0C12" w:rsidRDefault="00811745" w:rsidP="00811745">
            <w:pPr>
              <w:rPr>
                <w:rFonts w:ascii="Garamond" w:hAnsi="Garamond"/>
                <w:sz w:val="22"/>
                <w:szCs w:val="22"/>
              </w:rPr>
            </w:pPr>
          </w:p>
        </w:tc>
        <w:tc>
          <w:tcPr>
            <w:tcW w:w="1810" w:type="dxa"/>
            <w:noWrap/>
            <w:hideMark/>
          </w:tcPr>
          <w:p w14:paraId="41237615" w14:textId="77777777" w:rsidR="00811745" w:rsidRPr="004A0C12" w:rsidRDefault="00811745" w:rsidP="00811745">
            <w:pPr>
              <w:rPr>
                <w:rFonts w:ascii="Garamond" w:hAnsi="Garamond"/>
                <w:sz w:val="22"/>
                <w:szCs w:val="22"/>
              </w:rPr>
            </w:pPr>
          </w:p>
        </w:tc>
        <w:tc>
          <w:tcPr>
            <w:tcW w:w="1376" w:type="dxa"/>
            <w:noWrap/>
            <w:hideMark/>
          </w:tcPr>
          <w:p w14:paraId="0875DBAC"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2C79195F" w14:textId="77777777" w:rsidR="00811745" w:rsidRPr="004A0C12" w:rsidRDefault="00811745" w:rsidP="00811745">
            <w:pPr>
              <w:rPr>
                <w:rFonts w:ascii="Garamond" w:hAnsi="Garamond"/>
                <w:sz w:val="22"/>
                <w:szCs w:val="22"/>
              </w:rPr>
            </w:pPr>
            <w:r w:rsidRPr="004A0C12">
              <w:rPr>
                <w:rFonts w:ascii="Garamond" w:hAnsi="Garamond"/>
                <w:sz w:val="22"/>
                <w:szCs w:val="22"/>
              </w:rPr>
              <w:t>6/24/2011</w:t>
            </w:r>
          </w:p>
        </w:tc>
      </w:tr>
      <w:tr w:rsidR="00811745" w:rsidRPr="004A0C12" w14:paraId="009534D1" w14:textId="77777777" w:rsidTr="003865ED">
        <w:trPr>
          <w:trHeight w:val="255"/>
          <w:jc w:val="center"/>
        </w:trPr>
        <w:tc>
          <w:tcPr>
            <w:tcW w:w="10584" w:type="dxa"/>
            <w:gridSpan w:val="6"/>
            <w:noWrap/>
            <w:hideMark/>
          </w:tcPr>
          <w:p w14:paraId="7040CA13" w14:textId="77777777" w:rsidR="00811745" w:rsidRPr="004A0C12" w:rsidRDefault="00811745" w:rsidP="00811745">
            <w:pPr>
              <w:rPr>
                <w:rFonts w:ascii="Garamond" w:hAnsi="Garamond"/>
                <w:sz w:val="22"/>
                <w:szCs w:val="22"/>
              </w:rPr>
            </w:pPr>
          </w:p>
        </w:tc>
      </w:tr>
      <w:tr w:rsidR="00811745" w:rsidRPr="004A0C12" w14:paraId="2A9FCCEF" w14:textId="77777777" w:rsidTr="003865ED">
        <w:trPr>
          <w:trHeight w:val="255"/>
          <w:jc w:val="center"/>
        </w:trPr>
        <w:tc>
          <w:tcPr>
            <w:tcW w:w="2142" w:type="dxa"/>
            <w:noWrap/>
            <w:hideMark/>
          </w:tcPr>
          <w:p w14:paraId="7717D76A" w14:textId="77777777" w:rsidR="00811745" w:rsidRPr="004A0C12" w:rsidRDefault="00811745" w:rsidP="00811745">
            <w:pPr>
              <w:rPr>
                <w:rFonts w:ascii="Garamond" w:hAnsi="Garamond"/>
                <w:sz w:val="22"/>
                <w:szCs w:val="22"/>
              </w:rPr>
            </w:pPr>
            <w:r w:rsidRPr="004A0C12">
              <w:rPr>
                <w:rFonts w:ascii="Garamond" w:hAnsi="Garamond"/>
                <w:sz w:val="22"/>
                <w:szCs w:val="22"/>
              </w:rPr>
              <w:t>LeRoy Thomas</w:t>
            </w:r>
          </w:p>
        </w:tc>
        <w:tc>
          <w:tcPr>
            <w:tcW w:w="1530" w:type="dxa"/>
            <w:noWrap/>
            <w:hideMark/>
          </w:tcPr>
          <w:p w14:paraId="68B00521" w14:textId="77777777" w:rsidR="00811745" w:rsidRPr="004A0C12" w:rsidRDefault="00811745" w:rsidP="00811745">
            <w:pPr>
              <w:rPr>
                <w:rFonts w:ascii="Garamond" w:hAnsi="Garamond"/>
                <w:sz w:val="22"/>
                <w:szCs w:val="22"/>
              </w:rPr>
            </w:pPr>
            <w:r w:rsidRPr="004A0C12">
              <w:rPr>
                <w:rFonts w:ascii="Garamond" w:hAnsi="Garamond"/>
                <w:sz w:val="22"/>
                <w:szCs w:val="22"/>
              </w:rPr>
              <w:t>8/6/2014</w:t>
            </w:r>
          </w:p>
        </w:tc>
        <w:tc>
          <w:tcPr>
            <w:tcW w:w="2106" w:type="dxa"/>
            <w:noWrap/>
            <w:hideMark/>
          </w:tcPr>
          <w:p w14:paraId="43C19F86" w14:textId="77777777" w:rsidR="00811745" w:rsidRPr="004A0C12" w:rsidRDefault="00811745" w:rsidP="00811745">
            <w:pPr>
              <w:rPr>
                <w:rFonts w:ascii="Garamond" w:hAnsi="Garamond"/>
                <w:sz w:val="22"/>
                <w:szCs w:val="22"/>
              </w:rPr>
            </w:pPr>
            <w:r w:rsidRPr="004A0C12">
              <w:rPr>
                <w:rFonts w:ascii="Garamond" w:hAnsi="Garamond"/>
                <w:sz w:val="22"/>
                <w:szCs w:val="22"/>
              </w:rPr>
              <w:t>2/6/2016</w:t>
            </w:r>
          </w:p>
        </w:tc>
        <w:tc>
          <w:tcPr>
            <w:tcW w:w="1810" w:type="dxa"/>
            <w:noWrap/>
            <w:hideMark/>
          </w:tcPr>
          <w:p w14:paraId="7611BE07"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21B41765"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14F2331E" w14:textId="77777777" w:rsidR="00811745" w:rsidRPr="004A0C12" w:rsidRDefault="00811745" w:rsidP="00811745">
            <w:pPr>
              <w:rPr>
                <w:rFonts w:ascii="Garamond" w:hAnsi="Garamond"/>
                <w:sz w:val="22"/>
                <w:szCs w:val="22"/>
              </w:rPr>
            </w:pPr>
            <w:r w:rsidRPr="004A0C12">
              <w:rPr>
                <w:rFonts w:ascii="Garamond" w:hAnsi="Garamond"/>
                <w:sz w:val="22"/>
                <w:szCs w:val="22"/>
              </w:rPr>
              <w:t>9/21/2012</w:t>
            </w:r>
          </w:p>
        </w:tc>
      </w:tr>
      <w:tr w:rsidR="00811745" w:rsidRPr="004A0C12" w14:paraId="3A3A4F36" w14:textId="77777777" w:rsidTr="003865ED">
        <w:trPr>
          <w:trHeight w:val="255"/>
          <w:jc w:val="center"/>
        </w:trPr>
        <w:tc>
          <w:tcPr>
            <w:tcW w:w="2142" w:type="dxa"/>
            <w:noWrap/>
            <w:hideMark/>
          </w:tcPr>
          <w:p w14:paraId="4F85A7CB" w14:textId="77777777" w:rsidR="00811745" w:rsidRPr="004A0C12" w:rsidRDefault="00811745" w:rsidP="00811745">
            <w:pPr>
              <w:rPr>
                <w:rFonts w:ascii="Garamond" w:hAnsi="Garamond"/>
                <w:sz w:val="22"/>
                <w:szCs w:val="22"/>
              </w:rPr>
            </w:pPr>
          </w:p>
        </w:tc>
        <w:tc>
          <w:tcPr>
            <w:tcW w:w="1530" w:type="dxa"/>
            <w:noWrap/>
            <w:hideMark/>
          </w:tcPr>
          <w:p w14:paraId="5582EEB6" w14:textId="77777777" w:rsidR="00811745" w:rsidRPr="004A0C12" w:rsidRDefault="00811745" w:rsidP="00811745">
            <w:pPr>
              <w:rPr>
                <w:rFonts w:ascii="Garamond" w:hAnsi="Garamond"/>
                <w:sz w:val="22"/>
                <w:szCs w:val="22"/>
              </w:rPr>
            </w:pPr>
          </w:p>
        </w:tc>
        <w:tc>
          <w:tcPr>
            <w:tcW w:w="2106" w:type="dxa"/>
            <w:noWrap/>
            <w:hideMark/>
          </w:tcPr>
          <w:p w14:paraId="1B0C9F66" w14:textId="77777777" w:rsidR="00811745" w:rsidRPr="004A0C12" w:rsidRDefault="00811745" w:rsidP="00811745">
            <w:pPr>
              <w:rPr>
                <w:rFonts w:ascii="Garamond" w:hAnsi="Garamond"/>
                <w:sz w:val="22"/>
                <w:szCs w:val="22"/>
              </w:rPr>
            </w:pPr>
          </w:p>
        </w:tc>
        <w:tc>
          <w:tcPr>
            <w:tcW w:w="1810" w:type="dxa"/>
            <w:noWrap/>
            <w:hideMark/>
          </w:tcPr>
          <w:p w14:paraId="4E4BD961" w14:textId="77777777" w:rsidR="00811745" w:rsidRPr="004A0C12" w:rsidRDefault="00811745" w:rsidP="00811745">
            <w:pPr>
              <w:rPr>
                <w:rFonts w:ascii="Garamond" w:hAnsi="Garamond"/>
                <w:sz w:val="22"/>
                <w:szCs w:val="22"/>
              </w:rPr>
            </w:pPr>
          </w:p>
        </w:tc>
        <w:tc>
          <w:tcPr>
            <w:tcW w:w="1376" w:type="dxa"/>
            <w:noWrap/>
            <w:hideMark/>
          </w:tcPr>
          <w:p w14:paraId="4EDF4976"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67120AEF" w14:textId="77777777" w:rsidR="00811745" w:rsidRPr="004A0C12" w:rsidRDefault="00811745" w:rsidP="00811745">
            <w:pPr>
              <w:rPr>
                <w:rFonts w:ascii="Garamond" w:hAnsi="Garamond"/>
                <w:sz w:val="22"/>
                <w:szCs w:val="22"/>
              </w:rPr>
            </w:pPr>
            <w:r w:rsidRPr="004A0C12">
              <w:rPr>
                <w:rFonts w:ascii="Garamond" w:hAnsi="Garamond"/>
                <w:sz w:val="22"/>
                <w:szCs w:val="22"/>
              </w:rPr>
              <w:t>4/12/2013</w:t>
            </w:r>
          </w:p>
        </w:tc>
      </w:tr>
      <w:tr w:rsidR="00811745" w:rsidRPr="004A0C12" w14:paraId="2575E4D0" w14:textId="77777777" w:rsidTr="003865ED">
        <w:trPr>
          <w:trHeight w:val="255"/>
          <w:jc w:val="center"/>
        </w:trPr>
        <w:tc>
          <w:tcPr>
            <w:tcW w:w="2142" w:type="dxa"/>
            <w:noWrap/>
            <w:hideMark/>
          </w:tcPr>
          <w:p w14:paraId="69FDA308" w14:textId="77777777" w:rsidR="00811745" w:rsidRPr="004A0C12" w:rsidRDefault="00811745" w:rsidP="00811745">
            <w:pPr>
              <w:rPr>
                <w:rFonts w:ascii="Garamond" w:hAnsi="Garamond"/>
                <w:sz w:val="22"/>
                <w:szCs w:val="22"/>
              </w:rPr>
            </w:pPr>
          </w:p>
        </w:tc>
        <w:tc>
          <w:tcPr>
            <w:tcW w:w="1530" w:type="dxa"/>
            <w:noWrap/>
            <w:hideMark/>
          </w:tcPr>
          <w:p w14:paraId="426450A2" w14:textId="77777777" w:rsidR="00811745" w:rsidRPr="004A0C12" w:rsidRDefault="00811745" w:rsidP="00811745">
            <w:pPr>
              <w:rPr>
                <w:rFonts w:ascii="Garamond" w:hAnsi="Garamond"/>
                <w:sz w:val="22"/>
                <w:szCs w:val="22"/>
              </w:rPr>
            </w:pPr>
          </w:p>
        </w:tc>
        <w:tc>
          <w:tcPr>
            <w:tcW w:w="2106" w:type="dxa"/>
            <w:noWrap/>
            <w:hideMark/>
          </w:tcPr>
          <w:p w14:paraId="1D7631D1" w14:textId="77777777" w:rsidR="00811745" w:rsidRPr="004A0C12" w:rsidRDefault="00811745" w:rsidP="00811745">
            <w:pPr>
              <w:rPr>
                <w:rFonts w:ascii="Garamond" w:hAnsi="Garamond"/>
                <w:sz w:val="22"/>
                <w:szCs w:val="22"/>
              </w:rPr>
            </w:pPr>
          </w:p>
        </w:tc>
        <w:tc>
          <w:tcPr>
            <w:tcW w:w="1810" w:type="dxa"/>
            <w:noWrap/>
            <w:hideMark/>
          </w:tcPr>
          <w:p w14:paraId="5A61E608" w14:textId="77777777" w:rsidR="00811745" w:rsidRPr="004A0C12" w:rsidRDefault="00811745" w:rsidP="00811745">
            <w:pPr>
              <w:rPr>
                <w:rFonts w:ascii="Garamond" w:hAnsi="Garamond"/>
                <w:sz w:val="22"/>
                <w:szCs w:val="22"/>
              </w:rPr>
            </w:pPr>
          </w:p>
        </w:tc>
        <w:tc>
          <w:tcPr>
            <w:tcW w:w="1376" w:type="dxa"/>
            <w:noWrap/>
            <w:hideMark/>
          </w:tcPr>
          <w:p w14:paraId="78C2A934" w14:textId="77777777" w:rsidR="00811745" w:rsidRPr="004A0C12" w:rsidRDefault="00811745" w:rsidP="00811745">
            <w:pPr>
              <w:rPr>
                <w:rFonts w:ascii="Garamond" w:hAnsi="Garamond"/>
                <w:sz w:val="22"/>
                <w:szCs w:val="22"/>
              </w:rPr>
            </w:pPr>
            <w:r w:rsidRPr="004A0C12">
              <w:rPr>
                <w:rFonts w:ascii="Garamond" w:hAnsi="Garamond"/>
                <w:sz w:val="22"/>
                <w:szCs w:val="22"/>
              </w:rPr>
              <w:t>EO</w:t>
            </w:r>
          </w:p>
        </w:tc>
        <w:tc>
          <w:tcPr>
            <w:tcW w:w="1620" w:type="dxa"/>
            <w:noWrap/>
            <w:hideMark/>
          </w:tcPr>
          <w:p w14:paraId="5EE22A19" w14:textId="77777777" w:rsidR="00811745" w:rsidRPr="004A0C12" w:rsidRDefault="00811745" w:rsidP="00811745">
            <w:pPr>
              <w:rPr>
                <w:rFonts w:ascii="Garamond" w:hAnsi="Garamond"/>
                <w:sz w:val="22"/>
                <w:szCs w:val="22"/>
              </w:rPr>
            </w:pPr>
            <w:r w:rsidRPr="004A0C12">
              <w:rPr>
                <w:rFonts w:ascii="Garamond" w:hAnsi="Garamond"/>
                <w:sz w:val="22"/>
                <w:szCs w:val="22"/>
              </w:rPr>
              <w:t>12/19/2014</w:t>
            </w:r>
          </w:p>
        </w:tc>
      </w:tr>
      <w:tr w:rsidR="00811745" w:rsidRPr="004A0C12" w14:paraId="413F209D" w14:textId="77777777" w:rsidTr="003865ED">
        <w:trPr>
          <w:trHeight w:val="255"/>
          <w:jc w:val="center"/>
        </w:trPr>
        <w:tc>
          <w:tcPr>
            <w:tcW w:w="2142" w:type="dxa"/>
            <w:noWrap/>
            <w:hideMark/>
          </w:tcPr>
          <w:p w14:paraId="36D7D056" w14:textId="77777777" w:rsidR="00811745" w:rsidRPr="004A0C12" w:rsidRDefault="00811745" w:rsidP="00811745">
            <w:pPr>
              <w:rPr>
                <w:rFonts w:ascii="Garamond" w:hAnsi="Garamond"/>
                <w:sz w:val="22"/>
                <w:szCs w:val="22"/>
              </w:rPr>
            </w:pPr>
          </w:p>
        </w:tc>
        <w:tc>
          <w:tcPr>
            <w:tcW w:w="1530" w:type="dxa"/>
            <w:noWrap/>
            <w:hideMark/>
          </w:tcPr>
          <w:p w14:paraId="106045BE" w14:textId="77777777" w:rsidR="00811745" w:rsidRPr="004A0C12" w:rsidRDefault="00811745" w:rsidP="00811745">
            <w:pPr>
              <w:rPr>
                <w:rFonts w:ascii="Garamond" w:hAnsi="Garamond"/>
                <w:sz w:val="22"/>
                <w:szCs w:val="22"/>
              </w:rPr>
            </w:pPr>
          </w:p>
        </w:tc>
        <w:tc>
          <w:tcPr>
            <w:tcW w:w="2106" w:type="dxa"/>
            <w:noWrap/>
            <w:hideMark/>
          </w:tcPr>
          <w:p w14:paraId="58603CF9" w14:textId="77777777" w:rsidR="00811745" w:rsidRPr="004A0C12" w:rsidRDefault="00811745" w:rsidP="00811745">
            <w:pPr>
              <w:rPr>
                <w:rFonts w:ascii="Garamond" w:hAnsi="Garamond"/>
                <w:sz w:val="22"/>
                <w:szCs w:val="22"/>
              </w:rPr>
            </w:pPr>
          </w:p>
        </w:tc>
        <w:tc>
          <w:tcPr>
            <w:tcW w:w="1810" w:type="dxa"/>
            <w:noWrap/>
            <w:hideMark/>
          </w:tcPr>
          <w:p w14:paraId="7F100A13" w14:textId="77777777" w:rsidR="00811745" w:rsidRPr="004A0C12" w:rsidRDefault="00811745" w:rsidP="00811745">
            <w:pPr>
              <w:rPr>
                <w:rFonts w:ascii="Garamond" w:hAnsi="Garamond"/>
                <w:sz w:val="22"/>
                <w:szCs w:val="22"/>
              </w:rPr>
            </w:pPr>
          </w:p>
        </w:tc>
        <w:tc>
          <w:tcPr>
            <w:tcW w:w="1376" w:type="dxa"/>
            <w:noWrap/>
            <w:hideMark/>
          </w:tcPr>
          <w:p w14:paraId="255F7124" w14:textId="77777777" w:rsidR="00811745" w:rsidRPr="004A0C12" w:rsidRDefault="00811745" w:rsidP="00811745">
            <w:pPr>
              <w:rPr>
                <w:rFonts w:ascii="Garamond" w:hAnsi="Garamond"/>
                <w:sz w:val="22"/>
                <w:szCs w:val="22"/>
              </w:rPr>
            </w:pPr>
            <w:r w:rsidRPr="004A0C12">
              <w:rPr>
                <w:rFonts w:ascii="Garamond" w:hAnsi="Garamond"/>
                <w:sz w:val="22"/>
                <w:szCs w:val="22"/>
              </w:rPr>
              <w:t>FVE/SVC</w:t>
            </w:r>
          </w:p>
        </w:tc>
        <w:tc>
          <w:tcPr>
            <w:tcW w:w="1620" w:type="dxa"/>
            <w:noWrap/>
            <w:hideMark/>
          </w:tcPr>
          <w:p w14:paraId="59843DAE" w14:textId="77777777" w:rsidR="00811745" w:rsidRPr="004A0C12" w:rsidRDefault="00811745" w:rsidP="00811745">
            <w:pPr>
              <w:rPr>
                <w:rFonts w:ascii="Garamond" w:hAnsi="Garamond"/>
                <w:sz w:val="22"/>
                <w:szCs w:val="22"/>
              </w:rPr>
            </w:pPr>
            <w:r w:rsidRPr="004A0C12">
              <w:rPr>
                <w:rFonts w:ascii="Garamond" w:hAnsi="Garamond"/>
                <w:sz w:val="22"/>
                <w:szCs w:val="22"/>
              </w:rPr>
              <w:t>7/17/2015</w:t>
            </w:r>
          </w:p>
        </w:tc>
      </w:tr>
      <w:tr w:rsidR="00811745" w:rsidRPr="004A0C12" w14:paraId="151FC8AB" w14:textId="77777777" w:rsidTr="003865ED">
        <w:trPr>
          <w:trHeight w:val="255"/>
          <w:jc w:val="center"/>
        </w:trPr>
        <w:tc>
          <w:tcPr>
            <w:tcW w:w="10584" w:type="dxa"/>
            <w:gridSpan w:val="6"/>
            <w:noWrap/>
            <w:hideMark/>
          </w:tcPr>
          <w:p w14:paraId="2DD31029" w14:textId="77777777" w:rsidR="00811745" w:rsidRPr="004A0C12" w:rsidRDefault="00811745" w:rsidP="00811745">
            <w:pPr>
              <w:rPr>
                <w:rFonts w:ascii="Garamond" w:hAnsi="Garamond"/>
                <w:sz w:val="22"/>
                <w:szCs w:val="22"/>
              </w:rPr>
            </w:pPr>
          </w:p>
        </w:tc>
      </w:tr>
      <w:tr w:rsidR="00811745" w:rsidRPr="004A0C12" w14:paraId="23AEC043" w14:textId="77777777" w:rsidTr="003865ED">
        <w:trPr>
          <w:trHeight w:val="255"/>
          <w:jc w:val="center"/>
        </w:trPr>
        <w:tc>
          <w:tcPr>
            <w:tcW w:w="2142" w:type="dxa"/>
            <w:noWrap/>
            <w:hideMark/>
          </w:tcPr>
          <w:p w14:paraId="7F61FE71" w14:textId="77777777" w:rsidR="00811745" w:rsidRPr="004A0C12" w:rsidRDefault="00811745" w:rsidP="00811745">
            <w:pPr>
              <w:rPr>
                <w:rFonts w:ascii="Garamond" w:hAnsi="Garamond"/>
                <w:sz w:val="22"/>
                <w:szCs w:val="22"/>
              </w:rPr>
            </w:pPr>
            <w:r w:rsidRPr="004A0C12">
              <w:rPr>
                <w:rFonts w:ascii="Garamond" w:hAnsi="Garamond"/>
                <w:sz w:val="22"/>
                <w:szCs w:val="22"/>
              </w:rPr>
              <w:t>Feleisa Thompson</w:t>
            </w:r>
          </w:p>
        </w:tc>
        <w:tc>
          <w:tcPr>
            <w:tcW w:w="1530" w:type="dxa"/>
            <w:noWrap/>
            <w:hideMark/>
          </w:tcPr>
          <w:p w14:paraId="6D6B2956" w14:textId="77777777" w:rsidR="00811745" w:rsidRPr="004A0C12" w:rsidRDefault="00811745" w:rsidP="00811745">
            <w:pPr>
              <w:rPr>
                <w:rFonts w:ascii="Garamond" w:hAnsi="Garamond"/>
                <w:sz w:val="22"/>
                <w:szCs w:val="22"/>
              </w:rPr>
            </w:pPr>
            <w:r w:rsidRPr="004A0C12">
              <w:rPr>
                <w:rFonts w:ascii="Garamond" w:hAnsi="Garamond"/>
                <w:sz w:val="22"/>
                <w:szCs w:val="22"/>
              </w:rPr>
              <w:t>12/19/2012</w:t>
            </w:r>
          </w:p>
        </w:tc>
        <w:tc>
          <w:tcPr>
            <w:tcW w:w="2106" w:type="dxa"/>
            <w:noWrap/>
            <w:hideMark/>
          </w:tcPr>
          <w:p w14:paraId="431DC4D9" w14:textId="77777777" w:rsidR="00811745" w:rsidRPr="004A0C12" w:rsidRDefault="00811745" w:rsidP="00811745">
            <w:pPr>
              <w:rPr>
                <w:rFonts w:ascii="Garamond" w:hAnsi="Garamond"/>
                <w:sz w:val="22"/>
                <w:szCs w:val="22"/>
              </w:rPr>
            </w:pPr>
            <w:r w:rsidRPr="004A0C12">
              <w:rPr>
                <w:rFonts w:ascii="Garamond" w:hAnsi="Garamond"/>
                <w:sz w:val="22"/>
                <w:szCs w:val="22"/>
              </w:rPr>
              <w:t>6/19/2014</w:t>
            </w:r>
          </w:p>
        </w:tc>
        <w:tc>
          <w:tcPr>
            <w:tcW w:w="1810" w:type="dxa"/>
            <w:noWrap/>
            <w:hideMark/>
          </w:tcPr>
          <w:p w14:paraId="6815955E"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1F101D81"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484895FC" w14:textId="77777777" w:rsidR="00811745" w:rsidRPr="004A0C12" w:rsidRDefault="00811745" w:rsidP="00811745">
            <w:pPr>
              <w:rPr>
                <w:rFonts w:ascii="Garamond" w:hAnsi="Garamond"/>
                <w:sz w:val="22"/>
                <w:szCs w:val="22"/>
              </w:rPr>
            </w:pPr>
            <w:r w:rsidRPr="004A0C12">
              <w:rPr>
                <w:rFonts w:ascii="Garamond" w:hAnsi="Garamond"/>
                <w:sz w:val="22"/>
                <w:szCs w:val="22"/>
              </w:rPr>
              <w:t>7/19/2013</w:t>
            </w:r>
          </w:p>
        </w:tc>
      </w:tr>
      <w:tr w:rsidR="00811745" w:rsidRPr="004A0C12" w14:paraId="77DBB39D" w14:textId="77777777" w:rsidTr="003865ED">
        <w:trPr>
          <w:trHeight w:val="255"/>
          <w:jc w:val="center"/>
        </w:trPr>
        <w:tc>
          <w:tcPr>
            <w:tcW w:w="2142" w:type="dxa"/>
            <w:noWrap/>
            <w:hideMark/>
          </w:tcPr>
          <w:p w14:paraId="02128A68" w14:textId="77777777" w:rsidR="00811745" w:rsidRPr="004A0C12" w:rsidRDefault="00811745" w:rsidP="00811745">
            <w:pPr>
              <w:rPr>
                <w:rFonts w:ascii="Garamond" w:hAnsi="Garamond"/>
                <w:sz w:val="22"/>
                <w:szCs w:val="22"/>
              </w:rPr>
            </w:pPr>
          </w:p>
        </w:tc>
        <w:tc>
          <w:tcPr>
            <w:tcW w:w="1530" w:type="dxa"/>
            <w:noWrap/>
            <w:hideMark/>
          </w:tcPr>
          <w:p w14:paraId="1C5476E0" w14:textId="77777777" w:rsidR="00811745" w:rsidRPr="004A0C12" w:rsidRDefault="00811745" w:rsidP="00811745">
            <w:pPr>
              <w:rPr>
                <w:rFonts w:ascii="Garamond" w:hAnsi="Garamond"/>
                <w:sz w:val="22"/>
                <w:szCs w:val="22"/>
              </w:rPr>
            </w:pPr>
          </w:p>
        </w:tc>
        <w:tc>
          <w:tcPr>
            <w:tcW w:w="2106" w:type="dxa"/>
            <w:noWrap/>
            <w:hideMark/>
          </w:tcPr>
          <w:p w14:paraId="6F61209A" w14:textId="77777777" w:rsidR="00811745" w:rsidRPr="004A0C12" w:rsidRDefault="00811745" w:rsidP="00811745">
            <w:pPr>
              <w:rPr>
                <w:rFonts w:ascii="Garamond" w:hAnsi="Garamond"/>
                <w:sz w:val="22"/>
                <w:szCs w:val="22"/>
              </w:rPr>
            </w:pPr>
          </w:p>
        </w:tc>
        <w:tc>
          <w:tcPr>
            <w:tcW w:w="1810" w:type="dxa"/>
            <w:noWrap/>
            <w:hideMark/>
          </w:tcPr>
          <w:p w14:paraId="7C2CB1BF" w14:textId="77777777" w:rsidR="00811745" w:rsidRPr="004A0C12" w:rsidRDefault="00811745" w:rsidP="00811745">
            <w:pPr>
              <w:rPr>
                <w:rFonts w:ascii="Garamond" w:hAnsi="Garamond"/>
                <w:sz w:val="22"/>
                <w:szCs w:val="22"/>
              </w:rPr>
            </w:pPr>
          </w:p>
        </w:tc>
        <w:tc>
          <w:tcPr>
            <w:tcW w:w="1376" w:type="dxa"/>
            <w:noWrap/>
            <w:hideMark/>
          </w:tcPr>
          <w:p w14:paraId="59ABEBB0"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337DB028" w14:textId="77777777" w:rsidR="00811745" w:rsidRPr="004A0C12" w:rsidRDefault="00811745" w:rsidP="00811745">
            <w:pPr>
              <w:rPr>
                <w:rFonts w:ascii="Garamond" w:hAnsi="Garamond"/>
                <w:sz w:val="22"/>
                <w:szCs w:val="22"/>
              </w:rPr>
            </w:pPr>
            <w:r w:rsidRPr="004A0C12">
              <w:rPr>
                <w:rFonts w:ascii="Garamond" w:hAnsi="Garamond"/>
                <w:sz w:val="22"/>
                <w:szCs w:val="22"/>
              </w:rPr>
              <w:t>11/22/2013</w:t>
            </w:r>
          </w:p>
        </w:tc>
      </w:tr>
      <w:tr w:rsidR="00811745" w:rsidRPr="004A0C12" w14:paraId="3C036ED3" w14:textId="77777777" w:rsidTr="003865ED">
        <w:trPr>
          <w:trHeight w:val="255"/>
          <w:jc w:val="center"/>
        </w:trPr>
        <w:tc>
          <w:tcPr>
            <w:tcW w:w="10584" w:type="dxa"/>
            <w:gridSpan w:val="6"/>
            <w:noWrap/>
            <w:hideMark/>
          </w:tcPr>
          <w:p w14:paraId="42867A02" w14:textId="77777777" w:rsidR="00811745" w:rsidRPr="004A0C12" w:rsidRDefault="00811745" w:rsidP="00811745">
            <w:pPr>
              <w:rPr>
                <w:rFonts w:ascii="Garamond" w:hAnsi="Garamond"/>
                <w:sz w:val="22"/>
                <w:szCs w:val="22"/>
              </w:rPr>
            </w:pPr>
          </w:p>
        </w:tc>
      </w:tr>
      <w:tr w:rsidR="00811745" w:rsidRPr="004A0C12" w14:paraId="3BF8005F" w14:textId="77777777" w:rsidTr="003865ED">
        <w:trPr>
          <w:trHeight w:val="255"/>
          <w:jc w:val="center"/>
        </w:trPr>
        <w:tc>
          <w:tcPr>
            <w:tcW w:w="2142" w:type="dxa"/>
            <w:noWrap/>
            <w:hideMark/>
          </w:tcPr>
          <w:p w14:paraId="6ABF7528" w14:textId="77777777" w:rsidR="00811745" w:rsidRPr="004A0C12" w:rsidRDefault="00811745" w:rsidP="00811745">
            <w:pPr>
              <w:rPr>
                <w:rFonts w:ascii="Garamond" w:hAnsi="Garamond"/>
                <w:sz w:val="22"/>
                <w:szCs w:val="22"/>
              </w:rPr>
            </w:pPr>
            <w:r w:rsidRPr="004A0C12">
              <w:rPr>
                <w:rFonts w:ascii="Garamond" w:hAnsi="Garamond"/>
                <w:sz w:val="22"/>
                <w:szCs w:val="22"/>
              </w:rPr>
              <w:t>John Veney</w:t>
            </w:r>
          </w:p>
        </w:tc>
        <w:tc>
          <w:tcPr>
            <w:tcW w:w="1530" w:type="dxa"/>
            <w:noWrap/>
            <w:hideMark/>
          </w:tcPr>
          <w:p w14:paraId="4DFE7DEF" w14:textId="77777777" w:rsidR="00811745" w:rsidRPr="004A0C12" w:rsidRDefault="00811745" w:rsidP="00811745">
            <w:pPr>
              <w:rPr>
                <w:rFonts w:ascii="Garamond" w:hAnsi="Garamond"/>
                <w:sz w:val="22"/>
                <w:szCs w:val="22"/>
              </w:rPr>
            </w:pPr>
            <w:r w:rsidRPr="004A0C12">
              <w:rPr>
                <w:rFonts w:ascii="Garamond" w:hAnsi="Garamond"/>
                <w:sz w:val="22"/>
                <w:szCs w:val="22"/>
              </w:rPr>
              <w:t>7/29/2015</w:t>
            </w:r>
          </w:p>
        </w:tc>
        <w:tc>
          <w:tcPr>
            <w:tcW w:w="2106" w:type="dxa"/>
            <w:noWrap/>
            <w:hideMark/>
          </w:tcPr>
          <w:p w14:paraId="37322413" w14:textId="77777777" w:rsidR="00811745" w:rsidRPr="004A0C12" w:rsidRDefault="00811745" w:rsidP="00811745">
            <w:pPr>
              <w:rPr>
                <w:rFonts w:ascii="Garamond" w:hAnsi="Garamond"/>
                <w:sz w:val="22"/>
                <w:szCs w:val="22"/>
              </w:rPr>
            </w:pPr>
            <w:r w:rsidRPr="004A0C12">
              <w:rPr>
                <w:rFonts w:ascii="Garamond" w:hAnsi="Garamond"/>
                <w:sz w:val="22"/>
                <w:szCs w:val="22"/>
              </w:rPr>
              <w:t>1/29/2017</w:t>
            </w:r>
          </w:p>
        </w:tc>
        <w:tc>
          <w:tcPr>
            <w:tcW w:w="1810" w:type="dxa"/>
            <w:noWrap/>
            <w:hideMark/>
          </w:tcPr>
          <w:p w14:paraId="199EB61C"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78BD1567"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08EB0A54" w14:textId="77777777" w:rsidR="00811745" w:rsidRPr="004A0C12" w:rsidRDefault="00811745" w:rsidP="00811745">
            <w:pPr>
              <w:rPr>
                <w:rFonts w:ascii="Garamond" w:hAnsi="Garamond"/>
                <w:sz w:val="22"/>
                <w:szCs w:val="22"/>
              </w:rPr>
            </w:pPr>
            <w:r w:rsidRPr="004A0C12">
              <w:rPr>
                <w:rFonts w:ascii="Garamond" w:hAnsi="Garamond"/>
                <w:sz w:val="22"/>
                <w:szCs w:val="22"/>
              </w:rPr>
              <w:t>12/18/2015</w:t>
            </w:r>
          </w:p>
        </w:tc>
      </w:tr>
      <w:tr w:rsidR="00811745" w:rsidRPr="004A0C12" w14:paraId="34C1A654" w14:textId="77777777" w:rsidTr="003865ED">
        <w:trPr>
          <w:trHeight w:val="255"/>
          <w:jc w:val="center"/>
        </w:trPr>
        <w:tc>
          <w:tcPr>
            <w:tcW w:w="2142" w:type="dxa"/>
            <w:noWrap/>
            <w:hideMark/>
          </w:tcPr>
          <w:p w14:paraId="34331DC5" w14:textId="77777777" w:rsidR="00811745" w:rsidRPr="004A0C12" w:rsidRDefault="00811745" w:rsidP="00811745">
            <w:pPr>
              <w:rPr>
                <w:rFonts w:ascii="Garamond" w:hAnsi="Garamond"/>
                <w:sz w:val="22"/>
                <w:szCs w:val="22"/>
              </w:rPr>
            </w:pPr>
          </w:p>
        </w:tc>
        <w:tc>
          <w:tcPr>
            <w:tcW w:w="1530" w:type="dxa"/>
            <w:noWrap/>
            <w:hideMark/>
          </w:tcPr>
          <w:p w14:paraId="2809DF91" w14:textId="77777777" w:rsidR="00811745" w:rsidRPr="004A0C12" w:rsidRDefault="00811745" w:rsidP="00811745">
            <w:pPr>
              <w:rPr>
                <w:rFonts w:ascii="Garamond" w:hAnsi="Garamond"/>
                <w:sz w:val="22"/>
                <w:szCs w:val="22"/>
              </w:rPr>
            </w:pPr>
          </w:p>
        </w:tc>
        <w:tc>
          <w:tcPr>
            <w:tcW w:w="2106" w:type="dxa"/>
            <w:noWrap/>
            <w:hideMark/>
          </w:tcPr>
          <w:p w14:paraId="1DD27EB7" w14:textId="77777777" w:rsidR="00811745" w:rsidRPr="004A0C12" w:rsidRDefault="00811745" w:rsidP="00811745">
            <w:pPr>
              <w:rPr>
                <w:rFonts w:ascii="Garamond" w:hAnsi="Garamond"/>
                <w:sz w:val="22"/>
                <w:szCs w:val="22"/>
              </w:rPr>
            </w:pPr>
          </w:p>
        </w:tc>
        <w:tc>
          <w:tcPr>
            <w:tcW w:w="1810" w:type="dxa"/>
            <w:noWrap/>
            <w:hideMark/>
          </w:tcPr>
          <w:p w14:paraId="2F53FF6F" w14:textId="77777777" w:rsidR="00811745" w:rsidRPr="004A0C12" w:rsidRDefault="00811745" w:rsidP="00811745">
            <w:pPr>
              <w:rPr>
                <w:rFonts w:ascii="Garamond" w:hAnsi="Garamond"/>
                <w:sz w:val="22"/>
                <w:szCs w:val="22"/>
              </w:rPr>
            </w:pPr>
          </w:p>
        </w:tc>
        <w:tc>
          <w:tcPr>
            <w:tcW w:w="1376" w:type="dxa"/>
            <w:noWrap/>
            <w:hideMark/>
          </w:tcPr>
          <w:p w14:paraId="447B0DB4"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3FC99E10" w14:textId="77777777" w:rsidR="00811745" w:rsidRPr="004A0C12" w:rsidRDefault="00811745" w:rsidP="00811745">
            <w:pPr>
              <w:rPr>
                <w:rFonts w:ascii="Garamond" w:hAnsi="Garamond"/>
                <w:sz w:val="22"/>
                <w:szCs w:val="22"/>
              </w:rPr>
            </w:pPr>
          </w:p>
        </w:tc>
      </w:tr>
      <w:tr w:rsidR="00811745" w:rsidRPr="004A0C12" w14:paraId="743EA102" w14:textId="77777777" w:rsidTr="003865ED">
        <w:trPr>
          <w:trHeight w:val="255"/>
          <w:jc w:val="center"/>
        </w:trPr>
        <w:tc>
          <w:tcPr>
            <w:tcW w:w="10584" w:type="dxa"/>
            <w:gridSpan w:val="6"/>
            <w:noWrap/>
            <w:hideMark/>
          </w:tcPr>
          <w:p w14:paraId="0416A82E" w14:textId="77777777" w:rsidR="00811745" w:rsidRPr="004A0C12" w:rsidRDefault="00811745" w:rsidP="00811745">
            <w:pPr>
              <w:rPr>
                <w:rFonts w:ascii="Garamond" w:hAnsi="Garamond"/>
                <w:sz w:val="22"/>
                <w:szCs w:val="22"/>
              </w:rPr>
            </w:pPr>
          </w:p>
        </w:tc>
      </w:tr>
      <w:tr w:rsidR="00811745" w:rsidRPr="004A0C12" w14:paraId="6EDB3C4B" w14:textId="77777777" w:rsidTr="003865ED">
        <w:trPr>
          <w:trHeight w:val="255"/>
          <w:jc w:val="center"/>
        </w:trPr>
        <w:tc>
          <w:tcPr>
            <w:tcW w:w="2142" w:type="dxa"/>
            <w:noWrap/>
            <w:hideMark/>
          </w:tcPr>
          <w:p w14:paraId="21B3C1B0" w14:textId="77777777" w:rsidR="00811745" w:rsidRPr="004A0C12" w:rsidRDefault="00811745" w:rsidP="00811745">
            <w:pPr>
              <w:rPr>
                <w:rFonts w:ascii="Garamond" w:hAnsi="Garamond"/>
                <w:sz w:val="22"/>
                <w:szCs w:val="22"/>
              </w:rPr>
            </w:pPr>
            <w:r w:rsidRPr="004A0C12">
              <w:rPr>
                <w:rFonts w:ascii="Garamond" w:hAnsi="Garamond"/>
                <w:sz w:val="22"/>
                <w:szCs w:val="22"/>
              </w:rPr>
              <w:t>John Walker</w:t>
            </w:r>
          </w:p>
        </w:tc>
        <w:tc>
          <w:tcPr>
            <w:tcW w:w="1530" w:type="dxa"/>
            <w:noWrap/>
            <w:hideMark/>
          </w:tcPr>
          <w:p w14:paraId="081A4F70" w14:textId="77777777" w:rsidR="00811745" w:rsidRPr="004A0C12" w:rsidRDefault="00811745" w:rsidP="00811745">
            <w:pPr>
              <w:rPr>
                <w:rFonts w:ascii="Garamond" w:hAnsi="Garamond"/>
                <w:sz w:val="22"/>
                <w:szCs w:val="22"/>
              </w:rPr>
            </w:pPr>
            <w:r w:rsidRPr="004A0C12">
              <w:rPr>
                <w:rFonts w:ascii="Garamond" w:hAnsi="Garamond"/>
                <w:sz w:val="22"/>
                <w:szCs w:val="22"/>
              </w:rPr>
              <w:t>5/30/2013</w:t>
            </w:r>
          </w:p>
        </w:tc>
        <w:tc>
          <w:tcPr>
            <w:tcW w:w="2106" w:type="dxa"/>
            <w:noWrap/>
            <w:hideMark/>
          </w:tcPr>
          <w:p w14:paraId="74662EA3" w14:textId="77777777" w:rsidR="00811745" w:rsidRPr="004A0C12" w:rsidRDefault="00811745" w:rsidP="00811745">
            <w:pPr>
              <w:rPr>
                <w:rFonts w:ascii="Garamond" w:hAnsi="Garamond"/>
                <w:sz w:val="22"/>
                <w:szCs w:val="22"/>
              </w:rPr>
            </w:pPr>
            <w:r w:rsidRPr="004A0C12">
              <w:rPr>
                <w:rFonts w:ascii="Garamond" w:hAnsi="Garamond"/>
                <w:sz w:val="22"/>
                <w:szCs w:val="22"/>
              </w:rPr>
              <w:t>11/30/2014</w:t>
            </w:r>
          </w:p>
        </w:tc>
        <w:tc>
          <w:tcPr>
            <w:tcW w:w="1810" w:type="dxa"/>
            <w:noWrap/>
            <w:hideMark/>
          </w:tcPr>
          <w:p w14:paraId="0F1810D7" w14:textId="77777777" w:rsidR="00811745" w:rsidRPr="004A0C12" w:rsidRDefault="00811745" w:rsidP="00811745">
            <w:pPr>
              <w:rPr>
                <w:rFonts w:ascii="Garamond" w:hAnsi="Garamond"/>
                <w:sz w:val="22"/>
                <w:szCs w:val="22"/>
              </w:rPr>
            </w:pPr>
            <w:r w:rsidRPr="004A0C12">
              <w:rPr>
                <w:rFonts w:ascii="Garamond" w:hAnsi="Garamond"/>
                <w:sz w:val="22"/>
                <w:szCs w:val="22"/>
              </w:rPr>
              <w:t>DVOP</w:t>
            </w:r>
          </w:p>
        </w:tc>
        <w:tc>
          <w:tcPr>
            <w:tcW w:w="1376" w:type="dxa"/>
            <w:noWrap/>
            <w:hideMark/>
          </w:tcPr>
          <w:p w14:paraId="294AB1B1" w14:textId="77777777" w:rsidR="00811745" w:rsidRPr="004A0C12" w:rsidRDefault="00811745" w:rsidP="00811745">
            <w:pPr>
              <w:rPr>
                <w:rFonts w:ascii="Garamond" w:hAnsi="Garamond"/>
                <w:sz w:val="22"/>
                <w:szCs w:val="22"/>
              </w:rPr>
            </w:pPr>
            <w:r w:rsidRPr="004A0C12">
              <w:rPr>
                <w:rFonts w:ascii="Garamond" w:hAnsi="Garamond"/>
                <w:sz w:val="22"/>
                <w:szCs w:val="22"/>
              </w:rPr>
              <w:t>LES</w:t>
            </w:r>
          </w:p>
        </w:tc>
        <w:tc>
          <w:tcPr>
            <w:tcW w:w="1620" w:type="dxa"/>
            <w:noWrap/>
            <w:hideMark/>
          </w:tcPr>
          <w:p w14:paraId="318FA5DF" w14:textId="77777777" w:rsidR="00811745" w:rsidRPr="004A0C12" w:rsidRDefault="00811745" w:rsidP="00811745">
            <w:pPr>
              <w:rPr>
                <w:rFonts w:ascii="Garamond" w:hAnsi="Garamond"/>
                <w:sz w:val="22"/>
                <w:szCs w:val="22"/>
              </w:rPr>
            </w:pPr>
            <w:r w:rsidRPr="004A0C12">
              <w:rPr>
                <w:rFonts w:ascii="Garamond" w:hAnsi="Garamond"/>
                <w:sz w:val="22"/>
                <w:szCs w:val="22"/>
              </w:rPr>
              <w:t>9/13/2013</w:t>
            </w:r>
          </w:p>
        </w:tc>
      </w:tr>
      <w:tr w:rsidR="00811745" w:rsidRPr="004A0C12" w14:paraId="2C6ECD0C" w14:textId="77777777" w:rsidTr="003865ED">
        <w:trPr>
          <w:trHeight w:val="255"/>
          <w:jc w:val="center"/>
        </w:trPr>
        <w:tc>
          <w:tcPr>
            <w:tcW w:w="2142" w:type="dxa"/>
            <w:noWrap/>
            <w:hideMark/>
          </w:tcPr>
          <w:p w14:paraId="6BA4F2BE" w14:textId="77777777" w:rsidR="00811745" w:rsidRPr="004A0C12" w:rsidRDefault="00811745" w:rsidP="00811745">
            <w:pPr>
              <w:rPr>
                <w:rFonts w:ascii="Garamond" w:hAnsi="Garamond"/>
                <w:sz w:val="22"/>
                <w:szCs w:val="22"/>
              </w:rPr>
            </w:pPr>
          </w:p>
        </w:tc>
        <w:tc>
          <w:tcPr>
            <w:tcW w:w="1530" w:type="dxa"/>
            <w:noWrap/>
            <w:hideMark/>
          </w:tcPr>
          <w:p w14:paraId="320159A3" w14:textId="77777777" w:rsidR="00811745" w:rsidRPr="004A0C12" w:rsidRDefault="00811745" w:rsidP="00811745">
            <w:pPr>
              <w:rPr>
                <w:rFonts w:ascii="Garamond" w:hAnsi="Garamond"/>
                <w:sz w:val="22"/>
                <w:szCs w:val="22"/>
              </w:rPr>
            </w:pPr>
          </w:p>
        </w:tc>
        <w:tc>
          <w:tcPr>
            <w:tcW w:w="2106" w:type="dxa"/>
            <w:noWrap/>
            <w:hideMark/>
          </w:tcPr>
          <w:p w14:paraId="78D88A5E" w14:textId="77777777" w:rsidR="00811745" w:rsidRPr="004A0C12" w:rsidRDefault="00811745" w:rsidP="00811745">
            <w:pPr>
              <w:rPr>
                <w:rFonts w:ascii="Garamond" w:hAnsi="Garamond"/>
                <w:sz w:val="22"/>
                <w:szCs w:val="22"/>
              </w:rPr>
            </w:pPr>
          </w:p>
        </w:tc>
        <w:tc>
          <w:tcPr>
            <w:tcW w:w="1810" w:type="dxa"/>
            <w:noWrap/>
            <w:hideMark/>
          </w:tcPr>
          <w:p w14:paraId="26413548" w14:textId="77777777" w:rsidR="00811745" w:rsidRPr="004A0C12" w:rsidRDefault="00811745" w:rsidP="00811745">
            <w:pPr>
              <w:rPr>
                <w:rFonts w:ascii="Garamond" w:hAnsi="Garamond"/>
                <w:sz w:val="22"/>
                <w:szCs w:val="22"/>
              </w:rPr>
            </w:pPr>
          </w:p>
        </w:tc>
        <w:tc>
          <w:tcPr>
            <w:tcW w:w="1376" w:type="dxa"/>
            <w:noWrap/>
            <w:hideMark/>
          </w:tcPr>
          <w:p w14:paraId="2EA5CBAC" w14:textId="77777777" w:rsidR="00811745" w:rsidRPr="004A0C12" w:rsidRDefault="00811745" w:rsidP="00811745">
            <w:pPr>
              <w:rPr>
                <w:rFonts w:ascii="Garamond" w:hAnsi="Garamond"/>
                <w:sz w:val="22"/>
                <w:szCs w:val="22"/>
              </w:rPr>
            </w:pPr>
            <w:r w:rsidRPr="004A0C12">
              <w:rPr>
                <w:rFonts w:ascii="Garamond" w:hAnsi="Garamond"/>
                <w:sz w:val="22"/>
                <w:szCs w:val="22"/>
              </w:rPr>
              <w:t>CM</w:t>
            </w:r>
          </w:p>
        </w:tc>
        <w:tc>
          <w:tcPr>
            <w:tcW w:w="1620" w:type="dxa"/>
            <w:noWrap/>
            <w:hideMark/>
          </w:tcPr>
          <w:p w14:paraId="29834806" w14:textId="77777777" w:rsidR="00811745" w:rsidRPr="004A0C12" w:rsidRDefault="00811745" w:rsidP="00811745">
            <w:pPr>
              <w:rPr>
                <w:rFonts w:ascii="Garamond" w:hAnsi="Garamond"/>
                <w:sz w:val="22"/>
                <w:szCs w:val="22"/>
              </w:rPr>
            </w:pPr>
            <w:r w:rsidRPr="004A0C12">
              <w:rPr>
                <w:rFonts w:ascii="Garamond" w:hAnsi="Garamond"/>
                <w:sz w:val="22"/>
                <w:szCs w:val="22"/>
              </w:rPr>
              <w:t>12/6/2013</w:t>
            </w:r>
          </w:p>
        </w:tc>
      </w:tr>
      <w:tr w:rsidR="00811745" w:rsidRPr="004A0C12" w14:paraId="3BEA8129" w14:textId="77777777" w:rsidTr="003865ED">
        <w:trPr>
          <w:trHeight w:val="255"/>
          <w:jc w:val="center"/>
        </w:trPr>
        <w:tc>
          <w:tcPr>
            <w:tcW w:w="10584" w:type="dxa"/>
            <w:gridSpan w:val="6"/>
            <w:noWrap/>
            <w:hideMark/>
          </w:tcPr>
          <w:p w14:paraId="31BD080C" w14:textId="77777777" w:rsidR="00811745" w:rsidRPr="004A0C12" w:rsidRDefault="00811745" w:rsidP="00811745">
            <w:pPr>
              <w:rPr>
                <w:rFonts w:ascii="Garamond" w:hAnsi="Garamond"/>
                <w:sz w:val="22"/>
                <w:szCs w:val="22"/>
              </w:rPr>
            </w:pPr>
          </w:p>
        </w:tc>
      </w:tr>
      <w:tr w:rsidR="00811745" w:rsidRPr="004A0C12" w14:paraId="65E80C0B" w14:textId="77777777" w:rsidTr="003865ED">
        <w:trPr>
          <w:trHeight w:val="255"/>
          <w:jc w:val="center"/>
        </w:trPr>
        <w:tc>
          <w:tcPr>
            <w:tcW w:w="2142" w:type="dxa"/>
            <w:noWrap/>
            <w:hideMark/>
          </w:tcPr>
          <w:p w14:paraId="2E69E2B4" w14:textId="77777777" w:rsidR="00811745" w:rsidRPr="004A0C12" w:rsidRDefault="00811745" w:rsidP="00811745">
            <w:pPr>
              <w:rPr>
                <w:rFonts w:ascii="Garamond" w:hAnsi="Garamond"/>
                <w:sz w:val="22"/>
                <w:szCs w:val="22"/>
              </w:rPr>
            </w:pPr>
            <w:r w:rsidRPr="004A0C12">
              <w:rPr>
                <w:rFonts w:ascii="Garamond" w:hAnsi="Garamond"/>
                <w:sz w:val="22"/>
                <w:szCs w:val="22"/>
              </w:rPr>
              <w:t>Timothy Walker</w:t>
            </w:r>
          </w:p>
        </w:tc>
        <w:tc>
          <w:tcPr>
            <w:tcW w:w="1530" w:type="dxa"/>
            <w:noWrap/>
            <w:hideMark/>
          </w:tcPr>
          <w:p w14:paraId="2F2AE0F1" w14:textId="77777777" w:rsidR="00811745" w:rsidRPr="004A0C12" w:rsidRDefault="00811745" w:rsidP="00811745">
            <w:pPr>
              <w:rPr>
                <w:rFonts w:ascii="Garamond" w:hAnsi="Garamond"/>
                <w:sz w:val="22"/>
                <w:szCs w:val="22"/>
              </w:rPr>
            </w:pPr>
            <w:r w:rsidRPr="004A0C12">
              <w:rPr>
                <w:rFonts w:ascii="Garamond" w:hAnsi="Garamond"/>
                <w:sz w:val="22"/>
                <w:szCs w:val="22"/>
              </w:rPr>
              <w:t>6/18/2014</w:t>
            </w:r>
          </w:p>
        </w:tc>
        <w:tc>
          <w:tcPr>
            <w:tcW w:w="2106" w:type="dxa"/>
            <w:noWrap/>
            <w:hideMark/>
          </w:tcPr>
          <w:p w14:paraId="1B045751" w14:textId="77777777" w:rsidR="00811745" w:rsidRPr="004A0C12" w:rsidRDefault="00811745" w:rsidP="00811745">
            <w:pPr>
              <w:rPr>
                <w:rFonts w:ascii="Garamond" w:hAnsi="Garamond"/>
                <w:sz w:val="22"/>
                <w:szCs w:val="22"/>
              </w:rPr>
            </w:pPr>
            <w:r w:rsidRPr="004A0C12">
              <w:rPr>
                <w:rFonts w:ascii="Garamond" w:hAnsi="Garamond"/>
                <w:sz w:val="22"/>
                <w:szCs w:val="22"/>
              </w:rPr>
              <w:t>12/18/2015</w:t>
            </w:r>
          </w:p>
        </w:tc>
        <w:tc>
          <w:tcPr>
            <w:tcW w:w="1810" w:type="dxa"/>
            <w:noWrap/>
            <w:hideMark/>
          </w:tcPr>
          <w:p w14:paraId="10968922" w14:textId="77777777" w:rsidR="00811745" w:rsidRPr="004A0C12" w:rsidRDefault="00811745" w:rsidP="00811745">
            <w:pPr>
              <w:rPr>
                <w:rFonts w:ascii="Garamond" w:hAnsi="Garamond"/>
                <w:sz w:val="22"/>
                <w:szCs w:val="22"/>
              </w:rPr>
            </w:pPr>
            <w:r w:rsidRPr="004A0C12">
              <w:rPr>
                <w:rFonts w:ascii="Garamond" w:hAnsi="Garamond"/>
                <w:sz w:val="22"/>
                <w:szCs w:val="22"/>
              </w:rPr>
              <w:t xml:space="preserve">DVOP </w:t>
            </w:r>
          </w:p>
        </w:tc>
        <w:tc>
          <w:tcPr>
            <w:tcW w:w="1376" w:type="dxa"/>
            <w:noWrap/>
            <w:hideMark/>
          </w:tcPr>
          <w:p w14:paraId="7A17947F"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75A8C059" w14:textId="77777777" w:rsidR="00811745" w:rsidRPr="004A0C12" w:rsidRDefault="00811745" w:rsidP="00811745">
            <w:pPr>
              <w:rPr>
                <w:rFonts w:ascii="Garamond" w:hAnsi="Garamond"/>
                <w:sz w:val="22"/>
                <w:szCs w:val="22"/>
              </w:rPr>
            </w:pPr>
            <w:r w:rsidRPr="004A0C12">
              <w:rPr>
                <w:rFonts w:ascii="Garamond" w:hAnsi="Garamond"/>
                <w:sz w:val="22"/>
                <w:szCs w:val="22"/>
              </w:rPr>
              <w:t>10/31/2014</w:t>
            </w:r>
          </w:p>
        </w:tc>
      </w:tr>
      <w:tr w:rsidR="00811745" w:rsidRPr="004A0C12" w14:paraId="78F07C90" w14:textId="77777777" w:rsidTr="003865ED">
        <w:trPr>
          <w:trHeight w:val="255"/>
          <w:jc w:val="center"/>
        </w:trPr>
        <w:tc>
          <w:tcPr>
            <w:tcW w:w="2142" w:type="dxa"/>
            <w:noWrap/>
            <w:hideMark/>
          </w:tcPr>
          <w:p w14:paraId="1222E9A0" w14:textId="77777777" w:rsidR="00811745" w:rsidRPr="004A0C12" w:rsidRDefault="00811745" w:rsidP="00811745">
            <w:pPr>
              <w:rPr>
                <w:rFonts w:ascii="Garamond" w:hAnsi="Garamond"/>
                <w:sz w:val="22"/>
                <w:szCs w:val="22"/>
              </w:rPr>
            </w:pPr>
          </w:p>
        </w:tc>
        <w:tc>
          <w:tcPr>
            <w:tcW w:w="1530" w:type="dxa"/>
            <w:noWrap/>
            <w:hideMark/>
          </w:tcPr>
          <w:p w14:paraId="60695A9E" w14:textId="77777777" w:rsidR="00811745" w:rsidRPr="004A0C12" w:rsidRDefault="00811745" w:rsidP="00811745">
            <w:pPr>
              <w:rPr>
                <w:rFonts w:ascii="Garamond" w:hAnsi="Garamond"/>
                <w:sz w:val="22"/>
                <w:szCs w:val="22"/>
              </w:rPr>
            </w:pPr>
          </w:p>
        </w:tc>
        <w:tc>
          <w:tcPr>
            <w:tcW w:w="2106" w:type="dxa"/>
            <w:noWrap/>
            <w:hideMark/>
          </w:tcPr>
          <w:p w14:paraId="44C641C8" w14:textId="77777777" w:rsidR="00811745" w:rsidRPr="004A0C12" w:rsidRDefault="00811745" w:rsidP="00811745">
            <w:pPr>
              <w:rPr>
                <w:rFonts w:ascii="Garamond" w:hAnsi="Garamond"/>
                <w:sz w:val="22"/>
                <w:szCs w:val="22"/>
              </w:rPr>
            </w:pPr>
          </w:p>
        </w:tc>
        <w:tc>
          <w:tcPr>
            <w:tcW w:w="1810" w:type="dxa"/>
            <w:noWrap/>
            <w:hideMark/>
          </w:tcPr>
          <w:p w14:paraId="04D65C18" w14:textId="77777777" w:rsidR="00811745" w:rsidRPr="004A0C12" w:rsidRDefault="00811745" w:rsidP="00811745">
            <w:pPr>
              <w:rPr>
                <w:rFonts w:ascii="Garamond" w:hAnsi="Garamond"/>
                <w:sz w:val="22"/>
                <w:szCs w:val="22"/>
              </w:rPr>
            </w:pPr>
          </w:p>
        </w:tc>
        <w:tc>
          <w:tcPr>
            <w:tcW w:w="1376" w:type="dxa"/>
            <w:noWrap/>
            <w:hideMark/>
          </w:tcPr>
          <w:p w14:paraId="2E97AE4E"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0C06B8E9" w14:textId="77777777" w:rsidR="00811745" w:rsidRPr="004A0C12" w:rsidRDefault="00811745" w:rsidP="00811745">
            <w:pPr>
              <w:rPr>
                <w:rFonts w:ascii="Garamond" w:hAnsi="Garamond"/>
                <w:sz w:val="22"/>
                <w:szCs w:val="22"/>
              </w:rPr>
            </w:pPr>
            <w:r w:rsidRPr="004A0C12">
              <w:rPr>
                <w:rFonts w:ascii="Garamond" w:hAnsi="Garamond"/>
                <w:sz w:val="22"/>
                <w:szCs w:val="22"/>
              </w:rPr>
              <w:t>4/24/2015</w:t>
            </w:r>
          </w:p>
        </w:tc>
      </w:tr>
      <w:tr w:rsidR="00811745" w:rsidRPr="004A0C12" w14:paraId="199EC0D0" w14:textId="77777777" w:rsidTr="003865ED">
        <w:trPr>
          <w:trHeight w:val="255"/>
          <w:jc w:val="center"/>
        </w:trPr>
        <w:tc>
          <w:tcPr>
            <w:tcW w:w="10584" w:type="dxa"/>
            <w:gridSpan w:val="6"/>
            <w:noWrap/>
            <w:hideMark/>
          </w:tcPr>
          <w:p w14:paraId="3CE789D0" w14:textId="77777777" w:rsidR="00811745" w:rsidRPr="004A0C12" w:rsidRDefault="00811745" w:rsidP="00811745">
            <w:pPr>
              <w:rPr>
                <w:rFonts w:ascii="Garamond" w:hAnsi="Garamond"/>
                <w:sz w:val="22"/>
                <w:szCs w:val="22"/>
              </w:rPr>
            </w:pPr>
          </w:p>
        </w:tc>
      </w:tr>
      <w:tr w:rsidR="00811745" w:rsidRPr="004A0C12" w14:paraId="25B6F212" w14:textId="77777777" w:rsidTr="003865ED">
        <w:trPr>
          <w:trHeight w:val="255"/>
          <w:jc w:val="center"/>
        </w:trPr>
        <w:tc>
          <w:tcPr>
            <w:tcW w:w="2142" w:type="dxa"/>
            <w:noWrap/>
            <w:hideMark/>
          </w:tcPr>
          <w:p w14:paraId="7A57B3A4" w14:textId="77777777" w:rsidR="00811745" w:rsidRPr="004A0C12" w:rsidRDefault="00811745" w:rsidP="00811745">
            <w:pPr>
              <w:rPr>
                <w:rFonts w:ascii="Garamond" w:hAnsi="Garamond"/>
                <w:sz w:val="22"/>
                <w:szCs w:val="22"/>
              </w:rPr>
            </w:pPr>
            <w:r w:rsidRPr="004A0C12">
              <w:rPr>
                <w:rFonts w:ascii="Garamond" w:hAnsi="Garamond"/>
                <w:sz w:val="22"/>
                <w:szCs w:val="22"/>
              </w:rPr>
              <w:t>Christopher Watkins</w:t>
            </w:r>
          </w:p>
        </w:tc>
        <w:tc>
          <w:tcPr>
            <w:tcW w:w="1530" w:type="dxa"/>
            <w:noWrap/>
            <w:hideMark/>
          </w:tcPr>
          <w:p w14:paraId="119390BE" w14:textId="77777777" w:rsidR="00811745" w:rsidRPr="004A0C12" w:rsidRDefault="00811745" w:rsidP="00811745">
            <w:pPr>
              <w:rPr>
                <w:rFonts w:ascii="Garamond" w:hAnsi="Garamond"/>
                <w:sz w:val="22"/>
                <w:szCs w:val="22"/>
              </w:rPr>
            </w:pPr>
            <w:r w:rsidRPr="004A0C12">
              <w:rPr>
                <w:rFonts w:ascii="Garamond" w:hAnsi="Garamond"/>
                <w:sz w:val="22"/>
                <w:szCs w:val="22"/>
              </w:rPr>
              <w:t>5/13/2015</w:t>
            </w:r>
          </w:p>
        </w:tc>
        <w:tc>
          <w:tcPr>
            <w:tcW w:w="2106" w:type="dxa"/>
            <w:noWrap/>
            <w:hideMark/>
          </w:tcPr>
          <w:p w14:paraId="65248DBB" w14:textId="77777777" w:rsidR="00811745" w:rsidRPr="004A0C12" w:rsidRDefault="00811745" w:rsidP="00811745">
            <w:pPr>
              <w:rPr>
                <w:rFonts w:ascii="Garamond" w:hAnsi="Garamond"/>
                <w:sz w:val="22"/>
                <w:szCs w:val="22"/>
              </w:rPr>
            </w:pPr>
            <w:r w:rsidRPr="004A0C12">
              <w:rPr>
                <w:rFonts w:ascii="Garamond" w:hAnsi="Garamond"/>
                <w:sz w:val="22"/>
                <w:szCs w:val="22"/>
              </w:rPr>
              <w:t>11/13/2016</w:t>
            </w:r>
          </w:p>
        </w:tc>
        <w:tc>
          <w:tcPr>
            <w:tcW w:w="1810" w:type="dxa"/>
            <w:noWrap/>
            <w:hideMark/>
          </w:tcPr>
          <w:p w14:paraId="465E2E6D" w14:textId="77777777" w:rsidR="00811745" w:rsidRPr="004A0C12" w:rsidRDefault="00811745" w:rsidP="00811745">
            <w:pPr>
              <w:rPr>
                <w:rFonts w:ascii="Garamond" w:hAnsi="Garamond"/>
                <w:sz w:val="22"/>
                <w:szCs w:val="22"/>
              </w:rPr>
            </w:pPr>
            <w:r w:rsidRPr="004A0C12">
              <w:rPr>
                <w:rFonts w:ascii="Garamond" w:hAnsi="Garamond"/>
                <w:sz w:val="22"/>
                <w:szCs w:val="22"/>
              </w:rPr>
              <w:t>LVER</w:t>
            </w:r>
          </w:p>
        </w:tc>
        <w:tc>
          <w:tcPr>
            <w:tcW w:w="1376" w:type="dxa"/>
            <w:noWrap/>
            <w:hideMark/>
          </w:tcPr>
          <w:p w14:paraId="2627F03A" w14:textId="77777777" w:rsidR="00811745" w:rsidRPr="004A0C12" w:rsidRDefault="00811745" w:rsidP="00811745">
            <w:pPr>
              <w:rPr>
                <w:rFonts w:ascii="Garamond" w:hAnsi="Garamond"/>
                <w:sz w:val="22"/>
                <w:szCs w:val="22"/>
              </w:rPr>
            </w:pPr>
            <w:r w:rsidRPr="004A0C12">
              <w:rPr>
                <w:rFonts w:ascii="Garamond" w:hAnsi="Garamond"/>
                <w:sz w:val="22"/>
                <w:szCs w:val="22"/>
              </w:rPr>
              <w:t>FVE</w:t>
            </w:r>
          </w:p>
        </w:tc>
        <w:tc>
          <w:tcPr>
            <w:tcW w:w="1620" w:type="dxa"/>
            <w:noWrap/>
            <w:hideMark/>
          </w:tcPr>
          <w:p w14:paraId="6537B8BC" w14:textId="77777777" w:rsidR="00811745" w:rsidRPr="004A0C12" w:rsidRDefault="00811745" w:rsidP="00811745">
            <w:pPr>
              <w:rPr>
                <w:rFonts w:ascii="Garamond" w:hAnsi="Garamond"/>
                <w:sz w:val="22"/>
                <w:szCs w:val="22"/>
              </w:rPr>
            </w:pPr>
            <w:r w:rsidRPr="004A0C12">
              <w:rPr>
                <w:rFonts w:ascii="Garamond" w:hAnsi="Garamond"/>
                <w:sz w:val="22"/>
                <w:szCs w:val="22"/>
              </w:rPr>
              <w:t>May 2016 (exact date is tentative)</w:t>
            </w:r>
          </w:p>
        </w:tc>
      </w:tr>
      <w:tr w:rsidR="00811745" w:rsidRPr="004A0C12" w14:paraId="15340866" w14:textId="77777777" w:rsidTr="003865ED">
        <w:trPr>
          <w:trHeight w:val="255"/>
          <w:jc w:val="center"/>
        </w:trPr>
        <w:tc>
          <w:tcPr>
            <w:tcW w:w="2142" w:type="dxa"/>
            <w:noWrap/>
            <w:hideMark/>
          </w:tcPr>
          <w:p w14:paraId="767153FC" w14:textId="77777777" w:rsidR="00811745" w:rsidRPr="004A0C12" w:rsidRDefault="00811745" w:rsidP="00811745">
            <w:pPr>
              <w:rPr>
                <w:rFonts w:ascii="Garamond" w:hAnsi="Garamond"/>
                <w:sz w:val="22"/>
                <w:szCs w:val="22"/>
              </w:rPr>
            </w:pPr>
          </w:p>
        </w:tc>
        <w:tc>
          <w:tcPr>
            <w:tcW w:w="1530" w:type="dxa"/>
            <w:noWrap/>
            <w:hideMark/>
          </w:tcPr>
          <w:p w14:paraId="74AFD445" w14:textId="77777777" w:rsidR="00811745" w:rsidRPr="004A0C12" w:rsidRDefault="00811745" w:rsidP="00811745">
            <w:pPr>
              <w:rPr>
                <w:rFonts w:ascii="Garamond" w:hAnsi="Garamond"/>
                <w:sz w:val="22"/>
                <w:szCs w:val="22"/>
              </w:rPr>
            </w:pPr>
          </w:p>
        </w:tc>
        <w:tc>
          <w:tcPr>
            <w:tcW w:w="2106" w:type="dxa"/>
            <w:noWrap/>
            <w:hideMark/>
          </w:tcPr>
          <w:p w14:paraId="186F404C" w14:textId="77777777" w:rsidR="00811745" w:rsidRPr="004A0C12" w:rsidRDefault="00811745" w:rsidP="00811745">
            <w:pPr>
              <w:rPr>
                <w:rFonts w:ascii="Garamond" w:hAnsi="Garamond"/>
                <w:sz w:val="22"/>
                <w:szCs w:val="22"/>
              </w:rPr>
            </w:pPr>
          </w:p>
        </w:tc>
        <w:tc>
          <w:tcPr>
            <w:tcW w:w="1810" w:type="dxa"/>
            <w:noWrap/>
            <w:hideMark/>
          </w:tcPr>
          <w:p w14:paraId="7F02665E" w14:textId="77777777" w:rsidR="00811745" w:rsidRPr="004A0C12" w:rsidRDefault="00811745" w:rsidP="00811745">
            <w:pPr>
              <w:rPr>
                <w:rFonts w:ascii="Garamond" w:hAnsi="Garamond"/>
                <w:sz w:val="22"/>
                <w:szCs w:val="22"/>
              </w:rPr>
            </w:pPr>
          </w:p>
        </w:tc>
        <w:tc>
          <w:tcPr>
            <w:tcW w:w="1376" w:type="dxa"/>
            <w:noWrap/>
            <w:hideMark/>
          </w:tcPr>
          <w:p w14:paraId="1A1E1E49" w14:textId="77777777" w:rsidR="00811745" w:rsidRPr="004A0C12" w:rsidRDefault="00811745" w:rsidP="00811745">
            <w:pPr>
              <w:rPr>
                <w:rFonts w:ascii="Garamond" w:hAnsi="Garamond"/>
                <w:sz w:val="22"/>
                <w:szCs w:val="22"/>
              </w:rPr>
            </w:pPr>
            <w:r w:rsidRPr="004A0C12">
              <w:rPr>
                <w:rFonts w:ascii="Garamond" w:hAnsi="Garamond"/>
                <w:sz w:val="22"/>
                <w:szCs w:val="22"/>
              </w:rPr>
              <w:t>IS</w:t>
            </w:r>
          </w:p>
        </w:tc>
        <w:tc>
          <w:tcPr>
            <w:tcW w:w="1620" w:type="dxa"/>
            <w:noWrap/>
            <w:hideMark/>
          </w:tcPr>
          <w:p w14:paraId="107C8CD9" w14:textId="77777777" w:rsidR="00811745" w:rsidRPr="004A0C12" w:rsidRDefault="00811745" w:rsidP="00811745">
            <w:pPr>
              <w:rPr>
                <w:rFonts w:ascii="Garamond" w:hAnsi="Garamond"/>
                <w:sz w:val="22"/>
                <w:szCs w:val="22"/>
              </w:rPr>
            </w:pPr>
            <w:r w:rsidRPr="004A0C12">
              <w:rPr>
                <w:rFonts w:ascii="Garamond" w:hAnsi="Garamond"/>
                <w:sz w:val="22"/>
                <w:szCs w:val="22"/>
              </w:rPr>
              <w:t>May 2016 (exact date is tentative)</w:t>
            </w:r>
          </w:p>
        </w:tc>
      </w:tr>
    </w:tbl>
    <w:p w14:paraId="22EC0D4A" w14:textId="77777777" w:rsidR="00811745" w:rsidRPr="004F590C" w:rsidRDefault="00811745" w:rsidP="00811745">
      <w:pPr>
        <w:pStyle w:val="Heading2"/>
        <w:rPr>
          <w:rFonts w:ascii="Garamond" w:hAnsi="Garamond"/>
          <w:sz w:val="24"/>
          <w:szCs w:val="22"/>
        </w:rPr>
      </w:pPr>
      <w:bookmarkStart w:id="270" w:name="_Toc447276287"/>
      <w:r w:rsidRPr="004F590C">
        <w:rPr>
          <w:rFonts w:ascii="Garamond" w:hAnsi="Garamond"/>
          <w:sz w:val="24"/>
          <w:szCs w:val="22"/>
        </w:rPr>
        <w:lastRenderedPageBreak/>
        <w:t>Additional Information as the Secretary may Require</w:t>
      </w:r>
      <w:bookmarkEnd w:id="270"/>
    </w:p>
    <w:p w14:paraId="54C688E7" w14:textId="77777777" w:rsidR="00811745" w:rsidRPr="004A0C12" w:rsidRDefault="00811745" w:rsidP="00811745">
      <w:pPr>
        <w:pStyle w:val="Heading4"/>
        <w:shd w:val="clear" w:color="auto" w:fill="FFFFFF"/>
        <w:spacing w:before="0"/>
        <w:jc w:val="both"/>
        <w:rPr>
          <w:rFonts w:ascii="Garamond" w:hAnsi="Garamond"/>
          <w:bCs w:val="0"/>
        </w:rPr>
      </w:pPr>
    </w:p>
    <w:p w14:paraId="5F7EE886" w14:textId="77777777" w:rsidR="00811745" w:rsidRPr="004A0C12" w:rsidRDefault="00811745" w:rsidP="00811745">
      <w:pPr>
        <w:spacing w:after="0" w:line="240" w:lineRule="auto"/>
        <w:contextualSpacing/>
        <w:rPr>
          <w:rFonts w:ascii="Garamond" w:hAnsi="Garamond" w:cs="Times New Roman"/>
        </w:rPr>
      </w:pPr>
      <w:r w:rsidRPr="004A0C12">
        <w:rPr>
          <w:rFonts w:ascii="Garamond" w:hAnsi="Garamond" w:cs="Times New Roman"/>
        </w:rPr>
        <w:t xml:space="preserve">The State is unaware of any additional information required by the Secretary, but stands ready to provide any additional information as needed. </w:t>
      </w:r>
    </w:p>
    <w:p w14:paraId="7EB8245F" w14:textId="77777777" w:rsidR="001E27E7" w:rsidRPr="004A0C12" w:rsidRDefault="001E27E7" w:rsidP="001E27E7">
      <w:pPr>
        <w:pStyle w:val="PlainText1"/>
        <w:contextualSpacing/>
        <w:rPr>
          <w:rFonts w:ascii="Garamond" w:hAnsi="Garamond"/>
          <w:b/>
          <w:color w:val="F50000"/>
          <w:sz w:val="22"/>
          <w:szCs w:val="22"/>
        </w:rPr>
      </w:pPr>
    </w:p>
    <w:p w14:paraId="79585D4C" w14:textId="77777777" w:rsidR="001E27E7" w:rsidRPr="004A0C12" w:rsidRDefault="001E27E7" w:rsidP="001E27E7">
      <w:pPr>
        <w:pStyle w:val="PlainText1"/>
        <w:contextualSpacing/>
        <w:rPr>
          <w:rFonts w:ascii="Garamond" w:hAnsi="Garamond"/>
          <w:b/>
          <w:color w:val="F50000"/>
          <w:sz w:val="22"/>
          <w:szCs w:val="22"/>
        </w:rPr>
      </w:pPr>
    </w:p>
    <w:p w14:paraId="7D0359DE" w14:textId="1EBE8336" w:rsidR="001E27E7" w:rsidRPr="004F590C" w:rsidRDefault="001E27E7" w:rsidP="005F5A6E">
      <w:pPr>
        <w:pStyle w:val="Heading1"/>
        <w:spacing w:before="0" w:line="240" w:lineRule="auto"/>
        <w:rPr>
          <w:rFonts w:ascii="Garamond" w:hAnsi="Garamond"/>
          <w:szCs w:val="22"/>
        </w:rPr>
      </w:pPr>
      <w:bookmarkStart w:id="271" w:name="_Toc447276288"/>
      <w:r w:rsidRPr="004F590C">
        <w:rPr>
          <w:rFonts w:ascii="Garamond" w:hAnsi="Garamond"/>
          <w:szCs w:val="22"/>
        </w:rPr>
        <w:t>P</w:t>
      </w:r>
      <w:r w:rsidR="00047DFA" w:rsidRPr="004F590C">
        <w:rPr>
          <w:rFonts w:ascii="Garamond" w:hAnsi="Garamond"/>
          <w:szCs w:val="22"/>
        </w:rPr>
        <w:t>ART 10</w:t>
      </w:r>
      <w:r w:rsidRPr="004F590C">
        <w:rPr>
          <w:rFonts w:ascii="Garamond" w:hAnsi="Garamond"/>
          <w:szCs w:val="22"/>
        </w:rPr>
        <w:t>. REINTEGRATION OF EX-OFFENDERS PROGRAM (RExO)</w:t>
      </w:r>
      <w:bookmarkEnd w:id="271"/>
    </w:p>
    <w:p w14:paraId="049B964C" w14:textId="77777777" w:rsidR="001E27E7" w:rsidRPr="004A0C12" w:rsidRDefault="001E27E7" w:rsidP="00E778B3">
      <w:pPr>
        <w:spacing w:line="240" w:lineRule="auto"/>
        <w:contextualSpacing/>
        <w:jc w:val="both"/>
        <w:rPr>
          <w:rFonts w:ascii="Garamond" w:hAnsi="Garamond" w:cs="Times New Roman"/>
        </w:rPr>
      </w:pPr>
      <w:r w:rsidRPr="004A0C12">
        <w:rPr>
          <w:rFonts w:ascii="Garamond" w:hAnsi="Garamond" w:cs="Times New Roman"/>
        </w:rPr>
        <w:t xml:space="preserve">No entity currently carries out the functions of Section 212 of the Second Chance Act of 2007. However, Maryland recognizes that the ex-offender population is a priority population and, as such, plans to incorporate any non-profit entity, who receives Section 212 grant funds from the USDOL, within the next 4 years into the Maryland State WIOA Plan to ensure effective integration and service delivery. Maryland will update its plan if and when an entity exists to administer this program. </w:t>
      </w:r>
    </w:p>
    <w:p w14:paraId="1DAF5097" w14:textId="77777777" w:rsidR="001E27E7" w:rsidRPr="004F590C" w:rsidRDefault="001E27E7" w:rsidP="001E27E7">
      <w:pPr>
        <w:pStyle w:val="Heading1"/>
        <w:rPr>
          <w:rFonts w:ascii="Garamond" w:hAnsi="Garamond"/>
          <w:sz w:val="24"/>
          <w:szCs w:val="22"/>
        </w:rPr>
      </w:pPr>
      <w:bookmarkStart w:id="272" w:name="_Toc447276289"/>
      <w:r w:rsidRPr="004F590C">
        <w:rPr>
          <w:rFonts w:ascii="Garamond" w:hAnsi="Garamond"/>
          <w:sz w:val="24"/>
          <w:szCs w:val="22"/>
        </w:rPr>
        <w:t>Appendix A: Performance Goals for the Core Programs</w:t>
      </w:r>
      <w:bookmarkEnd w:id="272"/>
    </w:p>
    <w:p w14:paraId="69B38154" w14:textId="77777777" w:rsidR="001E27E7" w:rsidRPr="004A0C12" w:rsidRDefault="001E27E7" w:rsidP="001E27E7">
      <w:pPr>
        <w:rPr>
          <w:rFonts w:ascii="Garamond" w:hAnsi="Garamond" w:cs="Times New Roman"/>
          <w:b/>
        </w:rPr>
      </w:pPr>
    </w:p>
    <w:p w14:paraId="26755081" w14:textId="57A5C1C5" w:rsidR="001E27E7" w:rsidRPr="004A0C12" w:rsidRDefault="001E27E7" w:rsidP="001E27E7">
      <w:pPr>
        <w:rPr>
          <w:rFonts w:ascii="Garamond" w:hAnsi="Garamond" w:cs="Times New Roman"/>
          <w:b/>
          <w:i/>
        </w:rPr>
      </w:pPr>
      <w:r w:rsidRPr="004A0C12">
        <w:rPr>
          <w:rFonts w:ascii="Garamond" w:hAnsi="Garamond" w:cs="Times New Roman"/>
          <w:b/>
          <w:i/>
        </w:rPr>
        <w:t xml:space="preserve">Maryland looks forward to </w:t>
      </w:r>
      <w:r w:rsidR="002579C0" w:rsidRPr="004A0C12">
        <w:rPr>
          <w:rFonts w:ascii="Garamond" w:hAnsi="Garamond" w:cs="Times New Roman"/>
          <w:b/>
          <w:i/>
        </w:rPr>
        <w:t xml:space="preserve">receiving federal guidance on performance goals. </w:t>
      </w:r>
      <w:r w:rsidR="006912D2" w:rsidRPr="004A0C12">
        <w:rPr>
          <w:rFonts w:ascii="Garamond" w:hAnsi="Garamond" w:cs="Times New Roman"/>
          <w:b/>
          <w:i/>
        </w:rPr>
        <w:t>The State has a draft of potential measures to be used as a basis of negotiations</w:t>
      </w:r>
      <w:r w:rsidR="00905A9B" w:rsidRPr="004A0C12">
        <w:rPr>
          <w:rFonts w:ascii="Garamond" w:hAnsi="Garamond" w:cs="Times New Roman"/>
          <w:b/>
          <w:i/>
        </w:rPr>
        <w:t xml:space="preserve">, and looks forward to working with our federal partners as further guidance is provided. </w:t>
      </w:r>
    </w:p>
    <w:p w14:paraId="4C0741EE" w14:textId="77777777" w:rsidR="007339D6" w:rsidRPr="004A0C12" w:rsidRDefault="007339D6" w:rsidP="007339D6">
      <w:pPr>
        <w:spacing w:after="100" w:line="240" w:lineRule="auto"/>
        <w:rPr>
          <w:rFonts w:ascii="Garamond" w:eastAsia="Times New Roman" w:hAnsi="Garamond" w:cs="Times New Roman"/>
        </w:rPr>
      </w:pPr>
      <w:r w:rsidRPr="004A0C12">
        <w:rPr>
          <w:rFonts w:ascii="Garamond" w:eastAsia="Times New Roman" w:hAnsi="Garamond" w:cs="Times New Roman"/>
          <w:color w:val="622423"/>
        </w:rPr>
        <w:t>TABLE 1. EMPLOYMENT (SECOND QUARTER AFTER EXIT)</w:t>
      </w:r>
    </w:p>
    <w:p w14:paraId="5CEBF080" w14:textId="77777777" w:rsidR="007339D6" w:rsidRPr="004A0C12" w:rsidRDefault="007339D6" w:rsidP="007339D6">
      <w:pPr>
        <w:spacing w:after="100" w:line="240" w:lineRule="auto"/>
        <w:rPr>
          <w:rFonts w:ascii="Garamond" w:eastAsia="Times New Roman" w:hAnsi="Garamond" w:cs="Times New Roman"/>
          <w:color w:val="000000"/>
        </w:rPr>
      </w:pPr>
    </w:p>
    <w:p w14:paraId="252140B7" w14:textId="77777777" w:rsidR="007339D6" w:rsidRPr="004A0C12" w:rsidRDefault="007339D6" w:rsidP="007339D6">
      <w:pPr>
        <w:spacing w:after="100" w:line="240" w:lineRule="auto"/>
        <w:rPr>
          <w:rFonts w:ascii="Garamond" w:eastAsia="Times New Roman" w:hAnsi="Garamond" w:cs="Times New Roman"/>
        </w:rPr>
      </w:pPr>
    </w:p>
    <w:tbl>
      <w:tblPr>
        <w:tblW w:w="0" w:type="auto"/>
        <w:jc w:val="center"/>
        <w:tblInd w:w="-1327"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shd w:val="clear" w:color="auto" w:fill="FFFFFF"/>
        <w:tblLook w:val="04A0" w:firstRow="1" w:lastRow="0" w:firstColumn="1" w:lastColumn="0" w:noHBand="0" w:noVBand="1"/>
      </w:tblPr>
      <w:tblGrid>
        <w:gridCol w:w="709"/>
        <w:gridCol w:w="7110"/>
        <w:gridCol w:w="1983"/>
      </w:tblGrid>
      <w:tr w:rsidR="0031549E" w:rsidRPr="00BC489F" w14:paraId="34CF90E0" w14:textId="77777777" w:rsidTr="0031549E">
        <w:trPr>
          <w:jc w:val="center"/>
        </w:trPr>
        <w:tc>
          <w:tcPr>
            <w:tcW w:w="9802" w:type="dxa"/>
            <w:gridSpan w:val="3"/>
            <w:tcBorders>
              <w:bottom w:val="single" w:sz="18" w:space="0" w:color="8064A2"/>
            </w:tcBorders>
            <w:shd w:val="clear" w:color="auto" w:fill="E5DFEC"/>
          </w:tcPr>
          <w:p w14:paraId="6980309F" w14:textId="77777777" w:rsidR="0031549E" w:rsidRPr="00C13AB2" w:rsidRDefault="0031549E" w:rsidP="00A20D1E">
            <w:pPr>
              <w:rPr>
                <w:b/>
                <w:bCs/>
                <w:color w:val="000000"/>
                <w:sz w:val="28"/>
                <w:szCs w:val="28"/>
              </w:rPr>
            </w:pPr>
          </w:p>
          <w:p w14:paraId="75D62ED5" w14:textId="77777777" w:rsidR="0031549E" w:rsidRPr="00BC489F" w:rsidRDefault="0031549E" w:rsidP="00A20D1E">
            <w:pPr>
              <w:jc w:val="center"/>
              <w:rPr>
                <w:b/>
                <w:bCs/>
                <w:color w:val="000000"/>
                <w:sz w:val="20"/>
                <w:szCs w:val="20"/>
              </w:rPr>
            </w:pPr>
            <w:r w:rsidRPr="00C13AB2">
              <w:rPr>
                <w:b/>
                <w:bCs/>
                <w:color w:val="000000"/>
                <w:sz w:val="28"/>
                <w:szCs w:val="28"/>
              </w:rPr>
              <w:t>PY 2016 &amp; 2017 State Performance Goals for WIOA Core Programs</w:t>
            </w:r>
          </w:p>
        </w:tc>
      </w:tr>
      <w:tr w:rsidR="0031549E" w:rsidRPr="00BC489F" w14:paraId="53728FAE" w14:textId="77777777" w:rsidTr="0031549E">
        <w:trPr>
          <w:jc w:val="center"/>
        </w:trPr>
        <w:tc>
          <w:tcPr>
            <w:tcW w:w="7819" w:type="dxa"/>
            <w:gridSpan w:val="2"/>
            <w:shd w:val="clear" w:color="auto" w:fill="FFFFFF"/>
          </w:tcPr>
          <w:p w14:paraId="19F59FA5" w14:textId="77777777" w:rsidR="0031549E" w:rsidRPr="00BC489F" w:rsidRDefault="0031549E" w:rsidP="00A20D1E">
            <w:pPr>
              <w:jc w:val="center"/>
              <w:rPr>
                <w:b/>
                <w:bCs/>
                <w:color w:val="000000"/>
                <w:sz w:val="20"/>
                <w:szCs w:val="20"/>
              </w:rPr>
            </w:pPr>
          </w:p>
          <w:p w14:paraId="7EFA2E3E" w14:textId="77777777" w:rsidR="0031549E" w:rsidRPr="00BC489F" w:rsidRDefault="0031549E" w:rsidP="00A20D1E">
            <w:pPr>
              <w:jc w:val="center"/>
              <w:rPr>
                <w:b/>
                <w:bCs/>
                <w:color w:val="000000"/>
                <w:sz w:val="20"/>
                <w:szCs w:val="20"/>
              </w:rPr>
            </w:pPr>
            <w:r w:rsidRPr="00BC489F">
              <w:rPr>
                <w:b/>
                <w:bCs/>
                <w:color w:val="000000"/>
                <w:sz w:val="20"/>
                <w:szCs w:val="20"/>
              </w:rPr>
              <w:t xml:space="preserve">Maryland WIOA Core Program </w:t>
            </w:r>
          </w:p>
        </w:tc>
        <w:tc>
          <w:tcPr>
            <w:tcW w:w="1983" w:type="dxa"/>
            <w:shd w:val="clear" w:color="auto" w:fill="FFFFFF"/>
          </w:tcPr>
          <w:p w14:paraId="5ECCEE4B" w14:textId="77777777" w:rsidR="0031549E" w:rsidRPr="00BC489F" w:rsidRDefault="0031549E" w:rsidP="00A20D1E">
            <w:pPr>
              <w:jc w:val="center"/>
              <w:rPr>
                <w:b/>
                <w:color w:val="000000"/>
                <w:sz w:val="20"/>
                <w:szCs w:val="20"/>
              </w:rPr>
            </w:pPr>
          </w:p>
          <w:p w14:paraId="76DE9121" w14:textId="77777777" w:rsidR="0031549E" w:rsidRPr="00BC489F" w:rsidRDefault="0031549E" w:rsidP="00A20D1E">
            <w:pPr>
              <w:jc w:val="center"/>
              <w:rPr>
                <w:b/>
                <w:color w:val="000000"/>
                <w:sz w:val="20"/>
                <w:szCs w:val="20"/>
              </w:rPr>
            </w:pPr>
            <w:r w:rsidRPr="00BC489F">
              <w:rPr>
                <w:b/>
                <w:color w:val="000000"/>
                <w:sz w:val="20"/>
                <w:szCs w:val="20"/>
              </w:rPr>
              <w:t>Performance Goal</w:t>
            </w:r>
          </w:p>
        </w:tc>
      </w:tr>
      <w:tr w:rsidR="0031549E" w:rsidRPr="00BC489F" w14:paraId="5A76C595" w14:textId="77777777" w:rsidTr="0031549E">
        <w:trPr>
          <w:jc w:val="center"/>
        </w:trPr>
        <w:tc>
          <w:tcPr>
            <w:tcW w:w="7819" w:type="dxa"/>
            <w:gridSpan w:val="2"/>
            <w:shd w:val="clear" w:color="auto" w:fill="E5DFEC"/>
          </w:tcPr>
          <w:p w14:paraId="6CFEE73E" w14:textId="77777777" w:rsidR="0031549E" w:rsidRPr="00BC489F" w:rsidRDefault="0031549E" w:rsidP="00A20D1E">
            <w:pPr>
              <w:rPr>
                <w:b/>
                <w:bCs/>
                <w:color w:val="000000"/>
                <w:sz w:val="20"/>
                <w:szCs w:val="20"/>
              </w:rPr>
            </w:pPr>
            <w:r w:rsidRPr="00BC489F">
              <w:rPr>
                <w:b/>
                <w:bCs/>
                <w:color w:val="000000"/>
                <w:sz w:val="20"/>
                <w:szCs w:val="20"/>
              </w:rPr>
              <w:t>WIOA Title I Adult Program</w:t>
            </w:r>
          </w:p>
        </w:tc>
        <w:tc>
          <w:tcPr>
            <w:tcW w:w="1983" w:type="dxa"/>
            <w:shd w:val="clear" w:color="auto" w:fill="E5DFEC"/>
          </w:tcPr>
          <w:p w14:paraId="09FA17FC" w14:textId="77777777" w:rsidR="0031549E" w:rsidRPr="00BC489F" w:rsidRDefault="0031549E" w:rsidP="00A20D1E">
            <w:pPr>
              <w:rPr>
                <w:color w:val="000000"/>
                <w:sz w:val="20"/>
                <w:szCs w:val="20"/>
              </w:rPr>
            </w:pPr>
          </w:p>
        </w:tc>
      </w:tr>
      <w:tr w:rsidR="0031549E" w:rsidRPr="00BC489F" w14:paraId="514A8858" w14:textId="77777777" w:rsidTr="0031549E">
        <w:trPr>
          <w:trHeight w:val="116"/>
          <w:jc w:val="center"/>
        </w:trPr>
        <w:tc>
          <w:tcPr>
            <w:tcW w:w="709" w:type="dxa"/>
            <w:shd w:val="clear" w:color="auto" w:fill="E5DFEC"/>
          </w:tcPr>
          <w:p w14:paraId="1986D753"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64FF37BC" w14:textId="77777777" w:rsidR="0031549E" w:rsidRPr="00BC489F" w:rsidRDefault="0031549E" w:rsidP="00A20D1E">
            <w:pPr>
              <w:jc w:val="right"/>
              <w:rPr>
                <w:color w:val="000000"/>
                <w:sz w:val="20"/>
                <w:szCs w:val="20"/>
              </w:rPr>
            </w:pPr>
            <w:r w:rsidRPr="00BC489F">
              <w:rPr>
                <w:color w:val="000000"/>
                <w:sz w:val="20"/>
                <w:szCs w:val="20"/>
              </w:rPr>
              <w:t>Employment Rate 2</w:t>
            </w:r>
            <w:r w:rsidRPr="00BC489F">
              <w:rPr>
                <w:color w:val="000000"/>
                <w:sz w:val="20"/>
                <w:szCs w:val="20"/>
                <w:vertAlign w:val="superscript"/>
              </w:rPr>
              <w:t>nd</w:t>
            </w:r>
            <w:r w:rsidRPr="00BC489F">
              <w:rPr>
                <w:color w:val="000000"/>
                <w:sz w:val="20"/>
                <w:szCs w:val="20"/>
              </w:rPr>
              <w:t xml:space="preserve"> Quarter After Exit</w:t>
            </w:r>
          </w:p>
        </w:tc>
        <w:tc>
          <w:tcPr>
            <w:tcW w:w="1983" w:type="dxa"/>
            <w:shd w:val="clear" w:color="auto" w:fill="FFFFFF"/>
          </w:tcPr>
          <w:p w14:paraId="2E0A040F" w14:textId="77777777" w:rsidR="0031549E" w:rsidRPr="00BC489F" w:rsidRDefault="0031549E" w:rsidP="00A20D1E">
            <w:pPr>
              <w:jc w:val="center"/>
              <w:rPr>
                <w:color w:val="000000"/>
                <w:sz w:val="20"/>
                <w:szCs w:val="20"/>
              </w:rPr>
            </w:pPr>
            <w:r w:rsidRPr="00BC489F">
              <w:rPr>
                <w:color w:val="000000"/>
                <w:sz w:val="20"/>
                <w:szCs w:val="20"/>
              </w:rPr>
              <w:t>72%</w:t>
            </w:r>
          </w:p>
        </w:tc>
      </w:tr>
      <w:tr w:rsidR="0031549E" w:rsidRPr="00BC489F" w14:paraId="05D2E7C3" w14:textId="77777777" w:rsidTr="0031549E">
        <w:trPr>
          <w:jc w:val="center"/>
        </w:trPr>
        <w:tc>
          <w:tcPr>
            <w:tcW w:w="709" w:type="dxa"/>
            <w:shd w:val="clear" w:color="auto" w:fill="E5DFEC"/>
          </w:tcPr>
          <w:p w14:paraId="335D6A17"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21BBD132" w14:textId="77777777" w:rsidR="0031549E" w:rsidRPr="00BC489F" w:rsidRDefault="0031549E" w:rsidP="00A20D1E">
            <w:pPr>
              <w:jc w:val="right"/>
              <w:rPr>
                <w:color w:val="000000"/>
                <w:sz w:val="20"/>
                <w:szCs w:val="20"/>
              </w:rPr>
            </w:pPr>
            <w:r w:rsidRPr="00BC489F">
              <w:rPr>
                <w:color w:val="000000"/>
                <w:sz w:val="20"/>
                <w:szCs w:val="20"/>
              </w:rPr>
              <w:t>Employment Rate 4</w:t>
            </w:r>
            <w:r w:rsidRPr="00BC489F">
              <w:rPr>
                <w:color w:val="000000"/>
                <w:sz w:val="20"/>
                <w:szCs w:val="20"/>
                <w:vertAlign w:val="superscript"/>
              </w:rPr>
              <w:t>th</w:t>
            </w:r>
            <w:r w:rsidRPr="00BC489F">
              <w:rPr>
                <w:color w:val="000000"/>
                <w:sz w:val="20"/>
                <w:szCs w:val="20"/>
              </w:rPr>
              <w:t xml:space="preserve"> Quarter After Exit</w:t>
            </w:r>
          </w:p>
        </w:tc>
        <w:tc>
          <w:tcPr>
            <w:tcW w:w="1983" w:type="dxa"/>
            <w:shd w:val="clear" w:color="auto" w:fill="FFFFFF"/>
          </w:tcPr>
          <w:p w14:paraId="3D5520AA" w14:textId="77777777" w:rsidR="0031549E" w:rsidRPr="00BC489F" w:rsidRDefault="0031549E" w:rsidP="00A20D1E">
            <w:pPr>
              <w:jc w:val="center"/>
              <w:rPr>
                <w:color w:val="000000"/>
                <w:sz w:val="20"/>
                <w:szCs w:val="20"/>
              </w:rPr>
            </w:pPr>
            <w:r w:rsidRPr="00BC489F">
              <w:rPr>
                <w:color w:val="000000"/>
                <w:sz w:val="20"/>
                <w:szCs w:val="20"/>
              </w:rPr>
              <w:t>70%</w:t>
            </w:r>
          </w:p>
        </w:tc>
      </w:tr>
      <w:tr w:rsidR="0031549E" w:rsidRPr="00BC489F" w14:paraId="41EAD14F" w14:textId="77777777" w:rsidTr="0031549E">
        <w:trPr>
          <w:jc w:val="center"/>
        </w:trPr>
        <w:tc>
          <w:tcPr>
            <w:tcW w:w="709" w:type="dxa"/>
            <w:shd w:val="clear" w:color="auto" w:fill="E5DFEC"/>
          </w:tcPr>
          <w:p w14:paraId="0711DAB1"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52FF6A47" w14:textId="77777777" w:rsidR="0031549E" w:rsidRPr="00BC489F" w:rsidRDefault="0031549E" w:rsidP="00A20D1E">
            <w:pPr>
              <w:jc w:val="right"/>
              <w:rPr>
                <w:color w:val="000000"/>
                <w:sz w:val="20"/>
                <w:szCs w:val="20"/>
              </w:rPr>
            </w:pPr>
            <w:r w:rsidRPr="00BC489F">
              <w:rPr>
                <w:color w:val="000000"/>
                <w:sz w:val="20"/>
                <w:szCs w:val="20"/>
              </w:rPr>
              <w:t>Median Earnings 2</w:t>
            </w:r>
            <w:r w:rsidRPr="00BC489F">
              <w:rPr>
                <w:color w:val="000000"/>
                <w:sz w:val="20"/>
                <w:szCs w:val="20"/>
                <w:vertAlign w:val="superscript"/>
              </w:rPr>
              <w:t>nd</w:t>
            </w:r>
            <w:r w:rsidRPr="00BC489F">
              <w:rPr>
                <w:color w:val="000000"/>
                <w:sz w:val="20"/>
                <w:szCs w:val="20"/>
              </w:rPr>
              <w:t xml:space="preserve"> Quarter After Exit </w:t>
            </w:r>
          </w:p>
        </w:tc>
        <w:tc>
          <w:tcPr>
            <w:tcW w:w="1983" w:type="dxa"/>
            <w:shd w:val="clear" w:color="auto" w:fill="FFFFFF"/>
          </w:tcPr>
          <w:p w14:paraId="2B9D058E" w14:textId="77777777" w:rsidR="0031549E" w:rsidRPr="00BC489F" w:rsidRDefault="0031549E" w:rsidP="00A20D1E">
            <w:pPr>
              <w:jc w:val="center"/>
              <w:rPr>
                <w:color w:val="000000"/>
                <w:sz w:val="20"/>
                <w:szCs w:val="20"/>
              </w:rPr>
            </w:pPr>
            <w:r w:rsidRPr="00BC489F">
              <w:rPr>
                <w:color w:val="000000"/>
                <w:sz w:val="20"/>
                <w:szCs w:val="20"/>
              </w:rPr>
              <w:t>$6,500</w:t>
            </w:r>
          </w:p>
        </w:tc>
      </w:tr>
      <w:tr w:rsidR="0031549E" w:rsidRPr="00BC489F" w14:paraId="431A3B97" w14:textId="77777777" w:rsidTr="0031549E">
        <w:trPr>
          <w:jc w:val="center"/>
        </w:trPr>
        <w:tc>
          <w:tcPr>
            <w:tcW w:w="709" w:type="dxa"/>
            <w:shd w:val="clear" w:color="auto" w:fill="E5DFEC"/>
          </w:tcPr>
          <w:p w14:paraId="686C8A6E"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270789C9" w14:textId="77777777" w:rsidR="0031549E" w:rsidRPr="00BC489F" w:rsidRDefault="0031549E" w:rsidP="00A20D1E">
            <w:pPr>
              <w:jc w:val="right"/>
              <w:rPr>
                <w:color w:val="000000"/>
                <w:sz w:val="20"/>
                <w:szCs w:val="20"/>
              </w:rPr>
            </w:pPr>
            <w:r w:rsidRPr="00BC489F">
              <w:rPr>
                <w:color w:val="000000"/>
                <w:sz w:val="20"/>
                <w:szCs w:val="20"/>
              </w:rPr>
              <w:t xml:space="preserve">Rate of Credential Attainment </w:t>
            </w:r>
          </w:p>
        </w:tc>
        <w:tc>
          <w:tcPr>
            <w:tcW w:w="1983" w:type="dxa"/>
            <w:shd w:val="clear" w:color="auto" w:fill="FFFFFF"/>
          </w:tcPr>
          <w:p w14:paraId="673DA61B" w14:textId="77777777" w:rsidR="0031549E" w:rsidRPr="00BC489F" w:rsidRDefault="0031549E" w:rsidP="00A20D1E">
            <w:pPr>
              <w:jc w:val="center"/>
              <w:rPr>
                <w:color w:val="000000"/>
                <w:sz w:val="20"/>
                <w:szCs w:val="20"/>
              </w:rPr>
            </w:pPr>
            <w:r w:rsidRPr="00BC489F">
              <w:rPr>
                <w:color w:val="000000"/>
                <w:sz w:val="20"/>
                <w:szCs w:val="20"/>
              </w:rPr>
              <w:t>57%</w:t>
            </w:r>
          </w:p>
        </w:tc>
      </w:tr>
      <w:tr w:rsidR="0031549E" w:rsidRPr="00BC489F" w14:paraId="09D97057" w14:textId="77777777" w:rsidTr="0031549E">
        <w:trPr>
          <w:jc w:val="center"/>
        </w:trPr>
        <w:tc>
          <w:tcPr>
            <w:tcW w:w="709" w:type="dxa"/>
            <w:shd w:val="clear" w:color="auto" w:fill="E5DFEC"/>
          </w:tcPr>
          <w:p w14:paraId="606CEB44"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4D8A809F" w14:textId="77777777" w:rsidR="0031549E" w:rsidRPr="00BC489F" w:rsidRDefault="0031549E" w:rsidP="00A20D1E">
            <w:pPr>
              <w:jc w:val="right"/>
              <w:rPr>
                <w:color w:val="000000"/>
                <w:sz w:val="20"/>
                <w:szCs w:val="20"/>
              </w:rPr>
            </w:pPr>
            <w:r w:rsidRPr="00BC489F">
              <w:rPr>
                <w:color w:val="000000"/>
                <w:sz w:val="20"/>
                <w:szCs w:val="20"/>
              </w:rPr>
              <w:t xml:space="preserve">Measurable Skills Gain </w:t>
            </w:r>
          </w:p>
        </w:tc>
        <w:tc>
          <w:tcPr>
            <w:tcW w:w="1983" w:type="dxa"/>
            <w:shd w:val="clear" w:color="auto" w:fill="FFFFFF"/>
          </w:tcPr>
          <w:p w14:paraId="55752356"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62495643" w14:textId="77777777" w:rsidTr="0031549E">
        <w:trPr>
          <w:jc w:val="center"/>
        </w:trPr>
        <w:tc>
          <w:tcPr>
            <w:tcW w:w="709" w:type="dxa"/>
            <w:shd w:val="clear" w:color="auto" w:fill="E5DFEC"/>
          </w:tcPr>
          <w:p w14:paraId="75B761C4"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172E83D5" w14:textId="77777777" w:rsidR="0031549E" w:rsidRPr="00BC489F" w:rsidRDefault="0031549E" w:rsidP="00A20D1E">
            <w:pPr>
              <w:jc w:val="right"/>
              <w:rPr>
                <w:color w:val="000000"/>
                <w:sz w:val="20"/>
                <w:szCs w:val="20"/>
              </w:rPr>
            </w:pPr>
            <w:r w:rsidRPr="00BC489F">
              <w:rPr>
                <w:color w:val="000000"/>
                <w:sz w:val="20"/>
                <w:szCs w:val="20"/>
              </w:rPr>
              <w:t>Effectiveness in Serving Employers</w:t>
            </w:r>
          </w:p>
        </w:tc>
        <w:tc>
          <w:tcPr>
            <w:tcW w:w="1983" w:type="dxa"/>
            <w:shd w:val="clear" w:color="auto" w:fill="FFFFFF"/>
          </w:tcPr>
          <w:p w14:paraId="6E843DF2" w14:textId="77777777" w:rsidR="0031549E" w:rsidRPr="00BC489F" w:rsidRDefault="0031549E" w:rsidP="00A20D1E">
            <w:pPr>
              <w:jc w:val="center"/>
              <w:rPr>
                <w:color w:val="000000"/>
                <w:sz w:val="20"/>
                <w:szCs w:val="20"/>
              </w:rPr>
            </w:pPr>
            <w:r w:rsidRPr="00BC489F">
              <w:rPr>
                <w:color w:val="000000"/>
                <w:sz w:val="20"/>
                <w:szCs w:val="20"/>
              </w:rPr>
              <w:t xml:space="preserve">Baseline </w:t>
            </w:r>
          </w:p>
        </w:tc>
      </w:tr>
      <w:tr w:rsidR="0031549E" w:rsidRPr="00BC489F" w14:paraId="08AA3F59" w14:textId="77777777" w:rsidTr="0031549E">
        <w:trPr>
          <w:jc w:val="center"/>
        </w:trPr>
        <w:tc>
          <w:tcPr>
            <w:tcW w:w="7819" w:type="dxa"/>
            <w:gridSpan w:val="2"/>
            <w:shd w:val="clear" w:color="auto" w:fill="E5DFEC"/>
          </w:tcPr>
          <w:p w14:paraId="327F3104" w14:textId="77777777" w:rsidR="0031549E" w:rsidRPr="00BC489F" w:rsidRDefault="0031549E" w:rsidP="00A20D1E">
            <w:pPr>
              <w:rPr>
                <w:b/>
                <w:bCs/>
                <w:color w:val="000000"/>
                <w:sz w:val="20"/>
                <w:szCs w:val="20"/>
              </w:rPr>
            </w:pPr>
            <w:r w:rsidRPr="00BC489F">
              <w:rPr>
                <w:b/>
                <w:bCs/>
                <w:color w:val="000000"/>
                <w:sz w:val="20"/>
                <w:szCs w:val="20"/>
              </w:rPr>
              <w:t>WIOA Title I Dislocated Worker Program</w:t>
            </w:r>
          </w:p>
        </w:tc>
        <w:tc>
          <w:tcPr>
            <w:tcW w:w="1983" w:type="dxa"/>
            <w:shd w:val="clear" w:color="auto" w:fill="E5DFEC"/>
          </w:tcPr>
          <w:p w14:paraId="548836C6" w14:textId="77777777" w:rsidR="0031549E" w:rsidRPr="00BC489F" w:rsidRDefault="0031549E" w:rsidP="00A20D1E">
            <w:pPr>
              <w:jc w:val="center"/>
              <w:rPr>
                <w:color w:val="000000"/>
                <w:sz w:val="20"/>
                <w:szCs w:val="20"/>
              </w:rPr>
            </w:pPr>
          </w:p>
        </w:tc>
      </w:tr>
      <w:tr w:rsidR="0031549E" w:rsidRPr="00BC489F" w14:paraId="01F55D53" w14:textId="77777777" w:rsidTr="0031549E">
        <w:trPr>
          <w:jc w:val="center"/>
        </w:trPr>
        <w:tc>
          <w:tcPr>
            <w:tcW w:w="709" w:type="dxa"/>
            <w:shd w:val="clear" w:color="auto" w:fill="E5DFEC"/>
          </w:tcPr>
          <w:p w14:paraId="064CDEA6"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4E064B50" w14:textId="77777777" w:rsidR="0031549E" w:rsidRPr="00BC489F" w:rsidRDefault="0031549E" w:rsidP="00A20D1E">
            <w:pPr>
              <w:jc w:val="right"/>
              <w:rPr>
                <w:color w:val="000000"/>
                <w:sz w:val="20"/>
                <w:szCs w:val="20"/>
              </w:rPr>
            </w:pPr>
            <w:r w:rsidRPr="00BC489F">
              <w:rPr>
                <w:color w:val="000000"/>
                <w:sz w:val="20"/>
                <w:szCs w:val="20"/>
              </w:rPr>
              <w:t>Employment Rate 2</w:t>
            </w:r>
            <w:r w:rsidRPr="00BC489F">
              <w:rPr>
                <w:color w:val="000000"/>
                <w:sz w:val="20"/>
                <w:szCs w:val="20"/>
                <w:vertAlign w:val="superscript"/>
              </w:rPr>
              <w:t>nd</w:t>
            </w:r>
            <w:r w:rsidRPr="00BC489F">
              <w:rPr>
                <w:color w:val="000000"/>
                <w:sz w:val="20"/>
                <w:szCs w:val="20"/>
              </w:rPr>
              <w:t xml:space="preserve"> Quarter After Exit</w:t>
            </w:r>
          </w:p>
        </w:tc>
        <w:tc>
          <w:tcPr>
            <w:tcW w:w="1983" w:type="dxa"/>
            <w:shd w:val="clear" w:color="auto" w:fill="FFFFFF"/>
          </w:tcPr>
          <w:p w14:paraId="62842110" w14:textId="77777777" w:rsidR="0031549E" w:rsidRPr="00BC489F" w:rsidRDefault="0031549E" w:rsidP="00A20D1E">
            <w:pPr>
              <w:jc w:val="center"/>
              <w:rPr>
                <w:color w:val="000000"/>
                <w:sz w:val="20"/>
                <w:szCs w:val="20"/>
              </w:rPr>
            </w:pPr>
            <w:r w:rsidRPr="00BC489F">
              <w:rPr>
                <w:color w:val="000000"/>
                <w:sz w:val="20"/>
                <w:szCs w:val="20"/>
              </w:rPr>
              <w:t>80%</w:t>
            </w:r>
          </w:p>
        </w:tc>
      </w:tr>
      <w:tr w:rsidR="0031549E" w:rsidRPr="00BC489F" w14:paraId="42B34938" w14:textId="77777777" w:rsidTr="0031549E">
        <w:trPr>
          <w:jc w:val="center"/>
        </w:trPr>
        <w:tc>
          <w:tcPr>
            <w:tcW w:w="709" w:type="dxa"/>
            <w:shd w:val="clear" w:color="auto" w:fill="E5DFEC"/>
          </w:tcPr>
          <w:p w14:paraId="3D09EBF4"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40ADCF54" w14:textId="77777777" w:rsidR="0031549E" w:rsidRPr="00BC489F" w:rsidRDefault="0031549E" w:rsidP="00A20D1E">
            <w:pPr>
              <w:jc w:val="right"/>
              <w:rPr>
                <w:color w:val="000000"/>
                <w:sz w:val="20"/>
                <w:szCs w:val="20"/>
              </w:rPr>
            </w:pPr>
            <w:r w:rsidRPr="00BC489F">
              <w:rPr>
                <w:color w:val="000000"/>
                <w:sz w:val="20"/>
                <w:szCs w:val="20"/>
              </w:rPr>
              <w:t>Employment Rate 4</w:t>
            </w:r>
            <w:r w:rsidRPr="00BC489F">
              <w:rPr>
                <w:color w:val="000000"/>
                <w:sz w:val="20"/>
                <w:szCs w:val="20"/>
                <w:vertAlign w:val="superscript"/>
              </w:rPr>
              <w:t>th</w:t>
            </w:r>
            <w:r w:rsidRPr="00BC489F">
              <w:rPr>
                <w:color w:val="000000"/>
                <w:sz w:val="20"/>
                <w:szCs w:val="20"/>
              </w:rPr>
              <w:t xml:space="preserve"> Quarter After Exit</w:t>
            </w:r>
          </w:p>
        </w:tc>
        <w:tc>
          <w:tcPr>
            <w:tcW w:w="1983" w:type="dxa"/>
            <w:shd w:val="clear" w:color="auto" w:fill="FFFFFF"/>
          </w:tcPr>
          <w:p w14:paraId="66F79245" w14:textId="77777777" w:rsidR="0031549E" w:rsidRPr="00BC489F" w:rsidRDefault="0031549E" w:rsidP="00A20D1E">
            <w:pPr>
              <w:jc w:val="center"/>
              <w:rPr>
                <w:color w:val="000000"/>
                <w:sz w:val="20"/>
                <w:szCs w:val="20"/>
              </w:rPr>
            </w:pPr>
            <w:r w:rsidRPr="00BC489F">
              <w:rPr>
                <w:color w:val="000000"/>
                <w:sz w:val="20"/>
                <w:szCs w:val="20"/>
              </w:rPr>
              <w:t>75%</w:t>
            </w:r>
          </w:p>
        </w:tc>
      </w:tr>
      <w:tr w:rsidR="0031549E" w:rsidRPr="00BC489F" w14:paraId="345B6D95" w14:textId="77777777" w:rsidTr="0031549E">
        <w:trPr>
          <w:jc w:val="center"/>
        </w:trPr>
        <w:tc>
          <w:tcPr>
            <w:tcW w:w="709" w:type="dxa"/>
            <w:shd w:val="clear" w:color="auto" w:fill="E5DFEC"/>
          </w:tcPr>
          <w:p w14:paraId="730CAF40"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48AC1626" w14:textId="77777777" w:rsidR="0031549E" w:rsidRPr="00BC489F" w:rsidRDefault="0031549E" w:rsidP="00A20D1E">
            <w:pPr>
              <w:jc w:val="right"/>
              <w:rPr>
                <w:color w:val="000000"/>
                <w:sz w:val="20"/>
                <w:szCs w:val="20"/>
              </w:rPr>
            </w:pPr>
            <w:r w:rsidRPr="00BC489F">
              <w:rPr>
                <w:color w:val="000000"/>
                <w:sz w:val="20"/>
                <w:szCs w:val="20"/>
              </w:rPr>
              <w:t>Median Earnings 2</w:t>
            </w:r>
            <w:r w:rsidRPr="00BC489F">
              <w:rPr>
                <w:color w:val="000000"/>
                <w:sz w:val="20"/>
                <w:szCs w:val="20"/>
                <w:vertAlign w:val="superscript"/>
              </w:rPr>
              <w:t>nd</w:t>
            </w:r>
            <w:r w:rsidRPr="00BC489F">
              <w:rPr>
                <w:color w:val="000000"/>
                <w:sz w:val="20"/>
                <w:szCs w:val="20"/>
              </w:rPr>
              <w:t xml:space="preserve"> Quarter After Exit</w:t>
            </w:r>
          </w:p>
        </w:tc>
        <w:tc>
          <w:tcPr>
            <w:tcW w:w="1983" w:type="dxa"/>
            <w:shd w:val="clear" w:color="auto" w:fill="FFFFFF"/>
          </w:tcPr>
          <w:p w14:paraId="0CDA78DD" w14:textId="77777777" w:rsidR="0031549E" w:rsidRPr="00BC489F" w:rsidRDefault="0031549E" w:rsidP="00A20D1E">
            <w:pPr>
              <w:jc w:val="center"/>
              <w:rPr>
                <w:color w:val="000000"/>
                <w:sz w:val="20"/>
                <w:szCs w:val="20"/>
              </w:rPr>
            </w:pPr>
            <w:r w:rsidRPr="00BC489F">
              <w:rPr>
                <w:color w:val="000000"/>
                <w:sz w:val="20"/>
                <w:szCs w:val="20"/>
              </w:rPr>
              <w:t>$7,800</w:t>
            </w:r>
          </w:p>
        </w:tc>
      </w:tr>
      <w:tr w:rsidR="0031549E" w:rsidRPr="00BC489F" w14:paraId="5A6E03B7" w14:textId="77777777" w:rsidTr="0031549E">
        <w:trPr>
          <w:jc w:val="center"/>
        </w:trPr>
        <w:tc>
          <w:tcPr>
            <w:tcW w:w="709" w:type="dxa"/>
            <w:shd w:val="clear" w:color="auto" w:fill="E5DFEC"/>
          </w:tcPr>
          <w:p w14:paraId="3287C8EB"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1E33A668" w14:textId="77777777" w:rsidR="0031549E" w:rsidRPr="00BC489F" w:rsidRDefault="0031549E" w:rsidP="00A20D1E">
            <w:pPr>
              <w:jc w:val="right"/>
              <w:rPr>
                <w:color w:val="000000"/>
                <w:sz w:val="20"/>
                <w:szCs w:val="20"/>
              </w:rPr>
            </w:pPr>
            <w:r w:rsidRPr="00BC489F">
              <w:rPr>
                <w:color w:val="000000"/>
                <w:sz w:val="20"/>
                <w:szCs w:val="20"/>
              </w:rPr>
              <w:t xml:space="preserve">Rate of Credential Attainment </w:t>
            </w:r>
          </w:p>
        </w:tc>
        <w:tc>
          <w:tcPr>
            <w:tcW w:w="1983" w:type="dxa"/>
            <w:shd w:val="clear" w:color="auto" w:fill="FFFFFF"/>
          </w:tcPr>
          <w:p w14:paraId="3E839EC0" w14:textId="77777777" w:rsidR="0031549E" w:rsidRPr="00BC489F" w:rsidRDefault="0031549E" w:rsidP="00A20D1E">
            <w:pPr>
              <w:jc w:val="center"/>
              <w:rPr>
                <w:color w:val="000000"/>
                <w:sz w:val="20"/>
                <w:szCs w:val="20"/>
              </w:rPr>
            </w:pPr>
            <w:r w:rsidRPr="00BC489F">
              <w:rPr>
                <w:color w:val="000000"/>
                <w:sz w:val="20"/>
                <w:szCs w:val="20"/>
              </w:rPr>
              <w:t>55%</w:t>
            </w:r>
          </w:p>
        </w:tc>
      </w:tr>
      <w:tr w:rsidR="0031549E" w:rsidRPr="00BC489F" w14:paraId="391197C0" w14:textId="77777777" w:rsidTr="0031549E">
        <w:trPr>
          <w:jc w:val="center"/>
        </w:trPr>
        <w:tc>
          <w:tcPr>
            <w:tcW w:w="709" w:type="dxa"/>
            <w:shd w:val="clear" w:color="auto" w:fill="E5DFEC"/>
          </w:tcPr>
          <w:p w14:paraId="499166C3"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6A20142A" w14:textId="77777777" w:rsidR="0031549E" w:rsidRPr="00BC489F" w:rsidRDefault="0031549E" w:rsidP="00A20D1E">
            <w:pPr>
              <w:jc w:val="right"/>
              <w:rPr>
                <w:color w:val="000000"/>
                <w:sz w:val="20"/>
                <w:szCs w:val="20"/>
              </w:rPr>
            </w:pPr>
            <w:r w:rsidRPr="00BC489F">
              <w:rPr>
                <w:color w:val="000000"/>
                <w:sz w:val="20"/>
                <w:szCs w:val="20"/>
              </w:rPr>
              <w:t xml:space="preserve">Measurable Skills Gain </w:t>
            </w:r>
          </w:p>
        </w:tc>
        <w:tc>
          <w:tcPr>
            <w:tcW w:w="1983" w:type="dxa"/>
            <w:shd w:val="clear" w:color="auto" w:fill="FFFFFF"/>
          </w:tcPr>
          <w:p w14:paraId="6BB27A7A"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7B603F71" w14:textId="77777777" w:rsidTr="0031549E">
        <w:trPr>
          <w:jc w:val="center"/>
        </w:trPr>
        <w:tc>
          <w:tcPr>
            <w:tcW w:w="709" w:type="dxa"/>
            <w:shd w:val="clear" w:color="auto" w:fill="E5DFEC"/>
          </w:tcPr>
          <w:p w14:paraId="72F77D22"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1B888022" w14:textId="77777777" w:rsidR="0031549E" w:rsidRPr="00BC489F" w:rsidRDefault="0031549E" w:rsidP="00A20D1E">
            <w:pPr>
              <w:jc w:val="right"/>
              <w:rPr>
                <w:color w:val="000000"/>
                <w:sz w:val="20"/>
                <w:szCs w:val="20"/>
              </w:rPr>
            </w:pPr>
            <w:r w:rsidRPr="00BC489F">
              <w:rPr>
                <w:color w:val="000000"/>
                <w:sz w:val="20"/>
                <w:szCs w:val="20"/>
              </w:rPr>
              <w:t>Effectiveness in Serving Employers</w:t>
            </w:r>
          </w:p>
        </w:tc>
        <w:tc>
          <w:tcPr>
            <w:tcW w:w="1983" w:type="dxa"/>
            <w:shd w:val="clear" w:color="auto" w:fill="FFFFFF"/>
          </w:tcPr>
          <w:p w14:paraId="5EA858B7"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56D0161D" w14:textId="77777777" w:rsidTr="0031549E">
        <w:trPr>
          <w:jc w:val="center"/>
        </w:trPr>
        <w:tc>
          <w:tcPr>
            <w:tcW w:w="7819" w:type="dxa"/>
            <w:gridSpan w:val="2"/>
            <w:shd w:val="clear" w:color="auto" w:fill="E5DFEC"/>
          </w:tcPr>
          <w:p w14:paraId="366EBF86" w14:textId="77777777" w:rsidR="0031549E" w:rsidRPr="00BC489F" w:rsidRDefault="0031549E" w:rsidP="00A20D1E">
            <w:pPr>
              <w:rPr>
                <w:b/>
                <w:bCs/>
                <w:color w:val="000000"/>
                <w:sz w:val="20"/>
                <w:szCs w:val="20"/>
              </w:rPr>
            </w:pPr>
            <w:r w:rsidRPr="00BC489F">
              <w:rPr>
                <w:b/>
                <w:bCs/>
                <w:color w:val="000000"/>
                <w:sz w:val="20"/>
                <w:szCs w:val="20"/>
              </w:rPr>
              <w:t>WIOA I Youth Program</w:t>
            </w:r>
          </w:p>
        </w:tc>
        <w:tc>
          <w:tcPr>
            <w:tcW w:w="1983" w:type="dxa"/>
            <w:shd w:val="clear" w:color="auto" w:fill="E5DFEC"/>
          </w:tcPr>
          <w:p w14:paraId="51B639B1" w14:textId="77777777" w:rsidR="0031549E" w:rsidRPr="00BC489F" w:rsidRDefault="0031549E" w:rsidP="00A20D1E">
            <w:pPr>
              <w:jc w:val="center"/>
              <w:rPr>
                <w:color w:val="000000"/>
                <w:sz w:val="20"/>
                <w:szCs w:val="20"/>
              </w:rPr>
            </w:pPr>
          </w:p>
        </w:tc>
      </w:tr>
      <w:tr w:rsidR="0031549E" w:rsidRPr="00BC489F" w14:paraId="2561FCE3" w14:textId="77777777" w:rsidTr="0031549E">
        <w:trPr>
          <w:jc w:val="center"/>
        </w:trPr>
        <w:tc>
          <w:tcPr>
            <w:tcW w:w="709" w:type="dxa"/>
            <w:shd w:val="clear" w:color="auto" w:fill="E5DFEC"/>
          </w:tcPr>
          <w:p w14:paraId="07ED3613"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32401AB8" w14:textId="77777777" w:rsidR="0031549E" w:rsidRPr="00BC489F" w:rsidRDefault="0031549E" w:rsidP="00A20D1E">
            <w:pPr>
              <w:jc w:val="right"/>
              <w:rPr>
                <w:color w:val="000000"/>
                <w:sz w:val="20"/>
                <w:szCs w:val="20"/>
              </w:rPr>
            </w:pPr>
            <w:r w:rsidRPr="00BC489F">
              <w:rPr>
                <w:color w:val="000000"/>
                <w:sz w:val="20"/>
                <w:szCs w:val="20"/>
              </w:rPr>
              <w:t>Employment, Education, or Training Rate 2</w:t>
            </w:r>
            <w:r w:rsidRPr="00BC489F">
              <w:rPr>
                <w:color w:val="000000"/>
                <w:sz w:val="20"/>
                <w:szCs w:val="20"/>
                <w:vertAlign w:val="superscript"/>
              </w:rPr>
              <w:t>nd</w:t>
            </w:r>
            <w:r w:rsidRPr="00BC489F">
              <w:rPr>
                <w:color w:val="000000"/>
                <w:sz w:val="20"/>
                <w:szCs w:val="20"/>
              </w:rPr>
              <w:t xml:space="preserve"> Quarter After Exit</w:t>
            </w:r>
          </w:p>
        </w:tc>
        <w:tc>
          <w:tcPr>
            <w:tcW w:w="1983" w:type="dxa"/>
            <w:shd w:val="clear" w:color="auto" w:fill="FFFFFF"/>
          </w:tcPr>
          <w:p w14:paraId="604DD7F0" w14:textId="77777777" w:rsidR="0031549E" w:rsidRPr="00BC489F" w:rsidRDefault="0031549E" w:rsidP="00A20D1E">
            <w:pPr>
              <w:jc w:val="center"/>
              <w:rPr>
                <w:color w:val="000000"/>
                <w:sz w:val="20"/>
                <w:szCs w:val="20"/>
              </w:rPr>
            </w:pPr>
            <w:r w:rsidRPr="00BC489F">
              <w:rPr>
                <w:color w:val="000000"/>
                <w:sz w:val="20"/>
                <w:szCs w:val="20"/>
              </w:rPr>
              <w:t>60%</w:t>
            </w:r>
          </w:p>
        </w:tc>
      </w:tr>
      <w:tr w:rsidR="0031549E" w:rsidRPr="00BC489F" w14:paraId="0AFA1B71" w14:textId="77777777" w:rsidTr="0031549E">
        <w:trPr>
          <w:jc w:val="center"/>
        </w:trPr>
        <w:tc>
          <w:tcPr>
            <w:tcW w:w="709" w:type="dxa"/>
            <w:shd w:val="clear" w:color="auto" w:fill="E5DFEC"/>
          </w:tcPr>
          <w:p w14:paraId="3B2F5D1E"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23141AC5" w14:textId="77777777" w:rsidR="0031549E" w:rsidRPr="00BC489F" w:rsidRDefault="0031549E" w:rsidP="00A20D1E">
            <w:pPr>
              <w:jc w:val="right"/>
              <w:rPr>
                <w:color w:val="000000"/>
                <w:sz w:val="20"/>
                <w:szCs w:val="20"/>
              </w:rPr>
            </w:pPr>
            <w:r w:rsidRPr="00BC489F">
              <w:rPr>
                <w:color w:val="000000"/>
                <w:sz w:val="20"/>
                <w:szCs w:val="20"/>
              </w:rPr>
              <w:t>Employment, Education, or Training Rate 4</w:t>
            </w:r>
            <w:r w:rsidRPr="00BC489F">
              <w:rPr>
                <w:color w:val="000000"/>
                <w:sz w:val="20"/>
                <w:szCs w:val="20"/>
                <w:vertAlign w:val="superscript"/>
              </w:rPr>
              <w:t>th</w:t>
            </w:r>
            <w:r w:rsidRPr="00BC489F">
              <w:rPr>
                <w:color w:val="000000"/>
                <w:sz w:val="20"/>
                <w:szCs w:val="20"/>
              </w:rPr>
              <w:t xml:space="preserve"> Quarter After Exit</w:t>
            </w:r>
          </w:p>
        </w:tc>
        <w:tc>
          <w:tcPr>
            <w:tcW w:w="1983" w:type="dxa"/>
            <w:shd w:val="clear" w:color="auto" w:fill="FFFFFF"/>
          </w:tcPr>
          <w:p w14:paraId="5553CD5C" w14:textId="77777777" w:rsidR="0031549E" w:rsidRPr="00067242" w:rsidRDefault="0031549E" w:rsidP="00A20D1E">
            <w:pPr>
              <w:jc w:val="center"/>
              <w:rPr>
                <w:sz w:val="20"/>
                <w:szCs w:val="20"/>
              </w:rPr>
            </w:pPr>
            <w:r w:rsidRPr="00067242">
              <w:rPr>
                <w:sz w:val="20"/>
                <w:szCs w:val="20"/>
              </w:rPr>
              <w:t>60%</w:t>
            </w:r>
          </w:p>
        </w:tc>
      </w:tr>
      <w:tr w:rsidR="0031549E" w:rsidRPr="00BC489F" w14:paraId="60DB1556" w14:textId="77777777" w:rsidTr="0031549E">
        <w:trPr>
          <w:jc w:val="center"/>
        </w:trPr>
        <w:tc>
          <w:tcPr>
            <w:tcW w:w="709" w:type="dxa"/>
            <w:shd w:val="clear" w:color="auto" w:fill="E5DFEC"/>
          </w:tcPr>
          <w:p w14:paraId="37FB696F"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4308A7AF" w14:textId="77777777" w:rsidR="0031549E" w:rsidRPr="00BC489F" w:rsidRDefault="0031549E" w:rsidP="00A20D1E">
            <w:pPr>
              <w:jc w:val="right"/>
              <w:rPr>
                <w:color w:val="000000"/>
                <w:sz w:val="20"/>
                <w:szCs w:val="20"/>
              </w:rPr>
            </w:pPr>
            <w:r w:rsidRPr="00BC489F">
              <w:rPr>
                <w:color w:val="000000"/>
                <w:sz w:val="20"/>
                <w:szCs w:val="20"/>
              </w:rPr>
              <w:t>Median earnings 2nd Quarter After Exit</w:t>
            </w:r>
          </w:p>
        </w:tc>
        <w:tc>
          <w:tcPr>
            <w:tcW w:w="1983" w:type="dxa"/>
            <w:shd w:val="clear" w:color="auto" w:fill="FFFFFF"/>
          </w:tcPr>
          <w:p w14:paraId="3E15AEAE" w14:textId="77777777" w:rsidR="0031549E" w:rsidRPr="00067242" w:rsidRDefault="0031549E" w:rsidP="00A20D1E">
            <w:pPr>
              <w:jc w:val="center"/>
              <w:rPr>
                <w:sz w:val="20"/>
                <w:szCs w:val="20"/>
              </w:rPr>
            </w:pPr>
            <w:r w:rsidRPr="00067242">
              <w:rPr>
                <w:sz w:val="20"/>
                <w:szCs w:val="20"/>
              </w:rPr>
              <w:t>Baseline</w:t>
            </w:r>
          </w:p>
        </w:tc>
      </w:tr>
      <w:tr w:rsidR="0031549E" w:rsidRPr="00BC489F" w14:paraId="417C32C9" w14:textId="77777777" w:rsidTr="0031549E">
        <w:trPr>
          <w:jc w:val="center"/>
        </w:trPr>
        <w:tc>
          <w:tcPr>
            <w:tcW w:w="709" w:type="dxa"/>
            <w:shd w:val="clear" w:color="auto" w:fill="E5DFEC"/>
          </w:tcPr>
          <w:p w14:paraId="4FCE730F"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3E20F917" w14:textId="77777777" w:rsidR="0031549E" w:rsidRPr="00BC489F" w:rsidRDefault="0031549E" w:rsidP="00A20D1E">
            <w:pPr>
              <w:jc w:val="right"/>
              <w:rPr>
                <w:color w:val="000000"/>
                <w:sz w:val="20"/>
                <w:szCs w:val="20"/>
              </w:rPr>
            </w:pPr>
            <w:r w:rsidRPr="00BC489F">
              <w:rPr>
                <w:color w:val="000000"/>
                <w:sz w:val="20"/>
                <w:szCs w:val="20"/>
              </w:rPr>
              <w:t xml:space="preserve">Rate of Credential Attainment </w:t>
            </w:r>
          </w:p>
        </w:tc>
        <w:tc>
          <w:tcPr>
            <w:tcW w:w="1983" w:type="dxa"/>
            <w:shd w:val="clear" w:color="auto" w:fill="FFFFFF"/>
          </w:tcPr>
          <w:p w14:paraId="1200BDC0" w14:textId="77777777" w:rsidR="0031549E" w:rsidRPr="00067242" w:rsidRDefault="0031549E" w:rsidP="00A20D1E">
            <w:pPr>
              <w:jc w:val="center"/>
              <w:rPr>
                <w:sz w:val="20"/>
                <w:szCs w:val="20"/>
              </w:rPr>
            </w:pPr>
            <w:r w:rsidRPr="00067242">
              <w:rPr>
                <w:sz w:val="20"/>
                <w:szCs w:val="20"/>
              </w:rPr>
              <w:t>60%</w:t>
            </w:r>
          </w:p>
        </w:tc>
      </w:tr>
      <w:tr w:rsidR="0031549E" w:rsidRPr="00BC489F" w14:paraId="158B829A" w14:textId="77777777" w:rsidTr="0031549E">
        <w:trPr>
          <w:jc w:val="center"/>
        </w:trPr>
        <w:tc>
          <w:tcPr>
            <w:tcW w:w="709" w:type="dxa"/>
            <w:shd w:val="clear" w:color="auto" w:fill="E5DFEC"/>
          </w:tcPr>
          <w:p w14:paraId="54B52029" w14:textId="77777777" w:rsidR="0031549E" w:rsidRPr="00BC489F" w:rsidRDefault="0031549E" w:rsidP="00A20D1E">
            <w:pPr>
              <w:rPr>
                <w:rFonts w:ascii="Cambria" w:eastAsia="Calibri" w:hAnsi="Cambria"/>
                <w:b/>
                <w:bCs/>
                <w:color w:val="000000"/>
                <w:sz w:val="20"/>
                <w:szCs w:val="20"/>
              </w:rPr>
            </w:pPr>
          </w:p>
        </w:tc>
        <w:tc>
          <w:tcPr>
            <w:tcW w:w="7110" w:type="dxa"/>
            <w:shd w:val="clear" w:color="auto" w:fill="FFFFFF"/>
          </w:tcPr>
          <w:p w14:paraId="439FA840" w14:textId="77777777" w:rsidR="0031549E" w:rsidRPr="00BC489F" w:rsidRDefault="0031549E" w:rsidP="00A20D1E">
            <w:pPr>
              <w:jc w:val="right"/>
              <w:rPr>
                <w:color w:val="000000"/>
                <w:sz w:val="20"/>
                <w:szCs w:val="20"/>
              </w:rPr>
            </w:pPr>
            <w:r w:rsidRPr="00BC489F">
              <w:rPr>
                <w:color w:val="000000"/>
                <w:sz w:val="20"/>
                <w:szCs w:val="20"/>
              </w:rPr>
              <w:t>Measurable Skills Gain</w:t>
            </w:r>
          </w:p>
        </w:tc>
        <w:tc>
          <w:tcPr>
            <w:tcW w:w="1983" w:type="dxa"/>
            <w:shd w:val="clear" w:color="auto" w:fill="FFFFFF"/>
          </w:tcPr>
          <w:p w14:paraId="5F06738B"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4E599C38" w14:textId="77777777" w:rsidTr="0031549E">
        <w:trPr>
          <w:jc w:val="center"/>
        </w:trPr>
        <w:tc>
          <w:tcPr>
            <w:tcW w:w="709" w:type="dxa"/>
            <w:shd w:val="clear" w:color="auto" w:fill="E5DFEC"/>
          </w:tcPr>
          <w:p w14:paraId="241DFF06"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2DCD620C" w14:textId="77777777" w:rsidR="0031549E" w:rsidRPr="00BC489F" w:rsidRDefault="0031549E" w:rsidP="00A20D1E">
            <w:pPr>
              <w:jc w:val="right"/>
              <w:rPr>
                <w:color w:val="000000"/>
                <w:sz w:val="20"/>
                <w:szCs w:val="20"/>
              </w:rPr>
            </w:pPr>
            <w:r w:rsidRPr="00BC489F">
              <w:rPr>
                <w:color w:val="000000"/>
                <w:sz w:val="20"/>
                <w:szCs w:val="20"/>
              </w:rPr>
              <w:t xml:space="preserve">Effectiveness in Serving Employers </w:t>
            </w:r>
          </w:p>
        </w:tc>
        <w:tc>
          <w:tcPr>
            <w:tcW w:w="1983" w:type="dxa"/>
            <w:shd w:val="clear" w:color="auto" w:fill="FFFFFF"/>
          </w:tcPr>
          <w:p w14:paraId="3B372A2C"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7E6CE6D9" w14:textId="77777777" w:rsidTr="0031549E">
        <w:trPr>
          <w:jc w:val="center"/>
        </w:trPr>
        <w:tc>
          <w:tcPr>
            <w:tcW w:w="7819" w:type="dxa"/>
            <w:gridSpan w:val="2"/>
            <w:shd w:val="clear" w:color="auto" w:fill="E5DFEC"/>
          </w:tcPr>
          <w:p w14:paraId="5ECB000F" w14:textId="77777777" w:rsidR="0031549E" w:rsidRPr="00BC489F" w:rsidRDefault="0031549E" w:rsidP="00A20D1E">
            <w:pPr>
              <w:rPr>
                <w:b/>
                <w:bCs/>
                <w:color w:val="000000"/>
                <w:sz w:val="20"/>
                <w:szCs w:val="20"/>
              </w:rPr>
            </w:pPr>
            <w:r w:rsidRPr="00BC489F">
              <w:rPr>
                <w:b/>
                <w:bCs/>
                <w:color w:val="000000"/>
                <w:sz w:val="20"/>
                <w:szCs w:val="20"/>
              </w:rPr>
              <w:t xml:space="preserve">WIOA Title II Adult Education </w:t>
            </w:r>
          </w:p>
        </w:tc>
        <w:tc>
          <w:tcPr>
            <w:tcW w:w="1983" w:type="dxa"/>
            <w:shd w:val="clear" w:color="auto" w:fill="E5DFEC"/>
          </w:tcPr>
          <w:p w14:paraId="2CCE38FC" w14:textId="77777777" w:rsidR="0031549E" w:rsidRPr="00BC489F" w:rsidRDefault="0031549E" w:rsidP="00A20D1E">
            <w:pPr>
              <w:jc w:val="center"/>
              <w:rPr>
                <w:color w:val="000000"/>
                <w:sz w:val="20"/>
                <w:szCs w:val="20"/>
              </w:rPr>
            </w:pPr>
          </w:p>
        </w:tc>
      </w:tr>
      <w:tr w:rsidR="0031549E" w:rsidRPr="00BC489F" w14:paraId="4E0043F0" w14:textId="77777777" w:rsidTr="0031549E">
        <w:trPr>
          <w:jc w:val="center"/>
        </w:trPr>
        <w:tc>
          <w:tcPr>
            <w:tcW w:w="709" w:type="dxa"/>
            <w:shd w:val="clear" w:color="auto" w:fill="E5DFEC"/>
          </w:tcPr>
          <w:p w14:paraId="32E101BA"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7D0C0FD0" w14:textId="77777777" w:rsidR="0031549E" w:rsidRPr="00BC489F" w:rsidRDefault="0031549E" w:rsidP="00A20D1E">
            <w:pPr>
              <w:jc w:val="right"/>
              <w:rPr>
                <w:color w:val="000000"/>
                <w:sz w:val="20"/>
                <w:szCs w:val="20"/>
              </w:rPr>
            </w:pPr>
            <w:r w:rsidRPr="00BC489F">
              <w:rPr>
                <w:color w:val="000000"/>
                <w:sz w:val="20"/>
                <w:szCs w:val="20"/>
              </w:rPr>
              <w:t>Employment Rate 2</w:t>
            </w:r>
            <w:r w:rsidRPr="00BC489F">
              <w:rPr>
                <w:color w:val="000000"/>
                <w:sz w:val="20"/>
                <w:szCs w:val="20"/>
                <w:vertAlign w:val="superscript"/>
              </w:rPr>
              <w:t>nd</w:t>
            </w:r>
            <w:r w:rsidRPr="00BC489F">
              <w:rPr>
                <w:color w:val="000000"/>
                <w:sz w:val="20"/>
                <w:szCs w:val="20"/>
              </w:rPr>
              <w:t xml:space="preserve"> Quarter After Exit</w:t>
            </w:r>
          </w:p>
        </w:tc>
        <w:tc>
          <w:tcPr>
            <w:tcW w:w="1983" w:type="dxa"/>
            <w:shd w:val="clear" w:color="auto" w:fill="FFFFFF"/>
          </w:tcPr>
          <w:p w14:paraId="52C79732"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35A45AC7" w14:textId="77777777" w:rsidTr="0031549E">
        <w:trPr>
          <w:jc w:val="center"/>
        </w:trPr>
        <w:tc>
          <w:tcPr>
            <w:tcW w:w="709" w:type="dxa"/>
            <w:shd w:val="clear" w:color="auto" w:fill="E5DFEC"/>
          </w:tcPr>
          <w:p w14:paraId="7B3B21CE"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268CD0F3" w14:textId="77777777" w:rsidR="0031549E" w:rsidRPr="00BC489F" w:rsidRDefault="0031549E" w:rsidP="00A20D1E">
            <w:pPr>
              <w:jc w:val="right"/>
              <w:rPr>
                <w:color w:val="000000"/>
                <w:sz w:val="20"/>
                <w:szCs w:val="20"/>
              </w:rPr>
            </w:pPr>
            <w:r w:rsidRPr="00BC489F">
              <w:rPr>
                <w:color w:val="000000"/>
                <w:sz w:val="20"/>
                <w:szCs w:val="20"/>
              </w:rPr>
              <w:t>Employment Rate 4</w:t>
            </w:r>
            <w:r w:rsidRPr="00BC489F">
              <w:rPr>
                <w:color w:val="000000"/>
                <w:sz w:val="20"/>
                <w:szCs w:val="20"/>
                <w:vertAlign w:val="superscript"/>
              </w:rPr>
              <w:t>th</w:t>
            </w:r>
            <w:r w:rsidRPr="00BC489F">
              <w:rPr>
                <w:color w:val="000000"/>
                <w:sz w:val="20"/>
                <w:szCs w:val="20"/>
              </w:rPr>
              <w:t xml:space="preserve"> Quarter After Exit</w:t>
            </w:r>
          </w:p>
        </w:tc>
        <w:tc>
          <w:tcPr>
            <w:tcW w:w="1983" w:type="dxa"/>
            <w:shd w:val="clear" w:color="auto" w:fill="FFFFFF"/>
          </w:tcPr>
          <w:p w14:paraId="0338D086"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0A69AD94" w14:textId="77777777" w:rsidTr="0031549E">
        <w:trPr>
          <w:jc w:val="center"/>
        </w:trPr>
        <w:tc>
          <w:tcPr>
            <w:tcW w:w="709" w:type="dxa"/>
            <w:shd w:val="clear" w:color="auto" w:fill="E5DFEC"/>
          </w:tcPr>
          <w:p w14:paraId="7D3B63AD"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6A6BDD74" w14:textId="77777777" w:rsidR="0031549E" w:rsidRPr="00BC489F" w:rsidRDefault="0031549E" w:rsidP="00A20D1E">
            <w:pPr>
              <w:jc w:val="right"/>
              <w:rPr>
                <w:color w:val="000000"/>
                <w:sz w:val="20"/>
                <w:szCs w:val="20"/>
              </w:rPr>
            </w:pPr>
            <w:r w:rsidRPr="00BC489F">
              <w:rPr>
                <w:color w:val="000000"/>
                <w:sz w:val="20"/>
                <w:szCs w:val="20"/>
              </w:rPr>
              <w:t>Median Earnings 2</w:t>
            </w:r>
            <w:r w:rsidRPr="00BC489F">
              <w:rPr>
                <w:color w:val="000000"/>
                <w:sz w:val="20"/>
                <w:szCs w:val="20"/>
                <w:vertAlign w:val="superscript"/>
              </w:rPr>
              <w:t>nd</w:t>
            </w:r>
            <w:r w:rsidRPr="00BC489F">
              <w:rPr>
                <w:color w:val="000000"/>
                <w:sz w:val="20"/>
                <w:szCs w:val="20"/>
              </w:rPr>
              <w:t xml:space="preserve"> Quarter After Exit</w:t>
            </w:r>
          </w:p>
        </w:tc>
        <w:tc>
          <w:tcPr>
            <w:tcW w:w="1983" w:type="dxa"/>
            <w:shd w:val="clear" w:color="auto" w:fill="FFFFFF"/>
          </w:tcPr>
          <w:p w14:paraId="471BA3DA"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09AC12D5" w14:textId="77777777" w:rsidTr="0031549E">
        <w:trPr>
          <w:jc w:val="center"/>
        </w:trPr>
        <w:tc>
          <w:tcPr>
            <w:tcW w:w="709" w:type="dxa"/>
            <w:shd w:val="clear" w:color="auto" w:fill="E5DFEC"/>
          </w:tcPr>
          <w:p w14:paraId="1334AFE8"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674D000A" w14:textId="77777777" w:rsidR="0031549E" w:rsidRPr="00BC489F" w:rsidRDefault="0031549E" w:rsidP="00A20D1E">
            <w:pPr>
              <w:jc w:val="right"/>
              <w:rPr>
                <w:color w:val="000000"/>
                <w:sz w:val="20"/>
                <w:szCs w:val="20"/>
              </w:rPr>
            </w:pPr>
            <w:r w:rsidRPr="00BC489F">
              <w:rPr>
                <w:color w:val="000000"/>
                <w:sz w:val="20"/>
                <w:szCs w:val="20"/>
              </w:rPr>
              <w:t xml:space="preserve">Rate of Credential Attainment </w:t>
            </w:r>
          </w:p>
        </w:tc>
        <w:tc>
          <w:tcPr>
            <w:tcW w:w="1983" w:type="dxa"/>
            <w:shd w:val="clear" w:color="auto" w:fill="FFFFFF"/>
          </w:tcPr>
          <w:p w14:paraId="100778A5"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1ED25552" w14:textId="77777777" w:rsidTr="0031549E">
        <w:trPr>
          <w:jc w:val="center"/>
        </w:trPr>
        <w:tc>
          <w:tcPr>
            <w:tcW w:w="709" w:type="dxa"/>
            <w:shd w:val="clear" w:color="auto" w:fill="E5DFEC"/>
          </w:tcPr>
          <w:p w14:paraId="295B3465"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2AF5D751" w14:textId="77777777" w:rsidR="0031549E" w:rsidRPr="00BC489F" w:rsidRDefault="0031549E" w:rsidP="00A20D1E">
            <w:pPr>
              <w:jc w:val="right"/>
              <w:rPr>
                <w:color w:val="000000"/>
                <w:sz w:val="20"/>
                <w:szCs w:val="20"/>
              </w:rPr>
            </w:pPr>
            <w:r w:rsidRPr="00BC489F">
              <w:rPr>
                <w:color w:val="000000"/>
                <w:sz w:val="20"/>
                <w:szCs w:val="20"/>
              </w:rPr>
              <w:t>Measurable Skills Gain</w:t>
            </w:r>
          </w:p>
        </w:tc>
        <w:tc>
          <w:tcPr>
            <w:tcW w:w="1983" w:type="dxa"/>
            <w:shd w:val="clear" w:color="auto" w:fill="FFFFFF"/>
          </w:tcPr>
          <w:p w14:paraId="345202FC" w14:textId="77777777" w:rsidR="0031549E" w:rsidRPr="00BC489F" w:rsidRDefault="0031549E" w:rsidP="00A20D1E">
            <w:pPr>
              <w:jc w:val="center"/>
              <w:rPr>
                <w:color w:val="000000"/>
                <w:sz w:val="20"/>
                <w:szCs w:val="20"/>
              </w:rPr>
            </w:pPr>
            <w:r w:rsidRPr="00BC489F">
              <w:rPr>
                <w:color w:val="000000"/>
                <w:sz w:val="20"/>
                <w:szCs w:val="20"/>
              </w:rPr>
              <w:t>36% in PY 16;</w:t>
            </w:r>
          </w:p>
          <w:p w14:paraId="49495F1A" w14:textId="77777777" w:rsidR="0031549E" w:rsidRPr="00BC489F" w:rsidRDefault="0031549E" w:rsidP="00A20D1E">
            <w:pPr>
              <w:jc w:val="center"/>
              <w:rPr>
                <w:color w:val="000000"/>
                <w:sz w:val="20"/>
                <w:szCs w:val="20"/>
              </w:rPr>
            </w:pPr>
            <w:r w:rsidRPr="00BC489F">
              <w:rPr>
                <w:color w:val="000000"/>
                <w:sz w:val="20"/>
                <w:szCs w:val="20"/>
              </w:rPr>
              <w:t>37% in PY 17</w:t>
            </w:r>
          </w:p>
        </w:tc>
      </w:tr>
      <w:tr w:rsidR="0031549E" w:rsidRPr="00BC489F" w14:paraId="3BDD7B05" w14:textId="77777777" w:rsidTr="0031549E">
        <w:trPr>
          <w:jc w:val="center"/>
        </w:trPr>
        <w:tc>
          <w:tcPr>
            <w:tcW w:w="709" w:type="dxa"/>
            <w:shd w:val="clear" w:color="auto" w:fill="E5DFEC"/>
          </w:tcPr>
          <w:p w14:paraId="061FDB59"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0F2E8D6C" w14:textId="77777777" w:rsidR="0031549E" w:rsidRPr="00BC489F" w:rsidRDefault="0031549E" w:rsidP="00A20D1E">
            <w:pPr>
              <w:jc w:val="right"/>
              <w:rPr>
                <w:color w:val="000000"/>
                <w:sz w:val="20"/>
                <w:szCs w:val="20"/>
              </w:rPr>
            </w:pPr>
            <w:r w:rsidRPr="00BC489F">
              <w:rPr>
                <w:color w:val="000000"/>
                <w:sz w:val="20"/>
                <w:szCs w:val="20"/>
              </w:rPr>
              <w:t xml:space="preserve">Effectiveness in Serving Employers </w:t>
            </w:r>
          </w:p>
        </w:tc>
        <w:tc>
          <w:tcPr>
            <w:tcW w:w="1983" w:type="dxa"/>
            <w:shd w:val="clear" w:color="auto" w:fill="FFFFFF"/>
          </w:tcPr>
          <w:p w14:paraId="07F42288"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12B1B6DE" w14:textId="77777777" w:rsidTr="0031549E">
        <w:trPr>
          <w:jc w:val="center"/>
        </w:trPr>
        <w:tc>
          <w:tcPr>
            <w:tcW w:w="7819" w:type="dxa"/>
            <w:gridSpan w:val="2"/>
            <w:shd w:val="clear" w:color="auto" w:fill="E5DFEC"/>
          </w:tcPr>
          <w:p w14:paraId="3AC550D3" w14:textId="77777777" w:rsidR="0031549E" w:rsidRPr="00BC489F" w:rsidRDefault="0031549E" w:rsidP="00A20D1E">
            <w:pPr>
              <w:rPr>
                <w:b/>
                <w:bCs/>
                <w:color w:val="000000"/>
                <w:sz w:val="20"/>
                <w:szCs w:val="20"/>
              </w:rPr>
            </w:pPr>
            <w:r w:rsidRPr="00BC489F">
              <w:rPr>
                <w:b/>
                <w:bCs/>
                <w:color w:val="000000"/>
                <w:sz w:val="20"/>
                <w:szCs w:val="20"/>
              </w:rPr>
              <w:t>WIOA Title III Wagner-Peyser</w:t>
            </w:r>
          </w:p>
        </w:tc>
        <w:tc>
          <w:tcPr>
            <w:tcW w:w="1983" w:type="dxa"/>
            <w:shd w:val="clear" w:color="auto" w:fill="E5DFEC"/>
          </w:tcPr>
          <w:p w14:paraId="3EBA789B" w14:textId="77777777" w:rsidR="0031549E" w:rsidRPr="00BC489F" w:rsidRDefault="0031549E" w:rsidP="00A20D1E">
            <w:pPr>
              <w:jc w:val="center"/>
              <w:rPr>
                <w:color w:val="000000"/>
                <w:sz w:val="20"/>
                <w:szCs w:val="20"/>
              </w:rPr>
            </w:pPr>
          </w:p>
        </w:tc>
      </w:tr>
      <w:tr w:rsidR="0031549E" w:rsidRPr="00BC489F" w14:paraId="3B3D7190" w14:textId="77777777" w:rsidTr="0031549E">
        <w:trPr>
          <w:jc w:val="center"/>
        </w:trPr>
        <w:tc>
          <w:tcPr>
            <w:tcW w:w="709" w:type="dxa"/>
            <w:shd w:val="clear" w:color="auto" w:fill="E5DFEC"/>
          </w:tcPr>
          <w:p w14:paraId="46C10CFC"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771BEB12" w14:textId="77777777" w:rsidR="0031549E" w:rsidRPr="00BC489F" w:rsidRDefault="0031549E" w:rsidP="00A20D1E">
            <w:pPr>
              <w:jc w:val="right"/>
              <w:rPr>
                <w:color w:val="000000"/>
                <w:sz w:val="20"/>
                <w:szCs w:val="20"/>
              </w:rPr>
            </w:pPr>
            <w:r w:rsidRPr="00BC489F">
              <w:rPr>
                <w:color w:val="000000"/>
                <w:sz w:val="20"/>
                <w:szCs w:val="20"/>
              </w:rPr>
              <w:t>Employment Rate 2</w:t>
            </w:r>
            <w:r w:rsidRPr="00BC489F">
              <w:rPr>
                <w:color w:val="000000"/>
                <w:sz w:val="20"/>
                <w:szCs w:val="20"/>
                <w:vertAlign w:val="superscript"/>
              </w:rPr>
              <w:t>nd</w:t>
            </w:r>
            <w:r w:rsidRPr="00BC489F">
              <w:rPr>
                <w:color w:val="000000"/>
                <w:sz w:val="20"/>
                <w:szCs w:val="20"/>
              </w:rPr>
              <w:t xml:space="preserve"> Quarter After Exit</w:t>
            </w:r>
          </w:p>
        </w:tc>
        <w:tc>
          <w:tcPr>
            <w:tcW w:w="1983" w:type="dxa"/>
            <w:shd w:val="clear" w:color="auto" w:fill="FFFFFF"/>
          </w:tcPr>
          <w:p w14:paraId="05161558" w14:textId="77777777" w:rsidR="0031549E" w:rsidRPr="00BC489F" w:rsidRDefault="0031549E" w:rsidP="00A20D1E">
            <w:pPr>
              <w:jc w:val="center"/>
              <w:rPr>
                <w:color w:val="000000"/>
                <w:sz w:val="20"/>
                <w:szCs w:val="20"/>
              </w:rPr>
            </w:pPr>
            <w:r w:rsidRPr="00BC489F">
              <w:rPr>
                <w:color w:val="000000"/>
                <w:sz w:val="20"/>
                <w:szCs w:val="20"/>
              </w:rPr>
              <w:t>55%</w:t>
            </w:r>
          </w:p>
        </w:tc>
      </w:tr>
      <w:tr w:rsidR="0031549E" w:rsidRPr="00BC489F" w14:paraId="2EC34CC8" w14:textId="77777777" w:rsidTr="0031549E">
        <w:trPr>
          <w:jc w:val="center"/>
        </w:trPr>
        <w:tc>
          <w:tcPr>
            <w:tcW w:w="709" w:type="dxa"/>
            <w:shd w:val="clear" w:color="auto" w:fill="E5DFEC"/>
          </w:tcPr>
          <w:p w14:paraId="3F3A7BAD"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41A777EF" w14:textId="77777777" w:rsidR="0031549E" w:rsidRPr="00BC489F" w:rsidRDefault="0031549E" w:rsidP="00A20D1E">
            <w:pPr>
              <w:jc w:val="right"/>
              <w:rPr>
                <w:color w:val="000000"/>
                <w:sz w:val="20"/>
                <w:szCs w:val="20"/>
              </w:rPr>
            </w:pPr>
            <w:r w:rsidRPr="00BC489F">
              <w:rPr>
                <w:color w:val="000000"/>
                <w:sz w:val="20"/>
                <w:szCs w:val="20"/>
              </w:rPr>
              <w:t>Employment Rate 4</w:t>
            </w:r>
            <w:r w:rsidRPr="00BC489F">
              <w:rPr>
                <w:color w:val="000000"/>
                <w:sz w:val="20"/>
                <w:szCs w:val="20"/>
                <w:vertAlign w:val="superscript"/>
              </w:rPr>
              <w:t>th</w:t>
            </w:r>
            <w:r w:rsidRPr="00BC489F">
              <w:rPr>
                <w:color w:val="000000"/>
                <w:sz w:val="20"/>
                <w:szCs w:val="20"/>
              </w:rPr>
              <w:t xml:space="preserve"> Quarter After Exit</w:t>
            </w:r>
          </w:p>
        </w:tc>
        <w:tc>
          <w:tcPr>
            <w:tcW w:w="1983" w:type="dxa"/>
            <w:shd w:val="clear" w:color="auto" w:fill="FFFFFF"/>
          </w:tcPr>
          <w:p w14:paraId="50B0EEBB" w14:textId="77777777" w:rsidR="0031549E" w:rsidRPr="00BC489F" w:rsidRDefault="0031549E" w:rsidP="00A20D1E">
            <w:pPr>
              <w:jc w:val="center"/>
              <w:rPr>
                <w:color w:val="000000"/>
                <w:sz w:val="20"/>
                <w:szCs w:val="20"/>
              </w:rPr>
            </w:pPr>
            <w:r w:rsidRPr="00BC489F">
              <w:rPr>
                <w:color w:val="000000"/>
                <w:sz w:val="20"/>
                <w:szCs w:val="20"/>
              </w:rPr>
              <w:t>55%</w:t>
            </w:r>
          </w:p>
        </w:tc>
      </w:tr>
      <w:tr w:rsidR="0031549E" w:rsidRPr="00BC489F" w14:paraId="75AB0B10" w14:textId="77777777" w:rsidTr="0031549E">
        <w:trPr>
          <w:jc w:val="center"/>
        </w:trPr>
        <w:tc>
          <w:tcPr>
            <w:tcW w:w="709" w:type="dxa"/>
            <w:shd w:val="clear" w:color="auto" w:fill="E5DFEC"/>
          </w:tcPr>
          <w:p w14:paraId="15656E20"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6F3E7074" w14:textId="77777777" w:rsidR="0031549E" w:rsidRPr="00BC489F" w:rsidRDefault="0031549E" w:rsidP="00A20D1E">
            <w:pPr>
              <w:jc w:val="right"/>
              <w:rPr>
                <w:color w:val="000000"/>
                <w:sz w:val="20"/>
                <w:szCs w:val="20"/>
              </w:rPr>
            </w:pPr>
            <w:r w:rsidRPr="00BC489F">
              <w:rPr>
                <w:color w:val="000000"/>
                <w:sz w:val="20"/>
                <w:szCs w:val="20"/>
              </w:rPr>
              <w:t>Median Earnings 2</w:t>
            </w:r>
            <w:r w:rsidRPr="00BC489F">
              <w:rPr>
                <w:color w:val="000000"/>
                <w:sz w:val="20"/>
                <w:szCs w:val="20"/>
                <w:vertAlign w:val="superscript"/>
              </w:rPr>
              <w:t>nd</w:t>
            </w:r>
            <w:r w:rsidRPr="00BC489F">
              <w:rPr>
                <w:color w:val="000000"/>
                <w:sz w:val="20"/>
                <w:szCs w:val="20"/>
              </w:rPr>
              <w:t xml:space="preserve"> Quarter After Exit </w:t>
            </w:r>
          </w:p>
        </w:tc>
        <w:tc>
          <w:tcPr>
            <w:tcW w:w="1983" w:type="dxa"/>
            <w:shd w:val="clear" w:color="auto" w:fill="FFFFFF"/>
          </w:tcPr>
          <w:p w14:paraId="496D0023" w14:textId="77777777" w:rsidR="0031549E" w:rsidRPr="00BC489F" w:rsidRDefault="0031549E" w:rsidP="00A20D1E">
            <w:pPr>
              <w:jc w:val="center"/>
              <w:rPr>
                <w:color w:val="000000"/>
                <w:sz w:val="20"/>
                <w:szCs w:val="20"/>
              </w:rPr>
            </w:pPr>
            <w:r w:rsidRPr="00BC489F">
              <w:rPr>
                <w:color w:val="000000"/>
                <w:sz w:val="20"/>
                <w:szCs w:val="20"/>
              </w:rPr>
              <w:t>$5,000</w:t>
            </w:r>
          </w:p>
        </w:tc>
      </w:tr>
      <w:tr w:rsidR="0031549E" w:rsidRPr="00BC489F" w14:paraId="078D0E36" w14:textId="77777777" w:rsidTr="0031549E">
        <w:trPr>
          <w:jc w:val="center"/>
        </w:trPr>
        <w:tc>
          <w:tcPr>
            <w:tcW w:w="709" w:type="dxa"/>
            <w:shd w:val="clear" w:color="auto" w:fill="E5DFEC"/>
          </w:tcPr>
          <w:p w14:paraId="3DD46889"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18BB360D" w14:textId="77777777" w:rsidR="0031549E" w:rsidRPr="00BC489F" w:rsidRDefault="0031549E" w:rsidP="00A20D1E">
            <w:pPr>
              <w:jc w:val="right"/>
              <w:rPr>
                <w:color w:val="000000"/>
                <w:sz w:val="20"/>
                <w:szCs w:val="20"/>
              </w:rPr>
            </w:pPr>
            <w:r w:rsidRPr="00BC489F">
              <w:rPr>
                <w:color w:val="000000"/>
                <w:sz w:val="20"/>
                <w:szCs w:val="20"/>
              </w:rPr>
              <w:t xml:space="preserve">Rate of Credential Attainment </w:t>
            </w:r>
          </w:p>
        </w:tc>
        <w:tc>
          <w:tcPr>
            <w:tcW w:w="1983" w:type="dxa"/>
            <w:shd w:val="clear" w:color="auto" w:fill="FFFFFF"/>
          </w:tcPr>
          <w:p w14:paraId="611541E0" w14:textId="77777777" w:rsidR="0031549E" w:rsidRPr="00BC489F" w:rsidRDefault="0031549E" w:rsidP="00A20D1E">
            <w:pPr>
              <w:jc w:val="center"/>
              <w:rPr>
                <w:color w:val="000000"/>
                <w:sz w:val="20"/>
                <w:szCs w:val="20"/>
              </w:rPr>
            </w:pPr>
            <w:r w:rsidRPr="00BC489F">
              <w:rPr>
                <w:color w:val="000000"/>
                <w:sz w:val="20"/>
                <w:szCs w:val="20"/>
              </w:rPr>
              <w:t>N/A</w:t>
            </w:r>
          </w:p>
        </w:tc>
      </w:tr>
      <w:tr w:rsidR="0031549E" w:rsidRPr="00BC489F" w14:paraId="6569721E" w14:textId="77777777" w:rsidTr="0031549E">
        <w:trPr>
          <w:jc w:val="center"/>
        </w:trPr>
        <w:tc>
          <w:tcPr>
            <w:tcW w:w="709" w:type="dxa"/>
            <w:shd w:val="clear" w:color="auto" w:fill="E5DFEC"/>
          </w:tcPr>
          <w:p w14:paraId="4966ED4E"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0CAAB250" w14:textId="77777777" w:rsidR="0031549E" w:rsidRPr="00BC489F" w:rsidRDefault="0031549E" w:rsidP="00A20D1E">
            <w:pPr>
              <w:jc w:val="right"/>
              <w:rPr>
                <w:color w:val="000000"/>
                <w:sz w:val="20"/>
                <w:szCs w:val="20"/>
              </w:rPr>
            </w:pPr>
            <w:r w:rsidRPr="00BC489F">
              <w:rPr>
                <w:color w:val="000000"/>
                <w:sz w:val="20"/>
                <w:szCs w:val="20"/>
              </w:rPr>
              <w:t xml:space="preserve">Measurable Skills Gain </w:t>
            </w:r>
          </w:p>
        </w:tc>
        <w:tc>
          <w:tcPr>
            <w:tcW w:w="1983" w:type="dxa"/>
            <w:shd w:val="clear" w:color="auto" w:fill="FFFFFF"/>
          </w:tcPr>
          <w:p w14:paraId="0B876CE6" w14:textId="77777777" w:rsidR="0031549E" w:rsidRPr="00BC489F" w:rsidRDefault="0031549E" w:rsidP="00A20D1E">
            <w:pPr>
              <w:jc w:val="center"/>
              <w:rPr>
                <w:color w:val="000000"/>
                <w:sz w:val="20"/>
                <w:szCs w:val="20"/>
              </w:rPr>
            </w:pPr>
            <w:r w:rsidRPr="00BC489F">
              <w:rPr>
                <w:color w:val="000000"/>
                <w:sz w:val="20"/>
                <w:szCs w:val="20"/>
              </w:rPr>
              <w:t>N/A</w:t>
            </w:r>
          </w:p>
        </w:tc>
      </w:tr>
      <w:tr w:rsidR="0031549E" w:rsidRPr="00BC489F" w14:paraId="4DD226D7" w14:textId="77777777" w:rsidTr="0031549E">
        <w:trPr>
          <w:jc w:val="center"/>
        </w:trPr>
        <w:tc>
          <w:tcPr>
            <w:tcW w:w="709" w:type="dxa"/>
            <w:shd w:val="clear" w:color="auto" w:fill="E5DFEC"/>
          </w:tcPr>
          <w:p w14:paraId="194BDC71"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0E5491FA" w14:textId="77777777" w:rsidR="0031549E" w:rsidRPr="00BC489F" w:rsidRDefault="0031549E" w:rsidP="00A20D1E">
            <w:pPr>
              <w:jc w:val="right"/>
              <w:rPr>
                <w:color w:val="000000"/>
                <w:sz w:val="20"/>
                <w:szCs w:val="20"/>
              </w:rPr>
            </w:pPr>
            <w:r w:rsidRPr="00BC489F">
              <w:rPr>
                <w:color w:val="000000"/>
                <w:sz w:val="20"/>
                <w:szCs w:val="20"/>
              </w:rPr>
              <w:t>Effectiveness in Serving Employers</w:t>
            </w:r>
          </w:p>
        </w:tc>
        <w:tc>
          <w:tcPr>
            <w:tcW w:w="1983" w:type="dxa"/>
            <w:shd w:val="clear" w:color="auto" w:fill="FFFFFF"/>
          </w:tcPr>
          <w:p w14:paraId="5D70DCC4"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637111AE" w14:textId="77777777" w:rsidTr="0031549E">
        <w:trPr>
          <w:jc w:val="center"/>
        </w:trPr>
        <w:tc>
          <w:tcPr>
            <w:tcW w:w="7819" w:type="dxa"/>
            <w:gridSpan w:val="2"/>
            <w:shd w:val="clear" w:color="auto" w:fill="E5DFEC"/>
          </w:tcPr>
          <w:p w14:paraId="1228E591" w14:textId="77777777" w:rsidR="0031549E" w:rsidRPr="00BC489F" w:rsidRDefault="0031549E" w:rsidP="00A20D1E">
            <w:pPr>
              <w:rPr>
                <w:b/>
                <w:bCs/>
                <w:color w:val="000000"/>
                <w:sz w:val="20"/>
                <w:szCs w:val="20"/>
              </w:rPr>
            </w:pPr>
            <w:r w:rsidRPr="00BC489F">
              <w:rPr>
                <w:b/>
                <w:bCs/>
                <w:color w:val="000000"/>
                <w:sz w:val="20"/>
                <w:szCs w:val="20"/>
              </w:rPr>
              <w:t xml:space="preserve">WIOA Title IV Vocational Rehabilitation </w:t>
            </w:r>
          </w:p>
        </w:tc>
        <w:tc>
          <w:tcPr>
            <w:tcW w:w="1983" w:type="dxa"/>
            <w:shd w:val="clear" w:color="auto" w:fill="E5DFEC"/>
          </w:tcPr>
          <w:p w14:paraId="45FBAEE3" w14:textId="77777777" w:rsidR="0031549E" w:rsidRPr="00BC489F" w:rsidRDefault="0031549E" w:rsidP="00A20D1E">
            <w:pPr>
              <w:jc w:val="center"/>
              <w:rPr>
                <w:color w:val="000000"/>
                <w:sz w:val="20"/>
                <w:szCs w:val="20"/>
              </w:rPr>
            </w:pPr>
          </w:p>
        </w:tc>
      </w:tr>
      <w:tr w:rsidR="0031549E" w:rsidRPr="00BC489F" w14:paraId="6793D289" w14:textId="77777777" w:rsidTr="0031549E">
        <w:trPr>
          <w:jc w:val="center"/>
        </w:trPr>
        <w:tc>
          <w:tcPr>
            <w:tcW w:w="709" w:type="dxa"/>
            <w:shd w:val="clear" w:color="auto" w:fill="E5DFEC"/>
          </w:tcPr>
          <w:p w14:paraId="03C02A8A"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7E2C99F0" w14:textId="77777777" w:rsidR="0031549E" w:rsidRPr="00BC489F" w:rsidRDefault="0031549E" w:rsidP="00A20D1E">
            <w:pPr>
              <w:jc w:val="right"/>
              <w:rPr>
                <w:color w:val="000000"/>
                <w:sz w:val="20"/>
                <w:szCs w:val="20"/>
              </w:rPr>
            </w:pPr>
            <w:r w:rsidRPr="00BC489F">
              <w:rPr>
                <w:color w:val="000000"/>
                <w:sz w:val="20"/>
                <w:szCs w:val="20"/>
              </w:rPr>
              <w:t>Employment Rate 2</w:t>
            </w:r>
            <w:r w:rsidRPr="00BC489F">
              <w:rPr>
                <w:color w:val="000000"/>
                <w:sz w:val="20"/>
                <w:szCs w:val="20"/>
                <w:vertAlign w:val="superscript"/>
              </w:rPr>
              <w:t>nd</w:t>
            </w:r>
            <w:r w:rsidRPr="00BC489F">
              <w:rPr>
                <w:color w:val="000000"/>
                <w:sz w:val="20"/>
                <w:szCs w:val="20"/>
              </w:rPr>
              <w:t xml:space="preserve"> Quarter After Exit</w:t>
            </w:r>
          </w:p>
        </w:tc>
        <w:tc>
          <w:tcPr>
            <w:tcW w:w="1983" w:type="dxa"/>
            <w:shd w:val="clear" w:color="auto" w:fill="FFFFFF"/>
          </w:tcPr>
          <w:p w14:paraId="101A9A08"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1455C5ED" w14:textId="77777777" w:rsidTr="0031549E">
        <w:trPr>
          <w:jc w:val="center"/>
        </w:trPr>
        <w:tc>
          <w:tcPr>
            <w:tcW w:w="709" w:type="dxa"/>
            <w:shd w:val="clear" w:color="auto" w:fill="E5DFEC"/>
          </w:tcPr>
          <w:p w14:paraId="2D00C35D"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1153885A" w14:textId="77777777" w:rsidR="0031549E" w:rsidRPr="00BC489F" w:rsidRDefault="0031549E" w:rsidP="00A20D1E">
            <w:pPr>
              <w:jc w:val="right"/>
              <w:rPr>
                <w:color w:val="000000"/>
                <w:sz w:val="20"/>
                <w:szCs w:val="20"/>
              </w:rPr>
            </w:pPr>
            <w:r w:rsidRPr="00BC489F">
              <w:rPr>
                <w:color w:val="000000"/>
                <w:sz w:val="20"/>
                <w:szCs w:val="20"/>
              </w:rPr>
              <w:t>Employment Rate 4</w:t>
            </w:r>
            <w:r w:rsidRPr="00BC489F">
              <w:rPr>
                <w:color w:val="000000"/>
                <w:sz w:val="20"/>
                <w:szCs w:val="20"/>
                <w:vertAlign w:val="superscript"/>
              </w:rPr>
              <w:t>th</w:t>
            </w:r>
            <w:r w:rsidRPr="00BC489F">
              <w:rPr>
                <w:color w:val="000000"/>
                <w:sz w:val="20"/>
                <w:szCs w:val="20"/>
              </w:rPr>
              <w:t xml:space="preserve"> Quarter After Exit</w:t>
            </w:r>
          </w:p>
        </w:tc>
        <w:tc>
          <w:tcPr>
            <w:tcW w:w="1983" w:type="dxa"/>
            <w:shd w:val="clear" w:color="auto" w:fill="FFFFFF"/>
          </w:tcPr>
          <w:p w14:paraId="4CA295B3"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7C5C85D3" w14:textId="77777777" w:rsidTr="0031549E">
        <w:trPr>
          <w:jc w:val="center"/>
        </w:trPr>
        <w:tc>
          <w:tcPr>
            <w:tcW w:w="709" w:type="dxa"/>
            <w:shd w:val="clear" w:color="auto" w:fill="E5DFEC"/>
          </w:tcPr>
          <w:p w14:paraId="3996DD08"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6BAA3DC4" w14:textId="77777777" w:rsidR="0031549E" w:rsidRPr="00BC489F" w:rsidRDefault="0031549E" w:rsidP="00A20D1E">
            <w:pPr>
              <w:jc w:val="right"/>
              <w:rPr>
                <w:color w:val="000000"/>
                <w:sz w:val="20"/>
                <w:szCs w:val="20"/>
              </w:rPr>
            </w:pPr>
            <w:r w:rsidRPr="00BC489F">
              <w:rPr>
                <w:color w:val="000000"/>
                <w:sz w:val="20"/>
                <w:szCs w:val="20"/>
              </w:rPr>
              <w:t>Median Earnings 2</w:t>
            </w:r>
            <w:r w:rsidRPr="00BC489F">
              <w:rPr>
                <w:color w:val="000000"/>
                <w:sz w:val="20"/>
                <w:szCs w:val="20"/>
                <w:vertAlign w:val="superscript"/>
              </w:rPr>
              <w:t>nd</w:t>
            </w:r>
            <w:r w:rsidRPr="00BC489F">
              <w:rPr>
                <w:color w:val="000000"/>
                <w:sz w:val="20"/>
                <w:szCs w:val="20"/>
              </w:rPr>
              <w:t xml:space="preserve"> Quarter After Exit </w:t>
            </w:r>
          </w:p>
        </w:tc>
        <w:tc>
          <w:tcPr>
            <w:tcW w:w="1983" w:type="dxa"/>
            <w:shd w:val="clear" w:color="auto" w:fill="FFFFFF"/>
          </w:tcPr>
          <w:p w14:paraId="7D107B70"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6CFE2090" w14:textId="77777777" w:rsidTr="0031549E">
        <w:trPr>
          <w:jc w:val="center"/>
        </w:trPr>
        <w:tc>
          <w:tcPr>
            <w:tcW w:w="709" w:type="dxa"/>
            <w:shd w:val="clear" w:color="auto" w:fill="E5DFEC"/>
          </w:tcPr>
          <w:p w14:paraId="0486DF86"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4539D280" w14:textId="77777777" w:rsidR="0031549E" w:rsidRPr="00BC489F" w:rsidRDefault="0031549E" w:rsidP="00A20D1E">
            <w:pPr>
              <w:jc w:val="right"/>
              <w:rPr>
                <w:color w:val="000000"/>
                <w:sz w:val="20"/>
                <w:szCs w:val="20"/>
              </w:rPr>
            </w:pPr>
            <w:r w:rsidRPr="00BC489F">
              <w:rPr>
                <w:color w:val="000000"/>
                <w:sz w:val="20"/>
                <w:szCs w:val="20"/>
              </w:rPr>
              <w:t xml:space="preserve">Rate of Credential Attainment </w:t>
            </w:r>
          </w:p>
        </w:tc>
        <w:tc>
          <w:tcPr>
            <w:tcW w:w="1983" w:type="dxa"/>
            <w:shd w:val="clear" w:color="auto" w:fill="FFFFFF"/>
          </w:tcPr>
          <w:p w14:paraId="564D4287"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6D44CE28" w14:textId="77777777" w:rsidTr="0031549E">
        <w:trPr>
          <w:jc w:val="center"/>
        </w:trPr>
        <w:tc>
          <w:tcPr>
            <w:tcW w:w="709" w:type="dxa"/>
            <w:shd w:val="clear" w:color="auto" w:fill="E5DFEC"/>
          </w:tcPr>
          <w:p w14:paraId="6C342740"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27D2B484" w14:textId="77777777" w:rsidR="0031549E" w:rsidRPr="00BC489F" w:rsidRDefault="0031549E" w:rsidP="00A20D1E">
            <w:pPr>
              <w:jc w:val="right"/>
              <w:rPr>
                <w:color w:val="000000"/>
                <w:sz w:val="20"/>
                <w:szCs w:val="20"/>
              </w:rPr>
            </w:pPr>
            <w:r w:rsidRPr="00BC489F">
              <w:rPr>
                <w:color w:val="000000"/>
                <w:sz w:val="20"/>
                <w:szCs w:val="20"/>
              </w:rPr>
              <w:t xml:space="preserve">Measurable Skills Gain </w:t>
            </w:r>
          </w:p>
        </w:tc>
        <w:tc>
          <w:tcPr>
            <w:tcW w:w="1983" w:type="dxa"/>
            <w:shd w:val="clear" w:color="auto" w:fill="FFFFFF"/>
          </w:tcPr>
          <w:p w14:paraId="596405F1"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0D4355A5" w14:textId="77777777" w:rsidTr="0031549E">
        <w:trPr>
          <w:jc w:val="center"/>
        </w:trPr>
        <w:tc>
          <w:tcPr>
            <w:tcW w:w="709" w:type="dxa"/>
            <w:shd w:val="clear" w:color="auto" w:fill="E5DFEC"/>
          </w:tcPr>
          <w:p w14:paraId="03A5CC0C" w14:textId="77777777" w:rsidR="0031549E" w:rsidRPr="00BC489F" w:rsidRDefault="0031549E" w:rsidP="00A20D1E">
            <w:pPr>
              <w:jc w:val="right"/>
              <w:rPr>
                <w:rFonts w:ascii="Cambria" w:eastAsia="Calibri" w:hAnsi="Cambria"/>
                <w:b/>
                <w:bCs/>
                <w:color w:val="000000"/>
                <w:sz w:val="20"/>
                <w:szCs w:val="20"/>
              </w:rPr>
            </w:pPr>
          </w:p>
        </w:tc>
        <w:tc>
          <w:tcPr>
            <w:tcW w:w="7110" w:type="dxa"/>
            <w:shd w:val="clear" w:color="auto" w:fill="FFFFFF"/>
          </w:tcPr>
          <w:p w14:paraId="0A91910D" w14:textId="77777777" w:rsidR="0031549E" w:rsidRPr="00BC489F" w:rsidRDefault="0031549E" w:rsidP="00A20D1E">
            <w:pPr>
              <w:jc w:val="right"/>
              <w:rPr>
                <w:color w:val="000000"/>
                <w:sz w:val="20"/>
                <w:szCs w:val="20"/>
              </w:rPr>
            </w:pPr>
            <w:r w:rsidRPr="00BC489F">
              <w:rPr>
                <w:color w:val="000000"/>
                <w:sz w:val="20"/>
                <w:szCs w:val="20"/>
              </w:rPr>
              <w:t>Effectiveness in Serving Employers</w:t>
            </w:r>
          </w:p>
        </w:tc>
        <w:tc>
          <w:tcPr>
            <w:tcW w:w="1983" w:type="dxa"/>
            <w:shd w:val="clear" w:color="auto" w:fill="FFFFFF"/>
          </w:tcPr>
          <w:p w14:paraId="0D76450A"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1C88BFAC" w14:textId="77777777" w:rsidTr="0031549E">
        <w:trPr>
          <w:jc w:val="center"/>
        </w:trPr>
        <w:tc>
          <w:tcPr>
            <w:tcW w:w="7819" w:type="dxa"/>
            <w:gridSpan w:val="2"/>
            <w:shd w:val="clear" w:color="auto" w:fill="E5DFEC"/>
          </w:tcPr>
          <w:p w14:paraId="6B395994" w14:textId="77777777" w:rsidR="0031549E" w:rsidRPr="00BC489F" w:rsidRDefault="0031549E" w:rsidP="00A20D1E">
            <w:pPr>
              <w:rPr>
                <w:b/>
                <w:bCs/>
                <w:color w:val="000000"/>
                <w:sz w:val="20"/>
                <w:szCs w:val="20"/>
              </w:rPr>
            </w:pPr>
            <w:r w:rsidRPr="00BC489F">
              <w:rPr>
                <w:b/>
                <w:bCs/>
                <w:color w:val="000000"/>
                <w:sz w:val="20"/>
                <w:szCs w:val="20"/>
              </w:rPr>
              <w:t xml:space="preserve">Jobs for Veterans State Grant Program  </w:t>
            </w:r>
          </w:p>
        </w:tc>
        <w:tc>
          <w:tcPr>
            <w:tcW w:w="1983" w:type="dxa"/>
            <w:shd w:val="clear" w:color="auto" w:fill="E5DFEC"/>
          </w:tcPr>
          <w:p w14:paraId="122E7D47" w14:textId="77777777" w:rsidR="0031549E" w:rsidRPr="00BC489F" w:rsidRDefault="0031549E" w:rsidP="00A20D1E">
            <w:pPr>
              <w:jc w:val="center"/>
              <w:rPr>
                <w:color w:val="000000"/>
                <w:sz w:val="20"/>
                <w:szCs w:val="20"/>
              </w:rPr>
            </w:pPr>
          </w:p>
        </w:tc>
      </w:tr>
      <w:tr w:rsidR="0031549E" w:rsidRPr="00BC489F" w14:paraId="5F6E4F14" w14:textId="77777777" w:rsidTr="0031549E">
        <w:trPr>
          <w:jc w:val="center"/>
        </w:trPr>
        <w:tc>
          <w:tcPr>
            <w:tcW w:w="709" w:type="dxa"/>
            <w:shd w:val="clear" w:color="auto" w:fill="E5DFEC"/>
          </w:tcPr>
          <w:p w14:paraId="452DE9C6" w14:textId="77777777" w:rsidR="0031549E" w:rsidRPr="00FC6331" w:rsidRDefault="0031549E" w:rsidP="00A20D1E">
            <w:pPr>
              <w:jc w:val="right"/>
              <w:rPr>
                <w:color w:val="CCC0D9"/>
                <w:sz w:val="20"/>
                <w:szCs w:val="20"/>
              </w:rPr>
            </w:pPr>
          </w:p>
        </w:tc>
        <w:tc>
          <w:tcPr>
            <w:tcW w:w="7110" w:type="dxa"/>
            <w:shd w:val="clear" w:color="auto" w:fill="FFFFFF"/>
          </w:tcPr>
          <w:p w14:paraId="0D6E24ED" w14:textId="77777777" w:rsidR="0031549E" w:rsidRPr="00BC489F" w:rsidRDefault="0031549E" w:rsidP="00A20D1E">
            <w:pPr>
              <w:jc w:val="right"/>
              <w:rPr>
                <w:color w:val="000000"/>
                <w:sz w:val="20"/>
                <w:szCs w:val="20"/>
              </w:rPr>
            </w:pPr>
            <w:r w:rsidRPr="00BC489F">
              <w:rPr>
                <w:color w:val="000000"/>
                <w:sz w:val="20"/>
                <w:szCs w:val="20"/>
              </w:rPr>
              <w:t>Employment Rate 2</w:t>
            </w:r>
            <w:r w:rsidRPr="00BC489F">
              <w:rPr>
                <w:color w:val="000000"/>
                <w:sz w:val="20"/>
                <w:szCs w:val="20"/>
                <w:vertAlign w:val="superscript"/>
              </w:rPr>
              <w:t>nd</w:t>
            </w:r>
            <w:r w:rsidRPr="00BC489F">
              <w:rPr>
                <w:color w:val="000000"/>
                <w:sz w:val="20"/>
                <w:szCs w:val="20"/>
              </w:rPr>
              <w:t xml:space="preserve"> Quarter After Exit</w:t>
            </w:r>
          </w:p>
        </w:tc>
        <w:tc>
          <w:tcPr>
            <w:tcW w:w="1983" w:type="dxa"/>
            <w:shd w:val="clear" w:color="auto" w:fill="FFFFFF"/>
          </w:tcPr>
          <w:p w14:paraId="558B6353"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325BB970" w14:textId="77777777" w:rsidTr="0031549E">
        <w:trPr>
          <w:jc w:val="center"/>
        </w:trPr>
        <w:tc>
          <w:tcPr>
            <w:tcW w:w="709" w:type="dxa"/>
            <w:shd w:val="clear" w:color="auto" w:fill="E5DFEC"/>
          </w:tcPr>
          <w:p w14:paraId="25DC89A2" w14:textId="77777777" w:rsidR="0031549E" w:rsidRPr="00FC6331" w:rsidRDefault="0031549E" w:rsidP="00A20D1E">
            <w:pPr>
              <w:jc w:val="right"/>
              <w:rPr>
                <w:color w:val="CCC0D9"/>
                <w:sz w:val="20"/>
                <w:szCs w:val="20"/>
              </w:rPr>
            </w:pPr>
          </w:p>
        </w:tc>
        <w:tc>
          <w:tcPr>
            <w:tcW w:w="7110" w:type="dxa"/>
            <w:shd w:val="clear" w:color="auto" w:fill="FFFFFF"/>
          </w:tcPr>
          <w:p w14:paraId="1898DDC0" w14:textId="77777777" w:rsidR="0031549E" w:rsidRPr="00BC489F" w:rsidRDefault="0031549E" w:rsidP="00A20D1E">
            <w:pPr>
              <w:jc w:val="right"/>
              <w:rPr>
                <w:color w:val="000000"/>
                <w:sz w:val="20"/>
                <w:szCs w:val="20"/>
              </w:rPr>
            </w:pPr>
            <w:r w:rsidRPr="00BC489F">
              <w:rPr>
                <w:color w:val="000000"/>
                <w:sz w:val="20"/>
                <w:szCs w:val="20"/>
              </w:rPr>
              <w:t>Employment Rate 4</w:t>
            </w:r>
            <w:r w:rsidRPr="00BC489F">
              <w:rPr>
                <w:color w:val="000000"/>
                <w:sz w:val="20"/>
                <w:szCs w:val="20"/>
                <w:vertAlign w:val="superscript"/>
              </w:rPr>
              <w:t>th</w:t>
            </w:r>
            <w:r w:rsidRPr="00BC489F">
              <w:rPr>
                <w:color w:val="000000"/>
                <w:sz w:val="20"/>
                <w:szCs w:val="20"/>
              </w:rPr>
              <w:t xml:space="preserve"> Quarter After Exit</w:t>
            </w:r>
          </w:p>
        </w:tc>
        <w:tc>
          <w:tcPr>
            <w:tcW w:w="1983" w:type="dxa"/>
            <w:shd w:val="clear" w:color="auto" w:fill="FFFFFF"/>
          </w:tcPr>
          <w:p w14:paraId="3B7FD6AF"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37BEB629" w14:textId="77777777" w:rsidTr="0031549E">
        <w:trPr>
          <w:jc w:val="center"/>
        </w:trPr>
        <w:tc>
          <w:tcPr>
            <w:tcW w:w="709" w:type="dxa"/>
            <w:shd w:val="clear" w:color="auto" w:fill="E5DFEC"/>
          </w:tcPr>
          <w:p w14:paraId="03E5CA91" w14:textId="77777777" w:rsidR="0031549E" w:rsidRPr="00FC6331" w:rsidRDefault="0031549E" w:rsidP="00A20D1E">
            <w:pPr>
              <w:jc w:val="right"/>
              <w:rPr>
                <w:color w:val="CCC0D9"/>
                <w:sz w:val="20"/>
                <w:szCs w:val="20"/>
              </w:rPr>
            </w:pPr>
          </w:p>
        </w:tc>
        <w:tc>
          <w:tcPr>
            <w:tcW w:w="7110" w:type="dxa"/>
            <w:shd w:val="clear" w:color="auto" w:fill="FFFFFF"/>
          </w:tcPr>
          <w:p w14:paraId="2198DE17" w14:textId="77777777" w:rsidR="0031549E" w:rsidRPr="00BC489F" w:rsidRDefault="0031549E" w:rsidP="00A20D1E">
            <w:pPr>
              <w:jc w:val="right"/>
              <w:rPr>
                <w:color w:val="000000"/>
                <w:sz w:val="20"/>
                <w:szCs w:val="20"/>
              </w:rPr>
            </w:pPr>
            <w:r w:rsidRPr="00BC489F">
              <w:rPr>
                <w:color w:val="000000"/>
                <w:sz w:val="20"/>
                <w:szCs w:val="20"/>
              </w:rPr>
              <w:t>Median Earnings 2</w:t>
            </w:r>
            <w:r w:rsidRPr="00BC489F">
              <w:rPr>
                <w:color w:val="000000"/>
                <w:sz w:val="20"/>
                <w:szCs w:val="20"/>
                <w:vertAlign w:val="superscript"/>
              </w:rPr>
              <w:t>nd</w:t>
            </w:r>
            <w:r w:rsidRPr="00BC489F">
              <w:rPr>
                <w:color w:val="000000"/>
                <w:sz w:val="20"/>
                <w:szCs w:val="20"/>
              </w:rPr>
              <w:t xml:space="preserve"> Quarter After Exit </w:t>
            </w:r>
          </w:p>
        </w:tc>
        <w:tc>
          <w:tcPr>
            <w:tcW w:w="1983" w:type="dxa"/>
            <w:shd w:val="clear" w:color="auto" w:fill="FFFFFF"/>
          </w:tcPr>
          <w:p w14:paraId="008CE1CA"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2A4AF20E" w14:textId="77777777" w:rsidTr="0031549E">
        <w:trPr>
          <w:jc w:val="center"/>
        </w:trPr>
        <w:tc>
          <w:tcPr>
            <w:tcW w:w="709" w:type="dxa"/>
            <w:shd w:val="clear" w:color="auto" w:fill="E5DFEC"/>
          </w:tcPr>
          <w:p w14:paraId="2A5F0A14" w14:textId="77777777" w:rsidR="0031549E" w:rsidRPr="00FC6331" w:rsidRDefault="0031549E" w:rsidP="00A20D1E">
            <w:pPr>
              <w:jc w:val="right"/>
              <w:rPr>
                <w:color w:val="CCC0D9"/>
                <w:sz w:val="20"/>
                <w:szCs w:val="20"/>
              </w:rPr>
            </w:pPr>
          </w:p>
        </w:tc>
        <w:tc>
          <w:tcPr>
            <w:tcW w:w="7110" w:type="dxa"/>
            <w:shd w:val="clear" w:color="auto" w:fill="FFFFFF"/>
          </w:tcPr>
          <w:p w14:paraId="1B1275A3" w14:textId="77777777" w:rsidR="0031549E" w:rsidRPr="00BC489F" w:rsidRDefault="0031549E" w:rsidP="00A20D1E">
            <w:pPr>
              <w:jc w:val="right"/>
              <w:rPr>
                <w:color w:val="000000"/>
                <w:sz w:val="20"/>
                <w:szCs w:val="20"/>
              </w:rPr>
            </w:pPr>
            <w:r w:rsidRPr="00BC489F">
              <w:rPr>
                <w:color w:val="000000"/>
                <w:sz w:val="20"/>
                <w:szCs w:val="20"/>
              </w:rPr>
              <w:t xml:space="preserve">Rate of Credential Attainment </w:t>
            </w:r>
          </w:p>
        </w:tc>
        <w:tc>
          <w:tcPr>
            <w:tcW w:w="1983" w:type="dxa"/>
            <w:shd w:val="clear" w:color="auto" w:fill="FFFFFF"/>
          </w:tcPr>
          <w:p w14:paraId="2E37B5EC"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34C3329C" w14:textId="77777777" w:rsidTr="0031549E">
        <w:trPr>
          <w:jc w:val="center"/>
        </w:trPr>
        <w:tc>
          <w:tcPr>
            <w:tcW w:w="709" w:type="dxa"/>
            <w:shd w:val="clear" w:color="auto" w:fill="E5DFEC"/>
          </w:tcPr>
          <w:p w14:paraId="1834DC54" w14:textId="77777777" w:rsidR="0031549E" w:rsidRPr="00FC6331" w:rsidRDefault="0031549E" w:rsidP="00A20D1E">
            <w:pPr>
              <w:jc w:val="right"/>
              <w:rPr>
                <w:color w:val="CCC0D9"/>
                <w:sz w:val="20"/>
                <w:szCs w:val="20"/>
              </w:rPr>
            </w:pPr>
          </w:p>
        </w:tc>
        <w:tc>
          <w:tcPr>
            <w:tcW w:w="7110" w:type="dxa"/>
            <w:shd w:val="clear" w:color="auto" w:fill="FFFFFF"/>
          </w:tcPr>
          <w:p w14:paraId="3EF542CE" w14:textId="77777777" w:rsidR="0031549E" w:rsidRPr="00BC489F" w:rsidRDefault="0031549E" w:rsidP="00A20D1E">
            <w:pPr>
              <w:jc w:val="right"/>
              <w:rPr>
                <w:color w:val="000000"/>
                <w:sz w:val="20"/>
                <w:szCs w:val="20"/>
              </w:rPr>
            </w:pPr>
            <w:r w:rsidRPr="00BC489F">
              <w:rPr>
                <w:color w:val="000000"/>
                <w:sz w:val="20"/>
                <w:szCs w:val="20"/>
              </w:rPr>
              <w:t xml:space="preserve">Measurable Skills Gain </w:t>
            </w:r>
          </w:p>
        </w:tc>
        <w:tc>
          <w:tcPr>
            <w:tcW w:w="1983" w:type="dxa"/>
            <w:shd w:val="clear" w:color="auto" w:fill="FFFFFF"/>
          </w:tcPr>
          <w:p w14:paraId="6210ACD4" w14:textId="77777777" w:rsidR="0031549E" w:rsidRPr="00BC489F" w:rsidRDefault="0031549E" w:rsidP="00A20D1E">
            <w:pPr>
              <w:jc w:val="center"/>
              <w:rPr>
                <w:color w:val="000000"/>
                <w:sz w:val="20"/>
                <w:szCs w:val="20"/>
              </w:rPr>
            </w:pPr>
            <w:r w:rsidRPr="00BC489F">
              <w:rPr>
                <w:color w:val="000000"/>
                <w:sz w:val="20"/>
                <w:szCs w:val="20"/>
              </w:rPr>
              <w:t>Baseline</w:t>
            </w:r>
          </w:p>
        </w:tc>
      </w:tr>
      <w:tr w:rsidR="0031549E" w:rsidRPr="00BC489F" w14:paraId="39760877" w14:textId="77777777" w:rsidTr="0031549E">
        <w:trPr>
          <w:jc w:val="center"/>
        </w:trPr>
        <w:tc>
          <w:tcPr>
            <w:tcW w:w="709" w:type="dxa"/>
            <w:shd w:val="clear" w:color="auto" w:fill="E5DFEC"/>
          </w:tcPr>
          <w:p w14:paraId="3F794C3C" w14:textId="77777777" w:rsidR="0031549E" w:rsidRPr="00FC6331" w:rsidRDefault="0031549E" w:rsidP="00A20D1E">
            <w:pPr>
              <w:jc w:val="right"/>
              <w:rPr>
                <w:color w:val="CCC0D9"/>
                <w:sz w:val="20"/>
                <w:szCs w:val="20"/>
              </w:rPr>
            </w:pPr>
          </w:p>
        </w:tc>
        <w:tc>
          <w:tcPr>
            <w:tcW w:w="7110" w:type="dxa"/>
            <w:shd w:val="clear" w:color="auto" w:fill="FFFFFF"/>
          </w:tcPr>
          <w:p w14:paraId="2B6E712A" w14:textId="77777777" w:rsidR="0031549E" w:rsidRPr="00BC489F" w:rsidRDefault="0031549E" w:rsidP="00A20D1E">
            <w:pPr>
              <w:jc w:val="right"/>
              <w:rPr>
                <w:color w:val="000000"/>
                <w:sz w:val="20"/>
                <w:szCs w:val="20"/>
              </w:rPr>
            </w:pPr>
            <w:r w:rsidRPr="00BC489F">
              <w:rPr>
                <w:color w:val="000000"/>
                <w:sz w:val="20"/>
                <w:szCs w:val="20"/>
              </w:rPr>
              <w:t>Effectiveness in Serving Employers</w:t>
            </w:r>
          </w:p>
        </w:tc>
        <w:tc>
          <w:tcPr>
            <w:tcW w:w="1983" w:type="dxa"/>
            <w:shd w:val="clear" w:color="auto" w:fill="FFFFFF"/>
          </w:tcPr>
          <w:p w14:paraId="46F82A28" w14:textId="77777777" w:rsidR="0031549E" w:rsidRPr="00BC489F" w:rsidRDefault="0031549E" w:rsidP="00A20D1E">
            <w:pPr>
              <w:jc w:val="center"/>
              <w:rPr>
                <w:color w:val="000000"/>
                <w:sz w:val="20"/>
                <w:szCs w:val="20"/>
              </w:rPr>
            </w:pPr>
            <w:r w:rsidRPr="00BC489F">
              <w:rPr>
                <w:color w:val="000000"/>
                <w:sz w:val="20"/>
                <w:szCs w:val="20"/>
              </w:rPr>
              <w:t>Baseline</w:t>
            </w:r>
          </w:p>
        </w:tc>
      </w:tr>
    </w:tbl>
    <w:p w14:paraId="4D79365B" w14:textId="77777777" w:rsidR="007339D6" w:rsidRPr="004A0C12" w:rsidRDefault="007339D6" w:rsidP="007339D6">
      <w:pPr>
        <w:spacing w:after="100" w:line="240" w:lineRule="auto"/>
        <w:rPr>
          <w:rFonts w:ascii="Garamond" w:eastAsia="Times New Roman" w:hAnsi="Garamond" w:cs="Times New Roman"/>
        </w:rPr>
      </w:pPr>
    </w:p>
    <w:p w14:paraId="01389E8C" w14:textId="77777777" w:rsidR="007339D6" w:rsidRPr="004A0C12" w:rsidRDefault="007339D6" w:rsidP="001E27E7">
      <w:pPr>
        <w:rPr>
          <w:rFonts w:ascii="Garamond" w:hAnsi="Garamond" w:cs="Times New Roman"/>
          <w:b/>
          <w:i/>
        </w:rPr>
      </w:pPr>
    </w:p>
    <w:p w14:paraId="7D9E284C" w14:textId="77777777" w:rsidR="001E27E7" w:rsidRPr="004A0C12" w:rsidRDefault="001E27E7" w:rsidP="001E27E7">
      <w:pPr>
        <w:rPr>
          <w:rFonts w:ascii="Garamond" w:hAnsi="Garamond" w:cs="Times New Roman"/>
          <w:b/>
        </w:rPr>
      </w:pPr>
    </w:p>
    <w:p w14:paraId="13B348D3" w14:textId="77777777" w:rsidR="001E27E7" w:rsidRPr="004A0C12" w:rsidRDefault="001E27E7" w:rsidP="001E27E7">
      <w:pPr>
        <w:pStyle w:val="FreeForm"/>
        <w:rPr>
          <w:rFonts w:ascii="Garamond" w:hAnsi="Garamond"/>
          <w:b/>
          <w:sz w:val="22"/>
          <w:szCs w:val="22"/>
        </w:rPr>
      </w:pPr>
    </w:p>
    <w:p w14:paraId="5FFD7C4D" w14:textId="77777777" w:rsidR="001E27E7" w:rsidRPr="004A0C12" w:rsidRDefault="001E27E7" w:rsidP="001E27E7">
      <w:pPr>
        <w:pStyle w:val="PlainText1"/>
        <w:ind w:left="180"/>
        <w:rPr>
          <w:rFonts w:ascii="Garamond" w:hAnsi="Garamond"/>
          <w:sz w:val="22"/>
          <w:szCs w:val="22"/>
        </w:rPr>
      </w:pPr>
    </w:p>
    <w:p w14:paraId="1A9671EA" w14:textId="77777777" w:rsidR="001E27E7" w:rsidRPr="004A0C12" w:rsidRDefault="001E27E7" w:rsidP="001E27E7">
      <w:pPr>
        <w:pStyle w:val="PlainText1"/>
        <w:ind w:left="180"/>
        <w:rPr>
          <w:rFonts w:ascii="Garamond" w:hAnsi="Garamond"/>
          <w:sz w:val="22"/>
          <w:szCs w:val="22"/>
        </w:rPr>
      </w:pPr>
    </w:p>
    <w:p w14:paraId="45128F9B" w14:textId="77777777" w:rsidR="004F590C" w:rsidRDefault="004F590C" w:rsidP="002579C0">
      <w:pPr>
        <w:pStyle w:val="Heading1"/>
        <w:rPr>
          <w:rFonts w:ascii="Garamond" w:hAnsi="Garamond"/>
          <w:sz w:val="22"/>
          <w:szCs w:val="22"/>
        </w:rPr>
      </w:pPr>
      <w:bookmarkStart w:id="273" w:name="_Toc447276290"/>
    </w:p>
    <w:p w14:paraId="0F563710" w14:textId="77777777" w:rsidR="0031549E" w:rsidRPr="0031549E" w:rsidRDefault="0031549E" w:rsidP="0031549E"/>
    <w:p w14:paraId="741C184E" w14:textId="77777777" w:rsidR="004F590C" w:rsidRPr="004F590C" w:rsidRDefault="004F590C" w:rsidP="004F590C"/>
    <w:p w14:paraId="77B9D5D7" w14:textId="77777777" w:rsidR="00AB5AEF" w:rsidRPr="004F590C" w:rsidRDefault="002579C0" w:rsidP="002579C0">
      <w:pPr>
        <w:pStyle w:val="Heading1"/>
        <w:rPr>
          <w:rFonts w:ascii="Garamond" w:hAnsi="Garamond"/>
          <w:sz w:val="24"/>
          <w:szCs w:val="22"/>
        </w:rPr>
      </w:pPr>
      <w:r w:rsidRPr="004F590C">
        <w:rPr>
          <w:rFonts w:ascii="Garamond" w:hAnsi="Garamond"/>
          <w:sz w:val="24"/>
          <w:szCs w:val="22"/>
        </w:rPr>
        <w:lastRenderedPageBreak/>
        <w:t>Appendix B: Organizational Charts</w:t>
      </w:r>
      <w:bookmarkEnd w:id="273"/>
    </w:p>
    <w:p w14:paraId="2F4D89F3" w14:textId="77777777" w:rsidR="00267D75" w:rsidRPr="004A0C12" w:rsidRDefault="00267D75" w:rsidP="00267D75">
      <w:pPr>
        <w:spacing w:after="0" w:line="240" w:lineRule="auto"/>
        <w:ind w:left="-1080" w:right="-1166" w:firstLine="1080"/>
        <w:rPr>
          <w:rFonts w:ascii="Garamond" w:hAnsi="Garamond" w:cs="Times New Roman"/>
          <w:b/>
        </w:rPr>
      </w:pPr>
    </w:p>
    <w:p w14:paraId="4CB1F808" w14:textId="77777777" w:rsidR="00267D75" w:rsidRPr="004A0C12" w:rsidRDefault="00267D75" w:rsidP="00267D75">
      <w:pPr>
        <w:spacing w:after="0" w:line="240" w:lineRule="auto"/>
        <w:ind w:left="-1080" w:right="-1166" w:firstLine="1080"/>
        <w:rPr>
          <w:rFonts w:ascii="Garamond" w:hAnsi="Garamond" w:cs="Times New Roman"/>
          <w:b/>
        </w:rPr>
      </w:pPr>
    </w:p>
    <w:p w14:paraId="6285330E" w14:textId="77777777" w:rsidR="00267D75" w:rsidRPr="004A0C12" w:rsidRDefault="00267D75" w:rsidP="00267D75">
      <w:pPr>
        <w:spacing w:after="0" w:line="240" w:lineRule="auto"/>
        <w:ind w:left="-1080" w:right="-1166" w:firstLine="1080"/>
        <w:jc w:val="center"/>
        <w:rPr>
          <w:rFonts w:ascii="Garamond" w:hAnsi="Garamond" w:cs="Times New Roman"/>
          <w:b/>
        </w:rPr>
      </w:pPr>
    </w:p>
    <w:p w14:paraId="2B048C5C" w14:textId="77777777" w:rsidR="00267D75" w:rsidRPr="004A0C12" w:rsidRDefault="00267D75" w:rsidP="00267D75">
      <w:pPr>
        <w:spacing w:after="0" w:line="240" w:lineRule="auto"/>
        <w:ind w:left="-1080" w:right="-1166" w:firstLine="1080"/>
        <w:jc w:val="center"/>
        <w:rPr>
          <w:rFonts w:ascii="Garamond" w:hAnsi="Garamond" w:cs="Times New Roman"/>
          <w:b/>
        </w:rPr>
      </w:pPr>
      <w:r w:rsidRPr="004A0C12">
        <w:rPr>
          <w:rFonts w:ascii="Garamond" w:hAnsi="Garamond" w:cs="Times New Roman"/>
          <w:b/>
        </w:rPr>
        <w:t>Department of Labor, Licensing and Regulation</w:t>
      </w:r>
    </w:p>
    <w:p w14:paraId="68896AF4" w14:textId="77777777" w:rsidR="00267D75" w:rsidRPr="004A0C12" w:rsidRDefault="00267D75" w:rsidP="00267D75">
      <w:pPr>
        <w:spacing w:after="0" w:line="240" w:lineRule="auto"/>
        <w:ind w:left="-1080" w:right="-1166" w:firstLine="1080"/>
        <w:jc w:val="center"/>
        <w:rPr>
          <w:rFonts w:ascii="Garamond" w:hAnsi="Garamond" w:cs="Times New Roman"/>
          <w:b/>
        </w:rPr>
      </w:pPr>
      <w:r w:rsidRPr="004A0C12">
        <w:rPr>
          <w:rFonts w:ascii="Garamond" w:hAnsi="Garamond" w:cs="Times New Roman"/>
          <w:b/>
        </w:rPr>
        <w:t>Division of Workforce Development and Adult Learning</w:t>
      </w:r>
    </w:p>
    <w:p w14:paraId="7AD9020E" w14:textId="77777777" w:rsidR="00267D75" w:rsidRPr="004A0C12" w:rsidRDefault="00267D75" w:rsidP="00267D75">
      <w:pPr>
        <w:spacing w:after="0" w:line="240" w:lineRule="auto"/>
        <w:ind w:left="-1080" w:right="-1166" w:firstLine="1080"/>
        <w:jc w:val="center"/>
        <w:rPr>
          <w:rFonts w:ascii="Garamond" w:hAnsi="Garamond" w:cs="Times New Roman"/>
          <w:b/>
        </w:rPr>
      </w:pPr>
    </w:p>
    <w:p w14:paraId="7230D71B" w14:textId="77777777" w:rsidR="00267D75" w:rsidRPr="004A0C12" w:rsidRDefault="00267D75" w:rsidP="00267D75">
      <w:pPr>
        <w:spacing w:after="0" w:line="240" w:lineRule="auto"/>
        <w:ind w:left="-1080" w:right="-1166" w:firstLine="1080"/>
        <w:jc w:val="center"/>
        <w:rPr>
          <w:rFonts w:ascii="Garamond" w:hAnsi="Garamond" w:cs="Times New Roman"/>
          <w:b/>
        </w:rPr>
      </w:pPr>
    </w:p>
    <w:p w14:paraId="56B9291C" w14:textId="77777777" w:rsidR="00267D75" w:rsidRPr="004A0C12" w:rsidRDefault="00267D75" w:rsidP="00267D75">
      <w:pPr>
        <w:spacing w:after="0" w:line="240" w:lineRule="auto"/>
        <w:ind w:left="-1080" w:right="-1166" w:firstLine="1080"/>
        <w:jc w:val="center"/>
        <w:rPr>
          <w:rFonts w:ascii="Garamond" w:hAnsi="Garamond" w:cs="Times New Roman"/>
          <w:b/>
        </w:rPr>
      </w:pPr>
    </w:p>
    <w:p w14:paraId="186AEC38" w14:textId="77777777" w:rsidR="00267D75" w:rsidRPr="004A0C12" w:rsidRDefault="00267D75" w:rsidP="00267D75">
      <w:pPr>
        <w:ind w:left="-1080" w:right="-1170" w:firstLine="1080"/>
        <w:rPr>
          <w:rFonts w:ascii="Garamond" w:hAnsi="Garamond"/>
        </w:rPr>
      </w:pPr>
    </w:p>
    <w:p w14:paraId="58F4DA0A" w14:textId="395F79B3" w:rsidR="00267D75" w:rsidRPr="004A0C12" w:rsidRDefault="00F332C3" w:rsidP="00267D75">
      <w:pPr>
        <w:ind w:left="-1080" w:right="-1170" w:firstLine="1080"/>
        <w:rPr>
          <w:rFonts w:ascii="Garamond" w:hAnsi="Garamond"/>
        </w:rPr>
      </w:pPr>
      <w:r w:rsidRPr="004A0C12">
        <w:rPr>
          <w:rFonts w:ascii="Garamond" w:hAnsi="Garamond"/>
          <w:noProof/>
        </w:rPr>
        <w:drawing>
          <wp:inline distT="0" distB="0" distL="0" distR="0" wp14:anchorId="370DA583" wp14:editId="54D98F68">
            <wp:extent cx="6965950" cy="3702050"/>
            <wp:effectExtent l="0" t="0" r="6350" b="0"/>
            <wp:docPr id="10" name="Picture 10" descr="This provides the organizational chart for the Division of Workforce Development and Adult Learning" title="Division of Workforce Development and Adult Learning Organizational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This provides the organizational chart for the Division of Workforce Development and Adult Learning" title="Division of Workforce Development and Adult Learning Organizational Char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965950" cy="3702050"/>
                    </a:xfrm>
                    <a:prstGeom prst="rect">
                      <a:avLst/>
                    </a:prstGeom>
                    <a:noFill/>
                    <a:ln>
                      <a:noFill/>
                    </a:ln>
                  </pic:spPr>
                </pic:pic>
              </a:graphicData>
            </a:graphic>
          </wp:inline>
        </w:drawing>
      </w:r>
    </w:p>
    <w:p w14:paraId="445D863A" w14:textId="77777777" w:rsidR="00267D75" w:rsidRPr="004A0C12" w:rsidRDefault="00267D75" w:rsidP="00267D75">
      <w:pPr>
        <w:ind w:left="-1080" w:right="-1170" w:firstLine="1080"/>
        <w:rPr>
          <w:rFonts w:ascii="Garamond" w:hAnsi="Garamond"/>
        </w:rPr>
      </w:pPr>
    </w:p>
    <w:p w14:paraId="52F33BAE" w14:textId="77777777" w:rsidR="00267D75" w:rsidRPr="004A0C12" w:rsidRDefault="00267D75" w:rsidP="00267D75">
      <w:pPr>
        <w:ind w:left="-1080" w:right="-1170" w:firstLine="1080"/>
        <w:rPr>
          <w:rFonts w:ascii="Garamond" w:hAnsi="Garamond"/>
        </w:rPr>
      </w:pPr>
    </w:p>
    <w:p w14:paraId="58456F88" w14:textId="77777777" w:rsidR="00267D75" w:rsidRPr="004A0C12" w:rsidRDefault="00267D75" w:rsidP="00267D75">
      <w:pPr>
        <w:ind w:left="-1080" w:right="-1170" w:firstLine="1080"/>
        <w:rPr>
          <w:rFonts w:ascii="Garamond" w:hAnsi="Garamond"/>
        </w:rPr>
      </w:pPr>
    </w:p>
    <w:p w14:paraId="7AD48EC4" w14:textId="77777777" w:rsidR="00267D75" w:rsidRPr="004A0C12" w:rsidRDefault="00267D75" w:rsidP="00267D75">
      <w:pPr>
        <w:ind w:left="-1080" w:right="-1170" w:firstLine="1080"/>
        <w:rPr>
          <w:rFonts w:ascii="Garamond" w:hAnsi="Garamond"/>
        </w:rPr>
      </w:pPr>
    </w:p>
    <w:p w14:paraId="4775F7A7" w14:textId="77777777" w:rsidR="00267D75" w:rsidRPr="004A0C12" w:rsidRDefault="00267D75" w:rsidP="00267D75">
      <w:pPr>
        <w:ind w:left="-1080" w:right="-1170" w:firstLine="1080"/>
        <w:rPr>
          <w:rFonts w:ascii="Garamond" w:hAnsi="Garamond"/>
        </w:rPr>
      </w:pPr>
    </w:p>
    <w:p w14:paraId="13AAA4A7" w14:textId="77777777" w:rsidR="00267D75" w:rsidRPr="004A0C12" w:rsidRDefault="00267D75" w:rsidP="00267D75">
      <w:pPr>
        <w:ind w:left="-1080" w:right="-1170" w:firstLine="1080"/>
        <w:rPr>
          <w:rFonts w:ascii="Garamond" w:hAnsi="Garamond"/>
        </w:rPr>
      </w:pPr>
    </w:p>
    <w:p w14:paraId="147B4C20" w14:textId="77777777" w:rsidR="00267D75" w:rsidRPr="004A0C12" w:rsidRDefault="00267D75" w:rsidP="00267D75">
      <w:pPr>
        <w:ind w:left="-1080" w:right="-1170" w:firstLine="1080"/>
        <w:rPr>
          <w:rFonts w:ascii="Garamond" w:hAnsi="Garamond"/>
        </w:rPr>
      </w:pPr>
    </w:p>
    <w:p w14:paraId="5D1534D9" w14:textId="77777777" w:rsidR="00267D75" w:rsidRPr="004A0C12" w:rsidRDefault="00267D75" w:rsidP="004956D1">
      <w:pPr>
        <w:ind w:right="-1170"/>
        <w:rPr>
          <w:rFonts w:ascii="Garamond" w:hAnsi="Garamond"/>
        </w:rPr>
      </w:pPr>
    </w:p>
    <w:p w14:paraId="119946F2" w14:textId="77777777" w:rsidR="00267D75" w:rsidRPr="004A0C12" w:rsidRDefault="00267D75" w:rsidP="00267D75">
      <w:pPr>
        <w:ind w:left="-1080" w:right="-1170" w:firstLine="1080"/>
        <w:rPr>
          <w:rFonts w:ascii="Garamond" w:hAnsi="Garamond"/>
        </w:rPr>
      </w:pPr>
    </w:p>
    <w:p w14:paraId="40436AC9" w14:textId="77777777" w:rsidR="00267D75" w:rsidRPr="004A0C12" w:rsidRDefault="00267D75" w:rsidP="00267D75">
      <w:pPr>
        <w:spacing w:after="0" w:line="240" w:lineRule="auto"/>
        <w:ind w:left="-1080" w:right="-1166" w:firstLine="1080"/>
        <w:jc w:val="center"/>
        <w:rPr>
          <w:rFonts w:ascii="Garamond" w:hAnsi="Garamond" w:cs="Times New Roman"/>
          <w:b/>
        </w:rPr>
      </w:pPr>
      <w:r w:rsidRPr="004A0C12">
        <w:rPr>
          <w:rFonts w:ascii="Garamond" w:hAnsi="Garamond" w:cs="Times New Roman"/>
          <w:b/>
        </w:rPr>
        <w:t>Department of Human Resources</w:t>
      </w:r>
    </w:p>
    <w:p w14:paraId="756475B0" w14:textId="77777777" w:rsidR="00267D75" w:rsidRPr="004A0C12" w:rsidRDefault="00267D75" w:rsidP="00267D75">
      <w:pPr>
        <w:spacing w:after="0" w:line="240" w:lineRule="auto"/>
        <w:ind w:left="-1080" w:right="-1166" w:firstLine="1080"/>
        <w:jc w:val="center"/>
        <w:rPr>
          <w:rFonts w:ascii="Garamond" w:hAnsi="Garamond" w:cs="Times New Roman"/>
          <w:b/>
        </w:rPr>
      </w:pPr>
      <w:r w:rsidRPr="004A0C12">
        <w:rPr>
          <w:rFonts w:ascii="Garamond" w:hAnsi="Garamond" w:cs="Times New Roman"/>
          <w:b/>
        </w:rPr>
        <w:t>Family Investment Administration</w:t>
      </w:r>
    </w:p>
    <w:p w14:paraId="2A03C485" w14:textId="77777777" w:rsidR="00267D75" w:rsidRPr="004A0C12" w:rsidRDefault="00267D75" w:rsidP="00267D75">
      <w:pPr>
        <w:ind w:left="-1080" w:right="-1170" w:firstLine="1080"/>
        <w:rPr>
          <w:rFonts w:ascii="Garamond" w:hAnsi="Garamond"/>
        </w:rPr>
      </w:pPr>
    </w:p>
    <w:p w14:paraId="6D96E53A" w14:textId="77777777" w:rsidR="00267D75" w:rsidRPr="004A0C12" w:rsidRDefault="00267D75" w:rsidP="00267D75">
      <w:pPr>
        <w:ind w:left="-1080" w:right="-1170" w:firstLine="1080"/>
        <w:rPr>
          <w:rFonts w:ascii="Garamond" w:hAnsi="Garamond"/>
        </w:rPr>
      </w:pPr>
    </w:p>
    <w:p w14:paraId="50E4C3C7" w14:textId="77777777" w:rsidR="00267D75" w:rsidRPr="004A0C12" w:rsidRDefault="00267D75" w:rsidP="00267D75">
      <w:pPr>
        <w:ind w:left="-1080" w:right="-1170" w:firstLine="1080"/>
        <w:rPr>
          <w:rFonts w:ascii="Garamond" w:hAnsi="Garamond"/>
        </w:rPr>
      </w:pPr>
      <w:r w:rsidRPr="004A0C12">
        <w:rPr>
          <w:rFonts w:ascii="Garamond" w:hAnsi="Garamond"/>
          <w:noProof/>
        </w:rPr>
        <w:drawing>
          <wp:inline distT="0" distB="0" distL="0" distR="0" wp14:anchorId="1F327B8C" wp14:editId="64E6792F">
            <wp:extent cx="7105650" cy="5553075"/>
            <wp:effectExtent l="0" t="57150" r="0" b="104775"/>
            <wp:docPr id="328" name="Diagram 328" descr="This provides the organizational chart for the Department of Human Resources Family Investment Administration" title="Department of Human Resources Family Investment Administration Organizational Char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73377DBC" w14:textId="77777777" w:rsidR="00267D75" w:rsidRPr="004A0C12" w:rsidRDefault="00267D75" w:rsidP="00267D75">
      <w:pPr>
        <w:ind w:left="-1080" w:right="-1170" w:firstLine="1080"/>
        <w:rPr>
          <w:rFonts w:ascii="Garamond" w:hAnsi="Garamond"/>
        </w:rPr>
      </w:pPr>
    </w:p>
    <w:p w14:paraId="36392D55" w14:textId="77777777" w:rsidR="004956D1" w:rsidRPr="004A0C12" w:rsidRDefault="004956D1" w:rsidP="00267D75">
      <w:pPr>
        <w:ind w:left="-1080" w:right="-1170" w:firstLine="1080"/>
        <w:rPr>
          <w:rFonts w:ascii="Garamond" w:hAnsi="Garamond"/>
        </w:rPr>
      </w:pPr>
    </w:p>
    <w:p w14:paraId="4A8CF530" w14:textId="77777777" w:rsidR="004956D1" w:rsidRPr="004A0C12" w:rsidRDefault="004956D1" w:rsidP="00267D75">
      <w:pPr>
        <w:ind w:left="-1080" w:right="-1170" w:firstLine="1080"/>
        <w:rPr>
          <w:rFonts w:ascii="Garamond" w:hAnsi="Garamond"/>
        </w:rPr>
      </w:pPr>
    </w:p>
    <w:p w14:paraId="32DF8A56" w14:textId="77777777" w:rsidR="00267D75" w:rsidRPr="004A0C12" w:rsidRDefault="00267D75" w:rsidP="00267D75">
      <w:pPr>
        <w:ind w:left="-1080" w:right="-1170" w:firstLine="1080"/>
        <w:rPr>
          <w:rFonts w:ascii="Garamond" w:hAnsi="Garamond"/>
        </w:rPr>
      </w:pPr>
    </w:p>
    <w:p w14:paraId="44CAD497" w14:textId="77777777" w:rsidR="00267D75" w:rsidRPr="004A0C12" w:rsidRDefault="00267D75" w:rsidP="00267D75">
      <w:pPr>
        <w:spacing w:after="0" w:line="240" w:lineRule="auto"/>
        <w:ind w:left="-1080" w:right="-1166" w:firstLine="1080"/>
        <w:jc w:val="center"/>
        <w:rPr>
          <w:rFonts w:ascii="Garamond" w:hAnsi="Garamond" w:cs="Times New Roman"/>
          <w:b/>
        </w:rPr>
      </w:pPr>
      <w:r w:rsidRPr="004A0C12">
        <w:rPr>
          <w:rFonts w:ascii="Garamond" w:hAnsi="Garamond" w:cs="Times New Roman"/>
          <w:b/>
        </w:rPr>
        <w:lastRenderedPageBreak/>
        <w:t>Department of Human Resources</w:t>
      </w:r>
    </w:p>
    <w:p w14:paraId="344A8C68" w14:textId="77777777" w:rsidR="00267D75" w:rsidRPr="004A0C12" w:rsidRDefault="00267D75" w:rsidP="00267D75">
      <w:pPr>
        <w:spacing w:after="0" w:line="240" w:lineRule="auto"/>
        <w:ind w:left="-1080" w:right="-1166" w:firstLine="1080"/>
        <w:jc w:val="center"/>
        <w:rPr>
          <w:rFonts w:ascii="Garamond" w:hAnsi="Garamond" w:cs="Times New Roman"/>
          <w:b/>
        </w:rPr>
      </w:pPr>
      <w:r w:rsidRPr="004A0C12">
        <w:rPr>
          <w:rFonts w:ascii="Garamond" w:hAnsi="Garamond" w:cs="Times New Roman"/>
          <w:b/>
        </w:rPr>
        <w:t>Family Investment Administration (FIA)</w:t>
      </w:r>
    </w:p>
    <w:p w14:paraId="2AF94CAC" w14:textId="77777777" w:rsidR="00267D75" w:rsidRPr="004A0C12" w:rsidRDefault="00267D75" w:rsidP="00267D75">
      <w:pPr>
        <w:spacing w:after="0" w:line="240" w:lineRule="auto"/>
        <w:ind w:left="-1080" w:right="-1166" w:firstLine="1080"/>
        <w:jc w:val="center"/>
        <w:rPr>
          <w:rFonts w:ascii="Garamond" w:hAnsi="Garamond" w:cs="Times New Roman"/>
          <w:b/>
        </w:rPr>
      </w:pPr>
      <w:r w:rsidRPr="004A0C12">
        <w:rPr>
          <w:rFonts w:ascii="Garamond" w:hAnsi="Garamond" w:cs="Times New Roman"/>
          <w:b/>
        </w:rPr>
        <w:t>Office of Workforce Development</w:t>
      </w:r>
    </w:p>
    <w:p w14:paraId="38FF22A0" w14:textId="77777777" w:rsidR="00267D75" w:rsidRPr="004A0C12" w:rsidRDefault="00267D75" w:rsidP="00267D75">
      <w:pPr>
        <w:ind w:left="-1080" w:right="-1170" w:firstLine="1080"/>
        <w:jc w:val="center"/>
        <w:rPr>
          <w:rFonts w:ascii="Garamond" w:hAnsi="Garamond"/>
        </w:rPr>
      </w:pPr>
    </w:p>
    <w:p w14:paraId="2EE01A2F" w14:textId="77777777" w:rsidR="00267D75" w:rsidRPr="004A0C12" w:rsidRDefault="00267D75" w:rsidP="00267D75">
      <w:pPr>
        <w:ind w:left="-1080" w:right="-1170" w:firstLine="1080"/>
        <w:rPr>
          <w:rFonts w:ascii="Garamond" w:hAnsi="Garamond"/>
        </w:rPr>
      </w:pPr>
    </w:p>
    <w:p w14:paraId="6659508B" w14:textId="77777777" w:rsidR="00267D75" w:rsidRPr="004A0C12" w:rsidRDefault="00943AA8" w:rsidP="00267D75">
      <w:pPr>
        <w:ind w:left="-1080" w:right="-1170" w:firstLine="1080"/>
        <w:rPr>
          <w:rFonts w:ascii="Garamond" w:hAnsi="Garamond"/>
        </w:rPr>
      </w:pPr>
      <w:r>
        <w:rPr>
          <w:rFonts w:ascii="Garamond" w:hAnsi="Garamond"/>
          <w:noProof/>
        </w:rPr>
        <w:pict w14:anchorId="039204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 o:spid="_x0000_s1032" type="#_x0000_t75" alt="This provides the organizational chart for the Department of Human Resources Family Investment Administration's Office of Workforce Development. " style="position:absolute;left:0;text-align:left;margin-left:9.3pt;margin-top:5.05pt;width:562.4pt;height:160.5pt;z-index:251697152;visibility:visible">
            <v:imagedata r:id="rId114" o:title=""/>
          </v:shape>
        </w:pict>
      </w:r>
    </w:p>
    <w:p w14:paraId="0B73CBAD" w14:textId="77777777" w:rsidR="00267D75" w:rsidRPr="004A0C12" w:rsidRDefault="00267D75" w:rsidP="00267D75">
      <w:pPr>
        <w:ind w:left="-1080" w:right="-1170" w:firstLine="1080"/>
        <w:rPr>
          <w:rFonts w:ascii="Garamond" w:hAnsi="Garamond"/>
        </w:rPr>
      </w:pPr>
    </w:p>
    <w:p w14:paraId="745963E4" w14:textId="77777777" w:rsidR="00267D75" w:rsidRPr="004A0C12" w:rsidRDefault="00267D75" w:rsidP="00267D75">
      <w:pPr>
        <w:ind w:left="-1080" w:right="-1170" w:firstLine="1080"/>
        <w:rPr>
          <w:rFonts w:ascii="Garamond" w:hAnsi="Garamond"/>
        </w:rPr>
      </w:pPr>
    </w:p>
    <w:p w14:paraId="245A1CF0" w14:textId="77777777" w:rsidR="00267D75" w:rsidRPr="004A0C12" w:rsidRDefault="00267D75" w:rsidP="00267D75">
      <w:pPr>
        <w:ind w:left="-1080" w:right="-1170" w:firstLine="1080"/>
        <w:rPr>
          <w:rFonts w:ascii="Garamond" w:hAnsi="Garamond"/>
          <w:noProof/>
        </w:rPr>
      </w:pPr>
    </w:p>
    <w:p w14:paraId="3014E773" w14:textId="77777777" w:rsidR="00267D75" w:rsidRPr="004A0C12" w:rsidRDefault="00267D75" w:rsidP="00267D75">
      <w:pPr>
        <w:ind w:left="-1080" w:right="-1170" w:firstLine="1080"/>
        <w:rPr>
          <w:rFonts w:ascii="Garamond" w:hAnsi="Garamond"/>
          <w:noProof/>
        </w:rPr>
      </w:pPr>
    </w:p>
    <w:p w14:paraId="2CFFEC76" w14:textId="77777777" w:rsidR="00267D75" w:rsidRPr="004A0C12" w:rsidRDefault="00267D75" w:rsidP="00267D75">
      <w:pPr>
        <w:ind w:left="-1080" w:right="-1170" w:firstLine="1080"/>
        <w:rPr>
          <w:rFonts w:ascii="Garamond" w:hAnsi="Garamond"/>
          <w:noProof/>
        </w:rPr>
      </w:pPr>
    </w:p>
    <w:p w14:paraId="711F41DB" w14:textId="77777777" w:rsidR="00267D75" w:rsidRPr="004A0C12" w:rsidRDefault="00267D75" w:rsidP="00267D75">
      <w:pPr>
        <w:ind w:left="-1080" w:right="-1170" w:firstLine="1080"/>
        <w:rPr>
          <w:rFonts w:ascii="Garamond" w:hAnsi="Garamond"/>
          <w:noProof/>
        </w:rPr>
      </w:pPr>
    </w:p>
    <w:p w14:paraId="572E6A57" w14:textId="77777777" w:rsidR="00267D75" w:rsidRPr="004A0C12" w:rsidRDefault="00267D75" w:rsidP="00267D75">
      <w:pPr>
        <w:ind w:left="-1080" w:right="-1170" w:firstLine="1080"/>
        <w:jc w:val="center"/>
        <w:rPr>
          <w:rFonts w:ascii="Garamond" w:hAnsi="Garamond"/>
          <w:noProof/>
        </w:rPr>
      </w:pPr>
    </w:p>
    <w:p w14:paraId="2AB26825" w14:textId="77777777" w:rsidR="00267D75" w:rsidRPr="004A0C12" w:rsidRDefault="00267D75" w:rsidP="00267D75">
      <w:pPr>
        <w:ind w:left="-1080" w:right="-1170" w:firstLine="1080"/>
        <w:jc w:val="center"/>
        <w:rPr>
          <w:rFonts w:ascii="Garamond" w:hAnsi="Garamond" w:cs="Times New Roman"/>
          <w:b/>
          <w:noProof/>
        </w:rPr>
      </w:pPr>
      <w:r w:rsidRPr="004A0C12">
        <w:rPr>
          <w:rFonts w:ascii="Garamond" w:hAnsi="Garamond" w:cs="Times New Roman"/>
          <w:b/>
          <w:noProof/>
        </w:rPr>
        <w:t>FIA – Large Local DSS Agency</w:t>
      </w:r>
    </w:p>
    <w:p w14:paraId="1952136F" w14:textId="77777777" w:rsidR="00267D75" w:rsidRPr="004A0C12" w:rsidRDefault="00267D75" w:rsidP="00267D75">
      <w:pPr>
        <w:ind w:left="-1080" w:right="-1170" w:firstLine="1080"/>
        <w:rPr>
          <w:rFonts w:ascii="Garamond" w:hAnsi="Garamond"/>
        </w:rPr>
      </w:pPr>
      <w:r w:rsidRPr="004A0C12">
        <w:rPr>
          <w:rFonts w:ascii="Garamond" w:hAnsi="Garamond"/>
          <w:noProof/>
        </w:rPr>
        <w:drawing>
          <wp:anchor distT="0" distB="0" distL="114300" distR="114300" simplePos="0" relativeHeight="251696128" behindDoc="1" locked="0" layoutInCell="1" allowOverlap="1" wp14:anchorId="13CD2713" wp14:editId="5343F314">
            <wp:simplePos x="0" y="0"/>
            <wp:positionH relativeFrom="column">
              <wp:posOffset>285115</wp:posOffset>
            </wp:positionH>
            <wp:positionV relativeFrom="paragraph">
              <wp:posOffset>-161925</wp:posOffset>
            </wp:positionV>
            <wp:extent cx="6677025" cy="5248275"/>
            <wp:effectExtent l="0" t="0" r="9525" b="0"/>
            <wp:wrapTight wrapText="bothSides">
              <wp:wrapPolygon edited="0">
                <wp:start x="10107" y="3371"/>
                <wp:lineTo x="10107" y="5331"/>
                <wp:lineTo x="10908" y="6037"/>
                <wp:lineTo x="10230" y="6037"/>
                <wp:lineTo x="10107" y="6115"/>
                <wp:lineTo x="10107" y="7840"/>
                <wp:lineTo x="10908" y="8546"/>
                <wp:lineTo x="10230" y="8546"/>
                <wp:lineTo x="10107" y="8624"/>
                <wp:lineTo x="10107" y="9800"/>
                <wp:lineTo x="3020" y="10741"/>
                <wp:lineTo x="3020" y="11055"/>
                <wp:lineTo x="1726" y="11133"/>
                <wp:lineTo x="1602" y="11212"/>
                <wp:lineTo x="1602" y="12936"/>
                <wp:lineTo x="2280" y="13564"/>
                <wp:lineTo x="1726" y="13642"/>
                <wp:lineTo x="1602" y="13721"/>
                <wp:lineTo x="1602" y="14818"/>
                <wp:lineTo x="1294" y="16073"/>
                <wp:lineTo x="0" y="16229"/>
                <wp:lineTo x="0" y="18189"/>
                <wp:lineTo x="6348" y="18189"/>
                <wp:lineTo x="6471" y="16465"/>
                <wp:lineTo x="6224" y="16229"/>
                <wp:lineTo x="4992" y="16073"/>
                <wp:lineTo x="4684" y="14818"/>
                <wp:lineTo x="4807" y="13799"/>
                <wp:lineTo x="4560" y="13642"/>
                <wp:lineTo x="3266" y="13564"/>
                <wp:lineTo x="21569" y="13015"/>
                <wp:lineTo x="21569" y="11133"/>
                <wp:lineTo x="20460" y="10820"/>
                <wp:lineTo x="18673" y="10506"/>
                <wp:lineTo x="13188" y="9800"/>
                <wp:lineTo x="13311" y="8781"/>
                <wp:lineTo x="13065" y="8546"/>
                <wp:lineTo x="12387" y="8546"/>
                <wp:lineTo x="13250" y="7762"/>
                <wp:lineTo x="13311" y="6272"/>
                <wp:lineTo x="13065" y="6037"/>
                <wp:lineTo x="12387" y="6037"/>
                <wp:lineTo x="13250" y="5253"/>
                <wp:lineTo x="13188" y="3371"/>
                <wp:lineTo x="10107" y="3371"/>
              </wp:wrapPolygon>
            </wp:wrapTight>
            <wp:docPr id="329" name="Diagram 329" descr="This provides the organizational chart for the Department of Human Resources Family Investment Administration Large Local Department of Social Services Agency" title="FIA - Large Local DSS Agency"/>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14:sizeRelH relativeFrom="margin">
              <wp14:pctWidth>0</wp14:pctWidth>
            </wp14:sizeRelH>
            <wp14:sizeRelV relativeFrom="margin">
              <wp14:pctHeight>0</wp14:pctHeight>
            </wp14:sizeRelV>
          </wp:anchor>
        </w:drawing>
      </w:r>
    </w:p>
    <w:p w14:paraId="7CC04171" w14:textId="77777777" w:rsidR="00267D75" w:rsidRPr="004A0C12" w:rsidRDefault="00267D75" w:rsidP="00267D75">
      <w:pPr>
        <w:ind w:left="-1080" w:right="-1170" w:firstLine="1080"/>
        <w:rPr>
          <w:rFonts w:ascii="Garamond" w:hAnsi="Garamond"/>
        </w:rPr>
      </w:pPr>
    </w:p>
    <w:p w14:paraId="769B8E20" w14:textId="77777777" w:rsidR="00267D75" w:rsidRPr="004A0C12" w:rsidRDefault="00267D75" w:rsidP="00267D75">
      <w:pPr>
        <w:ind w:left="-1080" w:right="-1170" w:firstLine="1080"/>
        <w:rPr>
          <w:rFonts w:ascii="Garamond" w:hAnsi="Garamond"/>
        </w:rPr>
      </w:pPr>
    </w:p>
    <w:p w14:paraId="48A8480D" w14:textId="77777777" w:rsidR="00267D75" w:rsidRPr="004A0C12" w:rsidRDefault="00267D75" w:rsidP="00267D75">
      <w:pPr>
        <w:ind w:left="-1080" w:right="-1170" w:firstLine="1080"/>
        <w:rPr>
          <w:rFonts w:ascii="Garamond" w:hAnsi="Garamond"/>
        </w:rPr>
      </w:pPr>
    </w:p>
    <w:p w14:paraId="7AE1003F" w14:textId="77777777" w:rsidR="00267D75" w:rsidRPr="004A0C12" w:rsidRDefault="00267D75" w:rsidP="00267D75">
      <w:pPr>
        <w:ind w:left="-1080" w:right="-1170" w:firstLine="1080"/>
        <w:rPr>
          <w:rFonts w:ascii="Garamond" w:hAnsi="Garamond"/>
        </w:rPr>
      </w:pPr>
    </w:p>
    <w:p w14:paraId="24D375D0" w14:textId="77777777" w:rsidR="00267D75" w:rsidRPr="004A0C12" w:rsidRDefault="00267D75" w:rsidP="00267D75">
      <w:pPr>
        <w:ind w:left="-1080" w:right="-1170" w:firstLine="1080"/>
        <w:rPr>
          <w:rFonts w:ascii="Garamond" w:hAnsi="Garamond"/>
        </w:rPr>
      </w:pPr>
    </w:p>
    <w:p w14:paraId="5F5B6907" w14:textId="77777777" w:rsidR="00267D75" w:rsidRPr="004A0C12" w:rsidRDefault="00267D75" w:rsidP="00267D75">
      <w:pPr>
        <w:ind w:left="-1080" w:right="-1170" w:firstLine="1080"/>
        <w:rPr>
          <w:rFonts w:ascii="Garamond" w:hAnsi="Garamond"/>
        </w:rPr>
      </w:pPr>
    </w:p>
    <w:p w14:paraId="50D921C9" w14:textId="77777777" w:rsidR="00267D75" w:rsidRPr="004A0C12" w:rsidRDefault="00267D75" w:rsidP="00267D75">
      <w:pPr>
        <w:ind w:left="-1080" w:right="-1170" w:firstLine="1080"/>
        <w:rPr>
          <w:rFonts w:ascii="Garamond" w:hAnsi="Garamond"/>
        </w:rPr>
      </w:pPr>
    </w:p>
    <w:p w14:paraId="34F1F99B" w14:textId="77777777" w:rsidR="00267D75" w:rsidRPr="004A0C12" w:rsidRDefault="00267D75" w:rsidP="00267D75">
      <w:pPr>
        <w:ind w:left="-1080" w:right="-1170" w:firstLine="1080"/>
        <w:rPr>
          <w:rFonts w:ascii="Garamond" w:hAnsi="Garamond"/>
        </w:rPr>
      </w:pPr>
    </w:p>
    <w:p w14:paraId="42018421" w14:textId="77777777" w:rsidR="00267D75" w:rsidRPr="004A0C12" w:rsidRDefault="00267D75" w:rsidP="00267D75">
      <w:pPr>
        <w:ind w:left="-1080" w:right="-1170" w:firstLine="1080"/>
        <w:rPr>
          <w:rFonts w:ascii="Garamond" w:hAnsi="Garamond"/>
        </w:rPr>
      </w:pPr>
    </w:p>
    <w:p w14:paraId="4F36B124" w14:textId="77777777" w:rsidR="00267D75" w:rsidRPr="004A0C12" w:rsidRDefault="00267D75" w:rsidP="00267D75">
      <w:pPr>
        <w:ind w:left="-1080" w:right="-1170" w:firstLine="1080"/>
        <w:rPr>
          <w:rFonts w:ascii="Garamond" w:hAnsi="Garamond"/>
        </w:rPr>
      </w:pPr>
    </w:p>
    <w:p w14:paraId="0036930A" w14:textId="77777777" w:rsidR="00267D75" w:rsidRPr="004A0C12" w:rsidRDefault="00267D75" w:rsidP="00267D75">
      <w:pPr>
        <w:rPr>
          <w:rFonts w:ascii="Garamond" w:hAnsi="Garamond"/>
        </w:rPr>
      </w:pPr>
    </w:p>
    <w:p w14:paraId="48B39BC2" w14:textId="77777777" w:rsidR="00267D75" w:rsidRPr="004A0C12" w:rsidRDefault="00267D75" w:rsidP="00267D75">
      <w:pPr>
        <w:rPr>
          <w:rFonts w:ascii="Garamond" w:hAnsi="Garamond"/>
        </w:rPr>
      </w:pPr>
    </w:p>
    <w:p w14:paraId="2D6B3300" w14:textId="77777777" w:rsidR="00267D75" w:rsidRPr="004A0C12" w:rsidRDefault="00267D75" w:rsidP="00267D75">
      <w:pPr>
        <w:rPr>
          <w:rFonts w:ascii="Garamond" w:hAnsi="Garamond"/>
          <w:b/>
        </w:rPr>
      </w:pPr>
    </w:p>
    <w:p w14:paraId="049060D8" w14:textId="77777777" w:rsidR="00267D75" w:rsidRPr="004A0C12" w:rsidRDefault="00267D75" w:rsidP="00267D75">
      <w:pPr>
        <w:ind w:left="-1080" w:right="-1170" w:firstLine="1080"/>
        <w:jc w:val="center"/>
        <w:rPr>
          <w:rFonts w:ascii="Garamond" w:hAnsi="Garamond" w:cs="Times New Roman"/>
          <w:b/>
          <w:noProof/>
        </w:rPr>
      </w:pPr>
      <w:r w:rsidRPr="004A0C12">
        <w:rPr>
          <w:rFonts w:ascii="Garamond" w:hAnsi="Garamond" w:cs="Times New Roman"/>
          <w:b/>
          <w:noProof/>
        </w:rPr>
        <w:lastRenderedPageBreak/>
        <w:t>FIA – Medium Local DSS Agency</w:t>
      </w:r>
    </w:p>
    <w:p w14:paraId="31DFE9C7" w14:textId="77777777" w:rsidR="00267D75" w:rsidRPr="004A0C12" w:rsidRDefault="00267D75" w:rsidP="00267D75">
      <w:pPr>
        <w:ind w:left="-1080" w:right="-1170"/>
        <w:rPr>
          <w:rFonts w:ascii="Garamond" w:hAnsi="Garamond"/>
        </w:rPr>
      </w:pPr>
      <w:r w:rsidRPr="004A0C12">
        <w:rPr>
          <w:rFonts w:ascii="Garamond" w:hAnsi="Garamond"/>
        </w:rPr>
        <w:t>AM</w:t>
      </w:r>
      <w:r w:rsidRPr="004A0C12">
        <w:rPr>
          <w:rFonts w:ascii="Garamond" w:hAnsi="Garamond"/>
        </w:rPr>
        <w:tab/>
      </w:r>
      <w:r w:rsidRPr="004A0C12">
        <w:rPr>
          <w:rFonts w:ascii="Garamond" w:hAnsi="Garamond"/>
          <w:noProof/>
        </w:rPr>
        <w:drawing>
          <wp:anchor distT="0" distB="0" distL="114300" distR="114300" simplePos="0" relativeHeight="251695104" behindDoc="1" locked="0" layoutInCell="1" allowOverlap="1" wp14:anchorId="597BF501" wp14:editId="0751E1AE">
            <wp:simplePos x="0" y="0"/>
            <wp:positionH relativeFrom="column">
              <wp:posOffset>47625</wp:posOffset>
            </wp:positionH>
            <wp:positionV relativeFrom="paragraph">
              <wp:posOffset>85725</wp:posOffset>
            </wp:positionV>
            <wp:extent cx="7191375" cy="4410075"/>
            <wp:effectExtent l="0" t="0" r="9525" b="0"/>
            <wp:wrapTight wrapText="bothSides">
              <wp:wrapPolygon edited="0">
                <wp:start x="8812" y="560"/>
                <wp:lineTo x="8812" y="8024"/>
                <wp:lineTo x="9041" y="8211"/>
                <wp:lineTo x="10643" y="8211"/>
                <wp:lineTo x="9041" y="9144"/>
                <wp:lineTo x="8812" y="9424"/>
                <wp:lineTo x="8812" y="12316"/>
                <wp:lineTo x="9269" y="12689"/>
                <wp:lineTo x="0" y="12969"/>
                <wp:lineTo x="0" y="16702"/>
                <wp:lineTo x="1717" y="17168"/>
                <wp:lineTo x="0" y="17728"/>
                <wp:lineTo x="0" y="21087"/>
                <wp:lineTo x="21571" y="21087"/>
                <wp:lineTo x="21571" y="17728"/>
                <wp:lineTo x="19912" y="17168"/>
                <wp:lineTo x="21571" y="16702"/>
                <wp:lineTo x="21571" y="12969"/>
                <wp:lineTo x="12302" y="12689"/>
                <wp:lineTo x="12817" y="12223"/>
                <wp:lineTo x="12874" y="9424"/>
                <wp:lineTo x="10929" y="8211"/>
                <wp:lineTo x="12474" y="8211"/>
                <wp:lineTo x="12874" y="7931"/>
                <wp:lineTo x="12760" y="560"/>
                <wp:lineTo x="8812" y="560"/>
              </wp:wrapPolygon>
            </wp:wrapTight>
            <wp:docPr id="330" name="Diagram 1" descr="This provides the organizational chart for the Department of Human Resources Family Investment Administration" title="FIA-Medium Local DSS Agency"/>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14:sizeRelH relativeFrom="margin">
              <wp14:pctWidth>0</wp14:pctWidth>
            </wp14:sizeRelH>
            <wp14:sizeRelV relativeFrom="margin">
              <wp14:pctHeight>0</wp14:pctHeight>
            </wp14:sizeRelV>
          </wp:anchor>
        </w:drawing>
      </w:r>
    </w:p>
    <w:p w14:paraId="761850AE" w14:textId="77777777" w:rsidR="00267D75" w:rsidRPr="004A0C12" w:rsidRDefault="00267D75" w:rsidP="00267D75">
      <w:pPr>
        <w:tabs>
          <w:tab w:val="left" w:pos="10314"/>
        </w:tabs>
        <w:rPr>
          <w:rFonts w:ascii="Garamond" w:hAnsi="Garamond"/>
        </w:rPr>
      </w:pPr>
    </w:p>
    <w:p w14:paraId="1DDC17CD" w14:textId="77777777" w:rsidR="00267D75" w:rsidRPr="004A0C12" w:rsidRDefault="00267D75" w:rsidP="00267D75">
      <w:pPr>
        <w:tabs>
          <w:tab w:val="left" w:pos="10314"/>
        </w:tabs>
        <w:rPr>
          <w:rFonts w:ascii="Garamond" w:hAnsi="Garamond"/>
        </w:rPr>
      </w:pPr>
    </w:p>
    <w:p w14:paraId="1F89DF3A" w14:textId="77777777" w:rsidR="00267D75" w:rsidRPr="004A0C12" w:rsidRDefault="00267D75" w:rsidP="00267D75">
      <w:pPr>
        <w:tabs>
          <w:tab w:val="left" w:pos="10314"/>
        </w:tabs>
        <w:rPr>
          <w:rFonts w:ascii="Garamond" w:hAnsi="Garamond"/>
        </w:rPr>
      </w:pPr>
    </w:p>
    <w:p w14:paraId="0745800D" w14:textId="77777777" w:rsidR="00267D75" w:rsidRPr="004A0C12" w:rsidRDefault="00267D75" w:rsidP="00267D75">
      <w:pPr>
        <w:tabs>
          <w:tab w:val="left" w:pos="10314"/>
        </w:tabs>
        <w:rPr>
          <w:rFonts w:ascii="Garamond" w:hAnsi="Garamond"/>
        </w:rPr>
      </w:pPr>
    </w:p>
    <w:p w14:paraId="104E2D3F" w14:textId="77777777" w:rsidR="00267D75" w:rsidRPr="004A0C12" w:rsidRDefault="00267D75" w:rsidP="00267D75">
      <w:pPr>
        <w:tabs>
          <w:tab w:val="left" w:pos="10314"/>
        </w:tabs>
        <w:rPr>
          <w:rFonts w:ascii="Garamond" w:hAnsi="Garamond"/>
        </w:rPr>
      </w:pPr>
    </w:p>
    <w:p w14:paraId="222A780B" w14:textId="77777777" w:rsidR="00267D75" w:rsidRPr="004A0C12" w:rsidRDefault="00267D75" w:rsidP="00267D75">
      <w:pPr>
        <w:tabs>
          <w:tab w:val="left" w:pos="10314"/>
        </w:tabs>
        <w:rPr>
          <w:rFonts w:ascii="Garamond" w:hAnsi="Garamond"/>
        </w:rPr>
      </w:pPr>
    </w:p>
    <w:p w14:paraId="524C13A3" w14:textId="77777777" w:rsidR="00267D75" w:rsidRPr="004A0C12" w:rsidRDefault="00267D75" w:rsidP="00267D75">
      <w:pPr>
        <w:tabs>
          <w:tab w:val="left" w:pos="10314"/>
        </w:tabs>
        <w:rPr>
          <w:rFonts w:ascii="Garamond" w:hAnsi="Garamond"/>
        </w:rPr>
      </w:pPr>
    </w:p>
    <w:p w14:paraId="4B9A45A8" w14:textId="77777777" w:rsidR="00267D75" w:rsidRPr="004A0C12" w:rsidRDefault="00267D75" w:rsidP="00267D75">
      <w:pPr>
        <w:tabs>
          <w:tab w:val="left" w:pos="10314"/>
        </w:tabs>
        <w:rPr>
          <w:rFonts w:ascii="Garamond" w:hAnsi="Garamond"/>
        </w:rPr>
      </w:pPr>
    </w:p>
    <w:p w14:paraId="786F1804" w14:textId="77777777" w:rsidR="00267D75" w:rsidRPr="004A0C12" w:rsidRDefault="00267D75" w:rsidP="00267D75">
      <w:pPr>
        <w:tabs>
          <w:tab w:val="left" w:pos="10314"/>
        </w:tabs>
        <w:rPr>
          <w:rFonts w:ascii="Garamond" w:hAnsi="Garamond"/>
        </w:rPr>
      </w:pPr>
    </w:p>
    <w:p w14:paraId="58F9576C" w14:textId="77777777" w:rsidR="00267D75" w:rsidRPr="004A0C12" w:rsidRDefault="00267D75" w:rsidP="00267D75">
      <w:pPr>
        <w:tabs>
          <w:tab w:val="left" w:pos="10314"/>
        </w:tabs>
        <w:rPr>
          <w:rFonts w:ascii="Garamond" w:hAnsi="Garamond"/>
        </w:rPr>
      </w:pPr>
    </w:p>
    <w:p w14:paraId="709BC1BE" w14:textId="77777777" w:rsidR="00267D75" w:rsidRPr="004A0C12" w:rsidRDefault="00267D75" w:rsidP="00267D75">
      <w:pPr>
        <w:tabs>
          <w:tab w:val="left" w:pos="10314"/>
        </w:tabs>
        <w:rPr>
          <w:rFonts w:ascii="Garamond" w:hAnsi="Garamond"/>
        </w:rPr>
      </w:pPr>
    </w:p>
    <w:p w14:paraId="22648B5D" w14:textId="77777777" w:rsidR="00267D75" w:rsidRPr="004A0C12" w:rsidRDefault="00267D75" w:rsidP="00267D75">
      <w:pPr>
        <w:tabs>
          <w:tab w:val="left" w:pos="10314"/>
        </w:tabs>
        <w:rPr>
          <w:rFonts w:ascii="Garamond" w:hAnsi="Garamond"/>
        </w:rPr>
      </w:pPr>
    </w:p>
    <w:p w14:paraId="064333A6" w14:textId="77777777" w:rsidR="00267D75" w:rsidRPr="004A0C12" w:rsidRDefault="00267D75" w:rsidP="00267D75">
      <w:pPr>
        <w:tabs>
          <w:tab w:val="left" w:pos="10314"/>
        </w:tabs>
        <w:rPr>
          <w:rFonts w:ascii="Garamond" w:hAnsi="Garamond"/>
        </w:rPr>
      </w:pPr>
    </w:p>
    <w:p w14:paraId="5B211802" w14:textId="77777777" w:rsidR="00267D75" w:rsidRPr="004A0C12" w:rsidRDefault="00267D75" w:rsidP="00267D75">
      <w:pPr>
        <w:tabs>
          <w:tab w:val="left" w:pos="10314"/>
        </w:tabs>
        <w:rPr>
          <w:rFonts w:ascii="Garamond" w:hAnsi="Garamond"/>
        </w:rPr>
      </w:pPr>
    </w:p>
    <w:p w14:paraId="1FA2E11E" w14:textId="77777777" w:rsidR="00267D75" w:rsidRPr="004A0C12" w:rsidRDefault="00267D75" w:rsidP="00267D75">
      <w:pPr>
        <w:tabs>
          <w:tab w:val="left" w:pos="10314"/>
        </w:tabs>
        <w:rPr>
          <w:rFonts w:ascii="Garamond" w:hAnsi="Garamond"/>
        </w:rPr>
      </w:pPr>
    </w:p>
    <w:p w14:paraId="46A2EDF3" w14:textId="77777777" w:rsidR="00267D75" w:rsidRPr="004A0C12" w:rsidRDefault="00267D75" w:rsidP="00267D75">
      <w:pPr>
        <w:tabs>
          <w:tab w:val="left" w:pos="10314"/>
        </w:tabs>
        <w:rPr>
          <w:rFonts w:ascii="Garamond" w:hAnsi="Garamond"/>
        </w:rPr>
      </w:pPr>
    </w:p>
    <w:p w14:paraId="738F6A00" w14:textId="77777777" w:rsidR="00267D75" w:rsidRPr="004A0C12" w:rsidRDefault="00267D75" w:rsidP="00267D75">
      <w:pPr>
        <w:tabs>
          <w:tab w:val="left" w:pos="10314"/>
        </w:tabs>
        <w:rPr>
          <w:rFonts w:ascii="Garamond" w:hAnsi="Garamond"/>
        </w:rPr>
      </w:pPr>
    </w:p>
    <w:p w14:paraId="5FE28353" w14:textId="77777777" w:rsidR="00267D75" w:rsidRPr="004A0C12" w:rsidRDefault="00267D75" w:rsidP="00267D75">
      <w:pPr>
        <w:ind w:left="-1080" w:right="-1170" w:firstLine="1080"/>
        <w:jc w:val="center"/>
        <w:rPr>
          <w:rFonts w:ascii="Garamond" w:hAnsi="Garamond" w:cs="Times New Roman"/>
          <w:b/>
          <w:noProof/>
        </w:rPr>
      </w:pPr>
      <w:r w:rsidRPr="004A0C12">
        <w:rPr>
          <w:rFonts w:ascii="Garamond" w:hAnsi="Garamond" w:cs="Times New Roman"/>
          <w:b/>
          <w:noProof/>
        </w:rPr>
        <w:t>FIA – Small Local DSS Agency</w:t>
      </w:r>
    </w:p>
    <w:p w14:paraId="0FD4F4C7" w14:textId="77777777" w:rsidR="00267D75" w:rsidRPr="004A0C12" w:rsidRDefault="00267D75" w:rsidP="00267D75">
      <w:pPr>
        <w:ind w:left="-1080" w:right="-1170" w:firstLine="1080"/>
        <w:jc w:val="center"/>
        <w:rPr>
          <w:rFonts w:ascii="Garamond" w:hAnsi="Garamond" w:cs="Times New Roman"/>
          <w:noProof/>
        </w:rPr>
      </w:pPr>
      <w:r w:rsidRPr="004A0C12">
        <w:rPr>
          <w:rFonts w:ascii="Garamond" w:hAnsi="Garamond"/>
          <w:noProof/>
        </w:rPr>
        <w:drawing>
          <wp:anchor distT="0" distB="0" distL="114300" distR="114300" simplePos="0" relativeHeight="251698176" behindDoc="1" locked="0" layoutInCell="1" allowOverlap="1" wp14:anchorId="6F5DC9E9" wp14:editId="287DBD60">
            <wp:simplePos x="0" y="0"/>
            <wp:positionH relativeFrom="column">
              <wp:posOffset>133350</wp:posOffset>
            </wp:positionH>
            <wp:positionV relativeFrom="paragraph">
              <wp:posOffset>214630</wp:posOffset>
            </wp:positionV>
            <wp:extent cx="7029450" cy="4514850"/>
            <wp:effectExtent l="0" t="0" r="0" b="57150"/>
            <wp:wrapTight wrapText="bothSides">
              <wp:wrapPolygon edited="0">
                <wp:start x="8195" y="0"/>
                <wp:lineTo x="8195" y="3919"/>
                <wp:lineTo x="9015" y="4375"/>
                <wp:lineTo x="10654" y="4375"/>
                <wp:lineTo x="8195" y="5559"/>
                <wp:lineTo x="8195" y="9478"/>
                <wp:lineTo x="9483" y="10208"/>
                <wp:lineTo x="10654" y="10208"/>
                <wp:lineTo x="8663" y="10846"/>
                <wp:lineTo x="8195" y="11119"/>
                <wp:lineTo x="8195" y="14582"/>
                <wp:lineTo x="5795" y="15403"/>
                <wp:lineTo x="4624" y="15858"/>
                <wp:lineTo x="2459" y="16496"/>
                <wp:lineTo x="2107" y="16678"/>
                <wp:lineTo x="2107" y="21782"/>
                <wp:lineTo x="7376" y="21782"/>
                <wp:lineTo x="19493" y="20689"/>
                <wp:lineTo x="19610" y="16770"/>
                <wp:lineTo x="19317" y="16587"/>
                <wp:lineTo x="13405" y="14582"/>
                <wp:lineTo x="13522" y="11210"/>
                <wp:lineTo x="13229" y="11028"/>
                <wp:lineTo x="10946" y="10208"/>
                <wp:lineTo x="12176" y="10208"/>
                <wp:lineTo x="13463" y="9478"/>
                <wp:lineTo x="13522" y="5651"/>
                <wp:lineTo x="12937" y="5286"/>
                <wp:lineTo x="10946" y="4375"/>
                <wp:lineTo x="12644" y="4375"/>
                <wp:lineTo x="13463" y="3919"/>
                <wp:lineTo x="13405" y="0"/>
                <wp:lineTo x="8195" y="0"/>
              </wp:wrapPolygon>
            </wp:wrapTight>
            <wp:docPr id="6" name="Diagram 1" descr="This shows the organizational chart for the Department of Human Resources Family Investment Administration Small Local DSS Agencies." title="FIA - Small Local DSS Agency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14:sizeRelH relativeFrom="margin">
              <wp14:pctWidth>0</wp14:pctWidth>
            </wp14:sizeRelH>
            <wp14:sizeRelV relativeFrom="margin">
              <wp14:pctHeight>0</wp14:pctHeight>
            </wp14:sizeRelV>
          </wp:anchor>
        </w:drawing>
      </w:r>
    </w:p>
    <w:p w14:paraId="00833B0C" w14:textId="12254FF8" w:rsidR="00267D75" w:rsidRPr="004F590C" w:rsidRDefault="004F590C" w:rsidP="005A2120">
      <w:pPr>
        <w:ind w:right="-1170"/>
        <w:rPr>
          <w:rFonts w:ascii="Garamond" w:hAnsi="Garamond"/>
        </w:rPr>
      </w:pPr>
      <w:r>
        <w:rPr>
          <w:rFonts w:ascii="Garamond" w:hAnsi="Garamond"/>
        </w:rPr>
        <w:lastRenderedPageBreak/>
        <w:tab/>
      </w: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r>
    </w:p>
    <w:p w14:paraId="483083FC" w14:textId="5238FC48" w:rsidR="003F5413" w:rsidRPr="004A0C12" w:rsidRDefault="005A2120" w:rsidP="005A2120">
      <w:pPr>
        <w:tabs>
          <w:tab w:val="left" w:pos="10314"/>
        </w:tabs>
        <w:ind w:left="720"/>
        <w:jc w:val="center"/>
        <w:rPr>
          <w:rFonts w:ascii="Garamond" w:hAnsi="Garamond"/>
        </w:rPr>
      </w:pPr>
      <w:r w:rsidRPr="005A2120">
        <w:rPr>
          <w:rFonts w:ascii="Garamond" w:hAnsi="Garamond"/>
          <w:b/>
          <w:color w:val="0070C0"/>
          <w:sz w:val="28"/>
        </w:rPr>
        <w:t>Maryland State Department of Education: Division of Rehabilitation Services</w:t>
      </w:r>
      <w:r w:rsidR="00267D75" w:rsidRPr="004A0C12">
        <w:rPr>
          <w:rFonts w:ascii="Garamond" w:hAnsi="Garamond"/>
        </w:rPr>
        <w:tab/>
      </w:r>
      <w:r w:rsidR="00267D75" w:rsidRPr="004A0C12">
        <w:rPr>
          <w:rFonts w:ascii="Garamond" w:hAnsi="Garamond"/>
          <w:noProof/>
        </w:rPr>
        <w:drawing>
          <wp:inline distT="0" distB="0" distL="0" distR="0" wp14:anchorId="3D4ACA4D" wp14:editId="7964EF8F">
            <wp:extent cx="5943600" cy="7105650"/>
            <wp:effectExtent l="76200" t="0" r="95250" b="0"/>
            <wp:docPr id="2" name="Diagram 2" descr="This chart provides the organizational chart for DORS." title="Division of Rehabilitation Services Organizational char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inline>
        </w:drawing>
      </w:r>
    </w:p>
    <w:p w14:paraId="08442C13" w14:textId="070F48B6" w:rsidR="003F5413" w:rsidRPr="004F590C" w:rsidRDefault="00797887" w:rsidP="00C37876">
      <w:pPr>
        <w:pStyle w:val="Heading1"/>
        <w:spacing w:before="0" w:line="240" w:lineRule="auto"/>
        <w:rPr>
          <w:rFonts w:ascii="Garamond" w:hAnsi="Garamond"/>
          <w:sz w:val="24"/>
          <w:szCs w:val="22"/>
        </w:rPr>
      </w:pPr>
      <w:bookmarkStart w:id="274" w:name="_Toc447276291"/>
      <w:r w:rsidRPr="004F590C">
        <w:rPr>
          <w:rFonts w:ascii="Garamond" w:hAnsi="Garamond"/>
          <w:sz w:val="24"/>
          <w:szCs w:val="22"/>
        </w:rPr>
        <w:lastRenderedPageBreak/>
        <w:t>Appendix C</w:t>
      </w:r>
      <w:r w:rsidR="003F5413" w:rsidRPr="004F590C">
        <w:rPr>
          <w:rFonts w:ascii="Garamond" w:hAnsi="Garamond"/>
          <w:sz w:val="24"/>
          <w:szCs w:val="22"/>
        </w:rPr>
        <w:t>: Local Plan References</w:t>
      </w:r>
      <w:bookmarkEnd w:id="274"/>
      <w:r w:rsidR="003F5413" w:rsidRPr="004F590C">
        <w:rPr>
          <w:rFonts w:ascii="Garamond" w:hAnsi="Garamond"/>
          <w:sz w:val="24"/>
          <w:szCs w:val="22"/>
        </w:rPr>
        <w:t xml:space="preserve"> </w:t>
      </w:r>
    </w:p>
    <w:p w14:paraId="3A5B79FE" w14:textId="77777777" w:rsidR="003F5413" w:rsidRPr="004A0C12" w:rsidRDefault="003F5413" w:rsidP="003F5413">
      <w:pPr>
        <w:spacing w:after="0" w:line="240" w:lineRule="auto"/>
        <w:rPr>
          <w:rFonts w:ascii="Garamond" w:hAnsi="Garamond" w:cs="Times New Roman"/>
        </w:rPr>
      </w:pPr>
    </w:p>
    <w:p w14:paraId="6263DBBD" w14:textId="561F94A3" w:rsidR="003F5413" w:rsidRPr="004A0C12" w:rsidRDefault="003F5413" w:rsidP="003F5413">
      <w:pPr>
        <w:spacing w:after="0" w:line="240" w:lineRule="auto"/>
        <w:rPr>
          <w:rFonts w:ascii="Garamond" w:hAnsi="Garamond" w:cs="Times New Roman"/>
        </w:rPr>
      </w:pPr>
      <w:r w:rsidRPr="004A0C12">
        <w:rPr>
          <w:rFonts w:ascii="Garamond" w:hAnsi="Garamond" w:cs="Times New Roman"/>
          <w:i/>
        </w:rPr>
        <w:t>The following is a list of references to provisions that must be addressed by Local Workforce Development Boar</w:t>
      </w:r>
      <w:r w:rsidR="00BB5F3C" w:rsidRPr="004A0C12">
        <w:rPr>
          <w:rFonts w:ascii="Garamond" w:hAnsi="Garamond" w:cs="Times New Roman"/>
          <w:i/>
        </w:rPr>
        <w:t>ds in the formulation of their local p</w:t>
      </w:r>
      <w:r w:rsidRPr="004A0C12">
        <w:rPr>
          <w:rFonts w:ascii="Garamond" w:hAnsi="Garamond" w:cs="Times New Roman"/>
          <w:i/>
        </w:rPr>
        <w:t>lans. This list is not exhaustive, and is for informational purposes only. Further guidanc</w:t>
      </w:r>
      <w:r w:rsidR="00080EC6" w:rsidRPr="004A0C12">
        <w:rPr>
          <w:rFonts w:ascii="Garamond" w:hAnsi="Garamond" w:cs="Times New Roman"/>
          <w:i/>
        </w:rPr>
        <w:t>e will be provided by the WIOA P</w:t>
      </w:r>
      <w:r w:rsidRPr="004A0C12">
        <w:rPr>
          <w:rFonts w:ascii="Garamond" w:hAnsi="Garamond" w:cs="Times New Roman"/>
          <w:i/>
        </w:rPr>
        <w:t>artners at a later date.</w:t>
      </w:r>
    </w:p>
    <w:p w14:paraId="2BF1D307" w14:textId="77777777" w:rsidR="003F5413" w:rsidRPr="004A0C12" w:rsidRDefault="003F5413" w:rsidP="003F5413">
      <w:pPr>
        <w:spacing w:after="0" w:line="240" w:lineRule="auto"/>
        <w:rPr>
          <w:rFonts w:ascii="Garamond" w:hAnsi="Garamond" w:cs="Times New Roman"/>
          <w:i/>
        </w:rPr>
      </w:pPr>
    </w:p>
    <w:p w14:paraId="7739868F" w14:textId="77777777" w:rsidR="003F5413" w:rsidRPr="004A0C12" w:rsidRDefault="003F5413" w:rsidP="003F5413">
      <w:pPr>
        <w:spacing w:after="0" w:line="240" w:lineRule="auto"/>
        <w:rPr>
          <w:rStyle w:val="Emphasis"/>
          <w:rFonts w:ascii="Garamond" w:hAnsi="Garamond" w:cs="Times New Roman"/>
        </w:rPr>
      </w:pPr>
      <w:r w:rsidRPr="004A0C12">
        <w:rPr>
          <w:rFonts w:ascii="Garamond" w:hAnsi="Garamond" w:cs="Times New Roman"/>
          <w:i/>
        </w:rPr>
        <w:t xml:space="preserve"> </w:t>
      </w:r>
      <w:r w:rsidRPr="004A0C12">
        <w:rPr>
          <w:rStyle w:val="Emphasis"/>
          <w:rFonts w:ascii="Garamond" w:hAnsi="Garamond" w:cs="Times New Roman"/>
          <w:i w:val="0"/>
        </w:rPr>
        <w:t xml:space="preserve">Local plans must: </w:t>
      </w:r>
    </w:p>
    <w:p w14:paraId="74EC260A" w14:textId="14961F4A" w:rsidR="003F5413" w:rsidRPr="004A0C12" w:rsidRDefault="00BB5F3C" w:rsidP="00BB5F3C">
      <w:pPr>
        <w:tabs>
          <w:tab w:val="left" w:pos="2090"/>
        </w:tabs>
        <w:spacing w:after="0" w:line="240" w:lineRule="auto"/>
        <w:rPr>
          <w:rFonts w:ascii="Garamond" w:hAnsi="Garamond" w:cs="Times New Roman"/>
          <w:i/>
        </w:rPr>
      </w:pPr>
      <w:r w:rsidRPr="004A0C12">
        <w:rPr>
          <w:rFonts w:ascii="Garamond" w:hAnsi="Garamond" w:cs="Times New Roman"/>
          <w:i/>
        </w:rPr>
        <w:tab/>
      </w:r>
    </w:p>
    <w:p w14:paraId="227C44D9" w14:textId="77777777" w:rsidR="003F5413" w:rsidRPr="004A0C12" w:rsidRDefault="003F5413" w:rsidP="00232F09">
      <w:pPr>
        <w:pStyle w:val="ListParagraph"/>
        <w:numPr>
          <w:ilvl w:val="0"/>
          <w:numId w:val="196"/>
        </w:numPr>
        <w:contextualSpacing/>
        <w:rPr>
          <w:rStyle w:val="Emphasis"/>
          <w:rFonts w:ascii="Garamond" w:hAnsi="Garamond" w:cstheme="minorBidi"/>
          <w:iCs w:val="0"/>
          <w:szCs w:val="22"/>
        </w:rPr>
      </w:pPr>
      <w:r w:rsidRPr="004A0C12">
        <w:rPr>
          <w:rStyle w:val="Emphasis"/>
          <w:rFonts w:ascii="Garamond" w:hAnsi="Garamond"/>
          <w:i w:val="0"/>
          <w:szCs w:val="22"/>
        </w:rPr>
        <w:t xml:space="preserve">Identify how Local Boards will leverage and coordinate supportive services in service delivery; </w:t>
      </w:r>
    </w:p>
    <w:p w14:paraId="1469EC03" w14:textId="77777777" w:rsidR="003F5413" w:rsidRPr="004A0C12" w:rsidRDefault="003F5413" w:rsidP="003F5413">
      <w:pPr>
        <w:pStyle w:val="ListParagraph"/>
        <w:rPr>
          <w:rStyle w:val="Emphasis"/>
          <w:rFonts w:ascii="Garamond" w:hAnsi="Garamond"/>
          <w:i w:val="0"/>
          <w:iCs w:val="0"/>
          <w:szCs w:val="22"/>
        </w:rPr>
      </w:pPr>
    </w:p>
    <w:p w14:paraId="3E8FE4E4" w14:textId="77777777" w:rsidR="003F5413" w:rsidRPr="004A0C12" w:rsidRDefault="003F5413" w:rsidP="00232F09">
      <w:pPr>
        <w:pStyle w:val="ListParagraph"/>
        <w:numPr>
          <w:ilvl w:val="0"/>
          <w:numId w:val="196"/>
        </w:numPr>
        <w:contextualSpacing/>
        <w:rPr>
          <w:rFonts w:ascii="Garamond" w:hAnsi="Garamond"/>
          <w:szCs w:val="22"/>
        </w:rPr>
      </w:pPr>
      <w:r w:rsidRPr="004A0C12">
        <w:rPr>
          <w:rStyle w:val="Emphasis"/>
          <w:rFonts w:ascii="Garamond" w:hAnsi="Garamond"/>
          <w:i w:val="0"/>
          <w:szCs w:val="22"/>
        </w:rPr>
        <w:t>Identify how</w:t>
      </w:r>
      <w:r w:rsidRPr="004A0C12">
        <w:rPr>
          <w:rFonts w:ascii="Garamond" w:hAnsi="Garamond"/>
          <w:szCs w:val="22"/>
        </w:rPr>
        <w:t xml:space="preserve"> Local Boards intend to provide a greater business voice in local workforce services;</w:t>
      </w:r>
    </w:p>
    <w:p w14:paraId="314CC257" w14:textId="77777777" w:rsidR="003F5413" w:rsidRPr="004A0C12" w:rsidRDefault="003F5413" w:rsidP="003F5413">
      <w:pPr>
        <w:pStyle w:val="ListParagraph"/>
        <w:rPr>
          <w:rFonts w:ascii="Garamond" w:hAnsi="Garamond"/>
          <w:szCs w:val="22"/>
        </w:rPr>
      </w:pPr>
    </w:p>
    <w:p w14:paraId="68C85054" w14:textId="77777777" w:rsidR="003F5413" w:rsidRPr="004A0C12" w:rsidRDefault="003F5413" w:rsidP="00232F09">
      <w:pPr>
        <w:pStyle w:val="ListParagraph"/>
        <w:numPr>
          <w:ilvl w:val="0"/>
          <w:numId w:val="196"/>
        </w:numPr>
        <w:contextualSpacing/>
        <w:rPr>
          <w:rFonts w:ascii="Garamond" w:hAnsi="Garamond"/>
          <w:szCs w:val="22"/>
        </w:rPr>
      </w:pPr>
      <w:r w:rsidRPr="004A0C12">
        <w:rPr>
          <w:rStyle w:val="Emphasis"/>
          <w:rFonts w:ascii="Garamond" w:hAnsi="Garamond"/>
          <w:i w:val="0"/>
          <w:szCs w:val="22"/>
        </w:rPr>
        <w:t xml:space="preserve">Identify how </w:t>
      </w:r>
      <w:r w:rsidRPr="004A0C12">
        <w:rPr>
          <w:rFonts w:ascii="Garamond" w:hAnsi="Garamond"/>
          <w:color w:val="191919"/>
          <w:szCs w:val="22"/>
        </w:rPr>
        <w:t>Local Boards will promote and cultivate industry-led partnerships in the delivery of workforce training opportunities;</w:t>
      </w:r>
    </w:p>
    <w:p w14:paraId="67BEA6B7" w14:textId="77777777" w:rsidR="003F5413" w:rsidRPr="004A0C12" w:rsidRDefault="003F5413" w:rsidP="003F5413">
      <w:pPr>
        <w:pStyle w:val="ListParagraph"/>
        <w:rPr>
          <w:rFonts w:ascii="Garamond" w:hAnsi="Garamond"/>
          <w:szCs w:val="22"/>
        </w:rPr>
      </w:pPr>
    </w:p>
    <w:p w14:paraId="180EB285" w14:textId="77777777" w:rsidR="003F5413" w:rsidRPr="004A0C12" w:rsidRDefault="003F5413" w:rsidP="00232F09">
      <w:pPr>
        <w:pStyle w:val="ListParagraph"/>
        <w:numPr>
          <w:ilvl w:val="0"/>
          <w:numId w:val="196"/>
        </w:numPr>
        <w:contextualSpacing/>
        <w:rPr>
          <w:rFonts w:ascii="Garamond" w:hAnsi="Garamond"/>
          <w:szCs w:val="22"/>
        </w:rPr>
      </w:pPr>
      <w:r w:rsidRPr="004A0C12">
        <w:rPr>
          <w:rStyle w:val="Emphasis"/>
          <w:rFonts w:ascii="Garamond" w:hAnsi="Garamond"/>
          <w:i w:val="0"/>
          <w:szCs w:val="22"/>
        </w:rPr>
        <w:t xml:space="preserve">Identify how </w:t>
      </w:r>
      <w:r w:rsidRPr="004A0C12">
        <w:rPr>
          <w:rFonts w:ascii="Garamond" w:hAnsi="Garamond"/>
          <w:szCs w:val="22"/>
        </w:rPr>
        <w:t xml:space="preserve">Local Boards will align basic skills and English language assessments; </w:t>
      </w:r>
    </w:p>
    <w:p w14:paraId="06E34B59" w14:textId="77777777" w:rsidR="003F5413" w:rsidRPr="004A0C12" w:rsidRDefault="003F5413" w:rsidP="003F5413">
      <w:pPr>
        <w:pStyle w:val="ListParagraph"/>
        <w:rPr>
          <w:rFonts w:ascii="Garamond" w:hAnsi="Garamond"/>
          <w:szCs w:val="22"/>
        </w:rPr>
      </w:pPr>
    </w:p>
    <w:p w14:paraId="58CE3D31" w14:textId="77777777" w:rsidR="003F5413" w:rsidRPr="004A0C12" w:rsidRDefault="003F5413" w:rsidP="00232F09">
      <w:pPr>
        <w:pStyle w:val="ListParagraph"/>
        <w:numPr>
          <w:ilvl w:val="0"/>
          <w:numId w:val="196"/>
        </w:numPr>
        <w:contextualSpacing/>
        <w:rPr>
          <w:rFonts w:ascii="Garamond" w:hAnsi="Garamond"/>
          <w:szCs w:val="22"/>
        </w:rPr>
      </w:pPr>
      <w:r w:rsidRPr="004A0C12">
        <w:rPr>
          <w:rStyle w:val="Emphasis"/>
          <w:rFonts w:ascii="Garamond" w:hAnsi="Garamond"/>
          <w:i w:val="0"/>
          <w:szCs w:val="22"/>
        </w:rPr>
        <w:t>Identify how</w:t>
      </w:r>
      <w:r w:rsidRPr="004A0C12">
        <w:rPr>
          <w:rFonts w:ascii="Garamond" w:hAnsi="Garamond"/>
          <w:szCs w:val="22"/>
        </w:rPr>
        <w:t xml:space="preserve"> Local Boards intend to implement a career pathways model to address their local workforce training needs; </w:t>
      </w:r>
    </w:p>
    <w:p w14:paraId="7B0E72EA" w14:textId="77777777" w:rsidR="003F5413" w:rsidRPr="004A0C12" w:rsidRDefault="003F5413" w:rsidP="003F5413">
      <w:pPr>
        <w:pStyle w:val="ListParagraph"/>
        <w:rPr>
          <w:rFonts w:ascii="Garamond" w:hAnsi="Garamond"/>
          <w:szCs w:val="22"/>
        </w:rPr>
      </w:pPr>
    </w:p>
    <w:p w14:paraId="745B6D58" w14:textId="77777777" w:rsidR="003F5413" w:rsidRPr="004A0C12" w:rsidRDefault="003F5413" w:rsidP="00232F09">
      <w:pPr>
        <w:pStyle w:val="ListParagraph"/>
        <w:numPr>
          <w:ilvl w:val="0"/>
          <w:numId w:val="196"/>
        </w:numPr>
        <w:contextualSpacing/>
        <w:rPr>
          <w:rFonts w:ascii="Garamond" w:hAnsi="Garamond"/>
          <w:szCs w:val="22"/>
        </w:rPr>
      </w:pPr>
      <w:r w:rsidRPr="004A0C12">
        <w:rPr>
          <w:rStyle w:val="Emphasis"/>
          <w:rFonts w:ascii="Garamond" w:hAnsi="Garamond"/>
          <w:i w:val="0"/>
          <w:szCs w:val="22"/>
        </w:rPr>
        <w:t>Identify how</w:t>
      </w:r>
      <w:r w:rsidRPr="004A0C12">
        <w:rPr>
          <w:rFonts w:ascii="Garamond" w:hAnsi="Garamond"/>
          <w:color w:val="191919"/>
          <w:szCs w:val="22"/>
        </w:rPr>
        <w:t xml:space="preserve"> Local Boards utilize Local Dislocated Worker Funding;</w:t>
      </w:r>
    </w:p>
    <w:p w14:paraId="727ED05D" w14:textId="77777777" w:rsidR="003F5413" w:rsidRPr="004A0C12" w:rsidRDefault="003F5413" w:rsidP="003F5413">
      <w:pPr>
        <w:pStyle w:val="ListParagraph"/>
        <w:rPr>
          <w:rFonts w:ascii="Garamond" w:hAnsi="Garamond"/>
          <w:szCs w:val="22"/>
        </w:rPr>
      </w:pPr>
    </w:p>
    <w:p w14:paraId="060C6252" w14:textId="77777777" w:rsidR="003F5413" w:rsidRPr="004A0C12" w:rsidRDefault="003F5413" w:rsidP="00232F09">
      <w:pPr>
        <w:pStyle w:val="ListParagraph"/>
        <w:numPr>
          <w:ilvl w:val="0"/>
          <w:numId w:val="196"/>
        </w:numPr>
        <w:contextualSpacing/>
        <w:rPr>
          <w:rFonts w:ascii="Garamond" w:hAnsi="Garamond"/>
          <w:szCs w:val="22"/>
        </w:rPr>
      </w:pPr>
      <w:r w:rsidRPr="004A0C12">
        <w:rPr>
          <w:rFonts w:ascii="Garamond" w:hAnsi="Garamond"/>
          <w:szCs w:val="22"/>
        </w:rPr>
        <w:t>Acknowledge in local plans and/or policies that they understand that, while Section 188 of WIOA ensure equal opportunity for individuals with disabilities, sub-recipients may also be subject to the requirements of:</w:t>
      </w:r>
    </w:p>
    <w:p w14:paraId="242491DF" w14:textId="77777777" w:rsidR="003F5413" w:rsidRPr="004A0C12" w:rsidRDefault="003F5413" w:rsidP="00232F09">
      <w:pPr>
        <w:numPr>
          <w:ilvl w:val="1"/>
          <w:numId w:val="196"/>
        </w:numPr>
        <w:spacing w:after="0" w:line="240" w:lineRule="auto"/>
        <w:contextualSpacing/>
        <w:rPr>
          <w:rFonts w:ascii="Garamond" w:hAnsi="Garamond" w:cs="Times New Roman"/>
        </w:rPr>
      </w:pPr>
      <w:r w:rsidRPr="004A0C12">
        <w:rPr>
          <w:rFonts w:ascii="Garamond" w:hAnsi="Garamond" w:cs="Times New Roman"/>
        </w:rPr>
        <w:t>Section 504 of the Rehabilitation Act, which prohibits discrimination against individuals with disabilities by recipients of Federal financial assistance;</w:t>
      </w:r>
    </w:p>
    <w:p w14:paraId="29FCE6B0" w14:textId="77777777" w:rsidR="003F5413" w:rsidRPr="004A0C12" w:rsidRDefault="003F5413" w:rsidP="00232F09">
      <w:pPr>
        <w:numPr>
          <w:ilvl w:val="1"/>
          <w:numId w:val="196"/>
        </w:numPr>
        <w:spacing w:after="0" w:line="240" w:lineRule="auto"/>
        <w:contextualSpacing/>
        <w:rPr>
          <w:rFonts w:ascii="Garamond" w:hAnsi="Garamond" w:cs="Times New Roman"/>
        </w:rPr>
      </w:pPr>
      <w:r w:rsidRPr="004A0C12">
        <w:rPr>
          <w:rFonts w:ascii="Garamond" w:hAnsi="Garamond" w:cs="Times New Roman"/>
        </w:rPr>
        <w:t xml:space="preserve">Title I of the ADA, which prohibits discrimination in employment based on disability; </w:t>
      </w:r>
    </w:p>
    <w:p w14:paraId="662ABD22" w14:textId="77777777" w:rsidR="003F5413" w:rsidRPr="004A0C12" w:rsidRDefault="003F5413" w:rsidP="00232F09">
      <w:pPr>
        <w:numPr>
          <w:ilvl w:val="1"/>
          <w:numId w:val="196"/>
        </w:numPr>
        <w:spacing w:after="0" w:line="240" w:lineRule="auto"/>
        <w:contextualSpacing/>
        <w:rPr>
          <w:rFonts w:ascii="Garamond" w:hAnsi="Garamond" w:cs="Times New Roman"/>
        </w:rPr>
      </w:pPr>
      <w:r w:rsidRPr="004A0C12">
        <w:rPr>
          <w:rFonts w:ascii="Garamond" w:hAnsi="Garamond" w:cs="Times New Roman"/>
        </w:rPr>
        <w:t xml:space="preserve">Title II of the ADA, which prohibits State and local governments from discriminating on the basis of disability; </w:t>
      </w:r>
    </w:p>
    <w:p w14:paraId="10A6C155" w14:textId="77777777" w:rsidR="003F5413" w:rsidRPr="004A0C12" w:rsidRDefault="003F5413" w:rsidP="00232F09">
      <w:pPr>
        <w:numPr>
          <w:ilvl w:val="1"/>
          <w:numId w:val="196"/>
        </w:numPr>
        <w:spacing w:after="0" w:line="240" w:lineRule="auto"/>
        <w:contextualSpacing/>
        <w:rPr>
          <w:rFonts w:ascii="Garamond" w:hAnsi="Garamond" w:cs="Times New Roman"/>
        </w:rPr>
      </w:pPr>
      <w:r w:rsidRPr="004A0C12">
        <w:rPr>
          <w:rFonts w:ascii="Garamond" w:hAnsi="Garamond" w:cs="Times New Roman"/>
        </w:rPr>
        <w:t xml:space="preserve">Section 427 of the General Education Provisions Act; and </w:t>
      </w:r>
    </w:p>
    <w:p w14:paraId="685396A5" w14:textId="77777777" w:rsidR="003F5413" w:rsidRPr="004A0C12" w:rsidRDefault="003F5413" w:rsidP="00232F09">
      <w:pPr>
        <w:numPr>
          <w:ilvl w:val="1"/>
          <w:numId w:val="196"/>
        </w:numPr>
        <w:spacing w:after="0" w:line="240" w:lineRule="auto"/>
        <w:contextualSpacing/>
        <w:rPr>
          <w:rFonts w:ascii="Garamond" w:hAnsi="Garamond" w:cs="Times New Roman"/>
        </w:rPr>
      </w:pPr>
      <w:r w:rsidRPr="004A0C12">
        <w:rPr>
          <w:rFonts w:ascii="Garamond" w:hAnsi="Garamond" w:cs="Times New Roman"/>
        </w:rPr>
        <w:t xml:space="preserve">Maryland Anti-Discrimination laws;  </w:t>
      </w:r>
    </w:p>
    <w:p w14:paraId="69C71DB1" w14:textId="77777777" w:rsidR="003F5413" w:rsidRPr="004A0C12" w:rsidRDefault="003F5413" w:rsidP="003F5413">
      <w:pPr>
        <w:spacing w:after="0" w:line="240" w:lineRule="auto"/>
        <w:ind w:left="1440"/>
        <w:contextualSpacing/>
        <w:rPr>
          <w:rFonts w:ascii="Garamond" w:hAnsi="Garamond" w:cs="Times New Roman"/>
        </w:rPr>
      </w:pPr>
    </w:p>
    <w:p w14:paraId="16CB02C5" w14:textId="77777777" w:rsidR="003F5413" w:rsidRPr="004A0C12" w:rsidRDefault="003F5413" w:rsidP="00232F09">
      <w:pPr>
        <w:pStyle w:val="ListParagraph"/>
        <w:numPr>
          <w:ilvl w:val="0"/>
          <w:numId w:val="196"/>
        </w:numPr>
        <w:contextualSpacing/>
        <w:jc w:val="both"/>
        <w:rPr>
          <w:rFonts w:ascii="Garamond" w:hAnsi="Garamond"/>
          <w:szCs w:val="22"/>
        </w:rPr>
      </w:pPr>
      <w:r w:rsidRPr="004A0C12">
        <w:rPr>
          <w:rStyle w:val="Emphasis"/>
          <w:rFonts w:ascii="Garamond" w:hAnsi="Garamond"/>
          <w:i w:val="0"/>
          <w:szCs w:val="22"/>
        </w:rPr>
        <w:t>Identify how</w:t>
      </w:r>
      <w:r w:rsidRPr="004A0C12">
        <w:rPr>
          <w:rFonts w:ascii="Garamond" w:hAnsi="Garamond"/>
          <w:szCs w:val="22"/>
        </w:rPr>
        <w:t xml:space="preserve"> the Local Board will interpret and document eligibility criteria for “requires additional assistance to complete an educational program or to secure or hold employment” as set forth in the State’s Youth Policy; </w:t>
      </w:r>
    </w:p>
    <w:p w14:paraId="0535EF86" w14:textId="77777777" w:rsidR="003F5413" w:rsidRPr="004A0C12" w:rsidRDefault="003F5413" w:rsidP="003F5413">
      <w:pPr>
        <w:pStyle w:val="ListParagraph"/>
        <w:jc w:val="both"/>
        <w:rPr>
          <w:rFonts w:ascii="Garamond" w:hAnsi="Garamond"/>
          <w:szCs w:val="22"/>
        </w:rPr>
      </w:pPr>
    </w:p>
    <w:p w14:paraId="0132A4C0" w14:textId="77777777" w:rsidR="003F5413" w:rsidRPr="004A0C12" w:rsidRDefault="003F5413" w:rsidP="00232F09">
      <w:pPr>
        <w:pStyle w:val="ListParagraph"/>
        <w:numPr>
          <w:ilvl w:val="0"/>
          <w:numId w:val="196"/>
        </w:numPr>
        <w:contextualSpacing/>
        <w:jc w:val="both"/>
        <w:rPr>
          <w:rFonts w:ascii="Garamond" w:hAnsi="Garamond"/>
          <w:szCs w:val="22"/>
        </w:rPr>
      </w:pPr>
      <w:r w:rsidRPr="004A0C12">
        <w:rPr>
          <w:rStyle w:val="Emphasis"/>
          <w:rFonts w:ascii="Garamond" w:hAnsi="Garamond"/>
          <w:i w:val="0"/>
          <w:szCs w:val="22"/>
        </w:rPr>
        <w:t>Identify how</w:t>
      </w:r>
      <w:r w:rsidRPr="004A0C12">
        <w:rPr>
          <w:rFonts w:ascii="Garamond" w:hAnsi="Garamond"/>
          <w:szCs w:val="22"/>
        </w:rPr>
        <w:t xml:space="preserve"> the Local Boards will use Individualized Training Accounts based on high-demand, difficult to fill positions identified within local industry clusters; </w:t>
      </w:r>
    </w:p>
    <w:p w14:paraId="0EE70EA7" w14:textId="77777777" w:rsidR="003F5413" w:rsidRPr="004A0C12" w:rsidRDefault="003F5413" w:rsidP="003F5413">
      <w:pPr>
        <w:pStyle w:val="ListParagraph"/>
        <w:rPr>
          <w:rFonts w:ascii="Garamond" w:hAnsi="Garamond"/>
          <w:szCs w:val="22"/>
        </w:rPr>
      </w:pPr>
    </w:p>
    <w:p w14:paraId="5129D949" w14:textId="77777777" w:rsidR="003F5413" w:rsidRPr="004A0C12" w:rsidRDefault="003F5413" w:rsidP="00232F09">
      <w:pPr>
        <w:pStyle w:val="ListParagraph"/>
        <w:numPr>
          <w:ilvl w:val="0"/>
          <w:numId w:val="196"/>
        </w:numPr>
        <w:contextualSpacing/>
        <w:jc w:val="both"/>
        <w:rPr>
          <w:rFonts w:ascii="Garamond" w:hAnsi="Garamond"/>
          <w:szCs w:val="22"/>
        </w:rPr>
      </w:pPr>
      <w:r w:rsidRPr="004A0C12">
        <w:rPr>
          <w:rStyle w:val="Emphasis"/>
          <w:rFonts w:ascii="Garamond" w:hAnsi="Garamond"/>
          <w:i w:val="0"/>
          <w:szCs w:val="22"/>
        </w:rPr>
        <w:t>Identify the</w:t>
      </w:r>
      <w:r w:rsidRPr="004A0C12">
        <w:rPr>
          <w:rFonts w:ascii="Garamond" w:hAnsi="Garamond"/>
          <w:szCs w:val="22"/>
        </w:rPr>
        <w:t xml:space="preserve"> steps the Local Boards will take to ensure at least 20% of Youth Funds are used for work-based training activities; </w:t>
      </w:r>
    </w:p>
    <w:p w14:paraId="4D81A8D6" w14:textId="77777777" w:rsidR="003F5413" w:rsidRPr="004A0C12" w:rsidRDefault="003F5413" w:rsidP="003F5413">
      <w:pPr>
        <w:pStyle w:val="ListParagraph"/>
        <w:rPr>
          <w:rFonts w:ascii="Garamond" w:hAnsi="Garamond"/>
          <w:szCs w:val="22"/>
        </w:rPr>
      </w:pPr>
    </w:p>
    <w:p w14:paraId="0236FDB3" w14:textId="77777777" w:rsidR="003F5413" w:rsidRPr="004A0C12" w:rsidRDefault="003F5413" w:rsidP="00232F09">
      <w:pPr>
        <w:pStyle w:val="ListParagraph"/>
        <w:numPr>
          <w:ilvl w:val="0"/>
          <w:numId w:val="196"/>
        </w:numPr>
        <w:contextualSpacing/>
        <w:jc w:val="both"/>
        <w:rPr>
          <w:rFonts w:ascii="Garamond" w:hAnsi="Garamond"/>
          <w:szCs w:val="22"/>
        </w:rPr>
      </w:pPr>
      <w:r w:rsidRPr="004A0C12">
        <w:rPr>
          <w:rFonts w:ascii="Garamond" w:hAnsi="Garamond"/>
          <w:szCs w:val="22"/>
        </w:rPr>
        <w:t>Identify local priority industries based on employer (and WIOA partner) input;</w:t>
      </w:r>
    </w:p>
    <w:p w14:paraId="12AF7B58" w14:textId="77777777" w:rsidR="003F5413" w:rsidRPr="004A0C12" w:rsidRDefault="003F5413" w:rsidP="003F5413">
      <w:pPr>
        <w:pStyle w:val="ListParagraph"/>
        <w:rPr>
          <w:rFonts w:ascii="Garamond" w:hAnsi="Garamond"/>
          <w:szCs w:val="22"/>
        </w:rPr>
      </w:pPr>
    </w:p>
    <w:p w14:paraId="711BA51A" w14:textId="77777777" w:rsidR="003F5413" w:rsidRPr="004A0C12" w:rsidRDefault="003F5413" w:rsidP="00232F09">
      <w:pPr>
        <w:pStyle w:val="ListParagraph"/>
        <w:numPr>
          <w:ilvl w:val="0"/>
          <w:numId w:val="196"/>
        </w:numPr>
        <w:contextualSpacing/>
        <w:jc w:val="both"/>
        <w:rPr>
          <w:rFonts w:ascii="Garamond" w:hAnsi="Garamond"/>
          <w:szCs w:val="22"/>
        </w:rPr>
      </w:pPr>
      <w:r w:rsidRPr="004A0C12">
        <w:rPr>
          <w:rFonts w:ascii="Garamond" w:hAnsi="Garamond"/>
          <w:szCs w:val="22"/>
        </w:rPr>
        <w:t xml:space="preserve">Identify local counterparts to the “Business Services” and “Rapid Response” teams; </w:t>
      </w:r>
    </w:p>
    <w:p w14:paraId="4C99C7E3" w14:textId="77777777" w:rsidR="003F5413" w:rsidRPr="004A0C12" w:rsidRDefault="003F5413" w:rsidP="003F5413">
      <w:pPr>
        <w:pStyle w:val="ListParagraph"/>
        <w:rPr>
          <w:rFonts w:ascii="Garamond" w:hAnsi="Garamond"/>
          <w:szCs w:val="22"/>
        </w:rPr>
      </w:pPr>
    </w:p>
    <w:p w14:paraId="4296299B" w14:textId="77777777" w:rsidR="003F5413" w:rsidRPr="004A0C12" w:rsidRDefault="003F5413" w:rsidP="00232F09">
      <w:pPr>
        <w:pStyle w:val="ListParagraph"/>
        <w:numPr>
          <w:ilvl w:val="0"/>
          <w:numId w:val="196"/>
        </w:numPr>
        <w:contextualSpacing/>
        <w:jc w:val="both"/>
        <w:rPr>
          <w:rFonts w:ascii="Garamond" w:hAnsi="Garamond"/>
          <w:szCs w:val="22"/>
        </w:rPr>
      </w:pPr>
      <w:r w:rsidRPr="004A0C12">
        <w:rPr>
          <w:rFonts w:ascii="Garamond" w:hAnsi="Garamond"/>
          <w:szCs w:val="22"/>
        </w:rPr>
        <w:t xml:space="preserve">Identify the local strategy to foster apprenticeship opportunities; </w:t>
      </w:r>
    </w:p>
    <w:p w14:paraId="15C6E67E" w14:textId="77777777" w:rsidR="003F5413" w:rsidRPr="004A0C12" w:rsidRDefault="003F5413" w:rsidP="003F5413">
      <w:pPr>
        <w:pStyle w:val="ListParagraph"/>
        <w:rPr>
          <w:rFonts w:ascii="Garamond" w:hAnsi="Garamond"/>
          <w:szCs w:val="22"/>
        </w:rPr>
      </w:pPr>
    </w:p>
    <w:p w14:paraId="0A8538AF" w14:textId="77777777" w:rsidR="003F5413" w:rsidRPr="004A0C12" w:rsidRDefault="003F5413" w:rsidP="00232F09">
      <w:pPr>
        <w:pStyle w:val="ListParagraph"/>
        <w:numPr>
          <w:ilvl w:val="0"/>
          <w:numId w:val="196"/>
        </w:numPr>
        <w:contextualSpacing/>
        <w:jc w:val="both"/>
        <w:rPr>
          <w:rFonts w:ascii="Garamond" w:hAnsi="Garamond"/>
          <w:szCs w:val="22"/>
        </w:rPr>
      </w:pPr>
      <w:r w:rsidRPr="004A0C12">
        <w:rPr>
          <w:rFonts w:ascii="Garamond" w:hAnsi="Garamond"/>
          <w:szCs w:val="22"/>
        </w:rPr>
        <w:t xml:space="preserve">Comment on plan to serve 75%+ out of school youth and identify specific steps that have been taken to meet this new goal; </w:t>
      </w:r>
    </w:p>
    <w:p w14:paraId="33DC3AF0" w14:textId="77777777" w:rsidR="003F5413" w:rsidRPr="004A0C12" w:rsidRDefault="003F5413" w:rsidP="003F5413">
      <w:pPr>
        <w:pStyle w:val="ListParagraph"/>
        <w:rPr>
          <w:rFonts w:ascii="Garamond" w:hAnsi="Garamond"/>
          <w:szCs w:val="22"/>
        </w:rPr>
      </w:pPr>
    </w:p>
    <w:p w14:paraId="22CDC6DB" w14:textId="77777777" w:rsidR="003F5413" w:rsidRPr="004A0C12" w:rsidRDefault="003F5413" w:rsidP="00232F09">
      <w:pPr>
        <w:pStyle w:val="ListParagraph"/>
        <w:numPr>
          <w:ilvl w:val="0"/>
          <w:numId w:val="196"/>
        </w:numPr>
        <w:contextualSpacing/>
        <w:jc w:val="both"/>
        <w:rPr>
          <w:rFonts w:ascii="Garamond" w:hAnsi="Garamond"/>
          <w:szCs w:val="22"/>
        </w:rPr>
      </w:pPr>
      <w:r w:rsidRPr="004A0C12">
        <w:rPr>
          <w:rFonts w:ascii="Garamond" w:hAnsi="Garamond"/>
          <w:szCs w:val="22"/>
        </w:rPr>
        <w:t xml:space="preserve">Define “requires additional assistance to complete an education program or to secure and hold employment” criterion specified in WIOA Sections 129(a)(1)(B)(iii)(VII) and (a)(1)(C)(iv)(VII).    </w:t>
      </w:r>
    </w:p>
    <w:p w14:paraId="4B5285D7" w14:textId="77777777" w:rsidR="003F5413" w:rsidRPr="004A0C12" w:rsidRDefault="003F5413" w:rsidP="00267D75">
      <w:pPr>
        <w:tabs>
          <w:tab w:val="left" w:pos="10314"/>
        </w:tabs>
        <w:ind w:left="720"/>
        <w:rPr>
          <w:rFonts w:ascii="Garamond" w:hAnsi="Garamond"/>
        </w:rPr>
      </w:pPr>
    </w:p>
    <w:p w14:paraId="383C20A2" w14:textId="7115720E" w:rsidR="003F5413" w:rsidRPr="005A2120" w:rsidRDefault="00797887" w:rsidP="003F5413">
      <w:pPr>
        <w:pStyle w:val="Heading1"/>
        <w:rPr>
          <w:rFonts w:ascii="Garamond" w:hAnsi="Garamond"/>
          <w:sz w:val="24"/>
          <w:szCs w:val="22"/>
        </w:rPr>
      </w:pPr>
      <w:bookmarkStart w:id="275" w:name="_Toc447276292"/>
      <w:r w:rsidRPr="005A2120">
        <w:rPr>
          <w:rFonts w:ascii="Garamond" w:hAnsi="Garamond"/>
          <w:sz w:val="24"/>
          <w:szCs w:val="22"/>
        </w:rPr>
        <w:lastRenderedPageBreak/>
        <w:t>Appendix D</w:t>
      </w:r>
      <w:r w:rsidR="003F5413" w:rsidRPr="005A2120">
        <w:rPr>
          <w:rFonts w:ascii="Garamond" w:hAnsi="Garamond"/>
          <w:sz w:val="24"/>
          <w:szCs w:val="22"/>
        </w:rPr>
        <w:t>: Emerging and Growth Industries by County</w:t>
      </w:r>
      <w:bookmarkEnd w:id="275"/>
      <w:r w:rsidR="003F5413" w:rsidRPr="005A2120">
        <w:rPr>
          <w:rFonts w:ascii="Garamond" w:hAnsi="Garamond"/>
          <w:sz w:val="24"/>
          <w:szCs w:val="22"/>
        </w:rPr>
        <w:t xml:space="preserve"> </w:t>
      </w:r>
    </w:p>
    <w:p w14:paraId="75BCBF1D" w14:textId="77777777" w:rsidR="003F5413" w:rsidRPr="004A0C12" w:rsidRDefault="003F5413" w:rsidP="003F5413">
      <w:pPr>
        <w:rPr>
          <w:rFonts w:ascii="Garamond" w:hAnsi="Garamond"/>
        </w:rPr>
      </w:pPr>
    </w:p>
    <w:tbl>
      <w:tblPr>
        <w:tblStyle w:val="LightList-Accent1"/>
        <w:tblW w:w="8280" w:type="dxa"/>
        <w:jc w:val="center"/>
        <w:tblLook w:val="04A0" w:firstRow="1" w:lastRow="0" w:firstColumn="1" w:lastColumn="0" w:noHBand="0" w:noVBand="1"/>
        <w:tblCaption w:val="Allegany"/>
        <w:tblDescription w:val="Allegany's Growth industries are Retail trade and Accommodation and food services. Its emerging industries are: Information; Finance and insurance; Administrative and waste services; Educational services; and, Other services, except public administration.&#10;"/>
      </w:tblPr>
      <w:tblGrid>
        <w:gridCol w:w="4410"/>
        <w:gridCol w:w="3870"/>
      </w:tblGrid>
      <w:tr w:rsidR="003F5413" w:rsidRPr="004A0C12" w14:paraId="4E92D538"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280" w:type="dxa"/>
            <w:gridSpan w:val="2"/>
            <w:tcBorders>
              <w:bottom w:val="single" w:sz="8" w:space="0" w:color="4F81BD" w:themeColor="accent1"/>
            </w:tcBorders>
            <w:noWrap/>
            <w:hideMark/>
          </w:tcPr>
          <w:p w14:paraId="29F39BCD" w14:textId="77777777" w:rsidR="003F5413" w:rsidRPr="004A0C12" w:rsidRDefault="003F5413" w:rsidP="003F5413">
            <w:pPr>
              <w:jc w:val="center"/>
              <w:rPr>
                <w:rFonts w:ascii="Garamond" w:eastAsia="Times New Roman" w:hAnsi="Garamond"/>
              </w:rPr>
            </w:pPr>
            <w:r w:rsidRPr="004A0C12">
              <w:rPr>
                <w:rFonts w:ascii="Garamond" w:eastAsia="Times New Roman" w:hAnsi="Garamond"/>
              </w:rPr>
              <w:t>Allegany</w:t>
            </w:r>
          </w:p>
          <w:p w14:paraId="64FCBAB0" w14:textId="77777777" w:rsidR="00DA0710" w:rsidRPr="004A0C12" w:rsidRDefault="00DA0710" w:rsidP="003F5413">
            <w:pPr>
              <w:jc w:val="center"/>
              <w:rPr>
                <w:rFonts w:ascii="Garamond" w:eastAsia="Times New Roman" w:hAnsi="Garamond"/>
                <w:color w:val="000000"/>
              </w:rPr>
            </w:pPr>
          </w:p>
        </w:tc>
      </w:tr>
      <w:tr w:rsidR="003F5413" w:rsidRPr="004A0C12" w14:paraId="76D3281B"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10" w:type="dxa"/>
            <w:tcBorders>
              <w:bottom w:val="single" w:sz="4" w:space="0" w:color="auto"/>
              <w:right w:val="single" w:sz="4" w:space="0" w:color="auto"/>
            </w:tcBorders>
            <w:noWrap/>
            <w:hideMark/>
          </w:tcPr>
          <w:p w14:paraId="720A92AB"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3870" w:type="dxa"/>
            <w:tcBorders>
              <w:left w:val="single" w:sz="4" w:space="0" w:color="auto"/>
              <w:bottom w:val="single" w:sz="4" w:space="0" w:color="auto"/>
            </w:tcBorders>
            <w:noWrap/>
            <w:hideMark/>
          </w:tcPr>
          <w:p w14:paraId="1AA99559"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 xml:space="preserve">Emerging </w:t>
            </w:r>
          </w:p>
        </w:tc>
      </w:tr>
      <w:tr w:rsidR="003F5413" w:rsidRPr="004A0C12" w14:paraId="27A64216"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10" w:type="dxa"/>
            <w:tcBorders>
              <w:top w:val="single" w:sz="4" w:space="0" w:color="auto"/>
              <w:bottom w:val="single" w:sz="4" w:space="0" w:color="auto"/>
              <w:right w:val="single" w:sz="4" w:space="0" w:color="auto"/>
            </w:tcBorders>
            <w:noWrap/>
            <w:hideMark/>
          </w:tcPr>
          <w:p w14:paraId="1DB69D87"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Retail trade</w:t>
            </w:r>
          </w:p>
        </w:tc>
        <w:tc>
          <w:tcPr>
            <w:tcW w:w="3870" w:type="dxa"/>
            <w:tcBorders>
              <w:top w:val="single" w:sz="4" w:space="0" w:color="auto"/>
              <w:left w:val="single" w:sz="4" w:space="0" w:color="auto"/>
              <w:bottom w:val="single" w:sz="4" w:space="0" w:color="auto"/>
            </w:tcBorders>
            <w:noWrap/>
            <w:hideMark/>
          </w:tcPr>
          <w:p w14:paraId="01C6187E"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Information</w:t>
            </w:r>
          </w:p>
        </w:tc>
      </w:tr>
      <w:tr w:rsidR="003F5413" w:rsidRPr="004A0C12" w14:paraId="4C8E87EF"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10" w:type="dxa"/>
            <w:tcBorders>
              <w:top w:val="single" w:sz="4" w:space="0" w:color="auto"/>
              <w:bottom w:val="single" w:sz="4" w:space="0" w:color="auto"/>
              <w:right w:val="single" w:sz="4" w:space="0" w:color="auto"/>
            </w:tcBorders>
            <w:noWrap/>
            <w:hideMark/>
          </w:tcPr>
          <w:p w14:paraId="30421532"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870" w:type="dxa"/>
            <w:tcBorders>
              <w:top w:val="single" w:sz="4" w:space="0" w:color="auto"/>
              <w:left w:val="single" w:sz="4" w:space="0" w:color="auto"/>
              <w:bottom w:val="single" w:sz="4" w:space="0" w:color="auto"/>
            </w:tcBorders>
            <w:noWrap/>
            <w:hideMark/>
          </w:tcPr>
          <w:p w14:paraId="7233E96A"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Finance and insurance</w:t>
            </w:r>
          </w:p>
        </w:tc>
      </w:tr>
      <w:tr w:rsidR="003F5413" w:rsidRPr="004A0C12" w14:paraId="786FD68B"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10" w:type="dxa"/>
            <w:tcBorders>
              <w:top w:val="single" w:sz="4" w:space="0" w:color="auto"/>
              <w:bottom w:val="nil"/>
              <w:right w:val="single" w:sz="4" w:space="0" w:color="auto"/>
            </w:tcBorders>
            <w:noWrap/>
            <w:hideMark/>
          </w:tcPr>
          <w:p w14:paraId="1301C28E" w14:textId="77777777" w:rsidR="003F5413" w:rsidRPr="004A0C12" w:rsidRDefault="003F5413" w:rsidP="003F5413">
            <w:pPr>
              <w:rPr>
                <w:rFonts w:ascii="Garamond" w:eastAsia="Times New Roman" w:hAnsi="Garamond"/>
                <w:color w:val="000000"/>
              </w:rPr>
            </w:pPr>
          </w:p>
        </w:tc>
        <w:tc>
          <w:tcPr>
            <w:tcW w:w="3870" w:type="dxa"/>
            <w:tcBorders>
              <w:top w:val="single" w:sz="4" w:space="0" w:color="auto"/>
              <w:left w:val="single" w:sz="4" w:space="0" w:color="auto"/>
              <w:bottom w:val="single" w:sz="4" w:space="0" w:color="auto"/>
            </w:tcBorders>
            <w:noWrap/>
            <w:hideMark/>
          </w:tcPr>
          <w:p w14:paraId="45917630"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Administrative and waste services</w:t>
            </w:r>
          </w:p>
        </w:tc>
      </w:tr>
      <w:tr w:rsidR="003F5413" w:rsidRPr="004A0C12" w14:paraId="7F9AEF5E"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10" w:type="dxa"/>
            <w:tcBorders>
              <w:top w:val="nil"/>
              <w:bottom w:val="nil"/>
              <w:right w:val="single" w:sz="4" w:space="0" w:color="auto"/>
            </w:tcBorders>
            <w:noWrap/>
            <w:hideMark/>
          </w:tcPr>
          <w:p w14:paraId="75867ACB" w14:textId="77777777" w:rsidR="003F5413" w:rsidRPr="004A0C12" w:rsidRDefault="003F5413" w:rsidP="003F5413">
            <w:pPr>
              <w:rPr>
                <w:rFonts w:ascii="Garamond" w:eastAsia="Times New Roman" w:hAnsi="Garamond"/>
                <w:color w:val="000000"/>
              </w:rPr>
            </w:pPr>
          </w:p>
        </w:tc>
        <w:tc>
          <w:tcPr>
            <w:tcW w:w="3870" w:type="dxa"/>
            <w:tcBorders>
              <w:top w:val="single" w:sz="4" w:space="0" w:color="auto"/>
              <w:left w:val="single" w:sz="4" w:space="0" w:color="auto"/>
              <w:bottom w:val="single" w:sz="4" w:space="0" w:color="auto"/>
            </w:tcBorders>
            <w:noWrap/>
            <w:hideMark/>
          </w:tcPr>
          <w:p w14:paraId="4321B7F4"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733BE995"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10" w:type="dxa"/>
            <w:tcBorders>
              <w:top w:val="nil"/>
              <w:bottom w:val="single" w:sz="8" w:space="0" w:color="4F81BD" w:themeColor="accent1"/>
              <w:right w:val="single" w:sz="4" w:space="0" w:color="auto"/>
            </w:tcBorders>
            <w:noWrap/>
            <w:hideMark/>
          </w:tcPr>
          <w:p w14:paraId="75DDE048" w14:textId="77777777" w:rsidR="003F5413" w:rsidRPr="004A0C12" w:rsidRDefault="003F5413" w:rsidP="003F5413">
            <w:pPr>
              <w:rPr>
                <w:rFonts w:ascii="Garamond" w:eastAsia="Times New Roman" w:hAnsi="Garamond"/>
                <w:color w:val="000000"/>
              </w:rPr>
            </w:pPr>
          </w:p>
        </w:tc>
        <w:tc>
          <w:tcPr>
            <w:tcW w:w="3870" w:type="dxa"/>
            <w:tcBorders>
              <w:top w:val="single" w:sz="4" w:space="0" w:color="auto"/>
              <w:left w:val="single" w:sz="4" w:space="0" w:color="auto"/>
              <w:bottom w:val="single" w:sz="8" w:space="0" w:color="4F81BD" w:themeColor="accent1"/>
            </w:tcBorders>
            <w:noWrap/>
            <w:hideMark/>
          </w:tcPr>
          <w:p w14:paraId="5BF2232A"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Other services, except public administration</w:t>
            </w:r>
          </w:p>
        </w:tc>
      </w:tr>
    </w:tbl>
    <w:p w14:paraId="5C7CE579" w14:textId="77777777" w:rsidR="003F5413" w:rsidRPr="004A0C12" w:rsidRDefault="003F5413" w:rsidP="003F5413">
      <w:pPr>
        <w:rPr>
          <w:rFonts w:ascii="Garamond" w:hAnsi="Garamond"/>
        </w:rPr>
      </w:pPr>
    </w:p>
    <w:tbl>
      <w:tblPr>
        <w:tblStyle w:val="LightList-Accent1"/>
        <w:tblW w:w="8540" w:type="dxa"/>
        <w:jc w:val="center"/>
        <w:tblLook w:val="04A0" w:firstRow="1" w:lastRow="0" w:firstColumn="1" w:lastColumn="0" w:noHBand="0" w:noVBand="1"/>
        <w:tblCaption w:val="Anne Arundel"/>
        <w:tblDescription w:val="Growth industries are: Construction; Transportation and warehousing; Arts, entertainment, and recreation; Accommodation and food services; and, Other services, except public administration. Emerging industries are: Agriculture, forestry, fishing and hunting; Wholesale trade; Finance and insurance; Management of companies and enterprises; Administrative and waste services; Educational services; Health care and social assistance. &#10;"/>
      </w:tblPr>
      <w:tblGrid>
        <w:gridCol w:w="4540"/>
        <w:gridCol w:w="4000"/>
      </w:tblGrid>
      <w:tr w:rsidR="003F5413" w:rsidRPr="004A0C12" w14:paraId="40953454"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540" w:type="dxa"/>
            <w:gridSpan w:val="2"/>
            <w:tcBorders>
              <w:bottom w:val="single" w:sz="8" w:space="0" w:color="4F81BD" w:themeColor="accent1"/>
            </w:tcBorders>
            <w:noWrap/>
            <w:hideMark/>
          </w:tcPr>
          <w:p w14:paraId="3E7C45F9"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Anne Arundel</w:t>
            </w:r>
          </w:p>
        </w:tc>
      </w:tr>
      <w:tr w:rsidR="003F5413" w:rsidRPr="004A0C12" w14:paraId="6C55A13A"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bottom w:val="single" w:sz="4" w:space="0" w:color="auto"/>
              <w:right w:val="single" w:sz="4" w:space="0" w:color="auto"/>
            </w:tcBorders>
            <w:noWrap/>
            <w:hideMark/>
          </w:tcPr>
          <w:p w14:paraId="3705504F"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4000" w:type="dxa"/>
            <w:tcBorders>
              <w:left w:val="single" w:sz="4" w:space="0" w:color="auto"/>
              <w:bottom w:val="single" w:sz="4" w:space="0" w:color="auto"/>
            </w:tcBorders>
            <w:noWrap/>
            <w:hideMark/>
          </w:tcPr>
          <w:p w14:paraId="61E6BFB6"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628B840B"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single" w:sz="4" w:space="0" w:color="auto"/>
              <w:right w:val="single" w:sz="4" w:space="0" w:color="auto"/>
            </w:tcBorders>
            <w:noWrap/>
            <w:hideMark/>
          </w:tcPr>
          <w:p w14:paraId="2C170E6E"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4000" w:type="dxa"/>
            <w:tcBorders>
              <w:top w:val="single" w:sz="4" w:space="0" w:color="auto"/>
              <w:left w:val="single" w:sz="4" w:space="0" w:color="auto"/>
              <w:bottom w:val="single" w:sz="4" w:space="0" w:color="auto"/>
            </w:tcBorders>
            <w:noWrap/>
            <w:hideMark/>
          </w:tcPr>
          <w:p w14:paraId="0B915C38"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Agriculture, forestry, fishing and hunting</w:t>
            </w:r>
          </w:p>
        </w:tc>
      </w:tr>
      <w:tr w:rsidR="003F5413" w:rsidRPr="004A0C12" w14:paraId="49DDCF4F"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single" w:sz="4" w:space="0" w:color="auto"/>
              <w:right w:val="single" w:sz="4" w:space="0" w:color="auto"/>
            </w:tcBorders>
            <w:noWrap/>
            <w:hideMark/>
          </w:tcPr>
          <w:p w14:paraId="1D55809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Transportation and warehousing</w:t>
            </w:r>
          </w:p>
        </w:tc>
        <w:tc>
          <w:tcPr>
            <w:tcW w:w="4000" w:type="dxa"/>
            <w:tcBorders>
              <w:top w:val="single" w:sz="4" w:space="0" w:color="auto"/>
              <w:left w:val="single" w:sz="4" w:space="0" w:color="auto"/>
              <w:bottom w:val="single" w:sz="4" w:space="0" w:color="auto"/>
            </w:tcBorders>
            <w:noWrap/>
            <w:hideMark/>
          </w:tcPr>
          <w:p w14:paraId="7432546D"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Wholesale trade</w:t>
            </w:r>
          </w:p>
        </w:tc>
      </w:tr>
      <w:tr w:rsidR="003F5413" w:rsidRPr="004A0C12" w14:paraId="5A2C321B"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single" w:sz="4" w:space="0" w:color="auto"/>
              <w:right w:val="single" w:sz="4" w:space="0" w:color="auto"/>
            </w:tcBorders>
            <w:noWrap/>
            <w:hideMark/>
          </w:tcPr>
          <w:p w14:paraId="5D66F15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Arts, entertainment, and recreation</w:t>
            </w:r>
          </w:p>
        </w:tc>
        <w:tc>
          <w:tcPr>
            <w:tcW w:w="4000" w:type="dxa"/>
            <w:tcBorders>
              <w:top w:val="single" w:sz="4" w:space="0" w:color="auto"/>
              <w:left w:val="single" w:sz="4" w:space="0" w:color="auto"/>
              <w:bottom w:val="single" w:sz="4" w:space="0" w:color="auto"/>
            </w:tcBorders>
            <w:noWrap/>
            <w:hideMark/>
          </w:tcPr>
          <w:p w14:paraId="5144DF02"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Finance and insurance</w:t>
            </w:r>
          </w:p>
        </w:tc>
      </w:tr>
      <w:tr w:rsidR="003F5413" w:rsidRPr="004A0C12" w14:paraId="20020AA0"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single" w:sz="4" w:space="0" w:color="auto"/>
              <w:right w:val="single" w:sz="4" w:space="0" w:color="auto"/>
            </w:tcBorders>
            <w:noWrap/>
            <w:hideMark/>
          </w:tcPr>
          <w:p w14:paraId="6C8B229A"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4000" w:type="dxa"/>
            <w:tcBorders>
              <w:top w:val="single" w:sz="4" w:space="0" w:color="auto"/>
              <w:left w:val="single" w:sz="4" w:space="0" w:color="auto"/>
              <w:bottom w:val="single" w:sz="4" w:space="0" w:color="auto"/>
            </w:tcBorders>
            <w:noWrap/>
            <w:hideMark/>
          </w:tcPr>
          <w:p w14:paraId="30BB6442"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Management of companies and enterprises</w:t>
            </w:r>
          </w:p>
        </w:tc>
      </w:tr>
      <w:tr w:rsidR="003F5413" w:rsidRPr="004A0C12" w14:paraId="52C7C937"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single" w:sz="4" w:space="0" w:color="auto"/>
              <w:right w:val="single" w:sz="4" w:space="0" w:color="auto"/>
            </w:tcBorders>
            <w:noWrap/>
            <w:hideMark/>
          </w:tcPr>
          <w:p w14:paraId="095E5D04"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4000" w:type="dxa"/>
            <w:tcBorders>
              <w:top w:val="single" w:sz="4" w:space="0" w:color="auto"/>
              <w:left w:val="single" w:sz="4" w:space="0" w:color="auto"/>
              <w:bottom w:val="single" w:sz="4" w:space="0" w:color="auto"/>
            </w:tcBorders>
            <w:noWrap/>
            <w:hideMark/>
          </w:tcPr>
          <w:p w14:paraId="04232179"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Administrative and waste services</w:t>
            </w:r>
          </w:p>
        </w:tc>
      </w:tr>
      <w:tr w:rsidR="003F5413" w:rsidRPr="004A0C12" w14:paraId="204D86D5"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nil"/>
              <w:right w:val="single" w:sz="4" w:space="0" w:color="auto"/>
            </w:tcBorders>
            <w:noWrap/>
            <w:hideMark/>
          </w:tcPr>
          <w:p w14:paraId="557F2DE7" w14:textId="77777777" w:rsidR="003F5413" w:rsidRPr="004A0C12" w:rsidRDefault="003F5413" w:rsidP="003F5413">
            <w:pPr>
              <w:rPr>
                <w:rFonts w:ascii="Garamond" w:eastAsia="Times New Roman" w:hAnsi="Garamond"/>
                <w:color w:val="000000"/>
              </w:rPr>
            </w:pPr>
          </w:p>
        </w:tc>
        <w:tc>
          <w:tcPr>
            <w:tcW w:w="4000" w:type="dxa"/>
            <w:tcBorders>
              <w:top w:val="single" w:sz="4" w:space="0" w:color="auto"/>
              <w:left w:val="single" w:sz="4" w:space="0" w:color="auto"/>
              <w:bottom w:val="single" w:sz="4" w:space="0" w:color="auto"/>
            </w:tcBorders>
            <w:noWrap/>
            <w:hideMark/>
          </w:tcPr>
          <w:p w14:paraId="0B10D87A"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41037216"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nil"/>
              <w:bottom w:val="single" w:sz="8" w:space="0" w:color="4F81BD" w:themeColor="accent1"/>
              <w:right w:val="single" w:sz="4" w:space="0" w:color="auto"/>
            </w:tcBorders>
            <w:noWrap/>
            <w:hideMark/>
          </w:tcPr>
          <w:p w14:paraId="593A49EE" w14:textId="77777777" w:rsidR="003F5413" w:rsidRPr="004A0C12" w:rsidRDefault="003F5413" w:rsidP="003F5413">
            <w:pPr>
              <w:rPr>
                <w:rFonts w:ascii="Garamond" w:eastAsia="Times New Roman" w:hAnsi="Garamond"/>
                <w:color w:val="000000"/>
              </w:rPr>
            </w:pPr>
          </w:p>
        </w:tc>
        <w:tc>
          <w:tcPr>
            <w:tcW w:w="4000" w:type="dxa"/>
            <w:tcBorders>
              <w:top w:val="single" w:sz="4" w:space="0" w:color="auto"/>
              <w:left w:val="single" w:sz="4" w:space="0" w:color="auto"/>
              <w:bottom w:val="single" w:sz="8" w:space="0" w:color="4F81BD" w:themeColor="accent1"/>
            </w:tcBorders>
            <w:noWrap/>
            <w:hideMark/>
          </w:tcPr>
          <w:p w14:paraId="2C332447"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bl>
    <w:p w14:paraId="3C3C9BF8" w14:textId="77777777" w:rsidR="003F5413" w:rsidRPr="004A0C12" w:rsidRDefault="003F5413" w:rsidP="003F5413">
      <w:pPr>
        <w:rPr>
          <w:rFonts w:ascii="Garamond" w:hAnsi="Garamond"/>
        </w:rPr>
      </w:pPr>
    </w:p>
    <w:tbl>
      <w:tblPr>
        <w:tblStyle w:val="LightList-Accent1"/>
        <w:tblW w:w="8455" w:type="dxa"/>
        <w:jc w:val="center"/>
        <w:tblLook w:val="04A0" w:firstRow="1" w:lastRow="0" w:firstColumn="1" w:lastColumn="0" w:noHBand="0" w:noVBand="1"/>
        <w:tblCaption w:val="Baltimore County"/>
        <w:tblDescription w:val="Growth industries are: Retail trade; Finance and insurance; Real estate and rental and leasing; Professional and technical services; Administrative and waste services; Educational services; Health care and social assistance. Emerging industries are: Agriculture, forestry, fishing and hunting; Mining, quarrying, and oil and gas extraction; Arts, entertainment, and recreation; Accommodation and food services.&#10;&#10;"/>
      </w:tblPr>
      <w:tblGrid>
        <w:gridCol w:w="4498"/>
        <w:gridCol w:w="3957"/>
      </w:tblGrid>
      <w:tr w:rsidR="003F5413" w:rsidRPr="004A0C12" w14:paraId="190BBE67"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455" w:type="dxa"/>
            <w:gridSpan w:val="2"/>
            <w:tcBorders>
              <w:bottom w:val="single" w:sz="8" w:space="0" w:color="4F81BD" w:themeColor="accent1"/>
            </w:tcBorders>
            <w:noWrap/>
            <w:hideMark/>
          </w:tcPr>
          <w:p w14:paraId="7C385B19"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Baltimore County</w:t>
            </w:r>
          </w:p>
        </w:tc>
      </w:tr>
      <w:tr w:rsidR="003F5413" w:rsidRPr="004A0C12" w14:paraId="31D04A15"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bottom w:val="single" w:sz="4" w:space="0" w:color="auto"/>
              <w:right w:val="single" w:sz="4" w:space="0" w:color="auto"/>
            </w:tcBorders>
            <w:noWrap/>
            <w:hideMark/>
          </w:tcPr>
          <w:p w14:paraId="729433AE"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957" w:type="dxa"/>
            <w:tcBorders>
              <w:left w:val="single" w:sz="4" w:space="0" w:color="auto"/>
              <w:bottom w:val="single" w:sz="4" w:space="0" w:color="auto"/>
            </w:tcBorders>
            <w:noWrap/>
            <w:hideMark/>
          </w:tcPr>
          <w:p w14:paraId="3A8F983E"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 xml:space="preserve">Emerging </w:t>
            </w:r>
          </w:p>
        </w:tc>
      </w:tr>
      <w:tr w:rsidR="003F5413" w:rsidRPr="004A0C12" w14:paraId="6F523FF0"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top w:val="single" w:sz="4" w:space="0" w:color="auto"/>
              <w:bottom w:val="single" w:sz="4" w:space="0" w:color="auto"/>
              <w:right w:val="single" w:sz="4" w:space="0" w:color="auto"/>
            </w:tcBorders>
            <w:noWrap/>
            <w:hideMark/>
          </w:tcPr>
          <w:p w14:paraId="1EB6CD04"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Retail trade</w:t>
            </w:r>
          </w:p>
        </w:tc>
        <w:tc>
          <w:tcPr>
            <w:tcW w:w="3957" w:type="dxa"/>
            <w:tcBorders>
              <w:top w:val="single" w:sz="4" w:space="0" w:color="auto"/>
              <w:left w:val="single" w:sz="4" w:space="0" w:color="auto"/>
              <w:bottom w:val="single" w:sz="4" w:space="0" w:color="auto"/>
            </w:tcBorders>
            <w:noWrap/>
            <w:hideMark/>
          </w:tcPr>
          <w:p w14:paraId="65E3CD92"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Agriculture, forestry, fishing and hunting</w:t>
            </w:r>
          </w:p>
        </w:tc>
      </w:tr>
      <w:tr w:rsidR="003F5413" w:rsidRPr="004A0C12" w14:paraId="1CC45783"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top w:val="single" w:sz="4" w:space="0" w:color="auto"/>
              <w:bottom w:val="single" w:sz="4" w:space="0" w:color="auto"/>
              <w:right w:val="single" w:sz="4" w:space="0" w:color="auto"/>
            </w:tcBorders>
            <w:noWrap/>
            <w:hideMark/>
          </w:tcPr>
          <w:p w14:paraId="416BDB97"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Finance and insurance</w:t>
            </w:r>
          </w:p>
        </w:tc>
        <w:tc>
          <w:tcPr>
            <w:tcW w:w="3957" w:type="dxa"/>
            <w:tcBorders>
              <w:top w:val="single" w:sz="4" w:space="0" w:color="auto"/>
              <w:left w:val="single" w:sz="4" w:space="0" w:color="auto"/>
              <w:bottom w:val="single" w:sz="4" w:space="0" w:color="auto"/>
            </w:tcBorders>
            <w:noWrap/>
            <w:hideMark/>
          </w:tcPr>
          <w:p w14:paraId="61D3FE01"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Mining, quarrying, and oil and gas extraction</w:t>
            </w:r>
          </w:p>
        </w:tc>
      </w:tr>
      <w:tr w:rsidR="003F5413" w:rsidRPr="004A0C12" w14:paraId="03939975"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top w:val="single" w:sz="4" w:space="0" w:color="auto"/>
              <w:bottom w:val="single" w:sz="4" w:space="0" w:color="auto"/>
              <w:right w:val="single" w:sz="4" w:space="0" w:color="auto"/>
            </w:tcBorders>
            <w:noWrap/>
            <w:hideMark/>
          </w:tcPr>
          <w:p w14:paraId="335E0CB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Real estate and rental and leasing</w:t>
            </w:r>
          </w:p>
        </w:tc>
        <w:tc>
          <w:tcPr>
            <w:tcW w:w="3957" w:type="dxa"/>
            <w:tcBorders>
              <w:top w:val="single" w:sz="4" w:space="0" w:color="auto"/>
              <w:left w:val="single" w:sz="4" w:space="0" w:color="auto"/>
              <w:bottom w:val="single" w:sz="4" w:space="0" w:color="auto"/>
            </w:tcBorders>
            <w:noWrap/>
            <w:hideMark/>
          </w:tcPr>
          <w:p w14:paraId="3A199C72"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Arts, entertainment, and recreation</w:t>
            </w:r>
          </w:p>
        </w:tc>
      </w:tr>
      <w:tr w:rsidR="003F5413" w:rsidRPr="004A0C12" w14:paraId="6CC58700"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top w:val="single" w:sz="4" w:space="0" w:color="auto"/>
              <w:bottom w:val="single" w:sz="4" w:space="0" w:color="auto"/>
              <w:right w:val="single" w:sz="4" w:space="0" w:color="auto"/>
            </w:tcBorders>
            <w:noWrap/>
            <w:hideMark/>
          </w:tcPr>
          <w:p w14:paraId="5072E16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Professional and technical services</w:t>
            </w:r>
          </w:p>
        </w:tc>
        <w:tc>
          <w:tcPr>
            <w:tcW w:w="3957" w:type="dxa"/>
            <w:tcBorders>
              <w:top w:val="single" w:sz="4" w:space="0" w:color="auto"/>
              <w:left w:val="single" w:sz="4" w:space="0" w:color="auto"/>
              <w:bottom w:val="single" w:sz="4" w:space="0" w:color="auto"/>
            </w:tcBorders>
            <w:noWrap/>
            <w:hideMark/>
          </w:tcPr>
          <w:p w14:paraId="623D8288"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Accommodation and food services</w:t>
            </w:r>
          </w:p>
        </w:tc>
      </w:tr>
      <w:tr w:rsidR="003F5413" w:rsidRPr="004A0C12" w14:paraId="5E37DDD5"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top w:val="single" w:sz="4" w:space="0" w:color="auto"/>
              <w:bottom w:val="single" w:sz="4" w:space="0" w:color="auto"/>
              <w:right w:val="single" w:sz="4" w:space="0" w:color="auto"/>
            </w:tcBorders>
            <w:noWrap/>
            <w:hideMark/>
          </w:tcPr>
          <w:p w14:paraId="70D904E8"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Administrative and waste services</w:t>
            </w:r>
          </w:p>
        </w:tc>
        <w:tc>
          <w:tcPr>
            <w:tcW w:w="3957" w:type="dxa"/>
            <w:tcBorders>
              <w:top w:val="single" w:sz="4" w:space="0" w:color="auto"/>
              <w:left w:val="single" w:sz="4" w:space="0" w:color="auto"/>
              <w:bottom w:val="nil"/>
            </w:tcBorders>
            <w:noWrap/>
            <w:hideMark/>
          </w:tcPr>
          <w:p w14:paraId="509E2680"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r w:rsidR="003F5413" w:rsidRPr="004A0C12" w14:paraId="543CB793"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top w:val="single" w:sz="4" w:space="0" w:color="auto"/>
              <w:bottom w:val="single" w:sz="4" w:space="0" w:color="auto"/>
              <w:right w:val="single" w:sz="4" w:space="0" w:color="auto"/>
            </w:tcBorders>
            <w:noWrap/>
            <w:hideMark/>
          </w:tcPr>
          <w:p w14:paraId="20460C59"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Educational services</w:t>
            </w:r>
          </w:p>
        </w:tc>
        <w:tc>
          <w:tcPr>
            <w:tcW w:w="3957" w:type="dxa"/>
            <w:tcBorders>
              <w:top w:val="nil"/>
              <w:left w:val="single" w:sz="4" w:space="0" w:color="auto"/>
              <w:bottom w:val="nil"/>
            </w:tcBorders>
            <w:noWrap/>
            <w:hideMark/>
          </w:tcPr>
          <w:p w14:paraId="3A546F40"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p>
        </w:tc>
      </w:tr>
      <w:tr w:rsidR="003F5413" w:rsidRPr="004A0C12" w14:paraId="00BBB631"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top w:val="single" w:sz="4" w:space="0" w:color="auto"/>
              <w:bottom w:val="single" w:sz="8" w:space="0" w:color="4F81BD" w:themeColor="accent1"/>
              <w:right w:val="single" w:sz="4" w:space="0" w:color="auto"/>
            </w:tcBorders>
            <w:noWrap/>
            <w:hideMark/>
          </w:tcPr>
          <w:p w14:paraId="385B6DA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Health care and social assistance</w:t>
            </w:r>
          </w:p>
        </w:tc>
        <w:tc>
          <w:tcPr>
            <w:tcW w:w="3957" w:type="dxa"/>
            <w:tcBorders>
              <w:top w:val="nil"/>
              <w:left w:val="single" w:sz="4" w:space="0" w:color="auto"/>
              <w:bottom w:val="single" w:sz="8" w:space="0" w:color="4F81BD" w:themeColor="accent1"/>
            </w:tcBorders>
            <w:noWrap/>
            <w:hideMark/>
          </w:tcPr>
          <w:p w14:paraId="26896A32"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bl>
    <w:p w14:paraId="3C4927DA" w14:textId="77777777" w:rsidR="003F5413" w:rsidRPr="004A0C12" w:rsidRDefault="003F5413" w:rsidP="003F5413">
      <w:pPr>
        <w:rPr>
          <w:rFonts w:ascii="Garamond" w:hAnsi="Garamond"/>
        </w:rPr>
      </w:pPr>
    </w:p>
    <w:p w14:paraId="5D8ABCEC" w14:textId="77777777" w:rsidR="003F5413" w:rsidRPr="004A0C12" w:rsidRDefault="003F5413" w:rsidP="003F5413">
      <w:pPr>
        <w:rPr>
          <w:rFonts w:ascii="Garamond" w:hAnsi="Garamond"/>
        </w:rPr>
      </w:pPr>
      <w:r w:rsidRPr="004A0C12">
        <w:rPr>
          <w:rFonts w:ascii="Garamond" w:hAnsi="Garamond"/>
        </w:rPr>
        <w:br w:type="page"/>
      </w:r>
    </w:p>
    <w:p w14:paraId="2E7E902A" w14:textId="77777777" w:rsidR="003F5413" w:rsidRPr="004A0C12" w:rsidRDefault="003F5413" w:rsidP="003F5413">
      <w:pPr>
        <w:rPr>
          <w:rFonts w:ascii="Garamond" w:hAnsi="Garamond"/>
        </w:rPr>
      </w:pPr>
    </w:p>
    <w:tbl>
      <w:tblPr>
        <w:tblStyle w:val="LightList-Accent1"/>
        <w:tblW w:w="8455" w:type="dxa"/>
        <w:jc w:val="center"/>
        <w:tblLook w:val="04A0" w:firstRow="1" w:lastRow="0" w:firstColumn="1" w:lastColumn="0" w:noHBand="0" w:noVBand="1"/>
        <w:tblCaption w:val="Baltimore City"/>
        <w:tblDescription w:val="Growth industries are: Utilities; Administrative and waste services; &#10;Educational Services; Arts, entertainment, and recreation. Emerging industries are: Wholesale Trade; Retail Trade; Real estate and rental and leasing; Professional and technical services; Management of companies and enterprises; Accommodation and food services.&#10;&#10;&#10;"/>
      </w:tblPr>
      <w:tblGrid>
        <w:gridCol w:w="4498"/>
        <w:gridCol w:w="3957"/>
      </w:tblGrid>
      <w:tr w:rsidR="003F5413" w:rsidRPr="004A0C12" w14:paraId="262FDFED"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455" w:type="dxa"/>
            <w:gridSpan w:val="2"/>
            <w:tcBorders>
              <w:top w:val="single" w:sz="4" w:space="0" w:color="4F81BD" w:themeColor="accent1"/>
              <w:left w:val="single" w:sz="4" w:space="0" w:color="4F81BD" w:themeColor="accent1"/>
              <w:bottom w:val="single" w:sz="8" w:space="0" w:color="4F81BD" w:themeColor="accent1"/>
              <w:right w:val="single" w:sz="4" w:space="0" w:color="4F81BD" w:themeColor="accent1"/>
            </w:tcBorders>
            <w:noWrap/>
            <w:hideMark/>
          </w:tcPr>
          <w:p w14:paraId="486D5A59"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Baltimore City</w:t>
            </w:r>
          </w:p>
        </w:tc>
      </w:tr>
      <w:tr w:rsidR="003F5413" w:rsidRPr="004A0C12" w14:paraId="1521A061"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left w:val="single" w:sz="4" w:space="0" w:color="4F81BD" w:themeColor="accent1"/>
              <w:bottom w:val="single" w:sz="4" w:space="0" w:color="auto"/>
              <w:right w:val="single" w:sz="4" w:space="0" w:color="auto"/>
            </w:tcBorders>
            <w:noWrap/>
            <w:hideMark/>
          </w:tcPr>
          <w:p w14:paraId="15AE478A"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957" w:type="dxa"/>
            <w:tcBorders>
              <w:left w:val="single" w:sz="4" w:space="0" w:color="auto"/>
              <w:bottom w:val="single" w:sz="4" w:space="0" w:color="auto"/>
              <w:right w:val="single" w:sz="4" w:space="0" w:color="4F81BD" w:themeColor="accent1"/>
            </w:tcBorders>
            <w:noWrap/>
            <w:hideMark/>
          </w:tcPr>
          <w:p w14:paraId="59FB34B3"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 xml:space="preserve">Emerging </w:t>
            </w:r>
          </w:p>
        </w:tc>
      </w:tr>
      <w:tr w:rsidR="003F5413" w:rsidRPr="004A0C12" w14:paraId="72B159E8"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top w:val="single" w:sz="4" w:space="0" w:color="auto"/>
              <w:left w:val="single" w:sz="4" w:space="0" w:color="4F81BD" w:themeColor="accent1"/>
              <w:bottom w:val="single" w:sz="4" w:space="0" w:color="auto"/>
              <w:right w:val="single" w:sz="4" w:space="0" w:color="auto"/>
            </w:tcBorders>
            <w:noWrap/>
          </w:tcPr>
          <w:p w14:paraId="46126B8D"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Utilities</w:t>
            </w:r>
          </w:p>
        </w:tc>
        <w:tc>
          <w:tcPr>
            <w:tcW w:w="3957" w:type="dxa"/>
            <w:tcBorders>
              <w:top w:val="single" w:sz="4" w:space="0" w:color="auto"/>
              <w:left w:val="single" w:sz="4" w:space="0" w:color="auto"/>
              <w:bottom w:val="single" w:sz="4" w:space="0" w:color="auto"/>
              <w:right w:val="single" w:sz="4" w:space="0" w:color="4F81BD" w:themeColor="accent1"/>
            </w:tcBorders>
            <w:noWrap/>
          </w:tcPr>
          <w:p w14:paraId="4BB4D08C"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 xml:space="preserve">Wholesale Trade </w:t>
            </w:r>
          </w:p>
        </w:tc>
      </w:tr>
      <w:tr w:rsidR="003F5413" w:rsidRPr="004A0C12" w14:paraId="32F1ADA4" w14:textId="77777777" w:rsidTr="003F5413">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4498" w:type="dxa"/>
            <w:vMerge w:val="restart"/>
            <w:tcBorders>
              <w:top w:val="single" w:sz="4" w:space="0" w:color="auto"/>
              <w:left w:val="single" w:sz="4" w:space="0" w:color="4F81BD" w:themeColor="accent1"/>
              <w:right w:val="single" w:sz="4" w:space="0" w:color="auto"/>
            </w:tcBorders>
            <w:noWrap/>
          </w:tcPr>
          <w:p w14:paraId="18D30B5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Administrative and waste services</w:t>
            </w:r>
          </w:p>
        </w:tc>
        <w:tc>
          <w:tcPr>
            <w:tcW w:w="3957" w:type="dxa"/>
            <w:tcBorders>
              <w:top w:val="single" w:sz="4" w:space="0" w:color="auto"/>
              <w:left w:val="single" w:sz="4" w:space="0" w:color="auto"/>
              <w:bottom w:val="single" w:sz="4" w:space="0" w:color="auto"/>
              <w:right w:val="single" w:sz="4" w:space="0" w:color="4F81BD" w:themeColor="accent1"/>
            </w:tcBorders>
            <w:noWrap/>
          </w:tcPr>
          <w:p w14:paraId="7366344F"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Retail Trade</w:t>
            </w:r>
          </w:p>
        </w:tc>
      </w:tr>
      <w:tr w:rsidR="003F5413" w:rsidRPr="004A0C12" w14:paraId="2418BA28" w14:textId="77777777" w:rsidTr="003F5413">
        <w:trPr>
          <w:trHeight w:val="277"/>
          <w:jc w:val="center"/>
        </w:trPr>
        <w:tc>
          <w:tcPr>
            <w:cnfStyle w:val="001000000000" w:firstRow="0" w:lastRow="0" w:firstColumn="1" w:lastColumn="0" w:oddVBand="0" w:evenVBand="0" w:oddHBand="0" w:evenHBand="0" w:firstRowFirstColumn="0" w:firstRowLastColumn="0" w:lastRowFirstColumn="0" w:lastRowLastColumn="0"/>
            <w:tcW w:w="4498" w:type="dxa"/>
            <w:vMerge/>
            <w:tcBorders>
              <w:left w:val="single" w:sz="4" w:space="0" w:color="4F81BD" w:themeColor="accent1"/>
              <w:bottom w:val="single" w:sz="4" w:space="0" w:color="auto"/>
              <w:right w:val="single" w:sz="4" w:space="0" w:color="auto"/>
            </w:tcBorders>
            <w:noWrap/>
          </w:tcPr>
          <w:p w14:paraId="7C9F38A1" w14:textId="77777777" w:rsidR="003F5413" w:rsidRPr="004A0C12" w:rsidRDefault="003F5413" w:rsidP="003F5413">
            <w:pPr>
              <w:rPr>
                <w:rFonts w:ascii="Garamond" w:eastAsia="Times New Roman" w:hAnsi="Garamond"/>
                <w:b w:val="0"/>
                <w:color w:val="000000"/>
              </w:rPr>
            </w:pPr>
          </w:p>
        </w:tc>
        <w:tc>
          <w:tcPr>
            <w:tcW w:w="3957" w:type="dxa"/>
            <w:tcBorders>
              <w:top w:val="single" w:sz="4" w:space="0" w:color="auto"/>
              <w:left w:val="single" w:sz="4" w:space="0" w:color="auto"/>
              <w:bottom w:val="single" w:sz="4" w:space="0" w:color="auto"/>
              <w:right w:val="single" w:sz="4" w:space="0" w:color="4F81BD" w:themeColor="accent1"/>
            </w:tcBorders>
            <w:noWrap/>
          </w:tcPr>
          <w:p w14:paraId="034C6058"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Real estate and rental and leasing</w:t>
            </w:r>
          </w:p>
        </w:tc>
      </w:tr>
      <w:tr w:rsidR="003F5413" w:rsidRPr="004A0C12" w14:paraId="3CCBBBFB"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98" w:type="dxa"/>
            <w:tcBorders>
              <w:top w:val="single" w:sz="4" w:space="0" w:color="auto"/>
              <w:left w:val="single" w:sz="4" w:space="0" w:color="4F81BD" w:themeColor="accent1"/>
              <w:bottom w:val="single" w:sz="4" w:space="0" w:color="auto"/>
              <w:right w:val="single" w:sz="4" w:space="0" w:color="auto"/>
            </w:tcBorders>
            <w:noWrap/>
          </w:tcPr>
          <w:p w14:paraId="63AA4E1F"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 xml:space="preserve">Educational Services </w:t>
            </w:r>
          </w:p>
        </w:tc>
        <w:tc>
          <w:tcPr>
            <w:tcW w:w="3957" w:type="dxa"/>
            <w:tcBorders>
              <w:top w:val="single" w:sz="4" w:space="0" w:color="auto"/>
              <w:left w:val="single" w:sz="4" w:space="0" w:color="auto"/>
              <w:bottom w:val="single" w:sz="4" w:space="0" w:color="auto"/>
              <w:right w:val="single" w:sz="4" w:space="0" w:color="4F81BD" w:themeColor="accent1"/>
            </w:tcBorders>
            <w:noWrap/>
          </w:tcPr>
          <w:p w14:paraId="1783F7F2"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Professional and technical services</w:t>
            </w:r>
          </w:p>
        </w:tc>
      </w:tr>
      <w:tr w:rsidR="003F5413" w:rsidRPr="004A0C12" w14:paraId="0819F196" w14:textId="77777777" w:rsidTr="003F5413">
        <w:trPr>
          <w:trHeight w:val="278"/>
          <w:jc w:val="center"/>
        </w:trPr>
        <w:tc>
          <w:tcPr>
            <w:cnfStyle w:val="001000000000" w:firstRow="0" w:lastRow="0" w:firstColumn="1" w:lastColumn="0" w:oddVBand="0" w:evenVBand="0" w:oddHBand="0" w:evenHBand="0" w:firstRowFirstColumn="0" w:firstRowLastColumn="0" w:lastRowFirstColumn="0" w:lastRowLastColumn="0"/>
            <w:tcW w:w="4498" w:type="dxa"/>
            <w:vMerge w:val="restart"/>
            <w:tcBorders>
              <w:top w:val="single" w:sz="4" w:space="0" w:color="auto"/>
              <w:left w:val="single" w:sz="4" w:space="0" w:color="4F81BD" w:themeColor="accent1"/>
              <w:right w:val="single" w:sz="4" w:space="0" w:color="auto"/>
            </w:tcBorders>
            <w:noWrap/>
          </w:tcPr>
          <w:p w14:paraId="6EF76772"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Arts, entertainment, and recreation</w:t>
            </w:r>
          </w:p>
        </w:tc>
        <w:tc>
          <w:tcPr>
            <w:tcW w:w="3957" w:type="dxa"/>
            <w:tcBorders>
              <w:top w:val="single" w:sz="4" w:space="0" w:color="auto"/>
              <w:left w:val="single" w:sz="4" w:space="0" w:color="auto"/>
              <w:bottom w:val="single" w:sz="4" w:space="0" w:color="auto"/>
              <w:right w:val="single" w:sz="4" w:space="0" w:color="4F81BD" w:themeColor="accent1"/>
            </w:tcBorders>
            <w:noWrap/>
          </w:tcPr>
          <w:p w14:paraId="24486365"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Management of companies and enterprises</w:t>
            </w:r>
          </w:p>
        </w:tc>
      </w:tr>
      <w:tr w:rsidR="003F5413" w:rsidRPr="004A0C12" w14:paraId="084917FD" w14:textId="77777777" w:rsidTr="003F5413">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4498" w:type="dxa"/>
            <w:vMerge/>
            <w:tcBorders>
              <w:left w:val="single" w:sz="4" w:space="0" w:color="4F81BD" w:themeColor="accent1"/>
              <w:bottom w:val="single" w:sz="4" w:space="0" w:color="4F81BD" w:themeColor="accent1"/>
              <w:right w:val="single" w:sz="4" w:space="0" w:color="auto"/>
            </w:tcBorders>
            <w:noWrap/>
          </w:tcPr>
          <w:p w14:paraId="6655BD70" w14:textId="77777777" w:rsidR="003F5413" w:rsidRPr="004A0C12" w:rsidRDefault="003F5413" w:rsidP="003F5413">
            <w:pPr>
              <w:rPr>
                <w:rFonts w:ascii="Garamond" w:eastAsia="Times New Roman" w:hAnsi="Garamond"/>
                <w:b w:val="0"/>
                <w:color w:val="000000"/>
              </w:rPr>
            </w:pPr>
          </w:p>
        </w:tc>
        <w:tc>
          <w:tcPr>
            <w:tcW w:w="3957" w:type="dxa"/>
            <w:tcBorders>
              <w:top w:val="single" w:sz="4" w:space="0" w:color="auto"/>
              <w:left w:val="single" w:sz="4" w:space="0" w:color="auto"/>
              <w:bottom w:val="single" w:sz="4" w:space="0" w:color="4F81BD" w:themeColor="accent1"/>
              <w:right w:val="single" w:sz="4" w:space="0" w:color="4F81BD" w:themeColor="accent1"/>
            </w:tcBorders>
            <w:noWrap/>
          </w:tcPr>
          <w:p w14:paraId="02516980"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Accommodation and food services</w:t>
            </w:r>
          </w:p>
        </w:tc>
      </w:tr>
    </w:tbl>
    <w:p w14:paraId="7729F922" w14:textId="77777777" w:rsidR="003F5413" w:rsidRPr="004A0C12" w:rsidRDefault="003F5413" w:rsidP="003F5413">
      <w:pPr>
        <w:rPr>
          <w:rFonts w:ascii="Garamond" w:hAnsi="Garamond"/>
        </w:rPr>
      </w:pPr>
    </w:p>
    <w:tbl>
      <w:tblPr>
        <w:tblStyle w:val="LightList-Accent1"/>
        <w:tblW w:w="8455" w:type="dxa"/>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auto"/>
          <w:insideV w:val="single" w:sz="4" w:space="0" w:color="auto"/>
        </w:tblBorders>
        <w:tblLook w:val="04A0" w:firstRow="1" w:lastRow="0" w:firstColumn="1" w:lastColumn="0" w:noHBand="0" w:noVBand="1"/>
        <w:tblCaption w:val="Calvert"/>
        <w:tblDescription w:val="Growth industries are : Construction; Health care and social assistance; Accommodation and food services; Other services, except public administration. Emerging industry is finance and insurance. "/>
      </w:tblPr>
      <w:tblGrid>
        <w:gridCol w:w="4498"/>
        <w:gridCol w:w="3957"/>
      </w:tblGrid>
      <w:tr w:rsidR="003F5413" w:rsidRPr="004A0C12" w14:paraId="7538E8DE"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455" w:type="dxa"/>
            <w:gridSpan w:val="2"/>
            <w:noWrap/>
            <w:hideMark/>
          </w:tcPr>
          <w:p w14:paraId="20479557"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Calvert</w:t>
            </w:r>
          </w:p>
        </w:tc>
      </w:tr>
      <w:tr w:rsidR="003F5413" w:rsidRPr="004A0C12" w14:paraId="700BD6F3"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98" w:type="dxa"/>
            <w:noWrap/>
            <w:hideMark/>
          </w:tcPr>
          <w:p w14:paraId="234A8AAE"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957" w:type="dxa"/>
            <w:noWrap/>
            <w:hideMark/>
          </w:tcPr>
          <w:p w14:paraId="7DB6FCC4"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 xml:space="preserve">Emerging </w:t>
            </w:r>
          </w:p>
        </w:tc>
      </w:tr>
      <w:tr w:rsidR="003F5413" w:rsidRPr="004A0C12" w14:paraId="153840EE"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98" w:type="dxa"/>
            <w:noWrap/>
          </w:tcPr>
          <w:p w14:paraId="114209E9"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957" w:type="dxa"/>
            <w:noWrap/>
          </w:tcPr>
          <w:p w14:paraId="2D82FD32"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Finance and insurance</w:t>
            </w:r>
          </w:p>
        </w:tc>
      </w:tr>
      <w:tr w:rsidR="003F5413" w:rsidRPr="004A0C12" w14:paraId="4F95F86B"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98" w:type="dxa"/>
            <w:noWrap/>
          </w:tcPr>
          <w:p w14:paraId="2A1FB52B"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Health care and social assistance</w:t>
            </w:r>
          </w:p>
        </w:tc>
        <w:tc>
          <w:tcPr>
            <w:tcW w:w="3957" w:type="dxa"/>
            <w:vMerge w:val="restart"/>
            <w:noWrap/>
          </w:tcPr>
          <w:p w14:paraId="1D75E9C5"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p>
        </w:tc>
      </w:tr>
      <w:tr w:rsidR="003F5413" w:rsidRPr="004A0C12" w14:paraId="09927131" w14:textId="77777777" w:rsidTr="003F5413">
        <w:trPr>
          <w:trHeight w:val="575"/>
          <w:jc w:val="center"/>
        </w:trPr>
        <w:tc>
          <w:tcPr>
            <w:cnfStyle w:val="001000000000" w:firstRow="0" w:lastRow="0" w:firstColumn="1" w:lastColumn="0" w:oddVBand="0" w:evenVBand="0" w:oddHBand="0" w:evenHBand="0" w:firstRowFirstColumn="0" w:firstRowLastColumn="0" w:lastRowFirstColumn="0" w:lastRowLastColumn="0"/>
            <w:tcW w:w="4498" w:type="dxa"/>
            <w:noWrap/>
          </w:tcPr>
          <w:p w14:paraId="4767F025"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957" w:type="dxa"/>
            <w:vMerge/>
            <w:noWrap/>
          </w:tcPr>
          <w:p w14:paraId="79749C05"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b/>
                <w:color w:val="000000"/>
              </w:rPr>
            </w:pPr>
          </w:p>
        </w:tc>
      </w:tr>
      <w:tr w:rsidR="003F5413" w:rsidRPr="004A0C12" w14:paraId="121DDDB1" w14:textId="77777777" w:rsidTr="003F5413">
        <w:trPr>
          <w:cnfStyle w:val="000000100000" w:firstRow="0" w:lastRow="0" w:firstColumn="0" w:lastColumn="0" w:oddVBand="0" w:evenVBand="0" w:oddHBand="1" w:evenHBand="0" w:firstRowFirstColumn="0" w:firstRowLastColumn="0" w:lastRowFirstColumn="0" w:lastRowLastColumn="0"/>
          <w:trHeight w:val="575"/>
          <w:jc w:val="center"/>
        </w:trPr>
        <w:tc>
          <w:tcPr>
            <w:cnfStyle w:val="001000000000" w:firstRow="0" w:lastRow="0" w:firstColumn="1" w:lastColumn="0" w:oddVBand="0" w:evenVBand="0" w:oddHBand="0" w:evenHBand="0" w:firstRowFirstColumn="0" w:firstRowLastColumn="0" w:lastRowFirstColumn="0" w:lastRowLastColumn="0"/>
            <w:tcW w:w="4498" w:type="dxa"/>
            <w:noWrap/>
          </w:tcPr>
          <w:p w14:paraId="520D249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3957" w:type="dxa"/>
            <w:vMerge/>
            <w:noWrap/>
          </w:tcPr>
          <w:p w14:paraId="5D409841"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p>
        </w:tc>
      </w:tr>
    </w:tbl>
    <w:p w14:paraId="1ECE8E3E" w14:textId="77777777" w:rsidR="003F5413" w:rsidRPr="004A0C12" w:rsidRDefault="003F5413" w:rsidP="003F5413">
      <w:pPr>
        <w:rPr>
          <w:rFonts w:ascii="Garamond" w:hAnsi="Garamond"/>
        </w:rPr>
      </w:pPr>
    </w:p>
    <w:tbl>
      <w:tblPr>
        <w:tblStyle w:val="LightList-Accent1"/>
        <w:tblW w:w="8402" w:type="dxa"/>
        <w:jc w:val="center"/>
        <w:tblLook w:val="04A0" w:firstRow="1" w:lastRow="0" w:firstColumn="1" w:lastColumn="0" w:noHBand="0" w:noVBand="1"/>
        <w:tblCaption w:val="Caroline"/>
        <w:tblDescription w:val="Growth industries are: Construction; Retail trade; Transportation and warehousing. Emerging industry is Professional and technical services. &#10;"/>
      </w:tblPr>
      <w:tblGrid>
        <w:gridCol w:w="4471"/>
        <w:gridCol w:w="3931"/>
      </w:tblGrid>
      <w:tr w:rsidR="003F5413" w:rsidRPr="004A0C12" w14:paraId="5A146F64"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402" w:type="dxa"/>
            <w:gridSpan w:val="2"/>
            <w:tcBorders>
              <w:bottom w:val="single" w:sz="4" w:space="0" w:color="auto"/>
            </w:tcBorders>
            <w:noWrap/>
            <w:hideMark/>
          </w:tcPr>
          <w:p w14:paraId="7533AA2D"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Caroline</w:t>
            </w:r>
          </w:p>
        </w:tc>
      </w:tr>
      <w:tr w:rsidR="003F5413" w:rsidRPr="004A0C12" w14:paraId="1681FBB4"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71" w:type="dxa"/>
            <w:tcBorders>
              <w:top w:val="single" w:sz="4" w:space="0" w:color="auto"/>
              <w:left w:val="single" w:sz="4" w:space="0" w:color="auto"/>
              <w:bottom w:val="single" w:sz="4" w:space="0" w:color="auto"/>
              <w:right w:val="single" w:sz="4" w:space="0" w:color="auto"/>
            </w:tcBorders>
            <w:noWrap/>
            <w:hideMark/>
          </w:tcPr>
          <w:p w14:paraId="5D0230A9"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931" w:type="dxa"/>
            <w:tcBorders>
              <w:top w:val="single" w:sz="4" w:space="0" w:color="auto"/>
              <w:left w:val="single" w:sz="4" w:space="0" w:color="auto"/>
              <w:bottom w:val="single" w:sz="4" w:space="0" w:color="auto"/>
              <w:right w:val="single" w:sz="4" w:space="0" w:color="auto"/>
            </w:tcBorders>
            <w:noWrap/>
            <w:hideMark/>
          </w:tcPr>
          <w:p w14:paraId="38119B5C"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3CC3C875"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71" w:type="dxa"/>
            <w:tcBorders>
              <w:top w:val="single" w:sz="4" w:space="0" w:color="auto"/>
              <w:left w:val="single" w:sz="4" w:space="0" w:color="auto"/>
              <w:bottom w:val="single" w:sz="4" w:space="0" w:color="auto"/>
              <w:right w:val="single" w:sz="4" w:space="0" w:color="auto"/>
            </w:tcBorders>
            <w:noWrap/>
            <w:hideMark/>
          </w:tcPr>
          <w:p w14:paraId="13A1F5B8"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931" w:type="dxa"/>
            <w:tcBorders>
              <w:top w:val="single" w:sz="4" w:space="0" w:color="auto"/>
              <w:left w:val="single" w:sz="4" w:space="0" w:color="auto"/>
              <w:bottom w:val="single" w:sz="4" w:space="0" w:color="auto"/>
              <w:right w:val="single" w:sz="4" w:space="0" w:color="auto"/>
            </w:tcBorders>
            <w:noWrap/>
            <w:hideMark/>
          </w:tcPr>
          <w:p w14:paraId="475C58B4"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Professional and technical services</w:t>
            </w:r>
          </w:p>
        </w:tc>
      </w:tr>
      <w:tr w:rsidR="003F5413" w:rsidRPr="004A0C12" w14:paraId="485FB440"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71" w:type="dxa"/>
            <w:tcBorders>
              <w:top w:val="single" w:sz="4" w:space="0" w:color="auto"/>
              <w:left w:val="single" w:sz="4" w:space="0" w:color="auto"/>
              <w:bottom w:val="single" w:sz="4" w:space="0" w:color="auto"/>
              <w:right w:val="single" w:sz="4" w:space="0" w:color="auto"/>
            </w:tcBorders>
            <w:noWrap/>
            <w:hideMark/>
          </w:tcPr>
          <w:p w14:paraId="3DEE0CE4"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Retail trade</w:t>
            </w:r>
          </w:p>
        </w:tc>
        <w:tc>
          <w:tcPr>
            <w:tcW w:w="3931" w:type="dxa"/>
            <w:tcBorders>
              <w:top w:val="single" w:sz="4" w:space="0" w:color="auto"/>
              <w:left w:val="single" w:sz="4" w:space="0" w:color="auto"/>
              <w:bottom w:val="nil"/>
              <w:right w:val="single" w:sz="4" w:space="0" w:color="auto"/>
            </w:tcBorders>
            <w:noWrap/>
            <w:hideMark/>
          </w:tcPr>
          <w:p w14:paraId="70715F3E"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p>
        </w:tc>
      </w:tr>
      <w:tr w:rsidR="003F5413" w:rsidRPr="004A0C12" w14:paraId="6DFF752E"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71" w:type="dxa"/>
            <w:tcBorders>
              <w:top w:val="single" w:sz="4" w:space="0" w:color="auto"/>
              <w:left w:val="single" w:sz="4" w:space="0" w:color="auto"/>
              <w:bottom w:val="single" w:sz="4" w:space="0" w:color="auto"/>
              <w:right w:val="single" w:sz="4" w:space="0" w:color="auto"/>
            </w:tcBorders>
            <w:noWrap/>
            <w:hideMark/>
          </w:tcPr>
          <w:p w14:paraId="1A92D64A"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Transportation and warehousing</w:t>
            </w:r>
          </w:p>
        </w:tc>
        <w:tc>
          <w:tcPr>
            <w:tcW w:w="3931" w:type="dxa"/>
            <w:tcBorders>
              <w:top w:val="nil"/>
              <w:left w:val="single" w:sz="4" w:space="0" w:color="auto"/>
              <w:bottom w:val="single" w:sz="4" w:space="0" w:color="auto"/>
              <w:right w:val="single" w:sz="4" w:space="0" w:color="auto"/>
            </w:tcBorders>
            <w:noWrap/>
            <w:hideMark/>
          </w:tcPr>
          <w:p w14:paraId="0E33A2F6"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bl>
    <w:p w14:paraId="7C3F604A" w14:textId="77777777" w:rsidR="003F5413" w:rsidRPr="004A0C12" w:rsidRDefault="003F5413" w:rsidP="003F5413">
      <w:pPr>
        <w:rPr>
          <w:rFonts w:ascii="Garamond" w:hAnsi="Garamond"/>
        </w:rPr>
      </w:pPr>
    </w:p>
    <w:tbl>
      <w:tblPr>
        <w:tblStyle w:val="LightList-Accent1"/>
        <w:tblW w:w="8375" w:type="dxa"/>
        <w:jc w:val="center"/>
        <w:tblLook w:val="04A0" w:firstRow="1" w:lastRow="0" w:firstColumn="1" w:lastColumn="0" w:noHBand="0" w:noVBand="1"/>
        <w:tblCaption w:val="Carroll"/>
        <w:tblDescription w:val="Growth industries are: Construction; Administrative and waste services; Educational services; Health care and social assistance; Accommodation and food services; Other services, except public administration. Emerging industries are Wholesale trade; Arts, entertainment, and recreation.&#10;"/>
      </w:tblPr>
      <w:tblGrid>
        <w:gridCol w:w="4458"/>
        <w:gridCol w:w="3917"/>
      </w:tblGrid>
      <w:tr w:rsidR="003F5413" w:rsidRPr="004A0C12" w14:paraId="7ECE4DDF"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375" w:type="dxa"/>
            <w:gridSpan w:val="2"/>
            <w:tcBorders>
              <w:bottom w:val="single" w:sz="8" w:space="0" w:color="4F81BD" w:themeColor="accent1"/>
            </w:tcBorders>
            <w:noWrap/>
            <w:hideMark/>
          </w:tcPr>
          <w:p w14:paraId="265DFD62"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 xml:space="preserve">Carroll </w:t>
            </w:r>
          </w:p>
        </w:tc>
      </w:tr>
      <w:tr w:rsidR="003F5413" w:rsidRPr="004A0C12" w14:paraId="6F4D9C99"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58" w:type="dxa"/>
            <w:tcBorders>
              <w:right w:val="single" w:sz="4" w:space="0" w:color="auto"/>
            </w:tcBorders>
            <w:noWrap/>
            <w:hideMark/>
          </w:tcPr>
          <w:p w14:paraId="4B8E69D5"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3917" w:type="dxa"/>
            <w:tcBorders>
              <w:left w:val="single" w:sz="4" w:space="0" w:color="auto"/>
            </w:tcBorders>
            <w:noWrap/>
            <w:hideMark/>
          </w:tcPr>
          <w:p w14:paraId="317EFA1B"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39634884"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58" w:type="dxa"/>
            <w:tcBorders>
              <w:top w:val="single" w:sz="8" w:space="0" w:color="4F81BD" w:themeColor="accent1"/>
              <w:bottom w:val="single" w:sz="4" w:space="0" w:color="auto"/>
              <w:right w:val="single" w:sz="4" w:space="0" w:color="auto"/>
            </w:tcBorders>
            <w:noWrap/>
            <w:hideMark/>
          </w:tcPr>
          <w:p w14:paraId="0F7D7BAB"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917" w:type="dxa"/>
            <w:tcBorders>
              <w:top w:val="single" w:sz="8" w:space="0" w:color="4F81BD" w:themeColor="accent1"/>
              <w:left w:val="single" w:sz="4" w:space="0" w:color="auto"/>
              <w:bottom w:val="single" w:sz="4" w:space="0" w:color="auto"/>
            </w:tcBorders>
            <w:noWrap/>
            <w:hideMark/>
          </w:tcPr>
          <w:p w14:paraId="5BFDF9C1"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Wholesale trade</w:t>
            </w:r>
          </w:p>
        </w:tc>
      </w:tr>
      <w:tr w:rsidR="003F5413" w:rsidRPr="004A0C12" w14:paraId="573CB711"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58" w:type="dxa"/>
            <w:tcBorders>
              <w:top w:val="single" w:sz="4" w:space="0" w:color="auto"/>
              <w:bottom w:val="single" w:sz="4" w:space="0" w:color="auto"/>
              <w:right w:val="single" w:sz="4" w:space="0" w:color="auto"/>
            </w:tcBorders>
            <w:noWrap/>
            <w:hideMark/>
          </w:tcPr>
          <w:p w14:paraId="30E1BCE8"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Administrative and waste services</w:t>
            </w:r>
          </w:p>
        </w:tc>
        <w:tc>
          <w:tcPr>
            <w:tcW w:w="3917" w:type="dxa"/>
            <w:tcBorders>
              <w:top w:val="single" w:sz="4" w:space="0" w:color="auto"/>
              <w:left w:val="single" w:sz="4" w:space="0" w:color="auto"/>
              <w:bottom w:val="single" w:sz="4" w:space="0" w:color="auto"/>
            </w:tcBorders>
            <w:noWrap/>
            <w:hideMark/>
          </w:tcPr>
          <w:p w14:paraId="5F18D8A9"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Arts, entertainment, and recreation</w:t>
            </w:r>
          </w:p>
        </w:tc>
      </w:tr>
      <w:tr w:rsidR="003F5413" w:rsidRPr="004A0C12" w14:paraId="7CD9E607"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58" w:type="dxa"/>
            <w:tcBorders>
              <w:top w:val="single" w:sz="4" w:space="0" w:color="auto"/>
              <w:bottom w:val="single" w:sz="4" w:space="0" w:color="auto"/>
              <w:right w:val="single" w:sz="4" w:space="0" w:color="auto"/>
            </w:tcBorders>
            <w:noWrap/>
            <w:hideMark/>
          </w:tcPr>
          <w:p w14:paraId="4F47E1B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Educational services</w:t>
            </w:r>
          </w:p>
        </w:tc>
        <w:tc>
          <w:tcPr>
            <w:tcW w:w="3917" w:type="dxa"/>
            <w:tcBorders>
              <w:top w:val="single" w:sz="4" w:space="0" w:color="auto"/>
              <w:left w:val="single" w:sz="4" w:space="0" w:color="auto"/>
              <w:bottom w:val="nil"/>
            </w:tcBorders>
            <w:noWrap/>
            <w:hideMark/>
          </w:tcPr>
          <w:p w14:paraId="13AA06F7"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r w:rsidR="003F5413" w:rsidRPr="004A0C12" w14:paraId="0C796FBD"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58" w:type="dxa"/>
            <w:tcBorders>
              <w:top w:val="single" w:sz="4" w:space="0" w:color="auto"/>
              <w:bottom w:val="single" w:sz="4" w:space="0" w:color="auto"/>
              <w:right w:val="single" w:sz="4" w:space="0" w:color="auto"/>
            </w:tcBorders>
            <w:noWrap/>
            <w:hideMark/>
          </w:tcPr>
          <w:p w14:paraId="4E5A9281"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Health care and social assistance</w:t>
            </w:r>
          </w:p>
        </w:tc>
        <w:tc>
          <w:tcPr>
            <w:tcW w:w="3917" w:type="dxa"/>
            <w:tcBorders>
              <w:top w:val="nil"/>
              <w:left w:val="single" w:sz="4" w:space="0" w:color="auto"/>
              <w:bottom w:val="nil"/>
            </w:tcBorders>
            <w:noWrap/>
            <w:hideMark/>
          </w:tcPr>
          <w:p w14:paraId="03B3315D"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p>
        </w:tc>
      </w:tr>
      <w:tr w:rsidR="003F5413" w:rsidRPr="004A0C12" w14:paraId="0863937E"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58" w:type="dxa"/>
            <w:tcBorders>
              <w:top w:val="single" w:sz="4" w:space="0" w:color="auto"/>
              <w:bottom w:val="single" w:sz="4" w:space="0" w:color="auto"/>
              <w:right w:val="single" w:sz="4" w:space="0" w:color="auto"/>
            </w:tcBorders>
            <w:noWrap/>
            <w:hideMark/>
          </w:tcPr>
          <w:p w14:paraId="29C06CEB"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917" w:type="dxa"/>
            <w:tcBorders>
              <w:top w:val="nil"/>
              <w:left w:val="single" w:sz="4" w:space="0" w:color="auto"/>
              <w:bottom w:val="nil"/>
            </w:tcBorders>
            <w:noWrap/>
            <w:hideMark/>
          </w:tcPr>
          <w:p w14:paraId="561F433E"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r w:rsidR="003F5413" w:rsidRPr="004A0C12" w14:paraId="68232DC8"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58" w:type="dxa"/>
            <w:tcBorders>
              <w:top w:val="single" w:sz="4" w:space="0" w:color="auto"/>
              <w:right w:val="single" w:sz="4" w:space="0" w:color="auto"/>
            </w:tcBorders>
            <w:noWrap/>
            <w:hideMark/>
          </w:tcPr>
          <w:p w14:paraId="6F1E06D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3917" w:type="dxa"/>
            <w:tcBorders>
              <w:top w:val="nil"/>
              <w:left w:val="single" w:sz="4" w:space="0" w:color="auto"/>
            </w:tcBorders>
            <w:noWrap/>
            <w:hideMark/>
          </w:tcPr>
          <w:p w14:paraId="6DF842AF"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p>
        </w:tc>
      </w:tr>
    </w:tbl>
    <w:p w14:paraId="28A03563" w14:textId="77777777" w:rsidR="003F5413" w:rsidRPr="004A0C12" w:rsidRDefault="003F5413" w:rsidP="003F5413">
      <w:pPr>
        <w:rPr>
          <w:rFonts w:ascii="Garamond" w:hAnsi="Garamond"/>
        </w:rPr>
      </w:pPr>
    </w:p>
    <w:p w14:paraId="252CE7BD" w14:textId="77777777" w:rsidR="003F5413" w:rsidRPr="004A0C12" w:rsidRDefault="003F5413" w:rsidP="003F5413">
      <w:pPr>
        <w:rPr>
          <w:rFonts w:ascii="Garamond" w:hAnsi="Garamond"/>
        </w:rPr>
      </w:pPr>
    </w:p>
    <w:p w14:paraId="46C31028" w14:textId="77777777" w:rsidR="003F5413" w:rsidRPr="004A0C12" w:rsidRDefault="003F5413" w:rsidP="003F5413">
      <w:pPr>
        <w:rPr>
          <w:rFonts w:ascii="Garamond" w:hAnsi="Garamond"/>
        </w:rPr>
      </w:pPr>
    </w:p>
    <w:p w14:paraId="444FA7D9" w14:textId="77777777" w:rsidR="003F5413" w:rsidRPr="004A0C12" w:rsidRDefault="003F5413" w:rsidP="003F5413">
      <w:pPr>
        <w:rPr>
          <w:rFonts w:ascii="Garamond" w:hAnsi="Garamond"/>
        </w:rPr>
      </w:pPr>
    </w:p>
    <w:tbl>
      <w:tblPr>
        <w:tblStyle w:val="LightList-Accent1"/>
        <w:tblW w:w="8260" w:type="dxa"/>
        <w:jc w:val="center"/>
        <w:tblLook w:val="04A0" w:firstRow="1" w:lastRow="0" w:firstColumn="1" w:lastColumn="0" w:noHBand="0" w:noVBand="1"/>
        <w:tblCaption w:val="Cecil"/>
        <w:tblDescription w:val="Growth industries are: Agriculture, forestry, fishing and hunting; Transportation and warehousing; Arts, entertainment, and recreation; Accommodation and food services. Emerging industries are: Mining, quarrying, and oil and gas extraction; Construction; Professional and technical services; Educational services; Health care and social assistance; Other services, except public administration.&#10;&#10;"/>
      </w:tblPr>
      <w:tblGrid>
        <w:gridCol w:w="4400"/>
        <w:gridCol w:w="3860"/>
      </w:tblGrid>
      <w:tr w:rsidR="003F5413" w:rsidRPr="004A0C12" w14:paraId="3DA1FD3B"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260" w:type="dxa"/>
            <w:gridSpan w:val="2"/>
            <w:noWrap/>
            <w:hideMark/>
          </w:tcPr>
          <w:p w14:paraId="3EE6F717"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lastRenderedPageBreak/>
              <w:t>Cecil</w:t>
            </w:r>
          </w:p>
        </w:tc>
      </w:tr>
      <w:tr w:rsidR="003F5413" w:rsidRPr="004A0C12" w14:paraId="2F86C49C"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0" w:type="dxa"/>
            <w:noWrap/>
            <w:hideMark/>
          </w:tcPr>
          <w:p w14:paraId="0A7C8C0A"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860" w:type="dxa"/>
            <w:noWrap/>
            <w:hideMark/>
          </w:tcPr>
          <w:p w14:paraId="671519AC"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79B08795"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8" w:space="0" w:color="4F81BD" w:themeColor="accent1"/>
              <w:bottom w:val="single" w:sz="4" w:space="0" w:color="auto"/>
              <w:right w:val="single" w:sz="4" w:space="0" w:color="auto"/>
            </w:tcBorders>
            <w:noWrap/>
            <w:hideMark/>
          </w:tcPr>
          <w:p w14:paraId="60316871"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Agriculture, forestry, fishing and hunting</w:t>
            </w:r>
          </w:p>
        </w:tc>
        <w:tc>
          <w:tcPr>
            <w:tcW w:w="3860" w:type="dxa"/>
            <w:tcBorders>
              <w:top w:val="single" w:sz="8" w:space="0" w:color="4F81BD" w:themeColor="accent1"/>
              <w:left w:val="single" w:sz="4" w:space="0" w:color="auto"/>
              <w:bottom w:val="single" w:sz="4" w:space="0" w:color="auto"/>
            </w:tcBorders>
            <w:noWrap/>
            <w:hideMark/>
          </w:tcPr>
          <w:p w14:paraId="628093BC"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Mining, quarrying, and oil and gas extraction</w:t>
            </w:r>
          </w:p>
        </w:tc>
      </w:tr>
      <w:tr w:rsidR="003F5413" w:rsidRPr="004A0C12" w14:paraId="2FF92CBB"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4" w:space="0" w:color="auto"/>
              <w:bottom w:val="single" w:sz="4" w:space="0" w:color="auto"/>
              <w:right w:val="single" w:sz="4" w:space="0" w:color="auto"/>
            </w:tcBorders>
            <w:noWrap/>
            <w:hideMark/>
          </w:tcPr>
          <w:p w14:paraId="044E5BBD"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Transportation and warehousing</w:t>
            </w:r>
          </w:p>
        </w:tc>
        <w:tc>
          <w:tcPr>
            <w:tcW w:w="3860" w:type="dxa"/>
            <w:tcBorders>
              <w:top w:val="single" w:sz="4" w:space="0" w:color="auto"/>
              <w:left w:val="single" w:sz="4" w:space="0" w:color="auto"/>
              <w:bottom w:val="single" w:sz="4" w:space="0" w:color="auto"/>
            </w:tcBorders>
            <w:noWrap/>
            <w:hideMark/>
          </w:tcPr>
          <w:p w14:paraId="4D2217D5"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Construction</w:t>
            </w:r>
          </w:p>
        </w:tc>
      </w:tr>
      <w:tr w:rsidR="003F5413" w:rsidRPr="004A0C12" w14:paraId="3C26EE8E"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4" w:space="0" w:color="auto"/>
              <w:bottom w:val="single" w:sz="4" w:space="0" w:color="auto"/>
              <w:right w:val="single" w:sz="4" w:space="0" w:color="auto"/>
            </w:tcBorders>
            <w:noWrap/>
            <w:hideMark/>
          </w:tcPr>
          <w:p w14:paraId="0535E06C"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Arts, entertainment, and recreation</w:t>
            </w:r>
          </w:p>
        </w:tc>
        <w:tc>
          <w:tcPr>
            <w:tcW w:w="3860" w:type="dxa"/>
            <w:tcBorders>
              <w:top w:val="single" w:sz="4" w:space="0" w:color="auto"/>
              <w:left w:val="single" w:sz="4" w:space="0" w:color="auto"/>
              <w:bottom w:val="single" w:sz="4" w:space="0" w:color="auto"/>
            </w:tcBorders>
            <w:noWrap/>
            <w:hideMark/>
          </w:tcPr>
          <w:p w14:paraId="7EEF4494"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Professional and technical services</w:t>
            </w:r>
          </w:p>
        </w:tc>
      </w:tr>
      <w:tr w:rsidR="003F5413" w:rsidRPr="004A0C12" w14:paraId="5B3C7166"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4" w:space="0" w:color="auto"/>
              <w:bottom w:val="single" w:sz="4" w:space="0" w:color="auto"/>
              <w:right w:val="single" w:sz="4" w:space="0" w:color="auto"/>
            </w:tcBorders>
            <w:noWrap/>
            <w:hideMark/>
          </w:tcPr>
          <w:p w14:paraId="3C9AA31D"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860" w:type="dxa"/>
            <w:tcBorders>
              <w:top w:val="single" w:sz="4" w:space="0" w:color="auto"/>
              <w:left w:val="single" w:sz="4" w:space="0" w:color="auto"/>
              <w:bottom w:val="single" w:sz="4" w:space="0" w:color="auto"/>
            </w:tcBorders>
            <w:noWrap/>
            <w:hideMark/>
          </w:tcPr>
          <w:p w14:paraId="13706E19"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3714F652"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4" w:space="0" w:color="auto"/>
              <w:bottom w:val="nil"/>
              <w:right w:val="single" w:sz="4" w:space="0" w:color="auto"/>
            </w:tcBorders>
            <w:noWrap/>
            <w:hideMark/>
          </w:tcPr>
          <w:p w14:paraId="38D7385D" w14:textId="77777777" w:rsidR="003F5413" w:rsidRPr="004A0C12" w:rsidRDefault="003F5413" w:rsidP="003F5413">
            <w:pPr>
              <w:rPr>
                <w:rFonts w:ascii="Garamond" w:eastAsia="Times New Roman" w:hAnsi="Garamond"/>
                <w:b w:val="0"/>
                <w:color w:val="000000"/>
              </w:rPr>
            </w:pPr>
          </w:p>
        </w:tc>
        <w:tc>
          <w:tcPr>
            <w:tcW w:w="3860" w:type="dxa"/>
            <w:tcBorders>
              <w:top w:val="single" w:sz="4" w:space="0" w:color="auto"/>
              <w:left w:val="single" w:sz="4" w:space="0" w:color="auto"/>
              <w:bottom w:val="single" w:sz="4" w:space="0" w:color="auto"/>
            </w:tcBorders>
            <w:noWrap/>
            <w:hideMark/>
          </w:tcPr>
          <w:p w14:paraId="339A0740"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r w:rsidR="003F5413" w:rsidRPr="004A0C12" w14:paraId="2B890070"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nil"/>
              <w:right w:val="single" w:sz="4" w:space="0" w:color="auto"/>
            </w:tcBorders>
            <w:noWrap/>
            <w:hideMark/>
          </w:tcPr>
          <w:p w14:paraId="3A3A79FC" w14:textId="77777777" w:rsidR="003F5413" w:rsidRPr="004A0C12" w:rsidRDefault="003F5413" w:rsidP="003F5413">
            <w:pPr>
              <w:rPr>
                <w:rFonts w:ascii="Garamond" w:eastAsia="Times New Roman" w:hAnsi="Garamond"/>
                <w:b w:val="0"/>
                <w:color w:val="000000"/>
              </w:rPr>
            </w:pPr>
          </w:p>
        </w:tc>
        <w:tc>
          <w:tcPr>
            <w:tcW w:w="3860" w:type="dxa"/>
            <w:tcBorders>
              <w:top w:val="single" w:sz="4" w:space="0" w:color="auto"/>
              <w:left w:val="single" w:sz="4" w:space="0" w:color="auto"/>
            </w:tcBorders>
            <w:noWrap/>
            <w:hideMark/>
          </w:tcPr>
          <w:p w14:paraId="70669C59"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Other services, except public administration</w:t>
            </w:r>
          </w:p>
        </w:tc>
      </w:tr>
    </w:tbl>
    <w:p w14:paraId="41E29723" w14:textId="77777777" w:rsidR="003F5413" w:rsidRPr="004A0C12" w:rsidRDefault="003F5413" w:rsidP="003F5413">
      <w:pPr>
        <w:rPr>
          <w:rFonts w:ascii="Garamond" w:hAnsi="Garamond"/>
        </w:rPr>
      </w:pPr>
    </w:p>
    <w:tbl>
      <w:tblPr>
        <w:tblStyle w:val="LightList-Accent1"/>
        <w:tblW w:w="8244" w:type="dxa"/>
        <w:jc w:val="center"/>
        <w:tblLook w:val="04A0" w:firstRow="1" w:lastRow="0" w:firstColumn="1" w:lastColumn="0" w:noHBand="0" w:noVBand="1"/>
        <w:tblCaption w:val="Charles"/>
        <w:tblDescription w:val="Growth industries are: Construction; Accommodation and food services; Other services, except public administration. Emerging industries are: Professional and technical services; Administrative and waste services; Educational services; Health care and social assistance.&#10;&#10;"/>
      </w:tblPr>
      <w:tblGrid>
        <w:gridCol w:w="4392"/>
        <w:gridCol w:w="3852"/>
      </w:tblGrid>
      <w:tr w:rsidR="003F5413" w:rsidRPr="004A0C12" w14:paraId="4EADF47D"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244" w:type="dxa"/>
            <w:gridSpan w:val="2"/>
            <w:tcBorders>
              <w:bottom w:val="single" w:sz="8" w:space="0" w:color="4F81BD" w:themeColor="accent1"/>
            </w:tcBorders>
            <w:noWrap/>
            <w:hideMark/>
          </w:tcPr>
          <w:p w14:paraId="2CCCFA60"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Charles</w:t>
            </w:r>
          </w:p>
        </w:tc>
      </w:tr>
      <w:tr w:rsidR="003F5413" w:rsidRPr="004A0C12" w14:paraId="0D91D636"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2" w:type="dxa"/>
            <w:tcBorders>
              <w:right w:val="single" w:sz="4" w:space="0" w:color="auto"/>
            </w:tcBorders>
            <w:noWrap/>
            <w:hideMark/>
          </w:tcPr>
          <w:p w14:paraId="0289416C"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852" w:type="dxa"/>
            <w:tcBorders>
              <w:left w:val="single" w:sz="4" w:space="0" w:color="auto"/>
            </w:tcBorders>
            <w:noWrap/>
            <w:hideMark/>
          </w:tcPr>
          <w:p w14:paraId="669F6FD3"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37EC6E7E"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392" w:type="dxa"/>
            <w:tcBorders>
              <w:top w:val="single" w:sz="8" w:space="0" w:color="4F81BD" w:themeColor="accent1"/>
              <w:bottom w:val="single" w:sz="4" w:space="0" w:color="auto"/>
              <w:right w:val="single" w:sz="4" w:space="0" w:color="auto"/>
            </w:tcBorders>
            <w:noWrap/>
            <w:hideMark/>
          </w:tcPr>
          <w:p w14:paraId="2ED396F5"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852" w:type="dxa"/>
            <w:tcBorders>
              <w:top w:val="single" w:sz="8" w:space="0" w:color="4F81BD" w:themeColor="accent1"/>
              <w:left w:val="single" w:sz="4" w:space="0" w:color="auto"/>
              <w:bottom w:val="single" w:sz="4" w:space="0" w:color="auto"/>
            </w:tcBorders>
            <w:noWrap/>
            <w:hideMark/>
          </w:tcPr>
          <w:p w14:paraId="0652F778"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Professional and technical services</w:t>
            </w:r>
          </w:p>
        </w:tc>
      </w:tr>
      <w:tr w:rsidR="003F5413" w:rsidRPr="004A0C12" w14:paraId="2815D9EB"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2" w:type="dxa"/>
            <w:tcBorders>
              <w:top w:val="single" w:sz="4" w:space="0" w:color="auto"/>
              <w:right w:val="single" w:sz="4" w:space="0" w:color="auto"/>
            </w:tcBorders>
            <w:noWrap/>
            <w:hideMark/>
          </w:tcPr>
          <w:p w14:paraId="04579E96"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852" w:type="dxa"/>
            <w:tcBorders>
              <w:top w:val="single" w:sz="4" w:space="0" w:color="auto"/>
              <w:left w:val="single" w:sz="4" w:space="0" w:color="auto"/>
            </w:tcBorders>
            <w:noWrap/>
            <w:hideMark/>
          </w:tcPr>
          <w:p w14:paraId="306B868F"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Administrative and waste services</w:t>
            </w:r>
          </w:p>
        </w:tc>
      </w:tr>
      <w:tr w:rsidR="003F5413" w:rsidRPr="004A0C12" w14:paraId="093A4D1F"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392" w:type="dxa"/>
            <w:tcBorders>
              <w:top w:val="single" w:sz="8" w:space="0" w:color="4F81BD" w:themeColor="accent1"/>
              <w:bottom w:val="nil"/>
              <w:right w:val="single" w:sz="4" w:space="0" w:color="auto"/>
            </w:tcBorders>
            <w:noWrap/>
            <w:hideMark/>
          </w:tcPr>
          <w:p w14:paraId="6955C829"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3852" w:type="dxa"/>
            <w:tcBorders>
              <w:top w:val="single" w:sz="8" w:space="0" w:color="4F81BD" w:themeColor="accent1"/>
              <w:left w:val="single" w:sz="4" w:space="0" w:color="auto"/>
              <w:bottom w:val="single" w:sz="8" w:space="0" w:color="4F81BD" w:themeColor="accent1"/>
            </w:tcBorders>
            <w:noWrap/>
            <w:hideMark/>
          </w:tcPr>
          <w:p w14:paraId="1AECCB27"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3D76EF84"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2" w:type="dxa"/>
            <w:tcBorders>
              <w:top w:val="nil"/>
              <w:right w:val="single" w:sz="4" w:space="0" w:color="auto"/>
            </w:tcBorders>
            <w:noWrap/>
            <w:hideMark/>
          </w:tcPr>
          <w:p w14:paraId="1CAD4959" w14:textId="77777777" w:rsidR="003F5413" w:rsidRPr="004A0C12" w:rsidRDefault="003F5413" w:rsidP="003F5413">
            <w:pPr>
              <w:rPr>
                <w:rFonts w:ascii="Garamond" w:eastAsia="Times New Roman" w:hAnsi="Garamond"/>
                <w:b w:val="0"/>
                <w:color w:val="000000"/>
              </w:rPr>
            </w:pPr>
          </w:p>
        </w:tc>
        <w:tc>
          <w:tcPr>
            <w:tcW w:w="3852" w:type="dxa"/>
            <w:tcBorders>
              <w:left w:val="single" w:sz="4" w:space="0" w:color="auto"/>
            </w:tcBorders>
            <w:noWrap/>
            <w:hideMark/>
          </w:tcPr>
          <w:p w14:paraId="3EE39FD1"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bl>
    <w:p w14:paraId="16CF6596" w14:textId="77777777" w:rsidR="003F5413" w:rsidRPr="004A0C12" w:rsidRDefault="003F5413" w:rsidP="003F5413">
      <w:pPr>
        <w:rPr>
          <w:rFonts w:ascii="Garamond" w:hAnsi="Garamond"/>
        </w:rPr>
      </w:pPr>
    </w:p>
    <w:tbl>
      <w:tblPr>
        <w:tblStyle w:val="LightList-Accent1"/>
        <w:tblW w:w="8208" w:type="dxa"/>
        <w:jc w:val="center"/>
        <w:tblLook w:val="04A0" w:firstRow="1" w:lastRow="0" w:firstColumn="1" w:lastColumn="0" w:noHBand="0" w:noVBand="1"/>
        <w:tblCaption w:val="Dorchester"/>
        <w:tblDescription w:val="Growth industries are: Agriculture, forestry, fishing and hunting; Mining, quarrying, and oil and gas extraction; Manufacturing; Transportation and warehousing; Accommodation and food services. Emerging industries are: Construction; Real estate and rental and leasing; Professional and technical services; Educational services.&#10;&#10;"/>
      </w:tblPr>
      <w:tblGrid>
        <w:gridCol w:w="4374"/>
        <w:gridCol w:w="3834"/>
      </w:tblGrid>
      <w:tr w:rsidR="003F5413" w:rsidRPr="004A0C12" w14:paraId="10902776"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208" w:type="dxa"/>
            <w:gridSpan w:val="2"/>
            <w:tcBorders>
              <w:bottom w:val="single" w:sz="8" w:space="0" w:color="4F81BD" w:themeColor="accent1"/>
            </w:tcBorders>
            <w:noWrap/>
            <w:hideMark/>
          </w:tcPr>
          <w:p w14:paraId="2D78DBAC"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Dorchester</w:t>
            </w:r>
          </w:p>
        </w:tc>
      </w:tr>
      <w:tr w:rsidR="003F5413" w:rsidRPr="004A0C12" w14:paraId="59131AEE"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74" w:type="dxa"/>
            <w:tcBorders>
              <w:right w:val="single" w:sz="4" w:space="0" w:color="auto"/>
            </w:tcBorders>
            <w:noWrap/>
            <w:hideMark/>
          </w:tcPr>
          <w:p w14:paraId="05468268"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834" w:type="dxa"/>
            <w:tcBorders>
              <w:left w:val="single" w:sz="4" w:space="0" w:color="auto"/>
            </w:tcBorders>
            <w:noWrap/>
            <w:hideMark/>
          </w:tcPr>
          <w:p w14:paraId="7D058D85"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1D3DB107"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374" w:type="dxa"/>
            <w:tcBorders>
              <w:top w:val="single" w:sz="8" w:space="0" w:color="4F81BD" w:themeColor="accent1"/>
              <w:bottom w:val="single" w:sz="4" w:space="0" w:color="auto"/>
              <w:right w:val="single" w:sz="4" w:space="0" w:color="auto"/>
            </w:tcBorders>
            <w:noWrap/>
            <w:hideMark/>
          </w:tcPr>
          <w:p w14:paraId="4CFD00CA"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Agriculture, forestry, fishing and hunting</w:t>
            </w:r>
          </w:p>
        </w:tc>
        <w:tc>
          <w:tcPr>
            <w:tcW w:w="3834" w:type="dxa"/>
            <w:tcBorders>
              <w:top w:val="single" w:sz="8" w:space="0" w:color="4F81BD" w:themeColor="accent1"/>
              <w:left w:val="single" w:sz="4" w:space="0" w:color="auto"/>
              <w:bottom w:val="single" w:sz="4" w:space="0" w:color="auto"/>
            </w:tcBorders>
            <w:noWrap/>
            <w:hideMark/>
          </w:tcPr>
          <w:p w14:paraId="2114278B"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Construction</w:t>
            </w:r>
          </w:p>
        </w:tc>
      </w:tr>
      <w:tr w:rsidR="003F5413" w:rsidRPr="004A0C12" w14:paraId="75AF1D30"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74" w:type="dxa"/>
            <w:tcBorders>
              <w:top w:val="single" w:sz="4" w:space="0" w:color="auto"/>
              <w:bottom w:val="single" w:sz="4" w:space="0" w:color="auto"/>
              <w:right w:val="single" w:sz="4" w:space="0" w:color="auto"/>
            </w:tcBorders>
            <w:noWrap/>
            <w:hideMark/>
          </w:tcPr>
          <w:p w14:paraId="62BD0F7D"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Mining, quarrying, and oil and gas extraction</w:t>
            </w:r>
          </w:p>
        </w:tc>
        <w:tc>
          <w:tcPr>
            <w:tcW w:w="3834" w:type="dxa"/>
            <w:tcBorders>
              <w:top w:val="single" w:sz="4" w:space="0" w:color="auto"/>
              <w:left w:val="single" w:sz="4" w:space="0" w:color="auto"/>
              <w:bottom w:val="single" w:sz="4" w:space="0" w:color="auto"/>
            </w:tcBorders>
            <w:noWrap/>
            <w:hideMark/>
          </w:tcPr>
          <w:p w14:paraId="0A082639"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Real estate and rental and leasing</w:t>
            </w:r>
          </w:p>
        </w:tc>
      </w:tr>
      <w:tr w:rsidR="003F5413" w:rsidRPr="004A0C12" w14:paraId="0F882E6C"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374" w:type="dxa"/>
            <w:tcBorders>
              <w:top w:val="single" w:sz="4" w:space="0" w:color="auto"/>
              <w:bottom w:val="single" w:sz="4" w:space="0" w:color="auto"/>
              <w:right w:val="single" w:sz="4" w:space="0" w:color="auto"/>
            </w:tcBorders>
            <w:noWrap/>
            <w:hideMark/>
          </w:tcPr>
          <w:p w14:paraId="59FFBB6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Manufacturing</w:t>
            </w:r>
          </w:p>
        </w:tc>
        <w:tc>
          <w:tcPr>
            <w:tcW w:w="3834" w:type="dxa"/>
            <w:tcBorders>
              <w:top w:val="single" w:sz="4" w:space="0" w:color="auto"/>
              <w:left w:val="single" w:sz="4" w:space="0" w:color="auto"/>
              <w:bottom w:val="single" w:sz="4" w:space="0" w:color="auto"/>
            </w:tcBorders>
            <w:noWrap/>
            <w:hideMark/>
          </w:tcPr>
          <w:p w14:paraId="42C4B608"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Professional and technical services</w:t>
            </w:r>
          </w:p>
        </w:tc>
      </w:tr>
      <w:tr w:rsidR="003F5413" w:rsidRPr="004A0C12" w14:paraId="5643A36A"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74" w:type="dxa"/>
            <w:tcBorders>
              <w:top w:val="single" w:sz="4" w:space="0" w:color="auto"/>
              <w:bottom w:val="single" w:sz="4" w:space="0" w:color="auto"/>
              <w:right w:val="single" w:sz="4" w:space="0" w:color="auto"/>
            </w:tcBorders>
            <w:noWrap/>
            <w:hideMark/>
          </w:tcPr>
          <w:p w14:paraId="76698CB8"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Transportation and warehousing</w:t>
            </w:r>
          </w:p>
        </w:tc>
        <w:tc>
          <w:tcPr>
            <w:tcW w:w="3834" w:type="dxa"/>
            <w:tcBorders>
              <w:top w:val="single" w:sz="4" w:space="0" w:color="auto"/>
              <w:left w:val="single" w:sz="4" w:space="0" w:color="auto"/>
              <w:bottom w:val="nil"/>
            </w:tcBorders>
            <w:noWrap/>
            <w:hideMark/>
          </w:tcPr>
          <w:p w14:paraId="4A48647B"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51A6CCF2"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374" w:type="dxa"/>
            <w:tcBorders>
              <w:top w:val="single" w:sz="4" w:space="0" w:color="auto"/>
              <w:bottom w:val="single" w:sz="8" w:space="0" w:color="4F81BD" w:themeColor="accent1"/>
              <w:right w:val="single" w:sz="4" w:space="0" w:color="auto"/>
            </w:tcBorders>
            <w:noWrap/>
            <w:hideMark/>
          </w:tcPr>
          <w:p w14:paraId="7BE1067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834" w:type="dxa"/>
            <w:tcBorders>
              <w:top w:val="nil"/>
              <w:left w:val="single" w:sz="4" w:space="0" w:color="auto"/>
              <w:bottom w:val="single" w:sz="8" w:space="0" w:color="4F81BD" w:themeColor="accent1"/>
            </w:tcBorders>
            <w:noWrap/>
            <w:hideMark/>
          </w:tcPr>
          <w:p w14:paraId="02C16E08"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bl>
    <w:p w14:paraId="071147EC" w14:textId="77777777" w:rsidR="003F5413" w:rsidRPr="004A0C12" w:rsidRDefault="003F5413" w:rsidP="003F5413">
      <w:pPr>
        <w:rPr>
          <w:rFonts w:ascii="Garamond" w:hAnsi="Garamond"/>
        </w:rPr>
      </w:pPr>
    </w:p>
    <w:tbl>
      <w:tblPr>
        <w:tblStyle w:val="LightList-Accent1"/>
        <w:tblW w:w="8260" w:type="dxa"/>
        <w:jc w:val="center"/>
        <w:tblLook w:val="04A0" w:firstRow="1" w:lastRow="0" w:firstColumn="1" w:lastColumn="0" w:noHBand="0" w:noVBand="1"/>
        <w:tblCaption w:val="Frederick"/>
        <w:tblDescription w:val="Growth industries are: Construction; Retail trade; Arts, entertainment, and recreation; Other services, except public administration. Emerging industries are: Agriculture, forestry, fishing and hunting&#10;Manufacturing; Information; Real estate and rental and leasing; Educational services; Health care and social assistance. &#10;&#10;"/>
      </w:tblPr>
      <w:tblGrid>
        <w:gridCol w:w="4400"/>
        <w:gridCol w:w="3860"/>
      </w:tblGrid>
      <w:tr w:rsidR="003F5413" w:rsidRPr="004A0C12" w14:paraId="636C080A"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260" w:type="dxa"/>
            <w:gridSpan w:val="2"/>
            <w:tcBorders>
              <w:bottom w:val="single" w:sz="8" w:space="0" w:color="4F81BD" w:themeColor="accent1"/>
            </w:tcBorders>
            <w:noWrap/>
            <w:hideMark/>
          </w:tcPr>
          <w:p w14:paraId="3D00D159"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 xml:space="preserve">Frederick </w:t>
            </w:r>
          </w:p>
        </w:tc>
      </w:tr>
      <w:tr w:rsidR="003F5413" w:rsidRPr="004A0C12" w14:paraId="3747D448"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right w:val="single" w:sz="4" w:space="0" w:color="auto"/>
            </w:tcBorders>
            <w:noWrap/>
            <w:hideMark/>
          </w:tcPr>
          <w:p w14:paraId="427D5720"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860" w:type="dxa"/>
            <w:tcBorders>
              <w:left w:val="single" w:sz="4" w:space="0" w:color="auto"/>
            </w:tcBorders>
            <w:noWrap/>
            <w:hideMark/>
          </w:tcPr>
          <w:p w14:paraId="5D844B41"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 xml:space="preserve">Emerging </w:t>
            </w:r>
          </w:p>
        </w:tc>
      </w:tr>
      <w:tr w:rsidR="003F5413" w:rsidRPr="004A0C12" w14:paraId="5C15F5FC"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8" w:space="0" w:color="4F81BD" w:themeColor="accent1"/>
              <w:bottom w:val="single" w:sz="4" w:space="0" w:color="auto"/>
              <w:right w:val="single" w:sz="4" w:space="0" w:color="auto"/>
            </w:tcBorders>
            <w:noWrap/>
            <w:hideMark/>
          </w:tcPr>
          <w:p w14:paraId="59A7959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860" w:type="dxa"/>
            <w:tcBorders>
              <w:top w:val="single" w:sz="8" w:space="0" w:color="4F81BD" w:themeColor="accent1"/>
              <w:left w:val="single" w:sz="4" w:space="0" w:color="auto"/>
              <w:bottom w:val="single" w:sz="4" w:space="0" w:color="auto"/>
            </w:tcBorders>
            <w:noWrap/>
            <w:hideMark/>
          </w:tcPr>
          <w:p w14:paraId="0D219320"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Agriculture, forestry, fishing and hunting</w:t>
            </w:r>
          </w:p>
        </w:tc>
      </w:tr>
      <w:tr w:rsidR="003F5413" w:rsidRPr="004A0C12" w14:paraId="58FF7518"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4" w:space="0" w:color="auto"/>
              <w:bottom w:val="single" w:sz="4" w:space="0" w:color="auto"/>
              <w:right w:val="single" w:sz="4" w:space="0" w:color="auto"/>
            </w:tcBorders>
            <w:noWrap/>
            <w:hideMark/>
          </w:tcPr>
          <w:p w14:paraId="518AA9B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Retail trade</w:t>
            </w:r>
          </w:p>
        </w:tc>
        <w:tc>
          <w:tcPr>
            <w:tcW w:w="3860" w:type="dxa"/>
            <w:tcBorders>
              <w:top w:val="single" w:sz="4" w:space="0" w:color="auto"/>
              <w:left w:val="single" w:sz="4" w:space="0" w:color="auto"/>
              <w:bottom w:val="single" w:sz="4" w:space="0" w:color="auto"/>
            </w:tcBorders>
            <w:noWrap/>
            <w:hideMark/>
          </w:tcPr>
          <w:p w14:paraId="4F9D1A1C"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Manufacturing</w:t>
            </w:r>
          </w:p>
        </w:tc>
      </w:tr>
      <w:tr w:rsidR="003F5413" w:rsidRPr="004A0C12" w14:paraId="259CC188"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4" w:space="0" w:color="auto"/>
              <w:bottom w:val="single" w:sz="4" w:space="0" w:color="auto"/>
              <w:right w:val="single" w:sz="4" w:space="0" w:color="auto"/>
            </w:tcBorders>
            <w:noWrap/>
            <w:hideMark/>
          </w:tcPr>
          <w:p w14:paraId="5B3BFA26"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Arts, entertainment, and recreation</w:t>
            </w:r>
          </w:p>
        </w:tc>
        <w:tc>
          <w:tcPr>
            <w:tcW w:w="3860" w:type="dxa"/>
            <w:tcBorders>
              <w:top w:val="single" w:sz="4" w:space="0" w:color="auto"/>
              <w:left w:val="single" w:sz="4" w:space="0" w:color="auto"/>
              <w:bottom w:val="single" w:sz="4" w:space="0" w:color="auto"/>
            </w:tcBorders>
            <w:noWrap/>
            <w:hideMark/>
          </w:tcPr>
          <w:p w14:paraId="26F87B3E"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Information</w:t>
            </w:r>
          </w:p>
        </w:tc>
      </w:tr>
      <w:tr w:rsidR="003F5413" w:rsidRPr="004A0C12" w14:paraId="18127429"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4" w:space="0" w:color="auto"/>
              <w:bottom w:val="single" w:sz="4" w:space="0" w:color="auto"/>
              <w:right w:val="single" w:sz="4" w:space="0" w:color="auto"/>
            </w:tcBorders>
            <w:noWrap/>
            <w:hideMark/>
          </w:tcPr>
          <w:p w14:paraId="09B9473D"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3860" w:type="dxa"/>
            <w:tcBorders>
              <w:top w:val="single" w:sz="4" w:space="0" w:color="auto"/>
              <w:left w:val="single" w:sz="4" w:space="0" w:color="auto"/>
              <w:bottom w:val="single" w:sz="4" w:space="0" w:color="auto"/>
            </w:tcBorders>
            <w:noWrap/>
            <w:hideMark/>
          </w:tcPr>
          <w:p w14:paraId="23EEB7EB"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Real estate and rental and leasing</w:t>
            </w:r>
          </w:p>
        </w:tc>
      </w:tr>
      <w:tr w:rsidR="003F5413" w:rsidRPr="004A0C12" w14:paraId="41E59791"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single" w:sz="4" w:space="0" w:color="auto"/>
              <w:bottom w:val="nil"/>
              <w:right w:val="single" w:sz="4" w:space="0" w:color="auto"/>
            </w:tcBorders>
            <w:noWrap/>
            <w:hideMark/>
          </w:tcPr>
          <w:p w14:paraId="16FF0ECE" w14:textId="77777777" w:rsidR="003F5413" w:rsidRPr="004A0C12" w:rsidRDefault="003F5413" w:rsidP="003F5413">
            <w:pPr>
              <w:rPr>
                <w:rFonts w:ascii="Garamond" w:eastAsia="Times New Roman" w:hAnsi="Garamond"/>
                <w:b w:val="0"/>
                <w:color w:val="000000"/>
              </w:rPr>
            </w:pPr>
          </w:p>
        </w:tc>
        <w:tc>
          <w:tcPr>
            <w:tcW w:w="3860" w:type="dxa"/>
            <w:tcBorders>
              <w:top w:val="single" w:sz="4" w:space="0" w:color="auto"/>
              <w:left w:val="single" w:sz="4" w:space="0" w:color="auto"/>
              <w:bottom w:val="single" w:sz="4" w:space="0" w:color="auto"/>
            </w:tcBorders>
            <w:noWrap/>
            <w:hideMark/>
          </w:tcPr>
          <w:p w14:paraId="51E7BA5E"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2297A7F1" w14:textId="77777777" w:rsidTr="005A212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nil"/>
              <w:bottom w:val="nil"/>
              <w:right w:val="single" w:sz="4" w:space="0" w:color="auto"/>
            </w:tcBorders>
            <w:noWrap/>
            <w:hideMark/>
          </w:tcPr>
          <w:p w14:paraId="1FF47357" w14:textId="77777777" w:rsidR="003F5413" w:rsidRPr="004A0C12" w:rsidRDefault="003F5413" w:rsidP="003F5413">
            <w:pPr>
              <w:rPr>
                <w:rFonts w:ascii="Garamond" w:eastAsia="Times New Roman" w:hAnsi="Garamond"/>
                <w:b w:val="0"/>
                <w:color w:val="000000"/>
              </w:rPr>
            </w:pPr>
          </w:p>
        </w:tc>
        <w:tc>
          <w:tcPr>
            <w:tcW w:w="3860" w:type="dxa"/>
            <w:tcBorders>
              <w:top w:val="single" w:sz="4" w:space="0" w:color="auto"/>
              <w:left w:val="single" w:sz="4" w:space="0" w:color="auto"/>
              <w:bottom w:val="single" w:sz="4" w:space="0" w:color="auto"/>
            </w:tcBorders>
            <w:noWrap/>
            <w:hideMark/>
          </w:tcPr>
          <w:p w14:paraId="7FF98607"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r w:rsidR="005A2120" w:rsidRPr="004A0C12" w14:paraId="6CB30DEC"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400" w:type="dxa"/>
            <w:tcBorders>
              <w:top w:val="nil"/>
              <w:right w:val="single" w:sz="4" w:space="0" w:color="auto"/>
            </w:tcBorders>
            <w:noWrap/>
          </w:tcPr>
          <w:p w14:paraId="2C2A1331" w14:textId="77777777" w:rsidR="005A2120" w:rsidRDefault="005A2120" w:rsidP="003F5413">
            <w:pPr>
              <w:rPr>
                <w:rFonts w:ascii="Garamond" w:eastAsia="Times New Roman" w:hAnsi="Garamond"/>
                <w:b w:val="0"/>
                <w:color w:val="000000"/>
              </w:rPr>
            </w:pPr>
          </w:p>
          <w:p w14:paraId="652F0D66" w14:textId="77777777" w:rsidR="005A2120" w:rsidRDefault="005A2120" w:rsidP="003F5413">
            <w:pPr>
              <w:rPr>
                <w:rFonts w:ascii="Garamond" w:eastAsia="Times New Roman" w:hAnsi="Garamond"/>
                <w:b w:val="0"/>
                <w:color w:val="000000"/>
              </w:rPr>
            </w:pPr>
          </w:p>
          <w:p w14:paraId="5921F0A6" w14:textId="77777777" w:rsidR="005A2120" w:rsidRDefault="005A2120" w:rsidP="003F5413">
            <w:pPr>
              <w:rPr>
                <w:rFonts w:ascii="Garamond" w:eastAsia="Times New Roman" w:hAnsi="Garamond"/>
                <w:b w:val="0"/>
                <w:color w:val="000000"/>
              </w:rPr>
            </w:pPr>
          </w:p>
          <w:p w14:paraId="0619EE0B" w14:textId="77777777" w:rsidR="005A2120" w:rsidRDefault="005A2120" w:rsidP="003F5413">
            <w:pPr>
              <w:rPr>
                <w:rFonts w:ascii="Garamond" w:eastAsia="Times New Roman" w:hAnsi="Garamond"/>
                <w:b w:val="0"/>
                <w:color w:val="000000"/>
              </w:rPr>
            </w:pPr>
          </w:p>
          <w:p w14:paraId="254A00A4" w14:textId="77777777" w:rsidR="005A2120" w:rsidRPr="004A0C12" w:rsidRDefault="005A2120" w:rsidP="003F5413">
            <w:pPr>
              <w:rPr>
                <w:rFonts w:ascii="Garamond" w:eastAsia="Times New Roman" w:hAnsi="Garamond"/>
                <w:b w:val="0"/>
                <w:color w:val="000000"/>
              </w:rPr>
            </w:pPr>
          </w:p>
        </w:tc>
        <w:tc>
          <w:tcPr>
            <w:tcW w:w="3860" w:type="dxa"/>
            <w:tcBorders>
              <w:top w:val="single" w:sz="4" w:space="0" w:color="auto"/>
              <w:left w:val="single" w:sz="4" w:space="0" w:color="auto"/>
            </w:tcBorders>
            <w:noWrap/>
          </w:tcPr>
          <w:p w14:paraId="23075E22" w14:textId="77777777" w:rsidR="005A2120" w:rsidRPr="004A0C12" w:rsidRDefault="005A2120"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bl>
    <w:p w14:paraId="2F128385" w14:textId="77777777" w:rsidR="003F5413" w:rsidRPr="004A0C12" w:rsidRDefault="003F5413" w:rsidP="003F5413">
      <w:pPr>
        <w:rPr>
          <w:rFonts w:ascii="Garamond" w:hAnsi="Garamond"/>
        </w:rPr>
      </w:pPr>
    </w:p>
    <w:tbl>
      <w:tblPr>
        <w:tblStyle w:val="LightList-Accent1"/>
        <w:tblW w:w="8551" w:type="dxa"/>
        <w:jc w:val="center"/>
        <w:tblLook w:val="04A0" w:firstRow="1" w:lastRow="0" w:firstColumn="1" w:lastColumn="0" w:noHBand="0" w:noVBand="1"/>
        <w:tblCaption w:val="Garrett"/>
        <w:tblDescription w:val="Growth industries are: Construction; Retail trade; Real estate and rental and leasing. Emerging industries are: Finance and insurance; Professional and technical services; Other services, except public administration.&#10;"/>
      </w:tblPr>
      <w:tblGrid>
        <w:gridCol w:w="4546"/>
        <w:gridCol w:w="4005"/>
      </w:tblGrid>
      <w:tr w:rsidR="003F5413" w:rsidRPr="004A0C12" w14:paraId="30A37670"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551" w:type="dxa"/>
            <w:gridSpan w:val="2"/>
            <w:tcBorders>
              <w:top w:val="single" w:sz="8" w:space="0" w:color="4F81BD" w:themeColor="accent1"/>
              <w:bottom w:val="single" w:sz="4" w:space="0" w:color="auto"/>
            </w:tcBorders>
            <w:noWrap/>
            <w:hideMark/>
          </w:tcPr>
          <w:p w14:paraId="744C5D48"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lastRenderedPageBreak/>
              <w:t>Garrett</w:t>
            </w:r>
          </w:p>
        </w:tc>
      </w:tr>
      <w:tr w:rsidR="003F5413" w:rsidRPr="004A0C12" w14:paraId="4E887805"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6" w:type="dxa"/>
            <w:tcBorders>
              <w:top w:val="single" w:sz="4" w:space="0" w:color="auto"/>
              <w:right w:val="single" w:sz="4" w:space="0" w:color="auto"/>
            </w:tcBorders>
            <w:noWrap/>
            <w:hideMark/>
          </w:tcPr>
          <w:p w14:paraId="0A037418"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4005" w:type="dxa"/>
            <w:tcBorders>
              <w:top w:val="single" w:sz="4" w:space="0" w:color="auto"/>
              <w:left w:val="single" w:sz="4" w:space="0" w:color="auto"/>
            </w:tcBorders>
            <w:noWrap/>
            <w:hideMark/>
          </w:tcPr>
          <w:p w14:paraId="4189622F"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656FB384"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6" w:type="dxa"/>
            <w:tcBorders>
              <w:top w:val="single" w:sz="8" w:space="0" w:color="4F81BD" w:themeColor="accent1"/>
              <w:bottom w:val="single" w:sz="4" w:space="0" w:color="auto"/>
              <w:right w:val="single" w:sz="4" w:space="0" w:color="auto"/>
            </w:tcBorders>
            <w:noWrap/>
            <w:hideMark/>
          </w:tcPr>
          <w:p w14:paraId="6471349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4005" w:type="dxa"/>
            <w:tcBorders>
              <w:top w:val="single" w:sz="8" w:space="0" w:color="4F81BD" w:themeColor="accent1"/>
              <w:left w:val="single" w:sz="4" w:space="0" w:color="auto"/>
              <w:bottom w:val="single" w:sz="4" w:space="0" w:color="auto"/>
            </w:tcBorders>
            <w:noWrap/>
            <w:hideMark/>
          </w:tcPr>
          <w:p w14:paraId="65FAE6A8"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Finance and insurance</w:t>
            </w:r>
          </w:p>
        </w:tc>
      </w:tr>
      <w:tr w:rsidR="003F5413" w:rsidRPr="004A0C12" w14:paraId="6A627EE3"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6" w:type="dxa"/>
            <w:tcBorders>
              <w:top w:val="single" w:sz="4" w:space="0" w:color="auto"/>
              <w:bottom w:val="single" w:sz="4" w:space="0" w:color="auto"/>
              <w:right w:val="single" w:sz="4" w:space="0" w:color="auto"/>
            </w:tcBorders>
            <w:noWrap/>
            <w:hideMark/>
          </w:tcPr>
          <w:p w14:paraId="0946ABCB"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Retail trade</w:t>
            </w:r>
          </w:p>
        </w:tc>
        <w:tc>
          <w:tcPr>
            <w:tcW w:w="4005" w:type="dxa"/>
            <w:tcBorders>
              <w:top w:val="single" w:sz="4" w:space="0" w:color="auto"/>
              <w:left w:val="single" w:sz="4" w:space="0" w:color="auto"/>
              <w:bottom w:val="single" w:sz="4" w:space="0" w:color="auto"/>
            </w:tcBorders>
            <w:noWrap/>
            <w:hideMark/>
          </w:tcPr>
          <w:p w14:paraId="7739403E"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Professional and technical services</w:t>
            </w:r>
          </w:p>
        </w:tc>
      </w:tr>
      <w:tr w:rsidR="003F5413" w:rsidRPr="004A0C12" w14:paraId="5AF62B16"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6" w:type="dxa"/>
            <w:tcBorders>
              <w:top w:val="single" w:sz="4" w:space="0" w:color="auto"/>
              <w:bottom w:val="single" w:sz="8" w:space="0" w:color="4F81BD" w:themeColor="accent1"/>
              <w:right w:val="single" w:sz="4" w:space="0" w:color="auto"/>
            </w:tcBorders>
            <w:noWrap/>
            <w:hideMark/>
          </w:tcPr>
          <w:p w14:paraId="5FAAA7C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Real estate and rental and leasing</w:t>
            </w:r>
          </w:p>
        </w:tc>
        <w:tc>
          <w:tcPr>
            <w:tcW w:w="4005" w:type="dxa"/>
            <w:tcBorders>
              <w:top w:val="single" w:sz="4" w:space="0" w:color="auto"/>
              <w:left w:val="single" w:sz="4" w:space="0" w:color="auto"/>
              <w:bottom w:val="single" w:sz="8" w:space="0" w:color="4F81BD" w:themeColor="accent1"/>
            </w:tcBorders>
            <w:noWrap/>
            <w:hideMark/>
          </w:tcPr>
          <w:p w14:paraId="30F2500F"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Other services, except public administration</w:t>
            </w:r>
          </w:p>
        </w:tc>
      </w:tr>
    </w:tbl>
    <w:p w14:paraId="30DFCA74" w14:textId="77777777" w:rsidR="003F5413" w:rsidRPr="004A0C12" w:rsidRDefault="003F5413" w:rsidP="003F5413">
      <w:pPr>
        <w:rPr>
          <w:rFonts w:ascii="Garamond" w:hAnsi="Garamond"/>
        </w:rPr>
      </w:pPr>
    </w:p>
    <w:tbl>
      <w:tblPr>
        <w:tblStyle w:val="LightList-Accent1"/>
        <w:tblW w:w="8540" w:type="dxa"/>
        <w:jc w:val="center"/>
        <w:tblLook w:val="04A0" w:firstRow="1" w:lastRow="0" w:firstColumn="1" w:lastColumn="0" w:noHBand="0" w:noVBand="1"/>
        <w:tblCaption w:val="Harford"/>
        <w:tblDescription w:val="Growth industries are: Construction; Transportation and warehousing; Professional and technical services; Other services, except public administration. Emerging industries are: Agriculture, forestry, fishing and hunting; Real estate and rental and leasing; Management of companies and enterprises; Health care and social assistance; Accommodation and food services.&#10;"/>
      </w:tblPr>
      <w:tblGrid>
        <w:gridCol w:w="4540"/>
        <w:gridCol w:w="4000"/>
      </w:tblGrid>
      <w:tr w:rsidR="003F5413" w:rsidRPr="004A0C12" w14:paraId="3C635EEA"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540" w:type="dxa"/>
            <w:gridSpan w:val="2"/>
            <w:tcBorders>
              <w:bottom w:val="single" w:sz="8" w:space="0" w:color="4F81BD" w:themeColor="accent1"/>
            </w:tcBorders>
            <w:noWrap/>
            <w:hideMark/>
          </w:tcPr>
          <w:p w14:paraId="1466875B"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Harford</w:t>
            </w:r>
          </w:p>
        </w:tc>
      </w:tr>
      <w:tr w:rsidR="003F5413" w:rsidRPr="004A0C12" w14:paraId="04CD342F"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right w:val="single" w:sz="4" w:space="0" w:color="auto"/>
            </w:tcBorders>
            <w:noWrap/>
            <w:hideMark/>
          </w:tcPr>
          <w:p w14:paraId="4B3CFAF8"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4000" w:type="dxa"/>
            <w:tcBorders>
              <w:left w:val="single" w:sz="4" w:space="0" w:color="auto"/>
            </w:tcBorders>
            <w:noWrap/>
            <w:hideMark/>
          </w:tcPr>
          <w:p w14:paraId="7D74CC43"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4364031C"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8" w:space="0" w:color="4F81BD" w:themeColor="accent1"/>
              <w:bottom w:val="single" w:sz="4" w:space="0" w:color="auto"/>
              <w:right w:val="single" w:sz="4" w:space="0" w:color="auto"/>
            </w:tcBorders>
            <w:noWrap/>
            <w:hideMark/>
          </w:tcPr>
          <w:p w14:paraId="4F579CB4"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4000" w:type="dxa"/>
            <w:tcBorders>
              <w:top w:val="single" w:sz="8" w:space="0" w:color="4F81BD" w:themeColor="accent1"/>
              <w:left w:val="single" w:sz="4" w:space="0" w:color="auto"/>
              <w:bottom w:val="single" w:sz="4" w:space="0" w:color="auto"/>
            </w:tcBorders>
            <w:noWrap/>
            <w:hideMark/>
          </w:tcPr>
          <w:p w14:paraId="6F2396FB"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Agriculture, forestry, fishing and hunting</w:t>
            </w:r>
          </w:p>
        </w:tc>
      </w:tr>
      <w:tr w:rsidR="003F5413" w:rsidRPr="004A0C12" w14:paraId="54D104E1"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single" w:sz="4" w:space="0" w:color="auto"/>
              <w:right w:val="single" w:sz="4" w:space="0" w:color="auto"/>
            </w:tcBorders>
            <w:noWrap/>
            <w:hideMark/>
          </w:tcPr>
          <w:p w14:paraId="6ED8209C"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Transportation and warehousing</w:t>
            </w:r>
          </w:p>
        </w:tc>
        <w:tc>
          <w:tcPr>
            <w:tcW w:w="4000" w:type="dxa"/>
            <w:tcBorders>
              <w:top w:val="single" w:sz="4" w:space="0" w:color="auto"/>
              <w:left w:val="single" w:sz="4" w:space="0" w:color="auto"/>
              <w:bottom w:val="single" w:sz="4" w:space="0" w:color="auto"/>
            </w:tcBorders>
            <w:noWrap/>
            <w:hideMark/>
          </w:tcPr>
          <w:p w14:paraId="7467FFE6"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Real estate and rental and leasing</w:t>
            </w:r>
          </w:p>
        </w:tc>
      </w:tr>
      <w:tr w:rsidR="003F5413" w:rsidRPr="004A0C12" w14:paraId="2C4B4039"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single" w:sz="4" w:space="0" w:color="auto"/>
              <w:right w:val="single" w:sz="4" w:space="0" w:color="auto"/>
            </w:tcBorders>
            <w:noWrap/>
            <w:hideMark/>
          </w:tcPr>
          <w:p w14:paraId="71B4FBFC"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Professional and technical services</w:t>
            </w:r>
          </w:p>
        </w:tc>
        <w:tc>
          <w:tcPr>
            <w:tcW w:w="4000" w:type="dxa"/>
            <w:tcBorders>
              <w:top w:val="single" w:sz="4" w:space="0" w:color="auto"/>
              <w:left w:val="single" w:sz="4" w:space="0" w:color="auto"/>
              <w:bottom w:val="single" w:sz="4" w:space="0" w:color="auto"/>
            </w:tcBorders>
            <w:noWrap/>
            <w:hideMark/>
          </w:tcPr>
          <w:p w14:paraId="4733E0FE"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Management of companies and enterprises</w:t>
            </w:r>
          </w:p>
        </w:tc>
      </w:tr>
      <w:tr w:rsidR="003F5413" w:rsidRPr="004A0C12" w14:paraId="4419FB67"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nil"/>
              <w:right w:val="single" w:sz="4" w:space="0" w:color="auto"/>
            </w:tcBorders>
            <w:noWrap/>
            <w:hideMark/>
          </w:tcPr>
          <w:p w14:paraId="5DEB9D47"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4000" w:type="dxa"/>
            <w:tcBorders>
              <w:top w:val="single" w:sz="4" w:space="0" w:color="auto"/>
              <w:left w:val="single" w:sz="4" w:space="0" w:color="auto"/>
              <w:bottom w:val="single" w:sz="4" w:space="0" w:color="auto"/>
            </w:tcBorders>
            <w:noWrap/>
            <w:hideMark/>
          </w:tcPr>
          <w:p w14:paraId="32FD8D14"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r w:rsidR="003F5413" w:rsidRPr="004A0C12" w14:paraId="51C2C0B0"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nil"/>
              <w:bottom w:val="single" w:sz="8" w:space="0" w:color="4F81BD" w:themeColor="accent1"/>
              <w:right w:val="single" w:sz="4" w:space="0" w:color="auto"/>
            </w:tcBorders>
            <w:noWrap/>
            <w:hideMark/>
          </w:tcPr>
          <w:p w14:paraId="33CE6EAB" w14:textId="77777777" w:rsidR="003F5413" w:rsidRPr="004A0C12" w:rsidRDefault="003F5413" w:rsidP="003F5413">
            <w:pPr>
              <w:rPr>
                <w:rFonts w:ascii="Garamond" w:eastAsia="Times New Roman" w:hAnsi="Garamond"/>
                <w:b w:val="0"/>
                <w:color w:val="000000"/>
              </w:rPr>
            </w:pPr>
          </w:p>
        </w:tc>
        <w:tc>
          <w:tcPr>
            <w:tcW w:w="4000" w:type="dxa"/>
            <w:tcBorders>
              <w:top w:val="single" w:sz="4" w:space="0" w:color="auto"/>
              <w:left w:val="single" w:sz="4" w:space="0" w:color="auto"/>
              <w:bottom w:val="single" w:sz="8" w:space="0" w:color="4F81BD" w:themeColor="accent1"/>
            </w:tcBorders>
            <w:noWrap/>
            <w:hideMark/>
          </w:tcPr>
          <w:p w14:paraId="11785E35"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Accommodation and food services</w:t>
            </w:r>
          </w:p>
        </w:tc>
      </w:tr>
    </w:tbl>
    <w:p w14:paraId="37670AF0" w14:textId="77777777" w:rsidR="003F5413" w:rsidRPr="004A0C12" w:rsidRDefault="003F5413" w:rsidP="003F5413">
      <w:pPr>
        <w:rPr>
          <w:rFonts w:ascii="Garamond" w:hAnsi="Garamond"/>
        </w:rPr>
      </w:pPr>
    </w:p>
    <w:tbl>
      <w:tblPr>
        <w:tblStyle w:val="LightList-Accent1"/>
        <w:tblW w:w="8540" w:type="dxa"/>
        <w:jc w:val="center"/>
        <w:tblLook w:val="04A0" w:firstRow="1" w:lastRow="0" w:firstColumn="1" w:lastColumn="0" w:noHBand="0" w:noVBand="1"/>
        <w:tblCaption w:val="Howard"/>
        <w:tblDescription w:val="Growth industry is Management of companies and enterprises. Emerging industries are: Finance and insurance; Health care and social assistance; Accommodation and food services; Other services, except public administration. &#10;"/>
      </w:tblPr>
      <w:tblGrid>
        <w:gridCol w:w="4540"/>
        <w:gridCol w:w="4000"/>
      </w:tblGrid>
      <w:tr w:rsidR="003F5413" w:rsidRPr="004A0C12" w14:paraId="3F8C4E15"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540" w:type="dxa"/>
            <w:gridSpan w:val="2"/>
            <w:tcBorders>
              <w:bottom w:val="single" w:sz="8" w:space="0" w:color="4F81BD" w:themeColor="accent1"/>
            </w:tcBorders>
            <w:noWrap/>
            <w:hideMark/>
          </w:tcPr>
          <w:p w14:paraId="071B5B5A" w14:textId="77777777" w:rsidR="003F5413" w:rsidRPr="004A0C12" w:rsidRDefault="003F5413" w:rsidP="003F5413">
            <w:pPr>
              <w:jc w:val="center"/>
              <w:rPr>
                <w:rFonts w:ascii="Garamond" w:eastAsia="Times New Roman" w:hAnsi="Garamond"/>
              </w:rPr>
            </w:pPr>
            <w:r w:rsidRPr="004A0C12">
              <w:rPr>
                <w:rFonts w:ascii="Garamond" w:eastAsia="Times New Roman" w:hAnsi="Garamond"/>
              </w:rPr>
              <w:t>Howard</w:t>
            </w:r>
          </w:p>
        </w:tc>
      </w:tr>
      <w:tr w:rsidR="003F5413" w:rsidRPr="004A0C12" w14:paraId="56DB2FCF"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right w:val="single" w:sz="4" w:space="0" w:color="auto"/>
            </w:tcBorders>
            <w:noWrap/>
            <w:hideMark/>
          </w:tcPr>
          <w:p w14:paraId="049C52ED"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4000" w:type="dxa"/>
            <w:tcBorders>
              <w:left w:val="single" w:sz="4" w:space="0" w:color="auto"/>
            </w:tcBorders>
            <w:noWrap/>
            <w:hideMark/>
          </w:tcPr>
          <w:p w14:paraId="7C25F2A9"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511CBC2B"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8" w:space="0" w:color="4F81BD" w:themeColor="accent1"/>
              <w:bottom w:val="nil"/>
              <w:right w:val="single" w:sz="4" w:space="0" w:color="auto"/>
            </w:tcBorders>
            <w:noWrap/>
            <w:hideMark/>
          </w:tcPr>
          <w:p w14:paraId="31C6002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Management of companies and enterprises</w:t>
            </w:r>
          </w:p>
        </w:tc>
        <w:tc>
          <w:tcPr>
            <w:tcW w:w="4000" w:type="dxa"/>
            <w:tcBorders>
              <w:top w:val="single" w:sz="8" w:space="0" w:color="4F81BD" w:themeColor="accent1"/>
              <w:left w:val="single" w:sz="4" w:space="0" w:color="auto"/>
              <w:bottom w:val="single" w:sz="4" w:space="0" w:color="auto"/>
            </w:tcBorders>
            <w:noWrap/>
            <w:hideMark/>
          </w:tcPr>
          <w:p w14:paraId="13FFA2FF"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Finance and insurance</w:t>
            </w:r>
          </w:p>
        </w:tc>
      </w:tr>
      <w:tr w:rsidR="003F5413" w:rsidRPr="004A0C12" w14:paraId="074182AD"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nil"/>
              <w:bottom w:val="nil"/>
              <w:right w:val="single" w:sz="4" w:space="0" w:color="auto"/>
            </w:tcBorders>
            <w:noWrap/>
            <w:hideMark/>
          </w:tcPr>
          <w:p w14:paraId="566BABEA" w14:textId="77777777" w:rsidR="003F5413" w:rsidRPr="004A0C12" w:rsidRDefault="003F5413" w:rsidP="003F5413">
            <w:pPr>
              <w:rPr>
                <w:rFonts w:ascii="Garamond" w:eastAsia="Times New Roman" w:hAnsi="Garamond"/>
                <w:b w:val="0"/>
                <w:color w:val="000000"/>
              </w:rPr>
            </w:pPr>
          </w:p>
        </w:tc>
        <w:tc>
          <w:tcPr>
            <w:tcW w:w="4000" w:type="dxa"/>
            <w:tcBorders>
              <w:top w:val="single" w:sz="4" w:space="0" w:color="auto"/>
              <w:left w:val="single" w:sz="4" w:space="0" w:color="auto"/>
              <w:bottom w:val="single" w:sz="4" w:space="0" w:color="auto"/>
            </w:tcBorders>
            <w:noWrap/>
            <w:hideMark/>
          </w:tcPr>
          <w:p w14:paraId="7BAF183B"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r w:rsidR="003F5413" w:rsidRPr="004A0C12" w14:paraId="5C0002A3"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nil"/>
              <w:bottom w:val="nil"/>
              <w:right w:val="single" w:sz="4" w:space="0" w:color="auto"/>
            </w:tcBorders>
            <w:noWrap/>
            <w:hideMark/>
          </w:tcPr>
          <w:p w14:paraId="773EE868" w14:textId="77777777" w:rsidR="003F5413" w:rsidRPr="004A0C12" w:rsidRDefault="003F5413" w:rsidP="003F5413">
            <w:pPr>
              <w:rPr>
                <w:rFonts w:ascii="Garamond" w:eastAsia="Times New Roman" w:hAnsi="Garamond"/>
                <w:b w:val="0"/>
                <w:color w:val="000000"/>
              </w:rPr>
            </w:pPr>
          </w:p>
        </w:tc>
        <w:tc>
          <w:tcPr>
            <w:tcW w:w="4000" w:type="dxa"/>
            <w:tcBorders>
              <w:top w:val="single" w:sz="4" w:space="0" w:color="auto"/>
              <w:left w:val="single" w:sz="4" w:space="0" w:color="auto"/>
              <w:bottom w:val="single" w:sz="4" w:space="0" w:color="auto"/>
            </w:tcBorders>
            <w:noWrap/>
            <w:hideMark/>
          </w:tcPr>
          <w:p w14:paraId="4366DB83"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Accommodation and food services</w:t>
            </w:r>
          </w:p>
        </w:tc>
      </w:tr>
      <w:tr w:rsidR="003F5413" w:rsidRPr="004A0C12" w14:paraId="13FCCAAA"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nil"/>
              <w:right w:val="single" w:sz="4" w:space="0" w:color="auto"/>
            </w:tcBorders>
            <w:noWrap/>
            <w:hideMark/>
          </w:tcPr>
          <w:p w14:paraId="0771FD16" w14:textId="77777777" w:rsidR="003F5413" w:rsidRPr="004A0C12" w:rsidRDefault="003F5413" w:rsidP="003F5413">
            <w:pPr>
              <w:rPr>
                <w:rFonts w:ascii="Garamond" w:eastAsia="Times New Roman" w:hAnsi="Garamond"/>
                <w:b w:val="0"/>
                <w:color w:val="000000"/>
              </w:rPr>
            </w:pPr>
          </w:p>
        </w:tc>
        <w:tc>
          <w:tcPr>
            <w:tcW w:w="4000" w:type="dxa"/>
            <w:tcBorders>
              <w:top w:val="single" w:sz="4" w:space="0" w:color="auto"/>
              <w:left w:val="single" w:sz="4" w:space="0" w:color="auto"/>
            </w:tcBorders>
            <w:noWrap/>
            <w:hideMark/>
          </w:tcPr>
          <w:p w14:paraId="3B06EE9D"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Other services, except public administration</w:t>
            </w:r>
          </w:p>
        </w:tc>
      </w:tr>
    </w:tbl>
    <w:p w14:paraId="63F79620" w14:textId="77777777" w:rsidR="003F5413" w:rsidRPr="004A0C12" w:rsidRDefault="003F5413" w:rsidP="003F5413">
      <w:pPr>
        <w:rPr>
          <w:rFonts w:ascii="Garamond" w:hAnsi="Garamond"/>
        </w:rPr>
      </w:pPr>
    </w:p>
    <w:tbl>
      <w:tblPr>
        <w:tblStyle w:val="LightList-Accent1"/>
        <w:tblW w:w="8510" w:type="dxa"/>
        <w:jc w:val="center"/>
        <w:tblLook w:val="04A0" w:firstRow="1" w:lastRow="0" w:firstColumn="1" w:lastColumn="0" w:noHBand="0" w:noVBand="1"/>
        <w:tblCaption w:val="Kent"/>
        <w:tblDescription w:val="Growth industries are: Construction; Educational services; Health care and social assistance; Accommodation and food services. Emerging industry is Information.&#10;"/>
      </w:tblPr>
      <w:tblGrid>
        <w:gridCol w:w="4525"/>
        <w:gridCol w:w="3985"/>
      </w:tblGrid>
      <w:tr w:rsidR="003F5413" w:rsidRPr="004A0C12" w14:paraId="43055CED"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510" w:type="dxa"/>
            <w:gridSpan w:val="2"/>
            <w:tcBorders>
              <w:bottom w:val="single" w:sz="8" w:space="0" w:color="4F81BD" w:themeColor="accent1"/>
            </w:tcBorders>
            <w:noWrap/>
            <w:hideMark/>
          </w:tcPr>
          <w:p w14:paraId="2C473692"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Kent</w:t>
            </w:r>
          </w:p>
        </w:tc>
      </w:tr>
      <w:tr w:rsidR="003F5413" w:rsidRPr="004A0C12" w14:paraId="5243AAF1"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25" w:type="dxa"/>
            <w:tcBorders>
              <w:right w:val="single" w:sz="4" w:space="0" w:color="auto"/>
            </w:tcBorders>
            <w:noWrap/>
            <w:hideMark/>
          </w:tcPr>
          <w:p w14:paraId="3FCABA6D"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985" w:type="dxa"/>
            <w:tcBorders>
              <w:left w:val="single" w:sz="4" w:space="0" w:color="auto"/>
            </w:tcBorders>
            <w:noWrap/>
            <w:hideMark/>
          </w:tcPr>
          <w:p w14:paraId="5F5EC8A1"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 xml:space="preserve">Emerging </w:t>
            </w:r>
          </w:p>
        </w:tc>
      </w:tr>
      <w:tr w:rsidR="003F5413" w:rsidRPr="004A0C12" w14:paraId="7ED50E8E"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25" w:type="dxa"/>
            <w:tcBorders>
              <w:top w:val="single" w:sz="8" w:space="0" w:color="4F81BD" w:themeColor="accent1"/>
              <w:bottom w:val="single" w:sz="4" w:space="0" w:color="auto"/>
              <w:right w:val="single" w:sz="4" w:space="0" w:color="auto"/>
            </w:tcBorders>
            <w:noWrap/>
            <w:hideMark/>
          </w:tcPr>
          <w:p w14:paraId="0901D352"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985" w:type="dxa"/>
            <w:tcBorders>
              <w:top w:val="single" w:sz="8" w:space="0" w:color="4F81BD" w:themeColor="accent1"/>
              <w:left w:val="single" w:sz="4" w:space="0" w:color="auto"/>
              <w:bottom w:val="nil"/>
            </w:tcBorders>
            <w:noWrap/>
            <w:hideMark/>
          </w:tcPr>
          <w:p w14:paraId="26149641"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Information</w:t>
            </w:r>
          </w:p>
        </w:tc>
      </w:tr>
      <w:tr w:rsidR="003F5413" w:rsidRPr="004A0C12" w14:paraId="384E33F4"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25" w:type="dxa"/>
            <w:tcBorders>
              <w:top w:val="single" w:sz="4" w:space="0" w:color="auto"/>
              <w:bottom w:val="single" w:sz="4" w:space="0" w:color="auto"/>
              <w:right w:val="single" w:sz="4" w:space="0" w:color="auto"/>
            </w:tcBorders>
            <w:noWrap/>
            <w:hideMark/>
          </w:tcPr>
          <w:p w14:paraId="4E9C60B6"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Educational services</w:t>
            </w:r>
          </w:p>
        </w:tc>
        <w:tc>
          <w:tcPr>
            <w:tcW w:w="3985" w:type="dxa"/>
            <w:tcBorders>
              <w:top w:val="nil"/>
              <w:left w:val="single" w:sz="4" w:space="0" w:color="auto"/>
              <w:bottom w:val="nil"/>
            </w:tcBorders>
            <w:noWrap/>
            <w:hideMark/>
          </w:tcPr>
          <w:p w14:paraId="6036FB29"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p>
        </w:tc>
      </w:tr>
      <w:tr w:rsidR="003F5413" w:rsidRPr="004A0C12" w14:paraId="1721011B"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25" w:type="dxa"/>
            <w:tcBorders>
              <w:top w:val="single" w:sz="4" w:space="0" w:color="auto"/>
              <w:bottom w:val="single" w:sz="4" w:space="0" w:color="auto"/>
              <w:right w:val="single" w:sz="4" w:space="0" w:color="auto"/>
            </w:tcBorders>
            <w:noWrap/>
            <w:hideMark/>
          </w:tcPr>
          <w:p w14:paraId="2B2BEC3C"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Health care and social assistance</w:t>
            </w:r>
          </w:p>
        </w:tc>
        <w:tc>
          <w:tcPr>
            <w:tcW w:w="3985" w:type="dxa"/>
            <w:tcBorders>
              <w:top w:val="nil"/>
              <w:left w:val="single" w:sz="4" w:space="0" w:color="auto"/>
              <w:bottom w:val="nil"/>
            </w:tcBorders>
            <w:noWrap/>
            <w:hideMark/>
          </w:tcPr>
          <w:p w14:paraId="4F129668"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r w:rsidR="003F5413" w:rsidRPr="004A0C12" w14:paraId="2B048C6D"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25" w:type="dxa"/>
            <w:tcBorders>
              <w:top w:val="single" w:sz="4" w:space="0" w:color="auto"/>
              <w:right w:val="single" w:sz="4" w:space="0" w:color="auto"/>
            </w:tcBorders>
            <w:noWrap/>
            <w:hideMark/>
          </w:tcPr>
          <w:p w14:paraId="68341CCF"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985" w:type="dxa"/>
            <w:tcBorders>
              <w:top w:val="nil"/>
              <w:left w:val="single" w:sz="4" w:space="0" w:color="auto"/>
            </w:tcBorders>
            <w:noWrap/>
            <w:hideMark/>
          </w:tcPr>
          <w:p w14:paraId="32420D4A"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p>
        </w:tc>
      </w:tr>
    </w:tbl>
    <w:p w14:paraId="57C994EE" w14:textId="77777777" w:rsidR="003F5413" w:rsidRPr="004A0C12" w:rsidRDefault="003F5413" w:rsidP="003F5413">
      <w:pPr>
        <w:rPr>
          <w:rFonts w:ascii="Garamond" w:hAnsi="Garamond"/>
        </w:rPr>
      </w:pPr>
    </w:p>
    <w:p w14:paraId="6B635C74" w14:textId="77777777" w:rsidR="003F5413" w:rsidRPr="004A0C12" w:rsidRDefault="003F5413" w:rsidP="003F5413">
      <w:pPr>
        <w:rPr>
          <w:rFonts w:ascii="Garamond" w:hAnsi="Garamond"/>
        </w:rPr>
      </w:pPr>
    </w:p>
    <w:tbl>
      <w:tblPr>
        <w:tblStyle w:val="LightList-Accent1"/>
        <w:tblW w:w="8450" w:type="dxa"/>
        <w:jc w:val="center"/>
        <w:tblLook w:val="04A0" w:firstRow="1" w:lastRow="0" w:firstColumn="1" w:lastColumn="0" w:noHBand="0" w:noVBand="1"/>
        <w:tblCaption w:val="Montgomery "/>
        <w:tblDescription w:val="Growth industries are: Construction; Information; Professional and technical services; Educational services; Arts, entertainment, and recreation; Other services, except public administration. Emerging industries are: Agriculture, forestry, fishing and hunting; Manufacturing; Retail trade; Transportation and warehousing; Health care and social assistance; Accommodation and food services.&#10;&#10;"/>
      </w:tblPr>
      <w:tblGrid>
        <w:gridCol w:w="4675"/>
        <w:gridCol w:w="3775"/>
      </w:tblGrid>
      <w:tr w:rsidR="003F5413" w:rsidRPr="004A0C12" w14:paraId="45996EFF"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450" w:type="dxa"/>
            <w:gridSpan w:val="2"/>
            <w:tcBorders>
              <w:top w:val="single" w:sz="8" w:space="0" w:color="4F81BD" w:themeColor="accent1"/>
              <w:bottom w:val="single" w:sz="4" w:space="0" w:color="auto"/>
            </w:tcBorders>
            <w:noWrap/>
            <w:hideMark/>
          </w:tcPr>
          <w:p w14:paraId="5DDEC0DB"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 xml:space="preserve">Montgomery </w:t>
            </w:r>
          </w:p>
        </w:tc>
      </w:tr>
      <w:tr w:rsidR="003F5413" w:rsidRPr="004A0C12" w14:paraId="79750E52"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right w:val="single" w:sz="4" w:space="0" w:color="auto"/>
            </w:tcBorders>
            <w:noWrap/>
            <w:hideMark/>
          </w:tcPr>
          <w:p w14:paraId="2A43F385"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775" w:type="dxa"/>
            <w:tcBorders>
              <w:top w:val="single" w:sz="4" w:space="0" w:color="auto"/>
              <w:left w:val="single" w:sz="4" w:space="0" w:color="auto"/>
            </w:tcBorders>
            <w:noWrap/>
            <w:hideMark/>
          </w:tcPr>
          <w:p w14:paraId="0BE208B7"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 xml:space="preserve">Emerging </w:t>
            </w:r>
          </w:p>
        </w:tc>
      </w:tr>
      <w:tr w:rsidR="003F5413" w:rsidRPr="004A0C12" w14:paraId="46F64C7E"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675" w:type="dxa"/>
            <w:tcBorders>
              <w:top w:val="single" w:sz="8" w:space="0" w:color="4F81BD" w:themeColor="accent1"/>
              <w:bottom w:val="single" w:sz="4" w:space="0" w:color="auto"/>
              <w:right w:val="single" w:sz="4" w:space="0" w:color="auto"/>
            </w:tcBorders>
            <w:noWrap/>
            <w:hideMark/>
          </w:tcPr>
          <w:p w14:paraId="1AB368B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775" w:type="dxa"/>
            <w:tcBorders>
              <w:top w:val="single" w:sz="8" w:space="0" w:color="4F81BD" w:themeColor="accent1"/>
              <w:left w:val="single" w:sz="4" w:space="0" w:color="auto"/>
              <w:bottom w:val="single" w:sz="4" w:space="0" w:color="auto"/>
            </w:tcBorders>
            <w:noWrap/>
            <w:hideMark/>
          </w:tcPr>
          <w:p w14:paraId="6FC3D604"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Agriculture, forestry, fishing and hunting</w:t>
            </w:r>
          </w:p>
        </w:tc>
      </w:tr>
      <w:tr w:rsidR="003F5413" w:rsidRPr="004A0C12" w14:paraId="3E12579A"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bottom w:val="single" w:sz="4" w:space="0" w:color="auto"/>
              <w:right w:val="single" w:sz="4" w:space="0" w:color="auto"/>
            </w:tcBorders>
            <w:noWrap/>
            <w:hideMark/>
          </w:tcPr>
          <w:p w14:paraId="71E14D1F"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Information</w:t>
            </w:r>
          </w:p>
        </w:tc>
        <w:tc>
          <w:tcPr>
            <w:tcW w:w="3775" w:type="dxa"/>
            <w:tcBorders>
              <w:top w:val="single" w:sz="4" w:space="0" w:color="auto"/>
              <w:left w:val="single" w:sz="4" w:space="0" w:color="auto"/>
              <w:bottom w:val="single" w:sz="4" w:space="0" w:color="auto"/>
            </w:tcBorders>
            <w:noWrap/>
            <w:hideMark/>
          </w:tcPr>
          <w:p w14:paraId="6B5885CF"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Manufacturing</w:t>
            </w:r>
          </w:p>
        </w:tc>
      </w:tr>
      <w:tr w:rsidR="003F5413" w:rsidRPr="004A0C12" w14:paraId="0DF9D0C0"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bottom w:val="single" w:sz="4" w:space="0" w:color="auto"/>
              <w:right w:val="single" w:sz="4" w:space="0" w:color="auto"/>
            </w:tcBorders>
            <w:noWrap/>
            <w:hideMark/>
          </w:tcPr>
          <w:p w14:paraId="60B77D18"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Professional and technical services</w:t>
            </w:r>
          </w:p>
        </w:tc>
        <w:tc>
          <w:tcPr>
            <w:tcW w:w="3775" w:type="dxa"/>
            <w:tcBorders>
              <w:top w:val="single" w:sz="4" w:space="0" w:color="auto"/>
              <w:left w:val="single" w:sz="4" w:space="0" w:color="auto"/>
              <w:bottom w:val="single" w:sz="4" w:space="0" w:color="auto"/>
            </w:tcBorders>
            <w:noWrap/>
            <w:hideMark/>
          </w:tcPr>
          <w:p w14:paraId="7A46ECDD"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Retail trade</w:t>
            </w:r>
          </w:p>
        </w:tc>
      </w:tr>
      <w:tr w:rsidR="003F5413" w:rsidRPr="004A0C12" w14:paraId="014CD794"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bottom w:val="single" w:sz="4" w:space="0" w:color="auto"/>
              <w:right w:val="single" w:sz="4" w:space="0" w:color="auto"/>
            </w:tcBorders>
            <w:noWrap/>
            <w:hideMark/>
          </w:tcPr>
          <w:p w14:paraId="43CA0FF8"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Educational services</w:t>
            </w:r>
          </w:p>
        </w:tc>
        <w:tc>
          <w:tcPr>
            <w:tcW w:w="3775" w:type="dxa"/>
            <w:tcBorders>
              <w:top w:val="single" w:sz="4" w:space="0" w:color="auto"/>
              <w:left w:val="single" w:sz="4" w:space="0" w:color="auto"/>
              <w:bottom w:val="single" w:sz="4" w:space="0" w:color="auto"/>
            </w:tcBorders>
            <w:noWrap/>
            <w:hideMark/>
          </w:tcPr>
          <w:p w14:paraId="39D37C1B"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Transportation and warehousing</w:t>
            </w:r>
          </w:p>
        </w:tc>
      </w:tr>
      <w:tr w:rsidR="003F5413" w:rsidRPr="004A0C12" w14:paraId="718CA8E4"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bottom w:val="single" w:sz="4" w:space="0" w:color="auto"/>
              <w:right w:val="single" w:sz="4" w:space="0" w:color="auto"/>
            </w:tcBorders>
            <w:noWrap/>
            <w:hideMark/>
          </w:tcPr>
          <w:p w14:paraId="7BF6EBFB"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Arts, entertainment, and recreation</w:t>
            </w:r>
          </w:p>
        </w:tc>
        <w:tc>
          <w:tcPr>
            <w:tcW w:w="3775" w:type="dxa"/>
            <w:tcBorders>
              <w:top w:val="single" w:sz="4" w:space="0" w:color="auto"/>
              <w:left w:val="single" w:sz="4" w:space="0" w:color="auto"/>
              <w:bottom w:val="single" w:sz="4" w:space="0" w:color="auto"/>
            </w:tcBorders>
            <w:noWrap/>
            <w:hideMark/>
          </w:tcPr>
          <w:p w14:paraId="4AC7E443"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r w:rsidR="003F5413" w:rsidRPr="004A0C12" w14:paraId="52F09AE0"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675" w:type="dxa"/>
            <w:tcBorders>
              <w:top w:val="single" w:sz="4" w:space="0" w:color="auto"/>
              <w:right w:val="single" w:sz="4" w:space="0" w:color="auto"/>
            </w:tcBorders>
            <w:noWrap/>
            <w:hideMark/>
          </w:tcPr>
          <w:p w14:paraId="3C3828C4"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3775" w:type="dxa"/>
            <w:tcBorders>
              <w:top w:val="single" w:sz="4" w:space="0" w:color="auto"/>
              <w:left w:val="single" w:sz="4" w:space="0" w:color="auto"/>
            </w:tcBorders>
            <w:noWrap/>
            <w:hideMark/>
          </w:tcPr>
          <w:p w14:paraId="5180BD72"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Accommodation and food services</w:t>
            </w:r>
          </w:p>
        </w:tc>
      </w:tr>
    </w:tbl>
    <w:p w14:paraId="737262C2" w14:textId="77777777" w:rsidR="003F5413" w:rsidRPr="004A0C12" w:rsidRDefault="003F5413" w:rsidP="003F5413">
      <w:pPr>
        <w:rPr>
          <w:rFonts w:ascii="Garamond" w:hAnsi="Garamond"/>
        </w:rPr>
      </w:pPr>
    </w:p>
    <w:tbl>
      <w:tblPr>
        <w:tblStyle w:val="LightList-Accent1"/>
        <w:tblW w:w="8275" w:type="dxa"/>
        <w:jc w:val="center"/>
        <w:tblLook w:val="04A0" w:firstRow="1" w:lastRow="0" w:firstColumn="1" w:lastColumn="0" w:noHBand="0" w:noVBand="1"/>
        <w:tblCaption w:val="Prince George's"/>
        <w:tblDescription w:val="Growth industries are: Construction; Retail trade; Transportation and warehousing; Real estate and rental and leasing. Emerging industries are: Management of companies and enterprises; Educational services; Health care and social assistance; Arts, entertainment, and recreation; Accommodation and food services.&#10;&#10;"/>
      </w:tblPr>
      <w:tblGrid>
        <w:gridCol w:w="4588"/>
        <w:gridCol w:w="3687"/>
      </w:tblGrid>
      <w:tr w:rsidR="003F5413" w:rsidRPr="004A0C12" w14:paraId="68D4F3F7"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275" w:type="dxa"/>
            <w:gridSpan w:val="2"/>
            <w:tcBorders>
              <w:top w:val="single" w:sz="8" w:space="0" w:color="4F81BD" w:themeColor="accent1"/>
              <w:bottom w:val="single" w:sz="4" w:space="0" w:color="auto"/>
            </w:tcBorders>
            <w:noWrap/>
            <w:hideMark/>
          </w:tcPr>
          <w:p w14:paraId="06438F16"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lastRenderedPageBreak/>
              <w:t>Prince George's</w:t>
            </w:r>
          </w:p>
        </w:tc>
      </w:tr>
      <w:tr w:rsidR="003F5413" w:rsidRPr="004A0C12" w14:paraId="7AA1FBFF"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88" w:type="dxa"/>
            <w:tcBorders>
              <w:top w:val="single" w:sz="4" w:space="0" w:color="auto"/>
              <w:right w:val="single" w:sz="4" w:space="0" w:color="auto"/>
            </w:tcBorders>
            <w:noWrap/>
            <w:hideMark/>
          </w:tcPr>
          <w:p w14:paraId="4CA034AE"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 xml:space="preserve">Growth </w:t>
            </w:r>
          </w:p>
        </w:tc>
        <w:tc>
          <w:tcPr>
            <w:tcW w:w="3687" w:type="dxa"/>
            <w:tcBorders>
              <w:top w:val="single" w:sz="4" w:space="0" w:color="auto"/>
              <w:left w:val="single" w:sz="4" w:space="0" w:color="auto"/>
            </w:tcBorders>
            <w:noWrap/>
            <w:hideMark/>
          </w:tcPr>
          <w:p w14:paraId="3911CAE8"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239A18ED"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88" w:type="dxa"/>
            <w:tcBorders>
              <w:top w:val="single" w:sz="8" w:space="0" w:color="4F81BD" w:themeColor="accent1"/>
              <w:bottom w:val="single" w:sz="4" w:space="0" w:color="auto"/>
              <w:right w:val="single" w:sz="4" w:space="0" w:color="auto"/>
            </w:tcBorders>
            <w:noWrap/>
            <w:hideMark/>
          </w:tcPr>
          <w:p w14:paraId="334D5E0C"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687" w:type="dxa"/>
            <w:tcBorders>
              <w:top w:val="single" w:sz="8" w:space="0" w:color="4F81BD" w:themeColor="accent1"/>
              <w:left w:val="single" w:sz="4" w:space="0" w:color="auto"/>
              <w:bottom w:val="single" w:sz="4" w:space="0" w:color="auto"/>
            </w:tcBorders>
            <w:noWrap/>
            <w:hideMark/>
          </w:tcPr>
          <w:p w14:paraId="3A1DC84E"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Management of companies and enterprises</w:t>
            </w:r>
          </w:p>
        </w:tc>
      </w:tr>
      <w:tr w:rsidR="003F5413" w:rsidRPr="004A0C12" w14:paraId="1F04CA26"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88" w:type="dxa"/>
            <w:tcBorders>
              <w:top w:val="single" w:sz="4" w:space="0" w:color="auto"/>
              <w:bottom w:val="single" w:sz="4" w:space="0" w:color="auto"/>
              <w:right w:val="single" w:sz="4" w:space="0" w:color="auto"/>
            </w:tcBorders>
            <w:noWrap/>
            <w:hideMark/>
          </w:tcPr>
          <w:p w14:paraId="69BB059A"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Retail trade</w:t>
            </w:r>
          </w:p>
        </w:tc>
        <w:tc>
          <w:tcPr>
            <w:tcW w:w="3687" w:type="dxa"/>
            <w:tcBorders>
              <w:top w:val="single" w:sz="4" w:space="0" w:color="auto"/>
              <w:left w:val="single" w:sz="4" w:space="0" w:color="auto"/>
              <w:bottom w:val="single" w:sz="4" w:space="0" w:color="auto"/>
            </w:tcBorders>
            <w:noWrap/>
            <w:hideMark/>
          </w:tcPr>
          <w:p w14:paraId="46D2C60D"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55B68A96"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88" w:type="dxa"/>
            <w:tcBorders>
              <w:top w:val="single" w:sz="4" w:space="0" w:color="auto"/>
              <w:bottom w:val="single" w:sz="4" w:space="0" w:color="auto"/>
              <w:right w:val="single" w:sz="4" w:space="0" w:color="auto"/>
            </w:tcBorders>
            <w:noWrap/>
            <w:hideMark/>
          </w:tcPr>
          <w:p w14:paraId="15CBDD16"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Transportation and warehousing</w:t>
            </w:r>
          </w:p>
        </w:tc>
        <w:tc>
          <w:tcPr>
            <w:tcW w:w="3687" w:type="dxa"/>
            <w:tcBorders>
              <w:top w:val="single" w:sz="4" w:space="0" w:color="auto"/>
              <w:left w:val="single" w:sz="4" w:space="0" w:color="auto"/>
              <w:bottom w:val="single" w:sz="4" w:space="0" w:color="auto"/>
            </w:tcBorders>
            <w:noWrap/>
            <w:hideMark/>
          </w:tcPr>
          <w:p w14:paraId="48ED6132"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r w:rsidR="003F5413" w:rsidRPr="004A0C12" w14:paraId="388A6070"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88" w:type="dxa"/>
            <w:tcBorders>
              <w:top w:val="single" w:sz="4" w:space="0" w:color="auto"/>
              <w:bottom w:val="nil"/>
              <w:right w:val="single" w:sz="4" w:space="0" w:color="auto"/>
            </w:tcBorders>
            <w:noWrap/>
            <w:hideMark/>
          </w:tcPr>
          <w:p w14:paraId="56EF8B0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Real estate and rental and leasing</w:t>
            </w:r>
          </w:p>
        </w:tc>
        <w:tc>
          <w:tcPr>
            <w:tcW w:w="3687" w:type="dxa"/>
            <w:tcBorders>
              <w:top w:val="single" w:sz="4" w:space="0" w:color="auto"/>
              <w:left w:val="single" w:sz="4" w:space="0" w:color="auto"/>
              <w:bottom w:val="single" w:sz="4" w:space="0" w:color="auto"/>
            </w:tcBorders>
            <w:noWrap/>
            <w:hideMark/>
          </w:tcPr>
          <w:p w14:paraId="3EB4C8DB"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Arts, entertainment, and recreation</w:t>
            </w:r>
          </w:p>
        </w:tc>
      </w:tr>
      <w:tr w:rsidR="003F5413" w:rsidRPr="004A0C12" w14:paraId="44F90FE0"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88" w:type="dxa"/>
            <w:tcBorders>
              <w:top w:val="nil"/>
              <w:bottom w:val="single" w:sz="8" w:space="0" w:color="4F81BD" w:themeColor="accent1"/>
              <w:right w:val="single" w:sz="4" w:space="0" w:color="auto"/>
            </w:tcBorders>
            <w:noWrap/>
            <w:hideMark/>
          </w:tcPr>
          <w:p w14:paraId="2FA26B3A" w14:textId="77777777" w:rsidR="003F5413" w:rsidRPr="004A0C12" w:rsidRDefault="003F5413" w:rsidP="003F5413">
            <w:pPr>
              <w:rPr>
                <w:rFonts w:ascii="Garamond" w:eastAsia="Times New Roman" w:hAnsi="Garamond"/>
                <w:b w:val="0"/>
                <w:color w:val="000000"/>
              </w:rPr>
            </w:pPr>
          </w:p>
        </w:tc>
        <w:tc>
          <w:tcPr>
            <w:tcW w:w="3687" w:type="dxa"/>
            <w:tcBorders>
              <w:top w:val="single" w:sz="4" w:space="0" w:color="auto"/>
              <w:left w:val="single" w:sz="4" w:space="0" w:color="auto"/>
              <w:bottom w:val="single" w:sz="8" w:space="0" w:color="4F81BD" w:themeColor="accent1"/>
            </w:tcBorders>
            <w:noWrap/>
            <w:hideMark/>
          </w:tcPr>
          <w:p w14:paraId="04F84EF0"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Accommodation and food services</w:t>
            </w:r>
          </w:p>
        </w:tc>
      </w:tr>
    </w:tbl>
    <w:p w14:paraId="21E2D12E" w14:textId="77777777" w:rsidR="003F5413" w:rsidRPr="004A0C12" w:rsidRDefault="003F5413" w:rsidP="003F5413">
      <w:pPr>
        <w:rPr>
          <w:rFonts w:ascii="Garamond" w:hAnsi="Garamond"/>
        </w:rPr>
      </w:pPr>
    </w:p>
    <w:tbl>
      <w:tblPr>
        <w:tblStyle w:val="LightList-Accent1"/>
        <w:tblW w:w="8207" w:type="dxa"/>
        <w:jc w:val="center"/>
        <w:tblLook w:val="04A0" w:firstRow="1" w:lastRow="0" w:firstColumn="1" w:lastColumn="0" w:noHBand="0" w:noVBand="1"/>
        <w:tblCaption w:val="Queen Anne's "/>
        <w:tblDescription w:val="Growth industries are: Construction; Wholesale trade; Retail trade; Arts, entertainment, and recreation; Accommodation and food services; Other services, except public administration. Emerging industries are: Manufacturing; Finance and insurance; Professional and technical services; Educational services.&#10;&#10;"/>
      </w:tblPr>
      <w:tblGrid>
        <w:gridCol w:w="4554"/>
        <w:gridCol w:w="3653"/>
      </w:tblGrid>
      <w:tr w:rsidR="003F5413" w:rsidRPr="004A0C12" w14:paraId="5930A815"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207" w:type="dxa"/>
            <w:gridSpan w:val="2"/>
            <w:tcBorders>
              <w:bottom w:val="single" w:sz="8" w:space="0" w:color="4F81BD" w:themeColor="accent1"/>
            </w:tcBorders>
            <w:noWrap/>
            <w:hideMark/>
          </w:tcPr>
          <w:p w14:paraId="157F8C28"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Queen Anne's</w:t>
            </w:r>
          </w:p>
        </w:tc>
      </w:tr>
      <w:tr w:rsidR="003F5413" w:rsidRPr="004A0C12" w14:paraId="22749834"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54" w:type="dxa"/>
            <w:tcBorders>
              <w:right w:val="single" w:sz="4" w:space="0" w:color="auto"/>
            </w:tcBorders>
            <w:noWrap/>
            <w:hideMark/>
          </w:tcPr>
          <w:p w14:paraId="3AAD0765"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3653" w:type="dxa"/>
            <w:tcBorders>
              <w:left w:val="single" w:sz="4" w:space="0" w:color="auto"/>
            </w:tcBorders>
            <w:noWrap/>
            <w:hideMark/>
          </w:tcPr>
          <w:p w14:paraId="1B017866"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 xml:space="preserve">Emerging </w:t>
            </w:r>
          </w:p>
        </w:tc>
      </w:tr>
      <w:tr w:rsidR="003F5413" w:rsidRPr="004A0C12" w14:paraId="0431BC59"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54" w:type="dxa"/>
            <w:tcBorders>
              <w:top w:val="single" w:sz="8" w:space="0" w:color="4F81BD" w:themeColor="accent1"/>
              <w:bottom w:val="single" w:sz="4" w:space="0" w:color="auto"/>
              <w:right w:val="single" w:sz="4" w:space="0" w:color="auto"/>
            </w:tcBorders>
            <w:noWrap/>
            <w:hideMark/>
          </w:tcPr>
          <w:p w14:paraId="6DFFD0BD"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653" w:type="dxa"/>
            <w:tcBorders>
              <w:top w:val="single" w:sz="8" w:space="0" w:color="4F81BD" w:themeColor="accent1"/>
              <w:left w:val="single" w:sz="4" w:space="0" w:color="auto"/>
              <w:bottom w:val="single" w:sz="4" w:space="0" w:color="auto"/>
            </w:tcBorders>
            <w:noWrap/>
            <w:hideMark/>
          </w:tcPr>
          <w:p w14:paraId="09F7D84D"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Manufacturing</w:t>
            </w:r>
          </w:p>
        </w:tc>
      </w:tr>
      <w:tr w:rsidR="003F5413" w:rsidRPr="004A0C12" w14:paraId="621D7180"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54" w:type="dxa"/>
            <w:tcBorders>
              <w:top w:val="single" w:sz="4" w:space="0" w:color="auto"/>
              <w:bottom w:val="single" w:sz="4" w:space="0" w:color="auto"/>
              <w:right w:val="single" w:sz="4" w:space="0" w:color="auto"/>
            </w:tcBorders>
            <w:noWrap/>
            <w:hideMark/>
          </w:tcPr>
          <w:p w14:paraId="0313428E"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Wholesale trade</w:t>
            </w:r>
          </w:p>
        </w:tc>
        <w:tc>
          <w:tcPr>
            <w:tcW w:w="3653" w:type="dxa"/>
            <w:tcBorders>
              <w:top w:val="single" w:sz="4" w:space="0" w:color="auto"/>
              <w:left w:val="single" w:sz="4" w:space="0" w:color="auto"/>
              <w:bottom w:val="single" w:sz="4" w:space="0" w:color="auto"/>
            </w:tcBorders>
            <w:noWrap/>
            <w:hideMark/>
          </w:tcPr>
          <w:p w14:paraId="14ECF91C"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Finance and insurance</w:t>
            </w:r>
          </w:p>
        </w:tc>
      </w:tr>
      <w:tr w:rsidR="003F5413" w:rsidRPr="004A0C12" w14:paraId="5AC03B1E"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54" w:type="dxa"/>
            <w:tcBorders>
              <w:top w:val="single" w:sz="4" w:space="0" w:color="auto"/>
              <w:bottom w:val="single" w:sz="4" w:space="0" w:color="auto"/>
              <w:right w:val="single" w:sz="4" w:space="0" w:color="auto"/>
            </w:tcBorders>
            <w:noWrap/>
            <w:hideMark/>
          </w:tcPr>
          <w:p w14:paraId="1E98338A"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Retail trade</w:t>
            </w:r>
          </w:p>
        </w:tc>
        <w:tc>
          <w:tcPr>
            <w:tcW w:w="3653" w:type="dxa"/>
            <w:tcBorders>
              <w:top w:val="single" w:sz="4" w:space="0" w:color="auto"/>
              <w:left w:val="single" w:sz="4" w:space="0" w:color="auto"/>
              <w:bottom w:val="single" w:sz="4" w:space="0" w:color="auto"/>
            </w:tcBorders>
            <w:noWrap/>
            <w:hideMark/>
          </w:tcPr>
          <w:p w14:paraId="4FFDE829"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Professional and technical services</w:t>
            </w:r>
          </w:p>
        </w:tc>
      </w:tr>
      <w:tr w:rsidR="003F5413" w:rsidRPr="004A0C12" w14:paraId="70F0EDD7"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54" w:type="dxa"/>
            <w:tcBorders>
              <w:top w:val="single" w:sz="4" w:space="0" w:color="auto"/>
              <w:bottom w:val="single" w:sz="4" w:space="0" w:color="auto"/>
              <w:right w:val="single" w:sz="4" w:space="0" w:color="auto"/>
            </w:tcBorders>
            <w:noWrap/>
            <w:hideMark/>
          </w:tcPr>
          <w:p w14:paraId="1BA8E004"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Arts, entertainment, and recreation</w:t>
            </w:r>
          </w:p>
        </w:tc>
        <w:tc>
          <w:tcPr>
            <w:tcW w:w="3653" w:type="dxa"/>
            <w:tcBorders>
              <w:top w:val="single" w:sz="4" w:space="0" w:color="auto"/>
              <w:left w:val="single" w:sz="4" w:space="0" w:color="auto"/>
              <w:bottom w:val="nil"/>
            </w:tcBorders>
            <w:noWrap/>
            <w:hideMark/>
          </w:tcPr>
          <w:p w14:paraId="38A6C56E"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4C2E58AA"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54" w:type="dxa"/>
            <w:tcBorders>
              <w:top w:val="single" w:sz="4" w:space="0" w:color="auto"/>
              <w:bottom w:val="single" w:sz="4" w:space="0" w:color="auto"/>
              <w:right w:val="single" w:sz="4" w:space="0" w:color="auto"/>
            </w:tcBorders>
            <w:noWrap/>
            <w:hideMark/>
          </w:tcPr>
          <w:p w14:paraId="65E14BFC"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653" w:type="dxa"/>
            <w:tcBorders>
              <w:top w:val="nil"/>
              <w:left w:val="single" w:sz="4" w:space="0" w:color="auto"/>
              <w:bottom w:val="nil"/>
            </w:tcBorders>
            <w:noWrap/>
            <w:hideMark/>
          </w:tcPr>
          <w:p w14:paraId="0F2CFE8E"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r w:rsidR="003F5413" w:rsidRPr="004A0C12" w14:paraId="64FFB0C8"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54" w:type="dxa"/>
            <w:tcBorders>
              <w:top w:val="single" w:sz="4" w:space="0" w:color="auto"/>
              <w:right w:val="single" w:sz="4" w:space="0" w:color="auto"/>
            </w:tcBorders>
            <w:noWrap/>
            <w:hideMark/>
          </w:tcPr>
          <w:p w14:paraId="290C4BC0"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3653" w:type="dxa"/>
            <w:tcBorders>
              <w:top w:val="nil"/>
              <w:left w:val="single" w:sz="4" w:space="0" w:color="auto"/>
            </w:tcBorders>
            <w:noWrap/>
            <w:hideMark/>
          </w:tcPr>
          <w:p w14:paraId="57C2BDFE"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p>
        </w:tc>
      </w:tr>
    </w:tbl>
    <w:p w14:paraId="402DDDFF" w14:textId="77777777" w:rsidR="003F5413" w:rsidRPr="004A0C12" w:rsidRDefault="003F5413" w:rsidP="003F5413">
      <w:pPr>
        <w:rPr>
          <w:rFonts w:ascii="Garamond" w:hAnsi="Garamond"/>
        </w:rPr>
      </w:pPr>
    </w:p>
    <w:tbl>
      <w:tblPr>
        <w:tblStyle w:val="LightList-Accent1"/>
        <w:tblW w:w="8128" w:type="dxa"/>
        <w:jc w:val="center"/>
        <w:tblLook w:val="04A0" w:firstRow="1" w:lastRow="0" w:firstColumn="1" w:lastColumn="0" w:noHBand="0" w:noVBand="1"/>
        <w:tblCaption w:val="Somerset"/>
        <w:tblDescription w:val="Growth industries are: Construction; Wholesale trade. Emerging industries are: Manufacturing; Retail trade; Finance and insurance; Educational services; Arts, entertainment, and recreation; Other services, except public administration. &#10;"/>
      </w:tblPr>
      <w:tblGrid>
        <w:gridCol w:w="4514"/>
        <w:gridCol w:w="3614"/>
      </w:tblGrid>
      <w:tr w:rsidR="003F5413" w:rsidRPr="004A0C12" w14:paraId="310CD377"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128" w:type="dxa"/>
            <w:gridSpan w:val="2"/>
            <w:tcBorders>
              <w:bottom w:val="single" w:sz="8" w:space="0" w:color="4F81BD" w:themeColor="accent1"/>
            </w:tcBorders>
            <w:noWrap/>
            <w:hideMark/>
          </w:tcPr>
          <w:p w14:paraId="3AAA4459"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Somerset</w:t>
            </w:r>
          </w:p>
        </w:tc>
      </w:tr>
      <w:tr w:rsidR="003F5413" w:rsidRPr="004A0C12" w14:paraId="1E7A333F"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14" w:type="dxa"/>
            <w:tcBorders>
              <w:right w:val="single" w:sz="4" w:space="0" w:color="auto"/>
            </w:tcBorders>
            <w:noWrap/>
            <w:hideMark/>
          </w:tcPr>
          <w:p w14:paraId="54193A7F"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3614" w:type="dxa"/>
            <w:tcBorders>
              <w:left w:val="single" w:sz="4" w:space="0" w:color="auto"/>
            </w:tcBorders>
            <w:noWrap/>
            <w:hideMark/>
          </w:tcPr>
          <w:p w14:paraId="66E5F1CD"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5341AE19" w14:textId="77777777" w:rsidTr="003F5413">
        <w:trPr>
          <w:trHeight w:val="315"/>
          <w:jc w:val="center"/>
        </w:trPr>
        <w:tc>
          <w:tcPr>
            <w:cnfStyle w:val="001000000000" w:firstRow="0" w:lastRow="0" w:firstColumn="1" w:lastColumn="0" w:oddVBand="0" w:evenVBand="0" w:oddHBand="0" w:evenHBand="0" w:firstRowFirstColumn="0" w:firstRowLastColumn="0" w:lastRowFirstColumn="0" w:lastRowLastColumn="0"/>
            <w:tcW w:w="4514" w:type="dxa"/>
            <w:tcBorders>
              <w:top w:val="single" w:sz="8" w:space="0" w:color="4F81BD" w:themeColor="accent1"/>
              <w:bottom w:val="single" w:sz="4" w:space="0" w:color="auto"/>
              <w:right w:val="single" w:sz="4" w:space="0" w:color="auto"/>
            </w:tcBorders>
            <w:noWrap/>
            <w:hideMark/>
          </w:tcPr>
          <w:p w14:paraId="510CAF55"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614" w:type="dxa"/>
            <w:tcBorders>
              <w:top w:val="single" w:sz="8" w:space="0" w:color="4F81BD" w:themeColor="accent1"/>
              <w:left w:val="single" w:sz="4" w:space="0" w:color="auto"/>
              <w:bottom w:val="single" w:sz="4" w:space="0" w:color="auto"/>
            </w:tcBorders>
            <w:noWrap/>
            <w:hideMark/>
          </w:tcPr>
          <w:p w14:paraId="6EAF399A"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Manufacturing</w:t>
            </w:r>
          </w:p>
        </w:tc>
      </w:tr>
      <w:tr w:rsidR="003F5413" w:rsidRPr="004A0C12" w14:paraId="23DD93ED" w14:textId="77777777" w:rsidTr="003F541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14" w:type="dxa"/>
            <w:tcBorders>
              <w:top w:val="single" w:sz="4" w:space="0" w:color="auto"/>
              <w:bottom w:val="nil"/>
              <w:right w:val="single" w:sz="4" w:space="0" w:color="auto"/>
            </w:tcBorders>
            <w:noWrap/>
            <w:hideMark/>
          </w:tcPr>
          <w:p w14:paraId="19C0D751"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Wholesale trade</w:t>
            </w:r>
          </w:p>
        </w:tc>
        <w:tc>
          <w:tcPr>
            <w:tcW w:w="3614" w:type="dxa"/>
            <w:tcBorders>
              <w:top w:val="single" w:sz="4" w:space="0" w:color="auto"/>
              <w:left w:val="single" w:sz="4" w:space="0" w:color="auto"/>
              <w:bottom w:val="single" w:sz="4" w:space="0" w:color="auto"/>
            </w:tcBorders>
            <w:noWrap/>
            <w:hideMark/>
          </w:tcPr>
          <w:p w14:paraId="1610F6ED"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Retail trade</w:t>
            </w:r>
          </w:p>
        </w:tc>
      </w:tr>
      <w:tr w:rsidR="003F5413" w:rsidRPr="004A0C12" w14:paraId="09F61B04" w14:textId="77777777" w:rsidTr="003F5413">
        <w:trPr>
          <w:trHeight w:val="315"/>
          <w:jc w:val="center"/>
        </w:trPr>
        <w:tc>
          <w:tcPr>
            <w:cnfStyle w:val="001000000000" w:firstRow="0" w:lastRow="0" w:firstColumn="1" w:lastColumn="0" w:oddVBand="0" w:evenVBand="0" w:oddHBand="0" w:evenHBand="0" w:firstRowFirstColumn="0" w:firstRowLastColumn="0" w:lastRowFirstColumn="0" w:lastRowLastColumn="0"/>
            <w:tcW w:w="4514" w:type="dxa"/>
            <w:tcBorders>
              <w:top w:val="nil"/>
              <w:bottom w:val="nil"/>
              <w:right w:val="single" w:sz="4" w:space="0" w:color="auto"/>
            </w:tcBorders>
            <w:noWrap/>
            <w:hideMark/>
          </w:tcPr>
          <w:p w14:paraId="0680BCEC" w14:textId="77777777" w:rsidR="003F5413" w:rsidRPr="004A0C12" w:rsidRDefault="003F5413" w:rsidP="003F5413">
            <w:pPr>
              <w:rPr>
                <w:rFonts w:ascii="Garamond" w:eastAsia="Times New Roman" w:hAnsi="Garamond"/>
                <w:b w:val="0"/>
                <w:color w:val="000000"/>
              </w:rPr>
            </w:pPr>
          </w:p>
        </w:tc>
        <w:tc>
          <w:tcPr>
            <w:tcW w:w="3614" w:type="dxa"/>
            <w:tcBorders>
              <w:top w:val="single" w:sz="4" w:space="0" w:color="auto"/>
              <w:left w:val="single" w:sz="4" w:space="0" w:color="auto"/>
              <w:bottom w:val="single" w:sz="4" w:space="0" w:color="auto"/>
            </w:tcBorders>
            <w:noWrap/>
            <w:hideMark/>
          </w:tcPr>
          <w:p w14:paraId="13DC6AB3"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Finance and insurance</w:t>
            </w:r>
          </w:p>
        </w:tc>
      </w:tr>
      <w:tr w:rsidR="003F5413" w:rsidRPr="004A0C12" w14:paraId="7B949033" w14:textId="77777777" w:rsidTr="003F541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14" w:type="dxa"/>
            <w:tcBorders>
              <w:top w:val="nil"/>
              <w:bottom w:val="nil"/>
              <w:right w:val="single" w:sz="4" w:space="0" w:color="auto"/>
            </w:tcBorders>
            <w:noWrap/>
            <w:hideMark/>
          </w:tcPr>
          <w:p w14:paraId="41770E98" w14:textId="77777777" w:rsidR="003F5413" w:rsidRPr="004A0C12" w:rsidRDefault="003F5413" w:rsidP="003F5413">
            <w:pPr>
              <w:rPr>
                <w:rFonts w:ascii="Garamond" w:eastAsia="Times New Roman" w:hAnsi="Garamond"/>
                <w:b w:val="0"/>
                <w:color w:val="000000"/>
              </w:rPr>
            </w:pPr>
          </w:p>
        </w:tc>
        <w:tc>
          <w:tcPr>
            <w:tcW w:w="3614" w:type="dxa"/>
            <w:tcBorders>
              <w:top w:val="single" w:sz="4" w:space="0" w:color="auto"/>
              <w:left w:val="single" w:sz="4" w:space="0" w:color="auto"/>
              <w:bottom w:val="single" w:sz="4" w:space="0" w:color="auto"/>
            </w:tcBorders>
            <w:noWrap/>
            <w:hideMark/>
          </w:tcPr>
          <w:p w14:paraId="0F77A228"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03D2D2BD" w14:textId="77777777" w:rsidTr="003F5413">
        <w:trPr>
          <w:trHeight w:val="315"/>
          <w:jc w:val="center"/>
        </w:trPr>
        <w:tc>
          <w:tcPr>
            <w:cnfStyle w:val="001000000000" w:firstRow="0" w:lastRow="0" w:firstColumn="1" w:lastColumn="0" w:oddVBand="0" w:evenVBand="0" w:oddHBand="0" w:evenHBand="0" w:firstRowFirstColumn="0" w:firstRowLastColumn="0" w:lastRowFirstColumn="0" w:lastRowLastColumn="0"/>
            <w:tcW w:w="4514" w:type="dxa"/>
            <w:tcBorders>
              <w:top w:val="nil"/>
              <w:bottom w:val="nil"/>
              <w:right w:val="single" w:sz="4" w:space="0" w:color="auto"/>
            </w:tcBorders>
            <w:noWrap/>
            <w:hideMark/>
          </w:tcPr>
          <w:p w14:paraId="0D6CF329" w14:textId="77777777" w:rsidR="003F5413" w:rsidRPr="004A0C12" w:rsidRDefault="003F5413" w:rsidP="003F5413">
            <w:pPr>
              <w:rPr>
                <w:rFonts w:ascii="Garamond" w:eastAsia="Times New Roman" w:hAnsi="Garamond"/>
                <w:b w:val="0"/>
                <w:color w:val="000000"/>
              </w:rPr>
            </w:pPr>
          </w:p>
        </w:tc>
        <w:tc>
          <w:tcPr>
            <w:tcW w:w="3614" w:type="dxa"/>
            <w:tcBorders>
              <w:top w:val="single" w:sz="4" w:space="0" w:color="auto"/>
              <w:left w:val="single" w:sz="4" w:space="0" w:color="auto"/>
              <w:bottom w:val="single" w:sz="4" w:space="0" w:color="auto"/>
            </w:tcBorders>
            <w:noWrap/>
            <w:hideMark/>
          </w:tcPr>
          <w:p w14:paraId="27B91E79"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Arts, entertainment, and recreation</w:t>
            </w:r>
          </w:p>
        </w:tc>
      </w:tr>
      <w:tr w:rsidR="003F5413" w:rsidRPr="004A0C12" w14:paraId="3DEC0BD4" w14:textId="77777777" w:rsidTr="003F541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14" w:type="dxa"/>
            <w:tcBorders>
              <w:top w:val="nil"/>
              <w:right w:val="single" w:sz="4" w:space="0" w:color="auto"/>
            </w:tcBorders>
            <w:noWrap/>
            <w:hideMark/>
          </w:tcPr>
          <w:p w14:paraId="49EB5AC7" w14:textId="77777777" w:rsidR="003F5413" w:rsidRPr="004A0C12" w:rsidRDefault="003F5413" w:rsidP="003F5413">
            <w:pPr>
              <w:rPr>
                <w:rFonts w:ascii="Garamond" w:eastAsia="Times New Roman" w:hAnsi="Garamond"/>
                <w:b w:val="0"/>
                <w:color w:val="000000"/>
              </w:rPr>
            </w:pPr>
          </w:p>
        </w:tc>
        <w:tc>
          <w:tcPr>
            <w:tcW w:w="3614" w:type="dxa"/>
            <w:tcBorders>
              <w:top w:val="single" w:sz="4" w:space="0" w:color="auto"/>
              <w:left w:val="single" w:sz="4" w:space="0" w:color="auto"/>
            </w:tcBorders>
            <w:noWrap/>
            <w:hideMark/>
          </w:tcPr>
          <w:p w14:paraId="65064E05"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Other services, except public administration</w:t>
            </w:r>
          </w:p>
        </w:tc>
      </w:tr>
    </w:tbl>
    <w:p w14:paraId="238EA114" w14:textId="77777777" w:rsidR="003F5413" w:rsidRPr="004A0C12" w:rsidRDefault="003F5413" w:rsidP="003F5413">
      <w:pPr>
        <w:rPr>
          <w:rFonts w:ascii="Garamond" w:hAnsi="Garamond"/>
        </w:rPr>
      </w:pPr>
    </w:p>
    <w:tbl>
      <w:tblPr>
        <w:tblStyle w:val="LightList-Accent1"/>
        <w:tblW w:w="8113" w:type="dxa"/>
        <w:jc w:val="center"/>
        <w:tblLook w:val="04A0" w:firstRow="1" w:lastRow="0" w:firstColumn="1" w:lastColumn="0" w:noHBand="0" w:noVBand="1"/>
        <w:tblCaption w:val="St. Mary's"/>
        <w:tblDescription w:val="Growth industries are: Construction; Transportation and warehousing. Emerging industries are: Retail trade; Educational services; Health care and social assistance; Arts, entertainment, and recreation; Accommodation and food services; Other services, except public administration.&#10;&#10;"/>
      </w:tblPr>
      <w:tblGrid>
        <w:gridCol w:w="4507"/>
        <w:gridCol w:w="3606"/>
      </w:tblGrid>
      <w:tr w:rsidR="003F5413" w:rsidRPr="004A0C12" w14:paraId="1E91F620"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113" w:type="dxa"/>
            <w:gridSpan w:val="2"/>
            <w:tcBorders>
              <w:bottom w:val="single" w:sz="8" w:space="0" w:color="4F81BD" w:themeColor="accent1"/>
            </w:tcBorders>
            <w:noWrap/>
            <w:hideMark/>
          </w:tcPr>
          <w:p w14:paraId="31C646AC"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 xml:space="preserve">St. Mary's </w:t>
            </w:r>
          </w:p>
        </w:tc>
      </w:tr>
      <w:tr w:rsidR="003F5413" w:rsidRPr="004A0C12" w14:paraId="135829BB"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07" w:type="dxa"/>
            <w:tcBorders>
              <w:bottom w:val="single" w:sz="4" w:space="0" w:color="auto"/>
              <w:right w:val="single" w:sz="4" w:space="0" w:color="auto"/>
            </w:tcBorders>
            <w:noWrap/>
            <w:hideMark/>
          </w:tcPr>
          <w:p w14:paraId="609BE198"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3606" w:type="dxa"/>
            <w:tcBorders>
              <w:left w:val="single" w:sz="4" w:space="0" w:color="auto"/>
              <w:bottom w:val="single" w:sz="4" w:space="0" w:color="auto"/>
            </w:tcBorders>
            <w:noWrap/>
            <w:hideMark/>
          </w:tcPr>
          <w:p w14:paraId="572A785B"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 xml:space="preserve">Emerging </w:t>
            </w:r>
          </w:p>
        </w:tc>
      </w:tr>
      <w:tr w:rsidR="003F5413" w:rsidRPr="004A0C12" w14:paraId="1DAA6C77"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07" w:type="dxa"/>
            <w:tcBorders>
              <w:top w:val="single" w:sz="4" w:space="0" w:color="auto"/>
              <w:bottom w:val="single" w:sz="4" w:space="0" w:color="auto"/>
              <w:right w:val="single" w:sz="4" w:space="0" w:color="auto"/>
            </w:tcBorders>
            <w:noWrap/>
            <w:hideMark/>
          </w:tcPr>
          <w:p w14:paraId="3845A946"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606" w:type="dxa"/>
            <w:tcBorders>
              <w:top w:val="single" w:sz="4" w:space="0" w:color="auto"/>
              <w:left w:val="single" w:sz="4" w:space="0" w:color="auto"/>
              <w:bottom w:val="single" w:sz="4" w:space="0" w:color="auto"/>
            </w:tcBorders>
            <w:noWrap/>
            <w:hideMark/>
          </w:tcPr>
          <w:p w14:paraId="637BC110"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Retail trade</w:t>
            </w:r>
          </w:p>
        </w:tc>
      </w:tr>
      <w:tr w:rsidR="003F5413" w:rsidRPr="004A0C12" w14:paraId="6C6E9DA5"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07" w:type="dxa"/>
            <w:tcBorders>
              <w:top w:val="single" w:sz="4" w:space="0" w:color="auto"/>
              <w:bottom w:val="nil"/>
              <w:right w:val="single" w:sz="4" w:space="0" w:color="auto"/>
            </w:tcBorders>
            <w:noWrap/>
            <w:hideMark/>
          </w:tcPr>
          <w:p w14:paraId="2E0FC90E"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Transportation and warehousing</w:t>
            </w:r>
          </w:p>
        </w:tc>
        <w:tc>
          <w:tcPr>
            <w:tcW w:w="3606" w:type="dxa"/>
            <w:tcBorders>
              <w:top w:val="single" w:sz="4" w:space="0" w:color="auto"/>
              <w:left w:val="single" w:sz="4" w:space="0" w:color="auto"/>
              <w:bottom w:val="single" w:sz="4" w:space="0" w:color="auto"/>
            </w:tcBorders>
            <w:noWrap/>
            <w:hideMark/>
          </w:tcPr>
          <w:p w14:paraId="2EA0DDED"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25A0E4E3"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07" w:type="dxa"/>
            <w:tcBorders>
              <w:top w:val="nil"/>
              <w:bottom w:val="nil"/>
              <w:right w:val="single" w:sz="4" w:space="0" w:color="auto"/>
            </w:tcBorders>
            <w:noWrap/>
            <w:hideMark/>
          </w:tcPr>
          <w:p w14:paraId="6AA2A6E5" w14:textId="77777777" w:rsidR="003F5413" w:rsidRPr="004A0C12" w:rsidRDefault="003F5413" w:rsidP="003F5413">
            <w:pPr>
              <w:rPr>
                <w:rFonts w:ascii="Garamond" w:eastAsia="Times New Roman" w:hAnsi="Garamond"/>
                <w:b w:val="0"/>
                <w:color w:val="000000"/>
              </w:rPr>
            </w:pPr>
          </w:p>
        </w:tc>
        <w:tc>
          <w:tcPr>
            <w:tcW w:w="3606" w:type="dxa"/>
            <w:tcBorders>
              <w:top w:val="single" w:sz="4" w:space="0" w:color="auto"/>
              <w:left w:val="single" w:sz="4" w:space="0" w:color="auto"/>
              <w:bottom w:val="single" w:sz="4" w:space="0" w:color="auto"/>
            </w:tcBorders>
            <w:noWrap/>
            <w:hideMark/>
          </w:tcPr>
          <w:p w14:paraId="7CE98504"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r w:rsidR="003F5413" w:rsidRPr="004A0C12" w14:paraId="70B5C50C"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07" w:type="dxa"/>
            <w:tcBorders>
              <w:top w:val="nil"/>
              <w:bottom w:val="nil"/>
              <w:right w:val="single" w:sz="4" w:space="0" w:color="auto"/>
            </w:tcBorders>
            <w:noWrap/>
            <w:hideMark/>
          </w:tcPr>
          <w:p w14:paraId="2879AAD0" w14:textId="77777777" w:rsidR="003F5413" w:rsidRPr="004A0C12" w:rsidRDefault="003F5413" w:rsidP="003F5413">
            <w:pPr>
              <w:rPr>
                <w:rFonts w:ascii="Garamond" w:eastAsia="Times New Roman" w:hAnsi="Garamond"/>
                <w:b w:val="0"/>
                <w:color w:val="000000"/>
              </w:rPr>
            </w:pPr>
          </w:p>
        </w:tc>
        <w:tc>
          <w:tcPr>
            <w:tcW w:w="3606" w:type="dxa"/>
            <w:tcBorders>
              <w:top w:val="single" w:sz="4" w:space="0" w:color="auto"/>
              <w:left w:val="single" w:sz="4" w:space="0" w:color="auto"/>
              <w:bottom w:val="single" w:sz="4" w:space="0" w:color="auto"/>
            </w:tcBorders>
            <w:noWrap/>
            <w:hideMark/>
          </w:tcPr>
          <w:p w14:paraId="5E9AB8F0"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Arts, entertainment, and recreation</w:t>
            </w:r>
          </w:p>
        </w:tc>
      </w:tr>
      <w:tr w:rsidR="003F5413" w:rsidRPr="004A0C12" w14:paraId="6C092C92"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07" w:type="dxa"/>
            <w:tcBorders>
              <w:top w:val="nil"/>
              <w:bottom w:val="nil"/>
              <w:right w:val="single" w:sz="4" w:space="0" w:color="auto"/>
            </w:tcBorders>
            <w:noWrap/>
            <w:hideMark/>
          </w:tcPr>
          <w:p w14:paraId="085552DA" w14:textId="77777777" w:rsidR="003F5413" w:rsidRPr="004A0C12" w:rsidRDefault="003F5413" w:rsidP="003F5413">
            <w:pPr>
              <w:rPr>
                <w:rFonts w:ascii="Garamond" w:eastAsia="Times New Roman" w:hAnsi="Garamond"/>
                <w:b w:val="0"/>
                <w:color w:val="000000"/>
              </w:rPr>
            </w:pPr>
          </w:p>
        </w:tc>
        <w:tc>
          <w:tcPr>
            <w:tcW w:w="3606" w:type="dxa"/>
            <w:tcBorders>
              <w:top w:val="single" w:sz="4" w:space="0" w:color="auto"/>
              <w:left w:val="single" w:sz="4" w:space="0" w:color="auto"/>
              <w:bottom w:val="single" w:sz="4" w:space="0" w:color="auto"/>
            </w:tcBorders>
            <w:noWrap/>
            <w:hideMark/>
          </w:tcPr>
          <w:p w14:paraId="4C58217A"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Accommodation and food services</w:t>
            </w:r>
          </w:p>
        </w:tc>
      </w:tr>
      <w:tr w:rsidR="003F5413" w:rsidRPr="004A0C12" w14:paraId="7BDCD390"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07" w:type="dxa"/>
            <w:tcBorders>
              <w:top w:val="nil"/>
              <w:right w:val="single" w:sz="4" w:space="0" w:color="auto"/>
            </w:tcBorders>
            <w:noWrap/>
            <w:hideMark/>
          </w:tcPr>
          <w:p w14:paraId="36FFC26B" w14:textId="77777777" w:rsidR="003F5413" w:rsidRPr="004A0C12" w:rsidRDefault="003F5413" w:rsidP="003F5413">
            <w:pPr>
              <w:rPr>
                <w:rFonts w:ascii="Garamond" w:eastAsia="Times New Roman" w:hAnsi="Garamond"/>
                <w:b w:val="0"/>
                <w:color w:val="000000"/>
              </w:rPr>
            </w:pPr>
          </w:p>
        </w:tc>
        <w:tc>
          <w:tcPr>
            <w:tcW w:w="3606" w:type="dxa"/>
            <w:tcBorders>
              <w:top w:val="single" w:sz="4" w:space="0" w:color="auto"/>
              <w:left w:val="single" w:sz="4" w:space="0" w:color="auto"/>
            </w:tcBorders>
            <w:noWrap/>
            <w:hideMark/>
          </w:tcPr>
          <w:p w14:paraId="0CD25393"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Other services, except public administration</w:t>
            </w:r>
          </w:p>
        </w:tc>
      </w:tr>
    </w:tbl>
    <w:p w14:paraId="61AD3F1C" w14:textId="77777777" w:rsidR="003F5413" w:rsidRDefault="003F5413" w:rsidP="003F5413">
      <w:pPr>
        <w:rPr>
          <w:rFonts w:ascii="Garamond" w:hAnsi="Garamond"/>
        </w:rPr>
      </w:pPr>
    </w:p>
    <w:p w14:paraId="2BCDD864" w14:textId="77777777" w:rsidR="005A2120" w:rsidRPr="004A0C12" w:rsidRDefault="005A2120" w:rsidP="003F5413">
      <w:pPr>
        <w:rPr>
          <w:rFonts w:ascii="Garamond" w:hAnsi="Garamond"/>
        </w:rPr>
      </w:pPr>
    </w:p>
    <w:tbl>
      <w:tblPr>
        <w:tblStyle w:val="LightList-Accent1"/>
        <w:tblW w:w="8168" w:type="dxa"/>
        <w:jc w:val="center"/>
        <w:tblLook w:val="04A0" w:firstRow="1" w:lastRow="0" w:firstColumn="1" w:lastColumn="0" w:noHBand="0" w:noVBand="1"/>
        <w:tblCaption w:val="Talbot"/>
        <w:tblDescription w:val="Growth industries are: Construction; Professional and technical services; Administrative and waste services; Accommodation and food services; Other services, except public administration. Emerging industries are: Manufacturing; Transportation and warehousing; Real estate and rental and leasing; Educational services&#10;&#10;"/>
      </w:tblPr>
      <w:tblGrid>
        <w:gridCol w:w="4534"/>
        <w:gridCol w:w="3634"/>
      </w:tblGrid>
      <w:tr w:rsidR="003F5413" w:rsidRPr="004A0C12" w14:paraId="147B7624"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168" w:type="dxa"/>
            <w:gridSpan w:val="2"/>
            <w:tcBorders>
              <w:bottom w:val="single" w:sz="8" w:space="0" w:color="4F81BD" w:themeColor="accent1"/>
            </w:tcBorders>
            <w:noWrap/>
            <w:hideMark/>
          </w:tcPr>
          <w:p w14:paraId="4E5B027E"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lastRenderedPageBreak/>
              <w:t>Talbot</w:t>
            </w:r>
          </w:p>
        </w:tc>
      </w:tr>
      <w:tr w:rsidR="003F5413" w:rsidRPr="004A0C12" w14:paraId="13F66117"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34" w:type="dxa"/>
            <w:tcBorders>
              <w:bottom w:val="single" w:sz="4" w:space="0" w:color="auto"/>
              <w:right w:val="single" w:sz="4" w:space="0" w:color="auto"/>
            </w:tcBorders>
            <w:noWrap/>
            <w:hideMark/>
          </w:tcPr>
          <w:p w14:paraId="5F6FF8CD"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3634" w:type="dxa"/>
            <w:tcBorders>
              <w:left w:val="single" w:sz="4" w:space="0" w:color="auto"/>
              <w:bottom w:val="single" w:sz="4" w:space="0" w:color="auto"/>
            </w:tcBorders>
            <w:noWrap/>
            <w:hideMark/>
          </w:tcPr>
          <w:p w14:paraId="65A8B360"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0F9355BD"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34" w:type="dxa"/>
            <w:tcBorders>
              <w:top w:val="single" w:sz="4" w:space="0" w:color="auto"/>
              <w:bottom w:val="single" w:sz="4" w:space="0" w:color="auto"/>
              <w:right w:val="single" w:sz="4" w:space="0" w:color="auto"/>
            </w:tcBorders>
            <w:noWrap/>
            <w:hideMark/>
          </w:tcPr>
          <w:p w14:paraId="6DF76274"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Construction</w:t>
            </w:r>
          </w:p>
        </w:tc>
        <w:tc>
          <w:tcPr>
            <w:tcW w:w="3634" w:type="dxa"/>
            <w:tcBorders>
              <w:top w:val="single" w:sz="4" w:space="0" w:color="auto"/>
              <w:left w:val="single" w:sz="4" w:space="0" w:color="auto"/>
              <w:bottom w:val="single" w:sz="4" w:space="0" w:color="auto"/>
            </w:tcBorders>
            <w:noWrap/>
            <w:hideMark/>
          </w:tcPr>
          <w:p w14:paraId="4688F7B3"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Manufacturing</w:t>
            </w:r>
          </w:p>
        </w:tc>
      </w:tr>
      <w:tr w:rsidR="003F5413" w:rsidRPr="004A0C12" w14:paraId="3309E1DE"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34" w:type="dxa"/>
            <w:tcBorders>
              <w:top w:val="single" w:sz="4" w:space="0" w:color="auto"/>
              <w:bottom w:val="single" w:sz="4" w:space="0" w:color="auto"/>
              <w:right w:val="single" w:sz="4" w:space="0" w:color="auto"/>
            </w:tcBorders>
            <w:noWrap/>
            <w:hideMark/>
          </w:tcPr>
          <w:p w14:paraId="224CE09F"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Professional and technical services</w:t>
            </w:r>
          </w:p>
        </w:tc>
        <w:tc>
          <w:tcPr>
            <w:tcW w:w="3634" w:type="dxa"/>
            <w:tcBorders>
              <w:top w:val="single" w:sz="4" w:space="0" w:color="auto"/>
              <w:left w:val="single" w:sz="4" w:space="0" w:color="auto"/>
              <w:bottom w:val="single" w:sz="4" w:space="0" w:color="auto"/>
            </w:tcBorders>
            <w:noWrap/>
            <w:hideMark/>
          </w:tcPr>
          <w:p w14:paraId="7A51E6A3"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Transportation and warehousing</w:t>
            </w:r>
          </w:p>
        </w:tc>
      </w:tr>
      <w:tr w:rsidR="003F5413" w:rsidRPr="004A0C12" w14:paraId="56E1BB54"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34" w:type="dxa"/>
            <w:tcBorders>
              <w:top w:val="single" w:sz="4" w:space="0" w:color="auto"/>
              <w:bottom w:val="single" w:sz="4" w:space="0" w:color="auto"/>
              <w:right w:val="single" w:sz="4" w:space="0" w:color="auto"/>
            </w:tcBorders>
            <w:noWrap/>
            <w:hideMark/>
          </w:tcPr>
          <w:p w14:paraId="1D2AD5CC"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Administrative and waste services</w:t>
            </w:r>
          </w:p>
        </w:tc>
        <w:tc>
          <w:tcPr>
            <w:tcW w:w="3634" w:type="dxa"/>
            <w:tcBorders>
              <w:top w:val="single" w:sz="4" w:space="0" w:color="auto"/>
              <w:left w:val="single" w:sz="4" w:space="0" w:color="auto"/>
              <w:bottom w:val="single" w:sz="4" w:space="0" w:color="auto"/>
            </w:tcBorders>
            <w:noWrap/>
            <w:hideMark/>
          </w:tcPr>
          <w:p w14:paraId="0F58A5EA"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Real estate and rental and leasing</w:t>
            </w:r>
          </w:p>
        </w:tc>
      </w:tr>
      <w:tr w:rsidR="003F5413" w:rsidRPr="004A0C12" w14:paraId="44D316D6"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34" w:type="dxa"/>
            <w:tcBorders>
              <w:top w:val="single" w:sz="4" w:space="0" w:color="auto"/>
              <w:bottom w:val="single" w:sz="4" w:space="0" w:color="auto"/>
              <w:right w:val="single" w:sz="4" w:space="0" w:color="auto"/>
            </w:tcBorders>
            <w:noWrap/>
            <w:hideMark/>
          </w:tcPr>
          <w:p w14:paraId="2CDC5DA2"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634" w:type="dxa"/>
            <w:tcBorders>
              <w:top w:val="single" w:sz="4" w:space="0" w:color="auto"/>
              <w:left w:val="single" w:sz="4" w:space="0" w:color="auto"/>
              <w:bottom w:val="nil"/>
            </w:tcBorders>
            <w:noWrap/>
            <w:hideMark/>
          </w:tcPr>
          <w:p w14:paraId="1D00DAB5"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25110D68"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34" w:type="dxa"/>
            <w:tcBorders>
              <w:top w:val="single" w:sz="4" w:space="0" w:color="auto"/>
              <w:bottom w:val="single" w:sz="8" w:space="0" w:color="4F81BD" w:themeColor="accent1"/>
              <w:right w:val="single" w:sz="4" w:space="0" w:color="auto"/>
            </w:tcBorders>
            <w:noWrap/>
            <w:hideMark/>
          </w:tcPr>
          <w:p w14:paraId="711FFBB6"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3634" w:type="dxa"/>
            <w:tcBorders>
              <w:top w:val="nil"/>
              <w:left w:val="single" w:sz="4" w:space="0" w:color="auto"/>
              <w:bottom w:val="single" w:sz="8" w:space="0" w:color="4F81BD" w:themeColor="accent1"/>
            </w:tcBorders>
            <w:noWrap/>
            <w:hideMark/>
          </w:tcPr>
          <w:p w14:paraId="73086B80"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p>
        </w:tc>
      </w:tr>
    </w:tbl>
    <w:p w14:paraId="1A3C04A8" w14:textId="77777777" w:rsidR="003F5413" w:rsidRPr="004A0C12" w:rsidRDefault="003F5413" w:rsidP="003F5413">
      <w:pPr>
        <w:rPr>
          <w:rFonts w:ascii="Garamond" w:hAnsi="Garamond"/>
        </w:rPr>
      </w:pPr>
    </w:p>
    <w:tbl>
      <w:tblPr>
        <w:tblStyle w:val="LightList-Accent1"/>
        <w:tblW w:w="8158" w:type="dxa"/>
        <w:jc w:val="center"/>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4" w:space="0" w:color="auto"/>
          <w:insideV w:val="single" w:sz="4" w:space="0" w:color="auto"/>
        </w:tblBorders>
        <w:tblLook w:val="04A0" w:firstRow="1" w:lastRow="0" w:firstColumn="1" w:lastColumn="0" w:noHBand="0" w:noVBand="1"/>
        <w:tblCaption w:val="Washington"/>
        <w:tblDescription w:val="Growth industries are: Manufacturing; Retail trade; Transportation and warehousing; Health care and social assistance. Emerging industries are: Agriculture, forestry, fishing and hunting; Mining, quarrying, and oil and gas extraction; Wholesale trade; Real estate and rental and leasing; Professional and technical services; Management of companies and enterprises; Administrative and waste services; Educational services; Other services, except public administration.&#10;&#10;&#10;"/>
      </w:tblPr>
      <w:tblGrid>
        <w:gridCol w:w="4529"/>
        <w:gridCol w:w="3629"/>
      </w:tblGrid>
      <w:tr w:rsidR="003F5413" w:rsidRPr="004A0C12" w14:paraId="7EA84931" w14:textId="77777777" w:rsidTr="008B1D9A">
        <w:trPr>
          <w:cnfStyle w:val="100000000000" w:firstRow="1" w:lastRow="0" w:firstColumn="0" w:lastColumn="0" w:oddVBand="0" w:evenVBand="0" w:oddHBand="0" w:evenHBand="0" w:firstRowFirstColumn="0" w:firstRowLastColumn="0" w:lastRowFirstColumn="0" w:lastRowLastColumn="0"/>
          <w:trHeight w:val="297"/>
          <w:tblHeader/>
          <w:jc w:val="center"/>
        </w:trPr>
        <w:tc>
          <w:tcPr>
            <w:cnfStyle w:val="001000000000" w:firstRow="0" w:lastRow="0" w:firstColumn="1" w:lastColumn="0" w:oddVBand="0" w:evenVBand="0" w:oddHBand="0" w:evenHBand="0" w:firstRowFirstColumn="0" w:firstRowLastColumn="0" w:lastRowFirstColumn="0" w:lastRowLastColumn="0"/>
            <w:tcW w:w="8158" w:type="dxa"/>
            <w:gridSpan w:val="2"/>
            <w:noWrap/>
            <w:hideMark/>
          </w:tcPr>
          <w:p w14:paraId="0B8B6B83"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 xml:space="preserve">Washington </w:t>
            </w:r>
          </w:p>
        </w:tc>
      </w:tr>
      <w:tr w:rsidR="003F5413" w:rsidRPr="004A0C12" w14:paraId="1036E11E" w14:textId="77777777" w:rsidTr="003F5413">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529" w:type="dxa"/>
            <w:noWrap/>
            <w:hideMark/>
          </w:tcPr>
          <w:p w14:paraId="190CDD61"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3629" w:type="dxa"/>
            <w:noWrap/>
            <w:hideMark/>
          </w:tcPr>
          <w:p w14:paraId="1D95A064"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623E9976" w14:textId="77777777" w:rsidTr="003F5413">
        <w:trPr>
          <w:trHeight w:val="297"/>
          <w:jc w:val="center"/>
        </w:trPr>
        <w:tc>
          <w:tcPr>
            <w:cnfStyle w:val="001000000000" w:firstRow="0" w:lastRow="0" w:firstColumn="1" w:lastColumn="0" w:oddVBand="0" w:evenVBand="0" w:oddHBand="0" w:evenHBand="0" w:firstRowFirstColumn="0" w:firstRowLastColumn="0" w:lastRowFirstColumn="0" w:lastRowLastColumn="0"/>
            <w:tcW w:w="4529" w:type="dxa"/>
            <w:noWrap/>
            <w:hideMark/>
          </w:tcPr>
          <w:p w14:paraId="2466E5A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Manufacturing</w:t>
            </w:r>
          </w:p>
        </w:tc>
        <w:tc>
          <w:tcPr>
            <w:tcW w:w="3629" w:type="dxa"/>
            <w:noWrap/>
            <w:hideMark/>
          </w:tcPr>
          <w:p w14:paraId="1A84585D"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Agriculture, forestry, fishing and hunting</w:t>
            </w:r>
          </w:p>
        </w:tc>
      </w:tr>
      <w:tr w:rsidR="003F5413" w:rsidRPr="004A0C12" w14:paraId="77C4170A" w14:textId="77777777" w:rsidTr="003F5413">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529" w:type="dxa"/>
            <w:noWrap/>
            <w:hideMark/>
          </w:tcPr>
          <w:p w14:paraId="16922E1E"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Retail trade</w:t>
            </w:r>
          </w:p>
        </w:tc>
        <w:tc>
          <w:tcPr>
            <w:tcW w:w="3629" w:type="dxa"/>
            <w:noWrap/>
            <w:hideMark/>
          </w:tcPr>
          <w:p w14:paraId="00FFFE1C"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Mining, quarrying, and oil and gas extraction</w:t>
            </w:r>
          </w:p>
        </w:tc>
      </w:tr>
      <w:tr w:rsidR="003F5413" w:rsidRPr="004A0C12" w14:paraId="27B12A0A" w14:textId="77777777" w:rsidTr="003F5413">
        <w:trPr>
          <w:trHeight w:val="297"/>
          <w:jc w:val="center"/>
        </w:trPr>
        <w:tc>
          <w:tcPr>
            <w:cnfStyle w:val="001000000000" w:firstRow="0" w:lastRow="0" w:firstColumn="1" w:lastColumn="0" w:oddVBand="0" w:evenVBand="0" w:oddHBand="0" w:evenHBand="0" w:firstRowFirstColumn="0" w:firstRowLastColumn="0" w:lastRowFirstColumn="0" w:lastRowLastColumn="0"/>
            <w:tcW w:w="4529" w:type="dxa"/>
            <w:tcBorders>
              <w:bottom w:val="single" w:sz="4" w:space="0" w:color="auto"/>
            </w:tcBorders>
            <w:noWrap/>
            <w:hideMark/>
          </w:tcPr>
          <w:p w14:paraId="38B4D48B"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Transportation and warehousing</w:t>
            </w:r>
          </w:p>
        </w:tc>
        <w:tc>
          <w:tcPr>
            <w:tcW w:w="3629" w:type="dxa"/>
            <w:noWrap/>
            <w:hideMark/>
          </w:tcPr>
          <w:p w14:paraId="0C4AABE5"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Wholesale trade</w:t>
            </w:r>
          </w:p>
        </w:tc>
      </w:tr>
      <w:tr w:rsidR="003F5413" w:rsidRPr="004A0C12" w14:paraId="02C8272E" w14:textId="77777777" w:rsidTr="008856E1">
        <w:trPr>
          <w:cnfStyle w:val="000000100000" w:firstRow="0" w:lastRow="0" w:firstColumn="0" w:lastColumn="0" w:oddVBand="0" w:evenVBand="0" w:oddHBand="1" w:evenHBand="0" w:firstRowFirstColumn="0" w:firstRowLastColumn="0" w:lastRowFirstColumn="0" w:lastRowLastColumn="0"/>
          <w:trHeight w:val="42"/>
          <w:jc w:val="center"/>
        </w:trPr>
        <w:tc>
          <w:tcPr>
            <w:cnfStyle w:val="001000000000" w:firstRow="0" w:lastRow="0" w:firstColumn="1" w:lastColumn="0" w:oddVBand="0" w:evenVBand="0" w:oddHBand="0" w:evenHBand="0" w:firstRowFirstColumn="0" w:firstRowLastColumn="0" w:lastRowFirstColumn="0" w:lastRowLastColumn="0"/>
            <w:tcW w:w="4529" w:type="dxa"/>
            <w:tcBorders>
              <w:top w:val="single" w:sz="4" w:space="0" w:color="auto"/>
              <w:bottom w:val="nil"/>
            </w:tcBorders>
            <w:noWrap/>
            <w:hideMark/>
          </w:tcPr>
          <w:p w14:paraId="52A67DCD"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Health care and social assistance</w:t>
            </w:r>
          </w:p>
        </w:tc>
        <w:tc>
          <w:tcPr>
            <w:tcW w:w="3629" w:type="dxa"/>
            <w:noWrap/>
            <w:hideMark/>
          </w:tcPr>
          <w:p w14:paraId="5834F5D7"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Real estate and rental and leasing</w:t>
            </w:r>
          </w:p>
        </w:tc>
      </w:tr>
      <w:tr w:rsidR="003F5413" w:rsidRPr="004A0C12" w14:paraId="22D55814" w14:textId="77777777" w:rsidTr="003F5413">
        <w:trPr>
          <w:trHeight w:val="297"/>
          <w:jc w:val="center"/>
        </w:trPr>
        <w:tc>
          <w:tcPr>
            <w:cnfStyle w:val="001000000000" w:firstRow="0" w:lastRow="0" w:firstColumn="1" w:lastColumn="0" w:oddVBand="0" w:evenVBand="0" w:oddHBand="0" w:evenHBand="0" w:firstRowFirstColumn="0" w:firstRowLastColumn="0" w:lastRowFirstColumn="0" w:lastRowLastColumn="0"/>
            <w:tcW w:w="4529" w:type="dxa"/>
            <w:tcBorders>
              <w:top w:val="nil"/>
              <w:bottom w:val="nil"/>
            </w:tcBorders>
            <w:noWrap/>
            <w:hideMark/>
          </w:tcPr>
          <w:p w14:paraId="5393BCAB" w14:textId="77777777" w:rsidR="003F5413" w:rsidRPr="004A0C12" w:rsidRDefault="003F5413" w:rsidP="003F5413">
            <w:pPr>
              <w:rPr>
                <w:rFonts w:ascii="Garamond" w:eastAsia="Times New Roman" w:hAnsi="Garamond"/>
                <w:color w:val="000000"/>
              </w:rPr>
            </w:pPr>
          </w:p>
        </w:tc>
        <w:tc>
          <w:tcPr>
            <w:tcW w:w="3629" w:type="dxa"/>
            <w:noWrap/>
            <w:hideMark/>
          </w:tcPr>
          <w:p w14:paraId="65B9C55C"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Professional and technical services</w:t>
            </w:r>
          </w:p>
        </w:tc>
      </w:tr>
      <w:tr w:rsidR="003F5413" w:rsidRPr="004A0C12" w14:paraId="74E259E7" w14:textId="77777777" w:rsidTr="003F5413">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529" w:type="dxa"/>
            <w:tcBorders>
              <w:top w:val="nil"/>
              <w:bottom w:val="nil"/>
            </w:tcBorders>
            <w:noWrap/>
            <w:hideMark/>
          </w:tcPr>
          <w:p w14:paraId="6DA0C231" w14:textId="77777777" w:rsidR="003F5413" w:rsidRPr="004A0C12" w:rsidRDefault="003F5413" w:rsidP="003F5413">
            <w:pPr>
              <w:rPr>
                <w:rFonts w:ascii="Garamond" w:eastAsia="Times New Roman" w:hAnsi="Garamond"/>
                <w:color w:val="000000"/>
              </w:rPr>
            </w:pPr>
          </w:p>
        </w:tc>
        <w:tc>
          <w:tcPr>
            <w:tcW w:w="3629" w:type="dxa"/>
            <w:noWrap/>
            <w:hideMark/>
          </w:tcPr>
          <w:p w14:paraId="4B46C437"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Management of companies and enterprises</w:t>
            </w:r>
          </w:p>
        </w:tc>
      </w:tr>
      <w:tr w:rsidR="003F5413" w:rsidRPr="004A0C12" w14:paraId="2BFB6C91" w14:textId="77777777" w:rsidTr="003F5413">
        <w:trPr>
          <w:trHeight w:val="297"/>
          <w:jc w:val="center"/>
        </w:trPr>
        <w:tc>
          <w:tcPr>
            <w:cnfStyle w:val="001000000000" w:firstRow="0" w:lastRow="0" w:firstColumn="1" w:lastColumn="0" w:oddVBand="0" w:evenVBand="0" w:oddHBand="0" w:evenHBand="0" w:firstRowFirstColumn="0" w:firstRowLastColumn="0" w:lastRowFirstColumn="0" w:lastRowLastColumn="0"/>
            <w:tcW w:w="4529" w:type="dxa"/>
            <w:tcBorders>
              <w:top w:val="nil"/>
              <w:bottom w:val="nil"/>
            </w:tcBorders>
            <w:noWrap/>
            <w:hideMark/>
          </w:tcPr>
          <w:p w14:paraId="2A9FF0A6" w14:textId="77777777" w:rsidR="003F5413" w:rsidRPr="004A0C12" w:rsidRDefault="003F5413" w:rsidP="003F5413">
            <w:pPr>
              <w:rPr>
                <w:rFonts w:ascii="Garamond" w:eastAsia="Times New Roman" w:hAnsi="Garamond"/>
                <w:color w:val="000000"/>
              </w:rPr>
            </w:pPr>
          </w:p>
        </w:tc>
        <w:tc>
          <w:tcPr>
            <w:tcW w:w="3629" w:type="dxa"/>
            <w:noWrap/>
            <w:hideMark/>
          </w:tcPr>
          <w:p w14:paraId="54DFE25A"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Administrative and waste services</w:t>
            </w:r>
          </w:p>
        </w:tc>
      </w:tr>
      <w:tr w:rsidR="003F5413" w:rsidRPr="004A0C12" w14:paraId="201FDB88" w14:textId="77777777" w:rsidTr="003F5413">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4529" w:type="dxa"/>
            <w:tcBorders>
              <w:top w:val="nil"/>
              <w:bottom w:val="nil"/>
            </w:tcBorders>
            <w:noWrap/>
            <w:hideMark/>
          </w:tcPr>
          <w:p w14:paraId="6780B04B" w14:textId="77777777" w:rsidR="003F5413" w:rsidRPr="004A0C12" w:rsidRDefault="003F5413" w:rsidP="003F5413">
            <w:pPr>
              <w:rPr>
                <w:rFonts w:ascii="Garamond" w:eastAsia="Times New Roman" w:hAnsi="Garamond"/>
                <w:color w:val="000000"/>
              </w:rPr>
            </w:pPr>
          </w:p>
        </w:tc>
        <w:tc>
          <w:tcPr>
            <w:tcW w:w="3629" w:type="dxa"/>
            <w:noWrap/>
            <w:hideMark/>
          </w:tcPr>
          <w:p w14:paraId="4EF8213C"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6AB18D70" w14:textId="77777777" w:rsidTr="003F5413">
        <w:trPr>
          <w:trHeight w:val="297"/>
          <w:jc w:val="center"/>
        </w:trPr>
        <w:tc>
          <w:tcPr>
            <w:cnfStyle w:val="001000000000" w:firstRow="0" w:lastRow="0" w:firstColumn="1" w:lastColumn="0" w:oddVBand="0" w:evenVBand="0" w:oddHBand="0" w:evenHBand="0" w:firstRowFirstColumn="0" w:firstRowLastColumn="0" w:lastRowFirstColumn="0" w:lastRowLastColumn="0"/>
            <w:tcW w:w="4529" w:type="dxa"/>
            <w:tcBorders>
              <w:top w:val="nil"/>
              <w:bottom w:val="single" w:sz="8" w:space="0" w:color="4F81BD" w:themeColor="accent1"/>
            </w:tcBorders>
            <w:noWrap/>
            <w:hideMark/>
          </w:tcPr>
          <w:p w14:paraId="0135B6FE" w14:textId="77777777" w:rsidR="003F5413" w:rsidRPr="004A0C12" w:rsidRDefault="003F5413" w:rsidP="003F5413">
            <w:pPr>
              <w:rPr>
                <w:rFonts w:ascii="Garamond" w:eastAsia="Times New Roman" w:hAnsi="Garamond"/>
                <w:color w:val="000000"/>
              </w:rPr>
            </w:pPr>
          </w:p>
        </w:tc>
        <w:tc>
          <w:tcPr>
            <w:tcW w:w="3629" w:type="dxa"/>
            <w:noWrap/>
            <w:hideMark/>
          </w:tcPr>
          <w:p w14:paraId="04B9E5CD"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Other services, except public administration</w:t>
            </w:r>
          </w:p>
        </w:tc>
      </w:tr>
    </w:tbl>
    <w:p w14:paraId="3BFC4BCC" w14:textId="77777777" w:rsidR="008856E1" w:rsidRPr="004A0C12" w:rsidRDefault="008856E1" w:rsidP="003F5413">
      <w:pPr>
        <w:rPr>
          <w:rFonts w:ascii="Garamond" w:hAnsi="Garamond"/>
        </w:rPr>
      </w:pPr>
    </w:p>
    <w:tbl>
      <w:tblPr>
        <w:tblStyle w:val="LightList-Accent1"/>
        <w:tblW w:w="8180" w:type="dxa"/>
        <w:jc w:val="center"/>
        <w:tblLook w:val="04A0" w:firstRow="1" w:lastRow="0" w:firstColumn="1" w:lastColumn="0" w:noHBand="0" w:noVBand="1"/>
        <w:tblCaption w:val="Wicomico"/>
        <w:tblDescription w:val="Growth industries are: Utilities; Accommodation and food services; Other services, except public administration. Emerging industries are: Wholesale trade; Transportation and warehousing; Finance and insurance; Real estate and rental and leasing; Professional and technical services; Administrative and waste services.&#10;&#10;"/>
      </w:tblPr>
      <w:tblGrid>
        <w:gridCol w:w="4540"/>
        <w:gridCol w:w="3640"/>
      </w:tblGrid>
      <w:tr w:rsidR="003F5413" w:rsidRPr="004A0C12" w14:paraId="044BD328"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180" w:type="dxa"/>
            <w:gridSpan w:val="2"/>
            <w:tcBorders>
              <w:bottom w:val="single" w:sz="8" w:space="0" w:color="4F81BD" w:themeColor="accent1"/>
            </w:tcBorders>
            <w:noWrap/>
            <w:hideMark/>
          </w:tcPr>
          <w:p w14:paraId="3A986AF4"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Wicomico</w:t>
            </w:r>
          </w:p>
        </w:tc>
      </w:tr>
      <w:tr w:rsidR="003F5413" w:rsidRPr="004A0C12" w14:paraId="0F080D8C"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bottom w:val="single" w:sz="4" w:space="0" w:color="auto"/>
              <w:right w:val="single" w:sz="4" w:space="0" w:color="auto"/>
            </w:tcBorders>
            <w:noWrap/>
            <w:hideMark/>
          </w:tcPr>
          <w:p w14:paraId="6BF06811"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3640" w:type="dxa"/>
            <w:tcBorders>
              <w:left w:val="single" w:sz="4" w:space="0" w:color="auto"/>
              <w:bottom w:val="single" w:sz="4" w:space="0" w:color="auto"/>
            </w:tcBorders>
            <w:noWrap/>
            <w:hideMark/>
          </w:tcPr>
          <w:p w14:paraId="00D53968"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2AE7E871"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single" w:sz="4" w:space="0" w:color="auto"/>
              <w:right w:val="single" w:sz="4" w:space="0" w:color="auto"/>
            </w:tcBorders>
            <w:noWrap/>
            <w:hideMark/>
          </w:tcPr>
          <w:p w14:paraId="42FC6144"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Utilities</w:t>
            </w:r>
          </w:p>
        </w:tc>
        <w:tc>
          <w:tcPr>
            <w:tcW w:w="3640" w:type="dxa"/>
            <w:tcBorders>
              <w:top w:val="single" w:sz="4" w:space="0" w:color="auto"/>
              <w:left w:val="single" w:sz="4" w:space="0" w:color="auto"/>
              <w:bottom w:val="single" w:sz="4" w:space="0" w:color="auto"/>
            </w:tcBorders>
            <w:noWrap/>
            <w:hideMark/>
          </w:tcPr>
          <w:p w14:paraId="672C55E4"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Wholesale trade</w:t>
            </w:r>
          </w:p>
        </w:tc>
      </w:tr>
      <w:tr w:rsidR="003F5413" w:rsidRPr="004A0C12" w14:paraId="221AE772"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single" w:sz="4" w:space="0" w:color="auto"/>
              <w:right w:val="single" w:sz="4" w:space="0" w:color="auto"/>
            </w:tcBorders>
            <w:noWrap/>
            <w:hideMark/>
          </w:tcPr>
          <w:p w14:paraId="1DCCFE0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Accommodation and food services</w:t>
            </w:r>
          </w:p>
        </w:tc>
        <w:tc>
          <w:tcPr>
            <w:tcW w:w="3640" w:type="dxa"/>
            <w:tcBorders>
              <w:top w:val="single" w:sz="4" w:space="0" w:color="auto"/>
              <w:left w:val="single" w:sz="4" w:space="0" w:color="auto"/>
              <w:bottom w:val="single" w:sz="4" w:space="0" w:color="auto"/>
            </w:tcBorders>
            <w:noWrap/>
            <w:hideMark/>
          </w:tcPr>
          <w:p w14:paraId="5C396D17"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Transportation and warehousing</w:t>
            </w:r>
          </w:p>
        </w:tc>
      </w:tr>
      <w:tr w:rsidR="003F5413" w:rsidRPr="004A0C12" w14:paraId="26EA2BBD"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single" w:sz="4" w:space="0" w:color="auto"/>
              <w:bottom w:val="nil"/>
              <w:right w:val="single" w:sz="4" w:space="0" w:color="auto"/>
            </w:tcBorders>
            <w:noWrap/>
            <w:hideMark/>
          </w:tcPr>
          <w:p w14:paraId="7D2DBCF4"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3640" w:type="dxa"/>
            <w:tcBorders>
              <w:top w:val="single" w:sz="4" w:space="0" w:color="auto"/>
              <w:left w:val="single" w:sz="4" w:space="0" w:color="auto"/>
              <w:bottom w:val="single" w:sz="4" w:space="0" w:color="auto"/>
            </w:tcBorders>
            <w:noWrap/>
            <w:hideMark/>
          </w:tcPr>
          <w:p w14:paraId="5EB6D3DA"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Finance and insurance</w:t>
            </w:r>
          </w:p>
        </w:tc>
      </w:tr>
      <w:tr w:rsidR="003F5413" w:rsidRPr="004A0C12" w14:paraId="3560DEF8"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nil"/>
              <w:bottom w:val="nil"/>
              <w:right w:val="single" w:sz="4" w:space="0" w:color="auto"/>
            </w:tcBorders>
            <w:noWrap/>
            <w:hideMark/>
          </w:tcPr>
          <w:p w14:paraId="009CA776" w14:textId="77777777" w:rsidR="003F5413" w:rsidRPr="004A0C12" w:rsidRDefault="003F5413" w:rsidP="003F5413">
            <w:pPr>
              <w:rPr>
                <w:rFonts w:ascii="Garamond" w:eastAsia="Times New Roman" w:hAnsi="Garamond"/>
                <w:color w:val="000000"/>
              </w:rPr>
            </w:pPr>
          </w:p>
        </w:tc>
        <w:tc>
          <w:tcPr>
            <w:tcW w:w="3640" w:type="dxa"/>
            <w:tcBorders>
              <w:top w:val="single" w:sz="4" w:space="0" w:color="auto"/>
              <w:left w:val="single" w:sz="4" w:space="0" w:color="auto"/>
              <w:bottom w:val="single" w:sz="4" w:space="0" w:color="auto"/>
            </w:tcBorders>
            <w:noWrap/>
            <w:hideMark/>
          </w:tcPr>
          <w:p w14:paraId="14D11D61"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Real estate and rental and leasing</w:t>
            </w:r>
          </w:p>
        </w:tc>
      </w:tr>
      <w:tr w:rsidR="003F5413" w:rsidRPr="004A0C12" w14:paraId="7C0B22AF"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nil"/>
              <w:bottom w:val="nil"/>
              <w:right w:val="single" w:sz="4" w:space="0" w:color="auto"/>
            </w:tcBorders>
            <w:noWrap/>
            <w:hideMark/>
          </w:tcPr>
          <w:p w14:paraId="60568F12" w14:textId="77777777" w:rsidR="003F5413" w:rsidRPr="004A0C12" w:rsidRDefault="003F5413" w:rsidP="003F5413">
            <w:pPr>
              <w:rPr>
                <w:rFonts w:ascii="Garamond" w:eastAsia="Times New Roman" w:hAnsi="Garamond"/>
                <w:color w:val="000000"/>
              </w:rPr>
            </w:pPr>
          </w:p>
        </w:tc>
        <w:tc>
          <w:tcPr>
            <w:tcW w:w="3640" w:type="dxa"/>
            <w:tcBorders>
              <w:top w:val="single" w:sz="4" w:space="0" w:color="auto"/>
              <w:left w:val="single" w:sz="4" w:space="0" w:color="auto"/>
              <w:bottom w:val="single" w:sz="4" w:space="0" w:color="auto"/>
            </w:tcBorders>
            <w:noWrap/>
            <w:hideMark/>
          </w:tcPr>
          <w:p w14:paraId="73BB85DB"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Professional and technical services</w:t>
            </w:r>
          </w:p>
        </w:tc>
      </w:tr>
      <w:tr w:rsidR="003F5413" w:rsidRPr="004A0C12" w14:paraId="1989A4DC"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40" w:type="dxa"/>
            <w:tcBorders>
              <w:top w:val="nil"/>
              <w:right w:val="single" w:sz="4" w:space="0" w:color="auto"/>
            </w:tcBorders>
            <w:noWrap/>
            <w:hideMark/>
          </w:tcPr>
          <w:p w14:paraId="523E84CA" w14:textId="77777777" w:rsidR="003F5413" w:rsidRPr="004A0C12" w:rsidRDefault="003F5413" w:rsidP="003F5413">
            <w:pPr>
              <w:rPr>
                <w:rFonts w:ascii="Garamond" w:eastAsia="Times New Roman" w:hAnsi="Garamond"/>
                <w:color w:val="000000"/>
              </w:rPr>
            </w:pPr>
          </w:p>
        </w:tc>
        <w:tc>
          <w:tcPr>
            <w:tcW w:w="3640" w:type="dxa"/>
            <w:tcBorders>
              <w:top w:val="single" w:sz="4" w:space="0" w:color="auto"/>
              <w:left w:val="single" w:sz="4" w:space="0" w:color="auto"/>
            </w:tcBorders>
            <w:noWrap/>
            <w:hideMark/>
          </w:tcPr>
          <w:p w14:paraId="437924E8"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Administrative and waste services</w:t>
            </w:r>
          </w:p>
        </w:tc>
      </w:tr>
    </w:tbl>
    <w:p w14:paraId="4A387C65" w14:textId="77777777" w:rsidR="005A2120" w:rsidRPr="004A0C12" w:rsidRDefault="005A2120" w:rsidP="003F5413">
      <w:pPr>
        <w:rPr>
          <w:rFonts w:ascii="Garamond" w:hAnsi="Garamond"/>
        </w:rPr>
      </w:pPr>
    </w:p>
    <w:tbl>
      <w:tblPr>
        <w:tblStyle w:val="LightList-Accent1"/>
        <w:tblW w:w="8320" w:type="dxa"/>
        <w:jc w:val="center"/>
        <w:tblLook w:val="04A0" w:firstRow="1" w:lastRow="0" w:firstColumn="1" w:lastColumn="0" w:noHBand="0" w:noVBand="1"/>
        <w:tblCaption w:val="Worcester"/>
        <w:tblDescription w:val="Growth industries are: Retail trade; Real estate and rental and leasing; Arts, entertainment, and recreation; Other services, except public administration. Emerging industries are: Construction; Information; Management of companies and enterprises; Educational services&#10;Health care and social assistance. &#10;"/>
      </w:tblPr>
      <w:tblGrid>
        <w:gridCol w:w="4610"/>
        <w:gridCol w:w="3710"/>
      </w:tblGrid>
      <w:tr w:rsidR="003F5413" w:rsidRPr="004A0C12" w14:paraId="06944AB3" w14:textId="77777777" w:rsidTr="008B1D9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320" w:type="dxa"/>
            <w:gridSpan w:val="2"/>
            <w:tcBorders>
              <w:bottom w:val="single" w:sz="8" w:space="0" w:color="4F81BD" w:themeColor="accent1"/>
            </w:tcBorders>
            <w:noWrap/>
            <w:hideMark/>
          </w:tcPr>
          <w:p w14:paraId="64CF7A50" w14:textId="77777777" w:rsidR="003F5413" w:rsidRPr="004A0C12" w:rsidRDefault="003F5413" w:rsidP="003F5413">
            <w:pPr>
              <w:jc w:val="center"/>
              <w:rPr>
                <w:rFonts w:ascii="Garamond" w:eastAsia="Times New Roman" w:hAnsi="Garamond"/>
                <w:color w:val="000000"/>
              </w:rPr>
            </w:pPr>
            <w:r w:rsidRPr="004A0C12">
              <w:rPr>
                <w:rFonts w:ascii="Garamond" w:eastAsia="Times New Roman" w:hAnsi="Garamond"/>
              </w:rPr>
              <w:t>Worcester</w:t>
            </w:r>
          </w:p>
        </w:tc>
      </w:tr>
      <w:tr w:rsidR="003F5413" w:rsidRPr="004A0C12" w14:paraId="10DCCB91"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610" w:type="dxa"/>
            <w:tcBorders>
              <w:bottom w:val="single" w:sz="4" w:space="0" w:color="auto"/>
              <w:right w:val="single" w:sz="4" w:space="0" w:color="auto"/>
            </w:tcBorders>
            <w:noWrap/>
            <w:hideMark/>
          </w:tcPr>
          <w:p w14:paraId="02025D45" w14:textId="77777777" w:rsidR="003F5413" w:rsidRPr="004A0C12" w:rsidRDefault="003F5413" w:rsidP="003F5413">
            <w:pPr>
              <w:rPr>
                <w:rFonts w:ascii="Garamond" w:eastAsia="Times New Roman" w:hAnsi="Garamond"/>
                <w:color w:val="000000"/>
              </w:rPr>
            </w:pPr>
            <w:r w:rsidRPr="004A0C12">
              <w:rPr>
                <w:rFonts w:ascii="Garamond" w:eastAsia="Times New Roman" w:hAnsi="Garamond"/>
                <w:color w:val="000000"/>
              </w:rPr>
              <w:t>Growth</w:t>
            </w:r>
          </w:p>
        </w:tc>
        <w:tc>
          <w:tcPr>
            <w:tcW w:w="3710" w:type="dxa"/>
            <w:tcBorders>
              <w:left w:val="single" w:sz="4" w:space="0" w:color="auto"/>
              <w:bottom w:val="single" w:sz="4" w:space="0" w:color="auto"/>
            </w:tcBorders>
            <w:noWrap/>
            <w:hideMark/>
          </w:tcPr>
          <w:p w14:paraId="2FC0C1EF"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b/>
                <w:color w:val="000000"/>
              </w:rPr>
            </w:pPr>
            <w:r w:rsidRPr="004A0C12">
              <w:rPr>
                <w:rFonts w:ascii="Garamond" w:eastAsia="Times New Roman" w:hAnsi="Garamond"/>
                <w:b/>
                <w:color w:val="000000"/>
              </w:rPr>
              <w:t>Emerging</w:t>
            </w:r>
          </w:p>
        </w:tc>
      </w:tr>
      <w:tr w:rsidR="003F5413" w:rsidRPr="004A0C12" w14:paraId="198938E7"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610" w:type="dxa"/>
            <w:tcBorders>
              <w:top w:val="single" w:sz="4" w:space="0" w:color="auto"/>
              <w:bottom w:val="single" w:sz="4" w:space="0" w:color="auto"/>
              <w:right w:val="single" w:sz="4" w:space="0" w:color="auto"/>
            </w:tcBorders>
            <w:noWrap/>
            <w:hideMark/>
          </w:tcPr>
          <w:p w14:paraId="017A26B6"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Retail trade</w:t>
            </w:r>
          </w:p>
        </w:tc>
        <w:tc>
          <w:tcPr>
            <w:tcW w:w="3710" w:type="dxa"/>
            <w:tcBorders>
              <w:top w:val="single" w:sz="4" w:space="0" w:color="auto"/>
              <w:left w:val="single" w:sz="4" w:space="0" w:color="auto"/>
              <w:bottom w:val="single" w:sz="4" w:space="0" w:color="auto"/>
            </w:tcBorders>
            <w:noWrap/>
            <w:hideMark/>
          </w:tcPr>
          <w:p w14:paraId="462BCDF6"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Construction</w:t>
            </w:r>
          </w:p>
        </w:tc>
      </w:tr>
      <w:tr w:rsidR="003F5413" w:rsidRPr="004A0C12" w14:paraId="21DD356E" w14:textId="77777777" w:rsidTr="003F541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610" w:type="dxa"/>
            <w:tcBorders>
              <w:top w:val="single" w:sz="4" w:space="0" w:color="auto"/>
              <w:bottom w:val="single" w:sz="4" w:space="0" w:color="auto"/>
              <w:right w:val="single" w:sz="4" w:space="0" w:color="auto"/>
            </w:tcBorders>
            <w:noWrap/>
            <w:hideMark/>
          </w:tcPr>
          <w:p w14:paraId="4058AF63"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Real estate and rental and leasing</w:t>
            </w:r>
          </w:p>
        </w:tc>
        <w:tc>
          <w:tcPr>
            <w:tcW w:w="3710" w:type="dxa"/>
            <w:tcBorders>
              <w:top w:val="single" w:sz="4" w:space="0" w:color="auto"/>
              <w:left w:val="single" w:sz="4" w:space="0" w:color="auto"/>
              <w:bottom w:val="single" w:sz="4" w:space="0" w:color="auto"/>
            </w:tcBorders>
            <w:noWrap/>
            <w:hideMark/>
          </w:tcPr>
          <w:p w14:paraId="254D4F05"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Information</w:t>
            </w:r>
          </w:p>
        </w:tc>
      </w:tr>
      <w:tr w:rsidR="003F5413" w:rsidRPr="004A0C12" w14:paraId="7371DC05"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610" w:type="dxa"/>
            <w:tcBorders>
              <w:top w:val="single" w:sz="4" w:space="0" w:color="auto"/>
              <w:bottom w:val="single" w:sz="4" w:space="0" w:color="auto"/>
              <w:right w:val="single" w:sz="4" w:space="0" w:color="auto"/>
            </w:tcBorders>
            <w:noWrap/>
            <w:hideMark/>
          </w:tcPr>
          <w:p w14:paraId="3E5782CB"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Arts, entertainment, and recreation</w:t>
            </w:r>
          </w:p>
        </w:tc>
        <w:tc>
          <w:tcPr>
            <w:tcW w:w="3710" w:type="dxa"/>
            <w:tcBorders>
              <w:top w:val="single" w:sz="4" w:space="0" w:color="auto"/>
              <w:left w:val="single" w:sz="4" w:space="0" w:color="auto"/>
              <w:bottom w:val="single" w:sz="4" w:space="0" w:color="auto"/>
            </w:tcBorders>
            <w:noWrap/>
            <w:hideMark/>
          </w:tcPr>
          <w:p w14:paraId="3E418AAD"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Management of companies and enterprises</w:t>
            </w:r>
          </w:p>
        </w:tc>
      </w:tr>
      <w:tr w:rsidR="003F5413" w:rsidRPr="004A0C12" w14:paraId="70E234B7" w14:textId="77777777" w:rsidTr="003F5413">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4610" w:type="dxa"/>
            <w:tcBorders>
              <w:top w:val="single" w:sz="4" w:space="0" w:color="auto"/>
              <w:bottom w:val="nil"/>
              <w:right w:val="single" w:sz="4" w:space="0" w:color="auto"/>
            </w:tcBorders>
            <w:noWrap/>
            <w:hideMark/>
          </w:tcPr>
          <w:p w14:paraId="7212AF76" w14:textId="77777777" w:rsidR="003F5413" w:rsidRPr="004A0C12" w:rsidRDefault="003F5413" w:rsidP="003F5413">
            <w:pPr>
              <w:rPr>
                <w:rFonts w:ascii="Garamond" w:eastAsia="Times New Roman" w:hAnsi="Garamond"/>
                <w:b w:val="0"/>
                <w:color w:val="000000"/>
              </w:rPr>
            </w:pPr>
            <w:r w:rsidRPr="004A0C12">
              <w:rPr>
                <w:rFonts w:ascii="Garamond" w:eastAsia="Times New Roman" w:hAnsi="Garamond"/>
                <w:b w:val="0"/>
                <w:color w:val="000000"/>
              </w:rPr>
              <w:t>Other services, except public administration</w:t>
            </w:r>
          </w:p>
        </w:tc>
        <w:tc>
          <w:tcPr>
            <w:tcW w:w="3710" w:type="dxa"/>
            <w:tcBorders>
              <w:top w:val="single" w:sz="4" w:space="0" w:color="auto"/>
              <w:left w:val="single" w:sz="4" w:space="0" w:color="auto"/>
              <w:bottom w:val="single" w:sz="4" w:space="0" w:color="auto"/>
            </w:tcBorders>
            <w:noWrap/>
            <w:hideMark/>
          </w:tcPr>
          <w:p w14:paraId="51E2479D" w14:textId="77777777" w:rsidR="003F5413" w:rsidRPr="004A0C12" w:rsidRDefault="003F5413" w:rsidP="003F5413">
            <w:pP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Educational services</w:t>
            </w:r>
          </w:p>
        </w:tc>
      </w:tr>
      <w:tr w:rsidR="003F5413" w:rsidRPr="004A0C12" w14:paraId="6BAC0EE6" w14:textId="77777777" w:rsidTr="003F5413">
        <w:trPr>
          <w:trHeight w:val="300"/>
          <w:jc w:val="center"/>
        </w:trPr>
        <w:tc>
          <w:tcPr>
            <w:cnfStyle w:val="001000000000" w:firstRow="0" w:lastRow="0" w:firstColumn="1" w:lastColumn="0" w:oddVBand="0" w:evenVBand="0" w:oddHBand="0" w:evenHBand="0" w:firstRowFirstColumn="0" w:firstRowLastColumn="0" w:lastRowFirstColumn="0" w:lastRowLastColumn="0"/>
            <w:tcW w:w="4610" w:type="dxa"/>
            <w:tcBorders>
              <w:top w:val="nil"/>
              <w:bottom w:val="single" w:sz="8" w:space="0" w:color="4F81BD" w:themeColor="accent1"/>
              <w:right w:val="single" w:sz="4" w:space="0" w:color="auto"/>
            </w:tcBorders>
            <w:noWrap/>
            <w:hideMark/>
          </w:tcPr>
          <w:p w14:paraId="310D32CA" w14:textId="77777777" w:rsidR="003F5413" w:rsidRPr="004A0C12" w:rsidRDefault="003F5413" w:rsidP="003F5413">
            <w:pPr>
              <w:rPr>
                <w:rFonts w:ascii="Garamond" w:eastAsia="Times New Roman" w:hAnsi="Garamond"/>
                <w:color w:val="000000"/>
              </w:rPr>
            </w:pPr>
          </w:p>
        </w:tc>
        <w:tc>
          <w:tcPr>
            <w:tcW w:w="3710" w:type="dxa"/>
            <w:tcBorders>
              <w:top w:val="single" w:sz="4" w:space="0" w:color="auto"/>
              <w:left w:val="single" w:sz="4" w:space="0" w:color="auto"/>
              <w:bottom w:val="single" w:sz="8" w:space="0" w:color="4F81BD" w:themeColor="accent1"/>
            </w:tcBorders>
            <w:noWrap/>
            <w:hideMark/>
          </w:tcPr>
          <w:p w14:paraId="62622ED8" w14:textId="77777777" w:rsidR="003F5413" w:rsidRPr="004A0C12" w:rsidRDefault="003F5413" w:rsidP="003F5413">
            <w:pPr>
              <w:cnfStyle w:val="000000000000" w:firstRow="0" w:lastRow="0" w:firstColumn="0" w:lastColumn="0" w:oddVBand="0" w:evenVBand="0" w:oddHBand="0" w:evenHBand="0" w:firstRowFirstColumn="0" w:firstRowLastColumn="0" w:lastRowFirstColumn="0" w:lastRowLastColumn="0"/>
              <w:rPr>
                <w:rFonts w:ascii="Garamond" w:eastAsia="Times New Roman" w:hAnsi="Garamond"/>
                <w:color w:val="000000"/>
              </w:rPr>
            </w:pPr>
            <w:r w:rsidRPr="004A0C12">
              <w:rPr>
                <w:rFonts w:ascii="Garamond" w:eastAsia="Times New Roman" w:hAnsi="Garamond"/>
                <w:color w:val="000000"/>
              </w:rPr>
              <w:t>Health care and social assistance</w:t>
            </w:r>
          </w:p>
        </w:tc>
      </w:tr>
    </w:tbl>
    <w:p w14:paraId="7135541E" w14:textId="77777777" w:rsidR="00BF652B" w:rsidRPr="005A2120" w:rsidRDefault="00BF652B" w:rsidP="00BF652B">
      <w:pPr>
        <w:tabs>
          <w:tab w:val="left" w:pos="10314"/>
        </w:tabs>
        <w:rPr>
          <w:rFonts w:ascii="Garamond" w:hAnsi="Garamond"/>
          <w:b/>
          <w:color w:val="0070C0"/>
          <w:sz w:val="24"/>
        </w:rPr>
      </w:pPr>
      <w:r w:rsidRPr="005A2120">
        <w:rPr>
          <w:rFonts w:ascii="Garamond" w:hAnsi="Garamond"/>
          <w:b/>
          <w:color w:val="0070C0"/>
          <w:sz w:val="24"/>
        </w:rPr>
        <w:lastRenderedPageBreak/>
        <w:t>Appendix E: Growth by Workforce Area</w:t>
      </w:r>
    </w:p>
    <w:p w14:paraId="7C82C337" w14:textId="77777777" w:rsidR="003F5413" w:rsidRPr="004A0C12" w:rsidRDefault="003F5413" w:rsidP="005A2120">
      <w:pPr>
        <w:tabs>
          <w:tab w:val="left" w:pos="10314"/>
        </w:tabs>
        <w:rPr>
          <w:rFonts w:ascii="Garamond" w:hAnsi="Garamond"/>
        </w:rPr>
      </w:pPr>
    </w:p>
    <w:tbl>
      <w:tblPr>
        <w:tblStyle w:val="GridTable4-Accent51"/>
        <w:tblpPr w:leftFromText="180" w:rightFromText="180" w:vertAnchor="page" w:horzAnchor="margin" w:tblpY="2281"/>
        <w:tblW w:w="0" w:type="auto"/>
        <w:tblLook w:val="06A0" w:firstRow="1" w:lastRow="0" w:firstColumn="1" w:lastColumn="0" w:noHBand="1" w:noVBand="1"/>
        <w:tblCaption w:val="Anne Arundel Workforce Area"/>
        <w:tblDescription w:val="Growth industries are: Protective service; Food preparation and serving related; Transportation and material moving; Computer and mathematical; Installation, maintenance, and repair. Emerging industries are: Arts, design, entertainment, sports, and media; Community and social services; Education, training, and library; Life, physical, and social science; Office and administrative support.&#10;&#10;"/>
      </w:tblPr>
      <w:tblGrid>
        <w:gridCol w:w="4675"/>
        <w:gridCol w:w="4675"/>
      </w:tblGrid>
      <w:tr w:rsidR="00BF652B" w:rsidRPr="004A0C12" w14:paraId="5A2E9FAE" w14:textId="77777777" w:rsidTr="00BF652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350" w:type="dxa"/>
            <w:gridSpan w:val="2"/>
          </w:tcPr>
          <w:p w14:paraId="0502DEEB" w14:textId="77777777" w:rsidR="00BF652B" w:rsidRPr="004A0C12" w:rsidRDefault="00BF652B" w:rsidP="00BF652B">
            <w:pPr>
              <w:jc w:val="center"/>
              <w:rPr>
                <w:rFonts w:ascii="Garamond" w:hAnsi="Garamond" w:cs="Times New Roman"/>
              </w:rPr>
            </w:pPr>
            <w:r w:rsidRPr="004A0C12">
              <w:rPr>
                <w:rFonts w:ascii="Garamond" w:hAnsi="Garamond" w:cs="Times New Roman"/>
              </w:rPr>
              <w:t>Anne Arundel Workforce Area</w:t>
            </w:r>
          </w:p>
        </w:tc>
      </w:tr>
      <w:tr w:rsidR="00BF652B" w:rsidRPr="004A0C12" w14:paraId="16209FFD" w14:textId="77777777" w:rsidTr="00BF652B">
        <w:tc>
          <w:tcPr>
            <w:cnfStyle w:val="001000000000" w:firstRow="0" w:lastRow="0" w:firstColumn="1" w:lastColumn="0" w:oddVBand="0" w:evenVBand="0" w:oddHBand="0" w:evenHBand="0" w:firstRowFirstColumn="0" w:firstRowLastColumn="0" w:lastRowFirstColumn="0" w:lastRowLastColumn="0"/>
            <w:tcW w:w="4675" w:type="dxa"/>
          </w:tcPr>
          <w:p w14:paraId="49B0CCE6" w14:textId="77777777" w:rsidR="00BF652B" w:rsidRPr="004A0C12" w:rsidRDefault="00BF652B" w:rsidP="00BF652B">
            <w:pPr>
              <w:rPr>
                <w:rFonts w:ascii="Garamond" w:hAnsi="Garamond" w:cs="Times New Roman"/>
              </w:rPr>
            </w:pPr>
            <w:r w:rsidRPr="004A0C12">
              <w:rPr>
                <w:rFonts w:ascii="Garamond" w:hAnsi="Garamond" w:cs="Times New Roman"/>
              </w:rPr>
              <w:t>Growth</w:t>
            </w:r>
          </w:p>
        </w:tc>
        <w:tc>
          <w:tcPr>
            <w:tcW w:w="4675" w:type="dxa"/>
          </w:tcPr>
          <w:p w14:paraId="1EB1629B" w14:textId="77777777" w:rsidR="00BF652B" w:rsidRPr="004A0C12" w:rsidRDefault="00BF652B" w:rsidP="00BF652B">
            <w:pPr>
              <w:cnfStyle w:val="000000000000" w:firstRow="0" w:lastRow="0" w:firstColumn="0" w:lastColumn="0" w:oddVBand="0" w:evenVBand="0" w:oddHBand="0" w:evenHBand="0" w:firstRowFirstColumn="0" w:firstRowLastColumn="0" w:lastRowFirstColumn="0" w:lastRowLastColumn="0"/>
              <w:rPr>
                <w:rFonts w:ascii="Garamond" w:hAnsi="Garamond" w:cs="Times New Roman"/>
                <w:b/>
              </w:rPr>
            </w:pPr>
            <w:r w:rsidRPr="004A0C12">
              <w:rPr>
                <w:rFonts w:ascii="Garamond" w:hAnsi="Garamond" w:cs="Times New Roman"/>
                <w:b/>
              </w:rPr>
              <w:t>Emerging</w:t>
            </w:r>
          </w:p>
        </w:tc>
      </w:tr>
      <w:tr w:rsidR="00BF652B" w:rsidRPr="004A0C12" w14:paraId="2ED91C05" w14:textId="77777777" w:rsidTr="00BF652B">
        <w:tc>
          <w:tcPr>
            <w:cnfStyle w:val="001000000000" w:firstRow="0" w:lastRow="0" w:firstColumn="1" w:lastColumn="0" w:oddVBand="0" w:evenVBand="0" w:oddHBand="0" w:evenHBand="0" w:firstRowFirstColumn="0" w:firstRowLastColumn="0" w:lastRowFirstColumn="0" w:lastRowLastColumn="0"/>
            <w:tcW w:w="4675" w:type="dxa"/>
          </w:tcPr>
          <w:p w14:paraId="7CA671EA" w14:textId="77777777" w:rsidR="00BF652B" w:rsidRPr="004A0C12" w:rsidRDefault="00BF652B" w:rsidP="00BF652B">
            <w:pPr>
              <w:rPr>
                <w:rFonts w:ascii="Garamond" w:hAnsi="Garamond" w:cs="Times New Roman"/>
                <w:b w:val="0"/>
              </w:rPr>
            </w:pPr>
            <w:r w:rsidRPr="004A0C12">
              <w:rPr>
                <w:rFonts w:ascii="Garamond" w:hAnsi="Garamond" w:cs="Times New Roman"/>
                <w:b w:val="0"/>
              </w:rPr>
              <w:t>Protective service</w:t>
            </w:r>
          </w:p>
        </w:tc>
        <w:tc>
          <w:tcPr>
            <w:tcW w:w="4675" w:type="dxa"/>
          </w:tcPr>
          <w:p w14:paraId="186D2961" w14:textId="77777777" w:rsidR="00BF652B" w:rsidRPr="004A0C12" w:rsidRDefault="00BF652B" w:rsidP="00BF652B">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4A0C12">
              <w:rPr>
                <w:rFonts w:ascii="Garamond" w:hAnsi="Garamond" w:cs="Times New Roman"/>
              </w:rPr>
              <w:t>Arts, design, entertainment, sports, and media</w:t>
            </w:r>
          </w:p>
        </w:tc>
      </w:tr>
      <w:tr w:rsidR="00BF652B" w:rsidRPr="004A0C12" w14:paraId="45EF0CC4" w14:textId="77777777" w:rsidTr="00BF652B">
        <w:tc>
          <w:tcPr>
            <w:cnfStyle w:val="001000000000" w:firstRow="0" w:lastRow="0" w:firstColumn="1" w:lastColumn="0" w:oddVBand="0" w:evenVBand="0" w:oddHBand="0" w:evenHBand="0" w:firstRowFirstColumn="0" w:firstRowLastColumn="0" w:lastRowFirstColumn="0" w:lastRowLastColumn="0"/>
            <w:tcW w:w="4675" w:type="dxa"/>
          </w:tcPr>
          <w:p w14:paraId="5A14C4FB" w14:textId="77777777" w:rsidR="00BF652B" w:rsidRPr="004A0C12" w:rsidRDefault="00BF652B" w:rsidP="00BF652B">
            <w:pPr>
              <w:rPr>
                <w:rFonts w:ascii="Garamond" w:hAnsi="Garamond" w:cs="Times New Roman"/>
                <w:b w:val="0"/>
              </w:rPr>
            </w:pPr>
            <w:r w:rsidRPr="004A0C12">
              <w:rPr>
                <w:rFonts w:ascii="Garamond" w:hAnsi="Garamond" w:cs="Times New Roman"/>
                <w:b w:val="0"/>
              </w:rPr>
              <w:t>Food preparation and serving related</w:t>
            </w:r>
          </w:p>
        </w:tc>
        <w:tc>
          <w:tcPr>
            <w:tcW w:w="4675" w:type="dxa"/>
          </w:tcPr>
          <w:p w14:paraId="69D5B0DD" w14:textId="77777777" w:rsidR="00BF652B" w:rsidRPr="004A0C12" w:rsidRDefault="00BF652B" w:rsidP="00BF652B">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4A0C12">
              <w:rPr>
                <w:rFonts w:ascii="Garamond" w:hAnsi="Garamond" w:cs="Times New Roman"/>
              </w:rPr>
              <w:t>Community and social services</w:t>
            </w:r>
          </w:p>
        </w:tc>
      </w:tr>
      <w:tr w:rsidR="00BF652B" w:rsidRPr="004A0C12" w14:paraId="7855F760" w14:textId="77777777" w:rsidTr="00BF652B">
        <w:tc>
          <w:tcPr>
            <w:cnfStyle w:val="001000000000" w:firstRow="0" w:lastRow="0" w:firstColumn="1" w:lastColumn="0" w:oddVBand="0" w:evenVBand="0" w:oddHBand="0" w:evenHBand="0" w:firstRowFirstColumn="0" w:firstRowLastColumn="0" w:lastRowFirstColumn="0" w:lastRowLastColumn="0"/>
            <w:tcW w:w="4675" w:type="dxa"/>
          </w:tcPr>
          <w:p w14:paraId="7EC9860E" w14:textId="77777777" w:rsidR="00BF652B" w:rsidRPr="004A0C12" w:rsidRDefault="00BF652B" w:rsidP="00BF652B">
            <w:pPr>
              <w:rPr>
                <w:rFonts w:ascii="Garamond" w:hAnsi="Garamond" w:cs="Times New Roman"/>
                <w:b w:val="0"/>
              </w:rPr>
            </w:pPr>
            <w:r w:rsidRPr="004A0C12">
              <w:rPr>
                <w:rFonts w:ascii="Garamond" w:hAnsi="Garamond" w:cs="Times New Roman"/>
                <w:b w:val="0"/>
              </w:rPr>
              <w:t>Transportation and material moving</w:t>
            </w:r>
          </w:p>
        </w:tc>
        <w:tc>
          <w:tcPr>
            <w:tcW w:w="4675" w:type="dxa"/>
          </w:tcPr>
          <w:p w14:paraId="1428B289" w14:textId="77777777" w:rsidR="00BF652B" w:rsidRPr="004A0C12" w:rsidRDefault="00BF652B" w:rsidP="00BF652B">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4A0C12">
              <w:rPr>
                <w:rFonts w:ascii="Garamond" w:hAnsi="Garamond" w:cs="Times New Roman"/>
              </w:rPr>
              <w:t>Education, training, and library</w:t>
            </w:r>
          </w:p>
        </w:tc>
      </w:tr>
      <w:tr w:rsidR="00BF652B" w:rsidRPr="004A0C12" w14:paraId="5004BEE6" w14:textId="77777777" w:rsidTr="00BF652B">
        <w:tc>
          <w:tcPr>
            <w:cnfStyle w:val="001000000000" w:firstRow="0" w:lastRow="0" w:firstColumn="1" w:lastColumn="0" w:oddVBand="0" w:evenVBand="0" w:oddHBand="0" w:evenHBand="0" w:firstRowFirstColumn="0" w:firstRowLastColumn="0" w:lastRowFirstColumn="0" w:lastRowLastColumn="0"/>
            <w:tcW w:w="4675" w:type="dxa"/>
          </w:tcPr>
          <w:p w14:paraId="15001444" w14:textId="77777777" w:rsidR="00BF652B" w:rsidRPr="004A0C12" w:rsidRDefault="00BF652B" w:rsidP="00BF652B">
            <w:pPr>
              <w:rPr>
                <w:rFonts w:ascii="Garamond" w:hAnsi="Garamond" w:cs="Times New Roman"/>
                <w:b w:val="0"/>
              </w:rPr>
            </w:pPr>
            <w:r w:rsidRPr="004A0C12">
              <w:rPr>
                <w:rFonts w:ascii="Garamond" w:hAnsi="Garamond" w:cs="Times New Roman"/>
                <w:b w:val="0"/>
              </w:rPr>
              <w:t>Computer and mathematical</w:t>
            </w:r>
          </w:p>
        </w:tc>
        <w:tc>
          <w:tcPr>
            <w:tcW w:w="4675" w:type="dxa"/>
          </w:tcPr>
          <w:p w14:paraId="3F1627E1" w14:textId="77777777" w:rsidR="00BF652B" w:rsidRPr="004A0C12" w:rsidRDefault="00BF652B" w:rsidP="00BF652B">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4A0C12">
              <w:rPr>
                <w:rFonts w:ascii="Garamond" w:hAnsi="Garamond" w:cs="Times New Roman"/>
              </w:rPr>
              <w:t>Life, physical, and social science</w:t>
            </w:r>
          </w:p>
        </w:tc>
      </w:tr>
      <w:tr w:rsidR="00BF652B" w:rsidRPr="004A0C12" w14:paraId="5DD240C6" w14:textId="77777777" w:rsidTr="00BF652B">
        <w:tc>
          <w:tcPr>
            <w:cnfStyle w:val="001000000000" w:firstRow="0" w:lastRow="0" w:firstColumn="1" w:lastColumn="0" w:oddVBand="0" w:evenVBand="0" w:oddHBand="0" w:evenHBand="0" w:firstRowFirstColumn="0" w:firstRowLastColumn="0" w:lastRowFirstColumn="0" w:lastRowLastColumn="0"/>
            <w:tcW w:w="4675" w:type="dxa"/>
          </w:tcPr>
          <w:p w14:paraId="611C676D" w14:textId="77777777" w:rsidR="00BF652B" w:rsidRPr="004A0C12" w:rsidRDefault="00BF652B" w:rsidP="00BF652B">
            <w:pPr>
              <w:rPr>
                <w:rFonts w:ascii="Garamond" w:hAnsi="Garamond" w:cs="Times New Roman"/>
                <w:b w:val="0"/>
              </w:rPr>
            </w:pPr>
            <w:r w:rsidRPr="004A0C12">
              <w:rPr>
                <w:rFonts w:ascii="Garamond" w:hAnsi="Garamond" w:cs="Times New Roman"/>
                <w:b w:val="0"/>
              </w:rPr>
              <w:t>Installation, maintenance, and repair</w:t>
            </w:r>
          </w:p>
        </w:tc>
        <w:tc>
          <w:tcPr>
            <w:tcW w:w="4675" w:type="dxa"/>
          </w:tcPr>
          <w:p w14:paraId="19B8B3B1" w14:textId="77777777" w:rsidR="00BF652B" w:rsidRPr="004A0C12" w:rsidRDefault="00BF652B" w:rsidP="00BF652B">
            <w:pPr>
              <w:cnfStyle w:val="000000000000" w:firstRow="0" w:lastRow="0" w:firstColumn="0" w:lastColumn="0" w:oddVBand="0" w:evenVBand="0" w:oddHBand="0" w:evenHBand="0" w:firstRowFirstColumn="0" w:firstRowLastColumn="0" w:lastRowFirstColumn="0" w:lastRowLastColumn="0"/>
              <w:rPr>
                <w:rFonts w:ascii="Garamond" w:hAnsi="Garamond" w:cs="Times New Roman"/>
              </w:rPr>
            </w:pPr>
            <w:r w:rsidRPr="004A0C12">
              <w:rPr>
                <w:rFonts w:ascii="Garamond" w:hAnsi="Garamond" w:cs="Times New Roman"/>
              </w:rPr>
              <w:t>Office and administrative support</w:t>
            </w:r>
          </w:p>
        </w:tc>
      </w:tr>
    </w:tbl>
    <w:p w14:paraId="3A9D3972" w14:textId="77777777" w:rsidR="003F5413" w:rsidRPr="004A0C12" w:rsidRDefault="003F5413" w:rsidP="003F5413">
      <w:pPr>
        <w:rPr>
          <w:rFonts w:ascii="Garamond" w:hAnsi="Garamond" w:cs="Times New Roman"/>
        </w:rPr>
      </w:pPr>
    </w:p>
    <w:p w14:paraId="3CB1980A" w14:textId="77777777" w:rsidR="003F5413" w:rsidRPr="005A2120" w:rsidRDefault="003F5413" w:rsidP="003F5413">
      <w:pPr>
        <w:rPr>
          <w:rFonts w:ascii="Garamond" w:hAnsi="Garamond" w:cs="Times New Roman"/>
          <w:sz w:val="2"/>
          <w:szCs w:val="2"/>
        </w:rPr>
      </w:pPr>
    </w:p>
    <w:p w14:paraId="3E3C14BB" w14:textId="77777777" w:rsidR="003F5413" w:rsidRPr="004A0C12" w:rsidRDefault="003F5413" w:rsidP="003F5413">
      <w:pPr>
        <w:rPr>
          <w:rFonts w:ascii="Garamond" w:hAnsi="Garamond" w:cs="Times New Roman"/>
        </w:rPr>
      </w:pPr>
    </w:p>
    <w:p w14:paraId="21F427D2" w14:textId="77777777" w:rsidR="003F5413" w:rsidRDefault="003F5413" w:rsidP="003F5413">
      <w:pPr>
        <w:rPr>
          <w:rFonts w:ascii="Garamond" w:hAnsi="Garamond" w:cs="Times New Roman"/>
        </w:rPr>
      </w:pPr>
    </w:p>
    <w:p w14:paraId="6257CB2B" w14:textId="77777777" w:rsidR="00841821" w:rsidRPr="004A0C12" w:rsidRDefault="00841821" w:rsidP="003F5413">
      <w:pPr>
        <w:rPr>
          <w:rFonts w:ascii="Garamond" w:hAnsi="Garamond" w:cs="Times New Roman"/>
        </w:rPr>
      </w:pPr>
    </w:p>
    <w:tbl>
      <w:tblPr>
        <w:tblStyle w:val="GridTable4-Accent51"/>
        <w:tblW w:w="0" w:type="auto"/>
        <w:tblLook w:val="0620" w:firstRow="1" w:lastRow="0" w:firstColumn="0" w:lastColumn="0" w:noHBand="1" w:noVBand="1"/>
        <w:tblCaption w:val="Baltimore City Workforce Area"/>
        <w:tblDescription w:val="Growth industries are: Protective service; Building and grounds cleaning and maintenance; Healthcare practitioners and technical; Healthcare support; Computer and mathematical. Emerging industries are: Construction and extraction; Food preparation and serving related; Installation, maintenance, and repair; Personal care and service&#10;Production.&#10;&#10;"/>
      </w:tblPr>
      <w:tblGrid>
        <w:gridCol w:w="4675"/>
        <w:gridCol w:w="4675"/>
      </w:tblGrid>
      <w:tr w:rsidR="00297312" w:rsidRPr="004A0C12" w14:paraId="0E82276F"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2EA86D9F" w14:textId="77777777" w:rsidR="003F5413" w:rsidRPr="004A0C12" w:rsidRDefault="003F5413" w:rsidP="003F5413">
            <w:pPr>
              <w:jc w:val="center"/>
              <w:rPr>
                <w:rFonts w:ascii="Garamond" w:hAnsi="Garamond" w:cs="Times New Roman"/>
              </w:rPr>
            </w:pPr>
            <w:r w:rsidRPr="004A0C12">
              <w:rPr>
                <w:rFonts w:ascii="Garamond" w:hAnsi="Garamond" w:cs="Times New Roman"/>
              </w:rPr>
              <w:t>Baltimore City Workforce Area</w:t>
            </w:r>
          </w:p>
        </w:tc>
      </w:tr>
      <w:tr w:rsidR="00C915AD" w:rsidRPr="004A0C12" w14:paraId="72CC9841" w14:textId="77777777" w:rsidTr="003F5413">
        <w:tc>
          <w:tcPr>
            <w:tcW w:w="4675" w:type="dxa"/>
          </w:tcPr>
          <w:p w14:paraId="322F896B"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64B79B45" w14:textId="77777777" w:rsidR="003F5413" w:rsidRPr="004A0C12" w:rsidRDefault="003F5413" w:rsidP="003F5413">
            <w:pPr>
              <w:rPr>
                <w:rFonts w:ascii="Garamond" w:hAnsi="Garamond" w:cs="Times New Roman"/>
                <w:b/>
              </w:rPr>
            </w:pPr>
            <w:r w:rsidRPr="004A0C12">
              <w:rPr>
                <w:rFonts w:ascii="Garamond" w:hAnsi="Garamond" w:cs="Times New Roman"/>
                <w:b/>
              </w:rPr>
              <w:t xml:space="preserve">Emerging </w:t>
            </w:r>
          </w:p>
        </w:tc>
      </w:tr>
      <w:tr w:rsidR="00C915AD" w:rsidRPr="004A0C12" w14:paraId="5435ACE6" w14:textId="77777777" w:rsidTr="003F5413">
        <w:tc>
          <w:tcPr>
            <w:tcW w:w="4675" w:type="dxa"/>
          </w:tcPr>
          <w:p w14:paraId="2DF9EEEC" w14:textId="77777777" w:rsidR="003F5413" w:rsidRPr="004A0C12" w:rsidRDefault="003F5413" w:rsidP="003F5413">
            <w:pPr>
              <w:rPr>
                <w:rFonts w:ascii="Garamond" w:hAnsi="Garamond" w:cs="Times New Roman"/>
              </w:rPr>
            </w:pPr>
            <w:r w:rsidRPr="004A0C12">
              <w:rPr>
                <w:rFonts w:ascii="Garamond" w:hAnsi="Garamond" w:cs="Times New Roman"/>
              </w:rPr>
              <w:t>Protective service</w:t>
            </w:r>
          </w:p>
        </w:tc>
        <w:tc>
          <w:tcPr>
            <w:tcW w:w="4675" w:type="dxa"/>
          </w:tcPr>
          <w:p w14:paraId="684FB092" w14:textId="77777777" w:rsidR="003F5413" w:rsidRPr="004A0C12" w:rsidRDefault="003F5413" w:rsidP="003F5413">
            <w:pPr>
              <w:rPr>
                <w:rFonts w:ascii="Garamond" w:hAnsi="Garamond" w:cs="Times New Roman"/>
              </w:rPr>
            </w:pPr>
            <w:r w:rsidRPr="004A0C12">
              <w:rPr>
                <w:rFonts w:ascii="Garamond" w:hAnsi="Garamond" w:cs="Times New Roman"/>
              </w:rPr>
              <w:t>Construction and extraction</w:t>
            </w:r>
          </w:p>
        </w:tc>
      </w:tr>
      <w:tr w:rsidR="00C915AD" w:rsidRPr="004A0C12" w14:paraId="2538CF79" w14:textId="77777777" w:rsidTr="003F5413">
        <w:tc>
          <w:tcPr>
            <w:tcW w:w="4675" w:type="dxa"/>
          </w:tcPr>
          <w:p w14:paraId="2A36E7EC" w14:textId="77777777" w:rsidR="003F5413" w:rsidRPr="004A0C12" w:rsidRDefault="003F5413" w:rsidP="003F5413">
            <w:pPr>
              <w:rPr>
                <w:rFonts w:ascii="Garamond" w:hAnsi="Garamond" w:cs="Times New Roman"/>
              </w:rPr>
            </w:pPr>
            <w:r w:rsidRPr="004A0C12">
              <w:rPr>
                <w:rFonts w:ascii="Garamond" w:hAnsi="Garamond" w:cs="Times New Roman"/>
              </w:rPr>
              <w:t>Building and grounds cleaning and maintenance</w:t>
            </w:r>
          </w:p>
        </w:tc>
        <w:tc>
          <w:tcPr>
            <w:tcW w:w="4675" w:type="dxa"/>
          </w:tcPr>
          <w:p w14:paraId="176BFF96" w14:textId="77777777" w:rsidR="003F5413" w:rsidRPr="004A0C12" w:rsidRDefault="003F5413" w:rsidP="003F5413">
            <w:pPr>
              <w:rPr>
                <w:rFonts w:ascii="Garamond" w:hAnsi="Garamond" w:cs="Times New Roman"/>
              </w:rPr>
            </w:pPr>
            <w:r w:rsidRPr="004A0C12">
              <w:rPr>
                <w:rFonts w:ascii="Garamond" w:hAnsi="Garamond" w:cs="Times New Roman"/>
              </w:rPr>
              <w:t>Food preparation and serving related</w:t>
            </w:r>
          </w:p>
        </w:tc>
      </w:tr>
      <w:tr w:rsidR="00C915AD" w:rsidRPr="004A0C12" w14:paraId="0DFCCC64" w14:textId="77777777" w:rsidTr="003F5413">
        <w:tc>
          <w:tcPr>
            <w:tcW w:w="4675" w:type="dxa"/>
          </w:tcPr>
          <w:p w14:paraId="0F7C0E5B" w14:textId="77777777" w:rsidR="003F5413" w:rsidRPr="004A0C12" w:rsidRDefault="003F5413" w:rsidP="003F5413">
            <w:pPr>
              <w:rPr>
                <w:rFonts w:ascii="Garamond" w:hAnsi="Garamond" w:cs="Times New Roman"/>
              </w:rPr>
            </w:pPr>
            <w:r w:rsidRPr="004A0C12">
              <w:rPr>
                <w:rFonts w:ascii="Garamond" w:hAnsi="Garamond" w:cs="Times New Roman"/>
              </w:rPr>
              <w:t xml:space="preserve">Healthcare practitioners and technical </w:t>
            </w:r>
          </w:p>
        </w:tc>
        <w:tc>
          <w:tcPr>
            <w:tcW w:w="4675" w:type="dxa"/>
          </w:tcPr>
          <w:p w14:paraId="253F71C8" w14:textId="77777777" w:rsidR="003F5413" w:rsidRPr="004A0C12" w:rsidRDefault="003F5413" w:rsidP="003F5413">
            <w:pPr>
              <w:rPr>
                <w:rFonts w:ascii="Garamond" w:hAnsi="Garamond" w:cs="Times New Roman"/>
              </w:rPr>
            </w:pPr>
            <w:r w:rsidRPr="004A0C12">
              <w:rPr>
                <w:rFonts w:ascii="Garamond" w:hAnsi="Garamond" w:cs="Times New Roman"/>
              </w:rPr>
              <w:t>Installation, maintenance, and repair</w:t>
            </w:r>
          </w:p>
        </w:tc>
      </w:tr>
      <w:tr w:rsidR="00C915AD" w:rsidRPr="004A0C12" w14:paraId="0B61ED61" w14:textId="77777777" w:rsidTr="003F5413">
        <w:tc>
          <w:tcPr>
            <w:tcW w:w="4675" w:type="dxa"/>
          </w:tcPr>
          <w:p w14:paraId="3639DDCA" w14:textId="77777777" w:rsidR="003F5413" w:rsidRPr="004A0C12" w:rsidRDefault="003F5413" w:rsidP="003F5413">
            <w:pPr>
              <w:rPr>
                <w:rFonts w:ascii="Garamond" w:hAnsi="Garamond" w:cs="Times New Roman"/>
              </w:rPr>
            </w:pPr>
            <w:r w:rsidRPr="004A0C12">
              <w:rPr>
                <w:rFonts w:ascii="Garamond" w:hAnsi="Garamond" w:cs="Times New Roman"/>
              </w:rPr>
              <w:t>Healthcare support</w:t>
            </w:r>
          </w:p>
        </w:tc>
        <w:tc>
          <w:tcPr>
            <w:tcW w:w="4675" w:type="dxa"/>
          </w:tcPr>
          <w:p w14:paraId="64FE5078" w14:textId="77777777" w:rsidR="003F5413" w:rsidRPr="004A0C12" w:rsidRDefault="003F5413" w:rsidP="003F5413">
            <w:pPr>
              <w:rPr>
                <w:rFonts w:ascii="Garamond" w:hAnsi="Garamond" w:cs="Times New Roman"/>
              </w:rPr>
            </w:pPr>
            <w:r w:rsidRPr="004A0C12">
              <w:rPr>
                <w:rFonts w:ascii="Garamond" w:hAnsi="Garamond" w:cs="Times New Roman"/>
              </w:rPr>
              <w:t>Personal care and service</w:t>
            </w:r>
          </w:p>
        </w:tc>
      </w:tr>
      <w:tr w:rsidR="00C915AD" w:rsidRPr="004A0C12" w14:paraId="366BA443" w14:textId="77777777" w:rsidTr="003F5413">
        <w:tc>
          <w:tcPr>
            <w:tcW w:w="4675" w:type="dxa"/>
          </w:tcPr>
          <w:p w14:paraId="46DC574A" w14:textId="77777777" w:rsidR="003F5413" w:rsidRPr="004A0C12" w:rsidRDefault="003F5413" w:rsidP="003F5413">
            <w:pPr>
              <w:rPr>
                <w:rFonts w:ascii="Garamond" w:hAnsi="Garamond" w:cs="Times New Roman"/>
              </w:rPr>
            </w:pPr>
            <w:r w:rsidRPr="004A0C12">
              <w:rPr>
                <w:rFonts w:ascii="Garamond" w:hAnsi="Garamond" w:cs="Times New Roman"/>
              </w:rPr>
              <w:t>Computer and mathematical</w:t>
            </w:r>
          </w:p>
        </w:tc>
        <w:tc>
          <w:tcPr>
            <w:tcW w:w="4675" w:type="dxa"/>
          </w:tcPr>
          <w:p w14:paraId="0E0D7C71" w14:textId="77777777" w:rsidR="003F5413" w:rsidRPr="004A0C12" w:rsidRDefault="003F5413" w:rsidP="003F5413">
            <w:pPr>
              <w:rPr>
                <w:rFonts w:ascii="Garamond" w:hAnsi="Garamond" w:cs="Times New Roman"/>
              </w:rPr>
            </w:pPr>
            <w:r w:rsidRPr="004A0C12">
              <w:rPr>
                <w:rFonts w:ascii="Garamond" w:hAnsi="Garamond" w:cs="Times New Roman"/>
              </w:rPr>
              <w:t>Production</w:t>
            </w:r>
          </w:p>
        </w:tc>
      </w:tr>
    </w:tbl>
    <w:p w14:paraId="5A89746E" w14:textId="77777777" w:rsidR="003F5413" w:rsidRPr="004A0C12" w:rsidRDefault="003F5413" w:rsidP="003F5413">
      <w:pPr>
        <w:rPr>
          <w:rFonts w:ascii="Garamond" w:hAnsi="Garamond" w:cs="Times New Roman"/>
        </w:rPr>
      </w:pPr>
    </w:p>
    <w:tbl>
      <w:tblPr>
        <w:tblStyle w:val="GridTable4-Accent51"/>
        <w:tblW w:w="0" w:type="auto"/>
        <w:tblLook w:val="0620" w:firstRow="1" w:lastRow="0" w:firstColumn="0" w:lastColumn="0" w:noHBand="1" w:noVBand="1"/>
        <w:tblCaption w:val="Baltimore County Workforce Area"/>
        <w:tblDescription w:val="Growth areas are: Personal care and service; Computer and mathematical; Sales and related; Legal; Construction and extraction. Emerging industries are: Arts, design, entertainment, sports and media; Building and grounds cleaning and maintenance; Transportation and material moving. &#10;&#10;"/>
      </w:tblPr>
      <w:tblGrid>
        <w:gridCol w:w="4675"/>
        <w:gridCol w:w="4675"/>
      </w:tblGrid>
      <w:tr w:rsidR="003F5413" w:rsidRPr="004A0C12" w14:paraId="700F3075"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664494D9" w14:textId="77777777" w:rsidR="003F5413" w:rsidRPr="004A0C12" w:rsidRDefault="003F5413" w:rsidP="003F5413">
            <w:pPr>
              <w:jc w:val="center"/>
              <w:rPr>
                <w:rFonts w:ascii="Garamond" w:hAnsi="Garamond" w:cs="Times New Roman"/>
              </w:rPr>
            </w:pPr>
            <w:r w:rsidRPr="004A0C12">
              <w:rPr>
                <w:rFonts w:ascii="Garamond" w:hAnsi="Garamond" w:cs="Times New Roman"/>
              </w:rPr>
              <w:t>Baltimore County Workforce Area</w:t>
            </w:r>
          </w:p>
        </w:tc>
      </w:tr>
      <w:tr w:rsidR="003F5413" w:rsidRPr="004A0C12" w14:paraId="5C32AE02" w14:textId="77777777" w:rsidTr="003F5413">
        <w:tc>
          <w:tcPr>
            <w:tcW w:w="4675" w:type="dxa"/>
          </w:tcPr>
          <w:p w14:paraId="11C2DA5D"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7B3FDDF3"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5D8DC9FB" w14:textId="77777777" w:rsidTr="003F5413">
        <w:tc>
          <w:tcPr>
            <w:tcW w:w="4675" w:type="dxa"/>
          </w:tcPr>
          <w:p w14:paraId="1F4A70F3" w14:textId="77777777" w:rsidR="003F5413" w:rsidRPr="004A0C12" w:rsidRDefault="003F5413" w:rsidP="003F5413">
            <w:pPr>
              <w:rPr>
                <w:rFonts w:ascii="Garamond" w:hAnsi="Garamond" w:cs="Times New Roman"/>
              </w:rPr>
            </w:pPr>
            <w:r w:rsidRPr="004A0C12">
              <w:rPr>
                <w:rFonts w:ascii="Garamond" w:hAnsi="Garamond" w:cs="Times New Roman"/>
              </w:rPr>
              <w:t>Personal care and service</w:t>
            </w:r>
          </w:p>
        </w:tc>
        <w:tc>
          <w:tcPr>
            <w:tcW w:w="4675" w:type="dxa"/>
          </w:tcPr>
          <w:p w14:paraId="05DBD52D" w14:textId="77777777" w:rsidR="003F5413" w:rsidRPr="004A0C12" w:rsidRDefault="003F5413" w:rsidP="003F5413">
            <w:pPr>
              <w:rPr>
                <w:rFonts w:ascii="Garamond" w:hAnsi="Garamond" w:cs="Times New Roman"/>
              </w:rPr>
            </w:pPr>
            <w:r w:rsidRPr="004A0C12">
              <w:rPr>
                <w:rFonts w:ascii="Garamond" w:hAnsi="Garamond" w:cs="Times New Roman"/>
              </w:rPr>
              <w:t>Arts, design, entertainment, sports and media</w:t>
            </w:r>
          </w:p>
        </w:tc>
      </w:tr>
      <w:tr w:rsidR="003F5413" w:rsidRPr="004A0C12" w14:paraId="196339CC" w14:textId="77777777" w:rsidTr="003F5413">
        <w:tc>
          <w:tcPr>
            <w:tcW w:w="4675" w:type="dxa"/>
          </w:tcPr>
          <w:p w14:paraId="238A8996" w14:textId="77777777" w:rsidR="003F5413" w:rsidRPr="004A0C12" w:rsidRDefault="003F5413" w:rsidP="003F5413">
            <w:pPr>
              <w:rPr>
                <w:rFonts w:ascii="Garamond" w:hAnsi="Garamond" w:cs="Times New Roman"/>
              </w:rPr>
            </w:pPr>
            <w:r w:rsidRPr="004A0C12">
              <w:rPr>
                <w:rFonts w:ascii="Garamond" w:hAnsi="Garamond" w:cs="Times New Roman"/>
              </w:rPr>
              <w:t>Computer and mathematical</w:t>
            </w:r>
          </w:p>
        </w:tc>
        <w:tc>
          <w:tcPr>
            <w:tcW w:w="4675" w:type="dxa"/>
          </w:tcPr>
          <w:p w14:paraId="14CD0C72" w14:textId="77777777" w:rsidR="003F5413" w:rsidRPr="004A0C12" w:rsidRDefault="003F5413" w:rsidP="003F5413">
            <w:pPr>
              <w:rPr>
                <w:rFonts w:ascii="Garamond" w:hAnsi="Garamond" w:cs="Times New Roman"/>
              </w:rPr>
            </w:pPr>
            <w:r w:rsidRPr="004A0C12">
              <w:rPr>
                <w:rFonts w:ascii="Garamond" w:hAnsi="Garamond" w:cs="Times New Roman"/>
              </w:rPr>
              <w:t>Building and grounds cleaning and maintenance</w:t>
            </w:r>
          </w:p>
        </w:tc>
      </w:tr>
      <w:tr w:rsidR="003F5413" w:rsidRPr="004A0C12" w14:paraId="7A067C9F" w14:textId="77777777" w:rsidTr="003F5413">
        <w:tc>
          <w:tcPr>
            <w:tcW w:w="4675" w:type="dxa"/>
          </w:tcPr>
          <w:p w14:paraId="0EAD0C6C" w14:textId="77777777" w:rsidR="003F5413" w:rsidRPr="004A0C12" w:rsidRDefault="003F5413" w:rsidP="003F5413">
            <w:pPr>
              <w:rPr>
                <w:rFonts w:ascii="Garamond" w:hAnsi="Garamond" w:cs="Times New Roman"/>
              </w:rPr>
            </w:pPr>
            <w:r w:rsidRPr="004A0C12">
              <w:rPr>
                <w:rFonts w:ascii="Garamond" w:hAnsi="Garamond" w:cs="Times New Roman"/>
              </w:rPr>
              <w:t>Sales and related</w:t>
            </w:r>
          </w:p>
        </w:tc>
        <w:tc>
          <w:tcPr>
            <w:tcW w:w="4675" w:type="dxa"/>
          </w:tcPr>
          <w:p w14:paraId="1FC23F63" w14:textId="77777777" w:rsidR="003F5413" w:rsidRPr="004A0C12" w:rsidRDefault="003F5413" w:rsidP="003F5413">
            <w:pPr>
              <w:rPr>
                <w:rFonts w:ascii="Garamond" w:hAnsi="Garamond" w:cs="Times New Roman"/>
              </w:rPr>
            </w:pPr>
            <w:r w:rsidRPr="004A0C12">
              <w:rPr>
                <w:rFonts w:ascii="Garamond" w:hAnsi="Garamond" w:cs="Times New Roman"/>
              </w:rPr>
              <w:t xml:space="preserve">Transportation and material moving </w:t>
            </w:r>
          </w:p>
        </w:tc>
      </w:tr>
      <w:tr w:rsidR="003F5413" w:rsidRPr="004A0C12" w14:paraId="32920D59" w14:textId="77777777" w:rsidTr="003F5413">
        <w:tc>
          <w:tcPr>
            <w:tcW w:w="4675" w:type="dxa"/>
          </w:tcPr>
          <w:p w14:paraId="65E7E0C9" w14:textId="77777777" w:rsidR="003F5413" w:rsidRPr="004A0C12" w:rsidRDefault="003F5413" w:rsidP="003F5413">
            <w:pPr>
              <w:rPr>
                <w:rFonts w:ascii="Garamond" w:hAnsi="Garamond" w:cs="Times New Roman"/>
              </w:rPr>
            </w:pPr>
            <w:r w:rsidRPr="004A0C12">
              <w:rPr>
                <w:rFonts w:ascii="Garamond" w:hAnsi="Garamond" w:cs="Times New Roman"/>
              </w:rPr>
              <w:t>Legal</w:t>
            </w:r>
          </w:p>
        </w:tc>
        <w:tc>
          <w:tcPr>
            <w:tcW w:w="4675" w:type="dxa"/>
            <w:vMerge w:val="restart"/>
          </w:tcPr>
          <w:p w14:paraId="0BA77722" w14:textId="77777777" w:rsidR="003F5413" w:rsidRPr="004A0C12" w:rsidRDefault="003F5413" w:rsidP="003F5413">
            <w:pPr>
              <w:rPr>
                <w:rFonts w:ascii="Garamond" w:hAnsi="Garamond" w:cs="Times New Roman"/>
              </w:rPr>
            </w:pPr>
          </w:p>
        </w:tc>
      </w:tr>
      <w:tr w:rsidR="003F5413" w:rsidRPr="004A0C12" w14:paraId="18083F62" w14:textId="77777777" w:rsidTr="003F5413">
        <w:tc>
          <w:tcPr>
            <w:tcW w:w="4675" w:type="dxa"/>
          </w:tcPr>
          <w:p w14:paraId="2816D970" w14:textId="77777777" w:rsidR="003F5413" w:rsidRPr="004A0C12" w:rsidRDefault="003F5413" w:rsidP="003F5413">
            <w:pPr>
              <w:rPr>
                <w:rFonts w:ascii="Garamond" w:hAnsi="Garamond" w:cs="Times New Roman"/>
              </w:rPr>
            </w:pPr>
            <w:r w:rsidRPr="004A0C12">
              <w:rPr>
                <w:rFonts w:ascii="Garamond" w:hAnsi="Garamond" w:cs="Times New Roman"/>
              </w:rPr>
              <w:t>Construction and extraction</w:t>
            </w:r>
          </w:p>
        </w:tc>
        <w:tc>
          <w:tcPr>
            <w:tcW w:w="4675" w:type="dxa"/>
            <w:vMerge/>
          </w:tcPr>
          <w:p w14:paraId="0FA069D1" w14:textId="77777777" w:rsidR="003F5413" w:rsidRPr="004A0C12" w:rsidRDefault="003F5413" w:rsidP="003F5413">
            <w:pPr>
              <w:rPr>
                <w:rFonts w:ascii="Garamond" w:hAnsi="Garamond" w:cs="Times New Roman"/>
              </w:rPr>
            </w:pPr>
          </w:p>
        </w:tc>
      </w:tr>
    </w:tbl>
    <w:p w14:paraId="0D3DEE0A" w14:textId="77777777" w:rsidR="005A2120" w:rsidRPr="004A0C12" w:rsidRDefault="005A2120" w:rsidP="003F5413">
      <w:pPr>
        <w:rPr>
          <w:rFonts w:ascii="Garamond" w:hAnsi="Garamond" w:cs="Times New Roman"/>
        </w:rPr>
      </w:pPr>
    </w:p>
    <w:tbl>
      <w:tblPr>
        <w:tblStyle w:val="GridTable4-Accent51"/>
        <w:tblW w:w="0" w:type="auto"/>
        <w:tblLook w:val="0620" w:firstRow="1" w:lastRow="0" w:firstColumn="0" w:lastColumn="0" w:noHBand="1" w:noVBand="1"/>
        <w:tblCaption w:val="Frederick Workforce Area"/>
        <w:tblDescription w:val="Growth industries are: Business and financial operations; Computer and mathematical; Construction and extraction; Food preparation and serving related; Healthcare practitioners and technical. Emerging industries are: Healthcare support; Community and social services; Sales and related; Personal care and service; Transportation and material moving.&#10;&#10;"/>
      </w:tblPr>
      <w:tblGrid>
        <w:gridCol w:w="4675"/>
        <w:gridCol w:w="4675"/>
      </w:tblGrid>
      <w:tr w:rsidR="003F5413" w:rsidRPr="004A0C12" w14:paraId="11D34064"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7E68B421" w14:textId="77777777" w:rsidR="003F5413" w:rsidRPr="004A0C12" w:rsidRDefault="003F5413" w:rsidP="003F5413">
            <w:pPr>
              <w:jc w:val="center"/>
              <w:rPr>
                <w:rFonts w:ascii="Garamond" w:hAnsi="Garamond" w:cs="Times New Roman"/>
              </w:rPr>
            </w:pPr>
            <w:r w:rsidRPr="004A0C12">
              <w:rPr>
                <w:rFonts w:ascii="Garamond" w:hAnsi="Garamond" w:cs="Times New Roman"/>
              </w:rPr>
              <w:t>Frederick Workforce Area</w:t>
            </w:r>
          </w:p>
        </w:tc>
      </w:tr>
      <w:tr w:rsidR="003F5413" w:rsidRPr="004A0C12" w14:paraId="614807B3" w14:textId="77777777" w:rsidTr="003F5413">
        <w:tc>
          <w:tcPr>
            <w:tcW w:w="4675" w:type="dxa"/>
          </w:tcPr>
          <w:p w14:paraId="7059ED1B"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44EA082A"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10F5767E" w14:textId="77777777" w:rsidTr="003F5413">
        <w:tc>
          <w:tcPr>
            <w:tcW w:w="4675" w:type="dxa"/>
          </w:tcPr>
          <w:p w14:paraId="235C5311" w14:textId="77777777" w:rsidR="003F5413" w:rsidRPr="004A0C12" w:rsidRDefault="003F5413" w:rsidP="003F5413">
            <w:pPr>
              <w:rPr>
                <w:rFonts w:ascii="Garamond" w:hAnsi="Garamond" w:cs="Times New Roman"/>
              </w:rPr>
            </w:pPr>
            <w:r w:rsidRPr="004A0C12">
              <w:rPr>
                <w:rFonts w:ascii="Garamond" w:hAnsi="Garamond" w:cs="Times New Roman"/>
              </w:rPr>
              <w:t>Business and financial operations</w:t>
            </w:r>
          </w:p>
        </w:tc>
        <w:tc>
          <w:tcPr>
            <w:tcW w:w="4675" w:type="dxa"/>
          </w:tcPr>
          <w:p w14:paraId="27EB8260" w14:textId="77777777" w:rsidR="003F5413" w:rsidRPr="004A0C12" w:rsidRDefault="003F5413" w:rsidP="003F5413">
            <w:pPr>
              <w:rPr>
                <w:rFonts w:ascii="Garamond" w:hAnsi="Garamond" w:cs="Times New Roman"/>
              </w:rPr>
            </w:pPr>
            <w:r w:rsidRPr="004A0C12">
              <w:rPr>
                <w:rFonts w:ascii="Garamond" w:hAnsi="Garamond" w:cs="Times New Roman"/>
              </w:rPr>
              <w:t>Healthcare support</w:t>
            </w:r>
          </w:p>
        </w:tc>
      </w:tr>
      <w:tr w:rsidR="003F5413" w:rsidRPr="004A0C12" w14:paraId="52A79491" w14:textId="77777777" w:rsidTr="003F5413">
        <w:tc>
          <w:tcPr>
            <w:tcW w:w="4675" w:type="dxa"/>
          </w:tcPr>
          <w:p w14:paraId="33CF7C8B" w14:textId="77777777" w:rsidR="003F5413" w:rsidRPr="004A0C12" w:rsidRDefault="003F5413" w:rsidP="003F5413">
            <w:pPr>
              <w:rPr>
                <w:rFonts w:ascii="Garamond" w:hAnsi="Garamond" w:cs="Times New Roman"/>
              </w:rPr>
            </w:pPr>
            <w:r w:rsidRPr="004A0C12">
              <w:rPr>
                <w:rFonts w:ascii="Garamond" w:hAnsi="Garamond" w:cs="Times New Roman"/>
              </w:rPr>
              <w:t>Computer and mathematical</w:t>
            </w:r>
          </w:p>
        </w:tc>
        <w:tc>
          <w:tcPr>
            <w:tcW w:w="4675" w:type="dxa"/>
          </w:tcPr>
          <w:p w14:paraId="39E99FE3" w14:textId="77777777" w:rsidR="003F5413" w:rsidRPr="004A0C12" w:rsidRDefault="003F5413" w:rsidP="003F5413">
            <w:pPr>
              <w:rPr>
                <w:rFonts w:ascii="Garamond" w:hAnsi="Garamond" w:cs="Times New Roman"/>
              </w:rPr>
            </w:pPr>
            <w:r w:rsidRPr="004A0C12">
              <w:rPr>
                <w:rFonts w:ascii="Garamond" w:hAnsi="Garamond" w:cs="Times New Roman"/>
              </w:rPr>
              <w:t>Community and social services</w:t>
            </w:r>
          </w:p>
        </w:tc>
      </w:tr>
      <w:tr w:rsidR="003F5413" w:rsidRPr="004A0C12" w14:paraId="54150FA8" w14:textId="77777777" w:rsidTr="003F5413">
        <w:tc>
          <w:tcPr>
            <w:tcW w:w="4675" w:type="dxa"/>
          </w:tcPr>
          <w:p w14:paraId="01FB54FF" w14:textId="77777777" w:rsidR="003F5413" w:rsidRPr="004A0C12" w:rsidRDefault="003F5413" w:rsidP="003F5413">
            <w:pPr>
              <w:rPr>
                <w:rFonts w:ascii="Garamond" w:hAnsi="Garamond" w:cs="Times New Roman"/>
              </w:rPr>
            </w:pPr>
            <w:r w:rsidRPr="004A0C12">
              <w:rPr>
                <w:rFonts w:ascii="Garamond" w:hAnsi="Garamond" w:cs="Times New Roman"/>
              </w:rPr>
              <w:t>Construction and extraction</w:t>
            </w:r>
          </w:p>
        </w:tc>
        <w:tc>
          <w:tcPr>
            <w:tcW w:w="4675" w:type="dxa"/>
          </w:tcPr>
          <w:p w14:paraId="21F877B5" w14:textId="77777777" w:rsidR="003F5413" w:rsidRPr="004A0C12" w:rsidRDefault="003F5413" w:rsidP="003F5413">
            <w:pPr>
              <w:rPr>
                <w:rFonts w:ascii="Garamond" w:hAnsi="Garamond" w:cs="Times New Roman"/>
              </w:rPr>
            </w:pPr>
            <w:r w:rsidRPr="004A0C12">
              <w:rPr>
                <w:rFonts w:ascii="Garamond" w:hAnsi="Garamond" w:cs="Times New Roman"/>
              </w:rPr>
              <w:t>Sales and related</w:t>
            </w:r>
          </w:p>
        </w:tc>
      </w:tr>
      <w:tr w:rsidR="003F5413" w:rsidRPr="004A0C12" w14:paraId="69708B09" w14:textId="77777777" w:rsidTr="003F5413">
        <w:tc>
          <w:tcPr>
            <w:tcW w:w="4675" w:type="dxa"/>
          </w:tcPr>
          <w:p w14:paraId="470673A7" w14:textId="77777777" w:rsidR="003F5413" w:rsidRPr="004A0C12" w:rsidRDefault="003F5413" w:rsidP="003F5413">
            <w:pPr>
              <w:rPr>
                <w:rFonts w:ascii="Garamond" w:hAnsi="Garamond" w:cs="Times New Roman"/>
              </w:rPr>
            </w:pPr>
            <w:r w:rsidRPr="004A0C12">
              <w:rPr>
                <w:rFonts w:ascii="Garamond" w:hAnsi="Garamond" w:cs="Times New Roman"/>
              </w:rPr>
              <w:t>Food preparation and serving related</w:t>
            </w:r>
          </w:p>
        </w:tc>
        <w:tc>
          <w:tcPr>
            <w:tcW w:w="4675" w:type="dxa"/>
          </w:tcPr>
          <w:p w14:paraId="5D8F9C6B" w14:textId="77777777" w:rsidR="003F5413" w:rsidRPr="004A0C12" w:rsidRDefault="003F5413" w:rsidP="003F5413">
            <w:pPr>
              <w:rPr>
                <w:rFonts w:ascii="Garamond" w:hAnsi="Garamond" w:cs="Times New Roman"/>
              </w:rPr>
            </w:pPr>
            <w:r w:rsidRPr="004A0C12">
              <w:rPr>
                <w:rFonts w:ascii="Garamond" w:hAnsi="Garamond" w:cs="Times New Roman"/>
              </w:rPr>
              <w:t>Personal care and service</w:t>
            </w:r>
          </w:p>
        </w:tc>
      </w:tr>
      <w:tr w:rsidR="003F5413" w:rsidRPr="004A0C12" w14:paraId="5B44DB38" w14:textId="77777777" w:rsidTr="003F5413">
        <w:tc>
          <w:tcPr>
            <w:tcW w:w="4675" w:type="dxa"/>
          </w:tcPr>
          <w:p w14:paraId="1D92D421" w14:textId="77777777" w:rsidR="003F5413" w:rsidRPr="004A0C12" w:rsidRDefault="003F5413" w:rsidP="003F5413">
            <w:pPr>
              <w:rPr>
                <w:rFonts w:ascii="Garamond" w:hAnsi="Garamond" w:cs="Times New Roman"/>
              </w:rPr>
            </w:pPr>
            <w:r w:rsidRPr="004A0C12">
              <w:rPr>
                <w:rFonts w:ascii="Garamond" w:hAnsi="Garamond" w:cs="Times New Roman"/>
              </w:rPr>
              <w:t>Healthcare practitioners and technical</w:t>
            </w:r>
          </w:p>
        </w:tc>
        <w:tc>
          <w:tcPr>
            <w:tcW w:w="4675" w:type="dxa"/>
          </w:tcPr>
          <w:p w14:paraId="24E0B322" w14:textId="77777777" w:rsidR="003F5413" w:rsidRPr="004A0C12" w:rsidRDefault="003F5413" w:rsidP="003F5413">
            <w:pPr>
              <w:rPr>
                <w:rFonts w:ascii="Garamond" w:hAnsi="Garamond" w:cs="Times New Roman"/>
              </w:rPr>
            </w:pPr>
            <w:r w:rsidRPr="004A0C12">
              <w:rPr>
                <w:rFonts w:ascii="Garamond" w:hAnsi="Garamond" w:cs="Times New Roman"/>
              </w:rPr>
              <w:t>Transportation and material moving</w:t>
            </w:r>
          </w:p>
        </w:tc>
      </w:tr>
    </w:tbl>
    <w:p w14:paraId="7B9AD233" w14:textId="77777777" w:rsidR="003F5413" w:rsidRPr="004A0C12" w:rsidRDefault="003F5413" w:rsidP="003F5413">
      <w:pPr>
        <w:rPr>
          <w:rFonts w:ascii="Garamond" w:hAnsi="Garamond" w:cs="Times New Roman"/>
        </w:rPr>
      </w:pPr>
    </w:p>
    <w:tbl>
      <w:tblPr>
        <w:tblStyle w:val="GridTable4-Accent51"/>
        <w:tblW w:w="0" w:type="auto"/>
        <w:tblLook w:val="0620" w:firstRow="1" w:lastRow="0" w:firstColumn="0" w:lastColumn="0" w:noHBand="1" w:noVBand="1"/>
        <w:tblCaption w:val="Lower Shore Workforce Area"/>
        <w:tblDescription w:val="Growth industries are: Protective service; Healthcare support; Personal care and service; Food preparation and serving related; Community and social services. Emerging industries are: Legal; Farming, fishing, and forestry; Transportation and material moving; Computer and financial operations; Business and financial operations.&#10;&#10;"/>
      </w:tblPr>
      <w:tblGrid>
        <w:gridCol w:w="4675"/>
        <w:gridCol w:w="4675"/>
      </w:tblGrid>
      <w:tr w:rsidR="003F5413" w:rsidRPr="004A0C12" w14:paraId="095A1087"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7D7EED14" w14:textId="77777777" w:rsidR="003F5413" w:rsidRPr="004A0C12" w:rsidRDefault="003F5413" w:rsidP="003F5413">
            <w:pPr>
              <w:jc w:val="center"/>
              <w:rPr>
                <w:rFonts w:ascii="Garamond" w:hAnsi="Garamond" w:cs="Times New Roman"/>
              </w:rPr>
            </w:pPr>
            <w:r w:rsidRPr="004A0C12">
              <w:rPr>
                <w:rFonts w:ascii="Garamond" w:hAnsi="Garamond" w:cs="Times New Roman"/>
              </w:rPr>
              <w:t>Lower Shore Workforce Area</w:t>
            </w:r>
          </w:p>
        </w:tc>
      </w:tr>
      <w:tr w:rsidR="003F5413" w:rsidRPr="004A0C12" w14:paraId="43A2AA57" w14:textId="77777777" w:rsidTr="003F5413">
        <w:tc>
          <w:tcPr>
            <w:tcW w:w="4675" w:type="dxa"/>
          </w:tcPr>
          <w:p w14:paraId="5F38D30C"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2205628E"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71A79E7F" w14:textId="77777777" w:rsidTr="003F5413">
        <w:tc>
          <w:tcPr>
            <w:tcW w:w="4675" w:type="dxa"/>
          </w:tcPr>
          <w:p w14:paraId="526DB3C1" w14:textId="77777777" w:rsidR="003F5413" w:rsidRPr="004A0C12" w:rsidRDefault="003F5413" w:rsidP="003F5413">
            <w:pPr>
              <w:rPr>
                <w:rFonts w:ascii="Garamond" w:hAnsi="Garamond" w:cs="Times New Roman"/>
              </w:rPr>
            </w:pPr>
            <w:r w:rsidRPr="004A0C12">
              <w:rPr>
                <w:rFonts w:ascii="Garamond" w:hAnsi="Garamond" w:cs="Times New Roman"/>
              </w:rPr>
              <w:t>Protective service</w:t>
            </w:r>
          </w:p>
        </w:tc>
        <w:tc>
          <w:tcPr>
            <w:tcW w:w="4675" w:type="dxa"/>
          </w:tcPr>
          <w:p w14:paraId="5595DF62" w14:textId="77777777" w:rsidR="003F5413" w:rsidRPr="004A0C12" w:rsidRDefault="003F5413" w:rsidP="003F5413">
            <w:pPr>
              <w:rPr>
                <w:rFonts w:ascii="Garamond" w:hAnsi="Garamond" w:cs="Times New Roman"/>
              </w:rPr>
            </w:pPr>
            <w:r w:rsidRPr="004A0C12">
              <w:rPr>
                <w:rFonts w:ascii="Garamond" w:hAnsi="Garamond" w:cs="Times New Roman"/>
              </w:rPr>
              <w:t xml:space="preserve">Legal </w:t>
            </w:r>
          </w:p>
        </w:tc>
      </w:tr>
      <w:tr w:rsidR="003F5413" w:rsidRPr="004A0C12" w14:paraId="1C28A28C" w14:textId="77777777" w:rsidTr="003F5413">
        <w:tc>
          <w:tcPr>
            <w:tcW w:w="4675" w:type="dxa"/>
          </w:tcPr>
          <w:p w14:paraId="46785D8E" w14:textId="77777777" w:rsidR="003F5413" w:rsidRPr="004A0C12" w:rsidRDefault="003F5413" w:rsidP="003F5413">
            <w:pPr>
              <w:rPr>
                <w:rFonts w:ascii="Garamond" w:hAnsi="Garamond" w:cs="Times New Roman"/>
              </w:rPr>
            </w:pPr>
            <w:r w:rsidRPr="004A0C12">
              <w:rPr>
                <w:rFonts w:ascii="Garamond" w:hAnsi="Garamond" w:cs="Times New Roman"/>
              </w:rPr>
              <w:t>Healthcare support</w:t>
            </w:r>
          </w:p>
        </w:tc>
        <w:tc>
          <w:tcPr>
            <w:tcW w:w="4675" w:type="dxa"/>
          </w:tcPr>
          <w:p w14:paraId="12A9EE53" w14:textId="77777777" w:rsidR="003F5413" w:rsidRPr="004A0C12" w:rsidRDefault="003F5413" w:rsidP="003F5413">
            <w:pPr>
              <w:rPr>
                <w:rFonts w:ascii="Garamond" w:hAnsi="Garamond" w:cs="Times New Roman"/>
              </w:rPr>
            </w:pPr>
            <w:r w:rsidRPr="004A0C12">
              <w:rPr>
                <w:rFonts w:ascii="Garamond" w:hAnsi="Garamond" w:cs="Times New Roman"/>
              </w:rPr>
              <w:t>Farming, fishing, and forestry</w:t>
            </w:r>
          </w:p>
        </w:tc>
      </w:tr>
      <w:tr w:rsidR="003F5413" w:rsidRPr="004A0C12" w14:paraId="4F2A4BE0" w14:textId="77777777" w:rsidTr="003F5413">
        <w:tc>
          <w:tcPr>
            <w:tcW w:w="4675" w:type="dxa"/>
          </w:tcPr>
          <w:p w14:paraId="5DF097C5" w14:textId="77777777" w:rsidR="003F5413" w:rsidRPr="004A0C12" w:rsidRDefault="003F5413" w:rsidP="003F5413">
            <w:pPr>
              <w:rPr>
                <w:rFonts w:ascii="Garamond" w:hAnsi="Garamond" w:cs="Times New Roman"/>
              </w:rPr>
            </w:pPr>
            <w:r w:rsidRPr="004A0C12">
              <w:rPr>
                <w:rFonts w:ascii="Garamond" w:hAnsi="Garamond" w:cs="Times New Roman"/>
              </w:rPr>
              <w:t>Personal care and service</w:t>
            </w:r>
          </w:p>
        </w:tc>
        <w:tc>
          <w:tcPr>
            <w:tcW w:w="4675" w:type="dxa"/>
          </w:tcPr>
          <w:p w14:paraId="71FB4245" w14:textId="77777777" w:rsidR="003F5413" w:rsidRPr="004A0C12" w:rsidRDefault="003F5413" w:rsidP="003F5413">
            <w:pPr>
              <w:rPr>
                <w:rFonts w:ascii="Garamond" w:hAnsi="Garamond" w:cs="Times New Roman"/>
              </w:rPr>
            </w:pPr>
            <w:r w:rsidRPr="004A0C12">
              <w:rPr>
                <w:rFonts w:ascii="Garamond" w:hAnsi="Garamond" w:cs="Times New Roman"/>
              </w:rPr>
              <w:t>Transportation and material moving</w:t>
            </w:r>
          </w:p>
        </w:tc>
      </w:tr>
      <w:tr w:rsidR="003F5413" w:rsidRPr="004A0C12" w14:paraId="2A2D953E" w14:textId="77777777" w:rsidTr="003F5413">
        <w:tc>
          <w:tcPr>
            <w:tcW w:w="4675" w:type="dxa"/>
          </w:tcPr>
          <w:p w14:paraId="24AD9F20" w14:textId="77777777" w:rsidR="003F5413" w:rsidRPr="004A0C12" w:rsidRDefault="003F5413" w:rsidP="003F5413">
            <w:pPr>
              <w:rPr>
                <w:rFonts w:ascii="Garamond" w:hAnsi="Garamond" w:cs="Times New Roman"/>
              </w:rPr>
            </w:pPr>
            <w:r w:rsidRPr="004A0C12">
              <w:rPr>
                <w:rFonts w:ascii="Garamond" w:hAnsi="Garamond" w:cs="Times New Roman"/>
              </w:rPr>
              <w:t>Food preparation and serving related</w:t>
            </w:r>
          </w:p>
        </w:tc>
        <w:tc>
          <w:tcPr>
            <w:tcW w:w="4675" w:type="dxa"/>
          </w:tcPr>
          <w:p w14:paraId="33BE64CB" w14:textId="77777777" w:rsidR="003F5413" w:rsidRPr="004A0C12" w:rsidRDefault="003F5413" w:rsidP="003F5413">
            <w:pPr>
              <w:rPr>
                <w:rFonts w:ascii="Garamond" w:hAnsi="Garamond" w:cs="Times New Roman"/>
              </w:rPr>
            </w:pPr>
            <w:r w:rsidRPr="004A0C12">
              <w:rPr>
                <w:rFonts w:ascii="Garamond" w:hAnsi="Garamond" w:cs="Times New Roman"/>
              </w:rPr>
              <w:t>Computer and financial operations</w:t>
            </w:r>
          </w:p>
        </w:tc>
      </w:tr>
      <w:tr w:rsidR="003F5413" w:rsidRPr="004A0C12" w14:paraId="28663FC5" w14:textId="77777777" w:rsidTr="003F5413">
        <w:tc>
          <w:tcPr>
            <w:tcW w:w="4675" w:type="dxa"/>
          </w:tcPr>
          <w:p w14:paraId="31C328AB" w14:textId="77777777" w:rsidR="003F5413" w:rsidRPr="004A0C12" w:rsidRDefault="003F5413" w:rsidP="003F5413">
            <w:pPr>
              <w:rPr>
                <w:rFonts w:ascii="Garamond" w:hAnsi="Garamond" w:cs="Times New Roman"/>
              </w:rPr>
            </w:pPr>
            <w:r w:rsidRPr="004A0C12">
              <w:rPr>
                <w:rFonts w:ascii="Garamond" w:hAnsi="Garamond" w:cs="Times New Roman"/>
              </w:rPr>
              <w:t>Community and social services</w:t>
            </w:r>
          </w:p>
        </w:tc>
        <w:tc>
          <w:tcPr>
            <w:tcW w:w="4675" w:type="dxa"/>
          </w:tcPr>
          <w:p w14:paraId="26FBE3FE" w14:textId="77777777" w:rsidR="003F5413" w:rsidRPr="004A0C12" w:rsidRDefault="003F5413" w:rsidP="003F5413">
            <w:pPr>
              <w:rPr>
                <w:rFonts w:ascii="Garamond" w:hAnsi="Garamond" w:cs="Times New Roman"/>
              </w:rPr>
            </w:pPr>
            <w:r w:rsidRPr="004A0C12">
              <w:rPr>
                <w:rFonts w:ascii="Garamond" w:hAnsi="Garamond" w:cs="Times New Roman"/>
              </w:rPr>
              <w:t>Business and financial operations</w:t>
            </w:r>
          </w:p>
        </w:tc>
      </w:tr>
    </w:tbl>
    <w:p w14:paraId="75A940C1" w14:textId="77777777" w:rsidR="003F5413" w:rsidRDefault="003F5413" w:rsidP="003F5413">
      <w:pPr>
        <w:rPr>
          <w:rFonts w:ascii="Garamond" w:hAnsi="Garamond" w:cs="Times New Roman"/>
        </w:rPr>
      </w:pPr>
    </w:p>
    <w:p w14:paraId="5D1A0D62" w14:textId="77777777" w:rsidR="00841821" w:rsidRPr="004A0C12" w:rsidRDefault="00841821" w:rsidP="003F5413">
      <w:pPr>
        <w:rPr>
          <w:rFonts w:ascii="Garamond" w:hAnsi="Garamond" w:cs="Times New Roman"/>
        </w:rPr>
      </w:pPr>
    </w:p>
    <w:tbl>
      <w:tblPr>
        <w:tblStyle w:val="GridTable4-Accent51"/>
        <w:tblW w:w="0" w:type="auto"/>
        <w:tblLook w:val="0620" w:firstRow="1" w:lastRow="0" w:firstColumn="0" w:lastColumn="0" w:noHBand="1" w:noVBand="1"/>
        <w:tblCaption w:val="Mid-Maryland Workforce Area"/>
        <w:tblDescription w:val="Growth industries are: Personal care and service; Computer and mathematical; Business and financial operations; Sales and related; Architecture and engineering. Emerging industries are: Legal; Food preparation and serving related; Arts, design, entertainment, sports, and media; Installation, maintenance, and repair; Transportation and material moving.&#10;&#10;"/>
      </w:tblPr>
      <w:tblGrid>
        <w:gridCol w:w="4675"/>
        <w:gridCol w:w="4675"/>
      </w:tblGrid>
      <w:tr w:rsidR="003F5413" w:rsidRPr="004A0C12" w14:paraId="474B5EEF"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7926244C" w14:textId="77777777" w:rsidR="003F5413" w:rsidRPr="004A0C12" w:rsidRDefault="003F5413" w:rsidP="003F5413">
            <w:pPr>
              <w:jc w:val="center"/>
              <w:rPr>
                <w:rFonts w:ascii="Garamond" w:hAnsi="Garamond" w:cs="Times New Roman"/>
              </w:rPr>
            </w:pPr>
            <w:r w:rsidRPr="004A0C12">
              <w:rPr>
                <w:rFonts w:ascii="Garamond" w:hAnsi="Garamond" w:cs="Times New Roman"/>
              </w:rPr>
              <w:lastRenderedPageBreak/>
              <w:t>Mid-Maryland Workforce Area</w:t>
            </w:r>
          </w:p>
        </w:tc>
      </w:tr>
      <w:tr w:rsidR="003F5413" w:rsidRPr="004A0C12" w14:paraId="57FF793C" w14:textId="77777777" w:rsidTr="003F5413">
        <w:tc>
          <w:tcPr>
            <w:tcW w:w="4675" w:type="dxa"/>
          </w:tcPr>
          <w:p w14:paraId="3185E33F"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786BBB5B"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0A5E3514" w14:textId="77777777" w:rsidTr="003F5413">
        <w:tc>
          <w:tcPr>
            <w:tcW w:w="4675" w:type="dxa"/>
          </w:tcPr>
          <w:p w14:paraId="7EDAD147" w14:textId="77777777" w:rsidR="003F5413" w:rsidRPr="004A0C12" w:rsidRDefault="003F5413" w:rsidP="003F5413">
            <w:pPr>
              <w:rPr>
                <w:rFonts w:ascii="Garamond" w:hAnsi="Garamond" w:cs="Times New Roman"/>
              </w:rPr>
            </w:pPr>
            <w:r w:rsidRPr="004A0C12">
              <w:rPr>
                <w:rFonts w:ascii="Garamond" w:hAnsi="Garamond" w:cs="Times New Roman"/>
              </w:rPr>
              <w:t>Personal care and service</w:t>
            </w:r>
          </w:p>
        </w:tc>
        <w:tc>
          <w:tcPr>
            <w:tcW w:w="4675" w:type="dxa"/>
          </w:tcPr>
          <w:p w14:paraId="2B9B92DF" w14:textId="77777777" w:rsidR="003F5413" w:rsidRPr="004A0C12" w:rsidRDefault="003F5413" w:rsidP="003F5413">
            <w:pPr>
              <w:rPr>
                <w:rFonts w:ascii="Garamond" w:hAnsi="Garamond" w:cs="Times New Roman"/>
              </w:rPr>
            </w:pPr>
            <w:r w:rsidRPr="004A0C12">
              <w:rPr>
                <w:rFonts w:ascii="Garamond" w:hAnsi="Garamond" w:cs="Times New Roman"/>
              </w:rPr>
              <w:t xml:space="preserve">Legal </w:t>
            </w:r>
          </w:p>
        </w:tc>
      </w:tr>
      <w:tr w:rsidR="003F5413" w:rsidRPr="004A0C12" w14:paraId="7EC1501A" w14:textId="77777777" w:rsidTr="003F5413">
        <w:tc>
          <w:tcPr>
            <w:tcW w:w="4675" w:type="dxa"/>
          </w:tcPr>
          <w:p w14:paraId="5B26FF5B" w14:textId="77777777" w:rsidR="003F5413" w:rsidRPr="004A0C12" w:rsidRDefault="003F5413" w:rsidP="003F5413">
            <w:pPr>
              <w:rPr>
                <w:rFonts w:ascii="Garamond" w:hAnsi="Garamond" w:cs="Times New Roman"/>
              </w:rPr>
            </w:pPr>
            <w:r w:rsidRPr="004A0C12">
              <w:rPr>
                <w:rFonts w:ascii="Garamond" w:hAnsi="Garamond" w:cs="Times New Roman"/>
              </w:rPr>
              <w:t>Computer and mathematical</w:t>
            </w:r>
          </w:p>
        </w:tc>
        <w:tc>
          <w:tcPr>
            <w:tcW w:w="4675" w:type="dxa"/>
          </w:tcPr>
          <w:p w14:paraId="021F1DA7" w14:textId="77777777" w:rsidR="003F5413" w:rsidRPr="004A0C12" w:rsidRDefault="003F5413" w:rsidP="003F5413">
            <w:pPr>
              <w:rPr>
                <w:rFonts w:ascii="Garamond" w:hAnsi="Garamond" w:cs="Times New Roman"/>
              </w:rPr>
            </w:pPr>
            <w:r w:rsidRPr="004A0C12">
              <w:rPr>
                <w:rFonts w:ascii="Garamond" w:hAnsi="Garamond" w:cs="Times New Roman"/>
              </w:rPr>
              <w:t xml:space="preserve">Food preparation and serving related </w:t>
            </w:r>
          </w:p>
        </w:tc>
      </w:tr>
      <w:tr w:rsidR="003F5413" w:rsidRPr="004A0C12" w14:paraId="1DEC1EB3" w14:textId="77777777" w:rsidTr="003F5413">
        <w:tc>
          <w:tcPr>
            <w:tcW w:w="4675" w:type="dxa"/>
          </w:tcPr>
          <w:p w14:paraId="592AFDBE" w14:textId="77777777" w:rsidR="003F5413" w:rsidRPr="004A0C12" w:rsidRDefault="003F5413" w:rsidP="003F5413">
            <w:pPr>
              <w:rPr>
                <w:rFonts w:ascii="Garamond" w:hAnsi="Garamond" w:cs="Times New Roman"/>
              </w:rPr>
            </w:pPr>
            <w:r w:rsidRPr="004A0C12">
              <w:rPr>
                <w:rFonts w:ascii="Garamond" w:hAnsi="Garamond" w:cs="Times New Roman"/>
              </w:rPr>
              <w:t>Business and financial operations</w:t>
            </w:r>
          </w:p>
        </w:tc>
        <w:tc>
          <w:tcPr>
            <w:tcW w:w="4675" w:type="dxa"/>
          </w:tcPr>
          <w:p w14:paraId="61553C03" w14:textId="77777777" w:rsidR="003F5413" w:rsidRPr="004A0C12" w:rsidRDefault="003F5413" w:rsidP="003F5413">
            <w:pPr>
              <w:rPr>
                <w:rFonts w:ascii="Garamond" w:hAnsi="Garamond" w:cs="Times New Roman"/>
              </w:rPr>
            </w:pPr>
            <w:r w:rsidRPr="004A0C12">
              <w:rPr>
                <w:rFonts w:ascii="Garamond" w:hAnsi="Garamond" w:cs="Times New Roman"/>
              </w:rPr>
              <w:t>Arts, design, entertainment, sports, and media</w:t>
            </w:r>
          </w:p>
        </w:tc>
      </w:tr>
      <w:tr w:rsidR="003F5413" w:rsidRPr="004A0C12" w14:paraId="1161C7DD" w14:textId="77777777" w:rsidTr="003F5413">
        <w:tc>
          <w:tcPr>
            <w:tcW w:w="4675" w:type="dxa"/>
          </w:tcPr>
          <w:p w14:paraId="06628A2E" w14:textId="77777777" w:rsidR="003F5413" w:rsidRPr="004A0C12" w:rsidRDefault="003F5413" w:rsidP="003F5413">
            <w:pPr>
              <w:rPr>
                <w:rFonts w:ascii="Garamond" w:hAnsi="Garamond" w:cs="Times New Roman"/>
              </w:rPr>
            </w:pPr>
            <w:r w:rsidRPr="004A0C12">
              <w:rPr>
                <w:rFonts w:ascii="Garamond" w:hAnsi="Garamond" w:cs="Times New Roman"/>
              </w:rPr>
              <w:t>Sales and related</w:t>
            </w:r>
          </w:p>
        </w:tc>
        <w:tc>
          <w:tcPr>
            <w:tcW w:w="4675" w:type="dxa"/>
          </w:tcPr>
          <w:p w14:paraId="0D5BAF53" w14:textId="77777777" w:rsidR="003F5413" w:rsidRPr="004A0C12" w:rsidRDefault="003F5413" w:rsidP="003F5413">
            <w:pPr>
              <w:rPr>
                <w:rFonts w:ascii="Garamond" w:hAnsi="Garamond" w:cs="Times New Roman"/>
              </w:rPr>
            </w:pPr>
            <w:r w:rsidRPr="004A0C12">
              <w:rPr>
                <w:rFonts w:ascii="Garamond" w:hAnsi="Garamond" w:cs="Times New Roman"/>
              </w:rPr>
              <w:t>Installation, maintenance, and repair</w:t>
            </w:r>
          </w:p>
        </w:tc>
      </w:tr>
      <w:tr w:rsidR="003F5413" w:rsidRPr="004A0C12" w14:paraId="0D06A376" w14:textId="77777777" w:rsidTr="003F5413">
        <w:tc>
          <w:tcPr>
            <w:tcW w:w="4675" w:type="dxa"/>
          </w:tcPr>
          <w:p w14:paraId="6F3D326A" w14:textId="77777777" w:rsidR="003F5413" w:rsidRPr="004A0C12" w:rsidRDefault="003F5413" w:rsidP="003F5413">
            <w:pPr>
              <w:rPr>
                <w:rFonts w:ascii="Garamond" w:hAnsi="Garamond" w:cs="Times New Roman"/>
              </w:rPr>
            </w:pPr>
            <w:r w:rsidRPr="004A0C12">
              <w:rPr>
                <w:rFonts w:ascii="Garamond" w:hAnsi="Garamond" w:cs="Times New Roman"/>
              </w:rPr>
              <w:t>Architecture and engineering</w:t>
            </w:r>
          </w:p>
        </w:tc>
        <w:tc>
          <w:tcPr>
            <w:tcW w:w="4675" w:type="dxa"/>
          </w:tcPr>
          <w:p w14:paraId="19C3F124" w14:textId="77777777" w:rsidR="003F5413" w:rsidRPr="004A0C12" w:rsidRDefault="003F5413" w:rsidP="003F5413">
            <w:pPr>
              <w:rPr>
                <w:rFonts w:ascii="Garamond" w:hAnsi="Garamond" w:cs="Times New Roman"/>
              </w:rPr>
            </w:pPr>
            <w:r w:rsidRPr="004A0C12">
              <w:rPr>
                <w:rFonts w:ascii="Garamond" w:hAnsi="Garamond" w:cs="Times New Roman"/>
              </w:rPr>
              <w:t>Transportation and material moving</w:t>
            </w:r>
          </w:p>
        </w:tc>
      </w:tr>
    </w:tbl>
    <w:p w14:paraId="52B98DE1" w14:textId="77777777" w:rsidR="003F5413" w:rsidRPr="004A0C12" w:rsidRDefault="003F5413" w:rsidP="003F5413">
      <w:pPr>
        <w:rPr>
          <w:rFonts w:ascii="Garamond" w:hAnsi="Garamond" w:cs="Times New Roman"/>
        </w:rPr>
      </w:pPr>
    </w:p>
    <w:tbl>
      <w:tblPr>
        <w:tblStyle w:val="GridTable4-Accent51"/>
        <w:tblW w:w="0" w:type="auto"/>
        <w:tblLook w:val="0620" w:firstRow="1" w:lastRow="0" w:firstColumn="0" w:lastColumn="0" w:noHBand="1" w:noVBand="1"/>
        <w:tblCaption w:val="Montgomery Workforce Area"/>
        <w:tblDescription w:val="Growth industries are: Personal care and service; Building and grounds cleaning and maintenance; Legal; Computer and mathematical; Arts, design, entertainment, sports, and media. Emerging industries are: Protective service; Installation, maintenance, and repair; Transportation and material moving; Food preparation and serving related; Production&#10;&#10;"/>
      </w:tblPr>
      <w:tblGrid>
        <w:gridCol w:w="4675"/>
        <w:gridCol w:w="4675"/>
      </w:tblGrid>
      <w:tr w:rsidR="003F5413" w:rsidRPr="004A0C12" w14:paraId="0856A1B3"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3384CA6E" w14:textId="77777777" w:rsidR="003F5413" w:rsidRPr="004A0C12" w:rsidRDefault="003F5413" w:rsidP="003F5413">
            <w:pPr>
              <w:jc w:val="center"/>
              <w:rPr>
                <w:rFonts w:ascii="Garamond" w:hAnsi="Garamond" w:cs="Times New Roman"/>
              </w:rPr>
            </w:pPr>
            <w:r w:rsidRPr="004A0C12">
              <w:rPr>
                <w:rFonts w:ascii="Garamond" w:hAnsi="Garamond" w:cs="Times New Roman"/>
              </w:rPr>
              <w:t>Montgomery Workforce Area</w:t>
            </w:r>
          </w:p>
        </w:tc>
      </w:tr>
      <w:tr w:rsidR="003F5413" w:rsidRPr="004A0C12" w14:paraId="0C7D8EF1" w14:textId="77777777" w:rsidTr="003F5413">
        <w:tc>
          <w:tcPr>
            <w:tcW w:w="4675" w:type="dxa"/>
          </w:tcPr>
          <w:p w14:paraId="7E860B4B"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776C3015"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6B1827FF" w14:textId="77777777" w:rsidTr="003F5413">
        <w:tc>
          <w:tcPr>
            <w:tcW w:w="4675" w:type="dxa"/>
          </w:tcPr>
          <w:p w14:paraId="47E16A06" w14:textId="77777777" w:rsidR="003F5413" w:rsidRPr="004A0C12" w:rsidRDefault="003F5413" w:rsidP="003F5413">
            <w:pPr>
              <w:rPr>
                <w:rFonts w:ascii="Garamond" w:hAnsi="Garamond" w:cs="Times New Roman"/>
              </w:rPr>
            </w:pPr>
            <w:r w:rsidRPr="004A0C12">
              <w:rPr>
                <w:rFonts w:ascii="Garamond" w:hAnsi="Garamond" w:cs="Times New Roman"/>
              </w:rPr>
              <w:t>Personal care and service</w:t>
            </w:r>
          </w:p>
        </w:tc>
        <w:tc>
          <w:tcPr>
            <w:tcW w:w="4675" w:type="dxa"/>
          </w:tcPr>
          <w:p w14:paraId="2DAD440B" w14:textId="77777777" w:rsidR="003F5413" w:rsidRPr="004A0C12" w:rsidRDefault="003F5413" w:rsidP="003F5413">
            <w:pPr>
              <w:rPr>
                <w:rFonts w:ascii="Garamond" w:hAnsi="Garamond" w:cs="Times New Roman"/>
              </w:rPr>
            </w:pPr>
            <w:r w:rsidRPr="004A0C12">
              <w:rPr>
                <w:rFonts w:ascii="Garamond" w:hAnsi="Garamond" w:cs="Times New Roman"/>
              </w:rPr>
              <w:t>Protective service</w:t>
            </w:r>
          </w:p>
        </w:tc>
      </w:tr>
      <w:tr w:rsidR="003F5413" w:rsidRPr="004A0C12" w14:paraId="0E6DEEBF" w14:textId="77777777" w:rsidTr="003F5413">
        <w:tc>
          <w:tcPr>
            <w:tcW w:w="4675" w:type="dxa"/>
          </w:tcPr>
          <w:p w14:paraId="18C33EDA" w14:textId="77777777" w:rsidR="003F5413" w:rsidRPr="004A0C12" w:rsidRDefault="003F5413" w:rsidP="003F5413">
            <w:pPr>
              <w:rPr>
                <w:rFonts w:ascii="Garamond" w:hAnsi="Garamond" w:cs="Times New Roman"/>
              </w:rPr>
            </w:pPr>
            <w:r w:rsidRPr="004A0C12">
              <w:rPr>
                <w:rFonts w:ascii="Garamond" w:hAnsi="Garamond" w:cs="Times New Roman"/>
              </w:rPr>
              <w:t>Building and grounds cleaning and maintenance</w:t>
            </w:r>
          </w:p>
        </w:tc>
        <w:tc>
          <w:tcPr>
            <w:tcW w:w="4675" w:type="dxa"/>
          </w:tcPr>
          <w:p w14:paraId="154EE32D" w14:textId="77777777" w:rsidR="003F5413" w:rsidRPr="004A0C12" w:rsidRDefault="003F5413" w:rsidP="003F5413">
            <w:pPr>
              <w:rPr>
                <w:rFonts w:ascii="Garamond" w:hAnsi="Garamond" w:cs="Times New Roman"/>
              </w:rPr>
            </w:pPr>
            <w:r w:rsidRPr="004A0C12">
              <w:rPr>
                <w:rFonts w:ascii="Garamond" w:hAnsi="Garamond" w:cs="Times New Roman"/>
              </w:rPr>
              <w:t>Installation, maintenance, and repair</w:t>
            </w:r>
          </w:p>
        </w:tc>
      </w:tr>
      <w:tr w:rsidR="003F5413" w:rsidRPr="004A0C12" w14:paraId="4AAD5FBD" w14:textId="77777777" w:rsidTr="003F5413">
        <w:tc>
          <w:tcPr>
            <w:tcW w:w="4675" w:type="dxa"/>
          </w:tcPr>
          <w:p w14:paraId="2A6CCE1C" w14:textId="77777777" w:rsidR="003F5413" w:rsidRPr="004A0C12" w:rsidRDefault="003F5413" w:rsidP="003F5413">
            <w:pPr>
              <w:rPr>
                <w:rFonts w:ascii="Garamond" w:hAnsi="Garamond" w:cs="Times New Roman"/>
              </w:rPr>
            </w:pPr>
            <w:r w:rsidRPr="004A0C12">
              <w:rPr>
                <w:rFonts w:ascii="Garamond" w:hAnsi="Garamond" w:cs="Times New Roman"/>
              </w:rPr>
              <w:t xml:space="preserve">Legal </w:t>
            </w:r>
          </w:p>
        </w:tc>
        <w:tc>
          <w:tcPr>
            <w:tcW w:w="4675" w:type="dxa"/>
          </w:tcPr>
          <w:p w14:paraId="2B2BCEE8" w14:textId="77777777" w:rsidR="003F5413" w:rsidRPr="004A0C12" w:rsidRDefault="003F5413" w:rsidP="003F5413">
            <w:pPr>
              <w:rPr>
                <w:rFonts w:ascii="Garamond" w:hAnsi="Garamond" w:cs="Times New Roman"/>
              </w:rPr>
            </w:pPr>
            <w:r w:rsidRPr="004A0C12">
              <w:rPr>
                <w:rFonts w:ascii="Garamond" w:hAnsi="Garamond" w:cs="Times New Roman"/>
              </w:rPr>
              <w:t>Transportation and material moving</w:t>
            </w:r>
          </w:p>
        </w:tc>
      </w:tr>
      <w:tr w:rsidR="003F5413" w:rsidRPr="004A0C12" w14:paraId="76C08120" w14:textId="77777777" w:rsidTr="003F5413">
        <w:tc>
          <w:tcPr>
            <w:tcW w:w="4675" w:type="dxa"/>
          </w:tcPr>
          <w:p w14:paraId="783EBE1B" w14:textId="77777777" w:rsidR="003F5413" w:rsidRPr="004A0C12" w:rsidRDefault="003F5413" w:rsidP="003F5413">
            <w:pPr>
              <w:rPr>
                <w:rFonts w:ascii="Garamond" w:hAnsi="Garamond" w:cs="Times New Roman"/>
              </w:rPr>
            </w:pPr>
            <w:r w:rsidRPr="004A0C12">
              <w:rPr>
                <w:rFonts w:ascii="Garamond" w:hAnsi="Garamond" w:cs="Times New Roman"/>
              </w:rPr>
              <w:t>Computer and mathematical</w:t>
            </w:r>
          </w:p>
        </w:tc>
        <w:tc>
          <w:tcPr>
            <w:tcW w:w="4675" w:type="dxa"/>
          </w:tcPr>
          <w:p w14:paraId="1A1019F5" w14:textId="77777777" w:rsidR="003F5413" w:rsidRPr="004A0C12" w:rsidRDefault="003F5413" w:rsidP="003F5413">
            <w:pPr>
              <w:rPr>
                <w:rFonts w:ascii="Garamond" w:hAnsi="Garamond" w:cs="Times New Roman"/>
              </w:rPr>
            </w:pPr>
            <w:r w:rsidRPr="004A0C12">
              <w:rPr>
                <w:rFonts w:ascii="Garamond" w:hAnsi="Garamond" w:cs="Times New Roman"/>
              </w:rPr>
              <w:t xml:space="preserve">Food preparation and serving related </w:t>
            </w:r>
          </w:p>
        </w:tc>
      </w:tr>
      <w:tr w:rsidR="003F5413" w:rsidRPr="004A0C12" w14:paraId="2A77B577" w14:textId="77777777" w:rsidTr="003F5413">
        <w:tc>
          <w:tcPr>
            <w:tcW w:w="4675" w:type="dxa"/>
          </w:tcPr>
          <w:p w14:paraId="5226A082" w14:textId="77777777" w:rsidR="003F5413" w:rsidRPr="004A0C12" w:rsidRDefault="003F5413" w:rsidP="003F5413">
            <w:pPr>
              <w:rPr>
                <w:rFonts w:ascii="Garamond" w:hAnsi="Garamond" w:cs="Times New Roman"/>
              </w:rPr>
            </w:pPr>
            <w:r w:rsidRPr="004A0C12">
              <w:rPr>
                <w:rFonts w:ascii="Garamond" w:hAnsi="Garamond" w:cs="Times New Roman"/>
              </w:rPr>
              <w:t>Arts, design, entertainment, sports, and media</w:t>
            </w:r>
          </w:p>
        </w:tc>
        <w:tc>
          <w:tcPr>
            <w:tcW w:w="4675" w:type="dxa"/>
          </w:tcPr>
          <w:p w14:paraId="2EE88D0B" w14:textId="77777777" w:rsidR="003F5413" w:rsidRPr="004A0C12" w:rsidRDefault="003F5413" w:rsidP="003F5413">
            <w:pPr>
              <w:rPr>
                <w:rFonts w:ascii="Garamond" w:hAnsi="Garamond" w:cs="Times New Roman"/>
              </w:rPr>
            </w:pPr>
            <w:r w:rsidRPr="004A0C12">
              <w:rPr>
                <w:rFonts w:ascii="Garamond" w:hAnsi="Garamond" w:cs="Times New Roman"/>
              </w:rPr>
              <w:t>Production</w:t>
            </w:r>
          </w:p>
        </w:tc>
      </w:tr>
    </w:tbl>
    <w:p w14:paraId="4D79613C" w14:textId="77777777" w:rsidR="003F5413" w:rsidRPr="004A0C12" w:rsidRDefault="003F5413" w:rsidP="003F5413">
      <w:pPr>
        <w:rPr>
          <w:rFonts w:ascii="Garamond" w:hAnsi="Garamond" w:cs="Times New Roman"/>
        </w:rPr>
      </w:pPr>
    </w:p>
    <w:tbl>
      <w:tblPr>
        <w:tblStyle w:val="GridTable4-Accent51"/>
        <w:tblW w:w="0" w:type="auto"/>
        <w:tblLook w:val="0620" w:firstRow="1" w:lastRow="0" w:firstColumn="0" w:lastColumn="0" w:noHBand="1" w:noVBand="1"/>
        <w:tblCaption w:val="Prince George's Workforce Area"/>
        <w:tblDescription w:val="Growth industries are: Life, physical, and social science; Transportation and material moving; Installation, maintenance, and repair; Sales and related; Education, training, and library. Emerging industries are: Community and social services; Food preparation and serving related; Legal. &#10;&#10;"/>
      </w:tblPr>
      <w:tblGrid>
        <w:gridCol w:w="4675"/>
        <w:gridCol w:w="4675"/>
      </w:tblGrid>
      <w:tr w:rsidR="003F5413" w:rsidRPr="004A0C12" w14:paraId="7EE2EEA7"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44940DD1" w14:textId="77777777" w:rsidR="003F5413" w:rsidRPr="004A0C12" w:rsidRDefault="003F5413" w:rsidP="003F5413">
            <w:pPr>
              <w:jc w:val="center"/>
              <w:rPr>
                <w:rFonts w:ascii="Garamond" w:hAnsi="Garamond" w:cs="Times New Roman"/>
              </w:rPr>
            </w:pPr>
            <w:r w:rsidRPr="004A0C12">
              <w:rPr>
                <w:rFonts w:ascii="Garamond" w:hAnsi="Garamond" w:cs="Times New Roman"/>
              </w:rPr>
              <w:t>Prince George’s Workforce Area</w:t>
            </w:r>
          </w:p>
        </w:tc>
      </w:tr>
      <w:tr w:rsidR="003F5413" w:rsidRPr="004A0C12" w14:paraId="043FEDF0" w14:textId="77777777" w:rsidTr="003F5413">
        <w:tc>
          <w:tcPr>
            <w:tcW w:w="4675" w:type="dxa"/>
          </w:tcPr>
          <w:p w14:paraId="62EA73CD"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5769787B"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77A36282" w14:textId="77777777" w:rsidTr="003F5413">
        <w:tc>
          <w:tcPr>
            <w:tcW w:w="4675" w:type="dxa"/>
          </w:tcPr>
          <w:p w14:paraId="2397CF34" w14:textId="77777777" w:rsidR="003F5413" w:rsidRPr="004A0C12" w:rsidRDefault="003F5413" w:rsidP="003F5413">
            <w:pPr>
              <w:rPr>
                <w:rFonts w:ascii="Garamond" w:hAnsi="Garamond" w:cs="Times New Roman"/>
              </w:rPr>
            </w:pPr>
            <w:r w:rsidRPr="004A0C12">
              <w:rPr>
                <w:rFonts w:ascii="Garamond" w:hAnsi="Garamond" w:cs="Times New Roman"/>
              </w:rPr>
              <w:t>Life, physical, and social science</w:t>
            </w:r>
          </w:p>
        </w:tc>
        <w:tc>
          <w:tcPr>
            <w:tcW w:w="4675" w:type="dxa"/>
          </w:tcPr>
          <w:p w14:paraId="11F4CE84" w14:textId="77777777" w:rsidR="003F5413" w:rsidRPr="004A0C12" w:rsidRDefault="003F5413" w:rsidP="003F5413">
            <w:pPr>
              <w:rPr>
                <w:rFonts w:ascii="Garamond" w:hAnsi="Garamond" w:cs="Times New Roman"/>
              </w:rPr>
            </w:pPr>
            <w:r w:rsidRPr="004A0C12">
              <w:rPr>
                <w:rFonts w:ascii="Garamond" w:hAnsi="Garamond" w:cs="Times New Roman"/>
              </w:rPr>
              <w:t>Community and social services</w:t>
            </w:r>
          </w:p>
        </w:tc>
      </w:tr>
      <w:tr w:rsidR="003F5413" w:rsidRPr="004A0C12" w14:paraId="79A2F0B8" w14:textId="77777777" w:rsidTr="003F5413">
        <w:tc>
          <w:tcPr>
            <w:tcW w:w="4675" w:type="dxa"/>
          </w:tcPr>
          <w:p w14:paraId="52071D25" w14:textId="77777777" w:rsidR="003F5413" w:rsidRPr="004A0C12" w:rsidRDefault="003F5413" w:rsidP="003F5413">
            <w:pPr>
              <w:rPr>
                <w:rFonts w:ascii="Garamond" w:hAnsi="Garamond" w:cs="Times New Roman"/>
              </w:rPr>
            </w:pPr>
            <w:r w:rsidRPr="004A0C12">
              <w:rPr>
                <w:rFonts w:ascii="Garamond" w:hAnsi="Garamond" w:cs="Times New Roman"/>
              </w:rPr>
              <w:t>Transportation and material moving</w:t>
            </w:r>
          </w:p>
        </w:tc>
        <w:tc>
          <w:tcPr>
            <w:tcW w:w="4675" w:type="dxa"/>
          </w:tcPr>
          <w:p w14:paraId="75F60176" w14:textId="77777777" w:rsidR="003F5413" w:rsidRPr="004A0C12" w:rsidRDefault="003F5413" w:rsidP="003F5413">
            <w:pPr>
              <w:rPr>
                <w:rFonts w:ascii="Garamond" w:hAnsi="Garamond" w:cs="Times New Roman"/>
              </w:rPr>
            </w:pPr>
            <w:r w:rsidRPr="004A0C12">
              <w:rPr>
                <w:rFonts w:ascii="Garamond" w:hAnsi="Garamond" w:cs="Times New Roman"/>
              </w:rPr>
              <w:t>Food preparation and serving related</w:t>
            </w:r>
          </w:p>
        </w:tc>
      </w:tr>
      <w:tr w:rsidR="003F5413" w:rsidRPr="004A0C12" w14:paraId="0B61E1AC" w14:textId="77777777" w:rsidTr="003F5413">
        <w:tc>
          <w:tcPr>
            <w:tcW w:w="4675" w:type="dxa"/>
          </w:tcPr>
          <w:p w14:paraId="7AF9AF90" w14:textId="77777777" w:rsidR="003F5413" w:rsidRPr="004A0C12" w:rsidRDefault="003F5413" w:rsidP="003F5413">
            <w:pPr>
              <w:rPr>
                <w:rFonts w:ascii="Garamond" w:hAnsi="Garamond" w:cs="Times New Roman"/>
              </w:rPr>
            </w:pPr>
            <w:r w:rsidRPr="004A0C12">
              <w:rPr>
                <w:rFonts w:ascii="Garamond" w:hAnsi="Garamond" w:cs="Times New Roman"/>
              </w:rPr>
              <w:t>Installation, maintenance, and repair</w:t>
            </w:r>
          </w:p>
        </w:tc>
        <w:tc>
          <w:tcPr>
            <w:tcW w:w="4675" w:type="dxa"/>
          </w:tcPr>
          <w:p w14:paraId="57D116BB" w14:textId="77777777" w:rsidR="003F5413" w:rsidRPr="004A0C12" w:rsidRDefault="003F5413" w:rsidP="003F5413">
            <w:pPr>
              <w:rPr>
                <w:rFonts w:ascii="Garamond" w:hAnsi="Garamond" w:cs="Times New Roman"/>
              </w:rPr>
            </w:pPr>
            <w:r w:rsidRPr="004A0C12">
              <w:rPr>
                <w:rFonts w:ascii="Garamond" w:hAnsi="Garamond" w:cs="Times New Roman"/>
              </w:rPr>
              <w:t xml:space="preserve">Legal </w:t>
            </w:r>
          </w:p>
        </w:tc>
      </w:tr>
      <w:tr w:rsidR="003F5413" w:rsidRPr="004A0C12" w14:paraId="420B8B03" w14:textId="77777777" w:rsidTr="003F5413">
        <w:tc>
          <w:tcPr>
            <w:tcW w:w="4675" w:type="dxa"/>
          </w:tcPr>
          <w:p w14:paraId="451B3FE0" w14:textId="77777777" w:rsidR="003F5413" w:rsidRPr="004A0C12" w:rsidRDefault="003F5413" w:rsidP="003F5413">
            <w:pPr>
              <w:rPr>
                <w:rFonts w:ascii="Garamond" w:hAnsi="Garamond" w:cs="Times New Roman"/>
              </w:rPr>
            </w:pPr>
            <w:r w:rsidRPr="004A0C12">
              <w:rPr>
                <w:rFonts w:ascii="Garamond" w:hAnsi="Garamond" w:cs="Times New Roman"/>
              </w:rPr>
              <w:t>Sales and related</w:t>
            </w:r>
          </w:p>
        </w:tc>
        <w:tc>
          <w:tcPr>
            <w:tcW w:w="4675" w:type="dxa"/>
            <w:vMerge w:val="restart"/>
          </w:tcPr>
          <w:p w14:paraId="416E5DA6" w14:textId="77777777" w:rsidR="003F5413" w:rsidRPr="004A0C12" w:rsidRDefault="003F5413" w:rsidP="003F5413">
            <w:pPr>
              <w:rPr>
                <w:rFonts w:ascii="Garamond" w:hAnsi="Garamond" w:cs="Times New Roman"/>
              </w:rPr>
            </w:pPr>
          </w:p>
        </w:tc>
      </w:tr>
      <w:tr w:rsidR="003F5413" w:rsidRPr="004A0C12" w14:paraId="4CA7989D" w14:textId="77777777" w:rsidTr="003F5413">
        <w:tc>
          <w:tcPr>
            <w:tcW w:w="4675" w:type="dxa"/>
          </w:tcPr>
          <w:p w14:paraId="4FE0C689" w14:textId="77777777" w:rsidR="003F5413" w:rsidRPr="004A0C12" w:rsidRDefault="003F5413" w:rsidP="003F5413">
            <w:pPr>
              <w:rPr>
                <w:rFonts w:ascii="Garamond" w:hAnsi="Garamond" w:cs="Times New Roman"/>
              </w:rPr>
            </w:pPr>
            <w:r w:rsidRPr="004A0C12">
              <w:rPr>
                <w:rFonts w:ascii="Garamond" w:hAnsi="Garamond" w:cs="Times New Roman"/>
              </w:rPr>
              <w:t>Education, training, and library</w:t>
            </w:r>
          </w:p>
        </w:tc>
        <w:tc>
          <w:tcPr>
            <w:tcW w:w="4675" w:type="dxa"/>
            <w:vMerge/>
          </w:tcPr>
          <w:p w14:paraId="7D2D4471" w14:textId="77777777" w:rsidR="003F5413" w:rsidRPr="004A0C12" w:rsidRDefault="003F5413" w:rsidP="003F5413">
            <w:pPr>
              <w:rPr>
                <w:rFonts w:ascii="Garamond" w:hAnsi="Garamond" w:cs="Times New Roman"/>
              </w:rPr>
            </w:pPr>
          </w:p>
        </w:tc>
      </w:tr>
    </w:tbl>
    <w:p w14:paraId="549698B9" w14:textId="77777777" w:rsidR="003F5413" w:rsidRDefault="003F5413" w:rsidP="003F5413">
      <w:pPr>
        <w:rPr>
          <w:rFonts w:ascii="Garamond" w:hAnsi="Garamond" w:cs="Times New Roman"/>
        </w:rPr>
      </w:pPr>
    </w:p>
    <w:tbl>
      <w:tblPr>
        <w:tblStyle w:val="GridTable4-Accent51"/>
        <w:tblW w:w="0" w:type="auto"/>
        <w:tblLook w:val="0620" w:firstRow="1" w:lastRow="0" w:firstColumn="0" w:lastColumn="0" w:noHBand="1" w:noVBand="1"/>
        <w:tblCaption w:val="Southern Maryland Workforce Area"/>
        <w:tblDescription w:val="Growth industries are: Personal care and service; Education, training, and library; Computer and mathematical. Emerging industries are: Farming, fishing, and forestry; Community and social services; Healthcare practitioners and technical; Arts, design, entertainment, sports, and media; Office and administrative support.&#10;&#10;"/>
      </w:tblPr>
      <w:tblGrid>
        <w:gridCol w:w="4675"/>
        <w:gridCol w:w="4675"/>
      </w:tblGrid>
      <w:tr w:rsidR="003F5413" w:rsidRPr="004A0C12" w14:paraId="018320F9"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306DDB4F" w14:textId="77777777" w:rsidR="003F5413" w:rsidRPr="004A0C12" w:rsidRDefault="003F5413" w:rsidP="003F5413">
            <w:pPr>
              <w:jc w:val="center"/>
              <w:rPr>
                <w:rFonts w:ascii="Garamond" w:hAnsi="Garamond" w:cs="Times New Roman"/>
              </w:rPr>
            </w:pPr>
            <w:r w:rsidRPr="004A0C12">
              <w:rPr>
                <w:rFonts w:ascii="Garamond" w:hAnsi="Garamond" w:cs="Times New Roman"/>
              </w:rPr>
              <w:t>Southern Maryland Workforce Area</w:t>
            </w:r>
          </w:p>
        </w:tc>
      </w:tr>
      <w:tr w:rsidR="003F5413" w:rsidRPr="004A0C12" w14:paraId="7C7F8211" w14:textId="77777777" w:rsidTr="003F5413">
        <w:tc>
          <w:tcPr>
            <w:tcW w:w="4675" w:type="dxa"/>
          </w:tcPr>
          <w:p w14:paraId="1E949792"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45878ED6"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4A08BFA0" w14:textId="77777777" w:rsidTr="003F5413">
        <w:tc>
          <w:tcPr>
            <w:tcW w:w="4675" w:type="dxa"/>
          </w:tcPr>
          <w:p w14:paraId="42ADB1EC" w14:textId="77777777" w:rsidR="003F5413" w:rsidRPr="004A0C12" w:rsidRDefault="003F5413" w:rsidP="003F5413">
            <w:pPr>
              <w:rPr>
                <w:rFonts w:ascii="Garamond" w:hAnsi="Garamond" w:cs="Times New Roman"/>
              </w:rPr>
            </w:pPr>
            <w:r w:rsidRPr="004A0C12">
              <w:rPr>
                <w:rFonts w:ascii="Garamond" w:hAnsi="Garamond" w:cs="Times New Roman"/>
              </w:rPr>
              <w:t>Personal care and service</w:t>
            </w:r>
          </w:p>
        </w:tc>
        <w:tc>
          <w:tcPr>
            <w:tcW w:w="4675" w:type="dxa"/>
          </w:tcPr>
          <w:p w14:paraId="1C8F8C5E" w14:textId="77777777" w:rsidR="003F5413" w:rsidRPr="004A0C12" w:rsidRDefault="003F5413" w:rsidP="003F5413">
            <w:pPr>
              <w:rPr>
                <w:rFonts w:ascii="Garamond" w:hAnsi="Garamond" w:cs="Times New Roman"/>
              </w:rPr>
            </w:pPr>
            <w:r w:rsidRPr="004A0C12">
              <w:rPr>
                <w:rFonts w:ascii="Garamond" w:hAnsi="Garamond" w:cs="Times New Roman"/>
              </w:rPr>
              <w:t>Farming, fishing, and forestry</w:t>
            </w:r>
          </w:p>
        </w:tc>
      </w:tr>
      <w:tr w:rsidR="003F5413" w:rsidRPr="004A0C12" w14:paraId="050E2E17" w14:textId="77777777" w:rsidTr="003F5413">
        <w:tc>
          <w:tcPr>
            <w:tcW w:w="4675" w:type="dxa"/>
          </w:tcPr>
          <w:p w14:paraId="4CAC2FEC" w14:textId="77777777" w:rsidR="003F5413" w:rsidRPr="004A0C12" w:rsidRDefault="003F5413" w:rsidP="003F5413">
            <w:pPr>
              <w:rPr>
                <w:rFonts w:ascii="Garamond" w:hAnsi="Garamond" w:cs="Times New Roman"/>
              </w:rPr>
            </w:pPr>
            <w:r w:rsidRPr="004A0C12">
              <w:rPr>
                <w:rFonts w:ascii="Garamond" w:hAnsi="Garamond" w:cs="Times New Roman"/>
              </w:rPr>
              <w:t>Education, training, and library</w:t>
            </w:r>
          </w:p>
        </w:tc>
        <w:tc>
          <w:tcPr>
            <w:tcW w:w="4675" w:type="dxa"/>
          </w:tcPr>
          <w:p w14:paraId="04B73F90" w14:textId="77777777" w:rsidR="003F5413" w:rsidRPr="004A0C12" w:rsidRDefault="003F5413" w:rsidP="003F5413">
            <w:pPr>
              <w:rPr>
                <w:rFonts w:ascii="Garamond" w:hAnsi="Garamond" w:cs="Times New Roman"/>
              </w:rPr>
            </w:pPr>
            <w:r w:rsidRPr="004A0C12">
              <w:rPr>
                <w:rFonts w:ascii="Garamond" w:hAnsi="Garamond" w:cs="Times New Roman"/>
              </w:rPr>
              <w:t>Community and social services</w:t>
            </w:r>
          </w:p>
        </w:tc>
      </w:tr>
      <w:tr w:rsidR="003F5413" w:rsidRPr="004A0C12" w14:paraId="4E7DAA77" w14:textId="77777777" w:rsidTr="003F5413">
        <w:tc>
          <w:tcPr>
            <w:tcW w:w="4675" w:type="dxa"/>
          </w:tcPr>
          <w:p w14:paraId="0C0AD35E" w14:textId="77777777" w:rsidR="003F5413" w:rsidRPr="004A0C12" w:rsidRDefault="003F5413" w:rsidP="003F5413">
            <w:pPr>
              <w:rPr>
                <w:rFonts w:ascii="Garamond" w:hAnsi="Garamond" w:cs="Times New Roman"/>
              </w:rPr>
            </w:pPr>
            <w:r w:rsidRPr="004A0C12">
              <w:rPr>
                <w:rFonts w:ascii="Garamond" w:hAnsi="Garamond" w:cs="Times New Roman"/>
              </w:rPr>
              <w:t>Computer and mathematical</w:t>
            </w:r>
          </w:p>
        </w:tc>
        <w:tc>
          <w:tcPr>
            <w:tcW w:w="4675" w:type="dxa"/>
          </w:tcPr>
          <w:p w14:paraId="165B7AAB" w14:textId="77777777" w:rsidR="003F5413" w:rsidRPr="004A0C12" w:rsidRDefault="003F5413" w:rsidP="003F5413">
            <w:pPr>
              <w:rPr>
                <w:rFonts w:ascii="Garamond" w:hAnsi="Garamond" w:cs="Times New Roman"/>
              </w:rPr>
            </w:pPr>
            <w:r w:rsidRPr="004A0C12">
              <w:rPr>
                <w:rFonts w:ascii="Garamond" w:hAnsi="Garamond" w:cs="Times New Roman"/>
              </w:rPr>
              <w:t xml:space="preserve">Healthcare practitioners and technical </w:t>
            </w:r>
          </w:p>
        </w:tc>
      </w:tr>
      <w:tr w:rsidR="003F5413" w:rsidRPr="004A0C12" w14:paraId="077C5CC6" w14:textId="77777777" w:rsidTr="003F5413">
        <w:tc>
          <w:tcPr>
            <w:tcW w:w="4675" w:type="dxa"/>
            <w:vMerge w:val="restart"/>
          </w:tcPr>
          <w:p w14:paraId="460187D9" w14:textId="77777777" w:rsidR="003F5413" w:rsidRPr="004A0C12" w:rsidRDefault="003F5413" w:rsidP="003F5413">
            <w:pPr>
              <w:rPr>
                <w:rFonts w:ascii="Garamond" w:hAnsi="Garamond" w:cs="Times New Roman"/>
              </w:rPr>
            </w:pPr>
          </w:p>
        </w:tc>
        <w:tc>
          <w:tcPr>
            <w:tcW w:w="4675" w:type="dxa"/>
          </w:tcPr>
          <w:p w14:paraId="43C569E5" w14:textId="77777777" w:rsidR="003F5413" w:rsidRPr="004A0C12" w:rsidRDefault="003F5413" w:rsidP="003F5413">
            <w:pPr>
              <w:rPr>
                <w:rFonts w:ascii="Garamond" w:hAnsi="Garamond" w:cs="Times New Roman"/>
              </w:rPr>
            </w:pPr>
            <w:r w:rsidRPr="004A0C12">
              <w:rPr>
                <w:rFonts w:ascii="Garamond" w:hAnsi="Garamond" w:cs="Times New Roman"/>
              </w:rPr>
              <w:t>Arts, design, entertainment, sports, and media</w:t>
            </w:r>
          </w:p>
        </w:tc>
      </w:tr>
      <w:tr w:rsidR="003F5413" w:rsidRPr="004A0C12" w14:paraId="21664E3B" w14:textId="77777777" w:rsidTr="003F5413">
        <w:tc>
          <w:tcPr>
            <w:tcW w:w="4675" w:type="dxa"/>
            <w:vMerge/>
          </w:tcPr>
          <w:p w14:paraId="48FFBE98" w14:textId="77777777" w:rsidR="003F5413" w:rsidRPr="004A0C12" w:rsidRDefault="003F5413" w:rsidP="003F5413">
            <w:pPr>
              <w:rPr>
                <w:rFonts w:ascii="Garamond" w:hAnsi="Garamond" w:cs="Times New Roman"/>
              </w:rPr>
            </w:pPr>
          </w:p>
        </w:tc>
        <w:tc>
          <w:tcPr>
            <w:tcW w:w="4675" w:type="dxa"/>
          </w:tcPr>
          <w:p w14:paraId="163F9C92" w14:textId="77777777" w:rsidR="003F5413" w:rsidRPr="004A0C12" w:rsidRDefault="003F5413" w:rsidP="003F5413">
            <w:pPr>
              <w:rPr>
                <w:rFonts w:ascii="Garamond" w:hAnsi="Garamond" w:cs="Times New Roman"/>
              </w:rPr>
            </w:pPr>
            <w:r w:rsidRPr="004A0C12">
              <w:rPr>
                <w:rFonts w:ascii="Garamond" w:hAnsi="Garamond" w:cs="Times New Roman"/>
              </w:rPr>
              <w:t>Office and administrative support</w:t>
            </w:r>
          </w:p>
        </w:tc>
      </w:tr>
    </w:tbl>
    <w:p w14:paraId="6CD3E1F5" w14:textId="77777777" w:rsidR="003F5413" w:rsidRPr="004A0C12" w:rsidRDefault="003F5413" w:rsidP="003F5413">
      <w:pPr>
        <w:rPr>
          <w:rFonts w:ascii="Garamond" w:hAnsi="Garamond" w:cs="Times New Roman"/>
        </w:rPr>
      </w:pPr>
    </w:p>
    <w:tbl>
      <w:tblPr>
        <w:tblStyle w:val="GridTable4-Accent51"/>
        <w:tblW w:w="0" w:type="auto"/>
        <w:tblLook w:val="0620" w:firstRow="1" w:lastRow="0" w:firstColumn="0" w:lastColumn="0" w:noHBand="1" w:noVBand="1"/>
        <w:tblCaption w:val="Susquehanna Workforce Area"/>
        <w:tblDescription w:val="Growth industries are: Building and grounds cleaning and maintenance; Community and social services; Sales and related; Architecture and engineering; Personal care and service. Emerging industries are: Legal; &#10;Farming, fishing, and forestry; Computer and mathematical; Office and administrative support; Healthcare practitioners and technical. &#10;&#10;"/>
      </w:tblPr>
      <w:tblGrid>
        <w:gridCol w:w="4675"/>
        <w:gridCol w:w="4675"/>
      </w:tblGrid>
      <w:tr w:rsidR="003F5413" w:rsidRPr="004A0C12" w14:paraId="17ECF34A"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17905A82" w14:textId="77777777" w:rsidR="003F5413" w:rsidRPr="004A0C12" w:rsidRDefault="003F5413" w:rsidP="003F5413">
            <w:pPr>
              <w:jc w:val="center"/>
              <w:rPr>
                <w:rFonts w:ascii="Garamond" w:hAnsi="Garamond" w:cs="Times New Roman"/>
              </w:rPr>
            </w:pPr>
            <w:r w:rsidRPr="004A0C12">
              <w:rPr>
                <w:rFonts w:ascii="Garamond" w:hAnsi="Garamond" w:cs="Times New Roman"/>
              </w:rPr>
              <w:t>Susquehanna Workforce Area</w:t>
            </w:r>
          </w:p>
        </w:tc>
      </w:tr>
      <w:tr w:rsidR="003F5413" w:rsidRPr="004A0C12" w14:paraId="33A3F17A" w14:textId="77777777" w:rsidTr="003F5413">
        <w:tc>
          <w:tcPr>
            <w:tcW w:w="4675" w:type="dxa"/>
          </w:tcPr>
          <w:p w14:paraId="783E0AFD"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7F387315"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53B81A39" w14:textId="77777777" w:rsidTr="003F5413">
        <w:tc>
          <w:tcPr>
            <w:tcW w:w="4675" w:type="dxa"/>
          </w:tcPr>
          <w:p w14:paraId="3373B11C" w14:textId="77777777" w:rsidR="003F5413" w:rsidRPr="004A0C12" w:rsidRDefault="003F5413" w:rsidP="003F5413">
            <w:pPr>
              <w:rPr>
                <w:rFonts w:ascii="Garamond" w:hAnsi="Garamond" w:cs="Times New Roman"/>
              </w:rPr>
            </w:pPr>
            <w:r w:rsidRPr="004A0C12">
              <w:rPr>
                <w:rFonts w:ascii="Garamond" w:hAnsi="Garamond" w:cs="Times New Roman"/>
              </w:rPr>
              <w:t>Building and grounds cleaning and maintenance</w:t>
            </w:r>
          </w:p>
        </w:tc>
        <w:tc>
          <w:tcPr>
            <w:tcW w:w="4675" w:type="dxa"/>
          </w:tcPr>
          <w:p w14:paraId="785E4633" w14:textId="77777777" w:rsidR="003F5413" w:rsidRPr="004A0C12" w:rsidRDefault="003F5413" w:rsidP="003F5413">
            <w:pPr>
              <w:rPr>
                <w:rFonts w:ascii="Garamond" w:hAnsi="Garamond" w:cs="Times New Roman"/>
              </w:rPr>
            </w:pPr>
            <w:r w:rsidRPr="004A0C12">
              <w:rPr>
                <w:rFonts w:ascii="Garamond" w:hAnsi="Garamond" w:cs="Times New Roman"/>
              </w:rPr>
              <w:t xml:space="preserve">Legal </w:t>
            </w:r>
          </w:p>
        </w:tc>
      </w:tr>
      <w:tr w:rsidR="003F5413" w:rsidRPr="004A0C12" w14:paraId="339E6F6C" w14:textId="77777777" w:rsidTr="003F5413">
        <w:tc>
          <w:tcPr>
            <w:tcW w:w="4675" w:type="dxa"/>
          </w:tcPr>
          <w:p w14:paraId="58D2D4BF" w14:textId="77777777" w:rsidR="003F5413" w:rsidRPr="004A0C12" w:rsidRDefault="003F5413" w:rsidP="003F5413">
            <w:pPr>
              <w:rPr>
                <w:rFonts w:ascii="Garamond" w:hAnsi="Garamond" w:cs="Times New Roman"/>
              </w:rPr>
            </w:pPr>
            <w:r w:rsidRPr="004A0C12">
              <w:rPr>
                <w:rFonts w:ascii="Garamond" w:hAnsi="Garamond" w:cs="Times New Roman"/>
              </w:rPr>
              <w:t>Community and social services</w:t>
            </w:r>
          </w:p>
        </w:tc>
        <w:tc>
          <w:tcPr>
            <w:tcW w:w="4675" w:type="dxa"/>
          </w:tcPr>
          <w:p w14:paraId="2B388DA3" w14:textId="77777777" w:rsidR="003F5413" w:rsidRPr="004A0C12" w:rsidRDefault="003F5413" w:rsidP="003F5413">
            <w:pPr>
              <w:rPr>
                <w:rFonts w:ascii="Garamond" w:hAnsi="Garamond" w:cs="Times New Roman"/>
              </w:rPr>
            </w:pPr>
            <w:r w:rsidRPr="004A0C12">
              <w:rPr>
                <w:rFonts w:ascii="Garamond" w:hAnsi="Garamond" w:cs="Times New Roman"/>
              </w:rPr>
              <w:t>Farming, fishing, and forestry</w:t>
            </w:r>
          </w:p>
        </w:tc>
      </w:tr>
      <w:tr w:rsidR="003F5413" w:rsidRPr="004A0C12" w14:paraId="03AD1EDD" w14:textId="77777777" w:rsidTr="003F5413">
        <w:tc>
          <w:tcPr>
            <w:tcW w:w="4675" w:type="dxa"/>
          </w:tcPr>
          <w:p w14:paraId="60254777" w14:textId="77777777" w:rsidR="003F5413" w:rsidRPr="004A0C12" w:rsidRDefault="003F5413" w:rsidP="003F5413">
            <w:pPr>
              <w:rPr>
                <w:rFonts w:ascii="Garamond" w:hAnsi="Garamond" w:cs="Times New Roman"/>
              </w:rPr>
            </w:pPr>
            <w:r w:rsidRPr="004A0C12">
              <w:rPr>
                <w:rFonts w:ascii="Garamond" w:hAnsi="Garamond" w:cs="Times New Roman"/>
              </w:rPr>
              <w:t xml:space="preserve">Sales and related </w:t>
            </w:r>
          </w:p>
        </w:tc>
        <w:tc>
          <w:tcPr>
            <w:tcW w:w="4675" w:type="dxa"/>
          </w:tcPr>
          <w:p w14:paraId="11339A24" w14:textId="77777777" w:rsidR="003F5413" w:rsidRPr="004A0C12" w:rsidRDefault="003F5413" w:rsidP="003F5413">
            <w:pPr>
              <w:rPr>
                <w:rFonts w:ascii="Garamond" w:hAnsi="Garamond" w:cs="Times New Roman"/>
              </w:rPr>
            </w:pPr>
            <w:r w:rsidRPr="004A0C12">
              <w:rPr>
                <w:rFonts w:ascii="Garamond" w:hAnsi="Garamond" w:cs="Times New Roman"/>
              </w:rPr>
              <w:t>Computer and mathematical</w:t>
            </w:r>
          </w:p>
        </w:tc>
      </w:tr>
      <w:tr w:rsidR="003F5413" w:rsidRPr="004A0C12" w14:paraId="71A04752" w14:textId="77777777" w:rsidTr="003F5413">
        <w:tc>
          <w:tcPr>
            <w:tcW w:w="4675" w:type="dxa"/>
          </w:tcPr>
          <w:p w14:paraId="2385B836" w14:textId="77777777" w:rsidR="003F5413" w:rsidRPr="004A0C12" w:rsidRDefault="003F5413" w:rsidP="003F5413">
            <w:pPr>
              <w:rPr>
                <w:rFonts w:ascii="Garamond" w:hAnsi="Garamond" w:cs="Times New Roman"/>
              </w:rPr>
            </w:pPr>
            <w:r w:rsidRPr="004A0C12">
              <w:rPr>
                <w:rFonts w:ascii="Garamond" w:hAnsi="Garamond" w:cs="Times New Roman"/>
              </w:rPr>
              <w:t>Architecture and engineering</w:t>
            </w:r>
          </w:p>
        </w:tc>
        <w:tc>
          <w:tcPr>
            <w:tcW w:w="4675" w:type="dxa"/>
          </w:tcPr>
          <w:p w14:paraId="5BF8C4BC" w14:textId="77777777" w:rsidR="003F5413" w:rsidRPr="004A0C12" w:rsidRDefault="003F5413" w:rsidP="003F5413">
            <w:pPr>
              <w:rPr>
                <w:rFonts w:ascii="Garamond" w:hAnsi="Garamond" w:cs="Times New Roman"/>
              </w:rPr>
            </w:pPr>
            <w:r w:rsidRPr="004A0C12">
              <w:rPr>
                <w:rFonts w:ascii="Garamond" w:hAnsi="Garamond" w:cs="Times New Roman"/>
              </w:rPr>
              <w:t>Office and administrative support</w:t>
            </w:r>
          </w:p>
        </w:tc>
      </w:tr>
      <w:tr w:rsidR="003F5413" w:rsidRPr="004A0C12" w14:paraId="0F0F99B7" w14:textId="77777777" w:rsidTr="003F5413">
        <w:tc>
          <w:tcPr>
            <w:tcW w:w="4675" w:type="dxa"/>
          </w:tcPr>
          <w:p w14:paraId="2CDD0BA0" w14:textId="77777777" w:rsidR="003F5413" w:rsidRPr="004A0C12" w:rsidRDefault="003F5413" w:rsidP="003F5413">
            <w:pPr>
              <w:rPr>
                <w:rFonts w:ascii="Garamond" w:hAnsi="Garamond" w:cs="Times New Roman"/>
              </w:rPr>
            </w:pPr>
            <w:r w:rsidRPr="004A0C12">
              <w:rPr>
                <w:rFonts w:ascii="Garamond" w:hAnsi="Garamond" w:cs="Times New Roman"/>
              </w:rPr>
              <w:t>Personal care and service</w:t>
            </w:r>
          </w:p>
        </w:tc>
        <w:tc>
          <w:tcPr>
            <w:tcW w:w="4675" w:type="dxa"/>
          </w:tcPr>
          <w:p w14:paraId="3713D643" w14:textId="77777777" w:rsidR="003F5413" w:rsidRPr="004A0C12" w:rsidRDefault="003F5413" w:rsidP="003F5413">
            <w:pPr>
              <w:rPr>
                <w:rFonts w:ascii="Garamond" w:hAnsi="Garamond" w:cs="Times New Roman"/>
              </w:rPr>
            </w:pPr>
            <w:r w:rsidRPr="004A0C12">
              <w:rPr>
                <w:rFonts w:ascii="Garamond" w:hAnsi="Garamond" w:cs="Times New Roman"/>
              </w:rPr>
              <w:t xml:space="preserve">Healthcare practitioners and technical </w:t>
            </w:r>
          </w:p>
        </w:tc>
      </w:tr>
    </w:tbl>
    <w:p w14:paraId="6D141B58" w14:textId="77777777" w:rsidR="003F5413" w:rsidRDefault="003F5413" w:rsidP="003F5413">
      <w:pPr>
        <w:rPr>
          <w:rFonts w:ascii="Garamond" w:hAnsi="Garamond" w:cs="Times New Roman"/>
        </w:rPr>
      </w:pPr>
    </w:p>
    <w:p w14:paraId="47EE7D99" w14:textId="77777777" w:rsidR="00841821" w:rsidRDefault="00841821" w:rsidP="003F5413">
      <w:pPr>
        <w:rPr>
          <w:rFonts w:ascii="Garamond" w:hAnsi="Garamond" w:cs="Times New Roman"/>
        </w:rPr>
      </w:pPr>
    </w:p>
    <w:p w14:paraId="235533CB" w14:textId="77777777" w:rsidR="00841821" w:rsidRDefault="00841821" w:rsidP="003F5413">
      <w:pPr>
        <w:rPr>
          <w:rFonts w:ascii="Garamond" w:hAnsi="Garamond" w:cs="Times New Roman"/>
        </w:rPr>
      </w:pPr>
    </w:p>
    <w:p w14:paraId="16B0CB17" w14:textId="77777777" w:rsidR="00841821" w:rsidRPr="004A0C12" w:rsidRDefault="00841821" w:rsidP="003F5413">
      <w:pPr>
        <w:rPr>
          <w:rFonts w:ascii="Garamond" w:hAnsi="Garamond" w:cs="Times New Roman"/>
        </w:rPr>
      </w:pPr>
    </w:p>
    <w:tbl>
      <w:tblPr>
        <w:tblStyle w:val="GridTable4-Accent51"/>
        <w:tblW w:w="0" w:type="auto"/>
        <w:tblLook w:val="0620" w:firstRow="1" w:lastRow="0" w:firstColumn="0" w:lastColumn="0" w:noHBand="1" w:noVBand="1"/>
        <w:tblCaption w:val="Upper Shore Workforce AreA"/>
        <w:tblDescription w:val="Growth industries are: Life, physical, and social science; Legal; Installation, maintenance, and repai; Community and social services; Office and administrative support. Emerging industries are: Computer and mathematical;  Management.&#10;&#10;"/>
      </w:tblPr>
      <w:tblGrid>
        <w:gridCol w:w="4675"/>
        <w:gridCol w:w="4675"/>
      </w:tblGrid>
      <w:tr w:rsidR="003F5413" w:rsidRPr="004A0C12" w14:paraId="761927A1"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3769EF96" w14:textId="77777777" w:rsidR="003F5413" w:rsidRPr="004A0C12" w:rsidRDefault="003F5413" w:rsidP="003F5413">
            <w:pPr>
              <w:jc w:val="center"/>
              <w:rPr>
                <w:rFonts w:ascii="Garamond" w:hAnsi="Garamond" w:cs="Times New Roman"/>
              </w:rPr>
            </w:pPr>
            <w:r w:rsidRPr="004A0C12">
              <w:rPr>
                <w:rFonts w:ascii="Garamond" w:hAnsi="Garamond" w:cs="Times New Roman"/>
              </w:rPr>
              <w:lastRenderedPageBreak/>
              <w:t>Upper Shore Workforce Area</w:t>
            </w:r>
          </w:p>
        </w:tc>
      </w:tr>
      <w:tr w:rsidR="003F5413" w:rsidRPr="004A0C12" w14:paraId="3FAB68D0" w14:textId="77777777" w:rsidTr="003F5413">
        <w:tc>
          <w:tcPr>
            <w:tcW w:w="4675" w:type="dxa"/>
          </w:tcPr>
          <w:p w14:paraId="3E123909"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5C22D753"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48FA9EE7" w14:textId="77777777" w:rsidTr="003F5413">
        <w:tc>
          <w:tcPr>
            <w:tcW w:w="4675" w:type="dxa"/>
          </w:tcPr>
          <w:p w14:paraId="2DE0CF5A" w14:textId="77777777" w:rsidR="003F5413" w:rsidRPr="004A0C12" w:rsidRDefault="003F5413" w:rsidP="003F5413">
            <w:pPr>
              <w:rPr>
                <w:rFonts w:ascii="Garamond" w:hAnsi="Garamond" w:cs="Times New Roman"/>
              </w:rPr>
            </w:pPr>
            <w:r w:rsidRPr="004A0C12">
              <w:rPr>
                <w:rFonts w:ascii="Garamond" w:hAnsi="Garamond" w:cs="Times New Roman"/>
              </w:rPr>
              <w:t>Life, physical, and social science</w:t>
            </w:r>
          </w:p>
        </w:tc>
        <w:tc>
          <w:tcPr>
            <w:tcW w:w="4675" w:type="dxa"/>
          </w:tcPr>
          <w:p w14:paraId="247F76BB" w14:textId="77777777" w:rsidR="003F5413" w:rsidRPr="004A0C12" w:rsidRDefault="003F5413" w:rsidP="003F5413">
            <w:pPr>
              <w:rPr>
                <w:rFonts w:ascii="Garamond" w:hAnsi="Garamond" w:cs="Times New Roman"/>
              </w:rPr>
            </w:pPr>
            <w:r w:rsidRPr="004A0C12">
              <w:rPr>
                <w:rFonts w:ascii="Garamond" w:hAnsi="Garamond" w:cs="Times New Roman"/>
              </w:rPr>
              <w:t>Computer and mathematical</w:t>
            </w:r>
          </w:p>
        </w:tc>
      </w:tr>
      <w:tr w:rsidR="003F5413" w:rsidRPr="004A0C12" w14:paraId="0AB68CEE" w14:textId="77777777" w:rsidTr="003F5413">
        <w:tc>
          <w:tcPr>
            <w:tcW w:w="4675" w:type="dxa"/>
          </w:tcPr>
          <w:p w14:paraId="51AEDBE2" w14:textId="77777777" w:rsidR="003F5413" w:rsidRPr="004A0C12" w:rsidRDefault="003F5413" w:rsidP="003F5413">
            <w:pPr>
              <w:rPr>
                <w:rFonts w:ascii="Garamond" w:hAnsi="Garamond" w:cs="Times New Roman"/>
              </w:rPr>
            </w:pPr>
            <w:r w:rsidRPr="004A0C12">
              <w:rPr>
                <w:rFonts w:ascii="Garamond" w:hAnsi="Garamond" w:cs="Times New Roman"/>
              </w:rPr>
              <w:t>Legal</w:t>
            </w:r>
          </w:p>
        </w:tc>
        <w:tc>
          <w:tcPr>
            <w:tcW w:w="4675" w:type="dxa"/>
          </w:tcPr>
          <w:p w14:paraId="3C365062" w14:textId="77777777" w:rsidR="003F5413" w:rsidRPr="004A0C12" w:rsidRDefault="003F5413" w:rsidP="003F5413">
            <w:pPr>
              <w:rPr>
                <w:rFonts w:ascii="Garamond" w:hAnsi="Garamond" w:cs="Times New Roman"/>
              </w:rPr>
            </w:pPr>
            <w:r w:rsidRPr="004A0C12">
              <w:rPr>
                <w:rFonts w:ascii="Garamond" w:hAnsi="Garamond" w:cs="Times New Roman"/>
              </w:rPr>
              <w:t>Management</w:t>
            </w:r>
          </w:p>
        </w:tc>
      </w:tr>
      <w:tr w:rsidR="003F5413" w:rsidRPr="004A0C12" w14:paraId="50F930F2" w14:textId="77777777" w:rsidTr="003F5413">
        <w:tc>
          <w:tcPr>
            <w:tcW w:w="4675" w:type="dxa"/>
          </w:tcPr>
          <w:p w14:paraId="18494B53" w14:textId="77777777" w:rsidR="003F5413" w:rsidRPr="004A0C12" w:rsidRDefault="003F5413" w:rsidP="003F5413">
            <w:pPr>
              <w:rPr>
                <w:rFonts w:ascii="Garamond" w:hAnsi="Garamond" w:cs="Times New Roman"/>
              </w:rPr>
            </w:pPr>
            <w:r w:rsidRPr="004A0C12">
              <w:rPr>
                <w:rFonts w:ascii="Garamond" w:hAnsi="Garamond" w:cs="Times New Roman"/>
              </w:rPr>
              <w:t>Installation, maintenance, and repair</w:t>
            </w:r>
          </w:p>
        </w:tc>
        <w:tc>
          <w:tcPr>
            <w:tcW w:w="4675" w:type="dxa"/>
            <w:vMerge w:val="restart"/>
          </w:tcPr>
          <w:p w14:paraId="4EDB5FDB" w14:textId="77777777" w:rsidR="003F5413" w:rsidRPr="004A0C12" w:rsidRDefault="003F5413" w:rsidP="003F5413">
            <w:pPr>
              <w:rPr>
                <w:rFonts w:ascii="Garamond" w:hAnsi="Garamond" w:cs="Times New Roman"/>
              </w:rPr>
            </w:pPr>
          </w:p>
        </w:tc>
      </w:tr>
      <w:tr w:rsidR="003F5413" w:rsidRPr="004A0C12" w14:paraId="0D7F7A7E" w14:textId="77777777" w:rsidTr="003F5413">
        <w:tc>
          <w:tcPr>
            <w:tcW w:w="4675" w:type="dxa"/>
          </w:tcPr>
          <w:p w14:paraId="02D78C55" w14:textId="77777777" w:rsidR="003F5413" w:rsidRPr="004A0C12" w:rsidRDefault="003F5413" w:rsidP="003F5413">
            <w:pPr>
              <w:rPr>
                <w:rFonts w:ascii="Garamond" w:hAnsi="Garamond" w:cs="Times New Roman"/>
              </w:rPr>
            </w:pPr>
            <w:r w:rsidRPr="004A0C12">
              <w:rPr>
                <w:rFonts w:ascii="Garamond" w:hAnsi="Garamond" w:cs="Times New Roman"/>
              </w:rPr>
              <w:t>Community and social services</w:t>
            </w:r>
          </w:p>
        </w:tc>
        <w:tc>
          <w:tcPr>
            <w:tcW w:w="4675" w:type="dxa"/>
            <w:vMerge/>
          </w:tcPr>
          <w:p w14:paraId="222F593F" w14:textId="77777777" w:rsidR="003F5413" w:rsidRPr="004A0C12" w:rsidRDefault="003F5413" w:rsidP="003F5413">
            <w:pPr>
              <w:rPr>
                <w:rFonts w:ascii="Garamond" w:hAnsi="Garamond" w:cs="Times New Roman"/>
              </w:rPr>
            </w:pPr>
          </w:p>
        </w:tc>
      </w:tr>
      <w:tr w:rsidR="003F5413" w:rsidRPr="004A0C12" w14:paraId="040BF1F8" w14:textId="77777777" w:rsidTr="003F5413">
        <w:tc>
          <w:tcPr>
            <w:tcW w:w="4675" w:type="dxa"/>
          </w:tcPr>
          <w:p w14:paraId="6E8AEB84" w14:textId="77777777" w:rsidR="003F5413" w:rsidRPr="004A0C12" w:rsidRDefault="003F5413" w:rsidP="003F5413">
            <w:pPr>
              <w:rPr>
                <w:rFonts w:ascii="Garamond" w:hAnsi="Garamond" w:cs="Times New Roman"/>
              </w:rPr>
            </w:pPr>
            <w:r w:rsidRPr="004A0C12">
              <w:rPr>
                <w:rFonts w:ascii="Garamond" w:hAnsi="Garamond" w:cs="Times New Roman"/>
              </w:rPr>
              <w:t>Office and administrative support</w:t>
            </w:r>
          </w:p>
        </w:tc>
        <w:tc>
          <w:tcPr>
            <w:tcW w:w="4675" w:type="dxa"/>
            <w:vMerge/>
          </w:tcPr>
          <w:p w14:paraId="627A2C8C" w14:textId="77777777" w:rsidR="003F5413" w:rsidRPr="004A0C12" w:rsidRDefault="003F5413" w:rsidP="003F5413">
            <w:pPr>
              <w:rPr>
                <w:rFonts w:ascii="Garamond" w:hAnsi="Garamond" w:cs="Times New Roman"/>
              </w:rPr>
            </w:pPr>
          </w:p>
        </w:tc>
      </w:tr>
    </w:tbl>
    <w:p w14:paraId="594E7B47" w14:textId="77777777" w:rsidR="003F5413" w:rsidRPr="004A0C12" w:rsidRDefault="003F5413" w:rsidP="003F5413">
      <w:pPr>
        <w:rPr>
          <w:rFonts w:ascii="Garamond" w:hAnsi="Garamond" w:cs="Times New Roman"/>
        </w:rPr>
      </w:pPr>
    </w:p>
    <w:tbl>
      <w:tblPr>
        <w:tblStyle w:val="GridTable4-Accent51"/>
        <w:tblW w:w="0" w:type="auto"/>
        <w:tblLook w:val="0620" w:firstRow="1" w:lastRow="0" w:firstColumn="0" w:lastColumn="0" w:noHBand="1" w:noVBand="1"/>
        <w:tblCaption w:val="Western Maryland Workforce Area"/>
        <w:tblDescription w:val="Growth industries are: Office and administrative support; Construction and extraction; Healthcare and practitioners and technical;  Transportation and material moving; Protective service. Emerging industries are: Life, physical, and social science; Arts, design, entertainment, sports, and media; Business and financial operations; Legal; Farming, fishing, and forestry.&#10;"/>
      </w:tblPr>
      <w:tblGrid>
        <w:gridCol w:w="4675"/>
        <w:gridCol w:w="4675"/>
      </w:tblGrid>
      <w:tr w:rsidR="003F5413" w:rsidRPr="004A0C12" w14:paraId="45584120" w14:textId="77777777" w:rsidTr="008B1D9A">
        <w:trPr>
          <w:cnfStyle w:val="100000000000" w:firstRow="1" w:lastRow="0" w:firstColumn="0" w:lastColumn="0" w:oddVBand="0" w:evenVBand="0" w:oddHBand="0" w:evenHBand="0" w:firstRowFirstColumn="0" w:firstRowLastColumn="0" w:lastRowFirstColumn="0" w:lastRowLastColumn="0"/>
          <w:tblHeader/>
        </w:trPr>
        <w:tc>
          <w:tcPr>
            <w:tcW w:w="9350" w:type="dxa"/>
            <w:gridSpan w:val="2"/>
          </w:tcPr>
          <w:p w14:paraId="32DC37DF" w14:textId="77777777" w:rsidR="003F5413" w:rsidRPr="004A0C12" w:rsidRDefault="003F5413" w:rsidP="003F5413">
            <w:pPr>
              <w:jc w:val="center"/>
              <w:rPr>
                <w:rFonts w:ascii="Garamond" w:hAnsi="Garamond" w:cs="Times New Roman"/>
              </w:rPr>
            </w:pPr>
            <w:r w:rsidRPr="004A0C12">
              <w:rPr>
                <w:rFonts w:ascii="Garamond" w:hAnsi="Garamond" w:cs="Times New Roman"/>
              </w:rPr>
              <w:t>Western Maryland Workforce Area</w:t>
            </w:r>
          </w:p>
        </w:tc>
      </w:tr>
      <w:tr w:rsidR="003F5413" w:rsidRPr="004A0C12" w14:paraId="33881E4E" w14:textId="77777777" w:rsidTr="003F5413">
        <w:tc>
          <w:tcPr>
            <w:tcW w:w="4675" w:type="dxa"/>
          </w:tcPr>
          <w:p w14:paraId="65C73DAB" w14:textId="77777777" w:rsidR="003F5413" w:rsidRPr="004A0C12" w:rsidRDefault="003F5413" w:rsidP="003F5413">
            <w:pPr>
              <w:rPr>
                <w:rFonts w:ascii="Garamond" w:hAnsi="Garamond" w:cs="Times New Roman"/>
                <w:b/>
              </w:rPr>
            </w:pPr>
            <w:r w:rsidRPr="004A0C12">
              <w:rPr>
                <w:rFonts w:ascii="Garamond" w:hAnsi="Garamond" w:cs="Times New Roman"/>
                <w:b/>
              </w:rPr>
              <w:t>Growth</w:t>
            </w:r>
          </w:p>
        </w:tc>
        <w:tc>
          <w:tcPr>
            <w:tcW w:w="4675" w:type="dxa"/>
          </w:tcPr>
          <w:p w14:paraId="2795A92E" w14:textId="77777777" w:rsidR="003F5413" w:rsidRPr="004A0C12" w:rsidRDefault="003F5413" w:rsidP="003F5413">
            <w:pPr>
              <w:rPr>
                <w:rFonts w:ascii="Garamond" w:hAnsi="Garamond" w:cs="Times New Roman"/>
                <w:b/>
              </w:rPr>
            </w:pPr>
            <w:r w:rsidRPr="004A0C12">
              <w:rPr>
                <w:rFonts w:ascii="Garamond" w:hAnsi="Garamond" w:cs="Times New Roman"/>
                <w:b/>
              </w:rPr>
              <w:t>Emerging</w:t>
            </w:r>
          </w:p>
        </w:tc>
      </w:tr>
      <w:tr w:rsidR="003F5413" w:rsidRPr="004A0C12" w14:paraId="35F52729" w14:textId="77777777" w:rsidTr="003F5413">
        <w:tc>
          <w:tcPr>
            <w:tcW w:w="4675" w:type="dxa"/>
          </w:tcPr>
          <w:p w14:paraId="07FF72F3" w14:textId="77777777" w:rsidR="003F5413" w:rsidRPr="004A0C12" w:rsidRDefault="003F5413" w:rsidP="003F5413">
            <w:pPr>
              <w:rPr>
                <w:rFonts w:ascii="Garamond" w:hAnsi="Garamond" w:cs="Times New Roman"/>
              </w:rPr>
            </w:pPr>
            <w:r w:rsidRPr="004A0C12">
              <w:rPr>
                <w:rFonts w:ascii="Garamond" w:hAnsi="Garamond" w:cs="Times New Roman"/>
              </w:rPr>
              <w:t>Office and administrative support</w:t>
            </w:r>
          </w:p>
        </w:tc>
        <w:tc>
          <w:tcPr>
            <w:tcW w:w="4675" w:type="dxa"/>
          </w:tcPr>
          <w:p w14:paraId="6DE99B3B" w14:textId="77777777" w:rsidR="003F5413" w:rsidRPr="004A0C12" w:rsidRDefault="003F5413" w:rsidP="003F5413">
            <w:pPr>
              <w:rPr>
                <w:rFonts w:ascii="Garamond" w:hAnsi="Garamond" w:cs="Times New Roman"/>
              </w:rPr>
            </w:pPr>
            <w:r w:rsidRPr="004A0C12">
              <w:rPr>
                <w:rFonts w:ascii="Garamond" w:hAnsi="Garamond" w:cs="Times New Roman"/>
              </w:rPr>
              <w:t>Life, physical, and social science</w:t>
            </w:r>
          </w:p>
        </w:tc>
      </w:tr>
      <w:tr w:rsidR="003F5413" w:rsidRPr="004A0C12" w14:paraId="5A2259FC" w14:textId="77777777" w:rsidTr="003F5413">
        <w:tc>
          <w:tcPr>
            <w:tcW w:w="4675" w:type="dxa"/>
          </w:tcPr>
          <w:p w14:paraId="18EC2C22" w14:textId="77777777" w:rsidR="003F5413" w:rsidRPr="004A0C12" w:rsidRDefault="003F5413" w:rsidP="003F5413">
            <w:pPr>
              <w:rPr>
                <w:rFonts w:ascii="Garamond" w:hAnsi="Garamond" w:cs="Times New Roman"/>
              </w:rPr>
            </w:pPr>
            <w:r w:rsidRPr="004A0C12">
              <w:rPr>
                <w:rFonts w:ascii="Garamond" w:hAnsi="Garamond" w:cs="Times New Roman"/>
              </w:rPr>
              <w:t>Construction and extraction</w:t>
            </w:r>
          </w:p>
        </w:tc>
        <w:tc>
          <w:tcPr>
            <w:tcW w:w="4675" w:type="dxa"/>
          </w:tcPr>
          <w:p w14:paraId="3765DED5" w14:textId="77777777" w:rsidR="003F5413" w:rsidRPr="004A0C12" w:rsidRDefault="003F5413" w:rsidP="003F5413">
            <w:pPr>
              <w:rPr>
                <w:rFonts w:ascii="Garamond" w:hAnsi="Garamond" w:cs="Times New Roman"/>
              </w:rPr>
            </w:pPr>
            <w:r w:rsidRPr="004A0C12">
              <w:rPr>
                <w:rFonts w:ascii="Garamond" w:hAnsi="Garamond" w:cs="Times New Roman"/>
              </w:rPr>
              <w:t>Arts, design, entertainment, sports, and media</w:t>
            </w:r>
          </w:p>
        </w:tc>
      </w:tr>
      <w:tr w:rsidR="003F5413" w:rsidRPr="004A0C12" w14:paraId="05350523" w14:textId="77777777" w:rsidTr="003F5413">
        <w:tc>
          <w:tcPr>
            <w:tcW w:w="4675" w:type="dxa"/>
          </w:tcPr>
          <w:p w14:paraId="72E2F2C2" w14:textId="77777777" w:rsidR="003F5413" w:rsidRPr="004A0C12" w:rsidRDefault="003F5413" w:rsidP="003F5413">
            <w:pPr>
              <w:rPr>
                <w:rFonts w:ascii="Garamond" w:hAnsi="Garamond" w:cs="Times New Roman"/>
              </w:rPr>
            </w:pPr>
            <w:r w:rsidRPr="004A0C12">
              <w:rPr>
                <w:rFonts w:ascii="Garamond" w:hAnsi="Garamond" w:cs="Times New Roman"/>
              </w:rPr>
              <w:t xml:space="preserve">Healthcare and practitioners and technical </w:t>
            </w:r>
          </w:p>
        </w:tc>
        <w:tc>
          <w:tcPr>
            <w:tcW w:w="4675" w:type="dxa"/>
          </w:tcPr>
          <w:p w14:paraId="0787F0FE" w14:textId="77777777" w:rsidR="003F5413" w:rsidRPr="004A0C12" w:rsidRDefault="003F5413" w:rsidP="003F5413">
            <w:pPr>
              <w:rPr>
                <w:rFonts w:ascii="Garamond" w:hAnsi="Garamond" w:cs="Times New Roman"/>
              </w:rPr>
            </w:pPr>
            <w:r w:rsidRPr="004A0C12">
              <w:rPr>
                <w:rFonts w:ascii="Garamond" w:hAnsi="Garamond" w:cs="Times New Roman"/>
              </w:rPr>
              <w:t>Business and financial operations</w:t>
            </w:r>
          </w:p>
        </w:tc>
      </w:tr>
      <w:tr w:rsidR="003F5413" w:rsidRPr="004A0C12" w14:paraId="330CAD65" w14:textId="77777777" w:rsidTr="003F5413">
        <w:tc>
          <w:tcPr>
            <w:tcW w:w="4675" w:type="dxa"/>
          </w:tcPr>
          <w:p w14:paraId="5E12C06B" w14:textId="77777777" w:rsidR="003F5413" w:rsidRPr="004A0C12" w:rsidRDefault="003F5413" w:rsidP="003F5413">
            <w:pPr>
              <w:rPr>
                <w:rFonts w:ascii="Garamond" w:hAnsi="Garamond" w:cs="Times New Roman"/>
              </w:rPr>
            </w:pPr>
            <w:r w:rsidRPr="004A0C12">
              <w:rPr>
                <w:rFonts w:ascii="Garamond" w:hAnsi="Garamond" w:cs="Times New Roman"/>
              </w:rPr>
              <w:t>Transportation and material moving</w:t>
            </w:r>
          </w:p>
        </w:tc>
        <w:tc>
          <w:tcPr>
            <w:tcW w:w="4675" w:type="dxa"/>
          </w:tcPr>
          <w:p w14:paraId="106CA543" w14:textId="77777777" w:rsidR="003F5413" w:rsidRPr="004A0C12" w:rsidRDefault="003F5413" w:rsidP="003F5413">
            <w:pPr>
              <w:rPr>
                <w:rFonts w:ascii="Garamond" w:hAnsi="Garamond" w:cs="Times New Roman"/>
              </w:rPr>
            </w:pPr>
            <w:r w:rsidRPr="004A0C12">
              <w:rPr>
                <w:rFonts w:ascii="Garamond" w:hAnsi="Garamond" w:cs="Times New Roman"/>
              </w:rPr>
              <w:t xml:space="preserve">Legal </w:t>
            </w:r>
          </w:p>
        </w:tc>
      </w:tr>
      <w:tr w:rsidR="003F5413" w:rsidRPr="004A0C12" w14:paraId="6198F9D4" w14:textId="77777777" w:rsidTr="003F5413">
        <w:tc>
          <w:tcPr>
            <w:tcW w:w="4675" w:type="dxa"/>
          </w:tcPr>
          <w:p w14:paraId="0864BC0F" w14:textId="77777777" w:rsidR="003F5413" w:rsidRPr="004A0C12" w:rsidRDefault="003F5413" w:rsidP="003F5413">
            <w:pPr>
              <w:rPr>
                <w:rFonts w:ascii="Garamond" w:hAnsi="Garamond" w:cs="Times New Roman"/>
              </w:rPr>
            </w:pPr>
            <w:r w:rsidRPr="004A0C12">
              <w:rPr>
                <w:rFonts w:ascii="Garamond" w:hAnsi="Garamond" w:cs="Times New Roman"/>
              </w:rPr>
              <w:t>Protective service</w:t>
            </w:r>
          </w:p>
        </w:tc>
        <w:tc>
          <w:tcPr>
            <w:tcW w:w="4675" w:type="dxa"/>
          </w:tcPr>
          <w:p w14:paraId="1B8F400D" w14:textId="77777777" w:rsidR="003F5413" w:rsidRPr="004A0C12" w:rsidRDefault="003F5413" w:rsidP="003F5413">
            <w:pPr>
              <w:rPr>
                <w:rFonts w:ascii="Garamond" w:hAnsi="Garamond" w:cs="Times New Roman"/>
              </w:rPr>
            </w:pPr>
            <w:r w:rsidRPr="004A0C12">
              <w:rPr>
                <w:rFonts w:ascii="Garamond" w:hAnsi="Garamond" w:cs="Times New Roman"/>
              </w:rPr>
              <w:t>Farming, fishing, and forestry</w:t>
            </w:r>
          </w:p>
        </w:tc>
      </w:tr>
    </w:tbl>
    <w:p w14:paraId="44B52251" w14:textId="77777777" w:rsidR="003F5413" w:rsidRPr="004A0C12" w:rsidRDefault="003F5413" w:rsidP="003F5413">
      <w:pPr>
        <w:rPr>
          <w:rFonts w:ascii="Garamond" w:hAnsi="Garamond" w:cs="Times New Roman"/>
        </w:rPr>
      </w:pPr>
    </w:p>
    <w:p w14:paraId="73F25145" w14:textId="77777777" w:rsidR="003F5413" w:rsidRPr="004A0C12" w:rsidRDefault="003F5413" w:rsidP="00267D75">
      <w:pPr>
        <w:tabs>
          <w:tab w:val="left" w:pos="10314"/>
        </w:tabs>
        <w:ind w:left="720"/>
        <w:rPr>
          <w:rFonts w:ascii="Garamond" w:hAnsi="Garamond"/>
        </w:rPr>
      </w:pPr>
    </w:p>
    <w:sectPr w:rsidR="003F5413" w:rsidRPr="004A0C12" w:rsidSect="00C31637">
      <w:pgSz w:w="12240" w:h="15840"/>
      <w:pgMar w:top="1440" w:right="576" w:bottom="1440" w:left="576"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27228D" w14:textId="77777777" w:rsidR="00FF4FDF" w:rsidRDefault="00FF4FDF" w:rsidP="00FB0A8A">
      <w:pPr>
        <w:spacing w:after="0" w:line="240" w:lineRule="auto"/>
      </w:pPr>
      <w:r>
        <w:separator/>
      </w:r>
    </w:p>
  </w:endnote>
  <w:endnote w:type="continuationSeparator" w:id="0">
    <w:p w14:paraId="59278A67" w14:textId="77777777" w:rsidR="00FF4FDF" w:rsidRDefault="00FF4FDF" w:rsidP="00FB0A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Grande">
    <w:altName w:val="Times New Roman"/>
    <w:charset w:val="00"/>
    <w:family w:val="roman"/>
    <w:pitch w:val="default"/>
  </w:font>
  <w:font w:name="ヒラギノ角ゴ Pro W3">
    <w:altName w:val="Times New Roman"/>
    <w:charset w:val="00"/>
    <w:family w:val="roman"/>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pitch w:val="default"/>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Times New Roman Bold Italic">
    <w:panose1 w:val="02020703060505090304"/>
    <w:charset w:val="00"/>
    <w:family w:val="roman"/>
    <w:pitch w:val="default"/>
  </w:font>
  <w:font w:name="Times New Roman Italic">
    <w:panose1 w:val="02020503050405090304"/>
    <w:charset w:val="00"/>
    <w:family w:val="roman"/>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7928176"/>
      <w:docPartObj>
        <w:docPartGallery w:val="Page Numbers (Bottom of Page)"/>
        <w:docPartUnique/>
      </w:docPartObj>
    </w:sdtPr>
    <w:sdtEndPr>
      <w:rPr>
        <w:noProof/>
      </w:rPr>
    </w:sdtEndPr>
    <w:sdtContent>
      <w:p w14:paraId="67B2D1E9" w14:textId="77777777" w:rsidR="003D14AC" w:rsidRDefault="003D14AC">
        <w:pPr>
          <w:pStyle w:val="Footer"/>
          <w:jc w:val="center"/>
        </w:pPr>
        <w:r>
          <w:fldChar w:fldCharType="begin"/>
        </w:r>
        <w:r>
          <w:instrText xml:space="preserve"> PAGE   \* MERGEFORMAT </w:instrText>
        </w:r>
        <w:r>
          <w:fldChar w:fldCharType="separate"/>
        </w:r>
        <w:r w:rsidR="00943AA8">
          <w:rPr>
            <w:noProof/>
          </w:rPr>
          <w:t>i</w:t>
        </w:r>
        <w:r>
          <w:rPr>
            <w:noProof/>
          </w:rPr>
          <w:fldChar w:fldCharType="end"/>
        </w:r>
      </w:p>
    </w:sdtContent>
  </w:sdt>
  <w:p w14:paraId="522BC02B" w14:textId="77777777" w:rsidR="003D14AC" w:rsidRDefault="003D14A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0AB95A" w14:textId="77777777" w:rsidR="00FF4FDF" w:rsidRDefault="00FF4FDF" w:rsidP="00FB0A8A">
      <w:pPr>
        <w:spacing w:after="0" w:line="240" w:lineRule="auto"/>
      </w:pPr>
      <w:r>
        <w:separator/>
      </w:r>
    </w:p>
  </w:footnote>
  <w:footnote w:type="continuationSeparator" w:id="0">
    <w:p w14:paraId="5AC19514" w14:textId="77777777" w:rsidR="00FF4FDF" w:rsidRDefault="00FF4FDF" w:rsidP="00FB0A8A">
      <w:pPr>
        <w:spacing w:after="0" w:line="240" w:lineRule="auto"/>
      </w:pPr>
      <w:r>
        <w:continuationSeparator/>
      </w:r>
    </w:p>
  </w:footnote>
  <w:footnote w:id="1">
    <w:p w14:paraId="5F1C431A" w14:textId="6BE2D1E2" w:rsidR="003D14AC" w:rsidRPr="00825D0C" w:rsidRDefault="003D14AC">
      <w:pPr>
        <w:pStyle w:val="FootnoteText"/>
        <w:rPr>
          <w:rFonts w:ascii="Gill Sans MT" w:hAnsi="Gill Sans MT"/>
        </w:rPr>
      </w:pPr>
      <w:r w:rsidRPr="00825D0C">
        <w:rPr>
          <w:rStyle w:val="FootnoteReference"/>
          <w:rFonts w:ascii="Gill Sans MT" w:hAnsi="Gill Sans MT"/>
        </w:rPr>
        <w:footnoteRef/>
      </w:r>
      <w:r w:rsidRPr="00825D0C">
        <w:rPr>
          <w:rFonts w:ascii="Gill Sans MT" w:hAnsi="Gill Sans MT"/>
        </w:rPr>
        <w:t xml:space="preserve"> See Appendix G for WIOA key terms and definitions. </w:t>
      </w:r>
    </w:p>
  </w:footnote>
  <w:footnote w:id="2">
    <w:p w14:paraId="303DA717" w14:textId="04688FB3" w:rsidR="003D14AC" w:rsidRPr="005851EF" w:rsidRDefault="003D14AC" w:rsidP="00F83A39">
      <w:pPr>
        <w:spacing w:after="0" w:line="240" w:lineRule="auto"/>
        <w:jc w:val="both"/>
        <w:rPr>
          <w:rFonts w:ascii="Gill Sans MT" w:hAnsi="Gill Sans MT"/>
          <w:sz w:val="24"/>
        </w:rPr>
      </w:pPr>
      <w:r w:rsidRPr="005851EF">
        <w:rPr>
          <w:rStyle w:val="FootnoteReference"/>
          <w:rFonts w:ascii="Gill Sans MT" w:hAnsi="Gill Sans MT"/>
        </w:rPr>
        <w:footnoteRef/>
      </w:r>
      <w:r w:rsidRPr="005851EF">
        <w:rPr>
          <w:rFonts w:ascii="Gill Sans MT" w:hAnsi="Gill Sans MT"/>
        </w:rPr>
        <w:t xml:space="preserve"> </w:t>
      </w:r>
      <w:r w:rsidRPr="005851EF">
        <w:rPr>
          <w:rFonts w:ascii="Gill Sans MT" w:hAnsi="Gill Sans MT" w:cstheme="minorHAnsi"/>
          <w:sz w:val="20"/>
          <w:szCs w:val="20"/>
        </w:rPr>
        <w:t>Maryland is dedicated to continued discussions regarding the individual barriers noted on the above list, and whether additional barriers to employment should be included. Local plans may include specific additional barriers that the Local Areas may wish to include in their service delivery.</w:t>
      </w:r>
      <w:r w:rsidRPr="005851EF">
        <w:rPr>
          <w:rFonts w:ascii="Gill Sans MT" w:hAnsi="Gill Sans MT"/>
          <w:sz w:val="24"/>
        </w:rPr>
        <w:t xml:space="preserve"> </w:t>
      </w:r>
    </w:p>
  </w:footnote>
  <w:footnote w:id="3">
    <w:p w14:paraId="5D9324C8" w14:textId="4B040FCB" w:rsidR="003D14AC" w:rsidRPr="005851EF" w:rsidRDefault="003D14AC" w:rsidP="003C7999">
      <w:pPr>
        <w:pStyle w:val="Bibliography"/>
        <w:spacing w:after="0" w:line="240" w:lineRule="auto"/>
        <w:ind w:left="720" w:hanging="720"/>
        <w:rPr>
          <w:rFonts w:ascii="Gill Sans MT" w:hAnsi="Gill Sans MT"/>
          <w:noProof/>
          <w:sz w:val="20"/>
          <w:szCs w:val="20"/>
        </w:rPr>
      </w:pPr>
      <w:r w:rsidRPr="005851EF">
        <w:rPr>
          <w:rStyle w:val="FootnoteReference"/>
          <w:rFonts w:ascii="Gill Sans MT" w:hAnsi="Gill Sans MT" w:cstheme="minorHAnsi"/>
        </w:rPr>
        <w:footnoteRef/>
      </w:r>
      <w:r w:rsidRPr="005851EF">
        <w:rPr>
          <w:rFonts w:ascii="Gill Sans MT" w:hAnsi="Gill Sans MT" w:cstheme="minorHAnsi"/>
        </w:rPr>
        <w:t xml:space="preserve"> </w:t>
      </w:r>
      <w:r w:rsidRPr="005851EF">
        <w:rPr>
          <w:rFonts w:ascii="Gill Sans MT" w:hAnsi="Gill Sans MT"/>
          <w:noProof/>
          <w:sz w:val="20"/>
          <w:szCs w:val="20"/>
        </w:rPr>
        <w:t xml:space="preserve">Bureau of Economic Analysis. (2015). </w:t>
      </w:r>
      <w:r w:rsidRPr="005851EF">
        <w:rPr>
          <w:rFonts w:ascii="Gill Sans MT" w:hAnsi="Gill Sans MT"/>
          <w:i/>
          <w:iCs/>
          <w:noProof/>
          <w:sz w:val="20"/>
          <w:szCs w:val="20"/>
        </w:rPr>
        <w:t>Regional Data.</w:t>
      </w:r>
      <w:r w:rsidRPr="005851EF">
        <w:rPr>
          <w:rFonts w:ascii="Gill Sans MT" w:hAnsi="Gill Sans MT"/>
          <w:noProof/>
          <w:sz w:val="20"/>
          <w:szCs w:val="20"/>
        </w:rPr>
        <w:t xml:space="preserve"> Retrieved from BEA: http://www.bea.gov/itable/iTable.cfm?ReqID=70&amp;step=1#reqid=70&amp;step=1&amp;isuri=1</w:t>
      </w:r>
    </w:p>
  </w:footnote>
  <w:footnote w:id="4">
    <w:p w14:paraId="62346921" w14:textId="1A58D268" w:rsidR="003D14AC" w:rsidRPr="005851EF" w:rsidRDefault="003D14AC" w:rsidP="003C7999">
      <w:pPr>
        <w:pStyle w:val="Bibliography"/>
        <w:spacing w:after="0" w:line="240" w:lineRule="auto"/>
        <w:ind w:left="720" w:hanging="720"/>
        <w:rPr>
          <w:rFonts w:ascii="Gill Sans MT" w:hAnsi="Gill Sans MT"/>
          <w:noProof/>
          <w:sz w:val="20"/>
          <w:szCs w:val="20"/>
        </w:rPr>
      </w:pPr>
      <w:r w:rsidRPr="005851EF">
        <w:rPr>
          <w:rStyle w:val="FootnoteReference"/>
          <w:rFonts w:ascii="Gill Sans MT" w:hAnsi="Gill Sans MT" w:cstheme="minorHAnsi"/>
          <w:sz w:val="20"/>
          <w:szCs w:val="20"/>
        </w:rPr>
        <w:footnoteRef/>
      </w:r>
      <w:r w:rsidRPr="005851EF">
        <w:rPr>
          <w:rFonts w:ascii="Gill Sans MT" w:hAnsi="Gill Sans MT" w:cstheme="minorHAnsi"/>
          <w:sz w:val="20"/>
          <w:szCs w:val="20"/>
        </w:rPr>
        <w:t xml:space="preserve"> </w:t>
      </w:r>
      <w:r w:rsidRPr="005851EF">
        <w:rPr>
          <w:rFonts w:ascii="Gill Sans MT" w:hAnsi="Gill Sans MT"/>
          <w:i/>
          <w:noProof/>
          <w:sz w:val="20"/>
          <w:szCs w:val="20"/>
        </w:rPr>
        <w:t>Ibid.</w:t>
      </w:r>
    </w:p>
  </w:footnote>
  <w:footnote w:id="5">
    <w:p w14:paraId="34795198" w14:textId="77777777" w:rsidR="003D14AC" w:rsidRPr="005851EF" w:rsidRDefault="003D14AC" w:rsidP="0050300F">
      <w:pPr>
        <w:pStyle w:val="FootnoteText"/>
        <w:rPr>
          <w:rFonts w:ascii="Gill Sans MT" w:hAnsi="Gill Sans MT" w:cstheme="minorHAnsi"/>
        </w:rPr>
      </w:pPr>
      <w:r w:rsidRPr="005851EF">
        <w:rPr>
          <w:rStyle w:val="FootnoteReference"/>
          <w:rFonts w:ascii="Gill Sans MT" w:hAnsi="Gill Sans MT" w:cstheme="minorHAnsi"/>
        </w:rPr>
        <w:footnoteRef/>
      </w:r>
      <w:r w:rsidRPr="005851EF">
        <w:rPr>
          <w:rFonts w:ascii="Gill Sans MT" w:hAnsi="Gill Sans MT" w:cstheme="minorHAnsi"/>
        </w:rPr>
        <w:t xml:space="preserve"> </w:t>
      </w:r>
      <w:r w:rsidRPr="005851EF">
        <w:rPr>
          <w:rFonts w:ascii="Gill Sans MT" w:hAnsi="Gill Sans MT" w:cstheme="minorHAnsi"/>
          <w:i/>
          <w:noProof/>
        </w:rPr>
        <w:t>Ibid.</w:t>
      </w:r>
    </w:p>
  </w:footnote>
  <w:footnote w:id="6">
    <w:p w14:paraId="637A38B4" w14:textId="3A423752" w:rsidR="003D14AC" w:rsidRPr="007E27C0" w:rsidRDefault="003D14AC">
      <w:pPr>
        <w:pStyle w:val="FootnoteText"/>
        <w:rPr>
          <w:rFonts w:ascii="Gill Sans MT" w:hAnsi="Gill Sans MT" w:cstheme="minorHAnsi"/>
        </w:rPr>
      </w:pPr>
      <w:r w:rsidRPr="007E27C0">
        <w:rPr>
          <w:rStyle w:val="FootnoteReference"/>
          <w:rFonts w:ascii="Gill Sans MT" w:hAnsi="Gill Sans MT" w:cstheme="minorHAnsi"/>
        </w:rPr>
        <w:footnoteRef/>
      </w:r>
      <w:r w:rsidRPr="007E27C0">
        <w:rPr>
          <w:rFonts w:ascii="Gill Sans MT" w:hAnsi="Gill Sans MT" w:cstheme="minorHAnsi"/>
          <w:i/>
          <w:noProof/>
        </w:rPr>
        <w:t xml:space="preserve">Ibid. </w:t>
      </w:r>
      <w:r w:rsidRPr="007E27C0">
        <w:rPr>
          <w:rFonts w:ascii="Gill Sans MT" w:hAnsi="Gill Sans MT" w:cstheme="minorHAnsi"/>
        </w:rPr>
        <w:t xml:space="preserve"> </w:t>
      </w:r>
    </w:p>
  </w:footnote>
  <w:footnote w:id="7">
    <w:p w14:paraId="2D3EA1AD" w14:textId="68EC8CC1" w:rsidR="003D14AC" w:rsidRPr="007E27C0" w:rsidRDefault="003D14AC">
      <w:pPr>
        <w:pStyle w:val="FootnoteText"/>
        <w:rPr>
          <w:rFonts w:ascii="Gill Sans MT" w:hAnsi="Gill Sans MT" w:cstheme="minorHAnsi"/>
        </w:rPr>
      </w:pPr>
      <w:r w:rsidRPr="007E27C0">
        <w:rPr>
          <w:rStyle w:val="FootnoteReference"/>
          <w:rFonts w:ascii="Gill Sans MT" w:hAnsi="Gill Sans MT" w:cstheme="minorHAnsi"/>
        </w:rPr>
        <w:footnoteRef/>
      </w:r>
      <w:r w:rsidRPr="007E27C0">
        <w:rPr>
          <w:rFonts w:ascii="Gill Sans MT" w:hAnsi="Gill Sans MT" w:cstheme="minorHAnsi"/>
          <w:i/>
          <w:noProof/>
        </w:rPr>
        <w:t xml:space="preserve">Ibid. </w:t>
      </w:r>
    </w:p>
  </w:footnote>
  <w:footnote w:id="8">
    <w:p w14:paraId="12452D13" w14:textId="5112E50D" w:rsidR="003D14AC" w:rsidRPr="003C7999" w:rsidRDefault="003D14AC">
      <w:pPr>
        <w:pStyle w:val="FootnoteText"/>
        <w:rPr>
          <w:rFonts w:cstheme="minorHAnsi"/>
        </w:rPr>
      </w:pPr>
      <w:r w:rsidRPr="007E27C0">
        <w:rPr>
          <w:rStyle w:val="FootnoteReference"/>
          <w:rFonts w:ascii="Gill Sans MT" w:hAnsi="Gill Sans MT" w:cstheme="minorHAnsi"/>
        </w:rPr>
        <w:footnoteRef/>
      </w:r>
      <w:r w:rsidRPr="007E27C0">
        <w:rPr>
          <w:rFonts w:ascii="Gill Sans MT" w:hAnsi="Gill Sans MT" w:cstheme="minorHAnsi"/>
          <w:i/>
          <w:noProof/>
        </w:rPr>
        <w:t>Ibid.</w:t>
      </w:r>
    </w:p>
  </w:footnote>
  <w:footnote w:id="9">
    <w:p w14:paraId="3891BB31" w14:textId="189FE441" w:rsidR="003D14AC" w:rsidRPr="007E27C0" w:rsidRDefault="003D14AC">
      <w:pPr>
        <w:pStyle w:val="FootnoteText"/>
        <w:rPr>
          <w:rFonts w:ascii="Gill Sans MT" w:hAnsi="Gill Sans MT"/>
        </w:rPr>
      </w:pPr>
      <w:r w:rsidRPr="007E27C0">
        <w:rPr>
          <w:rStyle w:val="FootnoteReference"/>
          <w:rFonts w:ascii="Gill Sans MT" w:hAnsi="Gill Sans MT" w:cstheme="minorHAnsi"/>
        </w:rPr>
        <w:footnoteRef/>
      </w:r>
      <w:r w:rsidRPr="007E27C0">
        <w:rPr>
          <w:rFonts w:ascii="Gill Sans MT" w:hAnsi="Gill Sans MT" w:cstheme="minorHAnsi"/>
          <w:i/>
          <w:noProof/>
        </w:rPr>
        <w:t>Ibid.</w:t>
      </w:r>
    </w:p>
  </w:footnote>
  <w:footnote w:id="10">
    <w:p w14:paraId="3BDE5F83" w14:textId="5C767AD6" w:rsidR="003D14AC" w:rsidRPr="007E27C0" w:rsidRDefault="003D14AC" w:rsidP="003C7999">
      <w:pPr>
        <w:pStyle w:val="Bibliography"/>
        <w:spacing w:after="0" w:line="240" w:lineRule="auto"/>
        <w:ind w:left="720" w:hanging="720"/>
        <w:rPr>
          <w:rFonts w:ascii="Gill Sans MT" w:hAnsi="Gill Sans MT"/>
          <w:noProof/>
          <w:sz w:val="20"/>
          <w:szCs w:val="20"/>
        </w:rPr>
      </w:pPr>
      <w:r w:rsidRPr="007E27C0">
        <w:rPr>
          <w:rStyle w:val="FootnoteReference"/>
          <w:rFonts w:ascii="Gill Sans MT" w:hAnsi="Gill Sans MT"/>
          <w:sz w:val="20"/>
          <w:szCs w:val="20"/>
        </w:rPr>
        <w:footnoteRef/>
      </w:r>
      <w:r w:rsidRPr="007E27C0">
        <w:rPr>
          <w:rFonts w:ascii="Gill Sans MT" w:hAnsi="Gill Sans MT"/>
          <w:sz w:val="20"/>
          <w:szCs w:val="20"/>
        </w:rPr>
        <w:t xml:space="preserve"> </w:t>
      </w:r>
      <w:r w:rsidRPr="007E27C0">
        <w:rPr>
          <w:rFonts w:ascii="Gill Sans MT" w:hAnsi="Gill Sans MT"/>
          <w:noProof/>
          <w:sz w:val="20"/>
          <w:szCs w:val="20"/>
        </w:rPr>
        <w:t xml:space="preserve">Department of Commerce. (2015). </w:t>
      </w:r>
      <w:r w:rsidRPr="007E27C0">
        <w:rPr>
          <w:rFonts w:ascii="Gill Sans MT" w:hAnsi="Gill Sans MT"/>
          <w:i/>
          <w:iCs/>
          <w:noProof/>
          <w:sz w:val="20"/>
          <w:szCs w:val="20"/>
        </w:rPr>
        <w:t>BEARFacts.</w:t>
      </w:r>
      <w:r w:rsidRPr="007E27C0">
        <w:rPr>
          <w:rFonts w:ascii="Gill Sans MT" w:hAnsi="Gill Sans MT"/>
          <w:noProof/>
          <w:sz w:val="20"/>
          <w:szCs w:val="20"/>
        </w:rPr>
        <w:t xml:space="preserve"> Retrieved from Bureau of Economic Analysis: http://www.bea.gov/regional/bearfacts/action.cfm?geoType=3&amp;fips=24000&amp;areatype=24000</w:t>
      </w:r>
    </w:p>
  </w:footnote>
  <w:footnote w:id="11">
    <w:p w14:paraId="4771D669" w14:textId="77777777" w:rsidR="003D14AC" w:rsidRPr="007E27C0" w:rsidRDefault="003D14AC" w:rsidP="003C7999">
      <w:pPr>
        <w:pStyle w:val="Bibliography"/>
        <w:spacing w:after="0" w:line="240" w:lineRule="auto"/>
        <w:ind w:left="720" w:hanging="720"/>
        <w:rPr>
          <w:rFonts w:ascii="Gill Sans MT" w:hAnsi="Gill Sans MT"/>
          <w:noProof/>
          <w:sz w:val="20"/>
          <w:szCs w:val="20"/>
        </w:rPr>
      </w:pPr>
      <w:r w:rsidRPr="007E27C0">
        <w:rPr>
          <w:rStyle w:val="FootnoteReference"/>
          <w:rFonts w:ascii="Gill Sans MT" w:hAnsi="Gill Sans MT" w:cstheme="minorHAnsi"/>
          <w:sz w:val="20"/>
          <w:szCs w:val="20"/>
        </w:rPr>
        <w:footnoteRef/>
      </w:r>
      <w:r w:rsidRPr="007E27C0">
        <w:rPr>
          <w:rFonts w:ascii="Gill Sans MT" w:hAnsi="Gill Sans MT" w:cstheme="minorHAnsi"/>
          <w:sz w:val="20"/>
          <w:szCs w:val="20"/>
        </w:rPr>
        <w:t xml:space="preserve"> </w:t>
      </w:r>
      <w:r w:rsidRPr="007E27C0">
        <w:rPr>
          <w:rFonts w:ascii="Gill Sans MT" w:hAnsi="Gill Sans MT"/>
          <w:noProof/>
          <w:sz w:val="20"/>
          <w:szCs w:val="20"/>
        </w:rPr>
        <w:t xml:space="preserve">Maryland Department of Planning. (2015). </w:t>
      </w:r>
      <w:r w:rsidRPr="007E27C0">
        <w:rPr>
          <w:rFonts w:ascii="Gill Sans MT" w:hAnsi="Gill Sans MT"/>
          <w:i/>
          <w:iCs/>
          <w:noProof/>
          <w:sz w:val="20"/>
          <w:szCs w:val="20"/>
        </w:rPr>
        <w:t>Projection to 2040.</w:t>
      </w:r>
      <w:r w:rsidRPr="007E27C0">
        <w:rPr>
          <w:rFonts w:ascii="Gill Sans MT" w:hAnsi="Gill Sans MT"/>
          <w:noProof/>
          <w:sz w:val="20"/>
          <w:szCs w:val="20"/>
        </w:rPr>
        <w:t xml:space="preserve"> Retrieved from Maryland State Data Center : http://planning.maryland.gov/msdc/S3_Projection.shtml</w:t>
      </w:r>
    </w:p>
    <w:p w14:paraId="1346A127" w14:textId="3C5FEF73" w:rsidR="003D14AC" w:rsidRPr="007E27C0" w:rsidRDefault="003D14AC">
      <w:pPr>
        <w:pStyle w:val="FootnoteText"/>
        <w:rPr>
          <w:rFonts w:ascii="Gill Sans MT" w:hAnsi="Gill Sans MT" w:cstheme="minorHAnsi"/>
        </w:rPr>
      </w:pPr>
    </w:p>
  </w:footnote>
  <w:footnote w:id="12">
    <w:p w14:paraId="297BD12D" w14:textId="152A8F8A" w:rsidR="003D14AC" w:rsidRPr="007E27C0" w:rsidRDefault="003D14AC" w:rsidP="003C7999">
      <w:pPr>
        <w:pStyle w:val="Bibliography"/>
        <w:spacing w:after="0" w:line="240" w:lineRule="auto"/>
        <w:ind w:left="720" w:hanging="720"/>
        <w:rPr>
          <w:rFonts w:ascii="Gill Sans MT" w:hAnsi="Gill Sans MT" w:cstheme="minorHAnsi"/>
          <w:sz w:val="20"/>
          <w:szCs w:val="20"/>
        </w:rPr>
      </w:pPr>
      <w:r w:rsidRPr="007E27C0">
        <w:rPr>
          <w:rStyle w:val="FootnoteReference"/>
          <w:rFonts w:ascii="Gill Sans MT" w:hAnsi="Gill Sans MT" w:cstheme="minorHAnsi"/>
          <w:sz w:val="20"/>
          <w:szCs w:val="20"/>
        </w:rPr>
        <w:footnoteRef/>
      </w:r>
      <w:r w:rsidRPr="007E27C0">
        <w:rPr>
          <w:rFonts w:ascii="Gill Sans MT" w:hAnsi="Gill Sans MT" w:cstheme="minorHAnsi"/>
          <w:sz w:val="20"/>
          <w:szCs w:val="20"/>
        </w:rPr>
        <w:t xml:space="preserve"> </w:t>
      </w:r>
      <w:r w:rsidRPr="007E27C0">
        <w:rPr>
          <w:rFonts w:ascii="Gill Sans MT" w:hAnsi="Gill Sans MT"/>
          <w:noProof/>
          <w:sz w:val="20"/>
          <w:szCs w:val="20"/>
        </w:rPr>
        <w:t xml:space="preserve">Bureau of Labor Statistics. (2014). </w:t>
      </w:r>
      <w:r w:rsidRPr="007E27C0">
        <w:rPr>
          <w:rFonts w:ascii="Gill Sans MT" w:hAnsi="Gill Sans MT"/>
          <w:i/>
          <w:iCs/>
          <w:noProof/>
          <w:sz w:val="20"/>
          <w:szCs w:val="20"/>
        </w:rPr>
        <w:t>Occupational Employment Statistics.</w:t>
      </w:r>
      <w:r w:rsidRPr="007E27C0">
        <w:rPr>
          <w:rFonts w:ascii="Gill Sans MT" w:hAnsi="Gill Sans MT"/>
          <w:noProof/>
          <w:sz w:val="20"/>
          <w:szCs w:val="20"/>
        </w:rPr>
        <w:t xml:space="preserve"> Retrieved from BLS: http://data.bls.gov/oes/releasedate.do</w:t>
      </w:r>
    </w:p>
  </w:footnote>
  <w:footnote w:id="13">
    <w:p w14:paraId="6CE7A631" w14:textId="572233A3" w:rsidR="003D14AC" w:rsidRPr="007E27C0" w:rsidRDefault="003D14AC" w:rsidP="003C7999">
      <w:pPr>
        <w:pStyle w:val="Bibliography"/>
        <w:spacing w:after="0" w:line="240" w:lineRule="auto"/>
        <w:ind w:left="720" w:hanging="720"/>
        <w:rPr>
          <w:rFonts w:ascii="Gill Sans MT" w:hAnsi="Gill Sans MT" w:cstheme="minorHAnsi"/>
          <w:sz w:val="20"/>
          <w:szCs w:val="20"/>
        </w:rPr>
      </w:pPr>
      <w:r w:rsidRPr="007E27C0">
        <w:rPr>
          <w:rStyle w:val="FootnoteReference"/>
          <w:rFonts w:ascii="Gill Sans MT" w:hAnsi="Gill Sans MT" w:cstheme="minorHAnsi"/>
          <w:sz w:val="20"/>
          <w:szCs w:val="20"/>
        </w:rPr>
        <w:footnoteRef/>
      </w:r>
      <w:r w:rsidRPr="007E27C0">
        <w:rPr>
          <w:rFonts w:ascii="Gill Sans MT" w:hAnsi="Gill Sans MT" w:cstheme="minorHAnsi"/>
          <w:sz w:val="20"/>
          <w:szCs w:val="20"/>
        </w:rPr>
        <w:t xml:space="preserve"> </w:t>
      </w:r>
      <w:r w:rsidRPr="007E27C0">
        <w:rPr>
          <w:rFonts w:ascii="Gill Sans MT" w:hAnsi="Gill Sans MT"/>
          <w:noProof/>
          <w:sz w:val="20"/>
          <w:szCs w:val="20"/>
        </w:rPr>
        <w:t xml:space="preserve">MERIC. (2015). </w:t>
      </w:r>
      <w:r w:rsidRPr="007E27C0">
        <w:rPr>
          <w:rFonts w:ascii="Gill Sans MT" w:hAnsi="Gill Sans MT"/>
          <w:i/>
          <w:iCs/>
          <w:noProof/>
          <w:sz w:val="20"/>
          <w:szCs w:val="20"/>
        </w:rPr>
        <w:t>Cost of Living .</w:t>
      </w:r>
      <w:r w:rsidRPr="007E27C0">
        <w:rPr>
          <w:rFonts w:ascii="Gill Sans MT" w:hAnsi="Gill Sans MT"/>
          <w:noProof/>
          <w:sz w:val="20"/>
          <w:szCs w:val="20"/>
        </w:rPr>
        <w:t xml:space="preserve"> Retrieved from Economic Indicators: https://www.missourieconomy.org/indicators/index.stm</w:t>
      </w:r>
    </w:p>
  </w:footnote>
  <w:footnote w:id="14">
    <w:p w14:paraId="4DC531C8" w14:textId="5623E249" w:rsidR="003D14AC" w:rsidRPr="007E27C0" w:rsidRDefault="003D14AC" w:rsidP="003C7999">
      <w:pPr>
        <w:pStyle w:val="Bibliography"/>
        <w:spacing w:after="0" w:line="240" w:lineRule="auto"/>
        <w:ind w:left="720" w:hanging="720"/>
        <w:rPr>
          <w:rFonts w:ascii="Gill Sans MT" w:hAnsi="Gill Sans MT" w:cstheme="minorHAnsi"/>
          <w:sz w:val="20"/>
          <w:szCs w:val="20"/>
        </w:rPr>
      </w:pPr>
      <w:r w:rsidRPr="007E27C0">
        <w:rPr>
          <w:rStyle w:val="FootnoteReference"/>
          <w:rFonts w:ascii="Gill Sans MT" w:hAnsi="Gill Sans MT" w:cstheme="minorHAnsi"/>
          <w:sz w:val="20"/>
          <w:szCs w:val="20"/>
        </w:rPr>
        <w:footnoteRef/>
      </w:r>
      <w:r w:rsidRPr="007E27C0">
        <w:rPr>
          <w:rFonts w:ascii="Gill Sans MT" w:hAnsi="Gill Sans MT" w:cstheme="minorHAnsi"/>
          <w:sz w:val="20"/>
          <w:szCs w:val="20"/>
        </w:rPr>
        <w:t xml:space="preserve"> </w:t>
      </w:r>
      <w:r w:rsidRPr="007E27C0">
        <w:rPr>
          <w:rFonts w:ascii="Gill Sans MT" w:hAnsi="Gill Sans MT"/>
          <w:noProof/>
          <w:sz w:val="20"/>
          <w:szCs w:val="20"/>
        </w:rPr>
        <w:t xml:space="preserve">U.S. Census Bureau. (2015). </w:t>
      </w:r>
      <w:r w:rsidRPr="007E27C0">
        <w:rPr>
          <w:rFonts w:ascii="Gill Sans MT" w:hAnsi="Gill Sans MT"/>
          <w:i/>
          <w:iCs/>
          <w:noProof/>
          <w:sz w:val="20"/>
          <w:szCs w:val="20"/>
        </w:rPr>
        <w:t>Permits by State.</w:t>
      </w:r>
      <w:r w:rsidRPr="007E27C0">
        <w:rPr>
          <w:rFonts w:ascii="Gill Sans MT" w:hAnsi="Gill Sans MT"/>
          <w:noProof/>
          <w:sz w:val="20"/>
          <w:szCs w:val="20"/>
        </w:rPr>
        <w:t xml:space="preserve"> Retrieved from Census.gov: http://www.census.gov/construction/bps/</w:t>
      </w:r>
    </w:p>
  </w:footnote>
  <w:footnote w:id="15">
    <w:p w14:paraId="1278AEA5" w14:textId="71DA4FC1" w:rsidR="003D14AC" w:rsidRPr="003C7999" w:rsidRDefault="003D14AC" w:rsidP="003C7999">
      <w:pPr>
        <w:pStyle w:val="Bibliography"/>
        <w:spacing w:after="0" w:line="240" w:lineRule="auto"/>
        <w:ind w:left="720" w:hanging="720"/>
        <w:rPr>
          <w:noProof/>
          <w:sz w:val="20"/>
          <w:szCs w:val="20"/>
        </w:rPr>
      </w:pPr>
      <w:r w:rsidRPr="007E27C0">
        <w:rPr>
          <w:rStyle w:val="FootnoteReference"/>
          <w:rFonts w:ascii="Gill Sans MT" w:hAnsi="Gill Sans MT" w:cstheme="minorHAnsi"/>
          <w:sz w:val="20"/>
          <w:szCs w:val="20"/>
        </w:rPr>
        <w:footnoteRef/>
      </w:r>
      <w:r w:rsidRPr="007E27C0">
        <w:rPr>
          <w:rFonts w:ascii="Gill Sans MT" w:hAnsi="Gill Sans MT" w:cstheme="minorHAnsi"/>
          <w:sz w:val="20"/>
          <w:szCs w:val="20"/>
        </w:rPr>
        <w:t xml:space="preserve"> </w:t>
      </w:r>
      <w:r w:rsidRPr="007E27C0">
        <w:rPr>
          <w:rFonts w:ascii="Gill Sans MT" w:hAnsi="Gill Sans MT"/>
          <w:noProof/>
          <w:sz w:val="20"/>
          <w:szCs w:val="20"/>
        </w:rPr>
        <w:t xml:space="preserve">Department of Labor. (2015). </w:t>
      </w:r>
      <w:r w:rsidRPr="007E27C0">
        <w:rPr>
          <w:rFonts w:ascii="Gill Sans MT" w:hAnsi="Gill Sans MT"/>
          <w:i/>
          <w:iCs/>
          <w:noProof/>
          <w:sz w:val="20"/>
          <w:szCs w:val="20"/>
        </w:rPr>
        <w:t>BLS.</w:t>
      </w:r>
      <w:r w:rsidRPr="007E27C0">
        <w:rPr>
          <w:rFonts w:ascii="Gill Sans MT" w:hAnsi="Gill Sans MT"/>
          <w:noProof/>
          <w:sz w:val="20"/>
          <w:szCs w:val="20"/>
        </w:rPr>
        <w:t xml:space="preserve"> Retrieved from BLS.gov</w:t>
      </w:r>
    </w:p>
  </w:footnote>
  <w:footnote w:id="16">
    <w:p w14:paraId="62C0B7B2" w14:textId="48D642BC" w:rsidR="003D14AC" w:rsidRPr="007E27C0" w:rsidRDefault="003D14AC" w:rsidP="003C7999">
      <w:pPr>
        <w:pStyle w:val="Bibliography"/>
        <w:spacing w:after="0" w:line="240" w:lineRule="auto"/>
        <w:ind w:left="720" w:hanging="720"/>
        <w:rPr>
          <w:rFonts w:ascii="Gill Sans MT" w:hAnsi="Gill Sans MT"/>
          <w:noProof/>
          <w:sz w:val="20"/>
          <w:szCs w:val="20"/>
        </w:rPr>
      </w:pPr>
      <w:r w:rsidRPr="007E27C0">
        <w:rPr>
          <w:rStyle w:val="FootnoteReference"/>
          <w:rFonts w:ascii="Gill Sans MT" w:hAnsi="Gill Sans MT" w:cstheme="minorHAnsi"/>
          <w:sz w:val="20"/>
          <w:szCs w:val="20"/>
        </w:rPr>
        <w:footnoteRef/>
      </w:r>
      <w:r w:rsidRPr="007E27C0">
        <w:rPr>
          <w:rFonts w:ascii="Gill Sans MT" w:hAnsi="Gill Sans MT" w:cstheme="minorHAnsi"/>
          <w:sz w:val="20"/>
          <w:szCs w:val="20"/>
        </w:rPr>
        <w:t xml:space="preserve"> </w:t>
      </w:r>
      <w:r w:rsidRPr="007E27C0">
        <w:rPr>
          <w:rFonts w:ascii="Gill Sans MT" w:hAnsi="Gill Sans MT"/>
          <w:noProof/>
          <w:sz w:val="20"/>
          <w:szCs w:val="20"/>
        </w:rPr>
        <w:t xml:space="preserve">International Trade Administration. (2014). </w:t>
      </w:r>
      <w:r w:rsidRPr="007E27C0">
        <w:rPr>
          <w:rFonts w:ascii="Gill Sans MT" w:hAnsi="Gill Sans MT"/>
          <w:i/>
          <w:iCs/>
          <w:noProof/>
          <w:sz w:val="20"/>
          <w:szCs w:val="20"/>
        </w:rPr>
        <w:t>Exports, Jobs, and Foregin Investment.</w:t>
      </w:r>
      <w:r w:rsidRPr="007E27C0">
        <w:rPr>
          <w:rFonts w:ascii="Gill Sans MT" w:hAnsi="Gill Sans MT"/>
          <w:noProof/>
          <w:sz w:val="20"/>
          <w:szCs w:val="20"/>
        </w:rPr>
        <w:t xml:space="preserve"> Retrieved from International Trade Administration: http://www.trade.gov/mas/ian/statereports/tg_ian_001955.asp</w:t>
      </w:r>
    </w:p>
  </w:footnote>
  <w:footnote w:id="17">
    <w:p w14:paraId="71E01D53" w14:textId="2F691284" w:rsidR="003D14AC" w:rsidRPr="007E27C0" w:rsidRDefault="003D14AC">
      <w:pPr>
        <w:pStyle w:val="FootnoteText"/>
        <w:rPr>
          <w:rFonts w:ascii="Gill Sans MT" w:hAnsi="Gill Sans MT" w:cstheme="minorHAnsi"/>
          <w:i/>
        </w:rPr>
      </w:pPr>
      <w:r w:rsidRPr="007E27C0">
        <w:rPr>
          <w:rStyle w:val="FootnoteReference"/>
          <w:rFonts w:ascii="Gill Sans MT" w:hAnsi="Gill Sans MT" w:cstheme="minorHAnsi"/>
        </w:rPr>
        <w:footnoteRef/>
      </w:r>
      <w:r w:rsidRPr="007E27C0">
        <w:rPr>
          <w:rFonts w:ascii="Gill Sans MT" w:hAnsi="Gill Sans MT" w:cstheme="minorHAnsi"/>
        </w:rPr>
        <w:t xml:space="preserve"> </w:t>
      </w:r>
      <w:r w:rsidRPr="007E27C0">
        <w:rPr>
          <w:rFonts w:ascii="Gill Sans MT" w:hAnsi="Gill Sans MT" w:cstheme="minorHAnsi"/>
          <w:i/>
          <w:noProof/>
        </w:rPr>
        <w:t xml:space="preserve">Ibid. </w:t>
      </w:r>
    </w:p>
  </w:footnote>
  <w:footnote w:id="18">
    <w:p w14:paraId="66921D29" w14:textId="02F4F320" w:rsidR="003D14AC" w:rsidRPr="007E27C0" w:rsidRDefault="003D14AC" w:rsidP="00E62187">
      <w:pPr>
        <w:spacing w:after="0" w:line="240" w:lineRule="auto"/>
        <w:jc w:val="both"/>
        <w:rPr>
          <w:rFonts w:ascii="Gill Sans MT" w:hAnsi="Gill Sans MT" w:cstheme="minorHAnsi"/>
          <w:sz w:val="20"/>
          <w:szCs w:val="20"/>
        </w:rPr>
      </w:pPr>
      <w:r w:rsidRPr="007E27C0">
        <w:rPr>
          <w:rStyle w:val="FootnoteReference"/>
          <w:rFonts w:ascii="Gill Sans MT" w:hAnsi="Gill Sans MT" w:cstheme="minorHAnsi"/>
          <w:sz w:val="20"/>
          <w:szCs w:val="20"/>
        </w:rPr>
        <w:footnoteRef/>
      </w:r>
      <w:r w:rsidRPr="007E27C0">
        <w:rPr>
          <w:rFonts w:ascii="Gill Sans MT" w:hAnsi="Gill Sans MT" w:cstheme="minorHAnsi"/>
          <w:sz w:val="20"/>
          <w:szCs w:val="20"/>
        </w:rPr>
        <w:t xml:space="preserve"> </w:t>
      </w:r>
      <w:r w:rsidRPr="007E27C0">
        <w:rPr>
          <w:rFonts w:ascii="Gill Sans MT" w:hAnsi="Gill Sans MT" w:cstheme="minorHAnsi"/>
          <w:i/>
          <w:noProof/>
          <w:sz w:val="20"/>
          <w:szCs w:val="20"/>
        </w:rPr>
        <w:t xml:space="preserve">Ibid. </w:t>
      </w:r>
    </w:p>
  </w:footnote>
  <w:footnote w:id="19">
    <w:p w14:paraId="480FE467" w14:textId="23A93AD0" w:rsidR="003D14AC" w:rsidRPr="007E27C0" w:rsidRDefault="003D14AC" w:rsidP="003C7999">
      <w:pPr>
        <w:pStyle w:val="Bibliography"/>
        <w:spacing w:after="0" w:line="240" w:lineRule="auto"/>
        <w:ind w:left="720" w:hanging="720"/>
        <w:rPr>
          <w:rFonts w:ascii="Gill Sans MT" w:hAnsi="Gill Sans MT" w:cstheme="minorHAnsi"/>
          <w:sz w:val="20"/>
          <w:szCs w:val="20"/>
        </w:rPr>
      </w:pPr>
      <w:r w:rsidRPr="007E27C0">
        <w:rPr>
          <w:rStyle w:val="FootnoteReference"/>
          <w:rFonts w:ascii="Gill Sans MT" w:hAnsi="Gill Sans MT"/>
        </w:rPr>
        <w:footnoteRef/>
      </w:r>
      <w:r w:rsidRPr="007E27C0">
        <w:rPr>
          <w:rFonts w:ascii="Gill Sans MT" w:hAnsi="Gill Sans MT"/>
        </w:rPr>
        <w:t xml:space="preserve"> </w:t>
      </w:r>
      <w:r w:rsidRPr="007E27C0">
        <w:rPr>
          <w:rFonts w:ascii="Gill Sans MT" w:hAnsi="Gill Sans MT"/>
          <w:noProof/>
          <w:sz w:val="20"/>
          <w:szCs w:val="20"/>
        </w:rPr>
        <w:t xml:space="preserve">BLS. (2015). </w:t>
      </w:r>
      <w:r w:rsidRPr="007E27C0">
        <w:rPr>
          <w:rFonts w:ascii="Gill Sans MT" w:hAnsi="Gill Sans MT"/>
          <w:i/>
          <w:iCs/>
          <w:noProof/>
          <w:sz w:val="20"/>
          <w:szCs w:val="20"/>
        </w:rPr>
        <w:t>Current Employment Statistics</w:t>
      </w:r>
      <w:r w:rsidRPr="007E27C0">
        <w:rPr>
          <w:rFonts w:ascii="Gill Sans MT" w:hAnsi="Gill Sans MT"/>
          <w:noProof/>
          <w:sz w:val="20"/>
          <w:szCs w:val="20"/>
        </w:rPr>
        <w:t>. Retrieved from http://www.bls.gov/sae/</w:t>
      </w:r>
    </w:p>
  </w:footnote>
  <w:footnote w:id="20">
    <w:p w14:paraId="38E9ABEA" w14:textId="3233BA83" w:rsidR="003D14AC" w:rsidRPr="00BB471E" w:rsidRDefault="003D14AC">
      <w:pPr>
        <w:pStyle w:val="FootnoteText"/>
        <w:rPr>
          <w:rFonts w:cstheme="minorHAnsi"/>
        </w:rPr>
      </w:pPr>
      <w:r w:rsidRPr="007E27C0">
        <w:rPr>
          <w:rStyle w:val="FootnoteReference"/>
          <w:rFonts w:ascii="Gill Sans MT" w:hAnsi="Gill Sans MT" w:cstheme="minorHAnsi"/>
        </w:rPr>
        <w:footnoteRef/>
      </w:r>
      <w:r w:rsidRPr="007E27C0">
        <w:rPr>
          <w:rFonts w:ascii="Gill Sans MT" w:hAnsi="Gill Sans MT" w:cstheme="minorHAnsi"/>
        </w:rPr>
        <w:t xml:space="preserve"> </w:t>
      </w:r>
      <w:r w:rsidRPr="007E27C0">
        <w:rPr>
          <w:rFonts w:ascii="Gill Sans MT" w:hAnsi="Gill Sans MT" w:cstheme="minorHAnsi"/>
          <w:i/>
        </w:rPr>
        <w:t>Ibid.</w:t>
      </w:r>
      <w:r>
        <w:rPr>
          <w:rFonts w:cstheme="minorHAnsi"/>
        </w:rPr>
        <w:t xml:space="preserve"> </w:t>
      </w:r>
    </w:p>
  </w:footnote>
  <w:footnote w:id="21">
    <w:p w14:paraId="7621AA1F" w14:textId="62C3B5E0" w:rsidR="003D14AC" w:rsidRPr="00086D40" w:rsidRDefault="003D14AC">
      <w:pPr>
        <w:pStyle w:val="FootnoteText"/>
        <w:rPr>
          <w:rFonts w:ascii="Gill Sans MT" w:hAnsi="Gill Sans MT" w:cstheme="minorHAnsi"/>
        </w:rPr>
      </w:pPr>
      <w:r w:rsidRPr="00086D40">
        <w:rPr>
          <w:rStyle w:val="FootnoteReference"/>
          <w:rFonts w:ascii="Gill Sans MT" w:hAnsi="Gill Sans MT" w:cstheme="minorHAnsi"/>
        </w:rPr>
        <w:footnoteRef/>
      </w:r>
      <w:r w:rsidRPr="00086D40">
        <w:rPr>
          <w:rFonts w:ascii="Gill Sans MT" w:hAnsi="Gill Sans MT" w:cstheme="minorHAnsi"/>
        </w:rPr>
        <w:t xml:space="preserve"> Location Quotient = (e</w:t>
      </w:r>
      <w:r w:rsidRPr="00086D40">
        <w:rPr>
          <w:rFonts w:ascii="Gill Sans MT" w:hAnsi="Gill Sans MT" w:cstheme="minorHAnsi"/>
          <w:vertAlign w:val="subscript"/>
        </w:rPr>
        <w:t>i</w:t>
      </w:r>
      <w:r w:rsidRPr="00086D40">
        <w:rPr>
          <w:rFonts w:ascii="Gill Sans MT" w:hAnsi="Gill Sans MT" w:cstheme="minorHAnsi"/>
        </w:rPr>
        <w:t>/e)/(E</w:t>
      </w:r>
      <w:r w:rsidRPr="00086D40">
        <w:rPr>
          <w:rFonts w:ascii="Gill Sans MT" w:hAnsi="Gill Sans MT" w:cstheme="minorHAnsi"/>
          <w:vertAlign w:val="subscript"/>
        </w:rPr>
        <w:t>i</w:t>
      </w:r>
      <w:r w:rsidRPr="00086D40">
        <w:rPr>
          <w:rFonts w:ascii="Gill Sans MT" w:hAnsi="Gill Sans MT" w:cstheme="minorHAnsi"/>
        </w:rPr>
        <w:t>/E) where e</w:t>
      </w:r>
      <w:r w:rsidRPr="00086D40">
        <w:rPr>
          <w:rFonts w:ascii="Gill Sans MT" w:hAnsi="Gill Sans MT" w:cstheme="minorHAnsi"/>
          <w:vertAlign w:val="subscript"/>
        </w:rPr>
        <w:t xml:space="preserve">i </w:t>
      </w:r>
      <w:r w:rsidRPr="00086D40">
        <w:rPr>
          <w:rFonts w:ascii="Gill Sans MT" w:hAnsi="Gill Sans MT" w:cstheme="minorHAnsi"/>
        </w:rPr>
        <w:t>= state or county employment in industry “i” =, e= state or county employment, E</w:t>
      </w:r>
      <w:r w:rsidRPr="00086D40">
        <w:rPr>
          <w:rFonts w:ascii="Gill Sans MT" w:hAnsi="Gill Sans MT" w:cstheme="minorHAnsi"/>
          <w:vertAlign w:val="subscript"/>
        </w:rPr>
        <w:t>i</w:t>
      </w:r>
      <w:r w:rsidRPr="00086D40">
        <w:rPr>
          <w:rFonts w:ascii="Gill Sans MT" w:hAnsi="Gill Sans MT" w:cstheme="minorHAnsi"/>
        </w:rPr>
        <w:t xml:space="preserve"> = national employment in industry “i”, E = total national employment</w:t>
      </w:r>
    </w:p>
  </w:footnote>
  <w:footnote w:id="22">
    <w:p w14:paraId="0553040C" w14:textId="77777777" w:rsidR="003D14AC" w:rsidRPr="00B60621" w:rsidRDefault="003D14AC" w:rsidP="00C57BD1">
      <w:pPr>
        <w:pStyle w:val="FootnoteText"/>
        <w:rPr>
          <w:rFonts w:ascii="Gill Sans MT" w:hAnsi="Gill Sans MT"/>
        </w:rPr>
      </w:pPr>
      <w:r w:rsidRPr="00B60621">
        <w:rPr>
          <w:rStyle w:val="FootnoteReference"/>
          <w:rFonts w:ascii="Gill Sans MT" w:hAnsi="Gill Sans MT"/>
        </w:rPr>
        <w:footnoteRef/>
      </w:r>
      <w:r w:rsidRPr="00B60621">
        <w:rPr>
          <w:rFonts w:ascii="Gill Sans MT" w:hAnsi="Gill Sans MT"/>
        </w:rPr>
        <w:t xml:space="preserve"> Source: http://careers-in-business.com/gmskill.htm</w:t>
      </w:r>
    </w:p>
  </w:footnote>
  <w:footnote w:id="23">
    <w:p w14:paraId="5CCEEF57" w14:textId="77777777" w:rsidR="003D14AC" w:rsidRDefault="003D14AC" w:rsidP="00C57BD1">
      <w:pPr>
        <w:pStyle w:val="FootnoteText"/>
      </w:pPr>
      <w:r w:rsidRPr="00B60621">
        <w:rPr>
          <w:rStyle w:val="FootnoteReference"/>
          <w:rFonts w:ascii="Gill Sans MT" w:hAnsi="Gill Sans MT"/>
        </w:rPr>
        <w:footnoteRef/>
      </w:r>
      <w:r w:rsidRPr="00B60621">
        <w:rPr>
          <w:rFonts w:ascii="Gill Sans MT" w:hAnsi="Gill Sans MT"/>
        </w:rPr>
        <w:t xml:space="preserve"> Source: http://datausa.io/profile/soc/150000/#skills</w:t>
      </w:r>
    </w:p>
  </w:footnote>
  <w:footnote w:id="24">
    <w:p w14:paraId="09C0B22D" w14:textId="77777777" w:rsidR="003D14AC" w:rsidRPr="00B60621" w:rsidRDefault="003D14AC" w:rsidP="00C57BD1">
      <w:pPr>
        <w:pStyle w:val="FootnoteText"/>
        <w:rPr>
          <w:rFonts w:ascii="Gill Sans MT" w:hAnsi="Gill Sans MT"/>
        </w:rPr>
      </w:pPr>
      <w:r w:rsidRPr="00B60621">
        <w:rPr>
          <w:rStyle w:val="FootnoteReference"/>
          <w:rFonts w:ascii="Gill Sans MT" w:hAnsi="Gill Sans MT"/>
        </w:rPr>
        <w:footnoteRef/>
      </w:r>
      <w:r w:rsidRPr="00B60621">
        <w:rPr>
          <w:rFonts w:ascii="Gill Sans MT" w:hAnsi="Gill Sans MT"/>
        </w:rPr>
        <w:t xml:space="preserve"> Source: http://study.com/articles/Architectural_Engineers_Job_Description_and_Requirements_for_a_Career_in_Architectural_Engineering.html</w:t>
      </w:r>
    </w:p>
  </w:footnote>
  <w:footnote w:id="25">
    <w:p w14:paraId="77B300E9" w14:textId="1E2BAF82" w:rsidR="003D14AC" w:rsidRPr="00B60621" w:rsidRDefault="003D14AC" w:rsidP="003C7999">
      <w:pPr>
        <w:pStyle w:val="Bibliography"/>
        <w:spacing w:after="0" w:line="240" w:lineRule="auto"/>
        <w:ind w:left="720" w:hanging="720"/>
        <w:rPr>
          <w:rFonts w:ascii="Gill Sans MT" w:hAnsi="Gill Sans MT" w:cstheme="minorHAnsi"/>
          <w:sz w:val="20"/>
          <w:szCs w:val="20"/>
        </w:rPr>
      </w:pPr>
      <w:r w:rsidRPr="00B60621">
        <w:rPr>
          <w:rStyle w:val="FootnoteReference"/>
          <w:rFonts w:ascii="Gill Sans MT" w:hAnsi="Gill Sans MT" w:cstheme="minorHAnsi"/>
        </w:rPr>
        <w:footnoteRef/>
      </w:r>
      <w:r w:rsidRPr="00B60621">
        <w:rPr>
          <w:rFonts w:ascii="Gill Sans MT" w:hAnsi="Gill Sans MT" w:cstheme="minorHAnsi"/>
        </w:rPr>
        <w:t xml:space="preserve"> </w:t>
      </w:r>
      <w:r w:rsidRPr="00B60621">
        <w:rPr>
          <w:rFonts w:ascii="Gill Sans MT" w:hAnsi="Gill Sans MT"/>
          <w:noProof/>
          <w:sz w:val="20"/>
          <w:szCs w:val="20"/>
        </w:rPr>
        <w:t xml:space="preserve">Census. (2015). </w:t>
      </w:r>
      <w:r w:rsidRPr="00B60621">
        <w:rPr>
          <w:rFonts w:ascii="Gill Sans MT" w:hAnsi="Gill Sans MT"/>
          <w:i/>
          <w:iCs/>
          <w:noProof/>
          <w:sz w:val="20"/>
          <w:szCs w:val="20"/>
        </w:rPr>
        <w:t>American Fact Finder</w:t>
      </w:r>
      <w:r w:rsidRPr="00B60621">
        <w:rPr>
          <w:rFonts w:ascii="Gill Sans MT" w:hAnsi="Gill Sans MT"/>
          <w:noProof/>
          <w:sz w:val="20"/>
          <w:szCs w:val="20"/>
        </w:rPr>
        <w:t>. Retrieved from factfinder.census.gov/</w:t>
      </w:r>
    </w:p>
  </w:footnote>
  <w:footnote w:id="26">
    <w:p w14:paraId="7B96DB16" w14:textId="3E14BE25" w:rsidR="003D14AC" w:rsidRPr="00B60621" w:rsidRDefault="003D14AC" w:rsidP="003C7999">
      <w:pPr>
        <w:pStyle w:val="Bibliography"/>
        <w:spacing w:after="0" w:line="240" w:lineRule="auto"/>
        <w:ind w:left="720" w:hanging="720"/>
        <w:rPr>
          <w:rFonts w:ascii="Gill Sans MT" w:hAnsi="Gill Sans MT" w:cstheme="minorHAnsi"/>
          <w:sz w:val="20"/>
          <w:szCs w:val="20"/>
        </w:rPr>
      </w:pPr>
      <w:r w:rsidRPr="00B60621">
        <w:rPr>
          <w:rStyle w:val="FootnoteReference"/>
          <w:rFonts w:ascii="Gill Sans MT" w:hAnsi="Gill Sans MT" w:cstheme="minorHAnsi"/>
          <w:sz w:val="20"/>
          <w:szCs w:val="20"/>
        </w:rPr>
        <w:footnoteRef/>
      </w:r>
      <w:r w:rsidRPr="00B60621">
        <w:rPr>
          <w:rFonts w:ascii="Gill Sans MT" w:hAnsi="Gill Sans MT" w:cstheme="minorHAnsi"/>
          <w:sz w:val="20"/>
          <w:szCs w:val="20"/>
        </w:rPr>
        <w:t xml:space="preserve"> </w:t>
      </w:r>
      <w:r w:rsidRPr="00B60621">
        <w:rPr>
          <w:rFonts w:ascii="Gill Sans MT" w:hAnsi="Gill Sans MT"/>
          <w:noProof/>
          <w:sz w:val="20"/>
          <w:szCs w:val="20"/>
        </w:rPr>
        <w:t xml:space="preserve">Maryland Department of Planning. (2015). </w:t>
      </w:r>
      <w:r w:rsidRPr="00B60621">
        <w:rPr>
          <w:rFonts w:ascii="Gill Sans MT" w:hAnsi="Gill Sans MT"/>
          <w:i/>
          <w:iCs/>
          <w:noProof/>
          <w:sz w:val="20"/>
          <w:szCs w:val="20"/>
        </w:rPr>
        <w:t>Projection to 2040.</w:t>
      </w:r>
      <w:r w:rsidRPr="00B60621">
        <w:rPr>
          <w:rFonts w:ascii="Gill Sans MT" w:hAnsi="Gill Sans MT"/>
          <w:noProof/>
          <w:sz w:val="20"/>
          <w:szCs w:val="20"/>
        </w:rPr>
        <w:t xml:space="preserve"> Retrieved from Maryland State Data Center : http://planning.maryland.gov/msdc/S3_Projection.shtml</w:t>
      </w:r>
    </w:p>
  </w:footnote>
  <w:footnote w:id="27">
    <w:p w14:paraId="59810199" w14:textId="7B9B831A" w:rsidR="003D14AC" w:rsidRPr="00B60621" w:rsidRDefault="003D14AC">
      <w:pPr>
        <w:pStyle w:val="FootnoteText"/>
        <w:rPr>
          <w:rFonts w:ascii="Gill Sans MT" w:hAnsi="Gill Sans MT" w:cstheme="minorHAnsi"/>
        </w:rPr>
      </w:pPr>
      <w:r w:rsidRPr="00B60621">
        <w:rPr>
          <w:rStyle w:val="FootnoteReference"/>
          <w:rFonts w:ascii="Gill Sans MT" w:hAnsi="Gill Sans MT" w:cstheme="minorHAnsi"/>
        </w:rPr>
        <w:footnoteRef/>
      </w:r>
      <w:r w:rsidRPr="00B60621">
        <w:rPr>
          <w:rFonts w:ascii="Gill Sans MT" w:hAnsi="Gill Sans MT" w:cstheme="minorHAnsi"/>
        </w:rPr>
        <w:t xml:space="preserve"> </w:t>
      </w:r>
      <w:r w:rsidRPr="00B60621">
        <w:rPr>
          <w:rFonts w:ascii="Gill Sans MT" w:hAnsi="Gill Sans MT" w:cstheme="minorHAnsi"/>
          <w:i/>
        </w:rPr>
        <w:t xml:space="preserve">Ibid. </w:t>
      </w:r>
    </w:p>
  </w:footnote>
  <w:footnote w:id="28">
    <w:p w14:paraId="2A796EAA" w14:textId="03D0D68B" w:rsidR="003D14AC" w:rsidRPr="00B60621" w:rsidRDefault="003D14AC" w:rsidP="003C7999">
      <w:pPr>
        <w:pStyle w:val="Bibliography"/>
        <w:spacing w:after="0" w:line="240" w:lineRule="auto"/>
        <w:ind w:left="720" w:hanging="720"/>
        <w:rPr>
          <w:rFonts w:ascii="Gill Sans MT" w:hAnsi="Gill Sans MT"/>
          <w:noProof/>
          <w:sz w:val="20"/>
          <w:szCs w:val="20"/>
        </w:rPr>
      </w:pPr>
      <w:r w:rsidRPr="00B60621">
        <w:rPr>
          <w:rStyle w:val="FootnoteReference"/>
          <w:rFonts w:ascii="Gill Sans MT" w:hAnsi="Gill Sans MT" w:cstheme="minorHAnsi"/>
          <w:sz w:val="20"/>
          <w:szCs w:val="20"/>
        </w:rPr>
        <w:footnoteRef/>
      </w:r>
      <w:r w:rsidRPr="00B60621">
        <w:rPr>
          <w:rFonts w:ascii="Gill Sans MT" w:hAnsi="Gill Sans MT" w:cstheme="minorHAnsi"/>
          <w:sz w:val="20"/>
          <w:szCs w:val="20"/>
        </w:rPr>
        <w:t xml:space="preserve"> </w:t>
      </w:r>
      <w:r w:rsidRPr="00B60621">
        <w:rPr>
          <w:rFonts w:ascii="Gill Sans MT" w:hAnsi="Gill Sans MT"/>
          <w:noProof/>
          <w:sz w:val="20"/>
          <w:szCs w:val="20"/>
        </w:rPr>
        <w:t xml:space="preserve">StatsAmerica. (2015). </w:t>
      </w:r>
      <w:r w:rsidRPr="00B60621">
        <w:rPr>
          <w:rFonts w:ascii="Gill Sans MT" w:hAnsi="Gill Sans MT"/>
          <w:i/>
          <w:iCs/>
          <w:noProof/>
          <w:sz w:val="20"/>
          <w:szCs w:val="20"/>
        </w:rPr>
        <w:t>States in Profile.</w:t>
      </w:r>
      <w:r w:rsidRPr="00B60621">
        <w:rPr>
          <w:rFonts w:ascii="Gill Sans MT" w:hAnsi="Gill Sans MT"/>
          <w:noProof/>
          <w:sz w:val="20"/>
          <w:szCs w:val="20"/>
        </w:rPr>
        <w:t xml:space="preserve"> Retrieved from StatsAmerica: http://www.statsamerica.org/sip/Default.aspx?ct=S24</w:t>
      </w:r>
    </w:p>
  </w:footnote>
  <w:footnote w:id="29">
    <w:p w14:paraId="215C82F7" w14:textId="47C4CE9A" w:rsidR="003D14AC" w:rsidRPr="00B60621" w:rsidRDefault="003D14AC">
      <w:pPr>
        <w:pStyle w:val="FootnoteText"/>
        <w:rPr>
          <w:rFonts w:ascii="Gill Sans MT" w:hAnsi="Gill Sans MT" w:cstheme="minorHAnsi"/>
        </w:rPr>
      </w:pPr>
      <w:r w:rsidRPr="00B60621">
        <w:rPr>
          <w:rStyle w:val="FootnoteReference"/>
          <w:rFonts w:ascii="Gill Sans MT" w:hAnsi="Gill Sans MT" w:cstheme="minorHAnsi"/>
        </w:rPr>
        <w:footnoteRef/>
      </w:r>
      <w:r w:rsidRPr="00B60621">
        <w:rPr>
          <w:rFonts w:ascii="Gill Sans MT" w:hAnsi="Gill Sans MT" w:cstheme="minorHAnsi"/>
        </w:rPr>
        <w:t xml:space="preserve"> </w:t>
      </w:r>
      <w:r w:rsidRPr="00B60621">
        <w:rPr>
          <w:rFonts w:ascii="Gill Sans MT" w:hAnsi="Gill Sans MT" w:cstheme="minorHAnsi"/>
          <w:i/>
        </w:rPr>
        <w:t xml:space="preserve">Ibid. </w:t>
      </w:r>
    </w:p>
  </w:footnote>
  <w:footnote w:id="30">
    <w:p w14:paraId="0A81274A" w14:textId="7F5FBDF4" w:rsidR="003D14AC" w:rsidRPr="00C915AD" w:rsidRDefault="003D14AC">
      <w:pPr>
        <w:pStyle w:val="FootnoteText"/>
        <w:rPr>
          <w:rFonts w:cstheme="minorHAnsi"/>
        </w:rPr>
      </w:pPr>
      <w:r w:rsidRPr="00B60621">
        <w:rPr>
          <w:rStyle w:val="FootnoteReference"/>
          <w:rFonts w:ascii="Gill Sans MT" w:hAnsi="Gill Sans MT" w:cstheme="minorHAnsi"/>
        </w:rPr>
        <w:footnoteRef/>
      </w:r>
      <w:r w:rsidRPr="00B60621">
        <w:rPr>
          <w:rFonts w:ascii="Gill Sans MT" w:hAnsi="Gill Sans MT" w:cstheme="minorHAnsi"/>
        </w:rPr>
        <w:t xml:space="preserve"> LEHD, 2013</w:t>
      </w:r>
    </w:p>
  </w:footnote>
  <w:footnote w:id="31">
    <w:p w14:paraId="52DE9BD2" w14:textId="5697A90C" w:rsidR="003D14AC" w:rsidRPr="00B60621" w:rsidRDefault="003D14AC" w:rsidP="003C7999">
      <w:pPr>
        <w:pStyle w:val="Bibliography"/>
        <w:spacing w:after="0" w:line="240" w:lineRule="auto"/>
        <w:ind w:left="720" w:hanging="720"/>
        <w:rPr>
          <w:rFonts w:ascii="Gill Sans MT" w:hAnsi="Gill Sans MT"/>
          <w:noProof/>
          <w:sz w:val="20"/>
          <w:szCs w:val="20"/>
        </w:rPr>
      </w:pPr>
      <w:r w:rsidRPr="00B60621">
        <w:rPr>
          <w:rStyle w:val="FootnoteReference"/>
          <w:rFonts w:ascii="Gill Sans MT" w:hAnsi="Gill Sans MT" w:cstheme="minorHAnsi"/>
        </w:rPr>
        <w:footnoteRef/>
      </w:r>
      <w:r w:rsidRPr="00B60621">
        <w:rPr>
          <w:rFonts w:ascii="Gill Sans MT" w:hAnsi="Gill Sans MT" w:cstheme="minorHAnsi"/>
        </w:rPr>
        <w:t xml:space="preserve"> </w:t>
      </w:r>
      <w:r w:rsidRPr="00B60621">
        <w:rPr>
          <w:rFonts w:ascii="Gill Sans MT" w:hAnsi="Gill Sans MT"/>
          <w:noProof/>
          <w:sz w:val="20"/>
          <w:szCs w:val="20"/>
        </w:rPr>
        <w:t xml:space="preserve">BLS. (2015). </w:t>
      </w:r>
      <w:r w:rsidRPr="00B60621">
        <w:rPr>
          <w:rFonts w:ascii="Gill Sans MT" w:hAnsi="Gill Sans MT"/>
          <w:i/>
          <w:iCs/>
          <w:noProof/>
          <w:sz w:val="20"/>
          <w:szCs w:val="20"/>
        </w:rPr>
        <w:t>Current Employment Statistics</w:t>
      </w:r>
      <w:r w:rsidRPr="00B60621">
        <w:rPr>
          <w:rFonts w:ascii="Gill Sans MT" w:hAnsi="Gill Sans MT"/>
          <w:noProof/>
          <w:sz w:val="20"/>
          <w:szCs w:val="20"/>
        </w:rPr>
        <w:t>. Retrieved from http://www.bls.gov/sae/</w:t>
      </w:r>
    </w:p>
  </w:footnote>
  <w:footnote w:id="32">
    <w:p w14:paraId="5819DF61" w14:textId="532FEBBE" w:rsidR="003D14AC" w:rsidRPr="00B60621" w:rsidRDefault="003D14AC" w:rsidP="003C7999">
      <w:pPr>
        <w:pStyle w:val="Bibliography"/>
        <w:spacing w:after="0" w:line="240" w:lineRule="auto"/>
        <w:ind w:left="720" w:hanging="720"/>
        <w:rPr>
          <w:rFonts w:ascii="Gill Sans MT" w:hAnsi="Gill Sans MT" w:cstheme="minorHAnsi"/>
        </w:rPr>
      </w:pPr>
      <w:r w:rsidRPr="00B60621">
        <w:rPr>
          <w:rStyle w:val="FootnoteReference"/>
          <w:rFonts w:ascii="Gill Sans MT" w:hAnsi="Gill Sans MT" w:cstheme="minorHAnsi"/>
        </w:rPr>
        <w:footnoteRef/>
      </w:r>
      <w:r w:rsidRPr="00B60621">
        <w:rPr>
          <w:rFonts w:ascii="Gill Sans MT" w:hAnsi="Gill Sans MT" w:cstheme="minorHAnsi"/>
        </w:rPr>
        <w:t xml:space="preserve"> </w:t>
      </w:r>
      <w:r w:rsidRPr="00B60621">
        <w:rPr>
          <w:rFonts w:ascii="Gill Sans MT" w:hAnsi="Gill Sans MT"/>
          <w:noProof/>
          <w:sz w:val="20"/>
          <w:szCs w:val="20"/>
        </w:rPr>
        <w:t xml:space="preserve">Census. (2015). </w:t>
      </w:r>
      <w:r w:rsidRPr="00B60621">
        <w:rPr>
          <w:rFonts w:ascii="Gill Sans MT" w:hAnsi="Gill Sans MT"/>
          <w:i/>
          <w:iCs/>
          <w:noProof/>
          <w:sz w:val="20"/>
          <w:szCs w:val="20"/>
        </w:rPr>
        <w:t>American Fact Finder</w:t>
      </w:r>
      <w:r w:rsidRPr="00B60621">
        <w:rPr>
          <w:rFonts w:ascii="Gill Sans MT" w:hAnsi="Gill Sans MT"/>
          <w:noProof/>
          <w:sz w:val="20"/>
          <w:szCs w:val="20"/>
        </w:rPr>
        <w:t>. Retrieved from factfinder.census.gov/</w:t>
      </w:r>
    </w:p>
  </w:footnote>
  <w:footnote w:id="33">
    <w:p w14:paraId="2538165B" w14:textId="21F9B745" w:rsidR="003D14AC" w:rsidRPr="00B60621" w:rsidRDefault="003D14AC">
      <w:pPr>
        <w:pStyle w:val="FootnoteText"/>
        <w:rPr>
          <w:rFonts w:ascii="Gill Sans MT" w:hAnsi="Gill Sans MT" w:cstheme="minorHAnsi"/>
        </w:rPr>
      </w:pPr>
      <w:r w:rsidRPr="00B60621">
        <w:rPr>
          <w:rStyle w:val="FootnoteReference"/>
          <w:rFonts w:ascii="Gill Sans MT" w:hAnsi="Gill Sans MT" w:cstheme="minorHAnsi"/>
        </w:rPr>
        <w:footnoteRef/>
      </w:r>
      <w:r w:rsidRPr="00B60621">
        <w:rPr>
          <w:rFonts w:ascii="Gill Sans MT" w:hAnsi="Gill Sans MT" w:cstheme="minorHAnsi"/>
        </w:rPr>
        <w:t xml:space="preserve"> </w:t>
      </w:r>
      <w:r w:rsidRPr="00B60621">
        <w:rPr>
          <w:rFonts w:ascii="Gill Sans MT" w:hAnsi="Gill Sans MT" w:cstheme="minorHAnsi"/>
          <w:i/>
          <w:noProof/>
        </w:rPr>
        <w:t xml:space="preserve">Ibid. </w:t>
      </w:r>
    </w:p>
  </w:footnote>
  <w:footnote w:id="34">
    <w:p w14:paraId="20D0A5FE" w14:textId="61DF6A8F" w:rsidR="003D14AC" w:rsidRPr="00B60621" w:rsidRDefault="003D14AC">
      <w:pPr>
        <w:pStyle w:val="FootnoteText"/>
        <w:rPr>
          <w:rFonts w:ascii="Gill Sans MT" w:hAnsi="Gill Sans MT" w:cstheme="minorHAnsi"/>
        </w:rPr>
      </w:pPr>
      <w:r w:rsidRPr="00B60621">
        <w:rPr>
          <w:rStyle w:val="FootnoteReference"/>
          <w:rFonts w:ascii="Gill Sans MT" w:hAnsi="Gill Sans MT" w:cstheme="minorHAnsi"/>
        </w:rPr>
        <w:footnoteRef/>
      </w:r>
      <w:r w:rsidRPr="00B60621">
        <w:rPr>
          <w:rFonts w:ascii="Gill Sans MT" w:hAnsi="Gill Sans MT" w:cstheme="minorHAnsi"/>
        </w:rPr>
        <w:t xml:space="preserve"> </w:t>
      </w:r>
      <w:r w:rsidRPr="00B60621">
        <w:rPr>
          <w:rFonts w:ascii="Gill Sans MT" w:hAnsi="Gill Sans MT" w:cstheme="minorHAnsi"/>
          <w:i/>
          <w:noProof/>
        </w:rPr>
        <w:t xml:space="preserve">Ibid. </w:t>
      </w:r>
    </w:p>
  </w:footnote>
  <w:footnote w:id="35">
    <w:p w14:paraId="627F21E5" w14:textId="1A863204" w:rsidR="003D14AC" w:rsidRPr="003C7999" w:rsidRDefault="003D14AC">
      <w:pPr>
        <w:pStyle w:val="FootnoteText"/>
        <w:rPr>
          <w:rFonts w:cstheme="minorHAnsi"/>
          <w:i/>
        </w:rPr>
      </w:pPr>
      <w:r w:rsidRPr="00B60621">
        <w:rPr>
          <w:rStyle w:val="FootnoteReference"/>
          <w:rFonts w:ascii="Gill Sans MT" w:hAnsi="Gill Sans MT" w:cstheme="minorHAnsi"/>
        </w:rPr>
        <w:footnoteRef/>
      </w:r>
      <w:r w:rsidRPr="00B60621">
        <w:rPr>
          <w:rFonts w:ascii="Gill Sans MT" w:hAnsi="Gill Sans MT" w:cstheme="minorHAnsi"/>
        </w:rPr>
        <w:t xml:space="preserve"> </w:t>
      </w:r>
      <w:r w:rsidRPr="00B60621">
        <w:rPr>
          <w:rFonts w:ascii="Gill Sans MT" w:hAnsi="Gill Sans MT" w:cstheme="minorHAnsi"/>
          <w:i/>
          <w:noProof/>
        </w:rPr>
        <w:t>Ibid.</w:t>
      </w:r>
      <w:r>
        <w:rPr>
          <w:rFonts w:cstheme="minorHAnsi"/>
          <w:i/>
          <w:noProof/>
        </w:rPr>
        <w:t xml:space="preserve"> </w:t>
      </w:r>
    </w:p>
  </w:footnote>
  <w:footnote w:id="36">
    <w:p w14:paraId="23E9A18A" w14:textId="514BF7F0" w:rsidR="003D14AC" w:rsidRPr="00B60621" w:rsidRDefault="003D14AC">
      <w:pPr>
        <w:pStyle w:val="FootnoteText"/>
        <w:rPr>
          <w:rFonts w:ascii="Gill Sans MT" w:hAnsi="Gill Sans MT" w:cstheme="minorHAnsi"/>
        </w:rPr>
      </w:pPr>
      <w:r w:rsidRPr="00B60621">
        <w:rPr>
          <w:rStyle w:val="FootnoteReference"/>
          <w:rFonts w:ascii="Gill Sans MT" w:hAnsi="Gill Sans MT" w:cstheme="minorHAnsi"/>
        </w:rPr>
        <w:footnoteRef/>
      </w:r>
      <w:r w:rsidRPr="00B60621">
        <w:rPr>
          <w:rFonts w:ascii="Gill Sans MT" w:hAnsi="Gill Sans MT" w:cstheme="minorHAnsi"/>
        </w:rPr>
        <w:t xml:space="preserve"> DLLR, 2014</w:t>
      </w:r>
    </w:p>
  </w:footnote>
  <w:footnote w:id="37">
    <w:p w14:paraId="4D3402F3" w14:textId="4C77D280" w:rsidR="003D14AC" w:rsidRPr="00B60621" w:rsidRDefault="003D14AC">
      <w:pPr>
        <w:pStyle w:val="FootnoteText"/>
        <w:rPr>
          <w:rFonts w:ascii="Gill Sans MT" w:hAnsi="Gill Sans MT"/>
        </w:rPr>
      </w:pPr>
      <w:r w:rsidRPr="00B60621">
        <w:rPr>
          <w:rStyle w:val="FootnoteReference"/>
          <w:rFonts w:ascii="Gill Sans MT" w:hAnsi="Gill Sans MT" w:cstheme="minorHAnsi"/>
        </w:rPr>
        <w:footnoteRef/>
      </w:r>
      <w:r w:rsidRPr="00B60621">
        <w:rPr>
          <w:rFonts w:ascii="Gill Sans MT" w:hAnsi="Gill Sans MT" w:cstheme="minorHAnsi"/>
        </w:rPr>
        <w:t xml:space="preserve"> </w:t>
      </w:r>
      <w:r w:rsidRPr="00B60621">
        <w:rPr>
          <w:rFonts w:ascii="Gill Sans MT" w:hAnsi="Gill Sans MT" w:cstheme="minorHAnsi"/>
          <w:color w:val="252525"/>
          <w:shd w:val="clear" w:color="auto" w:fill="FFFFFF"/>
        </w:rPr>
        <w:t> </w:t>
      </w:r>
      <w:r w:rsidRPr="00B60621">
        <w:rPr>
          <w:rFonts w:ascii="Gill Sans MT" w:hAnsi="Gill Sans MT" w:cstheme="minorHAnsi"/>
          <w:b/>
          <w:bCs/>
          <w:color w:val="252525"/>
          <w:shd w:val="clear" w:color="auto" w:fill="FFFFFF"/>
        </w:rPr>
        <w:t>IM</w:t>
      </w:r>
      <w:r w:rsidRPr="00B60621">
        <w:rPr>
          <w:rFonts w:ascii="Gill Sans MT" w:hAnsi="Gill Sans MT" w:cstheme="minorHAnsi"/>
          <w:color w:val="252525"/>
          <w:shd w:val="clear" w:color="auto" w:fill="FFFFFF"/>
        </w:rPr>
        <w:t>pact analysis for </w:t>
      </w:r>
      <w:r w:rsidRPr="00B60621">
        <w:rPr>
          <w:rFonts w:ascii="Gill Sans MT" w:hAnsi="Gill Sans MT" w:cstheme="minorHAnsi"/>
          <w:b/>
          <w:bCs/>
          <w:color w:val="252525"/>
          <w:shd w:val="clear" w:color="auto" w:fill="FFFFFF"/>
        </w:rPr>
        <w:t>PLAN</w:t>
      </w:r>
      <w:r w:rsidRPr="00B60621">
        <w:rPr>
          <w:rFonts w:ascii="Gill Sans MT" w:hAnsi="Gill Sans MT" w:cstheme="minorHAnsi"/>
          <w:color w:val="252525"/>
          <w:shd w:val="clear" w:color="auto" w:fill="FFFFFF"/>
        </w:rPr>
        <w:t>ning</w:t>
      </w:r>
    </w:p>
  </w:footnote>
  <w:footnote w:id="38">
    <w:p w14:paraId="3D32B6EF" w14:textId="01F9F77E" w:rsidR="003D14AC" w:rsidRPr="00D02BCE" w:rsidRDefault="003D14AC">
      <w:pPr>
        <w:pStyle w:val="FootnoteText"/>
        <w:rPr>
          <w:rFonts w:ascii="Gill Sans MT" w:hAnsi="Gill Sans MT"/>
        </w:rPr>
      </w:pPr>
      <w:r w:rsidRPr="00D02BCE">
        <w:rPr>
          <w:rStyle w:val="FootnoteReference"/>
          <w:rFonts w:ascii="Gill Sans MT" w:hAnsi="Gill Sans MT"/>
        </w:rPr>
        <w:footnoteRef/>
      </w:r>
      <w:r w:rsidRPr="00D02BCE">
        <w:rPr>
          <w:rFonts w:ascii="Gill Sans MT" w:hAnsi="Gill Sans MT"/>
        </w:rPr>
        <w:t xml:space="preserve"> </w:t>
      </w:r>
      <w:r w:rsidRPr="00D02BCE">
        <w:rPr>
          <w:rFonts w:ascii="Gill Sans MT" w:hAnsi="Gill Sans MT" w:cs="Times New Roman"/>
        </w:rPr>
        <w:t xml:space="preserve">Maryland is currently evaluating pay-for-performance as a way to address workforce needs. The State is interested in completing a feasibility study regarding pay-for-performance workforce solutions.  </w:t>
      </w:r>
    </w:p>
  </w:footnote>
  <w:footnote w:id="39">
    <w:p w14:paraId="6B10DD20" w14:textId="77777777" w:rsidR="003D14AC" w:rsidRPr="00E64564" w:rsidRDefault="003D14AC" w:rsidP="00986716">
      <w:pPr>
        <w:pStyle w:val="FootnoteText"/>
        <w:rPr>
          <w:rFonts w:ascii="Gill Sans MT" w:hAnsi="Gill Sans MT"/>
        </w:rPr>
      </w:pPr>
      <w:r w:rsidRPr="00E64564">
        <w:rPr>
          <w:rStyle w:val="FootnoteReference"/>
          <w:rFonts w:ascii="Gill Sans MT" w:hAnsi="Gill Sans MT"/>
          <w:sz w:val="18"/>
          <w:szCs w:val="18"/>
        </w:rPr>
        <w:footnoteRef/>
      </w:r>
      <w:r w:rsidRPr="00E64564">
        <w:rPr>
          <w:rFonts w:ascii="Gill Sans MT" w:hAnsi="Gill Sans MT"/>
          <w:sz w:val="18"/>
          <w:szCs w:val="18"/>
        </w:rPr>
        <w:t xml:space="preserve"> Recommended goals for youth with disabilities can be found at: http://www.ncwd-youth.info/guideposts</w:t>
      </w:r>
      <w:r w:rsidRPr="00E64564">
        <w:rPr>
          <w:rFonts w:ascii="Gill Sans MT" w:hAnsi="Gill Sans MT"/>
        </w:rPr>
        <w:t xml:space="preserve">.   </w:t>
      </w:r>
    </w:p>
  </w:footnote>
  <w:footnote w:id="40">
    <w:p w14:paraId="00FFF85C" w14:textId="77777777" w:rsidR="003D14AC" w:rsidRPr="007E6A81" w:rsidRDefault="003D14AC" w:rsidP="00986716">
      <w:pPr>
        <w:pStyle w:val="FootnoteText"/>
        <w:rPr>
          <w:sz w:val="18"/>
          <w:szCs w:val="18"/>
        </w:rPr>
      </w:pPr>
      <w:r w:rsidRPr="00E64564">
        <w:rPr>
          <w:rStyle w:val="FootnoteReference"/>
          <w:rFonts w:ascii="Gill Sans MT" w:hAnsi="Gill Sans MT"/>
          <w:sz w:val="18"/>
          <w:szCs w:val="18"/>
        </w:rPr>
        <w:footnoteRef/>
      </w:r>
      <w:r w:rsidRPr="00E64564">
        <w:rPr>
          <w:rFonts w:ascii="Gill Sans MT" w:hAnsi="Gill Sans MT"/>
          <w:sz w:val="18"/>
          <w:szCs w:val="18"/>
        </w:rPr>
        <w:t xml:space="preserve"> WIOA defines “Non-Traditional Employment” as occupations or fields of work, for which individuals from the gender involved comprise less than 25 percent of the individuals employed in each such occupation or field of work.</w:t>
      </w:r>
    </w:p>
  </w:footnote>
  <w:footnote w:id="41">
    <w:p w14:paraId="50B2F00E" w14:textId="2AD50DE5" w:rsidR="003D14AC" w:rsidRPr="00535D82" w:rsidRDefault="003D14AC">
      <w:pPr>
        <w:pStyle w:val="FootnoteText"/>
        <w:rPr>
          <w:rFonts w:ascii="Gill Sans MT" w:hAnsi="Gill Sans MT"/>
        </w:rPr>
      </w:pPr>
      <w:r w:rsidRPr="00535D82">
        <w:rPr>
          <w:rStyle w:val="FootnoteReference"/>
          <w:rFonts w:ascii="Gill Sans MT" w:hAnsi="Gill Sans MT"/>
        </w:rPr>
        <w:footnoteRef/>
      </w:r>
      <w:r w:rsidRPr="00535D82">
        <w:rPr>
          <w:rFonts w:ascii="Gill Sans MT" w:hAnsi="Gill Sans MT"/>
        </w:rPr>
        <w:t xml:space="preserve"> </w:t>
      </w:r>
      <w:hyperlink r:id="rId1" w:history="1">
        <w:r w:rsidRPr="00535D82">
          <w:rPr>
            <w:rStyle w:val="Hyperlink"/>
            <w:rFonts w:ascii="Gill Sans MT" w:hAnsi="Gill Sans MT" w:cs="Times New Roman"/>
          </w:rPr>
          <w:t>http://www.nass.usda.gov/Quick_Stats/Ag_Overview/stateOverview.php?state=MARYLAND</w:t>
        </w:r>
      </w:hyperlink>
    </w:p>
  </w:footnote>
  <w:footnote w:id="42">
    <w:p w14:paraId="39BE4972" w14:textId="37DB0821" w:rsidR="003D14AC" w:rsidRPr="004A0C12" w:rsidRDefault="003D14AC">
      <w:pPr>
        <w:pStyle w:val="FootnoteText"/>
        <w:rPr>
          <w:i/>
          <w:lang w:val="es-MX"/>
        </w:rPr>
      </w:pPr>
      <w:r w:rsidRPr="00535D82">
        <w:rPr>
          <w:rStyle w:val="FootnoteReference"/>
          <w:rFonts w:ascii="Gill Sans MT" w:hAnsi="Gill Sans MT"/>
        </w:rPr>
        <w:footnoteRef/>
      </w:r>
      <w:r w:rsidRPr="00535D82">
        <w:rPr>
          <w:rFonts w:ascii="Gill Sans MT" w:hAnsi="Gill Sans MT"/>
          <w:lang w:val="es-MX"/>
        </w:rPr>
        <w:t xml:space="preserve"> </w:t>
      </w:r>
      <w:r w:rsidRPr="00535D82">
        <w:rPr>
          <w:rFonts w:ascii="Gill Sans MT" w:hAnsi="Gill Sans MT"/>
          <w:i/>
          <w:lang w:val="es-MX"/>
        </w:rPr>
        <w:t>Ibid.</w:t>
      </w:r>
      <w:r w:rsidRPr="004A0C12">
        <w:rPr>
          <w:i/>
          <w:lang w:val="es-MX"/>
        </w:rPr>
        <w:t xml:space="preserve"> </w:t>
      </w:r>
    </w:p>
  </w:footnote>
  <w:footnote w:id="43">
    <w:p w14:paraId="5E806200" w14:textId="73769B13" w:rsidR="003D14AC" w:rsidRPr="00535D82" w:rsidRDefault="003D14AC" w:rsidP="00C50A03">
      <w:pPr>
        <w:pStyle w:val="NoSpacing"/>
        <w:rPr>
          <w:rFonts w:ascii="Gill Sans MT" w:hAnsi="Gill Sans MT" w:cs="Times New Roman"/>
          <w:sz w:val="20"/>
          <w:szCs w:val="20"/>
          <w:lang w:val="es-MX"/>
        </w:rPr>
      </w:pPr>
      <w:r w:rsidRPr="00535D82">
        <w:rPr>
          <w:rStyle w:val="FootnoteReference"/>
          <w:rFonts w:ascii="Gill Sans MT" w:hAnsi="Gill Sans MT"/>
          <w:sz w:val="20"/>
          <w:szCs w:val="20"/>
        </w:rPr>
        <w:footnoteRef/>
      </w:r>
      <w:r w:rsidR="00943AA8">
        <w:fldChar w:fldCharType="begin"/>
      </w:r>
      <w:r w:rsidR="00943AA8" w:rsidRPr="00943AA8">
        <w:rPr>
          <w:lang w:val="es-MX"/>
        </w:rPr>
        <w:instrText xml:space="preserve"> HYPERLINK "http://www.agcensus.usda.gov/Publications/2012/Full_Report/Volume_1,_Chapter_1_Sta</w:instrText>
      </w:r>
      <w:r w:rsidR="00943AA8" w:rsidRPr="00943AA8">
        <w:rPr>
          <w:lang w:val="es-MX"/>
        </w:rPr>
        <w:instrText xml:space="preserve">te_Level/Maryland/st24_1_051_052.pdf" </w:instrText>
      </w:r>
      <w:r w:rsidR="00943AA8">
        <w:fldChar w:fldCharType="separate"/>
      </w:r>
      <w:r w:rsidRPr="00535D82">
        <w:rPr>
          <w:rStyle w:val="Hyperlink"/>
          <w:rFonts w:ascii="Gill Sans MT" w:hAnsi="Gill Sans MT" w:cs="Times New Roman"/>
          <w:sz w:val="20"/>
          <w:szCs w:val="20"/>
          <w:lang w:val="es-MX"/>
        </w:rPr>
        <w:t>http://www.agcensus.usda.gov/Publications/2012/Full_Report/Volume_1,_Chapter_1_State_Level/Maryland/st24_1_051_052.pdf</w:t>
      </w:r>
      <w:r w:rsidR="00943AA8">
        <w:rPr>
          <w:rStyle w:val="Hyperlink"/>
          <w:rFonts w:ascii="Gill Sans MT" w:hAnsi="Gill Sans MT" w:cs="Times New Roman"/>
          <w:sz w:val="20"/>
          <w:szCs w:val="20"/>
          <w:lang w:val="es-MX"/>
        </w:rPr>
        <w:fldChar w:fldCharType="end"/>
      </w:r>
    </w:p>
  </w:footnote>
  <w:footnote w:id="44">
    <w:p w14:paraId="15F1609F" w14:textId="5B29F3B0" w:rsidR="003D14AC" w:rsidRPr="00535D82" w:rsidRDefault="003D14AC" w:rsidP="00C50A03">
      <w:pPr>
        <w:pStyle w:val="NoSpacing"/>
        <w:rPr>
          <w:rFonts w:ascii="Gill Sans MT" w:hAnsi="Gill Sans MT" w:cs="Times New Roman"/>
          <w:sz w:val="20"/>
          <w:szCs w:val="20"/>
          <w:lang w:val="es-MX"/>
        </w:rPr>
      </w:pPr>
      <w:r w:rsidRPr="00535D82">
        <w:rPr>
          <w:rStyle w:val="FootnoteReference"/>
          <w:rFonts w:ascii="Gill Sans MT" w:hAnsi="Gill Sans MT"/>
          <w:sz w:val="20"/>
          <w:szCs w:val="20"/>
        </w:rPr>
        <w:footnoteRef/>
      </w:r>
      <w:r w:rsidR="00943AA8">
        <w:fldChar w:fldCharType="begin"/>
      </w:r>
      <w:r w:rsidR="00943AA8" w:rsidRPr="00943AA8">
        <w:rPr>
          <w:lang w:val="es-MX"/>
        </w:rPr>
        <w:instrText xml:space="preserve"> HYPERLINK "http://www.agcensus.usda.gov/Publications/2007/Full_Report/Volume_1,_Chapter_1_State_Level/Maryland/st24_1_058_058.pdf" </w:instrText>
      </w:r>
      <w:r w:rsidR="00943AA8">
        <w:fldChar w:fldCharType="separate"/>
      </w:r>
      <w:r w:rsidRPr="00535D82">
        <w:rPr>
          <w:rStyle w:val="Hyperlink"/>
          <w:rFonts w:ascii="Gill Sans MT" w:hAnsi="Gill Sans MT" w:cs="Times New Roman"/>
          <w:sz w:val="20"/>
          <w:szCs w:val="20"/>
          <w:lang w:val="es-MX"/>
        </w:rPr>
        <w:t>http://www.agcensus.usda.gov/Publications/2007/Full_Report/Volume_1,_Chapter_1_State_Level/Maryland/st24_1_058_058.pdf</w:t>
      </w:r>
      <w:r w:rsidR="00943AA8">
        <w:rPr>
          <w:rStyle w:val="Hyperlink"/>
          <w:rFonts w:ascii="Gill Sans MT" w:hAnsi="Gill Sans MT" w:cs="Times New Roman"/>
          <w:sz w:val="20"/>
          <w:szCs w:val="20"/>
          <w:lang w:val="es-MX"/>
        </w:rPr>
        <w:fldChar w:fldCharType="end"/>
      </w:r>
    </w:p>
    <w:p w14:paraId="68147D7D" w14:textId="77777777" w:rsidR="003D14AC" w:rsidRPr="00535D82" w:rsidRDefault="00943AA8" w:rsidP="00C50A03">
      <w:pPr>
        <w:pStyle w:val="NoSpacing"/>
        <w:rPr>
          <w:rFonts w:ascii="Gill Sans MT" w:hAnsi="Gill Sans MT" w:cs="Times New Roman"/>
          <w:sz w:val="20"/>
          <w:szCs w:val="20"/>
          <w:lang w:val="es-MX"/>
        </w:rPr>
      </w:pPr>
      <w:hyperlink r:id="rId2" w:history="1">
        <w:r w:rsidR="003D14AC" w:rsidRPr="00535D82">
          <w:rPr>
            <w:rStyle w:val="Hyperlink"/>
            <w:rFonts w:ascii="Gill Sans MT" w:hAnsi="Gill Sans MT" w:cs="Times New Roman"/>
            <w:sz w:val="20"/>
            <w:szCs w:val="20"/>
            <w:lang w:val="es-MX"/>
          </w:rPr>
          <w:t>http://www.agcensus.usda.gov/Publications/2012/Full_Report/Volume_1,_Chapter_1_State_Level/Maryland/st24_1_051_052.pdf</w:t>
        </w:r>
      </w:hyperlink>
    </w:p>
    <w:p w14:paraId="1259F74C" w14:textId="26910120" w:rsidR="003D14AC" w:rsidRPr="00535D82" w:rsidRDefault="003D14AC">
      <w:pPr>
        <w:pStyle w:val="FootnoteText"/>
        <w:rPr>
          <w:rFonts w:ascii="Gill Sans MT" w:hAnsi="Gill Sans MT"/>
          <w:lang w:val="es-MX"/>
        </w:rPr>
      </w:pPr>
    </w:p>
  </w:footnote>
  <w:footnote w:id="45">
    <w:p w14:paraId="5817C06B" w14:textId="31C27F6F" w:rsidR="003D14AC" w:rsidRPr="00535D82" w:rsidRDefault="003D14AC" w:rsidP="00C50A03">
      <w:pPr>
        <w:pStyle w:val="NoSpacing"/>
        <w:rPr>
          <w:rFonts w:ascii="Gill Sans MT" w:hAnsi="Gill Sans MT" w:cs="Times New Roman"/>
          <w:sz w:val="20"/>
          <w:szCs w:val="20"/>
          <w:lang w:val="es-MX"/>
        </w:rPr>
      </w:pPr>
      <w:r w:rsidRPr="00535D82">
        <w:rPr>
          <w:rStyle w:val="FootnoteReference"/>
          <w:rFonts w:ascii="Gill Sans MT" w:hAnsi="Gill Sans MT"/>
          <w:sz w:val="20"/>
          <w:szCs w:val="20"/>
        </w:rPr>
        <w:footnoteRef/>
      </w:r>
      <w:r w:rsidR="00943AA8">
        <w:fldChar w:fldCharType="begin"/>
      </w:r>
      <w:r w:rsidR="00943AA8" w:rsidRPr="00943AA8">
        <w:rPr>
          <w:lang w:val="es-MX"/>
        </w:rPr>
        <w:instrText xml:space="preserve"> H</w:instrText>
      </w:r>
      <w:r w:rsidR="00943AA8" w:rsidRPr="00943AA8">
        <w:rPr>
          <w:lang w:val="es-MX"/>
        </w:rPr>
        <w:instrText xml:space="preserve">YPERLINK "http://www.agcensus.usda.gov/Publications/2012/Full_Report/Volume_1,_Chapter_1_State_Level/Maryland/st24_1_064_064.pdf" </w:instrText>
      </w:r>
      <w:r w:rsidR="00943AA8">
        <w:fldChar w:fldCharType="separate"/>
      </w:r>
      <w:r w:rsidRPr="00535D82">
        <w:rPr>
          <w:rStyle w:val="Hyperlink"/>
          <w:rFonts w:ascii="Gill Sans MT" w:hAnsi="Gill Sans MT" w:cs="Times New Roman"/>
          <w:sz w:val="20"/>
          <w:szCs w:val="20"/>
          <w:lang w:val="es-MX"/>
        </w:rPr>
        <w:t>http://www.agcensus.usda.gov/Publications/2012/Full_Report/Volume_1,_Chapter_1_State_Level/Maryland/st24_1_064_064.pdf</w:t>
      </w:r>
      <w:r w:rsidR="00943AA8">
        <w:rPr>
          <w:rStyle w:val="Hyperlink"/>
          <w:rFonts w:ascii="Gill Sans MT" w:hAnsi="Gill Sans MT" w:cs="Times New Roman"/>
          <w:sz w:val="20"/>
          <w:szCs w:val="20"/>
          <w:lang w:val="es-MX"/>
        </w:rPr>
        <w:fldChar w:fldCharType="end"/>
      </w:r>
    </w:p>
  </w:footnote>
  <w:footnote w:id="46">
    <w:p w14:paraId="0A598AD7" w14:textId="6AE65623" w:rsidR="003D14AC" w:rsidRPr="00535D82" w:rsidRDefault="003D14AC">
      <w:pPr>
        <w:pStyle w:val="FootnoteText"/>
        <w:rPr>
          <w:rFonts w:ascii="Gill Sans MT" w:hAnsi="Gill Sans MT"/>
          <w:i/>
          <w:lang w:val="es-MX"/>
        </w:rPr>
      </w:pPr>
      <w:r w:rsidRPr="00535D82">
        <w:rPr>
          <w:rStyle w:val="FootnoteReference"/>
          <w:rFonts w:ascii="Gill Sans MT" w:hAnsi="Gill Sans MT"/>
        </w:rPr>
        <w:footnoteRef/>
      </w:r>
      <w:r w:rsidRPr="00535D82">
        <w:rPr>
          <w:rFonts w:ascii="Gill Sans MT" w:hAnsi="Gill Sans MT"/>
          <w:lang w:val="es-MX"/>
        </w:rPr>
        <w:t xml:space="preserve"> </w:t>
      </w:r>
      <w:r w:rsidRPr="00535D82">
        <w:rPr>
          <w:rFonts w:ascii="Gill Sans MT" w:hAnsi="Gill Sans MT"/>
          <w:i/>
          <w:lang w:val="es-MX"/>
        </w:rPr>
        <w:t xml:space="preserve">Ibid. </w:t>
      </w:r>
    </w:p>
  </w:footnote>
  <w:footnote w:id="47">
    <w:p w14:paraId="26564D47" w14:textId="3C94C125" w:rsidR="003D14AC" w:rsidRPr="00535D82" w:rsidRDefault="003D14AC" w:rsidP="00C50A03">
      <w:pPr>
        <w:pStyle w:val="NoSpacing"/>
        <w:rPr>
          <w:rFonts w:ascii="Gill Sans MT" w:hAnsi="Gill Sans MT" w:cs="Times New Roman"/>
          <w:sz w:val="20"/>
          <w:szCs w:val="20"/>
          <w:lang w:val="es-MX"/>
        </w:rPr>
      </w:pPr>
      <w:r w:rsidRPr="00535D82">
        <w:rPr>
          <w:rStyle w:val="FootnoteReference"/>
          <w:rFonts w:ascii="Gill Sans MT" w:hAnsi="Gill Sans MT"/>
          <w:sz w:val="20"/>
          <w:szCs w:val="20"/>
        </w:rPr>
        <w:footnoteRef/>
      </w:r>
      <w:r w:rsidRPr="00535D82">
        <w:rPr>
          <w:rFonts w:ascii="Gill Sans MT" w:hAnsi="Gill Sans MT"/>
          <w:sz w:val="20"/>
          <w:szCs w:val="20"/>
          <w:lang w:val="es-MX"/>
        </w:rPr>
        <w:t xml:space="preserve"> </w:t>
      </w:r>
      <w:r w:rsidR="00943AA8">
        <w:fldChar w:fldCharType="begin"/>
      </w:r>
      <w:r w:rsidR="00943AA8" w:rsidRPr="00943AA8">
        <w:rPr>
          <w:lang w:val="es-MX"/>
        </w:rPr>
        <w:instrText xml:space="preserve"> HYPERLINK "http://www.dllr.state.md.us/lmi/iandoproj/industry.shtml" </w:instrText>
      </w:r>
      <w:r w:rsidR="00943AA8">
        <w:fldChar w:fldCharType="separate"/>
      </w:r>
      <w:r w:rsidRPr="00535D82">
        <w:rPr>
          <w:rStyle w:val="Hyperlink"/>
          <w:rFonts w:ascii="Gill Sans MT" w:hAnsi="Gill Sans MT" w:cs="Times New Roman"/>
          <w:sz w:val="20"/>
          <w:szCs w:val="20"/>
          <w:lang w:val="es-MX"/>
        </w:rPr>
        <w:t>http://www.dllr.state.md.us/lmi/iandoproj/industry.shtml</w:t>
      </w:r>
      <w:r w:rsidR="00943AA8">
        <w:rPr>
          <w:rStyle w:val="Hyperlink"/>
          <w:rFonts w:ascii="Gill Sans MT" w:hAnsi="Gill Sans MT" w:cs="Times New Roman"/>
          <w:sz w:val="20"/>
          <w:szCs w:val="20"/>
          <w:lang w:val="es-MX"/>
        </w:rPr>
        <w:fldChar w:fldCharType="end"/>
      </w:r>
    </w:p>
  </w:footnote>
  <w:footnote w:id="48">
    <w:p w14:paraId="03E25FDF" w14:textId="05456320" w:rsidR="003D14AC" w:rsidRPr="00535D82" w:rsidRDefault="003D14AC" w:rsidP="00C50A03">
      <w:pPr>
        <w:pStyle w:val="NoSpacing"/>
        <w:rPr>
          <w:rFonts w:ascii="Gill Sans MT" w:hAnsi="Gill Sans MT" w:cs="Times New Roman"/>
          <w:sz w:val="20"/>
          <w:szCs w:val="20"/>
          <w:lang w:val="es-MX"/>
        </w:rPr>
      </w:pPr>
      <w:r w:rsidRPr="00535D82">
        <w:rPr>
          <w:rStyle w:val="FootnoteReference"/>
          <w:rFonts w:ascii="Gill Sans MT" w:hAnsi="Gill Sans MT"/>
          <w:sz w:val="20"/>
          <w:szCs w:val="20"/>
        </w:rPr>
        <w:footnoteRef/>
      </w:r>
      <w:r w:rsidR="00943AA8">
        <w:fldChar w:fldCharType="begin"/>
      </w:r>
      <w:r w:rsidR="00943AA8" w:rsidRPr="00943AA8">
        <w:rPr>
          <w:lang w:val="es-MX"/>
        </w:rPr>
        <w:instrText xml:space="preserve"> HYPERLINK "http://www.agcensus.usda.gov/Publications/2012/Full_Report/Volume_1,_Chapter_1_State_Level/Maryland/st24_1</w:instrText>
      </w:r>
      <w:r w:rsidR="00943AA8" w:rsidRPr="00943AA8">
        <w:rPr>
          <w:lang w:val="es-MX"/>
        </w:rPr>
        <w:instrText xml:space="preserve">_051_052.pdf" </w:instrText>
      </w:r>
      <w:r w:rsidR="00943AA8">
        <w:fldChar w:fldCharType="separate"/>
      </w:r>
      <w:r w:rsidRPr="00535D82">
        <w:rPr>
          <w:rStyle w:val="Hyperlink"/>
          <w:rFonts w:ascii="Gill Sans MT" w:hAnsi="Gill Sans MT" w:cs="Times New Roman"/>
          <w:sz w:val="20"/>
          <w:szCs w:val="20"/>
          <w:lang w:val="es-MX"/>
        </w:rPr>
        <w:t>http://www.agcensus.usda.gov/Publications/2012/Full_Report/Volume_1,_Chapter_1_State_Level/Maryland/st24_1_051_052.pdf</w:t>
      </w:r>
      <w:r w:rsidR="00943AA8">
        <w:rPr>
          <w:rStyle w:val="Hyperlink"/>
          <w:rFonts w:ascii="Gill Sans MT" w:hAnsi="Gill Sans MT" w:cs="Times New Roman"/>
          <w:sz w:val="20"/>
          <w:szCs w:val="20"/>
          <w:lang w:val="es-MX"/>
        </w:rPr>
        <w:fldChar w:fldCharType="end"/>
      </w:r>
    </w:p>
  </w:footnote>
  <w:footnote w:id="49">
    <w:p w14:paraId="0C518B83" w14:textId="1179B5F0" w:rsidR="003D14AC" w:rsidRPr="004A0C12" w:rsidRDefault="003D14AC">
      <w:pPr>
        <w:pStyle w:val="FootnoteText"/>
        <w:rPr>
          <w:i/>
          <w:lang w:val="es-MX"/>
        </w:rPr>
      </w:pPr>
      <w:r w:rsidRPr="00535D82">
        <w:rPr>
          <w:rStyle w:val="FootnoteReference"/>
          <w:rFonts w:ascii="Gill Sans MT" w:hAnsi="Gill Sans MT"/>
        </w:rPr>
        <w:footnoteRef/>
      </w:r>
      <w:r w:rsidRPr="00535D82">
        <w:rPr>
          <w:rFonts w:ascii="Gill Sans MT" w:hAnsi="Gill Sans MT"/>
          <w:lang w:val="es-MX"/>
        </w:rPr>
        <w:t xml:space="preserve"> </w:t>
      </w:r>
      <w:r w:rsidRPr="00535D82">
        <w:rPr>
          <w:rFonts w:ascii="Gill Sans MT" w:hAnsi="Gill Sans MT"/>
          <w:i/>
          <w:lang w:val="es-MX"/>
        </w:rPr>
        <w:t>Ibid.</w:t>
      </w:r>
      <w:r w:rsidRPr="004A0C12">
        <w:rPr>
          <w:i/>
          <w:lang w:val="es-MX"/>
        </w:rPr>
        <w:t xml:space="preserve"> </w:t>
      </w:r>
    </w:p>
  </w:footnote>
  <w:footnote w:id="50">
    <w:p w14:paraId="27BA0721" w14:textId="78ED6AEF" w:rsidR="003D14AC" w:rsidRPr="00535D82" w:rsidRDefault="003D14AC" w:rsidP="00C50A03">
      <w:pPr>
        <w:pStyle w:val="NoSpacing"/>
        <w:rPr>
          <w:rFonts w:ascii="Gill Sans MT" w:hAnsi="Gill Sans MT" w:cs="Times New Roman"/>
          <w:sz w:val="20"/>
          <w:szCs w:val="20"/>
          <w:lang w:val="es-MX"/>
        </w:rPr>
      </w:pPr>
      <w:r w:rsidRPr="00535D82">
        <w:rPr>
          <w:rStyle w:val="FootnoteReference"/>
          <w:rFonts w:ascii="Gill Sans MT" w:hAnsi="Gill Sans MT"/>
        </w:rPr>
        <w:footnoteRef/>
      </w:r>
      <w:r w:rsidRPr="00535D82">
        <w:rPr>
          <w:rFonts w:ascii="Gill Sans MT" w:hAnsi="Gill Sans MT"/>
          <w:lang w:val="es-MX"/>
        </w:rPr>
        <w:t xml:space="preserve"> </w:t>
      </w:r>
      <w:r w:rsidR="00943AA8">
        <w:fldChar w:fldCharType="begin"/>
      </w:r>
      <w:r w:rsidR="00943AA8" w:rsidRPr="00943AA8">
        <w:rPr>
          <w:lang w:val="es-MX"/>
        </w:rPr>
        <w:instrText xml:space="preserve"> HYPERLINK "http://www.dllr.state.md.us/lmi/iandoproj/industry.shtml" </w:instrText>
      </w:r>
      <w:r w:rsidR="00943AA8">
        <w:fldChar w:fldCharType="separate"/>
      </w:r>
      <w:r w:rsidRPr="00535D82">
        <w:rPr>
          <w:rStyle w:val="Hyperlink"/>
          <w:rFonts w:ascii="Gill Sans MT" w:hAnsi="Gill Sans MT" w:cs="Times New Roman"/>
          <w:sz w:val="20"/>
          <w:szCs w:val="20"/>
          <w:lang w:val="es-MX"/>
        </w:rPr>
        <w:t>http://www.dllr.state.md.us/lmi/iandoproj/industry.shtml</w:t>
      </w:r>
      <w:r w:rsidR="00943AA8">
        <w:rPr>
          <w:rStyle w:val="Hyperlink"/>
          <w:rFonts w:ascii="Gill Sans MT" w:hAnsi="Gill Sans MT" w:cs="Times New Roman"/>
          <w:sz w:val="20"/>
          <w:szCs w:val="20"/>
          <w:lang w:val="es-MX"/>
        </w:rPr>
        <w:fldChar w:fldCharType="end"/>
      </w:r>
    </w:p>
  </w:footnote>
  <w:footnote w:id="51">
    <w:p w14:paraId="6C4D9F84" w14:textId="77777777" w:rsidR="003D14AC" w:rsidRPr="00535D82" w:rsidRDefault="003D14AC" w:rsidP="00C50A03">
      <w:pPr>
        <w:pStyle w:val="NoSpacing"/>
        <w:rPr>
          <w:rFonts w:ascii="Gill Sans MT" w:hAnsi="Gill Sans MT" w:cs="Times New Roman"/>
          <w:sz w:val="20"/>
          <w:szCs w:val="20"/>
          <w:lang w:val="es-MX"/>
        </w:rPr>
      </w:pPr>
      <w:r w:rsidRPr="00535D82">
        <w:rPr>
          <w:rStyle w:val="FootnoteReference"/>
          <w:rFonts w:ascii="Gill Sans MT" w:hAnsi="Gill Sans MT"/>
          <w:sz w:val="20"/>
          <w:szCs w:val="20"/>
        </w:rPr>
        <w:footnoteRef/>
      </w:r>
      <w:r w:rsidRPr="00535D82">
        <w:rPr>
          <w:rFonts w:ascii="Gill Sans MT" w:hAnsi="Gill Sans MT"/>
          <w:sz w:val="20"/>
          <w:szCs w:val="20"/>
          <w:lang w:val="es-MX"/>
        </w:rPr>
        <w:t xml:space="preserve"> </w:t>
      </w:r>
      <w:r w:rsidR="00943AA8">
        <w:fldChar w:fldCharType="begin"/>
      </w:r>
      <w:r w:rsidR="00943AA8" w:rsidRPr="00943AA8">
        <w:rPr>
          <w:lang w:val="es-MX"/>
        </w:rPr>
        <w:instrText xml:space="preserve"> HYPERLINK "http://planning.maryland.gov/msdc/population_density/us_density_2012.pdf" </w:instrText>
      </w:r>
      <w:r w:rsidR="00943AA8">
        <w:fldChar w:fldCharType="separate"/>
      </w:r>
      <w:r w:rsidRPr="00535D82">
        <w:rPr>
          <w:rStyle w:val="Hyperlink"/>
          <w:rFonts w:ascii="Gill Sans MT" w:hAnsi="Gill Sans MT" w:cs="Times New Roman"/>
          <w:sz w:val="20"/>
          <w:szCs w:val="20"/>
          <w:lang w:val="es-MX"/>
        </w:rPr>
        <w:t>http://planning.maryland.gov/msdc/population_density/us_density_2012.pdf</w:t>
      </w:r>
      <w:r w:rsidR="00943AA8">
        <w:rPr>
          <w:rStyle w:val="Hyperlink"/>
          <w:rFonts w:ascii="Gill Sans MT" w:hAnsi="Gill Sans MT" w:cs="Times New Roman"/>
          <w:sz w:val="20"/>
          <w:szCs w:val="20"/>
          <w:lang w:val="es-MX"/>
        </w:rPr>
        <w:fldChar w:fldCharType="end"/>
      </w:r>
    </w:p>
    <w:p w14:paraId="1132892A" w14:textId="4BFFD92A" w:rsidR="003D14AC" w:rsidRPr="004A0C12" w:rsidRDefault="003D14AC">
      <w:pPr>
        <w:pStyle w:val="FootnoteText"/>
        <w:rPr>
          <w:lang w:val="es-MX"/>
        </w:rPr>
      </w:pPr>
    </w:p>
  </w:footnote>
  <w:footnote w:id="52">
    <w:p w14:paraId="28910C08" w14:textId="7677B6A3" w:rsidR="003D14AC" w:rsidRPr="00307FCC" w:rsidRDefault="003D14AC">
      <w:pPr>
        <w:pStyle w:val="FootnoteText"/>
        <w:rPr>
          <w:rFonts w:ascii="Gill Sans MT" w:hAnsi="Gill Sans MT"/>
        </w:rPr>
      </w:pPr>
      <w:r w:rsidRPr="00307FCC">
        <w:rPr>
          <w:rStyle w:val="FootnoteReference"/>
          <w:rFonts w:ascii="Gill Sans MT" w:hAnsi="Gill Sans MT"/>
        </w:rPr>
        <w:footnoteRef/>
      </w:r>
      <w:r w:rsidRPr="00307FCC">
        <w:rPr>
          <w:rFonts w:ascii="Gill Sans MT" w:hAnsi="Gill Sans MT"/>
        </w:rPr>
        <w:t xml:space="preserve"> Purpose 1 of TANF is to provide assistance to needy families so that children can be cared for in their own homes. Purpose 2 of TANF is to reduce the dependency of needy parents by promoting job preparation, work, and marriage. </w:t>
      </w:r>
    </w:p>
  </w:footnote>
  <w:footnote w:id="53">
    <w:p w14:paraId="4A4F4364" w14:textId="6031338D" w:rsidR="003D14AC" w:rsidRPr="00307FCC" w:rsidRDefault="003D14AC">
      <w:pPr>
        <w:pStyle w:val="FootnoteText"/>
        <w:rPr>
          <w:rFonts w:ascii="Gill Sans MT" w:hAnsi="Gill Sans MT"/>
        </w:rPr>
      </w:pPr>
      <w:r w:rsidRPr="00307FCC">
        <w:rPr>
          <w:rStyle w:val="FootnoteReference"/>
          <w:rFonts w:ascii="Gill Sans MT" w:hAnsi="Gill Sans MT"/>
        </w:rPr>
        <w:footnoteRef/>
      </w:r>
      <w:r w:rsidRPr="00307FCC">
        <w:rPr>
          <w:rFonts w:ascii="Gill Sans MT" w:hAnsi="Gill Sans MT"/>
        </w:rPr>
        <w:t xml:space="preserve"> The first purpose of the TANF Program is to provide assistance to needy families so that children can be cared for in their own homes. </w:t>
      </w:r>
    </w:p>
  </w:footnote>
  <w:footnote w:id="54">
    <w:p w14:paraId="6DB522FF" w14:textId="23E82972" w:rsidR="003D14AC" w:rsidRPr="00307FCC" w:rsidRDefault="003D14AC">
      <w:pPr>
        <w:pStyle w:val="FootnoteText"/>
        <w:rPr>
          <w:rFonts w:ascii="Gill Sans MT" w:hAnsi="Gill Sans MT"/>
        </w:rPr>
      </w:pPr>
      <w:r w:rsidRPr="00307FCC">
        <w:rPr>
          <w:rStyle w:val="FootnoteReference"/>
          <w:rFonts w:ascii="Gill Sans MT" w:hAnsi="Gill Sans MT"/>
        </w:rPr>
        <w:footnoteRef/>
      </w:r>
      <w:r w:rsidRPr="00307FCC">
        <w:rPr>
          <w:rFonts w:ascii="Gill Sans MT" w:hAnsi="Gill Sans MT"/>
        </w:rPr>
        <w:t xml:space="preserve"> The first purpose of the TANF Program is to provide assistance to needy families so that children can be cared for in their own homes. </w:t>
      </w:r>
    </w:p>
  </w:footnote>
  <w:footnote w:id="55">
    <w:p w14:paraId="116B7C6A" w14:textId="4DE6376C" w:rsidR="003D14AC" w:rsidRDefault="003D14AC">
      <w:pPr>
        <w:pStyle w:val="FootnoteText"/>
      </w:pPr>
      <w:r w:rsidRPr="00307FCC">
        <w:rPr>
          <w:rStyle w:val="FootnoteReference"/>
          <w:rFonts w:ascii="Gill Sans MT" w:hAnsi="Gill Sans MT"/>
        </w:rPr>
        <w:footnoteRef/>
      </w:r>
      <w:r w:rsidRPr="00307FCC">
        <w:rPr>
          <w:rFonts w:ascii="Gill Sans MT" w:hAnsi="Gill Sans MT"/>
        </w:rPr>
        <w:t xml:space="preserve"> The third purpose of the TANF Program is to prevent and reduce the incidence of out-of-wedlock pregnancies. The fourth purpose of the TANF program is to encourage the formation and maintenance of two-parent families</w:t>
      </w:r>
      <w:r>
        <w:t xml:space="preserve">. </w:t>
      </w:r>
    </w:p>
  </w:footnote>
  <w:footnote w:id="56">
    <w:p w14:paraId="6AA4A597" w14:textId="5FFFC0DA" w:rsidR="003D14AC" w:rsidRPr="00307FCC" w:rsidRDefault="003D14AC">
      <w:pPr>
        <w:pStyle w:val="FootnoteText"/>
        <w:rPr>
          <w:rFonts w:ascii="Gill Sans MT" w:hAnsi="Gill Sans MT"/>
        </w:rPr>
      </w:pPr>
      <w:r w:rsidRPr="00307FCC">
        <w:rPr>
          <w:rStyle w:val="FootnoteReference"/>
          <w:rFonts w:ascii="Gill Sans MT" w:hAnsi="Gill Sans MT"/>
        </w:rPr>
        <w:footnoteRef/>
      </w:r>
      <w:r w:rsidRPr="00307FCC">
        <w:rPr>
          <w:rFonts w:ascii="Gill Sans MT" w:hAnsi="Gill Sans MT"/>
        </w:rPr>
        <w:t xml:space="preserve"> The fourth purpose of the TANF Program is to encourage the formation and maintenance of two-parent families. </w:t>
      </w:r>
    </w:p>
  </w:footnote>
  <w:footnote w:id="57">
    <w:p w14:paraId="304754E3" w14:textId="21275B7C" w:rsidR="003D14AC" w:rsidRPr="00307FCC" w:rsidRDefault="003D14AC">
      <w:pPr>
        <w:pStyle w:val="FootnoteText"/>
        <w:rPr>
          <w:rFonts w:ascii="Gill Sans MT" w:hAnsi="Gill Sans MT"/>
        </w:rPr>
      </w:pPr>
      <w:r w:rsidRPr="00307FCC">
        <w:rPr>
          <w:rStyle w:val="FootnoteReference"/>
          <w:rFonts w:ascii="Gill Sans MT" w:hAnsi="Gill Sans MT"/>
        </w:rPr>
        <w:footnoteRef/>
      </w:r>
      <w:r w:rsidRPr="00307FCC">
        <w:rPr>
          <w:rFonts w:ascii="Gill Sans MT" w:hAnsi="Gill Sans MT"/>
        </w:rPr>
        <w:t xml:space="preserve"> The third purpose of the TANF Program is to prevent and reduce the incidence of out-of-wedlock pregnancies. The fourth purpose of the TANF Program is to encourage the formation and maintenance of two-parent families. </w:t>
      </w:r>
    </w:p>
  </w:footnote>
  <w:footnote w:id="58">
    <w:p w14:paraId="17BEC4C6" w14:textId="58300389" w:rsidR="003D14AC" w:rsidRPr="00307FCC" w:rsidRDefault="003D14AC">
      <w:pPr>
        <w:pStyle w:val="FootnoteText"/>
        <w:rPr>
          <w:rFonts w:ascii="Gill Sans MT" w:hAnsi="Gill Sans MT"/>
        </w:rPr>
      </w:pPr>
      <w:r w:rsidRPr="00307FCC">
        <w:rPr>
          <w:rStyle w:val="FootnoteReference"/>
          <w:rFonts w:ascii="Gill Sans MT" w:hAnsi="Gill Sans MT"/>
        </w:rPr>
        <w:footnoteRef/>
      </w:r>
      <w:r w:rsidRPr="00307FCC">
        <w:rPr>
          <w:rFonts w:ascii="Gill Sans MT" w:hAnsi="Gill Sans MT"/>
        </w:rPr>
        <w:t xml:space="preserve"> The third purpose of the TANF Program is to prevent and reduce the incidence of out-of-wedlock pregnancies. The fourth purpose is to encourage the formation and maintenance of two-parent families. </w:t>
      </w:r>
    </w:p>
  </w:footnote>
  <w:footnote w:id="59">
    <w:p w14:paraId="57490DB5" w14:textId="1AABAA77" w:rsidR="003D14AC" w:rsidRPr="004F590C" w:rsidRDefault="003D14AC">
      <w:pPr>
        <w:pStyle w:val="FootnoteText"/>
        <w:rPr>
          <w:rFonts w:ascii="Gill Sans MT" w:hAnsi="Gill Sans MT"/>
        </w:rPr>
      </w:pPr>
      <w:r w:rsidRPr="004F590C">
        <w:rPr>
          <w:rStyle w:val="FootnoteReference"/>
          <w:rFonts w:ascii="Gill Sans MT" w:hAnsi="Gill Sans MT"/>
        </w:rPr>
        <w:footnoteRef/>
      </w:r>
      <w:r w:rsidRPr="004F590C">
        <w:rPr>
          <w:rFonts w:ascii="Gill Sans MT" w:hAnsi="Gill Sans MT"/>
        </w:rPr>
        <w:t xml:space="preserve"> The third goal of the TANF Program is to prevent and reduce the incidence of out-of-wedlock pregnancies. </w:t>
      </w:r>
    </w:p>
  </w:footnote>
  <w:footnote w:id="60">
    <w:p w14:paraId="04320B78" w14:textId="2872E27F" w:rsidR="003D14AC" w:rsidRPr="004F590C" w:rsidRDefault="003D14AC">
      <w:pPr>
        <w:pStyle w:val="FootnoteText"/>
        <w:rPr>
          <w:rFonts w:ascii="Gill Sans MT" w:hAnsi="Gill Sans MT"/>
        </w:rPr>
      </w:pPr>
      <w:r w:rsidRPr="004F590C">
        <w:rPr>
          <w:rStyle w:val="FootnoteReference"/>
          <w:rFonts w:ascii="Gill Sans MT" w:hAnsi="Gill Sans MT"/>
        </w:rPr>
        <w:footnoteRef/>
      </w:r>
      <w:r w:rsidRPr="004F590C">
        <w:rPr>
          <w:rFonts w:ascii="Gill Sans MT" w:hAnsi="Gill Sans MT"/>
        </w:rPr>
        <w:t xml:space="preserve"> The first goal of the TANF Program is to provide assistance to needy families to that children can be cared for in their own homes. The second goal of the TANF Program is to reduce the dependency of needy parents by promoting job preparation, work, and marriage. </w:t>
      </w:r>
    </w:p>
  </w:footnote>
  <w:footnote w:id="61">
    <w:p w14:paraId="5CCE15F5" w14:textId="30644493" w:rsidR="003D14AC" w:rsidRPr="004F590C" w:rsidRDefault="003D14AC">
      <w:pPr>
        <w:pStyle w:val="FootnoteText"/>
        <w:rPr>
          <w:rFonts w:ascii="Gill Sans MT" w:hAnsi="Gill Sans MT"/>
        </w:rPr>
      </w:pPr>
      <w:r w:rsidRPr="004F590C">
        <w:rPr>
          <w:rStyle w:val="FootnoteReference"/>
          <w:rFonts w:ascii="Gill Sans MT" w:hAnsi="Gill Sans MT"/>
        </w:rPr>
        <w:footnoteRef/>
      </w:r>
      <w:r w:rsidRPr="004F590C">
        <w:rPr>
          <w:rFonts w:ascii="Gill Sans MT" w:hAnsi="Gill Sans MT"/>
        </w:rPr>
        <w:t xml:space="preserve"> The fourth goal of the TANF Program is to encourage the formation and maintenance of two-parent families. </w:t>
      </w:r>
    </w:p>
  </w:footnote>
  <w:footnote w:id="62">
    <w:p w14:paraId="620C041F" w14:textId="61D31127" w:rsidR="003D14AC" w:rsidRDefault="003D14AC">
      <w:pPr>
        <w:pStyle w:val="FootnoteText"/>
      </w:pPr>
      <w:r w:rsidRPr="004F590C">
        <w:rPr>
          <w:rStyle w:val="FootnoteReference"/>
          <w:rFonts w:ascii="Gill Sans MT" w:hAnsi="Gill Sans MT"/>
        </w:rPr>
        <w:footnoteRef/>
      </w:r>
      <w:r w:rsidRPr="004F590C">
        <w:rPr>
          <w:rFonts w:ascii="Gill Sans MT" w:hAnsi="Gill Sans MT"/>
        </w:rPr>
        <w:t xml:space="preserve"> The first purpose of the TANF Program is to provide assistance to needy families so that children can be cared for in their own homes. The second purpose is to reduce the dependence of needy parents by promoting job preparation, work, and marriage</w:t>
      </w:r>
      <w:r>
        <w:t xml:space="preserve">. </w:t>
      </w:r>
    </w:p>
  </w:footnote>
  <w:footnote w:id="63">
    <w:p w14:paraId="091BBACE" w14:textId="10AA7F0B" w:rsidR="003D14AC" w:rsidRPr="004F590C" w:rsidRDefault="003D14AC">
      <w:pPr>
        <w:pStyle w:val="FootnoteText"/>
        <w:rPr>
          <w:rFonts w:ascii="Gill Sans MT" w:hAnsi="Gill Sans MT"/>
        </w:rPr>
      </w:pPr>
      <w:r w:rsidRPr="004F590C">
        <w:rPr>
          <w:rStyle w:val="FootnoteReference"/>
          <w:rFonts w:ascii="Gill Sans MT" w:hAnsi="Gill Sans MT"/>
        </w:rPr>
        <w:footnoteRef/>
      </w:r>
      <w:r w:rsidRPr="004F590C">
        <w:rPr>
          <w:rFonts w:ascii="Gill Sans MT" w:hAnsi="Gill Sans MT"/>
        </w:rPr>
        <w:t xml:space="preserve"> See footnote above. </w:t>
      </w:r>
    </w:p>
  </w:footnote>
  <w:footnote w:id="64">
    <w:p w14:paraId="22AB3805" w14:textId="77777777" w:rsidR="003D14AC" w:rsidRPr="004F590C" w:rsidRDefault="003D14AC" w:rsidP="00811745">
      <w:pPr>
        <w:pStyle w:val="FootnoteText"/>
        <w:jc w:val="both"/>
        <w:rPr>
          <w:rFonts w:ascii="Gill Sans MT" w:hAnsi="Gill Sans MT"/>
          <w:sz w:val="18"/>
          <w:szCs w:val="18"/>
        </w:rPr>
      </w:pPr>
      <w:r w:rsidRPr="004F590C">
        <w:rPr>
          <w:rStyle w:val="FootnoteReference"/>
          <w:rFonts w:ascii="Gill Sans MT" w:hAnsi="Gill Sans MT"/>
          <w:sz w:val="18"/>
          <w:szCs w:val="18"/>
        </w:rPr>
        <w:footnoteRef/>
      </w:r>
      <w:r w:rsidRPr="004F590C">
        <w:rPr>
          <w:rFonts w:ascii="Gill Sans MT" w:hAnsi="Gill Sans MT"/>
          <w:sz w:val="18"/>
          <w:szCs w:val="18"/>
        </w:rPr>
        <w:t xml:space="preserve"> Intensive services include: comprehensive and specialized assessments of skill levels and service needs; development of an individual employment plan to identify the employment goals appropriate; achievement objectives and appropriate combination of services for the participant to achieve the employment goals; group counseling; individual counseling and career planning; and short-term prevocational services that may include development of learning skills, communication skills, interviewing skills, punctuality, personal maintenance skills, and professional conduct to prepare individuals for unsubsidized employment or training.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1BE25E" w14:textId="47E51264" w:rsidR="003D14AC" w:rsidRPr="00825D0C" w:rsidRDefault="003D14AC" w:rsidP="001A1E04">
    <w:pPr>
      <w:pStyle w:val="Header"/>
      <w:tabs>
        <w:tab w:val="clear" w:pos="4680"/>
        <w:tab w:val="clear" w:pos="9360"/>
        <w:tab w:val="left" w:pos="4696"/>
      </w:tabs>
      <w:rPr>
        <w:rFonts w:ascii="Gill Sans MT" w:hAnsi="Gill Sans MT"/>
      </w:rPr>
    </w:pPr>
    <w:r w:rsidRPr="00825D0C">
      <w:rPr>
        <w:rFonts w:ascii="Gill Sans MT" w:hAnsi="Gill Sans MT"/>
      </w:rPr>
      <w:t xml:space="preserve">Maryland Workforce Innovation and Opportunity Act State Plan </w:t>
    </w:r>
    <w:r w:rsidRPr="00825D0C">
      <w:rPr>
        <w:rFonts w:ascii="Gill Sans MT" w:hAnsi="Gill Sans MT"/>
        <w:b/>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94EE873"/>
    <w:styleLink w:val="List7"/>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
    <w:nsid w:val="00000002"/>
    <w:multiLevelType w:val="multilevel"/>
    <w:tmpl w:val="894EE874"/>
    <w:styleLink w:val="List15"/>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2">
    <w:nsid w:val="00000003"/>
    <w:multiLevelType w:val="multilevel"/>
    <w:tmpl w:val="894EE875"/>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3">
    <w:nsid w:val="00000004"/>
    <w:multiLevelType w:val="multilevel"/>
    <w:tmpl w:val="894EE876"/>
    <w:styleLink w:val="List20"/>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4">
    <w:nsid w:val="00000005"/>
    <w:multiLevelType w:val="multilevel"/>
    <w:tmpl w:val="894EE877"/>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5">
    <w:nsid w:val="00000006"/>
    <w:multiLevelType w:val="multilevel"/>
    <w:tmpl w:val="894EE878"/>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6">
    <w:nsid w:val="00000007"/>
    <w:multiLevelType w:val="multilevel"/>
    <w:tmpl w:val="894EE879"/>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7">
    <w:nsid w:val="00000008"/>
    <w:multiLevelType w:val="multilevel"/>
    <w:tmpl w:val="894EE87A"/>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8">
    <w:nsid w:val="00000009"/>
    <w:multiLevelType w:val="multilevel"/>
    <w:tmpl w:val="894EE87B"/>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9">
    <w:nsid w:val="0000000A"/>
    <w:multiLevelType w:val="multilevel"/>
    <w:tmpl w:val="894EE87C"/>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
    <w:nsid w:val="00000014"/>
    <w:multiLevelType w:val="multilevel"/>
    <w:tmpl w:val="894EE886"/>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1">
    <w:nsid w:val="00000015"/>
    <w:multiLevelType w:val="multilevel"/>
    <w:tmpl w:val="894EE887"/>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2">
    <w:nsid w:val="00000016"/>
    <w:multiLevelType w:val="multilevel"/>
    <w:tmpl w:val="894EE888"/>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13">
    <w:nsid w:val="00000017"/>
    <w:multiLevelType w:val="multilevel"/>
    <w:tmpl w:val="894EE889"/>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14">
    <w:nsid w:val="00000018"/>
    <w:multiLevelType w:val="multilevel"/>
    <w:tmpl w:val="894EE88A"/>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15">
    <w:nsid w:val="00000019"/>
    <w:multiLevelType w:val="multilevel"/>
    <w:tmpl w:val="894EE88B"/>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16">
    <w:nsid w:val="0000001A"/>
    <w:multiLevelType w:val="multilevel"/>
    <w:tmpl w:val="894EE88C"/>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17">
    <w:nsid w:val="0000001B"/>
    <w:multiLevelType w:val="multilevel"/>
    <w:tmpl w:val="894EE88D"/>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18">
    <w:nsid w:val="0000001C"/>
    <w:multiLevelType w:val="multilevel"/>
    <w:tmpl w:val="894EE88E"/>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19">
    <w:nsid w:val="0000001D"/>
    <w:multiLevelType w:val="multilevel"/>
    <w:tmpl w:val="894EE88F"/>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20">
    <w:nsid w:val="0000001E"/>
    <w:multiLevelType w:val="multilevel"/>
    <w:tmpl w:val="894EE890"/>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21">
    <w:nsid w:val="0000001F"/>
    <w:multiLevelType w:val="multilevel"/>
    <w:tmpl w:val="894EE891"/>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22">
    <w:nsid w:val="00000020"/>
    <w:multiLevelType w:val="multilevel"/>
    <w:tmpl w:val="894EE892"/>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23">
    <w:nsid w:val="00000021"/>
    <w:multiLevelType w:val="multilevel"/>
    <w:tmpl w:val="894EE893"/>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24">
    <w:nsid w:val="00000022"/>
    <w:multiLevelType w:val="multilevel"/>
    <w:tmpl w:val="894EE894"/>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25">
    <w:nsid w:val="00000023"/>
    <w:multiLevelType w:val="multilevel"/>
    <w:tmpl w:val="894EE895"/>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26">
    <w:nsid w:val="00000024"/>
    <w:multiLevelType w:val="multilevel"/>
    <w:tmpl w:val="894EE896"/>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27">
    <w:nsid w:val="00000025"/>
    <w:multiLevelType w:val="multilevel"/>
    <w:tmpl w:val="894EE897"/>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28">
    <w:nsid w:val="00000026"/>
    <w:multiLevelType w:val="multilevel"/>
    <w:tmpl w:val="894EE898"/>
    <w:lvl w:ilvl="0">
      <w:start w:val="1"/>
      <w:numFmt w:val="decimal"/>
      <w:isLgl/>
      <w:lvlText w:val="(%1)"/>
      <w:lvlJc w:val="left"/>
      <w:pPr>
        <w:tabs>
          <w:tab w:val="num" w:pos="360"/>
        </w:tabs>
        <w:ind w:left="360" w:firstLine="720"/>
      </w:pPr>
      <w:rPr>
        <w:rFonts w:hint="default"/>
        <w:color w:val="000000"/>
        <w:position w:val="0"/>
        <w:sz w:val="22"/>
      </w:rPr>
    </w:lvl>
    <w:lvl w:ilvl="1">
      <w:start w:val="1"/>
      <w:numFmt w:val="lowerLetter"/>
      <w:suff w:val="nothing"/>
      <w:lvlText w:val="%2."/>
      <w:lvlJc w:val="left"/>
      <w:pPr>
        <w:ind w:left="0" w:firstLine="1800"/>
      </w:pPr>
      <w:rPr>
        <w:rFonts w:hint="default"/>
        <w:color w:val="000000"/>
        <w:position w:val="0"/>
        <w:sz w:val="22"/>
      </w:rPr>
    </w:lvl>
    <w:lvl w:ilvl="2">
      <w:start w:val="1"/>
      <w:numFmt w:val="lowerRoman"/>
      <w:suff w:val="nothing"/>
      <w:lvlText w:val="%3."/>
      <w:lvlJc w:val="left"/>
      <w:pPr>
        <w:ind w:left="0" w:firstLine="2520"/>
      </w:pPr>
      <w:rPr>
        <w:rFonts w:hint="default"/>
        <w:color w:val="000000"/>
        <w:position w:val="0"/>
        <w:sz w:val="22"/>
      </w:rPr>
    </w:lvl>
    <w:lvl w:ilvl="3">
      <w:start w:val="1"/>
      <w:numFmt w:val="decimal"/>
      <w:isLgl/>
      <w:suff w:val="nothing"/>
      <w:lvlText w:val="%4."/>
      <w:lvlJc w:val="left"/>
      <w:pPr>
        <w:ind w:left="0" w:firstLine="3240"/>
      </w:pPr>
      <w:rPr>
        <w:rFonts w:hint="default"/>
        <w:color w:val="000000"/>
        <w:position w:val="0"/>
        <w:sz w:val="22"/>
      </w:rPr>
    </w:lvl>
    <w:lvl w:ilvl="4">
      <w:start w:val="1"/>
      <w:numFmt w:val="lowerLetter"/>
      <w:suff w:val="nothing"/>
      <w:lvlText w:val="%5."/>
      <w:lvlJc w:val="left"/>
      <w:pPr>
        <w:ind w:left="0" w:firstLine="3960"/>
      </w:pPr>
      <w:rPr>
        <w:rFonts w:hint="default"/>
        <w:color w:val="000000"/>
        <w:position w:val="0"/>
        <w:sz w:val="22"/>
      </w:rPr>
    </w:lvl>
    <w:lvl w:ilvl="5">
      <w:start w:val="1"/>
      <w:numFmt w:val="lowerRoman"/>
      <w:suff w:val="nothing"/>
      <w:lvlText w:val="%6."/>
      <w:lvlJc w:val="left"/>
      <w:pPr>
        <w:ind w:left="0" w:firstLine="4680"/>
      </w:pPr>
      <w:rPr>
        <w:rFonts w:hint="default"/>
        <w:color w:val="000000"/>
        <w:position w:val="0"/>
        <w:sz w:val="22"/>
      </w:rPr>
    </w:lvl>
    <w:lvl w:ilvl="6">
      <w:start w:val="1"/>
      <w:numFmt w:val="decimal"/>
      <w:isLgl/>
      <w:suff w:val="nothing"/>
      <w:lvlText w:val="%7."/>
      <w:lvlJc w:val="left"/>
      <w:pPr>
        <w:ind w:left="0" w:firstLine="5400"/>
      </w:pPr>
      <w:rPr>
        <w:rFonts w:hint="default"/>
        <w:color w:val="000000"/>
        <w:position w:val="0"/>
        <w:sz w:val="22"/>
      </w:rPr>
    </w:lvl>
    <w:lvl w:ilvl="7">
      <w:start w:val="1"/>
      <w:numFmt w:val="lowerLetter"/>
      <w:suff w:val="nothing"/>
      <w:lvlText w:val="%8."/>
      <w:lvlJc w:val="left"/>
      <w:pPr>
        <w:ind w:left="0" w:firstLine="6120"/>
      </w:pPr>
      <w:rPr>
        <w:rFonts w:hint="default"/>
        <w:color w:val="000000"/>
        <w:position w:val="0"/>
        <w:sz w:val="22"/>
      </w:rPr>
    </w:lvl>
    <w:lvl w:ilvl="8">
      <w:start w:val="1"/>
      <w:numFmt w:val="lowerRoman"/>
      <w:suff w:val="nothing"/>
      <w:lvlText w:val="%9."/>
      <w:lvlJc w:val="left"/>
      <w:pPr>
        <w:ind w:left="0" w:firstLine="6840"/>
      </w:pPr>
      <w:rPr>
        <w:rFonts w:hint="default"/>
        <w:color w:val="000000"/>
        <w:position w:val="0"/>
        <w:sz w:val="22"/>
      </w:rPr>
    </w:lvl>
  </w:abstractNum>
  <w:abstractNum w:abstractNumId="29">
    <w:nsid w:val="00000027"/>
    <w:multiLevelType w:val="multilevel"/>
    <w:tmpl w:val="894EE899"/>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30">
    <w:nsid w:val="00000028"/>
    <w:multiLevelType w:val="multilevel"/>
    <w:tmpl w:val="894EE89A"/>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31">
    <w:nsid w:val="0000002E"/>
    <w:multiLevelType w:val="multilevel"/>
    <w:tmpl w:val="894EE8A0"/>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32">
    <w:nsid w:val="0000002F"/>
    <w:multiLevelType w:val="multilevel"/>
    <w:tmpl w:val="894EE8A1"/>
    <w:lvl w:ilvl="0">
      <w:start w:val="1"/>
      <w:numFmt w:val="bullet"/>
      <w:lvlText w:val="·"/>
      <w:lvlJc w:val="left"/>
      <w:pPr>
        <w:tabs>
          <w:tab w:val="num" w:pos="360"/>
        </w:tabs>
        <w:ind w:left="360" w:firstLine="661"/>
      </w:pPr>
      <w:rPr>
        <w:rFonts w:ascii="Lucida Grande" w:eastAsia="ヒラギノ角ゴ Pro W3" w:hAnsi="Symbol" w:hint="default"/>
        <w:position w:val="0"/>
        <w:sz w:val="22"/>
      </w:rPr>
    </w:lvl>
    <w:lvl w:ilvl="1">
      <w:start w:val="1"/>
      <w:numFmt w:val="bullet"/>
      <w:lvlText w:val="o"/>
      <w:lvlJc w:val="left"/>
      <w:pPr>
        <w:tabs>
          <w:tab w:val="num" w:pos="360"/>
        </w:tabs>
        <w:ind w:left="360" w:firstLine="1381"/>
      </w:pPr>
      <w:rPr>
        <w:rFonts w:ascii="Courier New" w:eastAsia="ヒラギノ角ゴ Pro W3" w:hAnsi="Courier New" w:hint="default"/>
        <w:position w:val="0"/>
        <w:sz w:val="22"/>
      </w:rPr>
    </w:lvl>
    <w:lvl w:ilvl="2">
      <w:start w:val="1"/>
      <w:numFmt w:val="bullet"/>
      <w:lvlText w:val=""/>
      <w:lvlJc w:val="left"/>
      <w:pPr>
        <w:tabs>
          <w:tab w:val="num" w:pos="360"/>
        </w:tabs>
        <w:ind w:left="360" w:firstLine="2101"/>
      </w:pPr>
      <w:rPr>
        <w:rFonts w:ascii="Wingdings" w:eastAsia="ヒラギノ角ゴ Pro W3" w:hAnsi="Wingdings" w:hint="default"/>
        <w:position w:val="0"/>
        <w:sz w:val="22"/>
      </w:rPr>
    </w:lvl>
    <w:lvl w:ilvl="3">
      <w:start w:val="1"/>
      <w:numFmt w:val="bullet"/>
      <w:lvlText w:val="·"/>
      <w:lvlJc w:val="left"/>
      <w:pPr>
        <w:tabs>
          <w:tab w:val="num" w:pos="360"/>
        </w:tabs>
        <w:ind w:left="360" w:firstLine="2821"/>
      </w:pPr>
      <w:rPr>
        <w:rFonts w:ascii="Lucida Grande" w:eastAsia="ヒラギノ角ゴ Pro W3" w:hAnsi="Symbol" w:hint="default"/>
        <w:position w:val="0"/>
        <w:sz w:val="22"/>
      </w:rPr>
    </w:lvl>
    <w:lvl w:ilvl="4">
      <w:start w:val="1"/>
      <w:numFmt w:val="bullet"/>
      <w:lvlText w:val="o"/>
      <w:lvlJc w:val="left"/>
      <w:pPr>
        <w:tabs>
          <w:tab w:val="num" w:pos="360"/>
        </w:tabs>
        <w:ind w:left="360" w:firstLine="3541"/>
      </w:pPr>
      <w:rPr>
        <w:rFonts w:ascii="Courier New" w:eastAsia="ヒラギノ角ゴ Pro W3" w:hAnsi="Courier New" w:hint="default"/>
        <w:position w:val="0"/>
        <w:sz w:val="22"/>
      </w:rPr>
    </w:lvl>
    <w:lvl w:ilvl="5">
      <w:start w:val="1"/>
      <w:numFmt w:val="bullet"/>
      <w:lvlText w:val=""/>
      <w:lvlJc w:val="left"/>
      <w:pPr>
        <w:tabs>
          <w:tab w:val="num" w:pos="360"/>
        </w:tabs>
        <w:ind w:left="360" w:firstLine="4261"/>
      </w:pPr>
      <w:rPr>
        <w:rFonts w:ascii="Wingdings" w:eastAsia="ヒラギノ角ゴ Pro W3" w:hAnsi="Wingdings" w:hint="default"/>
        <w:position w:val="0"/>
        <w:sz w:val="22"/>
      </w:rPr>
    </w:lvl>
    <w:lvl w:ilvl="6">
      <w:start w:val="1"/>
      <w:numFmt w:val="bullet"/>
      <w:lvlText w:val="·"/>
      <w:lvlJc w:val="left"/>
      <w:pPr>
        <w:tabs>
          <w:tab w:val="num" w:pos="360"/>
        </w:tabs>
        <w:ind w:left="360" w:firstLine="4981"/>
      </w:pPr>
      <w:rPr>
        <w:rFonts w:ascii="Lucida Grande" w:eastAsia="ヒラギノ角ゴ Pro W3" w:hAnsi="Symbol" w:hint="default"/>
        <w:position w:val="0"/>
        <w:sz w:val="22"/>
      </w:rPr>
    </w:lvl>
    <w:lvl w:ilvl="7">
      <w:start w:val="1"/>
      <w:numFmt w:val="bullet"/>
      <w:lvlText w:val="o"/>
      <w:lvlJc w:val="left"/>
      <w:pPr>
        <w:tabs>
          <w:tab w:val="num" w:pos="360"/>
        </w:tabs>
        <w:ind w:left="360" w:firstLine="5701"/>
      </w:pPr>
      <w:rPr>
        <w:rFonts w:ascii="Courier New" w:eastAsia="ヒラギノ角ゴ Pro W3" w:hAnsi="Courier New" w:hint="default"/>
        <w:position w:val="0"/>
        <w:sz w:val="22"/>
      </w:rPr>
    </w:lvl>
    <w:lvl w:ilvl="8">
      <w:start w:val="1"/>
      <w:numFmt w:val="bullet"/>
      <w:lvlText w:val=""/>
      <w:lvlJc w:val="left"/>
      <w:pPr>
        <w:tabs>
          <w:tab w:val="num" w:pos="360"/>
        </w:tabs>
        <w:ind w:left="360" w:firstLine="6421"/>
      </w:pPr>
      <w:rPr>
        <w:rFonts w:ascii="Wingdings" w:eastAsia="ヒラギノ角ゴ Pro W3" w:hAnsi="Wingdings" w:hint="default"/>
        <w:position w:val="0"/>
        <w:sz w:val="22"/>
      </w:rPr>
    </w:lvl>
  </w:abstractNum>
  <w:abstractNum w:abstractNumId="33">
    <w:nsid w:val="00000030"/>
    <w:multiLevelType w:val="multilevel"/>
    <w:tmpl w:val="894EE8A2"/>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34">
    <w:nsid w:val="00000031"/>
    <w:multiLevelType w:val="multilevel"/>
    <w:tmpl w:val="894EE8A3"/>
    <w:lvl w:ilvl="0">
      <w:start w:val="1"/>
      <w:numFmt w:val="bullet"/>
      <w:lvlText w:val="·"/>
      <w:lvlJc w:val="left"/>
      <w:pPr>
        <w:tabs>
          <w:tab w:val="num" w:pos="297"/>
        </w:tabs>
        <w:ind w:left="297" w:firstLine="423"/>
      </w:pPr>
      <w:rPr>
        <w:rFonts w:ascii="Lucida Grande" w:eastAsia="ヒラギノ角ゴ Pro W3" w:hAnsi="Symbol" w:hint="default"/>
        <w:color w:val="000000"/>
        <w:position w:val="0"/>
        <w:sz w:val="22"/>
      </w:rPr>
    </w:lvl>
    <w:lvl w:ilvl="1">
      <w:start w:val="1"/>
      <w:numFmt w:val="bullet"/>
      <w:lvlText w:val="o"/>
      <w:lvlJc w:val="left"/>
      <w:pPr>
        <w:tabs>
          <w:tab w:val="num" w:pos="360"/>
        </w:tabs>
        <w:ind w:left="360" w:firstLine="1143"/>
      </w:pPr>
      <w:rPr>
        <w:rFonts w:ascii="Courier New" w:eastAsia="ヒラギノ角ゴ Pro W3" w:hAnsi="Courier New" w:hint="default"/>
        <w:position w:val="0"/>
        <w:sz w:val="22"/>
      </w:rPr>
    </w:lvl>
    <w:lvl w:ilvl="2">
      <w:start w:val="1"/>
      <w:numFmt w:val="bullet"/>
      <w:lvlText w:val=""/>
      <w:lvlJc w:val="left"/>
      <w:pPr>
        <w:tabs>
          <w:tab w:val="num" w:pos="360"/>
        </w:tabs>
        <w:ind w:left="360" w:firstLine="1863"/>
      </w:pPr>
      <w:rPr>
        <w:rFonts w:ascii="Wingdings" w:eastAsia="ヒラギノ角ゴ Pro W3" w:hAnsi="Wingdings" w:hint="default"/>
        <w:position w:val="0"/>
        <w:sz w:val="22"/>
      </w:rPr>
    </w:lvl>
    <w:lvl w:ilvl="3">
      <w:start w:val="1"/>
      <w:numFmt w:val="bullet"/>
      <w:lvlText w:val="·"/>
      <w:lvlJc w:val="left"/>
      <w:pPr>
        <w:tabs>
          <w:tab w:val="num" w:pos="360"/>
        </w:tabs>
        <w:ind w:left="360" w:firstLine="2583"/>
      </w:pPr>
      <w:rPr>
        <w:rFonts w:ascii="Lucida Grande" w:eastAsia="ヒラギノ角ゴ Pro W3" w:hAnsi="Symbol" w:hint="default"/>
        <w:position w:val="0"/>
        <w:sz w:val="22"/>
      </w:rPr>
    </w:lvl>
    <w:lvl w:ilvl="4">
      <w:start w:val="1"/>
      <w:numFmt w:val="bullet"/>
      <w:lvlText w:val="o"/>
      <w:lvlJc w:val="left"/>
      <w:pPr>
        <w:tabs>
          <w:tab w:val="num" w:pos="360"/>
        </w:tabs>
        <w:ind w:left="360" w:firstLine="3303"/>
      </w:pPr>
      <w:rPr>
        <w:rFonts w:ascii="Courier New" w:eastAsia="ヒラギノ角ゴ Pro W3" w:hAnsi="Courier New" w:hint="default"/>
        <w:position w:val="0"/>
        <w:sz w:val="22"/>
      </w:rPr>
    </w:lvl>
    <w:lvl w:ilvl="5">
      <w:start w:val="1"/>
      <w:numFmt w:val="bullet"/>
      <w:lvlText w:val=""/>
      <w:lvlJc w:val="left"/>
      <w:pPr>
        <w:tabs>
          <w:tab w:val="num" w:pos="360"/>
        </w:tabs>
        <w:ind w:left="360" w:firstLine="4023"/>
      </w:pPr>
      <w:rPr>
        <w:rFonts w:ascii="Wingdings" w:eastAsia="ヒラギノ角ゴ Pro W3" w:hAnsi="Wingdings" w:hint="default"/>
        <w:position w:val="0"/>
        <w:sz w:val="22"/>
      </w:rPr>
    </w:lvl>
    <w:lvl w:ilvl="6">
      <w:start w:val="1"/>
      <w:numFmt w:val="bullet"/>
      <w:lvlText w:val="·"/>
      <w:lvlJc w:val="left"/>
      <w:pPr>
        <w:tabs>
          <w:tab w:val="num" w:pos="360"/>
        </w:tabs>
        <w:ind w:left="360" w:firstLine="4743"/>
      </w:pPr>
      <w:rPr>
        <w:rFonts w:ascii="Lucida Grande" w:eastAsia="ヒラギノ角ゴ Pro W3" w:hAnsi="Symbol" w:hint="default"/>
        <w:position w:val="0"/>
        <w:sz w:val="22"/>
      </w:rPr>
    </w:lvl>
    <w:lvl w:ilvl="7">
      <w:start w:val="1"/>
      <w:numFmt w:val="bullet"/>
      <w:lvlText w:val="o"/>
      <w:lvlJc w:val="left"/>
      <w:pPr>
        <w:tabs>
          <w:tab w:val="num" w:pos="360"/>
        </w:tabs>
        <w:ind w:left="360" w:firstLine="5463"/>
      </w:pPr>
      <w:rPr>
        <w:rFonts w:ascii="Courier New" w:eastAsia="ヒラギノ角ゴ Pro W3" w:hAnsi="Courier New" w:hint="default"/>
        <w:position w:val="0"/>
        <w:sz w:val="22"/>
      </w:rPr>
    </w:lvl>
    <w:lvl w:ilvl="8">
      <w:start w:val="1"/>
      <w:numFmt w:val="bullet"/>
      <w:lvlText w:val=""/>
      <w:lvlJc w:val="left"/>
      <w:pPr>
        <w:tabs>
          <w:tab w:val="num" w:pos="360"/>
        </w:tabs>
        <w:ind w:left="360" w:firstLine="6183"/>
      </w:pPr>
      <w:rPr>
        <w:rFonts w:ascii="Wingdings" w:eastAsia="ヒラギノ角ゴ Pro W3" w:hAnsi="Wingdings" w:hint="default"/>
        <w:position w:val="0"/>
        <w:sz w:val="22"/>
      </w:rPr>
    </w:lvl>
  </w:abstractNum>
  <w:abstractNum w:abstractNumId="35">
    <w:nsid w:val="00000038"/>
    <w:multiLevelType w:val="multilevel"/>
    <w:tmpl w:val="894EE8AA"/>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36">
    <w:nsid w:val="00000039"/>
    <w:multiLevelType w:val="multilevel"/>
    <w:tmpl w:val="894EE8AB"/>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37">
    <w:nsid w:val="00000042"/>
    <w:multiLevelType w:val="multilevel"/>
    <w:tmpl w:val="894EE8B4"/>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38">
    <w:nsid w:val="00000043"/>
    <w:multiLevelType w:val="multilevel"/>
    <w:tmpl w:val="894EE8B5"/>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39">
    <w:nsid w:val="00000044"/>
    <w:multiLevelType w:val="multilevel"/>
    <w:tmpl w:val="894EE8B6"/>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0">
    <w:nsid w:val="00000045"/>
    <w:multiLevelType w:val="multilevel"/>
    <w:tmpl w:val="894EE8B7"/>
    <w:lvl w:ilvl="0">
      <w:start w:val="1"/>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1">
    <w:nsid w:val="00000046"/>
    <w:multiLevelType w:val="multilevel"/>
    <w:tmpl w:val="894EE8B8"/>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2">
    <w:nsid w:val="00000047"/>
    <w:multiLevelType w:val="multilevel"/>
    <w:tmpl w:val="894EE8B9"/>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3">
    <w:nsid w:val="00000048"/>
    <w:multiLevelType w:val="multilevel"/>
    <w:tmpl w:val="894EE8BA"/>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4">
    <w:nsid w:val="00000049"/>
    <w:multiLevelType w:val="multilevel"/>
    <w:tmpl w:val="894EE8BB"/>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5">
    <w:nsid w:val="0000004A"/>
    <w:multiLevelType w:val="multilevel"/>
    <w:tmpl w:val="894EE8BC"/>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6">
    <w:nsid w:val="0000004B"/>
    <w:multiLevelType w:val="multilevel"/>
    <w:tmpl w:val="894EE8BD"/>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7">
    <w:nsid w:val="0000004C"/>
    <w:multiLevelType w:val="multilevel"/>
    <w:tmpl w:val="894EE8BE"/>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8">
    <w:nsid w:val="0000004D"/>
    <w:multiLevelType w:val="multilevel"/>
    <w:tmpl w:val="894EE8BF"/>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49">
    <w:nsid w:val="0000004E"/>
    <w:multiLevelType w:val="multilevel"/>
    <w:tmpl w:val="894EE8C0"/>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0">
    <w:nsid w:val="0000004F"/>
    <w:multiLevelType w:val="multilevel"/>
    <w:tmpl w:val="894EE8C1"/>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1">
    <w:nsid w:val="00000050"/>
    <w:multiLevelType w:val="multilevel"/>
    <w:tmpl w:val="894EE8C2"/>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2">
    <w:nsid w:val="00000051"/>
    <w:multiLevelType w:val="multilevel"/>
    <w:tmpl w:val="894EE8C3"/>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3">
    <w:nsid w:val="00000052"/>
    <w:multiLevelType w:val="multilevel"/>
    <w:tmpl w:val="894EE8C4"/>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4">
    <w:nsid w:val="00000053"/>
    <w:multiLevelType w:val="multilevel"/>
    <w:tmpl w:val="894EE8C5"/>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5">
    <w:nsid w:val="00000054"/>
    <w:multiLevelType w:val="multilevel"/>
    <w:tmpl w:val="894EE8C6"/>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6">
    <w:nsid w:val="00000055"/>
    <w:multiLevelType w:val="multilevel"/>
    <w:tmpl w:val="894EE8C7"/>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7">
    <w:nsid w:val="00000056"/>
    <w:multiLevelType w:val="multilevel"/>
    <w:tmpl w:val="894EE8C8"/>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8">
    <w:nsid w:val="00000057"/>
    <w:multiLevelType w:val="multilevel"/>
    <w:tmpl w:val="894EE8C9"/>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59">
    <w:nsid w:val="00000058"/>
    <w:multiLevelType w:val="multilevel"/>
    <w:tmpl w:val="894EE8CA"/>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0">
    <w:nsid w:val="00000059"/>
    <w:multiLevelType w:val="multilevel"/>
    <w:tmpl w:val="894EE8CB"/>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1">
    <w:nsid w:val="0000005A"/>
    <w:multiLevelType w:val="multilevel"/>
    <w:tmpl w:val="894EE8CC"/>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2">
    <w:nsid w:val="0000005B"/>
    <w:multiLevelType w:val="multilevel"/>
    <w:tmpl w:val="894EE8CD"/>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3">
    <w:nsid w:val="0000005C"/>
    <w:multiLevelType w:val="multilevel"/>
    <w:tmpl w:val="894EE8CE"/>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4">
    <w:nsid w:val="0000005D"/>
    <w:multiLevelType w:val="multilevel"/>
    <w:tmpl w:val="894EE8CF"/>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5">
    <w:nsid w:val="0000005E"/>
    <w:multiLevelType w:val="multilevel"/>
    <w:tmpl w:val="894EE8D0"/>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6">
    <w:nsid w:val="0000005F"/>
    <w:multiLevelType w:val="multilevel"/>
    <w:tmpl w:val="894EE8D1"/>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7">
    <w:nsid w:val="00000060"/>
    <w:multiLevelType w:val="multilevel"/>
    <w:tmpl w:val="894EE8D2"/>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8">
    <w:nsid w:val="00000061"/>
    <w:multiLevelType w:val="multilevel"/>
    <w:tmpl w:val="894EE8D3"/>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69">
    <w:nsid w:val="00000062"/>
    <w:multiLevelType w:val="multilevel"/>
    <w:tmpl w:val="894EE8D4"/>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70">
    <w:nsid w:val="00000063"/>
    <w:multiLevelType w:val="multilevel"/>
    <w:tmpl w:val="894EE8D5"/>
    <w:lvl w:ilvl="0">
      <w:numFmt w:val="bullet"/>
      <w:lvlText w:val="·"/>
      <w:lvlJc w:val="left"/>
      <w:pPr>
        <w:tabs>
          <w:tab w:val="num" w:pos="360"/>
        </w:tabs>
        <w:ind w:left="360" w:firstLine="0"/>
      </w:pPr>
      <w:rPr>
        <w:rFonts w:ascii="Lucida Grande" w:eastAsia="ヒラギノ角ゴ Pro W3" w:hAnsi="Symbol" w:hint="default"/>
        <w:position w:val="0"/>
        <w:sz w:val="22"/>
      </w:rPr>
    </w:lvl>
    <w:lvl w:ilvl="1">
      <w:start w:val="1"/>
      <w:numFmt w:val="bullet"/>
      <w:lvlText w:val="o"/>
      <w:lvlJc w:val="left"/>
      <w:pPr>
        <w:tabs>
          <w:tab w:val="num" w:pos="360"/>
        </w:tabs>
        <w:ind w:left="360" w:firstLine="720"/>
      </w:pPr>
      <w:rPr>
        <w:rFonts w:ascii="Courier New" w:eastAsia="ヒラギノ角ゴ Pro W3" w:hAnsi="Courier New"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71">
    <w:nsid w:val="00000064"/>
    <w:multiLevelType w:val="multilevel"/>
    <w:tmpl w:val="894EE8D6"/>
    <w:lvl w:ilvl="0">
      <w:start w:val="1"/>
      <w:numFmt w:val="decimal"/>
      <w:isLgl/>
      <w:lvlText w:val="%1."/>
      <w:lvlJc w:val="left"/>
      <w:pPr>
        <w:tabs>
          <w:tab w:val="num" w:pos="360"/>
        </w:tabs>
        <w:ind w:left="360" w:firstLine="360"/>
      </w:pPr>
      <w:rPr>
        <w:rFonts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72">
    <w:nsid w:val="00000066"/>
    <w:multiLevelType w:val="multilevel"/>
    <w:tmpl w:val="894EE8D8"/>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73">
    <w:nsid w:val="00000067"/>
    <w:multiLevelType w:val="multilevel"/>
    <w:tmpl w:val="894EE8D9"/>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74">
    <w:nsid w:val="00000068"/>
    <w:multiLevelType w:val="multilevel"/>
    <w:tmpl w:val="894EE8DA"/>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75">
    <w:nsid w:val="00000069"/>
    <w:multiLevelType w:val="multilevel"/>
    <w:tmpl w:val="894EE8DB"/>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76">
    <w:nsid w:val="0000006A"/>
    <w:multiLevelType w:val="multilevel"/>
    <w:tmpl w:val="894EE8DC"/>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77">
    <w:nsid w:val="0000006D"/>
    <w:multiLevelType w:val="multilevel"/>
    <w:tmpl w:val="894EE8E0"/>
    <w:numStyleLink w:val="List42"/>
  </w:abstractNum>
  <w:abstractNum w:abstractNumId="78">
    <w:nsid w:val="0000006E"/>
    <w:multiLevelType w:val="multilevel"/>
    <w:tmpl w:val="894EE8E0"/>
    <w:styleLink w:val="List42"/>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79">
    <w:nsid w:val="00000070"/>
    <w:multiLevelType w:val="multilevel"/>
    <w:tmpl w:val="404E697A"/>
    <w:lvl w:ilvl="0">
      <w:start w:val="1"/>
      <w:numFmt w:val="bullet"/>
      <w:lvlText w:val=""/>
      <w:lvlJc w:val="left"/>
      <w:pPr>
        <w:tabs>
          <w:tab w:val="num" w:pos="0"/>
        </w:tabs>
        <w:ind w:left="0" w:firstLine="360"/>
      </w:pPr>
      <w:rPr>
        <w:rFonts w:ascii="Symbol" w:hAnsi="Symbol" w:hint="default"/>
        <w:position w:val="0"/>
        <w:sz w:val="22"/>
      </w:rPr>
    </w:lvl>
    <w:lvl w:ilvl="1">
      <w:start w:val="1"/>
      <w:numFmt w:val="lowerLetter"/>
      <w:lvlText w:val="%2."/>
      <w:lvlJc w:val="left"/>
      <w:pPr>
        <w:tabs>
          <w:tab w:val="num" w:pos="0"/>
        </w:tabs>
        <w:ind w:left="0" w:firstLine="1080"/>
      </w:pPr>
      <w:rPr>
        <w:rFonts w:hint="default"/>
        <w:position w:val="0"/>
        <w:sz w:val="22"/>
      </w:rPr>
    </w:lvl>
    <w:lvl w:ilvl="2">
      <w:start w:val="1"/>
      <w:numFmt w:val="lowerRoman"/>
      <w:lvlText w:val="%3."/>
      <w:lvlJc w:val="left"/>
      <w:pPr>
        <w:tabs>
          <w:tab w:val="num" w:pos="0"/>
        </w:tabs>
        <w:ind w:left="0" w:firstLine="1800"/>
      </w:pPr>
      <w:rPr>
        <w:rFonts w:hint="default"/>
        <w:position w:val="0"/>
        <w:sz w:val="22"/>
      </w:rPr>
    </w:lvl>
    <w:lvl w:ilvl="3">
      <w:start w:val="1"/>
      <w:numFmt w:val="decimal"/>
      <w:isLgl/>
      <w:lvlText w:val="%4."/>
      <w:lvlJc w:val="left"/>
      <w:pPr>
        <w:tabs>
          <w:tab w:val="num" w:pos="0"/>
        </w:tabs>
        <w:ind w:left="0" w:firstLine="2520"/>
      </w:pPr>
      <w:rPr>
        <w:rFonts w:hint="default"/>
        <w:position w:val="0"/>
        <w:sz w:val="22"/>
      </w:rPr>
    </w:lvl>
    <w:lvl w:ilvl="4">
      <w:start w:val="1"/>
      <w:numFmt w:val="lowerLetter"/>
      <w:lvlText w:val="%5."/>
      <w:lvlJc w:val="left"/>
      <w:pPr>
        <w:tabs>
          <w:tab w:val="num" w:pos="0"/>
        </w:tabs>
        <w:ind w:left="0" w:firstLine="3240"/>
      </w:pPr>
      <w:rPr>
        <w:rFonts w:hint="default"/>
        <w:position w:val="0"/>
        <w:sz w:val="22"/>
      </w:rPr>
    </w:lvl>
    <w:lvl w:ilvl="5">
      <w:start w:val="1"/>
      <w:numFmt w:val="lowerRoman"/>
      <w:lvlText w:val="%6."/>
      <w:lvlJc w:val="left"/>
      <w:pPr>
        <w:tabs>
          <w:tab w:val="num" w:pos="0"/>
        </w:tabs>
        <w:ind w:left="0" w:firstLine="3960"/>
      </w:pPr>
      <w:rPr>
        <w:rFonts w:hint="default"/>
        <w:position w:val="0"/>
        <w:sz w:val="22"/>
      </w:rPr>
    </w:lvl>
    <w:lvl w:ilvl="6">
      <w:start w:val="1"/>
      <w:numFmt w:val="decimal"/>
      <w:isLgl/>
      <w:lvlText w:val="%7."/>
      <w:lvlJc w:val="left"/>
      <w:pPr>
        <w:tabs>
          <w:tab w:val="num" w:pos="0"/>
        </w:tabs>
        <w:ind w:left="0" w:firstLine="4680"/>
      </w:pPr>
      <w:rPr>
        <w:rFonts w:hint="default"/>
        <w:position w:val="0"/>
        <w:sz w:val="22"/>
      </w:rPr>
    </w:lvl>
    <w:lvl w:ilvl="7">
      <w:start w:val="1"/>
      <w:numFmt w:val="lowerLetter"/>
      <w:lvlText w:val="%8."/>
      <w:lvlJc w:val="left"/>
      <w:pPr>
        <w:tabs>
          <w:tab w:val="num" w:pos="0"/>
        </w:tabs>
        <w:ind w:left="0" w:firstLine="5400"/>
      </w:pPr>
      <w:rPr>
        <w:rFonts w:hint="default"/>
        <w:position w:val="0"/>
        <w:sz w:val="22"/>
      </w:rPr>
    </w:lvl>
    <w:lvl w:ilvl="8">
      <w:start w:val="1"/>
      <w:numFmt w:val="lowerRoman"/>
      <w:lvlText w:val="%9."/>
      <w:lvlJc w:val="left"/>
      <w:pPr>
        <w:tabs>
          <w:tab w:val="num" w:pos="0"/>
        </w:tabs>
        <w:ind w:left="0" w:firstLine="6120"/>
      </w:pPr>
      <w:rPr>
        <w:rFonts w:hint="default"/>
        <w:position w:val="0"/>
        <w:sz w:val="22"/>
      </w:rPr>
    </w:lvl>
  </w:abstractNum>
  <w:abstractNum w:abstractNumId="80">
    <w:nsid w:val="00000071"/>
    <w:multiLevelType w:val="multilevel"/>
    <w:tmpl w:val="894EE8E3"/>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81">
    <w:nsid w:val="00000072"/>
    <w:multiLevelType w:val="multilevel"/>
    <w:tmpl w:val="894EE8E4"/>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82">
    <w:nsid w:val="00000073"/>
    <w:multiLevelType w:val="multilevel"/>
    <w:tmpl w:val="894EE8E5"/>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83">
    <w:nsid w:val="00000074"/>
    <w:multiLevelType w:val="multilevel"/>
    <w:tmpl w:val="894EE8E6"/>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84">
    <w:nsid w:val="00000075"/>
    <w:multiLevelType w:val="multilevel"/>
    <w:tmpl w:val="894EE8E7"/>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85">
    <w:nsid w:val="00000076"/>
    <w:multiLevelType w:val="multilevel"/>
    <w:tmpl w:val="894EE8E8"/>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86">
    <w:nsid w:val="00000077"/>
    <w:multiLevelType w:val="multilevel"/>
    <w:tmpl w:val="894EE8E9"/>
    <w:lvl w:ilvl="0">
      <w:start w:val="1"/>
      <w:numFmt w:val="decimal"/>
      <w:isLgl/>
      <w:lvlText w:val="%1."/>
      <w:lvlJc w:val="left"/>
      <w:pPr>
        <w:tabs>
          <w:tab w:val="num" w:pos="360"/>
        </w:tabs>
        <w:ind w:left="360" w:firstLine="360"/>
      </w:pPr>
      <w:rPr>
        <w:rFonts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87">
    <w:nsid w:val="00000078"/>
    <w:multiLevelType w:val="multilevel"/>
    <w:tmpl w:val="894EE8EA"/>
    <w:lvl w:ilvl="0">
      <w:start w:val="1"/>
      <w:numFmt w:val="bullet"/>
      <w:lvlText w:val="·"/>
      <w:lvlJc w:val="left"/>
      <w:pPr>
        <w:tabs>
          <w:tab w:val="num" w:pos="297"/>
        </w:tabs>
        <w:ind w:left="297" w:firstLine="423"/>
      </w:pPr>
      <w:rPr>
        <w:rFonts w:ascii="Lucida Grande" w:eastAsia="ヒラギノ角ゴ Pro W3" w:hAnsi="Symbol" w:hint="default"/>
        <w:position w:val="0"/>
        <w:sz w:val="22"/>
      </w:rPr>
    </w:lvl>
    <w:lvl w:ilvl="1">
      <w:start w:val="1"/>
      <w:numFmt w:val="bullet"/>
      <w:lvlText w:val="o"/>
      <w:lvlJc w:val="left"/>
      <w:pPr>
        <w:tabs>
          <w:tab w:val="num" w:pos="360"/>
        </w:tabs>
        <w:ind w:left="360" w:firstLine="1143"/>
      </w:pPr>
      <w:rPr>
        <w:rFonts w:ascii="Courier New" w:eastAsia="ヒラギノ角ゴ Pro W3" w:hAnsi="Courier New" w:hint="default"/>
        <w:position w:val="0"/>
        <w:sz w:val="22"/>
      </w:rPr>
    </w:lvl>
    <w:lvl w:ilvl="2">
      <w:start w:val="1"/>
      <w:numFmt w:val="bullet"/>
      <w:lvlText w:val=""/>
      <w:lvlJc w:val="left"/>
      <w:pPr>
        <w:tabs>
          <w:tab w:val="num" w:pos="360"/>
        </w:tabs>
        <w:ind w:left="360" w:firstLine="1863"/>
      </w:pPr>
      <w:rPr>
        <w:rFonts w:ascii="Wingdings" w:eastAsia="ヒラギノ角ゴ Pro W3" w:hAnsi="Wingdings" w:hint="default"/>
        <w:position w:val="0"/>
        <w:sz w:val="22"/>
      </w:rPr>
    </w:lvl>
    <w:lvl w:ilvl="3">
      <w:start w:val="1"/>
      <w:numFmt w:val="bullet"/>
      <w:lvlText w:val="·"/>
      <w:lvlJc w:val="left"/>
      <w:pPr>
        <w:tabs>
          <w:tab w:val="num" w:pos="360"/>
        </w:tabs>
        <w:ind w:left="360" w:firstLine="2583"/>
      </w:pPr>
      <w:rPr>
        <w:rFonts w:ascii="Lucida Grande" w:eastAsia="ヒラギノ角ゴ Pro W3" w:hAnsi="Symbol" w:hint="default"/>
        <w:position w:val="0"/>
        <w:sz w:val="22"/>
      </w:rPr>
    </w:lvl>
    <w:lvl w:ilvl="4">
      <w:start w:val="1"/>
      <w:numFmt w:val="bullet"/>
      <w:lvlText w:val="o"/>
      <w:lvlJc w:val="left"/>
      <w:pPr>
        <w:tabs>
          <w:tab w:val="num" w:pos="360"/>
        </w:tabs>
        <w:ind w:left="360" w:firstLine="3303"/>
      </w:pPr>
      <w:rPr>
        <w:rFonts w:ascii="Courier New" w:eastAsia="ヒラギノ角ゴ Pro W3" w:hAnsi="Courier New" w:hint="default"/>
        <w:position w:val="0"/>
        <w:sz w:val="22"/>
      </w:rPr>
    </w:lvl>
    <w:lvl w:ilvl="5">
      <w:start w:val="1"/>
      <w:numFmt w:val="bullet"/>
      <w:lvlText w:val=""/>
      <w:lvlJc w:val="left"/>
      <w:pPr>
        <w:tabs>
          <w:tab w:val="num" w:pos="360"/>
        </w:tabs>
        <w:ind w:left="360" w:firstLine="4023"/>
      </w:pPr>
      <w:rPr>
        <w:rFonts w:ascii="Wingdings" w:eastAsia="ヒラギノ角ゴ Pro W3" w:hAnsi="Wingdings" w:hint="default"/>
        <w:position w:val="0"/>
        <w:sz w:val="22"/>
      </w:rPr>
    </w:lvl>
    <w:lvl w:ilvl="6">
      <w:start w:val="1"/>
      <w:numFmt w:val="bullet"/>
      <w:lvlText w:val="·"/>
      <w:lvlJc w:val="left"/>
      <w:pPr>
        <w:tabs>
          <w:tab w:val="num" w:pos="360"/>
        </w:tabs>
        <w:ind w:left="360" w:firstLine="4743"/>
      </w:pPr>
      <w:rPr>
        <w:rFonts w:ascii="Lucida Grande" w:eastAsia="ヒラギノ角ゴ Pro W3" w:hAnsi="Symbol" w:hint="default"/>
        <w:position w:val="0"/>
        <w:sz w:val="22"/>
      </w:rPr>
    </w:lvl>
    <w:lvl w:ilvl="7">
      <w:start w:val="1"/>
      <w:numFmt w:val="bullet"/>
      <w:lvlText w:val="o"/>
      <w:lvlJc w:val="left"/>
      <w:pPr>
        <w:tabs>
          <w:tab w:val="num" w:pos="360"/>
        </w:tabs>
        <w:ind w:left="360" w:firstLine="5463"/>
      </w:pPr>
      <w:rPr>
        <w:rFonts w:ascii="Courier New" w:eastAsia="ヒラギノ角ゴ Pro W3" w:hAnsi="Courier New" w:hint="default"/>
        <w:position w:val="0"/>
        <w:sz w:val="22"/>
      </w:rPr>
    </w:lvl>
    <w:lvl w:ilvl="8">
      <w:start w:val="1"/>
      <w:numFmt w:val="bullet"/>
      <w:lvlText w:val=""/>
      <w:lvlJc w:val="left"/>
      <w:pPr>
        <w:tabs>
          <w:tab w:val="num" w:pos="360"/>
        </w:tabs>
        <w:ind w:left="360" w:firstLine="6183"/>
      </w:pPr>
      <w:rPr>
        <w:rFonts w:ascii="Wingdings" w:eastAsia="ヒラギノ角ゴ Pro W3" w:hAnsi="Wingdings" w:hint="default"/>
        <w:position w:val="0"/>
        <w:sz w:val="22"/>
      </w:rPr>
    </w:lvl>
  </w:abstractNum>
  <w:abstractNum w:abstractNumId="88">
    <w:nsid w:val="00000079"/>
    <w:multiLevelType w:val="multilevel"/>
    <w:tmpl w:val="894EE8EB"/>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89">
    <w:nsid w:val="0000007A"/>
    <w:multiLevelType w:val="multilevel"/>
    <w:tmpl w:val="894EE8EC"/>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90">
    <w:nsid w:val="0000007B"/>
    <w:multiLevelType w:val="multilevel"/>
    <w:tmpl w:val="894EE8ED"/>
    <w:lvl w:ilvl="0">
      <w:start w:val="1"/>
      <w:numFmt w:val="bullet"/>
      <w:lvlText w:val="·"/>
      <w:lvlJc w:val="left"/>
      <w:pPr>
        <w:tabs>
          <w:tab w:val="num" w:pos="135"/>
        </w:tabs>
        <w:ind w:left="135" w:firstLine="585"/>
      </w:pPr>
      <w:rPr>
        <w:rFonts w:ascii="Lucida Grande" w:eastAsia="ヒラギノ角ゴ Pro W3" w:hAnsi="Symbol" w:hint="default"/>
        <w:position w:val="0"/>
        <w:sz w:val="20"/>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0"/>
      </w:rPr>
    </w:lvl>
    <w:lvl w:ilvl="2">
      <w:start w:val="1"/>
      <w:numFmt w:val="bullet"/>
      <w:lvlText w:val=""/>
      <w:lvlJc w:val="left"/>
      <w:pPr>
        <w:tabs>
          <w:tab w:val="num" w:pos="360"/>
        </w:tabs>
        <w:ind w:left="360" w:firstLine="1800"/>
      </w:pPr>
      <w:rPr>
        <w:rFonts w:ascii="Wingdings" w:eastAsia="ヒラギノ角ゴ Pro W3" w:hAnsi="Wingdings" w:hint="default"/>
        <w:position w:val="0"/>
        <w:sz w:val="20"/>
      </w:rPr>
    </w:lvl>
    <w:lvl w:ilvl="3">
      <w:start w:val="1"/>
      <w:numFmt w:val="bullet"/>
      <w:lvlText w:val=""/>
      <w:lvlJc w:val="left"/>
      <w:pPr>
        <w:tabs>
          <w:tab w:val="num" w:pos="360"/>
        </w:tabs>
        <w:ind w:left="360" w:firstLine="2520"/>
      </w:pPr>
      <w:rPr>
        <w:rFonts w:ascii="Wingdings" w:eastAsia="ヒラギノ角ゴ Pro W3" w:hAnsi="Wingdings" w:hint="default"/>
        <w:position w:val="0"/>
        <w:sz w:val="20"/>
      </w:rPr>
    </w:lvl>
    <w:lvl w:ilvl="4">
      <w:start w:val="1"/>
      <w:numFmt w:val="bullet"/>
      <w:lvlText w:val=""/>
      <w:lvlJc w:val="left"/>
      <w:pPr>
        <w:tabs>
          <w:tab w:val="num" w:pos="360"/>
        </w:tabs>
        <w:ind w:left="360" w:firstLine="3240"/>
      </w:pPr>
      <w:rPr>
        <w:rFonts w:ascii="Wingdings" w:eastAsia="ヒラギノ角ゴ Pro W3" w:hAnsi="Wingdings" w:hint="default"/>
        <w:position w:val="0"/>
        <w:sz w:val="20"/>
      </w:rPr>
    </w:lvl>
    <w:lvl w:ilvl="5">
      <w:start w:val="1"/>
      <w:numFmt w:val="bullet"/>
      <w:lvlText w:val=""/>
      <w:lvlJc w:val="left"/>
      <w:pPr>
        <w:tabs>
          <w:tab w:val="num" w:pos="360"/>
        </w:tabs>
        <w:ind w:left="360" w:firstLine="3960"/>
      </w:pPr>
      <w:rPr>
        <w:rFonts w:ascii="Wingdings" w:eastAsia="ヒラギノ角ゴ Pro W3" w:hAnsi="Wingdings" w:hint="default"/>
        <w:position w:val="0"/>
        <w:sz w:val="20"/>
      </w:rPr>
    </w:lvl>
    <w:lvl w:ilvl="6">
      <w:start w:val="1"/>
      <w:numFmt w:val="bullet"/>
      <w:lvlText w:val=""/>
      <w:lvlJc w:val="left"/>
      <w:pPr>
        <w:tabs>
          <w:tab w:val="num" w:pos="360"/>
        </w:tabs>
        <w:ind w:left="360" w:firstLine="4680"/>
      </w:pPr>
      <w:rPr>
        <w:rFonts w:ascii="Wingdings" w:eastAsia="ヒラギノ角ゴ Pro W3" w:hAnsi="Wingdings" w:hint="default"/>
        <w:position w:val="0"/>
        <w:sz w:val="20"/>
      </w:rPr>
    </w:lvl>
    <w:lvl w:ilvl="7">
      <w:start w:val="1"/>
      <w:numFmt w:val="bullet"/>
      <w:lvlText w:val=""/>
      <w:lvlJc w:val="left"/>
      <w:pPr>
        <w:tabs>
          <w:tab w:val="num" w:pos="360"/>
        </w:tabs>
        <w:ind w:left="360" w:firstLine="5400"/>
      </w:pPr>
      <w:rPr>
        <w:rFonts w:ascii="Wingdings" w:eastAsia="ヒラギノ角ゴ Pro W3" w:hAnsi="Wingdings" w:hint="default"/>
        <w:position w:val="0"/>
        <w:sz w:val="20"/>
      </w:rPr>
    </w:lvl>
    <w:lvl w:ilvl="8">
      <w:start w:val="1"/>
      <w:numFmt w:val="bullet"/>
      <w:lvlText w:val=""/>
      <w:lvlJc w:val="left"/>
      <w:pPr>
        <w:tabs>
          <w:tab w:val="num" w:pos="360"/>
        </w:tabs>
        <w:ind w:left="360" w:firstLine="6120"/>
      </w:pPr>
      <w:rPr>
        <w:rFonts w:ascii="Wingdings" w:eastAsia="ヒラギノ角ゴ Pro W3" w:hAnsi="Wingdings" w:hint="default"/>
        <w:position w:val="0"/>
        <w:sz w:val="20"/>
      </w:rPr>
    </w:lvl>
  </w:abstractNum>
  <w:abstractNum w:abstractNumId="91">
    <w:nsid w:val="0000007C"/>
    <w:multiLevelType w:val="multilevel"/>
    <w:tmpl w:val="894EE8EE"/>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92">
    <w:nsid w:val="0000007E"/>
    <w:multiLevelType w:val="multilevel"/>
    <w:tmpl w:val="894EE8F0"/>
    <w:lvl w:ilvl="0">
      <w:start w:val="1"/>
      <w:numFmt w:val="bullet"/>
      <w:lvlText w:val="·"/>
      <w:lvlJc w:val="left"/>
      <w:pPr>
        <w:tabs>
          <w:tab w:val="num" w:pos="300"/>
        </w:tabs>
        <w:ind w:left="300" w:firstLine="420"/>
      </w:pPr>
      <w:rPr>
        <w:rFonts w:ascii="Lucida Grande" w:eastAsia="ヒラギノ角ゴ Pro W3" w:hAnsi="Symbol" w:hint="default"/>
        <w:position w:val="0"/>
        <w:sz w:val="22"/>
      </w:rPr>
    </w:lvl>
    <w:lvl w:ilvl="1">
      <w:start w:val="1"/>
      <w:numFmt w:val="bullet"/>
      <w:lvlText w:val="o"/>
      <w:lvlJc w:val="left"/>
      <w:pPr>
        <w:tabs>
          <w:tab w:val="num" w:pos="360"/>
        </w:tabs>
        <w:ind w:left="360" w:firstLine="1140"/>
      </w:pPr>
      <w:rPr>
        <w:rFonts w:ascii="Courier New" w:eastAsia="ヒラギノ角ゴ Pro W3" w:hAnsi="Courier New" w:hint="default"/>
        <w:position w:val="0"/>
        <w:sz w:val="22"/>
      </w:rPr>
    </w:lvl>
    <w:lvl w:ilvl="2">
      <w:start w:val="1"/>
      <w:numFmt w:val="bullet"/>
      <w:lvlText w:val=""/>
      <w:lvlJc w:val="left"/>
      <w:pPr>
        <w:tabs>
          <w:tab w:val="num" w:pos="360"/>
        </w:tabs>
        <w:ind w:left="360" w:firstLine="1860"/>
      </w:pPr>
      <w:rPr>
        <w:rFonts w:ascii="Wingdings" w:eastAsia="ヒラギノ角ゴ Pro W3" w:hAnsi="Wingdings" w:hint="default"/>
        <w:position w:val="0"/>
        <w:sz w:val="22"/>
      </w:rPr>
    </w:lvl>
    <w:lvl w:ilvl="3">
      <w:start w:val="1"/>
      <w:numFmt w:val="bullet"/>
      <w:lvlText w:val="·"/>
      <w:lvlJc w:val="left"/>
      <w:pPr>
        <w:tabs>
          <w:tab w:val="num" w:pos="360"/>
        </w:tabs>
        <w:ind w:left="360" w:firstLine="2580"/>
      </w:pPr>
      <w:rPr>
        <w:rFonts w:ascii="Lucida Grande" w:eastAsia="ヒラギノ角ゴ Pro W3" w:hAnsi="Symbol" w:hint="default"/>
        <w:position w:val="0"/>
        <w:sz w:val="22"/>
      </w:rPr>
    </w:lvl>
    <w:lvl w:ilvl="4">
      <w:start w:val="1"/>
      <w:numFmt w:val="bullet"/>
      <w:lvlText w:val="o"/>
      <w:lvlJc w:val="left"/>
      <w:pPr>
        <w:tabs>
          <w:tab w:val="num" w:pos="360"/>
        </w:tabs>
        <w:ind w:left="360" w:firstLine="3300"/>
      </w:pPr>
      <w:rPr>
        <w:rFonts w:ascii="Courier New" w:eastAsia="ヒラギノ角ゴ Pro W3" w:hAnsi="Courier New" w:hint="default"/>
        <w:position w:val="0"/>
        <w:sz w:val="22"/>
      </w:rPr>
    </w:lvl>
    <w:lvl w:ilvl="5">
      <w:start w:val="1"/>
      <w:numFmt w:val="bullet"/>
      <w:lvlText w:val=""/>
      <w:lvlJc w:val="left"/>
      <w:pPr>
        <w:tabs>
          <w:tab w:val="num" w:pos="360"/>
        </w:tabs>
        <w:ind w:left="360" w:firstLine="4020"/>
      </w:pPr>
      <w:rPr>
        <w:rFonts w:ascii="Wingdings" w:eastAsia="ヒラギノ角ゴ Pro W3" w:hAnsi="Wingdings" w:hint="default"/>
        <w:position w:val="0"/>
        <w:sz w:val="22"/>
      </w:rPr>
    </w:lvl>
    <w:lvl w:ilvl="6">
      <w:start w:val="1"/>
      <w:numFmt w:val="bullet"/>
      <w:lvlText w:val="·"/>
      <w:lvlJc w:val="left"/>
      <w:pPr>
        <w:tabs>
          <w:tab w:val="num" w:pos="360"/>
        </w:tabs>
        <w:ind w:left="360" w:firstLine="4740"/>
      </w:pPr>
      <w:rPr>
        <w:rFonts w:ascii="Lucida Grande" w:eastAsia="ヒラギノ角ゴ Pro W3" w:hAnsi="Symbol" w:hint="default"/>
        <w:position w:val="0"/>
        <w:sz w:val="22"/>
      </w:rPr>
    </w:lvl>
    <w:lvl w:ilvl="7">
      <w:start w:val="1"/>
      <w:numFmt w:val="bullet"/>
      <w:lvlText w:val="o"/>
      <w:lvlJc w:val="left"/>
      <w:pPr>
        <w:tabs>
          <w:tab w:val="num" w:pos="360"/>
        </w:tabs>
        <w:ind w:left="360" w:firstLine="5460"/>
      </w:pPr>
      <w:rPr>
        <w:rFonts w:ascii="Courier New" w:eastAsia="ヒラギノ角ゴ Pro W3" w:hAnsi="Courier New" w:hint="default"/>
        <w:position w:val="0"/>
        <w:sz w:val="22"/>
      </w:rPr>
    </w:lvl>
    <w:lvl w:ilvl="8">
      <w:start w:val="1"/>
      <w:numFmt w:val="bullet"/>
      <w:lvlText w:val=""/>
      <w:lvlJc w:val="left"/>
      <w:pPr>
        <w:tabs>
          <w:tab w:val="num" w:pos="360"/>
        </w:tabs>
        <w:ind w:left="360" w:firstLine="6180"/>
      </w:pPr>
      <w:rPr>
        <w:rFonts w:ascii="Wingdings" w:eastAsia="ヒラギノ角ゴ Pro W3" w:hAnsi="Wingdings" w:hint="default"/>
        <w:position w:val="0"/>
        <w:sz w:val="22"/>
      </w:rPr>
    </w:lvl>
  </w:abstractNum>
  <w:abstractNum w:abstractNumId="93">
    <w:nsid w:val="0000007F"/>
    <w:multiLevelType w:val="multilevel"/>
    <w:tmpl w:val="894EE8F1"/>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94">
    <w:nsid w:val="00000080"/>
    <w:multiLevelType w:val="multilevel"/>
    <w:tmpl w:val="894EE8F2"/>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360"/>
      </w:pPr>
      <w:rPr>
        <w:rFonts w:ascii="Courier New" w:eastAsia="ヒラギノ角ゴ Pro W3" w:hAnsi="Courier New" w:hint="default"/>
        <w:position w:val="0"/>
        <w:sz w:val="22"/>
      </w:rPr>
    </w:lvl>
    <w:lvl w:ilvl="2">
      <w:start w:val="1"/>
      <w:numFmt w:val="bullet"/>
      <w:lvlText w:val=""/>
      <w:lvlJc w:val="left"/>
      <w:pPr>
        <w:tabs>
          <w:tab w:val="num" w:pos="360"/>
        </w:tabs>
        <w:ind w:left="360" w:firstLine="1080"/>
      </w:pPr>
      <w:rPr>
        <w:rFonts w:ascii="Wingdings" w:eastAsia="ヒラギノ角ゴ Pro W3" w:hAnsi="Wingdings" w:hint="default"/>
        <w:position w:val="0"/>
        <w:sz w:val="22"/>
      </w:rPr>
    </w:lvl>
    <w:lvl w:ilvl="3">
      <w:start w:val="1"/>
      <w:numFmt w:val="bullet"/>
      <w:lvlText w:val="·"/>
      <w:lvlJc w:val="left"/>
      <w:pPr>
        <w:tabs>
          <w:tab w:val="num" w:pos="360"/>
        </w:tabs>
        <w:ind w:left="360" w:firstLine="1800"/>
      </w:pPr>
      <w:rPr>
        <w:rFonts w:ascii="Lucida Grande" w:eastAsia="ヒラギノ角ゴ Pro W3" w:hAnsi="Symbol" w:hint="default"/>
        <w:position w:val="0"/>
        <w:sz w:val="22"/>
      </w:rPr>
    </w:lvl>
    <w:lvl w:ilvl="4">
      <w:start w:val="1"/>
      <w:numFmt w:val="bullet"/>
      <w:lvlText w:val="o"/>
      <w:lvlJc w:val="left"/>
      <w:pPr>
        <w:tabs>
          <w:tab w:val="num" w:pos="360"/>
        </w:tabs>
        <w:ind w:left="360" w:firstLine="2520"/>
      </w:pPr>
      <w:rPr>
        <w:rFonts w:ascii="Courier New" w:eastAsia="ヒラギノ角ゴ Pro W3" w:hAnsi="Courier New" w:hint="default"/>
        <w:position w:val="0"/>
        <w:sz w:val="22"/>
      </w:rPr>
    </w:lvl>
    <w:lvl w:ilvl="5">
      <w:start w:val="1"/>
      <w:numFmt w:val="bullet"/>
      <w:lvlText w:val=""/>
      <w:lvlJc w:val="left"/>
      <w:pPr>
        <w:tabs>
          <w:tab w:val="num" w:pos="360"/>
        </w:tabs>
        <w:ind w:left="360" w:firstLine="3240"/>
      </w:pPr>
      <w:rPr>
        <w:rFonts w:ascii="Wingdings" w:eastAsia="ヒラギノ角ゴ Pro W3" w:hAnsi="Wingdings" w:hint="default"/>
        <w:position w:val="0"/>
        <w:sz w:val="22"/>
      </w:rPr>
    </w:lvl>
    <w:lvl w:ilvl="6">
      <w:start w:val="1"/>
      <w:numFmt w:val="bullet"/>
      <w:lvlText w:val="·"/>
      <w:lvlJc w:val="left"/>
      <w:pPr>
        <w:tabs>
          <w:tab w:val="num" w:pos="360"/>
        </w:tabs>
        <w:ind w:left="360" w:firstLine="3960"/>
      </w:pPr>
      <w:rPr>
        <w:rFonts w:ascii="Lucida Grande" w:eastAsia="ヒラギノ角ゴ Pro W3" w:hAnsi="Symbol" w:hint="default"/>
        <w:position w:val="0"/>
        <w:sz w:val="22"/>
      </w:rPr>
    </w:lvl>
    <w:lvl w:ilvl="7">
      <w:start w:val="1"/>
      <w:numFmt w:val="bullet"/>
      <w:lvlText w:val="o"/>
      <w:lvlJc w:val="left"/>
      <w:pPr>
        <w:tabs>
          <w:tab w:val="num" w:pos="360"/>
        </w:tabs>
        <w:ind w:left="360" w:firstLine="4680"/>
      </w:pPr>
      <w:rPr>
        <w:rFonts w:ascii="Courier New" w:eastAsia="ヒラギノ角ゴ Pro W3" w:hAnsi="Courier New" w:hint="default"/>
        <w:position w:val="0"/>
        <w:sz w:val="22"/>
      </w:rPr>
    </w:lvl>
    <w:lvl w:ilvl="8">
      <w:start w:val="1"/>
      <w:numFmt w:val="bullet"/>
      <w:lvlText w:val=""/>
      <w:lvlJc w:val="left"/>
      <w:pPr>
        <w:tabs>
          <w:tab w:val="num" w:pos="360"/>
        </w:tabs>
        <w:ind w:left="360" w:firstLine="5400"/>
      </w:pPr>
      <w:rPr>
        <w:rFonts w:ascii="Wingdings" w:eastAsia="ヒラギノ角ゴ Pro W3" w:hAnsi="Wingdings" w:hint="default"/>
        <w:position w:val="0"/>
        <w:sz w:val="22"/>
      </w:rPr>
    </w:lvl>
  </w:abstractNum>
  <w:abstractNum w:abstractNumId="95">
    <w:nsid w:val="00000081"/>
    <w:multiLevelType w:val="multilevel"/>
    <w:tmpl w:val="8CEA8E00"/>
    <w:lvl w:ilvl="0">
      <w:start w:val="1"/>
      <w:numFmt w:val="bullet"/>
      <w:lvlText w:val=""/>
      <w:lvlJc w:val="left"/>
      <w:pPr>
        <w:tabs>
          <w:tab w:val="num" w:pos="0"/>
        </w:tabs>
        <w:ind w:left="0" w:firstLine="360"/>
      </w:pPr>
      <w:rPr>
        <w:rFonts w:ascii="Symbol" w:hAnsi="Symbol" w:hint="default"/>
        <w:position w:val="0"/>
        <w:sz w:val="22"/>
      </w:rPr>
    </w:lvl>
    <w:lvl w:ilvl="1">
      <w:start w:val="1"/>
      <w:numFmt w:val="bullet"/>
      <w:lvlText w:val=""/>
      <w:lvlJc w:val="left"/>
      <w:pPr>
        <w:tabs>
          <w:tab w:val="num" w:pos="0"/>
        </w:tabs>
        <w:ind w:left="0" w:firstLine="1080"/>
      </w:pPr>
      <w:rPr>
        <w:rFonts w:ascii="Symbol" w:hAnsi="Symbol" w:hint="default"/>
        <w:position w:val="0"/>
        <w:sz w:val="22"/>
      </w:rPr>
    </w:lvl>
    <w:lvl w:ilvl="2">
      <w:start w:val="1"/>
      <w:numFmt w:val="lowerRoman"/>
      <w:lvlText w:val="%3."/>
      <w:lvlJc w:val="left"/>
      <w:pPr>
        <w:tabs>
          <w:tab w:val="num" w:pos="0"/>
        </w:tabs>
        <w:ind w:left="0" w:firstLine="1800"/>
      </w:pPr>
      <w:rPr>
        <w:rFonts w:hint="default"/>
        <w:position w:val="0"/>
        <w:sz w:val="22"/>
      </w:rPr>
    </w:lvl>
    <w:lvl w:ilvl="3">
      <w:start w:val="1"/>
      <w:numFmt w:val="decimal"/>
      <w:isLgl/>
      <w:lvlText w:val="%4."/>
      <w:lvlJc w:val="left"/>
      <w:pPr>
        <w:tabs>
          <w:tab w:val="num" w:pos="0"/>
        </w:tabs>
        <w:ind w:left="0" w:firstLine="2520"/>
      </w:pPr>
      <w:rPr>
        <w:rFonts w:hint="default"/>
        <w:position w:val="0"/>
        <w:sz w:val="22"/>
      </w:rPr>
    </w:lvl>
    <w:lvl w:ilvl="4">
      <w:start w:val="1"/>
      <w:numFmt w:val="lowerLetter"/>
      <w:lvlText w:val="%5."/>
      <w:lvlJc w:val="left"/>
      <w:pPr>
        <w:tabs>
          <w:tab w:val="num" w:pos="0"/>
        </w:tabs>
        <w:ind w:left="0" w:firstLine="3240"/>
      </w:pPr>
      <w:rPr>
        <w:rFonts w:hint="default"/>
        <w:position w:val="0"/>
        <w:sz w:val="22"/>
      </w:rPr>
    </w:lvl>
    <w:lvl w:ilvl="5">
      <w:start w:val="1"/>
      <w:numFmt w:val="lowerRoman"/>
      <w:lvlText w:val="%6."/>
      <w:lvlJc w:val="left"/>
      <w:pPr>
        <w:tabs>
          <w:tab w:val="num" w:pos="0"/>
        </w:tabs>
        <w:ind w:left="0" w:firstLine="3960"/>
      </w:pPr>
      <w:rPr>
        <w:rFonts w:hint="default"/>
        <w:position w:val="0"/>
        <w:sz w:val="22"/>
      </w:rPr>
    </w:lvl>
    <w:lvl w:ilvl="6">
      <w:start w:val="1"/>
      <w:numFmt w:val="decimal"/>
      <w:isLgl/>
      <w:lvlText w:val="%7."/>
      <w:lvlJc w:val="left"/>
      <w:pPr>
        <w:tabs>
          <w:tab w:val="num" w:pos="0"/>
        </w:tabs>
        <w:ind w:left="0" w:firstLine="4680"/>
      </w:pPr>
      <w:rPr>
        <w:rFonts w:hint="default"/>
        <w:position w:val="0"/>
        <w:sz w:val="22"/>
      </w:rPr>
    </w:lvl>
    <w:lvl w:ilvl="7">
      <w:start w:val="1"/>
      <w:numFmt w:val="lowerLetter"/>
      <w:lvlText w:val="%8."/>
      <w:lvlJc w:val="left"/>
      <w:pPr>
        <w:tabs>
          <w:tab w:val="num" w:pos="0"/>
        </w:tabs>
        <w:ind w:left="0" w:firstLine="5400"/>
      </w:pPr>
      <w:rPr>
        <w:rFonts w:hint="default"/>
        <w:position w:val="0"/>
        <w:sz w:val="22"/>
      </w:rPr>
    </w:lvl>
    <w:lvl w:ilvl="8">
      <w:start w:val="1"/>
      <w:numFmt w:val="lowerRoman"/>
      <w:lvlText w:val="%9."/>
      <w:lvlJc w:val="left"/>
      <w:pPr>
        <w:tabs>
          <w:tab w:val="num" w:pos="0"/>
        </w:tabs>
        <w:ind w:left="0" w:firstLine="6120"/>
      </w:pPr>
      <w:rPr>
        <w:rFonts w:hint="default"/>
        <w:position w:val="0"/>
        <w:sz w:val="22"/>
      </w:rPr>
    </w:lvl>
  </w:abstractNum>
  <w:abstractNum w:abstractNumId="96">
    <w:nsid w:val="00000082"/>
    <w:multiLevelType w:val="multilevel"/>
    <w:tmpl w:val="894EE8F4"/>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97">
    <w:nsid w:val="00000083"/>
    <w:multiLevelType w:val="multilevel"/>
    <w:tmpl w:val="894EE8F5"/>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98">
    <w:nsid w:val="00000084"/>
    <w:multiLevelType w:val="multilevel"/>
    <w:tmpl w:val="8CEA8E00"/>
    <w:lvl w:ilvl="0">
      <w:start w:val="1"/>
      <w:numFmt w:val="bullet"/>
      <w:lvlText w:val=""/>
      <w:lvlJc w:val="left"/>
      <w:pPr>
        <w:tabs>
          <w:tab w:val="num" w:pos="0"/>
        </w:tabs>
        <w:ind w:left="0" w:firstLine="360"/>
      </w:pPr>
      <w:rPr>
        <w:rFonts w:ascii="Symbol" w:hAnsi="Symbol" w:hint="default"/>
        <w:color w:val="000000"/>
        <w:position w:val="0"/>
        <w:sz w:val="22"/>
      </w:rPr>
    </w:lvl>
    <w:lvl w:ilvl="1">
      <w:start w:val="1"/>
      <w:numFmt w:val="bullet"/>
      <w:lvlText w:val=""/>
      <w:lvlJc w:val="left"/>
      <w:pPr>
        <w:tabs>
          <w:tab w:val="num" w:pos="0"/>
        </w:tabs>
        <w:ind w:left="0" w:firstLine="1080"/>
      </w:pPr>
      <w:rPr>
        <w:rFonts w:ascii="Symbol" w:hAnsi="Symbol" w:hint="default"/>
        <w:color w:val="000000"/>
        <w:position w:val="0"/>
        <w:sz w:val="22"/>
      </w:rPr>
    </w:lvl>
    <w:lvl w:ilvl="2">
      <w:start w:val="1"/>
      <w:numFmt w:val="lowerRoman"/>
      <w:lvlText w:val="%3."/>
      <w:lvlJc w:val="left"/>
      <w:pPr>
        <w:tabs>
          <w:tab w:val="num" w:pos="0"/>
        </w:tabs>
        <w:ind w:left="0" w:firstLine="1800"/>
      </w:pPr>
      <w:rPr>
        <w:rFonts w:hint="default"/>
        <w:color w:val="000000"/>
        <w:position w:val="0"/>
        <w:sz w:val="22"/>
      </w:rPr>
    </w:lvl>
    <w:lvl w:ilvl="3">
      <w:start w:val="1"/>
      <w:numFmt w:val="decimal"/>
      <w:isLgl/>
      <w:lvlText w:val="%4."/>
      <w:lvlJc w:val="left"/>
      <w:pPr>
        <w:tabs>
          <w:tab w:val="num" w:pos="0"/>
        </w:tabs>
        <w:ind w:left="0" w:firstLine="2520"/>
      </w:pPr>
      <w:rPr>
        <w:rFonts w:hint="default"/>
        <w:color w:val="000000"/>
        <w:position w:val="0"/>
        <w:sz w:val="22"/>
      </w:rPr>
    </w:lvl>
    <w:lvl w:ilvl="4">
      <w:start w:val="1"/>
      <w:numFmt w:val="lowerLetter"/>
      <w:lvlText w:val="%5."/>
      <w:lvlJc w:val="left"/>
      <w:pPr>
        <w:tabs>
          <w:tab w:val="num" w:pos="0"/>
        </w:tabs>
        <w:ind w:left="0" w:firstLine="3240"/>
      </w:pPr>
      <w:rPr>
        <w:rFonts w:hint="default"/>
        <w:color w:val="000000"/>
        <w:position w:val="0"/>
        <w:sz w:val="22"/>
      </w:rPr>
    </w:lvl>
    <w:lvl w:ilvl="5">
      <w:start w:val="1"/>
      <w:numFmt w:val="lowerRoman"/>
      <w:lvlText w:val="%6."/>
      <w:lvlJc w:val="left"/>
      <w:pPr>
        <w:tabs>
          <w:tab w:val="num" w:pos="0"/>
        </w:tabs>
        <w:ind w:left="0" w:firstLine="3960"/>
      </w:pPr>
      <w:rPr>
        <w:rFonts w:hint="default"/>
        <w:color w:val="000000"/>
        <w:position w:val="0"/>
        <w:sz w:val="22"/>
      </w:rPr>
    </w:lvl>
    <w:lvl w:ilvl="6">
      <w:start w:val="1"/>
      <w:numFmt w:val="decimal"/>
      <w:isLgl/>
      <w:lvlText w:val="%7."/>
      <w:lvlJc w:val="left"/>
      <w:pPr>
        <w:tabs>
          <w:tab w:val="num" w:pos="0"/>
        </w:tabs>
        <w:ind w:left="0" w:firstLine="4680"/>
      </w:pPr>
      <w:rPr>
        <w:rFonts w:hint="default"/>
        <w:color w:val="000000"/>
        <w:position w:val="0"/>
        <w:sz w:val="22"/>
      </w:rPr>
    </w:lvl>
    <w:lvl w:ilvl="7">
      <w:start w:val="1"/>
      <w:numFmt w:val="lowerLetter"/>
      <w:lvlText w:val="%8."/>
      <w:lvlJc w:val="left"/>
      <w:pPr>
        <w:tabs>
          <w:tab w:val="num" w:pos="0"/>
        </w:tabs>
        <w:ind w:left="0" w:firstLine="5400"/>
      </w:pPr>
      <w:rPr>
        <w:rFonts w:hint="default"/>
        <w:color w:val="000000"/>
        <w:position w:val="0"/>
        <w:sz w:val="22"/>
      </w:rPr>
    </w:lvl>
    <w:lvl w:ilvl="8">
      <w:start w:val="1"/>
      <w:numFmt w:val="lowerRoman"/>
      <w:lvlText w:val="%9."/>
      <w:lvlJc w:val="left"/>
      <w:pPr>
        <w:tabs>
          <w:tab w:val="num" w:pos="0"/>
        </w:tabs>
        <w:ind w:left="0" w:firstLine="6120"/>
      </w:pPr>
      <w:rPr>
        <w:rFonts w:hint="default"/>
        <w:color w:val="000000"/>
        <w:position w:val="0"/>
        <w:sz w:val="22"/>
      </w:rPr>
    </w:lvl>
  </w:abstractNum>
  <w:abstractNum w:abstractNumId="99">
    <w:nsid w:val="00000087"/>
    <w:multiLevelType w:val="multilevel"/>
    <w:tmpl w:val="894EE8F9"/>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0">
    <w:nsid w:val="00000088"/>
    <w:multiLevelType w:val="multilevel"/>
    <w:tmpl w:val="894EE8FA"/>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1">
    <w:nsid w:val="00000089"/>
    <w:multiLevelType w:val="multilevel"/>
    <w:tmpl w:val="894EE8FB"/>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2">
    <w:nsid w:val="0000008A"/>
    <w:multiLevelType w:val="multilevel"/>
    <w:tmpl w:val="894EE8FC"/>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3">
    <w:nsid w:val="0000008B"/>
    <w:multiLevelType w:val="multilevel"/>
    <w:tmpl w:val="894EE8FD"/>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4">
    <w:nsid w:val="0000008C"/>
    <w:multiLevelType w:val="multilevel"/>
    <w:tmpl w:val="894EE8FE"/>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5">
    <w:nsid w:val="0000008E"/>
    <w:multiLevelType w:val="multilevel"/>
    <w:tmpl w:val="894EE900"/>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6">
    <w:nsid w:val="0000008F"/>
    <w:multiLevelType w:val="multilevel"/>
    <w:tmpl w:val="894EE901"/>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7">
    <w:nsid w:val="00000090"/>
    <w:multiLevelType w:val="multilevel"/>
    <w:tmpl w:val="894EE902"/>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8">
    <w:nsid w:val="00000091"/>
    <w:multiLevelType w:val="multilevel"/>
    <w:tmpl w:val="894EE903"/>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09">
    <w:nsid w:val="00000092"/>
    <w:multiLevelType w:val="multilevel"/>
    <w:tmpl w:val="894EE904"/>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10">
    <w:nsid w:val="00000095"/>
    <w:multiLevelType w:val="multilevel"/>
    <w:tmpl w:val="894EE907"/>
    <w:lvl w:ilvl="0">
      <w:numFmt w:val="bullet"/>
      <w:suff w:val="nothing"/>
      <w:lvlText w:val="o"/>
      <w:lvlJc w:val="left"/>
      <w:pPr>
        <w:ind w:left="0" w:firstLine="1440"/>
      </w:pPr>
      <w:rPr>
        <w:rFonts w:ascii="Courier New" w:eastAsia="ヒラギノ角ゴ Pro W3" w:hAnsi="Courier New" w:hint="default"/>
        <w:color w:val="000000"/>
        <w:position w:val="0"/>
        <w:sz w:val="22"/>
      </w:rPr>
    </w:lvl>
    <w:lvl w:ilvl="1">
      <w:numFmt w:val="bullet"/>
      <w:suff w:val="nothing"/>
      <w:lvlText w:val="•"/>
      <w:lvlJc w:val="left"/>
      <w:pPr>
        <w:ind w:left="0" w:firstLine="2160"/>
      </w:pPr>
      <w:rPr>
        <w:rFonts w:hint="default"/>
        <w:color w:val="000000"/>
        <w:position w:val="0"/>
        <w:sz w:val="22"/>
      </w:rPr>
    </w:lvl>
    <w:lvl w:ilvl="2">
      <w:numFmt w:val="bullet"/>
      <w:suff w:val="nothing"/>
      <w:lvlText w:val="•"/>
      <w:lvlJc w:val="left"/>
      <w:pPr>
        <w:ind w:left="0" w:firstLine="2880"/>
      </w:pPr>
      <w:rPr>
        <w:rFonts w:hint="default"/>
        <w:color w:val="000000"/>
        <w:position w:val="0"/>
        <w:sz w:val="22"/>
      </w:rPr>
    </w:lvl>
    <w:lvl w:ilvl="3">
      <w:start w:val="1"/>
      <w:numFmt w:val="upperLetter"/>
      <w:suff w:val="nothing"/>
      <w:lvlText w:val="%4."/>
      <w:lvlJc w:val="left"/>
      <w:pPr>
        <w:ind w:left="0" w:firstLine="3600"/>
      </w:pPr>
      <w:rPr>
        <w:rFonts w:hint="default"/>
        <w:color w:val="000000"/>
        <w:position w:val="0"/>
        <w:sz w:val="22"/>
      </w:rPr>
    </w:lvl>
    <w:lvl w:ilvl="4">
      <w:start w:val="1"/>
      <w:numFmt w:val="upperRoman"/>
      <w:suff w:val="nothing"/>
      <w:lvlText w:val="(%5)"/>
      <w:lvlJc w:val="left"/>
      <w:pPr>
        <w:ind w:left="0" w:firstLine="4680"/>
      </w:pPr>
      <w:rPr>
        <w:rFonts w:hint="default"/>
        <w:color w:val="000000"/>
        <w:position w:val="0"/>
        <w:sz w:val="22"/>
      </w:rPr>
    </w:lvl>
    <w:lvl w:ilvl="5">
      <w:start w:val="1"/>
      <w:numFmt w:val="lowerRoman"/>
      <w:suff w:val="nothing"/>
      <w:lvlText w:val="%6."/>
      <w:lvlJc w:val="left"/>
      <w:pPr>
        <w:ind w:left="0" w:firstLine="5040"/>
      </w:pPr>
      <w:rPr>
        <w:rFonts w:hint="default"/>
        <w:color w:val="000000"/>
        <w:position w:val="0"/>
        <w:sz w:val="22"/>
      </w:rPr>
    </w:lvl>
    <w:lvl w:ilvl="6">
      <w:start w:val="1"/>
      <w:numFmt w:val="decimal"/>
      <w:isLgl/>
      <w:lvlText w:val="%7."/>
      <w:lvlJc w:val="left"/>
      <w:pPr>
        <w:tabs>
          <w:tab w:val="num" w:pos="540"/>
        </w:tabs>
        <w:ind w:left="540" w:firstLine="180"/>
      </w:pPr>
      <w:rPr>
        <w:rFonts w:hint="default"/>
        <w:color w:val="000000"/>
        <w:position w:val="0"/>
        <w:sz w:val="22"/>
      </w:rPr>
    </w:lvl>
    <w:lvl w:ilvl="7">
      <w:start w:val="1"/>
      <w:numFmt w:val="lowerLetter"/>
      <w:suff w:val="nothing"/>
      <w:lvlText w:val="%8."/>
      <w:lvlJc w:val="left"/>
      <w:pPr>
        <w:ind w:left="0" w:firstLine="6480"/>
      </w:pPr>
      <w:rPr>
        <w:rFonts w:hint="default"/>
        <w:color w:val="000000"/>
        <w:position w:val="0"/>
        <w:sz w:val="22"/>
      </w:rPr>
    </w:lvl>
    <w:lvl w:ilvl="8">
      <w:start w:val="1"/>
      <w:numFmt w:val="lowerRoman"/>
      <w:suff w:val="nothing"/>
      <w:lvlText w:val="%9."/>
      <w:lvlJc w:val="left"/>
      <w:pPr>
        <w:ind w:left="0" w:firstLine="7200"/>
      </w:pPr>
      <w:rPr>
        <w:rFonts w:hint="default"/>
        <w:color w:val="000000"/>
        <w:position w:val="0"/>
        <w:sz w:val="22"/>
      </w:rPr>
    </w:lvl>
  </w:abstractNum>
  <w:abstractNum w:abstractNumId="111">
    <w:nsid w:val="00000097"/>
    <w:multiLevelType w:val="multilevel"/>
    <w:tmpl w:val="894EE909"/>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12">
    <w:nsid w:val="00000098"/>
    <w:multiLevelType w:val="multilevel"/>
    <w:tmpl w:val="894EE90A"/>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13">
    <w:nsid w:val="00000099"/>
    <w:multiLevelType w:val="multilevel"/>
    <w:tmpl w:val="F1DE5C1C"/>
    <w:lvl w:ilvl="0">
      <w:start w:val="1"/>
      <w:numFmt w:val="decimal"/>
      <w:lvlText w:val="%1."/>
      <w:lvlJc w:val="left"/>
      <w:pPr>
        <w:tabs>
          <w:tab w:val="num" w:pos="360"/>
        </w:tabs>
        <w:ind w:left="360" w:firstLine="480"/>
      </w:pPr>
      <w:rPr>
        <w:rFonts w:hint="default"/>
        <w:b w:val="0"/>
        <w:i w:val="0"/>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14">
    <w:nsid w:val="0000009A"/>
    <w:multiLevelType w:val="multilevel"/>
    <w:tmpl w:val="894EE90C"/>
    <w:lvl w:ilvl="0">
      <w:start w:val="1"/>
      <w:numFmt w:val="decimal"/>
      <w:isLgl/>
      <w:lvlText w:val="%1."/>
      <w:lvlJc w:val="left"/>
      <w:pPr>
        <w:tabs>
          <w:tab w:val="num" w:pos="360"/>
        </w:tabs>
        <w:ind w:left="360" w:firstLine="360"/>
      </w:pPr>
      <w:rPr>
        <w:rFonts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15">
    <w:nsid w:val="0000009B"/>
    <w:multiLevelType w:val="multilevel"/>
    <w:tmpl w:val="894EE90D"/>
    <w:lvl w:ilvl="0">
      <w:start w:val="1"/>
      <w:numFmt w:val="bullet"/>
      <w:lvlText w:val="·"/>
      <w:lvlJc w:val="left"/>
      <w:pPr>
        <w:tabs>
          <w:tab w:val="num" w:pos="360"/>
        </w:tabs>
        <w:ind w:left="360" w:firstLine="180"/>
      </w:pPr>
      <w:rPr>
        <w:rFonts w:ascii="Lucida Grande" w:eastAsia="ヒラギノ角ゴ Pro W3" w:hAnsi="Symbol" w:hint="default"/>
        <w:position w:val="0"/>
        <w:sz w:val="22"/>
      </w:rPr>
    </w:lvl>
    <w:lvl w:ilvl="1">
      <w:start w:val="1"/>
      <w:numFmt w:val="bullet"/>
      <w:lvlText w:val="o"/>
      <w:lvlJc w:val="left"/>
      <w:pPr>
        <w:tabs>
          <w:tab w:val="num" w:pos="360"/>
        </w:tabs>
        <w:ind w:left="360" w:firstLine="900"/>
      </w:pPr>
      <w:rPr>
        <w:rFonts w:ascii="Courier New" w:eastAsia="ヒラギノ角ゴ Pro W3" w:hAnsi="Courier New" w:hint="default"/>
        <w:position w:val="0"/>
        <w:sz w:val="22"/>
      </w:rPr>
    </w:lvl>
    <w:lvl w:ilvl="2">
      <w:start w:val="1"/>
      <w:numFmt w:val="bullet"/>
      <w:lvlText w:val=""/>
      <w:lvlJc w:val="left"/>
      <w:pPr>
        <w:tabs>
          <w:tab w:val="num" w:pos="360"/>
        </w:tabs>
        <w:ind w:left="360" w:firstLine="1620"/>
      </w:pPr>
      <w:rPr>
        <w:rFonts w:ascii="Wingdings" w:eastAsia="ヒラギノ角ゴ Pro W3" w:hAnsi="Wingdings" w:hint="default"/>
        <w:position w:val="0"/>
        <w:sz w:val="22"/>
      </w:rPr>
    </w:lvl>
    <w:lvl w:ilvl="3">
      <w:start w:val="1"/>
      <w:numFmt w:val="bullet"/>
      <w:lvlText w:val="·"/>
      <w:lvlJc w:val="left"/>
      <w:pPr>
        <w:tabs>
          <w:tab w:val="num" w:pos="360"/>
        </w:tabs>
        <w:ind w:left="360" w:firstLine="2340"/>
      </w:pPr>
      <w:rPr>
        <w:rFonts w:ascii="Lucida Grande" w:eastAsia="ヒラギノ角ゴ Pro W3" w:hAnsi="Symbol" w:hint="default"/>
        <w:position w:val="0"/>
        <w:sz w:val="22"/>
      </w:rPr>
    </w:lvl>
    <w:lvl w:ilvl="4">
      <w:start w:val="1"/>
      <w:numFmt w:val="bullet"/>
      <w:lvlText w:val="o"/>
      <w:lvlJc w:val="left"/>
      <w:pPr>
        <w:tabs>
          <w:tab w:val="num" w:pos="360"/>
        </w:tabs>
        <w:ind w:left="360" w:firstLine="3060"/>
      </w:pPr>
      <w:rPr>
        <w:rFonts w:ascii="Courier New" w:eastAsia="ヒラギノ角ゴ Pro W3" w:hAnsi="Courier New" w:hint="default"/>
        <w:position w:val="0"/>
        <w:sz w:val="22"/>
      </w:rPr>
    </w:lvl>
    <w:lvl w:ilvl="5">
      <w:start w:val="1"/>
      <w:numFmt w:val="bullet"/>
      <w:lvlText w:val=""/>
      <w:lvlJc w:val="left"/>
      <w:pPr>
        <w:tabs>
          <w:tab w:val="num" w:pos="360"/>
        </w:tabs>
        <w:ind w:left="360" w:firstLine="3780"/>
      </w:pPr>
      <w:rPr>
        <w:rFonts w:ascii="Wingdings" w:eastAsia="ヒラギノ角ゴ Pro W3" w:hAnsi="Wingdings" w:hint="default"/>
        <w:position w:val="0"/>
        <w:sz w:val="22"/>
      </w:rPr>
    </w:lvl>
    <w:lvl w:ilvl="6">
      <w:start w:val="1"/>
      <w:numFmt w:val="bullet"/>
      <w:lvlText w:val="·"/>
      <w:lvlJc w:val="left"/>
      <w:pPr>
        <w:tabs>
          <w:tab w:val="num" w:pos="360"/>
        </w:tabs>
        <w:ind w:left="360" w:firstLine="4500"/>
      </w:pPr>
      <w:rPr>
        <w:rFonts w:ascii="Lucida Grande" w:eastAsia="ヒラギノ角ゴ Pro W3" w:hAnsi="Symbol" w:hint="default"/>
        <w:position w:val="0"/>
        <w:sz w:val="22"/>
      </w:rPr>
    </w:lvl>
    <w:lvl w:ilvl="7">
      <w:start w:val="1"/>
      <w:numFmt w:val="bullet"/>
      <w:lvlText w:val="o"/>
      <w:lvlJc w:val="left"/>
      <w:pPr>
        <w:tabs>
          <w:tab w:val="num" w:pos="360"/>
        </w:tabs>
        <w:ind w:left="360" w:firstLine="5220"/>
      </w:pPr>
      <w:rPr>
        <w:rFonts w:ascii="Courier New" w:eastAsia="ヒラギノ角ゴ Pro W3" w:hAnsi="Courier New" w:hint="default"/>
        <w:position w:val="0"/>
        <w:sz w:val="22"/>
      </w:rPr>
    </w:lvl>
    <w:lvl w:ilvl="8">
      <w:start w:val="1"/>
      <w:numFmt w:val="bullet"/>
      <w:lvlText w:val=""/>
      <w:lvlJc w:val="left"/>
      <w:pPr>
        <w:tabs>
          <w:tab w:val="num" w:pos="360"/>
        </w:tabs>
        <w:ind w:left="360" w:firstLine="5940"/>
      </w:pPr>
      <w:rPr>
        <w:rFonts w:ascii="Wingdings" w:eastAsia="ヒラギノ角ゴ Pro W3" w:hAnsi="Wingdings" w:hint="default"/>
        <w:position w:val="0"/>
        <w:sz w:val="22"/>
      </w:rPr>
    </w:lvl>
  </w:abstractNum>
  <w:abstractNum w:abstractNumId="116">
    <w:nsid w:val="0000009C"/>
    <w:multiLevelType w:val="multilevel"/>
    <w:tmpl w:val="894EE90E"/>
    <w:lvl w:ilvl="0">
      <w:start w:val="1"/>
      <w:numFmt w:val="bullet"/>
      <w:lvlText w:val="·"/>
      <w:lvlJc w:val="left"/>
      <w:pPr>
        <w:tabs>
          <w:tab w:val="num" w:pos="360"/>
        </w:tabs>
        <w:ind w:left="360" w:firstLine="180"/>
      </w:pPr>
      <w:rPr>
        <w:rFonts w:ascii="Lucida Grande" w:eastAsia="ヒラギノ角ゴ Pro W3" w:hAnsi="Symbol" w:hint="default"/>
        <w:position w:val="0"/>
        <w:sz w:val="22"/>
      </w:rPr>
    </w:lvl>
    <w:lvl w:ilvl="1">
      <w:start w:val="1"/>
      <w:numFmt w:val="bullet"/>
      <w:lvlText w:val="o"/>
      <w:lvlJc w:val="left"/>
      <w:pPr>
        <w:tabs>
          <w:tab w:val="num" w:pos="360"/>
        </w:tabs>
        <w:ind w:left="360" w:firstLine="900"/>
      </w:pPr>
      <w:rPr>
        <w:rFonts w:ascii="Courier New" w:eastAsia="ヒラギノ角ゴ Pro W3" w:hAnsi="Courier New" w:hint="default"/>
        <w:position w:val="0"/>
        <w:sz w:val="22"/>
      </w:rPr>
    </w:lvl>
    <w:lvl w:ilvl="2">
      <w:start w:val="1"/>
      <w:numFmt w:val="bullet"/>
      <w:lvlText w:val=""/>
      <w:lvlJc w:val="left"/>
      <w:pPr>
        <w:tabs>
          <w:tab w:val="num" w:pos="360"/>
        </w:tabs>
        <w:ind w:left="360" w:firstLine="1620"/>
      </w:pPr>
      <w:rPr>
        <w:rFonts w:ascii="Wingdings" w:eastAsia="ヒラギノ角ゴ Pro W3" w:hAnsi="Wingdings" w:hint="default"/>
        <w:position w:val="0"/>
        <w:sz w:val="22"/>
      </w:rPr>
    </w:lvl>
    <w:lvl w:ilvl="3">
      <w:start w:val="1"/>
      <w:numFmt w:val="bullet"/>
      <w:lvlText w:val="·"/>
      <w:lvlJc w:val="left"/>
      <w:pPr>
        <w:tabs>
          <w:tab w:val="num" w:pos="360"/>
        </w:tabs>
        <w:ind w:left="360" w:firstLine="2340"/>
      </w:pPr>
      <w:rPr>
        <w:rFonts w:ascii="Lucida Grande" w:eastAsia="ヒラギノ角ゴ Pro W3" w:hAnsi="Symbol" w:hint="default"/>
        <w:position w:val="0"/>
        <w:sz w:val="22"/>
      </w:rPr>
    </w:lvl>
    <w:lvl w:ilvl="4">
      <w:start w:val="1"/>
      <w:numFmt w:val="bullet"/>
      <w:lvlText w:val="o"/>
      <w:lvlJc w:val="left"/>
      <w:pPr>
        <w:tabs>
          <w:tab w:val="num" w:pos="360"/>
        </w:tabs>
        <w:ind w:left="360" w:firstLine="3060"/>
      </w:pPr>
      <w:rPr>
        <w:rFonts w:ascii="Courier New" w:eastAsia="ヒラギノ角ゴ Pro W3" w:hAnsi="Courier New" w:hint="default"/>
        <w:position w:val="0"/>
        <w:sz w:val="22"/>
      </w:rPr>
    </w:lvl>
    <w:lvl w:ilvl="5">
      <w:start w:val="1"/>
      <w:numFmt w:val="bullet"/>
      <w:lvlText w:val=""/>
      <w:lvlJc w:val="left"/>
      <w:pPr>
        <w:tabs>
          <w:tab w:val="num" w:pos="360"/>
        </w:tabs>
        <w:ind w:left="360" w:firstLine="3780"/>
      </w:pPr>
      <w:rPr>
        <w:rFonts w:ascii="Wingdings" w:eastAsia="ヒラギノ角ゴ Pro W3" w:hAnsi="Wingdings" w:hint="default"/>
        <w:position w:val="0"/>
        <w:sz w:val="22"/>
      </w:rPr>
    </w:lvl>
    <w:lvl w:ilvl="6">
      <w:start w:val="1"/>
      <w:numFmt w:val="bullet"/>
      <w:lvlText w:val="·"/>
      <w:lvlJc w:val="left"/>
      <w:pPr>
        <w:tabs>
          <w:tab w:val="num" w:pos="360"/>
        </w:tabs>
        <w:ind w:left="360" w:firstLine="4500"/>
      </w:pPr>
      <w:rPr>
        <w:rFonts w:ascii="Lucida Grande" w:eastAsia="ヒラギノ角ゴ Pro W3" w:hAnsi="Symbol" w:hint="default"/>
        <w:position w:val="0"/>
        <w:sz w:val="22"/>
      </w:rPr>
    </w:lvl>
    <w:lvl w:ilvl="7">
      <w:start w:val="1"/>
      <w:numFmt w:val="bullet"/>
      <w:lvlText w:val="o"/>
      <w:lvlJc w:val="left"/>
      <w:pPr>
        <w:tabs>
          <w:tab w:val="num" w:pos="360"/>
        </w:tabs>
        <w:ind w:left="360" w:firstLine="5220"/>
      </w:pPr>
      <w:rPr>
        <w:rFonts w:ascii="Courier New" w:eastAsia="ヒラギノ角ゴ Pro W3" w:hAnsi="Courier New" w:hint="default"/>
        <w:position w:val="0"/>
        <w:sz w:val="22"/>
      </w:rPr>
    </w:lvl>
    <w:lvl w:ilvl="8">
      <w:start w:val="1"/>
      <w:numFmt w:val="bullet"/>
      <w:lvlText w:val=""/>
      <w:lvlJc w:val="left"/>
      <w:pPr>
        <w:tabs>
          <w:tab w:val="num" w:pos="360"/>
        </w:tabs>
        <w:ind w:left="360" w:firstLine="5940"/>
      </w:pPr>
      <w:rPr>
        <w:rFonts w:ascii="Wingdings" w:eastAsia="ヒラギノ角ゴ Pro W3" w:hAnsi="Wingdings" w:hint="default"/>
        <w:position w:val="0"/>
        <w:sz w:val="22"/>
      </w:rPr>
    </w:lvl>
  </w:abstractNum>
  <w:abstractNum w:abstractNumId="117">
    <w:nsid w:val="0000009D"/>
    <w:multiLevelType w:val="multilevel"/>
    <w:tmpl w:val="894EE90F"/>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18">
    <w:nsid w:val="0000009E"/>
    <w:multiLevelType w:val="multilevel"/>
    <w:tmpl w:val="894EE910"/>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19">
    <w:nsid w:val="0000009F"/>
    <w:multiLevelType w:val="multilevel"/>
    <w:tmpl w:val="894EE911"/>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20">
    <w:nsid w:val="000000A0"/>
    <w:multiLevelType w:val="multilevel"/>
    <w:tmpl w:val="894EE912"/>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21">
    <w:nsid w:val="000000A1"/>
    <w:multiLevelType w:val="multilevel"/>
    <w:tmpl w:val="894EE913"/>
    <w:styleLink w:val="List103"/>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22">
    <w:nsid w:val="000000A2"/>
    <w:multiLevelType w:val="multilevel"/>
    <w:tmpl w:val="894EE914"/>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23">
    <w:nsid w:val="000000A3"/>
    <w:multiLevelType w:val="multilevel"/>
    <w:tmpl w:val="894EE915"/>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24">
    <w:nsid w:val="000000A4"/>
    <w:multiLevelType w:val="multilevel"/>
    <w:tmpl w:val="894EE916"/>
    <w:lvl w:ilvl="0">
      <w:start w:val="1"/>
      <w:numFmt w:val="decimal"/>
      <w:isLgl/>
      <w:lvlText w:val="(%1)"/>
      <w:lvlJc w:val="left"/>
      <w:pPr>
        <w:tabs>
          <w:tab w:val="num" w:pos="360"/>
        </w:tabs>
        <w:ind w:left="360" w:firstLine="0"/>
      </w:pPr>
      <w:rPr>
        <w:rFonts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25">
    <w:nsid w:val="000000A5"/>
    <w:multiLevelType w:val="multilevel"/>
    <w:tmpl w:val="894EE917"/>
    <w:lvl w:ilvl="0">
      <w:start w:val="1"/>
      <w:numFmt w:val="bullet"/>
      <w:lvlText w:val="·"/>
      <w:lvlJc w:val="left"/>
      <w:pPr>
        <w:tabs>
          <w:tab w:val="num" w:pos="360"/>
        </w:tabs>
        <w:ind w:left="360" w:firstLine="720"/>
      </w:pPr>
      <w:rPr>
        <w:rFonts w:ascii="Lucida Grande" w:eastAsia="ヒラギノ角ゴ Pro W3" w:hAnsi="Symbol" w:hint="default"/>
        <w:position w:val="0"/>
        <w:sz w:val="22"/>
      </w:rPr>
    </w:lvl>
    <w:lvl w:ilvl="1">
      <w:start w:val="1"/>
      <w:numFmt w:val="bullet"/>
      <w:lvlText w:val="o"/>
      <w:lvlJc w:val="left"/>
      <w:pPr>
        <w:tabs>
          <w:tab w:val="num" w:pos="360"/>
        </w:tabs>
        <w:ind w:left="360" w:firstLine="1440"/>
      </w:pPr>
      <w:rPr>
        <w:rFonts w:ascii="Courier New" w:eastAsia="ヒラギノ角ゴ Pro W3" w:hAnsi="Courier New" w:hint="default"/>
        <w:position w:val="0"/>
        <w:sz w:val="22"/>
      </w:rPr>
    </w:lvl>
    <w:lvl w:ilvl="2">
      <w:start w:val="1"/>
      <w:numFmt w:val="bullet"/>
      <w:lvlText w:val=""/>
      <w:lvlJc w:val="left"/>
      <w:pPr>
        <w:tabs>
          <w:tab w:val="num" w:pos="360"/>
        </w:tabs>
        <w:ind w:left="360" w:firstLine="2160"/>
      </w:pPr>
      <w:rPr>
        <w:rFonts w:ascii="Wingdings" w:eastAsia="ヒラギノ角ゴ Pro W3" w:hAnsi="Wingdings" w:hint="default"/>
        <w:position w:val="0"/>
        <w:sz w:val="22"/>
      </w:rPr>
    </w:lvl>
    <w:lvl w:ilvl="3">
      <w:start w:val="1"/>
      <w:numFmt w:val="bullet"/>
      <w:lvlText w:val="·"/>
      <w:lvlJc w:val="left"/>
      <w:pPr>
        <w:tabs>
          <w:tab w:val="num" w:pos="360"/>
        </w:tabs>
        <w:ind w:left="360" w:firstLine="2880"/>
      </w:pPr>
      <w:rPr>
        <w:rFonts w:ascii="Lucida Grande" w:eastAsia="ヒラギノ角ゴ Pro W3" w:hAnsi="Symbol" w:hint="default"/>
        <w:position w:val="0"/>
        <w:sz w:val="22"/>
      </w:rPr>
    </w:lvl>
    <w:lvl w:ilvl="4">
      <w:start w:val="1"/>
      <w:numFmt w:val="bullet"/>
      <w:lvlText w:val="o"/>
      <w:lvlJc w:val="left"/>
      <w:pPr>
        <w:tabs>
          <w:tab w:val="num" w:pos="360"/>
        </w:tabs>
        <w:ind w:left="360" w:firstLine="3600"/>
      </w:pPr>
      <w:rPr>
        <w:rFonts w:ascii="Courier New" w:eastAsia="ヒラギノ角ゴ Pro W3" w:hAnsi="Courier New" w:hint="default"/>
        <w:position w:val="0"/>
        <w:sz w:val="22"/>
      </w:rPr>
    </w:lvl>
    <w:lvl w:ilvl="5">
      <w:start w:val="1"/>
      <w:numFmt w:val="bullet"/>
      <w:lvlText w:val=""/>
      <w:lvlJc w:val="left"/>
      <w:pPr>
        <w:tabs>
          <w:tab w:val="num" w:pos="360"/>
        </w:tabs>
        <w:ind w:left="360" w:firstLine="4320"/>
      </w:pPr>
      <w:rPr>
        <w:rFonts w:ascii="Wingdings" w:eastAsia="ヒラギノ角ゴ Pro W3" w:hAnsi="Wingdings" w:hint="default"/>
        <w:position w:val="0"/>
        <w:sz w:val="22"/>
      </w:rPr>
    </w:lvl>
    <w:lvl w:ilvl="6">
      <w:start w:val="1"/>
      <w:numFmt w:val="bullet"/>
      <w:lvlText w:val="·"/>
      <w:lvlJc w:val="left"/>
      <w:pPr>
        <w:tabs>
          <w:tab w:val="num" w:pos="360"/>
        </w:tabs>
        <w:ind w:left="360" w:firstLine="5040"/>
      </w:pPr>
      <w:rPr>
        <w:rFonts w:ascii="Lucida Grande" w:eastAsia="ヒラギノ角ゴ Pro W3" w:hAnsi="Symbol" w:hint="default"/>
        <w:position w:val="0"/>
        <w:sz w:val="22"/>
      </w:rPr>
    </w:lvl>
    <w:lvl w:ilvl="7">
      <w:start w:val="1"/>
      <w:numFmt w:val="bullet"/>
      <w:lvlText w:val="o"/>
      <w:lvlJc w:val="left"/>
      <w:pPr>
        <w:tabs>
          <w:tab w:val="num" w:pos="360"/>
        </w:tabs>
        <w:ind w:left="360" w:firstLine="5760"/>
      </w:pPr>
      <w:rPr>
        <w:rFonts w:ascii="Courier New" w:eastAsia="ヒラギノ角ゴ Pro W3" w:hAnsi="Courier New" w:hint="default"/>
        <w:position w:val="0"/>
        <w:sz w:val="22"/>
      </w:rPr>
    </w:lvl>
    <w:lvl w:ilvl="8">
      <w:start w:val="1"/>
      <w:numFmt w:val="bullet"/>
      <w:lvlText w:val=""/>
      <w:lvlJc w:val="left"/>
      <w:pPr>
        <w:tabs>
          <w:tab w:val="num" w:pos="360"/>
        </w:tabs>
        <w:ind w:left="360" w:firstLine="6480"/>
      </w:pPr>
      <w:rPr>
        <w:rFonts w:ascii="Wingdings" w:eastAsia="ヒラギノ角ゴ Pro W3" w:hAnsi="Wingdings" w:hint="default"/>
        <w:position w:val="0"/>
        <w:sz w:val="22"/>
      </w:rPr>
    </w:lvl>
  </w:abstractNum>
  <w:abstractNum w:abstractNumId="126">
    <w:nsid w:val="000000A6"/>
    <w:multiLevelType w:val="multilevel"/>
    <w:tmpl w:val="894EE918"/>
    <w:lvl w:ilvl="0">
      <w:start w:val="1"/>
      <w:numFmt w:val="bullet"/>
      <w:lvlText w:val="·"/>
      <w:lvlJc w:val="left"/>
      <w:pPr>
        <w:tabs>
          <w:tab w:val="num" w:pos="360"/>
        </w:tabs>
        <w:ind w:left="360" w:firstLine="720"/>
      </w:pPr>
      <w:rPr>
        <w:rFonts w:ascii="Lucida Grande" w:eastAsia="ヒラギノ角ゴ Pro W3" w:hAnsi="Symbol" w:hint="default"/>
        <w:position w:val="0"/>
        <w:sz w:val="22"/>
      </w:rPr>
    </w:lvl>
    <w:lvl w:ilvl="1">
      <w:start w:val="1"/>
      <w:numFmt w:val="bullet"/>
      <w:lvlText w:val="o"/>
      <w:lvlJc w:val="left"/>
      <w:pPr>
        <w:tabs>
          <w:tab w:val="num" w:pos="360"/>
        </w:tabs>
        <w:ind w:left="360" w:firstLine="1440"/>
      </w:pPr>
      <w:rPr>
        <w:rFonts w:ascii="Courier New" w:eastAsia="ヒラギノ角ゴ Pro W3" w:hAnsi="Courier New" w:hint="default"/>
        <w:position w:val="0"/>
        <w:sz w:val="22"/>
      </w:rPr>
    </w:lvl>
    <w:lvl w:ilvl="2">
      <w:start w:val="1"/>
      <w:numFmt w:val="bullet"/>
      <w:lvlText w:val=""/>
      <w:lvlJc w:val="left"/>
      <w:pPr>
        <w:tabs>
          <w:tab w:val="num" w:pos="360"/>
        </w:tabs>
        <w:ind w:left="360" w:firstLine="2160"/>
      </w:pPr>
      <w:rPr>
        <w:rFonts w:ascii="Wingdings" w:eastAsia="ヒラギノ角ゴ Pro W3" w:hAnsi="Wingdings" w:hint="default"/>
        <w:position w:val="0"/>
        <w:sz w:val="22"/>
      </w:rPr>
    </w:lvl>
    <w:lvl w:ilvl="3">
      <w:start w:val="1"/>
      <w:numFmt w:val="bullet"/>
      <w:lvlText w:val="·"/>
      <w:lvlJc w:val="left"/>
      <w:pPr>
        <w:tabs>
          <w:tab w:val="num" w:pos="360"/>
        </w:tabs>
        <w:ind w:left="360" w:firstLine="2880"/>
      </w:pPr>
      <w:rPr>
        <w:rFonts w:ascii="Lucida Grande" w:eastAsia="ヒラギノ角ゴ Pro W3" w:hAnsi="Symbol" w:hint="default"/>
        <w:position w:val="0"/>
        <w:sz w:val="22"/>
      </w:rPr>
    </w:lvl>
    <w:lvl w:ilvl="4">
      <w:start w:val="1"/>
      <w:numFmt w:val="bullet"/>
      <w:lvlText w:val="o"/>
      <w:lvlJc w:val="left"/>
      <w:pPr>
        <w:tabs>
          <w:tab w:val="num" w:pos="360"/>
        </w:tabs>
        <w:ind w:left="360" w:firstLine="3600"/>
      </w:pPr>
      <w:rPr>
        <w:rFonts w:ascii="Courier New" w:eastAsia="ヒラギノ角ゴ Pro W3" w:hAnsi="Courier New" w:hint="default"/>
        <w:position w:val="0"/>
        <w:sz w:val="22"/>
      </w:rPr>
    </w:lvl>
    <w:lvl w:ilvl="5">
      <w:start w:val="1"/>
      <w:numFmt w:val="bullet"/>
      <w:lvlText w:val=""/>
      <w:lvlJc w:val="left"/>
      <w:pPr>
        <w:tabs>
          <w:tab w:val="num" w:pos="360"/>
        </w:tabs>
        <w:ind w:left="360" w:firstLine="4320"/>
      </w:pPr>
      <w:rPr>
        <w:rFonts w:ascii="Wingdings" w:eastAsia="ヒラギノ角ゴ Pro W3" w:hAnsi="Wingdings" w:hint="default"/>
        <w:position w:val="0"/>
        <w:sz w:val="22"/>
      </w:rPr>
    </w:lvl>
    <w:lvl w:ilvl="6">
      <w:start w:val="1"/>
      <w:numFmt w:val="bullet"/>
      <w:lvlText w:val="·"/>
      <w:lvlJc w:val="left"/>
      <w:pPr>
        <w:tabs>
          <w:tab w:val="num" w:pos="360"/>
        </w:tabs>
        <w:ind w:left="360" w:firstLine="5040"/>
      </w:pPr>
      <w:rPr>
        <w:rFonts w:ascii="Lucida Grande" w:eastAsia="ヒラギノ角ゴ Pro W3" w:hAnsi="Symbol" w:hint="default"/>
        <w:position w:val="0"/>
        <w:sz w:val="22"/>
      </w:rPr>
    </w:lvl>
    <w:lvl w:ilvl="7">
      <w:start w:val="1"/>
      <w:numFmt w:val="bullet"/>
      <w:lvlText w:val="o"/>
      <w:lvlJc w:val="left"/>
      <w:pPr>
        <w:tabs>
          <w:tab w:val="num" w:pos="360"/>
        </w:tabs>
        <w:ind w:left="360" w:firstLine="5760"/>
      </w:pPr>
      <w:rPr>
        <w:rFonts w:ascii="Courier New" w:eastAsia="ヒラギノ角ゴ Pro W3" w:hAnsi="Courier New" w:hint="default"/>
        <w:position w:val="0"/>
        <w:sz w:val="22"/>
      </w:rPr>
    </w:lvl>
    <w:lvl w:ilvl="8">
      <w:start w:val="1"/>
      <w:numFmt w:val="bullet"/>
      <w:lvlText w:val=""/>
      <w:lvlJc w:val="left"/>
      <w:pPr>
        <w:tabs>
          <w:tab w:val="num" w:pos="360"/>
        </w:tabs>
        <w:ind w:left="360" w:firstLine="6480"/>
      </w:pPr>
      <w:rPr>
        <w:rFonts w:ascii="Wingdings" w:eastAsia="ヒラギノ角ゴ Pro W3" w:hAnsi="Wingdings" w:hint="default"/>
        <w:position w:val="0"/>
        <w:sz w:val="22"/>
      </w:rPr>
    </w:lvl>
  </w:abstractNum>
  <w:abstractNum w:abstractNumId="127">
    <w:nsid w:val="000000A7"/>
    <w:multiLevelType w:val="multilevel"/>
    <w:tmpl w:val="894EE919"/>
    <w:lvl w:ilvl="0">
      <w:start w:val="1"/>
      <w:numFmt w:val="bullet"/>
      <w:lvlText w:val="·"/>
      <w:lvlJc w:val="left"/>
      <w:pPr>
        <w:tabs>
          <w:tab w:val="num" w:pos="360"/>
        </w:tabs>
        <w:ind w:left="360" w:firstLine="720"/>
      </w:pPr>
      <w:rPr>
        <w:rFonts w:ascii="Lucida Grande" w:eastAsia="ヒラギノ角ゴ Pro W3" w:hAnsi="Symbol" w:hint="default"/>
        <w:position w:val="0"/>
        <w:sz w:val="22"/>
      </w:rPr>
    </w:lvl>
    <w:lvl w:ilvl="1">
      <w:start w:val="1"/>
      <w:numFmt w:val="bullet"/>
      <w:lvlText w:val="o"/>
      <w:lvlJc w:val="left"/>
      <w:pPr>
        <w:tabs>
          <w:tab w:val="num" w:pos="360"/>
        </w:tabs>
        <w:ind w:left="360" w:firstLine="1440"/>
      </w:pPr>
      <w:rPr>
        <w:rFonts w:ascii="Courier New" w:eastAsia="ヒラギノ角ゴ Pro W3" w:hAnsi="Courier New" w:hint="default"/>
        <w:position w:val="0"/>
        <w:sz w:val="22"/>
      </w:rPr>
    </w:lvl>
    <w:lvl w:ilvl="2">
      <w:start w:val="1"/>
      <w:numFmt w:val="bullet"/>
      <w:lvlText w:val=""/>
      <w:lvlJc w:val="left"/>
      <w:pPr>
        <w:tabs>
          <w:tab w:val="num" w:pos="360"/>
        </w:tabs>
        <w:ind w:left="360" w:firstLine="2160"/>
      </w:pPr>
      <w:rPr>
        <w:rFonts w:ascii="Wingdings" w:eastAsia="ヒラギノ角ゴ Pro W3" w:hAnsi="Wingdings" w:hint="default"/>
        <w:position w:val="0"/>
        <w:sz w:val="22"/>
      </w:rPr>
    </w:lvl>
    <w:lvl w:ilvl="3">
      <w:start w:val="1"/>
      <w:numFmt w:val="bullet"/>
      <w:lvlText w:val="·"/>
      <w:lvlJc w:val="left"/>
      <w:pPr>
        <w:tabs>
          <w:tab w:val="num" w:pos="360"/>
        </w:tabs>
        <w:ind w:left="360" w:firstLine="2880"/>
      </w:pPr>
      <w:rPr>
        <w:rFonts w:ascii="Lucida Grande" w:eastAsia="ヒラギノ角ゴ Pro W3" w:hAnsi="Symbol" w:hint="default"/>
        <w:position w:val="0"/>
        <w:sz w:val="22"/>
      </w:rPr>
    </w:lvl>
    <w:lvl w:ilvl="4">
      <w:start w:val="1"/>
      <w:numFmt w:val="bullet"/>
      <w:lvlText w:val="o"/>
      <w:lvlJc w:val="left"/>
      <w:pPr>
        <w:tabs>
          <w:tab w:val="num" w:pos="360"/>
        </w:tabs>
        <w:ind w:left="360" w:firstLine="3600"/>
      </w:pPr>
      <w:rPr>
        <w:rFonts w:ascii="Courier New" w:eastAsia="ヒラギノ角ゴ Pro W3" w:hAnsi="Courier New" w:hint="default"/>
        <w:position w:val="0"/>
        <w:sz w:val="22"/>
      </w:rPr>
    </w:lvl>
    <w:lvl w:ilvl="5">
      <w:start w:val="1"/>
      <w:numFmt w:val="bullet"/>
      <w:lvlText w:val=""/>
      <w:lvlJc w:val="left"/>
      <w:pPr>
        <w:tabs>
          <w:tab w:val="num" w:pos="360"/>
        </w:tabs>
        <w:ind w:left="360" w:firstLine="4320"/>
      </w:pPr>
      <w:rPr>
        <w:rFonts w:ascii="Wingdings" w:eastAsia="ヒラギノ角ゴ Pro W3" w:hAnsi="Wingdings" w:hint="default"/>
        <w:position w:val="0"/>
        <w:sz w:val="22"/>
      </w:rPr>
    </w:lvl>
    <w:lvl w:ilvl="6">
      <w:start w:val="1"/>
      <w:numFmt w:val="bullet"/>
      <w:lvlText w:val="·"/>
      <w:lvlJc w:val="left"/>
      <w:pPr>
        <w:tabs>
          <w:tab w:val="num" w:pos="360"/>
        </w:tabs>
        <w:ind w:left="360" w:firstLine="5040"/>
      </w:pPr>
      <w:rPr>
        <w:rFonts w:ascii="Lucida Grande" w:eastAsia="ヒラギノ角ゴ Pro W3" w:hAnsi="Symbol" w:hint="default"/>
        <w:position w:val="0"/>
        <w:sz w:val="22"/>
      </w:rPr>
    </w:lvl>
    <w:lvl w:ilvl="7">
      <w:start w:val="1"/>
      <w:numFmt w:val="bullet"/>
      <w:lvlText w:val="o"/>
      <w:lvlJc w:val="left"/>
      <w:pPr>
        <w:tabs>
          <w:tab w:val="num" w:pos="360"/>
        </w:tabs>
        <w:ind w:left="360" w:firstLine="5760"/>
      </w:pPr>
      <w:rPr>
        <w:rFonts w:ascii="Courier New" w:eastAsia="ヒラギノ角ゴ Pro W3" w:hAnsi="Courier New" w:hint="default"/>
        <w:position w:val="0"/>
        <w:sz w:val="22"/>
      </w:rPr>
    </w:lvl>
    <w:lvl w:ilvl="8">
      <w:start w:val="1"/>
      <w:numFmt w:val="bullet"/>
      <w:lvlText w:val=""/>
      <w:lvlJc w:val="left"/>
      <w:pPr>
        <w:tabs>
          <w:tab w:val="num" w:pos="360"/>
        </w:tabs>
        <w:ind w:left="360" w:firstLine="6480"/>
      </w:pPr>
      <w:rPr>
        <w:rFonts w:ascii="Wingdings" w:eastAsia="ヒラギノ角ゴ Pro W3" w:hAnsi="Wingdings" w:hint="default"/>
        <w:position w:val="0"/>
        <w:sz w:val="22"/>
      </w:rPr>
    </w:lvl>
  </w:abstractNum>
  <w:abstractNum w:abstractNumId="128">
    <w:nsid w:val="000000A8"/>
    <w:multiLevelType w:val="multilevel"/>
    <w:tmpl w:val="894EE91A"/>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29">
    <w:nsid w:val="000000AB"/>
    <w:multiLevelType w:val="multilevel"/>
    <w:tmpl w:val="894EE91D"/>
    <w:lvl w:ilvl="0">
      <w:start w:val="1"/>
      <w:numFmt w:val="decimal"/>
      <w:isLgl/>
      <w:lvlText w:val="%1."/>
      <w:lvlJc w:val="left"/>
      <w:pPr>
        <w:tabs>
          <w:tab w:val="num" w:pos="360"/>
        </w:tabs>
        <w:ind w:left="360" w:firstLine="2160"/>
      </w:pPr>
      <w:rPr>
        <w:rFonts w:hint="default"/>
        <w:position w:val="0"/>
        <w:sz w:val="22"/>
      </w:rPr>
    </w:lvl>
    <w:lvl w:ilvl="1">
      <w:start w:val="1"/>
      <w:numFmt w:val="lowerLetter"/>
      <w:lvlText w:val="%2."/>
      <w:lvlJc w:val="left"/>
      <w:pPr>
        <w:tabs>
          <w:tab w:val="num" w:pos="360"/>
        </w:tabs>
        <w:ind w:left="360" w:firstLine="2880"/>
      </w:pPr>
      <w:rPr>
        <w:rFonts w:hint="default"/>
        <w:position w:val="0"/>
        <w:sz w:val="22"/>
      </w:rPr>
    </w:lvl>
    <w:lvl w:ilvl="2">
      <w:start w:val="1"/>
      <w:numFmt w:val="lowerRoman"/>
      <w:lvlText w:val="%3."/>
      <w:lvlJc w:val="left"/>
      <w:pPr>
        <w:tabs>
          <w:tab w:val="num" w:pos="360"/>
        </w:tabs>
        <w:ind w:left="360" w:firstLine="3600"/>
      </w:pPr>
      <w:rPr>
        <w:rFonts w:hint="default"/>
        <w:position w:val="0"/>
        <w:sz w:val="22"/>
      </w:rPr>
    </w:lvl>
    <w:lvl w:ilvl="3">
      <w:start w:val="1"/>
      <w:numFmt w:val="decimal"/>
      <w:isLgl/>
      <w:lvlText w:val="%4."/>
      <w:lvlJc w:val="left"/>
      <w:pPr>
        <w:tabs>
          <w:tab w:val="num" w:pos="360"/>
        </w:tabs>
        <w:ind w:left="360" w:firstLine="4320"/>
      </w:pPr>
      <w:rPr>
        <w:rFonts w:hint="default"/>
        <w:position w:val="0"/>
        <w:sz w:val="22"/>
      </w:rPr>
    </w:lvl>
    <w:lvl w:ilvl="4">
      <w:start w:val="1"/>
      <w:numFmt w:val="lowerLetter"/>
      <w:lvlText w:val="%5."/>
      <w:lvlJc w:val="left"/>
      <w:pPr>
        <w:tabs>
          <w:tab w:val="num" w:pos="360"/>
        </w:tabs>
        <w:ind w:left="360" w:firstLine="5040"/>
      </w:pPr>
      <w:rPr>
        <w:rFonts w:hint="default"/>
        <w:position w:val="0"/>
        <w:sz w:val="22"/>
      </w:rPr>
    </w:lvl>
    <w:lvl w:ilvl="5">
      <w:start w:val="1"/>
      <w:numFmt w:val="lowerRoman"/>
      <w:lvlText w:val="%6."/>
      <w:lvlJc w:val="left"/>
      <w:pPr>
        <w:tabs>
          <w:tab w:val="num" w:pos="360"/>
        </w:tabs>
        <w:ind w:left="360" w:firstLine="5760"/>
      </w:pPr>
      <w:rPr>
        <w:rFonts w:hint="default"/>
        <w:position w:val="0"/>
        <w:sz w:val="22"/>
      </w:rPr>
    </w:lvl>
    <w:lvl w:ilvl="6">
      <w:start w:val="1"/>
      <w:numFmt w:val="decimal"/>
      <w:isLgl/>
      <w:lvlText w:val="%7."/>
      <w:lvlJc w:val="left"/>
      <w:pPr>
        <w:tabs>
          <w:tab w:val="num" w:pos="360"/>
        </w:tabs>
        <w:ind w:left="360" w:firstLine="6480"/>
      </w:pPr>
      <w:rPr>
        <w:rFonts w:hint="default"/>
        <w:position w:val="0"/>
        <w:sz w:val="22"/>
      </w:rPr>
    </w:lvl>
    <w:lvl w:ilvl="7">
      <w:start w:val="1"/>
      <w:numFmt w:val="lowerLetter"/>
      <w:lvlText w:val="%8."/>
      <w:lvlJc w:val="left"/>
      <w:pPr>
        <w:tabs>
          <w:tab w:val="num" w:pos="360"/>
        </w:tabs>
        <w:ind w:left="360" w:firstLine="7200"/>
      </w:pPr>
      <w:rPr>
        <w:rFonts w:hint="default"/>
        <w:position w:val="0"/>
        <w:sz w:val="22"/>
      </w:rPr>
    </w:lvl>
    <w:lvl w:ilvl="8">
      <w:start w:val="1"/>
      <w:numFmt w:val="lowerRoman"/>
      <w:lvlText w:val="%9."/>
      <w:lvlJc w:val="left"/>
      <w:pPr>
        <w:tabs>
          <w:tab w:val="num" w:pos="360"/>
        </w:tabs>
        <w:ind w:left="360" w:firstLine="7920"/>
      </w:pPr>
      <w:rPr>
        <w:rFonts w:hint="default"/>
        <w:position w:val="0"/>
        <w:sz w:val="22"/>
      </w:rPr>
    </w:lvl>
  </w:abstractNum>
  <w:abstractNum w:abstractNumId="130">
    <w:nsid w:val="000000AC"/>
    <w:multiLevelType w:val="multilevel"/>
    <w:tmpl w:val="6C22CB60"/>
    <w:lvl w:ilvl="0">
      <w:start w:val="1"/>
      <w:numFmt w:val="decimal"/>
      <w:lvlText w:val="%1."/>
      <w:lvlJc w:val="left"/>
      <w:pPr>
        <w:tabs>
          <w:tab w:val="num" w:pos="360"/>
        </w:tabs>
        <w:ind w:left="360" w:firstLine="2160"/>
      </w:pPr>
      <w:rPr>
        <w:rFonts w:hint="default"/>
        <w:position w:val="0"/>
        <w:sz w:val="22"/>
      </w:rPr>
    </w:lvl>
    <w:lvl w:ilvl="1">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2">
      <w:start w:val="1"/>
      <w:numFmt w:val="bullet"/>
      <w:lvlText w:val=""/>
      <w:lvlJc w:val="left"/>
      <w:pPr>
        <w:tabs>
          <w:tab w:val="num" w:pos="360"/>
        </w:tabs>
        <w:ind w:left="360" w:firstLine="3600"/>
      </w:pPr>
      <w:rPr>
        <w:rFonts w:ascii="Wingdings" w:eastAsia="ヒラギノ角ゴ Pro W3" w:hAnsi="Wingdings" w:hint="default"/>
        <w:position w:val="0"/>
        <w:sz w:val="22"/>
      </w:rPr>
    </w:lvl>
    <w:lvl w:ilvl="3">
      <w:start w:val="1"/>
      <w:numFmt w:val="bullet"/>
      <w:lvlText w:val="·"/>
      <w:lvlJc w:val="left"/>
      <w:pPr>
        <w:tabs>
          <w:tab w:val="num" w:pos="360"/>
        </w:tabs>
        <w:ind w:left="360" w:firstLine="4320"/>
      </w:pPr>
      <w:rPr>
        <w:rFonts w:ascii="Lucida Grande" w:eastAsia="ヒラギノ角ゴ Pro W3" w:hAnsi="Symbol" w:hint="default"/>
        <w:position w:val="0"/>
        <w:sz w:val="22"/>
      </w:rPr>
    </w:lvl>
    <w:lvl w:ilvl="4">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5">
      <w:start w:val="1"/>
      <w:numFmt w:val="bullet"/>
      <w:lvlText w:val=""/>
      <w:lvlJc w:val="left"/>
      <w:pPr>
        <w:tabs>
          <w:tab w:val="num" w:pos="360"/>
        </w:tabs>
        <w:ind w:left="360" w:firstLine="5760"/>
      </w:pPr>
      <w:rPr>
        <w:rFonts w:ascii="Wingdings" w:eastAsia="ヒラギノ角ゴ Pro W3" w:hAnsi="Wingdings" w:hint="default"/>
        <w:position w:val="0"/>
        <w:sz w:val="22"/>
      </w:rPr>
    </w:lvl>
    <w:lvl w:ilvl="6">
      <w:start w:val="1"/>
      <w:numFmt w:val="bullet"/>
      <w:lvlText w:val="·"/>
      <w:lvlJc w:val="left"/>
      <w:pPr>
        <w:tabs>
          <w:tab w:val="num" w:pos="360"/>
        </w:tabs>
        <w:ind w:left="360" w:firstLine="6480"/>
      </w:pPr>
      <w:rPr>
        <w:rFonts w:ascii="Lucida Grande" w:eastAsia="ヒラギノ角ゴ Pro W3" w:hAnsi="Symbol" w:hint="default"/>
        <w:position w:val="0"/>
        <w:sz w:val="22"/>
      </w:rPr>
    </w:lvl>
    <w:lvl w:ilvl="7">
      <w:start w:val="1"/>
      <w:numFmt w:val="bullet"/>
      <w:lvlText w:val="o"/>
      <w:lvlJc w:val="left"/>
      <w:pPr>
        <w:tabs>
          <w:tab w:val="num" w:pos="360"/>
        </w:tabs>
        <w:ind w:left="360" w:firstLine="7200"/>
      </w:pPr>
      <w:rPr>
        <w:rFonts w:ascii="Courier New" w:eastAsia="ヒラギノ角ゴ Pro W3" w:hAnsi="Courier New" w:hint="default"/>
        <w:position w:val="0"/>
        <w:sz w:val="22"/>
      </w:rPr>
    </w:lvl>
    <w:lvl w:ilvl="8">
      <w:start w:val="1"/>
      <w:numFmt w:val="bullet"/>
      <w:lvlText w:val=""/>
      <w:lvlJc w:val="left"/>
      <w:pPr>
        <w:tabs>
          <w:tab w:val="num" w:pos="360"/>
        </w:tabs>
        <w:ind w:left="360" w:firstLine="7920"/>
      </w:pPr>
      <w:rPr>
        <w:rFonts w:ascii="Wingdings" w:eastAsia="ヒラギノ角ゴ Pro W3" w:hAnsi="Wingdings" w:hint="default"/>
        <w:position w:val="0"/>
        <w:sz w:val="22"/>
      </w:rPr>
    </w:lvl>
  </w:abstractNum>
  <w:abstractNum w:abstractNumId="131">
    <w:nsid w:val="000000AD"/>
    <w:multiLevelType w:val="multilevel"/>
    <w:tmpl w:val="894EE91F"/>
    <w:lvl w:ilvl="0">
      <w:start w:val="1"/>
      <w:numFmt w:val="bullet"/>
      <w:lvlText w:val="·"/>
      <w:lvlJc w:val="left"/>
      <w:pPr>
        <w:tabs>
          <w:tab w:val="num" w:pos="360"/>
        </w:tabs>
        <w:ind w:left="360" w:firstLine="1080"/>
      </w:pPr>
      <w:rPr>
        <w:rFonts w:ascii="Lucida Grande" w:eastAsia="ヒラギノ角ゴ Pro W3" w:hAnsi="Symbol" w:hint="default"/>
        <w:position w:val="0"/>
        <w:sz w:val="22"/>
      </w:rPr>
    </w:lvl>
    <w:lvl w:ilvl="1">
      <w:start w:val="1"/>
      <w:numFmt w:val="bullet"/>
      <w:lvlText w:val="o"/>
      <w:lvlJc w:val="left"/>
      <w:pPr>
        <w:tabs>
          <w:tab w:val="num" w:pos="360"/>
        </w:tabs>
        <w:ind w:left="360" w:firstLine="1800"/>
      </w:pPr>
      <w:rPr>
        <w:rFonts w:ascii="Courier New" w:eastAsia="ヒラギノ角ゴ Pro W3" w:hAnsi="Courier New" w:hint="default"/>
        <w:position w:val="0"/>
        <w:sz w:val="22"/>
      </w:rPr>
    </w:lvl>
    <w:lvl w:ilvl="2">
      <w:start w:val="1"/>
      <w:numFmt w:val="bullet"/>
      <w:lvlText w:val=""/>
      <w:lvlJc w:val="left"/>
      <w:pPr>
        <w:tabs>
          <w:tab w:val="num" w:pos="360"/>
        </w:tabs>
        <w:ind w:left="360" w:firstLine="2520"/>
      </w:pPr>
      <w:rPr>
        <w:rFonts w:ascii="Wingdings" w:eastAsia="ヒラギノ角ゴ Pro W3" w:hAnsi="Wingdings" w:hint="default"/>
        <w:position w:val="0"/>
        <w:sz w:val="22"/>
      </w:rPr>
    </w:lvl>
    <w:lvl w:ilvl="3">
      <w:start w:val="1"/>
      <w:numFmt w:val="bullet"/>
      <w:lvlText w:val="·"/>
      <w:lvlJc w:val="left"/>
      <w:pPr>
        <w:tabs>
          <w:tab w:val="num" w:pos="360"/>
        </w:tabs>
        <w:ind w:left="360" w:firstLine="3240"/>
      </w:pPr>
      <w:rPr>
        <w:rFonts w:ascii="Lucida Grande" w:eastAsia="ヒラギノ角ゴ Pro W3" w:hAnsi="Symbol" w:hint="default"/>
        <w:position w:val="0"/>
        <w:sz w:val="22"/>
      </w:rPr>
    </w:lvl>
    <w:lvl w:ilvl="4">
      <w:start w:val="1"/>
      <w:numFmt w:val="bullet"/>
      <w:lvlText w:val="o"/>
      <w:lvlJc w:val="left"/>
      <w:pPr>
        <w:tabs>
          <w:tab w:val="num" w:pos="360"/>
        </w:tabs>
        <w:ind w:left="360" w:firstLine="3960"/>
      </w:pPr>
      <w:rPr>
        <w:rFonts w:ascii="Courier New" w:eastAsia="ヒラギノ角ゴ Pro W3" w:hAnsi="Courier New" w:hint="default"/>
        <w:position w:val="0"/>
        <w:sz w:val="22"/>
      </w:rPr>
    </w:lvl>
    <w:lvl w:ilvl="5">
      <w:start w:val="1"/>
      <w:numFmt w:val="bullet"/>
      <w:lvlText w:val=""/>
      <w:lvlJc w:val="left"/>
      <w:pPr>
        <w:tabs>
          <w:tab w:val="num" w:pos="360"/>
        </w:tabs>
        <w:ind w:left="360" w:firstLine="4680"/>
      </w:pPr>
      <w:rPr>
        <w:rFonts w:ascii="Wingdings" w:eastAsia="ヒラギノ角ゴ Pro W3" w:hAnsi="Wingdings" w:hint="default"/>
        <w:position w:val="0"/>
        <w:sz w:val="22"/>
      </w:rPr>
    </w:lvl>
    <w:lvl w:ilvl="6">
      <w:start w:val="1"/>
      <w:numFmt w:val="bullet"/>
      <w:lvlText w:val="·"/>
      <w:lvlJc w:val="left"/>
      <w:pPr>
        <w:tabs>
          <w:tab w:val="num" w:pos="360"/>
        </w:tabs>
        <w:ind w:left="360" w:firstLine="5400"/>
      </w:pPr>
      <w:rPr>
        <w:rFonts w:ascii="Lucida Grande" w:eastAsia="ヒラギノ角ゴ Pro W3" w:hAnsi="Symbol" w:hint="default"/>
        <w:position w:val="0"/>
        <w:sz w:val="22"/>
      </w:rPr>
    </w:lvl>
    <w:lvl w:ilvl="7">
      <w:start w:val="1"/>
      <w:numFmt w:val="bullet"/>
      <w:lvlText w:val="o"/>
      <w:lvlJc w:val="left"/>
      <w:pPr>
        <w:tabs>
          <w:tab w:val="num" w:pos="360"/>
        </w:tabs>
        <w:ind w:left="360" w:firstLine="6120"/>
      </w:pPr>
      <w:rPr>
        <w:rFonts w:ascii="Courier New" w:eastAsia="ヒラギノ角ゴ Pro W3" w:hAnsi="Courier New" w:hint="default"/>
        <w:position w:val="0"/>
        <w:sz w:val="22"/>
      </w:rPr>
    </w:lvl>
    <w:lvl w:ilvl="8">
      <w:start w:val="1"/>
      <w:numFmt w:val="bullet"/>
      <w:lvlText w:val=""/>
      <w:lvlJc w:val="left"/>
      <w:pPr>
        <w:tabs>
          <w:tab w:val="num" w:pos="360"/>
        </w:tabs>
        <w:ind w:left="360" w:firstLine="6840"/>
      </w:pPr>
      <w:rPr>
        <w:rFonts w:ascii="Wingdings" w:eastAsia="ヒラギノ角ゴ Pro W3" w:hAnsi="Wingdings" w:hint="default"/>
        <w:position w:val="0"/>
        <w:sz w:val="22"/>
      </w:rPr>
    </w:lvl>
  </w:abstractNum>
  <w:abstractNum w:abstractNumId="132">
    <w:nsid w:val="000000AE"/>
    <w:multiLevelType w:val="multilevel"/>
    <w:tmpl w:val="894EE920"/>
    <w:lvl w:ilvl="0">
      <w:start w:val="1"/>
      <w:numFmt w:val="bullet"/>
      <w:lvlText w:val="·"/>
      <w:lvlJc w:val="left"/>
      <w:pPr>
        <w:tabs>
          <w:tab w:val="num" w:pos="360"/>
        </w:tabs>
        <w:ind w:left="360" w:firstLine="1080"/>
      </w:pPr>
      <w:rPr>
        <w:rFonts w:ascii="Lucida Grande" w:eastAsia="ヒラギノ角ゴ Pro W3" w:hAnsi="Symbol" w:hint="default"/>
        <w:position w:val="0"/>
        <w:sz w:val="22"/>
      </w:rPr>
    </w:lvl>
    <w:lvl w:ilvl="1">
      <w:start w:val="1"/>
      <w:numFmt w:val="bullet"/>
      <w:lvlText w:val="o"/>
      <w:lvlJc w:val="left"/>
      <w:pPr>
        <w:tabs>
          <w:tab w:val="num" w:pos="360"/>
        </w:tabs>
        <w:ind w:left="360" w:firstLine="1800"/>
      </w:pPr>
      <w:rPr>
        <w:rFonts w:ascii="Courier New" w:eastAsia="ヒラギノ角ゴ Pro W3" w:hAnsi="Courier New" w:hint="default"/>
        <w:position w:val="0"/>
        <w:sz w:val="22"/>
      </w:rPr>
    </w:lvl>
    <w:lvl w:ilvl="2">
      <w:start w:val="1"/>
      <w:numFmt w:val="bullet"/>
      <w:lvlText w:val=""/>
      <w:lvlJc w:val="left"/>
      <w:pPr>
        <w:tabs>
          <w:tab w:val="num" w:pos="360"/>
        </w:tabs>
        <w:ind w:left="360" w:firstLine="2520"/>
      </w:pPr>
      <w:rPr>
        <w:rFonts w:ascii="Wingdings" w:eastAsia="ヒラギノ角ゴ Pro W3" w:hAnsi="Wingdings" w:hint="default"/>
        <w:position w:val="0"/>
        <w:sz w:val="22"/>
      </w:rPr>
    </w:lvl>
    <w:lvl w:ilvl="3">
      <w:start w:val="1"/>
      <w:numFmt w:val="bullet"/>
      <w:lvlText w:val="·"/>
      <w:lvlJc w:val="left"/>
      <w:pPr>
        <w:tabs>
          <w:tab w:val="num" w:pos="360"/>
        </w:tabs>
        <w:ind w:left="360" w:firstLine="3240"/>
      </w:pPr>
      <w:rPr>
        <w:rFonts w:ascii="Lucida Grande" w:eastAsia="ヒラギノ角ゴ Pro W3" w:hAnsi="Symbol" w:hint="default"/>
        <w:position w:val="0"/>
        <w:sz w:val="22"/>
      </w:rPr>
    </w:lvl>
    <w:lvl w:ilvl="4">
      <w:start w:val="1"/>
      <w:numFmt w:val="bullet"/>
      <w:lvlText w:val="o"/>
      <w:lvlJc w:val="left"/>
      <w:pPr>
        <w:tabs>
          <w:tab w:val="num" w:pos="360"/>
        </w:tabs>
        <w:ind w:left="360" w:firstLine="3960"/>
      </w:pPr>
      <w:rPr>
        <w:rFonts w:ascii="Courier New" w:eastAsia="ヒラギノ角ゴ Pro W3" w:hAnsi="Courier New" w:hint="default"/>
        <w:position w:val="0"/>
        <w:sz w:val="22"/>
      </w:rPr>
    </w:lvl>
    <w:lvl w:ilvl="5">
      <w:start w:val="1"/>
      <w:numFmt w:val="bullet"/>
      <w:lvlText w:val=""/>
      <w:lvlJc w:val="left"/>
      <w:pPr>
        <w:tabs>
          <w:tab w:val="num" w:pos="360"/>
        </w:tabs>
        <w:ind w:left="360" w:firstLine="4680"/>
      </w:pPr>
      <w:rPr>
        <w:rFonts w:ascii="Wingdings" w:eastAsia="ヒラギノ角ゴ Pro W3" w:hAnsi="Wingdings" w:hint="default"/>
        <w:position w:val="0"/>
        <w:sz w:val="22"/>
      </w:rPr>
    </w:lvl>
    <w:lvl w:ilvl="6">
      <w:start w:val="1"/>
      <w:numFmt w:val="bullet"/>
      <w:lvlText w:val="·"/>
      <w:lvlJc w:val="left"/>
      <w:pPr>
        <w:tabs>
          <w:tab w:val="num" w:pos="360"/>
        </w:tabs>
        <w:ind w:left="360" w:firstLine="5400"/>
      </w:pPr>
      <w:rPr>
        <w:rFonts w:ascii="Lucida Grande" w:eastAsia="ヒラギノ角ゴ Pro W3" w:hAnsi="Symbol" w:hint="default"/>
        <w:position w:val="0"/>
        <w:sz w:val="22"/>
      </w:rPr>
    </w:lvl>
    <w:lvl w:ilvl="7">
      <w:start w:val="1"/>
      <w:numFmt w:val="bullet"/>
      <w:lvlText w:val="o"/>
      <w:lvlJc w:val="left"/>
      <w:pPr>
        <w:tabs>
          <w:tab w:val="num" w:pos="360"/>
        </w:tabs>
        <w:ind w:left="360" w:firstLine="6120"/>
      </w:pPr>
      <w:rPr>
        <w:rFonts w:ascii="Courier New" w:eastAsia="ヒラギノ角ゴ Pro W3" w:hAnsi="Courier New" w:hint="default"/>
        <w:position w:val="0"/>
        <w:sz w:val="22"/>
      </w:rPr>
    </w:lvl>
    <w:lvl w:ilvl="8">
      <w:start w:val="1"/>
      <w:numFmt w:val="bullet"/>
      <w:lvlText w:val=""/>
      <w:lvlJc w:val="left"/>
      <w:pPr>
        <w:tabs>
          <w:tab w:val="num" w:pos="360"/>
        </w:tabs>
        <w:ind w:left="360" w:firstLine="6840"/>
      </w:pPr>
      <w:rPr>
        <w:rFonts w:ascii="Wingdings" w:eastAsia="ヒラギノ角ゴ Pro W3" w:hAnsi="Wingdings" w:hint="default"/>
        <w:position w:val="0"/>
        <w:sz w:val="22"/>
      </w:rPr>
    </w:lvl>
  </w:abstractNum>
  <w:abstractNum w:abstractNumId="133">
    <w:nsid w:val="000000AF"/>
    <w:multiLevelType w:val="multilevel"/>
    <w:tmpl w:val="894EE921"/>
    <w:lvl w:ilvl="0">
      <w:start w:val="1"/>
      <w:numFmt w:val="bullet"/>
      <w:lvlText w:val="·"/>
      <w:lvlJc w:val="left"/>
      <w:pPr>
        <w:tabs>
          <w:tab w:val="num" w:pos="360"/>
        </w:tabs>
        <w:ind w:left="360" w:firstLine="1080"/>
      </w:pPr>
      <w:rPr>
        <w:rFonts w:ascii="Lucida Grande" w:eastAsia="ヒラギノ角ゴ Pro W3" w:hAnsi="Symbol" w:hint="default"/>
        <w:position w:val="0"/>
        <w:sz w:val="22"/>
      </w:rPr>
    </w:lvl>
    <w:lvl w:ilvl="1">
      <w:start w:val="1"/>
      <w:numFmt w:val="bullet"/>
      <w:lvlText w:val="o"/>
      <w:lvlJc w:val="left"/>
      <w:pPr>
        <w:tabs>
          <w:tab w:val="num" w:pos="360"/>
        </w:tabs>
        <w:ind w:left="360" w:firstLine="1800"/>
      </w:pPr>
      <w:rPr>
        <w:rFonts w:ascii="Courier New" w:eastAsia="ヒラギノ角ゴ Pro W3" w:hAnsi="Courier New" w:hint="default"/>
        <w:position w:val="0"/>
        <w:sz w:val="22"/>
      </w:rPr>
    </w:lvl>
    <w:lvl w:ilvl="2">
      <w:start w:val="1"/>
      <w:numFmt w:val="bullet"/>
      <w:lvlText w:val=""/>
      <w:lvlJc w:val="left"/>
      <w:pPr>
        <w:tabs>
          <w:tab w:val="num" w:pos="360"/>
        </w:tabs>
        <w:ind w:left="360" w:firstLine="2520"/>
      </w:pPr>
      <w:rPr>
        <w:rFonts w:ascii="Wingdings" w:eastAsia="ヒラギノ角ゴ Pro W3" w:hAnsi="Wingdings" w:hint="default"/>
        <w:position w:val="0"/>
        <w:sz w:val="22"/>
      </w:rPr>
    </w:lvl>
    <w:lvl w:ilvl="3">
      <w:start w:val="1"/>
      <w:numFmt w:val="bullet"/>
      <w:lvlText w:val="·"/>
      <w:lvlJc w:val="left"/>
      <w:pPr>
        <w:tabs>
          <w:tab w:val="num" w:pos="360"/>
        </w:tabs>
        <w:ind w:left="360" w:firstLine="3240"/>
      </w:pPr>
      <w:rPr>
        <w:rFonts w:ascii="Lucida Grande" w:eastAsia="ヒラギノ角ゴ Pro W3" w:hAnsi="Symbol" w:hint="default"/>
        <w:position w:val="0"/>
        <w:sz w:val="22"/>
      </w:rPr>
    </w:lvl>
    <w:lvl w:ilvl="4">
      <w:start w:val="1"/>
      <w:numFmt w:val="bullet"/>
      <w:lvlText w:val="o"/>
      <w:lvlJc w:val="left"/>
      <w:pPr>
        <w:tabs>
          <w:tab w:val="num" w:pos="360"/>
        </w:tabs>
        <w:ind w:left="360" w:firstLine="3960"/>
      </w:pPr>
      <w:rPr>
        <w:rFonts w:ascii="Courier New" w:eastAsia="ヒラギノ角ゴ Pro W3" w:hAnsi="Courier New" w:hint="default"/>
        <w:position w:val="0"/>
        <w:sz w:val="22"/>
      </w:rPr>
    </w:lvl>
    <w:lvl w:ilvl="5">
      <w:start w:val="1"/>
      <w:numFmt w:val="bullet"/>
      <w:lvlText w:val=""/>
      <w:lvlJc w:val="left"/>
      <w:pPr>
        <w:tabs>
          <w:tab w:val="num" w:pos="360"/>
        </w:tabs>
        <w:ind w:left="360" w:firstLine="4680"/>
      </w:pPr>
      <w:rPr>
        <w:rFonts w:ascii="Wingdings" w:eastAsia="ヒラギノ角ゴ Pro W3" w:hAnsi="Wingdings" w:hint="default"/>
        <w:position w:val="0"/>
        <w:sz w:val="22"/>
      </w:rPr>
    </w:lvl>
    <w:lvl w:ilvl="6">
      <w:start w:val="1"/>
      <w:numFmt w:val="bullet"/>
      <w:lvlText w:val="·"/>
      <w:lvlJc w:val="left"/>
      <w:pPr>
        <w:tabs>
          <w:tab w:val="num" w:pos="360"/>
        </w:tabs>
        <w:ind w:left="360" w:firstLine="5400"/>
      </w:pPr>
      <w:rPr>
        <w:rFonts w:ascii="Lucida Grande" w:eastAsia="ヒラギノ角ゴ Pro W3" w:hAnsi="Symbol" w:hint="default"/>
        <w:position w:val="0"/>
        <w:sz w:val="22"/>
      </w:rPr>
    </w:lvl>
    <w:lvl w:ilvl="7">
      <w:start w:val="1"/>
      <w:numFmt w:val="bullet"/>
      <w:lvlText w:val="o"/>
      <w:lvlJc w:val="left"/>
      <w:pPr>
        <w:tabs>
          <w:tab w:val="num" w:pos="360"/>
        </w:tabs>
        <w:ind w:left="360" w:firstLine="6120"/>
      </w:pPr>
      <w:rPr>
        <w:rFonts w:ascii="Courier New" w:eastAsia="ヒラギノ角ゴ Pro W3" w:hAnsi="Courier New" w:hint="default"/>
        <w:position w:val="0"/>
        <w:sz w:val="22"/>
      </w:rPr>
    </w:lvl>
    <w:lvl w:ilvl="8">
      <w:start w:val="1"/>
      <w:numFmt w:val="bullet"/>
      <w:lvlText w:val=""/>
      <w:lvlJc w:val="left"/>
      <w:pPr>
        <w:tabs>
          <w:tab w:val="num" w:pos="360"/>
        </w:tabs>
        <w:ind w:left="360" w:firstLine="6840"/>
      </w:pPr>
      <w:rPr>
        <w:rFonts w:ascii="Wingdings" w:eastAsia="ヒラギノ角ゴ Pro W3" w:hAnsi="Wingdings" w:hint="default"/>
        <w:position w:val="0"/>
        <w:sz w:val="22"/>
      </w:rPr>
    </w:lvl>
  </w:abstractNum>
  <w:abstractNum w:abstractNumId="134">
    <w:nsid w:val="000000B0"/>
    <w:multiLevelType w:val="multilevel"/>
    <w:tmpl w:val="894EE922"/>
    <w:lvl w:ilvl="0">
      <w:start w:val="1"/>
      <w:numFmt w:val="bullet"/>
      <w:lvlText w:val="·"/>
      <w:lvlJc w:val="left"/>
      <w:pPr>
        <w:tabs>
          <w:tab w:val="num" w:pos="360"/>
        </w:tabs>
        <w:ind w:left="360" w:firstLine="1080"/>
      </w:pPr>
      <w:rPr>
        <w:rFonts w:ascii="Lucida Grande" w:eastAsia="ヒラギノ角ゴ Pro W3" w:hAnsi="Symbol" w:hint="default"/>
        <w:position w:val="0"/>
        <w:sz w:val="22"/>
      </w:rPr>
    </w:lvl>
    <w:lvl w:ilvl="1">
      <w:start w:val="1"/>
      <w:numFmt w:val="bullet"/>
      <w:lvlText w:val="o"/>
      <w:lvlJc w:val="left"/>
      <w:pPr>
        <w:tabs>
          <w:tab w:val="num" w:pos="360"/>
        </w:tabs>
        <w:ind w:left="360" w:firstLine="1800"/>
      </w:pPr>
      <w:rPr>
        <w:rFonts w:ascii="Courier New" w:eastAsia="ヒラギノ角ゴ Pro W3" w:hAnsi="Courier New" w:hint="default"/>
        <w:position w:val="0"/>
        <w:sz w:val="22"/>
      </w:rPr>
    </w:lvl>
    <w:lvl w:ilvl="2">
      <w:start w:val="1"/>
      <w:numFmt w:val="bullet"/>
      <w:lvlText w:val=""/>
      <w:lvlJc w:val="left"/>
      <w:pPr>
        <w:tabs>
          <w:tab w:val="num" w:pos="360"/>
        </w:tabs>
        <w:ind w:left="360" w:firstLine="2520"/>
      </w:pPr>
      <w:rPr>
        <w:rFonts w:ascii="Wingdings" w:eastAsia="ヒラギノ角ゴ Pro W3" w:hAnsi="Wingdings" w:hint="default"/>
        <w:position w:val="0"/>
        <w:sz w:val="22"/>
      </w:rPr>
    </w:lvl>
    <w:lvl w:ilvl="3">
      <w:start w:val="1"/>
      <w:numFmt w:val="bullet"/>
      <w:lvlText w:val="·"/>
      <w:lvlJc w:val="left"/>
      <w:pPr>
        <w:tabs>
          <w:tab w:val="num" w:pos="360"/>
        </w:tabs>
        <w:ind w:left="360" w:firstLine="3240"/>
      </w:pPr>
      <w:rPr>
        <w:rFonts w:ascii="Lucida Grande" w:eastAsia="ヒラギノ角ゴ Pro W3" w:hAnsi="Symbol" w:hint="default"/>
        <w:position w:val="0"/>
        <w:sz w:val="22"/>
      </w:rPr>
    </w:lvl>
    <w:lvl w:ilvl="4">
      <w:start w:val="1"/>
      <w:numFmt w:val="bullet"/>
      <w:lvlText w:val="o"/>
      <w:lvlJc w:val="left"/>
      <w:pPr>
        <w:tabs>
          <w:tab w:val="num" w:pos="360"/>
        </w:tabs>
        <w:ind w:left="360" w:firstLine="3960"/>
      </w:pPr>
      <w:rPr>
        <w:rFonts w:ascii="Courier New" w:eastAsia="ヒラギノ角ゴ Pro W3" w:hAnsi="Courier New" w:hint="default"/>
        <w:position w:val="0"/>
        <w:sz w:val="22"/>
      </w:rPr>
    </w:lvl>
    <w:lvl w:ilvl="5">
      <w:start w:val="1"/>
      <w:numFmt w:val="bullet"/>
      <w:lvlText w:val=""/>
      <w:lvlJc w:val="left"/>
      <w:pPr>
        <w:tabs>
          <w:tab w:val="num" w:pos="360"/>
        </w:tabs>
        <w:ind w:left="360" w:firstLine="4680"/>
      </w:pPr>
      <w:rPr>
        <w:rFonts w:ascii="Wingdings" w:eastAsia="ヒラギノ角ゴ Pro W3" w:hAnsi="Wingdings" w:hint="default"/>
        <w:position w:val="0"/>
        <w:sz w:val="22"/>
      </w:rPr>
    </w:lvl>
    <w:lvl w:ilvl="6">
      <w:start w:val="1"/>
      <w:numFmt w:val="bullet"/>
      <w:lvlText w:val="·"/>
      <w:lvlJc w:val="left"/>
      <w:pPr>
        <w:tabs>
          <w:tab w:val="num" w:pos="360"/>
        </w:tabs>
        <w:ind w:left="360" w:firstLine="5400"/>
      </w:pPr>
      <w:rPr>
        <w:rFonts w:ascii="Lucida Grande" w:eastAsia="ヒラギノ角ゴ Pro W3" w:hAnsi="Symbol" w:hint="default"/>
        <w:position w:val="0"/>
        <w:sz w:val="22"/>
      </w:rPr>
    </w:lvl>
    <w:lvl w:ilvl="7">
      <w:start w:val="1"/>
      <w:numFmt w:val="bullet"/>
      <w:lvlText w:val="o"/>
      <w:lvlJc w:val="left"/>
      <w:pPr>
        <w:tabs>
          <w:tab w:val="num" w:pos="360"/>
        </w:tabs>
        <w:ind w:left="360" w:firstLine="6120"/>
      </w:pPr>
      <w:rPr>
        <w:rFonts w:ascii="Courier New" w:eastAsia="ヒラギノ角ゴ Pro W3" w:hAnsi="Courier New" w:hint="default"/>
        <w:position w:val="0"/>
        <w:sz w:val="22"/>
      </w:rPr>
    </w:lvl>
    <w:lvl w:ilvl="8">
      <w:start w:val="1"/>
      <w:numFmt w:val="bullet"/>
      <w:lvlText w:val=""/>
      <w:lvlJc w:val="left"/>
      <w:pPr>
        <w:tabs>
          <w:tab w:val="num" w:pos="360"/>
        </w:tabs>
        <w:ind w:left="360" w:firstLine="6840"/>
      </w:pPr>
      <w:rPr>
        <w:rFonts w:ascii="Wingdings" w:eastAsia="ヒラギノ角ゴ Pro W3" w:hAnsi="Wingdings" w:hint="default"/>
        <w:position w:val="0"/>
        <w:sz w:val="22"/>
      </w:rPr>
    </w:lvl>
  </w:abstractNum>
  <w:abstractNum w:abstractNumId="135">
    <w:nsid w:val="000000B1"/>
    <w:multiLevelType w:val="multilevel"/>
    <w:tmpl w:val="894EE923"/>
    <w:lvl w:ilvl="0">
      <w:start w:val="1"/>
      <w:numFmt w:val="decimal"/>
      <w:isLgl/>
      <w:lvlText w:val="%1."/>
      <w:lvlJc w:val="left"/>
      <w:pPr>
        <w:tabs>
          <w:tab w:val="num" w:pos="360"/>
        </w:tabs>
        <w:ind w:left="360" w:firstLine="720"/>
      </w:pPr>
      <w:rPr>
        <w:rFonts w:hint="default"/>
        <w:position w:val="0"/>
        <w:sz w:val="22"/>
      </w:rPr>
    </w:lvl>
    <w:lvl w:ilvl="1">
      <w:start w:val="1"/>
      <w:numFmt w:val="lowerLetter"/>
      <w:lvlText w:val="%2."/>
      <w:lvlJc w:val="left"/>
      <w:pPr>
        <w:tabs>
          <w:tab w:val="num" w:pos="360"/>
        </w:tabs>
        <w:ind w:left="360" w:firstLine="1350"/>
      </w:pPr>
      <w:rPr>
        <w:rFonts w:hint="default"/>
        <w:position w:val="0"/>
        <w:sz w:val="22"/>
      </w:rPr>
    </w:lvl>
    <w:lvl w:ilvl="2">
      <w:start w:val="1"/>
      <w:numFmt w:val="lowerRoman"/>
      <w:lvlText w:val="%3."/>
      <w:lvlJc w:val="left"/>
      <w:pPr>
        <w:tabs>
          <w:tab w:val="num" w:pos="360"/>
        </w:tabs>
        <w:ind w:left="360" w:firstLine="2160"/>
      </w:pPr>
      <w:rPr>
        <w:rFonts w:hint="default"/>
        <w:position w:val="0"/>
        <w:sz w:val="22"/>
      </w:rPr>
    </w:lvl>
    <w:lvl w:ilvl="3">
      <w:start w:val="1"/>
      <w:numFmt w:val="decimal"/>
      <w:isLgl/>
      <w:lvlText w:val="%4."/>
      <w:lvlJc w:val="left"/>
      <w:pPr>
        <w:tabs>
          <w:tab w:val="num" w:pos="360"/>
        </w:tabs>
        <w:ind w:left="360" w:firstLine="2880"/>
      </w:pPr>
      <w:rPr>
        <w:rFonts w:hint="default"/>
        <w:position w:val="0"/>
        <w:sz w:val="22"/>
      </w:rPr>
    </w:lvl>
    <w:lvl w:ilvl="4">
      <w:start w:val="1"/>
      <w:numFmt w:val="lowerLetter"/>
      <w:lvlText w:val="%5."/>
      <w:lvlJc w:val="left"/>
      <w:pPr>
        <w:tabs>
          <w:tab w:val="num" w:pos="360"/>
        </w:tabs>
        <w:ind w:left="360" w:firstLine="3600"/>
      </w:pPr>
      <w:rPr>
        <w:rFonts w:hint="default"/>
        <w:position w:val="0"/>
        <w:sz w:val="22"/>
      </w:rPr>
    </w:lvl>
    <w:lvl w:ilvl="5">
      <w:start w:val="1"/>
      <w:numFmt w:val="lowerRoman"/>
      <w:lvlText w:val="%6."/>
      <w:lvlJc w:val="left"/>
      <w:pPr>
        <w:tabs>
          <w:tab w:val="num" w:pos="360"/>
        </w:tabs>
        <w:ind w:left="360" w:firstLine="4320"/>
      </w:pPr>
      <w:rPr>
        <w:rFonts w:hint="default"/>
        <w:position w:val="0"/>
        <w:sz w:val="22"/>
      </w:rPr>
    </w:lvl>
    <w:lvl w:ilvl="6">
      <w:start w:val="1"/>
      <w:numFmt w:val="decimal"/>
      <w:isLgl/>
      <w:lvlText w:val="%7."/>
      <w:lvlJc w:val="left"/>
      <w:pPr>
        <w:tabs>
          <w:tab w:val="num" w:pos="360"/>
        </w:tabs>
        <w:ind w:left="360" w:firstLine="5040"/>
      </w:pPr>
      <w:rPr>
        <w:rFonts w:hint="default"/>
        <w:position w:val="0"/>
        <w:sz w:val="22"/>
      </w:rPr>
    </w:lvl>
    <w:lvl w:ilvl="7">
      <w:start w:val="1"/>
      <w:numFmt w:val="lowerLetter"/>
      <w:lvlText w:val="%8."/>
      <w:lvlJc w:val="left"/>
      <w:pPr>
        <w:tabs>
          <w:tab w:val="num" w:pos="360"/>
        </w:tabs>
        <w:ind w:left="360" w:firstLine="5760"/>
      </w:pPr>
      <w:rPr>
        <w:rFonts w:hint="default"/>
        <w:position w:val="0"/>
        <w:sz w:val="22"/>
      </w:rPr>
    </w:lvl>
    <w:lvl w:ilvl="8">
      <w:start w:val="1"/>
      <w:numFmt w:val="lowerRoman"/>
      <w:lvlText w:val="%9."/>
      <w:lvlJc w:val="left"/>
      <w:pPr>
        <w:tabs>
          <w:tab w:val="num" w:pos="360"/>
        </w:tabs>
        <w:ind w:left="360" w:firstLine="6480"/>
      </w:pPr>
      <w:rPr>
        <w:rFonts w:hint="default"/>
        <w:position w:val="0"/>
        <w:sz w:val="22"/>
      </w:rPr>
    </w:lvl>
  </w:abstractNum>
  <w:abstractNum w:abstractNumId="136">
    <w:nsid w:val="000000B3"/>
    <w:multiLevelType w:val="multilevel"/>
    <w:tmpl w:val="894EE925"/>
    <w:lvl w:ilvl="0">
      <w:start w:val="1"/>
      <w:numFmt w:val="bullet"/>
      <w:lvlText w:val="·"/>
      <w:lvlJc w:val="left"/>
      <w:pPr>
        <w:tabs>
          <w:tab w:val="num" w:pos="360"/>
        </w:tabs>
        <w:ind w:left="360" w:firstLine="720"/>
      </w:pPr>
      <w:rPr>
        <w:rFonts w:ascii="Lucida Grande" w:eastAsia="ヒラギノ角ゴ Pro W3" w:hAnsi="Symbol" w:hint="default"/>
        <w:position w:val="0"/>
        <w:sz w:val="22"/>
      </w:rPr>
    </w:lvl>
    <w:lvl w:ilvl="1">
      <w:start w:val="1"/>
      <w:numFmt w:val="bullet"/>
      <w:lvlText w:val="o"/>
      <w:lvlJc w:val="left"/>
      <w:pPr>
        <w:tabs>
          <w:tab w:val="num" w:pos="360"/>
        </w:tabs>
        <w:ind w:left="360" w:firstLine="1440"/>
      </w:pPr>
      <w:rPr>
        <w:rFonts w:ascii="Courier New" w:eastAsia="ヒラギノ角ゴ Pro W3" w:hAnsi="Courier New" w:hint="default"/>
        <w:position w:val="0"/>
        <w:sz w:val="22"/>
      </w:rPr>
    </w:lvl>
    <w:lvl w:ilvl="2">
      <w:start w:val="1"/>
      <w:numFmt w:val="bullet"/>
      <w:lvlText w:val=""/>
      <w:lvlJc w:val="left"/>
      <w:pPr>
        <w:tabs>
          <w:tab w:val="num" w:pos="360"/>
        </w:tabs>
        <w:ind w:left="360" w:firstLine="2160"/>
      </w:pPr>
      <w:rPr>
        <w:rFonts w:ascii="Wingdings" w:eastAsia="ヒラギノ角ゴ Pro W3" w:hAnsi="Wingdings" w:hint="default"/>
        <w:position w:val="0"/>
        <w:sz w:val="22"/>
      </w:rPr>
    </w:lvl>
    <w:lvl w:ilvl="3">
      <w:start w:val="1"/>
      <w:numFmt w:val="bullet"/>
      <w:lvlText w:val="·"/>
      <w:lvlJc w:val="left"/>
      <w:pPr>
        <w:tabs>
          <w:tab w:val="num" w:pos="360"/>
        </w:tabs>
        <w:ind w:left="360" w:firstLine="2880"/>
      </w:pPr>
      <w:rPr>
        <w:rFonts w:ascii="Lucida Grande" w:eastAsia="ヒラギノ角ゴ Pro W3" w:hAnsi="Symbol" w:hint="default"/>
        <w:position w:val="0"/>
        <w:sz w:val="22"/>
      </w:rPr>
    </w:lvl>
    <w:lvl w:ilvl="4">
      <w:start w:val="1"/>
      <w:numFmt w:val="bullet"/>
      <w:lvlText w:val="o"/>
      <w:lvlJc w:val="left"/>
      <w:pPr>
        <w:tabs>
          <w:tab w:val="num" w:pos="360"/>
        </w:tabs>
        <w:ind w:left="360" w:firstLine="3600"/>
      </w:pPr>
      <w:rPr>
        <w:rFonts w:ascii="Courier New" w:eastAsia="ヒラギノ角ゴ Pro W3" w:hAnsi="Courier New" w:hint="default"/>
        <w:position w:val="0"/>
        <w:sz w:val="22"/>
      </w:rPr>
    </w:lvl>
    <w:lvl w:ilvl="5">
      <w:start w:val="1"/>
      <w:numFmt w:val="bullet"/>
      <w:lvlText w:val=""/>
      <w:lvlJc w:val="left"/>
      <w:pPr>
        <w:tabs>
          <w:tab w:val="num" w:pos="360"/>
        </w:tabs>
        <w:ind w:left="360" w:firstLine="4320"/>
      </w:pPr>
      <w:rPr>
        <w:rFonts w:ascii="Wingdings" w:eastAsia="ヒラギノ角ゴ Pro W3" w:hAnsi="Wingdings" w:hint="default"/>
        <w:position w:val="0"/>
        <w:sz w:val="22"/>
      </w:rPr>
    </w:lvl>
    <w:lvl w:ilvl="6">
      <w:start w:val="1"/>
      <w:numFmt w:val="bullet"/>
      <w:lvlText w:val="·"/>
      <w:lvlJc w:val="left"/>
      <w:pPr>
        <w:tabs>
          <w:tab w:val="num" w:pos="360"/>
        </w:tabs>
        <w:ind w:left="360" w:firstLine="5040"/>
      </w:pPr>
      <w:rPr>
        <w:rFonts w:ascii="Lucida Grande" w:eastAsia="ヒラギノ角ゴ Pro W3" w:hAnsi="Symbol" w:hint="default"/>
        <w:position w:val="0"/>
        <w:sz w:val="22"/>
      </w:rPr>
    </w:lvl>
    <w:lvl w:ilvl="7">
      <w:start w:val="1"/>
      <w:numFmt w:val="bullet"/>
      <w:lvlText w:val="o"/>
      <w:lvlJc w:val="left"/>
      <w:pPr>
        <w:tabs>
          <w:tab w:val="num" w:pos="360"/>
        </w:tabs>
        <w:ind w:left="360" w:firstLine="5760"/>
      </w:pPr>
      <w:rPr>
        <w:rFonts w:ascii="Courier New" w:eastAsia="ヒラギノ角ゴ Pro W3" w:hAnsi="Courier New" w:hint="default"/>
        <w:position w:val="0"/>
        <w:sz w:val="22"/>
      </w:rPr>
    </w:lvl>
    <w:lvl w:ilvl="8">
      <w:start w:val="1"/>
      <w:numFmt w:val="bullet"/>
      <w:lvlText w:val=""/>
      <w:lvlJc w:val="left"/>
      <w:pPr>
        <w:tabs>
          <w:tab w:val="num" w:pos="360"/>
        </w:tabs>
        <w:ind w:left="360" w:firstLine="6480"/>
      </w:pPr>
      <w:rPr>
        <w:rFonts w:ascii="Wingdings" w:eastAsia="ヒラギノ角ゴ Pro W3" w:hAnsi="Wingdings" w:hint="default"/>
        <w:position w:val="0"/>
        <w:sz w:val="22"/>
      </w:rPr>
    </w:lvl>
  </w:abstractNum>
  <w:abstractNum w:abstractNumId="137">
    <w:nsid w:val="000000B4"/>
    <w:multiLevelType w:val="multilevel"/>
    <w:tmpl w:val="894EE926"/>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38">
    <w:nsid w:val="000000B5"/>
    <w:multiLevelType w:val="multilevel"/>
    <w:tmpl w:val="894EE927"/>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39">
    <w:nsid w:val="000000B6"/>
    <w:multiLevelType w:val="multilevel"/>
    <w:tmpl w:val="894EE928"/>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40">
    <w:nsid w:val="000000B7"/>
    <w:multiLevelType w:val="multilevel"/>
    <w:tmpl w:val="894EE929"/>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41">
    <w:nsid w:val="000000BB"/>
    <w:multiLevelType w:val="multilevel"/>
    <w:tmpl w:val="894EE92D"/>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42">
    <w:nsid w:val="000000BD"/>
    <w:multiLevelType w:val="multilevel"/>
    <w:tmpl w:val="894EE92F"/>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43">
    <w:nsid w:val="000000BF"/>
    <w:multiLevelType w:val="multilevel"/>
    <w:tmpl w:val="894EE931"/>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44">
    <w:nsid w:val="000000C0"/>
    <w:multiLevelType w:val="multilevel"/>
    <w:tmpl w:val="894EE932"/>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45">
    <w:nsid w:val="000000C1"/>
    <w:multiLevelType w:val="multilevel"/>
    <w:tmpl w:val="894EE933"/>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46">
    <w:nsid w:val="000000C2"/>
    <w:multiLevelType w:val="multilevel"/>
    <w:tmpl w:val="894EE934"/>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47">
    <w:nsid w:val="000000C4"/>
    <w:multiLevelType w:val="multilevel"/>
    <w:tmpl w:val="894EE936"/>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48">
    <w:nsid w:val="000000C5"/>
    <w:multiLevelType w:val="multilevel"/>
    <w:tmpl w:val="894EE937"/>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49">
    <w:nsid w:val="000000C7"/>
    <w:multiLevelType w:val="multilevel"/>
    <w:tmpl w:val="894EE939"/>
    <w:lvl w:ilvl="0">
      <w:start w:val="1"/>
      <w:numFmt w:val="bullet"/>
      <w:lvlText w:val="·"/>
      <w:lvlJc w:val="left"/>
      <w:pPr>
        <w:tabs>
          <w:tab w:val="num" w:pos="360"/>
        </w:tabs>
        <w:ind w:left="360" w:firstLine="360"/>
      </w:pPr>
      <w:rPr>
        <w:rFonts w:ascii="Lucida Grande" w:eastAsia="ヒラギノ角ゴ Pro W3" w:hAnsi="Symbol"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50">
    <w:nsid w:val="000000C9"/>
    <w:multiLevelType w:val="multilevel"/>
    <w:tmpl w:val="894EE93B"/>
    <w:lvl w:ilvl="0">
      <w:start w:val="1"/>
      <w:numFmt w:val="decimal"/>
      <w:isLgl/>
      <w:lvlText w:val="%1."/>
      <w:lvlJc w:val="left"/>
      <w:pPr>
        <w:tabs>
          <w:tab w:val="num" w:pos="360"/>
        </w:tabs>
        <w:ind w:left="360" w:firstLine="360"/>
      </w:pPr>
      <w:rPr>
        <w:rFonts w:ascii="Times New Roman Bold" w:eastAsia="ヒラギノ角ゴ Pro W3" w:hAnsi="Times New Roman Bold" w:hint="default"/>
        <w:position w:val="0"/>
        <w:sz w:val="22"/>
      </w:rPr>
    </w:lvl>
    <w:lvl w:ilvl="1">
      <w:start w:val="1"/>
      <w:numFmt w:val="bullet"/>
      <w:lvlText w:val="•"/>
      <w:lvlJc w:val="left"/>
      <w:pPr>
        <w:tabs>
          <w:tab w:val="num" w:pos="360"/>
        </w:tabs>
        <w:ind w:left="360" w:firstLine="720"/>
      </w:pPr>
      <w:rPr>
        <w:rFonts w:ascii="Lucida Grande" w:eastAsia="ヒラギノ角ゴ Pro W3" w:hAnsi="Symbol" w:hint="default"/>
        <w:position w:val="0"/>
        <w:sz w:val="22"/>
      </w:rPr>
    </w:lvl>
    <w:lvl w:ilvl="2">
      <w:start w:val="1"/>
      <w:numFmt w:val="bullet"/>
      <w:lvlText w:val=""/>
      <w:lvlJc w:val="left"/>
      <w:pPr>
        <w:tabs>
          <w:tab w:val="num" w:pos="360"/>
        </w:tabs>
        <w:ind w:left="360" w:firstLine="1440"/>
      </w:pPr>
      <w:rPr>
        <w:rFonts w:ascii="Wingdings" w:eastAsia="ヒラギノ角ゴ Pro W3" w:hAnsi="Wingdings" w:hint="default"/>
        <w:position w:val="0"/>
        <w:sz w:val="22"/>
      </w:rPr>
    </w:lvl>
    <w:lvl w:ilvl="3">
      <w:start w:val="1"/>
      <w:numFmt w:val="bullet"/>
      <w:lvlText w:val="•"/>
      <w:lvlJc w:val="left"/>
      <w:pPr>
        <w:tabs>
          <w:tab w:val="num" w:pos="360"/>
        </w:tabs>
        <w:ind w:left="360" w:firstLine="2160"/>
      </w:pPr>
      <w:rPr>
        <w:rFonts w:ascii="Lucida Grande" w:eastAsia="ヒラギノ角ゴ Pro W3" w:hAnsi="Symbol" w:hint="default"/>
        <w:position w:val="0"/>
        <w:sz w:val="22"/>
      </w:rPr>
    </w:lvl>
    <w:lvl w:ilvl="4">
      <w:start w:val="1"/>
      <w:numFmt w:val="bullet"/>
      <w:lvlText w:val="o"/>
      <w:lvlJc w:val="left"/>
      <w:pPr>
        <w:tabs>
          <w:tab w:val="num" w:pos="360"/>
        </w:tabs>
        <w:ind w:left="360" w:firstLine="2880"/>
      </w:pPr>
      <w:rPr>
        <w:rFonts w:ascii="Courier New" w:eastAsia="ヒラギノ角ゴ Pro W3" w:hAnsi="Courier New" w:hint="default"/>
        <w:position w:val="0"/>
        <w:sz w:val="22"/>
      </w:rPr>
    </w:lvl>
    <w:lvl w:ilvl="5">
      <w:start w:val="1"/>
      <w:numFmt w:val="bullet"/>
      <w:lvlText w:val=""/>
      <w:lvlJc w:val="left"/>
      <w:pPr>
        <w:tabs>
          <w:tab w:val="num" w:pos="360"/>
        </w:tabs>
        <w:ind w:left="360" w:firstLine="3600"/>
      </w:pPr>
      <w:rPr>
        <w:rFonts w:ascii="Wingdings" w:eastAsia="ヒラギノ角ゴ Pro W3" w:hAnsi="Wingdings" w:hint="default"/>
        <w:position w:val="0"/>
        <w:sz w:val="22"/>
      </w:rPr>
    </w:lvl>
    <w:lvl w:ilvl="6">
      <w:start w:val="1"/>
      <w:numFmt w:val="bullet"/>
      <w:lvlText w:val="•"/>
      <w:lvlJc w:val="left"/>
      <w:pPr>
        <w:tabs>
          <w:tab w:val="num" w:pos="360"/>
        </w:tabs>
        <w:ind w:left="360" w:firstLine="4320"/>
      </w:pPr>
      <w:rPr>
        <w:rFonts w:ascii="Lucida Grande" w:eastAsia="ヒラギノ角ゴ Pro W3" w:hAnsi="Symbol" w:hint="default"/>
        <w:position w:val="0"/>
        <w:sz w:val="22"/>
      </w:rPr>
    </w:lvl>
    <w:lvl w:ilvl="7">
      <w:start w:val="1"/>
      <w:numFmt w:val="bullet"/>
      <w:lvlText w:val="o"/>
      <w:lvlJc w:val="left"/>
      <w:pPr>
        <w:tabs>
          <w:tab w:val="num" w:pos="360"/>
        </w:tabs>
        <w:ind w:left="360" w:firstLine="5040"/>
      </w:pPr>
      <w:rPr>
        <w:rFonts w:ascii="Courier New" w:eastAsia="ヒラギノ角ゴ Pro W3" w:hAnsi="Courier New" w:hint="default"/>
        <w:position w:val="0"/>
        <w:sz w:val="22"/>
      </w:rPr>
    </w:lvl>
    <w:lvl w:ilvl="8">
      <w:start w:val="1"/>
      <w:numFmt w:val="bullet"/>
      <w:lvlText w:val=""/>
      <w:lvlJc w:val="left"/>
      <w:pPr>
        <w:tabs>
          <w:tab w:val="num" w:pos="360"/>
        </w:tabs>
        <w:ind w:left="360" w:firstLine="5760"/>
      </w:pPr>
      <w:rPr>
        <w:rFonts w:ascii="Wingdings" w:eastAsia="ヒラギノ角ゴ Pro W3" w:hAnsi="Wingdings" w:hint="default"/>
        <w:position w:val="0"/>
        <w:sz w:val="22"/>
      </w:rPr>
    </w:lvl>
  </w:abstractNum>
  <w:abstractNum w:abstractNumId="151">
    <w:nsid w:val="000000CA"/>
    <w:multiLevelType w:val="multilevel"/>
    <w:tmpl w:val="894EE93C"/>
    <w:lvl w:ilvl="0">
      <w:start w:val="1"/>
      <w:numFmt w:val="decimal"/>
      <w:isLgl/>
      <w:lvlText w:val="%1."/>
      <w:lvlJc w:val="left"/>
      <w:pPr>
        <w:tabs>
          <w:tab w:val="num" w:pos="360"/>
        </w:tabs>
        <w:ind w:left="360" w:firstLine="0"/>
      </w:pPr>
      <w:rPr>
        <w:rFonts w:hint="default"/>
        <w:position w:val="0"/>
        <w:sz w:val="22"/>
      </w:rPr>
    </w:lvl>
    <w:lvl w:ilvl="1">
      <w:start w:val="1"/>
      <w:numFmt w:val="bullet"/>
      <w:lvlText w:val="•"/>
      <w:lvlJc w:val="left"/>
      <w:pPr>
        <w:tabs>
          <w:tab w:val="num" w:pos="360"/>
        </w:tabs>
        <w:ind w:left="360" w:firstLine="1080"/>
      </w:pPr>
      <w:rPr>
        <w:rFonts w:ascii="Lucida Grande" w:eastAsia="ヒラギノ角ゴ Pro W3" w:hAnsi="Symbol"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52">
    <w:nsid w:val="000000D7"/>
    <w:multiLevelType w:val="multilevel"/>
    <w:tmpl w:val="894EE949"/>
    <w:lvl w:ilvl="0">
      <w:start w:val="1"/>
      <w:numFmt w:val="decimal"/>
      <w:isLgl/>
      <w:lvlText w:val="%1."/>
      <w:lvlJc w:val="left"/>
      <w:pPr>
        <w:tabs>
          <w:tab w:val="num" w:pos="360"/>
        </w:tabs>
        <w:ind w:left="360" w:firstLine="360"/>
      </w:pPr>
      <w:rPr>
        <w:rFonts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53">
    <w:nsid w:val="000000D9"/>
    <w:multiLevelType w:val="multilevel"/>
    <w:tmpl w:val="894EE94B"/>
    <w:lvl w:ilvl="0">
      <w:start w:val="1"/>
      <w:numFmt w:val="decimal"/>
      <w:isLgl/>
      <w:lvlText w:val="%1."/>
      <w:lvlJc w:val="left"/>
      <w:pPr>
        <w:tabs>
          <w:tab w:val="num" w:pos="360"/>
        </w:tabs>
        <w:ind w:left="360" w:firstLine="360"/>
      </w:pPr>
      <w:rPr>
        <w:rFonts w:hint="default"/>
        <w:position w:val="0"/>
        <w:sz w:val="22"/>
      </w:rPr>
    </w:lvl>
    <w:lvl w:ilvl="1">
      <w:start w:val="1"/>
      <w:numFmt w:val="lowerLetter"/>
      <w:lvlText w:val="%2."/>
      <w:lvlJc w:val="left"/>
      <w:pPr>
        <w:tabs>
          <w:tab w:val="num" w:pos="360"/>
        </w:tabs>
        <w:ind w:left="360" w:firstLine="1440"/>
      </w:pPr>
      <w:rPr>
        <w:rFonts w:hint="default"/>
        <w:position w:val="0"/>
        <w:sz w:val="22"/>
      </w:rPr>
    </w:lvl>
    <w:lvl w:ilvl="2">
      <w:start w:val="1"/>
      <w:numFmt w:val="lowerRoman"/>
      <w:lvlText w:val="%3."/>
      <w:lvlJc w:val="left"/>
      <w:pPr>
        <w:tabs>
          <w:tab w:val="num" w:pos="360"/>
        </w:tabs>
        <w:ind w:left="360" w:firstLine="2160"/>
      </w:pPr>
      <w:rPr>
        <w:rFonts w:hint="default"/>
        <w:position w:val="0"/>
        <w:sz w:val="22"/>
      </w:rPr>
    </w:lvl>
    <w:lvl w:ilvl="3">
      <w:start w:val="1"/>
      <w:numFmt w:val="decimal"/>
      <w:isLgl/>
      <w:lvlText w:val="%4."/>
      <w:lvlJc w:val="left"/>
      <w:pPr>
        <w:tabs>
          <w:tab w:val="num" w:pos="360"/>
        </w:tabs>
        <w:ind w:left="360" w:firstLine="2880"/>
      </w:pPr>
      <w:rPr>
        <w:rFonts w:hint="default"/>
        <w:position w:val="0"/>
        <w:sz w:val="22"/>
      </w:rPr>
    </w:lvl>
    <w:lvl w:ilvl="4">
      <w:start w:val="1"/>
      <w:numFmt w:val="lowerLetter"/>
      <w:lvlText w:val="%5."/>
      <w:lvlJc w:val="left"/>
      <w:pPr>
        <w:tabs>
          <w:tab w:val="num" w:pos="360"/>
        </w:tabs>
        <w:ind w:left="360" w:firstLine="3600"/>
      </w:pPr>
      <w:rPr>
        <w:rFonts w:hint="default"/>
        <w:position w:val="0"/>
        <w:sz w:val="22"/>
      </w:rPr>
    </w:lvl>
    <w:lvl w:ilvl="5">
      <w:start w:val="1"/>
      <w:numFmt w:val="lowerRoman"/>
      <w:lvlText w:val="%6."/>
      <w:lvlJc w:val="left"/>
      <w:pPr>
        <w:tabs>
          <w:tab w:val="num" w:pos="360"/>
        </w:tabs>
        <w:ind w:left="360" w:firstLine="4320"/>
      </w:pPr>
      <w:rPr>
        <w:rFonts w:hint="default"/>
        <w:position w:val="0"/>
        <w:sz w:val="22"/>
      </w:rPr>
    </w:lvl>
    <w:lvl w:ilvl="6">
      <w:start w:val="1"/>
      <w:numFmt w:val="decimal"/>
      <w:isLgl/>
      <w:lvlText w:val="%7."/>
      <w:lvlJc w:val="left"/>
      <w:pPr>
        <w:tabs>
          <w:tab w:val="num" w:pos="360"/>
        </w:tabs>
        <w:ind w:left="360" w:firstLine="5040"/>
      </w:pPr>
      <w:rPr>
        <w:rFonts w:hint="default"/>
        <w:position w:val="0"/>
        <w:sz w:val="22"/>
      </w:rPr>
    </w:lvl>
    <w:lvl w:ilvl="7">
      <w:start w:val="1"/>
      <w:numFmt w:val="lowerLetter"/>
      <w:lvlText w:val="%8."/>
      <w:lvlJc w:val="left"/>
      <w:pPr>
        <w:tabs>
          <w:tab w:val="num" w:pos="360"/>
        </w:tabs>
        <w:ind w:left="360" w:firstLine="5760"/>
      </w:pPr>
      <w:rPr>
        <w:rFonts w:hint="default"/>
        <w:position w:val="0"/>
        <w:sz w:val="22"/>
      </w:rPr>
    </w:lvl>
    <w:lvl w:ilvl="8">
      <w:start w:val="1"/>
      <w:numFmt w:val="lowerRoman"/>
      <w:lvlText w:val="%9."/>
      <w:lvlJc w:val="left"/>
      <w:pPr>
        <w:tabs>
          <w:tab w:val="num" w:pos="360"/>
        </w:tabs>
        <w:ind w:left="360" w:firstLine="6480"/>
      </w:pPr>
      <w:rPr>
        <w:rFonts w:hint="default"/>
        <w:position w:val="0"/>
        <w:sz w:val="22"/>
      </w:rPr>
    </w:lvl>
  </w:abstractNum>
  <w:abstractNum w:abstractNumId="154">
    <w:nsid w:val="000000DB"/>
    <w:multiLevelType w:val="multilevel"/>
    <w:tmpl w:val="894EE94D"/>
    <w:lvl w:ilvl="0">
      <w:start w:val="1"/>
      <w:numFmt w:val="decimal"/>
      <w:isLgl/>
      <w:lvlText w:val="%1."/>
      <w:lvlJc w:val="left"/>
      <w:pPr>
        <w:tabs>
          <w:tab w:val="num" w:pos="360"/>
        </w:tabs>
        <w:ind w:left="360" w:firstLine="360"/>
      </w:pPr>
      <w:rPr>
        <w:rFonts w:hint="default"/>
        <w:position w:val="0"/>
        <w:sz w:val="22"/>
      </w:rPr>
    </w:lvl>
    <w:lvl w:ilvl="1">
      <w:start w:val="1"/>
      <w:numFmt w:val="bullet"/>
      <w:lvlText w:val="•"/>
      <w:lvlJc w:val="left"/>
      <w:pPr>
        <w:tabs>
          <w:tab w:val="num" w:pos="360"/>
        </w:tabs>
        <w:ind w:left="360" w:firstLine="1080"/>
      </w:pPr>
      <w:rPr>
        <w:rFonts w:ascii="Lucida Grande" w:eastAsia="ヒラギノ角ゴ Pro W3" w:hAnsi="Symbol"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55">
    <w:nsid w:val="000000DD"/>
    <w:multiLevelType w:val="multilevel"/>
    <w:tmpl w:val="894EE94F"/>
    <w:lvl w:ilvl="0">
      <w:start w:val="1"/>
      <w:numFmt w:val="decimal"/>
      <w:isLgl/>
      <w:lvlText w:val="%1."/>
      <w:lvlJc w:val="left"/>
      <w:pPr>
        <w:tabs>
          <w:tab w:val="num" w:pos="360"/>
        </w:tabs>
        <w:ind w:left="360" w:firstLine="360"/>
      </w:pPr>
      <w:rPr>
        <w:rFonts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56">
    <w:nsid w:val="000000DF"/>
    <w:multiLevelType w:val="multilevel"/>
    <w:tmpl w:val="894EE951"/>
    <w:lvl w:ilvl="0">
      <w:start w:val="1"/>
      <w:numFmt w:val="decimal"/>
      <w:isLgl/>
      <w:lvlText w:val="%1."/>
      <w:lvlJc w:val="left"/>
      <w:pPr>
        <w:tabs>
          <w:tab w:val="num" w:pos="360"/>
        </w:tabs>
        <w:ind w:left="360" w:firstLine="360"/>
      </w:pPr>
      <w:rPr>
        <w:rFonts w:hint="default"/>
        <w:position w:val="0"/>
        <w:sz w:val="22"/>
      </w:rPr>
    </w:lvl>
    <w:lvl w:ilvl="1">
      <w:start w:val="1"/>
      <w:numFmt w:val="lowerLetter"/>
      <w:lvlText w:val="%2."/>
      <w:lvlJc w:val="left"/>
      <w:pPr>
        <w:tabs>
          <w:tab w:val="num" w:pos="360"/>
        </w:tabs>
        <w:ind w:left="360" w:firstLine="1440"/>
      </w:pPr>
      <w:rPr>
        <w:rFonts w:hint="default"/>
        <w:position w:val="0"/>
        <w:sz w:val="22"/>
      </w:rPr>
    </w:lvl>
    <w:lvl w:ilvl="2">
      <w:start w:val="1"/>
      <w:numFmt w:val="lowerRoman"/>
      <w:lvlText w:val="%3."/>
      <w:lvlJc w:val="left"/>
      <w:pPr>
        <w:tabs>
          <w:tab w:val="num" w:pos="360"/>
        </w:tabs>
        <w:ind w:left="360" w:firstLine="2160"/>
      </w:pPr>
      <w:rPr>
        <w:rFonts w:hint="default"/>
        <w:position w:val="0"/>
        <w:sz w:val="22"/>
      </w:rPr>
    </w:lvl>
    <w:lvl w:ilvl="3">
      <w:start w:val="1"/>
      <w:numFmt w:val="decimal"/>
      <w:isLgl/>
      <w:lvlText w:val="%4."/>
      <w:lvlJc w:val="left"/>
      <w:pPr>
        <w:tabs>
          <w:tab w:val="num" w:pos="360"/>
        </w:tabs>
        <w:ind w:left="360" w:firstLine="2880"/>
      </w:pPr>
      <w:rPr>
        <w:rFonts w:hint="default"/>
        <w:position w:val="0"/>
        <w:sz w:val="22"/>
      </w:rPr>
    </w:lvl>
    <w:lvl w:ilvl="4">
      <w:start w:val="1"/>
      <w:numFmt w:val="lowerLetter"/>
      <w:lvlText w:val="%5."/>
      <w:lvlJc w:val="left"/>
      <w:pPr>
        <w:tabs>
          <w:tab w:val="num" w:pos="360"/>
        </w:tabs>
        <w:ind w:left="360" w:firstLine="3600"/>
      </w:pPr>
      <w:rPr>
        <w:rFonts w:hint="default"/>
        <w:position w:val="0"/>
        <w:sz w:val="22"/>
      </w:rPr>
    </w:lvl>
    <w:lvl w:ilvl="5">
      <w:start w:val="1"/>
      <w:numFmt w:val="lowerRoman"/>
      <w:lvlText w:val="%6."/>
      <w:lvlJc w:val="left"/>
      <w:pPr>
        <w:tabs>
          <w:tab w:val="num" w:pos="360"/>
        </w:tabs>
        <w:ind w:left="360" w:firstLine="4320"/>
      </w:pPr>
      <w:rPr>
        <w:rFonts w:hint="default"/>
        <w:position w:val="0"/>
        <w:sz w:val="22"/>
      </w:rPr>
    </w:lvl>
    <w:lvl w:ilvl="6">
      <w:start w:val="1"/>
      <w:numFmt w:val="decimal"/>
      <w:isLgl/>
      <w:lvlText w:val="%7."/>
      <w:lvlJc w:val="left"/>
      <w:pPr>
        <w:tabs>
          <w:tab w:val="num" w:pos="360"/>
        </w:tabs>
        <w:ind w:left="360" w:firstLine="5040"/>
      </w:pPr>
      <w:rPr>
        <w:rFonts w:hint="default"/>
        <w:position w:val="0"/>
        <w:sz w:val="22"/>
      </w:rPr>
    </w:lvl>
    <w:lvl w:ilvl="7">
      <w:start w:val="1"/>
      <w:numFmt w:val="lowerLetter"/>
      <w:lvlText w:val="%8."/>
      <w:lvlJc w:val="left"/>
      <w:pPr>
        <w:tabs>
          <w:tab w:val="num" w:pos="360"/>
        </w:tabs>
        <w:ind w:left="360" w:firstLine="5760"/>
      </w:pPr>
      <w:rPr>
        <w:rFonts w:hint="default"/>
        <w:position w:val="0"/>
        <w:sz w:val="22"/>
      </w:rPr>
    </w:lvl>
    <w:lvl w:ilvl="8">
      <w:start w:val="1"/>
      <w:numFmt w:val="lowerRoman"/>
      <w:lvlText w:val="%9."/>
      <w:lvlJc w:val="left"/>
      <w:pPr>
        <w:tabs>
          <w:tab w:val="num" w:pos="360"/>
        </w:tabs>
        <w:ind w:left="360" w:firstLine="6480"/>
      </w:pPr>
      <w:rPr>
        <w:rFonts w:hint="default"/>
        <w:position w:val="0"/>
        <w:sz w:val="22"/>
      </w:rPr>
    </w:lvl>
  </w:abstractNum>
  <w:abstractNum w:abstractNumId="157">
    <w:nsid w:val="000000E0"/>
    <w:multiLevelType w:val="multilevel"/>
    <w:tmpl w:val="894EE952"/>
    <w:lvl w:ilvl="0">
      <w:start w:val="1"/>
      <w:numFmt w:val="lowerLetter"/>
      <w:lvlText w:val="%1."/>
      <w:lvlJc w:val="left"/>
      <w:pPr>
        <w:tabs>
          <w:tab w:val="num" w:pos="360"/>
        </w:tabs>
        <w:ind w:left="360" w:firstLine="360"/>
      </w:pPr>
      <w:rPr>
        <w:rFonts w:hint="default"/>
        <w:position w:val="0"/>
        <w:sz w:val="22"/>
      </w:rPr>
    </w:lvl>
    <w:lvl w:ilvl="1">
      <w:start w:val="1"/>
      <w:numFmt w:val="bullet"/>
      <w:lvlText w:val="o"/>
      <w:lvlJc w:val="left"/>
      <w:pPr>
        <w:tabs>
          <w:tab w:val="num" w:pos="360"/>
        </w:tabs>
        <w:ind w:left="360" w:firstLine="1080"/>
      </w:pPr>
      <w:rPr>
        <w:rFonts w:ascii="Courier New" w:eastAsia="ヒラギノ角ゴ Pro W3" w:hAnsi="Courier New" w:hint="default"/>
        <w:position w:val="0"/>
        <w:sz w:val="22"/>
      </w:rPr>
    </w:lvl>
    <w:lvl w:ilvl="2">
      <w:start w:val="1"/>
      <w:numFmt w:val="bullet"/>
      <w:lvlText w:val=""/>
      <w:lvlJc w:val="left"/>
      <w:pPr>
        <w:tabs>
          <w:tab w:val="num" w:pos="360"/>
        </w:tabs>
        <w:ind w:left="360" w:firstLine="1800"/>
      </w:pPr>
      <w:rPr>
        <w:rFonts w:ascii="Wingdings" w:eastAsia="ヒラギノ角ゴ Pro W3" w:hAnsi="Wingdings" w:hint="default"/>
        <w:position w:val="0"/>
        <w:sz w:val="22"/>
      </w:rPr>
    </w:lvl>
    <w:lvl w:ilvl="3">
      <w:start w:val="1"/>
      <w:numFmt w:val="bullet"/>
      <w:lvlText w:val="•"/>
      <w:lvlJc w:val="left"/>
      <w:pPr>
        <w:tabs>
          <w:tab w:val="num" w:pos="360"/>
        </w:tabs>
        <w:ind w:left="360" w:firstLine="2520"/>
      </w:pPr>
      <w:rPr>
        <w:rFonts w:ascii="Lucida Grande" w:eastAsia="ヒラギノ角ゴ Pro W3" w:hAnsi="Symbol" w:hint="default"/>
        <w:position w:val="0"/>
        <w:sz w:val="22"/>
      </w:rPr>
    </w:lvl>
    <w:lvl w:ilvl="4">
      <w:start w:val="1"/>
      <w:numFmt w:val="bullet"/>
      <w:lvlText w:val="o"/>
      <w:lvlJc w:val="left"/>
      <w:pPr>
        <w:tabs>
          <w:tab w:val="num" w:pos="360"/>
        </w:tabs>
        <w:ind w:left="360" w:firstLine="3240"/>
      </w:pPr>
      <w:rPr>
        <w:rFonts w:ascii="Courier New" w:eastAsia="ヒラギノ角ゴ Pro W3" w:hAnsi="Courier New" w:hint="default"/>
        <w:position w:val="0"/>
        <w:sz w:val="22"/>
      </w:rPr>
    </w:lvl>
    <w:lvl w:ilvl="5">
      <w:start w:val="1"/>
      <w:numFmt w:val="bullet"/>
      <w:lvlText w:val=""/>
      <w:lvlJc w:val="left"/>
      <w:pPr>
        <w:tabs>
          <w:tab w:val="num" w:pos="360"/>
        </w:tabs>
        <w:ind w:left="360" w:firstLine="3960"/>
      </w:pPr>
      <w:rPr>
        <w:rFonts w:ascii="Wingdings" w:eastAsia="ヒラギノ角ゴ Pro W3" w:hAnsi="Wingdings" w:hint="default"/>
        <w:position w:val="0"/>
        <w:sz w:val="22"/>
      </w:rPr>
    </w:lvl>
    <w:lvl w:ilvl="6">
      <w:start w:val="1"/>
      <w:numFmt w:val="bullet"/>
      <w:lvlText w:val="•"/>
      <w:lvlJc w:val="left"/>
      <w:pPr>
        <w:tabs>
          <w:tab w:val="num" w:pos="360"/>
        </w:tabs>
        <w:ind w:left="360" w:firstLine="4680"/>
      </w:pPr>
      <w:rPr>
        <w:rFonts w:ascii="Lucida Grande" w:eastAsia="ヒラギノ角ゴ Pro W3" w:hAnsi="Symbol" w:hint="default"/>
        <w:position w:val="0"/>
        <w:sz w:val="22"/>
      </w:rPr>
    </w:lvl>
    <w:lvl w:ilvl="7">
      <w:start w:val="1"/>
      <w:numFmt w:val="bullet"/>
      <w:lvlText w:val="o"/>
      <w:lvlJc w:val="left"/>
      <w:pPr>
        <w:tabs>
          <w:tab w:val="num" w:pos="360"/>
        </w:tabs>
        <w:ind w:left="360" w:firstLine="5400"/>
      </w:pPr>
      <w:rPr>
        <w:rFonts w:ascii="Courier New" w:eastAsia="ヒラギノ角ゴ Pro W3" w:hAnsi="Courier New" w:hint="default"/>
        <w:position w:val="0"/>
        <w:sz w:val="22"/>
      </w:rPr>
    </w:lvl>
    <w:lvl w:ilvl="8">
      <w:start w:val="1"/>
      <w:numFmt w:val="bullet"/>
      <w:lvlText w:val=""/>
      <w:lvlJc w:val="left"/>
      <w:pPr>
        <w:tabs>
          <w:tab w:val="num" w:pos="360"/>
        </w:tabs>
        <w:ind w:left="360" w:firstLine="6120"/>
      </w:pPr>
      <w:rPr>
        <w:rFonts w:ascii="Wingdings" w:eastAsia="ヒラギノ角ゴ Pro W3" w:hAnsi="Wingdings" w:hint="default"/>
        <w:position w:val="0"/>
        <w:sz w:val="22"/>
      </w:rPr>
    </w:lvl>
  </w:abstractNum>
  <w:abstractNum w:abstractNumId="158">
    <w:nsid w:val="000000EF"/>
    <w:multiLevelType w:val="multilevel"/>
    <w:tmpl w:val="894EE961"/>
    <w:lvl w:ilvl="0">
      <w:start w:val="1"/>
      <w:numFmt w:val="decimal"/>
      <w:isLgl/>
      <w:lvlText w:val="%1."/>
      <w:lvlJc w:val="left"/>
      <w:pPr>
        <w:tabs>
          <w:tab w:val="num" w:pos="360"/>
        </w:tabs>
        <w:ind w:left="360" w:firstLine="360"/>
      </w:pPr>
      <w:rPr>
        <w:rFonts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59">
    <w:nsid w:val="000000F1"/>
    <w:multiLevelType w:val="multilevel"/>
    <w:tmpl w:val="894EE963"/>
    <w:lvl w:ilvl="0">
      <w:start w:val="1"/>
      <w:numFmt w:val="decimal"/>
      <w:isLgl/>
      <w:lvlText w:val="%1."/>
      <w:lvlJc w:val="left"/>
      <w:pPr>
        <w:tabs>
          <w:tab w:val="num" w:pos="360"/>
        </w:tabs>
        <w:ind w:left="360" w:firstLine="360"/>
      </w:pPr>
      <w:rPr>
        <w:rFonts w:hint="default"/>
        <w:position w:val="0"/>
        <w:sz w:val="22"/>
      </w:rPr>
    </w:lvl>
    <w:lvl w:ilvl="1">
      <w:start w:val="1"/>
      <w:numFmt w:val="lowerLetter"/>
      <w:lvlText w:val="%2."/>
      <w:lvlJc w:val="left"/>
      <w:pPr>
        <w:tabs>
          <w:tab w:val="num" w:pos="360"/>
        </w:tabs>
        <w:ind w:left="360" w:firstLine="1080"/>
      </w:pPr>
      <w:rPr>
        <w:rFonts w:hint="default"/>
        <w:position w:val="0"/>
        <w:sz w:val="22"/>
      </w:rPr>
    </w:lvl>
    <w:lvl w:ilvl="2">
      <w:start w:val="1"/>
      <w:numFmt w:val="lowerRoman"/>
      <w:lvlText w:val="%3."/>
      <w:lvlJc w:val="left"/>
      <w:pPr>
        <w:tabs>
          <w:tab w:val="num" w:pos="360"/>
        </w:tabs>
        <w:ind w:left="360" w:firstLine="1800"/>
      </w:pPr>
      <w:rPr>
        <w:rFonts w:hint="default"/>
        <w:position w:val="0"/>
        <w:sz w:val="22"/>
      </w:rPr>
    </w:lvl>
    <w:lvl w:ilvl="3">
      <w:start w:val="1"/>
      <w:numFmt w:val="decimal"/>
      <w:isLgl/>
      <w:lvlText w:val="%4."/>
      <w:lvlJc w:val="left"/>
      <w:pPr>
        <w:tabs>
          <w:tab w:val="num" w:pos="360"/>
        </w:tabs>
        <w:ind w:left="360" w:firstLine="2520"/>
      </w:pPr>
      <w:rPr>
        <w:rFonts w:hint="default"/>
        <w:position w:val="0"/>
        <w:sz w:val="22"/>
      </w:rPr>
    </w:lvl>
    <w:lvl w:ilvl="4">
      <w:start w:val="1"/>
      <w:numFmt w:val="lowerLetter"/>
      <w:lvlText w:val="%5."/>
      <w:lvlJc w:val="left"/>
      <w:pPr>
        <w:tabs>
          <w:tab w:val="num" w:pos="360"/>
        </w:tabs>
        <w:ind w:left="360" w:firstLine="3240"/>
      </w:pPr>
      <w:rPr>
        <w:rFonts w:hint="default"/>
        <w:position w:val="0"/>
        <w:sz w:val="22"/>
      </w:rPr>
    </w:lvl>
    <w:lvl w:ilvl="5">
      <w:start w:val="1"/>
      <w:numFmt w:val="lowerRoman"/>
      <w:lvlText w:val="%6."/>
      <w:lvlJc w:val="left"/>
      <w:pPr>
        <w:tabs>
          <w:tab w:val="num" w:pos="360"/>
        </w:tabs>
        <w:ind w:left="360" w:firstLine="3960"/>
      </w:pPr>
      <w:rPr>
        <w:rFonts w:hint="default"/>
        <w:position w:val="0"/>
        <w:sz w:val="22"/>
      </w:rPr>
    </w:lvl>
    <w:lvl w:ilvl="6">
      <w:start w:val="1"/>
      <w:numFmt w:val="decimal"/>
      <w:isLgl/>
      <w:lvlText w:val="%7."/>
      <w:lvlJc w:val="left"/>
      <w:pPr>
        <w:tabs>
          <w:tab w:val="num" w:pos="360"/>
        </w:tabs>
        <w:ind w:left="360" w:firstLine="4680"/>
      </w:pPr>
      <w:rPr>
        <w:rFonts w:hint="default"/>
        <w:position w:val="0"/>
        <w:sz w:val="22"/>
      </w:rPr>
    </w:lvl>
    <w:lvl w:ilvl="7">
      <w:start w:val="1"/>
      <w:numFmt w:val="lowerLetter"/>
      <w:lvlText w:val="%8."/>
      <w:lvlJc w:val="left"/>
      <w:pPr>
        <w:tabs>
          <w:tab w:val="num" w:pos="360"/>
        </w:tabs>
        <w:ind w:left="360" w:firstLine="5400"/>
      </w:pPr>
      <w:rPr>
        <w:rFonts w:hint="default"/>
        <w:position w:val="0"/>
        <w:sz w:val="22"/>
      </w:rPr>
    </w:lvl>
    <w:lvl w:ilvl="8">
      <w:start w:val="1"/>
      <w:numFmt w:val="lowerRoman"/>
      <w:lvlText w:val="%9."/>
      <w:lvlJc w:val="left"/>
      <w:pPr>
        <w:tabs>
          <w:tab w:val="num" w:pos="360"/>
        </w:tabs>
        <w:ind w:left="360" w:firstLine="6120"/>
      </w:pPr>
      <w:rPr>
        <w:rFonts w:hint="default"/>
        <w:position w:val="0"/>
        <w:sz w:val="22"/>
      </w:rPr>
    </w:lvl>
  </w:abstractNum>
  <w:abstractNum w:abstractNumId="160">
    <w:nsid w:val="00266AF8"/>
    <w:multiLevelType w:val="hybridMultilevel"/>
    <w:tmpl w:val="16921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00E579AC"/>
    <w:multiLevelType w:val="hybridMultilevel"/>
    <w:tmpl w:val="FB7EC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01390D27"/>
    <w:multiLevelType w:val="hybridMultilevel"/>
    <w:tmpl w:val="89BA1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01CD44C1"/>
    <w:multiLevelType w:val="hybridMultilevel"/>
    <w:tmpl w:val="D6EA7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nsid w:val="01EA0ECB"/>
    <w:multiLevelType w:val="hybridMultilevel"/>
    <w:tmpl w:val="4DDA1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027C7443"/>
    <w:multiLevelType w:val="hybridMultilevel"/>
    <w:tmpl w:val="20907E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030327F0"/>
    <w:multiLevelType w:val="hybridMultilevel"/>
    <w:tmpl w:val="A7F03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03770A39"/>
    <w:multiLevelType w:val="hybridMultilevel"/>
    <w:tmpl w:val="A748F094"/>
    <w:lvl w:ilvl="0" w:tplc="04090001">
      <w:start w:val="1"/>
      <w:numFmt w:val="bullet"/>
      <w:lvlText w:val=""/>
      <w:lvlJc w:val="left"/>
      <w:pPr>
        <w:ind w:left="1021" w:hanging="360"/>
      </w:pPr>
      <w:rPr>
        <w:rFonts w:ascii="Symbol" w:hAnsi="Symbol" w:hint="default"/>
      </w:rPr>
    </w:lvl>
    <w:lvl w:ilvl="1" w:tplc="04090003" w:tentative="1">
      <w:start w:val="1"/>
      <w:numFmt w:val="bullet"/>
      <w:lvlText w:val="o"/>
      <w:lvlJc w:val="left"/>
      <w:pPr>
        <w:ind w:left="1741" w:hanging="360"/>
      </w:pPr>
      <w:rPr>
        <w:rFonts w:ascii="Courier New" w:hAnsi="Courier New" w:cs="Courier New" w:hint="default"/>
      </w:rPr>
    </w:lvl>
    <w:lvl w:ilvl="2" w:tplc="04090005" w:tentative="1">
      <w:start w:val="1"/>
      <w:numFmt w:val="bullet"/>
      <w:lvlText w:val=""/>
      <w:lvlJc w:val="left"/>
      <w:pPr>
        <w:ind w:left="2461" w:hanging="360"/>
      </w:pPr>
      <w:rPr>
        <w:rFonts w:ascii="Wingdings" w:hAnsi="Wingdings" w:hint="default"/>
      </w:rPr>
    </w:lvl>
    <w:lvl w:ilvl="3" w:tplc="04090001" w:tentative="1">
      <w:start w:val="1"/>
      <w:numFmt w:val="bullet"/>
      <w:lvlText w:val=""/>
      <w:lvlJc w:val="left"/>
      <w:pPr>
        <w:ind w:left="3181" w:hanging="360"/>
      </w:pPr>
      <w:rPr>
        <w:rFonts w:ascii="Symbol" w:hAnsi="Symbol" w:hint="default"/>
      </w:rPr>
    </w:lvl>
    <w:lvl w:ilvl="4" w:tplc="04090003" w:tentative="1">
      <w:start w:val="1"/>
      <w:numFmt w:val="bullet"/>
      <w:lvlText w:val="o"/>
      <w:lvlJc w:val="left"/>
      <w:pPr>
        <w:ind w:left="3901" w:hanging="360"/>
      </w:pPr>
      <w:rPr>
        <w:rFonts w:ascii="Courier New" w:hAnsi="Courier New" w:cs="Courier New" w:hint="default"/>
      </w:rPr>
    </w:lvl>
    <w:lvl w:ilvl="5" w:tplc="04090005" w:tentative="1">
      <w:start w:val="1"/>
      <w:numFmt w:val="bullet"/>
      <w:lvlText w:val=""/>
      <w:lvlJc w:val="left"/>
      <w:pPr>
        <w:ind w:left="4621" w:hanging="360"/>
      </w:pPr>
      <w:rPr>
        <w:rFonts w:ascii="Wingdings" w:hAnsi="Wingdings" w:hint="default"/>
      </w:rPr>
    </w:lvl>
    <w:lvl w:ilvl="6" w:tplc="04090001" w:tentative="1">
      <w:start w:val="1"/>
      <w:numFmt w:val="bullet"/>
      <w:lvlText w:val=""/>
      <w:lvlJc w:val="left"/>
      <w:pPr>
        <w:ind w:left="5341" w:hanging="360"/>
      </w:pPr>
      <w:rPr>
        <w:rFonts w:ascii="Symbol" w:hAnsi="Symbol" w:hint="default"/>
      </w:rPr>
    </w:lvl>
    <w:lvl w:ilvl="7" w:tplc="04090003" w:tentative="1">
      <w:start w:val="1"/>
      <w:numFmt w:val="bullet"/>
      <w:lvlText w:val="o"/>
      <w:lvlJc w:val="left"/>
      <w:pPr>
        <w:ind w:left="6061" w:hanging="360"/>
      </w:pPr>
      <w:rPr>
        <w:rFonts w:ascii="Courier New" w:hAnsi="Courier New" w:cs="Courier New" w:hint="default"/>
      </w:rPr>
    </w:lvl>
    <w:lvl w:ilvl="8" w:tplc="04090005" w:tentative="1">
      <w:start w:val="1"/>
      <w:numFmt w:val="bullet"/>
      <w:lvlText w:val=""/>
      <w:lvlJc w:val="left"/>
      <w:pPr>
        <w:ind w:left="6781" w:hanging="360"/>
      </w:pPr>
      <w:rPr>
        <w:rFonts w:ascii="Wingdings" w:hAnsi="Wingdings" w:hint="default"/>
      </w:rPr>
    </w:lvl>
  </w:abstractNum>
  <w:abstractNum w:abstractNumId="168">
    <w:nsid w:val="03B55F67"/>
    <w:multiLevelType w:val="hybridMultilevel"/>
    <w:tmpl w:val="8D80FB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9">
    <w:nsid w:val="04392F2C"/>
    <w:multiLevelType w:val="hybridMultilevel"/>
    <w:tmpl w:val="A93A8000"/>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70">
    <w:nsid w:val="05692FC2"/>
    <w:multiLevelType w:val="hybridMultilevel"/>
    <w:tmpl w:val="AFE6A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0575169A"/>
    <w:multiLevelType w:val="hybridMultilevel"/>
    <w:tmpl w:val="AE9ADAE6"/>
    <w:lvl w:ilvl="0" w:tplc="90A48E8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068B22B7"/>
    <w:multiLevelType w:val="hybridMultilevel"/>
    <w:tmpl w:val="12E68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072D0622"/>
    <w:multiLevelType w:val="hybridMultilevel"/>
    <w:tmpl w:val="730CF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07544B56"/>
    <w:multiLevelType w:val="hybridMultilevel"/>
    <w:tmpl w:val="D60AC59A"/>
    <w:lvl w:ilvl="0" w:tplc="46104384">
      <w:start w:val="1"/>
      <w:numFmt w:val="lowerLetter"/>
      <w:lvlText w:val="(%1)"/>
      <w:lvlJc w:val="left"/>
      <w:pPr>
        <w:ind w:left="0" w:hanging="404"/>
      </w:pPr>
      <w:rPr>
        <w:rFonts w:ascii="Times New Roman" w:eastAsia="Times New Roman" w:hAnsi="Times New Roman" w:cs="Times New Roman" w:hint="default"/>
        <w:color w:val="0C0C0C"/>
        <w:w w:val="107"/>
        <w:sz w:val="24"/>
        <w:szCs w:val="24"/>
      </w:rPr>
    </w:lvl>
    <w:lvl w:ilvl="1" w:tplc="72742D70">
      <w:start w:val="1"/>
      <w:numFmt w:val="upperLetter"/>
      <w:lvlText w:val="(%2)"/>
      <w:lvlJc w:val="left"/>
      <w:pPr>
        <w:ind w:left="0" w:hanging="375"/>
      </w:pPr>
      <w:rPr>
        <w:rFonts w:ascii="Times New Roman" w:eastAsia="Times New Roman" w:hAnsi="Times New Roman" w:cs="Times New Roman" w:hint="default"/>
        <w:color w:val="0C0C0C"/>
        <w:w w:val="93"/>
        <w:sz w:val="24"/>
        <w:szCs w:val="24"/>
      </w:rPr>
    </w:lvl>
    <w:lvl w:ilvl="2" w:tplc="68B8F6E2">
      <w:start w:val="1"/>
      <w:numFmt w:val="bullet"/>
      <w:lvlText w:val="•"/>
      <w:lvlJc w:val="left"/>
      <w:pPr>
        <w:ind w:left="0" w:firstLine="0"/>
      </w:pPr>
    </w:lvl>
    <w:lvl w:ilvl="3" w:tplc="D8D4DDEC">
      <w:start w:val="1"/>
      <w:numFmt w:val="bullet"/>
      <w:lvlText w:val="•"/>
      <w:lvlJc w:val="left"/>
      <w:pPr>
        <w:ind w:left="0" w:firstLine="0"/>
      </w:pPr>
    </w:lvl>
    <w:lvl w:ilvl="4" w:tplc="52ACE3C2">
      <w:start w:val="1"/>
      <w:numFmt w:val="bullet"/>
      <w:lvlText w:val="•"/>
      <w:lvlJc w:val="left"/>
      <w:pPr>
        <w:ind w:left="0" w:firstLine="0"/>
      </w:pPr>
    </w:lvl>
    <w:lvl w:ilvl="5" w:tplc="4752A662">
      <w:start w:val="1"/>
      <w:numFmt w:val="bullet"/>
      <w:lvlText w:val="•"/>
      <w:lvlJc w:val="left"/>
      <w:pPr>
        <w:ind w:left="0" w:firstLine="0"/>
      </w:pPr>
    </w:lvl>
    <w:lvl w:ilvl="6" w:tplc="A7AA9DD6">
      <w:start w:val="1"/>
      <w:numFmt w:val="bullet"/>
      <w:lvlText w:val="•"/>
      <w:lvlJc w:val="left"/>
      <w:pPr>
        <w:ind w:left="0" w:firstLine="0"/>
      </w:pPr>
    </w:lvl>
    <w:lvl w:ilvl="7" w:tplc="8CE24116">
      <w:start w:val="1"/>
      <w:numFmt w:val="bullet"/>
      <w:lvlText w:val="•"/>
      <w:lvlJc w:val="left"/>
      <w:pPr>
        <w:ind w:left="0" w:firstLine="0"/>
      </w:pPr>
    </w:lvl>
    <w:lvl w:ilvl="8" w:tplc="63B24092">
      <w:start w:val="1"/>
      <w:numFmt w:val="bullet"/>
      <w:lvlText w:val="•"/>
      <w:lvlJc w:val="left"/>
      <w:pPr>
        <w:ind w:left="0" w:firstLine="0"/>
      </w:pPr>
    </w:lvl>
  </w:abstractNum>
  <w:abstractNum w:abstractNumId="175">
    <w:nsid w:val="08210CD4"/>
    <w:multiLevelType w:val="hybridMultilevel"/>
    <w:tmpl w:val="A0E60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08526D93"/>
    <w:multiLevelType w:val="hybridMultilevel"/>
    <w:tmpl w:val="D4A67D3C"/>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77">
    <w:nsid w:val="086C4B15"/>
    <w:multiLevelType w:val="hybridMultilevel"/>
    <w:tmpl w:val="7048E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09204A5F"/>
    <w:multiLevelType w:val="hybridMultilevel"/>
    <w:tmpl w:val="B7B4F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0CA26701"/>
    <w:multiLevelType w:val="hybridMultilevel"/>
    <w:tmpl w:val="A468A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nsid w:val="0CB23F29"/>
    <w:multiLevelType w:val="hybridMultilevel"/>
    <w:tmpl w:val="AB4AC16A"/>
    <w:lvl w:ilvl="0" w:tplc="90A48E8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0CEA1DFB"/>
    <w:multiLevelType w:val="hybridMultilevel"/>
    <w:tmpl w:val="A8FEC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0D702724"/>
    <w:multiLevelType w:val="hybridMultilevel"/>
    <w:tmpl w:val="A1583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nsid w:val="0DB16EBB"/>
    <w:multiLevelType w:val="hybridMultilevel"/>
    <w:tmpl w:val="A53ED4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0F6679AE"/>
    <w:multiLevelType w:val="hybridMultilevel"/>
    <w:tmpl w:val="A5204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nsid w:val="0F973FB2"/>
    <w:multiLevelType w:val="hybridMultilevel"/>
    <w:tmpl w:val="B3C04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104E2996"/>
    <w:multiLevelType w:val="hybridMultilevel"/>
    <w:tmpl w:val="2F58A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10500E1A"/>
    <w:multiLevelType w:val="multilevel"/>
    <w:tmpl w:val="404E697A"/>
    <w:lvl w:ilvl="0">
      <w:start w:val="1"/>
      <w:numFmt w:val="bullet"/>
      <w:lvlText w:val=""/>
      <w:lvlJc w:val="left"/>
      <w:pPr>
        <w:tabs>
          <w:tab w:val="num" w:pos="0"/>
        </w:tabs>
        <w:ind w:left="0" w:firstLine="360"/>
      </w:pPr>
      <w:rPr>
        <w:rFonts w:ascii="Symbol" w:hAnsi="Symbol" w:hint="default"/>
        <w:position w:val="0"/>
        <w:sz w:val="22"/>
      </w:rPr>
    </w:lvl>
    <w:lvl w:ilvl="1">
      <w:start w:val="1"/>
      <w:numFmt w:val="lowerLetter"/>
      <w:lvlText w:val="%2."/>
      <w:lvlJc w:val="left"/>
      <w:pPr>
        <w:tabs>
          <w:tab w:val="num" w:pos="0"/>
        </w:tabs>
        <w:ind w:left="0" w:firstLine="1080"/>
      </w:pPr>
      <w:rPr>
        <w:rFonts w:hint="default"/>
        <w:position w:val="0"/>
        <w:sz w:val="22"/>
      </w:rPr>
    </w:lvl>
    <w:lvl w:ilvl="2">
      <w:start w:val="1"/>
      <w:numFmt w:val="lowerRoman"/>
      <w:lvlText w:val="%3."/>
      <w:lvlJc w:val="left"/>
      <w:pPr>
        <w:tabs>
          <w:tab w:val="num" w:pos="0"/>
        </w:tabs>
        <w:ind w:left="0" w:firstLine="1800"/>
      </w:pPr>
      <w:rPr>
        <w:rFonts w:hint="default"/>
        <w:position w:val="0"/>
        <w:sz w:val="22"/>
      </w:rPr>
    </w:lvl>
    <w:lvl w:ilvl="3">
      <w:start w:val="1"/>
      <w:numFmt w:val="decimal"/>
      <w:isLgl/>
      <w:lvlText w:val="%4."/>
      <w:lvlJc w:val="left"/>
      <w:pPr>
        <w:tabs>
          <w:tab w:val="num" w:pos="0"/>
        </w:tabs>
        <w:ind w:left="0" w:firstLine="2520"/>
      </w:pPr>
      <w:rPr>
        <w:rFonts w:hint="default"/>
        <w:position w:val="0"/>
        <w:sz w:val="22"/>
      </w:rPr>
    </w:lvl>
    <w:lvl w:ilvl="4">
      <w:start w:val="1"/>
      <w:numFmt w:val="lowerLetter"/>
      <w:lvlText w:val="%5."/>
      <w:lvlJc w:val="left"/>
      <w:pPr>
        <w:tabs>
          <w:tab w:val="num" w:pos="0"/>
        </w:tabs>
        <w:ind w:left="0" w:firstLine="3240"/>
      </w:pPr>
      <w:rPr>
        <w:rFonts w:hint="default"/>
        <w:position w:val="0"/>
        <w:sz w:val="22"/>
      </w:rPr>
    </w:lvl>
    <w:lvl w:ilvl="5">
      <w:start w:val="1"/>
      <w:numFmt w:val="lowerRoman"/>
      <w:lvlText w:val="%6."/>
      <w:lvlJc w:val="left"/>
      <w:pPr>
        <w:tabs>
          <w:tab w:val="num" w:pos="0"/>
        </w:tabs>
        <w:ind w:left="0" w:firstLine="3960"/>
      </w:pPr>
      <w:rPr>
        <w:rFonts w:hint="default"/>
        <w:position w:val="0"/>
        <w:sz w:val="22"/>
      </w:rPr>
    </w:lvl>
    <w:lvl w:ilvl="6">
      <w:start w:val="1"/>
      <w:numFmt w:val="decimal"/>
      <w:isLgl/>
      <w:lvlText w:val="%7."/>
      <w:lvlJc w:val="left"/>
      <w:pPr>
        <w:tabs>
          <w:tab w:val="num" w:pos="0"/>
        </w:tabs>
        <w:ind w:left="0" w:firstLine="4680"/>
      </w:pPr>
      <w:rPr>
        <w:rFonts w:hint="default"/>
        <w:position w:val="0"/>
        <w:sz w:val="22"/>
      </w:rPr>
    </w:lvl>
    <w:lvl w:ilvl="7">
      <w:start w:val="1"/>
      <w:numFmt w:val="lowerLetter"/>
      <w:lvlText w:val="%8."/>
      <w:lvlJc w:val="left"/>
      <w:pPr>
        <w:tabs>
          <w:tab w:val="num" w:pos="0"/>
        </w:tabs>
        <w:ind w:left="0" w:firstLine="5400"/>
      </w:pPr>
      <w:rPr>
        <w:rFonts w:hint="default"/>
        <w:position w:val="0"/>
        <w:sz w:val="22"/>
      </w:rPr>
    </w:lvl>
    <w:lvl w:ilvl="8">
      <w:start w:val="1"/>
      <w:numFmt w:val="lowerRoman"/>
      <w:lvlText w:val="%9."/>
      <w:lvlJc w:val="left"/>
      <w:pPr>
        <w:tabs>
          <w:tab w:val="num" w:pos="0"/>
        </w:tabs>
        <w:ind w:left="0" w:firstLine="6120"/>
      </w:pPr>
      <w:rPr>
        <w:rFonts w:hint="default"/>
        <w:position w:val="0"/>
        <w:sz w:val="22"/>
      </w:rPr>
    </w:lvl>
  </w:abstractNum>
  <w:abstractNum w:abstractNumId="188">
    <w:nsid w:val="118E3AF3"/>
    <w:multiLevelType w:val="hybridMultilevel"/>
    <w:tmpl w:val="58485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nsid w:val="11AB77F6"/>
    <w:multiLevelType w:val="hybridMultilevel"/>
    <w:tmpl w:val="AFF85C42"/>
    <w:lvl w:ilvl="0" w:tplc="E2B4D6F6">
      <w:start w:val="1"/>
      <w:numFmt w:val="lowerLetter"/>
      <w:lvlText w:val="(%1)"/>
      <w:lvlJc w:val="left"/>
      <w:pPr>
        <w:ind w:left="0" w:hanging="356"/>
      </w:pPr>
      <w:rPr>
        <w:rFonts w:ascii="Times New Roman" w:eastAsia="Times New Roman" w:hAnsi="Times New Roman" w:cs="Times New Roman" w:hint="default"/>
        <w:color w:val="1F1F1F"/>
        <w:w w:val="103"/>
        <w:sz w:val="24"/>
        <w:szCs w:val="24"/>
      </w:rPr>
    </w:lvl>
    <w:lvl w:ilvl="1" w:tplc="2A125496">
      <w:start w:val="1"/>
      <w:numFmt w:val="bullet"/>
      <w:lvlText w:val="•"/>
      <w:lvlJc w:val="left"/>
      <w:pPr>
        <w:ind w:left="0" w:firstLine="0"/>
      </w:pPr>
    </w:lvl>
    <w:lvl w:ilvl="2" w:tplc="7A245AD6">
      <w:start w:val="1"/>
      <w:numFmt w:val="bullet"/>
      <w:lvlText w:val="•"/>
      <w:lvlJc w:val="left"/>
      <w:pPr>
        <w:ind w:left="0" w:firstLine="0"/>
      </w:pPr>
    </w:lvl>
    <w:lvl w:ilvl="3" w:tplc="56BA766E">
      <w:start w:val="1"/>
      <w:numFmt w:val="bullet"/>
      <w:lvlText w:val="•"/>
      <w:lvlJc w:val="left"/>
      <w:pPr>
        <w:ind w:left="0" w:firstLine="0"/>
      </w:pPr>
    </w:lvl>
    <w:lvl w:ilvl="4" w:tplc="E4426258">
      <w:start w:val="1"/>
      <w:numFmt w:val="bullet"/>
      <w:lvlText w:val="•"/>
      <w:lvlJc w:val="left"/>
      <w:pPr>
        <w:ind w:left="0" w:firstLine="0"/>
      </w:pPr>
    </w:lvl>
    <w:lvl w:ilvl="5" w:tplc="65665BFE">
      <w:start w:val="1"/>
      <w:numFmt w:val="bullet"/>
      <w:lvlText w:val="•"/>
      <w:lvlJc w:val="left"/>
      <w:pPr>
        <w:ind w:left="0" w:firstLine="0"/>
      </w:pPr>
    </w:lvl>
    <w:lvl w:ilvl="6" w:tplc="793C6BC0">
      <w:start w:val="1"/>
      <w:numFmt w:val="bullet"/>
      <w:lvlText w:val="•"/>
      <w:lvlJc w:val="left"/>
      <w:pPr>
        <w:ind w:left="0" w:firstLine="0"/>
      </w:pPr>
    </w:lvl>
    <w:lvl w:ilvl="7" w:tplc="0450DDE0">
      <w:start w:val="1"/>
      <w:numFmt w:val="bullet"/>
      <w:lvlText w:val="•"/>
      <w:lvlJc w:val="left"/>
      <w:pPr>
        <w:ind w:left="0" w:firstLine="0"/>
      </w:pPr>
    </w:lvl>
    <w:lvl w:ilvl="8" w:tplc="5F1ADDC0">
      <w:start w:val="1"/>
      <w:numFmt w:val="bullet"/>
      <w:lvlText w:val="•"/>
      <w:lvlJc w:val="left"/>
      <w:pPr>
        <w:ind w:left="0" w:firstLine="0"/>
      </w:pPr>
    </w:lvl>
  </w:abstractNum>
  <w:abstractNum w:abstractNumId="190">
    <w:nsid w:val="13211BD9"/>
    <w:multiLevelType w:val="hybridMultilevel"/>
    <w:tmpl w:val="F0EC3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13E03F1A"/>
    <w:multiLevelType w:val="hybridMultilevel"/>
    <w:tmpl w:val="0FD24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14023E5F"/>
    <w:multiLevelType w:val="hybridMultilevel"/>
    <w:tmpl w:val="25BE74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3">
    <w:nsid w:val="14D6046E"/>
    <w:multiLevelType w:val="hybridMultilevel"/>
    <w:tmpl w:val="1C0E9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15614E6C"/>
    <w:multiLevelType w:val="multilevel"/>
    <w:tmpl w:val="8CEA8E00"/>
    <w:lvl w:ilvl="0">
      <w:start w:val="1"/>
      <w:numFmt w:val="bullet"/>
      <w:lvlText w:val=""/>
      <w:lvlJc w:val="left"/>
      <w:pPr>
        <w:tabs>
          <w:tab w:val="num" w:pos="0"/>
        </w:tabs>
        <w:ind w:left="0" w:firstLine="360"/>
      </w:pPr>
      <w:rPr>
        <w:rFonts w:ascii="Symbol" w:hAnsi="Symbol" w:hint="default"/>
        <w:position w:val="0"/>
        <w:sz w:val="22"/>
      </w:rPr>
    </w:lvl>
    <w:lvl w:ilvl="1">
      <w:start w:val="1"/>
      <w:numFmt w:val="bullet"/>
      <w:lvlText w:val=""/>
      <w:lvlJc w:val="left"/>
      <w:pPr>
        <w:tabs>
          <w:tab w:val="num" w:pos="0"/>
        </w:tabs>
        <w:ind w:left="0" w:firstLine="1080"/>
      </w:pPr>
      <w:rPr>
        <w:rFonts w:ascii="Symbol" w:hAnsi="Symbol" w:hint="default"/>
        <w:position w:val="0"/>
        <w:sz w:val="22"/>
      </w:rPr>
    </w:lvl>
    <w:lvl w:ilvl="2">
      <w:start w:val="1"/>
      <w:numFmt w:val="lowerRoman"/>
      <w:lvlText w:val="%3."/>
      <w:lvlJc w:val="left"/>
      <w:pPr>
        <w:tabs>
          <w:tab w:val="num" w:pos="0"/>
        </w:tabs>
        <w:ind w:left="0" w:firstLine="1800"/>
      </w:pPr>
      <w:rPr>
        <w:rFonts w:hint="default"/>
        <w:position w:val="0"/>
        <w:sz w:val="22"/>
      </w:rPr>
    </w:lvl>
    <w:lvl w:ilvl="3">
      <w:start w:val="1"/>
      <w:numFmt w:val="decimal"/>
      <w:isLgl/>
      <w:lvlText w:val="%4."/>
      <w:lvlJc w:val="left"/>
      <w:pPr>
        <w:tabs>
          <w:tab w:val="num" w:pos="0"/>
        </w:tabs>
        <w:ind w:left="0" w:firstLine="2520"/>
      </w:pPr>
      <w:rPr>
        <w:rFonts w:hint="default"/>
        <w:position w:val="0"/>
        <w:sz w:val="22"/>
      </w:rPr>
    </w:lvl>
    <w:lvl w:ilvl="4">
      <w:start w:val="1"/>
      <w:numFmt w:val="lowerLetter"/>
      <w:lvlText w:val="%5."/>
      <w:lvlJc w:val="left"/>
      <w:pPr>
        <w:tabs>
          <w:tab w:val="num" w:pos="0"/>
        </w:tabs>
        <w:ind w:left="0" w:firstLine="3240"/>
      </w:pPr>
      <w:rPr>
        <w:rFonts w:hint="default"/>
        <w:position w:val="0"/>
        <w:sz w:val="22"/>
      </w:rPr>
    </w:lvl>
    <w:lvl w:ilvl="5">
      <w:start w:val="1"/>
      <w:numFmt w:val="lowerRoman"/>
      <w:lvlText w:val="%6."/>
      <w:lvlJc w:val="left"/>
      <w:pPr>
        <w:tabs>
          <w:tab w:val="num" w:pos="0"/>
        </w:tabs>
        <w:ind w:left="0" w:firstLine="3960"/>
      </w:pPr>
      <w:rPr>
        <w:rFonts w:hint="default"/>
        <w:position w:val="0"/>
        <w:sz w:val="22"/>
      </w:rPr>
    </w:lvl>
    <w:lvl w:ilvl="6">
      <w:start w:val="1"/>
      <w:numFmt w:val="decimal"/>
      <w:isLgl/>
      <w:lvlText w:val="%7."/>
      <w:lvlJc w:val="left"/>
      <w:pPr>
        <w:tabs>
          <w:tab w:val="num" w:pos="0"/>
        </w:tabs>
        <w:ind w:left="0" w:firstLine="4680"/>
      </w:pPr>
      <w:rPr>
        <w:rFonts w:hint="default"/>
        <w:position w:val="0"/>
        <w:sz w:val="22"/>
      </w:rPr>
    </w:lvl>
    <w:lvl w:ilvl="7">
      <w:start w:val="1"/>
      <w:numFmt w:val="lowerLetter"/>
      <w:lvlText w:val="%8."/>
      <w:lvlJc w:val="left"/>
      <w:pPr>
        <w:tabs>
          <w:tab w:val="num" w:pos="0"/>
        </w:tabs>
        <w:ind w:left="0" w:firstLine="5400"/>
      </w:pPr>
      <w:rPr>
        <w:rFonts w:hint="default"/>
        <w:position w:val="0"/>
        <w:sz w:val="22"/>
      </w:rPr>
    </w:lvl>
    <w:lvl w:ilvl="8">
      <w:start w:val="1"/>
      <w:numFmt w:val="lowerRoman"/>
      <w:lvlText w:val="%9."/>
      <w:lvlJc w:val="left"/>
      <w:pPr>
        <w:tabs>
          <w:tab w:val="num" w:pos="0"/>
        </w:tabs>
        <w:ind w:left="0" w:firstLine="6120"/>
      </w:pPr>
      <w:rPr>
        <w:rFonts w:hint="default"/>
        <w:position w:val="0"/>
        <w:sz w:val="22"/>
      </w:rPr>
    </w:lvl>
  </w:abstractNum>
  <w:abstractNum w:abstractNumId="195">
    <w:nsid w:val="159249AC"/>
    <w:multiLevelType w:val="hybridMultilevel"/>
    <w:tmpl w:val="29E0F8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nsid w:val="17D33D62"/>
    <w:multiLevelType w:val="multilevel"/>
    <w:tmpl w:val="43C443F6"/>
    <w:lvl w:ilvl="0">
      <w:start w:val="1"/>
      <w:numFmt w:val="lowerLetter"/>
      <w:lvlText w:val="(%1)"/>
      <w:lvlJc w:val="left"/>
      <w:pPr>
        <w:ind w:left="720" w:firstLine="360"/>
      </w:pPr>
    </w:lvl>
    <w:lvl w:ilvl="1">
      <w:start w:val="1"/>
      <w:numFmt w:val="lowerLetter"/>
      <w:lvlText w:val="(%2)"/>
      <w:lvlJc w:val="left"/>
      <w:pPr>
        <w:ind w:left="1440" w:firstLine="1080"/>
      </w:pPr>
      <w:rPr>
        <w:b w:val="0"/>
        <w:color w:val="000000"/>
      </w:rPr>
    </w:lvl>
    <w:lvl w:ilvl="2">
      <w:start w:val="1"/>
      <w:numFmt w:val="lowerRoman"/>
      <w:lvlText w:val="(%3)"/>
      <w:lvlJc w:val="right"/>
      <w:pPr>
        <w:ind w:left="2160" w:firstLine="1980"/>
      </w:pPr>
      <w:rPr>
        <w:rFonts w:ascii="Cambria" w:eastAsia="Cambria" w:hAnsi="Cambria" w:cs="Cambria"/>
        <w:b w:val="0"/>
        <w:strike w:val="0"/>
        <w:color w:val="000000"/>
      </w:r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97">
    <w:nsid w:val="182F7A1D"/>
    <w:multiLevelType w:val="hybridMultilevel"/>
    <w:tmpl w:val="F65A7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nsid w:val="18D60145"/>
    <w:multiLevelType w:val="hybridMultilevel"/>
    <w:tmpl w:val="C6E010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1966097A"/>
    <w:multiLevelType w:val="multilevel"/>
    <w:tmpl w:val="8CEA8E00"/>
    <w:lvl w:ilvl="0">
      <w:start w:val="1"/>
      <w:numFmt w:val="bullet"/>
      <w:lvlText w:val=""/>
      <w:lvlJc w:val="left"/>
      <w:pPr>
        <w:tabs>
          <w:tab w:val="num" w:pos="0"/>
        </w:tabs>
        <w:ind w:left="0" w:firstLine="360"/>
      </w:pPr>
      <w:rPr>
        <w:rFonts w:ascii="Symbol" w:hAnsi="Symbol" w:hint="default"/>
        <w:position w:val="0"/>
        <w:sz w:val="22"/>
      </w:rPr>
    </w:lvl>
    <w:lvl w:ilvl="1">
      <w:start w:val="1"/>
      <w:numFmt w:val="bullet"/>
      <w:lvlText w:val=""/>
      <w:lvlJc w:val="left"/>
      <w:pPr>
        <w:tabs>
          <w:tab w:val="num" w:pos="0"/>
        </w:tabs>
        <w:ind w:left="0" w:firstLine="1080"/>
      </w:pPr>
      <w:rPr>
        <w:rFonts w:ascii="Symbol" w:hAnsi="Symbol" w:hint="default"/>
        <w:position w:val="0"/>
        <w:sz w:val="22"/>
      </w:rPr>
    </w:lvl>
    <w:lvl w:ilvl="2">
      <w:start w:val="1"/>
      <w:numFmt w:val="lowerRoman"/>
      <w:lvlText w:val="%3."/>
      <w:lvlJc w:val="left"/>
      <w:pPr>
        <w:tabs>
          <w:tab w:val="num" w:pos="0"/>
        </w:tabs>
        <w:ind w:left="0" w:firstLine="1800"/>
      </w:pPr>
      <w:rPr>
        <w:rFonts w:hint="default"/>
        <w:position w:val="0"/>
        <w:sz w:val="22"/>
      </w:rPr>
    </w:lvl>
    <w:lvl w:ilvl="3">
      <w:start w:val="1"/>
      <w:numFmt w:val="decimal"/>
      <w:isLgl/>
      <w:lvlText w:val="%4."/>
      <w:lvlJc w:val="left"/>
      <w:pPr>
        <w:tabs>
          <w:tab w:val="num" w:pos="0"/>
        </w:tabs>
        <w:ind w:left="0" w:firstLine="2520"/>
      </w:pPr>
      <w:rPr>
        <w:rFonts w:hint="default"/>
        <w:position w:val="0"/>
        <w:sz w:val="22"/>
      </w:rPr>
    </w:lvl>
    <w:lvl w:ilvl="4">
      <w:start w:val="1"/>
      <w:numFmt w:val="lowerLetter"/>
      <w:lvlText w:val="%5."/>
      <w:lvlJc w:val="left"/>
      <w:pPr>
        <w:tabs>
          <w:tab w:val="num" w:pos="0"/>
        </w:tabs>
        <w:ind w:left="0" w:firstLine="3240"/>
      </w:pPr>
      <w:rPr>
        <w:rFonts w:hint="default"/>
        <w:position w:val="0"/>
        <w:sz w:val="22"/>
      </w:rPr>
    </w:lvl>
    <w:lvl w:ilvl="5">
      <w:start w:val="1"/>
      <w:numFmt w:val="lowerRoman"/>
      <w:lvlText w:val="%6."/>
      <w:lvlJc w:val="left"/>
      <w:pPr>
        <w:tabs>
          <w:tab w:val="num" w:pos="0"/>
        </w:tabs>
        <w:ind w:left="0" w:firstLine="3960"/>
      </w:pPr>
      <w:rPr>
        <w:rFonts w:hint="default"/>
        <w:position w:val="0"/>
        <w:sz w:val="22"/>
      </w:rPr>
    </w:lvl>
    <w:lvl w:ilvl="6">
      <w:start w:val="1"/>
      <w:numFmt w:val="decimal"/>
      <w:isLgl/>
      <w:lvlText w:val="%7."/>
      <w:lvlJc w:val="left"/>
      <w:pPr>
        <w:tabs>
          <w:tab w:val="num" w:pos="0"/>
        </w:tabs>
        <w:ind w:left="0" w:firstLine="4680"/>
      </w:pPr>
      <w:rPr>
        <w:rFonts w:hint="default"/>
        <w:position w:val="0"/>
        <w:sz w:val="22"/>
      </w:rPr>
    </w:lvl>
    <w:lvl w:ilvl="7">
      <w:start w:val="1"/>
      <w:numFmt w:val="lowerLetter"/>
      <w:lvlText w:val="%8."/>
      <w:lvlJc w:val="left"/>
      <w:pPr>
        <w:tabs>
          <w:tab w:val="num" w:pos="0"/>
        </w:tabs>
        <w:ind w:left="0" w:firstLine="5400"/>
      </w:pPr>
      <w:rPr>
        <w:rFonts w:hint="default"/>
        <w:position w:val="0"/>
        <w:sz w:val="22"/>
      </w:rPr>
    </w:lvl>
    <w:lvl w:ilvl="8">
      <w:start w:val="1"/>
      <w:numFmt w:val="lowerRoman"/>
      <w:lvlText w:val="%9."/>
      <w:lvlJc w:val="left"/>
      <w:pPr>
        <w:tabs>
          <w:tab w:val="num" w:pos="0"/>
        </w:tabs>
        <w:ind w:left="0" w:firstLine="6120"/>
      </w:pPr>
      <w:rPr>
        <w:rFonts w:hint="default"/>
        <w:position w:val="0"/>
        <w:sz w:val="22"/>
      </w:rPr>
    </w:lvl>
  </w:abstractNum>
  <w:abstractNum w:abstractNumId="200">
    <w:nsid w:val="19A45E7A"/>
    <w:multiLevelType w:val="hybridMultilevel"/>
    <w:tmpl w:val="64D47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nsid w:val="19E92F0F"/>
    <w:multiLevelType w:val="multilevel"/>
    <w:tmpl w:val="8CEA8E00"/>
    <w:lvl w:ilvl="0">
      <w:start w:val="1"/>
      <w:numFmt w:val="bullet"/>
      <w:lvlText w:val=""/>
      <w:lvlJc w:val="left"/>
      <w:pPr>
        <w:tabs>
          <w:tab w:val="num" w:pos="0"/>
        </w:tabs>
        <w:ind w:left="0" w:firstLine="360"/>
      </w:pPr>
      <w:rPr>
        <w:rFonts w:ascii="Symbol" w:hAnsi="Symbol" w:hint="default"/>
        <w:position w:val="0"/>
        <w:sz w:val="22"/>
      </w:rPr>
    </w:lvl>
    <w:lvl w:ilvl="1">
      <w:start w:val="1"/>
      <w:numFmt w:val="bullet"/>
      <w:lvlText w:val=""/>
      <w:lvlJc w:val="left"/>
      <w:pPr>
        <w:tabs>
          <w:tab w:val="num" w:pos="0"/>
        </w:tabs>
        <w:ind w:left="0" w:firstLine="1080"/>
      </w:pPr>
      <w:rPr>
        <w:rFonts w:ascii="Symbol" w:hAnsi="Symbol" w:hint="default"/>
        <w:position w:val="0"/>
        <w:sz w:val="22"/>
      </w:rPr>
    </w:lvl>
    <w:lvl w:ilvl="2">
      <w:start w:val="1"/>
      <w:numFmt w:val="lowerRoman"/>
      <w:lvlText w:val="%3."/>
      <w:lvlJc w:val="left"/>
      <w:pPr>
        <w:tabs>
          <w:tab w:val="num" w:pos="0"/>
        </w:tabs>
        <w:ind w:left="0" w:firstLine="1800"/>
      </w:pPr>
      <w:rPr>
        <w:rFonts w:hint="default"/>
        <w:position w:val="0"/>
        <w:sz w:val="22"/>
      </w:rPr>
    </w:lvl>
    <w:lvl w:ilvl="3">
      <w:start w:val="1"/>
      <w:numFmt w:val="decimal"/>
      <w:isLgl/>
      <w:lvlText w:val="%4."/>
      <w:lvlJc w:val="left"/>
      <w:pPr>
        <w:tabs>
          <w:tab w:val="num" w:pos="0"/>
        </w:tabs>
        <w:ind w:left="0" w:firstLine="2520"/>
      </w:pPr>
      <w:rPr>
        <w:rFonts w:hint="default"/>
        <w:position w:val="0"/>
        <w:sz w:val="22"/>
      </w:rPr>
    </w:lvl>
    <w:lvl w:ilvl="4">
      <w:start w:val="1"/>
      <w:numFmt w:val="lowerLetter"/>
      <w:lvlText w:val="%5."/>
      <w:lvlJc w:val="left"/>
      <w:pPr>
        <w:tabs>
          <w:tab w:val="num" w:pos="0"/>
        </w:tabs>
        <w:ind w:left="0" w:firstLine="3240"/>
      </w:pPr>
      <w:rPr>
        <w:rFonts w:hint="default"/>
        <w:position w:val="0"/>
        <w:sz w:val="22"/>
      </w:rPr>
    </w:lvl>
    <w:lvl w:ilvl="5">
      <w:start w:val="1"/>
      <w:numFmt w:val="lowerRoman"/>
      <w:lvlText w:val="%6."/>
      <w:lvlJc w:val="left"/>
      <w:pPr>
        <w:tabs>
          <w:tab w:val="num" w:pos="0"/>
        </w:tabs>
        <w:ind w:left="0" w:firstLine="3960"/>
      </w:pPr>
      <w:rPr>
        <w:rFonts w:hint="default"/>
        <w:position w:val="0"/>
        <w:sz w:val="22"/>
      </w:rPr>
    </w:lvl>
    <w:lvl w:ilvl="6">
      <w:start w:val="1"/>
      <w:numFmt w:val="decimal"/>
      <w:isLgl/>
      <w:lvlText w:val="%7."/>
      <w:lvlJc w:val="left"/>
      <w:pPr>
        <w:tabs>
          <w:tab w:val="num" w:pos="0"/>
        </w:tabs>
        <w:ind w:left="0" w:firstLine="4680"/>
      </w:pPr>
      <w:rPr>
        <w:rFonts w:hint="default"/>
        <w:position w:val="0"/>
        <w:sz w:val="22"/>
      </w:rPr>
    </w:lvl>
    <w:lvl w:ilvl="7">
      <w:start w:val="1"/>
      <w:numFmt w:val="lowerLetter"/>
      <w:lvlText w:val="%8."/>
      <w:lvlJc w:val="left"/>
      <w:pPr>
        <w:tabs>
          <w:tab w:val="num" w:pos="0"/>
        </w:tabs>
        <w:ind w:left="0" w:firstLine="5400"/>
      </w:pPr>
      <w:rPr>
        <w:rFonts w:hint="default"/>
        <w:position w:val="0"/>
        <w:sz w:val="22"/>
      </w:rPr>
    </w:lvl>
    <w:lvl w:ilvl="8">
      <w:start w:val="1"/>
      <w:numFmt w:val="lowerRoman"/>
      <w:lvlText w:val="%9."/>
      <w:lvlJc w:val="left"/>
      <w:pPr>
        <w:tabs>
          <w:tab w:val="num" w:pos="0"/>
        </w:tabs>
        <w:ind w:left="0" w:firstLine="6120"/>
      </w:pPr>
      <w:rPr>
        <w:rFonts w:hint="default"/>
        <w:position w:val="0"/>
        <w:sz w:val="22"/>
      </w:rPr>
    </w:lvl>
  </w:abstractNum>
  <w:abstractNum w:abstractNumId="202">
    <w:nsid w:val="1A2B299D"/>
    <w:multiLevelType w:val="hybridMultilevel"/>
    <w:tmpl w:val="5F304E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nsid w:val="1A317F17"/>
    <w:multiLevelType w:val="hybridMultilevel"/>
    <w:tmpl w:val="F63CF1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nsid w:val="1ABE31A9"/>
    <w:multiLevelType w:val="hybridMultilevel"/>
    <w:tmpl w:val="B50035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1C6E5C2E"/>
    <w:multiLevelType w:val="hybridMultilevel"/>
    <w:tmpl w:val="2EDE49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1E3C2A2E"/>
    <w:multiLevelType w:val="hybridMultilevel"/>
    <w:tmpl w:val="A134D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nsid w:val="1EA71413"/>
    <w:multiLevelType w:val="hybridMultilevel"/>
    <w:tmpl w:val="8BF6FE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1F2C1D92"/>
    <w:multiLevelType w:val="hybridMultilevel"/>
    <w:tmpl w:val="2F785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nsid w:val="20A8796D"/>
    <w:multiLevelType w:val="hybridMultilevel"/>
    <w:tmpl w:val="298088D8"/>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210">
    <w:nsid w:val="20BB6A31"/>
    <w:multiLevelType w:val="hybridMultilevel"/>
    <w:tmpl w:val="4202D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nsid w:val="229D0E31"/>
    <w:multiLevelType w:val="hybridMultilevel"/>
    <w:tmpl w:val="4DE824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nsid w:val="23162F53"/>
    <w:multiLevelType w:val="hybridMultilevel"/>
    <w:tmpl w:val="594068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3">
    <w:nsid w:val="23552A85"/>
    <w:multiLevelType w:val="hybridMultilevel"/>
    <w:tmpl w:val="C54A2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nsid w:val="263F0AD6"/>
    <w:multiLevelType w:val="hybridMultilevel"/>
    <w:tmpl w:val="CCE289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5">
    <w:nsid w:val="2640124E"/>
    <w:multiLevelType w:val="hybridMultilevel"/>
    <w:tmpl w:val="F0AA4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26F53D2A"/>
    <w:multiLevelType w:val="hybridMultilevel"/>
    <w:tmpl w:val="617C4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289C1CC7"/>
    <w:multiLevelType w:val="hybridMultilevel"/>
    <w:tmpl w:val="5824C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nsid w:val="2A037ECC"/>
    <w:multiLevelType w:val="hybridMultilevel"/>
    <w:tmpl w:val="3D067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nsid w:val="2B035A65"/>
    <w:multiLevelType w:val="hybridMultilevel"/>
    <w:tmpl w:val="33C6A7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2B4E0333"/>
    <w:multiLevelType w:val="hybridMultilevel"/>
    <w:tmpl w:val="DB48D670"/>
    <w:lvl w:ilvl="0" w:tplc="81B8EF9A">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1">
    <w:nsid w:val="2CE923B0"/>
    <w:multiLevelType w:val="hybridMultilevel"/>
    <w:tmpl w:val="0B3C63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2">
    <w:nsid w:val="2D346E7F"/>
    <w:multiLevelType w:val="hybridMultilevel"/>
    <w:tmpl w:val="90B60D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2E315BB0"/>
    <w:multiLevelType w:val="hybridMultilevel"/>
    <w:tmpl w:val="5BE0F4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4">
    <w:nsid w:val="2EB355CF"/>
    <w:multiLevelType w:val="hybridMultilevel"/>
    <w:tmpl w:val="48D8F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2F20088C"/>
    <w:multiLevelType w:val="hybridMultilevel"/>
    <w:tmpl w:val="63F8AC8A"/>
    <w:lvl w:ilvl="0" w:tplc="04090001">
      <w:start w:val="1"/>
      <w:numFmt w:val="bullet"/>
      <w:lvlText w:val=""/>
      <w:lvlJc w:val="left"/>
      <w:pPr>
        <w:ind w:left="360" w:hanging="360"/>
      </w:pPr>
      <w:rPr>
        <w:rFonts w:ascii="Symbol" w:hAnsi="Symbol" w:hint="default"/>
      </w:rPr>
    </w:lvl>
    <w:lvl w:ilvl="1" w:tplc="BCB05F7A">
      <w:numFmt w:val="bullet"/>
      <w:lvlText w:val="•"/>
      <w:lvlJc w:val="left"/>
      <w:pPr>
        <w:ind w:left="1440" w:hanging="720"/>
      </w:pPr>
      <w:rPr>
        <w:rFonts w:ascii="Times New Roman" w:eastAsiaTheme="minorHAnsi"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6">
    <w:nsid w:val="2F6A349D"/>
    <w:multiLevelType w:val="hybridMultilevel"/>
    <w:tmpl w:val="7C14A642"/>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7">
    <w:nsid w:val="2F8955B6"/>
    <w:multiLevelType w:val="hybridMultilevel"/>
    <w:tmpl w:val="5B5A0ED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8">
    <w:nsid w:val="330B76DC"/>
    <w:multiLevelType w:val="hybridMultilevel"/>
    <w:tmpl w:val="75140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nsid w:val="341E264C"/>
    <w:multiLevelType w:val="hybridMultilevel"/>
    <w:tmpl w:val="C8B09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nsid w:val="34932C5E"/>
    <w:multiLevelType w:val="hybridMultilevel"/>
    <w:tmpl w:val="A7BA02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1">
    <w:nsid w:val="34D207AE"/>
    <w:multiLevelType w:val="hybridMultilevel"/>
    <w:tmpl w:val="A6662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nsid w:val="357F120D"/>
    <w:multiLevelType w:val="hybridMultilevel"/>
    <w:tmpl w:val="7B0AB52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3">
    <w:nsid w:val="35C3439D"/>
    <w:multiLevelType w:val="hybridMultilevel"/>
    <w:tmpl w:val="0F7413D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372D7B39"/>
    <w:multiLevelType w:val="hybridMultilevel"/>
    <w:tmpl w:val="2C807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37A8639A"/>
    <w:multiLevelType w:val="hybridMultilevel"/>
    <w:tmpl w:val="BDE6D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nsid w:val="37DC24A6"/>
    <w:multiLevelType w:val="hybridMultilevel"/>
    <w:tmpl w:val="482671EE"/>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237">
    <w:nsid w:val="38892588"/>
    <w:multiLevelType w:val="hybridMultilevel"/>
    <w:tmpl w:val="F5AEC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39F23841"/>
    <w:multiLevelType w:val="hybridMultilevel"/>
    <w:tmpl w:val="C868CDD4"/>
    <w:lvl w:ilvl="0" w:tplc="D8664B60">
      <w:start w:val="1"/>
      <w:numFmt w:val="lowerLetter"/>
      <w:lvlText w:val="(%1)"/>
      <w:lvlJc w:val="left"/>
      <w:pPr>
        <w:ind w:left="0" w:hanging="356"/>
      </w:pPr>
      <w:rPr>
        <w:rFonts w:ascii="Times New Roman" w:eastAsia="Times New Roman" w:hAnsi="Times New Roman" w:cs="Times New Roman" w:hint="default"/>
        <w:color w:val="2F2F2F"/>
        <w:w w:val="103"/>
        <w:sz w:val="24"/>
        <w:szCs w:val="24"/>
      </w:rPr>
    </w:lvl>
    <w:lvl w:ilvl="1" w:tplc="2BC8EA60">
      <w:start w:val="1"/>
      <w:numFmt w:val="lowerRoman"/>
      <w:lvlText w:val="%2."/>
      <w:lvlJc w:val="left"/>
      <w:pPr>
        <w:ind w:left="0" w:hanging="260"/>
      </w:pPr>
      <w:rPr>
        <w:rFonts w:ascii="Arial" w:eastAsia="Arial" w:hAnsi="Arial" w:cs="Times New Roman" w:hint="default"/>
        <w:color w:val="1F1F1F"/>
        <w:w w:val="123"/>
        <w:sz w:val="22"/>
        <w:szCs w:val="22"/>
      </w:rPr>
    </w:lvl>
    <w:lvl w:ilvl="2" w:tplc="F85A5624">
      <w:start w:val="1"/>
      <w:numFmt w:val="bullet"/>
      <w:lvlText w:val="•"/>
      <w:lvlJc w:val="left"/>
      <w:pPr>
        <w:ind w:left="0" w:firstLine="0"/>
      </w:pPr>
    </w:lvl>
    <w:lvl w:ilvl="3" w:tplc="300E103A">
      <w:start w:val="1"/>
      <w:numFmt w:val="bullet"/>
      <w:lvlText w:val="•"/>
      <w:lvlJc w:val="left"/>
      <w:pPr>
        <w:ind w:left="0" w:firstLine="0"/>
      </w:pPr>
    </w:lvl>
    <w:lvl w:ilvl="4" w:tplc="DB5E4880">
      <w:start w:val="1"/>
      <w:numFmt w:val="bullet"/>
      <w:lvlText w:val="•"/>
      <w:lvlJc w:val="left"/>
      <w:pPr>
        <w:ind w:left="0" w:firstLine="0"/>
      </w:pPr>
    </w:lvl>
    <w:lvl w:ilvl="5" w:tplc="E26E3E4E">
      <w:start w:val="1"/>
      <w:numFmt w:val="bullet"/>
      <w:lvlText w:val="•"/>
      <w:lvlJc w:val="left"/>
      <w:pPr>
        <w:ind w:left="0" w:firstLine="0"/>
      </w:pPr>
    </w:lvl>
    <w:lvl w:ilvl="6" w:tplc="8042C544">
      <w:start w:val="1"/>
      <w:numFmt w:val="bullet"/>
      <w:lvlText w:val="•"/>
      <w:lvlJc w:val="left"/>
      <w:pPr>
        <w:ind w:left="0" w:firstLine="0"/>
      </w:pPr>
    </w:lvl>
    <w:lvl w:ilvl="7" w:tplc="5ADAEFEE">
      <w:start w:val="1"/>
      <w:numFmt w:val="bullet"/>
      <w:lvlText w:val="•"/>
      <w:lvlJc w:val="left"/>
      <w:pPr>
        <w:ind w:left="0" w:firstLine="0"/>
      </w:pPr>
    </w:lvl>
    <w:lvl w:ilvl="8" w:tplc="2F1A5B38">
      <w:start w:val="1"/>
      <w:numFmt w:val="bullet"/>
      <w:lvlText w:val="•"/>
      <w:lvlJc w:val="left"/>
      <w:pPr>
        <w:ind w:left="0" w:firstLine="0"/>
      </w:pPr>
    </w:lvl>
  </w:abstractNum>
  <w:abstractNum w:abstractNumId="239">
    <w:nsid w:val="3C7103A2"/>
    <w:multiLevelType w:val="hybridMultilevel"/>
    <w:tmpl w:val="C0041552"/>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nsid w:val="3D02292D"/>
    <w:multiLevelType w:val="hybridMultilevel"/>
    <w:tmpl w:val="D1A66DD4"/>
    <w:lvl w:ilvl="0" w:tplc="94DC39AA">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1">
    <w:nsid w:val="3DE70339"/>
    <w:multiLevelType w:val="hybridMultilevel"/>
    <w:tmpl w:val="BB927794"/>
    <w:lvl w:ilvl="0" w:tplc="90A48E8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40605281"/>
    <w:multiLevelType w:val="hybridMultilevel"/>
    <w:tmpl w:val="DA0A6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40891A24"/>
    <w:multiLevelType w:val="hybridMultilevel"/>
    <w:tmpl w:val="5CAEF2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42B85670"/>
    <w:multiLevelType w:val="hybridMultilevel"/>
    <w:tmpl w:val="8DA209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5">
    <w:nsid w:val="45EF25C7"/>
    <w:multiLevelType w:val="hybridMultilevel"/>
    <w:tmpl w:val="F416A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nsid w:val="49C432E3"/>
    <w:multiLevelType w:val="hybridMultilevel"/>
    <w:tmpl w:val="E402B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nsid w:val="4A474640"/>
    <w:multiLevelType w:val="hybridMultilevel"/>
    <w:tmpl w:val="9EFA4B34"/>
    <w:lvl w:ilvl="0" w:tplc="7F266A8E">
      <w:start w:val="7"/>
      <w:numFmt w:val="lowerLetter"/>
      <w:lvlText w:val="(%1)"/>
      <w:lvlJc w:val="left"/>
      <w:pPr>
        <w:ind w:left="0" w:hanging="356"/>
      </w:pPr>
      <w:rPr>
        <w:rFonts w:ascii="Times New Roman" w:eastAsia="Times New Roman" w:hAnsi="Times New Roman" w:cs="Times New Roman" w:hint="default"/>
        <w:color w:val="1F1F1F"/>
        <w:w w:val="98"/>
        <w:sz w:val="24"/>
        <w:szCs w:val="24"/>
      </w:rPr>
    </w:lvl>
    <w:lvl w:ilvl="1" w:tplc="3A60E8E0">
      <w:start w:val="1"/>
      <w:numFmt w:val="lowerRoman"/>
      <w:lvlText w:val="(%2)"/>
      <w:lvlJc w:val="left"/>
      <w:pPr>
        <w:ind w:left="0" w:hanging="298"/>
      </w:pPr>
      <w:rPr>
        <w:rFonts w:ascii="Arial" w:eastAsia="Arial" w:hAnsi="Arial" w:cs="Times New Roman" w:hint="default"/>
        <w:color w:val="1F1F1F"/>
        <w:w w:val="119"/>
        <w:sz w:val="23"/>
        <w:szCs w:val="23"/>
      </w:rPr>
    </w:lvl>
    <w:lvl w:ilvl="2" w:tplc="85E2D94A">
      <w:start w:val="1"/>
      <w:numFmt w:val="bullet"/>
      <w:lvlText w:val="•"/>
      <w:lvlJc w:val="left"/>
      <w:pPr>
        <w:ind w:left="0" w:firstLine="0"/>
      </w:pPr>
    </w:lvl>
    <w:lvl w:ilvl="3" w:tplc="9A2AEDB4">
      <w:start w:val="1"/>
      <w:numFmt w:val="bullet"/>
      <w:lvlText w:val="•"/>
      <w:lvlJc w:val="left"/>
      <w:pPr>
        <w:ind w:left="0" w:firstLine="0"/>
      </w:pPr>
    </w:lvl>
    <w:lvl w:ilvl="4" w:tplc="CEB6C5D0">
      <w:start w:val="1"/>
      <w:numFmt w:val="bullet"/>
      <w:lvlText w:val="•"/>
      <w:lvlJc w:val="left"/>
      <w:pPr>
        <w:ind w:left="0" w:firstLine="0"/>
      </w:pPr>
    </w:lvl>
    <w:lvl w:ilvl="5" w:tplc="4256393A">
      <w:start w:val="1"/>
      <w:numFmt w:val="bullet"/>
      <w:lvlText w:val="•"/>
      <w:lvlJc w:val="left"/>
      <w:pPr>
        <w:ind w:left="0" w:firstLine="0"/>
      </w:pPr>
    </w:lvl>
    <w:lvl w:ilvl="6" w:tplc="F71A4702">
      <w:start w:val="1"/>
      <w:numFmt w:val="bullet"/>
      <w:lvlText w:val="•"/>
      <w:lvlJc w:val="left"/>
      <w:pPr>
        <w:ind w:left="0" w:firstLine="0"/>
      </w:pPr>
    </w:lvl>
    <w:lvl w:ilvl="7" w:tplc="A218F6AC">
      <w:start w:val="1"/>
      <w:numFmt w:val="bullet"/>
      <w:lvlText w:val="•"/>
      <w:lvlJc w:val="left"/>
      <w:pPr>
        <w:ind w:left="0" w:firstLine="0"/>
      </w:pPr>
    </w:lvl>
    <w:lvl w:ilvl="8" w:tplc="E2D46BC6">
      <w:start w:val="1"/>
      <w:numFmt w:val="bullet"/>
      <w:lvlText w:val="•"/>
      <w:lvlJc w:val="left"/>
      <w:pPr>
        <w:ind w:left="0" w:firstLine="0"/>
      </w:pPr>
    </w:lvl>
  </w:abstractNum>
  <w:abstractNum w:abstractNumId="248">
    <w:nsid w:val="4A7C39E4"/>
    <w:multiLevelType w:val="hybridMultilevel"/>
    <w:tmpl w:val="2A2AE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nsid w:val="4B7B64A5"/>
    <w:multiLevelType w:val="hybridMultilevel"/>
    <w:tmpl w:val="AC8C1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nsid w:val="4B7D2FBB"/>
    <w:multiLevelType w:val="hybridMultilevel"/>
    <w:tmpl w:val="ABF2E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nsid w:val="4BD31C11"/>
    <w:multiLevelType w:val="hybridMultilevel"/>
    <w:tmpl w:val="D1F06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nsid w:val="4BD85618"/>
    <w:multiLevelType w:val="hybridMultilevel"/>
    <w:tmpl w:val="308CE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4C5806C2"/>
    <w:multiLevelType w:val="hybridMultilevel"/>
    <w:tmpl w:val="2B327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4D2834A7"/>
    <w:multiLevelType w:val="hybridMultilevel"/>
    <w:tmpl w:val="3514A02C"/>
    <w:lvl w:ilvl="0" w:tplc="270AF644">
      <w:start w:val="11"/>
      <w:numFmt w:val="lowerLetter"/>
      <w:lvlText w:val="(%1)"/>
      <w:lvlJc w:val="left"/>
      <w:pPr>
        <w:ind w:left="0" w:hanging="356"/>
      </w:pPr>
      <w:rPr>
        <w:rFonts w:ascii="Times New Roman" w:eastAsia="Times New Roman" w:hAnsi="Times New Roman" w:cs="Times New Roman" w:hint="default"/>
        <w:color w:val="0C0C0C"/>
        <w:w w:val="101"/>
        <w:sz w:val="24"/>
        <w:szCs w:val="24"/>
      </w:rPr>
    </w:lvl>
    <w:lvl w:ilvl="1" w:tplc="11567064">
      <w:start w:val="1"/>
      <w:numFmt w:val="bullet"/>
      <w:lvlText w:val="•"/>
      <w:lvlJc w:val="left"/>
      <w:pPr>
        <w:ind w:left="0" w:firstLine="0"/>
      </w:pPr>
    </w:lvl>
    <w:lvl w:ilvl="2" w:tplc="2ABA8BD0">
      <w:start w:val="1"/>
      <w:numFmt w:val="bullet"/>
      <w:lvlText w:val="•"/>
      <w:lvlJc w:val="left"/>
      <w:pPr>
        <w:ind w:left="0" w:firstLine="0"/>
      </w:pPr>
    </w:lvl>
    <w:lvl w:ilvl="3" w:tplc="16B0D59C">
      <w:start w:val="1"/>
      <w:numFmt w:val="bullet"/>
      <w:lvlText w:val="•"/>
      <w:lvlJc w:val="left"/>
      <w:pPr>
        <w:ind w:left="0" w:firstLine="0"/>
      </w:pPr>
    </w:lvl>
    <w:lvl w:ilvl="4" w:tplc="5810C728">
      <w:start w:val="1"/>
      <w:numFmt w:val="bullet"/>
      <w:lvlText w:val="•"/>
      <w:lvlJc w:val="left"/>
      <w:pPr>
        <w:ind w:left="0" w:firstLine="0"/>
      </w:pPr>
    </w:lvl>
    <w:lvl w:ilvl="5" w:tplc="018A854C">
      <w:start w:val="1"/>
      <w:numFmt w:val="bullet"/>
      <w:lvlText w:val="•"/>
      <w:lvlJc w:val="left"/>
      <w:pPr>
        <w:ind w:left="0" w:firstLine="0"/>
      </w:pPr>
    </w:lvl>
    <w:lvl w:ilvl="6" w:tplc="2C6CAF14">
      <w:start w:val="1"/>
      <w:numFmt w:val="bullet"/>
      <w:lvlText w:val="•"/>
      <w:lvlJc w:val="left"/>
      <w:pPr>
        <w:ind w:left="0" w:firstLine="0"/>
      </w:pPr>
    </w:lvl>
    <w:lvl w:ilvl="7" w:tplc="1042361E">
      <w:start w:val="1"/>
      <w:numFmt w:val="bullet"/>
      <w:lvlText w:val="•"/>
      <w:lvlJc w:val="left"/>
      <w:pPr>
        <w:ind w:left="0" w:firstLine="0"/>
      </w:pPr>
    </w:lvl>
    <w:lvl w:ilvl="8" w:tplc="8FDC8166">
      <w:start w:val="1"/>
      <w:numFmt w:val="bullet"/>
      <w:lvlText w:val="•"/>
      <w:lvlJc w:val="left"/>
      <w:pPr>
        <w:ind w:left="0" w:firstLine="0"/>
      </w:pPr>
    </w:lvl>
  </w:abstractNum>
  <w:abstractNum w:abstractNumId="255">
    <w:nsid w:val="4DAC0675"/>
    <w:multiLevelType w:val="hybridMultilevel"/>
    <w:tmpl w:val="AEDA8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nsid w:val="4E5C6E3A"/>
    <w:multiLevelType w:val="hybridMultilevel"/>
    <w:tmpl w:val="D0221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nsid w:val="516716AC"/>
    <w:multiLevelType w:val="hybridMultilevel"/>
    <w:tmpl w:val="CE563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nsid w:val="517A0BD0"/>
    <w:multiLevelType w:val="multilevel"/>
    <w:tmpl w:val="D75A1EB4"/>
    <w:lvl w:ilvl="0">
      <w:start w:val="1"/>
      <w:numFmt w:val="lowerLetter"/>
      <w:lvlText w:val="(%1)"/>
      <w:lvlJc w:val="left"/>
      <w:pPr>
        <w:ind w:left="720" w:firstLine="360"/>
      </w:pPr>
    </w:lvl>
    <w:lvl w:ilvl="1">
      <w:start w:val="1"/>
      <w:numFmt w:val="lowerLetter"/>
      <w:lvlText w:val="(%2)"/>
      <w:lvlJc w:val="left"/>
      <w:pPr>
        <w:ind w:left="1440" w:firstLine="1080"/>
      </w:pPr>
      <w:rPr>
        <w:b w:val="0"/>
      </w:rPr>
    </w:lvl>
    <w:lvl w:ilvl="2">
      <w:start w:val="1"/>
      <w:numFmt w:val="decimal"/>
      <w:lvlText w:val="(%3)"/>
      <w:lvlJc w:val="left"/>
      <w:pPr>
        <w:ind w:left="2160" w:firstLine="1980"/>
      </w:pPr>
      <w:rPr>
        <w:b w:val="0"/>
        <w:strike w:val="0"/>
        <w:color w:val="000000"/>
      </w:r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59">
    <w:nsid w:val="52153E0E"/>
    <w:multiLevelType w:val="hybridMultilevel"/>
    <w:tmpl w:val="9DCE9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nsid w:val="52F53D9A"/>
    <w:multiLevelType w:val="hybridMultilevel"/>
    <w:tmpl w:val="F5DECD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1">
    <w:nsid w:val="531807E5"/>
    <w:multiLevelType w:val="hybridMultilevel"/>
    <w:tmpl w:val="FA623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nsid w:val="53E40924"/>
    <w:multiLevelType w:val="hybridMultilevel"/>
    <w:tmpl w:val="A8E856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3">
    <w:nsid w:val="546855F8"/>
    <w:multiLevelType w:val="hybridMultilevel"/>
    <w:tmpl w:val="87309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nsid w:val="54A46CFC"/>
    <w:multiLevelType w:val="hybridMultilevel"/>
    <w:tmpl w:val="98F2E99E"/>
    <w:lvl w:ilvl="0" w:tplc="04090001">
      <w:start w:val="1"/>
      <w:numFmt w:val="bullet"/>
      <w:lvlText w:val=""/>
      <w:lvlJc w:val="left"/>
      <w:pPr>
        <w:ind w:left="1021" w:hanging="360"/>
      </w:pPr>
      <w:rPr>
        <w:rFonts w:ascii="Symbol" w:hAnsi="Symbol" w:hint="default"/>
      </w:rPr>
    </w:lvl>
    <w:lvl w:ilvl="1" w:tplc="04090003" w:tentative="1">
      <w:start w:val="1"/>
      <w:numFmt w:val="bullet"/>
      <w:lvlText w:val="o"/>
      <w:lvlJc w:val="left"/>
      <w:pPr>
        <w:ind w:left="1741" w:hanging="360"/>
      </w:pPr>
      <w:rPr>
        <w:rFonts w:ascii="Courier New" w:hAnsi="Courier New" w:cs="Courier New" w:hint="default"/>
      </w:rPr>
    </w:lvl>
    <w:lvl w:ilvl="2" w:tplc="04090005" w:tentative="1">
      <w:start w:val="1"/>
      <w:numFmt w:val="bullet"/>
      <w:lvlText w:val=""/>
      <w:lvlJc w:val="left"/>
      <w:pPr>
        <w:ind w:left="2461" w:hanging="360"/>
      </w:pPr>
      <w:rPr>
        <w:rFonts w:ascii="Wingdings" w:hAnsi="Wingdings" w:hint="default"/>
      </w:rPr>
    </w:lvl>
    <w:lvl w:ilvl="3" w:tplc="04090001" w:tentative="1">
      <w:start w:val="1"/>
      <w:numFmt w:val="bullet"/>
      <w:lvlText w:val=""/>
      <w:lvlJc w:val="left"/>
      <w:pPr>
        <w:ind w:left="3181" w:hanging="360"/>
      </w:pPr>
      <w:rPr>
        <w:rFonts w:ascii="Symbol" w:hAnsi="Symbol" w:hint="default"/>
      </w:rPr>
    </w:lvl>
    <w:lvl w:ilvl="4" w:tplc="04090003" w:tentative="1">
      <w:start w:val="1"/>
      <w:numFmt w:val="bullet"/>
      <w:lvlText w:val="o"/>
      <w:lvlJc w:val="left"/>
      <w:pPr>
        <w:ind w:left="3901" w:hanging="360"/>
      </w:pPr>
      <w:rPr>
        <w:rFonts w:ascii="Courier New" w:hAnsi="Courier New" w:cs="Courier New" w:hint="default"/>
      </w:rPr>
    </w:lvl>
    <w:lvl w:ilvl="5" w:tplc="04090005" w:tentative="1">
      <w:start w:val="1"/>
      <w:numFmt w:val="bullet"/>
      <w:lvlText w:val=""/>
      <w:lvlJc w:val="left"/>
      <w:pPr>
        <w:ind w:left="4621" w:hanging="360"/>
      </w:pPr>
      <w:rPr>
        <w:rFonts w:ascii="Wingdings" w:hAnsi="Wingdings" w:hint="default"/>
      </w:rPr>
    </w:lvl>
    <w:lvl w:ilvl="6" w:tplc="04090001" w:tentative="1">
      <w:start w:val="1"/>
      <w:numFmt w:val="bullet"/>
      <w:lvlText w:val=""/>
      <w:lvlJc w:val="left"/>
      <w:pPr>
        <w:ind w:left="5341" w:hanging="360"/>
      </w:pPr>
      <w:rPr>
        <w:rFonts w:ascii="Symbol" w:hAnsi="Symbol" w:hint="default"/>
      </w:rPr>
    </w:lvl>
    <w:lvl w:ilvl="7" w:tplc="04090003" w:tentative="1">
      <w:start w:val="1"/>
      <w:numFmt w:val="bullet"/>
      <w:lvlText w:val="o"/>
      <w:lvlJc w:val="left"/>
      <w:pPr>
        <w:ind w:left="6061" w:hanging="360"/>
      </w:pPr>
      <w:rPr>
        <w:rFonts w:ascii="Courier New" w:hAnsi="Courier New" w:cs="Courier New" w:hint="default"/>
      </w:rPr>
    </w:lvl>
    <w:lvl w:ilvl="8" w:tplc="04090005" w:tentative="1">
      <w:start w:val="1"/>
      <w:numFmt w:val="bullet"/>
      <w:lvlText w:val=""/>
      <w:lvlJc w:val="left"/>
      <w:pPr>
        <w:ind w:left="6781" w:hanging="360"/>
      </w:pPr>
      <w:rPr>
        <w:rFonts w:ascii="Wingdings" w:hAnsi="Wingdings" w:hint="default"/>
      </w:rPr>
    </w:lvl>
  </w:abstractNum>
  <w:abstractNum w:abstractNumId="265">
    <w:nsid w:val="57F04F5F"/>
    <w:multiLevelType w:val="hybridMultilevel"/>
    <w:tmpl w:val="796EE8F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66">
    <w:nsid w:val="59293E05"/>
    <w:multiLevelType w:val="hybridMultilevel"/>
    <w:tmpl w:val="14543062"/>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267">
    <w:nsid w:val="59B30283"/>
    <w:multiLevelType w:val="hybridMultilevel"/>
    <w:tmpl w:val="1FE883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8">
    <w:nsid w:val="59E14D05"/>
    <w:multiLevelType w:val="hybridMultilevel"/>
    <w:tmpl w:val="04126B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9">
    <w:nsid w:val="5B202E8C"/>
    <w:multiLevelType w:val="hybridMultilevel"/>
    <w:tmpl w:val="FCB68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nsid w:val="5B9E161F"/>
    <w:multiLevelType w:val="multilevel"/>
    <w:tmpl w:val="E77C4566"/>
    <w:lvl w:ilvl="0">
      <w:start w:val="3"/>
      <w:numFmt w:val="decimal"/>
      <w:isLgl/>
      <w:lvlText w:val="%1."/>
      <w:lvlJc w:val="left"/>
      <w:pPr>
        <w:tabs>
          <w:tab w:val="num" w:pos="0"/>
        </w:tabs>
        <w:ind w:left="0" w:firstLine="360"/>
      </w:pPr>
      <w:rPr>
        <w:rFonts w:ascii="Times New Roman Bold" w:eastAsia="ヒラギノ角ゴ Pro W3" w:hAnsi="Times New Roman Bold" w:hint="default"/>
        <w:position w:val="0"/>
        <w:sz w:val="22"/>
      </w:rPr>
    </w:lvl>
    <w:lvl w:ilvl="1">
      <w:start w:val="1"/>
      <w:numFmt w:val="bullet"/>
      <w:lvlText w:val="•"/>
      <w:lvlJc w:val="left"/>
      <w:pPr>
        <w:tabs>
          <w:tab w:val="num" w:pos="0"/>
        </w:tabs>
        <w:ind w:left="0" w:firstLine="720"/>
      </w:pPr>
      <w:rPr>
        <w:rFonts w:ascii="Lucida Grande" w:eastAsia="ヒラギノ角ゴ Pro W3" w:hAnsi="Symbol" w:hint="default"/>
        <w:position w:val="0"/>
        <w:sz w:val="22"/>
      </w:rPr>
    </w:lvl>
    <w:lvl w:ilvl="2">
      <w:start w:val="1"/>
      <w:numFmt w:val="bullet"/>
      <w:lvlText w:val=""/>
      <w:lvlJc w:val="left"/>
      <w:pPr>
        <w:tabs>
          <w:tab w:val="num" w:pos="0"/>
        </w:tabs>
        <w:ind w:left="0" w:firstLine="1440"/>
      </w:pPr>
      <w:rPr>
        <w:rFonts w:ascii="Wingdings" w:eastAsia="ヒラギノ角ゴ Pro W3" w:hAnsi="Wingdings" w:hint="default"/>
        <w:position w:val="0"/>
        <w:sz w:val="22"/>
      </w:rPr>
    </w:lvl>
    <w:lvl w:ilvl="3">
      <w:start w:val="1"/>
      <w:numFmt w:val="bullet"/>
      <w:lvlText w:val="•"/>
      <w:lvlJc w:val="left"/>
      <w:pPr>
        <w:tabs>
          <w:tab w:val="num" w:pos="0"/>
        </w:tabs>
        <w:ind w:left="0" w:firstLine="2160"/>
      </w:pPr>
      <w:rPr>
        <w:rFonts w:ascii="Lucida Grande" w:eastAsia="ヒラギノ角ゴ Pro W3" w:hAnsi="Symbol" w:hint="default"/>
        <w:position w:val="0"/>
        <w:sz w:val="22"/>
      </w:rPr>
    </w:lvl>
    <w:lvl w:ilvl="4">
      <w:start w:val="1"/>
      <w:numFmt w:val="bullet"/>
      <w:lvlText w:val="o"/>
      <w:lvlJc w:val="left"/>
      <w:pPr>
        <w:tabs>
          <w:tab w:val="num" w:pos="0"/>
        </w:tabs>
        <w:ind w:left="0" w:firstLine="2880"/>
      </w:pPr>
      <w:rPr>
        <w:rFonts w:ascii="Courier New" w:eastAsia="ヒラギノ角ゴ Pro W3" w:hAnsi="Courier New" w:hint="default"/>
        <w:position w:val="0"/>
        <w:sz w:val="22"/>
      </w:rPr>
    </w:lvl>
    <w:lvl w:ilvl="5">
      <w:start w:val="1"/>
      <w:numFmt w:val="bullet"/>
      <w:lvlText w:val=""/>
      <w:lvlJc w:val="left"/>
      <w:pPr>
        <w:tabs>
          <w:tab w:val="num" w:pos="0"/>
        </w:tabs>
        <w:ind w:left="0" w:firstLine="3600"/>
      </w:pPr>
      <w:rPr>
        <w:rFonts w:ascii="Wingdings" w:eastAsia="ヒラギノ角ゴ Pro W3" w:hAnsi="Wingdings" w:hint="default"/>
        <w:position w:val="0"/>
        <w:sz w:val="22"/>
      </w:rPr>
    </w:lvl>
    <w:lvl w:ilvl="6">
      <w:start w:val="1"/>
      <w:numFmt w:val="bullet"/>
      <w:lvlText w:val="•"/>
      <w:lvlJc w:val="left"/>
      <w:pPr>
        <w:tabs>
          <w:tab w:val="num" w:pos="0"/>
        </w:tabs>
        <w:ind w:left="0" w:firstLine="4320"/>
      </w:pPr>
      <w:rPr>
        <w:rFonts w:ascii="Lucida Grande" w:eastAsia="ヒラギノ角ゴ Pro W3" w:hAnsi="Symbol" w:hint="default"/>
        <w:position w:val="0"/>
        <w:sz w:val="22"/>
      </w:rPr>
    </w:lvl>
    <w:lvl w:ilvl="7">
      <w:start w:val="1"/>
      <w:numFmt w:val="bullet"/>
      <w:lvlText w:val="o"/>
      <w:lvlJc w:val="left"/>
      <w:pPr>
        <w:tabs>
          <w:tab w:val="num" w:pos="0"/>
        </w:tabs>
        <w:ind w:left="0" w:firstLine="5040"/>
      </w:pPr>
      <w:rPr>
        <w:rFonts w:ascii="Courier New" w:eastAsia="ヒラギノ角ゴ Pro W3" w:hAnsi="Courier New" w:hint="default"/>
        <w:position w:val="0"/>
        <w:sz w:val="22"/>
      </w:rPr>
    </w:lvl>
    <w:lvl w:ilvl="8">
      <w:start w:val="1"/>
      <w:numFmt w:val="bullet"/>
      <w:lvlText w:val=""/>
      <w:lvlJc w:val="left"/>
      <w:pPr>
        <w:tabs>
          <w:tab w:val="num" w:pos="0"/>
        </w:tabs>
        <w:ind w:left="0" w:firstLine="5760"/>
      </w:pPr>
      <w:rPr>
        <w:rFonts w:ascii="Wingdings" w:eastAsia="ヒラギノ角ゴ Pro W3" w:hAnsi="Wingdings" w:hint="default"/>
        <w:position w:val="0"/>
        <w:sz w:val="22"/>
      </w:rPr>
    </w:lvl>
  </w:abstractNum>
  <w:abstractNum w:abstractNumId="271">
    <w:nsid w:val="5BC56B38"/>
    <w:multiLevelType w:val="hybridMultilevel"/>
    <w:tmpl w:val="06C043BE"/>
    <w:lvl w:ilvl="0" w:tplc="4232D974">
      <w:start w:val="7"/>
      <w:numFmt w:val="lowerLetter"/>
      <w:lvlText w:val="(%1)"/>
      <w:lvlJc w:val="left"/>
      <w:pPr>
        <w:ind w:left="0" w:hanging="356"/>
      </w:pPr>
      <w:rPr>
        <w:rFonts w:ascii="Times New Roman" w:eastAsia="Times New Roman" w:hAnsi="Times New Roman" w:cs="Times New Roman" w:hint="default"/>
        <w:color w:val="0C0C0C"/>
        <w:w w:val="101"/>
        <w:sz w:val="24"/>
        <w:szCs w:val="24"/>
      </w:rPr>
    </w:lvl>
    <w:lvl w:ilvl="1" w:tplc="D3E8EE30">
      <w:start w:val="1"/>
      <w:numFmt w:val="bullet"/>
      <w:lvlText w:val="•"/>
      <w:lvlJc w:val="left"/>
      <w:pPr>
        <w:ind w:left="0" w:firstLine="0"/>
      </w:pPr>
    </w:lvl>
    <w:lvl w:ilvl="2" w:tplc="3A1235D0">
      <w:start w:val="1"/>
      <w:numFmt w:val="bullet"/>
      <w:lvlText w:val="•"/>
      <w:lvlJc w:val="left"/>
      <w:pPr>
        <w:ind w:left="0" w:firstLine="0"/>
      </w:pPr>
    </w:lvl>
    <w:lvl w:ilvl="3" w:tplc="D9CC1E66">
      <w:start w:val="1"/>
      <w:numFmt w:val="bullet"/>
      <w:lvlText w:val="•"/>
      <w:lvlJc w:val="left"/>
      <w:pPr>
        <w:ind w:left="0" w:firstLine="0"/>
      </w:pPr>
    </w:lvl>
    <w:lvl w:ilvl="4" w:tplc="B08A4FA6">
      <w:start w:val="1"/>
      <w:numFmt w:val="bullet"/>
      <w:lvlText w:val="•"/>
      <w:lvlJc w:val="left"/>
      <w:pPr>
        <w:ind w:left="0" w:firstLine="0"/>
      </w:pPr>
    </w:lvl>
    <w:lvl w:ilvl="5" w:tplc="12E2B436">
      <w:start w:val="1"/>
      <w:numFmt w:val="bullet"/>
      <w:lvlText w:val="•"/>
      <w:lvlJc w:val="left"/>
      <w:pPr>
        <w:ind w:left="0" w:firstLine="0"/>
      </w:pPr>
    </w:lvl>
    <w:lvl w:ilvl="6" w:tplc="088C24EA">
      <w:start w:val="1"/>
      <w:numFmt w:val="bullet"/>
      <w:lvlText w:val="•"/>
      <w:lvlJc w:val="left"/>
      <w:pPr>
        <w:ind w:left="0" w:firstLine="0"/>
      </w:pPr>
    </w:lvl>
    <w:lvl w:ilvl="7" w:tplc="786ADB3E">
      <w:start w:val="1"/>
      <w:numFmt w:val="bullet"/>
      <w:lvlText w:val="•"/>
      <w:lvlJc w:val="left"/>
      <w:pPr>
        <w:ind w:left="0" w:firstLine="0"/>
      </w:pPr>
    </w:lvl>
    <w:lvl w:ilvl="8" w:tplc="5826FABE">
      <w:start w:val="1"/>
      <w:numFmt w:val="bullet"/>
      <w:lvlText w:val="•"/>
      <w:lvlJc w:val="left"/>
      <w:pPr>
        <w:ind w:left="0" w:firstLine="0"/>
      </w:pPr>
    </w:lvl>
  </w:abstractNum>
  <w:abstractNum w:abstractNumId="272">
    <w:nsid w:val="5BD53DDC"/>
    <w:multiLevelType w:val="hybridMultilevel"/>
    <w:tmpl w:val="B11C3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nsid w:val="5F8C4D74"/>
    <w:multiLevelType w:val="multilevel"/>
    <w:tmpl w:val="8CEA8E00"/>
    <w:lvl w:ilvl="0">
      <w:start w:val="1"/>
      <w:numFmt w:val="bullet"/>
      <w:lvlText w:val=""/>
      <w:lvlJc w:val="left"/>
      <w:pPr>
        <w:tabs>
          <w:tab w:val="num" w:pos="0"/>
        </w:tabs>
        <w:ind w:left="0" w:firstLine="360"/>
      </w:pPr>
      <w:rPr>
        <w:rFonts w:ascii="Symbol" w:hAnsi="Symbol" w:hint="default"/>
        <w:position w:val="0"/>
        <w:sz w:val="22"/>
      </w:rPr>
    </w:lvl>
    <w:lvl w:ilvl="1">
      <w:start w:val="1"/>
      <w:numFmt w:val="bullet"/>
      <w:lvlText w:val=""/>
      <w:lvlJc w:val="left"/>
      <w:pPr>
        <w:tabs>
          <w:tab w:val="num" w:pos="0"/>
        </w:tabs>
        <w:ind w:left="0" w:firstLine="1080"/>
      </w:pPr>
      <w:rPr>
        <w:rFonts w:ascii="Symbol" w:hAnsi="Symbol" w:hint="default"/>
        <w:position w:val="0"/>
        <w:sz w:val="22"/>
      </w:rPr>
    </w:lvl>
    <w:lvl w:ilvl="2">
      <w:start w:val="1"/>
      <w:numFmt w:val="lowerRoman"/>
      <w:lvlText w:val="%3."/>
      <w:lvlJc w:val="left"/>
      <w:pPr>
        <w:tabs>
          <w:tab w:val="num" w:pos="0"/>
        </w:tabs>
        <w:ind w:left="0" w:firstLine="1800"/>
      </w:pPr>
      <w:rPr>
        <w:rFonts w:hint="default"/>
        <w:position w:val="0"/>
        <w:sz w:val="22"/>
      </w:rPr>
    </w:lvl>
    <w:lvl w:ilvl="3">
      <w:start w:val="1"/>
      <w:numFmt w:val="decimal"/>
      <w:isLgl/>
      <w:lvlText w:val="%4."/>
      <w:lvlJc w:val="left"/>
      <w:pPr>
        <w:tabs>
          <w:tab w:val="num" w:pos="0"/>
        </w:tabs>
        <w:ind w:left="0" w:firstLine="2520"/>
      </w:pPr>
      <w:rPr>
        <w:rFonts w:hint="default"/>
        <w:position w:val="0"/>
        <w:sz w:val="22"/>
      </w:rPr>
    </w:lvl>
    <w:lvl w:ilvl="4">
      <w:start w:val="1"/>
      <w:numFmt w:val="lowerLetter"/>
      <w:lvlText w:val="%5."/>
      <w:lvlJc w:val="left"/>
      <w:pPr>
        <w:tabs>
          <w:tab w:val="num" w:pos="0"/>
        </w:tabs>
        <w:ind w:left="0" w:firstLine="3240"/>
      </w:pPr>
      <w:rPr>
        <w:rFonts w:hint="default"/>
        <w:position w:val="0"/>
        <w:sz w:val="22"/>
      </w:rPr>
    </w:lvl>
    <w:lvl w:ilvl="5">
      <w:start w:val="1"/>
      <w:numFmt w:val="lowerRoman"/>
      <w:lvlText w:val="%6."/>
      <w:lvlJc w:val="left"/>
      <w:pPr>
        <w:tabs>
          <w:tab w:val="num" w:pos="0"/>
        </w:tabs>
        <w:ind w:left="0" w:firstLine="3960"/>
      </w:pPr>
      <w:rPr>
        <w:rFonts w:hint="default"/>
        <w:position w:val="0"/>
        <w:sz w:val="22"/>
      </w:rPr>
    </w:lvl>
    <w:lvl w:ilvl="6">
      <w:start w:val="1"/>
      <w:numFmt w:val="decimal"/>
      <w:isLgl/>
      <w:lvlText w:val="%7."/>
      <w:lvlJc w:val="left"/>
      <w:pPr>
        <w:tabs>
          <w:tab w:val="num" w:pos="0"/>
        </w:tabs>
        <w:ind w:left="0" w:firstLine="4680"/>
      </w:pPr>
      <w:rPr>
        <w:rFonts w:hint="default"/>
        <w:position w:val="0"/>
        <w:sz w:val="22"/>
      </w:rPr>
    </w:lvl>
    <w:lvl w:ilvl="7">
      <w:start w:val="1"/>
      <w:numFmt w:val="lowerLetter"/>
      <w:lvlText w:val="%8."/>
      <w:lvlJc w:val="left"/>
      <w:pPr>
        <w:tabs>
          <w:tab w:val="num" w:pos="0"/>
        </w:tabs>
        <w:ind w:left="0" w:firstLine="5400"/>
      </w:pPr>
      <w:rPr>
        <w:rFonts w:hint="default"/>
        <w:position w:val="0"/>
        <w:sz w:val="22"/>
      </w:rPr>
    </w:lvl>
    <w:lvl w:ilvl="8">
      <w:start w:val="1"/>
      <w:numFmt w:val="lowerRoman"/>
      <w:lvlText w:val="%9."/>
      <w:lvlJc w:val="left"/>
      <w:pPr>
        <w:tabs>
          <w:tab w:val="num" w:pos="0"/>
        </w:tabs>
        <w:ind w:left="0" w:firstLine="6120"/>
      </w:pPr>
      <w:rPr>
        <w:rFonts w:hint="default"/>
        <w:position w:val="0"/>
        <w:sz w:val="22"/>
      </w:rPr>
    </w:lvl>
  </w:abstractNum>
  <w:abstractNum w:abstractNumId="274">
    <w:nsid w:val="5FBF755F"/>
    <w:multiLevelType w:val="hybridMultilevel"/>
    <w:tmpl w:val="30989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nsid w:val="5FC2632E"/>
    <w:multiLevelType w:val="hybridMultilevel"/>
    <w:tmpl w:val="6422EC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6">
    <w:nsid w:val="600D23A4"/>
    <w:multiLevelType w:val="hybridMultilevel"/>
    <w:tmpl w:val="25208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nsid w:val="607121DD"/>
    <w:multiLevelType w:val="hybridMultilevel"/>
    <w:tmpl w:val="A6360DAA"/>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78">
    <w:nsid w:val="61B52770"/>
    <w:multiLevelType w:val="hybridMultilevel"/>
    <w:tmpl w:val="736A1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nsid w:val="63155A47"/>
    <w:multiLevelType w:val="hybridMultilevel"/>
    <w:tmpl w:val="2E560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nsid w:val="635D3785"/>
    <w:multiLevelType w:val="hybridMultilevel"/>
    <w:tmpl w:val="9F865A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1">
    <w:nsid w:val="6618652F"/>
    <w:multiLevelType w:val="hybridMultilevel"/>
    <w:tmpl w:val="33D24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nsid w:val="66CD0A10"/>
    <w:multiLevelType w:val="hybridMultilevel"/>
    <w:tmpl w:val="92484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nsid w:val="68E7258C"/>
    <w:multiLevelType w:val="hybridMultilevel"/>
    <w:tmpl w:val="4D646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nsid w:val="6AA45990"/>
    <w:multiLevelType w:val="hybridMultilevel"/>
    <w:tmpl w:val="7CAE9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6AC72703"/>
    <w:multiLevelType w:val="hybridMultilevel"/>
    <w:tmpl w:val="924252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6C45607F"/>
    <w:multiLevelType w:val="multilevel"/>
    <w:tmpl w:val="8CEA8E00"/>
    <w:lvl w:ilvl="0">
      <w:start w:val="1"/>
      <w:numFmt w:val="bullet"/>
      <w:lvlText w:val=""/>
      <w:lvlJc w:val="left"/>
      <w:pPr>
        <w:tabs>
          <w:tab w:val="num" w:pos="0"/>
        </w:tabs>
        <w:ind w:left="0" w:firstLine="360"/>
      </w:pPr>
      <w:rPr>
        <w:rFonts w:ascii="Symbol" w:hAnsi="Symbol" w:hint="default"/>
        <w:position w:val="0"/>
        <w:sz w:val="22"/>
      </w:rPr>
    </w:lvl>
    <w:lvl w:ilvl="1">
      <w:start w:val="1"/>
      <w:numFmt w:val="bullet"/>
      <w:lvlText w:val=""/>
      <w:lvlJc w:val="left"/>
      <w:pPr>
        <w:tabs>
          <w:tab w:val="num" w:pos="0"/>
        </w:tabs>
        <w:ind w:left="0" w:firstLine="1080"/>
      </w:pPr>
      <w:rPr>
        <w:rFonts w:ascii="Symbol" w:hAnsi="Symbol" w:hint="default"/>
        <w:position w:val="0"/>
        <w:sz w:val="22"/>
      </w:rPr>
    </w:lvl>
    <w:lvl w:ilvl="2">
      <w:start w:val="1"/>
      <w:numFmt w:val="lowerRoman"/>
      <w:lvlText w:val="%3."/>
      <w:lvlJc w:val="left"/>
      <w:pPr>
        <w:tabs>
          <w:tab w:val="num" w:pos="0"/>
        </w:tabs>
        <w:ind w:left="0" w:firstLine="1800"/>
      </w:pPr>
      <w:rPr>
        <w:rFonts w:hint="default"/>
        <w:position w:val="0"/>
        <w:sz w:val="22"/>
      </w:rPr>
    </w:lvl>
    <w:lvl w:ilvl="3">
      <w:start w:val="1"/>
      <w:numFmt w:val="decimal"/>
      <w:isLgl/>
      <w:lvlText w:val="%4."/>
      <w:lvlJc w:val="left"/>
      <w:pPr>
        <w:tabs>
          <w:tab w:val="num" w:pos="0"/>
        </w:tabs>
        <w:ind w:left="0" w:firstLine="2520"/>
      </w:pPr>
      <w:rPr>
        <w:rFonts w:hint="default"/>
        <w:position w:val="0"/>
        <w:sz w:val="22"/>
      </w:rPr>
    </w:lvl>
    <w:lvl w:ilvl="4">
      <w:start w:val="1"/>
      <w:numFmt w:val="lowerLetter"/>
      <w:lvlText w:val="%5."/>
      <w:lvlJc w:val="left"/>
      <w:pPr>
        <w:tabs>
          <w:tab w:val="num" w:pos="0"/>
        </w:tabs>
        <w:ind w:left="0" w:firstLine="3240"/>
      </w:pPr>
      <w:rPr>
        <w:rFonts w:hint="default"/>
        <w:position w:val="0"/>
        <w:sz w:val="22"/>
      </w:rPr>
    </w:lvl>
    <w:lvl w:ilvl="5">
      <w:start w:val="1"/>
      <w:numFmt w:val="lowerRoman"/>
      <w:lvlText w:val="%6."/>
      <w:lvlJc w:val="left"/>
      <w:pPr>
        <w:tabs>
          <w:tab w:val="num" w:pos="0"/>
        </w:tabs>
        <w:ind w:left="0" w:firstLine="3960"/>
      </w:pPr>
      <w:rPr>
        <w:rFonts w:hint="default"/>
        <w:position w:val="0"/>
        <w:sz w:val="22"/>
      </w:rPr>
    </w:lvl>
    <w:lvl w:ilvl="6">
      <w:start w:val="1"/>
      <w:numFmt w:val="decimal"/>
      <w:isLgl/>
      <w:lvlText w:val="%7."/>
      <w:lvlJc w:val="left"/>
      <w:pPr>
        <w:tabs>
          <w:tab w:val="num" w:pos="0"/>
        </w:tabs>
        <w:ind w:left="0" w:firstLine="4680"/>
      </w:pPr>
      <w:rPr>
        <w:rFonts w:hint="default"/>
        <w:position w:val="0"/>
        <w:sz w:val="22"/>
      </w:rPr>
    </w:lvl>
    <w:lvl w:ilvl="7">
      <w:start w:val="1"/>
      <w:numFmt w:val="lowerLetter"/>
      <w:lvlText w:val="%8."/>
      <w:lvlJc w:val="left"/>
      <w:pPr>
        <w:tabs>
          <w:tab w:val="num" w:pos="0"/>
        </w:tabs>
        <w:ind w:left="0" w:firstLine="5400"/>
      </w:pPr>
      <w:rPr>
        <w:rFonts w:hint="default"/>
        <w:position w:val="0"/>
        <w:sz w:val="22"/>
      </w:rPr>
    </w:lvl>
    <w:lvl w:ilvl="8">
      <w:start w:val="1"/>
      <w:numFmt w:val="lowerRoman"/>
      <w:lvlText w:val="%9."/>
      <w:lvlJc w:val="left"/>
      <w:pPr>
        <w:tabs>
          <w:tab w:val="num" w:pos="0"/>
        </w:tabs>
        <w:ind w:left="0" w:firstLine="6120"/>
      </w:pPr>
      <w:rPr>
        <w:rFonts w:hint="default"/>
        <w:position w:val="0"/>
        <w:sz w:val="22"/>
      </w:rPr>
    </w:lvl>
  </w:abstractNum>
  <w:abstractNum w:abstractNumId="287">
    <w:nsid w:val="6C8B63D0"/>
    <w:multiLevelType w:val="hybridMultilevel"/>
    <w:tmpl w:val="C73E11F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8">
    <w:nsid w:val="6CE725CF"/>
    <w:multiLevelType w:val="hybridMultilevel"/>
    <w:tmpl w:val="55423F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nsid w:val="6CEC63EB"/>
    <w:multiLevelType w:val="hybridMultilevel"/>
    <w:tmpl w:val="E3C47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nsid w:val="6E34097F"/>
    <w:multiLevelType w:val="hybridMultilevel"/>
    <w:tmpl w:val="186C4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nsid w:val="6E725D77"/>
    <w:multiLevelType w:val="hybridMultilevel"/>
    <w:tmpl w:val="D4A425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2">
    <w:nsid w:val="6F985C4A"/>
    <w:multiLevelType w:val="hybridMultilevel"/>
    <w:tmpl w:val="9C108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nsid w:val="701E7EDF"/>
    <w:multiLevelType w:val="hybridMultilevel"/>
    <w:tmpl w:val="2F44ACE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nsid w:val="710225DA"/>
    <w:multiLevelType w:val="hybridMultilevel"/>
    <w:tmpl w:val="C06A52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5">
    <w:nsid w:val="71F9306B"/>
    <w:multiLevelType w:val="hybridMultilevel"/>
    <w:tmpl w:val="8E14337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6">
    <w:nsid w:val="726C5C67"/>
    <w:multiLevelType w:val="hybridMultilevel"/>
    <w:tmpl w:val="6284EE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73380A73"/>
    <w:multiLevelType w:val="hybridMultilevel"/>
    <w:tmpl w:val="2F44ACE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74606924"/>
    <w:multiLevelType w:val="hybridMultilevel"/>
    <w:tmpl w:val="C4C43B5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9">
    <w:nsid w:val="752E2B06"/>
    <w:multiLevelType w:val="hybridMultilevel"/>
    <w:tmpl w:val="72021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nsid w:val="754D6483"/>
    <w:multiLevelType w:val="hybridMultilevel"/>
    <w:tmpl w:val="93B63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nsid w:val="761B323B"/>
    <w:multiLevelType w:val="hybridMultilevel"/>
    <w:tmpl w:val="9CE22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nsid w:val="768171DD"/>
    <w:multiLevelType w:val="hybridMultilevel"/>
    <w:tmpl w:val="1AE67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nsid w:val="769744AD"/>
    <w:multiLevelType w:val="hybridMultilevel"/>
    <w:tmpl w:val="D41E2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nsid w:val="782D262C"/>
    <w:multiLevelType w:val="hybridMultilevel"/>
    <w:tmpl w:val="DA267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5">
    <w:nsid w:val="78DF5C96"/>
    <w:multiLevelType w:val="hybridMultilevel"/>
    <w:tmpl w:val="7A4047B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797C5251"/>
    <w:multiLevelType w:val="hybridMultilevel"/>
    <w:tmpl w:val="6D2EE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nsid w:val="7B1E118D"/>
    <w:multiLevelType w:val="hybridMultilevel"/>
    <w:tmpl w:val="F3ACC1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8">
    <w:nsid w:val="7C0E0420"/>
    <w:multiLevelType w:val="hybridMultilevel"/>
    <w:tmpl w:val="B94AC1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9">
    <w:nsid w:val="7C5C2BD2"/>
    <w:multiLevelType w:val="hybridMultilevel"/>
    <w:tmpl w:val="A3E64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nsid w:val="7C9D6438"/>
    <w:multiLevelType w:val="hybridMultilevel"/>
    <w:tmpl w:val="07661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nsid w:val="7CA178B9"/>
    <w:multiLevelType w:val="hybridMultilevel"/>
    <w:tmpl w:val="21784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nsid w:val="7CBF05E7"/>
    <w:multiLevelType w:val="hybridMultilevel"/>
    <w:tmpl w:val="2AA8CA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nsid w:val="7E821944"/>
    <w:multiLevelType w:val="hybridMultilevel"/>
    <w:tmpl w:val="EF588EC4"/>
    <w:lvl w:ilvl="0" w:tplc="90A48E8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203"/>
  </w:num>
  <w:num w:numId="33">
    <w:abstractNumId w:val="250"/>
  </w:num>
  <w:num w:numId="34">
    <w:abstractNumId w:val="225"/>
  </w:num>
  <w:num w:numId="35">
    <w:abstractNumId w:val="211"/>
  </w:num>
  <w:num w:numId="36">
    <w:abstractNumId w:val="31"/>
  </w:num>
  <w:num w:numId="37">
    <w:abstractNumId w:val="32"/>
  </w:num>
  <w:num w:numId="38">
    <w:abstractNumId w:val="33"/>
  </w:num>
  <w:num w:numId="39">
    <w:abstractNumId w:val="34"/>
  </w:num>
  <w:num w:numId="40">
    <w:abstractNumId w:val="35"/>
  </w:num>
  <w:num w:numId="41">
    <w:abstractNumId w:val="36"/>
  </w:num>
  <w:num w:numId="42">
    <w:abstractNumId w:val="37"/>
  </w:num>
  <w:num w:numId="43">
    <w:abstractNumId w:val="38"/>
  </w:num>
  <w:num w:numId="44">
    <w:abstractNumId w:val="39"/>
  </w:num>
  <w:num w:numId="45">
    <w:abstractNumId w:val="40"/>
  </w:num>
  <w:num w:numId="46">
    <w:abstractNumId w:val="41"/>
  </w:num>
  <w:num w:numId="47">
    <w:abstractNumId w:val="42"/>
  </w:num>
  <w:num w:numId="48">
    <w:abstractNumId w:val="43"/>
  </w:num>
  <w:num w:numId="49">
    <w:abstractNumId w:val="44"/>
  </w:num>
  <w:num w:numId="50">
    <w:abstractNumId w:val="45"/>
  </w:num>
  <w:num w:numId="51">
    <w:abstractNumId w:val="46"/>
  </w:num>
  <w:num w:numId="52">
    <w:abstractNumId w:val="47"/>
  </w:num>
  <w:num w:numId="53">
    <w:abstractNumId w:val="48"/>
  </w:num>
  <w:num w:numId="54">
    <w:abstractNumId w:val="49"/>
  </w:num>
  <w:num w:numId="55">
    <w:abstractNumId w:val="50"/>
  </w:num>
  <w:num w:numId="56">
    <w:abstractNumId w:val="51"/>
  </w:num>
  <w:num w:numId="57">
    <w:abstractNumId w:val="52"/>
  </w:num>
  <w:num w:numId="58">
    <w:abstractNumId w:val="53"/>
  </w:num>
  <w:num w:numId="59">
    <w:abstractNumId w:val="54"/>
  </w:num>
  <w:num w:numId="60">
    <w:abstractNumId w:val="55"/>
  </w:num>
  <w:num w:numId="61">
    <w:abstractNumId w:val="56"/>
  </w:num>
  <w:num w:numId="62">
    <w:abstractNumId w:val="57"/>
  </w:num>
  <w:num w:numId="63">
    <w:abstractNumId w:val="58"/>
  </w:num>
  <w:num w:numId="64">
    <w:abstractNumId w:val="59"/>
  </w:num>
  <w:num w:numId="65">
    <w:abstractNumId w:val="60"/>
  </w:num>
  <w:num w:numId="66">
    <w:abstractNumId w:val="61"/>
  </w:num>
  <w:num w:numId="67">
    <w:abstractNumId w:val="62"/>
  </w:num>
  <w:num w:numId="68">
    <w:abstractNumId w:val="63"/>
  </w:num>
  <w:num w:numId="69">
    <w:abstractNumId w:val="64"/>
  </w:num>
  <w:num w:numId="70">
    <w:abstractNumId w:val="65"/>
  </w:num>
  <w:num w:numId="71">
    <w:abstractNumId w:val="66"/>
  </w:num>
  <w:num w:numId="72">
    <w:abstractNumId w:val="67"/>
  </w:num>
  <w:num w:numId="73">
    <w:abstractNumId w:val="68"/>
  </w:num>
  <w:num w:numId="74">
    <w:abstractNumId w:val="69"/>
  </w:num>
  <w:num w:numId="75">
    <w:abstractNumId w:val="70"/>
  </w:num>
  <w:num w:numId="76">
    <w:abstractNumId w:val="71"/>
  </w:num>
  <w:num w:numId="77">
    <w:abstractNumId w:val="72"/>
  </w:num>
  <w:num w:numId="78">
    <w:abstractNumId w:val="73"/>
  </w:num>
  <w:num w:numId="79">
    <w:abstractNumId w:val="74"/>
  </w:num>
  <w:num w:numId="80">
    <w:abstractNumId w:val="75"/>
  </w:num>
  <w:num w:numId="81">
    <w:abstractNumId w:val="76"/>
  </w:num>
  <w:num w:numId="82">
    <w:abstractNumId w:val="77"/>
  </w:num>
  <w:num w:numId="83">
    <w:abstractNumId w:val="78"/>
  </w:num>
  <w:num w:numId="84">
    <w:abstractNumId w:val="79"/>
  </w:num>
  <w:num w:numId="85">
    <w:abstractNumId w:val="80"/>
  </w:num>
  <w:num w:numId="86">
    <w:abstractNumId w:val="206"/>
  </w:num>
  <w:num w:numId="87">
    <w:abstractNumId w:val="248"/>
  </w:num>
  <w:num w:numId="88">
    <w:abstractNumId w:val="298"/>
  </w:num>
  <w:num w:numId="89">
    <w:abstractNumId w:val="81"/>
  </w:num>
  <w:num w:numId="90">
    <w:abstractNumId w:val="82"/>
  </w:num>
  <w:num w:numId="91">
    <w:abstractNumId w:val="83"/>
  </w:num>
  <w:num w:numId="92">
    <w:abstractNumId w:val="84"/>
  </w:num>
  <w:num w:numId="93">
    <w:abstractNumId w:val="85"/>
  </w:num>
  <w:num w:numId="94">
    <w:abstractNumId w:val="86"/>
  </w:num>
  <w:num w:numId="95">
    <w:abstractNumId w:val="87"/>
  </w:num>
  <w:num w:numId="96">
    <w:abstractNumId w:val="88"/>
  </w:num>
  <w:num w:numId="97">
    <w:abstractNumId w:val="89"/>
  </w:num>
  <w:num w:numId="98">
    <w:abstractNumId w:val="90"/>
  </w:num>
  <w:num w:numId="99">
    <w:abstractNumId w:val="91"/>
  </w:num>
  <w:num w:numId="100">
    <w:abstractNumId w:val="92"/>
  </w:num>
  <w:num w:numId="101">
    <w:abstractNumId w:val="93"/>
  </w:num>
  <w:num w:numId="102">
    <w:abstractNumId w:val="94"/>
  </w:num>
  <w:num w:numId="103">
    <w:abstractNumId w:val="95"/>
  </w:num>
  <w:num w:numId="104">
    <w:abstractNumId w:val="96"/>
  </w:num>
  <w:num w:numId="105">
    <w:abstractNumId w:val="97"/>
  </w:num>
  <w:num w:numId="106">
    <w:abstractNumId w:val="98"/>
  </w:num>
  <w:num w:numId="107">
    <w:abstractNumId w:val="99"/>
  </w:num>
  <w:num w:numId="108">
    <w:abstractNumId w:val="100"/>
  </w:num>
  <w:num w:numId="109">
    <w:abstractNumId w:val="101"/>
  </w:num>
  <w:num w:numId="110">
    <w:abstractNumId w:val="102"/>
  </w:num>
  <w:num w:numId="111">
    <w:abstractNumId w:val="103"/>
  </w:num>
  <w:num w:numId="112">
    <w:abstractNumId w:val="104"/>
  </w:num>
  <w:num w:numId="113">
    <w:abstractNumId w:val="105"/>
  </w:num>
  <w:num w:numId="114">
    <w:abstractNumId w:val="106"/>
  </w:num>
  <w:num w:numId="115">
    <w:abstractNumId w:val="107"/>
  </w:num>
  <w:num w:numId="116">
    <w:abstractNumId w:val="108"/>
  </w:num>
  <w:num w:numId="117">
    <w:abstractNumId w:val="109"/>
  </w:num>
  <w:num w:numId="118">
    <w:abstractNumId w:val="110"/>
  </w:num>
  <w:num w:numId="119">
    <w:abstractNumId w:val="111"/>
  </w:num>
  <w:num w:numId="120">
    <w:abstractNumId w:val="112"/>
  </w:num>
  <w:num w:numId="121">
    <w:abstractNumId w:val="113"/>
  </w:num>
  <w:num w:numId="122">
    <w:abstractNumId w:val="114"/>
  </w:num>
  <w:num w:numId="123">
    <w:abstractNumId w:val="115"/>
  </w:num>
  <w:num w:numId="124">
    <w:abstractNumId w:val="116"/>
  </w:num>
  <w:num w:numId="125">
    <w:abstractNumId w:val="117"/>
  </w:num>
  <w:num w:numId="126">
    <w:abstractNumId w:val="118"/>
  </w:num>
  <w:num w:numId="127">
    <w:abstractNumId w:val="119"/>
  </w:num>
  <w:num w:numId="128">
    <w:abstractNumId w:val="120"/>
  </w:num>
  <w:num w:numId="129">
    <w:abstractNumId w:val="121"/>
  </w:num>
  <w:num w:numId="130">
    <w:abstractNumId w:val="122"/>
  </w:num>
  <w:num w:numId="131">
    <w:abstractNumId w:val="123"/>
  </w:num>
  <w:num w:numId="132">
    <w:abstractNumId w:val="124"/>
  </w:num>
  <w:num w:numId="133">
    <w:abstractNumId w:val="125"/>
  </w:num>
  <w:num w:numId="134">
    <w:abstractNumId w:val="126"/>
  </w:num>
  <w:num w:numId="135">
    <w:abstractNumId w:val="127"/>
  </w:num>
  <w:num w:numId="136">
    <w:abstractNumId w:val="128"/>
  </w:num>
  <w:num w:numId="137">
    <w:abstractNumId w:val="129"/>
  </w:num>
  <w:num w:numId="138">
    <w:abstractNumId w:val="130"/>
  </w:num>
  <w:num w:numId="139">
    <w:abstractNumId w:val="131"/>
  </w:num>
  <w:num w:numId="140">
    <w:abstractNumId w:val="132"/>
  </w:num>
  <w:num w:numId="141">
    <w:abstractNumId w:val="133"/>
  </w:num>
  <w:num w:numId="142">
    <w:abstractNumId w:val="134"/>
  </w:num>
  <w:num w:numId="143">
    <w:abstractNumId w:val="135"/>
  </w:num>
  <w:num w:numId="144">
    <w:abstractNumId w:val="136"/>
  </w:num>
  <w:num w:numId="145">
    <w:abstractNumId w:val="137"/>
  </w:num>
  <w:num w:numId="146">
    <w:abstractNumId w:val="138"/>
  </w:num>
  <w:num w:numId="147">
    <w:abstractNumId w:val="139"/>
  </w:num>
  <w:num w:numId="148">
    <w:abstractNumId w:val="140"/>
  </w:num>
  <w:num w:numId="149">
    <w:abstractNumId w:val="141"/>
  </w:num>
  <w:num w:numId="150">
    <w:abstractNumId w:val="142"/>
  </w:num>
  <w:num w:numId="151">
    <w:abstractNumId w:val="143"/>
  </w:num>
  <w:num w:numId="152">
    <w:abstractNumId w:val="144"/>
  </w:num>
  <w:num w:numId="153">
    <w:abstractNumId w:val="145"/>
  </w:num>
  <w:num w:numId="154">
    <w:abstractNumId w:val="146"/>
  </w:num>
  <w:num w:numId="155">
    <w:abstractNumId w:val="147"/>
  </w:num>
  <w:num w:numId="156">
    <w:abstractNumId w:val="148"/>
  </w:num>
  <w:num w:numId="157">
    <w:abstractNumId w:val="149"/>
  </w:num>
  <w:num w:numId="158">
    <w:abstractNumId w:val="150"/>
  </w:num>
  <w:num w:numId="159">
    <w:abstractNumId w:val="151"/>
  </w:num>
  <w:num w:numId="160">
    <w:abstractNumId w:val="152"/>
  </w:num>
  <w:num w:numId="161">
    <w:abstractNumId w:val="153"/>
  </w:num>
  <w:num w:numId="162">
    <w:abstractNumId w:val="154"/>
  </w:num>
  <w:num w:numId="163">
    <w:abstractNumId w:val="155"/>
  </w:num>
  <w:num w:numId="164">
    <w:abstractNumId w:val="156"/>
  </w:num>
  <w:num w:numId="165">
    <w:abstractNumId w:val="157"/>
  </w:num>
  <w:num w:numId="166">
    <w:abstractNumId w:val="158"/>
  </w:num>
  <w:num w:numId="167">
    <w:abstractNumId w:val="159"/>
  </w:num>
  <w:num w:numId="168">
    <w:abstractNumId w:val="217"/>
  </w:num>
  <w:num w:numId="169">
    <w:abstractNumId w:val="278"/>
  </w:num>
  <w:num w:numId="170">
    <w:abstractNumId w:val="196"/>
  </w:num>
  <w:num w:numId="171">
    <w:abstractNumId w:val="258"/>
  </w:num>
  <w:num w:numId="172">
    <w:abstractNumId w:val="175"/>
  </w:num>
  <w:num w:numId="173">
    <w:abstractNumId w:val="294"/>
  </w:num>
  <w:num w:numId="174">
    <w:abstractNumId w:val="277"/>
  </w:num>
  <w:num w:numId="175">
    <w:abstractNumId w:val="219"/>
  </w:num>
  <w:num w:numId="176">
    <w:abstractNumId w:val="291"/>
  </w:num>
  <w:num w:numId="177">
    <w:abstractNumId w:val="214"/>
  </w:num>
  <w:num w:numId="178">
    <w:abstractNumId w:val="223"/>
  </w:num>
  <w:num w:numId="179">
    <w:abstractNumId w:val="240"/>
  </w:num>
  <w:num w:numId="180">
    <w:abstractNumId w:val="227"/>
  </w:num>
  <w:num w:numId="181">
    <w:abstractNumId w:val="295"/>
  </w:num>
  <w:num w:numId="182">
    <w:abstractNumId w:val="212"/>
  </w:num>
  <w:num w:numId="183">
    <w:abstractNumId w:val="192"/>
  </w:num>
  <w:num w:numId="184">
    <w:abstractNumId w:val="168"/>
  </w:num>
  <w:num w:numId="185">
    <w:abstractNumId w:val="307"/>
  </w:num>
  <w:num w:numId="186">
    <w:abstractNumId w:val="220"/>
  </w:num>
  <w:num w:numId="187">
    <w:abstractNumId w:val="243"/>
  </w:num>
  <w:num w:numId="188">
    <w:abstractNumId w:val="237"/>
  </w:num>
  <w:num w:numId="189">
    <w:abstractNumId w:val="288"/>
  </w:num>
  <w:num w:numId="190">
    <w:abstractNumId w:val="193"/>
  </w:num>
  <w:num w:numId="191">
    <w:abstractNumId w:val="231"/>
  </w:num>
  <w:num w:numId="192">
    <w:abstractNumId w:val="267"/>
  </w:num>
  <w:num w:numId="193">
    <w:abstractNumId w:val="268"/>
  </w:num>
  <w:num w:numId="194">
    <w:abstractNumId w:val="275"/>
  </w:num>
  <w:num w:numId="195">
    <w:abstractNumId w:val="199"/>
  </w:num>
  <w:num w:numId="196">
    <w:abstractNumId w:val="262"/>
  </w:num>
  <w:num w:numId="197">
    <w:abstractNumId w:val="304"/>
  </w:num>
  <w:num w:numId="198">
    <w:abstractNumId w:val="174"/>
    <w:lvlOverride w:ilvl="0">
      <w:startOverride w:val="1"/>
    </w:lvlOverride>
    <w:lvlOverride w:ilvl="1">
      <w:startOverride w:val="1"/>
    </w:lvlOverride>
    <w:lvlOverride w:ilvl="2"/>
    <w:lvlOverride w:ilvl="3"/>
    <w:lvlOverride w:ilvl="4"/>
    <w:lvlOverride w:ilvl="5"/>
    <w:lvlOverride w:ilvl="6"/>
    <w:lvlOverride w:ilvl="7"/>
    <w:lvlOverride w:ilvl="8"/>
  </w:num>
  <w:num w:numId="199">
    <w:abstractNumId w:val="271"/>
    <w:lvlOverride w:ilvl="0">
      <w:startOverride w:val="7"/>
    </w:lvlOverride>
    <w:lvlOverride w:ilvl="1"/>
    <w:lvlOverride w:ilvl="2"/>
    <w:lvlOverride w:ilvl="3"/>
    <w:lvlOverride w:ilvl="4"/>
    <w:lvlOverride w:ilvl="5"/>
    <w:lvlOverride w:ilvl="6"/>
    <w:lvlOverride w:ilvl="7"/>
    <w:lvlOverride w:ilvl="8"/>
  </w:num>
  <w:num w:numId="200">
    <w:abstractNumId w:val="254"/>
    <w:lvlOverride w:ilvl="0">
      <w:startOverride w:val="11"/>
    </w:lvlOverride>
    <w:lvlOverride w:ilvl="1"/>
    <w:lvlOverride w:ilvl="2"/>
    <w:lvlOverride w:ilvl="3"/>
    <w:lvlOverride w:ilvl="4"/>
    <w:lvlOverride w:ilvl="5"/>
    <w:lvlOverride w:ilvl="6"/>
    <w:lvlOverride w:ilvl="7"/>
    <w:lvlOverride w:ilvl="8"/>
  </w:num>
  <w:num w:numId="201">
    <w:abstractNumId w:val="189"/>
    <w:lvlOverride w:ilvl="0">
      <w:startOverride w:val="1"/>
    </w:lvlOverride>
    <w:lvlOverride w:ilvl="1"/>
    <w:lvlOverride w:ilvl="2"/>
    <w:lvlOverride w:ilvl="3"/>
    <w:lvlOverride w:ilvl="4"/>
    <w:lvlOverride w:ilvl="5"/>
    <w:lvlOverride w:ilvl="6"/>
    <w:lvlOverride w:ilvl="7"/>
    <w:lvlOverride w:ilvl="8"/>
  </w:num>
  <w:num w:numId="202">
    <w:abstractNumId w:val="247"/>
    <w:lvlOverride w:ilvl="0">
      <w:startOverride w:val="7"/>
    </w:lvlOverride>
    <w:lvlOverride w:ilvl="1">
      <w:startOverride w:val="1"/>
    </w:lvlOverride>
    <w:lvlOverride w:ilvl="2"/>
    <w:lvlOverride w:ilvl="3"/>
    <w:lvlOverride w:ilvl="4"/>
    <w:lvlOverride w:ilvl="5"/>
    <w:lvlOverride w:ilvl="6"/>
    <w:lvlOverride w:ilvl="7"/>
    <w:lvlOverride w:ilvl="8"/>
  </w:num>
  <w:num w:numId="203">
    <w:abstractNumId w:val="238"/>
    <w:lvlOverride w:ilvl="0">
      <w:startOverride w:val="1"/>
    </w:lvlOverride>
    <w:lvlOverride w:ilvl="1">
      <w:startOverride w:val="1"/>
    </w:lvlOverride>
    <w:lvlOverride w:ilvl="2"/>
    <w:lvlOverride w:ilvl="3"/>
    <w:lvlOverride w:ilvl="4"/>
    <w:lvlOverride w:ilvl="5"/>
    <w:lvlOverride w:ilvl="6"/>
    <w:lvlOverride w:ilvl="7"/>
    <w:lvlOverride w:ilvl="8"/>
  </w:num>
  <w:num w:numId="204">
    <w:abstractNumId w:val="182"/>
  </w:num>
  <w:num w:numId="205">
    <w:abstractNumId w:val="265"/>
  </w:num>
  <w:num w:numId="206">
    <w:abstractNumId w:val="167"/>
  </w:num>
  <w:num w:numId="207">
    <w:abstractNumId w:val="264"/>
  </w:num>
  <w:num w:numId="208">
    <w:abstractNumId w:val="178"/>
  </w:num>
  <w:num w:numId="209">
    <w:abstractNumId w:val="242"/>
  </w:num>
  <w:num w:numId="210">
    <w:abstractNumId w:val="181"/>
  </w:num>
  <w:num w:numId="211">
    <w:abstractNumId w:val="185"/>
  </w:num>
  <w:num w:numId="212">
    <w:abstractNumId w:val="230"/>
  </w:num>
  <w:num w:numId="213">
    <w:abstractNumId w:val="260"/>
  </w:num>
  <w:num w:numId="214">
    <w:abstractNumId w:val="221"/>
  </w:num>
  <w:num w:numId="215">
    <w:abstractNumId w:val="222"/>
  </w:num>
  <w:num w:numId="216">
    <w:abstractNumId w:val="282"/>
  </w:num>
  <w:num w:numId="217">
    <w:abstractNumId w:val="300"/>
  </w:num>
  <w:num w:numId="218">
    <w:abstractNumId w:val="169"/>
  </w:num>
  <w:num w:numId="219">
    <w:abstractNumId w:val="263"/>
  </w:num>
  <w:num w:numId="220">
    <w:abstractNumId w:val="309"/>
  </w:num>
  <w:num w:numId="221">
    <w:abstractNumId w:val="296"/>
  </w:num>
  <w:num w:numId="222">
    <w:abstractNumId w:val="176"/>
  </w:num>
  <w:num w:numId="223">
    <w:abstractNumId w:val="226"/>
  </w:num>
  <w:num w:numId="224">
    <w:abstractNumId w:val="195"/>
  </w:num>
  <w:num w:numId="225">
    <w:abstractNumId w:val="202"/>
  </w:num>
  <w:num w:numId="226">
    <w:abstractNumId w:val="280"/>
  </w:num>
  <w:num w:numId="227">
    <w:abstractNumId w:val="308"/>
  </w:num>
  <w:num w:numId="228">
    <w:abstractNumId w:val="257"/>
  </w:num>
  <w:num w:numId="229">
    <w:abstractNumId w:val="213"/>
  </w:num>
  <w:num w:numId="230">
    <w:abstractNumId w:val="301"/>
  </w:num>
  <w:num w:numId="231">
    <w:abstractNumId w:val="261"/>
  </w:num>
  <w:num w:numId="232">
    <w:abstractNumId w:val="303"/>
  </w:num>
  <w:num w:numId="233">
    <w:abstractNumId w:val="228"/>
  </w:num>
  <w:num w:numId="234">
    <w:abstractNumId w:val="297"/>
  </w:num>
  <w:num w:numId="235">
    <w:abstractNumId w:val="279"/>
  </w:num>
  <w:num w:numId="236">
    <w:abstractNumId w:val="166"/>
  </w:num>
  <w:num w:numId="237">
    <w:abstractNumId w:val="293"/>
  </w:num>
  <w:num w:numId="238">
    <w:abstractNumId w:val="183"/>
  </w:num>
  <w:num w:numId="239">
    <w:abstractNumId w:val="276"/>
  </w:num>
  <w:num w:numId="240">
    <w:abstractNumId w:val="252"/>
  </w:num>
  <w:num w:numId="241">
    <w:abstractNumId w:val="274"/>
  </w:num>
  <w:num w:numId="242">
    <w:abstractNumId w:val="191"/>
  </w:num>
  <w:num w:numId="243">
    <w:abstractNumId w:val="283"/>
  </w:num>
  <w:num w:numId="244">
    <w:abstractNumId w:val="198"/>
  </w:num>
  <w:num w:numId="245">
    <w:abstractNumId w:val="259"/>
  </w:num>
  <w:num w:numId="246">
    <w:abstractNumId w:val="207"/>
  </w:num>
  <w:num w:numId="247">
    <w:abstractNumId w:val="160"/>
  </w:num>
  <w:num w:numId="248">
    <w:abstractNumId w:val="218"/>
  </w:num>
  <w:num w:numId="249">
    <w:abstractNumId w:val="224"/>
  </w:num>
  <w:num w:numId="250">
    <w:abstractNumId w:val="311"/>
  </w:num>
  <w:num w:numId="251">
    <w:abstractNumId w:val="251"/>
  </w:num>
  <w:num w:numId="252">
    <w:abstractNumId w:val="272"/>
  </w:num>
  <w:num w:numId="253">
    <w:abstractNumId w:val="239"/>
  </w:num>
  <w:num w:numId="254">
    <w:abstractNumId w:val="190"/>
  </w:num>
  <w:num w:numId="255">
    <w:abstractNumId w:val="161"/>
  </w:num>
  <w:num w:numId="256">
    <w:abstractNumId w:val="292"/>
  </w:num>
  <w:num w:numId="257">
    <w:abstractNumId w:val="170"/>
  </w:num>
  <w:num w:numId="258">
    <w:abstractNumId w:val="245"/>
  </w:num>
  <w:num w:numId="259">
    <w:abstractNumId w:val="299"/>
  </w:num>
  <w:num w:numId="260">
    <w:abstractNumId w:val="284"/>
  </w:num>
  <w:num w:numId="261">
    <w:abstractNumId w:val="229"/>
  </w:num>
  <w:num w:numId="262">
    <w:abstractNumId w:val="233"/>
  </w:num>
  <w:num w:numId="263">
    <w:abstractNumId w:val="173"/>
  </w:num>
  <w:num w:numId="264">
    <w:abstractNumId w:val="186"/>
  </w:num>
  <w:num w:numId="265">
    <w:abstractNumId w:val="165"/>
  </w:num>
  <w:num w:numId="266">
    <w:abstractNumId w:val="285"/>
  </w:num>
  <w:num w:numId="267">
    <w:abstractNumId w:val="313"/>
  </w:num>
  <w:num w:numId="268">
    <w:abstractNumId w:val="171"/>
  </w:num>
  <w:num w:numId="269">
    <w:abstractNumId w:val="180"/>
  </w:num>
  <w:num w:numId="270">
    <w:abstractNumId w:val="255"/>
  </w:num>
  <w:num w:numId="271">
    <w:abstractNumId w:val="281"/>
  </w:num>
  <w:num w:numId="272">
    <w:abstractNumId w:val="184"/>
  </w:num>
  <w:num w:numId="273">
    <w:abstractNumId w:val="241"/>
  </w:num>
  <w:num w:numId="274">
    <w:abstractNumId w:val="177"/>
  </w:num>
  <w:num w:numId="275">
    <w:abstractNumId w:val="266"/>
  </w:num>
  <w:num w:numId="276">
    <w:abstractNumId w:val="210"/>
  </w:num>
  <w:num w:numId="277">
    <w:abstractNumId w:val="253"/>
  </w:num>
  <w:num w:numId="278">
    <w:abstractNumId w:val="287"/>
  </w:num>
  <w:num w:numId="279">
    <w:abstractNumId w:val="232"/>
  </w:num>
  <w:num w:numId="280">
    <w:abstractNumId w:val="236"/>
  </w:num>
  <w:num w:numId="281">
    <w:abstractNumId w:val="244"/>
  </w:num>
  <w:num w:numId="282">
    <w:abstractNumId w:val="197"/>
  </w:num>
  <w:num w:numId="283">
    <w:abstractNumId w:val="246"/>
  </w:num>
  <w:num w:numId="284">
    <w:abstractNumId w:val="302"/>
  </w:num>
  <w:num w:numId="285">
    <w:abstractNumId w:val="208"/>
  </w:num>
  <w:num w:numId="286">
    <w:abstractNumId w:val="172"/>
  </w:num>
  <w:num w:numId="287">
    <w:abstractNumId w:val="234"/>
  </w:num>
  <w:num w:numId="288">
    <w:abstractNumId w:val="215"/>
  </w:num>
  <w:num w:numId="289">
    <w:abstractNumId w:val="163"/>
  </w:num>
  <w:num w:numId="290">
    <w:abstractNumId w:val="312"/>
  </w:num>
  <w:num w:numId="291">
    <w:abstractNumId w:val="310"/>
  </w:num>
  <w:num w:numId="292">
    <w:abstractNumId w:val="205"/>
  </w:num>
  <w:num w:numId="293">
    <w:abstractNumId w:val="200"/>
  </w:num>
  <w:num w:numId="294">
    <w:abstractNumId w:val="187"/>
  </w:num>
  <w:num w:numId="295">
    <w:abstractNumId w:val="194"/>
  </w:num>
  <w:num w:numId="296">
    <w:abstractNumId w:val="235"/>
  </w:num>
  <w:num w:numId="297">
    <w:abstractNumId w:val="209"/>
  </w:num>
  <w:num w:numId="298">
    <w:abstractNumId w:val="289"/>
  </w:num>
  <w:num w:numId="299">
    <w:abstractNumId w:val="256"/>
  </w:num>
  <w:num w:numId="300">
    <w:abstractNumId w:val="306"/>
  </w:num>
  <w:num w:numId="301">
    <w:abstractNumId w:val="162"/>
  </w:num>
  <w:num w:numId="302">
    <w:abstractNumId w:val="269"/>
  </w:num>
  <w:num w:numId="303">
    <w:abstractNumId w:val="305"/>
  </w:num>
  <w:num w:numId="304">
    <w:abstractNumId w:val="204"/>
  </w:num>
  <w:num w:numId="305">
    <w:abstractNumId w:val="216"/>
  </w:num>
  <w:num w:numId="306">
    <w:abstractNumId w:val="164"/>
  </w:num>
  <w:num w:numId="307">
    <w:abstractNumId w:val="179"/>
  </w:num>
  <w:num w:numId="308">
    <w:abstractNumId w:val="290"/>
  </w:num>
  <w:num w:numId="309">
    <w:abstractNumId w:val="249"/>
  </w:num>
  <w:num w:numId="310">
    <w:abstractNumId w:val="286"/>
  </w:num>
  <w:num w:numId="311">
    <w:abstractNumId w:val="201"/>
  </w:num>
  <w:num w:numId="312">
    <w:abstractNumId w:val="273"/>
  </w:num>
  <w:num w:numId="313">
    <w:abstractNumId w:val="188"/>
  </w:num>
  <w:num w:numId="314">
    <w:abstractNumId w:val="270"/>
  </w:num>
  <w:numIdMacAtCleanup w:val="3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482C"/>
    <w:rsid w:val="00002A9C"/>
    <w:rsid w:val="000104B8"/>
    <w:rsid w:val="000164F3"/>
    <w:rsid w:val="00017B08"/>
    <w:rsid w:val="00026657"/>
    <w:rsid w:val="00027B56"/>
    <w:rsid w:val="00027BFC"/>
    <w:rsid w:val="0003065B"/>
    <w:rsid w:val="000370C7"/>
    <w:rsid w:val="00041F40"/>
    <w:rsid w:val="00042931"/>
    <w:rsid w:val="0004482C"/>
    <w:rsid w:val="00047DFA"/>
    <w:rsid w:val="000521CF"/>
    <w:rsid w:val="000559FA"/>
    <w:rsid w:val="00057B5A"/>
    <w:rsid w:val="00057E39"/>
    <w:rsid w:val="0006414C"/>
    <w:rsid w:val="0007013A"/>
    <w:rsid w:val="00075BBD"/>
    <w:rsid w:val="00080446"/>
    <w:rsid w:val="00080EC6"/>
    <w:rsid w:val="00084494"/>
    <w:rsid w:val="00085FB1"/>
    <w:rsid w:val="00086D40"/>
    <w:rsid w:val="00091748"/>
    <w:rsid w:val="00091FBB"/>
    <w:rsid w:val="00094A78"/>
    <w:rsid w:val="000A0081"/>
    <w:rsid w:val="000A183C"/>
    <w:rsid w:val="000A4A27"/>
    <w:rsid w:val="000C0BD2"/>
    <w:rsid w:val="000C17E8"/>
    <w:rsid w:val="000D217D"/>
    <w:rsid w:val="000E0FC6"/>
    <w:rsid w:val="000E1ED5"/>
    <w:rsid w:val="000F299B"/>
    <w:rsid w:val="000F32A6"/>
    <w:rsid w:val="000F48B5"/>
    <w:rsid w:val="000F4A69"/>
    <w:rsid w:val="000F6FC9"/>
    <w:rsid w:val="00105EA3"/>
    <w:rsid w:val="00107BF7"/>
    <w:rsid w:val="001106FF"/>
    <w:rsid w:val="00111048"/>
    <w:rsid w:val="0012237E"/>
    <w:rsid w:val="0012354F"/>
    <w:rsid w:val="001256D9"/>
    <w:rsid w:val="0013794C"/>
    <w:rsid w:val="00137CEF"/>
    <w:rsid w:val="00143186"/>
    <w:rsid w:val="0014405E"/>
    <w:rsid w:val="00161A3C"/>
    <w:rsid w:val="001636D2"/>
    <w:rsid w:val="00163C01"/>
    <w:rsid w:val="001645ED"/>
    <w:rsid w:val="00167878"/>
    <w:rsid w:val="00170873"/>
    <w:rsid w:val="001742D7"/>
    <w:rsid w:val="00174353"/>
    <w:rsid w:val="00174EE2"/>
    <w:rsid w:val="00181029"/>
    <w:rsid w:val="00182EF4"/>
    <w:rsid w:val="001862CF"/>
    <w:rsid w:val="00186FA0"/>
    <w:rsid w:val="00190233"/>
    <w:rsid w:val="00190708"/>
    <w:rsid w:val="0019341B"/>
    <w:rsid w:val="00193E8E"/>
    <w:rsid w:val="00194A70"/>
    <w:rsid w:val="00196A22"/>
    <w:rsid w:val="001A0F3D"/>
    <w:rsid w:val="001A1E04"/>
    <w:rsid w:val="001A2938"/>
    <w:rsid w:val="001A3FC2"/>
    <w:rsid w:val="001A4386"/>
    <w:rsid w:val="001A7735"/>
    <w:rsid w:val="001B0BFE"/>
    <w:rsid w:val="001B22D3"/>
    <w:rsid w:val="001B3964"/>
    <w:rsid w:val="001B61CB"/>
    <w:rsid w:val="001C1EC7"/>
    <w:rsid w:val="001C4985"/>
    <w:rsid w:val="001C614D"/>
    <w:rsid w:val="001C67E5"/>
    <w:rsid w:val="001C7269"/>
    <w:rsid w:val="001D04D8"/>
    <w:rsid w:val="001D2DF4"/>
    <w:rsid w:val="001D36DE"/>
    <w:rsid w:val="001D4BB8"/>
    <w:rsid w:val="001D4D0E"/>
    <w:rsid w:val="001D6FEA"/>
    <w:rsid w:val="001E1902"/>
    <w:rsid w:val="001E27E7"/>
    <w:rsid w:val="001E3220"/>
    <w:rsid w:val="001E3BE4"/>
    <w:rsid w:val="001E63B9"/>
    <w:rsid w:val="001E70F2"/>
    <w:rsid w:val="001F0CD3"/>
    <w:rsid w:val="001F7B29"/>
    <w:rsid w:val="00200F35"/>
    <w:rsid w:val="00203CEE"/>
    <w:rsid w:val="00204FA0"/>
    <w:rsid w:val="00205651"/>
    <w:rsid w:val="00205BDE"/>
    <w:rsid w:val="00207731"/>
    <w:rsid w:val="00207E65"/>
    <w:rsid w:val="00210136"/>
    <w:rsid w:val="0021275E"/>
    <w:rsid w:val="002147CD"/>
    <w:rsid w:val="0022228B"/>
    <w:rsid w:val="00222E24"/>
    <w:rsid w:val="00223A24"/>
    <w:rsid w:val="00227090"/>
    <w:rsid w:val="00231879"/>
    <w:rsid w:val="00232F09"/>
    <w:rsid w:val="0023358F"/>
    <w:rsid w:val="002342A5"/>
    <w:rsid w:val="002352EE"/>
    <w:rsid w:val="00241A11"/>
    <w:rsid w:val="0024530A"/>
    <w:rsid w:val="00253341"/>
    <w:rsid w:val="002579C0"/>
    <w:rsid w:val="00264818"/>
    <w:rsid w:val="00266602"/>
    <w:rsid w:val="00267D75"/>
    <w:rsid w:val="00271EF3"/>
    <w:rsid w:val="0027515B"/>
    <w:rsid w:val="00277992"/>
    <w:rsid w:val="0028007C"/>
    <w:rsid w:val="0028167C"/>
    <w:rsid w:val="002924E5"/>
    <w:rsid w:val="0029367D"/>
    <w:rsid w:val="00294EA2"/>
    <w:rsid w:val="00297312"/>
    <w:rsid w:val="00297C11"/>
    <w:rsid w:val="002B08E3"/>
    <w:rsid w:val="002B09F4"/>
    <w:rsid w:val="002B224F"/>
    <w:rsid w:val="002B38EB"/>
    <w:rsid w:val="002B59C9"/>
    <w:rsid w:val="002B7D36"/>
    <w:rsid w:val="002C0240"/>
    <w:rsid w:val="002C0FD8"/>
    <w:rsid w:val="002C3FAC"/>
    <w:rsid w:val="002C4598"/>
    <w:rsid w:val="002C58AA"/>
    <w:rsid w:val="002D0FF9"/>
    <w:rsid w:val="002D271E"/>
    <w:rsid w:val="002D2D56"/>
    <w:rsid w:val="002D5C26"/>
    <w:rsid w:val="002E1552"/>
    <w:rsid w:val="002E3481"/>
    <w:rsid w:val="002F156B"/>
    <w:rsid w:val="002F3D35"/>
    <w:rsid w:val="002F426E"/>
    <w:rsid w:val="002F7BC3"/>
    <w:rsid w:val="003037AE"/>
    <w:rsid w:val="00307FCC"/>
    <w:rsid w:val="00310E67"/>
    <w:rsid w:val="003111CC"/>
    <w:rsid w:val="0031549E"/>
    <w:rsid w:val="00322809"/>
    <w:rsid w:val="00322B60"/>
    <w:rsid w:val="003275F9"/>
    <w:rsid w:val="003343DC"/>
    <w:rsid w:val="003346DF"/>
    <w:rsid w:val="00334FCE"/>
    <w:rsid w:val="0034126C"/>
    <w:rsid w:val="00343B2F"/>
    <w:rsid w:val="003474C4"/>
    <w:rsid w:val="003478E5"/>
    <w:rsid w:val="00356C2D"/>
    <w:rsid w:val="003576F0"/>
    <w:rsid w:val="00357A25"/>
    <w:rsid w:val="00363A18"/>
    <w:rsid w:val="00376A17"/>
    <w:rsid w:val="003865ED"/>
    <w:rsid w:val="0039281D"/>
    <w:rsid w:val="00393483"/>
    <w:rsid w:val="003935B8"/>
    <w:rsid w:val="00397189"/>
    <w:rsid w:val="003A1121"/>
    <w:rsid w:val="003A5B57"/>
    <w:rsid w:val="003A6336"/>
    <w:rsid w:val="003B105A"/>
    <w:rsid w:val="003B2AF0"/>
    <w:rsid w:val="003B40F5"/>
    <w:rsid w:val="003C4496"/>
    <w:rsid w:val="003C60E2"/>
    <w:rsid w:val="003C6EB1"/>
    <w:rsid w:val="003C6F51"/>
    <w:rsid w:val="003C7999"/>
    <w:rsid w:val="003D14AC"/>
    <w:rsid w:val="003D36D2"/>
    <w:rsid w:val="003D4100"/>
    <w:rsid w:val="003D4C75"/>
    <w:rsid w:val="003E3124"/>
    <w:rsid w:val="003E3646"/>
    <w:rsid w:val="003E61DF"/>
    <w:rsid w:val="003F1382"/>
    <w:rsid w:val="003F2007"/>
    <w:rsid w:val="003F2622"/>
    <w:rsid w:val="003F5413"/>
    <w:rsid w:val="00403A89"/>
    <w:rsid w:val="00404242"/>
    <w:rsid w:val="004058D6"/>
    <w:rsid w:val="00411883"/>
    <w:rsid w:val="00421DFC"/>
    <w:rsid w:val="0042238C"/>
    <w:rsid w:val="00423ED6"/>
    <w:rsid w:val="00430808"/>
    <w:rsid w:val="00431254"/>
    <w:rsid w:val="00440FE5"/>
    <w:rsid w:val="004443D1"/>
    <w:rsid w:val="004665D0"/>
    <w:rsid w:val="004705C8"/>
    <w:rsid w:val="004713E2"/>
    <w:rsid w:val="00474E87"/>
    <w:rsid w:val="00475BE9"/>
    <w:rsid w:val="0048355B"/>
    <w:rsid w:val="00491495"/>
    <w:rsid w:val="00493F1A"/>
    <w:rsid w:val="004956D1"/>
    <w:rsid w:val="00496685"/>
    <w:rsid w:val="004A0C12"/>
    <w:rsid w:val="004A6AAB"/>
    <w:rsid w:val="004B3037"/>
    <w:rsid w:val="004B4BE9"/>
    <w:rsid w:val="004B5610"/>
    <w:rsid w:val="004B7BA6"/>
    <w:rsid w:val="004C010C"/>
    <w:rsid w:val="004D0138"/>
    <w:rsid w:val="004D1DDD"/>
    <w:rsid w:val="004D36DC"/>
    <w:rsid w:val="004E0DE7"/>
    <w:rsid w:val="004E6031"/>
    <w:rsid w:val="004F3C25"/>
    <w:rsid w:val="004F5368"/>
    <w:rsid w:val="004F590C"/>
    <w:rsid w:val="0050300F"/>
    <w:rsid w:val="00506DBD"/>
    <w:rsid w:val="00507520"/>
    <w:rsid w:val="00511181"/>
    <w:rsid w:val="005116A6"/>
    <w:rsid w:val="00511836"/>
    <w:rsid w:val="00513D6C"/>
    <w:rsid w:val="0051627D"/>
    <w:rsid w:val="005168FD"/>
    <w:rsid w:val="00530FA0"/>
    <w:rsid w:val="00531E51"/>
    <w:rsid w:val="005328BC"/>
    <w:rsid w:val="0053415F"/>
    <w:rsid w:val="00535D82"/>
    <w:rsid w:val="00536320"/>
    <w:rsid w:val="005378E5"/>
    <w:rsid w:val="00541123"/>
    <w:rsid w:val="0054168E"/>
    <w:rsid w:val="00544841"/>
    <w:rsid w:val="005543FB"/>
    <w:rsid w:val="00555936"/>
    <w:rsid w:val="00560474"/>
    <w:rsid w:val="00561810"/>
    <w:rsid w:val="0056248A"/>
    <w:rsid w:val="00562808"/>
    <w:rsid w:val="0058100A"/>
    <w:rsid w:val="00583040"/>
    <w:rsid w:val="00584523"/>
    <w:rsid w:val="005851EF"/>
    <w:rsid w:val="00587A6C"/>
    <w:rsid w:val="005911F5"/>
    <w:rsid w:val="00591E9D"/>
    <w:rsid w:val="005920A5"/>
    <w:rsid w:val="00592908"/>
    <w:rsid w:val="00594970"/>
    <w:rsid w:val="005949CE"/>
    <w:rsid w:val="00596B02"/>
    <w:rsid w:val="005A2120"/>
    <w:rsid w:val="005A53A9"/>
    <w:rsid w:val="005A7C8D"/>
    <w:rsid w:val="005B0143"/>
    <w:rsid w:val="005B16EB"/>
    <w:rsid w:val="005B710B"/>
    <w:rsid w:val="005C3266"/>
    <w:rsid w:val="005C3C70"/>
    <w:rsid w:val="005C4041"/>
    <w:rsid w:val="005C5961"/>
    <w:rsid w:val="005C6A72"/>
    <w:rsid w:val="005D0F85"/>
    <w:rsid w:val="005D12C3"/>
    <w:rsid w:val="005D23AA"/>
    <w:rsid w:val="005D70BB"/>
    <w:rsid w:val="005E1411"/>
    <w:rsid w:val="005E2B7D"/>
    <w:rsid w:val="005E7605"/>
    <w:rsid w:val="005E7CC6"/>
    <w:rsid w:val="005F0C8A"/>
    <w:rsid w:val="005F300A"/>
    <w:rsid w:val="005F4844"/>
    <w:rsid w:val="005F573F"/>
    <w:rsid w:val="005F5A6E"/>
    <w:rsid w:val="006070B8"/>
    <w:rsid w:val="006108DC"/>
    <w:rsid w:val="006130B4"/>
    <w:rsid w:val="00613A95"/>
    <w:rsid w:val="0061607B"/>
    <w:rsid w:val="006218FA"/>
    <w:rsid w:val="00622979"/>
    <w:rsid w:val="00623552"/>
    <w:rsid w:val="00623895"/>
    <w:rsid w:val="00623DB3"/>
    <w:rsid w:val="006253D7"/>
    <w:rsid w:val="00627D7C"/>
    <w:rsid w:val="00631552"/>
    <w:rsid w:val="00636B6E"/>
    <w:rsid w:val="0063722A"/>
    <w:rsid w:val="0064137D"/>
    <w:rsid w:val="006427F8"/>
    <w:rsid w:val="006451F7"/>
    <w:rsid w:val="00654E06"/>
    <w:rsid w:val="0065501B"/>
    <w:rsid w:val="006608CD"/>
    <w:rsid w:val="00662D8A"/>
    <w:rsid w:val="00665760"/>
    <w:rsid w:val="006672AB"/>
    <w:rsid w:val="00667332"/>
    <w:rsid w:val="00671935"/>
    <w:rsid w:val="00677516"/>
    <w:rsid w:val="006814FD"/>
    <w:rsid w:val="006912D2"/>
    <w:rsid w:val="006923E3"/>
    <w:rsid w:val="00693328"/>
    <w:rsid w:val="0069334E"/>
    <w:rsid w:val="006949CD"/>
    <w:rsid w:val="00695370"/>
    <w:rsid w:val="00697430"/>
    <w:rsid w:val="006A098A"/>
    <w:rsid w:val="006A4185"/>
    <w:rsid w:val="006A5839"/>
    <w:rsid w:val="006A7414"/>
    <w:rsid w:val="006A7E89"/>
    <w:rsid w:val="006B1BDF"/>
    <w:rsid w:val="006B3C64"/>
    <w:rsid w:val="006D2B26"/>
    <w:rsid w:val="006D5C13"/>
    <w:rsid w:val="006E3413"/>
    <w:rsid w:val="006E3DC3"/>
    <w:rsid w:val="006E6A0E"/>
    <w:rsid w:val="006F0D6D"/>
    <w:rsid w:val="006F0EE8"/>
    <w:rsid w:val="006F1F3D"/>
    <w:rsid w:val="006F207B"/>
    <w:rsid w:val="006F2D3B"/>
    <w:rsid w:val="006F46D1"/>
    <w:rsid w:val="006F5C1F"/>
    <w:rsid w:val="006F71E5"/>
    <w:rsid w:val="006F7A7E"/>
    <w:rsid w:val="007056D8"/>
    <w:rsid w:val="00723F54"/>
    <w:rsid w:val="00724DEB"/>
    <w:rsid w:val="007268DF"/>
    <w:rsid w:val="00727832"/>
    <w:rsid w:val="00730B6F"/>
    <w:rsid w:val="00731958"/>
    <w:rsid w:val="00732872"/>
    <w:rsid w:val="007339D6"/>
    <w:rsid w:val="0074457B"/>
    <w:rsid w:val="00746B1B"/>
    <w:rsid w:val="0074736E"/>
    <w:rsid w:val="007513CF"/>
    <w:rsid w:val="0075242D"/>
    <w:rsid w:val="00752A93"/>
    <w:rsid w:val="00754F12"/>
    <w:rsid w:val="00756920"/>
    <w:rsid w:val="007621DD"/>
    <w:rsid w:val="00767C75"/>
    <w:rsid w:val="00773F45"/>
    <w:rsid w:val="007750CA"/>
    <w:rsid w:val="00776A0B"/>
    <w:rsid w:val="00780748"/>
    <w:rsid w:val="00780EBE"/>
    <w:rsid w:val="00785437"/>
    <w:rsid w:val="007952F6"/>
    <w:rsid w:val="00795424"/>
    <w:rsid w:val="00797887"/>
    <w:rsid w:val="007A1FDC"/>
    <w:rsid w:val="007A2E5D"/>
    <w:rsid w:val="007A3A8D"/>
    <w:rsid w:val="007B0E94"/>
    <w:rsid w:val="007B4F9D"/>
    <w:rsid w:val="007C4A56"/>
    <w:rsid w:val="007D1705"/>
    <w:rsid w:val="007E04A8"/>
    <w:rsid w:val="007E0EDC"/>
    <w:rsid w:val="007E179D"/>
    <w:rsid w:val="007E27C0"/>
    <w:rsid w:val="007E6874"/>
    <w:rsid w:val="007F7E92"/>
    <w:rsid w:val="00811745"/>
    <w:rsid w:val="00812371"/>
    <w:rsid w:val="00815374"/>
    <w:rsid w:val="00817884"/>
    <w:rsid w:val="00821251"/>
    <w:rsid w:val="00821946"/>
    <w:rsid w:val="0082195D"/>
    <w:rsid w:val="0082568D"/>
    <w:rsid w:val="00825D0C"/>
    <w:rsid w:val="00825DE7"/>
    <w:rsid w:val="008327F6"/>
    <w:rsid w:val="00834D2A"/>
    <w:rsid w:val="008361F6"/>
    <w:rsid w:val="00837A8A"/>
    <w:rsid w:val="00840A2D"/>
    <w:rsid w:val="008417DC"/>
    <w:rsid w:val="00841821"/>
    <w:rsid w:val="008419E2"/>
    <w:rsid w:val="00841B64"/>
    <w:rsid w:val="0084345E"/>
    <w:rsid w:val="008449EC"/>
    <w:rsid w:val="008466A0"/>
    <w:rsid w:val="00847A0D"/>
    <w:rsid w:val="00847AC0"/>
    <w:rsid w:val="008526E8"/>
    <w:rsid w:val="00852EE0"/>
    <w:rsid w:val="008559E3"/>
    <w:rsid w:val="00864927"/>
    <w:rsid w:val="00866B12"/>
    <w:rsid w:val="008706B8"/>
    <w:rsid w:val="00871E44"/>
    <w:rsid w:val="0087331A"/>
    <w:rsid w:val="00875274"/>
    <w:rsid w:val="0087536B"/>
    <w:rsid w:val="0087621F"/>
    <w:rsid w:val="00876843"/>
    <w:rsid w:val="0088162C"/>
    <w:rsid w:val="00881DB5"/>
    <w:rsid w:val="008839D9"/>
    <w:rsid w:val="008856E1"/>
    <w:rsid w:val="00892ED1"/>
    <w:rsid w:val="0089742E"/>
    <w:rsid w:val="008A31DD"/>
    <w:rsid w:val="008A605F"/>
    <w:rsid w:val="008B06E6"/>
    <w:rsid w:val="008B1D9A"/>
    <w:rsid w:val="008B7A38"/>
    <w:rsid w:val="008C2267"/>
    <w:rsid w:val="008C4670"/>
    <w:rsid w:val="008D15B8"/>
    <w:rsid w:val="008D1C56"/>
    <w:rsid w:val="008D3341"/>
    <w:rsid w:val="008D373E"/>
    <w:rsid w:val="008D5533"/>
    <w:rsid w:val="008D786C"/>
    <w:rsid w:val="008E59E3"/>
    <w:rsid w:val="008E5B5A"/>
    <w:rsid w:val="008E6F9B"/>
    <w:rsid w:val="008F28A1"/>
    <w:rsid w:val="008F7B14"/>
    <w:rsid w:val="00900002"/>
    <w:rsid w:val="009009EC"/>
    <w:rsid w:val="00901A92"/>
    <w:rsid w:val="00902C29"/>
    <w:rsid w:val="00905A9B"/>
    <w:rsid w:val="009101F2"/>
    <w:rsid w:val="009148AD"/>
    <w:rsid w:val="00915583"/>
    <w:rsid w:val="00917D14"/>
    <w:rsid w:val="009204FA"/>
    <w:rsid w:val="00920FE3"/>
    <w:rsid w:val="00921ABF"/>
    <w:rsid w:val="00923B2F"/>
    <w:rsid w:val="009307AF"/>
    <w:rsid w:val="00930A14"/>
    <w:rsid w:val="009321E8"/>
    <w:rsid w:val="00932997"/>
    <w:rsid w:val="00936D22"/>
    <w:rsid w:val="00940091"/>
    <w:rsid w:val="00943AA8"/>
    <w:rsid w:val="00944C56"/>
    <w:rsid w:val="009523C7"/>
    <w:rsid w:val="00953725"/>
    <w:rsid w:val="0095467A"/>
    <w:rsid w:val="00961036"/>
    <w:rsid w:val="0096326A"/>
    <w:rsid w:val="009633C3"/>
    <w:rsid w:val="0096681D"/>
    <w:rsid w:val="00966B47"/>
    <w:rsid w:val="00967764"/>
    <w:rsid w:val="0097066F"/>
    <w:rsid w:val="00970E84"/>
    <w:rsid w:val="00971C0C"/>
    <w:rsid w:val="00972878"/>
    <w:rsid w:val="00973A20"/>
    <w:rsid w:val="00973D38"/>
    <w:rsid w:val="0098394B"/>
    <w:rsid w:val="00986716"/>
    <w:rsid w:val="00987A15"/>
    <w:rsid w:val="00987BA0"/>
    <w:rsid w:val="00990F57"/>
    <w:rsid w:val="00993A55"/>
    <w:rsid w:val="009A11D2"/>
    <w:rsid w:val="009B183E"/>
    <w:rsid w:val="009B48B2"/>
    <w:rsid w:val="009B4C64"/>
    <w:rsid w:val="009B63D5"/>
    <w:rsid w:val="009B7B84"/>
    <w:rsid w:val="009B7FB2"/>
    <w:rsid w:val="009C2CDB"/>
    <w:rsid w:val="009D14C7"/>
    <w:rsid w:val="009D3014"/>
    <w:rsid w:val="009D3E23"/>
    <w:rsid w:val="009D5DF7"/>
    <w:rsid w:val="009E16F0"/>
    <w:rsid w:val="009E4244"/>
    <w:rsid w:val="009F22F4"/>
    <w:rsid w:val="009F5EDD"/>
    <w:rsid w:val="009F6571"/>
    <w:rsid w:val="00A01666"/>
    <w:rsid w:val="00A067F6"/>
    <w:rsid w:val="00A0796B"/>
    <w:rsid w:val="00A07F49"/>
    <w:rsid w:val="00A10CFF"/>
    <w:rsid w:val="00A12B6F"/>
    <w:rsid w:val="00A15122"/>
    <w:rsid w:val="00A209E9"/>
    <w:rsid w:val="00A2360F"/>
    <w:rsid w:val="00A2533C"/>
    <w:rsid w:val="00A3092A"/>
    <w:rsid w:val="00A31D74"/>
    <w:rsid w:val="00A40253"/>
    <w:rsid w:val="00A514D5"/>
    <w:rsid w:val="00A5472F"/>
    <w:rsid w:val="00A61EB9"/>
    <w:rsid w:val="00A6463E"/>
    <w:rsid w:val="00A72623"/>
    <w:rsid w:val="00A812FA"/>
    <w:rsid w:val="00A816E3"/>
    <w:rsid w:val="00A84124"/>
    <w:rsid w:val="00AA2536"/>
    <w:rsid w:val="00AA3F72"/>
    <w:rsid w:val="00AA7985"/>
    <w:rsid w:val="00AB163A"/>
    <w:rsid w:val="00AB2314"/>
    <w:rsid w:val="00AB349C"/>
    <w:rsid w:val="00AB4897"/>
    <w:rsid w:val="00AB5AEF"/>
    <w:rsid w:val="00AB5B16"/>
    <w:rsid w:val="00AC0A82"/>
    <w:rsid w:val="00AC0F1E"/>
    <w:rsid w:val="00AC6DA4"/>
    <w:rsid w:val="00AC7F51"/>
    <w:rsid w:val="00AD2026"/>
    <w:rsid w:val="00AE167F"/>
    <w:rsid w:val="00AE1868"/>
    <w:rsid w:val="00AE2906"/>
    <w:rsid w:val="00AE3543"/>
    <w:rsid w:val="00AE4841"/>
    <w:rsid w:val="00AE52EE"/>
    <w:rsid w:val="00AF01B6"/>
    <w:rsid w:val="00AF5B63"/>
    <w:rsid w:val="00B03240"/>
    <w:rsid w:val="00B03DB7"/>
    <w:rsid w:val="00B051DB"/>
    <w:rsid w:val="00B06B7A"/>
    <w:rsid w:val="00B07B43"/>
    <w:rsid w:val="00B10F3D"/>
    <w:rsid w:val="00B1138E"/>
    <w:rsid w:val="00B157E4"/>
    <w:rsid w:val="00B17D43"/>
    <w:rsid w:val="00B17F00"/>
    <w:rsid w:val="00B20E8D"/>
    <w:rsid w:val="00B22D03"/>
    <w:rsid w:val="00B22E91"/>
    <w:rsid w:val="00B24F5B"/>
    <w:rsid w:val="00B25499"/>
    <w:rsid w:val="00B27F1C"/>
    <w:rsid w:val="00B27F7E"/>
    <w:rsid w:val="00B32941"/>
    <w:rsid w:val="00B342BA"/>
    <w:rsid w:val="00B36004"/>
    <w:rsid w:val="00B36897"/>
    <w:rsid w:val="00B37299"/>
    <w:rsid w:val="00B42262"/>
    <w:rsid w:val="00B4249E"/>
    <w:rsid w:val="00B42B81"/>
    <w:rsid w:val="00B43D99"/>
    <w:rsid w:val="00B4660D"/>
    <w:rsid w:val="00B53E19"/>
    <w:rsid w:val="00B563A8"/>
    <w:rsid w:val="00B56EE1"/>
    <w:rsid w:val="00B6028A"/>
    <w:rsid w:val="00B60621"/>
    <w:rsid w:val="00B61369"/>
    <w:rsid w:val="00B61AE7"/>
    <w:rsid w:val="00B62CAD"/>
    <w:rsid w:val="00B6413A"/>
    <w:rsid w:val="00B67319"/>
    <w:rsid w:val="00B709F8"/>
    <w:rsid w:val="00B71C40"/>
    <w:rsid w:val="00B87622"/>
    <w:rsid w:val="00B93C94"/>
    <w:rsid w:val="00B9598F"/>
    <w:rsid w:val="00BA01A3"/>
    <w:rsid w:val="00BA1FD0"/>
    <w:rsid w:val="00BB16E4"/>
    <w:rsid w:val="00BB2673"/>
    <w:rsid w:val="00BB4004"/>
    <w:rsid w:val="00BB4611"/>
    <w:rsid w:val="00BB471E"/>
    <w:rsid w:val="00BB5F3C"/>
    <w:rsid w:val="00BC095E"/>
    <w:rsid w:val="00BC5F4A"/>
    <w:rsid w:val="00BC68BB"/>
    <w:rsid w:val="00BC6D08"/>
    <w:rsid w:val="00BC71A8"/>
    <w:rsid w:val="00BD0F79"/>
    <w:rsid w:val="00BD3642"/>
    <w:rsid w:val="00BD5BDF"/>
    <w:rsid w:val="00BF21A5"/>
    <w:rsid w:val="00BF6375"/>
    <w:rsid w:val="00BF652B"/>
    <w:rsid w:val="00C0180F"/>
    <w:rsid w:val="00C0679A"/>
    <w:rsid w:val="00C1173C"/>
    <w:rsid w:val="00C11764"/>
    <w:rsid w:val="00C128AD"/>
    <w:rsid w:val="00C22EB8"/>
    <w:rsid w:val="00C26F86"/>
    <w:rsid w:val="00C27DD6"/>
    <w:rsid w:val="00C31637"/>
    <w:rsid w:val="00C371C8"/>
    <w:rsid w:val="00C37876"/>
    <w:rsid w:val="00C42CE8"/>
    <w:rsid w:val="00C453E2"/>
    <w:rsid w:val="00C50A03"/>
    <w:rsid w:val="00C54768"/>
    <w:rsid w:val="00C55D7B"/>
    <w:rsid w:val="00C55E56"/>
    <w:rsid w:val="00C57BD1"/>
    <w:rsid w:val="00C627E5"/>
    <w:rsid w:val="00C73130"/>
    <w:rsid w:val="00C73398"/>
    <w:rsid w:val="00C73720"/>
    <w:rsid w:val="00C74C6F"/>
    <w:rsid w:val="00C76447"/>
    <w:rsid w:val="00C7797F"/>
    <w:rsid w:val="00C81305"/>
    <w:rsid w:val="00C81EEA"/>
    <w:rsid w:val="00C8294F"/>
    <w:rsid w:val="00C85AB3"/>
    <w:rsid w:val="00C870F3"/>
    <w:rsid w:val="00C87EF0"/>
    <w:rsid w:val="00C90261"/>
    <w:rsid w:val="00C91445"/>
    <w:rsid w:val="00C915AD"/>
    <w:rsid w:val="00C91769"/>
    <w:rsid w:val="00C93B8D"/>
    <w:rsid w:val="00CA16E1"/>
    <w:rsid w:val="00CA5C79"/>
    <w:rsid w:val="00CB40E4"/>
    <w:rsid w:val="00CB4585"/>
    <w:rsid w:val="00CB5D2C"/>
    <w:rsid w:val="00CB610A"/>
    <w:rsid w:val="00CB70A6"/>
    <w:rsid w:val="00CC18B9"/>
    <w:rsid w:val="00CC3095"/>
    <w:rsid w:val="00CC40F2"/>
    <w:rsid w:val="00CC66F0"/>
    <w:rsid w:val="00CD00E3"/>
    <w:rsid w:val="00CD0CEB"/>
    <w:rsid w:val="00CD112D"/>
    <w:rsid w:val="00CD64A8"/>
    <w:rsid w:val="00CD7525"/>
    <w:rsid w:val="00CE0E45"/>
    <w:rsid w:val="00CE6C55"/>
    <w:rsid w:val="00CF391B"/>
    <w:rsid w:val="00CF4628"/>
    <w:rsid w:val="00CF4B11"/>
    <w:rsid w:val="00CF5313"/>
    <w:rsid w:val="00D00E7E"/>
    <w:rsid w:val="00D02020"/>
    <w:rsid w:val="00D02BCE"/>
    <w:rsid w:val="00D068AF"/>
    <w:rsid w:val="00D06B8E"/>
    <w:rsid w:val="00D076CF"/>
    <w:rsid w:val="00D07885"/>
    <w:rsid w:val="00D12244"/>
    <w:rsid w:val="00D21526"/>
    <w:rsid w:val="00D31F85"/>
    <w:rsid w:val="00D3217A"/>
    <w:rsid w:val="00D335EF"/>
    <w:rsid w:val="00D340DD"/>
    <w:rsid w:val="00D37A1D"/>
    <w:rsid w:val="00D446AD"/>
    <w:rsid w:val="00D466F8"/>
    <w:rsid w:val="00D507DB"/>
    <w:rsid w:val="00D5223A"/>
    <w:rsid w:val="00D52BCE"/>
    <w:rsid w:val="00D55178"/>
    <w:rsid w:val="00D556DC"/>
    <w:rsid w:val="00D67467"/>
    <w:rsid w:val="00D67ABB"/>
    <w:rsid w:val="00D705F6"/>
    <w:rsid w:val="00D719F8"/>
    <w:rsid w:val="00D72BB1"/>
    <w:rsid w:val="00D73CEA"/>
    <w:rsid w:val="00D73D3D"/>
    <w:rsid w:val="00D73D66"/>
    <w:rsid w:val="00D74C97"/>
    <w:rsid w:val="00D802EB"/>
    <w:rsid w:val="00D836C8"/>
    <w:rsid w:val="00D85D49"/>
    <w:rsid w:val="00D94068"/>
    <w:rsid w:val="00D94B53"/>
    <w:rsid w:val="00DA0710"/>
    <w:rsid w:val="00DA14CD"/>
    <w:rsid w:val="00DA5488"/>
    <w:rsid w:val="00DA64A7"/>
    <w:rsid w:val="00DB01ED"/>
    <w:rsid w:val="00DB1D90"/>
    <w:rsid w:val="00DB7510"/>
    <w:rsid w:val="00DC425A"/>
    <w:rsid w:val="00DC6812"/>
    <w:rsid w:val="00DD1C3B"/>
    <w:rsid w:val="00DD2A86"/>
    <w:rsid w:val="00DD3C26"/>
    <w:rsid w:val="00DD4BDA"/>
    <w:rsid w:val="00DD4E35"/>
    <w:rsid w:val="00DD53F9"/>
    <w:rsid w:val="00DD6D69"/>
    <w:rsid w:val="00DE1FFD"/>
    <w:rsid w:val="00DE2F04"/>
    <w:rsid w:val="00DF00F8"/>
    <w:rsid w:val="00DF22CF"/>
    <w:rsid w:val="00DF2A5F"/>
    <w:rsid w:val="00DF4A3B"/>
    <w:rsid w:val="00DF6BF3"/>
    <w:rsid w:val="00E01663"/>
    <w:rsid w:val="00E07C0F"/>
    <w:rsid w:val="00E103E2"/>
    <w:rsid w:val="00E13E3B"/>
    <w:rsid w:val="00E14327"/>
    <w:rsid w:val="00E15BAC"/>
    <w:rsid w:val="00E15ED8"/>
    <w:rsid w:val="00E17815"/>
    <w:rsid w:val="00E2012E"/>
    <w:rsid w:val="00E236F4"/>
    <w:rsid w:val="00E26C42"/>
    <w:rsid w:val="00E33170"/>
    <w:rsid w:val="00E340BA"/>
    <w:rsid w:val="00E34820"/>
    <w:rsid w:val="00E359CC"/>
    <w:rsid w:val="00E500D8"/>
    <w:rsid w:val="00E51753"/>
    <w:rsid w:val="00E522E9"/>
    <w:rsid w:val="00E53C54"/>
    <w:rsid w:val="00E54CD8"/>
    <w:rsid w:val="00E612F3"/>
    <w:rsid w:val="00E62187"/>
    <w:rsid w:val="00E64564"/>
    <w:rsid w:val="00E66F74"/>
    <w:rsid w:val="00E67C5F"/>
    <w:rsid w:val="00E72857"/>
    <w:rsid w:val="00E778B3"/>
    <w:rsid w:val="00E80573"/>
    <w:rsid w:val="00E92E6C"/>
    <w:rsid w:val="00E94333"/>
    <w:rsid w:val="00E97CC8"/>
    <w:rsid w:val="00EA29E5"/>
    <w:rsid w:val="00EA6922"/>
    <w:rsid w:val="00EA7878"/>
    <w:rsid w:val="00EB3C43"/>
    <w:rsid w:val="00EB7728"/>
    <w:rsid w:val="00EB7A80"/>
    <w:rsid w:val="00EC3BB7"/>
    <w:rsid w:val="00EC6933"/>
    <w:rsid w:val="00EC6BE8"/>
    <w:rsid w:val="00ED37A8"/>
    <w:rsid w:val="00ED5B5D"/>
    <w:rsid w:val="00ED7157"/>
    <w:rsid w:val="00EE1E55"/>
    <w:rsid w:val="00EE5CC9"/>
    <w:rsid w:val="00EE5DB7"/>
    <w:rsid w:val="00EE6B83"/>
    <w:rsid w:val="00EF018D"/>
    <w:rsid w:val="00F005AC"/>
    <w:rsid w:val="00F0630F"/>
    <w:rsid w:val="00F07997"/>
    <w:rsid w:val="00F13DA3"/>
    <w:rsid w:val="00F14243"/>
    <w:rsid w:val="00F1439E"/>
    <w:rsid w:val="00F1512D"/>
    <w:rsid w:val="00F2117A"/>
    <w:rsid w:val="00F21DB1"/>
    <w:rsid w:val="00F332C3"/>
    <w:rsid w:val="00F343F2"/>
    <w:rsid w:val="00F5305E"/>
    <w:rsid w:val="00F55349"/>
    <w:rsid w:val="00F575A7"/>
    <w:rsid w:val="00F60766"/>
    <w:rsid w:val="00F6079B"/>
    <w:rsid w:val="00F65178"/>
    <w:rsid w:val="00F66C54"/>
    <w:rsid w:val="00F733CF"/>
    <w:rsid w:val="00F76807"/>
    <w:rsid w:val="00F82500"/>
    <w:rsid w:val="00F83A39"/>
    <w:rsid w:val="00F90FF4"/>
    <w:rsid w:val="00F93162"/>
    <w:rsid w:val="00F95598"/>
    <w:rsid w:val="00F96C90"/>
    <w:rsid w:val="00F96F1A"/>
    <w:rsid w:val="00FA0AAE"/>
    <w:rsid w:val="00FA1E83"/>
    <w:rsid w:val="00FA2284"/>
    <w:rsid w:val="00FA258C"/>
    <w:rsid w:val="00FA3BB4"/>
    <w:rsid w:val="00FA53BD"/>
    <w:rsid w:val="00FA5C06"/>
    <w:rsid w:val="00FB0A8A"/>
    <w:rsid w:val="00FB0BD4"/>
    <w:rsid w:val="00FB0E44"/>
    <w:rsid w:val="00FB2F19"/>
    <w:rsid w:val="00FB32D9"/>
    <w:rsid w:val="00FB3A70"/>
    <w:rsid w:val="00FB4F87"/>
    <w:rsid w:val="00FC2BC0"/>
    <w:rsid w:val="00FC7AEC"/>
    <w:rsid w:val="00FE1290"/>
    <w:rsid w:val="00FE3616"/>
    <w:rsid w:val="00FE394B"/>
    <w:rsid w:val="00FE5ADB"/>
    <w:rsid w:val="00FE75A9"/>
    <w:rsid w:val="00FF1498"/>
    <w:rsid w:val="00FF18A6"/>
    <w:rsid w:val="00FF31F0"/>
    <w:rsid w:val="00FF44FF"/>
    <w:rsid w:val="00FF4FDF"/>
    <w:rsid w:val="00FF639F"/>
    <w:rsid w:val="00FF6C51"/>
    <w:rsid w:val="00FF75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C7BFB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toa heading"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0" w:unhideWhenUsed="0" w:qFormat="1"/>
    <w:lsdException w:name="annotation subject" w:uiPriority="0"/>
    <w:lsdException w:name="Table List 1" w:uiPriority="0"/>
    <w:lsdException w:name="Table Subtle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04482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4482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66B1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D94068"/>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96326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1"/>
    <w:next w:val="Normal1"/>
    <w:link w:val="Heading6Char"/>
    <w:rsid w:val="00C73398"/>
    <w:pPr>
      <w:keepNext/>
      <w:keepLines/>
      <w:spacing w:before="200" w:after="40"/>
      <w:contextualSpacing/>
      <w:outlineLvl w:val="5"/>
    </w:pPr>
    <w:rPr>
      <w:rFonts w:ascii="Calibri" w:eastAsia="Calibri" w:hAnsi="Calibri" w:cs="Calibri"/>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0448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04482C"/>
    <w:rPr>
      <w:rFonts w:ascii="Tahoma" w:hAnsi="Tahoma" w:cs="Tahoma"/>
      <w:sz w:val="16"/>
      <w:szCs w:val="16"/>
    </w:rPr>
  </w:style>
  <w:style w:type="paragraph" w:customStyle="1" w:styleId="FreeForm">
    <w:name w:val="Free Form"/>
    <w:rsid w:val="0004482C"/>
    <w:pPr>
      <w:spacing w:after="0" w:line="240" w:lineRule="auto"/>
    </w:pPr>
    <w:rPr>
      <w:rFonts w:ascii="Times New Roman" w:eastAsia="ヒラギノ角ゴ Pro W3" w:hAnsi="Times New Roman" w:cs="Times New Roman"/>
      <w:color w:val="000000"/>
      <w:sz w:val="20"/>
      <w:szCs w:val="20"/>
    </w:rPr>
  </w:style>
  <w:style w:type="paragraph" w:customStyle="1" w:styleId="Heading1A">
    <w:name w:val="Heading 1 A"/>
    <w:next w:val="Normal"/>
    <w:rsid w:val="0004482C"/>
    <w:pPr>
      <w:keepNext/>
      <w:spacing w:before="240" w:after="60" w:line="240" w:lineRule="auto"/>
      <w:outlineLvl w:val="0"/>
    </w:pPr>
    <w:rPr>
      <w:rFonts w:ascii="Lucida Grande" w:eastAsia="ヒラギノ角ゴ Pro W3" w:hAnsi="Lucida Grande" w:cs="Times New Roman"/>
      <w:b/>
      <w:color w:val="000000"/>
      <w:kern w:val="32"/>
      <w:sz w:val="32"/>
      <w:szCs w:val="20"/>
    </w:rPr>
  </w:style>
  <w:style w:type="paragraph" w:customStyle="1" w:styleId="Heading2A">
    <w:name w:val="Heading 2 A"/>
    <w:next w:val="Normal"/>
    <w:rsid w:val="0004482C"/>
    <w:pPr>
      <w:keepNext/>
      <w:spacing w:after="0" w:line="240" w:lineRule="auto"/>
      <w:outlineLvl w:val="1"/>
    </w:pPr>
    <w:rPr>
      <w:rFonts w:ascii="Arial Bold" w:eastAsia="ヒラギノ角ゴ Pro W3" w:hAnsi="Arial Bold" w:cs="Times New Roman"/>
      <w:color w:val="000000"/>
      <w:sz w:val="36"/>
      <w:szCs w:val="20"/>
    </w:rPr>
  </w:style>
  <w:style w:type="paragraph" w:customStyle="1" w:styleId="PlainText1">
    <w:name w:val="Plain Text1"/>
    <w:rsid w:val="0004482C"/>
    <w:pPr>
      <w:spacing w:after="0" w:line="240" w:lineRule="auto"/>
    </w:pPr>
    <w:rPr>
      <w:rFonts w:ascii="Lucida Grande" w:eastAsia="ヒラギノ角ゴ Pro W3" w:hAnsi="Lucida Grande" w:cs="Times New Roman"/>
      <w:color w:val="000000"/>
      <w:sz w:val="20"/>
      <w:szCs w:val="20"/>
    </w:rPr>
  </w:style>
  <w:style w:type="paragraph" w:styleId="ListParagraph">
    <w:name w:val="List Paragraph"/>
    <w:uiPriority w:val="1"/>
    <w:qFormat/>
    <w:rsid w:val="0004482C"/>
    <w:pPr>
      <w:spacing w:after="0" w:line="240" w:lineRule="auto"/>
      <w:ind w:left="720"/>
    </w:pPr>
    <w:rPr>
      <w:rFonts w:ascii="Lucida Grande" w:eastAsia="ヒラギノ角ゴ Pro W3" w:hAnsi="Lucida Grande" w:cs="Times New Roman"/>
      <w:color w:val="000000"/>
      <w:szCs w:val="20"/>
    </w:rPr>
  </w:style>
  <w:style w:type="paragraph" w:styleId="NoSpacing">
    <w:name w:val="No Spacing"/>
    <w:uiPriority w:val="1"/>
    <w:qFormat/>
    <w:rsid w:val="0004482C"/>
    <w:pPr>
      <w:spacing w:after="0" w:line="240" w:lineRule="auto"/>
    </w:pPr>
  </w:style>
  <w:style w:type="character" w:customStyle="1" w:styleId="Heading1Char">
    <w:name w:val="Heading 1 Char"/>
    <w:basedOn w:val="DefaultParagraphFont"/>
    <w:link w:val="Heading1"/>
    <w:rsid w:val="0004482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4482C"/>
    <w:rPr>
      <w:rFonts w:asciiTheme="majorHAnsi" w:eastAsiaTheme="majorEastAsia" w:hAnsiTheme="majorHAnsi" w:cstheme="majorBidi"/>
      <w:b/>
      <w:bCs/>
      <w:color w:val="4F81BD" w:themeColor="accent1"/>
      <w:sz w:val="26"/>
      <w:szCs w:val="26"/>
    </w:rPr>
  </w:style>
  <w:style w:type="character" w:styleId="IntenseEmphasis">
    <w:name w:val="Intense Emphasis"/>
    <w:qFormat/>
    <w:rsid w:val="00866B12"/>
    <w:rPr>
      <w:rFonts w:ascii="Lucida Grande" w:eastAsia="ヒラギノ角ゴ Pro W3" w:hAnsi="Lucida Grande"/>
      <w:b/>
      <w:i w:val="0"/>
      <w:color w:val="3E6BB4"/>
      <w:sz w:val="20"/>
    </w:rPr>
  </w:style>
  <w:style w:type="character" w:customStyle="1" w:styleId="apple-converted-space">
    <w:name w:val="apple-converted-space"/>
    <w:rsid w:val="00866B12"/>
    <w:rPr>
      <w:color w:val="000000"/>
      <w:sz w:val="20"/>
    </w:rPr>
  </w:style>
  <w:style w:type="character" w:styleId="CommentReference">
    <w:name w:val="annotation reference"/>
    <w:uiPriority w:val="99"/>
    <w:rsid w:val="00866B12"/>
    <w:rPr>
      <w:sz w:val="16"/>
      <w:szCs w:val="16"/>
    </w:rPr>
  </w:style>
  <w:style w:type="paragraph" w:styleId="CommentText">
    <w:name w:val="annotation text"/>
    <w:basedOn w:val="Normal"/>
    <w:link w:val="CommentTextChar"/>
    <w:uiPriority w:val="99"/>
    <w:rsid w:val="00866B12"/>
    <w:pPr>
      <w:spacing w:after="0" w:line="240" w:lineRule="auto"/>
    </w:pPr>
    <w:rPr>
      <w:rFonts w:ascii="Lucida Grande" w:eastAsia="ヒラギノ角ゴ Pro W3" w:hAnsi="Lucida Grande" w:cs="Times New Roman"/>
      <w:color w:val="000000"/>
      <w:sz w:val="20"/>
      <w:szCs w:val="20"/>
    </w:rPr>
  </w:style>
  <w:style w:type="character" w:customStyle="1" w:styleId="CommentTextChar">
    <w:name w:val="Comment Text Char"/>
    <w:basedOn w:val="DefaultParagraphFont"/>
    <w:link w:val="CommentText"/>
    <w:uiPriority w:val="99"/>
    <w:rsid w:val="00866B12"/>
    <w:rPr>
      <w:rFonts w:ascii="Lucida Grande" w:eastAsia="ヒラギノ角ゴ Pro W3" w:hAnsi="Lucida Grande" w:cs="Times New Roman"/>
      <w:color w:val="000000"/>
      <w:sz w:val="20"/>
      <w:szCs w:val="20"/>
    </w:rPr>
  </w:style>
  <w:style w:type="character" w:customStyle="1" w:styleId="Heading3Char">
    <w:name w:val="Heading 3 Char"/>
    <w:basedOn w:val="DefaultParagraphFont"/>
    <w:link w:val="Heading3"/>
    <w:uiPriority w:val="9"/>
    <w:rsid w:val="00866B12"/>
    <w:rPr>
      <w:rFonts w:asciiTheme="majorHAnsi" w:eastAsiaTheme="majorEastAsia" w:hAnsiTheme="majorHAnsi" w:cstheme="majorBidi"/>
      <w:b/>
      <w:bCs/>
      <w:color w:val="4F81BD" w:themeColor="accent1"/>
    </w:rPr>
  </w:style>
  <w:style w:type="paragraph" w:styleId="EndnoteText">
    <w:name w:val="endnote text"/>
    <w:basedOn w:val="Normal"/>
    <w:link w:val="EndnoteTextChar"/>
    <w:uiPriority w:val="99"/>
    <w:unhideWhenUsed/>
    <w:rsid w:val="00FB0A8A"/>
    <w:pPr>
      <w:spacing w:after="0" w:line="240" w:lineRule="auto"/>
    </w:pPr>
    <w:rPr>
      <w:rFonts w:ascii="Calibri" w:eastAsia="Times New Roman" w:hAnsi="Calibri" w:cs="Times New Roman"/>
      <w:color w:val="000000"/>
      <w:sz w:val="20"/>
      <w:szCs w:val="20"/>
      <w:lang w:eastAsia="ja-JP"/>
    </w:rPr>
  </w:style>
  <w:style w:type="character" w:customStyle="1" w:styleId="EndnoteTextChar">
    <w:name w:val="Endnote Text Char"/>
    <w:basedOn w:val="DefaultParagraphFont"/>
    <w:link w:val="EndnoteText"/>
    <w:uiPriority w:val="99"/>
    <w:rsid w:val="00FB0A8A"/>
    <w:rPr>
      <w:rFonts w:ascii="Calibri" w:eastAsia="Times New Roman" w:hAnsi="Calibri" w:cs="Times New Roman"/>
      <w:color w:val="000000"/>
      <w:sz w:val="20"/>
      <w:szCs w:val="20"/>
      <w:lang w:eastAsia="ja-JP"/>
    </w:rPr>
  </w:style>
  <w:style w:type="character" w:styleId="EndnoteReference">
    <w:name w:val="endnote reference"/>
    <w:uiPriority w:val="99"/>
    <w:unhideWhenUsed/>
    <w:rsid w:val="00FB0A8A"/>
    <w:rPr>
      <w:vertAlign w:val="superscript"/>
    </w:rPr>
  </w:style>
  <w:style w:type="paragraph" w:styleId="Caption">
    <w:name w:val="caption"/>
    <w:basedOn w:val="Normal"/>
    <w:next w:val="Normal"/>
    <w:unhideWhenUsed/>
    <w:qFormat/>
    <w:rsid w:val="00FB0A8A"/>
    <w:pPr>
      <w:spacing w:line="240" w:lineRule="auto"/>
    </w:pPr>
    <w:rPr>
      <w:rFonts w:ascii="Calibri" w:eastAsia="Times New Roman" w:hAnsi="Calibri" w:cs="Times New Roman"/>
      <w:i/>
      <w:iCs/>
      <w:color w:val="1F497D"/>
      <w:sz w:val="18"/>
      <w:szCs w:val="18"/>
      <w:lang w:eastAsia="ja-JP"/>
    </w:rPr>
  </w:style>
  <w:style w:type="paragraph" w:styleId="Header">
    <w:name w:val="header"/>
    <w:basedOn w:val="Normal"/>
    <w:link w:val="HeaderChar"/>
    <w:unhideWhenUsed/>
    <w:rsid w:val="00D94068"/>
    <w:pPr>
      <w:tabs>
        <w:tab w:val="center" w:pos="4680"/>
        <w:tab w:val="right" w:pos="9360"/>
      </w:tabs>
      <w:spacing w:after="0" w:line="240" w:lineRule="auto"/>
    </w:pPr>
  </w:style>
  <w:style w:type="character" w:customStyle="1" w:styleId="HeaderChar">
    <w:name w:val="Header Char"/>
    <w:basedOn w:val="DefaultParagraphFont"/>
    <w:link w:val="Header"/>
    <w:rsid w:val="00D94068"/>
  </w:style>
  <w:style w:type="paragraph" w:styleId="Footer">
    <w:name w:val="footer"/>
    <w:basedOn w:val="Normal"/>
    <w:link w:val="FooterChar"/>
    <w:uiPriority w:val="99"/>
    <w:unhideWhenUsed/>
    <w:rsid w:val="00D940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4068"/>
  </w:style>
  <w:style w:type="character" w:customStyle="1" w:styleId="Heading4Char">
    <w:name w:val="Heading 4 Char"/>
    <w:basedOn w:val="DefaultParagraphFont"/>
    <w:link w:val="Heading4"/>
    <w:rsid w:val="00D94068"/>
    <w:rPr>
      <w:rFonts w:asciiTheme="majorHAnsi" w:eastAsiaTheme="majorEastAsia" w:hAnsiTheme="majorHAnsi" w:cstheme="majorBidi"/>
      <w:b/>
      <w:bCs/>
      <w:i/>
      <w:iCs/>
      <w:color w:val="4F81BD" w:themeColor="accent1"/>
    </w:rPr>
  </w:style>
  <w:style w:type="paragraph" w:styleId="FootnoteText">
    <w:name w:val="footnote text"/>
    <w:basedOn w:val="Normal"/>
    <w:link w:val="FootnoteTextChar"/>
    <w:uiPriority w:val="99"/>
    <w:unhideWhenUsed/>
    <w:rsid w:val="006A7414"/>
    <w:pPr>
      <w:spacing w:after="0" w:line="240" w:lineRule="auto"/>
    </w:pPr>
    <w:rPr>
      <w:sz w:val="20"/>
      <w:szCs w:val="20"/>
    </w:rPr>
  </w:style>
  <w:style w:type="character" w:customStyle="1" w:styleId="FootnoteTextChar">
    <w:name w:val="Footnote Text Char"/>
    <w:basedOn w:val="DefaultParagraphFont"/>
    <w:link w:val="FootnoteText"/>
    <w:uiPriority w:val="99"/>
    <w:rsid w:val="006A7414"/>
    <w:rPr>
      <w:sz w:val="20"/>
      <w:szCs w:val="20"/>
    </w:rPr>
  </w:style>
  <w:style w:type="character" w:styleId="FootnoteReference">
    <w:name w:val="footnote reference"/>
    <w:basedOn w:val="DefaultParagraphFont"/>
    <w:uiPriority w:val="99"/>
    <w:unhideWhenUsed/>
    <w:rsid w:val="006A7414"/>
    <w:rPr>
      <w:vertAlign w:val="superscript"/>
    </w:rPr>
  </w:style>
  <w:style w:type="paragraph" w:styleId="Bibliography">
    <w:name w:val="Bibliography"/>
    <w:basedOn w:val="Normal"/>
    <w:next w:val="Normal"/>
    <w:uiPriority w:val="37"/>
    <w:unhideWhenUsed/>
    <w:rsid w:val="001A1E04"/>
  </w:style>
  <w:style w:type="character" w:styleId="Hyperlink">
    <w:name w:val="Hyperlink"/>
    <w:basedOn w:val="DefaultParagraphFont"/>
    <w:uiPriority w:val="99"/>
    <w:unhideWhenUsed/>
    <w:rsid w:val="001A1E04"/>
    <w:rPr>
      <w:color w:val="0000FF" w:themeColor="hyperlink"/>
      <w:u w:val="single"/>
    </w:rPr>
  </w:style>
  <w:style w:type="paragraph" w:customStyle="1" w:styleId="FreeFormA">
    <w:name w:val="Free Form A"/>
    <w:rsid w:val="001A1E04"/>
    <w:pPr>
      <w:spacing w:after="0" w:line="240" w:lineRule="auto"/>
    </w:pPr>
    <w:rPr>
      <w:rFonts w:ascii="Lucida Grande" w:eastAsia="ヒラギノ角ゴ Pro W3" w:hAnsi="Lucida Grande" w:cs="Times New Roman"/>
      <w:color w:val="000000"/>
      <w:sz w:val="20"/>
      <w:szCs w:val="20"/>
    </w:rPr>
  </w:style>
  <w:style w:type="table" w:styleId="MediumGrid1-Accent1">
    <w:name w:val="Medium Grid 1 Accent 1"/>
    <w:basedOn w:val="TableNormal"/>
    <w:uiPriority w:val="67"/>
    <w:rsid w:val="001C614D"/>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NormalWeb2">
    <w:name w:val="Normal (Web)2"/>
    <w:rsid w:val="00A816E3"/>
    <w:pPr>
      <w:spacing w:before="100" w:after="100" w:line="240" w:lineRule="auto"/>
    </w:pPr>
    <w:rPr>
      <w:rFonts w:ascii="Times New Roman" w:eastAsia="ヒラギノ角ゴ Pro W3" w:hAnsi="Times New Roman" w:cs="Times New Roman"/>
      <w:color w:val="000000"/>
      <w:sz w:val="24"/>
      <w:szCs w:val="20"/>
    </w:rPr>
  </w:style>
  <w:style w:type="character" w:styleId="Emphasis">
    <w:name w:val="Emphasis"/>
    <w:qFormat/>
    <w:rsid w:val="00A816E3"/>
    <w:rPr>
      <w:i/>
      <w:iCs/>
    </w:rPr>
  </w:style>
  <w:style w:type="character" w:customStyle="1" w:styleId="Hyperlink2">
    <w:name w:val="Hyperlink2"/>
    <w:rsid w:val="00A816E3"/>
    <w:rPr>
      <w:color w:val="0000FF"/>
      <w:sz w:val="20"/>
      <w:u w:val="single"/>
    </w:rPr>
  </w:style>
  <w:style w:type="table" w:styleId="MediumGrid2-Accent1">
    <w:name w:val="Medium Grid 2 Accent 1"/>
    <w:basedOn w:val="TableNormal"/>
    <w:uiPriority w:val="68"/>
    <w:rsid w:val="00A816E3"/>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ableList1">
    <w:name w:val="Table List 1"/>
    <w:basedOn w:val="TableNormal"/>
    <w:rsid w:val="0074457B"/>
    <w:pPr>
      <w:spacing w:after="0" w:line="240" w:lineRule="auto"/>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List42">
    <w:name w:val="List 42"/>
    <w:rsid w:val="0074457B"/>
    <w:pPr>
      <w:numPr>
        <w:numId w:val="83"/>
      </w:numPr>
    </w:pPr>
  </w:style>
  <w:style w:type="paragraph" w:customStyle="1" w:styleId="CommentText1">
    <w:name w:val="Comment Text1"/>
    <w:rsid w:val="0074457B"/>
    <w:pPr>
      <w:spacing w:after="0" w:line="240" w:lineRule="auto"/>
    </w:pPr>
    <w:rPr>
      <w:rFonts w:ascii="Lucida Grande" w:eastAsia="ヒラギノ角ゴ Pro W3" w:hAnsi="Lucida Grande" w:cs="Times New Roman"/>
      <w:color w:val="000000"/>
      <w:sz w:val="20"/>
      <w:szCs w:val="20"/>
    </w:rPr>
  </w:style>
  <w:style w:type="character" w:customStyle="1" w:styleId="FootnoteReference2">
    <w:name w:val="Footnote Reference2"/>
    <w:rsid w:val="009523C7"/>
    <w:rPr>
      <w:color w:val="000000"/>
      <w:sz w:val="20"/>
    </w:rPr>
  </w:style>
  <w:style w:type="paragraph" w:customStyle="1" w:styleId="FootnoteTextA">
    <w:name w:val="Footnote Text A"/>
    <w:rsid w:val="009523C7"/>
    <w:pPr>
      <w:spacing w:after="0" w:line="240" w:lineRule="auto"/>
    </w:pPr>
    <w:rPr>
      <w:rFonts w:ascii="Lucida Grande" w:eastAsia="ヒラギノ角ゴ Pro W3" w:hAnsi="Lucida Grande" w:cs="Times New Roman"/>
      <w:color w:val="000000"/>
      <w:sz w:val="20"/>
      <w:szCs w:val="20"/>
    </w:rPr>
  </w:style>
  <w:style w:type="character" w:customStyle="1" w:styleId="FootnoteReference1">
    <w:name w:val="Footnote Reference1"/>
    <w:rsid w:val="009523C7"/>
    <w:rPr>
      <w:color w:val="000000"/>
      <w:sz w:val="20"/>
      <w:vertAlign w:val="superscript"/>
    </w:rPr>
  </w:style>
  <w:style w:type="paragraph" w:customStyle="1" w:styleId="Footer1">
    <w:name w:val="Footer1"/>
    <w:rsid w:val="007A1FDC"/>
    <w:pPr>
      <w:widowControl w:val="0"/>
      <w:tabs>
        <w:tab w:val="center" w:pos="4320"/>
        <w:tab w:val="right" w:pos="8640"/>
      </w:tabs>
      <w:spacing w:after="0" w:line="240" w:lineRule="auto"/>
    </w:pPr>
    <w:rPr>
      <w:rFonts w:ascii="Arial" w:eastAsia="ヒラギノ角ゴ Pro W3" w:hAnsi="Arial" w:cs="Times New Roman"/>
      <w:color w:val="000000"/>
      <w:sz w:val="24"/>
      <w:szCs w:val="20"/>
    </w:rPr>
  </w:style>
  <w:style w:type="paragraph" w:customStyle="1" w:styleId="Heading3A">
    <w:name w:val="Heading 3 A"/>
    <w:rsid w:val="007A1FDC"/>
    <w:pPr>
      <w:spacing w:before="100" w:after="100" w:line="240" w:lineRule="auto"/>
      <w:outlineLvl w:val="2"/>
    </w:pPr>
    <w:rPr>
      <w:rFonts w:ascii="Times New Roman Bold" w:eastAsia="ヒラギノ角ゴ Pro W3" w:hAnsi="Times New Roman Bold" w:cs="Times New Roman"/>
      <w:color w:val="000000"/>
      <w:sz w:val="27"/>
      <w:szCs w:val="20"/>
    </w:rPr>
  </w:style>
  <w:style w:type="paragraph" w:customStyle="1" w:styleId="BodyA">
    <w:name w:val="Body A"/>
    <w:rsid w:val="007A1FDC"/>
    <w:pPr>
      <w:spacing w:after="0" w:line="240" w:lineRule="auto"/>
    </w:pPr>
    <w:rPr>
      <w:rFonts w:ascii="Helvetica" w:eastAsia="ヒラギノ角ゴ Pro W3" w:hAnsi="Helvetica" w:cs="Times New Roman"/>
      <w:color w:val="000000"/>
      <w:sz w:val="24"/>
      <w:szCs w:val="20"/>
    </w:rPr>
  </w:style>
  <w:style w:type="character" w:customStyle="1" w:styleId="Unknown0">
    <w:name w:val="Unknown 0"/>
    <w:basedOn w:val="DefaultParagraphFont"/>
    <w:semiHidden/>
    <w:rsid w:val="007A1FDC"/>
  </w:style>
  <w:style w:type="character" w:customStyle="1" w:styleId="Hyperlink1">
    <w:name w:val="Hyperlink1"/>
    <w:rsid w:val="007A1FDC"/>
    <w:rPr>
      <w:color w:val="0000FF"/>
      <w:sz w:val="20"/>
      <w:u w:val="single"/>
    </w:rPr>
  </w:style>
  <w:style w:type="numbering" w:customStyle="1" w:styleId="List103">
    <w:name w:val="List 103"/>
    <w:rsid w:val="007A1FDC"/>
    <w:pPr>
      <w:numPr>
        <w:numId w:val="129"/>
      </w:numPr>
    </w:pPr>
  </w:style>
  <w:style w:type="paragraph" w:customStyle="1" w:styleId="Heading4A">
    <w:name w:val="Heading 4 A"/>
    <w:next w:val="Normal"/>
    <w:rsid w:val="007A1FDC"/>
    <w:pPr>
      <w:keepNext/>
      <w:spacing w:before="240" w:after="60" w:line="240" w:lineRule="auto"/>
      <w:outlineLvl w:val="3"/>
    </w:pPr>
    <w:rPr>
      <w:rFonts w:ascii="Lucida Grande" w:eastAsia="ヒラギノ角ゴ Pro W3" w:hAnsi="Lucida Grande" w:cs="Times New Roman"/>
      <w:b/>
      <w:color w:val="000000"/>
      <w:sz w:val="28"/>
      <w:szCs w:val="20"/>
    </w:rPr>
  </w:style>
  <w:style w:type="paragraph" w:customStyle="1" w:styleId="BodyText21">
    <w:name w:val="Body Text 21"/>
    <w:rsid w:val="007A1FDC"/>
    <w:pPr>
      <w:spacing w:after="120" w:line="480" w:lineRule="auto"/>
    </w:pPr>
    <w:rPr>
      <w:rFonts w:ascii="Lucida Grande" w:eastAsia="ヒラギノ角ゴ Pro W3" w:hAnsi="Lucida Grande" w:cs="Times New Roman"/>
      <w:color w:val="000000"/>
      <w:szCs w:val="20"/>
    </w:rPr>
  </w:style>
  <w:style w:type="character" w:customStyle="1" w:styleId="s">
    <w:name w:val="s"/>
    <w:rsid w:val="007A1FDC"/>
    <w:rPr>
      <w:color w:val="000000"/>
      <w:sz w:val="20"/>
    </w:rPr>
  </w:style>
  <w:style w:type="paragraph" w:customStyle="1" w:styleId="BodyText1">
    <w:name w:val="Body Text1"/>
    <w:rsid w:val="007A1FDC"/>
    <w:pPr>
      <w:widowControl w:val="0"/>
      <w:spacing w:after="0" w:line="240" w:lineRule="auto"/>
      <w:ind w:left="840"/>
    </w:pPr>
    <w:rPr>
      <w:rFonts w:ascii="Verdana" w:eastAsia="ヒラギノ角ゴ Pro W3" w:hAnsi="Verdana" w:cs="Times New Roman"/>
      <w:color w:val="000000"/>
      <w:sz w:val="20"/>
      <w:szCs w:val="20"/>
    </w:rPr>
  </w:style>
  <w:style w:type="paragraph" w:customStyle="1" w:styleId="Header1">
    <w:name w:val="Header1"/>
    <w:rsid w:val="007A1FDC"/>
    <w:pPr>
      <w:tabs>
        <w:tab w:val="center" w:pos="4680"/>
        <w:tab w:val="right" w:pos="9360"/>
      </w:tabs>
      <w:spacing w:after="0" w:line="240" w:lineRule="auto"/>
    </w:pPr>
    <w:rPr>
      <w:rFonts w:ascii="Lucida Grande" w:eastAsia="ヒラギノ角ゴ Pro W3" w:hAnsi="Lucida Grande" w:cs="Times New Roman"/>
      <w:color w:val="000000"/>
      <w:szCs w:val="20"/>
    </w:rPr>
  </w:style>
  <w:style w:type="paragraph" w:customStyle="1" w:styleId="NormalWeb1">
    <w:name w:val="Normal (Web)1"/>
    <w:rsid w:val="007A1FDC"/>
    <w:pPr>
      <w:spacing w:after="0" w:line="240" w:lineRule="auto"/>
    </w:pPr>
    <w:rPr>
      <w:rFonts w:ascii="Times New Roman" w:eastAsia="ヒラギノ角ゴ Pro W3" w:hAnsi="Times New Roman" w:cs="Times New Roman"/>
      <w:color w:val="000000"/>
      <w:sz w:val="24"/>
      <w:szCs w:val="20"/>
    </w:rPr>
  </w:style>
  <w:style w:type="paragraph" w:customStyle="1" w:styleId="Normal1">
    <w:name w:val="Normal1"/>
    <w:rsid w:val="007A1FDC"/>
    <w:pPr>
      <w:spacing w:after="0" w:line="240" w:lineRule="auto"/>
    </w:pPr>
    <w:rPr>
      <w:rFonts w:ascii="Lucida Grande" w:eastAsia="ヒラギノ角ゴ Pro W3" w:hAnsi="Lucida Grande" w:cs="Times New Roman"/>
      <w:color w:val="000000"/>
      <w:szCs w:val="20"/>
    </w:rPr>
  </w:style>
  <w:style w:type="paragraph" w:customStyle="1" w:styleId="TitleA">
    <w:name w:val="Title A"/>
    <w:rsid w:val="007A1FDC"/>
    <w:pPr>
      <w:widowControl w:val="0"/>
      <w:spacing w:after="0" w:line="240" w:lineRule="auto"/>
      <w:jc w:val="center"/>
    </w:pPr>
    <w:rPr>
      <w:rFonts w:ascii="Times New Roman Bold" w:eastAsia="ヒラギノ角ゴ Pro W3" w:hAnsi="Times New Roman Bold" w:cs="Times New Roman"/>
      <w:color w:val="000000"/>
      <w:sz w:val="24"/>
      <w:szCs w:val="20"/>
    </w:rPr>
  </w:style>
  <w:style w:type="character" w:customStyle="1" w:styleId="Heading3Char1">
    <w:name w:val="Heading 3 Char1"/>
    <w:semiHidden/>
    <w:rsid w:val="007A1FDC"/>
    <w:rPr>
      <w:rFonts w:ascii="Cambria" w:eastAsia="Times New Roman" w:hAnsi="Cambria" w:cs="Times New Roman"/>
      <w:b/>
      <w:bCs/>
      <w:color w:val="000000"/>
      <w:sz w:val="26"/>
      <w:szCs w:val="26"/>
    </w:rPr>
  </w:style>
  <w:style w:type="table" w:styleId="LightShading-Accent1">
    <w:name w:val="Light Shading Accent 1"/>
    <w:basedOn w:val="TableNormal"/>
    <w:uiPriority w:val="60"/>
    <w:rsid w:val="007A1FDC"/>
    <w:pPr>
      <w:spacing w:after="0" w:line="240" w:lineRule="auto"/>
    </w:pPr>
    <w:rPr>
      <w:rFonts w:ascii="Calibri" w:eastAsia="Times New Roman" w:hAnsi="Calibri" w:cs="Times New Roman"/>
      <w:color w:val="365F91"/>
      <w:sz w:val="20"/>
      <w:szCs w:val="20"/>
      <w:lang w:eastAsia="ja-JP"/>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itle">
    <w:name w:val="Title"/>
    <w:basedOn w:val="Normal"/>
    <w:next w:val="Normal"/>
    <w:link w:val="TitleChar"/>
    <w:qFormat/>
    <w:rsid w:val="007A1FDC"/>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rsid w:val="007A1FDC"/>
    <w:rPr>
      <w:rFonts w:ascii="Cambria" w:eastAsia="Times New Roman" w:hAnsi="Cambria" w:cs="Times New Roman"/>
      <w:color w:val="17365D"/>
      <w:spacing w:val="5"/>
      <w:kern w:val="28"/>
      <w:sz w:val="52"/>
      <w:szCs w:val="52"/>
    </w:rPr>
  </w:style>
  <w:style w:type="table" w:styleId="LightList-Accent1">
    <w:name w:val="Light List Accent 1"/>
    <w:basedOn w:val="TableNormal"/>
    <w:uiPriority w:val="61"/>
    <w:rsid w:val="007A1FDC"/>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CommentSubject">
    <w:name w:val="annotation subject"/>
    <w:basedOn w:val="CommentText"/>
    <w:next w:val="CommentText"/>
    <w:link w:val="CommentSubjectChar"/>
    <w:rsid w:val="007A1FDC"/>
    <w:rPr>
      <w:b/>
      <w:bCs/>
    </w:rPr>
  </w:style>
  <w:style w:type="character" w:customStyle="1" w:styleId="CommentSubjectChar">
    <w:name w:val="Comment Subject Char"/>
    <w:basedOn w:val="CommentTextChar"/>
    <w:link w:val="CommentSubject"/>
    <w:rsid w:val="007A1FDC"/>
    <w:rPr>
      <w:rFonts w:ascii="Lucida Grande" w:eastAsia="ヒラギノ角ゴ Pro W3" w:hAnsi="Lucida Grande" w:cs="Times New Roman"/>
      <w:b/>
      <w:bCs/>
      <w:color w:val="000000"/>
      <w:sz w:val="20"/>
      <w:szCs w:val="20"/>
    </w:rPr>
  </w:style>
  <w:style w:type="table" w:styleId="TableGrid">
    <w:name w:val="Table Grid"/>
    <w:basedOn w:val="TableNormal"/>
    <w:uiPriority w:val="59"/>
    <w:rsid w:val="007A1FD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A1FDC"/>
    <w:pPr>
      <w:spacing w:after="0" w:line="240" w:lineRule="auto"/>
    </w:pPr>
    <w:rPr>
      <w:rFonts w:ascii="Lucida Grande" w:eastAsia="ヒラギノ角ゴ Pro W3" w:hAnsi="Lucida Grande" w:cs="Times New Roman"/>
      <w:color w:val="000000"/>
      <w:szCs w:val="24"/>
    </w:rPr>
  </w:style>
  <w:style w:type="table" w:styleId="LightGrid-Accent1">
    <w:name w:val="Light Grid Accent 1"/>
    <w:basedOn w:val="TableNormal"/>
    <w:uiPriority w:val="62"/>
    <w:rsid w:val="007A1FDC"/>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Heading5Char">
    <w:name w:val="Heading 5 Char"/>
    <w:basedOn w:val="DefaultParagraphFont"/>
    <w:link w:val="Heading5"/>
    <w:uiPriority w:val="9"/>
    <w:rsid w:val="0096326A"/>
    <w:rPr>
      <w:rFonts w:asciiTheme="majorHAnsi" w:eastAsiaTheme="majorEastAsia" w:hAnsiTheme="majorHAnsi" w:cstheme="majorBidi"/>
      <w:color w:val="243F60" w:themeColor="accent1" w:themeShade="7F"/>
    </w:rPr>
  </w:style>
  <w:style w:type="paragraph" w:styleId="TOC1">
    <w:name w:val="toc 1"/>
    <w:basedOn w:val="Normal"/>
    <w:next w:val="Normal"/>
    <w:autoRedefine/>
    <w:uiPriority w:val="39"/>
    <w:unhideWhenUsed/>
    <w:rsid w:val="000104B8"/>
    <w:pPr>
      <w:spacing w:after="100"/>
    </w:pPr>
  </w:style>
  <w:style w:type="paragraph" w:styleId="TOC2">
    <w:name w:val="toc 2"/>
    <w:basedOn w:val="Normal"/>
    <w:next w:val="Normal"/>
    <w:autoRedefine/>
    <w:uiPriority w:val="39"/>
    <w:unhideWhenUsed/>
    <w:rsid w:val="000104B8"/>
    <w:pPr>
      <w:spacing w:after="100"/>
      <w:ind w:left="220"/>
    </w:pPr>
  </w:style>
  <w:style w:type="paragraph" w:styleId="TOC3">
    <w:name w:val="toc 3"/>
    <w:basedOn w:val="Normal"/>
    <w:next w:val="Normal"/>
    <w:autoRedefine/>
    <w:uiPriority w:val="39"/>
    <w:unhideWhenUsed/>
    <w:rsid w:val="000104B8"/>
    <w:pPr>
      <w:spacing w:after="100"/>
      <w:ind w:left="440"/>
    </w:pPr>
  </w:style>
  <w:style w:type="paragraph" w:styleId="TOC4">
    <w:name w:val="toc 4"/>
    <w:basedOn w:val="Normal"/>
    <w:next w:val="Normal"/>
    <w:autoRedefine/>
    <w:uiPriority w:val="39"/>
    <w:unhideWhenUsed/>
    <w:rsid w:val="000104B8"/>
    <w:pPr>
      <w:spacing w:after="100"/>
      <w:ind w:left="660"/>
    </w:pPr>
    <w:rPr>
      <w:rFonts w:eastAsiaTheme="minorEastAsia"/>
    </w:rPr>
  </w:style>
  <w:style w:type="paragraph" w:styleId="TOC5">
    <w:name w:val="toc 5"/>
    <w:basedOn w:val="Normal"/>
    <w:next w:val="Normal"/>
    <w:autoRedefine/>
    <w:uiPriority w:val="39"/>
    <w:unhideWhenUsed/>
    <w:rsid w:val="000104B8"/>
    <w:pPr>
      <w:spacing w:after="100"/>
      <w:ind w:left="880"/>
    </w:pPr>
    <w:rPr>
      <w:rFonts w:eastAsiaTheme="minorEastAsia"/>
    </w:rPr>
  </w:style>
  <w:style w:type="paragraph" w:styleId="TOC6">
    <w:name w:val="toc 6"/>
    <w:basedOn w:val="Normal"/>
    <w:next w:val="Normal"/>
    <w:autoRedefine/>
    <w:uiPriority w:val="39"/>
    <w:unhideWhenUsed/>
    <w:rsid w:val="000104B8"/>
    <w:pPr>
      <w:spacing w:after="100"/>
      <w:ind w:left="1100"/>
    </w:pPr>
    <w:rPr>
      <w:rFonts w:eastAsiaTheme="minorEastAsia"/>
    </w:rPr>
  </w:style>
  <w:style w:type="paragraph" w:styleId="TOC7">
    <w:name w:val="toc 7"/>
    <w:basedOn w:val="Normal"/>
    <w:next w:val="Normal"/>
    <w:autoRedefine/>
    <w:uiPriority w:val="39"/>
    <w:unhideWhenUsed/>
    <w:rsid w:val="000104B8"/>
    <w:pPr>
      <w:spacing w:after="100"/>
      <w:ind w:left="1320"/>
    </w:pPr>
    <w:rPr>
      <w:rFonts w:eastAsiaTheme="minorEastAsia"/>
    </w:rPr>
  </w:style>
  <w:style w:type="paragraph" w:styleId="TOC8">
    <w:name w:val="toc 8"/>
    <w:basedOn w:val="Normal"/>
    <w:next w:val="Normal"/>
    <w:autoRedefine/>
    <w:uiPriority w:val="39"/>
    <w:unhideWhenUsed/>
    <w:rsid w:val="000104B8"/>
    <w:pPr>
      <w:spacing w:after="100"/>
      <w:ind w:left="1540"/>
    </w:pPr>
    <w:rPr>
      <w:rFonts w:eastAsiaTheme="minorEastAsia"/>
    </w:rPr>
  </w:style>
  <w:style w:type="paragraph" w:styleId="TOC9">
    <w:name w:val="toc 9"/>
    <w:basedOn w:val="Normal"/>
    <w:next w:val="Normal"/>
    <w:autoRedefine/>
    <w:uiPriority w:val="39"/>
    <w:unhideWhenUsed/>
    <w:rsid w:val="000104B8"/>
    <w:pPr>
      <w:spacing w:after="100"/>
      <w:ind w:left="1760"/>
    </w:pPr>
    <w:rPr>
      <w:rFonts w:eastAsiaTheme="minorEastAsia"/>
    </w:rPr>
  </w:style>
  <w:style w:type="character" w:customStyle="1" w:styleId="Heading6Char">
    <w:name w:val="Heading 6 Char"/>
    <w:basedOn w:val="DefaultParagraphFont"/>
    <w:link w:val="Heading6"/>
    <w:rsid w:val="00C73398"/>
    <w:rPr>
      <w:rFonts w:ascii="Calibri" w:eastAsia="Calibri" w:hAnsi="Calibri" w:cs="Calibri"/>
      <w:b/>
      <w:color w:val="000000"/>
      <w:sz w:val="20"/>
      <w:szCs w:val="20"/>
    </w:rPr>
  </w:style>
  <w:style w:type="paragraph" w:styleId="Subtitle">
    <w:name w:val="Subtitle"/>
    <w:basedOn w:val="Normal1"/>
    <w:next w:val="Normal1"/>
    <w:link w:val="SubtitleChar"/>
    <w:rsid w:val="00C73398"/>
    <w:pPr>
      <w:keepNext/>
      <w:keepLines/>
      <w:spacing w:before="360" w:after="80"/>
      <w:contextualSpacing/>
    </w:pPr>
    <w:rPr>
      <w:rFonts w:ascii="Georgia" w:eastAsia="Georgia" w:hAnsi="Georgia" w:cs="Georgia"/>
      <w:i/>
      <w:color w:val="666666"/>
      <w:sz w:val="48"/>
      <w:szCs w:val="48"/>
    </w:rPr>
  </w:style>
  <w:style w:type="character" w:customStyle="1" w:styleId="SubtitleChar">
    <w:name w:val="Subtitle Char"/>
    <w:basedOn w:val="DefaultParagraphFont"/>
    <w:link w:val="Subtitle"/>
    <w:rsid w:val="00C73398"/>
    <w:rPr>
      <w:rFonts w:ascii="Georgia" w:eastAsia="Georgia" w:hAnsi="Georgia" w:cs="Georgia"/>
      <w:i/>
      <w:color w:val="666666"/>
      <w:sz w:val="48"/>
      <w:szCs w:val="48"/>
    </w:rPr>
  </w:style>
  <w:style w:type="paragraph" w:styleId="BodyTextIndent2">
    <w:name w:val="Body Text Indent 2"/>
    <w:basedOn w:val="Normal"/>
    <w:link w:val="BodyTextIndent2Char"/>
    <w:semiHidden/>
    <w:rsid w:val="00C73398"/>
    <w:pPr>
      <w:widowControl w:val="0"/>
      <w:spacing w:after="0" w:line="240" w:lineRule="auto"/>
      <w:ind w:left="1440" w:hanging="180"/>
    </w:pPr>
    <w:rPr>
      <w:rFonts w:ascii="Times New Roman" w:eastAsia="Times New Roman" w:hAnsi="Times New Roman" w:cs="Times New Roman"/>
      <w:snapToGrid w:val="0"/>
      <w:sz w:val="24"/>
      <w:szCs w:val="20"/>
    </w:rPr>
  </w:style>
  <w:style w:type="character" w:customStyle="1" w:styleId="BodyTextIndent2Char">
    <w:name w:val="Body Text Indent 2 Char"/>
    <w:basedOn w:val="DefaultParagraphFont"/>
    <w:link w:val="BodyTextIndent2"/>
    <w:semiHidden/>
    <w:rsid w:val="00C73398"/>
    <w:rPr>
      <w:rFonts w:ascii="Times New Roman" w:eastAsia="Times New Roman" w:hAnsi="Times New Roman" w:cs="Times New Roman"/>
      <w:snapToGrid w:val="0"/>
      <w:sz w:val="24"/>
      <w:szCs w:val="20"/>
    </w:rPr>
  </w:style>
  <w:style w:type="paragraph" w:styleId="BodyTextIndent3">
    <w:name w:val="Body Text Indent 3"/>
    <w:basedOn w:val="Normal"/>
    <w:link w:val="BodyTextIndent3Char"/>
    <w:semiHidden/>
    <w:rsid w:val="00C73398"/>
    <w:pPr>
      <w:widowControl w:val="0"/>
      <w:spacing w:after="0" w:line="240" w:lineRule="auto"/>
      <w:ind w:left="720"/>
    </w:pPr>
    <w:rPr>
      <w:rFonts w:ascii="Times New Roman" w:eastAsia="Times New Roman" w:hAnsi="Times New Roman" w:cs="Times New Roman"/>
      <w:snapToGrid w:val="0"/>
      <w:sz w:val="24"/>
      <w:szCs w:val="20"/>
    </w:rPr>
  </w:style>
  <w:style w:type="character" w:customStyle="1" w:styleId="BodyTextIndent3Char">
    <w:name w:val="Body Text Indent 3 Char"/>
    <w:basedOn w:val="DefaultParagraphFont"/>
    <w:link w:val="BodyTextIndent3"/>
    <w:semiHidden/>
    <w:rsid w:val="00C73398"/>
    <w:rPr>
      <w:rFonts w:ascii="Times New Roman" w:eastAsia="Times New Roman" w:hAnsi="Times New Roman" w:cs="Times New Roman"/>
      <w:snapToGrid w:val="0"/>
      <w:sz w:val="24"/>
      <w:szCs w:val="20"/>
    </w:rPr>
  </w:style>
  <w:style w:type="paragraph" w:styleId="NormalWeb">
    <w:name w:val="Normal (Web)"/>
    <w:basedOn w:val="Normal"/>
    <w:uiPriority w:val="99"/>
    <w:rsid w:val="00C7339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C73398"/>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TxBrp2">
    <w:name w:val="TxBr_p2"/>
    <w:basedOn w:val="Normal"/>
    <w:rsid w:val="00C73398"/>
    <w:pPr>
      <w:widowControl w:val="0"/>
      <w:tabs>
        <w:tab w:val="left" w:pos="266"/>
      </w:tabs>
      <w:spacing w:after="0" w:line="209" w:lineRule="atLeast"/>
      <w:ind w:left="539"/>
      <w:jc w:val="both"/>
    </w:pPr>
    <w:rPr>
      <w:rFonts w:ascii="Times New Roman" w:eastAsia="Times New Roman" w:hAnsi="Times New Roman" w:cs="Times New Roman"/>
      <w:snapToGrid w:val="0"/>
      <w:sz w:val="24"/>
      <w:szCs w:val="20"/>
    </w:rPr>
  </w:style>
  <w:style w:type="paragraph" w:styleId="BodyTextIndent">
    <w:name w:val="Body Text Indent"/>
    <w:basedOn w:val="Normal"/>
    <w:link w:val="BodyTextIndentChar"/>
    <w:semiHidden/>
    <w:unhideWhenUsed/>
    <w:rsid w:val="00C73398"/>
    <w:pPr>
      <w:spacing w:after="120" w:line="240" w:lineRule="auto"/>
      <w:ind w:left="360"/>
    </w:pPr>
    <w:rPr>
      <w:rFonts w:ascii="Calibri" w:eastAsia="Calibri" w:hAnsi="Calibri" w:cs="Calibri"/>
      <w:color w:val="000000"/>
    </w:rPr>
  </w:style>
  <w:style w:type="character" w:customStyle="1" w:styleId="BodyTextIndentChar">
    <w:name w:val="Body Text Indent Char"/>
    <w:basedOn w:val="DefaultParagraphFont"/>
    <w:link w:val="BodyTextIndent"/>
    <w:semiHidden/>
    <w:rsid w:val="00C73398"/>
    <w:rPr>
      <w:rFonts w:ascii="Calibri" w:eastAsia="Calibri" w:hAnsi="Calibri" w:cs="Calibri"/>
      <w:color w:val="000000"/>
    </w:rPr>
  </w:style>
  <w:style w:type="paragraph" w:styleId="BodyText">
    <w:name w:val="Body Text"/>
    <w:basedOn w:val="Normal"/>
    <w:link w:val="BodyTextChar"/>
    <w:uiPriority w:val="1"/>
    <w:unhideWhenUsed/>
    <w:qFormat/>
    <w:rsid w:val="00C73398"/>
    <w:pPr>
      <w:spacing w:after="120" w:line="240" w:lineRule="auto"/>
    </w:pPr>
    <w:rPr>
      <w:rFonts w:ascii="Calibri" w:eastAsia="Calibri" w:hAnsi="Calibri" w:cs="Calibri"/>
      <w:color w:val="000000"/>
    </w:rPr>
  </w:style>
  <w:style w:type="character" w:customStyle="1" w:styleId="BodyTextChar">
    <w:name w:val="Body Text Char"/>
    <w:basedOn w:val="DefaultParagraphFont"/>
    <w:link w:val="BodyText"/>
    <w:uiPriority w:val="1"/>
    <w:rsid w:val="00C73398"/>
    <w:rPr>
      <w:rFonts w:ascii="Calibri" w:eastAsia="Calibri" w:hAnsi="Calibri" w:cs="Calibri"/>
      <w:color w:val="000000"/>
    </w:rPr>
  </w:style>
  <w:style w:type="paragraph" w:styleId="BodyText2">
    <w:name w:val="Body Text 2"/>
    <w:basedOn w:val="Normal"/>
    <w:link w:val="BodyText2Char"/>
    <w:uiPriority w:val="99"/>
    <w:unhideWhenUsed/>
    <w:rsid w:val="00C73398"/>
    <w:pPr>
      <w:spacing w:after="120" w:line="480" w:lineRule="auto"/>
    </w:pPr>
    <w:rPr>
      <w:rFonts w:ascii="Calibri" w:eastAsia="Calibri" w:hAnsi="Calibri" w:cs="Calibri"/>
      <w:color w:val="000000"/>
    </w:rPr>
  </w:style>
  <w:style w:type="character" w:customStyle="1" w:styleId="BodyText2Char">
    <w:name w:val="Body Text 2 Char"/>
    <w:basedOn w:val="DefaultParagraphFont"/>
    <w:link w:val="BodyText2"/>
    <w:uiPriority w:val="99"/>
    <w:rsid w:val="00C73398"/>
    <w:rPr>
      <w:rFonts w:ascii="Calibri" w:eastAsia="Calibri" w:hAnsi="Calibri" w:cs="Calibri"/>
      <w:color w:val="000000"/>
    </w:rPr>
  </w:style>
  <w:style w:type="paragraph" w:styleId="BodyText3">
    <w:name w:val="Body Text 3"/>
    <w:basedOn w:val="Normal"/>
    <w:link w:val="BodyText3Char"/>
    <w:unhideWhenUsed/>
    <w:rsid w:val="00C73398"/>
    <w:pPr>
      <w:spacing w:after="120" w:line="240" w:lineRule="auto"/>
    </w:pPr>
    <w:rPr>
      <w:rFonts w:ascii="Calibri" w:eastAsia="Calibri" w:hAnsi="Calibri" w:cs="Calibri"/>
      <w:color w:val="000000"/>
      <w:sz w:val="16"/>
      <w:szCs w:val="16"/>
    </w:rPr>
  </w:style>
  <w:style w:type="character" w:customStyle="1" w:styleId="BodyText3Char">
    <w:name w:val="Body Text 3 Char"/>
    <w:basedOn w:val="DefaultParagraphFont"/>
    <w:link w:val="BodyText3"/>
    <w:rsid w:val="00C73398"/>
    <w:rPr>
      <w:rFonts w:ascii="Calibri" w:eastAsia="Calibri" w:hAnsi="Calibri" w:cs="Calibri"/>
      <w:color w:val="000000"/>
      <w:sz w:val="16"/>
      <w:szCs w:val="16"/>
    </w:rPr>
  </w:style>
  <w:style w:type="character" w:customStyle="1" w:styleId="a">
    <w:name w:val="À&quot;À"/>
    <w:basedOn w:val="DefaultParagraphFont"/>
    <w:rsid w:val="00C73398"/>
  </w:style>
  <w:style w:type="paragraph" w:styleId="TOAHeading">
    <w:name w:val="toa heading"/>
    <w:basedOn w:val="Normal"/>
    <w:next w:val="Normal"/>
    <w:semiHidden/>
    <w:rsid w:val="00C73398"/>
    <w:pPr>
      <w:tabs>
        <w:tab w:val="left" w:pos="9000"/>
        <w:tab w:val="right" w:pos="9360"/>
      </w:tabs>
      <w:suppressAutoHyphens/>
      <w:spacing w:after="0" w:line="240" w:lineRule="auto"/>
    </w:pPr>
    <w:rPr>
      <w:rFonts w:ascii="Times New Roman" w:eastAsia="Times New Roman" w:hAnsi="Times New Roman" w:cs="Times New Roman"/>
      <w:sz w:val="24"/>
      <w:szCs w:val="20"/>
    </w:rPr>
  </w:style>
  <w:style w:type="character" w:customStyle="1" w:styleId="bodytext10">
    <w:name w:val="body_text1"/>
    <w:rsid w:val="00C73398"/>
    <w:rPr>
      <w:rFonts w:ascii="Verdana" w:hAnsi="Verdana" w:hint="default"/>
      <w:i w:val="0"/>
      <w:iCs w:val="0"/>
      <w:spacing w:val="225"/>
      <w:sz w:val="20"/>
      <w:szCs w:val="20"/>
    </w:rPr>
  </w:style>
  <w:style w:type="paragraph" w:customStyle="1" w:styleId="ms-rtefontface-11">
    <w:name w:val="ms-rtefontface-11"/>
    <w:basedOn w:val="Normal"/>
    <w:rsid w:val="00C73398"/>
    <w:pPr>
      <w:spacing w:after="0" w:line="240" w:lineRule="auto"/>
    </w:pPr>
    <w:rPr>
      <w:rFonts w:ascii="Garamond" w:eastAsia="Times New Roman" w:hAnsi="Garamond" w:cs="Times New Roman"/>
      <w:sz w:val="23"/>
      <w:szCs w:val="23"/>
    </w:rPr>
  </w:style>
  <w:style w:type="paragraph" w:customStyle="1" w:styleId="style9">
    <w:name w:val="style9"/>
    <w:basedOn w:val="Normal"/>
    <w:rsid w:val="00C7339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8">
    <w:name w:val="style8"/>
    <w:basedOn w:val="DefaultParagraphFont"/>
    <w:rsid w:val="00C73398"/>
  </w:style>
  <w:style w:type="character" w:customStyle="1" w:styleId="style10">
    <w:name w:val="style10"/>
    <w:basedOn w:val="DefaultParagraphFont"/>
    <w:rsid w:val="00C73398"/>
  </w:style>
  <w:style w:type="table" w:customStyle="1" w:styleId="GridTable4-Accent51">
    <w:name w:val="Grid Table 4 - Accent 51"/>
    <w:basedOn w:val="TableNormal"/>
    <w:uiPriority w:val="49"/>
    <w:rsid w:val="003F541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NoList1">
    <w:name w:val="No List1"/>
    <w:next w:val="NoList"/>
    <w:uiPriority w:val="99"/>
    <w:semiHidden/>
    <w:rsid w:val="001F7B29"/>
  </w:style>
  <w:style w:type="character" w:customStyle="1" w:styleId="CommentReference1">
    <w:name w:val="Comment Reference1"/>
    <w:rsid w:val="001F7B29"/>
    <w:rPr>
      <w:color w:val="000000"/>
      <w:sz w:val="16"/>
    </w:rPr>
  </w:style>
  <w:style w:type="numbering" w:customStyle="1" w:styleId="List7">
    <w:name w:val="List 7"/>
    <w:rsid w:val="001F7B29"/>
    <w:pPr>
      <w:numPr>
        <w:numId w:val="1"/>
      </w:numPr>
    </w:pPr>
  </w:style>
  <w:style w:type="numbering" w:customStyle="1" w:styleId="List15">
    <w:name w:val="List 15"/>
    <w:rsid w:val="001F7B29"/>
    <w:pPr>
      <w:numPr>
        <w:numId w:val="2"/>
      </w:numPr>
    </w:pPr>
  </w:style>
  <w:style w:type="numbering" w:customStyle="1" w:styleId="List20">
    <w:name w:val="List 20"/>
    <w:rsid w:val="001F7B29"/>
    <w:pPr>
      <w:numPr>
        <w:numId w:val="4"/>
      </w:numPr>
    </w:pPr>
  </w:style>
  <w:style w:type="paragraph" w:customStyle="1" w:styleId="Heading11">
    <w:name w:val="Heading 11"/>
    <w:next w:val="Normal"/>
    <w:rsid w:val="001F7B29"/>
    <w:pPr>
      <w:keepNext/>
      <w:spacing w:after="0" w:line="240" w:lineRule="auto"/>
      <w:jc w:val="center"/>
      <w:outlineLvl w:val="0"/>
    </w:pPr>
    <w:rPr>
      <w:rFonts w:ascii="Times New Roman Bold" w:eastAsia="ヒラギノ角ゴ Pro W3" w:hAnsi="Times New Roman Bold" w:cs="Times New Roman"/>
      <w:color w:val="000000"/>
      <w:sz w:val="24"/>
      <w:szCs w:val="20"/>
    </w:rPr>
  </w:style>
  <w:style w:type="character" w:customStyle="1" w:styleId="FootnoteReference3">
    <w:name w:val="Footnote Reference3"/>
    <w:rsid w:val="001F7B29"/>
    <w:rPr>
      <w:color w:val="000000"/>
      <w:sz w:val="24"/>
      <w:vertAlign w:val="superscript"/>
    </w:rPr>
  </w:style>
  <w:style w:type="paragraph" w:customStyle="1" w:styleId="FootnoteText1">
    <w:name w:val="Footnote Text1"/>
    <w:rsid w:val="001F7B29"/>
    <w:pPr>
      <w:spacing w:after="0" w:line="240" w:lineRule="auto"/>
    </w:pPr>
    <w:rPr>
      <w:rFonts w:ascii="Lucida Grande" w:eastAsia="ヒラギノ角ゴ Pro W3" w:hAnsi="Lucida Grande" w:cs="Times New Roman"/>
      <w:color w:val="000000"/>
      <w:sz w:val="20"/>
      <w:szCs w:val="20"/>
    </w:rPr>
  </w:style>
  <w:style w:type="character" w:customStyle="1" w:styleId="CommentReference2">
    <w:name w:val="Comment Reference2"/>
    <w:rsid w:val="001F7B29"/>
    <w:rPr>
      <w:color w:val="000000"/>
      <w:sz w:val="16"/>
    </w:rPr>
  </w:style>
  <w:style w:type="character" w:styleId="Strong">
    <w:name w:val="Strong"/>
    <w:uiPriority w:val="22"/>
    <w:qFormat/>
    <w:rsid w:val="001F7B29"/>
    <w:rPr>
      <w:b/>
      <w:bCs/>
    </w:rPr>
  </w:style>
  <w:style w:type="table" w:customStyle="1" w:styleId="LightGrid-Accent11">
    <w:name w:val="Light Grid - Accent 11"/>
    <w:basedOn w:val="TableNormal"/>
    <w:next w:val="LightGrid-Accent1"/>
    <w:uiPriority w:val="62"/>
    <w:rsid w:val="001F7B29"/>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
    <w:name w:val="Table Grid1"/>
    <w:basedOn w:val="TableNormal"/>
    <w:next w:val="TableGrid"/>
    <w:locked/>
    <w:rsid w:val="001F7B2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Subtle1">
    <w:name w:val="Table Subtle 1"/>
    <w:basedOn w:val="TableNormal"/>
    <w:rsid w:val="001F7B29"/>
    <w:pPr>
      <w:spacing w:after="0" w:line="240" w:lineRule="auto"/>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Shading-Accent11">
    <w:name w:val="Light Shading - Accent 11"/>
    <w:basedOn w:val="TableNormal"/>
    <w:next w:val="LightShading-Accent1"/>
    <w:uiPriority w:val="60"/>
    <w:rsid w:val="001F7B29"/>
    <w:pPr>
      <w:spacing w:after="0" w:line="240" w:lineRule="auto"/>
    </w:pPr>
    <w:rPr>
      <w:rFonts w:ascii="Times New Roman" w:eastAsia="Times New Roman" w:hAnsi="Times New Roman"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List1-Accent1">
    <w:name w:val="Medium List 1 Accent 1"/>
    <w:basedOn w:val="TableNormal"/>
    <w:uiPriority w:val="65"/>
    <w:rsid w:val="001F7B29"/>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Grid1-Accent11">
    <w:name w:val="Medium Grid 1 - Accent 11"/>
    <w:basedOn w:val="TableNormal"/>
    <w:next w:val="MediumGrid1-Accent1"/>
    <w:uiPriority w:val="67"/>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GridTable1Light-Accent51">
    <w:name w:val="Grid Table 1 Light - Accent 51"/>
    <w:basedOn w:val="TableNormal"/>
    <w:uiPriority w:val="46"/>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2-Accent21">
    <w:name w:val="Grid Table 2 - Accent 21"/>
    <w:basedOn w:val="TableNormal"/>
    <w:uiPriority w:val="47"/>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2-Accent31">
    <w:name w:val="Grid Table 2 - Accent 31"/>
    <w:basedOn w:val="TableNormal"/>
    <w:uiPriority w:val="47"/>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PlainTable11">
    <w:name w:val="Plain Table 11"/>
    <w:basedOn w:val="TableNormal"/>
    <w:uiPriority w:val="41"/>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1F7B29"/>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1F7B29"/>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MediumShading1-Accent1">
    <w:name w:val="Medium Shading 1 Accent 1"/>
    <w:basedOn w:val="TableNormal"/>
    <w:uiPriority w:val="63"/>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1">
    <w:name w:val="Table Grid11"/>
    <w:basedOn w:val="TableNormal"/>
    <w:next w:val="TableGrid"/>
    <w:uiPriority w:val="59"/>
    <w:rsid w:val="001F7B29"/>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semiHidden/>
    <w:unhideWhenUsed/>
    <w:rsid w:val="001F7B29"/>
  </w:style>
  <w:style w:type="paragraph" w:customStyle="1" w:styleId="Level1">
    <w:name w:val="Level 1"/>
    <w:basedOn w:val="Normal"/>
    <w:rsid w:val="001F7B29"/>
    <w:pPr>
      <w:widowControl w:val="0"/>
      <w:spacing w:after="0" w:line="240" w:lineRule="auto"/>
      <w:ind w:left="720" w:hanging="720"/>
    </w:pPr>
    <w:rPr>
      <w:rFonts w:ascii="Arial" w:eastAsia="Times New Roman" w:hAnsi="Arial" w:cs="Times New Roman"/>
      <w:snapToGrid w:val="0"/>
      <w:sz w:val="24"/>
      <w:szCs w:val="20"/>
    </w:rPr>
  </w:style>
  <w:style w:type="character" w:styleId="PageNumber">
    <w:name w:val="page number"/>
    <w:rsid w:val="001F7B29"/>
  </w:style>
  <w:style w:type="numbering" w:customStyle="1" w:styleId="NoList2">
    <w:name w:val="No List2"/>
    <w:next w:val="NoList"/>
    <w:uiPriority w:val="99"/>
    <w:semiHidden/>
    <w:unhideWhenUsed/>
    <w:rsid w:val="001F7B29"/>
  </w:style>
  <w:style w:type="paragraph" w:customStyle="1" w:styleId="TableParagraph">
    <w:name w:val="Table Paragraph"/>
    <w:basedOn w:val="Normal"/>
    <w:uiPriority w:val="1"/>
    <w:qFormat/>
    <w:rsid w:val="001F7B29"/>
    <w:pPr>
      <w:widowControl w:val="0"/>
      <w:spacing w:after="0" w:line="240" w:lineRule="auto"/>
    </w:pPr>
    <w:rPr>
      <w:rFonts w:ascii="Calibri" w:eastAsia="Calibri" w:hAnsi="Calibri" w:cs="Times New Roman"/>
    </w:rPr>
  </w:style>
  <w:style w:type="table" w:customStyle="1" w:styleId="LightList-Accent11">
    <w:name w:val="Light List - Accent 11"/>
    <w:basedOn w:val="TableNormal"/>
    <w:next w:val="LightList-Accent1"/>
    <w:uiPriority w:val="61"/>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Grid3-Accent1">
    <w:name w:val="Medium Grid 3 Accent 1"/>
    <w:basedOn w:val="TableNormal"/>
    <w:uiPriority w:val="69"/>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2">
    <w:name w:val="Table Grid2"/>
    <w:basedOn w:val="TableNormal"/>
    <w:next w:val="TableGrid"/>
    <w:uiPriority w:val="59"/>
    <w:rsid w:val="001F7B2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1F7B29"/>
    <w:rPr>
      <w:color w:val="800080"/>
      <w:u w:val="single"/>
    </w:rPr>
  </w:style>
  <w:style w:type="character" w:customStyle="1" w:styleId="il">
    <w:name w:val="il"/>
    <w:basedOn w:val="DefaultParagraphFont"/>
    <w:rsid w:val="0097066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toa heading"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0" w:unhideWhenUsed="0" w:qFormat="1"/>
    <w:lsdException w:name="annotation subject" w:uiPriority="0"/>
    <w:lsdException w:name="Table List 1" w:uiPriority="0"/>
    <w:lsdException w:name="Table Subtle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04482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4482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66B1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D94068"/>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96326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1"/>
    <w:next w:val="Normal1"/>
    <w:link w:val="Heading6Char"/>
    <w:rsid w:val="00C73398"/>
    <w:pPr>
      <w:keepNext/>
      <w:keepLines/>
      <w:spacing w:before="200" w:after="40"/>
      <w:contextualSpacing/>
      <w:outlineLvl w:val="5"/>
    </w:pPr>
    <w:rPr>
      <w:rFonts w:ascii="Calibri" w:eastAsia="Calibri" w:hAnsi="Calibri" w:cs="Calibri"/>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0448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04482C"/>
    <w:rPr>
      <w:rFonts w:ascii="Tahoma" w:hAnsi="Tahoma" w:cs="Tahoma"/>
      <w:sz w:val="16"/>
      <w:szCs w:val="16"/>
    </w:rPr>
  </w:style>
  <w:style w:type="paragraph" w:customStyle="1" w:styleId="FreeForm">
    <w:name w:val="Free Form"/>
    <w:rsid w:val="0004482C"/>
    <w:pPr>
      <w:spacing w:after="0" w:line="240" w:lineRule="auto"/>
    </w:pPr>
    <w:rPr>
      <w:rFonts w:ascii="Times New Roman" w:eastAsia="ヒラギノ角ゴ Pro W3" w:hAnsi="Times New Roman" w:cs="Times New Roman"/>
      <w:color w:val="000000"/>
      <w:sz w:val="20"/>
      <w:szCs w:val="20"/>
    </w:rPr>
  </w:style>
  <w:style w:type="paragraph" w:customStyle="1" w:styleId="Heading1A">
    <w:name w:val="Heading 1 A"/>
    <w:next w:val="Normal"/>
    <w:rsid w:val="0004482C"/>
    <w:pPr>
      <w:keepNext/>
      <w:spacing w:before="240" w:after="60" w:line="240" w:lineRule="auto"/>
      <w:outlineLvl w:val="0"/>
    </w:pPr>
    <w:rPr>
      <w:rFonts w:ascii="Lucida Grande" w:eastAsia="ヒラギノ角ゴ Pro W3" w:hAnsi="Lucida Grande" w:cs="Times New Roman"/>
      <w:b/>
      <w:color w:val="000000"/>
      <w:kern w:val="32"/>
      <w:sz w:val="32"/>
      <w:szCs w:val="20"/>
    </w:rPr>
  </w:style>
  <w:style w:type="paragraph" w:customStyle="1" w:styleId="Heading2A">
    <w:name w:val="Heading 2 A"/>
    <w:next w:val="Normal"/>
    <w:rsid w:val="0004482C"/>
    <w:pPr>
      <w:keepNext/>
      <w:spacing w:after="0" w:line="240" w:lineRule="auto"/>
      <w:outlineLvl w:val="1"/>
    </w:pPr>
    <w:rPr>
      <w:rFonts w:ascii="Arial Bold" w:eastAsia="ヒラギノ角ゴ Pro W3" w:hAnsi="Arial Bold" w:cs="Times New Roman"/>
      <w:color w:val="000000"/>
      <w:sz w:val="36"/>
      <w:szCs w:val="20"/>
    </w:rPr>
  </w:style>
  <w:style w:type="paragraph" w:customStyle="1" w:styleId="PlainText1">
    <w:name w:val="Plain Text1"/>
    <w:rsid w:val="0004482C"/>
    <w:pPr>
      <w:spacing w:after="0" w:line="240" w:lineRule="auto"/>
    </w:pPr>
    <w:rPr>
      <w:rFonts w:ascii="Lucida Grande" w:eastAsia="ヒラギノ角ゴ Pro W3" w:hAnsi="Lucida Grande" w:cs="Times New Roman"/>
      <w:color w:val="000000"/>
      <w:sz w:val="20"/>
      <w:szCs w:val="20"/>
    </w:rPr>
  </w:style>
  <w:style w:type="paragraph" w:styleId="ListParagraph">
    <w:name w:val="List Paragraph"/>
    <w:uiPriority w:val="1"/>
    <w:qFormat/>
    <w:rsid w:val="0004482C"/>
    <w:pPr>
      <w:spacing w:after="0" w:line="240" w:lineRule="auto"/>
      <w:ind w:left="720"/>
    </w:pPr>
    <w:rPr>
      <w:rFonts w:ascii="Lucida Grande" w:eastAsia="ヒラギノ角ゴ Pro W3" w:hAnsi="Lucida Grande" w:cs="Times New Roman"/>
      <w:color w:val="000000"/>
      <w:szCs w:val="20"/>
    </w:rPr>
  </w:style>
  <w:style w:type="paragraph" w:styleId="NoSpacing">
    <w:name w:val="No Spacing"/>
    <w:uiPriority w:val="1"/>
    <w:qFormat/>
    <w:rsid w:val="0004482C"/>
    <w:pPr>
      <w:spacing w:after="0" w:line="240" w:lineRule="auto"/>
    </w:pPr>
  </w:style>
  <w:style w:type="character" w:customStyle="1" w:styleId="Heading1Char">
    <w:name w:val="Heading 1 Char"/>
    <w:basedOn w:val="DefaultParagraphFont"/>
    <w:link w:val="Heading1"/>
    <w:rsid w:val="0004482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4482C"/>
    <w:rPr>
      <w:rFonts w:asciiTheme="majorHAnsi" w:eastAsiaTheme="majorEastAsia" w:hAnsiTheme="majorHAnsi" w:cstheme="majorBidi"/>
      <w:b/>
      <w:bCs/>
      <w:color w:val="4F81BD" w:themeColor="accent1"/>
      <w:sz w:val="26"/>
      <w:szCs w:val="26"/>
    </w:rPr>
  </w:style>
  <w:style w:type="character" w:styleId="IntenseEmphasis">
    <w:name w:val="Intense Emphasis"/>
    <w:qFormat/>
    <w:rsid w:val="00866B12"/>
    <w:rPr>
      <w:rFonts w:ascii="Lucida Grande" w:eastAsia="ヒラギノ角ゴ Pro W3" w:hAnsi="Lucida Grande"/>
      <w:b/>
      <w:i w:val="0"/>
      <w:color w:val="3E6BB4"/>
      <w:sz w:val="20"/>
    </w:rPr>
  </w:style>
  <w:style w:type="character" w:customStyle="1" w:styleId="apple-converted-space">
    <w:name w:val="apple-converted-space"/>
    <w:rsid w:val="00866B12"/>
    <w:rPr>
      <w:color w:val="000000"/>
      <w:sz w:val="20"/>
    </w:rPr>
  </w:style>
  <w:style w:type="character" w:styleId="CommentReference">
    <w:name w:val="annotation reference"/>
    <w:uiPriority w:val="99"/>
    <w:rsid w:val="00866B12"/>
    <w:rPr>
      <w:sz w:val="16"/>
      <w:szCs w:val="16"/>
    </w:rPr>
  </w:style>
  <w:style w:type="paragraph" w:styleId="CommentText">
    <w:name w:val="annotation text"/>
    <w:basedOn w:val="Normal"/>
    <w:link w:val="CommentTextChar"/>
    <w:uiPriority w:val="99"/>
    <w:rsid w:val="00866B12"/>
    <w:pPr>
      <w:spacing w:after="0" w:line="240" w:lineRule="auto"/>
    </w:pPr>
    <w:rPr>
      <w:rFonts w:ascii="Lucida Grande" w:eastAsia="ヒラギノ角ゴ Pro W3" w:hAnsi="Lucida Grande" w:cs="Times New Roman"/>
      <w:color w:val="000000"/>
      <w:sz w:val="20"/>
      <w:szCs w:val="20"/>
    </w:rPr>
  </w:style>
  <w:style w:type="character" w:customStyle="1" w:styleId="CommentTextChar">
    <w:name w:val="Comment Text Char"/>
    <w:basedOn w:val="DefaultParagraphFont"/>
    <w:link w:val="CommentText"/>
    <w:uiPriority w:val="99"/>
    <w:rsid w:val="00866B12"/>
    <w:rPr>
      <w:rFonts w:ascii="Lucida Grande" w:eastAsia="ヒラギノ角ゴ Pro W3" w:hAnsi="Lucida Grande" w:cs="Times New Roman"/>
      <w:color w:val="000000"/>
      <w:sz w:val="20"/>
      <w:szCs w:val="20"/>
    </w:rPr>
  </w:style>
  <w:style w:type="character" w:customStyle="1" w:styleId="Heading3Char">
    <w:name w:val="Heading 3 Char"/>
    <w:basedOn w:val="DefaultParagraphFont"/>
    <w:link w:val="Heading3"/>
    <w:uiPriority w:val="9"/>
    <w:rsid w:val="00866B12"/>
    <w:rPr>
      <w:rFonts w:asciiTheme="majorHAnsi" w:eastAsiaTheme="majorEastAsia" w:hAnsiTheme="majorHAnsi" w:cstheme="majorBidi"/>
      <w:b/>
      <w:bCs/>
      <w:color w:val="4F81BD" w:themeColor="accent1"/>
    </w:rPr>
  </w:style>
  <w:style w:type="paragraph" w:styleId="EndnoteText">
    <w:name w:val="endnote text"/>
    <w:basedOn w:val="Normal"/>
    <w:link w:val="EndnoteTextChar"/>
    <w:uiPriority w:val="99"/>
    <w:unhideWhenUsed/>
    <w:rsid w:val="00FB0A8A"/>
    <w:pPr>
      <w:spacing w:after="0" w:line="240" w:lineRule="auto"/>
    </w:pPr>
    <w:rPr>
      <w:rFonts w:ascii="Calibri" w:eastAsia="Times New Roman" w:hAnsi="Calibri" w:cs="Times New Roman"/>
      <w:color w:val="000000"/>
      <w:sz w:val="20"/>
      <w:szCs w:val="20"/>
      <w:lang w:eastAsia="ja-JP"/>
    </w:rPr>
  </w:style>
  <w:style w:type="character" w:customStyle="1" w:styleId="EndnoteTextChar">
    <w:name w:val="Endnote Text Char"/>
    <w:basedOn w:val="DefaultParagraphFont"/>
    <w:link w:val="EndnoteText"/>
    <w:uiPriority w:val="99"/>
    <w:rsid w:val="00FB0A8A"/>
    <w:rPr>
      <w:rFonts w:ascii="Calibri" w:eastAsia="Times New Roman" w:hAnsi="Calibri" w:cs="Times New Roman"/>
      <w:color w:val="000000"/>
      <w:sz w:val="20"/>
      <w:szCs w:val="20"/>
      <w:lang w:eastAsia="ja-JP"/>
    </w:rPr>
  </w:style>
  <w:style w:type="character" w:styleId="EndnoteReference">
    <w:name w:val="endnote reference"/>
    <w:uiPriority w:val="99"/>
    <w:unhideWhenUsed/>
    <w:rsid w:val="00FB0A8A"/>
    <w:rPr>
      <w:vertAlign w:val="superscript"/>
    </w:rPr>
  </w:style>
  <w:style w:type="paragraph" w:styleId="Caption">
    <w:name w:val="caption"/>
    <w:basedOn w:val="Normal"/>
    <w:next w:val="Normal"/>
    <w:unhideWhenUsed/>
    <w:qFormat/>
    <w:rsid w:val="00FB0A8A"/>
    <w:pPr>
      <w:spacing w:line="240" w:lineRule="auto"/>
    </w:pPr>
    <w:rPr>
      <w:rFonts w:ascii="Calibri" w:eastAsia="Times New Roman" w:hAnsi="Calibri" w:cs="Times New Roman"/>
      <w:i/>
      <w:iCs/>
      <w:color w:val="1F497D"/>
      <w:sz w:val="18"/>
      <w:szCs w:val="18"/>
      <w:lang w:eastAsia="ja-JP"/>
    </w:rPr>
  </w:style>
  <w:style w:type="paragraph" w:styleId="Header">
    <w:name w:val="header"/>
    <w:basedOn w:val="Normal"/>
    <w:link w:val="HeaderChar"/>
    <w:unhideWhenUsed/>
    <w:rsid w:val="00D94068"/>
    <w:pPr>
      <w:tabs>
        <w:tab w:val="center" w:pos="4680"/>
        <w:tab w:val="right" w:pos="9360"/>
      </w:tabs>
      <w:spacing w:after="0" w:line="240" w:lineRule="auto"/>
    </w:pPr>
  </w:style>
  <w:style w:type="character" w:customStyle="1" w:styleId="HeaderChar">
    <w:name w:val="Header Char"/>
    <w:basedOn w:val="DefaultParagraphFont"/>
    <w:link w:val="Header"/>
    <w:rsid w:val="00D94068"/>
  </w:style>
  <w:style w:type="paragraph" w:styleId="Footer">
    <w:name w:val="footer"/>
    <w:basedOn w:val="Normal"/>
    <w:link w:val="FooterChar"/>
    <w:uiPriority w:val="99"/>
    <w:unhideWhenUsed/>
    <w:rsid w:val="00D940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4068"/>
  </w:style>
  <w:style w:type="character" w:customStyle="1" w:styleId="Heading4Char">
    <w:name w:val="Heading 4 Char"/>
    <w:basedOn w:val="DefaultParagraphFont"/>
    <w:link w:val="Heading4"/>
    <w:rsid w:val="00D94068"/>
    <w:rPr>
      <w:rFonts w:asciiTheme="majorHAnsi" w:eastAsiaTheme="majorEastAsia" w:hAnsiTheme="majorHAnsi" w:cstheme="majorBidi"/>
      <w:b/>
      <w:bCs/>
      <w:i/>
      <w:iCs/>
      <w:color w:val="4F81BD" w:themeColor="accent1"/>
    </w:rPr>
  </w:style>
  <w:style w:type="paragraph" w:styleId="FootnoteText">
    <w:name w:val="footnote text"/>
    <w:basedOn w:val="Normal"/>
    <w:link w:val="FootnoteTextChar"/>
    <w:uiPriority w:val="99"/>
    <w:unhideWhenUsed/>
    <w:rsid w:val="006A7414"/>
    <w:pPr>
      <w:spacing w:after="0" w:line="240" w:lineRule="auto"/>
    </w:pPr>
    <w:rPr>
      <w:sz w:val="20"/>
      <w:szCs w:val="20"/>
    </w:rPr>
  </w:style>
  <w:style w:type="character" w:customStyle="1" w:styleId="FootnoteTextChar">
    <w:name w:val="Footnote Text Char"/>
    <w:basedOn w:val="DefaultParagraphFont"/>
    <w:link w:val="FootnoteText"/>
    <w:uiPriority w:val="99"/>
    <w:rsid w:val="006A7414"/>
    <w:rPr>
      <w:sz w:val="20"/>
      <w:szCs w:val="20"/>
    </w:rPr>
  </w:style>
  <w:style w:type="character" w:styleId="FootnoteReference">
    <w:name w:val="footnote reference"/>
    <w:basedOn w:val="DefaultParagraphFont"/>
    <w:uiPriority w:val="99"/>
    <w:unhideWhenUsed/>
    <w:rsid w:val="006A7414"/>
    <w:rPr>
      <w:vertAlign w:val="superscript"/>
    </w:rPr>
  </w:style>
  <w:style w:type="paragraph" w:styleId="Bibliography">
    <w:name w:val="Bibliography"/>
    <w:basedOn w:val="Normal"/>
    <w:next w:val="Normal"/>
    <w:uiPriority w:val="37"/>
    <w:unhideWhenUsed/>
    <w:rsid w:val="001A1E04"/>
  </w:style>
  <w:style w:type="character" w:styleId="Hyperlink">
    <w:name w:val="Hyperlink"/>
    <w:basedOn w:val="DefaultParagraphFont"/>
    <w:uiPriority w:val="99"/>
    <w:unhideWhenUsed/>
    <w:rsid w:val="001A1E04"/>
    <w:rPr>
      <w:color w:val="0000FF" w:themeColor="hyperlink"/>
      <w:u w:val="single"/>
    </w:rPr>
  </w:style>
  <w:style w:type="paragraph" w:customStyle="1" w:styleId="FreeFormA">
    <w:name w:val="Free Form A"/>
    <w:rsid w:val="001A1E04"/>
    <w:pPr>
      <w:spacing w:after="0" w:line="240" w:lineRule="auto"/>
    </w:pPr>
    <w:rPr>
      <w:rFonts w:ascii="Lucida Grande" w:eastAsia="ヒラギノ角ゴ Pro W3" w:hAnsi="Lucida Grande" w:cs="Times New Roman"/>
      <w:color w:val="000000"/>
      <w:sz w:val="20"/>
      <w:szCs w:val="20"/>
    </w:rPr>
  </w:style>
  <w:style w:type="table" w:styleId="MediumGrid1-Accent1">
    <w:name w:val="Medium Grid 1 Accent 1"/>
    <w:basedOn w:val="TableNormal"/>
    <w:uiPriority w:val="67"/>
    <w:rsid w:val="001C614D"/>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NormalWeb2">
    <w:name w:val="Normal (Web)2"/>
    <w:rsid w:val="00A816E3"/>
    <w:pPr>
      <w:spacing w:before="100" w:after="100" w:line="240" w:lineRule="auto"/>
    </w:pPr>
    <w:rPr>
      <w:rFonts w:ascii="Times New Roman" w:eastAsia="ヒラギノ角ゴ Pro W3" w:hAnsi="Times New Roman" w:cs="Times New Roman"/>
      <w:color w:val="000000"/>
      <w:sz w:val="24"/>
      <w:szCs w:val="20"/>
    </w:rPr>
  </w:style>
  <w:style w:type="character" w:styleId="Emphasis">
    <w:name w:val="Emphasis"/>
    <w:qFormat/>
    <w:rsid w:val="00A816E3"/>
    <w:rPr>
      <w:i/>
      <w:iCs/>
    </w:rPr>
  </w:style>
  <w:style w:type="character" w:customStyle="1" w:styleId="Hyperlink2">
    <w:name w:val="Hyperlink2"/>
    <w:rsid w:val="00A816E3"/>
    <w:rPr>
      <w:color w:val="0000FF"/>
      <w:sz w:val="20"/>
      <w:u w:val="single"/>
    </w:rPr>
  </w:style>
  <w:style w:type="table" w:styleId="MediumGrid2-Accent1">
    <w:name w:val="Medium Grid 2 Accent 1"/>
    <w:basedOn w:val="TableNormal"/>
    <w:uiPriority w:val="68"/>
    <w:rsid w:val="00A816E3"/>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ableList1">
    <w:name w:val="Table List 1"/>
    <w:basedOn w:val="TableNormal"/>
    <w:rsid w:val="0074457B"/>
    <w:pPr>
      <w:spacing w:after="0" w:line="240" w:lineRule="auto"/>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List42">
    <w:name w:val="List 42"/>
    <w:rsid w:val="0074457B"/>
    <w:pPr>
      <w:numPr>
        <w:numId w:val="83"/>
      </w:numPr>
    </w:pPr>
  </w:style>
  <w:style w:type="paragraph" w:customStyle="1" w:styleId="CommentText1">
    <w:name w:val="Comment Text1"/>
    <w:rsid w:val="0074457B"/>
    <w:pPr>
      <w:spacing w:after="0" w:line="240" w:lineRule="auto"/>
    </w:pPr>
    <w:rPr>
      <w:rFonts w:ascii="Lucida Grande" w:eastAsia="ヒラギノ角ゴ Pro W3" w:hAnsi="Lucida Grande" w:cs="Times New Roman"/>
      <w:color w:val="000000"/>
      <w:sz w:val="20"/>
      <w:szCs w:val="20"/>
    </w:rPr>
  </w:style>
  <w:style w:type="character" w:customStyle="1" w:styleId="FootnoteReference2">
    <w:name w:val="Footnote Reference2"/>
    <w:rsid w:val="009523C7"/>
    <w:rPr>
      <w:color w:val="000000"/>
      <w:sz w:val="20"/>
    </w:rPr>
  </w:style>
  <w:style w:type="paragraph" w:customStyle="1" w:styleId="FootnoteTextA">
    <w:name w:val="Footnote Text A"/>
    <w:rsid w:val="009523C7"/>
    <w:pPr>
      <w:spacing w:after="0" w:line="240" w:lineRule="auto"/>
    </w:pPr>
    <w:rPr>
      <w:rFonts w:ascii="Lucida Grande" w:eastAsia="ヒラギノ角ゴ Pro W3" w:hAnsi="Lucida Grande" w:cs="Times New Roman"/>
      <w:color w:val="000000"/>
      <w:sz w:val="20"/>
      <w:szCs w:val="20"/>
    </w:rPr>
  </w:style>
  <w:style w:type="character" w:customStyle="1" w:styleId="FootnoteReference1">
    <w:name w:val="Footnote Reference1"/>
    <w:rsid w:val="009523C7"/>
    <w:rPr>
      <w:color w:val="000000"/>
      <w:sz w:val="20"/>
      <w:vertAlign w:val="superscript"/>
    </w:rPr>
  </w:style>
  <w:style w:type="paragraph" w:customStyle="1" w:styleId="Footer1">
    <w:name w:val="Footer1"/>
    <w:rsid w:val="007A1FDC"/>
    <w:pPr>
      <w:widowControl w:val="0"/>
      <w:tabs>
        <w:tab w:val="center" w:pos="4320"/>
        <w:tab w:val="right" w:pos="8640"/>
      </w:tabs>
      <w:spacing w:after="0" w:line="240" w:lineRule="auto"/>
    </w:pPr>
    <w:rPr>
      <w:rFonts w:ascii="Arial" w:eastAsia="ヒラギノ角ゴ Pro W3" w:hAnsi="Arial" w:cs="Times New Roman"/>
      <w:color w:val="000000"/>
      <w:sz w:val="24"/>
      <w:szCs w:val="20"/>
    </w:rPr>
  </w:style>
  <w:style w:type="paragraph" w:customStyle="1" w:styleId="Heading3A">
    <w:name w:val="Heading 3 A"/>
    <w:rsid w:val="007A1FDC"/>
    <w:pPr>
      <w:spacing w:before="100" w:after="100" w:line="240" w:lineRule="auto"/>
      <w:outlineLvl w:val="2"/>
    </w:pPr>
    <w:rPr>
      <w:rFonts w:ascii="Times New Roman Bold" w:eastAsia="ヒラギノ角ゴ Pro W3" w:hAnsi="Times New Roman Bold" w:cs="Times New Roman"/>
      <w:color w:val="000000"/>
      <w:sz w:val="27"/>
      <w:szCs w:val="20"/>
    </w:rPr>
  </w:style>
  <w:style w:type="paragraph" w:customStyle="1" w:styleId="BodyA">
    <w:name w:val="Body A"/>
    <w:rsid w:val="007A1FDC"/>
    <w:pPr>
      <w:spacing w:after="0" w:line="240" w:lineRule="auto"/>
    </w:pPr>
    <w:rPr>
      <w:rFonts w:ascii="Helvetica" w:eastAsia="ヒラギノ角ゴ Pro W3" w:hAnsi="Helvetica" w:cs="Times New Roman"/>
      <w:color w:val="000000"/>
      <w:sz w:val="24"/>
      <w:szCs w:val="20"/>
    </w:rPr>
  </w:style>
  <w:style w:type="character" w:customStyle="1" w:styleId="Unknown0">
    <w:name w:val="Unknown 0"/>
    <w:basedOn w:val="DefaultParagraphFont"/>
    <w:semiHidden/>
    <w:rsid w:val="007A1FDC"/>
  </w:style>
  <w:style w:type="character" w:customStyle="1" w:styleId="Hyperlink1">
    <w:name w:val="Hyperlink1"/>
    <w:rsid w:val="007A1FDC"/>
    <w:rPr>
      <w:color w:val="0000FF"/>
      <w:sz w:val="20"/>
      <w:u w:val="single"/>
    </w:rPr>
  </w:style>
  <w:style w:type="numbering" w:customStyle="1" w:styleId="List103">
    <w:name w:val="List 103"/>
    <w:rsid w:val="007A1FDC"/>
    <w:pPr>
      <w:numPr>
        <w:numId w:val="129"/>
      </w:numPr>
    </w:pPr>
  </w:style>
  <w:style w:type="paragraph" w:customStyle="1" w:styleId="Heading4A">
    <w:name w:val="Heading 4 A"/>
    <w:next w:val="Normal"/>
    <w:rsid w:val="007A1FDC"/>
    <w:pPr>
      <w:keepNext/>
      <w:spacing w:before="240" w:after="60" w:line="240" w:lineRule="auto"/>
      <w:outlineLvl w:val="3"/>
    </w:pPr>
    <w:rPr>
      <w:rFonts w:ascii="Lucida Grande" w:eastAsia="ヒラギノ角ゴ Pro W3" w:hAnsi="Lucida Grande" w:cs="Times New Roman"/>
      <w:b/>
      <w:color w:val="000000"/>
      <w:sz w:val="28"/>
      <w:szCs w:val="20"/>
    </w:rPr>
  </w:style>
  <w:style w:type="paragraph" w:customStyle="1" w:styleId="BodyText21">
    <w:name w:val="Body Text 21"/>
    <w:rsid w:val="007A1FDC"/>
    <w:pPr>
      <w:spacing w:after="120" w:line="480" w:lineRule="auto"/>
    </w:pPr>
    <w:rPr>
      <w:rFonts w:ascii="Lucida Grande" w:eastAsia="ヒラギノ角ゴ Pro W3" w:hAnsi="Lucida Grande" w:cs="Times New Roman"/>
      <w:color w:val="000000"/>
      <w:szCs w:val="20"/>
    </w:rPr>
  </w:style>
  <w:style w:type="character" w:customStyle="1" w:styleId="s">
    <w:name w:val="s"/>
    <w:rsid w:val="007A1FDC"/>
    <w:rPr>
      <w:color w:val="000000"/>
      <w:sz w:val="20"/>
    </w:rPr>
  </w:style>
  <w:style w:type="paragraph" w:customStyle="1" w:styleId="BodyText1">
    <w:name w:val="Body Text1"/>
    <w:rsid w:val="007A1FDC"/>
    <w:pPr>
      <w:widowControl w:val="0"/>
      <w:spacing w:after="0" w:line="240" w:lineRule="auto"/>
      <w:ind w:left="840"/>
    </w:pPr>
    <w:rPr>
      <w:rFonts w:ascii="Verdana" w:eastAsia="ヒラギノ角ゴ Pro W3" w:hAnsi="Verdana" w:cs="Times New Roman"/>
      <w:color w:val="000000"/>
      <w:sz w:val="20"/>
      <w:szCs w:val="20"/>
    </w:rPr>
  </w:style>
  <w:style w:type="paragraph" w:customStyle="1" w:styleId="Header1">
    <w:name w:val="Header1"/>
    <w:rsid w:val="007A1FDC"/>
    <w:pPr>
      <w:tabs>
        <w:tab w:val="center" w:pos="4680"/>
        <w:tab w:val="right" w:pos="9360"/>
      </w:tabs>
      <w:spacing w:after="0" w:line="240" w:lineRule="auto"/>
    </w:pPr>
    <w:rPr>
      <w:rFonts w:ascii="Lucida Grande" w:eastAsia="ヒラギノ角ゴ Pro W3" w:hAnsi="Lucida Grande" w:cs="Times New Roman"/>
      <w:color w:val="000000"/>
      <w:szCs w:val="20"/>
    </w:rPr>
  </w:style>
  <w:style w:type="paragraph" w:customStyle="1" w:styleId="NormalWeb1">
    <w:name w:val="Normal (Web)1"/>
    <w:rsid w:val="007A1FDC"/>
    <w:pPr>
      <w:spacing w:after="0" w:line="240" w:lineRule="auto"/>
    </w:pPr>
    <w:rPr>
      <w:rFonts w:ascii="Times New Roman" w:eastAsia="ヒラギノ角ゴ Pro W3" w:hAnsi="Times New Roman" w:cs="Times New Roman"/>
      <w:color w:val="000000"/>
      <w:sz w:val="24"/>
      <w:szCs w:val="20"/>
    </w:rPr>
  </w:style>
  <w:style w:type="paragraph" w:customStyle="1" w:styleId="Normal1">
    <w:name w:val="Normal1"/>
    <w:rsid w:val="007A1FDC"/>
    <w:pPr>
      <w:spacing w:after="0" w:line="240" w:lineRule="auto"/>
    </w:pPr>
    <w:rPr>
      <w:rFonts w:ascii="Lucida Grande" w:eastAsia="ヒラギノ角ゴ Pro W3" w:hAnsi="Lucida Grande" w:cs="Times New Roman"/>
      <w:color w:val="000000"/>
      <w:szCs w:val="20"/>
    </w:rPr>
  </w:style>
  <w:style w:type="paragraph" w:customStyle="1" w:styleId="TitleA">
    <w:name w:val="Title A"/>
    <w:rsid w:val="007A1FDC"/>
    <w:pPr>
      <w:widowControl w:val="0"/>
      <w:spacing w:after="0" w:line="240" w:lineRule="auto"/>
      <w:jc w:val="center"/>
    </w:pPr>
    <w:rPr>
      <w:rFonts w:ascii="Times New Roman Bold" w:eastAsia="ヒラギノ角ゴ Pro W3" w:hAnsi="Times New Roman Bold" w:cs="Times New Roman"/>
      <w:color w:val="000000"/>
      <w:sz w:val="24"/>
      <w:szCs w:val="20"/>
    </w:rPr>
  </w:style>
  <w:style w:type="character" w:customStyle="1" w:styleId="Heading3Char1">
    <w:name w:val="Heading 3 Char1"/>
    <w:semiHidden/>
    <w:rsid w:val="007A1FDC"/>
    <w:rPr>
      <w:rFonts w:ascii="Cambria" w:eastAsia="Times New Roman" w:hAnsi="Cambria" w:cs="Times New Roman"/>
      <w:b/>
      <w:bCs/>
      <w:color w:val="000000"/>
      <w:sz w:val="26"/>
      <w:szCs w:val="26"/>
    </w:rPr>
  </w:style>
  <w:style w:type="table" w:styleId="LightShading-Accent1">
    <w:name w:val="Light Shading Accent 1"/>
    <w:basedOn w:val="TableNormal"/>
    <w:uiPriority w:val="60"/>
    <w:rsid w:val="007A1FDC"/>
    <w:pPr>
      <w:spacing w:after="0" w:line="240" w:lineRule="auto"/>
    </w:pPr>
    <w:rPr>
      <w:rFonts w:ascii="Calibri" w:eastAsia="Times New Roman" w:hAnsi="Calibri" w:cs="Times New Roman"/>
      <w:color w:val="365F91"/>
      <w:sz w:val="20"/>
      <w:szCs w:val="20"/>
      <w:lang w:eastAsia="ja-JP"/>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itle">
    <w:name w:val="Title"/>
    <w:basedOn w:val="Normal"/>
    <w:next w:val="Normal"/>
    <w:link w:val="TitleChar"/>
    <w:qFormat/>
    <w:rsid w:val="007A1FDC"/>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rsid w:val="007A1FDC"/>
    <w:rPr>
      <w:rFonts w:ascii="Cambria" w:eastAsia="Times New Roman" w:hAnsi="Cambria" w:cs="Times New Roman"/>
      <w:color w:val="17365D"/>
      <w:spacing w:val="5"/>
      <w:kern w:val="28"/>
      <w:sz w:val="52"/>
      <w:szCs w:val="52"/>
    </w:rPr>
  </w:style>
  <w:style w:type="table" w:styleId="LightList-Accent1">
    <w:name w:val="Light List Accent 1"/>
    <w:basedOn w:val="TableNormal"/>
    <w:uiPriority w:val="61"/>
    <w:rsid w:val="007A1FDC"/>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CommentSubject">
    <w:name w:val="annotation subject"/>
    <w:basedOn w:val="CommentText"/>
    <w:next w:val="CommentText"/>
    <w:link w:val="CommentSubjectChar"/>
    <w:rsid w:val="007A1FDC"/>
    <w:rPr>
      <w:b/>
      <w:bCs/>
    </w:rPr>
  </w:style>
  <w:style w:type="character" w:customStyle="1" w:styleId="CommentSubjectChar">
    <w:name w:val="Comment Subject Char"/>
    <w:basedOn w:val="CommentTextChar"/>
    <w:link w:val="CommentSubject"/>
    <w:rsid w:val="007A1FDC"/>
    <w:rPr>
      <w:rFonts w:ascii="Lucida Grande" w:eastAsia="ヒラギノ角ゴ Pro W3" w:hAnsi="Lucida Grande" w:cs="Times New Roman"/>
      <w:b/>
      <w:bCs/>
      <w:color w:val="000000"/>
      <w:sz w:val="20"/>
      <w:szCs w:val="20"/>
    </w:rPr>
  </w:style>
  <w:style w:type="table" w:styleId="TableGrid">
    <w:name w:val="Table Grid"/>
    <w:basedOn w:val="TableNormal"/>
    <w:uiPriority w:val="59"/>
    <w:rsid w:val="007A1FD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A1FDC"/>
    <w:pPr>
      <w:spacing w:after="0" w:line="240" w:lineRule="auto"/>
    </w:pPr>
    <w:rPr>
      <w:rFonts w:ascii="Lucida Grande" w:eastAsia="ヒラギノ角ゴ Pro W3" w:hAnsi="Lucida Grande" w:cs="Times New Roman"/>
      <w:color w:val="000000"/>
      <w:szCs w:val="24"/>
    </w:rPr>
  </w:style>
  <w:style w:type="table" w:styleId="LightGrid-Accent1">
    <w:name w:val="Light Grid Accent 1"/>
    <w:basedOn w:val="TableNormal"/>
    <w:uiPriority w:val="62"/>
    <w:rsid w:val="007A1FDC"/>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Heading5Char">
    <w:name w:val="Heading 5 Char"/>
    <w:basedOn w:val="DefaultParagraphFont"/>
    <w:link w:val="Heading5"/>
    <w:uiPriority w:val="9"/>
    <w:rsid w:val="0096326A"/>
    <w:rPr>
      <w:rFonts w:asciiTheme="majorHAnsi" w:eastAsiaTheme="majorEastAsia" w:hAnsiTheme="majorHAnsi" w:cstheme="majorBidi"/>
      <w:color w:val="243F60" w:themeColor="accent1" w:themeShade="7F"/>
    </w:rPr>
  </w:style>
  <w:style w:type="paragraph" w:styleId="TOC1">
    <w:name w:val="toc 1"/>
    <w:basedOn w:val="Normal"/>
    <w:next w:val="Normal"/>
    <w:autoRedefine/>
    <w:uiPriority w:val="39"/>
    <w:unhideWhenUsed/>
    <w:rsid w:val="000104B8"/>
    <w:pPr>
      <w:spacing w:after="100"/>
    </w:pPr>
  </w:style>
  <w:style w:type="paragraph" w:styleId="TOC2">
    <w:name w:val="toc 2"/>
    <w:basedOn w:val="Normal"/>
    <w:next w:val="Normal"/>
    <w:autoRedefine/>
    <w:uiPriority w:val="39"/>
    <w:unhideWhenUsed/>
    <w:rsid w:val="000104B8"/>
    <w:pPr>
      <w:spacing w:after="100"/>
      <w:ind w:left="220"/>
    </w:pPr>
  </w:style>
  <w:style w:type="paragraph" w:styleId="TOC3">
    <w:name w:val="toc 3"/>
    <w:basedOn w:val="Normal"/>
    <w:next w:val="Normal"/>
    <w:autoRedefine/>
    <w:uiPriority w:val="39"/>
    <w:unhideWhenUsed/>
    <w:rsid w:val="000104B8"/>
    <w:pPr>
      <w:spacing w:after="100"/>
      <w:ind w:left="440"/>
    </w:pPr>
  </w:style>
  <w:style w:type="paragraph" w:styleId="TOC4">
    <w:name w:val="toc 4"/>
    <w:basedOn w:val="Normal"/>
    <w:next w:val="Normal"/>
    <w:autoRedefine/>
    <w:uiPriority w:val="39"/>
    <w:unhideWhenUsed/>
    <w:rsid w:val="000104B8"/>
    <w:pPr>
      <w:spacing w:after="100"/>
      <w:ind w:left="660"/>
    </w:pPr>
    <w:rPr>
      <w:rFonts w:eastAsiaTheme="minorEastAsia"/>
    </w:rPr>
  </w:style>
  <w:style w:type="paragraph" w:styleId="TOC5">
    <w:name w:val="toc 5"/>
    <w:basedOn w:val="Normal"/>
    <w:next w:val="Normal"/>
    <w:autoRedefine/>
    <w:uiPriority w:val="39"/>
    <w:unhideWhenUsed/>
    <w:rsid w:val="000104B8"/>
    <w:pPr>
      <w:spacing w:after="100"/>
      <w:ind w:left="880"/>
    </w:pPr>
    <w:rPr>
      <w:rFonts w:eastAsiaTheme="minorEastAsia"/>
    </w:rPr>
  </w:style>
  <w:style w:type="paragraph" w:styleId="TOC6">
    <w:name w:val="toc 6"/>
    <w:basedOn w:val="Normal"/>
    <w:next w:val="Normal"/>
    <w:autoRedefine/>
    <w:uiPriority w:val="39"/>
    <w:unhideWhenUsed/>
    <w:rsid w:val="000104B8"/>
    <w:pPr>
      <w:spacing w:after="100"/>
      <w:ind w:left="1100"/>
    </w:pPr>
    <w:rPr>
      <w:rFonts w:eastAsiaTheme="minorEastAsia"/>
    </w:rPr>
  </w:style>
  <w:style w:type="paragraph" w:styleId="TOC7">
    <w:name w:val="toc 7"/>
    <w:basedOn w:val="Normal"/>
    <w:next w:val="Normal"/>
    <w:autoRedefine/>
    <w:uiPriority w:val="39"/>
    <w:unhideWhenUsed/>
    <w:rsid w:val="000104B8"/>
    <w:pPr>
      <w:spacing w:after="100"/>
      <w:ind w:left="1320"/>
    </w:pPr>
    <w:rPr>
      <w:rFonts w:eastAsiaTheme="minorEastAsia"/>
    </w:rPr>
  </w:style>
  <w:style w:type="paragraph" w:styleId="TOC8">
    <w:name w:val="toc 8"/>
    <w:basedOn w:val="Normal"/>
    <w:next w:val="Normal"/>
    <w:autoRedefine/>
    <w:uiPriority w:val="39"/>
    <w:unhideWhenUsed/>
    <w:rsid w:val="000104B8"/>
    <w:pPr>
      <w:spacing w:after="100"/>
      <w:ind w:left="1540"/>
    </w:pPr>
    <w:rPr>
      <w:rFonts w:eastAsiaTheme="minorEastAsia"/>
    </w:rPr>
  </w:style>
  <w:style w:type="paragraph" w:styleId="TOC9">
    <w:name w:val="toc 9"/>
    <w:basedOn w:val="Normal"/>
    <w:next w:val="Normal"/>
    <w:autoRedefine/>
    <w:uiPriority w:val="39"/>
    <w:unhideWhenUsed/>
    <w:rsid w:val="000104B8"/>
    <w:pPr>
      <w:spacing w:after="100"/>
      <w:ind w:left="1760"/>
    </w:pPr>
    <w:rPr>
      <w:rFonts w:eastAsiaTheme="minorEastAsia"/>
    </w:rPr>
  </w:style>
  <w:style w:type="character" w:customStyle="1" w:styleId="Heading6Char">
    <w:name w:val="Heading 6 Char"/>
    <w:basedOn w:val="DefaultParagraphFont"/>
    <w:link w:val="Heading6"/>
    <w:rsid w:val="00C73398"/>
    <w:rPr>
      <w:rFonts w:ascii="Calibri" w:eastAsia="Calibri" w:hAnsi="Calibri" w:cs="Calibri"/>
      <w:b/>
      <w:color w:val="000000"/>
      <w:sz w:val="20"/>
      <w:szCs w:val="20"/>
    </w:rPr>
  </w:style>
  <w:style w:type="paragraph" w:styleId="Subtitle">
    <w:name w:val="Subtitle"/>
    <w:basedOn w:val="Normal1"/>
    <w:next w:val="Normal1"/>
    <w:link w:val="SubtitleChar"/>
    <w:rsid w:val="00C73398"/>
    <w:pPr>
      <w:keepNext/>
      <w:keepLines/>
      <w:spacing w:before="360" w:after="80"/>
      <w:contextualSpacing/>
    </w:pPr>
    <w:rPr>
      <w:rFonts w:ascii="Georgia" w:eastAsia="Georgia" w:hAnsi="Georgia" w:cs="Georgia"/>
      <w:i/>
      <w:color w:val="666666"/>
      <w:sz w:val="48"/>
      <w:szCs w:val="48"/>
    </w:rPr>
  </w:style>
  <w:style w:type="character" w:customStyle="1" w:styleId="SubtitleChar">
    <w:name w:val="Subtitle Char"/>
    <w:basedOn w:val="DefaultParagraphFont"/>
    <w:link w:val="Subtitle"/>
    <w:rsid w:val="00C73398"/>
    <w:rPr>
      <w:rFonts w:ascii="Georgia" w:eastAsia="Georgia" w:hAnsi="Georgia" w:cs="Georgia"/>
      <w:i/>
      <w:color w:val="666666"/>
      <w:sz w:val="48"/>
      <w:szCs w:val="48"/>
    </w:rPr>
  </w:style>
  <w:style w:type="paragraph" w:styleId="BodyTextIndent2">
    <w:name w:val="Body Text Indent 2"/>
    <w:basedOn w:val="Normal"/>
    <w:link w:val="BodyTextIndent2Char"/>
    <w:semiHidden/>
    <w:rsid w:val="00C73398"/>
    <w:pPr>
      <w:widowControl w:val="0"/>
      <w:spacing w:after="0" w:line="240" w:lineRule="auto"/>
      <w:ind w:left="1440" w:hanging="180"/>
    </w:pPr>
    <w:rPr>
      <w:rFonts w:ascii="Times New Roman" w:eastAsia="Times New Roman" w:hAnsi="Times New Roman" w:cs="Times New Roman"/>
      <w:snapToGrid w:val="0"/>
      <w:sz w:val="24"/>
      <w:szCs w:val="20"/>
    </w:rPr>
  </w:style>
  <w:style w:type="character" w:customStyle="1" w:styleId="BodyTextIndent2Char">
    <w:name w:val="Body Text Indent 2 Char"/>
    <w:basedOn w:val="DefaultParagraphFont"/>
    <w:link w:val="BodyTextIndent2"/>
    <w:semiHidden/>
    <w:rsid w:val="00C73398"/>
    <w:rPr>
      <w:rFonts w:ascii="Times New Roman" w:eastAsia="Times New Roman" w:hAnsi="Times New Roman" w:cs="Times New Roman"/>
      <w:snapToGrid w:val="0"/>
      <w:sz w:val="24"/>
      <w:szCs w:val="20"/>
    </w:rPr>
  </w:style>
  <w:style w:type="paragraph" w:styleId="BodyTextIndent3">
    <w:name w:val="Body Text Indent 3"/>
    <w:basedOn w:val="Normal"/>
    <w:link w:val="BodyTextIndent3Char"/>
    <w:semiHidden/>
    <w:rsid w:val="00C73398"/>
    <w:pPr>
      <w:widowControl w:val="0"/>
      <w:spacing w:after="0" w:line="240" w:lineRule="auto"/>
      <w:ind w:left="720"/>
    </w:pPr>
    <w:rPr>
      <w:rFonts w:ascii="Times New Roman" w:eastAsia="Times New Roman" w:hAnsi="Times New Roman" w:cs="Times New Roman"/>
      <w:snapToGrid w:val="0"/>
      <w:sz w:val="24"/>
      <w:szCs w:val="20"/>
    </w:rPr>
  </w:style>
  <w:style w:type="character" w:customStyle="1" w:styleId="BodyTextIndent3Char">
    <w:name w:val="Body Text Indent 3 Char"/>
    <w:basedOn w:val="DefaultParagraphFont"/>
    <w:link w:val="BodyTextIndent3"/>
    <w:semiHidden/>
    <w:rsid w:val="00C73398"/>
    <w:rPr>
      <w:rFonts w:ascii="Times New Roman" w:eastAsia="Times New Roman" w:hAnsi="Times New Roman" w:cs="Times New Roman"/>
      <w:snapToGrid w:val="0"/>
      <w:sz w:val="24"/>
      <w:szCs w:val="20"/>
    </w:rPr>
  </w:style>
  <w:style w:type="paragraph" w:styleId="NormalWeb">
    <w:name w:val="Normal (Web)"/>
    <w:basedOn w:val="Normal"/>
    <w:uiPriority w:val="99"/>
    <w:rsid w:val="00C7339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C73398"/>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TxBrp2">
    <w:name w:val="TxBr_p2"/>
    <w:basedOn w:val="Normal"/>
    <w:rsid w:val="00C73398"/>
    <w:pPr>
      <w:widowControl w:val="0"/>
      <w:tabs>
        <w:tab w:val="left" w:pos="266"/>
      </w:tabs>
      <w:spacing w:after="0" w:line="209" w:lineRule="atLeast"/>
      <w:ind w:left="539"/>
      <w:jc w:val="both"/>
    </w:pPr>
    <w:rPr>
      <w:rFonts w:ascii="Times New Roman" w:eastAsia="Times New Roman" w:hAnsi="Times New Roman" w:cs="Times New Roman"/>
      <w:snapToGrid w:val="0"/>
      <w:sz w:val="24"/>
      <w:szCs w:val="20"/>
    </w:rPr>
  </w:style>
  <w:style w:type="paragraph" w:styleId="BodyTextIndent">
    <w:name w:val="Body Text Indent"/>
    <w:basedOn w:val="Normal"/>
    <w:link w:val="BodyTextIndentChar"/>
    <w:semiHidden/>
    <w:unhideWhenUsed/>
    <w:rsid w:val="00C73398"/>
    <w:pPr>
      <w:spacing w:after="120" w:line="240" w:lineRule="auto"/>
      <w:ind w:left="360"/>
    </w:pPr>
    <w:rPr>
      <w:rFonts w:ascii="Calibri" w:eastAsia="Calibri" w:hAnsi="Calibri" w:cs="Calibri"/>
      <w:color w:val="000000"/>
    </w:rPr>
  </w:style>
  <w:style w:type="character" w:customStyle="1" w:styleId="BodyTextIndentChar">
    <w:name w:val="Body Text Indent Char"/>
    <w:basedOn w:val="DefaultParagraphFont"/>
    <w:link w:val="BodyTextIndent"/>
    <w:semiHidden/>
    <w:rsid w:val="00C73398"/>
    <w:rPr>
      <w:rFonts w:ascii="Calibri" w:eastAsia="Calibri" w:hAnsi="Calibri" w:cs="Calibri"/>
      <w:color w:val="000000"/>
    </w:rPr>
  </w:style>
  <w:style w:type="paragraph" w:styleId="BodyText">
    <w:name w:val="Body Text"/>
    <w:basedOn w:val="Normal"/>
    <w:link w:val="BodyTextChar"/>
    <w:uiPriority w:val="1"/>
    <w:unhideWhenUsed/>
    <w:qFormat/>
    <w:rsid w:val="00C73398"/>
    <w:pPr>
      <w:spacing w:after="120" w:line="240" w:lineRule="auto"/>
    </w:pPr>
    <w:rPr>
      <w:rFonts w:ascii="Calibri" w:eastAsia="Calibri" w:hAnsi="Calibri" w:cs="Calibri"/>
      <w:color w:val="000000"/>
    </w:rPr>
  </w:style>
  <w:style w:type="character" w:customStyle="1" w:styleId="BodyTextChar">
    <w:name w:val="Body Text Char"/>
    <w:basedOn w:val="DefaultParagraphFont"/>
    <w:link w:val="BodyText"/>
    <w:uiPriority w:val="1"/>
    <w:rsid w:val="00C73398"/>
    <w:rPr>
      <w:rFonts w:ascii="Calibri" w:eastAsia="Calibri" w:hAnsi="Calibri" w:cs="Calibri"/>
      <w:color w:val="000000"/>
    </w:rPr>
  </w:style>
  <w:style w:type="paragraph" w:styleId="BodyText2">
    <w:name w:val="Body Text 2"/>
    <w:basedOn w:val="Normal"/>
    <w:link w:val="BodyText2Char"/>
    <w:uiPriority w:val="99"/>
    <w:unhideWhenUsed/>
    <w:rsid w:val="00C73398"/>
    <w:pPr>
      <w:spacing w:after="120" w:line="480" w:lineRule="auto"/>
    </w:pPr>
    <w:rPr>
      <w:rFonts w:ascii="Calibri" w:eastAsia="Calibri" w:hAnsi="Calibri" w:cs="Calibri"/>
      <w:color w:val="000000"/>
    </w:rPr>
  </w:style>
  <w:style w:type="character" w:customStyle="1" w:styleId="BodyText2Char">
    <w:name w:val="Body Text 2 Char"/>
    <w:basedOn w:val="DefaultParagraphFont"/>
    <w:link w:val="BodyText2"/>
    <w:uiPriority w:val="99"/>
    <w:rsid w:val="00C73398"/>
    <w:rPr>
      <w:rFonts w:ascii="Calibri" w:eastAsia="Calibri" w:hAnsi="Calibri" w:cs="Calibri"/>
      <w:color w:val="000000"/>
    </w:rPr>
  </w:style>
  <w:style w:type="paragraph" w:styleId="BodyText3">
    <w:name w:val="Body Text 3"/>
    <w:basedOn w:val="Normal"/>
    <w:link w:val="BodyText3Char"/>
    <w:unhideWhenUsed/>
    <w:rsid w:val="00C73398"/>
    <w:pPr>
      <w:spacing w:after="120" w:line="240" w:lineRule="auto"/>
    </w:pPr>
    <w:rPr>
      <w:rFonts w:ascii="Calibri" w:eastAsia="Calibri" w:hAnsi="Calibri" w:cs="Calibri"/>
      <w:color w:val="000000"/>
      <w:sz w:val="16"/>
      <w:szCs w:val="16"/>
    </w:rPr>
  </w:style>
  <w:style w:type="character" w:customStyle="1" w:styleId="BodyText3Char">
    <w:name w:val="Body Text 3 Char"/>
    <w:basedOn w:val="DefaultParagraphFont"/>
    <w:link w:val="BodyText3"/>
    <w:rsid w:val="00C73398"/>
    <w:rPr>
      <w:rFonts w:ascii="Calibri" w:eastAsia="Calibri" w:hAnsi="Calibri" w:cs="Calibri"/>
      <w:color w:val="000000"/>
      <w:sz w:val="16"/>
      <w:szCs w:val="16"/>
    </w:rPr>
  </w:style>
  <w:style w:type="character" w:customStyle="1" w:styleId="a">
    <w:name w:val="À&quot;À"/>
    <w:basedOn w:val="DefaultParagraphFont"/>
    <w:rsid w:val="00C73398"/>
  </w:style>
  <w:style w:type="paragraph" w:styleId="TOAHeading">
    <w:name w:val="toa heading"/>
    <w:basedOn w:val="Normal"/>
    <w:next w:val="Normal"/>
    <w:semiHidden/>
    <w:rsid w:val="00C73398"/>
    <w:pPr>
      <w:tabs>
        <w:tab w:val="left" w:pos="9000"/>
        <w:tab w:val="right" w:pos="9360"/>
      </w:tabs>
      <w:suppressAutoHyphens/>
      <w:spacing w:after="0" w:line="240" w:lineRule="auto"/>
    </w:pPr>
    <w:rPr>
      <w:rFonts w:ascii="Times New Roman" w:eastAsia="Times New Roman" w:hAnsi="Times New Roman" w:cs="Times New Roman"/>
      <w:sz w:val="24"/>
      <w:szCs w:val="20"/>
    </w:rPr>
  </w:style>
  <w:style w:type="character" w:customStyle="1" w:styleId="bodytext10">
    <w:name w:val="body_text1"/>
    <w:rsid w:val="00C73398"/>
    <w:rPr>
      <w:rFonts w:ascii="Verdana" w:hAnsi="Verdana" w:hint="default"/>
      <w:i w:val="0"/>
      <w:iCs w:val="0"/>
      <w:spacing w:val="225"/>
      <w:sz w:val="20"/>
      <w:szCs w:val="20"/>
    </w:rPr>
  </w:style>
  <w:style w:type="paragraph" w:customStyle="1" w:styleId="ms-rtefontface-11">
    <w:name w:val="ms-rtefontface-11"/>
    <w:basedOn w:val="Normal"/>
    <w:rsid w:val="00C73398"/>
    <w:pPr>
      <w:spacing w:after="0" w:line="240" w:lineRule="auto"/>
    </w:pPr>
    <w:rPr>
      <w:rFonts w:ascii="Garamond" w:eastAsia="Times New Roman" w:hAnsi="Garamond" w:cs="Times New Roman"/>
      <w:sz w:val="23"/>
      <w:szCs w:val="23"/>
    </w:rPr>
  </w:style>
  <w:style w:type="paragraph" w:customStyle="1" w:styleId="style9">
    <w:name w:val="style9"/>
    <w:basedOn w:val="Normal"/>
    <w:rsid w:val="00C7339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8">
    <w:name w:val="style8"/>
    <w:basedOn w:val="DefaultParagraphFont"/>
    <w:rsid w:val="00C73398"/>
  </w:style>
  <w:style w:type="character" w:customStyle="1" w:styleId="style10">
    <w:name w:val="style10"/>
    <w:basedOn w:val="DefaultParagraphFont"/>
    <w:rsid w:val="00C73398"/>
  </w:style>
  <w:style w:type="table" w:customStyle="1" w:styleId="GridTable4-Accent51">
    <w:name w:val="Grid Table 4 - Accent 51"/>
    <w:basedOn w:val="TableNormal"/>
    <w:uiPriority w:val="49"/>
    <w:rsid w:val="003F541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NoList1">
    <w:name w:val="No List1"/>
    <w:next w:val="NoList"/>
    <w:uiPriority w:val="99"/>
    <w:semiHidden/>
    <w:rsid w:val="001F7B29"/>
  </w:style>
  <w:style w:type="character" w:customStyle="1" w:styleId="CommentReference1">
    <w:name w:val="Comment Reference1"/>
    <w:rsid w:val="001F7B29"/>
    <w:rPr>
      <w:color w:val="000000"/>
      <w:sz w:val="16"/>
    </w:rPr>
  </w:style>
  <w:style w:type="numbering" w:customStyle="1" w:styleId="List7">
    <w:name w:val="List 7"/>
    <w:rsid w:val="001F7B29"/>
    <w:pPr>
      <w:numPr>
        <w:numId w:val="1"/>
      </w:numPr>
    </w:pPr>
  </w:style>
  <w:style w:type="numbering" w:customStyle="1" w:styleId="List15">
    <w:name w:val="List 15"/>
    <w:rsid w:val="001F7B29"/>
    <w:pPr>
      <w:numPr>
        <w:numId w:val="2"/>
      </w:numPr>
    </w:pPr>
  </w:style>
  <w:style w:type="numbering" w:customStyle="1" w:styleId="List20">
    <w:name w:val="List 20"/>
    <w:rsid w:val="001F7B29"/>
    <w:pPr>
      <w:numPr>
        <w:numId w:val="4"/>
      </w:numPr>
    </w:pPr>
  </w:style>
  <w:style w:type="paragraph" w:customStyle="1" w:styleId="Heading11">
    <w:name w:val="Heading 11"/>
    <w:next w:val="Normal"/>
    <w:rsid w:val="001F7B29"/>
    <w:pPr>
      <w:keepNext/>
      <w:spacing w:after="0" w:line="240" w:lineRule="auto"/>
      <w:jc w:val="center"/>
      <w:outlineLvl w:val="0"/>
    </w:pPr>
    <w:rPr>
      <w:rFonts w:ascii="Times New Roman Bold" w:eastAsia="ヒラギノ角ゴ Pro W3" w:hAnsi="Times New Roman Bold" w:cs="Times New Roman"/>
      <w:color w:val="000000"/>
      <w:sz w:val="24"/>
      <w:szCs w:val="20"/>
    </w:rPr>
  </w:style>
  <w:style w:type="character" w:customStyle="1" w:styleId="FootnoteReference3">
    <w:name w:val="Footnote Reference3"/>
    <w:rsid w:val="001F7B29"/>
    <w:rPr>
      <w:color w:val="000000"/>
      <w:sz w:val="24"/>
      <w:vertAlign w:val="superscript"/>
    </w:rPr>
  </w:style>
  <w:style w:type="paragraph" w:customStyle="1" w:styleId="FootnoteText1">
    <w:name w:val="Footnote Text1"/>
    <w:rsid w:val="001F7B29"/>
    <w:pPr>
      <w:spacing w:after="0" w:line="240" w:lineRule="auto"/>
    </w:pPr>
    <w:rPr>
      <w:rFonts w:ascii="Lucida Grande" w:eastAsia="ヒラギノ角ゴ Pro W3" w:hAnsi="Lucida Grande" w:cs="Times New Roman"/>
      <w:color w:val="000000"/>
      <w:sz w:val="20"/>
      <w:szCs w:val="20"/>
    </w:rPr>
  </w:style>
  <w:style w:type="character" w:customStyle="1" w:styleId="CommentReference2">
    <w:name w:val="Comment Reference2"/>
    <w:rsid w:val="001F7B29"/>
    <w:rPr>
      <w:color w:val="000000"/>
      <w:sz w:val="16"/>
    </w:rPr>
  </w:style>
  <w:style w:type="character" w:styleId="Strong">
    <w:name w:val="Strong"/>
    <w:uiPriority w:val="22"/>
    <w:qFormat/>
    <w:rsid w:val="001F7B29"/>
    <w:rPr>
      <w:b/>
      <w:bCs/>
    </w:rPr>
  </w:style>
  <w:style w:type="table" w:customStyle="1" w:styleId="LightGrid-Accent11">
    <w:name w:val="Light Grid - Accent 11"/>
    <w:basedOn w:val="TableNormal"/>
    <w:next w:val="LightGrid-Accent1"/>
    <w:uiPriority w:val="62"/>
    <w:rsid w:val="001F7B29"/>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
    <w:name w:val="Table Grid1"/>
    <w:basedOn w:val="TableNormal"/>
    <w:next w:val="TableGrid"/>
    <w:locked/>
    <w:rsid w:val="001F7B2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Subtle1">
    <w:name w:val="Table Subtle 1"/>
    <w:basedOn w:val="TableNormal"/>
    <w:rsid w:val="001F7B29"/>
    <w:pPr>
      <w:spacing w:after="0" w:line="240" w:lineRule="auto"/>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Shading-Accent11">
    <w:name w:val="Light Shading - Accent 11"/>
    <w:basedOn w:val="TableNormal"/>
    <w:next w:val="LightShading-Accent1"/>
    <w:uiPriority w:val="60"/>
    <w:rsid w:val="001F7B29"/>
    <w:pPr>
      <w:spacing w:after="0" w:line="240" w:lineRule="auto"/>
    </w:pPr>
    <w:rPr>
      <w:rFonts w:ascii="Times New Roman" w:eastAsia="Times New Roman" w:hAnsi="Times New Roman"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List1-Accent1">
    <w:name w:val="Medium List 1 Accent 1"/>
    <w:basedOn w:val="TableNormal"/>
    <w:uiPriority w:val="65"/>
    <w:rsid w:val="001F7B29"/>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Grid1-Accent11">
    <w:name w:val="Medium Grid 1 - Accent 11"/>
    <w:basedOn w:val="TableNormal"/>
    <w:next w:val="MediumGrid1-Accent1"/>
    <w:uiPriority w:val="67"/>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GridTable1Light-Accent51">
    <w:name w:val="Grid Table 1 Light - Accent 51"/>
    <w:basedOn w:val="TableNormal"/>
    <w:uiPriority w:val="46"/>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2-Accent21">
    <w:name w:val="Grid Table 2 - Accent 21"/>
    <w:basedOn w:val="TableNormal"/>
    <w:uiPriority w:val="47"/>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2-Accent31">
    <w:name w:val="Grid Table 2 - Accent 31"/>
    <w:basedOn w:val="TableNormal"/>
    <w:uiPriority w:val="47"/>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PlainTable11">
    <w:name w:val="Plain Table 11"/>
    <w:basedOn w:val="TableNormal"/>
    <w:uiPriority w:val="41"/>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1F7B29"/>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1F7B29"/>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MediumShading1-Accent1">
    <w:name w:val="Medium Shading 1 Accent 1"/>
    <w:basedOn w:val="TableNormal"/>
    <w:uiPriority w:val="63"/>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1">
    <w:name w:val="Table Grid11"/>
    <w:basedOn w:val="TableNormal"/>
    <w:next w:val="TableGrid"/>
    <w:uiPriority w:val="59"/>
    <w:rsid w:val="001F7B29"/>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semiHidden/>
    <w:unhideWhenUsed/>
    <w:rsid w:val="001F7B29"/>
  </w:style>
  <w:style w:type="paragraph" w:customStyle="1" w:styleId="Level1">
    <w:name w:val="Level 1"/>
    <w:basedOn w:val="Normal"/>
    <w:rsid w:val="001F7B29"/>
    <w:pPr>
      <w:widowControl w:val="0"/>
      <w:spacing w:after="0" w:line="240" w:lineRule="auto"/>
      <w:ind w:left="720" w:hanging="720"/>
    </w:pPr>
    <w:rPr>
      <w:rFonts w:ascii="Arial" w:eastAsia="Times New Roman" w:hAnsi="Arial" w:cs="Times New Roman"/>
      <w:snapToGrid w:val="0"/>
      <w:sz w:val="24"/>
      <w:szCs w:val="20"/>
    </w:rPr>
  </w:style>
  <w:style w:type="character" w:styleId="PageNumber">
    <w:name w:val="page number"/>
    <w:rsid w:val="001F7B29"/>
  </w:style>
  <w:style w:type="numbering" w:customStyle="1" w:styleId="NoList2">
    <w:name w:val="No List2"/>
    <w:next w:val="NoList"/>
    <w:uiPriority w:val="99"/>
    <w:semiHidden/>
    <w:unhideWhenUsed/>
    <w:rsid w:val="001F7B29"/>
  </w:style>
  <w:style w:type="paragraph" w:customStyle="1" w:styleId="TableParagraph">
    <w:name w:val="Table Paragraph"/>
    <w:basedOn w:val="Normal"/>
    <w:uiPriority w:val="1"/>
    <w:qFormat/>
    <w:rsid w:val="001F7B29"/>
    <w:pPr>
      <w:widowControl w:val="0"/>
      <w:spacing w:after="0" w:line="240" w:lineRule="auto"/>
    </w:pPr>
    <w:rPr>
      <w:rFonts w:ascii="Calibri" w:eastAsia="Calibri" w:hAnsi="Calibri" w:cs="Times New Roman"/>
    </w:rPr>
  </w:style>
  <w:style w:type="table" w:customStyle="1" w:styleId="LightList-Accent11">
    <w:name w:val="Light List - Accent 11"/>
    <w:basedOn w:val="TableNormal"/>
    <w:next w:val="LightList-Accent1"/>
    <w:uiPriority w:val="61"/>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Grid3-Accent1">
    <w:name w:val="Medium Grid 3 Accent 1"/>
    <w:basedOn w:val="TableNormal"/>
    <w:uiPriority w:val="69"/>
    <w:rsid w:val="001F7B2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2">
    <w:name w:val="Table Grid2"/>
    <w:basedOn w:val="TableNormal"/>
    <w:next w:val="TableGrid"/>
    <w:uiPriority w:val="59"/>
    <w:rsid w:val="001F7B2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1F7B29"/>
    <w:rPr>
      <w:color w:val="800080"/>
      <w:u w:val="single"/>
    </w:rPr>
  </w:style>
  <w:style w:type="character" w:customStyle="1" w:styleId="il">
    <w:name w:val="il"/>
    <w:basedOn w:val="DefaultParagraphFont"/>
    <w:rsid w:val="009706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1439">
      <w:bodyDiv w:val="1"/>
      <w:marLeft w:val="0"/>
      <w:marRight w:val="0"/>
      <w:marTop w:val="0"/>
      <w:marBottom w:val="0"/>
      <w:divBdr>
        <w:top w:val="none" w:sz="0" w:space="0" w:color="auto"/>
        <w:left w:val="none" w:sz="0" w:space="0" w:color="auto"/>
        <w:bottom w:val="none" w:sz="0" w:space="0" w:color="auto"/>
        <w:right w:val="none" w:sz="0" w:space="0" w:color="auto"/>
      </w:divBdr>
    </w:div>
    <w:div w:id="38017702">
      <w:bodyDiv w:val="1"/>
      <w:marLeft w:val="0"/>
      <w:marRight w:val="0"/>
      <w:marTop w:val="0"/>
      <w:marBottom w:val="0"/>
      <w:divBdr>
        <w:top w:val="none" w:sz="0" w:space="0" w:color="auto"/>
        <w:left w:val="none" w:sz="0" w:space="0" w:color="auto"/>
        <w:bottom w:val="none" w:sz="0" w:space="0" w:color="auto"/>
        <w:right w:val="none" w:sz="0" w:space="0" w:color="auto"/>
      </w:divBdr>
    </w:div>
    <w:div w:id="51076961">
      <w:bodyDiv w:val="1"/>
      <w:marLeft w:val="0"/>
      <w:marRight w:val="0"/>
      <w:marTop w:val="0"/>
      <w:marBottom w:val="0"/>
      <w:divBdr>
        <w:top w:val="none" w:sz="0" w:space="0" w:color="auto"/>
        <w:left w:val="none" w:sz="0" w:space="0" w:color="auto"/>
        <w:bottom w:val="none" w:sz="0" w:space="0" w:color="auto"/>
        <w:right w:val="none" w:sz="0" w:space="0" w:color="auto"/>
      </w:divBdr>
    </w:div>
    <w:div w:id="70582878">
      <w:bodyDiv w:val="1"/>
      <w:marLeft w:val="0"/>
      <w:marRight w:val="0"/>
      <w:marTop w:val="0"/>
      <w:marBottom w:val="0"/>
      <w:divBdr>
        <w:top w:val="none" w:sz="0" w:space="0" w:color="auto"/>
        <w:left w:val="none" w:sz="0" w:space="0" w:color="auto"/>
        <w:bottom w:val="none" w:sz="0" w:space="0" w:color="auto"/>
        <w:right w:val="none" w:sz="0" w:space="0" w:color="auto"/>
      </w:divBdr>
    </w:div>
    <w:div w:id="113016349">
      <w:bodyDiv w:val="1"/>
      <w:marLeft w:val="0"/>
      <w:marRight w:val="0"/>
      <w:marTop w:val="0"/>
      <w:marBottom w:val="0"/>
      <w:divBdr>
        <w:top w:val="none" w:sz="0" w:space="0" w:color="auto"/>
        <w:left w:val="none" w:sz="0" w:space="0" w:color="auto"/>
        <w:bottom w:val="none" w:sz="0" w:space="0" w:color="auto"/>
        <w:right w:val="none" w:sz="0" w:space="0" w:color="auto"/>
      </w:divBdr>
    </w:div>
    <w:div w:id="127862813">
      <w:bodyDiv w:val="1"/>
      <w:marLeft w:val="0"/>
      <w:marRight w:val="0"/>
      <w:marTop w:val="0"/>
      <w:marBottom w:val="0"/>
      <w:divBdr>
        <w:top w:val="none" w:sz="0" w:space="0" w:color="auto"/>
        <w:left w:val="none" w:sz="0" w:space="0" w:color="auto"/>
        <w:bottom w:val="none" w:sz="0" w:space="0" w:color="auto"/>
        <w:right w:val="none" w:sz="0" w:space="0" w:color="auto"/>
      </w:divBdr>
    </w:div>
    <w:div w:id="133106700">
      <w:bodyDiv w:val="1"/>
      <w:marLeft w:val="0"/>
      <w:marRight w:val="0"/>
      <w:marTop w:val="0"/>
      <w:marBottom w:val="0"/>
      <w:divBdr>
        <w:top w:val="none" w:sz="0" w:space="0" w:color="auto"/>
        <w:left w:val="none" w:sz="0" w:space="0" w:color="auto"/>
        <w:bottom w:val="none" w:sz="0" w:space="0" w:color="auto"/>
        <w:right w:val="none" w:sz="0" w:space="0" w:color="auto"/>
      </w:divBdr>
    </w:div>
    <w:div w:id="144128110">
      <w:bodyDiv w:val="1"/>
      <w:marLeft w:val="0"/>
      <w:marRight w:val="0"/>
      <w:marTop w:val="0"/>
      <w:marBottom w:val="0"/>
      <w:divBdr>
        <w:top w:val="none" w:sz="0" w:space="0" w:color="auto"/>
        <w:left w:val="none" w:sz="0" w:space="0" w:color="auto"/>
        <w:bottom w:val="none" w:sz="0" w:space="0" w:color="auto"/>
        <w:right w:val="none" w:sz="0" w:space="0" w:color="auto"/>
      </w:divBdr>
    </w:div>
    <w:div w:id="146165773">
      <w:bodyDiv w:val="1"/>
      <w:marLeft w:val="0"/>
      <w:marRight w:val="0"/>
      <w:marTop w:val="0"/>
      <w:marBottom w:val="0"/>
      <w:divBdr>
        <w:top w:val="none" w:sz="0" w:space="0" w:color="auto"/>
        <w:left w:val="none" w:sz="0" w:space="0" w:color="auto"/>
        <w:bottom w:val="none" w:sz="0" w:space="0" w:color="auto"/>
        <w:right w:val="none" w:sz="0" w:space="0" w:color="auto"/>
      </w:divBdr>
    </w:div>
    <w:div w:id="157615914">
      <w:bodyDiv w:val="1"/>
      <w:marLeft w:val="0"/>
      <w:marRight w:val="0"/>
      <w:marTop w:val="0"/>
      <w:marBottom w:val="0"/>
      <w:divBdr>
        <w:top w:val="none" w:sz="0" w:space="0" w:color="auto"/>
        <w:left w:val="none" w:sz="0" w:space="0" w:color="auto"/>
        <w:bottom w:val="none" w:sz="0" w:space="0" w:color="auto"/>
        <w:right w:val="none" w:sz="0" w:space="0" w:color="auto"/>
      </w:divBdr>
    </w:div>
    <w:div w:id="172497452">
      <w:bodyDiv w:val="1"/>
      <w:marLeft w:val="0"/>
      <w:marRight w:val="0"/>
      <w:marTop w:val="0"/>
      <w:marBottom w:val="0"/>
      <w:divBdr>
        <w:top w:val="none" w:sz="0" w:space="0" w:color="auto"/>
        <w:left w:val="none" w:sz="0" w:space="0" w:color="auto"/>
        <w:bottom w:val="none" w:sz="0" w:space="0" w:color="auto"/>
        <w:right w:val="none" w:sz="0" w:space="0" w:color="auto"/>
      </w:divBdr>
    </w:div>
    <w:div w:id="205607609">
      <w:bodyDiv w:val="1"/>
      <w:marLeft w:val="0"/>
      <w:marRight w:val="0"/>
      <w:marTop w:val="0"/>
      <w:marBottom w:val="0"/>
      <w:divBdr>
        <w:top w:val="none" w:sz="0" w:space="0" w:color="auto"/>
        <w:left w:val="none" w:sz="0" w:space="0" w:color="auto"/>
        <w:bottom w:val="none" w:sz="0" w:space="0" w:color="auto"/>
        <w:right w:val="none" w:sz="0" w:space="0" w:color="auto"/>
      </w:divBdr>
    </w:div>
    <w:div w:id="237206805">
      <w:bodyDiv w:val="1"/>
      <w:marLeft w:val="0"/>
      <w:marRight w:val="0"/>
      <w:marTop w:val="0"/>
      <w:marBottom w:val="0"/>
      <w:divBdr>
        <w:top w:val="none" w:sz="0" w:space="0" w:color="auto"/>
        <w:left w:val="none" w:sz="0" w:space="0" w:color="auto"/>
        <w:bottom w:val="none" w:sz="0" w:space="0" w:color="auto"/>
        <w:right w:val="none" w:sz="0" w:space="0" w:color="auto"/>
      </w:divBdr>
    </w:div>
    <w:div w:id="264191493">
      <w:bodyDiv w:val="1"/>
      <w:marLeft w:val="0"/>
      <w:marRight w:val="0"/>
      <w:marTop w:val="0"/>
      <w:marBottom w:val="0"/>
      <w:divBdr>
        <w:top w:val="none" w:sz="0" w:space="0" w:color="auto"/>
        <w:left w:val="none" w:sz="0" w:space="0" w:color="auto"/>
        <w:bottom w:val="none" w:sz="0" w:space="0" w:color="auto"/>
        <w:right w:val="none" w:sz="0" w:space="0" w:color="auto"/>
      </w:divBdr>
    </w:div>
    <w:div w:id="265890023">
      <w:bodyDiv w:val="1"/>
      <w:marLeft w:val="0"/>
      <w:marRight w:val="0"/>
      <w:marTop w:val="0"/>
      <w:marBottom w:val="0"/>
      <w:divBdr>
        <w:top w:val="none" w:sz="0" w:space="0" w:color="auto"/>
        <w:left w:val="none" w:sz="0" w:space="0" w:color="auto"/>
        <w:bottom w:val="none" w:sz="0" w:space="0" w:color="auto"/>
        <w:right w:val="none" w:sz="0" w:space="0" w:color="auto"/>
      </w:divBdr>
    </w:div>
    <w:div w:id="266079332">
      <w:bodyDiv w:val="1"/>
      <w:marLeft w:val="0"/>
      <w:marRight w:val="0"/>
      <w:marTop w:val="0"/>
      <w:marBottom w:val="0"/>
      <w:divBdr>
        <w:top w:val="none" w:sz="0" w:space="0" w:color="auto"/>
        <w:left w:val="none" w:sz="0" w:space="0" w:color="auto"/>
        <w:bottom w:val="none" w:sz="0" w:space="0" w:color="auto"/>
        <w:right w:val="none" w:sz="0" w:space="0" w:color="auto"/>
      </w:divBdr>
    </w:div>
    <w:div w:id="273441967">
      <w:bodyDiv w:val="1"/>
      <w:marLeft w:val="0"/>
      <w:marRight w:val="0"/>
      <w:marTop w:val="0"/>
      <w:marBottom w:val="0"/>
      <w:divBdr>
        <w:top w:val="none" w:sz="0" w:space="0" w:color="auto"/>
        <w:left w:val="none" w:sz="0" w:space="0" w:color="auto"/>
        <w:bottom w:val="none" w:sz="0" w:space="0" w:color="auto"/>
        <w:right w:val="none" w:sz="0" w:space="0" w:color="auto"/>
      </w:divBdr>
    </w:div>
    <w:div w:id="277837702">
      <w:bodyDiv w:val="1"/>
      <w:marLeft w:val="0"/>
      <w:marRight w:val="0"/>
      <w:marTop w:val="0"/>
      <w:marBottom w:val="0"/>
      <w:divBdr>
        <w:top w:val="none" w:sz="0" w:space="0" w:color="auto"/>
        <w:left w:val="none" w:sz="0" w:space="0" w:color="auto"/>
        <w:bottom w:val="none" w:sz="0" w:space="0" w:color="auto"/>
        <w:right w:val="none" w:sz="0" w:space="0" w:color="auto"/>
      </w:divBdr>
    </w:div>
    <w:div w:id="300814457">
      <w:bodyDiv w:val="1"/>
      <w:marLeft w:val="0"/>
      <w:marRight w:val="0"/>
      <w:marTop w:val="0"/>
      <w:marBottom w:val="0"/>
      <w:divBdr>
        <w:top w:val="none" w:sz="0" w:space="0" w:color="auto"/>
        <w:left w:val="none" w:sz="0" w:space="0" w:color="auto"/>
        <w:bottom w:val="none" w:sz="0" w:space="0" w:color="auto"/>
        <w:right w:val="none" w:sz="0" w:space="0" w:color="auto"/>
      </w:divBdr>
    </w:div>
    <w:div w:id="314068483">
      <w:bodyDiv w:val="1"/>
      <w:marLeft w:val="0"/>
      <w:marRight w:val="0"/>
      <w:marTop w:val="0"/>
      <w:marBottom w:val="0"/>
      <w:divBdr>
        <w:top w:val="none" w:sz="0" w:space="0" w:color="auto"/>
        <w:left w:val="none" w:sz="0" w:space="0" w:color="auto"/>
        <w:bottom w:val="none" w:sz="0" w:space="0" w:color="auto"/>
        <w:right w:val="none" w:sz="0" w:space="0" w:color="auto"/>
      </w:divBdr>
    </w:div>
    <w:div w:id="340280470">
      <w:bodyDiv w:val="1"/>
      <w:marLeft w:val="0"/>
      <w:marRight w:val="0"/>
      <w:marTop w:val="0"/>
      <w:marBottom w:val="0"/>
      <w:divBdr>
        <w:top w:val="none" w:sz="0" w:space="0" w:color="auto"/>
        <w:left w:val="none" w:sz="0" w:space="0" w:color="auto"/>
        <w:bottom w:val="none" w:sz="0" w:space="0" w:color="auto"/>
        <w:right w:val="none" w:sz="0" w:space="0" w:color="auto"/>
      </w:divBdr>
    </w:div>
    <w:div w:id="357238146">
      <w:bodyDiv w:val="1"/>
      <w:marLeft w:val="0"/>
      <w:marRight w:val="0"/>
      <w:marTop w:val="0"/>
      <w:marBottom w:val="0"/>
      <w:divBdr>
        <w:top w:val="none" w:sz="0" w:space="0" w:color="auto"/>
        <w:left w:val="none" w:sz="0" w:space="0" w:color="auto"/>
        <w:bottom w:val="none" w:sz="0" w:space="0" w:color="auto"/>
        <w:right w:val="none" w:sz="0" w:space="0" w:color="auto"/>
      </w:divBdr>
    </w:div>
    <w:div w:id="359286068">
      <w:bodyDiv w:val="1"/>
      <w:marLeft w:val="0"/>
      <w:marRight w:val="0"/>
      <w:marTop w:val="0"/>
      <w:marBottom w:val="0"/>
      <w:divBdr>
        <w:top w:val="none" w:sz="0" w:space="0" w:color="auto"/>
        <w:left w:val="none" w:sz="0" w:space="0" w:color="auto"/>
        <w:bottom w:val="none" w:sz="0" w:space="0" w:color="auto"/>
        <w:right w:val="none" w:sz="0" w:space="0" w:color="auto"/>
      </w:divBdr>
    </w:div>
    <w:div w:id="417363624">
      <w:bodyDiv w:val="1"/>
      <w:marLeft w:val="0"/>
      <w:marRight w:val="0"/>
      <w:marTop w:val="0"/>
      <w:marBottom w:val="0"/>
      <w:divBdr>
        <w:top w:val="none" w:sz="0" w:space="0" w:color="auto"/>
        <w:left w:val="none" w:sz="0" w:space="0" w:color="auto"/>
        <w:bottom w:val="none" w:sz="0" w:space="0" w:color="auto"/>
        <w:right w:val="none" w:sz="0" w:space="0" w:color="auto"/>
      </w:divBdr>
    </w:div>
    <w:div w:id="424228334">
      <w:bodyDiv w:val="1"/>
      <w:marLeft w:val="0"/>
      <w:marRight w:val="0"/>
      <w:marTop w:val="0"/>
      <w:marBottom w:val="0"/>
      <w:divBdr>
        <w:top w:val="none" w:sz="0" w:space="0" w:color="auto"/>
        <w:left w:val="none" w:sz="0" w:space="0" w:color="auto"/>
        <w:bottom w:val="none" w:sz="0" w:space="0" w:color="auto"/>
        <w:right w:val="none" w:sz="0" w:space="0" w:color="auto"/>
      </w:divBdr>
    </w:div>
    <w:div w:id="425151760">
      <w:bodyDiv w:val="1"/>
      <w:marLeft w:val="0"/>
      <w:marRight w:val="0"/>
      <w:marTop w:val="0"/>
      <w:marBottom w:val="0"/>
      <w:divBdr>
        <w:top w:val="none" w:sz="0" w:space="0" w:color="auto"/>
        <w:left w:val="none" w:sz="0" w:space="0" w:color="auto"/>
        <w:bottom w:val="none" w:sz="0" w:space="0" w:color="auto"/>
        <w:right w:val="none" w:sz="0" w:space="0" w:color="auto"/>
      </w:divBdr>
    </w:div>
    <w:div w:id="453451727">
      <w:bodyDiv w:val="1"/>
      <w:marLeft w:val="0"/>
      <w:marRight w:val="0"/>
      <w:marTop w:val="0"/>
      <w:marBottom w:val="0"/>
      <w:divBdr>
        <w:top w:val="none" w:sz="0" w:space="0" w:color="auto"/>
        <w:left w:val="none" w:sz="0" w:space="0" w:color="auto"/>
        <w:bottom w:val="none" w:sz="0" w:space="0" w:color="auto"/>
        <w:right w:val="none" w:sz="0" w:space="0" w:color="auto"/>
      </w:divBdr>
    </w:div>
    <w:div w:id="465318102">
      <w:bodyDiv w:val="1"/>
      <w:marLeft w:val="0"/>
      <w:marRight w:val="0"/>
      <w:marTop w:val="0"/>
      <w:marBottom w:val="0"/>
      <w:divBdr>
        <w:top w:val="none" w:sz="0" w:space="0" w:color="auto"/>
        <w:left w:val="none" w:sz="0" w:space="0" w:color="auto"/>
        <w:bottom w:val="none" w:sz="0" w:space="0" w:color="auto"/>
        <w:right w:val="none" w:sz="0" w:space="0" w:color="auto"/>
      </w:divBdr>
    </w:div>
    <w:div w:id="480737716">
      <w:bodyDiv w:val="1"/>
      <w:marLeft w:val="0"/>
      <w:marRight w:val="0"/>
      <w:marTop w:val="0"/>
      <w:marBottom w:val="0"/>
      <w:divBdr>
        <w:top w:val="none" w:sz="0" w:space="0" w:color="auto"/>
        <w:left w:val="none" w:sz="0" w:space="0" w:color="auto"/>
        <w:bottom w:val="none" w:sz="0" w:space="0" w:color="auto"/>
        <w:right w:val="none" w:sz="0" w:space="0" w:color="auto"/>
      </w:divBdr>
    </w:div>
    <w:div w:id="481584117">
      <w:bodyDiv w:val="1"/>
      <w:marLeft w:val="0"/>
      <w:marRight w:val="0"/>
      <w:marTop w:val="0"/>
      <w:marBottom w:val="0"/>
      <w:divBdr>
        <w:top w:val="none" w:sz="0" w:space="0" w:color="auto"/>
        <w:left w:val="none" w:sz="0" w:space="0" w:color="auto"/>
        <w:bottom w:val="none" w:sz="0" w:space="0" w:color="auto"/>
        <w:right w:val="none" w:sz="0" w:space="0" w:color="auto"/>
      </w:divBdr>
    </w:div>
    <w:div w:id="494809202">
      <w:bodyDiv w:val="1"/>
      <w:marLeft w:val="0"/>
      <w:marRight w:val="0"/>
      <w:marTop w:val="0"/>
      <w:marBottom w:val="0"/>
      <w:divBdr>
        <w:top w:val="none" w:sz="0" w:space="0" w:color="auto"/>
        <w:left w:val="none" w:sz="0" w:space="0" w:color="auto"/>
        <w:bottom w:val="none" w:sz="0" w:space="0" w:color="auto"/>
        <w:right w:val="none" w:sz="0" w:space="0" w:color="auto"/>
      </w:divBdr>
    </w:div>
    <w:div w:id="525019454">
      <w:bodyDiv w:val="1"/>
      <w:marLeft w:val="0"/>
      <w:marRight w:val="0"/>
      <w:marTop w:val="0"/>
      <w:marBottom w:val="0"/>
      <w:divBdr>
        <w:top w:val="none" w:sz="0" w:space="0" w:color="auto"/>
        <w:left w:val="none" w:sz="0" w:space="0" w:color="auto"/>
        <w:bottom w:val="none" w:sz="0" w:space="0" w:color="auto"/>
        <w:right w:val="none" w:sz="0" w:space="0" w:color="auto"/>
      </w:divBdr>
    </w:div>
    <w:div w:id="526062914">
      <w:bodyDiv w:val="1"/>
      <w:marLeft w:val="0"/>
      <w:marRight w:val="0"/>
      <w:marTop w:val="0"/>
      <w:marBottom w:val="0"/>
      <w:divBdr>
        <w:top w:val="none" w:sz="0" w:space="0" w:color="auto"/>
        <w:left w:val="none" w:sz="0" w:space="0" w:color="auto"/>
        <w:bottom w:val="none" w:sz="0" w:space="0" w:color="auto"/>
        <w:right w:val="none" w:sz="0" w:space="0" w:color="auto"/>
      </w:divBdr>
    </w:div>
    <w:div w:id="533271309">
      <w:bodyDiv w:val="1"/>
      <w:marLeft w:val="0"/>
      <w:marRight w:val="0"/>
      <w:marTop w:val="0"/>
      <w:marBottom w:val="0"/>
      <w:divBdr>
        <w:top w:val="none" w:sz="0" w:space="0" w:color="auto"/>
        <w:left w:val="none" w:sz="0" w:space="0" w:color="auto"/>
        <w:bottom w:val="none" w:sz="0" w:space="0" w:color="auto"/>
        <w:right w:val="none" w:sz="0" w:space="0" w:color="auto"/>
      </w:divBdr>
    </w:div>
    <w:div w:id="542328570">
      <w:bodyDiv w:val="1"/>
      <w:marLeft w:val="0"/>
      <w:marRight w:val="0"/>
      <w:marTop w:val="0"/>
      <w:marBottom w:val="0"/>
      <w:divBdr>
        <w:top w:val="none" w:sz="0" w:space="0" w:color="auto"/>
        <w:left w:val="none" w:sz="0" w:space="0" w:color="auto"/>
        <w:bottom w:val="none" w:sz="0" w:space="0" w:color="auto"/>
        <w:right w:val="none" w:sz="0" w:space="0" w:color="auto"/>
      </w:divBdr>
    </w:div>
    <w:div w:id="555354917">
      <w:bodyDiv w:val="1"/>
      <w:marLeft w:val="0"/>
      <w:marRight w:val="0"/>
      <w:marTop w:val="0"/>
      <w:marBottom w:val="0"/>
      <w:divBdr>
        <w:top w:val="none" w:sz="0" w:space="0" w:color="auto"/>
        <w:left w:val="none" w:sz="0" w:space="0" w:color="auto"/>
        <w:bottom w:val="none" w:sz="0" w:space="0" w:color="auto"/>
        <w:right w:val="none" w:sz="0" w:space="0" w:color="auto"/>
      </w:divBdr>
    </w:div>
    <w:div w:id="570627164">
      <w:bodyDiv w:val="1"/>
      <w:marLeft w:val="0"/>
      <w:marRight w:val="0"/>
      <w:marTop w:val="0"/>
      <w:marBottom w:val="0"/>
      <w:divBdr>
        <w:top w:val="none" w:sz="0" w:space="0" w:color="auto"/>
        <w:left w:val="none" w:sz="0" w:space="0" w:color="auto"/>
        <w:bottom w:val="none" w:sz="0" w:space="0" w:color="auto"/>
        <w:right w:val="none" w:sz="0" w:space="0" w:color="auto"/>
      </w:divBdr>
    </w:div>
    <w:div w:id="600381283">
      <w:bodyDiv w:val="1"/>
      <w:marLeft w:val="0"/>
      <w:marRight w:val="0"/>
      <w:marTop w:val="0"/>
      <w:marBottom w:val="0"/>
      <w:divBdr>
        <w:top w:val="none" w:sz="0" w:space="0" w:color="auto"/>
        <w:left w:val="none" w:sz="0" w:space="0" w:color="auto"/>
        <w:bottom w:val="none" w:sz="0" w:space="0" w:color="auto"/>
        <w:right w:val="none" w:sz="0" w:space="0" w:color="auto"/>
      </w:divBdr>
    </w:div>
    <w:div w:id="616642458">
      <w:bodyDiv w:val="1"/>
      <w:marLeft w:val="0"/>
      <w:marRight w:val="0"/>
      <w:marTop w:val="0"/>
      <w:marBottom w:val="0"/>
      <w:divBdr>
        <w:top w:val="none" w:sz="0" w:space="0" w:color="auto"/>
        <w:left w:val="none" w:sz="0" w:space="0" w:color="auto"/>
        <w:bottom w:val="none" w:sz="0" w:space="0" w:color="auto"/>
        <w:right w:val="none" w:sz="0" w:space="0" w:color="auto"/>
      </w:divBdr>
    </w:div>
    <w:div w:id="629016899">
      <w:bodyDiv w:val="1"/>
      <w:marLeft w:val="0"/>
      <w:marRight w:val="0"/>
      <w:marTop w:val="0"/>
      <w:marBottom w:val="0"/>
      <w:divBdr>
        <w:top w:val="none" w:sz="0" w:space="0" w:color="auto"/>
        <w:left w:val="none" w:sz="0" w:space="0" w:color="auto"/>
        <w:bottom w:val="none" w:sz="0" w:space="0" w:color="auto"/>
        <w:right w:val="none" w:sz="0" w:space="0" w:color="auto"/>
      </w:divBdr>
    </w:div>
    <w:div w:id="661156915">
      <w:bodyDiv w:val="1"/>
      <w:marLeft w:val="0"/>
      <w:marRight w:val="0"/>
      <w:marTop w:val="0"/>
      <w:marBottom w:val="0"/>
      <w:divBdr>
        <w:top w:val="none" w:sz="0" w:space="0" w:color="auto"/>
        <w:left w:val="none" w:sz="0" w:space="0" w:color="auto"/>
        <w:bottom w:val="none" w:sz="0" w:space="0" w:color="auto"/>
        <w:right w:val="none" w:sz="0" w:space="0" w:color="auto"/>
      </w:divBdr>
    </w:div>
    <w:div w:id="662898417">
      <w:bodyDiv w:val="1"/>
      <w:marLeft w:val="0"/>
      <w:marRight w:val="0"/>
      <w:marTop w:val="0"/>
      <w:marBottom w:val="0"/>
      <w:divBdr>
        <w:top w:val="none" w:sz="0" w:space="0" w:color="auto"/>
        <w:left w:val="none" w:sz="0" w:space="0" w:color="auto"/>
        <w:bottom w:val="none" w:sz="0" w:space="0" w:color="auto"/>
        <w:right w:val="none" w:sz="0" w:space="0" w:color="auto"/>
      </w:divBdr>
    </w:div>
    <w:div w:id="684288843">
      <w:bodyDiv w:val="1"/>
      <w:marLeft w:val="0"/>
      <w:marRight w:val="0"/>
      <w:marTop w:val="0"/>
      <w:marBottom w:val="0"/>
      <w:divBdr>
        <w:top w:val="none" w:sz="0" w:space="0" w:color="auto"/>
        <w:left w:val="none" w:sz="0" w:space="0" w:color="auto"/>
        <w:bottom w:val="none" w:sz="0" w:space="0" w:color="auto"/>
        <w:right w:val="none" w:sz="0" w:space="0" w:color="auto"/>
      </w:divBdr>
    </w:div>
    <w:div w:id="685521504">
      <w:bodyDiv w:val="1"/>
      <w:marLeft w:val="0"/>
      <w:marRight w:val="0"/>
      <w:marTop w:val="0"/>
      <w:marBottom w:val="0"/>
      <w:divBdr>
        <w:top w:val="none" w:sz="0" w:space="0" w:color="auto"/>
        <w:left w:val="none" w:sz="0" w:space="0" w:color="auto"/>
        <w:bottom w:val="none" w:sz="0" w:space="0" w:color="auto"/>
        <w:right w:val="none" w:sz="0" w:space="0" w:color="auto"/>
      </w:divBdr>
    </w:div>
    <w:div w:id="695473295">
      <w:bodyDiv w:val="1"/>
      <w:marLeft w:val="0"/>
      <w:marRight w:val="0"/>
      <w:marTop w:val="0"/>
      <w:marBottom w:val="0"/>
      <w:divBdr>
        <w:top w:val="none" w:sz="0" w:space="0" w:color="auto"/>
        <w:left w:val="none" w:sz="0" w:space="0" w:color="auto"/>
        <w:bottom w:val="none" w:sz="0" w:space="0" w:color="auto"/>
        <w:right w:val="none" w:sz="0" w:space="0" w:color="auto"/>
      </w:divBdr>
    </w:div>
    <w:div w:id="699671970">
      <w:bodyDiv w:val="1"/>
      <w:marLeft w:val="0"/>
      <w:marRight w:val="0"/>
      <w:marTop w:val="0"/>
      <w:marBottom w:val="0"/>
      <w:divBdr>
        <w:top w:val="none" w:sz="0" w:space="0" w:color="auto"/>
        <w:left w:val="none" w:sz="0" w:space="0" w:color="auto"/>
        <w:bottom w:val="none" w:sz="0" w:space="0" w:color="auto"/>
        <w:right w:val="none" w:sz="0" w:space="0" w:color="auto"/>
      </w:divBdr>
    </w:div>
    <w:div w:id="713652891">
      <w:bodyDiv w:val="1"/>
      <w:marLeft w:val="0"/>
      <w:marRight w:val="0"/>
      <w:marTop w:val="0"/>
      <w:marBottom w:val="0"/>
      <w:divBdr>
        <w:top w:val="none" w:sz="0" w:space="0" w:color="auto"/>
        <w:left w:val="none" w:sz="0" w:space="0" w:color="auto"/>
        <w:bottom w:val="none" w:sz="0" w:space="0" w:color="auto"/>
        <w:right w:val="none" w:sz="0" w:space="0" w:color="auto"/>
      </w:divBdr>
    </w:div>
    <w:div w:id="720132519">
      <w:bodyDiv w:val="1"/>
      <w:marLeft w:val="0"/>
      <w:marRight w:val="0"/>
      <w:marTop w:val="0"/>
      <w:marBottom w:val="0"/>
      <w:divBdr>
        <w:top w:val="none" w:sz="0" w:space="0" w:color="auto"/>
        <w:left w:val="none" w:sz="0" w:space="0" w:color="auto"/>
        <w:bottom w:val="none" w:sz="0" w:space="0" w:color="auto"/>
        <w:right w:val="none" w:sz="0" w:space="0" w:color="auto"/>
      </w:divBdr>
    </w:div>
    <w:div w:id="738289026">
      <w:bodyDiv w:val="1"/>
      <w:marLeft w:val="0"/>
      <w:marRight w:val="0"/>
      <w:marTop w:val="0"/>
      <w:marBottom w:val="0"/>
      <w:divBdr>
        <w:top w:val="none" w:sz="0" w:space="0" w:color="auto"/>
        <w:left w:val="none" w:sz="0" w:space="0" w:color="auto"/>
        <w:bottom w:val="none" w:sz="0" w:space="0" w:color="auto"/>
        <w:right w:val="none" w:sz="0" w:space="0" w:color="auto"/>
      </w:divBdr>
    </w:div>
    <w:div w:id="746614452">
      <w:bodyDiv w:val="1"/>
      <w:marLeft w:val="0"/>
      <w:marRight w:val="0"/>
      <w:marTop w:val="0"/>
      <w:marBottom w:val="0"/>
      <w:divBdr>
        <w:top w:val="none" w:sz="0" w:space="0" w:color="auto"/>
        <w:left w:val="none" w:sz="0" w:space="0" w:color="auto"/>
        <w:bottom w:val="none" w:sz="0" w:space="0" w:color="auto"/>
        <w:right w:val="none" w:sz="0" w:space="0" w:color="auto"/>
      </w:divBdr>
    </w:div>
    <w:div w:id="818572546">
      <w:bodyDiv w:val="1"/>
      <w:marLeft w:val="0"/>
      <w:marRight w:val="0"/>
      <w:marTop w:val="0"/>
      <w:marBottom w:val="0"/>
      <w:divBdr>
        <w:top w:val="none" w:sz="0" w:space="0" w:color="auto"/>
        <w:left w:val="none" w:sz="0" w:space="0" w:color="auto"/>
        <w:bottom w:val="none" w:sz="0" w:space="0" w:color="auto"/>
        <w:right w:val="none" w:sz="0" w:space="0" w:color="auto"/>
      </w:divBdr>
    </w:div>
    <w:div w:id="828134524">
      <w:bodyDiv w:val="1"/>
      <w:marLeft w:val="0"/>
      <w:marRight w:val="0"/>
      <w:marTop w:val="0"/>
      <w:marBottom w:val="0"/>
      <w:divBdr>
        <w:top w:val="none" w:sz="0" w:space="0" w:color="auto"/>
        <w:left w:val="none" w:sz="0" w:space="0" w:color="auto"/>
        <w:bottom w:val="none" w:sz="0" w:space="0" w:color="auto"/>
        <w:right w:val="none" w:sz="0" w:space="0" w:color="auto"/>
      </w:divBdr>
    </w:div>
    <w:div w:id="844519972">
      <w:bodyDiv w:val="1"/>
      <w:marLeft w:val="0"/>
      <w:marRight w:val="0"/>
      <w:marTop w:val="0"/>
      <w:marBottom w:val="0"/>
      <w:divBdr>
        <w:top w:val="none" w:sz="0" w:space="0" w:color="auto"/>
        <w:left w:val="none" w:sz="0" w:space="0" w:color="auto"/>
        <w:bottom w:val="none" w:sz="0" w:space="0" w:color="auto"/>
        <w:right w:val="none" w:sz="0" w:space="0" w:color="auto"/>
      </w:divBdr>
    </w:div>
    <w:div w:id="880022101">
      <w:bodyDiv w:val="1"/>
      <w:marLeft w:val="0"/>
      <w:marRight w:val="0"/>
      <w:marTop w:val="0"/>
      <w:marBottom w:val="0"/>
      <w:divBdr>
        <w:top w:val="none" w:sz="0" w:space="0" w:color="auto"/>
        <w:left w:val="none" w:sz="0" w:space="0" w:color="auto"/>
        <w:bottom w:val="none" w:sz="0" w:space="0" w:color="auto"/>
        <w:right w:val="none" w:sz="0" w:space="0" w:color="auto"/>
      </w:divBdr>
      <w:divsChild>
        <w:div w:id="156728925">
          <w:marLeft w:val="0"/>
          <w:marRight w:val="0"/>
          <w:marTop w:val="0"/>
          <w:marBottom w:val="0"/>
          <w:divBdr>
            <w:top w:val="none" w:sz="0" w:space="0" w:color="auto"/>
            <w:left w:val="none" w:sz="0" w:space="0" w:color="auto"/>
            <w:bottom w:val="none" w:sz="0" w:space="0" w:color="auto"/>
            <w:right w:val="none" w:sz="0" w:space="0" w:color="auto"/>
          </w:divBdr>
        </w:div>
        <w:div w:id="168101079">
          <w:marLeft w:val="0"/>
          <w:marRight w:val="0"/>
          <w:marTop w:val="0"/>
          <w:marBottom w:val="0"/>
          <w:divBdr>
            <w:top w:val="none" w:sz="0" w:space="0" w:color="auto"/>
            <w:left w:val="none" w:sz="0" w:space="0" w:color="auto"/>
            <w:bottom w:val="none" w:sz="0" w:space="0" w:color="auto"/>
            <w:right w:val="none" w:sz="0" w:space="0" w:color="auto"/>
          </w:divBdr>
        </w:div>
        <w:div w:id="424881836">
          <w:marLeft w:val="0"/>
          <w:marRight w:val="0"/>
          <w:marTop w:val="0"/>
          <w:marBottom w:val="0"/>
          <w:divBdr>
            <w:top w:val="none" w:sz="0" w:space="0" w:color="auto"/>
            <w:left w:val="none" w:sz="0" w:space="0" w:color="auto"/>
            <w:bottom w:val="none" w:sz="0" w:space="0" w:color="auto"/>
            <w:right w:val="none" w:sz="0" w:space="0" w:color="auto"/>
          </w:divBdr>
        </w:div>
        <w:div w:id="809249456">
          <w:marLeft w:val="0"/>
          <w:marRight w:val="0"/>
          <w:marTop w:val="0"/>
          <w:marBottom w:val="0"/>
          <w:divBdr>
            <w:top w:val="none" w:sz="0" w:space="0" w:color="auto"/>
            <w:left w:val="none" w:sz="0" w:space="0" w:color="auto"/>
            <w:bottom w:val="none" w:sz="0" w:space="0" w:color="auto"/>
            <w:right w:val="none" w:sz="0" w:space="0" w:color="auto"/>
          </w:divBdr>
        </w:div>
        <w:div w:id="941572078">
          <w:marLeft w:val="0"/>
          <w:marRight w:val="0"/>
          <w:marTop w:val="0"/>
          <w:marBottom w:val="0"/>
          <w:divBdr>
            <w:top w:val="none" w:sz="0" w:space="0" w:color="auto"/>
            <w:left w:val="none" w:sz="0" w:space="0" w:color="auto"/>
            <w:bottom w:val="none" w:sz="0" w:space="0" w:color="auto"/>
            <w:right w:val="none" w:sz="0" w:space="0" w:color="auto"/>
          </w:divBdr>
        </w:div>
        <w:div w:id="1102645342">
          <w:marLeft w:val="0"/>
          <w:marRight w:val="0"/>
          <w:marTop w:val="0"/>
          <w:marBottom w:val="0"/>
          <w:divBdr>
            <w:top w:val="none" w:sz="0" w:space="0" w:color="auto"/>
            <w:left w:val="none" w:sz="0" w:space="0" w:color="auto"/>
            <w:bottom w:val="none" w:sz="0" w:space="0" w:color="auto"/>
            <w:right w:val="none" w:sz="0" w:space="0" w:color="auto"/>
          </w:divBdr>
        </w:div>
        <w:div w:id="1644581725">
          <w:marLeft w:val="0"/>
          <w:marRight w:val="0"/>
          <w:marTop w:val="0"/>
          <w:marBottom w:val="0"/>
          <w:divBdr>
            <w:top w:val="none" w:sz="0" w:space="0" w:color="auto"/>
            <w:left w:val="none" w:sz="0" w:space="0" w:color="auto"/>
            <w:bottom w:val="none" w:sz="0" w:space="0" w:color="auto"/>
            <w:right w:val="none" w:sz="0" w:space="0" w:color="auto"/>
          </w:divBdr>
        </w:div>
      </w:divsChild>
    </w:div>
    <w:div w:id="885335296">
      <w:bodyDiv w:val="1"/>
      <w:marLeft w:val="0"/>
      <w:marRight w:val="0"/>
      <w:marTop w:val="0"/>
      <w:marBottom w:val="0"/>
      <w:divBdr>
        <w:top w:val="none" w:sz="0" w:space="0" w:color="auto"/>
        <w:left w:val="none" w:sz="0" w:space="0" w:color="auto"/>
        <w:bottom w:val="none" w:sz="0" w:space="0" w:color="auto"/>
        <w:right w:val="none" w:sz="0" w:space="0" w:color="auto"/>
      </w:divBdr>
    </w:div>
    <w:div w:id="900824269">
      <w:bodyDiv w:val="1"/>
      <w:marLeft w:val="0"/>
      <w:marRight w:val="0"/>
      <w:marTop w:val="0"/>
      <w:marBottom w:val="0"/>
      <w:divBdr>
        <w:top w:val="none" w:sz="0" w:space="0" w:color="auto"/>
        <w:left w:val="none" w:sz="0" w:space="0" w:color="auto"/>
        <w:bottom w:val="none" w:sz="0" w:space="0" w:color="auto"/>
        <w:right w:val="none" w:sz="0" w:space="0" w:color="auto"/>
      </w:divBdr>
    </w:div>
    <w:div w:id="907425297">
      <w:bodyDiv w:val="1"/>
      <w:marLeft w:val="0"/>
      <w:marRight w:val="0"/>
      <w:marTop w:val="0"/>
      <w:marBottom w:val="0"/>
      <w:divBdr>
        <w:top w:val="none" w:sz="0" w:space="0" w:color="auto"/>
        <w:left w:val="none" w:sz="0" w:space="0" w:color="auto"/>
        <w:bottom w:val="none" w:sz="0" w:space="0" w:color="auto"/>
        <w:right w:val="none" w:sz="0" w:space="0" w:color="auto"/>
      </w:divBdr>
    </w:div>
    <w:div w:id="918901741">
      <w:bodyDiv w:val="1"/>
      <w:marLeft w:val="0"/>
      <w:marRight w:val="0"/>
      <w:marTop w:val="0"/>
      <w:marBottom w:val="0"/>
      <w:divBdr>
        <w:top w:val="none" w:sz="0" w:space="0" w:color="auto"/>
        <w:left w:val="none" w:sz="0" w:space="0" w:color="auto"/>
        <w:bottom w:val="none" w:sz="0" w:space="0" w:color="auto"/>
        <w:right w:val="none" w:sz="0" w:space="0" w:color="auto"/>
      </w:divBdr>
    </w:div>
    <w:div w:id="919145021">
      <w:bodyDiv w:val="1"/>
      <w:marLeft w:val="0"/>
      <w:marRight w:val="0"/>
      <w:marTop w:val="0"/>
      <w:marBottom w:val="0"/>
      <w:divBdr>
        <w:top w:val="none" w:sz="0" w:space="0" w:color="auto"/>
        <w:left w:val="none" w:sz="0" w:space="0" w:color="auto"/>
        <w:bottom w:val="none" w:sz="0" w:space="0" w:color="auto"/>
        <w:right w:val="none" w:sz="0" w:space="0" w:color="auto"/>
      </w:divBdr>
    </w:div>
    <w:div w:id="926114602">
      <w:bodyDiv w:val="1"/>
      <w:marLeft w:val="0"/>
      <w:marRight w:val="0"/>
      <w:marTop w:val="0"/>
      <w:marBottom w:val="0"/>
      <w:divBdr>
        <w:top w:val="none" w:sz="0" w:space="0" w:color="auto"/>
        <w:left w:val="none" w:sz="0" w:space="0" w:color="auto"/>
        <w:bottom w:val="none" w:sz="0" w:space="0" w:color="auto"/>
        <w:right w:val="none" w:sz="0" w:space="0" w:color="auto"/>
      </w:divBdr>
    </w:div>
    <w:div w:id="928003209">
      <w:bodyDiv w:val="1"/>
      <w:marLeft w:val="0"/>
      <w:marRight w:val="0"/>
      <w:marTop w:val="0"/>
      <w:marBottom w:val="0"/>
      <w:divBdr>
        <w:top w:val="none" w:sz="0" w:space="0" w:color="auto"/>
        <w:left w:val="none" w:sz="0" w:space="0" w:color="auto"/>
        <w:bottom w:val="none" w:sz="0" w:space="0" w:color="auto"/>
        <w:right w:val="none" w:sz="0" w:space="0" w:color="auto"/>
      </w:divBdr>
    </w:div>
    <w:div w:id="949163766">
      <w:bodyDiv w:val="1"/>
      <w:marLeft w:val="0"/>
      <w:marRight w:val="0"/>
      <w:marTop w:val="0"/>
      <w:marBottom w:val="0"/>
      <w:divBdr>
        <w:top w:val="none" w:sz="0" w:space="0" w:color="auto"/>
        <w:left w:val="none" w:sz="0" w:space="0" w:color="auto"/>
        <w:bottom w:val="none" w:sz="0" w:space="0" w:color="auto"/>
        <w:right w:val="none" w:sz="0" w:space="0" w:color="auto"/>
      </w:divBdr>
      <w:divsChild>
        <w:div w:id="1780026824">
          <w:marLeft w:val="0"/>
          <w:marRight w:val="0"/>
          <w:marTop w:val="0"/>
          <w:marBottom w:val="0"/>
          <w:divBdr>
            <w:top w:val="none" w:sz="0" w:space="0" w:color="auto"/>
            <w:left w:val="none" w:sz="0" w:space="0" w:color="auto"/>
            <w:bottom w:val="none" w:sz="0" w:space="0" w:color="auto"/>
            <w:right w:val="none" w:sz="0" w:space="0" w:color="auto"/>
          </w:divBdr>
        </w:div>
      </w:divsChild>
    </w:div>
    <w:div w:id="952327564">
      <w:bodyDiv w:val="1"/>
      <w:marLeft w:val="0"/>
      <w:marRight w:val="0"/>
      <w:marTop w:val="0"/>
      <w:marBottom w:val="0"/>
      <w:divBdr>
        <w:top w:val="none" w:sz="0" w:space="0" w:color="auto"/>
        <w:left w:val="none" w:sz="0" w:space="0" w:color="auto"/>
        <w:bottom w:val="none" w:sz="0" w:space="0" w:color="auto"/>
        <w:right w:val="none" w:sz="0" w:space="0" w:color="auto"/>
      </w:divBdr>
    </w:div>
    <w:div w:id="955789009">
      <w:bodyDiv w:val="1"/>
      <w:marLeft w:val="0"/>
      <w:marRight w:val="0"/>
      <w:marTop w:val="0"/>
      <w:marBottom w:val="0"/>
      <w:divBdr>
        <w:top w:val="none" w:sz="0" w:space="0" w:color="auto"/>
        <w:left w:val="none" w:sz="0" w:space="0" w:color="auto"/>
        <w:bottom w:val="none" w:sz="0" w:space="0" w:color="auto"/>
        <w:right w:val="none" w:sz="0" w:space="0" w:color="auto"/>
      </w:divBdr>
    </w:div>
    <w:div w:id="966200113">
      <w:bodyDiv w:val="1"/>
      <w:marLeft w:val="0"/>
      <w:marRight w:val="0"/>
      <w:marTop w:val="0"/>
      <w:marBottom w:val="0"/>
      <w:divBdr>
        <w:top w:val="none" w:sz="0" w:space="0" w:color="auto"/>
        <w:left w:val="none" w:sz="0" w:space="0" w:color="auto"/>
        <w:bottom w:val="none" w:sz="0" w:space="0" w:color="auto"/>
        <w:right w:val="none" w:sz="0" w:space="0" w:color="auto"/>
      </w:divBdr>
    </w:div>
    <w:div w:id="979186945">
      <w:bodyDiv w:val="1"/>
      <w:marLeft w:val="0"/>
      <w:marRight w:val="0"/>
      <w:marTop w:val="0"/>
      <w:marBottom w:val="0"/>
      <w:divBdr>
        <w:top w:val="none" w:sz="0" w:space="0" w:color="auto"/>
        <w:left w:val="none" w:sz="0" w:space="0" w:color="auto"/>
        <w:bottom w:val="none" w:sz="0" w:space="0" w:color="auto"/>
        <w:right w:val="none" w:sz="0" w:space="0" w:color="auto"/>
      </w:divBdr>
    </w:div>
    <w:div w:id="982810102">
      <w:bodyDiv w:val="1"/>
      <w:marLeft w:val="0"/>
      <w:marRight w:val="0"/>
      <w:marTop w:val="0"/>
      <w:marBottom w:val="0"/>
      <w:divBdr>
        <w:top w:val="none" w:sz="0" w:space="0" w:color="auto"/>
        <w:left w:val="none" w:sz="0" w:space="0" w:color="auto"/>
        <w:bottom w:val="none" w:sz="0" w:space="0" w:color="auto"/>
        <w:right w:val="none" w:sz="0" w:space="0" w:color="auto"/>
      </w:divBdr>
    </w:div>
    <w:div w:id="989863093">
      <w:bodyDiv w:val="1"/>
      <w:marLeft w:val="0"/>
      <w:marRight w:val="0"/>
      <w:marTop w:val="0"/>
      <w:marBottom w:val="0"/>
      <w:divBdr>
        <w:top w:val="none" w:sz="0" w:space="0" w:color="auto"/>
        <w:left w:val="none" w:sz="0" w:space="0" w:color="auto"/>
        <w:bottom w:val="none" w:sz="0" w:space="0" w:color="auto"/>
        <w:right w:val="none" w:sz="0" w:space="0" w:color="auto"/>
      </w:divBdr>
    </w:div>
    <w:div w:id="993290588">
      <w:bodyDiv w:val="1"/>
      <w:marLeft w:val="0"/>
      <w:marRight w:val="0"/>
      <w:marTop w:val="0"/>
      <w:marBottom w:val="0"/>
      <w:divBdr>
        <w:top w:val="none" w:sz="0" w:space="0" w:color="auto"/>
        <w:left w:val="none" w:sz="0" w:space="0" w:color="auto"/>
        <w:bottom w:val="none" w:sz="0" w:space="0" w:color="auto"/>
        <w:right w:val="none" w:sz="0" w:space="0" w:color="auto"/>
      </w:divBdr>
    </w:div>
    <w:div w:id="1001659800">
      <w:bodyDiv w:val="1"/>
      <w:marLeft w:val="0"/>
      <w:marRight w:val="0"/>
      <w:marTop w:val="0"/>
      <w:marBottom w:val="0"/>
      <w:divBdr>
        <w:top w:val="none" w:sz="0" w:space="0" w:color="auto"/>
        <w:left w:val="none" w:sz="0" w:space="0" w:color="auto"/>
        <w:bottom w:val="none" w:sz="0" w:space="0" w:color="auto"/>
        <w:right w:val="none" w:sz="0" w:space="0" w:color="auto"/>
      </w:divBdr>
    </w:div>
    <w:div w:id="1014460530">
      <w:bodyDiv w:val="1"/>
      <w:marLeft w:val="0"/>
      <w:marRight w:val="0"/>
      <w:marTop w:val="0"/>
      <w:marBottom w:val="0"/>
      <w:divBdr>
        <w:top w:val="none" w:sz="0" w:space="0" w:color="auto"/>
        <w:left w:val="none" w:sz="0" w:space="0" w:color="auto"/>
        <w:bottom w:val="none" w:sz="0" w:space="0" w:color="auto"/>
        <w:right w:val="none" w:sz="0" w:space="0" w:color="auto"/>
      </w:divBdr>
    </w:div>
    <w:div w:id="1018046532">
      <w:bodyDiv w:val="1"/>
      <w:marLeft w:val="0"/>
      <w:marRight w:val="0"/>
      <w:marTop w:val="0"/>
      <w:marBottom w:val="0"/>
      <w:divBdr>
        <w:top w:val="none" w:sz="0" w:space="0" w:color="auto"/>
        <w:left w:val="none" w:sz="0" w:space="0" w:color="auto"/>
        <w:bottom w:val="none" w:sz="0" w:space="0" w:color="auto"/>
        <w:right w:val="none" w:sz="0" w:space="0" w:color="auto"/>
      </w:divBdr>
    </w:div>
    <w:div w:id="1047679259">
      <w:bodyDiv w:val="1"/>
      <w:marLeft w:val="0"/>
      <w:marRight w:val="0"/>
      <w:marTop w:val="0"/>
      <w:marBottom w:val="0"/>
      <w:divBdr>
        <w:top w:val="none" w:sz="0" w:space="0" w:color="auto"/>
        <w:left w:val="none" w:sz="0" w:space="0" w:color="auto"/>
        <w:bottom w:val="none" w:sz="0" w:space="0" w:color="auto"/>
        <w:right w:val="none" w:sz="0" w:space="0" w:color="auto"/>
      </w:divBdr>
    </w:div>
    <w:div w:id="1083337045">
      <w:bodyDiv w:val="1"/>
      <w:marLeft w:val="0"/>
      <w:marRight w:val="0"/>
      <w:marTop w:val="0"/>
      <w:marBottom w:val="0"/>
      <w:divBdr>
        <w:top w:val="none" w:sz="0" w:space="0" w:color="auto"/>
        <w:left w:val="none" w:sz="0" w:space="0" w:color="auto"/>
        <w:bottom w:val="none" w:sz="0" w:space="0" w:color="auto"/>
        <w:right w:val="none" w:sz="0" w:space="0" w:color="auto"/>
      </w:divBdr>
    </w:div>
    <w:div w:id="1086608912">
      <w:bodyDiv w:val="1"/>
      <w:marLeft w:val="0"/>
      <w:marRight w:val="0"/>
      <w:marTop w:val="0"/>
      <w:marBottom w:val="0"/>
      <w:divBdr>
        <w:top w:val="none" w:sz="0" w:space="0" w:color="auto"/>
        <w:left w:val="none" w:sz="0" w:space="0" w:color="auto"/>
        <w:bottom w:val="none" w:sz="0" w:space="0" w:color="auto"/>
        <w:right w:val="none" w:sz="0" w:space="0" w:color="auto"/>
      </w:divBdr>
    </w:div>
    <w:div w:id="1101607122">
      <w:bodyDiv w:val="1"/>
      <w:marLeft w:val="0"/>
      <w:marRight w:val="0"/>
      <w:marTop w:val="0"/>
      <w:marBottom w:val="0"/>
      <w:divBdr>
        <w:top w:val="none" w:sz="0" w:space="0" w:color="auto"/>
        <w:left w:val="none" w:sz="0" w:space="0" w:color="auto"/>
        <w:bottom w:val="none" w:sz="0" w:space="0" w:color="auto"/>
        <w:right w:val="none" w:sz="0" w:space="0" w:color="auto"/>
      </w:divBdr>
    </w:div>
    <w:div w:id="1101610652">
      <w:bodyDiv w:val="1"/>
      <w:marLeft w:val="0"/>
      <w:marRight w:val="0"/>
      <w:marTop w:val="0"/>
      <w:marBottom w:val="0"/>
      <w:divBdr>
        <w:top w:val="none" w:sz="0" w:space="0" w:color="auto"/>
        <w:left w:val="none" w:sz="0" w:space="0" w:color="auto"/>
        <w:bottom w:val="none" w:sz="0" w:space="0" w:color="auto"/>
        <w:right w:val="none" w:sz="0" w:space="0" w:color="auto"/>
      </w:divBdr>
    </w:div>
    <w:div w:id="1122261380">
      <w:bodyDiv w:val="1"/>
      <w:marLeft w:val="0"/>
      <w:marRight w:val="0"/>
      <w:marTop w:val="0"/>
      <w:marBottom w:val="0"/>
      <w:divBdr>
        <w:top w:val="none" w:sz="0" w:space="0" w:color="auto"/>
        <w:left w:val="none" w:sz="0" w:space="0" w:color="auto"/>
        <w:bottom w:val="none" w:sz="0" w:space="0" w:color="auto"/>
        <w:right w:val="none" w:sz="0" w:space="0" w:color="auto"/>
      </w:divBdr>
    </w:div>
    <w:div w:id="1131359774">
      <w:bodyDiv w:val="1"/>
      <w:marLeft w:val="0"/>
      <w:marRight w:val="0"/>
      <w:marTop w:val="0"/>
      <w:marBottom w:val="0"/>
      <w:divBdr>
        <w:top w:val="none" w:sz="0" w:space="0" w:color="auto"/>
        <w:left w:val="none" w:sz="0" w:space="0" w:color="auto"/>
        <w:bottom w:val="none" w:sz="0" w:space="0" w:color="auto"/>
        <w:right w:val="none" w:sz="0" w:space="0" w:color="auto"/>
      </w:divBdr>
    </w:div>
    <w:div w:id="1132747446">
      <w:bodyDiv w:val="1"/>
      <w:marLeft w:val="0"/>
      <w:marRight w:val="0"/>
      <w:marTop w:val="0"/>
      <w:marBottom w:val="0"/>
      <w:divBdr>
        <w:top w:val="none" w:sz="0" w:space="0" w:color="auto"/>
        <w:left w:val="none" w:sz="0" w:space="0" w:color="auto"/>
        <w:bottom w:val="none" w:sz="0" w:space="0" w:color="auto"/>
        <w:right w:val="none" w:sz="0" w:space="0" w:color="auto"/>
      </w:divBdr>
      <w:divsChild>
        <w:div w:id="73744891">
          <w:marLeft w:val="0"/>
          <w:marRight w:val="0"/>
          <w:marTop w:val="0"/>
          <w:marBottom w:val="0"/>
          <w:divBdr>
            <w:top w:val="none" w:sz="0" w:space="0" w:color="auto"/>
            <w:left w:val="none" w:sz="0" w:space="0" w:color="auto"/>
            <w:bottom w:val="none" w:sz="0" w:space="0" w:color="auto"/>
            <w:right w:val="none" w:sz="0" w:space="0" w:color="auto"/>
          </w:divBdr>
        </w:div>
        <w:div w:id="1108306159">
          <w:marLeft w:val="0"/>
          <w:marRight w:val="0"/>
          <w:marTop w:val="0"/>
          <w:marBottom w:val="0"/>
          <w:divBdr>
            <w:top w:val="none" w:sz="0" w:space="0" w:color="auto"/>
            <w:left w:val="none" w:sz="0" w:space="0" w:color="auto"/>
            <w:bottom w:val="none" w:sz="0" w:space="0" w:color="auto"/>
            <w:right w:val="none" w:sz="0" w:space="0" w:color="auto"/>
          </w:divBdr>
          <w:divsChild>
            <w:div w:id="636837279">
              <w:marLeft w:val="0"/>
              <w:marRight w:val="0"/>
              <w:marTop w:val="0"/>
              <w:marBottom w:val="0"/>
              <w:divBdr>
                <w:top w:val="none" w:sz="0" w:space="0" w:color="auto"/>
                <w:left w:val="none" w:sz="0" w:space="0" w:color="auto"/>
                <w:bottom w:val="none" w:sz="0" w:space="0" w:color="auto"/>
                <w:right w:val="none" w:sz="0" w:space="0" w:color="auto"/>
              </w:divBdr>
            </w:div>
            <w:div w:id="115568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679184">
      <w:bodyDiv w:val="1"/>
      <w:marLeft w:val="0"/>
      <w:marRight w:val="0"/>
      <w:marTop w:val="0"/>
      <w:marBottom w:val="0"/>
      <w:divBdr>
        <w:top w:val="none" w:sz="0" w:space="0" w:color="auto"/>
        <w:left w:val="none" w:sz="0" w:space="0" w:color="auto"/>
        <w:bottom w:val="none" w:sz="0" w:space="0" w:color="auto"/>
        <w:right w:val="none" w:sz="0" w:space="0" w:color="auto"/>
      </w:divBdr>
    </w:div>
    <w:div w:id="1145313150">
      <w:bodyDiv w:val="1"/>
      <w:marLeft w:val="0"/>
      <w:marRight w:val="0"/>
      <w:marTop w:val="0"/>
      <w:marBottom w:val="0"/>
      <w:divBdr>
        <w:top w:val="none" w:sz="0" w:space="0" w:color="auto"/>
        <w:left w:val="none" w:sz="0" w:space="0" w:color="auto"/>
        <w:bottom w:val="none" w:sz="0" w:space="0" w:color="auto"/>
        <w:right w:val="none" w:sz="0" w:space="0" w:color="auto"/>
      </w:divBdr>
    </w:div>
    <w:div w:id="1156650211">
      <w:bodyDiv w:val="1"/>
      <w:marLeft w:val="0"/>
      <w:marRight w:val="0"/>
      <w:marTop w:val="0"/>
      <w:marBottom w:val="0"/>
      <w:divBdr>
        <w:top w:val="none" w:sz="0" w:space="0" w:color="auto"/>
        <w:left w:val="none" w:sz="0" w:space="0" w:color="auto"/>
        <w:bottom w:val="none" w:sz="0" w:space="0" w:color="auto"/>
        <w:right w:val="none" w:sz="0" w:space="0" w:color="auto"/>
      </w:divBdr>
    </w:div>
    <w:div w:id="1170294773">
      <w:bodyDiv w:val="1"/>
      <w:marLeft w:val="0"/>
      <w:marRight w:val="0"/>
      <w:marTop w:val="0"/>
      <w:marBottom w:val="0"/>
      <w:divBdr>
        <w:top w:val="none" w:sz="0" w:space="0" w:color="auto"/>
        <w:left w:val="none" w:sz="0" w:space="0" w:color="auto"/>
        <w:bottom w:val="none" w:sz="0" w:space="0" w:color="auto"/>
        <w:right w:val="none" w:sz="0" w:space="0" w:color="auto"/>
      </w:divBdr>
    </w:div>
    <w:div w:id="1178732707">
      <w:bodyDiv w:val="1"/>
      <w:marLeft w:val="0"/>
      <w:marRight w:val="0"/>
      <w:marTop w:val="0"/>
      <w:marBottom w:val="0"/>
      <w:divBdr>
        <w:top w:val="none" w:sz="0" w:space="0" w:color="auto"/>
        <w:left w:val="none" w:sz="0" w:space="0" w:color="auto"/>
        <w:bottom w:val="none" w:sz="0" w:space="0" w:color="auto"/>
        <w:right w:val="none" w:sz="0" w:space="0" w:color="auto"/>
      </w:divBdr>
      <w:divsChild>
        <w:div w:id="197282576">
          <w:marLeft w:val="0"/>
          <w:marRight w:val="0"/>
          <w:marTop w:val="0"/>
          <w:marBottom w:val="0"/>
          <w:divBdr>
            <w:top w:val="none" w:sz="0" w:space="0" w:color="auto"/>
            <w:left w:val="none" w:sz="0" w:space="0" w:color="auto"/>
            <w:bottom w:val="none" w:sz="0" w:space="0" w:color="auto"/>
            <w:right w:val="none" w:sz="0" w:space="0" w:color="auto"/>
          </w:divBdr>
        </w:div>
        <w:div w:id="256717566">
          <w:marLeft w:val="0"/>
          <w:marRight w:val="0"/>
          <w:marTop w:val="0"/>
          <w:marBottom w:val="0"/>
          <w:divBdr>
            <w:top w:val="none" w:sz="0" w:space="0" w:color="auto"/>
            <w:left w:val="none" w:sz="0" w:space="0" w:color="auto"/>
            <w:bottom w:val="none" w:sz="0" w:space="0" w:color="auto"/>
            <w:right w:val="none" w:sz="0" w:space="0" w:color="auto"/>
          </w:divBdr>
        </w:div>
        <w:div w:id="557013227">
          <w:marLeft w:val="0"/>
          <w:marRight w:val="0"/>
          <w:marTop w:val="0"/>
          <w:marBottom w:val="0"/>
          <w:divBdr>
            <w:top w:val="none" w:sz="0" w:space="0" w:color="auto"/>
            <w:left w:val="none" w:sz="0" w:space="0" w:color="auto"/>
            <w:bottom w:val="none" w:sz="0" w:space="0" w:color="auto"/>
            <w:right w:val="none" w:sz="0" w:space="0" w:color="auto"/>
          </w:divBdr>
        </w:div>
        <w:div w:id="844127153">
          <w:marLeft w:val="0"/>
          <w:marRight w:val="0"/>
          <w:marTop w:val="0"/>
          <w:marBottom w:val="0"/>
          <w:divBdr>
            <w:top w:val="none" w:sz="0" w:space="0" w:color="auto"/>
            <w:left w:val="none" w:sz="0" w:space="0" w:color="auto"/>
            <w:bottom w:val="none" w:sz="0" w:space="0" w:color="auto"/>
            <w:right w:val="none" w:sz="0" w:space="0" w:color="auto"/>
          </w:divBdr>
        </w:div>
        <w:div w:id="854228617">
          <w:marLeft w:val="0"/>
          <w:marRight w:val="0"/>
          <w:marTop w:val="0"/>
          <w:marBottom w:val="0"/>
          <w:divBdr>
            <w:top w:val="none" w:sz="0" w:space="0" w:color="auto"/>
            <w:left w:val="none" w:sz="0" w:space="0" w:color="auto"/>
            <w:bottom w:val="none" w:sz="0" w:space="0" w:color="auto"/>
            <w:right w:val="none" w:sz="0" w:space="0" w:color="auto"/>
          </w:divBdr>
        </w:div>
        <w:div w:id="1147164536">
          <w:marLeft w:val="0"/>
          <w:marRight w:val="0"/>
          <w:marTop w:val="0"/>
          <w:marBottom w:val="0"/>
          <w:divBdr>
            <w:top w:val="none" w:sz="0" w:space="0" w:color="auto"/>
            <w:left w:val="none" w:sz="0" w:space="0" w:color="auto"/>
            <w:bottom w:val="none" w:sz="0" w:space="0" w:color="auto"/>
            <w:right w:val="none" w:sz="0" w:space="0" w:color="auto"/>
          </w:divBdr>
        </w:div>
        <w:div w:id="1399206920">
          <w:marLeft w:val="0"/>
          <w:marRight w:val="0"/>
          <w:marTop w:val="0"/>
          <w:marBottom w:val="0"/>
          <w:divBdr>
            <w:top w:val="none" w:sz="0" w:space="0" w:color="auto"/>
            <w:left w:val="none" w:sz="0" w:space="0" w:color="auto"/>
            <w:bottom w:val="none" w:sz="0" w:space="0" w:color="auto"/>
            <w:right w:val="none" w:sz="0" w:space="0" w:color="auto"/>
          </w:divBdr>
        </w:div>
        <w:div w:id="1639677523">
          <w:marLeft w:val="0"/>
          <w:marRight w:val="0"/>
          <w:marTop w:val="0"/>
          <w:marBottom w:val="0"/>
          <w:divBdr>
            <w:top w:val="none" w:sz="0" w:space="0" w:color="auto"/>
            <w:left w:val="none" w:sz="0" w:space="0" w:color="auto"/>
            <w:bottom w:val="none" w:sz="0" w:space="0" w:color="auto"/>
            <w:right w:val="none" w:sz="0" w:space="0" w:color="auto"/>
          </w:divBdr>
        </w:div>
        <w:div w:id="1776630755">
          <w:marLeft w:val="0"/>
          <w:marRight w:val="0"/>
          <w:marTop w:val="0"/>
          <w:marBottom w:val="0"/>
          <w:divBdr>
            <w:top w:val="none" w:sz="0" w:space="0" w:color="auto"/>
            <w:left w:val="none" w:sz="0" w:space="0" w:color="auto"/>
            <w:bottom w:val="none" w:sz="0" w:space="0" w:color="auto"/>
            <w:right w:val="none" w:sz="0" w:space="0" w:color="auto"/>
          </w:divBdr>
        </w:div>
        <w:div w:id="1783568015">
          <w:marLeft w:val="0"/>
          <w:marRight w:val="0"/>
          <w:marTop w:val="0"/>
          <w:marBottom w:val="0"/>
          <w:divBdr>
            <w:top w:val="none" w:sz="0" w:space="0" w:color="auto"/>
            <w:left w:val="none" w:sz="0" w:space="0" w:color="auto"/>
            <w:bottom w:val="none" w:sz="0" w:space="0" w:color="auto"/>
            <w:right w:val="none" w:sz="0" w:space="0" w:color="auto"/>
          </w:divBdr>
        </w:div>
        <w:div w:id="2067219313">
          <w:marLeft w:val="0"/>
          <w:marRight w:val="0"/>
          <w:marTop w:val="0"/>
          <w:marBottom w:val="0"/>
          <w:divBdr>
            <w:top w:val="none" w:sz="0" w:space="0" w:color="auto"/>
            <w:left w:val="none" w:sz="0" w:space="0" w:color="auto"/>
            <w:bottom w:val="none" w:sz="0" w:space="0" w:color="auto"/>
            <w:right w:val="none" w:sz="0" w:space="0" w:color="auto"/>
          </w:divBdr>
        </w:div>
      </w:divsChild>
    </w:div>
    <w:div w:id="1237547324">
      <w:bodyDiv w:val="1"/>
      <w:marLeft w:val="0"/>
      <w:marRight w:val="0"/>
      <w:marTop w:val="0"/>
      <w:marBottom w:val="0"/>
      <w:divBdr>
        <w:top w:val="none" w:sz="0" w:space="0" w:color="auto"/>
        <w:left w:val="none" w:sz="0" w:space="0" w:color="auto"/>
        <w:bottom w:val="none" w:sz="0" w:space="0" w:color="auto"/>
        <w:right w:val="none" w:sz="0" w:space="0" w:color="auto"/>
      </w:divBdr>
    </w:div>
    <w:div w:id="1243611590">
      <w:bodyDiv w:val="1"/>
      <w:marLeft w:val="0"/>
      <w:marRight w:val="0"/>
      <w:marTop w:val="0"/>
      <w:marBottom w:val="0"/>
      <w:divBdr>
        <w:top w:val="none" w:sz="0" w:space="0" w:color="auto"/>
        <w:left w:val="none" w:sz="0" w:space="0" w:color="auto"/>
        <w:bottom w:val="none" w:sz="0" w:space="0" w:color="auto"/>
        <w:right w:val="none" w:sz="0" w:space="0" w:color="auto"/>
      </w:divBdr>
    </w:div>
    <w:div w:id="1253658497">
      <w:bodyDiv w:val="1"/>
      <w:marLeft w:val="0"/>
      <w:marRight w:val="0"/>
      <w:marTop w:val="0"/>
      <w:marBottom w:val="0"/>
      <w:divBdr>
        <w:top w:val="none" w:sz="0" w:space="0" w:color="auto"/>
        <w:left w:val="none" w:sz="0" w:space="0" w:color="auto"/>
        <w:bottom w:val="none" w:sz="0" w:space="0" w:color="auto"/>
        <w:right w:val="none" w:sz="0" w:space="0" w:color="auto"/>
      </w:divBdr>
    </w:div>
    <w:div w:id="1265647295">
      <w:bodyDiv w:val="1"/>
      <w:marLeft w:val="0"/>
      <w:marRight w:val="0"/>
      <w:marTop w:val="0"/>
      <w:marBottom w:val="0"/>
      <w:divBdr>
        <w:top w:val="none" w:sz="0" w:space="0" w:color="auto"/>
        <w:left w:val="none" w:sz="0" w:space="0" w:color="auto"/>
        <w:bottom w:val="none" w:sz="0" w:space="0" w:color="auto"/>
        <w:right w:val="none" w:sz="0" w:space="0" w:color="auto"/>
      </w:divBdr>
    </w:div>
    <w:div w:id="1271930826">
      <w:bodyDiv w:val="1"/>
      <w:marLeft w:val="0"/>
      <w:marRight w:val="0"/>
      <w:marTop w:val="0"/>
      <w:marBottom w:val="0"/>
      <w:divBdr>
        <w:top w:val="none" w:sz="0" w:space="0" w:color="auto"/>
        <w:left w:val="none" w:sz="0" w:space="0" w:color="auto"/>
        <w:bottom w:val="none" w:sz="0" w:space="0" w:color="auto"/>
        <w:right w:val="none" w:sz="0" w:space="0" w:color="auto"/>
      </w:divBdr>
    </w:div>
    <w:div w:id="1279994468">
      <w:bodyDiv w:val="1"/>
      <w:marLeft w:val="0"/>
      <w:marRight w:val="0"/>
      <w:marTop w:val="0"/>
      <w:marBottom w:val="0"/>
      <w:divBdr>
        <w:top w:val="none" w:sz="0" w:space="0" w:color="auto"/>
        <w:left w:val="none" w:sz="0" w:space="0" w:color="auto"/>
        <w:bottom w:val="none" w:sz="0" w:space="0" w:color="auto"/>
        <w:right w:val="none" w:sz="0" w:space="0" w:color="auto"/>
      </w:divBdr>
    </w:div>
    <w:div w:id="1292200921">
      <w:bodyDiv w:val="1"/>
      <w:marLeft w:val="0"/>
      <w:marRight w:val="0"/>
      <w:marTop w:val="0"/>
      <w:marBottom w:val="0"/>
      <w:divBdr>
        <w:top w:val="none" w:sz="0" w:space="0" w:color="auto"/>
        <w:left w:val="none" w:sz="0" w:space="0" w:color="auto"/>
        <w:bottom w:val="none" w:sz="0" w:space="0" w:color="auto"/>
        <w:right w:val="none" w:sz="0" w:space="0" w:color="auto"/>
      </w:divBdr>
    </w:div>
    <w:div w:id="1305893734">
      <w:bodyDiv w:val="1"/>
      <w:marLeft w:val="0"/>
      <w:marRight w:val="0"/>
      <w:marTop w:val="0"/>
      <w:marBottom w:val="0"/>
      <w:divBdr>
        <w:top w:val="none" w:sz="0" w:space="0" w:color="auto"/>
        <w:left w:val="none" w:sz="0" w:space="0" w:color="auto"/>
        <w:bottom w:val="none" w:sz="0" w:space="0" w:color="auto"/>
        <w:right w:val="none" w:sz="0" w:space="0" w:color="auto"/>
      </w:divBdr>
    </w:div>
    <w:div w:id="1326854831">
      <w:bodyDiv w:val="1"/>
      <w:marLeft w:val="0"/>
      <w:marRight w:val="0"/>
      <w:marTop w:val="0"/>
      <w:marBottom w:val="0"/>
      <w:divBdr>
        <w:top w:val="none" w:sz="0" w:space="0" w:color="auto"/>
        <w:left w:val="none" w:sz="0" w:space="0" w:color="auto"/>
        <w:bottom w:val="none" w:sz="0" w:space="0" w:color="auto"/>
        <w:right w:val="none" w:sz="0" w:space="0" w:color="auto"/>
      </w:divBdr>
    </w:div>
    <w:div w:id="1326858894">
      <w:bodyDiv w:val="1"/>
      <w:marLeft w:val="0"/>
      <w:marRight w:val="0"/>
      <w:marTop w:val="0"/>
      <w:marBottom w:val="0"/>
      <w:divBdr>
        <w:top w:val="none" w:sz="0" w:space="0" w:color="auto"/>
        <w:left w:val="none" w:sz="0" w:space="0" w:color="auto"/>
        <w:bottom w:val="none" w:sz="0" w:space="0" w:color="auto"/>
        <w:right w:val="none" w:sz="0" w:space="0" w:color="auto"/>
      </w:divBdr>
    </w:div>
    <w:div w:id="1358501279">
      <w:bodyDiv w:val="1"/>
      <w:marLeft w:val="0"/>
      <w:marRight w:val="0"/>
      <w:marTop w:val="0"/>
      <w:marBottom w:val="0"/>
      <w:divBdr>
        <w:top w:val="none" w:sz="0" w:space="0" w:color="auto"/>
        <w:left w:val="none" w:sz="0" w:space="0" w:color="auto"/>
        <w:bottom w:val="none" w:sz="0" w:space="0" w:color="auto"/>
        <w:right w:val="none" w:sz="0" w:space="0" w:color="auto"/>
      </w:divBdr>
    </w:div>
    <w:div w:id="1366636573">
      <w:bodyDiv w:val="1"/>
      <w:marLeft w:val="0"/>
      <w:marRight w:val="0"/>
      <w:marTop w:val="0"/>
      <w:marBottom w:val="0"/>
      <w:divBdr>
        <w:top w:val="none" w:sz="0" w:space="0" w:color="auto"/>
        <w:left w:val="none" w:sz="0" w:space="0" w:color="auto"/>
        <w:bottom w:val="none" w:sz="0" w:space="0" w:color="auto"/>
        <w:right w:val="none" w:sz="0" w:space="0" w:color="auto"/>
      </w:divBdr>
    </w:div>
    <w:div w:id="1376664584">
      <w:bodyDiv w:val="1"/>
      <w:marLeft w:val="0"/>
      <w:marRight w:val="0"/>
      <w:marTop w:val="0"/>
      <w:marBottom w:val="0"/>
      <w:divBdr>
        <w:top w:val="none" w:sz="0" w:space="0" w:color="auto"/>
        <w:left w:val="none" w:sz="0" w:space="0" w:color="auto"/>
        <w:bottom w:val="none" w:sz="0" w:space="0" w:color="auto"/>
        <w:right w:val="none" w:sz="0" w:space="0" w:color="auto"/>
      </w:divBdr>
    </w:div>
    <w:div w:id="1391614194">
      <w:bodyDiv w:val="1"/>
      <w:marLeft w:val="0"/>
      <w:marRight w:val="0"/>
      <w:marTop w:val="0"/>
      <w:marBottom w:val="0"/>
      <w:divBdr>
        <w:top w:val="none" w:sz="0" w:space="0" w:color="auto"/>
        <w:left w:val="none" w:sz="0" w:space="0" w:color="auto"/>
        <w:bottom w:val="none" w:sz="0" w:space="0" w:color="auto"/>
        <w:right w:val="none" w:sz="0" w:space="0" w:color="auto"/>
      </w:divBdr>
    </w:div>
    <w:div w:id="1399207650">
      <w:bodyDiv w:val="1"/>
      <w:marLeft w:val="0"/>
      <w:marRight w:val="0"/>
      <w:marTop w:val="0"/>
      <w:marBottom w:val="0"/>
      <w:divBdr>
        <w:top w:val="none" w:sz="0" w:space="0" w:color="auto"/>
        <w:left w:val="none" w:sz="0" w:space="0" w:color="auto"/>
        <w:bottom w:val="none" w:sz="0" w:space="0" w:color="auto"/>
        <w:right w:val="none" w:sz="0" w:space="0" w:color="auto"/>
      </w:divBdr>
    </w:div>
    <w:div w:id="1409573682">
      <w:bodyDiv w:val="1"/>
      <w:marLeft w:val="0"/>
      <w:marRight w:val="0"/>
      <w:marTop w:val="0"/>
      <w:marBottom w:val="0"/>
      <w:divBdr>
        <w:top w:val="none" w:sz="0" w:space="0" w:color="auto"/>
        <w:left w:val="none" w:sz="0" w:space="0" w:color="auto"/>
        <w:bottom w:val="none" w:sz="0" w:space="0" w:color="auto"/>
        <w:right w:val="none" w:sz="0" w:space="0" w:color="auto"/>
      </w:divBdr>
    </w:div>
    <w:div w:id="1410957082">
      <w:bodyDiv w:val="1"/>
      <w:marLeft w:val="0"/>
      <w:marRight w:val="0"/>
      <w:marTop w:val="0"/>
      <w:marBottom w:val="0"/>
      <w:divBdr>
        <w:top w:val="none" w:sz="0" w:space="0" w:color="auto"/>
        <w:left w:val="none" w:sz="0" w:space="0" w:color="auto"/>
        <w:bottom w:val="none" w:sz="0" w:space="0" w:color="auto"/>
        <w:right w:val="none" w:sz="0" w:space="0" w:color="auto"/>
      </w:divBdr>
    </w:div>
    <w:div w:id="1414207790">
      <w:bodyDiv w:val="1"/>
      <w:marLeft w:val="0"/>
      <w:marRight w:val="0"/>
      <w:marTop w:val="0"/>
      <w:marBottom w:val="0"/>
      <w:divBdr>
        <w:top w:val="none" w:sz="0" w:space="0" w:color="auto"/>
        <w:left w:val="none" w:sz="0" w:space="0" w:color="auto"/>
        <w:bottom w:val="none" w:sz="0" w:space="0" w:color="auto"/>
        <w:right w:val="none" w:sz="0" w:space="0" w:color="auto"/>
      </w:divBdr>
    </w:div>
    <w:div w:id="1421294472">
      <w:bodyDiv w:val="1"/>
      <w:marLeft w:val="0"/>
      <w:marRight w:val="0"/>
      <w:marTop w:val="0"/>
      <w:marBottom w:val="0"/>
      <w:divBdr>
        <w:top w:val="none" w:sz="0" w:space="0" w:color="auto"/>
        <w:left w:val="none" w:sz="0" w:space="0" w:color="auto"/>
        <w:bottom w:val="none" w:sz="0" w:space="0" w:color="auto"/>
        <w:right w:val="none" w:sz="0" w:space="0" w:color="auto"/>
      </w:divBdr>
    </w:div>
    <w:div w:id="1422026662">
      <w:bodyDiv w:val="1"/>
      <w:marLeft w:val="0"/>
      <w:marRight w:val="0"/>
      <w:marTop w:val="0"/>
      <w:marBottom w:val="0"/>
      <w:divBdr>
        <w:top w:val="none" w:sz="0" w:space="0" w:color="auto"/>
        <w:left w:val="none" w:sz="0" w:space="0" w:color="auto"/>
        <w:bottom w:val="none" w:sz="0" w:space="0" w:color="auto"/>
        <w:right w:val="none" w:sz="0" w:space="0" w:color="auto"/>
      </w:divBdr>
    </w:div>
    <w:div w:id="1422722773">
      <w:bodyDiv w:val="1"/>
      <w:marLeft w:val="0"/>
      <w:marRight w:val="0"/>
      <w:marTop w:val="0"/>
      <w:marBottom w:val="0"/>
      <w:divBdr>
        <w:top w:val="none" w:sz="0" w:space="0" w:color="auto"/>
        <w:left w:val="none" w:sz="0" w:space="0" w:color="auto"/>
        <w:bottom w:val="none" w:sz="0" w:space="0" w:color="auto"/>
        <w:right w:val="none" w:sz="0" w:space="0" w:color="auto"/>
      </w:divBdr>
    </w:div>
    <w:div w:id="1423719452">
      <w:bodyDiv w:val="1"/>
      <w:marLeft w:val="0"/>
      <w:marRight w:val="0"/>
      <w:marTop w:val="0"/>
      <w:marBottom w:val="0"/>
      <w:divBdr>
        <w:top w:val="none" w:sz="0" w:space="0" w:color="auto"/>
        <w:left w:val="none" w:sz="0" w:space="0" w:color="auto"/>
        <w:bottom w:val="none" w:sz="0" w:space="0" w:color="auto"/>
        <w:right w:val="none" w:sz="0" w:space="0" w:color="auto"/>
      </w:divBdr>
    </w:div>
    <w:div w:id="1450396972">
      <w:bodyDiv w:val="1"/>
      <w:marLeft w:val="0"/>
      <w:marRight w:val="0"/>
      <w:marTop w:val="0"/>
      <w:marBottom w:val="0"/>
      <w:divBdr>
        <w:top w:val="none" w:sz="0" w:space="0" w:color="auto"/>
        <w:left w:val="none" w:sz="0" w:space="0" w:color="auto"/>
        <w:bottom w:val="none" w:sz="0" w:space="0" w:color="auto"/>
        <w:right w:val="none" w:sz="0" w:space="0" w:color="auto"/>
      </w:divBdr>
    </w:div>
    <w:div w:id="1461071268">
      <w:bodyDiv w:val="1"/>
      <w:marLeft w:val="0"/>
      <w:marRight w:val="0"/>
      <w:marTop w:val="0"/>
      <w:marBottom w:val="0"/>
      <w:divBdr>
        <w:top w:val="none" w:sz="0" w:space="0" w:color="auto"/>
        <w:left w:val="none" w:sz="0" w:space="0" w:color="auto"/>
        <w:bottom w:val="none" w:sz="0" w:space="0" w:color="auto"/>
        <w:right w:val="none" w:sz="0" w:space="0" w:color="auto"/>
      </w:divBdr>
    </w:div>
    <w:div w:id="1463691710">
      <w:bodyDiv w:val="1"/>
      <w:marLeft w:val="0"/>
      <w:marRight w:val="0"/>
      <w:marTop w:val="0"/>
      <w:marBottom w:val="0"/>
      <w:divBdr>
        <w:top w:val="none" w:sz="0" w:space="0" w:color="auto"/>
        <w:left w:val="none" w:sz="0" w:space="0" w:color="auto"/>
        <w:bottom w:val="none" w:sz="0" w:space="0" w:color="auto"/>
        <w:right w:val="none" w:sz="0" w:space="0" w:color="auto"/>
      </w:divBdr>
    </w:div>
    <w:div w:id="1470246706">
      <w:bodyDiv w:val="1"/>
      <w:marLeft w:val="0"/>
      <w:marRight w:val="0"/>
      <w:marTop w:val="0"/>
      <w:marBottom w:val="0"/>
      <w:divBdr>
        <w:top w:val="none" w:sz="0" w:space="0" w:color="auto"/>
        <w:left w:val="none" w:sz="0" w:space="0" w:color="auto"/>
        <w:bottom w:val="none" w:sz="0" w:space="0" w:color="auto"/>
        <w:right w:val="none" w:sz="0" w:space="0" w:color="auto"/>
      </w:divBdr>
    </w:div>
    <w:div w:id="1485245931">
      <w:bodyDiv w:val="1"/>
      <w:marLeft w:val="0"/>
      <w:marRight w:val="0"/>
      <w:marTop w:val="0"/>
      <w:marBottom w:val="0"/>
      <w:divBdr>
        <w:top w:val="none" w:sz="0" w:space="0" w:color="auto"/>
        <w:left w:val="none" w:sz="0" w:space="0" w:color="auto"/>
        <w:bottom w:val="none" w:sz="0" w:space="0" w:color="auto"/>
        <w:right w:val="none" w:sz="0" w:space="0" w:color="auto"/>
      </w:divBdr>
    </w:div>
    <w:div w:id="1489134834">
      <w:bodyDiv w:val="1"/>
      <w:marLeft w:val="0"/>
      <w:marRight w:val="0"/>
      <w:marTop w:val="0"/>
      <w:marBottom w:val="0"/>
      <w:divBdr>
        <w:top w:val="none" w:sz="0" w:space="0" w:color="auto"/>
        <w:left w:val="none" w:sz="0" w:space="0" w:color="auto"/>
        <w:bottom w:val="none" w:sz="0" w:space="0" w:color="auto"/>
        <w:right w:val="none" w:sz="0" w:space="0" w:color="auto"/>
      </w:divBdr>
    </w:div>
    <w:div w:id="1491403183">
      <w:bodyDiv w:val="1"/>
      <w:marLeft w:val="0"/>
      <w:marRight w:val="0"/>
      <w:marTop w:val="0"/>
      <w:marBottom w:val="0"/>
      <w:divBdr>
        <w:top w:val="none" w:sz="0" w:space="0" w:color="auto"/>
        <w:left w:val="none" w:sz="0" w:space="0" w:color="auto"/>
        <w:bottom w:val="none" w:sz="0" w:space="0" w:color="auto"/>
        <w:right w:val="none" w:sz="0" w:space="0" w:color="auto"/>
      </w:divBdr>
    </w:div>
    <w:div w:id="1492790262">
      <w:bodyDiv w:val="1"/>
      <w:marLeft w:val="0"/>
      <w:marRight w:val="0"/>
      <w:marTop w:val="0"/>
      <w:marBottom w:val="0"/>
      <w:divBdr>
        <w:top w:val="none" w:sz="0" w:space="0" w:color="auto"/>
        <w:left w:val="none" w:sz="0" w:space="0" w:color="auto"/>
        <w:bottom w:val="none" w:sz="0" w:space="0" w:color="auto"/>
        <w:right w:val="none" w:sz="0" w:space="0" w:color="auto"/>
      </w:divBdr>
    </w:div>
    <w:div w:id="1494950396">
      <w:bodyDiv w:val="1"/>
      <w:marLeft w:val="0"/>
      <w:marRight w:val="0"/>
      <w:marTop w:val="0"/>
      <w:marBottom w:val="0"/>
      <w:divBdr>
        <w:top w:val="none" w:sz="0" w:space="0" w:color="auto"/>
        <w:left w:val="none" w:sz="0" w:space="0" w:color="auto"/>
        <w:bottom w:val="none" w:sz="0" w:space="0" w:color="auto"/>
        <w:right w:val="none" w:sz="0" w:space="0" w:color="auto"/>
      </w:divBdr>
    </w:div>
    <w:div w:id="1509368615">
      <w:bodyDiv w:val="1"/>
      <w:marLeft w:val="0"/>
      <w:marRight w:val="0"/>
      <w:marTop w:val="0"/>
      <w:marBottom w:val="0"/>
      <w:divBdr>
        <w:top w:val="none" w:sz="0" w:space="0" w:color="auto"/>
        <w:left w:val="none" w:sz="0" w:space="0" w:color="auto"/>
        <w:bottom w:val="none" w:sz="0" w:space="0" w:color="auto"/>
        <w:right w:val="none" w:sz="0" w:space="0" w:color="auto"/>
      </w:divBdr>
    </w:div>
    <w:div w:id="1510101036">
      <w:bodyDiv w:val="1"/>
      <w:marLeft w:val="0"/>
      <w:marRight w:val="0"/>
      <w:marTop w:val="0"/>
      <w:marBottom w:val="0"/>
      <w:divBdr>
        <w:top w:val="none" w:sz="0" w:space="0" w:color="auto"/>
        <w:left w:val="none" w:sz="0" w:space="0" w:color="auto"/>
        <w:bottom w:val="none" w:sz="0" w:space="0" w:color="auto"/>
        <w:right w:val="none" w:sz="0" w:space="0" w:color="auto"/>
      </w:divBdr>
    </w:div>
    <w:div w:id="1531720978">
      <w:bodyDiv w:val="1"/>
      <w:marLeft w:val="0"/>
      <w:marRight w:val="0"/>
      <w:marTop w:val="0"/>
      <w:marBottom w:val="0"/>
      <w:divBdr>
        <w:top w:val="none" w:sz="0" w:space="0" w:color="auto"/>
        <w:left w:val="none" w:sz="0" w:space="0" w:color="auto"/>
        <w:bottom w:val="none" w:sz="0" w:space="0" w:color="auto"/>
        <w:right w:val="none" w:sz="0" w:space="0" w:color="auto"/>
      </w:divBdr>
    </w:div>
    <w:div w:id="1592935488">
      <w:bodyDiv w:val="1"/>
      <w:marLeft w:val="0"/>
      <w:marRight w:val="0"/>
      <w:marTop w:val="0"/>
      <w:marBottom w:val="0"/>
      <w:divBdr>
        <w:top w:val="none" w:sz="0" w:space="0" w:color="auto"/>
        <w:left w:val="none" w:sz="0" w:space="0" w:color="auto"/>
        <w:bottom w:val="none" w:sz="0" w:space="0" w:color="auto"/>
        <w:right w:val="none" w:sz="0" w:space="0" w:color="auto"/>
      </w:divBdr>
    </w:div>
    <w:div w:id="1615285262">
      <w:bodyDiv w:val="1"/>
      <w:marLeft w:val="0"/>
      <w:marRight w:val="0"/>
      <w:marTop w:val="0"/>
      <w:marBottom w:val="0"/>
      <w:divBdr>
        <w:top w:val="none" w:sz="0" w:space="0" w:color="auto"/>
        <w:left w:val="none" w:sz="0" w:space="0" w:color="auto"/>
        <w:bottom w:val="none" w:sz="0" w:space="0" w:color="auto"/>
        <w:right w:val="none" w:sz="0" w:space="0" w:color="auto"/>
      </w:divBdr>
    </w:div>
    <w:div w:id="1623533471">
      <w:bodyDiv w:val="1"/>
      <w:marLeft w:val="0"/>
      <w:marRight w:val="0"/>
      <w:marTop w:val="0"/>
      <w:marBottom w:val="0"/>
      <w:divBdr>
        <w:top w:val="none" w:sz="0" w:space="0" w:color="auto"/>
        <w:left w:val="none" w:sz="0" w:space="0" w:color="auto"/>
        <w:bottom w:val="none" w:sz="0" w:space="0" w:color="auto"/>
        <w:right w:val="none" w:sz="0" w:space="0" w:color="auto"/>
      </w:divBdr>
    </w:div>
    <w:div w:id="1628853984">
      <w:bodyDiv w:val="1"/>
      <w:marLeft w:val="0"/>
      <w:marRight w:val="0"/>
      <w:marTop w:val="0"/>
      <w:marBottom w:val="0"/>
      <w:divBdr>
        <w:top w:val="none" w:sz="0" w:space="0" w:color="auto"/>
        <w:left w:val="none" w:sz="0" w:space="0" w:color="auto"/>
        <w:bottom w:val="none" w:sz="0" w:space="0" w:color="auto"/>
        <w:right w:val="none" w:sz="0" w:space="0" w:color="auto"/>
      </w:divBdr>
    </w:div>
    <w:div w:id="1637640431">
      <w:bodyDiv w:val="1"/>
      <w:marLeft w:val="0"/>
      <w:marRight w:val="0"/>
      <w:marTop w:val="0"/>
      <w:marBottom w:val="0"/>
      <w:divBdr>
        <w:top w:val="none" w:sz="0" w:space="0" w:color="auto"/>
        <w:left w:val="none" w:sz="0" w:space="0" w:color="auto"/>
        <w:bottom w:val="none" w:sz="0" w:space="0" w:color="auto"/>
        <w:right w:val="none" w:sz="0" w:space="0" w:color="auto"/>
      </w:divBdr>
    </w:div>
    <w:div w:id="1652174630">
      <w:bodyDiv w:val="1"/>
      <w:marLeft w:val="0"/>
      <w:marRight w:val="0"/>
      <w:marTop w:val="0"/>
      <w:marBottom w:val="0"/>
      <w:divBdr>
        <w:top w:val="none" w:sz="0" w:space="0" w:color="auto"/>
        <w:left w:val="none" w:sz="0" w:space="0" w:color="auto"/>
        <w:bottom w:val="none" w:sz="0" w:space="0" w:color="auto"/>
        <w:right w:val="none" w:sz="0" w:space="0" w:color="auto"/>
      </w:divBdr>
    </w:div>
    <w:div w:id="1667049179">
      <w:bodyDiv w:val="1"/>
      <w:marLeft w:val="0"/>
      <w:marRight w:val="0"/>
      <w:marTop w:val="0"/>
      <w:marBottom w:val="0"/>
      <w:divBdr>
        <w:top w:val="none" w:sz="0" w:space="0" w:color="auto"/>
        <w:left w:val="none" w:sz="0" w:space="0" w:color="auto"/>
        <w:bottom w:val="none" w:sz="0" w:space="0" w:color="auto"/>
        <w:right w:val="none" w:sz="0" w:space="0" w:color="auto"/>
      </w:divBdr>
    </w:div>
    <w:div w:id="1675063864">
      <w:bodyDiv w:val="1"/>
      <w:marLeft w:val="0"/>
      <w:marRight w:val="0"/>
      <w:marTop w:val="0"/>
      <w:marBottom w:val="0"/>
      <w:divBdr>
        <w:top w:val="none" w:sz="0" w:space="0" w:color="auto"/>
        <w:left w:val="none" w:sz="0" w:space="0" w:color="auto"/>
        <w:bottom w:val="none" w:sz="0" w:space="0" w:color="auto"/>
        <w:right w:val="none" w:sz="0" w:space="0" w:color="auto"/>
      </w:divBdr>
    </w:div>
    <w:div w:id="1676305526">
      <w:bodyDiv w:val="1"/>
      <w:marLeft w:val="0"/>
      <w:marRight w:val="0"/>
      <w:marTop w:val="0"/>
      <w:marBottom w:val="0"/>
      <w:divBdr>
        <w:top w:val="none" w:sz="0" w:space="0" w:color="auto"/>
        <w:left w:val="none" w:sz="0" w:space="0" w:color="auto"/>
        <w:bottom w:val="none" w:sz="0" w:space="0" w:color="auto"/>
        <w:right w:val="none" w:sz="0" w:space="0" w:color="auto"/>
      </w:divBdr>
    </w:div>
    <w:div w:id="1688023096">
      <w:bodyDiv w:val="1"/>
      <w:marLeft w:val="0"/>
      <w:marRight w:val="0"/>
      <w:marTop w:val="0"/>
      <w:marBottom w:val="0"/>
      <w:divBdr>
        <w:top w:val="none" w:sz="0" w:space="0" w:color="auto"/>
        <w:left w:val="none" w:sz="0" w:space="0" w:color="auto"/>
        <w:bottom w:val="none" w:sz="0" w:space="0" w:color="auto"/>
        <w:right w:val="none" w:sz="0" w:space="0" w:color="auto"/>
      </w:divBdr>
    </w:div>
    <w:div w:id="1714573742">
      <w:bodyDiv w:val="1"/>
      <w:marLeft w:val="0"/>
      <w:marRight w:val="0"/>
      <w:marTop w:val="0"/>
      <w:marBottom w:val="0"/>
      <w:divBdr>
        <w:top w:val="none" w:sz="0" w:space="0" w:color="auto"/>
        <w:left w:val="none" w:sz="0" w:space="0" w:color="auto"/>
        <w:bottom w:val="none" w:sz="0" w:space="0" w:color="auto"/>
        <w:right w:val="none" w:sz="0" w:space="0" w:color="auto"/>
      </w:divBdr>
    </w:div>
    <w:div w:id="1714696908">
      <w:bodyDiv w:val="1"/>
      <w:marLeft w:val="0"/>
      <w:marRight w:val="0"/>
      <w:marTop w:val="0"/>
      <w:marBottom w:val="0"/>
      <w:divBdr>
        <w:top w:val="none" w:sz="0" w:space="0" w:color="auto"/>
        <w:left w:val="none" w:sz="0" w:space="0" w:color="auto"/>
        <w:bottom w:val="none" w:sz="0" w:space="0" w:color="auto"/>
        <w:right w:val="none" w:sz="0" w:space="0" w:color="auto"/>
      </w:divBdr>
    </w:div>
    <w:div w:id="1715885782">
      <w:bodyDiv w:val="1"/>
      <w:marLeft w:val="0"/>
      <w:marRight w:val="0"/>
      <w:marTop w:val="0"/>
      <w:marBottom w:val="0"/>
      <w:divBdr>
        <w:top w:val="none" w:sz="0" w:space="0" w:color="auto"/>
        <w:left w:val="none" w:sz="0" w:space="0" w:color="auto"/>
        <w:bottom w:val="none" w:sz="0" w:space="0" w:color="auto"/>
        <w:right w:val="none" w:sz="0" w:space="0" w:color="auto"/>
      </w:divBdr>
    </w:div>
    <w:div w:id="1731347880">
      <w:bodyDiv w:val="1"/>
      <w:marLeft w:val="0"/>
      <w:marRight w:val="0"/>
      <w:marTop w:val="0"/>
      <w:marBottom w:val="0"/>
      <w:divBdr>
        <w:top w:val="none" w:sz="0" w:space="0" w:color="auto"/>
        <w:left w:val="none" w:sz="0" w:space="0" w:color="auto"/>
        <w:bottom w:val="none" w:sz="0" w:space="0" w:color="auto"/>
        <w:right w:val="none" w:sz="0" w:space="0" w:color="auto"/>
      </w:divBdr>
    </w:div>
    <w:div w:id="1751267798">
      <w:bodyDiv w:val="1"/>
      <w:marLeft w:val="0"/>
      <w:marRight w:val="0"/>
      <w:marTop w:val="0"/>
      <w:marBottom w:val="0"/>
      <w:divBdr>
        <w:top w:val="none" w:sz="0" w:space="0" w:color="auto"/>
        <w:left w:val="none" w:sz="0" w:space="0" w:color="auto"/>
        <w:bottom w:val="none" w:sz="0" w:space="0" w:color="auto"/>
        <w:right w:val="none" w:sz="0" w:space="0" w:color="auto"/>
      </w:divBdr>
    </w:div>
    <w:div w:id="1766926546">
      <w:bodyDiv w:val="1"/>
      <w:marLeft w:val="0"/>
      <w:marRight w:val="0"/>
      <w:marTop w:val="0"/>
      <w:marBottom w:val="0"/>
      <w:divBdr>
        <w:top w:val="none" w:sz="0" w:space="0" w:color="auto"/>
        <w:left w:val="none" w:sz="0" w:space="0" w:color="auto"/>
        <w:bottom w:val="none" w:sz="0" w:space="0" w:color="auto"/>
        <w:right w:val="none" w:sz="0" w:space="0" w:color="auto"/>
      </w:divBdr>
    </w:div>
    <w:div w:id="1777215042">
      <w:bodyDiv w:val="1"/>
      <w:marLeft w:val="0"/>
      <w:marRight w:val="0"/>
      <w:marTop w:val="0"/>
      <w:marBottom w:val="0"/>
      <w:divBdr>
        <w:top w:val="none" w:sz="0" w:space="0" w:color="auto"/>
        <w:left w:val="none" w:sz="0" w:space="0" w:color="auto"/>
        <w:bottom w:val="none" w:sz="0" w:space="0" w:color="auto"/>
        <w:right w:val="none" w:sz="0" w:space="0" w:color="auto"/>
      </w:divBdr>
    </w:div>
    <w:div w:id="1781023006">
      <w:bodyDiv w:val="1"/>
      <w:marLeft w:val="0"/>
      <w:marRight w:val="0"/>
      <w:marTop w:val="0"/>
      <w:marBottom w:val="0"/>
      <w:divBdr>
        <w:top w:val="none" w:sz="0" w:space="0" w:color="auto"/>
        <w:left w:val="none" w:sz="0" w:space="0" w:color="auto"/>
        <w:bottom w:val="none" w:sz="0" w:space="0" w:color="auto"/>
        <w:right w:val="none" w:sz="0" w:space="0" w:color="auto"/>
      </w:divBdr>
    </w:div>
    <w:div w:id="1793936021">
      <w:bodyDiv w:val="1"/>
      <w:marLeft w:val="0"/>
      <w:marRight w:val="0"/>
      <w:marTop w:val="0"/>
      <w:marBottom w:val="0"/>
      <w:divBdr>
        <w:top w:val="none" w:sz="0" w:space="0" w:color="auto"/>
        <w:left w:val="none" w:sz="0" w:space="0" w:color="auto"/>
        <w:bottom w:val="none" w:sz="0" w:space="0" w:color="auto"/>
        <w:right w:val="none" w:sz="0" w:space="0" w:color="auto"/>
      </w:divBdr>
    </w:div>
    <w:div w:id="1817382352">
      <w:bodyDiv w:val="1"/>
      <w:marLeft w:val="0"/>
      <w:marRight w:val="0"/>
      <w:marTop w:val="0"/>
      <w:marBottom w:val="0"/>
      <w:divBdr>
        <w:top w:val="none" w:sz="0" w:space="0" w:color="auto"/>
        <w:left w:val="none" w:sz="0" w:space="0" w:color="auto"/>
        <w:bottom w:val="none" w:sz="0" w:space="0" w:color="auto"/>
        <w:right w:val="none" w:sz="0" w:space="0" w:color="auto"/>
      </w:divBdr>
    </w:div>
    <w:div w:id="1820263946">
      <w:bodyDiv w:val="1"/>
      <w:marLeft w:val="0"/>
      <w:marRight w:val="0"/>
      <w:marTop w:val="0"/>
      <w:marBottom w:val="0"/>
      <w:divBdr>
        <w:top w:val="none" w:sz="0" w:space="0" w:color="auto"/>
        <w:left w:val="none" w:sz="0" w:space="0" w:color="auto"/>
        <w:bottom w:val="none" w:sz="0" w:space="0" w:color="auto"/>
        <w:right w:val="none" w:sz="0" w:space="0" w:color="auto"/>
      </w:divBdr>
    </w:div>
    <w:div w:id="1821189627">
      <w:bodyDiv w:val="1"/>
      <w:marLeft w:val="0"/>
      <w:marRight w:val="0"/>
      <w:marTop w:val="0"/>
      <w:marBottom w:val="0"/>
      <w:divBdr>
        <w:top w:val="none" w:sz="0" w:space="0" w:color="auto"/>
        <w:left w:val="none" w:sz="0" w:space="0" w:color="auto"/>
        <w:bottom w:val="none" w:sz="0" w:space="0" w:color="auto"/>
        <w:right w:val="none" w:sz="0" w:space="0" w:color="auto"/>
      </w:divBdr>
    </w:div>
    <w:div w:id="1830707897">
      <w:bodyDiv w:val="1"/>
      <w:marLeft w:val="0"/>
      <w:marRight w:val="0"/>
      <w:marTop w:val="0"/>
      <w:marBottom w:val="0"/>
      <w:divBdr>
        <w:top w:val="none" w:sz="0" w:space="0" w:color="auto"/>
        <w:left w:val="none" w:sz="0" w:space="0" w:color="auto"/>
        <w:bottom w:val="none" w:sz="0" w:space="0" w:color="auto"/>
        <w:right w:val="none" w:sz="0" w:space="0" w:color="auto"/>
      </w:divBdr>
    </w:div>
    <w:div w:id="1854487295">
      <w:bodyDiv w:val="1"/>
      <w:marLeft w:val="0"/>
      <w:marRight w:val="0"/>
      <w:marTop w:val="0"/>
      <w:marBottom w:val="0"/>
      <w:divBdr>
        <w:top w:val="none" w:sz="0" w:space="0" w:color="auto"/>
        <w:left w:val="none" w:sz="0" w:space="0" w:color="auto"/>
        <w:bottom w:val="none" w:sz="0" w:space="0" w:color="auto"/>
        <w:right w:val="none" w:sz="0" w:space="0" w:color="auto"/>
      </w:divBdr>
    </w:div>
    <w:div w:id="1866939700">
      <w:bodyDiv w:val="1"/>
      <w:marLeft w:val="0"/>
      <w:marRight w:val="0"/>
      <w:marTop w:val="0"/>
      <w:marBottom w:val="0"/>
      <w:divBdr>
        <w:top w:val="none" w:sz="0" w:space="0" w:color="auto"/>
        <w:left w:val="none" w:sz="0" w:space="0" w:color="auto"/>
        <w:bottom w:val="none" w:sz="0" w:space="0" w:color="auto"/>
        <w:right w:val="none" w:sz="0" w:space="0" w:color="auto"/>
      </w:divBdr>
    </w:div>
    <w:div w:id="1875537787">
      <w:bodyDiv w:val="1"/>
      <w:marLeft w:val="0"/>
      <w:marRight w:val="0"/>
      <w:marTop w:val="0"/>
      <w:marBottom w:val="0"/>
      <w:divBdr>
        <w:top w:val="none" w:sz="0" w:space="0" w:color="auto"/>
        <w:left w:val="none" w:sz="0" w:space="0" w:color="auto"/>
        <w:bottom w:val="none" w:sz="0" w:space="0" w:color="auto"/>
        <w:right w:val="none" w:sz="0" w:space="0" w:color="auto"/>
      </w:divBdr>
    </w:div>
    <w:div w:id="1895388191">
      <w:bodyDiv w:val="1"/>
      <w:marLeft w:val="0"/>
      <w:marRight w:val="0"/>
      <w:marTop w:val="0"/>
      <w:marBottom w:val="0"/>
      <w:divBdr>
        <w:top w:val="none" w:sz="0" w:space="0" w:color="auto"/>
        <w:left w:val="none" w:sz="0" w:space="0" w:color="auto"/>
        <w:bottom w:val="none" w:sz="0" w:space="0" w:color="auto"/>
        <w:right w:val="none" w:sz="0" w:space="0" w:color="auto"/>
      </w:divBdr>
    </w:div>
    <w:div w:id="1902713284">
      <w:bodyDiv w:val="1"/>
      <w:marLeft w:val="0"/>
      <w:marRight w:val="0"/>
      <w:marTop w:val="0"/>
      <w:marBottom w:val="0"/>
      <w:divBdr>
        <w:top w:val="none" w:sz="0" w:space="0" w:color="auto"/>
        <w:left w:val="none" w:sz="0" w:space="0" w:color="auto"/>
        <w:bottom w:val="none" w:sz="0" w:space="0" w:color="auto"/>
        <w:right w:val="none" w:sz="0" w:space="0" w:color="auto"/>
      </w:divBdr>
    </w:div>
    <w:div w:id="1941333971">
      <w:bodyDiv w:val="1"/>
      <w:marLeft w:val="0"/>
      <w:marRight w:val="0"/>
      <w:marTop w:val="0"/>
      <w:marBottom w:val="0"/>
      <w:divBdr>
        <w:top w:val="none" w:sz="0" w:space="0" w:color="auto"/>
        <w:left w:val="none" w:sz="0" w:space="0" w:color="auto"/>
        <w:bottom w:val="none" w:sz="0" w:space="0" w:color="auto"/>
        <w:right w:val="none" w:sz="0" w:space="0" w:color="auto"/>
      </w:divBdr>
    </w:div>
    <w:div w:id="1948154409">
      <w:bodyDiv w:val="1"/>
      <w:marLeft w:val="0"/>
      <w:marRight w:val="0"/>
      <w:marTop w:val="0"/>
      <w:marBottom w:val="0"/>
      <w:divBdr>
        <w:top w:val="none" w:sz="0" w:space="0" w:color="auto"/>
        <w:left w:val="none" w:sz="0" w:space="0" w:color="auto"/>
        <w:bottom w:val="none" w:sz="0" w:space="0" w:color="auto"/>
        <w:right w:val="none" w:sz="0" w:space="0" w:color="auto"/>
      </w:divBdr>
    </w:div>
    <w:div w:id="1960718174">
      <w:bodyDiv w:val="1"/>
      <w:marLeft w:val="0"/>
      <w:marRight w:val="0"/>
      <w:marTop w:val="0"/>
      <w:marBottom w:val="0"/>
      <w:divBdr>
        <w:top w:val="none" w:sz="0" w:space="0" w:color="auto"/>
        <w:left w:val="none" w:sz="0" w:space="0" w:color="auto"/>
        <w:bottom w:val="none" w:sz="0" w:space="0" w:color="auto"/>
        <w:right w:val="none" w:sz="0" w:space="0" w:color="auto"/>
      </w:divBdr>
    </w:div>
    <w:div w:id="1962298782">
      <w:bodyDiv w:val="1"/>
      <w:marLeft w:val="0"/>
      <w:marRight w:val="0"/>
      <w:marTop w:val="0"/>
      <w:marBottom w:val="0"/>
      <w:divBdr>
        <w:top w:val="none" w:sz="0" w:space="0" w:color="auto"/>
        <w:left w:val="none" w:sz="0" w:space="0" w:color="auto"/>
        <w:bottom w:val="none" w:sz="0" w:space="0" w:color="auto"/>
        <w:right w:val="none" w:sz="0" w:space="0" w:color="auto"/>
      </w:divBdr>
    </w:div>
    <w:div w:id="1964923556">
      <w:bodyDiv w:val="1"/>
      <w:marLeft w:val="0"/>
      <w:marRight w:val="0"/>
      <w:marTop w:val="0"/>
      <w:marBottom w:val="0"/>
      <w:divBdr>
        <w:top w:val="none" w:sz="0" w:space="0" w:color="auto"/>
        <w:left w:val="none" w:sz="0" w:space="0" w:color="auto"/>
        <w:bottom w:val="none" w:sz="0" w:space="0" w:color="auto"/>
        <w:right w:val="none" w:sz="0" w:space="0" w:color="auto"/>
      </w:divBdr>
    </w:div>
    <w:div w:id="1968198485">
      <w:bodyDiv w:val="1"/>
      <w:marLeft w:val="0"/>
      <w:marRight w:val="0"/>
      <w:marTop w:val="0"/>
      <w:marBottom w:val="0"/>
      <w:divBdr>
        <w:top w:val="none" w:sz="0" w:space="0" w:color="auto"/>
        <w:left w:val="none" w:sz="0" w:space="0" w:color="auto"/>
        <w:bottom w:val="none" w:sz="0" w:space="0" w:color="auto"/>
        <w:right w:val="none" w:sz="0" w:space="0" w:color="auto"/>
      </w:divBdr>
    </w:div>
    <w:div w:id="1972781258">
      <w:bodyDiv w:val="1"/>
      <w:marLeft w:val="0"/>
      <w:marRight w:val="0"/>
      <w:marTop w:val="0"/>
      <w:marBottom w:val="0"/>
      <w:divBdr>
        <w:top w:val="none" w:sz="0" w:space="0" w:color="auto"/>
        <w:left w:val="none" w:sz="0" w:space="0" w:color="auto"/>
        <w:bottom w:val="none" w:sz="0" w:space="0" w:color="auto"/>
        <w:right w:val="none" w:sz="0" w:space="0" w:color="auto"/>
      </w:divBdr>
    </w:div>
    <w:div w:id="1973512778">
      <w:bodyDiv w:val="1"/>
      <w:marLeft w:val="0"/>
      <w:marRight w:val="0"/>
      <w:marTop w:val="0"/>
      <w:marBottom w:val="0"/>
      <w:divBdr>
        <w:top w:val="none" w:sz="0" w:space="0" w:color="auto"/>
        <w:left w:val="none" w:sz="0" w:space="0" w:color="auto"/>
        <w:bottom w:val="none" w:sz="0" w:space="0" w:color="auto"/>
        <w:right w:val="none" w:sz="0" w:space="0" w:color="auto"/>
      </w:divBdr>
    </w:div>
    <w:div w:id="1987586097">
      <w:bodyDiv w:val="1"/>
      <w:marLeft w:val="0"/>
      <w:marRight w:val="0"/>
      <w:marTop w:val="0"/>
      <w:marBottom w:val="0"/>
      <w:divBdr>
        <w:top w:val="none" w:sz="0" w:space="0" w:color="auto"/>
        <w:left w:val="none" w:sz="0" w:space="0" w:color="auto"/>
        <w:bottom w:val="none" w:sz="0" w:space="0" w:color="auto"/>
        <w:right w:val="none" w:sz="0" w:space="0" w:color="auto"/>
      </w:divBdr>
    </w:div>
    <w:div w:id="2004355185">
      <w:bodyDiv w:val="1"/>
      <w:marLeft w:val="0"/>
      <w:marRight w:val="0"/>
      <w:marTop w:val="0"/>
      <w:marBottom w:val="0"/>
      <w:divBdr>
        <w:top w:val="none" w:sz="0" w:space="0" w:color="auto"/>
        <w:left w:val="none" w:sz="0" w:space="0" w:color="auto"/>
        <w:bottom w:val="none" w:sz="0" w:space="0" w:color="auto"/>
        <w:right w:val="none" w:sz="0" w:space="0" w:color="auto"/>
      </w:divBdr>
    </w:div>
    <w:div w:id="2020615888">
      <w:bodyDiv w:val="1"/>
      <w:marLeft w:val="0"/>
      <w:marRight w:val="0"/>
      <w:marTop w:val="0"/>
      <w:marBottom w:val="0"/>
      <w:divBdr>
        <w:top w:val="none" w:sz="0" w:space="0" w:color="auto"/>
        <w:left w:val="none" w:sz="0" w:space="0" w:color="auto"/>
        <w:bottom w:val="none" w:sz="0" w:space="0" w:color="auto"/>
        <w:right w:val="none" w:sz="0" w:space="0" w:color="auto"/>
      </w:divBdr>
    </w:div>
    <w:div w:id="2028748100">
      <w:bodyDiv w:val="1"/>
      <w:marLeft w:val="0"/>
      <w:marRight w:val="0"/>
      <w:marTop w:val="0"/>
      <w:marBottom w:val="0"/>
      <w:divBdr>
        <w:top w:val="none" w:sz="0" w:space="0" w:color="auto"/>
        <w:left w:val="none" w:sz="0" w:space="0" w:color="auto"/>
        <w:bottom w:val="none" w:sz="0" w:space="0" w:color="auto"/>
        <w:right w:val="none" w:sz="0" w:space="0" w:color="auto"/>
      </w:divBdr>
    </w:div>
    <w:div w:id="2033527478">
      <w:bodyDiv w:val="1"/>
      <w:marLeft w:val="0"/>
      <w:marRight w:val="0"/>
      <w:marTop w:val="0"/>
      <w:marBottom w:val="0"/>
      <w:divBdr>
        <w:top w:val="none" w:sz="0" w:space="0" w:color="auto"/>
        <w:left w:val="none" w:sz="0" w:space="0" w:color="auto"/>
        <w:bottom w:val="none" w:sz="0" w:space="0" w:color="auto"/>
        <w:right w:val="none" w:sz="0" w:space="0" w:color="auto"/>
      </w:divBdr>
    </w:div>
    <w:div w:id="2070304425">
      <w:bodyDiv w:val="1"/>
      <w:marLeft w:val="0"/>
      <w:marRight w:val="0"/>
      <w:marTop w:val="0"/>
      <w:marBottom w:val="0"/>
      <w:divBdr>
        <w:top w:val="none" w:sz="0" w:space="0" w:color="auto"/>
        <w:left w:val="none" w:sz="0" w:space="0" w:color="auto"/>
        <w:bottom w:val="none" w:sz="0" w:space="0" w:color="auto"/>
        <w:right w:val="none" w:sz="0" w:space="0" w:color="auto"/>
      </w:divBdr>
    </w:div>
    <w:div w:id="2090157142">
      <w:bodyDiv w:val="1"/>
      <w:marLeft w:val="0"/>
      <w:marRight w:val="0"/>
      <w:marTop w:val="0"/>
      <w:marBottom w:val="0"/>
      <w:divBdr>
        <w:top w:val="none" w:sz="0" w:space="0" w:color="auto"/>
        <w:left w:val="none" w:sz="0" w:space="0" w:color="auto"/>
        <w:bottom w:val="none" w:sz="0" w:space="0" w:color="auto"/>
        <w:right w:val="none" w:sz="0" w:space="0" w:color="auto"/>
      </w:divBdr>
    </w:div>
    <w:div w:id="2093702004">
      <w:bodyDiv w:val="1"/>
      <w:marLeft w:val="0"/>
      <w:marRight w:val="0"/>
      <w:marTop w:val="0"/>
      <w:marBottom w:val="0"/>
      <w:divBdr>
        <w:top w:val="none" w:sz="0" w:space="0" w:color="auto"/>
        <w:left w:val="none" w:sz="0" w:space="0" w:color="auto"/>
        <w:bottom w:val="none" w:sz="0" w:space="0" w:color="auto"/>
        <w:right w:val="none" w:sz="0" w:space="0" w:color="auto"/>
      </w:divBdr>
    </w:div>
    <w:div w:id="2105298616">
      <w:bodyDiv w:val="1"/>
      <w:marLeft w:val="0"/>
      <w:marRight w:val="0"/>
      <w:marTop w:val="0"/>
      <w:marBottom w:val="0"/>
      <w:divBdr>
        <w:top w:val="none" w:sz="0" w:space="0" w:color="auto"/>
        <w:left w:val="none" w:sz="0" w:space="0" w:color="auto"/>
        <w:bottom w:val="none" w:sz="0" w:space="0" w:color="auto"/>
        <w:right w:val="none" w:sz="0" w:space="0" w:color="auto"/>
      </w:divBdr>
    </w:div>
    <w:div w:id="2107536881">
      <w:bodyDiv w:val="1"/>
      <w:marLeft w:val="0"/>
      <w:marRight w:val="0"/>
      <w:marTop w:val="0"/>
      <w:marBottom w:val="0"/>
      <w:divBdr>
        <w:top w:val="none" w:sz="0" w:space="0" w:color="auto"/>
        <w:left w:val="none" w:sz="0" w:space="0" w:color="auto"/>
        <w:bottom w:val="none" w:sz="0" w:space="0" w:color="auto"/>
        <w:right w:val="none" w:sz="0" w:space="0" w:color="auto"/>
      </w:divBdr>
    </w:div>
    <w:div w:id="2142306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javascript:void();" TargetMode="External"/><Relationship Id="rId117" Type="http://schemas.openxmlformats.org/officeDocument/2006/relationships/diagramQuickStyle" Target="diagrams/quickStyle2.xml"/><Relationship Id="rId21" Type="http://schemas.openxmlformats.org/officeDocument/2006/relationships/image" Target="media/image30.emf"/><Relationship Id="rId42" Type="http://schemas.openxmlformats.org/officeDocument/2006/relationships/hyperlink" Target="javascript:void();" TargetMode="External"/><Relationship Id="rId47" Type="http://schemas.openxmlformats.org/officeDocument/2006/relationships/hyperlink" Target="javascript:void();" TargetMode="External"/><Relationship Id="rId63" Type="http://schemas.openxmlformats.org/officeDocument/2006/relationships/chart" Target="charts/chart8.xml"/><Relationship Id="rId68" Type="http://schemas.openxmlformats.org/officeDocument/2006/relationships/image" Target="media/image5.emf"/><Relationship Id="rId84" Type="http://schemas.openxmlformats.org/officeDocument/2006/relationships/hyperlink" Target="http://dors.maryland.gov/resources/Pages/locations.aspx" TargetMode="External"/><Relationship Id="rId89" Type="http://schemas.openxmlformats.org/officeDocument/2006/relationships/hyperlink" Target="http://www.doleta.gov/tradeact" TargetMode="External"/><Relationship Id="rId112" Type="http://schemas.openxmlformats.org/officeDocument/2006/relationships/diagramColors" Target="diagrams/colors1.xml"/><Relationship Id="rId133" Type="http://schemas.openxmlformats.org/officeDocument/2006/relationships/diagramColors" Target="diagrams/colors5.xml"/><Relationship Id="rId16" Type="http://schemas.openxmlformats.org/officeDocument/2006/relationships/chart" Target="charts/chart2.xml"/><Relationship Id="rId107" Type="http://schemas.openxmlformats.org/officeDocument/2006/relationships/hyperlink" Target="http://veterans.workforce3one.org" TargetMode="External"/><Relationship Id="rId11" Type="http://schemas.openxmlformats.org/officeDocument/2006/relationships/header" Target="header1.xml"/><Relationship Id="rId32" Type="http://schemas.openxmlformats.org/officeDocument/2006/relationships/hyperlink" Target="javascript:void();" TargetMode="External"/><Relationship Id="rId37" Type="http://schemas.openxmlformats.org/officeDocument/2006/relationships/hyperlink" Target="javascript:void();" TargetMode="External"/><Relationship Id="rId53" Type="http://schemas.openxmlformats.org/officeDocument/2006/relationships/hyperlink" Target="javascript:void();" TargetMode="External"/><Relationship Id="rId58" Type="http://schemas.openxmlformats.org/officeDocument/2006/relationships/chart" Target="charts/chart5.xml"/><Relationship Id="rId74" Type="http://schemas.openxmlformats.org/officeDocument/2006/relationships/hyperlink" Target="http://www.gwib.maryland.gov/policy/gwibpi1-15.pdf" TargetMode="External"/><Relationship Id="rId79" Type="http://schemas.openxmlformats.org/officeDocument/2006/relationships/hyperlink" Target="http://www.dllr.state.md.us/employment/mpi/mpi5-16.pdf" TargetMode="External"/><Relationship Id="rId102" Type="http://schemas.openxmlformats.org/officeDocument/2006/relationships/hyperlink" Target="http://dors.maryland.gov/consumers/WTC/RTS/Pages/residential.aspx" TargetMode="External"/><Relationship Id="rId123" Type="http://schemas.openxmlformats.org/officeDocument/2006/relationships/diagramColors" Target="diagrams/colors3.xml"/><Relationship Id="rId128" Type="http://schemas.openxmlformats.org/officeDocument/2006/relationships/diagramColors" Target="diagrams/colors4.xml"/><Relationship Id="rId5" Type="http://schemas.openxmlformats.org/officeDocument/2006/relationships/settings" Target="settings.xml"/><Relationship Id="rId90" Type="http://schemas.openxmlformats.org/officeDocument/2006/relationships/image" Target="media/image8.png"/><Relationship Id="rId95" Type="http://schemas.openxmlformats.org/officeDocument/2006/relationships/hyperlink" Target="https://mwejobs.maryland.gov/vosnet/Default.aspx" TargetMode="External"/><Relationship Id="rId14" Type="http://schemas.openxmlformats.org/officeDocument/2006/relationships/chart" Target="charts/chart1.xml"/><Relationship Id="rId22" Type="http://schemas.openxmlformats.org/officeDocument/2006/relationships/chart" Target="charts/chart4.xml"/><Relationship Id="rId27" Type="http://schemas.openxmlformats.org/officeDocument/2006/relationships/hyperlink" Target="javascript:void();" TargetMode="External"/><Relationship Id="rId30" Type="http://schemas.openxmlformats.org/officeDocument/2006/relationships/hyperlink" Target="javascript:void();" TargetMode="External"/><Relationship Id="rId35" Type="http://schemas.openxmlformats.org/officeDocument/2006/relationships/hyperlink" Target="javascript:void();" TargetMode="External"/><Relationship Id="rId43" Type="http://schemas.openxmlformats.org/officeDocument/2006/relationships/hyperlink" Target="javascript:void();" TargetMode="External"/><Relationship Id="rId48" Type="http://schemas.openxmlformats.org/officeDocument/2006/relationships/hyperlink" Target="javascript:void();" TargetMode="External"/><Relationship Id="rId56" Type="http://schemas.openxmlformats.org/officeDocument/2006/relationships/chart" Target="charts/chart5.xml"/><Relationship Id="rId64" Type="http://schemas.openxmlformats.org/officeDocument/2006/relationships/chart" Target="charts/chart9.xml"/><Relationship Id="rId69" Type="http://schemas.openxmlformats.org/officeDocument/2006/relationships/image" Target="media/image50.emf"/><Relationship Id="rId77" Type="http://schemas.openxmlformats.org/officeDocument/2006/relationships/hyperlink" Target="http://www.dllr.state.md.us/employment/mpi/mpi6-15.pdf" TargetMode="External"/><Relationship Id="rId100" Type="http://schemas.openxmlformats.org/officeDocument/2006/relationships/hyperlink" Target="http://www.dors.maryland.gov" TargetMode="External"/><Relationship Id="rId105" Type="http://schemas.openxmlformats.org/officeDocument/2006/relationships/image" Target="media/image11.emf"/><Relationship Id="rId113" Type="http://schemas.microsoft.com/office/2007/relationships/diagramDrawing" Target="diagrams/drawing1.xml"/><Relationship Id="rId118" Type="http://schemas.openxmlformats.org/officeDocument/2006/relationships/diagramColors" Target="diagrams/colors2.xml"/><Relationship Id="rId126" Type="http://schemas.openxmlformats.org/officeDocument/2006/relationships/diagramLayout" Target="diagrams/layout4.xml"/><Relationship Id="rId134" Type="http://schemas.microsoft.com/office/2007/relationships/diagramDrawing" Target="diagrams/drawing5.xml"/><Relationship Id="rId8" Type="http://schemas.openxmlformats.org/officeDocument/2006/relationships/endnotes" Target="endnotes.xml"/><Relationship Id="rId51" Type="http://schemas.openxmlformats.org/officeDocument/2006/relationships/hyperlink" Target="javascript:void();" TargetMode="External"/><Relationship Id="rId72" Type="http://schemas.openxmlformats.org/officeDocument/2006/relationships/hyperlink" Target="http://www.dllr.state.md.us/lmi/" TargetMode="External"/><Relationship Id="rId80" Type="http://schemas.openxmlformats.org/officeDocument/2006/relationships/image" Target="media/image7.png"/><Relationship Id="rId85" Type="http://schemas.openxmlformats.org/officeDocument/2006/relationships/hyperlink" Target="http://www.dhr.state.md.us/blog/?page_id=805" TargetMode="External"/><Relationship Id="rId93" Type="http://schemas.openxmlformats.org/officeDocument/2006/relationships/hyperlink" Target="http://ies.ed.gov/ncee/edlabs/regions/midatlantic/pdf/REL_2014038.pdf" TargetMode="External"/><Relationship Id="rId98" Type="http://schemas.openxmlformats.org/officeDocument/2006/relationships/hyperlink" Target="http://www.whitehouse.gov/sites/default/files/omb/assets/omb/grants/sflllin.pdf" TargetMode="External"/><Relationship Id="rId121" Type="http://schemas.openxmlformats.org/officeDocument/2006/relationships/diagramLayout" Target="diagrams/layout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chart" Target="charts/chart2.xml"/><Relationship Id="rId25" Type="http://schemas.openxmlformats.org/officeDocument/2006/relationships/hyperlink" Target="javascript:void();" TargetMode="External"/><Relationship Id="rId33" Type="http://schemas.openxmlformats.org/officeDocument/2006/relationships/hyperlink" Target="javascript:void();" TargetMode="External"/><Relationship Id="rId38" Type="http://schemas.openxmlformats.org/officeDocument/2006/relationships/hyperlink" Target="javascript:void();" TargetMode="External"/><Relationship Id="rId46" Type="http://schemas.openxmlformats.org/officeDocument/2006/relationships/hyperlink" Target="javascript:void();" TargetMode="External"/><Relationship Id="rId59" Type="http://schemas.openxmlformats.org/officeDocument/2006/relationships/chart" Target="charts/chart6.xml"/><Relationship Id="rId67" Type="http://schemas.openxmlformats.org/officeDocument/2006/relationships/image" Target="media/image40.emf"/><Relationship Id="rId103" Type="http://schemas.openxmlformats.org/officeDocument/2006/relationships/hyperlink" Target="http://www.mhec.maryland.gov/financialAid/ProgramDescriptions/prog_ga.asp" TargetMode="External"/><Relationship Id="rId108" Type="http://schemas.openxmlformats.org/officeDocument/2006/relationships/image" Target="media/image12.emf"/><Relationship Id="rId116" Type="http://schemas.openxmlformats.org/officeDocument/2006/relationships/diagramLayout" Target="diagrams/layout2.xml"/><Relationship Id="rId124" Type="http://schemas.microsoft.com/office/2007/relationships/diagramDrawing" Target="diagrams/drawing3.xml"/><Relationship Id="rId129" Type="http://schemas.microsoft.com/office/2007/relationships/diagramDrawing" Target="diagrams/drawing4.xml"/><Relationship Id="rId20" Type="http://schemas.openxmlformats.org/officeDocument/2006/relationships/image" Target="media/image3.emf"/><Relationship Id="rId41" Type="http://schemas.openxmlformats.org/officeDocument/2006/relationships/hyperlink" Target="javascript:void();" TargetMode="External"/><Relationship Id="rId54" Type="http://schemas.openxmlformats.org/officeDocument/2006/relationships/hyperlink" Target="javascript:void();" TargetMode="External"/><Relationship Id="rId62" Type="http://schemas.openxmlformats.org/officeDocument/2006/relationships/chart" Target="charts/chart7.xml"/><Relationship Id="rId70" Type="http://schemas.openxmlformats.org/officeDocument/2006/relationships/image" Target="media/image6.emf"/><Relationship Id="rId75" Type="http://schemas.openxmlformats.org/officeDocument/2006/relationships/hyperlink" Target="http://www.dllr.state.md.us/employment/mpi/mpi4-15.pdf" TargetMode="External"/><Relationship Id="rId83" Type="http://schemas.openxmlformats.org/officeDocument/2006/relationships/hyperlink" Target="http://www.dllr.maryland.gov/gedmd/gedlocations.shtml" TargetMode="External"/><Relationship Id="rId88" Type="http://schemas.openxmlformats.org/officeDocument/2006/relationships/hyperlink" Target="http://www.gwib.maryland.gov/policy/gwibpi1-15.pdf" TargetMode="External"/><Relationship Id="rId91" Type="http://schemas.openxmlformats.org/officeDocument/2006/relationships/image" Target="media/image9.png"/><Relationship Id="rId96" Type="http://schemas.openxmlformats.org/officeDocument/2006/relationships/hyperlink" Target="http://www2.ed.gov/fund/grant/apply/appforms/appforms.html" TargetMode="External"/><Relationship Id="rId111" Type="http://schemas.openxmlformats.org/officeDocument/2006/relationships/diagramQuickStyle" Target="diagrams/quickStyle1.xml"/><Relationship Id="rId132" Type="http://schemas.openxmlformats.org/officeDocument/2006/relationships/diagramQuickStyle" Target="diagrams/quickStyle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4.xml"/><Relationship Id="rId28" Type="http://schemas.openxmlformats.org/officeDocument/2006/relationships/hyperlink" Target="javascript:void();" TargetMode="External"/><Relationship Id="rId36" Type="http://schemas.openxmlformats.org/officeDocument/2006/relationships/hyperlink" Target="javascript:void();" TargetMode="External"/><Relationship Id="rId49" Type="http://schemas.openxmlformats.org/officeDocument/2006/relationships/hyperlink" Target="javascript:void();" TargetMode="External"/><Relationship Id="rId57" Type="http://schemas.openxmlformats.org/officeDocument/2006/relationships/chart" Target="charts/chart6.xml"/><Relationship Id="rId106" Type="http://schemas.openxmlformats.org/officeDocument/2006/relationships/hyperlink" Target="http://www.dol.gov/vets/goldcard.html" TargetMode="External"/><Relationship Id="rId114" Type="http://schemas.openxmlformats.org/officeDocument/2006/relationships/image" Target="media/image13.wmf"/><Relationship Id="rId119" Type="http://schemas.microsoft.com/office/2007/relationships/diagramDrawing" Target="diagrams/drawing2.xml"/><Relationship Id="rId127" Type="http://schemas.openxmlformats.org/officeDocument/2006/relationships/diagramQuickStyle" Target="diagrams/quickStyle4.xml"/><Relationship Id="rId10" Type="http://schemas.openxmlformats.org/officeDocument/2006/relationships/image" Target="media/image10.emf"/><Relationship Id="rId31" Type="http://schemas.openxmlformats.org/officeDocument/2006/relationships/hyperlink" Target="javascript:void();" TargetMode="External"/><Relationship Id="rId44" Type="http://schemas.openxmlformats.org/officeDocument/2006/relationships/hyperlink" Target="javascript:void();" TargetMode="External"/><Relationship Id="rId52" Type="http://schemas.openxmlformats.org/officeDocument/2006/relationships/hyperlink" Target="javascript:void();" TargetMode="External"/><Relationship Id="rId60" Type="http://schemas.openxmlformats.org/officeDocument/2006/relationships/chart" Target="charts/chart7.xml"/><Relationship Id="rId65" Type="http://schemas.openxmlformats.org/officeDocument/2006/relationships/chart" Target="charts/chart9.xml"/><Relationship Id="rId73" Type="http://schemas.openxmlformats.org/officeDocument/2006/relationships/hyperlink" Target="http://www.dllr.state.md.us/employment/mpi/" TargetMode="External"/><Relationship Id="rId78" Type="http://schemas.openxmlformats.org/officeDocument/2006/relationships/hyperlink" Target="http://www.dllr.state.md.us/employment/mpi/mpi1-16.pdf" TargetMode="External"/><Relationship Id="rId81" Type="http://schemas.openxmlformats.org/officeDocument/2006/relationships/image" Target="media/image70.png"/><Relationship Id="rId86" Type="http://schemas.openxmlformats.org/officeDocument/2006/relationships/hyperlink" Target="http://www.gwib.maryland.gov/board/members.shtml" TargetMode="External"/><Relationship Id="rId94" Type="http://schemas.openxmlformats.org/officeDocument/2006/relationships/hyperlink" Target="http://www.dllr.state.md.us/employment/unemployment.shtml" TargetMode="External"/><Relationship Id="rId99" Type="http://schemas.openxmlformats.org/officeDocument/2006/relationships/hyperlink" Target="http://www2.ed.gov/fund/grant/apply/appforms/appforms.html" TargetMode="External"/><Relationship Id="rId101" Type="http://schemas.openxmlformats.org/officeDocument/2006/relationships/hyperlink" Target="http://dors.maryland.gov/consumers/WTC/RTS/Pages/driving.aspx" TargetMode="External"/><Relationship Id="rId122" Type="http://schemas.openxmlformats.org/officeDocument/2006/relationships/diagramQuickStyle" Target="diagrams/quickStyle3.xml"/><Relationship Id="rId130" Type="http://schemas.openxmlformats.org/officeDocument/2006/relationships/diagramData" Target="diagrams/data5.xml"/><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2.png"/><Relationship Id="rId18" Type="http://schemas.openxmlformats.org/officeDocument/2006/relationships/chart" Target="charts/chart3.xml"/><Relationship Id="rId39" Type="http://schemas.openxmlformats.org/officeDocument/2006/relationships/hyperlink" Target="javascript:void();" TargetMode="External"/><Relationship Id="rId109" Type="http://schemas.openxmlformats.org/officeDocument/2006/relationships/diagramData" Target="diagrams/data1.xml"/><Relationship Id="rId34" Type="http://schemas.openxmlformats.org/officeDocument/2006/relationships/hyperlink" Target="javascript:void();" TargetMode="External"/><Relationship Id="rId50" Type="http://schemas.openxmlformats.org/officeDocument/2006/relationships/hyperlink" Target="javascript:void();" TargetMode="External"/><Relationship Id="rId55" Type="http://schemas.openxmlformats.org/officeDocument/2006/relationships/hyperlink" Target="javascript:void();" TargetMode="External"/><Relationship Id="rId76" Type="http://schemas.openxmlformats.org/officeDocument/2006/relationships/hyperlink" Target="http://www.dllr.state.md.us/employment/mpi/mpi8-15.pdf" TargetMode="External"/><Relationship Id="rId97" Type="http://schemas.openxmlformats.org/officeDocument/2006/relationships/hyperlink" Target="http://www2.ed.gov/fund/grant/apply/appforms/appforms.html" TargetMode="External"/><Relationship Id="rId104" Type="http://schemas.openxmlformats.org/officeDocument/2006/relationships/image" Target="media/image10.png"/><Relationship Id="rId120" Type="http://schemas.openxmlformats.org/officeDocument/2006/relationships/diagramData" Target="diagrams/data3.xml"/><Relationship Id="rId125" Type="http://schemas.openxmlformats.org/officeDocument/2006/relationships/diagramData" Target="diagrams/data4.xml"/><Relationship Id="rId7" Type="http://schemas.openxmlformats.org/officeDocument/2006/relationships/footnotes" Target="footnotes.xml"/><Relationship Id="rId71" Type="http://schemas.openxmlformats.org/officeDocument/2006/relationships/image" Target="media/image60.emf"/><Relationship Id="rId92" Type="http://schemas.openxmlformats.org/officeDocument/2006/relationships/hyperlink" Target="https://www.dllr.state.md.us/labor/appr/" TargetMode="External"/><Relationship Id="rId2" Type="http://schemas.openxmlformats.org/officeDocument/2006/relationships/numbering" Target="numbering.xml"/><Relationship Id="rId29" Type="http://schemas.openxmlformats.org/officeDocument/2006/relationships/hyperlink" Target="javascript:void();" TargetMode="External"/><Relationship Id="rId24" Type="http://schemas.openxmlformats.org/officeDocument/2006/relationships/hyperlink" Target="javascript:void();" TargetMode="External"/><Relationship Id="rId40" Type="http://schemas.openxmlformats.org/officeDocument/2006/relationships/hyperlink" Target="javascript:void();" TargetMode="External"/><Relationship Id="rId45" Type="http://schemas.openxmlformats.org/officeDocument/2006/relationships/hyperlink" Target="javascript:void();" TargetMode="External"/><Relationship Id="rId66" Type="http://schemas.openxmlformats.org/officeDocument/2006/relationships/image" Target="media/image4.emf"/><Relationship Id="rId87" Type="http://schemas.openxmlformats.org/officeDocument/2006/relationships/hyperlink" Target="http://www.gwib.maryland.gov/board/execorder.pdf" TargetMode="External"/><Relationship Id="rId110" Type="http://schemas.openxmlformats.org/officeDocument/2006/relationships/diagramLayout" Target="diagrams/layout1.xml"/><Relationship Id="rId115" Type="http://schemas.openxmlformats.org/officeDocument/2006/relationships/diagramData" Target="diagrams/data2.xml"/><Relationship Id="rId131" Type="http://schemas.openxmlformats.org/officeDocument/2006/relationships/diagramLayout" Target="diagrams/layout5.xml"/><Relationship Id="rId136" Type="http://schemas.openxmlformats.org/officeDocument/2006/relationships/theme" Target="theme/theme1.xml"/><Relationship Id="rId61" Type="http://schemas.openxmlformats.org/officeDocument/2006/relationships/chart" Target="charts/chart8.xml"/><Relationship Id="rId82" Type="http://schemas.openxmlformats.org/officeDocument/2006/relationships/hyperlink" Target="http://www.dllr.maryland.gov/gedmd/programs.shtml" TargetMode="External"/><Relationship Id="rId19" Type="http://schemas.openxmlformats.org/officeDocument/2006/relationships/chart" Target="charts/chart3.xml"/></Relationships>
</file>

<file path=word/_rels/footnotes.xml.rels><?xml version="1.0" encoding="UTF-8" standalone="yes"?>
<Relationships xmlns="http://schemas.openxmlformats.org/package/2006/relationships"><Relationship Id="rId2" Type="http://schemas.openxmlformats.org/officeDocument/2006/relationships/hyperlink" Target="http://www.agcensus.usda.gov/Publications/2012/Full_Report/Volume_1,_Chapter_1_State_Level/Maryland/st24_1_051_052.pdf" TargetMode="External"/><Relationship Id="rId1" Type="http://schemas.openxmlformats.org/officeDocument/2006/relationships/hyperlink" Target="http://www.nass.usda.gov/Quick_Stats/Ag_Overview/stateOverview.php?state=MARYLAND"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BBUTLER\Desktop\State%20Plan%20Operational_1.14.2016.doc!_1514288223"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Hillary\Desktop\contributiontogdp.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hhuffer\Downloads\bubblegraph1222_final%20(1).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BBUTLER\Desktop\State%20Plan%20Operational_1.14.2016.doc!_1514291796"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b="0" u="sng">
                <a:latin typeface="Times New Roman" panose="02020603050405020304" pitchFamily="18" charset="0"/>
                <a:cs typeface="Times New Roman" panose="02020603050405020304" pitchFamily="18" charset="0"/>
              </a:rPr>
              <a:t>Change in Real GDP by Industry </a:t>
            </a:r>
          </a:p>
        </c:rich>
      </c:tx>
      <c:layout>
        <c:manualLayout>
          <c:xMode val="edge"/>
          <c:yMode val="edge"/>
          <c:x val="0.1409756077141075"/>
          <c:y val="2.3731951538844529E-2"/>
        </c:manualLayout>
      </c:layout>
      <c:overlay val="0"/>
    </c:title>
    <c:autoTitleDeleted val="0"/>
    <c:plotArea>
      <c:layout/>
      <c:barChart>
        <c:barDir val="bar"/>
        <c:grouping val="clustered"/>
        <c:varyColors val="0"/>
        <c:ser>
          <c:idx val="0"/>
          <c:order val="0"/>
          <c:tx>
            <c:strRef>
              <c:f>'[Chart in State Plan Operational_1.14.2016.doc 2]Sheet1'!$B$1</c:f>
              <c:strCache>
                <c:ptCount val="1"/>
                <c:pt idx="0">
                  <c:v>2012-2013</c:v>
                </c:pt>
              </c:strCache>
            </c:strRef>
          </c:tx>
          <c:invertIfNegative val="0"/>
          <c:cat>
            <c:strRef>
              <c:f>'[Chart in State Plan Operational_1.14.2016.doc 2]Sheet1'!$A$2:$A$16</c:f>
              <c:strCache>
                <c:ptCount val="15"/>
                <c:pt idx="0">
                  <c:v>    Mining</c:v>
                </c:pt>
                <c:pt idx="1">
                  <c:v>    Agriculture, forestry, fishing, and hunting</c:v>
                </c:pt>
                <c:pt idx="2">
                  <c:v>    Utilities</c:v>
                </c:pt>
                <c:pt idx="3">
                  <c:v>    Construction</c:v>
                </c:pt>
                <c:pt idx="4">
                  <c:v>    Manufacturing</c:v>
                </c:pt>
                <c:pt idx="5">
                  <c:v>    Government</c:v>
                </c:pt>
                <c:pt idx="6">
                  <c:v>    Wholesale trade</c:v>
                </c:pt>
                <c:pt idx="7">
                  <c:v>    Finance, insurance, real estate, rental, and leasing</c:v>
                </c:pt>
                <c:pt idx="8">
                  <c:v>    Other services, except government</c:v>
                </c:pt>
                <c:pt idx="9">
                  <c:v>    Information</c:v>
                </c:pt>
                <c:pt idx="10">
                  <c:v>    Arts, entertainment, recreation, accommodation, and food services</c:v>
                </c:pt>
                <c:pt idx="11">
                  <c:v>    Educational services, health care, and social assistance</c:v>
                </c:pt>
                <c:pt idx="12">
                  <c:v>    Retail trade</c:v>
                </c:pt>
                <c:pt idx="13">
                  <c:v>    Professional and business services</c:v>
                </c:pt>
                <c:pt idx="14">
                  <c:v>    Transportation and warehousing</c:v>
                </c:pt>
              </c:strCache>
            </c:strRef>
          </c:cat>
          <c:val>
            <c:numRef>
              <c:f>'[Chart in State Plan Operational_1.14.2016.doc 2]Sheet1'!$B$2:$B$16</c:f>
              <c:numCache>
                <c:formatCode>General</c:formatCode>
                <c:ptCount val="15"/>
                <c:pt idx="0">
                  <c:v>-14.9</c:v>
                </c:pt>
                <c:pt idx="1">
                  <c:v>-6.7</c:v>
                </c:pt>
                <c:pt idx="2">
                  <c:v>-4</c:v>
                </c:pt>
                <c:pt idx="3">
                  <c:v>-2.2000000000000002</c:v>
                </c:pt>
                <c:pt idx="4">
                  <c:v>-0.7</c:v>
                </c:pt>
                <c:pt idx="5">
                  <c:v>-0.5</c:v>
                </c:pt>
                <c:pt idx="6">
                  <c:v>-0.4</c:v>
                </c:pt>
                <c:pt idx="7">
                  <c:v>1.1000000000000001</c:v>
                </c:pt>
                <c:pt idx="8">
                  <c:v>1.2</c:v>
                </c:pt>
                <c:pt idx="9">
                  <c:v>1.4</c:v>
                </c:pt>
                <c:pt idx="10">
                  <c:v>1.6</c:v>
                </c:pt>
                <c:pt idx="11">
                  <c:v>1.9</c:v>
                </c:pt>
                <c:pt idx="12">
                  <c:v>2.1</c:v>
                </c:pt>
                <c:pt idx="13">
                  <c:v>3.3</c:v>
                </c:pt>
                <c:pt idx="14">
                  <c:v>4.5</c:v>
                </c:pt>
              </c:numCache>
            </c:numRef>
          </c:val>
        </c:ser>
        <c:dLbls>
          <c:showLegendKey val="0"/>
          <c:showVal val="0"/>
          <c:showCatName val="0"/>
          <c:showSerName val="0"/>
          <c:showPercent val="0"/>
          <c:showBubbleSize val="0"/>
        </c:dLbls>
        <c:gapWidth val="24"/>
        <c:axId val="114087808"/>
        <c:axId val="114570368"/>
      </c:barChart>
      <c:catAx>
        <c:axId val="114087808"/>
        <c:scaling>
          <c:orientation val="minMax"/>
        </c:scaling>
        <c:delete val="0"/>
        <c:axPos val="l"/>
        <c:numFmt formatCode="General" sourceLinked="1"/>
        <c:majorTickMark val="none"/>
        <c:minorTickMark val="none"/>
        <c:tickLblPos val="high"/>
        <c:txPr>
          <a:bodyPr rot="-60000000" vert="horz"/>
          <a:lstStyle/>
          <a:p>
            <a:pPr>
              <a:defRPr/>
            </a:pPr>
            <a:endParaRPr lang="en-US"/>
          </a:p>
        </c:txPr>
        <c:crossAx val="114570368"/>
        <c:crosses val="autoZero"/>
        <c:auto val="1"/>
        <c:lblAlgn val="ctr"/>
        <c:lblOffset val="100"/>
        <c:noMultiLvlLbl val="0"/>
      </c:catAx>
      <c:valAx>
        <c:axId val="114570368"/>
        <c:scaling>
          <c:orientation val="minMax"/>
        </c:scaling>
        <c:delete val="0"/>
        <c:axPos val="b"/>
        <c:majorGridlines/>
        <c:title>
          <c:tx>
            <c:rich>
              <a:bodyPr/>
              <a:lstStyle/>
              <a:p>
                <a:pPr>
                  <a:defRPr sz="1000" b="1" i="0" u="none" strike="noStrike" baseline="0">
                    <a:solidFill>
                      <a:srgbClr val="000000"/>
                    </a:solidFill>
                    <a:latin typeface="Calibri"/>
                    <a:ea typeface="Calibri"/>
                    <a:cs typeface="Calibri"/>
                  </a:defRPr>
                </a:pPr>
                <a:r>
                  <a:rPr lang="en-US"/>
                  <a:t>% change</a:t>
                </a:r>
              </a:p>
            </c:rich>
          </c:tx>
          <c:layout/>
          <c:overlay val="0"/>
        </c:title>
        <c:numFmt formatCode="General" sourceLinked="1"/>
        <c:majorTickMark val="none"/>
        <c:minorTickMark val="none"/>
        <c:tickLblPos val="nextTo"/>
        <c:txPr>
          <a:bodyPr rot="-60000000" vert="horz"/>
          <a:lstStyle/>
          <a:p>
            <a:pPr>
              <a:defRPr/>
            </a:pPr>
            <a:endParaRPr lang="en-US"/>
          </a:p>
        </c:txPr>
        <c:crossAx val="114087808"/>
        <c:crosses val="autoZero"/>
        <c:crossBetween val="between"/>
      </c:valAx>
      <c:spPr>
        <a:solidFill>
          <a:schemeClr val="bg1">
            <a:lumMod val="95000"/>
          </a:schemeClr>
        </a:solidFill>
      </c:spPr>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b="0" u="sng">
                <a:latin typeface="Times New Roman" panose="02020603050405020304" pitchFamily="18" charset="0"/>
                <a:cs typeface="Times New Roman" panose="02020603050405020304" pitchFamily="18" charset="0"/>
              </a:rPr>
              <a:t>Components of Real GDP </a:t>
            </a:r>
          </a:p>
        </c:rich>
      </c:tx>
      <c:layout>
        <c:manualLayout>
          <c:xMode val="edge"/>
          <c:yMode val="edge"/>
          <c:x val="0.36149581160146926"/>
          <c:y val="2.2535251254743271E-2"/>
        </c:manualLayout>
      </c:layout>
      <c:overlay val="0"/>
    </c:title>
    <c:autoTitleDeleted val="0"/>
    <c:plotArea>
      <c:layout/>
      <c:ofPieChart>
        <c:ofPieType val="bar"/>
        <c:varyColors val="1"/>
        <c:ser>
          <c:idx val="0"/>
          <c:order val="0"/>
          <c:tx>
            <c:strRef>
              <c:f>Sheet0!$E$6</c:f>
              <c:strCache>
                <c:ptCount val="1"/>
                <c:pt idx="0">
                  <c:v>2014</c:v>
                </c:pt>
              </c:strCache>
            </c:strRef>
          </c:tx>
          <c:explosion val="1"/>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Pt>
            <c:idx val="11"/>
            <c:bubble3D val="0"/>
          </c:dPt>
          <c:dPt>
            <c:idx val="12"/>
            <c:bubble3D val="0"/>
          </c:dPt>
          <c:dPt>
            <c:idx val="13"/>
            <c:bubble3D val="0"/>
          </c:dPt>
          <c:dPt>
            <c:idx val="14"/>
            <c:bubble3D val="0"/>
          </c:dPt>
          <c:dPt>
            <c:idx val="15"/>
            <c:bubble3D val="0"/>
          </c:dPt>
          <c:dLbls>
            <c:dLbl>
              <c:idx val="0"/>
              <c:layout>
                <c:manualLayout>
                  <c:x val="-3.8579617824758433E-4"/>
                  <c:y val="6.01103899709537E-2"/>
                </c:manualLayout>
              </c:layout>
              <c:tx>
                <c:rich>
                  <a:bodyPr/>
                  <a:lstStyle/>
                  <a:p>
                    <a:r>
                      <a:rPr lang="en-US" sz="900" b="0" i="0" u="none" strike="noStrike" baseline="0">
                        <a:effectLst/>
                      </a:rPr>
                      <a:t>Agriculture, forestry, fishing, and hunting</a:t>
                    </a:r>
                    <a:r>
                      <a:rPr lang="en-US" sz="900" baseline="0"/>
                      <a:t>
0.28%</a:t>
                    </a:r>
                    <a:endParaRPr lang="en-US" baseline="0"/>
                  </a:p>
                </c:rich>
              </c:tx>
              <c:showLegendKey val="0"/>
              <c:showVal val="0"/>
              <c:showCatName val="1"/>
              <c:showSerName val="0"/>
              <c:showPercent val="1"/>
              <c:showBubbleSize val="0"/>
              <c:extLst>
                <c:ext xmlns:c15="http://schemas.microsoft.com/office/drawing/2012/chart" uri="{CE6537A1-D6FC-4f65-9D91-7224C49458BB}"/>
              </c:extLst>
            </c:dLbl>
            <c:dLbl>
              <c:idx val="1"/>
              <c:layout>
                <c:manualLayout>
                  <c:x val="-0.1095911619558908"/>
                  <c:y val="-9.8856976185355092E-2"/>
                </c:manualLayout>
              </c:layout>
              <c:tx>
                <c:rich>
                  <a:bodyPr/>
                  <a:lstStyle/>
                  <a:p>
                    <a:r>
                      <a:rPr lang="en-US" sz="900" baseline="0"/>
                      <a:t>
Mining</a:t>
                    </a:r>
                  </a:p>
                  <a:p>
                    <a:r>
                      <a:rPr lang="en-US" sz="900" baseline="0"/>
                      <a:t>0.07%</a:t>
                    </a:r>
                    <a:endParaRPr lang="en-US" baseline="0"/>
                  </a:p>
                </c:rich>
              </c:tx>
              <c:showLegendKey val="0"/>
              <c:showVal val="0"/>
              <c:showCatName val="1"/>
              <c:showSerName val="0"/>
              <c:showPercent val="1"/>
              <c:showBubbleSize val="0"/>
              <c:extLst>
                <c:ext xmlns:c15="http://schemas.microsoft.com/office/drawing/2012/chart" uri="{CE6537A1-D6FC-4f65-9D91-7224C49458BB}"/>
              </c:extLst>
            </c:dLbl>
            <c:dLbl>
              <c:idx val="2"/>
              <c:layout>
                <c:manualLayout>
                  <c:x val="-0.12481424501655609"/>
                  <c:y val="-3.7558752091238785E-3"/>
                </c:manualLayout>
              </c:layout>
              <c:showLegendKey val="0"/>
              <c:showVal val="0"/>
              <c:showCatName val="1"/>
              <c:showSerName val="0"/>
              <c:showPercent val="1"/>
              <c:showBubbleSize val="0"/>
              <c:extLst>
                <c:ext xmlns:c15="http://schemas.microsoft.com/office/drawing/2012/chart" uri="{CE6537A1-D6FC-4f65-9D91-7224C49458BB}"/>
              </c:extLst>
            </c:dLbl>
            <c:dLbl>
              <c:idx val="3"/>
              <c:layout>
                <c:manualLayout>
                  <c:x val="-2.8244741375087631E-2"/>
                  <c:y val="3.0009442920899788E-2"/>
                </c:manualLayout>
              </c:layout>
              <c:showLegendKey val="0"/>
              <c:showVal val="0"/>
              <c:showCatName val="1"/>
              <c:showSerName val="0"/>
              <c:showPercent val="1"/>
              <c:showBubbleSize val="0"/>
              <c:extLst>
                <c:ext xmlns:c15="http://schemas.microsoft.com/office/drawing/2012/chart" uri="{CE6537A1-D6FC-4f65-9D91-7224C49458BB}"/>
              </c:extLst>
            </c:dLbl>
            <c:dLbl>
              <c:idx val="4"/>
              <c:layout>
                <c:manualLayout>
                  <c:x val="0.1561851605051412"/>
                  <c:y val="7.554629531386492E-2"/>
                </c:manualLayout>
              </c:layout>
              <c:showLegendKey val="0"/>
              <c:showVal val="0"/>
              <c:showCatName val="1"/>
              <c:showSerName val="0"/>
              <c:showPercent val="1"/>
              <c:showBubbleSize val="0"/>
              <c:extLst>
                <c:ext xmlns:c15="http://schemas.microsoft.com/office/drawing/2012/chart" uri="{CE6537A1-D6FC-4f65-9D91-7224C49458BB}"/>
              </c:extLst>
            </c:dLbl>
            <c:dLbl>
              <c:idx val="5"/>
              <c:layout>
                <c:manualLayout>
                  <c:x val="2.8424521036986505E-2"/>
                  <c:y val="2.886535627507884E-2"/>
                </c:manualLayout>
              </c:layout>
              <c:showLegendKey val="0"/>
              <c:showVal val="0"/>
              <c:showCatName val="1"/>
              <c:showSerName val="0"/>
              <c:showPercent val="1"/>
              <c:showBubbleSize val="0"/>
              <c:extLst>
                <c:ext xmlns:c15="http://schemas.microsoft.com/office/drawing/2012/chart" uri="{CE6537A1-D6FC-4f65-9D91-7224C49458BB}"/>
              </c:extLst>
            </c:dLbl>
            <c:dLbl>
              <c:idx val="6"/>
              <c:layout>
                <c:manualLayout>
                  <c:x val="-2.6854339035209368E-2"/>
                  <c:y val="-1.4168920955449119E-3"/>
                </c:manualLayout>
              </c:layout>
              <c:showLegendKey val="0"/>
              <c:showVal val="0"/>
              <c:showCatName val="1"/>
              <c:showSerName val="0"/>
              <c:showPercent val="1"/>
              <c:showBubbleSize val="0"/>
              <c:extLst>
                <c:ext xmlns:c15="http://schemas.microsoft.com/office/drawing/2012/chart" uri="{CE6537A1-D6FC-4f65-9D91-7224C49458BB}"/>
              </c:extLst>
            </c:dLbl>
            <c:dLbl>
              <c:idx val="7"/>
              <c:layout>
                <c:manualLayout>
                  <c:x val="-0.16641899335540813"/>
                  <c:y val="3.7558752091238095E-3"/>
                </c:manualLayout>
              </c:layout>
              <c:showLegendKey val="0"/>
              <c:showVal val="0"/>
              <c:showCatName val="1"/>
              <c:showSerName val="0"/>
              <c:showPercent val="1"/>
              <c:showBubbleSize val="0"/>
              <c:extLst>
                <c:ext xmlns:c15="http://schemas.microsoft.com/office/drawing/2012/chart" uri="{CE6537A1-D6FC-4f65-9D91-7224C49458BB}"/>
              </c:extLst>
            </c:dLbl>
            <c:dLbl>
              <c:idx val="9"/>
              <c:layout>
                <c:manualLayout>
                  <c:x val="0.14322220539740224"/>
                  <c:y val="-0.13183935476460906"/>
                </c:manualLayout>
              </c:layout>
              <c:showLegendKey val="0"/>
              <c:showVal val="0"/>
              <c:showCatName val="1"/>
              <c:showSerName val="0"/>
              <c:showPercent val="1"/>
              <c:showBubbleSize val="0"/>
              <c:extLst>
                <c:ext xmlns:c15="http://schemas.microsoft.com/office/drawing/2012/chart" uri="{CE6537A1-D6FC-4f65-9D91-7224C49458BB}"/>
              </c:extLst>
            </c:dLbl>
            <c:dLbl>
              <c:idx val="12"/>
              <c:layout>
                <c:manualLayout>
                  <c:x val="-0.16759506023285542"/>
                  <c:y val="-5.9884633545604206E-4"/>
                </c:manualLayout>
              </c:layout>
              <c:tx>
                <c:rich>
                  <a:bodyPr/>
                  <a:lstStyle/>
                  <a:p>
                    <a:r>
                      <a:rPr lang="en-US" sz="900"/>
                      <a:t>Arts, entertainment, </a:t>
                    </a:r>
                  </a:p>
                  <a:p>
                    <a:r>
                      <a:rPr lang="en-US" sz="900"/>
                      <a:t>rec., accom., &amp; food 
3%</a:t>
                    </a:r>
                    <a:endParaRPr lang="en-US"/>
                  </a:p>
                </c:rich>
              </c:tx>
              <c:showLegendKey val="0"/>
              <c:showVal val="0"/>
              <c:showCatName val="1"/>
              <c:showSerName val="0"/>
              <c:showPercent val="1"/>
              <c:showBubbleSize val="0"/>
              <c:extLst>
                <c:ext xmlns:c15="http://schemas.microsoft.com/office/drawing/2012/chart" uri="{CE6537A1-D6FC-4f65-9D91-7224C49458BB}"/>
              </c:extLst>
            </c:dLbl>
            <c:dLbl>
              <c:idx val="13"/>
              <c:layout>
                <c:manualLayout>
                  <c:x val="-0.17236252883238701"/>
                  <c:y val="0"/>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vert="horz"/>
              <a:lstStyle/>
              <a:p>
                <a:pPr>
                  <a:defRPr sz="9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Sheet0!$D$7:$D$21</c:f>
              <c:strCache>
                <c:ptCount val="15"/>
                <c:pt idx="0">
                  <c:v>    Agriculture, forestry, fishing, and hunting</c:v>
                </c:pt>
                <c:pt idx="1">
                  <c:v>    Mining</c:v>
                </c:pt>
                <c:pt idx="2">
                  <c:v>    Utilities</c:v>
                </c:pt>
                <c:pt idx="3">
                  <c:v>    Construction</c:v>
                </c:pt>
                <c:pt idx="4">
                  <c:v>    Manufacturing</c:v>
                </c:pt>
                <c:pt idx="5">
                  <c:v>    Wholesale trade</c:v>
                </c:pt>
                <c:pt idx="6">
                  <c:v>    Retail trade</c:v>
                </c:pt>
                <c:pt idx="7">
                  <c:v>    Transportation and warehousing</c:v>
                </c:pt>
                <c:pt idx="8">
                  <c:v>    Information</c:v>
                </c:pt>
                <c:pt idx="9">
                  <c:v>    Finance, insurance, real estate, rental, and leasing</c:v>
                </c:pt>
                <c:pt idx="10">
                  <c:v>    Professional and business services</c:v>
                </c:pt>
                <c:pt idx="11">
                  <c:v>    Educational services, health care, and social assistance</c:v>
                </c:pt>
                <c:pt idx="12">
                  <c:v>    Arts, entertainment, recreation, accommodation, and food services</c:v>
                </c:pt>
                <c:pt idx="13">
                  <c:v>    Other services, except government</c:v>
                </c:pt>
                <c:pt idx="14">
                  <c:v>  Government</c:v>
                </c:pt>
              </c:strCache>
            </c:strRef>
          </c:cat>
          <c:val>
            <c:numRef>
              <c:f>Sheet0!$E$7:$E$21</c:f>
              <c:numCache>
                <c:formatCode>General</c:formatCode>
                <c:ptCount val="15"/>
                <c:pt idx="0">
                  <c:v>682</c:v>
                </c:pt>
                <c:pt idx="1">
                  <c:v>183</c:v>
                </c:pt>
                <c:pt idx="2">
                  <c:v>6215</c:v>
                </c:pt>
                <c:pt idx="3">
                  <c:v>13828</c:v>
                </c:pt>
                <c:pt idx="4">
                  <c:v>17614</c:v>
                </c:pt>
                <c:pt idx="5">
                  <c:v>13576</c:v>
                </c:pt>
                <c:pt idx="6">
                  <c:v>17296</c:v>
                </c:pt>
                <c:pt idx="7">
                  <c:v>6397</c:v>
                </c:pt>
                <c:pt idx="8">
                  <c:v>15007</c:v>
                </c:pt>
                <c:pt idx="9">
                  <c:v>70348</c:v>
                </c:pt>
                <c:pt idx="10">
                  <c:v>47688</c:v>
                </c:pt>
                <c:pt idx="11">
                  <c:v>28098</c:v>
                </c:pt>
                <c:pt idx="12">
                  <c:v>11134</c:v>
                </c:pt>
                <c:pt idx="13">
                  <c:v>7387</c:v>
                </c:pt>
                <c:pt idx="14">
                  <c:v>65901</c:v>
                </c:pt>
              </c:numCache>
            </c:numRef>
          </c:val>
        </c:ser>
        <c:dLbls>
          <c:showLegendKey val="0"/>
          <c:showVal val="0"/>
          <c:showCatName val="0"/>
          <c:showSerName val="0"/>
          <c:showPercent val="0"/>
          <c:showBubbleSize val="0"/>
          <c:showLeaderLines val="1"/>
        </c:dLbls>
        <c:gapWidth val="100"/>
        <c:splitType val="percent"/>
        <c:splitPos val="4"/>
        <c:secondPieSize val="87"/>
        <c:serLines/>
      </c:ofPieChart>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sng"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u="sng">
                <a:solidFill>
                  <a:sysClr val="windowText" lastClr="000000"/>
                </a:solidFill>
                <a:latin typeface="Times New Roman" panose="02020603050405020304" pitchFamily="18" charset="0"/>
                <a:cs typeface="Times New Roman" panose="02020603050405020304" pitchFamily="18" charset="0"/>
              </a:rPr>
              <a:t>Maryland's</a:t>
            </a:r>
            <a:r>
              <a:rPr lang="en-US" u="sng" baseline="0">
                <a:solidFill>
                  <a:sysClr val="windowText" lastClr="000000"/>
                </a:solidFill>
                <a:latin typeface="Times New Roman" panose="02020603050405020304" pitchFamily="18" charset="0"/>
                <a:cs typeface="Times New Roman" panose="02020603050405020304" pitchFamily="18" charset="0"/>
              </a:rPr>
              <a:t> Employment Distribution by Industry Sector: 2014</a:t>
            </a:r>
            <a:endParaRPr lang="en-US" u="sng">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1706275784251761"/>
          <c:y val="0"/>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'[Recovery (1).xlsx]Sheet2'!$B$1</c:f>
              <c:strCache>
                <c:ptCount val="1"/>
                <c:pt idx="0">
                  <c:v>Employment</c:v>
                </c:pt>
              </c:strCache>
            </c:strRef>
          </c:tx>
          <c:dPt>
            <c:idx val="0"/>
            <c:bubble3D val="0"/>
            <c:spPr>
              <a:solidFill>
                <a:schemeClr val="accent1">
                  <a:shade val="42000"/>
                </a:schemeClr>
              </a:solidFill>
              <a:ln w="25400">
                <a:solidFill>
                  <a:schemeClr val="lt1"/>
                </a:solidFill>
              </a:ln>
              <a:effectLst/>
              <a:sp3d contourW="25400">
                <a:contourClr>
                  <a:schemeClr val="lt1"/>
                </a:contourClr>
              </a:sp3d>
            </c:spPr>
          </c:dPt>
          <c:dPt>
            <c:idx val="1"/>
            <c:bubble3D val="0"/>
            <c:spPr>
              <a:solidFill>
                <a:schemeClr val="accent1">
                  <a:shade val="55000"/>
                </a:schemeClr>
              </a:solidFill>
              <a:ln w="25400">
                <a:solidFill>
                  <a:schemeClr val="lt1"/>
                </a:solidFill>
              </a:ln>
              <a:effectLst/>
              <a:sp3d contourW="25400">
                <a:contourClr>
                  <a:schemeClr val="lt1"/>
                </a:contourClr>
              </a:sp3d>
            </c:spPr>
          </c:dPt>
          <c:dPt>
            <c:idx val="2"/>
            <c:bubble3D val="0"/>
            <c:spPr>
              <a:solidFill>
                <a:schemeClr val="accent1">
                  <a:shade val="68000"/>
                </a:schemeClr>
              </a:solidFill>
              <a:ln w="25400">
                <a:solidFill>
                  <a:schemeClr val="lt1"/>
                </a:solidFill>
              </a:ln>
              <a:effectLst/>
              <a:sp3d contourW="25400">
                <a:contourClr>
                  <a:schemeClr val="lt1"/>
                </a:contourClr>
              </a:sp3d>
            </c:spPr>
          </c:dPt>
          <c:dPt>
            <c:idx val="3"/>
            <c:bubble3D val="0"/>
            <c:spPr>
              <a:solidFill>
                <a:schemeClr val="accent1">
                  <a:shade val="80000"/>
                </a:schemeClr>
              </a:solidFill>
              <a:ln w="25400">
                <a:solidFill>
                  <a:schemeClr val="lt1"/>
                </a:solidFill>
              </a:ln>
              <a:effectLst/>
              <a:sp3d contourW="25400">
                <a:contourClr>
                  <a:schemeClr val="lt1"/>
                </a:contourClr>
              </a:sp3d>
            </c:spPr>
          </c:dPt>
          <c:dPt>
            <c:idx val="4"/>
            <c:bubble3D val="0"/>
            <c:spPr>
              <a:solidFill>
                <a:schemeClr val="accent1">
                  <a:shade val="93000"/>
                </a:schemeClr>
              </a:solidFill>
              <a:ln w="25400">
                <a:solidFill>
                  <a:schemeClr val="lt1"/>
                </a:solidFill>
              </a:ln>
              <a:effectLst/>
              <a:sp3d contourW="25400">
                <a:contourClr>
                  <a:schemeClr val="lt1"/>
                </a:contourClr>
              </a:sp3d>
            </c:spPr>
          </c:dPt>
          <c:dPt>
            <c:idx val="5"/>
            <c:bubble3D val="0"/>
            <c:spPr>
              <a:solidFill>
                <a:schemeClr val="accent1">
                  <a:tint val="94000"/>
                </a:schemeClr>
              </a:solidFill>
              <a:ln w="25400">
                <a:solidFill>
                  <a:schemeClr val="lt1"/>
                </a:solidFill>
              </a:ln>
              <a:effectLst/>
              <a:sp3d contourW="25400">
                <a:contourClr>
                  <a:schemeClr val="lt1"/>
                </a:contourClr>
              </a:sp3d>
            </c:spPr>
          </c:dPt>
          <c:dPt>
            <c:idx val="6"/>
            <c:bubble3D val="0"/>
            <c:spPr>
              <a:solidFill>
                <a:schemeClr val="accent1">
                  <a:tint val="81000"/>
                </a:schemeClr>
              </a:solidFill>
              <a:ln w="25400">
                <a:solidFill>
                  <a:schemeClr val="lt1"/>
                </a:solidFill>
              </a:ln>
              <a:effectLst/>
              <a:sp3d contourW="25400">
                <a:contourClr>
                  <a:schemeClr val="lt1"/>
                </a:contourClr>
              </a:sp3d>
            </c:spPr>
          </c:dPt>
          <c:dPt>
            <c:idx val="7"/>
            <c:bubble3D val="0"/>
            <c:spPr>
              <a:solidFill>
                <a:schemeClr val="accent1">
                  <a:tint val="69000"/>
                </a:schemeClr>
              </a:solidFill>
              <a:ln w="25400">
                <a:solidFill>
                  <a:schemeClr val="lt1"/>
                </a:solidFill>
              </a:ln>
              <a:effectLst/>
              <a:sp3d contourW="25400">
                <a:contourClr>
                  <a:schemeClr val="lt1"/>
                </a:contourClr>
              </a:sp3d>
            </c:spPr>
          </c:dPt>
          <c:dPt>
            <c:idx val="8"/>
            <c:bubble3D val="0"/>
            <c:spPr>
              <a:solidFill>
                <a:schemeClr val="accent1">
                  <a:tint val="56000"/>
                </a:schemeClr>
              </a:solidFill>
              <a:ln w="25400">
                <a:solidFill>
                  <a:schemeClr val="lt1"/>
                </a:solidFill>
              </a:ln>
              <a:effectLst/>
              <a:sp3d contourW="25400">
                <a:contourClr>
                  <a:schemeClr val="lt1"/>
                </a:contourClr>
              </a:sp3d>
            </c:spPr>
          </c:dPt>
          <c:dPt>
            <c:idx val="9"/>
            <c:bubble3D val="0"/>
            <c:spPr>
              <a:solidFill>
                <a:schemeClr val="accent1">
                  <a:tint val="43000"/>
                </a:schemeClr>
              </a:solidFill>
              <a:ln w="25400">
                <a:solidFill>
                  <a:schemeClr val="lt1"/>
                </a:solidFill>
              </a:ln>
              <a:effectLst/>
              <a:sp3d contourW="25400">
                <a:contourClr>
                  <a:schemeClr val="lt1"/>
                </a:contourClr>
              </a:sp3d>
            </c:spPr>
          </c:dPt>
          <c:dLbls>
            <c:dLbl>
              <c:idx val="0"/>
              <c:layout>
                <c:manualLayout>
                  <c:x val="-8.040935499984575E-2"/>
                  <c:y val="1.5994659382688268E-2"/>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6.5873478549225732E-3"/>
                  <c:y val="-2.7754096865776046E-3"/>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1.8101975614636882E-2"/>
                  <c:y val="1.1256697015821307E-2"/>
                </c:manualLayout>
              </c:layout>
              <c:showLegendKey val="0"/>
              <c:showVal val="0"/>
              <c:showCatName val="1"/>
              <c:showSerName val="0"/>
              <c:showPercent val="1"/>
              <c:showBubbleSize val="0"/>
            </c:dLbl>
            <c:dLbl>
              <c:idx val="4"/>
              <c:layout>
                <c:manualLayout>
                  <c:x val="-3.3278975425651415E-3"/>
                  <c:y val="-5.367775873543746E-2"/>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'[Recovery (1).xlsx]Sheet2'!$A$2:$A$11</c:f>
              <c:strCache>
                <c:ptCount val="10"/>
                <c:pt idx="0">
                  <c:v>Mining, Logging, and Construction</c:v>
                </c:pt>
                <c:pt idx="1">
                  <c:v>Manufacturing</c:v>
                </c:pt>
                <c:pt idx="2">
                  <c:v>Trade, Transportation, and Utilities</c:v>
                </c:pt>
                <c:pt idx="3">
                  <c:v>Information</c:v>
                </c:pt>
                <c:pt idx="4">
                  <c:v>Financial Activities</c:v>
                </c:pt>
                <c:pt idx="5">
                  <c:v>Professional and Business Services </c:v>
                </c:pt>
                <c:pt idx="6">
                  <c:v>Education and Health Services </c:v>
                </c:pt>
                <c:pt idx="7">
                  <c:v>Leisure &amp; Hospitality </c:v>
                </c:pt>
                <c:pt idx="8">
                  <c:v>Other Services </c:v>
                </c:pt>
                <c:pt idx="9">
                  <c:v>Government </c:v>
                </c:pt>
              </c:strCache>
            </c:strRef>
          </c:cat>
          <c:val>
            <c:numRef>
              <c:f>'[Recovery (1).xlsx]Sheet2'!$B$2:$B$11</c:f>
              <c:numCache>
                <c:formatCode>General</c:formatCode>
                <c:ptCount val="10"/>
                <c:pt idx="0">
                  <c:v>151.1</c:v>
                </c:pt>
                <c:pt idx="1">
                  <c:v>103.4</c:v>
                </c:pt>
                <c:pt idx="2">
                  <c:v>454.9</c:v>
                </c:pt>
                <c:pt idx="3">
                  <c:v>37.9</c:v>
                </c:pt>
                <c:pt idx="4">
                  <c:v>144.19999999999999</c:v>
                </c:pt>
                <c:pt idx="5">
                  <c:v>423.8</c:v>
                </c:pt>
                <c:pt idx="6">
                  <c:v>427.7</c:v>
                </c:pt>
                <c:pt idx="7">
                  <c:v>260</c:v>
                </c:pt>
                <c:pt idx="8">
                  <c:v>112.2</c:v>
                </c:pt>
                <c:pt idx="9">
                  <c:v>503.7</c:v>
                </c:pt>
              </c:numCache>
            </c:numRef>
          </c:val>
        </c:ser>
        <c:dLbls>
          <c:showLegendKey val="0"/>
          <c:showVal val="1"/>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solidFill>
      <a:round/>
    </a:ln>
    <a:effectLst>
      <a:outerShdw blurRad="50800" dist="38100" algn="l" rotWithShape="0">
        <a:prstClr val="black">
          <a:alpha val="40000"/>
        </a:prstClr>
      </a:outerShdw>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a:defRPr/>
            </a:pPr>
            <a:r>
              <a:rPr lang="en-US" b="0" u="sng">
                <a:latin typeface="Times New Roman" panose="02020603050405020304" pitchFamily="18" charset="0"/>
                <a:cs typeface="Times New Roman" panose="02020603050405020304" pitchFamily="18" charset="0"/>
              </a:rPr>
              <a:t>Maryland's Targeted  Industries:</a:t>
            </a:r>
          </a:p>
          <a:p>
            <a:pPr>
              <a:defRPr/>
            </a:pPr>
            <a:r>
              <a:rPr lang="en-US" b="0" u="sng">
                <a:latin typeface="Times New Roman" panose="02020603050405020304" pitchFamily="18" charset="0"/>
                <a:cs typeface="Times New Roman" panose="02020603050405020304" pitchFamily="18" charset="0"/>
              </a:rPr>
              <a:t>2010-2014 </a:t>
            </a:r>
          </a:p>
        </c:rich>
      </c:tx>
      <c:layout>
        <c:manualLayout>
          <c:xMode val="edge"/>
          <c:yMode val="edge"/>
          <c:x val="0.14198600174978127"/>
          <c:y val="1.8818260845097957E-2"/>
        </c:manualLayout>
      </c:layout>
      <c:overlay val="0"/>
    </c:title>
    <c:autoTitleDeleted val="0"/>
    <c:plotArea>
      <c:layout/>
      <c:bubbleChart>
        <c:varyColors val="0"/>
        <c:ser>
          <c:idx val="0"/>
          <c:order val="0"/>
          <c:tx>
            <c:strRef>
              <c:f>'[bubblegraph1222_final (1).xlsx]Graph1'!$A$2</c:f>
              <c:strCache>
                <c:ptCount val="1"/>
                <c:pt idx="0">
                  <c:v>Healthcare</c:v>
                </c:pt>
              </c:strCache>
            </c:strRef>
          </c:tx>
          <c:invertIfNegative val="0"/>
          <c:xVal>
            <c:numRef>
              <c:f>'[bubblegraph1222_final (1).xlsx]Graph1'!$B$2</c:f>
              <c:numCache>
                <c:formatCode>General</c:formatCode>
                <c:ptCount val="1"/>
                <c:pt idx="0">
                  <c:v>7.3118395128067348</c:v>
                </c:pt>
              </c:numCache>
            </c:numRef>
          </c:xVal>
          <c:yVal>
            <c:numRef>
              <c:f>'[bubblegraph1222_final (1).xlsx]Graph1'!$C$2</c:f>
              <c:numCache>
                <c:formatCode>General</c:formatCode>
                <c:ptCount val="1"/>
                <c:pt idx="0">
                  <c:v>1.1448676287876227</c:v>
                </c:pt>
              </c:numCache>
            </c:numRef>
          </c:yVal>
          <c:bubbleSize>
            <c:numRef>
              <c:f>'[bubblegraph1222_final (1).xlsx]Graph1'!$D$2</c:f>
              <c:numCache>
                <c:formatCode>General</c:formatCode>
                <c:ptCount val="1"/>
                <c:pt idx="0">
                  <c:v>299561</c:v>
                </c:pt>
              </c:numCache>
            </c:numRef>
          </c:bubbleSize>
          <c:bubble3D val="0"/>
        </c:ser>
        <c:ser>
          <c:idx val="1"/>
          <c:order val="1"/>
          <c:tx>
            <c:strRef>
              <c:f>'[bubblegraph1222_final (1).xlsx]Graph1'!$A$3</c:f>
              <c:strCache>
                <c:ptCount val="1"/>
                <c:pt idx="0">
                  <c:v>Information Technology</c:v>
                </c:pt>
              </c:strCache>
            </c:strRef>
          </c:tx>
          <c:invertIfNegative val="0"/>
          <c:xVal>
            <c:numRef>
              <c:f>'[bubblegraph1222_final (1).xlsx]Graph1'!$B$3</c:f>
              <c:numCache>
                <c:formatCode>General</c:formatCode>
                <c:ptCount val="1"/>
                <c:pt idx="0">
                  <c:v>0.48298492054713715</c:v>
                </c:pt>
              </c:numCache>
            </c:numRef>
          </c:xVal>
          <c:yVal>
            <c:numRef>
              <c:f>'[bubblegraph1222_final (1).xlsx]Graph1'!$C$3</c:f>
              <c:numCache>
                <c:formatCode>General</c:formatCode>
                <c:ptCount val="1"/>
                <c:pt idx="0">
                  <c:v>1.437658895897995</c:v>
                </c:pt>
              </c:numCache>
            </c:numRef>
          </c:yVal>
          <c:bubbleSize>
            <c:numRef>
              <c:f>'[bubblegraph1222_final (1).xlsx]Graph1'!$D$3</c:f>
              <c:numCache>
                <c:formatCode>General</c:formatCode>
                <c:ptCount val="1"/>
                <c:pt idx="0">
                  <c:v>136270</c:v>
                </c:pt>
              </c:numCache>
            </c:numRef>
          </c:bubbleSize>
          <c:bubble3D val="0"/>
        </c:ser>
        <c:ser>
          <c:idx val="2"/>
          <c:order val="2"/>
          <c:tx>
            <c:strRef>
              <c:f>'[bubblegraph1222_final (1).xlsx]Graph1'!$A$4</c:f>
              <c:strCache>
                <c:ptCount val="1"/>
                <c:pt idx="0">
                  <c:v>Life Science</c:v>
                </c:pt>
              </c:strCache>
            </c:strRef>
          </c:tx>
          <c:invertIfNegative val="0"/>
          <c:xVal>
            <c:numRef>
              <c:f>'[bubblegraph1222_final (1).xlsx]Graph1'!$B$4</c:f>
              <c:numCache>
                <c:formatCode>General</c:formatCode>
                <c:ptCount val="1"/>
                <c:pt idx="0">
                  <c:v>1.1475523505755096</c:v>
                </c:pt>
              </c:numCache>
            </c:numRef>
          </c:xVal>
          <c:yVal>
            <c:numRef>
              <c:f>'[bubblegraph1222_final (1).xlsx]Graph1'!$C$4</c:f>
              <c:numCache>
                <c:formatCode>General</c:formatCode>
                <c:ptCount val="1"/>
                <c:pt idx="0">
                  <c:v>0.53405511656744642</c:v>
                </c:pt>
              </c:numCache>
            </c:numRef>
          </c:yVal>
          <c:bubbleSize>
            <c:numRef>
              <c:f>'[bubblegraph1222_final (1).xlsx]Graph1'!$D$4</c:f>
              <c:numCache>
                <c:formatCode>General</c:formatCode>
                <c:ptCount val="1"/>
                <c:pt idx="0">
                  <c:v>58350</c:v>
                </c:pt>
              </c:numCache>
            </c:numRef>
          </c:bubbleSize>
          <c:bubble3D val="0"/>
        </c:ser>
        <c:ser>
          <c:idx val="4"/>
          <c:order val="3"/>
          <c:tx>
            <c:strRef>
              <c:f>'[bubblegraph1222_final (1).xlsx]Graph1'!$A$6</c:f>
              <c:strCache>
                <c:ptCount val="1"/>
                <c:pt idx="0">
                  <c:v>Construction</c:v>
                </c:pt>
              </c:strCache>
            </c:strRef>
          </c:tx>
          <c:invertIfNegative val="0"/>
          <c:xVal>
            <c:numRef>
              <c:f>'[bubblegraph1222_final (1).xlsx]Graph1'!$B$6</c:f>
              <c:numCache>
                <c:formatCode>General</c:formatCode>
                <c:ptCount val="1"/>
                <c:pt idx="0">
                  <c:v>4.7685431669795726</c:v>
                </c:pt>
              </c:numCache>
            </c:numRef>
          </c:xVal>
          <c:yVal>
            <c:numRef>
              <c:f>'[bubblegraph1222_final (1).xlsx]Graph1'!$C$6</c:f>
              <c:numCache>
                <c:formatCode>General</c:formatCode>
                <c:ptCount val="1"/>
                <c:pt idx="0">
                  <c:v>1.3691434334262609</c:v>
                </c:pt>
              </c:numCache>
            </c:numRef>
          </c:yVal>
          <c:bubbleSize>
            <c:numRef>
              <c:f>'[bubblegraph1222_final (1).xlsx]Graph1'!$D$6</c:f>
              <c:numCache>
                <c:formatCode>General</c:formatCode>
                <c:ptCount val="1"/>
                <c:pt idx="0">
                  <c:v>149555</c:v>
                </c:pt>
              </c:numCache>
            </c:numRef>
          </c:bubbleSize>
          <c:bubble3D val="0"/>
        </c:ser>
        <c:ser>
          <c:idx val="5"/>
          <c:order val="4"/>
          <c:tx>
            <c:strRef>
              <c:f>'[bubblegraph1222_final (1).xlsx]Graph1'!$A$7</c:f>
              <c:strCache>
                <c:ptCount val="1"/>
                <c:pt idx="0">
                  <c:v>Agriculture</c:v>
                </c:pt>
              </c:strCache>
            </c:strRef>
          </c:tx>
          <c:invertIfNegative val="0"/>
          <c:xVal>
            <c:numRef>
              <c:f>'[bubblegraph1222_final (1).xlsx]Graph1'!$B$7</c:f>
              <c:numCache>
                <c:formatCode>General</c:formatCode>
                <c:ptCount val="1"/>
                <c:pt idx="0">
                  <c:v>2.5283695002986262</c:v>
                </c:pt>
              </c:numCache>
            </c:numRef>
          </c:xVal>
          <c:yVal>
            <c:numRef>
              <c:f>'[bubblegraph1222_final (1).xlsx]Graph1'!$C$7</c:f>
              <c:numCache>
                <c:formatCode>General</c:formatCode>
                <c:ptCount val="1"/>
                <c:pt idx="0">
                  <c:v>0.23393053551566914</c:v>
                </c:pt>
              </c:numCache>
            </c:numRef>
          </c:yVal>
          <c:bubbleSize>
            <c:numRef>
              <c:f>'[bubblegraph1222_final (1).xlsx]Graph1'!$D$7</c:f>
              <c:numCache>
                <c:formatCode>General</c:formatCode>
                <c:ptCount val="1"/>
                <c:pt idx="0">
                  <c:v>5150</c:v>
                </c:pt>
              </c:numCache>
            </c:numRef>
          </c:bubbleSize>
          <c:bubble3D val="0"/>
        </c:ser>
        <c:ser>
          <c:idx val="6"/>
          <c:order val="5"/>
          <c:tx>
            <c:strRef>
              <c:f>'[bubblegraph1222_final (1).xlsx]Graph1'!$A$8</c:f>
              <c:strCache>
                <c:ptCount val="1"/>
                <c:pt idx="0">
                  <c:v>Manufacturing</c:v>
                </c:pt>
              </c:strCache>
            </c:strRef>
          </c:tx>
          <c:invertIfNegative val="0"/>
          <c:xVal>
            <c:numRef>
              <c:f>'[bubblegraph1222_final (1).xlsx]Graph1'!$B$8</c:f>
              <c:numCache>
                <c:formatCode>General</c:formatCode>
                <c:ptCount val="1"/>
                <c:pt idx="0">
                  <c:v>-9.9605651458567284</c:v>
                </c:pt>
              </c:numCache>
            </c:numRef>
          </c:xVal>
          <c:yVal>
            <c:numRef>
              <c:f>'[bubblegraph1222_final (1).xlsx]Graph1'!$C$8</c:f>
              <c:numCache>
                <c:formatCode>General</c:formatCode>
                <c:ptCount val="1"/>
                <c:pt idx="0">
                  <c:v>0.47581237798559656</c:v>
                </c:pt>
              </c:numCache>
            </c:numRef>
          </c:yVal>
          <c:bubbleSize>
            <c:numRef>
              <c:f>'[bubblegraph1222_final (1).xlsx]Graph1'!$D$8</c:f>
              <c:numCache>
                <c:formatCode>General</c:formatCode>
                <c:ptCount val="1"/>
                <c:pt idx="0">
                  <c:v>103431</c:v>
                </c:pt>
              </c:numCache>
            </c:numRef>
          </c:bubbleSize>
          <c:bubble3D val="0"/>
        </c:ser>
        <c:ser>
          <c:idx val="7"/>
          <c:order val="6"/>
          <c:tx>
            <c:strRef>
              <c:f>'[bubblegraph1222_final (1).xlsx]Graph1'!$A$9</c:f>
              <c:strCache>
                <c:ptCount val="1"/>
                <c:pt idx="0">
                  <c:v>Leisure and Hospitality</c:v>
                </c:pt>
              </c:strCache>
            </c:strRef>
          </c:tx>
          <c:invertIfNegative val="0"/>
          <c:xVal>
            <c:numRef>
              <c:f>'[bubblegraph1222_final (1).xlsx]Graph1'!$B$9</c:f>
              <c:numCache>
                <c:formatCode>General</c:formatCode>
                <c:ptCount val="1"/>
                <c:pt idx="0">
                  <c:v>13.246416417897459</c:v>
                </c:pt>
              </c:numCache>
            </c:numRef>
          </c:xVal>
          <c:yVal>
            <c:numRef>
              <c:f>'[bubblegraph1222_final (1).xlsx]Graph1'!$C$9</c:f>
              <c:numCache>
                <c:formatCode>General</c:formatCode>
                <c:ptCount val="1"/>
                <c:pt idx="0">
                  <c:v>0.99500101276302866</c:v>
                </c:pt>
              </c:numCache>
            </c:numRef>
          </c:yVal>
          <c:bubbleSize>
            <c:numRef>
              <c:f>'[bubblegraph1222_final (1).xlsx]Graph1'!$D$9</c:f>
              <c:numCache>
                <c:formatCode>General</c:formatCode>
                <c:ptCount val="1"/>
                <c:pt idx="0">
                  <c:v>260238</c:v>
                </c:pt>
              </c:numCache>
            </c:numRef>
          </c:bubbleSize>
          <c:bubble3D val="0"/>
        </c:ser>
        <c:ser>
          <c:idx val="3"/>
          <c:order val="7"/>
          <c:tx>
            <c:strRef>
              <c:f>'[bubblegraph1222_final (1).xlsx]Graph1'!$A$5</c:f>
              <c:strCache>
                <c:ptCount val="1"/>
                <c:pt idx="0">
                  <c:v>Transportation and Warehousing</c:v>
                </c:pt>
              </c:strCache>
            </c:strRef>
          </c:tx>
          <c:invertIfNegative val="0"/>
          <c:xVal>
            <c:numRef>
              <c:f>'[bubblegraph1222_final (1).xlsx]Graph1'!$B$5</c:f>
              <c:numCache>
                <c:formatCode>General</c:formatCode>
                <c:ptCount val="1"/>
                <c:pt idx="0">
                  <c:v>8.6978923470784295</c:v>
                </c:pt>
              </c:numCache>
            </c:numRef>
          </c:xVal>
          <c:yVal>
            <c:numRef>
              <c:f>'[bubblegraph1222_final (1).xlsx]Graph1'!$C$5</c:f>
              <c:numCache>
                <c:formatCode>General</c:formatCode>
                <c:ptCount val="1"/>
                <c:pt idx="0">
                  <c:v>0.85973781031329177</c:v>
                </c:pt>
              </c:numCache>
            </c:numRef>
          </c:yVal>
          <c:bubbleSize>
            <c:numRef>
              <c:f>'[bubblegraph1222_final (1).xlsx]Graph1'!$D$5</c:f>
              <c:numCache>
                <c:formatCode>General</c:formatCode>
                <c:ptCount val="1"/>
                <c:pt idx="0">
                  <c:v>67509</c:v>
                </c:pt>
              </c:numCache>
            </c:numRef>
          </c:bubbleSize>
          <c:bubble3D val="0"/>
        </c:ser>
        <c:dLbls>
          <c:showLegendKey val="0"/>
          <c:showVal val="0"/>
          <c:showCatName val="0"/>
          <c:showSerName val="0"/>
          <c:showPercent val="0"/>
          <c:showBubbleSize val="0"/>
        </c:dLbls>
        <c:bubbleScale val="100"/>
        <c:showNegBubbles val="0"/>
        <c:axId val="90956928"/>
        <c:axId val="90958848"/>
      </c:bubbleChart>
      <c:valAx>
        <c:axId val="90956928"/>
        <c:scaling>
          <c:orientation val="minMax"/>
        </c:scaling>
        <c:delete val="0"/>
        <c:axPos val="b"/>
        <c:title>
          <c:tx>
            <c:rich>
              <a:bodyPr/>
              <a:lstStyle/>
              <a:p>
                <a:pPr>
                  <a:defRPr/>
                </a:pPr>
                <a:r>
                  <a:rPr lang="en-US"/>
                  <a:t>Employment Change</a:t>
                </a:r>
              </a:p>
            </c:rich>
          </c:tx>
          <c:layout/>
          <c:overlay val="0"/>
        </c:title>
        <c:numFmt formatCode="General" sourceLinked="1"/>
        <c:majorTickMark val="none"/>
        <c:minorTickMark val="none"/>
        <c:tickLblPos val="nextTo"/>
        <c:crossAx val="90958848"/>
        <c:crossesAt val="1"/>
        <c:crossBetween val="midCat"/>
      </c:valAx>
      <c:valAx>
        <c:axId val="90958848"/>
        <c:scaling>
          <c:orientation val="minMax"/>
        </c:scaling>
        <c:delete val="0"/>
        <c:axPos val="l"/>
        <c:majorGridlines/>
        <c:title>
          <c:tx>
            <c:rich>
              <a:bodyPr/>
              <a:lstStyle/>
              <a:p>
                <a:pPr>
                  <a:defRPr/>
                </a:pPr>
                <a:r>
                  <a:rPr lang="en-US"/>
                  <a:t>Location Quotient</a:t>
                </a:r>
              </a:p>
            </c:rich>
          </c:tx>
          <c:layout/>
          <c:overlay val="0"/>
        </c:title>
        <c:numFmt formatCode="General" sourceLinked="1"/>
        <c:majorTickMark val="none"/>
        <c:minorTickMark val="none"/>
        <c:tickLblPos val="nextTo"/>
        <c:crossAx val="90956928"/>
        <c:crosses val="autoZero"/>
        <c:crossBetween val="midCat"/>
      </c:valAx>
    </c:plotArea>
    <c:legend>
      <c:legendPos val="r"/>
      <c:layout>
        <c:manualLayout>
          <c:xMode val="edge"/>
          <c:yMode val="edge"/>
          <c:x val="0.66541644794400701"/>
          <c:y val="0.12353388544493712"/>
          <c:w val="0.31791688538932633"/>
          <c:h val="0.8656730474214982"/>
        </c:manualLayout>
      </c:layout>
      <c:overlay val="0"/>
    </c:legend>
    <c:plotVisOnly val="1"/>
    <c:dispBlanksAs val="gap"/>
    <c:showDLblsOverMax val="0"/>
  </c:chart>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b="0" u="sng">
                <a:latin typeface="Times New Roman" panose="02020603050405020304" pitchFamily="18" charset="0"/>
                <a:cs typeface="Times New Roman" panose="02020603050405020304" pitchFamily="18" charset="0"/>
              </a:rPr>
              <a:t>Maryland's Workers by Educational Attainment</a:t>
            </a:r>
          </a:p>
        </c:rich>
      </c:tx>
      <c:layout/>
      <c:overlay val="0"/>
    </c:title>
    <c:autoTitleDeleted val="0"/>
    <c:plotArea>
      <c:layout/>
      <c:pieChart>
        <c:varyColors val="1"/>
        <c:ser>
          <c:idx val="0"/>
          <c:order val="0"/>
          <c:tx>
            <c:strRef>
              <c:f>'[request_1230 (1).xlsx]Onthemap_graphs'!$D$33</c:f>
              <c:strCache>
                <c:ptCount val="1"/>
                <c:pt idx="0">
                  <c:v>Count</c:v>
                </c:pt>
              </c:strCache>
            </c:strRef>
          </c:tx>
          <c:spPr>
            <a:solidFill>
              <a:sysClr val="windowText" lastClr="000000"/>
            </a:solidFill>
          </c:spPr>
          <c:dPt>
            <c:idx val="0"/>
            <c:bubble3D val="0"/>
            <c:spPr>
              <a:pattFill prst="pct10">
                <a:fgClr>
                  <a:srgbClr val="4F81BD"/>
                </a:fgClr>
                <a:bgClr>
                  <a:sysClr val="window" lastClr="FFFFFF"/>
                </a:bgClr>
              </a:pattFill>
            </c:spPr>
          </c:dPt>
          <c:dPt>
            <c:idx val="1"/>
            <c:bubble3D val="0"/>
            <c:spPr>
              <a:pattFill prst="ltVert">
                <a:fgClr>
                  <a:srgbClr val="4F81BD"/>
                </a:fgClr>
                <a:bgClr>
                  <a:sysClr val="window" lastClr="FFFFFF"/>
                </a:bgClr>
              </a:pattFill>
            </c:spPr>
          </c:dPt>
          <c:dPt>
            <c:idx val="2"/>
            <c:bubble3D val="0"/>
            <c:spPr>
              <a:pattFill prst="ltHorz">
                <a:fgClr>
                  <a:srgbClr val="4F81BD"/>
                </a:fgClr>
                <a:bgClr>
                  <a:sysClr val="window" lastClr="FFFFFF"/>
                </a:bgClr>
              </a:pattFill>
            </c:spPr>
          </c:dPt>
          <c:dPt>
            <c:idx val="3"/>
            <c:bubble3D val="0"/>
            <c:spPr>
              <a:solidFill>
                <a:srgbClr val="4F81BD"/>
              </a:solidFill>
            </c:spPr>
          </c:dPt>
          <c:dLbls>
            <c:dLbl>
              <c:idx val="0"/>
              <c:layout>
                <c:manualLayout>
                  <c:x val="-6.3016669964764049E-3"/>
                  <c:y val="-4.5335262675677779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2.9086457705352581E-2"/>
                  <c:y val="-0.1308185392669626"/>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22049361012807356"/>
                  <c:y val="-2.7414692527968139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5.1189846155262154E-2"/>
                  <c:y val="-7.4738575239280153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'[request_1230 (1).xlsx]Onthemap_graphs'!$C$34:$C$37</c:f>
              <c:strCache>
                <c:ptCount val="4"/>
                <c:pt idx="0">
                  <c:v>Less than high school</c:v>
                </c:pt>
                <c:pt idx="1">
                  <c:v>High school or equivalent, no college</c:v>
                </c:pt>
                <c:pt idx="2">
                  <c:v>Some college or Associate degree</c:v>
                </c:pt>
                <c:pt idx="3">
                  <c:v>Bachelor's degree or advanced degree</c:v>
                </c:pt>
              </c:strCache>
            </c:strRef>
          </c:cat>
          <c:val>
            <c:numRef>
              <c:f>'[request_1230 (1).xlsx]Onthemap_graphs'!$D$34:$D$37</c:f>
              <c:numCache>
                <c:formatCode>#,##0</c:formatCode>
                <c:ptCount val="4"/>
                <c:pt idx="0">
                  <c:v>196835</c:v>
                </c:pt>
                <c:pt idx="1">
                  <c:v>445898</c:v>
                </c:pt>
                <c:pt idx="2">
                  <c:v>534132</c:v>
                </c:pt>
                <c:pt idx="3">
                  <c:v>613743</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3159945451003308"/>
          <c:y val="0.25022262942765472"/>
          <c:w val="0.34502240405221118"/>
          <c:h val="0.6472572798301458"/>
        </c:manualLayout>
      </c:layout>
      <c:overlay val="0"/>
    </c:legend>
    <c:plotVisOnly val="1"/>
    <c:dispBlanksAs val="gap"/>
    <c:showDLblsOverMax val="0"/>
  </c:chart>
  <c:spPr>
    <a:effectLst>
      <a:outerShdw blurRad="50800" dist="38100" algn="l" rotWithShape="0">
        <a:prstClr val="black">
          <a:alpha val="40000"/>
        </a:prstClr>
      </a:outerShdw>
    </a:effectLst>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b="0" u="sng">
                <a:latin typeface="Times New Roman" panose="02020603050405020304" pitchFamily="18" charset="0"/>
                <a:cs typeface="Times New Roman" panose="02020603050405020304" pitchFamily="18" charset="0"/>
              </a:rPr>
              <a:t>Maryland's Workers by Age</a:t>
            </a:r>
          </a:p>
        </c:rich>
      </c:tx>
      <c:layout/>
      <c:overlay val="0"/>
    </c:title>
    <c:autoTitleDeleted val="0"/>
    <c:plotArea>
      <c:layout/>
      <c:pieChart>
        <c:varyColors val="1"/>
        <c:ser>
          <c:idx val="0"/>
          <c:order val="0"/>
          <c:spPr>
            <a:solidFill>
              <a:srgbClr val="4F81BD"/>
            </a:solidFill>
          </c:spPr>
          <c:dPt>
            <c:idx val="0"/>
            <c:bubble3D val="0"/>
            <c:spPr>
              <a:pattFill prst="pct5">
                <a:fgClr>
                  <a:srgbClr val="4F81BD"/>
                </a:fgClr>
                <a:bgClr>
                  <a:sysClr val="window" lastClr="FFFFFF"/>
                </a:bgClr>
              </a:pattFill>
            </c:spPr>
          </c:dPt>
          <c:dPt>
            <c:idx val="1"/>
            <c:bubble3D val="0"/>
            <c:spPr>
              <a:pattFill prst="ltVert">
                <a:fgClr>
                  <a:srgbClr val="4F81BD"/>
                </a:fgClr>
                <a:bgClr>
                  <a:sysClr val="window" lastClr="FFFFFF"/>
                </a:bgClr>
              </a:pattFill>
            </c:spPr>
          </c:dPt>
          <c:dLbls>
            <c:dLbl>
              <c:idx val="0"/>
              <c:layout>
                <c:manualLayout>
                  <c:x val="1.5712749524076877E-2"/>
                  <c:y val="2.61288490714764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0.14954125766424142"/>
                  <c:y val="-3.1306544163142144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6.4771564571377638E-3"/>
                  <c:y val="-4.0424128899926262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'[request_1230 (1).xlsx]Onthemap_graphs'!$C$6:$C$8</c:f>
              <c:strCache>
                <c:ptCount val="3"/>
                <c:pt idx="0">
                  <c:v>Age 29 or younger</c:v>
                </c:pt>
                <c:pt idx="1">
                  <c:v>Age 30 to 54</c:v>
                </c:pt>
                <c:pt idx="2">
                  <c:v>Age 55 or older</c:v>
                </c:pt>
              </c:strCache>
            </c:strRef>
          </c:cat>
          <c:val>
            <c:numRef>
              <c:f>'[request_1230 (1).xlsx]Onthemap_graphs'!$D$6:$D$8</c:f>
              <c:numCache>
                <c:formatCode>#,##0</c:formatCode>
                <c:ptCount val="3"/>
                <c:pt idx="0">
                  <c:v>505690</c:v>
                </c:pt>
                <c:pt idx="1">
                  <c:v>1264458</c:v>
                </c:pt>
                <c:pt idx="2">
                  <c:v>526150</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spPr>
    <a:effectLst>
      <a:outerShdw blurRad="50800" dist="38100" algn="l" rotWithShape="0">
        <a:prstClr val="black">
          <a:alpha val="40000"/>
        </a:prstClr>
      </a:outerShdw>
    </a:effectLst>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b="0" u="sng">
                <a:latin typeface="Times New Roman" panose="02020603050405020304" pitchFamily="18" charset="0"/>
                <a:cs typeface="Times New Roman" panose="02020603050405020304" pitchFamily="18" charset="0"/>
              </a:rPr>
              <a:t>Unemployment Rate by Race/Ethnicity in Maryland:</a:t>
            </a:r>
            <a:r>
              <a:rPr lang="en-US" b="0" u="sng" baseline="0">
                <a:latin typeface="Times New Roman" panose="02020603050405020304" pitchFamily="18" charset="0"/>
                <a:cs typeface="Times New Roman" panose="02020603050405020304" pitchFamily="18" charset="0"/>
              </a:rPr>
              <a:t> 2014 </a:t>
            </a:r>
            <a:endParaRPr lang="en-US" b="0" u="sng">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cat>
            <c:strRef>
              <c:f>'[request_1230 (1).xlsx]Unemploymentbygroup'!$D$11:$D$20</c:f>
              <c:strCache>
                <c:ptCount val="4"/>
                <c:pt idx="0">
                  <c:v>White</c:v>
                </c:pt>
                <c:pt idx="1">
                  <c:v>Black or African American</c:v>
                </c:pt>
                <c:pt idx="2">
                  <c:v>Asian</c:v>
                </c:pt>
                <c:pt idx="3">
                  <c:v>Hispanic or Latino ethnicity</c:v>
                </c:pt>
              </c:strCache>
            </c:strRef>
          </c:cat>
          <c:val>
            <c:numRef>
              <c:f>'[request_1230 (1).xlsx]Unemploymentbygroup'!$K$11:$K$20</c:f>
              <c:numCache>
                <c:formatCode>0.0\ \ \ \ </c:formatCode>
                <c:ptCount val="4"/>
                <c:pt idx="0">
                  <c:v>4.7</c:v>
                </c:pt>
                <c:pt idx="1">
                  <c:v>8.5</c:v>
                </c:pt>
                <c:pt idx="2">
                  <c:v>2.8</c:v>
                </c:pt>
                <c:pt idx="3">
                  <c:v>5.6</c:v>
                </c:pt>
              </c:numCache>
            </c:numRef>
          </c:val>
        </c:ser>
        <c:dLbls>
          <c:showLegendKey val="0"/>
          <c:showVal val="0"/>
          <c:showCatName val="0"/>
          <c:showSerName val="0"/>
          <c:showPercent val="0"/>
          <c:showBubbleSize val="0"/>
        </c:dLbls>
        <c:gapWidth val="150"/>
        <c:axId val="86732160"/>
        <c:axId val="90883200"/>
      </c:barChart>
      <c:catAx>
        <c:axId val="86732160"/>
        <c:scaling>
          <c:orientation val="minMax"/>
        </c:scaling>
        <c:delete val="0"/>
        <c:axPos val="b"/>
        <c:numFmt formatCode="General" sourceLinked="0"/>
        <c:majorTickMark val="out"/>
        <c:minorTickMark val="none"/>
        <c:tickLblPos val="nextTo"/>
        <c:crossAx val="90883200"/>
        <c:crosses val="autoZero"/>
        <c:auto val="1"/>
        <c:lblAlgn val="ctr"/>
        <c:lblOffset val="100"/>
        <c:noMultiLvlLbl val="0"/>
      </c:catAx>
      <c:valAx>
        <c:axId val="90883200"/>
        <c:scaling>
          <c:orientation val="minMax"/>
        </c:scaling>
        <c:delete val="0"/>
        <c:axPos val="l"/>
        <c:majorGridlines/>
        <c:numFmt formatCode="0.0\ \ \ \ " sourceLinked="1"/>
        <c:majorTickMark val="out"/>
        <c:minorTickMark val="none"/>
        <c:tickLblPos val="nextTo"/>
        <c:crossAx val="86732160"/>
        <c:crosses val="autoZero"/>
        <c:crossBetween val="between"/>
      </c:valAx>
      <c:spPr>
        <a:solidFill>
          <a:schemeClr val="bg1">
            <a:lumMod val="95000"/>
          </a:schemeClr>
        </a:solidFill>
      </c:spPr>
    </c:plotArea>
    <c:plotVisOnly val="1"/>
    <c:dispBlanksAs val="gap"/>
    <c:showDLblsOverMax val="0"/>
  </c:chart>
  <c:spPr>
    <a:effectLst>
      <a:outerShdw blurRad="50800" dist="38100" algn="l" rotWithShape="0">
        <a:prstClr val="black">
          <a:alpha val="40000"/>
        </a:prstClr>
      </a:outerShdw>
    </a:effectLst>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b="0" u="sng">
                <a:latin typeface="Times New Roman" panose="02020603050405020304" pitchFamily="18" charset="0"/>
                <a:cs typeface="Times New Roman" panose="02020603050405020304" pitchFamily="18" charset="0"/>
              </a:rPr>
              <a:t>Unemployment Rate by Age</a:t>
            </a:r>
            <a:r>
              <a:rPr lang="en-US" b="0" u="sng" baseline="0">
                <a:latin typeface="Times New Roman" panose="02020603050405020304" pitchFamily="18" charset="0"/>
                <a:cs typeface="Times New Roman" panose="02020603050405020304" pitchFamily="18" charset="0"/>
              </a:rPr>
              <a:t> in Maryland: 2014</a:t>
            </a:r>
            <a:endParaRPr lang="en-US" b="0" u="sng">
              <a:latin typeface="Times New Roman" panose="02020603050405020304" pitchFamily="18" charset="0"/>
              <a:cs typeface="Times New Roman" panose="02020603050405020304" pitchFamily="18" charset="0"/>
            </a:endParaRPr>
          </a:p>
        </c:rich>
      </c:tx>
      <c:layout/>
      <c:overlay val="0"/>
    </c:title>
    <c:autoTitleDeleted val="0"/>
    <c:plotArea>
      <c:layout/>
      <c:barChart>
        <c:barDir val="col"/>
        <c:grouping val="clustered"/>
        <c:varyColors val="0"/>
        <c:ser>
          <c:idx val="0"/>
          <c:order val="0"/>
          <c:invertIfNegative val="0"/>
          <c:cat>
            <c:strRef>
              <c:f>'[request_1230 (1).xlsx]Unemploymentbygroup'!$D$26:$D$32</c:f>
              <c:strCache>
                <c:ptCount val="7"/>
                <c:pt idx="0">
                  <c:v>Total, 16 to 19 years</c:v>
                </c:pt>
                <c:pt idx="1">
                  <c:v>Total, 20 to 24 years</c:v>
                </c:pt>
                <c:pt idx="2">
                  <c:v>Total, 25 to 34 years</c:v>
                </c:pt>
                <c:pt idx="3">
                  <c:v>Total, 35 to 44 years</c:v>
                </c:pt>
                <c:pt idx="4">
                  <c:v>Total, 45 to 54 years</c:v>
                </c:pt>
                <c:pt idx="5">
                  <c:v>Total, 55 to 64 years</c:v>
                </c:pt>
                <c:pt idx="6">
                  <c:v>Total, 65 years and over</c:v>
                </c:pt>
              </c:strCache>
            </c:strRef>
          </c:cat>
          <c:val>
            <c:numRef>
              <c:f>'[request_1230 (1).xlsx]Unemploymentbygroup'!$K$26:$K$32</c:f>
              <c:numCache>
                <c:formatCode>0.0\ \ \ \ </c:formatCode>
                <c:ptCount val="7"/>
                <c:pt idx="0">
                  <c:v>23.7</c:v>
                </c:pt>
                <c:pt idx="1">
                  <c:v>11.3</c:v>
                </c:pt>
                <c:pt idx="2">
                  <c:v>6.4</c:v>
                </c:pt>
                <c:pt idx="3">
                  <c:v>4.5999999999999996</c:v>
                </c:pt>
                <c:pt idx="4">
                  <c:v>2.9</c:v>
                </c:pt>
                <c:pt idx="5">
                  <c:v>3.9</c:v>
                </c:pt>
                <c:pt idx="6">
                  <c:v>6.6</c:v>
                </c:pt>
              </c:numCache>
            </c:numRef>
          </c:val>
        </c:ser>
        <c:dLbls>
          <c:showLegendKey val="0"/>
          <c:showVal val="0"/>
          <c:showCatName val="0"/>
          <c:showSerName val="0"/>
          <c:showPercent val="0"/>
          <c:showBubbleSize val="0"/>
        </c:dLbls>
        <c:gapWidth val="150"/>
        <c:axId val="109191936"/>
        <c:axId val="109193472"/>
      </c:barChart>
      <c:catAx>
        <c:axId val="109191936"/>
        <c:scaling>
          <c:orientation val="minMax"/>
        </c:scaling>
        <c:delete val="0"/>
        <c:axPos val="b"/>
        <c:numFmt formatCode="General" sourceLinked="0"/>
        <c:majorTickMark val="out"/>
        <c:minorTickMark val="none"/>
        <c:tickLblPos val="nextTo"/>
        <c:crossAx val="109193472"/>
        <c:crosses val="autoZero"/>
        <c:auto val="1"/>
        <c:lblAlgn val="ctr"/>
        <c:lblOffset val="100"/>
        <c:noMultiLvlLbl val="0"/>
      </c:catAx>
      <c:valAx>
        <c:axId val="109193472"/>
        <c:scaling>
          <c:orientation val="minMax"/>
        </c:scaling>
        <c:delete val="0"/>
        <c:axPos val="l"/>
        <c:majorGridlines/>
        <c:numFmt formatCode="0.0\ \ \ \ " sourceLinked="1"/>
        <c:majorTickMark val="out"/>
        <c:minorTickMark val="none"/>
        <c:tickLblPos val="nextTo"/>
        <c:crossAx val="109191936"/>
        <c:crosses val="autoZero"/>
        <c:crossBetween val="between"/>
      </c:valAx>
      <c:spPr>
        <a:solidFill>
          <a:schemeClr val="bg1">
            <a:lumMod val="95000"/>
          </a:schemeClr>
        </a:solidFill>
      </c:spPr>
    </c:plotArea>
    <c:plotVisOnly val="1"/>
    <c:dispBlanksAs val="gap"/>
    <c:showDLblsOverMax val="0"/>
  </c:chart>
  <c:spPr>
    <a:effectLst>
      <a:outerShdw blurRad="50800" dist="38100" algn="l" rotWithShape="0">
        <a:prstClr val="black">
          <a:alpha val="40000"/>
        </a:prstClr>
      </a:outerShdw>
    </a:effectLst>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b="0" u="sng">
                <a:latin typeface="Times New Roman" panose="02020603050405020304" pitchFamily="18" charset="0"/>
                <a:cs typeface="Times New Roman" panose="02020603050405020304" pitchFamily="18" charset="0"/>
              </a:rPr>
              <a:t>Alternative Measures of Labor Underutilization</a:t>
            </a:r>
          </a:p>
        </c:rich>
      </c:tx>
      <c:layout>
        <c:manualLayout>
          <c:xMode val="edge"/>
          <c:yMode val="edge"/>
          <c:x val="0.20073614691968814"/>
          <c:y val="0"/>
        </c:manualLayout>
      </c:layout>
      <c:overlay val="0"/>
    </c:title>
    <c:autoTitleDeleted val="0"/>
    <c:plotArea>
      <c:layout/>
      <c:barChart>
        <c:barDir val="col"/>
        <c:grouping val="clustered"/>
        <c:varyColors val="0"/>
        <c:ser>
          <c:idx val="0"/>
          <c:order val="0"/>
          <c:tx>
            <c:strRef>
              <c:f>'[Chart in C  Users BBUTLER Desktop State Plan Operational_1.14.2016.doc]Sheet1'!$A$3</c:f>
              <c:strCache>
                <c:ptCount val="1"/>
                <c:pt idx="0">
                  <c:v>United States</c:v>
                </c:pt>
              </c:strCache>
            </c:strRef>
          </c:tx>
          <c:invertIfNegative val="0"/>
          <c:cat>
            <c:multiLvlStrRef>
              <c:f>'[Chart in C  Users BBUTLER Desktop State Plan Operational_1.14.2016.doc]Sheet1'!$B$1:$G$2</c:f>
              <c:multiLvlStrCache>
                <c:ptCount val="6"/>
                <c:lvl>
                  <c:pt idx="0">
                    <c:v>U-1</c:v>
                  </c:pt>
                  <c:pt idx="1">
                    <c:v>U-2</c:v>
                  </c:pt>
                  <c:pt idx="2">
                    <c:v>U-3</c:v>
                  </c:pt>
                  <c:pt idx="3">
                    <c:v>U-4</c:v>
                  </c:pt>
                  <c:pt idx="4">
                    <c:v>U-5</c:v>
                  </c:pt>
                  <c:pt idx="5">
                    <c:v>U-6</c:v>
                  </c:pt>
                </c:lvl>
                <c:lvl>
                  <c:pt idx="0">
                    <c:v>Measure</c:v>
                  </c:pt>
                </c:lvl>
              </c:multiLvlStrCache>
            </c:multiLvlStrRef>
          </c:cat>
          <c:val>
            <c:numRef>
              <c:f>'[Chart in C  Users BBUTLER Desktop State Plan Operational_1.14.2016.doc]Sheet1'!$B$3:$G$3</c:f>
              <c:numCache>
                <c:formatCode>General</c:formatCode>
                <c:ptCount val="6"/>
                <c:pt idx="0">
                  <c:v>3.9</c:v>
                </c:pt>
                <c:pt idx="1">
                  <c:v>3.9</c:v>
                </c:pt>
                <c:pt idx="2">
                  <c:v>7.4</c:v>
                </c:pt>
                <c:pt idx="3">
                  <c:v>7.9</c:v>
                </c:pt>
                <c:pt idx="4">
                  <c:v>8.8000000000000007</c:v>
                </c:pt>
                <c:pt idx="5">
                  <c:v>13.8</c:v>
                </c:pt>
              </c:numCache>
            </c:numRef>
          </c:val>
        </c:ser>
        <c:ser>
          <c:idx val="1"/>
          <c:order val="1"/>
          <c:tx>
            <c:strRef>
              <c:f>'[Chart in C  Users BBUTLER Desktop State Plan Operational_1.14.2016.doc]Sheet1'!$A$4</c:f>
              <c:strCache>
                <c:ptCount val="1"/>
                <c:pt idx="0">
                  <c:v>Maryland</c:v>
                </c:pt>
              </c:strCache>
            </c:strRef>
          </c:tx>
          <c:spPr>
            <a:ln w="3175"/>
          </c:spPr>
          <c:invertIfNegative val="0"/>
          <c:cat>
            <c:multiLvlStrRef>
              <c:f>'[Chart in C  Users BBUTLER Desktop State Plan Operational_1.14.2016.doc]Sheet1'!$B$1:$G$2</c:f>
              <c:multiLvlStrCache>
                <c:ptCount val="6"/>
                <c:lvl>
                  <c:pt idx="0">
                    <c:v>U-1</c:v>
                  </c:pt>
                  <c:pt idx="1">
                    <c:v>U-2</c:v>
                  </c:pt>
                  <c:pt idx="2">
                    <c:v>U-3</c:v>
                  </c:pt>
                  <c:pt idx="3">
                    <c:v>U-4</c:v>
                  </c:pt>
                  <c:pt idx="4">
                    <c:v>U-5</c:v>
                  </c:pt>
                  <c:pt idx="5">
                    <c:v>U-6</c:v>
                  </c:pt>
                </c:lvl>
                <c:lvl>
                  <c:pt idx="0">
                    <c:v>Measure</c:v>
                  </c:pt>
                </c:lvl>
              </c:multiLvlStrCache>
            </c:multiLvlStrRef>
          </c:cat>
          <c:val>
            <c:numRef>
              <c:f>'[Chart in C  Users BBUTLER Desktop State Plan Operational_1.14.2016.doc]Sheet1'!$B$4:$G$4</c:f>
              <c:numCache>
                <c:formatCode>General</c:formatCode>
                <c:ptCount val="6"/>
                <c:pt idx="0">
                  <c:v>3</c:v>
                </c:pt>
                <c:pt idx="1">
                  <c:v>3.1</c:v>
                </c:pt>
                <c:pt idx="2">
                  <c:v>6.2</c:v>
                </c:pt>
                <c:pt idx="3">
                  <c:v>6.6</c:v>
                </c:pt>
                <c:pt idx="4">
                  <c:v>7.5</c:v>
                </c:pt>
                <c:pt idx="5">
                  <c:v>12</c:v>
                </c:pt>
              </c:numCache>
            </c:numRef>
          </c:val>
        </c:ser>
        <c:dLbls>
          <c:showLegendKey val="0"/>
          <c:showVal val="0"/>
          <c:showCatName val="0"/>
          <c:showSerName val="0"/>
          <c:showPercent val="0"/>
          <c:showBubbleSize val="0"/>
        </c:dLbls>
        <c:gapWidth val="219"/>
        <c:overlap val="-27"/>
        <c:axId val="109251584"/>
        <c:axId val="109257472"/>
      </c:barChart>
      <c:catAx>
        <c:axId val="109251584"/>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109257472"/>
        <c:crosses val="autoZero"/>
        <c:auto val="1"/>
        <c:lblAlgn val="ctr"/>
        <c:lblOffset val="100"/>
        <c:noMultiLvlLbl val="0"/>
      </c:catAx>
      <c:valAx>
        <c:axId val="109257472"/>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Percent</a:t>
                </a:r>
              </a:p>
            </c:rich>
          </c:tx>
          <c:layout/>
          <c:overlay val="0"/>
        </c:title>
        <c:numFmt formatCode="General" sourceLinked="1"/>
        <c:majorTickMark val="none"/>
        <c:minorTickMark val="none"/>
        <c:tickLblPos val="nextTo"/>
        <c:txPr>
          <a:bodyPr rot="-60000000" vert="horz"/>
          <a:lstStyle/>
          <a:p>
            <a:pPr>
              <a:defRPr/>
            </a:pPr>
            <a:endParaRPr lang="en-US"/>
          </a:p>
        </c:txPr>
        <c:crossAx val="109251584"/>
        <c:crosses val="autoZero"/>
        <c:crossBetween val="between"/>
      </c:valAx>
      <c:spPr>
        <a:solidFill>
          <a:schemeClr val="bg1">
            <a:lumMod val="95000"/>
          </a:schemeClr>
        </a:solidFill>
      </c:spPr>
    </c:plotArea>
    <c:legend>
      <c:legendPos val="r"/>
      <c:layout/>
      <c:overlay val="0"/>
      <c:txPr>
        <a:bodyPr rot="0" vert="horz"/>
        <a:lstStyle/>
        <a:p>
          <a:pPr>
            <a:defRPr/>
          </a:pPr>
          <a:endParaRPr lang="en-US"/>
        </a:p>
      </c:txPr>
    </c:legend>
    <c:plotVisOnly val="1"/>
    <c:dispBlanksAs val="gap"/>
    <c:showDLblsOverMax val="0"/>
  </c:chart>
  <c:spPr>
    <a:effectLst>
      <a:outerShdw blurRad="50800" dist="38100" algn="l" rotWithShape="0">
        <a:prstClr val="black">
          <a:alpha val="40000"/>
        </a:prstClr>
      </a:outerShdw>
    </a:effectLst>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FC4AED3-8BDD-4AEC-8A15-E18B588B55DD}" type="doc">
      <dgm:prSet loTypeId="urn:microsoft.com/office/officeart/2005/8/layout/orgChart1" loCatId="hierarchy" qsTypeId="urn:microsoft.com/office/officeart/2005/8/quickstyle/3d3" qsCatId="3D" csTypeId="urn:microsoft.com/office/officeart/2005/8/colors/accent0_1" csCatId="mainScheme" phldr="1"/>
      <dgm:spPr/>
      <dgm:t>
        <a:bodyPr/>
        <a:lstStyle/>
        <a:p>
          <a:endParaRPr lang="en-US"/>
        </a:p>
      </dgm:t>
    </dgm:pt>
    <dgm:pt modelId="{AB0B32E1-A3E7-4A88-A2DF-F1DFBAC1F346}">
      <dgm:prSet phldrT="[Text]" custT="1"/>
      <dgm:spPr/>
      <dgm:t>
        <a:bodyPr/>
        <a:lstStyle/>
        <a:p>
          <a:r>
            <a:rPr lang="en-US" sz="700" baseline="0" dirty="0" smtClean="0">
              <a:latin typeface="Times New Roman" pitchFamily="18" charset="0"/>
              <a:cs typeface="Times New Roman" pitchFamily="18" charset="0"/>
            </a:rPr>
            <a:t>Executive Director</a:t>
          </a:r>
        </a:p>
        <a:p>
          <a:r>
            <a:rPr lang="en-US" sz="700" baseline="0" dirty="0" smtClean="0">
              <a:latin typeface="Times New Roman" pitchFamily="18" charset="0"/>
              <a:cs typeface="Times New Roman" pitchFamily="18" charset="0"/>
            </a:rPr>
            <a:t> </a:t>
          </a:r>
        </a:p>
      </dgm:t>
    </dgm:pt>
    <dgm:pt modelId="{9425CCC8-99A2-40F2-8D54-05F1D0006E61}" type="parTrans" cxnId="{BA38F85D-2D40-44FA-84A1-4FED45AA0F3A}">
      <dgm:prSet/>
      <dgm:spPr/>
      <dgm:t>
        <a:bodyPr/>
        <a:lstStyle/>
        <a:p>
          <a:endParaRPr lang="en-US"/>
        </a:p>
      </dgm:t>
    </dgm:pt>
    <dgm:pt modelId="{9AE9783F-FF5B-4EDE-AB7E-510836264043}" type="sibTrans" cxnId="{BA38F85D-2D40-44FA-84A1-4FED45AA0F3A}">
      <dgm:prSet/>
      <dgm:spPr/>
      <dgm:t>
        <a:bodyPr/>
        <a:lstStyle/>
        <a:p>
          <a:endParaRPr lang="en-US"/>
        </a:p>
      </dgm:t>
    </dgm:pt>
    <dgm:pt modelId="{D78712FB-6519-454A-A211-24C5C8679C4E}">
      <dgm:prSet phldrT="[Text]" custT="1"/>
      <dgm:spPr/>
      <dgm:t>
        <a:bodyPr/>
        <a:lstStyle/>
        <a:p>
          <a:endParaRPr lang="en-US" sz="600" dirty="0" smtClean="0">
            <a:latin typeface="Times New Roman" pitchFamily="18" charset="0"/>
            <a:cs typeface="Times New Roman" pitchFamily="18" charset="0"/>
          </a:endParaRPr>
        </a:p>
        <a:p>
          <a:r>
            <a:rPr lang="en-US" sz="700" dirty="0" smtClean="0">
              <a:latin typeface="Times New Roman" pitchFamily="18" charset="0"/>
              <a:cs typeface="Times New Roman" pitchFamily="18" charset="0"/>
            </a:rPr>
            <a:t>Director </a:t>
          </a:r>
        </a:p>
        <a:p>
          <a:r>
            <a:rPr lang="en-US" sz="700" dirty="0" smtClean="0">
              <a:latin typeface="Times New Roman" pitchFamily="18" charset="0"/>
              <a:cs typeface="Times New Roman" pitchFamily="18" charset="0"/>
            </a:rPr>
            <a:t>Homeless Services</a:t>
          </a:r>
        </a:p>
        <a:p>
          <a:endParaRPr lang="en-US" sz="600" dirty="0">
            <a:latin typeface="Times New Roman" pitchFamily="18" charset="0"/>
            <a:cs typeface="Times New Roman" pitchFamily="18" charset="0"/>
          </a:endParaRPr>
        </a:p>
      </dgm:t>
    </dgm:pt>
    <dgm:pt modelId="{D351A77E-C02A-4F83-B4A2-E80787414301}" type="parTrans" cxnId="{2C9C0DB4-8FF4-49B4-BC20-9D84664AE386}">
      <dgm:prSet/>
      <dgm:spPr/>
      <dgm:t>
        <a:bodyPr/>
        <a:lstStyle/>
        <a:p>
          <a:endParaRPr lang="en-US"/>
        </a:p>
      </dgm:t>
    </dgm:pt>
    <dgm:pt modelId="{EDDADCCC-59FB-4E0B-9E31-52D73ADCEB1F}" type="sibTrans" cxnId="{2C9C0DB4-8FF4-49B4-BC20-9D84664AE386}">
      <dgm:prSet/>
      <dgm:spPr/>
      <dgm:t>
        <a:bodyPr/>
        <a:lstStyle/>
        <a:p>
          <a:endParaRPr lang="en-US"/>
        </a:p>
      </dgm:t>
    </dgm:pt>
    <dgm:pt modelId="{93D34950-95D9-45BA-BE50-76A92F318C3A}">
      <dgm:prSet custT="1"/>
      <dgm:spPr/>
      <dgm:t>
        <a:bodyPr/>
        <a:lstStyle/>
        <a:p>
          <a:r>
            <a:rPr lang="en-US" sz="700" dirty="0" smtClean="0">
              <a:latin typeface="Times New Roman" pitchFamily="18" charset="0"/>
              <a:cs typeface="Times New Roman" pitchFamily="18" charset="0"/>
            </a:rPr>
            <a:t>Director</a:t>
          </a:r>
        </a:p>
        <a:p>
          <a:r>
            <a:rPr lang="en-US" sz="700" dirty="0" smtClean="0">
              <a:latin typeface="Times New Roman" pitchFamily="18" charset="0"/>
              <a:cs typeface="Times New Roman" pitchFamily="18" charset="0"/>
            </a:rPr>
            <a:t>Bureau  of Administration</a:t>
          </a:r>
        </a:p>
      </dgm:t>
    </dgm:pt>
    <dgm:pt modelId="{0C51F8D4-7FD2-436F-B5A4-320FB81AAC87}" type="parTrans" cxnId="{B7A3BB53-845B-40C2-A037-71D206C45D3B}">
      <dgm:prSet/>
      <dgm:spPr/>
      <dgm:t>
        <a:bodyPr/>
        <a:lstStyle/>
        <a:p>
          <a:endParaRPr lang="en-US"/>
        </a:p>
      </dgm:t>
    </dgm:pt>
    <dgm:pt modelId="{D671E13F-0E01-42A1-9170-65A78F94D46E}" type="sibTrans" cxnId="{B7A3BB53-845B-40C2-A037-71D206C45D3B}">
      <dgm:prSet/>
      <dgm:spPr/>
      <dgm:t>
        <a:bodyPr/>
        <a:lstStyle/>
        <a:p>
          <a:endParaRPr lang="en-US"/>
        </a:p>
      </dgm:t>
    </dgm:pt>
    <dgm:pt modelId="{8CBC2254-F695-407D-BC4F-71160C78DAD5}">
      <dgm:prSet custT="1"/>
      <dgm:spPr/>
      <dgm:t>
        <a:bodyPr/>
        <a:lstStyle/>
        <a:p>
          <a:r>
            <a:rPr lang="en-US" sz="700" dirty="0" smtClean="0">
              <a:latin typeface="Times New Roman" pitchFamily="18" charset="0"/>
              <a:cs typeface="Times New Roman" pitchFamily="18" charset="0"/>
            </a:rPr>
            <a:t>Acting Director</a:t>
          </a:r>
        </a:p>
        <a:p>
          <a:r>
            <a:rPr lang="en-US" sz="700" dirty="0" smtClean="0">
              <a:latin typeface="Times New Roman" pitchFamily="18" charset="0"/>
              <a:cs typeface="Times New Roman" pitchFamily="18" charset="0"/>
            </a:rPr>
            <a:t>Policy Research &amp; Training  </a:t>
          </a:r>
        </a:p>
      </dgm:t>
    </dgm:pt>
    <dgm:pt modelId="{CD0821F7-9460-4957-932B-2755B64DCFA6}" type="parTrans" cxnId="{F0D65FE3-B22F-4F48-A67A-EC512F40C3F0}">
      <dgm:prSet/>
      <dgm:spPr/>
      <dgm:t>
        <a:bodyPr/>
        <a:lstStyle/>
        <a:p>
          <a:endParaRPr lang="en-US"/>
        </a:p>
      </dgm:t>
    </dgm:pt>
    <dgm:pt modelId="{AA2B6CCB-5BA2-410F-BD69-34B6D07D7A0A}" type="sibTrans" cxnId="{F0D65FE3-B22F-4F48-A67A-EC512F40C3F0}">
      <dgm:prSet/>
      <dgm:spPr/>
      <dgm:t>
        <a:bodyPr/>
        <a:lstStyle/>
        <a:p>
          <a:endParaRPr lang="en-US"/>
        </a:p>
      </dgm:t>
    </dgm:pt>
    <dgm:pt modelId="{5FB7A63E-37CF-4C0B-9914-28B4C3E1F7AD}">
      <dgm:prSet custT="1"/>
      <dgm:spPr/>
      <dgm:t>
        <a:bodyPr/>
        <a:lstStyle/>
        <a:p>
          <a:r>
            <a:rPr lang="en-US" sz="700" dirty="0" smtClean="0">
              <a:latin typeface="Times New Roman" pitchFamily="18" charset="0"/>
              <a:cs typeface="Times New Roman" pitchFamily="18" charset="0"/>
            </a:rPr>
            <a:t>Director </a:t>
          </a:r>
        </a:p>
        <a:p>
          <a:r>
            <a:rPr lang="en-US" sz="700" dirty="0" smtClean="0">
              <a:latin typeface="Times New Roman" pitchFamily="18" charset="0"/>
              <a:cs typeface="Times New Roman" pitchFamily="18" charset="0"/>
            </a:rPr>
            <a:t>Workforce Development </a:t>
          </a:r>
        </a:p>
      </dgm:t>
    </dgm:pt>
    <dgm:pt modelId="{C40D8D1F-1708-4921-8F15-1E8AE54B2DB1}" type="parTrans" cxnId="{E31299E4-1327-43D1-A02A-4DE4000B3A4E}">
      <dgm:prSet/>
      <dgm:spPr/>
      <dgm:t>
        <a:bodyPr/>
        <a:lstStyle/>
        <a:p>
          <a:endParaRPr lang="en-US"/>
        </a:p>
      </dgm:t>
    </dgm:pt>
    <dgm:pt modelId="{A369B7DE-D9FE-4ACA-AA0E-275D8E494A3F}" type="sibTrans" cxnId="{E31299E4-1327-43D1-A02A-4DE4000B3A4E}">
      <dgm:prSet/>
      <dgm:spPr/>
      <dgm:t>
        <a:bodyPr/>
        <a:lstStyle/>
        <a:p>
          <a:endParaRPr lang="en-US"/>
        </a:p>
      </dgm:t>
    </dgm:pt>
    <dgm:pt modelId="{6B17C82C-5FA1-4392-A7B7-C8B5BC53E343}">
      <dgm:prSet custT="1"/>
      <dgm:spPr/>
      <dgm:t>
        <a:bodyPr/>
        <a:lstStyle/>
        <a:p>
          <a:r>
            <a:rPr lang="en-US" sz="700" dirty="0" smtClean="0">
              <a:latin typeface="Times New Roman" pitchFamily="18" charset="0"/>
              <a:cs typeface="Times New Roman" pitchFamily="18" charset="0"/>
            </a:rPr>
            <a:t>Director </a:t>
          </a:r>
        </a:p>
        <a:p>
          <a:r>
            <a:rPr lang="en-US" sz="700" dirty="0" smtClean="0">
              <a:latin typeface="Times New Roman" pitchFamily="18" charset="0"/>
              <a:cs typeface="Times New Roman" pitchFamily="18" charset="0"/>
            </a:rPr>
            <a:t>Systems Support</a:t>
          </a:r>
        </a:p>
      </dgm:t>
    </dgm:pt>
    <dgm:pt modelId="{C208DEBB-445A-4D2B-8306-182E0B42DD3A}" type="parTrans" cxnId="{0275058D-CE18-45A7-940C-4BC0466A5DD4}">
      <dgm:prSet/>
      <dgm:spPr/>
      <dgm:t>
        <a:bodyPr/>
        <a:lstStyle/>
        <a:p>
          <a:endParaRPr lang="en-US"/>
        </a:p>
      </dgm:t>
    </dgm:pt>
    <dgm:pt modelId="{C7FA354F-7110-4745-B70A-980C6858EFF7}" type="sibTrans" cxnId="{0275058D-CE18-45A7-940C-4BC0466A5DD4}">
      <dgm:prSet/>
      <dgm:spPr/>
      <dgm:t>
        <a:bodyPr/>
        <a:lstStyle/>
        <a:p>
          <a:endParaRPr lang="en-US"/>
        </a:p>
      </dgm:t>
    </dgm:pt>
    <dgm:pt modelId="{00340C07-20C2-4397-BD5C-28B9DB90607D}">
      <dgm:prSet custT="1"/>
      <dgm:spPr/>
      <dgm:t>
        <a:bodyPr/>
        <a:lstStyle/>
        <a:p>
          <a:r>
            <a:rPr lang="en-US" sz="700" dirty="0" smtClean="0">
              <a:latin typeface="Times New Roman" pitchFamily="18" charset="0"/>
              <a:cs typeface="Times New Roman" pitchFamily="18" charset="0"/>
            </a:rPr>
            <a:t>Office Manager</a:t>
          </a:r>
        </a:p>
      </dgm:t>
    </dgm:pt>
    <dgm:pt modelId="{F7BAE4EE-DEAB-44AF-AA67-E68D9701B6E0}" type="parTrans" cxnId="{199AD6BA-628E-4E6B-90C9-9057A070B5CC}">
      <dgm:prSet/>
      <dgm:spPr/>
      <dgm:t>
        <a:bodyPr/>
        <a:lstStyle/>
        <a:p>
          <a:endParaRPr lang="en-US"/>
        </a:p>
      </dgm:t>
    </dgm:pt>
    <dgm:pt modelId="{CD8EC1CF-1D01-49C1-AD76-76CF66CED307}" type="sibTrans" cxnId="{199AD6BA-628E-4E6B-90C9-9057A070B5CC}">
      <dgm:prSet/>
      <dgm:spPr/>
      <dgm:t>
        <a:bodyPr/>
        <a:lstStyle/>
        <a:p>
          <a:endParaRPr lang="en-US"/>
        </a:p>
      </dgm:t>
    </dgm:pt>
    <dgm:pt modelId="{778C4222-79C2-41BF-86A6-7D42AA1B70FB}">
      <dgm:prSet custT="1"/>
      <dgm:spPr/>
      <dgm:t>
        <a:bodyPr/>
        <a:lstStyle/>
        <a:p>
          <a:pPr algn="ctr"/>
          <a:r>
            <a:rPr lang="en-US" sz="700" dirty="0" smtClean="0">
              <a:latin typeface="Times New Roman" pitchFamily="18" charset="0"/>
              <a:cs typeface="Times New Roman" pitchFamily="18" charset="0"/>
            </a:rPr>
            <a:t>Deputy Executive Director Office of Special Projects </a:t>
          </a:r>
        </a:p>
      </dgm:t>
    </dgm:pt>
    <dgm:pt modelId="{CB9E0054-5C8B-4E5E-95EF-83F796DE8E24}" type="parTrans" cxnId="{CAFC01EB-BC8B-4255-B34D-C88A7605FAD9}">
      <dgm:prSet/>
      <dgm:spPr/>
      <dgm:t>
        <a:bodyPr/>
        <a:lstStyle/>
        <a:p>
          <a:endParaRPr lang="en-US"/>
        </a:p>
      </dgm:t>
    </dgm:pt>
    <dgm:pt modelId="{A50A97C7-9876-416F-BEE6-8FF5D046FD14}" type="sibTrans" cxnId="{CAFC01EB-BC8B-4255-B34D-C88A7605FAD9}">
      <dgm:prSet/>
      <dgm:spPr/>
      <dgm:t>
        <a:bodyPr/>
        <a:lstStyle/>
        <a:p>
          <a:endParaRPr lang="en-US"/>
        </a:p>
      </dgm:t>
    </dgm:pt>
    <dgm:pt modelId="{3DAF2181-A984-49C1-9406-F12B97FDE2AD}">
      <dgm:prSet custT="1"/>
      <dgm:spPr/>
      <dgm:t>
        <a:bodyPr/>
        <a:lstStyle/>
        <a:p>
          <a:r>
            <a:rPr lang="en-US" sz="700" dirty="0" smtClean="0">
              <a:latin typeface="Times New Roman" pitchFamily="18" charset="0"/>
              <a:cs typeface="Times New Roman" pitchFamily="18" charset="0"/>
            </a:rPr>
            <a:t>Director</a:t>
          </a:r>
        </a:p>
        <a:p>
          <a:r>
            <a:rPr lang="en-US" sz="700" dirty="0" smtClean="0">
              <a:latin typeface="Times New Roman" pitchFamily="18" charset="0"/>
              <a:cs typeface="Times New Roman" pitchFamily="18" charset="0"/>
            </a:rPr>
            <a:t>Special Grants</a:t>
          </a:r>
        </a:p>
      </dgm:t>
    </dgm:pt>
    <dgm:pt modelId="{9C49E657-8C94-441B-84C4-8925987A705B}" type="parTrans" cxnId="{14618780-CC91-4B62-9D61-BE6B2F81F82C}">
      <dgm:prSet/>
      <dgm:spPr/>
      <dgm:t>
        <a:bodyPr/>
        <a:lstStyle/>
        <a:p>
          <a:endParaRPr lang="en-US"/>
        </a:p>
      </dgm:t>
    </dgm:pt>
    <dgm:pt modelId="{D453102E-33B3-4899-BC7D-1A8284705A54}" type="sibTrans" cxnId="{14618780-CC91-4B62-9D61-BE6B2F81F82C}">
      <dgm:prSet/>
      <dgm:spPr/>
      <dgm:t>
        <a:bodyPr/>
        <a:lstStyle/>
        <a:p>
          <a:endParaRPr lang="en-US"/>
        </a:p>
      </dgm:t>
    </dgm:pt>
    <dgm:pt modelId="{8473EDA6-368A-4503-ABB7-23B6F089057C}">
      <dgm:prSet custT="1"/>
      <dgm:spPr/>
      <dgm:t>
        <a:bodyPr/>
        <a:lstStyle/>
        <a:p>
          <a:r>
            <a:rPr lang="en-US" sz="700" dirty="0" smtClean="0">
              <a:latin typeface="Times New Roman" pitchFamily="18" charset="0"/>
              <a:cs typeface="Times New Roman" pitchFamily="18" charset="0"/>
            </a:rPr>
            <a:t>Director</a:t>
          </a:r>
        </a:p>
        <a:p>
          <a:r>
            <a:rPr lang="en-US" sz="700" dirty="0" smtClean="0">
              <a:latin typeface="Times New Roman" pitchFamily="18" charset="0"/>
              <a:cs typeface="Times New Roman" pitchFamily="18" charset="0"/>
            </a:rPr>
            <a:t>Health Care Initiatives</a:t>
          </a:r>
        </a:p>
      </dgm:t>
    </dgm:pt>
    <dgm:pt modelId="{50FE88E6-3F72-414C-9BC6-8568A50B16F6}" type="parTrans" cxnId="{0CEAF43A-1730-4255-B139-FAF303B5931D}">
      <dgm:prSet/>
      <dgm:spPr/>
      <dgm:t>
        <a:bodyPr/>
        <a:lstStyle/>
        <a:p>
          <a:endParaRPr lang="en-US"/>
        </a:p>
      </dgm:t>
    </dgm:pt>
    <dgm:pt modelId="{F49BA8F3-6026-44CE-B995-1867A2308FDF}" type="sibTrans" cxnId="{0CEAF43A-1730-4255-B139-FAF303B5931D}">
      <dgm:prSet/>
      <dgm:spPr/>
      <dgm:t>
        <a:bodyPr/>
        <a:lstStyle/>
        <a:p>
          <a:endParaRPr lang="en-US"/>
        </a:p>
      </dgm:t>
    </dgm:pt>
    <dgm:pt modelId="{8AC85E04-AC09-4891-9384-AD2F5844FF92}">
      <dgm:prSet custT="1"/>
      <dgm:spPr/>
      <dgm:t>
        <a:bodyPr/>
        <a:lstStyle/>
        <a:p>
          <a:r>
            <a:rPr lang="en-US" sz="700" dirty="0" smtClean="0">
              <a:latin typeface="Times New Roman" pitchFamily="18" charset="0"/>
              <a:cs typeface="Times New Roman" pitchFamily="18" charset="0"/>
            </a:rPr>
            <a:t>Manager </a:t>
          </a:r>
        </a:p>
        <a:p>
          <a:r>
            <a:rPr lang="en-US" sz="700" dirty="0" smtClean="0">
              <a:latin typeface="Times New Roman" pitchFamily="18" charset="0"/>
              <a:cs typeface="Times New Roman" pitchFamily="18" charset="0"/>
            </a:rPr>
            <a:t>Budget &amp; Fiscal Services</a:t>
          </a:r>
        </a:p>
      </dgm:t>
    </dgm:pt>
    <dgm:pt modelId="{3BDE8280-1915-440E-AA52-33DA2B2BBE29}" type="parTrans" cxnId="{DA6F5DCD-058E-4838-9BE2-868E45E2F81E}">
      <dgm:prSet/>
      <dgm:spPr/>
      <dgm:t>
        <a:bodyPr/>
        <a:lstStyle/>
        <a:p>
          <a:endParaRPr lang="en-US"/>
        </a:p>
      </dgm:t>
    </dgm:pt>
    <dgm:pt modelId="{0DD23B48-76E0-4AA6-8811-B58778C0A5C5}" type="sibTrans" cxnId="{DA6F5DCD-058E-4838-9BE2-868E45E2F81E}">
      <dgm:prSet/>
      <dgm:spPr/>
      <dgm:t>
        <a:bodyPr/>
        <a:lstStyle/>
        <a:p>
          <a:endParaRPr lang="en-US"/>
        </a:p>
      </dgm:t>
    </dgm:pt>
    <dgm:pt modelId="{6F8D7C6E-B1C3-442E-A2E0-368D213479A3}">
      <dgm:prSet custT="1"/>
      <dgm:spPr/>
      <dgm:t>
        <a:bodyPr/>
        <a:lstStyle/>
        <a:p>
          <a:r>
            <a:rPr lang="en-US" sz="700" dirty="0" smtClean="0">
              <a:latin typeface="Times New Roman" pitchFamily="18" charset="0"/>
              <a:cs typeface="Times New Roman" pitchFamily="18" charset="0"/>
            </a:rPr>
            <a:t>Manager</a:t>
          </a:r>
        </a:p>
        <a:p>
          <a:r>
            <a:rPr lang="en-US" sz="700" dirty="0" smtClean="0">
              <a:latin typeface="Times New Roman" pitchFamily="18" charset="0"/>
              <a:cs typeface="Times New Roman" pitchFamily="18" charset="0"/>
            </a:rPr>
            <a:t> Administrative Support Services </a:t>
          </a:r>
        </a:p>
      </dgm:t>
    </dgm:pt>
    <dgm:pt modelId="{3AC138E9-0D4D-4024-A732-8BEDB765F6F4}" type="parTrans" cxnId="{3FE15B51-E08E-4FF3-B1F7-726C087BFB47}">
      <dgm:prSet/>
      <dgm:spPr/>
      <dgm:t>
        <a:bodyPr/>
        <a:lstStyle/>
        <a:p>
          <a:endParaRPr lang="en-US"/>
        </a:p>
      </dgm:t>
    </dgm:pt>
    <dgm:pt modelId="{04AE33A7-48D5-4BA4-9929-122C88CD4C1A}" type="sibTrans" cxnId="{3FE15B51-E08E-4FF3-B1F7-726C087BFB47}">
      <dgm:prSet/>
      <dgm:spPr/>
      <dgm:t>
        <a:bodyPr/>
        <a:lstStyle/>
        <a:p>
          <a:endParaRPr lang="en-US"/>
        </a:p>
      </dgm:t>
    </dgm:pt>
    <dgm:pt modelId="{D614B136-E2D3-44E5-92C2-438E4A6D1FBB}">
      <dgm:prSet custT="1"/>
      <dgm:spPr/>
      <dgm:t>
        <a:bodyPr/>
        <a:lstStyle/>
        <a:p>
          <a:r>
            <a:rPr lang="en-US" sz="700" dirty="0" smtClean="0">
              <a:latin typeface="Times New Roman" pitchFamily="18" charset="0"/>
              <a:cs typeface="Times New Roman" pitchFamily="18" charset="0"/>
            </a:rPr>
            <a:t>Support Services Coordinator</a:t>
          </a:r>
        </a:p>
      </dgm:t>
    </dgm:pt>
    <dgm:pt modelId="{2697F846-0E44-4531-95CB-B0D353EE4C40}" type="parTrans" cxnId="{5965E9B4-D5F8-4F98-8279-9AD9D4462BAE}">
      <dgm:prSet/>
      <dgm:spPr/>
      <dgm:t>
        <a:bodyPr/>
        <a:lstStyle/>
        <a:p>
          <a:endParaRPr lang="en-US"/>
        </a:p>
      </dgm:t>
    </dgm:pt>
    <dgm:pt modelId="{F99DE848-510C-4977-B84A-B7F57B85C84D}" type="sibTrans" cxnId="{5965E9B4-D5F8-4F98-8279-9AD9D4462BAE}">
      <dgm:prSet/>
      <dgm:spPr/>
      <dgm:t>
        <a:bodyPr/>
        <a:lstStyle/>
        <a:p>
          <a:endParaRPr lang="en-US"/>
        </a:p>
      </dgm:t>
    </dgm:pt>
    <dgm:pt modelId="{4DCC126F-3C68-4735-8C4C-ECD7E43D4461}">
      <dgm:prSet custT="1"/>
      <dgm:spPr/>
      <dgm:t>
        <a:bodyPr/>
        <a:lstStyle/>
        <a:p>
          <a:r>
            <a:rPr lang="en-US" sz="700" dirty="0" smtClean="0">
              <a:latin typeface="Times New Roman" pitchFamily="18" charset="0"/>
              <a:cs typeface="Times New Roman" pitchFamily="18" charset="0"/>
            </a:rPr>
            <a:t>Administrative Coordinator</a:t>
          </a:r>
        </a:p>
      </dgm:t>
    </dgm:pt>
    <dgm:pt modelId="{EC1C6F25-FE42-49CD-A7AA-C8C33A2ADF39}" type="parTrans" cxnId="{034BF0B4-CE81-4C9F-B648-3F7AAD0FD954}">
      <dgm:prSet/>
      <dgm:spPr/>
      <dgm:t>
        <a:bodyPr/>
        <a:lstStyle/>
        <a:p>
          <a:endParaRPr lang="en-US"/>
        </a:p>
      </dgm:t>
    </dgm:pt>
    <dgm:pt modelId="{FE2E04B6-07BD-4543-85DE-4AF3653F4814}" type="sibTrans" cxnId="{034BF0B4-CE81-4C9F-B648-3F7AAD0FD954}">
      <dgm:prSet/>
      <dgm:spPr/>
      <dgm:t>
        <a:bodyPr/>
        <a:lstStyle/>
        <a:p>
          <a:endParaRPr lang="en-US"/>
        </a:p>
      </dgm:t>
    </dgm:pt>
    <dgm:pt modelId="{3CC42443-3EF8-480A-9916-7849F3DD0EF8}">
      <dgm:prSet phldrT="[Text]" custT="1"/>
      <dgm:spPr/>
      <dgm:t>
        <a:bodyPr/>
        <a:lstStyle/>
        <a:p>
          <a:r>
            <a:rPr lang="en-US" sz="700" dirty="0" smtClean="0">
              <a:latin typeface="Times New Roman" pitchFamily="18" charset="0"/>
              <a:cs typeface="Times New Roman" pitchFamily="18" charset="0"/>
            </a:rPr>
            <a:t>Deputy Executive Director Office of Operations </a:t>
          </a:r>
        </a:p>
      </dgm:t>
    </dgm:pt>
    <dgm:pt modelId="{73817471-4072-4E21-A62D-5D67E169508C}" type="sibTrans" cxnId="{5A0C2088-E994-435E-8ED4-0FB4DA5C5321}">
      <dgm:prSet/>
      <dgm:spPr/>
      <dgm:t>
        <a:bodyPr/>
        <a:lstStyle/>
        <a:p>
          <a:endParaRPr lang="en-US"/>
        </a:p>
      </dgm:t>
    </dgm:pt>
    <dgm:pt modelId="{9CACC52C-43FE-40B7-9761-C060AC894796}" type="parTrans" cxnId="{5A0C2088-E994-435E-8ED4-0FB4DA5C5321}">
      <dgm:prSet/>
      <dgm:spPr/>
      <dgm:t>
        <a:bodyPr/>
        <a:lstStyle/>
        <a:p>
          <a:endParaRPr lang="en-US" baseline="0">
            <a:solidFill>
              <a:schemeClr val="tx1"/>
            </a:solidFill>
          </a:endParaRPr>
        </a:p>
      </dgm:t>
    </dgm:pt>
    <dgm:pt modelId="{C249528A-F01A-41EF-81EE-C4D72221ED22}">
      <dgm:prSet phldrT="[Text]" custT="1"/>
      <dgm:spPr/>
      <dgm:t>
        <a:bodyPr/>
        <a:lstStyle/>
        <a:p>
          <a:r>
            <a:rPr lang="en-US" sz="700" dirty="0" smtClean="0">
              <a:latin typeface="Times New Roman" pitchFamily="18" charset="0"/>
              <a:cs typeface="Times New Roman" pitchFamily="18" charset="0"/>
            </a:rPr>
            <a:t>Deputy Executive Director Office of Programs </a:t>
          </a:r>
        </a:p>
      </dgm:t>
    </dgm:pt>
    <dgm:pt modelId="{7CF2C555-9422-4996-A420-D8FD77EEBEAC}" type="parTrans" cxnId="{AE7709A7-21DE-4D80-B26C-8F2AB7B4EB95}">
      <dgm:prSet/>
      <dgm:spPr/>
      <dgm:t>
        <a:bodyPr/>
        <a:lstStyle/>
        <a:p>
          <a:endParaRPr lang="en-US"/>
        </a:p>
      </dgm:t>
    </dgm:pt>
    <dgm:pt modelId="{55085E5B-5C3C-449B-B04B-861A28A6D95D}" type="sibTrans" cxnId="{AE7709A7-21DE-4D80-B26C-8F2AB7B4EB95}">
      <dgm:prSet/>
      <dgm:spPr/>
      <dgm:t>
        <a:bodyPr/>
        <a:lstStyle/>
        <a:p>
          <a:endParaRPr lang="en-US"/>
        </a:p>
      </dgm:t>
    </dgm:pt>
    <dgm:pt modelId="{6BC80603-1EE5-4B02-8275-1C1DF5325D1C}">
      <dgm:prSet custT="1"/>
      <dgm:spPr/>
      <dgm:t>
        <a:bodyPr/>
        <a:lstStyle/>
        <a:p>
          <a:r>
            <a:rPr lang="en-US" sz="700" dirty="0" smtClean="0">
              <a:latin typeface="Times New Roman" pitchFamily="18" charset="0"/>
              <a:cs typeface="Times New Roman" pitchFamily="18" charset="0"/>
            </a:rPr>
            <a:t>Director </a:t>
          </a:r>
        </a:p>
        <a:p>
          <a:r>
            <a:rPr lang="en-US" sz="700" dirty="0" smtClean="0">
              <a:latin typeface="Times New Roman" pitchFamily="18" charset="0"/>
              <a:cs typeface="Times New Roman" pitchFamily="18" charset="0"/>
            </a:rPr>
            <a:t>Quality Control</a:t>
          </a:r>
        </a:p>
      </dgm:t>
    </dgm:pt>
    <dgm:pt modelId="{261F7A5F-4D60-4EFC-A598-8D427887B1C6}" type="parTrans" cxnId="{27F3FA36-443F-4B0C-A5D6-4F99F55B345C}">
      <dgm:prSet/>
      <dgm:spPr/>
      <dgm:t>
        <a:bodyPr/>
        <a:lstStyle/>
        <a:p>
          <a:endParaRPr lang="en-US"/>
        </a:p>
      </dgm:t>
    </dgm:pt>
    <dgm:pt modelId="{DE520805-B8C1-4D91-BDAE-32F053287EF9}" type="sibTrans" cxnId="{27F3FA36-443F-4B0C-A5D6-4F99F55B345C}">
      <dgm:prSet/>
      <dgm:spPr/>
      <dgm:t>
        <a:bodyPr/>
        <a:lstStyle/>
        <a:p>
          <a:endParaRPr lang="en-US"/>
        </a:p>
      </dgm:t>
    </dgm:pt>
    <dgm:pt modelId="{83DB32A2-37C1-4873-B9B3-12D561DABCD4}">
      <dgm:prSet custT="1"/>
      <dgm:spPr/>
      <dgm:t>
        <a:bodyPr/>
        <a:lstStyle/>
        <a:p>
          <a:r>
            <a:rPr lang="en-US" sz="700" baseline="0" dirty="0" smtClean="0">
              <a:latin typeface="Times New Roman" pitchFamily="18" charset="0"/>
            </a:rPr>
            <a:t>Director</a:t>
          </a:r>
        </a:p>
        <a:p>
          <a:r>
            <a:rPr lang="en-US" sz="700" baseline="0" dirty="0" smtClean="0">
              <a:latin typeface="Times New Roman" pitchFamily="18" charset="0"/>
            </a:rPr>
            <a:t>Refugees &amp; Asylees</a:t>
          </a:r>
        </a:p>
        <a:p>
          <a:r>
            <a:rPr lang="en-US" sz="700" baseline="0" dirty="0" err="1" smtClean="0">
              <a:latin typeface="Times New Roman" pitchFamily="18" charset="0"/>
            </a:rPr>
            <a:t>Augustin</a:t>
          </a:r>
          <a:r>
            <a:rPr lang="en-US" sz="700" baseline="0" dirty="0" smtClean="0">
              <a:latin typeface="Times New Roman" pitchFamily="18" charset="0"/>
            </a:rPr>
            <a:t> </a:t>
          </a:r>
          <a:r>
            <a:rPr lang="en-US" sz="700" baseline="0" dirty="0" err="1" smtClean="0">
              <a:latin typeface="Times New Roman" pitchFamily="18" charset="0"/>
            </a:rPr>
            <a:t>Ntabaganyimana</a:t>
          </a:r>
          <a:endParaRPr lang="en-US" sz="700" baseline="0" dirty="0">
            <a:latin typeface="Times New Roman" pitchFamily="18" charset="0"/>
          </a:endParaRPr>
        </a:p>
      </dgm:t>
    </dgm:pt>
    <dgm:pt modelId="{42A03D16-6BC8-40A3-883C-890AF53B95CE}" type="sibTrans" cxnId="{33522A3B-CBF0-471B-ABD7-17B633797F68}">
      <dgm:prSet/>
      <dgm:spPr/>
      <dgm:t>
        <a:bodyPr/>
        <a:lstStyle/>
        <a:p>
          <a:endParaRPr lang="en-US"/>
        </a:p>
      </dgm:t>
    </dgm:pt>
    <dgm:pt modelId="{05C36210-BEBD-4EC9-B57B-130584ED8FEB}" type="parTrans" cxnId="{33522A3B-CBF0-471B-ABD7-17B633797F68}">
      <dgm:prSet/>
      <dgm:spPr/>
      <dgm:t>
        <a:bodyPr/>
        <a:lstStyle/>
        <a:p>
          <a:endParaRPr lang="en-US"/>
        </a:p>
      </dgm:t>
    </dgm:pt>
    <dgm:pt modelId="{1341319E-B731-4E22-BE48-D5A04F8DBB0F}">
      <dgm:prSet custT="1"/>
      <dgm:spPr/>
      <dgm:t>
        <a:bodyPr/>
        <a:lstStyle/>
        <a:p>
          <a:r>
            <a:rPr lang="en-US" sz="700" dirty="0" smtClean="0">
              <a:latin typeface="Times New Roman" pitchFamily="18" charset="0"/>
              <a:cs typeface="Times New Roman" pitchFamily="18" charset="0"/>
            </a:rPr>
            <a:t>Director </a:t>
          </a:r>
        </a:p>
        <a:p>
          <a:r>
            <a:rPr lang="en-US" sz="700" dirty="0" smtClean="0">
              <a:latin typeface="Times New Roman" pitchFamily="18" charset="0"/>
              <a:cs typeface="Times New Roman" pitchFamily="18" charset="0"/>
            </a:rPr>
            <a:t>Home Energy Programs</a:t>
          </a:r>
        </a:p>
      </dgm:t>
    </dgm:pt>
    <dgm:pt modelId="{E4B0FB72-D18B-46EA-8D5B-F56D8E1593B6}" type="sibTrans" cxnId="{399D0701-A794-4DD8-B2BB-DABDAAFAD49B}">
      <dgm:prSet/>
      <dgm:spPr/>
      <dgm:t>
        <a:bodyPr/>
        <a:lstStyle/>
        <a:p>
          <a:endParaRPr lang="en-US"/>
        </a:p>
      </dgm:t>
    </dgm:pt>
    <dgm:pt modelId="{6D2C77A0-D50F-4834-B98A-C573A982EB7A}" type="parTrans" cxnId="{399D0701-A794-4DD8-B2BB-DABDAAFAD49B}">
      <dgm:prSet/>
      <dgm:spPr/>
      <dgm:t>
        <a:bodyPr/>
        <a:lstStyle/>
        <a:p>
          <a:endParaRPr lang="en-US"/>
        </a:p>
      </dgm:t>
    </dgm:pt>
    <dgm:pt modelId="{6D814EA8-6361-430E-B4DF-37142F9C2614}" type="asst">
      <dgm:prSet phldrT="[Text]" custT="1"/>
      <dgm:spPr/>
      <dgm:t>
        <a:bodyPr/>
        <a:lstStyle/>
        <a:p>
          <a:r>
            <a:rPr lang="en-US" sz="700" dirty="0" smtClean="0">
              <a:latin typeface="Times New Roman" pitchFamily="18" charset="0"/>
              <a:cs typeface="Times New Roman" pitchFamily="18" charset="0"/>
            </a:rPr>
            <a:t>Chief of Staff  </a:t>
          </a:r>
        </a:p>
      </dgm:t>
    </dgm:pt>
    <dgm:pt modelId="{7DF391A0-9343-4F88-A975-D3E6ADA2643A}" type="sibTrans" cxnId="{4C1D1D57-4950-4B9A-BD40-6861F754724C}">
      <dgm:prSet/>
      <dgm:spPr/>
      <dgm:t>
        <a:bodyPr/>
        <a:lstStyle/>
        <a:p>
          <a:endParaRPr lang="en-US"/>
        </a:p>
      </dgm:t>
    </dgm:pt>
    <dgm:pt modelId="{1929C50D-C4D3-40FA-A0B5-C66A3F72E412}" type="parTrans" cxnId="{4C1D1D57-4950-4B9A-BD40-6861F754724C}">
      <dgm:prSet/>
      <dgm:spPr/>
      <dgm:t>
        <a:bodyPr/>
        <a:lstStyle/>
        <a:p>
          <a:endParaRPr lang="en-US"/>
        </a:p>
      </dgm:t>
    </dgm:pt>
    <dgm:pt modelId="{ADFAC1B7-82E0-4DB7-9EB9-47B50B5E810F}" type="asst">
      <dgm:prSet custT="1"/>
      <dgm:spPr/>
      <dgm:t>
        <a:bodyPr/>
        <a:lstStyle/>
        <a:p>
          <a:pPr algn="ctr"/>
          <a:r>
            <a:rPr lang="en-US" sz="700" dirty="0" smtClean="0">
              <a:latin typeface="Times New Roman" pitchFamily="18" charset="0"/>
              <a:cs typeface="Times New Roman" pitchFamily="18" charset="0"/>
            </a:rPr>
            <a:t>Executive Associate</a:t>
          </a:r>
        </a:p>
      </dgm:t>
    </dgm:pt>
    <dgm:pt modelId="{661591F8-D48C-415B-9459-4B835347105B}" type="sibTrans" cxnId="{6303E8D5-C2D6-4D9E-884D-723FAE80FF36}">
      <dgm:prSet/>
      <dgm:spPr/>
      <dgm:t>
        <a:bodyPr/>
        <a:lstStyle/>
        <a:p>
          <a:endParaRPr lang="en-US"/>
        </a:p>
      </dgm:t>
    </dgm:pt>
    <dgm:pt modelId="{2EA4F96F-A959-41B7-AA23-43380FC48D6E}" type="parTrans" cxnId="{6303E8D5-C2D6-4D9E-884D-723FAE80FF36}">
      <dgm:prSet/>
      <dgm:spPr/>
      <dgm:t>
        <a:bodyPr/>
        <a:lstStyle/>
        <a:p>
          <a:endParaRPr lang="en-US"/>
        </a:p>
      </dgm:t>
    </dgm:pt>
    <dgm:pt modelId="{EC45092D-A7EB-4921-A2AD-27AF8587A845}" type="asst">
      <dgm:prSet custT="1"/>
      <dgm:spPr/>
      <dgm:t>
        <a:bodyPr/>
        <a:lstStyle/>
        <a:p>
          <a:r>
            <a:rPr lang="en-US" sz="700" dirty="0" smtClean="0">
              <a:latin typeface="Times New Roman" pitchFamily="18" charset="0"/>
              <a:cs typeface="Times New Roman" pitchFamily="18" charset="0"/>
            </a:rPr>
            <a:t>Executive Assistant</a:t>
          </a:r>
        </a:p>
      </dgm:t>
    </dgm:pt>
    <dgm:pt modelId="{EE1496B4-E2DC-4887-93BD-C8FB447F97DE}" type="sibTrans" cxnId="{520E54C0-25FB-461B-995B-E047C6025765}">
      <dgm:prSet/>
      <dgm:spPr/>
      <dgm:t>
        <a:bodyPr/>
        <a:lstStyle/>
        <a:p>
          <a:endParaRPr lang="en-US"/>
        </a:p>
      </dgm:t>
    </dgm:pt>
    <dgm:pt modelId="{F5177A32-D471-48FD-83A4-045C76DEB96E}" type="parTrans" cxnId="{520E54C0-25FB-461B-995B-E047C6025765}">
      <dgm:prSet/>
      <dgm:spPr>
        <a:ln>
          <a:noFill/>
        </a:ln>
      </dgm:spPr>
      <dgm:t>
        <a:bodyPr/>
        <a:lstStyle/>
        <a:p>
          <a:endParaRPr lang="en-US"/>
        </a:p>
      </dgm:t>
    </dgm:pt>
    <dgm:pt modelId="{35A01541-32C8-48B5-AAC4-6BFED666FCF7}">
      <dgm:prSet/>
      <dgm:spPr/>
      <dgm:t>
        <a:bodyPr/>
        <a:lstStyle/>
        <a:p>
          <a:r>
            <a:rPr lang="en-US" dirty="0" smtClean="0">
              <a:latin typeface="Times New Roman" pitchFamily="18" charset="0"/>
              <a:cs typeface="Times New Roman" pitchFamily="18" charset="0"/>
            </a:rPr>
            <a:t>Administrative Assistant *</a:t>
          </a:r>
        </a:p>
      </dgm:t>
    </dgm:pt>
    <dgm:pt modelId="{9CFB42B3-8C35-4DD7-A13E-1E0CB856C444}" type="parTrans" cxnId="{266EA2C6-F9AE-40B7-9377-9A7242509A0E}">
      <dgm:prSet/>
      <dgm:spPr/>
      <dgm:t>
        <a:bodyPr/>
        <a:lstStyle/>
        <a:p>
          <a:endParaRPr lang="en-US"/>
        </a:p>
      </dgm:t>
    </dgm:pt>
    <dgm:pt modelId="{A73C2A64-1062-4D65-AD1C-08FF3C58D2BA}" type="sibTrans" cxnId="{266EA2C6-F9AE-40B7-9377-9A7242509A0E}">
      <dgm:prSet/>
      <dgm:spPr/>
      <dgm:t>
        <a:bodyPr/>
        <a:lstStyle/>
        <a:p>
          <a:endParaRPr lang="en-US"/>
        </a:p>
      </dgm:t>
    </dgm:pt>
    <dgm:pt modelId="{ADE9EE33-CE73-49D7-B761-258767A71AA6}">
      <dgm:prSet custT="1"/>
      <dgm:spPr/>
      <dgm:t>
        <a:bodyPr/>
        <a:lstStyle/>
        <a:p>
          <a:r>
            <a:rPr lang="en-US" sz="700" dirty="0" smtClean="0">
              <a:latin typeface="Times New Roman" pitchFamily="18" charset="0"/>
              <a:cs typeface="Times New Roman" pitchFamily="18" charset="0"/>
            </a:rPr>
            <a:t>Director </a:t>
          </a:r>
        </a:p>
        <a:p>
          <a:r>
            <a:rPr lang="en-US" sz="700" dirty="0" smtClean="0">
              <a:latin typeface="Times New Roman" pitchFamily="18" charset="0"/>
              <a:cs typeface="Times New Roman" pitchFamily="18" charset="0"/>
            </a:rPr>
            <a:t>Program Evaluation</a:t>
          </a:r>
        </a:p>
        <a:p>
          <a:r>
            <a:rPr lang="en-US" sz="700" dirty="0" smtClean="0">
              <a:latin typeface="Times New Roman" pitchFamily="18" charset="0"/>
              <a:cs typeface="Times New Roman" pitchFamily="18" charset="0"/>
            </a:rPr>
            <a:t>Vacant</a:t>
          </a:r>
          <a:endParaRPr lang="en-US" sz="700" dirty="0">
            <a:latin typeface="Times New Roman" pitchFamily="18" charset="0"/>
            <a:cs typeface="Times New Roman" pitchFamily="18" charset="0"/>
          </a:endParaRPr>
        </a:p>
      </dgm:t>
    </dgm:pt>
    <dgm:pt modelId="{C0E14160-67A6-49AA-93B7-82218A104F2C}" type="parTrans" cxnId="{BCCCAB82-292C-441F-9B55-DDAF2EC0CDF3}">
      <dgm:prSet/>
      <dgm:spPr/>
      <dgm:t>
        <a:bodyPr/>
        <a:lstStyle/>
        <a:p>
          <a:endParaRPr lang="en-US"/>
        </a:p>
      </dgm:t>
    </dgm:pt>
    <dgm:pt modelId="{0B98D81F-9C31-4B2D-A149-812657B8BBEF}" type="sibTrans" cxnId="{BCCCAB82-292C-441F-9B55-DDAF2EC0CDF3}">
      <dgm:prSet/>
      <dgm:spPr/>
      <dgm:t>
        <a:bodyPr/>
        <a:lstStyle/>
        <a:p>
          <a:endParaRPr lang="en-US"/>
        </a:p>
      </dgm:t>
    </dgm:pt>
    <dgm:pt modelId="{68CE9381-7FED-442C-8732-15D838B49A8B}">
      <dgm:prSet/>
      <dgm:spPr/>
      <dgm:t>
        <a:bodyPr/>
        <a:lstStyle/>
        <a:p>
          <a:r>
            <a:rPr lang="en-US" dirty="0" smtClean="0">
              <a:latin typeface="Times New Roman" pitchFamily="18" charset="0"/>
              <a:cs typeface="Times New Roman" pitchFamily="18" charset="0"/>
            </a:rPr>
            <a:t>Director </a:t>
          </a:r>
        </a:p>
        <a:p>
          <a:r>
            <a:rPr lang="en-US" dirty="0" smtClean="0">
              <a:latin typeface="Times New Roman" pitchFamily="18" charset="0"/>
              <a:cs typeface="Times New Roman" pitchFamily="18" charset="0"/>
            </a:rPr>
            <a:t>Local Operations</a:t>
          </a:r>
        </a:p>
        <a:p>
          <a:endParaRPr lang="en-US" dirty="0">
            <a:latin typeface="Times New Roman" pitchFamily="18" charset="0"/>
            <a:cs typeface="Times New Roman" pitchFamily="18" charset="0"/>
          </a:endParaRPr>
        </a:p>
      </dgm:t>
    </dgm:pt>
    <dgm:pt modelId="{E2B50F71-6956-46B4-991F-A0F27DA17654}" type="parTrans" cxnId="{687C9D1A-D494-4320-A8A3-B2155229E832}">
      <dgm:prSet/>
      <dgm:spPr/>
      <dgm:t>
        <a:bodyPr/>
        <a:lstStyle/>
        <a:p>
          <a:endParaRPr lang="en-US"/>
        </a:p>
      </dgm:t>
    </dgm:pt>
    <dgm:pt modelId="{916DEF4E-2087-42A3-A556-8C15B8E5A475}" type="sibTrans" cxnId="{687C9D1A-D494-4320-A8A3-B2155229E832}">
      <dgm:prSet/>
      <dgm:spPr/>
      <dgm:t>
        <a:bodyPr/>
        <a:lstStyle/>
        <a:p>
          <a:endParaRPr lang="en-US"/>
        </a:p>
      </dgm:t>
    </dgm:pt>
    <dgm:pt modelId="{71A2872D-D059-4282-91EB-03C712544A91}">
      <dgm:prSet/>
      <dgm:spPr/>
      <dgm:t>
        <a:bodyPr/>
        <a:lstStyle/>
        <a:p>
          <a:r>
            <a:rPr lang="en-US" dirty="0" smtClean="0">
              <a:latin typeface="Times New Roman" pitchFamily="18" charset="0"/>
              <a:cs typeface="Times New Roman" pitchFamily="18" charset="0"/>
            </a:rPr>
            <a:t>Acting Director </a:t>
          </a:r>
        </a:p>
        <a:p>
          <a:r>
            <a:rPr lang="en-US" dirty="0" smtClean="0">
              <a:latin typeface="Times New Roman" pitchFamily="18" charset="0"/>
              <a:cs typeface="Times New Roman" pitchFamily="18" charset="0"/>
            </a:rPr>
            <a:t>Long Term Care</a:t>
          </a:r>
        </a:p>
      </dgm:t>
    </dgm:pt>
    <dgm:pt modelId="{AED88A9B-8717-47C3-8FA4-E2E4EA8846CA}" type="parTrans" cxnId="{A404464E-CDEF-4065-ADA2-8BD3826D2A87}">
      <dgm:prSet/>
      <dgm:spPr/>
      <dgm:t>
        <a:bodyPr/>
        <a:lstStyle/>
        <a:p>
          <a:endParaRPr lang="en-US"/>
        </a:p>
      </dgm:t>
    </dgm:pt>
    <dgm:pt modelId="{AB58BA30-4001-4ECB-B87C-0A5CB8A39CAB}" type="sibTrans" cxnId="{A404464E-CDEF-4065-ADA2-8BD3826D2A87}">
      <dgm:prSet/>
      <dgm:spPr/>
      <dgm:t>
        <a:bodyPr/>
        <a:lstStyle/>
        <a:p>
          <a:endParaRPr lang="en-US"/>
        </a:p>
      </dgm:t>
    </dgm:pt>
    <dgm:pt modelId="{1BA4553A-FE9A-4039-80CB-ED7FC6CF6E34}">
      <dgm:prSet/>
      <dgm:spPr/>
      <dgm:t>
        <a:bodyPr/>
        <a:lstStyle/>
        <a:p>
          <a:r>
            <a:rPr lang="en-US" dirty="0" smtClean="0">
              <a:latin typeface="Times New Roman" pitchFamily="18" charset="0"/>
              <a:cs typeface="Times New Roman" pitchFamily="18" charset="0"/>
            </a:rPr>
            <a:t>Director </a:t>
          </a:r>
        </a:p>
        <a:p>
          <a:r>
            <a:rPr lang="en-US" dirty="0" smtClean="0">
              <a:latin typeface="Times New Roman" pitchFamily="18" charset="0"/>
              <a:cs typeface="Times New Roman" pitchFamily="18" charset="0"/>
            </a:rPr>
            <a:t>Information Analysis</a:t>
          </a:r>
        </a:p>
      </dgm:t>
    </dgm:pt>
    <dgm:pt modelId="{2DB4690D-474D-4464-A37E-C42E7D55A778}" type="parTrans" cxnId="{BABE4D9D-6981-4667-8A40-2C5F6FC7EF7D}">
      <dgm:prSet/>
      <dgm:spPr/>
      <dgm:t>
        <a:bodyPr/>
        <a:lstStyle/>
        <a:p>
          <a:endParaRPr lang="en-US"/>
        </a:p>
      </dgm:t>
    </dgm:pt>
    <dgm:pt modelId="{893AAAC9-6AF7-4473-9CB9-21F4C7CBA9D2}" type="sibTrans" cxnId="{BABE4D9D-6981-4667-8A40-2C5F6FC7EF7D}">
      <dgm:prSet/>
      <dgm:spPr/>
      <dgm:t>
        <a:bodyPr/>
        <a:lstStyle/>
        <a:p>
          <a:endParaRPr lang="en-US"/>
        </a:p>
      </dgm:t>
    </dgm:pt>
    <dgm:pt modelId="{FC9600A0-4EC3-4D6D-83BA-55928A45DD08}">
      <dgm:prSet/>
      <dgm:spPr/>
      <dgm:t>
        <a:bodyPr/>
        <a:lstStyle/>
        <a:p>
          <a:r>
            <a:rPr lang="en-US" dirty="0" smtClean="0">
              <a:latin typeface="Times New Roman" pitchFamily="18" charset="0"/>
              <a:cs typeface="Times New Roman" pitchFamily="18" charset="0"/>
            </a:rPr>
            <a:t>Director </a:t>
          </a:r>
        </a:p>
        <a:p>
          <a:r>
            <a:rPr lang="en-US" dirty="0" smtClean="0">
              <a:latin typeface="Times New Roman" pitchFamily="18" charset="0"/>
              <a:cs typeface="Times New Roman" pitchFamily="18" charset="0"/>
            </a:rPr>
            <a:t>Disability Services </a:t>
          </a:r>
        </a:p>
      </dgm:t>
    </dgm:pt>
    <dgm:pt modelId="{3A34F4A1-22A6-4B76-BF84-5CC547B12EE7}" type="parTrans" cxnId="{98985B62-CDF8-44CB-B73B-C803823F74FD}">
      <dgm:prSet/>
      <dgm:spPr/>
      <dgm:t>
        <a:bodyPr/>
        <a:lstStyle/>
        <a:p>
          <a:endParaRPr lang="en-US"/>
        </a:p>
      </dgm:t>
    </dgm:pt>
    <dgm:pt modelId="{497ED50F-4A8F-46F0-8CF9-222E3B70A1F2}" type="sibTrans" cxnId="{98985B62-CDF8-44CB-B73B-C803823F74FD}">
      <dgm:prSet/>
      <dgm:spPr/>
      <dgm:t>
        <a:bodyPr/>
        <a:lstStyle/>
        <a:p>
          <a:endParaRPr lang="en-US"/>
        </a:p>
      </dgm:t>
    </dgm:pt>
    <dgm:pt modelId="{5437F013-A2AA-43A5-B2A6-559503424903}">
      <dgm:prSet/>
      <dgm:spPr/>
      <dgm:t>
        <a:bodyPr/>
        <a:lstStyle/>
        <a:p>
          <a:r>
            <a:rPr lang="en-US" dirty="0" smtClean="0">
              <a:latin typeface="Times New Roman" pitchFamily="18" charset="0"/>
              <a:cs typeface="Times New Roman" pitchFamily="18" charset="0"/>
            </a:rPr>
            <a:t>FIA Operations Administrator</a:t>
          </a:r>
        </a:p>
      </dgm:t>
    </dgm:pt>
    <dgm:pt modelId="{3A9680A1-0376-4A59-BB63-EEDBA65FB240}" type="parTrans" cxnId="{150BC7CB-4694-4717-9EA3-AAFCDD046CCA}">
      <dgm:prSet/>
      <dgm:spPr/>
      <dgm:t>
        <a:bodyPr/>
        <a:lstStyle/>
        <a:p>
          <a:endParaRPr lang="en-US"/>
        </a:p>
      </dgm:t>
    </dgm:pt>
    <dgm:pt modelId="{D7B7E9F3-6C9A-45F2-B453-4358B37E24B9}" type="sibTrans" cxnId="{150BC7CB-4694-4717-9EA3-AAFCDD046CCA}">
      <dgm:prSet/>
      <dgm:spPr/>
      <dgm:t>
        <a:bodyPr/>
        <a:lstStyle/>
        <a:p>
          <a:endParaRPr lang="en-US"/>
        </a:p>
      </dgm:t>
    </dgm:pt>
    <dgm:pt modelId="{1BEE69AD-6E46-46A5-99D6-CC3D5EFF37F6}" type="pres">
      <dgm:prSet presAssocID="{AFC4AED3-8BDD-4AEC-8A15-E18B588B55DD}" presName="hierChild1" presStyleCnt="0">
        <dgm:presLayoutVars>
          <dgm:orgChart val="1"/>
          <dgm:chPref val="1"/>
          <dgm:dir/>
          <dgm:animOne val="branch"/>
          <dgm:animLvl val="lvl"/>
          <dgm:resizeHandles/>
        </dgm:presLayoutVars>
      </dgm:prSet>
      <dgm:spPr/>
      <dgm:t>
        <a:bodyPr/>
        <a:lstStyle/>
        <a:p>
          <a:endParaRPr lang="en-US"/>
        </a:p>
      </dgm:t>
    </dgm:pt>
    <dgm:pt modelId="{0E677A9B-9042-43F2-95A1-EFDD2218DAE4}" type="pres">
      <dgm:prSet presAssocID="{AB0B32E1-A3E7-4A88-A2DF-F1DFBAC1F346}" presName="hierRoot1" presStyleCnt="0">
        <dgm:presLayoutVars>
          <dgm:hierBranch val="init"/>
        </dgm:presLayoutVars>
      </dgm:prSet>
      <dgm:spPr/>
      <dgm:t>
        <a:bodyPr/>
        <a:lstStyle/>
        <a:p>
          <a:endParaRPr lang="en-US"/>
        </a:p>
      </dgm:t>
    </dgm:pt>
    <dgm:pt modelId="{3540D910-0FDA-4CF1-A805-01895C15C986}" type="pres">
      <dgm:prSet presAssocID="{AB0B32E1-A3E7-4A88-A2DF-F1DFBAC1F346}" presName="rootComposite1" presStyleCnt="0"/>
      <dgm:spPr/>
      <dgm:t>
        <a:bodyPr/>
        <a:lstStyle/>
        <a:p>
          <a:endParaRPr lang="en-US"/>
        </a:p>
      </dgm:t>
    </dgm:pt>
    <dgm:pt modelId="{31009FF8-0C05-4A49-BC6F-92A78BA587F9}" type="pres">
      <dgm:prSet presAssocID="{AB0B32E1-A3E7-4A88-A2DF-F1DFBAC1F346}" presName="rootText1" presStyleLbl="node0" presStyleIdx="0" presStyleCnt="1" custScaleX="138255" custScaleY="117391" custLinFactNeighborX="2921" custLinFactNeighborY="2774">
        <dgm:presLayoutVars>
          <dgm:chPref val="3"/>
        </dgm:presLayoutVars>
      </dgm:prSet>
      <dgm:spPr/>
      <dgm:t>
        <a:bodyPr/>
        <a:lstStyle/>
        <a:p>
          <a:endParaRPr lang="en-US"/>
        </a:p>
      </dgm:t>
    </dgm:pt>
    <dgm:pt modelId="{F440C5F1-5A11-4831-B3F9-F0E3898083B5}" type="pres">
      <dgm:prSet presAssocID="{AB0B32E1-A3E7-4A88-A2DF-F1DFBAC1F346}" presName="rootConnector1" presStyleLbl="node1" presStyleIdx="0" presStyleCnt="0"/>
      <dgm:spPr/>
      <dgm:t>
        <a:bodyPr/>
        <a:lstStyle/>
        <a:p>
          <a:endParaRPr lang="en-US"/>
        </a:p>
      </dgm:t>
    </dgm:pt>
    <dgm:pt modelId="{B97F9E9C-5D47-4EF9-B725-8D91320FC673}" type="pres">
      <dgm:prSet presAssocID="{AB0B32E1-A3E7-4A88-A2DF-F1DFBAC1F346}" presName="hierChild2" presStyleCnt="0"/>
      <dgm:spPr/>
      <dgm:t>
        <a:bodyPr/>
        <a:lstStyle/>
        <a:p>
          <a:endParaRPr lang="en-US"/>
        </a:p>
      </dgm:t>
    </dgm:pt>
    <dgm:pt modelId="{21F50EBA-1C53-46E0-9F49-A99D4EC3F1EC}" type="pres">
      <dgm:prSet presAssocID="{9CACC52C-43FE-40B7-9761-C060AC894796}" presName="Name37" presStyleLbl="parChTrans1D2" presStyleIdx="0" presStyleCnt="6"/>
      <dgm:spPr/>
      <dgm:t>
        <a:bodyPr/>
        <a:lstStyle/>
        <a:p>
          <a:endParaRPr lang="en-US"/>
        </a:p>
      </dgm:t>
    </dgm:pt>
    <dgm:pt modelId="{6B963DBB-218C-4E37-8708-07F12BC68F10}" type="pres">
      <dgm:prSet presAssocID="{3CC42443-3EF8-480A-9916-7849F3DD0EF8}" presName="hierRoot2" presStyleCnt="0">
        <dgm:presLayoutVars>
          <dgm:hierBranch val="init"/>
        </dgm:presLayoutVars>
      </dgm:prSet>
      <dgm:spPr/>
      <dgm:t>
        <a:bodyPr/>
        <a:lstStyle/>
        <a:p>
          <a:endParaRPr lang="en-US"/>
        </a:p>
      </dgm:t>
    </dgm:pt>
    <dgm:pt modelId="{EC4C5606-FB02-4BDA-9730-A4D2CB806E8C}" type="pres">
      <dgm:prSet presAssocID="{3CC42443-3EF8-480A-9916-7849F3DD0EF8}" presName="rootComposite" presStyleCnt="0"/>
      <dgm:spPr/>
      <dgm:t>
        <a:bodyPr/>
        <a:lstStyle/>
        <a:p>
          <a:endParaRPr lang="en-US"/>
        </a:p>
      </dgm:t>
    </dgm:pt>
    <dgm:pt modelId="{ADEBAA41-207C-4152-84A5-C11074FEAC1D}" type="pres">
      <dgm:prSet presAssocID="{3CC42443-3EF8-480A-9916-7849F3DD0EF8}" presName="rootText" presStyleLbl="node2" presStyleIdx="0" presStyleCnt="4" custScaleX="232491" custScaleY="141314" custLinFactNeighborX="653" custLinFactNeighborY="913">
        <dgm:presLayoutVars>
          <dgm:chPref val="3"/>
        </dgm:presLayoutVars>
      </dgm:prSet>
      <dgm:spPr/>
      <dgm:t>
        <a:bodyPr/>
        <a:lstStyle/>
        <a:p>
          <a:endParaRPr lang="en-US"/>
        </a:p>
      </dgm:t>
    </dgm:pt>
    <dgm:pt modelId="{E9689B1F-237B-441F-909B-1A1F04283E6E}" type="pres">
      <dgm:prSet presAssocID="{3CC42443-3EF8-480A-9916-7849F3DD0EF8}" presName="rootConnector" presStyleLbl="node2" presStyleIdx="0" presStyleCnt="4"/>
      <dgm:spPr/>
      <dgm:t>
        <a:bodyPr/>
        <a:lstStyle/>
        <a:p>
          <a:endParaRPr lang="en-US"/>
        </a:p>
      </dgm:t>
    </dgm:pt>
    <dgm:pt modelId="{7A28498B-1D67-42C7-9064-292B81CFF463}" type="pres">
      <dgm:prSet presAssocID="{3CC42443-3EF8-480A-9916-7849F3DD0EF8}" presName="hierChild4" presStyleCnt="0"/>
      <dgm:spPr/>
      <dgm:t>
        <a:bodyPr/>
        <a:lstStyle/>
        <a:p>
          <a:endParaRPr lang="en-US"/>
        </a:p>
      </dgm:t>
    </dgm:pt>
    <dgm:pt modelId="{987D3B49-0159-436F-A08F-20E030CFC035}" type="pres">
      <dgm:prSet presAssocID="{261F7A5F-4D60-4EFC-A598-8D427887B1C6}" presName="Name37" presStyleLbl="parChTrans1D3" presStyleIdx="0" presStyleCnt="22"/>
      <dgm:spPr/>
      <dgm:t>
        <a:bodyPr/>
        <a:lstStyle/>
        <a:p>
          <a:endParaRPr lang="en-US"/>
        </a:p>
      </dgm:t>
    </dgm:pt>
    <dgm:pt modelId="{F7A64E2C-CD9F-4832-BC9C-776B5CDB48FF}" type="pres">
      <dgm:prSet presAssocID="{6BC80603-1EE5-4B02-8275-1C1DF5325D1C}" presName="hierRoot2" presStyleCnt="0">
        <dgm:presLayoutVars>
          <dgm:hierBranch val="init"/>
        </dgm:presLayoutVars>
      </dgm:prSet>
      <dgm:spPr/>
      <dgm:t>
        <a:bodyPr/>
        <a:lstStyle/>
        <a:p>
          <a:endParaRPr lang="en-US"/>
        </a:p>
      </dgm:t>
    </dgm:pt>
    <dgm:pt modelId="{692BD795-EB87-49D9-AE9D-B9C2FB701F5C}" type="pres">
      <dgm:prSet presAssocID="{6BC80603-1EE5-4B02-8275-1C1DF5325D1C}" presName="rootComposite" presStyleCnt="0"/>
      <dgm:spPr/>
      <dgm:t>
        <a:bodyPr/>
        <a:lstStyle/>
        <a:p>
          <a:endParaRPr lang="en-US"/>
        </a:p>
      </dgm:t>
    </dgm:pt>
    <dgm:pt modelId="{EC8AAAE7-29CA-4283-A91A-0C91DFC76FA0}" type="pres">
      <dgm:prSet presAssocID="{6BC80603-1EE5-4B02-8275-1C1DF5325D1C}" presName="rootText" presStyleLbl="node3" presStyleIdx="0" presStyleCnt="21" custScaleX="140645" custScaleY="115300">
        <dgm:presLayoutVars>
          <dgm:chPref val="3"/>
        </dgm:presLayoutVars>
      </dgm:prSet>
      <dgm:spPr/>
      <dgm:t>
        <a:bodyPr/>
        <a:lstStyle/>
        <a:p>
          <a:endParaRPr lang="en-US"/>
        </a:p>
      </dgm:t>
    </dgm:pt>
    <dgm:pt modelId="{DDED6EA6-8445-4BD9-BC3F-BC9011420012}" type="pres">
      <dgm:prSet presAssocID="{6BC80603-1EE5-4B02-8275-1C1DF5325D1C}" presName="rootConnector" presStyleLbl="node3" presStyleIdx="0" presStyleCnt="21"/>
      <dgm:spPr/>
      <dgm:t>
        <a:bodyPr/>
        <a:lstStyle/>
        <a:p>
          <a:endParaRPr lang="en-US"/>
        </a:p>
      </dgm:t>
    </dgm:pt>
    <dgm:pt modelId="{2536903C-73F3-45CE-A9E7-1DB71EE02BC0}" type="pres">
      <dgm:prSet presAssocID="{6BC80603-1EE5-4B02-8275-1C1DF5325D1C}" presName="hierChild4" presStyleCnt="0"/>
      <dgm:spPr/>
      <dgm:t>
        <a:bodyPr/>
        <a:lstStyle/>
        <a:p>
          <a:endParaRPr lang="en-US"/>
        </a:p>
      </dgm:t>
    </dgm:pt>
    <dgm:pt modelId="{EC267012-53C3-496B-B639-23E7C67828A9}" type="pres">
      <dgm:prSet presAssocID="{6BC80603-1EE5-4B02-8275-1C1DF5325D1C}" presName="hierChild5" presStyleCnt="0"/>
      <dgm:spPr/>
      <dgm:t>
        <a:bodyPr/>
        <a:lstStyle/>
        <a:p>
          <a:endParaRPr lang="en-US"/>
        </a:p>
      </dgm:t>
    </dgm:pt>
    <dgm:pt modelId="{260B75CB-D598-4770-A323-C652F3A46CD3}" type="pres">
      <dgm:prSet presAssocID="{C0E14160-67A6-49AA-93B7-82218A104F2C}" presName="Name37" presStyleLbl="parChTrans1D3" presStyleIdx="1" presStyleCnt="22"/>
      <dgm:spPr/>
      <dgm:t>
        <a:bodyPr/>
        <a:lstStyle/>
        <a:p>
          <a:endParaRPr lang="en-US"/>
        </a:p>
      </dgm:t>
    </dgm:pt>
    <dgm:pt modelId="{75A5F210-3B18-480B-9C9A-D0D32EB45B46}" type="pres">
      <dgm:prSet presAssocID="{ADE9EE33-CE73-49D7-B761-258767A71AA6}" presName="hierRoot2" presStyleCnt="0">
        <dgm:presLayoutVars>
          <dgm:hierBranch val="init"/>
        </dgm:presLayoutVars>
      </dgm:prSet>
      <dgm:spPr/>
      <dgm:t>
        <a:bodyPr/>
        <a:lstStyle/>
        <a:p>
          <a:endParaRPr lang="en-US"/>
        </a:p>
      </dgm:t>
    </dgm:pt>
    <dgm:pt modelId="{758F5D1D-9460-4DF2-B0AF-107AF25E8A29}" type="pres">
      <dgm:prSet presAssocID="{ADE9EE33-CE73-49D7-B761-258767A71AA6}" presName="rootComposite" presStyleCnt="0"/>
      <dgm:spPr/>
      <dgm:t>
        <a:bodyPr/>
        <a:lstStyle/>
        <a:p>
          <a:endParaRPr lang="en-US"/>
        </a:p>
      </dgm:t>
    </dgm:pt>
    <dgm:pt modelId="{3AFA3D3C-A430-4838-9BF4-9EBC42BC4292}" type="pres">
      <dgm:prSet presAssocID="{ADE9EE33-CE73-49D7-B761-258767A71AA6}" presName="rootText" presStyleLbl="node3" presStyleIdx="1" presStyleCnt="21" custScaleX="143884">
        <dgm:presLayoutVars>
          <dgm:chPref val="3"/>
        </dgm:presLayoutVars>
      </dgm:prSet>
      <dgm:spPr/>
      <dgm:t>
        <a:bodyPr/>
        <a:lstStyle/>
        <a:p>
          <a:endParaRPr lang="en-US"/>
        </a:p>
      </dgm:t>
    </dgm:pt>
    <dgm:pt modelId="{3D3A3999-E4C5-4C1C-9E4F-E78AF8063C3D}" type="pres">
      <dgm:prSet presAssocID="{ADE9EE33-CE73-49D7-B761-258767A71AA6}" presName="rootConnector" presStyleLbl="node3" presStyleIdx="1" presStyleCnt="21"/>
      <dgm:spPr/>
      <dgm:t>
        <a:bodyPr/>
        <a:lstStyle/>
        <a:p>
          <a:endParaRPr lang="en-US"/>
        </a:p>
      </dgm:t>
    </dgm:pt>
    <dgm:pt modelId="{D4FF901A-24FC-49A1-A5F2-6C6034FABE56}" type="pres">
      <dgm:prSet presAssocID="{ADE9EE33-CE73-49D7-B761-258767A71AA6}" presName="hierChild4" presStyleCnt="0"/>
      <dgm:spPr/>
      <dgm:t>
        <a:bodyPr/>
        <a:lstStyle/>
        <a:p>
          <a:endParaRPr lang="en-US"/>
        </a:p>
      </dgm:t>
    </dgm:pt>
    <dgm:pt modelId="{5621E5D6-803B-46F8-8224-47686BA598AD}" type="pres">
      <dgm:prSet presAssocID="{ADE9EE33-CE73-49D7-B761-258767A71AA6}" presName="hierChild5" presStyleCnt="0"/>
      <dgm:spPr/>
      <dgm:t>
        <a:bodyPr/>
        <a:lstStyle/>
        <a:p>
          <a:endParaRPr lang="en-US"/>
        </a:p>
      </dgm:t>
    </dgm:pt>
    <dgm:pt modelId="{1766DF36-D073-405E-BBAD-23C78B66A532}" type="pres">
      <dgm:prSet presAssocID="{E2B50F71-6956-46B4-991F-A0F27DA17654}" presName="Name37" presStyleLbl="parChTrans1D3" presStyleIdx="2" presStyleCnt="22"/>
      <dgm:spPr/>
      <dgm:t>
        <a:bodyPr/>
        <a:lstStyle/>
        <a:p>
          <a:endParaRPr lang="en-US"/>
        </a:p>
      </dgm:t>
    </dgm:pt>
    <dgm:pt modelId="{B3C4D0AE-D17D-4961-BE95-E97C85D4EF33}" type="pres">
      <dgm:prSet presAssocID="{68CE9381-7FED-442C-8732-15D838B49A8B}" presName="hierRoot2" presStyleCnt="0">
        <dgm:presLayoutVars>
          <dgm:hierBranch val="init"/>
        </dgm:presLayoutVars>
      </dgm:prSet>
      <dgm:spPr/>
      <dgm:t>
        <a:bodyPr/>
        <a:lstStyle/>
        <a:p>
          <a:endParaRPr lang="en-US"/>
        </a:p>
      </dgm:t>
    </dgm:pt>
    <dgm:pt modelId="{1A91E9DC-4269-4D4E-A239-DE4DF1C512B4}" type="pres">
      <dgm:prSet presAssocID="{68CE9381-7FED-442C-8732-15D838B49A8B}" presName="rootComposite" presStyleCnt="0"/>
      <dgm:spPr/>
      <dgm:t>
        <a:bodyPr/>
        <a:lstStyle/>
        <a:p>
          <a:endParaRPr lang="en-US"/>
        </a:p>
      </dgm:t>
    </dgm:pt>
    <dgm:pt modelId="{9D38795B-9B41-489E-ADFF-A9C6F7876B04}" type="pres">
      <dgm:prSet presAssocID="{68CE9381-7FED-442C-8732-15D838B49A8B}" presName="rootText" presStyleLbl="node3" presStyleIdx="2" presStyleCnt="21" custScaleX="143884" custLinFactNeighborX="209" custLinFactNeighborY="9784">
        <dgm:presLayoutVars>
          <dgm:chPref val="3"/>
        </dgm:presLayoutVars>
      </dgm:prSet>
      <dgm:spPr/>
      <dgm:t>
        <a:bodyPr/>
        <a:lstStyle/>
        <a:p>
          <a:endParaRPr lang="en-US"/>
        </a:p>
      </dgm:t>
    </dgm:pt>
    <dgm:pt modelId="{A7DEC62E-8776-4B25-9506-6BA0A9C6AA62}" type="pres">
      <dgm:prSet presAssocID="{68CE9381-7FED-442C-8732-15D838B49A8B}" presName="rootConnector" presStyleLbl="node3" presStyleIdx="2" presStyleCnt="21"/>
      <dgm:spPr/>
      <dgm:t>
        <a:bodyPr/>
        <a:lstStyle/>
        <a:p>
          <a:endParaRPr lang="en-US"/>
        </a:p>
      </dgm:t>
    </dgm:pt>
    <dgm:pt modelId="{F4A15107-9B59-4B7B-87DC-E383C701168B}" type="pres">
      <dgm:prSet presAssocID="{68CE9381-7FED-442C-8732-15D838B49A8B}" presName="hierChild4" presStyleCnt="0"/>
      <dgm:spPr/>
      <dgm:t>
        <a:bodyPr/>
        <a:lstStyle/>
        <a:p>
          <a:endParaRPr lang="en-US"/>
        </a:p>
      </dgm:t>
    </dgm:pt>
    <dgm:pt modelId="{8A4C0C8D-424F-48B5-ADB1-C6D91A712DEA}" type="pres">
      <dgm:prSet presAssocID="{68CE9381-7FED-442C-8732-15D838B49A8B}" presName="hierChild5" presStyleCnt="0"/>
      <dgm:spPr/>
      <dgm:t>
        <a:bodyPr/>
        <a:lstStyle/>
        <a:p>
          <a:endParaRPr lang="en-US"/>
        </a:p>
      </dgm:t>
    </dgm:pt>
    <dgm:pt modelId="{82E7B342-6A4B-497E-B97F-510AE5EDAA8A}" type="pres">
      <dgm:prSet presAssocID="{AED88A9B-8717-47C3-8FA4-E2E4EA8846CA}" presName="Name37" presStyleLbl="parChTrans1D3" presStyleIdx="3" presStyleCnt="22"/>
      <dgm:spPr/>
      <dgm:t>
        <a:bodyPr/>
        <a:lstStyle/>
        <a:p>
          <a:endParaRPr lang="en-US"/>
        </a:p>
      </dgm:t>
    </dgm:pt>
    <dgm:pt modelId="{367A3D05-A33B-4002-93E9-BACE66580638}" type="pres">
      <dgm:prSet presAssocID="{71A2872D-D059-4282-91EB-03C712544A91}" presName="hierRoot2" presStyleCnt="0">
        <dgm:presLayoutVars>
          <dgm:hierBranch val="init"/>
        </dgm:presLayoutVars>
      </dgm:prSet>
      <dgm:spPr/>
      <dgm:t>
        <a:bodyPr/>
        <a:lstStyle/>
        <a:p>
          <a:endParaRPr lang="en-US"/>
        </a:p>
      </dgm:t>
    </dgm:pt>
    <dgm:pt modelId="{9B0EF461-348C-485D-A596-B3CF2D453B20}" type="pres">
      <dgm:prSet presAssocID="{71A2872D-D059-4282-91EB-03C712544A91}" presName="rootComposite" presStyleCnt="0"/>
      <dgm:spPr/>
      <dgm:t>
        <a:bodyPr/>
        <a:lstStyle/>
        <a:p>
          <a:endParaRPr lang="en-US"/>
        </a:p>
      </dgm:t>
    </dgm:pt>
    <dgm:pt modelId="{B6EDE551-E6E4-4957-883E-C3B198E12148}" type="pres">
      <dgm:prSet presAssocID="{71A2872D-D059-4282-91EB-03C712544A91}" presName="rootText" presStyleLbl="node3" presStyleIdx="3" presStyleCnt="21" custScaleX="143884">
        <dgm:presLayoutVars>
          <dgm:chPref val="3"/>
        </dgm:presLayoutVars>
      </dgm:prSet>
      <dgm:spPr/>
      <dgm:t>
        <a:bodyPr/>
        <a:lstStyle/>
        <a:p>
          <a:endParaRPr lang="en-US"/>
        </a:p>
      </dgm:t>
    </dgm:pt>
    <dgm:pt modelId="{FBAE772B-495B-40CB-95F9-15DB910C1C97}" type="pres">
      <dgm:prSet presAssocID="{71A2872D-D059-4282-91EB-03C712544A91}" presName="rootConnector" presStyleLbl="node3" presStyleIdx="3" presStyleCnt="21"/>
      <dgm:spPr/>
      <dgm:t>
        <a:bodyPr/>
        <a:lstStyle/>
        <a:p>
          <a:endParaRPr lang="en-US"/>
        </a:p>
      </dgm:t>
    </dgm:pt>
    <dgm:pt modelId="{362523CA-D162-4AB3-8D33-86960C36594D}" type="pres">
      <dgm:prSet presAssocID="{71A2872D-D059-4282-91EB-03C712544A91}" presName="hierChild4" presStyleCnt="0"/>
      <dgm:spPr/>
      <dgm:t>
        <a:bodyPr/>
        <a:lstStyle/>
        <a:p>
          <a:endParaRPr lang="en-US"/>
        </a:p>
      </dgm:t>
    </dgm:pt>
    <dgm:pt modelId="{72C359AF-8159-4F06-ACCE-2F9DD23BAC09}" type="pres">
      <dgm:prSet presAssocID="{71A2872D-D059-4282-91EB-03C712544A91}" presName="hierChild5" presStyleCnt="0"/>
      <dgm:spPr/>
      <dgm:t>
        <a:bodyPr/>
        <a:lstStyle/>
        <a:p>
          <a:endParaRPr lang="en-US"/>
        </a:p>
      </dgm:t>
    </dgm:pt>
    <dgm:pt modelId="{9E274A47-0F75-408B-BA16-1BC9A5823AB8}" type="pres">
      <dgm:prSet presAssocID="{2DB4690D-474D-4464-A37E-C42E7D55A778}" presName="Name37" presStyleLbl="parChTrans1D3" presStyleIdx="4" presStyleCnt="22"/>
      <dgm:spPr/>
      <dgm:t>
        <a:bodyPr/>
        <a:lstStyle/>
        <a:p>
          <a:endParaRPr lang="en-US"/>
        </a:p>
      </dgm:t>
    </dgm:pt>
    <dgm:pt modelId="{9436F04B-CEA5-43A0-B80B-E143E8598F58}" type="pres">
      <dgm:prSet presAssocID="{1BA4553A-FE9A-4039-80CB-ED7FC6CF6E34}" presName="hierRoot2" presStyleCnt="0">
        <dgm:presLayoutVars>
          <dgm:hierBranch val="init"/>
        </dgm:presLayoutVars>
      </dgm:prSet>
      <dgm:spPr/>
      <dgm:t>
        <a:bodyPr/>
        <a:lstStyle/>
        <a:p>
          <a:endParaRPr lang="en-US"/>
        </a:p>
      </dgm:t>
    </dgm:pt>
    <dgm:pt modelId="{07DBB516-5215-42DF-976B-AF36EC82AC26}" type="pres">
      <dgm:prSet presAssocID="{1BA4553A-FE9A-4039-80CB-ED7FC6CF6E34}" presName="rootComposite" presStyleCnt="0"/>
      <dgm:spPr/>
      <dgm:t>
        <a:bodyPr/>
        <a:lstStyle/>
        <a:p>
          <a:endParaRPr lang="en-US"/>
        </a:p>
      </dgm:t>
    </dgm:pt>
    <dgm:pt modelId="{E3526463-C003-4DC2-84BD-C547FB6648DC}" type="pres">
      <dgm:prSet presAssocID="{1BA4553A-FE9A-4039-80CB-ED7FC6CF6E34}" presName="rootText" presStyleLbl="node3" presStyleIdx="4" presStyleCnt="21" custScaleX="143884">
        <dgm:presLayoutVars>
          <dgm:chPref val="3"/>
        </dgm:presLayoutVars>
      </dgm:prSet>
      <dgm:spPr/>
      <dgm:t>
        <a:bodyPr/>
        <a:lstStyle/>
        <a:p>
          <a:endParaRPr lang="en-US"/>
        </a:p>
      </dgm:t>
    </dgm:pt>
    <dgm:pt modelId="{317F2C53-CAEE-40A8-B2A9-7F258C147BF4}" type="pres">
      <dgm:prSet presAssocID="{1BA4553A-FE9A-4039-80CB-ED7FC6CF6E34}" presName="rootConnector" presStyleLbl="node3" presStyleIdx="4" presStyleCnt="21"/>
      <dgm:spPr/>
      <dgm:t>
        <a:bodyPr/>
        <a:lstStyle/>
        <a:p>
          <a:endParaRPr lang="en-US"/>
        </a:p>
      </dgm:t>
    </dgm:pt>
    <dgm:pt modelId="{98979274-97C2-4F1E-9DC3-6652982390FF}" type="pres">
      <dgm:prSet presAssocID="{1BA4553A-FE9A-4039-80CB-ED7FC6CF6E34}" presName="hierChild4" presStyleCnt="0"/>
      <dgm:spPr/>
      <dgm:t>
        <a:bodyPr/>
        <a:lstStyle/>
        <a:p>
          <a:endParaRPr lang="en-US"/>
        </a:p>
      </dgm:t>
    </dgm:pt>
    <dgm:pt modelId="{F2786FCF-F4F6-4511-9866-37FB3A0E3B87}" type="pres">
      <dgm:prSet presAssocID="{1BA4553A-FE9A-4039-80CB-ED7FC6CF6E34}" presName="hierChild5" presStyleCnt="0"/>
      <dgm:spPr/>
      <dgm:t>
        <a:bodyPr/>
        <a:lstStyle/>
        <a:p>
          <a:endParaRPr lang="en-US"/>
        </a:p>
      </dgm:t>
    </dgm:pt>
    <dgm:pt modelId="{BB059299-6A47-402C-A947-08C83069361E}" type="pres">
      <dgm:prSet presAssocID="{3A34F4A1-22A6-4B76-BF84-5CC547B12EE7}" presName="Name37" presStyleLbl="parChTrans1D3" presStyleIdx="5" presStyleCnt="22"/>
      <dgm:spPr/>
      <dgm:t>
        <a:bodyPr/>
        <a:lstStyle/>
        <a:p>
          <a:endParaRPr lang="en-US"/>
        </a:p>
      </dgm:t>
    </dgm:pt>
    <dgm:pt modelId="{8E7B09D6-4EEB-4C75-938F-3349F3D2779B}" type="pres">
      <dgm:prSet presAssocID="{FC9600A0-4EC3-4D6D-83BA-55928A45DD08}" presName="hierRoot2" presStyleCnt="0">
        <dgm:presLayoutVars>
          <dgm:hierBranch val="init"/>
        </dgm:presLayoutVars>
      </dgm:prSet>
      <dgm:spPr/>
      <dgm:t>
        <a:bodyPr/>
        <a:lstStyle/>
        <a:p>
          <a:endParaRPr lang="en-US"/>
        </a:p>
      </dgm:t>
    </dgm:pt>
    <dgm:pt modelId="{3AAEBB66-11A5-4B1C-9CFC-3F035CF50716}" type="pres">
      <dgm:prSet presAssocID="{FC9600A0-4EC3-4D6D-83BA-55928A45DD08}" presName="rootComposite" presStyleCnt="0"/>
      <dgm:spPr/>
      <dgm:t>
        <a:bodyPr/>
        <a:lstStyle/>
        <a:p>
          <a:endParaRPr lang="en-US"/>
        </a:p>
      </dgm:t>
    </dgm:pt>
    <dgm:pt modelId="{569327E1-AC0E-4BF3-8927-14D2B575C0C1}" type="pres">
      <dgm:prSet presAssocID="{FC9600A0-4EC3-4D6D-83BA-55928A45DD08}" presName="rootText" presStyleLbl="node3" presStyleIdx="5" presStyleCnt="21" custScaleX="149598">
        <dgm:presLayoutVars>
          <dgm:chPref val="3"/>
        </dgm:presLayoutVars>
      </dgm:prSet>
      <dgm:spPr/>
      <dgm:t>
        <a:bodyPr/>
        <a:lstStyle/>
        <a:p>
          <a:endParaRPr lang="en-US"/>
        </a:p>
      </dgm:t>
    </dgm:pt>
    <dgm:pt modelId="{D913CC9B-2F9A-41EC-BE7A-ED4EF9B132CD}" type="pres">
      <dgm:prSet presAssocID="{FC9600A0-4EC3-4D6D-83BA-55928A45DD08}" presName="rootConnector" presStyleLbl="node3" presStyleIdx="5" presStyleCnt="21"/>
      <dgm:spPr/>
      <dgm:t>
        <a:bodyPr/>
        <a:lstStyle/>
        <a:p>
          <a:endParaRPr lang="en-US"/>
        </a:p>
      </dgm:t>
    </dgm:pt>
    <dgm:pt modelId="{62276B13-8153-4B3A-B94F-FBEB14219C58}" type="pres">
      <dgm:prSet presAssocID="{FC9600A0-4EC3-4D6D-83BA-55928A45DD08}" presName="hierChild4" presStyleCnt="0"/>
      <dgm:spPr/>
      <dgm:t>
        <a:bodyPr/>
        <a:lstStyle/>
        <a:p>
          <a:endParaRPr lang="en-US"/>
        </a:p>
      </dgm:t>
    </dgm:pt>
    <dgm:pt modelId="{4CE7D583-C2FA-4FBE-B2B7-066F3501CCEC}" type="pres">
      <dgm:prSet presAssocID="{FC9600A0-4EC3-4D6D-83BA-55928A45DD08}" presName="hierChild5" presStyleCnt="0"/>
      <dgm:spPr/>
      <dgm:t>
        <a:bodyPr/>
        <a:lstStyle/>
        <a:p>
          <a:endParaRPr lang="en-US"/>
        </a:p>
      </dgm:t>
    </dgm:pt>
    <dgm:pt modelId="{C6FBFAA9-DBDE-41FF-A339-1967CCBD915A}" type="pres">
      <dgm:prSet presAssocID="{3A9680A1-0376-4A59-BB63-EEDBA65FB240}" presName="Name37" presStyleLbl="parChTrans1D3" presStyleIdx="6" presStyleCnt="22"/>
      <dgm:spPr/>
      <dgm:t>
        <a:bodyPr/>
        <a:lstStyle/>
        <a:p>
          <a:endParaRPr lang="en-US"/>
        </a:p>
      </dgm:t>
    </dgm:pt>
    <dgm:pt modelId="{5AC5FA7F-DD21-4B44-A6D4-59F690538FDE}" type="pres">
      <dgm:prSet presAssocID="{5437F013-A2AA-43A5-B2A6-559503424903}" presName="hierRoot2" presStyleCnt="0">
        <dgm:presLayoutVars>
          <dgm:hierBranch val="init"/>
        </dgm:presLayoutVars>
      </dgm:prSet>
      <dgm:spPr/>
      <dgm:t>
        <a:bodyPr/>
        <a:lstStyle/>
        <a:p>
          <a:endParaRPr lang="en-US"/>
        </a:p>
      </dgm:t>
    </dgm:pt>
    <dgm:pt modelId="{93B4E6FF-A823-41A5-947C-9EEA6BA505FB}" type="pres">
      <dgm:prSet presAssocID="{5437F013-A2AA-43A5-B2A6-559503424903}" presName="rootComposite" presStyleCnt="0"/>
      <dgm:spPr/>
      <dgm:t>
        <a:bodyPr/>
        <a:lstStyle/>
        <a:p>
          <a:endParaRPr lang="en-US"/>
        </a:p>
      </dgm:t>
    </dgm:pt>
    <dgm:pt modelId="{D3F8AE4B-2E79-416A-BD18-230121DA5F53}" type="pres">
      <dgm:prSet presAssocID="{5437F013-A2AA-43A5-B2A6-559503424903}" presName="rootText" presStyleLbl="node3" presStyleIdx="6" presStyleCnt="21" custScaleX="149598">
        <dgm:presLayoutVars>
          <dgm:chPref val="3"/>
        </dgm:presLayoutVars>
      </dgm:prSet>
      <dgm:spPr/>
      <dgm:t>
        <a:bodyPr/>
        <a:lstStyle/>
        <a:p>
          <a:endParaRPr lang="en-US"/>
        </a:p>
      </dgm:t>
    </dgm:pt>
    <dgm:pt modelId="{71588D44-C488-47F6-BCF3-246FB734D8FE}" type="pres">
      <dgm:prSet presAssocID="{5437F013-A2AA-43A5-B2A6-559503424903}" presName="rootConnector" presStyleLbl="node3" presStyleIdx="6" presStyleCnt="21"/>
      <dgm:spPr/>
      <dgm:t>
        <a:bodyPr/>
        <a:lstStyle/>
        <a:p>
          <a:endParaRPr lang="en-US"/>
        </a:p>
      </dgm:t>
    </dgm:pt>
    <dgm:pt modelId="{FD654DF8-D5F3-46A4-8CF4-38E7B509067B}" type="pres">
      <dgm:prSet presAssocID="{5437F013-A2AA-43A5-B2A6-559503424903}" presName="hierChild4" presStyleCnt="0"/>
      <dgm:spPr/>
      <dgm:t>
        <a:bodyPr/>
        <a:lstStyle/>
        <a:p>
          <a:endParaRPr lang="en-US"/>
        </a:p>
      </dgm:t>
    </dgm:pt>
    <dgm:pt modelId="{B9E6C26D-0635-451B-8DE1-63430F89E961}" type="pres">
      <dgm:prSet presAssocID="{5437F013-A2AA-43A5-B2A6-559503424903}" presName="hierChild5" presStyleCnt="0"/>
      <dgm:spPr/>
      <dgm:t>
        <a:bodyPr/>
        <a:lstStyle/>
        <a:p>
          <a:endParaRPr lang="en-US"/>
        </a:p>
      </dgm:t>
    </dgm:pt>
    <dgm:pt modelId="{D105A562-FDB0-4C0D-B059-796F622C694F}" type="pres">
      <dgm:prSet presAssocID="{3CC42443-3EF8-480A-9916-7849F3DD0EF8}" presName="hierChild5" presStyleCnt="0"/>
      <dgm:spPr/>
      <dgm:t>
        <a:bodyPr/>
        <a:lstStyle/>
        <a:p>
          <a:endParaRPr lang="en-US"/>
        </a:p>
      </dgm:t>
    </dgm:pt>
    <dgm:pt modelId="{97E39CB4-6C04-497F-9271-BB8B9D5C22C9}" type="pres">
      <dgm:prSet presAssocID="{7CF2C555-9422-4996-A420-D8FD77EEBEAC}" presName="Name37" presStyleLbl="parChTrans1D2" presStyleIdx="1" presStyleCnt="6"/>
      <dgm:spPr/>
      <dgm:t>
        <a:bodyPr/>
        <a:lstStyle/>
        <a:p>
          <a:endParaRPr lang="en-US"/>
        </a:p>
      </dgm:t>
    </dgm:pt>
    <dgm:pt modelId="{6C83E56E-F29B-47C5-9D67-3A83E9E06765}" type="pres">
      <dgm:prSet presAssocID="{C249528A-F01A-41EF-81EE-C4D72221ED22}" presName="hierRoot2" presStyleCnt="0">
        <dgm:presLayoutVars>
          <dgm:hierBranch val="init"/>
        </dgm:presLayoutVars>
      </dgm:prSet>
      <dgm:spPr/>
      <dgm:t>
        <a:bodyPr/>
        <a:lstStyle/>
        <a:p>
          <a:endParaRPr lang="en-US"/>
        </a:p>
      </dgm:t>
    </dgm:pt>
    <dgm:pt modelId="{334242B9-8A97-4558-A6BC-9AF6D65A56D2}" type="pres">
      <dgm:prSet presAssocID="{C249528A-F01A-41EF-81EE-C4D72221ED22}" presName="rootComposite" presStyleCnt="0"/>
      <dgm:spPr/>
      <dgm:t>
        <a:bodyPr/>
        <a:lstStyle/>
        <a:p>
          <a:endParaRPr lang="en-US"/>
        </a:p>
      </dgm:t>
    </dgm:pt>
    <dgm:pt modelId="{09BA96F5-062D-4EA3-B8E1-B4A38579D518}" type="pres">
      <dgm:prSet presAssocID="{C249528A-F01A-41EF-81EE-C4D72221ED22}" presName="rootText" presStyleLbl="node2" presStyleIdx="1" presStyleCnt="4" custScaleX="247768" custScaleY="143092">
        <dgm:presLayoutVars>
          <dgm:chPref val="3"/>
        </dgm:presLayoutVars>
      </dgm:prSet>
      <dgm:spPr/>
      <dgm:t>
        <a:bodyPr/>
        <a:lstStyle/>
        <a:p>
          <a:endParaRPr lang="en-US"/>
        </a:p>
      </dgm:t>
    </dgm:pt>
    <dgm:pt modelId="{5DECA439-A2F5-471E-8A91-0E295D731723}" type="pres">
      <dgm:prSet presAssocID="{C249528A-F01A-41EF-81EE-C4D72221ED22}" presName="rootConnector" presStyleLbl="node2" presStyleIdx="1" presStyleCnt="4"/>
      <dgm:spPr/>
      <dgm:t>
        <a:bodyPr/>
        <a:lstStyle/>
        <a:p>
          <a:endParaRPr lang="en-US"/>
        </a:p>
      </dgm:t>
    </dgm:pt>
    <dgm:pt modelId="{4C72AA7A-A7FD-48CF-ACE7-5FB593F3B86D}" type="pres">
      <dgm:prSet presAssocID="{C249528A-F01A-41EF-81EE-C4D72221ED22}" presName="hierChild4" presStyleCnt="0"/>
      <dgm:spPr/>
      <dgm:t>
        <a:bodyPr/>
        <a:lstStyle/>
        <a:p>
          <a:endParaRPr lang="en-US"/>
        </a:p>
      </dgm:t>
    </dgm:pt>
    <dgm:pt modelId="{42DF942E-7160-4713-BB2E-EFA516C99FE3}" type="pres">
      <dgm:prSet presAssocID="{CD0821F7-9460-4957-932B-2755B64DCFA6}" presName="Name37" presStyleLbl="parChTrans1D3" presStyleIdx="7" presStyleCnt="22"/>
      <dgm:spPr/>
      <dgm:t>
        <a:bodyPr/>
        <a:lstStyle/>
        <a:p>
          <a:endParaRPr lang="en-US"/>
        </a:p>
      </dgm:t>
    </dgm:pt>
    <dgm:pt modelId="{69BC90E0-8AFF-4641-9694-8BFD88CC603F}" type="pres">
      <dgm:prSet presAssocID="{8CBC2254-F695-407D-BC4F-71160C78DAD5}" presName="hierRoot2" presStyleCnt="0">
        <dgm:presLayoutVars>
          <dgm:hierBranch val="init"/>
        </dgm:presLayoutVars>
      </dgm:prSet>
      <dgm:spPr/>
      <dgm:t>
        <a:bodyPr/>
        <a:lstStyle/>
        <a:p>
          <a:endParaRPr lang="en-US"/>
        </a:p>
      </dgm:t>
    </dgm:pt>
    <dgm:pt modelId="{3CFB7171-65F3-4C80-80BC-C9974260AF0D}" type="pres">
      <dgm:prSet presAssocID="{8CBC2254-F695-407D-BC4F-71160C78DAD5}" presName="rootComposite" presStyleCnt="0"/>
      <dgm:spPr/>
      <dgm:t>
        <a:bodyPr/>
        <a:lstStyle/>
        <a:p>
          <a:endParaRPr lang="en-US"/>
        </a:p>
      </dgm:t>
    </dgm:pt>
    <dgm:pt modelId="{210180EB-5DEB-46B9-A64F-1271FE1B4D7C}" type="pres">
      <dgm:prSet presAssocID="{8CBC2254-F695-407D-BC4F-71160C78DAD5}" presName="rootText" presStyleLbl="node3" presStyleIdx="7" presStyleCnt="21" custScaleX="113566" custScaleY="145039">
        <dgm:presLayoutVars>
          <dgm:chPref val="3"/>
        </dgm:presLayoutVars>
      </dgm:prSet>
      <dgm:spPr/>
      <dgm:t>
        <a:bodyPr/>
        <a:lstStyle/>
        <a:p>
          <a:endParaRPr lang="en-US"/>
        </a:p>
      </dgm:t>
    </dgm:pt>
    <dgm:pt modelId="{F849D20F-546F-4AD5-8603-8FF061136040}" type="pres">
      <dgm:prSet presAssocID="{8CBC2254-F695-407D-BC4F-71160C78DAD5}" presName="rootConnector" presStyleLbl="node3" presStyleIdx="7" presStyleCnt="21"/>
      <dgm:spPr/>
      <dgm:t>
        <a:bodyPr/>
        <a:lstStyle/>
        <a:p>
          <a:endParaRPr lang="en-US"/>
        </a:p>
      </dgm:t>
    </dgm:pt>
    <dgm:pt modelId="{F4DEAA50-4DF4-48B3-9446-3E717EAAA27F}" type="pres">
      <dgm:prSet presAssocID="{8CBC2254-F695-407D-BC4F-71160C78DAD5}" presName="hierChild4" presStyleCnt="0"/>
      <dgm:spPr/>
      <dgm:t>
        <a:bodyPr/>
        <a:lstStyle/>
        <a:p>
          <a:endParaRPr lang="en-US"/>
        </a:p>
      </dgm:t>
    </dgm:pt>
    <dgm:pt modelId="{9A94D288-A013-4E4A-ABE0-50700EBBF641}" type="pres">
      <dgm:prSet presAssocID="{8CBC2254-F695-407D-BC4F-71160C78DAD5}" presName="hierChild5" presStyleCnt="0"/>
      <dgm:spPr/>
      <dgm:t>
        <a:bodyPr/>
        <a:lstStyle/>
        <a:p>
          <a:endParaRPr lang="en-US"/>
        </a:p>
      </dgm:t>
    </dgm:pt>
    <dgm:pt modelId="{67CB3990-811F-4FC9-A610-7533FACD82B1}" type="pres">
      <dgm:prSet presAssocID="{6D2C77A0-D50F-4834-B98A-C573A982EB7A}" presName="Name37" presStyleLbl="parChTrans1D3" presStyleIdx="8" presStyleCnt="22"/>
      <dgm:spPr/>
      <dgm:t>
        <a:bodyPr/>
        <a:lstStyle/>
        <a:p>
          <a:endParaRPr lang="en-US"/>
        </a:p>
      </dgm:t>
    </dgm:pt>
    <dgm:pt modelId="{BBD24851-51DB-4994-BFF4-5FDF6B2CF5A0}" type="pres">
      <dgm:prSet presAssocID="{1341319E-B731-4E22-BE48-D5A04F8DBB0F}" presName="hierRoot2" presStyleCnt="0">
        <dgm:presLayoutVars>
          <dgm:hierBranch val="init"/>
        </dgm:presLayoutVars>
      </dgm:prSet>
      <dgm:spPr/>
      <dgm:t>
        <a:bodyPr/>
        <a:lstStyle/>
        <a:p>
          <a:endParaRPr lang="en-US"/>
        </a:p>
      </dgm:t>
    </dgm:pt>
    <dgm:pt modelId="{64A5BB11-7CD2-4CCE-99E6-92AED3205C52}" type="pres">
      <dgm:prSet presAssocID="{1341319E-B731-4E22-BE48-D5A04F8DBB0F}" presName="rootComposite" presStyleCnt="0"/>
      <dgm:spPr/>
      <dgm:t>
        <a:bodyPr/>
        <a:lstStyle/>
        <a:p>
          <a:endParaRPr lang="en-US"/>
        </a:p>
      </dgm:t>
    </dgm:pt>
    <dgm:pt modelId="{36F24CED-3E37-4B8A-ACB1-396D4CFF17C6}" type="pres">
      <dgm:prSet presAssocID="{1341319E-B731-4E22-BE48-D5A04F8DBB0F}" presName="rootText" presStyleLbl="node3" presStyleIdx="8" presStyleCnt="21" custScaleX="113566" custScaleY="155087">
        <dgm:presLayoutVars>
          <dgm:chPref val="3"/>
        </dgm:presLayoutVars>
      </dgm:prSet>
      <dgm:spPr/>
      <dgm:t>
        <a:bodyPr/>
        <a:lstStyle/>
        <a:p>
          <a:endParaRPr lang="en-US"/>
        </a:p>
      </dgm:t>
    </dgm:pt>
    <dgm:pt modelId="{0EAA30B4-B5FE-4670-8801-2DC72487C523}" type="pres">
      <dgm:prSet presAssocID="{1341319E-B731-4E22-BE48-D5A04F8DBB0F}" presName="rootConnector" presStyleLbl="node3" presStyleIdx="8" presStyleCnt="21"/>
      <dgm:spPr/>
      <dgm:t>
        <a:bodyPr/>
        <a:lstStyle/>
        <a:p>
          <a:endParaRPr lang="en-US"/>
        </a:p>
      </dgm:t>
    </dgm:pt>
    <dgm:pt modelId="{D76D217D-2045-4DE1-A3FC-2FBC21677C50}" type="pres">
      <dgm:prSet presAssocID="{1341319E-B731-4E22-BE48-D5A04F8DBB0F}" presName="hierChild4" presStyleCnt="0"/>
      <dgm:spPr/>
      <dgm:t>
        <a:bodyPr/>
        <a:lstStyle/>
        <a:p>
          <a:endParaRPr lang="en-US"/>
        </a:p>
      </dgm:t>
    </dgm:pt>
    <dgm:pt modelId="{CF69F1CE-97AC-4390-9599-6B69E46F4718}" type="pres">
      <dgm:prSet presAssocID="{1341319E-B731-4E22-BE48-D5A04F8DBB0F}" presName="hierChild5" presStyleCnt="0"/>
      <dgm:spPr/>
      <dgm:t>
        <a:bodyPr/>
        <a:lstStyle/>
        <a:p>
          <a:endParaRPr lang="en-US"/>
        </a:p>
      </dgm:t>
    </dgm:pt>
    <dgm:pt modelId="{39E001F2-D906-498F-82A1-C8505BBB5F64}" type="pres">
      <dgm:prSet presAssocID="{C40D8D1F-1708-4921-8F15-1E8AE54B2DB1}" presName="Name37" presStyleLbl="parChTrans1D3" presStyleIdx="9" presStyleCnt="22"/>
      <dgm:spPr/>
      <dgm:t>
        <a:bodyPr/>
        <a:lstStyle/>
        <a:p>
          <a:endParaRPr lang="en-US"/>
        </a:p>
      </dgm:t>
    </dgm:pt>
    <dgm:pt modelId="{4C5629D5-5E5D-4E00-AC16-56F9982824C1}" type="pres">
      <dgm:prSet presAssocID="{5FB7A63E-37CF-4C0B-9914-28B4C3E1F7AD}" presName="hierRoot2" presStyleCnt="0">
        <dgm:presLayoutVars>
          <dgm:hierBranch val="init"/>
        </dgm:presLayoutVars>
      </dgm:prSet>
      <dgm:spPr/>
      <dgm:t>
        <a:bodyPr/>
        <a:lstStyle/>
        <a:p>
          <a:endParaRPr lang="en-US"/>
        </a:p>
      </dgm:t>
    </dgm:pt>
    <dgm:pt modelId="{851987B0-39D8-4CDE-B98F-53696979D450}" type="pres">
      <dgm:prSet presAssocID="{5FB7A63E-37CF-4C0B-9914-28B4C3E1F7AD}" presName="rootComposite" presStyleCnt="0"/>
      <dgm:spPr/>
      <dgm:t>
        <a:bodyPr/>
        <a:lstStyle/>
        <a:p>
          <a:endParaRPr lang="en-US"/>
        </a:p>
      </dgm:t>
    </dgm:pt>
    <dgm:pt modelId="{570F714B-A2D9-4B36-B7A7-6BFAF6D48DA9}" type="pres">
      <dgm:prSet presAssocID="{5FB7A63E-37CF-4C0B-9914-28B4C3E1F7AD}" presName="rootText" presStyleLbl="node3" presStyleIdx="9" presStyleCnt="21" custScaleX="111325" custScaleY="175672">
        <dgm:presLayoutVars>
          <dgm:chPref val="3"/>
        </dgm:presLayoutVars>
      </dgm:prSet>
      <dgm:spPr/>
      <dgm:t>
        <a:bodyPr/>
        <a:lstStyle/>
        <a:p>
          <a:endParaRPr lang="en-US"/>
        </a:p>
      </dgm:t>
    </dgm:pt>
    <dgm:pt modelId="{265A7224-C126-4F89-A6F8-5FA465047528}" type="pres">
      <dgm:prSet presAssocID="{5FB7A63E-37CF-4C0B-9914-28B4C3E1F7AD}" presName="rootConnector" presStyleLbl="node3" presStyleIdx="9" presStyleCnt="21"/>
      <dgm:spPr/>
      <dgm:t>
        <a:bodyPr/>
        <a:lstStyle/>
        <a:p>
          <a:endParaRPr lang="en-US"/>
        </a:p>
      </dgm:t>
    </dgm:pt>
    <dgm:pt modelId="{A3D3104B-0809-42D0-85BD-04A763AD0BDB}" type="pres">
      <dgm:prSet presAssocID="{5FB7A63E-37CF-4C0B-9914-28B4C3E1F7AD}" presName="hierChild4" presStyleCnt="0"/>
      <dgm:spPr/>
      <dgm:t>
        <a:bodyPr/>
        <a:lstStyle/>
        <a:p>
          <a:endParaRPr lang="en-US"/>
        </a:p>
      </dgm:t>
    </dgm:pt>
    <dgm:pt modelId="{66284146-09C7-4647-842F-245BF80BBDAD}" type="pres">
      <dgm:prSet presAssocID="{5FB7A63E-37CF-4C0B-9914-28B4C3E1F7AD}" presName="hierChild5" presStyleCnt="0"/>
      <dgm:spPr/>
      <dgm:t>
        <a:bodyPr/>
        <a:lstStyle/>
        <a:p>
          <a:endParaRPr lang="en-US"/>
        </a:p>
      </dgm:t>
    </dgm:pt>
    <dgm:pt modelId="{22A4BA9C-157E-493C-B9E0-D2255A8E6282}" type="pres">
      <dgm:prSet presAssocID="{C208DEBB-445A-4D2B-8306-182E0B42DD3A}" presName="Name37" presStyleLbl="parChTrans1D3" presStyleIdx="10" presStyleCnt="22"/>
      <dgm:spPr/>
      <dgm:t>
        <a:bodyPr/>
        <a:lstStyle/>
        <a:p>
          <a:endParaRPr lang="en-US"/>
        </a:p>
      </dgm:t>
    </dgm:pt>
    <dgm:pt modelId="{D597F615-B5BC-454E-BA7C-F4E5CD6F6C55}" type="pres">
      <dgm:prSet presAssocID="{6B17C82C-5FA1-4392-A7B7-C8B5BC53E343}" presName="hierRoot2" presStyleCnt="0">
        <dgm:presLayoutVars>
          <dgm:hierBranch val="init"/>
        </dgm:presLayoutVars>
      </dgm:prSet>
      <dgm:spPr/>
      <dgm:t>
        <a:bodyPr/>
        <a:lstStyle/>
        <a:p>
          <a:endParaRPr lang="en-US"/>
        </a:p>
      </dgm:t>
    </dgm:pt>
    <dgm:pt modelId="{A1CEC108-31E4-465A-A6C2-82907DDCE369}" type="pres">
      <dgm:prSet presAssocID="{6B17C82C-5FA1-4392-A7B7-C8B5BC53E343}" presName="rootComposite" presStyleCnt="0"/>
      <dgm:spPr/>
      <dgm:t>
        <a:bodyPr/>
        <a:lstStyle/>
        <a:p>
          <a:endParaRPr lang="en-US"/>
        </a:p>
      </dgm:t>
    </dgm:pt>
    <dgm:pt modelId="{E48E5404-6EA0-4196-A567-B85B7F8F9212}" type="pres">
      <dgm:prSet presAssocID="{6B17C82C-5FA1-4392-A7B7-C8B5BC53E343}" presName="rootText" presStyleLbl="node3" presStyleIdx="10" presStyleCnt="21" custScaleX="113947" custScaleY="127563">
        <dgm:presLayoutVars>
          <dgm:chPref val="3"/>
        </dgm:presLayoutVars>
      </dgm:prSet>
      <dgm:spPr/>
      <dgm:t>
        <a:bodyPr/>
        <a:lstStyle/>
        <a:p>
          <a:endParaRPr lang="en-US"/>
        </a:p>
      </dgm:t>
    </dgm:pt>
    <dgm:pt modelId="{0BDB45C9-E7CF-4FA5-A7BE-49EF16621DE9}" type="pres">
      <dgm:prSet presAssocID="{6B17C82C-5FA1-4392-A7B7-C8B5BC53E343}" presName="rootConnector" presStyleLbl="node3" presStyleIdx="10" presStyleCnt="21"/>
      <dgm:spPr/>
      <dgm:t>
        <a:bodyPr/>
        <a:lstStyle/>
        <a:p>
          <a:endParaRPr lang="en-US"/>
        </a:p>
      </dgm:t>
    </dgm:pt>
    <dgm:pt modelId="{4D77D795-026A-4A11-B98F-F81859A7328A}" type="pres">
      <dgm:prSet presAssocID="{6B17C82C-5FA1-4392-A7B7-C8B5BC53E343}" presName="hierChild4" presStyleCnt="0"/>
      <dgm:spPr/>
      <dgm:t>
        <a:bodyPr/>
        <a:lstStyle/>
        <a:p>
          <a:endParaRPr lang="en-US"/>
        </a:p>
      </dgm:t>
    </dgm:pt>
    <dgm:pt modelId="{8C23CEB3-1AAC-4AAB-9CBD-1366145C824A}" type="pres">
      <dgm:prSet presAssocID="{6B17C82C-5FA1-4392-A7B7-C8B5BC53E343}" presName="hierChild5" presStyleCnt="0"/>
      <dgm:spPr/>
      <dgm:t>
        <a:bodyPr/>
        <a:lstStyle/>
        <a:p>
          <a:endParaRPr lang="en-US"/>
        </a:p>
      </dgm:t>
    </dgm:pt>
    <dgm:pt modelId="{F59ACC96-EB7B-442E-AA9F-DAAABF5427A6}" type="pres">
      <dgm:prSet presAssocID="{F7BAE4EE-DEAB-44AF-AA67-E68D9701B6E0}" presName="Name37" presStyleLbl="parChTrans1D3" presStyleIdx="11" presStyleCnt="22"/>
      <dgm:spPr/>
      <dgm:t>
        <a:bodyPr/>
        <a:lstStyle/>
        <a:p>
          <a:endParaRPr lang="en-US"/>
        </a:p>
      </dgm:t>
    </dgm:pt>
    <dgm:pt modelId="{0A943CB2-9E30-4CD9-9517-3EAE4CF4415A}" type="pres">
      <dgm:prSet presAssocID="{00340C07-20C2-4397-BD5C-28B9DB90607D}" presName="hierRoot2" presStyleCnt="0">
        <dgm:presLayoutVars>
          <dgm:hierBranch val="init"/>
        </dgm:presLayoutVars>
      </dgm:prSet>
      <dgm:spPr/>
      <dgm:t>
        <a:bodyPr/>
        <a:lstStyle/>
        <a:p>
          <a:endParaRPr lang="en-US"/>
        </a:p>
      </dgm:t>
    </dgm:pt>
    <dgm:pt modelId="{63F481B0-84C1-4261-83E0-33A78EBC4134}" type="pres">
      <dgm:prSet presAssocID="{00340C07-20C2-4397-BD5C-28B9DB90607D}" presName="rootComposite" presStyleCnt="0"/>
      <dgm:spPr/>
      <dgm:t>
        <a:bodyPr/>
        <a:lstStyle/>
        <a:p>
          <a:endParaRPr lang="en-US"/>
        </a:p>
      </dgm:t>
    </dgm:pt>
    <dgm:pt modelId="{E15E206E-D313-464D-9D91-B359CED39B2C}" type="pres">
      <dgm:prSet presAssocID="{00340C07-20C2-4397-BD5C-28B9DB90607D}" presName="rootText" presStyleLbl="node3" presStyleIdx="11" presStyleCnt="21" custScaleX="113257" custScaleY="159698">
        <dgm:presLayoutVars>
          <dgm:chPref val="3"/>
        </dgm:presLayoutVars>
      </dgm:prSet>
      <dgm:spPr/>
      <dgm:t>
        <a:bodyPr/>
        <a:lstStyle/>
        <a:p>
          <a:endParaRPr lang="en-US"/>
        </a:p>
      </dgm:t>
    </dgm:pt>
    <dgm:pt modelId="{01E17A36-C941-48A0-B31C-10C8CC87C399}" type="pres">
      <dgm:prSet presAssocID="{00340C07-20C2-4397-BD5C-28B9DB90607D}" presName="rootConnector" presStyleLbl="node3" presStyleIdx="11" presStyleCnt="21"/>
      <dgm:spPr/>
      <dgm:t>
        <a:bodyPr/>
        <a:lstStyle/>
        <a:p>
          <a:endParaRPr lang="en-US"/>
        </a:p>
      </dgm:t>
    </dgm:pt>
    <dgm:pt modelId="{321F8CAB-78D1-4890-8FF7-1CE59C99E621}" type="pres">
      <dgm:prSet presAssocID="{00340C07-20C2-4397-BD5C-28B9DB90607D}" presName="hierChild4" presStyleCnt="0"/>
      <dgm:spPr/>
      <dgm:t>
        <a:bodyPr/>
        <a:lstStyle/>
        <a:p>
          <a:endParaRPr lang="en-US"/>
        </a:p>
      </dgm:t>
    </dgm:pt>
    <dgm:pt modelId="{2AF33DA8-2AAE-4F77-AC75-0D0F94C7F31F}" type="pres">
      <dgm:prSet presAssocID="{00340C07-20C2-4397-BD5C-28B9DB90607D}" presName="hierChild5" presStyleCnt="0"/>
      <dgm:spPr/>
      <dgm:t>
        <a:bodyPr/>
        <a:lstStyle/>
        <a:p>
          <a:endParaRPr lang="en-US"/>
        </a:p>
      </dgm:t>
    </dgm:pt>
    <dgm:pt modelId="{9E0A6E88-B161-4DE1-A474-6151FC97A313}" type="pres">
      <dgm:prSet presAssocID="{C249528A-F01A-41EF-81EE-C4D72221ED22}" presName="hierChild5" presStyleCnt="0"/>
      <dgm:spPr/>
      <dgm:t>
        <a:bodyPr/>
        <a:lstStyle/>
        <a:p>
          <a:endParaRPr lang="en-US"/>
        </a:p>
      </dgm:t>
    </dgm:pt>
    <dgm:pt modelId="{069E819B-B5E8-4576-8BAD-8A2C03B6E635}" type="pres">
      <dgm:prSet presAssocID="{CB9E0054-5C8B-4E5E-95EF-83F796DE8E24}" presName="Name37" presStyleLbl="parChTrans1D2" presStyleIdx="2" presStyleCnt="6"/>
      <dgm:spPr/>
      <dgm:t>
        <a:bodyPr/>
        <a:lstStyle/>
        <a:p>
          <a:endParaRPr lang="en-US"/>
        </a:p>
      </dgm:t>
    </dgm:pt>
    <dgm:pt modelId="{3577C7B3-E6D5-459C-BC6E-729B025A512B}" type="pres">
      <dgm:prSet presAssocID="{778C4222-79C2-41BF-86A6-7D42AA1B70FB}" presName="hierRoot2" presStyleCnt="0">
        <dgm:presLayoutVars>
          <dgm:hierBranch val="init"/>
        </dgm:presLayoutVars>
      </dgm:prSet>
      <dgm:spPr/>
      <dgm:t>
        <a:bodyPr/>
        <a:lstStyle/>
        <a:p>
          <a:endParaRPr lang="en-US"/>
        </a:p>
      </dgm:t>
    </dgm:pt>
    <dgm:pt modelId="{F20044AC-AA59-4CE1-974D-7B83A0A21608}" type="pres">
      <dgm:prSet presAssocID="{778C4222-79C2-41BF-86A6-7D42AA1B70FB}" presName="rootComposite" presStyleCnt="0"/>
      <dgm:spPr/>
      <dgm:t>
        <a:bodyPr/>
        <a:lstStyle/>
        <a:p>
          <a:endParaRPr lang="en-US"/>
        </a:p>
      </dgm:t>
    </dgm:pt>
    <dgm:pt modelId="{D15BC635-1381-487A-B887-EA0E4768D13C}" type="pres">
      <dgm:prSet presAssocID="{778C4222-79C2-41BF-86A6-7D42AA1B70FB}" presName="rootText" presStyleLbl="node2" presStyleIdx="2" presStyleCnt="4" custScaleX="242485" custScaleY="141266">
        <dgm:presLayoutVars>
          <dgm:chPref val="3"/>
        </dgm:presLayoutVars>
      </dgm:prSet>
      <dgm:spPr/>
      <dgm:t>
        <a:bodyPr/>
        <a:lstStyle/>
        <a:p>
          <a:endParaRPr lang="en-US"/>
        </a:p>
      </dgm:t>
    </dgm:pt>
    <dgm:pt modelId="{88EB9C13-0C6E-4047-9FD4-58ED398454D5}" type="pres">
      <dgm:prSet presAssocID="{778C4222-79C2-41BF-86A6-7D42AA1B70FB}" presName="rootConnector" presStyleLbl="node2" presStyleIdx="2" presStyleCnt="4"/>
      <dgm:spPr/>
      <dgm:t>
        <a:bodyPr/>
        <a:lstStyle/>
        <a:p>
          <a:endParaRPr lang="en-US"/>
        </a:p>
      </dgm:t>
    </dgm:pt>
    <dgm:pt modelId="{2603F356-F84D-4578-83A5-7C60D7A2BC5F}" type="pres">
      <dgm:prSet presAssocID="{778C4222-79C2-41BF-86A6-7D42AA1B70FB}" presName="hierChild4" presStyleCnt="0"/>
      <dgm:spPr/>
      <dgm:t>
        <a:bodyPr/>
        <a:lstStyle/>
        <a:p>
          <a:endParaRPr lang="en-US"/>
        </a:p>
      </dgm:t>
    </dgm:pt>
    <dgm:pt modelId="{9C85D2A4-4F88-4158-B452-0D4AFC666571}" type="pres">
      <dgm:prSet presAssocID="{D351A77E-C02A-4F83-B4A2-E80787414301}" presName="Name37" presStyleLbl="parChTrans1D3" presStyleIdx="12" presStyleCnt="22"/>
      <dgm:spPr/>
      <dgm:t>
        <a:bodyPr/>
        <a:lstStyle/>
        <a:p>
          <a:endParaRPr lang="en-US"/>
        </a:p>
      </dgm:t>
    </dgm:pt>
    <dgm:pt modelId="{C4E9F4F4-BC14-49A4-AD6E-39A7821A8443}" type="pres">
      <dgm:prSet presAssocID="{D78712FB-6519-454A-A211-24C5C8679C4E}" presName="hierRoot2" presStyleCnt="0">
        <dgm:presLayoutVars>
          <dgm:hierBranch val="init"/>
        </dgm:presLayoutVars>
      </dgm:prSet>
      <dgm:spPr/>
      <dgm:t>
        <a:bodyPr/>
        <a:lstStyle/>
        <a:p>
          <a:endParaRPr lang="en-US"/>
        </a:p>
      </dgm:t>
    </dgm:pt>
    <dgm:pt modelId="{F44E1C3F-16A3-4F04-B163-51F805366337}" type="pres">
      <dgm:prSet presAssocID="{D78712FB-6519-454A-A211-24C5C8679C4E}" presName="rootComposite" presStyleCnt="0"/>
      <dgm:spPr/>
      <dgm:t>
        <a:bodyPr/>
        <a:lstStyle/>
        <a:p>
          <a:endParaRPr lang="en-US"/>
        </a:p>
      </dgm:t>
    </dgm:pt>
    <dgm:pt modelId="{E57E931A-94D1-497E-9DDD-832525754700}" type="pres">
      <dgm:prSet presAssocID="{D78712FB-6519-454A-A211-24C5C8679C4E}" presName="rootText" presStyleLbl="node3" presStyleIdx="12" presStyleCnt="21" custScaleX="121787" custScaleY="179845">
        <dgm:presLayoutVars>
          <dgm:chPref val="3"/>
        </dgm:presLayoutVars>
      </dgm:prSet>
      <dgm:spPr/>
      <dgm:t>
        <a:bodyPr/>
        <a:lstStyle/>
        <a:p>
          <a:endParaRPr lang="en-US"/>
        </a:p>
      </dgm:t>
    </dgm:pt>
    <dgm:pt modelId="{2969968F-C1FF-45ED-83D8-8E886A4374C3}" type="pres">
      <dgm:prSet presAssocID="{D78712FB-6519-454A-A211-24C5C8679C4E}" presName="rootConnector" presStyleLbl="node3" presStyleIdx="12" presStyleCnt="21"/>
      <dgm:spPr/>
      <dgm:t>
        <a:bodyPr/>
        <a:lstStyle/>
        <a:p>
          <a:endParaRPr lang="en-US"/>
        </a:p>
      </dgm:t>
    </dgm:pt>
    <dgm:pt modelId="{804F85C6-1621-4AB9-8E22-833E8C55EE25}" type="pres">
      <dgm:prSet presAssocID="{D78712FB-6519-454A-A211-24C5C8679C4E}" presName="hierChild4" presStyleCnt="0"/>
      <dgm:spPr/>
      <dgm:t>
        <a:bodyPr/>
        <a:lstStyle/>
        <a:p>
          <a:endParaRPr lang="en-US"/>
        </a:p>
      </dgm:t>
    </dgm:pt>
    <dgm:pt modelId="{BB528F15-BC1D-47A5-A058-0458B61F336A}" type="pres">
      <dgm:prSet presAssocID="{D78712FB-6519-454A-A211-24C5C8679C4E}" presName="hierChild5" presStyleCnt="0"/>
      <dgm:spPr/>
      <dgm:t>
        <a:bodyPr/>
        <a:lstStyle/>
        <a:p>
          <a:endParaRPr lang="en-US"/>
        </a:p>
      </dgm:t>
    </dgm:pt>
    <dgm:pt modelId="{4BEAB7F2-FA7C-4E0A-A220-173A9333C699}" type="pres">
      <dgm:prSet presAssocID="{9C49E657-8C94-441B-84C4-8925987A705B}" presName="Name37" presStyleLbl="parChTrans1D3" presStyleIdx="13" presStyleCnt="22"/>
      <dgm:spPr/>
      <dgm:t>
        <a:bodyPr/>
        <a:lstStyle/>
        <a:p>
          <a:endParaRPr lang="en-US"/>
        </a:p>
      </dgm:t>
    </dgm:pt>
    <dgm:pt modelId="{42F23E53-642B-4623-AC75-6AF592A9845F}" type="pres">
      <dgm:prSet presAssocID="{3DAF2181-A984-49C1-9406-F12B97FDE2AD}" presName="hierRoot2" presStyleCnt="0">
        <dgm:presLayoutVars>
          <dgm:hierBranch val="init"/>
        </dgm:presLayoutVars>
      </dgm:prSet>
      <dgm:spPr/>
      <dgm:t>
        <a:bodyPr/>
        <a:lstStyle/>
        <a:p>
          <a:endParaRPr lang="en-US"/>
        </a:p>
      </dgm:t>
    </dgm:pt>
    <dgm:pt modelId="{FED00D6F-D33D-4262-90B7-3DD8B7C4AF4E}" type="pres">
      <dgm:prSet presAssocID="{3DAF2181-A984-49C1-9406-F12B97FDE2AD}" presName="rootComposite" presStyleCnt="0"/>
      <dgm:spPr/>
      <dgm:t>
        <a:bodyPr/>
        <a:lstStyle/>
        <a:p>
          <a:endParaRPr lang="en-US"/>
        </a:p>
      </dgm:t>
    </dgm:pt>
    <dgm:pt modelId="{1056720E-7562-4A2E-8C21-7EFD89FF1472}" type="pres">
      <dgm:prSet presAssocID="{3DAF2181-A984-49C1-9406-F12B97FDE2AD}" presName="rootText" presStyleLbl="node3" presStyleIdx="13" presStyleCnt="21" custScaleX="117865" custScaleY="180236">
        <dgm:presLayoutVars>
          <dgm:chPref val="3"/>
        </dgm:presLayoutVars>
      </dgm:prSet>
      <dgm:spPr/>
      <dgm:t>
        <a:bodyPr/>
        <a:lstStyle/>
        <a:p>
          <a:endParaRPr lang="en-US"/>
        </a:p>
      </dgm:t>
    </dgm:pt>
    <dgm:pt modelId="{B5E0D84B-D423-430D-B942-ADE9CF40CE65}" type="pres">
      <dgm:prSet presAssocID="{3DAF2181-A984-49C1-9406-F12B97FDE2AD}" presName="rootConnector" presStyleLbl="node3" presStyleIdx="13" presStyleCnt="21"/>
      <dgm:spPr/>
      <dgm:t>
        <a:bodyPr/>
        <a:lstStyle/>
        <a:p>
          <a:endParaRPr lang="en-US"/>
        </a:p>
      </dgm:t>
    </dgm:pt>
    <dgm:pt modelId="{6DCC118C-1649-4D2E-AB28-F7ED97CDAA07}" type="pres">
      <dgm:prSet presAssocID="{3DAF2181-A984-49C1-9406-F12B97FDE2AD}" presName="hierChild4" presStyleCnt="0"/>
      <dgm:spPr/>
      <dgm:t>
        <a:bodyPr/>
        <a:lstStyle/>
        <a:p>
          <a:endParaRPr lang="en-US"/>
        </a:p>
      </dgm:t>
    </dgm:pt>
    <dgm:pt modelId="{1DE85E66-F46C-497C-B5B4-607BBAEE9EF1}" type="pres">
      <dgm:prSet presAssocID="{3DAF2181-A984-49C1-9406-F12B97FDE2AD}" presName="hierChild5" presStyleCnt="0"/>
      <dgm:spPr/>
      <dgm:t>
        <a:bodyPr/>
        <a:lstStyle/>
        <a:p>
          <a:endParaRPr lang="en-US"/>
        </a:p>
      </dgm:t>
    </dgm:pt>
    <dgm:pt modelId="{2EC37F5E-B30F-4122-A45B-F8D6E6E1D539}" type="pres">
      <dgm:prSet presAssocID="{50FE88E6-3F72-414C-9BC6-8568A50B16F6}" presName="Name37" presStyleLbl="parChTrans1D3" presStyleIdx="14" presStyleCnt="22"/>
      <dgm:spPr/>
      <dgm:t>
        <a:bodyPr/>
        <a:lstStyle/>
        <a:p>
          <a:endParaRPr lang="en-US"/>
        </a:p>
      </dgm:t>
    </dgm:pt>
    <dgm:pt modelId="{A5B3D254-E6E5-4D4A-A85C-0B403D925F27}" type="pres">
      <dgm:prSet presAssocID="{8473EDA6-368A-4503-ABB7-23B6F089057C}" presName="hierRoot2" presStyleCnt="0">
        <dgm:presLayoutVars>
          <dgm:hierBranch val="init"/>
        </dgm:presLayoutVars>
      </dgm:prSet>
      <dgm:spPr/>
      <dgm:t>
        <a:bodyPr/>
        <a:lstStyle/>
        <a:p>
          <a:endParaRPr lang="en-US"/>
        </a:p>
      </dgm:t>
    </dgm:pt>
    <dgm:pt modelId="{5E2A9871-4024-4D7D-A479-E9307A931B49}" type="pres">
      <dgm:prSet presAssocID="{8473EDA6-368A-4503-ABB7-23B6F089057C}" presName="rootComposite" presStyleCnt="0"/>
      <dgm:spPr/>
      <dgm:t>
        <a:bodyPr/>
        <a:lstStyle/>
        <a:p>
          <a:endParaRPr lang="en-US"/>
        </a:p>
      </dgm:t>
    </dgm:pt>
    <dgm:pt modelId="{61220A00-E870-45E3-9554-1E263AA1DB39}" type="pres">
      <dgm:prSet presAssocID="{8473EDA6-368A-4503-ABB7-23B6F089057C}" presName="rootText" presStyleLbl="node3" presStyleIdx="14" presStyleCnt="21" custScaleX="120733" custScaleY="141465">
        <dgm:presLayoutVars>
          <dgm:chPref val="3"/>
        </dgm:presLayoutVars>
      </dgm:prSet>
      <dgm:spPr/>
      <dgm:t>
        <a:bodyPr/>
        <a:lstStyle/>
        <a:p>
          <a:endParaRPr lang="en-US"/>
        </a:p>
      </dgm:t>
    </dgm:pt>
    <dgm:pt modelId="{06C4F2F5-8836-4002-BFA1-80B5E50DB928}" type="pres">
      <dgm:prSet presAssocID="{8473EDA6-368A-4503-ABB7-23B6F089057C}" presName="rootConnector" presStyleLbl="node3" presStyleIdx="14" presStyleCnt="21"/>
      <dgm:spPr/>
      <dgm:t>
        <a:bodyPr/>
        <a:lstStyle/>
        <a:p>
          <a:endParaRPr lang="en-US"/>
        </a:p>
      </dgm:t>
    </dgm:pt>
    <dgm:pt modelId="{D9D45D6B-6D77-442F-A90B-A7B3FDE9CB73}" type="pres">
      <dgm:prSet presAssocID="{8473EDA6-368A-4503-ABB7-23B6F089057C}" presName="hierChild4" presStyleCnt="0"/>
      <dgm:spPr/>
      <dgm:t>
        <a:bodyPr/>
        <a:lstStyle/>
        <a:p>
          <a:endParaRPr lang="en-US"/>
        </a:p>
      </dgm:t>
    </dgm:pt>
    <dgm:pt modelId="{A7C28DA4-4541-4B77-916F-6FE546D041D8}" type="pres">
      <dgm:prSet presAssocID="{8473EDA6-368A-4503-ABB7-23B6F089057C}" presName="hierChild5" presStyleCnt="0"/>
      <dgm:spPr/>
      <dgm:t>
        <a:bodyPr/>
        <a:lstStyle/>
        <a:p>
          <a:endParaRPr lang="en-US"/>
        </a:p>
      </dgm:t>
    </dgm:pt>
    <dgm:pt modelId="{69ABE3F0-C12F-4FB9-A9A3-F0BF5B2BC785}" type="pres">
      <dgm:prSet presAssocID="{05C36210-BEBD-4EC9-B57B-130584ED8FEB}" presName="Name37" presStyleLbl="parChTrans1D3" presStyleIdx="15" presStyleCnt="22"/>
      <dgm:spPr/>
      <dgm:t>
        <a:bodyPr/>
        <a:lstStyle/>
        <a:p>
          <a:endParaRPr lang="en-US"/>
        </a:p>
      </dgm:t>
    </dgm:pt>
    <dgm:pt modelId="{80138CEC-D5D2-479E-9EE0-C70001181850}" type="pres">
      <dgm:prSet presAssocID="{83DB32A2-37C1-4873-B9B3-12D561DABCD4}" presName="hierRoot2" presStyleCnt="0">
        <dgm:presLayoutVars>
          <dgm:hierBranch val="init"/>
        </dgm:presLayoutVars>
      </dgm:prSet>
      <dgm:spPr/>
      <dgm:t>
        <a:bodyPr/>
        <a:lstStyle/>
        <a:p>
          <a:endParaRPr lang="en-US"/>
        </a:p>
      </dgm:t>
    </dgm:pt>
    <dgm:pt modelId="{53C71A89-15D1-4E19-90FB-01961144337F}" type="pres">
      <dgm:prSet presAssocID="{83DB32A2-37C1-4873-B9B3-12D561DABCD4}" presName="rootComposite" presStyleCnt="0"/>
      <dgm:spPr/>
      <dgm:t>
        <a:bodyPr/>
        <a:lstStyle/>
        <a:p>
          <a:endParaRPr lang="en-US"/>
        </a:p>
      </dgm:t>
    </dgm:pt>
    <dgm:pt modelId="{A98A120C-E313-4C90-B923-3B346A3AB770}" type="pres">
      <dgm:prSet presAssocID="{83DB32A2-37C1-4873-B9B3-12D561DABCD4}" presName="rootText" presStyleLbl="node3" presStyleIdx="15" presStyleCnt="21" custScaleX="120733" custScaleY="141465">
        <dgm:presLayoutVars>
          <dgm:chPref val="3"/>
        </dgm:presLayoutVars>
      </dgm:prSet>
      <dgm:spPr/>
      <dgm:t>
        <a:bodyPr/>
        <a:lstStyle/>
        <a:p>
          <a:endParaRPr lang="en-US"/>
        </a:p>
      </dgm:t>
    </dgm:pt>
    <dgm:pt modelId="{799D6E38-EE05-4B08-A1A4-3B2CDBD376E3}" type="pres">
      <dgm:prSet presAssocID="{83DB32A2-37C1-4873-B9B3-12D561DABCD4}" presName="rootConnector" presStyleLbl="node3" presStyleIdx="15" presStyleCnt="21"/>
      <dgm:spPr/>
      <dgm:t>
        <a:bodyPr/>
        <a:lstStyle/>
        <a:p>
          <a:endParaRPr lang="en-US"/>
        </a:p>
      </dgm:t>
    </dgm:pt>
    <dgm:pt modelId="{60719C61-EA97-4798-A8A5-6C2E7A4014B3}" type="pres">
      <dgm:prSet presAssocID="{83DB32A2-37C1-4873-B9B3-12D561DABCD4}" presName="hierChild4" presStyleCnt="0"/>
      <dgm:spPr/>
      <dgm:t>
        <a:bodyPr/>
        <a:lstStyle/>
        <a:p>
          <a:endParaRPr lang="en-US"/>
        </a:p>
      </dgm:t>
    </dgm:pt>
    <dgm:pt modelId="{7EDED7AA-A8AC-47F0-A0A5-4DF8032809DD}" type="pres">
      <dgm:prSet presAssocID="{83DB32A2-37C1-4873-B9B3-12D561DABCD4}" presName="hierChild5" presStyleCnt="0"/>
      <dgm:spPr/>
      <dgm:t>
        <a:bodyPr/>
        <a:lstStyle/>
        <a:p>
          <a:endParaRPr lang="en-US"/>
        </a:p>
      </dgm:t>
    </dgm:pt>
    <dgm:pt modelId="{A632D6A3-48DF-4DAE-B9B9-F91B95B2FCFE}" type="pres">
      <dgm:prSet presAssocID="{9CFB42B3-8C35-4DD7-A13E-1E0CB856C444}" presName="Name37" presStyleLbl="parChTrans1D3" presStyleIdx="16" presStyleCnt="22"/>
      <dgm:spPr/>
      <dgm:t>
        <a:bodyPr/>
        <a:lstStyle/>
        <a:p>
          <a:endParaRPr lang="en-US"/>
        </a:p>
      </dgm:t>
    </dgm:pt>
    <dgm:pt modelId="{C669141A-9622-4CA2-B980-20E476F0B1AA}" type="pres">
      <dgm:prSet presAssocID="{35A01541-32C8-48B5-AAC4-6BFED666FCF7}" presName="hierRoot2" presStyleCnt="0">
        <dgm:presLayoutVars>
          <dgm:hierBranch val="init"/>
        </dgm:presLayoutVars>
      </dgm:prSet>
      <dgm:spPr/>
      <dgm:t>
        <a:bodyPr/>
        <a:lstStyle/>
        <a:p>
          <a:endParaRPr lang="en-US"/>
        </a:p>
      </dgm:t>
    </dgm:pt>
    <dgm:pt modelId="{2D1970D2-7836-4EB8-B916-3C0AC5ACD201}" type="pres">
      <dgm:prSet presAssocID="{35A01541-32C8-48B5-AAC4-6BFED666FCF7}" presName="rootComposite" presStyleCnt="0"/>
      <dgm:spPr/>
      <dgm:t>
        <a:bodyPr/>
        <a:lstStyle/>
        <a:p>
          <a:endParaRPr lang="en-US"/>
        </a:p>
      </dgm:t>
    </dgm:pt>
    <dgm:pt modelId="{BA793A9D-476D-43C9-9033-F19508D0AB8D}" type="pres">
      <dgm:prSet presAssocID="{35A01541-32C8-48B5-AAC4-6BFED666FCF7}" presName="rootText" presStyleLbl="node3" presStyleIdx="16" presStyleCnt="21" custScaleX="122310" custScaleY="100000">
        <dgm:presLayoutVars>
          <dgm:chPref val="3"/>
        </dgm:presLayoutVars>
      </dgm:prSet>
      <dgm:spPr/>
      <dgm:t>
        <a:bodyPr/>
        <a:lstStyle/>
        <a:p>
          <a:endParaRPr lang="en-US"/>
        </a:p>
      </dgm:t>
    </dgm:pt>
    <dgm:pt modelId="{C447EE95-AB46-4EF1-BD17-E33EADA322EE}" type="pres">
      <dgm:prSet presAssocID="{35A01541-32C8-48B5-AAC4-6BFED666FCF7}" presName="rootConnector" presStyleLbl="node3" presStyleIdx="16" presStyleCnt="21"/>
      <dgm:spPr/>
      <dgm:t>
        <a:bodyPr/>
        <a:lstStyle/>
        <a:p>
          <a:endParaRPr lang="en-US"/>
        </a:p>
      </dgm:t>
    </dgm:pt>
    <dgm:pt modelId="{8E21BFCC-C198-4FE0-B80B-935F31BD3E26}" type="pres">
      <dgm:prSet presAssocID="{35A01541-32C8-48B5-AAC4-6BFED666FCF7}" presName="hierChild4" presStyleCnt="0"/>
      <dgm:spPr/>
      <dgm:t>
        <a:bodyPr/>
        <a:lstStyle/>
        <a:p>
          <a:endParaRPr lang="en-US"/>
        </a:p>
      </dgm:t>
    </dgm:pt>
    <dgm:pt modelId="{13733E19-129A-4717-BE25-AE7BF3654D44}" type="pres">
      <dgm:prSet presAssocID="{35A01541-32C8-48B5-AAC4-6BFED666FCF7}" presName="hierChild5" presStyleCnt="0"/>
      <dgm:spPr/>
      <dgm:t>
        <a:bodyPr/>
        <a:lstStyle/>
        <a:p>
          <a:endParaRPr lang="en-US"/>
        </a:p>
      </dgm:t>
    </dgm:pt>
    <dgm:pt modelId="{7731C63C-F35B-44AA-97D2-9C01B92515FF}" type="pres">
      <dgm:prSet presAssocID="{778C4222-79C2-41BF-86A6-7D42AA1B70FB}" presName="hierChild5" presStyleCnt="0"/>
      <dgm:spPr/>
      <dgm:t>
        <a:bodyPr/>
        <a:lstStyle/>
        <a:p>
          <a:endParaRPr lang="en-US"/>
        </a:p>
      </dgm:t>
    </dgm:pt>
    <dgm:pt modelId="{F8034975-A3B4-467A-8726-0AA50F6BFF6E}" type="pres">
      <dgm:prSet presAssocID="{0C51F8D4-7FD2-436F-B5A4-320FB81AAC87}" presName="Name37" presStyleLbl="parChTrans1D2" presStyleIdx="3" presStyleCnt="6"/>
      <dgm:spPr/>
      <dgm:t>
        <a:bodyPr/>
        <a:lstStyle/>
        <a:p>
          <a:endParaRPr lang="en-US"/>
        </a:p>
      </dgm:t>
    </dgm:pt>
    <dgm:pt modelId="{4C12670D-EA35-4FF4-AFAF-9F4B13FAEE6B}" type="pres">
      <dgm:prSet presAssocID="{93D34950-95D9-45BA-BE50-76A92F318C3A}" presName="hierRoot2" presStyleCnt="0">
        <dgm:presLayoutVars>
          <dgm:hierBranch val="init"/>
        </dgm:presLayoutVars>
      </dgm:prSet>
      <dgm:spPr/>
      <dgm:t>
        <a:bodyPr/>
        <a:lstStyle/>
        <a:p>
          <a:endParaRPr lang="en-US"/>
        </a:p>
      </dgm:t>
    </dgm:pt>
    <dgm:pt modelId="{38AFAF36-93AA-4774-B3BC-56BBF9857285}" type="pres">
      <dgm:prSet presAssocID="{93D34950-95D9-45BA-BE50-76A92F318C3A}" presName="rootComposite" presStyleCnt="0"/>
      <dgm:spPr/>
      <dgm:t>
        <a:bodyPr/>
        <a:lstStyle/>
        <a:p>
          <a:endParaRPr lang="en-US"/>
        </a:p>
      </dgm:t>
    </dgm:pt>
    <dgm:pt modelId="{CF73991B-ECC4-4C87-9BB7-AEABA562AE25}" type="pres">
      <dgm:prSet presAssocID="{93D34950-95D9-45BA-BE50-76A92F318C3A}" presName="rootText" presStyleLbl="node2" presStyleIdx="3" presStyleCnt="4" custScaleX="238813" custScaleY="143092">
        <dgm:presLayoutVars>
          <dgm:chPref val="3"/>
        </dgm:presLayoutVars>
      </dgm:prSet>
      <dgm:spPr/>
      <dgm:t>
        <a:bodyPr/>
        <a:lstStyle/>
        <a:p>
          <a:endParaRPr lang="en-US"/>
        </a:p>
      </dgm:t>
    </dgm:pt>
    <dgm:pt modelId="{739D4205-6AB6-4C39-9652-31621482F45B}" type="pres">
      <dgm:prSet presAssocID="{93D34950-95D9-45BA-BE50-76A92F318C3A}" presName="rootConnector" presStyleLbl="node2" presStyleIdx="3" presStyleCnt="4"/>
      <dgm:spPr/>
      <dgm:t>
        <a:bodyPr/>
        <a:lstStyle/>
        <a:p>
          <a:endParaRPr lang="en-US"/>
        </a:p>
      </dgm:t>
    </dgm:pt>
    <dgm:pt modelId="{A4D7E6B7-92D8-40D4-B636-5F5973D3B9EF}" type="pres">
      <dgm:prSet presAssocID="{93D34950-95D9-45BA-BE50-76A92F318C3A}" presName="hierChild4" presStyleCnt="0"/>
      <dgm:spPr/>
      <dgm:t>
        <a:bodyPr/>
        <a:lstStyle/>
        <a:p>
          <a:endParaRPr lang="en-US"/>
        </a:p>
      </dgm:t>
    </dgm:pt>
    <dgm:pt modelId="{EFB6269C-0454-4D28-BDF1-7793E328A9E5}" type="pres">
      <dgm:prSet presAssocID="{3BDE8280-1915-440E-AA52-33DA2B2BBE29}" presName="Name37" presStyleLbl="parChTrans1D3" presStyleIdx="17" presStyleCnt="22"/>
      <dgm:spPr/>
      <dgm:t>
        <a:bodyPr/>
        <a:lstStyle/>
        <a:p>
          <a:endParaRPr lang="en-US"/>
        </a:p>
      </dgm:t>
    </dgm:pt>
    <dgm:pt modelId="{20781ACC-2DE9-43CF-B148-9D36BF2658F5}" type="pres">
      <dgm:prSet presAssocID="{8AC85E04-AC09-4891-9384-AD2F5844FF92}" presName="hierRoot2" presStyleCnt="0">
        <dgm:presLayoutVars>
          <dgm:hierBranch val="init"/>
        </dgm:presLayoutVars>
      </dgm:prSet>
      <dgm:spPr/>
      <dgm:t>
        <a:bodyPr/>
        <a:lstStyle/>
        <a:p>
          <a:endParaRPr lang="en-US"/>
        </a:p>
      </dgm:t>
    </dgm:pt>
    <dgm:pt modelId="{9DE8CD38-BF2B-4EB1-909F-187C9A4ED1B3}" type="pres">
      <dgm:prSet presAssocID="{8AC85E04-AC09-4891-9384-AD2F5844FF92}" presName="rootComposite" presStyleCnt="0"/>
      <dgm:spPr/>
      <dgm:t>
        <a:bodyPr/>
        <a:lstStyle/>
        <a:p>
          <a:endParaRPr lang="en-US"/>
        </a:p>
      </dgm:t>
    </dgm:pt>
    <dgm:pt modelId="{16F8A3CD-4B24-44B1-96FF-E5FC7A779761}" type="pres">
      <dgm:prSet presAssocID="{8AC85E04-AC09-4891-9384-AD2F5844FF92}" presName="rootText" presStyleLbl="node3" presStyleIdx="17" presStyleCnt="21" custScaleX="172957" custScaleY="119278" custLinFactNeighborX="-6339" custLinFactNeighborY="-3213">
        <dgm:presLayoutVars>
          <dgm:chPref val="3"/>
        </dgm:presLayoutVars>
      </dgm:prSet>
      <dgm:spPr/>
      <dgm:t>
        <a:bodyPr/>
        <a:lstStyle/>
        <a:p>
          <a:endParaRPr lang="en-US"/>
        </a:p>
      </dgm:t>
    </dgm:pt>
    <dgm:pt modelId="{C94ACE22-B5CC-4E8D-B4DC-B029A9968605}" type="pres">
      <dgm:prSet presAssocID="{8AC85E04-AC09-4891-9384-AD2F5844FF92}" presName="rootConnector" presStyleLbl="node3" presStyleIdx="17" presStyleCnt="21"/>
      <dgm:spPr/>
      <dgm:t>
        <a:bodyPr/>
        <a:lstStyle/>
        <a:p>
          <a:endParaRPr lang="en-US"/>
        </a:p>
      </dgm:t>
    </dgm:pt>
    <dgm:pt modelId="{0E52CBF1-4AC3-46E1-96AC-EBC8969FA4AB}" type="pres">
      <dgm:prSet presAssocID="{8AC85E04-AC09-4891-9384-AD2F5844FF92}" presName="hierChild4" presStyleCnt="0"/>
      <dgm:spPr/>
      <dgm:t>
        <a:bodyPr/>
        <a:lstStyle/>
        <a:p>
          <a:endParaRPr lang="en-US"/>
        </a:p>
      </dgm:t>
    </dgm:pt>
    <dgm:pt modelId="{4891A555-5CD1-4725-A6E3-E0A2BABF3A0E}" type="pres">
      <dgm:prSet presAssocID="{8AC85E04-AC09-4891-9384-AD2F5844FF92}" presName="hierChild5" presStyleCnt="0"/>
      <dgm:spPr/>
      <dgm:t>
        <a:bodyPr/>
        <a:lstStyle/>
        <a:p>
          <a:endParaRPr lang="en-US"/>
        </a:p>
      </dgm:t>
    </dgm:pt>
    <dgm:pt modelId="{E64A3871-3AA2-49B4-970D-9A15D7DD038C}" type="pres">
      <dgm:prSet presAssocID="{3AC138E9-0D4D-4024-A732-8BEDB765F6F4}" presName="Name37" presStyleLbl="parChTrans1D3" presStyleIdx="18" presStyleCnt="22"/>
      <dgm:spPr/>
      <dgm:t>
        <a:bodyPr/>
        <a:lstStyle/>
        <a:p>
          <a:endParaRPr lang="en-US"/>
        </a:p>
      </dgm:t>
    </dgm:pt>
    <dgm:pt modelId="{24AE3D9D-2907-47EC-A54A-662EBCB7F2D0}" type="pres">
      <dgm:prSet presAssocID="{6F8D7C6E-B1C3-442E-A2E0-368D213479A3}" presName="hierRoot2" presStyleCnt="0">
        <dgm:presLayoutVars>
          <dgm:hierBranch val="init"/>
        </dgm:presLayoutVars>
      </dgm:prSet>
      <dgm:spPr/>
      <dgm:t>
        <a:bodyPr/>
        <a:lstStyle/>
        <a:p>
          <a:endParaRPr lang="en-US"/>
        </a:p>
      </dgm:t>
    </dgm:pt>
    <dgm:pt modelId="{5CE89288-C270-43F7-9207-47CA1FAD4494}" type="pres">
      <dgm:prSet presAssocID="{6F8D7C6E-B1C3-442E-A2E0-368D213479A3}" presName="rootComposite" presStyleCnt="0"/>
      <dgm:spPr/>
      <dgm:t>
        <a:bodyPr/>
        <a:lstStyle/>
        <a:p>
          <a:endParaRPr lang="en-US"/>
        </a:p>
      </dgm:t>
    </dgm:pt>
    <dgm:pt modelId="{44737048-7071-4E27-989D-311ACDC29A3E}" type="pres">
      <dgm:prSet presAssocID="{6F8D7C6E-B1C3-442E-A2E0-368D213479A3}" presName="rootText" presStyleLbl="node3" presStyleIdx="18" presStyleCnt="21" custScaleX="169526" custScaleY="152047" custLinFactNeighborX="-6339" custLinFactNeighborY="1370">
        <dgm:presLayoutVars>
          <dgm:chPref val="3"/>
        </dgm:presLayoutVars>
      </dgm:prSet>
      <dgm:spPr/>
      <dgm:t>
        <a:bodyPr/>
        <a:lstStyle/>
        <a:p>
          <a:endParaRPr lang="en-US"/>
        </a:p>
      </dgm:t>
    </dgm:pt>
    <dgm:pt modelId="{258BA8B1-29FF-443B-A198-574AD17652F5}" type="pres">
      <dgm:prSet presAssocID="{6F8D7C6E-B1C3-442E-A2E0-368D213479A3}" presName="rootConnector" presStyleLbl="node3" presStyleIdx="18" presStyleCnt="21"/>
      <dgm:spPr/>
      <dgm:t>
        <a:bodyPr/>
        <a:lstStyle/>
        <a:p>
          <a:endParaRPr lang="en-US"/>
        </a:p>
      </dgm:t>
    </dgm:pt>
    <dgm:pt modelId="{9EA62476-28F3-4445-A512-9FDB0663F27F}" type="pres">
      <dgm:prSet presAssocID="{6F8D7C6E-B1C3-442E-A2E0-368D213479A3}" presName="hierChild4" presStyleCnt="0"/>
      <dgm:spPr/>
      <dgm:t>
        <a:bodyPr/>
        <a:lstStyle/>
        <a:p>
          <a:endParaRPr lang="en-US"/>
        </a:p>
      </dgm:t>
    </dgm:pt>
    <dgm:pt modelId="{2D46236E-8C47-4E67-9FBB-2BFE10262CCB}" type="pres">
      <dgm:prSet presAssocID="{6F8D7C6E-B1C3-442E-A2E0-368D213479A3}" presName="hierChild5" presStyleCnt="0"/>
      <dgm:spPr/>
      <dgm:t>
        <a:bodyPr/>
        <a:lstStyle/>
        <a:p>
          <a:endParaRPr lang="en-US"/>
        </a:p>
      </dgm:t>
    </dgm:pt>
    <dgm:pt modelId="{9433FB7E-563B-41F3-8789-12D95EB19944}" type="pres">
      <dgm:prSet presAssocID="{2697F846-0E44-4531-95CB-B0D353EE4C40}" presName="Name37" presStyleLbl="parChTrans1D3" presStyleIdx="19" presStyleCnt="22"/>
      <dgm:spPr/>
      <dgm:t>
        <a:bodyPr/>
        <a:lstStyle/>
        <a:p>
          <a:endParaRPr lang="en-US"/>
        </a:p>
      </dgm:t>
    </dgm:pt>
    <dgm:pt modelId="{8E272D27-181D-431C-BB87-4F1D5B4DDD5D}" type="pres">
      <dgm:prSet presAssocID="{D614B136-E2D3-44E5-92C2-438E4A6D1FBB}" presName="hierRoot2" presStyleCnt="0">
        <dgm:presLayoutVars>
          <dgm:hierBranch val="init"/>
        </dgm:presLayoutVars>
      </dgm:prSet>
      <dgm:spPr/>
      <dgm:t>
        <a:bodyPr/>
        <a:lstStyle/>
        <a:p>
          <a:endParaRPr lang="en-US"/>
        </a:p>
      </dgm:t>
    </dgm:pt>
    <dgm:pt modelId="{CBE3EC55-C139-47C3-969C-84D236AF96CA}" type="pres">
      <dgm:prSet presAssocID="{D614B136-E2D3-44E5-92C2-438E4A6D1FBB}" presName="rootComposite" presStyleCnt="0"/>
      <dgm:spPr/>
      <dgm:t>
        <a:bodyPr/>
        <a:lstStyle/>
        <a:p>
          <a:endParaRPr lang="en-US"/>
        </a:p>
      </dgm:t>
    </dgm:pt>
    <dgm:pt modelId="{11BE3CDF-CA3C-47C9-AA04-31D183197853}" type="pres">
      <dgm:prSet presAssocID="{D614B136-E2D3-44E5-92C2-438E4A6D1FBB}" presName="rootText" presStyleLbl="node3" presStyleIdx="19" presStyleCnt="21" custScaleX="162198" custScaleY="141465">
        <dgm:presLayoutVars>
          <dgm:chPref val="3"/>
        </dgm:presLayoutVars>
      </dgm:prSet>
      <dgm:spPr/>
      <dgm:t>
        <a:bodyPr/>
        <a:lstStyle/>
        <a:p>
          <a:endParaRPr lang="en-US"/>
        </a:p>
      </dgm:t>
    </dgm:pt>
    <dgm:pt modelId="{1C678C23-7084-4842-9ED2-6D65C1C9572E}" type="pres">
      <dgm:prSet presAssocID="{D614B136-E2D3-44E5-92C2-438E4A6D1FBB}" presName="rootConnector" presStyleLbl="node3" presStyleIdx="19" presStyleCnt="21"/>
      <dgm:spPr/>
      <dgm:t>
        <a:bodyPr/>
        <a:lstStyle/>
        <a:p>
          <a:endParaRPr lang="en-US"/>
        </a:p>
      </dgm:t>
    </dgm:pt>
    <dgm:pt modelId="{C86A5543-A9D3-423B-AE78-745221C8CA9E}" type="pres">
      <dgm:prSet presAssocID="{D614B136-E2D3-44E5-92C2-438E4A6D1FBB}" presName="hierChild4" presStyleCnt="0"/>
      <dgm:spPr/>
      <dgm:t>
        <a:bodyPr/>
        <a:lstStyle/>
        <a:p>
          <a:endParaRPr lang="en-US"/>
        </a:p>
      </dgm:t>
    </dgm:pt>
    <dgm:pt modelId="{8B02DDB2-19E7-4547-9BC0-7AC8AC37576A}" type="pres">
      <dgm:prSet presAssocID="{D614B136-E2D3-44E5-92C2-438E4A6D1FBB}" presName="hierChild5" presStyleCnt="0"/>
      <dgm:spPr/>
      <dgm:t>
        <a:bodyPr/>
        <a:lstStyle/>
        <a:p>
          <a:endParaRPr lang="en-US"/>
        </a:p>
      </dgm:t>
    </dgm:pt>
    <dgm:pt modelId="{B6D060C5-E9F6-452D-85C9-4386FBD8C382}" type="pres">
      <dgm:prSet presAssocID="{EC1C6F25-FE42-49CD-A7AA-C8C33A2ADF39}" presName="Name37" presStyleLbl="parChTrans1D3" presStyleIdx="20" presStyleCnt="22"/>
      <dgm:spPr/>
      <dgm:t>
        <a:bodyPr/>
        <a:lstStyle/>
        <a:p>
          <a:endParaRPr lang="en-US"/>
        </a:p>
      </dgm:t>
    </dgm:pt>
    <dgm:pt modelId="{03672C5C-E5B2-42F6-86D5-B1F3C986D6B9}" type="pres">
      <dgm:prSet presAssocID="{4DCC126F-3C68-4735-8C4C-ECD7E43D4461}" presName="hierRoot2" presStyleCnt="0">
        <dgm:presLayoutVars>
          <dgm:hierBranch val="init"/>
        </dgm:presLayoutVars>
      </dgm:prSet>
      <dgm:spPr/>
      <dgm:t>
        <a:bodyPr/>
        <a:lstStyle/>
        <a:p>
          <a:endParaRPr lang="en-US"/>
        </a:p>
      </dgm:t>
    </dgm:pt>
    <dgm:pt modelId="{4248ACED-CA05-4FE7-896A-FDFF3D459CDE}" type="pres">
      <dgm:prSet presAssocID="{4DCC126F-3C68-4735-8C4C-ECD7E43D4461}" presName="rootComposite" presStyleCnt="0"/>
      <dgm:spPr/>
      <dgm:t>
        <a:bodyPr/>
        <a:lstStyle/>
        <a:p>
          <a:endParaRPr lang="en-US"/>
        </a:p>
      </dgm:t>
    </dgm:pt>
    <dgm:pt modelId="{1CF53F44-AB18-49E8-A6AB-1B1F380ED7F6}" type="pres">
      <dgm:prSet presAssocID="{4DCC126F-3C68-4735-8C4C-ECD7E43D4461}" presName="rootText" presStyleLbl="node3" presStyleIdx="20" presStyleCnt="21" custScaleX="162196" custScaleY="141464">
        <dgm:presLayoutVars>
          <dgm:chPref val="3"/>
        </dgm:presLayoutVars>
      </dgm:prSet>
      <dgm:spPr/>
      <dgm:t>
        <a:bodyPr/>
        <a:lstStyle/>
        <a:p>
          <a:endParaRPr lang="en-US"/>
        </a:p>
      </dgm:t>
    </dgm:pt>
    <dgm:pt modelId="{4E407959-A7A1-4349-ACB6-72FDD9DD5537}" type="pres">
      <dgm:prSet presAssocID="{4DCC126F-3C68-4735-8C4C-ECD7E43D4461}" presName="rootConnector" presStyleLbl="node3" presStyleIdx="20" presStyleCnt="21"/>
      <dgm:spPr/>
      <dgm:t>
        <a:bodyPr/>
        <a:lstStyle/>
        <a:p>
          <a:endParaRPr lang="en-US"/>
        </a:p>
      </dgm:t>
    </dgm:pt>
    <dgm:pt modelId="{4D5D4DC8-E362-4D2B-A408-B97F808646EA}" type="pres">
      <dgm:prSet presAssocID="{4DCC126F-3C68-4735-8C4C-ECD7E43D4461}" presName="hierChild4" presStyleCnt="0"/>
      <dgm:spPr/>
      <dgm:t>
        <a:bodyPr/>
        <a:lstStyle/>
        <a:p>
          <a:endParaRPr lang="en-US"/>
        </a:p>
      </dgm:t>
    </dgm:pt>
    <dgm:pt modelId="{0DEE7FD2-9DD0-47E2-9F75-4A87ACBDB59A}" type="pres">
      <dgm:prSet presAssocID="{4DCC126F-3C68-4735-8C4C-ECD7E43D4461}" presName="hierChild5" presStyleCnt="0"/>
      <dgm:spPr/>
      <dgm:t>
        <a:bodyPr/>
        <a:lstStyle/>
        <a:p>
          <a:endParaRPr lang="en-US"/>
        </a:p>
      </dgm:t>
    </dgm:pt>
    <dgm:pt modelId="{6B9DE88D-52B1-4BD6-BED3-625405634D1F}" type="pres">
      <dgm:prSet presAssocID="{93D34950-95D9-45BA-BE50-76A92F318C3A}" presName="hierChild5" presStyleCnt="0"/>
      <dgm:spPr/>
      <dgm:t>
        <a:bodyPr/>
        <a:lstStyle/>
        <a:p>
          <a:endParaRPr lang="en-US"/>
        </a:p>
      </dgm:t>
    </dgm:pt>
    <dgm:pt modelId="{D60731A2-4857-4CC5-A7B5-385FFDDD5426}" type="pres">
      <dgm:prSet presAssocID="{AB0B32E1-A3E7-4A88-A2DF-F1DFBAC1F346}" presName="hierChild3" presStyleCnt="0"/>
      <dgm:spPr/>
      <dgm:t>
        <a:bodyPr/>
        <a:lstStyle/>
        <a:p>
          <a:endParaRPr lang="en-US"/>
        </a:p>
      </dgm:t>
    </dgm:pt>
    <dgm:pt modelId="{2CFC7C36-08AF-4389-86AE-F40FBAC3D706}" type="pres">
      <dgm:prSet presAssocID="{1929C50D-C4D3-40FA-A0B5-C66A3F72E412}" presName="Name111" presStyleLbl="parChTrans1D2" presStyleIdx="4" presStyleCnt="6"/>
      <dgm:spPr/>
      <dgm:t>
        <a:bodyPr/>
        <a:lstStyle/>
        <a:p>
          <a:endParaRPr lang="en-US"/>
        </a:p>
      </dgm:t>
    </dgm:pt>
    <dgm:pt modelId="{CF76CF7E-6470-4FFB-B3CA-6B2B6969CAA6}" type="pres">
      <dgm:prSet presAssocID="{6D814EA8-6361-430E-B4DF-37142F9C2614}" presName="hierRoot3" presStyleCnt="0">
        <dgm:presLayoutVars>
          <dgm:hierBranch val="init"/>
        </dgm:presLayoutVars>
      </dgm:prSet>
      <dgm:spPr/>
      <dgm:t>
        <a:bodyPr/>
        <a:lstStyle/>
        <a:p>
          <a:endParaRPr lang="en-US"/>
        </a:p>
      </dgm:t>
    </dgm:pt>
    <dgm:pt modelId="{4DBD3679-E55A-46A2-91B0-329761DD7644}" type="pres">
      <dgm:prSet presAssocID="{6D814EA8-6361-430E-B4DF-37142F9C2614}" presName="rootComposite3" presStyleCnt="0"/>
      <dgm:spPr/>
      <dgm:t>
        <a:bodyPr/>
        <a:lstStyle/>
        <a:p>
          <a:endParaRPr lang="en-US"/>
        </a:p>
      </dgm:t>
    </dgm:pt>
    <dgm:pt modelId="{6AD6CBAC-F298-439B-ABF0-F3AFD6A524E2}" type="pres">
      <dgm:prSet presAssocID="{6D814EA8-6361-430E-B4DF-37142F9C2614}" presName="rootText3" presStyleLbl="asst1" presStyleIdx="0" presStyleCnt="3" custScaleX="169591" custScaleY="139904" custLinFactNeighborX="-24435" custLinFactNeighborY="-19971">
        <dgm:presLayoutVars>
          <dgm:chPref val="3"/>
        </dgm:presLayoutVars>
      </dgm:prSet>
      <dgm:spPr/>
      <dgm:t>
        <a:bodyPr/>
        <a:lstStyle/>
        <a:p>
          <a:endParaRPr lang="en-US"/>
        </a:p>
      </dgm:t>
    </dgm:pt>
    <dgm:pt modelId="{CC37C035-3F83-49D9-8C06-348CC460AAF0}" type="pres">
      <dgm:prSet presAssocID="{6D814EA8-6361-430E-B4DF-37142F9C2614}" presName="rootConnector3" presStyleLbl="asst1" presStyleIdx="0" presStyleCnt="3"/>
      <dgm:spPr/>
      <dgm:t>
        <a:bodyPr/>
        <a:lstStyle/>
        <a:p>
          <a:endParaRPr lang="en-US"/>
        </a:p>
      </dgm:t>
    </dgm:pt>
    <dgm:pt modelId="{51044E7B-4BFF-4FB7-A7FF-2B2BECD2D169}" type="pres">
      <dgm:prSet presAssocID="{6D814EA8-6361-430E-B4DF-37142F9C2614}" presName="hierChild6" presStyleCnt="0"/>
      <dgm:spPr/>
      <dgm:t>
        <a:bodyPr/>
        <a:lstStyle/>
        <a:p>
          <a:endParaRPr lang="en-US"/>
        </a:p>
      </dgm:t>
    </dgm:pt>
    <dgm:pt modelId="{C7E3E4CF-A249-4105-97F1-EDC9C99C34B0}" type="pres">
      <dgm:prSet presAssocID="{6D814EA8-6361-430E-B4DF-37142F9C2614}" presName="hierChild7" presStyleCnt="0"/>
      <dgm:spPr/>
      <dgm:t>
        <a:bodyPr/>
        <a:lstStyle/>
        <a:p>
          <a:endParaRPr lang="en-US"/>
        </a:p>
      </dgm:t>
    </dgm:pt>
    <dgm:pt modelId="{EF68471C-40C5-48D8-B07A-C5E5E41DDF3E}" type="pres">
      <dgm:prSet presAssocID="{2EA4F96F-A959-41B7-AA23-43380FC48D6E}" presName="Name111" presStyleLbl="parChTrans1D2" presStyleIdx="5" presStyleCnt="6"/>
      <dgm:spPr/>
      <dgm:t>
        <a:bodyPr/>
        <a:lstStyle/>
        <a:p>
          <a:endParaRPr lang="en-US"/>
        </a:p>
      </dgm:t>
    </dgm:pt>
    <dgm:pt modelId="{59EE05C9-2A39-4799-9B4D-F1DA86B9442C}" type="pres">
      <dgm:prSet presAssocID="{ADFAC1B7-82E0-4DB7-9EB9-47B50B5E810F}" presName="hierRoot3" presStyleCnt="0">
        <dgm:presLayoutVars>
          <dgm:hierBranch val="init"/>
        </dgm:presLayoutVars>
      </dgm:prSet>
      <dgm:spPr/>
      <dgm:t>
        <a:bodyPr/>
        <a:lstStyle/>
        <a:p>
          <a:endParaRPr lang="en-US"/>
        </a:p>
      </dgm:t>
    </dgm:pt>
    <dgm:pt modelId="{AAD89A5E-D7C4-46C0-A8D1-26A574F73EC1}" type="pres">
      <dgm:prSet presAssocID="{ADFAC1B7-82E0-4DB7-9EB9-47B50B5E810F}" presName="rootComposite3" presStyleCnt="0"/>
      <dgm:spPr/>
      <dgm:t>
        <a:bodyPr/>
        <a:lstStyle/>
        <a:p>
          <a:endParaRPr lang="en-US"/>
        </a:p>
      </dgm:t>
    </dgm:pt>
    <dgm:pt modelId="{82992FA8-EF99-4C81-BA7A-1C28949758E9}" type="pres">
      <dgm:prSet presAssocID="{ADFAC1B7-82E0-4DB7-9EB9-47B50B5E810F}" presName="rootText3" presStyleLbl="asst1" presStyleIdx="1" presStyleCnt="3" custScaleX="169479" custScaleY="139664" custLinFactY="59423" custLinFactNeighborX="-82430" custLinFactNeighborY="100000">
        <dgm:presLayoutVars>
          <dgm:chPref val="3"/>
        </dgm:presLayoutVars>
      </dgm:prSet>
      <dgm:spPr/>
      <dgm:t>
        <a:bodyPr/>
        <a:lstStyle/>
        <a:p>
          <a:endParaRPr lang="en-US"/>
        </a:p>
      </dgm:t>
    </dgm:pt>
    <dgm:pt modelId="{4F566566-03A1-46D8-B2EF-EF59DF4F8B57}" type="pres">
      <dgm:prSet presAssocID="{ADFAC1B7-82E0-4DB7-9EB9-47B50B5E810F}" presName="rootConnector3" presStyleLbl="asst1" presStyleIdx="1" presStyleCnt="3"/>
      <dgm:spPr/>
      <dgm:t>
        <a:bodyPr/>
        <a:lstStyle/>
        <a:p>
          <a:endParaRPr lang="en-US"/>
        </a:p>
      </dgm:t>
    </dgm:pt>
    <dgm:pt modelId="{1B5DA46E-33FF-4F51-BD6D-71A4BFC54BE5}" type="pres">
      <dgm:prSet presAssocID="{ADFAC1B7-82E0-4DB7-9EB9-47B50B5E810F}" presName="hierChild6" presStyleCnt="0"/>
      <dgm:spPr/>
      <dgm:t>
        <a:bodyPr/>
        <a:lstStyle/>
        <a:p>
          <a:endParaRPr lang="en-US"/>
        </a:p>
      </dgm:t>
    </dgm:pt>
    <dgm:pt modelId="{E8EACF5D-3147-408B-BBED-41AF9E59FB49}" type="pres">
      <dgm:prSet presAssocID="{ADFAC1B7-82E0-4DB7-9EB9-47B50B5E810F}" presName="hierChild7" presStyleCnt="0"/>
      <dgm:spPr/>
      <dgm:t>
        <a:bodyPr/>
        <a:lstStyle/>
        <a:p>
          <a:endParaRPr lang="en-US"/>
        </a:p>
      </dgm:t>
    </dgm:pt>
    <dgm:pt modelId="{3001ADFC-252B-425C-9D9D-6131ADFC7621}" type="pres">
      <dgm:prSet presAssocID="{F5177A32-D471-48FD-83A4-045C76DEB96E}" presName="Name111" presStyleLbl="parChTrans1D3" presStyleIdx="21" presStyleCnt="22"/>
      <dgm:spPr/>
      <dgm:t>
        <a:bodyPr/>
        <a:lstStyle/>
        <a:p>
          <a:endParaRPr lang="en-US"/>
        </a:p>
      </dgm:t>
    </dgm:pt>
    <dgm:pt modelId="{9F950751-1117-4379-BEB8-C3700DBDCB69}" type="pres">
      <dgm:prSet presAssocID="{EC45092D-A7EB-4921-A2AD-27AF8587A845}" presName="hierRoot3" presStyleCnt="0">
        <dgm:presLayoutVars>
          <dgm:hierBranch val="init"/>
        </dgm:presLayoutVars>
      </dgm:prSet>
      <dgm:spPr/>
      <dgm:t>
        <a:bodyPr/>
        <a:lstStyle/>
        <a:p>
          <a:endParaRPr lang="en-US"/>
        </a:p>
      </dgm:t>
    </dgm:pt>
    <dgm:pt modelId="{74798F0E-372A-4F91-8DF1-21C3CFAE8FC3}" type="pres">
      <dgm:prSet presAssocID="{EC45092D-A7EB-4921-A2AD-27AF8587A845}" presName="rootComposite3" presStyleCnt="0"/>
      <dgm:spPr/>
      <dgm:t>
        <a:bodyPr/>
        <a:lstStyle/>
        <a:p>
          <a:endParaRPr lang="en-US"/>
        </a:p>
      </dgm:t>
    </dgm:pt>
    <dgm:pt modelId="{B3FE8557-6459-45AF-866A-EDBB5B18B563}" type="pres">
      <dgm:prSet presAssocID="{EC45092D-A7EB-4921-A2AD-27AF8587A845}" presName="rootText3" presStyleLbl="asst1" presStyleIdx="2" presStyleCnt="3" custScaleX="173083" custScaleY="141931" custLinFactX="-100000" custLinFactNeighborX="-115026" custLinFactNeighborY="-42005">
        <dgm:presLayoutVars>
          <dgm:chPref val="3"/>
        </dgm:presLayoutVars>
      </dgm:prSet>
      <dgm:spPr/>
      <dgm:t>
        <a:bodyPr/>
        <a:lstStyle/>
        <a:p>
          <a:endParaRPr lang="en-US"/>
        </a:p>
      </dgm:t>
    </dgm:pt>
    <dgm:pt modelId="{5A191BFF-093E-4F36-8660-1AD874887A84}" type="pres">
      <dgm:prSet presAssocID="{EC45092D-A7EB-4921-A2AD-27AF8587A845}" presName="rootConnector3" presStyleLbl="asst1" presStyleIdx="2" presStyleCnt="3"/>
      <dgm:spPr/>
      <dgm:t>
        <a:bodyPr/>
        <a:lstStyle/>
        <a:p>
          <a:endParaRPr lang="en-US"/>
        </a:p>
      </dgm:t>
    </dgm:pt>
    <dgm:pt modelId="{FB68E2A5-442B-40B9-969A-AA996650ACCA}" type="pres">
      <dgm:prSet presAssocID="{EC45092D-A7EB-4921-A2AD-27AF8587A845}" presName="hierChild6" presStyleCnt="0"/>
      <dgm:spPr/>
      <dgm:t>
        <a:bodyPr/>
        <a:lstStyle/>
        <a:p>
          <a:endParaRPr lang="en-US"/>
        </a:p>
      </dgm:t>
    </dgm:pt>
    <dgm:pt modelId="{C8B77857-1D6B-4543-ADD4-76C93D519D81}" type="pres">
      <dgm:prSet presAssocID="{EC45092D-A7EB-4921-A2AD-27AF8587A845}" presName="hierChild7" presStyleCnt="0"/>
      <dgm:spPr/>
      <dgm:t>
        <a:bodyPr/>
        <a:lstStyle/>
        <a:p>
          <a:endParaRPr lang="en-US"/>
        </a:p>
      </dgm:t>
    </dgm:pt>
  </dgm:ptLst>
  <dgm:cxnLst>
    <dgm:cxn modelId="{6E4DA82D-022B-44E6-BFC9-79E7FE88B541}" type="presOf" srcId="{93D34950-95D9-45BA-BE50-76A92F318C3A}" destId="{CF73991B-ECC4-4C87-9BB7-AEABA562AE25}" srcOrd="0" destOrd="0" presId="urn:microsoft.com/office/officeart/2005/8/layout/orgChart1"/>
    <dgm:cxn modelId="{671B20F4-5613-4D46-AB5C-EE62D73AA462}" type="presOf" srcId="{8AC85E04-AC09-4891-9384-AD2F5844FF92}" destId="{16F8A3CD-4B24-44B1-96FF-E5FC7A779761}" srcOrd="0" destOrd="0" presId="urn:microsoft.com/office/officeart/2005/8/layout/orgChart1"/>
    <dgm:cxn modelId="{CC20BBD3-1E6F-46B4-A1B6-DF404AAD0936}" type="presOf" srcId="{2DB4690D-474D-4464-A37E-C42E7D55A778}" destId="{9E274A47-0F75-408B-BA16-1BC9A5823AB8}" srcOrd="0" destOrd="0" presId="urn:microsoft.com/office/officeart/2005/8/layout/orgChart1"/>
    <dgm:cxn modelId="{C7B6E755-19FD-446B-BCD3-78101A11F585}" type="presOf" srcId="{7CF2C555-9422-4996-A420-D8FD77EEBEAC}" destId="{97E39CB4-6C04-497F-9271-BB8B9D5C22C9}" srcOrd="0" destOrd="0" presId="urn:microsoft.com/office/officeart/2005/8/layout/orgChart1"/>
    <dgm:cxn modelId="{266EA2C6-F9AE-40B7-9377-9A7242509A0E}" srcId="{778C4222-79C2-41BF-86A6-7D42AA1B70FB}" destId="{35A01541-32C8-48B5-AAC4-6BFED666FCF7}" srcOrd="4" destOrd="0" parTransId="{9CFB42B3-8C35-4DD7-A13E-1E0CB856C444}" sibTransId="{A73C2A64-1062-4D65-AD1C-08FF3C58D2BA}"/>
    <dgm:cxn modelId="{FB238297-0272-48B1-92D5-2F0A11C637BB}" type="presOf" srcId="{3A9680A1-0376-4A59-BB63-EEDBA65FB240}" destId="{C6FBFAA9-DBDE-41FF-A339-1967CCBD915A}" srcOrd="0" destOrd="0" presId="urn:microsoft.com/office/officeart/2005/8/layout/orgChart1"/>
    <dgm:cxn modelId="{A190AE47-4666-44BA-A79A-80A7FC211CAA}" type="presOf" srcId="{F5177A32-D471-48FD-83A4-045C76DEB96E}" destId="{3001ADFC-252B-425C-9D9D-6131ADFC7621}" srcOrd="0" destOrd="0" presId="urn:microsoft.com/office/officeart/2005/8/layout/orgChart1"/>
    <dgm:cxn modelId="{8DDD146A-8A0A-47F1-A40C-FDB40819DC6D}" type="presOf" srcId="{5437F013-A2AA-43A5-B2A6-559503424903}" destId="{71588D44-C488-47F6-BCF3-246FB734D8FE}" srcOrd="1" destOrd="0" presId="urn:microsoft.com/office/officeart/2005/8/layout/orgChart1"/>
    <dgm:cxn modelId="{2C9C0DB4-8FF4-49B4-BC20-9D84664AE386}" srcId="{778C4222-79C2-41BF-86A6-7D42AA1B70FB}" destId="{D78712FB-6519-454A-A211-24C5C8679C4E}" srcOrd="0" destOrd="0" parTransId="{D351A77E-C02A-4F83-B4A2-E80787414301}" sibTransId="{EDDADCCC-59FB-4E0B-9E31-52D73ADCEB1F}"/>
    <dgm:cxn modelId="{27F3FA36-443F-4B0C-A5D6-4F99F55B345C}" srcId="{3CC42443-3EF8-480A-9916-7849F3DD0EF8}" destId="{6BC80603-1EE5-4B02-8275-1C1DF5325D1C}" srcOrd="0" destOrd="0" parTransId="{261F7A5F-4D60-4EFC-A598-8D427887B1C6}" sibTransId="{DE520805-B8C1-4D91-BDAE-32F053287EF9}"/>
    <dgm:cxn modelId="{5A0C2088-E994-435E-8ED4-0FB4DA5C5321}" srcId="{AB0B32E1-A3E7-4A88-A2DF-F1DFBAC1F346}" destId="{3CC42443-3EF8-480A-9916-7849F3DD0EF8}" srcOrd="1" destOrd="0" parTransId="{9CACC52C-43FE-40B7-9761-C060AC894796}" sibTransId="{73817471-4072-4E21-A62D-5D67E169508C}"/>
    <dgm:cxn modelId="{0275058D-CE18-45A7-940C-4BC0466A5DD4}" srcId="{C249528A-F01A-41EF-81EE-C4D72221ED22}" destId="{6B17C82C-5FA1-4392-A7B7-C8B5BC53E343}" srcOrd="3" destOrd="0" parTransId="{C208DEBB-445A-4D2B-8306-182E0B42DD3A}" sibTransId="{C7FA354F-7110-4745-B70A-980C6858EFF7}"/>
    <dgm:cxn modelId="{8CFA1029-D2AF-4DDB-BF14-56E9777A6E0F}" type="presOf" srcId="{CD0821F7-9460-4957-932B-2755B64DCFA6}" destId="{42DF942E-7160-4713-BB2E-EFA516C99FE3}" srcOrd="0" destOrd="0" presId="urn:microsoft.com/office/officeart/2005/8/layout/orgChart1"/>
    <dgm:cxn modelId="{CAFC01EB-BC8B-4255-B34D-C88A7605FAD9}" srcId="{AB0B32E1-A3E7-4A88-A2DF-F1DFBAC1F346}" destId="{778C4222-79C2-41BF-86A6-7D42AA1B70FB}" srcOrd="3" destOrd="0" parTransId="{CB9E0054-5C8B-4E5E-95EF-83F796DE8E24}" sibTransId="{A50A97C7-9876-416F-BEE6-8FF5D046FD14}"/>
    <dgm:cxn modelId="{DE4DBEF8-4CF2-4E70-9254-E2D183591216}" type="presOf" srcId="{3AC138E9-0D4D-4024-A732-8BEDB765F6F4}" destId="{E64A3871-3AA2-49B4-970D-9A15D7DD038C}" srcOrd="0" destOrd="0" presId="urn:microsoft.com/office/officeart/2005/8/layout/orgChart1"/>
    <dgm:cxn modelId="{496DECAD-60A3-4800-BB34-82FAC9E906C1}" type="presOf" srcId="{6BC80603-1EE5-4B02-8275-1C1DF5325D1C}" destId="{EC8AAAE7-29CA-4283-A91A-0C91DFC76FA0}" srcOrd="0" destOrd="0" presId="urn:microsoft.com/office/officeart/2005/8/layout/orgChart1"/>
    <dgm:cxn modelId="{0CC42CE1-74DC-4C6B-A3C0-407D2B6E593D}" type="presOf" srcId="{6BC80603-1EE5-4B02-8275-1C1DF5325D1C}" destId="{DDED6EA6-8445-4BD9-BC3F-BC9011420012}" srcOrd="1" destOrd="0" presId="urn:microsoft.com/office/officeart/2005/8/layout/orgChart1"/>
    <dgm:cxn modelId="{6303E8D5-C2D6-4D9E-884D-723FAE80FF36}" srcId="{AB0B32E1-A3E7-4A88-A2DF-F1DFBAC1F346}" destId="{ADFAC1B7-82E0-4DB7-9EB9-47B50B5E810F}" srcOrd="5" destOrd="0" parTransId="{2EA4F96F-A959-41B7-AA23-43380FC48D6E}" sibTransId="{661591F8-D48C-415B-9459-4B835347105B}"/>
    <dgm:cxn modelId="{90C966BE-F876-4545-8D3F-84E7DBD8D304}" type="presOf" srcId="{D78712FB-6519-454A-A211-24C5C8679C4E}" destId="{2969968F-C1FF-45ED-83D8-8E886A4374C3}" srcOrd="1" destOrd="0" presId="urn:microsoft.com/office/officeart/2005/8/layout/orgChart1"/>
    <dgm:cxn modelId="{33522A3B-CBF0-471B-ABD7-17B633797F68}" srcId="{778C4222-79C2-41BF-86A6-7D42AA1B70FB}" destId="{83DB32A2-37C1-4873-B9B3-12D561DABCD4}" srcOrd="3" destOrd="0" parTransId="{05C36210-BEBD-4EC9-B57B-130584ED8FEB}" sibTransId="{42A03D16-6BC8-40A3-883C-890AF53B95CE}"/>
    <dgm:cxn modelId="{15A8594E-779D-4330-BB83-AE20CFBEA60F}" type="presOf" srcId="{ADFAC1B7-82E0-4DB7-9EB9-47B50B5E810F}" destId="{4F566566-03A1-46D8-B2EF-EF59DF4F8B57}" srcOrd="1" destOrd="0" presId="urn:microsoft.com/office/officeart/2005/8/layout/orgChart1"/>
    <dgm:cxn modelId="{BD665C0B-ED20-40D3-9968-3F9C122DBFC4}" type="presOf" srcId="{6D814EA8-6361-430E-B4DF-37142F9C2614}" destId="{CC37C035-3F83-49D9-8C06-348CC460AAF0}" srcOrd="1" destOrd="0" presId="urn:microsoft.com/office/officeart/2005/8/layout/orgChart1"/>
    <dgm:cxn modelId="{04B9B39A-94CD-4118-A320-7BBB2BFAC201}" type="presOf" srcId="{C249528A-F01A-41EF-81EE-C4D72221ED22}" destId="{09BA96F5-062D-4EA3-B8E1-B4A38579D518}" srcOrd="0" destOrd="0" presId="urn:microsoft.com/office/officeart/2005/8/layout/orgChart1"/>
    <dgm:cxn modelId="{F1B54BE7-1054-48E2-88CF-9F4E45FC00B5}" type="presOf" srcId="{778C4222-79C2-41BF-86A6-7D42AA1B70FB}" destId="{88EB9C13-0C6E-4047-9FD4-58ED398454D5}" srcOrd="1" destOrd="0" presId="urn:microsoft.com/office/officeart/2005/8/layout/orgChart1"/>
    <dgm:cxn modelId="{AB11C4CA-E11C-4B80-837C-3CB08B371B53}" type="presOf" srcId="{8473EDA6-368A-4503-ABB7-23B6F089057C}" destId="{61220A00-E870-45E3-9554-1E263AA1DB39}" srcOrd="0" destOrd="0" presId="urn:microsoft.com/office/officeart/2005/8/layout/orgChart1"/>
    <dgm:cxn modelId="{C762AF42-037B-4EF9-95BC-E840CD67D2C8}" type="presOf" srcId="{3CC42443-3EF8-480A-9916-7849F3DD0EF8}" destId="{E9689B1F-237B-441F-909B-1A1F04283E6E}" srcOrd="1" destOrd="0" presId="urn:microsoft.com/office/officeart/2005/8/layout/orgChart1"/>
    <dgm:cxn modelId="{9FB555DD-A97C-43FD-A1A5-CA0505EA7118}" type="presOf" srcId="{D351A77E-C02A-4F83-B4A2-E80787414301}" destId="{9C85D2A4-4F88-4158-B452-0D4AFC666571}" srcOrd="0" destOrd="0" presId="urn:microsoft.com/office/officeart/2005/8/layout/orgChart1"/>
    <dgm:cxn modelId="{399D0701-A794-4DD8-B2BB-DABDAAFAD49B}" srcId="{C249528A-F01A-41EF-81EE-C4D72221ED22}" destId="{1341319E-B731-4E22-BE48-D5A04F8DBB0F}" srcOrd="1" destOrd="0" parTransId="{6D2C77A0-D50F-4834-B98A-C573A982EB7A}" sibTransId="{E4B0FB72-D18B-46EA-8D5B-F56D8E1593B6}"/>
    <dgm:cxn modelId="{98985B62-CDF8-44CB-B73B-C803823F74FD}" srcId="{3CC42443-3EF8-480A-9916-7849F3DD0EF8}" destId="{FC9600A0-4EC3-4D6D-83BA-55928A45DD08}" srcOrd="5" destOrd="0" parTransId="{3A34F4A1-22A6-4B76-BF84-5CC547B12EE7}" sibTransId="{497ED50F-4A8F-46F0-8CF9-222E3B70A1F2}"/>
    <dgm:cxn modelId="{AE1692A1-6B00-4E27-8FCB-F2090DF4EAA5}" type="presOf" srcId="{5FB7A63E-37CF-4C0B-9914-28B4C3E1F7AD}" destId="{265A7224-C126-4F89-A6F8-5FA465047528}" srcOrd="1" destOrd="0" presId="urn:microsoft.com/office/officeart/2005/8/layout/orgChart1"/>
    <dgm:cxn modelId="{BF7E3624-512A-4675-8FDE-66004E9DBD89}" type="presOf" srcId="{0C51F8D4-7FD2-436F-B5A4-320FB81AAC87}" destId="{F8034975-A3B4-467A-8726-0AA50F6BFF6E}" srcOrd="0" destOrd="0" presId="urn:microsoft.com/office/officeart/2005/8/layout/orgChart1"/>
    <dgm:cxn modelId="{BEC66E5D-C245-49A0-A8DB-9CF1D3CAD384}" type="presOf" srcId="{EC1C6F25-FE42-49CD-A7AA-C8C33A2ADF39}" destId="{B6D060C5-E9F6-452D-85C9-4386FBD8C382}" srcOrd="0" destOrd="0" presId="urn:microsoft.com/office/officeart/2005/8/layout/orgChart1"/>
    <dgm:cxn modelId="{AE7709A7-21DE-4D80-B26C-8F2AB7B4EB95}" srcId="{AB0B32E1-A3E7-4A88-A2DF-F1DFBAC1F346}" destId="{C249528A-F01A-41EF-81EE-C4D72221ED22}" srcOrd="2" destOrd="0" parTransId="{7CF2C555-9422-4996-A420-D8FD77EEBEAC}" sibTransId="{55085E5B-5C3C-449B-B04B-861A28A6D95D}"/>
    <dgm:cxn modelId="{F871F128-11C5-44FA-B938-3EDA25B16B83}" type="presOf" srcId="{35A01541-32C8-48B5-AAC4-6BFED666FCF7}" destId="{BA793A9D-476D-43C9-9033-F19508D0AB8D}" srcOrd="0" destOrd="0" presId="urn:microsoft.com/office/officeart/2005/8/layout/orgChart1"/>
    <dgm:cxn modelId="{A0C36BC0-EF3A-4407-90EB-B68C4E7716E2}" type="presOf" srcId="{FC9600A0-4EC3-4D6D-83BA-55928A45DD08}" destId="{D913CC9B-2F9A-41EC-BE7A-ED4EF9B132CD}" srcOrd="1" destOrd="0" presId="urn:microsoft.com/office/officeart/2005/8/layout/orgChart1"/>
    <dgm:cxn modelId="{81CD5DFE-942B-4AE4-A894-8762B5DF3441}" type="presOf" srcId="{9CACC52C-43FE-40B7-9761-C060AC894796}" destId="{21F50EBA-1C53-46E0-9F49-A99D4EC3F1EC}" srcOrd="0" destOrd="0" presId="urn:microsoft.com/office/officeart/2005/8/layout/orgChart1"/>
    <dgm:cxn modelId="{622BED65-806E-41CB-82BF-AD48452D0621}" type="presOf" srcId="{2EA4F96F-A959-41B7-AA23-43380FC48D6E}" destId="{EF68471C-40C5-48D8-B07A-C5E5E41DDF3E}" srcOrd="0" destOrd="0" presId="urn:microsoft.com/office/officeart/2005/8/layout/orgChart1"/>
    <dgm:cxn modelId="{03F53A6B-B036-49F8-9AF7-8CB337EBA413}" type="presOf" srcId="{68CE9381-7FED-442C-8732-15D838B49A8B}" destId="{9D38795B-9B41-489E-ADFF-A9C6F7876B04}" srcOrd="0" destOrd="0" presId="urn:microsoft.com/office/officeart/2005/8/layout/orgChart1"/>
    <dgm:cxn modelId="{14618780-CC91-4B62-9D61-BE6B2F81F82C}" srcId="{778C4222-79C2-41BF-86A6-7D42AA1B70FB}" destId="{3DAF2181-A984-49C1-9406-F12B97FDE2AD}" srcOrd="1" destOrd="0" parTransId="{9C49E657-8C94-441B-84C4-8925987A705B}" sibTransId="{D453102E-33B3-4899-BC7D-1A8284705A54}"/>
    <dgm:cxn modelId="{0D3B0D57-9CB7-4FFE-AE86-C746E866F41D}" type="presOf" srcId="{8473EDA6-368A-4503-ABB7-23B6F089057C}" destId="{06C4F2F5-8836-4002-BFA1-80B5E50DB928}" srcOrd="1" destOrd="0" presId="urn:microsoft.com/office/officeart/2005/8/layout/orgChart1"/>
    <dgm:cxn modelId="{058BEE80-2AD6-46AA-97FD-363443E9D51C}" type="presOf" srcId="{D614B136-E2D3-44E5-92C2-438E4A6D1FBB}" destId="{11BE3CDF-CA3C-47C9-AA04-31D183197853}" srcOrd="0" destOrd="0" presId="urn:microsoft.com/office/officeart/2005/8/layout/orgChart1"/>
    <dgm:cxn modelId="{C9E8FE5E-C48E-4252-8883-8D3A1B7A83F6}" type="presOf" srcId="{5FB7A63E-37CF-4C0B-9914-28B4C3E1F7AD}" destId="{570F714B-A2D9-4B36-B7A7-6BFAF6D48DA9}" srcOrd="0" destOrd="0" presId="urn:microsoft.com/office/officeart/2005/8/layout/orgChart1"/>
    <dgm:cxn modelId="{07CC4613-E70B-450A-A6C0-BDEA4C6ADF2F}" type="presOf" srcId="{D614B136-E2D3-44E5-92C2-438E4A6D1FBB}" destId="{1C678C23-7084-4842-9ED2-6D65C1C9572E}" srcOrd="1" destOrd="0" presId="urn:microsoft.com/office/officeart/2005/8/layout/orgChart1"/>
    <dgm:cxn modelId="{F0D65FE3-B22F-4F48-A67A-EC512F40C3F0}" srcId="{C249528A-F01A-41EF-81EE-C4D72221ED22}" destId="{8CBC2254-F695-407D-BC4F-71160C78DAD5}" srcOrd="0" destOrd="0" parTransId="{CD0821F7-9460-4957-932B-2755B64DCFA6}" sibTransId="{AA2B6CCB-5BA2-410F-BD69-34B6D07D7A0A}"/>
    <dgm:cxn modelId="{A404464E-CDEF-4065-ADA2-8BD3826D2A87}" srcId="{3CC42443-3EF8-480A-9916-7849F3DD0EF8}" destId="{71A2872D-D059-4282-91EB-03C712544A91}" srcOrd="3" destOrd="0" parTransId="{AED88A9B-8717-47C3-8FA4-E2E4EA8846CA}" sibTransId="{AB58BA30-4001-4ECB-B87C-0A5CB8A39CAB}"/>
    <dgm:cxn modelId="{A3BD6C24-4E18-4B4D-9D4F-631B15964D5C}" type="presOf" srcId="{6D2C77A0-D50F-4834-B98A-C573A982EB7A}" destId="{67CB3990-811F-4FC9-A610-7533FACD82B1}" srcOrd="0" destOrd="0" presId="urn:microsoft.com/office/officeart/2005/8/layout/orgChart1"/>
    <dgm:cxn modelId="{6C2A1008-DD3F-49DC-87FB-12376627318F}" type="presOf" srcId="{71A2872D-D059-4282-91EB-03C712544A91}" destId="{B6EDE551-E6E4-4957-883E-C3B198E12148}" srcOrd="0" destOrd="0" presId="urn:microsoft.com/office/officeart/2005/8/layout/orgChart1"/>
    <dgm:cxn modelId="{54AE1B6E-A511-4326-B4FD-EA3EB4F9ECEC}" type="presOf" srcId="{6B17C82C-5FA1-4392-A7B7-C8B5BC53E343}" destId="{0BDB45C9-E7CF-4FA5-A7BE-49EF16621DE9}" srcOrd="1" destOrd="0" presId="urn:microsoft.com/office/officeart/2005/8/layout/orgChart1"/>
    <dgm:cxn modelId="{8F0E20CE-E95B-4693-820A-F64E56AC01AE}" type="presOf" srcId="{1341319E-B731-4E22-BE48-D5A04F8DBB0F}" destId="{0EAA30B4-B5FE-4670-8801-2DC72487C523}" srcOrd="1" destOrd="0" presId="urn:microsoft.com/office/officeart/2005/8/layout/orgChart1"/>
    <dgm:cxn modelId="{A81B8840-A1E6-4E3F-A13F-68DC4AE51DDE}" type="presOf" srcId="{9CFB42B3-8C35-4DD7-A13E-1E0CB856C444}" destId="{A632D6A3-48DF-4DAE-B9B9-F91B95B2FCFE}" srcOrd="0" destOrd="0" presId="urn:microsoft.com/office/officeart/2005/8/layout/orgChart1"/>
    <dgm:cxn modelId="{29331954-F46F-4D5B-829D-0DBB993B0E03}" type="presOf" srcId="{2697F846-0E44-4531-95CB-B0D353EE4C40}" destId="{9433FB7E-563B-41F3-8789-12D95EB19944}" srcOrd="0" destOrd="0" presId="urn:microsoft.com/office/officeart/2005/8/layout/orgChart1"/>
    <dgm:cxn modelId="{4FBC99F8-87E4-4FE8-B786-46E889FD6656}" type="presOf" srcId="{6F8D7C6E-B1C3-442E-A2E0-368D213479A3}" destId="{258BA8B1-29FF-443B-A198-574AD17652F5}" srcOrd="1" destOrd="0" presId="urn:microsoft.com/office/officeart/2005/8/layout/orgChart1"/>
    <dgm:cxn modelId="{F81B9D08-C7D1-406F-BE31-BDEF4BF387AE}" type="presOf" srcId="{E2B50F71-6956-46B4-991F-A0F27DA17654}" destId="{1766DF36-D073-405E-BBAD-23C78B66A532}" srcOrd="0" destOrd="0" presId="urn:microsoft.com/office/officeart/2005/8/layout/orgChart1"/>
    <dgm:cxn modelId="{3905969D-73E4-4B20-80B2-C7812CEBF43E}" type="presOf" srcId="{EC45092D-A7EB-4921-A2AD-27AF8587A845}" destId="{5A191BFF-093E-4F36-8660-1AD874887A84}" srcOrd="1" destOrd="0" presId="urn:microsoft.com/office/officeart/2005/8/layout/orgChart1"/>
    <dgm:cxn modelId="{86470FFE-60B4-4317-AF1B-09BC27BF6187}" type="presOf" srcId="{9C49E657-8C94-441B-84C4-8925987A705B}" destId="{4BEAB7F2-FA7C-4E0A-A220-173A9333C699}" srcOrd="0" destOrd="0" presId="urn:microsoft.com/office/officeart/2005/8/layout/orgChart1"/>
    <dgm:cxn modelId="{5EBACD5D-6AFC-4264-A498-10EE3E5AD121}" type="presOf" srcId="{C249528A-F01A-41EF-81EE-C4D72221ED22}" destId="{5DECA439-A2F5-471E-8A91-0E295D731723}" srcOrd="1" destOrd="0" presId="urn:microsoft.com/office/officeart/2005/8/layout/orgChart1"/>
    <dgm:cxn modelId="{150BC7CB-4694-4717-9EA3-AAFCDD046CCA}" srcId="{3CC42443-3EF8-480A-9916-7849F3DD0EF8}" destId="{5437F013-A2AA-43A5-B2A6-559503424903}" srcOrd="6" destOrd="0" parTransId="{3A9680A1-0376-4A59-BB63-EEDBA65FB240}" sibTransId="{D7B7E9F3-6C9A-45F2-B453-4358B37E24B9}"/>
    <dgm:cxn modelId="{8779981B-972F-4558-863D-BFA025EDBEA4}" type="presOf" srcId="{50FE88E6-3F72-414C-9BC6-8568A50B16F6}" destId="{2EC37F5E-B30F-4122-A45B-F8D6E6E1D539}" srcOrd="0" destOrd="0" presId="urn:microsoft.com/office/officeart/2005/8/layout/orgChart1"/>
    <dgm:cxn modelId="{84F742EF-1DB0-4350-A4FE-EB88F24532FF}" type="presOf" srcId="{C208DEBB-445A-4D2B-8306-182E0B42DD3A}" destId="{22A4BA9C-157E-493C-B9E0-D2255A8E6282}" srcOrd="0" destOrd="0" presId="urn:microsoft.com/office/officeart/2005/8/layout/orgChart1"/>
    <dgm:cxn modelId="{CC6DC13C-FC73-43C2-AA55-476B765A7D9E}" type="presOf" srcId="{4DCC126F-3C68-4735-8C4C-ECD7E43D4461}" destId="{4E407959-A7A1-4349-ACB6-72FDD9DD5537}" srcOrd="1" destOrd="0" presId="urn:microsoft.com/office/officeart/2005/8/layout/orgChart1"/>
    <dgm:cxn modelId="{B1CF71F9-8014-491D-BC48-E7FAAD9CB054}" type="presOf" srcId="{C40D8D1F-1708-4921-8F15-1E8AE54B2DB1}" destId="{39E001F2-D906-498F-82A1-C8505BBB5F64}" srcOrd="0" destOrd="0" presId="urn:microsoft.com/office/officeart/2005/8/layout/orgChart1"/>
    <dgm:cxn modelId="{3FE15B51-E08E-4FF3-B1F7-726C087BFB47}" srcId="{93D34950-95D9-45BA-BE50-76A92F318C3A}" destId="{6F8D7C6E-B1C3-442E-A2E0-368D213479A3}" srcOrd="1" destOrd="0" parTransId="{3AC138E9-0D4D-4024-A732-8BEDB765F6F4}" sibTransId="{04AE33A7-48D5-4BA4-9929-122C88CD4C1A}"/>
    <dgm:cxn modelId="{167CC54A-B3F9-4E03-AAA5-7B9FE888A98B}" type="presOf" srcId="{3BDE8280-1915-440E-AA52-33DA2B2BBE29}" destId="{EFB6269C-0454-4D28-BDF1-7793E328A9E5}" srcOrd="0" destOrd="0" presId="urn:microsoft.com/office/officeart/2005/8/layout/orgChart1"/>
    <dgm:cxn modelId="{034BF0B4-CE81-4C9F-B648-3F7AAD0FD954}" srcId="{93D34950-95D9-45BA-BE50-76A92F318C3A}" destId="{4DCC126F-3C68-4735-8C4C-ECD7E43D4461}" srcOrd="3" destOrd="0" parTransId="{EC1C6F25-FE42-49CD-A7AA-C8C33A2ADF39}" sibTransId="{FE2E04B6-07BD-4543-85DE-4AF3653F4814}"/>
    <dgm:cxn modelId="{E31299E4-1327-43D1-A02A-4DE4000B3A4E}" srcId="{C249528A-F01A-41EF-81EE-C4D72221ED22}" destId="{5FB7A63E-37CF-4C0B-9914-28B4C3E1F7AD}" srcOrd="2" destOrd="0" parTransId="{C40D8D1F-1708-4921-8F15-1E8AE54B2DB1}" sibTransId="{A369B7DE-D9FE-4ACA-AA0E-275D8E494A3F}"/>
    <dgm:cxn modelId="{F7EA07C5-B06B-417F-87F2-0988B732EAC0}" type="presOf" srcId="{ADE9EE33-CE73-49D7-B761-258767A71AA6}" destId="{3D3A3999-E4C5-4C1C-9E4F-E78AF8063C3D}" srcOrd="1" destOrd="0" presId="urn:microsoft.com/office/officeart/2005/8/layout/orgChart1"/>
    <dgm:cxn modelId="{4363023C-4396-4139-A44C-6F52B558DF45}" type="presOf" srcId="{3DAF2181-A984-49C1-9406-F12B97FDE2AD}" destId="{B5E0D84B-D423-430D-B942-ADE9CF40CE65}" srcOrd="1" destOrd="0" presId="urn:microsoft.com/office/officeart/2005/8/layout/orgChart1"/>
    <dgm:cxn modelId="{FDE23B77-F759-46DE-A541-85CF4F2DBF0E}" type="presOf" srcId="{AB0B32E1-A3E7-4A88-A2DF-F1DFBAC1F346}" destId="{31009FF8-0C05-4A49-BC6F-92A78BA587F9}" srcOrd="0" destOrd="0" presId="urn:microsoft.com/office/officeart/2005/8/layout/orgChart1"/>
    <dgm:cxn modelId="{BABE4D9D-6981-4667-8A40-2C5F6FC7EF7D}" srcId="{3CC42443-3EF8-480A-9916-7849F3DD0EF8}" destId="{1BA4553A-FE9A-4039-80CB-ED7FC6CF6E34}" srcOrd="4" destOrd="0" parTransId="{2DB4690D-474D-4464-A37E-C42E7D55A778}" sibTransId="{893AAAC9-6AF7-4473-9CB9-21F4C7CBA9D2}"/>
    <dgm:cxn modelId="{520E54C0-25FB-461B-995B-E047C6025765}" srcId="{ADFAC1B7-82E0-4DB7-9EB9-47B50B5E810F}" destId="{EC45092D-A7EB-4921-A2AD-27AF8587A845}" srcOrd="0" destOrd="0" parTransId="{F5177A32-D471-48FD-83A4-045C76DEB96E}" sibTransId="{EE1496B4-E2DC-4887-93BD-C8FB447F97DE}"/>
    <dgm:cxn modelId="{8F6BA91E-643C-4D07-B19C-11657BDC7353}" type="presOf" srcId="{00340C07-20C2-4397-BD5C-28B9DB90607D}" destId="{01E17A36-C941-48A0-B31C-10C8CC87C399}" srcOrd="1" destOrd="0" presId="urn:microsoft.com/office/officeart/2005/8/layout/orgChart1"/>
    <dgm:cxn modelId="{32C52C9F-4B25-4CC2-B8AC-C5EFBA03A84A}" type="presOf" srcId="{1929C50D-C4D3-40FA-A0B5-C66A3F72E412}" destId="{2CFC7C36-08AF-4389-86AE-F40FBAC3D706}" srcOrd="0" destOrd="0" presId="urn:microsoft.com/office/officeart/2005/8/layout/orgChart1"/>
    <dgm:cxn modelId="{9E5FE044-6B69-4501-AEF9-27D022C495D7}" type="presOf" srcId="{00340C07-20C2-4397-BD5C-28B9DB90607D}" destId="{E15E206E-D313-464D-9D91-B359CED39B2C}" srcOrd="0" destOrd="0" presId="urn:microsoft.com/office/officeart/2005/8/layout/orgChart1"/>
    <dgm:cxn modelId="{F996CD3F-E4AB-446B-823F-0D0D1034AB58}" type="presOf" srcId="{261F7A5F-4D60-4EFC-A598-8D427887B1C6}" destId="{987D3B49-0159-436F-A08F-20E030CFC035}" srcOrd="0" destOrd="0" presId="urn:microsoft.com/office/officeart/2005/8/layout/orgChart1"/>
    <dgm:cxn modelId="{687C9D1A-D494-4320-A8A3-B2155229E832}" srcId="{3CC42443-3EF8-480A-9916-7849F3DD0EF8}" destId="{68CE9381-7FED-442C-8732-15D838B49A8B}" srcOrd="2" destOrd="0" parTransId="{E2B50F71-6956-46B4-991F-A0F27DA17654}" sibTransId="{916DEF4E-2087-42A3-A556-8C15B8E5A475}"/>
    <dgm:cxn modelId="{F76368D6-B4FD-4DFE-9B46-28CEE45D8C90}" type="presOf" srcId="{AFC4AED3-8BDD-4AEC-8A15-E18B588B55DD}" destId="{1BEE69AD-6E46-46A5-99D6-CC3D5EFF37F6}" srcOrd="0" destOrd="0" presId="urn:microsoft.com/office/officeart/2005/8/layout/orgChart1"/>
    <dgm:cxn modelId="{5BE51954-B240-4E0A-A203-0ED116265601}" type="presOf" srcId="{93D34950-95D9-45BA-BE50-76A92F318C3A}" destId="{739D4205-6AB6-4C39-9652-31621482F45B}" srcOrd="1" destOrd="0" presId="urn:microsoft.com/office/officeart/2005/8/layout/orgChart1"/>
    <dgm:cxn modelId="{B7A3BB53-845B-40C2-A037-71D206C45D3B}" srcId="{AB0B32E1-A3E7-4A88-A2DF-F1DFBAC1F346}" destId="{93D34950-95D9-45BA-BE50-76A92F318C3A}" srcOrd="4" destOrd="0" parTransId="{0C51F8D4-7FD2-436F-B5A4-320FB81AAC87}" sibTransId="{D671E13F-0E01-42A1-9170-65A78F94D46E}"/>
    <dgm:cxn modelId="{986F3372-BC50-49EC-932C-75AB0645B307}" type="presOf" srcId="{AB0B32E1-A3E7-4A88-A2DF-F1DFBAC1F346}" destId="{F440C5F1-5A11-4831-B3F9-F0E3898083B5}" srcOrd="1" destOrd="0" presId="urn:microsoft.com/office/officeart/2005/8/layout/orgChart1"/>
    <dgm:cxn modelId="{6B787E4E-66BE-40BF-9111-72CEA48C6C17}" type="presOf" srcId="{35A01541-32C8-48B5-AAC4-6BFED666FCF7}" destId="{C447EE95-AB46-4EF1-BD17-E33EADA322EE}" srcOrd="1" destOrd="0" presId="urn:microsoft.com/office/officeart/2005/8/layout/orgChart1"/>
    <dgm:cxn modelId="{4794DA59-FF1C-4442-A08B-0101065FC4AC}" type="presOf" srcId="{1BA4553A-FE9A-4039-80CB-ED7FC6CF6E34}" destId="{317F2C53-CAEE-40A8-B2A9-7F258C147BF4}" srcOrd="1" destOrd="0" presId="urn:microsoft.com/office/officeart/2005/8/layout/orgChart1"/>
    <dgm:cxn modelId="{4FAF4F54-8F78-4944-9BA3-FD88FB405FD1}" type="presOf" srcId="{1341319E-B731-4E22-BE48-D5A04F8DBB0F}" destId="{36F24CED-3E37-4B8A-ACB1-396D4CFF17C6}" srcOrd="0" destOrd="0" presId="urn:microsoft.com/office/officeart/2005/8/layout/orgChart1"/>
    <dgm:cxn modelId="{CD2DC30A-462B-4E2D-BEF6-455D0547CC1D}" type="presOf" srcId="{83DB32A2-37C1-4873-B9B3-12D561DABCD4}" destId="{A98A120C-E313-4C90-B923-3B346A3AB770}" srcOrd="0" destOrd="0" presId="urn:microsoft.com/office/officeart/2005/8/layout/orgChart1"/>
    <dgm:cxn modelId="{F47653F0-B9B4-483D-A276-5F3BD902D1E5}" type="presOf" srcId="{6B17C82C-5FA1-4392-A7B7-C8B5BC53E343}" destId="{E48E5404-6EA0-4196-A567-B85B7F8F9212}" srcOrd="0" destOrd="0" presId="urn:microsoft.com/office/officeart/2005/8/layout/orgChart1"/>
    <dgm:cxn modelId="{588158FB-45CE-4234-96A5-BEB80F95A48F}" type="presOf" srcId="{3A34F4A1-22A6-4B76-BF84-5CC547B12EE7}" destId="{BB059299-6A47-402C-A947-08C83069361E}" srcOrd="0" destOrd="0" presId="urn:microsoft.com/office/officeart/2005/8/layout/orgChart1"/>
    <dgm:cxn modelId="{9175B6F2-9119-4511-B3E6-CFE7BD77FD9F}" type="presOf" srcId="{D78712FB-6519-454A-A211-24C5C8679C4E}" destId="{E57E931A-94D1-497E-9DDD-832525754700}" srcOrd="0" destOrd="0" presId="urn:microsoft.com/office/officeart/2005/8/layout/orgChart1"/>
    <dgm:cxn modelId="{C5995A41-4575-4CF3-A160-DDAFFF4EEA0D}" type="presOf" srcId="{8CBC2254-F695-407D-BC4F-71160C78DAD5}" destId="{210180EB-5DEB-46B9-A64F-1271FE1B4D7C}" srcOrd="0" destOrd="0" presId="urn:microsoft.com/office/officeart/2005/8/layout/orgChart1"/>
    <dgm:cxn modelId="{549A2048-2B54-4BF4-9E88-8178A2617883}" type="presOf" srcId="{ADE9EE33-CE73-49D7-B761-258767A71AA6}" destId="{3AFA3D3C-A430-4838-9BF4-9EBC42BC4292}" srcOrd="0" destOrd="0" presId="urn:microsoft.com/office/officeart/2005/8/layout/orgChart1"/>
    <dgm:cxn modelId="{199AD6BA-628E-4E6B-90C9-9057A070B5CC}" srcId="{C249528A-F01A-41EF-81EE-C4D72221ED22}" destId="{00340C07-20C2-4397-BD5C-28B9DB90607D}" srcOrd="4" destOrd="0" parTransId="{F7BAE4EE-DEAB-44AF-AA67-E68D9701B6E0}" sibTransId="{CD8EC1CF-1D01-49C1-AD76-76CF66CED307}"/>
    <dgm:cxn modelId="{1CA4F0EA-6824-4003-B76A-B993D7A72491}" type="presOf" srcId="{68CE9381-7FED-442C-8732-15D838B49A8B}" destId="{A7DEC62E-8776-4B25-9506-6BA0A9C6AA62}" srcOrd="1" destOrd="0" presId="urn:microsoft.com/office/officeart/2005/8/layout/orgChart1"/>
    <dgm:cxn modelId="{067D5156-688A-4951-BEC6-4AA5545D6BEA}" type="presOf" srcId="{5437F013-A2AA-43A5-B2A6-559503424903}" destId="{D3F8AE4B-2E79-416A-BD18-230121DA5F53}" srcOrd="0" destOrd="0" presId="urn:microsoft.com/office/officeart/2005/8/layout/orgChart1"/>
    <dgm:cxn modelId="{BCCCAB82-292C-441F-9B55-DDAF2EC0CDF3}" srcId="{3CC42443-3EF8-480A-9916-7849F3DD0EF8}" destId="{ADE9EE33-CE73-49D7-B761-258767A71AA6}" srcOrd="1" destOrd="0" parTransId="{C0E14160-67A6-49AA-93B7-82218A104F2C}" sibTransId="{0B98D81F-9C31-4B2D-A149-812657B8BBEF}"/>
    <dgm:cxn modelId="{AAF362B8-B556-403B-8DC0-4DFC0E43541C}" type="presOf" srcId="{83DB32A2-37C1-4873-B9B3-12D561DABCD4}" destId="{799D6E38-EE05-4B08-A1A4-3B2CDBD376E3}" srcOrd="1" destOrd="0" presId="urn:microsoft.com/office/officeart/2005/8/layout/orgChart1"/>
    <dgm:cxn modelId="{901C970E-BD67-4134-A335-6E6C0DFB53F7}" type="presOf" srcId="{FC9600A0-4EC3-4D6D-83BA-55928A45DD08}" destId="{569327E1-AC0E-4BF3-8927-14D2B575C0C1}" srcOrd="0" destOrd="0" presId="urn:microsoft.com/office/officeart/2005/8/layout/orgChart1"/>
    <dgm:cxn modelId="{DEBA78CE-3FB5-411C-B79E-C25703F3AE7D}" type="presOf" srcId="{4DCC126F-3C68-4735-8C4C-ECD7E43D4461}" destId="{1CF53F44-AB18-49E8-A6AB-1B1F380ED7F6}" srcOrd="0" destOrd="0" presId="urn:microsoft.com/office/officeart/2005/8/layout/orgChart1"/>
    <dgm:cxn modelId="{1F409979-1E36-4D9D-B355-3378EB82AB58}" type="presOf" srcId="{71A2872D-D059-4282-91EB-03C712544A91}" destId="{FBAE772B-495B-40CB-95F9-15DB910C1C97}" srcOrd="1" destOrd="0" presId="urn:microsoft.com/office/officeart/2005/8/layout/orgChart1"/>
    <dgm:cxn modelId="{2B9524D7-E125-4788-BD66-DA43276E956C}" type="presOf" srcId="{C0E14160-67A6-49AA-93B7-82218A104F2C}" destId="{260B75CB-D598-4770-A323-C652F3A46CD3}" srcOrd="0" destOrd="0" presId="urn:microsoft.com/office/officeart/2005/8/layout/orgChart1"/>
    <dgm:cxn modelId="{5965E9B4-D5F8-4F98-8279-9AD9D4462BAE}" srcId="{93D34950-95D9-45BA-BE50-76A92F318C3A}" destId="{D614B136-E2D3-44E5-92C2-438E4A6D1FBB}" srcOrd="2" destOrd="0" parTransId="{2697F846-0E44-4531-95CB-B0D353EE4C40}" sibTransId="{F99DE848-510C-4977-B84A-B7F57B85C84D}"/>
    <dgm:cxn modelId="{FD9A8876-038B-485B-A538-BD36D220A565}" type="presOf" srcId="{778C4222-79C2-41BF-86A6-7D42AA1B70FB}" destId="{D15BC635-1381-487A-B887-EA0E4768D13C}" srcOrd="0" destOrd="0" presId="urn:microsoft.com/office/officeart/2005/8/layout/orgChart1"/>
    <dgm:cxn modelId="{0CEAF43A-1730-4255-B139-FAF303B5931D}" srcId="{778C4222-79C2-41BF-86A6-7D42AA1B70FB}" destId="{8473EDA6-368A-4503-ABB7-23B6F089057C}" srcOrd="2" destOrd="0" parTransId="{50FE88E6-3F72-414C-9BC6-8568A50B16F6}" sibTransId="{F49BA8F3-6026-44CE-B995-1867A2308FDF}"/>
    <dgm:cxn modelId="{4C1D1D57-4950-4B9A-BD40-6861F754724C}" srcId="{AB0B32E1-A3E7-4A88-A2DF-F1DFBAC1F346}" destId="{6D814EA8-6361-430E-B4DF-37142F9C2614}" srcOrd="0" destOrd="0" parTransId="{1929C50D-C4D3-40FA-A0B5-C66A3F72E412}" sibTransId="{7DF391A0-9343-4F88-A975-D3E6ADA2643A}"/>
    <dgm:cxn modelId="{E82F4236-D285-4FBD-9F16-6485F34D1919}" type="presOf" srcId="{EC45092D-A7EB-4921-A2AD-27AF8587A845}" destId="{B3FE8557-6459-45AF-866A-EDBB5B18B563}" srcOrd="0" destOrd="0" presId="urn:microsoft.com/office/officeart/2005/8/layout/orgChart1"/>
    <dgm:cxn modelId="{D57EF090-E04F-402D-9B93-D0AE8A73C074}" type="presOf" srcId="{8CBC2254-F695-407D-BC4F-71160C78DAD5}" destId="{F849D20F-546F-4AD5-8603-8FF061136040}" srcOrd="1" destOrd="0" presId="urn:microsoft.com/office/officeart/2005/8/layout/orgChart1"/>
    <dgm:cxn modelId="{42A17B7F-F565-4270-900A-2B7AE8C28C55}" type="presOf" srcId="{6F8D7C6E-B1C3-442E-A2E0-368D213479A3}" destId="{44737048-7071-4E27-989D-311ACDC29A3E}" srcOrd="0" destOrd="0" presId="urn:microsoft.com/office/officeart/2005/8/layout/orgChart1"/>
    <dgm:cxn modelId="{AB04F11C-15DC-4A78-99A5-71E41A6BF623}" type="presOf" srcId="{8AC85E04-AC09-4891-9384-AD2F5844FF92}" destId="{C94ACE22-B5CC-4E8D-B4DC-B029A9968605}" srcOrd="1" destOrd="0" presId="urn:microsoft.com/office/officeart/2005/8/layout/orgChart1"/>
    <dgm:cxn modelId="{58A782F2-E1C9-473F-8FBB-00CB08B46B6D}" type="presOf" srcId="{F7BAE4EE-DEAB-44AF-AA67-E68D9701B6E0}" destId="{F59ACC96-EB7B-442E-AA9F-DAAABF5427A6}" srcOrd="0" destOrd="0" presId="urn:microsoft.com/office/officeart/2005/8/layout/orgChart1"/>
    <dgm:cxn modelId="{D5E6DB29-DD48-459E-8C1F-0E04EE1E11DC}" type="presOf" srcId="{3DAF2181-A984-49C1-9406-F12B97FDE2AD}" destId="{1056720E-7562-4A2E-8C21-7EFD89FF1472}" srcOrd="0" destOrd="0" presId="urn:microsoft.com/office/officeart/2005/8/layout/orgChart1"/>
    <dgm:cxn modelId="{184138C8-5053-4CFC-B913-9A4E01F004B1}" type="presOf" srcId="{3CC42443-3EF8-480A-9916-7849F3DD0EF8}" destId="{ADEBAA41-207C-4152-84A5-C11074FEAC1D}" srcOrd="0" destOrd="0" presId="urn:microsoft.com/office/officeart/2005/8/layout/orgChart1"/>
    <dgm:cxn modelId="{7BBF8B68-3B4A-49EA-A980-28A2B3081A2B}" type="presOf" srcId="{CB9E0054-5C8B-4E5E-95EF-83F796DE8E24}" destId="{069E819B-B5E8-4576-8BAD-8A2C03B6E635}" srcOrd="0" destOrd="0" presId="urn:microsoft.com/office/officeart/2005/8/layout/orgChart1"/>
    <dgm:cxn modelId="{761AED27-FFBF-4E2F-959F-0FBD2FF78516}" type="presOf" srcId="{05C36210-BEBD-4EC9-B57B-130584ED8FEB}" destId="{69ABE3F0-C12F-4FB9-A9A3-F0BF5B2BC785}" srcOrd="0" destOrd="0" presId="urn:microsoft.com/office/officeart/2005/8/layout/orgChart1"/>
    <dgm:cxn modelId="{B27FC543-CA5C-4832-8F00-164EBC4E7D70}" type="presOf" srcId="{AED88A9B-8717-47C3-8FA4-E2E4EA8846CA}" destId="{82E7B342-6A4B-497E-B97F-510AE5EDAA8A}" srcOrd="0" destOrd="0" presId="urn:microsoft.com/office/officeart/2005/8/layout/orgChart1"/>
    <dgm:cxn modelId="{DA6F5DCD-058E-4838-9BE2-868E45E2F81E}" srcId="{93D34950-95D9-45BA-BE50-76A92F318C3A}" destId="{8AC85E04-AC09-4891-9384-AD2F5844FF92}" srcOrd="0" destOrd="0" parTransId="{3BDE8280-1915-440E-AA52-33DA2B2BBE29}" sibTransId="{0DD23B48-76E0-4AA6-8811-B58778C0A5C5}"/>
    <dgm:cxn modelId="{317E3B3A-8115-4D5D-B832-6461236F06F8}" type="presOf" srcId="{ADFAC1B7-82E0-4DB7-9EB9-47B50B5E810F}" destId="{82992FA8-EF99-4C81-BA7A-1C28949758E9}" srcOrd="0" destOrd="0" presId="urn:microsoft.com/office/officeart/2005/8/layout/orgChart1"/>
    <dgm:cxn modelId="{62DAB333-0BC8-4981-8849-17D9D46B868C}" type="presOf" srcId="{6D814EA8-6361-430E-B4DF-37142F9C2614}" destId="{6AD6CBAC-F298-439B-ABF0-F3AFD6A524E2}" srcOrd="0" destOrd="0" presId="urn:microsoft.com/office/officeart/2005/8/layout/orgChart1"/>
    <dgm:cxn modelId="{7B001033-E530-49AF-9498-47D9D8983172}" type="presOf" srcId="{1BA4553A-FE9A-4039-80CB-ED7FC6CF6E34}" destId="{E3526463-C003-4DC2-84BD-C547FB6648DC}" srcOrd="0" destOrd="0" presId="urn:microsoft.com/office/officeart/2005/8/layout/orgChart1"/>
    <dgm:cxn modelId="{BA38F85D-2D40-44FA-84A1-4FED45AA0F3A}" srcId="{AFC4AED3-8BDD-4AEC-8A15-E18B588B55DD}" destId="{AB0B32E1-A3E7-4A88-A2DF-F1DFBAC1F346}" srcOrd="0" destOrd="0" parTransId="{9425CCC8-99A2-40F2-8D54-05F1D0006E61}" sibTransId="{9AE9783F-FF5B-4EDE-AB7E-510836264043}"/>
    <dgm:cxn modelId="{3E0CED76-3E23-46F2-8FC0-6C1E8AB88C7A}" type="presParOf" srcId="{1BEE69AD-6E46-46A5-99D6-CC3D5EFF37F6}" destId="{0E677A9B-9042-43F2-95A1-EFDD2218DAE4}" srcOrd="0" destOrd="0" presId="urn:microsoft.com/office/officeart/2005/8/layout/orgChart1"/>
    <dgm:cxn modelId="{2787676A-F53A-4AC9-9BE5-45162C814D7C}" type="presParOf" srcId="{0E677A9B-9042-43F2-95A1-EFDD2218DAE4}" destId="{3540D910-0FDA-4CF1-A805-01895C15C986}" srcOrd="0" destOrd="0" presId="urn:microsoft.com/office/officeart/2005/8/layout/orgChart1"/>
    <dgm:cxn modelId="{065F3AC1-53C1-41CB-A523-49D954B0516A}" type="presParOf" srcId="{3540D910-0FDA-4CF1-A805-01895C15C986}" destId="{31009FF8-0C05-4A49-BC6F-92A78BA587F9}" srcOrd="0" destOrd="0" presId="urn:microsoft.com/office/officeart/2005/8/layout/orgChart1"/>
    <dgm:cxn modelId="{9280D6C0-6047-47F1-B18C-B33CE23374C5}" type="presParOf" srcId="{3540D910-0FDA-4CF1-A805-01895C15C986}" destId="{F440C5F1-5A11-4831-B3F9-F0E3898083B5}" srcOrd="1" destOrd="0" presId="urn:microsoft.com/office/officeart/2005/8/layout/orgChart1"/>
    <dgm:cxn modelId="{A6F60A3E-320E-4754-8F94-2338A9BE4E0F}" type="presParOf" srcId="{0E677A9B-9042-43F2-95A1-EFDD2218DAE4}" destId="{B97F9E9C-5D47-4EF9-B725-8D91320FC673}" srcOrd="1" destOrd="0" presId="urn:microsoft.com/office/officeart/2005/8/layout/orgChart1"/>
    <dgm:cxn modelId="{16CE0F14-6ED3-4531-AF84-581EC939A2CD}" type="presParOf" srcId="{B97F9E9C-5D47-4EF9-B725-8D91320FC673}" destId="{21F50EBA-1C53-46E0-9F49-A99D4EC3F1EC}" srcOrd="0" destOrd="0" presId="urn:microsoft.com/office/officeart/2005/8/layout/orgChart1"/>
    <dgm:cxn modelId="{A2F16165-80E8-438F-84AF-F836034B05E7}" type="presParOf" srcId="{B97F9E9C-5D47-4EF9-B725-8D91320FC673}" destId="{6B963DBB-218C-4E37-8708-07F12BC68F10}" srcOrd="1" destOrd="0" presId="urn:microsoft.com/office/officeart/2005/8/layout/orgChart1"/>
    <dgm:cxn modelId="{71DA7BA4-634A-4B0D-A60F-7DAA14B2238E}" type="presParOf" srcId="{6B963DBB-218C-4E37-8708-07F12BC68F10}" destId="{EC4C5606-FB02-4BDA-9730-A4D2CB806E8C}" srcOrd="0" destOrd="0" presId="urn:microsoft.com/office/officeart/2005/8/layout/orgChart1"/>
    <dgm:cxn modelId="{1F4DB9B0-9CD6-4D3B-9F66-D5F320CF34D8}" type="presParOf" srcId="{EC4C5606-FB02-4BDA-9730-A4D2CB806E8C}" destId="{ADEBAA41-207C-4152-84A5-C11074FEAC1D}" srcOrd="0" destOrd="0" presId="urn:microsoft.com/office/officeart/2005/8/layout/orgChart1"/>
    <dgm:cxn modelId="{310F3368-A94D-42FF-8C1A-604A17CED02A}" type="presParOf" srcId="{EC4C5606-FB02-4BDA-9730-A4D2CB806E8C}" destId="{E9689B1F-237B-441F-909B-1A1F04283E6E}" srcOrd="1" destOrd="0" presId="urn:microsoft.com/office/officeart/2005/8/layout/orgChart1"/>
    <dgm:cxn modelId="{8FFA8D0D-776D-4339-AB15-387B0812ECFF}" type="presParOf" srcId="{6B963DBB-218C-4E37-8708-07F12BC68F10}" destId="{7A28498B-1D67-42C7-9064-292B81CFF463}" srcOrd="1" destOrd="0" presId="urn:microsoft.com/office/officeart/2005/8/layout/orgChart1"/>
    <dgm:cxn modelId="{29EB83F2-D627-4865-A63F-142E4DEE1970}" type="presParOf" srcId="{7A28498B-1D67-42C7-9064-292B81CFF463}" destId="{987D3B49-0159-436F-A08F-20E030CFC035}" srcOrd="0" destOrd="0" presId="urn:microsoft.com/office/officeart/2005/8/layout/orgChart1"/>
    <dgm:cxn modelId="{2C952C47-9806-40BE-899C-31A8559397F1}" type="presParOf" srcId="{7A28498B-1D67-42C7-9064-292B81CFF463}" destId="{F7A64E2C-CD9F-4832-BC9C-776B5CDB48FF}" srcOrd="1" destOrd="0" presId="urn:microsoft.com/office/officeart/2005/8/layout/orgChart1"/>
    <dgm:cxn modelId="{4CAAFB8B-6B98-4163-9959-282391C031B6}" type="presParOf" srcId="{F7A64E2C-CD9F-4832-BC9C-776B5CDB48FF}" destId="{692BD795-EB87-49D9-AE9D-B9C2FB701F5C}" srcOrd="0" destOrd="0" presId="urn:microsoft.com/office/officeart/2005/8/layout/orgChart1"/>
    <dgm:cxn modelId="{C0EDDF5C-BEA5-43E5-9C03-D8535C8CC64F}" type="presParOf" srcId="{692BD795-EB87-49D9-AE9D-B9C2FB701F5C}" destId="{EC8AAAE7-29CA-4283-A91A-0C91DFC76FA0}" srcOrd="0" destOrd="0" presId="urn:microsoft.com/office/officeart/2005/8/layout/orgChart1"/>
    <dgm:cxn modelId="{9244C5C8-6E1F-4F98-BBC0-4FC1BE70C72A}" type="presParOf" srcId="{692BD795-EB87-49D9-AE9D-B9C2FB701F5C}" destId="{DDED6EA6-8445-4BD9-BC3F-BC9011420012}" srcOrd="1" destOrd="0" presId="urn:microsoft.com/office/officeart/2005/8/layout/orgChart1"/>
    <dgm:cxn modelId="{AF28DC9C-36F5-43E5-A108-B0041B599EBC}" type="presParOf" srcId="{F7A64E2C-CD9F-4832-BC9C-776B5CDB48FF}" destId="{2536903C-73F3-45CE-A9E7-1DB71EE02BC0}" srcOrd="1" destOrd="0" presId="urn:microsoft.com/office/officeart/2005/8/layout/orgChart1"/>
    <dgm:cxn modelId="{5062B9A4-A2F5-429A-8149-C06B902B0F57}" type="presParOf" srcId="{F7A64E2C-CD9F-4832-BC9C-776B5CDB48FF}" destId="{EC267012-53C3-496B-B639-23E7C67828A9}" srcOrd="2" destOrd="0" presId="urn:microsoft.com/office/officeart/2005/8/layout/orgChart1"/>
    <dgm:cxn modelId="{5D135281-0141-44E4-A0AC-07FFFBBD092B}" type="presParOf" srcId="{7A28498B-1D67-42C7-9064-292B81CFF463}" destId="{260B75CB-D598-4770-A323-C652F3A46CD3}" srcOrd="2" destOrd="0" presId="urn:microsoft.com/office/officeart/2005/8/layout/orgChart1"/>
    <dgm:cxn modelId="{5976CF03-FCC7-4EF2-A0E7-8502D9D275BB}" type="presParOf" srcId="{7A28498B-1D67-42C7-9064-292B81CFF463}" destId="{75A5F210-3B18-480B-9C9A-D0D32EB45B46}" srcOrd="3" destOrd="0" presId="urn:microsoft.com/office/officeart/2005/8/layout/orgChart1"/>
    <dgm:cxn modelId="{6DB99F55-3B82-41BD-8B83-2780A0EF2F76}" type="presParOf" srcId="{75A5F210-3B18-480B-9C9A-D0D32EB45B46}" destId="{758F5D1D-9460-4DF2-B0AF-107AF25E8A29}" srcOrd="0" destOrd="0" presId="urn:microsoft.com/office/officeart/2005/8/layout/orgChart1"/>
    <dgm:cxn modelId="{F024B384-AD4A-4D71-8200-49D9CC2E1EFA}" type="presParOf" srcId="{758F5D1D-9460-4DF2-B0AF-107AF25E8A29}" destId="{3AFA3D3C-A430-4838-9BF4-9EBC42BC4292}" srcOrd="0" destOrd="0" presId="urn:microsoft.com/office/officeart/2005/8/layout/orgChart1"/>
    <dgm:cxn modelId="{D10B0886-834C-4A34-97AD-0DBD58CC88A8}" type="presParOf" srcId="{758F5D1D-9460-4DF2-B0AF-107AF25E8A29}" destId="{3D3A3999-E4C5-4C1C-9E4F-E78AF8063C3D}" srcOrd="1" destOrd="0" presId="urn:microsoft.com/office/officeart/2005/8/layout/orgChart1"/>
    <dgm:cxn modelId="{422BC7C8-3EBE-4F19-9EA9-F1971AB0A615}" type="presParOf" srcId="{75A5F210-3B18-480B-9C9A-D0D32EB45B46}" destId="{D4FF901A-24FC-49A1-A5F2-6C6034FABE56}" srcOrd="1" destOrd="0" presId="urn:microsoft.com/office/officeart/2005/8/layout/orgChart1"/>
    <dgm:cxn modelId="{C39A9063-9CE3-4329-9D0A-CA03CA2DEFE9}" type="presParOf" srcId="{75A5F210-3B18-480B-9C9A-D0D32EB45B46}" destId="{5621E5D6-803B-46F8-8224-47686BA598AD}" srcOrd="2" destOrd="0" presId="urn:microsoft.com/office/officeart/2005/8/layout/orgChart1"/>
    <dgm:cxn modelId="{046D0FAC-2510-47FD-A6F1-B0317BC73832}" type="presParOf" srcId="{7A28498B-1D67-42C7-9064-292B81CFF463}" destId="{1766DF36-D073-405E-BBAD-23C78B66A532}" srcOrd="4" destOrd="0" presId="urn:microsoft.com/office/officeart/2005/8/layout/orgChart1"/>
    <dgm:cxn modelId="{F9C53DC3-4CA7-4E22-BC47-9CA7257EEFC3}" type="presParOf" srcId="{7A28498B-1D67-42C7-9064-292B81CFF463}" destId="{B3C4D0AE-D17D-4961-BE95-E97C85D4EF33}" srcOrd="5" destOrd="0" presId="urn:microsoft.com/office/officeart/2005/8/layout/orgChart1"/>
    <dgm:cxn modelId="{67C896D3-8827-4082-B059-4075BC5C70A2}" type="presParOf" srcId="{B3C4D0AE-D17D-4961-BE95-E97C85D4EF33}" destId="{1A91E9DC-4269-4D4E-A239-DE4DF1C512B4}" srcOrd="0" destOrd="0" presId="urn:microsoft.com/office/officeart/2005/8/layout/orgChart1"/>
    <dgm:cxn modelId="{429700B6-E644-44D5-8420-76CE08B686F8}" type="presParOf" srcId="{1A91E9DC-4269-4D4E-A239-DE4DF1C512B4}" destId="{9D38795B-9B41-489E-ADFF-A9C6F7876B04}" srcOrd="0" destOrd="0" presId="urn:microsoft.com/office/officeart/2005/8/layout/orgChart1"/>
    <dgm:cxn modelId="{86029218-79EA-48F0-AB2A-DFC4462EEE4B}" type="presParOf" srcId="{1A91E9DC-4269-4D4E-A239-DE4DF1C512B4}" destId="{A7DEC62E-8776-4B25-9506-6BA0A9C6AA62}" srcOrd="1" destOrd="0" presId="urn:microsoft.com/office/officeart/2005/8/layout/orgChart1"/>
    <dgm:cxn modelId="{29159C68-A8C6-461C-BD6F-B91730829FBC}" type="presParOf" srcId="{B3C4D0AE-D17D-4961-BE95-E97C85D4EF33}" destId="{F4A15107-9B59-4B7B-87DC-E383C701168B}" srcOrd="1" destOrd="0" presId="urn:microsoft.com/office/officeart/2005/8/layout/orgChart1"/>
    <dgm:cxn modelId="{1F7ED905-C287-424A-BA5D-DF2300C51CD2}" type="presParOf" srcId="{B3C4D0AE-D17D-4961-BE95-E97C85D4EF33}" destId="{8A4C0C8D-424F-48B5-ADB1-C6D91A712DEA}" srcOrd="2" destOrd="0" presId="urn:microsoft.com/office/officeart/2005/8/layout/orgChart1"/>
    <dgm:cxn modelId="{D1991AED-9CBE-4A8F-B377-2ED7690E8F2E}" type="presParOf" srcId="{7A28498B-1D67-42C7-9064-292B81CFF463}" destId="{82E7B342-6A4B-497E-B97F-510AE5EDAA8A}" srcOrd="6" destOrd="0" presId="urn:microsoft.com/office/officeart/2005/8/layout/orgChart1"/>
    <dgm:cxn modelId="{F7219797-1B98-4723-A4CE-AFBECF71DC9B}" type="presParOf" srcId="{7A28498B-1D67-42C7-9064-292B81CFF463}" destId="{367A3D05-A33B-4002-93E9-BACE66580638}" srcOrd="7" destOrd="0" presId="urn:microsoft.com/office/officeart/2005/8/layout/orgChart1"/>
    <dgm:cxn modelId="{B4DC9FC4-D9F0-40E5-B292-5FB15A655636}" type="presParOf" srcId="{367A3D05-A33B-4002-93E9-BACE66580638}" destId="{9B0EF461-348C-485D-A596-B3CF2D453B20}" srcOrd="0" destOrd="0" presId="urn:microsoft.com/office/officeart/2005/8/layout/orgChart1"/>
    <dgm:cxn modelId="{A79CDD02-46DA-40DB-AA5B-E5A91AF0C100}" type="presParOf" srcId="{9B0EF461-348C-485D-A596-B3CF2D453B20}" destId="{B6EDE551-E6E4-4957-883E-C3B198E12148}" srcOrd="0" destOrd="0" presId="urn:microsoft.com/office/officeart/2005/8/layout/orgChart1"/>
    <dgm:cxn modelId="{6A4E7347-264A-4FB1-8EE1-40B5098932FD}" type="presParOf" srcId="{9B0EF461-348C-485D-A596-B3CF2D453B20}" destId="{FBAE772B-495B-40CB-95F9-15DB910C1C97}" srcOrd="1" destOrd="0" presId="urn:microsoft.com/office/officeart/2005/8/layout/orgChart1"/>
    <dgm:cxn modelId="{E4EDD46A-DB76-490E-A0A2-F91EA4938EF0}" type="presParOf" srcId="{367A3D05-A33B-4002-93E9-BACE66580638}" destId="{362523CA-D162-4AB3-8D33-86960C36594D}" srcOrd="1" destOrd="0" presId="urn:microsoft.com/office/officeart/2005/8/layout/orgChart1"/>
    <dgm:cxn modelId="{44BADE9F-F08C-45BC-B275-0B13EDFDD9F1}" type="presParOf" srcId="{367A3D05-A33B-4002-93E9-BACE66580638}" destId="{72C359AF-8159-4F06-ACCE-2F9DD23BAC09}" srcOrd="2" destOrd="0" presId="urn:microsoft.com/office/officeart/2005/8/layout/orgChart1"/>
    <dgm:cxn modelId="{DE7DEB7A-83C3-4DC7-B3C9-F066B731F256}" type="presParOf" srcId="{7A28498B-1D67-42C7-9064-292B81CFF463}" destId="{9E274A47-0F75-408B-BA16-1BC9A5823AB8}" srcOrd="8" destOrd="0" presId="urn:microsoft.com/office/officeart/2005/8/layout/orgChart1"/>
    <dgm:cxn modelId="{C1BEC973-D460-49D0-B9C8-C9DB069C0729}" type="presParOf" srcId="{7A28498B-1D67-42C7-9064-292B81CFF463}" destId="{9436F04B-CEA5-43A0-B80B-E143E8598F58}" srcOrd="9" destOrd="0" presId="urn:microsoft.com/office/officeart/2005/8/layout/orgChart1"/>
    <dgm:cxn modelId="{280A8EDB-3ECF-4E27-890F-EEA38D7472FB}" type="presParOf" srcId="{9436F04B-CEA5-43A0-B80B-E143E8598F58}" destId="{07DBB516-5215-42DF-976B-AF36EC82AC26}" srcOrd="0" destOrd="0" presId="urn:microsoft.com/office/officeart/2005/8/layout/orgChart1"/>
    <dgm:cxn modelId="{D77CC979-D894-4EDA-95A9-213B435B82BE}" type="presParOf" srcId="{07DBB516-5215-42DF-976B-AF36EC82AC26}" destId="{E3526463-C003-4DC2-84BD-C547FB6648DC}" srcOrd="0" destOrd="0" presId="urn:microsoft.com/office/officeart/2005/8/layout/orgChart1"/>
    <dgm:cxn modelId="{7B7E73D9-FFB1-434D-A935-D5B9B19CEF8E}" type="presParOf" srcId="{07DBB516-5215-42DF-976B-AF36EC82AC26}" destId="{317F2C53-CAEE-40A8-B2A9-7F258C147BF4}" srcOrd="1" destOrd="0" presId="urn:microsoft.com/office/officeart/2005/8/layout/orgChart1"/>
    <dgm:cxn modelId="{3190725F-D0FF-4CF2-BDDF-B3840EAE5ED8}" type="presParOf" srcId="{9436F04B-CEA5-43A0-B80B-E143E8598F58}" destId="{98979274-97C2-4F1E-9DC3-6652982390FF}" srcOrd="1" destOrd="0" presId="urn:microsoft.com/office/officeart/2005/8/layout/orgChart1"/>
    <dgm:cxn modelId="{98D64BF5-E852-4999-8C14-C11BBFB1C1E8}" type="presParOf" srcId="{9436F04B-CEA5-43A0-B80B-E143E8598F58}" destId="{F2786FCF-F4F6-4511-9866-37FB3A0E3B87}" srcOrd="2" destOrd="0" presId="urn:microsoft.com/office/officeart/2005/8/layout/orgChart1"/>
    <dgm:cxn modelId="{E853CE26-47DB-4A7B-B813-445282CF53E8}" type="presParOf" srcId="{7A28498B-1D67-42C7-9064-292B81CFF463}" destId="{BB059299-6A47-402C-A947-08C83069361E}" srcOrd="10" destOrd="0" presId="urn:microsoft.com/office/officeart/2005/8/layout/orgChart1"/>
    <dgm:cxn modelId="{ACB2703E-0062-45FE-973D-2F508D963764}" type="presParOf" srcId="{7A28498B-1D67-42C7-9064-292B81CFF463}" destId="{8E7B09D6-4EEB-4C75-938F-3349F3D2779B}" srcOrd="11" destOrd="0" presId="urn:microsoft.com/office/officeart/2005/8/layout/orgChart1"/>
    <dgm:cxn modelId="{001B687D-A396-4A06-9225-A00185E501CD}" type="presParOf" srcId="{8E7B09D6-4EEB-4C75-938F-3349F3D2779B}" destId="{3AAEBB66-11A5-4B1C-9CFC-3F035CF50716}" srcOrd="0" destOrd="0" presId="urn:microsoft.com/office/officeart/2005/8/layout/orgChart1"/>
    <dgm:cxn modelId="{FD6E7727-5DB8-4904-83B9-4F76AC535A57}" type="presParOf" srcId="{3AAEBB66-11A5-4B1C-9CFC-3F035CF50716}" destId="{569327E1-AC0E-4BF3-8927-14D2B575C0C1}" srcOrd="0" destOrd="0" presId="urn:microsoft.com/office/officeart/2005/8/layout/orgChart1"/>
    <dgm:cxn modelId="{E8C7CF57-DE15-46C5-A1CE-CD4D6EE1B50A}" type="presParOf" srcId="{3AAEBB66-11A5-4B1C-9CFC-3F035CF50716}" destId="{D913CC9B-2F9A-41EC-BE7A-ED4EF9B132CD}" srcOrd="1" destOrd="0" presId="urn:microsoft.com/office/officeart/2005/8/layout/orgChart1"/>
    <dgm:cxn modelId="{94028DB0-1011-424C-BD28-2FE6F5BD29CA}" type="presParOf" srcId="{8E7B09D6-4EEB-4C75-938F-3349F3D2779B}" destId="{62276B13-8153-4B3A-B94F-FBEB14219C58}" srcOrd="1" destOrd="0" presId="urn:microsoft.com/office/officeart/2005/8/layout/orgChart1"/>
    <dgm:cxn modelId="{72C0FA9A-C9D2-47B8-BB9E-FAA0BD655F07}" type="presParOf" srcId="{8E7B09D6-4EEB-4C75-938F-3349F3D2779B}" destId="{4CE7D583-C2FA-4FBE-B2B7-066F3501CCEC}" srcOrd="2" destOrd="0" presId="urn:microsoft.com/office/officeart/2005/8/layout/orgChart1"/>
    <dgm:cxn modelId="{690C4817-BBC9-4A24-B625-5699DD3F2CC4}" type="presParOf" srcId="{7A28498B-1D67-42C7-9064-292B81CFF463}" destId="{C6FBFAA9-DBDE-41FF-A339-1967CCBD915A}" srcOrd="12" destOrd="0" presId="urn:microsoft.com/office/officeart/2005/8/layout/orgChart1"/>
    <dgm:cxn modelId="{0DF85085-825B-4EB5-B83A-076BEAF6E15C}" type="presParOf" srcId="{7A28498B-1D67-42C7-9064-292B81CFF463}" destId="{5AC5FA7F-DD21-4B44-A6D4-59F690538FDE}" srcOrd="13" destOrd="0" presId="urn:microsoft.com/office/officeart/2005/8/layout/orgChart1"/>
    <dgm:cxn modelId="{6623FAD5-F306-4722-AC62-61467D140B96}" type="presParOf" srcId="{5AC5FA7F-DD21-4B44-A6D4-59F690538FDE}" destId="{93B4E6FF-A823-41A5-947C-9EEA6BA505FB}" srcOrd="0" destOrd="0" presId="urn:microsoft.com/office/officeart/2005/8/layout/orgChart1"/>
    <dgm:cxn modelId="{F4CC2F0E-F0BF-40E3-9B42-E3DC3421E99C}" type="presParOf" srcId="{93B4E6FF-A823-41A5-947C-9EEA6BA505FB}" destId="{D3F8AE4B-2E79-416A-BD18-230121DA5F53}" srcOrd="0" destOrd="0" presId="urn:microsoft.com/office/officeart/2005/8/layout/orgChart1"/>
    <dgm:cxn modelId="{1CB0DC5C-890C-4A7A-8125-1A35D8455AA7}" type="presParOf" srcId="{93B4E6FF-A823-41A5-947C-9EEA6BA505FB}" destId="{71588D44-C488-47F6-BCF3-246FB734D8FE}" srcOrd="1" destOrd="0" presId="urn:microsoft.com/office/officeart/2005/8/layout/orgChart1"/>
    <dgm:cxn modelId="{DA441D30-1C0F-4B1A-8D26-AFA01BC0895E}" type="presParOf" srcId="{5AC5FA7F-DD21-4B44-A6D4-59F690538FDE}" destId="{FD654DF8-D5F3-46A4-8CF4-38E7B509067B}" srcOrd="1" destOrd="0" presId="urn:microsoft.com/office/officeart/2005/8/layout/orgChart1"/>
    <dgm:cxn modelId="{63A64F80-CACA-4EFE-8011-A753CB075F13}" type="presParOf" srcId="{5AC5FA7F-DD21-4B44-A6D4-59F690538FDE}" destId="{B9E6C26D-0635-451B-8DE1-63430F89E961}" srcOrd="2" destOrd="0" presId="urn:microsoft.com/office/officeart/2005/8/layout/orgChart1"/>
    <dgm:cxn modelId="{7C5287E8-8B13-4D00-A1C9-A266F1F890C3}" type="presParOf" srcId="{6B963DBB-218C-4E37-8708-07F12BC68F10}" destId="{D105A562-FDB0-4C0D-B059-796F622C694F}" srcOrd="2" destOrd="0" presId="urn:microsoft.com/office/officeart/2005/8/layout/orgChart1"/>
    <dgm:cxn modelId="{B3230BF5-6488-4E55-BEB1-3CC708886CE6}" type="presParOf" srcId="{B97F9E9C-5D47-4EF9-B725-8D91320FC673}" destId="{97E39CB4-6C04-497F-9271-BB8B9D5C22C9}" srcOrd="2" destOrd="0" presId="urn:microsoft.com/office/officeart/2005/8/layout/orgChart1"/>
    <dgm:cxn modelId="{813BA9E8-A874-46DC-AD8C-8D42008F2132}" type="presParOf" srcId="{B97F9E9C-5D47-4EF9-B725-8D91320FC673}" destId="{6C83E56E-F29B-47C5-9D67-3A83E9E06765}" srcOrd="3" destOrd="0" presId="urn:microsoft.com/office/officeart/2005/8/layout/orgChart1"/>
    <dgm:cxn modelId="{3B42582A-6B51-42D6-80C9-FE5C5D01C8DD}" type="presParOf" srcId="{6C83E56E-F29B-47C5-9D67-3A83E9E06765}" destId="{334242B9-8A97-4558-A6BC-9AF6D65A56D2}" srcOrd="0" destOrd="0" presId="urn:microsoft.com/office/officeart/2005/8/layout/orgChart1"/>
    <dgm:cxn modelId="{52102D84-94B3-4E7D-838F-2A23D616061E}" type="presParOf" srcId="{334242B9-8A97-4558-A6BC-9AF6D65A56D2}" destId="{09BA96F5-062D-4EA3-B8E1-B4A38579D518}" srcOrd="0" destOrd="0" presId="urn:microsoft.com/office/officeart/2005/8/layout/orgChart1"/>
    <dgm:cxn modelId="{DD49C0FB-9E92-4254-9312-55797CF8700F}" type="presParOf" srcId="{334242B9-8A97-4558-A6BC-9AF6D65A56D2}" destId="{5DECA439-A2F5-471E-8A91-0E295D731723}" srcOrd="1" destOrd="0" presId="urn:microsoft.com/office/officeart/2005/8/layout/orgChart1"/>
    <dgm:cxn modelId="{0E914451-6B39-469F-8D6E-613F4A7DCD88}" type="presParOf" srcId="{6C83E56E-F29B-47C5-9D67-3A83E9E06765}" destId="{4C72AA7A-A7FD-48CF-ACE7-5FB593F3B86D}" srcOrd="1" destOrd="0" presId="urn:microsoft.com/office/officeart/2005/8/layout/orgChart1"/>
    <dgm:cxn modelId="{1FDB4DE9-619E-4379-BC83-F427AC12769E}" type="presParOf" srcId="{4C72AA7A-A7FD-48CF-ACE7-5FB593F3B86D}" destId="{42DF942E-7160-4713-BB2E-EFA516C99FE3}" srcOrd="0" destOrd="0" presId="urn:microsoft.com/office/officeart/2005/8/layout/orgChart1"/>
    <dgm:cxn modelId="{F786A2C4-E07A-4529-8125-2BD6FE91B96B}" type="presParOf" srcId="{4C72AA7A-A7FD-48CF-ACE7-5FB593F3B86D}" destId="{69BC90E0-8AFF-4641-9694-8BFD88CC603F}" srcOrd="1" destOrd="0" presId="urn:microsoft.com/office/officeart/2005/8/layout/orgChart1"/>
    <dgm:cxn modelId="{72580B42-746C-49AF-ABDB-51B21503D302}" type="presParOf" srcId="{69BC90E0-8AFF-4641-9694-8BFD88CC603F}" destId="{3CFB7171-65F3-4C80-80BC-C9974260AF0D}" srcOrd="0" destOrd="0" presId="urn:microsoft.com/office/officeart/2005/8/layout/orgChart1"/>
    <dgm:cxn modelId="{BEC0B6E1-AE14-40B0-B71B-696250AFC6E4}" type="presParOf" srcId="{3CFB7171-65F3-4C80-80BC-C9974260AF0D}" destId="{210180EB-5DEB-46B9-A64F-1271FE1B4D7C}" srcOrd="0" destOrd="0" presId="urn:microsoft.com/office/officeart/2005/8/layout/orgChart1"/>
    <dgm:cxn modelId="{AEBCE6EC-BEE6-44DB-9B88-29C9100C07FB}" type="presParOf" srcId="{3CFB7171-65F3-4C80-80BC-C9974260AF0D}" destId="{F849D20F-546F-4AD5-8603-8FF061136040}" srcOrd="1" destOrd="0" presId="urn:microsoft.com/office/officeart/2005/8/layout/orgChart1"/>
    <dgm:cxn modelId="{3E939F46-84E8-45B4-9F11-12905D5FE8A6}" type="presParOf" srcId="{69BC90E0-8AFF-4641-9694-8BFD88CC603F}" destId="{F4DEAA50-4DF4-48B3-9446-3E717EAAA27F}" srcOrd="1" destOrd="0" presId="urn:microsoft.com/office/officeart/2005/8/layout/orgChart1"/>
    <dgm:cxn modelId="{69B222ED-B2A4-4509-BA57-00A5E7D8DD2F}" type="presParOf" srcId="{69BC90E0-8AFF-4641-9694-8BFD88CC603F}" destId="{9A94D288-A013-4E4A-ABE0-50700EBBF641}" srcOrd="2" destOrd="0" presId="urn:microsoft.com/office/officeart/2005/8/layout/orgChart1"/>
    <dgm:cxn modelId="{66F07D35-14B0-4DBD-8D47-3998B842E2CE}" type="presParOf" srcId="{4C72AA7A-A7FD-48CF-ACE7-5FB593F3B86D}" destId="{67CB3990-811F-4FC9-A610-7533FACD82B1}" srcOrd="2" destOrd="0" presId="urn:microsoft.com/office/officeart/2005/8/layout/orgChart1"/>
    <dgm:cxn modelId="{4E7ADB46-6FC7-4B94-83AF-8D02CAC0A1C6}" type="presParOf" srcId="{4C72AA7A-A7FD-48CF-ACE7-5FB593F3B86D}" destId="{BBD24851-51DB-4994-BFF4-5FDF6B2CF5A0}" srcOrd="3" destOrd="0" presId="urn:microsoft.com/office/officeart/2005/8/layout/orgChart1"/>
    <dgm:cxn modelId="{88C84F4F-BBA6-41F7-B959-4D66F846E7FB}" type="presParOf" srcId="{BBD24851-51DB-4994-BFF4-5FDF6B2CF5A0}" destId="{64A5BB11-7CD2-4CCE-99E6-92AED3205C52}" srcOrd="0" destOrd="0" presId="urn:microsoft.com/office/officeart/2005/8/layout/orgChart1"/>
    <dgm:cxn modelId="{AB7D0CB5-A031-4F6D-85DC-617A50BD8504}" type="presParOf" srcId="{64A5BB11-7CD2-4CCE-99E6-92AED3205C52}" destId="{36F24CED-3E37-4B8A-ACB1-396D4CFF17C6}" srcOrd="0" destOrd="0" presId="urn:microsoft.com/office/officeart/2005/8/layout/orgChart1"/>
    <dgm:cxn modelId="{21C9BC5B-D80F-4690-8492-A341171E1597}" type="presParOf" srcId="{64A5BB11-7CD2-4CCE-99E6-92AED3205C52}" destId="{0EAA30B4-B5FE-4670-8801-2DC72487C523}" srcOrd="1" destOrd="0" presId="urn:microsoft.com/office/officeart/2005/8/layout/orgChart1"/>
    <dgm:cxn modelId="{9605CA62-B0AB-4B2D-880C-12B2F83AB780}" type="presParOf" srcId="{BBD24851-51DB-4994-BFF4-5FDF6B2CF5A0}" destId="{D76D217D-2045-4DE1-A3FC-2FBC21677C50}" srcOrd="1" destOrd="0" presId="urn:microsoft.com/office/officeart/2005/8/layout/orgChart1"/>
    <dgm:cxn modelId="{099E0857-5BC8-4B39-BC07-7479FB6E1338}" type="presParOf" srcId="{BBD24851-51DB-4994-BFF4-5FDF6B2CF5A0}" destId="{CF69F1CE-97AC-4390-9599-6B69E46F4718}" srcOrd="2" destOrd="0" presId="urn:microsoft.com/office/officeart/2005/8/layout/orgChart1"/>
    <dgm:cxn modelId="{F6877AFB-451B-4F71-A897-4509584A699D}" type="presParOf" srcId="{4C72AA7A-A7FD-48CF-ACE7-5FB593F3B86D}" destId="{39E001F2-D906-498F-82A1-C8505BBB5F64}" srcOrd="4" destOrd="0" presId="urn:microsoft.com/office/officeart/2005/8/layout/orgChart1"/>
    <dgm:cxn modelId="{9EF6C1AD-57E5-4365-B745-267A009CDAF6}" type="presParOf" srcId="{4C72AA7A-A7FD-48CF-ACE7-5FB593F3B86D}" destId="{4C5629D5-5E5D-4E00-AC16-56F9982824C1}" srcOrd="5" destOrd="0" presId="urn:microsoft.com/office/officeart/2005/8/layout/orgChart1"/>
    <dgm:cxn modelId="{2BA6D6F8-5F78-48C4-9760-837220F619AE}" type="presParOf" srcId="{4C5629D5-5E5D-4E00-AC16-56F9982824C1}" destId="{851987B0-39D8-4CDE-B98F-53696979D450}" srcOrd="0" destOrd="0" presId="urn:microsoft.com/office/officeart/2005/8/layout/orgChart1"/>
    <dgm:cxn modelId="{158BDFA1-92E6-4DDB-8D26-332360D4A0CD}" type="presParOf" srcId="{851987B0-39D8-4CDE-B98F-53696979D450}" destId="{570F714B-A2D9-4B36-B7A7-6BFAF6D48DA9}" srcOrd="0" destOrd="0" presId="urn:microsoft.com/office/officeart/2005/8/layout/orgChart1"/>
    <dgm:cxn modelId="{9BD047B2-B224-4005-9990-52746BB784D7}" type="presParOf" srcId="{851987B0-39D8-4CDE-B98F-53696979D450}" destId="{265A7224-C126-4F89-A6F8-5FA465047528}" srcOrd="1" destOrd="0" presId="urn:microsoft.com/office/officeart/2005/8/layout/orgChart1"/>
    <dgm:cxn modelId="{E4F31CB6-5F23-461C-8FB7-7130CB57A86E}" type="presParOf" srcId="{4C5629D5-5E5D-4E00-AC16-56F9982824C1}" destId="{A3D3104B-0809-42D0-85BD-04A763AD0BDB}" srcOrd="1" destOrd="0" presId="urn:microsoft.com/office/officeart/2005/8/layout/orgChart1"/>
    <dgm:cxn modelId="{CE55D958-7D13-4EA3-AC2B-543BE8C39A95}" type="presParOf" srcId="{4C5629D5-5E5D-4E00-AC16-56F9982824C1}" destId="{66284146-09C7-4647-842F-245BF80BBDAD}" srcOrd="2" destOrd="0" presId="urn:microsoft.com/office/officeart/2005/8/layout/orgChart1"/>
    <dgm:cxn modelId="{EA5F0161-D646-49A4-BDC4-C7969C83E683}" type="presParOf" srcId="{4C72AA7A-A7FD-48CF-ACE7-5FB593F3B86D}" destId="{22A4BA9C-157E-493C-B9E0-D2255A8E6282}" srcOrd="6" destOrd="0" presId="urn:microsoft.com/office/officeart/2005/8/layout/orgChart1"/>
    <dgm:cxn modelId="{38C51E8B-F890-4904-B414-C4C67D55B8FA}" type="presParOf" srcId="{4C72AA7A-A7FD-48CF-ACE7-5FB593F3B86D}" destId="{D597F615-B5BC-454E-BA7C-F4E5CD6F6C55}" srcOrd="7" destOrd="0" presId="urn:microsoft.com/office/officeart/2005/8/layout/orgChart1"/>
    <dgm:cxn modelId="{616AF68C-C8D1-417E-9D82-08D569CD05A9}" type="presParOf" srcId="{D597F615-B5BC-454E-BA7C-F4E5CD6F6C55}" destId="{A1CEC108-31E4-465A-A6C2-82907DDCE369}" srcOrd="0" destOrd="0" presId="urn:microsoft.com/office/officeart/2005/8/layout/orgChart1"/>
    <dgm:cxn modelId="{542B16BF-C212-4B00-B420-455695D5072D}" type="presParOf" srcId="{A1CEC108-31E4-465A-A6C2-82907DDCE369}" destId="{E48E5404-6EA0-4196-A567-B85B7F8F9212}" srcOrd="0" destOrd="0" presId="urn:microsoft.com/office/officeart/2005/8/layout/orgChart1"/>
    <dgm:cxn modelId="{2B030250-53A1-493A-B659-17D7A936A554}" type="presParOf" srcId="{A1CEC108-31E4-465A-A6C2-82907DDCE369}" destId="{0BDB45C9-E7CF-4FA5-A7BE-49EF16621DE9}" srcOrd="1" destOrd="0" presId="urn:microsoft.com/office/officeart/2005/8/layout/orgChart1"/>
    <dgm:cxn modelId="{94A66BB4-0BF8-4396-8051-5422E320A181}" type="presParOf" srcId="{D597F615-B5BC-454E-BA7C-F4E5CD6F6C55}" destId="{4D77D795-026A-4A11-B98F-F81859A7328A}" srcOrd="1" destOrd="0" presId="urn:microsoft.com/office/officeart/2005/8/layout/orgChart1"/>
    <dgm:cxn modelId="{BF575D70-BDAF-4B99-A50D-1355ADC52F48}" type="presParOf" srcId="{D597F615-B5BC-454E-BA7C-F4E5CD6F6C55}" destId="{8C23CEB3-1AAC-4AAB-9CBD-1366145C824A}" srcOrd="2" destOrd="0" presId="urn:microsoft.com/office/officeart/2005/8/layout/orgChart1"/>
    <dgm:cxn modelId="{5CFACAE2-4F1B-4153-84D9-EB70D0DC8BC5}" type="presParOf" srcId="{4C72AA7A-A7FD-48CF-ACE7-5FB593F3B86D}" destId="{F59ACC96-EB7B-442E-AA9F-DAAABF5427A6}" srcOrd="8" destOrd="0" presId="urn:microsoft.com/office/officeart/2005/8/layout/orgChart1"/>
    <dgm:cxn modelId="{0D35AB84-BFA3-4F92-80C0-112E2F9F7A6D}" type="presParOf" srcId="{4C72AA7A-A7FD-48CF-ACE7-5FB593F3B86D}" destId="{0A943CB2-9E30-4CD9-9517-3EAE4CF4415A}" srcOrd="9" destOrd="0" presId="urn:microsoft.com/office/officeart/2005/8/layout/orgChart1"/>
    <dgm:cxn modelId="{60E1ADEE-DCB9-4F2F-A9A3-68D2D46F5815}" type="presParOf" srcId="{0A943CB2-9E30-4CD9-9517-3EAE4CF4415A}" destId="{63F481B0-84C1-4261-83E0-33A78EBC4134}" srcOrd="0" destOrd="0" presId="urn:microsoft.com/office/officeart/2005/8/layout/orgChart1"/>
    <dgm:cxn modelId="{C6A9CDCB-907D-47C8-B5FF-A9DE1B1132E1}" type="presParOf" srcId="{63F481B0-84C1-4261-83E0-33A78EBC4134}" destId="{E15E206E-D313-464D-9D91-B359CED39B2C}" srcOrd="0" destOrd="0" presId="urn:microsoft.com/office/officeart/2005/8/layout/orgChart1"/>
    <dgm:cxn modelId="{AC717C22-FDA4-4A35-A3FA-571C98E8F640}" type="presParOf" srcId="{63F481B0-84C1-4261-83E0-33A78EBC4134}" destId="{01E17A36-C941-48A0-B31C-10C8CC87C399}" srcOrd="1" destOrd="0" presId="urn:microsoft.com/office/officeart/2005/8/layout/orgChart1"/>
    <dgm:cxn modelId="{EA123FC5-AF34-4FC7-B12F-3ACA71528F6A}" type="presParOf" srcId="{0A943CB2-9E30-4CD9-9517-3EAE4CF4415A}" destId="{321F8CAB-78D1-4890-8FF7-1CE59C99E621}" srcOrd="1" destOrd="0" presId="urn:microsoft.com/office/officeart/2005/8/layout/orgChart1"/>
    <dgm:cxn modelId="{EB655CF1-9A63-4636-A3F9-882AD6A00D30}" type="presParOf" srcId="{0A943CB2-9E30-4CD9-9517-3EAE4CF4415A}" destId="{2AF33DA8-2AAE-4F77-AC75-0D0F94C7F31F}" srcOrd="2" destOrd="0" presId="urn:microsoft.com/office/officeart/2005/8/layout/orgChart1"/>
    <dgm:cxn modelId="{DA4B46F7-57C8-4BE4-B307-6013C97186BF}" type="presParOf" srcId="{6C83E56E-F29B-47C5-9D67-3A83E9E06765}" destId="{9E0A6E88-B161-4DE1-A474-6151FC97A313}" srcOrd="2" destOrd="0" presId="urn:microsoft.com/office/officeart/2005/8/layout/orgChart1"/>
    <dgm:cxn modelId="{3DFE95CE-C08C-4BCB-9E8E-851CC77D3515}" type="presParOf" srcId="{B97F9E9C-5D47-4EF9-B725-8D91320FC673}" destId="{069E819B-B5E8-4576-8BAD-8A2C03B6E635}" srcOrd="4" destOrd="0" presId="urn:microsoft.com/office/officeart/2005/8/layout/orgChart1"/>
    <dgm:cxn modelId="{DAFEF3AA-F83A-4784-96A1-F4BCEF5FE5A2}" type="presParOf" srcId="{B97F9E9C-5D47-4EF9-B725-8D91320FC673}" destId="{3577C7B3-E6D5-459C-BC6E-729B025A512B}" srcOrd="5" destOrd="0" presId="urn:microsoft.com/office/officeart/2005/8/layout/orgChart1"/>
    <dgm:cxn modelId="{EF1240F9-45F0-4126-8D13-55AFC0F3A9D6}" type="presParOf" srcId="{3577C7B3-E6D5-459C-BC6E-729B025A512B}" destId="{F20044AC-AA59-4CE1-974D-7B83A0A21608}" srcOrd="0" destOrd="0" presId="urn:microsoft.com/office/officeart/2005/8/layout/orgChart1"/>
    <dgm:cxn modelId="{66F0450C-D5F9-4DDF-BA3A-46D96391B6F3}" type="presParOf" srcId="{F20044AC-AA59-4CE1-974D-7B83A0A21608}" destId="{D15BC635-1381-487A-B887-EA0E4768D13C}" srcOrd="0" destOrd="0" presId="urn:microsoft.com/office/officeart/2005/8/layout/orgChart1"/>
    <dgm:cxn modelId="{5B0AE38D-718F-441A-AF64-5014FA8D3104}" type="presParOf" srcId="{F20044AC-AA59-4CE1-974D-7B83A0A21608}" destId="{88EB9C13-0C6E-4047-9FD4-58ED398454D5}" srcOrd="1" destOrd="0" presId="urn:microsoft.com/office/officeart/2005/8/layout/orgChart1"/>
    <dgm:cxn modelId="{F043E7FC-6B59-46D7-A0E1-16251922EC76}" type="presParOf" srcId="{3577C7B3-E6D5-459C-BC6E-729B025A512B}" destId="{2603F356-F84D-4578-83A5-7C60D7A2BC5F}" srcOrd="1" destOrd="0" presId="urn:microsoft.com/office/officeart/2005/8/layout/orgChart1"/>
    <dgm:cxn modelId="{77554BE7-84CF-4075-945D-C30BDC856D8B}" type="presParOf" srcId="{2603F356-F84D-4578-83A5-7C60D7A2BC5F}" destId="{9C85D2A4-4F88-4158-B452-0D4AFC666571}" srcOrd="0" destOrd="0" presId="urn:microsoft.com/office/officeart/2005/8/layout/orgChart1"/>
    <dgm:cxn modelId="{A6BCE0B8-C9B6-4DC7-9944-73954CE81A94}" type="presParOf" srcId="{2603F356-F84D-4578-83A5-7C60D7A2BC5F}" destId="{C4E9F4F4-BC14-49A4-AD6E-39A7821A8443}" srcOrd="1" destOrd="0" presId="urn:microsoft.com/office/officeart/2005/8/layout/orgChart1"/>
    <dgm:cxn modelId="{55E3E47B-4439-456F-B132-2CC143606C90}" type="presParOf" srcId="{C4E9F4F4-BC14-49A4-AD6E-39A7821A8443}" destId="{F44E1C3F-16A3-4F04-B163-51F805366337}" srcOrd="0" destOrd="0" presId="urn:microsoft.com/office/officeart/2005/8/layout/orgChart1"/>
    <dgm:cxn modelId="{373ACB5F-628E-4AC0-A12F-11973E27ABB9}" type="presParOf" srcId="{F44E1C3F-16A3-4F04-B163-51F805366337}" destId="{E57E931A-94D1-497E-9DDD-832525754700}" srcOrd="0" destOrd="0" presId="urn:microsoft.com/office/officeart/2005/8/layout/orgChart1"/>
    <dgm:cxn modelId="{6CBBB430-04DA-4601-966A-927659A349A7}" type="presParOf" srcId="{F44E1C3F-16A3-4F04-B163-51F805366337}" destId="{2969968F-C1FF-45ED-83D8-8E886A4374C3}" srcOrd="1" destOrd="0" presId="urn:microsoft.com/office/officeart/2005/8/layout/orgChart1"/>
    <dgm:cxn modelId="{6664009E-28B0-4D0A-8B89-5BE7B98C42B5}" type="presParOf" srcId="{C4E9F4F4-BC14-49A4-AD6E-39A7821A8443}" destId="{804F85C6-1621-4AB9-8E22-833E8C55EE25}" srcOrd="1" destOrd="0" presId="urn:microsoft.com/office/officeart/2005/8/layout/orgChart1"/>
    <dgm:cxn modelId="{75C0131A-DE58-4673-8F1F-C0E01E8CCAD3}" type="presParOf" srcId="{C4E9F4F4-BC14-49A4-AD6E-39A7821A8443}" destId="{BB528F15-BC1D-47A5-A058-0458B61F336A}" srcOrd="2" destOrd="0" presId="urn:microsoft.com/office/officeart/2005/8/layout/orgChart1"/>
    <dgm:cxn modelId="{966756FB-0415-4E21-84CB-6B28D5CFA0BA}" type="presParOf" srcId="{2603F356-F84D-4578-83A5-7C60D7A2BC5F}" destId="{4BEAB7F2-FA7C-4E0A-A220-173A9333C699}" srcOrd="2" destOrd="0" presId="urn:microsoft.com/office/officeart/2005/8/layout/orgChart1"/>
    <dgm:cxn modelId="{9905E743-4B7C-4B0D-A077-DB976CEC2C77}" type="presParOf" srcId="{2603F356-F84D-4578-83A5-7C60D7A2BC5F}" destId="{42F23E53-642B-4623-AC75-6AF592A9845F}" srcOrd="3" destOrd="0" presId="urn:microsoft.com/office/officeart/2005/8/layout/orgChart1"/>
    <dgm:cxn modelId="{3652F14C-5782-41F8-8956-37CFD21D9810}" type="presParOf" srcId="{42F23E53-642B-4623-AC75-6AF592A9845F}" destId="{FED00D6F-D33D-4262-90B7-3DD8B7C4AF4E}" srcOrd="0" destOrd="0" presId="urn:microsoft.com/office/officeart/2005/8/layout/orgChart1"/>
    <dgm:cxn modelId="{85C57202-3CAF-4C9C-8EF5-399F03292F94}" type="presParOf" srcId="{FED00D6F-D33D-4262-90B7-3DD8B7C4AF4E}" destId="{1056720E-7562-4A2E-8C21-7EFD89FF1472}" srcOrd="0" destOrd="0" presId="urn:microsoft.com/office/officeart/2005/8/layout/orgChart1"/>
    <dgm:cxn modelId="{F3161E76-0183-4436-A8F9-99505755A8BB}" type="presParOf" srcId="{FED00D6F-D33D-4262-90B7-3DD8B7C4AF4E}" destId="{B5E0D84B-D423-430D-B942-ADE9CF40CE65}" srcOrd="1" destOrd="0" presId="urn:microsoft.com/office/officeart/2005/8/layout/orgChart1"/>
    <dgm:cxn modelId="{06C62507-3A2D-49FD-B46D-2511548614A2}" type="presParOf" srcId="{42F23E53-642B-4623-AC75-6AF592A9845F}" destId="{6DCC118C-1649-4D2E-AB28-F7ED97CDAA07}" srcOrd="1" destOrd="0" presId="urn:microsoft.com/office/officeart/2005/8/layout/orgChart1"/>
    <dgm:cxn modelId="{C60E77AA-B5CF-47A0-8360-CFBDBBFD246C}" type="presParOf" srcId="{42F23E53-642B-4623-AC75-6AF592A9845F}" destId="{1DE85E66-F46C-497C-B5B4-607BBAEE9EF1}" srcOrd="2" destOrd="0" presId="urn:microsoft.com/office/officeart/2005/8/layout/orgChart1"/>
    <dgm:cxn modelId="{F4C40E98-10B0-4A95-AFF0-F22E56933575}" type="presParOf" srcId="{2603F356-F84D-4578-83A5-7C60D7A2BC5F}" destId="{2EC37F5E-B30F-4122-A45B-F8D6E6E1D539}" srcOrd="4" destOrd="0" presId="urn:microsoft.com/office/officeart/2005/8/layout/orgChart1"/>
    <dgm:cxn modelId="{112C249D-3BFB-4477-9C68-E67CC3F0A3E0}" type="presParOf" srcId="{2603F356-F84D-4578-83A5-7C60D7A2BC5F}" destId="{A5B3D254-E6E5-4D4A-A85C-0B403D925F27}" srcOrd="5" destOrd="0" presId="urn:microsoft.com/office/officeart/2005/8/layout/orgChart1"/>
    <dgm:cxn modelId="{882D3503-FEE7-4F51-BDA1-9C42054EF8E8}" type="presParOf" srcId="{A5B3D254-E6E5-4D4A-A85C-0B403D925F27}" destId="{5E2A9871-4024-4D7D-A479-E9307A931B49}" srcOrd="0" destOrd="0" presId="urn:microsoft.com/office/officeart/2005/8/layout/orgChart1"/>
    <dgm:cxn modelId="{1605350D-5D14-478F-A194-5AD2CF3AE5FD}" type="presParOf" srcId="{5E2A9871-4024-4D7D-A479-E9307A931B49}" destId="{61220A00-E870-45E3-9554-1E263AA1DB39}" srcOrd="0" destOrd="0" presId="urn:microsoft.com/office/officeart/2005/8/layout/orgChart1"/>
    <dgm:cxn modelId="{2A0D03BE-4742-4A52-B381-D4DDB0BF1ED0}" type="presParOf" srcId="{5E2A9871-4024-4D7D-A479-E9307A931B49}" destId="{06C4F2F5-8836-4002-BFA1-80B5E50DB928}" srcOrd="1" destOrd="0" presId="urn:microsoft.com/office/officeart/2005/8/layout/orgChart1"/>
    <dgm:cxn modelId="{58A1A63D-DD43-4F30-B55A-A533A88BC349}" type="presParOf" srcId="{A5B3D254-E6E5-4D4A-A85C-0B403D925F27}" destId="{D9D45D6B-6D77-442F-A90B-A7B3FDE9CB73}" srcOrd="1" destOrd="0" presId="urn:microsoft.com/office/officeart/2005/8/layout/orgChart1"/>
    <dgm:cxn modelId="{C8309CDF-84BF-412D-847F-60C2B4F2995C}" type="presParOf" srcId="{A5B3D254-E6E5-4D4A-A85C-0B403D925F27}" destId="{A7C28DA4-4541-4B77-916F-6FE546D041D8}" srcOrd="2" destOrd="0" presId="urn:microsoft.com/office/officeart/2005/8/layout/orgChart1"/>
    <dgm:cxn modelId="{0B6BCC84-15E4-4B93-9733-20E5FFE02145}" type="presParOf" srcId="{2603F356-F84D-4578-83A5-7C60D7A2BC5F}" destId="{69ABE3F0-C12F-4FB9-A9A3-F0BF5B2BC785}" srcOrd="6" destOrd="0" presId="urn:microsoft.com/office/officeart/2005/8/layout/orgChart1"/>
    <dgm:cxn modelId="{3DFF6E8F-3034-4ACC-A98E-7BCF9976A289}" type="presParOf" srcId="{2603F356-F84D-4578-83A5-7C60D7A2BC5F}" destId="{80138CEC-D5D2-479E-9EE0-C70001181850}" srcOrd="7" destOrd="0" presId="urn:microsoft.com/office/officeart/2005/8/layout/orgChart1"/>
    <dgm:cxn modelId="{7877E1F6-F2E9-4629-B923-DCFA66CD3658}" type="presParOf" srcId="{80138CEC-D5D2-479E-9EE0-C70001181850}" destId="{53C71A89-15D1-4E19-90FB-01961144337F}" srcOrd="0" destOrd="0" presId="urn:microsoft.com/office/officeart/2005/8/layout/orgChart1"/>
    <dgm:cxn modelId="{1E6CD3AD-561D-4784-A814-86B12009FB41}" type="presParOf" srcId="{53C71A89-15D1-4E19-90FB-01961144337F}" destId="{A98A120C-E313-4C90-B923-3B346A3AB770}" srcOrd="0" destOrd="0" presId="urn:microsoft.com/office/officeart/2005/8/layout/orgChart1"/>
    <dgm:cxn modelId="{053FA86E-4AE7-4AE6-9805-C1BC00A27C86}" type="presParOf" srcId="{53C71A89-15D1-4E19-90FB-01961144337F}" destId="{799D6E38-EE05-4B08-A1A4-3B2CDBD376E3}" srcOrd="1" destOrd="0" presId="urn:microsoft.com/office/officeart/2005/8/layout/orgChart1"/>
    <dgm:cxn modelId="{50F5F750-CD10-42FD-9D3A-A845ADADB7E3}" type="presParOf" srcId="{80138CEC-D5D2-479E-9EE0-C70001181850}" destId="{60719C61-EA97-4798-A8A5-6C2E7A4014B3}" srcOrd="1" destOrd="0" presId="urn:microsoft.com/office/officeart/2005/8/layout/orgChart1"/>
    <dgm:cxn modelId="{8E33BA28-362D-43EC-A500-6FCF8FA9F817}" type="presParOf" srcId="{80138CEC-D5D2-479E-9EE0-C70001181850}" destId="{7EDED7AA-A8AC-47F0-A0A5-4DF8032809DD}" srcOrd="2" destOrd="0" presId="urn:microsoft.com/office/officeart/2005/8/layout/orgChart1"/>
    <dgm:cxn modelId="{2B0A9241-3742-4297-B671-9E91505A975D}" type="presParOf" srcId="{2603F356-F84D-4578-83A5-7C60D7A2BC5F}" destId="{A632D6A3-48DF-4DAE-B9B9-F91B95B2FCFE}" srcOrd="8" destOrd="0" presId="urn:microsoft.com/office/officeart/2005/8/layout/orgChart1"/>
    <dgm:cxn modelId="{51B74CC5-90AA-478B-A3D7-C2CD3945C9FF}" type="presParOf" srcId="{2603F356-F84D-4578-83A5-7C60D7A2BC5F}" destId="{C669141A-9622-4CA2-B980-20E476F0B1AA}" srcOrd="9" destOrd="0" presId="urn:microsoft.com/office/officeart/2005/8/layout/orgChart1"/>
    <dgm:cxn modelId="{FF7F9299-627F-43DA-9CDB-33AC3C0411AE}" type="presParOf" srcId="{C669141A-9622-4CA2-B980-20E476F0B1AA}" destId="{2D1970D2-7836-4EB8-B916-3C0AC5ACD201}" srcOrd="0" destOrd="0" presId="urn:microsoft.com/office/officeart/2005/8/layout/orgChart1"/>
    <dgm:cxn modelId="{69D844E7-97C9-4155-BB8A-FDEA4C328844}" type="presParOf" srcId="{2D1970D2-7836-4EB8-B916-3C0AC5ACD201}" destId="{BA793A9D-476D-43C9-9033-F19508D0AB8D}" srcOrd="0" destOrd="0" presId="urn:microsoft.com/office/officeart/2005/8/layout/orgChart1"/>
    <dgm:cxn modelId="{56CC1895-4EF9-4E05-8711-E92E695CD92A}" type="presParOf" srcId="{2D1970D2-7836-4EB8-B916-3C0AC5ACD201}" destId="{C447EE95-AB46-4EF1-BD17-E33EADA322EE}" srcOrd="1" destOrd="0" presId="urn:microsoft.com/office/officeart/2005/8/layout/orgChart1"/>
    <dgm:cxn modelId="{C12ED802-B8FD-482E-BDE5-57762A6A65AF}" type="presParOf" srcId="{C669141A-9622-4CA2-B980-20E476F0B1AA}" destId="{8E21BFCC-C198-4FE0-B80B-935F31BD3E26}" srcOrd="1" destOrd="0" presId="urn:microsoft.com/office/officeart/2005/8/layout/orgChart1"/>
    <dgm:cxn modelId="{72A5AF27-1647-4D30-BA81-D36AC06B0289}" type="presParOf" srcId="{C669141A-9622-4CA2-B980-20E476F0B1AA}" destId="{13733E19-129A-4717-BE25-AE7BF3654D44}" srcOrd="2" destOrd="0" presId="urn:microsoft.com/office/officeart/2005/8/layout/orgChart1"/>
    <dgm:cxn modelId="{CFE752A4-6E26-4431-991E-5CB2C93E2752}" type="presParOf" srcId="{3577C7B3-E6D5-459C-BC6E-729B025A512B}" destId="{7731C63C-F35B-44AA-97D2-9C01B92515FF}" srcOrd="2" destOrd="0" presId="urn:microsoft.com/office/officeart/2005/8/layout/orgChart1"/>
    <dgm:cxn modelId="{912D50B3-7BCF-4339-AF59-859F0ED2EB39}" type="presParOf" srcId="{B97F9E9C-5D47-4EF9-B725-8D91320FC673}" destId="{F8034975-A3B4-467A-8726-0AA50F6BFF6E}" srcOrd="6" destOrd="0" presId="urn:microsoft.com/office/officeart/2005/8/layout/orgChart1"/>
    <dgm:cxn modelId="{193569A1-ADDD-4A91-89BA-E5656FC3A8B0}" type="presParOf" srcId="{B97F9E9C-5D47-4EF9-B725-8D91320FC673}" destId="{4C12670D-EA35-4FF4-AFAF-9F4B13FAEE6B}" srcOrd="7" destOrd="0" presId="urn:microsoft.com/office/officeart/2005/8/layout/orgChart1"/>
    <dgm:cxn modelId="{73A1FE4D-F1DB-4CA7-9400-7C070B4D487C}" type="presParOf" srcId="{4C12670D-EA35-4FF4-AFAF-9F4B13FAEE6B}" destId="{38AFAF36-93AA-4774-B3BC-56BBF9857285}" srcOrd="0" destOrd="0" presId="urn:microsoft.com/office/officeart/2005/8/layout/orgChart1"/>
    <dgm:cxn modelId="{D2E4AF55-7B13-4B32-8268-8407DE1AD4A2}" type="presParOf" srcId="{38AFAF36-93AA-4774-B3BC-56BBF9857285}" destId="{CF73991B-ECC4-4C87-9BB7-AEABA562AE25}" srcOrd="0" destOrd="0" presId="urn:microsoft.com/office/officeart/2005/8/layout/orgChart1"/>
    <dgm:cxn modelId="{5E679FEB-32BB-43AF-A9B9-3E021723B770}" type="presParOf" srcId="{38AFAF36-93AA-4774-B3BC-56BBF9857285}" destId="{739D4205-6AB6-4C39-9652-31621482F45B}" srcOrd="1" destOrd="0" presId="urn:microsoft.com/office/officeart/2005/8/layout/orgChart1"/>
    <dgm:cxn modelId="{1D3028CD-6ABF-48B1-A3DA-9F087C096F92}" type="presParOf" srcId="{4C12670D-EA35-4FF4-AFAF-9F4B13FAEE6B}" destId="{A4D7E6B7-92D8-40D4-B636-5F5973D3B9EF}" srcOrd="1" destOrd="0" presId="urn:microsoft.com/office/officeart/2005/8/layout/orgChart1"/>
    <dgm:cxn modelId="{1BB752E8-FF13-4191-8D47-134629C73804}" type="presParOf" srcId="{A4D7E6B7-92D8-40D4-B636-5F5973D3B9EF}" destId="{EFB6269C-0454-4D28-BDF1-7793E328A9E5}" srcOrd="0" destOrd="0" presId="urn:microsoft.com/office/officeart/2005/8/layout/orgChart1"/>
    <dgm:cxn modelId="{C36CB9E5-ED95-45E5-AD2C-573A5C558004}" type="presParOf" srcId="{A4D7E6B7-92D8-40D4-B636-5F5973D3B9EF}" destId="{20781ACC-2DE9-43CF-B148-9D36BF2658F5}" srcOrd="1" destOrd="0" presId="urn:microsoft.com/office/officeart/2005/8/layout/orgChart1"/>
    <dgm:cxn modelId="{4C99D175-21C8-469C-99A9-AA325513B0E5}" type="presParOf" srcId="{20781ACC-2DE9-43CF-B148-9D36BF2658F5}" destId="{9DE8CD38-BF2B-4EB1-909F-187C9A4ED1B3}" srcOrd="0" destOrd="0" presId="urn:microsoft.com/office/officeart/2005/8/layout/orgChart1"/>
    <dgm:cxn modelId="{E8046368-A946-4138-B7BD-2E21EBB56284}" type="presParOf" srcId="{9DE8CD38-BF2B-4EB1-909F-187C9A4ED1B3}" destId="{16F8A3CD-4B24-44B1-96FF-E5FC7A779761}" srcOrd="0" destOrd="0" presId="urn:microsoft.com/office/officeart/2005/8/layout/orgChart1"/>
    <dgm:cxn modelId="{24B18750-A67A-4164-AB55-451A089143F5}" type="presParOf" srcId="{9DE8CD38-BF2B-4EB1-909F-187C9A4ED1B3}" destId="{C94ACE22-B5CC-4E8D-B4DC-B029A9968605}" srcOrd="1" destOrd="0" presId="urn:microsoft.com/office/officeart/2005/8/layout/orgChart1"/>
    <dgm:cxn modelId="{9D4131C2-9D71-4F85-BFFB-1671A506CDB8}" type="presParOf" srcId="{20781ACC-2DE9-43CF-B148-9D36BF2658F5}" destId="{0E52CBF1-4AC3-46E1-96AC-EBC8969FA4AB}" srcOrd="1" destOrd="0" presId="urn:microsoft.com/office/officeart/2005/8/layout/orgChart1"/>
    <dgm:cxn modelId="{2623BD3B-2614-49EB-A148-56DF3ACDBFDE}" type="presParOf" srcId="{20781ACC-2DE9-43CF-B148-9D36BF2658F5}" destId="{4891A555-5CD1-4725-A6E3-E0A2BABF3A0E}" srcOrd="2" destOrd="0" presId="urn:microsoft.com/office/officeart/2005/8/layout/orgChart1"/>
    <dgm:cxn modelId="{4B3AC7A0-F56D-4764-9F58-2C6EC6C9661A}" type="presParOf" srcId="{A4D7E6B7-92D8-40D4-B636-5F5973D3B9EF}" destId="{E64A3871-3AA2-49B4-970D-9A15D7DD038C}" srcOrd="2" destOrd="0" presId="urn:microsoft.com/office/officeart/2005/8/layout/orgChart1"/>
    <dgm:cxn modelId="{8F3BE7BE-B781-4DD2-BCE6-807A80E2E06B}" type="presParOf" srcId="{A4D7E6B7-92D8-40D4-B636-5F5973D3B9EF}" destId="{24AE3D9D-2907-47EC-A54A-662EBCB7F2D0}" srcOrd="3" destOrd="0" presId="urn:microsoft.com/office/officeart/2005/8/layout/orgChart1"/>
    <dgm:cxn modelId="{A601E9F2-CDFF-48EC-A834-49689006407C}" type="presParOf" srcId="{24AE3D9D-2907-47EC-A54A-662EBCB7F2D0}" destId="{5CE89288-C270-43F7-9207-47CA1FAD4494}" srcOrd="0" destOrd="0" presId="urn:microsoft.com/office/officeart/2005/8/layout/orgChart1"/>
    <dgm:cxn modelId="{4D475160-D2B5-42E2-8BC8-775C25170EAE}" type="presParOf" srcId="{5CE89288-C270-43F7-9207-47CA1FAD4494}" destId="{44737048-7071-4E27-989D-311ACDC29A3E}" srcOrd="0" destOrd="0" presId="urn:microsoft.com/office/officeart/2005/8/layout/orgChart1"/>
    <dgm:cxn modelId="{403F9795-A78A-408E-99E3-64130CDFFDE2}" type="presParOf" srcId="{5CE89288-C270-43F7-9207-47CA1FAD4494}" destId="{258BA8B1-29FF-443B-A198-574AD17652F5}" srcOrd="1" destOrd="0" presId="urn:microsoft.com/office/officeart/2005/8/layout/orgChart1"/>
    <dgm:cxn modelId="{3EBF0D6C-288E-4BEE-97DC-835BEFFC4554}" type="presParOf" srcId="{24AE3D9D-2907-47EC-A54A-662EBCB7F2D0}" destId="{9EA62476-28F3-4445-A512-9FDB0663F27F}" srcOrd="1" destOrd="0" presId="urn:microsoft.com/office/officeart/2005/8/layout/orgChart1"/>
    <dgm:cxn modelId="{75FC0229-5A0A-4813-B937-2057122132F4}" type="presParOf" srcId="{24AE3D9D-2907-47EC-A54A-662EBCB7F2D0}" destId="{2D46236E-8C47-4E67-9FBB-2BFE10262CCB}" srcOrd="2" destOrd="0" presId="urn:microsoft.com/office/officeart/2005/8/layout/orgChart1"/>
    <dgm:cxn modelId="{1C9AA218-BBE1-4F06-8E91-280A5D6EF570}" type="presParOf" srcId="{A4D7E6B7-92D8-40D4-B636-5F5973D3B9EF}" destId="{9433FB7E-563B-41F3-8789-12D95EB19944}" srcOrd="4" destOrd="0" presId="urn:microsoft.com/office/officeart/2005/8/layout/orgChart1"/>
    <dgm:cxn modelId="{56AE77B3-0CCA-4205-B212-68469DB9ADE5}" type="presParOf" srcId="{A4D7E6B7-92D8-40D4-B636-5F5973D3B9EF}" destId="{8E272D27-181D-431C-BB87-4F1D5B4DDD5D}" srcOrd="5" destOrd="0" presId="urn:microsoft.com/office/officeart/2005/8/layout/orgChart1"/>
    <dgm:cxn modelId="{C36749AA-FC78-45BC-AB44-28F8C89BDC96}" type="presParOf" srcId="{8E272D27-181D-431C-BB87-4F1D5B4DDD5D}" destId="{CBE3EC55-C139-47C3-969C-84D236AF96CA}" srcOrd="0" destOrd="0" presId="urn:microsoft.com/office/officeart/2005/8/layout/orgChart1"/>
    <dgm:cxn modelId="{EF98134B-6629-4946-88BA-D48A81CCCFC8}" type="presParOf" srcId="{CBE3EC55-C139-47C3-969C-84D236AF96CA}" destId="{11BE3CDF-CA3C-47C9-AA04-31D183197853}" srcOrd="0" destOrd="0" presId="urn:microsoft.com/office/officeart/2005/8/layout/orgChart1"/>
    <dgm:cxn modelId="{211A1BE2-2450-4C5C-9348-A93D25E1C176}" type="presParOf" srcId="{CBE3EC55-C139-47C3-969C-84D236AF96CA}" destId="{1C678C23-7084-4842-9ED2-6D65C1C9572E}" srcOrd="1" destOrd="0" presId="urn:microsoft.com/office/officeart/2005/8/layout/orgChart1"/>
    <dgm:cxn modelId="{4D2CB415-32FD-488E-BD9B-2A17844A59A5}" type="presParOf" srcId="{8E272D27-181D-431C-BB87-4F1D5B4DDD5D}" destId="{C86A5543-A9D3-423B-AE78-745221C8CA9E}" srcOrd="1" destOrd="0" presId="urn:microsoft.com/office/officeart/2005/8/layout/orgChart1"/>
    <dgm:cxn modelId="{1D87D466-66C0-494C-A952-1D8DF39331EF}" type="presParOf" srcId="{8E272D27-181D-431C-BB87-4F1D5B4DDD5D}" destId="{8B02DDB2-19E7-4547-9BC0-7AC8AC37576A}" srcOrd="2" destOrd="0" presId="urn:microsoft.com/office/officeart/2005/8/layout/orgChart1"/>
    <dgm:cxn modelId="{E422AFD8-04A2-45A4-B0DD-927FC47E730C}" type="presParOf" srcId="{A4D7E6B7-92D8-40D4-B636-5F5973D3B9EF}" destId="{B6D060C5-E9F6-452D-85C9-4386FBD8C382}" srcOrd="6" destOrd="0" presId="urn:microsoft.com/office/officeart/2005/8/layout/orgChart1"/>
    <dgm:cxn modelId="{84BF4402-5D9F-4951-8AF4-CDA7A510A9CE}" type="presParOf" srcId="{A4D7E6B7-92D8-40D4-B636-5F5973D3B9EF}" destId="{03672C5C-E5B2-42F6-86D5-B1F3C986D6B9}" srcOrd="7" destOrd="0" presId="urn:microsoft.com/office/officeart/2005/8/layout/orgChart1"/>
    <dgm:cxn modelId="{29764E93-1013-47A8-B4A6-E09F3D2411D2}" type="presParOf" srcId="{03672C5C-E5B2-42F6-86D5-B1F3C986D6B9}" destId="{4248ACED-CA05-4FE7-896A-FDFF3D459CDE}" srcOrd="0" destOrd="0" presId="urn:microsoft.com/office/officeart/2005/8/layout/orgChart1"/>
    <dgm:cxn modelId="{1ED1A1C6-CC1F-4D24-8764-8D24B55BB318}" type="presParOf" srcId="{4248ACED-CA05-4FE7-896A-FDFF3D459CDE}" destId="{1CF53F44-AB18-49E8-A6AB-1B1F380ED7F6}" srcOrd="0" destOrd="0" presId="urn:microsoft.com/office/officeart/2005/8/layout/orgChart1"/>
    <dgm:cxn modelId="{05125566-B001-4DB9-B0F6-8AECFD33FB3C}" type="presParOf" srcId="{4248ACED-CA05-4FE7-896A-FDFF3D459CDE}" destId="{4E407959-A7A1-4349-ACB6-72FDD9DD5537}" srcOrd="1" destOrd="0" presId="urn:microsoft.com/office/officeart/2005/8/layout/orgChart1"/>
    <dgm:cxn modelId="{1F1E3936-5F71-408C-9534-A383284E636B}" type="presParOf" srcId="{03672C5C-E5B2-42F6-86D5-B1F3C986D6B9}" destId="{4D5D4DC8-E362-4D2B-A408-B97F808646EA}" srcOrd="1" destOrd="0" presId="urn:microsoft.com/office/officeart/2005/8/layout/orgChart1"/>
    <dgm:cxn modelId="{8DA1C4CA-B5BF-4396-AE1C-ACE0F5E8E49D}" type="presParOf" srcId="{03672C5C-E5B2-42F6-86D5-B1F3C986D6B9}" destId="{0DEE7FD2-9DD0-47E2-9F75-4A87ACBDB59A}" srcOrd="2" destOrd="0" presId="urn:microsoft.com/office/officeart/2005/8/layout/orgChart1"/>
    <dgm:cxn modelId="{BEE03090-448C-4A86-ACD8-B8CD6DF8504B}" type="presParOf" srcId="{4C12670D-EA35-4FF4-AFAF-9F4B13FAEE6B}" destId="{6B9DE88D-52B1-4BD6-BED3-625405634D1F}" srcOrd="2" destOrd="0" presId="urn:microsoft.com/office/officeart/2005/8/layout/orgChart1"/>
    <dgm:cxn modelId="{140A8173-81B9-4325-AA50-0ADCB9203349}" type="presParOf" srcId="{0E677A9B-9042-43F2-95A1-EFDD2218DAE4}" destId="{D60731A2-4857-4CC5-A7B5-385FFDDD5426}" srcOrd="2" destOrd="0" presId="urn:microsoft.com/office/officeart/2005/8/layout/orgChart1"/>
    <dgm:cxn modelId="{BD0183F5-857D-4D51-BFF1-A503272E4FFB}" type="presParOf" srcId="{D60731A2-4857-4CC5-A7B5-385FFDDD5426}" destId="{2CFC7C36-08AF-4389-86AE-F40FBAC3D706}" srcOrd="0" destOrd="0" presId="urn:microsoft.com/office/officeart/2005/8/layout/orgChart1"/>
    <dgm:cxn modelId="{A67D3806-B381-41F1-A294-A08750CCFD1A}" type="presParOf" srcId="{D60731A2-4857-4CC5-A7B5-385FFDDD5426}" destId="{CF76CF7E-6470-4FFB-B3CA-6B2B6969CAA6}" srcOrd="1" destOrd="0" presId="urn:microsoft.com/office/officeart/2005/8/layout/orgChart1"/>
    <dgm:cxn modelId="{F33E9C0D-194D-4906-AD26-AC4A94BABA0D}" type="presParOf" srcId="{CF76CF7E-6470-4FFB-B3CA-6B2B6969CAA6}" destId="{4DBD3679-E55A-46A2-91B0-329761DD7644}" srcOrd="0" destOrd="0" presId="urn:microsoft.com/office/officeart/2005/8/layout/orgChart1"/>
    <dgm:cxn modelId="{586742E2-7FE3-4C33-9D4A-29264C1B8AA5}" type="presParOf" srcId="{4DBD3679-E55A-46A2-91B0-329761DD7644}" destId="{6AD6CBAC-F298-439B-ABF0-F3AFD6A524E2}" srcOrd="0" destOrd="0" presId="urn:microsoft.com/office/officeart/2005/8/layout/orgChart1"/>
    <dgm:cxn modelId="{C8365468-01E4-4164-99AC-AF0A1BBD12AC}" type="presParOf" srcId="{4DBD3679-E55A-46A2-91B0-329761DD7644}" destId="{CC37C035-3F83-49D9-8C06-348CC460AAF0}" srcOrd="1" destOrd="0" presId="urn:microsoft.com/office/officeart/2005/8/layout/orgChart1"/>
    <dgm:cxn modelId="{B1873B58-F821-484F-A5D6-532B6EE3C86D}" type="presParOf" srcId="{CF76CF7E-6470-4FFB-B3CA-6B2B6969CAA6}" destId="{51044E7B-4BFF-4FB7-A7FF-2B2BECD2D169}" srcOrd="1" destOrd="0" presId="urn:microsoft.com/office/officeart/2005/8/layout/orgChart1"/>
    <dgm:cxn modelId="{959ADC68-380A-464C-9FBC-A946359F3C13}" type="presParOf" srcId="{CF76CF7E-6470-4FFB-B3CA-6B2B6969CAA6}" destId="{C7E3E4CF-A249-4105-97F1-EDC9C99C34B0}" srcOrd="2" destOrd="0" presId="urn:microsoft.com/office/officeart/2005/8/layout/orgChart1"/>
    <dgm:cxn modelId="{91DA2074-C74F-4FD3-8273-73625D8D2002}" type="presParOf" srcId="{D60731A2-4857-4CC5-A7B5-385FFDDD5426}" destId="{EF68471C-40C5-48D8-B07A-C5E5E41DDF3E}" srcOrd="2" destOrd="0" presId="urn:microsoft.com/office/officeart/2005/8/layout/orgChart1"/>
    <dgm:cxn modelId="{8924537A-BB03-46D1-8FC8-059802374EDA}" type="presParOf" srcId="{D60731A2-4857-4CC5-A7B5-385FFDDD5426}" destId="{59EE05C9-2A39-4799-9B4D-F1DA86B9442C}" srcOrd="3" destOrd="0" presId="urn:microsoft.com/office/officeart/2005/8/layout/orgChart1"/>
    <dgm:cxn modelId="{7B2FD68F-B053-47B7-A5C0-3D9BA8347BC9}" type="presParOf" srcId="{59EE05C9-2A39-4799-9B4D-F1DA86B9442C}" destId="{AAD89A5E-D7C4-46C0-A8D1-26A574F73EC1}" srcOrd="0" destOrd="0" presId="urn:microsoft.com/office/officeart/2005/8/layout/orgChart1"/>
    <dgm:cxn modelId="{9E05AE8F-746E-483B-8538-494995033538}" type="presParOf" srcId="{AAD89A5E-D7C4-46C0-A8D1-26A574F73EC1}" destId="{82992FA8-EF99-4C81-BA7A-1C28949758E9}" srcOrd="0" destOrd="0" presId="urn:microsoft.com/office/officeart/2005/8/layout/orgChart1"/>
    <dgm:cxn modelId="{E4023DB3-09AC-48ED-9EEE-812414F244BD}" type="presParOf" srcId="{AAD89A5E-D7C4-46C0-A8D1-26A574F73EC1}" destId="{4F566566-03A1-46D8-B2EF-EF59DF4F8B57}" srcOrd="1" destOrd="0" presId="urn:microsoft.com/office/officeart/2005/8/layout/orgChart1"/>
    <dgm:cxn modelId="{0EFE5910-89C5-4B0C-822C-19F1C554BC68}" type="presParOf" srcId="{59EE05C9-2A39-4799-9B4D-F1DA86B9442C}" destId="{1B5DA46E-33FF-4F51-BD6D-71A4BFC54BE5}" srcOrd="1" destOrd="0" presId="urn:microsoft.com/office/officeart/2005/8/layout/orgChart1"/>
    <dgm:cxn modelId="{38CECC06-FABB-4BB1-A6D2-25E620876A84}" type="presParOf" srcId="{59EE05C9-2A39-4799-9B4D-F1DA86B9442C}" destId="{E8EACF5D-3147-408B-BBED-41AF9E59FB49}" srcOrd="2" destOrd="0" presId="urn:microsoft.com/office/officeart/2005/8/layout/orgChart1"/>
    <dgm:cxn modelId="{99A1A305-DB3F-4AB5-A2CC-7A24441C5A14}" type="presParOf" srcId="{E8EACF5D-3147-408B-BBED-41AF9E59FB49}" destId="{3001ADFC-252B-425C-9D9D-6131ADFC7621}" srcOrd="0" destOrd="0" presId="urn:microsoft.com/office/officeart/2005/8/layout/orgChart1"/>
    <dgm:cxn modelId="{954AC8C9-32A5-482A-BA83-427DA4BC5A4B}" type="presParOf" srcId="{E8EACF5D-3147-408B-BBED-41AF9E59FB49}" destId="{9F950751-1117-4379-BEB8-C3700DBDCB69}" srcOrd="1" destOrd="0" presId="urn:microsoft.com/office/officeart/2005/8/layout/orgChart1"/>
    <dgm:cxn modelId="{F5F710B9-86F2-4C50-AEFC-3C14349798B8}" type="presParOf" srcId="{9F950751-1117-4379-BEB8-C3700DBDCB69}" destId="{74798F0E-372A-4F91-8DF1-21C3CFAE8FC3}" srcOrd="0" destOrd="0" presId="urn:microsoft.com/office/officeart/2005/8/layout/orgChart1"/>
    <dgm:cxn modelId="{8A91DEBC-0F75-480A-AFCF-0EE180F91C7B}" type="presParOf" srcId="{74798F0E-372A-4F91-8DF1-21C3CFAE8FC3}" destId="{B3FE8557-6459-45AF-866A-EDBB5B18B563}" srcOrd="0" destOrd="0" presId="urn:microsoft.com/office/officeart/2005/8/layout/orgChart1"/>
    <dgm:cxn modelId="{BB6D98F1-502A-4763-86A3-232C6DCC1BBF}" type="presParOf" srcId="{74798F0E-372A-4F91-8DF1-21C3CFAE8FC3}" destId="{5A191BFF-093E-4F36-8660-1AD874887A84}" srcOrd="1" destOrd="0" presId="urn:microsoft.com/office/officeart/2005/8/layout/orgChart1"/>
    <dgm:cxn modelId="{7C5C25DB-4D04-4F18-9FEA-48ABEA88FD42}" type="presParOf" srcId="{9F950751-1117-4379-BEB8-C3700DBDCB69}" destId="{FB68E2A5-442B-40B9-969A-AA996650ACCA}" srcOrd="1" destOrd="0" presId="urn:microsoft.com/office/officeart/2005/8/layout/orgChart1"/>
    <dgm:cxn modelId="{66729B14-2BA2-4D62-B978-F616456059EB}" type="presParOf" srcId="{9F950751-1117-4379-BEB8-C3700DBDCB69}" destId="{C8B77857-1D6B-4543-ADD4-76C93D519D81}" srcOrd="2" destOrd="0" presId="urn:microsoft.com/office/officeart/2005/8/layout/orgChart1"/>
  </dgm:cxnLst>
  <dgm:bg/>
  <dgm:whole>
    <a:ln w="9525" cap="flat" cmpd="sng" algn="ctr">
      <a:noFill/>
      <a:prstDash val="dash"/>
      <a:round/>
      <a:headEnd type="none" w="med" len="med"/>
      <a:tailEnd type="none" w="med" len="med"/>
    </a:ln>
  </dgm:whole>
  <dgm:extLst>
    <a:ext uri="http://schemas.microsoft.com/office/drawing/2008/diagram">
      <dsp:dataModelExt xmlns:dsp="http://schemas.microsoft.com/office/drawing/2008/diagram" relId="rId1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601B581-8784-4E14-9BA9-F201EB212929}"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2865E538-32A3-4B9B-8B56-63A3CBCB5337}">
      <dgm:prSet phldrT="[Text]"/>
      <dgm:spPr>
        <a:solidFill>
          <a:schemeClr val="accent3">
            <a:lumMod val="40000"/>
            <a:lumOff val="60000"/>
          </a:schemeClr>
        </a:solidFill>
        <a:ln w="9525">
          <a:solidFill>
            <a:schemeClr val="tx1"/>
          </a:solidFill>
        </a:ln>
      </dgm:spPr>
      <dgm:t>
        <a:bodyPr/>
        <a:lstStyle/>
        <a:p>
          <a:r>
            <a:rPr lang="en-US">
              <a:solidFill>
                <a:sysClr val="windowText" lastClr="000000"/>
              </a:solidFill>
            </a:rPr>
            <a:t>Local Director</a:t>
          </a:r>
        </a:p>
      </dgm:t>
    </dgm:pt>
    <dgm:pt modelId="{CE737FDC-7E7B-429C-9D82-C4794562413F}" type="parTrans" cxnId="{3959C0D8-667C-451B-B428-1B7E4C0EFE08}">
      <dgm:prSet/>
      <dgm:spPr/>
      <dgm:t>
        <a:bodyPr/>
        <a:lstStyle/>
        <a:p>
          <a:endParaRPr lang="en-US"/>
        </a:p>
      </dgm:t>
    </dgm:pt>
    <dgm:pt modelId="{0ED8D4F9-6364-433A-AFC6-94BA4DEDCDA8}" type="sibTrans" cxnId="{3959C0D8-667C-451B-B428-1B7E4C0EFE08}">
      <dgm:prSet/>
      <dgm:spPr/>
      <dgm:t>
        <a:bodyPr/>
        <a:lstStyle/>
        <a:p>
          <a:endParaRPr lang="en-US"/>
        </a:p>
      </dgm:t>
    </dgm:pt>
    <dgm:pt modelId="{8657228B-C9F1-4933-84D2-084C79CF32D3}">
      <dgm:prSet phldrT="[Text]"/>
      <dgm:spPr>
        <a:solidFill>
          <a:schemeClr val="accent3">
            <a:lumMod val="40000"/>
            <a:lumOff val="60000"/>
          </a:schemeClr>
        </a:solidFill>
        <a:ln w="9525">
          <a:solidFill>
            <a:schemeClr val="tx1"/>
          </a:solidFill>
        </a:ln>
      </dgm:spPr>
      <dgm:t>
        <a:bodyPr/>
        <a:lstStyle/>
        <a:p>
          <a:r>
            <a:rPr lang="en-US">
              <a:solidFill>
                <a:sysClr val="windowText" lastClr="000000"/>
              </a:solidFill>
            </a:rPr>
            <a:t>Assistant Director</a:t>
          </a:r>
          <a:br>
            <a:rPr lang="en-US">
              <a:solidFill>
                <a:sysClr val="windowText" lastClr="000000"/>
              </a:solidFill>
            </a:rPr>
          </a:br>
          <a:r>
            <a:rPr lang="en-US">
              <a:solidFill>
                <a:sysClr val="windowText" lastClr="000000"/>
              </a:solidFill>
            </a:rPr>
            <a:t>Family Investment</a:t>
          </a:r>
        </a:p>
      </dgm:t>
    </dgm:pt>
    <dgm:pt modelId="{CE3DB875-87C1-44C7-9105-913D9006F9F9}" type="parTrans" cxnId="{F0283B46-D883-4D28-91B9-9A71B3B70667}">
      <dgm:prSet/>
      <dgm:spPr>
        <a:solidFill>
          <a:schemeClr val="accent3">
            <a:lumMod val="40000"/>
            <a:lumOff val="60000"/>
          </a:schemeClr>
        </a:solidFill>
        <a:ln w="9525">
          <a:solidFill>
            <a:schemeClr val="tx1"/>
          </a:solidFill>
        </a:ln>
      </dgm:spPr>
      <dgm:t>
        <a:bodyPr/>
        <a:lstStyle/>
        <a:p>
          <a:endParaRPr lang="en-US">
            <a:solidFill>
              <a:sysClr val="windowText" lastClr="000000"/>
            </a:solidFill>
          </a:endParaRPr>
        </a:p>
      </dgm:t>
    </dgm:pt>
    <dgm:pt modelId="{BB7EF460-6B95-4563-BA38-1A3F7334E8B9}" type="sibTrans" cxnId="{F0283B46-D883-4D28-91B9-9A71B3B70667}">
      <dgm:prSet/>
      <dgm:spPr/>
      <dgm:t>
        <a:bodyPr/>
        <a:lstStyle/>
        <a:p>
          <a:endParaRPr lang="en-US"/>
        </a:p>
      </dgm:t>
    </dgm:pt>
    <dgm:pt modelId="{5947DE89-82AF-4E7C-9260-E3FD9F438B25}">
      <dgm:prSet/>
      <dgm:spPr>
        <a:solidFill>
          <a:schemeClr val="accent3">
            <a:lumMod val="40000"/>
            <a:lumOff val="60000"/>
          </a:schemeClr>
        </a:solidFill>
        <a:ln w="9525">
          <a:solidFill>
            <a:schemeClr val="tx1"/>
          </a:solidFill>
        </a:ln>
      </dgm:spPr>
      <dgm:t>
        <a:bodyPr/>
        <a:lstStyle/>
        <a:p>
          <a:r>
            <a:rPr lang="en-US">
              <a:solidFill>
                <a:sysClr val="windowText" lastClr="000000"/>
              </a:solidFill>
            </a:rPr>
            <a:t>Workforce </a:t>
          </a:r>
        </a:p>
        <a:p>
          <a:r>
            <a:rPr lang="en-US">
              <a:solidFill>
                <a:sysClr val="windowText" lastClr="000000"/>
              </a:solidFill>
            </a:rPr>
            <a:t>Program Administrator</a:t>
          </a:r>
        </a:p>
      </dgm:t>
    </dgm:pt>
    <dgm:pt modelId="{4B707ADA-B63F-48F8-AADB-B0EC801C4DBB}" type="parTrans" cxnId="{4940E112-EBC6-4818-881C-779809ACE5F9}">
      <dgm:prSet/>
      <dgm:spPr>
        <a:solidFill>
          <a:schemeClr val="accent3">
            <a:lumMod val="40000"/>
            <a:lumOff val="60000"/>
          </a:schemeClr>
        </a:solidFill>
        <a:ln w="9525">
          <a:solidFill>
            <a:schemeClr val="tx1"/>
          </a:solidFill>
        </a:ln>
      </dgm:spPr>
      <dgm:t>
        <a:bodyPr/>
        <a:lstStyle/>
        <a:p>
          <a:endParaRPr lang="en-US">
            <a:solidFill>
              <a:sysClr val="windowText" lastClr="000000"/>
            </a:solidFill>
          </a:endParaRPr>
        </a:p>
      </dgm:t>
    </dgm:pt>
    <dgm:pt modelId="{CF8BC27B-70B0-47BB-9147-B18AAE323E36}" type="sibTrans" cxnId="{4940E112-EBC6-4818-881C-779809ACE5F9}">
      <dgm:prSet/>
      <dgm:spPr/>
      <dgm:t>
        <a:bodyPr/>
        <a:lstStyle/>
        <a:p>
          <a:endParaRPr lang="en-US"/>
        </a:p>
      </dgm:t>
    </dgm:pt>
    <dgm:pt modelId="{63426005-84ED-45AE-916A-1F9FBE679B97}">
      <dgm:prSet/>
      <dgm:spPr>
        <a:solidFill>
          <a:schemeClr val="accent3">
            <a:lumMod val="40000"/>
            <a:lumOff val="60000"/>
          </a:schemeClr>
        </a:solidFill>
        <a:ln w="9525">
          <a:solidFill>
            <a:schemeClr val="tx1"/>
          </a:solidFill>
        </a:ln>
      </dgm:spPr>
      <dgm:t>
        <a:bodyPr/>
        <a:lstStyle/>
        <a:p>
          <a:r>
            <a:rPr lang="en-US">
              <a:solidFill>
                <a:sysClr val="windowText" lastClr="000000"/>
              </a:solidFill>
            </a:rPr>
            <a:t>Workforce </a:t>
          </a:r>
        </a:p>
        <a:p>
          <a:r>
            <a:rPr lang="en-US">
              <a:solidFill>
                <a:sysClr val="windowText" lastClr="000000"/>
              </a:solidFill>
            </a:rPr>
            <a:t>Program Manager</a:t>
          </a:r>
        </a:p>
      </dgm:t>
    </dgm:pt>
    <dgm:pt modelId="{CE45C6F9-915B-4C6B-AF20-A65047DA87CD}" type="parTrans" cxnId="{621C6E08-67DE-4E3A-9858-10D89288CA19}">
      <dgm:prSet/>
      <dgm:spPr>
        <a:solidFill>
          <a:schemeClr val="accent3">
            <a:lumMod val="40000"/>
            <a:lumOff val="60000"/>
          </a:schemeClr>
        </a:solidFill>
        <a:ln w="9525">
          <a:solidFill>
            <a:schemeClr val="tx1"/>
          </a:solidFill>
        </a:ln>
      </dgm:spPr>
      <dgm:t>
        <a:bodyPr/>
        <a:lstStyle/>
        <a:p>
          <a:endParaRPr lang="en-US">
            <a:solidFill>
              <a:sysClr val="windowText" lastClr="000000"/>
            </a:solidFill>
          </a:endParaRPr>
        </a:p>
      </dgm:t>
    </dgm:pt>
    <dgm:pt modelId="{04904E27-A875-47E5-8039-69098F9C00CD}" type="sibTrans" cxnId="{621C6E08-67DE-4E3A-9858-10D89288CA19}">
      <dgm:prSet/>
      <dgm:spPr/>
      <dgm:t>
        <a:bodyPr/>
        <a:lstStyle/>
        <a:p>
          <a:endParaRPr lang="en-US"/>
        </a:p>
      </dgm:t>
    </dgm:pt>
    <dgm:pt modelId="{3A365555-044B-4EE6-9F12-50B98003FEC8}">
      <dgm:prSet/>
      <dgm:spPr>
        <a:solidFill>
          <a:schemeClr val="accent3">
            <a:lumMod val="40000"/>
            <a:lumOff val="60000"/>
          </a:schemeClr>
        </a:solidFill>
        <a:ln w="9525">
          <a:solidFill>
            <a:schemeClr val="tx1"/>
          </a:solidFill>
        </a:ln>
      </dgm:spPr>
      <dgm:t>
        <a:bodyPr/>
        <a:lstStyle/>
        <a:p>
          <a:r>
            <a:rPr lang="en-US">
              <a:solidFill>
                <a:sysClr val="windowText" lastClr="000000"/>
              </a:solidFill>
            </a:rPr>
            <a:t>Workforce  Supervisory</a:t>
          </a:r>
        </a:p>
      </dgm:t>
    </dgm:pt>
    <dgm:pt modelId="{7541D766-17C2-4865-83B0-2D31865D8891}" type="parTrans" cxnId="{4FB78C1C-9CA0-4F4F-AF4D-62B039C9B030}">
      <dgm:prSet/>
      <dgm:spPr>
        <a:solidFill>
          <a:schemeClr val="accent3">
            <a:lumMod val="40000"/>
            <a:lumOff val="60000"/>
          </a:schemeClr>
        </a:solidFill>
        <a:ln w="9525">
          <a:solidFill>
            <a:schemeClr val="tx1"/>
          </a:solidFill>
        </a:ln>
      </dgm:spPr>
      <dgm:t>
        <a:bodyPr/>
        <a:lstStyle/>
        <a:p>
          <a:endParaRPr lang="en-US">
            <a:solidFill>
              <a:sysClr val="windowText" lastClr="000000"/>
            </a:solidFill>
          </a:endParaRPr>
        </a:p>
      </dgm:t>
    </dgm:pt>
    <dgm:pt modelId="{5ECDE496-D09A-4D9A-96C8-BA05A4FA0102}" type="sibTrans" cxnId="{4FB78C1C-9CA0-4F4F-AF4D-62B039C9B030}">
      <dgm:prSet/>
      <dgm:spPr/>
      <dgm:t>
        <a:bodyPr/>
        <a:lstStyle/>
        <a:p>
          <a:endParaRPr lang="en-US"/>
        </a:p>
      </dgm:t>
    </dgm:pt>
    <dgm:pt modelId="{C9965D82-7AF4-480E-A02C-17192839E0DC}">
      <dgm:prSet/>
      <dgm:spPr>
        <a:solidFill>
          <a:schemeClr val="accent3">
            <a:lumMod val="40000"/>
            <a:lumOff val="60000"/>
          </a:schemeClr>
        </a:solidFill>
        <a:ln w="9525">
          <a:solidFill>
            <a:schemeClr val="tx1"/>
          </a:solidFill>
        </a:ln>
      </dgm:spPr>
      <dgm:t>
        <a:bodyPr/>
        <a:lstStyle/>
        <a:p>
          <a:r>
            <a:rPr lang="en-US">
              <a:solidFill>
                <a:sysClr val="windowText" lastClr="000000"/>
              </a:solidFill>
            </a:rPr>
            <a:t>Workforce  Specialist</a:t>
          </a:r>
        </a:p>
      </dgm:t>
    </dgm:pt>
    <dgm:pt modelId="{5D323AED-5CB0-4358-975C-CCE3CCE4DF26}" type="parTrans" cxnId="{05465FB7-4A1C-4F9C-920F-FA350BA242C7}">
      <dgm:prSet/>
      <dgm:spPr>
        <a:solidFill>
          <a:schemeClr val="accent3">
            <a:lumMod val="40000"/>
            <a:lumOff val="60000"/>
          </a:schemeClr>
        </a:solidFill>
        <a:ln w="9525">
          <a:solidFill>
            <a:schemeClr val="tx1"/>
          </a:solidFill>
        </a:ln>
      </dgm:spPr>
      <dgm:t>
        <a:bodyPr/>
        <a:lstStyle/>
        <a:p>
          <a:endParaRPr lang="en-US">
            <a:solidFill>
              <a:sysClr val="windowText" lastClr="000000"/>
            </a:solidFill>
          </a:endParaRPr>
        </a:p>
      </dgm:t>
    </dgm:pt>
    <dgm:pt modelId="{B9775E72-2367-4A30-B2F9-BF0A2BEF5C5D}" type="sibTrans" cxnId="{05465FB7-4A1C-4F9C-920F-FA350BA242C7}">
      <dgm:prSet/>
      <dgm:spPr/>
      <dgm:t>
        <a:bodyPr/>
        <a:lstStyle/>
        <a:p>
          <a:endParaRPr lang="en-US"/>
        </a:p>
      </dgm:t>
    </dgm:pt>
    <dgm:pt modelId="{45926918-F2FB-4211-99B1-4930B4856A6D}">
      <dgm:prSet/>
      <dgm:spPr>
        <a:solidFill>
          <a:schemeClr val="accent3">
            <a:lumMod val="40000"/>
            <a:lumOff val="60000"/>
          </a:schemeClr>
        </a:solidFill>
        <a:ln w="9525"/>
      </dgm:spPr>
      <dgm:t>
        <a:bodyPr/>
        <a:lstStyle/>
        <a:p>
          <a:r>
            <a:rPr lang="en-US">
              <a:solidFill>
                <a:sysClr val="windowText" lastClr="000000"/>
              </a:solidFill>
            </a:rPr>
            <a:t>Program Specialist</a:t>
          </a:r>
        </a:p>
      </dgm:t>
    </dgm:pt>
    <dgm:pt modelId="{1A51A8D1-5797-473E-9B64-0A073623931D}" type="parTrans" cxnId="{2036E9A4-F993-450D-AB2A-3398240E10BE}">
      <dgm:prSet/>
      <dgm:spPr>
        <a:solidFill>
          <a:schemeClr val="accent3">
            <a:lumMod val="40000"/>
            <a:lumOff val="60000"/>
          </a:schemeClr>
        </a:solidFill>
        <a:ln w="9525"/>
      </dgm:spPr>
      <dgm:t>
        <a:bodyPr/>
        <a:lstStyle/>
        <a:p>
          <a:endParaRPr lang="en-US">
            <a:solidFill>
              <a:sysClr val="windowText" lastClr="000000"/>
            </a:solidFill>
          </a:endParaRPr>
        </a:p>
      </dgm:t>
    </dgm:pt>
    <dgm:pt modelId="{89B95ABC-E1C4-4847-9BB1-102FE934EFFD}" type="sibTrans" cxnId="{2036E9A4-F993-450D-AB2A-3398240E10BE}">
      <dgm:prSet/>
      <dgm:spPr/>
      <dgm:t>
        <a:bodyPr/>
        <a:lstStyle/>
        <a:p>
          <a:endParaRPr lang="en-US"/>
        </a:p>
      </dgm:t>
    </dgm:pt>
    <dgm:pt modelId="{07F845AD-6D67-46C1-AB3B-410D7198A2E8}">
      <dgm:prSet/>
      <dgm:spPr>
        <a:solidFill>
          <a:schemeClr val="accent3">
            <a:lumMod val="40000"/>
            <a:lumOff val="60000"/>
          </a:schemeClr>
        </a:solidFill>
        <a:ln w="9525"/>
      </dgm:spPr>
      <dgm:t>
        <a:bodyPr/>
        <a:lstStyle/>
        <a:p>
          <a:r>
            <a:rPr lang="en-US">
              <a:solidFill>
                <a:sysClr val="windowText" lastClr="000000"/>
              </a:solidFill>
            </a:rPr>
            <a:t>Administrative Support</a:t>
          </a:r>
        </a:p>
      </dgm:t>
    </dgm:pt>
    <dgm:pt modelId="{637D2003-E3BA-4D4E-9437-3D37BD00E7F9}" type="parTrans" cxnId="{EE6156C2-3E7A-42A8-A5F8-80610BD72935}">
      <dgm:prSet/>
      <dgm:spPr>
        <a:solidFill>
          <a:schemeClr val="accent3">
            <a:lumMod val="40000"/>
            <a:lumOff val="60000"/>
          </a:schemeClr>
        </a:solidFill>
        <a:ln w="9525"/>
      </dgm:spPr>
      <dgm:t>
        <a:bodyPr/>
        <a:lstStyle/>
        <a:p>
          <a:endParaRPr lang="en-US">
            <a:solidFill>
              <a:sysClr val="windowText" lastClr="000000"/>
            </a:solidFill>
          </a:endParaRPr>
        </a:p>
      </dgm:t>
    </dgm:pt>
    <dgm:pt modelId="{8285C32F-EC0E-4B51-A149-53C7F3A192FD}" type="sibTrans" cxnId="{EE6156C2-3E7A-42A8-A5F8-80610BD72935}">
      <dgm:prSet/>
      <dgm:spPr/>
      <dgm:t>
        <a:bodyPr/>
        <a:lstStyle/>
        <a:p>
          <a:endParaRPr lang="en-US"/>
        </a:p>
      </dgm:t>
    </dgm:pt>
    <dgm:pt modelId="{75E2D1AE-E90D-41D6-B2FF-1D5D11EC6768}">
      <dgm:prSet/>
      <dgm:spPr>
        <a:solidFill>
          <a:schemeClr val="accent3">
            <a:lumMod val="40000"/>
            <a:lumOff val="60000"/>
          </a:schemeClr>
        </a:solidFill>
        <a:ln w="9525"/>
      </dgm:spPr>
      <dgm:t>
        <a:bodyPr/>
        <a:lstStyle/>
        <a:p>
          <a:r>
            <a:rPr lang="en-US">
              <a:solidFill>
                <a:sysClr val="windowText" lastClr="000000"/>
              </a:solidFill>
            </a:rPr>
            <a:t>Administrative Support</a:t>
          </a:r>
        </a:p>
      </dgm:t>
    </dgm:pt>
    <dgm:pt modelId="{B19684E4-D570-48BE-98EB-D1BEE509795D}" type="parTrans" cxnId="{29FE1EEE-050B-4962-9EA5-5F61B61EDAE5}">
      <dgm:prSet/>
      <dgm:spPr>
        <a:solidFill>
          <a:schemeClr val="accent3">
            <a:lumMod val="40000"/>
            <a:lumOff val="60000"/>
          </a:schemeClr>
        </a:solidFill>
        <a:ln w="9525"/>
      </dgm:spPr>
      <dgm:t>
        <a:bodyPr/>
        <a:lstStyle/>
        <a:p>
          <a:endParaRPr lang="en-US">
            <a:solidFill>
              <a:sysClr val="windowText" lastClr="000000"/>
            </a:solidFill>
          </a:endParaRPr>
        </a:p>
      </dgm:t>
    </dgm:pt>
    <dgm:pt modelId="{AD99F7E9-3CF1-4C68-A9FF-04307D04230F}" type="sibTrans" cxnId="{29FE1EEE-050B-4962-9EA5-5F61B61EDAE5}">
      <dgm:prSet/>
      <dgm:spPr/>
      <dgm:t>
        <a:bodyPr/>
        <a:lstStyle/>
        <a:p>
          <a:endParaRPr lang="en-US"/>
        </a:p>
      </dgm:t>
    </dgm:pt>
    <dgm:pt modelId="{CE3B98A1-6A7E-4C95-AB3A-F1E012C657EB}">
      <dgm:prSet/>
      <dgm:spPr>
        <a:solidFill>
          <a:schemeClr val="accent3">
            <a:lumMod val="40000"/>
            <a:lumOff val="60000"/>
          </a:schemeClr>
        </a:solidFill>
        <a:ln w="9525"/>
      </dgm:spPr>
      <dgm:t>
        <a:bodyPr/>
        <a:lstStyle/>
        <a:p>
          <a:r>
            <a:rPr lang="en-US">
              <a:solidFill>
                <a:sysClr val="windowText" lastClr="000000"/>
              </a:solidFill>
            </a:rPr>
            <a:t>Fiscal Support</a:t>
          </a:r>
        </a:p>
      </dgm:t>
    </dgm:pt>
    <dgm:pt modelId="{97FF98EE-2CE3-443A-ACF2-CCE5D430C346}" type="parTrans" cxnId="{5245E66A-3E92-4E3E-8157-EC9719CACA48}">
      <dgm:prSet/>
      <dgm:spPr>
        <a:solidFill>
          <a:schemeClr val="accent3">
            <a:lumMod val="40000"/>
            <a:lumOff val="60000"/>
          </a:schemeClr>
        </a:solidFill>
        <a:ln w="9525"/>
      </dgm:spPr>
      <dgm:t>
        <a:bodyPr/>
        <a:lstStyle/>
        <a:p>
          <a:endParaRPr lang="en-US">
            <a:solidFill>
              <a:sysClr val="windowText" lastClr="000000"/>
            </a:solidFill>
          </a:endParaRPr>
        </a:p>
      </dgm:t>
    </dgm:pt>
    <dgm:pt modelId="{674904EC-E695-4F02-9B71-18B85C4CA6AE}" type="sibTrans" cxnId="{5245E66A-3E92-4E3E-8157-EC9719CACA48}">
      <dgm:prSet/>
      <dgm:spPr/>
      <dgm:t>
        <a:bodyPr/>
        <a:lstStyle/>
        <a:p>
          <a:endParaRPr lang="en-US"/>
        </a:p>
      </dgm:t>
    </dgm:pt>
    <dgm:pt modelId="{765AA547-1F25-4E6B-A549-0871CA5F11EA}">
      <dgm:prSet/>
      <dgm:spPr>
        <a:solidFill>
          <a:schemeClr val="accent3">
            <a:lumMod val="40000"/>
            <a:lumOff val="60000"/>
          </a:schemeClr>
        </a:solidFill>
        <a:ln w="9525"/>
      </dgm:spPr>
      <dgm:t>
        <a:bodyPr/>
        <a:lstStyle/>
        <a:p>
          <a:r>
            <a:rPr lang="en-US">
              <a:solidFill>
                <a:sysClr val="windowText" lastClr="000000"/>
              </a:solidFill>
            </a:rPr>
            <a:t>Program Specialist</a:t>
          </a:r>
        </a:p>
      </dgm:t>
    </dgm:pt>
    <dgm:pt modelId="{7F8A4882-3F7A-4F21-B021-26E30FB71212}" type="parTrans" cxnId="{5EACC374-025F-4DE2-B5A5-D4604F58E195}">
      <dgm:prSet/>
      <dgm:spPr>
        <a:solidFill>
          <a:schemeClr val="accent3">
            <a:lumMod val="40000"/>
            <a:lumOff val="60000"/>
          </a:schemeClr>
        </a:solidFill>
        <a:ln w="9525"/>
      </dgm:spPr>
      <dgm:t>
        <a:bodyPr/>
        <a:lstStyle/>
        <a:p>
          <a:endParaRPr lang="en-US">
            <a:solidFill>
              <a:sysClr val="windowText" lastClr="000000"/>
            </a:solidFill>
          </a:endParaRPr>
        </a:p>
      </dgm:t>
    </dgm:pt>
    <dgm:pt modelId="{ED72E319-7C83-453E-844E-4494241B29DC}" type="sibTrans" cxnId="{5EACC374-025F-4DE2-B5A5-D4604F58E195}">
      <dgm:prSet/>
      <dgm:spPr/>
      <dgm:t>
        <a:bodyPr/>
        <a:lstStyle/>
        <a:p>
          <a:endParaRPr lang="en-US"/>
        </a:p>
      </dgm:t>
    </dgm:pt>
    <dgm:pt modelId="{1F0AA1FD-44DC-44F8-9E8F-25A5E8A4E07A}">
      <dgm:prSet/>
      <dgm:spPr>
        <a:solidFill>
          <a:schemeClr val="accent3">
            <a:lumMod val="40000"/>
            <a:lumOff val="60000"/>
          </a:schemeClr>
        </a:solidFill>
        <a:ln w="9525"/>
      </dgm:spPr>
      <dgm:t>
        <a:bodyPr/>
        <a:lstStyle/>
        <a:p>
          <a:r>
            <a:rPr lang="en-US">
              <a:solidFill>
                <a:sysClr val="windowText" lastClr="000000"/>
              </a:solidFill>
            </a:rPr>
            <a:t>Workforce Specialist</a:t>
          </a:r>
        </a:p>
      </dgm:t>
    </dgm:pt>
    <dgm:pt modelId="{AF29A7BD-676E-439C-8C38-A204CA92448F}" type="parTrans" cxnId="{02AF2881-E677-4500-B89B-671531F1984C}">
      <dgm:prSet/>
      <dgm:spPr>
        <a:solidFill>
          <a:schemeClr val="accent3">
            <a:lumMod val="40000"/>
            <a:lumOff val="60000"/>
          </a:schemeClr>
        </a:solidFill>
        <a:ln w="9525"/>
      </dgm:spPr>
      <dgm:t>
        <a:bodyPr/>
        <a:lstStyle/>
        <a:p>
          <a:endParaRPr lang="en-US">
            <a:solidFill>
              <a:sysClr val="windowText" lastClr="000000"/>
            </a:solidFill>
          </a:endParaRPr>
        </a:p>
      </dgm:t>
    </dgm:pt>
    <dgm:pt modelId="{A6B3C8EE-7B77-4892-AF11-268DC40CF464}" type="sibTrans" cxnId="{02AF2881-E677-4500-B89B-671531F1984C}">
      <dgm:prSet/>
      <dgm:spPr/>
      <dgm:t>
        <a:bodyPr/>
        <a:lstStyle/>
        <a:p>
          <a:endParaRPr lang="en-US"/>
        </a:p>
      </dgm:t>
    </dgm:pt>
    <dgm:pt modelId="{F2F8F4D2-A630-4E8F-ABF6-CD41F332CBD6}" type="pres">
      <dgm:prSet presAssocID="{2601B581-8784-4E14-9BA9-F201EB212929}" presName="hierChild1" presStyleCnt="0">
        <dgm:presLayoutVars>
          <dgm:orgChart val="1"/>
          <dgm:chPref val="1"/>
          <dgm:dir/>
          <dgm:animOne val="branch"/>
          <dgm:animLvl val="lvl"/>
          <dgm:resizeHandles/>
        </dgm:presLayoutVars>
      </dgm:prSet>
      <dgm:spPr/>
      <dgm:t>
        <a:bodyPr/>
        <a:lstStyle/>
        <a:p>
          <a:endParaRPr lang="en-US"/>
        </a:p>
      </dgm:t>
    </dgm:pt>
    <dgm:pt modelId="{076FE0E7-7EDB-4310-87FD-FD656B3D4454}" type="pres">
      <dgm:prSet presAssocID="{2865E538-32A3-4B9B-8B56-63A3CBCB5337}" presName="hierRoot1" presStyleCnt="0">
        <dgm:presLayoutVars>
          <dgm:hierBranch val="init"/>
        </dgm:presLayoutVars>
      </dgm:prSet>
      <dgm:spPr/>
    </dgm:pt>
    <dgm:pt modelId="{1CD3AECC-7847-44DE-B283-C3ED0F8E44C5}" type="pres">
      <dgm:prSet presAssocID="{2865E538-32A3-4B9B-8B56-63A3CBCB5337}" presName="rootComposite1" presStyleCnt="0"/>
      <dgm:spPr/>
    </dgm:pt>
    <dgm:pt modelId="{402B85D9-B32A-41DB-B41E-2A3A44EC80DB}" type="pres">
      <dgm:prSet presAssocID="{2865E538-32A3-4B9B-8B56-63A3CBCB5337}" presName="rootText1" presStyleLbl="node0" presStyleIdx="0" presStyleCnt="1">
        <dgm:presLayoutVars>
          <dgm:chPref val="3"/>
        </dgm:presLayoutVars>
      </dgm:prSet>
      <dgm:spPr/>
      <dgm:t>
        <a:bodyPr/>
        <a:lstStyle/>
        <a:p>
          <a:endParaRPr lang="en-US"/>
        </a:p>
      </dgm:t>
    </dgm:pt>
    <dgm:pt modelId="{199A0D90-D9DE-4EE6-B366-7D3E9E17804F}" type="pres">
      <dgm:prSet presAssocID="{2865E538-32A3-4B9B-8B56-63A3CBCB5337}" presName="rootConnector1" presStyleLbl="node1" presStyleIdx="0" presStyleCnt="0"/>
      <dgm:spPr/>
      <dgm:t>
        <a:bodyPr/>
        <a:lstStyle/>
        <a:p>
          <a:endParaRPr lang="en-US"/>
        </a:p>
      </dgm:t>
    </dgm:pt>
    <dgm:pt modelId="{3966B7B1-4FAE-42DF-8C06-70D2CF9CC1D0}" type="pres">
      <dgm:prSet presAssocID="{2865E538-32A3-4B9B-8B56-63A3CBCB5337}" presName="hierChild2" presStyleCnt="0"/>
      <dgm:spPr/>
    </dgm:pt>
    <dgm:pt modelId="{E43CBB96-FF14-45D5-A751-CAD7B98BF0D0}" type="pres">
      <dgm:prSet presAssocID="{CE3DB875-87C1-44C7-9105-913D9006F9F9}" presName="Name37" presStyleLbl="parChTrans1D2" presStyleIdx="0" presStyleCnt="1"/>
      <dgm:spPr/>
      <dgm:t>
        <a:bodyPr/>
        <a:lstStyle/>
        <a:p>
          <a:endParaRPr lang="en-US"/>
        </a:p>
      </dgm:t>
    </dgm:pt>
    <dgm:pt modelId="{3F7B8096-3CB9-4DFC-AF96-594D6656336C}" type="pres">
      <dgm:prSet presAssocID="{8657228B-C9F1-4933-84D2-084C79CF32D3}" presName="hierRoot2" presStyleCnt="0">
        <dgm:presLayoutVars>
          <dgm:hierBranch/>
        </dgm:presLayoutVars>
      </dgm:prSet>
      <dgm:spPr/>
    </dgm:pt>
    <dgm:pt modelId="{74AB4B75-0D66-49EF-9C22-A432FC4C21D1}" type="pres">
      <dgm:prSet presAssocID="{8657228B-C9F1-4933-84D2-084C79CF32D3}" presName="rootComposite" presStyleCnt="0"/>
      <dgm:spPr/>
    </dgm:pt>
    <dgm:pt modelId="{400D6E28-15E9-4009-84EC-0B9F10352D67}" type="pres">
      <dgm:prSet presAssocID="{8657228B-C9F1-4933-84D2-084C79CF32D3}" presName="rootText" presStyleLbl="node2" presStyleIdx="0" presStyleCnt="1">
        <dgm:presLayoutVars>
          <dgm:chPref val="3"/>
        </dgm:presLayoutVars>
      </dgm:prSet>
      <dgm:spPr/>
      <dgm:t>
        <a:bodyPr/>
        <a:lstStyle/>
        <a:p>
          <a:endParaRPr lang="en-US"/>
        </a:p>
      </dgm:t>
    </dgm:pt>
    <dgm:pt modelId="{56C60E25-E0E6-47A6-94A3-DAE0CA2808C6}" type="pres">
      <dgm:prSet presAssocID="{8657228B-C9F1-4933-84D2-084C79CF32D3}" presName="rootConnector" presStyleLbl="node2" presStyleIdx="0" presStyleCnt="1"/>
      <dgm:spPr/>
      <dgm:t>
        <a:bodyPr/>
        <a:lstStyle/>
        <a:p>
          <a:endParaRPr lang="en-US"/>
        </a:p>
      </dgm:t>
    </dgm:pt>
    <dgm:pt modelId="{21672EF2-6273-46C3-8356-7CD1CEA79543}" type="pres">
      <dgm:prSet presAssocID="{8657228B-C9F1-4933-84D2-084C79CF32D3}" presName="hierChild4" presStyleCnt="0"/>
      <dgm:spPr/>
    </dgm:pt>
    <dgm:pt modelId="{059D6320-D88C-487F-B83D-3ACDC53198AB}" type="pres">
      <dgm:prSet presAssocID="{4B707ADA-B63F-48F8-AADB-B0EC801C4DBB}" presName="Name35" presStyleLbl="parChTrans1D3" presStyleIdx="0" presStyleCnt="1"/>
      <dgm:spPr/>
      <dgm:t>
        <a:bodyPr/>
        <a:lstStyle/>
        <a:p>
          <a:endParaRPr lang="en-US"/>
        </a:p>
      </dgm:t>
    </dgm:pt>
    <dgm:pt modelId="{B90889BC-6272-4792-8A21-20BBF258116C}" type="pres">
      <dgm:prSet presAssocID="{5947DE89-82AF-4E7C-9260-E3FD9F438B25}" presName="hierRoot2" presStyleCnt="0">
        <dgm:presLayoutVars>
          <dgm:hierBranch/>
        </dgm:presLayoutVars>
      </dgm:prSet>
      <dgm:spPr/>
    </dgm:pt>
    <dgm:pt modelId="{7EF80CBE-33E7-45B2-91B2-2DAD0820B04C}" type="pres">
      <dgm:prSet presAssocID="{5947DE89-82AF-4E7C-9260-E3FD9F438B25}" presName="rootComposite" presStyleCnt="0"/>
      <dgm:spPr/>
    </dgm:pt>
    <dgm:pt modelId="{8E64A741-9B30-4BD2-B2EF-B3790977DDFF}" type="pres">
      <dgm:prSet presAssocID="{5947DE89-82AF-4E7C-9260-E3FD9F438B25}" presName="rootText" presStyleLbl="node3" presStyleIdx="0" presStyleCnt="1">
        <dgm:presLayoutVars>
          <dgm:chPref val="3"/>
        </dgm:presLayoutVars>
      </dgm:prSet>
      <dgm:spPr/>
      <dgm:t>
        <a:bodyPr/>
        <a:lstStyle/>
        <a:p>
          <a:endParaRPr lang="en-US"/>
        </a:p>
      </dgm:t>
    </dgm:pt>
    <dgm:pt modelId="{7CA795E8-8C06-469E-BE0A-B2377DF1893B}" type="pres">
      <dgm:prSet presAssocID="{5947DE89-82AF-4E7C-9260-E3FD9F438B25}" presName="rootConnector" presStyleLbl="node3" presStyleIdx="0" presStyleCnt="1"/>
      <dgm:spPr/>
      <dgm:t>
        <a:bodyPr/>
        <a:lstStyle/>
        <a:p>
          <a:endParaRPr lang="en-US"/>
        </a:p>
      </dgm:t>
    </dgm:pt>
    <dgm:pt modelId="{E13176BF-DAD7-4838-B5F0-A07637F89BF3}" type="pres">
      <dgm:prSet presAssocID="{5947DE89-82AF-4E7C-9260-E3FD9F438B25}" presName="hierChild4" presStyleCnt="0"/>
      <dgm:spPr/>
    </dgm:pt>
    <dgm:pt modelId="{54B9C367-A97A-45DC-A087-BA920333B3AF}" type="pres">
      <dgm:prSet presAssocID="{CE45C6F9-915B-4C6B-AF20-A65047DA87CD}" presName="Name35" presStyleLbl="parChTrans1D4" presStyleIdx="0" presStyleCnt="9"/>
      <dgm:spPr/>
      <dgm:t>
        <a:bodyPr/>
        <a:lstStyle/>
        <a:p>
          <a:endParaRPr lang="en-US"/>
        </a:p>
      </dgm:t>
    </dgm:pt>
    <dgm:pt modelId="{D9FDFEC2-C02F-47CA-9C40-296BAA022245}" type="pres">
      <dgm:prSet presAssocID="{63426005-84ED-45AE-916A-1F9FBE679B97}" presName="hierRoot2" presStyleCnt="0">
        <dgm:presLayoutVars>
          <dgm:hierBranch/>
        </dgm:presLayoutVars>
      </dgm:prSet>
      <dgm:spPr/>
    </dgm:pt>
    <dgm:pt modelId="{94D08527-2981-4D6D-B483-84DEC9429964}" type="pres">
      <dgm:prSet presAssocID="{63426005-84ED-45AE-916A-1F9FBE679B97}" presName="rootComposite" presStyleCnt="0"/>
      <dgm:spPr/>
    </dgm:pt>
    <dgm:pt modelId="{9CB357F9-024E-4B3D-8EEC-32C3F3CF63B7}" type="pres">
      <dgm:prSet presAssocID="{63426005-84ED-45AE-916A-1F9FBE679B97}" presName="rootText" presStyleLbl="node4" presStyleIdx="0" presStyleCnt="9">
        <dgm:presLayoutVars>
          <dgm:chPref val="3"/>
        </dgm:presLayoutVars>
      </dgm:prSet>
      <dgm:spPr/>
      <dgm:t>
        <a:bodyPr/>
        <a:lstStyle/>
        <a:p>
          <a:endParaRPr lang="en-US"/>
        </a:p>
      </dgm:t>
    </dgm:pt>
    <dgm:pt modelId="{270DCD88-7796-4D73-817B-F4F29A91B4DF}" type="pres">
      <dgm:prSet presAssocID="{63426005-84ED-45AE-916A-1F9FBE679B97}" presName="rootConnector" presStyleLbl="node4" presStyleIdx="0" presStyleCnt="9"/>
      <dgm:spPr/>
      <dgm:t>
        <a:bodyPr/>
        <a:lstStyle/>
        <a:p>
          <a:endParaRPr lang="en-US"/>
        </a:p>
      </dgm:t>
    </dgm:pt>
    <dgm:pt modelId="{85C256F5-A81B-40B1-A564-ADB93983C013}" type="pres">
      <dgm:prSet presAssocID="{63426005-84ED-45AE-916A-1F9FBE679B97}" presName="hierChild4" presStyleCnt="0"/>
      <dgm:spPr/>
    </dgm:pt>
    <dgm:pt modelId="{1BD790D9-59AA-49B6-B7D0-B8864C1835F0}" type="pres">
      <dgm:prSet presAssocID="{7541D766-17C2-4865-83B0-2D31865D8891}" presName="Name35" presStyleLbl="parChTrans1D4" presStyleIdx="1" presStyleCnt="9"/>
      <dgm:spPr/>
      <dgm:t>
        <a:bodyPr/>
        <a:lstStyle/>
        <a:p>
          <a:endParaRPr lang="en-US"/>
        </a:p>
      </dgm:t>
    </dgm:pt>
    <dgm:pt modelId="{714C8720-6628-43C0-BF68-16DBECFA2B67}" type="pres">
      <dgm:prSet presAssocID="{3A365555-044B-4EE6-9F12-50B98003FEC8}" presName="hierRoot2" presStyleCnt="0">
        <dgm:presLayoutVars>
          <dgm:hierBranch/>
        </dgm:presLayoutVars>
      </dgm:prSet>
      <dgm:spPr/>
    </dgm:pt>
    <dgm:pt modelId="{82F79C90-9E0F-4B90-B0EC-75BA3CFA568B}" type="pres">
      <dgm:prSet presAssocID="{3A365555-044B-4EE6-9F12-50B98003FEC8}" presName="rootComposite" presStyleCnt="0"/>
      <dgm:spPr/>
    </dgm:pt>
    <dgm:pt modelId="{51F2EDF4-CF50-4E3B-B972-A455A6845075}" type="pres">
      <dgm:prSet presAssocID="{3A365555-044B-4EE6-9F12-50B98003FEC8}" presName="rootText" presStyleLbl="node4" presStyleIdx="1" presStyleCnt="9">
        <dgm:presLayoutVars>
          <dgm:chPref val="3"/>
        </dgm:presLayoutVars>
      </dgm:prSet>
      <dgm:spPr/>
      <dgm:t>
        <a:bodyPr/>
        <a:lstStyle/>
        <a:p>
          <a:endParaRPr lang="en-US"/>
        </a:p>
      </dgm:t>
    </dgm:pt>
    <dgm:pt modelId="{774779F5-5CD9-40D7-A9D6-B3C17DF9E0B9}" type="pres">
      <dgm:prSet presAssocID="{3A365555-044B-4EE6-9F12-50B98003FEC8}" presName="rootConnector" presStyleLbl="node4" presStyleIdx="1" presStyleCnt="9"/>
      <dgm:spPr/>
      <dgm:t>
        <a:bodyPr/>
        <a:lstStyle/>
        <a:p>
          <a:endParaRPr lang="en-US"/>
        </a:p>
      </dgm:t>
    </dgm:pt>
    <dgm:pt modelId="{CCF9488E-0E4B-4EAF-B48F-1405F76E122E}" type="pres">
      <dgm:prSet presAssocID="{3A365555-044B-4EE6-9F12-50B98003FEC8}" presName="hierChild4" presStyleCnt="0"/>
      <dgm:spPr/>
    </dgm:pt>
    <dgm:pt modelId="{E11287D9-E77C-4A74-9066-2979AF09FB57}" type="pres">
      <dgm:prSet presAssocID="{5D323AED-5CB0-4358-975C-CCE3CCE4DF26}" presName="Name35" presStyleLbl="parChTrans1D4" presStyleIdx="2" presStyleCnt="9"/>
      <dgm:spPr/>
      <dgm:t>
        <a:bodyPr/>
        <a:lstStyle/>
        <a:p>
          <a:endParaRPr lang="en-US"/>
        </a:p>
      </dgm:t>
    </dgm:pt>
    <dgm:pt modelId="{D6857787-1B15-4520-8416-5372A4C13CDA}" type="pres">
      <dgm:prSet presAssocID="{C9965D82-7AF4-480E-A02C-17192839E0DC}" presName="hierRoot2" presStyleCnt="0">
        <dgm:presLayoutVars>
          <dgm:hierBranch val="init"/>
        </dgm:presLayoutVars>
      </dgm:prSet>
      <dgm:spPr/>
    </dgm:pt>
    <dgm:pt modelId="{23DFE33F-2262-4556-83AA-F9A04B62AF96}" type="pres">
      <dgm:prSet presAssocID="{C9965D82-7AF4-480E-A02C-17192839E0DC}" presName="rootComposite" presStyleCnt="0"/>
      <dgm:spPr/>
    </dgm:pt>
    <dgm:pt modelId="{9BC4E93E-7DC2-4073-8B8E-563AA1D2CA12}" type="pres">
      <dgm:prSet presAssocID="{C9965D82-7AF4-480E-A02C-17192839E0DC}" presName="rootText" presStyleLbl="node4" presStyleIdx="2" presStyleCnt="9">
        <dgm:presLayoutVars>
          <dgm:chPref val="3"/>
        </dgm:presLayoutVars>
      </dgm:prSet>
      <dgm:spPr/>
      <dgm:t>
        <a:bodyPr/>
        <a:lstStyle/>
        <a:p>
          <a:endParaRPr lang="en-US"/>
        </a:p>
      </dgm:t>
    </dgm:pt>
    <dgm:pt modelId="{00D2603E-C255-47A3-ABBE-BAD7D3D8AC87}" type="pres">
      <dgm:prSet presAssocID="{C9965D82-7AF4-480E-A02C-17192839E0DC}" presName="rootConnector" presStyleLbl="node4" presStyleIdx="2" presStyleCnt="9"/>
      <dgm:spPr/>
      <dgm:t>
        <a:bodyPr/>
        <a:lstStyle/>
        <a:p>
          <a:endParaRPr lang="en-US"/>
        </a:p>
      </dgm:t>
    </dgm:pt>
    <dgm:pt modelId="{F6570361-F94B-4F11-81E5-2DFB2D64A244}" type="pres">
      <dgm:prSet presAssocID="{C9965D82-7AF4-480E-A02C-17192839E0DC}" presName="hierChild4" presStyleCnt="0"/>
      <dgm:spPr/>
    </dgm:pt>
    <dgm:pt modelId="{117C544F-32A3-4F80-8C19-26509214DFC1}" type="pres">
      <dgm:prSet presAssocID="{C9965D82-7AF4-480E-A02C-17192839E0DC}" presName="hierChild5" presStyleCnt="0"/>
      <dgm:spPr/>
    </dgm:pt>
    <dgm:pt modelId="{6046FD01-BC3A-468E-B56F-FFD58786053F}" type="pres">
      <dgm:prSet presAssocID="{AF29A7BD-676E-439C-8C38-A204CA92448F}" presName="Name35" presStyleLbl="parChTrans1D4" presStyleIdx="3" presStyleCnt="9"/>
      <dgm:spPr/>
      <dgm:t>
        <a:bodyPr/>
        <a:lstStyle/>
        <a:p>
          <a:endParaRPr lang="en-US"/>
        </a:p>
      </dgm:t>
    </dgm:pt>
    <dgm:pt modelId="{31B42E7A-EE0D-4451-A403-E3BB1B003F86}" type="pres">
      <dgm:prSet presAssocID="{1F0AA1FD-44DC-44F8-9E8F-25A5E8A4E07A}" presName="hierRoot2" presStyleCnt="0">
        <dgm:presLayoutVars>
          <dgm:hierBranch val="init"/>
        </dgm:presLayoutVars>
      </dgm:prSet>
      <dgm:spPr/>
    </dgm:pt>
    <dgm:pt modelId="{56B167DE-EF2C-4270-807E-1E78F2D863D0}" type="pres">
      <dgm:prSet presAssocID="{1F0AA1FD-44DC-44F8-9E8F-25A5E8A4E07A}" presName="rootComposite" presStyleCnt="0"/>
      <dgm:spPr/>
    </dgm:pt>
    <dgm:pt modelId="{701BF94F-5BE1-4DAC-B04F-DA1456564F4C}" type="pres">
      <dgm:prSet presAssocID="{1F0AA1FD-44DC-44F8-9E8F-25A5E8A4E07A}" presName="rootText" presStyleLbl="node4" presStyleIdx="3" presStyleCnt="9">
        <dgm:presLayoutVars>
          <dgm:chPref val="3"/>
        </dgm:presLayoutVars>
      </dgm:prSet>
      <dgm:spPr/>
      <dgm:t>
        <a:bodyPr/>
        <a:lstStyle/>
        <a:p>
          <a:endParaRPr lang="en-US"/>
        </a:p>
      </dgm:t>
    </dgm:pt>
    <dgm:pt modelId="{B6017BDB-C207-4E39-83EC-8E6D9524F7F8}" type="pres">
      <dgm:prSet presAssocID="{1F0AA1FD-44DC-44F8-9E8F-25A5E8A4E07A}" presName="rootConnector" presStyleLbl="node4" presStyleIdx="3" presStyleCnt="9"/>
      <dgm:spPr/>
      <dgm:t>
        <a:bodyPr/>
        <a:lstStyle/>
        <a:p>
          <a:endParaRPr lang="en-US"/>
        </a:p>
      </dgm:t>
    </dgm:pt>
    <dgm:pt modelId="{E2627CD4-E815-4D83-94C5-1EFBF8934A4A}" type="pres">
      <dgm:prSet presAssocID="{1F0AA1FD-44DC-44F8-9E8F-25A5E8A4E07A}" presName="hierChild4" presStyleCnt="0"/>
      <dgm:spPr/>
    </dgm:pt>
    <dgm:pt modelId="{A82F4496-DA28-43CF-AB2A-6973E58136F1}" type="pres">
      <dgm:prSet presAssocID="{1F0AA1FD-44DC-44F8-9E8F-25A5E8A4E07A}" presName="hierChild5" presStyleCnt="0"/>
      <dgm:spPr/>
    </dgm:pt>
    <dgm:pt modelId="{920CFC27-1BF7-4AB2-8048-947B3C3A62B7}" type="pres">
      <dgm:prSet presAssocID="{3A365555-044B-4EE6-9F12-50B98003FEC8}" presName="hierChild5" presStyleCnt="0"/>
      <dgm:spPr/>
    </dgm:pt>
    <dgm:pt modelId="{EB3AB15A-86A9-4A5F-A71B-44E93EA6FCD6}" type="pres">
      <dgm:prSet presAssocID="{63426005-84ED-45AE-916A-1F9FBE679B97}" presName="hierChild5" presStyleCnt="0"/>
      <dgm:spPr/>
    </dgm:pt>
    <dgm:pt modelId="{8C4C28A5-BE82-43EE-84B7-1F788EEBC993}" type="pres">
      <dgm:prSet presAssocID="{637D2003-E3BA-4D4E-9437-3D37BD00E7F9}" presName="Name35" presStyleLbl="parChTrans1D4" presStyleIdx="4" presStyleCnt="9"/>
      <dgm:spPr/>
      <dgm:t>
        <a:bodyPr/>
        <a:lstStyle/>
        <a:p>
          <a:endParaRPr lang="en-US"/>
        </a:p>
      </dgm:t>
    </dgm:pt>
    <dgm:pt modelId="{0D3E0D05-BB70-4D28-ADB6-B3BDB351C802}" type="pres">
      <dgm:prSet presAssocID="{07F845AD-6D67-46C1-AB3B-410D7198A2E8}" presName="hierRoot2" presStyleCnt="0">
        <dgm:presLayoutVars>
          <dgm:hierBranch val="init"/>
        </dgm:presLayoutVars>
      </dgm:prSet>
      <dgm:spPr/>
    </dgm:pt>
    <dgm:pt modelId="{7683D4E0-2222-47F1-BA2F-3D5F03CEDCAA}" type="pres">
      <dgm:prSet presAssocID="{07F845AD-6D67-46C1-AB3B-410D7198A2E8}" presName="rootComposite" presStyleCnt="0"/>
      <dgm:spPr/>
    </dgm:pt>
    <dgm:pt modelId="{E2748D5D-7EA1-49ED-81A3-BE5F94595BDC}" type="pres">
      <dgm:prSet presAssocID="{07F845AD-6D67-46C1-AB3B-410D7198A2E8}" presName="rootText" presStyleLbl="node4" presStyleIdx="4" presStyleCnt="9">
        <dgm:presLayoutVars>
          <dgm:chPref val="3"/>
        </dgm:presLayoutVars>
      </dgm:prSet>
      <dgm:spPr/>
      <dgm:t>
        <a:bodyPr/>
        <a:lstStyle/>
        <a:p>
          <a:endParaRPr lang="en-US"/>
        </a:p>
      </dgm:t>
    </dgm:pt>
    <dgm:pt modelId="{60292D58-E8D3-4060-87F4-103A96A848CC}" type="pres">
      <dgm:prSet presAssocID="{07F845AD-6D67-46C1-AB3B-410D7198A2E8}" presName="rootConnector" presStyleLbl="node4" presStyleIdx="4" presStyleCnt="9"/>
      <dgm:spPr/>
      <dgm:t>
        <a:bodyPr/>
        <a:lstStyle/>
        <a:p>
          <a:endParaRPr lang="en-US"/>
        </a:p>
      </dgm:t>
    </dgm:pt>
    <dgm:pt modelId="{C3F783B8-D84A-43BA-963D-5FDB768032F3}" type="pres">
      <dgm:prSet presAssocID="{07F845AD-6D67-46C1-AB3B-410D7198A2E8}" presName="hierChild4" presStyleCnt="0"/>
      <dgm:spPr/>
    </dgm:pt>
    <dgm:pt modelId="{0EC76D88-410C-4938-878B-65D0C75CE493}" type="pres">
      <dgm:prSet presAssocID="{07F845AD-6D67-46C1-AB3B-410D7198A2E8}" presName="hierChild5" presStyleCnt="0"/>
      <dgm:spPr/>
    </dgm:pt>
    <dgm:pt modelId="{635B9D27-EF15-4745-A622-5DC1E2C5306A}" type="pres">
      <dgm:prSet presAssocID="{B19684E4-D570-48BE-98EB-D1BEE509795D}" presName="Name35" presStyleLbl="parChTrans1D4" presStyleIdx="5" presStyleCnt="9"/>
      <dgm:spPr/>
      <dgm:t>
        <a:bodyPr/>
        <a:lstStyle/>
        <a:p>
          <a:endParaRPr lang="en-US"/>
        </a:p>
      </dgm:t>
    </dgm:pt>
    <dgm:pt modelId="{B69BD852-F5BA-4BF0-815E-E5F93DAFE426}" type="pres">
      <dgm:prSet presAssocID="{75E2D1AE-E90D-41D6-B2FF-1D5D11EC6768}" presName="hierRoot2" presStyleCnt="0">
        <dgm:presLayoutVars>
          <dgm:hierBranch val="init"/>
        </dgm:presLayoutVars>
      </dgm:prSet>
      <dgm:spPr/>
    </dgm:pt>
    <dgm:pt modelId="{6CD726E4-A85B-45D6-902B-2B8D7E29B7E8}" type="pres">
      <dgm:prSet presAssocID="{75E2D1AE-E90D-41D6-B2FF-1D5D11EC6768}" presName="rootComposite" presStyleCnt="0"/>
      <dgm:spPr/>
    </dgm:pt>
    <dgm:pt modelId="{4FA64785-F4D0-49BD-A6B3-E9A26FFAEC57}" type="pres">
      <dgm:prSet presAssocID="{75E2D1AE-E90D-41D6-B2FF-1D5D11EC6768}" presName="rootText" presStyleLbl="node4" presStyleIdx="5" presStyleCnt="9">
        <dgm:presLayoutVars>
          <dgm:chPref val="3"/>
        </dgm:presLayoutVars>
      </dgm:prSet>
      <dgm:spPr/>
      <dgm:t>
        <a:bodyPr/>
        <a:lstStyle/>
        <a:p>
          <a:endParaRPr lang="en-US"/>
        </a:p>
      </dgm:t>
    </dgm:pt>
    <dgm:pt modelId="{F6D7A9B2-CAE2-4C95-9F2E-E61A64ADF70A}" type="pres">
      <dgm:prSet presAssocID="{75E2D1AE-E90D-41D6-B2FF-1D5D11EC6768}" presName="rootConnector" presStyleLbl="node4" presStyleIdx="5" presStyleCnt="9"/>
      <dgm:spPr/>
      <dgm:t>
        <a:bodyPr/>
        <a:lstStyle/>
        <a:p>
          <a:endParaRPr lang="en-US"/>
        </a:p>
      </dgm:t>
    </dgm:pt>
    <dgm:pt modelId="{047E7ED7-9BDE-4056-BD3D-59F0815723C8}" type="pres">
      <dgm:prSet presAssocID="{75E2D1AE-E90D-41D6-B2FF-1D5D11EC6768}" presName="hierChild4" presStyleCnt="0"/>
      <dgm:spPr/>
    </dgm:pt>
    <dgm:pt modelId="{5F175751-7400-4648-8113-2CACA8B30E8D}" type="pres">
      <dgm:prSet presAssocID="{75E2D1AE-E90D-41D6-B2FF-1D5D11EC6768}" presName="hierChild5" presStyleCnt="0"/>
      <dgm:spPr/>
    </dgm:pt>
    <dgm:pt modelId="{507F2273-2834-46DF-8FA7-72D5D738E35D}" type="pres">
      <dgm:prSet presAssocID="{97FF98EE-2CE3-443A-ACF2-CCE5D430C346}" presName="Name35" presStyleLbl="parChTrans1D4" presStyleIdx="6" presStyleCnt="9"/>
      <dgm:spPr/>
      <dgm:t>
        <a:bodyPr/>
        <a:lstStyle/>
        <a:p>
          <a:endParaRPr lang="en-US"/>
        </a:p>
      </dgm:t>
    </dgm:pt>
    <dgm:pt modelId="{187B4EAD-749A-4926-8D1A-3B3B7EC1A6F6}" type="pres">
      <dgm:prSet presAssocID="{CE3B98A1-6A7E-4C95-AB3A-F1E012C657EB}" presName="hierRoot2" presStyleCnt="0">
        <dgm:presLayoutVars>
          <dgm:hierBranch val="init"/>
        </dgm:presLayoutVars>
      </dgm:prSet>
      <dgm:spPr/>
    </dgm:pt>
    <dgm:pt modelId="{F9772945-DB05-4056-9350-9EAA5DA5EEEA}" type="pres">
      <dgm:prSet presAssocID="{CE3B98A1-6A7E-4C95-AB3A-F1E012C657EB}" presName="rootComposite" presStyleCnt="0"/>
      <dgm:spPr/>
    </dgm:pt>
    <dgm:pt modelId="{141EEDB0-3D17-476D-B42B-7A8EF6C28AC8}" type="pres">
      <dgm:prSet presAssocID="{CE3B98A1-6A7E-4C95-AB3A-F1E012C657EB}" presName="rootText" presStyleLbl="node4" presStyleIdx="6" presStyleCnt="9">
        <dgm:presLayoutVars>
          <dgm:chPref val="3"/>
        </dgm:presLayoutVars>
      </dgm:prSet>
      <dgm:spPr/>
      <dgm:t>
        <a:bodyPr/>
        <a:lstStyle/>
        <a:p>
          <a:endParaRPr lang="en-US"/>
        </a:p>
      </dgm:t>
    </dgm:pt>
    <dgm:pt modelId="{D543C101-9C98-4CC6-9380-F6312715199B}" type="pres">
      <dgm:prSet presAssocID="{CE3B98A1-6A7E-4C95-AB3A-F1E012C657EB}" presName="rootConnector" presStyleLbl="node4" presStyleIdx="6" presStyleCnt="9"/>
      <dgm:spPr/>
      <dgm:t>
        <a:bodyPr/>
        <a:lstStyle/>
        <a:p>
          <a:endParaRPr lang="en-US"/>
        </a:p>
      </dgm:t>
    </dgm:pt>
    <dgm:pt modelId="{CDC59F2C-E1DF-43BF-AB1E-E8DECC1D4A56}" type="pres">
      <dgm:prSet presAssocID="{CE3B98A1-6A7E-4C95-AB3A-F1E012C657EB}" presName="hierChild4" presStyleCnt="0"/>
      <dgm:spPr/>
    </dgm:pt>
    <dgm:pt modelId="{182CD3F6-7E30-4A8C-B672-66BAF47E15C3}" type="pres">
      <dgm:prSet presAssocID="{CE3B98A1-6A7E-4C95-AB3A-F1E012C657EB}" presName="hierChild5" presStyleCnt="0"/>
      <dgm:spPr/>
    </dgm:pt>
    <dgm:pt modelId="{211FA270-C696-4CC3-BE9A-B91360E30A7D}" type="pres">
      <dgm:prSet presAssocID="{7F8A4882-3F7A-4F21-B021-26E30FB71212}" presName="Name35" presStyleLbl="parChTrans1D4" presStyleIdx="7" presStyleCnt="9"/>
      <dgm:spPr/>
      <dgm:t>
        <a:bodyPr/>
        <a:lstStyle/>
        <a:p>
          <a:endParaRPr lang="en-US"/>
        </a:p>
      </dgm:t>
    </dgm:pt>
    <dgm:pt modelId="{AB5FA499-C1ED-4481-B588-4E92102438C0}" type="pres">
      <dgm:prSet presAssocID="{765AA547-1F25-4E6B-A549-0871CA5F11EA}" presName="hierRoot2" presStyleCnt="0">
        <dgm:presLayoutVars>
          <dgm:hierBranch val="init"/>
        </dgm:presLayoutVars>
      </dgm:prSet>
      <dgm:spPr/>
    </dgm:pt>
    <dgm:pt modelId="{C518CCE0-4FA5-4746-A251-1E74E712A9E1}" type="pres">
      <dgm:prSet presAssocID="{765AA547-1F25-4E6B-A549-0871CA5F11EA}" presName="rootComposite" presStyleCnt="0"/>
      <dgm:spPr/>
    </dgm:pt>
    <dgm:pt modelId="{B5605D55-4C4A-4AC5-87E5-948A06066F21}" type="pres">
      <dgm:prSet presAssocID="{765AA547-1F25-4E6B-A549-0871CA5F11EA}" presName="rootText" presStyleLbl="node4" presStyleIdx="7" presStyleCnt="9">
        <dgm:presLayoutVars>
          <dgm:chPref val="3"/>
        </dgm:presLayoutVars>
      </dgm:prSet>
      <dgm:spPr/>
      <dgm:t>
        <a:bodyPr/>
        <a:lstStyle/>
        <a:p>
          <a:endParaRPr lang="en-US"/>
        </a:p>
      </dgm:t>
    </dgm:pt>
    <dgm:pt modelId="{F48FD895-E2C6-4611-BA7A-9DC0C1956A73}" type="pres">
      <dgm:prSet presAssocID="{765AA547-1F25-4E6B-A549-0871CA5F11EA}" presName="rootConnector" presStyleLbl="node4" presStyleIdx="7" presStyleCnt="9"/>
      <dgm:spPr/>
      <dgm:t>
        <a:bodyPr/>
        <a:lstStyle/>
        <a:p>
          <a:endParaRPr lang="en-US"/>
        </a:p>
      </dgm:t>
    </dgm:pt>
    <dgm:pt modelId="{DF5516B1-BEDC-40CE-815A-7BD6A2C6988D}" type="pres">
      <dgm:prSet presAssocID="{765AA547-1F25-4E6B-A549-0871CA5F11EA}" presName="hierChild4" presStyleCnt="0"/>
      <dgm:spPr/>
    </dgm:pt>
    <dgm:pt modelId="{BBA67A0A-8D35-4A38-B12F-2F22376C4051}" type="pres">
      <dgm:prSet presAssocID="{765AA547-1F25-4E6B-A549-0871CA5F11EA}" presName="hierChild5" presStyleCnt="0"/>
      <dgm:spPr/>
    </dgm:pt>
    <dgm:pt modelId="{A85F09C4-FE01-4784-B34B-C49A99FD50F2}" type="pres">
      <dgm:prSet presAssocID="{1A51A8D1-5797-473E-9B64-0A073623931D}" presName="Name35" presStyleLbl="parChTrans1D4" presStyleIdx="8" presStyleCnt="9"/>
      <dgm:spPr/>
      <dgm:t>
        <a:bodyPr/>
        <a:lstStyle/>
        <a:p>
          <a:endParaRPr lang="en-US"/>
        </a:p>
      </dgm:t>
    </dgm:pt>
    <dgm:pt modelId="{3FD7B1B4-B983-4B1E-8125-04515BCE9A0B}" type="pres">
      <dgm:prSet presAssocID="{45926918-F2FB-4211-99B1-4930B4856A6D}" presName="hierRoot2" presStyleCnt="0">
        <dgm:presLayoutVars>
          <dgm:hierBranch val="init"/>
        </dgm:presLayoutVars>
      </dgm:prSet>
      <dgm:spPr/>
    </dgm:pt>
    <dgm:pt modelId="{395E9685-28E9-41FF-AEB3-DF0B9E68F29C}" type="pres">
      <dgm:prSet presAssocID="{45926918-F2FB-4211-99B1-4930B4856A6D}" presName="rootComposite" presStyleCnt="0"/>
      <dgm:spPr/>
    </dgm:pt>
    <dgm:pt modelId="{209CCFD3-E7D1-4B02-A9F2-38B6F24BD09B}" type="pres">
      <dgm:prSet presAssocID="{45926918-F2FB-4211-99B1-4930B4856A6D}" presName="rootText" presStyleLbl="node4" presStyleIdx="8" presStyleCnt="9">
        <dgm:presLayoutVars>
          <dgm:chPref val="3"/>
        </dgm:presLayoutVars>
      </dgm:prSet>
      <dgm:spPr/>
      <dgm:t>
        <a:bodyPr/>
        <a:lstStyle/>
        <a:p>
          <a:endParaRPr lang="en-US"/>
        </a:p>
      </dgm:t>
    </dgm:pt>
    <dgm:pt modelId="{03A578B5-2573-49E6-BEAE-5A9D347CE77C}" type="pres">
      <dgm:prSet presAssocID="{45926918-F2FB-4211-99B1-4930B4856A6D}" presName="rootConnector" presStyleLbl="node4" presStyleIdx="8" presStyleCnt="9"/>
      <dgm:spPr/>
      <dgm:t>
        <a:bodyPr/>
        <a:lstStyle/>
        <a:p>
          <a:endParaRPr lang="en-US"/>
        </a:p>
      </dgm:t>
    </dgm:pt>
    <dgm:pt modelId="{41A62657-BE39-4446-A594-455EB0AA011D}" type="pres">
      <dgm:prSet presAssocID="{45926918-F2FB-4211-99B1-4930B4856A6D}" presName="hierChild4" presStyleCnt="0"/>
      <dgm:spPr/>
    </dgm:pt>
    <dgm:pt modelId="{194702DD-5D85-4182-AF80-66614297ADE3}" type="pres">
      <dgm:prSet presAssocID="{45926918-F2FB-4211-99B1-4930B4856A6D}" presName="hierChild5" presStyleCnt="0"/>
      <dgm:spPr/>
    </dgm:pt>
    <dgm:pt modelId="{6B7B4262-DEF3-4DA3-A4E7-4B9D9401160D}" type="pres">
      <dgm:prSet presAssocID="{5947DE89-82AF-4E7C-9260-E3FD9F438B25}" presName="hierChild5" presStyleCnt="0"/>
      <dgm:spPr/>
    </dgm:pt>
    <dgm:pt modelId="{3A9DC233-833C-4324-BDB1-047A69F11344}" type="pres">
      <dgm:prSet presAssocID="{8657228B-C9F1-4933-84D2-084C79CF32D3}" presName="hierChild5" presStyleCnt="0"/>
      <dgm:spPr/>
    </dgm:pt>
    <dgm:pt modelId="{794EB02B-1268-484E-9359-534432D7E454}" type="pres">
      <dgm:prSet presAssocID="{2865E538-32A3-4B9B-8B56-63A3CBCB5337}" presName="hierChild3" presStyleCnt="0"/>
      <dgm:spPr/>
    </dgm:pt>
  </dgm:ptLst>
  <dgm:cxnLst>
    <dgm:cxn modelId="{3DF507A0-E6D3-4872-B365-83D77BA52DE8}" type="presOf" srcId="{CE3B98A1-6A7E-4C95-AB3A-F1E012C657EB}" destId="{141EEDB0-3D17-476D-B42B-7A8EF6C28AC8}" srcOrd="0" destOrd="0" presId="urn:microsoft.com/office/officeart/2005/8/layout/orgChart1"/>
    <dgm:cxn modelId="{F92BE6C5-3170-4903-BEE7-55748D0BD4A9}" type="presOf" srcId="{07F845AD-6D67-46C1-AB3B-410D7198A2E8}" destId="{E2748D5D-7EA1-49ED-81A3-BE5F94595BDC}" srcOrd="0" destOrd="0" presId="urn:microsoft.com/office/officeart/2005/8/layout/orgChart1"/>
    <dgm:cxn modelId="{EA2E64E7-8070-4063-8404-264C2EF3ADED}" type="presOf" srcId="{75E2D1AE-E90D-41D6-B2FF-1D5D11EC6768}" destId="{F6D7A9B2-CAE2-4C95-9F2E-E61A64ADF70A}" srcOrd="1" destOrd="0" presId="urn:microsoft.com/office/officeart/2005/8/layout/orgChart1"/>
    <dgm:cxn modelId="{FA28D3B3-1F9A-4FE8-BF28-B0165E9EDF46}" type="presOf" srcId="{3A365555-044B-4EE6-9F12-50B98003FEC8}" destId="{774779F5-5CD9-40D7-A9D6-B3C17DF9E0B9}" srcOrd="1" destOrd="0" presId="urn:microsoft.com/office/officeart/2005/8/layout/orgChart1"/>
    <dgm:cxn modelId="{E28CF55F-A3E1-4ADB-B8AC-33B3CE3F0D89}" type="presOf" srcId="{C9965D82-7AF4-480E-A02C-17192839E0DC}" destId="{9BC4E93E-7DC2-4073-8B8E-563AA1D2CA12}" srcOrd="0" destOrd="0" presId="urn:microsoft.com/office/officeart/2005/8/layout/orgChart1"/>
    <dgm:cxn modelId="{05465FB7-4A1C-4F9C-920F-FA350BA242C7}" srcId="{3A365555-044B-4EE6-9F12-50B98003FEC8}" destId="{C9965D82-7AF4-480E-A02C-17192839E0DC}" srcOrd="0" destOrd="0" parTransId="{5D323AED-5CB0-4358-975C-CCE3CCE4DF26}" sibTransId="{B9775E72-2367-4A30-B2F9-BF0A2BEF5C5D}"/>
    <dgm:cxn modelId="{621C6E08-67DE-4E3A-9858-10D89288CA19}" srcId="{5947DE89-82AF-4E7C-9260-E3FD9F438B25}" destId="{63426005-84ED-45AE-916A-1F9FBE679B97}" srcOrd="0" destOrd="0" parTransId="{CE45C6F9-915B-4C6B-AF20-A65047DA87CD}" sibTransId="{04904E27-A875-47E5-8039-69098F9C00CD}"/>
    <dgm:cxn modelId="{1F8B9018-841B-4F5A-9E30-219D3B43E55D}" type="presOf" srcId="{CE3DB875-87C1-44C7-9105-913D9006F9F9}" destId="{E43CBB96-FF14-45D5-A751-CAD7B98BF0D0}" srcOrd="0" destOrd="0" presId="urn:microsoft.com/office/officeart/2005/8/layout/orgChart1"/>
    <dgm:cxn modelId="{94D44141-C95F-4A03-A91A-CFBC10FBEF6A}" type="presOf" srcId="{2865E538-32A3-4B9B-8B56-63A3CBCB5337}" destId="{199A0D90-D9DE-4EE6-B366-7D3E9E17804F}" srcOrd="1" destOrd="0" presId="urn:microsoft.com/office/officeart/2005/8/layout/orgChart1"/>
    <dgm:cxn modelId="{68AE1862-DE13-4595-B1BD-BB264A5D344C}" type="presOf" srcId="{45926918-F2FB-4211-99B1-4930B4856A6D}" destId="{03A578B5-2573-49E6-BEAE-5A9D347CE77C}" srcOrd="1" destOrd="0" presId="urn:microsoft.com/office/officeart/2005/8/layout/orgChart1"/>
    <dgm:cxn modelId="{E654C111-65E0-4DA4-88EE-240C2F4203E2}" type="presOf" srcId="{7541D766-17C2-4865-83B0-2D31865D8891}" destId="{1BD790D9-59AA-49B6-B7D0-B8864C1835F0}" srcOrd="0" destOrd="0" presId="urn:microsoft.com/office/officeart/2005/8/layout/orgChart1"/>
    <dgm:cxn modelId="{2036E9A4-F993-450D-AB2A-3398240E10BE}" srcId="{5947DE89-82AF-4E7C-9260-E3FD9F438B25}" destId="{45926918-F2FB-4211-99B1-4930B4856A6D}" srcOrd="5" destOrd="0" parTransId="{1A51A8D1-5797-473E-9B64-0A073623931D}" sibTransId="{89B95ABC-E1C4-4847-9BB1-102FE934EFFD}"/>
    <dgm:cxn modelId="{48440DBD-759A-4DD9-98F8-12C3723E6A32}" type="presOf" srcId="{CE45C6F9-915B-4C6B-AF20-A65047DA87CD}" destId="{54B9C367-A97A-45DC-A087-BA920333B3AF}" srcOrd="0" destOrd="0" presId="urn:microsoft.com/office/officeart/2005/8/layout/orgChart1"/>
    <dgm:cxn modelId="{9288BF66-56D2-43CA-A296-6EEB6D1D6209}" type="presOf" srcId="{3A365555-044B-4EE6-9F12-50B98003FEC8}" destId="{51F2EDF4-CF50-4E3B-B972-A455A6845075}" srcOrd="0" destOrd="0" presId="urn:microsoft.com/office/officeart/2005/8/layout/orgChart1"/>
    <dgm:cxn modelId="{3CECCE4F-24FA-4927-871D-3FC97C009475}" type="presOf" srcId="{45926918-F2FB-4211-99B1-4930B4856A6D}" destId="{209CCFD3-E7D1-4B02-A9F2-38B6F24BD09B}" srcOrd="0" destOrd="0" presId="urn:microsoft.com/office/officeart/2005/8/layout/orgChart1"/>
    <dgm:cxn modelId="{255F695C-D79D-4B72-B658-7E5440DCE823}" type="presOf" srcId="{B19684E4-D570-48BE-98EB-D1BEE509795D}" destId="{635B9D27-EF15-4745-A622-5DC1E2C5306A}" srcOrd="0" destOrd="0" presId="urn:microsoft.com/office/officeart/2005/8/layout/orgChart1"/>
    <dgm:cxn modelId="{9DE0E577-9BC8-4085-A85D-940E98B5DFF9}" type="presOf" srcId="{8657228B-C9F1-4933-84D2-084C79CF32D3}" destId="{56C60E25-E0E6-47A6-94A3-DAE0CA2808C6}" srcOrd="1" destOrd="0" presId="urn:microsoft.com/office/officeart/2005/8/layout/orgChart1"/>
    <dgm:cxn modelId="{EE6156C2-3E7A-42A8-A5F8-80610BD72935}" srcId="{5947DE89-82AF-4E7C-9260-E3FD9F438B25}" destId="{07F845AD-6D67-46C1-AB3B-410D7198A2E8}" srcOrd="1" destOrd="0" parTransId="{637D2003-E3BA-4D4E-9437-3D37BD00E7F9}" sibTransId="{8285C32F-EC0E-4B51-A149-53C7F3A192FD}"/>
    <dgm:cxn modelId="{5EACC374-025F-4DE2-B5A5-D4604F58E195}" srcId="{5947DE89-82AF-4E7C-9260-E3FD9F438B25}" destId="{765AA547-1F25-4E6B-A549-0871CA5F11EA}" srcOrd="4" destOrd="0" parTransId="{7F8A4882-3F7A-4F21-B021-26E30FB71212}" sibTransId="{ED72E319-7C83-453E-844E-4494241B29DC}"/>
    <dgm:cxn modelId="{30EE0D42-7530-4045-82AD-F1FD9BE337FB}" type="presOf" srcId="{5D323AED-5CB0-4358-975C-CCE3CCE4DF26}" destId="{E11287D9-E77C-4A74-9066-2979AF09FB57}" srcOrd="0" destOrd="0" presId="urn:microsoft.com/office/officeart/2005/8/layout/orgChart1"/>
    <dgm:cxn modelId="{1A342EEA-FB29-4862-92B5-BE9E2BD9C8F2}" type="presOf" srcId="{5947DE89-82AF-4E7C-9260-E3FD9F438B25}" destId="{7CA795E8-8C06-469E-BE0A-B2377DF1893B}" srcOrd="1" destOrd="0" presId="urn:microsoft.com/office/officeart/2005/8/layout/orgChart1"/>
    <dgm:cxn modelId="{3959C0D8-667C-451B-B428-1B7E4C0EFE08}" srcId="{2601B581-8784-4E14-9BA9-F201EB212929}" destId="{2865E538-32A3-4B9B-8B56-63A3CBCB5337}" srcOrd="0" destOrd="0" parTransId="{CE737FDC-7E7B-429C-9D82-C4794562413F}" sibTransId="{0ED8D4F9-6364-433A-AFC6-94BA4DEDCDA8}"/>
    <dgm:cxn modelId="{50A5CAE0-552F-41B8-BF22-3FDD5FAE913D}" type="presOf" srcId="{C9965D82-7AF4-480E-A02C-17192839E0DC}" destId="{00D2603E-C255-47A3-ABBE-BAD7D3D8AC87}" srcOrd="1" destOrd="0" presId="urn:microsoft.com/office/officeart/2005/8/layout/orgChart1"/>
    <dgm:cxn modelId="{E3662C73-C6B4-410B-A6D4-16114B58106E}" type="presOf" srcId="{8657228B-C9F1-4933-84D2-084C79CF32D3}" destId="{400D6E28-15E9-4009-84EC-0B9F10352D67}" srcOrd="0" destOrd="0" presId="urn:microsoft.com/office/officeart/2005/8/layout/orgChart1"/>
    <dgm:cxn modelId="{40986CC4-7432-4B0C-B20C-4B854891D47F}" type="presOf" srcId="{1F0AA1FD-44DC-44F8-9E8F-25A5E8A4E07A}" destId="{B6017BDB-C207-4E39-83EC-8E6D9524F7F8}" srcOrd="1" destOrd="0" presId="urn:microsoft.com/office/officeart/2005/8/layout/orgChart1"/>
    <dgm:cxn modelId="{35110E73-5B8F-421B-ACAF-DF6C47B6DD1F}" type="presOf" srcId="{1A51A8D1-5797-473E-9B64-0A073623931D}" destId="{A85F09C4-FE01-4784-B34B-C49A99FD50F2}" srcOrd="0" destOrd="0" presId="urn:microsoft.com/office/officeart/2005/8/layout/orgChart1"/>
    <dgm:cxn modelId="{53B4F788-29DE-4311-8FD6-697027406A70}" type="presOf" srcId="{AF29A7BD-676E-439C-8C38-A204CA92448F}" destId="{6046FD01-BC3A-468E-B56F-FFD58786053F}" srcOrd="0" destOrd="0" presId="urn:microsoft.com/office/officeart/2005/8/layout/orgChart1"/>
    <dgm:cxn modelId="{9D4FD3CF-C0FD-4331-9FFF-6B05465877AD}" type="presOf" srcId="{765AA547-1F25-4E6B-A549-0871CA5F11EA}" destId="{B5605D55-4C4A-4AC5-87E5-948A06066F21}" srcOrd="0" destOrd="0" presId="urn:microsoft.com/office/officeart/2005/8/layout/orgChart1"/>
    <dgm:cxn modelId="{4AA5A5FB-987E-4EF6-8D16-BD16553C1E18}" type="presOf" srcId="{2865E538-32A3-4B9B-8B56-63A3CBCB5337}" destId="{402B85D9-B32A-41DB-B41E-2A3A44EC80DB}" srcOrd="0" destOrd="0" presId="urn:microsoft.com/office/officeart/2005/8/layout/orgChart1"/>
    <dgm:cxn modelId="{B406BB0E-A4F0-47FA-8DA9-1D1D12640C35}" type="presOf" srcId="{2601B581-8784-4E14-9BA9-F201EB212929}" destId="{F2F8F4D2-A630-4E8F-ABF6-CD41F332CBD6}" srcOrd="0" destOrd="0" presId="urn:microsoft.com/office/officeart/2005/8/layout/orgChart1"/>
    <dgm:cxn modelId="{36739076-C70B-4BDB-9010-B43EAFC1DB56}" type="presOf" srcId="{63426005-84ED-45AE-916A-1F9FBE679B97}" destId="{270DCD88-7796-4D73-817B-F4F29A91B4DF}" srcOrd="1" destOrd="0" presId="urn:microsoft.com/office/officeart/2005/8/layout/orgChart1"/>
    <dgm:cxn modelId="{56EE51E2-ED29-450B-B7B1-7C1621850D46}" type="presOf" srcId="{75E2D1AE-E90D-41D6-B2FF-1D5D11EC6768}" destId="{4FA64785-F4D0-49BD-A6B3-E9A26FFAEC57}" srcOrd="0" destOrd="0" presId="urn:microsoft.com/office/officeart/2005/8/layout/orgChart1"/>
    <dgm:cxn modelId="{0B464539-6123-4D7D-AD80-2B6EEB93C45E}" type="presOf" srcId="{1F0AA1FD-44DC-44F8-9E8F-25A5E8A4E07A}" destId="{701BF94F-5BE1-4DAC-B04F-DA1456564F4C}" srcOrd="0" destOrd="0" presId="urn:microsoft.com/office/officeart/2005/8/layout/orgChart1"/>
    <dgm:cxn modelId="{2D759031-030A-4D47-B133-2DEC27CE2975}" type="presOf" srcId="{4B707ADA-B63F-48F8-AADB-B0EC801C4DBB}" destId="{059D6320-D88C-487F-B83D-3ACDC53198AB}" srcOrd="0" destOrd="0" presId="urn:microsoft.com/office/officeart/2005/8/layout/orgChart1"/>
    <dgm:cxn modelId="{5245E66A-3E92-4E3E-8157-EC9719CACA48}" srcId="{5947DE89-82AF-4E7C-9260-E3FD9F438B25}" destId="{CE3B98A1-6A7E-4C95-AB3A-F1E012C657EB}" srcOrd="3" destOrd="0" parTransId="{97FF98EE-2CE3-443A-ACF2-CCE5D430C346}" sibTransId="{674904EC-E695-4F02-9B71-18B85C4CA6AE}"/>
    <dgm:cxn modelId="{1A169AA9-842E-47B5-AA38-8F3CEB838579}" type="presOf" srcId="{637D2003-E3BA-4D4E-9437-3D37BD00E7F9}" destId="{8C4C28A5-BE82-43EE-84B7-1F788EEBC993}" srcOrd="0" destOrd="0" presId="urn:microsoft.com/office/officeart/2005/8/layout/orgChart1"/>
    <dgm:cxn modelId="{AD480B47-6C72-4AB5-B74B-F6CBF7A9533C}" type="presOf" srcId="{63426005-84ED-45AE-916A-1F9FBE679B97}" destId="{9CB357F9-024E-4B3D-8EEC-32C3F3CF63B7}" srcOrd="0" destOrd="0" presId="urn:microsoft.com/office/officeart/2005/8/layout/orgChart1"/>
    <dgm:cxn modelId="{128A6009-580E-4C8B-BC4A-909BD5DF2394}" type="presOf" srcId="{765AA547-1F25-4E6B-A549-0871CA5F11EA}" destId="{F48FD895-E2C6-4611-BA7A-9DC0C1956A73}" srcOrd="1" destOrd="0" presId="urn:microsoft.com/office/officeart/2005/8/layout/orgChart1"/>
    <dgm:cxn modelId="{02AF2881-E677-4500-B89B-671531F1984C}" srcId="{3A365555-044B-4EE6-9F12-50B98003FEC8}" destId="{1F0AA1FD-44DC-44F8-9E8F-25A5E8A4E07A}" srcOrd="1" destOrd="0" parTransId="{AF29A7BD-676E-439C-8C38-A204CA92448F}" sibTransId="{A6B3C8EE-7B77-4892-AF11-268DC40CF464}"/>
    <dgm:cxn modelId="{F0283B46-D883-4D28-91B9-9A71B3B70667}" srcId="{2865E538-32A3-4B9B-8B56-63A3CBCB5337}" destId="{8657228B-C9F1-4933-84D2-084C79CF32D3}" srcOrd="0" destOrd="0" parTransId="{CE3DB875-87C1-44C7-9105-913D9006F9F9}" sibTransId="{BB7EF460-6B95-4563-BA38-1A3F7334E8B9}"/>
    <dgm:cxn modelId="{815D5AF0-48F0-4EB5-AF5A-F4D0D4805DA0}" type="presOf" srcId="{07F845AD-6D67-46C1-AB3B-410D7198A2E8}" destId="{60292D58-E8D3-4060-87F4-103A96A848CC}" srcOrd="1" destOrd="0" presId="urn:microsoft.com/office/officeart/2005/8/layout/orgChart1"/>
    <dgm:cxn modelId="{29FE1EEE-050B-4962-9EA5-5F61B61EDAE5}" srcId="{5947DE89-82AF-4E7C-9260-E3FD9F438B25}" destId="{75E2D1AE-E90D-41D6-B2FF-1D5D11EC6768}" srcOrd="2" destOrd="0" parTransId="{B19684E4-D570-48BE-98EB-D1BEE509795D}" sibTransId="{AD99F7E9-3CF1-4C68-A9FF-04307D04230F}"/>
    <dgm:cxn modelId="{4FB78C1C-9CA0-4F4F-AF4D-62B039C9B030}" srcId="{63426005-84ED-45AE-916A-1F9FBE679B97}" destId="{3A365555-044B-4EE6-9F12-50B98003FEC8}" srcOrd="0" destOrd="0" parTransId="{7541D766-17C2-4865-83B0-2D31865D8891}" sibTransId="{5ECDE496-D09A-4D9A-96C8-BA05A4FA0102}"/>
    <dgm:cxn modelId="{76E1C44A-FED1-497B-98DB-78ADF8A237CB}" type="presOf" srcId="{CE3B98A1-6A7E-4C95-AB3A-F1E012C657EB}" destId="{D543C101-9C98-4CC6-9380-F6312715199B}" srcOrd="1" destOrd="0" presId="urn:microsoft.com/office/officeart/2005/8/layout/orgChart1"/>
    <dgm:cxn modelId="{D5AE2ED0-F440-457C-AAA3-0FA839110585}" type="presOf" srcId="{97FF98EE-2CE3-443A-ACF2-CCE5D430C346}" destId="{507F2273-2834-46DF-8FA7-72D5D738E35D}" srcOrd="0" destOrd="0" presId="urn:microsoft.com/office/officeart/2005/8/layout/orgChart1"/>
    <dgm:cxn modelId="{AB77BE40-9D32-4BDD-8359-AA5045F92736}" type="presOf" srcId="{7F8A4882-3F7A-4F21-B021-26E30FB71212}" destId="{211FA270-C696-4CC3-BE9A-B91360E30A7D}" srcOrd="0" destOrd="0" presId="urn:microsoft.com/office/officeart/2005/8/layout/orgChart1"/>
    <dgm:cxn modelId="{4940E112-EBC6-4818-881C-779809ACE5F9}" srcId="{8657228B-C9F1-4933-84D2-084C79CF32D3}" destId="{5947DE89-82AF-4E7C-9260-E3FD9F438B25}" srcOrd="0" destOrd="0" parTransId="{4B707ADA-B63F-48F8-AADB-B0EC801C4DBB}" sibTransId="{CF8BC27B-70B0-47BB-9147-B18AAE323E36}"/>
    <dgm:cxn modelId="{A58FBE4D-CD6A-42D1-B1E0-D12930931B5B}" type="presOf" srcId="{5947DE89-82AF-4E7C-9260-E3FD9F438B25}" destId="{8E64A741-9B30-4BD2-B2EF-B3790977DDFF}" srcOrd="0" destOrd="0" presId="urn:microsoft.com/office/officeart/2005/8/layout/orgChart1"/>
    <dgm:cxn modelId="{EE687FAA-7B49-444D-82F7-A19F2F70D580}" type="presParOf" srcId="{F2F8F4D2-A630-4E8F-ABF6-CD41F332CBD6}" destId="{076FE0E7-7EDB-4310-87FD-FD656B3D4454}" srcOrd="0" destOrd="0" presId="urn:microsoft.com/office/officeart/2005/8/layout/orgChart1"/>
    <dgm:cxn modelId="{15DB7A3B-396C-46BC-9063-0860E6508072}" type="presParOf" srcId="{076FE0E7-7EDB-4310-87FD-FD656B3D4454}" destId="{1CD3AECC-7847-44DE-B283-C3ED0F8E44C5}" srcOrd="0" destOrd="0" presId="urn:microsoft.com/office/officeart/2005/8/layout/orgChart1"/>
    <dgm:cxn modelId="{C654ECF1-9C8F-430D-BB71-F2F7EB0E0BC6}" type="presParOf" srcId="{1CD3AECC-7847-44DE-B283-C3ED0F8E44C5}" destId="{402B85D9-B32A-41DB-B41E-2A3A44EC80DB}" srcOrd="0" destOrd="0" presId="urn:microsoft.com/office/officeart/2005/8/layout/orgChart1"/>
    <dgm:cxn modelId="{01D0F103-9FD7-4AE4-B43D-FA4B10CD7406}" type="presParOf" srcId="{1CD3AECC-7847-44DE-B283-C3ED0F8E44C5}" destId="{199A0D90-D9DE-4EE6-B366-7D3E9E17804F}" srcOrd="1" destOrd="0" presId="urn:microsoft.com/office/officeart/2005/8/layout/orgChart1"/>
    <dgm:cxn modelId="{CC40D221-51D7-463F-B8A2-59EA34C2C640}" type="presParOf" srcId="{076FE0E7-7EDB-4310-87FD-FD656B3D4454}" destId="{3966B7B1-4FAE-42DF-8C06-70D2CF9CC1D0}" srcOrd="1" destOrd="0" presId="urn:microsoft.com/office/officeart/2005/8/layout/orgChart1"/>
    <dgm:cxn modelId="{2536496A-8915-4E53-BEE6-E82D8BCC167A}" type="presParOf" srcId="{3966B7B1-4FAE-42DF-8C06-70D2CF9CC1D0}" destId="{E43CBB96-FF14-45D5-A751-CAD7B98BF0D0}" srcOrd="0" destOrd="0" presId="urn:microsoft.com/office/officeart/2005/8/layout/orgChart1"/>
    <dgm:cxn modelId="{C9AA3D64-0C29-4C3A-8B17-1103BAFB61A2}" type="presParOf" srcId="{3966B7B1-4FAE-42DF-8C06-70D2CF9CC1D0}" destId="{3F7B8096-3CB9-4DFC-AF96-594D6656336C}" srcOrd="1" destOrd="0" presId="urn:microsoft.com/office/officeart/2005/8/layout/orgChart1"/>
    <dgm:cxn modelId="{F31A5C7F-0190-4831-B6A4-B1703F41E433}" type="presParOf" srcId="{3F7B8096-3CB9-4DFC-AF96-594D6656336C}" destId="{74AB4B75-0D66-49EF-9C22-A432FC4C21D1}" srcOrd="0" destOrd="0" presId="urn:microsoft.com/office/officeart/2005/8/layout/orgChart1"/>
    <dgm:cxn modelId="{A97ED9E8-345A-49E0-AFEE-97CBCF6DED5B}" type="presParOf" srcId="{74AB4B75-0D66-49EF-9C22-A432FC4C21D1}" destId="{400D6E28-15E9-4009-84EC-0B9F10352D67}" srcOrd="0" destOrd="0" presId="urn:microsoft.com/office/officeart/2005/8/layout/orgChart1"/>
    <dgm:cxn modelId="{A9545DF5-E41E-4CD3-9DC9-A82AEDFA5B40}" type="presParOf" srcId="{74AB4B75-0D66-49EF-9C22-A432FC4C21D1}" destId="{56C60E25-E0E6-47A6-94A3-DAE0CA2808C6}" srcOrd="1" destOrd="0" presId="urn:microsoft.com/office/officeart/2005/8/layout/orgChart1"/>
    <dgm:cxn modelId="{0B070DC0-ADFF-4503-8015-F52FAEA6179D}" type="presParOf" srcId="{3F7B8096-3CB9-4DFC-AF96-594D6656336C}" destId="{21672EF2-6273-46C3-8356-7CD1CEA79543}" srcOrd="1" destOrd="0" presId="urn:microsoft.com/office/officeart/2005/8/layout/orgChart1"/>
    <dgm:cxn modelId="{BBE127B1-8AB5-4DCB-ADD8-6B0C05DE118F}" type="presParOf" srcId="{21672EF2-6273-46C3-8356-7CD1CEA79543}" destId="{059D6320-D88C-487F-B83D-3ACDC53198AB}" srcOrd="0" destOrd="0" presId="urn:microsoft.com/office/officeart/2005/8/layout/orgChart1"/>
    <dgm:cxn modelId="{AAD73162-A6CC-4FBF-BB97-811C2BAD8D1F}" type="presParOf" srcId="{21672EF2-6273-46C3-8356-7CD1CEA79543}" destId="{B90889BC-6272-4792-8A21-20BBF258116C}" srcOrd="1" destOrd="0" presId="urn:microsoft.com/office/officeart/2005/8/layout/orgChart1"/>
    <dgm:cxn modelId="{B896857A-289D-4F91-9353-DFE7007AC9AD}" type="presParOf" srcId="{B90889BC-6272-4792-8A21-20BBF258116C}" destId="{7EF80CBE-33E7-45B2-91B2-2DAD0820B04C}" srcOrd="0" destOrd="0" presId="urn:microsoft.com/office/officeart/2005/8/layout/orgChart1"/>
    <dgm:cxn modelId="{CF787A89-8162-4BD8-B3DF-4800961B4AC7}" type="presParOf" srcId="{7EF80CBE-33E7-45B2-91B2-2DAD0820B04C}" destId="{8E64A741-9B30-4BD2-B2EF-B3790977DDFF}" srcOrd="0" destOrd="0" presId="urn:microsoft.com/office/officeart/2005/8/layout/orgChart1"/>
    <dgm:cxn modelId="{CA4732A9-0858-407E-BF4A-909151F3F02C}" type="presParOf" srcId="{7EF80CBE-33E7-45B2-91B2-2DAD0820B04C}" destId="{7CA795E8-8C06-469E-BE0A-B2377DF1893B}" srcOrd="1" destOrd="0" presId="urn:microsoft.com/office/officeart/2005/8/layout/orgChart1"/>
    <dgm:cxn modelId="{5EBFBF90-C451-4C3A-AA89-78DDC794DE42}" type="presParOf" srcId="{B90889BC-6272-4792-8A21-20BBF258116C}" destId="{E13176BF-DAD7-4838-B5F0-A07637F89BF3}" srcOrd="1" destOrd="0" presId="urn:microsoft.com/office/officeart/2005/8/layout/orgChart1"/>
    <dgm:cxn modelId="{6163FCF7-10A2-4E1D-BCE8-53C571C9D681}" type="presParOf" srcId="{E13176BF-DAD7-4838-B5F0-A07637F89BF3}" destId="{54B9C367-A97A-45DC-A087-BA920333B3AF}" srcOrd="0" destOrd="0" presId="urn:microsoft.com/office/officeart/2005/8/layout/orgChart1"/>
    <dgm:cxn modelId="{CE7994AA-B4E1-400E-9F8D-CD77D2064E86}" type="presParOf" srcId="{E13176BF-DAD7-4838-B5F0-A07637F89BF3}" destId="{D9FDFEC2-C02F-47CA-9C40-296BAA022245}" srcOrd="1" destOrd="0" presId="urn:microsoft.com/office/officeart/2005/8/layout/orgChart1"/>
    <dgm:cxn modelId="{D6F8A5DA-94FE-4703-BE9C-5F74F813F308}" type="presParOf" srcId="{D9FDFEC2-C02F-47CA-9C40-296BAA022245}" destId="{94D08527-2981-4D6D-B483-84DEC9429964}" srcOrd="0" destOrd="0" presId="urn:microsoft.com/office/officeart/2005/8/layout/orgChart1"/>
    <dgm:cxn modelId="{32B48308-8AC4-4AFF-8F30-96B91EA9AEDF}" type="presParOf" srcId="{94D08527-2981-4D6D-B483-84DEC9429964}" destId="{9CB357F9-024E-4B3D-8EEC-32C3F3CF63B7}" srcOrd="0" destOrd="0" presId="urn:microsoft.com/office/officeart/2005/8/layout/orgChart1"/>
    <dgm:cxn modelId="{16997C96-8F75-4B3D-A49D-B746F7703CA8}" type="presParOf" srcId="{94D08527-2981-4D6D-B483-84DEC9429964}" destId="{270DCD88-7796-4D73-817B-F4F29A91B4DF}" srcOrd="1" destOrd="0" presId="urn:microsoft.com/office/officeart/2005/8/layout/orgChart1"/>
    <dgm:cxn modelId="{2CFA3169-0061-408E-94C1-828B87787557}" type="presParOf" srcId="{D9FDFEC2-C02F-47CA-9C40-296BAA022245}" destId="{85C256F5-A81B-40B1-A564-ADB93983C013}" srcOrd="1" destOrd="0" presId="urn:microsoft.com/office/officeart/2005/8/layout/orgChart1"/>
    <dgm:cxn modelId="{6FC1E4CE-35A5-4A32-BC68-3E048FF8E133}" type="presParOf" srcId="{85C256F5-A81B-40B1-A564-ADB93983C013}" destId="{1BD790D9-59AA-49B6-B7D0-B8864C1835F0}" srcOrd="0" destOrd="0" presId="urn:microsoft.com/office/officeart/2005/8/layout/orgChart1"/>
    <dgm:cxn modelId="{3435DE72-7CCE-4BF8-A20B-E83BDC35A418}" type="presParOf" srcId="{85C256F5-A81B-40B1-A564-ADB93983C013}" destId="{714C8720-6628-43C0-BF68-16DBECFA2B67}" srcOrd="1" destOrd="0" presId="urn:microsoft.com/office/officeart/2005/8/layout/orgChart1"/>
    <dgm:cxn modelId="{2D29A034-E239-4578-A45D-FB303FCDFE8A}" type="presParOf" srcId="{714C8720-6628-43C0-BF68-16DBECFA2B67}" destId="{82F79C90-9E0F-4B90-B0EC-75BA3CFA568B}" srcOrd="0" destOrd="0" presId="urn:microsoft.com/office/officeart/2005/8/layout/orgChart1"/>
    <dgm:cxn modelId="{499A66D5-FFDF-435C-A03E-538C1F0DD9E4}" type="presParOf" srcId="{82F79C90-9E0F-4B90-B0EC-75BA3CFA568B}" destId="{51F2EDF4-CF50-4E3B-B972-A455A6845075}" srcOrd="0" destOrd="0" presId="urn:microsoft.com/office/officeart/2005/8/layout/orgChart1"/>
    <dgm:cxn modelId="{F823AA2C-22A4-40F0-B349-6C7266D7C4BE}" type="presParOf" srcId="{82F79C90-9E0F-4B90-B0EC-75BA3CFA568B}" destId="{774779F5-5CD9-40D7-A9D6-B3C17DF9E0B9}" srcOrd="1" destOrd="0" presId="urn:microsoft.com/office/officeart/2005/8/layout/orgChart1"/>
    <dgm:cxn modelId="{FC1F6266-36AE-4F2F-8DF0-F092FC85A3F1}" type="presParOf" srcId="{714C8720-6628-43C0-BF68-16DBECFA2B67}" destId="{CCF9488E-0E4B-4EAF-B48F-1405F76E122E}" srcOrd="1" destOrd="0" presId="urn:microsoft.com/office/officeart/2005/8/layout/orgChart1"/>
    <dgm:cxn modelId="{3DCF3AD2-EE9F-4D00-9733-32BE18A2BAAB}" type="presParOf" srcId="{CCF9488E-0E4B-4EAF-B48F-1405F76E122E}" destId="{E11287D9-E77C-4A74-9066-2979AF09FB57}" srcOrd="0" destOrd="0" presId="urn:microsoft.com/office/officeart/2005/8/layout/orgChart1"/>
    <dgm:cxn modelId="{E9096143-5BD8-4634-AF5A-435F3A6000DF}" type="presParOf" srcId="{CCF9488E-0E4B-4EAF-B48F-1405F76E122E}" destId="{D6857787-1B15-4520-8416-5372A4C13CDA}" srcOrd="1" destOrd="0" presId="urn:microsoft.com/office/officeart/2005/8/layout/orgChart1"/>
    <dgm:cxn modelId="{E6EE54C8-96EA-44B6-8EDA-CDA61072DA15}" type="presParOf" srcId="{D6857787-1B15-4520-8416-5372A4C13CDA}" destId="{23DFE33F-2262-4556-83AA-F9A04B62AF96}" srcOrd="0" destOrd="0" presId="urn:microsoft.com/office/officeart/2005/8/layout/orgChart1"/>
    <dgm:cxn modelId="{7D20CF4D-C1D6-4827-AA49-B0D56E4823DB}" type="presParOf" srcId="{23DFE33F-2262-4556-83AA-F9A04B62AF96}" destId="{9BC4E93E-7DC2-4073-8B8E-563AA1D2CA12}" srcOrd="0" destOrd="0" presId="urn:microsoft.com/office/officeart/2005/8/layout/orgChart1"/>
    <dgm:cxn modelId="{3C48B2DA-64BB-4808-A9B2-239A65BF4C29}" type="presParOf" srcId="{23DFE33F-2262-4556-83AA-F9A04B62AF96}" destId="{00D2603E-C255-47A3-ABBE-BAD7D3D8AC87}" srcOrd="1" destOrd="0" presId="urn:microsoft.com/office/officeart/2005/8/layout/orgChart1"/>
    <dgm:cxn modelId="{1BF867B6-E694-4B0B-96DF-9BC108540C4D}" type="presParOf" srcId="{D6857787-1B15-4520-8416-5372A4C13CDA}" destId="{F6570361-F94B-4F11-81E5-2DFB2D64A244}" srcOrd="1" destOrd="0" presId="urn:microsoft.com/office/officeart/2005/8/layout/orgChart1"/>
    <dgm:cxn modelId="{F0CAFF65-44EF-4A2E-AA09-81A4683D3371}" type="presParOf" srcId="{D6857787-1B15-4520-8416-5372A4C13CDA}" destId="{117C544F-32A3-4F80-8C19-26509214DFC1}" srcOrd="2" destOrd="0" presId="urn:microsoft.com/office/officeart/2005/8/layout/orgChart1"/>
    <dgm:cxn modelId="{D66998DB-0D7F-46B3-8A6F-AAD96B71FF2B}" type="presParOf" srcId="{CCF9488E-0E4B-4EAF-B48F-1405F76E122E}" destId="{6046FD01-BC3A-468E-B56F-FFD58786053F}" srcOrd="2" destOrd="0" presId="urn:microsoft.com/office/officeart/2005/8/layout/orgChart1"/>
    <dgm:cxn modelId="{AD08CDBF-EC3F-495F-8892-A6941E047D7F}" type="presParOf" srcId="{CCF9488E-0E4B-4EAF-B48F-1405F76E122E}" destId="{31B42E7A-EE0D-4451-A403-E3BB1B003F86}" srcOrd="3" destOrd="0" presId="urn:microsoft.com/office/officeart/2005/8/layout/orgChart1"/>
    <dgm:cxn modelId="{86B229D7-82C2-4E08-8C34-88B84AE41A8A}" type="presParOf" srcId="{31B42E7A-EE0D-4451-A403-E3BB1B003F86}" destId="{56B167DE-EF2C-4270-807E-1E78F2D863D0}" srcOrd="0" destOrd="0" presId="urn:microsoft.com/office/officeart/2005/8/layout/orgChart1"/>
    <dgm:cxn modelId="{A75995E2-759E-4177-AC91-E80CE17BEF86}" type="presParOf" srcId="{56B167DE-EF2C-4270-807E-1E78F2D863D0}" destId="{701BF94F-5BE1-4DAC-B04F-DA1456564F4C}" srcOrd="0" destOrd="0" presId="urn:microsoft.com/office/officeart/2005/8/layout/orgChart1"/>
    <dgm:cxn modelId="{088D4F07-060A-407E-87C8-8875F61BA4DE}" type="presParOf" srcId="{56B167DE-EF2C-4270-807E-1E78F2D863D0}" destId="{B6017BDB-C207-4E39-83EC-8E6D9524F7F8}" srcOrd="1" destOrd="0" presId="urn:microsoft.com/office/officeart/2005/8/layout/orgChart1"/>
    <dgm:cxn modelId="{DE3583CD-B716-4C4E-AF1B-3DF5EF551676}" type="presParOf" srcId="{31B42E7A-EE0D-4451-A403-E3BB1B003F86}" destId="{E2627CD4-E815-4D83-94C5-1EFBF8934A4A}" srcOrd="1" destOrd="0" presId="urn:microsoft.com/office/officeart/2005/8/layout/orgChart1"/>
    <dgm:cxn modelId="{254C46F5-786E-425D-A05A-0FF01018BC23}" type="presParOf" srcId="{31B42E7A-EE0D-4451-A403-E3BB1B003F86}" destId="{A82F4496-DA28-43CF-AB2A-6973E58136F1}" srcOrd="2" destOrd="0" presId="urn:microsoft.com/office/officeart/2005/8/layout/orgChart1"/>
    <dgm:cxn modelId="{B8E33C9B-18F5-427D-A75A-D0E4DCC7358F}" type="presParOf" srcId="{714C8720-6628-43C0-BF68-16DBECFA2B67}" destId="{920CFC27-1BF7-4AB2-8048-947B3C3A62B7}" srcOrd="2" destOrd="0" presId="urn:microsoft.com/office/officeart/2005/8/layout/orgChart1"/>
    <dgm:cxn modelId="{D6505293-0047-44BC-BB1E-5F691E3C60C8}" type="presParOf" srcId="{D9FDFEC2-C02F-47CA-9C40-296BAA022245}" destId="{EB3AB15A-86A9-4A5F-A71B-44E93EA6FCD6}" srcOrd="2" destOrd="0" presId="urn:microsoft.com/office/officeart/2005/8/layout/orgChart1"/>
    <dgm:cxn modelId="{5B3D6CAC-E68E-427A-BC3B-35C97F1871A7}" type="presParOf" srcId="{E13176BF-DAD7-4838-B5F0-A07637F89BF3}" destId="{8C4C28A5-BE82-43EE-84B7-1F788EEBC993}" srcOrd="2" destOrd="0" presId="urn:microsoft.com/office/officeart/2005/8/layout/orgChart1"/>
    <dgm:cxn modelId="{117DA27F-1ED0-4460-BF23-80CADBE8CC3A}" type="presParOf" srcId="{E13176BF-DAD7-4838-B5F0-A07637F89BF3}" destId="{0D3E0D05-BB70-4D28-ADB6-B3BDB351C802}" srcOrd="3" destOrd="0" presId="urn:microsoft.com/office/officeart/2005/8/layout/orgChart1"/>
    <dgm:cxn modelId="{DB3F5405-13B1-430F-80A5-5AB574799C6D}" type="presParOf" srcId="{0D3E0D05-BB70-4D28-ADB6-B3BDB351C802}" destId="{7683D4E0-2222-47F1-BA2F-3D5F03CEDCAA}" srcOrd="0" destOrd="0" presId="urn:microsoft.com/office/officeart/2005/8/layout/orgChart1"/>
    <dgm:cxn modelId="{859C98E5-3B8F-45D5-ADFD-FA4D708190FF}" type="presParOf" srcId="{7683D4E0-2222-47F1-BA2F-3D5F03CEDCAA}" destId="{E2748D5D-7EA1-49ED-81A3-BE5F94595BDC}" srcOrd="0" destOrd="0" presId="urn:microsoft.com/office/officeart/2005/8/layout/orgChart1"/>
    <dgm:cxn modelId="{2D5256E3-F12D-4768-9853-11DCB96C4391}" type="presParOf" srcId="{7683D4E0-2222-47F1-BA2F-3D5F03CEDCAA}" destId="{60292D58-E8D3-4060-87F4-103A96A848CC}" srcOrd="1" destOrd="0" presId="urn:microsoft.com/office/officeart/2005/8/layout/orgChart1"/>
    <dgm:cxn modelId="{38487A66-FE7A-4643-A549-CC9DD72B7CF1}" type="presParOf" srcId="{0D3E0D05-BB70-4D28-ADB6-B3BDB351C802}" destId="{C3F783B8-D84A-43BA-963D-5FDB768032F3}" srcOrd="1" destOrd="0" presId="urn:microsoft.com/office/officeart/2005/8/layout/orgChart1"/>
    <dgm:cxn modelId="{F09EED0F-C17D-442F-A358-F52C087D22FC}" type="presParOf" srcId="{0D3E0D05-BB70-4D28-ADB6-B3BDB351C802}" destId="{0EC76D88-410C-4938-878B-65D0C75CE493}" srcOrd="2" destOrd="0" presId="urn:microsoft.com/office/officeart/2005/8/layout/orgChart1"/>
    <dgm:cxn modelId="{5252DA6D-843C-49E8-BFEA-EA9E7805233A}" type="presParOf" srcId="{E13176BF-DAD7-4838-B5F0-A07637F89BF3}" destId="{635B9D27-EF15-4745-A622-5DC1E2C5306A}" srcOrd="4" destOrd="0" presId="urn:microsoft.com/office/officeart/2005/8/layout/orgChart1"/>
    <dgm:cxn modelId="{60FC6C64-CEA0-40C6-B8C3-2452D5852D93}" type="presParOf" srcId="{E13176BF-DAD7-4838-B5F0-A07637F89BF3}" destId="{B69BD852-F5BA-4BF0-815E-E5F93DAFE426}" srcOrd="5" destOrd="0" presId="urn:microsoft.com/office/officeart/2005/8/layout/orgChart1"/>
    <dgm:cxn modelId="{63527ED8-E874-4633-A98C-E978B088109E}" type="presParOf" srcId="{B69BD852-F5BA-4BF0-815E-E5F93DAFE426}" destId="{6CD726E4-A85B-45D6-902B-2B8D7E29B7E8}" srcOrd="0" destOrd="0" presId="urn:microsoft.com/office/officeart/2005/8/layout/orgChart1"/>
    <dgm:cxn modelId="{51C3F03F-B982-4FB0-BBBF-EBF085BC3940}" type="presParOf" srcId="{6CD726E4-A85B-45D6-902B-2B8D7E29B7E8}" destId="{4FA64785-F4D0-49BD-A6B3-E9A26FFAEC57}" srcOrd="0" destOrd="0" presId="urn:microsoft.com/office/officeart/2005/8/layout/orgChart1"/>
    <dgm:cxn modelId="{7D01B407-A455-4881-B3CA-D7396F6C024B}" type="presParOf" srcId="{6CD726E4-A85B-45D6-902B-2B8D7E29B7E8}" destId="{F6D7A9B2-CAE2-4C95-9F2E-E61A64ADF70A}" srcOrd="1" destOrd="0" presId="urn:microsoft.com/office/officeart/2005/8/layout/orgChart1"/>
    <dgm:cxn modelId="{CDF3665A-1F8F-49EB-B588-5DB71F0221F3}" type="presParOf" srcId="{B69BD852-F5BA-4BF0-815E-E5F93DAFE426}" destId="{047E7ED7-9BDE-4056-BD3D-59F0815723C8}" srcOrd="1" destOrd="0" presId="urn:microsoft.com/office/officeart/2005/8/layout/orgChart1"/>
    <dgm:cxn modelId="{F90849D8-1D3D-4D14-B67C-2A1E21507E56}" type="presParOf" srcId="{B69BD852-F5BA-4BF0-815E-E5F93DAFE426}" destId="{5F175751-7400-4648-8113-2CACA8B30E8D}" srcOrd="2" destOrd="0" presId="urn:microsoft.com/office/officeart/2005/8/layout/orgChart1"/>
    <dgm:cxn modelId="{748BA3FC-CEEA-4EC2-882F-7D70A7D8ED52}" type="presParOf" srcId="{E13176BF-DAD7-4838-B5F0-A07637F89BF3}" destId="{507F2273-2834-46DF-8FA7-72D5D738E35D}" srcOrd="6" destOrd="0" presId="urn:microsoft.com/office/officeart/2005/8/layout/orgChart1"/>
    <dgm:cxn modelId="{01C3D330-8099-4EA8-A334-FB56A5085CCF}" type="presParOf" srcId="{E13176BF-DAD7-4838-B5F0-A07637F89BF3}" destId="{187B4EAD-749A-4926-8D1A-3B3B7EC1A6F6}" srcOrd="7" destOrd="0" presId="urn:microsoft.com/office/officeart/2005/8/layout/orgChart1"/>
    <dgm:cxn modelId="{9C725822-557E-4E05-83C3-677F711B6C44}" type="presParOf" srcId="{187B4EAD-749A-4926-8D1A-3B3B7EC1A6F6}" destId="{F9772945-DB05-4056-9350-9EAA5DA5EEEA}" srcOrd="0" destOrd="0" presId="urn:microsoft.com/office/officeart/2005/8/layout/orgChart1"/>
    <dgm:cxn modelId="{EE2B731A-4FAA-4D4A-9E58-99A486247AFD}" type="presParOf" srcId="{F9772945-DB05-4056-9350-9EAA5DA5EEEA}" destId="{141EEDB0-3D17-476D-B42B-7A8EF6C28AC8}" srcOrd="0" destOrd="0" presId="urn:microsoft.com/office/officeart/2005/8/layout/orgChart1"/>
    <dgm:cxn modelId="{305B3C18-3A6B-4991-879C-383905F1BBA4}" type="presParOf" srcId="{F9772945-DB05-4056-9350-9EAA5DA5EEEA}" destId="{D543C101-9C98-4CC6-9380-F6312715199B}" srcOrd="1" destOrd="0" presId="urn:microsoft.com/office/officeart/2005/8/layout/orgChart1"/>
    <dgm:cxn modelId="{77737387-614D-4492-BA78-2CB2D4646762}" type="presParOf" srcId="{187B4EAD-749A-4926-8D1A-3B3B7EC1A6F6}" destId="{CDC59F2C-E1DF-43BF-AB1E-E8DECC1D4A56}" srcOrd="1" destOrd="0" presId="urn:microsoft.com/office/officeart/2005/8/layout/orgChart1"/>
    <dgm:cxn modelId="{67719186-FFC0-4FD7-AE77-6B2F79B6E4C2}" type="presParOf" srcId="{187B4EAD-749A-4926-8D1A-3B3B7EC1A6F6}" destId="{182CD3F6-7E30-4A8C-B672-66BAF47E15C3}" srcOrd="2" destOrd="0" presId="urn:microsoft.com/office/officeart/2005/8/layout/orgChart1"/>
    <dgm:cxn modelId="{2843E11D-88E3-4165-976A-62EA82485D94}" type="presParOf" srcId="{E13176BF-DAD7-4838-B5F0-A07637F89BF3}" destId="{211FA270-C696-4CC3-BE9A-B91360E30A7D}" srcOrd="8" destOrd="0" presId="urn:microsoft.com/office/officeart/2005/8/layout/orgChart1"/>
    <dgm:cxn modelId="{D4E91D04-25AC-4130-9106-0D38F2D80972}" type="presParOf" srcId="{E13176BF-DAD7-4838-B5F0-A07637F89BF3}" destId="{AB5FA499-C1ED-4481-B588-4E92102438C0}" srcOrd="9" destOrd="0" presId="urn:microsoft.com/office/officeart/2005/8/layout/orgChart1"/>
    <dgm:cxn modelId="{E7430F57-FE0B-460D-89EA-78ECA3DCA638}" type="presParOf" srcId="{AB5FA499-C1ED-4481-B588-4E92102438C0}" destId="{C518CCE0-4FA5-4746-A251-1E74E712A9E1}" srcOrd="0" destOrd="0" presId="urn:microsoft.com/office/officeart/2005/8/layout/orgChart1"/>
    <dgm:cxn modelId="{54678AA1-B3B2-484C-916B-01816F914D40}" type="presParOf" srcId="{C518CCE0-4FA5-4746-A251-1E74E712A9E1}" destId="{B5605D55-4C4A-4AC5-87E5-948A06066F21}" srcOrd="0" destOrd="0" presId="urn:microsoft.com/office/officeart/2005/8/layout/orgChart1"/>
    <dgm:cxn modelId="{9954F1B0-FA97-4D7B-B6DC-DE638B09096F}" type="presParOf" srcId="{C518CCE0-4FA5-4746-A251-1E74E712A9E1}" destId="{F48FD895-E2C6-4611-BA7A-9DC0C1956A73}" srcOrd="1" destOrd="0" presId="urn:microsoft.com/office/officeart/2005/8/layout/orgChart1"/>
    <dgm:cxn modelId="{9B7E0D04-D121-4AE3-BA7A-CB8E57D879EA}" type="presParOf" srcId="{AB5FA499-C1ED-4481-B588-4E92102438C0}" destId="{DF5516B1-BEDC-40CE-815A-7BD6A2C6988D}" srcOrd="1" destOrd="0" presId="urn:microsoft.com/office/officeart/2005/8/layout/orgChart1"/>
    <dgm:cxn modelId="{5838E86B-B96D-434B-9C31-C20F9CCF13F3}" type="presParOf" srcId="{AB5FA499-C1ED-4481-B588-4E92102438C0}" destId="{BBA67A0A-8D35-4A38-B12F-2F22376C4051}" srcOrd="2" destOrd="0" presId="urn:microsoft.com/office/officeart/2005/8/layout/orgChart1"/>
    <dgm:cxn modelId="{6527B958-0B22-4C43-A02F-49E95809BD87}" type="presParOf" srcId="{E13176BF-DAD7-4838-B5F0-A07637F89BF3}" destId="{A85F09C4-FE01-4784-B34B-C49A99FD50F2}" srcOrd="10" destOrd="0" presId="urn:microsoft.com/office/officeart/2005/8/layout/orgChart1"/>
    <dgm:cxn modelId="{DD07B264-9565-467A-85FF-F3C967D1BF6F}" type="presParOf" srcId="{E13176BF-DAD7-4838-B5F0-A07637F89BF3}" destId="{3FD7B1B4-B983-4B1E-8125-04515BCE9A0B}" srcOrd="11" destOrd="0" presId="urn:microsoft.com/office/officeart/2005/8/layout/orgChart1"/>
    <dgm:cxn modelId="{4D1D3E70-89B9-4C34-8116-4ED24BE79055}" type="presParOf" srcId="{3FD7B1B4-B983-4B1E-8125-04515BCE9A0B}" destId="{395E9685-28E9-41FF-AEB3-DF0B9E68F29C}" srcOrd="0" destOrd="0" presId="urn:microsoft.com/office/officeart/2005/8/layout/orgChart1"/>
    <dgm:cxn modelId="{901CCA17-79F8-4371-A801-B1850F5019DF}" type="presParOf" srcId="{395E9685-28E9-41FF-AEB3-DF0B9E68F29C}" destId="{209CCFD3-E7D1-4B02-A9F2-38B6F24BD09B}" srcOrd="0" destOrd="0" presId="urn:microsoft.com/office/officeart/2005/8/layout/orgChart1"/>
    <dgm:cxn modelId="{24674920-DF03-4E5A-94D2-A81D5B5688E8}" type="presParOf" srcId="{395E9685-28E9-41FF-AEB3-DF0B9E68F29C}" destId="{03A578B5-2573-49E6-BEAE-5A9D347CE77C}" srcOrd="1" destOrd="0" presId="urn:microsoft.com/office/officeart/2005/8/layout/orgChart1"/>
    <dgm:cxn modelId="{EF6BC7A1-1FC2-405A-ACBC-F5E0FEE2938A}" type="presParOf" srcId="{3FD7B1B4-B983-4B1E-8125-04515BCE9A0B}" destId="{41A62657-BE39-4446-A594-455EB0AA011D}" srcOrd="1" destOrd="0" presId="urn:microsoft.com/office/officeart/2005/8/layout/orgChart1"/>
    <dgm:cxn modelId="{90C38F95-6473-42AE-B3E8-602E613A16F7}" type="presParOf" srcId="{3FD7B1B4-B983-4B1E-8125-04515BCE9A0B}" destId="{194702DD-5D85-4182-AF80-66614297ADE3}" srcOrd="2" destOrd="0" presId="urn:microsoft.com/office/officeart/2005/8/layout/orgChart1"/>
    <dgm:cxn modelId="{6965F79A-C36F-427E-8F37-FEE1E89FD006}" type="presParOf" srcId="{B90889BC-6272-4792-8A21-20BBF258116C}" destId="{6B7B4262-DEF3-4DA3-A4E7-4B9D9401160D}" srcOrd="2" destOrd="0" presId="urn:microsoft.com/office/officeart/2005/8/layout/orgChart1"/>
    <dgm:cxn modelId="{A884A9CC-0B9A-426C-A4D2-A49B1F58465F}" type="presParOf" srcId="{3F7B8096-3CB9-4DFC-AF96-594D6656336C}" destId="{3A9DC233-833C-4324-BDB1-047A69F11344}" srcOrd="2" destOrd="0" presId="urn:microsoft.com/office/officeart/2005/8/layout/orgChart1"/>
    <dgm:cxn modelId="{ADBFC819-FB00-4F08-9522-0BAC36E0DC12}" type="presParOf" srcId="{076FE0E7-7EDB-4310-87FD-FD656B3D4454}" destId="{794EB02B-1268-484E-9359-534432D7E454}" srcOrd="2" destOrd="0" presId="urn:microsoft.com/office/officeart/2005/8/layout/orgChart1"/>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601B581-8784-4E14-9BA9-F201EB212929}"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2865E538-32A3-4B9B-8B56-63A3CBCB5337}">
      <dgm:prSet phldrT="[Text]"/>
      <dgm:spPr>
        <a:solidFill>
          <a:schemeClr val="accent3">
            <a:lumMod val="40000"/>
            <a:lumOff val="60000"/>
          </a:schemeClr>
        </a:solidFill>
        <a:ln w="9525">
          <a:solidFill>
            <a:schemeClr val="accent1"/>
          </a:solidFill>
        </a:ln>
      </dgm:spPr>
      <dgm:t>
        <a:bodyPr/>
        <a:lstStyle/>
        <a:p>
          <a:r>
            <a:rPr lang="en-US">
              <a:solidFill>
                <a:sysClr val="windowText" lastClr="000000"/>
              </a:solidFill>
            </a:rPr>
            <a:t>Local Director</a:t>
          </a:r>
        </a:p>
      </dgm:t>
    </dgm:pt>
    <dgm:pt modelId="{CE737FDC-7E7B-429C-9D82-C4794562413F}" type="parTrans" cxnId="{3959C0D8-667C-451B-B428-1B7E4C0EFE08}">
      <dgm:prSet/>
      <dgm:spPr/>
      <dgm:t>
        <a:bodyPr/>
        <a:lstStyle/>
        <a:p>
          <a:endParaRPr lang="en-US"/>
        </a:p>
      </dgm:t>
    </dgm:pt>
    <dgm:pt modelId="{0ED8D4F9-6364-433A-AFC6-94BA4DEDCDA8}" type="sibTrans" cxnId="{3959C0D8-667C-451B-B428-1B7E4C0EFE08}">
      <dgm:prSet/>
      <dgm:spPr/>
      <dgm:t>
        <a:bodyPr/>
        <a:lstStyle/>
        <a:p>
          <a:endParaRPr lang="en-US"/>
        </a:p>
      </dgm:t>
    </dgm:pt>
    <dgm:pt modelId="{8657228B-C9F1-4933-84D2-084C79CF32D3}">
      <dgm:prSet phldrT="[Text]"/>
      <dgm:spPr>
        <a:solidFill>
          <a:schemeClr val="accent3">
            <a:lumMod val="40000"/>
            <a:lumOff val="60000"/>
          </a:schemeClr>
        </a:solidFill>
        <a:ln w="9525">
          <a:solidFill>
            <a:schemeClr val="accent1"/>
          </a:solidFill>
        </a:ln>
      </dgm:spPr>
      <dgm:t>
        <a:bodyPr/>
        <a:lstStyle/>
        <a:p>
          <a:r>
            <a:rPr lang="en-US">
              <a:solidFill>
                <a:sysClr val="windowText" lastClr="000000"/>
              </a:solidFill>
            </a:rPr>
            <a:t>Assistant Director</a:t>
          </a:r>
          <a:br>
            <a:rPr lang="en-US">
              <a:solidFill>
                <a:sysClr val="windowText" lastClr="000000"/>
              </a:solidFill>
            </a:rPr>
          </a:br>
          <a:r>
            <a:rPr lang="en-US">
              <a:solidFill>
                <a:sysClr val="windowText" lastClr="000000"/>
              </a:solidFill>
            </a:rPr>
            <a:t>Family Investment</a:t>
          </a:r>
        </a:p>
      </dgm:t>
    </dgm:pt>
    <dgm:pt modelId="{CE3DB875-87C1-44C7-9105-913D9006F9F9}" type="parTrans" cxnId="{F0283B46-D883-4D28-91B9-9A71B3B70667}">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BB7EF460-6B95-4563-BA38-1A3F7334E8B9}" type="sibTrans" cxnId="{F0283B46-D883-4D28-91B9-9A71B3B70667}">
      <dgm:prSet/>
      <dgm:spPr/>
      <dgm:t>
        <a:bodyPr/>
        <a:lstStyle/>
        <a:p>
          <a:endParaRPr lang="en-US"/>
        </a:p>
      </dgm:t>
    </dgm:pt>
    <dgm:pt modelId="{B3ADCB72-C399-4037-AB02-28DFE93B6EDB}">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Workforce</a:t>
          </a:r>
        </a:p>
        <a:p>
          <a:r>
            <a:rPr lang="en-US">
              <a:solidFill>
                <a:sysClr val="windowText" lastClr="000000"/>
              </a:solidFill>
            </a:rPr>
            <a:t>Program Manager</a:t>
          </a:r>
        </a:p>
      </dgm:t>
    </dgm:pt>
    <dgm:pt modelId="{064CF5DD-C165-4FD1-BB5E-E231866650AD}" type="parTrans" cxnId="{91AF02B0-2FEE-461F-9CF4-A19CE1C54973}">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AE939BC2-795F-479F-ABC5-BBC9C33210DC}" type="sibTrans" cxnId="{91AF02B0-2FEE-461F-9CF4-A19CE1C54973}">
      <dgm:prSet/>
      <dgm:spPr/>
      <dgm:t>
        <a:bodyPr/>
        <a:lstStyle/>
        <a:p>
          <a:endParaRPr lang="en-US"/>
        </a:p>
      </dgm:t>
    </dgm:pt>
    <dgm:pt modelId="{1705C4BF-BAB4-402C-9875-C82F1965A5B6}">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FIA Supervisor</a:t>
          </a:r>
        </a:p>
      </dgm:t>
    </dgm:pt>
    <dgm:pt modelId="{BFA7285F-A1CE-4BBF-9EF1-7E106582CA67}" type="parTrans" cxnId="{D65E5D59-7EBF-4750-B04C-96C7CB1D1330}">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43ACD8CD-EC11-4A0C-8531-D5B676B1943E}" type="sibTrans" cxnId="{D65E5D59-7EBF-4750-B04C-96C7CB1D1330}">
      <dgm:prSet/>
      <dgm:spPr/>
      <dgm:t>
        <a:bodyPr/>
        <a:lstStyle/>
        <a:p>
          <a:endParaRPr lang="en-US"/>
        </a:p>
      </dgm:t>
    </dgm:pt>
    <dgm:pt modelId="{3A365555-044B-4EE6-9F12-50B98003FEC8}">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FIA Supervisory</a:t>
          </a:r>
        </a:p>
      </dgm:t>
    </dgm:pt>
    <dgm:pt modelId="{7541D766-17C2-4865-83B0-2D31865D8891}" type="parTrans" cxnId="{4FB78C1C-9CA0-4F4F-AF4D-62B039C9B030}">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5ECDE496-D09A-4D9A-96C8-BA05A4FA0102}" type="sibTrans" cxnId="{4FB78C1C-9CA0-4F4F-AF4D-62B039C9B030}">
      <dgm:prSet/>
      <dgm:spPr/>
      <dgm:t>
        <a:bodyPr/>
        <a:lstStyle/>
        <a:p>
          <a:endParaRPr lang="en-US"/>
        </a:p>
      </dgm:t>
    </dgm:pt>
    <dgm:pt modelId="{C9965D82-7AF4-480E-A02C-17192839E0DC}">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Team of 8</a:t>
          </a:r>
        </a:p>
        <a:p>
          <a:r>
            <a:rPr lang="en-US">
              <a:solidFill>
                <a:sysClr val="windowText" lastClr="000000"/>
              </a:solidFill>
            </a:rPr>
            <a:t>FIA Specialists &amp;</a:t>
          </a:r>
        </a:p>
        <a:p>
          <a:r>
            <a:rPr lang="en-US">
              <a:solidFill>
                <a:sysClr val="windowText" lastClr="000000"/>
              </a:solidFill>
            </a:rPr>
            <a:t>Support Staff</a:t>
          </a:r>
        </a:p>
      </dgm:t>
    </dgm:pt>
    <dgm:pt modelId="{5D323AED-5CB0-4358-975C-CCE3CCE4DF26}" type="parTrans" cxnId="{05465FB7-4A1C-4F9C-920F-FA350BA242C7}">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B9775E72-2367-4A30-B2F9-BF0A2BEF5C5D}" type="sibTrans" cxnId="{05465FB7-4A1C-4F9C-920F-FA350BA242C7}">
      <dgm:prSet/>
      <dgm:spPr/>
      <dgm:t>
        <a:bodyPr/>
        <a:lstStyle/>
        <a:p>
          <a:endParaRPr lang="en-US"/>
        </a:p>
      </dgm:t>
    </dgm:pt>
    <dgm:pt modelId="{D5B2E68F-8A39-4663-87CA-3CA730A8C2C9}">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FIA Supervisor</a:t>
          </a:r>
        </a:p>
      </dgm:t>
    </dgm:pt>
    <dgm:pt modelId="{F9DAD338-D3F9-4FC3-8F6F-31D06AF66033}" type="parTrans" cxnId="{864F8BD6-FBD6-4C19-86DE-863BE39F7C01}">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3E846A1C-F1A1-483D-BA11-7D01447CB6DD}" type="sibTrans" cxnId="{864F8BD6-FBD6-4C19-86DE-863BE39F7C01}">
      <dgm:prSet/>
      <dgm:spPr/>
      <dgm:t>
        <a:bodyPr/>
        <a:lstStyle/>
        <a:p>
          <a:endParaRPr lang="en-US"/>
        </a:p>
      </dgm:t>
    </dgm:pt>
    <dgm:pt modelId="{31D199CB-9A80-4092-8F7E-1E1BC6089882}">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FIA Supervisor</a:t>
          </a:r>
        </a:p>
      </dgm:t>
    </dgm:pt>
    <dgm:pt modelId="{4D176735-809C-478A-8D31-27281ABB6854}" type="parTrans" cxnId="{9FBD45F0-F3CE-4617-AE6C-0D2A3ACAD3E2}">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B14A99D0-3756-4E4F-A84B-F5F6E64507CB}" type="sibTrans" cxnId="{9FBD45F0-F3CE-4617-AE6C-0D2A3ACAD3E2}">
      <dgm:prSet/>
      <dgm:spPr/>
      <dgm:t>
        <a:bodyPr/>
        <a:lstStyle/>
        <a:p>
          <a:endParaRPr lang="en-US"/>
        </a:p>
      </dgm:t>
    </dgm:pt>
    <dgm:pt modelId="{E32B47DE-8316-4E3E-B3DA-A18620B5B561}">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FIA Supervisor	</a:t>
          </a:r>
        </a:p>
      </dgm:t>
    </dgm:pt>
    <dgm:pt modelId="{3767ED1B-3935-49CD-8FA2-9A72AE713781}" type="parTrans" cxnId="{2644C603-8E71-4B2E-80BB-0F104796A489}">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29DA8AE3-E361-4266-9B44-361DE147BB6A}" type="sibTrans" cxnId="{2644C603-8E71-4B2E-80BB-0F104796A489}">
      <dgm:prSet/>
      <dgm:spPr/>
      <dgm:t>
        <a:bodyPr/>
        <a:lstStyle/>
        <a:p>
          <a:endParaRPr lang="en-US"/>
        </a:p>
      </dgm:t>
    </dgm:pt>
    <dgm:pt modelId="{E2890D9E-7099-425F-9B21-1B78CABA1BA8}">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Team of 10</a:t>
          </a:r>
        </a:p>
        <a:p>
          <a:r>
            <a:rPr lang="en-US">
              <a:solidFill>
                <a:sysClr val="windowText" lastClr="000000"/>
              </a:solidFill>
            </a:rPr>
            <a:t>FIA Specialists &amp; </a:t>
          </a:r>
        </a:p>
        <a:p>
          <a:r>
            <a:rPr lang="en-US">
              <a:solidFill>
                <a:sysClr val="windowText" lastClr="000000"/>
              </a:solidFill>
            </a:rPr>
            <a:t>Suppourt Staff</a:t>
          </a:r>
        </a:p>
      </dgm:t>
    </dgm:pt>
    <dgm:pt modelId="{BC70B71F-DB73-4E25-A5D9-BCC0A82CCD3F}" type="parTrans" cxnId="{FB500406-D924-4F36-A351-2B08F31B86E5}">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89FC4BD6-BD61-4929-86E9-3040F7C52B2E}" type="sibTrans" cxnId="{FB500406-D924-4F36-A351-2B08F31B86E5}">
      <dgm:prSet/>
      <dgm:spPr/>
      <dgm:t>
        <a:bodyPr/>
        <a:lstStyle/>
        <a:p>
          <a:endParaRPr lang="en-US"/>
        </a:p>
      </dgm:t>
    </dgm:pt>
    <dgm:pt modelId="{B11B4D65-B610-4C88-92D8-760681B7C3C8}">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Team of 13</a:t>
          </a:r>
        </a:p>
        <a:p>
          <a:r>
            <a:rPr lang="en-US">
              <a:solidFill>
                <a:sysClr val="windowText" lastClr="000000"/>
              </a:solidFill>
            </a:rPr>
            <a:t>FIA Specialists &amp; Support Staff</a:t>
          </a:r>
        </a:p>
      </dgm:t>
    </dgm:pt>
    <dgm:pt modelId="{4C1038AA-B382-430E-8BD6-541938B77EE3}" type="parTrans" cxnId="{31F15F98-568F-4AE1-B48B-311DDE3A29F9}">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EC46654B-0A4E-4B8C-855A-0F9C7B07B106}" type="sibTrans" cxnId="{31F15F98-568F-4AE1-B48B-311DDE3A29F9}">
      <dgm:prSet/>
      <dgm:spPr/>
      <dgm:t>
        <a:bodyPr/>
        <a:lstStyle/>
        <a:p>
          <a:endParaRPr lang="en-US"/>
        </a:p>
      </dgm:t>
    </dgm:pt>
    <dgm:pt modelId="{46CD4083-81A2-4C56-A395-AD555DB75E4E}">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Team of 10</a:t>
          </a:r>
        </a:p>
        <a:p>
          <a:r>
            <a:rPr lang="en-US">
              <a:solidFill>
                <a:sysClr val="windowText" lastClr="000000"/>
              </a:solidFill>
            </a:rPr>
            <a:t>FIA Specialists &amp;</a:t>
          </a:r>
        </a:p>
        <a:p>
          <a:r>
            <a:rPr lang="en-US">
              <a:solidFill>
                <a:sysClr val="windowText" lastClr="000000"/>
              </a:solidFill>
            </a:rPr>
            <a:t>Support Staff</a:t>
          </a:r>
        </a:p>
      </dgm:t>
    </dgm:pt>
    <dgm:pt modelId="{E9E67E88-2B7E-4634-964D-77ADEB8DEE5B}" type="parTrans" cxnId="{567649E7-868C-4388-872D-A19C1CDAF6BC}">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91F690EC-8429-4CA5-B338-1F16A65BF7D4}" type="sibTrans" cxnId="{567649E7-868C-4388-872D-A19C1CDAF6BC}">
      <dgm:prSet/>
      <dgm:spPr/>
      <dgm:t>
        <a:bodyPr/>
        <a:lstStyle/>
        <a:p>
          <a:endParaRPr lang="en-US"/>
        </a:p>
      </dgm:t>
    </dgm:pt>
    <dgm:pt modelId="{ABE9AA30-CCD4-438F-B5D0-26F86523B2E5}">
      <dgm:prSet/>
      <dgm:spPr>
        <a:solidFill>
          <a:schemeClr val="accent3">
            <a:lumMod val="40000"/>
            <a:lumOff val="60000"/>
          </a:schemeClr>
        </a:solidFill>
        <a:ln w="9525">
          <a:solidFill>
            <a:schemeClr val="accent1"/>
          </a:solidFill>
        </a:ln>
      </dgm:spPr>
      <dgm:t>
        <a:bodyPr/>
        <a:lstStyle/>
        <a:p>
          <a:r>
            <a:rPr lang="en-US">
              <a:solidFill>
                <a:sysClr val="windowText" lastClr="000000"/>
              </a:solidFill>
            </a:rPr>
            <a:t>Team of 13</a:t>
          </a:r>
        </a:p>
        <a:p>
          <a:r>
            <a:rPr lang="en-US">
              <a:solidFill>
                <a:sysClr val="windowText" lastClr="000000"/>
              </a:solidFill>
            </a:rPr>
            <a:t>FIA Specialists &amp; </a:t>
          </a:r>
        </a:p>
        <a:p>
          <a:r>
            <a:rPr lang="en-US">
              <a:solidFill>
                <a:sysClr val="windowText" lastClr="000000"/>
              </a:solidFill>
            </a:rPr>
            <a:t>Support Staff</a:t>
          </a:r>
        </a:p>
      </dgm:t>
    </dgm:pt>
    <dgm:pt modelId="{51CA1F7D-9883-470B-8F23-68BECA2F3946}" type="parTrans" cxnId="{B5D23D95-7B8A-4060-8AC0-32185495B5B5}">
      <dgm:prSet/>
      <dgm:spPr>
        <a:solidFill>
          <a:schemeClr val="accent3">
            <a:lumMod val="40000"/>
            <a:lumOff val="60000"/>
          </a:schemeClr>
        </a:solidFill>
        <a:ln w="9525">
          <a:solidFill>
            <a:schemeClr val="accent1"/>
          </a:solidFill>
        </a:ln>
      </dgm:spPr>
      <dgm:t>
        <a:bodyPr/>
        <a:lstStyle/>
        <a:p>
          <a:endParaRPr lang="en-US">
            <a:solidFill>
              <a:sysClr val="windowText" lastClr="000000"/>
            </a:solidFill>
          </a:endParaRPr>
        </a:p>
      </dgm:t>
    </dgm:pt>
    <dgm:pt modelId="{F006BD62-21B8-46EA-B78D-6F724E92851D}" type="sibTrans" cxnId="{B5D23D95-7B8A-4060-8AC0-32185495B5B5}">
      <dgm:prSet/>
      <dgm:spPr/>
      <dgm:t>
        <a:bodyPr/>
        <a:lstStyle/>
        <a:p>
          <a:endParaRPr lang="en-US"/>
        </a:p>
      </dgm:t>
    </dgm:pt>
    <dgm:pt modelId="{F2F8F4D2-A630-4E8F-ABF6-CD41F332CBD6}" type="pres">
      <dgm:prSet presAssocID="{2601B581-8784-4E14-9BA9-F201EB212929}" presName="hierChild1" presStyleCnt="0">
        <dgm:presLayoutVars>
          <dgm:orgChart val="1"/>
          <dgm:chPref val="1"/>
          <dgm:dir/>
          <dgm:animOne val="branch"/>
          <dgm:animLvl val="lvl"/>
          <dgm:resizeHandles/>
        </dgm:presLayoutVars>
      </dgm:prSet>
      <dgm:spPr/>
      <dgm:t>
        <a:bodyPr/>
        <a:lstStyle/>
        <a:p>
          <a:endParaRPr lang="en-US"/>
        </a:p>
      </dgm:t>
    </dgm:pt>
    <dgm:pt modelId="{076FE0E7-7EDB-4310-87FD-FD656B3D4454}" type="pres">
      <dgm:prSet presAssocID="{2865E538-32A3-4B9B-8B56-63A3CBCB5337}" presName="hierRoot1" presStyleCnt="0">
        <dgm:presLayoutVars>
          <dgm:hierBranch val="init"/>
        </dgm:presLayoutVars>
      </dgm:prSet>
      <dgm:spPr/>
    </dgm:pt>
    <dgm:pt modelId="{1CD3AECC-7847-44DE-B283-C3ED0F8E44C5}" type="pres">
      <dgm:prSet presAssocID="{2865E538-32A3-4B9B-8B56-63A3CBCB5337}" presName="rootComposite1" presStyleCnt="0"/>
      <dgm:spPr/>
    </dgm:pt>
    <dgm:pt modelId="{402B85D9-B32A-41DB-B41E-2A3A44EC80DB}" type="pres">
      <dgm:prSet presAssocID="{2865E538-32A3-4B9B-8B56-63A3CBCB5337}" presName="rootText1" presStyleLbl="node0" presStyleIdx="0" presStyleCnt="1">
        <dgm:presLayoutVars>
          <dgm:chPref val="3"/>
        </dgm:presLayoutVars>
      </dgm:prSet>
      <dgm:spPr/>
      <dgm:t>
        <a:bodyPr/>
        <a:lstStyle/>
        <a:p>
          <a:endParaRPr lang="en-US"/>
        </a:p>
      </dgm:t>
    </dgm:pt>
    <dgm:pt modelId="{199A0D90-D9DE-4EE6-B366-7D3E9E17804F}" type="pres">
      <dgm:prSet presAssocID="{2865E538-32A3-4B9B-8B56-63A3CBCB5337}" presName="rootConnector1" presStyleLbl="node1" presStyleIdx="0" presStyleCnt="0"/>
      <dgm:spPr/>
      <dgm:t>
        <a:bodyPr/>
        <a:lstStyle/>
        <a:p>
          <a:endParaRPr lang="en-US"/>
        </a:p>
      </dgm:t>
    </dgm:pt>
    <dgm:pt modelId="{3966B7B1-4FAE-42DF-8C06-70D2CF9CC1D0}" type="pres">
      <dgm:prSet presAssocID="{2865E538-32A3-4B9B-8B56-63A3CBCB5337}" presName="hierChild2" presStyleCnt="0"/>
      <dgm:spPr/>
    </dgm:pt>
    <dgm:pt modelId="{E43CBB96-FF14-45D5-A751-CAD7B98BF0D0}" type="pres">
      <dgm:prSet presAssocID="{CE3DB875-87C1-44C7-9105-913D9006F9F9}" presName="Name37" presStyleLbl="parChTrans1D2" presStyleIdx="0" presStyleCnt="1"/>
      <dgm:spPr/>
      <dgm:t>
        <a:bodyPr/>
        <a:lstStyle/>
        <a:p>
          <a:endParaRPr lang="en-US"/>
        </a:p>
      </dgm:t>
    </dgm:pt>
    <dgm:pt modelId="{3F7B8096-3CB9-4DFC-AF96-594D6656336C}" type="pres">
      <dgm:prSet presAssocID="{8657228B-C9F1-4933-84D2-084C79CF32D3}" presName="hierRoot2" presStyleCnt="0">
        <dgm:presLayoutVars>
          <dgm:hierBranch/>
        </dgm:presLayoutVars>
      </dgm:prSet>
      <dgm:spPr/>
    </dgm:pt>
    <dgm:pt modelId="{74AB4B75-0D66-49EF-9C22-A432FC4C21D1}" type="pres">
      <dgm:prSet presAssocID="{8657228B-C9F1-4933-84D2-084C79CF32D3}" presName="rootComposite" presStyleCnt="0"/>
      <dgm:spPr/>
    </dgm:pt>
    <dgm:pt modelId="{400D6E28-15E9-4009-84EC-0B9F10352D67}" type="pres">
      <dgm:prSet presAssocID="{8657228B-C9F1-4933-84D2-084C79CF32D3}" presName="rootText" presStyleLbl="node2" presStyleIdx="0" presStyleCnt="1">
        <dgm:presLayoutVars>
          <dgm:chPref val="3"/>
        </dgm:presLayoutVars>
      </dgm:prSet>
      <dgm:spPr/>
      <dgm:t>
        <a:bodyPr/>
        <a:lstStyle/>
        <a:p>
          <a:endParaRPr lang="en-US"/>
        </a:p>
      </dgm:t>
    </dgm:pt>
    <dgm:pt modelId="{56C60E25-E0E6-47A6-94A3-DAE0CA2808C6}" type="pres">
      <dgm:prSet presAssocID="{8657228B-C9F1-4933-84D2-084C79CF32D3}" presName="rootConnector" presStyleLbl="node2" presStyleIdx="0" presStyleCnt="1"/>
      <dgm:spPr/>
      <dgm:t>
        <a:bodyPr/>
        <a:lstStyle/>
        <a:p>
          <a:endParaRPr lang="en-US"/>
        </a:p>
      </dgm:t>
    </dgm:pt>
    <dgm:pt modelId="{21672EF2-6273-46C3-8356-7CD1CEA79543}" type="pres">
      <dgm:prSet presAssocID="{8657228B-C9F1-4933-84D2-084C79CF32D3}" presName="hierChild4" presStyleCnt="0"/>
      <dgm:spPr/>
    </dgm:pt>
    <dgm:pt modelId="{447F4AB1-FD27-4BF7-AFDD-328962C35148}" type="pres">
      <dgm:prSet presAssocID="{064CF5DD-C165-4FD1-BB5E-E231866650AD}" presName="Name35" presStyleLbl="parChTrans1D3" presStyleIdx="0" presStyleCnt="1"/>
      <dgm:spPr/>
      <dgm:t>
        <a:bodyPr/>
        <a:lstStyle/>
        <a:p>
          <a:endParaRPr lang="en-US"/>
        </a:p>
      </dgm:t>
    </dgm:pt>
    <dgm:pt modelId="{82CE5265-CF1D-44E9-BC3C-78385BB191EF}" type="pres">
      <dgm:prSet presAssocID="{B3ADCB72-C399-4037-AB02-28DFE93B6EDB}" presName="hierRoot2" presStyleCnt="0">
        <dgm:presLayoutVars>
          <dgm:hierBranch val="init"/>
        </dgm:presLayoutVars>
      </dgm:prSet>
      <dgm:spPr/>
    </dgm:pt>
    <dgm:pt modelId="{B1619A84-5208-4366-B18A-651570FB4279}" type="pres">
      <dgm:prSet presAssocID="{B3ADCB72-C399-4037-AB02-28DFE93B6EDB}" presName="rootComposite" presStyleCnt="0"/>
      <dgm:spPr/>
    </dgm:pt>
    <dgm:pt modelId="{576DB36F-2656-41B9-A791-6F329EF7B0AD}" type="pres">
      <dgm:prSet presAssocID="{B3ADCB72-C399-4037-AB02-28DFE93B6EDB}" presName="rootText" presStyleLbl="node3" presStyleIdx="0" presStyleCnt="1">
        <dgm:presLayoutVars>
          <dgm:chPref val="3"/>
        </dgm:presLayoutVars>
      </dgm:prSet>
      <dgm:spPr/>
      <dgm:t>
        <a:bodyPr/>
        <a:lstStyle/>
        <a:p>
          <a:endParaRPr lang="en-US"/>
        </a:p>
      </dgm:t>
    </dgm:pt>
    <dgm:pt modelId="{646D5959-95DD-4E4E-B95F-20484CE08984}" type="pres">
      <dgm:prSet presAssocID="{B3ADCB72-C399-4037-AB02-28DFE93B6EDB}" presName="rootConnector" presStyleLbl="node3" presStyleIdx="0" presStyleCnt="1"/>
      <dgm:spPr/>
      <dgm:t>
        <a:bodyPr/>
        <a:lstStyle/>
        <a:p>
          <a:endParaRPr lang="en-US"/>
        </a:p>
      </dgm:t>
    </dgm:pt>
    <dgm:pt modelId="{28F76F8B-4122-4A5D-B3D6-CF8B2E2E5E40}" type="pres">
      <dgm:prSet presAssocID="{B3ADCB72-C399-4037-AB02-28DFE93B6EDB}" presName="hierChild4" presStyleCnt="0"/>
      <dgm:spPr/>
    </dgm:pt>
    <dgm:pt modelId="{3B56D6CB-F459-4B1A-B3A1-DC30B449727B}" type="pres">
      <dgm:prSet presAssocID="{BFA7285F-A1CE-4BBF-9EF1-7E106582CA67}" presName="Name37" presStyleLbl="parChTrans1D4" presStyleIdx="0" presStyleCnt="10"/>
      <dgm:spPr/>
      <dgm:t>
        <a:bodyPr/>
        <a:lstStyle/>
        <a:p>
          <a:endParaRPr lang="en-US"/>
        </a:p>
      </dgm:t>
    </dgm:pt>
    <dgm:pt modelId="{991FD590-3EF6-4655-BBAD-18FC54CBD87A}" type="pres">
      <dgm:prSet presAssocID="{1705C4BF-BAB4-402C-9875-C82F1965A5B6}" presName="hierRoot2" presStyleCnt="0">
        <dgm:presLayoutVars>
          <dgm:hierBranch/>
        </dgm:presLayoutVars>
      </dgm:prSet>
      <dgm:spPr/>
    </dgm:pt>
    <dgm:pt modelId="{BDB975C5-5CD8-490A-AB9B-CB4DFAAD6043}" type="pres">
      <dgm:prSet presAssocID="{1705C4BF-BAB4-402C-9875-C82F1965A5B6}" presName="rootComposite" presStyleCnt="0"/>
      <dgm:spPr/>
    </dgm:pt>
    <dgm:pt modelId="{896CB251-7334-4277-AAF9-1144D2DB54A9}" type="pres">
      <dgm:prSet presAssocID="{1705C4BF-BAB4-402C-9875-C82F1965A5B6}" presName="rootText" presStyleLbl="node4" presStyleIdx="0" presStyleCnt="10">
        <dgm:presLayoutVars>
          <dgm:chPref val="3"/>
        </dgm:presLayoutVars>
      </dgm:prSet>
      <dgm:spPr/>
      <dgm:t>
        <a:bodyPr/>
        <a:lstStyle/>
        <a:p>
          <a:endParaRPr lang="en-US"/>
        </a:p>
      </dgm:t>
    </dgm:pt>
    <dgm:pt modelId="{25039422-6FC2-4A6A-B78C-2D134F693F6B}" type="pres">
      <dgm:prSet presAssocID="{1705C4BF-BAB4-402C-9875-C82F1965A5B6}" presName="rootConnector" presStyleLbl="node4" presStyleIdx="0" presStyleCnt="10"/>
      <dgm:spPr/>
      <dgm:t>
        <a:bodyPr/>
        <a:lstStyle/>
        <a:p>
          <a:endParaRPr lang="en-US"/>
        </a:p>
      </dgm:t>
    </dgm:pt>
    <dgm:pt modelId="{0EF7CF4D-3F69-4315-86F6-A65E6567C16C}" type="pres">
      <dgm:prSet presAssocID="{1705C4BF-BAB4-402C-9875-C82F1965A5B6}" presName="hierChild4" presStyleCnt="0"/>
      <dgm:spPr/>
    </dgm:pt>
    <dgm:pt modelId="{E217569B-28E1-4EF6-AAC5-E2A3BAFEF06E}" type="pres">
      <dgm:prSet presAssocID="{BC70B71F-DB73-4E25-A5D9-BCC0A82CCD3F}" presName="Name35" presStyleLbl="parChTrans1D4" presStyleIdx="1" presStyleCnt="10"/>
      <dgm:spPr/>
      <dgm:t>
        <a:bodyPr/>
        <a:lstStyle/>
        <a:p>
          <a:endParaRPr lang="en-US"/>
        </a:p>
      </dgm:t>
    </dgm:pt>
    <dgm:pt modelId="{72A486B2-2B68-4A64-9DF0-86BF8CEDDD0B}" type="pres">
      <dgm:prSet presAssocID="{E2890D9E-7099-425F-9B21-1B78CABA1BA8}" presName="hierRoot2" presStyleCnt="0">
        <dgm:presLayoutVars>
          <dgm:hierBranch val="init"/>
        </dgm:presLayoutVars>
      </dgm:prSet>
      <dgm:spPr/>
    </dgm:pt>
    <dgm:pt modelId="{E25D3124-3987-4513-9023-01BED03E399B}" type="pres">
      <dgm:prSet presAssocID="{E2890D9E-7099-425F-9B21-1B78CABA1BA8}" presName="rootComposite" presStyleCnt="0"/>
      <dgm:spPr/>
    </dgm:pt>
    <dgm:pt modelId="{BAAB0655-1E96-4F31-9AD4-B6C48CDB14FE}" type="pres">
      <dgm:prSet presAssocID="{E2890D9E-7099-425F-9B21-1B78CABA1BA8}" presName="rootText" presStyleLbl="node4" presStyleIdx="1" presStyleCnt="10">
        <dgm:presLayoutVars>
          <dgm:chPref val="3"/>
        </dgm:presLayoutVars>
      </dgm:prSet>
      <dgm:spPr/>
      <dgm:t>
        <a:bodyPr/>
        <a:lstStyle/>
        <a:p>
          <a:endParaRPr lang="en-US"/>
        </a:p>
      </dgm:t>
    </dgm:pt>
    <dgm:pt modelId="{5E2F8FF6-0DE4-4269-A17E-EA316E3FC0B5}" type="pres">
      <dgm:prSet presAssocID="{E2890D9E-7099-425F-9B21-1B78CABA1BA8}" presName="rootConnector" presStyleLbl="node4" presStyleIdx="1" presStyleCnt="10"/>
      <dgm:spPr/>
      <dgm:t>
        <a:bodyPr/>
        <a:lstStyle/>
        <a:p>
          <a:endParaRPr lang="en-US"/>
        </a:p>
      </dgm:t>
    </dgm:pt>
    <dgm:pt modelId="{45231FD1-4729-4F47-8D83-08982BE27131}" type="pres">
      <dgm:prSet presAssocID="{E2890D9E-7099-425F-9B21-1B78CABA1BA8}" presName="hierChild4" presStyleCnt="0"/>
      <dgm:spPr/>
    </dgm:pt>
    <dgm:pt modelId="{F1A8DE4A-0EA3-4A8A-9B11-9F6C4929544B}" type="pres">
      <dgm:prSet presAssocID="{E2890D9E-7099-425F-9B21-1B78CABA1BA8}" presName="hierChild5" presStyleCnt="0"/>
      <dgm:spPr/>
    </dgm:pt>
    <dgm:pt modelId="{88E1AACE-B36D-4A86-B496-5721B9016BC2}" type="pres">
      <dgm:prSet presAssocID="{1705C4BF-BAB4-402C-9875-C82F1965A5B6}" presName="hierChild5" presStyleCnt="0"/>
      <dgm:spPr/>
    </dgm:pt>
    <dgm:pt modelId="{F777AD85-7EE3-4675-BCE7-DA56ECCEECDA}" type="pres">
      <dgm:prSet presAssocID="{7541D766-17C2-4865-83B0-2D31865D8891}" presName="Name37" presStyleLbl="parChTrans1D4" presStyleIdx="2" presStyleCnt="10"/>
      <dgm:spPr/>
      <dgm:t>
        <a:bodyPr/>
        <a:lstStyle/>
        <a:p>
          <a:endParaRPr lang="en-US"/>
        </a:p>
      </dgm:t>
    </dgm:pt>
    <dgm:pt modelId="{714C8720-6628-43C0-BF68-16DBECFA2B67}" type="pres">
      <dgm:prSet presAssocID="{3A365555-044B-4EE6-9F12-50B98003FEC8}" presName="hierRoot2" presStyleCnt="0">
        <dgm:presLayoutVars>
          <dgm:hierBranch/>
        </dgm:presLayoutVars>
      </dgm:prSet>
      <dgm:spPr/>
    </dgm:pt>
    <dgm:pt modelId="{82F79C90-9E0F-4B90-B0EC-75BA3CFA568B}" type="pres">
      <dgm:prSet presAssocID="{3A365555-044B-4EE6-9F12-50B98003FEC8}" presName="rootComposite" presStyleCnt="0"/>
      <dgm:spPr/>
    </dgm:pt>
    <dgm:pt modelId="{51F2EDF4-CF50-4E3B-B972-A455A6845075}" type="pres">
      <dgm:prSet presAssocID="{3A365555-044B-4EE6-9F12-50B98003FEC8}" presName="rootText" presStyleLbl="node4" presStyleIdx="2" presStyleCnt="10">
        <dgm:presLayoutVars>
          <dgm:chPref val="3"/>
        </dgm:presLayoutVars>
      </dgm:prSet>
      <dgm:spPr/>
      <dgm:t>
        <a:bodyPr/>
        <a:lstStyle/>
        <a:p>
          <a:endParaRPr lang="en-US"/>
        </a:p>
      </dgm:t>
    </dgm:pt>
    <dgm:pt modelId="{774779F5-5CD9-40D7-A9D6-B3C17DF9E0B9}" type="pres">
      <dgm:prSet presAssocID="{3A365555-044B-4EE6-9F12-50B98003FEC8}" presName="rootConnector" presStyleLbl="node4" presStyleIdx="2" presStyleCnt="10"/>
      <dgm:spPr/>
      <dgm:t>
        <a:bodyPr/>
        <a:lstStyle/>
        <a:p>
          <a:endParaRPr lang="en-US"/>
        </a:p>
      </dgm:t>
    </dgm:pt>
    <dgm:pt modelId="{CCF9488E-0E4B-4EAF-B48F-1405F76E122E}" type="pres">
      <dgm:prSet presAssocID="{3A365555-044B-4EE6-9F12-50B98003FEC8}" presName="hierChild4" presStyleCnt="0"/>
      <dgm:spPr/>
    </dgm:pt>
    <dgm:pt modelId="{E11287D9-E77C-4A74-9066-2979AF09FB57}" type="pres">
      <dgm:prSet presAssocID="{5D323AED-5CB0-4358-975C-CCE3CCE4DF26}" presName="Name35" presStyleLbl="parChTrans1D4" presStyleIdx="3" presStyleCnt="10"/>
      <dgm:spPr/>
      <dgm:t>
        <a:bodyPr/>
        <a:lstStyle/>
        <a:p>
          <a:endParaRPr lang="en-US"/>
        </a:p>
      </dgm:t>
    </dgm:pt>
    <dgm:pt modelId="{D6857787-1B15-4520-8416-5372A4C13CDA}" type="pres">
      <dgm:prSet presAssocID="{C9965D82-7AF4-480E-A02C-17192839E0DC}" presName="hierRoot2" presStyleCnt="0">
        <dgm:presLayoutVars>
          <dgm:hierBranch val="init"/>
        </dgm:presLayoutVars>
      </dgm:prSet>
      <dgm:spPr/>
    </dgm:pt>
    <dgm:pt modelId="{23DFE33F-2262-4556-83AA-F9A04B62AF96}" type="pres">
      <dgm:prSet presAssocID="{C9965D82-7AF4-480E-A02C-17192839E0DC}" presName="rootComposite" presStyleCnt="0"/>
      <dgm:spPr/>
    </dgm:pt>
    <dgm:pt modelId="{9BC4E93E-7DC2-4073-8B8E-563AA1D2CA12}" type="pres">
      <dgm:prSet presAssocID="{C9965D82-7AF4-480E-A02C-17192839E0DC}" presName="rootText" presStyleLbl="node4" presStyleIdx="3" presStyleCnt="10">
        <dgm:presLayoutVars>
          <dgm:chPref val="3"/>
        </dgm:presLayoutVars>
      </dgm:prSet>
      <dgm:spPr/>
      <dgm:t>
        <a:bodyPr/>
        <a:lstStyle/>
        <a:p>
          <a:endParaRPr lang="en-US"/>
        </a:p>
      </dgm:t>
    </dgm:pt>
    <dgm:pt modelId="{00D2603E-C255-47A3-ABBE-BAD7D3D8AC87}" type="pres">
      <dgm:prSet presAssocID="{C9965D82-7AF4-480E-A02C-17192839E0DC}" presName="rootConnector" presStyleLbl="node4" presStyleIdx="3" presStyleCnt="10"/>
      <dgm:spPr/>
      <dgm:t>
        <a:bodyPr/>
        <a:lstStyle/>
        <a:p>
          <a:endParaRPr lang="en-US"/>
        </a:p>
      </dgm:t>
    </dgm:pt>
    <dgm:pt modelId="{F6570361-F94B-4F11-81E5-2DFB2D64A244}" type="pres">
      <dgm:prSet presAssocID="{C9965D82-7AF4-480E-A02C-17192839E0DC}" presName="hierChild4" presStyleCnt="0"/>
      <dgm:spPr/>
    </dgm:pt>
    <dgm:pt modelId="{117C544F-32A3-4F80-8C19-26509214DFC1}" type="pres">
      <dgm:prSet presAssocID="{C9965D82-7AF4-480E-A02C-17192839E0DC}" presName="hierChild5" presStyleCnt="0"/>
      <dgm:spPr/>
    </dgm:pt>
    <dgm:pt modelId="{920CFC27-1BF7-4AB2-8048-947B3C3A62B7}" type="pres">
      <dgm:prSet presAssocID="{3A365555-044B-4EE6-9F12-50B98003FEC8}" presName="hierChild5" presStyleCnt="0"/>
      <dgm:spPr/>
    </dgm:pt>
    <dgm:pt modelId="{FBDC96F3-62B7-4D5F-9544-287A92FBF45C}" type="pres">
      <dgm:prSet presAssocID="{F9DAD338-D3F9-4FC3-8F6F-31D06AF66033}" presName="Name37" presStyleLbl="parChTrans1D4" presStyleIdx="4" presStyleCnt="10"/>
      <dgm:spPr/>
      <dgm:t>
        <a:bodyPr/>
        <a:lstStyle/>
        <a:p>
          <a:endParaRPr lang="en-US"/>
        </a:p>
      </dgm:t>
    </dgm:pt>
    <dgm:pt modelId="{0A2CB702-A9BA-4D17-B6F7-FE7C946E5FEE}" type="pres">
      <dgm:prSet presAssocID="{D5B2E68F-8A39-4663-87CA-3CA730A8C2C9}" presName="hierRoot2" presStyleCnt="0">
        <dgm:presLayoutVars>
          <dgm:hierBranch/>
        </dgm:presLayoutVars>
      </dgm:prSet>
      <dgm:spPr/>
    </dgm:pt>
    <dgm:pt modelId="{66AA9C65-BAC1-4957-BE8D-854F2DD418CD}" type="pres">
      <dgm:prSet presAssocID="{D5B2E68F-8A39-4663-87CA-3CA730A8C2C9}" presName="rootComposite" presStyleCnt="0"/>
      <dgm:spPr/>
    </dgm:pt>
    <dgm:pt modelId="{7AE0F844-8FEA-4CB1-8EB3-EFF567D507F2}" type="pres">
      <dgm:prSet presAssocID="{D5B2E68F-8A39-4663-87CA-3CA730A8C2C9}" presName="rootText" presStyleLbl="node4" presStyleIdx="4" presStyleCnt="10">
        <dgm:presLayoutVars>
          <dgm:chPref val="3"/>
        </dgm:presLayoutVars>
      </dgm:prSet>
      <dgm:spPr/>
      <dgm:t>
        <a:bodyPr/>
        <a:lstStyle/>
        <a:p>
          <a:endParaRPr lang="en-US"/>
        </a:p>
      </dgm:t>
    </dgm:pt>
    <dgm:pt modelId="{887CE159-FA09-4D51-B7FA-C94A8F475538}" type="pres">
      <dgm:prSet presAssocID="{D5B2E68F-8A39-4663-87CA-3CA730A8C2C9}" presName="rootConnector" presStyleLbl="node4" presStyleIdx="4" presStyleCnt="10"/>
      <dgm:spPr/>
      <dgm:t>
        <a:bodyPr/>
        <a:lstStyle/>
        <a:p>
          <a:endParaRPr lang="en-US"/>
        </a:p>
      </dgm:t>
    </dgm:pt>
    <dgm:pt modelId="{B57BD432-7AB6-4885-AB7F-990B7DB88D3F}" type="pres">
      <dgm:prSet presAssocID="{D5B2E68F-8A39-4663-87CA-3CA730A8C2C9}" presName="hierChild4" presStyleCnt="0"/>
      <dgm:spPr/>
    </dgm:pt>
    <dgm:pt modelId="{7100F1FC-1B20-4CC1-A833-7B41518F801A}" type="pres">
      <dgm:prSet presAssocID="{4C1038AA-B382-430E-8BD6-541938B77EE3}" presName="Name35" presStyleLbl="parChTrans1D4" presStyleIdx="5" presStyleCnt="10"/>
      <dgm:spPr/>
      <dgm:t>
        <a:bodyPr/>
        <a:lstStyle/>
        <a:p>
          <a:endParaRPr lang="en-US"/>
        </a:p>
      </dgm:t>
    </dgm:pt>
    <dgm:pt modelId="{4F4B8A56-F307-4C11-B4B2-7B6DEE0630DC}" type="pres">
      <dgm:prSet presAssocID="{B11B4D65-B610-4C88-92D8-760681B7C3C8}" presName="hierRoot2" presStyleCnt="0">
        <dgm:presLayoutVars>
          <dgm:hierBranch val="init"/>
        </dgm:presLayoutVars>
      </dgm:prSet>
      <dgm:spPr/>
    </dgm:pt>
    <dgm:pt modelId="{62FE4A6D-BC61-4911-A728-4E1CD91DFBE6}" type="pres">
      <dgm:prSet presAssocID="{B11B4D65-B610-4C88-92D8-760681B7C3C8}" presName="rootComposite" presStyleCnt="0"/>
      <dgm:spPr/>
    </dgm:pt>
    <dgm:pt modelId="{C4478A56-FAF1-4D5F-8F93-613E38809A80}" type="pres">
      <dgm:prSet presAssocID="{B11B4D65-B610-4C88-92D8-760681B7C3C8}" presName="rootText" presStyleLbl="node4" presStyleIdx="5" presStyleCnt="10">
        <dgm:presLayoutVars>
          <dgm:chPref val="3"/>
        </dgm:presLayoutVars>
      </dgm:prSet>
      <dgm:spPr/>
      <dgm:t>
        <a:bodyPr/>
        <a:lstStyle/>
        <a:p>
          <a:endParaRPr lang="en-US"/>
        </a:p>
      </dgm:t>
    </dgm:pt>
    <dgm:pt modelId="{882FA286-20E7-436C-A14C-7C25A0972687}" type="pres">
      <dgm:prSet presAssocID="{B11B4D65-B610-4C88-92D8-760681B7C3C8}" presName="rootConnector" presStyleLbl="node4" presStyleIdx="5" presStyleCnt="10"/>
      <dgm:spPr/>
      <dgm:t>
        <a:bodyPr/>
        <a:lstStyle/>
        <a:p>
          <a:endParaRPr lang="en-US"/>
        </a:p>
      </dgm:t>
    </dgm:pt>
    <dgm:pt modelId="{97447F65-4CB5-4CD5-8D48-9655CD2C25CE}" type="pres">
      <dgm:prSet presAssocID="{B11B4D65-B610-4C88-92D8-760681B7C3C8}" presName="hierChild4" presStyleCnt="0"/>
      <dgm:spPr/>
    </dgm:pt>
    <dgm:pt modelId="{505718DF-0ED7-402A-B1C0-F220E417522D}" type="pres">
      <dgm:prSet presAssocID="{B11B4D65-B610-4C88-92D8-760681B7C3C8}" presName="hierChild5" presStyleCnt="0"/>
      <dgm:spPr/>
    </dgm:pt>
    <dgm:pt modelId="{CD746580-6153-4765-A51B-C648CA855096}" type="pres">
      <dgm:prSet presAssocID="{D5B2E68F-8A39-4663-87CA-3CA730A8C2C9}" presName="hierChild5" presStyleCnt="0"/>
      <dgm:spPr/>
    </dgm:pt>
    <dgm:pt modelId="{B2EE759F-D307-4B66-86B9-79FBFA7F1F26}" type="pres">
      <dgm:prSet presAssocID="{3767ED1B-3935-49CD-8FA2-9A72AE713781}" presName="Name37" presStyleLbl="parChTrans1D4" presStyleIdx="6" presStyleCnt="10"/>
      <dgm:spPr/>
      <dgm:t>
        <a:bodyPr/>
        <a:lstStyle/>
        <a:p>
          <a:endParaRPr lang="en-US"/>
        </a:p>
      </dgm:t>
    </dgm:pt>
    <dgm:pt modelId="{CBD58C4F-D0AA-4952-BBE2-DF079BCCAA97}" type="pres">
      <dgm:prSet presAssocID="{E32B47DE-8316-4E3E-B3DA-A18620B5B561}" presName="hierRoot2" presStyleCnt="0">
        <dgm:presLayoutVars>
          <dgm:hierBranch/>
        </dgm:presLayoutVars>
      </dgm:prSet>
      <dgm:spPr/>
    </dgm:pt>
    <dgm:pt modelId="{E07852CA-2684-4A9B-BBD1-2AC547DF405F}" type="pres">
      <dgm:prSet presAssocID="{E32B47DE-8316-4E3E-B3DA-A18620B5B561}" presName="rootComposite" presStyleCnt="0"/>
      <dgm:spPr/>
    </dgm:pt>
    <dgm:pt modelId="{04CF627B-9DB5-4076-B6C3-328ED6160B6E}" type="pres">
      <dgm:prSet presAssocID="{E32B47DE-8316-4E3E-B3DA-A18620B5B561}" presName="rootText" presStyleLbl="node4" presStyleIdx="6" presStyleCnt="10">
        <dgm:presLayoutVars>
          <dgm:chPref val="3"/>
        </dgm:presLayoutVars>
      </dgm:prSet>
      <dgm:spPr/>
      <dgm:t>
        <a:bodyPr/>
        <a:lstStyle/>
        <a:p>
          <a:endParaRPr lang="en-US"/>
        </a:p>
      </dgm:t>
    </dgm:pt>
    <dgm:pt modelId="{C42A66CB-AC83-4AC8-942B-3431FF50CC04}" type="pres">
      <dgm:prSet presAssocID="{E32B47DE-8316-4E3E-B3DA-A18620B5B561}" presName="rootConnector" presStyleLbl="node4" presStyleIdx="6" presStyleCnt="10"/>
      <dgm:spPr/>
      <dgm:t>
        <a:bodyPr/>
        <a:lstStyle/>
        <a:p>
          <a:endParaRPr lang="en-US"/>
        </a:p>
      </dgm:t>
    </dgm:pt>
    <dgm:pt modelId="{A7CDD93E-B7E6-4599-A2AA-673E5CF279E5}" type="pres">
      <dgm:prSet presAssocID="{E32B47DE-8316-4E3E-B3DA-A18620B5B561}" presName="hierChild4" presStyleCnt="0"/>
      <dgm:spPr/>
    </dgm:pt>
    <dgm:pt modelId="{7FFFD9F7-152A-4587-9C8D-63701A3B0C67}" type="pres">
      <dgm:prSet presAssocID="{E9E67E88-2B7E-4634-964D-77ADEB8DEE5B}" presName="Name35" presStyleLbl="parChTrans1D4" presStyleIdx="7" presStyleCnt="10"/>
      <dgm:spPr/>
      <dgm:t>
        <a:bodyPr/>
        <a:lstStyle/>
        <a:p>
          <a:endParaRPr lang="en-US"/>
        </a:p>
      </dgm:t>
    </dgm:pt>
    <dgm:pt modelId="{ECC05213-6304-4789-B65E-58D98AFC071A}" type="pres">
      <dgm:prSet presAssocID="{46CD4083-81A2-4C56-A395-AD555DB75E4E}" presName="hierRoot2" presStyleCnt="0">
        <dgm:presLayoutVars>
          <dgm:hierBranch val="init"/>
        </dgm:presLayoutVars>
      </dgm:prSet>
      <dgm:spPr/>
    </dgm:pt>
    <dgm:pt modelId="{2CC86767-0C9D-497D-96FE-6D6BCB87AE9B}" type="pres">
      <dgm:prSet presAssocID="{46CD4083-81A2-4C56-A395-AD555DB75E4E}" presName="rootComposite" presStyleCnt="0"/>
      <dgm:spPr/>
    </dgm:pt>
    <dgm:pt modelId="{2DDD7344-489D-427D-9423-4C7113DAABF5}" type="pres">
      <dgm:prSet presAssocID="{46CD4083-81A2-4C56-A395-AD555DB75E4E}" presName="rootText" presStyleLbl="node4" presStyleIdx="7" presStyleCnt="10">
        <dgm:presLayoutVars>
          <dgm:chPref val="3"/>
        </dgm:presLayoutVars>
      </dgm:prSet>
      <dgm:spPr/>
      <dgm:t>
        <a:bodyPr/>
        <a:lstStyle/>
        <a:p>
          <a:endParaRPr lang="en-US"/>
        </a:p>
      </dgm:t>
    </dgm:pt>
    <dgm:pt modelId="{CD680F4E-E05A-485C-9E93-7B0134D9BCB6}" type="pres">
      <dgm:prSet presAssocID="{46CD4083-81A2-4C56-A395-AD555DB75E4E}" presName="rootConnector" presStyleLbl="node4" presStyleIdx="7" presStyleCnt="10"/>
      <dgm:spPr/>
      <dgm:t>
        <a:bodyPr/>
        <a:lstStyle/>
        <a:p>
          <a:endParaRPr lang="en-US"/>
        </a:p>
      </dgm:t>
    </dgm:pt>
    <dgm:pt modelId="{1C78859C-586E-4B94-86F2-0D95F346B081}" type="pres">
      <dgm:prSet presAssocID="{46CD4083-81A2-4C56-A395-AD555DB75E4E}" presName="hierChild4" presStyleCnt="0"/>
      <dgm:spPr/>
    </dgm:pt>
    <dgm:pt modelId="{0FCE6C37-970C-4C81-BF74-84CC8EA719BD}" type="pres">
      <dgm:prSet presAssocID="{46CD4083-81A2-4C56-A395-AD555DB75E4E}" presName="hierChild5" presStyleCnt="0"/>
      <dgm:spPr/>
    </dgm:pt>
    <dgm:pt modelId="{CC4C0238-43E8-41FC-B1FB-EAE20E294774}" type="pres">
      <dgm:prSet presAssocID="{E32B47DE-8316-4E3E-B3DA-A18620B5B561}" presName="hierChild5" presStyleCnt="0"/>
      <dgm:spPr/>
    </dgm:pt>
    <dgm:pt modelId="{2A8905CC-BC64-4937-ACE7-C4E776405C54}" type="pres">
      <dgm:prSet presAssocID="{4D176735-809C-478A-8D31-27281ABB6854}" presName="Name37" presStyleLbl="parChTrans1D4" presStyleIdx="8" presStyleCnt="10"/>
      <dgm:spPr/>
      <dgm:t>
        <a:bodyPr/>
        <a:lstStyle/>
        <a:p>
          <a:endParaRPr lang="en-US"/>
        </a:p>
      </dgm:t>
    </dgm:pt>
    <dgm:pt modelId="{9BA486E5-A4E4-4851-9E30-5004E918A5D8}" type="pres">
      <dgm:prSet presAssocID="{31D199CB-9A80-4092-8F7E-1E1BC6089882}" presName="hierRoot2" presStyleCnt="0">
        <dgm:presLayoutVars>
          <dgm:hierBranch/>
        </dgm:presLayoutVars>
      </dgm:prSet>
      <dgm:spPr/>
    </dgm:pt>
    <dgm:pt modelId="{8699C2D3-B7DB-46DA-A462-B9014136123A}" type="pres">
      <dgm:prSet presAssocID="{31D199CB-9A80-4092-8F7E-1E1BC6089882}" presName="rootComposite" presStyleCnt="0"/>
      <dgm:spPr/>
    </dgm:pt>
    <dgm:pt modelId="{C4C14699-2014-4DD2-8501-B35E94992F34}" type="pres">
      <dgm:prSet presAssocID="{31D199CB-9A80-4092-8F7E-1E1BC6089882}" presName="rootText" presStyleLbl="node4" presStyleIdx="8" presStyleCnt="10">
        <dgm:presLayoutVars>
          <dgm:chPref val="3"/>
        </dgm:presLayoutVars>
      </dgm:prSet>
      <dgm:spPr/>
      <dgm:t>
        <a:bodyPr/>
        <a:lstStyle/>
        <a:p>
          <a:endParaRPr lang="en-US"/>
        </a:p>
      </dgm:t>
    </dgm:pt>
    <dgm:pt modelId="{F1DD559D-FC86-444E-8BD3-3CB0C5FDE7AD}" type="pres">
      <dgm:prSet presAssocID="{31D199CB-9A80-4092-8F7E-1E1BC6089882}" presName="rootConnector" presStyleLbl="node4" presStyleIdx="8" presStyleCnt="10"/>
      <dgm:spPr/>
      <dgm:t>
        <a:bodyPr/>
        <a:lstStyle/>
        <a:p>
          <a:endParaRPr lang="en-US"/>
        </a:p>
      </dgm:t>
    </dgm:pt>
    <dgm:pt modelId="{E922BFF4-9FF3-4362-816A-45CB1C6A30B8}" type="pres">
      <dgm:prSet presAssocID="{31D199CB-9A80-4092-8F7E-1E1BC6089882}" presName="hierChild4" presStyleCnt="0"/>
      <dgm:spPr/>
    </dgm:pt>
    <dgm:pt modelId="{5A7D9A8B-7AEF-4799-9C34-360A2F7BE7BE}" type="pres">
      <dgm:prSet presAssocID="{51CA1F7D-9883-470B-8F23-68BECA2F3946}" presName="Name35" presStyleLbl="parChTrans1D4" presStyleIdx="9" presStyleCnt="10"/>
      <dgm:spPr/>
      <dgm:t>
        <a:bodyPr/>
        <a:lstStyle/>
        <a:p>
          <a:endParaRPr lang="en-US"/>
        </a:p>
      </dgm:t>
    </dgm:pt>
    <dgm:pt modelId="{6962B46E-4EAA-4027-813F-F2DD1E05053A}" type="pres">
      <dgm:prSet presAssocID="{ABE9AA30-CCD4-438F-B5D0-26F86523B2E5}" presName="hierRoot2" presStyleCnt="0">
        <dgm:presLayoutVars>
          <dgm:hierBranch val="init"/>
        </dgm:presLayoutVars>
      </dgm:prSet>
      <dgm:spPr/>
    </dgm:pt>
    <dgm:pt modelId="{3FE37BC7-E2BA-460D-9F26-052C91BD3D28}" type="pres">
      <dgm:prSet presAssocID="{ABE9AA30-CCD4-438F-B5D0-26F86523B2E5}" presName="rootComposite" presStyleCnt="0"/>
      <dgm:spPr/>
    </dgm:pt>
    <dgm:pt modelId="{1E778923-42E2-411A-865C-17C1D629D1AC}" type="pres">
      <dgm:prSet presAssocID="{ABE9AA30-CCD4-438F-B5D0-26F86523B2E5}" presName="rootText" presStyleLbl="node4" presStyleIdx="9" presStyleCnt="10">
        <dgm:presLayoutVars>
          <dgm:chPref val="3"/>
        </dgm:presLayoutVars>
      </dgm:prSet>
      <dgm:spPr/>
      <dgm:t>
        <a:bodyPr/>
        <a:lstStyle/>
        <a:p>
          <a:endParaRPr lang="en-US"/>
        </a:p>
      </dgm:t>
    </dgm:pt>
    <dgm:pt modelId="{DCD4BCDA-5991-4C87-AC86-AB0FD6479AA2}" type="pres">
      <dgm:prSet presAssocID="{ABE9AA30-CCD4-438F-B5D0-26F86523B2E5}" presName="rootConnector" presStyleLbl="node4" presStyleIdx="9" presStyleCnt="10"/>
      <dgm:spPr/>
      <dgm:t>
        <a:bodyPr/>
        <a:lstStyle/>
        <a:p>
          <a:endParaRPr lang="en-US"/>
        </a:p>
      </dgm:t>
    </dgm:pt>
    <dgm:pt modelId="{78281D0D-3249-468D-9FF4-0B6838A03FB9}" type="pres">
      <dgm:prSet presAssocID="{ABE9AA30-CCD4-438F-B5D0-26F86523B2E5}" presName="hierChild4" presStyleCnt="0"/>
      <dgm:spPr/>
    </dgm:pt>
    <dgm:pt modelId="{BCEF0FDF-38C7-48E8-ACA3-FBA25F98E9E2}" type="pres">
      <dgm:prSet presAssocID="{ABE9AA30-CCD4-438F-B5D0-26F86523B2E5}" presName="hierChild5" presStyleCnt="0"/>
      <dgm:spPr/>
    </dgm:pt>
    <dgm:pt modelId="{F6619EAC-54BB-4D19-8ABC-952FE276F9B4}" type="pres">
      <dgm:prSet presAssocID="{31D199CB-9A80-4092-8F7E-1E1BC6089882}" presName="hierChild5" presStyleCnt="0"/>
      <dgm:spPr/>
    </dgm:pt>
    <dgm:pt modelId="{20D305CA-B2C1-4837-B718-E1D4DDEBA2B7}" type="pres">
      <dgm:prSet presAssocID="{B3ADCB72-C399-4037-AB02-28DFE93B6EDB}" presName="hierChild5" presStyleCnt="0"/>
      <dgm:spPr/>
    </dgm:pt>
    <dgm:pt modelId="{3A9DC233-833C-4324-BDB1-047A69F11344}" type="pres">
      <dgm:prSet presAssocID="{8657228B-C9F1-4933-84D2-084C79CF32D3}" presName="hierChild5" presStyleCnt="0"/>
      <dgm:spPr/>
    </dgm:pt>
    <dgm:pt modelId="{794EB02B-1268-484E-9359-534432D7E454}" type="pres">
      <dgm:prSet presAssocID="{2865E538-32A3-4B9B-8B56-63A3CBCB5337}" presName="hierChild3" presStyleCnt="0"/>
      <dgm:spPr/>
    </dgm:pt>
  </dgm:ptLst>
  <dgm:cxnLst>
    <dgm:cxn modelId="{B5474C4A-8124-4628-B282-D2DB29F1AA40}" type="presOf" srcId="{E2890D9E-7099-425F-9B21-1B78CABA1BA8}" destId="{5E2F8FF6-0DE4-4269-A17E-EA316E3FC0B5}" srcOrd="1" destOrd="0" presId="urn:microsoft.com/office/officeart/2005/8/layout/orgChart1"/>
    <dgm:cxn modelId="{1D597B9E-6D15-4972-8912-E686AC2CC93D}" type="presOf" srcId="{4C1038AA-B382-430E-8BD6-541938B77EE3}" destId="{7100F1FC-1B20-4CC1-A833-7B41518F801A}" srcOrd="0" destOrd="0" presId="urn:microsoft.com/office/officeart/2005/8/layout/orgChart1"/>
    <dgm:cxn modelId="{0BD31A8D-ED26-47AA-95E5-DCB1FDD282DD}" type="presOf" srcId="{8657228B-C9F1-4933-84D2-084C79CF32D3}" destId="{56C60E25-E0E6-47A6-94A3-DAE0CA2808C6}" srcOrd="1" destOrd="0" presId="urn:microsoft.com/office/officeart/2005/8/layout/orgChart1"/>
    <dgm:cxn modelId="{4FA9D1FD-5D4E-43EC-804C-917A42F6EB45}" type="presOf" srcId="{7541D766-17C2-4865-83B0-2D31865D8891}" destId="{F777AD85-7EE3-4675-BCE7-DA56ECCEECDA}" srcOrd="0" destOrd="0" presId="urn:microsoft.com/office/officeart/2005/8/layout/orgChart1"/>
    <dgm:cxn modelId="{9C73E2E0-CF97-491C-8F88-796FCE9AAFC8}" type="presOf" srcId="{51CA1F7D-9883-470B-8F23-68BECA2F3946}" destId="{5A7D9A8B-7AEF-4799-9C34-360A2F7BE7BE}" srcOrd="0" destOrd="0" presId="urn:microsoft.com/office/officeart/2005/8/layout/orgChart1"/>
    <dgm:cxn modelId="{D65E5D59-7EBF-4750-B04C-96C7CB1D1330}" srcId="{B3ADCB72-C399-4037-AB02-28DFE93B6EDB}" destId="{1705C4BF-BAB4-402C-9875-C82F1965A5B6}" srcOrd="0" destOrd="0" parTransId="{BFA7285F-A1CE-4BBF-9EF1-7E106582CA67}" sibTransId="{43ACD8CD-EC11-4A0C-8531-D5B676B1943E}"/>
    <dgm:cxn modelId="{FA16938E-7682-48D4-BB75-B0CDEEB67E0B}" type="presOf" srcId="{E32B47DE-8316-4E3E-B3DA-A18620B5B561}" destId="{04CF627B-9DB5-4076-B6C3-328ED6160B6E}" srcOrd="0" destOrd="0" presId="urn:microsoft.com/office/officeart/2005/8/layout/orgChart1"/>
    <dgm:cxn modelId="{25E13872-3487-43B2-A996-8220F3651405}" type="presOf" srcId="{2601B581-8784-4E14-9BA9-F201EB212929}" destId="{F2F8F4D2-A630-4E8F-ABF6-CD41F332CBD6}" srcOrd="0" destOrd="0" presId="urn:microsoft.com/office/officeart/2005/8/layout/orgChart1"/>
    <dgm:cxn modelId="{05465FB7-4A1C-4F9C-920F-FA350BA242C7}" srcId="{3A365555-044B-4EE6-9F12-50B98003FEC8}" destId="{C9965D82-7AF4-480E-A02C-17192839E0DC}" srcOrd="0" destOrd="0" parTransId="{5D323AED-5CB0-4358-975C-CCE3CCE4DF26}" sibTransId="{B9775E72-2367-4A30-B2F9-BF0A2BEF5C5D}"/>
    <dgm:cxn modelId="{DD8A5AD8-13B5-4C1C-9387-EB29C9D77352}" type="presOf" srcId="{B3ADCB72-C399-4037-AB02-28DFE93B6EDB}" destId="{576DB36F-2656-41B9-A791-6F329EF7B0AD}" srcOrd="0" destOrd="0" presId="urn:microsoft.com/office/officeart/2005/8/layout/orgChart1"/>
    <dgm:cxn modelId="{9FBD45F0-F3CE-4617-AE6C-0D2A3ACAD3E2}" srcId="{B3ADCB72-C399-4037-AB02-28DFE93B6EDB}" destId="{31D199CB-9A80-4092-8F7E-1E1BC6089882}" srcOrd="4" destOrd="0" parTransId="{4D176735-809C-478A-8D31-27281ABB6854}" sibTransId="{B14A99D0-3756-4E4F-A84B-F5F6E64507CB}"/>
    <dgm:cxn modelId="{4D5E8D80-A56B-48C5-B0EF-C9E883F7E79A}" type="presOf" srcId="{3A365555-044B-4EE6-9F12-50B98003FEC8}" destId="{774779F5-5CD9-40D7-A9D6-B3C17DF9E0B9}" srcOrd="1" destOrd="0" presId="urn:microsoft.com/office/officeart/2005/8/layout/orgChart1"/>
    <dgm:cxn modelId="{D86D1903-9A85-4D99-BB1C-998C8211E9F5}" type="presOf" srcId="{D5B2E68F-8A39-4663-87CA-3CA730A8C2C9}" destId="{7AE0F844-8FEA-4CB1-8EB3-EFF567D507F2}" srcOrd="0" destOrd="0" presId="urn:microsoft.com/office/officeart/2005/8/layout/orgChart1"/>
    <dgm:cxn modelId="{9F1CC903-84B5-4A59-9B2C-597B5824AAD1}" type="presOf" srcId="{CE3DB875-87C1-44C7-9105-913D9006F9F9}" destId="{E43CBB96-FF14-45D5-A751-CAD7B98BF0D0}" srcOrd="0" destOrd="0" presId="urn:microsoft.com/office/officeart/2005/8/layout/orgChart1"/>
    <dgm:cxn modelId="{56C65884-855F-4305-B731-898CBEB271BE}" type="presOf" srcId="{BFA7285F-A1CE-4BBF-9EF1-7E106582CA67}" destId="{3B56D6CB-F459-4B1A-B3A1-DC30B449727B}" srcOrd="0" destOrd="0" presId="urn:microsoft.com/office/officeart/2005/8/layout/orgChart1"/>
    <dgm:cxn modelId="{04176810-EDB0-4C2F-8A94-0D7464389F8D}" type="presOf" srcId="{064CF5DD-C165-4FD1-BB5E-E231866650AD}" destId="{447F4AB1-FD27-4BF7-AFDD-328962C35148}" srcOrd="0" destOrd="0" presId="urn:microsoft.com/office/officeart/2005/8/layout/orgChart1"/>
    <dgm:cxn modelId="{7CEB7FDB-A858-4F62-8E02-0F0CC04161D6}" type="presOf" srcId="{E9E67E88-2B7E-4634-964D-77ADEB8DEE5B}" destId="{7FFFD9F7-152A-4587-9C8D-63701A3B0C67}" srcOrd="0" destOrd="0" presId="urn:microsoft.com/office/officeart/2005/8/layout/orgChart1"/>
    <dgm:cxn modelId="{3959C0D8-667C-451B-B428-1B7E4C0EFE08}" srcId="{2601B581-8784-4E14-9BA9-F201EB212929}" destId="{2865E538-32A3-4B9B-8B56-63A3CBCB5337}" srcOrd="0" destOrd="0" parTransId="{CE737FDC-7E7B-429C-9D82-C4794562413F}" sibTransId="{0ED8D4F9-6364-433A-AFC6-94BA4DEDCDA8}"/>
    <dgm:cxn modelId="{51D3EABA-E496-4DAE-B86D-0BA400FD8FFA}" type="presOf" srcId="{3A365555-044B-4EE6-9F12-50B98003FEC8}" destId="{51F2EDF4-CF50-4E3B-B972-A455A6845075}" srcOrd="0" destOrd="0" presId="urn:microsoft.com/office/officeart/2005/8/layout/orgChart1"/>
    <dgm:cxn modelId="{F8A8873C-34F8-45A1-AC86-01612F2551B1}" type="presOf" srcId="{F9DAD338-D3F9-4FC3-8F6F-31D06AF66033}" destId="{FBDC96F3-62B7-4D5F-9544-287A92FBF45C}" srcOrd="0" destOrd="0" presId="urn:microsoft.com/office/officeart/2005/8/layout/orgChart1"/>
    <dgm:cxn modelId="{31F15F98-568F-4AE1-B48B-311DDE3A29F9}" srcId="{D5B2E68F-8A39-4663-87CA-3CA730A8C2C9}" destId="{B11B4D65-B610-4C88-92D8-760681B7C3C8}" srcOrd="0" destOrd="0" parTransId="{4C1038AA-B382-430E-8BD6-541938B77EE3}" sibTransId="{EC46654B-0A4E-4B8C-855A-0F9C7B07B106}"/>
    <dgm:cxn modelId="{D8386053-9E8E-4EAC-AFE2-09816D6C0EB5}" type="presOf" srcId="{BC70B71F-DB73-4E25-A5D9-BCC0A82CCD3F}" destId="{E217569B-28E1-4EF6-AAC5-E2A3BAFEF06E}" srcOrd="0" destOrd="0" presId="urn:microsoft.com/office/officeart/2005/8/layout/orgChart1"/>
    <dgm:cxn modelId="{2644C603-8E71-4B2E-80BB-0F104796A489}" srcId="{B3ADCB72-C399-4037-AB02-28DFE93B6EDB}" destId="{E32B47DE-8316-4E3E-B3DA-A18620B5B561}" srcOrd="3" destOrd="0" parTransId="{3767ED1B-3935-49CD-8FA2-9A72AE713781}" sibTransId="{29DA8AE3-E361-4266-9B44-361DE147BB6A}"/>
    <dgm:cxn modelId="{567649E7-868C-4388-872D-A19C1CDAF6BC}" srcId="{E32B47DE-8316-4E3E-B3DA-A18620B5B561}" destId="{46CD4083-81A2-4C56-A395-AD555DB75E4E}" srcOrd="0" destOrd="0" parTransId="{E9E67E88-2B7E-4634-964D-77ADEB8DEE5B}" sibTransId="{91F690EC-8429-4CA5-B338-1F16A65BF7D4}"/>
    <dgm:cxn modelId="{1E5B3B4D-CA47-4081-A1D1-15056805F274}" type="presOf" srcId="{B11B4D65-B610-4C88-92D8-760681B7C3C8}" destId="{882FA286-20E7-436C-A14C-7C25A0972687}" srcOrd="1" destOrd="0" presId="urn:microsoft.com/office/officeart/2005/8/layout/orgChart1"/>
    <dgm:cxn modelId="{864F8BD6-FBD6-4C19-86DE-863BE39F7C01}" srcId="{B3ADCB72-C399-4037-AB02-28DFE93B6EDB}" destId="{D5B2E68F-8A39-4663-87CA-3CA730A8C2C9}" srcOrd="2" destOrd="0" parTransId="{F9DAD338-D3F9-4FC3-8F6F-31D06AF66033}" sibTransId="{3E846A1C-F1A1-483D-BA11-7D01447CB6DD}"/>
    <dgm:cxn modelId="{D5722E75-1CAB-4A26-B624-3A8476F416AB}" type="presOf" srcId="{2865E538-32A3-4B9B-8B56-63A3CBCB5337}" destId="{199A0D90-D9DE-4EE6-B366-7D3E9E17804F}" srcOrd="1" destOrd="0" presId="urn:microsoft.com/office/officeart/2005/8/layout/orgChart1"/>
    <dgm:cxn modelId="{83E98B57-929D-4D1E-8DCE-32C1C7DC12CD}" type="presOf" srcId="{1705C4BF-BAB4-402C-9875-C82F1965A5B6}" destId="{896CB251-7334-4277-AAF9-1144D2DB54A9}" srcOrd="0" destOrd="0" presId="urn:microsoft.com/office/officeart/2005/8/layout/orgChart1"/>
    <dgm:cxn modelId="{64AB801A-C93E-45D1-8DDF-A2076149FB3E}" type="presOf" srcId="{ABE9AA30-CCD4-438F-B5D0-26F86523B2E5}" destId="{DCD4BCDA-5991-4C87-AC86-AB0FD6479AA2}" srcOrd="1" destOrd="0" presId="urn:microsoft.com/office/officeart/2005/8/layout/orgChart1"/>
    <dgm:cxn modelId="{91AF02B0-2FEE-461F-9CF4-A19CE1C54973}" srcId="{8657228B-C9F1-4933-84D2-084C79CF32D3}" destId="{B3ADCB72-C399-4037-AB02-28DFE93B6EDB}" srcOrd="0" destOrd="0" parTransId="{064CF5DD-C165-4FD1-BB5E-E231866650AD}" sibTransId="{AE939BC2-795F-479F-ABC5-BBC9C33210DC}"/>
    <dgm:cxn modelId="{CD950D3F-1E97-4AC7-A9EF-10D35A5E0F9C}" type="presOf" srcId="{5D323AED-5CB0-4358-975C-CCE3CCE4DF26}" destId="{E11287D9-E77C-4A74-9066-2979AF09FB57}" srcOrd="0" destOrd="0" presId="urn:microsoft.com/office/officeart/2005/8/layout/orgChart1"/>
    <dgm:cxn modelId="{ED916A31-FF73-4443-9AB9-178087B1F3DE}" type="presOf" srcId="{B11B4D65-B610-4C88-92D8-760681B7C3C8}" destId="{C4478A56-FAF1-4D5F-8F93-613E38809A80}" srcOrd="0" destOrd="0" presId="urn:microsoft.com/office/officeart/2005/8/layout/orgChart1"/>
    <dgm:cxn modelId="{B962726B-07C7-48D8-A4A8-A26F82116DE6}" type="presOf" srcId="{8657228B-C9F1-4933-84D2-084C79CF32D3}" destId="{400D6E28-15E9-4009-84EC-0B9F10352D67}" srcOrd="0" destOrd="0" presId="urn:microsoft.com/office/officeart/2005/8/layout/orgChart1"/>
    <dgm:cxn modelId="{4E0CBDE4-D6EF-487A-ABD9-E9D5AA1DFD6F}" type="presOf" srcId="{46CD4083-81A2-4C56-A395-AD555DB75E4E}" destId="{CD680F4E-E05A-485C-9E93-7B0134D9BCB6}" srcOrd="1" destOrd="0" presId="urn:microsoft.com/office/officeart/2005/8/layout/orgChart1"/>
    <dgm:cxn modelId="{FAB6AE49-E8F9-4EFB-A1DB-A17B26E2AEC4}" type="presOf" srcId="{4D176735-809C-478A-8D31-27281ABB6854}" destId="{2A8905CC-BC64-4937-ACE7-C4E776405C54}" srcOrd="0" destOrd="0" presId="urn:microsoft.com/office/officeart/2005/8/layout/orgChart1"/>
    <dgm:cxn modelId="{D366FA90-88C6-4079-A8A1-E3B4874342F1}" type="presOf" srcId="{31D199CB-9A80-4092-8F7E-1E1BC6089882}" destId="{C4C14699-2014-4DD2-8501-B35E94992F34}" srcOrd="0" destOrd="0" presId="urn:microsoft.com/office/officeart/2005/8/layout/orgChart1"/>
    <dgm:cxn modelId="{12E76F34-9DF2-40D4-98A5-8FD33266D8D8}" type="presOf" srcId="{E2890D9E-7099-425F-9B21-1B78CABA1BA8}" destId="{BAAB0655-1E96-4F31-9AD4-B6C48CDB14FE}" srcOrd="0" destOrd="0" presId="urn:microsoft.com/office/officeart/2005/8/layout/orgChart1"/>
    <dgm:cxn modelId="{022A79B1-9AC8-4904-999B-B6CCA09C364C}" type="presOf" srcId="{2865E538-32A3-4B9B-8B56-63A3CBCB5337}" destId="{402B85D9-B32A-41DB-B41E-2A3A44EC80DB}" srcOrd="0" destOrd="0" presId="urn:microsoft.com/office/officeart/2005/8/layout/orgChart1"/>
    <dgm:cxn modelId="{8F1E2443-0F6E-4857-85DA-D660CE770514}" type="presOf" srcId="{C9965D82-7AF4-480E-A02C-17192839E0DC}" destId="{9BC4E93E-7DC2-4073-8B8E-563AA1D2CA12}" srcOrd="0" destOrd="0" presId="urn:microsoft.com/office/officeart/2005/8/layout/orgChart1"/>
    <dgm:cxn modelId="{7B7B207E-8AF6-4FB6-9E9F-1F634289D5B4}" type="presOf" srcId="{E32B47DE-8316-4E3E-B3DA-A18620B5B561}" destId="{C42A66CB-AC83-4AC8-942B-3431FF50CC04}" srcOrd="1" destOrd="0" presId="urn:microsoft.com/office/officeart/2005/8/layout/orgChart1"/>
    <dgm:cxn modelId="{F0283B46-D883-4D28-91B9-9A71B3B70667}" srcId="{2865E538-32A3-4B9B-8B56-63A3CBCB5337}" destId="{8657228B-C9F1-4933-84D2-084C79CF32D3}" srcOrd="0" destOrd="0" parTransId="{CE3DB875-87C1-44C7-9105-913D9006F9F9}" sibTransId="{BB7EF460-6B95-4563-BA38-1A3F7334E8B9}"/>
    <dgm:cxn modelId="{3795F885-67DA-43D7-8FEA-8E0BDA21127F}" type="presOf" srcId="{46CD4083-81A2-4C56-A395-AD555DB75E4E}" destId="{2DDD7344-489D-427D-9423-4C7113DAABF5}" srcOrd="0" destOrd="0" presId="urn:microsoft.com/office/officeart/2005/8/layout/orgChart1"/>
    <dgm:cxn modelId="{E82893D4-8736-4F28-8FE4-4D6187534975}" type="presOf" srcId="{C9965D82-7AF4-480E-A02C-17192839E0DC}" destId="{00D2603E-C255-47A3-ABBE-BAD7D3D8AC87}" srcOrd="1" destOrd="0" presId="urn:microsoft.com/office/officeart/2005/8/layout/orgChart1"/>
    <dgm:cxn modelId="{4FB78C1C-9CA0-4F4F-AF4D-62B039C9B030}" srcId="{B3ADCB72-C399-4037-AB02-28DFE93B6EDB}" destId="{3A365555-044B-4EE6-9F12-50B98003FEC8}" srcOrd="1" destOrd="0" parTransId="{7541D766-17C2-4865-83B0-2D31865D8891}" sibTransId="{5ECDE496-D09A-4D9A-96C8-BA05A4FA0102}"/>
    <dgm:cxn modelId="{B18A2189-EA3D-4EAD-874F-82327D44C42B}" type="presOf" srcId="{B3ADCB72-C399-4037-AB02-28DFE93B6EDB}" destId="{646D5959-95DD-4E4E-B95F-20484CE08984}" srcOrd="1" destOrd="0" presId="urn:microsoft.com/office/officeart/2005/8/layout/orgChart1"/>
    <dgm:cxn modelId="{642A03AC-BFDA-4DB0-891F-76851B5104A6}" type="presOf" srcId="{3767ED1B-3935-49CD-8FA2-9A72AE713781}" destId="{B2EE759F-D307-4B66-86B9-79FBFA7F1F26}" srcOrd="0" destOrd="0" presId="urn:microsoft.com/office/officeart/2005/8/layout/orgChart1"/>
    <dgm:cxn modelId="{0B5E5E91-A452-4595-A173-3E641354E180}" type="presOf" srcId="{1705C4BF-BAB4-402C-9875-C82F1965A5B6}" destId="{25039422-6FC2-4A6A-B78C-2D134F693F6B}" srcOrd="1" destOrd="0" presId="urn:microsoft.com/office/officeart/2005/8/layout/orgChart1"/>
    <dgm:cxn modelId="{B5D23D95-7B8A-4060-8AC0-32185495B5B5}" srcId="{31D199CB-9A80-4092-8F7E-1E1BC6089882}" destId="{ABE9AA30-CCD4-438F-B5D0-26F86523B2E5}" srcOrd="0" destOrd="0" parTransId="{51CA1F7D-9883-470B-8F23-68BECA2F3946}" sibTransId="{F006BD62-21B8-46EA-B78D-6F724E92851D}"/>
    <dgm:cxn modelId="{99E633F7-DA8B-4073-B42F-8EC6B446013B}" type="presOf" srcId="{ABE9AA30-CCD4-438F-B5D0-26F86523B2E5}" destId="{1E778923-42E2-411A-865C-17C1D629D1AC}" srcOrd="0" destOrd="0" presId="urn:microsoft.com/office/officeart/2005/8/layout/orgChart1"/>
    <dgm:cxn modelId="{FB500406-D924-4F36-A351-2B08F31B86E5}" srcId="{1705C4BF-BAB4-402C-9875-C82F1965A5B6}" destId="{E2890D9E-7099-425F-9B21-1B78CABA1BA8}" srcOrd="0" destOrd="0" parTransId="{BC70B71F-DB73-4E25-A5D9-BCC0A82CCD3F}" sibTransId="{89FC4BD6-BD61-4929-86E9-3040F7C52B2E}"/>
    <dgm:cxn modelId="{156EF9B1-0EC7-49A3-8B94-802805642676}" type="presOf" srcId="{31D199CB-9A80-4092-8F7E-1E1BC6089882}" destId="{F1DD559D-FC86-444E-8BD3-3CB0C5FDE7AD}" srcOrd="1" destOrd="0" presId="urn:microsoft.com/office/officeart/2005/8/layout/orgChart1"/>
    <dgm:cxn modelId="{B6A5D8E0-01F2-4F42-BE42-4757B0EFC868}" type="presOf" srcId="{D5B2E68F-8A39-4663-87CA-3CA730A8C2C9}" destId="{887CE159-FA09-4D51-B7FA-C94A8F475538}" srcOrd="1" destOrd="0" presId="urn:microsoft.com/office/officeart/2005/8/layout/orgChart1"/>
    <dgm:cxn modelId="{22D4C97A-162A-47A7-8732-CBAAE3035D09}" type="presParOf" srcId="{F2F8F4D2-A630-4E8F-ABF6-CD41F332CBD6}" destId="{076FE0E7-7EDB-4310-87FD-FD656B3D4454}" srcOrd="0" destOrd="0" presId="urn:microsoft.com/office/officeart/2005/8/layout/orgChart1"/>
    <dgm:cxn modelId="{BCCB884E-0CD9-47FA-B1C1-A22E84BE743C}" type="presParOf" srcId="{076FE0E7-7EDB-4310-87FD-FD656B3D4454}" destId="{1CD3AECC-7847-44DE-B283-C3ED0F8E44C5}" srcOrd="0" destOrd="0" presId="urn:microsoft.com/office/officeart/2005/8/layout/orgChart1"/>
    <dgm:cxn modelId="{F5299BAC-4378-4F9B-B8F3-55D57B77F886}" type="presParOf" srcId="{1CD3AECC-7847-44DE-B283-C3ED0F8E44C5}" destId="{402B85D9-B32A-41DB-B41E-2A3A44EC80DB}" srcOrd="0" destOrd="0" presId="urn:microsoft.com/office/officeart/2005/8/layout/orgChart1"/>
    <dgm:cxn modelId="{07BCAC06-D4B5-4128-B7A4-E0835BEF784C}" type="presParOf" srcId="{1CD3AECC-7847-44DE-B283-C3ED0F8E44C5}" destId="{199A0D90-D9DE-4EE6-B366-7D3E9E17804F}" srcOrd="1" destOrd="0" presId="urn:microsoft.com/office/officeart/2005/8/layout/orgChart1"/>
    <dgm:cxn modelId="{C8835CB5-003D-4CC7-ADA1-5A992138C687}" type="presParOf" srcId="{076FE0E7-7EDB-4310-87FD-FD656B3D4454}" destId="{3966B7B1-4FAE-42DF-8C06-70D2CF9CC1D0}" srcOrd="1" destOrd="0" presId="urn:microsoft.com/office/officeart/2005/8/layout/orgChart1"/>
    <dgm:cxn modelId="{51413B3E-1211-42DD-8F30-BFB814992C66}" type="presParOf" srcId="{3966B7B1-4FAE-42DF-8C06-70D2CF9CC1D0}" destId="{E43CBB96-FF14-45D5-A751-CAD7B98BF0D0}" srcOrd="0" destOrd="0" presId="urn:microsoft.com/office/officeart/2005/8/layout/orgChart1"/>
    <dgm:cxn modelId="{68D6221D-DCA5-403A-8A14-DAADC509E48D}" type="presParOf" srcId="{3966B7B1-4FAE-42DF-8C06-70D2CF9CC1D0}" destId="{3F7B8096-3CB9-4DFC-AF96-594D6656336C}" srcOrd="1" destOrd="0" presId="urn:microsoft.com/office/officeart/2005/8/layout/orgChart1"/>
    <dgm:cxn modelId="{1F785969-1D8E-4DDE-888C-0085CC37E3C9}" type="presParOf" srcId="{3F7B8096-3CB9-4DFC-AF96-594D6656336C}" destId="{74AB4B75-0D66-49EF-9C22-A432FC4C21D1}" srcOrd="0" destOrd="0" presId="urn:microsoft.com/office/officeart/2005/8/layout/orgChart1"/>
    <dgm:cxn modelId="{B94064AA-70B9-4A90-A0D8-B9D9B8F24B4A}" type="presParOf" srcId="{74AB4B75-0D66-49EF-9C22-A432FC4C21D1}" destId="{400D6E28-15E9-4009-84EC-0B9F10352D67}" srcOrd="0" destOrd="0" presId="urn:microsoft.com/office/officeart/2005/8/layout/orgChart1"/>
    <dgm:cxn modelId="{17BAE140-704A-455E-B605-2C5BDC7BC9AA}" type="presParOf" srcId="{74AB4B75-0D66-49EF-9C22-A432FC4C21D1}" destId="{56C60E25-E0E6-47A6-94A3-DAE0CA2808C6}" srcOrd="1" destOrd="0" presId="urn:microsoft.com/office/officeart/2005/8/layout/orgChart1"/>
    <dgm:cxn modelId="{438F3BBD-813F-4349-8857-7FBCF6DB5841}" type="presParOf" srcId="{3F7B8096-3CB9-4DFC-AF96-594D6656336C}" destId="{21672EF2-6273-46C3-8356-7CD1CEA79543}" srcOrd="1" destOrd="0" presId="urn:microsoft.com/office/officeart/2005/8/layout/orgChart1"/>
    <dgm:cxn modelId="{32D62BF3-94FC-4112-84E5-0CA22ABA6EB0}" type="presParOf" srcId="{21672EF2-6273-46C3-8356-7CD1CEA79543}" destId="{447F4AB1-FD27-4BF7-AFDD-328962C35148}" srcOrd="0" destOrd="0" presId="urn:microsoft.com/office/officeart/2005/8/layout/orgChart1"/>
    <dgm:cxn modelId="{426F7187-8E1F-4627-A308-0BA4AA7FAA1C}" type="presParOf" srcId="{21672EF2-6273-46C3-8356-7CD1CEA79543}" destId="{82CE5265-CF1D-44E9-BC3C-78385BB191EF}" srcOrd="1" destOrd="0" presId="urn:microsoft.com/office/officeart/2005/8/layout/orgChart1"/>
    <dgm:cxn modelId="{E614C371-515C-4F2E-9D62-3284BCA4C391}" type="presParOf" srcId="{82CE5265-CF1D-44E9-BC3C-78385BB191EF}" destId="{B1619A84-5208-4366-B18A-651570FB4279}" srcOrd="0" destOrd="0" presId="urn:microsoft.com/office/officeart/2005/8/layout/orgChart1"/>
    <dgm:cxn modelId="{78E009B1-F77E-48D5-A405-C584F2E1AC27}" type="presParOf" srcId="{B1619A84-5208-4366-B18A-651570FB4279}" destId="{576DB36F-2656-41B9-A791-6F329EF7B0AD}" srcOrd="0" destOrd="0" presId="urn:microsoft.com/office/officeart/2005/8/layout/orgChart1"/>
    <dgm:cxn modelId="{B1715DC0-4654-4F5C-AB0F-00BED1895AF9}" type="presParOf" srcId="{B1619A84-5208-4366-B18A-651570FB4279}" destId="{646D5959-95DD-4E4E-B95F-20484CE08984}" srcOrd="1" destOrd="0" presId="urn:microsoft.com/office/officeart/2005/8/layout/orgChart1"/>
    <dgm:cxn modelId="{37E69BBB-2D77-44BC-8FA3-9125EDD5027C}" type="presParOf" srcId="{82CE5265-CF1D-44E9-BC3C-78385BB191EF}" destId="{28F76F8B-4122-4A5D-B3D6-CF8B2E2E5E40}" srcOrd="1" destOrd="0" presId="urn:microsoft.com/office/officeart/2005/8/layout/orgChart1"/>
    <dgm:cxn modelId="{D8242724-A9BD-4D0B-837F-31B9ACFE5C97}" type="presParOf" srcId="{28F76F8B-4122-4A5D-B3D6-CF8B2E2E5E40}" destId="{3B56D6CB-F459-4B1A-B3A1-DC30B449727B}" srcOrd="0" destOrd="0" presId="urn:microsoft.com/office/officeart/2005/8/layout/orgChart1"/>
    <dgm:cxn modelId="{6C80FEB7-BA37-4FC4-8B74-94696B97D912}" type="presParOf" srcId="{28F76F8B-4122-4A5D-B3D6-CF8B2E2E5E40}" destId="{991FD590-3EF6-4655-BBAD-18FC54CBD87A}" srcOrd="1" destOrd="0" presId="urn:microsoft.com/office/officeart/2005/8/layout/orgChart1"/>
    <dgm:cxn modelId="{1E1C1394-BE60-405C-9004-392092089926}" type="presParOf" srcId="{991FD590-3EF6-4655-BBAD-18FC54CBD87A}" destId="{BDB975C5-5CD8-490A-AB9B-CB4DFAAD6043}" srcOrd="0" destOrd="0" presId="urn:microsoft.com/office/officeart/2005/8/layout/orgChart1"/>
    <dgm:cxn modelId="{9D2E8410-6E03-459D-962E-D6AE32517774}" type="presParOf" srcId="{BDB975C5-5CD8-490A-AB9B-CB4DFAAD6043}" destId="{896CB251-7334-4277-AAF9-1144D2DB54A9}" srcOrd="0" destOrd="0" presId="urn:microsoft.com/office/officeart/2005/8/layout/orgChart1"/>
    <dgm:cxn modelId="{4D1F6ED4-863B-4848-B002-9CEB83CBF999}" type="presParOf" srcId="{BDB975C5-5CD8-490A-AB9B-CB4DFAAD6043}" destId="{25039422-6FC2-4A6A-B78C-2D134F693F6B}" srcOrd="1" destOrd="0" presId="urn:microsoft.com/office/officeart/2005/8/layout/orgChart1"/>
    <dgm:cxn modelId="{86331C53-9740-4728-894C-BD5BC4CC8E10}" type="presParOf" srcId="{991FD590-3EF6-4655-BBAD-18FC54CBD87A}" destId="{0EF7CF4D-3F69-4315-86F6-A65E6567C16C}" srcOrd="1" destOrd="0" presId="urn:microsoft.com/office/officeart/2005/8/layout/orgChart1"/>
    <dgm:cxn modelId="{5F3E9242-3A6E-485E-9612-F37A3FD5580E}" type="presParOf" srcId="{0EF7CF4D-3F69-4315-86F6-A65E6567C16C}" destId="{E217569B-28E1-4EF6-AAC5-E2A3BAFEF06E}" srcOrd="0" destOrd="0" presId="urn:microsoft.com/office/officeart/2005/8/layout/orgChart1"/>
    <dgm:cxn modelId="{75A119DF-2CA5-4C6D-92B0-BA8486790CA3}" type="presParOf" srcId="{0EF7CF4D-3F69-4315-86F6-A65E6567C16C}" destId="{72A486B2-2B68-4A64-9DF0-86BF8CEDDD0B}" srcOrd="1" destOrd="0" presId="urn:microsoft.com/office/officeart/2005/8/layout/orgChart1"/>
    <dgm:cxn modelId="{AC4C7310-687A-4CEA-AED8-CDD122AF04AB}" type="presParOf" srcId="{72A486B2-2B68-4A64-9DF0-86BF8CEDDD0B}" destId="{E25D3124-3987-4513-9023-01BED03E399B}" srcOrd="0" destOrd="0" presId="urn:microsoft.com/office/officeart/2005/8/layout/orgChart1"/>
    <dgm:cxn modelId="{9A85ADD0-F402-4213-8A6F-F01AF4A87A1A}" type="presParOf" srcId="{E25D3124-3987-4513-9023-01BED03E399B}" destId="{BAAB0655-1E96-4F31-9AD4-B6C48CDB14FE}" srcOrd="0" destOrd="0" presId="urn:microsoft.com/office/officeart/2005/8/layout/orgChart1"/>
    <dgm:cxn modelId="{69248559-94F1-4FBA-8006-40C0A1A41187}" type="presParOf" srcId="{E25D3124-3987-4513-9023-01BED03E399B}" destId="{5E2F8FF6-0DE4-4269-A17E-EA316E3FC0B5}" srcOrd="1" destOrd="0" presId="urn:microsoft.com/office/officeart/2005/8/layout/orgChart1"/>
    <dgm:cxn modelId="{EF8D323D-723C-4A4E-A985-D96FDC3A7C20}" type="presParOf" srcId="{72A486B2-2B68-4A64-9DF0-86BF8CEDDD0B}" destId="{45231FD1-4729-4F47-8D83-08982BE27131}" srcOrd="1" destOrd="0" presId="urn:microsoft.com/office/officeart/2005/8/layout/orgChart1"/>
    <dgm:cxn modelId="{3E789441-C4AE-455A-8CEC-A91B7A2B41B5}" type="presParOf" srcId="{72A486B2-2B68-4A64-9DF0-86BF8CEDDD0B}" destId="{F1A8DE4A-0EA3-4A8A-9B11-9F6C4929544B}" srcOrd="2" destOrd="0" presId="urn:microsoft.com/office/officeart/2005/8/layout/orgChart1"/>
    <dgm:cxn modelId="{70A2B035-ACAE-4A85-9160-487DEDC944A0}" type="presParOf" srcId="{991FD590-3EF6-4655-BBAD-18FC54CBD87A}" destId="{88E1AACE-B36D-4A86-B496-5721B9016BC2}" srcOrd="2" destOrd="0" presId="urn:microsoft.com/office/officeart/2005/8/layout/orgChart1"/>
    <dgm:cxn modelId="{2D7E47AC-F4DD-4B3A-8920-958B31F42D0A}" type="presParOf" srcId="{28F76F8B-4122-4A5D-B3D6-CF8B2E2E5E40}" destId="{F777AD85-7EE3-4675-BCE7-DA56ECCEECDA}" srcOrd="2" destOrd="0" presId="urn:microsoft.com/office/officeart/2005/8/layout/orgChart1"/>
    <dgm:cxn modelId="{3BC59229-15CA-4A0C-922E-27BE0ABAADFF}" type="presParOf" srcId="{28F76F8B-4122-4A5D-B3D6-CF8B2E2E5E40}" destId="{714C8720-6628-43C0-BF68-16DBECFA2B67}" srcOrd="3" destOrd="0" presId="urn:microsoft.com/office/officeart/2005/8/layout/orgChart1"/>
    <dgm:cxn modelId="{4372CCF5-6A41-4B8F-BE9B-FBCE6D6B241F}" type="presParOf" srcId="{714C8720-6628-43C0-BF68-16DBECFA2B67}" destId="{82F79C90-9E0F-4B90-B0EC-75BA3CFA568B}" srcOrd="0" destOrd="0" presId="urn:microsoft.com/office/officeart/2005/8/layout/orgChart1"/>
    <dgm:cxn modelId="{837C68AC-2E2C-437E-AFD1-D453CC8100FA}" type="presParOf" srcId="{82F79C90-9E0F-4B90-B0EC-75BA3CFA568B}" destId="{51F2EDF4-CF50-4E3B-B972-A455A6845075}" srcOrd="0" destOrd="0" presId="urn:microsoft.com/office/officeart/2005/8/layout/orgChart1"/>
    <dgm:cxn modelId="{3C266958-E942-4DB0-872B-9D7A460FDB25}" type="presParOf" srcId="{82F79C90-9E0F-4B90-B0EC-75BA3CFA568B}" destId="{774779F5-5CD9-40D7-A9D6-B3C17DF9E0B9}" srcOrd="1" destOrd="0" presId="urn:microsoft.com/office/officeart/2005/8/layout/orgChart1"/>
    <dgm:cxn modelId="{678DB53E-5A23-425C-AA46-CEC46BE224BA}" type="presParOf" srcId="{714C8720-6628-43C0-BF68-16DBECFA2B67}" destId="{CCF9488E-0E4B-4EAF-B48F-1405F76E122E}" srcOrd="1" destOrd="0" presId="urn:microsoft.com/office/officeart/2005/8/layout/orgChart1"/>
    <dgm:cxn modelId="{01A2418C-4477-4793-90BF-ABA89AC62F48}" type="presParOf" srcId="{CCF9488E-0E4B-4EAF-B48F-1405F76E122E}" destId="{E11287D9-E77C-4A74-9066-2979AF09FB57}" srcOrd="0" destOrd="0" presId="urn:microsoft.com/office/officeart/2005/8/layout/orgChart1"/>
    <dgm:cxn modelId="{7C265814-A49B-49F9-8A5F-AD736C3B2916}" type="presParOf" srcId="{CCF9488E-0E4B-4EAF-B48F-1405F76E122E}" destId="{D6857787-1B15-4520-8416-5372A4C13CDA}" srcOrd="1" destOrd="0" presId="urn:microsoft.com/office/officeart/2005/8/layout/orgChart1"/>
    <dgm:cxn modelId="{105D8695-181E-4EEF-8087-3794A14DB3AD}" type="presParOf" srcId="{D6857787-1B15-4520-8416-5372A4C13CDA}" destId="{23DFE33F-2262-4556-83AA-F9A04B62AF96}" srcOrd="0" destOrd="0" presId="urn:microsoft.com/office/officeart/2005/8/layout/orgChart1"/>
    <dgm:cxn modelId="{D173A78A-46CC-4D77-8BAF-406CE7495ABA}" type="presParOf" srcId="{23DFE33F-2262-4556-83AA-F9A04B62AF96}" destId="{9BC4E93E-7DC2-4073-8B8E-563AA1D2CA12}" srcOrd="0" destOrd="0" presId="urn:microsoft.com/office/officeart/2005/8/layout/orgChart1"/>
    <dgm:cxn modelId="{8F028F89-06A3-497F-BBF2-F1DF1E2A86C9}" type="presParOf" srcId="{23DFE33F-2262-4556-83AA-F9A04B62AF96}" destId="{00D2603E-C255-47A3-ABBE-BAD7D3D8AC87}" srcOrd="1" destOrd="0" presId="urn:microsoft.com/office/officeart/2005/8/layout/orgChart1"/>
    <dgm:cxn modelId="{D279763A-C6A3-4F97-944D-E528342A30D9}" type="presParOf" srcId="{D6857787-1B15-4520-8416-5372A4C13CDA}" destId="{F6570361-F94B-4F11-81E5-2DFB2D64A244}" srcOrd="1" destOrd="0" presId="urn:microsoft.com/office/officeart/2005/8/layout/orgChart1"/>
    <dgm:cxn modelId="{578116F8-0685-405A-AD3D-C0A4198E5856}" type="presParOf" srcId="{D6857787-1B15-4520-8416-5372A4C13CDA}" destId="{117C544F-32A3-4F80-8C19-26509214DFC1}" srcOrd="2" destOrd="0" presId="urn:microsoft.com/office/officeart/2005/8/layout/orgChart1"/>
    <dgm:cxn modelId="{F1C7D22F-88CE-49C6-B4BA-AE97AF86F262}" type="presParOf" srcId="{714C8720-6628-43C0-BF68-16DBECFA2B67}" destId="{920CFC27-1BF7-4AB2-8048-947B3C3A62B7}" srcOrd="2" destOrd="0" presId="urn:microsoft.com/office/officeart/2005/8/layout/orgChart1"/>
    <dgm:cxn modelId="{750D9744-D0F2-4095-8503-BC3CD62B0C0E}" type="presParOf" srcId="{28F76F8B-4122-4A5D-B3D6-CF8B2E2E5E40}" destId="{FBDC96F3-62B7-4D5F-9544-287A92FBF45C}" srcOrd="4" destOrd="0" presId="urn:microsoft.com/office/officeart/2005/8/layout/orgChart1"/>
    <dgm:cxn modelId="{A3568697-504D-4943-9E9F-B530E8F62272}" type="presParOf" srcId="{28F76F8B-4122-4A5D-B3D6-CF8B2E2E5E40}" destId="{0A2CB702-A9BA-4D17-B6F7-FE7C946E5FEE}" srcOrd="5" destOrd="0" presId="urn:microsoft.com/office/officeart/2005/8/layout/orgChart1"/>
    <dgm:cxn modelId="{DF408F9E-1434-46D6-8266-FA8D79D13A93}" type="presParOf" srcId="{0A2CB702-A9BA-4D17-B6F7-FE7C946E5FEE}" destId="{66AA9C65-BAC1-4957-BE8D-854F2DD418CD}" srcOrd="0" destOrd="0" presId="urn:microsoft.com/office/officeart/2005/8/layout/orgChart1"/>
    <dgm:cxn modelId="{2DEF1E0A-261C-4555-B674-00D329752D41}" type="presParOf" srcId="{66AA9C65-BAC1-4957-BE8D-854F2DD418CD}" destId="{7AE0F844-8FEA-4CB1-8EB3-EFF567D507F2}" srcOrd="0" destOrd="0" presId="urn:microsoft.com/office/officeart/2005/8/layout/orgChart1"/>
    <dgm:cxn modelId="{C0A06994-3F3F-4931-A2E3-E964F86A3E43}" type="presParOf" srcId="{66AA9C65-BAC1-4957-BE8D-854F2DD418CD}" destId="{887CE159-FA09-4D51-B7FA-C94A8F475538}" srcOrd="1" destOrd="0" presId="urn:microsoft.com/office/officeart/2005/8/layout/orgChart1"/>
    <dgm:cxn modelId="{D59BF721-FCBE-47F0-9EC9-13922E5D02CD}" type="presParOf" srcId="{0A2CB702-A9BA-4D17-B6F7-FE7C946E5FEE}" destId="{B57BD432-7AB6-4885-AB7F-990B7DB88D3F}" srcOrd="1" destOrd="0" presId="urn:microsoft.com/office/officeart/2005/8/layout/orgChart1"/>
    <dgm:cxn modelId="{303A6194-FB0F-4674-B3ED-24A6DDF4BFF1}" type="presParOf" srcId="{B57BD432-7AB6-4885-AB7F-990B7DB88D3F}" destId="{7100F1FC-1B20-4CC1-A833-7B41518F801A}" srcOrd="0" destOrd="0" presId="urn:microsoft.com/office/officeart/2005/8/layout/orgChart1"/>
    <dgm:cxn modelId="{B62A4BAD-2FE4-41CF-8486-9CE3E151786A}" type="presParOf" srcId="{B57BD432-7AB6-4885-AB7F-990B7DB88D3F}" destId="{4F4B8A56-F307-4C11-B4B2-7B6DEE0630DC}" srcOrd="1" destOrd="0" presId="urn:microsoft.com/office/officeart/2005/8/layout/orgChart1"/>
    <dgm:cxn modelId="{0E912292-A8A9-4EE2-AC0A-4D7750271777}" type="presParOf" srcId="{4F4B8A56-F307-4C11-B4B2-7B6DEE0630DC}" destId="{62FE4A6D-BC61-4911-A728-4E1CD91DFBE6}" srcOrd="0" destOrd="0" presId="urn:microsoft.com/office/officeart/2005/8/layout/orgChart1"/>
    <dgm:cxn modelId="{9EFA668B-3303-4A2F-93A9-CF63925F9309}" type="presParOf" srcId="{62FE4A6D-BC61-4911-A728-4E1CD91DFBE6}" destId="{C4478A56-FAF1-4D5F-8F93-613E38809A80}" srcOrd="0" destOrd="0" presId="urn:microsoft.com/office/officeart/2005/8/layout/orgChart1"/>
    <dgm:cxn modelId="{6CDB22F2-EE54-4387-8C59-744295DF9B15}" type="presParOf" srcId="{62FE4A6D-BC61-4911-A728-4E1CD91DFBE6}" destId="{882FA286-20E7-436C-A14C-7C25A0972687}" srcOrd="1" destOrd="0" presId="urn:microsoft.com/office/officeart/2005/8/layout/orgChart1"/>
    <dgm:cxn modelId="{7E849883-948C-4B6F-AC61-F43FA132B517}" type="presParOf" srcId="{4F4B8A56-F307-4C11-B4B2-7B6DEE0630DC}" destId="{97447F65-4CB5-4CD5-8D48-9655CD2C25CE}" srcOrd="1" destOrd="0" presId="urn:microsoft.com/office/officeart/2005/8/layout/orgChart1"/>
    <dgm:cxn modelId="{EFEFD0F5-6AB7-4197-89F5-CA7E14EF65E3}" type="presParOf" srcId="{4F4B8A56-F307-4C11-B4B2-7B6DEE0630DC}" destId="{505718DF-0ED7-402A-B1C0-F220E417522D}" srcOrd="2" destOrd="0" presId="urn:microsoft.com/office/officeart/2005/8/layout/orgChart1"/>
    <dgm:cxn modelId="{79F6E8E2-D262-4036-83C4-68115439A66A}" type="presParOf" srcId="{0A2CB702-A9BA-4D17-B6F7-FE7C946E5FEE}" destId="{CD746580-6153-4765-A51B-C648CA855096}" srcOrd="2" destOrd="0" presId="urn:microsoft.com/office/officeart/2005/8/layout/orgChart1"/>
    <dgm:cxn modelId="{1C7E071B-188D-450B-9218-2524C72A61B9}" type="presParOf" srcId="{28F76F8B-4122-4A5D-B3D6-CF8B2E2E5E40}" destId="{B2EE759F-D307-4B66-86B9-79FBFA7F1F26}" srcOrd="6" destOrd="0" presId="urn:microsoft.com/office/officeart/2005/8/layout/orgChart1"/>
    <dgm:cxn modelId="{A4AB528C-DFA2-45A5-BC95-A212253A6D01}" type="presParOf" srcId="{28F76F8B-4122-4A5D-B3D6-CF8B2E2E5E40}" destId="{CBD58C4F-D0AA-4952-BBE2-DF079BCCAA97}" srcOrd="7" destOrd="0" presId="urn:microsoft.com/office/officeart/2005/8/layout/orgChart1"/>
    <dgm:cxn modelId="{9693942B-3AC8-4923-869D-140CD006CB9D}" type="presParOf" srcId="{CBD58C4F-D0AA-4952-BBE2-DF079BCCAA97}" destId="{E07852CA-2684-4A9B-BBD1-2AC547DF405F}" srcOrd="0" destOrd="0" presId="urn:microsoft.com/office/officeart/2005/8/layout/orgChart1"/>
    <dgm:cxn modelId="{D3BA0889-B05A-4DB3-987D-8CC568D7915E}" type="presParOf" srcId="{E07852CA-2684-4A9B-BBD1-2AC547DF405F}" destId="{04CF627B-9DB5-4076-B6C3-328ED6160B6E}" srcOrd="0" destOrd="0" presId="urn:microsoft.com/office/officeart/2005/8/layout/orgChart1"/>
    <dgm:cxn modelId="{28E7BCD0-C9D0-49D7-8277-6707E526E52D}" type="presParOf" srcId="{E07852CA-2684-4A9B-BBD1-2AC547DF405F}" destId="{C42A66CB-AC83-4AC8-942B-3431FF50CC04}" srcOrd="1" destOrd="0" presId="urn:microsoft.com/office/officeart/2005/8/layout/orgChart1"/>
    <dgm:cxn modelId="{3D6E961E-71EC-4B2F-8675-5DCD6B64E9DD}" type="presParOf" srcId="{CBD58C4F-D0AA-4952-BBE2-DF079BCCAA97}" destId="{A7CDD93E-B7E6-4599-A2AA-673E5CF279E5}" srcOrd="1" destOrd="0" presId="urn:microsoft.com/office/officeart/2005/8/layout/orgChart1"/>
    <dgm:cxn modelId="{15282D78-5850-47D7-9285-BA3A76275029}" type="presParOf" srcId="{A7CDD93E-B7E6-4599-A2AA-673E5CF279E5}" destId="{7FFFD9F7-152A-4587-9C8D-63701A3B0C67}" srcOrd="0" destOrd="0" presId="urn:microsoft.com/office/officeart/2005/8/layout/orgChart1"/>
    <dgm:cxn modelId="{1A505DC8-743F-4BF2-961B-BAB017E32BA5}" type="presParOf" srcId="{A7CDD93E-B7E6-4599-A2AA-673E5CF279E5}" destId="{ECC05213-6304-4789-B65E-58D98AFC071A}" srcOrd="1" destOrd="0" presId="urn:microsoft.com/office/officeart/2005/8/layout/orgChart1"/>
    <dgm:cxn modelId="{A4071262-A3EA-4462-9AB4-E20E6D51D02E}" type="presParOf" srcId="{ECC05213-6304-4789-B65E-58D98AFC071A}" destId="{2CC86767-0C9D-497D-96FE-6D6BCB87AE9B}" srcOrd="0" destOrd="0" presId="urn:microsoft.com/office/officeart/2005/8/layout/orgChart1"/>
    <dgm:cxn modelId="{DD2D6287-A7C0-444D-96DD-FC14382C19A7}" type="presParOf" srcId="{2CC86767-0C9D-497D-96FE-6D6BCB87AE9B}" destId="{2DDD7344-489D-427D-9423-4C7113DAABF5}" srcOrd="0" destOrd="0" presId="urn:microsoft.com/office/officeart/2005/8/layout/orgChart1"/>
    <dgm:cxn modelId="{9F8B69C8-9CF4-47DB-AC54-AC7F3F8DE205}" type="presParOf" srcId="{2CC86767-0C9D-497D-96FE-6D6BCB87AE9B}" destId="{CD680F4E-E05A-485C-9E93-7B0134D9BCB6}" srcOrd="1" destOrd="0" presId="urn:microsoft.com/office/officeart/2005/8/layout/orgChart1"/>
    <dgm:cxn modelId="{A5712D6E-1FC1-48E7-8231-B14AF0283076}" type="presParOf" srcId="{ECC05213-6304-4789-B65E-58D98AFC071A}" destId="{1C78859C-586E-4B94-86F2-0D95F346B081}" srcOrd="1" destOrd="0" presId="urn:microsoft.com/office/officeart/2005/8/layout/orgChart1"/>
    <dgm:cxn modelId="{669D2D31-BF28-451C-BB7F-9862B12FFA17}" type="presParOf" srcId="{ECC05213-6304-4789-B65E-58D98AFC071A}" destId="{0FCE6C37-970C-4C81-BF74-84CC8EA719BD}" srcOrd="2" destOrd="0" presId="urn:microsoft.com/office/officeart/2005/8/layout/orgChart1"/>
    <dgm:cxn modelId="{B0980062-9373-48DC-B07D-3E20AD694831}" type="presParOf" srcId="{CBD58C4F-D0AA-4952-BBE2-DF079BCCAA97}" destId="{CC4C0238-43E8-41FC-B1FB-EAE20E294774}" srcOrd="2" destOrd="0" presId="urn:microsoft.com/office/officeart/2005/8/layout/orgChart1"/>
    <dgm:cxn modelId="{CE251862-0090-4DB6-BC19-4F5CC7D593CB}" type="presParOf" srcId="{28F76F8B-4122-4A5D-B3D6-CF8B2E2E5E40}" destId="{2A8905CC-BC64-4937-ACE7-C4E776405C54}" srcOrd="8" destOrd="0" presId="urn:microsoft.com/office/officeart/2005/8/layout/orgChart1"/>
    <dgm:cxn modelId="{79D3DB93-7C09-464A-B715-FC7DA8F57240}" type="presParOf" srcId="{28F76F8B-4122-4A5D-B3D6-CF8B2E2E5E40}" destId="{9BA486E5-A4E4-4851-9E30-5004E918A5D8}" srcOrd="9" destOrd="0" presId="urn:microsoft.com/office/officeart/2005/8/layout/orgChart1"/>
    <dgm:cxn modelId="{D9596B23-B3FB-4998-B951-BF4E43662D18}" type="presParOf" srcId="{9BA486E5-A4E4-4851-9E30-5004E918A5D8}" destId="{8699C2D3-B7DB-46DA-A462-B9014136123A}" srcOrd="0" destOrd="0" presId="urn:microsoft.com/office/officeart/2005/8/layout/orgChart1"/>
    <dgm:cxn modelId="{CB76DEA0-07F2-4C73-A9D4-F6C67688B1C2}" type="presParOf" srcId="{8699C2D3-B7DB-46DA-A462-B9014136123A}" destId="{C4C14699-2014-4DD2-8501-B35E94992F34}" srcOrd="0" destOrd="0" presId="urn:microsoft.com/office/officeart/2005/8/layout/orgChart1"/>
    <dgm:cxn modelId="{5513B82E-959F-4D82-8E38-3A7EBF164830}" type="presParOf" srcId="{8699C2D3-B7DB-46DA-A462-B9014136123A}" destId="{F1DD559D-FC86-444E-8BD3-3CB0C5FDE7AD}" srcOrd="1" destOrd="0" presId="urn:microsoft.com/office/officeart/2005/8/layout/orgChart1"/>
    <dgm:cxn modelId="{D07445D7-A5AB-481A-A5D5-F9B21103CA83}" type="presParOf" srcId="{9BA486E5-A4E4-4851-9E30-5004E918A5D8}" destId="{E922BFF4-9FF3-4362-816A-45CB1C6A30B8}" srcOrd="1" destOrd="0" presId="urn:microsoft.com/office/officeart/2005/8/layout/orgChart1"/>
    <dgm:cxn modelId="{7A0244B1-4713-40B2-8750-099805AB7D05}" type="presParOf" srcId="{E922BFF4-9FF3-4362-816A-45CB1C6A30B8}" destId="{5A7D9A8B-7AEF-4799-9C34-360A2F7BE7BE}" srcOrd="0" destOrd="0" presId="urn:microsoft.com/office/officeart/2005/8/layout/orgChart1"/>
    <dgm:cxn modelId="{1092EE68-B002-49A1-A07B-C5B338619586}" type="presParOf" srcId="{E922BFF4-9FF3-4362-816A-45CB1C6A30B8}" destId="{6962B46E-4EAA-4027-813F-F2DD1E05053A}" srcOrd="1" destOrd="0" presId="urn:microsoft.com/office/officeart/2005/8/layout/orgChart1"/>
    <dgm:cxn modelId="{CFFD1CBE-5BA7-45D1-9BC7-F9D556FBD9F3}" type="presParOf" srcId="{6962B46E-4EAA-4027-813F-F2DD1E05053A}" destId="{3FE37BC7-E2BA-460D-9F26-052C91BD3D28}" srcOrd="0" destOrd="0" presId="urn:microsoft.com/office/officeart/2005/8/layout/orgChart1"/>
    <dgm:cxn modelId="{880031B6-F592-41AD-8D86-8F110B885D48}" type="presParOf" srcId="{3FE37BC7-E2BA-460D-9F26-052C91BD3D28}" destId="{1E778923-42E2-411A-865C-17C1D629D1AC}" srcOrd="0" destOrd="0" presId="urn:microsoft.com/office/officeart/2005/8/layout/orgChart1"/>
    <dgm:cxn modelId="{134B4861-2F49-4D01-B73C-1DD6E03852DB}" type="presParOf" srcId="{3FE37BC7-E2BA-460D-9F26-052C91BD3D28}" destId="{DCD4BCDA-5991-4C87-AC86-AB0FD6479AA2}" srcOrd="1" destOrd="0" presId="urn:microsoft.com/office/officeart/2005/8/layout/orgChart1"/>
    <dgm:cxn modelId="{6EE0F042-8119-4FDE-8184-CC40CB65FEEA}" type="presParOf" srcId="{6962B46E-4EAA-4027-813F-F2DD1E05053A}" destId="{78281D0D-3249-468D-9FF4-0B6838A03FB9}" srcOrd="1" destOrd="0" presId="urn:microsoft.com/office/officeart/2005/8/layout/orgChart1"/>
    <dgm:cxn modelId="{5574DC62-5FB6-4D7A-8D33-595F074E9761}" type="presParOf" srcId="{6962B46E-4EAA-4027-813F-F2DD1E05053A}" destId="{BCEF0FDF-38C7-48E8-ACA3-FBA25F98E9E2}" srcOrd="2" destOrd="0" presId="urn:microsoft.com/office/officeart/2005/8/layout/orgChart1"/>
    <dgm:cxn modelId="{6F0D22A2-FA21-44BD-9999-50EF20298586}" type="presParOf" srcId="{9BA486E5-A4E4-4851-9E30-5004E918A5D8}" destId="{F6619EAC-54BB-4D19-8ABC-952FE276F9B4}" srcOrd="2" destOrd="0" presId="urn:microsoft.com/office/officeart/2005/8/layout/orgChart1"/>
    <dgm:cxn modelId="{530FA5A4-6E2F-475E-BBFC-0B3ED8E4A636}" type="presParOf" srcId="{82CE5265-CF1D-44E9-BC3C-78385BB191EF}" destId="{20D305CA-B2C1-4837-B718-E1D4DDEBA2B7}" srcOrd="2" destOrd="0" presId="urn:microsoft.com/office/officeart/2005/8/layout/orgChart1"/>
    <dgm:cxn modelId="{F674116D-72A2-432E-92BB-63E147B37215}" type="presParOf" srcId="{3F7B8096-3CB9-4DFC-AF96-594D6656336C}" destId="{3A9DC233-833C-4324-BDB1-047A69F11344}" srcOrd="2" destOrd="0" presId="urn:microsoft.com/office/officeart/2005/8/layout/orgChart1"/>
    <dgm:cxn modelId="{E97124A6-E258-488E-87FF-87A6F5ACD070}" type="presParOf" srcId="{076FE0E7-7EDB-4310-87FD-FD656B3D4454}" destId="{794EB02B-1268-484E-9359-534432D7E454}" srcOrd="2" destOrd="0" presId="urn:microsoft.com/office/officeart/2005/8/layout/orgChart1"/>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601B581-8784-4E14-9BA9-F201EB212929}"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2865E538-32A3-4B9B-8B56-63A3CBCB5337}">
      <dgm:prSet phldrT="[Text]"/>
      <dgm:spPr>
        <a:solidFill>
          <a:schemeClr val="accent3">
            <a:lumMod val="40000"/>
            <a:lumOff val="60000"/>
          </a:schemeClr>
        </a:solidFill>
        <a:ln w="6350">
          <a:solidFill>
            <a:schemeClr val="tx1"/>
          </a:solidFill>
        </a:ln>
      </dgm:spPr>
      <dgm:t>
        <a:bodyPr/>
        <a:lstStyle/>
        <a:p>
          <a:r>
            <a:rPr lang="en-US">
              <a:solidFill>
                <a:sysClr val="windowText" lastClr="000000"/>
              </a:solidFill>
            </a:rPr>
            <a:t>Local Director</a:t>
          </a:r>
        </a:p>
      </dgm:t>
    </dgm:pt>
    <dgm:pt modelId="{CE737FDC-7E7B-429C-9D82-C4794562413F}" type="parTrans" cxnId="{3959C0D8-667C-451B-B428-1B7E4C0EFE08}">
      <dgm:prSet/>
      <dgm:spPr/>
      <dgm:t>
        <a:bodyPr/>
        <a:lstStyle/>
        <a:p>
          <a:endParaRPr lang="en-US"/>
        </a:p>
      </dgm:t>
    </dgm:pt>
    <dgm:pt modelId="{0ED8D4F9-6364-433A-AFC6-94BA4DEDCDA8}" type="sibTrans" cxnId="{3959C0D8-667C-451B-B428-1B7E4C0EFE08}">
      <dgm:prSet/>
      <dgm:spPr/>
      <dgm:t>
        <a:bodyPr/>
        <a:lstStyle/>
        <a:p>
          <a:endParaRPr lang="en-US"/>
        </a:p>
      </dgm:t>
    </dgm:pt>
    <dgm:pt modelId="{8657228B-C9F1-4933-84D2-084C79CF32D3}">
      <dgm:prSet phldrT="[Text]"/>
      <dgm:spPr>
        <a:solidFill>
          <a:schemeClr val="accent3">
            <a:lumMod val="40000"/>
            <a:lumOff val="60000"/>
          </a:schemeClr>
        </a:solidFill>
        <a:ln w="6350">
          <a:solidFill>
            <a:schemeClr val="tx1"/>
          </a:solidFill>
        </a:ln>
      </dgm:spPr>
      <dgm:t>
        <a:bodyPr/>
        <a:lstStyle/>
        <a:p>
          <a:r>
            <a:rPr lang="en-US">
              <a:solidFill>
                <a:sysClr val="windowText" lastClr="000000"/>
              </a:solidFill>
            </a:rPr>
            <a:t>Assistant Director</a:t>
          </a:r>
          <a:br>
            <a:rPr lang="en-US">
              <a:solidFill>
                <a:sysClr val="windowText" lastClr="000000"/>
              </a:solidFill>
            </a:rPr>
          </a:br>
          <a:r>
            <a:rPr lang="en-US">
              <a:solidFill>
                <a:sysClr val="windowText" lastClr="000000"/>
              </a:solidFill>
            </a:rPr>
            <a:t>Family Investment</a:t>
          </a:r>
        </a:p>
      </dgm:t>
    </dgm:pt>
    <dgm:pt modelId="{CE3DB875-87C1-44C7-9105-913D9006F9F9}" type="parTrans" cxnId="{F0283B46-D883-4D28-91B9-9A71B3B70667}">
      <dgm:prSet/>
      <dgm:spPr>
        <a:solidFill>
          <a:schemeClr val="tx2">
            <a:lumMod val="20000"/>
            <a:lumOff val="80000"/>
          </a:schemeClr>
        </a:solidFill>
        <a:ln w="6350">
          <a:solidFill>
            <a:schemeClr val="tx1"/>
          </a:solidFill>
        </a:ln>
      </dgm:spPr>
      <dgm:t>
        <a:bodyPr/>
        <a:lstStyle/>
        <a:p>
          <a:endParaRPr lang="en-US">
            <a:solidFill>
              <a:sysClr val="windowText" lastClr="000000"/>
            </a:solidFill>
          </a:endParaRPr>
        </a:p>
      </dgm:t>
    </dgm:pt>
    <dgm:pt modelId="{BB7EF460-6B95-4563-BA38-1A3F7334E8B9}" type="sibTrans" cxnId="{F0283B46-D883-4D28-91B9-9A71B3B70667}">
      <dgm:prSet/>
      <dgm:spPr/>
      <dgm:t>
        <a:bodyPr/>
        <a:lstStyle/>
        <a:p>
          <a:endParaRPr lang="en-US"/>
        </a:p>
      </dgm:t>
    </dgm:pt>
    <dgm:pt modelId="{3A365555-044B-4EE6-9F12-50B98003FEC8}">
      <dgm:prSet/>
      <dgm:spPr>
        <a:solidFill>
          <a:schemeClr val="accent3">
            <a:lumMod val="40000"/>
            <a:lumOff val="60000"/>
          </a:schemeClr>
        </a:solidFill>
        <a:ln w="6350">
          <a:solidFill>
            <a:schemeClr val="tx1"/>
          </a:solidFill>
        </a:ln>
      </dgm:spPr>
      <dgm:t>
        <a:bodyPr/>
        <a:lstStyle/>
        <a:p>
          <a:r>
            <a:rPr lang="en-US">
              <a:solidFill>
                <a:sysClr val="windowText" lastClr="000000"/>
              </a:solidFill>
            </a:rPr>
            <a:t>Workforce </a:t>
          </a:r>
        </a:p>
        <a:p>
          <a:r>
            <a:rPr lang="en-US">
              <a:solidFill>
                <a:sysClr val="windowText" lastClr="000000"/>
              </a:solidFill>
            </a:rPr>
            <a:t>Program Manager</a:t>
          </a:r>
        </a:p>
      </dgm:t>
    </dgm:pt>
    <dgm:pt modelId="{7541D766-17C2-4865-83B0-2D31865D8891}" type="parTrans" cxnId="{4FB78C1C-9CA0-4F4F-AF4D-62B039C9B030}">
      <dgm:prSet/>
      <dgm:spPr>
        <a:solidFill>
          <a:schemeClr val="tx2">
            <a:lumMod val="20000"/>
            <a:lumOff val="80000"/>
          </a:schemeClr>
        </a:solidFill>
        <a:ln w="6350">
          <a:solidFill>
            <a:schemeClr val="tx1"/>
          </a:solidFill>
        </a:ln>
      </dgm:spPr>
      <dgm:t>
        <a:bodyPr/>
        <a:lstStyle/>
        <a:p>
          <a:endParaRPr lang="en-US">
            <a:solidFill>
              <a:sysClr val="windowText" lastClr="000000"/>
            </a:solidFill>
          </a:endParaRPr>
        </a:p>
      </dgm:t>
    </dgm:pt>
    <dgm:pt modelId="{5ECDE496-D09A-4D9A-96C8-BA05A4FA0102}" type="sibTrans" cxnId="{4FB78C1C-9CA0-4F4F-AF4D-62B039C9B030}">
      <dgm:prSet/>
      <dgm:spPr/>
      <dgm:t>
        <a:bodyPr/>
        <a:lstStyle/>
        <a:p>
          <a:endParaRPr lang="en-US"/>
        </a:p>
      </dgm:t>
    </dgm:pt>
    <dgm:pt modelId="{9B2FAC7C-8102-4B25-87E3-C2610FF2291C}">
      <dgm:prSet/>
      <dgm:spPr>
        <a:solidFill>
          <a:schemeClr val="accent3">
            <a:lumMod val="40000"/>
            <a:lumOff val="60000"/>
          </a:schemeClr>
        </a:solidFill>
        <a:ln w="6350">
          <a:solidFill>
            <a:schemeClr val="tx1"/>
          </a:solidFill>
        </a:ln>
      </dgm:spPr>
      <dgm:t>
        <a:bodyPr/>
        <a:lstStyle/>
        <a:p>
          <a:r>
            <a:rPr lang="en-US">
              <a:solidFill>
                <a:sysClr val="windowText" lastClr="000000"/>
              </a:solidFill>
            </a:rPr>
            <a:t>Team of 2</a:t>
          </a:r>
        </a:p>
        <a:p>
          <a:r>
            <a:rPr lang="en-US">
              <a:solidFill>
                <a:sysClr val="windowText" lastClr="000000"/>
              </a:solidFill>
            </a:rPr>
            <a:t>1 - FIA Specialist</a:t>
          </a:r>
        </a:p>
        <a:p>
          <a:r>
            <a:rPr lang="en-US">
              <a:solidFill>
                <a:sysClr val="windowText" lastClr="000000"/>
              </a:solidFill>
            </a:rPr>
            <a:t>1 - Human Services Spec III</a:t>
          </a:r>
        </a:p>
      </dgm:t>
    </dgm:pt>
    <dgm:pt modelId="{4BECEBDE-1B62-40F9-9166-A548CBF0ACC4}" type="parTrans" cxnId="{0F3A09E6-F2E4-479D-86C7-0DD5FCEDA81F}">
      <dgm:prSet/>
      <dgm:spPr>
        <a:solidFill>
          <a:schemeClr val="tx2">
            <a:lumMod val="20000"/>
            <a:lumOff val="80000"/>
          </a:schemeClr>
        </a:solidFill>
        <a:ln w="6350">
          <a:solidFill>
            <a:schemeClr val="tx1"/>
          </a:solidFill>
        </a:ln>
      </dgm:spPr>
      <dgm:t>
        <a:bodyPr/>
        <a:lstStyle/>
        <a:p>
          <a:endParaRPr lang="en-US">
            <a:solidFill>
              <a:sysClr val="windowText" lastClr="000000"/>
            </a:solidFill>
          </a:endParaRPr>
        </a:p>
      </dgm:t>
    </dgm:pt>
    <dgm:pt modelId="{83922C5F-EDDE-4D2F-92E6-DC944976402B}" type="sibTrans" cxnId="{0F3A09E6-F2E4-479D-86C7-0DD5FCEDA81F}">
      <dgm:prSet/>
      <dgm:spPr/>
      <dgm:t>
        <a:bodyPr/>
        <a:lstStyle/>
        <a:p>
          <a:endParaRPr lang="en-US"/>
        </a:p>
      </dgm:t>
    </dgm:pt>
    <dgm:pt modelId="{D1AAE4CC-5D12-402E-A782-5C5F9CE70E0E}">
      <dgm:prSet/>
      <dgm:spPr>
        <a:solidFill>
          <a:schemeClr val="accent3">
            <a:lumMod val="40000"/>
            <a:lumOff val="60000"/>
          </a:schemeClr>
        </a:solidFill>
        <a:ln w="6350">
          <a:solidFill>
            <a:schemeClr val="tx1"/>
          </a:solidFill>
        </a:ln>
      </dgm:spPr>
      <dgm:t>
        <a:bodyPr/>
        <a:lstStyle/>
        <a:p>
          <a:r>
            <a:rPr lang="en-US">
              <a:solidFill>
                <a:sysClr val="windowText" lastClr="000000"/>
              </a:solidFill>
            </a:rPr>
            <a:t>Team of 6</a:t>
          </a:r>
        </a:p>
        <a:p>
          <a:r>
            <a:rPr lang="en-US">
              <a:solidFill>
                <a:sysClr val="windowText" lastClr="000000"/>
              </a:solidFill>
            </a:rPr>
            <a:t>FIA Specialists</a:t>
          </a:r>
        </a:p>
      </dgm:t>
    </dgm:pt>
    <dgm:pt modelId="{AFA732C3-1387-45A2-BAB4-BF3C50F1B55B}" type="parTrans" cxnId="{9EB058E9-428E-408C-AEE8-6032DA6DCB1E}">
      <dgm:prSet/>
      <dgm:spPr>
        <a:solidFill>
          <a:schemeClr val="tx2">
            <a:lumMod val="20000"/>
            <a:lumOff val="80000"/>
          </a:schemeClr>
        </a:solidFill>
        <a:ln w="6350">
          <a:solidFill>
            <a:schemeClr val="tx1"/>
          </a:solidFill>
        </a:ln>
      </dgm:spPr>
      <dgm:t>
        <a:bodyPr/>
        <a:lstStyle/>
        <a:p>
          <a:endParaRPr lang="en-US">
            <a:solidFill>
              <a:sysClr val="windowText" lastClr="000000"/>
            </a:solidFill>
          </a:endParaRPr>
        </a:p>
      </dgm:t>
    </dgm:pt>
    <dgm:pt modelId="{60B5862D-6854-47B9-A74E-C8CC5FE6474B}" type="sibTrans" cxnId="{9EB058E9-428E-408C-AEE8-6032DA6DCB1E}">
      <dgm:prSet/>
      <dgm:spPr/>
      <dgm:t>
        <a:bodyPr/>
        <a:lstStyle/>
        <a:p>
          <a:endParaRPr lang="en-US"/>
        </a:p>
      </dgm:t>
    </dgm:pt>
    <dgm:pt modelId="{1A78F21D-89B3-49DC-98C3-02FDD69B47E6}">
      <dgm:prSet/>
      <dgm:spPr>
        <a:solidFill>
          <a:schemeClr val="accent3">
            <a:lumMod val="40000"/>
            <a:lumOff val="60000"/>
          </a:schemeClr>
        </a:solidFill>
        <a:ln w="6350">
          <a:solidFill>
            <a:schemeClr val="tx1"/>
          </a:solidFill>
        </a:ln>
      </dgm:spPr>
      <dgm:t>
        <a:bodyPr/>
        <a:lstStyle/>
        <a:p>
          <a:r>
            <a:rPr lang="en-US">
              <a:solidFill>
                <a:sysClr val="windowText" lastClr="000000"/>
              </a:solidFill>
            </a:rPr>
            <a:t>Team of 6</a:t>
          </a:r>
        </a:p>
        <a:p>
          <a:r>
            <a:rPr lang="en-US">
              <a:solidFill>
                <a:sysClr val="windowText" lastClr="000000"/>
              </a:solidFill>
            </a:rPr>
            <a:t>FIA Specialists </a:t>
          </a:r>
        </a:p>
      </dgm:t>
    </dgm:pt>
    <dgm:pt modelId="{E3FDF54D-AD34-481A-94D6-9F7A2A104323}" type="parTrans" cxnId="{1FC4EF44-3D7B-4297-B027-67F8AC7AEEAE}">
      <dgm:prSet/>
      <dgm:spPr>
        <a:solidFill>
          <a:schemeClr val="tx2">
            <a:lumMod val="20000"/>
            <a:lumOff val="80000"/>
          </a:schemeClr>
        </a:solidFill>
        <a:ln w="6350">
          <a:solidFill>
            <a:schemeClr val="tx1"/>
          </a:solidFill>
        </a:ln>
      </dgm:spPr>
      <dgm:t>
        <a:bodyPr/>
        <a:lstStyle/>
        <a:p>
          <a:endParaRPr lang="en-US">
            <a:solidFill>
              <a:sysClr val="windowText" lastClr="000000"/>
            </a:solidFill>
          </a:endParaRPr>
        </a:p>
      </dgm:t>
    </dgm:pt>
    <dgm:pt modelId="{8FCC69AF-22EC-4944-B940-6890F42BE6E1}" type="sibTrans" cxnId="{1FC4EF44-3D7B-4297-B027-67F8AC7AEEAE}">
      <dgm:prSet/>
      <dgm:spPr/>
      <dgm:t>
        <a:bodyPr/>
        <a:lstStyle/>
        <a:p>
          <a:endParaRPr lang="en-US"/>
        </a:p>
      </dgm:t>
    </dgm:pt>
    <dgm:pt modelId="{F2F8F4D2-A630-4E8F-ABF6-CD41F332CBD6}" type="pres">
      <dgm:prSet presAssocID="{2601B581-8784-4E14-9BA9-F201EB212929}" presName="hierChild1" presStyleCnt="0">
        <dgm:presLayoutVars>
          <dgm:orgChart val="1"/>
          <dgm:chPref val="1"/>
          <dgm:dir/>
          <dgm:animOne val="branch"/>
          <dgm:animLvl val="lvl"/>
          <dgm:resizeHandles/>
        </dgm:presLayoutVars>
      </dgm:prSet>
      <dgm:spPr/>
      <dgm:t>
        <a:bodyPr/>
        <a:lstStyle/>
        <a:p>
          <a:endParaRPr lang="en-US"/>
        </a:p>
      </dgm:t>
    </dgm:pt>
    <dgm:pt modelId="{076FE0E7-7EDB-4310-87FD-FD656B3D4454}" type="pres">
      <dgm:prSet presAssocID="{2865E538-32A3-4B9B-8B56-63A3CBCB5337}" presName="hierRoot1" presStyleCnt="0">
        <dgm:presLayoutVars>
          <dgm:hierBranch val="init"/>
        </dgm:presLayoutVars>
      </dgm:prSet>
      <dgm:spPr/>
    </dgm:pt>
    <dgm:pt modelId="{1CD3AECC-7847-44DE-B283-C3ED0F8E44C5}" type="pres">
      <dgm:prSet presAssocID="{2865E538-32A3-4B9B-8B56-63A3CBCB5337}" presName="rootComposite1" presStyleCnt="0"/>
      <dgm:spPr/>
    </dgm:pt>
    <dgm:pt modelId="{402B85D9-B32A-41DB-B41E-2A3A44EC80DB}" type="pres">
      <dgm:prSet presAssocID="{2865E538-32A3-4B9B-8B56-63A3CBCB5337}" presName="rootText1" presStyleLbl="node0" presStyleIdx="0" presStyleCnt="1">
        <dgm:presLayoutVars>
          <dgm:chPref val="3"/>
        </dgm:presLayoutVars>
      </dgm:prSet>
      <dgm:spPr/>
      <dgm:t>
        <a:bodyPr/>
        <a:lstStyle/>
        <a:p>
          <a:endParaRPr lang="en-US"/>
        </a:p>
      </dgm:t>
    </dgm:pt>
    <dgm:pt modelId="{199A0D90-D9DE-4EE6-B366-7D3E9E17804F}" type="pres">
      <dgm:prSet presAssocID="{2865E538-32A3-4B9B-8B56-63A3CBCB5337}" presName="rootConnector1" presStyleLbl="node1" presStyleIdx="0" presStyleCnt="0"/>
      <dgm:spPr/>
      <dgm:t>
        <a:bodyPr/>
        <a:lstStyle/>
        <a:p>
          <a:endParaRPr lang="en-US"/>
        </a:p>
      </dgm:t>
    </dgm:pt>
    <dgm:pt modelId="{3966B7B1-4FAE-42DF-8C06-70D2CF9CC1D0}" type="pres">
      <dgm:prSet presAssocID="{2865E538-32A3-4B9B-8B56-63A3CBCB5337}" presName="hierChild2" presStyleCnt="0"/>
      <dgm:spPr/>
    </dgm:pt>
    <dgm:pt modelId="{E43CBB96-FF14-45D5-A751-CAD7B98BF0D0}" type="pres">
      <dgm:prSet presAssocID="{CE3DB875-87C1-44C7-9105-913D9006F9F9}" presName="Name37" presStyleLbl="parChTrans1D2" presStyleIdx="0" presStyleCnt="1"/>
      <dgm:spPr/>
      <dgm:t>
        <a:bodyPr/>
        <a:lstStyle/>
        <a:p>
          <a:endParaRPr lang="en-US"/>
        </a:p>
      </dgm:t>
    </dgm:pt>
    <dgm:pt modelId="{3F7B8096-3CB9-4DFC-AF96-594D6656336C}" type="pres">
      <dgm:prSet presAssocID="{8657228B-C9F1-4933-84D2-084C79CF32D3}" presName="hierRoot2" presStyleCnt="0">
        <dgm:presLayoutVars>
          <dgm:hierBranch/>
        </dgm:presLayoutVars>
      </dgm:prSet>
      <dgm:spPr/>
    </dgm:pt>
    <dgm:pt modelId="{74AB4B75-0D66-49EF-9C22-A432FC4C21D1}" type="pres">
      <dgm:prSet presAssocID="{8657228B-C9F1-4933-84D2-084C79CF32D3}" presName="rootComposite" presStyleCnt="0"/>
      <dgm:spPr/>
    </dgm:pt>
    <dgm:pt modelId="{400D6E28-15E9-4009-84EC-0B9F10352D67}" type="pres">
      <dgm:prSet presAssocID="{8657228B-C9F1-4933-84D2-084C79CF32D3}" presName="rootText" presStyleLbl="node2" presStyleIdx="0" presStyleCnt="1">
        <dgm:presLayoutVars>
          <dgm:chPref val="3"/>
        </dgm:presLayoutVars>
      </dgm:prSet>
      <dgm:spPr/>
      <dgm:t>
        <a:bodyPr/>
        <a:lstStyle/>
        <a:p>
          <a:endParaRPr lang="en-US"/>
        </a:p>
      </dgm:t>
    </dgm:pt>
    <dgm:pt modelId="{56C60E25-E0E6-47A6-94A3-DAE0CA2808C6}" type="pres">
      <dgm:prSet presAssocID="{8657228B-C9F1-4933-84D2-084C79CF32D3}" presName="rootConnector" presStyleLbl="node2" presStyleIdx="0" presStyleCnt="1"/>
      <dgm:spPr/>
      <dgm:t>
        <a:bodyPr/>
        <a:lstStyle/>
        <a:p>
          <a:endParaRPr lang="en-US"/>
        </a:p>
      </dgm:t>
    </dgm:pt>
    <dgm:pt modelId="{21672EF2-6273-46C3-8356-7CD1CEA79543}" type="pres">
      <dgm:prSet presAssocID="{8657228B-C9F1-4933-84D2-084C79CF32D3}" presName="hierChild4" presStyleCnt="0"/>
      <dgm:spPr/>
    </dgm:pt>
    <dgm:pt modelId="{1BD790D9-59AA-49B6-B7D0-B8864C1835F0}" type="pres">
      <dgm:prSet presAssocID="{7541D766-17C2-4865-83B0-2D31865D8891}" presName="Name35" presStyleLbl="parChTrans1D3" presStyleIdx="0" presStyleCnt="1"/>
      <dgm:spPr/>
      <dgm:t>
        <a:bodyPr/>
        <a:lstStyle/>
        <a:p>
          <a:endParaRPr lang="en-US"/>
        </a:p>
      </dgm:t>
    </dgm:pt>
    <dgm:pt modelId="{714C8720-6628-43C0-BF68-16DBECFA2B67}" type="pres">
      <dgm:prSet presAssocID="{3A365555-044B-4EE6-9F12-50B98003FEC8}" presName="hierRoot2" presStyleCnt="0">
        <dgm:presLayoutVars>
          <dgm:hierBranch/>
        </dgm:presLayoutVars>
      </dgm:prSet>
      <dgm:spPr/>
    </dgm:pt>
    <dgm:pt modelId="{82F79C90-9E0F-4B90-B0EC-75BA3CFA568B}" type="pres">
      <dgm:prSet presAssocID="{3A365555-044B-4EE6-9F12-50B98003FEC8}" presName="rootComposite" presStyleCnt="0"/>
      <dgm:spPr/>
    </dgm:pt>
    <dgm:pt modelId="{51F2EDF4-CF50-4E3B-B972-A455A6845075}" type="pres">
      <dgm:prSet presAssocID="{3A365555-044B-4EE6-9F12-50B98003FEC8}" presName="rootText" presStyleLbl="node3" presStyleIdx="0" presStyleCnt="1">
        <dgm:presLayoutVars>
          <dgm:chPref val="3"/>
        </dgm:presLayoutVars>
      </dgm:prSet>
      <dgm:spPr/>
      <dgm:t>
        <a:bodyPr/>
        <a:lstStyle/>
        <a:p>
          <a:endParaRPr lang="en-US"/>
        </a:p>
      </dgm:t>
    </dgm:pt>
    <dgm:pt modelId="{774779F5-5CD9-40D7-A9D6-B3C17DF9E0B9}" type="pres">
      <dgm:prSet presAssocID="{3A365555-044B-4EE6-9F12-50B98003FEC8}" presName="rootConnector" presStyleLbl="node3" presStyleIdx="0" presStyleCnt="1"/>
      <dgm:spPr/>
      <dgm:t>
        <a:bodyPr/>
        <a:lstStyle/>
        <a:p>
          <a:endParaRPr lang="en-US"/>
        </a:p>
      </dgm:t>
    </dgm:pt>
    <dgm:pt modelId="{CCF9488E-0E4B-4EAF-B48F-1405F76E122E}" type="pres">
      <dgm:prSet presAssocID="{3A365555-044B-4EE6-9F12-50B98003FEC8}" presName="hierChild4" presStyleCnt="0"/>
      <dgm:spPr/>
    </dgm:pt>
    <dgm:pt modelId="{9D5218F7-9E66-408B-A90D-79F04E06B60D}" type="pres">
      <dgm:prSet presAssocID="{4BECEBDE-1B62-40F9-9166-A548CBF0ACC4}" presName="Name35" presStyleLbl="parChTrans1D4" presStyleIdx="0" presStyleCnt="3"/>
      <dgm:spPr/>
      <dgm:t>
        <a:bodyPr/>
        <a:lstStyle/>
        <a:p>
          <a:endParaRPr lang="en-US"/>
        </a:p>
      </dgm:t>
    </dgm:pt>
    <dgm:pt modelId="{9144BCB1-CC54-4C72-BC03-B6121DE6FFDF}" type="pres">
      <dgm:prSet presAssocID="{9B2FAC7C-8102-4B25-87E3-C2610FF2291C}" presName="hierRoot2" presStyleCnt="0">
        <dgm:presLayoutVars>
          <dgm:hierBranch val="init"/>
        </dgm:presLayoutVars>
      </dgm:prSet>
      <dgm:spPr/>
    </dgm:pt>
    <dgm:pt modelId="{2675A540-6C6B-4CB9-BDA0-4771B67ED42F}" type="pres">
      <dgm:prSet presAssocID="{9B2FAC7C-8102-4B25-87E3-C2610FF2291C}" presName="rootComposite" presStyleCnt="0"/>
      <dgm:spPr/>
    </dgm:pt>
    <dgm:pt modelId="{CC0752C5-6BD5-44A6-893B-B634049861B9}" type="pres">
      <dgm:prSet presAssocID="{9B2FAC7C-8102-4B25-87E3-C2610FF2291C}" presName="rootText" presStyleLbl="node4" presStyleIdx="0" presStyleCnt="3" custScaleY="126395">
        <dgm:presLayoutVars>
          <dgm:chPref val="3"/>
        </dgm:presLayoutVars>
      </dgm:prSet>
      <dgm:spPr/>
      <dgm:t>
        <a:bodyPr/>
        <a:lstStyle/>
        <a:p>
          <a:endParaRPr lang="en-US"/>
        </a:p>
      </dgm:t>
    </dgm:pt>
    <dgm:pt modelId="{FD90BA6B-2856-4F89-9F27-10958E0CEA11}" type="pres">
      <dgm:prSet presAssocID="{9B2FAC7C-8102-4B25-87E3-C2610FF2291C}" presName="rootConnector" presStyleLbl="node4" presStyleIdx="0" presStyleCnt="3"/>
      <dgm:spPr/>
      <dgm:t>
        <a:bodyPr/>
        <a:lstStyle/>
        <a:p>
          <a:endParaRPr lang="en-US"/>
        </a:p>
      </dgm:t>
    </dgm:pt>
    <dgm:pt modelId="{D812392C-1BEA-4612-9850-1FB55F0E749C}" type="pres">
      <dgm:prSet presAssocID="{9B2FAC7C-8102-4B25-87E3-C2610FF2291C}" presName="hierChild4" presStyleCnt="0"/>
      <dgm:spPr/>
    </dgm:pt>
    <dgm:pt modelId="{CFBB904F-B5BD-4112-9F17-9C39D61732CB}" type="pres">
      <dgm:prSet presAssocID="{9B2FAC7C-8102-4B25-87E3-C2610FF2291C}" presName="hierChild5" presStyleCnt="0"/>
      <dgm:spPr/>
    </dgm:pt>
    <dgm:pt modelId="{6161DFAC-593D-4A7B-AD1B-362BFB62FC42}" type="pres">
      <dgm:prSet presAssocID="{AFA732C3-1387-45A2-BAB4-BF3C50F1B55B}" presName="Name35" presStyleLbl="parChTrans1D4" presStyleIdx="1" presStyleCnt="3"/>
      <dgm:spPr/>
      <dgm:t>
        <a:bodyPr/>
        <a:lstStyle/>
        <a:p>
          <a:endParaRPr lang="en-US"/>
        </a:p>
      </dgm:t>
    </dgm:pt>
    <dgm:pt modelId="{F9F09B13-6D1D-4BE3-9783-C5FE28BC2711}" type="pres">
      <dgm:prSet presAssocID="{D1AAE4CC-5D12-402E-A782-5C5F9CE70E0E}" presName="hierRoot2" presStyleCnt="0">
        <dgm:presLayoutVars>
          <dgm:hierBranch val="init"/>
        </dgm:presLayoutVars>
      </dgm:prSet>
      <dgm:spPr/>
    </dgm:pt>
    <dgm:pt modelId="{1C4249EE-3062-47C0-ABD0-F04A0D193B57}" type="pres">
      <dgm:prSet presAssocID="{D1AAE4CC-5D12-402E-A782-5C5F9CE70E0E}" presName="rootComposite" presStyleCnt="0"/>
      <dgm:spPr/>
    </dgm:pt>
    <dgm:pt modelId="{D4D1A5B1-36E8-41BE-8757-38F454525702}" type="pres">
      <dgm:prSet presAssocID="{D1AAE4CC-5D12-402E-A782-5C5F9CE70E0E}" presName="rootText" presStyleLbl="node4" presStyleIdx="1" presStyleCnt="3">
        <dgm:presLayoutVars>
          <dgm:chPref val="3"/>
        </dgm:presLayoutVars>
      </dgm:prSet>
      <dgm:spPr/>
      <dgm:t>
        <a:bodyPr/>
        <a:lstStyle/>
        <a:p>
          <a:endParaRPr lang="en-US"/>
        </a:p>
      </dgm:t>
    </dgm:pt>
    <dgm:pt modelId="{3C616660-1E97-46B8-87E3-D03B57C5BDDE}" type="pres">
      <dgm:prSet presAssocID="{D1AAE4CC-5D12-402E-A782-5C5F9CE70E0E}" presName="rootConnector" presStyleLbl="node4" presStyleIdx="1" presStyleCnt="3"/>
      <dgm:spPr/>
      <dgm:t>
        <a:bodyPr/>
        <a:lstStyle/>
        <a:p>
          <a:endParaRPr lang="en-US"/>
        </a:p>
      </dgm:t>
    </dgm:pt>
    <dgm:pt modelId="{DC03CB7F-8105-48AD-ADF2-0AFD0562B8C5}" type="pres">
      <dgm:prSet presAssocID="{D1AAE4CC-5D12-402E-A782-5C5F9CE70E0E}" presName="hierChild4" presStyleCnt="0"/>
      <dgm:spPr/>
    </dgm:pt>
    <dgm:pt modelId="{E4028F89-BE7C-48AE-93F9-4B717DCEC74A}" type="pres">
      <dgm:prSet presAssocID="{D1AAE4CC-5D12-402E-A782-5C5F9CE70E0E}" presName="hierChild5" presStyleCnt="0"/>
      <dgm:spPr/>
    </dgm:pt>
    <dgm:pt modelId="{E6457C75-EAA1-4886-BC57-62FC5D436736}" type="pres">
      <dgm:prSet presAssocID="{E3FDF54D-AD34-481A-94D6-9F7A2A104323}" presName="Name35" presStyleLbl="parChTrans1D4" presStyleIdx="2" presStyleCnt="3"/>
      <dgm:spPr/>
      <dgm:t>
        <a:bodyPr/>
        <a:lstStyle/>
        <a:p>
          <a:endParaRPr lang="en-US"/>
        </a:p>
      </dgm:t>
    </dgm:pt>
    <dgm:pt modelId="{F8D18B9B-A0CC-401B-8BBA-E0EB54922B6A}" type="pres">
      <dgm:prSet presAssocID="{1A78F21D-89B3-49DC-98C3-02FDD69B47E6}" presName="hierRoot2" presStyleCnt="0">
        <dgm:presLayoutVars>
          <dgm:hierBranch val="init"/>
        </dgm:presLayoutVars>
      </dgm:prSet>
      <dgm:spPr/>
    </dgm:pt>
    <dgm:pt modelId="{6B1D0A8F-38BF-4670-8D28-0CAF7DA207AD}" type="pres">
      <dgm:prSet presAssocID="{1A78F21D-89B3-49DC-98C3-02FDD69B47E6}" presName="rootComposite" presStyleCnt="0"/>
      <dgm:spPr/>
    </dgm:pt>
    <dgm:pt modelId="{A0FB1B22-A6AB-4107-96F7-57FAFA73CBCA}" type="pres">
      <dgm:prSet presAssocID="{1A78F21D-89B3-49DC-98C3-02FDD69B47E6}" presName="rootText" presStyleLbl="node4" presStyleIdx="2" presStyleCnt="3">
        <dgm:presLayoutVars>
          <dgm:chPref val="3"/>
        </dgm:presLayoutVars>
      </dgm:prSet>
      <dgm:spPr/>
      <dgm:t>
        <a:bodyPr/>
        <a:lstStyle/>
        <a:p>
          <a:endParaRPr lang="en-US"/>
        </a:p>
      </dgm:t>
    </dgm:pt>
    <dgm:pt modelId="{2B092F0E-6133-4B43-B7F6-090A1EF42C46}" type="pres">
      <dgm:prSet presAssocID="{1A78F21D-89B3-49DC-98C3-02FDD69B47E6}" presName="rootConnector" presStyleLbl="node4" presStyleIdx="2" presStyleCnt="3"/>
      <dgm:spPr/>
      <dgm:t>
        <a:bodyPr/>
        <a:lstStyle/>
        <a:p>
          <a:endParaRPr lang="en-US"/>
        </a:p>
      </dgm:t>
    </dgm:pt>
    <dgm:pt modelId="{96917F77-0654-43E8-BC80-49E941C42D59}" type="pres">
      <dgm:prSet presAssocID="{1A78F21D-89B3-49DC-98C3-02FDD69B47E6}" presName="hierChild4" presStyleCnt="0"/>
      <dgm:spPr/>
    </dgm:pt>
    <dgm:pt modelId="{DB9E3B3C-5952-4ACC-813D-0827C7C84AE4}" type="pres">
      <dgm:prSet presAssocID="{1A78F21D-89B3-49DC-98C3-02FDD69B47E6}" presName="hierChild5" presStyleCnt="0"/>
      <dgm:spPr/>
    </dgm:pt>
    <dgm:pt modelId="{920CFC27-1BF7-4AB2-8048-947B3C3A62B7}" type="pres">
      <dgm:prSet presAssocID="{3A365555-044B-4EE6-9F12-50B98003FEC8}" presName="hierChild5" presStyleCnt="0"/>
      <dgm:spPr/>
    </dgm:pt>
    <dgm:pt modelId="{3A9DC233-833C-4324-BDB1-047A69F11344}" type="pres">
      <dgm:prSet presAssocID="{8657228B-C9F1-4933-84D2-084C79CF32D3}" presName="hierChild5" presStyleCnt="0"/>
      <dgm:spPr/>
    </dgm:pt>
    <dgm:pt modelId="{794EB02B-1268-484E-9359-534432D7E454}" type="pres">
      <dgm:prSet presAssocID="{2865E538-32A3-4B9B-8B56-63A3CBCB5337}" presName="hierChild3" presStyleCnt="0"/>
      <dgm:spPr/>
    </dgm:pt>
  </dgm:ptLst>
  <dgm:cxnLst>
    <dgm:cxn modelId="{C07BD11D-2EF6-4544-9C1F-47ECB7DD8D83}" type="presOf" srcId="{2865E538-32A3-4B9B-8B56-63A3CBCB5337}" destId="{402B85D9-B32A-41DB-B41E-2A3A44EC80DB}" srcOrd="0" destOrd="0" presId="urn:microsoft.com/office/officeart/2005/8/layout/orgChart1"/>
    <dgm:cxn modelId="{9EB058E9-428E-408C-AEE8-6032DA6DCB1E}" srcId="{3A365555-044B-4EE6-9F12-50B98003FEC8}" destId="{D1AAE4CC-5D12-402E-A782-5C5F9CE70E0E}" srcOrd="1" destOrd="0" parTransId="{AFA732C3-1387-45A2-BAB4-BF3C50F1B55B}" sibTransId="{60B5862D-6854-47B9-A74E-C8CC5FE6474B}"/>
    <dgm:cxn modelId="{E225D4FA-AC3D-4725-800F-8463C4656D3B}" type="presOf" srcId="{1A78F21D-89B3-49DC-98C3-02FDD69B47E6}" destId="{2B092F0E-6133-4B43-B7F6-090A1EF42C46}" srcOrd="1" destOrd="0" presId="urn:microsoft.com/office/officeart/2005/8/layout/orgChart1"/>
    <dgm:cxn modelId="{AD7E5D98-408C-4A37-9874-2C38644060F9}" type="presOf" srcId="{AFA732C3-1387-45A2-BAB4-BF3C50F1B55B}" destId="{6161DFAC-593D-4A7B-AD1B-362BFB62FC42}" srcOrd="0" destOrd="0" presId="urn:microsoft.com/office/officeart/2005/8/layout/orgChart1"/>
    <dgm:cxn modelId="{B928F65E-9CD7-42B7-A2D4-15E114D54EB6}" type="presOf" srcId="{D1AAE4CC-5D12-402E-A782-5C5F9CE70E0E}" destId="{3C616660-1E97-46B8-87E3-D03B57C5BDDE}" srcOrd="1" destOrd="0" presId="urn:microsoft.com/office/officeart/2005/8/layout/orgChart1"/>
    <dgm:cxn modelId="{87EFEBF4-973B-401B-8008-4F2775DFA36B}" type="presOf" srcId="{3A365555-044B-4EE6-9F12-50B98003FEC8}" destId="{51F2EDF4-CF50-4E3B-B972-A455A6845075}" srcOrd="0" destOrd="0" presId="urn:microsoft.com/office/officeart/2005/8/layout/orgChart1"/>
    <dgm:cxn modelId="{F0864E10-636A-425F-87EF-5E3C1A054CDE}" type="presOf" srcId="{8657228B-C9F1-4933-84D2-084C79CF32D3}" destId="{400D6E28-15E9-4009-84EC-0B9F10352D67}" srcOrd="0" destOrd="0" presId="urn:microsoft.com/office/officeart/2005/8/layout/orgChart1"/>
    <dgm:cxn modelId="{BAEF0A4F-E787-47CB-84EC-635F654F758D}" type="presOf" srcId="{9B2FAC7C-8102-4B25-87E3-C2610FF2291C}" destId="{CC0752C5-6BD5-44A6-893B-B634049861B9}" srcOrd="0" destOrd="0" presId="urn:microsoft.com/office/officeart/2005/8/layout/orgChart1"/>
    <dgm:cxn modelId="{12783BC4-BC2E-4580-B79D-BB82D455D1C8}" type="presOf" srcId="{1A78F21D-89B3-49DC-98C3-02FDD69B47E6}" destId="{A0FB1B22-A6AB-4107-96F7-57FAFA73CBCA}" srcOrd="0" destOrd="0" presId="urn:microsoft.com/office/officeart/2005/8/layout/orgChart1"/>
    <dgm:cxn modelId="{45B18424-5A2C-40A6-ADC9-07AD038E7924}" type="presOf" srcId="{E3FDF54D-AD34-481A-94D6-9F7A2A104323}" destId="{E6457C75-EAA1-4886-BC57-62FC5D436736}" srcOrd="0" destOrd="0" presId="urn:microsoft.com/office/officeart/2005/8/layout/orgChart1"/>
    <dgm:cxn modelId="{16CC1E27-D3FC-4F7D-A546-D477AA62D2E1}" type="presOf" srcId="{4BECEBDE-1B62-40F9-9166-A548CBF0ACC4}" destId="{9D5218F7-9E66-408B-A90D-79F04E06B60D}" srcOrd="0" destOrd="0" presId="urn:microsoft.com/office/officeart/2005/8/layout/orgChart1"/>
    <dgm:cxn modelId="{1FC4EF44-3D7B-4297-B027-67F8AC7AEEAE}" srcId="{3A365555-044B-4EE6-9F12-50B98003FEC8}" destId="{1A78F21D-89B3-49DC-98C3-02FDD69B47E6}" srcOrd="2" destOrd="0" parTransId="{E3FDF54D-AD34-481A-94D6-9F7A2A104323}" sibTransId="{8FCC69AF-22EC-4944-B940-6890F42BE6E1}"/>
    <dgm:cxn modelId="{98C187A1-000E-4025-A654-D3D0E9A2567E}" type="presOf" srcId="{7541D766-17C2-4865-83B0-2D31865D8891}" destId="{1BD790D9-59AA-49B6-B7D0-B8864C1835F0}" srcOrd="0" destOrd="0" presId="urn:microsoft.com/office/officeart/2005/8/layout/orgChart1"/>
    <dgm:cxn modelId="{0F3A09E6-F2E4-479D-86C7-0DD5FCEDA81F}" srcId="{3A365555-044B-4EE6-9F12-50B98003FEC8}" destId="{9B2FAC7C-8102-4B25-87E3-C2610FF2291C}" srcOrd="0" destOrd="0" parTransId="{4BECEBDE-1B62-40F9-9166-A548CBF0ACC4}" sibTransId="{83922C5F-EDDE-4D2F-92E6-DC944976402B}"/>
    <dgm:cxn modelId="{4FB78C1C-9CA0-4F4F-AF4D-62B039C9B030}" srcId="{8657228B-C9F1-4933-84D2-084C79CF32D3}" destId="{3A365555-044B-4EE6-9F12-50B98003FEC8}" srcOrd="0" destOrd="0" parTransId="{7541D766-17C2-4865-83B0-2D31865D8891}" sibTransId="{5ECDE496-D09A-4D9A-96C8-BA05A4FA0102}"/>
    <dgm:cxn modelId="{C4875C89-62A6-401D-9610-A4DAAC6EEF09}" type="presOf" srcId="{2601B581-8784-4E14-9BA9-F201EB212929}" destId="{F2F8F4D2-A630-4E8F-ABF6-CD41F332CBD6}" srcOrd="0" destOrd="0" presId="urn:microsoft.com/office/officeart/2005/8/layout/orgChart1"/>
    <dgm:cxn modelId="{F0283B46-D883-4D28-91B9-9A71B3B70667}" srcId="{2865E538-32A3-4B9B-8B56-63A3CBCB5337}" destId="{8657228B-C9F1-4933-84D2-084C79CF32D3}" srcOrd="0" destOrd="0" parTransId="{CE3DB875-87C1-44C7-9105-913D9006F9F9}" sibTransId="{BB7EF460-6B95-4563-BA38-1A3F7334E8B9}"/>
    <dgm:cxn modelId="{B6FE38E6-156B-4468-A964-FC0859095E1C}" type="presOf" srcId="{CE3DB875-87C1-44C7-9105-913D9006F9F9}" destId="{E43CBB96-FF14-45D5-A751-CAD7B98BF0D0}" srcOrd="0" destOrd="0" presId="urn:microsoft.com/office/officeart/2005/8/layout/orgChart1"/>
    <dgm:cxn modelId="{CF362B56-A599-4201-8E3C-E8A89A7724B7}" type="presOf" srcId="{3A365555-044B-4EE6-9F12-50B98003FEC8}" destId="{774779F5-5CD9-40D7-A9D6-B3C17DF9E0B9}" srcOrd="1" destOrd="0" presId="urn:microsoft.com/office/officeart/2005/8/layout/orgChart1"/>
    <dgm:cxn modelId="{3959C0D8-667C-451B-B428-1B7E4C0EFE08}" srcId="{2601B581-8784-4E14-9BA9-F201EB212929}" destId="{2865E538-32A3-4B9B-8B56-63A3CBCB5337}" srcOrd="0" destOrd="0" parTransId="{CE737FDC-7E7B-429C-9D82-C4794562413F}" sibTransId="{0ED8D4F9-6364-433A-AFC6-94BA4DEDCDA8}"/>
    <dgm:cxn modelId="{B03A5663-F716-4953-8E96-E78ECAEAD0FA}" type="presOf" srcId="{2865E538-32A3-4B9B-8B56-63A3CBCB5337}" destId="{199A0D90-D9DE-4EE6-B366-7D3E9E17804F}" srcOrd="1" destOrd="0" presId="urn:microsoft.com/office/officeart/2005/8/layout/orgChart1"/>
    <dgm:cxn modelId="{CD3A3841-8112-44E8-8F2F-015F7A79633C}" type="presOf" srcId="{D1AAE4CC-5D12-402E-A782-5C5F9CE70E0E}" destId="{D4D1A5B1-36E8-41BE-8757-38F454525702}" srcOrd="0" destOrd="0" presId="urn:microsoft.com/office/officeart/2005/8/layout/orgChart1"/>
    <dgm:cxn modelId="{0D0B88A4-1AE9-437A-9EDD-7E7F23408A55}" type="presOf" srcId="{9B2FAC7C-8102-4B25-87E3-C2610FF2291C}" destId="{FD90BA6B-2856-4F89-9F27-10958E0CEA11}" srcOrd="1" destOrd="0" presId="urn:microsoft.com/office/officeart/2005/8/layout/orgChart1"/>
    <dgm:cxn modelId="{6CE6C452-B857-4B09-BAA2-516DB4D4B732}" type="presOf" srcId="{8657228B-C9F1-4933-84D2-084C79CF32D3}" destId="{56C60E25-E0E6-47A6-94A3-DAE0CA2808C6}" srcOrd="1" destOrd="0" presId="urn:microsoft.com/office/officeart/2005/8/layout/orgChart1"/>
    <dgm:cxn modelId="{5C15B4FB-FB7C-42E0-92BE-4C71D311CEDA}" type="presParOf" srcId="{F2F8F4D2-A630-4E8F-ABF6-CD41F332CBD6}" destId="{076FE0E7-7EDB-4310-87FD-FD656B3D4454}" srcOrd="0" destOrd="0" presId="urn:microsoft.com/office/officeart/2005/8/layout/orgChart1"/>
    <dgm:cxn modelId="{E6A5745F-B7E6-4701-B0DA-0CBA18F119D8}" type="presParOf" srcId="{076FE0E7-7EDB-4310-87FD-FD656B3D4454}" destId="{1CD3AECC-7847-44DE-B283-C3ED0F8E44C5}" srcOrd="0" destOrd="0" presId="urn:microsoft.com/office/officeart/2005/8/layout/orgChart1"/>
    <dgm:cxn modelId="{F4CC85F3-0A0F-48D4-8465-7F5A019E84CA}" type="presParOf" srcId="{1CD3AECC-7847-44DE-B283-C3ED0F8E44C5}" destId="{402B85D9-B32A-41DB-B41E-2A3A44EC80DB}" srcOrd="0" destOrd="0" presId="urn:microsoft.com/office/officeart/2005/8/layout/orgChart1"/>
    <dgm:cxn modelId="{3BD0570E-A5AA-43C7-B14D-13750609653B}" type="presParOf" srcId="{1CD3AECC-7847-44DE-B283-C3ED0F8E44C5}" destId="{199A0D90-D9DE-4EE6-B366-7D3E9E17804F}" srcOrd="1" destOrd="0" presId="urn:microsoft.com/office/officeart/2005/8/layout/orgChart1"/>
    <dgm:cxn modelId="{6D7C1069-58CC-47CE-870C-D02FE33272DC}" type="presParOf" srcId="{076FE0E7-7EDB-4310-87FD-FD656B3D4454}" destId="{3966B7B1-4FAE-42DF-8C06-70D2CF9CC1D0}" srcOrd="1" destOrd="0" presId="urn:microsoft.com/office/officeart/2005/8/layout/orgChart1"/>
    <dgm:cxn modelId="{72FE8841-BD29-4C98-B0B9-8C43230758DB}" type="presParOf" srcId="{3966B7B1-4FAE-42DF-8C06-70D2CF9CC1D0}" destId="{E43CBB96-FF14-45D5-A751-CAD7B98BF0D0}" srcOrd="0" destOrd="0" presId="urn:microsoft.com/office/officeart/2005/8/layout/orgChart1"/>
    <dgm:cxn modelId="{2E6D77D7-CA3F-43DF-B87C-DA96ACA54EB7}" type="presParOf" srcId="{3966B7B1-4FAE-42DF-8C06-70D2CF9CC1D0}" destId="{3F7B8096-3CB9-4DFC-AF96-594D6656336C}" srcOrd="1" destOrd="0" presId="urn:microsoft.com/office/officeart/2005/8/layout/orgChart1"/>
    <dgm:cxn modelId="{FB936199-ED53-4E7C-8FAC-92DC87D79590}" type="presParOf" srcId="{3F7B8096-3CB9-4DFC-AF96-594D6656336C}" destId="{74AB4B75-0D66-49EF-9C22-A432FC4C21D1}" srcOrd="0" destOrd="0" presId="urn:microsoft.com/office/officeart/2005/8/layout/orgChart1"/>
    <dgm:cxn modelId="{86A6774D-98DD-4A4E-83E1-C1E5DC546954}" type="presParOf" srcId="{74AB4B75-0D66-49EF-9C22-A432FC4C21D1}" destId="{400D6E28-15E9-4009-84EC-0B9F10352D67}" srcOrd="0" destOrd="0" presId="urn:microsoft.com/office/officeart/2005/8/layout/orgChart1"/>
    <dgm:cxn modelId="{9C5BF17F-B0B2-4747-8ABB-02DE6F851101}" type="presParOf" srcId="{74AB4B75-0D66-49EF-9C22-A432FC4C21D1}" destId="{56C60E25-E0E6-47A6-94A3-DAE0CA2808C6}" srcOrd="1" destOrd="0" presId="urn:microsoft.com/office/officeart/2005/8/layout/orgChart1"/>
    <dgm:cxn modelId="{15C517C9-7895-47D9-B601-098C97CA5070}" type="presParOf" srcId="{3F7B8096-3CB9-4DFC-AF96-594D6656336C}" destId="{21672EF2-6273-46C3-8356-7CD1CEA79543}" srcOrd="1" destOrd="0" presId="urn:microsoft.com/office/officeart/2005/8/layout/orgChart1"/>
    <dgm:cxn modelId="{6184E3E1-69E3-47C0-9822-BAA1D8F3E098}" type="presParOf" srcId="{21672EF2-6273-46C3-8356-7CD1CEA79543}" destId="{1BD790D9-59AA-49B6-B7D0-B8864C1835F0}" srcOrd="0" destOrd="0" presId="urn:microsoft.com/office/officeart/2005/8/layout/orgChart1"/>
    <dgm:cxn modelId="{D2AC5A2A-D60D-4DBD-93E5-A168D26B83E1}" type="presParOf" srcId="{21672EF2-6273-46C3-8356-7CD1CEA79543}" destId="{714C8720-6628-43C0-BF68-16DBECFA2B67}" srcOrd="1" destOrd="0" presId="urn:microsoft.com/office/officeart/2005/8/layout/orgChart1"/>
    <dgm:cxn modelId="{855357ED-4E2F-48E5-A725-084671E92935}" type="presParOf" srcId="{714C8720-6628-43C0-BF68-16DBECFA2B67}" destId="{82F79C90-9E0F-4B90-B0EC-75BA3CFA568B}" srcOrd="0" destOrd="0" presId="urn:microsoft.com/office/officeart/2005/8/layout/orgChart1"/>
    <dgm:cxn modelId="{7C231E32-EC3E-4D71-B802-DBBDCFF9AFB0}" type="presParOf" srcId="{82F79C90-9E0F-4B90-B0EC-75BA3CFA568B}" destId="{51F2EDF4-CF50-4E3B-B972-A455A6845075}" srcOrd="0" destOrd="0" presId="urn:microsoft.com/office/officeart/2005/8/layout/orgChart1"/>
    <dgm:cxn modelId="{14EC7F1F-F1E7-468E-A412-B617D66266B0}" type="presParOf" srcId="{82F79C90-9E0F-4B90-B0EC-75BA3CFA568B}" destId="{774779F5-5CD9-40D7-A9D6-B3C17DF9E0B9}" srcOrd="1" destOrd="0" presId="urn:microsoft.com/office/officeart/2005/8/layout/orgChart1"/>
    <dgm:cxn modelId="{860E7092-174E-43DD-B31C-5EC941D9F36B}" type="presParOf" srcId="{714C8720-6628-43C0-BF68-16DBECFA2B67}" destId="{CCF9488E-0E4B-4EAF-B48F-1405F76E122E}" srcOrd="1" destOrd="0" presId="urn:microsoft.com/office/officeart/2005/8/layout/orgChart1"/>
    <dgm:cxn modelId="{BDF16D41-514E-448E-845C-8A79A8227E49}" type="presParOf" srcId="{CCF9488E-0E4B-4EAF-B48F-1405F76E122E}" destId="{9D5218F7-9E66-408B-A90D-79F04E06B60D}" srcOrd="0" destOrd="0" presId="urn:microsoft.com/office/officeart/2005/8/layout/orgChart1"/>
    <dgm:cxn modelId="{FA1A01FF-6DC7-4097-801B-9089831F764E}" type="presParOf" srcId="{CCF9488E-0E4B-4EAF-B48F-1405F76E122E}" destId="{9144BCB1-CC54-4C72-BC03-B6121DE6FFDF}" srcOrd="1" destOrd="0" presId="urn:microsoft.com/office/officeart/2005/8/layout/orgChart1"/>
    <dgm:cxn modelId="{216E4BD3-4073-49F3-B5A7-59422D0E18E0}" type="presParOf" srcId="{9144BCB1-CC54-4C72-BC03-B6121DE6FFDF}" destId="{2675A540-6C6B-4CB9-BDA0-4771B67ED42F}" srcOrd="0" destOrd="0" presId="urn:microsoft.com/office/officeart/2005/8/layout/orgChart1"/>
    <dgm:cxn modelId="{5F8C7ABB-E0E0-4957-AE34-5C4BA04A1EE6}" type="presParOf" srcId="{2675A540-6C6B-4CB9-BDA0-4771B67ED42F}" destId="{CC0752C5-6BD5-44A6-893B-B634049861B9}" srcOrd="0" destOrd="0" presId="urn:microsoft.com/office/officeart/2005/8/layout/orgChart1"/>
    <dgm:cxn modelId="{C4318E29-C92A-4245-8D14-F913E517857D}" type="presParOf" srcId="{2675A540-6C6B-4CB9-BDA0-4771B67ED42F}" destId="{FD90BA6B-2856-4F89-9F27-10958E0CEA11}" srcOrd="1" destOrd="0" presId="urn:microsoft.com/office/officeart/2005/8/layout/orgChart1"/>
    <dgm:cxn modelId="{FBF54853-CB12-4E91-902D-655166C4C32B}" type="presParOf" srcId="{9144BCB1-CC54-4C72-BC03-B6121DE6FFDF}" destId="{D812392C-1BEA-4612-9850-1FB55F0E749C}" srcOrd="1" destOrd="0" presId="urn:microsoft.com/office/officeart/2005/8/layout/orgChart1"/>
    <dgm:cxn modelId="{A91568EC-7F7F-4AF9-891B-DE6E3BDE08B0}" type="presParOf" srcId="{9144BCB1-CC54-4C72-BC03-B6121DE6FFDF}" destId="{CFBB904F-B5BD-4112-9F17-9C39D61732CB}" srcOrd="2" destOrd="0" presId="urn:microsoft.com/office/officeart/2005/8/layout/orgChart1"/>
    <dgm:cxn modelId="{86F92F6A-9973-4545-B81C-D8CE3FC8D77B}" type="presParOf" srcId="{CCF9488E-0E4B-4EAF-B48F-1405F76E122E}" destId="{6161DFAC-593D-4A7B-AD1B-362BFB62FC42}" srcOrd="2" destOrd="0" presId="urn:microsoft.com/office/officeart/2005/8/layout/orgChart1"/>
    <dgm:cxn modelId="{DCC161C9-28BF-4A22-A24B-820C2AC5E3C5}" type="presParOf" srcId="{CCF9488E-0E4B-4EAF-B48F-1405F76E122E}" destId="{F9F09B13-6D1D-4BE3-9783-C5FE28BC2711}" srcOrd="3" destOrd="0" presId="urn:microsoft.com/office/officeart/2005/8/layout/orgChart1"/>
    <dgm:cxn modelId="{AF8D4F67-550B-4FA5-9632-7C043306C51F}" type="presParOf" srcId="{F9F09B13-6D1D-4BE3-9783-C5FE28BC2711}" destId="{1C4249EE-3062-47C0-ABD0-F04A0D193B57}" srcOrd="0" destOrd="0" presId="urn:microsoft.com/office/officeart/2005/8/layout/orgChart1"/>
    <dgm:cxn modelId="{44C14746-C546-49E9-9C51-C7DCC5155AF7}" type="presParOf" srcId="{1C4249EE-3062-47C0-ABD0-F04A0D193B57}" destId="{D4D1A5B1-36E8-41BE-8757-38F454525702}" srcOrd="0" destOrd="0" presId="urn:microsoft.com/office/officeart/2005/8/layout/orgChart1"/>
    <dgm:cxn modelId="{0F4DF01C-ED6C-4A3B-9BDD-37AF3C35D552}" type="presParOf" srcId="{1C4249EE-3062-47C0-ABD0-F04A0D193B57}" destId="{3C616660-1E97-46B8-87E3-D03B57C5BDDE}" srcOrd="1" destOrd="0" presId="urn:microsoft.com/office/officeart/2005/8/layout/orgChart1"/>
    <dgm:cxn modelId="{BF5FE4BB-1588-469A-BD95-16FFBF366ECA}" type="presParOf" srcId="{F9F09B13-6D1D-4BE3-9783-C5FE28BC2711}" destId="{DC03CB7F-8105-48AD-ADF2-0AFD0562B8C5}" srcOrd="1" destOrd="0" presId="urn:microsoft.com/office/officeart/2005/8/layout/orgChart1"/>
    <dgm:cxn modelId="{86F73546-B2B1-406A-8E86-04F495EE4C53}" type="presParOf" srcId="{F9F09B13-6D1D-4BE3-9783-C5FE28BC2711}" destId="{E4028F89-BE7C-48AE-93F9-4B717DCEC74A}" srcOrd="2" destOrd="0" presId="urn:microsoft.com/office/officeart/2005/8/layout/orgChart1"/>
    <dgm:cxn modelId="{2D28D656-C933-4E47-B008-518A1943AED1}" type="presParOf" srcId="{CCF9488E-0E4B-4EAF-B48F-1405F76E122E}" destId="{E6457C75-EAA1-4886-BC57-62FC5D436736}" srcOrd="4" destOrd="0" presId="urn:microsoft.com/office/officeart/2005/8/layout/orgChart1"/>
    <dgm:cxn modelId="{E6B3C8C3-38C6-4698-8ABA-2516CD3C722F}" type="presParOf" srcId="{CCF9488E-0E4B-4EAF-B48F-1405F76E122E}" destId="{F8D18B9B-A0CC-401B-8BBA-E0EB54922B6A}" srcOrd="5" destOrd="0" presId="urn:microsoft.com/office/officeart/2005/8/layout/orgChart1"/>
    <dgm:cxn modelId="{87A4E3E8-EB0A-497A-B72A-EC9B048BC955}" type="presParOf" srcId="{F8D18B9B-A0CC-401B-8BBA-E0EB54922B6A}" destId="{6B1D0A8F-38BF-4670-8D28-0CAF7DA207AD}" srcOrd="0" destOrd="0" presId="urn:microsoft.com/office/officeart/2005/8/layout/orgChart1"/>
    <dgm:cxn modelId="{302A3D0F-9E66-4F23-B587-7BE2CEBA50CF}" type="presParOf" srcId="{6B1D0A8F-38BF-4670-8D28-0CAF7DA207AD}" destId="{A0FB1B22-A6AB-4107-96F7-57FAFA73CBCA}" srcOrd="0" destOrd="0" presId="urn:microsoft.com/office/officeart/2005/8/layout/orgChart1"/>
    <dgm:cxn modelId="{BD6EA267-3FB8-4A84-B8C8-EE16539CF111}" type="presParOf" srcId="{6B1D0A8F-38BF-4670-8D28-0CAF7DA207AD}" destId="{2B092F0E-6133-4B43-B7F6-090A1EF42C46}" srcOrd="1" destOrd="0" presId="urn:microsoft.com/office/officeart/2005/8/layout/orgChart1"/>
    <dgm:cxn modelId="{C42085A4-83C4-4033-92FB-1640A2D784AF}" type="presParOf" srcId="{F8D18B9B-A0CC-401B-8BBA-E0EB54922B6A}" destId="{96917F77-0654-43E8-BC80-49E941C42D59}" srcOrd="1" destOrd="0" presId="urn:microsoft.com/office/officeart/2005/8/layout/orgChart1"/>
    <dgm:cxn modelId="{19FB55E8-30AA-433F-9B05-FFAF2193C481}" type="presParOf" srcId="{F8D18B9B-A0CC-401B-8BBA-E0EB54922B6A}" destId="{DB9E3B3C-5952-4ACC-813D-0827C7C84AE4}" srcOrd="2" destOrd="0" presId="urn:microsoft.com/office/officeart/2005/8/layout/orgChart1"/>
    <dgm:cxn modelId="{0D088265-AA3A-4AC2-9B39-05002DC9C22A}" type="presParOf" srcId="{714C8720-6628-43C0-BF68-16DBECFA2B67}" destId="{920CFC27-1BF7-4AB2-8048-947B3C3A62B7}" srcOrd="2" destOrd="0" presId="urn:microsoft.com/office/officeart/2005/8/layout/orgChart1"/>
    <dgm:cxn modelId="{11DFD286-774C-4D96-8367-FDE9AAFB9D5E}" type="presParOf" srcId="{3F7B8096-3CB9-4DFC-AF96-594D6656336C}" destId="{3A9DC233-833C-4324-BDB1-047A69F11344}" srcOrd="2" destOrd="0" presId="urn:microsoft.com/office/officeart/2005/8/layout/orgChart1"/>
    <dgm:cxn modelId="{0F6FA1A7-3593-4E9F-A8E9-64AB3FEEBA75}" type="presParOf" srcId="{076FE0E7-7EDB-4310-87FD-FD656B3D4454}" destId="{794EB02B-1268-484E-9359-534432D7E454}" srcOrd="2" destOrd="0" presId="urn:microsoft.com/office/officeart/2005/8/layout/orgChart1"/>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88D02A2-7E02-41B8-8385-C46F0D923AEE}" type="doc">
      <dgm:prSet loTypeId="urn:microsoft.com/office/officeart/2005/8/layout/orgChart1" loCatId="hierarchy" qsTypeId="urn:microsoft.com/office/officeart/2005/8/quickstyle/3d3" qsCatId="3D" csTypeId="urn:microsoft.com/office/officeart/2005/8/colors/accent0_1" csCatId="mainScheme" phldr="1"/>
      <dgm:spPr/>
      <dgm:t>
        <a:bodyPr/>
        <a:lstStyle/>
        <a:p>
          <a:endParaRPr lang="en-US"/>
        </a:p>
      </dgm:t>
    </dgm:pt>
    <dgm:pt modelId="{6DA18845-F20A-40A8-AA01-06803F6FC405}">
      <dgm:prSet phldrT="[Text]"/>
      <dgm:spPr/>
      <dgm:t>
        <a:bodyPr/>
        <a:lstStyle/>
        <a:p>
          <a:pPr algn="ctr"/>
          <a:r>
            <a:rPr lang="en-US" b="1"/>
            <a:t>Office of the Assistant State Superintendent in Rehabilitation Services</a:t>
          </a:r>
          <a:endParaRPr lang="en-US"/>
        </a:p>
      </dgm:t>
    </dgm:pt>
    <dgm:pt modelId="{6EAEA111-897F-44C7-86BB-1DE467ED060A}" type="parTrans" cxnId="{B45596B5-B97D-4034-A326-5865CBC37033}">
      <dgm:prSet/>
      <dgm:spPr/>
      <dgm:t>
        <a:bodyPr/>
        <a:lstStyle/>
        <a:p>
          <a:pPr algn="ctr"/>
          <a:endParaRPr lang="en-US"/>
        </a:p>
      </dgm:t>
    </dgm:pt>
    <dgm:pt modelId="{E9E7752C-BACA-4C37-A023-D2765E7107D7}" type="sibTrans" cxnId="{B45596B5-B97D-4034-A326-5865CBC37033}">
      <dgm:prSet/>
      <dgm:spPr/>
      <dgm:t>
        <a:bodyPr/>
        <a:lstStyle/>
        <a:p>
          <a:pPr algn="ctr"/>
          <a:endParaRPr lang="en-US"/>
        </a:p>
      </dgm:t>
    </dgm:pt>
    <dgm:pt modelId="{C9A145BE-FB25-46DA-99BF-83E46C9958BC}">
      <dgm:prSet/>
      <dgm:spPr/>
      <dgm:t>
        <a:bodyPr/>
        <a:lstStyle/>
        <a:p>
          <a:pPr algn="ctr"/>
          <a:r>
            <a:rPr lang="en-US" b="1"/>
            <a:t>Office of Quality &amp; Policy</a:t>
          </a:r>
        </a:p>
      </dgm:t>
    </dgm:pt>
    <dgm:pt modelId="{9C0BC635-536B-4236-9C4F-AD53FDAB8DCB}" type="parTrans" cxnId="{2317EC11-D791-42EC-8ACE-1AD440FBF204}">
      <dgm:prSet/>
      <dgm:spPr/>
      <dgm:t>
        <a:bodyPr/>
        <a:lstStyle/>
        <a:p>
          <a:pPr algn="ctr"/>
          <a:endParaRPr lang="en-US"/>
        </a:p>
      </dgm:t>
    </dgm:pt>
    <dgm:pt modelId="{34A8FA8F-D959-499E-96A2-6EAE45DF2064}" type="sibTrans" cxnId="{2317EC11-D791-42EC-8ACE-1AD440FBF204}">
      <dgm:prSet/>
      <dgm:spPr/>
      <dgm:t>
        <a:bodyPr/>
        <a:lstStyle/>
        <a:p>
          <a:pPr algn="ctr"/>
          <a:endParaRPr lang="en-US"/>
        </a:p>
      </dgm:t>
    </dgm:pt>
    <dgm:pt modelId="{92B97642-E9B6-4B80-9B2C-726824C7B654}">
      <dgm:prSet/>
      <dgm:spPr/>
      <dgm:t>
        <a:bodyPr/>
        <a:lstStyle/>
        <a:p>
          <a:pPr algn="ctr"/>
          <a:r>
            <a:rPr lang="en-US" b="1"/>
            <a:t>Disability Determination Services</a:t>
          </a:r>
        </a:p>
      </dgm:t>
    </dgm:pt>
    <dgm:pt modelId="{99E9C277-DE21-4760-9794-F8D74EBA4737}" type="parTrans" cxnId="{560257D1-EF4C-415F-92C7-63351919C97C}">
      <dgm:prSet/>
      <dgm:spPr/>
      <dgm:t>
        <a:bodyPr/>
        <a:lstStyle/>
        <a:p>
          <a:pPr algn="ctr"/>
          <a:endParaRPr lang="en-US"/>
        </a:p>
      </dgm:t>
    </dgm:pt>
    <dgm:pt modelId="{4BBC1A53-7879-44C7-AD9D-129886BA30A3}" type="sibTrans" cxnId="{560257D1-EF4C-415F-92C7-63351919C97C}">
      <dgm:prSet/>
      <dgm:spPr/>
      <dgm:t>
        <a:bodyPr/>
        <a:lstStyle/>
        <a:p>
          <a:pPr algn="ctr"/>
          <a:endParaRPr lang="en-US"/>
        </a:p>
      </dgm:t>
    </dgm:pt>
    <dgm:pt modelId="{2767C2DA-232B-4B41-B367-038B922184F3}">
      <dgm:prSet/>
      <dgm:spPr/>
      <dgm:t>
        <a:bodyPr/>
        <a:lstStyle/>
        <a:p>
          <a:pPr algn="ctr"/>
          <a:r>
            <a:rPr lang="en-US" b="1"/>
            <a:t>Office of the Workforce &amp; Technology Center</a:t>
          </a:r>
        </a:p>
      </dgm:t>
    </dgm:pt>
    <dgm:pt modelId="{F7FFF2EB-B06C-4DF7-963C-E445598AF125}" type="parTrans" cxnId="{0D300D3C-933E-43EC-9994-6705E48E223D}">
      <dgm:prSet/>
      <dgm:spPr/>
      <dgm:t>
        <a:bodyPr/>
        <a:lstStyle/>
        <a:p>
          <a:pPr algn="ctr"/>
          <a:endParaRPr lang="en-US"/>
        </a:p>
      </dgm:t>
    </dgm:pt>
    <dgm:pt modelId="{2BAC8AF0-2F2F-4508-8D2B-3D6303CDB719}" type="sibTrans" cxnId="{0D300D3C-933E-43EC-9994-6705E48E223D}">
      <dgm:prSet/>
      <dgm:spPr/>
      <dgm:t>
        <a:bodyPr/>
        <a:lstStyle/>
        <a:p>
          <a:pPr algn="ctr"/>
          <a:endParaRPr lang="en-US"/>
        </a:p>
      </dgm:t>
    </dgm:pt>
    <dgm:pt modelId="{4CF3160D-9482-4966-8ACF-40FB68328330}">
      <dgm:prSet/>
      <dgm:spPr/>
      <dgm:t>
        <a:bodyPr/>
        <a:lstStyle/>
        <a:p>
          <a:pPr algn="ctr"/>
          <a:r>
            <a:rPr lang="en-US" b="1"/>
            <a:t>Office of Business Support Services</a:t>
          </a:r>
        </a:p>
      </dgm:t>
    </dgm:pt>
    <dgm:pt modelId="{9313738B-7227-4FC5-9DA5-CD7C54687828}" type="parTrans" cxnId="{E5B73948-F1BA-425B-94D7-C0269EF05BBB}">
      <dgm:prSet/>
      <dgm:spPr/>
      <dgm:t>
        <a:bodyPr/>
        <a:lstStyle/>
        <a:p>
          <a:pPr algn="ctr"/>
          <a:endParaRPr lang="en-US"/>
        </a:p>
      </dgm:t>
    </dgm:pt>
    <dgm:pt modelId="{45ADA85B-2B73-4648-9769-1ABD14BCEDB4}" type="sibTrans" cxnId="{E5B73948-F1BA-425B-94D7-C0269EF05BBB}">
      <dgm:prSet/>
      <dgm:spPr/>
      <dgm:t>
        <a:bodyPr/>
        <a:lstStyle/>
        <a:p>
          <a:pPr algn="ctr"/>
          <a:endParaRPr lang="en-US"/>
        </a:p>
      </dgm:t>
    </dgm:pt>
    <dgm:pt modelId="{2A784AB7-3FCC-455E-9BDF-53131CC18768}">
      <dgm:prSet/>
      <dgm:spPr/>
      <dgm:t>
        <a:bodyPr/>
        <a:lstStyle/>
        <a:p>
          <a:pPr algn="ctr"/>
          <a:r>
            <a:rPr lang="en-US" b="1"/>
            <a:t>Office of Field Services</a:t>
          </a:r>
        </a:p>
      </dgm:t>
    </dgm:pt>
    <dgm:pt modelId="{EF28482C-5B57-4639-83CA-0361F3872CF6}" type="parTrans" cxnId="{2FE86D1B-5F3F-4878-AEDB-173993A7133D}">
      <dgm:prSet/>
      <dgm:spPr/>
      <dgm:t>
        <a:bodyPr/>
        <a:lstStyle/>
        <a:p>
          <a:pPr algn="ctr"/>
          <a:endParaRPr lang="en-US"/>
        </a:p>
      </dgm:t>
    </dgm:pt>
    <dgm:pt modelId="{6E50022D-5858-45F0-95AC-3C06A79BC3F0}" type="sibTrans" cxnId="{2FE86D1B-5F3F-4878-AEDB-173993A7133D}">
      <dgm:prSet/>
      <dgm:spPr/>
      <dgm:t>
        <a:bodyPr/>
        <a:lstStyle/>
        <a:p>
          <a:pPr algn="ctr"/>
          <a:endParaRPr lang="en-US"/>
        </a:p>
      </dgm:t>
    </dgm:pt>
    <dgm:pt modelId="{BC67051E-A298-4E3A-9207-A46E88251741}">
      <dgm:prSet/>
      <dgm:spPr/>
      <dgm:t>
        <a:bodyPr/>
        <a:lstStyle/>
        <a:p>
          <a:pPr algn="ctr"/>
          <a:r>
            <a:rPr lang="en-US" b="1"/>
            <a:t>Office for Blindness &amp; Vision Services </a:t>
          </a:r>
        </a:p>
      </dgm:t>
    </dgm:pt>
    <dgm:pt modelId="{2F255E3F-7E4A-41EC-BFDE-17171F2B1855}" type="parTrans" cxnId="{F2DA0D72-D4D2-4E7B-975F-68B70B385DD6}">
      <dgm:prSet/>
      <dgm:spPr/>
      <dgm:t>
        <a:bodyPr/>
        <a:lstStyle/>
        <a:p>
          <a:pPr algn="ctr"/>
          <a:endParaRPr lang="en-US"/>
        </a:p>
      </dgm:t>
    </dgm:pt>
    <dgm:pt modelId="{5A112F9B-74BC-42C4-9721-69E60DA3C821}" type="sibTrans" cxnId="{F2DA0D72-D4D2-4E7B-975F-68B70B385DD6}">
      <dgm:prSet/>
      <dgm:spPr/>
      <dgm:t>
        <a:bodyPr/>
        <a:lstStyle/>
        <a:p>
          <a:pPr algn="ctr"/>
          <a:endParaRPr lang="en-US"/>
        </a:p>
      </dgm:t>
    </dgm:pt>
    <dgm:pt modelId="{77D04DD2-F763-457A-BFCB-A1D22B36AC33}">
      <dgm:prSet/>
      <dgm:spPr/>
      <dgm:t>
        <a:bodyPr/>
        <a:lstStyle/>
        <a:p>
          <a:pPr algn="ctr"/>
          <a:r>
            <a:rPr lang="en-US" b="1"/>
            <a:t>Administrative Support Unit</a:t>
          </a:r>
        </a:p>
      </dgm:t>
    </dgm:pt>
    <dgm:pt modelId="{2EEAE332-7D0A-40BB-BC9B-DB83F4D47E87}" type="parTrans" cxnId="{5B501C6E-05BD-424F-97AF-B821BB3FE524}">
      <dgm:prSet/>
      <dgm:spPr/>
      <dgm:t>
        <a:bodyPr/>
        <a:lstStyle/>
        <a:p>
          <a:pPr algn="ctr"/>
          <a:endParaRPr lang="en-US"/>
        </a:p>
      </dgm:t>
    </dgm:pt>
    <dgm:pt modelId="{14D8E505-1B21-4263-8AFD-5E05BF584C09}" type="sibTrans" cxnId="{5B501C6E-05BD-424F-97AF-B821BB3FE524}">
      <dgm:prSet/>
      <dgm:spPr/>
      <dgm:t>
        <a:bodyPr/>
        <a:lstStyle/>
        <a:p>
          <a:pPr algn="ctr"/>
          <a:endParaRPr lang="en-US"/>
        </a:p>
      </dgm:t>
    </dgm:pt>
    <dgm:pt modelId="{BBFB2C3E-84C0-4DA1-876C-3B8F77215A7F}">
      <dgm:prSet/>
      <dgm:spPr/>
      <dgm:t>
        <a:bodyPr/>
        <a:lstStyle/>
        <a:p>
          <a:pPr algn="ctr"/>
          <a:r>
            <a:rPr lang="en-US" b="1"/>
            <a:t>Claims Adjudication Unit</a:t>
          </a:r>
        </a:p>
      </dgm:t>
    </dgm:pt>
    <dgm:pt modelId="{0FE953DF-AEC5-49D9-97DD-F31860A3FA70}" type="parTrans" cxnId="{C9CD93DC-F2DC-4A32-9093-F7CCC8814176}">
      <dgm:prSet/>
      <dgm:spPr/>
      <dgm:t>
        <a:bodyPr/>
        <a:lstStyle/>
        <a:p>
          <a:pPr algn="ctr"/>
          <a:endParaRPr lang="en-US"/>
        </a:p>
      </dgm:t>
    </dgm:pt>
    <dgm:pt modelId="{B226C534-6780-4DB9-B1D0-6916935405A8}" type="sibTrans" cxnId="{C9CD93DC-F2DC-4A32-9093-F7CCC8814176}">
      <dgm:prSet/>
      <dgm:spPr/>
      <dgm:t>
        <a:bodyPr/>
        <a:lstStyle/>
        <a:p>
          <a:pPr algn="ctr"/>
          <a:endParaRPr lang="en-US"/>
        </a:p>
      </dgm:t>
    </dgm:pt>
    <dgm:pt modelId="{19B06AF5-05A2-4C2D-A537-BE07E1EB058F}">
      <dgm:prSet/>
      <dgm:spPr/>
      <dgm:t>
        <a:bodyPr/>
        <a:lstStyle/>
        <a:p>
          <a:pPr algn="ctr"/>
          <a:r>
            <a:rPr lang="en-US" b="1"/>
            <a:t>Disability Hearing Unit</a:t>
          </a:r>
        </a:p>
      </dgm:t>
    </dgm:pt>
    <dgm:pt modelId="{F5DF625E-1A91-4E71-9769-5B306F87AC3D}" type="parTrans" cxnId="{E212B6FD-F70E-4806-B323-138E8155F535}">
      <dgm:prSet/>
      <dgm:spPr/>
      <dgm:t>
        <a:bodyPr/>
        <a:lstStyle/>
        <a:p>
          <a:pPr algn="ctr"/>
          <a:endParaRPr lang="en-US"/>
        </a:p>
      </dgm:t>
    </dgm:pt>
    <dgm:pt modelId="{6A8B8880-F2EF-42B8-B360-ED65E002970B}" type="sibTrans" cxnId="{E212B6FD-F70E-4806-B323-138E8155F535}">
      <dgm:prSet/>
      <dgm:spPr/>
      <dgm:t>
        <a:bodyPr/>
        <a:lstStyle/>
        <a:p>
          <a:pPr algn="ctr"/>
          <a:endParaRPr lang="en-US"/>
        </a:p>
      </dgm:t>
    </dgm:pt>
    <dgm:pt modelId="{5F1174DF-D6F9-413B-90EF-FDC53DAC6AAA}">
      <dgm:prSet/>
      <dgm:spPr/>
      <dgm:t>
        <a:bodyPr/>
        <a:lstStyle/>
        <a:p>
          <a:pPr algn="ctr"/>
          <a:r>
            <a:rPr lang="en-US" b="1"/>
            <a:t>Region 1</a:t>
          </a:r>
          <a:br>
            <a:rPr lang="en-US" b="1"/>
          </a:br>
          <a:r>
            <a:rPr lang="en-US" b="1"/>
            <a:t>Western Maryland</a:t>
          </a:r>
        </a:p>
      </dgm:t>
    </dgm:pt>
    <dgm:pt modelId="{29A1CDB9-FAD2-4046-A0DC-951409DA7721}" type="parTrans" cxnId="{C5C0D826-FA3C-4997-8B06-7C5F89B683F3}">
      <dgm:prSet/>
      <dgm:spPr/>
      <dgm:t>
        <a:bodyPr/>
        <a:lstStyle/>
        <a:p>
          <a:pPr algn="ctr"/>
          <a:endParaRPr lang="en-US"/>
        </a:p>
      </dgm:t>
    </dgm:pt>
    <dgm:pt modelId="{BE06286B-D97E-4ED3-A9C7-8A355135B4C5}" type="sibTrans" cxnId="{C5C0D826-FA3C-4997-8B06-7C5F89B683F3}">
      <dgm:prSet/>
      <dgm:spPr/>
      <dgm:t>
        <a:bodyPr/>
        <a:lstStyle/>
        <a:p>
          <a:pPr algn="ctr"/>
          <a:endParaRPr lang="en-US"/>
        </a:p>
      </dgm:t>
    </dgm:pt>
    <dgm:pt modelId="{62672A90-7CAF-49AD-B268-A3DB02F76757}">
      <dgm:prSet/>
      <dgm:spPr/>
      <dgm:t>
        <a:bodyPr/>
        <a:lstStyle/>
        <a:p>
          <a:pPr algn="ctr"/>
          <a:r>
            <a:rPr lang="en-US" b="1"/>
            <a:t>Region 2</a:t>
          </a:r>
          <a:br>
            <a:rPr lang="en-US" b="1"/>
          </a:br>
          <a:r>
            <a:rPr lang="en-US" b="1"/>
            <a:t>Southern Maryland &amp; Lower Eastern Shore</a:t>
          </a:r>
        </a:p>
      </dgm:t>
    </dgm:pt>
    <dgm:pt modelId="{B7007B2D-A53A-4C5D-9477-857CB7080FED}" type="parTrans" cxnId="{44FA9782-85A4-435A-BB9B-3B6B54E20EC3}">
      <dgm:prSet/>
      <dgm:spPr/>
      <dgm:t>
        <a:bodyPr/>
        <a:lstStyle/>
        <a:p>
          <a:pPr algn="ctr"/>
          <a:endParaRPr lang="en-US"/>
        </a:p>
      </dgm:t>
    </dgm:pt>
    <dgm:pt modelId="{F8A68B65-ED38-4200-804E-F8CEBA50E4B4}" type="sibTrans" cxnId="{44FA9782-85A4-435A-BB9B-3B6B54E20EC3}">
      <dgm:prSet/>
      <dgm:spPr/>
      <dgm:t>
        <a:bodyPr/>
        <a:lstStyle/>
        <a:p>
          <a:pPr algn="ctr"/>
          <a:endParaRPr lang="en-US"/>
        </a:p>
      </dgm:t>
    </dgm:pt>
    <dgm:pt modelId="{BF924850-AE25-4F84-AA7C-F17560C10E9C}">
      <dgm:prSet/>
      <dgm:spPr/>
      <dgm:t>
        <a:bodyPr/>
        <a:lstStyle/>
        <a:p>
          <a:pPr algn="ctr"/>
          <a:r>
            <a:rPr lang="en-US" b="1"/>
            <a:t>Region 3</a:t>
          </a:r>
          <a:br>
            <a:rPr lang="en-US" b="1"/>
          </a:br>
          <a:r>
            <a:rPr lang="en-US" b="1"/>
            <a:t>Baltimore City</a:t>
          </a:r>
        </a:p>
      </dgm:t>
    </dgm:pt>
    <dgm:pt modelId="{7DEB7E7F-BBCC-4F86-BE6D-27BD9A85811E}" type="parTrans" cxnId="{AD755E33-9C05-4438-BDE0-35153D178F52}">
      <dgm:prSet/>
      <dgm:spPr/>
      <dgm:t>
        <a:bodyPr/>
        <a:lstStyle/>
        <a:p>
          <a:pPr algn="ctr"/>
          <a:endParaRPr lang="en-US"/>
        </a:p>
      </dgm:t>
    </dgm:pt>
    <dgm:pt modelId="{B1392607-17A0-4209-ACCF-895DD6112EB0}" type="sibTrans" cxnId="{AD755E33-9C05-4438-BDE0-35153D178F52}">
      <dgm:prSet/>
      <dgm:spPr/>
      <dgm:t>
        <a:bodyPr/>
        <a:lstStyle/>
        <a:p>
          <a:pPr algn="ctr"/>
          <a:endParaRPr lang="en-US"/>
        </a:p>
      </dgm:t>
    </dgm:pt>
    <dgm:pt modelId="{F0189A45-2E34-4709-A1C3-805917C713DC}">
      <dgm:prSet/>
      <dgm:spPr/>
      <dgm:t>
        <a:bodyPr/>
        <a:lstStyle/>
        <a:p>
          <a:pPr algn="ctr"/>
          <a:r>
            <a:rPr lang="en-US" b="1"/>
            <a:t>Region 5</a:t>
          </a:r>
          <a:br>
            <a:rPr lang="en-US" b="1"/>
          </a:br>
          <a:r>
            <a:rPr lang="en-US" b="1"/>
            <a:t>Central Maryland &amp; Upper Shore</a:t>
          </a:r>
        </a:p>
      </dgm:t>
    </dgm:pt>
    <dgm:pt modelId="{97756902-2B32-4177-B2C9-37BACF1397C9}" type="parTrans" cxnId="{1C732849-55D5-44CD-B5E0-5653F54C8311}">
      <dgm:prSet/>
      <dgm:spPr/>
      <dgm:t>
        <a:bodyPr/>
        <a:lstStyle/>
        <a:p>
          <a:pPr algn="ctr"/>
          <a:endParaRPr lang="en-US"/>
        </a:p>
      </dgm:t>
    </dgm:pt>
    <dgm:pt modelId="{C7F4B941-CD8E-4D6E-8AF3-63785356D677}" type="sibTrans" cxnId="{1C732849-55D5-44CD-B5E0-5653F54C8311}">
      <dgm:prSet/>
      <dgm:spPr/>
      <dgm:t>
        <a:bodyPr/>
        <a:lstStyle/>
        <a:p>
          <a:pPr algn="ctr"/>
          <a:endParaRPr lang="en-US"/>
        </a:p>
      </dgm:t>
    </dgm:pt>
    <dgm:pt modelId="{6E962D37-3D4B-4306-8156-A318D41B4699}">
      <dgm:prSet/>
      <dgm:spPr/>
      <dgm:t>
        <a:bodyPr/>
        <a:lstStyle/>
        <a:p>
          <a:pPr algn="ctr"/>
          <a:r>
            <a:rPr lang="en-US" b="1"/>
            <a:t>Region 6</a:t>
          </a:r>
          <a:br>
            <a:rPr lang="en-US" b="1"/>
          </a:br>
          <a:r>
            <a:rPr lang="en-US" b="1"/>
            <a:t>Washington Suburbs</a:t>
          </a:r>
        </a:p>
      </dgm:t>
    </dgm:pt>
    <dgm:pt modelId="{3D4B958B-9A57-4A20-8959-962ED5565CD6}" type="parTrans" cxnId="{57733880-2BC7-4797-B421-FDDFDD39C44E}">
      <dgm:prSet/>
      <dgm:spPr/>
      <dgm:t>
        <a:bodyPr/>
        <a:lstStyle/>
        <a:p>
          <a:pPr algn="ctr"/>
          <a:endParaRPr lang="en-US"/>
        </a:p>
      </dgm:t>
    </dgm:pt>
    <dgm:pt modelId="{5FDB504A-3F96-48BD-92D0-04BD36F6AD88}" type="sibTrans" cxnId="{57733880-2BC7-4797-B421-FDDFDD39C44E}">
      <dgm:prSet/>
      <dgm:spPr/>
      <dgm:t>
        <a:bodyPr/>
        <a:lstStyle/>
        <a:p>
          <a:pPr algn="ctr"/>
          <a:endParaRPr lang="en-US"/>
        </a:p>
      </dgm:t>
    </dgm:pt>
    <dgm:pt modelId="{3F615075-B70E-4323-866E-35854340C70C}">
      <dgm:prSet/>
      <dgm:spPr/>
      <dgm:t>
        <a:bodyPr/>
        <a:lstStyle/>
        <a:p>
          <a:pPr algn="ctr"/>
          <a:r>
            <a:rPr lang="en-US" b="1"/>
            <a:t>Technical Assistance Branch</a:t>
          </a:r>
        </a:p>
      </dgm:t>
    </dgm:pt>
    <dgm:pt modelId="{921E2BAE-8ECD-4D18-BCE7-7A0A493CF81B}" type="parTrans" cxnId="{58DD0B22-DB86-4BCA-9683-614547FF484D}">
      <dgm:prSet/>
      <dgm:spPr/>
      <dgm:t>
        <a:bodyPr/>
        <a:lstStyle/>
        <a:p>
          <a:pPr algn="ctr"/>
          <a:endParaRPr lang="en-US"/>
        </a:p>
      </dgm:t>
    </dgm:pt>
    <dgm:pt modelId="{215A2490-34D2-4AE3-9989-5EC52E1431E8}" type="sibTrans" cxnId="{58DD0B22-DB86-4BCA-9683-614547FF484D}">
      <dgm:prSet/>
      <dgm:spPr/>
      <dgm:t>
        <a:bodyPr/>
        <a:lstStyle/>
        <a:p>
          <a:pPr algn="ctr"/>
          <a:endParaRPr lang="en-US"/>
        </a:p>
      </dgm:t>
    </dgm:pt>
    <dgm:pt modelId="{7B409E53-1886-4EC2-9E74-B45776421CC6}">
      <dgm:prSet/>
      <dgm:spPr/>
      <dgm:t>
        <a:bodyPr/>
        <a:lstStyle/>
        <a:p>
          <a:pPr algn="ctr"/>
          <a:r>
            <a:rPr lang="en-US" b="1"/>
            <a:t>Workforce Services</a:t>
          </a:r>
        </a:p>
      </dgm:t>
    </dgm:pt>
    <dgm:pt modelId="{CFFDB943-084B-416E-9CF0-CFA0B744550E}" type="parTrans" cxnId="{FDD254D1-CD2A-4B4D-8018-92110E637E6D}">
      <dgm:prSet/>
      <dgm:spPr/>
      <dgm:t>
        <a:bodyPr/>
        <a:lstStyle/>
        <a:p>
          <a:pPr algn="ctr"/>
          <a:endParaRPr lang="en-US"/>
        </a:p>
      </dgm:t>
    </dgm:pt>
    <dgm:pt modelId="{A69B7DB6-1130-4B50-B3CB-FE4E5E48EACE}" type="sibTrans" cxnId="{FDD254D1-CD2A-4B4D-8018-92110E637E6D}">
      <dgm:prSet/>
      <dgm:spPr/>
      <dgm:t>
        <a:bodyPr/>
        <a:lstStyle/>
        <a:p>
          <a:pPr algn="ctr"/>
          <a:endParaRPr lang="en-US"/>
        </a:p>
      </dgm:t>
    </dgm:pt>
    <dgm:pt modelId="{8D71E889-F3F5-445E-B63F-42431830C90B}">
      <dgm:prSet/>
      <dgm:spPr/>
      <dgm:t>
        <a:bodyPr/>
        <a:lstStyle/>
        <a:p>
          <a:pPr algn="ctr"/>
          <a:r>
            <a:rPr lang="en-US" b="1"/>
            <a:t>Health &amp; Wellness Services</a:t>
          </a:r>
        </a:p>
      </dgm:t>
    </dgm:pt>
    <dgm:pt modelId="{47D4B632-527B-4605-AB24-A18BDCA61843}" type="parTrans" cxnId="{E30F80A0-EA9C-403A-824A-9BCFC7E1C9A1}">
      <dgm:prSet/>
      <dgm:spPr/>
      <dgm:t>
        <a:bodyPr/>
        <a:lstStyle/>
        <a:p>
          <a:pPr algn="ctr"/>
          <a:endParaRPr lang="en-US"/>
        </a:p>
      </dgm:t>
    </dgm:pt>
    <dgm:pt modelId="{E7580286-0426-45C5-B2BA-DB1E7E93EE0C}" type="sibTrans" cxnId="{E30F80A0-EA9C-403A-824A-9BCFC7E1C9A1}">
      <dgm:prSet/>
      <dgm:spPr/>
      <dgm:t>
        <a:bodyPr/>
        <a:lstStyle/>
        <a:p>
          <a:pPr algn="ctr"/>
          <a:endParaRPr lang="en-US"/>
        </a:p>
      </dgm:t>
    </dgm:pt>
    <dgm:pt modelId="{A102C5B0-E9E0-4753-9229-8F491AB51C29}">
      <dgm:prSet/>
      <dgm:spPr/>
      <dgm:t>
        <a:bodyPr/>
        <a:lstStyle/>
        <a:p>
          <a:pPr algn="ctr"/>
          <a:r>
            <a:rPr lang="en-US" b="1"/>
            <a:t>Rehabilitation Technology Services</a:t>
          </a:r>
        </a:p>
      </dgm:t>
    </dgm:pt>
    <dgm:pt modelId="{FB6E8F28-AB76-4ABF-B9CF-F59CB9737650}" type="parTrans" cxnId="{45FA5E11-DB35-43BC-A245-D21E0BBB2FC2}">
      <dgm:prSet/>
      <dgm:spPr/>
      <dgm:t>
        <a:bodyPr/>
        <a:lstStyle/>
        <a:p>
          <a:pPr algn="ctr"/>
          <a:endParaRPr lang="en-US"/>
        </a:p>
      </dgm:t>
    </dgm:pt>
    <dgm:pt modelId="{C35F00D0-7BF5-4108-A113-EFB1D3CB604F}" type="sibTrans" cxnId="{45FA5E11-DB35-43BC-A245-D21E0BBB2FC2}">
      <dgm:prSet/>
      <dgm:spPr/>
      <dgm:t>
        <a:bodyPr/>
        <a:lstStyle/>
        <a:p>
          <a:pPr algn="ctr"/>
          <a:endParaRPr lang="en-US"/>
        </a:p>
      </dgm:t>
    </dgm:pt>
    <dgm:pt modelId="{084116D5-ACDB-413D-9197-9E3745714267}">
      <dgm:prSet/>
      <dgm:spPr/>
      <dgm:t>
        <a:bodyPr/>
        <a:lstStyle/>
        <a:p>
          <a:pPr algn="ctr"/>
          <a:r>
            <a:rPr lang="en-US" b="1"/>
            <a:t>Administrative Services</a:t>
          </a:r>
        </a:p>
      </dgm:t>
    </dgm:pt>
    <dgm:pt modelId="{E6050EF8-2B32-4233-ABBC-B865C91E054E}" type="parTrans" cxnId="{08DC9836-7F8E-4909-B82E-1E1A86580FD7}">
      <dgm:prSet/>
      <dgm:spPr/>
      <dgm:t>
        <a:bodyPr/>
        <a:lstStyle/>
        <a:p>
          <a:pPr algn="ctr"/>
          <a:endParaRPr lang="en-US"/>
        </a:p>
      </dgm:t>
    </dgm:pt>
    <dgm:pt modelId="{40ADF063-7513-4EBA-89D8-BB98D01B361F}" type="sibTrans" cxnId="{08DC9836-7F8E-4909-B82E-1E1A86580FD7}">
      <dgm:prSet/>
      <dgm:spPr/>
      <dgm:t>
        <a:bodyPr/>
        <a:lstStyle/>
        <a:p>
          <a:pPr algn="ctr"/>
          <a:endParaRPr lang="en-US"/>
        </a:p>
      </dgm:t>
    </dgm:pt>
    <dgm:pt modelId="{7EC7984B-535E-43E5-AF63-879857FF3A93}">
      <dgm:prSet/>
      <dgm:spPr/>
      <dgm:t>
        <a:bodyPr/>
        <a:lstStyle/>
        <a:p>
          <a:pPr algn="ctr"/>
          <a:r>
            <a:rPr lang="en-US" b="1"/>
            <a:t>District Offices</a:t>
          </a:r>
        </a:p>
      </dgm:t>
    </dgm:pt>
    <dgm:pt modelId="{D4FD9C6F-4591-423B-A014-EE5C7D38C75B}" type="parTrans" cxnId="{951E3BAA-C5E9-4E2A-B5F4-E3DC1C2C55AC}">
      <dgm:prSet/>
      <dgm:spPr/>
      <dgm:t>
        <a:bodyPr/>
        <a:lstStyle/>
        <a:p>
          <a:pPr algn="ctr"/>
          <a:endParaRPr lang="en-US"/>
        </a:p>
      </dgm:t>
    </dgm:pt>
    <dgm:pt modelId="{B3D9727C-B195-426A-AE77-32CEE9731B1A}" type="sibTrans" cxnId="{951E3BAA-C5E9-4E2A-B5F4-E3DC1C2C55AC}">
      <dgm:prSet/>
      <dgm:spPr/>
      <dgm:t>
        <a:bodyPr/>
        <a:lstStyle/>
        <a:p>
          <a:pPr algn="ctr"/>
          <a:endParaRPr lang="en-US"/>
        </a:p>
      </dgm:t>
    </dgm:pt>
    <dgm:pt modelId="{04342B47-669E-4685-907E-C1EB04B02899}">
      <dgm:prSet/>
      <dgm:spPr/>
      <dgm:t>
        <a:bodyPr/>
        <a:lstStyle/>
        <a:p>
          <a:pPr algn="ctr"/>
          <a:r>
            <a:rPr lang="en-US" b="1"/>
            <a:t>Maryland Business Enterprise Program for the Blind</a:t>
          </a:r>
        </a:p>
      </dgm:t>
    </dgm:pt>
    <dgm:pt modelId="{9BA4A2A6-59AE-40AD-B6E3-78963E194551}" type="parTrans" cxnId="{2765A006-F734-4F8D-9269-4C9547336633}">
      <dgm:prSet/>
      <dgm:spPr/>
      <dgm:t>
        <a:bodyPr/>
        <a:lstStyle/>
        <a:p>
          <a:pPr algn="ctr"/>
          <a:endParaRPr lang="en-US"/>
        </a:p>
      </dgm:t>
    </dgm:pt>
    <dgm:pt modelId="{C27B98E7-3414-487B-BC75-F3A8FA653547}" type="sibTrans" cxnId="{2765A006-F734-4F8D-9269-4C9547336633}">
      <dgm:prSet/>
      <dgm:spPr/>
      <dgm:t>
        <a:bodyPr/>
        <a:lstStyle/>
        <a:p>
          <a:pPr algn="ctr"/>
          <a:endParaRPr lang="en-US"/>
        </a:p>
      </dgm:t>
    </dgm:pt>
    <dgm:pt modelId="{ED98E2D3-C9BD-45A1-9DA2-27A597323A64}">
      <dgm:prSet/>
      <dgm:spPr/>
      <dgm:t>
        <a:bodyPr/>
        <a:lstStyle/>
        <a:p>
          <a:pPr algn="ctr"/>
          <a:r>
            <a:rPr lang="en-US" b="1"/>
            <a:t>OBVS at WTC</a:t>
          </a:r>
        </a:p>
      </dgm:t>
    </dgm:pt>
    <dgm:pt modelId="{1F0922F6-1706-4037-AB5E-AEBFDAEACCE6}" type="parTrans" cxnId="{68699E3C-C5CE-4323-A3D4-60274B1DFF6F}">
      <dgm:prSet/>
      <dgm:spPr/>
      <dgm:t>
        <a:bodyPr/>
        <a:lstStyle/>
        <a:p>
          <a:pPr algn="ctr"/>
          <a:endParaRPr lang="en-US"/>
        </a:p>
      </dgm:t>
    </dgm:pt>
    <dgm:pt modelId="{0D7F7A19-01E6-4B31-8028-783BFE270D1F}" type="sibTrans" cxnId="{68699E3C-C5CE-4323-A3D4-60274B1DFF6F}">
      <dgm:prSet/>
      <dgm:spPr/>
      <dgm:t>
        <a:bodyPr/>
        <a:lstStyle/>
        <a:p>
          <a:pPr algn="ctr"/>
          <a:endParaRPr lang="en-US"/>
        </a:p>
      </dgm:t>
    </dgm:pt>
    <dgm:pt modelId="{979DE948-C316-473A-81C4-042FAB830556}">
      <dgm:prSet/>
      <dgm:spPr/>
      <dgm:t>
        <a:bodyPr/>
        <a:lstStyle/>
        <a:p>
          <a:pPr algn="ctr"/>
          <a:r>
            <a:rPr lang="en-US" b="1"/>
            <a:t>Management Information Services</a:t>
          </a:r>
        </a:p>
      </dgm:t>
    </dgm:pt>
    <dgm:pt modelId="{59B1D0E5-F872-414A-A1AA-F171A1657283}" type="parTrans" cxnId="{D431ADF7-CC4E-4E16-A5AC-FA7C359C1CAE}">
      <dgm:prSet/>
      <dgm:spPr/>
      <dgm:t>
        <a:bodyPr/>
        <a:lstStyle/>
        <a:p>
          <a:pPr algn="ctr"/>
          <a:endParaRPr lang="en-US"/>
        </a:p>
      </dgm:t>
    </dgm:pt>
    <dgm:pt modelId="{D8377D20-C99C-435C-A34A-43C3F91F0D15}" type="sibTrans" cxnId="{D431ADF7-CC4E-4E16-A5AC-FA7C359C1CAE}">
      <dgm:prSet/>
      <dgm:spPr/>
      <dgm:t>
        <a:bodyPr/>
        <a:lstStyle/>
        <a:p>
          <a:pPr algn="ctr"/>
          <a:endParaRPr lang="en-US"/>
        </a:p>
      </dgm:t>
    </dgm:pt>
    <dgm:pt modelId="{60C92B45-9F30-45BD-A70C-7C1EEB258DB6}">
      <dgm:prSet/>
      <dgm:spPr/>
      <dgm:t>
        <a:bodyPr/>
        <a:lstStyle/>
        <a:p>
          <a:pPr algn="ctr"/>
          <a:r>
            <a:rPr lang="en-US" b="1"/>
            <a:t>Facilities </a:t>
          </a:r>
          <a:br>
            <a:rPr lang="en-US" b="1"/>
          </a:br>
          <a:r>
            <a:rPr lang="en-US" b="1"/>
            <a:t>Operations</a:t>
          </a:r>
        </a:p>
      </dgm:t>
    </dgm:pt>
    <dgm:pt modelId="{FF843502-8376-4D91-AA47-756054CC4849}" type="parTrans" cxnId="{D3CB2628-6BB2-4A3C-8917-403E2BE7671F}">
      <dgm:prSet/>
      <dgm:spPr/>
      <dgm:t>
        <a:bodyPr/>
        <a:lstStyle/>
        <a:p>
          <a:pPr algn="ctr"/>
          <a:endParaRPr lang="en-US"/>
        </a:p>
      </dgm:t>
    </dgm:pt>
    <dgm:pt modelId="{4CCDAAD5-1C2D-4187-9BFA-24480C4E38D1}" type="sibTrans" cxnId="{D3CB2628-6BB2-4A3C-8917-403E2BE7671F}">
      <dgm:prSet/>
      <dgm:spPr/>
      <dgm:t>
        <a:bodyPr/>
        <a:lstStyle/>
        <a:p>
          <a:pPr algn="ctr"/>
          <a:endParaRPr lang="en-US"/>
        </a:p>
      </dgm:t>
    </dgm:pt>
    <dgm:pt modelId="{1AD5A604-EAB9-45F4-B11E-04F248519A53}">
      <dgm:prSet/>
      <dgm:spPr/>
      <dgm:t>
        <a:bodyPr/>
        <a:lstStyle/>
        <a:p>
          <a:pPr algn="ctr"/>
          <a:r>
            <a:rPr lang="en-US" b="1"/>
            <a:t>Fiscal Operations</a:t>
          </a:r>
        </a:p>
      </dgm:t>
    </dgm:pt>
    <dgm:pt modelId="{7F260F0D-F43A-4037-A96E-E7F2C93E1A69}" type="parTrans" cxnId="{A5730486-C851-49C8-ADFA-A7851433B2CA}">
      <dgm:prSet/>
      <dgm:spPr/>
      <dgm:t>
        <a:bodyPr/>
        <a:lstStyle/>
        <a:p>
          <a:pPr algn="ctr"/>
          <a:endParaRPr lang="en-US"/>
        </a:p>
      </dgm:t>
    </dgm:pt>
    <dgm:pt modelId="{7808149D-4ED1-48F4-ADFD-5C7AA75DF67B}" type="sibTrans" cxnId="{A5730486-C851-49C8-ADFA-A7851433B2CA}">
      <dgm:prSet/>
      <dgm:spPr/>
      <dgm:t>
        <a:bodyPr/>
        <a:lstStyle/>
        <a:p>
          <a:pPr algn="ctr"/>
          <a:endParaRPr lang="en-US"/>
        </a:p>
      </dgm:t>
    </dgm:pt>
    <dgm:pt modelId="{3DE1DD34-0103-46D9-83A5-75C95ACD0B45}">
      <dgm:prSet/>
      <dgm:spPr/>
      <dgm:t>
        <a:bodyPr/>
        <a:lstStyle/>
        <a:p>
          <a:pPr algn="ctr"/>
          <a:r>
            <a:rPr lang="en-US" b="1"/>
            <a:t>Human Resources</a:t>
          </a:r>
        </a:p>
      </dgm:t>
    </dgm:pt>
    <dgm:pt modelId="{E8C08207-CC9E-4607-B926-DD6D6CB21271}" type="parTrans" cxnId="{F53D3165-491E-4D92-B939-E86694835BA2}">
      <dgm:prSet/>
      <dgm:spPr/>
      <dgm:t>
        <a:bodyPr/>
        <a:lstStyle/>
        <a:p>
          <a:pPr algn="ctr"/>
          <a:endParaRPr lang="en-US"/>
        </a:p>
      </dgm:t>
    </dgm:pt>
    <dgm:pt modelId="{E60FA488-86E7-4289-A380-BF4499F45211}" type="sibTrans" cxnId="{F53D3165-491E-4D92-B939-E86694835BA2}">
      <dgm:prSet/>
      <dgm:spPr/>
      <dgm:t>
        <a:bodyPr/>
        <a:lstStyle/>
        <a:p>
          <a:pPr algn="ctr"/>
          <a:endParaRPr lang="en-US"/>
        </a:p>
      </dgm:t>
    </dgm:pt>
    <dgm:pt modelId="{E9409591-A774-4EEA-B246-455403D01085}">
      <dgm:prSet/>
      <dgm:spPr/>
      <dgm:t>
        <a:bodyPr/>
        <a:lstStyle/>
        <a:p>
          <a:pPr algn="ctr"/>
          <a:r>
            <a:rPr lang="en-US" b="1"/>
            <a:t>Program Income</a:t>
          </a:r>
        </a:p>
      </dgm:t>
    </dgm:pt>
    <dgm:pt modelId="{941446B4-8166-4D3D-8EB3-CA5AA6EBE792}" type="parTrans" cxnId="{366370B8-F3EE-40EC-A763-1B3F404CA857}">
      <dgm:prSet/>
      <dgm:spPr/>
      <dgm:t>
        <a:bodyPr/>
        <a:lstStyle/>
        <a:p>
          <a:pPr algn="ctr"/>
          <a:endParaRPr lang="en-US"/>
        </a:p>
      </dgm:t>
    </dgm:pt>
    <dgm:pt modelId="{D53FF551-BB17-4C45-B186-9821FD76BF47}" type="sibTrans" cxnId="{366370B8-F3EE-40EC-A763-1B3F404CA857}">
      <dgm:prSet/>
      <dgm:spPr/>
      <dgm:t>
        <a:bodyPr/>
        <a:lstStyle/>
        <a:p>
          <a:pPr algn="ctr"/>
          <a:endParaRPr lang="en-US"/>
        </a:p>
      </dgm:t>
    </dgm:pt>
    <dgm:pt modelId="{498EEFBB-97A2-4BBE-B143-127D952913BB}">
      <dgm:prSet/>
      <dgm:spPr/>
      <dgm:t>
        <a:bodyPr/>
        <a:lstStyle/>
        <a:p>
          <a:pPr algn="ctr"/>
          <a:r>
            <a:rPr lang="en-US" b="1"/>
            <a:t>Grants </a:t>
          </a:r>
          <a:br>
            <a:rPr lang="en-US" b="1"/>
          </a:br>
          <a:r>
            <a:rPr lang="en-US" b="1"/>
            <a:t>Management</a:t>
          </a:r>
        </a:p>
      </dgm:t>
    </dgm:pt>
    <dgm:pt modelId="{52417831-ED56-41F1-B23B-DBE680EE0579}" type="parTrans" cxnId="{3D6D4847-7A70-45A5-BD6E-8697AE59147F}">
      <dgm:prSet/>
      <dgm:spPr/>
      <dgm:t>
        <a:bodyPr/>
        <a:lstStyle/>
        <a:p>
          <a:pPr algn="ctr"/>
          <a:endParaRPr lang="en-US"/>
        </a:p>
      </dgm:t>
    </dgm:pt>
    <dgm:pt modelId="{E74721B6-5567-47B7-A118-988E9CA00929}" type="sibTrans" cxnId="{3D6D4847-7A70-45A5-BD6E-8697AE59147F}">
      <dgm:prSet/>
      <dgm:spPr/>
      <dgm:t>
        <a:bodyPr/>
        <a:lstStyle/>
        <a:p>
          <a:pPr algn="ctr"/>
          <a:endParaRPr lang="en-US"/>
        </a:p>
      </dgm:t>
    </dgm:pt>
    <dgm:pt modelId="{F9C1462D-2159-4D39-ADDB-75BAF44E5F68}">
      <dgm:prSet/>
      <dgm:spPr/>
      <dgm:t>
        <a:bodyPr/>
        <a:lstStyle/>
        <a:p>
          <a:pPr algn="ctr"/>
          <a:r>
            <a:rPr lang="en-US" b="1"/>
            <a:t>Client Assistance Program</a:t>
          </a:r>
        </a:p>
      </dgm:t>
    </dgm:pt>
    <dgm:pt modelId="{76EF9580-831D-46A4-8E5A-4B54A6E9056C}" type="parTrans" cxnId="{712EB8A1-4218-4D66-9447-F611092BF164}">
      <dgm:prSet/>
      <dgm:spPr/>
      <dgm:t>
        <a:bodyPr/>
        <a:lstStyle/>
        <a:p>
          <a:pPr algn="ctr"/>
          <a:endParaRPr lang="en-US"/>
        </a:p>
      </dgm:t>
    </dgm:pt>
    <dgm:pt modelId="{C9CA272E-9A20-47CC-8675-875626F0BFDF}" type="sibTrans" cxnId="{712EB8A1-4218-4D66-9447-F611092BF164}">
      <dgm:prSet/>
      <dgm:spPr/>
      <dgm:t>
        <a:bodyPr/>
        <a:lstStyle/>
        <a:p>
          <a:pPr algn="ctr"/>
          <a:endParaRPr lang="en-US"/>
        </a:p>
      </dgm:t>
    </dgm:pt>
    <dgm:pt modelId="{28ACC43A-0197-4B82-B382-8F1288A036D9}" type="asst">
      <dgm:prSet/>
      <dgm:spPr/>
      <dgm:t>
        <a:bodyPr/>
        <a:lstStyle/>
        <a:p>
          <a:pPr algn="ctr"/>
          <a:r>
            <a:rPr lang="en-US" b="1"/>
            <a:t>Public Affairs </a:t>
          </a:r>
          <a:br>
            <a:rPr lang="en-US" b="1"/>
          </a:br>
          <a:r>
            <a:rPr lang="en-US" b="1"/>
            <a:t>&amp; Planning</a:t>
          </a:r>
        </a:p>
      </dgm:t>
    </dgm:pt>
    <dgm:pt modelId="{E815A8A3-F036-4B65-9639-2A882E3E6D0E}" type="parTrans" cxnId="{E7032CA2-05B4-44CB-8F1F-86B1F9B7D8BF}">
      <dgm:prSet/>
      <dgm:spPr/>
      <dgm:t>
        <a:bodyPr/>
        <a:lstStyle/>
        <a:p>
          <a:pPr algn="ctr"/>
          <a:endParaRPr lang="en-US"/>
        </a:p>
      </dgm:t>
    </dgm:pt>
    <dgm:pt modelId="{BB5B8498-32A9-46ED-B08C-8B80224B878C}" type="sibTrans" cxnId="{E7032CA2-05B4-44CB-8F1F-86B1F9B7D8BF}">
      <dgm:prSet/>
      <dgm:spPr/>
      <dgm:t>
        <a:bodyPr/>
        <a:lstStyle/>
        <a:p>
          <a:pPr algn="ctr"/>
          <a:endParaRPr lang="en-US"/>
        </a:p>
      </dgm:t>
    </dgm:pt>
    <dgm:pt modelId="{A037DED5-203F-475A-AE5C-6D1E18D83EA5}">
      <dgm:prSet phldrT="[Text]"/>
      <dgm:spPr/>
      <dgm:t>
        <a:bodyPr/>
        <a:lstStyle/>
        <a:p>
          <a:pPr algn="ctr"/>
          <a:r>
            <a:rPr lang="en-US" b="1"/>
            <a:t>State Superintendent of Schools</a:t>
          </a:r>
        </a:p>
      </dgm:t>
    </dgm:pt>
    <dgm:pt modelId="{411B578B-89B5-4A93-9C83-AB8FAF37FBC4}" type="parTrans" cxnId="{85A090C2-4701-4C1D-94E2-0E12193F91D9}">
      <dgm:prSet/>
      <dgm:spPr/>
      <dgm:t>
        <a:bodyPr/>
        <a:lstStyle/>
        <a:p>
          <a:pPr algn="ctr"/>
          <a:endParaRPr lang="en-US"/>
        </a:p>
      </dgm:t>
    </dgm:pt>
    <dgm:pt modelId="{33E00959-2E1A-4679-A56D-CA386E577178}" type="sibTrans" cxnId="{85A090C2-4701-4C1D-94E2-0E12193F91D9}">
      <dgm:prSet/>
      <dgm:spPr/>
      <dgm:t>
        <a:bodyPr/>
        <a:lstStyle/>
        <a:p>
          <a:pPr algn="ctr"/>
          <a:endParaRPr lang="en-US"/>
        </a:p>
      </dgm:t>
    </dgm:pt>
    <dgm:pt modelId="{60D27FDF-1BAA-4447-ACEC-C7DA2D61A16D}" type="asst">
      <dgm:prSet/>
      <dgm:spPr/>
      <dgm:t>
        <a:bodyPr/>
        <a:lstStyle/>
        <a:p>
          <a:pPr algn="ctr"/>
          <a:r>
            <a:rPr lang="en-US" b="1"/>
            <a:t>Electronic Accessibility &amp; Internal Communication</a:t>
          </a:r>
        </a:p>
      </dgm:t>
    </dgm:pt>
    <dgm:pt modelId="{E77EE90F-D032-48F5-9D06-781DB98F4B01}" type="parTrans" cxnId="{B4ADAB22-953A-4F67-98A1-D52A94FEC5E7}">
      <dgm:prSet/>
      <dgm:spPr/>
      <dgm:t>
        <a:bodyPr/>
        <a:lstStyle/>
        <a:p>
          <a:pPr algn="ctr"/>
          <a:endParaRPr lang="en-US"/>
        </a:p>
      </dgm:t>
    </dgm:pt>
    <dgm:pt modelId="{B4AA3539-1AC6-4DE5-97CB-EC1F2694A8A9}" type="sibTrans" cxnId="{B4ADAB22-953A-4F67-98A1-D52A94FEC5E7}">
      <dgm:prSet/>
      <dgm:spPr/>
      <dgm:t>
        <a:bodyPr/>
        <a:lstStyle/>
        <a:p>
          <a:pPr algn="ctr"/>
          <a:endParaRPr lang="en-US"/>
        </a:p>
      </dgm:t>
    </dgm:pt>
    <dgm:pt modelId="{8404FBA2-61D6-4C49-A08F-AEBFAF8D5B32}">
      <dgm:prSet/>
      <dgm:spPr/>
      <dgm:t>
        <a:bodyPr/>
        <a:lstStyle/>
        <a:p>
          <a:pPr algn="ctr" rtl="0"/>
          <a:r>
            <a:rPr lang="en-US" b="1"/>
            <a:t>Business Relations Branch</a:t>
          </a:r>
        </a:p>
      </dgm:t>
    </dgm:pt>
    <dgm:pt modelId="{39B39A8D-6172-4208-B28B-8DA37067165B}" type="parTrans" cxnId="{E3B720D7-24AA-442B-A2D9-C577684CF05E}">
      <dgm:prSet/>
      <dgm:spPr/>
      <dgm:t>
        <a:bodyPr/>
        <a:lstStyle/>
        <a:p>
          <a:pPr algn="ctr"/>
          <a:endParaRPr lang="en-US"/>
        </a:p>
      </dgm:t>
    </dgm:pt>
    <dgm:pt modelId="{4C7C01BA-299E-4B43-A0BD-46514CDF4760}" type="sibTrans" cxnId="{E3B720D7-24AA-442B-A2D9-C577684CF05E}">
      <dgm:prSet/>
      <dgm:spPr/>
      <dgm:t>
        <a:bodyPr/>
        <a:lstStyle/>
        <a:p>
          <a:pPr algn="ctr"/>
          <a:endParaRPr lang="en-US"/>
        </a:p>
      </dgm:t>
    </dgm:pt>
    <dgm:pt modelId="{66F74583-B729-4AAD-ACDF-3A583FECC5F7}">
      <dgm:prSet/>
      <dgm:spPr/>
      <dgm:t>
        <a:bodyPr/>
        <a:lstStyle/>
        <a:p>
          <a:pPr algn="ctr"/>
          <a:r>
            <a:rPr lang="en-US" b="1"/>
            <a:t>Community Rehabilitation Programs </a:t>
          </a:r>
        </a:p>
      </dgm:t>
    </dgm:pt>
    <dgm:pt modelId="{99EE6421-BDBD-45BE-896E-E96B5466A4C4}" type="parTrans" cxnId="{43A451B0-3D58-47C6-9A77-FA3F9FC16B88}">
      <dgm:prSet/>
      <dgm:spPr/>
      <dgm:t>
        <a:bodyPr/>
        <a:lstStyle/>
        <a:p>
          <a:pPr algn="ctr"/>
          <a:endParaRPr lang="en-US"/>
        </a:p>
      </dgm:t>
    </dgm:pt>
    <dgm:pt modelId="{9E2FB4F0-9C91-443F-AC72-26ACE7FF9135}" type="sibTrans" cxnId="{43A451B0-3D58-47C6-9A77-FA3F9FC16B88}">
      <dgm:prSet/>
      <dgm:spPr/>
      <dgm:t>
        <a:bodyPr/>
        <a:lstStyle/>
        <a:p>
          <a:pPr algn="ctr"/>
          <a:endParaRPr lang="en-US"/>
        </a:p>
      </dgm:t>
    </dgm:pt>
    <dgm:pt modelId="{DDBFA551-D3CD-4D54-80C5-88C8D8A02FFF}">
      <dgm:prSet/>
      <dgm:spPr/>
      <dgm:t>
        <a:bodyPr/>
        <a:lstStyle/>
        <a:p>
          <a:pPr algn="ctr"/>
          <a:r>
            <a:rPr lang="en-US" b="1"/>
            <a:t>Human Resource Development</a:t>
          </a:r>
        </a:p>
      </dgm:t>
    </dgm:pt>
    <dgm:pt modelId="{3F52C6BE-7D15-4F2B-8CBF-F749D1318DA1}" type="parTrans" cxnId="{0A89F5F2-31CF-4532-BE6D-9C74CB44DBB6}">
      <dgm:prSet/>
      <dgm:spPr/>
      <dgm:t>
        <a:bodyPr/>
        <a:lstStyle/>
        <a:p>
          <a:pPr algn="ctr"/>
          <a:endParaRPr lang="en-US"/>
        </a:p>
      </dgm:t>
    </dgm:pt>
    <dgm:pt modelId="{097AB7F0-0223-483A-8C8E-B0A403C43390}" type="sibTrans" cxnId="{0A89F5F2-31CF-4532-BE6D-9C74CB44DBB6}">
      <dgm:prSet/>
      <dgm:spPr/>
      <dgm:t>
        <a:bodyPr/>
        <a:lstStyle/>
        <a:p>
          <a:pPr algn="ctr"/>
          <a:endParaRPr lang="en-US"/>
        </a:p>
      </dgm:t>
    </dgm:pt>
    <dgm:pt modelId="{FD8B9EFC-0A2B-4E6F-BC9F-5B71CD75140F}">
      <dgm:prSet/>
      <dgm:spPr/>
      <dgm:t>
        <a:bodyPr/>
        <a:lstStyle/>
        <a:p>
          <a:pPr algn="ctr" rtl="0"/>
          <a:r>
            <a:rPr lang="en-US" b="1"/>
            <a:t>Program Evaluation &amp; AWARE</a:t>
          </a:r>
        </a:p>
      </dgm:t>
    </dgm:pt>
    <dgm:pt modelId="{B22827A7-7043-4304-BD98-63FEFAC9F9EA}" type="parTrans" cxnId="{9E623B3E-4857-4447-B139-83747D0B26B8}">
      <dgm:prSet/>
      <dgm:spPr/>
      <dgm:t>
        <a:bodyPr/>
        <a:lstStyle/>
        <a:p>
          <a:pPr algn="ctr"/>
          <a:endParaRPr lang="en-US"/>
        </a:p>
      </dgm:t>
    </dgm:pt>
    <dgm:pt modelId="{3944D6C1-8414-4A80-9EAB-90AF7C688529}" type="sibTrans" cxnId="{9E623B3E-4857-4447-B139-83747D0B26B8}">
      <dgm:prSet/>
      <dgm:spPr/>
      <dgm:t>
        <a:bodyPr/>
        <a:lstStyle/>
        <a:p>
          <a:pPr algn="ctr"/>
          <a:endParaRPr lang="en-US"/>
        </a:p>
      </dgm:t>
    </dgm:pt>
    <dgm:pt modelId="{742D2547-3524-4E87-B68E-E95A1EFDB192}" type="pres">
      <dgm:prSet presAssocID="{088D02A2-7E02-41B8-8385-C46F0D923AEE}" presName="hierChild1" presStyleCnt="0">
        <dgm:presLayoutVars>
          <dgm:orgChart val="1"/>
          <dgm:chPref val="1"/>
          <dgm:dir/>
          <dgm:animOne val="branch"/>
          <dgm:animLvl val="lvl"/>
          <dgm:resizeHandles/>
        </dgm:presLayoutVars>
      </dgm:prSet>
      <dgm:spPr/>
      <dgm:t>
        <a:bodyPr/>
        <a:lstStyle/>
        <a:p>
          <a:endParaRPr lang="en-US"/>
        </a:p>
      </dgm:t>
    </dgm:pt>
    <dgm:pt modelId="{9E04E95D-832E-47E5-BB9F-94377EB35545}" type="pres">
      <dgm:prSet presAssocID="{A037DED5-203F-475A-AE5C-6D1E18D83EA5}" presName="hierRoot1" presStyleCnt="0">
        <dgm:presLayoutVars>
          <dgm:hierBranch val="init"/>
        </dgm:presLayoutVars>
      </dgm:prSet>
      <dgm:spPr/>
      <dgm:t>
        <a:bodyPr/>
        <a:lstStyle/>
        <a:p>
          <a:endParaRPr lang="en-US"/>
        </a:p>
      </dgm:t>
    </dgm:pt>
    <dgm:pt modelId="{49DE76CF-6006-4514-B91A-701CD48805BD}" type="pres">
      <dgm:prSet presAssocID="{A037DED5-203F-475A-AE5C-6D1E18D83EA5}" presName="rootComposite1" presStyleCnt="0"/>
      <dgm:spPr/>
      <dgm:t>
        <a:bodyPr/>
        <a:lstStyle/>
        <a:p>
          <a:endParaRPr lang="en-US"/>
        </a:p>
      </dgm:t>
    </dgm:pt>
    <dgm:pt modelId="{67735C9E-34E4-4954-84EC-D351BD2CCC3B}" type="pres">
      <dgm:prSet presAssocID="{A037DED5-203F-475A-AE5C-6D1E18D83EA5}" presName="rootText1" presStyleLbl="node0" presStyleIdx="0" presStyleCnt="1">
        <dgm:presLayoutVars>
          <dgm:chPref val="3"/>
        </dgm:presLayoutVars>
      </dgm:prSet>
      <dgm:spPr/>
      <dgm:t>
        <a:bodyPr/>
        <a:lstStyle/>
        <a:p>
          <a:endParaRPr lang="en-US"/>
        </a:p>
      </dgm:t>
    </dgm:pt>
    <dgm:pt modelId="{2A817A21-B93B-4A9A-B674-86EA505E4749}" type="pres">
      <dgm:prSet presAssocID="{A037DED5-203F-475A-AE5C-6D1E18D83EA5}" presName="rootConnector1" presStyleLbl="node1" presStyleIdx="0" presStyleCnt="0"/>
      <dgm:spPr/>
      <dgm:t>
        <a:bodyPr/>
        <a:lstStyle/>
        <a:p>
          <a:endParaRPr lang="en-US"/>
        </a:p>
      </dgm:t>
    </dgm:pt>
    <dgm:pt modelId="{4AEB5787-A5E6-4A05-AFEA-DE22DA442368}" type="pres">
      <dgm:prSet presAssocID="{A037DED5-203F-475A-AE5C-6D1E18D83EA5}" presName="hierChild2" presStyleCnt="0"/>
      <dgm:spPr/>
      <dgm:t>
        <a:bodyPr/>
        <a:lstStyle/>
        <a:p>
          <a:endParaRPr lang="en-US"/>
        </a:p>
      </dgm:t>
    </dgm:pt>
    <dgm:pt modelId="{5EB41C03-E55A-46C7-8E5E-2BEF834ABEC7}" type="pres">
      <dgm:prSet presAssocID="{6EAEA111-897F-44C7-86BB-1DE467ED060A}" presName="Name37" presStyleLbl="parChTrans1D2" presStyleIdx="0" presStyleCnt="1"/>
      <dgm:spPr/>
      <dgm:t>
        <a:bodyPr/>
        <a:lstStyle/>
        <a:p>
          <a:endParaRPr lang="en-US"/>
        </a:p>
      </dgm:t>
    </dgm:pt>
    <dgm:pt modelId="{D51B8D60-AECC-49EA-A826-127A13605B63}" type="pres">
      <dgm:prSet presAssocID="{6DA18845-F20A-40A8-AA01-06803F6FC405}" presName="hierRoot2" presStyleCnt="0">
        <dgm:presLayoutVars>
          <dgm:hierBranch val="init"/>
        </dgm:presLayoutVars>
      </dgm:prSet>
      <dgm:spPr/>
      <dgm:t>
        <a:bodyPr/>
        <a:lstStyle/>
        <a:p>
          <a:endParaRPr lang="en-US"/>
        </a:p>
      </dgm:t>
    </dgm:pt>
    <dgm:pt modelId="{69B2E397-DA84-4BAD-8B3B-EEA10165781E}" type="pres">
      <dgm:prSet presAssocID="{6DA18845-F20A-40A8-AA01-06803F6FC405}" presName="rootComposite" presStyleCnt="0"/>
      <dgm:spPr/>
      <dgm:t>
        <a:bodyPr/>
        <a:lstStyle/>
        <a:p>
          <a:endParaRPr lang="en-US"/>
        </a:p>
      </dgm:t>
    </dgm:pt>
    <dgm:pt modelId="{ED03F981-C21B-4EFB-94FC-A05BE4D44531}" type="pres">
      <dgm:prSet presAssocID="{6DA18845-F20A-40A8-AA01-06803F6FC405}" presName="rootText" presStyleLbl="node2" presStyleIdx="0" presStyleCnt="1">
        <dgm:presLayoutVars>
          <dgm:chPref val="3"/>
        </dgm:presLayoutVars>
      </dgm:prSet>
      <dgm:spPr/>
      <dgm:t>
        <a:bodyPr/>
        <a:lstStyle/>
        <a:p>
          <a:endParaRPr lang="en-US"/>
        </a:p>
      </dgm:t>
    </dgm:pt>
    <dgm:pt modelId="{4B496E8B-CD2A-4B1A-A98E-1926DE5F4308}" type="pres">
      <dgm:prSet presAssocID="{6DA18845-F20A-40A8-AA01-06803F6FC405}" presName="rootConnector" presStyleLbl="node2" presStyleIdx="0" presStyleCnt="1"/>
      <dgm:spPr/>
      <dgm:t>
        <a:bodyPr/>
        <a:lstStyle/>
        <a:p>
          <a:endParaRPr lang="en-US"/>
        </a:p>
      </dgm:t>
    </dgm:pt>
    <dgm:pt modelId="{01AA2C75-243D-4C7F-BBFA-6359EC87F314}" type="pres">
      <dgm:prSet presAssocID="{6DA18845-F20A-40A8-AA01-06803F6FC405}" presName="hierChild4" presStyleCnt="0"/>
      <dgm:spPr/>
      <dgm:t>
        <a:bodyPr/>
        <a:lstStyle/>
        <a:p>
          <a:endParaRPr lang="en-US"/>
        </a:p>
      </dgm:t>
    </dgm:pt>
    <dgm:pt modelId="{EE2C9493-64E8-4F4D-A060-9790738EBA13}" type="pres">
      <dgm:prSet presAssocID="{99E9C277-DE21-4760-9794-F8D74EBA4737}" presName="Name37" presStyleLbl="parChTrans1D3" presStyleIdx="0" presStyleCnt="9"/>
      <dgm:spPr/>
      <dgm:t>
        <a:bodyPr/>
        <a:lstStyle/>
        <a:p>
          <a:endParaRPr lang="en-US"/>
        </a:p>
      </dgm:t>
    </dgm:pt>
    <dgm:pt modelId="{D496CF32-F4CA-4337-BBA3-7E9E3B3D9702}" type="pres">
      <dgm:prSet presAssocID="{92B97642-E9B6-4B80-9B2C-726824C7B654}" presName="hierRoot2" presStyleCnt="0">
        <dgm:presLayoutVars>
          <dgm:hierBranch val="init"/>
        </dgm:presLayoutVars>
      </dgm:prSet>
      <dgm:spPr/>
      <dgm:t>
        <a:bodyPr/>
        <a:lstStyle/>
        <a:p>
          <a:endParaRPr lang="en-US"/>
        </a:p>
      </dgm:t>
    </dgm:pt>
    <dgm:pt modelId="{3E1AF7E0-8741-46A3-BB23-594C86A5E88E}" type="pres">
      <dgm:prSet presAssocID="{92B97642-E9B6-4B80-9B2C-726824C7B654}" presName="rootComposite" presStyleCnt="0"/>
      <dgm:spPr/>
      <dgm:t>
        <a:bodyPr/>
        <a:lstStyle/>
        <a:p>
          <a:endParaRPr lang="en-US"/>
        </a:p>
      </dgm:t>
    </dgm:pt>
    <dgm:pt modelId="{A0E7D1A4-4D4C-4FDC-9701-205481CF90C8}" type="pres">
      <dgm:prSet presAssocID="{92B97642-E9B6-4B80-9B2C-726824C7B654}" presName="rootText" presStyleLbl="node3" presStyleIdx="0" presStyleCnt="7">
        <dgm:presLayoutVars>
          <dgm:chPref val="3"/>
        </dgm:presLayoutVars>
      </dgm:prSet>
      <dgm:spPr/>
      <dgm:t>
        <a:bodyPr/>
        <a:lstStyle/>
        <a:p>
          <a:endParaRPr lang="en-US"/>
        </a:p>
      </dgm:t>
    </dgm:pt>
    <dgm:pt modelId="{A9E80146-337E-4F0A-BDFB-052D4C7ECAE4}" type="pres">
      <dgm:prSet presAssocID="{92B97642-E9B6-4B80-9B2C-726824C7B654}" presName="rootConnector" presStyleLbl="node3" presStyleIdx="0" presStyleCnt="7"/>
      <dgm:spPr/>
      <dgm:t>
        <a:bodyPr/>
        <a:lstStyle/>
        <a:p>
          <a:endParaRPr lang="en-US"/>
        </a:p>
      </dgm:t>
    </dgm:pt>
    <dgm:pt modelId="{D7388BE5-41FB-44AF-B221-615D70714684}" type="pres">
      <dgm:prSet presAssocID="{92B97642-E9B6-4B80-9B2C-726824C7B654}" presName="hierChild4" presStyleCnt="0"/>
      <dgm:spPr/>
      <dgm:t>
        <a:bodyPr/>
        <a:lstStyle/>
        <a:p>
          <a:endParaRPr lang="en-US"/>
        </a:p>
      </dgm:t>
    </dgm:pt>
    <dgm:pt modelId="{EFB38974-1789-4DBC-ADEF-EE8155F57045}" type="pres">
      <dgm:prSet presAssocID="{2EEAE332-7D0A-40BB-BC9B-DB83F4D47E87}" presName="Name37" presStyleLbl="parChTrans1D4" presStyleIdx="0" presStyleCnt="26"/>
      <dgm:spPr/>
      <dgm:t>
        <a:bodyPr/>
        <a:lstStyle/>
        <a:p>
          <a:endParaRPr lang="en-US"/>
        </a:p>
      </dgm:t>
    </dgm:pt>
    <dgm:pt modelId="{63BF91D3-5E41-4A4F-B3FC-BAD680861151}" type="pres">
      <dgm:prSet presAssocID="{77D04DD2-F763-457A-BFCB-A1D22B36AC33}" presName="hierRoot2" presStyleCnt="0">
        <dgm:presLayoutVars>
          <dgm:hierBranch val="init"/>
        </dgm:presLayoutVars>
      </dgm:prSet>
      <dgm:spPr/>
      <dgm:t>
        <a:bodyPr/>
        <a:lstStyle/>
        <a:p>
          <a:endParaRPr lang="en-US"/>
        </a:p>
      </dgm:t>
    </dgm:pt>
    <dgm:pt modelId="{562A6A0A-786C-427C-833E-EF35B4332C4A}" type="pres">
      <dgm:prSet presAssocID="{77D04DD2-F763-457A-BFCB-A1D22B36AC33}" presName="rootComposite" presStyleCnt="0"/>
      <dgm:spPr/>
      <dgm:t>
        <a:bodyPr/>
        <a:lstStyle/>
        <a:p>
          <a:endParaRPr lang="en-US"/>
        </a:p>
      </dgm:t>
    </dgm:pt>
    <dgm:pt modelId="{592374F2-75FD-47F5-ABD1-8737A6AD9AF0}" type="pres">
      <dgm:prSet presAssocID="{77D04DD2-F763-457A-BFCB-A1D22B36AC33}" presName="rootText" presStyleLbl="node4" presStyleIdx="0" presStyleCnt="26">
        <dgm:presLayoutVars>
          <dgm:chPref val="3"/>
        </dgm:presLayoutVars>
      </dgm:prSet>
      <dgm:spPr/>
      <dgm:t>
        <a:bodyPr/>
        <a:lstStyle/>
        <a:p>
          <a:endParaRPr lang="en-US"/>
        </a:p>
      </dgm:t>
    </dgm:pt>
    <dgm:pt modelId="{24D38E39-16C0-4DDB-B9D8-5ED8741C6D18}" type="pres">
      <dgm:prSet presAssocID="{77D04DD2-F763-457A-BFCB-A1D22B36AC33}" presName="rootConnector" presStyleLbl="node4" presStyleIdx="0" presStyleCnt="26"/>
      <dgm:spPr/>
      <dgm:t>
        <a:bodyPr/>
        <a:lstStyle/>
        <a:p>
          <a:endParaRPr lang="en-US"/>
        </a:p>
      </dgm:t>
    </dgm:pt>
    <dgm:pt modelId="{7F68BCC5-ED98-475F-9AFE-EF9AC22E8650}" type="pres">
      <dgm:prSet presAssocID="{77D04DD2-F763-457A-BFCB-A1D22B36AC33}" presName="hierChild4" presStyleCnt="0"/>
      <dgm:spPr/>
      <dgm:t>
        <a:bodyPr/>
        <a:lstStyle/>
        <a:p>
          <a:endParaRPr lang="en-US"/>
        </a:p>
      </dgm:t>
    </dgm:pt>
    <dgm:pt modelId="{A17D8376-D4FB-4216-8BC7-9882672A6641}" type="pres">
      <dgm:prSet presAssocID="{77D04DD2-F763-457A-BFCB-A1D22B36AC33}" presName="hierChild5" presStyleCnt="0"/>
      <dgm:spPr/>
      <dgm:t>
        <a:bodyPr/>
        <a:lstStyle/>
        <a:p>
          <a:endParaRPr lang="en-US"/>
        </a:p>
      </dgm:t>
    </dgm:pt>
    <dgm:pt modelId="{CB46B2C8-6326-44E0-837E-882472C4CC33}" type="pres">
      <dgm:prSet presAssocID="{0FE953DF-AEC5-49D9-97DD-F31860A3FA70}" presName="Name37" presStyleLbl="parChTrans1D4" presStyleIdx="1" presStyleCnt="26"/>
      <dgm:spPr/>
      <dgm:t>
        <a:bodyPr/>
        <a:lstStyle/>
        <a:p>
          <a:endParaRPr lang="en-US"/>
        </a:p>
      </dgm:t>
    </dgm:pt>
    <dgm:pt modelId="{29728BE3-E4E8-4682-9EB8-3CADC299A07F}" type="pres">
      <dgm:prSet presAssocID="{BBFB2C3E-84C0-4DA1-876C-3B8F77215A7F}" presName="hierRoot2" presStyleCnt="0">
        <dgm:presLayoutVars>
          <dgm:hierBranch val="init"/>
        </dgm:presLayoutVars>
      </dgm:prSet>
      <dgm:spPr/>
      <dgm:t>
        <a:bodyPr/>
        <a:lstStyle/>
        <a:p>
          <a:endParaRPr lang="en-US"/>
        </a:p>
      </dgm:t>
    </dgm:pt>
    <dgm:pt modelId="{8F9373CF-63D2-4B7B-A833-EB4F3D2FDA10}" type="pres">
      <dgm:prSet presAssocID="{BBFB2C3E-84C0-4DA1-876C-3B8F77215A7F}" presName="rootComposite" presStyleCnt="0"/>
      <dgm:spPr/>
      <dgm:t>
        <a:bodyPr/>
        <a:lstStyle/>
        <a:p>
          <a:endParaRPr lang="en-US"/>
        </a:p>
      </dgm:t>
    </dgm:pt>
    <dgm:pt modelId="{5210760A-89C7-453A-9323-086A32E8C606}" type="pres">
      <dgm:prSet presAssocID="{BBFB2C3E-84C0-4DA1-876C-3B8F77215A7F}" presName="rootText" presStyleLbl="node4" presStyleIdx="1" presStyleCnt="26">
        <dgm:presLayoutVars>
          <dgm:chPref val="3"/>
        </dgm:presLayoutVars>
      </dgm:prSet>
      <dgm:spPr/>
      <dgm:t>
        <a:bodyPr/>
        <a:lstStyle/>
        <a:p>
          <a:endParaRPr lang="en-US"/>
        </a:p>
      </dgm:t>
    </dgm:pt>
    <dgm:pt modelId="{A6A4A7AB-FC8D-40C3-80CE-9EEA41C70694}" type="pres">
      <dgm:prSet presAssocID="{BBFB2C3E-84C0-4DA1-876C-3B8F77215A7F}" presName="rootConnector" presStyleLbl="node4" presStyleIdx="1" presStyleCnt="26"/>
      <dgm:spPr/>
      <dgm:t>
        <a:bodyPr/>
        <a:lstStyle/>
        <a:p>
          <a:endParaRPr lang="en-US"/>
        </a:p>
      </dgm:t>
    </dgm:pt>
    <dgm:pt modelId="{31764C04-980F-43AB-964F-9E1445A63F5B}" type="pres">
      <dgm:prSet presAssocID="{BBFB2C3E-84C0-4DA1-876C-3B8F77215A7F}" presName="hierChild4" presStyleCnt="0"/>
      <dgm:spPr/>
      <dgm:t>
        <a:bodyPr/>
        <a:lstStyle/>
        <a:p>
          <a:endParaRPr lang="en-US"/>
        </a:p>
      </dgm:t>
    </dgm:pt>
    <dgm:pt modelId="{DCDC1999-27F9-4884-8C18-03D44490C37C}" type="pres">
      <dgm:prSet presAssocID="{BBFB2C3E-84C0-4DA1-876C-3B8F77215A7F}" presName="hierChild5" presStyleCnt="0"/>
      <dgm:spPr/>
      <dgm:t>
        <a:bodyPr/>
        <a:lstStyle/>
        <a:p>
          <a:endParaRPr lang="en-US"/>
        </a:p>
      </dgm:t>
    </dgm:pt>
    <dgm:pt modelId="{EDBC517C-442F-4387-B97A-52FEBE149F6A}" type="pres">
      <dgm:prSet presAssocID="{F5DF625E-1A91-4E71-9769-5B306F87AC3D}" presName="Name37" presStyleLbl="parChTrans1D4" presStyleIdx="2" presStyleCnt="26"/>
      <dgm:spPr/>
      <dgm:t>
        <a:bodyPr/>
        <a:lstStyle/>
        <a:p>
          <a:endParaRPr lang="en-US"/>
        </a:p>
      </dgm:t>
    </dgm:pt>
    <dgm:pt modelId="{9906E71D-D362-4467-A1AD-0494F11EAA4F}" type="pres">
      <dgm:prSet presAssocID="{19B06AF5-05A2-4C2D-A537-BE07E1EB058F}" presName="hierRoot2" presStyleCnt="0">
        <dgm:presLayoutVars>
          <dgm:hierBranch val="init"/>
        </dgm:presLayoutVars>
      </dgm:prSet>
      <dgm:spPr/>
      <dgm:t>
        <a:bodyPr/>
        <a:lstStyle/>
        <a:p>
          <a:endParaRPr lang="en-US"/>
        </a:p>
      </dgm:t>
    </dgm:pt>
    <dgm:pt modelId="{CB2130A7-80C9-47CD-B3DF-F3D3E787ED73}" type="pres">
      <dgm:prSet presAssocID="{19B06AF5-05A2-4C2D-A537-BE07E1EB058F}" presName="rootComposite" presStyleCnt="0"/>
      <dgm:spPr/>
      <dgm:t>
        <a:bodyPr/>
        <a:lstStyle/>
        <a:p>
          <a:endParaRPr lang="en-US"/>
        </a:p>
      </dgm:t>
    </dgm:pt>
    <dgm:pt modelId="{A10884EF-94C8-4EC0-9ED1-41E96C1BC612}" type="pres">
      <dgm:prSet presAssocID="{19B06AF5-05A2-4C2D-A537-BE07E1EB058F}" presName="rootText" presStyleLbl="node4" presStyleIdx="2" presStyleCnt="26">
        <dgm:presLayoutVars>
          <dgm:chPref val="3"/>
        </dgm:presLayoutVars>
      </dgm:prSet>
      <dgm:spPr/>
      <dgm:t>
        <a:bodyPr/>
        <a:lstStyle/>
        <a:p>
          <a:endParaRPr lang="en-US"/>
        </a:p>
      </dgm:t>
    </dgm:pt>
    <dgm:pt modelId="{1E781902-B6ED-4A32-A440-B12238422BF6}" type="pres">
      <dgm:prSet presAssocID="{19B06AF5-05A2-4C2D-A537-BE07E1EB058F}" presName="rootConnector" presStyleLbl="node4" presStyleIdx="2" presStyleCnt="26"/>
      <dgm:spPr/>
      <dgm:t>
        <a:bodyPr/>
        <a:lstStyle/>
        <a:p>
          <a:endParaRPr lang="en-US"/>
        </a:p>
      </dgm:t>
    </dgm:pt>
    <dgm:pt modelId="{296E92ED-0F3F-424A-9C2A-8FDAF0EB2B4A}" type="pres">
      <dgm:prSet presAssocID="{19B06AF5-05A2-4C2D-A537-BE07E1EB058F}" presName="hierChild4" presStyleCnt="0"/>
      <dgm:spPr/>
      <dgm:t>
        <a:bodyPr/>
        <a:lstStyle/>
        <a:p>
          <a:endParaRPr lang="en-US"/>
        </a:p>
      </dgm:t>
    </dgm:pt>
    <dgm:pt modelId="{F0DD1E73-4D75-4C9F-8896-4002E2EC65A1}" type="pres">
      <dgm:prSet presAssocID="{19B06AF5-05A2-4C2D-A537-BE07E1EB058F}" presName="hierChild5" presStyleCnt="0"/>
      <dgm:spPr/>
      <dgm:t>
        <a:bodyPr/>
        <a:lstStyle/>
        <a:p>
          <a:endParaRPr lang="en-US"/>
        </a:p>
      </dgm:t>
    </dgm:pt>
    <dgm:pt modelId="{B9E93747-5A22-4471-BAE5-512D2121737A}" type="pres">
      <dgm:prSet presAssocID="{92B97642-E9B6-4B80-9B2C-726824C7B654}" presName="hierChild5" presStyleCnt="0"/>
      <dgm:spPr/>
      <dgm:t>
        <a:bodyPr/>
        <a:lstStyle/>
        <a:p>
          <a:endParaRPr lang="en-US"/>
        </a:p>
      </dgm:t>
    </dgm:pt>
    <dgm:pt modelId="{4B314BBA-0972-410C-8258-745670949447}" type="pres">
      <dgm:prSet presAssocID="{EF28482C-5B57-4639-83CA-0361F3872CF6}" presName="Name37" presStyleLbl="parChTrans1D3" presStyleIdx="1" presStyleCnt="9"/>
      <dgm:spPr/>
      <dgm:t>
        <a:bodyPr/>
        <a:lstStyle/>
        <a:p>
          <a:endParaRPr lang="en-US"/>
        </a:p>
      </dgm:t>
    </dgm:pt>
    <dgm:pt modelId="{4DD80202-B151-4D41-828A-D40673808556}" type="pres">
      <dgm:prSet presAssocID="{2A784AB7-3FCC-455E-9BDF-53131CC18768}" presName="hierRoot2" presStyleCnt="0">
        <dgm:presLayoutVars>
          <dgm:hierBranch val="init"/>
        </dgm:presLayoutVars>
      </dgm:prSet>
      <dgm:spPr/>
      <dgm:t>
        <a:bodyPr/>
        <a:lstStyle/>
        <a:p>
          <a:endParaRPr lang="en-US"/>
        </a:p>
      </dgm:t>
    </dgm:pt>
    <dgm:pt modelId="{50B9FC2E-5BEC-4C49-9E0F-2CD40103A5CF}" type="pres">
      <dgm:prSet presAssocID="{2A784AB7-3FCC-455E-9BDF-53131CC18768}" presName="rootComposite" presStyleCnt="0"/>
      <dgm:spPr/>
      <dgm:t>
        <a:bodyPr/>
        <a:lstStyle/>
        <a:p>
          <a:endParaRPr lang="en-US"/>
        </a:p>
      </dgm:t>
    </dgm:pt>
    <dgm:pt modelId="{676CDB27-FD10-4330-B99B-D8B3E9D1B3D0}" type="pres">
      <dgm:prSet presAssocID="{2A784AB7-3FCC-455E-9BDF-53131CC18768}" presName="rootText" presStyleLbl="node3" presStyleIdx="1" presStyleCnt="7">
        <dgm:presLayoutVars>
          <dgm:chPref val="3"/>
        </dgm:presLayoutVars>
      </dgm:prSet>
      <dgm:spPr/>
      <dgm:t>
        <a:bodyPr/>
        <a:lstStyle/>
        <a:p>
          <a:endParaRPr lang="en-US"/>
        </a:p>
      </dgm:t>
    </dgm:pt>
    <dgm:pt modelId="{AAA94F44-D72A-4853-9C67-B53DC4B1E5F3}" type="pres">
      <dgm:prSet presAssocID="{2A784AB7-3FCC-455E-9BDF-53131CC18768}" presName="rootConnector" presStyleLbl="node3" presStyleIdx="1" presStyleCnt="7"/>
      <dgm:spPr/>
      <dgm:t>
        <a:bodyPr/>
        <a:lstStyle/>
        <a:p>
          <a:endParaRPr lang="en-US"/>
        </a:p>
      </dgm:t>
    </dgm:pt>
    <dgm:pt modelId="{8D507D02-E53A-4A60-B47D-775DE42BF2DF}" type="pres">
      <dgm:prSet presAssocID="{2A784AB7-3FCC-455E-9BDF-53131CC18768}" presName="hierChild4" presStyleCnt="0"/>
      <dgm:spPr/>
      <dgm:t>
        <a:bodyPr/>
        <a:lstStyle/>
        <a:p>
          <a:endParaRPr lang="en-US"/>
        </a:p>
      </dgm:t>
    </dgm:pt>
    <dgm:pt modelId="{9959CA76-EFA6-4BF9-B1BB-87F9EE74E5F6}" type="pres">
      <dgm:prSet presAssocID="{29A1CDB9-FAD2-4046-A0DC-951409DA7721}" presName="Name37" presStyleLbl="parChTrans1D4" presStyleIdx="3" presStyleCnt="26"/>
      <dgm:spPr/>
      <dgm:t>
        <a:bodyPr/>
        <a:lstStyle/>
        <a:p>
          <a:endParaRPr lang="en-US"/>
        </a:p>
      </dgm:t>
    </dgm:pt>
    <dgm:pt modelId="{CDB53A94-A0A7-474C-8B7E-06FD17FF1104}" type="pres">
      <dgm:prSet presAssocID="{5F1174DF-D6F9-413B-90EF-FDC53DAC6AAA}" presName="hierRoot2" presStyleCnt="0">
        <dgm:presLayoutVars>
          <dgm:hierBranch val="init"/>
        </dgm:presLayoutVars>
      </dgm:prSet>
      <dgm:spPr/>
      <dgm:t>
        <a:bodyPr/>
        <a:lstStyle/>
        <a:p>
          <a:endParaRPr lang="en-US"/>
        </a:p>
      </dgm:t>
    </dgm:pt>
    <dgm:pt modelId="{6B3836DD-A22E-413A-8067-5C4663203CCD}" type="pres">
      <dgm:prSet presAssocID="{5F1174DF-D6F9-413B-90EF-FDC53DAC6AAA}" presName="rootComposite" presStyleCnt="0"/>
      <dgm:spPr/>
      <dgm:t>
        <a:bodyPr/>
        <a:lstStyle/>
        <a:p>
          <a:endParaRPr lang="en-US"/>
        </a:p>
      </dgm:t>
    </dgm:pt>
    <dgm:pt modelId="{8AC30BE5-67D6-45BE-B83C-F012AAE337D5}" type="pres">
      <dgm:prSet presAssocID="{5F1174DF-D6F9-413B-90EF-FDC53DAC6AAA}" presName="rootText" presStyleLbl="node4" presStyleIdx="3" presStyleCnt="26">
        <dgm:presLayoutVars>
          <dgm:chPref val="3"/>
        </dgm:presLayoutVars>
      </dgm:prSet>
      <dgm:spPr/>
      <dgm:t>
        <a:bodyPr/>
        <a:lstStyle/>
        <a:p>
          <a:endParaRPr lang="en-US"/>
        </a:p>
      </dgm:t>
    </dgm:pt>
    <dgm:pt modelId="{6488377A-9B35-4800-96B8-421E178B5334}" type="pres">
      <dgm:prSet presAssocID="{5F1174DF-D6F9-413B-90EF-FDC53DAC6AAA}" presName="rootConnector" presStyleLbl="node4" presStyleIdx="3" presStyleCnt="26"/>
      <dgm:spPr/>
      <dgm:t>
        <a:bodyPr/>
        <a:lstStyle/>
        <a:p>
          <a:endParaRPr lang="en-US"/>
        </a:p>
      </dgm:t>
    </dgm:pt>
    <dgm:pt modelId="{1EB06A87-08EF-4D9E-BACF-793CD312778C}" type="pres">
      <dgm:prSet presAssocID="{5F1174DF-D6F9-413B-90EF-FDC53DAC6AAA}" presName="hierChild4" presStyleCnt="0"/>
      <dgm:spPr/>
      <dgm:t>
        <a:bodyPr/>
        <a:lstStyle/>
        <a:p>
          <a:endParaRPr lang="en-US"/>
        </a:p>
      </dgm:t>
    </dgm:pt>
    <dgm:pt modelId="{3F0D2802-F5C2-4FB2-BFC7-9BB23434C67E}" type="pres">
      <dgm:prSet presAssocID="{5F1174DF-D6F9-413B-90EF-FDC53DAC6AAA}" presName="hierChild5" presStyleCnt="0"/>
      <dgm:spPr/>
      <dgm:t>
        <a:bodyPr/>
        <a:lstStyle/>
        <a:p>
          <a:endParaRPr lang="en-US"/>
        </a:p>
      </dgm:t>
    </dgm:pt>
    <dgm:pt modelId="{44D0961B-01E4-496B-8A1A-F9AC1E521FC7}" type="pres">
      <dgm:prSet presAssocID="{B7007B2D-A53A-4C5D-9477-857CB7080FED}" presName="Name37" presStyleLbl="parChTrans1D4" presStyleIdx="4" presStyleCnt="26"/>
      <dgm:spPr/>
      <dgm:t>
        <a:bodyPr/>
        <a:lstStyle/>
        <a:p>
          <a:endParaRPr lang="en-US"/>
        </a:p>
      </dgm:t>
    </dgm:pt>
    <dgm:pt modelId="{E0390330-8DB1-4901-8DD4-A37708BC620A}" type="pres">
      <dgm:prSet presAssocID="{62672A90-7CAF-49AD-B268-A3DB02F76757}" presName="hierRoot2" presStyleCnt="0">
        <dgm:presLayoutVars>
          <dgm:hierBranch val="init"/>
        </dgm:presLayoutVars>
      </dgm:prSet>
      <dgm:spPr/>
      <dgm:t>
        <a:bodyPr/>
        <a:lstStyle/>
        <a:p>
          <a:endParaRPr lang="en-US"/>
        </a:p>
      </dgm:t>
    </dgm:pt>
    <dgm:pt modelId="{1F6B7205-05C1-413B-951D-A2B611621C22}" type="pres">
      <dgm:prSet presAssocID="{62672A90-7CAF-49AD-B268-A3DB02F76757}" presName="rootComposite" presStyleCnt="0"/>
      <dgm:spPr/>
      <dgm:t>
        <a:bodyPr/>
        <a:lstStyle/>
        <a:p>
          <a:endParaRPr lang="en-US"/>
        </a:p>
      </dgm:t>
    </dgm:pt>
    <dgm:pt modelId="{2E69B759-EC06-4F2C-8B6D-98C074DBC43C}" type="pres">
      <dgm:prSet presAssocID="{62672A90-7CAF-49AD-B268-A3DB02F76757}" presName="rootText" presStyleLbl="node4" presStyleIdx="4" presStyleCnt="26">
        <dgm:presLayoutVars>
          <dgm:chPref val="3"/>
        </dgm:presLayoutVars>
      </dgm:prSet>
      <dgm:spPr/>
      <dgm:t>
        <a:bodyPr/>
        <a:lstStyle/>
        <a:p>
          <a:endParaRPr lang="en-US"/>
        </a:p>
      </dgm:t>
    </dgm:pt>
    <dgm:pt modelId="{D7463B6B-B2A8-4A3F-8AB6-632DDA365415}" type="pres">
      <dgm:prSet presAssocID="{62672A90-7CAF-49AD-B268-A3DB02F76757}" presName="rootConnector" presStyleLbl="node4" presStyleIdx="4" presStyleCnt="26"/>
      <dgm:spPr/>
      <dgm:t>
        <a:bodyPr/>
        <a:lstStyle/>
        <a:p>
          <a:endParaRPr lang="en-US"/>
        </a:p>
      </dgm:t>
    </dgm:pt>
    <dgm:pt modelId="{85F2A8AB-8E0F-4D02-B623-E3D6F6AB6E4D}" type="pres">
      <dgm:prSet presAssocID="{62672A90-7CAF-49AD-B268-A3DB02F76757}" presName="hierChild4" presStyleCnt="0"/>
      <dgm:spPr/>
      <dgm:t>
        <a:bodyPr/>
        <a:lstStyle/>
        <a:p>
          <a:endParaRPr lang="en-US"/>
        </a:p>
      </dgm:t>
    </dgm:pt>
    <dgm:pt modelId="{BEBA3653-7A36-41E4-98CB-7C377BED5890}" type="pres">
      <dgm:prSet presAssocID="{62672A90-7CAF-49AD-B268-A3DB02F76757}" presName="hierChild5" presStyleCnt="0"/>
      <dgm:spPr/>
      <dgm:t>
        <a:bodyPr/>
        <a:lstStyle/>
        <a:p>
          <a:endParaRPr lang="en-US"/>
        </a:p>
      </dgm:t>
    </dgm:pt>
    <dgm:pt modelId="{74EEA4D1-81B0-4484-95D2-49EEF153C138}" type="pres">
      <dgm:prSet presAssocID="{7DEB7E7F-BBCC-4F86-BE6D-27BD9A85811E}" presName="Name37" presStyleLbl="parChTrans1D4" presStyleIdx="5" presStyleCnt="26"/>
      <dgm:spPr/>
      <dgm:t>
        <a:bodyPr/>
        <a:lstStyle/>
        <a:p>
          <a:endParaRPr lang="en-US"/>
        </a:p>
      </dgm:t>
    </dgm:pt>
    <dgm:pt modelId="{86BFEAC4-EE2E-472F-A537-B79C047F99DF}" type="pres">
      <dgm:prSet presAssocID="{BF924850-AE25-4F84-AA7C-F17560C10E9C}" presName="hierRoot2" presStyleCnt="0">
        <dgm:presLayoutVars>
          <dgm:hierBranch val="init"/>
        </dgm:presLayoutVars>
      </dgm:prSet>
      <dgm:spPr/>
      <dgm:t>
        <a:bodyPr/>
        <a:lstStyle/>
        <a:p>
          <a:endParaRPr lang="en-US"/>
        </a:p>
      </dgm:t>
    </dgm:pt>
    <dgm:pt modelId="{A545CE38-CC88-49CE-BD42-4B3B5DA60279}" type="pres">
      <dgm:prSet presAssocID="{BF924850-AE25-4F84-AA7C-F17560C10E9C}" presName="rootComposite" presStyleCnt="0"/>
      <dgm:spPr/>
      <dgm:t>
        <a:bodyPr/>
        <a:lstStyle/>
        <a:p>
          <a:endParaRPr lang="en-US"/>
        </a:p>
      </dgm:t>
    </dgm:pt>
    <dgm:pt modelId="{7FF8BB1E-E46D-4960-B36F-83A2F92494C6}" type="pres">
      <dgm:prSet presAssocID="{BF924850-AE25-4F84-AA7C-F17560C10E9C}" presName="rootText" presStyleLbl="node4" presStyleIdx="5" presStyleCnt="26">
        <dgm:presLayoutVars>
          <dgm:chPref val="3"/>
        </dgm:presLayoutVars>
      </dgm:prSet>
      <dgm:spPr/>
      <dgm:t>
        <a:bodyPr/>
        <a:lstStyle/>
        <a:p>
          <a:endParaRPr lang="en-US"/>
        </a:p>
      </dgm:t>
    </dgm:pt>
    <dgm:pt modelId="{D11F397A-5FE6-4BA7-A188-211B8166E87E}" type="pres">
      <dgm:prSet presAssocID="{BF924850-AE25-4F84-AA7C-F17560C10E9C}" presName="rootConnector" presStyleLbl="node4" presStyleIdx="5" presStyleCnt="26"/>
      <dgm:spPr/>
      <dgm:t>
        <a:bodyPr/>
        <a:lstStyle/>
        <a:p>
          <a:endParaRPr lang="en-US"/>
        </a:p>
      </dgm:t>
    </dgm:pt>
    <dgm:pt modelId="{9F6F624A-1285-4418-A136-5212E64C46E3}" type="pres">
      <dgm:prSet presAssocID="{BF924850-AE25-4F84-AA7C-F17560C10E9C}" presName="hierChild4" presStyleCnt="0"/>
      <dgm:spPr/>
      <dgm:t>
        <a:bodyPr/>
        <a:lstStyle/>
        <a:p>
          <a:endParaRPr lang="en-US"/>
        </a:p>
      </dgm:t>
    </dgm:pt>
    <dgm:pt modelId="{720B4E17-2EF4-41BA-8A75-1A1AEFEFC053}" type="pres">
      <dgm:prSet presAssocID="{BF924850-AE25-4F84-AA7C-F17560C10E9C}" presName="hierChild5" presStyleCnt="0"/>
      <dgm:spPr/>
      <dgm:t>
        <a:bodyPr/>
        <a:lstStyle/>
        <a:p>
          <a:endParaRPr lang="en-US"/>
        </a:p>
      </dgm:t>
    </dgm:pt>
    <dgm:pt modelId="{DFE7A7AF-A6D5-427E-B30E-3E86608B994C}" type="pres">
      <dgm:prSet presAssocID="{97756902-2B32-4177-B2C9-37BACF1397C9}" presName="Name37" presStyleLbl="parChTrans1D4" presStyleIdx="6" presStyleCnt="26"/>
      <dgm:spPr/>
      <dgm:t>
        <a:bodyPr/>
        <a:lstStyle/>
        <a:p>
          <a:endParaRPr lang="en-US"/>
        </a:p>
      </dgm:t>
    </dgm:pt>
    <dgm:pt modelId="{97C507B0-AD44-4B8E-ADBA-FBB222FCB3A6}" type="pres">
      <dgm:prSet presAssocID="{F0189A45-2E34-4709-A1C3-805917C713DC}" presName="hierRoot2" presStyleCnt="0">
        <dgm:presLayoutVars>
          <dgm:hierBranch val="init"/>
        </dgm:presLayoutVars>
      </dgm:prSet>
      <dgm:spPr/>
      <dgm:t>
        <a:bodyPr/>
        <a:lstStyle/>
        <a:p>
          <a:endParaRPr lang="en-US"/>
        </a:p>
      </dgm:t>
    </dgm:pt>
    <dgm:pt modelId="{3E004484-C733-42B2-BA4D-606150C87F71}" type="pres">
      <dgm:prSet presAssocID="{F0189A45-2E34-4709-A1C3-805917C713DC}" presName="rootComposite" presStyleCnt="0"/>
      <dgm:spPr/>
      <dgm:t>
        <a:bodyPr/>
        <a:lstStyle/>
        <a:p>
          <a:endParaRPr lang="en-US"/>
        </a:p>
      </dgm:t>
    </dgm:pt>
    <dgm:pt modelId="{833E1EE0-7B63-4E76-9280-A34B39BFBE70}" type="pres">
      <dgm:prSet presAssocID="{F0189A45-2E34-4709-A1C3-805917C713DC}" presName="rootText" presStyleLbl="node4" presStyleIdx="6" presStyleCnt="26">
        <dgm:presLayoutVars>
          <dgm:chPref val="3"/>
        </dgm:presLayoutVars>
      </dgm:prSet>
      <dgm:spPr/>
      <dgm:t>
        <a:bodyPr/>
        <a:lstStyle/>
        <a:p>
          <a:endParaRPr lang="en-US"/>
        </a:p>
      </dgm:t>
    </dgm:pt>
    <dgm:pt modelId="{D696A3A3-C3EF-43E2-B229-D54DE7C1D25C}" type="pres">
      <dgm:prSet presAssocID="{F0189A45-2E34-4709-A1C3-805917C713DC}" presName="rootConnector" presStyleLbl="node4" presStyleIdx="6" presStyleCnt="26"/>
      <dgm:spPr/>
      <dgm:t>
        <a:bodyPr/>
        <a:lstStyle/>
        <a:p>
          <a:endParaRPr lang="en-US"/>
        </a:p>
      </dgm:t>
    </dgm:pt>
    <dgm:pt modelId="{54377CB0-3317-42A0-B79A-AA35C9DBC62E}" type="pres">
      <dgm:prSet presAssocID="{F0189A45-2E34-4709-A1C3-805917C713DC}" presName="hierChild4" presStyleCnt="0"/>
      <dgm:spPr/>
      <dgm:t>
        <a:bodyPr/>
        <a:lstStyle/>
        <a:p>
          <a:endParaRPr lang="en-US"/>
        </a:p>
      </dgm:t>
    </dgm:pt>
    <dgm:pt modelId="{4DF21494-C2F2-43BB-8B6A-7BBE1F882A7B}" type="pres">
      <dgm:prSet presAssocID="{F0189A45-2E34-4709-A1C3-805917C713DC}" presName="hierChild5" presStyleCnt="0"/>
      <dgm:spPr/>
      <dgm:t>
        <a:bodyPr/>
        <a:lstStyle/>
        <a:p>
          <a:endParaRPr lang="en-US"/>
        </a:p>
      </dgm:t>
    </dgm:pt>
    <dgm:pt modelId="{D1CDDA2F-D3BE-4EF7-AB4C-852AE6EFE0C2}" type="pres">
      <dgm:prSet presAssocID="{3D4B958B-9A57-4A20-8959-962ED5565CD6}" presName="Name37" presStyleLbl="parChTrans1D4" presStyleIdx="7" presStyleCnt="26"/>
      <dgm:spPr/>
      <dgm:t>
        <a:bodyPr/>
        <a:lstStyle/>
        <a:p>
          <a:endParaRPr lang="en-US"/>
        </a:p>
      </dgm:t>
    </dgm:pt>
    <dgm:pt modelId="{9D16D5F6-01A1-4E41-986D-5C41D49D49A5}" type="pres">
      <dgm:prSet presAssocID="{6E962D37-3D4B-4306-8156-A318D41B4699}" presName="hierRoot2" presStyleCnt="0">
        <dgm:presLayoutVars>
          <dgm:hierBranch val="init"/>
        </dgm:presLayoutVars>
      </dgm:prSet>
      <dgm:spPr/>
      <dgm:t>
        <a:bodyPr/>
        <a:lstStyle/>
        <a:p>
          <a:endParaRPr lang="en-US"/>
        </a:p>
      </dgm:t>
    </dgm:pt>
    <dgm:pt modelId="{C7880D92-0877-4CCB-BAFE-73A0B202954E}" type="pres">
      <dgm:prSet presAssocID="{6E962D37-3D4B-4306-8156-A318D41B4699}" presName="rootComposite" presStyleCnt="0"/>
      <dgm:spPr/>
      <dgm:t>
        <a:bodyPr/>
        <a:lstStyle/>
        <a:p>
          <a:endParaRPr lang="en-US"/>
        </a:p>
      </dgm:t>
    </dgm:pt>
    <dgm:pt modelId="{690E1F8E-BA56-4224-B1E6-0857728CD6FF}" type="pres">
      <dgm:prSet presAssocID="{6E962D37-3D4B-4306-8156-A318D41B4699}" presName="rootText" presStyleLbl="node4" presStyleIdx="7" presStyleCnt="26">
        <dgm:presLayoutVars>
          <dgm:chPref val="3"/>
        </dgm:presLayoutVars>
      </dgm:prSet>
      <dgm:spPr/>
      <dgm:t>
        <a:bodyPr/>
        <a:lstStyle/>
        <a:p>
          <a:endParaRPr lang="en-US"/>
        </a:p>
      </dgm:t>
    </dgm:pt>
    <dgm:pt modelId="{53F6C087-739D-4E62-A1CA-5B7D7E01F6C3}" type="pres">
      <dgm:prSet presAssocID="{6E962D37-3D4B-4306-8156-A318D41B4699}" presName="rootConnector" presStyleLbl="node4" presStyleIdx="7" presStyleCnt="26"/>
      <dgm:spPr/>
      <dgm:t>
        <a:bodyPr/>
        <a:lstStyle/>
        <a:p>
          <a:endParaRPr lang="en-US"/>
        </a:p>
      </dgm:t>
    </dgm:pt>
    <dgm:pt modelId="{7760532B-A59A-4252-963D-56AD248DFF89}" type="pres">
      <dgm:prSet presAssocID="{6E962D37-3D4B-4306-8156-A318D41B4699}" presName="hierChild4" presStyleCnt="0"/>
      <dgm:spPr/>
      <dgm:t>
        <a:bodyPr/>
        <a:lstStyle/>
        <a:p>
          <a:endParaRPr lang="en-US"/>
        </a:p>
      </dgm:t>
    </dgm:pt>
    <dgm:pt modelId="{F581A3EF-7F03-45DF-A703-2B3109EAC48B}" type="pres">
      <dgm:prSet presAssocID="{6E962D37-3D4B-4306-8156-A318D41B4699}" presName="hierChild5" presStyleCnt="0"/>
      <dgm:spPr/>
      <dgm:t>
        <a:bodyPr/>
        <a:lstStyle/>
        <a:p>
          <a:endParaRPr lang="en-US"/>
        </a:p>
      </dgm:t>
    </dgm:pt>
    <dgm:pt modelId="{A8CD6FFF-0D44-4336-9541-97F61EF9630F}" type="pres">
      <dgm:prSet presAssocID="{921E2BAE-8ECD-4D18-BCE7-7A0A493CF81B}" presName="Name37" presStyleLbl="parChTrans1D4" presStyleIdx="8" presStyleCnt="26"/>
      <dgm:spPr/>
      <dgm:t>
        <a:bodyPr/>
        <a:lstStyle/>
        <a:p>
          <a:endParaRPr lang="en-US"/>
        </a:p>
      </dgm:t>
    </dgm:pt>
    <dgm:pt modelId="{9053F5B9-C881-462B-A239-3471BACEB055}" type="pres">
      <dgm:prSet presAssocID="{3F615075-B70E-4323-866E-35854340C70C}" presName="hierRoot2" presStyleCnt="0">
        <dgm:presLayoutVars>
          <dgm:hierBranch val="init"/>
        </dgm:presLayoutVars>
      </dgm:prSet>
      <dgm:spPr/>
      <dgm:t>
        <a:bodyPr/>
        <a:lstStyle/>
        <a:p>
          <a:endParaRPr lang="en-US"/>
        </a:p>
      </dgm:t>
    </dgm:pt>
    <dgm:pt modelId="{6928961B-19DD-4317-AA8C-79F69B840C80}" type="pres">
      <dgm:prSet presAssocID="{3F615075-B70E-4323-866E-35854340C70C}" presName="rootComposite" presStyleCnt="0"/>
      <dgm:spPr/>
      <dgm:t>
        <a:bodyPr/>
        <a:lstStyle/>
        <a:p>
          <a:endParaRPr lang="en-US"/>
        </a:p>
      </dgm:t>
    </dgm:pt>
    <dgm:pt modelId="{C32BC131-12EB-4BD6-A742-551A30AF4616}" type="pres">
      <dgm:prSet presAssocID="{3F615075-B70E-4323-866E-35854340C70C}" presName="rootText" presStyleLbl="node4" presStyleIdx="8" presStyleCnt="26">
        <dgm:presLayoutVars>
          <dgm:chPref val="3"/>
        </dgm:presLayoutVars>
      </dgm:prSet>
      <dgm:spPr/>
      <dgm:t>
        <a:bodyPr/>
        <a:lstStyle/>
        <a:p>
          <a:endParaRPr lang="en-US"/>
        </a:p>
      </dgm:t>
    </dgm:pt>
    <dgm:pt modelId="{F93334BC-6E9B-4FAD-9F17-EAB42872570C}" type="pres">
      <dgm:prSet presAssocID="{3F615075-B70E-4323-866E-35854340C70C}" presName="rootConnector" presStyleLbl="node4" presStyleIdx="8" presStyleCnt="26"/>
      <dgm:spPr/>
      <dgm:t>
        <a:bodyPr/>
        <a:lstStyle/>
        <a:p>
          <a:endParaRPr lang="en-US"/>
        </a:p>
      </dgm:t>
    </dgm:pt>
    <dgm:pt modelId="{665D9742-F0DD-4B0A-B763-F58746F226E8}" type="pres">
      <dgm:prSet presAssocID="{3F615075-B70E-4323-866E-35854340C70C}" presName="hierChild4" presStyleCnt="0"/>
      <dgm:spPr/>
      <dgm:t>
        <a:bodyPr/>
        <a:lstStyle/>
        <a:p>
          <a:endParaRPr lang="en-US"/>
        </a:p>
      </dgm:t>
    </dgm:pt>
    <dgm:pt modelId="{90E65B79-C82F-459A-8F86-2BFF88043929}" type="pres">
      <dgm:prSet presAssocID="{3F615075-B70E-4323-866E-35854340C70C}" presName="hierChild5" presStyleCnt="0"/>
      <dgm:spPr/>
      <dgm:t>
        <a:bodyPr/>
        <a:lstStyle/>
        <a:p>
          <a:endParaRPr lang="en-US"/>
        </a:p>
      </dgm:t>
    </dgm:pt>
    <dgm:pt modelId="{E8FDBABF-C5D9-4C99-ABD1-1F1122F909B2}" type="pres">
      <dgm:prSet presAssocID="{2A784AB7-3FCC-455E-9BDF-53131CC18768}" presName="hierChild5" presStyleCnt="0"/>
      <dgm:spPr/>
      <dgm:t>
        <a:bodyPr/>
        <a:lstStyle/>
        <a:p>
          <a:endParaRPr lang="en-US"/>
        </a:p>
      </dgm:t>
    </dgm:pt>
    <dgm:pt modelId="{84BD567D-8E01-437D-9DA5-0BFF0A658B15}" type="pres">
      <dgm:prSet presAssocID="{F7FFF2EB-B06C-4DF7-963C-E445598AF125}" presName="Name37" presStyleLbl="parChTrans1D3" presStyleIdx="2" presStyleCnt="9"/>
      <dgm:spPr/>
      <dgm:t>
        <a:bodyPr/>
        <a:lstStyle/>
        <a:p>
          <a:endParaRPr lang="en-US"/>
        </a:p>
      </dgm:t>
    </dgm:pt>
    <dgm:pt modelId="{E55E952B-ABD8-432B-A582-AE0FE87BE8E5}" type="pres">
      <dgm:prSet presAssocID="{2767C2DA-232B-4B41-B367-038B922184F3}" presName="hierRoot2" presStyleCnt="0">
        <dgm:presLayoutVars>
          <dgm:hierBranch val="init"/>
        </dgm:presLayoutVars>
      </dgm:prSet>
      <dgm:spPr/>
      <dgm:t>
        <a:bodyPr/>
        <a:lstStyle/>
        <a:p>
          <a:endParaRPr lang="en-US"/>
        </a:p>
      </dgm:t>
    </dgm:pt>
    <dgm:pt modelId="{CAE68A94-FE58-4C54-B5B4-23E46FEDF0BC}" type="pres">
      <dgm:prSet presAssocID="{2767C2DA-232B-4B41-B367-038B922184F3}" presName="rootComposite" presStyleCnt="0"/>
      <dgm:spPr/>
      <dgm:t>
        <a:bodyPr/>
        <a:lstStyle/>
        <a:p>
          <a:endParaRPr lang="en-US"/>
        </a:p>
      </dgm:t>
    </dgm:pt>
    <dgm:pt modelId="{E5DBD7D4-A4C9-4895-986B-C62670EAECE3}" type="pres">
      <dgm:prSet presAssocID="{2767C2DA-232B-4B41-B367-038B922184F3}" presName="rootText" presStyleLbl="node3" presStyleIdx="2" presStyleCnt="7">
        <dgm:presLayoutVars>
          <dgm:chPref val="3"/>
        </dgm:presLayoutVars>
      </dgm:prSet>
      <dgm:spPr/>
      <dgm:t>
        <a:bodyPr/>
        <a:lstStyle/>
        <a:p>
          <a:endParaRPr lang="en-US"/>
        </a:p>
      </dgm:t>
    </dgm:pt>
    <dgm:pt modelId="{93FAA15F-730B-4081-8E44-B46724ACB523}" type="pres">
      <dgm:prSet presAssocID="{2767C2DA-232B-4B41-B367-038B922184F3}" presName="rootConnector" presStyleLbl="node3" presStyleIdx="2" presStyleCnt="7"/>
      <dgm:spPr/>
      <dgm:t>
        <a:bodyPr/>
        <a:lstStyle/>
        <a:p>
          <a:endParaRPr lang="en-US"/>
        </a:p>
      </dgm:t>
    </dgm:pt>
    <dgm:pt modelId="{787EDC6C-C682-4C0B-B7B5-CBAC23771B13}" type="pres">
      <dgm:prSet presAssocID="{2767C2DA-232B-4B41-B367-038B922184F3}" presName="hierChild4" presStyleCnt="0"/>
      <dgm:spPr/>
      <dgm:t>
        <a:bodyPr/>
        <a:lstStyle/>
        <a:p>
          <a:endParaRPr lang="en-US"/>
        </a:p>
      </dgm:t>
    </dgm:pt>
    <dgm:pt modelId="{4710CF54-A3A9-402E-A7C8-05E928D99597}" type="pres">
      <dgm:prSet presAssocID="{CFFDB943-084B-416E-9CF0-CFA0B744550E}" presName="Name37" presStyleLbl="parChTrans1D4" presStyleIdx="9" presStyleCnt="26"/>
      <dgm:spPr/>
      <dgm:t>
        <a:bodyPr/>
        <a:lstStyle/>
        <a:p>
          <a:endParaRPr lang="en-US"/>
        </a:p>
      </dgm:t>
    </dgm:pt>
    <dgm:pt modelId="{F1EEB1E6-9E79-4754-AF2E-83473CDB7A39}" type="pres">
      <dgm:prSet presAssocID="{7B409E53-1886-4EC2-9E74-B45776421CC6}" presName="hierRoot2" presStyleCnt="0">
        <dgm:presLayoutVars>
          <dgm:hierBranch val="init"/>
        </dgm:presLayoutVars>
      </dgm:prSet>
      <dgm:spPr/>
      <dgm:t>
        <a:bodyPr/>
        <a:lstStyle/>
        <a:p>
          <a:endParaRPr lang="en-US"/>
        </a:p>
      </dgm:t>
    </dgm:pt>
    <dgm:pt modelId="{42C8B343-4502-4C32-BEA6-33131A0712C1}" type="pres">
      <dgm:prSet presAssocID="{7B409E53-1886-4EC2-9E74-B45776421CC6}" presName="rootComposite" presStyleCnt="0"/>
      <dgm:spPr/>
      <dgm:t>
        <a:bodyPr/>
        <a:lstStyle/>
        <a:p>
          <a:endParaRPr lang="en-US"/>
        </a:p>
      </dgm:t>
    </dgm:pt>
    <dgm:pt modelId="{86B324B5-4C5F-4B40-81CA-33305B4C9D37}" type="pres">
      <dgm:prSet presAssocID="{7B409E53-1886-4EC2-9E74-B45776421CC6}" presName="rootText" presStyleLbl="node4" presStyleIdx="9" presStyleCnt="26">
        <dgm:presLayoutVars>
          <dgm:chPref val="3"/>
        </dgm:presLayoutVars>
      </dgm:prSet>
      <dgm:spPr/>
      <dgm:t>
        <a:bodyPr/>
        <a:lstStyle/>
        <a:p>
          <a:endParaRPr lang="en-US"/>
        </a:p>
      </dgm:t>
    </dgm:pt>
    <dgm:pt modelId="{C433F8EB-F5CC-46D1-B8EE-2DEA599B19A1}" type="pres">
      <dgm:prSet presAssocID="{7B409E53-1886-4EC2-9E74-B45776421CC6}" presName="rootConnector" presStyleLbl="node4" presStyleIdx="9" presStyleCnt="26"/>
      <dgm:spPr/>
      <dgm:t>
        <a:bodyPr/>
        <a:lstStyle/>
        <a:p>
          <a:endParaRPr lang="en-US"/>
        </a:p>
      </dgm:t>
    </dgm:pt>
    <dgm:pt modelId="{BF573655-49BF-4396-B83F-333B988A60C9}" type="pres">
      <dgm:prSet presAssocID="{7B409E53-1886-4EC2-9E74-B45776421CC6}" presName="hierChild4" presStyleCnt="0"/>
      <dgm:spPr/>
      <dgm:t>
        <a:bodyPr/>
        <a:lstStyle/>
        <a:p>
          <a:endParaRPr lang="en-US"/>
        </a:p>
      </dgm:t>
    </dgm:pt>
    <dgm:pt modelId="{C44E4333-A20C-442D-AD1E-21C21FBADA8C}" type="pres">
      <dgm:prSet presAssocID="{7B409E53-1886-4EC2-9E74-B45776421CC6}" presName="hierChild5" presStyleCnt="0"/>
      <dgm:spPr/>
      <dgm:t>
        <a:bodyPr/>
        <a:lstStyle/>
        <a:p>
          <a:endParaRPr lang="en-US"/>
        </a:p>
      </dgm:t>
    </dgm:pt>
    <dgm:pt modelId="{0AAA3537-3730-47B2-A25C-4BF8248C993C}" type="pres">
      <dgm:prSet presAssocID="{47D4B632-527B-4605-AB24-A18BDCA61843}" presName="Name37" presStyleLbl="parChTrans1D4" presStyleIdx="10" presStyleCnt="26"/>
      <dgm:spPr/>
      <dgm:t>
        <a:bodyPr/>
        <a:lstStyle/>
        <a:p>
          <a:endParaRPr lang="en-US"/>
        </a:p>
      </dgm:t>
    </dgm:pt>
    <dgm:pt modelId="{4EC8CB8D-C12B-4142-A34B-4D3A3F068F37}" type="pres">
      <dgm:prSet presAssocID="{8D71E889-F3F5-445E-B63F-42431830C90B}" presName="hierRoot2" presStyleCnt="0">
        <dgm:presLayoutVars>
          <dgm:hierBranch val="init"/>
        </dgm:presLayoutVars>
      </dgm:prSet>
      <dgm:spPr/>
      <dgm:t>
        <a:bodyPr/>
        <a:lstStyle/>
        <a:p>
          <a:endParaRPr lang="en-US"/>
        </a:p>
      </dgm:t>
    </dgm:pt>
    <dgm:pt modelId="{9C8B6B07-E269-4E78-BBBF-3E9C1EFD3C5E}" type="pres">
      <dgm:prSet presAssocID="{8D71E889-F3F5-445E-B63F-42431830C90B}" presName="rootComposite" presStyleCnt="0"/>
      <dgm:spPr/>
      <dgm:t>
        <a:bodyPr/>
        <a:lstStyle/>
        <a:p>
          <a:endParaRPr lang="en-US"/>
        </a:p>
      </dgm:t>
    </dgm:pt>
    <dgm:pt modelId="{5C79BCB9-A161-4A60-8658-BBD9AA25F8A1}" type="pres">
      <dgm:prSet presAssocID="{8D71E889-F3F5-445E-B63F-42431830C90B}" presName="rootText" presStyleLbl="node4" presStyleIdx="10" presStyleCnt="26">
        <dgm:presLayoutVars>
          <dgm:chPref val="3"/>
        </dgm:presLayoutVars>
      </dgm:prSet>
      <dgm:spPr/>
      <dgm:t>
        <a:bodyPr/>
        <a:lstStyle/>
        <a:p>
          <a:endParaRPr lang="en-US"/>
        </a:p>
      </dgm:t>
    </dgm:pt>
    <dgm:pt modelId="{C84DE3DD-DC83-485C-A2DC-DC1E781A9EC8}" type="pres">
      <dgm:prSet presAssocID="{8D71E889-F3F5-445E-B63F-42431830C90B}" presName="rootConnector" presStyleLbl="node4" presStyleIdx="10" presStyleCnt="26"/>
      <dgm:spPr/>
      <dgm:t>
        <a:bodyPr/>
        <a:lstStyle/>
        <a:p>
          <a:endParaRPr lang="en-US"/>
        </a:p>
      </dgm:t>
    </dgm:pt>
    <dgm:pt modelId="{5CE64C7A-EBF7-477B-A4D4-7D1365B1C336}" type="pres">
      <dgm:prSet presAssocID="{8D71E889-F3F5-445E-B63F-42431830C90B}" presName="hierChild4" presStyleCnt="0"/>
      <dgm:spPr/>
      <dgm:t>
        <a:bodyPr/>
        <a:lstStyle/>
        <a:p>
          <a:endParaRPr lang="en-US"/>
        </a:p>
      </dgm:t>
    </dgm:pt>
    <dgm:pt modelId="{54503D5D-89AA-443B-910B-B03F686A131D}" type="pres">
      <dgm:prSet presAssocID="{8D71E889-F3F5-445E-B63F-42431830C90B}" presName="hierChild5" presStyleCnt="0"/>
      <dgm:spPr/>
      <dgm:t>
        <a:bodyPr/>
        <a:lstStyle/>
        <a:p>
          <a:endParaRPr lang="en-US"/>
        </a:p>
      </dgm:t>
    </dgm:pt>
    <dgm:pt modelId="{DA329912-A857-488C-94DB-3C326E7744CB}" type="pres">
      <dgm:prSet presAssocID="{FB6E8F28-AB76-4ABF-B9CF-F59CB9737650}" presName="Name37" presStyleLbl="parChTrans1D4" presStyleIdx="11" presStyleCnt="26"/>
      <dgm:spPr/>
      <dgm:t>
        <a:bodyPr/>
        <a:lstStyle/>
        <a:p>
          <a:endParaRPr lang="en-US"/>
        </a:p>
      </dgm:t>
    </dgm:pt>
    <dgm:pt modelId="{A0282B0F-7521-4DE6-9D98-D2044A470551}" type="pres">
      <dgm:prSet presAssocID="{A102C5B0-E9E0-4753-9229-8F491AB51C29}" presName="hierRoot2" presStyleCnt="0">
        <dgm:presLayoutVars>
          <dgm:hierBranch val="init"/>
        </dgm:presLayoutVars>
      </dgm:prSet>
      <dgm:spPr/>
      <dgm:t>
        <a:bodyPr/>
        <a:lstStyle/>
        <a:p>
          <a:endParaRPr lang="en-US"/>
        </a:p>
      </dgm:t>
    </dgm:pt>
    <dgm:pt modelId="{65032EFA-9F0C-4277-99AD-074238FDC739}" type="pres">
      <dgm:prSet presAssocID="{A102C5B0-E9E0-4753-9229-8F491AB51C29}" presName="rootComposite" presStyleCnt="0"/>
      <dgm:spPr/>
      <dgm:t>
        <a:bodyPr/>
        <a:lstStyle/>
        <a:p>
          <a:endParaRPr lang="en-US"/>
        </a:p>
      </dgm:t>
    </dgm:pt>
    <dgm:pt modelId="{B0AFA7D8-7571-49EF-BFE2-5EE254842664}" type="pres">
      <dgm:prSet presAssocID="{A102C5B0-E9E0-4753-9229-8F491AB51C29}" presName="rootText" presStyleLbl="node4" presStyleIdx="11" presStyleCnt="26">
        <dgm:presLayoutVars>
          <dgm:chPref val="3"/>
        </dgm:presLayoutVars>
      </dgm:prSet>
      <dgm:spPr/>
      <dgm:t>
        <a:bodyPr/>
        <a:lstStyle/>
        <a:p>
          <a:endParaRPr lang="en-US"/>
        </a:p>
      </dgm:t>
    </dgm:pt>
    <dgm:pt modelId="{D38DB8B5-2D8E-40B5-A22E-1BC48D1429C5}" type="pres">
      <dgm:prSet presAssocID="{A102C5B0-E9E0-4753-9229-8F491AB51C29}" presName="rootConnector" presStyleLbl="node4" presStyleIdx="11" presStyleCnt="26"/>
      <dgm:spPr/>
      <dgm:t>
        <a:bodyPr/>
        <a:lstStyle/>
        <a:p>
          <a:endParaRPr lang="en-US"/>
        </a:p>
      </dgm:t>
    </dgm:pt>
    <dgm:pt modelId="{7F2F0EE1-8C2B-4B24-9221-8122C1802AF9}" type="pres">
      <dgm:prSet presAssocID="{A102C5B0-E9E0-4753-9229-8F491AB51C29}" presName="hierChild4" presStyleCnt="0"/>
      <dgm:spPr/>
      <dgm:t>
        <a:bodyPr/>
        <a:lstStyle/>
        <a:p>
          <a:endParaRPr lang="en-US"/>
        </a:p>
      </dgm:t>
    </dgm:pt>
    <dgm:pt modelId="{34137A0B-E51C-4D2B-8F06-ECAC92085F07}" type="pres">
      <dgm:prSet presAssocID="{A102C5B0-E9E0-4753-9229-8F491AB51C29}" presName="hierChild5" presStyleCnt="0"/>
      <dgm:spPr/>
      <dgm:t>
        <a:bodyPr/>
        <a:lstStyle/>
        <a:p>
          <a:endParaRPr lang="en-US"/>
        </a:p>
      </dgm:t>
    </dgm:pt>
    <dgm:pt modelId="{2F83ECF2-CD31-4FC3-9FB6-A339D97DE729}" type="pres">
      <dgm:prSet presAssocID="{E6050EF8-2B32-4233-ABBC-B865C91E054E}" presName="Name37" presStyleLbl="parChTrans1D4" presStyleIdx="12" presStyleCnt="26"/>
      <dgm:spPr/>
      <dgm:t>
        <a:bodyPr/>
        <a:lstStyle/>
        <a:p>
          <a:endParaRPr lang="en-US"/>
        </a:p>
      </dgm:t>
    </dgm:pt>
    <dgm:pt modelId="{252FA277-4F66-4EE0-95CF-BCD08694E4B2}" type="pres">
      <dgm:prSet presAssocID="{084116D5-ACDB-413D-9197-9E3745714267}" presName="hierRoot2" presStyleCnt="0">
        <dgm:presLayoutVars>
          <dgm:hierBranch val="init"/>
        </dgm:presLayoutVars>
      </dgm:prSet>
      <dgm:spPr/>
      <dgm:t>
        <a:bodyPr/>
        <a:lstStyle/>
        <a:p>
          <a:endParaRPr lang="en-US"/>
        </a:p>
      </dgm:t>
    </dgm:pt>
    <dgm:pt modelId="{A70D6A32-89E8-42B2-9BDA-371BEB80A7FE}" type="pres">
      <dgm:prSet presAssocID="{084116D5-ACDB-413D-9197-9E3745714267}" presName="rootComposite" presStyleCnt="0"/>
      <dgm:spPr/>
      <dgm:t>
        <a:bodyPr/>
        <a:lstStyle/>
        <a:p>
          <a:endParaRPr lang="en-US"/>
        </a:p>
      </dgm:t>
    </dgm:pt>
    <dgm:pt modelId="{8F6B5635-734A-4DAA-A506-A615038F09C4}" type="pres">
      <dgm:prSet presAssocID="{084116D5-ACDB-413D-9197-9E3745714267}" presName="rootText" presStyleLbl="node4" presStyleIdx="12" presStyleCnt="26">
        <dgm:presLayoutVars>
          <dgm:chPref val="3"/>
        </dgm:presLayoutVars>
      </dgm:prSet>
      <dgm:spPr/>
      <dgm:t>
        <a:bodyPr/>
        <a:lstStyle/>
        <a:p>
          <a:endParaRPr lang="en-US"/>
        </a:p>
      </dgm:t>
    </dgm:pt>
    <dgm:pt modelId="{2AE85425-1A62-4CD6-8970-BA817DECA633}" type="pres">
      <dgm:prSet presAssocID="{084116D5-ACDB-413D-9197-9E3745714267}" presName="rootConnector" presStyleLbl="node4" presStyleIdx="12" presStyleCnt="26"/>
      <dgm:spPr/>
      <dgm:t>
        <a:bodyPr/>
        <a:lstStyle/>
        <a:p>
          <a:endParaRPr lang="en-US"/>
        </a:p>
      </dgm:t>
    </dgm:pt>
    <dgm:pt modelId="{E3D3E03F-F92F-463B-9359-099CE6DB56DD}" type="pres">
      <dgm:prSet presAssocID="{084116D5-ACDB-413D-9197-9E3745714267}" presName="hierChild4" presStyleCnt="0"/>
      <dgm:spPr/>
      <dgm:t>
        <a:bodyPr/>
        <a:lstStyle/>
        <a:p>
          <a:endParaRPr lang="en-US"/>
        </a:p>
      </dgm:t>
    </dgm:pt>
    <dgm:pt modelId="{F3900259-0F29-4F90-A45A-D3154770E952}" type="pres">
      <dgm:prSet presAssocID="{084116D5-ACDB-413D-9197-9E3745714267}" presName="hierChild5" presStyleCnt="0"/>
      <dgm:spPr/>
      <dgm:t>
        <a:bodyPr/>
        <a:lstStyle/>
        <a:p>
          <a:endParaRPr lang="en-US"/>
        </a:p>
      </dgm:t>
    </dgm:pt>
    <dgm:pt modelId="{F95BE8BD-E2AB-4ECD-AD56-8720730DC555}" type="pres">
      <dgm:prSet presAssocID="{2767C2DA-232B-4B41-B367-038B922184F3}" presName="hierChild5" presStyleCnt="0"/>
      <dgm:spPr/>
      <dgm:t>
        <a:bodyPr/>
        <a:lstStyle/>
        <a:p>
          <a:endParaRPr lang="en-US"/>
        </a:p>
      </dgm:t>
    </dgm:pt>
    <dgm:pt modelId="{D337EBB1-B222-490D-A87B-D5E7B9ECB10F}" type="pres">
      <dgm:prSet presAssocID="{2F255E3F-7E4A-41EC-BFDE-17171F2B1855}" presName="Name37" presStyleLbl="parChTrans1D3" presStyleIdx="3" presStyleCnt="9"/>
      <dgm:spPr/>
      <dgm:t>
        <a:bodyPr/>
        <a:lstStyle/>
        <a:p>
          <a:endParaRPr lang="en-US"/>
        </a:p>
      </dgm:t>
    </dgm:pt>
    <dgm:pt modelId="{CEDE25A8-AE74-4FDE-8D39-B6889B64B3E1}" type="pres">
      <dgm:prSet presAssocID="{BC67051E-A298-4E3A-9207-A46E88251741}" presName="hierRoot2" presStyleCnt="0">
        <dgm:presLayoutVars>
          <dgm:hierBranch val="init"/>
        </dgm:presLayoutVars>
      </dgm:prSet>
      <dgm:spPr/>
      <dgm:t>
        <a:bodyPr/>
        <a:lstStyle/>
        <a:p>
          <a:endParaRPr lang="en-US"/>
        </a:p>
      </dgm:t>
    </dgm:pt>
    <dgm:pt modelId="{492FAE36-C363-4BE1-B776-00C38D4AFF95}" type="pres">
      <dgm:prSet presAssocID="{BC67051E-A298-4E3A-9207-A46E88251741}" presName="rootComposite" presStyleCnt="0"/>
      <dgm:spPr/>
      <dgm:t>
        <a:bodyPr/>
        <a:lstStyle/>
        <a:p>
          <a:endParaRPr lang="en-US"/>
        </a:p>
      </dgm:t>
    </dgm:pt>
    <dgm:pt modelId="{17BB04ED-8870-4189-A2D1-304A30928E94}" type="pres">
      <dgm:prSet presAssocID="{BC67051E-A298-4E3A-9207-A46E88251741}" presName="rootText" presStyleLbl="node3" presStyleIdx="3" presStyleCnt="7">
        <dgm:presLayoutVars>
          <dgm:chPref val="3"/>
        </dgm:presLayoutVars>
      </dgm:prSet>
      <dgm:spPr/>
      <dgm:t>
        <a:bodyPr/>
        <a:lstStyle/>
        <a:p>
          <a:endParaRPr lang="en-US"/>
        </a:p>
      </dgm:t>
    </dgm:pt>
    <dgm:pt modelId="{2F52FCDF-3E10-458C-9773-CC94CF9E4CD7}" type="pres">
      <dgm:prSet presAssocID="{BC67051E-A298-4E3A-9207-A46E88251741}" presName="rootConnector" presStyleLbl="node3" presStyleIdx="3" presStyleCnt="7"/>
      <dgm:spPr/>
      <dgm:t>
        <a:bodyPr/>
        <a:lstStyle/>
        <a:p>
          <a:endParaRPr lang="en-US"/>
        </a:p>
      </dgm:t>
    </dgm:pt>
    <dgm:pt modelId="{1CB10650-1AD6-4098-B401-99FD8757DA13}" type="pres">
      <dgm:prSet presAssocID="{BC67051E-A298-4E3A-9207-A46E88251741}" presName="hierChild4" presStyleCnt="0"/>
      <dgm:spPr/>
      <dgm:t>
        <a:bodyPr/>
        <a:lstStyle/>
        <a:p>
          <a:endParaRPr lang="en-US"/>
        </a:p>
      </dgm:t>
    </dgm:pt>
    <dgm:pt modelId="{5F6D1291-1446-44F8-8897-A6255D4599B7}" type="pres">
      <dgm:prSet presAssocID="{D4FD9C6F-4591-423B-A014-EE5C7D38C75B}" presName="Name37" presStyleLbl="parChTrans1D4" presStyleIdx="13" presStyleCnt="26"/>
      <dgm:spPr/>
      <dgm:t>
        <a:bodyPr/>
        <a:lstStyle/>
        <a:p>
          <a:endParaRPr lang="en-US"/>
        </a:p>
      </dgm:t>
    </dgm:pt>
    <dgm:pt modelId="{953522FF-C41A-4F78-88A2-491A2F240864}" type="pres">
      <dgm:prSet presAssocID="{7EC7984B-535E-43E5-AF63-879857FF3A93}" presName="hierRoot2" presStyleCnt="0">
        <dgm:presLayoutVars>
          <dgm:hierBranch val="init"/>
        </dgm:presLayoutVars>
      </dgm:prSet>
      <dgm:spPr/>
      <dgm:t>
        <a:bodyPr/>
        <a:lstStyle/>
        <a:p>
          <a:endParaRPr lang="en-US"/>
        </a:p>
      </dgm:t>
    </dgm:pt>
    <dgm:pt modelId="{428B61BC-13CB-49AC-8D4E-D09C5B5A6FD0}" type="pres">
      <dgm:prSet presAssocID="{7EC7984B-535E-43E5-AF63-879857FF3A93}" presName="rootComposite" presStyleCnt="0"/>
      <dgm:spPr/>
      <dgm:t>
        <a:bodyPr/>
        <a:lstStyle/>
        <a:p>
          <a:endParaRPr lang="en-US"/>
        </a:p>
      </dgm:t>
    </dgm:pt>
    <dgm:pt modelId="{02370D6B-7D42-4BE2-8B33-1D4391412BB8}" type="pres">
      <dgm:prSet presAssocID="{7EC7984B-535E-43E5-AF63-879857FF3A93}" presName="rootText" presStyleLbl="node4" presStyleIdx="13" presStyleCnt="26">
        <dgm:presLayoutVars>
          <dgm:chPref val="3"/>
        </dgm:presLayoutVars>
      </dgm:prSet>
      <dgm:spPr/>
      <dgm:t>
        <a:bodyPr/>
        <a:lstStyle/>
        <a:p>
          <a:endParaRPr lang="en-US"/>
        </a:p>
      </dgm:t>
    </dgm:pt>
    <dgm:pt modelId="{121E68E7-A92D-483C-B707-5ABBEC0C91C0}" type="pres">
      <dgm:prSet presAssocID="{7EC7984B-535E-43E5-AF63-879857FF3A93}" presName="rootConnector" presStyleLbl="node4" presStyleIdx="13" presStyleCnt="26"/>
      <dgm:spPr/>
      <dgm:t>
        <a:bodyPr/>
        <a:lstStyle/>
        <a:p>
          <a:endParaRPr lang="en-US"/>
        </a:p>
      </dgm:t>
    </dgm:pt>
    <dgm:pt modelId="{E6A19A6A-0C31-4821-A7A6-73189A4FD84A}" type="pres">
      <dgm:prSet presAssocID="{7EC7984B-535E-43E5-AF63-879857FF3A93}" presName="hierChild4" presStyleCnt="0"/>
      <dgm:spPr/>
      <dgm:t>
        <a:bodyPr/>
        <a:lstStyle/>
        <a:p>
          <a:endParaRPr lang="en-US"/>
        </a:p>
      </dgm:t>
    </dgm:pt>
    <dgm:pt modelId="{B8AF2E3D-818C-438E-9EAC-91017210F5BB}" type="pres">
      <dgm:prSet presAssocID="{7EC7984B-535E-43E5-AF63-879857FF3A93}" presName="hierChild5" presStyleCnt="0"/>
      <dgm:spPr/>
      <dgm:t>
        <a:bodyPr/>
        <a:lstStyle/>
        <a:p>
          <a:endParaRPr lang="en-US"/>
        </a:p>
      </dgm:t>
    </dgm:pt>
    <dgm:pt modelId="{88154A89-3234-4FF6-9CAF-76D073CDE153}" type="pres">
      <dgm:prSet presAssocID="{9BA4A2A6-59AE-40AD-B6E3-78963E194551}" presName="Name37" presStyleLbl="parChTrans1D4" presStyleIdx="14" presStyleCnt="26"/>
      <dgm:spPr/>
      <dgm:t>
        <a:bodyPr/>
        <a:lstStyle/>
        <a:p>
          <a:endParaRPr lang="en-US"/>
        </a:p>
      </dgm:t>
    </dgm:pt>
    <dgm:pt modelId="{33919E5A-64E0-4558-AFB6-F7FE82140109}" type="pres">
      <dgm:prSet presAssocID="{04342B47-669E-4685-907E-C1EB04B02899}" presName="hierRoot2" presStyleCnt="0">
        <dgm:presLayoutVars>
          <dgm:hierBranch val="init"/>
        </dgm:presLayoutVars>
      </dgm:prSet>
      <dgm:spPr/>
      <dgm:t>
        <a:bodyPr/>
        <a:lstStyle/>
        <a:p>
          <a:endParaRPr lang="en-US"/>
        </a:p>
      </dgm:t>
    </dgm:pt>
    <dgm:pt modelId="{283D594B-6E59-47EF-AFDC-D490DE0C783D}" type="pres">
      <dgm:prSet presAssocID="{04342B47-669E-4685-907E-C1EB04B02899}" presName="rootComposite" presStyleCnt="0"/>
      <dgm:spPr/>
      <dgm:t>
        <a:bodyPr/>
        <a:lstStyle/>
        <a:p>
          <a:endParaRPr lang="en-US"/>
        </a:p>
      </dgm:t>
    </dgm:pt>
    <dgm:pt modelId="{5163CAA6-A213-4C7B-9436-68AC9D1B59A0}" type="pres">
      <dgm:prSet presAssocID="{04342B47-669E-4685-907E-C1EB04B02899}" presName="rootText" presStyleLbl="node4" presStyleIdx="14" presStyleCnt="26">
        <dgm:presLayoutVars>
          <dgm:chPref val="3"/>
        </dgm:presLayoutVars>
      </dgm:prSet>
      <dgm:spPr/>
      <dgm:t>
        <a:bodyPr/>
        <a:lstStyle/>
        <a:p>
          <a:endParaRPr lang="en-US"/>
        </a:p>
      </dgm:t>
    </dgm:pt>
    <dgm:pt modelId="{23897CED-9A93-4B50-9A38-6AA5D047E104}" type="pres">
      <dgm:prSet presAssocID="{04342B47-669E-4685-907E-C1EB04B02899}" presName="rootConnector" presStyleLbl="node4" presStyleIdx="14" presStyleCnt="26"/>
      <dgm:spPr/>
      <dgm:t>
        <a:bodyPr/>
        <a:lstStyle/>
        <a:p>
          <a:endParaRPr lang="en-US"/>
        </a:p>
      </dgm:t>
    </dgm:pt>
    <dgm:pt modelId="{9130ACC5-6E56-41D8-827C-A60FB1A38FD2}" type="pres">
      <dgm:prSet presAssocID="{04342B47-669E-4685-907E-C1EB04B02899}" presName="hierChild4" presStyleCnt="0"/>
      <dgm:spPr/>
      <dgm:t>
        <a:bodyPr/>
        <a:lstStyle/>
        <a:p>
          <a:endParaRPr lang="en-US"/>
        </a:p>
      </dgm:t>
    </dgm:pt>
    <dgm:pt modelId="{A6610C96-BFFD-485C-B7B9-25512849E48A}" type="pres">
      <dgm:prSet presAssocID="{04342B47-669E-4685-907E-C1EB04B02899}" presName="hierChild5" presStyleCnt="0"/>
      <dgm:spPr/>
      <dgm:t>
        <a:bodyPr/>
        <a:lstStyle/>
        <a:p>
          <a:endParaRPr lang="en-US"/>
        </a:p>
      </dgm:t>
    </dgm:pt>
    <dgm:pt modelId="{DF8E606A-4D9D-4120-8375-2850ECB8F45C}" type="pres">
      <dgm:prSet presAssocID="{1F0922F6-1706-4037-AB5E-AEBFDAEACCE6}" presName="Name37" presStyleLbl="parChTrans1D4" presStyleIdx="15" presStyleCnt="26"/>
      <dgm:spPr/>
      <dgm:t>
        <a:bodyPr/>
        <a:lstStyle/>
        <a:p>
          <a:endParaRPr lang="en-US"/>
        </a:p>
      </dgm:t>
    </dgm:pt>
    <dgm:pt modelId="{2C015BC8-E1C4-4400-B476-0776BFB7AF22}" type="pres">
      <dgm:prSet presAssocID="{ED98E2D3-C9BD-45A1-9DA2-27A597323A64}" presName="hierRoot2" presStyleCnt="0">
        <dgm:presLayoutVars>
          <dgm:hierBranch val="init"/>
        </dgm:presLayoutVars>
      </dgm:prSet>
      <dgm:spPr/>
      <dgm:t>
        <a:bodyPr/>
        <a:lstStyle/>
        <a:p>
          <a:endParaRPr lang="en-US"/>
        </a:p>
      </dgm:t>
    </dgm:pt>
    <dgm:pt modelId="{251233E0-BE95-4EC7-94E1-3E2A49A71778}" type="pres">
      <dgm:prSet presAssocID="{ED98E2D3-C9BD-45A1-9DA2-27A597323A64}" presName="rootComposite" presStyleCnt="0"/>
      <dgm:spPr/>
      <dgm:t>
        <a:bodyPr/>
        <a:lstStyle/>
        <a:p>
          <a:endParaRPr lang="en-US"/>
        </a:p>
      </dgm:t>
    </dgm:pt>
    <dgm:pt modelId="{1D828269-77E2-4F01-A00D-ED44A585EB4F}" type="pres">
      <dgm:prSet presAssocID="{ED98E2D3-C9BD-45A1-9DA2-27A597323A64}" presName="rootText" presStyleLbl="node4" presStyleIdx="15" presStyleCnt="26">
        <dgm:presLayoutVars>
          <dgm:chPref val="3"/>
        </dgm:presLayoutVars>
      </dgm:prSet>
      <dgm:spPr/>
      <dgm:t>
        <a:bodyPr/>
        <a:lstStyle/>
        <a:p>
          <a:endParaRPr lang="en-US"/>
        </a:p>
      </dgm:t>
    </dgm:pt>
    <dgm:pt modelId="{1962B015-1F51-48D6-8411-FEC47A7E1D8B}" type="pres">
      <dgm:prSet presAssocID="{ED98E2D3-C9BD-45A1-9DA2-27A597323A64}" presName="rootConnector" presStyleLbl="node4" presStyleIdx="15" presStyleCnt="26"/>
      <dgm:spPr/>
      <dgm:t>
        <a:bodyPr/>
        <a:lstStyle/>
        <a:p>
          <a:endParaRPr lang="en-US"/>
        </a:p>
      </dgm:t>
    </dgm:pt>
    <dgm:pt modelId="{DC99863D-DE85-4C6F-B1A2-6FA962245E22}" type="pres">
      <dgm:prSet presAssocID="{ED98E2D3-C9BD-45A1-9DA2-27A597323A64}" presName="hierChild4" presStyleCnt="0"/>
      <dgm:spPr/>
      <dgm:t>
        <a:bodyPr/>
        <a:lstStyle/>
        <a:p>
          <a:endParaRPr lang="en-US"/>
        </a:p>
      </dgm:t>
    </dgm:pt>
    <dgm:pt modelId="{F186A4B2-FEA8-4621-80C2-B079A2056F1F}" type="pres">
      <dgm:prSet presAssocID="{ED98E2D3-C9BD-45A1-9DA2-27A597323A64}" presName="hierChild5" presStyleCnt="0"/>
      <dgm:spPr/>
      <dgm:t>
        <a:bodyPr/>
        <a:lstStyle/>
        <a:p>
          <a:endParaRPr lang="en-US"/>
        </a:p>
      </dgm:t>
    </dgm:pt>
    <dgm:pt modelId="{59DA4878-1FAF-44A5-BEC5-A077F1B473D2}" type="pres">
      <dgm:prSet presAssocID="{BC67051E-A298-4E3A-9207-A46E88251741}" presName="hierChild5" presStyleCnt="0"/>
      <dgm:spPr/>
      <dgm:t>
        <a:bodyPr/>
        <a:lstStyle/>
        <a:p>
          <a:endParaRPr lang="en-US"/>
        </a:p>
      </dgm:t>
    </dgm:pt>
    <dgm:pt modelId="{CF9E67A9-D60A-429A-92EF-031DD07BDC39}" type="pres">
      <dgm:prSet presAssocID="{9313738B-7227-4FC5-9DA5-CD7C54687828}" presName="Name37" presStyleLbl="parChTrans1D3" presStyleIdx="4" presStyleCnt="9"/>
      <dgm:spPr/>
      <dgm:t>
        <a:bodyPr/>
        <a:lstStyle/>
        <a:p>
          <a:endParaRPr lang="en-US"/>
        </a:p>
      </dgm:t>
    </dgm:pt>
    <dgm:pt modelId="{6759081B-11EB-49DA-A485-6E52D50C22F5}" type="pres">
      <dgm:prSet presAssocID="{4CF3160D-9482-4966-8ACF-40FB68328330}" presName="hierRoot2" presStyleCnt="0">
        <dgm:presLayoutVars>
          <dgm:hierBranch val="init"/>
        </dgm:presLayoutVars>
      </dgm:prSet>
      <dgm:spPr/>
      <dgm:t>
        <a:bodyPr/>
        <a:lstStyle/>
        <a:p>
          <a:endParaRPr lang="en-US"/>
        </a:p>
      </dgm:t>
    </dgm:pt>
    <dgm:pt modelId="{91DA547E-BA5A-4009-A830-F65AE658A89C}" type="pres">
      <dgm:prSet presAssocID="{4CF3160D-9482-4966-8ACF-40FB68328330}" presName="rootComposite" presStyleCnt="0"/>
      <dgm:spPr/>
      <dgm:t>
        <a:bodyPr/>
        <a:lstStyle/>
        <a:p>
          <a:endParaRPr lang="en-US"/>
        </a:p>
      </dgm:t>
    </dgm:pt>
    <dgm:pt modelId="{6D8071D3-0339-4219-B52B-DCBF36CFBDEE}" type="pres">
      <dgm:prSet presAssocID="{4CF3160D-9482-4966-8ACF-40FB68328330}" presName="rootText" presStyleLbl="node3" presStyleIdx="4" presStyleCnt="7">
        <dgm:presLayoutVars>
          <dgm:chPref val="3"/>
        </dgm:presLayoutVars>
      </dgm:prSet>
      <dgm:spPr/>
      <dgm:t>
        <a:bodyPr/>
        <a:lstStyle/>
        <a:p>
          <a:endParaRPr lang="en-US"/>
        </a:p>
      </dgm:t>
    </dgm:pt>
    <dgm:pt modelId="{02088AF3-F512-48C7-80FC-8576C14E1434}" type="pres">
      <dgm:prSet presAssocID="{4CF3160D-9482-4966-8ACF-40FB68328330}" presName="rootConnector" presStyleLbl="node3" presStyleIdx="4" presStyleCnt="7"/>
      <dgm:spPr/>
      <dgm:t>
        <a:bodyPr/>
        <a:lstStyle/>
        <a:p>
          <a:endParaRPr lang="en-US"/>
        </a:p>
      </dgm:t>
    </dgm:pt>
    <dgm:pt modelId="{B7022F51-E380-47A1-8C0D-B87F8E145742}" type="pres">
      <dgm:prSet presAssocID="{4CF3160D-9482-4966-8ACF-40FB68328330}" presName="hierChild4" presStyleCnt="0"/>
      <dgm:spPr/>
      <dgm:t>
        <a:bodyPr/>
        <a:lstStyle/>
        <a:p>
          <a:endParaRPr lang="en-US"/>
        </a:p>
      </dgm:t>
    </dgm:pt>
    <dgm:pt modelId="{1EC61466-5166-468D-9CA1-0CE2AEACC3BE}" type="pres">
      <dgm:prSet presAssocID="{59B1D0E5-F872-414A-A1AA-F171A1657283}" presName="Name37" presStyleLbl="parChTrans1D4" presStyleIdx="16" presStyleCnt="26"/>
      <dgm:spPr/>
      <dgm:t>
        <a:bodyPr/>
        <a:lstStyle/>
        <a:p>
          <a:endParaRPr lang="en-US"/>
        </a:p>
      </dgm:t>
    </dgm:pt>
    <dgm:pt modelId="{FABD3AF8-F10C-4491-A0E3-33ED9AE812BF}" type="pres">
      <dgm:prSet presAssocID="{979DE948-C316-473A-81C4-042FAB830556}" presName="hierRoot2" presStyleCnt="0">
        <dgm:presLayoutVars>
          <dgm:hierBranch val="init"/>
        </dgm:presLayoutVars>
      </dgm:prSet>
      <dgm:spPr/>
      <dgm:t>
        <a:bodyPr/>
        <a:lstStyle/>
        <a:p>
          <a:endParaRPr lang="en-US"/>
        </a:p>
      </dgm:t>
    </dgm:pt>
    <dgm:pt modelId="{0AC1FFA9-BF11-40F7-9ADD-D39C4465CBA0}" type="pres">
      <dgm:prSet presAssocID="{979DE948-C316-473A-81C4-042FAB830556}" presName="rootComposite" presStyleCnt="0"/>
      <dgm:spPr/>
      <dgm:t>
        <a:bodyPr/>
        <a:lstStyle/>
        <a:p>
          <a:endParaRPr lang="en-US"/>
        </a:p>
      </dgm:t>
    </dgm:pt>
    <dgm:pt modelId="{55073FAF-51A3-43BF-9370-E1F8E59948AC}" type="pres">
      <dgm:prSet presAssocID="{979DE948-C316-473A-81C4-042FAB830556}" presName="rootText" presStyleLbl="node4" presStyleIdx="16" presStyleCnt="26">
        <dgm:presLayoutVars>
          <dgm:chPref val="3"/>
        </dgm:presLayoutVars>
      </dgm:prSet>
      <dgm:spPr/>
      <dgm:t>
        <a:bodyPr/>
        <a:lstStyle/>
        <a:p>
          <a:endParaRPr lang="en-US"/>
        </a:p>
      </dgm:t>
    </dgm:pt>
    <dgm:pt modelId="{12C41206-932A-4AC5-899F-65168C0D7D9B}" type="pres">
      <dgm:prSet presAssocID="{979DE948-C316-473A-81C4-042FAB830556}" presName="rootConnector" presStyleLbl="node4" presStyleIdx="16" presStyleCnt="26"/>
      <dgm:spPr/>
      <dgm:t>
        <a:bodyPr/>
        <a:lstStyle/>
        <a:p>
          <a:endParaRPr lang="en-US"/>
        </a:p>
      </dgm:t>
    </dgm:pt>
    <dgm:pt modelId="{018019CD-8584-4C21-8D10-762C5011C723}" type="pres">
      <dgm:prSet presAssocID="{979DE948-C316-473A-81C4-042FAB830556}" presName="hierChild4" presStyleCnt="0"/>
      <dgm:spPr/>
      <dgm:t>
        <a:bodyPr/>
        <a:lstStyle/>
        <a:p>
          <a:endParaRPr lang="en-US"/>
        </a:p>
      </dgm:t>
    </dgm:pt>
    <dgm:pt modelId="{15E7DCDF-51AD-4882-A33E-537E4924C461}" type="pres">
      <dgm:prSet presAssocID="{979DE948-C316-473A-81C4-042FAB830556}" presName="hierChild5" presStyleCnt="0"/>
      <dgm:spPr/>
      <dgm:t>
        <a:bodyPr/>
        <a:lstStyle/>
        <a:p>
          <a:endParaRPr lang="en-US"/>
        </a:p>
      </dgm:t>
    </dgm:pt>
    <dgm:pt modelId="{CC875EDB-B730-407F-B108-9AEAE929C299}" type="pres">
      <dgm:prSet presAssocID="{FF843502-8376-4D91-AA47-756054CC4849}" presName="Name37" presStyleLbl="parChTrans1D4" presStyleIdx="17" presStyleCnt="26"/>
      <dgm:spPr/>
      <dgm:t>
        <a:bodyPr/>
        <a:lstStyle/>
        <a:p>
          <a:endParaRPr lang="en-US"/>
        </a:p>
      </dgm:t>
    </dgm:pt>
    <dgm:pt modelId="{C3B60728-295B-4B4C-9E15-11EA52152F82}" type="pres">
      <dgm:prSet presAssocID="{60C92B45-9F30-45BD-A70C-7C1EEB258DB6}" presName="hierRoot2" presStyleCnt="0">
        <dgm:presLayoutVars>
          <dgm:hierBranch val="init"/>
        </dgm:presLayoutVars>
      </dgm:prSet>
      <dgm:spPr/>
      <dgm:t>
        <a:bodyPr/>
        <a:lstStyle/>
        <a:p>
          <a:endParaRPr lang="en-US"/>
        </a:p>
      </dgm:t>
    </dgm:pt>
    <dgm:pt modelId="{558FAB20-70F2-4B8E-9220-3B854EC1247C}" type="pres">
      <dgm:prSet presAssocID="{60C92B45-9F30-45BD-A70C-7C1EEB258DB6}" presName="rootComposite" presStyleCnt="0"/>
      <dgm:spPr/>
      <dgm:t>
        <a:bodyPr/>
        <a:lstStyle/>
        <a:p>
          <a:endParaRPr lang="en-US"/>
        </a:p>
      </dgm:t>
    </dgm:pt>
    <dgm:pt modelId="{69B1C8D4-6433-4B8C-BB50-8C1500FAF2A1}" type="pres">
      <dgm:prSet presAssocID="{60C92B45-9F30-45BD-A70C-7C1EEB258DB6}" presName="rootText" presStyleLbl="node4" presStyleIdx="17" presStyleCnt="26">
        <dgm:presLayoutVars>
          <dgm:chPref val="3"/>
        </dgm:presLayoutVars>
      </dgm:prSet>
      <dgm:spPr/>
      <dgm:t>
        <a:bodyPr/>
        <a:lstStyle/>
        <a:p>
          <a:endParaRPr lang="en-US"/>
        </a:p>
      </dgm:t>
    </dgm:pt>
    <dgm:pt modelId="{D10849F8-6374-47D0-A2EB-E9F505C6AA90}" type="pres">
      <dgm:prSet presAssocID="{60C92B45-9F30-45BD-A70C-7C1EEB258DB6}" presName="rootConnector" presStyleLbl="node4" presStyleIdx="17" presStyleCnt="26"/>
      <dgm:spPr/>
      <dgm:t>
        <a:bodyPr/>
        <a:lstStyle/>
        <a:p>
          <a:endParaRPr lang="en-US"/>
        </a:p>
      </dgm:t>
    </dgm:pt>
    <dgm:pt modelId="{C3A10715-5F6B-4FB1-9641-D043D1FBB142}" type="pres">
      <dgm:prSet presAssocID="{60C92B45-9F30-45BD-A70C-7C1EEB258DB6}" presName="hierChild4" presStyleCnt="0"/>
      <dgm:spPr/>
      <dgm:t>
        <a:bodyPr/>
        <a:lstStyle/>
        <a:p>
          <a:endParaRPr lang="en-US"/>
        </a:p>
      </dgm:t>
    </dgm:pt>
    <dgm:pt modelId="{69958D6D-1A7E-4EB8-ADCF-EFE3C4BEE71A}" type="pres">
      <dgm:prSet presAssocID="{60C92B45-9F30-45BD-A70C-7C1EEB258DB6}" presName="hierChild5" presStyleCnt="0"/>
      <dgm:spPr/>
      <dgm:t>
        <a:bodyPr/>
        <a:lstStyle/>
        <a:p>
          <a:endParaRPr lang="en-US"/>
        </a:p>
      </dgm:t>
    </dgm:pt>
    <dgm:pt modelId="{39D3930B-EEE2-4899-9B97-F09B8C2AEA34}" type="pres">
      <dgm:prSet presAssocID="{7F260F0D-F43A-4037-A96E-E7F2C93E1A69}" presName="Name37" presStyleLbl="parChTrans1D4" presStyleIdx="18" presStyleCnt="26"/>
      <dgm:spPr/>
      <dgm:t>
        <a:bodyPr/>
        <a:lstStyle/>
        <a:p>
          <a:endParaRPr lang="en-US"/>
        </a:p>
      </dgm:t>
    </dgm:pt>
    <dgm:pt modelId="{8FA12EF5-52E8-4F5B-BFFF-4DAA68FF8014}" type="pres">
      <dgm:prSet presAssocID="{1AD5A604-EAB9-45F4-B11E-04F248519A53}" presName="hierRoot2" presStyleCnt="0">
        <dgm:presLayoutVars>
          <dgm:hierBranch val="init"/>
        </dgm:presLayoutVars>
      </dgm:prSet>
      <dgm:spPr/>
      <dgm:t>
        <a:bodyPr/>
        <a:lstStyle/>
        <a:p>
          <a:endParaRPr lang="en-US"/>
        </a:p>
      </dgm:t>
    </dgm:pt>
    <dgm:pt modelId="{5B050196-6C69-40B6-AD1C-4573D3E112EC}" type="pres">
      <dgm:prSet presAssocID="{1AD5A604-EAB9-45F4-B11E-04F248519A53}" presName="rootComposite" presStyleCnt="0"/>
      <dgm:spPr/>
      <dgm:t>
        <a:bodyPr/>
        <a:lstStyle/>
        <a:p>
          <a:endParaRPr lang="en-US"/>
        </a:p>
      </dgm:t>
    </dgm:pt>
    <dgm:pt modelId="{E5650426-266D-43A1-93A4-435AA193D1F7}" type="pres">
      <dgm:prSet presAssocID="{1AD5A604-EAB9-45F4-B11E-04F248519A53}" presName="rootText" presStyleLbl="node4" presStyleIdx="18" presStyleCnt="26">
        <dgm:presLayoutVars>
          <dgm:chPref val="3"/>
        </dgm:presLayoutVars>
      </dgm:prSet>
      <dgm:spPr/>
      <dgm:t>
        <a:bodyPr/>
        <a:lstStyle/>
        <a:p>
          <a:endParaRPr lang="en-US"/>
        </a:p>
      </dgm:t>
    </dgm:pt>
    <dgm:pt modelId="{8412660B-1411-49E1-974F-DF5D4E111A8A}" type="pres">
      <dgm:prSet presAssocID="{1AD5A604-EAB9-45F4-B11E-04F248519A53}" presName="rootConnector" presStyleLbl="node4" presStyleIdx="18" presStyleCnt="26"/>
      <dgm:spPr/>
      <dgm:t>
        <a:bodyPr/>
        <a:lstStyle/>
        <a:p>
          <a:endParaRPr lang="en-US"/>
        </a:p>
      </dgm:t>
    </dgm:pt>
    <dgm:pt modelId="{CA9A71C1-7266-4544-A702-B48B5752D3C6}" type="pres">
      <dgm:prSet presAssocID="{1AD5A604-EAB9-45F4-B11E-04F248519A53}" presName="hierChild4" presStyleCnt="0"/>
      <dgm:spPr/>
      <dgm:t>
        <a:bodyPr/>
        <a:lstStyle/>
        <a:p>
          <a:endParaRPr lang="en-US"/>
        </a:p>
      </dgm:t>
    </dgm:pt>
    <dgm:pt modelId="{46ADAD73-8BFB-4A99-8FE2-412CFCDDEDF5}" type="pres">
      <dgm:prSet presAssocID="{1AD5A604-EAB9-45F4-B11E-04F248519A53}" presName="hierChild5" presStyleCnt="0"/>
      <dgm:spPr/>
      <dgm:t>
        <a:bodyPr/>
        <a:lstStyle/>
        <a:p>
          <a:endParaRPr lang="en-US"/>
        </a:p>
      </dgm:t>
    </dgm:pt>
    <dgm:pt modelId="{5A6F3DAC-68E9-499B-BA1C-43CC1BD3BF3F}" type="pres">
      <dgm:prSet presAssocID="{E8C08207-CC9E-4607-B926-DD6D6CB21271}" presName="Name37" presStyleLbl="parChTrans1D4" presStyleIdx="19" presStyleCnt="26"/>
      <dgm:spPr/>
      <dgm:t>
        <a:bodyPr/>
        <a:lstStyle/>
        <a:p>
          <a:endParaRPr lang="en-US"/>
        </a:p>
      </dgm:t>
    </dgm:pt>
    <dgm:pt modelId="{BAF7F439-AD6D-4BAE-9973-ED86BB84ACB4}" type="pres">
      <dgm:prSet presAssocID="{3DE1DD34-0103-46D9-83A5-75C95ACD0B45}" presName="hierRoot2" presStyleCnt="0">
        <dgm:presLayoutVars>
          <dgm:hierBranch val="init"/>
        </dgm:presLayoutVars>
      </dgm:prSet>
      <dgm:spPr/>
      <dgm:t>
        <a:bodyPr/>
        <a:lstStyle/>
        <a:p>
          <a:endParaRPr lang="en-US"/>
        </a:p>
      </dgm:t>
    </dgm:pt>
    <dgm:pt modelId="{69DFA7E2-5811-49F9-8697-2824FC0E04E0}" type="pres">
      <dgm:prSet presAssocID="{3DE1DD34-0103-46D9-83A5-75C95ACD0B45}" presName="rootComposite" presStyleCnt="0"/>
      <dgm:spPr/>
      <dgm:t>
        <a:bodyPr/>
        <a:lstStyle/>
        <a:p>
          <a:endParaRPr lang="en-US"/>
        </a:p>
      </dgm:t>
    </dgm:pt>
    <dgm:pt modelId="{4BF30054-F5CE-461C-B9C9-6978CFDE49C7}" type="pres">
      <dgm:prSet presAssocID="{3DE1DD34-0103-46D9-83A5-75C95ACD0B45}" presName="rootText" presStyleLbl="node4" presStyleIdx="19" presStyleCnt="26">
        <dgm:presLayoutVars>
          <dgm:chPref val="3"/>
        </dgm:presLayoutVars>
      </dgm:prSet>
      <dgm:spPr/>
      <dgm:t>
        <a:bodyPr/>
        <a:lstStyle/>
        <a:p>
          <a:endParaRPr lang="en-US"/>
        </a:p>
      </dgm:t>
    </dgm:pt>
    <dgm:pt modelId="{C785324F-39D0-4BBC-AFBF-DAB0B22FAB90}" type="pres">
      <dgm:prSet presAssocID="{3DE1DD34-0103-46D9-83A5-75C95ACD0B45}" presName="rootConnector" presStyleLbl="node4" presStyleIdx="19" presStyleCnt="26"/>
      <dgm:spPr/>
      <dgm:t>
        <a:bodyPr/>
        <a:lstStyle/>
        <a:p>
          <a:endParaRPr lang="en-US"/>
        </a:p>
      </dgm:t>
    </dgm:pt>
    <dgm:pt modelId="{069B5532-9135-4999-AC44-4E90CB5672F7}" type="pres">
      <dgm:prSet presAssocID="{3DE1DD34-0103-46D9-83A5-75C95ACD0B45}" presName="hierChild4" presStyleCnt="0"/>
      <dgm:spPr/>
      <dgm:t>
        <a:bodyPr/>
        <a:lstStyle/>
        <a:p>
          <a:endParaRPr lang="en-US"/>
        </a:p>
      </dgm:t>
    </dgm:pt>
    <dgm:pt modelId="{BEC63265-9C59-43CD-92ED-EDE2512B8A21}" type="pres">
      <dgm:prSet presAssocID="{3DE1DD34-0103-46D9-83A5-75C95ACD0B45}" presName="hierChild5" presStyleCnt="0"/>
      <dgm:spPr/>
      <dgm:t>
        <a:bodyPr/>
        <a:lstStyle/>
        <a:p>
          <a:endParaRPr lang="en-US"/>
        </a:p>
      </dgm:t>
    </dgm:pt>
    <dgm:pt modelId="{325FDC3C-B16A-41B7-B1F8-6B51D306DC49}" type="pres">
      <dgm:prSet presAssocID="{941446B4-8166-4D3D-8EB3-CA5AA6EBE792}" presName="Name37" presStyleLbl="parChTrans1D4" presStyleIdx="20" presStyleCnt="26"/>
      <dgm:spPr/>
      <dgm:t>
        <a:bodyPr/>
        <a:lstStyle/>
        <a:p>
          <a:endParaRPr lang="en-US"/>
        </a:p>
      </dgm:t>
    </dgm:pt>
    <dgm:pt modelId="{E1CF6124-54DB-4B6C-B9A5-17B9370DDF75}" type="pres">
      <dgm:prSet presAssocID="{E9409591-A774-4EEA-B246-455403D01085}" presName="hierRoot2" presStyleCnt="0">
        <dgm:presLayoutVars>
          <dgm:hierBranch val="init"/>
        </dgm:presLayoutVars>
      </dgm:prSet>
      <dgm:spPr/>
      <dgm:t>
        <a:bodyPr/>
        <a:lstStyle/>
        <a:p>
          <a:endParaRPr lang="en-US"/>
        </a:p>
      </dgm:t>
    </dgm:pt>
    <dgm:pt modelId="{E5263A38-EC4D-4BEB-BC90-1E9F60FB2066}" type="pres">
      <dgm:prSet presAssocID="{E9409591-A774-4EEA-B246-455403D01085}" presName="rootComposite" presStyleCnt="0"/>
      <dgm:spPr/>
      <dgm:t>
        <a:bodyPr/>
        <a:lstStyle/>
        <a:p>
          <a:endParaRPr lang="en-US"/>
        </a:p>
      </dgm:t>
    </dgm:pt>
    <dgm:pt modelId="{48BDA1E4-D419-43A6-A067-DFA1F95A57AC}" type="pres">
      <dgm:prSet presAssocID="{E9409591-A774-4EEA-B246-455403D01085}" presName="rootText" presStyleLbl="node4" presStyleIdx="20" presStyleCnt="26">
        <dgm:presLayoutVars>
          <dgm:chPref val="3"/>
        </dgm:presLayoutVars>
      </dgm:prSet>
      <dgm:spPr/>
      <dgm:t>
        <a:bodyPr/>
        <a:lstStyle/>
        <a:p>
          <a:endParaRPr lang="en-US"/>
        </a:p>
      </dgm:t>
    </dgm:pt>
    <dgm:pt modelId="{DA5FDC16-B970-45BA-B859-792ACBEFCE00}" type="pres">
      <dgm:prSet presAssocID="{E9409591-A774-4EEA-B246-455403D01085}" presName="rootConnector" presStyleLbl="node4" presStyleIdx="20" presStyleCnt="26"/>
      <dgm:spPr/>
      <dgm:t>
        <a:bodyPr/>
        <a:lstStyle/>
        <a:p>
          <a:endParaRPr lang="en-US"/>
        </a:p>
      </dgm:t>
    </dgm:pt>
    <dgm:pt modelId="{9D198397-FEC9-4927-BAE0-54FD00910864}" type="pres">
      <dgm:prSet presAssocID="{E9409591-A774-4EEA-B246-455403D01085}" presName="hierChild4" presStyleCnt="0"/>
      <dgm:spPr/>
      <dgm:t>
        <a:bodyPr/>
        <a:lstStyle/>
        <a:p>
          <a:endParaRPr lang="en-US"/>
        </a:p>
      </dgm:t>
    </dgm:pt>
    <dgm:pt modelId="{91F8A091-7B40-4EE4-A12A-7D729F73621C}" type="pres">
      <dgm:prSet presAssocID="{E9409591-A774-4EEA-B246-455403D01085}" presName="hierChild5" presStyleCnt="0"/>
      <dgm:spPr/>
      <dgm:t>
        <a:bodyPr/>
        <a:lstStyle/>
        <a:p>
          <a:endParaRPr lang="en-US"/>
        </a:p>
      </dgm:t>
    </dgm:pt>
    <dgm:pt modelId="{84A1D15A-65F0-46D7-800D-8BDEA89AB907}" type="pres">
      <dgm:prSet presAssocID="{52417831-ED56-41F1-B23B-DBE680EE0579}" presName="Name37" presStyleLbl="parChTrans1D4" presStyleIdx="21" presStyleCnt="26"/>
      <dgm:spPr/>
      <dgm:t>
        <a:bodyPr/>
        <a:lstStyle/>
        <a:p>
          <a:endParaRPr lang="en-US"/>
        </a:p>
      </dgm:t>
    </dgm:pt>
    <dgm:pt modelId="{50A688CE-1DF9-4E9C-9AAA-82672BAA2B86}" type="pres">
      <dgm:prSet presAssocID="{498EEFBB-97A2-4BBE-B143-127D952913BB}" presName="hierRoot2" presStyleCnt="0">
        <dgm:presLayoutVars>
          <dgm:hierBranch val="init"/>
        </dgm:presLayoutVars>
      </dgm:prSet>
      <dgm:spPr/>
      <dgm:t>
        <a:bodyPr/>
        <a:lstStyle/>
        <a:p>
          <a:endParaRPr lang="en-US"/>
        </a:p>
      </dgm:t>
    </dgm:pt>
    <dgm:pt modelId="{0565A0DC-5A72-46E9-B386-7F0A30AF0BD3}" type="pres">
      <dgm:prSet presAssocID="{498EEFBB-97A2-4BBE-B143-127D952913BB}" presName="rootComposite" presStyleCnt="0"/>
      <dgm:spPr/>
      <dgm:t>
        <a:bodyPr/>
        <a:lstStyle/>
        <a:p>
          <a:endParaRPr lang="en-US"/>
        </a:p>
      </dgm:t>
    </dgm:pt>
    <dgm:pt modelId="{01C843F1-4675-4E37-A034-470A87AD0F75}" type="pres">
      <dgm:prSet presAssocID="{498EEFBB-97A2-4BBE-B143-127D952913BB}" presName="rootText" presStyleLbl="node4" presStyleIdx="21" presStyleCnt="26">
        <dgm:presLayoutVars>
          <dgm:chPref val="3"/>
        </dgm:presLayoutVars>
      </dgm:prSet>
      <dgm:spPr/>
      <dgm:t>
        <a:bodyPr/>
        <a:lstStyle/>
        <a:p>
          <a:endParaRPr lang="en-US"/>
        </a:p>
      </dgm:t>
    </dgm:pt>
    <dgm:pt modelId="{4D873A80-6470-4629-949E-A5A9EC0134FA}" type="pres">
      <dgm:prSet presAssocID="{498EEFBB-97A2-4BBE-B143-127D952913BB}" presName="rootConnector" presStyleLbl="node4" presStyleIdx="21" presStyleCnt="26"/>
      <dgm:spPr/>
      <dgm:t>
        <a:bodyPr/>
        <a:lstStyle/>
        <a:p>
          <a:endParaRPr lang="en-US"/>
        </a:p>
      </dgm:t>
    </dgm:pt>
    <dgm:pt modelId="{D33AA057-0B9C-4E5E-9FA5-221B8CD3A4A0}" type="pres">
      <dgm:prSet presAssocID="{498EEFBB-97A2-4BBE-B143-127D952913BB}" presName="hierChild4" presStyleCnt="0"/>
      <dgm:spPr/>
      <dgm:t>
        <a:bodyPr/>
        <a:lstStyle/>
        <a:p>
          <a:endParaRPr lang="en-US"/>
        </a:p>
      </dgm:t>
    </dgm:pt>
    <dgm:pt modelId="{354105BB-F634-4FFE-A1FD-2E0E72F66E59}" type="pres">
      <dgm:prSet presAssocID="{498EEFBB-97A2-4BBE-B143-127D952913BB}" presName="hierChild5" presStyleCnt="0"/>
      <dgm:spPr/>
      <dgm:t>
        <a:bodyPr/>
        <a:lstStyle/>
        <a:p>
          <a:endParaRPr lang="en-US"/>
        </a:p>
      </dgm:t>
    </dgm:pt>
    <dgm:pt modelId="{97D36E3C-10C8-4FBF-8439-2DD7D72403B9}" type="pres">
      <dgm:prSet presAssocID="{99EE6421-BDBD-45BE-896E-E96B5466A4C4}" presName="Name37" presStyleLbl="parChTrans1D4" presStyleIdx="22" presStyleCnt="26"/>
      <dgm:spPr/>
      <dgm:t>
        <a:bodyPr/>
        <a:lstStyle/>
        <a:p>
          <a:endParaRPr lang="en-US"/>
        </a:p>
      </dgm:t>
    </dgm:pt>
    <dgm:pt modelId="{03AC69BB-FD7D-447C-A094-8BCF94B53430}" type="pres">
      <dgm:prSet presAssocID="{66F74583-B729-4AAD-ACDF-3A583FECC5F7}" presName="hierRoot2" presStyleCnt="0">
        <dgm:presLayoutVars>
          <dgm:hierBranch val="init"/>
        </dgm:presLayoutVars>
      </dgm:prSet>
      <dgm:spPr/>
      <dgm:t>
        <a:bodyPr/>
        <a:lstStyle/>
        <a:p>
          <a:endParaRPr lang="en-US"/>
        </a:p>
      </dgm:t>
    </dgm:pt>
    <dgm:pt modelId="{37D4B015-E634-4318-8AC4-B1D109451E4C}" type="pres">
      <dgm:prSet presAssocID="{66F74583-B729-4AAD-ACDF-3A583FECC5F7}" presName="rootComposite" presStyleCnt="0"/>
      <dgm:spPr/>
      <dgm:t>
        <a:bodyPr/>
        <a:lstStyle/>
        <a:p>
          <a:endParaRPr lang="en-US"/>
        </a:p>
      </dgm:t>
    </dgm:pt>
    <dgm:pt modelId="{501DA31C-61A9-4D6C-B842-38E29D053A1A}" type="pres">
      <dgm:prSet presAssocID="{66F74583-B729-4AAD-ACDF-3A583FECC5F7}" presName="rootText" presStyleLbl="node4" presStyleIdx="22" presStyleCnt="26">
        <dgm:presLayoutVars>
          <dgm:chPref val="3"/>
        </dgm:presLayoutVars>
      </dgm:prSet>
      <dgm:spPr/>
      <dgm:t>
        <a:bodyPr/>
        <a:lstStyle/>
        <a:p>
          <a:endParaRPr lang="en-US"/>
        </a:p>
      </dgm:t>
    </dgm:pt>
    <dgm:pt modelId="{A01CE084-C309-4E9B-9001-6321447104CA}" type="pres">
      <dgm:prSet presAssocID="{66F74583-B729-4AAD-ACDF-3A583FECC5F7}" presName="rootConnector" presStyleLbl="node4" presStyleIdx="22" presStyleCnt="26"/>
      <dgm:spPr/>
      <dgm:t>
        <a:bodyPr/>
        <a:lstStyle/>
        <a:p>
          <a:endParaRPr lang="en-US"/>
        </a:p>
      </dgm:t>
    </dgm:pt>
    <dgm:pt modelId="{915B6702-D0D1-4A8E-BB98-A44A908C04C4}" type="pres">
      <dgm:prSet presAssocID="{66F74583-B729-4AAD-ACDF-3A583FECC5F7}" presName="hierChild4" presStyleCnt="0"/>
      <dgm:spPr/>
      <dgm:t>
        <a:bodyPr/>
        <a:lstStyle/>
        <a:p>
          <a:endParaRPr lang="en-US"/>
        </a:p>
      </dgm:t>
    </dgm:pt>
    <dgm:pt modelId="{24DBCEEF-4CC9-42C7-B1FE-92303E6B545C}" type="pres">
      <dgm:prSet presAssocID="{66F74583-B729-4AAD-ACDF-3A583FECC5F7}" presName="hierChild5" presStyleCnt="0"/>
      <dgm:spPr/>
      <dgm:t>
        <a:bodyPr/>
        <a:lstStyle/>
        <a:p>
          <a:endParaRPr lang="en-US"/>
        </a:p>
      </dgm:t>
    </dgm:pt>
    <dgm:pt modelId="{78C19219-A300-4D8B-B0EC-E75AECC54B37}" type="pres">
      <dgm:prSet presAssocID="{3F52C6BE-7D15-4F2B-8CBF-F749D1318DA1}" presName="Name37" presStyleLbl="parChTrans1D4" presStyleIdx="23" presStyleCnt="26"/>
      <dgm:spPr/>
      <dgm:t>
        <a:bodyPr/>
        <a:lstStyle/>
        <a:p>
          <a:endParaRPr lang="en-US"/>
        </a:p>
      </dgm:t>
    </dgm:pt>
    <dgm:pt modelId="{CB3BFD48-F185-4FD5-8553-B4AAF7E561FF}" type="pres">
      <dgm:prSet presAssocID="{DDBFA551-D3CD-4D54-80C5-88C8D8A02FFF}" presName="hierRoot2" presStyleCnt="0">
        <dgm:presLayoutVars>
          <dgm:hierBranch val="init"/>
        </dgm:presLayoutVars>
      </dgm:prSet>
      <dgm:spPr/>
      <dgm:t>
        <a:bodyPr/>
        <a:lstStyle/>
        <a:p>
          <a:endParaRPr lang="en-US"/>
        </a:p>
      </dgm:t>
    </dgm:pt>
    <dgm:pt modelId="{B1B2FD49-6041-4B94-A383-F586277F576E}" type="pres">
      <dgm:prSet presAssocID="{DDBFA551-D3CD-4D54-80C5-88C8D8A02FFF}" presName="rootComposite" presStyleCnt="0"/>
      <dgm:spPr/>
      <dgm:t>
        <a:bodyPr/>
        <a:lstStyle/>
        <a:p>
          <a:endParaRPr lang="en-US"/>
        </a:p>
      </dgm:t>
    </dgm:pt>
    <dgm:pt modelId="{5C518B37-AA32-43E6-9CDE-08252A492A62}" type="pres">
      <dgm:prSet presAssocID="{DDBFA551-D3CD-4D54-80C5-88C8D8A02FFF}" presName="rootText" presStyleLbl="node4" presStyleIdx="23" presStyleCnt="26">
        <dgm:presLayoutVars>
          <dgm:chPref val="3"/>
        </dgm:presLayoutVars>
      </dgm:prSet>
      <dgm:spPr/>
      <dgm:t>
        <a:bodyPr/>
        <a:lstStyle/>
        <a:p>
          <a:endParaRPr lang="en-US"/>
        </a:p>
      </dgm:t>
    </dgm:pt>
    <dgm:pt modelId="{398B73A1-FA88-4B27-A0CC-7C6C63000987}" type="pres">
      <dgm:prSet presAssocID="{DDBFA551-D3CD-4D54-80C5-88C8D8A02FFF}" presName="rootConnector" presStyleLbl="node4" presStyleIdx="23" presStyleCnt="26"/>
      <dgm:spPr/>
      <dgm:t>
        <a:bodyPr/>
        <a:lstStyle/>
        <a:p>
          <a:endParaRPr lang="en-US"/>
        </a:p>
      </dgm:t>
    </dgm:pt>
    <dgm:pt modelId="{ABC29B9C-29E7-4077-BC38-84492A802C24}" type="pres">
      <dgm:prSet presAssocID="{DDBFA551-D3CD-4D54-80C5-88C8D8A02FFF}" presName="hierChild4" presStyleCnt="0"/>
      <dgm:spPr/>
      <dgm:t>
        <a:bodyPr/>
        <a:lstStyle/>
        <a:p>
          <a:endParaRPr lang="en-US"/>
        </a:p>
      </dgm:t>
    </dgm:pt>
    <dgm:pt modelId="{4D9F76A7-1630-462D-88C8-CDA58394DA41}" type="pres">
      <dgm:prSet presAssocID="{DDBFA551-D3CD-4D54-80C5-88C8D8A02FFF}" presName="hierChild5" presStyleCnt="0"/>
      <dgm:spPr/>
      <dgm:t>
        <a:bodyPr/>
        <a:lstStyle/>
        <a:p>
          <a:endParaRPr lang="en-US"/>
        </a:p>
      </dgm:t>
    </dgm:pt>
    <dgm:pt modelId="{BCEEB34D-8DE2-4805-A3CA-0EB9844EE11F}" type="pres">
      <dgm:prSet presAssocID="{B22827A7-7043-4304-BD98-63FEFAC9F9EA}" presName="Name37" presStyleLbl="parChTrans1D4" presStyleIdx="24" presStyleCnt="26"/>
      <dgm:spPr/>
      <dgm:t>
        <a:bodyPr/>
        <a:lstStyle/>
        <a:p>
          <a:endParaRPr lang="en-US"/>
        </a:p>
      </dgm:t>
    </dgm:pt>
    <dgm:pt modelId="{C996DE88-C583-41BA-8DED-07FFCD619C41}" type="pres">
      <dgm:prSet presAssocID="{FD8B9EFC-0A2B-4E6F-BC9F-5B71CD75140F}" presName="hierRoot2" presStyleCnt="0">
        <dgm:presLayoutVars>
          <dgm:hierBranch val="init"/>
        </dgm:presLayoutVars>
      </dgm:prSet>
      <dgm:spPr/>
      <dgm:t>
        <a:bodyPr/>
        <a:lstStyle/>
        <a:p>
          <a:endParaRPr lang="en-US"/>
        </a:p>
      </dgm:t>
    </dgm:pt>
    <dgm:pt modelId="{CE6A6C52-ACC7-4257-8328-3ACEB156720B}" type="pres">
      <dgm:prSet presAssocID="{FD8B9EFC-0A2B-4E6F-BC9F-5B71CD75140F}" presName="rootComposite" presStyleCnt="0"/>
      <dgm:spPr/>
      <dgm:t>
        <a:bodyPr/>
        <a:lstStyle/>
        <a:p>
          <a:endParaRPr lang="en-US"/>
        </a:p>
      </dgm:t>
    </dgm:pt>
    <dgm:pt modelId="{8CD4EA47-E488-43D6-AD60-BF3DBB0AEC71}" type="pres">
      <dgm:prSet presAssocID="{FD8B9EFC-0A2B-4E6F-BC9F-5B71CD75140F}" presName="rootText" presStyleLbl="node4" presStyleIdx="24" presStyleCnt="26">
        <dgm:presLayoutVars>
          <dgm:chPref val="3"/>
        </dgm:presLayoutVars>
      </dgm:prSet>
      <dgm:spPr/>
      <dgm:t>
        <a:bodyPr/>
        <a:lstStyle/>
        <a:p>
          <a:endParaRPr lang="en-US"/>
        </a:p>
      </dgm:t>
    </dgm:pt>
    <dgm:pt modelId="{C07EECB9-991B-4848-85F0-9D319CDE7CA9}" type="pres">
      <dgm:prSet presAssocID="{FD8B9EFC-0A2B-4E6F-BC9F-5B71CD75140F}" presName="rootConnector" presStyleLbl="node4" presStyleIdx="24" presStyleCnt="26"/>
      <dgm:spPr/>
      <dgm:t>
        <a:bodyPr/>
        <a:lstStyle/>
        <a:p>
          <a:endParaRPr lang="en-US"/>
        </a:p>
      </dgm:t>
    </dgm:pt>
    <dgm:pt modelId="{BB8368E3-F9F7-4112-9424-8D9608285A23}" type="pres">
      <dgm:prSet presAssocID="{FD8B9EFC-0A2B-4E6F-BC9F-5B71CD75140F}" presName="hierChild4" presStyleCnt="0"/>
      <dgm:spPr/>
      <dgm:t>
        <a:bodyPr/>
        <a:lstStyle/>
        <a:p>
          <a:endParaRPr lang="en-US"/>
        </a:p>
      </dgm:t>
    </dgm:pt>
    <dgm:pt modelId="{5AD6B379-0F12-4FBD-A07B-FB7D11711977}" type="pres">
      <dgm:prSet presAssocID="{FD8B9EFC-0A2B-4E6F-BC9F-5B71CD75140F}" presName="hierChild5" presStyleCnt="0"/>
      <dgm:spPr/>
      <dgm:t>
        <a:bodyPr/>
        <a:lstStyle/>
        <a:p>
          <a:endParaRPr lang="en-US"/>
        </a:p>
      </dgm:t>
    </dgm:pt>
    <dgm:pt modelId="{DB17A3DA-B1F6-41AC-A4F6-9A3DDDF60849}" type="pres">
      <dgm:prSet presAssocID="{4CF3160D-9482-4966-8ACF-40FB68328330}" presName="hierChild5" presStyleCnt="0"/>
      <dgm:spPr/>
      <dgm:t>
        <a:bodyPr/>
        <a:lstStyle/>
        <a:p>
          <a:endParaRPr lang="en-US"/>
        </a:p>
      </dgm:t>
    </dgm:pt>
    <dgm:pt modelId="{D91C4916-32F5-4852-8203-922EF878727C}" type="pres">
      <dgm:prSet presAssocID="{9C0BC635-536B-4236-9C4F-AD53FDAB8DCB}" presName="Name37" presStyleLbl="parChTrans1D3" presStyleIdx="5" presStyleCnt="9"/>
      <dgm:spPr/>
      <dgm:t>
        <a:bodyPr/>
        <a:lstStyle/>
        <a:p>
          <a:endParaRPr lang="en-US"/>
        </a:p>
      </dgm:t>
    </dgm:pt>
    <dgm:pt modelId="{7F972F79-32B3-4D3C-A798-2B709D619584}" type="pres">
      <dgm:prSet presAssocID="{C9A145BE-FB25-46DA-99BF-83E46C9958BC}" presName="hierRoot2" presStyleCnt="0">
        <dgm:presLayoutVars>
          <dgm:hierBranch val="init"/>
        </dgm:presLayoutVars>
      </dgm:prSet>
      <dgm:spPr/>
      <dgm:t>
        <a:bodyPr/>
        <a:lstStyle/>
        <a:p>
          <a:endParaRPr lang="en-US"/>
        </a:p>
      </dgm:t>
    </dgm:pt>
    <dgm:pt modelId="{1EF73F43-F905-4A50-B2CD-C436756CBC5C}" type="pres">
      <dgm:prSet presAssocID="{C9A145BE-FB25-46DA-99BF-83E46C9958BC}" presName="rootComposite" presStyleCnt="0"/>
      <dgm:spPr/>
      <dgm:t>
        <a:bodyPr/>
        <a:lstStyle/>
        <a:p>
          <a:endParaRPr lang="en-US"/>
        </a:p>
      </dgm:t>
    </dgm:pt>
    <dgm:pt modelId="{406DEF9E-F34C-4C96-AB30-8E603A4E9CA0}" type="pres">
      <dgm:prSet presAssocID="{C9A145BE-FB25-46DA-99BF-83E46C9958BC}" presName="rootText" presStyleLbl="node3" presStyleIdx="5" presStyleCnt="7">
        <dgm:presLayoutVars>
          <dgm:chPref val="3"/>
        </dgm:presLayoutVars>
      </dgm:prSet>
      <dgm:spPr/>
      <dgm:t>
        <a:bodyPr/>
        <a:lstStyle/>
        <a:p>
          <a:endParaRPr lang="en-US"/>
        </a:p>
      </dgm:t>
    </dgm:pt>
    <dgm:pt modelId="{11C581BB-FC03-4E7B-8CCB-4D829E1EC66B}" type="pres">
      <dgm:prSet presAssocID="{C9A145BE-FB25-46DA-99BF-83E46C9958BC}" presName="rootConnector" presStyleLbl="node3" presStyleIdx="5" presStyleCnt="7"/>
      <dgm:spPr/>
      <dgm:t>
        <a:bodyPr/>
        <a:lstStyle/>
        <a:p>
          <a:endParaRPr lang="en-US"/>
        </a:p>
      </dgm:t>
    </dgm:pt>
    <dgm:pt modelId="{BAA0E415-D75A-42E5-BFB0-53D09ACE94A4}" type="pres">
      <dgm:prSet presAssocID="{C9A145BE-FB25-46DA-99BF-83E46C9958BC}" presName="hierChild4" presStyleCnt="0"/>
      <dgm:spPr/>
      <dgm:t>
        <a:bodyPr/>
        <a:lstStyle/>
        <a:p>
          <a:endParaRPr lang="en-US"/>
        </a:p>
      </dgm:t>
    </dgm:pt>
    <dgm:pt modelId="{759E251E-4B3E-4755-A4B2-5C9B448F2AA6}" type="pres">
      <dgm:prSet presAssocID="{76EF9580-831D-46A4-8E5A-4B54A6E9056C}" presName="Name37" presStyleLbl="parChTrans1D4" presStyleIdx="25" presStyleCnt="26"/>
      <dgm:spPr/>
      <dgm:t>
        <a:bodyPr/>
        <a:lstStyle/>
        <a:p>
          <a:endParaRPr lang="en-US"/>
        </a:p>
      </dgm:t>
    </dgm:pt>
    <dgm:pt modelId="{4D8A4207-6571-48BA-B9D1-0A360D562D16}" type="pres">
      <dgm:prSet presAssocID="{F9C1462D-2159-4D39-ADDB-75BAF44E5F68}" presName="hierRoot2" presStyleCnt="0">
        <dgm:presLayoutVars>
          <dgm:hierBranch val="init"/>
        </dgm:presLayoutVars>
      </dgm:prSet>
      <dgm:spPr/>
      <dgm:t>
        <a:bodyPr/>
        <a:lstStyle/>
        <a:p>
          <a:endParaRPr lang="en-US"/>
        </a:p>
      </dgm:t>
    </dgm:pt>
    <dgm:pt modelId="{D62F015C-0E60-42AF-8B22-04812C0A2EC8}" type="pres">
      <dgm:prSet presAssocID="{F9C1462D-2159-4D39-ADDB-75BAF44E5F68}" presName="rootComposite" presStyleCnt="0"/>
      <dgm:spPr/>
      <dgm:t>
        <a:bodyPr/>
        <a:lstStyle/>
        <a:p>
          <a:endParaRPr lang="en-US"/>
        </a:p>
      </dgm:t>
    </dgm:pt>
    <dgm:pt modelId="{8337F5DA-DB66-4D2A-A2C8-34779C89F8E1}" type="pres">
      <dgm:prSet presAssocID="{F9C1462D-2159-4D39-ADDB-75BAF44E5F68}" presName="rootText" presStyleLbl="node4" presStyleIdx="25" presStyleCnt="26">
        <dgm:presLayoutVars>
          <dgm:chPref val="3"/>
        </dgm:presLayoutVars>
      </dgm:prSet>
      <dgm:spPr/>
      <dgm:t>
        <a:bodyPr/>
        <a:lstStyle/>
        <a:p>
          <a:endParaRPr lang="en-US"/>
        </a:p>
      </dgm:t>
    </dgm:pt>
    <dgm:pt modelId="{A1246F8B-53C5-46D9-808E-9850665E6C6E}" type="pres">
      <dgm:prSet presAssocID="{F9C1462D-2159-4D39-ADDB-75BAF44E5F68}" presName="rootConnector" presStyleLbl="node4" presStyleIdx="25" presStyleCnt="26"/>
      <dgm:spPr/>
      <dgm:t>
        <a:bodyPr/>
        <a:lstStyle/>
        <a:p>
          <a:endParaRPr lang="en-US"/>
        </a:p>
      </dgm:t>
    </dgm:pt>
    <dgm:pt modelId="{43F4793A-D6EA-4BE3-928F-52A60629F468}" type="pres">
      <dgm:prSet presAssocID="{F9C1462D-2159-4D39-ADDB-75BAF44E5F68}" presName="hierChild4" presStyleCnt="0"/>
      <dgm:spPr/>
      <dgm:t>
        <a:bodyPr/>
        <a:lstStyle/>
        <a:p>
          <a:endParaRPr lang="en-US"/>
        </a:p>
      </dgm:t>
    </dgm:pt>
    <dgm:pt modelId="{7674E79B-18B1-4C07-974D-36422A3610C2}" type="pres">
      <dgm:prSet presAssocID="{F9C1462D-2159-4D39-ADDB-75BAF44E5F68}" presName="hierChild5" presStyleCnt="0"/>
      <dgm:spPr/>
      <dgm:t>
        <a:bodyPr/>
        <a:lstStyle/>
        <a:p>
          <a:endParaRPr lang="en-US"/>
        </a:p>
      </dgm:t>
    </dgm:pt>
    <dgm:pt modelId="{8E7DF865-D580-48D4-B451-B37260A6D0F1}" type="pres">
      <dgm:prSet presAssocID="{C9A145BE-FB25-46DA-99BF-83E46C9958BC}" presName="hierChild5" presStyleCnt="0"/>
      <dgm:spPr/>
      <dgm:t>
        <a:bodyPr/>
        <a:lstStyle/>
        <a:p>
          <a:endParaRPr lang="en-US"/>
        </a:p>
      </dgm:t>
    </dgm:pt>
    <dgm:pt modelId="{04D2B2A8-069E-4497-BB0D-4726B2798060}" type="pres">
      <dgm:prSet presAssocID="{39B39A8D-6172-4208-B28B-8DA37067165B}" presName="Name37" presStyleLbl="parChTrans1D3" presStyleIdx="6" presStyleCnt="9"/>
      <dgm:spPr/>
      <dgm:t>
        <a:bodyPr/>
        <a:lstStyle/>
        <a:p>
          <a:endParaRPr lang="en-US"/>
        </a:p>
      </dgm:t>
    </dgm:pt>
    <dgm:pt modelId="{9F079D16-B3F1-4163-8F9B-937E6F6AA6C2}" type="pres">
      <dgm:prSet presAssocID="{8404FBA2-61D6-4C49-A08F-AEBFAF8D5B32}" presName="hierRoot2" presStyleCnt="0">
        <dgm:presLayoutVars>
          <dgm:hierBranch val="init"/>
        </dgm:presLayoutVars>
      </dgm:prSet>
      <dgm:spPr/>
      <dgm:t>
        <a:bodyPr/>
        <a:lstStyle/>
        <a:p>
          <a:endParaRPr lang="en-US"/>
        </a:p>
      </dgm:t>
    </dgm:pt>
    <dgm:pt modelId="{9D625C64-6966-4AAE-9B5E-F1A3ED03C370}" type="pres">
      <dgm:prSet presAssocID="{8404FBA2-61D6-4C49-A08F-AEBFAF8D5B32}" presName="rootComposite" presStyleCnt="0"/>
      <dgm:spPr/>
      <dgm:t>
        <a:bodyPr/>
        <a:lstStyle/>
        <a:p>
          <a:endParaRPr lang="en-US"/>
        </a:p>
      </dgm:t>
    </dgm:pt>
    <dgm:pt modelId="{D640E73A-9339-426E-84AA-3EE56780CE32}" type="pres">
      <dgm:prSet presAssocID="{8404FBA2-61D6-4C49-A08F-AEBFAF8D5B32}" presName="rootText" presStyleLbl="node3" presStyleIdx="6" presStyleCnt="7">
        <dgm:presLayoutVars>
          <dgm:chPref val="3"/>
        </dgm:presLayoutVars>
      </dgm:prSet>
      <dgm:spPr/>
      <dgm:t>
        <a:bodyPr/>
        <a:lstStyle/>
        <a:p>
          <a:endParaRPr lang="en-US"/>
        </a:p>
      </dgm:t>
    </dgm:pt>
    <dgm:pt modelId="{9DB74EF9-5B1F-4192-905A-46F9CA290EE0}" type="pres">
      <dgm:prSet presAssocID="{8404FBA2-61D6-4C49-A08F-AEBFAF8D5B32}" presName="rootConnector" presStyleLbl="node3" presStyleIdx="6" presStyleCnt="7"/>
      <dgm:spPr/>
      <dgm:t>
        <a:bodyPr/>
        <a:lstStyle/>
        <a:p>
          <a:endParaRPr lang="en-US"/>
        </a:p>
      </dgm:t>
    </dgm:pt>
    <dgm:pt modelId="{68690C76-0B8E-462D-81CA-79C92CFC7C82}" type="pres">
      <dgm:prSet presAssocID="{8404FBA2-61D6-4C49-A08F-AEBFAF8D5B32}" presName="hierChild4" presStyleCnt="0"/>
      <dgm:spPr/>
      <dgm:t>
        <a:bodyPr/>
        <a:lstStyle/>
        <a:p>
          <a:endParaRPr lang="en-US"/>
        </a:p>
      </dgm:t>
    </dgm:pt>
    <dgm:pt modelId="{672FDFA4-E065-4E12-B2C4-C7CECEF6D867}" type="pres">
      <dgm:prSet presAssocID="{8404FBA2-61D6-4C49-A08F-AEBFAF8D5B32}" presName="hierChild5" presStyleCnt="0"/>
      <dgm:spPr/>
      <dgm:t>
        <a:bodyPr/>
        <a:lstStyle/>
        <a:p>
          <a:endParaRPr lang="en-US"/>
        </a:p>
      </dgm:t>
    </dgm:pt>
    <dgm:pt modelId="{DB8384C8-13CD-43A4-AFAE-A479300E4000}" type="pres">
      <dgm:prSet presAssocID="{6DA18845-F20A-40A8-AA01-06803F6FC405}" presName="hierChild5" presStyleCnt="0"/>
      <dgm:spPr/>
      <dgm:t>
        <a:bodyPr/>
        <a:lstStyle/>
        <a:p>
          <a:endParaRPr lang="en-US"/>
        </a:p>
      </dgm:t>
    </dgm:pt>
    <dgm:pt modelId="{EC6CFD2E-5B63-4899-B1C0-FBD0719274FE}" type="pres">
      <dgm:prSet presAssocID="{E815A8A3-F036-4B65-9639-2A882E3E6D0E}" presName="Name111" presStyleLbl="parChTrans1D3" presStyleIdx="7" presStyleCnt="9"/>
      <dgm:spPr/>
      <dgm:t>
        <a:bodyPr/>
        <a:lstStyle/>
        <a:p>
          <a:endParaRPr lang="en-US"/>
        </a:p>
      </dgm:t>
    </dgm:pt>
    <dgm:pt modelId="{645F4608-6C1E-4B39-B83D-9D5FE39DB103}" type="pres">
      <dgm:prSet presAssocID="{28ACC43A-0197-4B82-B382-8F1288A036D9}" presName="hierRoot3" presStyleCnt="0">
        <dgm:presLayoutVars>
          <dgm:hierBranch val="init"/>
        </dgm:presLayoutVars>
      </dgm:prSet>
      <dgm:spPr/>
      <dgm:t>
        <a:bodyPr/>
        <a:lstStyle/>
        <a:p>
          <a:endParaRPr lang="en-US"/>
        </a:p>
      </dgm:t>
    </dgm:pt>
    <dgm:pt modelId="{F4A088C8-16F3-4F3A-805F-221E5F3979F6}" type="pres">
      <dgm:prSet presAssocID="{28ACC43A-0197-4B82-B382-8F1288A036D9}" presName="rootComposite3" presStyleCnt="0"/>
      <dgm:spPr/>
      <dgm:t>
        <a:bodyPr/>
        <a:lstStyle/>
        <a:p>
          <a:endParaRPr lang="en-US"/>
        </a:p>
      </dgm:t>
    </dgm:pt>
    <dgm:pt modelId="{185DE16D-898A-40C6-B71E-FD16B256A583}" type="pres">
      <dgm:prSet presAssocID="{28ACC43A-0197-4B82-B382-8F1288A036D9}" presName="rootText3" presStyleLbl="asst2" presStyleIdx="0" presStyleCnt="2">
        <dgm:presLayoutVars>
          <dgm:chPref val="3"/>
        </dgm:presLayoutVars>
      </dgm:prSet>
      <dgm:spPr/>
      <dgm:t>
        <a:bodyPr/>
        <a:lstStyle/>
        <a:p>
          <a:endParaRPr lang="en-US"/>
        </a:p>
      </dgm:t>
    </dgm:pt>
    <dgm:pt modelId="{A22F2E9B-16CE-4387-9236-5A4D420FB8C2}" type="pres">
      <dgm:prSet presAssocID="{28ACC43A-0197-4B82-B382-8F1288A036D9}" presName="rootConnector3" presStyleLbl="asst2" presStyleIdx="0" presStyleCnt="2"/>
      <dgm:spPr/>
      <dgm:t>
        <a:bodyPr/>
        <a:lstStyle/>
        <a:p>
          <a:endParaRPr lang="en-US"/>
        </a:p>
      </dgm:t>
    </dgm:pt>
    <dgm:pt modelId="{DC8F5426-4D81-49B3-A1B5-E60176EBB911}" type="pres">
      <dgm:prSet presAssocID="{28ACC43A-0197-4B82-B382-8F1288A036D9}" presName="hierChild6" presStyleCnt="0"/>
      <dgm:spPr/>
      <dgm:t>
        <a:bodyPr/>
        <a:lstStyle/>
        <a:p>
          <a:endParaRPr lang="en-US"/>
        </a:p>
      </dgm:t>
    </dgm:pt>
    <dgm:pt modelId="{41F08C48-7C04-4C25-9E9B-5E5DB96EBB2B}" type="pres">
      <dgm:prSet presAssocID="{28ACC43A-0197-4B82-B382-8F1288A036D9}" presName="hierChild7" presStyleCnt="0"/>
      <dgm:spPr/>
      <dgm:t>
        <a:bodyPr/>
        <a:lstStyle/>
        <a:p>
          <a:endParaRPr lang="en-US"/>
        </a:p>
      </dgm:t>
    </dgm:pt>
    <dgm:pt modelId="{BBFF6522-7B5E-4E76-B1D1-D5C277AE0738}" type="pres">
      <dgm:prSet presAssocID="{E77EE90F-D032-48F5-9D06-781DB98F4B01}" presName="Name111" presStyleLbl="parChTrans1D3" presStyleIdx="8" presStyleCnt="9"/>
      <dgm:spPr/>
      <dgm:t>
        <a:bodyPr/>
        <a:lstStyle/>
        <a:p>
          <a:endParaRPr lang="en-US"/>
        </a:p>
      </dgm:t>
    </dgm:pt>
    <dgm:pt modelId="{08CA0323-2977-431C-9823-56791B29C356}" type="pres">
      <dgm:prSet presAssocID="{60D27FDF-1BAA-4447-ACEC-C7DA2D61A16D}" presName="hierRoot3" presStyleCnt="0">
        <dgm:presLayoutVars>
          <dgm:hierBranch val="init"/>
        </dgm:presLayoutVars>
      </dgm:prSet>
      <dgm:spPr/>
      <dgm:t>
        <a:bodyPr/>
        <a:lstStyle/>
        <a:p>
          <a:endParaRPr lang="en-US"/>
        </a:p>
      </dgm:t>
    </dgm:pt>
    <dgm:pt modelId="{57762F02-C3D7-4C34-87F8-5CF1CD203BEA}" type="pres">
      <dgm:prSet presAssocID="{60D27FDF-1BAA-4447-ACEC-C7DA2D61A16D}" presName="rootComposite3" presStyleCnt="0"/>
      <dgm:spPr/>
      <dgm:t>
        <a:bodyPr/>
        <a:lstStyle/>
        <a:p>
          <a:endParaRPr lang="en-US"/>
        </a:p>
      </dgm:t>
    </dgm:pt>
    <dgm:pt modelId="{A9A7E80C-48FE-49F7-B329-7022299932DE}" type="pres">
      <dgm:prSet presAssocID="{60D27FDF-1BAA-4447-ACEC-C7DA2D61A16D}" presName="rootText3" presStyleLbl="asst2" presStyleIdx="1" presStyleCnt="2">
        <dgm:presLayoutVars>
          <dgm:chPref val="3"/>
        </dgm:presLayoutVars>
      </dgm:prSet>
      <dgm:spPr/>
      <dgm:t>
        <a:bodyPr/>
        <a:lstStyle/>
        <a:p>
          <a:endParaRPr lang="en-US"/>
        </a:p>
      </dgm:t>
    </dgm:pt>
    <dgm:pt modelId="{A789F2E0-D07C-4E23-B847-490EBDB22B77}" type="pres">
      <dgm:prSet presAssocID="{60D27FDF-1BAA-4447-ACEC-C7DA2D61A16D}" presName="rootConnector3" presStyleLbl="asst2" presStyleIdx="1" presStyleCnt="2"/>
      <dgm:spPr/>
      <dgm:t>
        <a:bodyPr/>
        <a:lstStyle/>
        <a:p>
          <a:endParaRPr lang="en-US"/>
        </a:p>
      </dgm:t>
    </dgm:pt>
    <dgm:pt modelId="{4A622DD9-E934-416D-887C-16CD96E8E154}" type="pres">
      <dgm:prSet presAssocID="{60D27FDF-1BAA-4447-ACEC-C7DA2D61A16D}" presName="hierChild6" presStyleCnt="0"/>
      <dgm:spPr/>
      <dgm:t>
        <a:bodyPr/>
        <a:lstStyle/>
        <a:p>
          <a:endParaRPr lang="en-US"/>
        </a:p>
      </dgm:t>
    </dgm:pt>
    <dgm:pt modelId="{2F6E21EA-0430-459F-B347-68916A47ED18}" type="pres">
      <dgm:prSet presAssocID="{60D27FDF-1BAA-4447-ACEC-C7DA2D61A16D}" presName="hierChild7" presStyleCnt="0"/>
      <dgm:spPr/>
      <dgm:t>
        <a:bodyPr/>
        <a:lstStyle/>
        <a:p>
          <a:endParaRPr lang="en-US"/>
        </a:p>
      </dgm:t>
    </dgm:pt>
    <dgm:pt modelId="{6A1F70BB-55FC-429D-87DE-D300DA06CFD5}" type="pres">
      <dgm:prSet presAssocID="{A037DED5-203F-475A-AE5C-6D1E18D83EA5}" presName="hierChild3" presStyleCnt="0"/>
      <dgm:spPr/>
      <dgm:t>
        <a:bodyPr/>
        <a:lstStyle/>
        <a:p>
          <a:endParaRPr lang="en-US"/>
        </a:p>
      </dgm:t>
    </dgm:pt>
  </dgm:ptLst>
  <dgm:cxnLst>
    <dgm:cxn modelId="{E0C689D3-F757-44B6-B433-46A6792EC2D0}" type="presOf" srcId="{3F615075-B70E-4323-866E-35854340C70C}" destId="{C32BC131-12EB-4BD6-A742-551A30AF4616}" srcOrd="0" destOrd="0" presId="urn:microsoft.com/office/officeart/2005/8/layout/orgChart1"/>
    <dgm:cxn modelId="{63D043C0-8674-4413-BB5E-33E94372CF9D}" type="presOf" srcId="{28ACC43A-0197-4B82-B382-8F1288A036D9}" destId="{A22F2E9B-16CE-4387-9236-5A4D420FB8C2}" srcOrd="1" destOrd="0" presId="urn:microsoft.com/office/officeart/2005/8/layout/orgChart1"/>
    <dgm:cxn modelId="{E2DD2B40-D931-4D58-93F1-FAE0A0D44C56}" type="presOf" srcId="{DDBFA551-D3CD-4D54-80C5-88C8D8A02FFF}" destId="{398B73A1-FA88-4B27-A0CC-7C6C63000987}" srcOrd="1" destOrd="0" presId="urn:microsoft.com/office/officeart/2005/8/layout/orgChart1"/>
    <dgm:cxn modelId="{75266429-164E-404E-851B-2CDEB62C81ED}" type="presOf" srcId="{1AD5A604-EAB9-45F4-B11E-04F248519A53}" destId="{8412660B-1411-49E1-974F-DF5D4E111A8A}" srcOrd="1" destOrd="0" presId="urn:microsoft.com/office/officeart/2005/8/layout/orgChart1"/>
    <dgm:cxn modelId="{0A89F5F2-31CF-4532-BE6D-9C74CB44DBB6}" srcId="{4CF3160D-9482-4966-8ACF-40FB68328330}" destId="{DDBFA551-D3CD-4D54-80C5-88C8D8A02FFF}" srcOrd="7" destOrd="0" parTransId="{3F52C6BE-7D15-4F2B-8CBF-F749D1318DA1}" sibTransId="{097AB7F0-0223-483A-8C8E-B0A403C43390}"/>
    <dgm:cxn modelId="{ACF03EB7-36C5-4EB7-9674-621A99259416}" type="presOf" srcId="{A037DED5-203F-475A-AE5C-6D1E18D83EA5}" destId="{2A817A21-B93B-4A9A-B674-86EA505E4749}" srcOrd="1" destOrd="0" presId="urn:microsoft.com/office/officeart/2005/8/layout/orgChart1"/>
    <dgm:cxn modelId="{5DEC70B3-9275-4891-B286-3D1B2FE521E1}" type="presOf" srcId="{F0189A45-2E34-4709-A1C3-805917C713DC}" destId="{833E1EE0-7B63-4E76-9280-A34B39BFBE70}" srcOrd="0" destOrd="0" presId="urn:microsoft.com/office/officeart/2005/8/layout/orgChart1"/>
    <dgm:cxn modelId="{F5F20941-FCD5-44DF-ABE7-5B88938BD3F7}" type="presOf" srcId="{1AD5A604-EAB9-45F4-B11E-04F248519A53}" destId="{E5650426-266D-43A1-93A4-435AA193D1F7}" srcOrd="0" destOrd="0" presId="urn:microsoft.com/office/officeart/2005/8/layout/orgChart1"/>
    <dgm:cxn modelId="{D9A5E896-3515-4DD5-82B4-E5C3813AA58F}" type="presOf" srcId="{47D4B632-527B-4605-AB24-A18BDCA61843}" destId="{0AAA3537-3730-47B2-A25C-4BF8248C993C}" srcOrd="0" destOrd="0" presId="urn:microsoft.com/office/officeart/2005/8/layout/orgChart1"/>
    <dgm:cxn modelId="{F8808E30-6462-45B5-B418-8C5DD25F9114}" type="presOf" srcId="{8404FBA2-61D6-4C49-A08F-AEBFAF8D5B32}" destId="{D640E73A-9339-426E-84AA-3EE56780CE32}" srcOrd="0" destOrd="0" presId="urn:microsoft.com/office/officeart/2005/8/layout/orgChart1"/>
    <dgm:cxn modelId="{1A13AE21-2A50-45F2-963A-459D8CB7EFAC}" type="presOf" srcId="{2A784AB7-3FCC-455E-9BDF-53131CC18768}" destId="{676CDB27-FD10-4330-B99B-D8B3E9D1B3D0}" srcOrd="0" destOrd="0" presId="urn:microsoft.com/office/officeart/2005/8/layout/orgChart1"/>
    <dgm:cxn modelId="{FE79C7FE-AE69-4560-B13F-E3F131772DEA}" type="presOf" srcId="{084116D5-ACDB-413D-9197-9E3745714267}" destId="{2AE85425-1A62-4CD6-8970-BA817DECA633}" srcOrd="1" destOrd="0" presId="urn:microsoft.com/office/officeart/2005/8/layout/orgChart1"/>
    <dgm:cxn modelId="{68699E3C-C5CE-4323-A3D4-60274B1DFF6F}" srcId="{BC67051E-A298-4E3A-9207-A46E88251741}" destId="{ED98E2D3-C9BD-45A1-9DA2-27A597323A64}" srcOrd="2" destOrd="0" parTransId="{1F0922F6-1706-4037-AB5E-AEBFDAEACCE6}" sibTransId="{0D7F7A19-01E6-4B31-8028-783BFE270D1F}"/>
    <dgm:cxn modelId="{1DC4F6BB-1C0E-4AAA-BC0E-678BCE80A2BB}" type="presOf" srcId="{8D71E889-F3F5-445E-B63F-42431830C90B}" destId="{C84DE3DD-DC83-485C-A2DC-DC1E781A9EC8}" srcOrd="1" destOrd="0" presId="urn:microsoft.com/office/officeart/2005/8/layout/orgChart1"/>
    <dgm:cxn modelId="{59B510F2-2970-411C-96E3-F533D0652CF4}" type="presOf" srcId="{3F615075-B70E-4323-866E-35854340C70C}" destId="{F93334BC-6E9B-4FAD-9F17-EAB42872570C}" srcOrd="1" destOrd="0" presId="urn:microsoft.com/office/officeart/2005/8/layout/orgChart1"/>
    <dgm:cxn modelId="{FF916FF7-4125-4288-93BB-68564A5A6F6C}" type="presOf" srcId="{7EC7984B-535E-43E5-AF63-879857FF3A93}" destId="{02370D6B-7D42-4BE2-8B33-1D4391412BB8}" srcOrd="0" destOrd="0" presId="urn:microsoft.com/office/officeart/2005/8/layout/orgChart1"/>
    <dgm:cxn modelId="{FDD254D1-CD2A-4B4D-8018-92110E637E6D}" srcId="{2767C2DA-232B-4B41-B367-038B922184F3}" destId="{7B409E53-1886-4EC2-9E74-B45776421CC6}" srcOrd="0" destOrd="0" parTransId="{CFFDB943-084B-416E-9CF0-CFA0B744550E}" sibTransId="{A69B7DB6-1130-4B50-B3CB-FE4E5E48EACE}"/>
    <dgm:cxn modelId="{58DD0B22-DB86-4BCA-9683-614547FF484D}" srcId="{2A784AB7-3FCC-455E-9BDF-53131CC18768}" destId="{3F615075-B70E-4323-866E-35854340C70C}" srcOrd="5" destOrd="0" parTransId="{921E2BAE-8ECD-4D18-BCE7-7A0A493CF81B}" sibTransId="{215A2490-34D2-4AE3-9989-5EC52E1431E8}"/>
    <dgm:cxn modelId="{CC75ACA0-778D-4DFF-92E3-1CECC76F988B}" type="presOf" srcId="{BF924850-AE25-4F84-AA7C-F17560C10E9C}" destId="{7FF8BB1E-E46D-4960-B36F-83A2F92494C6}" srcOrd="0" destOrd="0" presId="urn:microsoft.com/office/officeart/2005/8/layout/orgChart1"/>
    <dgm:cxn modelId="{21A0A425-4E44-4B39-8975-0A93A4126B9F}" type="presOf" srcId="{62672A90-7CAF-49AD-B268-A3DB02F76757}" destId="{D7463B6B-B2A8-4A3F-8AB6-632DDA365415}" srcOrd="1" destOrd="0" presId="urn:microsoft.com/office/officeart/2005/8/layout/orgChart1"/>
    <dgm:cxn modelId="{B4ADAB22-953A-4F67-98A1-D52A94FEC5E7}" srcId="{6DA18845-F20A-40A8-AA01-06803F6FC405}" destId="{60D27FDF-1BAA-4447-ACEC-C7DA2D61A16D}" srcOrd="8" destOrd="0" parTransId="{E77EE90F-D032-48F5-9D06-781DB98F4B01}" sibTransId="{B4AA3539-1AC6-4DE5-97CB-EC1F2694A8A9}"/>
    <dgm:cxn modelId="{0871DA3B-6E8C-434D-8B41-8FFEC928AC2F}" type="presOf" srcId="{BBFB2C3E-84C0-4DA1-876C-3B8F77215A7F}" destId="{5210760A-89C7-453A-9323-086A32E8C606}" srcOrd="0" destOrd="0" presId="urn:microsoft.com/office/officeart/2005/8/layout/orgChart1"/>
    <dgm:cxn modelId="{3A12E29A-7451-4745-B156-17BA25AD6508}" type="presOf" srcId="{498EEFBB-97A2-4BBE-B143-127D952913BB}" destId="{4D873A80-6470-4629-949E-A5A9EC0134FA}" srcOrd="1" destOrd="0" presId="urn:microsoft.com/office/officeart/2005/8/layout/orgChart1"/>
    <dgm:cxn modelId="{AD755E33-9C05-4438-BDE0-35153D178F52}" srcId="{2A784AB7-3FCC-455E-9BDF-53131CC18768}" destId="{BF924850-AE25-4F84-AA7C-F17560C10E9C}" srcOrd="2" destOrd="0" parTransId="{7DEB7E7F-BBCC-4F86-BE6D-27BD9A85811E}" sibTransId="{B1392607-17A0-4209-ACCF-895DD6112EB0}"/>
    <dgm:cxn modelId="{E8BD3AD2-E2DE-4F7A-9556-3D7A40EBC4BC}" type="presOf" srcId="{6DA18845-F20A-40A8-AA01-06803F6FC405}" destId="{4B496E8B-CD2A-4B1A-A98E-1926DE5F4308}" srcOrd="1" destOrd="0" presId="urn:microsoft.com/office/officeart/2005/8/layout/orgChart1"/>
    <dgm:cxn modelId="{F2DA0D72-D4D2-4E7B-975F-68B70B385DD6}" srcId="{6DA18845-F20A-40A8-AA01-06803F6FC405}" destId="{BC67051E-A298-4E3A-9207-A46E88251741}" srcOrd="3" destOrd="0" parTransId="{2F255E3F-7E4A-41EC-BFDE-17171F2B1855}" sibTransId="{5A112F9B-74BC-42C4-9721-69E60DA3C821}"/>
    <dgm:cxn modelId="{1C732849-55D5-44CD-B5E0-5653F54C8311}" srcId="{2A784AB7-3FCC-455E-9BDF-53131CC18768}" destId="{F0189A45-2E34-4709-A1C3-805917C713DC}" srcOrd="3" destOrd="0" parTransId="{97756902-2B32-4177-B2C9-37BACF1397C9}" sibTransId="{C7F4B941-CD8E-4D6E-8AF3-63785356D677}"/>
    <dgm:cxn modelId="{C0F23254-3FDB-4AF2-924D-DC69712038B9}" type="presOf" srcId="{FD8B9EFC-0A2B-4E6F-BC9F-5B71CD75140F}" destId="{8CD4EA47-E488-43D6-AD60-BF3DBB0AEC71}" srcOrd="0" destOrd="0" presId="urn:microsoft.com/office/officeart/2005/8/layout/orgChart1"/>
    <dgm:cxn modelId="{46E40C6F-12CF-4325-A827-939C38E2A097}" type="presOf" srcId="{2EEAE332-7D0A-40BB-BC9B-DB83F4D47E87}" destId="{EFB38974-1789-4DBC-ADEF-EE8155F57045}" srcOrd="0" destOrd="0" presId="urn:microsoft.com/office/officeart/2005/8/layout/orgChart1"/>
    <dgm:cxn modelId="{5B501C6E-05BD-424F-97AF-B821BB3FE524}" srcId="{92B97642-E9B6-4B80-9B2C-726824C7B654}" destId="{77D04DD2-F763-457A-BFCB-A1D22B36AC33}" srcOrd="0" destOrd="0" parTransId="{2EEAE332-7D0A-40BB-BC9B-DB83F4D47E87}" sibTransId="{14D8E505-1B21-4263-8AFD-5E05BF584C09}"/>
    <dgm:cxn modelId="{CCDDA978-BEDD-4CBC-9CFB-89861AB63DCB}" type="presOf" srcId="{B22827A7-7043-4304-BD98-63FEFAC9F9EA}" destId="{BCEEB34D-8DE2-4805-A3CA-0EB9844EE11F}" srcOrd="0" destOrd="0" presId="urn:microsoft.com/office/officeart/2005/8/layout/orgChart1"/>
    <dgm:cxn modelId="{FA538663-1EC0-454D-ADDF-29356D23EE92}" type="presOf" srcId="{E815A8A3-F036-4B65-9639-2A882E3E6D0E}" destId="{EC6CFD2E-5B63-4899-B1C0-FBD0719274FE}" srcOrd="0" destOrd="0" presId="urn:microsoft.com/office/officeart/2005/8/layout/orgChart1"/>
    <dgm:cxn modelId="{3D6D4847-7A70-45A5-BD6E-8697AE59147F}" srcId="{4CF3160D-9482-4966-8ACF-40FB68328330}" destId="{498EEFBB-97A2-4BBE-B143-127D952913BB}" srcOrd="5" destOrd="0" parTransId="{52417831-ED56-41F1-B23B-DBE680EE0579}" sibTransId="{E74721B6-5567-47B7-A118-988E9CA00929}"/>
    <dgm:cxn modelId="{A5730486-C851-49C8-ADFA-A7851433B2CA}" srcId="{4CF3160D-9482-4966-8ACF-40FB68328330}" destId="{1AD5A604-EAB9-45F4-B11E-04F248519A53}" srcOrd="2" destOrd="0" parTransId="{7F260F0D-F43A-4037-A96E-E7F2C93E1A69}" sibTransId="{7808149D-4ED1-48F4-ADFD-5C7AA75DF67B}"/>
    <dgm:cxn modelId="{E30F80A0-EA9C-403A-824A-9BCFC7E1C9A1}" srcId="{2767C2DA-232B-4B41-B367-038B922184F3}" destId="{8D71E889-F3F5-445E-B63F-42431830C90B}" srcOrd="1" destOrd="0" parTransId="{47D4B632-527B-4605-AB24-A18BDCA61843}" sibTransId="{E7580286-0426-45C5-B2BA-DB1E7E93EE0C}"/>
    <dgm:cxn modelId="{D983AF04-133F-45BE-8023-DC7FF54EB7CB}" type="presOf" srcId="{DDBFA551-D3CD-4D54-80C5-88C8D8A02FFF}" destId="{5C518B37-AA32-43E6-9CDE-08252A492A62}" srcOrd="0" destOrd="0" presId="urn:microsoft.com/office/officeart/2005/8/layout/orgChart1"/>
    <dgm:cxn modelId="{F9347DF5-6C7A-4DBB-A25E-61204B388F15}" type="presOf" srcId="{60D27FDF-1BAA-4447-ACEC-C7DA2D61A16D}" destId="{A9A7E80C-48FE-49F7-B329-7022299932DE}" srcOrd="0" destOrd="0" presId="urn:microsoft.com/office/officeart/2005/8/layout/orgChart1"/>
    <dgm:cxn modelId="{754EF7C3-F7DF-48D4-9983-8F2F2E023209}" type="presOf" srcId="{39B39A8D-6172-4208-B28B-8DA37067165B}" destId="{04D2B2A8-069E-4497-BB0D-4726B2798060}" srcOrd="0" destOrd="0" presId="urn:microsoft.com/office/officeart/2005/8/layout/orgChart1"/>
    <dgm:cxn modelId="{12F0ABD2-F14F-48A9-80A3-F9583C61DCC4}" type="presOf" srcId="{04342B47-669E-4685-907E-C1EB04B02899}" destId="{23897CED-9A93-4B50-9A38-6AA5D047E104}" srcOrd="1" destOrd="0" presId="urn:microsoft.com/office/officeart/2005/8/layout/orgChart1"/>
    <dgm:cxn modelId="{9FE5BD5F-A134-446C-8EF3-2E002F50D00A}" type="presOf" srcId="{1F0922F6-1706-4037-AB5E-AEBFDAEACCE6}" destId="{DF8E606A-4D9D-4120-8375-2850ECB8F45C}" srcOrd="0" destOrd="0" presId="urn:microsoft.com/office/officeart/2005/8/layout/orgChart1"/>
    <dgm:cxn modelId="{44FA9782-85A4-435A-BB9B-3B6B54E20EC3}" srcId="{2A784AB7-3FCC-455E-9BDF-53131CC18768}" destId="{62672A90-7CAF-49AD-B268-A3DB02F76757}" srcOrd="1" destOrd="0" parTransId="{B7007B2D-A53A-4C5D-9477-857CB7080FED}" sibTransId="{F8A68B65-ED38-4200-804E-F8CEBA50E4B4}"/>
    <dgm:cxn modelId="{B1524BA0-EDDA-4C79-BF12-087E6DE28E69}" type="presOf" srcId="{92B97642-E9B6-4B80-9B2C-726824C7B654}" destId="{A0E7D1A4-4D4C-4FDC-9701-205481CF90C8}" srcOrd="0" destOrd="0" presId="urn:microsoft.com/office/officeart/2005/8/layout/orgChart1"/>
    <dgm:cxn modelId="{2317EC11-D791-42EC-8ACE-1AD440FBF204}" srcId="{6DA18845-F20A-40A8-AA01-06803F6FC405}" destId="{C9A145BE-FB25-46DA-99BF-83E46C9958BC}" srcOrd="5" destOrd="0" parTransId="{9C0BC635-536B-4236-9C4F-AD53FDAB8DCB}" sibTransId="{34A8FA8F-D959-499E-96A2-6EAE45DF2064}"/>
    <dgm:cxn modelId="{F53D3165-491E-4D92-B939-E86694835BA2}" srcId="{4CF3160D-9482-4966-8ACF-40FB68328330}" destId="{3DE1DD34-0103-46D9-83A5-75C95ACD0B45}" srcOrd="3" destOrd="0" parTransId="{E8C08207-CC9E-4607-B926-DD6D6CB21271}" sibTransId="{E60FA488-86E7-4289-A380-BF4499F45211}"/>
    <dgm:cxn modelId="{ED6C7172-29A3-41A3-9B75-767A3E113D58}" type="presOf" srcId="{99EE6421-BDBD-45BE-896E-E96B5466A4C4}" destId="{97D36E3C-10C8-4FBF-8439-2DD7D72403B9}" srcOrd="0" destOrd="0" presId="urn:microsoft.com/office/officeart/2005/8/layout/orgChart1"/>
    <dgm:cxn modelId="{2B346A9B-56D7-48B3-97A5-D2998FEB62FD}" type="presOf" srcId="{498EEFBB-97A2-4BBE-B143-127D952913BB}" destId="{01C843F1-4675-4E37-A034-470A87AD0F75}" srcOrd="0" destOrd="0" presId="urn:microsoft.com/office/officeart/2005/8/layout/orgChart1"/>
    <dgm:cxn modelId="{6388BF27-EA96-4F93-92A3-CFAEE2818A45}" type="presOf" srcId="{7DEB7E7F-BBCC-4F86-BE6D-27BD9A85811E}" destId="{74EEA4D1-81B0-4484-95D2-49EEF153C138}" srcOrd="0" destOrd="0" presId="urn:microsoft.com/office/officeart/2005/8/layout/orgChart1"/>
    <dgm:cxn modelId="{A2F3E419-67DF-4D55-A180-EAF41F364F3A}" type="presOf" srcId="{3F52C6BE-7D15-4F2B-8CBF-F749D1318DA1}" destId="{78C19219-A300-4D8B-B0EC-E75AECC54B37}" srcOrd="0" destOrd="0" presId="urn:microsoft.com/office/officeart/2005/8/layout/orgChart1"/>
    <dgm:cxn modelId="{888DC97B-6246-4E96-9467-E69DBE844940}" type="presOf" srcId="{979DE948-C316-473A-81C4-042FAB830556}" destId="{55073FAF-51A3-43BF-9370-E1F8E59948AC}" srcOrd="0" destOrd="0" presId="urn:microsoft.com/office/officeart/2005/8/layout/orgChart1"/>
    <dgm:cxn modelId="{08DC9836-7F8E-4909-B82E-1E1A86580FD7}" srcId="{2767C2DA-232B-4B41-B367-038B922184F3}" destId="{084116D5-ACDB-413D-9197-9E3745714267}" srcOrd="3" destOrd="0" parTransId="{E6050EF8-2B32-4233-ABBC-B865C91E054E}" sibTransId="{40ADF063-7513-4EBA-89D8-BB98D01B361F}"/>
    <dgm:cxn modelId="{84D00B3B-FEA4-4C52-98ED-61AC90D59EFD}" type="presOf" srcId="{C9A145BE-FB25-46DA-99BF-83E46C9958BC}" destId="{406DEF9E-F34C-4C96-AB30-8E603A4E9CA0}" srcOrd="0" destOrd="0" presId="urn:microsoft.com/office/officeart/2005/8/layout/orgChart1"/>
    <dgm:cxn modelId="{82751B23-9025-47BC-9E02-DCC1B5F3F1BD}" type="presOf" srcId="{76EF9580-831D-46A4-8E5A-4B54A6E9056C}" destId="{759E251E-4B3E-4755-A4B2-5C9B448F2AA6}" srcOrd="0" destOrd="0" presId="urn:microsoft.com/office/officeart/2005/8/layout/orgChart1"/>
    <dgm:cxn modelId="{C0F7D985-850E-449E-99BE-5DA6B9E06B58}" type="presOf" srcId="{8404FBA2-61D6-4C49-A08F-AEBFAF8D5B32}" destId="{9DB74EF9-5B1F-4192-905A-46F9CA290EE0}" srcOrd="1" destOrd="0" presId="urn:microsoft.com/office/officeart/2005/8/layout/orgChart1"/>
    <dgm:cxn modelId="{70431708-AE8A-434A-8CDD-34F9C681B89D}" type="presOf" srcId="{E9409591-A774-4EEA-B246-455403D01085}" destId="{DA5FDC16-B970-45BA-B859-792ACBEFCE00}" srcOrd="1" destOrd="0" presId="urn:microsoft.com/office/officeart/2005/8/layout/orgChart1"/>
    <dgm:cxn modelId="{531ECB88-05A4-4A1D-BE5B-2725A9D35F83}" type="presOf" srcId="{FF843502-8376-4D91-AA47-756054CC4849}" destId="{CC875EDB-B730-407F-B108-9AEAE929C299}" srcOrd="0" destOrd="0" presId="urn:microsoft.com/office/officeart/2005/8/layout/orgChart1"/>
    <dgm:cxn modelId="{D431ADF7-CC4E-4E16-A5AC-FA7C359C1CAE}" srcId="{4CF3160D-9482-4966-8ACF-40FB68328330}" destId="{979DE948-C316-473A-81C4-042FAB830556}" srcOrd="0" destOrd="0" parTransId="{59B1D0E5-F872-414A-A1AA-F171A1657283}" sibTransId="{D8377D20-C99C-435C-A34A-43C3F91F0D15}"/>
    <dgm:cxn modelId="{14516750-6F48-467E-81E7-61327BD349C0}" type="presOf" srcId="{088D02A2-7E02-41B8-8385-C46F0D923AEE}" destId="{742D2547-3524-4E87-B68E-E95A1EFDB192}" srcOrd="0" destOrd="0" presId="urn:microsoft.com/office/officeart/2005/8/layout/orgChart1"/>
    <dgm:cxn modelId="{65550078-9EF7-4EA0-A8F2-AD51ACAE8CB2}" type="presOf" srcId="{EF28482C-5B57-4639-83CA-0361F3872CF6}" destId="{4B314BBA-0972-410C-8258-745670949447}" srcOrd="0" destOrd="0" presId="urn:microsoft.com/office/officeart/2005/8/layout/orgChart1"/>
    <dgm:cxn modelId="{072752A2-BA0C-4755-9F3C-AE161E25DE67}" type="presOf" srcId="{60C92B45-9F30-45BD-A70C-7C1EEB258DB6}" destId="{D10849F8-6374-47D0-A2EB-E9F505C6AA90}" srcOrd="1" destOrd="0" presId="urn:microsoft.com/office/officeart/2005/8/layout/orgChart1"/>
    <dgm:cxn modelId="{3D6EF326-E9B1-4066-9FD0-E9451DFB1559}" type="presOf" srcId="{A102C5B0-E9E0-4753-9229-8F491AB51C29}" destId="{B0AFA7D8-7571-49EF-BFE2-5EE254842664}" srcOrd="0" destOrd="0" presId="urn:microsoft.com/office/officeart/2005/8/layout/orgChart1"/>
    <dgm:cxn modelId="{48BC8040-665D-4FBD-91F6-9566865ED8C0}" type="presOf" srcId="{FD8B9EFC-0A2B-4E6F-BC9F-5B71CD75140F}" destId="{C07EECB9-991B-4848-85F0-9D319CDE7CA9}" srcOrd="1" destOrd="0" presId="urn:microsoft.com/office/officeart/2005/8/layout/orgChart1"/>
    <dgm:cxn modelId="{2765A006-F734-4F8D-9269-4C9547336633}" srcId="{BC67051E-A298-4E3A-9207-A46E88251741}" destId="{04342B47-669E-4685-907E-C1EB04B02899}" srcOrd="1" destOrd="0" parTransId="{9BA4A2A6-59AE-40AD-B6E3-78963E194551}" sibTransId="{C27B98E7-3414-487B-BC75-F3A8FA653547}"/>
    <dgm:cxn modelId="{2F8AF78A-5FF2-4374-97DB-19DAA93538E6}" type="presOf" srcId="{C9A145BE-FB25-46DA-99BF-83E46C9958BC}" destId="{11C581BB-FC03-4E7B-8CCB-4D829E1EC66B}" srcOrd="1" destOrd="0" presId="urn:microsoft.com/office/officeart/2005/8/layout/orgChart1"/>
    <dgm:cxn modelId="{E7032CA2-05B4-44CB-8F1F-86B1F9B7D8BF}" srcId="{6DA18845-F20A-40A8-AA01-06803F6FC405}" destId="{28ACC43A-0197-4B82-B382-8F1288A036D9}" srcOrd="7" destOrd="0" parTransId="{E815A8A3-F036-4B65-9639-2A882E3E6D0E}" sibTransId="{BB5B8498-32A9-46ED-B08C-8B80224B878C}"/>
    <dgm:cxn modelId="{D2A957BD-80CF-4372-B989-8EAB7677F96F}" type="presOf" srcId="{E9409591-A774-4EEA-B246-455403D01085}" destId="{48BDA1E4-D419-43A6-A067-DFA1F95A57AC}" srcOrd="0" destOrd="0" presId="urn:microsoft.com/office/officeart/2005/8/layout/orgChart1"/>
    <dgm:cxn modelId="{712EB8A1-4218-4D66-9447-F611092BF164}" srcId="{C9A145BE-FB25-46DA-99BF-83E46C9958BC}" destId="{F9C1462D-2159-4D39-ADDB-75BAF44E5F68}" srcOrd="0" destOrd="0" parTransId="{76EF9580-831D-46A4-8E5A-4B54A6E9056C}" sibTransId="{C9CA272E-9A20-47CC-8675-875626F0BFDF}"/>
    <dgm:cxn modelId="{9E623B3E-4857-4447-B139-83747D0B26B8}" srcId="{4CF3160D-9482-4966-8ACF-40FB68328330}" destId="{FD8B9EFC-0A2B-4E6F-BC9F-5B71CD75140F}" srcOrd="8" destOrd="0" parTransId="{B22827A7-7043-4304-BD98-63FEFAC9F9EA}" sibTransId="{3944D6C1-8414-4A80-9EAB-90AF7C688529}"/>
    <dgm:cxn modelId="{A435DB65-470C-4587-A7EF-0812A819C073}" type="presOf" srcId="{7B409E53-1886-4EC2-9E74-B45776421CC6}" destId="{86B324B5-4C5F-4B40-81CA-33305B4C9D37}" srcOrd="0" destOrd="0" presId="urn:microsoft.com/office/officeart/2005/8/layout/orgChart1"/>
    <dgm:cxn modelId="{E0B0EDCC-46C8-4E03-A383-C0B836639DA4}" type="presOf" srcId="{29A1CDB9-FAD2-4046-A0DC-951409DA7721}" destId="{9959CA76-EFA6-4BF9-B1BB-87F9EE74E5F6}" srcOrd="0" destOrd="0" presId="urn:microsoft.com/office/officeart/2005/8/layout/orgChart1"/>
    <dgm:cxn modelId="{57733880-2BC7-4797-B421-FDDFDD39C44E}" srcId="{2A784AB7-3FCC-455E-9BDF-53131CC18768}" destId="{6E962D37-3D4B-4306-8156-A318D41B4699}" srcOrd="4" destOrd="0" parTransId="{3D4B958B-9A57-4A20-8959-962ED5565CD6}" sibTransId="{5FDB504A-3F96-48BD-92D0-04BD36F6AD88}"/>
    <dgm:cxn modelId="{E6096287-7883-472F-BFBE-B6D0CFD058E1}" type="presOf" srcId="{6DA18845-F20A-40A8-AA01-06803F6FC405}" destId="{ED03F981-C21B-4EFB-94FC-A05BE4D44531}" srcOrd="0" destOrd="0" presId="urn:microsoft.com/office/officeart/2005/8/layout/orgChart1"/>
    <dgm:cxn modelId="{83E016C3-4405-4AE4-A63B-1D6205AF2478}" type="presOf" srcId="{19B06AF5-05A2-4C2D-A537-BE07E1EB058F}" destId="{1E781902-B6ED-4A32-A440-B12238422BF6}" srcOrd="1" destOrd="0" presId="urn:microsoft.com/office/officeart/2005/8/layout/orgChart1"/>
    <dgm:cxn modelId="{CD97EA22-5234-4A0B-AAA9-4BB332BE5DF7}" type="presOf" srcId="{E8C08207-CC9E-4607-B926-DD6D6CB21271}" destId="{5A6F3DAC-68E9-499B-BA1C-43CC1BD3BF3F}" srcOrd="0" destOrd="0" presId="urn:microsoft.com/office/officeart/2005/8/layout/orgChart1"/>
    <dgm:cxn modelId="{0D300D3C-933E-43EC-9994-6705E48E223D}" srcId="{6DA18845-F20A-40A8-AA01-06803F6FC405}" destId="{2767C2DA-232B-4B41-B367-038B922184F3}" srcOrd="2" destOrd="0" parTransId="{F7FFF2EB-B06C-4DF7-963C-E445598AF125}" sibTransId="{2BAC8AF0-2F2F-4508-8D2B-3D6303CDB719}"/>
    <dgm:cxn modelId="{F249EF65-157F-4E5E-A1EC-B97DB3804878}" type="presOf" srcId="{2A784AB7-3FCC-455E-9BDF-53131CC18768}" destId="{AAA94F44-D72A-4853-9C67-B53DC4B1E5F3}" srcOrd="1" destOrd="0" presId="urn:microsoft.com/office/officeart/2005/8/layout/orgChart1"/>
    <dgm:cxn modelId="{7F6D9EB3-5C34-46F4-B2E6-1EAF2BC3F5DD}" type="presOf" srcId="{52417831-ED56-41F1-B23B-DBE680EE0579}" destId="{84A1D15A-65F0-46D7-800D-8BDEA89AB907}" srcOrd="0" destOrd="0" presId="urn:microsoft.com/office/officeart/2005/8/layout/orgChart1"/>
    <dgm:cxn modelId="{E5B73948-F1BA-425B-94D7-C0269EF05BBB}" srcId="{6DA18845-F20A-40A8-AA01-06803F6FC405}" destId="{4CF3160D-9482-4966-8ACF-40FB68328330}" srcOrd="4" destOrd="0" parTransId="{9313738B-7227-4FC5-9DA5-CD7C54687828}" sibTransId="{45ADA85B-2B73-4648-9769-1ABD14BCEDB4}"/>
    <dgm:cxn modelId="{366370B8-F3EE-40EC-A763-1B3F404CA857}" srcId="{4CF3160D-9482-4966-8ACF-40FB68328330}" destId="{E9409591-A774-4EEA-B246-455403D01085}" srcOrd="4" destOrd="0" parTransId="{941446B4-8166-4D3D-8EB3-CA5AA6EBE792}" sibTransId="{D53FF551-BB17-4C45-B186-9821FD76BF47}"/>
    <dgm:cxn modelId="{CF9F4C30-5101-433A-8B3D-735212832A1E}" type="presOf" srcId="{7EC7984B-535E-43E5-AF63-879857FF3A93}" destId="{121E68E7-A92D-483C-B707-5ABBEC0C91C0}" srcOrd="1" destOrd="0" presId="urn:microsoft.com/office/officeart/2005/8/layout/orgChart1"/>
    <dgm:cxn modelId="{E212B6FD-F70E-4806-B323-138E8155F535}" srcId="{92B97642-E9B6-4B80-9B2C-726824C7B654}" destId="{19B06AF5-05A2-4C2D-A537-BE07E1EB058F}" srcOrd="2" destOrd="0" parTransId="{F5DF625E-1A91-4E71-9769-5B306F87AC3D}" sibTransId="{6A8B8880-F2EF-42B8-B360-ED65E002970B}"/>
    <dgm:cxn modelId="{7033FD15-339B-4B21-A52F-43195E0F8B87}" type="presOf" srcId="{2F255E3F-7E4A-41EC-BFDE-17171F2B1855}" destId="{D337EBB1-B222-490D-A87B-D5E7B9ECB10F}" srcOrd="0" destOrd="0" presId="urn:microsoft.com/office/officeart/2005/8/layout/orgChart1"/>
    <dgm:cxn modelId="{78C42177-F4B9-4081-B3D2-7E6EA780A8FD}" type="presOf" srcId="{62672A90-7CAF-49AD-B268-A3DB02F76757}" destId="{2E69B759-EC06-4F2C-8B6D-98C074DBC43C}" srcOrd="0" destOrd="0" presId="urn:microsoft.com/office/officeart/2005/8/layout/orgChart1"/>
    <dgm:cxn modelId="{FD254212-2D6C-4ABA-8F2E-56457E80D668}" type="presOf" srcId="{A102C5B0-E9E0-4753-9229-8F491AB51C29}" destId="{D38DB8B5-2D8E-40B5-A22E-1BC48D1429C5}" srcOrd="1" destOrd="0" presId="urn:microsoft.com/office/officeart/2005/8/layout/orgChart1"/>
    <dgm:cxn modelId="{23AC4B3B-8014-4F9B-8CED-71597E623C05}" type="presOf" srcId="{F9C1462D-2159-4D39-ADDB-75BAF44E5F68}" destId="{A1246F8B-53C5-46D9-808E-9850665E6C6E}" srcOrd="1" destOrd="0" presId="urn:microsoft.com/office/officeart/2005/8/layout/orgChart1"/>
    <dgm:cxn modelId="{45FA5E11-DB35-43BC-A245-D21E0BBB2FC2}" srcId="{2767C2DA-232B-4B41-B367-038B922184F3}" destId="{A102C5B0-E9E0-4753-9229-8F491AB51C29}" srcOrd="2" destOrd="0" parTransId="{FB6E8F28-AB76-4ABF-B9CF-F59CB9737650}" sibTransId="{C35F00D0-7BF5-4108-A113-EFB1D3CB604F}"/>
    <dgm:cxn modelId="{80BDEC54-7D14-4E4D-BFAD-872B1DEE2FF8}" type="presOf" srcId="{941446B4-8166-4D3D-8EB3-CA5AA6EBE792}" destId="{325FDC3C-B16A-41B7-B1F8-6B51D306DC49}" srcOrd="0" destOrd="0" presId="urn:microsoft.com/office/officeart/2005/8/layout/orgChart1"/>
    <dgm:cxn modelId="{94F42D6E-C230-4726-BC2D-5C6BF1BF9CE5}" type="presOf" srcId="{ED98E2D3-C9BD-45A1-9DA2-27A597323A64}" destId="{1962B015-1F51-48D6-8411-FEC47A7E1D8B}" srcOrd="1" destOrd="0" presId="urn:microsoft.com/office/officeart/2005/8/layout/orgChart1"/>
    <dgm:cxn modelId="{7E94B6C8-ED55-408D-86BB-7DF604D8ED93}" type="presOf" srcId="{5F1174DF-D6F9-413B-90EF-FDC53DAC6AAA}" destId="{8AC30BE5-67D6-45BE-B83C-F012AAE337D5}" srcOrd="0" destOrd="0" presId="urn:microsoft.com/office/officeart/2005/8/layout/orgChart1"/>
    <dgm:cxn modelId="{2F943729-0288-4ABE-AA20-F9E45F6FB4D4}" type="presOf" srcId="{F0189A45-2E34-4709-A1C3-805917C713DC}" destId="{D696A3A3-C3EF-43E2-B229-D54DE7C1D25C}" srcOrd="1" destOrd="0" presId="urn:microsoft.com/office/officeart/2005/8/layout/orgChart1"/>
    <dgm:cxn modelId="{4AE25CFB-A78F-4960-B75E-6268869F2EA1}" type="presOf" srcId="{6E962D37-3D4B-4306-8156-A318D41B4699}" destId="{53F6C087-739D-4E62-A1CA-5B7D7E01F6C3}" srcOrd="1" destOrd="0" presId="urn:microsoft.com/office/officeart/2005/8/layout/orgChart1"/>
    <dgm:cxn modelId="{00128F09-82A5-4324-A183-9B795C28A67F}" type="presOf" srcId="{979DE948-C316-473A-81C4-042FAB830556}" destId="{12C41206-932A-4AC5-899F-65168C0D7D9B}" srcOrd="1" destOrd="0" presId="urn:microsoft.com/office/officeart/2005/8/layout/orgChart1"/>
    <dgm:cxn modelId="{12E2583D-41CB-4D4D-BEA4-FCA336795E76}" type="presOf" srcId="{99E9C277-DE21-4760-9794-F8D74EBA4737}" destId="{EE2C9493-64E8-4F4D-A060-9790738EBA13}" srcOrd="0" destOrd="0" presId="urn:microsoft.com/office/officeart/2005/8/layout/orgChart1"/>
    <dgm:cxn modelId="{0B454DBD-B30A-4A4B-876B-B862A5C225FF}" type="presOf" srcId="{7B409E53-1886-4EC2-9E74-B45776421CC6}" destId="{C433F8EB-F5CC-46D1-B8EE-2DEA599B19A1}" srcOrd="1" destOrd="0" presId="urn:microsoft.com/office/officeart/2005/8/layout/orgChart1"/>
    <dgm:cxn modelId="{834DCB57-3DE2-4614-912D-19569A5C63D0}" type="presOf" srcId="{60D27FDF-1BAA-4447-ACEC-C7DA2D61A16D}" destId="{A789F2E0-D07C-4E23-B847-490EBDB22B77}" srcOrd="1" destOrd="0" presId="urn:microsoft.com/office/officeart/2005/8/layout/orgChart1"/>
    <dgm:cxn modelId="{0E229378-E7C8-4E47-A24B-76D5F3CC20AC}" type="presOf" srcId="{ED98E2D3-C9BD-45A1-9DA2-27A597323A64}" destId="{1D828269-77E2-4F01-A00D-ED44A585EB4F}" srcOrd="0" destOrd="0" presId="urn:microsoft.com/office/officeart/2005/8/layout/orgChart1"/>
    <dgm:cxn modelId="{11FC4827-1DE4-48DB-B87D-1CF4C5A8827E}" type="presOf" srcId="{6E962D37-3D4B-4306-8156-A318D41B4699}" destId="{690E1F8E-BA56-4224-B1E6-0857728CD6FF}" srcOrd="0" destOrd="0" presId="urn:microsoft.com/office/officeart/2005/8/layout/orgChart1"/>
    <dgm:cxn modelId="{21F407EB-A140-42E2-96C8-3FB94EA311C0}" type="presOf" srcId="{A037DED5-203F-475A-AE5C-6D1E18D83EA5}" destId="{67735C9E-34E4-4954-84EC-D351BD2CCC3B}" srcOrd="0" destOrd="0" presId="urn:microsoft.com/office/officeart/2005/8/layout/orgChart1"/>
    <dgm:cxn modelId="{EAF905CF-5480-4C78-A059-611CD286FC9A}" type="presOf" srcId="{8D71E889-F3F5-445E-B63F-42431830C90B}" destId="{5C79BCB9-A161-4A60-8658-BBD9AA25F8A1}" srcOrd="0" destOrd="0" presId="urn:microsoft.com/office/officeart/2005/8/layout/orgChart1"/>
    <dgm:cxn modelId="{7C80D8D2-B521-4F01-9AD2-DFCDAD8F14AA}" type="presOf" srcId="{2767C2DA-232B-4B41-B367-038B922184F3}" destId="{93FAA15F-730B-4081-8E44-B46724ACB523}" srcOrd="1" destOrd="0" presId="urn:microsoft.com/office/officeart/2005/8/layout/orgChart1"/>
    <dgm:cxn modelId="{B32890B7-978C-41FF-9615-ED4369030F45}" type="presOf" srcId="{BC67051E-A298-4E3A-9207-A46E88251741}" destId="{17BB04ED-8870-4189-A2D1-304A30928E94}" srcOrd="0" destOrd="0" presId="urn:microsoft.com/office/officeart/2005/8/layout/orgChart1"/>
    <dgm:cxn modelId="{208EBC49-8601-406B-AE8A-5FF5600FA7FB}" type="presOf" srcId="{04342B47-669E-4685-907E-C1EB04B02899}" destId="{5163CAA6-A213-4C7B-9436-68AC9D1B59A0}" srcOrd="0" destOrd="0" presId="urn:microsoft.com/office/officeart/2005/8/layout/orgChart1"/>
    <dgm:cxn modelId="{04576364-88AA-44B7-82F5-057A6A2BAADA}" type="presOf" srcId="{921E2BAE-8ECD-4D18-BCE7-7A0A493CF81B}" destId="{A8CD6FFF-0D44-4336-9541-97F61EF9630F}" srcOrd="0" destOrd="0" presId="urn:microsoft.com/office/officeart/2005/8/layout/orgChart1"/>
    <dgm:cxn modelId="{5827A483-E106-414C-8A77-81E54FE86C3A}" type="presOf" srcId="{9C0BC635-536B-4236-9C4F-AD53FDAB8DCB}" destId="{D91C4916-32F5-4852-8203-922EF878727C}" srcOrd="0" destOrd="0" presId="urn:microsoft.com/office/officeart/2005/8/layout/orgChart1"/>
    <dgm:cxn modelId="{F2B96514-34E3-4E91-85A6-C92C53DB9581}" type="presOf" srcId="{3DE1DD34-0103-46D9-83A5-75C95ACD0B45}" destId="{C785324F-39D0-4BBC-AFBF-DAB0B22FAB90}" srcOrd="1" destOrd="0" presId="urn:microsoft.com/office/officeart/2005/8/layout/orgChart1"/>
    <dgm:cxn modelId="{C9CD93DC-F2DC-4A32-9093-F7CCC8814176}" srcId="{92B97642-E9B6-4B80-9B2C-726824C7B654}" destId="{BBFB2C3E-84C0-4DA1-876C-3B8F77215A7F}" srcOrd="1" destOrd="0" parTransId="{0FE953DF-AEC5-49D9-97DD-F31860A3FA70}" sibTransId="{B226C534-6780-4DB9-B1D0-6916935405A8}"/>
    <dgm:cxn modelId="{578A2979-EF35-4C56-B135-62BCA8890632}" type="presOf" srcId="{084116D5-ACDB-413D-9197-9E3745714267}" destId="{8F6B5635-734A-4DAA-A506-A615038F09C4}" srcOrd="0" destOrd="0" presId="urn:microsoft.com/office/officeart/2005/8/layout/orgChart1"/>
    <dgm:cxn modelId="{D3CB2628-6BB2-4A3C-8917-403E2BE7671F}" srcId="{4CF3160D-9482-4966-8ACF-40FB68328330}" destId="{60C92B45-9F30-45BD-A70C-7C1EEB258DB6}" srcOrd="1" destOrd="0" parTransId="{FF843502-8376-4D91-AA47-756054CC4849}" sibTransId="{4CCDAAD5-1C2D-4187-9BFA-24480C4E38D1}"/>
    <dgm:cxn modelId="{560257D1-EF4C-415F-92C7-63351919C97C}" srcId="{6DA18845-F20A-40A8-AA01-06803F6FC405}" destId="{92B97642-E9B6-4B80-9B2C-726824C7B654}" srcOrd="0" destOrd="0" parTransId="{99E9C277-DE21-4760-9794-F8D74EBA4737}" sibTransId="{4BBC1A53-7879-44C7-AD9D-129886BA30A3}"/>
    <dgm:cxn modelId="{AEA8A8CD-0128-4B63-AF40-E96E2ACA6D74}" type="presOf" srcId="{7F260F0D-F43A-4037-A96E-E7F2C93E1A69}" destId="{39D3930B-EEE2-4899-9B97-F09B8C2AEA34}" srcOrd="0" destOrd="0" presId="urn:microsoft.com/office/officeart/2005/8/layout/orgChart1"/>
    <dgm:cxn modelId="{85A090C2-4701-4C1D-94E2-0E12193F91D9}" srcId="{088D02A2-7E02-41B8-8385-C46F0D923AEE}" destId="{A037DED5-203F-475A-AE5C-6D1E18D83EA5}" srcOrd="0" destOrd="0" parTransId="{411B578B-89B5-4A93-9C83-AB8FAF37FBC4}" sibTransId="{33E00959-2E1A-4679-A56D-CA386E577178}"/>
    <dgm:cxn modelId="{2FE86D1B-5F3F-4878-AEDB-173993A7133D}" srcId="{6DA18845-F20A-40A8-AA01-06803F6FC405}" destId="{2A784AB7-3FCC-455E-9BDF-53131CC18768}" srcOrd="1" destOrd="0" parTransId="{EF28482C-5B57-4639-83CA-0361F3872CF6}" sibTransId="{6E50022D-5858-45F0-95AC-3C06A79BC3F0}"/>
    <dgm:cxn modelId="{951E3BAA-C5E9-4E2A-B5F4-E3DC1C2C55AC}" srcId="{BC67051E-A298-4E3A-9207-A46E88251741}" destId="{7EC7984B-535E-43E5-AF63-879857FF3A93}" srcOrd="0" destOrd="0" parTransId="{D4FD9C6F-4591-423B-A014-EE5C7D38C75B}" sibTransId="{B3D9727C-B195-426A-AE77-32CEE9731B1A}"/>
    <dgm:cxn modelId="{EA9F1E91-E479-4E4C-8F2A-98FD835A64A1}" type="presOf" srcId="{FB6E8F28-AB76-4ABF-B9CF-F59CB9737650}" destId="{DA329912-A857-488C-94DB-3C326E7744CB}" srcOrd="0" destOrd="0" presId="urn:microsoft.com/office/officeart/2005/8/layout/orgChart1"/>
    <dgm:cxn modelId="{A97E5CD8-C890-410C-9CBA-AC0AACD39DFB}" type="presOf" srcId="{CFFDB943-084B-416E-9CF0-CFA0B744550E}" destId="{4710CF54-A3A9-402E-A7C8-05E928D99597}" srcOrd="0" destOrd="0" presId="urn:microsoft.com/office/officeart/2005/8/layout/orgChart1"/>
    <dgm:cxn modelId="{B45596B5-B97D-4034-A326-5865CBC37033}" srcId="{A037DED5-203F-475A-AE5C-6D1E18D83EA5}" destId="{6DA18845-F20A-40A8-AA01-06803F6FC405}" srcOrd="0" destOrd="0" parTransId="{6EAEA111-897F-44C7-86BB-1DE467ED060A}" sibTransId="{E9E7752C-BACA-4C37-A023-D2765E7107D7}"/>
    <dgm:cxn modelId="{D3498DF6-3036-407F-ABC6-D9526A9A870F}" type="presOf" srcId="{E77EE90F-D032-48F5-9D06-781DB98F4B01}" destId="{BBFF6522-7B5E-4E76-B1D1-D5C277AE0738}" srcOrd="0" destOrd="0" presId="urn:microsoft.com/office/officeart/2005/8/layout/orgChart1"/>
    <dgm:cxn modelId="{7995F5B3-EF51-4F47-955B-D336F01F0268}" type="presOf" srcId="{66F74583-B729-4AAD-ACDF-3A583FECC5F7}" destId="{A01CE084-C309-4E9B-9001-6321447104CA}" srcOrd="1" destOrd="0" presId="urn:microsoft.com/office/officeart/2005/8/layout/orgChart1"/>
    <dgm:cxn modelId="{7FD1B55A-C419-4B3B-AA08-93FF7A344B9C}" type="presOf" srcId="{66F74583-B729-4AAD-ACDF-3A583FECC5F7}" destId="{501DA31C-61A9-4D6C-B842-38E29D053A1A}" srcOrd="0" destOrd="0" presId="urn:microsoft.com/office/officeart/2005/8/layout/orgChart1"/>
    <dgm:cxn modelId="{BA61A1B9-E328-49C0-B55E-490255747162}" type="presOf" srcId="{28ACC43A-0197-4B82-B382-8F1288A036D9}" destId="{185DE16D-898A-40C6-B71E-FD16B256A583}" srcOrd="0" destOrd="0" presId="urn:microsoft.com/office/officeart/2005/8/layout/orgChart1"/>
    <dgm:cxn modelId="{CEACD851-0892-4E44-91B2-85AD07DE8B5E}" type="presOf" srcId="{59B1D0E5-F872-414A-A1AA-F171A1657283}" destId="{1EC61466-5166-468D-9CA1-0CE2AEACC3BE}" srcOrd="0" destOrd="0" presId="urn:microsoft.com/office/officeart/2005/8/layout/orgChart1"/>
    <dgm:cxn modelId="{BD393380-8B89-4080-BDC9-C530E70F00D7}" type="presOf" srcId="{0FE953DF-AEC5-49D9-97DD-F31860A3FA70}" destId="{CB46B2C8-6326-44E0-837E-882472C4CC33}" srcOrd="0" destOrd="0" presId="urn:microsoft.com/office/officeart/2005/8/layout/orgChart1"/>
    <dgm:cxn modelId="{B19CE14A-9E17-4BF2-87AF-49E9203B1711}" type="presOf" srcId="{2767C2DA-232B-4B41-B367-038B922184F3}" destId="{E5DBD7D4-A4C9-4895-986B-C62670EAECE3}" srcOrd="0" destOrd="0" presId="urn:microsoft.com/office/officeart/2005/8/layout/orgChart1"/>
    <dgm:cxn modelId="{3D9BE138-B669-490E-8857-3159685A983A}" type="presOf" srcId="{F9C1462D-2159-4D39-ADDB-75BAF44E5F68}" destId="{8337F5DA-DB66-4D2A-A2C8-34779C89F8E1}" srcOrd="0" destOrd="0" presId="urn:microsoft.com/office/officeart/2005/8/layout/orgChart1"/>
    <dgm:cxn modelId="{43A451B0-3D58-47C6-9A77-FA3F9FC16B88}" srcId="{4CF3160D-9482-4966-8ACF-40FB68328330}" destId="{66F74583-B729-4AAD-ACDF-3A583FECC5F7}" srcOrd="6" destOrd="0" parTransId="{99EE6421-BDBD-45BE-896E-E96B5466A4C4}" sibTransId="{9E2FB4F0-9C91-443F-AC72-26ACE7FF9135}"/>
    <dgm:cxn modelId="{C5C0D826-FA3C-4997-8B06-7C5F89B683F3}" srcId="{2A784AB7-3FCC-455E-9BDF-53131CC18768}" destId="{5F1174DF-D6F9-413B-90EF-FDC53DAC6AAA}" srcOrd="0" destOrd="0" parTransId="{29A1CDB9-FAD2-4046-A0DC-951409DA7721}" sibTransId="{BE06286B-D97E-4ED3-A9C7-8A355135B4C5}"/>
    <dgm:cxn modelId="{39228049-481E-4BDE-884A-CAF4CD2DEDF9}" type="presOf" srcId="{77D04DD2-F763-457A-BFCB-A1D22B36AC33}" destId="{24D38E39-16C0-4DDB-B9D8-5ED8741C6D18}" srcOrd="1" destOrd="0" presId="urn:microsoft.com/office/officeart/2005/8/layout/orgChart1"/>
    <dgm:cxn modelId="{7117F6C3-39FF-48FC-9DB4-7B27DC5C9B0F}" type="presOf" srcId="{19B06AF5-05A2-4C2D-A537-BE07E1EB058F}" destId="{A10884EF-94C8-4EC0-9ED1-41E96C1BC612}" srcOrd="0" destOrd="0" presId="urn:microsoft.com/office/officeart/2005/8/layout/orgChart1"/>
    <dgm:cxn modelId="{18163262-C485-425D-9E52-F8E7039CBE06}" type="presOf" srcId="{97756902-2B32-4177-B2C9-37BACF1397C9}" destId="{DFE7A7AF-A6D5-427E-B30E-3E86608B994C}" srcOrd="0" destOrd="0" presId="urn:microsoft.com/office/officeart/2005/8/layout/orgChart1"/>
    <dgm:cxn modelId="{6F4E14BE-34C1-498A-8A34-C83C574D9CB7}" type="presOf" srcId="{9313738B-7227-4FC5-9DA5-CD7C54687828}" destId="{CF9E67A9-D60A-429A-92EF-031DD07BDC39}" srcOrd="0" destOrd="0" presId="urn:microsoft.com/office/officeart/2005/8/layout/orgChart1"/>
    <dgm:cxn modelId="{4C987CE7-3BB4-49E8-B0E8-931B9C02F7EA}" type="presOf" srcId="{E6050EF8-2B32-4233-ABBC-B865C91E054E}" destId="{2F83ECF2-CD31-4FC3-9FB6-A339D97DE729}" srcOrd="0" destOrd="0" presId="urn:microsoft.com/office/officeart/2005/8/layout/orgChart1"/>
    <dgm:cxn modelId="{34C2A0DE-8D4C-4E5D-B8C4-84CA7A925D1D}" type="presOf" srcId="{3DE1DD34-0103-46D9-83A5-75C95ACD0B45}" destId="{4BF30054-F5CE-461C-B9C9-6978CFDE49C7}" srcOrd="0" destOrd="0" presId="urn:microsoft.com/office/officeart/2005/8/layout/orgChart1"/>
    <dgm:cxn modelId="{C3A5128C-858B-4957-AAE9-CCF27DBC7D00}" type="presOf" srcId="{F7FFF2EB-B06C-4DF7-963C-E445598AF125}" destId="{84BD567D-8E01-437D-9DA5-0BFF0A658B15}" srcOrd="0" destOrd="0" presId="urn:microsoft.com/office/officeart/2005/8/layout/orgChart1"/>
    <dgm:cxn modelId="{A42B9C53-6B7A-48E6-8DB0-62328CFD1BDE}" type="presOf" srcId="{5F1174DF-D6F9-413B-90EF-FDC53DAC6AAA}" destId="{6488377A-9B35-4800-96B8-421E178B5334}" srcOrd="1" destOrd="0" presId="urn:microsoft.com/office/officeart/2005/8/layout/orgChart1"/>
    <dgm:cxn modelId="{2FCCC573-4058-4E9F-8C59-16E7716A474C}" type="presOf" srcId="{B7007B2D-A53A-4C5D-9477-857CB7080FED}" destId="{44D0961B-01E4-496B-8A1A-F9AC1E521FC7}" srcOrd="0" destOrd="0" presId="urn:microsoft.com/office/officeart/2005/8/layout/orgChart1"/>
    <dgm:cxn modelId="{31FAE053-7A24-4680-A4F8-BADE812415FF}" type="presOf" srcId="{4CF3160D-9482-4966-8ACF-40FB68328330}" destId="{6D8071D3-0339-4219-B52B-DCBF36CFBDEE}" srcOrd="0" destOrd="0" presId="urn:microsoft.com/office/officeart/2005/8/layout/orgChart1"/>
    <dgm:cxn modelId="{E3B720D7-24AA-442B-A2D9-C577684CF05E}" srcId="{6DA18845-F20A-40A8-AA01-06803F6FC405}" destId="{8404FBA2-61D6-4C49-A08F-AEBFAF8D5B32}" srcOrd="6" destOrd="0" parTransId="{39B39A8D-6172-4208-B28B-8DA37067165B}" sibTransId="{4C7C01BA-299E-4B43-A0BD-46514CDF4760}"/>
    <dgm:cxn modelId="{6ED7CEAF-2C8D-414B-B10E-03ADDDE2DEF4}" type="presOf" srcId="{BF924850-AE25-4F84-AA7C-F17560C10E9C}" destId="{D11F397A-5FE6-4BA7-A188-211B8166E87E}" srcOrd="1" destOrd="0" presId="urn:microsoft.com/office/officeart/2005/8/layout/orgChart1"/>
    <dgm:cxn modelId="{11CF20C8-1FEC-4757-A1A0-CF39653766D0}" type="presOf" srcId="{9BA4A2A6-59AE-40AD-B6E3-78963E194551}" destId="{88154A89-3234-4FF6-9CAF-76D073CDE153}" srcOrd="0" destOrd="0" presId="urn:microsoft.com/office/officeart/2005/8/layout/orgChart1"/>
    <dgm:cxn modelId="{8A5CE2A3-4510-4FAE-8116-FDF976F75C24}" type="presOf" srcId="{F5DF625E-1A91-4E71-9769-5B306F87AC3D}" destId="{EDBC517C-442F-4387-B97A-52FEBE149F6A}" srcOrd="0" destOrd="0" presId="urn:microsoft.com/office/officeart/2005/8/layout/orgChart1"/>
    <dgm:cxn modelId="{5C34F2C3-9327-433A-ABCE-79ACC6950101}" type="presOf" srcId="{92B97642-E9B6-4B80-9B2C-726824C7B654}" destId="{A9E80146-337E-4F0A-BDFB-052D4C7ECAE4}" srcOrd="1" destOrd="0" presId="urn:microsoft.com/office/officeart/2005/8/layout/orgChart1"/>
    <dgm:cxn modelId="{80157D93-1B14-4A21-BB98-64C1F3C4CAFF}" type="presOf" srcId="{6EAEA111-897F-44C7-86BB-1DE467ED060A}" destId="{5EB41C03-E55A-46C7-8E5E-2BEF834ABEC7}" srcOrd="0" destOrd="0" presId="urn:microsoft.com/office/officeart/2005/8/layout/orgChart1"/>
    <dgm:cxn modelId="{FA6A87AC-6B26-4503-A35E-13AFC67122ED}" type="presOf" srcId="{77D04DD2-F763-457A-BFCB-A1D22B36AC33}" destId="{592374F2-75FD-47F5-ABD1-8737A6AD9AF0}" srcOrd="0" destOrd="0" presId="urn:microsoft.com/office/officeart/2005/8/layout/orgChart1"/>
    <dgm:cxn modelId="{3E61F64B-2041-47F7-A295-EDCD7CB9E52E}" type="presOf" srcId="{3D4B958B-9A57-4A20-8959-962ED5565CD6}" destId="{D1CDDA2F-D3BE-4EF7-AB4C-852AE6EFE0C2}" srcOrd="0" destOrd="0" presId="urn:microsoft.com/office/officeart/2005/8/layout/orgChart1"/>
    <dgm:cxn modelId="{3BBFDE90-56AD-44F6-AC89-C4055D991D3A}" type="presOf" srcId="{D4FD9C6F-4591-423B-A014-EE5C7D38C75B}" destId="{5F6D1291-1446-44F8-8897-A6255D4599B7}" srcOrd="0" destOrd="0" presId="urn:microsoft.com/office/officeart/2005/8/layout/orgChart1"/>
    <dgm:cxn modelId="{C0B0A86A-4EC0-421B-BC58-8F78BA33AE12}" type="presOf" srcId="{BC67051E-A298-4E3A-9207-A46E88251741}" destId="{2F52FCDF-3E10-458C-9773-CC94CF9E4CD7}" srcOrd="1" destOrd="0" presId="urn:microsoft.com/office/officeart/2005/8/layout/orgChart1"/>
    <dgm:cxn modelId="{01C3B436-607C-4CF3-A184-C08FA290EFD0}" type="presOf" srcId="{4CF3160D-9482-4966-8ACF-40FB68328330}" destId="{02088AF3-F512-48C7-80FC-8576C14E1434}" srcOrd="1" destOrd="0" presId="urn:microsoft.com/office/officeart/2005/8/layout/orgChart1"/>
    <dgm:cxn modelId="{0CA29ACE-8BF4-432D-A43C-0223F18D307E}" type="presOf" srcId="{60C92B45-9F30-45BD-A70C-7C1EEB258DB6}" destId="{69B1C8D4-6433-4B8C-BB50-8C1500FAF2A1}" srcOrd="0" destOrd="0" presId="urn:microsoft.com/office/officeart/2005/8/layout/orgChart1"/>
    <dgm:cxn modelId="{99A0F8AD-838C-4BD9-9792-15515CAEA1FE}" type="presOf" srcId="{BBFB2C3E-84C0-4DA1-876C-3B8F77215A7F}" destId="{A6A4A7AB-FC8D-40C3-80CE-9EEA41C70694}" srcOrd="1" destOrd="0" presId="urn:microsoft.com/office/officeart/2005/8/layout/orgChart1"/>
    <dgm:cxn modelId="{C3BDD80E-9B3A-4EE7-A5E9-FDDD57FAA7B6}" type="presParOf" srcId="{742D2547-3524-4E87-B68E-E95A1EFDB192}" destId="{9E04E95D-832E-47E5-BB9F-94377EB35545}" srcOrd="0" destOrd="0" presId="urn:microsoft.com/office/officeart/2005/8/layout/orgChart1"/>
    <dgm:cxn modelId="{8D814DFA-9B0B-419D-880A-A69D01C3745B}" type="presParOf" srcId="{9E04E95D-832E-47E5-BB9F-94377EB35545}" destId="{49DE76CF-6006-4514-B91A-701CD48805BD}" srcOrd="0" destOrd="0" presId="urn:microsoft.com/office/officeart/2005/8/layout/orgChart1"/>
    <dgm:cxn modelId="{1E1D34BE-B67F-4269-B86D-2820FD44EB15}" type="presParOf" srcId="{49DE76CF-6006-4514-B91A-701CD48805BD}" destId="{67735C9E-34E4-4954-84EC-D351BD2CCC3B}" srcOrd="0" destOrd="0" presId="urn:microsoft.com/office/officeart/2005/8/layout/orgChart1"/>
    <dgm:cxn modelId="{4D93B7BA-7239-411E-AD21-F82A2260DE78}" type="presParOf" srcId="{49DE76CF-6006-4514-B91A-701CD48805BD}" destId="{2A817A21-B93B-4A9A-B674-86EA505E4749}" srcOrd="1" destOrd="0" presId="urn:microsoft.com/office/officeart/2005/8/layout/orgChart1"/>
    <dgm:cxn modelId="{C87731DC-62D1-495D-ADAC-B307C4252E74}" type="presParOf" srcId="{9E04E95D-832E-47E5-BB9F-94377EB35545}" destId="{4AEB5787-A5E6-4A05-AFEA-DE22DA442368}" srcOrd="1" destOrd="0" presId="urn:microsoft.com/office/officeart/2005/8/layout/orgChart1"/>
    <dgm:cxn modelId="{1EAF25B4-1808-4293-9E4E-A49DE0ADDCCB}" type="presParOf" srcId="{4AEB5787-A5E6-4A05-AFEA-DE22DA442368}" destId="{5EB41C03-E55A-46C7-8E5E-2BEF834ABEC7}" srcOrd="0" destOrd="0" presId="urn:microsoft.com/office/officeart/2005/8/layout/orgChart1"/>
    <dgm:cxn modelId="{F73D0A05-EDA5-402F-87B4-E76D25619DB8}" type="presParOf" srcId="{4AEB5787-A5E6-4A05-AFEA-DE22DA442368}" destId="{D51B8D60-AECC-49EA-A826-127A13605B63}" srcOrd="1" destOrd="0" presId="urn:microsoft.com/office/officeart/2005/8/layout/orgChart1"/>
    <dgm:cxn modelId="{BB65C467-B242-496B-994D-911AD77A0E83}" type="presParOf" srcId="{D51B8D60-AECC-49EA-A826-127A13605B63}" destId="{69B2E397-DA84-4BAD-8B3B-EEA10165781E}" srcOrd="0" destOrd="0" presId="urn:microsoft.com/office/officeart/2005/8/layout/orgChart1"/>
    <dgm:cxn modelId="{AFE55D28-7875-4295-8228-E29DEA29A0B5}" type="presParOf" srcId="{69B2E397-DA84-4BAD-8B3B-EEA10165781E}" destId="{ED03F981-C21B-4EFB-94FC-A05BE4D44531}" srcOrd="0" destOrd="0" presId="urn:microsoft.com/office/officeart/2005/8/layout/orgChart1"/>
    <dgm:cxn modelId="{7473A017-4BB9-41FE-A3B2-055B921E98D7}" type="presParOf" srcId="{69B2E397-DA84-4BAD-8B3B-EEA10165781E}" destId="{4B496E8B-CD2A-4B1A-A98E-1926DE5F4308}" srcOrd="1" destOrd="0" presId="urn:microsoft.com/office/officeart/2005/8/layout/orgChart1"/>
    <dgm:cxn modelId="{3506B8C2-3EF5-427C-81C2-D001C2130E26}" type="presParOf" srcId="{D51B8D60-AECC-49EA-A826-127A13605B63}" destId="{01AA2C75-243D-4C7F-BBFA-6359EC87F314}" srcOrd="1" destOrd="0" presId="urn:microsoft.com/office/officeart/2005/8/layout/orgChart1"/>
    <dgm:cxn modelId="{31A23F12-729C-46C5-B391-F6E1FC5080AC}" type="presParOf" srcId="{01AA2C75-243D-4C7F-BBFA-6359EC87F314}" destId="{EE2C9493-64E8-4F4D-A060-9790738EBA13}" srcOrd="0" destOrd="0" presId="urn:microsoft.com/office/officeart/2005/8/layout/orgChart1"/>
    <dgm:cxn modelId="{D8C0C167-FC4F-4372-A360-9B6332D34137}" type="presParOf" srcId="{01AA2C75-243D-4C7F-BBFA-6359EC87F314}" destId="{D496CF32-F4CA-4337-BBA3-7E9E3B3D9702}" srcOrd="1" destOrd="0" presId="urn:microsoft.com/office/officeart/2005/8/layout/orgChart1"/>
    <dgm:cxn modelId="{062A11EC-0983-452A-BA82-B78400C4A3C7}" type="presParOf" srcId="{D496CF32-F4CA-4337-BBA3-7E9E3B3D9702}" destId="{3E1AF7E0-8741-46A3-BB23-594C86A5E88E}" srcOrd="0" destOrd="0" presId="urn:microsoft.com/office/officeart/2005/8/layout/orgChart1"/>
    <dgm:cxn modelId="{7EC42A96-63C0-46A8-BC1A-80AE25109C07}" type="presParOf" srcId="{3E1AF7E0-8741-46A3-BB23-594C86A5E88E}" destId="{A0E7D1A4-4D4C-4FDC-9701-205481CF90C8}" srcOrd="0" destOrd="0" presId="urn:microsoft.com/office/officeart/2005/8/layout/orgChart1"/>
    <dgm:cxn modelId="{0FBDDBDC-2A19-46BD-B177-4690266461EA}" type="presParOf" srcId="{3E1AF7E0-8741-46A3-BB23-594C86A5E88E}" destId="{A9E80146-337E-4F0A-BDFB-052D4C7ECAE4}" srcOrd="1" destOrd="0" presId="urn:microsoft.com/office/officeart/2005/8/layout/orgChart1"/>
    <dgm:cxn modelId="{88E03520-12FB-47A1-93B3-A289C310D541}" type="presParOf" srcId="{D496CF32-F4CA-4337-BBA3-7E9E3B3D9702}" destId="{D7388BE5-41FB-44AF-B221-615D70714684}" srcOrd="1" destOrd="0" presId="urn:microsoft.com/office/officeart/2005/8/layout/orgChart1"/>
    <dgm:cxn modelId="{AAE411B4-E60B-4DF6-99A8-080A87E373F8}" type="presParOf" srcId="{D7388BE5-41FB-44AF-B221-615D70714684}" destId="{EFB38974-1789-4DBC-ADEF-EE8155F57045}" srcOrd="0" destOrd="0" presId="urn:microsoft.com/office/officeart/2005/8/layout/orgChart1"/>
    <dgm:cxn modelId="{AC455AA7-94E8-4AB6-9B62-F13036030DBC}" type="presParOf" srcId="{D7388BE5-41FB-44AF-B221-615D70714684}" destId="{63BF91D3-5E41-4A4F-B3FC-BAD680861151}" srcOrd="1" destOrd="0" presId="urn:microsoft.com/office/officeart/2005/8/layout/orgChart1"/>
    <dgm:cxn modelId="{89125565-92C1-485E-8D5B-CFF9DB3315C4}" type="presParOf" srcId="{63BF91D3-5E41-4A4F-B3FC-BAD680861151}" destId="{562A6A0A-786C-427C-833E-EF35B4332C4A}" srcOrd="0" destOrd="0" presId="urn:microsoft.com/office/officeart/2005/8/layout/orgChart1"/>
    <dgm:cxn modelId="{15BD86DC-1BAA-4E33-B60A-D3085F2B8728}" type="presParOf" srcId="{562A6A0A-786C-427C-833E-EF35B4332C4A}" destId="{592374F2-75FD-47F5-ABD1-8737A6AD9AF0}" srcOrd="0" destOrd="0" presId="urn:microsoft.com/office/officeart/2005/8/layout/orgChart1"/>
    <dgm:cxn modelId="{2EB66EB8-3692-4F21-8122-CE2A7F4BA31F}" type="presParOf" srcId="{562A6A0A-786C-427C-833E-EF35B4332C4A}" destId="{24D38E39-16C0-4DDB-B9D8-5ED8741C6D18}" srcOrd="1" destOrd="0" presId="urn:microsoft.com/office/officeart/2005/8/layout/orgChart1"/>
    <dgm:cxn modelId="{83CF6576-C3AF-46A9-8063-2495B9CF1C52}" type="presParOf" srcId="{63BF91D3-5E41-4A4F-B3FC-BAD680861151}" destId="{7F68BCC5-ED98-475F-9AFE-EF9AC22E8650}" srcOrd="1" destOrd="0" presId="urn:microsoft.com/office/officeart/2005/8/layout/orgChart1"/>
    <dgm:cxn modelId="{07E188A5-52DE-4DC7-AB27-00D4FADFE6E4}" type="presParOf" srcId="{63BF91D3-5E41-4A4F-B3FC-BAD680861151}" destId="{A17D8376-D4FB-4216-8BC7-9882672A6641}" srcOrd="2" destOrd="0" presId="urn:microsoft.com/office/officeart/2005/8/layout/orgChart1"/>
    <dgm:cxn modelId="{2D7E8A53-09EB-4B08-B58E-36BE358A1EA4}" type="presParOf" srcId="{D7388BE5-41FB-44AF-B221-615D70714684}" destId="{CB46B2C8-6326-44E0-837E-882472C4CC33}" srcOrd="2" destOrd="0" presId="urn:microsoft.com/office/officeart/2005/8/layout/orgChart1"/>
    <dgm:cxn modelId="{EC565068-AADF-49B3-B202-E01BB81AF171}" type="presParOf" srcId="{D7388BE5-41FB-44AF-B221-615D70714684}" destId="{29728BE3-E4E8-4682-9EB8-3CADC299A07F}" srcOrd="3" destOrd="0" presId="urn:microsoft.com/office/officeart/2005/8/layout/orgChart1"/>
    <dgm:cxn modelId="{D198B6CD-FF71-46D6-96B9-289919CE86D5}" type="presParOf" srcId="{29728BE3-E4E8-4682-9EB8-3CADC299A07F}" destId="{8F9373CF-63D2-4B7B-A833-EB4F3D2FDA10}" srcOrd="0" destOrd="0" presId="urn:microsoft.com/office/officeart/2005/8/layout/orgChart1"/>
    <dgm:cxn modelId="{3C4E1C5A-AFB1-4462-9D49-79FC58FE38CC}" type="presParOf" srcId="{8F9373CF-63D2-4B7B-A833-EB4F3D2FDA10}" destId="{5210760A-89C7-453A-9323-086A32E8C606}" srcOrd="0" destOrd="0" presId="urn:microsoft.com/office/officeart/2005/8/layout/orgChart1"/>
    <dgm:cxn modelId="{2C54EDE3-A9AE-4D1A-B781-9E9F4D71965C}" type="presParOf" srcId="{8F9373CF-63D2-4B7B-A833-EB4F3D2FDA10}" destId="{A6A4A7AB-FC8D-40C3-80CE-9EEA41C70694}" srcOrd="1" destOrd="0" presId="urn:microsoft.com/office/officeart/2005/8/layout/orgChart1"/>
    <dgm:cxn modelId="{AF3B63EC-A9A6-4905-A059-CD6A4FA37269}" type="presParOf" srcId="{29728BE3-E4E8-4682-9EB8-3CADC299A07F}" destId="{31764C04-980F-43AB-964F-9E1445A63F5B}" srcOrd="1" destOrd="0" presId="urn:microsoft.com/office/officeart/2005/8/layout/orgChart1"/>
    <dgm:cxn modelId="{BCA5275F-FDDC-480D-B70C-7F84B3C85C29}" type="presParOf" srcId="{29728BE3-E4E8-4682-9EB8-3CADC299A07F}" destId="{DCDC1999-27F9-4884-8C18-03D44490C37C}" srcOrd="2" destOrd="0" presId="urn:microsoft.com/office/officeart/2005/8/layout/orgChart1"/>
    <dgm:cxn modelId="{0CBF71EC-B1B9-41B2-9E60-783D4E2775A4}" type="presParOf" srcId="{D7388BE5-41FB-44AF-B221-615D70714684}" destId="{EDBC517C-442F-4387-B97A-52FEBE149F6A}" srcOrd="4" destOrd="0" presId="urn:microsoft.com/office/officeart/2005/8/layout/orgChart1"/>
    <dgm:cxn modelId="{5004A231-6679-470B-B1E6-AD1ED8E423B5}" type="presParOf" srcId="{D7388BE5-41FB-44AF-B221-615D70714684}" destId="{9906E71D-D362-4467-A1AD-0494F11EAA4F}" srcOrd="5" destOrd="0" presId="urn:microsoft.com/office/officeart/2005/8/layout/orgChart1"/>
    <dgm:cxn modelId="{6E898C14-FBE6-47CF-8A33-1EA15498D2FD}" type="presParOf" srcId="{9906E71D-D362-4467-A1AD-0494F11EAA4F}" destId="{CB2130A7-80C9-47CD-B3DF-F3D3E787ED73}" srcOrd="0" destOrd="0" presId="urn:microsoft.com/office/officeart/2005/8/layout/orgChart1"/>
    <dgm:cxn modelId="{107AF3B0-7CC0-490A-8AA2-076138778766}" type="presParOf" srcId="{CB2130A7-80C9-47CD-B3DF-F3D3E787ED73}" destId="{A10884EF-94C8-4EC0-9ED1-41E96C1BC612}" srcOrd="0" destOrd="0" presId="urn:microsoft.com/office/officeart/2005/8/layout/orgChart1"/>
    <dgm:cxn modelId="{59C3656A-28FB-437A-89A6-AF9001714E19}" type="presParOf" srcId="{CB2130A7-80C9-47CD-B3DF-F3D3E787ED73}" destId="{1E781902-B6ED-4A32-A440-B12238422BF6}" srcOrd="1" destOrd="0" presId="urn:microsoft.com/office/officeart/2005/8/layout/orgChart1"/>
    <dgm:cxn modelId="{11BF6721-F117-4D2B-91CE-CF32D25B3728}" type="presParOf" srcId="{9906E71D-D362-4467-A1AD-0494F11EAA4F}" destId="{296E92ED-0F3F-424A-9C2A-8FDAF0EB2B4A}" srcOrd="1" destOrd="0" presId="urn:microsoft.com/office/officeart/2005/8/layout/orgChart1"/>
    <dgm:cxn modelId="{1333C357-BE70-4989-BDD8-CE082F8E736F}" type="presParOf" srcId="{9906E71D-D362-4467-A1AD-0494F11EAA4F}" destId="{F0DD1E73-4D75-4C9F-8896-4002E2EC65A1}" srcOrd="2" destOrd="0" presId="urn:microsoft.com/office/officeart/2005/8/layout/orgChart1"/>
    <dgm:cxn modelId="{3D2DEC47-9A7E-4957-950A-C0BB8B2D1561}" type="presParOf" srcId="{D496CF32-F4CA-4337-BBA3-7E9E3B3D9702}" destId="{B9E93747-5A22-4471-BAE5-512D2121737A}" srcOrd="2" destOrd="0" presId="urn:microsoft.com/office/officeart/2005/8/layout/orgChart1"/>
    <dgm:cxn modelId="{760160E6-451A-4567-B22F-FD0DB2B46F1C}" type="presParOf" srcId="{01AA2C75-243D-4C7F-BBFA-6359EC87F314}" destId="{4B314BBA-0972-410C-8258-745670949447}" srcOrd="2" destOrd="0" presId="urn:microsoft.com/office/officeart/2005/8/layout/orgChart1"/>
    <dgm:cxn modelId="{9945285C-4D5B-460E-8D48-029271BCC554}" type="presParOf" srcId="{01AA2C75-243D-4C7F-BBFA-6359EC87F314}" destId="{4DD80202-B151-4D41-828A-D40673808556}" srcOrd="3" destOrd="0" presId="urn:microsoft.com/office/officeart/2005/8/layout/orgChart1"/>
    <dgm:cxn modelId="{FD5BF84D-E538-44FE-9B98-AAA876415AE9}" type="presParOf" srcId="{4DD80202-B151-4D41-828A-D40673808556}" destId="{50B9FC2E-5BEC-4C49-9E0F-2CD40103A5CF}" srcOrd="0" destOrd="0" presId="urn:microsoft.com/office/officeart/2005/8/layout/orgChart1"/>
    <dgm:cxn modelId="{5649A422-A2FD-410A-8EF6-8C3CD9094A9B}" type="presParOf" srcId="{50B9FC2E-5BEC-4C49-9E0F-2CD40103A5CF}" destId="{676CDB27-FD10-4330-B99B-D8B3E9D1B3D0}" srcOrd="0" destOrd="0" presId="urn:microsoft.com/office/officeart/2005/8/layout/orgChart1"/>
    <dgm:cxn modelId="{549DC7D5-AB6C-421A-AED7-3B6FFAFC7704}" type="presParOf" srcId="{50B9FC2E-5BEC-4C49-9E0F-2CD40103A5CF}" destId="{AAA94F44-D72A-4853-9C67-B53DC4B1E5F3}" srcOrd="1" destOrd="0" presId="urn:microsoft.com/office/officeart/2005/8/layout/orgChart1"/>
    <dgm:cxn modelId="{378531F9-27E5-444E-B2AF-7D466178A13C}" type="presParOf" srcId="{4DD80202-B151-4D41-828A-D40673808556}" destId="{8D507D02-E53A-4A60-B47D-775DE42BF2DF}" srcOrd="1" destOrd="0" presId="urn:microsoft.com/office/officeart/2005/8/layout/orgChart1"/>
    <dgm:cxn modelId="{D85B5EA4-46C8-4EA3-AF46-AC75946D0831}" type="presParOf" srcId="{8D507D02-E53A-4A60-B47D-775DE42BF2DF}" destId="{9959CA76-EFA6-4BF9-B1BB-87F9EE74E5F6}" srcOrd="0" destOrd="0" presId="urn:microsoft.com/office/officeart/2005/8/layout/orgChart1"/>
    <dgm:cxn modelId="{8B43B363-67B8-48A7-815F-BDA97CA7633E}" type="presParOf" srcId="{8D507D02-E53A-4A60-B47D-775DE42BF2DF}" destId="{CDB53A94-A0A7-474C-8B7E-06FD17FF1104}" srcOrd="1" destOrd="0" presId="urn:microsoft.com/office/officeart/2005/8/layout/orgChart1"/>
    <dgm:cxn modelId="{1EDC88BE-047A-4644-9775-B76EA6227321}" type="presParOf" srcId="{CDB53A94-A0A7-474C-8B7E-06FD17FF1104}" destId="{6B3836DD-A22E-413A-8067-5C4663203CCD}" srcOrd="0" destOrd="0" presId="urn:microsoft.com/office/officeart/2005/8/layout/orgChart1"/>
    <dgm:cxn modelId="{4844A90C-F322-43FC-B842-8A1701E71C53}" type="presParOf" srcId="{6B3836DD-A22E-413A-8067-5C4663203CCD}" destId="{8AC30BE5-67D6-45BE-B83C-F012AAE337D5}" srcOrd="0" destOrd="0" presId="urn:microsoft.com/office/officeart/2005/8/layout/orgChart1"/>
    <dgm:cxn modelId="{F1B9B811-8A85-4B95-87A4-18A0D52AD885}" type="presParOf" srcId="{6B3836DD-A22E-413A-8067-5C4663203CCD}" destId="{6488377A-9B35-4800-96B8-421E178B5334}" srcOrd="1" destOrd="0" presId="urn:microsoft.com/office/officeart/2005/8/layout/orgChart1"/>
    <dgm:cxn modelId="{6784F321-DD88-4ADE-B184-18F38EA78046}" type="presParOf" srcId="{CDB53A94-A0A7-474C-8B7E-06FD17FF1104}" destId="{1EB06A87-08EF-4D9E-BACF-793CD312778C}" srcOrd="1" destOrd="0" presId="urn:microsoft.com/office/officeart/2005/8/layout/orgChart1"/>
    <dgm:cxn modelId="{DA39A0C5-899B-439F-B5E9-FE2B068DFE8B}" type="presParOf" srcId="{CDB53A94-A0A7-474C-8B7E-06FD17FF1104}" destId="{3F0D2802-F5C2-4FB2-BFC7-9BB23434C67E}" srcOrd="2" destOrd="0" presId="urn:microsoft.com/office/officeart/2005/8/layout/orgChart1"/>
    <dgm:cxn modelId="{58972205-2FEB-4DBB-85E3-B280660B933C}" type="presParOf" srcId="{8D507D02-E53A-4A60-B47D-775DE42BF2DF}" destId="{44D0961B-01E4-496B-8A1A-F9AC1E521FC7}" srcOrd="2" destOrd="0" presId="urn:microsoft.com/office/officeart/2005/8/layout/orgChart1"/>
    <dgm:cxn modelId="{C45C3122-934A-4623-B411-E0D9059A75FE}" type="presParOf" srcId="{8D507D02-E53A-4A60-B47D-775DE42BF2DF}" destId="{E0390330-8DB1-4901-8DD4-A37708BC620A}" srcOrd="3" destOrd="0" presId="urn:microsoft.com/office/officeart/2005/8/layout/orgChart1"/>
    <dgm:cxn modelId="{9507D349-6A34-4860-A710-12B852D6CA44}" type="presParOf" srcId="{E0390330-8DB1-4901-8DD4-A37708BC620A}" destId="{1F6B7205-05C1-413B-951D-A2B611621C22}" srcOrd="0" destOrd="0" presId="urn:microsoft.com/office/officeart/2005/8/layout/orgChart1"/>
    <dgm:cxn modelId="{E04E8ED2-BA72-4AEF-A064-294CDF11AE3F}" type="presParOf" srcId="{1F6B7205-05C1-413B-951D-A2B611621C22}" destId="{2E69B759-EC06-4F2C-8B6D-98C074DBC43C}" srcOrd="0" destOrd="0" presId="urn:microsoft.com/office/officeart/2005/8/layout/orgChart1"/>
    <dgm:cxn modelId="{2B648F6F-13AD-4CEE-AC25-D92893DE6583}" type="presParOf" srcId="{1F6B7205-05C1-413B-951D-A2B611621C22}" destId="{D7463B6B-B2A8-4A3F-8AB6-632DDA365415}" srcOrd="1" destOrd="0" presId="urn:microsoft.com/office/officeart/2005/8/layout/orgChart1"/>
    <dgm:cxn modelId="{04AB57D4-F848-44EE-A2EF-5383C296C7B5}" type="presParOf" srcId="{E0390330-8DB1-4901-8DD4-A37708BC620A}" destId="{85F2A8AB-8E0F-4D02-B623-E3D6F6AB6E4D}" srcOrd="1" destOrd="0" presId="urn:microsoft.com/office/officeart/2005/8/layout/orgChart1"/>
    <dgm:cxn modelId="{5AD4AEE7-54CC-4EC1-84DF-D596F8AC8EFD}" type="presParOf" srcId="{E0390330-8DB1-4901-8DD4-A37708BC620A}" destId="{BEBA3653-7A36-41E4-98CB-7C377BED5890}" srcOrd="2" destOrd="0" presId="urn:microsoft.com/office/officeart/2005/8/layout/orgChart1"/>
    <dgm:cxn modelId="{3E678924-08A2-4630-BD22-9918A2AB14D5}" type="presParOf" srcId="{8D507D02-E53A-4A60-B47D-775DE42BF2DF}" destId="{74EEA4D1-81B0-4484-95D2-49EEF153C138}" srcOrd="4" destOrd="0" presId="urn:microsoft.com/office/officeart/2005/8/layout/orgChart1"/>
    <dgm:cxn modelId="{FF8CB894-FD3F-4723-B9C7-FF2350040CDD}" type="presParOf" srcId="{8D507D02-E53A-4A60-B47D-775DE42BF2DF}" destId="{86BFEAC4-EE2E-472F-A537-B79C047F99DF}" srcOrd="5" destOrd="0" presId="urn:microsoft.com/office/officeart/2005/8/layout/orgChart1"/>
    <dgm:cxn modelId="{E3FBF933-D518-495F-AC87-629C854F4B03}" type="presParOf" srcId="{86BFEAC4-EE2E-472F-A537-B79C047F99DF}" destId="{A545CE38-CC88-49CE-BD42-4B3B5DA60279}" srcOrd="0" destOrd="0" presId="urn:microsoft.com/office/officeart/2005/8/layout/orgChart1"/>
    <dgm:cxn modelId="{F4640452-8C2F-4300-9585-B7C0477C87D6}" type="presParOf" srcId="{A545CE38-CC88-49CE-BD42-4B3B5DA60279}" destId="{7FF8BB1E-E46D-4960-B36F-83A2F92494C6}" srcOrd="0" destOrd="0" presId="urn:microsoft.com/office/officeart/2005/8/layout/orgChart1"/>
    <dgm:cxn modelId="{F1708962-00E7-4602-B717-33542D58CB50}" type="presParOf" srcId="{A545CE38-CC88-49CE-BD42-4B3B5DA60279}" destId="{D11F397A-5FE6-4BA7-A188-211B8166E87E}" srcOrd="1" destOrd="0" presId="urn:microsoft.com/office/officeart/2005/8/layout/orgChart1"/>
    <dgm:cxn modelId="{EFAA3ACD-A7C8-4A03-9828-9BD567755038}" type="presParOf" srcId="{86BFEAC4-EE2E-472F-A537-B79C047F99DF}" destId="{9F6F624A-1285-4418-A136-5212E64C46E3}" srcOrd="1" destOrd="0" presId="urn:microsoft.com/office/officeart/2005/8/layout/orgChart1"/>
    <dgm:cxn modelId="{08DD552B-DBD5-4496-BDAA-D32A8E66BA3D}" type="presParOf" srcId="{86BFEAC4-EE2E-472F-A537-B79C047F99DF}" destId="{720B4E17-2EF4-41BA-8A75-1A1AEFEFC053}" srcOrd="2" destOrd="0" presId="urn:microsoft.com/office/officeart/2005/8/layout/orgChart1"/>
    <dgm:cxn modelId="{C109BBC2-165E-453E-8381-109B9BCB945D}" type="presParOf" srcId="{8D507D02-E53A-4A60-B47D-775DE42BF2DF}" destId="{DFE7A7AF-A6D5-427E-B30E-3E86608B994C}" srcOrd="6" destOrd="0" presId="urn:microsoft.com/office/officeart/2005/8/layout/orgChart1"/>
    <dgm:cxn modelId="{532D8A30-ABF4-4AA4-BDD0-7C30F465B3E2}" type="presParOf" srcId="{8D507D02-E53A-4A60-B47D-775DE42BF2DF}" destId="{97C507B0-AD44-4B8E-ADBA-FBB222FCB3A6}" srcOrd="7" destOrd="0" presId="urn:microsoft.com/office/officeart/2005/8/layout/orgChart1"/>
    <dgm:cxn modelId="{D2DA3512-D352-4DF9-8D0A-4BCB9D622715}" type="presParOf" srcId="{97C507B0-AD44-4B8E-ADBA-FBB222FCB3A6}" destId="{3E004484-C733-42B2-BA4D-606150C87F71}" srcOrd="0" destOrd="0" presId="urn:microsoft.com/office/officeart/2005/8/layout/orgChart1"/>
    <dgm:cxn modelId="{AC90377C-6A64-497A-A963-290FE6DEDF24}" type="presParOf" srcId="{3E004484-C733-42B2-BA4D-606150C87F71}" destId="{833E1EE0-7B63-4E76-9280-A34B39BFBE70}" srcOrd="0" destOrd="0" presId="urn:microsoft.com/office/officeart/2005/8/layout/orgChart1"/>
    <dgm:cxn modelId="{57B9ACFB-E6A4-4FDC-97D2-1235485C846E}" type="presParOf" srcId="{3E004484-C733-42B2-BA4D-606150C87F71}" destId="{D696A3A3-C3EF-43E2-B229-D54DE7C1D25C}" srcOrd="1" destOrd="0" presId="urn:microsoft.com/office/officeart/2005/8/layout/orgChart1"/>
    <dgm:cxn modelId="{A69654E9-7243-460C-83DA-1210979B2549}" type="presParOf" srcId="{97C507B0-AD44-4B8E-ADBA-FBB222FCB3A6}" destId="{54377CB0-3317-42A0-B79A-AA35C9DBC62E}" srcOrd="1" destOrd="0" presId="urn:microsoft.com/office/officeart/2005/8/layout/orgChart1"/>
    <dgm:cxn modelId="{11B43B88-6E23-492C-BED5-1EB8ADBAB790}" type="presParOf" srcId="{97C507B0-AD44-4B8E-ADBA-FBB222FCB3A6}" destId="{4DF21494-C2F2-43BB-8B6A-7BBE1F882A7B}" srcOrd="2" destOrd="0" presId="urn:microsoft.com/office/officeart/2005/8/layout/orgChart1"/>
    <dgm:cxn modelId="{1B989243-0B3C-4AD6-8D98-9DC2AE220025}" type="presParOf" srcId="{8D507D02-E53A-4A60-B47D-775DE42BF2DF}" destId="{D1CDDA2F-D3BE-4EF7-AB4C-852AE6EFE0C2}" srcOrd="8" destOrd="0" presId="urn:microsoft.com/office/officeart/2005/8/layout/orgChart1"/>
    <dgm:cxn modelId="{847F90DB-A3C9-4585-8E3F-528BC26EF388}" type="presParOf" srcId="{8D507D02-E53A-4A60-B47D-775DE42BF2DF}" destId="{9D16D5F6-01A1-4E41-986D-5C41D49D49A5}" srcOrd="9" destOrd="0" presId="urn:microsoft.com/office/officeart/2005/8/layout/orgChart1"/>
    <dgm:cxn modelId="{32068A65-E8F8-4245-B429-2C1BC3765067}" type="presParOf" srcId="{9D16D5F6-01A1-4E41-986D-5C41D49D49A5}" destId="{C7880D92-0877-4CCB-BAFE-73A0B202954E}" srcOrd="0" destOrd="0" presId="urn:microsoft.com/office/officeart/2005/8/layout/orgChart1"/>
    <dgm:cxn modelId="{C4CCE38D-D729-4A39-A70E-58BCFF48B06A}" type="presParOf" srcId="{C7880D92-0877-4CCB-BAFE-73A0B202954E}" destId="{690E1F8E-BA56-4224-B1E6-0857728CD6FF}" srcOrd="0" destOrd="0" presId="urn:microsoft.com/office/officeart/2005/8/layout/orgChart1"/>
    <dgm:cxn modelId="{5CE2F8C9-2A87-4C0E-A0CA-1C2B6BEAE2ED}" type="presParOf" srcId="{C7880D92-0877-4CCB-BAFE-73A0B202954E}" destId="{53F6C087-739D-4E62-A1CA-5B7D7E01F6C3}" srcOrd="1" destOrd="0" presId="urn:microsoft.com/office/officeart/2005/8/layout/orgChart1"/>
    <dgm:cxn modelId="{9AD7C0E5-DA49-43FC-8ACD-2DDEAEE5A0B1}" type="presParOf" srcId="{9D16D5F6-01A1-4E41-986D-5C41D49D49A5}" destId="{7760532B-A59A-4252-963D-56AD248DFF89}" srcOrd="1" destOrd="0" presId="urn:microsoft.com/office/officeart/2005/8/layout/orgChart1"/>
    <dgm:cxn modelId="{2A92FB13-D45E-445D-90AB-052D9594481C}" type="presParOf" srcId="{9D16D5F6-01A1-4E41-986D-5C41D49D49A5}" destId="{F581A3EF-7F03-45DF-A703-2B3109EAC48B}" srcOrd="2" destOrd="0" presId="urn:microsoft.com/office/officeart/2005/8/layout/orgChart1"/>
    <dgm:cxn modelId="{3254D8F5-9F1D-4218-8CFF-35041983641F}" type="presParOf" srcId="{8D507D02-E53A-4A60-B47D-775DE42BF2DF}" destId="{A8CD6FFF-0D44-4336-9541-97F61EF9630F}" srcOrd="10" destOrd="0" presId="urn:microsoft.com/office/officeart/2005/8/layout/orgChart1"/>
    <dgm:cxn modelId="{83777232-A9F9-46B4-BAC8-959B6D0434F8}" type="presParOf" srcId="{8D507D02-E53A-4A60-B47D-775DE42BF2DF}" destId="{9053F5B9-C881-462B-A239-3471BACEB055}" srcOrd="11" destOrd="0" presId="urn:microsoft.com/office/officeart/2005/8/layout/orgChart1"/>
    <dgm:cxn modelId="{3C80CFD3-B998-4100-8543-30A1F41CB369}" type="presParOf" srcId="{9053F5B9-C881-462B-A239-3471BACEB055}" destId="{6928961B-19DD-4317-AA8C-79F69B840C80}" srcOrd="0" destOrd="0" presId="urn:microsoft.com/office/officeart/2005/8/layout/orgChart1"/>
    <dgm:cxn modelId="{9EE13A15-0C53-4396-BBC1-2719150635D4}" type="presParOf" srcId="{6928961B-19DD-4317-AA8C-79F69B840C80}" destId="{C32BC131-12EB-4BD6-A742-551A30AF4616}" srcOrd="0" destOrd="0" presId="urn:microsoft.com/office/officeart/2005/8/layout/orgChart1"/>
    <dgm:cxn modelId="{76C352E4-5D6C-4CFF-A42A-6C0052099F2B}" type="presParOf" srcId="{6928961B-19DD-4317-AA8C-79F69B840C80}" destId="{F93334BC-6E9B-4FAD-9F17-EAB42872570C}" srcOrd="1" destOrd="0" presId="urn:microsoft.com/office/officeart/2005/8/layout/orgChart1"/>
    <dgm:cxn modelId="{76A73FC7-F6B9-4638-9A2C-3F28454A83D0}" type="presParOf" srcId="{9053F5B9-C881-462B-A239-3471BACEB055}" destId="{665D9742-F0DD-4B0A-B763-F58746F226E8}" srcOrd="1" destOrd="0" presId="urn:microsoft.com/office/officeart/2005/8/layout/orgChart1"/>
    <dgm:cxn modelId="{45F741DD-E7C3-4E2F-B6A9-4DA7B120B4F5}" type="presParOf" srcId="{9053F5B9-C881-462B-A239-3471BACEB055}" destId="{90E65B79-C82F-459A-8F86-2BFF88043929}" srcOrd="2" destOrd="0" presId="urn:microsoft.com/office/officeart/2005/8/layout/orgChart1"/>
    <dgm:cxn modelId="{9B0B12D7-EEF7-4CA4-A01A-59538701658E}" type="presParOf" srcId="{4DD80202-B151-4D41-828A-D40673808556}" destId="{E8FDBABF-C5D9-4C99-ABD1-1F1122F909B2}" srcOrd="2" destOrd="0" presId="urn:microsoft.com/office/officeart/2005/8/layout/orgChart1"/>
    <dgm:cxn modelId="{6ACD8A68-73C8-43DB-81FE-B5BC14A439F1}" type="presParOf" srcId="{01AA2C75-243D-4C7F-BBFA-6359EC87F314}" destId="{84BD567D-8E01-437D-9DA5-0BFF0A658B15}" srcOrd="4" destOrd="0" presId="urn:microsoft.com/office/officeart/2005/8/layout/orgChart1"/>
    <dgm:cxn modelId="{C482C6A0-A90C-4863-A3E1-E8C459C1127B}" type="presParOf" srcId="{01AA2C75-243D-4C7F-BBFA-6359EC87F314}" destId="{E55E952B-ABD8-432B-A582-AE0FE87BE8E5}" srcOrd="5" destOrd="0" presId="urn:microsoft.com/office/officeart/2005/8/layout/orgChart1"/>
    <dgm:cxn modelId="{D02F1671-1117-4D97-8C9C-15093EAE1A1D}" type="presParOf" srcId="{E55E952B-ABD8-432B-A582-AE0FE87BE8E5}" destId="{CAE68A94-FE58-4C54-B5B4-23E46FEDF0BC}" srcOrd="0" destOrd="0" presId="urn:microsoft.com/office/officeart/2005/8/layout/orgChart1"/>
    <dgm:cxn modelId="{A81BE2AC-F0A6-41AF-9F5F-760A1B40A3EF}" type="presParOf" srcId="{CAE68A94-FE58-4C54-B5B4-23E46FEDF0BC}" destId="{E5DBD7D4-A4C9-4895-986B-C62670EAECE3}" srcOrd="0" destOrd="0" presId="urn:microsoft.com/office/officeart/2005/8/layout/orgChart1"/>
    <dgm:cxn modelId="{2D72AF15-A7C6-4CB6-A729-0FE8CDC5479E}" type="presParOf" srcId="{CAE68A94-FE58-4C54-B5B4-23E46FEDF0BC}" destId="{93FAA15F-730B-4081-8E44-B46724ACB523}" srcOrd="1" destOrd="0" presId="urn:microsoft.com/office/officeart/2005/8/layout/orgChart1"/>
    <dgm:cxn modelId="{5D7D935D-AA12-44DC-9203-B0E857B5F1F6}" type="presParOf" srcId="{E55E952B-ABD8-432B-A582-AE0FE87BE8E5}" destId="{787EDC6C-C682-4C0B-B7B5-CBAC23771B13}" srcOrd="1" destOrd="0" presId="urn:microsoft.com/office/officeart/2005/8/layout/orgChart1"/>
    <dgm:cxn modelId="{4A19F742-3282-45CE-9066-2C1DF88D32B3}" type="presParOf" srcId="{787EDC6C-C682-4C0B-B7B5-CBAC23771B13}" destId="{4710CF54-A3A9-402E-A7C8-05E928D99597}" srcOrd="0" destOrd="0" presId="urn:microsoft.com/office/officeart/2005/8/layout/orgChart1"/>
    <dgm:cxn modelId="{360FE6A4-EA38-48D3-8AC5-DE6041CAED85}" type="presParOf" srcId="{787EDC6C-C682-4C0B-B7B5-CBAC23771B13}" destId="{F1EEB1E6-9E79-4754-AF2E-83473CDB7A39}" srcOrd="1" destOrd="0" presId="urn:microsoft.com/office/officeart/2005/8/layout/orgChart1"/>
    <dgm:cxn modelId="{E2244E38-244B-4814-A132-E08E99587F44}" type="presParOf" srcId="{F1EEB1E6-9E79-4754-AF2E-83473CDB7A39}" destId="{42C8B343-4502-4C32-BEA6-33131A0712C1}" srcOrd="0" destOrd="0" presId="urn:microsoft.com/office/officeart/2005/8/layout/orgChart1"/>
    <dgm:cxn modelId="{7EB9B079-C50E-4B8C-A427-0C7B0FDF3DDA}" type="presParOf" srcId="{42C8B343-4502-4C32-BEA6-33131A0712C1}" destId="{86B324B5-4C5F-4B40-81CA-33305B4C9D37}" srcOrd="0" destOrd="0" presId="urn:microsoft.com/office/officeart/2005/8/layout/orgChart1"/>
    <dgm:cxn modelId="{B55FEF1A-4859-482F-920F-483D7131D0E0}" type="presParOf" srcId="{42C8B343-4502-4C32-BEA6-33131A0712C1}" destId="{C433F8EB-F5CC-46D1-B8EE-2DEA599B19A1}" srcOrd="1" destOrd="0" presId="urn:microsoft.com/office/officeart/2005/8/layout/orgChart1"/>
    <dgm:cxn modelId="{9B16444D-F2AA-4823-8B04-3C62223F1EE0}" type="presParOf" srcId="{F1EEB1E6-9E79-4754-AF2E-83473CDB7A39}" destId="{BF573655-49BF-4396-B83F-333B988A60C9}" srcOrd="1" destOrd="0" presId="urn:microsoft.com/office/officeart/2005/8/layout/orgChart1"/>
    <dgm:cxn modelId="{74505104-8D8A-4178-AC52-F94BE95776B0}" type="presParOf" srcId="{F1EEB1E6-9E79-4754-AF2E-83473CDB7A39}" destId="{C44E4333-A20C-442D-AD1E-21C21FBADA8C}" srcOrd="2" destOrd="0" presId="urn:microsoft.com/office/officeart/2005/8/layout/orgChart1"/>
    <dgm:cxn modelId="{F95637C5-2EC5-45AB-B771-ADDE2AAB0F6D}" type="presParOf" srcId="{787EDC6C-C682-4C0B-B7B5-CBAC23771B13}" destId="{0AAA3537-3730-47B2-A25C-4BF8248C993C}" srcOrd="2" destOrd="0" presId="urn:microsoft.com/office/officeart/2005/8/layout/orgChart1"/>
    <dgm:cxn modelId="{F6EDD73C-D67C-49EA-A4AD-E536F956A22B}" type="presParOf" srcId="{787EDC6C-C682-4C0B-B7B5-CBAC23771B13}" destId="{4EC8CB8D-C12B-4142-A34B-4D3A3F068F37}" srcOrd="3" destOrd="0" presId="urn:microsoft.com/office/officeart/2005/8/layout/orgChart1"/>
    <dgm:cxn modelId="{B6177CFC-2139-4784-B06C-BC3B664834DE}" type="presParOf" srcId="{4EC8CB8D-C12B-4142-A34B-4D3A3F068F37}" destId="{9C8B6B07-E269-4E78-BBBF-3E9C1EFD3C5E}" srcOrd="0" destOrd="0" presId="urn:microsoft.com/office/officeart/2005/8/layout/orgChart1"/>
    <dgm:cxn modelId="{6073ECE7-6FDF-42B1-A0E7-26F6021DDA21}" type="presParOf" srcId="{9C8B6B07-E269-4E78-BBBF-3E9C1EFD3C5E}" destId="{5C79BCB9-A161-4A60-8658-BBD9AA25F8A1}" srcOrd="0" destOrd="0" presId="urn:microsoft.com/office/officeart/2005/8/layout/orgChart1"/>
    <dgm:cxn modelId="{4A416B51-B6C0-429A-89C2-EF4B660ADF7D}" type="presParOf" srcId="{9C8B6B07-E269-4E78-BBBF-3E9C1EFD3C5E}" destId="{C84DE3DD-DC83-485C-A2DC-DC1E781A9EC8}" srcOrd="1" destOrd="0" presId="urn:microsoft.com/office/officeart/2005/8/layout/orgChart1"/>
    <dgm:cxn modelId="{CF7521E3-0E58-43CC-B66F-1A6E8E2A6F31}" type="presParOf" srcId="{4EC8CB8D-C12B-4142-A34B-4D3A3F068F37}" destId="{5CE64C7A-EBF7-477B-A4D4-7D1365B1C336}" srcOrd="1" destOrd="0" presId="urn:microsoft.com/office/officeart/2005/8/layout/orgChart1"/>
    <dgm:cxn modelId="{6F50DED7-945D-48BE-8BA9-57CC6D412DB5}" type="presParOf" srcId="{4EC8CB8D-C12B-4142-A34B-4D3A3F068F37}" destId="{54503D5D-89AA-443B-910B-B03F686A131D}" srcOrd="2" destOrd="0" presId="urn:microsoft.com/office/officeart/2005/8/layout/orgChart1"/>
    <dgm:cxn modelId="{8E0B2ADF-299E-413C-BAA2-D0C4B9A5738C}" type="presParOf" srcId="{787EDC6C-C682-4C0B-B7B5-CBAC23771B13}" destId="{DA329912-A857-488C-94DB-3C326E7744CB}" srcOrd="4" destOrd="0" presId="urn:microsoft.com/office/officeart/2005/8/layout/orgChart1"/>
    <dgm:cxn modelId="{34464270-1AB9-42CA-80B2-576AC2AF1984}" type="presParOf" srcId="{787EDC6C-C682-4C0B-B7B5-CBAC23771B13}" destId="{A0282B0F-7521-4DE6-9D98-D2044A470551}" srcOrd="5" destOrd="0" presId="urn:microsoft.com/office/officeart/2005/8/layout/orgChart1"/>
    <dgm:cxn modelId="{9333C95D-F92E-4A68-9E96-0DC49159C560}" type="presParOf" srcId="{A0282B0F-7521-4DE6-9D98-D2044A470551}" destId="{65032EFA-9F0C-4277-99AD-074238FDC739}" srcOrd="0" destOrd="0" presId="urn:microsoft.com/office/officeart/2005/8/layout/orgChart1"/>
    <dgm:cxn modelId="{8E958296-FDA0-40DB-BB50-111096756C25}" type="presParOf" srcId="{65032EFA-9F0C-4277-99AD-074238FDC739}" destId="{B0AFA7D8-7571-49EF-BFE2-5EE254842664}" srcOrd="0" destOrd="0" presId="urn:microsoft.com/office/officeart/2005/8/layout/orgChart1"/>
    <dgm:cxn modelId="{A962C492-14ED-478C-8D43-C9D9CB65FAEC}" type="presParOf" srcId="{65032EFA-9F0C-4277-99AD-074238FDC739}" destId="{D38DB8B5-2D8E-40B5-A22E-1BC48D1429C5}" srcOrd="1" destOrd="0" presId="urn:microsoft.com/office/officeart/2005/8/layout/orgChart1"/>
    <dgm:cxn modelId="{ED797D32-101B-4CF5-B112-F10691324FC2}" type="presParOf" srcId="{A0282B0F-7521-4DE6-9D98-D2044A470551}" destId="{7F2F0EE1-8C2B-4B24-9221-8122C1802AF9}" srcOrd="1" destOrd="0" presId="urn:microsoft.com/office/officeart/2005/8/layout/orgChart1"/>
    <dgm:cxn modelId="{0140886E-5794-4A26-8F0C-E4E66BDE6485}" type="presParOf" srcId="{A0282B0F-7521-4DE6-9D98-D2044A470551}" destId="{34137A0B-E51C-4D2B-8F06-ECAC92085F07}" srcOrd="2" destOrd="0" presId="urn:microsoft.com/office/officeart/2005/8/layout/orgChart1"/>
    <dgm:cxn modelId="{C0F096BA-02AE-4746-BC60-E11FE08BCE49}" type="presParOf" srcId="{787EDC6C-C682-4C0B-B7B5-CBAC23771B13}" destId="{2F83ECF2-CD31-4FC3-9FB6-A339D97DE729}" srcOrd="6" destOrd="0" presId="urn:microsoft.com/office/officeart/2005/8/layout/orgChart1"/>
    <dgm:cxn modelId="{DD11B76B-1AC8-47AF-8024-2CB7A89F7B78}" type="presParOf" srcId="{787EDC6C-C682-4C0B-B7B5-CBAC23771B13}" destId="{252FA277-4F66-4EE0-95CF-BCD08694E4B2}" srcOrd="7" destOrd="0" presId="urn:microsoft.com/office/officeart/2005/8/layout/orgChart1"/>
    <dgm:cxn modelId="{8AAA2CA1-B18B-4B53-852B-1EEDFD29AA46}" type="presParOf" srcId="{252FA277-4F66-4EE0-95CF-BCD08694E4B2}" destId="{A70D6A32-89E8-42B2-9BDA-371BEB80A7FE}" srcOrd="0" destOrd="0" presId="urn:microsoft.com/office/officeart/2005/8/layout/orgChart1"/>
    <dgm:cxn modelId="{08FFA086-4123-4AA2-BB1F-5A88FB0B1E82}" type="presParOf" srcId="{A70D6A32-89E8-42B2-9BDA-371BEB80A7FE}" destId="{8F6B5635-734A-4DAA-A506-A615038F09C4}" srcOrd="0" destOrd="0" presId="urn:microsoft.com/office/officeart/2005/8/layout/orgChart1"/>
    <dgm:cxn modelId="{BF1F514B-4959-4129-9BF2-C7C2A085DAAC}" type="presParOf" srcId="{A70D6A32-89E8-42B2-9BDA-371BEB80A7FE}" destId="{2AE85425-1A62-4CD6-8970-BA817DECA633}" srcOrd="1" destOrd="0" presId="urn:microsoft.com/office/officeart/2005/8/layout/orgChart1"/>
    <dgm:cxn modelId="{F34710F6-FC18-49C0-A9DB-0BFD5EAF5BCC}" type="presParOf" srcId="{252FA277-4F66-4EE0-95CF-BCD08694E4B2}" destId="{E3D3E03F-F92F-463B-9359-099CE6DB56DD}" srcOrd="1" destOrd="0" presId="urn:microsoft.com/office/officeart/2005/8/layout/orgChart1"/>
    <dgm:cxn modelId="{521BAAB9-B150-4FCD-99F2-3F4B576DBA26}" type="presParOf" srcId="{252FA277-4F66-4EE0-95CF-BCD08694E4B2}" destId="{F3900259-0F29-4F90-A45A-D3154770E952}" srcOrd="2" destOrd="0" presId="urn:microsoft.com/office/officeart/2005/8/layout/orgChart1"/>
    <dgm:cxn modelId="{B7B003DF-21A7-4BDA-9AFB-5C2A43899F97}" type="presParOf" srcId="{E55E952B-ABD8-432B-A582-AE0FE87BE8E5}" destId="{F95BE8BD-E2AB-4ECD-AD56-8720730DC555}" srcOrd="2" destOrd="0" presId="urn:microsoft.com/office/officeart/2005/8/layout/orgChart1"/>
    <dgm:cxn modelId="{E1BF0D12-47A5-40D8-BEBE-225F5C39412C}" type="presParOf" srcId="{01AA2C75-243D-4C7F-BBFA-6359EC87F314}" destId="{D337EBB1-B222-490D-A87B-D5E7B9ECB10F}" srcOrd="6" destOrd="0" presId="urn:microsoft.com/office/officeart/2005/8/layout/orgChart1"/>
    <dgm:cxn modelId="{488B933A-A356-4B55-BEE7-DE81603F0CF0}" type="presParOf" srcId="{01AA2C75-243D-4C7F-BBFA-6359EC87F314}" destId="{CEDE25A8-AE74-4FDE-8D39-B6889B64B3E1}" srcOrd="7" destOrd="0" presId="urn:microsoft.com/office/officeart/2005/8/layout/orgChart1"/>
    <dgm:cxn modelId="{FABDBBE6-06A8-4483-B824-70812CA5292B}" type="presParOf" srcId="{CEDE25A8-AE74-4FDE-8D39-B6889B64B3E1}" destId="{492FAE36-C363-4BE1-B776-00C38D4AFF95}" srcOrd="0" destOrd="0" presId="urn:microsoft.com/office/officeart/2005/8/layout/orgChart1"/>
    <dgm:cxn modelId="{05ECA852-DD1C-4B93-8D4A-D8881951B98C}" type="presParOf" srcId="{492FAE36-C363-4BE1-B776-00C38D4AFF95}" destId="{17BB04ED-8870-4189-A2D1-304A30928E94}" srcOrd="0" destOrd="0" presId="urn:microsoft.com/office/officeart/2005/8/layout/orgChart1"/>
    <dgm:cxn modelId="{983331CC-B4ED-4A49-815C-CE15A0BCA693}" type="presParOf" srcId="{492FAE36-C363-4BE1-B776-00C38D4AFF95}" destId="{2F52FCDF-3E10-458C-9773-CC94CF9E4CD7}" srcOrd="1" destOrd="0" presId="urn:microsoft.com/office/officeart/2005/8/layout/orgChart1"/>
    <dgm:cxn modelId="{D36853B6-22DC-4212-807F-B8300244EBEB}" type="presParOf" srcId="{CEDE25A8-AE74-4FDE-8D39-B6889B64B3E1}" destId="{1CB10650-1AD6-4098-B401-99FD8757DA13}" srcOrd="1" destOrd="0" presId="urn:microsoft.com/office/officeart/2005/8/layout/orgChart1"/>
    <dgm:cxn modelId="{25458998-B723-4BCF-86A9-B25DE5EB82E5}" type="presParOf" srcId="{1CB10650-1AD6-4098-B401-99FD8757DA13}" destId="{5F6D1291-1446-44F8-8897-A6255D4599B7}" srcOrd="0" destOrd="0" presId="urn:microsoft.com/office/officeart/2005/8/layout/orgChart1"/>
    <dgm:cxn modelId="{20BF5250-E8DB-4D6D-985F-C1A075DFE7AF}" type="presParOf" srcId="{1CB10650-1AD6-4098-B401-99FD8757DA13}" destId="{953522FF-C41A-4F78-88A2-491A2F240864}" srcOrd="1" destOrd="0" presId="urn:microsoft.com/office/officeart/2005/8/layout/orgChart1"/>
    <dgm:cxn modelId="{D0CF629C-F0E6-4FA0-AC35-7CA55ACCFCBF}" type="presParOf" srcId="{953522FF-C41A-4F78-88A2-491A2F240864}" destId="{428B61BC-13CB-49AC-8D4E-D09C5B5A6FD0}" srcOrd="0" destOrd="0" presId="urn:microsoft.com/office/officeart/2005/8/layout/orgChart1"/>
    <dgm:cxn modelId="{C0948241-03DF-4F9F-AF1B-20831412BFAA}" type="presParOf" srcId="{428B61BC-13CB-49AC-8D4E-D09C5B5A6FD0}" destId="{02370D6B-7D42-4BE2-8B33-1D4391412BB8}" srcOrd="0" destOrd="0" presId="urn:microsoft.com/office/officeart/2005/8/layout/orgChart1"/>
    <dgm:cxn modelId="{1A6BFA68-960D-46A0-856F-2A38C007DD45}" type="presParOf" srcId="{428B61BC-13CB-49AC-8D4E-D09C5B5A6FD0}" destId="{121E68E7-A92D-483C-B707-5ABBEC0C91C0}" srcOrd="1" destOrd="0" presId="urn:microsoft.com/office/officeart/2005/8/layout/orgChart1"/>
    <dgm:cxn modelId="{58A9FD9F-9117-493B-B9FA-23FCC3FEE987}" type="presParOf" srcId="{953522FF-C41A-4F78-88A2-491A2F240864}" destId="{E6A19A6A-0C31-4821-A7A6-73189A4FD84A}" srcOrd="1" destOrd="0" presId="urn:microsoft.com/office/officeart/2005/8/layout/orgChart1"/>
    <dgm:cxn modelId="{B0519283-0B1E-4173-8F15-382DC3F7D615}" type="presParOf" srcId="{953522FF-C41A-4F78-88A2-491A2F240864}" destId="{B8AF2E3D-818C-438E-9EAC-91017210F5BB}" srcOrd="2" destOrd="0" presId="urn:microsoft.com/office/officeart/2005/8/layout/orgChart1"/>
    <dgm:cxn modelId="{F6C1B821-DB9B-4DE0-9767-74A101A7352B}" type="presParOf" srcId="{1CB10650-1AD6-4098-B401-99FD8757DA13}" destId="{88154A89-3234-4FF6-9CAF-76D073CDE153}" srcOrd="2" destOrd="0" presId="urn:microsoft.com/office/officeart/2005/8/layout/orgChart1"/>
    <dgm:cxn modelId="{90BFD831-84F0-4070-90D3-B9851A145670}" type="presParOf" srcId="{1CB10650-1AD6-4098-B401-99FD8757DA13}" destId="{33919E5A-64E0-4558-AFB6-F7FE82140109}" srcOrd="3" destOrd="0" presId="urn:microsoft.com/office/officeart/2005/8/layout/orgChart1"/>
    <dgm:cxn modelId="{35046457-D5D2-4154-B382-6B9A5C198700}" type="presParOf" srcId="{33919E5A-64E0-4558-AFB6-F7FE82140109}" destId="{283D594B-6E59-47EF-AFDC-D490DE0C783D}" srcOrd="0" destOrd="0" presId="urn:microsoft.com/office/officeart/2005/8/layout/orgChart1"/>
    <dgm:cxn modelId="{26AFB59E-4DF1-4D7D-B3AA-FB147C201B35}" type="presParOf" srcId="{283D594B-6E59-47EF-AFDC-D490DE0C783D}" destId="{5163CAA6-A213-4C7B-9436-68AC9D1B59A0}" srcOrd="0" destOrd="0" presId="urn:microsoft.com/office/officeart/2005/8/layout/orgChart1"/>
    <dgm:cxn modelId="{167DAD9D-AA50-4510-885A-D56FD922AE72}" type="presParOf" srcId="{283D594B-6E59-47EF-AFDC-D490DE0C783D}" destId="{23897CED-9A93-4B50-9A38-6AA5D047E104}" srcOrd="1" destOrd="0" presId="urn:microsoft.com/office/officeart/2005/8/layout/orgChart1"/>
    <dgm:cxn modelId="{DDB88F06-AAFB-4D82-9178-C09DBF139064}" type="presParOf" srcId="{33919E5A-64E0-4558-AFB6-F7FE82140109}" destId="{9130ACC5-6E56-41D8-827C-A60FB1A38FD2}" srcOrd="1" destOrd="0" presId="urn:microsoft.com/office/officeart/2005/8/layout/orgChart1"/>
    <dgm:cxn modelId="{80C326F1-98D2-45D4-9804-32B63C08EDC1}" type="presParOf" srcId="{33919E5A-64E0-4558-AFB6-F7FE82140109}" destId="{A6610C96-BFFD-485C-B7B9-25512849E48A}" srcOrd="2" destOrd="0" presId="urn:microsoft.com/office/officeart/2005/8/layout/orgChart1"/>
    <dgm:cxn modelId="{9CE2FB24-A73D-452D-9960-C744D3E996F5}" type="presParOf" srcId="{1CB10650-1AD6-4098-B401-99FD8757DA13}" destId="{DF8E606A-4D9D-4120-8375-2850ECB8F45C}" srcOrd="4" destOrd="0" presId="urn:microsoft.com/office/officeart/2005/8/layout/orgChart1"/>
    <dgm:cxn modelId="{29EF8CF9-EF7B-4483-9EB6-14ED8D790D82}" type="presParOf" srcId="{1CB10650-1AD6-4098-B401-99FD8757DA13}" destId="{2C015BC8-E1C4-4400-B476-0776BFB7AF22}" srcOrd="5" destOrd="0" presId="urn:microsoft.com/office/officeart/2005/8/layout/orgChart1"/>
    <dgm:cxn modelId="{0E3A2FAC-23BF-4A0A-BB9D-8AC87FEC5B27}" type="presParOf" srcId="{2C015BC8-E1C4-4400-B476-0776BFB7AF22}" destId="{251233E0-BE95-4EC7-94E1-3E2A49A71778}" srcOrd="0" destOrd="0" presId="urn:microsoft.com/office/officeart/2005/8/layout/orgChart1"/>
    <dgm:cxn modelId="{EA97305E-2E96-41E6-8BA7-9D93C031B2C5}" type="presParOf" srcId="{251233E0-BE95-4EC7-94E1-3E2A49A71778}" destId="{1D828269-77E2-4F01-A00D-ED44A585EB4F}" srcOrd="0" destOrd="0" presId="urn:microsoft.com/office/officeart/2005/8/layout/orgChart1"/>
    <dgm:cxn modelId="{E949BB57-CCD5-4626-9998-6CBD33FB5E51}" type="presParOf" srcId="{251233E0-BE95-4EC7-94E1-3E2A49A71778}" destId="{1962B015-1F51-48D6-8411-FEC47A7E1D8B}" srcOrd="1" destOrd="0" presId="urn:microsoft.com/office/officeart/2005/8/layout/orgChart1"/>
    <dgm:cxn modelId="{E8E3E916-15C0-40BA-B4FE-2BA27C02BF24}" type="presParOf" srcId="{2C015BC8-E1C4-4400-B476-0776BFB7AF22}" destId="{DC99863D-DE85-4C6F-B1A2-6FA962245E22}" srcOrd="1" destOrd="0" presId="urn:microsoft.com/office/officeart/2005/8/layout/orgChart1"/>
    <dgm:cxn modelId="{2E1D897F-D5A4-49AE-A1F5-A587B92DDADC}" type="presParOf" srcId="{2C015BC8-E1C4-4400-B476-0776BFB7AF22}" destId="{F186A4B2-FEA8-4621-80C2-B079A2056F1F}" srcOrd="2" destOrd="0" presId="urn:microsoft.com/office/officeart/2005/8/layout/orgChart1"/>
    <dgm:cxn modelId="{2D59CC73-2DEB-42B8-87CC-B585D4AF168C}" type="presParOf" srcId="{CEDE25A8-AE74-4FDE-8D39-B6889B64B3E1}" destId="{59DA4878-1FAF-44A5-BEC5-A077F1B473D2}" srcOrd="2" destOrd="0" presId="urn:microsoft.com/office/officeart/2005/8/layout/orgChart1"/>
    <dgm:cxn modelId="{0CF6EB11-3908-4C6A-81E0-7B5F8AEC2138}" type="presParOf" srcId="{01AA2C75-243D-4C7F-BBFA-6359EC87F314}" destId="{CF9E67A9-D60A-429A-92EF-031DD07BDC39}" srcOrd="8" destOrd="0" presId="urn:microsoft.com/office/officeart/2005/8/layout/orgChart1"/>
    <dgm:cxn modelId="{E4AF14BE-4871-4576-920A-1FA762564EB4}" type="presParOf" srcId="{01AA2C75-243D-4C7F-BBFA-6359EC87F314}" destId="{6759081B-11EB-49DA-A485-6E52D50C22F5}" srcOrd="9" destOrd="0" presId="urn:microsoft.com/office/officeart/2005/8/layout/orgChart1"/>
    <dgm:cxn modelId="{6B53B586-AEA7-49AC-879A-5E25482F7674}" type="presParOf" srcId="{6759081B-11EB-49DA-A485-6E52D50C22F5}" destId="{91DA547E-BA5A-4009-A830-F65AE658A89C}" srcOrd="0" destOrd="0" presId="urn:microsoft.com/office/officeart/2005/8/layout/orgChart1"/>
    <dgm:cxn modelId="{AE5686B2-FD08-417B-8AB5-88F75D473CC8}" type="presParOf" srcId="{91DA547E-BA5A-4009-A830-F65AE658A89C}" destId="{6D8071D3-0339-4219-B52B-DCBF36CFBDEE}" srcOrd="0" destOrd="0" presId="urn:microsoft.com/office/officeart/2005/8/layout/orgChart1"/>
    <dgm:cxn modelId="{A7321377-0F44-4598-AEA9-414D523B89FF}" type="presParOf" srcId="{91DA547E-BA5A-4009-A830-F65AE658A89C}" destId="{02088AF3-F512-48C7-80FC-8576C14E1434}" srcOrd="1" destOrd="0" presId="urn:microsoft.com/office/officeart/2005/8/layout/orgChart1"/>
    <dgm:cxn modelId="{5248ADB1-5252-48F5-A49E-2AE55A7F2FA7}" type="presParOf" srcId="{6759081B-11EB-49DA-A485-6E52D50C22F5}" destId="{B7022F51-E380-47A1-8C0D-B87F8E145742}" srcOrd="1" destOrd="0" presId="urn:microsoft.com/office/officeart/2005/8/layout/orgChart1"/>
    <dgm:cxn modelId="{17F73DBA-22EB-453F-9FCE-B5D452484BA3}" type="presParOf" srcId="{B7022F51-E380-47A1-8C0D-B87F8E145742}" destId="{1EC61466-5166-468D-9CA1-0CE2AEACC3BE}" srcOrd="0" destOrd="0" presId="urn:microsoft.com/office/officeart/2005/8/layout/orgChart1"/>
    <dgm:cxn modelId="{804B4F1A-0BC8-4BE1-AC1B-0F20FB4DCDBF}" type="presParOf" srcId="{B7022F51-E380-47A1-8C0D-B87F8E145742}" destId="{FABD3AF8-F10C-4491-A0E3-33ED9AE812BF}" srcOrd="1" destOrd="0" presId="urn:microsoft.com/office/officeart/2005/8/layout/orgChart1"/>
    <dgm:cxn modelId="{D199D654-AE73-4197-B8FD-F9EED218E339}" type="presParOf" srcId="{FABD3AF8-F10C-4491-A0E3-33ED9AE812BF}" destId="{0AC1FFA9-BF11-40F7-9ADD-D39C4465CBA0}" srcOrd="0" destOrd="0" presId="urn:microsoft.com/office/officeart/2005/8/layout/orgChart1"/>
    <dgm:cxn modelId="{CD58DFCA-61D2-4770-AB0B-F9CC441EC3BB}" type="presParOf" srcId="{0AC1FFA9-BF11-40F7-9ADD-D39C4465CBA0}" destId="{55073FAF-51A3-43BF-9370-E1F8E59948AC}" srcOrd="0" destOrd="0" presId="urn:microsoft.com/office/officeart/2005/8/layout/orgChart1"/>
    <dgm:cxn modelId="{CA22F38C-6BC3-44F7-A05C-2FC1A2D0A7EB}" type="presParOf" srcId="{0AC1FFA9-BF11-40F7-9ADD-D39C4465CBA0}" destId="{12C41206-932A-4AC5-899F-65168C0D7D9B}" srcOrd="1" destOrd="0" presId="urn:microsoft.com/office/officeart/2005/8/layout/orgChart1"/>
    <dgm:cxn modelId="{A23315B1-9E6C-4D2E-A941-518A8ACAF3EC}" type="presParOf" srcId="{FABD3AF8-F10C-4491-A0E3-33ED9AE812BF}" destId="{018019CD-8584-4C21-8D10-762C5011C723}" srcOrd="1" destOrd="0" presId="urn:microsoft.com/office/officeart/2005/8/layout/orgChart1"/>
    <dgm:cxn modelId="{7E0419E4-FB5C-4682-BFC9-5138E922D6B4}" type="presParOf" srcId="{FABD3AF8-F10C-4491-A0E3-33ED9AE812BF}" destId="{15E7DCDF-51AD-4882-A33E-537E4924C461}" srcOrd="2" destOrd="0" presId="urn:microsoft.com/office/officeart/2005/8/layout/orgChart1"/>
    <dgm:cxn modelId="{49287E21-815E-4F86-B73F-9D1E2B6BFF73}" type="presParOf" srcId="{B7022F51-E380-47A1-8C0D-B87F8E145742}" destId="{CC875EDB-B730-407F-B108-9AEAE929C299}" srcOrd="2" destOrd="0" presId="urn:microsoft.com/office/officeart/2005/8/layout/orgChart1"/>
    <dgm:cxn modelId="{CFD7B00C-0535-4746-94E4-C03B8D8AA688}" type="presParOf" srcId="{B7022F51-E380-47A1-8C0D-B87F8E145742}" destId="{C3B60728-295B-4B4C-9E15-11EA52152F82}" srcOrd="3" destOrd="0" presId="urn:microsoft.com/office/officeart/2005/8/layout/orgChart1"/>
    <dgm:cxn modelId="{7C73127D-AE39-47BF-943F-6B22CE7D4797}" type="presParOf" srcId="{C3B60728-295B-4B4C-9E15-11EA52152F82}" destId="{558FAB20-70F2-4B8E-9220-3B854EC1247C}" srcOrd="0" destOrd="0" presId="urn:microsoft.com/office/officeart/2005/8/layout/orgChart1"/>
    <dgm:cxn modelId="{0DE160EF-05EA-4D9E-9714-B0B25473ADAA}" type="presParOf" srcId="{558FAB20-70F2-4B8E-9220-3B854EC1247C}" destId="{69B1C8D4-6433-4B8C-BB50-8C1500FAF2A1}" srcOrd="0" destOrd="0" presId="urn:microsoft.com/office/officeart/2005/8/layout/orgChart1"/>
    <dgm:cxn modelId="{E789F336-2C4F-464A-800B-F6C633F51B17}" type="presParOf" srcId="{558FAB20-70F2-4B8E-9220-3B854EC1247C}" destId="{D10849F8-6374-47D0-A2EB-E9F505C6AA90}" srcOrd="1" destOrd="0" presId="urn:microsoft.com/office/officeart/2005/8/layout/orgChart1"/>
    <dgm:cxn modelId="{17D4B351-ACD4-4233-A58B-A7E8D3EDD33D}" type="presParOf" srcId="{C3B60728-295B-4B4C-9E15-11EA52152F82}" destId="{C3A10715-5F6B-4FB1-9641-D043D1FBB142}" srcOrd="1" destOrd="0" presId="urn:microsoft.com/office/officeart/2005/8/layout/orgChart1"/>
    <dgm:cxn modelId="{C7159591-5DDC-4469-B760-576F26A72A34}" type="presParOf" srcId="{C3B60728-295B-4B4C-9E15-11EA52152F82}" destId="{69958D6D-1A7E-4EB8-ADCF-EFE3C4BEE71A}" srcOrd="2" destOrd="0" presId="urn:microsoft.com/office/officeart/2005/8/layout/orgChart1"/>
    <dgm:cxn modelId="{DB4BC2C5-4EF4-4B96-AFC2-F595FD14D9AF}" type="presParOf" srcId="{B7022F51-E380-47A1-8C0D-B87F8E145742}" destId="{39D3930B-EEE2-4899-9B97-F09B8C2AEA34}" srcOrd="4" destOrd="0" presId="urn:microsoft.com/office/officeart/2005/8/layout/orgChart1"/>
    <dgm:cxn modelId="{32FA95EB-57F1-4CAD-97A4-16791C154856}" type="presParOf" srcId="{B7022F51-E380-47A1-8C0D-B87F8E145742}" destId="{8FA12EF5-52E8-4F5B-BFFF-4DAA68FF8014}" srcOrd="5" destOrd="0" presId="urn:microsoft.com/office/officeart/2005/8/layout/orgChart1"/>
    <dgm:cxn modelId="{227EC9BE-12D3-439B-BD95-BB6081CEA705}" type="presParOf" srcId="{8FA12EF5-52E8-4F5B-BFFF-4DAA68FF8014}" destId="{5B050196-6C69-40B6-AD1C-4573D3E112EC}" srcOrd="0" destOrd="0" presId="urn:microsoft.com/office/officeart/2005/8/layout/orgChart1"/>
    <dgm:cxn modelId="{3C06B3FF-B056-4EEB-AD3C-70C8811C6E0F}" type="presParOf" srcId="{5B050196-6C69-40B6-AD1C-4573D3E112EC}" destId="{E5650426-266D-43A1-93A4-435AA193D1F7}" srcOrd="0" destOrd="0" presId="urn:microsoft.com/office/officeart/2005/8/layout/orgChart1"/>
    <dgm:cxn modelId="{1EBF4F12-65D7-4A36-8295-78DEFAA4977D}" type="presParOf" srcId="{5B050196-6C69-40B6-AD1C-4573D3E112EC}" destId="{8412660B-1411-49E1-974F-DF5D4E111A8A}" srcOrd="1" destOrd="0" presId="urn:microsoft.com/office/officeart/2005/8/layout/orgChart1"/>
    <dgm:cxn modelId="{BC174007-6FD9-4F1A-B97A-C536E29D965A}" type="presParOf" srcId="{8FA12EF5-52E8-4F5B-BFFF-4DAA68FF8014}" destId="{CA9A71C1-7266-4544-A702-B48B5752D3C6}" srcOrd="1" destOrd="0" presId="urn:microsoft.com/office/officeart/2005/8/layout/orgChart1"/>
    <dgm:cxn modelId="{4E1E7A6E-1F88-47D8-B9EF-E966BA24F764}" type="presParOf" srcId="{8FA12EF5-52E8-4F5B-BFFF-4DAA68FF8014}" destId="{46ADAD73-8BFB-4A99-8FE2-412CFCDDEDF5}" srcOrd="2" destOrd="0" presId="urn:microsoft.com/office/officeart/2005/8/layout/orgChart1"/>
    <dgm:cxn modelId="{0D03BEB7-5688-468C-8AFA-36A306498B7C}" type="presParOf" srcId="{B7022F51-E380-47A1-8C0D-B87F8E145742}" destId="{5A6F3DAC-68E9-499B-BA1C-43CC1BD3BF3F}" srcOrd="6" destOrd="0" presId="urn:microsoft.com/office/officeart/2005/8/layout/orgChart1"/>
    <dgm:cxn modelId="{1FA3AF6E-CC05-49B2-97A3-75C4C93A64C8}" type="presParOf" srcId="{B7022F51-E380-47A1-8C0D-B87F8E145742}" destId="{BAF7F439-AD6D-4BAE-9973-ED86BB84ACB4}" srcOrd="7" destOrd="0" presId="urn:microsoft.com/office/officeart/2005/8/layout/orgChart1"/>
    <dgm:cxn modelId="{1B34DC40-3FF7-45E8-A6B8-7E0C7009C015}" type="presParOf" srcId="{BAF7F439-AD6D-4BAE-9973-ED86BB84ACB4}" destId="{69DFA7E2-5811-49F9-8697-2824FC0E04E0}" srcOrd="0" destOrd="0" presId="urn:microsoft.com/office/officeart/2005/8/layout/orgChart1"/>
    <dgm:cxn modelId="{0150D1EF-9480-4FDC-BE2E-526BB2707C99}" type="presParOf" srcId="{69DFA7E2-5811-49F9-8697-2824FC0E04E0}" destId="{4BF30054-F5CE-461C-B9C9-6978CFDE49C7}" srcOrd="0" destOrd="0" presId="urn:microsoft.com/office/officeart/2005/8/layout/orgChart1"/>
    <dgm:cxn modelId="{E23F1AE5-E410-4D0D-A085-18464B942CBC}" type="presParOf" srcId="{69DFA7E2-5811-49F9-8697-2824FC0E04E0}" destId="{C785324F-39D0-4BBC-AFBF-DAB0B22FAB90}" srcOrd="1" destOrd="0" presId="urn:microsoft.com/office/officeart/2005/8/layout/orgChart1"/>
    <dgm:cxn modelId="{2166000C-47AC-44AA-BBB1-2B4DEE0D9BA0}" type="presParOf" srcId="{BAF7F439-AD6D-4BAE-9973-ED86BB84ACB4}" destId="{069B5532-9135-4999-AC44-4E90CB5672F7}" srcOrd="1" destOrd="0" presId="urn:microsoft.com/office/officeart/2005/8/layout/orgChart1"/>
    <dgm:cxn modelId="{20EB8A2A-E643-4D1D-8833-A229E4A3EFFE}" type="presParOf" srcId="{BAF7F439-AD6D-4BAE-9973-ED86BB84ACB4}" destId="{BEC63265-9C59-43CD-92ED-EDE2512B8A21}" srcOrd="2" destOrd="0" presId="urn:microsoft.com/office/officeart/2005/8/layout/orgChart1"/>
    <dgm:cxn modelId="{252A65EA-DA26-4B4F-B20D-354B259E7367}" type="presParOf" srcId="{B7022F51-E380-47A1-8C0D-B87F8E145742}" destId="{325FDC3C-B16A-41B7-B1F8-6B51D306DC49}" srcOrd="8" destOrd="0" presId="urn:microsoft.com/office/officeart/2005/8/layout/orgChart1"/>
    <dgm:cxn modelId="{078ED84E-1552-4322-A1E7-09BF588EF143}" type="presParOf" srcId="{B7022F51-E380-47A1-8C0D-B87F8E145742}" destId="{E1CF6124-54DB-4B6C-B9A5-17B9370DDF75}" srcOrd="9" destOrd="0" presId="urn:microsoft.com/office/officeart/2005/8/layout/orgChart1"/>
    <dgm:cxn modelId="{B2CA779B-6D77-4CC9-A9CE-3AD13A00B2C2}" type="presParOf" srcId="{E1CF6124-54DB-4B6C-B9A5-17B9370DDF75}" destId="{E5263A38-EC4D-4BEB-BC90-1E9F60FB2066}" srcOrd="0" destOrd="0" presId="urn:microsoft.com/office/officeart/2005/8/layout/orgChart1"/>
    <dgm:cxn modelId="{5BCC4D78-CA54-4821-8B3F-A9AC09344840}" type="presParOf" srcId="{E5263A38-EC4D-4BEB-BC90-1E9F60FB2066}" destId="{48BDA1E4-D419-43A6-A067-DFA1F95A57AC}" srcOrd="0" destOrd="0" presId="urn:microsoft.com/office/officeart/2005/8/layout/orgChart1"/>
    <dgm:cxn modelId="{52E8E98F-64FA-4A5E-9954-D0264B6FEBCC}" type="presParOf" srcId="{E5263A38-EC4D-4BEB-BC90-1E9F60FB2066}" destId="{DA5FDC16-B970-45BA-B859-792ACBEFCE00}" srcOrd="1" destOrd="0" presId="urn:microsoft.com/office/officeart/2005/8/layout/orgChart1"/>
    <dgm:cxn modelId="{CB6B604E-4F52-4498-A7D0-7DF3BDED9B51}" type="presParOf" srcId="{E1CF6124-54DB-4B6C-B9A5-17B9370DDF75}" destId="{9D198397-FEC9-4927-BAE0-54FD00910864}" srcOrd="1" destOrd="0" presId="urn:microsoft.com/office/officeart/2005/8/layout/orgChart1"/>
    <dgm:cxn modelId="{6E60C132-059F-4022-9BB0-3A9FECBBA6E9}" type="presParOf" srcId="{E1CF6124-54DB-4B6C-B9A5-17B9370DDF75}" destId="{91F8A091-7B40-4EE4-A12A-7D729F73621C}" srcOrd="2" destOrd="0" presId="urn:microsoft.com/office/officeart/2005/8/layout/orgChart1"/>
    <dgm:cxn modelId="{3B9526BF-4DC0-4FD1-95F8-E1D558E43BC2}" type="presParOf" srcId="{B7022F51-E380-47A1-8C0D-B87F8E145742}" destId="{84A1D15A-65F0-46D7-800D-8BDEA89AB907}" srcOrd="10" destOrd="0" presId="urn:microsoft.com/office/officeart/2005/8/layout/orgChart1"/>
    <dgm:cxn modelId="{3C8D9914-009F-411A-9BC1-F9DA6EE28AAA}" type="presParOf" srcId="{B7022F51-E380-47A1-8C0D-B87F8E145742}" destId="{50A688CE-1DF9-4E9C-9AAA-82672BAA2B86}" srcOrd="11" destOrd="0" presId="urn:microsoft.com/office/officeart/2005/8/layout/orgChart1"/>
    <dgm:cxn modelId="{C0D74DFA-3342-4EEC-90EE-2445E604D37F}" type="presParOf" srcId="{50A688CE-1DF9-4E9C-9AAA-82672BAA2B86}" destId="{0565A0DC-5A72-46E9-B386-7F0A30AF0BD3}" srcOrd="0" destOrd="0" presId="urn:microsoft.com/office/officeart/2005/8/layout/orgChart1"/>
    <dgm:cxn modelId="{B5A2A1DB-215D-4CAF-9AFA-ED96C03C1C59}" type="presParOf" srcId="{0565A0DC-5A72-46E9-B386-7F0A30AF0BD3}" destId="{01C843F1-4675-4E37-A034-470A87AD0F75}" srcOrd="0" destOrd="0" presId="urn:microsoft.com/office/officeart/2005/8/layout/orgChart1"/>
    <dgm:cxn modelId="{BDBEB61E-AFA3-42FC-B79C-E4C68AE98EB5}" type="presParOf" srcId="{0565A0DC-5A72-46E9-B386-7F0A30AF0BD3}" destId="{4D873A80-6470-4629-949E-A5A9EC0134FA}" srcOrd="1" destOrd="0" presId="urn:microsoft.com/office/officeart/2005/8/layout/orgChart1"/>
    <dgm:cxn modelId="{5B79D4F4-258E-4B05-9E4F-587DC4B89D91}" type="presParOf" srcId="{50A688CE-1DF9-4E9C-9AAA-82672BAA2B86}" destId="{D33AA057-0B9C-4E5E-9FA5-221B8CD3A4A0}" srcOrd="1" destOrd="0" presId="urn:microsoft.com/office/officeart/2005/8/layout/orgChart1"/>
    <dgm:cxn modelId="{8980A1E1-990A-4066-BCAD-8AF1D4EDA8E4}" type="presParOf" srcId="{50A688CE-1DF9-4E9C-9AAA-82672BAA2B86}" destId="{354105BB-F634-4FFE-A1FD-2E0E72F66E59}" srcOrd="2" destOrd="0" presId="urn:microsoft.com/office/officeart/2005/8/layout/orgChart1"/>
    <dgm:cxn modelId="{F55C655F-713C-40CC-A3D4-621CF5AA7342}" type="presParOf" srcId="{B7022F51-E380-47A1-8C0D-B87F8E145742}" destId="{97D36E3C-10C8-4FBF-8439-2DD7D72403B9}" srcOrd="12" destOrd="0" presId="urn:microsoft.com/office/officeart/2005/8/layout/orgChart1"/>
    <dgm:cxn modelId="{6C684053-A2CC-43A5-9F12-D4225866A9B6}" type="presParOf" srcId="{B7022F51-E380-47A1-8C0D-B87F8E145742}" destId="{03AC69BB-FD7D-447C-A094-8BCF94B53430}" srcOrd="13" destOrd="0" presId="urn:microsoft.com/office/officeart/2005/8/layout/orgChart1"/>
    <dgm:cxn modelId="{359A96CA-50F7-448F-84B6-4B87380AADD5}" type="presParOf" srcId="{03AC69BB-FD7D-447C-A094-8BCF94B53430}" destId="{37D4B015-E634-4318-8AC4-B1D109451E4C}" srcOrd="0" destOrd="0" presId="urn:microsoft.com/office/officeart/2005/8/layout/orgChart1"/>
    <dgm:cxn modelId="{2B742DB4-31A5-46B9-A0FA-2A6F7F6812B9}" type="presParOf" srcId="{37D4B015-E634-4318-8AC4-B1D109451E4C}" destId="{501DA31C-61A9-4D6C-B842-38E29D053A1A}" srcOrd="0" destOrd="0" presId="urn:microsoft.com/office/officeart/2005/8/layout/orgChart1"/>
    <dgm:cxn modelId="{0D861BD7-F163-4421-A744-F9D6264413A2}" type="presParOf" srcId="{37D4B015-E634-4318-8AC4-B1D109451E4C}" destId="{A01CE084-C309-4E9B-9001-6321447104CA}" srcOrd="1" destOrd="0" presId="urn:microsoft.com/office/officeart/2005/8/layout/orgChart1"/>
    <dgm:cxn modelId="{36A9BB31-B7DA-41AF-81A0-674EA021E256}" type="presParOf" srcId="{03AC69BB-FD7D-447C-A094-8BCF94B53430}" destId="{915B6702-D0D1-4A8E-BB98-A44A908C04C4}" srcOrd="1" destOrd="0" presId="urn:microsoft.com/office/officeart/2005/8/layout/orgChart1"/>
    <dgm:cxn modelId="{57D0CC78-62A9-4A6E-BFB5-4EBA77CA40A9}" type="presParOf" srcId="{03AC69BB-FD7D-447C-A094-8BCF94B53430}" destId="{24DBCEEF-4CC9-42C7-B1FE-92303E6B545C}" srcOrd="2" destOrd="0" presId="urn:microsoft.com/office/officeart/2005/8/layout/orgChart1"/>
    <dgm:cxn modelId="{BFC3C00A-0E77-47CB-A73C-B8F16DC0EF22}" type="presParOf" srcId="{B7022F51-E380-47A1-8C0D-B87F8E145742}" destId="{78C19219-A300-4D8B-B0EC-E75AECC54B37}" srcOrd="14" destOrd="0" presId="urn:microsoft.com/office/officeart/2005/8/layout/orgChart1"/>
    <dgm:cxn modelId="{01CC3235-1803-49C2-BC43-D40416D942E4}" type="presParOf" srcId="{B7022F51-E380-47A1-8C0D-B87F8E145742}" destId="{CB3BFD48-F185-4FD5-8553-B4AAF7E561FF}" srcOrd="15" destOrd="0" presId="urn:microsoft.com/office/officeart/2005/8/layout/orgChart1"/>
    <dgm:cxn modelId="{FE2AF490-F581-4A9B-B585-428D71FE30F7}" type="presParOf" srcId="{CB3BFD48-F185-4FD5-8553-B4AAF7E561FF}" destId="{B1B2FD49-6041-4B94-A383-F586277F576E}" srcOrd="0" destOrd="0" presId="urn:microsoft.com/office/officeart/2005/8/layout/orgChart1"/>
    <dgm:cxn modelId="{43903F63-2BFF-45DA-A864-0B87A9A052A5}" type="presParOf" srcId="{B1B2FD49-6041-4B94-A383-F586277F576E}" destId="{5C518B37-AA32-43E6-9CDE-08252A492A62}" srcOrd="0" destOrd="0" presId="urn:microsoft.com/office/officeart/2005/8/layout/orgChart1"/>
    <dgm:cxn modelId="{36711857-A788-4517-80B5-3E1032897909}" type="presParOf" srcId="{B1B2FD49-6041-4B94-A383-F586277F576E}" destId="{398B73A1-FA88-4B27-A0CC-7C6C63000987}" srcOrd="1" destOrd="0" presId="urn:microsoft.com/office/officeart/2005/8/layout/orgChart1"/>
    <dgm:cxn modelId="{C352D3AF-6112-467A-89B8-67645ADD0AB4}" type="presParOf" srcId="{CB3BFD48-F185-4FD5-8553-B4AAF7E561FF}" destId="{ABC29B9C-29E7-4077-BC38-84492A802C24}" srcOrd="1" destOrd="0" presId="urn:microsoft.com/office/officeart/2005/8/layout/orgChart1"/>
    <dgm:cxn modelId="{45D17B82-A537-4704-A2C8-2C75F12584DB}" type="presParOf" srcId="{CB3BFD48-F185-4FD5-8553-B4AAF7E561FF}" destId="{4D9F76A7-1630-462D-88C8-CDA58394DA41}" srcOrd="2" destOrd="0" presId="urn:microsoft.com/office/officeart/2005/8/layout/orgChart1"/>
    <dgm:cxn modelId="{954EBCFC-E30D-4C04-83DB-8899A5E036CB}" type="presParOf" srcId="{B7022F51-E380-47A1-8C0D-B87F8E145742}" destId="{BCEEB34D-8DE2-4805-A3CA-0EB9844EE11F}" srcOrd="16" destOrd="0" presId="urn:microsoft.com/office/officeart/2005/8/layout/orgChart1"/>
    <dgm:cxn modelId="{84932BE3-387B-43BC-A284-49197BD8EBA9}" type="presParOf" srcId="{B7022F51-E380-47A1-8C0D-B87F8E145742}" destId="{C996DE88-C583-41BA-8DED-07FFCD619C41}" srcOrd="17" destOrd="0" presId="urn:microsoft.com/office/officeart/2005/8/layout/orgChart1"/>
    <dgm:cxn modelId="{C291616C-CBF4-48CD-9AFB-A19044022D8D}" type="presParOf" srcId="{C996DE88-C583-41BA-8DED-07FFCD619C41}" destId="{CE6A6C52-ACC7-4257-8328-3ACEB156720B}" srcOrd="0" destOrd="0" presId="urn:microsoft.com/office/officeart/2005/8/layout/orgChart1"/>
    <dgm:cxn modelId="{5264C3DA-44B5-474B-A116-479EE1E43848}" type="presParOf" srcId="{CE6A6C52-ACC7-4257-8328-3ACEB156720B}" destId="{8CD4EA47-E488-43D6-AD60-BF3DBB0AEC71}" srcOrd="0" destOrd="0" presId="urn:microsoft.com/office/officeart/2005/8/layout/orgChart1"/>
    <dgm:cxn modelId="{EEA8D147-3227-414B-B170-D7764542C6C2}" type="presParOf" srcId="{CE6A6C52-ACC7-4257-8328-3ACEB156720B}" destId="{C07EECB9-991B-4848-85F0-9D319CDE7CA9}" srcOrd="1" destOrd="0" presId="urn:microsoft.com/office/officeart/2005/8/layout/orgChart1"/>
    <dgm:cxn modelId="{301F6874-A0C1-4E80-8EF3-4EA2E86394CE}" type="presParOf" srcId="{C996DE88-C583-41BA-8DED-07FFCD619C41}" destId="{BB8368E3-F9F7-4112-9424-8D9608285A23}" srcOrd="1" destOrd="0" presId="urn:microsoft.com/office/officeart/2005/8/layout/orgChart1"/>
    <dgm:cxn modelId="{628E1AC8-8EFF-4F80-99FB-460E9F72675E}" type="presParOf" srcId="{C996DE88-C583-41BA-8DED-07FFCD619C41}" destId="{5AD6B379-0F12-4FBD-A07B-FB7D11711977}" srcOrd="2" destOrd="0" presId="urn:microsoft.com/office/officeart/2005/8/layout/orgChart1"/>
    <dgm:cxn modelId="{3DCD2084-09E0-4837-BD52-1A60495FA713}" type="presParOf" srcId="{6759081B-11EB-49DA-A485-6E52D50C22F5}" destId="{DB17A3DA-B1F6-41AC-A4F6-9A3DDDF60849}" srcOrd="2" destOrd="0" presId="urn:microsoft.com/office/officeart/2005/8/layout/orgChart1"/>
    <dgm:cxn modelId="{7C634BE9-76AD-45CF-97D3-15663E81B93D}" type="presParOf" srcId="{01AA2C75-243D-4C7F-BBFA-6359EC87F314}" destId="{D91C4916-32F5-4852-8203-922EF878727C}" srcOrd="10" destOrd="0" presId="urn:microsoft.com/office/officeart/2005/8/layout/orgChart1"/>
    <dgm:cxn modelId="{9297A3F6-6441-4697-9ED8-6DD1F9D44285}" type="presParOf" srcId="{01AA2C75-243D-4C7F-BBFA-6359EC87F314}" destId="{7F972F79-32B3-4D3C-A798-2B709D619584}" srcOrd="11" destOrd="0" presId="urn:microsoft.com/office/officeart/2005/8/layout/orgChart1"/>
    <dgm:cxn modelId="{C80392FB-4D0E-48DB-9FA3-F3DBA274B233}" type="presParOf" srcId="{7F972F79-32B3-4D3C-A798-2B709D619584}" destId="{1EF73F43-F905-4A50-B2CD-C436756CBC5C}" srcOrd="0" destOrd="0" presId="urn:microsoft.com/office/officeart/2005/8/layout/orgChart1"/>
    <dgm:cxn modelId="{9A8D8678-5861-43BD-B341-246747E65909}" type="presParOf" srcId="{1EF73F43-F905-4A50-B2CD-C436756CBC5C}" destId="{406DEF9E-F34C-4C96-AB30-8E603A4E9CA0}" srcOrd="0" destOrd="0" presId="urn:microsoft.com/office/officeart/2005/8/layout/orgChart1"/>
    <dgm:cxn modelId="{1A17D3A2-3823-465D-9AA4-C7DBDC9AAF85}" type="presParOf" srcId="{1EF73F43-F905-4A50-B2CD-C436756CBC5C}" destId="{11C581BB-FC03-4E7B-8CCB-4D829E1EC66B}" srcOrd="1" destOrd="0" presId="urn:microsoft.com/office/officeart/2005/8/layout/orgChart1"/>
    <dgm:cxn modelId="{64342840-3057-4DC0-920B-5C081364AA12}" type="presParOf" srcId="{7F972F79-32B3-4D3C-A798-2B709D619584}" destId="{BAA0E415-D75A-42E5-BFB0-53D09ACE94A4}" srcOrd="1" destOrd="0" presId="urn:microsoft.com/office/officeart/2005/8/layout/orgChart1"/>
    <dgm:cxn modelId="{4F55D6CE-12B0-4678-B7A9-8A2CA3835B69}" type="presParOf" srcId="{BAA0E415-D75A-42E5-BFB0-53D09ACE94A4}" destId="{759E251E-4B3E-4755-A4B2-5C9B448F2AA6}" srcOrd="0" destOrd="0" presId="urn:microsoft.com/office/officeart/2005/8/layout/orgChart1"/>
    <dgm:cxn modelId="{A1A872B1-10BE-4F7B-8CDF-2E331A30FF98}" type="presParOf" srcId="{BAA0E415-D75A-42E5-BFB0-53D09ACE94A4}" destId="{4D8A4207-6571-48BA-B9D1-0A360D562D16}" srcOrd="1" destOrd="0" presId="urn:microsoft.com/office/officeart/2005/8/layout/orgChart1"/>
    <dgm:cxn modelId="{FF89C4D7-8D9C-4D4F-8243-ADF6BAB60798}" type="presParOf" srcId="{4D8A4207-6571-48BA-B9D1-0A360D562D16}" destId="{D62F015C-0E60-42AF-8B22-04812C0A2EC8}" srcOrd="0" destOrd="0" presId="urn:microsoft.com/office/officeart/2005/8/layout/orgChart1"/>
    <dgm:cxn modelId="{01AAF8F8-0604-4D24-8C39-37BF163F9F47}" type="presParOf" srcId="{D62F015C-0E60-42AF-8B22-04812C0A2EC8}" destId="{8337F5DA-DB66-4D2A-A2C8-34779C89F8E1}" srcOrd="0" destOrd="0" presId="urn:microsoft.com/office/officeart/2005/8/layout/orgChart1"/>
    <dgm:cxn modelId="{8163753A-E80A-438F-94EF-28176B72E06C}" type="presParOf" srcId="{D62F015C-0E60-42AF-8B22-04812C0A2EC8}" destId="{A1246F8B-53C5-46D9-808E-9850665E6C6E}" srcOrd="1" destOrd="0" presId="urn:microsoft.com/office/officeart/2005/8/layout/orgChart1"/>
    <dgm:cxn modelId="{A772A6B4-5838-4B64-8B38-53C48089EF58}" type="presParOf" srcId="{4D8A4207-6571-48BA-B9D1-0A360D562D16}" destId="{43F4793A-D6EA-4BE3-928F-52A60629F468}" srcOrd="1" destOrd="0" presId="urn:microsoft.com/office/officeart/2005/8/layout/orgChart1"/>
    <dgm:cxn modelId="{4887B794-9A42-477F-8F81-116EAB3EF0D6}" type="presParOf" srcId="{4D8A4207-6571-48BA-B9D1-0A360D562D16}" destId="{7674E79B-18B1-4C07-974D-36422A3610C2}" srcOrd="2" destOrd="0" presId="urn:microsoft.com/office/officeart/2005/8/layout/orgChart1"/>
    <dgm:cxn modelId="{F83C6DC9-EDAB-48AD-A123-054CB0CA2015}" type="presParOf" srcId="{7F972F79-32B3-4D3C-A798-2B709D619584}" destId="{8E7DF865-D580-48D4-B451-B37260A6D0F1}" srcOrd="2" destOrd="0" presId="urn:microsoft.com/office/officeart/2005/8/layout/orgChart1"/>
    <dgm:cxn modelId="{D19C3DB9-4D5D-4667-8CE6-B3D8BC2AFD2F}" type="presParOf" srcId="{01AA2C75-243D-4C7F-BBFA-6359EC87F314}" destId="{04D2B2A8-069E-4497-BB0D-4726B2798060}" srcOrd="12" destOrd="0" presId="urn:microsoft.com/office/officeart/2005/8/layout/orgChart1"/>
    <dgm:cxn modelId="{2E8BA309-E1FE-43B6-B5B5-FEE29A5F5541}" type="presParOf" srcId="{01AA2C75-243D-4C7F-BBFA-6359EC87F314}" destId="{9F079D16-B3F1-4163-8F9B-937E6F6AA6C2}" srcOrd="13" destOrd="0" presId="urn:microsoft.com/office/officeart/2005/8/layout/orgChart1"/>
    <dgm:cxn modelId="{FAF8F71F-20CA-43FA-9435-F3A417ABAC60}" type="presParOf" srcId="{9F079D16-B3F1-4163-8F9B-937E6F6AA6C2}" destId="{9D625C64-6966-4AAE-9B5E-F1A3ED03C370}" srcOrd="0" destOrd="0" presId="urn:microsoft.com/office/officeart/2005/8/layout/orgChart1"/>
    <dgm:cxn modelId="{DC8B3E77-42DC-463F-A1AD-057659C5AB18}" type="presParOf" srcId="{9D625C64-6966-4AAE-9B5E-F1A3ED03C370}" destId="{D640E73A-9339-426E-84AA-3EE56780CE32}" srcOrd="0" destOrd="0" presId="urn:microsoft.com/office/officeart/2005/8/layout/orgChart1"/>
    <dgm:cxn modelId="{EC1D1DAE-8793-4A5F-AF2B-8CF45EF5F669}" type="presParOf" srcId="{9D625C64-6966-4AAE-9B5E-F1A3ED03C370}" destId="{9DB74EF9-5B1F-4192-905A-46F9CA290EE0}" srcOrd="1" destOrd="0" presId="urn:microsoft.com/office/officeart/2005/8/layout/orgChart1"/>
    <dgm:cxn modelId="{5382200E-C074-4F80-BB24-BA845C267593}" type="presParOf" srcId="{9F079D16-B3F1-4163-8F9B-937E6F6AA6C2}" destId="{68690C76-0B8E-462D-81CA-79C92CFC7C82}" srcOrd="1" destOrd="0" presId="urn:microsoft.com/office/officeart/2005/8/layout/orgChart1"/>
    <dgm:cxn modelId="{245A2810-B0FC-4C03-9AB8-143428D42D56}" type="presParOf" srcId="{9F079D16-B3F1-4163-8F9B-937E6F6AA6C2}" destId="{672FDFA4-E065-4E12-B2C4-C7CECEF6D867}" srcOrd="2" destOrd="0" presId="urn:microsoft.com/office/officeart/2005/8/layout/orgChart1"/>
    <dgm:cxn modelId="{D66D2D06-A436-422E-B576-550E35686BF9}" type="presParOf" srcId="{D51B8D60-AECC-49EA-A826-127A13605B63}" destId="{DB8384C8-13CD-43A4-AFAE-A479300E4000}" srcOrd="2" destOrd="0" presId="urn:microsoft.com/office/officeart/2005/8/layout/orgChart1"/>
    <dgm:cxn modelId="{22FB98D7-EB0E-4176-BF59-94FBFCD8B4E0}" type="presParOf" srcId="{DB8384C8-13CD-43A4-AFAE-A479300E4000}" destId="{EC6CFD2E-5B63-4899-B1C0-FBD0719274FE}" srcOrd="0" destOrd="0" presId="urn:microsoft.com/office/officeart/2005/8/layout/orgChart1"/>
    <dgm:cxn modelId="{2D6DC329-25D5-4690-BDF4-3E5897948DFA}" type="presParOf" srcId="{DB8384C8-13CD-43A4-AFAE-A479300E4000}" destId="{645F4608-6C1E-4B39-B83D-9D5FE39DB103}" srcOrd="1" destOrd="0" presId="urn:microsoft.com/office/officeart/2005/8/layout/orgChart1"/>
    <dgm:cxn modelId="{D0777A03-0C3F-4682-AE5B-FBCA8FEAC6F3}" type="presParOf" srcId="{645F4608-6C1E-4B39-B83D-9D5FE39DB103}" destId="{F4A088C8-16F3-4F3A-805F-221E5F3979F6}" srcOrd="0" destOrd="0" presId="urn:microsoft.com/office/officeart/2005/8/layout/orgChart1"/>
    <dgm:cxn modelId="{C0137538-A723-4DBC-9C81-FB953093CBD4}" type="presParOf" srcId="{F4A088C8-16F3-4F3A-805F-221E5F3979F6}" destId="{185DE16D-898A-40C6-B71E-FD16B256A583}" srcOrd="0" destOrd="0" presId="urn:microsoft.com/office/officeart/2005/8/layout/orgChart1"/>
    <dgm:cxn modelId="{165484C9-9E03-497E-AD87-988EF9B9BE01}" type="presParOf" srcId="{F4A088C8-16F3-4F3A-805F-221E5F3979F6}" destId="{A22F2E9B-16CE-4387-9236-5A4D420FB8C2}" srcOrd="1" destOrd="0" presId="urn:microsoft.com/office/officeart/2005/8/layout/orgChart1"/>
    <dgm:cxn modelId="{A1F90940-A2EA-4C0F-8B2D-EA008A98159A}" type="presParOf" srcId="{645F4608-6C1E-4B39-B83D-9D5FE39DB103}" destId="{DC8F5426-4D81-49B3-A1B5-E60176EBB911}" srcOrd="1" destOrd="0" presId="urn:microsoft.com/office/officeart/2005/8/layout/orgChart1"/>
    <dgm:cxn modelId="{394455F3-0A69-42BE-968F-37B5ACAE6796}" type="presParOf" srcId="{645F4608-6C1E-4B39-B83D-9D5FE39DB103}" destId="{41F08C48-7C04-4C25-9E9B-5E5DB96EBB2B}" srcOrd="2" destOrd="0" presId="urn:microsoft.com/office/officeart/2005/8/layout/orgChart1"/>
    <dgm:cxn modelId="{F523CA84-7E7C-48F4-A6FB-610F181936E1}" type="presParOf" srcId="{DB8384C8-13CD-43A4-AFAE-A479300E4000}" destId="{BBFF6522-7B5E-4E76-B1D1-D5C277AE0738}" srcOrd="2" destOrd="0" presId="urn:microsoft.com/office/officeart/2005/8/layout/orgChart1"/>
    <dgm:cxn modelId="{FAED6CDD-15EE-4ADA-BE58-1A251A14400D}" type="presParOf" srcId="{DB8384C8-13CD-43A4-AFAE-A479300E4000}" destId="{08CA0323-2977-431C-9823-56791B29C356}" srcOrd="3" destOrd="0" presId="urn:microsoft.com/office/officeart/2005/8/layout/orgChart1"/>
    <dgm:cxn modelId="{524380C0-4857-4F7C-B192-3B3B56623333}" type="presParOf" srcId="{08CA0323-2977-431C-9823-56791B29C356}" destId="{57762F02-C3D7-4C34-87F8-5CF1CD203BEA}" srcOrd="0" destOrd="0" presId="urn:microsoft.com/office/officeart/2005/8/layout/orgChart1"/>
    <dgm:cxn modelId="{C1AE950B-BDF0-4931-B83D-76E6CF12AF94}" type="presParOf" srcId="{57762F02-C3D7-4C34-87F8-5CF1CD203BEA}" destId="{A9A7E80C-48FE-49F7-B329-7022299932DE}" srcOrd="0" destOrd="0" presId="urn:microsoft.com/office/officeart/2005/8/layout/orgChart1"/>
    <dgm:cxn modelId="{7D8CCFAB-B904-4AF7-95B7-B81F763AFB81}" type="presParOf" srcId="{57762F02-C3D7-4C34-87F8-5CF1CD203BEA}" destId="{A789F2E0-D07C-4E23-B847-490EBDB22B77}" srcOrd="1" destOrd="0" presId="urn:microsoft.com/office/officeart/2005/8/layout/orgChart1"/>
    <dgm:cxn modelId="{B9F84FFE-8333-4D7E-AB0D-F8B38CA1F36D}" type="presParOf" srcId="{08CA0323-2977-431C-9823-56791B29C356}" destId="{4A622DD9-E934-416D-887C-16CD96E8E154}" srcOrd="1" destOrd="0" presId="urn:microsoft.com/office/officeart/2005/8/layout/orgChart1"/>
    <dgm:cxn modelId="{DC2AA901-4BA3-4B1F-9DE3-71DCF2F7B431}" type="presParOf" srcId="{08CA0323-2977-431C-9823-56791B29C356}" destId="{2F6E21EA-0430-459F-B347-68916A47ED18}" srcOrd="2" destOrd="0" presId="urn:microsoft.com/office/officeart/2005/8/layout/orgChart1"/>
    <dgm:cxn modelId="{7912660A-F485-47EB-98D3-B9A94303E8BB}" type="presParOf" srcId="{9E04E95D-832E-47E5-BB9F-94377EB35545}" destId="{6A1F70BB-55FC-429D-87DE-D300DA06CFD5}" srcOrd="2" destOrd="0" presId="urn:microsoft.com/office/officeart/2005/8/layout/orgChart1"/>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01ADFC-252B-425C-9D9D-6131ADFC7621}">
      <dsp:nvSpPr>
        <dsp:cNvPr id="0" name=""/>
        <dsp:cNvSpPr/>
      </dsp:nvSpPr>
      <dsp:spPr>
        <a:xfrm>
          <a:off x="3344525" y="1227075"/>
          <a:ext cx="947965" cy="293018"/>
        </a:xfrm>
        <a:custGeom>
          <a:avLst/>
          <a:gdLst/>
          <a:ahLst/>
          <a:cxnLst/>
          <a:rect l="0" t="0" r="0" b="0"/>
          <a:pathLst>
            <a:path>
              <a:moveTo>
                <a:pt x="947965" y="293018"/>
              </a:moveTo>
              <a:lnTo>
                <a:pt x="0" y="0"/>
              </a:lnTo>
            </a:path>
          </a:pathLst>
        </a:custGeom>
        <a:noFill/>
        <a:ln w="25400" cap="flat" cmpd="sng" algn="ctr">
          <a:no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F68471C-40C5-48D8-B07A-C5E5E41DDF3E}">
      <dsp:nvSpPr>
        <dsp:cNvPr id="0" name=""/>
        <dsp:cNvSpPr/>
      </dsp:nvSpPr>
      <dsp:spPr>
        <a:xfrm>
          <a:off x="3572175" y="399485"/>
          <a:ext cx="158942" cy="889300"/>
        </a:xfrm>
        <a:custGeom>
          <a:avLst/>
          <a:gdLst/>
          <a:ahLst/>
          <a:cxnLst/>
          <a:rect l="0" t="0" r="0" b="0"/>
          <a:pathLst>
            <a:path>
              <a:moveTo>
                <a:pt x="0" y="0"/>
              </a:moveTo>
              <a:lnTo>
                <a:pt x="0" y="889300"/>
              </a:lnTo>
              <a:lnTo>
                <a:pt x="158942" y="889300"/>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CFC7C36-08AF-4389-86AE-F40FBAC3D706}">
      <dsp:nvSpPr>
        <dsp:cNvPr id="0" name=""/>
        <dsp:cNvSpPr/>
      </dsp:nvSpPr>
      <dsp:spPr>
        <a:xfrm>
          <a:off x="3321391" y="399485"/>
          <a:ext cx="250783" cy="295484"/>
        </a:xfrm>
        <a:custGeom>
          <a:avLst/>
          <a:gdLst/>
          <a:ahLst/>
          <a:cxnLst/>
          <a:rect l="0" t="0" r="0" b="0"/>
          <a:pathLst>
            <a:path>
              <a:moveTo>
                <a:pt x="250783" y="0"/>
              </a:moveTo>
              <a:lnTo>
                <a:pt x="250783" y="295484"/>
              </a:lnTo>
              <a:lnTo>
                <a:pt x="0" y="295484"/>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6D060C5-E9F6-452D-85C9-4386FBD8C382}">
      <dsp:nvSpPr>
        <dsp:cNvPr id="0" name=""/>
        <dsp:cNvSpPr/>
      </dsp:nvSpPr>
      <dsp:spPr>
        <a:xfrm>
          <a:off x="5522653" y="2214360"/>
          <a:ext cx="237309" cy="2158063"/>
        </a:xfrm>
        <a:custGeom>
          <a:avLst/>
          <a:gdLst/>
          <a:ahLst/>
          <a:cxnLst/>
          <a:rect l="0" t="0" r="0" b="0"/>
          <a:pathLst>
            <a:path>
              <a:moveTo>
                <a:pt x="0" y="0"/>
              </a:moveTo>
              <a:lnTo>
                <a:pt x="0" y="2158063"/>
              </a:lnTo>
              <a:lnTo>
                <a:pt x="237309" y="215806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433FB7E-563B-41F3-8789-12D95EB19944}">
      <dsp:nvSpPr>
        <dsp:cNvPr id="0" name=""/>
        <dsp:cNvSpPr/>
      </dsp:nvSpPr>
      <dsp:spPr>
        <a:xfrm>
          <a:off x="5522653" y="2214360"/>
          <a:ext cx="237309" cy="1550366"/>
        </a:xfrm>
        <a:custGeom>
          <a:avLst/>
          <a:gdLst/>
          <a:ahLst/>
          <a:cxnLst/>
          <a:rect l="0" t="0" r="0" b="0"/>
          <a:pathLst>
            <a:path>
              <a:moveTo>
                <a:pt x="0" y="0"/>
              </a:moveTo>
              <a:lnTo>
                <a:pt x="0" y="1550366"/>
              </a:lnTo>
              <a:lnTo>
                <a:pt x="237309" y="155036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64A3871-3AA2-49B4-970D-9A15D7DD038C}">
      <dsp:nvSpPr>
        <dsp:cNvPr id="0" name=""/>
        <dsp:cNvSpPr/>
      </dsp:nvSpPr>
      <dsp:spPr>
        <a:xfrm>
          <a:off x="5522653" y="2214360"/>
          <a:ext cx="195315" cy="929679"/>
        </a:xfrm>
        <a:custGeom>
          <a:avLst/>
          <a:gdLst/>
          <a:ahLst/>
          <a:cxnLst/>
          <a:rect l="0" t="0" r="0" b="0"/>
          <a:pathLst>
            <a:path>
              <a:moveTo>
                <a:pt x="0" y="0"/>
              </a:moveTo>
              <a:lnTo>
                <a:pt x="0" y="929679"/>
              </a:lnTo>
              <a:lnTo>
                <a:pt x="195315" y="929679"/>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FB6269C-0454-4D28-BDF1-7793E328A9E5}">
      <dsp:nvSpPr>
        <dsp:cNvPr id="0" name=""/>
        <dsp:cNvSpPr/>
      </dsp:nvSpPr>
      <dsp:spPr>
        <a:xfrm>
          <a:off x="5522653" y="2214360"/>
          <a:ext cx="195315" cy="326020"/>
        </a:xfrm>
        <a:custGeom>
          <a:avLst/>
          <a:gdLst/>
          <a:ahLst/>
          <a:cxnLst/>
          <a:rect l="0" t="0" r="0" b="0"/>
          <a:pathLst>
            <a:path>
              <a:moveTo>
                <a:pt x="0" y="0"/>
              </a:moveTo>
              <a:lnTo>
                <a:pt x="0" y="326020"/>
              </a:lnTo>
              <a:lnTo>
                <a:pt x="195315" y="32602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8034975-A3B4-467A-8726-0AA50F6BFF6E}">
      <dsp:nvSpPr>
        <dsp:cNvPr id="0" name=""/>
        <dsp:cNvSpPr/>
      </dsp:nvSpPr>
      <dsp:spPr>
        <a:xfrm>
          <a:off x="3572175" y="399485"/>
          <a:ext cx="2583301" cy="1340905"/>
        </a:xfrm>
        <a:custGeom>
          <a:avLst/>
          <a:gdLst/>
          <a:ahLst/>
          <a:cxnLst/>
          <a:rect l="0" t="0" r="0" b="0"/>
          <a:pathLst>
            <a:path>
              <a:moveTo>
                <a:pt x="0" y="0"/>
              </a:moveTo>
              <a:lnTo>
                <a:pt x="0" y="1271346"/>
              </a:lnTo>
              <a:lnTo>
                <a:pt x="2583301" y="1271346"/>
              </a:lnTo>
              <a:lnTo>
                <a:pt x="2583301" y="1340905"/>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632D6A3-48DF-4DAE-B9B9-F91B95B2FCFE}">
      <dsp:nvSpPr>
        <dsp:cNvPr id="0" name=""/>
        <dsp:cNvSpPr/>
      </dsp:nvSpPr>
      <dsp:spPr>
        <a:xfrm>
          <a:off x="3779581" y="2208311"/>
          <a:ext cx="240957" cy="2991080"/>
        </a:xfrm>
        <a:custGeom>
          <a:avLst/>
          <a:gdLst/>
          <a:ahLst/>
          <a:cxnLst/>
          <a:rect l="0" t="0" r="0" b="0"/>
          <a:pathLst>
            <a:path>
              <a:moveTo>
                <a:pt x="0" y="0"/>
              </a:moveTo>
              <a:lnTo>
                <a:pt x="0" y="2991080"/>
              </a:lnTo>
              <a:lnTo>
                <a:pt x="240957" y="299108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9ABE3F0-C12F-4FB9-A9A3-F0BF5B2BC785}">
      <dsp:nvSpPr>
        <dsp:cNvPr id="0" name=""/>
        <dsp:cNvSpPr/>
      </dsp:nvSpPr>
      <dsp:spPr>
        <a:xfrm>
          <a:off x="3779581" y="2208311"/>
          <a:ext cx="240957" cy="2452055"/>
        </a:xfrm>
        <a:custGeom>
          <a:avLst/>
          <a:gdLst/>
          <a:ahLst/>
          <a:cxnLst/>
          <a:rect l="0" t="0" r="0" b="0"/>
          <a:pathLst>
            <a:path>
              <a:moveTo>
                <a:pt x="0" y="0"/>
              </a:moveTo>
              <a:lnTo>
                <a:pt x="0" y="2452055"/>
              </a:lnTo>
              <a:lnTo>
                <a:pt x="240957" y="2452055"/>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EC37F5E-B30F-4122-A45B-F8D6E6E1D539}">
      <dsp:nvSpPr>
        <dsp:cNvPr id="0" name=""/>
        <dsp:cNvSpPr/>
      </dsp:nvSpPr>
      <dsp:spPr>
        <a:xfrm>
          <a:off x="3779581" y="2208311"/>
          <a:ext cx="240957" cy="1844356"/>
        </a:xfrm>
        <a:custGeom>
          <a:avLst/>
          <a:gdLst/>
          <a:ahLst/>
          <a:cxnLst/>
          <a:rect l="0" t="0" r="0" b="0"/>
          <a:pathLst>
            <a:path>
              <a:moveTo>
                <a:pt x="0" y="0"/>
              </a:moveTo>
              <a:lnTo>
                <a:pt x="0" y="1844356"/>
              </a:lnTo>
              <a:lnTo>
                <a:pt x="240957" y="184435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BEAB7F2-FA7C-4E0A-A220-173A9333C699}">
      <dsp:nvSpPr>
        <dsp:cNvPr id="0" name=""/>
        <dsp:cNvSpPr/>
      </dsp:nvSpPr>
      <dsp:spPr>
        <a:xfrm>
          <a:off x="3779581" y="2208311"/>
          <a:ext cx="240957" cy="1172446"/>
        </a:xfrm>
        <a:custGeom>
          <a:avLst/>
          <a:gdLst/>
          <a:ahLst/>
          <a:cxnLst/>
          <a:rect l="0" t="0" r="0" b="0"/>
          <a:pathLst>
            <a:path>
              <a:moveTo>
                <a:pt x="0" y="0"/>
              </a:moveTo>
              <a:lnTo>
                <a:pt x="0" y="1172446"/>
              </a:lnTo>
              <a:lnTo>
                <a:pt x="240957" y="117244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C85D2A4-4F88-4158-B452-0D4AFC666571}">
      <dsp:nvSpPr>
        <dsp:cNvPr id="0" name=""/>
        <dsp:cNvSpPr/>
      </dsp:nvSpPr>
      <dsp:spPr>
        <a:xfrm>
          <a:off x="3779581" y="2208311"/>
          <a:ext cx="240957" cy="436972"/>
        </a:xfrm>
        <a:custGeom>
          <a:avLst/>
          <a:gdLst/>
          <a:ahLst/>
          <a:cxnLst/>
          <a:rect l="0" t="0" r="0" b="0"/>
          <a:pathLst>
            <a:path>
              <a:moveTo>
                <a:pt x="0" y="0"/>
              </a:moveTo>
              <a:lnTo>
                <a:pt x="0" y="436972"/>
              </a:lnTo>
              <a:lnTo>
                <a:pt x="240957" y="43697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69E819B-B5E8-4576-8BAD-8A2C03B6E635}">
      <dsp:nvSpPr>
        <dsp:cNvPr id="0" name=""/>
        <dsp:cNvSpPr/>
      </dsp:nvSpPr>
      <dsp:spPr>
        <a:xfrm>
          <a:off x="3572175" y="399485"/>
          <a:ext cx="849960" cy="1340905"/>
        </a:xfrm>
        <a:custGeom>
          <a:avLst/>
          <a:gdLst/>
          <a:ahLst/>
          <a:cxnLst/>
          <a:rect l="0" t="0" r="0" b="0"/>
          <a:pathLst>
            <a:path>
              <a:moveTo>
                <a:pt x="0" y="0"/>
              </a:moveTo>
              <a:lnTo>
                <a:pt x="0" y="1271346"/>
              </a:lnTo>
              <a:lnTo>
                <a:pt x="849960" y="1271346"/>
              </a:lnTo>
              <a:lnTo>
                <a:pt x="849960" y="1340905"/>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59ACC96-EB7B-442E-AA9F-DAAABF5427A6}">
      <dsp:nvSpPr>
        <dsp:cNvPr id="0" name=""/>
        <dsp:cNvSpPr/>
      </dsp:nvSpPr>
      <dsp:spPr>
        <a:xfrm>
          <a:off x="2002578" y="2214360"/>
          <a:ext cx="246207" cy="2958616"/>
        </a:xfrm>
        <a:custGeom>
          <a:avLst/>
          <a:gdLst/>
          <a:ahLst/>
          <a:cxnLst/>
          <a:rect l="0" t="0" r="0" b="0"/>
          <a:pathLst>
            <a:path>
              <a:moveTo>
                <a:pt x="0" y="0"/>
              </a:moveTo>
              <a:lnTo>
                <a:pt x="0" y="2958616"/>
              </a:lnTo>
              <a:lnTo>
                <a:pt x="246207" y="295861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2A4BA9C-157E-493C-B9E0-D2255A8E6282}">
      <dsp:nvSpPr>
        <dsp:cNvPr id="0" name=""/>
        <dsp:cNvSpPr/>
      </dsp:nvSpPr>
      <dsp:spPr>
        <a:xfrm>
          <a:off x="2002578" y="2214360"/>
          <a:ext cx="246207" cy="2343744"/>
        </a:xfrm>
        <a:custGeom>
          <a:avLst/>
          <a:gdLst/>
          <a:ahLst/>
          <a:cxnLst/>
          <a:rect l="0" t="0" r="0" b="0"/>
          <a:pathLst>
            <a:path>
              <a:moveTo>
                <a:pt x="0" y="0"/>
              </a:moveTo>
              <a:lnTo>
                <a:pt x="0" y="2343744"/>
              </a:lnTo>
              <a:lnTo>
                <a:pt x="246207" y="2343744"/>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9E001F2-D906-498F-82A1-C8505BBB5F64}">
      <dsp:nvSpPr>
        <dsp:cNvPr id="0" name=""/>
        <dsp:cNvSpPr/>
      </dsp:nvSpPr>
      <dsp:spPr>
        <a:xfrm>
          <a:off x="2002578" y="2214360"/>
          <a:ext cx="246207" cy="1702417"/>
        </a:xfrm>
        <a:custGeom>
          <a:avLst/>
          <a:gdLst/>
          <a:ahLst/>
          <a:cxnLst/>
          <a:rect l="0" t="0" r="0" b="0"/>
          <a:pathLst>
            <a:path>
              <a:moveTo>
                <a:pt x="0" y="0"/>
              </a:moveTo>
              <a:lnTo>
                <a:pt x="0" y="1702417"/>
              </a:lnTo>
              <a:lnTo>
                <a:pt x="246207" y="1702417"/>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7CB3990-811F-4FC9-A610-7533FACD82B1}">
      <dsp:nvSpPr>
        <dsp:cNvPr id="0" name=""/>
        <dsp:cNvSpPr/>
      </dsp:nvSpPr>
      <dsp:spPr>
        <a:xfrm>
          <a:off x="2002578" y="2214360"/>
          <a:ext cx="246207" cy="1015505"/>
        </a:xfrm>
        <a:custGeom>
          <a:avLst/>
          <a:gdLst/>
          <a:ahLst/>
          <a:cxnLst/>
          <a:rect l="0" t="0" r="0" b="0"/>
          <a:pathLst>
            <a:path>
              <a:moveTo>
                <a:pt x="0" y="0"/>
              </a:moveTo>
              <a:lnTo>
                <a:pt x="0" y="1015505"/>
              </a:lnTo>
              <a:lnTo>
                <a:pt x="246207" y="1015505"/>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2DF942E-7160-4713-BB2E-EFA516C99FE3}">
      <dsp:nvSpPr>
        <dsp:cNvPr id="0" name=""/>
        <dsp:cNvSpPr/>
      </dsp:nvSpPr>
      <dsp:spPr>
        <a:xfrm>
          <a:off x="2002578" y="2214360"/>
          <a:ext cx="246207" cy="379327"/>
        </a:xfrm>
        <a:custGeom>
          <a:avLst/>
          <a:gdLst/>
          <a:ahLst/>
          <a:cxnLst/>
          <a:rect l="0" t="0" r="0" b="0"/>
          <a:pathLst>
            <a:path>
              <a:moveTo>
                <a:pt x="0" y="0"/>
              </a:moveTo>
              <a:lnTo>
                <a:pt x="0" y="379327"/>
              </a:lnTo>
              <a:lnTo>
                <a:pt x="246207" y="379327"/>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7E39CB4-6C04-497F-9271-BB8B9D5C22C9}">
      <dsp:nvSpPr>
        <dsp:cNvPr id="0" name=""/>
        <dsp:cNvSpPr/>
      </dsp:nvSpPr>
      <dsp:spPr>
        <a:xfrm>
          <a:off x="2659132" y="399485"/>
          <a:ext cx="913043" cy="1340905"/>
        </a:xfrm>
        <a:custGeom>
          <a:avLst/>
          <a:gdLst/>
          <a:ahLst/>
          <a:cxnLst/>
          <a:rect l="0" t="0" r="0" b="0"/>
          <a:pathLst>
            <a:path>
              <a:moveTo>
                <a:pt x="913043" y="0"/>
              </a:moveTo>
              <a:lnTo>
                <a:pt x="913043" y="1271346"/>
              </a:lnTo>
              <a:lnTo>
                <a:pt x="0" y="1271346"/>
              </a:lnTo>
              <a:lnTo>
                <a:pt x="0" y="1340905"/>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6FBFAA9-DBDE-41FF-A339-1967CCBD915A}">
      <dsp:nvSpPr>
        <dsp:cNvPr id="0" name=""/>
        <dsp:cNvSpPr/>
      </dsp:nvSpPr>
      <dsp:spPr>
        <a:xfrm>
          <a:off x="317486" y="2211495"/>
          <a:ext cx="226700" cy="3174504"/>
        </a:xfrm>
        <a:custGeom>
          <a:avLst/>
          <a:gdLst/>
          <a:ahLst/>
          <a:cxnLst/>
          <a:rect l="0" t="0" r="0" b="0"/>
          <a:pathLst>
            <a:path>
              <a:moveTo>
                <a:pt x="0" y="0"/>
              </a:moveTo>
              <a:lnTo>
                <a:pt x="0" y="3174504"/>
              </a:lnTo>
              <a:lnTo>
                <a:pt x="226700" y="3174504"/>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B059299-6A47-402C-A947-08C83069361E}">
      <dsp:nvSpPr>
        <dsp:cNvPr id="0" name=""/>
        <dsp:cNvSpPr/>
      </dsp:nvSpPr>
      <dsp:spPr>
        <a:xfrm>
          <a:off x="317486" y="2211495"/>
          <a:ext cx="226700" cy="2704152"/>
        </a:xfrm>
        <a:custGeom>
          <a:avLst/>
          <a:gdLst/>
          <a:ahLst/>
          <a:cxnLst/>
          <a:rect l="0" t="0" r="0" b="0"/>
          <a:pathLst>
            <a:path>
              <a:moveTo>
                <a:pt x="0" y="0"/>
              </a:moveTo>
              <a:lnTo>
                <a:pt x="0" y="2704152"/>
              </a:lnTo>
              <a:lnTo>
                <a:pt x="226700" y="270415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E274A47-0F75-408B-BA16-1BC9A5823AB8}">
      <dsp:nvSpPr>
        <dsp:cNvPr id="0" name=""/>
        <dsp:cNvSpPr/>
      </dsp:nvSpPr>
      <dsp:spPr>
        <a:xfrm>
          <a:off x="317486" y="2211495"/>
          <a:ext cx="226700" cy="2233799"/>
        </a:xfrm>
        <a:custGeom>
          <a:avLst/>
          <a:gdLst/>
          <a:ahLst/>
          <a:cxnLst/>
          <a:rect l="0" t="0" r="0" b="0"/>
          <a:pathLst>
            <a:path>
              <a:moveTo>
                <a:pt x="0" y="0"/>
              </a:moveTo>
              <a:lnTo>
                <a:pt x="0" y="2233799"/>
              </a:lnTo>
              <a:lnTo>
                <a:pt x="226700" y="2233799"/>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2E7B342-6A4B-497E-B97F-510AE5EDAA8A}">
      <dsp:nvSpPr>
        <dsp:cNvPr id="0" name=""/>
        <dsp:cNvSpPr/>
      </dsp:nvSpPr>
      <dsp:spPr>
        <a:xfrm>
          <a:off x="317486" y="2211495"/>
          <a:ext cx="226700" cy="1763447"/>
        </a:xfrm>
        <a:custGeom>
          <a:avLst/>
          <a:gdLst/>
          <a:ahLst/>
          <a:cxnLst/>
          <a:rect l="0" t="0" r="0" b="0"/>
          <a:pathLst>
            <a:path>
              <a:moveTo>
                <a:pt x="0" y="0"/>
              </a:moveTo>
              <a:lnTo>
                <a:pt x="0" y="1763447"/>
              </a:lnTo>
              <a:lnTo>
                <a:pt x="226700" y="1763447"/>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766DF36-D073-405E-BBAD-23C78B66A532}">
      <dsp:nvSpPr>
        <dsp:cNvPr id="0" name=""/>
        <dsp:cNvSpPr/>
      </dsp:nvSpPr>
      <dsp:spPr>
        <a:xfrm>
          <a:off x="317486" y="2211495"/>
          <a:ext cx="228085" cy="1325502"/>
        </a:xfrm>
        <a:custGeom>
          <a:avLst/>
          <a:gdLst/>
          <a:ahLst/>
          <a:cxnLst/>
          <a:rect l="0" t="0" r="0" b="0"/>
          <a:pathLst>
            <a:path>
              <a:moveTo>
                <a:pt x="0" y="0"/>
              </a:moveTo>
              <a:lnTo>
                <a:pt x="0" y="1325502"/>
              </a:lnTo>
              <a:lnTo>
                <a:pt x="228085" y="132550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60B75CB-D598-4770-A323-C652F3A46CD3}">
      <dsp:nvSpPr>
        <dsp:cNvPr id="0" name=""/>
        <dsp:cNvSpPr/>
      </dsp:nvSpPr>
      <dsp:spPr>
        <a:xfrm>
          <a:off x="317486" y="2211495"/>
          <a:ext cx="226700" cy="822742"/>
        </a:xfrm>
        <a:custGeom>
          <a:avLst/>
          <a:gdLst/>
          <a:ahLst/>
          <a:cxnLst/>
          <a:rect l="0" t="0" r="0" b="0"/>
          <a:pathLst>
            <a:path>
              <a:moveTo>
                <a:pt x="0" y="0"/>
              </a:moveTo>
              <a:lnTo>
                <a:pt x="0" y="822742"/>
              </a:lnTo>
              <a:lnTo>
                <a:pt x="226700" y="82274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87D3B49-0159-436F-A08F-20E030CFC035}">
      <dsp:nvSpPr>
        <dsp:cNvPr id="0" name=""/>
        <dsp:cNvSpPr/>
      </dsp:nvSpPr>
      <dsp:spPr>
        <a:xfrm>
          <a:off x="317486" y="2211495"/>
          <a:ext cx="226700" cy="327050"/>
        </a:xfrm>
        <a:custGeom>
          <a:avLst/>
          <a:gdLst/>
          <a:ahLst/>
          <a:cxnLst/>
          <a:rect l="0" t="0" r="0" b="0"/>
          <a:pathLst>
            <a:path>
              <a:moveTo>
                <a:pt x="0" y="0"/>
              </a:moveTo>
              <a:lnTo>
                <a:pt x="0" y="327050"/>
              </a:lnTo>
              <a:lnTo>
                <a:pt x="226700" y="32705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1F50EBA-1C53-46E0-9F49-A99D4EC3F1EC}">
      <dsp:nvSpPr>
        <dsp:cNvPr id="0" name=""/>
        <dsp:cNvSpPr/>
      </dsp:nvSpPr>
      <dsp:spPr>
        <a:xfrm>
          <a:off x="933557" y="399485"/>
          <a:ext cx="2638617" cy="1343929"/>
        </a:xfrm>
        <a:custGeom>
          <a:avLst/>
          <a:gdLst/>
          <a:ahLst/>
          <a:cxnLst/>
          <a:rect l="0" t="0" r="0" b="0"/>
          <a:pathLst>
            <a:path>
              <a:moveTo>
                <a:pt x="2638617" y="0"/>
              </a:moveTo>
              <a:lnTo>
                <a:pt x="2638617" y="1274370"/>
              </a:lnTo>
              <a:lnTo>
                <a:pt x="0" y="1274370"/>
              </a:lnTo>
              <a:lnTo>
                <a:pt x="0" y="1343929"/>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1009FF8-0C05-4A49-BC6F-92A78BA587F9}">
      <dsp:nvSpPr>
        <dsp:cNvPr id="0" name=""/>
        <dsp:cNvSpPr/>
      </dsp:nvSpPr>
      <dsp:spPr>
        <a:xfrm>
          <a:off x="3114227" y="10646"/>
          <a:ext cx="915895" cy="388839"/>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baseline="0" dirty="0" smtClean="0">
              <a:latin typeface="Times New Roman" pitchFamily="18" charset="0"/>
              <a:cs typeface="Times New Roman" pitchFamily="18" charset="0"/>
            </a:rPr>
            <a:t>Executive Director</a:t>
          </a:r>
        </a:p>
        <a:p>
          <a:pPr lvl="0" algn="ctr" defTabSz="311150">
            <a:lnSpc>
              <a:spcPct val="90000"/>
            </a:lnSpc>
            <a:spcBef>
              <a:spcPct val="0"/>
            </a:spcBef>
            <a:spcAft>
              <a:spcPct val="35000"/>
            </a:spcAft>
          </a:pPr>
          <a:r>
            <a:rPr lang="en-US" sz="700" kern="1200" baseline="0" dirty="0" smtClean="0">
              <a:latin typeface="Times New Roman" pitchFamily="18" charset="0"/>
              <a:cs typeface="Times New Roman" pitchFamily="18" charset="0"/>
            </a:rPr>
            <a:t> </a:t>
          </a:r>
        </a:p>
      </dsp:txBody>
      <dsp:txXfrm>
        <a:off x="3114227" y="10646"/>
        <a:ext cx="915895" cy="388839"/>
      </dsp:txXfrm>
    </dsp:sp>
    <dsp:sp modelId="{ADEBAA41-207C-4152-84A5-C11074FEAC1D}">
      <dsp:nvSpPr>
        <dsp:cNvPr id="0" name=""/>
        <dsp:cNvSpPr/>
      </dsp:nvSpPr>
      <dsp:spPr>
        <a:xfrm>
          <a:off x="163468" y="1743414"/>
          <a:ext cx="1540179" cy="46808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Deputy Executive Director Office of Operations </a:t>
          </a:r>
        </a:p>
      </dsp:txBody>
      <dsp:txXfrm>
        <a:off x="163468" y="1743414"/>
        <a:ext cx="1540179" cy="468080"/>
      </dsp:txXfrm>
    </dsp:sp>
    <dsp:sp modelId="{EC8AAAE7-29CA-4283-A91A-0C91DFC76FA0}">
      <dsp:nvSpPr>
        <dsp:cNvPr id="0" name=""/>
        <dsp:cNvSpPr/>
      </dsp:nvSpPr>
      <dsp:spPr>
        <a:xfrm>
          <a:off x="544187" y="2347589"/>
          <a:ext cx="931728" cy="381912"/>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Director </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Quality Control</a:t>
          </a:r>
        </a:p>
      </dsp:txBody>
      <dsp:txXfrm>
        <a:off x="544187" y="2347589"/>
        <a:ext cx="931728" cy="381912"/>
      </dsp:txXfrm>
    </dsp:sp>
    <dsp:sp modelId="{3AFA3D3C-A430-4838-9BF4-9EBC42BC4292}">
      <dsp:nvSpPr>
        <dsp:cNvPr id="0" name=""/>
        <dsp:cNvSpPr/>
      </dsp:nvSpPr>
      <dsp:spPr>
        <a:xfrm>
          <a:off x="544187" y="2868620"/>
          <a:ext cx="953185" cy="33123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Director </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Program Evaluation</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Vacant</a:t>
          </a:r>
          <a:endParaRPr lang="en-US" sz="700" kern="1200" dirty="0">
            <a:latin typeface="Times New Roman" pitchFamily="18" charset="0"/>
            <a:cs typeface="Times New Roman" pitchFamily="18" charset="0"/>
          </a:endParaRPr>
        </a:p>
      </dsp:txBody>
      <dsp:txXfrm>
        <a:off x="544187" y="2868620"/>
        <a:ext cx="953185" cy="331234"/>
      </dsp:txXfrm>
    </dsp:sp>
    <dsp:sp modelId="{9D38795B-9B41-489E-ADFF-A9C6F7876B04}">
      <dsp:nvSpPr>
        <dsp:cNvPr id="0" name=""/>
        <dsp:cNvSpPr/>
      </dsp:nvSpPr>
      <dsp:spPr>
        <a:xfrm>
          <a:off x="545571" y="3371381"/>
          <a:ext cx="953185" cy="33123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Director </a:t>
          </a:r>
        </a:p>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Local Operations</a:t>
          </a:r>
        </a:p>
        <a:p>
          <a:pPr lvl="0" algn="ctr" defTabSz="266700">
            <a:lnSpc>
              <a:spcPct val="90000"/>
            </a:lnSpc>
            <a:spcBef>
              <a:spcPct val="0"/>
            </a:spcBef>
            <a:spcAft>
              <a:spcPct val="35000"/>
            </a:spcAft>
          </a:pPr>
          <a:endParaRPr lang="en-US" sz="600" kern="1200" dirty="0">
            <a:latin typeface="Times New Roman" pitchFamily="18" charset="0"/>
            <a:cs typeface="Times New Roman" pitchFamily="18" charset="0"/>
          </a:endParaRPr>
        </a:p>
      </dsp:txBody>
      <dsp:txXfrm>
        <a:off x="545571" y="3371381"/>
        <a:ext cx="953185" cy="331234"/>
      </dsp:txXfrm>
    </dsp:sp>
    <dsp:sp modelId="{B6EDE551-E6E4-4957-883E-C3B198E12148}">
      <dsp:nvSpPr>
        <dsp:cNvPr id="0" name=""/>
        <dsp:cNvSpPr/>
      </dsp:nvSpPr>
      <dsp:spPr>
        <a:xfrm>
          <a:off x="544187" y="3809325"/>
          <a:ext cx="953185" cy="33123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Acting Director </a:t>
          </a:r>
        </a:p>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Long Term Care</a:t>
          </a:r>
        </a:p>
      </dsp:txBody>
      <dsp:txXfrm>
        <a:off x="544187" y="3809325"/>
        <a:ext cx="953185" cy="331234"/>
      </dsp:txXfrm>
    </dsp:sp>
    <dsp:sp modelId="{E3526463-C003-4DC2-84BD-C547FB6648DC}">
      <dsp:nvSpPr>
        <dsp:cNvPr id="0" name=""/>
        <dsp:cNvSpPr/>
      </dsp:nvSpPr>
      <dsp:spPr>
        <a:xfrm>
          <a:off x="544187" y="4279678"/>
          <a:ext cx="953185" cy="33123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Director </a:t>
          </a:r>
        </a:p>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Information Analysis</a:t>
          </a:r>
        </a:p>
      </dsp:txBody>
      <dsp:txXfrm>
        <a:off x="544187" y="4279678"/>
        <a:ext cx="953185" cy="331234"/>
      </dsp:txXfrm>
    </dsp:sp>
    <dsp:sp modelId="{569327E1-AC0E-4BF3-8927-14D2B575C0C1}">
      <dsp:nvSpPr>
        <dsp:cNvPr id="0" name=""/>
        <dsp:cNvSpPr/>
      </dsp:nvSpPr>
      <dsp:spPr>
        <a:xfrm>
          <a:off x="544187" y="4750030"/>
          <a:ext cx="991039" cy="33123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Director </a:t>
          </a:r>
        </a:p>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Disability Services </a:t>
          </a:r>
        </a:p>
      </dsp:txBody>
      <dsp:txXfrm>
        <a:off x="544187" y="4750030"/>
        <a:ext cx="991039" cy="331234"/>
      </dsp:txXfrm>
    </dsp:sp>
    <dsp:sp modelId="{D3F8AE4B-2E79-416A-BD18-230121DA5F53}">
      <dsp:nvSpPr>
        <dsp:cNvPr id="0" name=""/>
        <dsp:cNvSpPr/>
      </dsp:nvSpPr>
      <dsp:spPr>
        <a:xfrm>
          <a:off x="544187" y="5220383"/>
          <a:ext cx="991039" cy="33123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FIA Operations Administrator</a:t>
          </a:r>
        </a:p>
      </dsp:txBody>
      <dsp:txXfrm>
        <a:off x="544187" y="5220383"/>
        <a:ext cx="991039" cy="331234"/>
      </dsp:txXfrm>
    </dsp:sp>
    <dsp:sp modelId="{09BA96F5-062D-4EA3-B8E1-B4A38579D518}">
      <dsp:nvSpPr>
        <dsp:cNvPr id="0" name=""/>
        <dsp:cNvSpPr/>
      </dsp:nvSpPr>
      <dsp:spPr>
        <a:xfrm>
          <a:off x="1838439" y="1740390"/>
          <a:ext cx="1641384" cy="473969"/>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Deputy Executive Director Office of Programs </a:t>
          </a:r>
        </a:p>
      </dsp:txBody>
      <dsp:txXfrm>
        <a:off x="1838439" y="1740390"/>
        <a:ext cx="1641384" cy="473969"/>
      </dsp:txXfrm>
    </dsp:sp>
    <dsp:sp modelId="{210180EB-5DEB-46B9-A64F-1271FE1B4D7C}">
      <dsp:nvSpPr>
        <dsp:cNvPr id="0" name=""/>
        <dsp:cNvSpPr/>
      </dsp:nvSpPr>
      <dsp:spPr>
        <a:xfrm>
          <a:off x="2248785" y="2353478"/>
          <a:ext cx="752338" cy="480418"/>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Acting Director</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Policy Research &amp; Training  </a:t>
          </a:r>
        </a:p>
      </dsp:txBody>
      <dsp:txXfrm>
        <a:off x="2248785" y="2353478"/>
        <a:ext cx="752338" cy="480418"/>
      </dsp:txXfrm>
    </dsp:sp>
    <dsp:sp modelId="{36F24CED-3E37-4B8A-ACB1-396D4CFF17C6}">
      <dsp:nvSpPr>
        <dsp:cNvPr id="0" name=""/>
        <dsp:cNvSpPr/>
      </dsp:nvSpPr>
      <dsp:spPr>
        <a:xfrm>
          <a:off x="2248785" y="2973015"/>
          <a:ext cx="752338" cy="51370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Director </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Home Energy Programs</a:t>
          </a:r>
        </a:p>
      </dsp:txBody>
      <dsp:txXfrm>
        <a:off x="2248785" y="2973015"/>
        <a:ext cx="752338" cy="513701"/>
      </dsp:txXfrm>
    </dsp:sp>
    <dsp:sp modelId="{570F714B-A2D9-4B36-B7A7-6BFAF6D48DA9}">
      <dsp:nvSpPr>
        <dsp:cNvPr id="0" name=""/>
        <dsp:cNvSpPr/>
      </dsp:nvSpPr>
      <dsp:spPr>
        <a:xfrm>
          <a:off x="2248785" y="3625835"/>
          <a:ext cx="737492" cy="581885"/>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Director </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Workforce Development </a:t>
          </a:r>
        </a:p>
      </dsp:txBody>
      <dsp:txXfrm>
        <a:off x="2248785" y="3625835"/>
        <a:ext cx="737492" cy="581885"/>
      </dsp:txXfrm>
    </dsp:sp>
    <dsp:sp modelId="{E48E5404-6EA0-4196-A567-B85B7F8F9212}">
      <dsp:nvSpPr>
        <dsp:cNvPr id="0" name=""/>
        <dsp:cNvSpPr/>
      </dsp:nvSpPr>
      <dsp:spPr>
        <a:xfrm>
          <a:off x="2248785" y="4346839"/>
          <a:ext cx="754862" cy="422532"/>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Director </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Systems Support</a:t>
          </a:r>
        </a:p>
      </dsp:txBody>
      <dsp:txXfrm>
        <a:off x="2248785" y="4346839"/>
        <a:ext cx="754862" cy="422532"/>
      </dsp:txXfrm>
    </dsp:sp>
    <dsp:sp modelId="{E15E206E-D313-464D-9D91-B359CED39B2C}">
      <dsp:nvSpPr>
        <dsp:cNvPr id="0" name=""/>
        <dsp:cNvSpPr/>
      </dsp:nvSpPr>
      <dsp:spPr>
        <a:xfrm>
          <a:off x="2248785" y="4908489"/>
          <a:ext cx="750291" cy="52897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Office Manager</a:t>
          </a:r>
        </a:p>
      </dsp:txBody>
      <dsp:txXfrm>
        <a:off x="2248785" y="4908489"/>
        <a:ext cx="750291" cy="528974"/>
      </dsp:txXfrm>
    </dsp:sp>
    <dsp:sp modelId="{D15BC635-1381-487A-B887-EA0E4768D13C}">
      <dsp:nvSpPr>
        <dsp:cNvPr id="0" name=""/>
        <dsp:cNvSpPr/>
      </dsp:nvSpPr>
      <dsp:spPr>
        <a:xfrm>
          <a:off x="3618942" y="1740390"/>
          <a:ext cx="1606386" cy="46792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Deputy Executive Director Office of Special Projects </a:t>
          </a:r>
        </a:p>
      </dsp:txBody>
      <dsp:txXfrm>
        <a:off x="3618942" y="1740390"/>
        <a:ext cx="1606386" cy="467921"/>
      </dsp:txXfrm>
    </dsp:sp>
    <dsp:sp modelId="{E57E931A-94D1-497E-9DDD-832525754700}">
      <dsp:nvSpPr>
        <dsp:cNvPr id="0" name=""/>
        <dsp:cNvSpPr/>
      </dsp:nvSpPr>
      <dsp:spPr>
        <a:xfrm>
          <a:off x="4020539" y="2347430"/>
          <a:ext cx="806800" cy="595708"/>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endParaRPr lang="en-US" sz="600" kern="1200" dirty="0" smtClean="0">
            <a:latin typeface="Times New Roman" pitchFamily="18" charset="0"/>
            <a:cs typeface="Times New Roman" pitchFamily="18" charset="0"/>
          </a:endParaRPr>
        </a:p>
        <a:p>
          <a:pPr lvl="0" algn="ctr" defTabSz="266700">
            <a:lnSpc>
              <a:spcPct val="90000"/>
            </a:lnSpc>
            <a:spcBef>
              <a:spcPct val="0"/>
            </a:spcBef>
            <a:spcAft>
              <a:spcPct val="35000"/>
            </a:spcAft>
          </a:pPr>
          <a:r>
            <a:rPr lang="en-US" sz="700" kern="1200" dirty="0" smtClean="0">
              <a:latin typeface="Times New Roman" pitchFamily="18" charset="0"/>
              <a:cs typeface="Times New Roman" pitchFamily="18" charset="0"/>
            </a:rPr>
            <a:t>Director </a:t>
          </a:r>
        </a:p>
        <a:p>
          <a:pPr lvl="0" algn="ctr" defTabSz="266700">
            <a:lnSpc>
              <a:spcPct val="90000"/>
            </a:lnSpc>
            <a:spcBef>
              <a:spcPct val="0"/>
            </a:spcBef>
            <a:spcAft>
              <a:spcPct val="35000"/>
            </a:spcAft>
          </a:pPr>
          <a:r>
            <a:rPr lang="en-US" sz="700" kern="1200" dirty="0" smtClean="0">
              <a:latin typeface="Times New Roman" pitchFamily="18" charset="0"/>
              <a:cs typeface="Times New Roman" pitchFamily="18" charset="0"/>
            </a:rPr>
            <a:t>Homeless Services</a:t>
          </a:r>
        </a:p>
        <a:p>
          <a:pPr lvl="0" algn="ctr" defTabSz="266700">
            <a:lnSpc>
              <a:spcPct val="90000"/>
            </a:lnSpc>
            <a:spcBef>
              <a:spcPct val="0"/>
            </a:spcBef>
            <a:spcAft>
              <a:spcPct val="35000"/>
            </a:spcAft>
          </a:pPr>
          <a:endParaRPr lang="en-US" sz="600" kern="1200" dirty="0">
            <a:latin typeface="Times New Roman" pitchFamily="18" charset="0"/>
            <a:cs typeface="Times New Roman" pitchFamily="18" charset="0"/>
          </a:endParaRPr>
        </a:p>
      </dsp:txBody>
      <dsp:txXfrm>
        <a:off x="4020539" y="2347430"/>
        <a:ext cx="806800" cy="595708"/>
      </dsp:txXfrm>
    </dsp:sp>
    <dsp:sp modelId="{1056720E-7562-4A2E-8C21-7EFD89FF1472}">
      <dsp:nvSpPr>
        <dsp:cNvPr id="0" name=""/>
        <dsp:cNvSpPr/>
      </dsp:nvSpPr>
      <dsp:spPr>
        <a:xfrm>
          <a:off x="4020539" y="3082256"/>
          <a:ext cx="780818" cy="597003"/>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Director</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Special Grants</a:t>
          </a:r>
        </a:p>
      </dsp:txBody>
      <dsp:txXfrm>
        <a:off x="4020539" y="3082256"/>
        <a:ext cx="780818" cy="597003"/>
      </dsp:txXfrm>
    </dsp:sp>
    <dsp:sp modelId="{61220A00-E870-45E3-9554-1E263AA1DB39}">
      <dsp:nvSpPr>
        <dsp:cNvPr id="0" name=""/>
        <dsp:cNvSpPr/>
      </dsp:nvSpPr>
      <dsp:spPr>
        <a:xfrm>
          <a:off x="4020539" y="3818378"/>
          <a:ext cx="799817" cy="46858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Director</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Health Care Initiatives</a:t>
          </a:r>
        </a:p>
      </dsp:txBody>
      <dsp:txXfrm>
        <a:off x="4020539" y="3818378"/>
        <a:ext cx="799817" cy="468580"/>
      </dsp:txXfrm>
    </dsp:sp>
    <dsp:sp modelId="{A98A120C-E313-4C90-B923-3B346A3AB770}">
      <dsp:nvSpPr>
        <dsp:cNvPr id="0" name=""/>
        <dsp:cNvSpPr/>
      </dsp:nvSpPr>
      <dsp:spPr>
        <a:xfrm>
          <a:off x="4020539" y="4426076"/>
          <a:ext cx="799817" cy="46858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baseline="0" dirty="0" smtClean="0">
              <a:latin typeface="Times New Roman" pitchFamily="18" charset="0"/>
            </a:rPr>
            <a:t>Director</a:t>
          </a:r>
        </a:p>
        <a:p>
          <a:pPr lvl="0" algn="ctr" defTabSz="311150">
            <a:lnSpc>
              <a:spcPct val="90000"/>
            </a:lnSpc>
            <a:spcBef>
              <a:spcPct val="0"/>
            </a:spcBef>
            <a:spcAft>
              <a:spcPct val="35000"/>
            </a:spcAft>
          </a:pPr>
          <a:r>
            <a:rPr lang="en-US" sz="700" kern="1200" baseline="0" dirty="0" smtClean="0">
              <a:latin typeface="Times New Roman" pitchFamily="18" charset="0"/>
            </a:rPr>
            <a:t>Refugees &amp; Asylees</a:t>
          </a:r>
        </a:p>
        <a:p>
          <a:pPr lvl="0" algn="ctr" defTabSz="311150">
            <a:lnSpc>
              <a:spcPct val="90000"/>
            </a:lnSpc>
            <a:spcBef>
              <a:spcPct val="0"/>
            </a:spcBef>
            <a:spcAft>
              <a:spcPct val="35000"/>
            </a:spcAft>
          </a:pPr>
          <a:r>
            <a:rPr lang="en-US" sz="700" kern="1200" baseline="0" dirty="0" err="1" smtClean="0">
              <a:latin typeface="Times New Roman" pitchFamily="18" charset="0"/>
            </a:rPr>
            <a:t>Augustin</a:t>
          </a:r>
          <a:r>
            <a:rPr lang="en-US" sz="700" kern="1200" baseline="0" dirty="0" smtClean="0">
              <a:latin typeface="Times New Roman" pitchFamily="18" charset="0"/>
            </a:rPr>
            <a:t> </a:t>
          </a:r>
          <a:r>
            <a:rPr lang="en-US" sz="700" kern="1200" baseline="0" dirty="0" err="1" smtClean="0">
              <a:latin typeface="Times New Roman" pitchFamily="18" charset="0"/>
            </a:rPr>
            <a:t>Ntabaganyimana</a:t>
          </a:r>
          <a:endParaRPr lang="en-US" sz="700" kern="1200" baseline="0" dirty="0">
            <a:latin typeface="Times New Roman" pitchFamily="18" charset="0"/>
          </a:endParaRPr>
        </a:p>
      </dsp:txBody>
      <dsp:txXfrm>
        <a:off x="4020539" y="4426076"/>
        <a:ext cx="799817" cy="468580"/>
      </dsp:txXfrm>
    </dsp:sp>
    <dsp:sp modelId="{BA793A9D-476D-43C9-9033-F19508D0AB8D}">
      <dsp:nvSpPr>
        <dsp:cNvPr id="0" name=""/>
        <dsp:cNvSpPr/>
      </dsp:nvSpPr>
      <dsp:spPr>
        <a:xfrm>
          <a:off x="4020539" y="5033775"/>
          <a:ext cx="810264" cy="33123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kern="1200" dirty="0" smtClean="0">
              <a:latin typeface="Times New Roman" pitchFamily="18" charset="0"/>
              <a:cs typeface="Times New Roman" pitchFamily="18" charset="0"/>
            </a:rPr>
            <a:t>Administrative Assistant *</a:t>
          </a:r>
        </a:p>
      </dsp:txBody>
      <dsp:txXfrm>
        <a:off x="4020539" y="5033775"/>
        <a:ext cx="810264" cy="331234"/>
      </dsp:txXfrm>
    </dsp:sp>
    <dsp:sp modelId="{CF73991B-ECC4-4C87-9BB7-AEABA562AE25}">
      <dsp:nvSpPr>
        <dsp:cNvPr id="0" name=""/>
        <dsp:cNvSpPr/>
      </dsp:nvSpPr>
      <dsp:spPr>
        <a:xfrm>
          <a:off x="5364447" y="1740390"/>
          <a:ext cx="1582060" cy="473969"/>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Director</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Bureau  of Administration</a:t>
          </a:r>
        </a:p>
      </dsp:txBody>
      <dsp:txXfrm>
        <a:off x="5364447" y="1740390"/>
        <a:ext cx="1582060" cy="473969"/>
      </dsp:txXfrm>
    </dsp:sp>
    <dsp:sp modelId="{16F8A3CD-4B24-44B1-96FF-E5FC7A779761}">
      <dsp:nvSpPr>
        <dsp:cNvPr id="0" name=""/>
        <dsp:cNvSpPr/>
      </dsp:nvSpPr>
      <dsp:spPr>
        <a:xfrm>
          <a:off x="5717968" y="2342836"/>
          <a:ext cx="1145785" cy="395089"/>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Manager </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Budget &amp; Fiscal Services</a:t>
          </a:r>
        </a:p>
      </dsp:txBody>
      <dsp:txXfrm>
        <a:off x="5717968" y="2342836"/>
        <a:ext cx="1145785" cy="395089"/>
      </dsp:txXfrm>
    </dsp:sp>
    <dsp:sp modelId="{44737048-7071-4E27-989D-311ACDC29A3E}">
      <dsp:nvSpPr>
        <dsp:cNvPr id="0" name=""/>
        <dsp:cNvSpPr/>
      </dsp:nvSpPr>
      <dsp:spPr>
        <a:xfrm>
          <a:off x="5717968" y="2892224"/>
          <a:ext cx="1123055" cy="50363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Manager</a:t>
          </a:r>
        </a:p>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 Administrative Support Services </a:t>
          </a:r>
        </a:p>
      </dsp:txBody>
      <dsp:txXfrm>
        <a:off x="5717968" y="2892224"/>
        <a:ext cx="1123055" cy="503631"/>
      </dsp:txXfrm>
    </dsp:sp>
    <dsp:sp modelId="{11BE3CDF-CA3C-47C9-AA04-31D183197853}">
      <dsp:nvSpPr>
        <dsp:cNvPr id="0" name=""/>
        <dsp:cNvSpPr/>
      </dsp:nvSpPr>
      <dsp:spPr>
        <a:xfrm>
          <a:off x="5759962" y="3530436"/>
          <a:ext cx="1074510" cy="46858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Support Services Coordinator</a:t>
          </a:r>
        </a:p>
      </dsp:txBody>
      <dsp:txXfrm>
        <a:off x="5759962" y="3530436"/>
        <a:ext cx="1074510" cy="468580"/>
      </dsp:txXfrm>
    </dsp:sp>
    <dsp:sp modelId="{1CF53F44-AB18-49E8-A6AB-1B1F380ED7F6}">
      <dsp:nvSpPr>
        <dsp:cNvPr id="0" name=""/>
        <dsp:cNvSpPr/>
      </dsp:nvSpPr>
      <dsp:spPr>
        <a:xfrm>
          <a:off x="5759962" y="4138135"/>
          <a:ext cx="1074497" cy="468577"/>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Administrative Coordinator</a:t>
          </a:r>
        </a:p>
      </dsp:txBody>
      <dsp:txXfrm>
        <a:off x="5759962" y="4138135"/>
        <a:ext cx="1074497" cy="468577"/>
      </dsp:txXfrm>
    </dsp:sp>
    <dsp:sp modelId="{6AD6CBAC-F298-439B-ABF0-F3AFD6A524E2}">
      <dsp:nvSpPr>
        <dsp:cNvPr id="0" name=""/>
        <dsp:cNvSpPr/>
      </dsp:nvSpPr>
      <dsp:spPr>
        <a:xfrm>
          <a:off x="2197905" y="463264"/>
          <a:ext cx="1123486" cy="463409"/>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Chief of Staff  </a:t>
          </a:r>
        </a:p>
      </dsp:txBody>
      <dsp:txXfrm>
        <a:off x="2197905" y="463264"/>
        <a:ext cx="1123486" cy="463409"/>
      </dsp:txXfrm>
    </dsp:sp>
    <dsp:sp modelId="{82992FA8-EF99-4C81-BA7A-1C28949758E9}">
      <dsp:nvSpPr>
        <dsp:cNvPr id="0" name=""/>
        <dsp:cNvSpPr/>
      </dsp:nvSpPr>
      <dsp:spPr>
        <a:xfrm>
          <a:off x="3731118" y="1057478"/>
          <a:ext cx="1122744" cy="46261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Executive Associate</a:t>
          </a:r>
        </a:p>
      </dsp:txBody>
      <dsp:txXfrm>
        <a:off x="3731118" y="1057478"/>
        <a:ext cx="1122744" cy="462614"/>
      </dsp:txXfrm>
    </dsp:sp>
    <dsp:sp modelId="{B3FE8557-6459-45AF-866A-EDBB5B18B563}">
      <dsp:nvSpPr>
        <dsp:cNvPr id="0" name=""/>
        <dsp:cNvSpPr/>
      </dsp:nvSpPr>
      <dsp:spPr>
        <a:xfrm>
          <a:off x="2197905" y="992013"/>
          <a:ext cx="1146619" cy="470123"/>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dirty="0" smtClean="0">
              <a:latin typeface="Times New Roman" pitchFamily="18" charset="0"/>
              <a:cs typeface="Times New Roman" pitchFamily="18" charset="0"/>
            </a:rPr>
            <a:t>Executive Assistant</a:t>
          </a:r>
        </a:p>
      </dsp:txBody>
      <dsp:txXfrm>
        <a:off x="2197905" y="992013"/>
        <a:ext cx="1146619" cy="47012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5F09C4-FE01-4784-B34B-C49A99FD50F2}">
      <dsp:nvSpPr>
        <dsp:cNvPr id="0" name=""/>
        <dsp:cNvSpPr/>
      </dsp:nvSpPr>
      <dsp:spPr>
        <a:xfrm>
          <a:off x="3602329" y="2532564"/>
          <a:ext cx="2638166" cy="183145"/>
        </a:xfrm>
        <a:custGeom>
          <a:avLst/>
          <a:gdLst/>
          <a:ahLst/>
          <a:cxnLst/>
          <a:rect l="0" t="0" r="0" b="0"/>
          <a:pathLst>
            <a:path>
              <a:moveTo>
                <a:pt x="0" y="0"/>
              </a:moveTo>
              <a:lnTo>
                <a:pt x="0" y="91572"/>
              </a:lnTo>
              <a:lnTo>
                <a:pt x="2638166" y="91572"/>
              </a:lnTo>
              <a:lnTo>
                <a:pt x="2638166" y="183145"/>
              </a:lnTo>
            </a:path>
          </a:pathLst>
        </a:custGeom>
        <a:noFill/>
        <a:ln w="9525"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211FA270-C696-4CC3-BE9A-B91360E30A7D}">
      <dsp:nvSpPr>
        <dsp:cNvPr id="0" name=""/>
        <dsp:cNvSpPr/>
      </dsp:nvSpPr>
      <dsp:spPr>
        <a:xfrm>
          <a:off x="3602329" y="2532564"/>
          <a:ext cx="1582899" cy="183145"/>
        </a:xfrm>
        <a:custGeom>
          <a:avLst/>
          <a:gdLst/>
          <a:ahLst/>
          <a:cxnLst/>
          <a:rect l="0" t="0" r="0" b="0"/>
          <a:pathLst>
            <a:path>
              <a:moveTo>
                <a:pt x="0" y="0"/>
              </a:moveTo>
              <a:lnTo>
                <a:pt x="0" y="91572"/>
              </a:lnTo>
              <a:lnTo>
                <a:pt x="1582899" y="91572"/>
              </a:lnTo>
              <a:lnTo>
                <a:pt x="1582899" y="183145"/>
              </a:lnTo>
            </a:path>
          </a:pathLst>
        </a:custGeom>
        <a:noFill/>
        <a:ln w="9525"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507F2273-2834-46DF-8FA7-72D5D738E35D}">
      <dsp:nvSpPr>
        <dsp:cNvPr id="0" name=""/>
        <dsp:cNvSpPr/>
      </dsp:nvSpPr>
      <dsp:spPr>
        <a:xfrm>
          <a:off x="3602329" y="2532564"/>
          <a:ext cx="527633" cy="183145"/>
        </a:xfrm>
        <a:custGeom>
          <a:avLst/>
          <a:gdLst/>
          <a:ahLst/>
          <a:cxnLst/>
          <a:rect l="0" t="0" r="0" b="0"/>
          <a:pathLst>
            <a:path>
              <a:moveTo>
                <a:pt x="0" y="0"/>
              </a:moveTo>
              <a:lnTo>
                <a:pt x="0" y="91572"/>
              </a:lnTo>
              <a:lnTo>
                <a:pt x="527633" y="91572"/>
              </a:lnTo>
              <a:lnTo>
                <a:pt x="527633" y="183145"/>
              </a:lnTo>
            </a:path>
          </a:pathLst>
        </a:custGeom>
        <a:noFill/>
        <a:ln w="9525"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635B9D27-EF15-4745-A622-5DC1E2C5306A}">
      <dsp:nvSpPr>
        <dsp:cNvPr id="0" name=""/>
        <dsp:cNvSpPr/>
      </dsp:nvSpPr>
      <dsp:spPr>
        <a:xfrm>
          <a:off x="3074695" y="2532564"/>
          <a:ext cx="527633" cy="183145"/>
        </a:xfrm>
        <a:custGeom>
          <a:avLst/>
          <a:gdLst/>
          <a:ahLst/>
          <a:cxnLst/>
          <a:rect l="0" t="0" r="0" b="0"/>
          <a:pathLst>
            <a:path>
              <a:moveTo>
                <a:pt x="527633" y="0"/>
              </a:moveTo>
              <a:lnTo>
                <a:pt x="527633" y="91572"/>
              </a:lnTo>
              <a:lnTo>
                <a:pt x="0" y="91572"/>
              </a:lnTo>
              <a:lnTo>
                <a:pt x="0" y="183145"/>
              </a:lnTo>
            </a:path>
          </a:pathLst>
        </a:custGeom>
        <a:noFill/>
        <a:ln w="9525"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8C4C28A5-BE82-43EE-84B7-1F788EEBC993}">
      <dsp:nvSpPr>
        <dsp:cNvPr id="0" name=""/>
        <dsp:cNvSpPr/>
      </dsp:nvSpPr>
      <dsp:spPr>
        <a:xfrm>
          <a:off x="2019429" y="2532564"/>
          <a:ext cx="1582899" cy="183145"/>
        </a:xfrm>
        <a:custGeom>
          <a:avLst/>
          <a:gdLst/>
          <a:ahLst/>
          <a:cxnLst/>
          <a:rect l="0" t="0" r="0" b="0"/>
          <a:pathLst>
            <a:path>
              <a:moveTo>
                <a:pt x="1582899" y="0"/>
              </a:moveTo>
              <a:lnTo>
                <a:pt x="1582899" y="91572"/>
              </a:lnTo>
              <a:lnTo>
                <a:pt x="0" y="91572"/>
              </a:lnTo>
              <a:lnTo>
                <a:pt x="0" y="183145"/>
              </a:lnTo>
            </a:path>
          </a:pathLst>
        </a:custGeom>
        <a:noFill/>
        <a:ln w="9525"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6046FD01-BC3A-468E-B56F-FFD58786053F}">
      <dsp:nvSpPr>
        <dsp:cNvPr id="0" name=""/>
        <dsp:cNvSpPr/>
      </dsp:nvSpPr>
      <dsp:spPr>
        <a:xfrm>
          <a:off x="964162" y="3770976"/>
          <a:ext cx="527633" cy="183145"/>
        </a:xfrm>
        <a:custGeom>
          <a:avLst/>
          <a:gdLst/>
          <a:ahLst/>
          <a:cxnLst/>
          <a:rect l="0" t="0" r="0" b="0"/>
          <a:pathLst>
            <a:path>
              <a:moveTo>
                <a:pt x="0" y="0"/>
              </a:moveTo>
              <a:lnTo>
                <a:pt x="0" y="91572"/>
              </a:lnTo>
              <a:lnTo>
                <a:pt x="527633" y="91572"/>
              </a:lnTo>
              <a:lnTo>
                <a:pt x="527633" y="183145"/>
              </a:lnTo>
            </a:path>
          </a:pathLst>
        </a:custGeom>
        <a:noFill/>
        <a:ln w="9525"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E11287D9-E77C-4A74-9066-2979AF09FB57}">
      <dsp:nvSpPr>
        <dsp:cNvPr id="0" name=""/>
        <dsp:cNvSpPr/>
      </dsp:nvSpPr>
      <dsp:spPr>
        <a:xfrm>
          <a:off x="436529" y="3770976"/>
          <a:ext cx="527633" cy="183145"/>
        </a:xfrm>
        <a:custGeom>
          <a:avLst/>
          <a:gdLst/>
          <a:ahLst/>
          <a:cxnLst/>
          <a:rect l="0" t="0" r="0" b="0"/>
          <a:pathLst>
            <a:path>
              <a:moveTo>
                <a:pt x="527633" y="0"/>
              </a:moveTo>
              <a:lnTo>
                <a:pt x="527633" y="91572"/>
              </a:lnTo>
              <a:lnTo>
                <a:pt x="0" y="91572"/>
              </a:lnTo>
              <a:lnTo>
                <a:pt x="0" y="183145"/>
              </a:lnTo>
            </a:path>
          </a:pathLst>
        </a:custGeom>
        <a:noFill/>
        <a:ln w="9525"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1BD790D9-59AA-49B6-B7D0-B8864C1835F0}">
      <dsp:nvSpPr>
        <dsp:cNvPr id="0" name=""/>
        <dsp:cNvSpPr/>
      </dsp:nvSpPr>
      <dsp:spPr>
        <a:xfrm>
          <a:off x="918442" y="3151770"/>
          <a:ext cx="91440" cy="183145"/>
        </a:xfrm>
        <a:custGeom>
          <a:avLst/>
          <a:gdLst/>
          <a:ahLst/>
          <a:cxnLst/>
          <a:rect l="0" t="0" r="0" b="0"/>
          <a:pathLst>
            <a:path>
              <a:moveTo>
                <a:pt x="45720" y="0"/>
              </a:moveTo>
              <a:lnTo>
                <a:pt x="45720" y="183145"/>
              </a:lnTo>
            </a:path>
          </a:pathLst>
        </a:custGeom>
        <a:noFill/>
        <a:ln w="9525"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54B9C367-A97A-45DC-A087-BA920333B3AF}">
      <dsp:nvSpPr>
        <dsp:cNvPr id="0" name=""/>
        <dsp:cNvSpPr/>
      </dsp:nvSpPr>
      <dsp:spPr>
        <a:xfrm>
          <a:off x="964162" y="2532564"/>
          <a:ext cx="2638166" cy="183145"/>
        </a:xfrm>
        <a:custGeom>
          <a:avLst/>
          <a:gdLst/>
          <a:ahLst/>
          <a:cxnLst/>
          <a:rect l="0" t="0" r="0" b="0"/>
          <a:pathLst>
            <a:path>
              <a:moveTo>
                <a:pt x="2638166" y="0"/>
              </a:moveTo>
              <a:lnTo>
                <a:pt x="2638166" y="91572"/>
              </a:lnTo>
              <a:lnTo>
                <a:pt x="0" y="91572"/>
              </a:lnTo>
              <a:lnTo>
                <a:pt x="0" y="183145"/>
              </a:lnTo>
            </a:path>
          </a:pathLst>
        </a:custGeom>
        <a:noFill/>
        <a:ln w="9525"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059D6320-D88C-487F-B83D-3ACDC53198AB}">
      <dsp:nvSpPr>
        <dsp:cNvPr id="0" name=""/>
        <dsp:cNvSpPr/>
      </dsp:nvSpPr>
      <dsp:spPr>
        <a:xfrm>
          <a:off x="3556609" y="1913358"/>
          <a:ext cx="91440" cy="183145"/>
        </a:xfrm>
        <a:custGeom>
          <a:avLst/>
          <a:gdLst/>
          <a:ahLst/>
          <a:cxnLst/>
          <a:rect l="0" t="0" r="0" b="0"/>
          <a:pathLst>
            <a:path>
              <a:moveTo>
                <a:pt x="45720" y="0"/>
              </a:moveTo>
              <a:lnTo>
                <a:pt x="45720" y="183145"/>
              </a:lnTo>
            </a:path>
          </a:pathLst>
        </a:custGeom>
        <a:noFill/>
        <a:ln w="9525"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E43CBB96-FF14-45D5-A751-CAD7B98BF0D0}">
      <dsp:nvSpPr>
        <dsp:cNvPr id="0" name=""/>
        <dsp:cNvSpPr/>
      </dsp:nvSpPr>
      <dsp:spPr>
        <a:xfrm>
          <a:off x="3556609" y="1294152"/>
          <a:ext cx="91440" cy="183145"/>
        </a:xfrm>
        <a:custGeom>
          <a:avLst/>
          <a:gdLst/>
          <a:ahLst/>
          <a:cxnLst/>
          <a:rect l="0" t="0" r="0" b="0"/>
          <a:pathLst>
            <a:path>
              <a:moveTo>
                <a:pt x="45720" y="0"/>
              </a:moveTo>
              <a:lnTo>
                <a:pt x="45720" y="183145"/>
              </a:lnTo>
            </a:path>
          </a:pathLst>
        </a:custGeom>
        <a:noFill/>
        <a:ln w="9525"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402B85D9-B32A-41DB-B41E-2A3A44EC80DB}">
      <dsp:nvSpPr>
        <dsp:cNvPr id="0" name=""/>
        <dsp:cNvSpPr/>
      </dsp:nvSpPr>
      <dsp:spPr>
        <a:xfrm>
          <a:off x="3166268" y="858092"/>
          <a:ext cx="872121" cy="436060"/>
        </a:xfrm>
        <a:prstGeom prst="rect">
          <a:avLst/>
        </a:prstGeom>
        <a:solidFill>
          <a:schemeClr val="accent3">
            <a:lumMod val="40000"/>
            <a:lumOff val="60000"/>
          </a:schemeClr>
        </a:solidFill>
        <a:ln w="952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Local Director</a:t>
          </a:r>
        </a:p>
      </dsp:txBody>
      <dsp:txXfrm>
        <a:off x="3166268" y="858092"/>
        <a:ext cx="872121" cy="436060"/>
      </dsp:txXfrm>
    </dsp:sp>
    <dsp:sp modelId="{400D6E28-15E9-4009-84EC-0B9F10352D67}">
      <dsp:nvSpPr>
        <dsp:cNvPr id="0" name=""/>
        <dsp:cNvSpPr/>
      </dsp:nvSpPr>
      <dsp:spPr>
        <a:xfrm>
          <a:off x="3166268" y="1477298"/>
          <a:ext cx="872121" cy="436060"/>
        </a:xfrm>
        <a:prstGeom prst="rect">
          <a:avLst/>
        </a:prstGeom>
        <a:solidFill>
          <a:schemeClr val="accent3">
            <a:lumMod val="40000"/>
            <a:lumOff val="60000"/>
          </a:schemeClr>
        </a:solidFill>
        <a:ln w="952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Assistant Director</a:t>
          </a:r>
          <a:br>
            <a:rPr lang="en-US" sz="800" kern="1200">
              <a:solidFill>
                <a:sysClr val="windowText" lastClr="000000"/>
              </a:solidFill>
            </a:rPr>
          </a:br>
          <a:r>
            <a:rPr lang="en-US" sz="800" kern="1200">
              <a:solidFill>
                <a:sysClr val="windowText" lastClr="000000"/>
              </a:solidFill>
            </a:rPr>
            <a:t>Family Investment</a:t>
          </a:r>
        </a:p>
      </dsp:txBody>
      <dsp:txXfrm>
        <a:off x="3166268" y="1477298"/>
        <a:ext cx="872121" cy="436060"/>
      </dsp:txXfrm>
    </dsp:sp>
    <dsp:sp modelId="{8E64A741-9B30-4BD2-B2EF-B3790977DDFF}">
      <dsp:nvSpPr>
        <dsp:cNvPr id="0" name=""/>
        <dsp:cNvSpPr/>
      </dsp:nvSpPr>
      <dsp:spPr>
        <a:xfrm>
          <a:off x="3166268" y="2096504"/>
          <a:ext cx="872121" cy="436060"/>
        </a:xfrm>
        <a:prstGeom prst="rect">
          <a:avLst/>
        </a:prstGeom>
        <a:solidFill>
          <a:schemeClr val="accent3">
            <a:lumMod val="40000"/>
            <a:lumOff val="60000"/>
          </a:schemeClr>
        </a:solidFill>
        <a:ln w="952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Workforce </a:t>
          </a:r>
        </a:p>
        <a:p>
          <a:pPr lvl="0" algn="ctr" defTabSz="355600">
            <a:lnSpc>
              <a:spcPct val="90000"/>
            </a:lnSpc>
            <a:spcBef>
              <a:spcPct val="0"/>
            </a:spcBef>
            <a:spcAft>
              <a:spcPct val="35000"/>
            </a:spcAft>
          </a:pPr>
          <a:r>
            <a:rPr lang="en-US" sz="800" kern="1200">
              <a:solidFill>
                <a:sysClr val="windowText" lastClr="000000"/>
              </a:solidFill>
            </a:rPr>
            <a:t>Program Administrator</a:t>
          </a:r>
        </a:p>
      </dsp:txBody>
      <dsp:txXfrm>
        <a:off x="3166268" y="2096504"/>
        <a:ext cx="872121" cy="436060"/>
      </dsp:txXfrm>
    </dsp:sp>
    <dsp:sp modelId="{9CB357F9-024E-4B3D-8EEC-32C3F3CF63B7}">
      <dsp:nvSpPr>
        <dsp:cNvPr id="0" name=""/>
        <dsp:cNvSpPr/>
      </dsp:nvSpPr>
      <dsp:spPr>
        <a:xfrm>
          <a:off x="528101" y="2715710"/>
          <a:ext cx="872121" cy="436060"/>
        </a:xfrm>
        <a:prstGeom prst="rect">
          <a:avLst/>
        </a:prstGeom>
        <a:solidFill>
          <a:schemeClr val="accent3">
            <a:lumMod val="40000"/>
            <a:lumOff val="60000"/>
          </a:schemeClr>
        </a:solidFill>
        <a:ln w="952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Workforce </a:t>
          </a:r>
        </a:p>
        <a:p>
          <a:pPr lvl="0" algn="ctr" defTabSz="355600">
            <a:lnSpc>
              <a:spcPct val="90000"/>
            </a:lnSpc>
            <a:spcBef>
              <a:spcPct val="0"/>
            </a:spcBef>
            <a:spcAft>
              <a:spcPct val="35000"/>
            </a:spcAft>
          </a:pPr>
          <a:r>
            <a:rPr lang="en-US" sz="800" kern="1200">
              <a:solidFill>
                <a:sysClr val="windowText" lastClr="000000"/>
              </a:solidFill>
            </a:rPr>
            <a:t>Program Manager</a:t>
          </a:r>
        </a:p>
      </dsp:txBody>
      <dsp:txXfrm>
        <a:off x="528101" y="2715710"/>
        <a:ext cx="872121" cy="436060"/>
      </dsp:txXfrm>
    </dsp:sp>
    <dsp:sp modelId="{51F2EDF4-CF50-4E3B-B972-A455A6845075}">
      <dsp:nvSpPr>
        <dsp:cNvPr id="0" name=""/>
        <dsp:cNvSpPr/>
      </dsp:nvSpPr>
      <dsp:spPr>
        <a:xfrm>
          <a:off x="528101" y="3334916"/>
          <a:ext cx="872121" cy="436060"/>
        </a:xfrm>
        <a:prstGeom prst="rect">
          <a:avLst/>
        </a:prstGeom>
        <a:solidFill>
          <a:schemeClr val="accent3">
            <a:lumMod val="40000"/>
            <a:lumOff val="60000"/>
          </a:schemeClr>
        </a:solidFill>
        <a:ln w="952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Workforce  Supervisory</a:t>
          </a:r>
        </a:p>
      </dsp:txBody>
      <dsp:txXfrm>
        <a:off x="528101" y="3334916"/>
        <a:ext cx="872121" cy="436060"/>
      </dsp:txXfrm>
    </dsp:sp>
    <dsp:sp modelId="{9BC4E93E-7DC2-4073-8B8E-563AA1D2CA12}">
      <dsp:nvSpPr>
        <dsp:cNvPr id="0" name=""/>
        <dsp:cNvSpPr/>
      </dsp:nvSpPr>
      <dsp:spPr>
        <a:xfrm>
          <a:off x="468" y="3954122"/>
          <a:ext cx="872121" cy="436060"/>
        </a:xfrm>
        <a:prstGeom prst="rect">
          <a:avLst/>
        </a:prstGeom>
        <a:solidFill>
          <a:schemeClr val="accent3">
            <a:lumMod val="40000"/>
            <a:lumOff val="60000"/>
          </a:schemeClr>
        </a:solidFill>
        <a:ln w="952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Workforce  Specialist</a:t>
          </a:r>
        </a:p>
      </dsp:txBody>
      <dsp:txXfrm>
        <a:off x="468" y="3954122"/>
        <a:ext cx="872121" cy="436060"/>
      </dsp:txXfrm>
    </dsp:sp>
    <dsp:sp modelId="{701BF94F-5BE1-4DAC-B04F-DA1456564F4C}">
      <dsp:nvSpPr>
        <dsp:cNvPr id="0" name=""/>
        <dsp:cNvSpPr/>
      </dsp:nvSpPr>
      <dsp:spPr>
        <a:xfrm>
          <a:off x="1055735" y="3954122"/>
          <a:ext cx="872121" cy="436060"/>
        </a:xfrm>
        <a:prstGeom prst="rect">
          <a:avLst/>
        </a:prstGeom>
        <a:solidFill>
          <a:schemeClr val="accent3">
            <a:lumMod val="40000"/>
            <a:lumOff val="6000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Workforce Specialist</a:t>
          </a:r>
        </a:p>
      </dsp:txBody>
      <dsp:txXfrm>
        <a:off x="1055735" y="3954122"/>
        <a:ext cx="872121" cy="436060"/>
      </dsp:txXfrm>
    </dsp:sp>
    <dsp:sp modelId="{E2748D5D-7EA1-49ED-81A3-BE5F94595BDC}">
      <dsp:nvSpPr>
        <dsp:cNvPr id="0" name=""/>
        <dsp:cNvSpPr/>
      </dsp:nvSpPr>
      <dsp:spPr>
        <a:xfrm>
          <a:off x="1583368" y="2715710"/>
          <a:ext cx="872121" cy="436060"/>
        </a:xfrm>
        <a:prstGeom prst="rect">
          <a:avLst/>
        </a:prstGeom>
        <a:solidFill>
          <a:schemeClr val="accent3">
            <a:lumMod val="40000"/>
            <a:lumOff val="6000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Administrative Support</a:t>
          </a:r>
        </a:p>
      </dsp:txBody>
      <dsp:txXfrm>
        <a:off x="1583368" y="2715710"/>
        <a:ext cx="872121" cy="436060"/>
      </dsp:txXfrm>
    </dsp:sp>
    <dsp:sp modelId="{4FA64785-F4D0-49BD-A6B3-E9A26FFAEC57}">
      <dsp:nvSpPr>
        <dsp:cNvPr id="0" name=""/>
        <dsp:cNvSpPr/>
      </dsp:nvSpPr>
      <dsp:spPr>
        <a:xfrm>
          <a:off x="2638635" y="2715710"/>
          <a:ext cx="872121" cy="436060"/>
        </a:xfrm>
        <a:prstGeom prst="rect">
          <a:avLst/>
        </a:prstGeom>
        <a:solidFill>
          <a:schemeClr val="accent3">
            <a:lumMod val="40000"/>
            <a:lumOff val="6000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Administrative Support</a:t>
          </a:r>
        </a:p>
      </dsp:txBody>
      <dsp:txXfrm>
        <a:off x="2638635" y="2715710"/>
        <a:ext cx="872121" cy="436060"/>
      </dsp:txXfrm>
    </dsp:sp>
    <dsp:sp modelId="{141EEDB0-3D17-476D-B42B-7A8EF6C28AC8}">
      <dsp:nvSpPr>
        <dsp:cNvPr id="0" name=""/>
        <dsp:cNvSpPr/>
      </dsp:nvSpPr>
      <dsp:spPr>
        <a:xfrm>
          <a:off x="3693901" y="2715710"/>
          <a:ext cx="872121" cy="436060"/>
        </a:xfrm>
        <a:prstGeom prst="rect">
          <a:avLst/>
        </a:prstGeom>
        <a:solidFill>
          <a:schemeClr val="accent3">
            <a:lumMod val="40000"/>
            <a:lumOff val="6000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Fiscal Support</a:t>
          </a:r>
        </a:p>
      </dsp:txBody>
      <dsp:txXfrm>
        <a:off x="3693901" y="2715710"/>
        <a:ext cx="872121" cy="436060"/>
      </dsp:txXfrm>
    </dsp:sp>
    <dsp:sp modelId="{B5605D55-4C4A-4AC5-87E5-948A06066F21}">
      <dsp:nvSpPr>
        <dsp:cNvPr id="0" name=""/>
        <dsp:cNvSpPr/>
      </dsp:nvSpPr>
      <dsp:spPr>
        <a:xfrm>
          <a:off x="4749168" y="2715710"/>
          <a:ext cx="872121" cy="436060"/>
        </a:xfrm>
        <a:prstGeom prst="rect">
          <a:avLst/>
        </a:prstGeom>
        <a:solidFill>
          <a:schemeClr val="accent3">
            <a:lumMod val="40000"/>
            <a:lumOff val="6000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Program Specialist</a:t>
          </a:r>
        </a:p>
      </dsp:txBody>
      <dsp:txXfrm>
        <a:off x="4749168" y="2715710"/>
        <a:ext cx="872121" cy="436060"/>
      </dsp:txXfrm>
    </dsp:sp>
    <dsp:sp modelId="{209CCFD3-E7D1-4B02-A9F2-38B6F24BD09B}">
      <dsp:nvSpPr>
        <dsp:cNvPr id="0" name=""/>
        <dsp:cNvSpPr/>
      </dsp:nvSpPr>
      <dsp:spPr>
        <a:xfrm>
          <a:off x="5804435" y="2715710"/>
          <a:ext cx="872121" cy="436060"/>
        </a:xfrm>
        <a:prstGeom prst="rect">
          <a:avLst/>
        </a:prstGeom>
        <a:solidFill>
          <a:schemeClr val="accent3">
            <a:lumMod val="40000"/>
            <a:lumOff val="60000"/>
          </a:schemeClr>
        </a:solidFill>
        <a:ln w="9525" cap="flat" cmpd="sng" algn="ctr">
          <a:solidFill>
            <a:scrgbClr r="0" g="0" b="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rPr>
            <a:t>Program Specialist</a:t>
          </a:r>
        </a:p>
      </dsp:txBody>
      <dsp:txXfrm>
        <a:off x="5804435" y="2715710"/>
        <a:ext cx="872121" cy="4360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7D9A8B-7AEF-4799-9C34-360A2F7BE7BE}">
      <dsp:nvSpPr>
        <dsp:cNvPr id="0" name=""/>
        <dsp:cNvSpPr/>
      </dsp:nvSpPr>
      <dsp:spPr>
        <a:xfrm>
          <a:off x="6529445" y="3386979"/>
          <a:ext cx="91440" cy="258549"/>
        </a:xfrm>
        <a:custGeom>
          <a:avLst/>
          <a:gdLst/>
          <a:ahLst/>
          <a:cxnLst/>
          <a:rect l="0" t="0" r="0" b="0"/>
          <a:pathLst>
            <a:path>
              <a:moveTo>
                <a:pt x="45720" y="0"/>
              </a:moveTo>
              <a:lnTo>
                <a:pt x="4572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2A8905CC-BC64-4937-ACE7-C4E776405C54}">
      <dsp:nvSpPr>
        <dsp:cNvPr id="0" name=""/>
        <dsp:cNvSpPr/>
      </dsp:nvSpPr>
      <dsp:spPr>
        <a:xfrm>
          <a:off x="3595687" y="2512834"/>
          <a:ext cx="2979478" cy="258549"/>
        </a:xfrm>
        <a:custGeom>
          <a:avLst/>
          <a:gdLst/>
          <a:ahLst/>
          <a:cxnLst/>
          <a:rect l="0" t="0" r="0" b="0"/>
          <a:pathLst>
            <a:path>
              <a:moveTo>
                <a:pt x="0" y="0"/>
              </a:moveTo>
              <a:lnTo>
                <a:pt x="0" y="129274"/>
              </a:lnTo>
              <a:lnTo>
                <a:pt x="2979478" y="129274"/>
              </a:lnTo>
              <a:lnTo>
                <a:pt x="2979478"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7FFFD9F7-152A-4587-9C8D-63701A3B0C67}">
      <dsp:nvSpPr>
        <dsp:cNvPr id="0" name=""/>
        <dsp:cNvSpPr/>
      </dsp:nvSpPr>
      <dsp:spPr>
        <a:xfrm>
          <a:off x="5039706" y="3386979"/>
          <a:ext cx="91440" cy="258549"/>
        </a:xfrm>
        <a:custGeom>
          <a:avLst/>
          <a:gdLst/>
          <a:ahLst/>
          <a:cxnLst/>
          <a:rect l="0" t="0" r="0" b="0"/>
          <a:pathLst>
            <a:path>
              <a:moveTo>
                <a:pt x="45720" y="0"/>
              </a:moveTo>
              <a:lnTo>
                <a:pt x="4572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B2EE759F-D307-4B66-86B9-79FBFA7F1F26}">
      <dsp:nvSpPr>
        <dsp:cNvPr id="0" name=""/>
        <dsp:cNvSpPr/>
      </dsp:nvSpPr>
      <dsp:spPr>
        <a:xfrm>
          <a:off x="3595687" y="2512834"/>
          <a:ext cx="1489739" cy="258549"/>
        </a:xfrm>
        <a:custGeom>
          <a:avLst/>
          <a:gdLst/>
          <a:ahLst/>
          <a:cxnLst/>
          <a:rect l="0" t="0" r="0" b="0"/>
          <a:pathLst>
            <a:path>
              <a:moveTo>
                <a:pt x="0" y="0"/>
              </a:moveTo>
              <a:lnTo>
                <a:pt x="0" y="129274"/>
              </a:lnTo>
              <a:lnTo>
                <a:pt x="1489739" y="129274"/>
              </a:lnTo>
              <a:lnTo>
                <a:pt x="1489739"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7100F1FC-1B20-4CC1-A833-7B41518F801A}">
      <dsp:nvSpPr>
        <dsp:cNvPr id="0" name=""/>
        <dsp:cNvSpPr/>
      </dsp:nvSpPr>
      <dsp:spPr>
        <a:xfrm>
          <a:off x="3549967" y="3386979"/>
          <a:ext cx="91440" cy="258549"/>
        </a:xfrm>
        <a:custGeom>
          <a:avLst/>
          <a:gdLst/>
          <a:ahLst/>
          <a:cxnLst/>
          <a:rect l="0" t="0" r="0" b="0"/>
          <a:pathLst>
            <a:path>
              <a:moveTo>
                <a:pt x="45720" y="0"/>
              </a:moveTo>
              <a:lnTo>
                <a:pt x="4572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FBDC96F3-62B7-4D5F-9544-287A92FBF45C}">
      <dsp:nvSpPr>
        <dsp:cNvPr id="0" name=""/>
        <dsp:cNvSpPr/>
      </dsp:nvSpPr>
      <dsp:spPr>
        <a:xfrm>
          <a:off x="3549967" y="2512834"/>
          <a:ext cx="91440" cy="258549"/>
        </a:xfrm>
        <a:custGeom>
          <a:avLst/>
          <a:gdLst/>
          <a:ahLst/>
          <a:cxnLst/>
          <a:rect l="0" t="0" r="0" b="0"/>
          <a:pathLst>
            <a:path>
              <a:moveTo>
                <a:pt x="45720" y="0"/>
              </a:moveTo>
              <a:lnTo>
                <a:pt x="4572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E11287D9-E77C-4A74-9066-2979AF09FB57}">
      <dsp:nvSpPr>
        <dsp:cNvPr id="0" name=""/>
        <dsp:cNvSpPr/>
      </dsp:nvSpPr>
      <dsp:spPr>
        <a:xfrm>
          <a:off x="2060228" y="3386979"/>
          <a:ext cx="91440" cy="258549"/>
        </a:xfrm>
        <a:custGeom>
          <a:avLst/>
          <a:gdLst/>
          <a:ahLst/>
          <a:cxnLst/>
          <a:rect l="0" t="0" r="0" b="0"/>
          <a:pathLst>
            <a:path>
              <a:moveTo>
                <a:pt x="45720" y="0"/>
              </a:moveTo>
              <a:lnTo>
                <a:pt x="4572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F777AD85-7EE3-4675-BCE7-DA56ECCEECDA}">
      <dsp:nvSpPr>
        <dsp:cNvPr id="0" name=""/>
        <dsp:cNvSpPr/>
      </dsp:nvSpPr>
      <dsp:spPr>
        <a:xfrm>
          <a:off x="2105948" y="2512834"/>
          <a:ext cx="1489739" cy="258549"/>
        </a:xfrm>
        <a:custGeom>
          <a:avLst/>
          <a:gdLst/>
          <a:ahLst/>
          <a:cxnLst/>
          <a:rect l="0" t="0" r="0" b="0"/>
          <a:pathLst>
            <a:path>
              <a:moveTo>
                <a:pt x="1489739" y="0"/>
              </a:moveTo>
              <a:lnTo>
                <a:pt x="1489739" y="129274"/>
              </a:lnTo>
              <a:lnTo>
                <a:pt x="0" y="129274"/>
              </a:lnTo>
              <a:lnTo>
                <a:pt x="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E217569B-28E1-4EF6-AAC5-E2A3BAFEF06E}">
      <dsp:nvSpPr>
        <dsp:cNvPr id="0" name=""/>
        <dsp:cNvSpPr/>
      </dsp:nvSpPr>
      <dsp:spPr>
        <a:xfrm>
          <a:off x="570489" y="3386979"/>
          <a:ext cx="91440" cy="258549"/>
        </a:xfrm>
        <a:custGeom>
          <a:avLst/>
          <a:gdLst/>
          <a:ahLst/>
          <a:cxnLst/>
          <a:rect l="0" t="0" r="0" b="0"/>
          <a:pathLst>
            <a:path>
              <a:moveTo>
                <a:pt x="45720" y="0"/>
              </a:moveTo>
              <a:lnTo>
                <a:pt x="4572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3B56D6CB-F459-4B1A-B3A1-DC30B449727B}">
      <dsp:nvSpPr>
        <dsp:cNvPr id="0" name=""/>
        <dsp:cNvSpPr/>
      </dsp:nvSpPr>
      <dsp:spPr>
        <a:xfrm>
          <a:off x="616209" y="2512834"/>
          <a:ext cx="2979478" cy="258549"/>
        </a:xfrm>
        <a:custGeom>
          <a:avLst/>
          <a:gdLst/>
          <a:ahLst/>
          <a:cxnLst/>
          <a:rect l="0" t="0" r="0" b="0"/>
          <a:pathLst>
            <a:path>
              <a:moveTo>
                <a:pt x="2979478" y="0"/>
              </a:moveTo>
              <a:lnTo>
                <a:pt x="2979478" y="129274"/>
              </a:lnTo>
              <a:lnTo>
                <a:pt x="0" y="129274"/>
              </a:lnTo>
              <a:lnTo>
                <a:pt x="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447F4AB1-FD27-4BF7-AFDD-328962C35148}">
      <dsp:nvSpPr>
        <dsp:cNvPr id="0" name=""/>
        <dsp:cNvSpPr/>
      </dsp:nvSpPr>
      <dsp:spPr>
        <a:xfrm>
          <a:off x="3549967" y="1638690"/>
          <a:ext cx="91440" cy="258549"/>
        </a:xfrm>
        <a:custGeom>
          <a:avLst/>
          <a:gdLst/>
          <a:ahLst/>
          <a:cxnLst/>
          <a:rect l="0" t="0" r="0" b="0"/>
          <a:pathLst>
            <a:path>
              <a:moveTo>
                <a:pt x="45720" y="0"/>
              </a:moveTo>
              <a:lnTo>
                <a:pt x="4572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E43CBB96-FF14-45D5-A751-CAD7B98BF0D0}">
      <dsp:nvSpPr>
        <dsp:cNvPr id="0" name=""/>
        <dsp:cNvSpPr/>
      </dsp:nvSpPr>
      <dsp:spPr>
        <a:xfrm>
          <a:off x="3549967" y="764545"/>
          <a:ext cx="91440" cy="258549"/>
        </a:xfrm>
        <a:custGeom>
          <a:avLst/>
          <a:gdLst/>
          <a:ahLst/>
          <a:cxnLst/>
          <a:rect l="0" t="0" r="0" b="0"/>
          <a:pathLst>
            <a:path>
              <a:moveTo>
                <a:pt x="45720" y="0"/>
              </a:moveTo>
              <a:lnTo>
                <a:pt x="45720" y="258549"/>
              </a:lnTo>
            </a:path>
          </a:pathLst>
        </a:custGeom>
        <a:noFill/>
        <a:ln w="9525"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402B85D9-B32A-41DB-B41E-2A3A44EC80DB}">
      <dsp:nvSpPr>
        <dsp:cNvPr id="0" name=""/>
        <dsp:cNvSpPr/>
      </dsp:nvSpPr>
      <dsp:spPr>
        <a:xfrm>
          <a:off x="2980092" y="148951"/>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Local Director</a:t>
          </a:r>
        </a:p>
      </dsp:txBody>
      <dsp:txXfrm>
        <a:off x="2980092" y="148951"/>
        <a:ext cx="1231189" cy="615594"/>
      </dsp:txXfrm>
    </dsp:sp>
    <dsp:sp modelId="{400D6E28-15E9-4009-84EC-0B9F10352D67}">
      <dsp:nvSpPr>
        <dsp:cNvPr id="0" name=""/>
        <dsp:cNvSpPr/>
      </dsp:nvSpPr>
      <dsp:spPr>
        <a:xfrm>
          <a:off x="2980092" y="1023095"/>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Assistant Director</a:t>
          </a:r>
          <a:br>
            <a:rPr lang="en-US" sz="1100" kern="1200">
              <a:solidFill>
                <a:sysClr val="windowText" lastClr="000000"/>
              </a:solidFill>
            </a:rPr>
          </a:br>
          <a:r>
            <a:rPr lang="en-US" sz="1100" kern="1200">
              <a:solidFill>
                <a:sysClr val="windowText" lastClr="000000"/>
              </a:solidFill>
            </a:rPr>
            <a:t>Family Investment</a:t>
          </a:r>
        </a:p>
      </dsp:txBody>
      <dsp:txXfrm>
        <a:off x="2980092" y="1023095"/>
        <a:ext cx="1231189" cy="615594"/>
      </dsp:txXfrm>
    </dsp:sp>
    <dsp:sp modelId="{576DB36F-2656-41B9-A791-6F329EF7B0AD}">
      <dsp:nvSpPr>
        <dsp:cNvPr id="0" name=""/>
        <dsp:cNvSpPr/>
      </dsp:nvSpPr>
      <dsp:spPr>
        <a:xfrm>
          <a:off x="2980092" y="1897240"/>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Workforce</a:t>
          </a:r>
        </a:p>
        <a:p>
          <a:pPr lvl="0" algn="ctr" defTabSz="488950">
            <a:lnSpc>
              <a:spcPct val="90000"/>
            </a:lnSpc>
            <a:spcBef>
              <a:spcPct val="0"/>
            </a:spcBef>
            <a:spcAft>
              <a:spcPct val="35000"/>
            </a:spcAft>
          </a:pPr>
          <a:r>
            <a:rPr lang="en-US" sz="1100" kern="1200">
              <a:solidFill>
                <a:sysClr val="windowText" lastClr="000000"/>
              </a:solidFill>
            </a:rPr>
            <a:t>Program Manager</a:t>
          </a:r>
        </a:p>
      </dsp:txBody>
      <dsp:txXfrm>
        <a:off x="2980092" y="1897240"/>
        <a:ext cx="1231189" cy="615594"/>
      </dsp:txXfrm>
    </dsp:sp>
    <dsp:sp modelId="{896CB251-7334-4277-AAF9-1144D2DB54A9}">
      <dsp:nvSpPr>
        <dsp:cNvPr id="0" name=""/>
        <dsp:cNvSpPr/>
      </dsp:nvSpPr>
      <dsp:spPr>
        <a:xfrm>
          <a:off x="614" y="2771384"/>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FIA Supervisor</a:t>
          </a:r>
        </a:p>
      </dsp:txBody>
      <dsp:txXfrm>
        <a:off x="614" y="2771384"/>
        <a:ext cx="1231189" cy="615594"/>
      </dsp:txXfrm>
    </dsp:sp>
    <dsp:sp modelId="{BAAB0655-1E96-4F31-9AD4-B6C48CDB14FE}">
      <dsp:nvSpPr>
        <dsp:cNvPr id="0" name=""/>
        <dsp:cNvSpPr/>
      </dsp:nvSpPr>
      <dsp:spPr>
        <a:xfrm>
          <a:off x="614" y="3645529"/>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Team of 10</a:t>
          </a:r>
        </a:p>
        <a:p>
          <a:pPr lvl="0" algn="ctr" defTabSz="488950">
            <a:lnSpc>
              <a:spcPct val="90000"/>
            </a:lnSpc>
            <a:spcBef>
              <a:spcPct val="0"/>
            </a:spcBef>
            <a:spcAft>
              <a:spcPct val="35000"/>
            </a:spcAft>
          </a:pPr>
          <a:r>
            <a:rPr lang="en-US" sz="1100" kern="1200">
              <a:solidFill>
                <a:sysClr val="windowText" lastClr="000000"/>
              </a:solidFill>
            </a:rPr>
            <a:t>FIA Specialists &amp; </a:t>
          </a:r>
        </a:p>
        <a:p>
          <a:pPr lvl="0" algn="ctr" defTabSz="488950">
            <a:lnSpc>
              <a:spcPct val="90000"/>
            </a:lnSpc>
            <a:spcBef>
              <a:spcPct val="0"/>
            </a:spcBef>
            <a:spcAft>
              <a:spcPct val="35000"/>
            </a:spcAft>
          </a:pPr>
          <a:r>
            <a:rPr lang="en-US" sz="1100" kern="1200">
              <a:solidFill>
                <a:sysClr val="windowText" lastClr="000000"/>
              </a:solidFill>
            </a:rPr>
            <a:t>Suppourt Staff</a:t>
          </a:r>
        </a:p>
      </dsp:txBody>
      <dsp:txXfrm>
        <a:off x="614" y="3645529"/>
        <a:ext cx="1231189" cy="615594"/>
      </dsp:txXfrm>
    </dsp:sp>
    <dsp:sp modelId="{51F2EDF4-CF50-4E3B-B972-A455A6845075}">
      <dsp:nvSpPr>
        <dsp:cNvPr id="0" name=""/>
        <dsp:cNvSpPr/>
      </dsp:nvSpPr>
      <dsp:spPr>
        <a:xfrm>
          <a:off x="1490353" y="2771384"/>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FIA Supervisory</a:t>
          </a:r>
        </a:p>
      </dsp:txBody>
      <dsp:txXfrm>
        <a:off x="1490353" y="2771384"/>
        <a:ext cx="1231189" cy="615594"/>
      </dsp:txXfrm>
    </dsp:sp>
    <dsp:sp modelId="{9BC4E93E-7DC2-4073-8B8E-563AA1D2CA12}">
      <dsp:nvSpPr>
        <dsp:cNvPr id="0" name=""/>
        <dsp:cNvSpPr/>
      </dsp:nvSpPr>
      <dsp:spPr>
        <a:xfrm>
          <a:off x="1490353" y="3645529"/>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Team of 8</a:t>
          </a:r>
        </a:p>
        <a:p>
          <a:pPr lvl="0" algn="ctr" defTabSz="488950">
            <a:lnSpc>
              <a:spcPct val="90000"/>
            </a:lnSpc>
            <a:spcBef>
              <a:spcPct val="0"/>
            </a:spcBef>
            <a:spcAft>
              <a:spcPct val="35000"/>
            </a:spcAft>
          </a:pPr>
          <a:r>
            <a:rPr lang="en-US" sz="1100" kern="1200">
              <a:solidFill>
                <a:sysClr val="windowText" lastClr="000000"/>
              </a:solidFill>
            </a:rPr>
            <a:t>FIA Specialists &amp;</a:t>
          </a:r>
        </a:p>
        <a:p>
          <a:pPr lvl="0" algn="ctr" defTabSz="488950">
            <a:lnSpc>
              <a:spcPct val="90000"/>
            </a:lnSpc>
            <a:spcBef>
              <a:spcPct val="0"/>
            </a:spcBef>
            <a:spcAft>
              <a:spcPct val="35000"/>
            </a:spcAft>
          </a:pPr>
          <a:r>
            <a:rPr lang="en-US" sz="1100" kern="1200">
              <a:solidFill>
                <a:sysClr val="windowText" lastClr="000000"/>
              </a:solidFill>
            </a:rPr>
            <a:t>Support Staff</a:t>
          </a:r>
        </a:p>
      </dsp:txBody>
      <dsp:txXfrm>
        <a:off x="1490353" y="3645529"/>
        <a:ext cx="1231189" cy="615594"/>
      </dsp:txXfrm>
    </dsp:sp>
    <dsp:sp modelId="{7AE0F844-8FEA-4CB1-8EB3-EFF567D507F2}">
      <dsp:nvSpPr>
        <dsp:cNvPr id="0" name=""/>
        <dsp:cNvSpPr/>
      </dsp:nvSpPr>
      <dsp:spPr>
        <a:xfrm>
          <a:off x="2980092" y="2771384"/>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FIA Supervisor</a:t>
          </a:r>
        </a:p>
      </dsp:txBody>
      <dsp:txXfrm>
        <a:off x="2980092" y="2771384"/>
        <a:ext cx="1231189" cy="615594"/>
      </dsp:txXfrm>
    </dsp:sp>
    <dsp:sp modelId="{C4478A56-FAF1-4D5F-8F93-613E38809A80}">
      <dsp:nvSpPr>
        <dsp:cNvPr id="0" name=""/>
        <dsp:cNvSpPr/>
      </dsp:nvSpPr>
      <dsp:spPr>
        <a:xfrm>
          <a:off x="2980092" y="3645529"/>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Team of 13</a:t>
          </a:r>
        </a:p>
        <a:p>
          <a:pPr lvl="0" algn="ctr" defTabSz="488950">
            <a:lnSpc>
              <a:spcPct val="90000"/>
            </a:lnSpc>
            <a:spcBef>
              <a:spcPct val="0"/>
            </a:spcBef>
            <a:spcAft>
              <a:spcPct val="35000"/>
            </a:spcAft>
          </a:pPr>
          <a:r>
            <a:rPr lang="en-US" sz="1100" kern="1200">
              <a:solidFill>
                <a:sysClr val="windowText" lastClr="000000"/>
              </a:solidFill>
            </a:rPr>
            <a:t>FIA Specialists &amp; Support Staff</a:t>
          </a:r>
        </a:p>
      </dsp:txBody>
      <dsp:txXfrm>
        <a:off x="2980092" y="3645529"/>
        <a:ext cx="1231189" cy="615594"/>
      </dsp:txXfrm>
    </dsp:sp>
    <dsp:sp modelId="{04CF627B-9DB5-4076-B6C3-328ED6160B6E}">
      <dsp:nvSpPr>
        <dsp:cNvPr id="0" name=""/>
        <dsp:cNvSpPr/>
      </dsp:nvSpPr>
      <dsp:spPr>
        <a:xfrm>
          <a:off x="4469831" y="2771384"/>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FIA Supervisor	</a:t>
          </a:r>
        </a:p>
      </dsp:txBody>
      <dsp:txXfrm>
        <a:off x="4469831" y="2771384"/>
        <a:ext cx="1231189" cy="615594"/>
      </dsp:txXfrm>
    </dsp:sp>
    <dsp:sp modelId="{2DDD7344-489D-427D-9423-4C7113DAABF5}">
      <dsp:nvSpPr>
        <dsp:cNvPr id="0" name=""/>
        <dsp:cNvSpPr/>
      </dsp:nvSpPr>
      <dsp:spPr>
        <a:xfrm>
          <a:off x="4469831" y="3645529"/>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Team of 10</a:t>
          </a:r>
        </a:p>
        <a:p>
          <a:pPr lvl="0" algn="ctr" defTabSz="488950">
            <a:lnSpc>
              <a:spcPct val="90000"/>
            </a:lnSpc>
            <a:spcBef>
              <a:spcPct val="0"/>
            </a:spcBef>
            <a:spcAft>
              <a:spcPct val="35000"/>
            </a:spcAft>
          </a:pPr>
          <a:r>
            <a:rPr lang="en-US" sz="1100" kern="1200">
              <a:solidFill>
                <a:sysClr val="windowText" lastClr="000000"/>
              </a:solidFill>
            </a:rPr>
            <a:t>FIA Specialists &amp;</a:t>
          </a:r>
        </a:p>
        <a:p>
          <a:pPr lvl="0" algn="ctr" defTabSz="488950">
            <a:lnSpc>
              <a:spcPct val="90000"/>
            </a:lnSpc>
            <a:spcBef>
              <a:spcPct val="0"/>
            </a:spcBef>
            <a:spcAft>
              <a:spcPct val="35000"/>
            </a:spcAft>
          </a:pPr>
          <a:r>
            <a:rPr lang="en-US" sz="1100" kern="1200">
              <a:solidFill>
                <a:sysClr val="windowText" lastClr="000000"/>
              </a:solidFill>
            </a:rPr>
            <a:t>Support Staff</a:t>
          </a:r>
        </a:p>
      </dsp:txBody>
      <dsp:txXfrm>
        <a:off x="4469831" y="3645529"/>
        <a:ext cx="1231189" cy="615594"/>
      </dsp:txXfrm>
    </dsp:sp>
    <dsp:sp modelId="{C4C14699-2014-4DD2-8501-B35E94992F34}">
      <dsp:nvSpPr>
        <dsp:cNvPr id="0" name=""/>
        <dsp:cNvSpPr/>
      </dsp:nvSpPr>
      <dsp:spPr>
        <a:xfrm>
          <a:off x="5959571" y="2771384"/>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FIA Supervisor</a:t>
          </a:r>
        </a:p>
      </dsp:txBody>
      <dsp:txXfrm>
        <a:off x="5959571" y="2771384"/>
        <a:ext cx="1231189" cy="615594"/>
      </dsp:txXfrm>
    </dsp:sp>
    <dsp:sp modelId="{1E778923-42E2-411A-865C-17C1D629D1AC}">
      <dsp:nvSpPr>
        <dsp:cNvPr id="0" name=""/>
        <dsp:cNvSpPr/>
      </dsp:nvSpPr>
      <dsp:spPr>
        <a:xfrm>
          <a:off x="5959571" y="3645529"/>
          <a:ext cx="1231189" cy="615594"/>
        </a:xfrm>
        <a:prstGeom prst="rect">
          <a:avLst/>
        </a:prstGeom>
        <a:solidFill>
          <a:schemeClr val="accent3">
            <a:lumMod val="40000"/>
            <a:lumOff val="60000"/>
          </a:schemeClr>
        </a:solidFill>
        <a:ln w="9525"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Team of 13</a:t>
          </a:r>
        </a:p>
        <a:p>
          <a:pPr lvl="0" algn="ctr" defTabSz="488950">
            <a:lnSpc>
              <a:spcPct val="90000"/>
            </a:lnSpc>
            <a:spcBef>
              <a:spcPct val="0"/>
            </a:spcBef>
            <a:spcAft>
              <a:spcPct val="35000"/>
            </a:spcAft>
          </a:pPr>
          <a:r>
            <a:rPr lang="en-US" sz="1100" kern="1200">
              <a:solidFill>
                <a:sysClr val="windowText" lastClr="000000"/>
              </a:solidFill>
            </a:rPr>
            <a:t>FIA Specialists &amp; </a:t>
          </a:r>
        </a:p>
        <a:p>
          <a:pPr lvl="0" algn="ctr" defTabSz="488950">
            <a:lnSpc>
              <a:spcPct val="90000"/>
            </a:lnSpc>
            <a:spcBef>
              <a:spcPct val="0"/>
            </a:spcBef>
            <a:spcAft>
              <a:spcPct val="35000"/>
            </a:spcAft>
          </a:pPr>
          <a:r>
            <a:rPr lang="en-US" sz="1100" kern="1200">
              <a:solidFill>
                <a:sysClr val="windowText" lastClr="000000"/>
              </a:solidFill>
            </a:rPr>
            <a:t>Support Staff</a:t>
          </a:r>
        </a:p>
      </dsp:txBody>
      <dsp:txXfrm>
        <a:off x="5959571" y="3645529"/>
        <a:ext cx="1231189" cy="61559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457C75-EAA1-4886-BC57-62FC5D436736}">
      <dsp:nvSpPr>
        <dsp:cNvPr id="0" name=""/>
        <dsp:cNvSpPr/>
      </dsp:nvSpPr>
      <dsp:spPr>
        <a:xfrm>
          <a:off x="3514724" y="3137368"/>
          <a:ext cx="1975338" cy="342827"/>
        </a:xfrm>
        <a:custGeom>
          <a:avLst/>
          <a:gdLst/>
          <a:ahLst/>
          <a:cxnLst/>
          <a:rect l="0" t="0" r="0" b="0"/>
          <a:pathLst>
            <a:path>
              <a:moveTo>
                <a:pt x="0" y="0"/>
              </a:moveTo>
              <a:lnTo>
                <a:pt x="0" y="171413"/>
              </a:lnTo>
              <a:lnTo>
                <a:pt x="1975338" y="171413"/>
              </a:lnTo>
              <a:lnTo>
                <a:pt x="1975338" y="342827"/>
              </a:lnTo>
            </a:path>
          </a:pathLst>
        </a:custGeom>
        <a:noFill/>
        <a:ln w="635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6161DFAC-593D-4A7B-AD1B-362BFB62FC42}">
      <dsp:nvSpPr>
        <dsp:cNvPr id="0" name=""/>
        <dsp:cNvSpPr/>
      </dsp:nvSpPr>
      <dsp:spPr>
        <a:xfrm>
          <a:off x="3469004" y="3137368"/>
          <a:ext cx="91440" cy="342827"/>
        </a:xfrm>
        <a:custGeom>
          <a:avLst/>
          <a:gdLst/>
          <a:ahLst/>
          <a:cxnLst/>
          <a:rect l="0" t="0" r="0" b="0"/>
          <a:pathLst>
            <a:path>
              <a:moveTo>
                <a:pt x="45720" y="0"/>
              </a:moveTo>
              <a:lnTo>
                <a:pt x="45720" y="342827"/>
              </a:lnTo>
            </a:path>
          </a:pathLst>
        </a:custGeom>
        <a:noFill/>
        <a:ln w="635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9D5218F7-9E66-408B-A90D-79F04E06B60D}">
      <dsp:nvSpPr>
        <dsp:cNvPr id="0" name=""/>
        <dsp:cNvSpPr/>
      </dsp:nvSpPr>
      <dsp:spPr>
        <a:xfrm>
          <a:off x="1539386" y="3137368"/>
          <a:ext cx="1975338" cy="342827"/>
        </a:xfrm>
        <a:custGeom>
          <a:avLst/>
          <a:gdLst/>
          <a:ahLst/>
          <a:cxnLst/>
          <a:rect l="0" t="0" r="0" b="0"/>
          <a:pathLst>
            <a:path>
              <a:moveTo>
                <a:pt x="1975338" y="0"/>
              </a:moveTo>
              <a:lnTo>
                <a:pt x="1975338" y="171413"/>
              </a:lnTo>
              <a:lnTo>
                <a:pt x="0" y="171413"/>
              </a:lnTo>
              <a:lnTo>
                <a:pt x="0" y="342827"/>
              </a:lnTo>
            </a:path>
          </a:pathLst>
        </a:custGeom>
        <a:noFill/>
        <a:ln w="635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1BD790D9-59AA-49B6-B7D0-B8864C1835F0}">
      <dsp:nvSpPr>
        <dsp:cNvPr id="0" name=""/>
        <dsp:cNvSpPr/>
      </dsp:nvSpPr>
      <dsp:spPr>
        <a:xfrm>
          <a:off x="3469004" y="1978286"/>
          <a:ext cx="91440" cy="342827"/>
        </a:xfrm>
        <a:custGeom>
          <a:avLst/>
          <a:gdLst/>
          <a:ahLst/>
          <a:cxnLst/>
          <a:rect l="0" t="0" r="0" b="0"/>
          <a:pathLst>
            <a:path>
              <a:moveTo>
                <a:pt x="45720" y="0"/>
              </a:moveTo>
              <a:lnTo>
                <a:pt x="45720" y="342827"/>
              </a:lnTo>
            </a:path>
          </a:pathLst>
        </a:custGeom>
        <a:noFill/>
        <a:ln w="635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E43CBB96-FF14-45D5-A751-CAD7B98BF0D0}">
      <dsp:nvSpPr>
        <dsp:cNvPr id="0" name=""/>
        <dsp:cNvSpPr/>
      </dsp:nvSpPr>
      <dsp:spPr>
        <a:xfrm>
          <a:off x="3469004" y="819203"/>
          <a:ext cx="91440" cy="342827"/>
        </a:xfrm>
        <a:custGeom>
          <a:avLst/>
          <a:gdLst/>
          <a:ahLst/>
          <a:cxnLst/>
          <a:rect l="0" t="0" r="0" b="0"/>
          <a:pathLst>
            <a:path>
              <a:moveTo>
                <a:pt x="45720" y="0"/>
              </a:moveTo>
              <a:lnTo>
                <a:pt x="45720" y="342827"/>
              </a:lnTo>
            </a:path>
          </a:pathLst>
        </a:custGeom>
        <a:noFill/>
        <a:ln w="635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402B85D9-B32A-41DB-B41E-2A3A44EC80DB}">
      <dsp:nvSpPr>
        <dsp:cNvPr id="0" name=""/>
        <dsp:cNvSpPr/>
      </dsp:nvSpPr>
      <dsp:spPr>
        <a:xfrm>
          <a:off x="2698469" y="2947"/>
          <a:ext cx="1632510" cy="816255"/>
        </a:xfrm>
        <a:prstGeom prst="rect">
          <a:avLst/>
        </a:prstGeom>
        <a:solidFill>
          <a:schemeClr val="accent3">
            <a:lumMod val="40000"/>
            <a:lumOff val="60000"/>
          </a:schemeClr>
        </a:solidFill>
        <a:ln w="635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solidFill>
            </a:rPr>
            <a:t>Local Director</a:t>
          </a:r>
        </a:p>
      </dsp:txBody>
      <dsp:txXfrm>
        <a:off x="2698469" y="2947"/>
        <a:ext cx="1632510" cy="816255"/>
      </dsp:txXfrm>
    </dsp:sp>
    <dsp:sp modelId="{400D6E28-15E9-4009-84EC-0B9F10352D67}">
      <dsp:nvSpPr>
        <dsp:cNvPr id="0" name=""/>
        <dsp:cNvSpPr/>
      </dsp:nvSpPr>
      <dsp:spPr>
        <a:xfrm>
          <a:off x="2698469" y="1162030"/>
          <a:ext cx="1632510" cy="816255"/>
        </a:xfrm>
        <a:prstGeom prst="rect">
          <a:avLst/>
        </a:prstGeom>
        <a:solidFill>
          <a:schemeClr val="accent3">
            <a:lumMod val="40000"/>
            <a:lumOff val="60000"/>
          </a:schemeClr>
        </a:solidFill>
        <a:ln w="635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solidFill>
            </a:rPr>
            <a:t>Assistant Director</a:t>
          </a:r>
          <a:br>
            <a:rPr lang="en-US" sz="1500" kern="1200">
              <a:solidFill>
                <a:sysClr val="windowText" lastClr="000000"/>
              </a:solidFill>
            </a:rPr>
          </a:br>
          <a:r>
            <a:rPr lang="en-US" sz="1500" kern="1200">
              <a:solidFill>
                <a:sysClr val="windowText" lastClr="000000"/>
              </a:solidFill>
            </a:rPr>
            <a:t>Family Investment</a:t>
          </a:r>
        </a:p>
      </dsp:txBody>
      <dsp:txXfrm>
        <a:off x="2698469" y="1162030"/>
        <a:ext cx="1632510" cy="816255"/>
      </dsp:txXfrm>
    </dsp:sp>
    <dsp:sp modelId="{51F2EDF4-CF50-4E3B-B972-A455A6845075}">
      <dsp:nvSpPr>
        <dsp:cNvPr id="0" name=""/>
        <dsp:cNvSpPr/>
      </dsp:nvSpPr>
      <dsp:spPr>
        <a:xfrm>
          <a:off x="2698469" y="2321113"/>
          <a:ext cx="1632510" cy="816255"/>
        </a:xfrm>
        <a:prstGeom prst="rect">
          <a:avLst/>
        </a:prstGeom>
        <a:solidFill>
          <a:schemeClr val="accent3">
            <a:lumMod val="40000"/>
            <a:lumOff val="60000"/>
          </a:schemeClr>
        </a:solidFill>
        <a:ln w="635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solidFill>
            </a:rPr>
            <a:t>Workforce </a:t>
          </a:r>
        </a:p>
        <a:p>
          <a:pPr lvl="0" algn="ctr" defTabSz="666750">
            <a:lnSpc>
              <a:spcPct val="90000"/>
            </a:lnSpc>
            <a:spcBef>
              <a:spcPct val="0"/>
            </a:spcBef>
            <a:spcAft>
              <a:spcPct val="35000"/>
            </a:spcAft>
          </a:pPr>
          <a:r>
            <a:rPr lang="en-US" sz="1500" kern="1200">
              <a:solidFill>
                <a:sysClr val="windowText" lastClr="000000"/>
              </a:solidFill>
            </a:rPr>
            <a:t>Program Manager</a:t>
          </a:r>
        </a:p>
      </dsp:txBody>
      <dsp:txXfrm>
        <a:off x="2698469" y="2321113"/>
        <a:ext cx="1632510" cy="816255"/>
      </dsp:txXfrm>
    </dsp:sp>
    <dsp:sp modelId="{CC0752C5-6BD5-44A6-893B-B634049861B9}">
      <dsp:nvSpPr>
        <dsp:cNvPr id="0" name=""/>
        <dsp:cNvSpPr/>
      </dsp:nvSpPr>
      <dsp:spPr>
        <a:xfrm>
          <a:off x="723131" y="3480196"/>
          <a:ext cx="1632510" cy="1031706"/>
        </a:xfrm>
        <a:prstGeom prst="rect">
          <a:avLst/>
        </a:prstGeom>
        <a:solidFill>
          <a:schemeClr val="accent3">
            <a:lumMod val="40000"/>
            <a:lumOff val="60000"/>
          </a:schemeClr>
        </a:solidFill>
        <a:ln w="635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solidFill>
            </a:rPr>
            <a:t>Team of 2</a:t>
          </a:r>
        </a:p>
        <a:p>
          <a:pPr lvl="0" algn="ctr" defTabSz="666750">
            <a:lnSpc>
              <a:spcPct val="90000"/>
            </a:lnSpc>
            <a:spcBef>
              <a:spcPct val="0"/>
            </a:spcBef>
            <a:spcAft>
              <a:spcPct val="35000"/>
            </a:spcAft>
          </a:pPr>
          <a:r>
            <a:rPr lang="en-US" sz="1500" kern="1200">
              <a:solidFill>
                <a:sysClr val="windowText" lastClr="000000"/>
              </a:solidFill>
            </a:rPr>
            <a:t>1 - FIA Specialist</a:t>
          </a:r>
        </a:p>
        <a:p>
          <a:pPr lvl="0" algn="ctr" defTabSz="666750">
            <a:lnSpc>
              <a:spcPct val="90000"/>
            </a:lnSpc>
            <a:spcBef>
              <a:spcPct val="0"/>
            </a:spcBef>
            <a:spcAft>
              <a:spcPct val="35000"/>
            </a:spcAft>
          </a:pPr>
          <a:r>
            <a:rPr lang="en-US" sz="1500" kern="1200">
              <a:solidFill>
                <a:sysClr val="windowText" lastClr="000000"/>
              </a:solidFill>
            </a:rPr>
            <a:t>1 - Human Services Spec III</a:t>
          </a:r>
        </a:p>
      </dsp:txBody>
      <dsp:txXfrm>
        <a:off x="723131" y="3480196"/>
        <a:ext cx="1632510" cy="1031706"/>
      </dsp:txXfrm>
    </dsp:sp>
    <dsp:sp modelId="{D4D1A5B1-36E8-41BE-8757-38F454525702}">
      <dsp:nvSpPr>
        <dsp:cNvPr id="0" name=""/>
        <dsp:cNvSpPr/>
      </dsp:nvSpPr>
      <dsp:spPr>
        <a:xfrm>
          <a:off x="2698469" y="3480196"/>
          <a:ext cx="1632510" cy="816255"/>
        </a:xfrm>
        <a:prstGeom prst="rect">
          <a:avLst/>
        </a:prstGeom>
        <a:solidFill>
          <a:schemeClr val="accent3">
            <a:lumMod val="40000"/>
            <a:lumOff val="60000"/>
          </a:schemeClr>
        </a:solidFill>
        <a:ln w="635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solidFill>
            </a:rPr>
            <a:t>Team of 6</a:t>
          </a:r>
        </a:p>
        <a:p>
          <a:pPr lvl="0" algn="ctr" defTabSz="666750">
            <a:lnSpc>
              <a:spcPct val="90000"/>
            </a:lnSpc>
            <a:spcBef>
              <a:spcPct val="0"/>
            </a:spcBef>
            <a:spcAft>
              <a:spcPct val="35000"/>
            </a:spcAft>
          </a:pPr>
          <a:r>
            <a:rPr lang="en-US" sz="1500" kern="1200">
              <a:solidFill>
                <a:sysClr val="windowText" lastClr="000000"/>
              </a:solidFill>
            </a:rPr>
            <a:t>FIA Specialists</a:t>
          </a:r>
        </a:p>
      </dsp:txBody>
      <dsp:txXfrm>
        <a:off x="2698469" y="3480196"/>
        <a:ext cx="1632510" cy="816255"/>
      </dsp:txXfrm>
    </dsp:sp>
    <dsp:sp modelId="{A0FB1B22-A6AB-4107-96F7-57FAFA73CBCA}">
      <dsp:nvSpPr>
        <dsp:cNvPr id="0" name=""/>
        <dsp:cNvSpPr/>
      </dsp:nvSpPr>
      <dsp:spPr>
        <a:xfrm>
          <a:off x="4673807" y="3480196"/>
          <a:ext cx="1632510" cy="816255"/>
        </a:xfrm>
        <a:prstGeom prst="rect">
          <a:avLst/>
        </a:prstGeom>
        <a:solidFill>
          <a:schemeClr val="accent3">
            <a:lumMod val="40000"/>
            <a:lumOff val="60000"/>
          </a:schemeClr>
        </a:solidFill>
        <a:ln w="635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US" sz="1500" kern="1200">
              <a:solidFill>
                <a:sysClr val="windowText" lastClr="000000"/>
              </a:solidFill>
            </a:rPr>
            <a:t>Team of 6</a:t>
          </a:r>
        </a:p>
        <a:p>
          <a:pPr lvl="0" algn="ctr" defTabSz="666750">
            <a:lnSpc>
              <a:spcPct val="90000"/>
            </a:lnSpc>
            <a:spcBef>
              <a:spcPct val="0"/>
            </a:spcBef>
            <a:spcAft>
              <a:spcPct val="35000"/>
            </a:spcAft>
          </a:pPr>
          <a:r>
            <a:rPr lang="en-US" sz="1500" kern="1200">
              <a:solidFill>
                <a:sysClr val="windowText" lastClr="000000"/>
              </a:solidFill>
            </a:rPr>
            <a:t>FIA Specialists </a:t>
          </a:r>
        </a:p>
      </dsp:txBody>
      <dsp:txXfrm>
        <a:off x="4673807" y="3480196"/>
        <a:ext cx="1632510" cy="81625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FF6522-7B5E-4E76-B1D1-D5C277AE0738}">
      <dsp:nvSpPr>
        <dsp:cNvPr id="0" name=""/>
        <dsp:cNvSpPr/>
      </dsp:nvSpPr>
      <dsp:spPr>
        <a:xfrm>
          <a:off x="2926080" y="1179502"/>
          <a:ext cx="91440" cy="330826"/>
        </a:xfrm>
        <a:custGeom>
          <a:avLst/>
          <a:gdLst/>
          <a:ahLst/>
          <a:cxnLst/>
          <a:rect l="0" t="0" r="0" b="0"/>
          <a:pathLst>
            <a:path>
              <a:moveTo>
                <a:pt x="45720" y="0"/>
              </a:moveTo>
              <a:lnTo>
                <a:pt x="45720" y="330826"/>
              </a:lnTo>
              <a:lnTo>
                <a:pt x="121234" y="33082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C6CFD2E-5B63-4899-B1C0-FBD0719274FE}">
      <dsp:nvSpPr>
        <dsp:cNvPr id="0" name=""/>
        <dsp:cNvSpPr/>
      </dsp:nvSpPr>
      <dsp:spPr>
        <a:xfrm>
          <a:off x="2850565" y="1179502"/>
          <a:ext cx="91440" cy="330826"/>
        </a:xfrm>
        <a:custGeom>
          <a:avLst/>
          <a:gdLst/>
          <a:ahLst/>
          <a:cxnLst/>
          <a:rect l="0" t="0" r="0" b="0"/>
          <a:pathLst>
            <a:path>
              <a:moveTo>
                <a:pt x="121234" y="0"/>
              </a:moveTo>
              <a:lnTo>
                <a:pt x="121234" y="330826"/>
              </a:lnTo>
              <a:lnTo>
                <a:pt x="45720" y="33082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4D2B2A8-069E-4497-BB0D-4726B2798060}">
      <dsp:nvSpPr>
        <dsp:cNvPr id="0" name=""/>
        <dsp:cNvSpPr/>
      </dsp:nvSpPr>
      <dsp:spPr>
        <a:xfrm>
          <a:off x="2971799" y="1179502"/>
          <a:ext cx="2610654" cy="661653"/>
        </a:xfrm>
        <a:custGeom>
          <a:avLst/>
          <a:gdLst/>
          <a:ahLst/>
          <a:cxnLst/>
          <a:rect l="0" t="0" r="0" b="0"/>
          <a:pathLst>
            <a:path>
              <a:moveTo>
                <a:pt x="0" y="0"/>
              </a:moveTo>
              <a:lnTo>
                <a:pt x="0" y="586138"/>
              </a:lnTo>
              <a:lnTo>
                <a:pt x="2610654" y="586138"/>
              </a:lnTo>
              <a:lnTo>
                <a:pt x="2610654" y="66165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59E251E-4B3E-4755-A4B2-5C9B448F2AA6}">
      <dsp:nvSpPr>
        <dsp:cNvPr id="0" name=""/>
        <dsp:cNvSpPr/>
      </dsp:nvSpPr>
      <dsp:spPr>
        <a:xfrm>
          <a:off x="4424561" y="2200750"/>
          <a:ext cx="107878" cy="330826"/>
        </a:xfrm>
        <a:custGeom>
          <a:avLst/>
          <a:gdLst/>
          <a:ahLst/>
          <a:cxnLst/>
          <a:rect l="0" t="0" r="0" b="0"/>
          <a:pathLst>
            <a:path>
              <a:moveTo>
                <a:pt x="0" y="0"/>
              </a:moveTo>
              <a:lnTo>
                <a:pt x="0" y="330826"/>
              </a:lnTo>
              <a:lnTo>
                <a:pt x="107878" y="33082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91C4916-32F5-4852-8203-922EF878727C}">
      <dsp:nvSpPr>
        <dsp:cNvPr id="0" name=""/>
        <dsp:cNvSpPr/>
      </dsp:nvSpPr>
      <dsp:spPr>
        <a:xfrm>
          <a:off x="2971799" y="1179502"/>
          <a:ext cx="1740436" cy="661653"/>
        </a:xfrm>
        <a:custGeom>
          <a:avLst/>
          <a:gdLst/>
          <a:ahLst/>
          <a:cxnLst/>
          <a:rect l="0" t="0" r="0" b="0"/>
          <a:pathLst>
            <a:path>
              <a:moveTo>
                <a:pt x="0" y="0"/>
              </a:moveTo>
              <a:lnTo>
                <a:pt x="0" y="586138"/>
              </a:lnTo>
              <a:lnTo>
                <a:pt x="1740436" y="586138"/>
              </a:lnTo>
              <a:lnTo>
                <a:pt x="1740436" y="66165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CEEB34D-8DE2-4805-A3CA-0EB9844EE11F}">
      <dsp:nvSpPr>
        <dsp:cNvPr id="0" name=""/>
        <dsp:cNvSpPr/>
      </dsp:nvSpPr>
      <dsp:spPr>
        <a:xfrm>
          <a:off x="3554342" y="2200750"/>
          <a:ext cx="107878" cy="4415818"/>
        </a:xfrm>
        <a:custGeom>
          <a:avLst/>
          <a:gdLst/>
          <a:ahLst/>
          <a:cxnLst/>
          <a:rect l="0" t="0" r="0" b="0"/>
          <a:pathLst>
            <a:path>
              <a:moveTo>
                <a:pt x="0" y="0"/>
              </a:moveTo>
              <a:lnTo>
                <a:pt x="0" y="4415818"/>
              </a:lnTo>
              <a:lnTo>
                <a:pt x="107878" y="4415818"/>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8C19219-A300-4D8B-B0EC-E75AECC54B37}">
      <dsp:nvSpPr>
        <dsp:cNvPr id="0" name=""/>
        <dsp:cNvSpPr/>
      </dsp:nvSpPr>
      <dsp:spPr>
        <a:xfrm>
          <a:off x="3554342" y="2200750"/>
          <a:ext cx="107878" cy="3905194"/>
        </a:xfrm>
        <a:custGeom>
          <a:avLst/>
          <a:gdLst/>
          <a:ahLst/>
          <a:cxnLst/>
          <a:rect l="0" t="0" r="0" b="0"/>
          <a:pathLst>
            <a:path>
              <a:moveTo>
                <a:pt x="0" y="0"/>
              </a:moveTo>
              <a:lnTo>
                <a:pt x="0" y="3905194"/>
              </a:lnTo>
              <a:lnTo>
                <a:pt x="107878" y="3905194"/>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7D36E3C-10C8-4FBF-8439-2DD7D72403B9}">
      <dsp:nvSpPr>
        <dsp:cNvPr id="0" name=""/>
        <dsp:cNvSpPr/>
      </dsp:nvSpPr>
      <dsp:spPr>
        <a:xfrm>
          <a:off x="3554342" y="2200750"/>
          <a:ext cx="107878" cy="3394570"/>
        </a:xfrm>
        <a:custGeom>
          <a:avLst/>
          <a:gdLst/>
          <a:ahLst/>
          <a:cxnLst/>
          <a:rect l="0" t="0" r="0" b="0"/>
          <a:pathLst>
            <a:path>
              <a:moveTo>
                <a:pt x="0" y="0"/>
              </a:moveTo>
              <a:lnTo>
                <a:pt x="0" y="3394570"/>
              </a:lnTo>
              <a:lnTo>
                <a:pt x="107878" y="339457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4A1D15A-65F0-46D7-800D-8BDEA89AB907}">
      <dsp:nvSpPr>
        <dsp:cNvPr id="0" name=""/>
        <dsp:cNvSpPr/>
      </dsp:nvSpPr>
      <dsp:spPr>
        <a:xfrm>
          <a:off x="3554342" y="2200750"/>
          <a:ext cx="107878" cy="2883946"/>
        </a:xfrm>
        <a:custGeom>
          <a:avLst/>
          <a:gdLst/>
          <a:ahLst/>
          <a:cxnLst/>
          <a:rect l="0" t="0" r="0" b="0"/>
          <a:pathLst>
            <a:path>
              <a:moveTo>
                <a:pt x="0" y="0"/>
              </a:moveTo>
              <a:lnTo>
                <a:pt x="0" y="2883946"/>
              </a:lnTo>
              <a:lnTo>
                <a:pt x="107878" y="288394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25FDC3C-B16A-41B7-B1F8-6B51D306DC49}">
      <dsp:nvSpPr>
        <dsp:cNvPr id="0" name=""/>
        <dsp:cNvSpPr/>
      </dsp:nvSpPr>
      <dsp:spPr>
        <a:xfrm>
          <a:off x="3554342" y="2200750"/>
          <a:ext cx="107878" cy="2373322"/>
        </a:xfrm>
        <a:custGeom>
          <a:avLst/>
          <a:gdLst/>
          <a:ahLst/>
          <a:cxnLst/>
          <a:rect l="0" t="0" r="0" b="0"/>
          <a:pathLst>
            <a:path>
              <a:moveTo>
                <a:pt x="0" y="0"/>
              </a:moveTo>
              <a:lnTo>
                <a:pt x="0" y="2373322"/>
              </a:lnTo>
              <a:lnTo>
                <a:pt x="107878" y="237332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A6F3DAC-68E9-499B-BA1C-43CC1BD3BF3F}">
      <dsp:nvSpPr>
        <dsp:cNvPr id="0" name=""/>
        <dsp:cNvSpPr/>
      </dsp:nvSpPr>
      <dsp:spPr>
        <a:xfrm>
          <a:off x="3554342" y="2200750"/>
          <a:ext cx="107878" cy="1862698"/>
        </a:xfrm>
        <a:custGeom>
          <a:avLst/>
          <a:gdLst/>
          <a:ahLst/>
          <a:cxnLst/>
          <a:rect l="0" t="0" r="0" b="0"/>
          <a:pathLst>
            <a:path>
              <a:moveTo>
                <a:pt x="0" y="0"/>
              </a:moveTo>
              <a:lnTo>
                <a:pt x="0" y="1862698"/>
              </a:lnTo>
              <a:lnTo>
                <a:pt x="107878" y="1862698"/>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9D3930B-EEE2-4899-9B97-F09B8C2AEA34}">
      <dsp:nvSpPr>
        <dsp:cNvPr id="0" name=""/>
        <dsp:cNvSpPr/>
      </dsp:nvSpPr>
      <dsp:spPr>
        <a:xfrm>
          <a:off x="3554342" y="2200750"/>
          <a:ext cx="107878" cy="1352074"/>
        </a:xfrm>
        <a:custGeom>
          <a:avLst/>
          <a:gdLst/>
          <a:ahLst/>
          <a:cxnLst/>
          <a:rect l="0" t="0" r="0" b="0"/>
          <a:pathLst>
            <a:path>
              <a:moveTo>
                <a:pt x="0" y="0"/>
              </a:moveTo>
              <a:lnTo>
                <a:pt x="0" y="1352074"/>
              </a:lnTo>
              <a:lnTo>
                <a:pt x="107878" y="1352074"/>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C875EDB-B730-407F-B108-9AEAE929C299}">
      <dsp:nvSpPr>
        <dsp:cNvPr id="0" name=""/>
        <dsp:cNvSpPr/>
      </dsp:nvSpPr>
      <dsp:spPr>
        <a:xfrm>
          <a:off x="3554342" y="2200750"/>
          <a:ext cx="107878" cy="841450"/>
        </a:xfrm>
        <a:custGeom>
          <a:avLst/>
          <a:gdLst/>
          <a:ahLst/>
          <a:cxnLst/>
          <a:rect l="0" t="0" r="0" b="0"/>
          <a:pathLst>
            <a:path>
              <a:moveTo>
                <a:pt x="0" y="0"/>
              </a:moveTo>
              <a:lnTo>
                <a:pt x="0" y="841450"/>
              </a:lnTo>
              <a:lnTo>
                <a:pt x="107878" y="84145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EC61466-5166-468D-9CA1-0CE2AEACC3BE}">
      <dsp:nvSpPr>
        <dsp:cNvPr id="0" name=""/>
        <dsp:cNvSpPr/>
      </dsp:nvSpPr>
      <dsp:spPr>
        <a:xfrm>
          <a:off x="3554342" y="2200750"/>
          <a:ext cx="107878" cy="330826"/>
        </a:xfrm>
        <a:custGeom>
          <a:avLst/>
          <a:gdLst/>
          <a:ahLst/>
          <a:cxnLst/>
          <a:rect l="0" t="0" r="0" b="0"/>
          <a:pathLst>
            <a:path>
              <a:moveTo>
                <a:pt x="0" y="0"/>
              </a:moveTo>
              <a:lnTo>
                <a:pt x="0" y="330826"/>
              </a:lnTo>
              <a:lnTo>
                <a:pt x="107878" y="33082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F9E67A9-D60A-429A-92EF-031DD07BDC39}">
      <dsp:nvSpPr>
        <dsp:cNvPr id="0" name=""/>
        <dsp:cNvSpPr/>
      </dsp:nvSpPr>
      <dsp:spPr>
        <a:xfrm>
          <a:off x="2971799" y="1179502"/>
          <a:ext cx="870218" cy="661653"/>
        </a:xfrm>
        <a:custGeom>
          <a:avLst/>
          <a:gdLst/>
          <a:ahLst/>
          <a:cxnLst/>
          <a:rect l="0" t="0" r="0" b="0"/>
          <a:pathLst>
            <a:path>
              <a:moveTo>
                <a:pt x="0" y="0"/>
              </a:moveTo>
              <a:lnTo>
                <a:pt x="0" y="586138"/>
              </a:lnTo>
              <a:lnTo>
                <a:pt x="870218" y="586138"/>
              </a:lnTo>
              <a:lnTo>
                <a:pt x="870218" y="66165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F8E606A-4D9D-4120-8375-2850ECB8F45C}">
      <dsp:nvSpPr>
        <dsp:cNvPr id="0" name=""/>
        <dsp:cNvSpPr/>
      </dsp:nvSpPr>
      <dsp:spPr>
        <a:xfrm>
          <a:off x="2684124" y="2200750"/>
          <a:ext cx="107878" cy="1352074"/>
        </a:xfrm>
        <a:custGeom>
          <a:avLst/>
          <a:gdLst/>
          <a:ahLst/>
          <a:cxnLst/>
          <a:rect l="0" t="0" r="0" b="0"/>
          <a:pathLst>
            <a:path>
              <a:moveTo>
                <a:pt x="0" y="0"/>
              </a:moveTo>
              <a:lnTo>
                <a:pt x="0" y="1352074"/>
              </a:lnTo>
              <a:lnTo>
                <a:pt x="107878" y="1352074"/>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8154A89-3234-4FF6-9CAF-76D073CDE153}">
      <dsp:nvSpPr>
        <dsp:cNvPr id="0" name=""/>
        <dsp:cNvSpPr/>
      </dsp:nvSpPr>
      <dsp:spPr>
        <a:xfrm>
          <a:off x="2684124" y="2200750"/>
          <a:ext cx="107878" cy="841450"/>
        </a:xfrm>
        <a:custGeom>
          <a:avLst/>
          <a:gdLst/>
          <a:ahLst/>
          <a:cxnLst/>
          <a:rect l="0" t="0" r="0" b="0"/>
          <a:pathLst>
            <a:path>
              <a:moveTo>
                <a:pt x="0" y="0"/>
              </a:moveTo>
              <a:lnTo>
                <a:pt x="0" y="841450"/>
              </a:lnTo>
              <a:lnTo>
                <a:pt x="107878" y="84145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F6D1291-1446-44F8-8897-A6255D4599B7}">
      <dsp:nvSpPr>
        <dsp:cNvPr id="0" name=""/>
        <dsp:cNvSpPr/>
      </dsp:nvSpPr>
      <dsp:spPr>
        <a:xfrm>
          <a:off x="2684124" y="2200750"/>
          <a:ext cx="107878" cy="330826"/>
        </a:xfrm>
        <a:custGeom>
          <a:avLst/>
          <a:gdLst/>
          <a:ahLst/>
          <a:cxnLst/>
          <a:rect l="0" t="0" r="0" b="0"/>
          <a:pathLst>
            <a:path>
              <a:moveTo>
                <a:pt x="0" y="0"/>
              </a:moveTo>
              <a:lnTo>
                <a:pt x="0" y="330826"/>
              </a:lnTo>
              <a:lnTo>
                <a:pt x="107878" y="33082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337EBB1-B222-490D-A87B-D5E7B9ECB10F}">
      <dsp:nvSpPr>
        <dsp:cNvPr id="0" name=""/>
        <dsp:cNvSpPr/>
      </dsp:nvSpPr>
      <dsp:spPr>
        <a:xfrm>
          <a:off x="2926080" y="1179502"/>
          <a:ext cx="91440" cy="661653"/>
        </a:xfrm>
        <a:custGeom>
          <a:avLst/>
          <a:gdLst/>
          <a:ahLst/>
          <a:cxnLst/>
          <a:rect l="0" t="0" r="0" b="0"/>
          <a:pathLst>
            <a:path>
              <a:moveTo>
                <a:pt x="45720" y="0"/>
              </a:moveTo>
              <a:lnTo>
                <a:pt x="45720" y="66165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F83ECF2-CD31-4FC3-9FB6-A339D97DE729}">
      <dsp:nvSpPr>
        <dsp:cNvPr id="0" name=""/>
        <dsp:cNvSpPr/>
      </dsp:nvSpPr>
      <dsp:spPr>
        <a:xfrm>
          <a:off x="1813906" y="2200750"/>
          <a:ext cx="107878" cy="1862698"/>
        </a:xfrm>
        <a:custGeom>
          <a:avLst/>
          <a:gdLst/>
          <a:ahLst/>
          <a:cxnLst/>
          <a:rect l="0" t="0" r="0" b="0"/>
          <a:pathLst>
            <a:path>
              <a:moveTo>
                <a:pt x="0" y="0"/>
              </a:moveTo>
              <a:lnTo>
                <a:pt x="0" y="1862698"/>
              </a:lnTo>
              <a:lnTo>
                <a:pt x="107878" y="1862698"/>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A329912-A857-488C-94DB-3C326E7744CB}">
      <dsp:nvSpPr>
        <dsp:cNvPr id="0" name=""/>
        <dsp:cNvSpPr/>
      </dsp:nvSpPr>
      <dsp:spPr>
        <a:xfrm>
          <a:off x="1813906" y="2200750"/>
          <a:ext cx="107878" cy="1352074"/>
        </a:xfrm>
        <a:custGeom>
          <a:avLst/>
          <a:gdLst/>
          <a:ahLst/>
          <a:cxnLst/>
          <a:rect l="0" t="0" r="0" b="0"/>
          <a:pathLst>
            <a:path>
              <a:moveTo>
                <a:pt x="0" y="0"/>
              </a:moveTo>
              <a:lnTo>
                <a:pt x="0" y="1352074"/>
              </a:lnTo>
              <a:lnTo>
                <a:pt x="107878" y="1352074"/>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AAA3537-3730-47B2-A25C-4BF8248C993C}">
      <dsp:nvSpPr>
        <dsp:cNvPr id="0" name=""/>
        <dsp:cNvSpPr/>
      </dsp:nvSpPr>
      <dsp:spPr>
        <a:xfrm>
          <a:off x="1813906" y="2200750"/>
          <a:ext cx="107878" cy="841450"/>
        </a:xfrm>
        <a:custGeom>
          <a:avLst/>
          <a:gdLst/>
          <a:ahLst/>
          <a:cxnLst/>
          <a:rect l="0" t="0" r="0" b="0"/>
          <a:pathLst>
            <a:path>
              <a:moveTo>
                <a:pt x="0" y="0"/>
              </a:moveTo>
              <a:lnTo>
                <a:pt x="0" y="841450"/>
              </a:lnTo>
              <a:lnTo>
                <a:pt x="107878" y="84145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710CF54-A3A9-402E-A7C8-05E928D99597}">
      <dsp:nvSpPr>
        <dsp:cNvPr id="0" name=""/>
        <dsp:cNvSpPr/>
      </dsp:nvSpPr>
      <dsp:spPr>
        <a:xfrm>
          <a:off x="1813906" y="2200750"/>
          <a:ext cx="107878" cy="330826"/>
        </a:xfrm>
        <a:custGeom>
          <a:avLst/>
          <a:gdLst/>
          <a:ahLst/>
          <a:cxnLst/>
          <a:rect l="0" t="0" r="0" b="0"/>
          <a:pathLst>
            <a:path>
              <a:moveTo>
                <a:pt x="0" y="0"/>
              </a:moveTo>
              <a:lnTo>
                <a:pt x="0" y="330826"/>
              </a:lnTo>
              <a:lnTo>
                <a:pt x="107878" y="33082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4BD567D-8E01-437D-9DA5-0BFF0A658B15}">
      <dsp:nvSpPr>
        <dsp:cNvPr id="0" name=""/>
        <dsp:cNvSpPr/>
      </dsp:nvSpPr>
      <dsp:spPr>
        <a:xfrm>
          <a:off x="2101581" y="1179502"/>
          <a:ext cx="870218" cy="661653"/>
        </a:xfrm>
        <a:custGeom>
          <a:avLst/>
          <a:gdLst/>
          <a:ahLst/>
          <a:cxnLst/>
          <a:rect l="0" t="0" r="0" b="0"/>
          <a:pathLst>
            <a:path>
              <a:moveTo>
                <a:pt x="870218" y="0"/>
              </a:moveTo>
              <a:lnTo>
                <a:pt x="870218" y="586138"/>
              </a:lnTo>
              <a:lnTo>
                <a:pt x="0" y="586138"/>
              </a:lnTo>
              <a:lnTo>
                <a:pt x="0" y="66165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8CD6FFF-0D44-4336-9541-97F61EF9630F}">
      <dsp:nvSpPr>
        <dsp:cNvPr id="0" name=""/>
        <dsp:cNvSpPr/>
      </dsp:nvSpPr>
      <dsp:spPr>
        <a:xfrm>
          <a:off x="943687" y="2200750"/>
          <a:ext cx="107878" cy="2883946"/>
        </a:xfrm>
        <a:custGeom>
          <a:avLst/>
          <a:gdLst/>
          <a:ahLst/>
          <a:cxnLst/>
          <a:rect l="0" t="0" r="0" b="0"/>
          <a:pathLst>
            <a:path>
              <a:moveTo>
                <a:pt x="0" y="0"/>
              </a:moveTo>
              <a:lnTo>
                <a:pt x="0" y="2883946"/>
              </a:lnTo>
              <a:lnTo>
                <a:pt x="107878" y="288394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1CDDA2F-D3BE-4EF7-AB4C-852AE6EFE0C2}">
      <dsp:nvSpPr>
        <dsp:cNvPr id="0" name=""/>
        <dsp:cNvSpPr/>
      </dsp:nvSpPr>
      <dsp:spPr>
        <a:xfrm>
          <a:off x="943687" y="2200750"/>
          <a:ext cx="107878" cy="2373322"/>
        </a:xfrm>
        <a:custGeom>
          <a:avLst/>
          <a:gdLst/>
          <a:ahLst/>
          <a:cxnLst/>
          <a:rect l="0" t="0" r="0" b="0"/>
          <a:pathLst>
            <a:path>
              <a:moveTo>
                <a:pt x="0" y="0"/>
              </a:moveTo>
              <a:lnTo>
                <a:pt x="0" y="2373322"/>
              </a:lnTo>
              <a:lnTo>
                <a:pt x="107878" y="2373322"/>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FE7A7AF-A6D5-427E-B30E-3E86608B994C}">
      <dsp:nvSpPr>
        <dsp:cNvPr id="0" name=""/>
        <dsp:cNvSpPr/>
      </dsp:nvSpPr>
      <dsp:spPr>
        <a:xfrm>
          <a:off x="943687" y="2200750"/>
          <a:ext cx="107878" cy="1862698"/>
        </a:xfrm>
        <a:custGeom>
          <a:avLst/>
          <a:gdLst/>
          <a:ahLst/>
          <a:cxnLst/>
          <a:rect l="0" t="0" r="0" b="0"/>
          <a:pathLst>
            <a:path>
              <a:moveTo>
                <a:pt x="0" y="0"/>
              </a:moveTo>
              <a:lnTo>
                <a:pt x="0" y="1862698"/>
              </a:lnTo>
              <a:lnTo>
                <a:pt x="107878" y="1862698"/>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4EEA4D1-81B0-4484-95D2-49EEF153C138}">
      <dsp:nvSpPr>
        <dsp:cNvPr id="0" name=""/>
        <dsp:cNvSpPr/>
      </dsp:nvSpPr>
      <dsp:spPr>
        <a:xfrm>
          <a:off x="943687" y="2200750"/>
          <a:ext cx="107878" cy="1352074"/>
        </a:xfrm>
        <a:custGeom>
          <a:avLst/>
          <a:gdLst/>
          <a:ahLst/>
          <a:cxnLst/>
          <a:rect l="0" t="0" r="0" b="0"/>
          <a:pathLst>
            <a:path>
              <a:moveTo>
                <a:pt x="0" y="0"/>
              </a:moveTo>
              <a:lnTo>
                <a:pt x="0" y="1352074"/>
              </a:lnTo>
              <a:lnTo>
                <a:pt x="107878" y="1352074"/>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4D0961B-01E4-496B-8A1A-F9AC1E521FC7}">
      <dsp:nvSpPr>
        <dsp:cNvPr id="0" name=""/>
        <dsp:cNvSpPr/>
      </dsp:nvSpPr>
      <dsp:spPr>
        <a:xfrm>
          <a:off x="943687" y="2200750"/>
          <a:ext cx="107878" cy="841450"/>
        </a:xfrm>
        <a:custGeom>
          <a:avLst/>
          <a:gdLst/>
          <a:ahLst/>
          <a:cxnLst/>
          <a:rect l="0" t="0" r="0" b="0"/>
          <a:pathLst>
            <a:path>
              <a:moveTo>
                <a:pt x="0" y="0"/>
              </a:moveTo>
              <a:lnTo>
                <a:pt x="0" y="841450"/>
              </a:lnTo>
              <a:lnTo>
                <a:pt x="107878" y="84145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959CA76-EFA6-4BF9-B1BB-87F9EE74E5F6}">
      <dsp:nvSpPr>
        <dsp:cNvPr id="0" name=""/>
        <dsp:cNvSpPr/>
      </dsp:nvSpPr>
      <dsp:spPr>
        <a:xfrm>
          <a:off x="943687" y="2200750"/>
          <a:ext cx="107878" cy="330826"/>
        </a:xfrm>
        <a:custGeom>
          <a:avLst/>
          <a:gdLst/>
          <a:ahLst/>
          <a:cxnLst/>
          <a:rect l="0" t="0" r="0" b="0"/>
          <a:pathLst>
            <a:path>
              <a:moveTo>
                <a:pt x="0" y="0"/>
              </a:moveTo>
              <a:lnTo>
                <a:pt x="0" y="330826"/>
              </a:lnTo>
              <a:lnTo>
                <a:pt x="107878" y="33082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B314BBA-0972-410C-8258-745670949447}">
      <dsp:nvSpPr>
        <dsp:cNvPr id="0" name=""/>
        <dsp:cNvSpPr/>
      </dsp:nvSpPr>
      <dsp:spPr>
        <a:xfrm>
          <a:off x="1231363" y="1179502"/>
          <a:ext cx="1740436" cy="661653"/>
        </a:xfrm>
        <a:custGeom>
          <a:avLst/>
          <a:gdLst/>
          <a:ahLst/>
          <a:cxnLst/>
          <a:rect l="0" t="0" r="0" b="0"/>
          <a:pathLst>
            <a:path>
              <a:moveTo>
                <a:pt x="1740436" y="0"/>
              </a:moveTo>
              <a:lnTo>
                <a:pt x="1740436" y="586138"/>
              </a:lnTo>
              <a:lnTo>
                <a:pt x="0" y="586138"/>
              </a:lnTo>
              <a:lnTo>
                <a:pt x="0" y="66165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DBC517C-442F-4387-B97A-52FEBE149F6A}">
      <dsp:nvSpPr>
        <dsp:cNvPr id="0" name=""/>
        <dsp:cNvSpPr/>
      </dsp:nvSpPr>
      <dsp:spPr>
        <a:xfrm>
          <a:off x="73469" y="2200750"/>
          <a:ext cx="107878" cy="1352074"/>
        </a:xfrm>
        <a:custGeom>
          <a:avLst/>
          <a:gdLst/>
          <a:ahLst/>
          <a:cxnLst/>
          <a:rect l="0" t="0" r="0" b="0"/>
          <a:pathLst>
            <a:path>
              <a:moveTo>
                <a:pt x="0" y="0"/>
              </a:moveTo>
              <a:lnTo>
                <a:pt x="0" y="1352074"/>
              </a:lnTo>
              <a:lnTo>
                <a:pt x="107878" y="1352074"/>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B46B2C8-6326-44E0-837E-882472C4CC33}">
      <dsp:nvSpPr>
        <dsp:cNvPr id="0" name=""/>
        <dsp:cNvSpPr/>
      </dsp:nvSpPr>
      <dsp:spPr>
        <a:xfrm>
          <a:off x="73469" y="2200750"/>
          <a:ext cx="107878" cy="841450"/>
        </a:xfrm>
        <a:custGeom>
          <a:avLst/>
          <a:gdLst/>
          <a:ahLst/>
          <a:cxnLst/>
          <a:rect l="0" t="0" r="0" b="0"/>
          <a:pathLst>
            <a:path>
              <a:moveTo>
                <a:pt x="0" y="0"/>
              </a:moveTo>
              <a:lnTo>
                <a:pt x="0" y="841450"/>
              </a:lnTo>
              <a:lnTo>
                <a:pt x="107878" y="841450"/>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FB38974-1789-4DBC-ADEF-EE8155F57045}">
      <dsp:nvSpPr>
        <dsp:cNvPr id="0" name=""/>
        <dsp:cNvSpPr/>
      </dsp:nvSpPr>
      <dsp:spPr>
        <a:xfrm>
          <a:off x="73469" y="2200750"/>
          <a:ext cx="107878" cy="330826"/>
        </a:xfrm>
        <a:custGeom>
          <a:avLst/>
          <a:gdLst/>
          <a:ahLst/>
          <a:cxnLst/>
          <a:rect l="0" t="0" r="0" b="0"/>
          <a:pathLst>
            <a:path>
              <a:moveTo>
                <a:pt x="0" y="0"/>
              </a:moveTo>
              <a:lnTo>
                <a:pt x="0" y="330826"/>
              </a:lnTo>
              <a:lnTo>
                <a:pt x="107878" y="330826"/>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E2C9493-64E8-4F4D-A060-9790738EBA13}">
      <dsp:nvSpPr>
        <dsp:cNvPr id="0" name=""/>
        <dsp:cNvSpPr/>
      </dsp:nvSpPr>
      <dsp:spPr>
        <a:xfrm>
          <a:off x="361145" y="1179502"/>
          <a:ext cx="2610654" cy="661653"/>
        </a:xfrm>
        <a:custGeom>
          <a:avLst/>
          <a:gdLst/>
          <a:ahLst/>
          <a:cxnLst/>
          <a:rect l="0" t="0" r="0" b="0"/>
          <a:pathLst>
            <a:path>
              <a:moveTo>
                <a:pt x="2610654" y="0"/>
              </a:moveTo>
              <a:lnTo>
                <a:pt x="2610654" y="586138"/>
              </a:lnTo>
              <a:lnTo>
                <a:pt x="0" y="586138"/>
              </a:lnTo>
              <a:lnTo>
                <a:pt x="0" y="661653"/>
              </a:lnTo>
            </a:path>
          </a:pathLst>
        </a:custGeom>
        <a:noFill/>
        <a:ln w="25400" cap="flat" cmpd="sng" algn="ctr">
          <a:solidFill>
            <a:schemeClr val="dk1">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EB41C03-E55A-46C7-8E5E-2BEF834ABEC7}">
      <dsp:nvSpPr>
        <dsp:cNvPr id="0" name=""/>
        <dsp:cNvSpPr/>
      </dsp:nvSpPr>
      <dsp:spPr>
        <a:xfrm>
          <a:off x="2926080" y="668878"/>
          <a:ext cx="91440" cy="151029"/>
        </a:xfrm>
        <a:custGeom>
          <a:avLst/>
          <a:gdLst/>
          <a:ahLst/>
          <a:cxnLst/>
          <a:rect l="0" t="0" r="0" b="0"/>
          <a:pathLst>
            <a:path>
              <a:moveTo>
                <a:pt x="45720" y="0"/>
              </a:moveTo>
              <a:lnTo>
                <a:pt x="45720" y="151029"/>
              </a:lnTo>
            </a:path>
          </a:pathLst>
        </a:custGeom>
        <a:noFill/>
        <a:ln w="25400" cap="flat" cmpd="sng" algn="ctr">
          <a:solidFill>
            <a:schemeClr val="dk1">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7735C9E-34E4-4954-84EC-D351BD2CCC3B}">
      <dsp:nvSpPr>
        <dsp:cNvPr id="0" name=""/>
        <dsp:cNvSpPr/>
      </dsp:nvSpPr>
      <dsp:spPr>
        <a:xfrm>
          <a:off x="2612205" y="309284"/>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State Superintendent of Schools</a:t>
          </a:r>
        </a:p>
      </dsp:txBody>
      <dsp:txXfrm>
        <a:off x="2612205" y="309284"/>
        <a:ext cx="719188" cy="359594"/>
      </dsp:txXfrm>
    </dsp:sp>
    <dsp:sp modelId="{ED03F981-C21B-4EFB-94FC-A05BE4D44531}">
      <dsp:nvSpPr>
        <dsp:cNvPr id="0" name=""/>
        <dsp:cNvSpPr/>
      </dsp:nvSpPr>
      <dsp:spPr>
        <a:xfrm>
          <a:off x="2612205" y="819908"/>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Office of the Assistant State Superintendent in Rehabilitation Services</a:t>
          </a:r>
          <a:endParaRPr lang="en-US" sz="600" kern="1200"/>
        </a:p>
      </dsp:txBody>
      <dsp:txXfrm>
        <a:off x="2612205" y="819908"/>
        <a:ext cx="719188" cy="359594"/>
      </dsp:txXfrm>
    </dsp:sp>
    <dsp:sp modelId="{A0E7D1A4-4D4C-4FDC-9701-205481CF90C8}">
      <dsp:nvSpPr>
        <dsp:cNvPr id="0" name=""/>
        <dsp:cNvSpPr/>
      </dsp:nvSpPr>
      <dsp:spPr>
        <a:xfrm>
          <a:off x="1550" y="1841155"/>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Disability Determination Services</a:t>
          </a:r>
        </a:p>
      </dsp:txBody>
      <dsp:txXfrm>
        <a:off x="1550" y="1841155"/>
        <a:ext cx="719188" cy="359594"/>
      </dsp:txXfrm>
    </dsp:sp>
    <dsp:sp modelId="{592374F2-75FD-47F5-ABD1-8737A6AD9AF0}">
      <dsp:nvSpPr>
        <dsp:cNvPr id="0" name=""/>
        <dsp:cNvSpPr/>
      </dsp:nvSpPr>
      <dsp:spPr>
        <a:xfrm>
          <a:off x="181348" y="2351779"/>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Administrative Support Unit</a:t>
          </a:r>
        </a:p>
      </dsp:txBody>
      <dsp:txXfrm>
        <a:off x="181348" y="2351779"/>
        <a:ext cx="719188" cy="359594"/>
      </dsp:txXfrm>
    </dsp:sp>
    <dsp:sp modelId="{5210760A-89C7-453A-9323-086A32E8C606}">
      <dsp:nvSpPr>
        <dsp:cNvPr id="0" name=""/>
        <dsp:cNvSpPr/>
      </dsp:nvSpPr>
      <dsp:spPr>
        <a:xfrm>
          <a:off x="181348" y="2862403"/>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Claims Adjudication Unit</a:t>
          </a:r>
        </a:p>
      </dsp:txBody>
      <dsp:txXfrm>
        <a:off x="181348" y="2862403"/>
        <a:ext cx="719188" cy="359594"/>
      </dsp:txXfrm>
    </dsp:sp>
    <dsp:sp modelId="{A10884EF-94C8-4EC0-9ED1-41E96C1BC612}">
      <dsp:nvSpPr>
        <dsp:cNvPr id="0" name=""/>
        <dsp:cNvSpPr/>
      </dsp:nvSpPr>
      <dsp:spPr>
        <a:xfrm>
          <a:off x="181348" y="3373027"/>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Disability Hearing Unit</a:t>
          </a:r>
        </a:p>
      </dsp:txBody>
      <dsp:txXfrm>
        <a:off x="181348" y="3373027"/>
        <a:ext cx="719188" cy="359594"/>
      </dsp:txXfrm>
    </dsp:sp>
    <dsp:sp modelId="{676CDB27-FD10-4330-B99B-D8B3E9D1B3D0}">
      <dsp:nvSpPr>
        <dsp:cNvPr id="0" name=""/>
        <dsp:cNvSpPr/>
      </dsp:nvSpPr>
      <dsp:spPr>
        <a:xfrm>
          <a:off x="871769" y="1841155"/>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Office of Field Services</a:t>
          </a:r>
        </a:p>
      </dsp:txBody>
      <dsp:txXfrm>
        <a:off x="871769" y="1841155"/>
        <a:ext cx="719188" cy="359594"/>
      </dsp:txXfrm>
    </dsp:sp>
    <dsp:sp modelId="{8AC30BE5-67D6-45BE-B83C-F012AAE337D5}">
      <dsp:nvSpPr>
        <dsp:cNvPr id="0" name=""/>
        <dsp:cNvSpPr/>
      </dsp:nvSpPr>
      <dsp:spPr>
        <a:xfrm>
          <a:off x="1051566" y="2351779"/>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Region 1</a:t>
          </a:r>
          <a:br>
            <a:rPr lang="en-US" sz="600" b="1" kern="1200"/>
          </a:br>
          <a:r>
            <a:rPr lang="en-US" sz="600" b="1" kern="1200"/>
            <a:t>Western Maryland</a:t>
          </a:r>
        </a:p>
      </dsp:txBody>
      <dsp:txXfrm>
        <a:off x="1051566" y="2351779"/>
        <a:ext cx="719188" cy="359594"/>
      </dsp:txXfrm>
    </dsp:sp>
    <dsp:sp modelId="{2E69B759-EC06-4F2C-8B6D-98C074DBC43C}">
      <dsp:nvSpPr>
        <dsp:cNvPr id="0" name=""/>
        <dsp:cNvSpPr/>
      </dsp:nvSpPr>
      <dsp:spPr>
        <a:xfrm>
          <a:off x="1051566" y="2862403"/>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Region 2</a:t>
          </a:r>
          <a:br>
            <a:rPr lang="en-US" sz="600" b="1" kern="1200"/>
          </a:br>
          <a:r>
            <a:rPr lang="en-US" sz="600" b="1" kern="1200"/>
            <a:t>Southern Maryland &amp; Lower Eastern Shore</a:t>
          </a:r>
        </a:p>
      </dsp:txBody>
      <dsp:txXfrm>
        <a:off x="1051566" y="2862403"/>
        <a:ext cx="719188" cy="359594"/>
      </dsp:txXfrm>
    </dsp:sp>
    <dsp:sp modelId="{7FF8BB1E-E46D-4960-B36F-83A2F92494C6}">
      <dsp:nvSpPr>
        <dsp:cNvPr id="0" name=""/>
        <dsp:cNvSpPr/>
      </dsp:nvSpPr>
      <dsp:spPr>
        <a:xfrm>
          <a:off x="1051566" y="3373027"/>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Region 3</a:t>
          </a:r>
          <a:br>
            <a:rPr lang="en-US" sz="600" b="1" kern="1200"/>
          </a:br>
          <a:r>
            <a:rPr lang="en-US" sz="600" b="1" kern="1200"/>
            <a:t>Baltimore City</a:t>
          </a:r>
        </a:p>
      </dsp:txBody>
      <dsp:txXfrm>
        <a:off x="1051566" y="3373027"/>
        <a:ext cx="719188" cy="359594"/>
      </dsp:txXfrm>
    </dsp:sp>
    <dsp:sp modelId="{833E1EE0-7B63-4E76-9280-A34B39BFBE70}">
      <dsp:nvSpPr>
        <dsp:cNvPr id="0" name=""/>
        <dsp:cNvSpPr/>
      </dsp:nvSpPr>
      <dsp:spPr>
        <a:xfrm>
          <a:off x="1051566" y="3883651"/>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Region 5</a:t>
          </a:r>
          <a:br>
            <a:rPr lang="en-US" sz="600" b="1" kern="1200"/>
          </a:br>
          <a:r>
            <a:rPr lang="en-US" sz="600" b="1" kern="1200"/>
            <a:t>Central Maryland &amp; Upper Shore</a:t>
          </a:r>
        </a:p>
      </dsp:txBody>
      <dsp:txXfrm>
        <a:off x="1051566" y="3883651"/>
        <a:ext cx="719188" cy="359594"/>
      </dsp:txXfrm>
    </dsp:sp>
    <dsp:sp modelId="{690E1F8E-BA56-4224-B1E6-0857728CD6FF}">
      <dsp:nvSpPr>
        <dsp:cNvPr id="0" name=""/>
        <dsp:cNvSpPr/>
      </dsp:nvSpPr>
      <dsp:spPr>
        <a:xfrm>
          <a:off x="1051566" y="4394275"/>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Region 6</a:t>
          </a:r>
          <a:br>
            <a:rPr lang="en-US" sz="600" b="1" kern="1200"/>
          </a:br>
          <a:r>
            <a:rPr lang="en-US" sz="600" b="1" kern="1200"/>
            <a:t>Washington Suburbs</a:t>
          </a:r>
        </a:p>
      </dsp:txBody>
      <dsp:txXfrm>
        <a:off x="1051566" y="4394275"/>
        <a:ext cx="719188" cy="359594"/>
      </dsp:txXfrm>
    </dsp:sp>
    <dsp:sp modelId="{C32BC131-12EB-4BD6-A742-551A30AF4616}">
      <dsp:nvSpPr>
        <dsp:cNvPr id="0" name=""/>
        <dsp:cNvSpPr/>
      </dsp:nvSpPr>
      <dsp:spPr>
        <a:xfrm>
          <a:off x="1051566" y="4904899"/>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Technical Assistance Branch</a:t>
          </a:r>
        </a:p>
      </dsp:txBody>
      <dsp:txXfrm>
        <a:off x="1051566" y="4904899"/>
        <a:ext cx="719188" cy="359594"/>
      </dsp:txXfrm>
    </dsp:sp>
    <dsp:sp modelId="{E5DBD7D4-A4C9-4895-986B-C62670EAECE3}">
      <dsp:nvSpPr>
        <dsp:cNvPr id="0" name=""/>
        <dsp:cNvSpPr/>
      </dsp:nvSpPr>
      <dsp:spPr>
        <a:xfrm>
          <a:off x="1741987" y="1841155"/>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Office of the Workforce &amp; Technology Center</a:t>
          </a:r>
        </a:p>
      </dsp:txBody>
      <dsp:txXfrm>
        <a:off x="1741987" y="1841155"/>
        <a:ext cx="719188" cy="359594"/>
      </dsp:txXfrm>
    </dsp:sp>
    <dsp:sp modelId="{86B324B5-4C5F-4B40-81CA-33305B4C9D37}">
      <dsp:nvSpPr>
        <dsp:cNvPr id="0" name=""/>
        <dsp:cNvSpPr/>
      </dsp:nvSpPr>
      <dsp:spPr>
        <a:xfrm>
          <a:off x="1921784" y="2351779"/>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Workforce Services</a:t>
          </a:r>
        </a:p>
      </dsp:txBody>
      <dsp:txXfrm>
        <a:off x="1921784" y="2351779"/>
        <a:ext cx="719188" cy="359594"/>
      </dsp:txXfrm>
    </dsp:sp>
    <dsp:sp modelId="{5C79BCB9-A161-4A60-8658-BBD9AA25F8A1}">
      <dsp:nvSpPr>
        <dsp:cNvPr id="0" name=""/>
        <dsp:cNvSpPr/>
      </dsp:nvSpPr>
      <dsp:spPr>
        <a:xfrm>
          <a:off x="1921784" y="2862403"/>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Health &amp; Wellness Services</a:t>
          </a:r>
        </a:p>
      </dsp:txBody>
      <dsp:txXfrm>
        <a:off x="1921784" y="2862403"/>
        <a:ext cx="719188" cy="359594"/>
      </dsp:txXfrm>
    </dsp:sp>
    <dsp:sp modelId="{B0AFA7D8-7571-49EF-BFE2-5EE254842664}">
      <dsp:nvSpPr>
        <dsp:cNvPr id="0" name=""/>
        <dsp:cNvSpPr/>
      </dsp:nvSpPr>
      <dsp:spPr>
        <a:xfrm>
          <a:off x="1921784" y="3373027"/>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Rehabilitation Technology Services</a:t>
          </a:r>
        </a:p>
      </dsp:txBody>
      <dsp:txXfrm>
        <a:off x="1921784" y="3373027"/>
        <a:ext cx="719188" cy="359594"/>
      </dsp:txXfrm>
    </dsp:sp>
    <dsp:sp modelId="{8F6B5635-734A-4DAA-A506-A615038F09C4}">
      <dsp:nvSpPr>
        <dsp:cNvPr id="0" name=""/>
        <dsp:cNvSpPr/>
      </dsp:nvSpPr>
      <dsp:spPr>
        <a:xfrm>
          <a:off x="1921784" y="3883651"/>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Administrative Services</a:t>
          </a:r>
        </a:p>
      </dsp:txBody>
      <dsp:txXfrm>
        <a:off x="1921784" y="3883651"/>
        <a:ext cx="719188" cy="359594"/>
      </dsp:txXfrm>
    </dsp:sp>
    <dsp:sp modelId="{17BB04ED-8870-4189-A2D1-304A30928E94}">
      <dsp:nvSpPr>
        <dsp:cNvPr id="0" name=""/>
        <dsp:cNvSpPr/>
      </dsp:nvSpPr>
      <dsp:spPr>
        <a:xfrm>
          <a:off x="2612205" y="1841155"/>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Office for Blindness &amp; Vision Services </a:t>
          </a:r>
        </a:p>
      </dsp:txBody>
      <dsp:txXfrm>
        <a:off x="2612205" y="1841155"/>
        <a:ext cx="719188" cy="359594"/>
      </dsp:txXfrm>
    </dsp:sp>
    <dsp:sp modelId="{02370D6B-7D42-4BE2-8B33-1D4391412BB8}">
      <dsp:nvSpPr>
        <dsp:cNvPr id="0" name=""/>
        <dsp:cNvSpPr/>
      </dsp:nvSpPr>
      <dsp:spPr>
        <a:xfrm>
          <a:off x="2792002" y="2351779"/>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District Offices</a:t>
          </a:r>
        </a:p>
      </dsp:txBody>
      <dsp:txXfrm>
        <a:off x="2792002" y="2351779"/>
        <a:ext cx="719188" cy="359594"/>
      </dsp:txXfrm>
    </dsp:sp>
    <dsp:sp modelId="{5163CAA6-A213-4C7B-9436-68AC9D1B59A0}">
      <dsp:nvSpPr>
        <dsp:cNvPr id="0" name=""/>
        <dsp:cNvSpPr/>
      </dsp:nvSpPr>
      <dsp:spPr>
        <a:xfrm>
          <a:off x="2792002" y="2862403"/>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Maryland Business Enterprise Program for the Blind</a:t>
          </a:r>
        </a:p>
      </dsp:txBody>
      <dsp:txXfrm>
        <a:off x="2792002" y="2862403"/>
        <a:ext cx="719188" cy="359594"/>
      </dsp:txXfrm>
    </dsp:sp>
    <dsp:sp modelId="{1D828269-77E2-4F01-A00D-ED44A585EB4F}">
      <dsp:nvSpPr>
        <dsp:cNvPr id="0" name=""/>
        <dsp:cNvSpPr/>
      </dsp:nvSpPr>
      <dsp:spPr>
        <a:xfrm>
          <a:off x="2792002" y="3373027"/>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OBVS at WTC</a:t>
          </a:r>
        </a:p>
      </dsp:txBody>
      <dsp:txXfrm>
        <a:off x="2792002" y="3373027"/>
        <a:ext cx="719188" cy="359594"/>
      </dsp:txXfrm>
    </dsp:sp>
    <dsp:sp modelId="{6D8071D3-0339-4219-B52B-DCBF36CFBDEE}">
      <dsp:nvSpPr>
        <dsp:cNvPr id="0" name=""/>
        <dsp:cNvSpPr/>
      </dsp:nvSpPr>
      <dsp:spPr>
        <a:xfrm>
          <a:off x="3482423" y="1841155"/>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Office of Business Support Services</a:t>
          </a:r>
        </a:p>
      </dsp:txBody>
      <dsp:txXfrm>
        <a:off x="3482423" y="1841155"/>
        <a:ext cx="719188" cy="359594"/>
      </dsp:txXfrm>
    </dsp:sp>
    <dsp:sp modelId="{55073FAF-51A3-43BF-9370-E1F8E59948AC}">
      <dsp:nvSpPr>
        <dsp:cNvPr id="0" name=""/>
        <dsp:cNvSpPr/>
      </dsp:nvSpPr>
      <dsp:spPr>
        <a:xfrm>
          <a:off x="3662221" y="2351779"/>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Management Information Services</a:t>
          </a:r>
        </a:p>
      </dsp:txBody>
      <dsp:txXfrm>
        <a:off x="3662221" y="2351779"/>
        <a:ext cx="719188" cy="359594"/>
      </dsp:txXfrm>
    </dsp:sp>
    <dsp:sp modelId="{69B1C8D4-6433-4B8C-BB50-8C1500FAF2A1}">
      <dsp:nvSpPr>
        <dsp:cNvPr id="0" name=""/>
        <dsp:cNvSpPr/>
      </dsp:nvSpPr>
      <dsp:spPr>
        <a:xfrm>
          <a:off x="3662221" y="2862403"/>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Facilities </a:t>
          </a:r>
          <a:br>
            <a:rPr lang="en-US" sz="600" b="1" kern="1200"/>
          </a:br>
          <a:r>
            <a:rPr lang="en-US" sz="600" b="1" kern="1200"/>
            <a:t>Operations</a:t>
          </a:r>
        </a:p>
      </dsp:txBody>
      <dsp:txXfrm>
        <a:off x="3662221" y="2862403"/>
        <a:ext cx="719188" cy="359594"/>
      </dsp:txXfrm>
    </dsp:sp>
    <dsp:sp modelId="{E5650426-266D-43A1-93A4-435AA193D1F7}">
      <dsp:nvSpPr>
        <dsp:cNvPr id="0" name=""/>
        <dsp:cNvSpPr/>
      </dsp:nvSpPr>
      <dsp:spPr>
        <a:xfrm>
          <a:off x="3662221" y="3373027"/>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Fiscal Operations</a:t>
          </a:r>
        </a:p>
      </dsp:txBody>
      <dsp:txXfrm>
        <a:off x="3662221" y="3373027"/>
        <a:ext cx="719188" cy="359594"/>
      </dsp:txXfrm>
    </dsp:sp>
    <dsp:sp modelId="{4BF30054-F5CE-461C-B9C9-6978CFDE49C7}">
      <dsp:nvSpPr>
        <dsp:cNvPr id="0" name=""/>
        <dsp:cNvSpPr/>
      </dsp:nvSpPr>
      <dsp:spPr>
        <a:xfrm>
          <a:off x="3662221" y="3883651"/>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Human Resources</a:t>
          </a:r>
        </a:p>
      </dsp:txBody>
      <dsp:txXfrm>
        <a:off x="3662221" y="3883651"/>
        <a:ext cx="719188" cy="359594"/>
      </dsp:txXfrm>
    </dsp:sp>
    <dsp:sp modelId="{48BDA1E4-D419-43A6-A067-DFA1F95A57AC}">
      <dsp:nvSpPr>
        <dsp:cNvPr id="0" name=""/>
        <dsp:cNvSpPr/>
      </dsp:nvSpPr>
      <dsp:spPr>
        <a:xfrm>
          <a:off x="3662221" y="4394275"/>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Program Income</a:t>
          </a:r>
        </a:p>
      </dsp:txBody>
      <dsp:txXfrm>
        <a:off x="3662221" y="4394275"/>
        <a:ext cx="719188" cy="359594"/>
      </dsp:txXfrm>
    </dsp:sp>
    <dsp:sp modelId="{01C843F1-4675-4E37-A034-470A87AD0F75}">
      <dsp:nvSpPr>
        <dsp:cNvPr id="0" name=""/>
        <dsp:cNvSpPr/>
      </dsp:nvSpPr>
      <dsp:spPr>
        <a:xfrm>
          <a:off x="3662221" y="4904899"/>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Grants </a:t>
          </a:r>
          <a:br>
            <a:rPr lang="en-US" sz="600" b="1" kern="1200"/>
          </a:br>
          <a:r>
            <a:rPr lang="en-US" sz="600" b="1" kern="1200"/>
            <a:t>Management</a:t>
          </a:r>
        </a:p>
      </dsp:txBody>
      <dsp:txXfrm>
        <a:off x="3662221" y="4904899"/>
        <a:ext cx="719188" cy="359594"/>
      </dsp:txXfrm>
    </dsp:sp>
    <dsp:sp modelId="{501DA31C-61A9-4D6C-B842-38E29D053A1A}">
      <dsp:nvSpPr>
        <dsp:cNvPr id="0" name=""/>
        <dsp:cNvSpPr/>
      </dsp:nvSpPr>
      <dsp:spPr>
        <a:xfrm>
          <a:off x="3662221" y="5415523"/>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Community Rehabilitation Programs </a:t>
          </a:r>
        </a:p>
      </dsp:txBody>
      <dsp:txXfrm>
        <a:off x="3662221" y="5415523"/>
        <a:ext cx="719188" cy="359594"/>
      </dsp:txXfrm>
    </dsp:sp>
    <dsp:sp modelId="{5C518B37-AA32-43E6-9CDE-08252A492A62}">
      <dsp:nvSpPr>
        <dsp:cNvPr id="0" name=""/>
        <dsp:cNvSpPr/>
      </dsp:nvSpPr>
      <dsp:spPr>
        <a:xfrm>
          <a:off x="3662221" y="5926147"/>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Human Resource Development</a:t>
          </a:r>
        </a:p>
      </dsp:txBody>
      <dsp:txXfrm>
        <a:off x="3662221" y="5926147"/>
        <a:ext cx="719188" cy="359594"/>
      </dsp:txXfrm>
    </dsp:sp>
    <dsp:sp modelId="{8CD4EA47-E488-43D6-AD60-BF3DBB0AEC71}">
      <dsp:nvSpPr>
        <dsp:cNvPr id="0" name=""/>
        <dsp:cNvSpPr/>
      </dsp:nvSpPr>
      <dsp:spPr>
        <a:xfrm>
          <a:off x="3662221" y="6436771"/>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n-US" sz="600" b="1" kern="1200"/>
            <a:t>Program Evaluation &amp; AWARE</a:t>
          </a:r>
        </a:p>
      </dsp:txBody>
      <dsp:txXfrm>
        <a:off x="3662221" y="6436771"/>
        <a:ext cx="719188" cy="359594"/>
      </dsp:txXfrm>
    </dsp:sp>
    <dsp:sp modelId="{406DEF9E-F34C-4C96-AB30-8E603A4E9CA0}">
      <dsp:nvSpPr>
        <dsp:cNvPr id="0" name=""/>
        <dsp:cNvSpPr/>
      </dsp:nvSpPr>
      <dsp:spPr>
        <a:xfrm>
          <a:off x="4352642" y="1841155"/>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Office of Quality &amp; Policy</a:t>
          </a:r>
        </a:p>
      </dsp:txBody>
      <dsp:txXfrm>
        <a:off x="4352642" y="1841155"/>
        <a:ext cx="719188" cy="359594"/>
      </dsp:txXfrm>
    </dsp:sp>
    <dsp:sp modelId="{8337F5DA-DB66-4D2A-A2C8-34779C89F8E1}">
      <dsp:nvSpPr>
        <dsp:cNvPr id="0" name=""/>
        <dsp:cNvSpPr/>
      </dsp:nvSpPr>
      <dsp:spPr>
        <a:xfrm>
          <a:off x="4532439" y="2351779"/>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Client Assistance Program</a:t>
          </a:r>
        </a:p>
      </dsp:txBody>
      <dsp:txXfrm>
        <a:off x="4532439" y="2351779"/>
        <a:ext cx="719188" cy="359594"/>
      </dsp:txXfrm>
    </dsp:sp>
    <dsp:sp modelId="{D640E73A-9339-426E-84AA-3EE56780CE32}">
      <dsp:nvSpPr>
        <dsp:cNvPr id="0" name=""/>
        <dsp:cNvSpPr/>
      </dsp:nvSpPr>
      <dsp:spPr>
        <a:xfrm>
          <a:off x="5222860" y="1841155"/>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rtl="0">
            <a:lnSpc>
              <a:spcPct val="90000"/>
            </a:lnSpc>
            <a:spcBef>
              <a:spcPct val="0"/>
            </a:spcBef>
            <a:spcAft>
              <a:spcPct val="35000"/>
            </a:spcAft>
          </a:pPr>
          <a:r>
            <a:rPr lang="en-US" sz="600" b="1" kern="1200"/>
            <a:t>Business Relations Branch</a:t>
          </a:r>
        </a:p>
      </dsp:txBody>
      <dsp:txXfrm>
        <a:off x="5222860" y="1841155"/>
        <a:ext cx="719188" cy="359594"/>
      </dsp:txXfrm>
    </dsp:sp>
    <dsp:sp modelId="{185DE16D-898A-40C6-B71E-FD16B256A583}">
      <dsp:nvSpPr>
        <dsp:cNvPr id="0" name=""/>
        <dsp:cNvSpPr/>
      </dsp:nvSpPr>
      <dsp:spPr>
        <a:xfrm>
          <a:off x="2177096" y="1330532"/>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Public Affairs </a:t>
          </a:r>
          <a:br>
            <a:rPr lang="en-US" sz="600" b="1" kern="1200"/>
          </a:br>
          <a:r>
            <a:rPr lang="en-US" sz="600" b="1" kern="1200"/>
            <a:t>&amp; Planning</a:t>
          </a:r>
        </a:p>
      </dsp:txBody>
      <dsp:txXfrm>
        <a:off x="2177096" y="1330532"/>
        <a:ext cx="719188" cy="359594"/>
      </dsp:txXfrm>
    </dsp:sp>
    <dsp:sp modelId="{A9A7E80C-48FE-49F7-B329-7022299932DE}">
      <dsp:nvSpPr>
        <dsp:cNvPr id="0" name=""/>
        <dsp:cNvSpPr/>
      </dsp:nvSpPr>
      <dsp:spPr>
        <a:xfrm>
          <a:off x="3047314" y="1330532"/>
          <a:ext cx="719188" cy="359594"/>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sz="600" b="1" kern="1200"/>
            <a:t>Electronic Accessibility &amp; Internal Communication</a:t>
          </a:r>
        </a:p>
      </dsp:txBody>
      <dsp:txXfrm>
        <a:off x="3047314" y="1330532"/>
        <a:ext cx="719188" cy="35959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0.02604</cdr:x>
      <cdr:y>0.18054</cdr:y>
    </cdr:from>
    <cdr:to>
      <cdr:x>0.22813</cdr:x>
      <cdr:y>0.26234</cdr:y>
    </cdr:to>
    <cdr:sp macro="" textlink="">
      <cdr:nvSpPr>
        <cdr:cNvPr id="2" name="TextBox 1"/>
        <cdr:cNvSpPr txBox="1"/>
      </cdr:nvSpPr>
      <cdr:spPr>
        <a:xfrm xmlns:a="http://schemas.openxmlformats.org/drawingml/2006/main">
          <a:off x="119063" y="609600"/>
          <a:ext cx="9239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i="1"/>
            <a:t>Mature</a:t>
          </a:r>
        </a:p>
      </cdr:txBody>
    </cdr:sp>
  </cdr:relSizeAnchor>
  <cdr:relSizeAnchor xmlns:cdr="http://schemas.openxmlformats.org/drawingml/2006/chartDrawing">
    <cdr:from>
      <cdr:x>0.42361</cdr:x>
      <cdr:y>0.16455</cdr:y>
    </cdr:from>
    <cdr:to>
      <cdr:x>0.62569</cdr:x>
      <cdr:y>0.24636</cdr:y>
    </cdr:to>
    <cdr:sp macro="" textlink="">
      <cdr:nvSpPr>
        <cdr:cNvPr id="3" name="TextBox 1"/>
        <cdr:cNvSpPr txBox="1"/>
      </cdr:nvSpPr>
      <cdr:spPr>
        <a:xfrm xmlns:a="http://schemas.openxmlformats.org/drawingml/2006/main">
          <a:off x="1936750" y="555625"/>
          <a:ext cx="923925" cy="2762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i="1"/>
            <a:t>Growth</a:t>
          </a:r>
        </a:p>
      </cdr:txBody>
    </cdr:sp>
  </cdr:relSizeAnchor>
  <cdr:relSizeAnchor xmlns:cdr="http://schemas.openxmlformats.org/drawingml/2006/chartDrawing">
    <cdr:from>
      <cdr:x>0.40278</cdr:x>
      <cdr:y>0.80771</cdr:y>
    </cdr:from>
    <cdr:to>
      <cdr:x>0.60486</cdr:x>
      <cdr:y>0.88952</cdr:y>
    </cdr:to>
    <cdr:sp macro="" textlink="">
      <cdr:nvSpPr>
        <cdr:cNvPr id="4" name="TextBox 1"/>
        <cdr:cNvSpPr txBox="1"/>
      </cdr:nvSpPr>
      <cdr:spPr>
        <a:xfrm xmlns:a="http://schemas.openxmlformats.org/drawingml/2006/main">
          <a:off x="1841500" y="2727325"/>
          <a:ext cx="923925" cy="2762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i="1"/>
            <a:t>Emerging</a:t>
          </a:r>
        </a:p>
      </cdr:txBody>
    </cdr:sp>
  </cdr:relSizeAnchor>
  <cdr:relSizeAnchor xmlns:cdr="http://schemas.openxmlformats.org/drawingml/2006/chartDrawing">
    <cdr:from>
      <cdr:x>0.05069</cdr:x>
      <cdr:y>0.80771</cdr:y>
    </cdr:from>
    <cdr:to>
      <cdr:x>0.25278</cdr:x>
      <cdr:y>0.88952</cdr:y>
    </cdr:to>
    <cdr:sp macro="" textlink="">
      <cdr:nvSpPr>
        <cdr:cNvPr id="5" name="TextBox 1"/>
        <cdr:cNvSpPr txBox="1"/>
      </cdr:nvSpPr>
      <cdr:spPr>
        <a:xfrm xmlns:a="http://schemas.openxmlformats.org/drawingml/2006/main">
          <a:off x="231775" y="2727325"/>
          <a:ext cx="923925" cy="2762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i="1"/>
            <a:t>Declining</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C9F9F3-A2FB-4E47-8C84-A42FF64ED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303</Pages>
  <Words>148535</Words>
  <Characters>846650</Characters>
  <Application>Microsoft Office Word</Application>
  <DocSecurity>0</DocSecurity>
  <Lines>7055</Lines>
  <Paragraphs>1986</Paragraphs>
  <ScaleCrop>false</ScaleCrop>
  <HeadingPairs>
    <vt:vector size="2" baseType="variant">
      <vt:variant>
        <vt:lpstr>Title</vt:lpstr>
      </vt:variant>
      <vt:variant>
        <vt:i4>1</vt:i4>
      </vt:variant>
    </vt:vector>
  </HeadingPairs>
  <TitlesOfParts>
    <vt:vector size="1" baseType="lpstr">
      <vt:lpstr/>
    </vt:vector>
  </TitlesOfParts>
  <Company>Maryland DLLR</Company>
  <LinksUpToDate>false</LinksUpToDate>
  <CharactersWithSpaces>993199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Brandon S. Butler</dc:creator>
  <cp:lastModifiedBy>Susan Kaliush</cp:lastModifiedBy>
  <cp:revision>3</cp:revision>
  <cp:lastPrinted>2017-04-21T16:57:00Z</cp:lastPrinted>
  <dcterms:created xsi:type="dcterms:W3CDTF">2017-04-21T16:55:00Z</dcterms:created>
  <dcterms:modified xsi:type="dcterms:W3CDTF">2017-04-21T16:59:00Z</dcterms:modified>
</cp:coreProperties>
</file>